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421482"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421482">
        <w:rPr>
          <w:rFonts w:ascii="Times New Roman" w:eastAsia="Calibri" w:hAnsi="Times New Roman" w:cs="Times New Roman"/>
          <w:b/>
          <w:bCs/>
          <w:sz w:val="24"/>
          <w:szCs w:val="24"/>
        </w:rPr>
        <w:t>BEFORE</w:t>
      </w:r>
    </w:p>
    <w:p w:rsidR="00A438A0" w:rsidRPr="00421482" w:rsidP="00152A74" w14:paraId="1BAF3373" w14:textId="45898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21482">
        <w:rPr>
          <w:rFonts w:ascii="Times New Roman" w:eastAsia="Calibri" w:hAnsi="Times New Roman" w:cs="Times New Roman"/>
          <w:b/>
          <w:bCs/>
          <w:sz w:val="24"/>
          <w:szCs w:val="24"/>
        </w:rPr>
        <w:t>THE PUBLIC UTILITIES COMMISSION OF OHIO</w:t>
      </w:r>
    </w:p>
    <w:p w:rsidR="00A438A0" w:rsidRPr="00421482" w:rsidP="00152A74" w14:paraId="0AF0D2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0178" w:type="dxa"/>
        <w:tblLook w:val="01E0"/>
      </w:tblPr>
      <w:tblGrid>
        <w:gridCol w:w="5058"/>
        <w:gridCol w:w="480"/>
        <w:gridCol w:w="4640"/>
      </w:tblGrid>
      <w:tr w14:paraId="4A0A0818" w14:textId="77777777" w:rsidTr="00B874A1">
        <w:tblPrEx>
          <w:tblW w:w="10178" w:type="dxa"/>
          <w:tblLook w:val="01E0"/>
        </w:tblPrEx>
        <w:trPr>
          <w:trHeight w:val="807"/>
        </w:trPr>
        <w:tc>
          <w:tcPr>
            <w:tcW w:w="5058" w:type="dxa"/>
            <w:shd w:val="clear" w:color="auto" w:fill="auto"/>
          </w:tcPr>
          <w:p w:rsidR="00A438A0" w:rsidRPr="00421482" w:rsidP="00B874A1" w14:paraId="79A72051" w14:textId="5B5A1E46">
            <w:pPr>
              <w:autoSpaceDE w:val="0"/>
              <w:autoSpaceDN w:val="0"/>
              <w:adjustRightInd w:val="0"/>
              <w:rPr>
                <w:rFonts w:ascii="Times New Roman" w:hAnsi="Times New Roman" w:cs="Times New Roman"/>
                <w:sz w:val="24"/>
                <w:szCs w:val="24"/>
                <w:lang w:bidi="en-US"/>
              </w:rPr>
            </w:pPr>
            <w:r w:rsidRPr="00421482">
              <w:rPr>
                <w:rFonts w:ascii="Times New Roman" w:eastAsia="Times New Roman" w:hAnsi="Times New Roman" w:cs="Times New Roman"/>
                <w:sz w:val="24"/>
                <w:szCs w:val="24"/>
                <w:lang w:bidi="en-US"/>
              </w:rPr>
              <w:t>In the Matter of the Commission’s Review of Chapter 4901:1-37 of the Ohio Administrative Code.</w:t>
            </w:r>
          </w:p>
        </w:tc>
        <w:tc>
          <w:tcPr>
            <w:tcW w:w="480" w:type="dxa"/>
            <w:shd w:val="clear" w:color="auto" w:fill="auto"/>
          </w:tcPr>
          <w:p w:rsidR="00A438A0" w:rsidRPr="00421482" w:rsidP="00B874A1" w14:paraId="1B8FBB77" w14:textId="77777777">
            <w:pPr>
              <w:pStyle w:val="HTMLPreformatted"/>
              <w:jc w:val="center"/>
              <w:rPr>
                <w:rFonts w:ascii="Times New Roman" w:hAnsi="Times New Roman" w:cs="Times New Roman"/>
                <w:sz w:val="24"/>
                <w:szCs w:val="24"/>
              </w:rPr>
            </w:pPr>
            <w:r w:rsidRPr="00421482">
              <w:rPr>
                <w:rFonts w:ascii="Times New Roman" w:hAnsi="Times New Roman" w:cs="Times New Roman"/>
                <w:sz w:val="24"/>
                <w:szCs w:val="24"/>
              </w:rPr>
              <w:t>)</w:t>
            </w:r>
          </w:p>
          <w:p w:rsidR="00A438A0" w:rsidRPr="00421482" w:rsidP="00B874A1" w14:paraId="74177767" w14:textId="77777777">
            <w:pPr>
              <w:pStyle w:val="HTMLPreformatted"/>
              <w:jc w:val="center"/>
              <w:rPr>
                <w:rFonts w:ascii="Times New Roman" w:hAnsi="Times New Roman" w:cs="Times New Roman"/>
                <w:sz w:val="24"/>
                <w:szCs w:val="24"/>
              </w:rPr>
            </w:pPr>
            <w:r w:rsidRPr="00421482">
              <w:rPr>
                <w:rFonts w:ascii="Times New Roman" w:hAnsi="Times New Roman" w:cs="Times New Roman"/>
                <w:sz w:val="24"/>
                <w:szCs w:val="24"/>
              </w:rPr>
              <w:t>)</w:t>
            </w:r>
          </w:p>
          <w:p w:rsidR="00A438A0" w:rsidRPr="00421482" w:rsidP="00B874A1" w14:paraId="434CACF1" w14:textId="77777777">
            <w:pPr>
              <w:pStyle w:val="HTMLPreformatted"/>
              <w:jc w:val="center"/>
              <w:rPr>
                <w:rFonts w:ascii="Times New Roman" w:hAnsi="Times New Roman" w:cs="Times New Roman"/>
                <w:sz w:val="24"/>
                <w:szCs w:val="24"/>
              </w:rPr>
            </w:pPr>
            <w:r w:rsidRPr="00421482">
              <w:rPr>
                <w:rFonts w:ascii="Times New Roman" w:hAnsi="Times New Roman" w:cs="Times New Roman"/>
                <w:sz w:val="24"/>
                <w:szCs w:val="24"/>
              </w:rPr>
              <w:t>)</w:t>
            </w:r>
          </w:p>
        </w:tc>
        <w:tc>
          <w:tcPr>
            <w:tcW w:w="4640" w:type="dxa"/>
            <w:shd w:val="clear" w:color="auto" w:fill="auto"/>
          </w:tcPr>
          <w:p w:rsidR="00A438A0" w:rsidRPr="00421482" w:rsidP="00B874A1" w14:paraId="6F938392" w14:textId="77777777">
            <w:pPr>
              <w:pStyle w:val="HTMLPreformatted"/>
              <w:rPr>
                <w:rFonts w:ascii="Times New Roman" w:hAnsi="Times New Roman" w:cs="Times New Roman"/>
                <w:sz w:val="24"/>
                <w:szCs w:val="24"/>
              </w:rPr>
            </w:pPr>
          </w:p>
          <w:p w:rsidR="00A438A0" w:rsidRPr="00421482" w:rsidP="00882736" w14:paraId="63D052EC" w14:textId="68C80545">
            <w:pPr>
              <w:pStyle w:val="HTMLPreformatted"/>
              <w:rPr>
                <w:rFonts w:ascii="Times New Roman" w:hAnsi="Times New Roman" w:cs="Times New Roman"/>
                <w:sz w:val="24"/>
                <w:szCs w:val="24"/>
              </w:rPr>
            </w:pPr>
            <w:r w:rsidRPr="00421482">
              <w:rPr>
                <w:rFonts w:ascii="Times New Roman" w:hAnsi="Times New Roman" w:cs="Times New Roman"/>
                <w:sz w:val="24"/>
                <w:szCs w:val="24"/>
              </w:rPr>
              <w:t>Case No. 18-1190-EL-ORD</w:t>
            </w:r>
          </w:p>
        </w:tc>
      </w:tr>
    </w:tbl>
    <w:p w:rsidR="00152A74" w:rsidRPr="00421482" w:rsidP="00152A74"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421482"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70006F" w:rsidRPr="00421482" w:rsidP="0070006F" w14:paraId="02695DE3" w14:textId="479556BF">
      <w:pPr>
        <w:widowControl w:val="0"/>
        <w:spacing w:after="0" w:line="240" w:lineRule="auto"/>
        <w:jc w:val="center"/>
        <w:rPr>
          <w:rFonts w:ascii="Times New Roman" w:hAnsi="Times New Roman" w:cs="Times New Roman"/>
          <w:b/>
          <w:sz w:val="24"/>
          <w:szCs w:val="24"/>
        </w:rPr>
      </w:pPr>
      <w:r w:rsidRPr="00421482">
        <w:rPr>
          <w:rFonts w:ascii="Times New Roman" w:hAnsi="Times New Roman" w:cs="Times New Roman"/>
          <w:b/>
          <w:sz w:val="24"/>
          <w:szCs w:val="24"/>
        </w:rPr>
        <w:t xml:space="preserve">APPLICATION FOR REHEARING REGARDING PUCO ORDER </w:t>
      </w:r>
      <w:r w:rsidRPr="00421482" w:rsidR="00E61B18">
        <w:rPr>
          <w:rFonts w:ascii="Times New Roman" w:hAnsi="Times New Roman" w:cs="Times New Roman"/>
          <w:b/>
          <w:sz w:val="24"/>
          <w:szCs w:val="24"/>
        </w:rPr>
        <w:t>REVIEWING</w:t>
      </w:r>
      <w:r w:rsidRPr="00421482">
        <w:rPr>
          <w:rFonts w:ascii="Times New Roman" w:hAnsi="Times New Roman" w:cs="Times New Roman"/>
          <w:b/>
          <w:sz w:val="24"/>
          <w:szCs w:val="24"/>
        </w:rPr>
        <w:t xml:space="preserve"> </w:t>
      </w:r>
      <w:r w:rsidRPr="00421482" w:rsidR="00FE7659">
        <w:rPr>
          <w:rFonts w:ascii="Times New Roman" w:hAnsi="Times New Roman" w:cs="Times New Roman"/>
          <w:b/>
          <w:sz w:val="24"/>
          <w:szCs w:val="24"/>
        </w:rPr>
        <w:t xml:space="preserve">RULES </w:t>
      </w:r>
      <w:r w:rsidRPr="00421482" w:rsidR="00E61B18">
        <w:rPr>
          <w:rFonts w:ascii="Times New Roman" w:hAnsi="Times New Roman" w:cs="Times New Roman"/>
          <w:b/>
          <w:sz w:val="24"/>
          <w:szCs w:val="24"/>
        </w:rPr>
        <w:t>GOVERNING</w:t>
      </w:r>
      <w:r w:rsidRPr="00421482" w:rsidR="00FE7659">
        <w:rPr>
          <w:rFonts w:ascii="Times New Roman" w:hAnsi="Times New Roman" w:cs="Times New Roman"/>
          <w:b/>
          <w:sz w:val="24"/>
          <w:szCs w:val="24"/>
        </w:rPr>
        <w:t xml:space="preserve"> UTILITY AFFILIATES</w:t>
      </w:r>
    </w:p>
    <w:p w:rsidR="0070006F" w:rsidRPr="00421482" w:rsidP="0070006F" w14:paraId="1F436D3D" w14:textId="77777777">
      <w:pPr>
        <w:widowControl w:val="0"/>
        <w:spacing w:after="0" w:line="240" w:lineRule="auto"/>
        <w:jc w:val="center"/>
        <w:rPr>
          <w:rFonts w:ascii="Times New Roman" w:hAnsi="Times New Roman" w:cs="Times New Roman"/>
          <w:b/>
          <w:sz w:val="24"/>
          <w:szCs w:val="24"/>
        </w:rPr>
      </w:pPr>
      <w:r w:rsidRPr="00421482">
        <w:rPr>
          <w:rFonts w:ascii="Times New Roman" w:hAnsi="Times New Roman" w:cs="Times New Roman"/>
          <w:b/>
          <w:sz w:val="24"/>
          <w:szCs w:val="24"/>
        </w:rPr>
        <w:t>BY</w:t>
      </w:r>
    </w:p>
    <w:p w:rsidR="0070006F" w:rsidRPr="00421482" w:rsidP="0070006F" w14:paraId="78C2713C" w14:textId="77777777">
      <w:pPr>
        <w:widowControl w:val="0"/>
        <w:spacing w:after="0" w:line="240" w:lineRule="auto"/>
        <w:jc w:val="center"/>
        <w:rPr>
          <w:rFonts w:ascii="Times New Roman" w:hAnsi="Times New Roman" w:cs="Times New Roman"/>
          <w:b/>
          <w:bCs/>
          <w:sz w:val="24"/>
          <w:szCs w:val="24"/>
        </w:rPr>
      </w:pPr>
      <w:r w:rsidRPr="00421482">
        <w:rPr>
          <w:rFonts w:ascii="Times New Roman" w:hAnsi="Times New Roman" w:cs="Times New Roman"/>
          <w:b/>
          <w:sz w:val="24"/>
          <w:szCs w:val="24"/>
        </w:rPr>
        <w:t>THE OFFICE OF THE OHIO CONSUMERS’ COUNSEL</w:t>
      </w:r>
    </w:p>
    <w:p w:rsidR="00152A74" w:rsidRPr="00421482" w:rsidP="00152A74"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391F0E" w:rsidRPr="00421482" w:rsidP="00A438A0" w14:paraId="05816B05" w14:textId="77777777">
      <w:pPr>
        <w:pStyle w:val="Heading1"/>
      </w:pPr>
      <w:bookmarkStart w:id="1" w:name="_Toc534639762"/>
    </w:p>
    <w:bookmarkEnd w:id="1"/>
    <w:p w:rsidR="00C3683C" w:rsidRPr="00421482" w:rsidP="00C3683C" w14:paraId="5C2F9175" w14:textId="4AEC3B86">
      <w:pPr>
        <w:spacing w:after="0" w:line="480" w:lineRule="auto"/>
        <w:ind w:firstLine="720"/>
        <w:rPr>
          <w:rFonts w:ascii="Times New Roman" w:hAnsi="Times New Roman" w:cs="Times New Roman"/>
          <w:sz w:val="24"/>
          <w:szCs w:val="24"/>
        </w:rPr>
      </w:pPr>
      <w:r w:rsidRPr="00421482">
        <w:rPr>
          <w:rFonts w:ascii="Times New Roman" w:hAnsi="Times New Roman" w:cs="Times New Roman"/>
          <w:sz w:val="24"/>
          <w:szCs w:val="24"/>
        </w:rPr>
        <w:t xml:space="preserve">In this rules review case, the rules governing how regulated utilities and their unregulated affiliates operate are at issue.  </w:t>
      </w:r>
      <w:r w:rsidRPr="00421482" w:rsidR="00747035">
        <w:rPr>
          <w:rFonts w:ascii="Times New Roman" w:hAnsi="Times New Roman" w:cs="Times New Roman"/>
          <w:sz w:val="24"/>
          <w:szCs w:val="24"/>
        </w:rPr>
        <w:t>T</w:t>
      </w:r>
      <w:r w:rsidRPr="00421482" w:rsidR="00CF351A">
        <w:rPr>
          <w:rFonts w:ascii="Times New Roman" w:hAnsi="Times New Roman" w:cs="Times New Roman"/>
          <w:sz w:val="24"/>
          <w:szCs w:val="24"/>
        </w:rPr>
        <w:t>he PUCO</w:t>
      </w:r>
      <w:r w:rsidRPr="00421482" w:rsidR="001D2205">
        <w:rPr>
          <w:rFonts w:ascii="Times New Roman" w:hAnsi="Times New Roman" w:cs="Times New Roman"/>
          <w:sz w:val="24"/>
          <w:szCs w:val="24"/>
        </w:rPr>
        <w:t xml:space="preserve"> </w:t>
      </w:r>
      <w:r w:rsidRPr="00421482" w:rsidR="007025EA">
        <w:rPr>
          <w:rFonts w:ascii="Times New Roman" w:hAnsi="Times New Roman" w:cs="Times New Roman"/>
          <w:sz w:val="24"/>
          <w:szCs w:val="24"/>
        </w:rPr>
        <w:t>took action in its</w:t>
      </w:r>
      <w:r w:rsidRPr="00421482" w:rsidR="001D57D5">
        <w:rPr>
          <w:rFonts w:ascii="Times New Roman" w:hAnsi="Times New Roman" w:cs="Times New Roman"/>
          <w:sz w:val="24"/>
          <w:szCs w:val="24"/>
        </w:rPr>
        <w:t xml:space="preserve"> </w:t>
      </w:r>
      <w:r w:rsidRPr="00421482" w:rsidR="00FE7659">
        <w:rPr>
          <w:rFonts w:ascii="Times New Roman" w:hAnsi="Times New Roman" w:cs="Times New Roman"/>
          <w:sz w:val="24"/>
          <w:szCs w:val="24"/>
        </w:rPr>
        <w:t>June 17</w:t>
      </w:r>
      <w:r w:rsidRPr="00421482" w:rsidR="001D57D5">
        <w:rPr>
          <w:rFonts w:ascii="Times New Roman" w:hAnsi="Times New Roman" w:cs="Times New Roman"/>
          <w:sz w:val="24"/>
          <w:szCs w:val="24"/>
        </w:rPr>
        <w:t>, 2020 Finding and Order</w:t>
      </w:r>
      <w:r w:rsidRPr="00421482" w:rsidR="003D3D8D">
        <w:rPr>
          <w:rFonts w:ascii="Times New Roman" w:hAnsi="Times New Roman" w:cs="Times New Roman"/>
          <w:sz w:val="24"/>
          <w:szCs w:val="24"/>
        </w:rPr>
        <w:t xml:space="preserve"> (“Order”)</w:t>
      </w:r>
      <w:r w:rsidRPr="00421482" w:rsidR="001D57D5">
        <w:rPr>
          <w:rFonts w:ascii="Times New Roman" w:hAnsi="Times New Roman" w:cs="Times New Roman"/>
          <w:sz w:val="24"/>
          <w:szCs w:val="24"/>
        </w:rPr>
        <w:t xml:space="preserve"> to protect </w:t>
      </w:r>
      <w:r w:rsidRPr="00421482">
        <w:rPr>
          <w:rFonts w:ascii="Times New Roman" w:hAnsi="Times New Roman" w:cs="Times New Roman"/>
          <w:sz w:val="24"/>
          <w:szCs w:val="24"/>
        </w:rPr>
        <w:t>consumers</w:t>
      </w:r>
      <w:r w:rsidRPr="00421482" w:rsidR="007025EA">
        <w:rPr>
          <w:rFonts w:ascii="Times New Roman" w:hAnsi="Times New Roman" w:cs="Times New Roman"/>
          <w:sz w:val="24"/>
          <w:szCs w:val="24"/>
        </w:rPr>
        <w:t>.</w:t>
      </w:r>
      <w:r w:rsidRPr="00421482" w:rsidR="001D2205">
        <w:rPr>
          <w:rFonts w:ascii="Times New Roman" w:hAnsi="Times New Roman" w:cs="Times New Roman"/>
          <w:sz w:val="24"/>
          <w:szCs w:val="24"/>
        </w:rPr>
        <w:t xml:space="preserve"> </w:t>
      </w:r>
      <w:r w:rsidRPr="00421482" w:rsidR="007025EA">
        <w:rPr>
          <w:rFonts w:ascii="Times New Roman" w:hAnsi="Times New Roman" w:cs="Times New Roman"/>
          <w:sz w:val="24"/>
          <w:szCs w:val="24"/>
        </w:rPr>
        <w:t>Those actions</w:t>
      </w:r>
      <w:r w:rsidRPr="00421482" w:rsidR="001D57D5">
        <w:rPr>
          <w:rFonts w:ascii="Times New Roman" w:hAnsi="Times New Roman" w:cs="Times New Roman"/>
          <w:sz w:val="24"/>
          <w:szCs w:val="24"/>
        </w:rPr>
        <w:t xml:space="preserve"> includ</w:t>
      </w:r>
      <w:r w:rsidRPr="00421482" w:rsidR="007025EA">
        <w:rPr>
          <w:rFonts w:ascii="Times New Roman" w:hAnsi="Times New Roman" w:cs="Times New Roman"/>
          <w:sz w:val="24"/>
          <w:szCs w:val="24"/>
        </w:rPr>
        <w:t>ed</w:t>
      </w:r>
      <w:r w:rsidRPr="00421482" w:rsidR="001D57D5">
        <w:rPr>
          <w:rFonts w:ascii="Times New Roman" w:hAnsi="Times New Roman" w:cs="Times New Roman"/>
          <w:sz w:val="24"/>
          <w:szCs w:val="24"/>
        </w:rPr>
        <w:t xml:space="preserve"> </w:t>
      </w:r>
      <w:r w:rsidRPr="00421482" w:rsidR="00FE7659">
        <w:rPr>
          <w:rFonts w:ascii="Times New Roman" w:hAnsi="Times New Roman" w:cs="Times New Roman"/>
          <w:sz w:val="24"/>
          <w:szCs w:val="24"/>
        </w:rPr>
        <w:t>rejecting utility recommendations to allow them to provide competitive service behind customers’ meters.</w:t>
      </w:r>
      <w:r w:rsidRPr="00421482">
        <w:rPr>
          <w:rFonts w:ascii="Times New Roman" w:hAnsi="Times New Roman" w:cs="Times New Roman"/>
          <w:sz w:val="24"/>
          <w:szCs w:val="24"/>
        </w:rPr>
        <w:t xml:space="preserve">  But the PUCO could have done more to protect consumers. The PUCO should have adopted such OCC Recommendations as to make sure that utilities and their unregulated affiliates operate separately.  That would increase the ability of </w:t>
      </w:r>
      <w:r w:rsidRPr="00421482" w:rsidR="00C90AC7">
        <w:rPr>
          <w:rFonts w:ascii="Times New Roman" w:hAnsi="Times New Roman" w:cs="Times New Roman"/>
          <w:sz w:val="24"/>
          <w:szCs w:val="24"/>
        </w:rPr>
        <w:t xml:space="preserve">unrelated </w:t>
      </w:r>
      <w:r w:rsidRPr="00421482">
        <w:rPr>
          <w:rFonts w:ascii="Times New Roman" w:hAnsi="Times New Roman" w:cs="Times New Roman"/>
          <w:sz w:val="24"/>
          <w:szCs w:val="24"/>
        </w:rPr>
        <w:t>businesses to compete on a level playing field, prevent utilities from taking advantage of their captive customers, thereby benefiting consumers.</w:t>
      </w:r>
    </w:p>
    <w:p w:rsidR="00152A74" w:rsidRPr="00421482" w:rsidP="005A29AE" w14:paraId="50F35F54" w14:textId="1FF414D4">
      <w:pPr>
        <w:spacing w:after="0" w:line="480" w:lineRule="auto"/>
        <w:ind w:firstLine="720"/>
        <w:rPr>
          <w:rFonts w:ascii="Times New Roman" w:hAnsi="Times New Roman" w:cs="Times New Roman"/>
          <w:sz w:val="24"/>
          <w:szCs w:val="24"/>
        </w:rPr>
      </w:pPr>
      <w:r w:rsidRPr="00421482">
        <w:rPr>
          <w:rFonts w:ascii="Times New Roman" w:hAnsi="Times New Roman" w:cs="Times New Roman"/>
          <w:sz w:val="24"/>
          <w:szCs w:val="24"/>
        </w:rPr>
        <w:t xml:space="preserve">The PUCO’s order was unreasonable </w:t>
      </w:r>
      <w:r w:rsidRPr="00421482" w:rsidR="003D3D8D">
        <w:rPr>
          <w:rFonts w:ascii="Times New Roman" w:hAnsi="Times New Roman" w:cs="Times New Roman"/>
          <w:sz w:val="24"/>
          <w:szCs w:val="24"/>
        </w:rPr>
        <w:t xml:space="preserve">and unlawful </w:t>
      </w:r>
      <w:r w:rsidRPr="00421482">
        <w:rPr>
          <w:rFonts w:ascii="Times New Roman" w:hAnsi="Times New Roman" w:cs="Times New Roman"/>
          <w:sz w:val="24"/>
          <w:szCs w:val="24"/>
        </w:rPr>
        <w:t>in the following respect</w:t>
      </w:r>
      <w:r w:rsidRPr="00421482" w:rsidR="009B6232">
        <w:rPr>
          <w:rFonts w:ascii="Times New Roman" w:hAnsi="Times New Roman" w:cs="Times New Roman"/>
          <w:sz w:val="24"/>
          <w:szCs w:val="24"/>
        </w:rPr>
        <w:t>s</w:t>
      </w:r>
      <w:r w:rsidRPr="00421482">
        <w:rPr>
          <w:rFonts w:ascii="Times New Roman" w:hAnsi="Times New Roman" w:cs="Times New Roman"/>
          <w:sz w:val="24"/>
          <w:szCs w:val="24"/>
        </w:rPr>
        <w:t>:</w:t>
      </w:r>
      <w:r w:rsidRPr="00421482" w:rsidR="00BB12AA">
        <w:rPr>
          <w:rFonts w:ascii="Times New Roman" w:hAnsi="Times New Roman" w:cs="Times New Roman"/>
          <w:sz w:val="24"/>
          <w:szCs w:val="24"/>
        </w:rPr>
        <w:t xml:space="preserve"> </w:t>
      </w:r>
    </w:p>
    <w:p w:rsidR="00025308" w:rsidRPr="00421482" w:rsidP="00BB12AA" w14:paraId="533944F2" w14:textId="0BD82A96">
      <w:pPr>
        <w:widowControl w:val="0"/>
        <w:ind w:left="720"/>
        <w:rPr>
          <w:rFonts w:ascii="Times New Roman" w:hAnsi="Times New Roman" w:cs="Times New Roman"/>
          <w:sz w:val="24"/>
          <w:szCs w:val="24"/>
        </w:rPr>
        <w:sectPr w:rsidSect="00913398">
          <w:footerReference w:type="default" r:id="rId6"/>
          <w:pgSz w:w="12240" w:h="15840"/>
          <w:pgMar w:top="1440" w:right="1800" w:bottom="1440" w:left="1800" w:header="720" w:footer="720" w:gutter="0"/>
          <w:pgNumType w:start="2"/>
          <w:cols w:space="720"/>
          <w:docGrid w:linePitch="360"/>
        </w:sectPr>
      </w:pPr>
      <w:r w:rsidRPr="00421482">
        <w:rPr>
          <w:rFonts w:ascii="Times New Roman" w:hAnsi="Times New Roman" w:cs="Times New Roman"/>
          <w:sz w:val="24"/>
          <w:szCs w:val="24"/>
        </w:rPr>
        <w:t xml:space="preserve">ASSIGNMENT OF ERROR NO. </w:t>
      </w:r>
      <w:r w:rsidRPr="00421482" w:rsidR="007025EA">
        <w:rPr>
          <w:rFonts w:ascii="Times New Roman" w:hAnsi="Times New Roman" w:cs="Times New Roman"/>
          <w:sz w:val="24"/>
          <w:szCs w:val="24"/>
        </w:rPr>
        <w:t>1</w:t>
      </w:r>
      <w:r w:rsidRPr="00421482">
        <w:rPr>
          <w:rFonts w:ascii="Times New Roman" w:hAnsi="Times New Roman" w:cs="Times New Roman"/>
          <w:sz w:val="24"/>
          <w:szCs w:val="24"/>
        </w:rPr>
        <w:t>:</w:t>
      </w:r>
      <w:r w:rsidRPr="00421482" w:rsidR="00BB12AA">
        <w:rPr>
          <w:rFonts w:ascii="Times New Roman" w:hAnsi="Times New Roman" w:cs="Times New Roman"/>
          <w:sz w:val="24"/>
          <w:szCs w:val="24"/>
        </w:rPr>
        <w:t xml:space="preserve"> </w:t>
      </w:r>
      <w:r w:rsidRPr="00421482">
        <w:rPr>
          <w:rFonts w:ascii="Times New Roman" w:hAnsi="Times New Roman" w:cs="Times New Roman"/>
          <w:sz w:val="24"/>
          <w:szCs w:val="24"/>
        </w:rPr>
        <w:t xml:space="preserve">The PUCO </w:t>
      </w:r>
      <w:r w:rsidRPr="00421482" w:rsidR="00C3683C">
        <w:rPr>
          <w:rFonts w:ascii="Times New Roman" w:hAnsi="Times New Roman" w:cs="Times New Roman"/>
          <w:sz w:val="24"/>
          <w:szCs w:val="24"/>
        </w:rPr>
        <w:t>Order</w:t>
      </w:r>
      <w:r w:rsidRPr="00421482" w:rsidR="00D509B0">
        <w:rPr>
          <w:rFonts w:ascii="Times New Roman" w:hAnsi="Times New Roman" w:cs="Times New Roman"/>
          <w:sz w:val="24"/>
          <w:szCs w:val="24"/>
        </w:rPr>
        <w:t xml:space="preserve"> </w:t>
      </w:r>
      <w:r w:rsidR="00164759">
        <w:rPr>
          <w:rFonts w:ascii="Times New Roman" w:hAnsi="Times New Roman" w:cs="Times New Roman"/>
          <w:sz w:val="24"/>
          <w:szCs w:val="24"/>
        </w:rPr>
        <w:t>was</w:t>
      </w:r>
      <w:r w:rsidRPr="00421482" w:rsidR="00D509B0">
        <w:rPr>
          <w:rFonts w:ascii="Times New Roman" w:hAnsi="Times New Roman" w:cs="Times New Roman"/>
          <w:sz w:val="24"/>
          <w:szCs w:val="24"/>
        </w:rPr>
        <w:t xml:space="preserve"> unlawful as contrary to Ohio Supreme Court precedent and</w:t>
      </w:r>
      <w:r w:rsidRPr="00421482" w:rsidR="00C3683C">
        <w:rPr>
          <w:rFonts w:ascii="Times New Roman" w:hAnsi="Times New Roman" w:cs="Times New Roman"/>
          <w:sz w:val="24"/>
          <w:szCs w:val="24"/>
        </w:rPr>
        <w:t xml:space="preserve"> unreasonable because it failed</w:t>
      </w:r>
      <w:r w:rsidRPr="00421482">
        <w:rPr>
          <w:rFonts w:ascii="Times New Roman" w:hAnsi="Times New Roman" w:cs="Times New Roman"/>
          <w:sz w:val="24"/>
          <w:szCs w:val="24"/>
        </w:rPr>
        <w:t xml:space="preserve"> to require </w:t>
      </w:r>
      <w:r w:rsidRPr="00421482" w:rsidR="008C5C2D">
        <w:rPr>
          <w:rFonts w:ascii="Times New Roman" w:hAnsi="Times New Roman" w:cs="Times New Roman"/>
          <w:sz w:val="24"/>
          <w:szCs w:val="24"/>
        </w:rPr>
        <w:t>utilities’ unregulated affiliates to operate as structurally separate entities funded by shareholders</w:t>
      </w:r>
      <w:r w:rsidRPr="00421482" w:rsidR="00C90AC7">
        <w:rPr>
          <w:rFonts w:ascii="Times New Roman" w:hAnsi="Times New Roman" w:cs="Times New Roman"/>
          <w:sz w:val="24"/>
          <w:szCs w:val="24"/>
        </w:rPr>
        <w:t>, not consumers</w:t>
      </w:r>
      <w:r w:rsidRPr="00421482" w:rsidR="00E61B18">
        <w:rPr>
          <w:rFonts w:ascii="Times New Roman" w:hAnsi="Times New Roman" w:cs="Times New Roman"/>
          <w:sz w:val="24"/>
          <w:szCs w:val="24"/>
        </w:rPr>
        <w:t>.</w:t>
      </w:r>
    </w:p>
    <w:p w:rsidR="004E1FEB" w:rsidRPr="00421482" w:rsidP="00BB12AA" w14:paraId="6D877B6C" w14:textId="3491C16D">
      <w:pPr>
        <w:widowControl w:val="0"/>
        <w:ind w:left="720"/>
        <w:rPr>
          <w:rFonts w:ascii="Times New Roman" w:hAnsi="Times New Roman" w:cs="Times New Roman"/>
          <w:sz w:val="24"/>
          <w:szCs w:val="24"/>
        </w:rPr>
      </w:pPr>
      <w:r w:rsidRPr="00421482">
        <w:rPr>
          <w:rFonts w:ascii="Times New Roman" w:hAnsi="Times New Roman" w:cs="Times New Roman"/>
          <w:sz w:val="24"/>
          <w:szCs w:val="24"/>
        </w:rPr>
        <w:t>ASSIGNME</w:t>
      </w:r>
      <w:r w:rsidRPr="00421482" w:rsidR="005B2D08">
        <w:rPr>
          <w:rFonts w:ascii="Times New Roman" w:hAnsi="Times New Roman" w:cs="Times New Roman"/>
          <w:sz w:val="24"/>
          <w:szCs w:val="24"/>
        </w:rPr>
        <w:t>N</w:t>
      </w:r>
      <w:r w:rsidRPr="00421482">
        <w:rPr>
          <w:rFonts w:ascii="Times New Roman" w:hAnsi="Times New Roman" w:cs="Times New Roman"/>
          <w:sz w:val="24"/>
          <w:szCs w:val="24"/>
        </w:rPr>
        <w:t>T OF ERROR NO. 2: Given that the PUCO did not require utilities’ unregulated affiliates to operate as structurally separate entities funded by shareholders, the PUCO</w:t>
      </w:r>
      <w:r w:rsidRPr="00421482" w:rsidR="00C3683C">
        <w:rPr>
          <w:rFonts w:ascii="Times New Roman" w:hAnsi="Times New Roman" w:cs="Times New Roman"/>
          <w:sz w:val="24"/>
          <w:szCs w:val="24"/>
        </w:rPr>
        <w:t xml:space="preserve">’s Order was </w:t>
      </w:r>
      <w:r w:rsidRPr="00421482" w:rsidR="008A2A2E">
        <w:rPr>
          <w:rFonts w:ascii="Times New Roman" w:hAnsi="Times New Roman" w:cs="Times New Roman"/>
          <w:sz w:val="24"/>
          <w:szCs w:val="24"/>
        </w:rPr>
        <w:t xml:space="preserve">unlawful as contrary to Ohio Supreme Court precedent and </w:t>
      </w:r>
      <w:r w:rsidRPr="00421482" w:rsidR="00C3683C">
        <w:rPr>
          <w:rFonts w:ascii="Times New Roman" w:hAnsi="Times New Roman" w:cs="Times New Roman"/>
          <w:sz w:val="24"/>
          <w:szCs w:val="24"/>
        </w:rPr>
        <w:t xml:space="preserve">unreasonable because </w:t>
      </w:r>
      <w:r w:rsidRPr="00421482" w:rsidR="00714ED0">
        <w:rPr>
          <w:rFonts w:ascii="Times New Roman" w:hAnsi="Times New Roman" w:cs="Times New Roman"/>
          <w:sz w:val="24"/>
          <w:szCs w:val="24"/>
        </w:rPr>
        <w:t>it failed</w:t>
      </w:r>
      <w:r w:rsidRPr="00421482">
        <w:rPr>
          <w:rFonts w:ascii="Times New Roman" w:hAnsi="Times New Roman" w:cs="Times New Roman"/>
          <w:sz w:val="24"/>
          <w:szCs w:val="24"/>
        </w:rPr>
        <w:t xml:space="preserve"> to adopt OCC’s alternative recommendation to </w:t>
      </w:r>
      <w:r w:rsidRPr="00421482" w:rsidR="008C5C2D">
        <w:rPr>
          <w:rFonts w:ascii="Times New Roman" w:hAnsi="Times New Roman" w:cs="Times New Roman"/>
          <w:sz w:val="24"/>
          <w:szCs w:val="24"/>
        </w:rPr>
        <w:t>add to the definitions section of O.A.C. 4901:1-37 OCC’s recommended definition of “unregulated service</w:t>
      </w:r>
      <w:r w:rsidRPr="00421482" w:rsidR="001D2205">
        <w:rPr>
          <w:rFonts w:ascii="Times New Roman" w:hAnsi="Times New Roman" w:cs="Times New Roman"/>
          <w:sz w:val="24"/>
          <w:szCs w:val="24"/>
        </w:rPr>
        <w:t>.</w:t>
      </w:r>
      <w:r w:rsidRPr="00421482" w:rsidR="008C5C2D">
        <w:rPr>
          <w:rFonts w:ascii="Times New Roman" w:hAnsi="Times New Roman" w:cs="Times New Roman"/>
          <w:sz w:val="24"/>
          <w:szCs w:val="24"/>
        </w:rPr>
        <w:t>”</w:t>
      </w:r>
    </w:p>
    <w:p w:rsidR="00E61B18" w:rsidRPr="00421482" w:rsidP="00A438A0" w14:paraId="5ABCD84F" w14:textId="139B3088">
      <w:pPr>
        <w:ind w:left="720"/>
        <w:rPr>
          <w:rFonts w:ascii="Times New Roman" w:hAnsi="Times New Roman" w:cs="Times New Roman"/>
          <w:sz w:val="24"/>
          <w:szCs w:val="24"/>
        </w:rPr>
      </w:pPr>
      <w:r w:rsidRPr="00421482">
        <w:rPr>
          <w:rFonts w:ascii="Times New Roman" w:hAnsi="Times New Roman" w:cs="Times New Roman"/>
          <w:sz w:val="24"/>
          <w:szCs w:val="24"/>
        </w:rPr>
        <w:t xml:space="preserve">ASSIGNMENT OF ERROR NO. </w:t>
      </w:r>
      <w:r w:rsidRPr="00421482">
        <w:rPr>
          <w:rFonts w:ascii="Times New Roman" w:hAnsi="Times New Roman" w:cs="Times New Roman"/>
          <w:sz w:val="24"/>
          <w:szCs w:val="24"/>
        </w:rPr>
        <w:t>3</w:t>
      </w:r>
      <w:r w:rsidRPr="00421482">
        <w:rPr>
          <w:rFonts w:ascii="Times New Roman" w:hAnsi="Times New Roman" w:cs="Times New Roman"/>
          <w:sz w:val="24"/>
          <w:szCs w:val="24"/>
        </w:rPr>
        <w:t>:</w:t>
      </w:r>
      <w:r w:rsidRPr="00421482" w:rsidR="00BB12AA">
        <w:rPr>
          <w:rFonts w:ascii="Times New Roman" w:hAnsi="Times New Roman" w:cs="Times New Roman"/>
          <w:sz w:val="24"/>
          <w:szCs w:val="24"/>
        </w:rPr>
        <w:t xml:space="preserve"> </w:t>
      </w:r>
      <w:r w:rsidRPr="00421482">
        <w:rPr>
          <w:rFonts w:ascii="Times New Roman" w:hAnsi="Times New Roman" w:cs="Times New Roman"/>
          <w:sz w:val="24"/>
          <w:szCs w:val="24"/>
        </w:rPr>
        <w:t>The PUCO</w:t>
      </w:r>
      <w:r w:rsidRPr="00421482" w:rsidR="00C3683C">
        <w:rPr>
          <w:rFonts w:ascii="Times New Roman" w:hAnsi="Times New Roman" w:cs="Times New Roman"/>
          <w:sz w:val="24"/>
          <w:szCs w:val="24"/>
        </w:rPr>
        <w:t xml:space="preserve">’s Order was </w:t>
      </w:r>
      <w:r w:rsidRPr="00421482" w:rsidR="00817AF9">
        <w:rPr>
          <w:rFonts w:ascii="Times New Roman" w:hAnsi="Times New Roman" w:cs="Times New Roman"/>
          <w:sz w:val="24"/>
          <w:szCs w:val="24"/>
        </w:rPr>
        <w:t xml:space="preserve">unlawful under R.C. 4903.09 and </w:t>
      </w:r>
      <w:r w:rsidRPr="00421482" w:rsidR="00C3683C">
        <w:rPr>
          <w:rFonts w:ascii="Times New Roman" w:hAnsi="Times New Roman" w:cs="Times New Roman"/>
          <w:sz w:val="24"/>
          <w:szCs w:val="24"/>
        </w:rPr>
        <w:t xml:space="preserve">unreasonable because </w:t>
      </w:r>
      <w:r w:rsidRPr="00421482" w:rsidR="00714ED0">
        <w:rPr>
          <w:rFonts w:ascii="Times New Roman" w:hAnsi="Times New Roman" w:cs="Times New Roman"/>
          <w:sz w:val="24"/>
          <w:szCs w:val="24"/>
        </w:rPr>
        <w:t>it failed</w:t>
      </w:r>
      <w:r w:rsidRPr="00421482">
        <w:rPr>
          <w:rFonts w:ascii="Times New Roman" w:hAnsi="Times New Roman" w:cs="Times New Roman"/>
          <w:sz w:val="24"/>
          <w:szCs w:val="24"/>
        </w:rPr>
        <w:t xml:space="preserve"> </w:t>
      </w:r>
      <w:r w:rsidRPr="00421482" w:rsidR="008C5C2D">
        <w:rPr>
          <w:rFonts w:ascii="Times New Roman" w:hAnsi="Times New Roman" w:cs="Times New Roman"/>
          <w:sz w:val="24"/>
          <w:szCs w:val="24"/>
        </w:rPr>
        <w:t>to add to O.A.C. 4901:1-37 provisions requiring that unregulated services be accounted for on affiliate</w:t>
      </w:r>
      <w:r w:rsidRPr="00421482">
        <w:rPr>
          <w:rFonts w:ascii="Times New Roman" w:hAnsi="Times New Roman" w:cs="Times New Roman"/>
          <w:sz w:val="24"/>
          <w:szCs w:val="24"/>
        </w:rPr>
        <w:t>s’</w:t>
      </w:r>
      <w:r w:rsidRPr="00421482" w:rsidR="008C5C2D">
        <w:rPr>
          <w:rFonts w:ascii="Times New Roman" w:hAnsi="Times New Roman" w:cs="Times New Roman"/>
          <w:sz w:val="24"/>
          <w:szCs w:val="24"/>
        </w:rPr>
        <w:t xml:space="preserve"> books at fully allocated costs</w:t>
      </w:r>
      <w:r w:rsidRPr="00421482">
        <w:rPr>
          <w:rFonts w:ascii="Times New Roman" w:hAnsi="Times New Roman" w:cs="Times New Roman"/>
          <w:sz w:val="24"/>
          <w:szCs w:val="24"/>
        </w:rPr>
        <w:t>.</w:t>
      </w:r>
    </w:p>
    <w:p w:rsidR="004E1FEB" w:rsidRPr="00421482" w:rsidP="00A438A0" w14:paraId="1236D394" w14:textId="2FE219AC">
      <w:pPr>
        <w:ind w:left="720"/>
        <w:rPr>
          <w:rFonts w:ascii="Times New Roman" w:hAnsi="Times New Roman" w:cs="Times New Roman"/>
          <w:sz w:val="24"/>
          <w:szCs w:val="24"/>
        </w:rPr>
      </w:pPr>
      <w:r w:rsidRPr="00421482">
        <w:rPr>
          <w:rFonts w:ascii="Times New Roman" w:hAnsi="Times New Roman" w:cs="Times New Roman"/>
          <w:sz w:val="24"/>
          <w:szCs w:val="24"/>
        </w:rPr>
        <w:t xml:space="preserve">ASSIGNMENT OF ERROR NO. 4: </w:t>
      </w:r>
      <w:r w:rsidRPr="00421482" w:rsidR="00A51C21">
        <w:rPr>
          <w:rFonts w:ascii="Times New Roman" w:hAnsi="Times New Roman" w:cs="Times New Roman"/>
          <w:sz w:val="24"/>
          <w:szCs w:val="24"/>
        </w:rPr>
        <w:t>The PUCO</w:t>
      </w:r>
      <w:r w:rsidRPr="00421482" w:rsidR="007542ED">
        <w:rPr>
          <w:rFonts w:ascii="Times New Roman" w:hAnsi="Times New Roman" w:cs="Times New Roman"/>
          <w:sz w:val="24"/>
          <w:szCs w:val="24"/>
        </w:rPr>
        <w:t xml:space="preserve">’s Order was </w:t>
      </w:r>
      <w:r w:rsidRPr="00421482" w:rsidR="00817AF9">
        <w:rPr>
          <w:rFonts w:ascii="Times New Roman" w:hAnsi="Times New Roman" w:cs="Times New Roman"/>
          <w:sz w:val="24"/>
          <w:szCs w:val="24"/>
        </w:rPr>
        <w:t>unlawful under R.C</w:t>
      </w:r>
      <w:r w:rsidR="00164759">
        <w:rPr>
          <w:rFonts w:ascii="Times New Roman" w:hAnsi="Times New Roman" w:cs="Times New Roman"/>
          <w:sz w:val="24"/>
          <w:szCs w:val="24"/>
        </w:rPr>
        <w:t>.</w:t>
      </w:r>
      <w:r w:rsidRPr="00421482" w:rsidR="00817AF9">
        <w:rPr>
          <w:rFonts w:ascii="Times New Roman" w:hAnsi="Times New Roman" w:cs="Times New Roman"/>
          <w:sz w:val="24"/>
          <w:szCs w:val="24"/>
        </w:rPr>
        <w:t xml:space="preserve"> 4903.09 </w:t>
      </w:r>
      <w:r w:rsidR="00164759">
        <w:rPr>
          <w:rFonts w:ascii="Times New Roman" w:hAnsi="Times New Roman" w:cs="Times New Roman"/>
          <w:sz w:val="24"/>
          <w:szCs w:val="24"/>
        </w:rPr>
        <w:t>and u</w:t>
      </w:r>
      <w:r w:rsidRPr="00421482" w:rsidR="007542ED">
        <w:rPr>
          <w:rFonts w:ascii="Times New Roman" w:hAnsi="Times New Roman" w:cs="Times New Roman"/>
          <w:sz w:val="24"/>
          <w:szCs w:val="24"/>
        </w:rPr>
        <w:t>nreasonable because it failed</w:t>
      </w:r>
      <w:r w:rsidRPr="00421482" w:rsidR="00A51C21">
        <w:rPr>
          <w:rFonts w:ascii="Times New Roman" w:hAnsi="Times New Roman" w:cs="Times New Roman"/>
          <w:sz w:val="24"/>
          <w:szCs w:val="24"/>
        </w:rPr>
        <w:t xml:space="preserve"> to add to O.A.C. 4901:1-37</w:t>
      </w:r>
      <w:r w:rsidRPr="00421482" w:rsidR="008C5C2D">
        <w:rPr>
          <w:rFonts w:ascii="Times New Roman" w:hAnsi="Times New Roman" w:cs="Times New Roman"/>
          <w:sz w:val="24"/>
          <w:szCs w:val="24"/>
        </w:rPr>
        <w:t xml:space="preserve"> a provision that requires regulated</w:t>
      </w:r>
      <w:r w:rsidRPr="00421482">
        <w:rPr>
          <w:rFonts w:ascii="Times New Roman" w:hAnsi="Times New Roman" w:cs="Times New Roman"/>
          <w:sz w:val="24"/>
          <w:szCs w:val="24"/>
        </w:rPr>
        <w:t xml:space="preserve"> </w:t>
      </w:r>
      <w:r w:rsidRPr="00421482" w:rsidR="008C5C2D">
        <w:rPr>
          <w:rFonts w:ascii="Times New Roman" w:hAnsi="Times New Roman" w:cs="Times New Roman"/>
          <w:sz w:val="24"/>
          <w:szCs w:val="24"/>
        </w:rPr>
        <w:t xml:space="preserve">utilities’ affiliates to purchase from the identical electric utility tariff as their competitors do when providing unregulated services.  </w:t>
      </w:r>
    </w:p>
    <w:p w:rsidR="00CD5F29" w:rsidP="00A438A0" w14:paraId="35A52291" w14:textId="77777777">
      <w:pPr>
        <w:spacing w:after="0" w:line="240" w:lineRule="auto"/>
        <w:ind w:left="3600" w:firstLine="720"/>
        <w:rPr>
          <w:rFonts w:ascii="Times New Roman" w:hAnsi="Times New Roman" w:cs="Times New Roman"/>
          <w:sz w:val="24"/>
          <w:szCs w:val="24"/>
        </w:rPr>
      </w:pPr>
    </w:p>
    <w:p w:rsidR="00A438A0" w:rsidRPr="00421482" w:rsidP="00A438A0" w14:paraId="26271989" w14:textId="0C22FF34">
      <w:pPr>
        <w:spacing w:after="0" w:line="240" w:lineRule="auto"/>
        <w:ind w:left="3600" w:firstLine="720"/>
        <w:rPr>
          <w:rFonts w:ascii="Times New Roman" w:hAnsi="Times New Roman" w:cs="Times New Roman"/>
          <w:sz w:val="24"/>
          <w:szCs w:val="24"/>
        </w:rPr>
      </w:pPr>
      <w:r w:rsidRPr="00421482">
        <w:rPr>
          <w:rFonts w:ascii="Times New Roman" w:hAnsi="Times New Roman" w:cs="Times New Roman"/>
          <w:sz w:val="24"/>
          <w:szCs w:val="24"/>
        </w:rPr>
        <w:t>Respectfully submitted,</w:t>
      </w:r>
    </w:p>
    <w:p w:rsidR="00A438A0" w:rsidRPr="00421482" w:rsidP="00A438A0" w14:paraId="155DF395" w14:textId="77777777">
      <w:pPr>
        <w:spacing w:after="0" w:line="240" w:lineRule="auto"/>
        <w:ind w:left="3600" w:firstLine="720"/>
        <w:rPr>
          <w:rFonts w:ascii="Times New Roman" w:hAnsi="Times New Roman" w:cs="Times New Roman"/>
          <w:sz w:val="24"/>
          <w:szCs w:val="24"/>
        </w:rPr>
      </w:pPr>
    </w:p>
    <w:p w:rsidR="00A438A0" w:rsidRPr="00421482" w:rsidP="00A438A0" w14:paraId="450B50EB" w14:textId="77777777">
      <w:pPr>
        <w:spacing w:after="0" w:line="240" w:lineRule="auto"/>
        <w:ind w:left="3600" w:firstLine="720"/>
        <w:rPr>
          <w:rFonts w:ascii="Times New Roman" w:hAnsi="Times New Roman" w:cs="Times New Roman"/>
          <w:sz w:val="24"/>
          <w:szCs w:val="24"/>
        </w:rPr>
      </w:pPr>
      <w:r w:rsidRPr="00421482">
        <w:rPr>
          <w:rFonts w:ascii="Times New Roman" w:hAnsi="Times New Roman" w:cs="Times New Roman"/>
          <w:sz w:val="24"/>
          <w:szCs w:val="24"/>
        </w:rPr>
        <w:t>Bruce Weston (0016973)</w:t>
      </w:r>
    </w:p>
    <w:p w:rsidR="00A438A0" w:rsidRPr="00421482" w:rsidP="00A438A0" w14:paraId="5E2C3165" w14:textId="77777777">
      <w:pPr>
        <w:tabs>
          <w:tab w:val="left" w:pos="4320"/>
        </w:tabs>
        <w:spacing w:after="0" w:line="240" w:lineRule="auto"/>
        <w:rPr>
          <w:rFonts w:ascii="Times New Roman" w:hAnsi="Times New Roman" w:cs="Times New Roman"/>
          <w:sz w:val="24"/>
          <w:szCs w:val="24"/>
        </w:rPr>
      </w:pPr>
      <w:r w:rsidRPr="00421482">
        <w:rPr>
          <w:rFonts w:ascii="Times New Roman" w:hAnsi="Times New Roman" w:cs="Times New Roman"/>
          <w:sz w:val="24"/>
          <w:szCs w:val="24"/>
        </w:rPr>
        <w:tab/>
        <w:t xml:space="preserve">Ohio Consumers’ Counsel </w:t>
      </w:r>
    </w:p>
    <w:p w:rsidR="00A438A0" w:rsidRPr="00421482" w:rsidP="00A438A0" w14:paraId="606FCA5A" w14:textId="77777777">
      <w:pPr>
        <w:tabs>
          <w:tab w:val="left" w:pos="4320"/>
        </w:tabs>
        <w:spacing w:after="0" w:line="240" w:lineRule="auto"/>
        <w:rPr>
          <w:rFonts w:ascii="Times New Roman" w:hAnsi="Times New Roman" w:cs="Times New Roman"/>
          <w:sz w:val="24"/>
          <w:szCs w:val="24"/>
        </w:rPr>
      </w:pPr>
    </w:p>
    <w:p w:rsidR="00A438A0" w:rsidRPr="00421482" w:rsidP="00A438A0" w14:paraId="3BB2D6A8" w14:textId="77777777">
      <w:pPr>
        <w:tabs>
          <w:tab w:val="left" w:pos="4320"/>
        </w:tabs>
        <w:spacing w:after="0" w:line="240" w:lineRule="auto"/>
        <w:ind w:left="4320"/>
        <w:rPr>
          <w:rFonts w:ascii="Times New Roman" w:hAnsi="Times New Roman" w:cs="Times New Roman"/>
          <w:i/>
          <w:iCs/>
          <w:sz w:val="24"/>
          <w:szCs w:val="24"/>
          <w:u w:val="single"/>
        </w:rPr>
      </w:pPr>
      <w:r w:rsidRPr="00421482">
        <w:rPr>
          <w:rFonts w:ascii="Times New Roman" w:hAnsi="Times New Roman" w:cs="Times New Roman"/>
          <w:i/>
          <w:iCs/>
          <w:sz w:val="24"/>
          <w:szCs w:val="24"/>
          <w:u w:val="single"/>
        </w:rPr>
        <w:t>/s/ William J. Michael</w:t>
      </w:r>
    </w:p>
    <w:p w:rsidR="00A438A0" w:rsidRPr="00421482" w:rsidP="00A438A0" w14:paraId="56E1BD74" w14:textId="77777777">
      <w:pPr>
        <w:tabs>
          <w:tab w:val="left" w:pos="4320"/>
        </w:tabs>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William J. Michael, (0070921)</w:t>
      </w:r>
    </w:p>
    <w:p w:rsidR="00A438A0" w:rsidRPr="00421482" w:rsidP="00A438A0" w14:paraId="2D2DDD7D" w14:textId="77777777">
      <w:pPr>
        <w:tabs>
          <w:tab w:val="left" w:pos="4320"/>
        </w:tabs>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Counsel of Record</w:t>
      </w:r>
    </w:p>
    <w:p w:rsidR="00A438A0" w:rsidRPr="00421482" w:rsidP="00A438A0" w14:paraId="5396CFCA" w14:textId="77777777">
      <w:pPr>
        <w:tabs>
          <w:tab w:val="left" w:pos="4320"/>
        </w:tabs>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Assistant Consumers’ Counsel</w:t>
      </w:r>
    </w:p>
    <w:p w:rsidR="00A438A0" w:rsidRPr="00421482" w:rsidP="00A438A0" w14:paraId="5BAE47E1" w14:textId="77777777">
      <w:pPr>
        <w:tabs>
          <w:tab w:val="left" w:pos="4320"/>
        </w:tabs>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ab/>
      </w:r>
    </w:p>
    <w:p w:rsidR="00A438A0" w:rsidRPr="00421482" w:rsidP="00A438A0" w14:paraId="4808783A" w14:textId="77777777">
      <w:pPr>
        <w:spacing w:after="0" w:line="240" w:lineRule="auto"/>
        <w:ind w:left="4320"/>
        <w:rPr>
          <w:rFonts w:ascii="Times New Roman" w:hAnsi="Times New Roman" w:cs="Times New Roman"/>
          <w:b/>
          <w:sz w:val="24"/>
          <w:szCs w:val="24"/>
        </w:rPr>
      </w:pPr>
      <w:r w:rsidRPr="00421482">
        <w:rPr>
          <w:rFonts w:ascii="Times New Roman" w:hAnsi="Times New Roman" w:cs="Times New Roman"/>
          <w:b/>
          <w:sz w:val="24"/>
          <w:szCs w:val="24"/>
        </w:rPr>
        <w:t>Office of the Ohio Consumers’ Counsel</w:t>
      </w:r>
    </w:p>
    <w:p w:rsidR="00A438A0" w:rsidRPr="00421482" w:rsidP="00A438A0" w14:paraId="07F91BB8" w14:textId="77777777">
      <w:pPr>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65 East State Street, 7</w:t>
      </w:r>
      <w:r w:rsidRPr="00421482">
        <w:rPr>
          <w:rFonts w:ascii="Times New Roman" w:hAnsi="Times New Roman" w:cs="Times New Roman"/>
          <w:sz w:val="24"/>
          <w:szCs w:val="24"/>
          <w:vertAlign w:val="superscript"/>
        </w:rPr>
        <w:t>th</w:t>
      </w:r>
      <w:r w:rsidRPr="00421482">
        <w:rPr>
          <w:rFonts w:ascii="Times New Roman" w:hAnsi="Times New Roman" w:cs="Times New Roman"/>
          <w:sz w:val="24"/>
          <w:szCs w:val="24"/>
        </w:rPr>
        <w:t xml:space="preserve"> Floor</w:t>
      </w:r>
    </w:p>
    <w:p w:rsidR="00A438A0" w:rsidRPr="00421482" w:rsidP="00A438A0" w14:paraId="7AA922BA" w14:textId="77777777">
      <w:pPr>
        <w:spacing w:after="0" w:line="240" w:lineRule="auto"/>
        <w:ind w:left="4320"/>
        <w:rPr>
          <w:rFonts w:ascii="Times New Roman" w:hAnsi="Times New Roman" w:cs="Times New Roman"/>
          <w:b/>
          <w:sz w:val="24"/>
          <w:szCs w:val="24"/>
        </w:rPr>
      </w:pPr>
      <w:r w:rsidRPr="00421482">
        <w:rPr>
          <w:rFonts w:ascii="Times New Roman" w:hAnsi="Times New Roman" w:cs="Times New Roman"/>
          <w:sz w:val="24"/>
          <w:szCs w:val="24"/>
        </w:rPr>
        <w:t>Columbus, Ohio 43215</w:t>
      </w:r>
    </w:p>
    <w:p w:rsidR="00A438A0" w:rsidRPr="00421482" w:rsidP="00A438A0" w14:paraId="45A64550" w14:textId="77777777">
      <w:pPr>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Telephone: [Michael] (614) 466-1291</w:t>
      </w:r>
    </w:p>
    <w:p w:rsidR="00A438A0" w:rsidRPr="00421482" w:rsidP="00A438A0" w14:paraId="16BDDEC3" w14:textId="77777777">
      <w:pPr>
        <w:spacing w:after="0" w:line="240" w:lineRule="auto"/>
        <w:ind w:left="4320"/>
        <w:rPr>
          <w:rFonts w:ascii="Times New Roman" w:hAnsi="Times New Roman" w:cs="Times New Roman"/>
          <w:color w:val="0000FF" w:themeColor="hyperlink"/>
          <w:sz w:val="24"/>
          <w:szCs w:val="24"/>
          <w:u w:val="single"/>
        </w:rPr>
      </w:pPr>
      <w:hyperlink r:id="rId7" w:history="1">
        <w:r w:rsidRPr="00421482">
          <w:rPr>
            <w:rStyle w:val="Hyperlink"/>
            <w:rFonts w:ascii="Times New Roman" w:hAnsi="Times New Roman" w:cs="Times New Roman"/>
            <w:sz w:val="24"/>
            <w:szCs w:val="24"/>
          </w:rPr>
          <w:t>william.michael@occ.ohio.gov</w:t>
        </w:r>
      </w:hyperlink>
    </w:p>
    <w:p w:rsidR="00A438A0" w:rsidRPr="00421482" w:rsidP="00A438A0" w14:paraId="2C504F5E" w14:textId="77777777">
      <w:pPr>
        <w:spacing w:after="0" w:line="240" w:lineRule="auto"/>
        <w:rPr>
          <w:rFonts w:ascii="Times New Roman" w:hAnsi="Times New Roman" w:cs="Times New Roman"/>
          <w:sz w:val="24"/>
          <w:szCs w:val="24"/>
        </w:rPr>
      </w:pP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sz w:val="24"/>
          <w:szCs w:val="24"/>
        </w:rPr>
        <w:t>(Willing to accept service by e-mail)</w:t>
      </w:r>
    </w:p>
    <w:p w:rsidR="00064EF0" w:rsidRPr="00421482" w:rsidP="00A438A0" w14:paraId="70F87D6D" w14:textId="77777777">
      <w:pPr>
        <w:spacing w:after="0" w:line="240" w:lineRule="auto"/>
        <w:rPr>
          <w:rFonts w:ascii="Times New Roman" w:hAnsi="Times New Roman" w:cs="Times New Roman"/>
          <w:sz w:val="24"/>
          <w:szCs w:val="24"/>
        </w:rPr>
      </w:pPr>
    </w:p>
    <w:p w:rsidR="00064EF0" w:rsidRPr="00421482" w:rsidP="00A438A0" w14:paraId="35D53E43" w14:textId="77777777">
      <w:pPr>
        <w:spacing w:after="0" w:line="240" w:lineRule="auto"/>
        <w:rPr>
          <w:rFonts w:ascii="Times New Roman" w:hAnsi="Times New Roman" w:cs="Times New Roman"/>
          <w:sz w:val="24"/>
          <w:szCs w:val="24"/>
        </w:rPr>
      </w:pPr>
    </w:p>
    <w:p w:rsidR="00064EF0" w:rsidRPr="00421482" w:rsidP="00A438A0" w14:paraId="4A0EFF4F" w14:textId="77777777">
      <w:pPr>
        <w:spacing w:after="0" w:line="240" w:lineRule="auto"/>
        <w:rPr>
          <w:rFonts w:ascii="Times New Roman" w:hAnsi="Times New Roman" w:cs="Times New Roman"/>
          <w:sz w:val="24"/>
          <w:szCs w:val="24"/>
        </w:rPr>
      </w:pPr>
    </w:p>
    <w:p w:rsidR="00064EF0" w:rsidRPr="00421482" w:rsidP="00A438A0" w14:paraId="105544F5" w14:textId="77777777">
      <w:pPr>
        <w:spacing w:after="0" w:line="240" w:lineRule="auto"/>
        <w:rPr>
          <w:rFonts w:ascii="Times New Roman" w:hAnsi="Times New Roman" w:cs="Times New Roman"/>
          <w:sz w:val="24"/>
          <w:szCs w:val="24"/>
        </w:rPr>
        <w:sectPr w:rsidSect="00913398">
          <w:footerReference w:type="default" r:id="rId8"/>
          <w:pgSz w:w="12240" w:h="15840"/>
          <w:pgMar w:top="1440" w:right="1800" w:bottom="1440" w:left="1800" w:header="720" w:footer="720" w:gutter="0"/>
          <w:pgNumType w:start="2"/>
          <w:cols w:space="720"/>
          <w:docGrid w:linePitch="360"/>
        </w:sectPr>
      </w:pPr>
    </w:p>
    <w:p w:rsidR="0099412E" w:rsidRPr="00421482" w:rsidP="0099412E" w14:paraId="0E13689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9412E" w:rsidRPr="00421482" w:rsidP="0099412E" w14:paraId="19A08442" w14:textId="77777777">
      <w:pPr>
        <w:autoSpaceDE w:val="0"/>
        <w:autoSpaceDN w:val="0"/>
        <w:adjustRightInd w:val="0"/>
        <w:spacing w:after="0" w:line="240" w:lineRule="auto"/>
        <w:rPr>
          <w:rFonts w:ascii="Times New Roman" w:eastAsia="Calibri" w:hAnsi="Times New Roman" w:cs="Times New Roman"/>
          <w:sz w:val="24"/>
          <w:szCs w:val="24"/>
        </w:rPr>
      </w:pPr>
    </w:p>
    <w:p w:rsidR="00644C4A" w:rsidRPr="00421482" w:rsidP="00644C4A" w14:paraId="7062CB35" w14:textId="76615CFC">
      <w:pPr>
        <w:widowControl w:val="0"/>
        <w:spacing w:after="0" w:line="240" w:lineRule="auto"/>
        <w:jc w:val="center"/>
        <w:rPr>
          <w:rFonts w:ascii="Times New Roman" w:hAnsi="Times New Roman" w:cs="Times New Roman"/>
          <w:b/>
          <w:sz w:val="24"/>
          <w:szCs w:val="24"/>
        </w:rPr>
      </w:pPr>
      <w:r w:rsidRPr="00421482">
        <w:rPr>
          <w:rFonts w:ascii="Times New Roman" w:hAnsi="Times New Roman" w:cs="Times New Roman"/>
          <w:b/>
          <w:sz w:val="24"/>
          <w:szCs w:val="24"/>
        </w:rPr>
        <w:t xml:space="preserve">MEMORANDUM IN SUPPORT </w:t>
      </w:r>
    </w:p>
    <w:p w:rsidR="00644C4A" w:rsidRPr="00421482" w:rsidP="00644C4A" w14:paraId="191AA9CA" w14:textId="77777777">
      <w:pPr>
        <w:widowControl w:val="0"/>
        <w:spacing w:after="0" w:line="240" w:lineRule="auto"/>
        <w:jc w:val="center"/>
        <w:rPr>
          <w:rFonts w:ascii="Times New Roman" w:hAnsi="Times New Roman" w:cs="Times New Roman"/>
          <w:b/>
          <w:sz w:val="24"/>
          <w:szCs w:val="24"/>
        </w:rPr>
      </w:pPr>
      <w:r w:rsidRPr="00421482">
        <w:rPr>
          <w:rFonts w:ascii="Times New Roman" w:hAnsi="Times New Roman" w:cs="Times New Roman"/>
          <w:b/>
          <w:sz w:val="24"/>
          <w:szCs w:val="24"/>
        </w:rPr>
        <w:t>BY</w:t>
      </w:r>
    </w:p>
    <w:p w:rsidR="00644C4A" w:rsidRPr="00421482" w:rsidP="00644C4A" w14:paraId="2EF075D6" w14:textId="77777777">
      <w:pPr>
        <w:widowControl w:val="0"/>
        <w:spacing w:after="0" w:line="240" w:lineRule="auto"/>
        <w:jc w:val="center"/>
        <w:rPr>
          <w:rFonts w:ascii="Times New Roman" w:hAnsi="Times New Roman" w:cs="Times New Roman"/>
          <w:b/>
          <w:bCs/>
          <w:sz w:val="24"/>
          <w:szCs w:val="24"/>
        </w:rPr>
      </w:pPr>
      <w:r w:rsidRPr="00421482">
        <w:rPr>
          <w:rFonts w:ascii="Times New Roman" w:hAnsi="Times New Roman" w:cs="Times New Roman"/>
          <w:b/>
          <w:sz w:val="24"/>
          <w:szCs w:val="24"/>
        </w:rPr>
        <w:t>THE OFFICE OF THE OHIO CONSUMERS’ COUNSEL</w:t>
      </w:r>
    </w:p>
    <w:p w:rsidR="0099412E" w:rsidRPr="00421482" w:rsidP="0099412E" w14:paraId="6D6042F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99412E" w:rsidRPr="00421482" w:rsidP="00A438A0" w14:paraId="20F5BA80" w14:textId="77777777">
      <w:pPr>
        <w:pStyle w:val="Heading1"/>
      </w:pPr>
    </w:p>
    <w:p w:rsidR="00141BD6" w:rsidRPr="00421482" w:rsidP="00A438A0" w14:paraId="0E007FF8" w14:textId="6574FDD8">
      <w:pPr>
        <w:pStyle w:val="Heading1"/>
      </w:pPr>
      <w:r w:rsidRPr="00421482">
        <w:t>I.</w:t>
      </w:r>
      <w:r w:rsidRPr="00421482">
        <w:tab/>
      </w:r>
      <w:r w:rsidRPr="00421482" w:rsidR="001D2205">
        <w:t xml:space="preserve">INTRODUCTION </w:t>
      </w:r>
    </w:p>
    <w:p w:rsidR="00B05388" w:rsidRPr="00421482" w:rsidP="00644C4A" w14:paraId="7F575CAA" w14:textId="11F9D289">
      <w:pPr>
        <w:spacing w:after="0" w:line="480" w:lineRule="auto"/>
        <w:ind w:firstLine="720"/>
        <w:rPr>
          <w:rFonts w:ascii="Times New Roman" w:hAnsi="Times New Roman" w:cs="Times New Roman"/>
          <w:sz w:val="24"/>
          <w:szCs w:val="24"/>
        </w:rPr>
      </w:pPr>
      <w:bookmarkStart w:id="2" w:name="_Hlk43471448"/>
      <w:r w:rsidRPr="00421482">
        <w:rPr>
          <w:rFonts w:ascii="Times New Roman" w:hAnsi="Times New Roman" w:cs="Times New Roman"/>
          <w:sz w:val="24"/>
          <w:szCs w:val="24"/>
        </w:rPr>
        <w:t>The Administrative Code provisions under review here govern the relationship between regulated electric utilities and their unregulated, competitive affiliates.</w:t>
      </w:r>
      <w:r>
        <w:rPr>
          <w:rStyle w:val="FootnoteReference"/>
          <w:rFonts w:ascii="Times New Roman" w:hAnsi="Times New Roman" w:cs="Times New Roman"/>
          <w:sz w:val="24"/>
          <w:szCs w:val="24"/>
        </w:rPr>
        <w:footnoteReference w:id="2"/>
      </w:r>
      <w:r w:rsidRPr="00421482">
        <w:rPr>
          <w:rFonts w:ascii="Times New Roman" w:hAnsi="Times New Roman" w:cs="Times New Roman"/>
          <w:sz w:val="24"/>
          <w:szCs w:val="24"/>
        </w:rPr>
        <w:t xml:space="preserve">  The PUCO when adopting rules on this topic should </w:t>
      </w:r>
      <w:r w:rsidRPr="00421482" w:rsidR="005B2D08">
        <w:rPr>
          <w:rFonts w:ascii="Times New Roman" w:hAnsi="Times New Roman" w:cs="Times New Roman"/>
          <w:sz w:val="24"/>
          <w:szCs w:val="24"/>
        </w:rPr>
        <w:t>implement</w:t>
      </w:r>
      <w:r w:rsidRPr="00421482">
        <w:rPr>
          <w:rFonts w:ascii="Times New Roman" w:hAnsi="Times New Roman" w:cs="Times New Roman"/>
          <w:sz w:val="24"/>
          <w:szCs w:val="24"/>
        </w:rPr>
        <w:t xml:space="preserve"> balanced solutions to maintain the sanctity of the market for unregulated services</w:t>
      </w:r>
      <w:r w:rsidRPr="00421482" w:rsidR="005B2D08">
        <w:rPr>
          <w:rFonts w:ascii="Times New Roman" w:hAnsi="Times New Roman" w:cs="Times New Roman"/>
          <w:sz w:val="24"/>
          <w:szCs w:val="24"/>
        </w:rPr>
        <w:t xml:space="preserve"> for the benefit of customers who rely upon the market for lower prices and greater innovation</w:t>
      </w:r>
      <w:r w:rsidRPr="00421482">
        <w:rPr>
          <w:rFonts w:ascii="Times New Roman" w:hAnsi="Times New Roman" w:cs="Times New Roman"/>
          <w:sz w:val="24"/>
          <w:szCs w:val="24"/>
        </w:rPr>
        <w:t>. Customers of regulated utilities have no choice but to do business with their utility</w:t>
      </w:r>
      <w:r w:rsidRPr="00421482" w:rsidR="007542ED">
        <w:rPr>
          <w:rFonts w:ascii="Times New Roman" w:hAnsi="Times New Roman" w:cs="Times New Roman"/>
          <w:sz w:val="24"/>
          <w:szCs w:val="24"/>
        </w:rPr>
        <w:t xml:space="preserve"> for distribution service</w:t>
      </w:r>
      <w:r w:rsidRPr="00421482">
        <w:rPr>
          <w:rFonts w:ascii="Times New Roman" w:hAnsi="Times New Roman" w:cs="Times New Roman"/>
          <w:sz w:val="24"/>
          <w:szCs w:val="24"/>
        </w:rPr>
        <w:t xml:space="preserve"> – they are “captive.”  Therefore, consumer protections related </w:t>
      </w:r>
      <w:r w:rsidRPr="00421482" w:rsidR="007542ED">
        <w:rPr>
          <w:rFonts w:ascii="Times New Roman" w:hAnsi="Times New Roman" w:cs="Times New Roman"/>
          <w:sz w:val="24"/>
          <w:szCs w:val="24"/>
        </w:rPr>
        <w:t xml:space="preserve">how regulated utilities and their unregulated affiliates </w:t>
      </w:r>
      <w:r w:rsidRPr="00421482">
        <w:rPr>
          <w:rFonts w:ascii="Times New Roman" w:hAnsi="Times New Roman" w:cs="Times New Roman"/>
          <w:sz w:val="24"/>
          <w:szCs w:val="24"/>
        </w:rPr>
        <w:t xml:space="preserve">must be improved upon. This is especially important given the changing competitive environment for services at the customer’s premise. </w:t>
      </w:r>
      <w:r w:rsidRPr="00421482">
        <w:rPr>
          <w:rFonts w:ascii="Times New Roman" w:hAnsi="Times New Roman" w:cs="Times New Roman"/>
          <w:sz w:val="24"/>
          <w:szCs w:val="24"/>
        </w:rPr>
        <w:cr/>
      </w:r>
      <w:r w:rsidRPr="00421482" w:rsidR="00644C4A">
        <w:rPr>
          <w:rFonts w:ascii="Times New Roman" w:hAnsi="Times New Roman" w:cs="Times New Roman"/>
          <w:sz w:val="24"/>
          <w:szCs w:val="24"/>
        </w:rPr>
        <w:t xml:space="preserve">            </w:t>
      </w:r>
      <w:r w:rsidRPr="00421482">
        <w:rPr>
          <w:rFonts w:ascii="Times New Roman" w:hAnsi="Times New Roman" w:cs="Times New Roman"/>
          <w:sz w:val="24"/>
          <w:szCs w:val="24"/>
        </w:rPr>
        <w:t>The PUCO in its Order should have done more to protect consumers and the competitive market.  Various concerns should be addressed by granting OCC’s application for rehearing.  The PUCO’s failure to further act to protect consumers and the competitive market was unreasonable and unlawful.</w:t>
      </w:r>
      <w:bookmarkEnd w:id="2"/>
    </w:p>
    <w:p w:rsidR="0053578E" w:rsidRPr="00421482" w:rsidP="0053578E" w14:paraId="1496F0FF" w14:textId="77777777">
      <w:pPr>
        <w:spacing w:after="0" w:line="240" w:lineRule="auto"/>
        <w:ind w:firstLine="720"/>
        <w:rPr>
          <w:rFonts w:ascii="Times New Roman" w:hAnsi="Times New Roman" w:cs="Times New Roman"/>
          <w:sz w:val="24"/>
          <w:szCs w:val="24"/>
        </w:rPr>
      </w:pPr>
    </w:p>
    <w:p w:rsidR="00141BD6" w:rsidRPr="00421482" w:rsidP="00A438A0" w14:paraId="558AEFED" w14:textId="1B0F0DCB">
      <w:pPr>
        <w:pStyle w:val="Heading1"/>
      </w:pPr>
      <w:r w:rsidRPr="00421482">
        <w:t>ii.</w:t>
      </w:r>
      <w:r w:rsidRPr="00421482">
        <w:tab/>
      </w:r>
      <w:r w:rsidRPr="00421482" w:rsidR="001D2205">
        <w:t>STANDARD OF REVIEW</w:t>
      </w:r>
    </w:p>
    <w:p w:rsidR="00882736" w:rsidRPr="00421482" w:rsidP="00141BD6" w14:paraId="39D35B38" w14:textId="77777777">
      <w:pPr>
        <w:spacing w:after="0" w:line="480" w:lineRule="auto"/>
        <w:ind w:firstLine="720"/>
        <w:rPr>
          <w:rFonts w:ascii="Times New Roman" w:hAnsi="Times New Roman" w:cs="Times New Roman"/>
          <w:sz w:val="24"/>
          <w:szCs w:val="24"/>
        </w:rPr>
        <w:sectPr w:rsidSect="00421482">
          <w:headerReference w:type="default" r:id="rId9"/>
          <w:footerReference w:type="default" r:id="rId10"/>
          <w:pgSz w:w="12240" w:h="15840"/>
          <w:pgMar w:top="1440" w:right="1800" w:bottom="1440" w:left="1800" w:header="720" w:footer="720" w:gutter="0"/>
          <w:pgNumType w:start="1"/>
          <w:cols w:space="720"/>
          <w:docGrid w:linePitch="360"/>
        </w:sectPr>
      </w:pPr>
      <w:r w:rsidRPr="00421482">
        <w:rPr>
          <w:rFonts w:ascii="Times New Roman" w:hAnsi="Times New Roman" w:cs="Times New Roman"/>
          <w:sz w:val="24"/>
          <w:szCs w:val="24"/>
        </w:rPr>
        <w:t xml:space="preserve">Applications for rehearing are governed by R.C. 4903.10, which provides that within 30 days after issuance of a PUCO order, “any party who has entered an </w:t>
      </w:r>
    </w:p>
    <w:p w:rsidR="00141BD6" w:rsidRPr="00421482" w:rsidP="00882736" w14:paraId="4E232ED7" w14:textId="35F2AC93">
      <w:pPr>
        <w:spacing w:after="0" w:line="480" w:lineRule="auto"/>
        <w:rPr>
          <w:rFonts w:ascii="Times New Roman" w:hAnsi="Times New Roman" w:cs="Times New Roman"/>
          <w:sz w:val="24"/>
          <w:szCs w:val="24"/>
        </w:rPr>
      </w:pPr>
      <w:r w:rsidRPr="00421482">
        <w:rPr>
          <w:rFonts w:ascii="Times New Roman" w:hAnsi="Times New Roman" w:cs="Times New Roman"/>
          <w:sz w:val="24"/>
          <w:szCs w:val="24"/>
        </w:rPr>
        <w:t xml:space="preserve">appearance in person or by counsel in the proceeding may apply for rehearing in respect to any matters determined in the proceeding.” OCC </w:t>
      </w:r>
      <w:r w:rsidRPr="00421482" w:rsidR="00A51C21">
        <w:rPr>
          <w:rFonts w:ascii="Times New Roman" w:hAnsi="Times New Roman" w:cs="Times New Roman"/>
          <w:sz w:val="24"/>
          <w:szCs w:val="24"/>
        </w:rPr>
        <w:t>entered an appearance in this case through its Comments</w:t>
      </w:r>
      <w:r w:rsidRPr="00421482" w:rsidR="007542ED">
        <w:rPr>
          <w:rFonts w:ascii="Times New Roman" w:hAnsi="Times New Roman" w:cs="Times New Roman"/>
          <w:sz w:val="24"/>
          <w:szCs w:val="24"/>
        </w:rPr>
        <w:t xml:space="preserve"> filed in response to the June 19, 2019 Entry inviting interested parties to file comments</w:t>
      </w:r>
      <w:r w:rsidRPr="00421482">
        <w:rPr>
          <w:rFonts w:ascii="Times New Roman" w:hAnsi="Times New Roman" w:cs="Times New Roman"/>
          <w:sz w:val="24"/>
          <w:szCs w:val="24"/>
        </w:rPr>
        <w:t>.</w:t>
      </w:r>
    </w:p>
    <w:p w:rsidR="00141BD6" w:rsidRPr="00421482" w:rsidP="00141BD6" w14:paraId="36C8BC7B" w14:textId="5A5FA7AF">
      <w:pPr>
        <w:spacing w:after="0" w:line="480" w:lineRule="auto"/>
        <w:ind w:firstLine="720"/>
        <w:rPr>
          <w:rFonts w:ascii="Times New Roman" w:hAnsi="Times New Roman" w:cs="Times New Roman"/>
          <w:sz w:val="24"/>
          <w:szCs w:val="24"/>
        </w:rPr>
      </w:pPr>
      <w:r w:rsidRPr="00421482">
        <w:rPr>
          <w:rFonts w:ascii="Times New Roman" w:hAnsi="Times New Roman" w:cs="Times New Roman"/>
          <w:sz w:val="24"/>
          <w:szCs w:val="24"/>
        </w:rPr>
        <w:t>R.C. 4903.10(B) also requires that an application for rehearing be “in writing and shall set forth specifically the ground or grounds on which the applicant considers the order to be unreasonable or unlawful.”</w:t>
      </w:r>
      <w:r w:rsidRPr="00421482" w:rsidR="007327BD">
        <w:rPr>
          <w:rFonts w:ascii="Times New Roman" w:hAnsi="Times New Roman" w:cs="Times New Roman"/>
          <w:sz w:val="24"/>
          <w:szCs w:val="24"/>
        </w:rPr>
        <w:t xml:space="preserve"> </w:t>
      </w:r>
      <w:r w:rsidRPr="00421482">
        <w:rPr>
          <w:rFonts w:ascii="Times New Roman" w:hAnsi="Times New Roman" w:cs="Times New Roman"/>
          <w:sz w:val="24"/>
          <w:szCs w:val="24"/>
        </w:rPr>
        <w:t>Further, Ohio Adm. Code 4901-1-35(A) states: “An application for rehearing must be accompanied by a memorandum in support, which shall be filed no later than the application for rehearing.”</w:t>
      </w:r>
      <w:r w:rsidRPr="00421482" w:rsidR="007327BD">
        <w:rPr>
          <w:rFonts w:ascii="Times New Roman" w:hAnsi="Times New Roman" w:cs="Times New Roman"/>
          <w:sz w:val="24"/>
          <w:szCs w:val="24"/>
        </w:rPr>
        <w:t xml:space="preserve"> </w:t>
      </w:r>
      <w:r w:rsidRPr="00421482">
        <w:rPr>
          <w:rFonts w:ascii="Times New Roman" w:hAnsi="Times New Roman" w:cs="Times New Roman"/>
          <w:sz w:val="24"/>
          <w:szCs w:val="24"/>
        </w:rPr>
        <w:t>In considering an application for rehearing, R.C. 4903.10(B)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141BD6" w:rsidRPr="00421482" w:rsidP="00CB3239" w14:paraId="4DF3945F" w14:textId="751940F3">
      <w:pPr>
        <w:spacing w:after="0" w:line="480" w:lineRule="auto"/>
        <w:ind w:firstLine="720"/>
        <w:rPr>
          <w:rFonts w:ascii="Times New Roman" w:hAnsi="Times New Roman" w:cs="Times New Roman"/>
          <w:sz w:val="24"/>
          <w:szCs w:val="24"/>
        </w:rPr>
      </w:pPr>
      <w:r w:rsidRPr="00421482">
        <w:rPr>
          <w:rFonts w:ascii="Times New Roman" w:hAnsi="Times New Roman" w:cs="Times New Roman"/>
          <w:sz w:val="24"/>
          <w:szCs w:val="24"/>
        </w:rPr>
        <w:t xml:space="preserve">The statutory standard for abrogating or modifying some portions of the </w:t>
      </w:r>
      <w:r w:rsidRPr="00421482" w:rsidR="00D52EAF">
        <w:rPr>
          <w:rFonts w:ascii="Times New Roman" w:hAnsi="Times New Roman" w:cs="Times New Roman"/>
          <w:sz w:val="24"/>
          <w:szCs w:val="24"/>
        </w:rPr>
        <w:t xml:space="preserve">Finding and </w:t>
      </w:r>
      <w:r w:rsidRPr="00421482">
        <w:rPr>
          <w:rFonts w:ascii="Times New Roman" w:hAnsi="Times New Roman" w:cs="Times New Roman"/>
          <w:sz w:val="24"/>
          <w:szCs w:val="24"/>
        </w:rPr>
        <w:t>Order is met here.</w:t>
      </w:r>
      <w:r w:rsidRPr="00421482" w:rsidR="007327BD">
        <w:rPr>
          <w:rFonts w:ascii="Times New Roman" w:hAnsi="Times New Roman" w:cs="Times New Roman"/>
          <w:sz w:val="24"/>
          <w:szCs w:val="24"/>
        </w:rPr>
        <w:t xml:space="preserve"> </w:t>
      </w:r>
      <w:r w:rsidRPr="00421482">
        <w:rPr>
          <w:rFonts w:ascii="Times New Roman" w:hAnsi="Times New Roman" w:cs="Times New Roman"/>
          <w:sz w:val="24"/>
          <w:szCs w:val="24"/>
        </w:rPr>
        <w:t xml:space="preserve">The PUCO should grant and hold rehearing on the matters specified in this Application for Rehearing and abrogate or modify the </w:t>
      </w:r>
      <w:r w:rsidRPr="00421482" w:rsidR="00D52EAF">
        <w:rPr>
          <w:rFonts w:ascii="Times New Roman" w:hAnsi="Times New Roman" w:cs="Times New Roman"/>
          <w:sz w:val="24"/>
          <w:szCs w:val="24"/>
        </w:rPr>
        <w:t xml:space="preserve">Finding and </w:t>
      </w:r>
      <w:r w:rsidRPr="00421482">
        <w:rPr>
          <w:rFonts w:ascii="Times New Roman" w:hAnsi="Times New Roman" w:cs="Times New Roman"/>
          <w:sz w:val="24"/>
          <w:szCs w:val="24"/>
        </w:rPr>
        <w:t>Order consistent with OCC’s Recommendations herein.</w:t>
      </w:r>
      <w:bookmarkStart w:id="3" w:name="_Toc534639772"/>
    </w:p>
    <w:bookmarkEnd w:id="3"/>
    <w:p w:rsidR="00882736" w:rsidRPr="00421482" w:rsidP="00A438A0" w14:paraId="35045A47" w14:textId="77777777">
      <w:pPr>
        <w:pStyle w:val="Heading1"/>
        <w:sectPr w:rsidSect="00913398">
          <w:footerReference w:type="default" r:id="rId11"/>
          <w:pgSz w:w="12240" w:h="15840"/>
          <w:pgMar w:top="1440" w:right="1800" w:bottom="1440" w:left="1800" w:header="720" w:footer="720" w:gutter="0"/>
          <w:pgNumType w:start="2"/>
          <w:cols w:space="720"/>
          <w:docGrid w:linePitch="360"/>
        </w:sectPr>
      </w:pPr>
    </w:p>
    <w:p w:rsidR="00E95F3D" w:rsidRPr="00421482" w:rsidP="00A438A0" w14:paraId="67FDAEC9" w14:textId="11D860C0">
      <w:pPr>
        <w:pStyle w:val="Heading1"/>
      </w:pPr>
      <w:r w:rsidRPr="00421482">
        <w:t>iii.</w:t>
      </w:r>
      <w:r w:rsidRPr="00421482">
        <w:tab/>
      </w:r>
      <w:r w:rsidRPr="00421482" w:rsidR="001D2205">
        <w:t>Matters for reconsideration</w:t>
      </w:r>
      <w:r w:rsidRPr="00421482" w:rsidR="00BB12AA">
        <w:t xml:space="preserve"> </w:t>
      </w:r>
    </w:p>
    <w:p w:rsidR="00D509B0" w:rsidRPr="00421482" w:rsidP="00D509B0" w14:paraId="4807A47C" w14:textId="02DA0AE5">
      <w:pPr>
        <w:widowControl w:val="0"/>
        <w:ind w:left="720"/>
        <w:rPr>
          <w:rFonts w:ascii="Times New Roman" w:hAnsi="Times New Roman" w:cs="Times New Roman"/>
          <w:sz w:val="24"/>
          <w:szCs w:val="24"/>
        </w:rPr>
      </w:pPr>
      <w:r w:rsidRPr="00421482">
        <w:rPr>
          <w:rFonts w:ascii="Times New Roman" w:hAnsi="Times New Roman" w:cs="Times New Roman"/>
          <w:b/>
          <w:bCs/>
          <w:sz w:val="24"/>
          <w:szCs w:val="24"/>
        </w:rPr>
        <w:t xml:space="preserve">ASSIGNMENT OF ERROR NO. 1: The PUCO Order </w:t>
      </w:r>
      <w:r w:rsidR="00164759">
        <w:rPr>
          <w:rFonts w:ascii="Times New Roman" w:hAnsi="Times New Roman" w:cs="Times New Roman"/>
          <w:b/>
          <w:bCs/>
          <w:sz w:val="24"/>
          <w:szCs w:val="24"/>
        </w:rPr>
        <w:t>was</w:t>
      </w:r>
      <w:r w:rsidRPr="00421482" w:rsidR="005032C8">
        <w:rPr>
          <w:rFonts w:ascii="Times New Roman" w:hAnsi="Times New Roman" w:cs="Times New Roman"/>
          <w:b/>
          <w:bCs/>
          <w:sz w:val="24"/>
          <w:szCs w:val="24"/>
        </w:rPr>
        <w:t xml:space="preserve"> </w:t>
      </w:r>
      <w:r w:rsidRPr="00421482">
        <w:rPr>
          <w:rFonts w:ascii="Times New Roman" w:hAnsi="Times New Roman" w:cs="Times New Roman"/>
          <w:b/>
          <w:bCs/>
          <w:sz w:val="24"/>
          <w:szCs w:val="24"/>
        </w:rPr>
        <w:t>unlawful as contrary to Ohio Supreme Court precedent and unreasonable because it failed to require utilities’ unregulated affiliates to operate as structurally separate entities funded by shareholders</w:t>
      </w:r>
      <w:r w:rsidRPr="00421482" w:rsidR="005032C8">
        <w:rPr>
          <w:rFonts w:ascii="Times New Roman" w:hAnsi="Times New Roman" w:cs="Times New Roman"/>
          <w:b/>
          <w:bCs/>
          <w:sz w:val="24"/>
          <w:szCs w:val="24"/>
        </w:rPr>
        <w:t>, not consumers</w:t>
      </w:r>
      <w:r w:rsidRPr="00421482">
        <w:rPr>
          <w:rFonts w:ascii="Times New Roman" w:hAnsi="Times New Roman" w:cs="Times New Roman"/>
          <w:sz w:val="24"/>
          <w:szCs w:val="24"/>
        </w:rPr>
        <w:t>.</w:t>
      </w:r>
    </w:p>
    <w:p w:rsidR="002E2564" w:rsidRPr="00421482" w:rsidP="00A51C21" w14:paraId="037156EA" w14:textId="178F737E">
      <w:pPr>
        <w:widowControl w:val="0"/>
        <w:spacing w:after="0" w:line="480" w:lineRule="auto"/>
        <w:ind w:firstLine="720"/>
        <w:contextualSpacing/>
        <w:rPr>
          <w:rFonts w:ascii="Times New Roman" w:hAnsi="Times New Roman" w:cs="Times New Roman"/>
          <w:sz w:val="24"/>
          <w:szCs w:val="24"/>
        </w:rPr>
      </w:pPr>
      <w:r w:rsidRPr="00421482">
        <w:rPr>
          <w:rFonts w:ascii="Times New Roman" w:hAnsi="Times New Roman" w:cs="Times New Roman"/>
          <w:sz w:val="24"/>
          <w:szCs w:val="24"/>
        </w:rPr>
        <w:t xml:space="preserve">In its comments, OCC recommended that the PUCO </w:t>
      </w:r>
      <w:r w:rsidRPr="00421482" w:rsidR="00E338FB">
        <w:rPr>
          <w:rFonts w:ascii="Times New Roman" w:hAnsi="Times New Roman" w:cs="Times New Roman"/>
          <w:sz w:val="24"/>
          <w:szCs w:val="24"/>
        </w:rPr>
        <w:t>should require affiliates of regulated utilities to operate as structurally</w:t>
      </w:r>
      <w:r w:rsidRPr="00421482" w:rsidR="00A51C21">
        <w:rPr>
          <w:rFonts w:ascii="Times New Roman" w:hAnsi="Times New Roman" w:cs="Times New Roman"/>
          <w:sz w:val="24"/>
          <w:szCs w:val="24"/>
        </w:rPr>
        <w:t xml:space="preserve"> </w:t>
      </w:r>
      <w:r w:rsidRPr="00421482" w:rsidR="00E338FB">
        <w:rPr>
          <w:rFonts w:ascii="Times New Roman" w:hAnsi="Times New Roman" w:cs="Times New Roman"/>
          <w:sz w:val="24"/>
          <w:szCs w:val="24"/>
        </w:rPr>
        <w:t>separate companies funded by their shareholders</w:t>
      </w:r>
      <w:r w:rsidRPr="00421482">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421482" w:rsidR="00BB12AA">
        <w:rPr>
          <w:rFonts w:ascii="Times New Roman" w:hAnsi="Times New Roman" w:cs="Times New Roman"/>
          <w:sz w:val="24"/>
          <w:szCs w:val="24"/>
        </w:rPr>
        <w:t xml:space="preserve"> </w:t>
      </w:r>
      <w:r w:rsidRPr="00421482" w:rsidR="00E338FB">
        <w:rPr>
          <w:rFonts w:ascii="Times New Roman" w:hAnsi="Times New Roman" w:cs="Times New Roman"/>
          <w:sz w:val="24"/>
          <w:szCs w:val="24"/>
        </w:rPr>
        <w:t xml:space="preserve"> </w:t>
      </w:r>
      <w:r w:rsidRPr="00421482">
        <w:rPr>
          <w:rFonts w:ascii="Times New Roman" w:hAnsi="Times New Roman" w:cs="Times New Roman"/>
          <w:sz w:val="24"/>
          <w:szCs w:val="24"/>
        </w:rPr>
        <w:t>The PUCO found</w:t>
      </w:r>
      <w:r w:rsidRPr="00421482" w:rsidR="00E338FB">
        <w:rPr>
          <w:rFonts w:ascii="Times New Roman" w:hAnsi="Times New Roman" w:cs="Times New Roman"/>
          <w:sz w:val="24"/>
          <w:szCs w:val="24"/>
        </w:rPr>
        <w:t xml:space="preserve"> that OCC had not provided adequate reasons for the proposed rule changes, and that OCC’s recommendation w</w:t>
      </w:r>
      <w:r w:rsidRPr="00421482" w:rsidR="00A51C21">
        <w:rPr>
          <w:rFonts w:ascii="Times New Roman" w:hAnsi="Times New Roman" w:cs="Times New Roman"/>
          <w:sz w:val="24"/>
          <w:szCs w:val="24"/>
        </w:rPr>
        <w:t>as</w:t>
      </w:r>
      <w:r w:rsidRPr="00421482" w:rsidR="00E338FB">
        <w:rPr>
          <w:rFonts w:ascii="Times New Roman" w:hAnsi="Times New Roman" w:cs="Times New Roman"/>
          <w:sz w:val="24"/>
          <w:szCs w:val="24"/>
        </w:rPr>
        <w:t xml:space="preserve"> not necessary or reasonable in a rulemaking proceeding.</w:t>
      </w:r>
      <w:r>
        <w:rPr>
          <w:rStyle w:val="FootnoteReference"/>
          <w:rFonts w:ascii="Times New Roman" w:hAnsi="Times New Roman" w:cs="Times New Roman"/>
          <w:sz w:val="24"/>
          <w:szCs w:val="24"/>
        </w:rPr>
        <w:footnoteReference w:id="4"/>
      </w:r>
      <w:r w:rsidRPr="00421482" w:rsidR="00BB12AA">
        <w:rPr>
          <w:rFonts w:ascii="Times New Roman" w:hAnsi="Times New Roman" w:cs="Times New Roman"/>
          <w:sz w:val="24"/>
          <w:szCs w:val="24"/>
        </w:rPr>
        <w:t xml:space="preserve"> </w:t>
      </w:r>
      <w:r w:rsidRPr="00421482">
        <w:rPr>
          <w:rFonts w:ascii="Times New Roman" w:hAnsi="Times New Roman" w:cs="Times New Roman"/>
          <w:sz w:val="24"/>
          <w:szCs w:val="24"/>
        </w:rPr>
        <w:t>That finding is unreasonable and the PUCO erred in making it.</w:t>
      </w:r>
    </w:p>
    <w:p w:rsidR="005B354F" w:rsidRPr="00421482" w:rsidP="002E2564" w14:paraId="582620B2" w14:textId="628030D3">
      <w:pPr>
        <w:widowControl w:val="0"/>
        <w:spacing w:after="0" w:line="480" w:lineRule="auto"/>
        <w:contextualSpacing/>
        <w:rPr>
          <w:rFonts w:ascii="Times New Roman" w:hAnsi="Times New Roman" w:cs="Times New Roman"/>
          <w:sz w:val="24"/>
          <w:szCs w:val="24"/>
        </w:rPr>
      </w:pPr>
      <w:r w:rsidRPr="00421482">
        <w:rPr>
          <w:rFonts w:ascii="Times New Roman" w:hAnsi="Times New Roman" w:cs="Times New Roman"/>
          <w:sz w:val="24"/>
          <w:szCs w:val="24"/>
        </w:rPr>
        <w:tab/>
      </w:r>
      <w:r w:rsidRPr="00421482" w:rsidR="00E338FB">
        <w:rPr>
          <w:rFonts w:ascii="Times New Roman" w:hAnsi="Times New Roman" w:cs="Times New Roman"/>
          <w:sz w:val="24"/>
          <w:szCs w:val="24"/>
        </w:rPr>
        <w:t>OCC explained in detail that the proposed rule change w</w:t>
      </w:r>
      <w:r w:rsidRPr="00421482" w:rsidR="00A51C21">
        <w:rPr>
          <w:rFonts w:ascii="Times New Roman" w:hAnsi="Times New Roman" w:cs="Times New Roman"/>
          <w:sz w:val="24"/>
          <w:szCs w:val="24"/>
        </w:rPr>
        <w:t>as</w:t>
      </w:r>
      <w:r w:rsidRPr="00421482" w:rsidR="00E338FB">
        <w:rPr>
          <w:rFonts w:ascii="Times New Roman" w:hAnsi="Times New Roman" w:cs="Times New Roman"/>
          <w:sz w:val="24"/>
          <w:szCs w:val="24"/>
        </w:rPr>
        <w:t xml:space="preserve"> to protect and enhance the competitive market.</w:t>
      </w:r>
      <w:r>
        <w:rPr>
          <w:rStyle w:val="FootnoteReference"/>
          <w:rFonts w:ascii="Times New Roman" w:hAnsi="Times New Roman" w:cs="Times New Roman"/>
          <w:sz w:val="24"/>
          <w:szCs w:val="24"/>
        </w:rPr>
        <w:footnoteReference w:id="5"/>
      </w:r>
      <w:r w:rsidRPr="00421482">
        <w:rPr>
          <w:rFonts w:ascii="Times New Roman" w:hAnsi="Times New Roman" w:cs="Times New Roman"/>
          <w:sz w:val="24"/>
          <w:szCs w:val="24"/>
        </w:rPr>
        <w:t xml:space="preserve">  For example, OCC explained:</w:t>
      </w:r>
    </w:p>
    <w:p w:rsidR="005B354F" w:rsidRPr="00421482" w:rsidP="00A438A0" w14:paraId="168FA089" w14:textId="0F03DB2D">
      <w:pPr>
        <w:widowControl w:val="0"/>
        <w:spacing w:after="0" w:line="240" w:lineRule="auto"/>
        <w:ind w:left="720"/>
        <w:contextualSpacing/>
        <w:rPr>
          <w:rFonts w:ascii="Times New Roman" w:hAnsi="Times New Roman" w:cs="Times New Roman"/>
          <w:sz w:val="24"/>
          <w:szCs w:val="24"/>
        </w:rPr>
      </w:pPr>
      <w:r w:rsidRPr="00421482">
        <w:rPr>
          <w:rFonts w:ascii="Times New Roman" w:hAnsi="Times New Roman" w:cs="Times New Roman"/>
          <w:sz w:val="24"/>
          <w:szCs w:val="24"/>
        </w:rPr>
        <w:t>Structural separation would minimize the incentive for utilities to game and fragment the developing market for distributed energy resources and the distribution grid that accommodates them. Utility distribution</w:t>
      </w:r>
    </w:p>
    <w:p w:rsidR="005B354F" w:rsidRPr="00421482" w:rsidP="00A438A0" w14:paraId="7D0F59AF" w14:textId="418484EB">
      <w:pPr>
        <w:widowControl w:val="0"/>
        <w:spacing w:after="0" w:line="240" w:lineRule="auto"/>
        <w:ind w:left="720"/>
        <w:contextualSpacing/>
        <w:rPr>
          <w:rFonts w:ascii="Times New Roman" w:hAnsi="Times New Roman" w:cs="Times New Roman"/>
          <w:sz w:val="24"/>
          <w:szCs w:val="24"/>
        </w:rPr>
      </w:pPr>
      <w:r w:rsidRPr="00421482">
        <w:rPr>
          <w:rFonts w:ascii="Times New Roman" w:hAnsi="Times New Roman" w:cs="Times New Roman"/>
          <w:sz w:val="24"/>
          <w:szCs w:val="24"/>
        </w:rPr>
        <w:t>grids should be the conduit for enabling competitive services. And, mandating structural separation is the most effective remedy for potential market power abuses. Further, a structurally separate company will help to safeguard against cross subsidization from monopoly customers to unregulated services and prevent an unwarranted transfer of market business risk to captive customers.</w:t>
      </w:r>
      <w:r>
        <w:rPr>
          <w:rStyle w:val="FootnoteReference"/>
          <w:rFonts w:ascii="Times New Roman" w:hAnsi="Times New Roman" w:cs="Times New Roman"/>
          <w:sz w:val="24"/>
          <w:szCs w:val="24"/>
        </w:rPr>
        <w:footnoteReference w:id="6"/>
      </w:r>
    </w:p>
    <w:p w:rsidR="00A51C21" w:rsidRPr="00421482" w:rsidP="00A51C21" w14:paraId="39143326" w14:textId="56FB0408">
      <w:pPr>
        <w:widowControl w:val="0"/>
        <w:spacing w:after="0" w:line="240" w:lineRule="auto"/>
        <w:contextualSpacing/>
        <w:rPr>
          <w:rFonts w:ascii="Times New Roman" w:hAnsi="Times New Roman" w:cs="Times New Roman"/>
          <w:sz w:val="24"/>
          <w:szCs w:val="24"/>
        </w:rPr>
      </w:pPr>
    </w:p>
    <w:p w:rsidR="00421482" w:rsidRPr="00421482" w:rsidP="00A51C21" w14:paraId="4E3A29AD" w14:textId="77777777">
      <w:pPr>
        <w:widowControl w:val="0"/>
        <w:spacing w:after="0" w:line="480" w:lineRule="auto"/>
        <w:contextualSpacing/>
        <w:rPr>
          <w:rFonts w:ascii="Times New Roman" w:hAnsi="Times New Roman" w:cs="Times New Roman"/>
          <w:sz w:val="24"/>
          <w:szCs w:val="24"/>
        </w:rPr>
        <w:sectPr w:rsidSect="00421482">
          <w:headerReference w:type="default" r:id="rId12"/>
          <w:footerReference w:type="default" r:id="rId13"/>
          <w:pgSz w:w="12240" w:h="15840"/>
          <w:pgMar w:top="1440" w:right="1800" w:bottom="1440" w:left="1800" w:header="720" w:footer="720" w:gutter="0"/>
          <w:cols w:space="720"/>
          <w:docGrid w:linePitch="360"/>
        </w:sectPr>
      </w:pPr>
    </w:p>
    <w:p w:rsidR="00A51C21" w:rsidRPr="00421482" w:rsidP="00A51C21" w14:paraId="203258BF" w14:textId="69FA9BDC">
      <w:pPr>
        <w:widowControl w:val="0"/>
        <w:spacing w:after="0" w:line="480" w:lineRule="auto"/>
        <w:contextualSpacing/>
        <w:rPr>
          <w:rFonts w:ascii="Times New Roman" w:hAnsi="Times New Roman" w:cs="Times New Roman"/>
          <w:sz w:val="24"/>
          <w:szCs w:val="24"/>
        </w:rPr>
      </w:pPr>
      <w:r w:rsidRPr="00421482">
        <w:rPr>
          <w:rFonts w:ascii="Times New Roman" w:hAnsi="Times New Roman" w:cs="Times New Roman"/>
          <w:sz w:val="24"/>
          <w:szCs w:val="24"/>
        </w:rPr>
        <w:t>Contrary to what the PUCO said in its Order, OCC provided more than adequate reason for its proposed rule change.</w:t>
      </w:r>
      <w:r w:rsidRPr="00421482" w:rsidR="00D509B0">
        <w:rPr>
          <w:rFonts w:ascii="Times New Roman" w:hAnsi="Times New Roman" w:cs="Times New Roman"/>
          <w:sz w:val="24"/>
          <w:szCs w:val="24"/>
        </w:rPr>
        <w:t xml:space="preserve">  The PUCO’s decision to the contrary is contrary to Ohio Supreme Court precedent.</w:t>
      </w:r>
      <w:r>
        <w:rPr>
          <w:rStyle w:val="FootnoteReference"/>
          <w:rFonts w:ascii="Times New Roman" w:hAnsi="Times New Roman" w:cs="Times New Roman"/>
          <w:sz w:val="24"/>
          <w:szCs w:val="24"/>
        </w:rPr>
        <w:footnoteReference w:id="7"/>
      </w:r>
    </w:p>
    <w:p w:rsidR="00A51C21" w:rsidRPr="00421482" w:rsidP="00A51C21" w14:paraId="4683696F" w14:textId="0D574B99">
      <w:pPr>
        <w:widowControl w:val="0"/>
        <w:spacing w:after="0" w:line="480" w:lineRule="auto"/>
        <w:contextualSpacing/>
        <w:rPr>
          <w:rFonts w:ascii="Times New Roman" w:hAnsi="Times New Roman" w:cs="Times New Roman"/>
          <w:sz w:val="24"/>
          <w:szCs w:val="24"/>
        </w:rPr>
      </w:pPr>
      <w:r w:rsidRPr="00421482">
        <w:rPr>
          <w:rFonts w:ascii="Times New Roman" w:hAnsi="Times New Roman" w:cs="Times New Roman"/>
          <w:sz w:val="24"/>
          <w:szCs w:val="24"/>
        </w:rPr>
        <w:tab/>
        <w:t xml:space="preserve">Further, contrary to what the PUCO said in its Order, this rulemaking proceeding is the </w:t>
      </w:r>
      <w:r w:rsidRPr="00421482">
        <w:rPr>
          <w:rFonts w:ascii="Times New Roman" w:hAnsi="Times New Roman" w:cs="Times New Roman"/>
          <w:i/>
          <w:iCs/>
          <w:sz w:val="24"/>
          <w:szCs w:val="24"/>
        </w:rPr>
        <w:t xml:space="preserve">exact </w:t>
      </w:r>
      <w:r w:rsidRPr="00421482">
        <w:rPr>
          <w:rFonts w:ascii="Times New Roman" w:hAnsi="Times New Roman" w:cs="Times New Roman"/>
          <w:sz w:val="24"/>
          <w:szCs w:val="24"/>
        </w:rPr>
        <w:t>proceeding for evaluating (and adopting) OCC’s proposals.  Rulemaking proceedings are where rules’ definition are modified.</w:t>
      </w:r>
      <w:r>
        <w:rPr>
          <w:rStyle w:val="FootnoteReference"/>
          <w:rFonts w:ascii="Times New Roman" w:hAnsi="Times New Roman" w:cs="Times New Roman"/>
          <w:sz w:val="24"/>
          <w:szCs w:val="24"/>
        </w:rPr>
        <w:footnoteReference w:id="8"/>
      </w:r>
      <w:r w:rsidRPr="00421482" w:rsidR="00175EA0">
        <w:rPr>
          <w:rFonts w:ascii="Times New Roman" w:hAnsi="Times New Roman" w:cs="Times New Roman"/>
          <w:sz w:val="24"/>
          <w:szCs w:val="24"/>
        </w:rPr>
        <w:t xml:space="preserve">  Accordingly, there is no reason to defer (to some undefined time in some undefined case) addressing the consumer protections raised by OCC.</w:t>
      </w:r>
    </w:p>
    <w:p w:rsidR="005B354F" w:rsidRPr="00421482" w:rsidP="00DE58AD" w14:paraId="7A2448F4" w14:textId="44E1C2FE">
      <w:pPr>
        <w:widowControl w:val="0"/>
        <w:spacing w:after="0" w:line="480" w:lineRule="auto"/>
        <w:contextualSpacing/>
        <w:rPr>
          <w:rFonts w:ascii="Times New Roman" w:hAnsi="Times New Roman" w:cs="Times New Roman"/>
          <w:sz w:val="24"/>
          <w:szCs w:val="24"/>
        </w:rPr>
      </w:pPr>
      <w:r w:rsidRPr="00421482">
        <w:rPr>
          <w:rFonts w:ascii="Times New Roman" w:hAnsi="Times New Roman" w:cs="Times New Roman"/>
          <w:sz w:val="24"/>
          <w:szCs w:val="24"/>
        </w:rPr>
        <w:tab/>
        <w:t xml:space="preserve">It was </w:t>
      </w:r>
      <w:r w:rsidRPr="00421482" w:rsidR="00175EA0">
        <w:rPr>
          <w:rFonts w:ascii="Times New Roman" w:hAnsi="Times New Roman" w:cs="Times New Roman"/>
          <w:sz w:val="24"/>
          <w:szCs w:val="24"/>
        </w:rPr>
        <w:t xml:space="preserve">unlawful and </w:t>
      </w:r>
      <w:r w:rsidRPr="00421482">
        <w:rPr>
          <w:rFonts w:ascii="Times New Roman" w:hAnsi="Times New Roman" w:cs="Times New Roman"/>
          <w:sz w:val="24"/>
          <w:szCs w:val="24"/>
        </w:rPr>
        <w:t>unreasonable for the PUCO in its Order to ignore OCC’s explicitly stated rationale for its proposed rule change.  It was unreasonable for the PUCO in its Order to conclude that a rulemaking proceeding is the wrong proceeding to modify rules’ definitions.  OCC’s application for rehearing should be granted, and the Order modified consistent with OCC’s recommendations.</w:t>
      </w:r>
    </w:p>
    <w:p w:rsidR="00175EA0" w:rsidRPr="00421482" w:rsidP="00175EA0" w14:paraId="47DF9C47" w14:textId="762201D8">
      <w:pPr>
        <w:widowControl w:val="0"/>
        <w:ind w:left="720"/>
        <w:rPr>
          <w:rFonts w:ascii="Times New Roman" w:hAnsi="Times New Roman" w:cs="Times New Roman"/>
          <w:b/>
          <w:bCs/>
          <w:sz w:val="24"/>
          <w:szCs w:val="24"/>
        </w:rPr>
      </w:pPr>
      <w:r w:rsidRPr="00421482">
        <w:rPr>
          <w:rFonts w:ascii="Times New Roman" w:hAnsi="Times New Roman" w:cs="Times New Roman"/>
          <w:b/>
          <w:bCs/>
          <w:sz w:val="24"/>
          <w:szCs w:val="24"/>
        </w:rPr>
        <w:t xml:space="preserve">ASSIGNMENT OF ERROR NO. 2: Given that the PUCO did not require utilities’ unregulated affiliates to operate as structurally separate entities funded by shareholders, the PUCO’s Order was </w:t>
      </w:r>
      <w:r w:rsidRPr="00421482" w:rsidR="008A2A2E">
        <w:rPr>
          <w:rFonts w:ascii="Times New Roman" w:hAnsi="Times New Roman" w:cs="Times New Roman"/>
          <w:b/>
          <w:bCs/>
          <w:sz w:val="24"/>
          <w:szCs w:val="24"/>
        </w:rPr>
        <w:t xml:space="preserve">unlawful as contrary to Ohio Supreme Court precedent and </w:t>
      </w:r>
      <w:r w:rsidRPr="00421482">
        <w:rPr>
          <w:rFonts w:ascii="Times New Roman" w:hAnsi="Times New Roman" w:cs="Times New Roman"/>
          <w:b/>
          <w:bCs/>
          <w:sz w:val="24"/>
          <w:szCs w:val="24"/>
        </w:rPr>
        <w:t>unreasonable because it failed to adopt OCC’s alternative recommendation to add to the definitions section of O.A.C. 4901:1-37 OCC’s recommended definition of “unregulated service.”</w:t>
      </w:r>
    </w:p>
    <w:p w:rsidR="00A51C21" w:rsidRPr="00421482" w:rsidP="00A51C21" w14:paraId="38D1EAE2" w14:textId="334E58C6">
      <w:pPr>
        <w:widowControl w:val="0"/>
        <w:spacing w:after="0" w:line="480" w:lineRule="auto"/>
        <w:ind w:firstLine="720"/>
        <w:contextualSpacing/>
        <w:rPr>
          <w:rFonts w:ascii="Times New Roman" w:hAnsi="Times New Roman" w:cs="Times New Roman"/>
          <w:sz w:val="24"/>
          <w:szCs w:val="24"/>
        </w:rPr>
      </w:pPr>
      <w:r w:rsidRPr="00421482">
        <w:rPr>
          <w:rFonts w:ascii="Times New Roman" w:hAnsi="Times New Roman" w:cs="Times New Roman"/>
          <w:sz w:val="24"/>
          <w:szCs w:val="24"/>
        </w:rPr>
        <w:t xml:space="preserve">OCC </w:t>
      </w:r>
      <w:r w:rsidRPr="00421482" w:rsidR="00DE58AD">
        <w:rPr>
          <w:rFonts w:ascii="Times New Roman" w:hAnsi="Times New Roman" w:cs="Times New Roman"/>
          <w:sz w:val="24"/>
          <w:szCs w:val="24"/>
        </w:rPr>
        <w:t>made an alternative recommendation</w:t>
      </w:r>
      <w:r w:rsidRPr="00421482">
        <w:rPr>
          <w:rFonts w:ascii="Times New Roman" w:hAnsi="Times New Roman" w:cs="Times New Roman"/>
          <w:sz w:val="24"/>
          <w:szCs w:val="24"/>
        </w:rPr>
        <w:t xml:space="preserve"> </w:t>
      </w:r>
      <w:r w:rsidRPr="00421482" w:rsidR="00DE58AD">
        <w:rPr>
          <w:rFonts w:ascii="Times New Roman" w:hAnsi="Times New Roman" w:cs="Times New Roman"/>
          <w:sz w:val="24"/>
          <w:szCs w:val="24"/>
        </w:rPr>
        <w:t xml:space="preserve">for improving </w:t>
      </w:r>
      <w:r w:rsidRPr="00421482">
        <w:rPr>
          <w:rFonts w:ascii="Times New Roman" w:hAnsi="Times New Roman" w:cs="Times New Roman"/>
          <w:sz w:val="24"/>
          <w:szCs w:val="24"/>
        </w:rPr>
        <w:t>the affiliate rules to protect consumers</w:t>
      </w:r>
      <w:r w:rsidRPr="00421482" w:rsidR="00DE58AD">
        <w:rPr>
          <w:rFonts w:ascii="Times New Roman" w:hAnsi="Times New Roman" w:cs="Times New Roman"/>
          <w:sz w:val="24"/>
          <w:szCs w:val="24"/>
        </w:rPr>
        <w:t xml:space="preserve"> if the PUCO did not require separate structural entities</w:t>
      </w:r>
      <w:r w:rsidRPr="00421482">
        <w:rPr>
          <w:rFonts w:ascii="Times New Roman" w:hAnsi="Times New Roman" w:cs="Times New Roman"/>
          <w:sz w:val="24"/>
          <w:szCs w:val="24"/>
        </w:rPr>
        <w:t>.  Specifically, OCC recommended adding a definition of “unregulated services” to the rules.</w:t>
      </w:r>
      <w:r>
        <w:rPr>
          <w:rStyle w:val="FootnoteReference"/>
          <w:rFonts w:ascii="Times New Roman" w:hAnsi="Times New Roman" w:cs="Times New Roman"/>
          <w:sz w:val="24"/>
          <w:szCs w:val="24"/>
        </w:rPr>
        <w:footnoteReference w:id="9"/>
      </w:r>
      <w:r w:rsidRPr="00421482">
        <w:rPr>
          <w:rFonts w:ascii="Times New Roman" w:hAnsi="Times New Roman" w:cs="Times New Roman"/>
          <w:sz w:val="24"/>
          <w:szCs w:val="24"/>
        </w:rPr>
        <w:t xml:space="preserve"> The PUCO found that OCC had not provided adequate reasons for the proposed rule change, and that OCC’s recommendation</w:t>
      </w:r>
      <w:r w:rsidRPr="00421482" w:rsidR="00DE58AD">
        <w:rPr>
          <w:rFonts w:ascii="Times New Roman" w:hAnsi="Times New Roman" w:cs="Times New Roman"/>
          <w:sz w:val="24"/>
          <w:szCs w:val="24"/>
        </w:rPr>
        <w:t xml:space="preserve"> was</w:t>
      </w:r>
      <w:r w:rsidRPr="00421482">
        <w:rPr>
          <w:rFonts w:ascii="Times New Roman" w:hAnsi="Times New Roman" w:cs="Times New Roman"/>
          <w:sz w:val="24"/>
          <w:szCs w:val="24"/>
        </w:rPr>
        <w:t xml:space="preserve"> not necessary or reasonable in a rulemaking proceeding.</w:t>
      </w:r>
      <w:r>
        <w:rPr>
          <w:rStyle w:val="FootnoteReference"/>
          <w:rFonts w:ascii="Times New Roman" w:hAnsi="Times New Roman" w:cs="Times New Roman"/>
          <w:sz w:val="24"/>
          <w:szCs w:val="24"/>
        </w:rPr>
        <w:footnoteReference w:id="10"/>
      </w:r>
      <w:r w:rsidRPr="00421482">
        <w:rPr>
          <w:rFonts w:ascii="Times New Roman" w:hAnsi="Times New Roman" w:cs="Times New Roman"/>
          <w:sz w:val="24"/>
          <w:szCs w:val="24"/>
        </w:rPr>
        <w:t xml:space="preserve"> That finding is unreasonable and the PUCO erred in making it.</w:t>
      </w:r>
    </w:p>
    <w:p w:rsidR="00DE58AD" w:rsidRPr="00421482" w:rsidP="00DE58AD" w14:paraId="5FDD0016" w14:textId="015C2DFA">
      <w:pPr>
        <w:widowControl w:val="0"/>
        <w:spacing w:after="0" w:line="480" w:lineRule="auto"/>
        <w:ind w:firstLine="720"/>
        <w:contextualSpacing/>
        <w:rPr>
          <w:rFonts w:ascii="Times New Roman" w:hAnsi="Times New Roman" w:cs="Times New Roman"/>
          <w:sz w:val="24"/>
          <w:szCs w:val="24"/>
        </w:rPr>
      </w:pPr>
      <w:r w:rsidRPr="00421482">
        <w:rPr>
          <w:rFonts w:ascii="Times New Roman" w:hAnsi="Times New Roman" w:cs="Times New Roman"/>
          <w:sz w:val="24"/>
          <w:szCs w:val="24"/>
        </w:rPr>
        <w:t>In its Comments regarding adding a definition of “unregulated services”, OCC explained:</w:t>
      </w:r>
    </w:p>
    <w:p w:rsidR="00DE58AD" w:rsidRPr="00421482" w:rsidP="00421482" w14:paraId="3C592515" w14:textId="055E8C8A">
      <w:pPr>
        <w:widowControl w:val="0"/>
        <w:spacing w:after="0" w:line="240" w:lineRule="auto"/>
        <w:ind w:left="1440" w:right="720"/>
        <w:contextualSpacing/>
        <w:rPr>
          <w:rFonts w:ascii="Times New Roman" w:hAnsi="Times New Roman" w:cs="Times New Roman"/>
          <w:sz w:val="24"/>
          <w:szCs w:val="24"/>
        </w:rPr>
      </w:pPr>
      <w:r w:rsidRPr="00421482">
        <w:rPr>
          <w:rFonts w:ascii="Times New Roman" w:hAnsi="Times New Roman" w:cs="Times New Roman"/>
          <w:sz w:val="24"/>
          <w:szCs w:val="24"/>
        </w:rPr>
        <w:t>More stringent affiliate transaction rules will help to create a level playing field for the provision of competitive unregulated service and will mitigate against an unwarranted transfer of business risk from unregulated services to captive monopoly local distribution utility customers.</w:t>
      </w:r>
      <w:r>
        <w:rPr>
          <w:rStyle w:val="FootnoteReference"/>
          <w:rFonts w:ascii="Times New Roman" w:hAnsi="Times New Roman" w:cs="Times New Roman"/>
          <w:sz w:val="24"/>
          <w:szCs w:val="24"/>
        </w:rPr>
        <w:footnoteReference w:id="11"/>
      </w:r>
    </w:p>
    <w:p w:rsidR="00DE58AD" w:rsidRPr="00421482" w:rsidP="00DE58AD" w14:paraId="42F06F58" w14:textId="77777777">
      <w:pPr>
        <w:widowControl w:val="0"/>
        <w:spacing w:after="0" w:line="240" w:lineRule="auto"/>
        <w:contextualSpacing/>
        <w:rPr>
          <w:rFonts w:ascii="Times New Roman" w:hAnsi="Times New Roman" w:cs="Times New Roman"/>
          <w:sz w:val="24"/>
          <w:szCs w:val="24"/>
        </w:rPr>
      </w:pPr>
    </w:p>
    <w:p w:rsidR="00DE58AD" w:rsidRPr="00421482" w:rsidP="00DE58AD" w14:paraId="1CEC5F35" w14:textId="3E982F72">
      <w:pPr>
        <w:widowControl w:val="0"/>
        <w:spacing w:after="0" w:line="480" w:lineRule="auto"/>
        <w:contextualSpacing/>
        <w:rPr>
          <w:rFonts w:ascii="Times New Roman" w:hAnsi="Times New Roman" w:cs="Times New Roman"/>
          <w:sz w:val="24"/>
          <w:szCs w:val="24"/>
        </w:rPr>
      </w:pPr>
      <w:r w:rsidRPr="00421482">
        <w:rPr>
          <w:rFonts w:ascii="Times New Roman" w:hAnsi="Times New Roman" w:cs="Times New Roman"/>
          <w:sz w:val="24"/>
          <w:szCs w:val="24"/>
        </w:rPr>
        <w:t>Contrary to what the PUCO said in its Order, OCC provided more than adequate reason for its proposed rule changes.</w:t>
      </w:r>
      <w:r w:rsidRPr="00421482" w:rsidR="00175EA0">
        <w:rPr>
          <w:rFonts w:ascii="Times New Roman" w:hAnsi="Times New Roman" w:cs="Times New Roman"/>
          <w:sz w:val="24"/>
          <w:szCs w:val="24"/>
        </w:rPr>
        <w:t xml:space="preserve"> The PUCO’s decision to the contrary is contrary to Ohio Supreme Court precedent.</w:t>
      </w:r>
      <w:r>
        <w:rPr>
          <w:rStyle w:val="FootnoteReference"/>
          <w:rFonts w:ascii="Times New Roman" w:hAnsi="Times New Roman" w:cs="Times New Roman"/>
          <w:sz w:val="24"/>
          <w:szCs w:val="24"/>
        </w:rPr>
        <w:footnoteReference w:id="12"/>
      </w:r>
    </w:p>
    <w:p w:rsidR="00DE58AD" w:rsidRPr="00421482" w:rsidP="00DE58AD" w14:paraId="330D3EBC" w14:textId="06D400B5">
      <w:pPr>
        <w:widowControl w:val="0"/>
        <w:spacing w:after="0" w:line="480" w:lineRule="auto"/>
        <w:contextualSpacing/>
        <w:rPr>
          <w:rFonts w:ascii="Times New Roman" w:hAnsi="Times New Roman" w:cs="Times New Roman"/>
          <w:sz w:val="24"/>
          <w:szCs w:val="24"/>
        </w:rPr>
      </w:pPr>
      <w:r w:rsidRPr="00421482">
        <w:rPr>
          <w:rFonts w:ascii="Times New Roman" w:hAnsi="Times New Roman" w:cs="Times New Roman"/>
          <w:sz w:val="24"/>
          <w:szCs w:val="24"/>
        </w:rPr>
        <w:tab/>
        <w:t xml:space="preserve">Further, contrary to what the PUCO said in its Order, this rulemaking proceeding is the </w:t>
      </w:r>
      <w:r w:rsidRPr="00421482">
        <w:rPr>
          <w:rFonts w:ascii="Times New Roman" w:hAnsi="Times New Roman" w:cs="Times New Roman"/>
          <w:i/>
          <w:iCs/>
          <w:sz w:val="24"/>
          <w:szCs w:val="24"/>
        </w:rPr>
        <w:t xml:space="preserve">exact </w:t>
      </w:r>
      <w:r w:rsidRPr="00421482">
        <w:rPr>
          <w:rFonts w:ascii="Times New Roman" w:hAnsi="Times New Roman" w:cs="Times New Roman"/>
          <w:sz w:val="24"/>
          <w:szCs w:val="24"/>
        </w:rPr>
        <w:t>proceeding for evaluating (and adopting) OCC’s proposals.  Rulemaking proceedings are where rules’ definition are modified.</w:t>
      </w:r>
      <w:r w:rsidRPr="00421482" w:rsidR="008A2A2E">
        <w:rPr>
          <w:rFonts w:ascii="Times New Roman" w:hAnsi="Times New Roman" w:cs="Times New Roman"/>
          <w:sz w:val="24"/>
          <w:szCs w:val="24"/>
        </w:rPr>
        <w:t xml:space="preserve">  Accordingly, there is no reason to defer (to some undefined time in some undefined case) addressing the consumer protections raised by OCC.</w:t>
      </w:r>
      <w:r>
        <w:rPr>
          <w:rStyle w:val="FootnoteReference"/>
          <w:rFonts w:ascii="Times New Roman" w:hAnsi="Times New Roman" w:cs="Times New Roman"/>
          <w:sz w:val="24"/>
          <w:szCs w:val="24"/>
        </w:rPr>
        <w:footnoteReference w:id="13"/>
      </w:r>
    </w:p>
    <w:p w:rsidR="00A51C21" w:rsidRPr="00421482" w:rsidP="00912F3E" w14:paraId="39B39117" w14:textId="7DCE633C">
      <w:pPr>
        <w:widowControl w:val="0"/>
        <w:spacing w:after="0" w:line="480" w:lineRule="auto"/>
        <w:contextualSpacing/>
        <w:rPr>
          <w:rFonts w:ascii="Times New Roman" w:hAnsi="Times New Roman" w:cs="Times New Roman"/>
          <w:sz w:val="24"/>
          <w:szCs w:val="24"/>
        </w:rPr>
      </w:pPr>
      <w:r w:rsidRPr="00421482">
        <w:rPr>
          <w:rFonts w:ascii="Times New Roman" w:hAnsi="Times New Roman" w:cs="Times New Roman"/>
          <w:sz w:val="24"/>
          <w:szCs w:val="24"/>
        </w:rPr>
        <w:tab/>
        <w:t xml:space="preserve">It was </w:t>
      </w:r>
      <w:r w:rsidRPr="00421482" w:rsidR="00175EA0">
        <w:rPr>
          <w:rFonts w:ascii="Times New Roman" w:hAnsi="Times New Roman" w:cs="Times New Roman"/>
          <w:sz w:val="24"/>
          <w:szCs w:val="24"/>
        </w:rPr>
        <w:t xml:space="preserve">unlawful and </w:t>
      </w:r>
      <w:r w:rsidRPr="00421482">
        <w:rPr>
          <w:rFonts w:ascii="Times New Roman" w:hAnsi="Times New Roman" w:cs="Times New Roman"/>
          <w:sz w:val="24"/>
          <w:szCs w:val="24"/>
        </w:rPr>
        <w:t>unreasonable for the PUCO in its Order to ignore OCC’s explicitly stated rationale for its proposed rule change.  It was unreasonable for the PUCO in its Order to conclude that a rulemaking proceeding is the wrong proceeding to modify rules’ definitions.  OCC’s application for rehearing should be granted, and the Order modified consistent with OCC’s recommendations.</w:t>
      </w:r>
    </w:p>
    <w:p w:rsidR="00175EA0" w:rsidRPr="00714ED0" w:rsidP="00175EA0" w14:paraId="2340BC91" w14:textId="3655DA55">
      <w:pPr>
        <w:ind w:left="720"/>
        <w:rPr>
          <w:rFonts w:ascii="Times New Roman" w:hAnsi="Times New Roman" w:cs="Times New Roman"/>
          <w:b/>
          <w:bCs/>
          <w:sz w:val="24"/>
          <w:szCs w:val="24"/>
        </w:rPr>
      </w:pPr>
      <w:r w:rsidRPr="00714ED0">
        <w:rPr>
          <w:rFonts w:ascii="Times New Roman" w:hAnsi="Times New Roman" w:cs="Times New Roman"/>
          <w:b/>
          <w:bCs/>
          <w:sz w:val="24"/>
          <w:szCs w:val="24"/>
        </w:rPr>
        <w:t xml:space="preserve">ASSIGNMENT OF ERROR NO. 3: The PUCO’s Order was </w:t>
      </w:r>
      <w:r w:rsidRPr="00714ED0" w:rsidR="008A2A2E">
        <w:rPr>
          <w:rFonts w:ascii="Times New Roman" w:hAnsi="Times New Roman" w:cs="Times New Roman"/>
          <w:b/>
          <w:bCs/>
          <w:sz w:val="24"/>
          <w:szCs w:val="24"/>
        </w:rPr>
        <w:t xml:space="preserve">unlawful </w:t>
      </w:r>
      <w:r w:rsidRPr="00714ED0" w:rsidR="00817AF9">
        <w:rPr>
          <w:rFonts w:ascii="Times New Roman" w:hAnsi="Times New Roman" w:cs="Times New Roman"/>
          <w:b/>
          <w:bCs/>
          <w:sz w:val="24"/>
          <w:szCs w:val="24"/>
        </w:rPr>
        <w:t xml:space="preserve">under R.C. 4903.09 </w:t>
      </w:r>
      <w:r w:rsidRPr="00714ED0" w:rsidR="008A2A2E">
        <w:rPr>
          <w:rFonts w:ascii="Times New Roman" w:hAnsi="Times New Roman" w:cs="Times New Roman"/>
          <w:b/>
          <w:bCs/>
          <w:sz w:val="24"/>
          <w:szCs w:val="24"/>
        </w:rPr>
        <w:t xml:space="preserve">and </w:t>
      </w:r>
      <w:r w:rsidRPr="00714ED0">
        <w:rPr>
          <w:rFonts w:ascii="Times New Roman" w:hAnsi="Times New Roman" w:cs="Times New Roman"/>
          <w:b/>
          <w:bCs/>
          <w:sz w:val="24"/>
          <w:szCs w:val="24"/>
        </w:rPr>
        <w:t>unreasonable because it failed to add to O.A.C. 4901:1-37 provisions requiring that unregulated services be accounted for on affiliates’ books at fully allocated costs.</w:t>
      </w:r>
    </w:p>
    <w:p w:rsidR="0068004D" w:rsidRPr="00421482" w:rsidP="0068004D" w14:paraId="7DFBD13F" w14:textId="68E8BEC4">
      <w:pPr>
        <w:widowControl w:val="0"/>
        <w:spacing w:after="0" w:line="480" w:lineRule="auto"/>
        <w:ind w:firstLine="720"/>
        <w:contextualSpacing/>
        <w:rPr>
          <w:rFonts w:ascii="Times New Roman" w:hAnsi="Times New Roman" w:cs="Times New Roman"/>
          <w:sz w:val="24"/>
          <w:szCs w:val="24"/>
        </w:rPr>
      </w:pPr>
      <w:r w:rsidRPr="00421482">
        <w:rPr>
          <w:rFonts w:ascii="Times New Roman" w:hAnsi="Times New Roman" w:cs="Times New Roman"/>
          <w:sz w:val="24"/>
          <w:szCs w:val="24"/>
        </w:rPr>
        <w:t xml:space="preserve">In its Comments, OCC made </w:t>
      </w:r>
      <w:r w:rsidRPr="00421482" w:rsidR="00912F3E">
        <w:rPr>
          <w:rFonts w:ascii="Times New Roman" w:hAnsi="Times New Roman" w:cs="Times New Roman"/>
          <w:sz w:val="24"/>
          <w:szCs w:val="24"/>
        </w:rPr>
        <w:t xml:space="preserve">a </w:t>
      </w:r>
      <w:r w:rsidRPr="00421482">
        <w:rPr>
          <w:rFonts w:ascii="Times New Roman" w:hAnsi="Times New Roman" w:cs="Times New Roman"/>
          <w:sz w:val="24"/>
          <w:szCs w:val="24"/>
        </w:rPr>
        <w:t xml:space="preserve">recommendation to protect against cross-subsidization. </w:t>
      </w:r>
      <w:r w:rsidRPr="00421482" w:rsidR="00912F3E">
        <w:rPr>
          <w:rFonts w:ascii="Times New Roman" w:hAnsi="Times New Roman" w:cs="Times New Roman"/>
          <w:sz w:val="24"/>
          <w:szCs w:val="24"/>
        </w:rPr>
        <w:t xml:space="preserve">Specifically, </w:t>
      </w:r>
      <w:r w:rsidRPr="00421482" w:rsidR="001D2205">
        <w:rPr>
          <w:rFonts w:ascii="Times New Roman" w:hAnsi="Times New Roman" w:cs="Times New Roman"/>
          <w:sz w:val="24"/>
          <w:szCs w:val="24"/>
        </w:rPr>
        <w:t>OCC recommended that the PUCO should</w:t>
      </w:r>
      <w:r w:rsidRPr="00421482">
        <w:rPr>
          <w:rFonts w:ascii="Times New Roman" w:hAnsi="Times New Roman" w:cs="Times New Roman"/>
          <w:sz w:val="24"/>
          <w:szCs w:val="24"/>
        </w:rPr>
        <w:t xml:space="preserve"> amend the rules to require that unregulated services be accounted for on the affiliate books at fully allocated costs</w:t>
      </w:r>
      <w:r w:rsidRPr="00421482" w:rsidR="00912F3E">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421482" w:rsidR="00912F3E">
        <w:rPr>
          <w:rFonts w:ascii="Times New Roman" w:hAnsi="Times New Roman" w:cs="Times New Roman"/>
          <w:sz w:val="24"/>
          <w:szCs w:val="24"/>
        </w:rPr>
        <w:t xml:space="preserve">  </w:t>
      </w:r>
      <w:r w:rsidRPr="00421482">
        <w:rPr>
          <w:rFonts w:ascii="Times New Roman" w:hAnsi="Times New Roman" w:cs="Times New Roman"/>
          <w:sz w:val="24"/>
          <w:szCs w:val="24"/>
        </w:rPr>
        <w:t xml:space="preserve"> Rejecting OCC’s recommendation, the PUCO said that </w:t>
      </w:r>
      <w:r w:rsidRPr="00421482" w:rsidR="00E056BB">
        <w:rPr>
          <w:rFonts w:ascii="Times New Roman" w:hAnsi="Times New Roman" w:cs="Times New Roman"/>
          <w:sz w:val="24"/>
          <w:szCs w:val="24"/>
        </w:rPr>
        <w:t>it</w:t>
      </w:r>
      <w:r w:rsidRPr="00421482">
        <w:rPr>
          <w:rFonts w:ascii="Times New Roman" w:hAnsi="Times New Roman" w:cs="Times New Roman"/>
          <w:sz w:val="24"/>
          <w:szCs w:val="24"/>
        </w:rPr>
        <w:t xml:space="preserve"> may prejudice pending matters and be inconsistent with current law.</w:t>
      </w:r>
      <w:r>
        <w:rPr>
          <w:rStyle w:val="FootnoteReference"/>
          <w:rFonts w:ascii="Times New Roman" w:hAnsi="Times New Roman" w:cs="Times New Roman"/>
          <w:sz w:val="24"/>
          <w:szCs w:val="24"/>
        </w:rPr>
        <w:footnoteReference w:id="15"/>
      </w:r>
    </w:p>
    <w:p w:rsidR="005A29AE" w:rsidRPr="00421482" w:rsidP="0068004D" w14:paraId="7246332D" w14:textId="5EC79F04">
      <w:pPr>
        <w:widowControl w:val="0"/>
        <w:spacing w:after="0" w:line="480" w:lineRule="auto"/>
        <w:ind w:firstLine="720"/>
        <w:contextualSpacing/>
        <w:rPr>
          <w:rFonts w:ascii="Times New Roman" w:hAnsi="Times New Roman" w:cs="Times New Roman"/>
          <w:sz w:val="24"/>
          <w:szCs w:val="24"/>
        </w:rPr>
      </w:pPr>
      <w:r w:rsidRPr="00421482">
        <w:rPr>
          <w:rFonts w:ascii="Times New Roman" w:hAnsi="Times New Roman" w:cs="Times New Roman"/>
          <w:sz w:val="24"/>
          <w:szCs w:val="24"/>
        </w:rPr>
        <w:t>But the PUCO neither identified the pending matters</w:t>
      </w:r>
      <w:r w:rsidRPr="00421482" w:rsidR="009B340D">
        <w:rPr>
          <w:rFonts w:ascii="Times New Roman" w:hAnsi="Times New Roman" w:cs="Times New Roman"/>
          <w:sz w:val="24"/>
          <w:szCs w:val="24"/>
        </w:rPr>
        <w:t xml:space="preserve"> nor the current law.  It did not explain how OCC’s recommendatio</w:t>
      </w:r>
      <w:r w:rsidRPr="00421482" w:rsidR="00E056BB">
        <w:rPr>
          <w:rFonts w:ascii="Times New Roman" w:hAnsi="Times New Roman" w:cs="Times New Roman"/>
          <w:sz w:val="24"/>
          <w:szCs w:val="24"/>
        </w:rPr>
        <w:t>n</w:t>
      </w:r>
      <w:r w:rsidRPr="00421482" w:rsidR="009B340D">
        <w:rPr>
          <w:rFonts w:ascii="Times New Roman" w:hAnsi="Times New Roman" w:cs="Times New Roman"/>
          <w:sz w:val="24"/>
          <w:szCs w:val="24"/>
        </w:rPr>
        <w:t xml:space="preserve"> may prejudice pending matters or how </w:t>
      </w:r>
      <w:r w:rsidRPr="00421482" w:rsidR="00E056BB">
        <w:rPr>
          <w:rFonts w:ascii="Times New Roman" w:hAnsi="Times New Roman" w:cs="Times New Roman"/>
          <w:sz w:val="24"/>
          <w:szCs w:val="24"/>
        </w:rPr>
        <w:t>it</w:t>
      </w:r>
      <w:r w:rsidRPr="00421482" w:rsidR="009B340D">
        <w:rPr>
          <w:rFonts w:ascii="Times New Roman" w:hAnsi="Times New Roman" w:cs="Times New Roman"/>
          <w:sz w:val="24"/>
          <w:szCs w:val="24"/>
        </w:rPr>
        <w:t xml:space="preserve"> may be inconsistent with current law.  It is axiomatic that </w:t>
      </w:r>
      <w:r w:rsidRPr="00421482" w:rsidR="008A2A2E">
        <w:rPr>
          <w:rFonts w:ascii="Times New Roman" w:hAnsi="Times New Roman" w:cs="Times New Roman"/>
          <w:sz w:val="24"/>
          <w:szCs w:val="24"/>
        </w:rPr>
        <w:t xml:space="preserve">under R.C. 4903.09, </w:t>
      </w:r>
      <w:r w:rsidRPr="00421482" w:rsidR="009B340D">
        <w:rPr>
          <w:rFonts w:ascii="Times New Roman" w:hAnsi="Times New Roman" w:cs="Times New Roman"/>
          <w:sz w:val="24"/>
          <w:szCs w:val="24"/>
        </w:rPr>
        <w:t>the PUCO must explain the bases for its decisions.</w:t>
      </w:r>
      <w:r>
        <w:rPr>
          <w:rStyle w:val="FootnoteReference"/>
          <w:rFonts w:ascii="Times New Roman" w:hAnsi="Times New Roman" w:cs="Times New Roman"/>
          <w:sz w:val="24"/>
          <w:szCs w:val="24"/>
        </w:rPr>
        <w:footnoteReference w:id="16"/>
      </w:r>
      <w:r w:rsidRPr="00421482" w:rsidR="009B340D">
        <w:rPr>
          <w:rFonts w:ascii="Times New Roman" w:hAnsi="Times New Roman" w:cs="Times New Roman"/>
          <w:sz w:val="24"/>
          <w:szCs w:val="24"/>
        </w:rPr>
        <w:t xml:space="preserve">  It did not do so.  Its Order is therefore unreasonable and unlawful.  OCC’s application for rehearing should be granted.  </w:t>
      </w:r>
    </w:p>
    <w:p w:rsidR="00714ED0" w:rsidP="008A2A2E" w14:paraId="0DE69C63" w14:textId="77777777">
      <w:pPr>
        <w:ind w:left="720"/>
        <w:rPr>
          <w:rFonts w:ascii="Times New Roman" w:hAnsi="Times New Roman" w:cs="Times New Roman"/>
          <w:b/>
          <w:bCs/>
          <w:sz w:val="24"/>
          <w:szCs w:val="24"/>
        </w:rPr>
        <w:sectPr w:rsidSect="00714ED0">
          <w:headerReference w:type="default" r:id="rId14"/>
          <w:pgSz w:w="12240" w:h="15840"/>
          <w:pgMar w:top="1440" w:right="1800" w:bottom="1440" w:left="1800" w:header="720" w:footer="720" w:gutter="0"/>
          <w:cols w:space="720"/>
          <w:docGrid w:linePitch="360"/>
        </w:sectPr>
      </w:pPr>
    </w:p>
    <w:p w:rsidR="008A2A2E" w:rsidRPr="00714ED0" w:rsidP="008A2A2E" w14:paraId="52892906" w14:textId="336D947F">
      <w:pPr>
        <w:ind w:left="720"/>
        <w:rPr>
          <w:rFonts w:ascii="Times New Roman" w:hAnsi="Times New Roman" w:cs="Times New Roman"/>
          <w:b/>
          <w:bCs/>
          <w:sz w:val="24"/>
          <w:szCs w:val="24"/>
        </w:rPr>
      </w:pPr>
      <w:r w:rsidRPr="00714ED0">
        <w:rPr>
          <w:rFonts w:ascii="Times New Roman" w:hAnsi="Times New Roman" w:cs="Times New Roman"/>
          <w:b/>
          <w:bCs/>
          <w:sz w:val="24"/>
          <w:szCs w:val="24"/>
        </w:rPr>
        <w:t xml:space="preserve">ASSIGNMENT OF ERROR NO. 4: The PUCO’s Order was </w:t>
      </w:r>
      <w:r w:rsidRPr="00714ED0" w:rsidR="00817AF9">
        <w:rPr>
          <w:rFonts w:ascii="Times New Roman" w:hAnsi="Times New Roman" w:cs="Times New Roman"/>
          <w:b/>
          <w:bCs/>
          <w:sz w:val="24"/>
          <w:szCs w:val="24"/>
        </w:rPr>
        <w:t xml:space="preserve">unlawful under R.C. 4903.09 and </w:t>
      </w:r>
      <w:r w:rsidRPr="00714ED0">
        <w:rPr>
          <w:rFonts w:ascii="Times New Roman" w:hAnsi="Times New Roman" w:cs="Times New Roman"/>
          <w:b/>
          <w:bCs/>
          <w:sz w:val="24"/>
          <w:szCs w:val="24"/>
        </w:rPr>
        <w:t xml:space="preserve">unreasonable because it failed to add to O.A.C. 4901:1-37 a provision that requires regulated utilities’ affiliates to purchase from the identical electric utility tariff as their competitors do when providing unregulated services.  </w:t>
      </w:r>
    </w:p>
    <w:p w:rsidR="00912F3E" w:rsidRPr="00421482" w:rsidP="00912F3E" w14:paraId="2F3B54BC" w14:textId="2ED09351">
      <w:pPr>
        <w:widowControl w:val="0"/>
        <w:spacing w:after="0" w:line="480" w:lineRule="auto"/>
        <w:ind w:firstLine="720"/>
        <w:contextualSpacing/>
        <w:rPr>
          <w:rFonts w:ascii="Times New Roman" w:hAnsi="Times New Roman" w:cs="Times New Roman"/>
          <w:sz w:val="24"/>
          <w:szCs w:val="24"/>
        </w:rPr>
      </w:pPr>
      <w:r w:rsidRPr="00421482">
        <w:rPr>
          <w:rFonts w:ascii="Times New Roman" w:hAnsi="Times New Roman" w:cs="Times New Roman"/>
          <w:sz w:val="24"/>
          <w:szCs w:val="24"/>
        </w:rPr>
        <w:t>To protect against cross-subsidization, OCC recommended in its Comments that utilities’ affiliates be required to purchase from the identical electric utility tariff as their competitors when providing unregulated services.</w:t>
      </w:r>
      <w:r>
        <w:rPr>
          <w:rStyle w:val="FootnoteReference"/>
          <w:rFonts w:ascii="Times New Roman" w:hAnsi="Times New Roman" w:cs="Times New Roman"/>
          <w:sz w:val="24"/>
          <w:szCs w:val="24"/>
        </w:rPr>
        <w:footnoteReference w:id="17"/>
      </w:r>
      <w:r w:rsidRPr="00421482">
        <w:rPr>
          <w:rFonts w:ascii="Times New Roman" w:hAnsi="Times New Roman" w:cs="Times New Roman"/>
          <w:sz w:val="24"/>
          <w:szCs w:val="24"/>
        </w:rPr>
        <w:t xml:space="preserve"> Rejecting OCC’s recommendation, the PUCO said that it may prejudice pending matters and be inconsistent with current law.</w:t>
      </w:r>
      <w:r>
        <w:rPr>
          <w:rStyle w:val="FootnoteReference"/>
          <w:rFonts w:ascii="Times New Roman" w:hAnsi="Times New Roman" w:cs="Times New Roman"/>
          <w:sz w:val="24"/>
          <w:szCs w:val="24"/>
        </w:rPr>
        <w:footnoteReference w:id="18"/>
      </w:r>
    </w:p>
    <w:p w:rsidR="00912F3E" w:rsidRPr="00421482" w:rsidP="00E056BB" w14:paraId="7AB5E5BC" w14:textId="68944F07">
      <w:pPr>
        <w:widowControl w:val="0"/>
        <w:spacing w:after="0" w:line="480" w:lineRule="auto"/>
        <w:ind w:firstLine="720"/>
        <w:contextualSpacing/>
        <w:rPr>
          <w:rFonts w:ascii="Times New Roman" w:hAnsi="Times New Roman" w:cs="Times New Roman"/>
          <w:sz w:val="24"/>
          <w:szCs w:val="24"/>
        </w:rPr>
      </w:pPr>
      <w:r w:rsidRPr="00421482">
        <w:rPr>
          <w:rFonts w:ascii="Times New Roman" w:hAnsi="Times New Roman" w:cs="Times New Roman"/>
          <w:sz w:val="24"/>
          <w:szCs w:val="24"/>
        </w:rPr>
        <w:t xml:space="preserve">But the PUCO neither identified the pending matters nor the current law.  It did not explain how OCC’s recommendation may prejudice pending matters or how it may be inconsistent with current law.  It is axiomatic that </w:t>
      </w:r>
      <w:r w:rsidRPr="00421482" w:rsidR="00817AF9">
        <w:rPr>
          <w:rFonts w:ascii="Times New Roman" w:hAnsi="Times New Roman" w:cs="Times New Roman"/>
          <w:sz w:val="24"/>
          <w:szCs w:val="24"/>
        </w:rPr>
        <w:t xml:space="preserve">under R.C. 4903.09, </w:t>
      </w:r>
      <w:r w:rsidRPr="00421482">
        <w:rPr>
          <w:rFonts w:ascii="Times New Roman" w:hAnsi="Times New Roman" w:cs="Times New Roman"/>
          <w:sz w:val="24"/>
          <w:szCs w:val="24"/>
        </w:rPr>
        <w:t>the PUCO must explain the bases for its decisions.</w:t>
      </w:r>
      <w:r>
        <w:rPr>
          <w:rStyle w:val="FootnoteReference"/>
          <w:rFonts w:ascii="Times New Roman" w:hAnsi="Times New Roman" w:cs="Times New Roman"/>
          <w:sz w:val="24"/>
          <w:szCs w:val="24"/>
        </w:rPr>
        <w:footnoteReference w:id="19"/>
      </w:r>
      <w:r w:rsidRPr="00421482">
        <w:rPr>
          <w:rFonts w:ascii="Times New Roman" w:hAnsi="Times New Roman" w:cs="Times New Roman"/>
          <w:sz w:val="24"/>
          <w:szCs w:val="24"/>
        </w:rPr>
        <w:t xml:space="preserve">  It did not do so.  Its Order is therefore unreasonable and unlawful.  OCC’s application for rehearing should be granted.</w:t>
      </w:r>
    </w:p>
    <w:p w:rsidR="004E1FEB" w:rsidRPr="00421482" w:rsidP="00BB12AA" w14:paraId="7C29B340" w14:textId="77777777">
      <w:pPr>
        <w:autoSpaceDE w:val="0"/>
        <w:autoSpaceDN w:val="0"/>
        <w:adjustRightInd w:val="0"/>
        <w:spacing w:after="0" w:line="240" w:lineRule="auto"/>
        <w:rPr>
          <w:rFonts w:ascii="Times New Roman" w:hAnsi="Times New Roman" w:cs="Times New Roman"/>
          <w:bCs/>
          <w:sz w:val="24"/>
          <w:szCs w:val="24"/>
        </w:rPr>
      </w:pPr>
    </w:p>
    <w:p w:rsidR="00141BD6" w:rsidRPr="00421482" w:rsidP="00A438A0" w14:paraId="1339FCF6" w14:textId="4EA8A7B1">
      <w:pPr>
        <w:pStyle w:val="Heading1"/>
      </w:pPr>
      <w:bookmarkStart w:id="4" w:name="_Toc534639773"/>
      <w:r w:rsidRPr="00421482">
        <w:t>iv.</w:t>
      </w:r>
      <w:r w:rsidRPr="00421482">
        <w:tab/>
      </w:r>
      <w:r w:rsidRPr="00421482" w:rsidR="001D2205">
        <w:t>CONCLUSION</w:t>
      </w:r>
      <w:bookmarkEnd w:id="4"/>
      <w:r w:rsidRPr="00421482" w:rsidR="007327BD">
        <w:t xml:space="preserve"> </w:t>
      </w:r>
    </w:p>
    <w:p w:rsidR="005A29AE" w:rsidRPr="00421482" w:rsidP="00BB12AA" w14:paraId="6BD01A56" w14:textId="29D545E2">
      <w:pPr>
        <w:autoSpaceDE w:val="0"/>
        <w:autoSpaceDN w:val="0"/>
        <w:adjustRightInd w:val="0"/>
        <w:spacing w:line="480" w:lineRule="auto"/>
        <w:ind w:firstLine="720"/>
        <w:rPr>
          <w:rFonts w:ascii="Times New Roman" w:hAnsi="Times New Roman" w:cs="Times New Roman"/>
          <w:sz w:val="24"/>
          <w:szCs w:val="24"/>
        </w:rPr>
      </w:pPr>
      <w:r w:rsidRPr="00421482">
        <w:rPr>
          <w:rFonts w:ascii="Times New Roman" w:hAnsi="Times New Roman" w:cs="Times New Roman"/>
          <w:sz w:val="24"/>
          <w:szCs w:val="24"/>
        </w:rPr>
        <w:t>The competitive market is vitally important to consumers.  It facilitates the provision of low cost, reliable electricity.  OCC made recommendations to protect the competitive market</w:t>
      </w:r>
      <w:r w:rsidRPr="00421482" w:rsidR="00E056BB">
        <w:rPr>
          <w:rFonts w:ascii="Times New Roman" w:hAnsi="Times New Roman" w:cs="Times New Roman"/>
          <w:sz w:val="24"/>
          <w:szCs w:val="24"/>
        </w:rPr>
        <w:t xml:space="preserve"> and consumers</w:t>
      </w:r>
      <w:r w:rsidRPr="00421482">
        <w:rPr>
          <w:rFonts w:ascii="Times New Roman" w:hAnsi="Times New Roman" w:cs="Times New Roman"/>
          <w:sz w:val="24"/>
          <w:szCs w:val="24"/>
        </w:rPr>
        <w:t>.  The PUCO should have adopted them.  Its failure to do so was unreasonable and unlawful.</w:t>
      </w:r>
    </w:p>
    <w:p w:rsidR="00714ED0" w:rsidP="00A85CFE" w14:paraId="1CC77E29" w14:textId="77777777">
      <w:pPr>
        <w:ind w:left="3600" w:firstLine="720"/>
        <w:rPr>
          <w:rFonts w:ascii="Times New Roman" w:hAnsi="Times New Roman" w:cs="Times New Roman"/>
          <w:sz w:val="24"/>
          <w:szCs w:val="24"/>
        </w:rPr>
        <w:sectPr w:rsidSect="00714ED0">
          <w:pgSz w:w="12240" w:h="15840"/>
          <w:pgMar w:top="1440" w:right="1800" w:bottom="1440" w:left="1800" w:header="720" w:footer="720" w:gutter="0"/>
          <w:cols w:space="720"/>
          <w:docGrid w:linePitch="360"/>
        </w:sectPr>
      </w:pPr>
    </w:p>
    <w:p w:rsidR="00644C4A" w:rsidRPr="00421482" w:rsidP="00A85CFE" w14:paraId="479D7D32" w14:textId="630A4A0B">
      <w:pPr>
        <w:ind w:left="3600" w:firstLine="720"/>
        <w:rPr>
          <w:rFonts w:ascii="Times New Roman" w:hAnsi="Times New Roman" w:cs="Times New Roman"/>
          <w:sz w:val="24"/>
          <w:szCs w:val="24"/>
        </w:rPr>
      </w:pPr>
      <w:r w:rsidRPr="00421482">
        <w:rPr>
          <w:rFonts w:ascii="Times New Roman" w:hAnsi="Times New Roman" w:cs="Times New Roman"/>
          <w:sz w:val="24"/>
          <w:szCs w:val="24"/>
        </w:rPr>
        <w:t>Respectfully submitted,</w:t>
      </w:r>
    </w:p>
    <w:p w:rsidR="00644C4A" w:rsidRPr="00421482" w:rsidP="00644C4A" w14:paraId="7FD8CD70" w14:textId="77777777">
      <w:pPr>
        <w:spacing w:after="0" w:line="240" w:lineRule="auto"/>
        <w:ind w:left="3600" w:firstLine="720"/>
        <w:rPr>
          <w:rFonts w:ascii="Times New Roman" w:hAnsi="Times New Roman" w:cs="Times New Roman"/>
          <w:sz w:val="24"/>
          <w:szCs w:val="24"/>
        </w:rPr>
      </w:pPr>
      <w:r w:rsidRPr="00421482">
        <w:rPr>
          <w:rFonts w:ascii="Times New Roman" w:hAnsi="Times New Roman" w:cs="Times New Roman"/>
          <w:sz w:val="24"/>
          <w:szCs w:val="24"/>
        </w:rPr>
        <w:t>Bruce Weston (0016973)</w:t>
      </w:r>
    </w:p>
    <w:p w:rsidR="00644C4A" w:rsidRPr="00421482" w:rsidP="00644C4A" w14:paraId="3B4E3F91" w14:textId="77777777">
      <w:pPr>
        <w:tabs>
          <w:tab w:val="left" w:pos="4320"/>
        </w:tabs>
        <w:spacing w:after="0" w:line="240" w:lineRule="auto"/>
        <w:rPr>
          <w:rFonts w:ascii="Times New Roman" w:hAnsi="Times New Roman" w:cs="Times New Roman"/>
          <w:sz w:val="24"/>
          <w:szCs w:val="24"/>
        </w:rPr>
      </w:pPr>
      <w:r w:rsidRPr="00421482">
        <w:rPr>
          <w:rFonts w:ascii="Times New Roman" w:hAnsi="Times New Roman" w:cs="Times New Roman"/>
          <w:sz w:val="24"/>
          <w:szCs w:val="24"/>
        </w:rPr>
        <w:tab/>
        <w:t xml:space="preserve">Ohio Consumers’ Counsel </w:t>
      </w:r>
    </w:p>
    <w:p w:rsidR="00644C4A" w:rsidRPr="00421482" w:rsidP="00644C4A" w14:paraId="43E97D82" w14:textId="77777777">
      <w:pPr>
        <w:tabs>
          <w:tab w:val="left" w:pos="4320"/>
        </w:tabs>
        <w:spacing w:after="0" w:line="240" w:lineRule="auto"/>
        <w:rPr>
          <w:rFonts w:ascii="Times New Roman" w:hAnsi="Times New Roman" w:cs="Times New Roman"/>
          <w:sz w:val="24"/>
          <w:szCs w:val="24"/>
        </w:rPr>
      </w:pPr>
    </w:p>
    <w:p w:rsidR="00644C4A" w:rsidRPr="00421482" w:rsidP="00644C4A" w14:paraId="6F80CA47" w14:textId="77777777">
      <w:pPr>
        <w:tabs>
          <w:tab w:val="left" w:pos="4320"/>
        </w:tabs>
        <w:spacing w:after="0" w:line="240" w:lineRule="auto"/>
        <w:ind w:left="4320"/>
        <w:rPr>
          <w:rFonts w:ascii="Times New Roman" w:hAnsi="Times New Roman" w:cs="Times New Roman"/>
          <w:i/>
          <w:iCs/>
          <w:sz w:val="24"/>
          <w:szCs w:val="24"/>
          <w:u w:val="single"/>
        </w:rPr>
      </w:pPr>
      <w:r w:rsidRPr="00421482">
        <w:rPr>
          <w:rFonts w:ascii="Times New Roman" w:hAnsi="Times New Roman" w:cs="Times New Roman"/>
          <w:i/>
          <w:iCs/>
          <w:sz w:val="24"/>
          <w:szCs w:val="24"/>
          <w:u w:val="single"/>
        </w:rPr>
        <w:t>/s/ William J. Michael</w:t>
      </w:r>
    </w:p>
    <w:p w:rsidR="00644C4A" w:rsidRPr="00421482" w:rsidP="00644C4A" w14:paraId="3ADCEEC5" w14:textId="77777777">
      <w:pPr>
        <w:tabs>
          <w:tab w:val="left" w:pos="4320"/>
        </w:tabs>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William J. Michael, (0070921)</w:t>
      </w:r>
    </w:p>
    <w:p w:rsidR="00644C4A" w:rsidRPr="00421482" w:rsidP="00644C4A" w14:paraId="48C0C179" w14:textId="77777777">
      <w:pPr>
        <w:tabs>
          <w:tab w:val="left" w:pos="4320"/>
        </w:tabs>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Counsel of Record</w:t>
      </w:r>
    </w:p>
    <w:p w:rsidR="00644C4A" w:rsidRPr="00421482" w:rsidP="00644C4A" w14:paraId="25CB2ADB" w14:textId="77777777">
      <w:pPr>
        <w:tabs>
          <w:tab w:val="left" w:pos="4320"/>
        </w:tabs>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Assistant Consumers’ Counsel</w:t>
      </w:r>
    </w:p>
    <w:p w:rsidR="00644C4A" w:rsidRPr="00421482" w:rsidP="00644C4A" w14:paraId="7E37DC9C" w14:textId="77777777">
      <w:pPr>
        <w:tabs>
          <w:tab w:val="left" w:pos="4320"/>
        </w:tabs>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ab/>
      </w:r>
    </w:p>
    <w:p w:rsidR="00644C4A" w:rsidRPr="00421482" w:rsidP="00644C4A" w14:paraId="401750B2" w14:textId="77777777">
      <w:pPr>
        <w:spacing w:after="0" w:line="240" w:lineRule="auto"/>
        <w:ind w:left="4320"/>
        <w:rPr>
          <w:rFonts w:ascii="Times New Roman" w:hAnsi="Times New Roman" w:cs="Times New Roman"/>
          <w:b/>
          <w:sz w:val="24"/>
          <w:szCs w:val="24"/>
        </w:rPr>
      </w:pPr>
      <w:r w:rsidRPr="00421482">
        <w:rPr>
          <w:rFonts w:ascii="Times New Roman" w:hAnsi="Times New Roman" w:cs="Times New Roman"/>
          <w:b/>
          <w:sz w:val="24"/>
          <w:szCs w:val="24"/>
        </w:rPr>
        <w:t>Office of the Ohio Consumers’ Counsel</w:t>
      </w:r>
    </w:p>
    <w:p w:rsidR="00644C4A" w:rsidRPr="00421482" w:rsidP="00644C4A" w14:paraId="597F989A" w14:textId="77777777">
      <w:pPr>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65 East State Street, 7</w:t>
      </w:r>
      <w:r w:rsidRPr="00421482">
        <w:rPr>
          <w:rFonts w:ascii="Times New Roman" w:hAnsi="Times New Roman" w:cs="Times New Roman"/>
          <w:sz w:val="24"/>
          <w:szCs w:val="24"/>
          <w:vertAlign w:val="superscript"/>
        </w:rPr>
        <w:t>th</w:t>
      </w:r>
      <w:r w:rsidRPr="00421482">
        <w:rPr>
          <w:rFonts w:ascii="Times New Roman" w:hAnsi="Times New Roman" w:cs="Times New Roman"/>
          <w:sz w:val="24"/>
          <w:szCs w:val="24"/>
        </w:rPr>
        <w:t xml:space="preserve"> Floor</w:t>
      </w:r>
    </w:p>
    <w:p w:rsidR="00644C4A" w:rsidRPr="00421482" w:rsidP="00644C4A" w14:paraId="0F0E20EB" w14:textId="77777777">
      <w:pPr>
        <w:spacing w:after="0" w:line="240" w:lineRule="auto"/>
        <w:ind w:left="4320"/>
        <w:rPr>
          <w:rFonts w:ascii="Times New Roman" w:hAnsi="Times New Roman" w:cs="Times New Roman"/>
          <w:b/>
          <w:sz w:val="24"/>
          <w:szCs w:val="24"/>
        </w:rPr>
      </w:pPr>
      <w:r w:rsidRPr="00421482">
        <w:rPr>
          <w:rFonts w:ascii="Times New Roman" w:hAnsi="Times New Roman" w:cs="Times New Roman"/>
          <w:sz w:val="24"/>
          <w:szCs w:val="24"/>
        </w:rPr>
        <w:t>Columbus, Ohio 43215</w:t>
      </w:r>
    </w:p>
    <w:p w:rsidR="00644C4A" w:rsidRPr="00421482" w:rsidP="00644C4A" w14:paraId="2C118A19" w14:textId="77777777">
      <w:pPr>
        <w:spacing w:after="0" w:line="240" w:lineRule="auto"/>
        <w:ind w:left="4320"/>
        <w:rPr>
          <w:rFonts w:ascii="Times New Roman" w:hAnsi="Times New Roman" w:cs="Times New Roman"/>
          <w:sz w:val="24"/>
          <w:szCs w:val="24"/>
        </w:rPr>
      </w:pPr>
      <w:r w:rsidRPr="00421482">
        <w:rPr>
          <w:rFonts w:ascii="Times New Roman" w:hAnsi="Times New Roman" w:cs="Times New Roman"/>
          <w:sz w:val="24"/>
          <w:szCs w:val="24"/>
        </w:rPr>
        <w:t>Telephone: [Michael] (614) 466-1291</w:t>
      </w:r>
    </w:p>
    <w:p w:rsidR="00644C4A" w:rsidRPr="00421482" w:rsidP="00644C4A" w14:paraId="37EBB9CC" w14:textId="77777777">
      <w:pPr>
        <w:spacing w:after="0" w:line="240" w:lineRule="auto"/>
        <w:ind w:left="4320"/>
        <w:rPr>
          <w:rFonts w:ascii="Times New Roman" w:hAnsi="Times New Roman" w:cs="Times New Roman"/>
          <w:color w:val="0000FF" w:themeColor="hyperlink"/>
          <w:sz w:val="24"/>
          <w:szCs w:val="24"/>
          <w:u w:val="single"/>
        </w:rPr>
      </w:pPr>
      <w:hyperlink r:id="rId7" w:history="1">
        <w:r w:rsidRPr="00421482">
          <w:rPr>
            <w:rStyle w:val="Hyperlink"/>
            <w:rFonts w:ascii="Times New Roman" w:hAnsi="Times New Roman" w:cs="Times New Roman"/>
            <w:sz w:val="24"/>
            <w:szCs w:val="24"/>
          </w:rPr>
          <w:t>william.michael@occ.ohio.gov</w:t>
        </w:r>
      </w:hyperlink>
    </w:p>
    <w:p w:rsidR="00644C4A" w:rsidRPr="00421482" w:rsidP="00644C4A" w14:paraId="6943A358" w14:textId="3ACA0C66">
      <w:pPr>
        <w:spacing w:after="0" w:line="240" w:lineRule="auto"/>
        <w:rPr>
          <w:rFonts w:ascii="Times New Roman" w:hAnsi="Times New Roman" w:cs="Times New Roman"/>
          <w:sz w:val="24"/>
          <w:szCs w:val="24"/>
        </w:rPr>
        <w:sectPr w:rsidSect="00714ED0">
          <w:pgSz w:w="12240" w:h="15840"/>
          <w:pgMar w:top="1440" w:right="1800" w:bottom="1440" w:left="1800" w:header="720" w:footer="720" w:gutter="0"/>
          <w:cols w:space="720"/>
          <w:docGrid w:linePitch="360"/>
        </w:sectPr>
      </w:pP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color w:val="0000FF" w:themeColor="hyperlink"/>
          <w:sz w:val="24"/>
          <w:szCs w:val="24"/>
        </w:rPr>
        <w:tab/>
      </w:r>
      <w:r w:rsidRPr="00421482">
        <w:rPr>
          <w:rFonts w:ascii="Times New Roman" w:hAnsi="Times New Roman" w:cs="Times New Roman"/>
          <w:sz w:val="24"/>
          <w:szCs w:val="24"/>
        </w:rPr>
        <w:t>(Willing to accept service by e-mail)</w:t>
      </w:r>
    </w:p>
    <w:p w:rsidR="00644C4A" w:rsidRPr="00421482" w:rsidP="00644C4A" w14:paraId="30103ED6" w14:textId="77777777">
      <w:pPr>
        <w:ind w:left="2160" w:firstLine="720"/>
        <w:rPr>
          <w:rFonts w:ascii="Times New Roman" w:hAnsi="Times New Roman" w:cs="Times New Roman"/>
          <w:b/>
          <w:bCs/>
          <w:sz w:val="24"/>
          <w:szCs w:val="24"/>
          <w:u w:val="single"/>
        </w:rPr>
      </w:pPr>
      <w:r w:rsidRPr="00421482">
        <w:rPr>
          <w:rFonts w:ascii="Times New Roman" w:hAnsi="Times New Roman" w:cs="Times New Roman"/>
          <w:b/>
          <w:bCs/>
          <w:sz w:val="24"/>
          <w:szCs w:val="24"/>
          <w:u w:val="single"/>
        </w:rPr>
        <w:t>CERTIFICATE OF SERVICE</w:t>
      </w:r>
    </w:p>
    <w:p w:rsidR="00644C4A" w:rsidRPr="00421482" w:rsidP="00644C4A" w14:paraId="7A4765E4" w14:textId="77777777">
      <w:pPr>
        <w:pStyle w:val="EndnoteText"/>
        <w:tabs>
          <w:tab w:val="left" w:pos="-720"/>
        </w:tabs>
        <w:suppressAutoHyphens/>
        <w:rPr>
          <w:rFonts w:ascii="Times New Roman" w:hAnsi="Times New Roman" w:cs="Times New Roman"/>
          <w:spacing w:val="-3"/>
          <w:sz w:val="24"/>
          <w:szCs w:val="24"/>
        </w:rPr>
      </w:pPr>
    </w:p>
    <w:p w:rsidR="00644C4A" w:rsidRPr="00421482" w:rsidP="00644C4A" w14:paraId="201CC6FA" w14:textId="638E0692">
      <w:pPr>
        <w:tabs>
          <w:tab w:val="left" w:pos="-720"/>
        </w:tabs>
        <w:suppressAutoHyphens/>
        <w:spacing w:line="480" w:lineRule="auto"/>
        <w:ind w:firstLine="720"/>
        <w:rPr>
          <w:rFonts w:ascii="Times New Roman" w:hAnsi="Times New Roman" w:cs="Times New Roman"/>
          <w:sz w:val="24"/>
          <w:szCs w:val="24"/>
        </w:rPr>
      </w:pPr>
      <w:r w:rsidRPr="00421482">
        <w:rPr>
          <w:rFonts w:ascii="Times New Roman" w:hAnsi="Times New Roman" w:cs="Times New Roman"/>
          <w:sz w:val="24"/>
          <w:szCs w:val="24"/>
        </w:rPr>
        <w:t>It is hereby certified that a true copy of the foregoing Application for Rehearing was served by electronic transmission upon the parties below this 1</w:t>
      </w:r>
      <w:r w:rsidRPr="00421482" w:rsidR="00775677">
        <w:rPr>
          <w:rFonts w:ascii="Times New Roman" w:hAnsi="Times New Roman" w:cs="Times New Roman"/>
          <w:sz w:val="24"/>
          <w:szCs w:val="24"/>
        </w:rPr>
        <w:t>7</w:t>
      </w:r>
      <w:r w:rsidRPr="00421482">
        <w:rPr>
          <w:rFonts w:ascii="Times New Roman" w:hAnsi="Times New Roman" w:cs="Times New Roman"/>
          <w:sz w:val="24"/>
          <w:szCs w:val="24"/>
        </w:rPr>
        <w:t>th day of July 20</w:t>
      </w:r>
      <w:r w:rsidRPr="00421482" w:rsidR="00775677">
        <w:rPr>
          <w:rFonts w:ascii="Times New Roman" w:hAnsi="Times New Roman" w:cs="Times New Roman"/>
          <w:sz w:val="24"/>
          <w:szCs w:val="24"/>
        </w:rPr>
        <w:t>20.</w:t>
      </w:r>
    </w:p>
    <w:p w:rsidR="00644C4A" w:rsidRPr="00421482" w:rsidP="00644C4A" w14:paraId="0B0A3512" w14:textId="77777777">
      <w:pPr>
        <w:pStyle w:val="EndnoteText"/>
        <w:rPr>
          <w:rFonts w:ascii="Times New Roman" w:hAnsi="Times New Roman" w:cs="Times New Roman"/>
          <w:sz w:val="24"/>
          <w:szCs w:val="24"/>
        </w:rPr>
      </w:pPr>
    </w:p>
    <w:p w:rsidR="00644C4A" w:rsidRPr="00421482" w:rsidP="00644C4A" w14:paraId="21A2BB9F" w14:textId="77777777">
      <w:pPr>
        <w:pStyle w:val="EndnoteText"/>
        <w:rPr>
          <w:rFonts w:ascii="Times New Roman" w:hAnsi="Times New Roman" w:cs="Times New Roman"/>
          <w:sz w:val="24"/>
          <w:szCs w:val="24"/>
        </w:rPr>
      </w:pP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i/>
          <w:sz w:val="24"/>
          <w:szCs w:val="24"/>
          <w:u w:val="single"/>
        </w:rPr>
        <w:t>/s/ William J. Michael</w:t>
      </w:r>
      <w:r w:rsidRPr="00421482">
        <w:rPr>
          <w:rFonts w:ascii="Times New Roman" w:hAnsi="Times New Roman" w:cs="Times New Roman"/>
          <w:i/>
          <w:sz w:val="24"/>
          <w:szCs w:val="24"/>
          <w:u w:val="single"/>
        </w:rPr>
        <w:tab/>
      </w:r>
    </w:p>
    <w:p w:rsidR="00644C4A" w:rsidRPr="00421482" w:rsidP="00644C4A" w14:paraId="7B04928F" w14:textId="77777777">
      <w:pPr>
        <w:pStyle w:val="EndnoteText"/>
        <w:rPr>
          <w:rFonts w:ascii="Times New Roman" w:hAnsi="Times New Roman" w:cs="Times New Roman"/>
          <w:sz w:val="24"/>
          <w:szCs w:val="24"/>
        </w:rPr>
      </w:pP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t>William J. Michael</w:t>
      </w:r>
    </w:p>
    <w:p w:rsidR="00644C4A" w:rsidRPr="00421482" w:rsidP="00644C4A" w14:paraId="797762F2" w14:textId="77777777">
      <w:pPr>
        <w:pStyle w:val="EndnoteText"/>
        <w:rPr>
          <w:rFonts w:ascii="Times New Roman" w:hAnsi="Times New Roman" w:cs="Times New Roman"/>
          <w:sz w:val="24"/>
          <w:szCs w:val="24"/>
        </w:rPr>
      </w:pP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r>
      <w:r w:rsidRPr="00421482">
        <w:rPr>
          <w:rFonts w:ascii="Times New Roman" w:hAnsi="Times New Roman" w:cs="Times New Roman"/>
          <w:sz w:val="24"/>
          <w:szCs w:val="24"/>
        </w:rPr>
        <w:tab/>
        <w:t>Assistant Consumers’ Counsel</w:t>
      </w:r>
    </w:p>
    <w:p w:rsidR="00644C4A" w:rsidRPr="00421482" w:rsidP="00644C4A" w14:paraId="741BC670" w14:textId="77777777">
      <w:pPr>
        <w:pStyle w:val="EndnoteText"/>
        <w:rPr>
          <w:rFonts w:ascii="Times New Roman" w:hAnsi="Times New Roman" w:cs="Times New Roman"/>
          <w:sz w:val="24"/>
          <w:szCs w:val="24"/>
        </w:rPr>
      </w:pPr>
    </w:p>
    <w:p w:rsidR="00644C4A" w:rsidRPr="00421482" w:rsidP="00644C4A" w14:paraId="68989F83" w14:textId="77777777">
      <w:pPr>
        <w:pStyle w:val="EndnoteText"/>
        <w:jc w:val="center"/>
        <w:rPr>
          <w:rFonts w:ascii="Times New Roman" w:hAnsi="Times New Roman" w:cs="Times New Roman"/>
          <w:b/>
          <w:bCs/>
          <w:sz w:val="24"/>
          <w:szCs w:val="24"/>
        </w:rPr>
      </w:pPr>
    </w:p>
    <w:p w:rsidR="00644C4A" w:rsidRPr="00421482" w:rsidP="00644C4A" w14:paraId="422C42ED" w14:textId="77777777">
      <w:pPr>
        <w:pStyle w:val="CommentText"/>
        <w:jc w:val="center"/>
        <w:rPr>
          <w:rFonts w:ascii="Times New Roman" w:hAnsi="Times New Roman" w:cs="Times New Roman"/>
          <w:b/>
          <w:bCs/>
          <w:sz w:val="24"/>
          <w:szCs w:val="24"/>
          <w:u w:val="single"/>
        </w:rPr>
      </w:pPr>
      <w:r w:rsidRPr="00421482">
        <w:rPr>
          <w:rFonts w:ascii="Times New Roman" w:hAnsi="Times New Roman" w:cs="Times New Roman"/>
          <w:b/>
          <w:bCs/>
          <w:sz w:val="24"/>
          <w:szCs w:val="24"/>
          <w:u w:val="single"/>
        </w:rPr>
        <w:t>SERVICE LIST</w:t>
      </w:r>
    </w:p>
    <w:p w:rsidR="00644C4A" w:rsidRPr="00421482" w:rsidP="00775677" w14:paraId="37104BE0" w14:textId="77777777">
      <w:pPr>
        <w:pStyle w:val="CommentText"/>
        <w:spacing w:after="0"/>
        <w:jc w:val="center"/>
        <w:rPr>
          <w:rFonts w:ascii="Times New Roman" w:hAnsi="Times New Roman" w:cs="Times New Roman"/>
          <w:b/>
          <w:bCs/>
          <w:sz w:val="24"/>
          <w:szCs w:val="24"/>
          <w:u w:val="single"/>
        </w:rPr>
      </w:pPr>
    </w:p>
    <w:tbl>
      <w:tblPr>
        <w:tblW w:w="0" w:type="auto"/>
        <w:tblLook w:val="04A0"/>
      </w:tblPr>
      <w:tblGrid>
        <w:gridCol w:w="4349"/>
        <w:gridCol w:w="4291"/>
      </w:tblGrid>
      <w:tr w14:paraId="20BB37C9" w14:textId="77777777" w:rsidTr="00B874A1">
        <w:tblPrEx>
          <w:tblW w:w="0" w:type="auto"/>
          <w:tblLook w:val="04A0"/>
        </w:tblPrEx>
        <w:tc>
          <w:tcPr>
            <w:tcW w:w="4428" w:type="dxa"/>
            <w:shd w:val="clear" w:color="auto" w:fill="auto"/>
          </w:tcPr>
          <w:p w:rsidR="00644C4A" w:rsidRPr="00421482" w:rsidP="00775677" w14:paraId="073B98AF" w14:textId="01502553">
            <w:pPr>
              <w:pStyle w:val="CommentText"/>
              <w:spacing w:after="0"/>
              <w:rPr>
                <w:rFonts w:ascii="Times New Roman" w:hAnsi="Times New Roman" w:cs="Times New Roman"/>
                <w:sz w:val="24"/>
                <w:szCs w:val="24"/>
              </w:rPr>
            </w:pPr>
            <w:hyperlink r:id="rId15" w:history="1">
              <w:r w:rsidRPr="00421482">
                <w:rPr>
                  <w:rStyle w:val="Hyperlink"/>
                  <w:rFonts w:ascii="Times New Roman" w:eastAsia="Times New Roman" w:hAnsi="Times New Roman" w:cs="Times New Roman"/>
                  <w:color w:val="0000FF"/>
                  <w:sz w:val="24"/>
                  <w:szCs w:val="24"/>
                </w:rPr>
                <w:t>John.jones@ohioattorneygeneral.gov</w:t>
              </w:r>
            </w:hyperlink>
          </w:p>
          <w:p w:rsidR="00775677" w:rsidRPr="00421482" w:rsidP="00775677" w14:paraId="7AB499F2" w14:textId="2CAF8D20">
            <w:pPr>
              <w:pStyle w:val="CommentText"/>
              <w:spacing w:after="0"/>
              <w:rPr>
                <w:rFonts w:ascii="Times New Roman" w:hAnsi="Times New Roman" w:cs="Times New Roman"/>
                <w:sz w:val="24"/>
                <w:szCs w:val="24"/>
              </w:rPr>
            </w:pPr>
            <w:hyperlink r:id="rId16" w:history="1">
              <w:r w:rsidRPr="00421482">
                <w:rPr>
                  <w:rStyle w:val="Hyperlink"/>
                  <w:rFonts w:ascii="Times New Roman" w:hAnsi="Times New Roman" w:cs="Times New Roman"/>
                  <w:sz w:val="24"/>
                  <w:szCs w:val="24"/>
                </w:rPr>
                <w:t>scasto@firstenergycorp.com</w:t>
              </w:r>
            </w:hyperlink>
          </w:p>
          <w:p w:rsidR="00775677" w:rsidRPr="00421482" w:rsidP="00775677" w14:paraId="0286B801" w14:textId="77777777">
            <w:pPr>
              <w:autoSpaceDE w:val="0"/>
              <w:autoSpaceDN w:val="0"/>
              <w:adjustRightInd w:val="0"/>
              <w:spacing w:after="0" w:line="240" w:lineRule="auto"/>
              <w:rPr>
                <w:rFonts w:ascii="Times New Roman" w:hAnsi="Times New Roman" w:cs="Times New Roman"/>
                <w:color w:val="0000FF"/>
                <w:sz w:val="24"/>
                <w:szCs w:val="24"/>
              </w:rPr>
            </w:pPr>
            <w:r w:rsidRPr="00421482">
              <w:rPr>
                <w:rFonts w:ascii="Times New Roman" w:hAnsi="Times New Roman" w:cs="Times New Roman"/>
                <w:color w:val="0000FF"/>
                <w:sz w:val="24"/>
                <w:szCs w:val="24"/>
              </w:rPr>
              <w:t>Rocco.DAscenzo@duke-energy.com</w:t>
            </w:r>
          </w:p>
          <w:p w:rsidR="00775677" w:rsidRPr="00421482" w:rsidP="00775677" w14:paraId="054DB344" w14:textId="77777777">
            <w:pPr>
              <w:autoSpaceDE w:val="0"/>
              <w:autoSpaceDN w:val="0"/>
              <w:adjustRightInd w:val="0"/>
              <w:spacing w:after="0" w:line="240" w:lineRule="auto"/>
              <w:rPr>
                <w:rFonts w:ascii="Times New Roman" w:hAnsi="Times New Roman" w:cs="Times New Roman"/>
                <w:color w:val="0000FF"/>
                <w:sz w:val="24"/>
                <w:szCs w:val="24"/>
              </w:rPr>
            </w:pPr>
            <w:r w:rsidRPr="00421482">
              <w:rPr>
                <w:rFonts w:ascii="Times New Roman" w:hAnsi="Times New Roman" w:cs="Times New Roman"/>
                <w:color w:val="0000FF"/>
                <w:sz w:val="24"/>
                <w:szCs w:val="24"/>
              </w:rPr>
              <w:t>Jeanne.Kingery@duke-energy.com</w:t>
            </w:r>
          </w:p>
          <w:p w:rsidR="00775677" w:rsidRPr="00421482" w:rsidP="00775677" w14:paraId="7BF551BB" w14:textId="10E2F453">
            <w:pPr>
              <w:pStyle w:val="CommentText"/>
              <w:spacing w:after="0"/>
              <w:rPr>
                <w:rFonts w:ascii="Times New Roman" w:hAnsi="Times New Roman" w:cs="Times New Roman"/>
                <w:sz w:val="24"/>
                <w:szCs w:val="24"/>
              </w:rPr>
            </w:pPr>
            <w:r w:rsidRPr="00421482">
              <w:rPr>
                <w:rFonts w:ascii="Times New Roman" w:hAnsi="Times New Roman" w:cs="Times New Roman"/>
                <w:color w:val="0000FF"/>
                <w:sz w:val="24"/>
                <w:szCs w:val="24"/>
              </w:rPr>
              <w:t>Larisa.Vaysman@duke-energy.com</w:t>
            </w:r>
          </w:p>
          <w:p w:rsidR="00775677" w:rsidRPr="00421482" w:rsidP="00775677" w14:paraId="06212ECF" w14:textId="501E8C0A">
            <w:pPr>
              <w:autoSpaceDE w:val="0"/>
              <w:autoSpaceDN w:val="0"/>
              <w:adjustRightInd w:val="0"/>
              <w:spacing w:after="0" w:line="240" w:lineRule="auto"/>
              <w:rPr>
                <w:rFonts w:ascii="Times New Roman" w:hAnsi="Times New Roman" w:cs="Times New Roman"/>
                <w:sz w:val="24"/>
                <w:szCs w:val="24"/>
              </w:rPr>
            </w:pPr>
            <w:hyperlink r:id="rId17" w:history="1">
              <w:r w:rsidRPr="00421482">
                <w:rPr>
                  <w:rStyle w:val="Hyperlink"/>
                  <w:rFonts w:ascii="Times New Roman" w:hAnsi="Times New Roman" w:cs="Times New Roman"/>
                  <w:sz w:val="24"/>
                  <w:szCs w:val="24"/>
                </w:rPr>
                <w:t>mpritchard@mcneeslaw.com</w:t>
              </w:r>
            </w:hyperlink>
          </w:p>
          <w:p w:rsidR="00775677" w:rsidRPr="00421482" w:rsidP="00775677" w14:paraId="19CBA3F8" w14:textId="55C6E79C">
            <w:pPr>
              <w:autoSpaceDE w:val="0"/>
              <w:autoSpaceDN w:val="0"/>
              <w:adjustRightInd w:val="0"/>
              <w:spacing w:after="0" w:line="240" w:lineRule="auto"/>
              <w:rPr>
                <w:rFonts w:ascii="Times New Roman" w:hAnsi="Times New Roman" w:cs="Times New Roman"/>
                <w:sz w:val="24"/>
                <w:szCs w:val="24"/>
              </w:rPr>
            </w:pPr>
            <w:hyperlink r:id="rId18" w:history="1">
              <w:r w:rsidRPr="00421482">
                <w:rPr>
                  <w:rStyle w:val="Hyperlink"/>
                  <w:rFonts w:ascii="Times New Roman" w:hAnsi="Times New Roman" w:cs="Times New Roman"/>
                  <w:sz w:val="24"/>
                  <w:szCs w:val="24"/>
                </w:rPr>
                <w:t>fdarr@mcneeslaw.com</w:t>
              </w:r>
            </w:hyperlink>
          </w:p>
          <w:p w:rsidR="00775677" w:rsidRPr="00421482" w:rsidP="00775677" w14:paraId="1E795414" w14:textId="77777777">
            <w:pPr>
              <w:pStyle w:val="CommentText"/>
              <w:spacing w:after="0"/>
              <w:rPr>
                <w:rFonts w:ascii="Times New Roman" w:eastAsia="Times New Roman" w:hAnsi="Times New Roman" w:cs="Times New Roman"/>
                <w:bCs/>
                <w:sz w:val="24"/>
                <w:szCs w:val="24"/>
              </w:rPr>
            </w:pPr>
          </w:p>
          <w:p w:rsidR="00644C4A" w:rsidRPr="00421482" w:rsidP="00775677" w14:paraId="560402A4" w14:textId="69773D58">
            <w:pPr>
              <w:pStyle w:val="CommentText"/>
              <w:spacing w:after="0"/>
              <w:rPr>
                <w:rFonts w:ascii="Times New Roman" w:hAnsi="Times New Roman" w:cs="Times New Roman"/>
                <w:bCs/>
                <w:sz w:val="24"/>
                <w:szCs w:val="24"/>
              </w:rPr>
            </w:pPr>
            <w:r w:rsidRPr="00421482">
              <w:rPr>
                <w:rFonts w:ascii="Times New Roman" w:eastAsia="Times New Roman" w:hAnsi="Times New Roman" w:cs="Times New Roman"/>
                <w:bCs/>
                <w:sz w:val="24"/>
                <w:szCs w:val="24"/>
              </w:rPr>
              <w:t>Attorney Examiners:</w:t>
            </w:r>
          </w:p>
          <w:p w:rsidR="00644C4A" w:rsidRPr="00421482" w:rsidP="00775677" w14:paraId="04E18A42" w14:textId="77777777">
            <w:pPr>
              <w:pStyle w:val="CommentText"/>
              <w:spacing w:after="0"/>
              <w:rPr>
                <w:rFonts w:ascii="Times New Roman" w:hAnsi="Times New Roman" w:cs="Times New Roman"/>
                <w:bCs/>
                <w:sz w:val="24"/>
                <w:szCs w:val="24"/>
              </w:rPr>
            </w:pPr>
            <w:hyperlink r:id="rId19" w:history="1">
              <w:r w:rsidRPr="00421482">
                <w:rPr>
                  <w:rStyle w:val="Hyperlink"/>
                  <w:rFonts w:ascii="Times New Roman" w:eastAsia="Times New Roman" w:hAnsi="Times New Roman" w:cs="Times New Roman"/>
                  <w:bCs/>
                  <w:color w:val="0000FF"/>
                  <w:sz w:val="24"/>
                  <w:szCs w:val="24"/>
                </w:rPr>
                <w:t>james.lynn@puco.ohio.gov</w:t>
              </w:r>
            </w:hyperlink>
          </w:p>
          <w:p w:rsidR="00644C4A" w:rsidRPr="00421482" w:rsidP="00775677" w14:paraId="5B81C5E4" w14:textId="77777777">
            <w:pPr>
              <w:pStyle w:val="CommentText"/>
              <w:spacing w:after="0"/>
              <w:rPr>
                <w:rFonts w:ascii="Times New Roman" w:hAnsi="Times New Roman" w:cs="Times New Roman"/>
                <w:bCs/>
                <w:sz w:val="24"/>
                <w:szCs w:val="24"/>
              </w:rPr>
            </w:pPr>
          </w:p>
          <w:p w:rsidR="00644C4A" w:rsidRPr="00421482" w:rsidP="00775677" w14:paraId="1C919359" w14:textId="77777777">
            <w:pPr>
              <w:pStyle w:val="CommentText"/>
              <w:spacing w:after="0"/>
              <w:rPr>
                <w:rFonts w:ascii="Times New Roman" w:hAnsi="Times New Roman" w:cs="Times New Roman"/>
                <w:bCs/>
                <w:sz w:val="24"/>
                <w:szCs w:val="24"/>
              </w:rPr>
            </w:pPr>
          </w:p>
          <w:p w:rsidR="00644C4A" w:rsidRPr="00421482" w:rsidP="00775677" w14:paraId="17CE76CE" w14:textId="77777777">
            <w:pPr>
              <w:pStyle w:val="CommentText"/>
              <w:spacing w:after="0"/>
              <w:rPr>
                <w:rFonts w:ascii="Times New Roman" w:hAnsi="Times New Roman" w:cs="Times New Roman"/>
                <w:bCs/>
                <w:sz w:val="24"/>
                <w:szCs w:val="24"/>
              </w:rPr>
            </w:pPr>
          </w:p>
          <w:p w:rsidR="00644C4A" w:rsidRPr="00421482" w:rsidP="00775677" w14:paraId="66B07C86" w14:textId="77777777">
            <w:pPr>
              <w:pStyle w:val="CommentText"/>
              <w:spacing w:after="0"/>
              <w:rPr>
                <w:rFonts w:ascii="Times New Roman" w:hAnsi="Times New Roman" w:cs="Times New Roman"/>
                <w:bCs/>
                <w:sz w:val="24"/>
                <w:szCs w:val="24"/>
              </w:rPr>
            </w:pPr>
          </w:p>
          <w:p w:rsidR="00644C4A" w:rsidRPr="00421482" w:rsidP="00775677" w14:paraId="1BA609A8" w14:textId="77777777">
            <w:pPr>
              <w:pStyle w:val="CommentText"/>
              <w:spacing w:after="0"/>
              <w:rPr>
                <w:rFonts w:ascii="Times New Roman" w:hAnsi="Times New Roman" w:cs="Times New Roman"/>
                <w:bCs/>
                <w:sz w:val="24"/>
                <w:szCs w:val="24"/>
              </w:rPr>
            </w:pPr>
          </w:p>
          <w:p w:rsidR="00644C4A" w:rsidRPr="00421482" w:rsidP="00775677" w14:paraId="4BCD37DD" w14:textId="77777777">
            <w:pPr>
              <w:pStyle w:val="CommentText"/>
              <w:spacing w:after="0"/>
              <w:rPr>
                <w:rFonts w:ascii="Times New Roman" w:hAnsi="Times New Roman" w:cs="Times New Roman"/>
                <w:bCs/>
                <w:sz w:val="24"/>
                <w:szCs w:val="24"/>
              </w:rPr>
            </w:pPr>
            <w:r w:rsidRPr="00421482">
              <w:rPr>
                <w:rFonts w:ascii="Times New Roman" w:eastAsia="Times New Roman" w:hAnsi="Times New Roman" w:cs="Times New Roman"/>
                <w:bCs/>
                <w:sz w:val="24"/>
                <w:szCs w:val="24"/>
              </w:rPr>
              <w:t xml:space="preserve"> </w:t>
            </w:r>
          </w:p>
        </w:tc>
        <w:tc>
          <w:tcPr>
            <w:tcW w:w="4428" w:type="dxa"/>
            <w:shd w:val="clear" w:color="auto" w:fill="auto"/>
          </w:tcPr>
          <w:p w:rsidR="00644C4A" w:rsidRPr="00421482" w:rsidP="00775677" w14:paraId="1AE4FE37" w14:textId="6C8AE499">
            <w:pPr>
              <w:pStyle w:val="CommentText"/>
              <w:spacing w:after="0"/>
              <w:ind w:left="604"/>
              <w:rPr>
                <w:rFonts w:ascii="Times New Roman" w:hAnsi="Times New Roman" w:cs="Times New Roman"/>
                <w:bCs/>
                <w:sz w:val="24"/>
                <w:szCs w:val="24"/>
              </w:rPr>
            </w:pPr>
            <w:hyperlink r:id="rId20" w:history="1">
              <w:r w:rsidRPr="00421482" w:rsidR="00775677">
                <w:rPr>
                  <w:rStyle w:val="Hyperlink"/>
                  <w:rFonts w:ascii="Times New Roman" w:hAnsi="Times New Roman" w:cs="Times New Roman"/>
                  <w:bCs/>
                  <w:sz w:val="24"/>
                  <w:szCs w:val="24"/>
                </w:rPr>
                <w:t>Bethany.allen@igs.com</w:t>
              </w:r>
            </w:hyperlink>
          </w:p>
          <w:p w:rsidR="00775677" w:rsidRPr="00421482" w:rsidP="00775677" w14:paraId="6C3C430B" w14:textId="34488788">
            <w:pPr>
              <w:pStyle w:val="CommentText"/>
              <w:spacing w:after="0"/>
              <w:ind w:left="604"/>
              <w:rPr>
                <w:rFonts w:ascii="Times New Roman" w:hAnsi="Times New Roman" w:cs="Times New Roman"/>
                <w:bCs/>
                <w:sz w:val="24"/>
                <w:szCs w:val="24"/>
              </w:rPr>
            </w:pPr>
            <w:hyperlink r:id="rId21" w:history="1">
              <w:r w:rsidRPr="00421482">
                <w:rPr>
                  <w:rStyle w:val="Hyperlink"/>
                  <w:rFonts w:ascii="Times New Roman" w:hAnsi="Times New Roman" w:cs="Times New Roman"/>
                  <w:bCs/>
                  <w:sz w:val="24"/>
                  <w:szCs w:val="24"/>
                </w:rPr>
                <w:t>Joe.oliker@igs.com</w:t>
              </w:r>
            </w:hyperlink>
          </w:p>
          <w:p w:rsidR="00775677" w:rsidRPr="00421482" w:rsidP="00775677" w14:paraId="5D843589" w14:textId="56E2CBCA">
            <w:pPr>
              <w:pStyle w:val="CommentText"/>
              <w:spacing w:after="0"/>
              <w:ind w:left="604"/>
              <w:rPr>
                <w:rFonts w:ascii="Times New Roman" w:hAnsi="Times New Roman" w:cs="Times New Roman"/>
                <w:sz w:val="24"/>
                <w:szCs w:val="24"/>
              </w:rPr>
            </w:pPr>
            <w:hyperlink r:id="rId22" w:history="1">
              <w:r w:rsidRPr="00421482">
                <w:rPr>
                  <w:rStyle w:val="Hyperlink"/>
                  <w:rFonts w:ascii="Times New Roman" w:hAnsi="Times New Roman" w:cs="Times New Roman"/>
                  <w:sz w:val="24"/>
                  <w:szCs w:val="24"/>
                </w:rPr>
                <w:t>michael.schuler@aes.com</w:t>
              </w:r>
            </w:hyperlink>
          </w:p>
          <w:p w:rsidR="00775677" w:rsidRPr="00421482" w:rsidP="00775677" w14:paraId="62E41CA1" w14:textId="6A457C27">
            <w:pPr>
              <w:autoSpaceDE w:val="0"/>
              <w:autoSpaceDN w:val="0"/>
              <w:adjustRightInd w:val="0"/>
              <w:spacing w:after="0" w:line="240" w:lineRule="auto"/>
              <w:ind w:left="588"/>
              <w:rPr>
                <w:rFonts w:ascii="Times New Roman" w:hAnsi="Times New Roman" w:cs="Times New Roman"/>
                <w:color w:val="0563C2"/>
                <w:sz w:val="24"/>
                <w:szCs w:val="24"/>
              </w:rPr>
            </w:pPr>
            <w:hyperlink r:id="rId23" w:history="1">
              <w:r w:rsidRPr="00421482">
                <w:rPr>
                  <w:rStyle w:val="Hyperlink"/>
                  <w:rFonts w:ascii="Times New Roman" w:hAnsi="Times New Roman" w:cs="Times New Roman"/>
                  <w:sz w:val="24"/>
                  <w:szCs w:val="24"/>
                </w:rPr>
                <w:t>stnourse@aep.com</w:t>
              </w:r>
            </w:hyperlink>
          </w:p>
          <w:p w:rsidR="00775677" w:rsidRPr="00421482" w:rsidP="00775677" w14:paraId="30C1FBB7" w14:textId="68E4025F">
            <w:pPr>
              <w:pStyle w:val="CommentText"/>
              <w:spacing w:after="0"/>
              <w:ind w:left="604"/>
              <w:rPr>
                <w:rFonts w:ascii="Times New Roman" w:hAnsi="Times New Roman" w:cs="Times New Roman"/>
                <w:color w:val="0563C2"/>
                <w:sz w:val="24"/>
                <w:szCs w:val="24"/>
              </w:rPr>
            </w:pPr>
            <w:hyperlink r:id="rId24" w:history="1">
              <w:r w:rsidRPr="00421482">
                <w:rPr>
                  <w:rStyle w:val="Hyperlink"/>
                  <w:rFonts w:ascii="Times New Roman" w:hAnsi="Times New Roman" w:cs="Times New Roman"/>
                  <w:sz w:val="24"/>
                  <w:szCs w:val="24"/>
                </w:rPr>
                <w:t>cmblend@aep.com</w:t>
              </w:r>
            </w:hyperlink>
          </w:p>
          <w:p w:rsidR="00775677" w:rsidRPr="00421482" w:rsidP="00775677" w14:paraId="7ADF278E" w14:textId="77777777">
            <w:pPr>
              <w:pStyle w:val="CommentText"/>
              <w:spacing w:after="0"/>
              <w:ind w:left="604"/>
              <w:rPr>
                <w:rFonts w:ascii="Times New Roman" w:hAnsi="Times New Roman" w:cs="Times New Roman"/>
                <w:bCs/>
                <w:sz w:val="24"/>
                <w:szCs w:val="24"/>
              </w:rPr>
            </w:pPr>
          </w:p>
          <w:p w:rsidR="00775677" w:rsidRPr="00421482" w:rsidP="00775677" w14:paraId="3C577132" w14:textId="77777777">
            <w:pPr>
              <w:pStyle w:val="CommentText"/>
              <w:spacing w:after="0"/>
              <w:ind w:left="604"/>
              <w:rPr>
                <w:rFonts w:ascii="Times New Roman" w:hAnsi="Times New Roman" w:cs="Times New Roman"/>
                <w:bCs/>
                <w:sz w:val="24"/>
                <w:szCs w:val="24"/>
              </w:rPr>
            </w:pPr>
          </w:p>
          <w:p w:rsidR="00644C4A" w:rsidRPr="00421482" w:rsidP="00775677" w14:paraId="5DF95128" w14:textId="77777777">
            <w:pPr>
              <w:pStyle w:val="CommentText"/>
              <w:spacing w:after="0"/>
              <w:ind w:left="604"/>
              <w:rPr>
                <w:rFonts w:ascii="Times New Roman" w:hAnsi="Times New Roman" w:cs="Times New Roman"/>
                <w:bCs/>
                <w:sz w:val="24"/>
                <w:szCs w:val="24"/>
              </w:rPr>
            </w:pPr>
          </w:p>
          <w:p w:rsidR="00644C4A" w:rsidRPr="00421482" w:rsidP="00775677" w14:paraId="40AB48D1" w14:textId="77777777">
            <w:pPr>
              <w:pStyle w:val="CommentText"/>
              <w:spacing w:after="0"/>
              <w:rPr>
                <w:rFonts w:ascii="Times New Roman" w:hAnsi="Times New Roman" w:cs="Times New Roman"/>
                <w:bCs/>
                <w:sz w:val="24"/>
                <w:szCs w:val="24"/>
              </w:rPr>
            </w:pPr>
            <w:r w:rsidRPr="00421482">
              <w:rPr>
                <w:rFonts w:ascii="Times New Roman" w:eastAsia="Times New Roman" w:hAnsi="Times New Roman" w:cs="Times New Roman"/>
                <w:bCs/>
                <w:sz w:val="24"/>
                <w:szCs w:val="24"/>
              </w:rPr>
              <w:t xml:space="preserve"> </w:t>
            </w:r>
          </w:p>
          <w:p w:rsidR="00644C4A" w:rsidRPr="00421482" w:rsidP="00775677" w14:paraId="0615593D" w14:textId="77777777">
            <w:pPr>
              <w:pStyle w:val="CommentText"/>
              <w:spacing w:after="0"/>
              <w:rPr>
                <w:rFonts w:ascii="Times New Roman" w:hAnsi="Times New Roman" w:cs="Times New Roman"/>
                <w:bCs/>
                <w:sz w:val="24"/>
                <w:szCs w:val="24"/>
              </w:rPr>
            </w:pPr>
          </w:p>
          <w:p w:rsidR="00644C4A" w:rsidRPr="00421482" w:rsidP="00775677" w14:paraId="7C0D2E6E" w14:textId="77777777">
            <w:pPr>
              <w:pStyle w:val="CommentText"/>
              <w:spacing w:after="0"/>
              <w:rPr>
                <w:rFonts w:ascii="Times New Roman" w:hAnsi="Times New Roman" w:cs="Times New Roman"/>
                <w:bCs/>
                <w:sz w:val="24"/>
                <w:szCs w:val="24"/>
              </w:rPr>
            </w:pPr>
          </w:p>
        </w:tc>
      </w:tr>
    </w:tbl>
    <w:p w:rsidR="00644C4A" w:rsidRPr="00421482" w:rsidP="00644C4A" w14:paraId="4957DD61" w14:textId="77777777">
      <w:pPr>
        <w:pStyle w:val="CommentText"/>
        <w:jc w:val="center"/>
        <w:rPr>
          <w:rFonts w:ascii="Times New Roman" w:hAnsi="Times New Roman" w:cs="Times New Roman"/>
          <w:b/>
          <w:bCs/>
          <w:sz w:val="24"/>
          <w:szCs w:val="24"/>
          <w:u w:val="single"/>
        </w:rPr>
      </w:pPr>
    </w:p>
    <w:sectPr w:rsidSect="00A85CFE">
      <w:headerReference w:type="default" r:id="rId25"/>
      <w:footerReference w:type="default" r:id="rI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2736" w14:paraId="51633858" w14:textId="7F28F791">
    <w:pPr>
      <w:pStyle w:val="Footer"/>
      <w:jc w:val="center"/>
    </w:pPr>
  </w:p>
  <w:p w:rsidR="00A438A0" w14:paraId="574144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0508381"/>
      <w:docPartObj>
        <w:docPartGallery w:val="Page Numbers (Bottom of Page)"/>
        <w:docPartUnique/>
      </w:docPartObj>
    </w:sdtPr>
    <w:sdtEndPr>
      <w:rPr>
        <w:rFonts w:ascii="Times New Roman" w:hAnsi="Times New Roman" w:cs="Times New Roman"/>
        <w:noProof/>
        <w:sz w:val="24"/>
        <w:szCs w:val="24"/>
      </w:rPr>
    </w:sdtEndPr>
    <w:sdtContent>
      <w:p w:rsidR="00025308" w:rsidRPr="00025308" w14:paraId="40458095" w14:textId="77777777">
        <w:pPr>
          <w:pStyle w:val="Footer"/>
          <w:jc w:val="center"/>
          <w:rPr>
            <w:rFonts w:ascii="Times New Roman" w:hAnsi="Times New Roman" w:cs="Times New Roman"/>
            <w:sz w:val="24"/>
            <w:szCs w:val="24"/>
          </w:rPr>
        </w:pPr>
        <w:r w:rsidRPr="00025308">
          <w:rPr>
            <w:rFonts w:ascii="Times New Roman" w:hAnsi="Times New Roman" w:cs="Times New Roman"/>
            <w:sz w:val="24"/>
            <w:szCs w:val="24"/>
          </w:rPr>
          <w:fldChar w:fldCharType="begin"/>
        </w:r>
        <w:r w:rsidRPr="00025308">
          <w:rPr>
            <w:rFonts w:ascii="Times New Roman" w:hAnsi="Times New Roman" w:cs="Times New Roman"/>
            <w:sz w:val="24"/>
            <w:szCs w:val="24"/>
          </w:rPr>
          <w:instrText xml:space="preserve"> PAGE   \* MERGEFORMAT </w:instrText>
        </w:r>
        <w:r w:rsidRPr="00025308">
          <w:rPr>
            <w:rFonts w:ascii="Times New Roman" w:hAnsi="Times New Roman" w:cs="Times New Roman"/>
            <w:sz w:val="24"/>
            <w:szCs w:val="24"/>
          </w:rPr>
          <w:fldChar w:fldCharType="separate"/>
        </w:r>
        <w:r w:rsidRPr="00025308">
          <w:rPr>
            <w:rFonts w:ascii="Times New Roman" w:hAnsi="Times New Roman" w:cs="Times New Roman"/>
            <w:noProof/>
            <w:sz w:val="24"/>
            <w:szCs w:val="24"/>
          </w:rPr>
          <w:t>2</w:t>
        </w:r>
        <w:r w:rsidRPr="00025308">
          <w:rPr>
            <w:rFonts w:ascii="Times New Roman" w:hAnsi="Times New Roman" w:cs="Times New Roman"/>
            <w:noProof/>
            <w:sz w:val="24"/>
            <w:szCs w:val="24"/>
          </w:rPr>
          <w:fldChar w:fldCharType="end"/>
        </w:r>
      </w:p>
    </w:sdtContent>
  </w:sdt>
  <w:p w:rsidR="00025308" w14:paraId="4562AA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411352312"/>
      <w:docPartObj>
        <w:docPartGallery w:val="Page Numbers (Bottom of Page)"/>
        <w:docPartUnique/>
      </w:docPartObj>
    </w:sdtPr>
    <w:sdtEndPr>
      <w:rPr>
        <w:noProof/>
      </w:rPr>
    </w:sdtEndPr>
    <w:sdtContent>
      <w:p w:rsidR="00882736" w:rsidRPr="00882736" w14:paraId="423879E0" w14:textId="57239CC5">
        <w:pPr>
          <w:pStyle w:val="Footer"/>
          <w:jc w:val="center"/>
          <w:rPr>
            <w:rFonts w:ascii="Times New Roman" w:hAnsi="Times New Roman" w:cs="Times New Roman"/>
            <w:sz w:val="24"/>
            <w:szCs w:val="24"/>
          </w:rPr>
        </w:pPr>
        <w:r w:rsidRPr="00882736">
          <w:rPr>
            <w:rFonts w:ascii="Times New Roman" w:hAnsi="Times New Roman" w:cs="Times New Roman"/>
            <w:sz w:val="24"/>
            <w:szCs w:val="24"/>
          </w:rPr>
          <w:fldChar w:fldCharType="begin"/>
        </w:r>
        <w:r w:rsidRPr="00882736">
          <w:rPr>
            <w:rFonts w:ascii="Times New Roman" w:hAnsi="Times New Roman" w:cs="Times New Roman"/>
            <w:sz w:val="24"/>
            <w:szCs w:val="24"/>
          </w:rPr>
          <w:instrText xml:space="preserve"> PAGE   \* MERGEFORMAT </w:instrText>
        </w:r>
        <w:r w:rsidRPr="00882736">
          <w:rPr>
            <w:rFonts w:ascii="Times New Roman" w:hAnsi="Times New Roman" w:cs="Times New Roman"/>
            <w:sz w:val="24"/>
            <w:szCs w:val="24"/>
          </w:rPr>
          <w:fldChar w:fldCharType="separate"/>
        </w:r>
        <w:r w:rsidRPr="00882736">
          <w:rPr>
            <w:rFonts w:ascii="Times New Roman" w:hAnsi="Times New Roman" w:cs="Times New Roman"/>
            <w:noProof/>
            <w:sz w:val="24"/>
            <w:szCs w:val="24"/>
          </w:rPr>
          <w:t>2</w:t>
        </w:r>
        <w:r w:rsidRPr="00882736">
          <w:rPr>
            <w:rFonts w:ascii="Times New Roman" w:hAnsi="Times New Roman" w:cs="Times New Roman"/>
            <w:noProof/>
            <w:sz w:val="24"/>
            <w:szCs w:val="24"/>
          </w:rPr>
          <w:fldChar w:fldCharType="end"/>
        </w:r>
      </w:p>
    </w:sdtContent>
  </w:sdt>
  <w:p w:rsidR="00D509B0" w14:paraId="4352C97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58298580"/>
      <w:docPartObj>
        <w:docPartGallery w:val="Page Numbers (Bottom of Page)"/>
        <w:docPartUnique/>
      </w:docPartObj>
    </w:sdtPr>
    <w:sdtEndPr>
      <w:rPr>
        <w:noProof/>
      </w:rPr>
    </w:sdtEndPr>
    <w:sdtContent>
      <w:p w:rsidR="00882736" w:rsidRPr="00882736" w14:paraId="343256EF" w14:textId="77777777">
        <w:pPr>
          <w:pStyle w:val="Footer"/>
          <w:jc w:val="center"/>
          <w:rPr>
            <w:rFonts w:ascii="Times New Roman" w:hAnsi="Times New Roman" w:cs="Times New Roman"/>
            <w:sz w:val="24"/>
            <w:szCs w:val="24"/>
          </w:rPr>
        </w:pPr>
        <w:r w:rsidRPr="00882736">
          <w:rPr>
            <w:rFonts w:ascii="Times New Roman" w:hAnsi="Times New Roman" w:cs="Times New Roman"/>
            <w:sz w:val="24"/>
            <w:szCs w:val="24"/>
          </w:rPr>
          <w:fldChar w:fldCharType="begin"/>
        </w:r>
        <w:r w:rsidRPr="00882736">
          <w:rPr>
            <w:rFonts w:ascii="Times New Roman" w:hAnsi="Times New Roman" w:cs="Times New Roman"/>
            <w:sz w:val="24"/>
            <w:szCs w:val="24"/>
          </w:rPr>
          <w:instrText xml:space="preserve"> PAGE   \* MERGEFORMAT </w:instrText>
        </w:r>
        <w:r w:rsidRPr="00882736">
          <w:rPr>
            <w:rFonts w:ascii="Times New Roman" w:hAnsi="Times New Roman" w:cs="Times New Roman"/>
            <w:sz w:val="24"/>
            <w:szCs w:val="24"/>
          </w:rPr>
          <w:fldChar w:fldCharType="separate"/>
        </w:r>
        <w:r w:rsidRPr="00882736">
          <w:rPr>
            <w:rFonts w:ascii="Times New Roman" w:hAnsi="Times New Roman" w:cs="Times New Roman"/>
            <w:noProof/>
            <w:sz w:val="24"/>
            <w:szCs w:val="24"/>
          </w:rPr>
          <w:t>2</w:t>
        </w:r>
        <w:r w:rsidRPr="00882736">
          <w:rPr>
            <w:rFonts w:ascii="Times New Roman" w:hAnsi="Times New Roman" w:cs="Times New Roman"/>
            <w:noProof/>
            <w:sz w:val="24"/>
            <w:szCs w:val="24"/>
          </w:rPr>
          <w:fldChar w:fldCharType="end"/>
        </w:r>
      </w:p>
    </w:sdtContent>
  </w:sdt>
  <w:p w:rsidR="00882736" w14:paraId="0A3DEFE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2804683"/>
      <w:docPartObj>
        <w:docPartGallery w:val="Page Numbers (Bottom of Page)"/>
        <w:docPartUnique/>
      </w:docPartObj>
    </w:sdtPr>
    <w:sdtEndPr>
      <w:rPr>
        <w:rFonts w:ascii="Times New Roman" w:hAnsi="Times New Roman" w:cs="Times New Roman"/>
        <w:noProof/>
        <w:sz w:val="24"/>
        <w:szCs w:val="24"/>
      </w:rPr>
    </w:sdtEndPr>
    <w:sdtContent>
      <w:p w:rsidR="00644C4A" w:rsidRPr="00025308" w14:paraId="4AD4B764" w14:textId="77777777">
        <w:pPr>
          <w:pStyle w:val="Footer"/>
          <w:jc w:val="center"/>
          <w:rPr>
            <w:rFonts w:ascii="Times New Roman" w:hAnsi="Times New Roman" w:cs="Times New Roman"/>
            <w:sz w:val="24"/>
            <w:szCs w:val="24"/>
          </w:rPr>
        </w:pPr>
        <w:r w:rsidRPr="00025308">
          <w:rPr>
            <w:rFonts w:ascii="Times New Roman" w:hAnsi="Times New Roman" w:cs="Times New Roman"/>
            <w:sz w:val="24"/>
            <w:szCs w:val="24"/>
          </w:rPr>
          <w:fldChar w:fldCharType="begin"/>
        </w:r>
        <w:r w:rsidRPr="00025308">
          <w:rPr>
            <w:rFonts w:ascii="Times New Roman" w:hAnsi="Times New Roman" w:cs="Times New Roman"/>
            <w:sz w:val="24"/>
            <w:szCs w:val="24"/>
          </w:rPr>
          <w:instrText xml:space="preserve"> PAGE   \* MERGEFORMAT </w:instrText>
        </w:r>
        <w:r w:rsidRPr="00025308">
          <w:rPr>
            <w:rFonts w:ascii="Times New Roman" w:hAnsi="Times New Roman" w:cs="Times New Roman"/>
            <w:sz w:val="24"/>
            <w:szCs w:val="24"/>
          </w:rPr>
          <w:fldChar w:fldCharType="separate"/>
        </w:r>
        <w:r w:rsidRPr="00025308">
          <w:rPr>
            <w:rFonts w:ascii="Times New Roman" w:hAnsi="Times New Roman" w:cs="Times New Roman"/>
            <w:noProof/>
            <w:sz w:val="24"/>
            <w:szCs w:val="24"/>
          </w:rPr>
          <w:t>2</w:t>
        </w:r>
        <w:r w:rsidRPr="00025308">
          <w:rPr>
            <w:rFonts w:ascii="Times New Roman" w:hAnsi="Times New Roman" w:cs="Times New Roman"/>
            <w:noProof/>
            <w:sz w:val="24"/>
            <w:szCs w:val="24"/>
          </w:rPr>
          <w:fldChar w:fldCharType="end"/>
        </w:r>
      </w:p>
    </w:sdtContent>
  </w:sdt>
  <w:p w:rsidR="00644C4A" w14:paraId="5D8C59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6769336"/>
      <w:docPartObj>
        <w:docPartGallery w:val="Page Numbers (Bottom of Page)"/>
        <w:docPartUnique/>
      </w:docPartObj>
    </w:sdtPr>
    <w:sdtEndPr>
      <w:rPr>
        <w:rFonts w:ascii="Times New Roman" w:hAnsi="Times New Roman" w:cs="Times New Roman"/>
        <w:noProof/>
        <w:sz w:val="24"/>
        <w:szCs w:val="24"/>
      </w:rPr>
    </w:sdtEndPr>
    <w:sdtContent>
      <w:p w:rsidR="00033D2A" w:rsidRPr="00033D2A" w14:paraId="3C656485" w14:textId="38068617">
        <w:pPr>
          <w:pStyle w:val="Footer"/>
          <w:jc w:val="center"/>
          <w:rPr>
            <w:rFonts w:ascii="Times New Roman" w:hAnsi="Times New Roman" w:cs="Times New Roman"/>
            <w:sz w:val="24"/>
            <w:szCs w:val="24"/>
          </w:rPr>
        </w:pPr>
        <w:r w:rsidRPr="00033D2A">
          <w:rPr>
            <w:rFonts w:ascii="Times New Roman" w:hAnsi="Times New Roman" w:cs="Times New Roman"/>
            <w:sz w:val="24"/>
            <w:szCs w:val="24"/>
          </w:rPr>
          <w:fldChar w:fldCharType="begin"/>
        </w:r>
        <w:r w:rsidRPr="00033D2A">
          <w:rPr>
            <w:rFonts w:ascii="Times New Roman" w:hAnsi="Times New Roman" w:cs="Times New Roman"/>
            <w:sz w:val="24"/>
            <w:szCs w:val="24"/>
          </w:rPr>
          <w:instrText xml:space="preserve"> PAGE   \* MERGEFORMAT </w:instrText>
        </w:r>
        <w:r w:rsidRPr="00033D2A">
          <w:rPr>
            <w:rFonts w:ascii="Times New Roman" w:hAnsi="Times New Roman" w:cs="Times New Roman"/>
            <w:sz w:val="24"/>
            <w:szCs w:val="24"/>
          </w:rPr>
          <w:fldChar w:fldCharType="separate"/>
        </w:r>
        <w:r w:rsidR="00F115FB">
          <w:rPr>
            <w:rFonts w:ascii="Times New Roman" w:hAnsi="Times New Roman" w:cs="Times New Roman"/>
            <w:noProof/>
            <w:sz w:val="24"/>
            <w:szCs w:val="24"/>
          </w:rPr>
          <w:t>8</w:t>
        </w:r>
        <w:r w:rsidRPr="00033D2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6811" w:rsidP="00152A74" w14:paraId="221DCA15" w14:textId="77777777">
      <w:pPr>
        <w:spacing w:after="0" w:line="240" w:lineRule="auto"/>
      </w:pPr>
      <w:r>
        <w:separator/>
      </w:r>
    </w:p>
  </w:footnote>
  <w:footnote w:type="continuationSeparator" w:id="1">
    <w:p w:rsidR="00416811" w:rsidP="00152A74" w14:paraId="4B87DEB3" w14:textId="77777777">
      <w:pPr>
        <w:spacing w:after="0" w:line="240" w:lineRule="auto"/>
      </w:pPr>
      <w:r>
        <w:continuationSeparator/>
      </w:r>
    </w:p>
  </w:footnote>
  <w:footnote w:id="2">
    <w:p w:rsidR="00825877" w:rsidRPr="00DC3EE7" w:rsidP="00DC3EE7" w14:paraId="6D767C48" w14:textId="5C106A77">
      <w:pPr>
        <w:pStyle w:val="FootnoteText"/>
        <w:spacing w:after="120"/>
        <w:rPr>
          <w:rFonts w:cs="Times New Roman"/>
          <w:i/>
          <w:iCs/>
        </w:rPr>
      </w:pPr>
      <w:r w:rsidRPr="00DC3EE7">
        <w:rPr>
          <w:rStyle w:val="FootnoteReference"/>
          <w:rFonts w:cs="Times New Roman"/>
        </w:rPr>
        <w:footnoteRef/>
      </w:r>
      <w:r w:rsidRPr="00DC3EE7">
        <w:rPr>
          <w:rFonts w:cs="Times New Roman"/>
        </w:rPr>
        <w:t xml:space="preserve"> O.A.C. 4901:1-37, </w:t>
      </w:r>
      <w:r w:rsidRPr="00DC3EE7">
        <w:rPr>
          <w:rFonts w:cs="Times New Roman"/>
          <w:i/>
          <w:iCs/>
        </w:rPr>
        <w:t>et seq.</w:t>
      </w:r>
    </w:p>
  </w:footnote>
  <w:footnote w:id="3">
    <w:p w:rsidR="002E2564" w:rsidRPr="00DC3EE7" w:rsidP="00DC3EE7" w14:paraId="1E8A6F85" w14:textId="67259521">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 xml:space="preserve">OCC’s Comments at </w:t>
      </w:r>
      <w:r w:rsidRPr="00DC3EE7" w:rsidR="00E338FB">
        <w:rPr>
          <w:rFonts w:cs="Times New Roman"/>
        </w:rPr>
        <w:t>2-3</w:t>
      </w:r>
      <w:r w:rsidRPr="00DC3EE7">
        <w:rPr>
          <w:rFonts w:cs="Times New Roman"/>
        </w:rPr>
        <w:t>.</w:t>
      </w:r>
    </w:p>
  </w:footnote>
  <w:footnote w:id="4">
    <w:p w:rsidR="002E2564" w:rsidRPr="00DC3EE7" w:rsidP="00DC3EE7" w14:paraId="3FE50FB1" w14:textId="27D6F36C">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 xml:space="preserve">Order at </w:t>
      </w:r>
      <w:r w:rsidRPr="00DC3EE7" w:rsidR="00E338FB">
        <w:rPr>
          <w:rFonts w:cs="Times New Roman"/>
        </w:rPr>
        <w:t>6</w:t>
      </w:r>
      <w:r w:rsidRPr="00DC3EE7">
        <w:rPr>
          <w:rFonts w:cs="Times New Roman"/>
        </w:rPr>
        <w:t>.</w:t>
      </w:r>
    </w:p>
  </w:footnote>
  <w:footnote w:id="5">
    <w:p w:rsidR="00E338FB" w:rsidRPr="00DC3EE7" w:rsidP="00DC3EE7" w14:paraId="07706725" w14:textId="3DB13F26">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OCC’s Comments at 2-4.</w:t>
      </w:r>
    </w:p>
  </w:footnote>
  <w:footnote w:id="6">
    <w:p w:rsidR="005B354F" w:rsidRPr="00DC3EE7" w:rsidP="00DC3EE7" w14:paraId="36E9202A" w14:textId="19608616">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id. </w:t>
      </w:r>
      <w:r w:rsidRPr="00DC3EE7">
        <w:rPr>
          <w:rFonts w:cs="Times New Roman"/>
        </w:rPr>
        <w:t>at 2.</w:t>
      </w:r>
    </w:p>
  </w:footnote>
  <w:footnote w:id="7">
    <w:p w:rsidR="003A7185" w:rsidRPr="00DC3EE7" w:rsidP="00714ED0" w14:paraId="4D4EFA9D" w14:textId="2E654700">
      <w:pPr>
        <w:shd w:val="clear" w:color="auto" w:fill="FFFFFF"/>
        <w:spacing w:after="120" w:line="240" w:lineRule="auto"/>
        <w:textAlignment w:val="baseline"/>
        <w:rPr>
          <w:rFonts w:cs="Times New Roman"/>
        </w:rPr>
      </w:pPr>
      <w:r w:rsidRPr="00DC3EE7">
        <w:rPr>
          <w:rStyle w:val="FootnoteReference"/>
          <w:rFonts w:ascii="Times New Roman" w:hAnsi="Times New Roman" w:cs="Times New Roman"/>
          <w:sz w:val="20"/>
          <w:szCs w:val="20"/>
        </w:rPr>
        <w:footnoteRef/>
      </w:r>
      <w:r w:rsidRPr="00DC3EE7">
        <w:rPr>
          <w:rFonts w:ascii="Times New Roman" w:hAnsi="Times New Roman" w:cs="Times New Roman"/>
          <w:sz w:val="20"/>
          <w:szCs w:val="20"/>
        </w:rPr>
        <w:t xml:space="preserve"> </w:t>
      </w:r>
      <w:r w:rsidRPr="00DC3EE7">
        <w:rPr>
          <w:rFonts w:ascii="Times New Roman" w:hAnsi="Times New Roman" w:cs="Times New Roman"/>
          <w:i/>
          <w:iCs/>
          <w:sz w:val="20"/>
          <w:szCs w:val="20"/>
        </w:rPr>
        <w:t xml:space="preserve">See </w:t>
      </w:r>
      <w:r w:rsidRPr="00DC3EE7">
        <w:rPr>
          <w:rFonts w:ascii="Times New Roman" w:hAnsi="Times New Roman" w:cs="Times New Roman"/>
          <w:i/>
          <w:iCs/>
          <w:color w:val="000000" w:themeColor="text1"/>
          <w:sz w:val="20"/>
          <w:szCs w:val="20"/>
          <w:bdr w:val="none" w:sz="0" w:space="0" w:color="auto" w:frame="1"/>
        </w:rPr>
        <w:t>In re Comm. Rev. of Capacity Charges of Ohio Power Co</w:t>
      </w:r>
      <w:r w:rsidRPr="00DC3EE7">
        <w:rPr>
          <w:rFonts w:ascii="Times New Roman" w:hAnsi="Times New Roman" w:cs="Times New Roman"/>
          <w:color w:val="000000" w:themeColor="text1"/>
          <w:sz w:val="20"/>
          <w:szCs w:val="20"/>
          <w:bdr w:val="none" w:sz="0" w:space="0" w:color="auto" w:frame="1"/>
        </w:rPr>
        <w:t>.</w:t>
      </w:r>
      <w:r w:rsidRPr="00DC3EE7">
        <w:rPr>
          <w:rFonts w:ascii="Times New Roman" w:hAnsi="Times New Roman" w:cs="Times New Roman"/>
          <w:color w:val="000000" w:themeColor="text1"/>
          <w:sz w:val="20"/>
          <w:szCs w:val="20"/>
        </w:rPr>
        <w:t>, 147 Ohio St.3d 59, 2016-Ohio-1607, 60 N.E.3d 1221, ¶ 51 (2016) (reversing and remanding PUCO decision when it did not address a party’s argument in a substantive way).</w:t>
      </w:r>
    </w:p>
  </w:footnote>
  <w:footnote w:id="8">
    <w:p w:rsidR="00B34C14" w:rsidRPr="00DC3EE7" w:rsidP="00A85CFE" w14:paraId="615E5F09" w14:textId="2EF9BB4E">
      <w:pPr>
        <w:shd w:val="clear" w:color="auto" w:fill="FFFFFF"/>
        <w:spacing w:after="120" w:line="240" w:lineRule="auto"/>
        <w:textAlignment w:val="baseline"/>
        <w:rPr>
          <w:rFonts w:cs="Times New Roman"/>
          <w:i/>
          <w:iCs/>
        </w:rPr>
      </w:pPr>
      <w:r w:rsidRPr="00DC3EE7">
        <w:rPr>
          <w:rStyle w:val="FootnoteReference"/>
          <w:rFonts w:ascii="Times New Roman" w:hAnsi="Times New Roman" w:cs="Times New Roman"/>
          <w:sz w:val="20"/>
          <w:szCs w:val="20"/>
        </w:rPr>
        <w:footnoteRef/>
      </w:r>
      <w:r w:rsidRPr="00DC3EE7">
        <w:rPr>
          <w:rFonts w:ascii="Times New Roman" w:hAnsi="Times New Roman" w:cs="Times New Roman"/>
          <w:sz w:val="20"/>
          <w:szCs w:val="20"/>
        </w:rPr>
        <w:t xml:space="preserve"> </w:t>
      </w:r>
      <w:r w:rsidRPr="00DC3EE7">
        <w:rPr>
          <w:rFonts w:ascii="Times New Roman" w:hAnsi="Times New Roman" w:cs="Times New Roman"/>
          <w:i/>
          <w:iCs/>
          <w:sz w:val="20"/>
          <w:szCs w:val="20"/>
        </w:rPr>
        <w:t xml:space="preserve">See, e.g., </w:t>
      </w:r>
      <w:r w:rsidRPr="00DC3EE7">
        <w:rPr>
          <w:rFonts w:ascii="Times New Roman" w:hAnsi="Times New Roman" w:cs="Times New Roman"/>
          <w:i/>
          <w:iCs/>
          <w:color w:val="000000" w:themeColor="text1"/>
          <w:sz w:val="20"/>
          <w:szCs w:val="20"/>
          <w:bdr w:val="none" w:sz="0" w:space="0" w:color="auto" w:frame="1"/>
        </w:rPr>
        <w:t>In Re Commission's Rev. of Certain Rules in Chapter 4901:1-16, Ohio Adm. Code</w:t>
      </w:r>
      <w:r w:rsidRPr="00DC3EE7">
        <w:rPr>
          <w:rFonts w:ascii="Times New Roman" w:hAnsi="Times New Roman" w:cs="Times New Roman"/>
          <w:color w:val="000000" w:themeColor="text1"/>
          <w:sz w:val="20"/>
          <w:szCs w:val="20"/>
        </w:rPr>
        <w:t xml:space="preserve">, Case No. 2006-540-GA-ORD, Entry (April 10, 2006) (modifying definition of “gathering line”); </w:t>
      </w:r>
      <w:r w:rsidRPr="00DC3EE7">
        <w:rPr>
          <w:rFonts w:ascii="Times New Roman" w:hAnsi="Times New Roman" w:cs="Times New Roman"/>
          <w:i/>
          <w:iCs/>
          <w:color w:val="000000" w:themeColor="text1"/>
          <w:sz w:val="20"/>
          <w:szCs w:val="20"/>
          <w:bdr w:val="none" w:sz="0" w:space="0" w:color="auto" w:frame="1"/>
        </w:rPr>
        <w:t>In the Matter of the Commissions Rev. of Its Rules for Electrical Safety &amp; Serv. Standards Contained in Chapter 4901:1-10 of the Ohio Adm. Code.</w:t>
      </w:r>
      <w:r w:rsidRPr="00DC3EE7">
        <w:rPr>
          <w:rFonts w:ascii="Times New Roman" w:hAnsi="Times New Roman" w:cs="Times New Roman"/>
          <w:i/>
          <w:iCs/>
          <w:color w:val="000000" w:themeColor="text1"/>
          <w:sz w:val="20"/>
          <w:szCs w:val="20"/>
        </w:rPr>
        <w:t>,</w:t>
      </w:r>
      <w:r w:rsidRPr="00DC3EE7">
        <w:rPr>
          <w:rFonts w:ascii="Times New Roman" w:hAnsi="Times New Roman" w:cs="Times New Roman"/>
          <w:color w:val="000000" w:themeColor="text1"/>
          <w:sz w:val="20"/>
          <w:szCs w:val="20"/>
        </w:rPr>
        <w:t xml:space="preserve"> Case </w:t>
      </w:r>
      <w:r w:rsidRPr="00DC3EE7">
        <w:rPr>
          <w:rFonts w:ascii="Times New Roman" w:hAnsi="Times New Roman" w:cs="Times New Roman"/>
          <w:sz w:val="20"/>
          <w:szCs w:val="20"/>
        </w:rPr>
        <w:t>No. 17-1842-EL-ORD</w:t>
      </w:r>
      <w:r w:rsidRPr="00DC3EE7">
        <w:rPr>
          <w:rFonts w:ascii="Times New Roman" w:hAnsi="Times New Roman" w:cs="Times New Roman"/>
          <w:color w:val="000000" w:themeColor="text1"/>
          <w:sz w:val="20"/>
          <w:szCs w:val="20"/>
        </w:rPr>
        <w:t xml:space="preserve">, </w:t>
      </w:r>
      <w:r w:rsidRPr="00DC3EE7" w:rsidR="00F6161C">
        <w:rPr>
          <w:rFonts w:ascii="Times New Roman" w:hAnsi="Times New Roman" w:cs="Times New Roman"/>
          <w:color w:val="000000" w:themeColor="text1"/>
          <w:sz w:val="20"/>
          <w:szCs w:val="20"/>
        </w:rPr>
        <w:t>Finding and Order</w:t>
      </w:r>
      <w:r w:rsidRPr="00DC3EE7">
        <w:rPr>
          <w:rFonts w:ascii="Times New Roman" w:hAnsi="Times New Roman" w:cs="Times New Roman"/>
          <w:color w:val="000000" w:themeColor="text1"/>
          <w:sz w:val="20"/>
          <w:szCs w:val="20"/>
        </w:rPr>
        <w:t xml:space="preserve"> (February 26, 2020)</w:t>
      </w:r>
      <w:r w:rsidRPr="00DC3EE7" w:rsidR="00F6161C">
        <w:rPr>
          <w:rFonts w:ascii="Times New Roman" w:hAnsi="Times New Roman" w:cs="Times New Roman"/>
          <w:color w:val="000000" w:themeColor="text1"/>
          <w:sz w:val="20"/>
          <w:szCs w:val="20"/>
        </w:rPr>
        <w:t xml:space="preserve"> (modifying definition of “major event”)</w:t>
      </w:r>
      <w:r w:rsidRPr="00DC3EE7">
        <w:rPr>
          <w:rFonts w:ascii="Times New Roman" w:hAnsi="Times New Roman" w:cs="Times New Roman"/>
          <w:color w:val="000000" w:themeColor="text1"/>
          <w:sz w:val="20"/>
          <w:szCs w:val="20"/>
        </w:rPr>
        <w:t>.</w:t>
      </w:r>
    </w:p>
  </w:footnote>
  <w:footnote w:id="9">
    <w:p w:rsidR="00A51C21" w:rsidRPr="00DC3EE7" w:rsidP="00DC3EE7" w14:paraId="682CBD89" w14:textId="73D06B42">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See</w:t>
      </w:r>
      <w:r w:rsidRPr="00DC3EE7" w:rsidR="00F6161C">
        <w:rPr>
          <w:rFonts w:cs="Times New Roman"/>
          <w:i/>
          <w:iCs/>
        </w:rPr>
        <w:t xml:space="preserve"> </w:t>
      </w:r>
      <w:r w:rsidRPr="00DC3EE7" w:rsidR="00F6161C">
        <w:rPr>
          <w:rFonts w:cs="Times New Roman"/>
        </w:rPr>
        <w:t>OCC’s Com</w:t>
      </w:r>
      <w:r w:rsidRPr="00DC3EE7" w:rsidR="003A7185">
        <w:rPr>
          <w:rFonts w:cs="Times New Roman"/>
        </w:rPr>
        <w:t>m</w:t>
      </w:r>
      <w:r w:rsidRPr="00DC3EE7" w:rsidR="00F6161C">
        <w:rPr>
          <w:rFonts w:cs="Times New Roman"/>
        </w:rPr>
        <w:t>ents</w:t>
      </w:r>
      <w:r w:rsidRPr="00DC3EE7">
        <w:rPr>
          <w:rFonts w:cs="Times New Roman"/>
          <w:i/>
          <w:iCs/>
        </w:rPr>
        <w:t xml:space="preserve"> </w:t>
      </w:r>
      <w:r w:rsidRPr="00DC3EE7">
        <w:rPr>
          <w:rFonts w:cs="Times New Roman"/>
        </w:rPr>
        <w:t>at 2-4.</w:t>
      </w:r>
    </w:p>
  </w:footnote>
  <w:footnote w:id="10">
    <w:p w:rsidR="00A51C21" w:rsidRPr="00DC3EE7" w:rsidP="00DC3EE7" w14:paraId="17701E05" w14:textId="77777777">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Order at 6.</w:t>
      </w:r>
    </w:p>
  </w:footnote>
  <w:footnote w:id="11">
    <w:p w:rsidR="00DE58AD" w:rsidRPr="00DC3EE7" w:rsidP="00DC3EE7" w14:paraId="2B73CA22" w14:textId="77777777">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id. </w:t>
      </w:r>
      <w:r w:rsidRPr="00DC3EE7">
        <w:rPr>
          <w:rFonts w:cs="Times New Roman"/>
        </w:rPr>
        <w:t>at 3.</w:t>
      </w:r>
    </w:p>
  </w:footnote>
  <w:footnote w:id="12">
    <w:p w:rsidR="00A0526F" w:rsidRPr="00DC3EE7" w:rsidP="00DC3EE7" w14:paraId="529481C1" w14:textId="0C1904B6">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 xml:space="preserve">footnote 6, </w:t>
      </w:r>
      <w:r w:rsidRPr="00DC3EE7">
        <w:rPr>
          <w:rFonts w:cs="Times New Roman"/>
          <w:i/>
          <w:iCs/>
        </w:rPr>
        <w:t>supra</w:t>
      </w:r>
      <w:r w:rsidRPr="00DC3EE7">
        <w:rPr>
          <w:rFonts w:cs="Times New Roman"/>
        </w:rPr>
        <w:t>.</w:t>
      </w:r>
    </w:p>
  </w:footnote>
  <w:footnote w:id="13">
    <w:p w:rsidR="00F6161C" w:rsidRPr="00DC3EE7" w:rsidP="00DC3EE7" w14:paraId="31B93F7A" w14:textId="5AEF551F">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 xml:space="preserve">footnote </w:t>
      </w:r>
      <w:r w:rsidRPr="00DC3EE7" w:rsidR="00A0526F">
        <w:rPr>
          <w:rFonts w:cs="Times New Roman"/>
        </w:rPr>
        <w:t>7</w:t>
      </w:r>
      <w:r w:rsidRPr="00DC3EE7">
        <w:rPr>
          <w:rFonts w:cs="Times New Roman"/>
        </w:rPr>
        <w:t xml:space="preserve">, </w:t>
      </w:r>
      <w:r w:rsidRPr="00DC3EE7">
        <w:rPr>
          <w:rFonts w:cs="Times New Roman"/>
          <w:i/>
          <w:iCs/>
        </w:rPr>
        <w:t>supra</w:t>
      </w:r>
      <w:r w:rsidRPr="00DC3EE7">
        <w:rPr>
          <w:rFonts w:cs="Times New Roman"/>
        </w:rPr>
        <w:t>.</w:t>
      </w:r>
    </w:p>
  </w:footnote>
  <w:footnote w:id="14">
    <w:p w:rsidR="00912F3E" w:rsidRPr="00DC3EE7" w:rsidP="00DC3EE7" w14:paraId="77FE9BE9" w14:textId="77777777">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OCC’s Comments at 3-4.</w:t>
      </w:r>
    </w:p>
  </w:footnote>
  <w:footnote w:id="15">
    <w:p w:rsidR="0068004D" w:rsidRPr="00DC3EE7" w:rsidP="00DC3EE7" w14:paraId="3F0F357B" w14:textId="7B58654A">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Order at 7-8.</w:t>
      </w:r>
    </w:p>
  </w:footnote>
  <w:footnote w:id="16">
    <w:p w:rsidR="00F6161C" w:rsidRPr="00DC3EE7" w:rsidP="00DC3EE7" w14:paraId="37B9F904" w14:textId="70A62A2E">
      <w:pPr>
        <w:shd w:val="clear" w:color="auto" w:fill="FFFFFF"/>
        <w:spacing w:after="120" w:line="240" w:lineRule="auto"/>
        <w:textAlignment w:val="baseline"/>
        <w:rPr>
          <w:rFonts w:ascii="Times New Roman" w:hAnsi="Times New Roman" w:cs="Times New Roman"/>
          <w:sz w:val="20"/>
          <w:szCs w:val="20"/>
        </w:rPr>
      </w:pPr>
      <w:r w:rsidRPr="00DC3EE7">
        <w:rPr>
          <w:rStyle w:val="FootnoteReference"/>
          <w:rFonts w:ascii="Times New Roman" w:hAnsi="Times New Roman" w:cs="Times New Roman"/>
          <w:sz w:val="20"/>
          <w:szCs w:val="20"/>
        </w:rPr>
        <w:footnoteRef/>
      </w:r>
      <w:r w:rsidRPr="00DC3EE7">
        <w:rPr>
          <w:rFonts w:ascii="Times New Roman" w:hAnsi="Times New Roman" w:cs="Times New Roman"/>
          <w:sz w:val="20"/>
          <w:szCs w:val="20"/>
        </w:rPr>
        <w:t xml:space="preserve"> </w:t>
      </w:r>
      <w:r w:rsidRPr="00DC3EE7">
        <w:rPr>
          <w:rFonts w:ascii="Times New Roman" w:hAnsi="Times New Roman" w:cs="Times New Roman"/>
          <w:color w:val="000000" w:themeColor="text1"/>
          <w:sz w:val="20"/>
          <w:szCs w:val="20"/>
        </w:rPr>
        <w:t xml:space="preserve">R.C. 4903.09; </w:t>
      </w:r>
      <w:r w:rsidRPr="00DC3EE7">
        <w:rPr>
          <w:rFonts w:ascii="Times New Roman" w:hAnsi="Times New Roman" w:cs="Times New Roman"/>
          <w:i/>
          <w:iCs/>
          <w:color w:val="000000" w:themeColor="text1"/>
          <w:sz w:val="20"/>
          <w:szCs w:val="20"/>
          <w:bdr w:val="none" w:sz="0" w:space="0" w:color="auto" w:frame="1"/>
        </w:rPr>
        <w:t>In re Fuel Adjustment Clauses for Columbus S. Power Co. &amp; Ohio Power Co.</w:t>
      </w:r>
      <w:r w:rsidRPr="00DC3EE7">
        <w:rPr>
          <w:rFonts w:ascii="Times New Roman" w:hAnsi="Times New Roman" w:cs="Times New Roman"/>
          <w:color w:val="000000" w:themeColor="text1"/>
          <w:sz w:val="20"/>
          <w:szCs w:val="20"/>
        </w:rPr>
        <w:t xml:space="preserve">, 140 Ohio St.3d 352, 2014-Ohio-3764, 18 N.E.3d 1157, ¶ 45 (2014); </w:t>
      </w:r>
      <w:r w:rsidRPr="00DC3EE7">
        <w:rPr>
          <w:rFonts w:ascii="Times New Roman" w:hAnsi="Times New Roman" w:cs="Times New Roman"/>
          <w:i/>
          <w:iCs/>
          <w:color w:val="000000" w:themeColor="text1"/>
          <w:sz w:val="20"/>
          <w:szCs w:val="20"/>
          <w:bdr w:val="none" w:sz="0" w:space="0" w:color="auto" w:frame="1"/>
        </w:rPr>
        <w:t>MCI Telecommunications Corp. v. Pub. Utilities Com'n of Ohio</w:t>
      </w:r>
      <w:r w:rsidRPr="00DC3EE7">
        <w:rPr>
          <w:rFonts w:ascii="Times New Roman" w:hAnsi="Times New Roman" w:cs="Times New Roman"/>
          <w:color w:val="000000" w:themeColor="text1"/>
          <w:sz w:val="20"/>
          <w:szCs w:val="20"/>
        </w:rPr>
        <w:t>, 32 Ohio St.3d 306, 312, 513 N.E.2d 337, 343 (1987).</w:t>
      </w:r>
    </w:p>
  </w:footnote>
  <w:footnote w:id="17">
    <w:p w:rsidR="00912F3E" w:rsidRPr="00DC3EE7" w:rsidP="00DC3EE7" w14:paraId="122E7875" w14:textId="77777777">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OCC’s Comments at 3-4.</w:t>
      </w:r>
    </w:p>
  </w:footnote>
  <w:footnote w:id="18">
    <w:p w:rsidR="00912F3E" w:rsidRPr="00DC3EE7" w:rsidP="00DC3EE7" w14:paraId="1BCFD0E9" w14:textId="77777777">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Order at 7-8.</w:t>
      </w:r>
    </w:p>
  </w:footnote>
  <w:footnote w:id="19">
    <w:p w:rsidR="003A7185" w:rsidRPr="00DC3EE7" w:rsidP="00DC3EE7" w14:paraId="548712FC" w14:textId="34D894C7">
      <w:pPr>
        <w:pStyle w:val="FootnoteText"/>
        <w:spacing w:after="120"/>
        <w:rPr>
          <w:rFonts w:cs="Times New Roman"/>
        </w:rPr>
      </w:pPr>
      <w:r w:rsidRPr="00DC3EE7">
        <w:rPr>
          <w:rStyle w:val="FootnoteReference"/>
          <w:rFonts w:cs="Times New Roman"/>
        </w:rPr>
        <w:footnoteRef/>
      </w:r>
      <w:r w:rsidRPr="00DC3EE7">
        <w:rPr>
          <w:rFonts w:cs="Times New Roman"/>
        </w:rPr>
        <w:t xml:space="preserve"> </w:t>
      </w:r>
      <w:r w:rsidRPr="00DC3EE7">
        <w:rPr>
          <w:rFonts w:cs="Times New Roman"/>
          <w:i/>
          <w:iCs/>
        </w:rPr>
        <w:t xml:space="preserve">See </w:t>
      </w:r>
      <w:r w:rsidRPr="00DC3EE7">
        <w:rPr>
          <w:rFonts w:cs="Times New Roman"/>
        </w:rPr>
        <w:t xml:space="preserve">footnote 13, </w:t>
      </w:r>
      <w:r w:rsidRPr="00DC3EE7">
        <w:rPr>
          <w:rFonts w:cs="Times New Roman"/>
          <w:i/>
          <w:iCs/>
        </w:rPr>
        <w:t>supra</w:t>
      </w:r>
      <w:r w:rsidRPr="00DC3EE7">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482" w14:paraId="58A12F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EF0" w14:paraId="44C5102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ED0" w14:paraId="6AEDC57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CFE" w14:paraId="7166B7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8D948EC"/>
    <w:multiLevelType w:val="hybridMultilevel"/>
    <w:tmpl w:val="8834DCC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0"/>
    <w:lvlOverride w:ilvl="0">
      <w:startOverride w:val="1"/>
    </w:lvlOverride>
  </w:num>
  <w:num w:numId="5">
    <w:abstractNumId w:val="0"/>
    <w:lvlOverride w:ilvl="0">
      <w:startOverride w:val="1"/>
    </w:lvlOverride>
  </w:num>
  <w:num w:numId="6">
    <w:abstractNumId w:val="15"/>
  </w:num>
  <w:num w:numId="7">
    <w:abstractNumId w:val="1"/>
  </w:num>
  <w:num w:numId="8">
    <w:abstractNumId w:val="3"/>
  </w:num>
  <w:num w:numId="9">
    <w:abstractNumId w:val="6"/>
  </w:num>
  <w:num w:numId="10">
    <w:abstractNumId w:val="13"/>
  </w:num>
  <w:num w:numId="11">
    <w:abstractNumId w:val="2"/>
  </w:num>
  <w:num w:numId="12">
    <w:abstractNumId w:val="9"/>
  </w:num>
  <w:num w:numId="13">
    <w:abstractNumId w:val="9"/>
  </w:num>
  <w:num w:numId="14">
    <w:abstractNumId w:val="10"/>
  </w:num>
  <w:num w:numId="15">
    <w:abstractNumId w:val="9"/>
  </w:num>
  <w:num w:numId="16">
    <w:abstractNumId w:val="9"/>
  </w:num>
  <w:num w:numId="17">
    <w:abstractNumId w:val="4"/>
  </w:num>
  <w:num w:numId="18">
    <w:abstractNumId w:val="12"/>
  </w:num>
  <w:num w:numId="19">
    <w:abstractNumId w:val="8"/>
  </w:num>
  <w:num w:numId="20">
    <w:abstractNumId w:val="8"/>
  </w:num>
  <w:num w:numId="21">
    <w:abstractNumId w:val="8"/>
  </w:num>
  <w:num w:numId="22">
    <w:abstractNumId w:val="8"/>
  </w:num>
  <w:num w:numId="23">
    <w:abstractNumId w:val="5"/>
  </w:num>
  <w:num w:numId="24">
    <w:abstractNumId w:val="9"/>
  </w:num>
  <w:num w:numId="25">
    <w:abstractNumId w:val="8"/>
  </w:num>
  <w:num w:numId="26">
    <w:abstractNumId w:val="7"/>
  </w:num>
  <w:num w:numId="27">
    <w:abstractNumId w:val="9"/>
  </w:num>
  <w:num w:numId="28">
    <w:abstractNumId w:val="9"/>
  </w:num>
  <w:num w:numId="29">
    <w:abstractNumId w:val="9"/>
  </w:num>
  <w:num w:numId="30">
    <w:abstractNumId w:val="11"/>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202A0"/>
    <w:rsid w:val="00025308"/>
    <w:rsid w:val="00030205"/>
    <w:rsid w:val="00033D2A"/>
    <w:rsid w:val="000373BB"/>
    <w:rsid w:val="0005286A"/>
    <w:rsid w:val="00060C07"/>
    <w:rsid w:val="00064EF0"/>
    <w:rsid w:val="00073318"/>
    <w:rsid w:val="000739CD"/>
    <w:rsid w:val="00092CC5"/>
    <w:rsid w:val="000D531E"/>
    <w:rsid w:val="000E2690"/>
    <w:rsid w:val="000F11AA"/>
    <w:rsid w:val="00120147"/>
    <w:rsid w:val="001258E8"/>
    <w:rsid w:val="00133EF9"/>
    <w:rsid w:val="00141BD6"/>
    <w:rsid w:val="00144814"/>
    <w:rsid w:val="00152A74"/>
    <w:rsid w:val="00154D35"/>
    <w:rsid w:val="00164759"/>
    <w:rsid w:val="00175EA0"/>
    <w:rsid w:val="00177C12"/>
    <w:rsid w:val="00182457"/>
    <w:rsid w:val="00186CB5"/>
    <w:rsid w:val="00193A65"/>
    <w:rsid w:val="00195C32"/>
    <w:rsid w:val="001A5A4A"/>
    <w:rsid w:val="001D2205"/>
    <w:rsid w:val="001D57D5"/>
    <w:rsid w:val="001E1932"/>
    <w:rsid w:val="001E2D93"/>
    <w:rsid w:val="001F17C8"/>
    <w:rsid w:val="001F4B10"/>
    <w:rsid w:val="00214E0C"/>
    <w:rsid w:val="00244C5E"/>
    <w:rsid w:val="00246318"/>
    <w:rsid w:val="00262F26"/>
    <w:rsid w:val="00262F47"/>
    <w:rsid w:val="002677A9"/>
    <w:rsid w:val="00274D3B"/>
    <w:rsid w:val="00290D6C"/>
    <w:rsid w:val="002A01FC"/>
    <w:rsid w:val="002B11DE"/>
    <w:rsid w:val="002C1871"/>
    <w:rsid w:val="002C4209"/>
    <w:rsid w:val="002C45BB"/>
    <w:rsid w:val="002C4B2E"/>
    <w:rsid w:val="002D4C63"/>
    <w:rsid w:val="002D74BB"/>
    <w:rsid w:val="002E2564"/>
    <w:rsid w:val="002E7088"/>
    <w:rsid w:val="002F5C81"/>
    <w:rsid w:val="002F77D2"/>
    <w:rsid w:val="00312ABA"/>
    <w:rsid w:val="00321E47"/>
    <w:rsid w:val="003235AC"/>
    <w:rsid w:val="00327FF2"/>
    <w:rsid w:val="003503CC"/>
    <w:rsid w:val="003524E1"/>
    <w:rsid w:val="003554C4"/>
    <w:rsid w:val="00364CF1"/>
    <w:rsid w:val="00372D3F"/>
    <w:rsid w:val="00381B68"/>
    <w:rsid w:val="00391F0E"/>
    <w:rsid w:val="003A5E01"/>
    <w:rsid w:val="003A7185"/>
    <w:rsid w:val="003A7CEB"/>
    <w:rsid w:val="003B178A"/>
    <w:rsid w:val="003C44FC"/>
    <w:rsid w:val="003D3D8D"/>
    <w:rsid w:val="003F14C3"/>
    <w:rsid w:val="00401E4F"/>
    <w:rsid w:val="0040593E"/>
    <w:rsid w:val="00407811"/>
    <w:rsid w:val="004133EE"/>
    <w:rsid w:val="00416811"/>
    <w:rsid w:val="00421482"/>
    <w:rsid w:val="00454401"/>
    <w:rsid w:val="00461696"/>
    <w:rsid w:val="0046199B"/>
    <w:rsid w:val="004A3147"/>
    <w:rsid w:val="004B524B"/>
    <w:rsid w:val="004B7BE8"/>
    <w:rsid w:val="004B7DC4"/>
    <w:rsid w:val="004C40ED"/>
    <w:rsid w:val="004E09DF"/>
    <w:rsid w:val="004E1FEB"/>
    <w:rsid w:val="004F558E"/>
    <w:rsid w:val="005032C8"/>
    <w:rsid w:val="00516417"/>
    <w:rsid w:val="00532A68"/>
    <w:rsid w:val="00533E30"/>
    <w:rsid w:val="0053578E"/>
    <w:rsid w:val="005365F6"/>
    <w:rsid w:val="00550275"/>
    <w:rsid w:val="00552277"/>
    <w:rsid w:val="00553E4D"/>
    <w:rsid w:val="005639A5"/>
    <w:rsid w:val="00567EA9"/>
    <w:rsid w:val="005859A7"/>
    <w:rsid w:val="00596B6D"/>
    <w:rsid w:val="005A0312"/>
    <w:rsid w:val="005A29AE"/>
    <w:rsid w:val="005A3A0F"/>
    <w:rsid w:val="005B2D08"/>
    <w:rsid w:val="005B354F"/>
    <w:rsid w:val="005C351C"/>
    <w:rsid w:val="005C50ED"/>
    <w:rsid w:val="005C6900"/>
    <w:rsid w:val="005D3D3C"/>
    <w:rsid w:val="005D5FBA"/>
    <w:rsid w:val="005E3D2C"/>
    <w:rsid w:val="005F3639"/>
    <w:rsid w:val="006018FA"/>
    <w:rsid w:val="00624C8F"/>
    <w:rsid w:val="00627945"/>
    <w:rsid w:val="00631FBC"/>
    <w:rsid w:val="00644C4A"/>
    <w:rsid w:val="00652897"/>
    <w:rsid w:val="006550F3"/>
    <w:rsid w:val="00663CE9"/>
    <w:rsid w:val="006745A7"/>
    <w:rsid w:val="006774BE"/>
    <w:rsid w:val="0068004D"/>
    <w:rsid w:val="00692D8F"/>
    <w:rsid w:val="006B0EF8"/>
    <w:rsid w:val="006B6256"/>
    <w:rsid w:val="006C4A7C"/>
    <w:rsid w:val="006D19FD"/>
    <w:rsid w:val="006D7B0A"/>
    <w:rsid w:val="006E5926"/>
    <w:rsid w:val="006E7478"/>
    <w:rsid w:val="006F032E"/>
    <w:rsid w:val="006F4D75"/>
    <w:rsid w:val="006F6F08"/>
    <w:rsid w:val="0070006F"/>
    <w:rsid w:val="007025EA"/>
    <w:rsid w:val="00714ED0"/>
    <w:rsid w:val="00724278"/>
    <w:rsid w:val="007327BD"/>
    <w:rsid w:val="00740EAB"/>
    <w:rsid w:val="00747035"/>
    <w:rsid w:val="007542ED"/>
    <w:rsid w:val="00766364"/>
    <w:rsid w:val="00774830"/>
    <w:rsid w:val="00774C64"/>
    <w:rsid w:val="00775677"/>
    <w:rsid w:val="007775D1"/>
    <w:rsid w:val="007C38B2"/>
    <w:rsid w:val="007D54D1"/>
    <w:rsid w:val="007E0816"/>
    <w:rsid w:val="007E3FF9"/>
    <w:rsid w:val="007F0FC2"/>
    <w:rsid w:val="007F5D9A"/>
    <w:rsid w:val="00817AF9"/>
    <w:rsid w:val="00825877"/>
    <w:rsid w:val="008259C3"/>
    <w:rsid w:val="008475D8"/>
    <w:rsid w:val="0086090C"/>
    <w:rsid w:val="00861D0B"/>
    <w:rsid w:val="00882736"/>
    <w:rsid w:val="00897FD6"/>
    <w:rsid w:val="008A296C"/>
    <w:rsid w:val="008A2A2E"/>
    <w:rsid w:val="008B4F01"/>
    <w:rsid w:val="008C5C2D"/>
    <w:rsid w:val="008C724F"/>
    <w:rsid w:val="008D5478"/>
    <w:rsid w:val="008E086E"/>
    <w:rsid w:val="00905443"/>
    <w:rsid w:val="00912F3E"/>
    <w:rsid w:val="0092554F"/>
    <w:rsid w:val="00945974"/>
    <w:rsid w:val="009712D3"/>
    <w:rsid w:val="00980123"/>
    <w:rsid w:val="00985D4A"/>
    <w:rsid w:val="0099412E"/>
    <w:rsid w:val="009A3B8F"/>
    <w:rsid w:val="009A7647"/>
    <w:rsid w:val="009B2491"/>
    <w:rsid w:val="009B340D"/>
    <w:rsid w:val="009B6232"/>
    <w:rsid w:val="009D029C"/>
    <w:rsid w:val="009D54F0"/>
    <w:rsid w:val="009D6CD8"/>
    <w:rsid w:val="009F50CE"/>
    <w:rsid w:val="00A019D6"/>
    <w:rsid w:val="00A04BD0"/>
    <w:rsid w:val="00A0526F"/>
    <w:rsid w:val="00A06A04"/>
    <w:rsid w:val="00A07DE5"/>
    <w:rsid w:val="00A15099"/>
    <w:rsid w:val="00A27F8B"/>
    <w:rsid w:val="00A32A92"/>
    <w:rsid w:val="00A3424B"/>
    <w:rsid w:val="00A438A0"/>
    <w:rsid w:val="00A43E83"/>
    <w:rsid w:val="00A51C21"/>
    <w:rsid w:val="00A53576"/>
    <w:rsid w:val="00A55DFD"/>
    <w:rsid w:val="00A60150"/>
    <w:rsid w:val="00A6165D"/>
    <w:rsid w:val="00A62B87"/>
    <w:rsid w:val="00A77C16"/>
    <w:rsid w:val="00A85CFE"/>
    <w:rsid w:val="00A92215"/>
    <w:rsid w:val="00A9306F"/>
    <w:rsid w:val="00AA28C0"/>
    <w:rsid w:val="00AC34B3"/>
    <w:rsid w:val="00AC68C4"/>
    <w:rsid w:val="00AD1173"/>
    <w:rsid w:val="00AD18D2"/>
    <w:rsid w:val="00AD1F5C"/>
    <w:rsid w:val="00AD4052"/>
    <w:rsid w:val="00B026B5"/>
    <w:rsid w:val="00B05388"/>
    <w:rsid w:val="00B1448E"/>
    <w:rsid w:val="00B23417"/>
    <w:rsid w:val="00B25CB8"/>
    <w:rsid w:val="00B34C14"/>
    <w:rsid w:val="00B42677"/>
    <w:rsid w:val="00B874A1"/>
    <w:rsid w:val="00B90B9A"/>
    <w:rsid w:val="00B9551E"/>
    <w:rsid w:val="00B96C83"/>
    <w:rsid w:val="00BA6A05"/>
    <w:rsid w:val="00BA7EF9"/>
    <w:rsid w:val="00BB12AA"/>
    <w:rsid w:val="00BB2048"/>
    <w:rsid w:val="00BC76C2"/>
    <w:rsid w:val="00BE1310"/>
    <w:rsid w:val="00C04F4C"/>
    <w:rsid w:val="00C3683C"/>
    <w:rsid w:val="00C76AB9"/>
    <w:rsid w:val="00C8797A"/>
    <w:rsid w:val="00C90AC7"/>
    <w:rsid w:val="00C96ACC"/>
    <w:rsid w:val="00CA3256"/>
    <w:rsid w:val="00CB3239"/>
    <w:rsid w:val="00CD5F29"/>
    <w:rsid w:val="00CD772A"/>
    <w:rsid w:val="00CF351A"/>
    <w:rsid w:val="00D00562"/>
    <w:rsid w:val="00D05459"/>
    <w:rsid w:val="00D05D67"/>
    <w:rsid w:val="00D2308A"/>
    <w:rsid w:val="00D2552C"/>
    <w:rsid w:val="00D3104F"/>
    <w:rsid w:val="00D5085C"/>
    <w:rsid w:val="00D509B0"/>
    <w:rsid w:val="00D52EAF"/>
    <w:rsid w:val="00D54435"/>
    <w:rsid w:val="00D72F3F"/>
    <w:rsid w:val="00D90BE5"/>
    <w:rsid w:val="00DA6A1B"/>
    <w:rsid w:val="00DC01AD"/>
    <w:rsid w:val="00DC3EE7"/>
    <w:rsid w:val="00DD7D17"/>
    <w:rsid w:val="00DE3D19"/>
    <w:rsid w:val="00DE58AD"/>
    <w:rsid w:val="00DF0263"/>
    <w:rsid w:val="00E056BB"/>
    <w:rsid w:val="00E27339"/>
    <w:rsid w:val="00E338FB"/>
    <w:rsid w:val="00E4279E"/>
    <w:rsid w:val="00E42A6B"/>
    <w:rsid w:val="00E61B18"/>
    <w:rsid w:val="00E62CFE"/>
    <w:rsid w:val="00E7212D"/>
    <w:rsid w:val="00E77623"/>
    <w:rsid w:val="00E8202E"/>
    <w:rsid w:val="00E83C2C"/>
    <w:rsid w:val="00E95F3D"/>
    <w:rsid w:val="00EC2356"/>
    <w:rsid w:val="00ED5F68"/>
    <w:rsid w:val="00EF0048"/>
    <w:rsid w:val="00EF1535"/>
    <w:rsid w:val="00F115FB"/>
    <w:rsid w:val="00F14C8F"/>
    <w:rsid w:val="00F176BC"/>
    <w:rsid w:val="00F269B1"/>
    <w:rsid w:val="00F5035E"/>
    <w:rsid w:val="00F5295D"/>
    <w:rsid w:val="00F6161C"/>
    <w:rsid w:val="00F847DB"/>
    <w:rsid w:val="00FA640A"/>
    <w:rsid w:val="00FA738C"/>
    <w:rsid w:val="00FE1D6E"/>
    <w:rsid w:val="00FE765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438A0"/>
    <w:pPr>
      <w:keepNext/>
      <w:keepLines/>
      <w:spacing w:after="240" w:line="240" w:lineRule="auto"/>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A75AF6"/>
    <w:pPr>
      <w:keepNext/>
      <w:keepLines/>
      <w:numPr>
        <w:numId w:val="2"/>
      </w:numPr>
      <w:spacing w:after="240" w:line="240" w:lineRule="auto"/>
      <w:ind w:righ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A75AF6"/>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iPriority w:val="99"/>
    <w:unhideWhenUsed/>
    <w:rsid w:val="00775C0C"/>
    <w:pPr>
      <w:spacing w:line="240" w:lineRule="auto"/>
    </w:pPr>
    <w:rPr>
      <w:sz w:val="20"/>
      <w:szCs w:val="20"/>
    </w:rPr>
  </w:style>
  <w:style w:type="character" w:customStyle="1" w:styleId="CommentTextChar">
    <w:name w:val="Comment Text Char"/>
    <w:basedOn w:val="DefaultParagraphFont"/>
    <w:link w:val="CommentText"/>
    <w:uiPriority w:val="99"/>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8A0"/>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A75AF6"/>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nhideWhenUsed/>
    <w:rsid w:val="00C96ACC"/>
    <w:pPr>
      <w:spacing w:after="0" w:line="240" w:lineRule="auto"/>
    </w:pPr>
    <w:rPr>
      <w:sz w:val="20"/>
      <w:szCs w:val="20"/>
    </w:rPr>
  </w:style>
  <w:style w:type="character" w:customStyle="1" w:styleId="EndnoteTextChar">
    <w:name w:val="Endnote Text Char"/>
    <w:basedOn w:val="DefaultParagraphFont"/>
    <w:link w:val="EndnoteText"/>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
    <w:name w:val="Unresolved Mention"/>
    <w:basedOn w:val="DefaultParagraphFont"/>
    <w:uiPriority w:val="99"/>
    <w:rsid w:val="00775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2.xml" /><Relationship Id="rId13" Type="http://schemas.openxmlformats.org/officeDocument/2006/relationships/footer" Target="footer5.xml" /><Relationship Id="rId14" Type="http://schemas.openxmlformats.org/officeDocument/2006/relationships/header" Target="header3.xml" /><Relationship Id="rId15" Type="http://schemas.openxmlformats.org/officeDocument/2006/relationships/hyperlink" Target="mailto:John.jones@ohioattorneygeneral.gov" TargetMode="External" /><Relationship Id="rId16" Type="http://schemas.openxmlformats.org/officeDocument/2006/relationships/hyperlink" Target="mailto:scasto@firstenergycorp.com" TargetMode="External" /><Relationship Id="rId17" Type="http://schemas.openxmlformats.org/officeDocument/2006/relationships/hyperlink" Target="mailto:mpritchard@mcneeslaw.com" TargetMode="External" /><Relationship Id="rId18" Type="http://schemas.openxmlformats.org/officeDocument/2006/relationships/hyperlink" Target="mailto:fdarr@mcneeslaw.com" TargetMode="External" /><Relationship Id="rId19" Type="http://schemas.openxmlformats.org/officeDocument/2006/relationships/hyperlink" Target="mailto:james.lynn@puco.ohio.gov" TargetMode="External" /><Relationship Id="rId2" Type="http://schemas.openxmlformats.org/officeDocument/2006/relationships/settings" Target="settings.xml" /><Relationship Id="rId20" Type="http://schemas.openxmlformats.org/officeDocument/2006/relationships/hyperlink" Target="mailto:Bethany.allen@igs.com" TargetMode="External" /><Relationship Id="rId21" Type="http://schemas.openxmlformats.org/officeDocument/2006/relationships/hyperlink" Target="mailto:Joe.oliker@igs.com" TargetMode="External" /><Relationship Id="rId22" Type="http://schemas.openxmlformats.org/officeDocument/2006/relationships/hyperlink" Target="mailto:michael.schuler@aes.com" TargetMode="External" /><Relationship Id="rId23" Type="http://schemas.openxmlformats.org/officeDocument/2006/relationships/hyperlink" Target="mailto:stnourse@aep.com" TargetMode="External" /><Relationship Id="rId24" Type="http://schemas.openxmlformats.org/officeDocument/2006/relationships/hyperlink" Target="mailto:cmblend@aep.com" TargetMode="External" /><Relationship Id="rId25" Type="http://schemas.openxmlformats.org/officeDocument/2006/relationships/header" Target="header4.xml" /><Relationship Id="rId26" Type="http://schemas.openxmlformats.org/officeDocument/2006/relationships/footer" Target="footer6.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footer" Target="footer2.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B643-8685-4C09-9F9D-189ABC1F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Affiliate Rules Review.docx</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2020-07-17T17:49:59Z</dcterms:created>
  <dcterms:modified xsi:type="dcterms:W3CDTF">2020-07-17T17:49:59Z</dcterms:modified>
</cp:coreProperties>
</file>