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F336" w14:textId="77777777" w:rsidR="001D19B8" w:rsidRPr="00085080" w:rsidRDefault="001D19B8">
      <w:pPr>
        <w:jc w:val="center"/>
        <w:rPr>
          <w:rFonts w:ascii="Arial,Times New Roman" w:eastAsia="Arial,Times New Roman" w:hAnsi="Arial,Times New Roman" w:cs="Arial,Times New Roman"/>
          <w:b/>
          <w:bCs/>
          <w:sz w:val="24"/>
          <w:szCs w:val="24"/>
        </w:rPr>
      </w:pPr>
      <w:r w:rsidRPr="00085080">
        <w:rPr>
          <w:rFonts w:ascii="Arial" w:eastAsia="Arial" w:hAnsi="Arial" w:cs="Arial"/>
          <w:b/>
          <w:bCs/>
          <w:sz w:val="24"/>
          <w:szCs w:val="24"/>
        </w:rPr>
        <w:t>BEFORE</w:t>
      </w:r>
    </w:p>
    <w:p w14:paraId="7A3A5457" w14:textId="77777777" w:rsidR="001D19B8" w:rsidRPr="00085080" w:rsidRDefault="001D19B8" w:rsidP="00C038B5">
      <w:pPr>
        <w:spacing w:after="200" w:line="276" w:lineRule="auto"/>
        <w:jc w:val="center"/>
        <w:rPr>
          <w:rFonts w:ascii="Arial," w:eastAsia="Arial," w:hAnsi="Arial," w:cs="Arial,"/>
          <w:b/>
          <w:bCs/>
          <w:sz w:val="24"/>
          <w:szCs w:val="24"/>
        </w:rPr>
      </w:pPr>
      <w:r w:rsidRPr="00085080">
        <w:rPr>
          <w:rFonts w:ascii="Arial" w:eastAsia="Arial" w:hAnsi="Arial" w:cs="Arial"/>
          <w:b/>
          <w:bCs/>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1D19B8" w:rsidRPr="00525CFE" w14:paraId="656FB84A" w14:textId="77777777" w:rsidTr="1D0DCADB">
        <w:trPr>
          <w:trHeight w:val="3168"/>
          <w:jc w:val="center"/>
        </w:trPr>
        <w:tc>
          <w:tcPr>
            <w:tcW w:w="4739" w:type="dxa"/>
          </w:tcPr>
          <w:p w14:paraId="52A1F0B9"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The</w:t>
            </w:r>
          </w:p>
          <w:p w14:paraId="5B326491"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Dayton Power and Light Company for an</w:t>
            </w:r>
          </w:p>
          <w:p w14:paraId="1A7BEA97"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Increase in its Electric Distribution Rates</w:t>
            </w:r>
          </w:p>
          <w:p w14:paraId="0CBD68A5" w14:textId="180D90C0" w:rsidR="005E5B59" w:rsidRDefault="005E5B59" w:rsidP="005E5B59">
            <w:pPr>
              <w:autoSpaceDE w:val="0"/>
              <w:autoSpaceDN w:val="0"/>
              <w:adjustRightInd w:val="0"/>
              <w:spacing w:after="0"/>
              <w:rPr>
                <w:rFonts w:ascii="Arial" w:eastAsia="Arial" w:hAnsi="Arial" w:cs="Arial"/>
                <w:sz w:val="24"/>
                <w:szCs w:val="24"/>
              </w:rPr>
            </w:pPr>
          </w:p>
          <w:p w14:paraId="6C60219B" w14:textId="77777777" w:rsidR="005E5B59" w:rsidRDefault="005E5B59" w:rsidP="005E5B59">
            <w:pPr>
              <w:autoSpaceDE w:val="0"/>
              <w:autoSpaceDN w:val="0"/>
              <w:adjustRightInd w:val="0"/>
              <w:spacing w:after="0"/>
              <w:rPr>
                <w:rFonts w:ascii="Arial" w:eastAsia="Arial" w:hAnsi="Arial" w:cs="Arial"/>
                <w:sz w:val="24"/>
                <w:szCs w:val="24"/>
              </w:rPr>
            </w:pPr>
          </w:p>
          <w:p w14:paraId="4D46F175" w14:textId="06BC770C"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The</w:t>
            </w:r>
          </w:p>
          <w:p w14:paraId="07D3DBA9"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Dayton Power and Light Company for</w:t>
            </w:r>
          </w:p>
          <w:p w14:paraId="7846D83C" w14:textId="77777777"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 xml:space="preserve">Accounting Authority </w:t>
            </w:r>
          </w:p>
          <w:p w14:paraId="0A37501D" w14:textId="77777777" w:rsidR="001D19B8" w:rsidRPr="005E5B59" w:rsidRDefault="001D19B8" w:rsidP="005E5B59">
            <w:pPr>
              <w:autoSpaceDE w:val="0"/>
              <w:autoSpaceDN w:val="0"/>
              <w:adjustRightInd w:val="0"/>
              <w:spacing w:after="0"/>
              <w:rPr>
                <w:rFonts w:ascii="Arial" w:eastAsiaTheme="minorEastAsia" w:hAnsi="Arial" w:cs="Arial"/>
                <w:sz w:val="24"/>
                <w:szCs w:val="24"/>
              </w:rPr>
            </w:pPr>
          </w:p>
          <w:p w14:paraId="41CEE32B" w14:textId="77777777" w:rsidR="005E5B59" w:rsidRDefault="005E5B59" w:rsidP="005E5B59">
            <w:pPr>
              <w:autoSpaceDE w:val="0"/>
              <w:autoSpaceDN w:val="0"/>
              <w:adjustRightInd w:val="0"/>
              <w:spacing w:after="0"/>
              <w:rPr>
                <w:rFonts w:ascii="Arial" w:eastAsia="Arial" w:hAnsi="Arial" w:cs="Arial"/>
                <w:sz w:val="24"/>
                <w:szCs w:val="24"/>
              </w:rPr>
            </w:pPr>
          </w:p>
          <w:p w14:paraId="307DC0BE" w14:textId="18C616B9" w:rsidR="005E5B59" w:rsidRDefault="005E5B59" w:rsidP="005E5B59">
            <w:pPr>
              <w:autoSpaceDE w:val="0"/>
              <w:autoSpaceDN w:val="0"/>
              <w:adjustRightInd w:val="0"/>
              <w:spacing w:after="0"/>
              <w:rPr>
                <w:rFonts w:ascii="Arial" w:eastAsia="Arial" w:hAnsi="Arial" w:cs="Arial"/>
                <w:sz w:val="24"/>
                <w:szCs w:val="24"/>
              </w:rPr>
            </w:pPr>
          </w:p>
          <w:p w14:paraId="26D7B373" w14:textId="6E9DA2DC" w:rsidR="001D19B8" w:rsidRPr="005E5B59" w:rsidRDefault="001D19B8" w:rsidP="005E5B59">
            <w:pPr>
              <w:autoSpaceDE w:val="0"/>
              <w:autoSpaceDN w:val="0"/>
              <w:adjustRightInd w:val="0"/>
              <w:spacing w:after="0"/>
              <w:rPr>
                <w:rFonts w:ascii="Arial" w:eastAsia="Arial," w:hAnsi="Arial" w:cs="Arial"/>
                <w:sz w:val="24"/>
                <w:szCs w:val="24"/>
              </w:rPr>
            </w:pPr>
            <w:r w:rsidRPr="005E5B59">
              <w:rPr>
                <w:rFonts w:ascii="Arial" w:eastAsia="Arial" w:hAnsi="Arial" w:cs="Arial"/>
                <w:sz w:val="24"/>
                <w:szCs w:val="24"/>
              </w:rPr>
              <w:t>In the Matter of the Application of Dayton</w:t>
            </w:r>
            <w:r w:rsidRPr="005E5B59">
              <w:rPr>
                <w:rFonts w:ascii="Arial" w:eastAsia="Arial," w:hAnsi="Arial" w:cs="Arial"/>
                <w:sz w:val="24"/>
                <w:szCs w:val="24"/>
              </w:rPr>
              <w:t xml:space="preserve"> </w:t>
            </w:r>
            <w:r w:rsidRPr="005E5B59">
              <w:rPr>
                <w:rFonts w:ascii="Arial" w:eastAsia="Arial" w:hAnsi="Arial" w:cs="Arial"/>
                <w:sz w:val="24"/>
                <w:szCs w:val="24"/>
              </w:rPr>
              <w:t>Power and Light Company for Approval of Revised Tariffs</w:t>
            </w:r>
          </w:p>
        </w:tc>
        <w:tc>
          <w:tcPr>
            <w:tcW w:w="630" w:type="dxa"/>
          </w:tcPr>
          <w:p w14:paraId="2CEAEE8A"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7337C0F"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2465816"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66F6B82B"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6FCB2152"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001228B3"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3FFE75BF"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4B74C727"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r w:rsidRPr="005E5B59">
              <w:rPr>
                <w:rFonts w:ascii="Arial" w:eastAsiaTheme="minorEastAsia" w:hAnsi="Arial" w:cs="Arial"/>
                <w:sz w:val="24"/>
                <w:szCs w:val="24"/>
              </w:rPr>
              <w:br/>
            </w:r>
            <w:r w:rsidRPr="005E5B59">
              <w:rPr>
                <w:rFonts w:ascii="Arial" w:eastAsia="Arial," w:hAnsi="Arial" w:cs="Arial"/>
                <w:sz w:val="24"/>
                <w:szCs w:val="24"/>
              </w:rPr>
              <w:t>)</w:t>
            </w:r>
          </w:p>
          <w:p w14:paraId="09E72294"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p w14:paraId="3CF3AAEE" w14:textId="77777777" w:rsidR="001D19B8" w:rsidRPr="005E5B59" w:rsidRDefault="001D19B8">
            <w:pPr>
              <w:jc w:val="center"/>
              <w:rPr>
                <w:rFonts w:ascii="Arial" w:eastAsia="Arial," w:hAnsi="Arial" w:cs="Arial"/>
                <w:sz w:val="24"/>
                <w:szCs w:val="24"/>
              </w:rPr>
            </w:pPr>
            <w:r w:rsidRPr="005E5B59">
              <w:rPr>
                <w:rFonts w:ascii="Arial" w:eastAsia="Arial," w:hAnsi="Arial" w:cs="Arial"/>
                <w:sz w:val="24"/>
                <w:szCs w:val="24"/>
              </w:rPr>
              <w:t>)</w:t>
            </w:r>
          </w:p>
        </w:tc>
        <w:tc>
          <w:tcPr>
            <w:tcW w:w="3928" w:type="dxa"/>
          </w:tcPr>
          <w:p w14:paraId="5DAB6C7B" w14:textId="77777777" w:rsidR="001D19B8" w:rsidRPr="005E5B59" w:rsidRDefault="001D19B8" w:rsidP="00FA7DED">
            <w:pPr>
              <w:rPr>
                <w:rFonts w:ascii="Arial" w:eastAsiaTheme="minorEastAsia" w:hAnsi="Arial" w:cs="Arial"/>
                <w:sz w:val="24"/>
                <w:szCs w:val="24"/>
              </w:rPr>
            </w:pPr>
          </w:p>
          <w:p w14:paraId="29A44C58" w14:textId="77777777"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15-1830-EL-AIR</w:t>
            </w:r>
          </w:p>
          <w:p w14:paraId="02EB378F" w14:textId="77777777" w:rsidR="001D19B8" w:rsidRPr="005E5B59" w:rsidRDefault="001D19B8" w:rsidP="00FA7DED">
            <w:pPr>
              <w:rPr>
                <w:rFonts w:ascii="Arial" w:eastAsiaTheme="minorEastAsia" w:hAnsi="Arial" w:cs="Arial"/>
                <w:sz w:val="24"/>
                <w:szCs w:val="24"/>
              </w:rPr>
            </w:pPr>
          </w:p>
          <w:p w14:paraId="5D660290" w14:textId="77777777" w:rsidR="005E5B59" w:rsidRDefault="005E5B59">
            <w:pPr>
              <w:rPr>
                <w:rFonts w:ascii="Arial" w:eastAsiaTheme="minorEastAsia" w:hAnsi="Arial" w:cs="Arial"/>
                <w:sz w:val="24"/>
                <w:szCs w:val="24"/>
              </w:rPr>
            </w:pPr>
          </w:p>
          <w:p w14:paraId="135E70BE" w14:textId="0A00D7DD"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15-1831-EL-AAM</w:t>
            </w:r>
          </w:p>
          <w:p w14:paraId="41C8F396" w14:textId="77777777" w:rsidR="001D19B8" w:rsidRPr="005E5B59" w:rsidRDefault="001D19B8" w:rsidP="00FA7DED">
            <w:pPr>
              <w:rPr>
                <w:rFonts w:ascii="Arial" w:eastAsiaTheme="minorEastAsia" w:hAnsi="Arial" w:cs="Arial"/>
                <w:sz w:val="24"/>
                <w:szCs w:val="24"/>
              </w:rPr>
            </w:pPr>
          </w:p>
          <w:p w14:paraId="72A3D3EC" w14:textId="77777777" w:rsidR="001D19B8" w:rsidRPr="005E5B59" w:rsidRDefault="001D19B8" w:rsidP="00FA7DED">
            <w:pPr>
              <w:rPr>
                <w:rFonts w:ascii="Arial" w:eastAsiaTheme="minorEastAsia" w:hAnsi="Arial" w:cs="Arial"/>
                <w:sz w:val="24"/>
                <w:szCs w:val="24"/>
              </w:rPr>
            </w:pPr>
          </w:p>
          <w:p w14:paraId="11274253" w14:textId="77777777" w:rsidR="005E5B59" w:rsidRDefault="005E5B59">
            <w:pPr>
              <w:rPr>
                <w:rFonts w:ascii="Arial" w:eastAsiaTheme="minorEastAsia" w:hAnsi="Arial" w:cs="Arial"/>
                <w:sz w:val="24"/>
                <w:szCs w:val="24"/>
              </w:rPr>
            </w:pPr>
          </w:p>
          <w:p w14:paraId="40A11318" w14:textId="5059693E" w:rsidR="001D19B8" w:rsidRPr="005E5B59" w:rsidRDefault="001D19B8">
            <w:pPr>
              <w:rPr>
                <w:rFonts w:ascii="Arial" w:eastAsia="Arial," w:hAnsi="Arial" w:cs="Arial"/>
                <w:sz w:val="24"/>
                <w:szCs w:val="24"/>
              </w:rPr>
            </w:pPr>
            <w:r w:rsidRPr="005E5B59">
              <w:rPr>
                <w:rFonts w:ascii="Arial" w:eastAsia="Arial" w:hAnsi="Arial" w:cs="Arial"/>
                <w:sz w:val="24"/>
                <w:szCs w:val="24"/>
              </w:rPr>
              <w:t>Case No. 15-1832-EL-UNC</w:t>
            </w:r>
          </w:p>
          <w:p w14:paraId="0E27B00A" w14:textId="77777777" w:rsidR="001D19B8" w:rsidRPr="005E5B59" w:rsidRDefault="001D19B8" w:rsidP="00FA7DED">
            <w:pPr>
              <w:rPr>
                <w:rFonts w:ascii="Arial" w:eastAsiaTheme="minorEastAsia" w:hAnsi="Arial" w:cs="Arial"/>
                <w:sz w:val="24"/>
                <w:szCs w:val="24"/>
              </w:rPr>
            </w:pPr>
          </w:p>
        </w:tc>
      </w:tr>
    </w:tbl>
    <w:p w14:paraId="60061E4C" w14:textId="77777777" w:rsidR="001D19B8" w:rsidRPr="00D77B42" w:rsidRDefault="001D19B8" w:rsidP="001D19B8">
      <w:pPr>
        <w:spacing w:line="200" w:lineRule="exact"/>
        <w:rPr>
          <w:rFonts w:ascii="Arial" w:hAnsi="Arial" w:cs="Arial"/>
          <w:sz w:val="24"/>
          <w:szCs w:val="24"/>
        </w:rPr>
      </w:pPr>
    </w:p>
    <w:p w14:paraId="44EAFD9C" w14:textId="77777777" w:rsidR="001D19B8" w:rsidRPr="00D77B42" w:rsidRDefault="001D19B8" w:rsidP="001D19B8">
      <w:pPr>
        <w:spacing w:line="200" w:lineRule="exact"/>
        <w:rPr>
          <w:rFonts w:ascii="Arial" w:hAnsi="Arial" w:cs="Arial"/>
          <w:sz w:val="24"/>
          <w:szCs w:val="24"/>
        </w:rPr>
      </w:pPr>
    </w:p>
    <w:p w14:paraId="4B94D5A5" w14:textId="77777777" w:rsidR="001D19B8" w:rsidRPr="00D77B42" w:rsidRDefault="001D19B8" w:rsidP="001D19B8">
      <w:pPr>
        <w:spacing w:line="200" w:lineRule="exact"/>
        <w:rPr>
          <w:rFonts w:ascii="Arial" w:hAnsi="Arial" w:cs="Arial"/>
          <w:sz w:val="24"/>
          <w:szCs w:val="24"/>
        </w:rPr>
      </w:pPr>
    </w:p>
    <w:p w14:paraId="767FDB43" w14:textId="0B1F8D85" w:rsidR="001D19B8" w:rsidRPr="00085080" w:rsidRDefault="001D19B8" w:rsidP="00085080">
      <w:pPr>
        <w:spacing w:line="268" w:lineRule="exact"/>
        <w:ind w:left="1319" w:right="942"/>
        <w:jc w:val="center"/>
        <w:rPr>
          <w:rFonts w:ascii="Arial,Times New Roman" w:eastAsia="Arial,Times New Roman" w:hAnsi="Arial,Times New Roman" w:cs="Arial,Times New Roman"/>
          <w:b/>
          <w:bCs/>
          <w:sz w:val="24"/>
          <w:szCs w:val="24"/>
        </w:rPr>
      </w:pPr>
      <w:r w:rsidRPr="00D77B42">
        <w:rPr>
          <w:rFonts w:ascii="Arial" w:hAnsi="Arial" w:cs="Arial"/>
          <w:b/>
          <w:noProof/>
          <w:sz w:val="24"/>
          <w:szCs w:val="24"/>
        </w:rPr>
        <mc:AlternateContent>
          <mc:Choice Requires="wpg">
            <w:drawing>
              <wp:anchor distT="0" distB="0" distL="114300" distR="114300" simplePos="0" relativeHeight="251657216" behindDoc="1" locked="0" layoutInCell="1" allowOverlap="1" wp14:anchorId="6DB041AC" wp14:editId="1DD4676F">
                <wp:simplePos x="0" y="0"/>
                <wp:positionH relativeFrom="page">
                  <wp:posOffset>1121410</wp:posOffset>
                </wp:positionH>
                <wp:positionV relativeFrom="paragraph">
                  <wp:posOffset>-193040</wp:posOffset>
                </wp:positionV>
                <wp:extent cx="5528945" cy="1270"/>
                <wp:effectExtent l="16510" t="16510" r="17145" b="2032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304"/>
                          <a:chExt cx="8707" cy="2"/>
                        </a:xfrm>
                      </wpg:grpSpPr>
                      <wps:wsp>
                        <wps:cNvPr id="9" name="Freeform 37"/>
                        <wps:cNvSpPr>
                          <a:spLocks/>
                        </wps:cNvSpPr>
                        <wps:spPr bwMode="auto">
                          <a:xfrm>
                            <a:off x="1766" y="-304"/>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09B0B2C" id="Group 36" o:spid="_x0000_s1026" style="position:absolute;margin-left:88.3pt;margin-top:-15.2pt;width:435.35pt;height:.1pt;z-index:-251659264;mso-position-horizontal-relative:page" coordorigin="1766,-304"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">
                <v:shape id="Freeform 37" o:spid="_x0000_s1027" style="position:absolute;left:1766;top:-304;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" path="m,l8708,e" filled="f" strokeweight="1.92pt">
                  <v:path arrowok="t" o:connecttype="custom" o:connectlocs="0,0;8708,0" o:connectangles="0,0"/>
                </v:shape>
                <w10:wrap anchorx="page"/>
              </v:group>
            </w:pict>
          </mc:Fallback>
        </mc:AlternateContent>
      </w:r>
      <w:r w:rsidR="00B11A37">
        <w:rPr>
          <w:rFonts w:ascii="Arial" w:eastAsia="Arial" w:hAnsi="Arial" w:cs="Arial"/>
          <w:b/>
          <w:bCs/>
          <w:color w:val="21212A"/>
          <w:w w:val="105"/>
          <w:sz w:val="24"/>
          <w:szCs w:val="24"/>
        </w:rPr>
        <w:t>REPLY</w:t>
      </w:r>
      <w:r w:rsidR="00FB5EA1" w:rsidRPr="00085080">
        <w:rPr>
          <w:rFonts w:ascii="Arial" w:eastAsia="Arial" w:hAnsi="Arial" w:cs="Arial"/>
          <w:b/>
          <w:bCs/>
          <w:color w:val="21212A"/>
          <w:w w:val="105"/>
          <w:sz w:val="24"/>
          <w:szCs w:val="24"/>
        </w:rPr>
        <w:t xml:space="preserve"> BRIEF OF </w:t>
      </w:r>
      <w:r w:rsidRPr="00085080">
        <w:rPr>
          <w:rFonts w:ascii="Arial" w:eastAsia="Arial" w:hAnsi="Arial" w:cs="Arial"/>
          <w:b/>
          <w:bCs/>
          <w:color w:val="21212A"/>
          <w:w w:val="105"/>
          <w:sz w:val="24"/>
          <w:szCs w:val="24"/>
        </w:rPr>
        <w:t xml:space="preserve">INTERSTATE GAS SUPPLY, </w:t>
      </w:r>
      <w:r w:rsidR="00FB5EA1" w:rsidRPr="00085080">
        <w:rPr>
          <w:rFonts w:ascii="Arial" w:eastAsia="Arial" w:hAnsi="Arial" w:cs="Arial"/>
          <w:b/>
          <w:bCs/>
          <w:color w:val="21212A"/>
          <w:w w:val="105"/>
          <w:sz w:val="24"/>
          <w:szCs w:val="24"/>
        </w:rPr>
        <w:t>INC</w:t>
      </w:r>
      <w:r w:rsidRPr="00D77B42">
        <w:rPr>
          <w:rFonts w:ascii="Arial" w:hAnsi="Arial" w:cs="Arial"/>
          <w:b/>
          <w:noProof/>
          <w:sz w:val="24"/>
          <w:szCs w:val="24"/>
        </w:rPr>
        <mc:AlternateContent>
          <mc:Choice Requires="wpg">
            <w:drawing>
              <wp:anchor distT="0" distB="0" distL="114300" distR="114300" simplePos="0" relativeHeight="251659264" behindDoc="1" locked="0" layoutInCell="1" allowOverlap="1" wp14:anchorId="7890E237" wp14:editId="69435077">
                <wp:simplePos x="0" y="0"/>
                <wp:positionH relativeFrom="page">
                  <wp:posOffset>1121410</wp:posOffset>
                </wp:positionH>
                <wp:positionV relativeFrom="paragraph">
                  <wp:posOffset>374650</wp:posOffset>
                </wp:positionV>
                <wp:extent cx="5528945" cy="1270"/>
                <wp:effectExtent l="16510" t="12700" r="17145" b="14605"/>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1270"/>
                          <a:chOff x="1766" y="590"/>
                          <a:chExt cx="8707" cy="2"/>
                        </a:xfrm>
                      </wpg:grpSpPr>
                      <wps:wsp>
                        <wps:cNvPr id="7" name="Freeform 35"/>
                        <wps:cNvSpPr>
                          <a:spLocks/>
                        </wps:cNvSpPr>
                        <wps:spPr bwMode="auto">
                          <a:xfrm>
                            <a:off x="1766" y="590"/>
                            <a:ext cx="8707" cy="2"/>
                          </a:xfrm>
                          <a:custGeom>
                            <a:avLst/>
                            <a:gdLst>
                              <a:gd name="T0" fmla="+- 0 1766 1766"/>
                              <a:gd name="T1" fmla="*/ T0 w 8707"/>
                              <a:gd name="T2" fmla="+- 0 10474 1766"/>
                              <a:gd name="T3" fmla="*/ T2 w 8707"/>
                            </a:gdLst>
                            <a:ahLst/>
                            <a:cxnLst>
                              <a:cxn ang="0">
                                <a:pos x="T1" y="0"/>
                              </a:cxn>
                              <a:cxn ang="0">
                                <a:pos x="T3" y="0"/>
                              </a:cxn>
                            </a:cxnLst>
                            <a:rect l="0" t="0" r="r" b="b"/>
                            <a:pathLst>
                              <a:path w="8707">
                                <a:moveTo>
                                  <a:pt x="0" y="0"/>
                                </a:moveTo>
                                <a:lnTo>
                                  <a:pt x="870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31D12B6" id="Group 34" o:spid="_x0000_s1026" style="position:absolute;margin-left:88.3pt;margin-top:29.5pt;width:435.35pt;height:.1pt;z-index:-251657216;mso-position-horizontal-relative:page" coordorigin="1766,590" coordsize="8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24XA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">
                <v:shape id="Freeform 35" o:spid="_x0000_s1027" style="position:absolute;left:1766;top:590;width:8707;height:2;visibility:visible;mso-wrap-style:square;v-text-anchor:top" coordsize="8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" path="m,l8708,e" filled="f" strokeweight="1.92pt">
                  <v:path arrowok="t" o:connecttype="custom" o:connectlocs="0,0;8708,0" o:connectangles="0,0"/>
                </v:shape>
                <w10:wrap anchorx="page"/>
              </v:group>
            </w:pict>
          </mc:Fallback>
        </mc:AlternateContent>
      </w:r>
      <w:r w:rsidR="00FB5EA1" w:rsidRPr="00085080">
        <w:rPr>
          <w:rFonts w:ascii="Arial,Times New Roman" w:eastAsia="Arial,Times New Roman" w:hAnsi="Arial,Times New Roman" w:cs="Arial,Times New Roman"/>
          <w:b/>
          <w:bCs/>
          <w:color w:val="21212A"/>
          <w:w w:val="105"/>
          <w:sz w:val="24"/>
          <w:szCs w:val="24"/>
        </w:rPr>
        <w:t>.</w:t>
      </w:r>
    </w:p>
    <w:p w14:paraId="61353B33" w14:textId="77777777" w:rsidR="003A5642" w:rsidRDefault="003A5642" w:rsidP="00262C8D">
      <w:pPr>
        <w:widowControl w:val="0"/>
        <w:spacing w:after="0" w:line="240" w:lineRule="auto"/>
        <w:jc w:val="center"/>
        <w:rPr>
          <w:rFonts w:ascii="Arial" w:hAnsi="Arial" w:cs="Arial"/>
          <w:b/>
          <w:bCs/>
          <w:sz w:val="24"/>
          <w:szCs w:val="24"/>
          <w:u w:val="single"/>
        </w:rPr>
      </w:pPr>
    </w:p>
    <w:p w14:paraId="5C45E974" w14:textId="77777777" w:rsidR="003A5642" w:rsidRDefault="003A5642" w:rsidP="003A5642">
      <w:pPr>
        <w:spacing w:after="0" w:line="240" w:lineRule="auto"/>
        <w:ind w:left="5040"/>
        <w:rPr>
          <w:rFonts w:ascii="Arial" w:hAnsi="Arial" w:cs="Arial"/>
          <w:sz w:val="24"/>
          <w:szCs w:val="24"/>
        </w:rPr>
      </w:pPr>
    </w:p>
    <w:p w14:paraId="783E3A2D" w14:textId="77777777" w:rsidR="003A5642" w:rsidRDefault="003A5642" w:rsidP="003A5642">
      <w:pPr>
        <w:spacing w:after="0" w:line="240" w:lineRule="auto"/>
        <w:ind w:left="5040"/>
        <w:rPr>
          <w:rFonts w:ascii="Arial" w:hAnsi="Arial" w:cs="Arial"/>
          <w:sz w:val="24"/>
          <w:szCs w:val="24"/>
        </w:rPr>
      </w:pPr>
    </w:p>
    <w:p w14:paraId="347A88A2" w14:textId="77777777" w:rsidR="003A5642" w:rsidRDefault="003A5642" w:rsidP="003A5642">
      <w:pPr>
        <w:spacing w:after="0" w:line="240" w:lineRule="auto"/>
        <w:ind w:left="5040"/>
        <w:rPr>
          <w:rFonts w:ascii="Arial" w:hAnsi="Arial" w:cs="Arial"/>
          <w:sz w:val="24"/>
          <w:szCs w:val="24"/>
        </w:rPr>
      </w:pPr>
    </w:p>
    <w:p w14:paraId="78AEA7DB" w14:textId="23093D1F" w:rsidR="003A5642" w:rsidRDefault="003A5642" w:rsidP="003A5642">
      <w:pPr>
        <w:spacing w:after="0" w:line="240" w:lineRule="auto"/>
        <w:ind w:left="5040"/>
        <w:rPr>
          <w:rFonts w:ascii="Arial" w:hAnsi="Arial" w:cs="Arial"/>
          <w:sz w:val="24"/>
          <w:szCs w:val="24"/>
        </w:rPr>
      </w:pPr>
      <w:r w:rsidRPr="00C51B26">
        <w:rPr>
          <w:rFonts w:ascii="Arial" w:hAnsi="Arial" w:cs="Arial"/>
          <w:sz w:val="24"/>
          <w:szCs w:val="24"/>
        </w:rPr>
        <w:t>Joseph Oliker (0086088)</w:t>
      </w:r>
    </w:p>
    <w:p w14:paraId="5F6A7F9B" w14:textId="65D8BD26" w:rsidR="003A5642" w:rsidRPr="00D73138" w:rsidRDefault="003A5642" w:rsidP="00D73138">
      <w:pPr>
        <w:spacing w:after="0" w:line="240" w:lineRule="auto"/>
        <w:ind w:left="5040"/>
        <w:rPr>
          <w:rFonts w:ascii="Arial" w:hAnsi="Arial" w:cs="Arial"/>
          <w:sz w:val="24"/>
          <w:szCs w:val="24"/>
        </w:rPr>
      </w:pPr>
      <w:r w:rsidRPr="00D73138">
        <w:rPr>
          <w:rFonts w:ascii="Arial" w:hAnsi="Arial" w:cs="Arial"/>
          <w:sz w:val="24"/>
          <w:szCs w:val="24"/>
        </w:rPr>
        <w:t xml:space="preserve">Counsel of Record </w:t>
      </w:r>
    </w:p>
    <w:p w14:paraId="13AE51AD" w14:textId="77777777" w:rsidR="003A5642" w:rsidRPr="00D73138" w:rsidRDefault="003A5642" w:rsidP="003A5642">
      <w:pPr>
        <w:spacing w:after="0" w:line="240" w:lineRule="auto"/>
        <w:ind w:left="5040"/>
        <w:rPr>
          <w:rStyle w:val="Hyperlink"/>
          <w:rFonts w:ascii="Arial" w:hAnsi="Arial" w:cs="Arial"/>
          <w:color w:val="auto"/>
          <w:sz w:val="24"/>
          <w:szCs w:val="24"/>
          <w:u w:val="none"/>
        </w:rPr>
      </w:pPr>
      <w:r w:rsidRPr="00D73138">
        <w:rPr>
          <w:rFonts w:ascii="Arial" w:hAnsi="Arial" w:cs="Arial"/>
          <w:sz w:val="24"/>
          <w:szCs w:val="24"/>
        </w:rPr>
        <w:t xml:space="preserve">Email: </w:t>
      </w:r>
      <w:hyperlink r:id="rId8" w:history="1">
        <w:r w:rsidRPr="00D73138">
          <w:rPr>
            <w:rStyle w:val="Hyperlink"/>
            <w:rFonts w:ascii="Arial" w:hAnsi="Arial" w:cs="Arial"/>
            <w:color w:val="auto"/>
            <w:sz w:val="24"/>
            <w:szCs w:val="24"/>
            <w:u w:val="none"/>
          </w:rPr>
          <w:t>joliker@igsenergy.com</w:t>
        </w:r>
      </w:hyperlink>
    </w:p>
    <w:p w14:paraId="3014E702" w14:textId="2F6CBD88" w:rsidR="00D73138" w:rsidRPr="00D73138" w:rsidRDefault="00D73138" w:rsidP="00D73138">
      <w:pPr>
        <w:spacing w:after="0" w:line="240" w:lineRule="auto"/>
        <w:ind w:left="5040"/>
        <w:rPr>
          <w:rFonts w:ascii="Arial" w:hAnsi="Arial" w:cs="Arial"/>
          <w:sz w:val="24"/>
          <w:szCs w:val="24"/>
        </w:rPr>
      </w:pPr>
      <w:r w:rsidRPr="00D73138">
        <w:rPr>
          <w:rFonts w:ascii="Arial" w:hAnsi="Arial" w:cs="Arial"/>
          <w:sz w:val="24"/>
          <w:szCs w:val="24"/>
        </w:rPr>
        <w:t>Michael Nugent</w:t>
      </w:r>
      <w:r>
        <w:rPr>
          <w:rFonts w:ascii="Arial" w:hAnsi="Arial" w:cs="Arial"/>
          <w:sz w:val="24"/>
          <w:szCs w:val="24"/>
        </w:rPr>
        <w:t xml:space="preserve"> (0090408)</w:t>
      </w:r>
    </w:p>
    <w:p w14:paraId="5738BAAE" w14:textId="409ADFE2" w:rsidR="00D73138" w:rsidRPr="00D73138" w:rsidRDefault="00D73138" w:rsidP="00D73138">
      <w:pPr>
        <w:spacing w:after="0" w:line="240" w:lineRule="auto"/>
        <w:ind w:left="5040"/>
        <w:rPr>
          <w:rFonts w:ascii="Arial" w:hAnsi="Arial" w:cs="Arial"/>
          <w:sz w:val="24"/>
          <w:szCs w:val="24"/>
        </w:rPr>
      </w:pPr>
      <w:r w:rsidRPr="00D73138">
        <w:rPr>
          <w:rFonts w:ascii="Arial" w:hAnsi="Arial" w:cs="Arial"/>
          <w:sz w:val="24"/>
          <w:szCs w:val="24"/>
        </w:rPr>
        <w:t>Mnugent@igsenergy.com</w:t>
      </w:r>
    </w:p>
    <w:p w14:paraId="3175FF48" w14:textId="3B78F990" w:rsidR="00D73138" w:rsidRPr="00D73138" w:rsidRDefault="003A5642" w:rsidP="00D73138">
      <w:pPr>
        <w:spacing w:after="0" w:line="240" w:lineRule="auto"/>
        <w:ind w:left="5040"/>
        <w:rPr>
          <w:rFonts w:ascii="Arial" w:hAnsi="Arial" w:cs="Arial"/>
          <w:sz w:val="24"/>
          <w:szCs w:val="24"/>
        </w:rPr>
      </w:pPr>
      <w:r w:rsidRPr="00D73138">
        <w:rPr>
          <w:rFonts w:ascii="Arial" w:hAnsi="Arial" w:cs="Arial"/>
          <w:sz w:val="24"/>
          <w:szCs w:val="24"/>
        </w:rPr>
        <w:t>IGS Energy</w:t>
      </w:r>
    </w:p>
    <w:p w14:paraId="7BE96F58" w14:textId="77777777" w:rsidR="003A5642" w:rsidRPr="00D73138" w:rsidRDefault="003A5642" w:rsidP="003A5642">
      <w:pPr>
        <w:spacing w:after="0" w:line="240" w:lineRule="auto"/>
        <w:ind w:left="5040"/>
        <w:rPr>
          <w:rFonts w:ascii="Arial" w:hAnsi="Arial" w:cs="Arial"/>
          <w:sz w:val="24"/>
          <w:szCs w:val="24"/>
        </w:rPr>
      </w:pPr>
      <w:r w:rsidRPr="00D73138">
        <w:rPr>
          <w:rFonts w:ascii="Arial" w:hAnsi="Arial" w:cs="Arial"/>
          <w:sz w:val="24"/>
          <w:szCs w:val="24"/>
        </w:rPr>
        <w:t>6100 Emerald Parkway</w:t>
      </w:r>
    </w:p>
    <w:p w14:paraId="45617010" w14:textId="77777777" w:rsidR="003A5642" w:rsidRPr="00D73138" w:rsidRDefault="003A5642" w:rsidP="003A5642">
      <w:pPr>
        <w:spacing w:after="0" w:line="240" w:lineRule="auto"/>
        <w:ind w:left="5040"/>
        <w:rPr>
          <w:rFonts w:ascii="Arial" w:hAnsi="Arial" w:cs="Arial"/>
          <w:sz w:val="24"/>
          <w:szCs w:val="24"/>
        </w:rPr>
      </w:pPr>
      <w:r w:rsidRPr="00D73138">
        <w:rPr>
          <w:rFonts w:ascii="Arial" w:hAnsi="Arial" w:cs="Arial"/>
          <w:sz w:val="24"/>
          <w:szCs w:val="24"/>
        </w:rPr>
        <w:t>Dublin, Ohio 43016</w:t>
      </w:r>
    </w:p>
    <w:p w14:paraId="461501A2" w14:textId="77777777" w:rsidR="003A5642" w:rsidRDefault="003A5642" w:rsidP="003A5642">
      <w:pPr>
        <w:spacing w:after="0" w:line="240" w:lineRule="auto"/>
        <w:ind w:left="5040"/>
        <w:rPr>
          <w:rFonts w:ascii="Arial" w:hAnsi="Arial" w:cs="Arial"/>
          <w:sz w:val="24"/>
          <w:szCs w:val="24"/>
        </w:rPr>
      </w:pPr>
      <w:r w:rsidRPr="00C51B26">
        <w:rPr>
          <w:rFonts w:ascii="Arial" w:hAnsi="Arial" w:cs="Arial"/>
          <w:sz w:val="24"/>
          <w:szCs w:val="24"/>
        </w:rPr>
        <w:t>Telephone:</w:t>
      </w:r>
      <w:r w:rsidRPr="00C51B26">
        <w:rPr>
          <w:rFonts w:ascii="Arial" w:hAnsi="Arial" w:cs="Arial"/>
          <w:sz w:val="24"/>
          <w:szCs w:val="24"/>
        </w:rPr>
        <w:tab/>
        <w:t>(614) 659</w:t>
      </w:r>
      <w:r>
        <w:rPr>
          <w:rFonts w:ascii="Arial" w:hAnsi="Arial" w:cs="Arial"/>
          <w:sz w:val="24"/>
          <w:szCs w:val="24"/>
        </w:rPr>
        <w:t>-5000</w:t>
      </w:r>
    </w:p>
    <w:p w14:paraId="2EEC8C4E" w14:textId="77777777" w:rsidR="003A5642" w:rsidRDefault="003A5642" w:rsidP="003A5642">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43CF47C1" w14:textId="77777777" w:rsidR="003A5642" w:rsidRDefault="003A5642" w:rsidP="003A5642">
      <w:pPr>
        <w:spacing w:after="0" w:line="240" w:lineRule="auto"/>
        <w:ind w:left="5040"/>
        <w:rPr>
          <w:rFonts w:ascii="Arial" w:hAnsi="Arial" w:cs="Arial"/>
          <w:sz w:val="24"/>
          <w:szCs w:val="24"/>
        </w:rPr>
      </w:pPr>
    </w:p>
    <w:p w14:paraId="02009288" w14:textId="0071D731" w:rsidR="003A5642" w:rsidRDefault="003A5642" w:rsidP="003A5642">
      <w:pPr>
        <w:spacing w:after="0" w:line="240" w:lineRule="auto"/>
        <w:ind w:left="5040"/>
        <w:rPr>
          <w:rFonts w:ascii="Arial" w:hAnsi="Arial" w:cs="Arial"/>
          <w:b/>
          <w:i/>
          <w:sz w:val="24"/>
          <w:szCs w:val="24"/>
        </w:rPr>
      </w:pPr>
      <w:r>
        <w:rPr>
          <w:rFonts w:ascii="Arial" w:hAnsi="Arial" w:cs="Arial"/>
          <w:b/>
          <w:i/>
          <w:sz w:val="24"/>
          <w:szCs w:val="24"/>
        </w:rPr>
        <w:t>Attorney</w:t>
      </w:r>
      <w:r w:rsidR="00D73138">
        <w:rPr>
          <w:rFonts w:ascii="Arial" w:hAnsi="Arial" w:cs="Arial"/>
          <w:b/>
          <w:i/>
          <w:sz w:val="24"/>
          <w:szCs w:val="24"/>
        </w:rPr>
        <w:t>s</w:t>
      </w:r>
      <w:r>
        <w:rPr>
          <w:rFonts w:ascii="Arial" w:hAnsi="Arial" w:cs="Arial"/>
          <w:b/>
          <w:i/>
          <w:sz w:val="24"/>
          <w:szCs w:val="24"/>
        </w:rPr>
        <w:t xml:space="preserve"> for IGS Energy</w:t>
      </w:r>
    </w:p>
    <w:p w14:paraId="6B020F98" w14:textId="599163FD" w:rsidR="003A5642" w:rsidRPr="006E5083" w:rsidRDefault="003A5642" w:rsidP="003A5642">
      <w:pPr>
        <w:spacing w:after="0" w:line="240" w:lineRule="auto"/>
        <w:rPr>
          <w:rFonts w:ascii="Arial" w:hAnsi="Arial" w:cs="Arial"/>
          <w:b/>
          <w:sz w:val="24"/>
          <w:szCs w:val="24"/>
        </w:rPr>
      </w:pPr>
      <w:r>
        <w:rPr>
          <w:rFonts w:ascii="Arial" w:hAnsi="Arial" w:cs="Arial"/>
          <w:b/>
          <w:sz w:val="24"/>
          <w:szCs w:val="24"/>
        </w:rPr>
        <w:t xml:space="preserve">August </w:t>
      </w:r>
      <w:r w:rsidR="00AF1DEB">
        <w:rPr>
          <w:rFonts w:ascii="Arial" w:hAnsi="Arial" w:cs="Arial"/>
          <w:b/>
          <w:sz w:val="24"/>
          <w:szCs w:val="24"/>
        </w:rPr>
        <w:t>27</w:t>
      </w:r>
      <w:r>
        <w:rPr>
          <w:rFonts w:ascii="Arial" w:hAnsi="Arial" w:cs="Arial"/>
          <w:b/>
          <w:sz w:val="24"/>
          <w:szCs w:val="24"/>
        </w:rPr>
        <w:t>, 2018</w:t>
      </w:r>
    </w:p>
    <w:p w14:paraId="64304EB1" w14:textId="77777777" w:rsidR="003A5642" w:rsidRDefault="003A5642" w:rsidP="00262C8D">
      <w:pPr>
        <w:widowControl w:val="0"/>
        <w:spacing w:after="0" w:line="240" w:lineRule="auto"/>
        <w:jc w:val="center"/>
        <w:rPr>
          <w:rFonts w:ascii="Arial" w:hAnsi="Arial" w:cs="Arial"/>
          <w:b/>
          <w:bCs/>
          <w:sz w:val="24"/>
          <w:szCs w:val="24"/>
          <w:u w:val="single"/>
        </w:rPr>
      </w:pPr>
    </w:p>
    <w:p w14:paraId="177B57E4" w14:textId="77777777" w:rsidR="003A5642" w:rsidRDefault="003A5642" w:rsidP="00262C8D">
      <w:pPr>
        <w:widowControl w:val="0"/>
        <w:spacing w:after="0" w:line="240" w:lineRule="auto"/>
        <w:jc w:val="center"/>
        <w:rPr>
          <w:rFonts w:ascii="Arial" w:hAnsi="Arial" w:cs="Arial"/>
          <w:b/>
          <w:bCs/>
          <w:sz w:val="24"/>
          <w:szCs w:val="24"/>
          <w:u w:val="single"/>
        </w:rPr>
      </w:pPr>
    </w:p>
    <w:p w14:paraId="41B60DF2" w14:textId="77777777" w:rsidR="003A5642" w:rsidRDefault="003A5642" w:rsidP="00262C8D">
      <w:pPr>
        <w:widowControl w:val="0"/>
        <w:spacing w:after="0" w:line="240" w:lineRule="auto"/>
        <w:jc w:val="center"/>
        <w:rPr>
          <w:rFonts w:ascii="Arial" w:hAnsi="Arial" w:cs="Arial"/>
          <w:b/>
          <w:bCs/>
          <w:sz w:val="24"/>
          <w:szCs w:val="24"/>
          <w:u w:val="single"/>
        </w:rPr>
      </w:pPr>
    </w:p>
    <w:p w14:paraId="3E82D940" w14:textId="77777777" w:rsidR="003A5642" w:rsidRDefault="003A5642" w:rsidP="00262C8D">
      <w:pPr>
        <w:widowControl w:val="0"/>
        <w:spacing w:after="0" w:line="240" w:lineRule="auto"/>
        <w:jc w:val="center"/>
        <w:rPr>
          <w:rFonts w:ascii="Arial" w:hAnsi="Arial" w:cs="Arial"/>
          <w:b/>
          <w:bCs/>
          <w:sz w:val="24"/>
          <w:szCs w:val="24"/>
          <w:u w:val="single"/>
        </w:rPr>
      </w:pPr>
    </w:p>
    <w:p w14:paraId="6943177B" w14:textId="77777777" w:rsidR="005B3AD8" w:rsidRDefault="005B3AD8" w:rsidP="005B3AD8">
      <w:pPr>
        <w:widowControl w:val="0"/>
        <w:spacing w:after="0" w:line="240" w:lineRule="auto"/>
        <w:jc w:val="center"/>
        <w:rPr>
          <w:rFonts w:ascii="Arial" w:hAnsi="Arial" w:cs="Arial"/>
          <w:b/>
          <w:bCs/>
          <w:sz w:val="24"/>
          <w:szCs w:val="24"/>
          <w:u w:val="single"/>
        </w:rPr>
      </w:pPr>
    </w:p>
    <w:p w14:paraId="76BF1172" w14:textId="292771BD" w:rsidR="005B3AD8" w:rsidRDefault="005B3AD8" w:rsidP="005B3AD8">
      <w:pPr>
        <w:widowControl w:val="0"/>
        <w:spacing w:after="0" w:line="240" w:lineRule="auto"/>
        <w:jc w:val="center"/>
        <w:rPr>
          <w:rFonts w:ascii="Arial" w:hAnsi="Arial" w:cs="Arial"/>
          <w:b/>
          <w:bCs/>
          <w:sz w:val="24"/>
          <w:szCs w:val="24"/>
          <w:u w:val="single"/>
        </w:rPr>
      </w:pPr>
      <w:r w:rsidRPr="00EC2ABB">
        <w:rPr>
          <w:rFonts w:ascii="Arial" w:hAnsi="Arial" w:cs="Arial"/>
          <w:b/>
          <w:bCs/>
          <w:sz w:val="24"/>
          <w:szCs w:val="24"/>
          <w:u w:val="single"/>
        </w:rPr>
        <w:t>TABLE OF CONTENTS</w:t>
      </w:r>
    </w:p>
    <w:p w14:paraId="1B0D344F" w14:textId="77777777" w:rsidR="005B3AD8" w:rsidRPr="00AE7A34" w:rsidRDefault="005B3AD8" w:rsidP="005B3AD8">
      <w:pPr>
        <w:widowControl w:val="0"/>
        <w:spacing w:after="0" w:line="240" w:lineRule="auto"/>
        <w:jc w:val="center"/>
        <w:rPr>
          <w:rFonts w:ascii="Arial" w:hAnsi="Arial" w:cs="Arial"/>
          <w:b/>
          <w:bCs/>
          <w:sz w:val="24"/>
          <w:szCs w:val="24"/>
          <w:u w:val="single"/>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u w:val="single"/>
        </w:rPr>
        <w:t>PAGE</w:t>
      </w:r>
    </w:p>
    <w:p w14:paraId="649C71C5" w14:textId="77777777" w:rsidR="005B3AD8" w:rsidRDefault="005B3AD8" w:rsidP="005B3AD8">
      <w:pPr>
        <w:pStyle w:val="Level1"/>
        <w:rPr>
          <w:webHidden/>
        </w:rPr>
      </w:pPr>
    </w:p>
    <w:p w14:paraId="60C57FCF" w14:textId="5C34E0D3" w:rsidR="005B3AD8" w:rsidRPr="00AE7A34" w:rsidRDefault="005B3AD8" w:rsidP="005B3AD8">
      <w:pPr>
        <w:pStyle w:val="Level1"/>
        <w:numPr>
          <w:ilvl w:val="0"/>
          <w:numId w:val="11"/>
        </w:numPr>
        <w:rPr>
          <w:rFonts w:ascii="Arial" w:hAnsi="Arial" w:cs="Arial"/>
        </w:rPr>
      </w:pPr>
      <w:r w:rsidRPr="00AE7A34">
        <w:rPr>
          <w:rFonts w:ascii="Arial" w:hAnsi="Arial" w:cs="Arial"/>
          <w:webHidden/>
        </w:rPr>
        <w:t xml:space="preserve">introduction </w:t>
      </w:r>
      <w:r w:rsidRPr="00AE7A34">
        <w:rPr>
          <w:rFonts w:ascii="Arial" w:hAnsi="Arial" w:cs="Arial"/>
          <w:webHidden/>
        </w:rPr>
        <w:tab/>
      </w:r>
      <w:r>
        <w:rPr>
          <w:rFonts w:ascii="Arial" w:hAnsi="Arial" w:cs="Arial"/>
          <w:webHidden/>
        </w:rPr>
        <w:t>2</w:t>
      </w:r>
    </w:p>
    <w:p w14:paraId="13C521F6" w14:textId="268B4B97" w:rsidR="005B3AD8" w:rsidRDefault="005B3AD8" w:rsidP="005B3AD8">
      <w:pPr>
        <w:pStyle w:val="Level1"/>
        <w:numPr>
          <w:ilvl w:val="0"/>
          <w:numId w:val="11"/>
        </w:numPr>
        <w:rPr>
          <w:rFonts w:ascii="Arial" w:hAnsi="Arial" w:cs="Arial"/>
          <w:webHidden/>
        </w:rPr>
      </w:pPr>
      <w:r>
        <w:rPr>
          <w:rFonts w:ascii="Arial" w:hAnsi="Arial" w:cs="Arial"/>
          <w:webHidden/>
        </w:rPr>
        <w:t>ARGUMENT</w:t>
      </w:r>
      <w:r w:rsidRPr="00AE7A34">
        <w:rPr>
          <w:rFonts w:ascii="Arial" w:hAnsi="Arial" w:cs="Arial"/>
          <w:webHidden/>
        </w:rPr>
        <w:tab/>
      </w:r>
      <w:r>
        <w:rPr>
          <w:rFonts w:ascii="Arial" w:hAnsi="Arial" w:cs="Arial"/>
          <w:webHidden/>
        </w:rPr>
        <w:t>4</w:t>
      </w:r>
    </w:p>
    <w:p w14:paraId="0CB49437" w14:textId="3374A81B" w:rsidR="005B3AD8" w:rsidRDefault="005B3AD8" w:rsidP="005B3AD8">
      <w:pPr>
        <w:pStyle w:val="Level1"/>
        <w:numPr>
          <w:ilvl w:val="1"/>
          <w:numId w:val="11"/>
        </w:numPr>
        <w:rPr>
          <w:rFonts w:ascii="Arial" w:hAnsi="Arial" w:cs="Arial"/>
          <w:webHidden/>
        </w:rPr>
      </w:pPr>
      <w:r>
        <w:rPr>
          <w:rFonts w:ascii="Arial" w:hAnsi="Arial" w:cs="Arial"/>
        </w:rPr>
        <w:t>NO PARTY CONTEST THAT THE STIPULATION PROPOSES TO SUB</w:t>
      </w:r>
      <w:r w:rsidR="00F038D0">
        <w:rPr>
          <w:rFonts w:ascii="Arial" w:hAnsi="Arial" w:cs="Arial"/>
        </w:rPr>
        <w:t>S</w:t>
      </w:r>
      <w:r>
        <w:rPr>
          <w:rFonts w:ascii="Arial" w:hAnsi="Arial" w:cs="Arial"/>
        </w:rPr>
        <w:t>IDIZE          THE SSO; RATHER THEY ATTEMP</w:t>
      </w:r>
      <w:r w:rsidR="00F038D0">
        <w:rPr>
          <w:rFonts w:ascii="Arial" w:hAnsi="Arial" w:cs="Arial"/>
        </w:rPr>
        <w:t>T</w:t>
      </w:r>
      <w:r>
        <w:rPr>
          <w:rFonts w:ascii="Arial" w:hAnsi="Arial" w:cs="Arial"/>
        </w:rPr>
        <w:t xml:space="preserve"> TO JUSTIFY THE SUBSIDIZATION       THROUGH FALSE FACTS and INCORRECT LEGAL CONCLUSIONS</w:t>
      </w:r>
      <w:r w:rsidRPr="00AE7A34">
        <w:rPr>
          <w:rFonts w:ascii="Arial" w:hAnsi="Arial" w:cs="Arial"/>
          <w:webHidden/>
        </w:rPr>
        <w:tab/>
      </w:r>
      <w:r w:rsidR="002F1923">
        <w:rPr>
          <w:rFonts w:ascii="Arial" w:hAnsi="Arial" w:cs="Arial"/>
          <w:webHidden/>
        </w:rPr>
        <w:t>5</w:t>
      </w:r>
    </w:p>
    <w:p w14:paraId="06A6BE27" w14:textId="7F75B3C3" w:rsidR="005B3AD8" w:rsidRDefault="005B3AD8" w:rsidP="005B3AD8">
      <w:pPr>
        <w:pStyle w:val="Level1"/>
        <w:numPr>
          <w:ilvl w:val="2"/>
          <w:numId w:val="11"/>
        </w:numPr>
        <w:rPr>
          <w:rFonts w:ascii="Arial" w:hAnsi="Arial" w:cs="Arial"/>
          <w:webHidden/>
        </w:rPr>
      </w:pPr>
      <w:r>
        <w:rPr>
          <w:rFonts w:ascii="Arial" w:hAnsi="Arial" w:cs="Arial"/>
          <w:webHidden/>
        </w:rPr>
        <w:t>THE COMMISSION MAY NOT REGULATE COMPETITIVE                 SERVICES UNDER CHAPTER 4909</w:t>
      </w:r>
      <w:r w:rsidRPr="00AE7A34">
        <w:rPr>
          <w:rFonts w:ascii="Arial" w:hAnsi="Arial" w:cs="Arial"/>
          <w:webHidden/>
        </w:rPr>
        <w:tab/>
      </w:r>
      <w:r w:rsidR="002F1923">
        <w:rPr>
          <w:rFonts w:ascii="Arial" w:hAnsi="Arial" w:cs="Arial"/>
          <w:webHidden/>
        </w:rPr>
        <w:t>5</w:t>
      </w:r>
    </w:p>
    <w:p w14:paraId="45D98C2D" w14:textId="753C60A4" w:rsidR="005B3AD8" w:rsidRDefault="005B3AD8" w:rsidP="005B3AD8">
      <w:pPr>
        <w:pStyle w:val="Level1"/>
        <w:numPr>
          <w:ilvl w:val="2"/>
          <w:numId w:val="11"/>
        </w:numPr>
        <w:rPr>
          <w:rFonts w:ascii="Arial" w:hAnsi="Arial" w:cs="Arial"/>
          <w:webHidden/>
        </w:rPr>
      </w:pPr>
      <w:r>
        <w:rPr>
          <w:rFonts w:ascii="Arial" w:hAnsi="Arial" w:cs="Arial"/>
          <w:webHidden/>
        </w:rPr>
        <w:t>THE COMMISSION SHOULD NOT FORCE CUSTOMERS TO PAY              FOR COMPARABLE COSTS TWICE</w:t>
      </w:r>
      <w:r w:rsidRPr="00AE7A34">
        <w:rPr>
          <w:rFonts w:ascii="Arial" w:hAnsi="Arial" w:cs="Arial"/>
          <w:webHidden/>
        </w:rPr>
        <w:tab/>
      </w:r>
      <w:r w:rsidR="002F1923">
        <w:rPr>
          <w:rFonts w:ascii="Arial" w:hAnsi="Arial" w:cs="Arial"/>
          <w:webHidden/>
        </w:rPr>
        <w:t>7</w:t>
      </w:r>
    </w:p>
    <w:p w14:paraId="45E3620E" w14:textId="358333B3" w:rsidR="005B3AD8" w:rsidRPr="00F2733B" w:rsidRDefault="005B3AD8" w:rsidP="005B3AD8">
      <w:pPr>
        <w:pStyle w:val="Level1"/>
        <w:numPr>
          <w:ilvl w:val="2"/>
          <w:numId w:val="11"/>
        </w:numPr>
        <w:rPr>
          <w:rFonts w:ascii="Arial" w:hAnsi="Arial" w:cs="Arial"/>
        </w:rPr>
      </w:pPr>
      <w:r>
        <w:rPr>
          <w:rFonts w:ascii="Arial" w:hAnsi="Arial" w:cs="Arial"/>
          <w:webHidden/>
        </w:rPr>
        <w:t>DP&amp;L’S INCURRANCE OF CHOICE-RELATED COSTS PURSUANT             TO ITS ROLE AS A NON-COMPETITIVE DISTRIBUTION UTILITY             DOES NOT JUSTIFY SUBSIDIZING the COMPETITIVE SSO           PRODUCT</w:t>
      </w:r>
      <w:r w:rsidRPr="00AE7A34">
        <w:rPr>
          <w:rFonts w:ascii="Arial" w:hAnsi="Arial" w:cs="Arial"/>
          <w:webHidden/>
        </w:rPr>
        <w:tab/>
      </w:r>
      <w:r w:rsidR="002F1923">
        <w:rPr>
          <w:rFonts w:ascii="Arial" w:hAnsi="Arial" w:cs="Arial"/>
          <w:webHidden/>
        </w:rPr>
        <w:t>10</w:t>
      </w:r>
      <w:r w:rsidRPr="00F2733B">
        <w:rPr>
          <w:rFonts w:ascii="Arial" w:hAnsi="Arial" w:cs="Arial"/>
        </w:rPr>
        <w:t xml:space="preserve"> </w:t>
      </w:r>
    </w:p>
    <w:p w14:paraId="3F358668" w14:textId="47B136C9" w:rsidR="005B3AD8" w:rsidRPr="00AE7A34" w:rsidRDefault="00D73138" w:rsidP="005B3AD8">
      <w:pPr>
        <w:pStyle w:val="Level1"/>
        <w:numPr>
          <w:ilvl w:val="1"/>
          <w:numId w:val="11"/>
        </w:numPr>
        <w:rPr>
          <w:rFonts w:ascii="Arial" w:hAnsi="Arial" w:cs="Arial"/>
          <w:webHidden/>
        </w:rPr>
      </w:pPr>
      <w:r>
        <w:rPr>
          <w:rFonts w:ascii="Arial" w:hAnsi="Arial" w:cs="Arial"/>
          <w:webHidden/>
        </w:rPr>
        <w:t>RESA and IGS</w:t>
      </w:r>
      <w:r w:rsidR="005B3AD8">
        <w:rPr>
          <w:rFonts w:ascii="Arial" w:hAnsi="Arial" w:cs="Arial"/>
          <w:webHidden/>
        </w:rPr>
        <w:t xml:space="preserve"> PROVIDED THE ONLY CREDIBLE ANALYSIS TO REC</w:t>
      </w:r>
      <w:r>
        <w:rPr>
          <w:rFonts w:ascii="Arial" w:hAnsi="Arial" w:cs="Arial"/>
          <w:webHidden/>
        </w:rPr>
        <w:t>t</w:t>
      </w:r>
      <w:r w:rsidR="005B3AD8">
        <w:rPr>
          <w:rFonts w:ascii="Arial" w:hAnsi="Arial" w:cs="Arial"/>
          <w:webHidden/>
        </w:rPr>
        <w:t>IFY the STIPULATION’S UNLAWFUL PROPOSAL</w:t>
      </w:r>
      <w:r w:rsidR="005B3AD8" w:rsidRPr="00AE7A34">
        <w:rPr>
          <w:rFonts w:ascii="Arial" w:hAnsi="Arial" w:cs="Arial"/>
          <w:webHidden/>
        </w:rPr>
        <w:tab/>
      </w:r>
      <w:r w:rsidR="005B3AD8">
        <w:rPr>
          <w:rFonts w:ascii="Arial" w:hAnsi="Arial" w:cs="Arial"/>
          <w:webHidden/>
        </w:rPr>
        <w:t>1</w:t>
      </w:r>
      <w:r w:rsidR="002F1923">
        <w:rPr>
          <w:rFonts w:ascii="Arial" w:hAnsi="Arial" w:cs="Arial"/>
          <w:webHidden/>
        </w:rPr>
        <w:t>4</w:t>
      </w:r>
    </w:p>
    <w:p w14:paraId="03721D06" w14:textId="1D3F7199" w:rsidR="005B3AD8" w:rsidRDefault="00D73138" w:rsidP="005B3AD8">
      <w:pPr>
        <w:pStyle w:val="Level1"/>
        <w:numPr>
          <w:ilvl w:val="1"/>
          <w:numId w:val="11"/>
        </w:numPr>
        <w:rPr>
          <w:rFonts w:ascii="Arial" w:hAnsi="Arial" w:cs="Arial"/>
          <w:webHidden/>
        </w:rPr>
      </w:pPr>
      <w:r>
        <w:rPr>
          <w:rFonts w:ascii="Arial" w:hAnsi="Arial" w:cs="Arial"/>
          <w:webHidden/>
        </w:rPr>
        <w:t>ANY ATTACK ON RESA’s and IGS</w:t>
      </w:r>
      <w:r w:rsidR="005B3AD8">
        <w:rPr>
          <w:rFonts w:ascii="Arial" w:hAnsi="Arial" w:cs="Arial"/>
          <w:webHidden/>
        </w:rPr>
        <w:t>’ COST ALLOCATION METHODOLOGY IS     RENDERED MOOT BECAUSE NO OTHER PARTY HAS PUT FORTH A MEANINGFUL ANALYSIS OF SSO RELATED COSTS</w:t>
      </w:r>
      <w:r w:rsidR="005B3AD8" w:rsidRPr="00AE7A34">
        <w:rPr>
          <w:rFonts w:ascii="Arial" w:hAnsi="Arial" w:cs="Arial"/>
          <w:webHidden/>
        </w:rPr>
        <w:tab/>
      </w:r>
      <w:r w:rsidR="002F1923">
        <w:rPr>
          <w:rFonts w:ascii="Arial" w:hAnsi="Arial" w:cs="Arial"/>
          <w:webHidden/>
        </w:rPr>
        <w:t>21</w:t>
      </w:r>
    </w:p>
    <w:p w14:paraId="4BD02F78" w14:textId="097EE1AD" w:rsidR="005B3AD8" w:rsidRDefault="005B3AD8" w:rsidP="005B3AD8">
      <w:pPr>
        <w:pStyle w:val="Level1"/>
        <w:numPr>
          <w:ilvl w:val="1"/>
          <w:numId w:val="11"/>
        </w:numPr>
        <w:rPr>
          <w:rFonts w:ascii="Arial" w:hAnsi="Arial" w:cs="Arial"/>
          <w:webHidden/>
        </w:rPr>
      </w:pPr>
      <w:r>
        <w:rPr>
          <w:rFonts w:ascii="Arial" w:hAnsi="Arial" w:cs="Arial"/>
        </w:rPr>
        <w:t xml:space="preserve">DP&amp;L’S CREDIT AND COLLATERAL PRACTICES ARE DISCRIMINATORY           AND VIOLATE ITS OWN TARIFF </w:t>
      </w:r>
      <w:r w:rsidRPr="00AE7A34">
        <w:rPr>
          <w:rFonts w:ascii="Arial" w:hAnsi="Arial" w:cs="Arial"/>
          <w:webHidden/>
        </w:rPr>
        <w:tab/>
      </w:r>
      <w:r w:rsidR="002F1923">
        <w:rPr>
          <w:rFonts w:ascii="Arial" w:hAnsi="Arial" w:cs="Arial"/>
          <w:webHidden/>
        </w:rPr>
        <w:t>22</w:t>
      </w:r>
    </w:p>
    <w:p w14:paraId="3D682051" w14:textId="6B520E64" w:rsidR="00824DFD" w:rsidRPr="00AE7A34" w:rsidRDefault="00824DFD" w:rsidP="00824DFD">
      <w:pPr>
        <w:pStyle w:val="Level1"/>
        <w:numPr>
          <w:ilvl w:val="0"/>
          <w:numId w:val="11"/>
        </w:numPr>
        <w:rPr>
          <w:rFonts w:ascii="Arial" w:hAnsi="Arial" w:cs="Arial"/>
        </w:rPr>
      </w:pPr>
      <w:r>
        <w:rPr>
          <w:rFonts w:ascii="Arial" w:hAnsi="Arial" w:cs="Arial"/>
          <w:webHidden/>
        </w:rPr>
        <w:t>CONCLUSION</w:t>
      </w:r>
      <w:r w:rsidRPr="00AE7A34">
        <w:rPr>
          <w:rFonts w:ascii="Arial" w:hAnsi="Arial" w:cs="Arial"/>
          <w:webHidden/>
        </w:rPr>
        <w:tab/>
      </w:r>
      <w:r w:rsidR="005B3AD8">
        <w:rPr>
          <w:rFonts w:ascii="Arial" w:hAnsi="Arial" w:cs="Arial"/>
          <w:webHidden/>
        </w:rPr>
        <w:t>2</w:t>
      </w:r>
      <w:r w:rsidR="002F1923">
        <w:rPr>
          <w:rFonts w:ascii="Arial" w:hAnsi="Arial" w:cs="Arial"/>
          <w:webHidden/>
        </w:rPr>
        <w:t>5</w:t>
      </w:r>
    </w:p>
    <w:p w14:paraId="4E663556" w14:textId="0B21CE5C" w:rsidR="00AE274B" w:rsidRDefault="00AE274B" w:rsidP="007B55BE">
      <w:pPr>
        <w:rPr>
          <w:rFonts w:ascii="Arial" w:hAnsi="Arial" w:cs="Arial"/>
          <w:sz w:val="24"/>
          <w:szCs w:val="24"/>
        </w:rPr>
      </w:pPr>
    </w:p>
    <w:p w14:paraId="2AF6584B" w14:textId="1B79E25E" w:rsidR="007B55BE" w:rsidRDefault="007B55BE" w:rsidP="007B55BE">
      <w:pPr>
        <w:rPr>
          <w:rFonts w:ascii="Arial" w:hAnsi="Arial" w:cs="Arial"/>
          <w:sz w:val="24"/>
          <w:szCs w:val="24"/>
        </w:rPr>
      </w:pPr>
    </w:p>
    <w:p w14:paraId="2DEDE0B4" w14:textId="6CF75CFB" w:rsidR="007B55BE" w:rsidRDefault="007B55BE" w:rsidP="007B55BE">
      <w:pPr>
        <w:rPr>
          <w:rFonts w:ascii="Arial" w:hAnsi="Arial" w:cs="Arial"/>
          <w:sz w:val="24"/>
          <w:szCs w:val="24"/>
        </w:rPr>
      </w:pPr>
    </w:p>
    <w:p w14:paraId="68B70317" w14:textId="37810595" w:rsidR="00D73138" w:rsidRDefault="00D73138" w:rsidP="007B55BE">
      <w:pPr>
        <w:rPr>
          <w:rFonts w:ascii="Arial" w:hAnsi="Arial" w:cs="Arial"/>
          <w:sz w:val="24"/>
          <w:szCs w:val="24"/>
        </w:rPr>
      </w:pPr>
    </w:p>
    <w:p w14:paraId="6BBFFEE2" w14:textId="15F4580E" w:rsidR="00D73138" w:rsidRDefault="00D73138" w:rsidP="007B55BE">
      <w:pPr>
        <w:rPr>
          <w:rFonts w:ascii="Arial" w:hAnsi="Arial" w:cs="Arial"/>
          <w:sz w:val="24"/>
          <w:szCs w:val="24"/>
        </w:rPr>
      </w:pPr>
    </w:p>
    <w:p w14:paraId="59E2DD10" w14:textId="74B0B530" w:rsidR="00D73138" w:rsidRDefault="00D73138" w:rsidP="007B55BE">
      <w:pPr>
        <w:rPr>
          <w:rFonts w:ascii="Arial" w:hAnsi="Arial" w:cs="Arial"/>
          <w:sz w:val="24"/>
          <w:szCs w:val="24"/>
        </w:rPr>
      </w:pPr>
    </w:p>
    <w:p w14:paraId="3A23D7E4" w14:textId="741C49E0" w:rsidR="00D73138" w:rsidRDefault="00D73138" w:rsidP="007B55BE">
      <w:pPr>
        <w:rPr>
          <w:rFonts w:ascii="Arial" w:hAnsi="Arial" w:cs="Arial"/>
          <w:sz w:val="24"/>
          <w:szCs w:val="24"/>
        </w:rPr>
      </w:pPr>
    </w:p>
    <w:p w14:paraId="7C4B15E7" w14:textId="432A468A" w:rsidR="00D73138" w:rsidRDefault="00D73138" w:rsidP="007B55BE">
      <w:pPr>
        <w:rPr>
          <w:rFonts w:ascii="Arial" w:hAnsi="Arial" w:cs="Arial"/>
          <w:sz w:val="24"/>
          <w:szCs w:val="24"/>
        </w:rPr>
      </w:pPr>
    </w:p>
    <w:p w14:paraId="47E0EEB5" w14:textId="0C2C5D69" w:rsidR="00D73138" w:rsidRDefault="00D73138" w:rsidP="007B55BE">
      <w:pPr>
        <w:rPr>
          <w:rFonts w:ascii="Arial" w:hAnsi="Arial" w:cs="Arial"/>
          <w:sz w:val="24"/>
          <w:szCs w:val="24"/>
        </w:rPr>
      </w:pPr>
    </w:p>
    <w:p w14:paraId="1D083088" w14:textId="24295C96" w:rsidR="00D73138" w:rsidRDefault="00D73138" w:rsidP="007B55BE">
      <w:pPr>
        <w:rPr>
          <w:rFonts w:ascii="Arial" w:hAnsi="Arial" w:cs="Arial"/>
          <w:sz w:val="24"/>
          <w:szCs w:val="24"/>
        </w:rPr>
      </w:pPr>
    </w:p>
    <w:p w14:paraId="61D1B8E9" w14:textId="797C7E06" w:rsidR="00D73138" w:rsidRDefault="00D73138" w:rsidP="007B55BE">
      <w:pPr>
        <w:rPr>
          <w:rFonts w:ascii="Arial" w:hAnsi="Arial" w:cs="Arial"/>
          <w:sz w:val="24"/>
          <w:szCs w:val="24"/>
        </w:rPr>
      </w:pPr>
    </w:p>
    <w:p w14:paraId="4D3AF0D7" w14:textId="7064593F" w:rsidR="00D73138" w:rsidRPr="007B55BE" w:rsidRDefault="00D73138" w:rsidP="007B55BE">
      <w:pPr>
        <w:rPr>
          <w:rFonts w:ascii="Arial" w:hAnsi="Arial" w:cs="Arial"/>
          <w:sz w:val="24"/>
          <w:szCs w:val="24"/>
        </w:rPr>
      </w:pPr>
    </w:p>
    <w:p w14:paraId="2C8B4F07" w14:textId="1156C6DF" w:rsidR="0008714F" w:rsidRPr="00085080" w:rsidRDefault="001D19B8" w:rsidP="00085080">
      <w:pPr>
        <w:pStyle w:val="ListParagraph"/>
        <w:numPr>
          <w:ilvl w:val="0"/>
          <w:numId w:val="1"/>
        </w:numPr>
        <w:spacing w:after="120" w:line="480" w:lineRule="auto"/>
        <w:jc w:val="both"/>
        <w:rPr>
          <w:rFonts w:ascii="Arial" w:eastAsia="Arial" w:hAnsi="Arial" w:cs="Arial"/>
          <w:b/>
          <w:bCs/>
          <w:sz w:val="24"/>
          <w:szCs w:val="24"/>
        </w:rPr>
      </w:pPr>
      <w:r w:rsidRPr="00085080">
        <w:rPr>
          <w:rFonts w:ascii="Arial" w:eastAsia="Arial" w:hAnsi="Arial" w:cs="Arial"/>
          <w:b/>
          <w:bCs/>
          <w:sz w:val="24"/>
          <w:szCs w:val="24"/>
        </w:rPr>
        <w:lastRenderedPageBreak/>
        <w:t>INTRO</w:t>
      </w:r>
      <w:bookmarkStart w:id="0" w:name="_GoBack"/>
      <w:bookmarkEnd w:id="0"/>
      <w:r w:rsidRPr="00085080">
        <w:rPr>
          <w:rFonts w:ascii="Arial" w:eastAsia="Arial" w:hAnsi="Arial" w:cs="Arial"/>
          <w:b/>
          <w:bCs/>
          <w:sz w:val="24"/>
          <w:szCs w:val="24"/>
        </w:rPr>
        <w:t>DUCTION</w:t>
      </w:r>
    </w:p>
    <w:p w14:paraId="6E7F8E0B" w14:textId="6EA73DC4" w:rsidR="00770A24" w:rsidRDefault="00105D20" w:rsidP="00FC629B">
      <w:pPr>
        <w:spacing w:after="120" w:line="480" w:lineRule="auto"/>
        <w:ind w:firstLine="720"/>
        <w:jc w:val="both"/>
        <w:rPr>
          <w:rFonts w:ascii="Arial" w:hAnsi="Arial" w:cs="Arial"/>
          <w:sz w:val="24"/>
          <w:szCs w:val="24"/>
        </w:rPr>
      </w:pPr>
      <w:r>
        <w:rPr>
          <w:rFonts w:ascii="Arial" w:hAnsi="Arial" w:cs="Arial"/>
          <w:sz w:val="24"/>
          <w:szCs w:val="24"/>
        </w:rPr>
        <w:t xml:space="preserve">In its Initial Brief, Interstate Gas Supply, Inc. (“IGS”) and the Retail Energy Supply Association (“RESA”) demonstrated that, as proposed, the Stipulation and Recommendation (“Stipulation”) </w:t>
      </w:r>
      <w:r w:rsidRPr="00105D20">
        <w:rPr>
          <w:rFonts w:ascii="Arial" w:hAnsi="Arial" w:cs="Arial"/>
          <w:sz w:val="24"/>
          <w:szCs w:val="24"/>
        </w:rPr>
        <w:t>is unjust, unreasonable, and would violate Ohio law</w:t>
      </w:r>
      <w:r w:rsidR="00024DA6">
        <w:rPr>
          <w:rFonts w:ascii="Arial" w:hAnsi="Arial" w:cs="Arial"/>
          <w:sz w:val="24"/>
          <w:szCs w:val="24"/>
        </w:rPr>
        <w:t xml:space="preserve"> because it allow</w:t>
      </w:r>
      <w:r w:rsidR="00570A29">
        <w:rPr>
          <w:rFonts w:ascii="Arial" w:hAnsi="Arial" w:cs="Arial"/>
          <w:sz w:val="24"/>
          <w:szCs w:val="24"/>
        </w:rPr>
        <w:t>s</w:t>
      </w:r>
      <w:r w:rsidR="00024DA6">
        <w:rPr>
          <w:rFonts w:ascii="Arial" w:hAnsi="Arial" w:cs="Arial"/>
          <w:sz w:val="24"/>
          <w:szCs w:val="24"/>
        </w:rPr>
        <w:t xml:space="preserve"> </w:t>
      </w:r>
      <w:r w:rsidR="00F21184">
        <w:rPr>
          <w:rFonts w:ascii="Arial" w:hAnsi="Arial" w:cs="Arial"/>
          <w:sz w:val="24"/>
          <w:szCs w:val="24"/>
        </w:rPr>
        <w:t xml:space="preserve">Dayton Power and Light (“DP&amp;L”) </w:t>
      </w:r>
      <w:r w:rsidR="00024DA6">
        <w:rPr>
          <w:rFonts w:ascii="Arial" w:hAnsi="Arial" w:cs="Arial"/>
          <w:sz w:val="24"/>
          <w:szCs w:val="24"/>
        </w:rPr>
        <w:t xml:space="preserve">to recover </w:t>
      </w:r>
      <w:r w:rsidR="0094320A">
        <w:rPr>
          <w:rFonts w:ascii="Arial" w:hAnsi="Arial" w:cs="Arial"/>
          <w:sz w:val="24"/>
          <w:szCs w:val="24"/>
        </w:rPr>
        <w:t xml:space="preserve">standard service offer (“SSO”) </w:t>
      </w:r>
      <w:r w:rsidR="00024DA6">
        <w:rPr>
          <w:rFonts w:ascii="Arial" w:hAnsi="Arial" w:cs="Arial"/>
          <w:sz w:val="24"/>
          <w:szCs w:val="24"/>
        </w:rPr>
        <w:t>related costs through distribution rates</w:t>
      </w:r>
      <w:r w:rsidRPr="00105D20">
        <w:rPr>
          <w:rFonts w:ascii="Arial" w:hAnsi="Arial" w:cs="Arial"/>
          <w:sz w:val="24"/>
          <w:szCs w:val="24"/>
        </w:rPr>
        <w:t>.</w:t>
      </w:r>
      <w:r w:rsidR="00FC629B">
        <w:rPr>
          <w:rFonts w:ascii="Arial" w:hAnsi="Arial" w:cs="Arial"/>
          <w:sz w:val="24"/>
          <w:szCs w:val="24"/>
        </w:rPr>
        <w:t xml:space="preserve"> </w:t>
      </w:r>
      <w:r w:rsidR="00024DA6">
        <w:rPr>
          <w:rFonts w:ascii="Arial" w:hAnsi="Arial" w:cs="Arial"/>
          <w:sz w:val="24"/>
          <w:szCs w:val="24"/>
        </w:rPr>
        <w:t xml:space="preserve">Further, in its Initial Brief, and in pre-filed testimony, IGS outline a proposal that would remedy this unlawful situation by unbundling approximately $11 million in </w:t>
      </w:r>
      <w:r w:rsidR="0094320A">
        <w:rPr>
          <w:rFonts w:ascii="Arial" w:hAnsi="Arial" w:cs="Arial"/>
          <w:sz w:val="24"/>
          <w:szCs w:val="24"/>
        </w:rPr>
        <w:t>SSO related costs from distribution rates to the SSO.</w:t>
      </w:r>
      <w:r w:rsidR="00D73138">
        <w:rPr>
          <w:rFonts w:ascii="Arial" w:hAnsi="Arial" w:cs="Arial"/>
          <w:sz w:val="24"/>
          <w:szCs w:val="24"/>
        </w:rPr>
        <w:t xml:space="preserve">  If adopted, </w:t>
      </w:r>
      <w:r w:rsidR="0094320A">
        <w:rPr>
          <w:rFonts w:ascii="Arial" w:hAnsi="Arial" w:cs="Arial"/>
          <w:sz w:val="24"/>
          <w:szCs w:val="24"/>
        </w:rPr>
        <w:t>IGS</w:t>
      </w:r>
      <w:r w:rsidR="00D73138">
        <w:rPr>
          <w:rFonts w:ascii="Arial" w:hAnsi="Arial" w:cs="Arial"/>
          <w:sz w:val="24"/>
          <w:szCs w:val="24"/>
        </w:rPr>
        <w:t>’ proposal would</w:t>
      </w:r>
      <w:r w:rsidR="00F334D9">
        <w:rPr>
          <w:rFonts w:ascii="Arial" w:hAnsi="Arial" w:cs="Arial"/>
          <w:sz w:val="24"/>
          <w:szCs w:val="24"/>
        </w:rPr>
        <w:t xml:space="preserve"> </w:t>
      </w:r>
      <w:r w:rsidR="00E148CB">
        <w:rPr>
          <w:rFonts w:ascii="Arial" w:hAnsi="Arial" w:cs="Arial"/>
          <w:sz w:val="24"/>
          <w:szCs w:val="24"/>
        </w:rPr>
        <w:t>decrease residential</w:t>
      </w:r>
      <w:r w:rsidR="00D73138">
        <w:rPr>
          <w:rFonts w:ascii="Arial" w:hAnsi="Arial" w:cs="Arial"/>
          <w:sz w:val="24"/>
          <w:szCs w:val="24"/>
        </w:rPr>
        <w:t xml:space="preserve"> </w:t>
      </w:r>
      <w:r w:rsidR="00E148CB">
        <w:rPr>
          <w:rFonts w:ascii="Arial" w:hAnsi="Arial" w:cs="Arial"/>
          <w:sz w:val="24"/>
          <w:szCs w:val="24"/>
        </w:rPr>
        <w:t>distribution</w:t>
      </w:r>
      <w:r w:rsidR="00D73138">
        <w:rPr>
          <w:rFonts w:ascii="Arial" w:hAnsi="Arial" w:cs="Arial"/>
          <w:sz w:val="24"/>
          <w:szCs w:val="24"/>
        </w:rPr>
        <w:t xml:space="preserve"> rates by approximately 2%</w:t>
      </w:r>
      <w:r w:rsidR="00E148CB">
        <w:rPr>
          <w:rFonts w:ascii="Arial" w:hAnsi="Arial" w:cs="Arial"/>
          <w:sz w:val="24"/>
          <w:szCs w:val="24"/>
        </w:rPr>
        <w:t xml:space="preserve"> and appropriately reallocate this amount on a revenue neutral basis to SSO customers.</w:t>
      </w:r>
      <w:r w:rsidR="00E148CB">
        <w:rPr>
          <w:rStyle w:val="FootnoteReference"/>
          <w:rFonts w:ascii="Arial" w:hAnsi="Arial" w:cs="Arial"/>
          <w:sz w:val="24"/>
          <w:szCs w:val="24"/>
        </w:rPr>
        <w:footnoteReference w:id="2"/>
      </w:r>
    </w:p>
    <w:p w14:paraId="6C378E0E" w14:textId="3DACA5DC" w:rsidR="0003354E" w:rsidRDefault="001A6263" w:rsidP="00E148CB">
      <w:pPr>
        <w:spacing w:after="120" w:line="480" w:lineRule="auto"/>
        <w:ind w:firstLine="720"/>
        <w:jc w:val="both"/>
        <w:rPr>
          <w:rFonts w:ascii="Arial" w:hAnsi="Arial" w:cs="Arial"/>
          <w:sz w:val="24"/>
          <w:szCs w:val="24"/>
        </w:rPr>
      </w:pPr>
      <w:r>
        <w:rPr>
          <w:rFonts w:ascii="Arial" w:hAnsi="Arial" w:cs="Arial"/>
          <w:sz w:val="24"/>
          <w:szCs w:val="24"/>
        </w:rPr>
        <w:t>N</w:t>
      </w:r>
      <w:r w:rsidR="0094320A">
        <w:rPr>
          <w:rFonts w:ascii="Arial" w:hAnsi="Arial" w:cs="Arial"/>
          <w:sz w:val="24"/>
          <w:szCs w:val="24"/>
        </w:rPr>
        <w:t xml:space="preserve">o </w:t>
      </w:r>
      <w:r w:rsidR="00F21184">
        <w:rPr>
          <w:rFonts w:ascii="Arial" w:hAnsi="Arial" w:cs="Arial"/>
          <w:sz w:val="24"/>
          <w:szCs w:val="24"/>
        </w:rPr>
        <w:t>party, other than IGS and RESA, ha</w:t>
      </w:r>
      <w:r w:rsidR="00FF3551">
        <w:rPr>
          <w:rFonts w:ascii="Arial" w:hAnsi="Arial" w:cs="Arial"/>
          <w:sz w:val="24"/>
          <w:szCs w:val="24"/>
        </w:rPr>
        <w:t>s</w:t>
      </w:r>
      <w:r w:rsidR="00F21184">
        <w:rPr>
          <w:rFonts w:ascii="Arial" w:hAnsi="Arial" w:cs="Arial"/>
          <w:sz w:val="24"/>
          <w:szCs w:val="24"/>
        </w:rPr>
        <w:t xml:space="preserve"> provided a meaningful</w:t>
      </w:r>
      <w:r w:rsidR="0094320A">
        <w:rPr>
          <w:rFonts w:ascii="Arial" w:hAnsi="Arial" w:cs="Arial"/>
          <w:sz w:val="24"/>
          <w:szCs w:val="24"/>
        </w:rPr>
        <w:t xml:space="preserve"> </w:t>
      </w:r>
      <w:r w:rsidR="00F21184">
        <w:rPr>
          <w:rFonts w:ascii="Arial" w:hAnsi="Arial" w:cs="Arial"/>
          <w:sz w:val="24"/>
          <w:szCs w:val="24"/>
        </w:rPr>
        <w:t xml:space="preserve">analysis of SSO related costs </w:t>
      </w:r>
      <w:r w:rsidR="00FF3551">
        <w:rPr>
          <w:rFonts w:ascii="Arial" w:hAnsi="Arial" w:cs="Arial"/>
          <w:sz w:val="24"/>
          <w:szCs w:val="24"/>
        </w:rPr>
        <w:t>proposed for</w:t>
      </w:r>
      <w:r w:rsidR="00F21184">
        <w:rPr>
          <w:rFonts w:ascii="Arial" w:hAnsi="Arial" w:cs="Arial"/>
          <w:sz w:val="24"/>
          <w:szCs w:val="24"/>
        </w:rPr>
        <w:t xml:space="preserve"> recover</w:t>
      </w:r>
      <w:r w:rsidR="00FF3551">
        <w:rPr>
          <w:rFonts w:ascii="Arial" w:hAnsi="Arial" w:cs="Arial"/>
          <w:sz w:val="24"/>
          <w:szCs w:val="24"/>
        </w:rPr>
        <w:t>y</w:t>
      </w:r>
      <w:r w:rsidR="00F21184">
        <w:rPr>
          <w:rFonts w:ascii="Arial" w:hAnsi="Arial" w:cs="Arial"/>
          <w:sz w:val="24"/>
          <w:szCs w:val="24"/>
        </w:rPr>
        <w:t xml:space="preserve"> through distribution rates, despite th</w:t>
      </w:r>
      <w:r w:rsidR="00DE7C2E">
        <w:rPr>
          <w:rFonts w:ascii="Arial" w:hAnsi="Arial" w:cs="Arial"/>
          <w:sz w:val="24"/>
          <w:szCs w:val="24"/>
        </w:rPr>
        <w:t>e</w:t>
      </w:r>
      <w:r w:rsidR="00F21184">
        <w:rPr>
          <w:rFonts w:ascii="Arial" w:hAnsi="Arial" w:cs="Arial"/>
          <w:sz w:val="24"/>
          <w:szCs w:val="24"/>
        </w:rPr>
        <w:t xml:space="preserve"> Commission</w:t>
      </w:r>
      <w:r w:rsidR="00DE7C2E">
        <w:rPr>
          <w:rFonts w:ascii="Arial" w:hAnsi="Arial" w:cs="Arial"/>
          <w:sz w:val="24"/>
          <w:szCs w:val="24"/>
        </w:rPr>
        <w:t xml:space="preserve"> identifying that this issue </w:t>
      </w:r>
      <w:r w:rsidR="00F21184">
        <w:rPr>
          <w:rFonts w:ascii="Arial" w:hAnsi="Arial" w:cs="Arial"/>
          <w:sz w:val="24"/>
          <w:szCs w:val="24"/>
        </w:rPr>
        <w:t>should be addre</w:t>
      </w:r>
      <w:r w:rsidR="00DE7C2E">
        <w:rPr>
          <w:rFonts w:ascii="Arial" w:hAnsi="Arial" w:cs="Arial"/>
          <w:sz w:val="24"/>
          <w:szCs w:val="24"/>
        </w:rPr>
        <w:t>ssed in this case</w:t>
      </w:r>
      <w:r w:rsidR="00F21184">
        <w:rPr>
          <w:rFonts w:ascii="Arial" w:hAnsi="Arial" w:cs="Arial"/>
          <w:sz w:val="24"/>
          <w:szCs w:val="24"/>
        </w:rPr>
        <w:t xml:space="preserve">. </w:t>
      </w:r>
      <w:r>
        <w:rPr>
          <w:rFonts w:ascii="Arial" w:hAnsi="Arial" w:cs="Arial"/>
          <w:sz w:val="24"/>
          <w:szCs w:val="24"/>
        </w:rPr>
        <w:t>Further</w:t>
      </w:r>
      <w:r w:rsidR="00DE7C2E">
        <w:rPr>
          <w:rFonts w:ascii="Arial" w:hAnsi="Arial" w:cs="Arial"/>
          <w:sz w:val="24"/>
          <w:szCs w:val="24"/>
        </w:rPr>
        <w:t>,</w:t>
      </w:r>
      <w:r>
        <w:rPr>
          <w:rFonts w:ascii="Arial" w:hAnsi="Arial" w:cs="Arial"/>
          <w:sz w:val="24"/>
          <w:szCs w:val="24"/>
        </w:rPr>
        <w:t xml:space="preserve"> no party has denied that DP&amp;L</w:t>
      </w:r>
      <w:r w:rsidR="00F1112E">
        <w:rPr>
          <w:rFonts w:ascii="Arial" w:hAnsi="Arial" w:cs="Arial"/>
          <w:sz w:val="24"/>
          <w:szCs w:val="24"/>
        </w:rPr>
        <w:t xml:space="preserve"> has proposed to recover</w:t>
      </w:r>
      <w:r>
        <w:rPr>
          <w:rFonts w:ascii="Arial" w:hAnsi="Arial" w:cs="Arial"/>
          <w:sz w:val="24"/>
          <w:szCs w:val="24"/>
        </w:rPr>
        <w:t xml:space="preserve"> costs required to support the SSO through distribution rates. Rather, proponents in favor of subsidiz</w:t>
      </w:r>
      <w:r w:rsidR="00194BC0">
        <w:rPr>
          <w:rFonts w:ascii="Arial" w:hAnsi="Arial" w:cs="Arial"/>
          <w:sz w:val="24"/>
          <w:szCs w:val="24"/>
        </w:rPr>
        <w:t>ing</w:t>
      </w:r>
      <w:r>
        <w:rPr>
          <w:rFonts w:ascii="Arial" w:hAnsi="Arial" w:cs="Arial"/>
          <w:sz w:val="24"/>
          <w:szCs w:val="24"/>
        </w:rPr>
        <w:t xml:space="preserve"> the SSO</w:t>
      </w:r>
      <w:r w:rsidR="00DE7C2E">
        <w:rPr>
          <w:rFonts w:ascii="Arial" w:hAnsi="Arial" w:cs="Arial"/>
          <w:sz w:val="24"/>
          <w:szCs w:val="24"/>
        </w:rPr>
        <w:t>—</w:t>
      </w:r>
      <w:r w:rsidR="0003354E">
        <w:rPr>
          <w:rFonts w:ascii="Arial" w:hAnsi="Arial" w:cs="Arial"/>
          <w:sz w:val="24"/>
          <w:szCs w:val="24"/>
        </w:rPr>
        <w:t>mainly Commi</w:t>
      </w:r>
      <w:r w:rsidR="00DE7C2E">
        <w:rPr>
          <w:rFonts w:ascii="Arial" w:hAnsi="Arial" w:cs="Arial"/>
          <w:sz w:val="24"/>
          <w:szCs w:val="24"/>
        </w:rPr>
        <w:t>ssion Staff (“Staff”), DP&amp;L, and the Ohio Partners for Affordable Energy</w:t>
      </w:r>
      <w:r w:rsidR="00DE7C2E">
        <w:rPr>
          <w:rStyle w:val="FootnoteReference"/>
          <w:rFonts w:ascii="Arial" w:hAnsi="Arial" w:cs="Arial"/>
          <w:sz w:val="24"/>
          <w:szCs w:val="24"/>
        </w:rPr>
        <w:footnoteReference w:id="3"/>
      </w:r>
      <w:r w:rsidR="00DE7C2E">
        <w:rPr>
          <w:rFonts w:ascii="Arial" w:hAnsi="Arial" w:cs="Arial"/>
          <w:sz w:val="24"/>
          <w:szCs w:val="24"/>
        </w:rPr>
        <w:t xml:space="preserve"> (“OPAE”)—</w:t>
      </w:r>
      <w:r w:rsidR="00F21184">
        <w:rPr>
          <w:rFonts w:ascii="Arial" w:hAnsi="Arial" w:cs="Arial"/>
          <w:sz w:val="24"/>
          <w:szCs w:val="24"/>
        </w:rPr>
        <w:t>have made three main argument</w:t>
      </w:r>
      <w:r w:rsidR="0003354E">
        <w:rPr>
          <w:rFonts w:ascii="Arial" w:hAnsi="Arial" w:cs="Arial"/>
          <w:sz w:val="24"/>
          <w:szCs w:val="24"/>
        </w:rPr>
        <w:t>s</w:t>
      </w:r>
      <w:r w:rsidR="00F21184">
        <w:rPr>
          <w:rFonts w:ascii="Arial" w:hAnsi="Arial" w:cs="Arial"/>
          <w:sz w:val="24"/>
          <w:szCs w:val="24"/>
        </w:rPr>
        <w:t xml:space="preserve"> opposing a proper unbundling of SSO related</w:t>
      </w:r>
      <w:r w:rsidR="00DE7C2E">
        <w:rPr>
          <w:rFonts w:ascii="Arial" w:hAnsi="Arial" w:cs="Arial"/>
          <w:sz w:val="24"/>
          <w:szCs w:val="24"/>
        </w:rPr>
        <w:t xml:space="preserve"> costs from distribution rates.  Specifically, </w:t>
      </w:r>
      <w:r w:rsidR="00F21184">
        <w:rPr>
          <w:rFonts w:ascii="Arial" w:hAnsi="Arial" w:cs="Arial"/>
          <w:sz w:val="24"/>
          <w:szCs w:val="24"/>
        </w:rPr>
        <w:t>they argue 1) DP&amp;L can</w:t>
      </w:r>
      <w:r>
        <w:rPr>
          <w:rFonts w:ascii="Arial" w:hAnsi="Arial" w:cs="Arial"/>
          <w:sz w:val="24"/>
          <w:szCs w:val="24"/>
        </w:rPr>
        <w:t xml:space="preserve"> lawfully</w:t>
      </w:r>
      <w:r w:rsidR="00F21184">
        <w:rPr>
          <w:rFonts w:ascii="Arial" w:hAnsi="Arial" w:cs="Arial"/>
          <w:sz w:val="24"/>
          <w:szCs w:val="24"/>
        </w:rPr>
        <w:t xml:space="preserve"> recover SSO related </w:t>
      </w:r>
      <w:r w:rsidR="00F21184">
        <w:rPr>
          <w:rFonts w:ascii="Arial" w:hAnsi="Arial" w:cs="Arial"/>
          <w:sz w:val="24"/>
          <w:szCs w:val="24"/>
        </w:rPr>
        <w:lastRenderedPageBreak/>
        <w:t>costs through distribution rates</w:t>
      </w:r>
      <w:r>
        <w:rPr>
          <w:rFonts w:ascii="Arial" w:hAnsi="Arial" w:cs="Arial"/>
          <w:sz w:val="24"/>
          <w:szCs w:val="24"/>
        </w:rPr>
        <w:t>;</w:t>
      </w:r>
      <w:r w:rsidR="00F21184">
        <w:rPr>
          <w:rFonts w:ascii="Arial" w:hAnsi="Arial" w:cs="Arial"/>
          <w:sz w:val="24"/>
          <w:szCs w:val="24"/>
        </w:rPr>
        <w:t xml:space="preserve"> 2)</w:t>
      </w:r>
      <w:r w:rsidR="00D60CD4">
        <w:rPr>
          <w:rFonts w:ascii="Arial" w:hAnsi="Arial" w:cs="Arial"/>
          <w:sz w:val="24"/>
          <w:szCs w:val="24"/>
        </w:rPr>
        <w:t xml:space="preserve"> its too hard to quantify SSO related costs in distribution rates and</w:t>
      </w:r>
      <w:r>
        <w:rPr>
          <w:rFonts w:ascii="Arial" w:hAnsi="Arial" w:cs="Arial"/>
          <w:sz w:val="24"/>
          <w:szCs w:val="24"/>
        </w:rPr>
        <w:t>;</w:t>
      </w:r>
      <w:r w:rsidR="00D60CD4">
        <w:rPr>
          <w:rFonts w:ascii="Arial" w:hAnsi="Arial" w:cs="Arial"/>
          <w:sz w:val="24"/>
          <w:szCs w:val="24"/>
        </w:rPr>
        <w:t xml:space="preserve"> 3) regardless</w:t>
      </w:r>
      <w:r w:rsidR="0003354E">
        <w:rPr>
          <w:rFonts w:ascii="Arial" w:hAnsi="Arial" w:cs="Arial"/>
          <w:sz w:val="24"/>
          <w:szCs w:val="24"/>
        </w:rPr>
        <w:t>,</w:t>
      </w:r>
      <w:r w:rsidR="00D60CD4">
        <w:rPr>
          <w:rFonts w:ascii="Arial" w:hAnsi="Arial" w:cs="Arial"/>
          <w:sz w:val="24"/>
          <w:szCs w:val="24"/>
        </w:rPr>
        <w:t xml:space="preserve"> SSO costs are being off-set by Choice costs in distribution rates. </w:t>
      </w:r>
    </w:p>
    <w:p w14:paraId="428950AC" w14:textId="2F50FCBE" w:rsidR="00105D20" w:rsidRDefault="0003354E" w:rsidP="00FC629B">
      <w:pPr>
        <w:spacing w:after="120" w:line="480" w:lineRule="auto"/>
        <w:ind w:firstLine="720"/>
        <w:jc w:val="both"/>
        <w:rPr>
          <w:rFonts w:ascii="Arial" w:hAnsi="Arial" w:cs="Arial"/>
          <w:sz w:val="24"/>
          <w:szCs w:val="24"/>
        </w:rPr>
      </w:pPr>
      <w:r>
        <w:rPr>
          <w:rFonts w:ascii="Arial" w:hAnsi="Arial" w:cs="Arial"/>
          <w:sz w:val="24"/>
          <w:szCs w:val="24"/>
        </w:rPr>
        <w:t xml:space="preserve">IGS’ Initial Brief anticipated and addressed many of the arguments submitted by proponents of the Stipulation. </w:t>
      </w:r>
      <w:r w:rsidR="00D60CD4">
        <w:rPr>
          <w:rFonts w:ascii="Arial" w:hAnsi="Arial" w:cs="Arial"/>
          <w:sz w:val="24"/>
          <w:szCs w:val="24"/>
        </w:rPr>
        <w:t>Specifically</w:t>
      </w:r>
      <w:r w:rsidR="00DE7C2E">
        <w:rPr>
          <w:rFonts w:ascii="Arial" w:hAnsi="Arial" w:cs="Arial"/>
          <w:sz w:val="24"/>
          <w:szCs w:val="24"/>
        </w:rPr>
        <w:t>,</w:t>
      </w:r>
      <w:r w:rsidR="00D60CD4">
        <w:rPr>
          <w:rFonts w:ascii="Arial" w:hAnsi="Arial" w:cs="Arial"/>
          <w:sz w:val="24"/>
          <w:szCs w:val="24"/>
        </w:rPr>
        <w:t xml:space="preserve"> IGS and RESA have demonstrate</w:t>
      </w:r>
      <w:r w:rsidR="001A6263">
        <w:rPr>
          <w:rFonts w:ascii="Arial" w:hAnsi="Arial" w:cs="Arial"/>
          <w:sz w:val="24"/>
          <w:szCs w:val="24"/>
        </w:rPr>
        <w:t>d</w:t>
      </w:r>
      <w:r w:rsidR="00D60CD4">
        <w:rPr>
          <w:rFonts w:ascii="Arial" w:hAnsi="Arial" w:cs="Arial"/>
          <w:sz w:val="24"/>
          <w:szCs w:val="24"/>
        </w:rPr>
        <w:t xml:space="preserve"> that 1) </w:t>
      </w:r>
      <w:r>
        <w:rPr>
          <w:rFonts w:ascii="Arial" w:hAnsi="Arial" w:cs="Arial"/>
          <w:sz w:val="24"/>
          <w:szCs w:val="24"/>
        </w:rPr>
        <w:t>t</w:t>
      </w:r>
      <w:r w:rsidR="00D60CD4">
        <w:rPr>
          <w:rFonts w:ascii="Arial" w:hAnsi="Arial" w:cs="Arial"/>
          <w:sz w:val="24"/>
          <w:szCs w:val="24"/>
        </w:rPr>
        <w:t>he Commission lacks authority under Chapter 4909 to authorize the recovery of SSO-related costs through distr</w:t>
      </w:r>
      <w:r w:rsidR="00DE7C2E">
        <w:rPr>
          <w:rFonts w:ascii="Arial" w:hAnsi="Arial" w:cs="Arial"/>
          <w:sz w:val="24"/>
          <w:szCs w:val="24"/>
        </w:rPr>
        <w:t>ibution rates; 2) IGS/RESA witness Hess identified</w:t>
      </w:r>
      <w:r w:rsidR="00790EE4">
        <w:rPr>
          <w:rFonts w:ascii="Arial" w:hAnsi="Arial" w:cs="Arial"/>
          <w:sz w:val="24"/>
          <w:szCs w:val="24"/>
        </w:rPr>
        <w:t>,</w:t>
      </w:r>
      <w:r w:rsidR="001A6263">
        <w:rPr>
          <w:rFonts w:ascii="Arial" w:hAnsi="Arial" w:cs="Arial"/>
          <w:sz w:val="24"/>
          <w:szCs w:val="24"/>
        </w:rPr>
        <w:t xml:space="preserve"> and</w:t>
      </w:r>
      <w:r w:rsidR="00D60CD4">
        <w:rPr>
          <w:rFonts w:ascii="Arial" w:hAnsi="Arial" w:cs="Arial"/>
          <w:sz w:val="24"/>
          <w:szCs w:val="24"/>
        </w:rPr>
        <w:t xml:space="preserve"> quantif</w:t>
      </w:r>
      <w:r w:rsidR="00DE7C2E">
        <w:rPr>
          <w:rFonts w:ascii="Arial" w:hAnsi="Arial" w:cs="Arial"/>
          <w:sz w:val="24"/>
          <w:szCs w:val="24"/>
        </w:rPr>
        <w:t>ied</w:t>
      </w:r>
      <w:r w:rsidR="00790EE4">
        <w:rPr>
          <w:rFonts w:ascii="Arial" w:hAnsi="Arial" w:cs="Arial"/>
          <w:sz w:val="24"/>
          <w:szCs w:val="24"/>
        </w:rPr>
        <w:t>,</w:t>
      </w:r>
      <w:r w:rsidR="001A6263">
        <w:rPr>
          <w:rFonts w:ascii="Arial" w:hAnsi="Arial" w:cs="Arial"/>
          <w:sz w:val="24"/>
          <w:szCs w:val="24"/>
        </w:rPr>
        <w:t xml:space="preserve"> </w:t>
      </w:r>
      <w:r w:rsidR="00DE7C2E">
        <w:rPr>
          <w:rFonts w:ascii="Arial" w:hAnsi="Arial" w:cs="Arial"/>
          <w:sz w:val="24"/>
          <w:szCs w:val="24"/>
        </w:rPr>
        <w:t>the SSO-</w:t>
      </w:r>
      <w:r w:rsidR="00D60CD4">
        <w:rPr>
          <w:rFonts w:ascii="Arial" w:hAnsi="Arial" w:cs="Arial"/>
          <w:sz w:val="24"/>
          <w:szCs w:val="24"/>
        </w:rPr>
        <w:t>related costs that should be unbundled from distribution rates; and 3)</w:t>
      </w:r>
      <w:r>
        <w:rPr>
          <w:rFonts w:ascii="Arial" w:hAnsi="Arial" w:cs="Arial"/>
          <w:sz w:val="24"/>
          <w:szCs w:val="24"/>
        </w:rPr>
        <w:t xml:space="preserve"> other than the mere </w:t>
      </w:r>
      <w:r w:rsidR="00194BC0">
        <w:rPr>
          <w:rFonts w:ascii="Arial" w:hAnsi="Arial" w:cs="Arial"/>
          <w:sz w:val="24"/>
          <w:szCs w:val="24"/>
        </w:rPr>
        <w:t>conjecture</w:t>
      </w:r>
      <w:r>
        <w:rPr>
          <w:rFonts w:ascii="Arial" w:hAnsi="Arial" w:cs="Arial"/>
          <w:sz w:val="24"/>
          <w:szCs w:val="24"/>
        </w:rPr>
        <w:t>,</w:t>
      </w:r>
      <w:r w:rsidR="00D60CD4" w:rsidDel="00D60CD4">
        <w:rPr>
          <w:rFonts w:ascii="Arial" w:hAnsi="Arial" w:cs="Arial"/>
          <w:sz w:val="24"/>
          <w:szCs w:val="24"/>
        </w:rPr>
        <w:t xml:space="preserve"> </w:t>
      </w:r>
      <w:r w:rsidR="00D60CD4">
        <w:rPr>
          <w:rFonts w:ascii="Arial" w:hAnsi="Arial" w:cs="Arial"/>
          <w:sz w:val="24"/>
          <w:szCs w:val="24"/>
        </w:rPr>
        <w:t xml:space="preserve">neither </w:t>
      </w:r>
      <w:r w:rsidR="001A6263">
        <w:rPr>
          <w:rFonts w:ascii="Arial" w:hAnsi="Arial" w:cs="Arial"/>
          <w:sz w:val="24"/>
          <w:szCs w:val="24"/>
        </w:rPr>
        <w:t xml:space="preserve">Staff nor DP&amp;L have </w:t>
      </w:r>
      <w:r w:rsidR="00D60CD4">
        <w:rPr>
          <w:rFonts w:ascii="Arial" w:hAnsi="Arial" w:cs="Arial"/>
          <w:sz w:val="24"/>
          <w:szCs w:val="24"/>
        </w:rPr>
        <w:t>put forth any evidence to support the notion that Choice costs off-set SSO costs</w:t>
      </w:r>
      <w:r w:rsidR="001A6263">
        <w:rPr>
          <w:rFonts w:ascii="Arial" w:hAnsi="Arial" w:cs="Arial"/>
          <w:sz w:val="24"/>
          <w:szCs w:val="24"/>
        </w:rPr>
        <w:t xml:space="preserve"> in distribution rates</w:t>
      </w:r>
      <w:r w:rsidR="00D60CD4">
        <w:rPr>
          <w:rFonts w:ascii="Arial" w:hAnsi="Arial" w:cs="Arial"/>
          <w:sz w:val="24"/>
          <w:szCs w:val="24"/>
        </w:rPr>
        <w:t>,</w:t>
      </w:r>
      <w:r>
        <w:rPr>
          <w:rFonts w:ascii="Arial" w:hAnsi="Arial" w:cs="Arial"/>
          <w:sz w:val="24"/>
          <w:szCs w:val="24"/>
        </w:rPr>
        <w:t xml:space="preserve"> particularly since CRES providers are required to pay significant fees to support any costs DP&amp;L may incur to support the Choice program</w:t>
      </w:r>
      <w:r w:rsidR="00D60CD4">
        <w:rPr>
          <w:rFonts w:ascii="Arial" w:hAnsi="Arial" w:cs="Arial"/>
          <w:sz w:val="24"/>
          <w:szCs w:val="24"/>
        </w:rPr>
        <w:t xml:space="preserve">. </w:t>
      </w:r>
    </w:p>
    <w:p w14:paraId="47B84277" w14:textId="5278443E" w:rsidR="00770A24" w:rsidRDefault="0003354E" w:rsidP="00EC23E7">
      <w:pPr>
        <w:spacing w:after="120" w:line="480" w:lineRule="auto"/>
        <w:ind w:firstLine="720"/>
        <w:jc w:val="both"/>
        <w:rPr>
          <w:rFonts w:ascii="Arial" w:hAnsi="Arial" w:cs="Arial"/>
          <w:sz w:val="24"/>
          <w:szCs w:val="24"/>
        </w:rPr>
      </w:pPr>
      <w:r>
        <w:rPr>
          <w:rFonts w:ascii="Arial" w:hAnsi="Arial" w:cs="Arial"/>
          <w:sz w:val="24"/>
          <w:szCs w:val="24"/>
        </w:rPr>
        <w:t>Despite the record evidence, Staff and DP&amp;L in their initial brief</w:t>
      </w:r>
      <w:r w:rsidR="001A6263">
        <w:rPr>
          <w:rFonts w:ascii="Arial" w:hAnsi="Arial" w:cs="Arial"/>
          <w:sz w:val="24"/>
          <w:szCs w:val="24"/>
        </w:rPr>
        <w:t xml:space="preserve"> </w:t>
      </w:r>
      <w:r>
        <w:rPr>
          <w:rFonts w:ascii="Arial" w:hAnsi="Arial" w:cs="Arial"/>
          <w:sz w:val="24"/>
          <w:szCs w:val="24"/>
        </w:rPr>
        <w:t>continue to support</w:t>
      </w:r>
      <w:r w:rsidR="001A6263">
        <w:rPr>
          <w:rFonts w:ascii="Arial" w:hAnsi="Arial" w:cs="Arial"/>
          <w:sz w:val="24"/>
          <w:szCs w:val="24"/>
        </w:rPr>
        <w:t xml:space="preserve"> subsidization</w:t>
      </w:r>
      <w:r>
        <w:rPr>
          <w:rFonts w:ascii="Arial" w:hAnsi="Arial" w:cs="Arial"/>
          <w:sz w:val="24"/>
          <w:szCs w:val="24"/>
        </w:rPr>
        <w:t xml:space="preserve"> of</w:t>
      </w:r>
      <w:r w:rsidR="001A6263">
        <w:rPr>
          <w:rFonts w:ascii="Arial" w:hAnsi="Arial" w:cs="Arial"/>
          <w:sz w:val="24"/>
          <w:szCs w:val="24"/>
        </w:rPr>
        <w:t xml:space="preserve"> the SSO</w:t>
      </w:r>
      <w:r w:rsidR="00790EE4">
        <w:rPr>
          <w:rFonts w:ascii="Arial" w:hAnsi="Arial" w:cs="Arial"/>
          <w:sz w:val="24"/>
          <w:szCs w:val="24"/>
        </w:rPr>
        <w:t xml:space="preserve">. </w:t>
      </w:r>
      <w:r w:rsidR="004560C2">
        <w:rPr>
          <w:rFonts w:ascii="Arial" w:hAnsi="Arial" w:cs="Arial"/>
          <w:sz w:val="24"/>
          <w:szCs w:val="24"/>
        </w:rPr>
        <w:t>In doing so</w:t>
      </w:r>
      <w:r w:rsidR="000617E7">
        <w:rPr>
          <w:rFonts w:ascii="Arial" w:hAnsi="Arial" w:cs="Arial"/>
          <w:sz w:val="24"/>
          <w:szCs w:val="24"/>
        </w:rPr>
        <w:t xml:space="preserve"> they</w:t>
      </w:r>
      <w:r w:rsidR="001A6263">
        <w:rPr>
          <w:rFonts w:ascii="Arial" w:hAnsi="Arial" w:cs="Arial"/>
          <w:sz w:val="24"/>
          <w:szCs w:val="24"/>
        </w:rPr>
        <w:t>—rely on incorrect and misleading facts, red herrings and flawed legal arguments</w:t>
      </w:r>
      <w:r w:rsidR="004560C2">
        <w:rPr>
          <w:rFonts w:ascii="Arial" w:hAnsi="Arial" w:cs="Arial"/>
          <w:sz w:val="24"/>
          <w:szCs w:val="24"/>
        </w:rPr>
        <w:t>. Notwithstanding,</w:t>
      </w:r>
      <w:r w:rsidR="00790EE4">
        <w:rPr>
          <w:rFonts w:ascii="Arial" w:hAnsi="Arial" w:cs="Arial"/>
          <w:sz w:val="24"/>
          <w:szCs w:val="24"/>
        </w:rPr>
        <w:t xml:space="preserve"> it could not be more clear that</w:t>
      </w:r>
      <w:r w:rsidR="00EC23E7">
        <w:rPr>
          <w:rFonts w:ascii="Arial" w:hAnsi="Arial" w:cs="Arial"/>
          <w:sz w:val="24"/>
          <w:szCs w:val="24"/>
        </w:rPr>
        <w:t xml:space="preserve"> </w:t>
      </w:r>
      <w:r w:rsidR="002C2CDC">
        <w:rPr>
          <w:rFonts w:ascii="Arial" w:hAnsi="Arial" w:cs="Arial"/>
          <w:sz w:val="24"/>
          <w:szCs w:val="24"/>
        </w:rPr>
        <w:t xml:space="preserve">Ohio law </w:t>
      </w:r>
      <w:r w:rsidR="00790EE4">
        <w:rPr>
          <w:rFonts w:ascii="Arial" w:hAnsi="Arial" w:cs="Arial"/>
          <w:sz w:val="24"/>
          <w:szCs w:val="24"/>
        </w:rPr>
        <w:t>prohibi</w:t>
      </w:r>
      <w:r w:rsidR="00570A29">
        <w:rPr>
          <w:rFonts w:ascii="Arial" w:hAnsi="Arial" w:cs="Arial"/>
          <w:sz w:val="24"/>
          <w:szCs w:val="24"/>
        </w:rPr>
        <w:t>ts</w:t>
      </w:r>
      <w:r w:rsidR="00790EE4">
        <w:rPr>
          <w:rFonts w:ascii="Arial" w:hAnsi="Arial" w:cs="Arial"/>
          <w:sz w:val="24"/>
          <w:szCs w:val="24"/>
        </w:rPr>
        <w:t xml:space="preserve"> </w:t>
      </w:r>
      <w:r w:rsidR="00EC23E7">
        <w:rPr>
          <w:rFonts w:ascii="Arial" w:hAnsi="Arial" w:cs="Arial"/>
          <w:sz w:val="24"/>
          <w:szCs w:val="24"/>
        </w:rPr>
        <w:t>the</w:t>
      </w:r>
      <w:r w:rsidR="002C2CDC">
        <w:rPr>
          <w:rFonts w:ascii="Arial" w:hAnsi="Arial" w:cs="Arial"/>
          <w:sz w:val="24"/>
          <w:szCs w:val="24"/>
        </w:rPr>
        <w:t xml:space="preserve"> relief recommended by the Stipulation</w:t>
      </w:r>
      <w:r w:rsidR="00220EC6">
        <w:rPr>
          <w:rFonts w:ascii="Arial" w:hAnsi="Arial" w:cs="Arial"/>
          <w:sz w:val="24"/>
          <w:szCs w:val="24"/>
        </w:rPr>
        <w:t xml:space="preserve"> and doing so would be detrimental to the public interest</w:t>
      </w:r>
      <w:r w:rsidR="002C2CDC">
        <w:rPr>
          <w:rFonts w:ascii="Arial" w:hAnsi="Arial" w:cs="Arial"/>
          <w:sz w:val="24"/>
          <w:szCs w:val="24"/>
        </w:rPr>
        <w:t xml:space="preserve">.  </w:t>
      </w:r>
    </w:p>
    <w:p w14:paraId="7F1F1013" w14:textId="08CC2CED" w:rsidR="005400A4" w:rsidRDefault="00AD31BC" w:rsidP="00085080">
      <w:pPr>
        <w:spacing w:after="120" w:line="480" w:lineRule="auto"/>
        <w:jc w:val="both"/>
        <w:rPr>
          <w:rFonts w:ascii="Arial" w:hAnsi="Arial" w:cs="Arial"/>
          <w:sz w:val="24"/>
          <w:szCs w:val="24"/>
        </w:rPr>
      </w:pPr>
      <w:r>
        <w:rPr>
          <w:rFonts w:ascii="Arial" w:hAnsi="Arial" w:cs="Arial"/>
          <w:sz w:val="24"/>
          <w:szCs w:val="24"/>
        </w:rPr>
        <w:tab/>
      </w:r>
      <w:r w:rsidR="00570A29">
        <w:rPr>
          <w:rFonts w:ascii="Arial" w:hAnsi="Arial" w:cs="Arial"/>
          <w:sz w:val="24"/>
          <w:szCs w:val="24"/>
        </w:rPr>
        <w:t>Finally</w:t>
      </w:r>
      <w:r w:rsidR="00F55EA7">
        <w:rPr>
          <w:rFonts w:ascii="Arial" w:hAnsi="Arial" w:cs="Arial"/>
          <w:sz w:val="24"/>
          <w:szCs w:val="24"/>
        </w:rPr>
        <w:t>,</w:t>
      </w:r>
      <w:r w:rsidR="00570A29">
        <w:rPr>
          <w:rFonts w:ascii="Arial" w:hAnsi="Arial" w:cs="Arial"/>
          <w:sz w:val="24"/>
          <w:szCs w:val="24"/>
        </w:rPr>
        <w:t xml:space="preserve"> as noted in IGS’ initial brief</w:t>
      </w:r>
      <w:r w:rsidR="00F334D9">
        <w:rPr>
          <w:rFonts w:ascii="Arial" w:hAnsi="Arial" w:cs="Arial"/>
          <w:sz w:val="24"/>
          <w:szCs w:val="24"/>
        </w:rPr>
        <w:t>,</w:t>
      </w:r>
      <w:r w:rsidR="00570A29">
        <w:rPr>
          <w:rFonts w:ascii="Arial" w:hAnsi="Arial" w:cs="Arial"/>
          <w:sz w:val="24"/>
          <w:szCs w:val="24"/>
        </w:rPr>
        <w:t xml:space="preserve"> the Stipulation continues to support an unlawful</w:t>
      </w:r>
      <w:r w:rsidR="00220EC6">
        <w:rPr>
          <w:rFonts w:ascii="Arial" w:hAnsi="Arial" w:cs="Arial"/>
          <w:sz w:val="24"/>
          <w:szCs w:val="24"/>
        </w:rPr>
        <w:t xml:space="preserve"> </w:t>
      </w:r>
      <w:r w:rsidR="00DE7C2E">
        <w:rPr>
          <w:rFonts w:ascii="Arial" w:hAnsi="Arial" w:cs="Arial"/>
          <w:sz w:val="24"/>
          <w:szCs w:val="24"/>
        </w:rPr>
        <w:t>Alternative Generation Supplier Coordination Ta</w:t>
      </w:r>
      <w:r w:rsidR="00220EC6">
        <w:rPr>
          <w:rFonts w:ascii="Arial" w:hAnsi="Arial" w:cs="Arial"/>
          <w:sz w:val="24"/>
          <w:szCs w:val="24"/>
        </w:rPr>
        <w:t>riff</w:t>
      </w:r>
      <w:r w:rsidR="00DE7C2E">
        <w:rPr>
          <w:rFonts w:ascii="Arial" w:hAnsi="Arial" w:cs="Arial"/>
          <w:sz w:val="24"/>
          <w:szCs w:val="24"/>
        </w:rPr>
        <w:t xml:space="preserve"> (“Supplier Tariff”)</w:t>
      </w:r>
      <w:r w:rsidR="00570A29">
        <w:rPr>
          <w:rFonts w:ascii="Arial" w:hAnsi="Arial" w:cs="Arial"/>
          <w:sz w:val="24"/>
          <w:szCs w:val="24"/>
        </w:rPr>
        <w:t xml:space="preserve"> that arbitrarily requires non-public companies to post higher collateral requirements</w:t>
      </w:r>
      <w:r w:rsidR="00220EC6">
        <w:rPr>
          <w:rFonts w:ascii="Arial" w:hAnsi="Arial" w:cs="Arial"/>
          <w:sz w:val="24"/>
          <w:szCs w:val="24"/>
        </w:rPr>
        <w:t>,</w:t>
      </w:r>
      <w:r w:rsidR="00570A29">
        <w:rPr>
          <w:rFonts w:ascii="Arial" w:hAnsi="Arial" w:cs="Arial"/>
          <w:sz w:val="24"/>
          <w:szCs w:val="24"/>
        </w:rPr>
        <w:t xml:space="preserve"> irrespective of their actual credit risk.</w:t>
      </w:r>
      <w:r w:rsidR="00220EC6">
        <w:rPr>
          <w:rFonts w:ascii="Arial" w:hAnsi="Arial" w:cs="Arial"/>
          <w:sz w:val="24"/>
          <w:szCs w:val="24"/>
        </w:rPr>
        <w:t xml:space="preserve"> </w:t>
      </w:r>
      <w:r>
        <w:rPr>
          <w:rFonts w:ascii="Arial" w:hAnsi="Arial" w:cs="Arial"/>
          <w:sz w:val="24"/>
          <w:szCs w:val="24"/>
        </w:rPr>
        <w:t>DP&amp;L is the only entity that challenges IGS’ recommende</w:t>
      </w:r>
      <w:r w:rsidR="00220EC6">
        <w:rPr>
          <w:rFonts w:ascii="Arial" w:hAnsi="Arial" w:cs="Arial"/>
          <w:sz w:val="24"/>
          <w:szCs w:val="24"/>
        </w:rPr>
        <w:t>d changes</w:t>
      </w:r>
      <w:r w:rsidR="00570A29">
        <w:rPr>
          <w:rFonts w:ascii="Arial" w:hAnsi="Arial" w:cs="Arial"/>
          <w:sz w:val="24"/>
          <w:szCs w:val="24"/>
        </w:rPr>
        <w:t xml:space="preserve"> to the supplier tariff</w:t>
      </w:r>
      <w:r>
        <w:rPr>
          <w:rFonts w:ascii="Arial" w:hAnsi="Arial" w:cs="Arial"/>
          <w:sz w:val="24"/>
          <w:szCs w:val="24"/>
        </w:rPr>
        <w:t xml:space="preserve">. “Staff </w:t>
      </w:r>
      <w:r w:rsidR="005400A4">
        <w:rPr>
          <w:rFonts w:ascii="Arial" w:hAnsi="Arial" w:cs="Arial"/>
          <w:sz w:val="24"/>
          <w:szCs w:val="24"/>
        </w:rPr>
        <w:t>takes no position regarding this issue.”</w:t>
      </w:r>
      <w:r w:rsidR="00DE7C2E">
        <w:rPr>
          <w:rStyle w:val="FootnoteReference"/>
          <w:rFonts w:ascii="Arial" w:hAnsi="Arial" w:cs="Arial"/>
          <w:sz w:val="24"/>
          <w:szCs w:val="24"/>
        </w:rPr>
        <w:footnoteReference w:id="4"/>
      </w:r>
      <w:r w:rsidR="005400A4">
        <w:rPr>
          <w:rFonts w:ascii="Arial" w:hAnsi="Arial" w:cs="Arial"/>
          <w:sz w:val="24"/>
          <w:szCs w:val="24"/>
        </w:rPr>
        <w:t xml:space="preserve">  DP&amp;L’s opposition is </w:t>
      </w:r>
      <w:r w:rsidR="005400A4">
        <w:rPr>
          <w:rFonts w:ascii="Arial" w:hAnsi="Arial" w:cs="Arial"/>
          <w:sz w:val="24"/>
          <w:szCs w:val="24"/>
        </w:rPr>
        <w:lastRenderedPageBreak/>
        <w:t>based upon an incorrect procedural argument that defies basic rules of contractual interpretation that any practitioner knows to be true without even resorting to case law.  Moreover, DP&amp;L fails to explain why it fails to follow its Commission-authorized tariff, which states that “</w:t>
      </w:r>
      <w:r w:rsidR="005400A4" w:rsidRPr="005400A4">
        <w:rPr>
          <w:rFonts w:ascii="Arial" w:hAnsi="Arial" w:cs="Arial"/>
          <w:sz w:val="24"/>
          <w:szCs w:val="24"/>
        </w:rPr>
        <w:t xml:space="preserve">security required must be and remain commensurate with the financial risks placed on the Company by that supplier, </w:t>
      </w:r>
      <w:r w:rsidR="005400A4" w:rsidRPr="005400A4">
        <w:rPr>
          <w:rFonts w:ascii="Arial" w:hAnsi="Arial" w:cs="Arial"/>
          <w:i/>
          <w:sz w:val="24"/>
          <w:szCs w:val="24"/>
        </w:rPr>
        <w:t>including recognition of that supplier’s performance</w:t>
      </w:r>
      <w:r w:rsidR="005400A4" w:rsidRPr="005400A4">
        <w:rPr>
          <w:rFonts w:ascii="Arial" w:hAnsi="Arial" w:cs="Arial"/>
          <w:sz w:val="24"/>
          <w:szCs w:val="24"/>
        </w:rPr>
        <w:t>.”</w:t>
      </w:r>
      <w:r w:rsidR="005400A4" w:rsidRPr="005400A4">
        <w:rPr>
          <w:rFonts w:ascii="Arial" w:hAnsi="Arial" w:cs="Arial"/>
          <w:sz w:val="24"/>
          <w:szCs w:val="24"/>
          <w:vertAlign w:val="superscript"/>
        </w:rPr>
        <w:footnoteReference w:id="5"/>
      </w:r>
    </w:p>
    <w:p w14:paraId="7F7AFCA9" w14:textId="726705C9" w:rsidR="005400A4" w:rsidRPr="005400A4" w:rsidRDefault="005400A4" w:rsidP="005400A4">
      <w:pPr>
        <w:pStyle w:val="ListParagraph"/>
        <w:numPr>
          <w:ilvl w:val="0"/>
          <w:numId w:val="1"/>
        </w:numPr>
        <w:spacing w:after="120" w:line="480" w:lineRule="auto"/>
        <w:jc w:val="both"/>
        <w:rPr>
          <w:rFonts w:ascii="Arial" w:hAnsi="Arial" w:cs="Arial"/>
          <w:b/>
          <w:sz w:val="24"/>
          <w:szCs w:val="24"/>
        </w:rPr>
      </w:pPr>
      <w:r w:rsidRPr="005400A4">
        <w:rPr>
          <w:rFonts w:ascii="Arial" w:hAnsi="Arial" w:cs="Arial"/>
          <w:b/>
          <w:sz w:val="24"/>
          <w:szCs w:val="24"/>
        </w:rPr>
        <w:t>ARGUMENT</w:t>
      </w:r>
    </w:p>
    <w:p w14:paraId="08280277" w14:textId="63BF3033" w:rsidR="00220EC6" w:rsidRPr="00220EC6" w:rsidRDefault="002F1923" w:rsidP="004052C5">
      <w:pPr>
        <w:pStyle w:val="ListParagraph"/>
        <w:numPr>
          <w:ilvl w:val="0"/>
          <w:numId w:val="13"/>
        </w:numPr>
        <w:spacing w:after="120" w:line="240" w:lineRule="auto"/>
        <w:jc w:val="both"/>
        <w:rPr>
          <w:rFonts w:ascii="Arial" w:hAnsi="Arial" w:cs="Arial"/>
          <w:sz w:val="24"/>
          <w:szCs w:val="24"/>
        </w:rPr>
      </w:pPr>
      <w:r>
        <w:rPr>
          <w:rFonts w:ascii="Arial" w:hAnsi="Arial" w:cs="Arial"/>
          <w:b/>
          <w:sz w:val="24"/>
          <w:szCs w:val="24"/>
        </w:rPr>
        <w:t>No party C</w:t>
      </w:r>
      <w:r w:rsidR="00220EC6">
        <w:rPr>
          <w:rFonts w:ascii="Arial" w:hAnsi="Arial" w:cs="Arial"/>
          <w:b/>
          <w:sz w:val="24"/>
          <w:szCs w:val="24"/>
        </w:rPr>
        <w:t>ontests that the</w:t>
      </w:r>
      <w:r>
        <w:rPr>
          <w:rFonts w:ascii="Arial" w:hAnsi="Arial" w:cs="Arial"/>
          <w:b/>
          <w:sz w:val="24"/>
          <w:szCs w:val="24"/>
        </w:rPr>
        <w:t xml:space="preserve"> Stipulation P</w:t>
      </w:r>
      <w:r w:rsidR="000B170E">
        <w:rPr>
          <w:rFonts w:ascii="Arial" w:hAnsi="Arial" w:cs="Arial"/>
          <w:b/>
          <w:sz w:val="24"/>
          <w:szCs w:val="24"/>
        </w:rPr>
        <w:t>roposes</w:t>
      </w:r>
      <w:r>
        <w:rPr>
          <w:rFonts w:ascii="Arial" w:hAnsi="Arial" w:cs="Arial"/>
          <w:b/>
          <w:sz w:val="24"/>
          <w:szCs w:val="24"/>
        </w:rPr>
        <w:t xml:space="preserve"> to S</w:t>
      </w:r>
      <w:r w:rsidR="00F106B4">
        <w:rPr>
          <w:rFonts w:ascii="Arial" w:hAnsi="Arial" w:cs="Arial"/>
          <w:b/>
          <w:sz w:val="24"/>
          <w:szCs w:val="24"/>
        </w:rPr>
        <w:t xml:space="preserve">ubsidize the SSO; </w:t>
      </w:r>
      <w:r>
        <w:rPr>
          <w:rFonts w:ascii="Arial" w:hAnsi="Arial" w:cs="Arial"/>
          <w:b/>
          <w:sz w:val="24"/>
          <w:szCs w:val="24"/>
        </w:rPr>
        <w:t>R</w:t>
      </w:r>
      <w:r w:rsidR="00447F53">
        <w:rPr>
          <w:rFonts w:ascii="Arial" w:hAnsi="Arial" w:cs="Arial"/>
          <w:b/>
          <w:sz w:val="24"/>
          <w:szCs w:val="24"/>
        </w:rPr>
        <w:t xml:space="preserve">ather </w:t>
      </w:r>
      <w:r>
        <w:rPr>
          <w:rFonts w:ascii="Arial" w:hAnsi="Arial" w:cs="Arial"/>
          <w:b/>
          <w:sz w:val="24"/>
          <w:szCs w:val="24"/>
        </w:rPr>
        <w:t>they A</w:t>
      </w:r>
      <w:r w:rsidR="00F106B4">
        <w:rPr>
          <w:rFonts w:ascii="Arial" w:hAnsi="Arial" w:cs="Arial"/>
          <w:b/>
          <w:sz w:val="24"/>
          <w:szCs w:val="24"/>
        </w:rPr>
        <w:t>ttempt</w:t>
      </w:r>
      <w:r>
        <w:rPr>
          <w:rFonts w:ascii="Arial" w:hAnsi="Arial" w:cs="Arial"/>
          <w:b/>
          <w:sz w:val="24"/>
          <w:szCs w:val="24"/>
        </w:rPr>
        <w:t xml:space="preserve"> to Justify the S</w:t>
      </w:r>
      <w:r w:rsidR="000B170E">
        <w:rPr>
          <w:rFonts w:ascii="Arial" w:hAnsi="Arial" w:cs="Arial"/>
          <w:b/>
          <w:sz w:val="24"/>
          <w:szCs w:val="24"/>
        </w:rPr>
        <w:t>ubsidization</w:t>
      </w:r>
      <w:r>
        <w:rPr>
          <w:rFonts w:ascii="Arial" w:hAnsi="Arial" w:cs="Arial"/>
          <w:b/>
          <w:sz w:val="24"/>
          <w:szCs w:val="24"/>
        </w:rPr>
        <w:t xml:space="preserve"> Through F</w:t>
      </w:r>
      <w:r w:rsidR="00F106B4">
        <w:rPr>
          <w:rFonts w:ascii="Arial" w:hAnsi="Arial" w:cs="Arial"/>
          <w:b/>
          <w:sz w:val="24"/>
          <w:szCs w:val="24"/>
        </w:rPr>
        <w:t>alse</w:t>
      </w:r>
      <w:r>
        <w:rPr>
          <w:rFonts w:ascii="Arial" w:hAnsi="Arial" w:cs="Arial"/>
          <w:b/>
          <w:sz w:val="24"/>
          <w:szCs w:val="24"/>
        </w:rPr>
        <w:t xml:space="preserve"> Facts and Incorrect Legal C</w:t>
      </w:r>
      <w:r w:rsidR="00220EC6">
        <w:rPr>
          <w:rFonts w:ascii="Arial" w:hAnsi="Arial" w:cs="Arial"/>
          <w:b/>
          <w:sz w:val="24"/>
          <w:szCs w:val="24"/>
        </w:rPr>
        <w:t>on</w:t>
      </w:r>
      <w:r w:rsidR="005F3D25">
        <w:rPr>
          <w:rFonts w:ascii="Arial" w:hAnsi="Arial" w:cs="Arial"/>
          <w:b/>
          <w:sz w:val="24"/>
          <w:szCs w:val="24"/>
        </w:rPr>
        <w:t>cl</w:t>
      </w:r>
      <w:r w:rsidR="00220EC6">
        <w:rPr>
          <w:rFonts w:ascii="Arial" w:hAnsi="Arial" w:cs="Arial"/>
          <w:b/>
          <w:sz w:val="24"/>
          <w:szCs w:val="24"/>
        </w:rPr>
        <w:t>usions</w:t>
      </w:r>
    </w:p>
    <w:p w14:paraId="10ACF498" w14:textId="5B5F8EB2" w:rsidR="00220EC6" w:rsidRDefault="00220EC6" w:rsidP="004052C5">
      <w:pPr>
        <w:spacing w:after="120" w:line="480" w:lineRule="auto"/>
        <w:ind w:firstLine="720"/>
        <w:jc w:val="both"/>
        <w:rPr>
          <w:rFonts w:ascii="Arial" w:hAnsi="Arial" w:cs="Arial"/>
          <w:sz w:val="24"/>
          <w:szCs w:val="24"/>
        </w:rPr>
      </w:pPr>
      <w:r>
        <w:rPr>
          <w:rFonts w:ascii="Arial" w:hAnsi="Arial" w:cs="Arial"/>
          <w:sz w:val="24"/>
          <w:szCs w:val="24"/>
        </w:rPr>
        <w:t>No party denied that the Stipulation would permit DP&amp;L to recover SSO-related costs through distribution rates.  Instead, they sought to justify that coll</w:t>
      </w:r>
      <w:r w:rsidR="00F106B4">
        <w:rPr>
          <w:rFonts w:ascii="Arial" w:hAnsi="Arial" w:cs="Arial"/>
          <w:sz w:val="24"/>
          <w:szCs w:val="24"/>
        </w:rPr>
        <w:t>ection.</w:t>
      </w:r>
      <w:r>
        <w:rPr>
          <w:rFonts w:ascii="Arial" w:hAnsi="Arial" w:cs="Arial"/>
          <w:sz w:val="24"/>
          <w:szCs w:val="24"/>
        </w:rPr>
        <w:t xml:space="preserve">  First, DP&amp;L and Staff argue that the SSO is function that must be provided by the distribution company, therefore the cost of providing the SSO should be socialized.</w:t>
      </w:r>
      <w:r w:rsidR="00DE7C2E">
        <w:rPr>
          <w:rStyle w:val="FootnoteReference"/>
          <w:rFonts w:ascii="Arial" w:hAnsi="Arial" w:cs="Arial"/>
          <w:sz w:val="24"/>
          <w:szCs w:val="24"/>
        </w:rPr>
        <w:footnoteReference w:id="6"/>
      </w:r>
      <w:r w:rsidR="00F106B4">
        <w:rPr>
          <w:rFonts w:ascii="Arial" w:hAnsi="Arial" w:cs="Arial"/>
          <w:sz w:val="24"/>
          <w:szCs w:val="24"/>
        </w:rPr>
        <w:t xml:space="preserve">  Second, in relian</w:t>
      </w:r>
      <w:r w:rsidR="00DE7C2E">
        <w:rPr>
          <w:rFonts w:ascii="Arial" w:hAnsi="Arial" w:cs="Arial"/>
          <w:sz w:val="24"/>
          <w:szCs w:val="24"/>
        </w:rPr>
        <w:t>ce on their first argument, Staff</w:t>
      </w:r>
      <w:r w:rsidR="00F106B4">
        <w:rPr>
          <w:rFonts w:ascii="Arial" w:hAnsi="Arial" w:cs="Arial"/>
          <w:sz w:val="24"/>
          <w:szCs w:val="24"/>
        </w:rPr>
        <w:t xml:space="preserve"> claim</w:t>
      </w:r>
      <w:r w:rsidR="00DE7C2E">
        <w:rPr>
          <w:rFonts w:ascii="Arial" w:hAnsi="Arial" w:cs="Arial"/>
          <w:sz w:val="24"/>
          <w:szCs w:val="24"/>
        </w:rPr>
        <w:t>s</w:t>
      </w:r>
      <w:r w:rsidR="00F106B4">
        <w:rPr>
          <w:rFonts w:ascii="Arial" w:hAnsi="Arial" w:cs="Arial"/>
          <w:sz w:val="24"/>
          <w:szCs w:val="24"/>
        </w:rPr>
        <w:t xml:space="preserve"> that choice customers cannot possibly be paying for costs twice.</w:t>
      </w:r>
      <w:r w:rsidR="00E477AA">
        <w:rPr>
          <w:rStyle w:val="FootnoteReference"/>
          <w:rFonts w:ascii="Arial" w:hAnsi="Arial" w:cs="Arial"/>
          <w:sz w:val="24"/>
          <w:szCs w:val="24"/>
        </w:rPr>
        <w:footnoteReference w:id="7"/>
      </w:r>
      <w:r w:rsidR="00F106B4">
        <w:rPr>
          <w:rFonts w:ascii="Arial" w:hAnsi="Arial" w:cs="Arial"/>
          <w:sz w:val="24"/>
          <w:szCs w:val="24"/>
        </w:rPr>
        <w:t xml:space="preserve">  Third</w:t>
      </w:r>
      <w:r>
        <w:rPr>
          <w:rFonts w:ascii="Arial" w:hAnsi="Arial" w:cs="Arial"/>
          <w:sz w:val="24"/>
          <w:szCs w:val="24"/>
        </w:rPr>
        <w:t>, DP&amp;L and Staff claim that it is appropriate to socialize SSO-related costs because DP&amp;L incurs costs to facilitate customers’ right to switch.</w:t>
      </w:r>
      <w:r w:rsidR="00E477AA">
        <w:rPr>
          <w:rStyle w:val="FootnoteReference"/>
          <w:rFonts w:ascii="Arial" w:hAnsi="Arial" w:cs="Arial"/>
          <w:sz w:val="24"/>
          <w:szCs w:val="24"/>
        </w:rPr>
        <w:footnoteReference w:id="8"/>
      </w:r>
      <w:r>
        <w:rPr>
          <w:rFonts w:ascii="Arial" w:hAnsi="Arial" w:cs="Arial"/>
          <w:sz w:val="24"/>
          <w:szCs w:val="24"/>
        </w:rPr>
        <w:t xml:space="preserve">  Each</w:t>
      </w:r>
      <w:r w:rsidR="00E26C79">
        <w:rPr>
          <w:rFonts w:ascii="Arial" w:hAnsi="Arial" w:cs="Arial"/>
          <w:sz w:val="24"/>
          <w:szCs w:val="24"/>
        </w:rPr>
        <w:t xml:space="preserve"> </w:t>
      </w:r>
      <w:r w:rsidR="00E477AA">
        <w:rPr>
          <w:rFonts w:ascii="Arial" w:hAnsi="Arial" w:cs="Arial"/>
          <w:sz w:val="24"/>
          <w:szCs w:val="24"/>
        </w:rPr>
        <w:t xml:space="preserve">argument </w:t>
      </w:r>
      <w:r>
        <w:rPr>
          <w:rFonts w:ascii="Arial" w:hAnsi="Arial" w:cs="Arial"/>
          <w:sz w:val="24"/>
          <w:szCs w:val="24"/>
        </w:rPr>
        <w:t xml:space="preserve">is unavailing.  </w:t>
      </w:r>
    </w:p>
    <w:p w14:paraId="64AA1F7B" w14:textId="0ACE7730" w:rsidR="004052C5" w:rsidRPr="004052C5" w:rsidRDefault="004052C5" w:rsidP="004052C5">
      <w:pPr>
        <w:pStyle w:val="ListParagraph"/>
        <w:numPr>
          <w:ilvl w:val="0"/>
          <w:numId w:val="15"/>
        </w:numPr>
        <w:spacing w:after="120" w:line="240" w:lineRule="auto"/>
        <w:jc w:val="both"/>
        <w:rPr>
          <w:rFonts w:ascii="Arial" w:hAnsi="Arial" w:cs="Arial"/>
          <w:b/>
          <w:sz w:val="24"/>
          <w:szCs w:val="24"/>
        </w:rPr>
      </w:pPr>
      <w:r w:rsidRPr="004052C5">
        <w:rPr>
          <w:rFonts w:ascii="Arial" w:hAnsi="Arial" w:cs="Arial"/>
          <w:b/>
          <w:sz w:val="24"/>
          <w:szCs w:val="24"/>
        </w:rPr>
        <w:t xml:space="preserve">The Commission may not regulate competitive </w:t>
      </w:r>
      <w:r w:rsidR="00B92C32">
        <w:rPr>
          <w:rFonts w:ascii="Arial" w:hAnsi="Arial" w:cs="Arial"/>
          <w:b/>
          <w:sz w:val="24"/>
          <w:szCs w:val="24"/>
        </w:rPr>
        <w:t>services under Chapter 4909</w:t>
      </w:r>
    </w:p>
    <w:p w14:paraId="46A23566" w14:textId="06179E7C" w:rsidR="00220EC6" w:rsidRDefault="00220EC6" w:rsidP="00220EC6">
      <w:pPr>
        <w:spacing w:after="120" w:line="480" w:lineRule="auto"/>
        <w:ind w:firstLine="720"/>
        <w:jc w:val="both"/>
        <w:rPr>
          <w:rFonts w:ascii="Arial" w:hAnsi="Arial" w:cs="Arial"/>
          <w:sz w:val="24"/>
          <w:szCs w:val="24"/>
        </w:rPr>
      </w:pPr>
      <w:r>
        <w:rPr>
          <w:rFonts w:ascii="Arial" w:hAnsi="Arial" w:cs="Arial"/>
          <w:sz w:val="24"/>
          <w:szCs w:val="24"/>
        </w:rPr>
        <w:lastRenderedPageBreak/>
        <w:t>A great example of the Staff’s and DP&amp;L’s flawed reasoning</w:t>
      </w:r>
      <w:r w:rsidR="00F106B4">
        <w:rPr>
          <w:rFonts w:ascii="Arial" w:hAnsi="Arial" w:cs="Arial"/>
          <w:sz w:val="24"/>
          <w:szCs w:val="24"/>
        </w:rPr>
        <w:t xml:space="preserve"> </w:t>
      </w:r>
      <w:r>
        <w:rPr>
          <w:rFonts w:ascii="Arial" w:hAnsi="Arial" w:cs="Arial"/>
          <w:sz w:val="24"/>
          <w:szCs w:val="24"/>
        </w:rPr>
        <w:t xml:space="preserve">is the </w:t>
      </w:r>
      <w:r w:rsidR="00447F53">
        <w:rPr>
          <w:rFonts w:ascii="Arial" w:hAnsi="Arial" w:cs="Arial"/>
          <w:sz w:val="24"/>
          <w:szCs w:val="24"/>
        </w:rPr>
        <w:t>inaccurate</w:t>
      </w:r>
      <w:r>
        <w:rPr>
          <w:rFonts w:ascii="Arial" w:hAnsi="Arial" w:cs="Arial"/>
          <w:sz w:val="24"/>
          <w:szCs w:val="24"/>
        </w:rPr>
        <w:t xml:space="preserve"> claim that the SSO is a </w:t>
      </w:r>
      <w:r w:rsidRPr="00B92C32">
        <w:rPr>
          <w:rFonts w:ascii="Arial" w:hAnsi="Arial" w:cs="Arial"/>
          <w:sz w:val="24"/>
          <w:szCs w:val="24"/>
        </w:rPr>
        <w:t>distribution company function</w:t>
      </w:r>
      <w:r>
        <w:rPr>
          <w:rFonts w:ascii="Arial" w:hAnsi="Arial" w:cs="Arial"/>
          <w:sz w:val="24"/>
          <w:szCs w:val="24"/>
        </w:rPr>
        <w:t>.  And, as such</w:t>
      </w:r>
      <w:r w:rsidR="00B92C32">
        <w:rPr>
          <w:rFonts w:ascii="Arial" w:hAnsi="Arial" w:cs="Arial"/>
          <w:sz w:val="24"/>
          <w:szCs w:val="24"/>
        </w:rPr>
        <w:t>,</w:t>
      </w:r>
      <w:r>
        <w:rPr>
          <w:rFonts w:ascii="Arial" w:hAnsi="Arial" w:cs="Arial"/>
          <w:sz w:val="24"/>
          <w:szCs w:val="24"/>
        </w:rPr>
        <w:t xml:space="preserve"> the cost of providing the SSO should be recovered through distribution rates.</w:t>
      </w:r>
      <w:r w:rsidR="00E477AA">
        <w:rPr>
          <w:rStyle w:val="FootnoteReference"/>
          <w:rFonts w:ascii="Arial" w:hAnsi="Arial" w:cs="Arial"/>
          <w:sz w:val="24"/>
          <w:szCs w:val="24"/>
        </w:rPr>
        <w:footnoteReference w:id="9"/>
      </w:r>
      <w:r>
        <w:rPr>
          <w:rFonts w:ascii="Arial" w:hAnsi="Arial" w:cs="Arial"/>
          <w:sz w:val="24"/>
          <w:szCs w:val="24"/>
        </w:rPr>
        <w:t xml:space="preserve">  These statements illustrate a fundamental misunderstanding of the basic tenants of restructuring and Ohio law as enumerated in Chapter 4928.</w:t>
      </w:r>
      <w:r w:rsidR="00B92C32">
        <w:rPr>
          <w:rFonts w:ascii="Arial" w:hAnsi="Arial" w:cs="Arial"/>
          <w:sz w:val="24"/>
          <w:szCs w:val="24"/>
        </w:rPr>
        <w:t xml:space="preserve"> </w:t>
      </w:r>
      <w:r>
        <w:rPr>
          <w:rFonts w:ascii="Arial" w:hAnsi="Arial" w:cs="Arial"/>
          <w:sz w:val="24"/>
          <w:szCs w:val="24"/>
        </w:rPr>
        <w:t xml:space="preserve"> </w:t>
      </w:r>
    </w:p>
    <w:p w14:paraId="799B18C2" w14:textId="2D444FD5" w:rsidR="00996181" w:rsidRDefault="00F106B4" w:rsidP="004052C5">
      <w:pPr>
        <w:spacing w:after="120" w:line="480" w:lineRule="auto"/>
        <w:ind w:firstLine="720"/>
        <w:jc w:val="both"/>
        <w:rPr>
          <w:rFonts w:ascii="Arial" w:hAnsi="Arial" w:cs="Arial"/>
          <w:sz w:val="24"/>
          <w:szCs w:val="24"/>
        </w:rPr>
      </w:pPr>
      <w:r>
        <w:rPr>
          <w:rFonts w:ascii="Arial" w:hAnsi="Arial" w:cs="Arial"/>
          <w:sz w:val="24"/>
          <w:szCs w:val="24"/>
        </w:rPr>
        <w:t xml:space="preserve">While </w:t>
      </w:r>
      <w:r w:rsidR="00B92C32">
        <w:rPr>
          <w:rFonts w:ascii="Arial" w:hAnsi="Arial" w:cs="Arial"/>
          <w:sz w:val="24"/>
          <w:szCs w:val="24"/>
        </w:rPr>
        <w:t>DP&amp;L is an electric distribution utility (“EDU”)</w:t>
      </w:r>
      <w:r>
        <w:rPr>
          <w:rFonts w:ascii="Arial" w:hAnsi="Arial" w:cs="Arial"/>
          <w:sz w:val="24"/>
          <w:szCs w:val="24"/>
        </w:rPr>
        <w:t>,</w:t>
      </w:r>
      <w:r w:rsidR="00065455">
        <w:rPr>
          <w:rFonts w:ascii="Arial" w:hAnsi="Arial" w:cs="Arial"/>
          <w:sz w:val="24"/>
          <w:szCs w:val="24"/>
        </w:rPr>
        <w:t xml:space="preserve"> that doesn’t entitle DP&amp;L to recover all its costs through distribution rates</w:t>
      </w:r>
      <w:r w:rsidR="00B92C32">
        <w:rPr>
          <w:rFonts w:ascii="Arial" w:hAnsi="Arial" w:cs="Arial"/>
          <w:sz w:val="24"/>
          <w:szCs w:val="24"/>
        </w:rPr>
        <w:t xml:space="preserve">.  </w:t>
      </w:r>
      <w:r>
        <w:rPr>
          <w:rFonts w:ascii="Arial" w:hAnsi="Arial" w:cs="Arial"/>
          <w:sz w:val="24"/>
          <w:szCs w:val="24"/>
        </w:rPr>
        <w:t>For purposes of determining the scope of permissible regulation,</w:t>
      </w:r>
      <w:r w:rsidR="00996181">
        <w:rPr>
          <w:rFonts w:ascii="Arial" w:hAnsi="Arial" w:cs="Arial"/>
          <w:sz w:val="24"/>
          <w:szCs w:val="24"/>
        </w:rPr>
        <w:t xml:space="preserve"> i</w:t>
      </w:r>
      <w:r w:rsidR="00220EC6">
        <w:rPr>
          <w:rFonts w:ascii="Arial" w:hAnsi="Arial" w:cs="Arial"/>
          <w:sz w:val="24"/>
          <w:szCs w:val="24"/>
        </w:rPr>
        <w:t xml:space="preserve">t doesn’t matter </w:t>
      </w:r>
      <w:r w:rsidR="00220EC6" w:rsidRPr="00F106B4">
        <w:rPr>
          <w:rFonts w:ascii="Arial" w:hAnsi="Arial" w:cs="Arial"/>
          <w:i/>
          <w:sz w:val="24"/>
          <w:szCs w:val="24"/>
        </w:rPr>
        <w:t xml:space="preserve">what </w:t>
      </w:r>
      <w:r w:rsidR="00996181" w:rsidRPr="00F106B4">
        <w:rPr>
          <w:rFonts w:ascii="Arial" w:hAnsi="Arial" w:cs="Arial"/>
          <w:i/>
          <w:sz w:val="24"/>
          <w:szCs w:val="24"/>
        </w:rPr>
        <w:t>type of entity</w:t>
      </w:r>
      <w:r w:rsidR="00220EC6">
        <w:rPr>
          <w:rFonts w:ascii="Arial" w:hAnsi="Arial" w:cs="Arial"/>
          <w:sz w:val="24"/>
          <w:szCs w:val="24"/>
        </w:rPr>
        <w:t xml:space="preserve"> provides a service,</w:t>
      </w:r>
      <w:r>
        <w:rPr>
          <w:rFonts w:ascii="Arial" w:hAnsi="Arial" w:cs="Arial"/>
          <w:sz w:val="24"/>
          <w:szCs w:val="24"/>
        </w:rPr>
        <w:t xml:space="preserve"> it is irrelevant</w:t>
      </w:r>
      <w:r w:rsidR="00220EC6">
        <w:rPr>
          <w:rFonts w:ascii="Arial" w:hAnsi="Arial" w:cs="Arial"/>
          <w:sz w:val="24"/>
          <w:szCs w:val="24"/>
        </w:rPr>
        <w:t xml:space="preserve"> whether tha</w:t>
      </w:r>
      <w:r>
        <w:rPr>
          <w:rFonts w:ascii="Arial" w:hAnsi="Arial" w:cs="Arial"/>
          <w:sz w:val="24"/>
          <w:szCs w:val="24"/>
        </w:rPr>
        <w:t>t entity is an EDU</w:t>
      </w:r>
      <w:r w:rsidR="00220EC6">
        <w:rPr>
          <w:rFonts w:ascii="Arial" w:hAnsi="Arial" w:cs="Arial"/>
          <w:sz w:val="24"/>
          <w:szCs w:val="24"/>
        </w:rPr>
        <w:t xml:space="preserve"> or competitive retail electric service (“CRES”)</w:t>
      </w:r>
      <w:r>
        <w:rPr>
          <w:rFonts w:ascii="Arial" w:hAnsi="Arial" w:cs="Arial"/>
          <w:sz w:val="24"/>
          <w:szCs w:val="24"/>
        </w:rPr>
        <w:t xml:space="preserve"> provider</w:t>
      </w:r>
      <w:r w:rsidR="00220EC6">
        <w:rPr>
          <w:rFonts w:ascii="Arial" w:hAnsi="Arial" w:cs="Arial"/>
          <w:sz w:val="24"/>
          <w:szCs w:val="24"/>
        </w:rPr>
        <w:t xml:space="preserve">.  </w:t>
      </w:r>
      <w:r w:rsidR="00996181">
        <w:rPr>
          <w:rFonts w:ascii="Arial" w:hAnsi="Arial" w:cs="Arial"/>
          <w:sz w:val="24"/>
          <w:szCs w:val="24"/>
        </w:rPr>
        <w:t>The deciding factor</w:t>
      </w:r>
      <w:r w:rsidR="00220EC6" w:rsidRPr="00996181">
        <w:rPr>
          <w:rFonts w:ascii="Arial" w:hAnsi="Arial" w:cs="Arial"/>
          <w:i/>
          <w:sz w:val="24"/>
          <w:szCs w:val="24"/>
        </w:rPr>
        <w:t xml:space="preserve"> is the type of service</w:t>
      </w:r>
      <w:r w:rsidR="00220EC6">
        <w:rPr>
          <w:rFonts w:ascii="Arial" w:hAnsi="Arial" w:cs="Arial"/>
          <w:sz w:val="24"/>
          <w:szCs w:val="24"/>
        </w:rPr>
        <w:t xml:space="preserve"> the entity provides.  T</w:t>
      </w:r>
      <w:r w:rsidR="00220EC6" w:rsidRPr="00351D1F">
        <w:rPr>
          <w:rFonts w:ascii="Arial" w:hAnsi="Arial" w:cs="Arial"/>
          <w:sz w:val="24"/>
          <w:szCs w:val="24"/>
        </w:rPr>
        <w:t xml:space="preserve">here are competitive </w:t>
      </w:r>
      <w:r w:rsidR="00220EC6">
        <w:rPr>
          <w:rFonts w:ascii="Arial" w:hAnsi="Arial" w:cs="Arial"/>
          <w:sz w:val="24"/>
          <w:szCs w:val="24"/>
        </w:rPr>
        <w:t>services, non-com</w:t>
      </w:r>
      <w:r w:rsidR="00220EC6" w:rsidRPr="00351D1F">
        <w:rPr>
          <w:rFonts w:ascii="Arial" w:hAnsi="Arial" w:cs="Arial"/>
          <w:sz w:val="24"/>
          <w:szCs w:val="24"/>
        </w:rPr>
        <w:t>petitive services</w:t>
      </w:r>
      <w:r w:rsidR="00220EC6">
        <w:rPr>
          <w:rFonts w:ascii="Arial" w:hAnsi="Arial" w:cs="Arial"/>
          <w:sz w:val="24"/>
          <w:szCs w:val="24"/>
        </w:rPr>
        <w:t>, and products and services other than retail electric services</w:t>
      </w:r>
      <w:r w:rsidR="00220EC6" w:rsidRPr="00351D1F">
        <w:rPr>
          <w:rFonts w:ascii="Arial" w:hAnsi="Arial" w:cs="Arial"/>
          <w:sz w:val="24"/>
          <w:szCs w:val="24"/>
        </w:rPr>
        <w:t>—there is nothing in between.</w:t>
      </w:r>
      <w:r w:rsidR="00996181">
        <w:rPr>
          <w:rFonts w:ascii="Arial" w:hAnsi="Arial" w:cs="Arial"/>
          <w:sz w:val="24"/>
          <w:szCs w:val="24"/>
        </w:rPr>
        <w:t xml:space="preserve">  Only non-competitive services may</w:t>
      </w:r>
      <w:r w:rsidR="007D60FE">
        <w:rPr>
          <w:rFonts w:ascii="Arial" w:hAnsi="Arial" w:cs="Arial"/>
          <w:sz w:val="24"/>
          <w:szCs w:val="24"/>
        </w:rPr>
        <w:t xml:space="preserve"> be</w:t>
      </w:r>
      <w:r w:rsidR="00996181">
        <w:rPr>
          <w:rFonts w:ascii="Arial" w:hAnsi="Arial" w:cs="Arial"/>
          <w:sz w:val="24"/>
          <w:szCs w:val="24"/>
        </w:rPr>
        <w:t xml:space="preserve"> regulated under Chapter 4909.  </w:t>
      </w:r>
      <w:r w:rsidR="00220EC6">
        <w:rPr>
          <w:rFonts w:ascii="Arial" w:hAnsi="Arial" w:cs="Arial"/>
          <w:sz w:val="24"/>
          <w:szCs w:val="24"/>
        </w:rPr>
        <w:t xml:space="preserve"> </w:t>
      </w:r>
      <w:r w:rsidR="0058602D">
        <w:rPr>
          <w:rFonts w:ascii="Arial" w:hAnsi="Arial" w:cs="Arial"/>
          <w:sz w:val="24"/>
          <w:szCs w:val="24"/>
        </w:rPr>
        <w:t xml:space="preserve">Therefore, </w:t>
      </w:r>
      <w:r w:rsidR="00E477AA">
        <w:rPr>
          <w:rFonts w:ascii="Arial" w:hAnsi="Arial" w:cs="Arial"/>
          <w:sz w:val="24"/>
          <w:szCs w:val="24"/>
        </w:rPr>
        <w:t>when an EDU provides a</w:t>
      </w:r>
      <w:r w:rsidR="004560C2">
        <w:rPr>
          <w:rFonts w:ascii="Arial" w:hAnsi="Arial" w:cs="Arial"/>
          <w:sz w:val="24"/>
          <w:szCs w:val="24"/>
        </w:rPr>
        <w:t xml:space="preserve"> competitive service</w:t>
      </w:r>
      <w:r w:rsidR="00E477AA">
        <w:rPr>
          <w:rFonts w:ascii="Arial" w:hAnsi="Arial" w:cs="Arial"/>
          <w:sz w:val="24"/>
          <w:szCs w:val="24"/>
        </w:rPr>
        <w:t xml:space="preserve"> </w:t>
      </w:r>
      <w:r w:rsidR="004560C2">
        <w:rPr>
          <w:rFonts w:ascii="Arial" w:hAnsi="Arial" w:cs="Arial"/>
          <w:sz w:val="24"/>
          <w:szCs w:val="24"/>
        </w:rPr>
        <w:t xml:space="preserve">(e.g. SSO </w:t>
      </w:r>
      <w:r w:rsidR="007F5579">
        <w:rPr>
          <w:rFonts w:ascii="Arial" w:hAnsi="Arial" w:cs="Arial"/>
          <w:sz w:val="24"/>
          <w:szCs w:val="24"/>
        </w:rPr>
        <w:t>g</w:t>
      </w:r>
      <w:r w:rsidR="004560C2">
        <w:rPr>
          <w:rFonts w:ascii="Arial" w:hAnsi="Arial" w:cs="Arial"/>
          <w:sz w:val="24"/>
          <w:szCs w:val="24"/>
        </w:rPr>
        <w:t>eneration</w:t>
      </w:r>
      <w:r w:rsidR="007F5579">
        <w:rPr>
          <w:rFonts w:ascii="Arial" w:hAnsi="Arial" w:cs="Arial"/>
          <w:sz w:val="24"/>
          <w:szCs w:val="24"/>
        </w:rPr>
        <w:t xml:space="preserve"> service</w:t>
      </w:r>
      <w:r w:rsidR="004560C2">
        <w:rPr>
          <w:rFonts w:ascii="Arial" w:hAnsi="Arial" w:cs="Arial"/>
          <w:sz w:val="24"/>
          <w:szCs w:val="24"/>
        </w:rPr>
        <w:t>)</w:t>
      </w:r>
      <w:r w:rsidR="00E477AA">
        <w:rPr>
          <w:rFonts w:ascii="Arial" w:hAnsi="Arial" w:cs="Arial"/>
          <w:sz w:val="24"/>
          <w:szCs w:val="24"/>
        </w:rPr>
        <w:t>,</w:t>
      </w:r>
      <w:r w:rsidR="00593C0C">
        <w:rPr>
          <w:rFonts w:ascii="Arial" w:hAnsi="Arial" w:cs="Arial"/>
          <w:sz w:val="24"/>
          <w:szCs w:val="24"/>
        </w:rPr>
        <w:t xml:space="preserve"> the law does</w:t>
      </w:r>
      <w:r w:rsidR="00E477AA">
        <w:rPr>
          <w:rFonts w:ascii="Arial" w:hAnsi="Arial" w:cs="Arial"/>
          <w:sz w:val="24"/>
          <w:szCs w:val="24"/>
        </w:rPr>
        <w:t xml:space="preserve"> not allow the recovery of associated</w:t>
      </w:r>
      <w:r w:rsidR="00593C0C">
        <w:rPr>
          <w:rFonts w:ascii="Arial" w:hAnsi="Arial" w:cs="Arial"/>
          <w:sz w:val="24"/>
          <w:szCs w:val="24"/>
        </w:rPr>
        <w:t xml:space="preserve"> costs through distribution rates</w:t>
      </w:r>
      <w:r w:rsidR="00220EC6" w:rsidRPr="00310598">
        <w:rPr>
          <w:rFonts w:ascii="Arial" w:hAnsi="Arial" w:cs="Arial"/>
          <w:sz w:val="24"/>
          <w:szCs w:val="24"/>
        </w:rPr>
        <w:t xml:space="preserve">.  </w:t>
      </w:r>
      <w:r w:rsidR="00220EC6" w:rsidRPr="00351D1F">
        <w:rPr>
          <w:rFonts w:ascii="Arial" w:hAnsi="Arial" w:cs="Arial"/>
          <w:sz w:val="24"/>
          <w:szCs w:val="24"/>
        </w:rPr>
        <w:t xml:space="preserve"> </w:t>
      </w:r>
    </w:p>
    <w:p w14:paraId="1EAF7F0E" w14:textId="018FF015" w:rsidR="0058602D" w:rsidRDefault="00220EC6" w:rsidP="00E477AA">
      <w:pPr>
        <w:spacing w:after="120" w:line="480" w:lineRule="auto"/>
        <w:ind w:firstLine="720"/>
        <w:jc w:val="both"/>
        <w:rPr>
          <w:rFonts w:ascii="Arial" w:hAnsi="Arial" w:cs="Arial"/>
          <w:sz w:val="24"/>
          <w:szCs w:val="24"/>
        </w:rPr>
      </w:pPr>
      <w:r w:rsidRPr="00FC629B">
        <w:rPr>
          <w:rFonts w:ascii="Arial" w:hAnsi="Arial" w:cs="Arial"/>
          <w:b/>
          <w:i/>
          <w:sz w:val="24"/>
          <w:szCs w:val="24"/>
        </w:rPr>
        <w:t>The SSO is a competitive</w:t>
      </w:r>
      <w:r w:rsidR="00F106B4">
        <w:rPr>
          <w:rFonts w:ascii="Arial" w:hAnsi="Arial" w:cs="Arial"/>
          <w:b/>
          <w:i/>
          <w:sz w:val="24"/>
          <w:szCs w:val="24"/>
        </w:rPr>
        <w:t xml:space="preserve"> retail electric</w:t>
      </w:r>
      <w:r w:rsidRPr="00FC629B">
        <w:rPr>
          <w:rFonts w:ascii="Arial" w:hAnsi="Arial" w:cs="Arial"/>
          <w:b/>
          <w:i/>
          <w:sz w:val="24"/>
          <w:szCs w:val="24"/>
        </w:rPr>
        <w:t xml:space="preserve"> service that happens to be provided by an EDU.</w:t>
      </w:r>
      <w:r>
        <w:rPr>
          <w:rFonts w:ascii="Arial" w:hAnsi="Arial" w:cs="Arial"/>
          <w:sz w:val="24"/>
          <w:szCs w:val="24"/>
        </w:rPr>
        <w:t xml:space="preserve">  This point is critical.  When the EDU provides a competitive servi</w:t>
      </w:r>
      <w:r w:rsidR="00996181">
        <w:rPr>
          <w:rFonts w:ascii="Arial" w:hAnsi="Arial" w:cs="Arial"/>
          <w:sz w:val="24"/>
          <w:szCs w:val="24"/>
        </w:rPr>
        <w:t>ce</w:t>
      </w:r>
      <w:r>
        <w:rPr>
          <w:rFonts w:ascii="Arial" w:hAnsi="Arial" w:cs="Arial"/>
          <w:sz w:val="24"/>
          <w:szCs w:val="24"/>
        </w:rPr>
        <w:t>, it must recover the cost of said services through bypassable charges authorized under Chapter 4928.</w:t>
      </w:r>
      <w:r w:rsidR="00E477AA">
        <w:rPr>
          <w:rStyle w:val="FootnoteReference"/>
          <w:rFonts w:ascii="Arial" w:hAnsi="Arial" w:cs="Arial"/>
          <w:sz w:val="24"/>
          <w:szCs w:val="24"/>
        </w:rPr>
        <w:footnoteReference w:id="10"/>
      </w:r>
      <w:r w:rsidR="00065455">
        <w:rPr>
          <w:rFonts w:ascii="Arial" w:hAnsi="Arial" w:cs="Arial"/>
          <w:sz w:val="24"/>
          <w:szCs w:val="24"/>
        </w:rPr>
        <w:t xml:space="preserve">  </w:t>
      </w:r>
      <w:r w:rsidR="004052C5" w:rsidRPr="00D541C3">
        <w:rPr>
          <w:rFonts w:ascii="Arial" w:hAnsi="Arial" w:cs="Arial"/>
          <w:sz w:val="24"/>
          <w:szCs w:val="24"/>
        </w:rPr>
        <w:t>SB 3 removed the Commis</w:t>
      </w:r>
      <w:r w:rsidR="004052C5">
        <w:rPr>
          <w:rFonts w:ascii="Arial" w:hAnsi="Arial" w:cs="Arial"/>
          <w:sz w:val="24"/>
          <w:szCs w:val="24"/>
        </w:rPr>
        <w:t>sion’s jurisdiction to regulate</w:t>
      </w:r>
      <w:r w:rsidR="004052C5" w:rsidRPr="00D541C3">
        <w:rPr>
          <w:rFonts w:ascii="Arial" w:hAnsi="Arial" w:cs="Arial"/>
          <w:sz w:val="24"/>
          <w:szCs w:val="24"/>
        </w:rPr>
        <w:t xml:space="preserve"> competitive retail electric service under Chapter 4909. </w:t>
      </w:r>
      <w:r w:rsidR="0058602D">
        <w:rPr>
          <w:rFonts w:ascii="Arial" w:hAnsi="Arial" w:cs="Arial"/>
          <w:sz w:val="24"/>
          <w:szCs w:val="24"/>
        </w:rPr>
        <w:t>Further, if you accept DP&amp;</w:t>
      </w:r>
      <w:r w:rsidR="00C66189">
        <w:rPr>
          <w:rFonts w:ascii="Arial" w:hAnsi="Arial" w:cs="Arial"/>
          <w:sz w:val="24"/>
          <w:szCs w:val="24"/>
        </w:rPr>
        <w:t>L</w:t>
      </w:r>
      <w:r w:rsidR="0058602D">
        <w:rPr>
          <w:rFonts w:ascii="Arial" w:hAnsi="Arial" w:cs="Arial"/>
          <w:sz w:val="24"/>
          <w:szCs w:val="24"/>
        </w:rPr>
        <w:t>s argument on its face, it woul</w:t>
      </w:r>
      <w:r w:rsidR="00E477AA">
        <w:rPr>
          <w:rFonts w:ascii="Arial" w:hAnsi="Arial" w:cs="Arial"/>
          <w:sz w:val="24"/>
          <w:szCs w:val="24"/>
        </w:rPr>
        <w:t xml:space="preserve">d </w:t>
      </w:r>
      <w:r w:rsidR="00E477AA">
        <w:rPr>
          <w:rFonts w:ascii="Arial" w:hAnsi="Arial" w:cs="Arial"/>
          <w:sz w:val="24"/>
          <w:szCs w:val="24"/>
        </w:rPr>
        <w:lastRenderedPageBreak/>
        <w:t>produce absurd results, which violates rules of statutory interpretation.</w:t>
      </w:r>
      <w:r w:rsidR="00E477AA">
        <w:rPr>
          <w:rStyle w:val="FootnoteReference"/>
          <w:rFonts w:ascii="Arial" w:hAnsi="Arial" w:cs="Arial"/>
          <w:sz w:val="24"/>
          <w:szCs w:val="24"/>
        </w:rPr>
        <w:footnoteReference w:id="11"/>
      </w:r>
      <w:r w:rsidR="00E477AA">
        <w:rPr>
          <w:rFonts w:ascii="Arial" w:hAnsi="Arial" w:cs="Arial"/>
          <w:sz w:val="24"/>
          <w:szCs w:val="24"/>
        </w:rPr>
        <w:t xml:space="preserve">  </w:t>
      </w:r>
      <w:r w:rsidR="0058602D">
        <w:rPr>
          <w:rFonts w:ascii="Arial" w:hAnsi="Arial" w:cs="Arial"/>
          <w:sz w:val="24"/>
          <w:szCs w:val="24"/>
        </w:rPr>
        <w:t>DP&amp;L</w:t>
      </w:r>
      <w:r w:rsidR="00E477AA">
        <w:rPr>
          <w:rFonts w:ascii="Arial" w:hAnsi="Arial" w:cs="Arial"/>
          <w:sz w:val="24"/>
          <w:szCs w:val="24"/>
        </w:rPr>
        <w:t xml:space="preserve">’s logic </w:t>
      </w:r>
      <w:r w:rsidR="0058602D">
        <w:rPr>
          <w:rFonts w:ascii="Arial" w:hAnsi="Arial" w:cs="Arial"/>
          <w:sz w:val="24"/>
          <w:szCs w:val="24"/>
        </w:rPr>
        <w:t xml:space="preserve">could justify recovering any SSO costs, including capacity and energy costs, through distribution rates.  This notion is squarely contrary to Ohio law and defeats the purpose of making generation competitive in the first instance.    </w:t>
      </w:r>
    </w:p>
    <w:p w14:paraId="67920A5A" w14:textId="77777777" w:rsidR="00996181" w:rsidRDefault="00E26C79" w:rsidP="00E477AA">
      <w:pPr>
        <w:spacing w:after="120" w:line="480" w:lineRule="auto"/>
        <w:ind w:firstLine="720"/>
        <w:jc w:val="both"/>
        <w:rPr>
          <w:rFonts w:ascii="Arial" w:hAnsi="Arial" w:cs="Arial"/>
          <w:sz w:val="24"/>
          <w:szCs w:val="24"/>
        </w:rPr>
      </w:pPr>
      <w:r>
        <w:rPr>
          <w:rFonts w:ascii="Arial" w:hAnsi="Arial" w:cs="Arial"/>
          <w:sz w:val="24"/>
          <w:szCs w:val="24"/>
        </w:rPr>
        <w:t>The General Assembly prohibited the Commission from recovering competitive services through distribution rates for a simple reason—customers have the right to choose the competitive services that they want and need.  Making shopping customers pay for SSO-related competitive services that they do not use or want is fundamentally unfair and contrary to the purpose of restructuring.</w:t>
      </w:r>
    </w:p>
    <w:p w14:paraId="4D23DB9A" w14:textId="544CCBC1" w:rsidR="00B92C32" w:rsidRDefault="005F3D25" w:rsidP="00B92C32">
      <w:pPr>
        <w:spacing w:after="120" w:line="480" w:lineRule="auto"/>
        <w:ind w:firstLine="720"/>
        <w:jc w:val="both"/>
        <w:rPr>
          <w:rFonts w:ascii="Arial" w:hAnsi="Arial" w:cs="Arial"/>
          <w:sz w:val="24"/>
          <w:szCs w:val="24"/>
        </w:rPr>
      </w:pPr>
      <w:r w:rsidRPr="005F3D25">
        <w:rPr>
          <w:rFonts w:ascii="Arial" w:hAnsi="Arial" w:cs="Arial"/>
          <w:sz w:val="24"/>
          <w:szCs w:val="24"/>
        </w:rPr>
        <w:t>Interesti</w:t>
      </w:r>
      <w:r>
        <w:rPr>
          <w:rFonts w:ascii="Arial" w:hAnsi="Arial" w:cs="Arial"/>
          <w:sz w:val="24"/>
          <w:szCs w:val="24"/>
        </w:rPr>
        <w:t>ngly, the Staff Report agreed</w:t>
      </w:r>
      <w:r w:rsidRPr="005F3D25">
        <w:rPr>
          <w:rFonts w:ascii="Arial" w:hAnsi="Arial" w:cs="Arial"/>
          <w:sz w:val="24"/>
          <w:szCs w:val="24"/>
        </w:rPr>
        <w:t xml:space="preserve"> with the scope of the Commission</w:t>
      </w:r>
      <w:r>
        <w:rPr>
          <w:rFonts w:ascii="Arial" w:hAnsi="Arial" w:cs="Arial"/>
          <w:sz w:val="24"/>
          <w:szCs w:val="24"/>
        </w:rPr>
        <w:t>’s jurisdiction on Chapter 4909.  Specifically, the Staff Report disallowed</w:t>
      </w:r>
      <w:r w:rsidRPr="005F3D25">
        <w:rPr>
          <w:rFonts w:ascii="Arial" w:hAnsi="Arial" w:cs="Arial"/>
          <w:sz w:val="24"/>
          <w:szCs w:val="24"/>
        </w:rPr>
        <w:t xml:space="preserve"> recover</w:t>
      </w:r>
      <w:r>
        <w:rPr>
          <w:rFonts w:ascii="Arial" w:hAnsi="Arial" w:cs="Arial"/>
          <w:sz w:val="24"/>
          <w:szCs w:val="24"/>
        </w:rPr>
        <w:t>y of ESP litigation expenses.</w:t>
      </w:r>
      <w:r w:rsidRPr="005F3D25">
        <w:rPr>
          <w:rFonts w:ascii="Arial" w:hAnsi="Arial" w:cs="Arial"/>
          <w:sz w:val="24"/>
          <w:szCs w:val="24"/>
        </w:rPr>
        <w:t xml:space="preserve">  “Staff determined these costs are inappropriate for ratemaking purposes.”</w:t>
      </w:r>
      <w:r w:rsidR="00A222C4">
        <w:rPr>
          <w:rStyle w:val="FootnoteReference"/>
          <w:rFonts w:ascii="Arial" w:hAnsi="Arial" w:cs="Arial"/>
          <w:sz w:val="24"/>
          <w:szCs w:val="24"/>
        </w:rPr>
        <w:footnoteReference w:id="12"/>
      </w:r>
      <w:r w:rsidRPr="005F3D25">
        <w:rPr>
          <w:rFonts w:ascii="Arial" w:hAnsi="Arial" w:cs="Arial"/>
          <w:sz w:val="24"/>
          <w:szCs w:val="24"/>
        </w:rPr>
        <w:t xml:space="preserve">  </w:t>
      </w:r>
      <w:r>
        <w:rPr>
          <w:rFonts w:ascii="Arial" w:hAnsi="Arial" w:cs="Arial"/>
          <w:sz w:val="24"/>
          <w:szCs w:val="24"/>
        </w:rPr>
        <w:t>It defies reason</w:t>
      </w:r>
      <w:r w:rsidR="00B92C32">
        <w:rPr>
          <w:rFonts w:ascii="Arial" w:hAnsi="Arial" w:cs="Arial"/>
          <w:sz w:val="24"/>
          <w:szCs w:val="24"/>
        </w:rPr>
        <w:t xml:space="preserve"> and simple logic</w:t>
      </w:r>
      <w:r>
        <w:rPr>
          <w:rFonts w:ascii="Arial" w:hAnsi="Arial" w:cs="Arial"/>
          <w:sz w:val="24"/>
          <w:szCs w:val="24"/>
        </w:rPr>
        <w:t xml:space="preserve"> that </w:t>
      </w:r>
      <w:r w:rsidR="00B92C32">
        <w:rPr>
          <w:rFonts w:ascii="Arial" w:hAnsi="Arial" w:cs="Arial"/>
          <w:sz w:val="24"/>
          <w:szCs w:val="24"/>
        </w:rPr>
        <w:t xml:space="preserve">ESP </w:t>
      </w:r>
      <w:r>
        <w:rPr>
          <w:rFonts w:ascii="Arial" w:hAnsi="Arial" w:cs="Arial"/>
          <w:sz w:val="24"/>
          <w:szCs w:val="24"/>
        </w:rPr>
        <w:t>litigation expenses are outside the scope of the Commission’s ratemaking authority while other SSO-related expenses may be authorized u</w:t>
      </w:r>
      <w:r w:rsidR="00B92C32">
        <w:rPr>
          <w:rFonts w:ascii="Arial" w:hAnsi="Arial" w:cs="Arial"/>
          <w:sz w:val="24"/>
          <w:szCs w:val="24"/>
        </w:rPr>
        <w:t>nder the same authority</w:t>
      </w:r>
      <w:r>
        <w:rPr>
          <w:rFonts w:ascii="Arial" w:hAnsi="Arial" w:cs="Arial"/>
          <w:sz w:val="24"/>
          <w:szCs w:val="24"/>
        </w:rPr>
        <w:t>.</w:t>
      </w:r>
      <w:r w:rsidR="00996181">
        <w:rPr>
          <w:rFonts w:ascii="Arial" w:hAnsi="Arial" w:cs="Arial"/>
          <w:sz w:val="24"/>
          <w:szCs w:val="24"/>
        </w:rPr>
        <w:t xml:space="preserve">  </w:t>
      </w:r>
    </w:p>
    <w:p w14:paraId="71140B66" w14:textId="6030FC73" w:rsidR="00996181" w:rsidRPr="00996181" w:rsidRDefault="00996181" w:rsidP="00996181">
      <w:pPr>
        <w:pStyle w:val="ListParagraph"/>
        <w:numPr>
          <w:ilvl w:val="0"/>
          <w:numId w:val="15"/>
        </w:numPr>
        <w:spacing w:after="120" w:line="240" w:lineRule="auto"/>
        <w:jc w:val="both"/>
        <w:rPr>
          <w:rFonts w:ascii="Arial" w:hAnsi="Arial" w:cs="Arial"/>
          <w:b/>
          <w:sz w:val="24"/>
          <w:szCs w:val="24"/>
        </w:rPr>
      </w:pPr>
      <w:r>
        <w:rPr>
          <w:rFonts w:ascii="Arial" w:hAnsi="Arial" w:cs="Arial"/>
          <w:b/>
          <w:sz w:val="24"/>
          <w:szCs w:val="24"/>
        </w:rPr>
        <w:t>The Commission should not force customers to pay for comparable costs twice</w:t>
      </w:r>
    </w:p>
    <w:p w14:paraId="3D824E2B" w14:textId="17391C5F" w:rsidR="00996181" w:rsidRDefault="00065455" w:rsidP="00B92C32">
      <w:pPr>
        <w:spacing w:after="120" w:line="480" w:lineRule="auto"/>
        <w:ind w:firstLine="720"/>
        <w:jc w:val="both"/>
        <w:rPr>
          <w:rFonts w:ascii="Arial" w:hAnsi="Arial" w:cs="Arial"/>
          <w:sz w:val="24"/>
          <w:szCs w:val="24"/>
        </w:rPr>
      </w:pPr>
      <w:r>
        <w:rPr>
          <w:rFonts w:ascii="Arial" w:hAnsi="Arial" w:cs="Arial"/>
          <w:sz w:val="24"/>
          <w:szCs w:val="24"/>
        </w:rPr>
        <w:t>Staff</w:t>
      </w:r>
      <w:r w:rsidR="00E26C79">
        <w:rPr>
          <w:rFonts w:ascii="Arial" w:hAnsi="Arial" w:cs="Arial"/>
          <w:sz w:val="24"/>
          <w:szCs w:val="24"/>
        </w:rPr>
        <w:t xml:space="preserve"> </w:t>
      </w:r>
      <w:r w:rsidR="00D44D69">
        <w:rPr>
          <w:rFonts w:ascii="Arial" w:hAnsi="Arial" w:cs="Arial"/>
          <w:sz w:val="24"/>
          <w:szCs w:val="24"/>
        </w:rPr>
        <w:t xml:space="preserve">claims that </w:t>
      </w:r>
      <w:r>
        <w:rPr>
          <w:rFonts w:ascii="Arial" w:hAnsi="Arial" w:cs="Arial"/>
          <w:sz w:val="24"/>
          <w:szCs w:val="24"/>
        </w:rPr>
        <w:t>the Stipulation would not require shopping customers to</w:t>
      </w:r>
      <w:r w:rsidR="00D44D69">
        <w:rPr>
          <w:rFonts w:ascii="Arial" w:hAnsi="Arial" w:cs="Arial"/>
          <w:sz w:val="24"/>
          <w:szCs w:val="24"/>
        </w:rPr>
        <w:t xml:space="preserve"> pay for costs twice</w:t>
      </w:r>
      <w:r w:rsidR="00B92C32">
        <w:rPr>
          <w:rFonts w:ascii="Arial" w:hAnsi="Arial" w:cs="Arial"/>
          <w:sz w:val="24"/>
          <w:szCs w:val="24"/>
        </w:rPr>
        <w:t>.</w:t>
      </w:r>
      <w:r w:rsidR="00A222C4">
        <w:rPr>
          <w:rStyle w:val="FootnoteReference"/>
          <w:rFonts w:ascii="Arial" w:hAnsi="Arial" w:cs="Arial"/>
          <w:sz w:val="24"/>
          <w:szCs w:val="24"/>
        </w:rPr>
        <w:footnoteReference w:id="13"/>
      </w:r>
      <w:r w:rsidR="00B92C32">
        <w:rPr>
          <w:rFonts w:ascii="Arial" w:hAnsi="Arial" w:cs="Arial"/>
          <w:sz w:val="24"/>
          <w:szCs w:val="24"/>
        </w:rPr>
        <w:t xml:space="preserve">  Staff’s argument is</w:t>
      </w:r>
      <w:r w:rsidR="00D44D69">
        <w:rPr>
          <w:rFonts w:ascii="Arial" w:hAnsi="Arial" w:cs="Arial"/>
          <w:sz w:val="24"/>
          <w:szCs w:val="24"/>
        </w:rPr>
        <w:t xml:space="preserve"> based upon the same flawed assumption that all costs incurred by an EDU are appropriately functionalized to providing non-competitive </w:t>
      </w:r>
      <w:r w:rsidR="00D44D69">
        <w:rPr>
          <w:rFonts w:ascii="Arial" w:hAnsi="Arial" w:cs="Arial"/>
          <w:sz w:val="24"/>
          <w:szCs w:val="24"/>
        </w:rPr>
        <w:lastRenderedPageBreak/>
        <w:t xml:space="preserve">distribution service.  Saying that, however, doesn’t make it so.  </w:t>
      </w:r>
      <w:r w:rsidR="00A222C4">
        <w:rPr>
          <w:rFonts w:ascii="Arial" w:hAnsi="Arial" w:cs="Arial"/>
          <w:sz w:val="24"/>
          <w:szCs w:val="24"/>
        </w:rPr>
        <w:t xml:space="preserve">And, as discussed below, </w:t>
      </w:r>
      <w:r w:rsidR="00D44D69">
        <w:rPr>
          <w:rFonts w:ascii="Arial" w:hAnsi="Arial" w:cs="Arial"/>
          <w:sz w:val="24"/>
          <w:szCs w:val="24"/>
        </w:rPr>
        <w:t xml:space="preserve">Staff itself concedes that there are SSO-related costs proposed for recovery in distribution rates.  </w:t>
      </w:r>
    </w:p>
    <w:p w14:paraId="5CD6B9FA" w14:textId="7926B281" w:rsidR="00B92C32" w:rsidRPr="00996181" w:rsidRDefault="00D44D69" w:rsidP="00996181">
      <w:pPr>
        <w:spacing w:after="120" w:line="480" w:lineRule="auto"/>
        <w:ind w:firstLine="720"/>
        <w:jc w:val="both"/>
        <w:rPr>
          <w:rFonts w:ascii="Arial" w:eastAsia="Arial" w:hAnsi="Arial" w:cs="Arial"/>
          <w:bCs/>
          <w:sz w:val="24"/>
          <w:szCs w:val="24"/>
        </w:rPr>
      </w:pPr>
      <w:r>
        <w:rPr>
          <w:rFonts w:ascii="Arial" w:hAnsi="Arial" w:cs="Arial"/>
          <w:sz w:val="24"/>
          <w:szCs w:val="24"/>
        </w:rPr>
        <w:t>These costs are comparable to the costs that CRES providers must incur</w:t>
      </w:r>
      <w:r w:rsidR="00B92C32">
        <w:rPr>
          <w:rFonts w:ascii="Arial" w:hAnsi="Arial" w:cs="Arial"/>
          <w:sz w:val="24"/>
          <w:szCs w:val="24"/>
        </w:rPr>
        <w:t xml:space="preserve">.  </w:t>
      </w:r>
      <w:r w:rsidR="00B92C32">
        <w:rPr>
          <w:rFonts w:ascii="Arial" w:eastAsia="Arial" w:hAnsi="Arial" w:cs="Arial"/>
          <w:bCs/>
          <w:sz w:val="24"/>
          <w:szCs w:val="24"/>
        </w:rPr>
        <w:t>For example, as discussed at length in the testimony of Ed Hess</w:t>
      </w:r>
      <w:r w:rsidR="00996181">
        <w:rPr>
          <w:rStyle w:val="FootnoteReference"/>
          <w:rFonts w:ascii="Arial" w:eastAsia="Arial" w:hAnsi="Arial" w:cs="Arial"/>
          <w:bCs/>
          <w:sz w:val="24"/>
          <w:szCs w:val="24"/>
        </w:rPr>
        <w:footnoteReference w:id="14"/>
      </w:r>
      <w:r w:rsidR="00B92C32">
        <w:rPr>
          <w:rFonts w:ascii="Arial" w:eastAsia="Arial" w:hAnsi="Arial" w:cs="Arial"/>
          <w:bCs/>
          <w:sz w:val="24"/>
          <w:szCs w:val="24"/>
        </w:rPr>
        <w:t xml:space="preserve"> and the hearing, both DP&amp;L and CRES providers incur the following comparable expenses:</w:t>
      </w:r>
    </w:p>
    <w:p w14:paraId="34A9A61B"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Call center infrastructure and employees to maintain appropriate customer service and customer complaints for SSO customers;</w:t>
      </w:r>
    </w:p>
    <w:p w14:paraId="6B561E11"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 xml:space="preserve">Printing and postage to communicate with SSO customers; </w:t>
      </w:r>
    </w:p>
    <w:p w14:paraId="61CC5E38" w14:textId="77777777" w:rsidR="00B92C32" w:rsidRPr="000D7232" w:rsidRDefault="00B92C32" w:rsidP="00B92C32">
      <w:pPr>
        <w:pStyle w:val="BodyText"/>
        <w:numPr>
          <w:ilvl w:val="1"/>
          <w:numId w:val="6"/>
        </w:numPr>
        <w:spacing w:after="240" w:line="240" w:lineRule="auto"/>
        <w:rPr>
          <w:rFonts w:ascii="Arial" w:hAnsi="Arial" w:cs="Arial"/>
          <w:sz w:val="24"/>
          <w:szCs w:val="24"/>
        </w:rPr>
      </w:pPr>
      <w:r w:rsidRPr="000D7232">
        <w:rPr>
          <w:rFonts w:ascii="Arial" w:hAnsi="Arial" w:cs="Arial"/>
          <w:sz w:val="24"/>
          <w:szCs w:val="24"/>
        </w:rPr>
        <w:t>Accounting infrastructure and employees to establish and maintain records and data sufficient to verify compliance with any Commission rules for SSO customers;</w:t>
      </w:r>
    </w:p>
    <w:p w14:paraId="784787D8"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IT employees, infrastructure, and software;</w:t>
      </w:r>
    </w:p>
    <w:p w14:paraId="6B33732F" w14:textId="77777777" w:rsidR="00B92C32" w:rsidRPr="000D7232" w:rsidRDefault="00B92C32" w:rsidP="00B92C32">
      <w:pPr>
        <w:pStyle w:val="BodyText"/>
        <w:numPr>
          <w:ilvl w:val="1"/>
          <w:numId w:val="6"/>
        </w:numPr>
        <w:spacing w:after="240" w:line="240" w:lineRule="auto"/>
        <w:rPr>
          <w:rFonts w:ascii="Arial" w:hAnsi="Arial" w:cs="Arial"/>
          <w:sz w:val="24"/>
          <w:szCs w:val="24"/>
        </w:rPr>
      </w:pPr>
      <w:r w:rsidRPr="000D7232">
        <w:rPr>
          <w:rFonts w:ascii="Arial" w:hAnsi="Arial" w:cs="Arial"/>
          <w:sz w:val="24"/>
          <w:szCs w:val="24"/>
        </w:rPr>
        <w:t>Administrative and general salaries and infrastructure to comply with the regulatory rule requirements for the SSO service and oversee minimum standards for service quality, safety and reliability and to manage the risks of providing the service;</w:t>
      </w:r>
    </w:p>
    <w:p w14:paraId="2FD6CCE2"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Outside and inside legal, regulatory, and compliance personnel to comply with the regulatory rule requirements for the SSO;</w:t>
      </w:r>
    </w:p>
    <w:p w14:paraId="5E7EC8DA"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 xml:space="preserve">Administrative and processing costs for uncollectible; </w:t>
      </w:r>
    </w:p>
    <w:p w14:paraId="40EC295D"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Office space for employees to provide these services;</w:t>
      </w:r>
    </w:p>
    <w:p w14:paraId="3EFBAA47" w14:textId="77777777" w:rsidR="00B92C32" w:rsidRPr="000D7232" w:rsidRDefault="00B92C32" w:rsidP="00B92C32">
      <w:pPr>
        <w:pStyle w:val="Heading2"/>
        <w:numPr>
          <w:ilvl w:val="1"/>
          <w:numId w:val="6"/>
        </w:numPr>
        <w:spacing w:after="240" w:line="240" w:lineRule="auto"/>
        <w:ind w:right="581"/>
        <w:rPr>
          <w:rFonts w:ascii="Arial" w:hAnsi="Arial" w:cs="Arial"/>
          <w:w w:val="105"/>
          <w:szCs w:val="24"/>
        </w:rPr>
      </w:pPr>
      <w:r w:rsidRPr="000D7232">
        <w:rPr>
          <w:rFonts w:ascii="Arial" w:hAnsi="Arial" w:cs="Arial"/>
          <w:w w:val="105"/>
          <w:szCs w:val="24"/>
        </w:rPr>
        <w:t>The regulatory assessments for the PUCO and the Ohio Consumers’ Counsel (OCC) that are based on SSO generation revenue, but are recovered through distribution rates;</w:t>
      </w:r>
    </w:p>
    <w:p w14:paraId="34C5A2CA" w14:textId="77777777" w:rsidR="00996181" w:rsidRPr="00996181" w:rsidRDefault="00B92C32" w:rsidP="00996181">
      <w:pPr>
        <w:pStyle w:val="BodyText"/>
        <w:numPr>
          <w:ilvl w:val="1"/>
          <w:numId w:val="6"/>
        </w:numPr>
        <w:spacing w:after="240" w:line="240" w:lineRule="auto"/>
        <w:rPr>
          <w:rFonts w:ascii="Arial" w:hAnsi="Arial" w:cs="Arial"/>
          <w:sz w:val="24"/>
          <w:szCs w:val="24"/>
        </w:rPr>
      </w:pPr>
      <w:r w:rsidRPr="000D7232">
        <w:rPr>
          <w:rFonts w:ascii="Arial" w:hAnsi="Arial" w:cs="Arial"/>
          <w:w w:val="105"/>
          <w:sz w:val="24"/>
          <w:szCs w:val="24"/>
        </w:rPr>
        <w:lastRenderedPageBreak/>
        <w:t>Taxes Other than Income Taxes such as labor taxes, property taxes and excise taxes associated with other costs to support SSO service.</w:t>
      </w:r>
      <w:r>
        <w:rPr>
          <w:rStyle w:val="FootnoteReference"/>
          <w:rFonts w:ascii="Arial" w:hAnsi="Arial" w:cs="Arial"/>
          <w:w w:val="105"/>
          <w:sz w:val="24"/>
          <w:szCs w:val="24"/>
        </w:rPr>
        <w:footnoteReference w:id="15"/>
      </w:r>
    </w:p>
    <w:p w14:paraId="482D1EA4" w14:textId="4FEC6ACB" w:rsidR="00B92C32" w:rsidRDefault="00996181" w:rsidP="00996181">
      <w:pPr>
        <w:pStyle w:val="BodyText"/>
        <w:spacing w:after="240" w:line="480" w:lineRule="auto"/>
        <w:jc w:val="both"/>
        <w:rPr>
          <w:rFonts w:ascii="Arial" w:hAnsi="Arial" w:cs="Arial"/>
          <w:sz w:val="24"/>
          <w:szCs w:val="24"/>
        </w:rPr>
      </w:pPr>
      <w:r>
        <w:rPr>
          <w:rFonts w:ascii="Arial" w:hAnsi="Arial" w:cs="Arial"/>
          <w:sz w:val="24"/>
          <w:szCs w:val="24"/>
        </w:rPr>
        <w:t>T</w:t>
      </w:r>
      <w:r w:rsidR="00D44D69" w:rsidRPr="00996181">
        <w:rPr>
          <w:rFonts w:ascii="Arial" w:hAnsi="Arial" w:cs="Arial"/>
          <w:sz w:val="24"/>
          <w:szCs w:val="24"/>
        </w:rPr>
        <w:t xml:space="preserve">herefore, shopping customers would be required to pay for these costs twice. This result is barred by Ohio law, contrary to state policy and the public interest.  </w:t>
      </w:r>
    </w:p>
    <w:p w14:paraId="776F2CBC" w14:textId="18CE37B8" w:rsidR="00B816ED" w:rsidRDefault="00B816ED" w:rsidP="00996181">
      <w:pPr>
        <w:pStyle w:val="BodyText"/>
        <w:spacing w:after="240" w:line="480" w:lineRule="auto"/>
        <w:jc w:val="both"/>
        <w:rPr>
          <w:rFonts w:ascii="Arial" w:hAnsi="Arial" w:cs="Arial"/>
          <w:sz w:val="24"/>
          <w:szCs w:val="24"/>
        </w:rPr>
      </w:pPr>
      <w:r>
        <w:rPr>
          <w:rFonts w:ascii="Arial" w:hAnsi="Arial" w:cs="Arial"/>
          <w:sz w:val="24"/>
          <w:szCs w:val="24"/>
        </w:rPr>
        <w:tab/>
        <w:t xml:space="preserve">In some instances, </w:t>
      </w:r>
      <w:r w:rsidR="00A222C4">
        <w:rPr>
          <w:rFonts w:ascii="Arial" w:hAnsi="Arial" w:cs="Arial"/>
          <w:sz w:val="24"/>
          <w:szCs w:val="24"/>
        </w:rPr>
        <w:t>Staff acknowledges that there is disparate treatment of</w:t>
      </w:r>
      <w:r>
        <w:rPr>
          <w:rFonts w:ascii="Arial" w:hAnsi="Arial" w:cs="Arial"/>
          <w:sz w:val="24"/>
          <w:szCs w:val="24"/>
        </w:rPr>
        <w:t xml:space="preserve"> comparable costs, such as with respect to unc</w:t>
      </w:r>
      <w:r w:rsidR="00A222C4">
        <w:rPr>
          <w:rFonts w:ascii="Arial" w:hAnsi="Arial" w:cs="Arial"/>
          <w:sz w:val="24"/>
          <w:szCs w:val="24"/>
        </w:rPr>
        <w:t>ollectible expense.  But Staff</w:t>
      </w:r>
      <w:r>
        <w:rPr>
          <w:rFonts w:ascii="Arial" w:hAnsi="Arial" w:cs="Arial"/>
          <w:sz w:val="24"/>
          <w:szCs w:val="24"/>
        </w:rPr>
        <w:t xml:space="preserve"> attempts to claim CRES providers are put on a level playing field by the payment priority.</w:t>
      </w:r>
      <w:r w:rsidR="00A222C4">
        <w:rPr>
          <w:rStyle w:val="FootnoteReference"/>
          <w:rFonts w:ascii="Arial" w:hAnsi="Arial" w:cs="Arial"/>
          <w:sz w:val="24"/>
          <w:szCs w:val="24"/>
        </w:rPr>
        <w:footnoteReference w:id="16"/>
      </w:r>
      <w:r>
        <w:rPr>
          <w:rFonts w:ascii="Arial" w:hAnsi="Arial" w:cs="Arial"/>
          <w:sz w:val="24"/>
          <w:szCs w:val="24"/>
        </w:rPr>
        <w:t xml:space="preserve">  This is not true.  </w:t>
      </w:r>
    </w:p>
    <w:p w14:paraId="25637656" w14:textId="3B9B1963" w:rsidR="00593C0C" w:rsidRDefault="00B816ED" w:rsidP="00B816ED">
      <w:pPr>
        <w:pStyle w:val="BodyText"/>
        <w:spacing w:after="240" w:line="480" w:lineRule="auto"/>
        <w:ind w:firstLine="720"/>
        <w:jc w:val="both"/>
        <w:rPr>
          <w:rFonts w:ascii="Arial" w:hAnsi="Arial" w:cs="Arial"/>
          <w:sz w:val="24"/>
          <w:szCs w:val="24"/>
        </w:rPr>
      </w:pPr>
      <w:r>
        <w:rPr>
          <w:rFonts w:ascii="Arial" w:hAnsi="Arial" w:cs="Arial"/>
          <w:sz w:val="24"/>
          <w:szCs w:val="24"/>
        </w:rPr>
        <w:t>Initia</w:t>
      </w:r>
      <w:r w:rsidR="00B8607A">
        <w:rPr>
          <w:rFonts w:ascii="Arial" w:hAnsi="Arial" w:cs="Arial"/>
          <w:sz w:val="24"/>
          <w:szCs w:val="24"/>
        </w:rPr>
        <w:t>lly, the payment priority does not</w:t>
      </w:r>
      <w:r>
        <w:rPr>
          <w:rFonts w:ascii="Arial" w:hAnsi="Arial" w:cs="Arial"/>
          <w:sz w:val="24"/>
          <w:szCs w:val="24"/>
        </w:rPr>
        <w:t xml:space="preserve"> put CRES</w:t>
      </w:r>
      <w:r w:rsidR="00B8607A">
        <w:rPr>
          <w:rFonts w:ascii="Arial" w:hAnsi="Arial" w:cs="Arial"/>
          <w:sz w:val="24"/>
          <w:szCs w:val="24"/>
        </w:rPr>
        <w:t xml:space="preserve"> providers</w:t>
      </w:r>
      <w:r>
        <w:rPr>
          <w:rFonts w:ascii="Arial" w:hAnsi="Arial" w:cs="Arial"/>
          <w:sz w:val="24"/>
          <w:szCs w:val="24"/>
        </w:rPr>
        <w:t xml:space="preserve"> on level footing</w:t>
      </w:r>
      <w:r w:rsidR="00A222C4">
        <w:rPr>
          <w:rFonts w:ascii="Arial" w:hAnsi="Arial" w:cs="Arial"/>
          <w:sz w:val="24"/>
          <w:szCs w:val="24"/>
        </w:rPr>
        <w:t xml:space="preserve"> with DP&amp;L</w:t>
      </w:r>
      <w:r>
        <w:rPr>
          <w:rFonts w:ascii="Arial" w:hAnsi="Arial" w:cs="Arial"/>
          <w:sz w:val="24"/>
          <w:szCs w:val="24"/>
        </w:rPr>
        <w:t xml:space="preserve"> because it doesn’t </w:t>
      </w:r>
      <w:r w:rsidR="00A222C4">
        <w:rPr>
          <w:rFonts w:ascii="Arial" w:hAnsi="Arial" w:cs="Arial"/>
          <w:sz w:val="24"/>
          <w:szCs w:val="24"/>
        </w:rPr>
        <w:t xml:space="preserve">make CRES providers whole for uncollected generation-related expenses </w:t>
      </w:r>
      <w:r>
        <w:rPr>
          <w:rFonts w:ascii="Arial" w:hAnsi="Arial" w:cs="Arial"/>
          <w:sz w:val="24"/>
          <w:szCs w:val="24"/>
        </w:rPr>
        <w:t>or overhead expenses associated with the collection of said expense.</w:t>
      </w:r>
      <w:r w:rsidR="00B8607A">
        <w:rPr>
          <w:rFonts w:ascii="Arial" w:hAnsi="Arial" w:cs="Arial"/>
          <w:sz w:val="24"/>
          <w:szCs w:val="24"/>
        </w:rPr>
        <w:t xml:space="preserve">  In other words, any time a cus</w:t>
      </w:r>
      <w:r w:rsidR="00065455">
        <w:rPr>
          <w:rFonts w:ascii="Arial" w:hAnsi="Arial" w:cs="Arial"/>
          <w:sz w:val="24"/>
          <w:szCs w:val="24"/>
        </w:rPr>
        <w:t>tomer does not pay their CRES charges</w:t>
      </w:r>
      <w:r w:rsidR="00B8607A">
        <w:rPr>
          <w:rFonts w:ascii="Arial" w:hAnsi="Arial" w:cs="Arial"/>
          <w:sz w:val="24"/>
          <w:szCs w:val="24"/>
        </w:rPr>
        <w:t xml:space="preserve">, the </w:t>
      </w:r>
      <w:r w:rsidR="00065455">
        <w:rPr>
          <w:rFonts w:ascii="Arial" w:hAnsi="Arial" w:cs="Arial"/>
          <w:sz w:val="24"/>
          <w:szCs w:val="24"/>
        </w:rPr>
        <w:t>CRES provider will lose</w:t>
      </w:r>
      <w:r w:rsidR="00B8607A">
        <w:rPr>
          <w:rFonts w:ascii="Arial" w:hAnsi="Arial" w:cs="Arial"/>
          <w:sz w:val="24"/>
          <w:szCs w:val="24"/>
        </w:rPr>
        <w:t xml:space="preserve"> revenue and </w:t>
      </w:r>
      <w:r w:rsidR="00065455">
        <w:rPr>
          <w:rFonts w:ascii="Arial" w:hAnsi="Arial" w:cs="Arial"/>
          <w:sz w:val="24"/>
          <w:szCs w:val="24"/>
        </w:rPr>
        <w:t xml:space="preserve">incur </w:t>
      </w:r>
      <w:r w:rsidR="00B8607A">
        <w:rPr>
          <w:rFonts w:ascii="Arial" w:hAnsi="Arial" w:cs="Arial"/>
          <w:sz w:val="24"/>
          <w:szCs w:val="24"/>
        </w:rPr>
        <w:t>overhead expenses related to the recovery of the lost revenue.</w:t>
      </w:r>
      <w:r w:rsidR="00065455">
        <w:rPr>
          <w:rFonts w:ascii="Arial" w:hAnsi="Arial" w:cs="Arial"/>
          <w:sz w:val="24"/>
          <w:szCs w:val="24"/>
        </w:rPr>
        <w:t xml:space="preserve">  </w:t>
      </w:r>
    </w:p>
    <w:p w14:paraId="4DC38EEA" w14:textId="66DC1D78" w:rsidR="00B816ED" w:rsidRDefault="00065455" w:rsidP="00B816ED">
      <w:pPr>
        <w:pStyle w:val="BodyText"/>
        <w:spacing w:after="240" w:line="480" w:lineRule="auto"/>
        <w:ind w:firstLine="720"/>
        <w:jc w:val="both"/>
        <w:rPr>
          <w:rFonts w:ascii="Arial" w:hAnsi="Arial" w:cs="Arial"/>
          <w:sz w:val="24"/>
          <w:szCs w:val="24"/>
        </w:rPr>
      </w:pPr>
      <w:r>
        <w:rPr>
          <w:rFonts w:ascii="Arial" w:hAnsi="Arial" w:cs="Arial"/>
          <w:sz w:val="24"/>
          <w:szCs w:val="24"/>
        </w:rPr>
        <w:t>DP&amp;L, however, faces no such risk—it is made whole for both its “charge offs” and overhead expenses.</w:t>
      </w:r>
      <w:r w:rsidR="00B8607A">
        <w:rPr>
          <w:rFonts w:ascii="Arial" w:hAnsi="Arial" w:cs="Arial"/>
          <w:sz w:val="24"/>
          <w:szCs w:val="24"/>
        </w:rPr>
        <w:t xml:space="preserve">  While the “charge offs” as</w:t>
      </w:r>
      <w:r>
        <w:rPr>
          <w:rFonts w:ascii="Arial" w:hAnsi="Arial" w:cs="Arial"/>
          <w:sz w:val="24"/>
          <w:szCs w:val="24"/>
        </w:rPr>
        <w:t>sociated with</w:t>
      </w:r>
      <w:r w:rsidR="00B8607A">
        <w:rPr>
          <w:rFonts w:ascii="Arial" w:hAnsi="Arial" w:cs="Arial"/>
          <w:sz w:val="24"/>
          <w:szCs w:val="24"/>
        </w:rPr>
        <w:t xml:space="preserve"> SSO</w:t>
      </w:r>
      <w:r>
        <w:rPr>
          <w:rFonts w:ascii="Arial" w:hAnsi="Arial" w:cs="Arial"/>
          <w:sz w:val="24"/>
          <w:szCs w:val="24"/>
        </w:rPr>
        <w:t xml:space="preserve"> receivables</w:t>
      </w:r>
      <w:r w:rsidR="00B8607A">
        <w:rPr>
          <w:rFonts w:ascii="Arial" w:hAnsi="Arial" w:cs="Arial"/>
          <w:sz w:val="24"/>
          <w:szCs w:val="24"/>
        </w:rPr>
        <w:t xml:space="preserve"> have been allocated to a bypassable rider, the Stipulation fails to address the overhead component </w:t>
      </w:r>
      <w:r w:rsidR="00B8607A">
        <w:rPr>
          <w:rFonts w:ascii="Arial" w:hAnsi="Arial" w:cs="Arial"/>
          <w:sz w:val="24"/>
          <w:szCs w:val="24"/>
        </w:rPr>
        <w:lastRenderedPageBreak/>
        <w:t>(comparable to CRES providers overhead) proposed for recovery through distribution rates.</w:t>
      </w:r>
      <w:r>
        <w:rPr>
          <w:rStyle w:val="FootnoteReference"/>
          <w:rFonts w:ascii="Arial" w:hAnsi="Arial" w:cs="Arial"/>
          <w:sz w:val="24"/>
          <w:szCs w:val="24"/>
        </w:rPr>
        <w:footnoteReference w:id="17"/>
      </w:r>
    </w:p>
    <w:p w14:paraId="58FC9821" w14:textId="5FA91CCF" w:rsidR="00B816ED" w:rsidRDefault="00B816ED" w:rsidP="00B816ED">
      <w:pPr>
        <w:pStyle w:val="BodyText"/>
        <w:spacing w:after="240" w:line="480" w:lineRule="auto"/>
        <w:ind w:firstLine="720"/>
        <w:jc w:val="both"/>
        <w:rPr>
          <w:rFonts w:ascii="Arial" w:hAnsi="Arial" w:cs="Arial"/>
          <w:sz w:val="24"/>
          <w:szCs w:val="24"/>
        </w:rPr>
      </w:pPr>
      <w:r>
        <w:rPr>
          <w:rFonts w:ascii="Arial" w:hAnsi="Arial" w:cs="Arial"/>
          <w:sz w:val="24"/>
          <w:szCs w:val="24"/>
        </w:rPr>
        <w:t>Moreover, the pa</w:t>
      </w:r>
      <w:r w:rsidR="00A222C4">
        <w:rPr>
          <w:rFonts w:ascii="Arial" w:hAnsi="Arial" w:cs="Arial"/>
          <w:sz w:val="24"/>
          <w:szCs w:val="24"/>
        </w:rPr>
        <w:t>yment priority is appropriate because</w:t>
      </w:r>
      <w:r>
        <w:rPr>
          <w:rFonts w:ascii="Arial" w:hAnsi="Arial" w:cs="Arial"/>
          <w:sz w:val="24"/>
          <w:szCs w:val="24"/>
        </w:rPr>
        <w:t xml:space="preserve"> CRES providers </w:t>
      </w:r>
      <w:r w:rsidR="006F27F7">
        <w:rPr>
          <w:rFonts w:ascii="Arial" w:hAnsi="Arial" w:cs="Arial"/>
          <w:sz w:val="24"/>
          <w:szCs w:val="24"/>
        </w:rPr>
        <w:t>have no authority to disconnect</w:t>
      </w:r>
      <w:r w:rsidR="00CE3FE6">
        <w:rPr>
          <w:rFonts w:ascii="Arial" w:hAnsi="Arial" w:cs="Arial"/>
          <w:sz w:val="24"/>
          <w:szCs w:val="24"/>
        </w:rPr>
        <w:t xml:space="preserve"> for non-payment</w:t>
      </w:r>
      <w:r w:rsidR="006F27F7">
        <w:rPr>
          <w:rFonts w:ascii="Arial" w:hAnsi="Arial" w:cs="Arial"/>
          <w:sz w:val="24"/>
          <w:szCs w:val="24"/>
        </w:rPr>
        <w:t>.</w:t>
      </w:r>
      <w:r w:rsidR="006F27F7">
        <w:rPr>
          <w:rStyle w:val="FootnoteReference"/>
          <w:rFonts w:ascii="Arial" w:hAnsi="Arial" w:cs="Arial"/>
          <w:sz w:val="24"/>
          <w:szCs w:val="24"/>
        </w:rPr>
        <w:footnoteReference w:id="18"/>
      </w:r>
      <w:r w:rsidR="006F27F7">
        <w:rPr>
          <w:rFonts w:ascii="Arial" w:hAnsi="Arial" w:cs="Arial"/>
          <w:sz w:val="24"/>
          <w:szCs w:val="24"/>
        </w:rPr>
        <w:t xml:space="preserve">  Given this fact, CRES providers </w:t>
      </w:r>
      <w:r>
        <w:rPr>
          <w:rFonts w:ascii="Arial" w:hAnsi="Arial" w:cs="Arial"/>
          <w:sz w:val="24"/>
          <w:szCs w:val="24"/>
        </w:rPr>
        <w:t>have an uphill battle from the start to collec</w:t>
      </w:r>
      <w:r w:rsidR="00A222C4">
        <w:rPr>
          <w:rFonts w:ascii="Arial" w:hAnsi="Arial" w:cs="Arial"/>
          <w:sz w:val="24"/>
          <w:szCs w:val="24"/>
        </w:rPr>
        <w:t>t relative to the EDU.  Regardless</w:t>
      </w:r>
      <w:r>
        <w:rPr>
          <w:rFonts w:ascii="Arial" w:hAnsi="Arial" w:cs="Arial"/>
          <w:sz w:val="24"/>
          <w:szCs w:val="24"/>
        </w:rPr>
        <w:t>, Staff ignores that the EDU has second and third place in the payment priority.  Thus, charges are paid to CRES for past due, then to EDU for past due, then EDU current, then finally CRES current.</w:t>
      </w:r>
      <w:r w:rsidR="006F27F7">
        <w:rPr>
          <w:rFonts w:ascii="Arial" w:hAnsi="Arial" w:cs="Arial"/>
          <w:sz w:val="24"/>
          <w:szCs w:val="24"/>
        </w:rPr>
        <w:t xml:space="preserve">  Thus, what CRES providers gain in the first leg of the payment priority, they give up in the second and third priority to the EDU. </w:t>
      </w:r>
      <w:r>
        <w:rPr>
          <w:rFonts w:ascii="Arial" w:hAnsi="Arial" w:cs="Arial"/>
          <w:sz w:val="24"/>
          <w:szCs w:val="24"/>
        </w:rPr>
        <w:t xml:space="preserve"> So the playing field is</w:t>
      </w:r>
      <w:r w:rsidR="00CE3FE6">
        <w:rPr>
          <w:rFonts w:ascii="Arial" w:hAnsi="Arial" w:cs="Arial"/>
          <w:sz w:val="24"/>
          <w:szCs w:val="24"/>
        </w:rPr>
        <w:t xml:space="preserve"> not as level as Staff alleges, and Staff’s argument does not justify double charging CRES customers for comparable SSO-related costs.</w:t>
      </w:r>
    </w:p>
    <w:p w14:paraId="60F97DF7" w14:textId="0970C524" w:rsidR="004052C5" w:rsidRPr="007D60FE" w:rsidRDefault="002F1923" w:rsidP="004052C5">
      <w:pPr>
        <w:pStyle w:val="ListParagraph"/>
        <w:numPr>
          <w:ilvl w:val="0"/>
          <w:numId w:val="15"/>
        </w:numPr>
        <w:spacing w:after="120" w:line="240" w:lineRule="auto"/>
        <w:jc w:val="both"/>
        <w:rPr>
          <w:rFonts w:ascii="Arial" w:hAnsi="Arial" w:cs="Arial"/>
          <w:b/>
          <w:sz w:val="24"/>
          <w:szCs w:val="24"/>
        </w:rPr>
      </w:pPr>
      <w:r>
        <w:rPr>
          <w:rFonts w:ascii="Arial" w:hAnsi="Arial" w:cs="Arial"/>
          <w:b/>
          <w:sz w:val="24"/>
          <w:szCs w:val="24"/>
        </w:rPr>
        <w:t xml:space="preserve">DP&amp;L’s </w:t>
      </w:r>
      <w:r w:rsidR="004052C5">
        <w:rPr>
          <w:rFonts w:ascii="Arial" w:hAnsi="Arial" w:cs="Arial"/>
          <w:b/>
          <w:sz w:val="24"/>
          <w:szCs w:val="24"/>
        </w:rPr>
        <w:t>ncurrence of choice-related costs pursuant to its role as a non-competitive distribution utility do</w:t>
      </w:r>
      <w:r w:rsidR="00996181">
        <w:rPr>
          <w:rFonts w:ascii="Arial" w:hAnsi="Arial" w:cs="Arial"/>
          <w:b/>
          <w:sz w:val="24"/>
          <w:szCs w:val="24"/>
        </w:rPr>
        <w:t>es</w:t>
      </w:r>
      <w:r w:rsidR="004052C5">
        <w:rPr>
          <w:rFonts w:ascii="Arial" w:hAnsi="Arial" w:cs="Arial"/>
          <w:b/>
          <w:sz w:val="24"/>
          <w:szCs w:val="24"/>
        </w:rPr>
        <w:t xml:space="preserve"> not justify subsidizing the competitive SSO product</w:t>
      </w:r>
    </w:p>
    <w:p w14:paraId="3B034215" w14:textId="52ED1130" w:rsidR="00996181" w:rsidRPr="007826CF" w:rsidRDefault="00996181" w:rsidP="00996181">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As what appears to be an affirmative defense to the SSO-subsidization they propose, Staff and DP&amp;L claim that no unbundling should occur because DP&amp;L incurs costs related to the faci</w:t>
      </w:r>
      <w:r w:rsidR="006F27F7">
        <w:rPr>
          <w:rFonts w:ascii="Arial" w:eastAsia="Arial" w:hAnsi="Arial" w:cs="Arial"/>
          <w:bCs/>
          <w:sz w:val="24"/>
          <w:szCs w:val="24"/>
        </w:rPr>
        <w:t xml:space="preserve">litation of the choice market. </w:t>
      </w:r>
      <w:r w:rsidR="00CE3FE6">
        <w:rPr>
          <w:rStyle w:val="FootnoteReference"/>
          <w:rFonts w:ascii="Arial" w:eastAsia="Arial" w:hAnsi="Arial" w:cs="Arial"/>
          <w:bCs/>
          <w:sz w:val="24"/>
          <w:szCs w:val="24"/>
        </w:rPr>
        <w:footnoteReference w:id="19"/>
      </w:r>
      <w:r w:rsidR="006F27F7">
        <w:rPr>
          <w:rFonts w:ascii="Arial" w:eastAsia="Arial" w:hAnsi="Arial" w:cs="Arial"/>
          <w:bCs/>
          <w:sz w:val="24"/>
          <w:szCs w:val="24"/>
        </w:rPr>
        <w:t xml:space="preserve"> Thus, they claim</w:t>
      </w:r>
      <w:r w:rsidR="000B170E">
        <w:rPr>
          <w:rFonts w:ascii="Arial" w:eastAsia="Arial" w:hAnsi="Arial" w:cs="Arial"/>
          <w:bCs/>
          <w:sz w:val="24"/>
          <w:szCs w:val="24"/>
        </w:rPr>
        <w:t xml:space="preserve"> all of the services that DP&amp;L provides to the SSO and choice market are a “distribution function.”</w:t>
      </w:r>
      <w:r w:rsidR="00CE3FE6">
        <w:rPr>
          <w:rStyle w:val="FootnoteReference"/>
          <w:rFonts w:ascii="Arial" w:eastAsia="Arial" w:hAnsi="Arial" w:cs="Arial"/>
          <w:bCs/>
          <w:sz w:val="24"/>
          <w:szCs w:val="24"/>
        </w:rPr>
        <w:footnoteReference w:id="20"/>
      </w:r>
      <w:r>
        <w:rPr>
          <w:rFonts w:ascii="Arial" w:eastAsia="Arial" w:hAnsi="Arial" w:cs="Arial"/>
          <w:bCs/>
          <w:sz w:val="24"/>
          <w:szCs w:val="24"/>
        </w:rPr>
        <w:t xml:space="preserve">   DP&amp;L </w:t>
      </w:r>
      <w:r>
        <w:rPr>
          <w:rFonts w:ascii="Arial" w:eastAsia="Arial" w:hAnsi="Arial" w:cs="Arial"/>
          <w:bCs/>
          <w:sz w:val="24"/>
          <w:szCs w:val="24"/>
        </w:rPr>
        <w:lastRenderedPageBreak/>
        <w:t xml:space="preserve">further claims that, if additional costs are unbundled, </w:t>
      </w:r>
      <w:r w:rsidR="00467BA6" w:rsidRPr="007826CF">
        <w:rPr>
          <w:rFonts w:ascii="Arial" w:eastAsia="Arial" w:hAnsi="Arial" w:cs="Arial"/>
          <w:bCs/>
          <w:sz w:val="24"/>
          <w:szCs w:val="24"/>
        </w:rPr>
        <w:t>all admin associated with choice should be directly allocated to shopping customers.</w:t>
      </w:r>
      <w:r w:rsidR="00CE3FE6">
        <w:rPr>
          <w:rStyle w:val="FootnoteReference"/>
          <w:rFonts w:ascii="Arial" w:eastAsia="Arial" w:hAnsi="Arial" w:cs="Arial"/>
          <w:bCs/>
          <w:sz w:val="24"/>
          <w:szCs w:val="24"/>
        </w:rPr>
        <w:footnoteReference w:id="21"/>
      </w:r>
      <w:r>
        <w:rPr>
          <w:rFonts w:ascii="Arial" w:eastAsia="Arial" w:hAnsi="Arial" w:cs="Arial"/>
          <w:bCs/>
          <w:sz w:val="24"/>
          <w:szCs w:val="24"/>
        </w:rPr>
        <w:t xml:space="preserve">  This attempt to mitigate their proposed subsidization </w:t>
      </w:r>
      <w:r w:rsidR="00D322D3">
        <w:rPr>
          <w:rFonts w:ascii="Arial" w:eastAsia="Arial" w:hAnsi="Arial" w:cs="Arial"/>
          <w:bCs/>
          <w:sz w:val="24"/>
          <w:szCs w:val="24"/>
        </w:rPr>
        <w:t xml:space="preserve">is based upon a weak </w:t>
      </w:r>
      <w:r w:rsidR="006F27F7">
        <w:rPr>
          <w:rFonts w:ascii="Arial" w:eastAsia="Arial" w:hAnsi="Arial" w:cs="Arial"/>
          <w:bCs/>
          <w:sz w:val="24"/>
          <w:szCs w:val="24"/>
        </w:rPr>
        <w:t xml:space="preserve">legal foundation that </w:t>
      </w:r>
      <w:r w:rsidR="006A10D1">
        <w:rPr>
          <w:rFonts w:ascii="Arial" w:eastAsia="Arial" w:hAnsi="Arial" w:cs="Arial"/>
          <w:bCs/>
          <w:sz w:val="24"/>
          <w:szCs w:val="24"/>
        </w:rPr>
        <w:t>collapse</w:t>
      </w:r>
      <w:r w:rsidR="006F27F7">
        <w:rPr>
          <w:rFonts w:ascii="Arial" w:eastAsia="Arial" w:hAnsi="Arial" w:cs="Arial"/>
          <w:bCs/>
          <w:sz w:val="24"/>
          <w:szCs w:val="24"/>
        </w:rPr>
        <w:t>s</w:t>
      </w:r>
      <w:r w:rsidR="006A10D1">
        <w:rPr>
          <w:rFonts w:ascii="Arial" w:eastAsia="Arial" w:hAnsi="Arial" w:cs="Arial"/>
          <w:bCs/>
          <w:sz w:val="24"/>
          <w:szCs w:val="24"/>
        </w:rPr>
        <w:t xml:space="preserve"> </w:t>
      </w:r>
      <w:r w:rsidR="00FC6426">
        <w:rPr>
          <w:rFonts w:ascii="Arial" w:eastAsia="Arial" w:hAnsi="Arial" w:cs="Arial"/>
          <w:bCs/>
          <w:sz w:val="24"/>
          <w:szCs w:val="24"/>
        </w:rPr>
        <w:t>under weight of the record.</w:t>
      </w:r>
    </w:p>
    <w:p w14:paraId="7218DD7A" w14:textId="7742338A" w:rsidR="006F27F7" w:rsidRDefault="00467BA6" w:rsidP="000B170E">
      <w:pPr>
        <w:spacing w:after="120" w:line="480" w:lineRule="auto"/>
        <w:ind w:firstLine="720"/>
        <w:jc w:val="both"/>
        <w:rPr>
          <w:rFonts w:ascii="Arial" w:eastAsia="Arial" w:hAnsi="Arial" w:cs="Arial"/>
          <w:bCs/>
          <w:sz w:val="24"/>
          <w:szCs w:val="24"/>
        </w:rPr>
      </w:pPr>
      <w:r w:rsidRPr="007826CF">
        <w:rPr>
          <w:rFonts w:ascii="Arial" w:eastAsia="Arial" w:hAnsi="Arial" w:cs="Arial"/>
          <w:bCs/>
          <w:sz w:val="24"/>
          <w:szCs w:val="24"/>
        </w:rPr>
        <w:t xml:space="preserve">First, unlike SSO customers, </w:t>
      </w:r>
      <w:r w:rsidRPr="006A10D1">
        <w:rPr>
          <w:rFonts w:ascii="Arial" w:eastAsia="Arial" w:hAnsi="Arial" w:cs="Arial"/>
          <w:b/>
          <w:bCs/>
          <w:i/>
          <w:sz w:val="24"/>
          <w:szCs w:val="24"/>
        </w:rPr>
        <w:t xml:space="preserve">shopping customers are </w:t>
      </w:r>
      <w:r w:rsidR="006A10D1" w:rsidRPr="006A10D1">
        <w:rPr>
          <w:rFonts w:ascii="Arial" w:eastAsia="Arial" w:hAnsi="Arial" w:cs="Arial"/>
          <w:b/>
          <w:bCs/>
          <w:i/>
          <w:sz w:val="24"/>
          <w:szCs w:val="24"/>
        </w:rPr>
        <w:t xml:space="preserve">already </w:t>
      </w:r>
      <w:r w:rsidRPr="006A10D1">
        <w:rPr>
          <w:rFonts w:ascii="Arial" w:eastAsia="Arial" w:hAnsi="Arial" w:cs="Arial"/>
          <w:b/>
          <w:bCs/>
          <w:i/>
          <w:sz w:val="24"/>
          <w:szCs w:val="24"/>
        </w:rPr>
        <w:t>paying fees to DP&amp;L</w:t>
      </w:r>
      <w:r w:rsidR="00FC6426" w:rsidRPr="006A10D1">
        <w:rPr>
          <w:rFonts w:ascii="Arial" w:eastAsia="Arial" w:hAnsi="Arial" w:cs="Arial"/>
          <w:b/>
          <w:bCs/>
          <w:i/>
          <w:sz w:val="24"/>
          <w:szCs w:val="24"/>
        </w:rPr>
        <w:t xml:space="preserve"> for services rendered.</w:t>
      </w:r>
      <w:r w:rsidR="00FC6426">
        <w:rPr>
          <w:rFonts w:ascii="Arial" w:eastAsia="Arial" w:hAnsi="Arial" w:cs="Arial"/>
          <w:bCs/>
          <w:sz w:val="24"/>
          <w:szCs w:val="24"/>
        </w:rPr>
        <w:t xml:space="preserve">  These fees have added up to </w:t>
      </w:r>
      <w:r w:rsidR="00FC6426" w:rsidRPr="006A10D1">
        <w:rPr>
          <w:rFonts w:ascii="Arial" w:eastAsia="Arial" w:hAnsi="Arial" w:cs="Arial"/>
          <w:b/>
          <w:bCs/>
          <w:i/>
          <w:sz w:val="24"/>
          <w:szCs w:val="24"/>
        </w:rPr>
        <w:t>millions of dollars</w:t>
      </w:r>
      <w:r w:rsidR="000B170E">
        <w:rPr>
          <w:rFonts w:ascii="Arial" w:eastAsia="Arial" w:hAnsi="Arial" w:cs="Arial"/>
          <w:bCs/>
          <w:sz w:val="24"/>
          <w:szCs w:val="24"/>
        </w:rPr>
        <w:t>.</w:t>
      </w:r>
      <w:r w:rsidR="00CE3FE6">
        <w:rPr>
          <w:rStyle w:val="FootnoteReference"/>
          <w:rFonts w:ascii="Arial" w:eastAsia="Arial" w:hAnsi="Arial" w:cs="Arial"/>
          <w:bCs/>
          <w:sz w:val="24"/>
          <w:szCs w:val="24"/>
        </w:rPr>
        <w:footnoteReference w:id="22"/>
      </w:r>
      <w:r w:rsidR="000B170E">
        <w:rPr>
          <w:rFonts w:ascii="Arial" w:eastAsia="Arial" w:hAnsi="Arial" w:cs="Arial"/>
          <w:bCs/>
          <w:sz w:val="24"/>
          <w:szCs w:val="24"/>
        </w:rPr>
        <w:t xml:space="preserve">  D</w:t>
      </w:r>
      <w:r w:rsidR="004E3B4F">
        <w:rPr>
          <w:rFonts w:ascii="Arial" w:eastAsia="Arial" w:hAnsi="Arial" w:cs="Arial"/>
          <w:bCs/>
          <w:sz w:val="24"/>
          <w:szCs w:val="24"/>
        </w:rPr>
        <w:t>espite RESA’s and IGS’ attempt to obtain data to support the basis for these fees,</w:t>
      </w:r>
      <w:r w:rsidR="00FC6426">
        <w:rPr>
          <w:rFonts w:ascii="Arial" w:eastAsia="Arial" w:hAnsi="Arial" w:cs="Arial"/>
          <w:bCs/>
          <w:sz w:val="24"/>
          <w:szCs w:val="24"/>
        </w:rPr>
        <w:t xml:space="preserve"> </w:t>
      </w:r>
      <w:r w:rsidR="00FC6426" w:rsidRPr="00FC6426">
        <w:rPr>
          <w:rFonts w:ascii="Arial" w:eastAsia="Arial" w:hAnsi="Arial" w:cs="Arial"/>
          <w:bCs/>
          <w:sz w:val="24"/>
          <w:szCs w:val="24"/>
        </w:rPr>
        <w:t>DP&amp;L</w:t>
      </w:r>
      <w:r w:rsidR="00CE3FE6">
        <w:rPr>
          <w:rFonts w:ascii="Arial" w:eastAsia="Arial" w:hAnsi="Arial" w:cs="Arial"/>
          <w:bCs/>
          <w:sz w:val="24"/>
          <w:szCs w:val="24"/>
        </w:rPr>
        <w:t xml:space="preserve"> and Staff</w:t>
      </w:r>
      <w:r w:rsidR="00FC6426" w:rsidRPr="00FC6426">
        <w:rPr>
          <w:rFonts w:ascii="Arial" w:eastAsia="Arial" w:hAnsi="Arial" w:cs="Arial"/>
          <w:bCs/>
          <w:sz w:val="24"/>
          <w:szCs w:val="24"/>
        </w:rPr>
        <w:t xml:space="preserve"> failed to even</w:t>
      </w:r>
      <w:r w:rsidR="004E3B4F">
        <w:rPr>
          <w:rFonts w:ascii="Arial" w:eastAsia="Arial" w:hAnsi="Arial" w:cs="Arial"/>
          <w:bCs/>
          <w:sz w:val="24"/>
          <w:szCs w:val="24"/>
        </w:rPr>
        <w:t xml:space="preserve"> attempt to substantiate the basis for them</w:t>
      </w:r>
      <w:r w:rsidR="006A10D1">
        <w:rPr>
          <w:rFonts w:ascii="Arial" w:eastAsia="Arial" w:hAnsi="Arial" w:cs="Arial"/>
          <w:bCs/>
          <w:sz w:val="24"/>
          <w:szCs w:val="24"/>
        </w:rPr>
        <w:t>.</w:t>
      </w:r>
      <w:r w:rsidR="00CE3FE6">
        <w:rPr>
          <w:rStyle w:val="FootnoteReference"/>
          <w:rFonts w:ascii="Arial" w:eastAsia="Arial" w:hAnsi="Arial" w:cs="Arial"/>
          <w:bCs/>
          <w:sz w:val="24"/>
          <w:szCs w:val="24"/>
        </w:rPr>
        <w:footnoteReference w:id="23"/>
      </w:r>
      <w:r w:rsidR="006A10D1">
        <w:rPr>
          <w:rFonts w:ascii="Arial" w:eastAsia="Arial" w:hAnsi="Arial" w:cs="Arial"/>
          <w:bCs/>
          <w:sz w:val="24"/>
          <w:szCs w:val="24"/>
        </w:rPr>
        <w:t xml:space="preserve"> Yet, </w:t>
      </w:r>
      <w:r w:rsidR="00FC6426">
        <w:rPr>
          <w:rFonts w:ascii="Arial" w:eastAsia="Arial" w:hAnsi="Arial" w:cs="Arial"/>
          <w:bCs/>
          <w:sz w:val="24"/>
          <w:szCs w:val="24"/>
        </w:rPr>
        <w:t>DP&amp;L is more than willing to count these fees as money-in-the-bank for purposes of developing its revenue requirement in this case.</w:t>
      </w:r>
      <w:r w:rsidR="00CE3FE6">
        <w:rPr>
          <w:rStyle w:val="FootnoteReference"/>
          <w:rFonts w:ascii="Arial" w:eastAsia="Arial" w:hAnsi="Arial" w:cs="Arial"/>
          <w:bCs/>
          <w:sz w:val="24"/>
          <w:szCs w:val="24"/>
        </w:rPr>
        <w:footnoteReference w:id="24"/>
      </w:r>
      <w:r w:rsidR="00FC6426">
        <w:rPr>
          <w:rFonts w:ascii="Arial" w:eastAsia="Arial" w:hAnsi="Arial" w:cs="Arial"/>
          <w:bCs/>
          <w:sz w:val="24"/>
          <w:szCs w:val="24"/>
        </w:rPr>
        <w:t xml:space="preserve">  In other words,</w:t>
      </w:r>
      <w:r w:rsidR="004E3B4F">
        <w:rPr>
          <w:rFonts w:ascii="Arial" w:eastAsia="Arial" w:hAnsi="Arial" w:cs="Arial"/>
          <w:bCs/>
          <w:sz w:val="24"/>
          <w:szCs w:val="24"/>
        </w:rPr>
        <w:t xml:space="preserve"> in an interesting twist,</w:t>
      </w:r>
      <w:r w:rsidR="00FC6426">
        <w:rPr>
          <w:rFonts w:ascii="Arial" w:eastAsia="Arial" w:hAnsi="Arial" w:cs="Arial"/>
          <w:bCs/>
          <w:sz w:val="24"/>
          <w:szCs w:val="24"/>
        </w:rPr>
        <w:t xml:space="preserve"> </w:t>
      </w:r>
      <w:r w:rsidR="006A10D1">
        <w:rPr>
          <w:rFonts w:ascii="Arial" w:eastAsia="Arial" w:hAnsi="Arial" w:cs="Arial"/>
          <w:bCs/>
          <w:sz w:val="24"/>
          <w:szCs w:val="24"/>
        </w:rPr>
        <w:t>these fees</w:t>
      </w:r>
      <w:r w:rsidR="00FC6426">
        <w:rPr>
          <w:rFonts w:ascii="Arial" w:eastAsia="Arial" w:hAnsi="Arial" w:cs="Arial"/>
          <w:bCs/>
          <w:sz w:val="24"/>
          <w:szCs w:val="24"/>
        </w:rPr>
        <w:t xml:space="preserve"> </w:t>
      </w:r>
      <w:r w:rsidR="006A10D1">
        <w:rPr>
          <w:rFonts w:ascii="Arial" w:eastAsia="Arial" w:hAnsi="Arial" w:cs="Arial"/>
          <w:bCs/>
          <w:sz w:val="24"/>
          <w:szCs w:val="24"/>
        </w:rPr>
        <w:t>reduce</w:t>
      </w:r>
      <w:r w:rsidR="00FC6426">
        <w:rPr>
          <w:rFonts w:ascii="Arial" w:eastAsia="Arial" w:hAnsi="Arial" w:cs="Arial"/>
          <w:bCs/>
          <w:sz w:val="24"/>
          <w:szCs w:val="24"/>
        </w:rPr>
        <w:t xml:space="preserve"> the amoun</w:t>
      </w:r>
      <w:r w:rsidR="006A10D1">
        <w:rPr>
          <w:rFonts w:ascii="Arial" w:eastAsia="Arial" w:hAnsi="Arial" w:cs="Arial"/>
          <w:bCs/>
          <w:sz w:val="24"/>
          <w:szCs w:val="24"/>
        </w:rPr>
        <w:t>t of distribution revenue</w:t>
      </w:r>
      <w:r w:rsidR="00FC6426">
        <w:rPr>
          <w:rFonts w:ascii="Arial" w:eastAsia="Arial" w:hAnsi="Arial" w:cs="Arial"/>
          <w:bCs/>
          <w:sz w:val="24"/>
          <w:szCs w:val="24"/>
        </w:rPr>
        <w:t xml:space="preserve"> that would otherwise be required from all customers, incl</w:t>
      </w:r>
      <w:r w:rsidR="006A10D1">
        <w:rPr>
          <w:rFonts w:ascii="Arial" w:eastAsia="Arial" w:hAnsi="Arial" w:cs="Arial"/>
          <w:bCs/>
          <w:sz w:val="24"/>
          <w:szCs w:val="24"/>
        </w:rPr>
        <w:t>uding SSO customers.</w:t>
      </w:r>
      <w:r w:rsidR="00634B7A">
        <w:rPr>
          <w:rFonts w:ascii="Arial" w:eastAsia="Arial" w:hAnsi="Arial" w:cs="Arial"/>
          <w:bCs/>
          <w:sz w:val="24"/>
          <w:szCs w:val="24"/>
        </w:rPr>
        <w:t xml:space="preserve">  Given this reality</w:t>
      </w:r>
      <w:r w:rsidR="006F27F7">
        <w:rPr>
          <w:rFonts w:ascii="Arial" w:eastAsia="Arial" w:hAnsi="Arial" w:cs="Arial"/>
          <w:bCs/>
          <w:sz w:val="24"/>
          <w:szCs w:val="24"/>
        </w:rPr>
        <w:t xml:space="preserve">, </w:t>
      </w:r>
      <w:r w:rsidR="000B170E">
        <w:rPr>
          <w:rFonts w:ascii="Arial" w:eastAsia="Arial" w:hAnsi="Arial" w:cs="Arial"/>
          <w:bCs/>
          <w:sz w:val="24"/>
          <w:szCs w:val="24"/>
        </w:rPr>
        <w:t xml:space="preserve">Staff’s and DP&amp;L’s justification for subsidizing the SSO is based upon a factual fantasy.  </w:t>
      </w:r>
    </w:p>
    <w:p w14:paraId="5638C6BB" w14:textId="543113A6" w:rsidR="006F27F7" w:rsidRDefault="006F27F7" w:rsidP="006F27F7">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Second, </w:t>
      </w:r>
      <w:r w:rsidR="00634B7A">
        <w:rPr>
          <w:rFonts w:ascii="Arial" w:eastAsia="Arial" w:hAnsi="Arial" w:cs="Arial"/>
          <w:bCs/>
          <w:sz w:val="24"/>
          <w:szCs w:val="24"/>
        </w:rPr>
        <w:t>t</w:t>
      </w:r>
      <w:r>
        <w:rPr>
          <w:rFonts w:ascii="Arial" w:eastAsia="Arial" w:hAnsi="Arial" w:cs="Arial"/>
          <w:bCs/>
          <w:sz w:val="24"/>
          <w:szCs w:val="24"/>
        </w:rPr>
        <w:t xml:space="preserve">he services </w:t>
      </w:r>
      <w:r w:rsidR="00634B7A">
        <w:rPr>
          <w:rFonts w:ascii="Arial" w:eastAsia="Arial" w:hAnsi="Arial" w:cs="Arial"/>
          <w:bCs/>
          <w:sz w:val="24"/>
          <w:szCs w:val="24"/>
        </w:rPr>
        <w:t>DP&amp;L provides</w:t>
      </w:r>
      <w:r>
        <w:rPr>
          <w:rFonts w:ascii="Arial" w:eastAsia="Arial" w:hAnsi="Arial" w:cs="Arial"/>
          <w:bCs/>
          <w:sz w:val="24"/>
          <w:szCs w:val="24"/>
        </w:rPr>
        <w:t xml:space="preserve"> to sho</w:t>
      </w:r>
      <w:r w:rsidR="00634B7A">
        <w:rPr>
          <w:rFonts w:ascii="Arial" w:eastAsia="Arial" w:hAnsi="Arial" w:cs="Arial"/>
          <w:bCs/>
          <w:sz w:val="24"/>
          <w:szCs w:val="24"/>
        </w:rPr>
        <w:t xml:space="preserve">pping customer cannot be classified as </w:t>
      </w:r>
      <w:r>
        <w:rPr>
          <w:rFonts w:ascii="Arial" w:eastAsia="Arial" w:hAnsi="Arial" w:cs="Arial"/>
          <w:bCs/>
          <w:sz w:val="24"/>
          <w:szCs w:val="24"/>
        </w:rPr>
        <w:t xml:space="preserve">non-competitive distribution services </w:t>
      </w:r>
      <w:r w:rsidR="00634B7A">
        <w:rPr>
          <w:rFonts w:ascii="Arial" w:eastAsia="Arial" w:hAnsi="Arial" w:cs="Arial"/>
          <w:bCs/>
          <w:sz w:val="24"/>
          <w:szCs w:val="24"/>
        </w:rPr>
        <w:t>collected from all customers when in</w:t>
      </w:r>
      <w:r w:rsidR="00122B62">
        <w:rPr>
          <w:rFonts w:ascii="Arial" w:eastAsia="Arial" w:hAnsi="Arial" w:cs="Arial"/>
          <w:bCs/>
          <w:sz w:val="24"/>
          <w:szCs w:val="24"/>
        </w:rPr>
        <w:t xml:space="preserve"> fact</w:t>
      </w:r>
      <w:r w:rsidR="00634B7A">
        <w:rPr>
          <w:rFonts w:ascii="Arial" w:eastAsia="Arial" w:hAnsi="Arial" w:cs="Arial"/>
          <w:bCs/>
          <w:sz w:val="24"/>
          <w:szCs w:val="24"/>
        </w:rPr>
        <w:t xml:space="preserve"> they are actually</w:t>
      </w:r>
      <w:r>
        <w:rPr>
          <w:rFonts w:ascii="Arial" w:eastAsia="Arial" w:hAnsi="Arial" w:cs="Arial"/>
          <w:bCs/>
          <w:sz w:val="24"/>
          <w:szCs w:val="24"/>
        </w:rPr>
        <w:t xml:space="preserve"> allocated to CRES providers and </w:t>
      </w:r>
      <w:r w:rsidR="00634B7A">
        <w:rPr>
          <w:rFonts w:ascii="Arial" w:eastAsia="Arial" w:hAnsi="Arial" w:cs="Arial"/>
          <w:bCs/>
          <w:sz w:val="24"/>
          <w:szCs w:val="24"/>
        </w:rPr>
        <w:t>their customers</w:t>
      </w:r>
      <w:r>
        <w:rPr>
          <w:rFonts w:ascii="Arial" w:eastAsia="Arial" w:hAnsi="Arial" w:cs="Arial"/>
          <w:bCs/>
          <w:sz w:val="24"/>
          <w:szCs w:val="24"/>
        </w:rPr>
        <w:t>.  But that is exactly what Staff and DP&amp;L are proposing.</w:t>
      </w:r>
      <w:r w:rsidR="00634B7A" w:rsidRPr="00634B7A">
        <w:t xml:space="preserve"> </w:t>
      </w:r>
      <w:r w:rsidR="00634B7A">
        <w:rPr>
          <w:rFonts w:ascii="Arial" w:eastAsia="Arial" w:hAnsi="Arial" w:cs="Arial"/>
          <w:bCs/>
          <w:sz w:val="24"/>
          <w:szCs w:val="24"/>
        </w:rPr>
        <w:t xml:space="preserve"> I</w:t>
      </w:r>
      <w:r w:rsidR="00634B7A" w:rsidRPr="00634B7A">
        <w:rPr>
          <w:rFonts w:ascii="Arial" w:eastAsia="Arial" w:hAnsi="Arial" w:cs="Arial"/>
          <w:bCs/>
          <w:sz w:val="24"/>
          <w:szCs w:val="24"/>
        </w:rPr>
        <w:t>f the services DP&amp;L provided to the choice market were truly a “distribution function” the fees and shopping penalties should be eliminated.</w:t>
      </w:r>
      <w:r w:rsidR="00634B7A">
        <w:rPr>
          <w:rFonts w:ascii="Arial" w:eastAsia="Arial" w:hAnsi="Arial" w:cs="Arial"/>
          <w:bCs/>
          <w:sz w:val="24"/>
          <w:szCs w:val="24"/>
        </w:rPr>
        <w:t xml:space="preserve">  </w:t>
      </w:r>
      <w:r w:rsidR="00634B7A">
        <w:rPr>
          <w:rFonts w:ascii="Arial" w:eastAsia="Arial" w:hAnsi="Arial" w:cs="Arial"/>
          <w:bCs/>
          <w:sz w:val="24"/>
          <w:szCs w:val="24"/>
        </w:rPr>
        <w:lastRenderedPageBreak/>
        <w:t>Regardless, as discussed below, it is only the Choice-related functionality that DP&amp;L provides that can be appropriately classified as a component of “distribution service.”</w:t>
      </w:r>
      <w:r w:rsidR="00634B7A" w:rsidRPr="00634B7A">
        <w:rPr>
          <w:rFonts w:ascii="Arial" w:eastAsia="Arial" w:hAnsi="Arial" w:cs="Arial"/>
          <w:bCs/>
          <w:sz w:val="24"/>
          <w:szCs w:val="24"/>
        </w:rPr>
        <w:t xml:space="preserve">  </w:t>
      </w:r>
    </w:p>
    <w:p w14:paraId="3E2AF140" w14:textId="60BC92BF" w:rsidR="007D60FE" w:rsidRDefault="006F27F7" w:rsidP="000B170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Third</w:t>
      </w:r>
      <w:r w:rsidR="00634B7A">
        <w:rPr>
          <w:rFonts w:ascii="Arial" w:eastAsia="Arial" w:hAnsi="Arial" w:cs="Arial"/>
          <w:bCs/>
          <w:sz w:val="24"/>
          <w:szCs w:val="24"/>
        </w:rPr>
        <w:t>—even if there were no fees—Staff’s and DP&amp;L’s comparison of SSO-related costs to Choice costs contained in distribution rates is apples to oranges</w:t>
      </w:r>
      <w:r w:rsidR="007D60FE">
        <w:rPr>
          <w:rFonts w:ascii="Arial" w:eastAsia="Arial" w:hAnsi="Arial" w:cs="Arial"/>
          <w:bCs/>
          <w:sz w:val="24"/>
          <w:szCs w:val="24"/>
        </w:rPr>
        <w:t xml:space="preserve">.  As discussed at length above, </w:t>
      </w:r>
      <w:r w:rsidR="00CA6FB0">
        <w:rPr>
          <w:rFonts w:ascii="Arial" w:eastAsia="Arial" w:hAnsi="Arial" w:cs="Arial"/>
          <w:bCs/>
          <w:sz w:val="24"/>
          <w:szCs w:val="24"/>
        </w:rPr>
        <w:t>DP&amp;L provid</w:t>
      </w:r>
      <w:r w:rsidR="006C1926">
        <w:rPr>
          <w:rFonts w:ascii="Arial" w:eastAsia="Arial" w:hAnsi="Arial" w:cs="Arial"/>
          <w:bCs/>
          <w:sz w:val="24"/>
          <w:szCs w:val="24"/>
        </w:rPr>
        <w:t>es only one competitive service</w:t>
      </w:r>
      <w:r w:rsidR="00CA6FB0">
        <w:rPr>
          <w:rFonts w:ascii="Arial" w:eastAsia="Arial" w:hAnsi="Arial" w:cs="Arial"/>
          <w:bCs/>
          <w:sz w:val="24"/>
          <w:szCs w:val="24"/>
        </w:rPr>
        <w:t>—the SSO.  The</w:t>
      </w:r>
      <w:r w:rsidR="00467BA6" w:rsidRPr="007826CF">
        <w:rPr>
          <w:rFonts w:ascii="Arial" w:eastAsia="Arial" w:hAnsi="Arial" w:cs="Arial"/>
          <w:bCs/>
          <w:sz w:val="24"/>
          <w:szCs w:val="24"/>
        </w:rPr>
        <w:t xml:space="preserve"> services that</w:t>
      </w:r>
      <w:r w:rsidR="007D60FE">
        <w:rPr>
          <w:rFonts w:ascii="Arial" w:eastAsia="Arial" w:hAnsi="Arial" w:cs="Arial"/>
          <w:bCs/>
          <w:sz w:val="24"/>
          <w:szCs w:val="24"/>
        </w:rPr>
        <w:t xml:space="preserve"> DP&amp;L provides</w:t>
      </w:r>
      <w:r w:rsidR="00467BA6" w:rsidRPr="007826CF">
        <w:rPr>
          <w:rFonts w:ascii="Arial" w:eastAsia="Arial" w:hAnsi="Arial" w:cs="Arial"/>
          <w:bCs/>
          <w:sz w:val="24"/>
          <w:szCs w:val="24"/>
        </w:rPr>
        <w:t xml:space="preserve"> to shopping customers are in fact related to the provision of non-competitive distribution services.  The services—li</w:t>
      </w:r>
      <w:r w:rsidR="00CA6FB0">
        <w:rPr>
          <w:rFonts w:ascii="Arial" w:eastAsia="Arial" w:hAnsi="Arial" w:cs="Arial"/>
          <w:bCs/>
          <w:sz w:val="24"/>
          <w:szCs w:val="24"/>
        </w:rPr>
        <w:t>ke EDI</w:t>
      </w:r>
      <w:r w:rsidR="00593C0C">
        <w:rPr>
          <w:rFonts w:ascii="Arial" w:eastAsia="Arial" w:hAnsi="Arial" w:cs="Arial"/>
          <w:bCs/>
          <w:sz w:val="24"/>
          <w:szCs w:val="24"/>
        </w:rPr>
        <w:t>, meter reading</w:t>
      </w:r>
      <w:r w:rsidR="00CA6FB0">
        <w:rPr>
          <w:rFonts w:ascii="Arial" w:eastAsia="Arial" w:hAnsi="Arial" w:cs="Arial"/>
          <w:bCs/>
          <w:sz w:val="24"/>
          <w:szCs w:val="24"/>
        </w:rPr>
        <w:t xml:space="preserve"> and interacting with CRES providers to facilitate shopping</w:t>
      </w:r>
      <w:r w:rsidR="00634B7A">
        <w:rPr>
          <w:rFonts w:ascii="Arial" w:eastAsia="Arial" w:hAnsi="Arial" w:cs="Arial"/>
          <w:bCs/>
          <w:sz w:val="24"/>
          <w:szCs w:val="24"/>
        </w:rPr>
        <w:t xml:space="preserve"> </w:t>
      </w:r>
      <w:r w:rsidR="00E705F7" w:rsidRPr="007826CF">
        <w:rPr>
          <w:rFonts w:ascii="Arial" w:eastAsia="Arial" w:hAnsi="Arial" w:cs="Arial"/>
          <w:bCs/>
          <w:sz w:val="24"/>
          <w:szCs w:val="24"/>
        </w:rPr>
        <w:t>relate to instances where DP&amp;L is acting as the sole provider of the services</w:t>
      </w:r>
      <w:r w:rsidR="00CA6FB0">
        <w:rPr>
          <w:rFonts w:ascii="Arial" w:eastAsia="Arial" w:hAnsi="Arial" w:cs="Arial"/>
          <w:bCs/>
          <w:sz w:val="24"/>
          <w:szCs w:val="24"/>
        </w:rPr>
        <w:t>.</w:t>
      </w:r>
      <w:r w:rsidR="00122B62">
        <w:rPr>
          <w:rFonts w:ascii="Arial" w:eastAsia="Arial" w:hAnsi="Arial" w:cs="Arial"/>
          <w:bCs/>
          <w:sz w:val="24"/>
          <w:szCs w:val="24"/>
        </w:rPr>
        <w:t xml:space="preserve">  Thus, the Stipulation proposes a paradigm that turns Ohio law upside down:  the cost of monopoly-based noncompetitive services are recovered only from shopping customers, and competitive-based SSO services are socialized. </w:t>
      </w:r>
    </w:p>
    <w:p w14:paraId="09C8F4F1" w14:textId="6F0E3A45" w:rsidR="00CA6FB0" w:rsidRDefault="007D60FE" w:rsidP="007D60F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For example, a CRES provider can obtain</w:t>
      </w:r>
      <w:r w:rsidR="00467BA6" w:rsidRPr="007826CF">
        <w:rPr>
          <w:rFonts w:ascii="Arial" w:eastAsia="Arial" w:hAnsi="Arial" w:cs="Arial"/>
          <w:bCs/>
          <w:sz w:val="24"/>
          <w:szCs w:val="24"/>
        </w:rPr>
        <w:t xml:space="preserve"> a customer’s billing information only from DP&amp;L</w:t>
      </w:r>
      <w:r w:rsidR="004E3B4F">
        <w:rPr>
          <w:rFonts w:ascii="Arial" w:eastAsia="Arial" w:hAnsi="Arial" w:cs="Arial"/>
          <w:bCs/>
          <w:sz w:val="24"/>
          <w:szCs w:val="24"/>
        </w:rPr>
        <w:t xml:space="preserve"> because</w:t>
      </w:r>
      <w:r w:rsidR="00467BA6" w:rsidRPr="007826CF">
        <w:rPr>
          <w:rFonts w:ascii="Arial" w:eastAsia="Arial" w:hAnsi="Arial" w:cs="Arial"/>
          <w:bCs/>
          <w:sz w:val="24"/>
          <w:szCs w:val="24"/>
        </w:rPr>
        <w:t xml:space="preserve"> DP&amp;L reads the meter and v</w:t>
      </w:r>
      <w:r w:rsidR="00CA6FB0">
        <w:rPr>
          <w:rFonts w:ascii="Arial" w:eastAsia="Arial" w:hAnsi="Arial" w:cs="Arial"/>
          <w:bCs/>
          <w:sz w:val="24"/>
          <w:szCs w:val="24"/>
        </w:rPr>
        <w:t>alidates the usage information.</w:t>
      </w:r>
      <w:r w:rsidR="004E3B4F">
        <w:rPr>
          <w:rFonts w:ascii="Arial" w:eastAsia="Arial" w:hAnsi="Arial" w:cs="Arial"/>
          <w:bCs/>
          <w:sz w:val="24"/>
          <w:szCs w:val="24"/>
        </w:rPr>
        <w:t xml:space="preserve">  It is for this reason that Mr. Hess excluded meter reading from his allocation m</w:t>
      </w:r>
      <w:r w:rsidR="006F27F7">
        <w:rPr>
          <w:rFonts w:ascii="Arial" w:eastAsia="Arial" w:hAnsi="Arial" w:cs="Arial"/>
          <w:bCs/>
          <w:sz w:val="24"/>
          <w:szCs w:val="24"/>
        </w:rPr>
        <w:t>ethodology—it is a non-competitive service</w:t>
      </w:r>
      <w:r w:rsidR="004E3B4F">
        <w:rPr>
          <w:rFonts w:ascii="Arial" w:eastAsia="Arial" w:hAnsi="Arial" w:cs="Arial"/>
          <w:bCs/>
          <w:sz w:val="24"/>
          <w:szCs w:val="24"/>
        </w:rPr>
        <w:t>.</w:t>
      </w:r>
      <w:r w:rsidR="00634B7A">
        <w:rPr>
          <w:rStyle w:val="FootnoteReference"/>
          <w:rFonts w:ascii="Arial" w:eastAsia="Arial" w:hAnsi="Arial" w:cs="Arial"/>
          <w:bCs/>
          <w:sz w:val="24"/>
          <w:szCs w:val="24"/>
        </w:rPr>
        <w:footnoteReference w:id="25"/>
      </w:r>
      <w:r w:rsidR="00122B62">
        <w:rPr>
          <w:rFonts w:ascii="Arial" w:eastAsia="Arial" w:hAnsi="Arial" w:cs="Arial"/>
          <w:bCs/>
          <w:sz w:val="24"/>
          <w:szCs w:val="24"/>
        </w:rPr>
        <w:t xml:space="preserve">  Yet, CRES providers pay for the cost of obtaining this information.</w:t>
      </w:r>
      <w:r w:rsidR="00467BA6" w:rsidRPr="007826CF">
        <w:rPr>
          <w:rFonts w:ascii="Arial" w:eastAsia="Arial" w:hAnsi="Arial" w:cs="Arial"/>
          <w:bCs/>
          <w:sz w:val="24"/>
          <w:szCs w:val="24"/>
        </w:rPr>
        <w:t xml:space="preserve"> </w:t>
      </w:r>
      <w:r w:rsidR="004E3B4F">
        <w:rPr>
          <w:rFonts w:ascii="Arial" w:eastAsia="Arial" w:hAnsi="Arial" w:cs="Arial"/>
          <w:bCs/>
          <w:sz w:val="24"/>
          <w:szCs w:val="24"/>
        </w:rPr>
        <w:t xml:space="preserve"> </w:t>
      </w:r>
      <w:r w:rsidR="00467BA6" w:rsidRPr="007826CF">
        <w:rPr>
          <w:rFonts w:ascii="Arial" w:eastAsia="Arial" w:hAnsi="Arial" w:cs="Arial"/>
          <w:bCs/>
          <w:sz w:val="24"/>
          <w:szCs w:val="24"/>
        </w:rPr>
        <w:t>Another example is switching a customer from SSO to a CRES or CRES to CRES or CRES to the SSO.  IGS has no authority or ability to perform t</w:t>
      </w:r>
      <w:r>
        <w:rPr>
          <w:rFonts w:ascii="Arial" w:eastAsia="Arial" w:hAnsi="Arial" w:cs="Arial"/>
          <w:bCs/>
          <w:sz w:val="24"/>
          <w:szCs w:val="24"/>
        </w:rPr>
        <w:t>his action.  Onl</w:t>
      </w:r>
      <w:r w:rsidR="006F27F7">
        <w:rPr>
          <w:rFonts w:ascii="Arial" w:eastAsia="Arial" w:hAnsi="Arial" w:cs="Arial"/>
          <w:bCs/>
          <w:sz w:val="24"/>
          <w:szCs w:val="24"/>
        </w:rPr>
        <w:t xml:space="preserve">y DP&amp;L can provide the service.  </w:t>
      </w:r>
      <w:r w:rsidR="00467BA6" w:rsidRPr="007826CF">
        <w:rPr>
          <w:rFonts w:ascii="Arial" w:eastAsia="Arial" w:hAnsi="Arial" w:cs="Arial"/>
          <w:bCs/>
          <w:sz w:val="24"/>
          <w:szCs w:val="24"/>
        </w:rPr>
        <w:t>There is no ability to “shop” around for some other entity to provide the service. Therefore, the activity pertains to non-competitive service.  Yet,</w:t>
      </w:r>
      <w:r w:rsidR="000B170E">
        <w:rPr>
          <w:rFonts w:ascii="Arial" w:eastAsia="Arial" w:hAnsi="Arial" w:cs="Arial"/>
          <w:bCs/>
          <w:sz w:val="24"/>
          <w:szCs w:val="24"/>
        </w:rPr>
        <w:t xml:space="preserve"> DP&amp;L charges</w:t>
      </w:r>
      <w:r w:rsidR="00467BA6" w:rsidRPr="007826CF">
        <w:rPr>
          <w:rFonts w:ascii="Arial" w:eastAsia="Arial" w:hAnsi="Arial" w:cs="Arial"/>
          <w:bCs/>
          <w:sz w:val="24"/>
          <w:szCs w:val="24"/>
        </w:rPr>
        <w:t xml:space="preserve"> shopping customers for this service while customers switching to the SSO pay nothing. That is </w:t>
      </w:r>
      <w:r w:rsidR="004E3B4F">
        <w:rPr>
          <w:rFonts w:ascii="Arial" w:eastAsia="Arial" w:hAnsi="Arial" w:cs="Arial"/>
          <w:bCs/>
          <w:sz w:val="24"/>
          <w:szCs w:val="24"/>
        </w:rPr>
        <w:t>discrimination</w:t>
      </w:r>
      <w:r w:rsidR="000B170E">
        <w:rPr>
          <w:rFonts w:ascii="Arial" w:eastAsia="Arial" w:hAnsi="Arial" w:cs="Arial"/>
          <w:bCs/>
          <w:sz w:val="24"/>
          <w:szCs w:val="24"/>
        </w:rPr>
        <w:t xml:space="preserve"> and subsidization</w:t>
      </w:r>
      <w:r w:rsidR="004E3B4F">
        <w:rPr>
          <w:rFonts w:ascii="Arial" w:eastAsia="Arial" w:hAnsi="Arial" w:cs="Arial"/>
          <w:bCs/>
          <w:sz w:val="24"/>
          <w:szCs w:val="24"/>
        </w:rPr>
        <w:t>.</w:t>
      </w:r>
      <w:r>
        <w:rPr>
          <w:rFonts w:ascii="Arial" w:eastAsia="Arial" w:hAnsi="Arial" w:cs="Arial"/>
          <w:bCs/>
          <w:sz w:val="24"/>
          <w:szCs w:val="24"/>
        </w:rPr>
        <w:t xml:space="preserve">  If there are any</w:t>
      </w:r>
      <w:r w:rsidR="004E3B4F">
        <w:rPr>
          <w:rFonts w:ascii="Arial" w:eastAsia="Arial" w:hAnsi="Arial" w:cs="Arial"/>
          <w:bCs/>
          <w:sz w:val="24"/>
          <w:szCs w:val="24"/>
        </w:rPr>
        <w:t xml:space="preserve"> costs for this </w:t>
      </w:r>
      <w:r w:rsidR="004E3B4F">
        <w:rPr>
          <w:rFonts w:ascii="Arial" w:eastAsia="Arial" w:hAnsi="Arial" w:cs="Arial"/>
          <w:bCs/>
          <w:sz w:val="24"/>
          <w:szCs w:val="24"/>
        </w:rPr>
        <w:lastRenderedPageBreak/>
        <w:t>service, the fees</w:t>
      </w:r>
      <w:r>
        <w:rPr>
          <w:rFonts w:ascii="Arial" w:eastAsia="Arial" w:hAnsi="Arial" w:cs="Arial"/>
          <w:bCs/>
          <w:sz w:val="24"/>
          <w:szCs w:val="24"/>
        </w:rPr>
        <w:t xml:space="preserve"> must be assessed in a non-discriminatory manner between SSO and shopping customers.</w:t>
      </w:r>
    </w:p>
    <w:p w14:paraId="244921D7" w14:textId="245CEC5E" w:rsidR="00067681" w:rsidRDefault="00CA6FB0" w:rsidP="000B170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Moreover, it is important to keep in mind, when DP&amp;L provides any type of service related to facilitating shopping, it is not actually </w:t>
      </w:r>
      <w:r w:rsidR="00E705F7">
        <w:rPr>
          <w:rFonts w:ascii="Arial" w:eastAsia="Arial" w:hAnsi="Arial" w:cs="Arial"/>
          <w:bCs/>
          <w:sz w:val="24"/>
          <w:szCs w:val="24"/>
        </w:rPr>
        <w:t>the provider of the</w:t>
      </w:r>
      <w:r>
        <w:rPr>
          <w:rFonts w:ascii="Arial" w:eastAsia="Arial" w:hAnsi="Arial" w:cs="Arial"/>
          <w:bCs/>
          <w:sz w:val="24"/>
          <w:szCs w:val="24"/>
        </w:rPr>
        <w:t xml:space="preserve"> competitive retail electric service.  </w:t>
      </w:r>
      <w:r w:rsidR="00067681">
        <w:rPr>
          <w:rFonts w:ascii="Arial" w:eastAsia="Arial" w:hAnsi="Arial" w:cs="Arial"/>
          <w:bCs/>
          <w:sz w:val="24"/>
          <w:szCs w:val="24"/>
        </w:rPr>
        <w:t xml:space="preserve">Rather DP&amp;L is facilitating a platform that allows customers to change </w:t>
      </w:r>
      <w:r w:rsidR="004560C2">
        <w:rPr>
          <w:rFonts w:ascii="Arial" w:eastAsia="Arial" w:hAnsi="Arial" w:cs="Arial"/>
          <w:bCs/>
          <w:sz w:val="24"/>
          <w:szCs w:val="24"/>
        </w:rPr>
        <w:t xml:space="preserve">generation </w:t>
      </w:r>
      <w:r w:rsidR="00067681">
        <w:rPr>
          <w:rFonts w:ascii="Arial" w:eastAsia="Arial" w:hAnsi="Arial" w:cs="Arial"/>
          <w:bCs/>
          <w:sz w:val="24"/>
          <w:szCs w:val="24"/>
        </w:rPr>
        <w:t xml:space="preserve">providers, </w:t>
      </w:r>
      <w:r w:rsidR="004560C2">
        <w:rPr>
          <w:rFonts w:ascii="Arial" w:eastAsia="Arial" w:hAnsi="Arial" w:cs="Arial"/>
          <w:bCs/>
          <w:sz w:val="24"/>
          <w:szCs w:val="24"/>
        </w:rPr>
        <w:t>but CRES providers are actually providing generation service to shopping customers</w:t>
      </w:r>
      <w:r w:rsidR="00067681">
        <w:rPr>
          <w:rFonts w:ascii="Arial" w:eastAsia="Arial" w:hAnsi="Arial" w:cs="Arial"/>
          <w:bCs/>
          <w:sz w:val="24"/>
          <w:szCs w:val="24"/>
        </w:rPr>
        <w:t>.</w:t>
      </w:r>
    </w:p>
    <w:p w14:paraId="43E1DCE1" w14:textId="2D4DEA1A" w:rsidR="000B170E" w:rsidRDefault="00067681" w:rsidP="000B170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Conversely, DP&amp;L </w:t>
      </w:r>
      <w:r w:rsidR="004560C2">
        <w:rPr>
          <w:rFonts w:ascii="Arial" w:eastAsia="Arial" w:hAnsi="Arial" w:cs="Arial"/>
          <w:bCs/>
          <w:sz w:val="24"/>
          <w:szCs w:val="24"/>
        </w:rPr>
        <w:t>does provide</w:t>
      </w:r>
      <w:r>
        <w:rPr>
          <w:rFonts w:ascii="Arial" w:eastAsia="Arial" w:hAnsi="Arial" w:cs="Arial"/>
          <w:bCs/>
          <w:sz w:val="24"/>
          <w:szCs w:val="24"/>
        </w:rPr>
        <w:t xml:space="preserve"> generation service </w:t>
      </w:r>
      <w:r w:rsidR="004560C2">
        <w:rPr>
          <w:rFonts w:ascii="Arial" w:eastAsia="Arial" w:hAnsi="Arial" w:cs="Arial"/>
          <w:bCs/>
          <w:sz w:val="24"/>
          <w:szCs w:val="24"/>
        </w:rPr>
        <w:t>only</w:t>
      </w:r>
      <w:r>
        <w:rPr>
          <w:rFonts w:ascii="Arial" w:eastAsia="Arial" w:hAnsi="Arial" w:cs="Arial"/>
          <w:bCs/>
          <w:sz w:val="24"/>
          <w:szCs w:val="24"/>
        </w:rPr>
        <w:t xml:space="preserve"> to SSO customers. In doing so, DP&amp;L leverages distribution assets for the sole benefit SSO customers (i.e. in-house employees, legal and compliance, customer care etc.). CRES providers incur their own costs to serve competitive </w:t>
      </w:r>
      <w:r w:rsidR="00E705F7">
        <w:rPr>
          <w:rFonts w:ascii="Arial" w:eastAsia="Arial" w:hAnsi="Arial" w:cs="Arial"/>
          <w:bCs/>
          <w:sz w:val="24"/>
          <w:szCs w:val="24"/>
        </w:rPr>
        <w:t>shopping customers</w:t>
      </w:r>
      <w:r>
        <w:rPr>
          <w:rFonts w:ascii="Arial" w:eastAsia="Arial" w:hAnsi="Arial" w:cs="Arial"/>
          <w:bCs/>
          <w:sz w:val="24"/>
          <w:szCs w:val="24"/>
        </w:rPr>
        <w:t xml:space="preserve">. </w:t>
      </w:r>
      <w:r w:rsidR="00CA6FB0">
        <w:rPr>
          <w:rFonts w:ascii="Arial" w:eastAsia="Arial" w:hAnsi="Arial" w:cs="Arial"/>
          <w:bCs/>
          <w:sz w:val="24"/>
          <w:szCs w:val="24"/>
        </w:rPr>
        <w:t>For example, CRES providers must construct their own IT</w:t>
      </w:r>
      <w:r>
        <w:rPr>
          <w:rFonts w:ascii="Arial" w:eastAsia="Arial" w:hAnsi="Arial" w:cs="Arial"/>
          <w:bCs/>
          <w:sz w:val="24"/>
          <w:szCs w:val="24"/>
        </w:rPr>
        <w:t>, customer service</w:t>
      </w:r>
      <w:r w:rsidR="00CA6FB0">
        <w:rPr>
          <w:rFonts w:ascii="Arial" w:eastAsia="Arial" w:hAnsi="Arial" w:cs="Arial"/>
          <w:bCs/>
          <w:sz w:val="24"/>
          <w:szCs w:val="24"/>
        </w:rPr>
        <w:t xml:space="preserve"> and</w:t>
      </w:r>
      <w:r>
        <w:rPr>
          <w:rFonts w:ascii="Arial" w:eastAsia="Arial" w:hAnsi="Arial" w:cs="Arial"/>
          <w:bCs/>
          <w:sz w:val="24"/>
          <w:szCs w:val="24"/>
        </w:rPr>
        <w:t xml:space="preserve"> collection</w:t>
      </w:r>
      <w:r w:rsidR="00CA6FB0">
        <w:rPr>
          <w:rFonts w:ascii="Arial" w:eastAsia="Arial" w:hAnsi="Arial" w:cs="Arial"/>
          <w:bCs/>
          <w:sz w:val="24"/>
          <w:szCs w:val="24"/>
        </w:rPr>
        <w:t xml:space="preserve"> systems simply to offer a product in the market.</w:t>
      </w:r>
      <w:r>
        <w:rPr>
          <w:rFonts w:ascii="Arial" w:eastAsia="Arial" w:hAnsi="Arial" w:cs="Arial"/>
          <w:bCs/>
          <w:sz w:val="24"/>
          <w:szCs w:val="24"/>
        </w:rPr>
        <w:t xml:space="preserve"> But CRES providers do not have the luxury of having these </w:t>
      </w:r>
      <w:r w:rsidR="00E705F7">
        <w:rPr>
          <w:rFonts w:ascii="Arial" w:eastAsia="Arial" w:hAnsi="Arial" w:cs="Arial"/>
          <w:bCs/>
          <w:sz w:val="24"/>
          <w:szCs w:val="24"/>
        </w:rPr>
        <w:t>services pe</w:t>
      </w:r>
      <w:r w:rsidR="000030AC">
        <w:rPr>
          <w:rFonts w:ascii="Arial" w:eastAsia="Arial" w:hAnsi="Arial" w:cs="Arial"/>
          <w:bCs/>
          <w:sz w:val="24"/>
          <w:szCs w:val="24"/>
        </w:rPr>
        <w:t>r</w:t>
      </w:r>
      <w:r w:rsidR="00E705F7">
        <w:rPr>
          <w:rFonts w:ascii="Arial" w:eastAsia="Arial" w:hAnsi="Arial" w:cs="Arial"/>
          <w:bCs/>
          <w:sz w:val="24"/>
          <w:szCs w:val="24"/>
        </w:rPr>
        <w:t>formed by the distribution utility</w:t>
      </w:r>
      <w:r w:rsidR="004560C2">
        <w:rPr>
          <w:rFonts w:ascii="Arial" w:eastAsia="Arial" w:hAnsi="Arial" w:cs="Arial"/>
          <w:bCs/>
          <w:sz w:val="24"/>
          <w:szCs w:val="24"/>
        </w:rPr>
        <w:t>,</w:t>
      </w:r>
      <w:r w:rsidR="00E705F7">
        <w:rPr>
          <w:rFonts w:ascii="Arial" w:eastAsia="Arial" w:hAnsi="Arial" w:cs="Arial"/>
          <w:bCs/>
          <w:sz w:val="24"/>
          <w:szCs w:val="24"/>
        </w:rPr>
        <w:t xml:space="preserve"> or the </w:t>
      </w:r>
      <w:r>
        <w:rPr>
          <w:rFonts w:ascii="Arial" w:eastAsia="Arial" w:hAnsi="Arial" w:cs="Arial"/>
          <w:bCs/>
          <w:sz w:val="24"/>
          <w:szCs w:val="24"/>
        </w:rPr>
        <w:t>costs recovered through distribution rates.</w:t>
      </w:r>
      <w:r w:rsidR="006C1926">
        <w:rPr>
          <w:rFonts w:ascii="Arial" w:eastAsia="Arial" w:hAnsi="Arial" w:cs="Arial"/>
          <w:bCs/>
          <w:sz w:val="24"/>
          <w:szCs w:val="24"/>
        </w:rPr>
        <w:t xml:space="preserve">  </w:t>
      </w:r>
    </w:p>
    <w:p w14:paraId="58A92DD4" w14:textId="0BEC8FDA" w:rsidR="00467BA6" w:rsidRDefault="007D60FE" w:rsidP="007D60F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Third, many of the examples of services that DP&amp;L allegedly provides to shopping customers are </w:t>
      </w:r>
      <w:r w:rsidR="00067681">
        <w:rPr>
          <w:rFonts w:ascii="Arial" w:eastAsia="Arial" w:hAnsi="Arial" w:cs="Arial"/>
          <w:bCs/>
          <w:sz w:val="24"/>
          <w:szCs w:val="24"/>
        </w:rPr>
        <w:t xml:space="preserve">outlandish </w:t>
      </w:r>
      <w:r>
        <w:rPr>
          <w:rFonts w:ascii="Arial" w:eastAsia="Arial" w:hAnsi="Arial" w:cs="Arial"/>
          <w:bCs/>
          <w:sz w:val="24"/>
          <w:szCs w:val="24"/>
        </w:rPr>
        <w:t>and do not even relate to shopping.  Take the</w:t>
      </w:r>
      <w:r w:rsidR="00E705F7">
        <w:rPr>
          <w:rFonts w:ascii="Arial" w:eastAsia="Arial" w:hAnsi="Arial" w:cs="Arial"/>
          <w:bCs/>
          <w:sz w:val="24"/>
          <w:szCs w:val="24"/>
        </w:rPr>
        <w:t xml:space="preserve"> tr</w:t>
      </w:r>
      <w:r w:rsidR="00122B62">
        <w:rPr>
          <w:rFonts w:ascii="Arial" w:eastAsia="Arial" w:hAnsi="Arial" w:cs="Arial"/>
          <w:bCs/>
          <w:sz w:val="24"/>
          <w:szCs w:val="24"/>
        </w:rPr>
        <w:t>ansmission cost recovery rider-</w:t>
      </w:r>
      <w:r w:rsidR="00E705F7">
        <w:rPr>
          <w:rFonts w:ascii="Arial" w:eastAsia="Arial" w:hAnsi="Arial" w:cs="Arial"/>
          <w:bCs/>
          <w:sz w:val="24"/>
          <w:szCs w:val="24"/>
        </w:rPr>
        <w:t>nonbypassable</w:t>
      </w:r>
      <w:r w:rsidR="007F5579">
        <w:rPr>
          <w:rFonts w:ascii="Arial" w:eastAsia="Arial" w:hAnsi="Arial" w:cs="Arial"/>
          <w:bCs/>
          <w:sz w:val="24"/>
          <w:szCs w:val="24"/>
        </w:rPr>
        <w:t xml:space="preserve"> (“TCRR-N")</w:t>
      </w:r>
      <w:r>
        <w:rPr>
          <w:rFonts w:ascii="Arial" w:eastAsia="Arial" w:hAnsi="Arial" w:cs="Arial"/>
          <w:bCs/>
          <w:sz w:val="24"/>
          <w:szCs w:val="24"/>
        </w:rPr>
        <w:t xml:space="preserve"> </w:t>
      </w:r>
      <w:r w:rsidR="00BA59E2">
        <w:rPr>
          <w:rFonts w:ascii="Arial" w:eastAsia="Arial" w:hAnsi="Arial" w:cs="Arial"/>
          <w:bCs/>
          <w:sz w:val="24"/>
          <w:szCs w:val="24"/>
        </w:rPr>
        <w:t>pilot</w:t>
      </w:r>
      <w:r w:rsidR="00E705F7">
        <w:rPr>
          <w:rFonts w:ascii="Arial" w:eastAsia="Arial" w:hAnsi="Arial" w:cs="Arial"/>
          <w:bCs/>
          <w:sz w:val="24"/>
          <w:szCs w:val="24"/>
        </w:rPr>
        <w:t xml:space="preserve"> which DP&amp;L categorizes as an alleged Choice cost</w:t>
      </w:r>
      <w:r>
        <w:rPr>
          <w:rFonts w:ascii="Arial" w:eastAsia="Arial" w:hAnsi="Arial" w:cs="Arial"/>
          <w:bCs/>
          <w:sz w:val="24"/>
          <w:szCs w:val="24"/>
        </w:rPr>
        <w:t xml:space="preserve">. </w:t>
      </w:r>
      <w:r w:rsidR="00122B62">
        <w:rPr>
          <w:rFonts w:ascii="Arial" w:eastAsia="Arial" w:hAnsi="Arial" w:cs="Arial"/>
          <w:bCs/>
          <w:sz w:val="24"/>
          <w:szCs w:val="24"/>
        </w:rPr>
        <w:t>The TCRR-N</w:t>
      </w:r>
      <w:r w:rsidR="00E705F7">
        <w:rPr>
          <w:rFonts w:ascii="Arial" w:eastAsia="Arial" w:hAnsi="Arial" w:cs="Arial"/>
          <w:bCs/>
          <w:sz w:val="24"/>
          <w:szCs w:val="24"/>
        </w:rPr>
        <w:t xml:space="preserve"> has nothing to do with generation; it is a non-</w:t>
      </w:r>
      <w:r w:rsidR="00467BA6">
        <w:rPr>
          <w:rFonts w:ascii="Arial" w:eastAsia="Arial" w:hAnsi="Arial" w:cs="Arial"/>
          <w:bCs/>
          <w:sz w:val="24"/>
          <w:szCs w:val="24"/>
        </w:rPr>
        <w:t>bypassable rider related to transmission service</w:t>
      </w:r>
      <w:r w:rsidR="00BA59E2">
        <w:rPr>
          <w:rFonts w:ascii="Arial" w:eastAsia="Arial" w:hAnsi="Arial" w:cs="Arial"/>
          <w:bCs/>
          <w:sz w:val="24"/>
          <w:szCs w:val="24"/>
        </w:rPr>
        <w:t xml:space="preserve"> for</w:t>
      </w:r>
      <w:r w:rsidR="00E705F7">
        <w:rPr>
          <w:rFonts w:ascii="Arial" w:eastAsia="Arial" w:hAnsi="Arial" w:cs="Arial"/>
          <w:bCs/>
          <w:sz w:val="24"/>
          <w:szCs w:val="24"/>
        </w:rPr>
        <w:t xml:space="preserve"> only the</w:t>
      </w:r>
      <w:r w:rsidR="00BA59E2">
        <w:rPr>
          <w:rFonts w:ascii="Arial" w:eastAsia="Arial" w:hAnsi="Arial" w:cs="Arial"/>
          <w:bCs/>
          <w:sz w:val="24"/>
          <w:szCs w:val="24"/>
        </w:rPr>
        <w:t xml:space="preserve"> large</w:t>
      </w:r>
      <w:r w:rsidR="00E705F7">
        <w:rPr>
          <w:rFonts w:ascii="Arial" w:eastAsia="Arial" w:hAnsi="Arial" w:cs="Arial"/>
          <w:bCs/>
          <w:sz w:val="24"/>
          <w:szCs w:val="24"/>
        </w:rPr>
        <w:t>st</w:t>
      </w:r>
      <w:r w:rsidR="00BA59E2">
        <w:rPr>
          <w:rFonts w:ascii="Arial" w:eastAsia="Arial" w:hAnsi="Arial" w:cs="Arial"/>
          <w:bCs/>
          <w:sz w:val="24"/>
          <w:szCs w:val="24"/>
        </w:rPr>
        <w:t xml:space="preserve"> customers</w:t>
      </w:r>
      <w:r w:rsidR="00467BA6">
        <w:rPr>
          <w:rFonts w:ascii="Arial" w:eastAsia="Arial" w:hAnsi="Arial" w:cs="Arial"/>
          <w:bCs/>
          <w:sz w:val="24"/>
          <w:szCs w:val="24"/>
        </w:rPr>
        <w:t xml:space="preserve">.  </w:t>
      </w:r>
      <w:r w:rsidR="00BA59E2">
        <w:rPr>
          <w:rFonts w:ascii="Arial" w:eastAsia="Arial" w:hAnsi="Arial" w:cs="Arial"/>
          <w:bCs/>
          <w:sz w:val="24"/>
          <w:szCs w:val="24"/>
        </w:rPr>
        <w:t>The pilot</w:t>
      </w:r>
      <w:r w:rsidR="00467BA6">
        <w:rPr>
          <w:rFonts w:ascii="Arial" w:eastAsia="Arial" w:hAnsi="Arial" w:cs="Arial"/>
          <w:bCs/>
          <w:sz w:val="24"/>
          <w:szCs w:val="24"/>
        </w:rPr>
        <w:t xml:space="preserve"> has no re</w:t>
      </w:r>
      <w:r w:rsidR="00BA59E2">
        <w:rPr>
          <w:rFonts w:ascii="Arial" w:eastAsia="Arial" w:hAnsi="Arial" w:cs="Arial"/>
          <w:bCs/>
          <w:sz w:val="24"/>
          <w:szCs w:val="24"/>
        </w:rPr>
        <w:t xml:space="preserve">lationship to any </w:t>
      </w:r>
      <w:r w:rsidR="00467BA6">
        <w:rPr>
          <w:rFonts w:ascii="Arial" w:eastAsia="Arial" w:hAnsi="Arial" w:cs="Arial"/>
          <w:bCs/>
          <w:sz w:val="24"/>
          <w:szCs w:val="24"/>
        </w:rPr>
        <w:t>CRES</w:t>
      </w:r>
      <w:r w:rsidR="00BA59E2">
        <w:rPr>
          <w:rFonts w:ascii="Arial" w:eastAsia="Arial" w:hAnsi="Arial" w:cs="Arial"/>
          <w:bCs/>
          <w:sz w:val="24"/>
          <w:szCs w:val="24"/>
        </w:rPr>
        <w:t xml:space="preserve"> </w:t>
      </w:r>
      <w:r w:rsidR="0001199C">
        <w:rPr>
          <w:rFonts w:ascii="Arial" w:eastAsia="Arial" w:hAnsi="Arial" w:cs="Arial"/>
          <w:bCs/>
          <w:sz w:val="24"/>
          <w:szCs w:val="24"/>
        </w:rPr>
        <w:t>service</w:t>
      </w:r>
      <w:r w:rsidR="00122B62">
        <w:rPr>
          <w:rFonts w:ascii="Arial" w:eastAsia="Arial" w:hAnsi="Arial" w:cs="Arial"/>
          <w:bCs/>
          <w:sz w:val="24"/>
          <w:szCs w:val="24"/>
        </w:rPr>
        <w:t>.  Moreover,</w:t>
      </w:r>
      <w:r w:rsidR="0001199C">
        <w:rPr>
          <w:rFonts w:ascii="Arial" w:eastAsia="Arial" w:hAnsi="Arial" w:cs="Arial"/>
          <w:bCs/>
          <w:sz w:val="24"/>
          <w:szCs w:val="24"/>
        </w:rPr>
        <w:t xml:space="preserve"> the only reason why the pilot was even requested is because</w:t>
      </w:r>
      <w:r w:rsidR="00467BA6">
        <w:rPr>
          <w:rFonts w:ascii="Arial" w:eastAsia="Arial" w:hAnsi="Arial" w:cs="Arial"/>
          <w:bCs/>
          <w:sz w:val="24"/>
          <w:szCs w:val="24"/>
        </w:rPr>
        <w:t xml:space="preserve"> DP&amp;L </w:t>
      </w:r>
      <w:r w:rsidR="00BA59E2">
        <w:rPr>
          <w:rFonts w:ascii="Arial" w:eastAsia="Arial" w:hAnsi="Arial" w:cs="Arial"/>
          <w:bCs/>
          <w:sz w:val="24"/>
          <w:szCs w:val="24"/>
        </w:rPr>
        <w:t xml:space="preserve">deviated </w:t>
      </w:r>
      <w:r w:rsidR="00467BA6">
        <w:rPr>
          <w:rFonts w:ascii="Arial" w:eastAsia="Arial" w:hAnsi="Arial" w:cs="Arial"/>
          <w:bCs/>
          <w:sz w:val="24"/>
          <w:szCs w:val="24"/>
        </w:rPr>
        <w:t xml:space="preserve">from the PJM </w:t>
      </w:r>
      <w:r w:rsidR="0001199C">
        <w:rPr>
          <w:rFonts w:ascii="Arial" w:eastAsia="Arial" w:hAnsi="Arial" w:cs="Arial"/>
          <w:bCs/>
          <w:sz w:val="24"/>
          <w:szCs w:val="24"/>
        </w:rPr>
        <w:t>transmission cost assignment methodology</w:t>
      </w:r>
      <w:r w:rsidR="00FE1E61">
        <w:rPr>
          <w:rFonts w:ascii="Arial" w:eastAsia="Arial" w:hAnsi="Arial" w:cs="Arial"/>
          <w:bCs/>
          <w:sz w:val="24"/>
          <w:szCs w:val="24"/>
        </w:rPr>
        <w:t>, to</w:t>
      </w:r>
      <w:r w:rsidR="0001199C">
        <w:rPr>
          <w:rFonts w:ascii="Arial" w:eastAsia="Arial" w:hAnsi="Arial" w:cs="Arial"/>
          <w:bCs/>
          <w:sz w:val="24"/>
          <w:szCs w:val="24"/>
        </w:rPr>
        <w:t xml:space="preserve"> </w:t>
      </w:r>
      <w:r w:rsidR="00BA59E2">
        <w:rPr>
          <w:rFonts w:ascii="Arial" w:eastAsia="Arial" w:hAnsi="Arial" w:cs="Arial"/>
          <w:bCs/>
          <w:sz w:val="24"/>
          <w:szCs w:val="24"/>
        </w:rPr>
        <w:t>the detriment of</w:t>
      </w:r>
      <w:r w:rsidR="00FE1E61">
        <w:rPr>
          <w:rFonts w:ascii="Arial" w:eastAsia="Arial" w:hAnsi="Arial" w:cs="Arial"/>
          <w:bCs/>
          <w:sz w:val="24"/>
          <w:szCs w:val="24"/>
        </w:rPr>
        <w:t xml:space="preserve"> some of its</w:t>
      </w:r>
      <w:r w:rsidR="00BA59E2">
        <w:rPr>
          <w:rFonts w:ascii="Arial" w:eastAsia="Arial" w:hAnsi="Arial" w:cs="Arial"/>
          <w:bCs/>
          <w:sz w:val="24"/>
          <w:szCs w:val="24"/>
        </w:rPr>
        <w:t xml:space="preserve"> commercial and industrial</w:t>
      </w:r>
      <w:r w:rsidR="0001199C">
        <w:rPr>
          <w:rFonts w:ascii="Arial" w:eastAsia="Arial" w:hAnsi="Arial" w:cs="Arial"/>
          <w:bCs/>
          <w:sz w:val="24"/>
          <w:szCs w:val="24"/>
        </w:rPr>
        <w:t xml:space="preserve"> </w:t>
      </w:r>
      <w:r w:rsidR="00BA59E2">
        <w:rPr>
          <w:rFonts w:ascii="Arial" w:eastAsia="Arial" w:hAnsi="Arial" w:cs="Arial"/>
          <w:bCs/>
          <w:sz w:val="24"/>
          <w:szCs w:val="24"/>
        </w:rPr>
        <w:t>customers</w:t>
      </w:r>
      <w:r w:rsidR="00467BA6">
        <w:rPr>
          <w:rFonts w:ascii="Arial" w:eastAsia="Arial" w:hAnsi="Arial" w:cs="Arial"/>
          <w:bCs/>
          <w:sz w:val="24"/>
          <w:szCs w:val="24"/>
        </w:rPr>
        <w:t>, potentially in violation of tariffs approved by the FERC.</w:t>
      </w:r>
      <w:r w:rsidR="00BA59E2">
        <w:rPr>
          <w:rFonts w:ascii="Arial" w:eastAsia="Arial" w:hAnsi="Arial" w:cs="Arial"/>
          <w:bCs/>
          <w:sz w:val="24"/>
          <w:szCs w:val="24"/>
        </w:rPr>
        <w:t xml:space="preserve"> </w:t>
      </w:r>
    </w:p>
    <w:p w14:paraId="6024EBBE" w14:textId="7143BEE7" w:rsidR="00747083" w:rsidRDefault="007F5579" w:rsidP="007D60F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lastRenderedPageBreak/>
        <w:t>Finally</w:t>
      </w:r>
      <w:r w:rsidR="0001199C">
        <w:rPr>
          <w:rFonts w:ascii="Arial" w:eastAsia="Arial" w:hAnsi="Arial" w:cs="Arial"/>
          <w:bCs/>
          <w:sz w:val="24"/>
          <w:szCs w:val="24"/>
        </w:rPr>
        <w:t>, the TCRR-N</w:t>
      </w:r>
      <w:r w:rsidR="00467BA6">
        <w:rPr>
          <w:rFonts w:ascii="Arial" w:eastAsia="Arial" w:hAnsi="Arial" w:cs="Arial"/>
          <w:bCs/>
          <w:sz w:val="24"/>
          <w:szCs w:val="24"/>
        </w:rPr>
        <w:t xml:space="preserve"> resulted from a settlement that was a give and take that allowed parties to let go of their litigation positions.  Reliance upon the provisions </w:t>
      </w:r>
      <w:r w:rsidR="00122B62">
        <w:rPr>
          <w:rFonts w:ascii="Arial" w:eastAsia="Arial" w:hAnsi="Arial" w:cs="Arial"/>
          <w:bCs/>
          <w:sz w:val="24"/>
          <w:szCs w:val="24"/>
        </w:rPr>
        <w:t xml:space="preserve">contained in the </w:t>
      </w:r>
      <w:r w:rsidR="00467BA6">
        <w:rPr>
          <w:rFonts w:ascii="Arial" w:eastAsia="Arial" w:hAnsi="Arial" w:cs="Arial"/>
          <w:bCs/>
          <w:sz w:val="24"/>
          <w:szCs w:val="24"/>
        </w:rPr>
        <w:t>Stipulation</w:t>
      </w:r>
      <w:r w:rsidR="00122B62">
        <w:rPr>
          <w:rFonts w:ascii="Arial" w:eastAsia="Arial" w:hAnsi="Arial" w:cs="Arial"/>
          <w:bCs/>
          <w:sz w:val="24"/>
          <w:szCs w:val="24"/>
        </w:rPr>
        <w:t>, for any purpose other than enforcement,</w:t>
      </w:r>
      <w:r w:rsidR="00467BA6">
        <w:rPr>
          <w:rFonts w:ascii="Arial" w:eastAsia="Arial" w:hAnsi="Arial" w:cs="Arial"/>
          <w:bCs/>
          <w:sz w:val="24"/>
          <w:szCs w:val="24"/>
        </w:rPr>
        <w:t xml:space="preserve"> is a violation</w:t>
      </w:r>
      <w:r w:rsidR="00E4495E">
        <w:rPr>
          <w:rFonts w:ascii="Arial" w:eastAsia="Arial" w:hAnsi="Arial" w:cs="Arial"/>
          <w:bCs/>
          <w:sz w:val="24"/>
          <w:szCs w:val="24"/>
        </w:rPr>
        <w:t xml:space="preserve"> of the Stipulation</w:t>
      </w:r>
      <w:r w:rsidR="00467BA6">
        <w:rPr>
          <w:rFonts w:ascii="Arial" w:eastAsia="Arial" w:hAnsi="Arial" w:cs="Arial"/>
          <w:bCs/>
          <w:sz w:val="24"/>
          <w:szCs w:val="24"/>
        </w:rPr>
        <w:t>.</w:t>
      </w:r>
      <w:r w:rsidR="00122B62">
        <w:rPr>
          <w:rStyle w:val="FootnoteReference"/>
          <w:rFonts w:ascii="Arial" w:eastAsia="Arial" w:hAnsi="Arial" w:cs="Arial"/>
          <w:bCs/>
          <w:sz w:val="24"/>
          <w:szCs w:val="24"/>
        </w:rPr>
        <w:footnoteReference w:id="26"/>
      </w:r>
      <w:r w:rsidR="00467BA6">
        <w:rPr>
          <w:rFonts w:ascii="Arial" w:eastAsia="Arial" w:hAnsi="Arial" w:cs="Arial"/>
          <w:bCs/>
          <w:sz w:val="24"/>
          <w:szCs w:val="24"/>
        </w:rPr>
        <w:t xml:space="preserve">  If the TCRR-N is going to be discussed, it opens the door to </w:t>
      </w:r>
      <w:r w:rsidR="00BA59E2">
        <w:rPr>
          <w:rFonts w:ascii="Arial" w:eastAsia="Arial" w:hAnsi="Arial" w:cs="Arial"/>
          <w:bCs/>
          <w:sz w:val="24"/>
          <w:szCs w:val="24"/>
        </w:rPr>
        <w:t xml:space="preserve">discussion of </w:t>
      </w:r>
      <w:r w:rsidR="00467BA6">
        <w:rPr>
          <w:rFonts w:ascii="Arial" w:eastAsia="Arial" w:hAnsi="Arial" w:cs="Arial"/>
          <w:bCs/>
          <w:sz w:val="24"/>
          <w:szCs w:val="24"/>
        </w:rPr>
        <w:t>several DP&amp;L-specific</w:t>
      </w:r>
      <w:r w:rsidR="00BA59E2">
        <w:rPr>
          <w:rFonts w:ascii="Arial" w:eastAsia="Arial" w:hAnsi="Arial" w:cs="Arial"/>
          <w:bCs/>
          <w:sz w:val="24"/>
          <w:szCs w:val="24"/>
        </w:rPr>
        <w:t xml:space="preserve"> provisions that parties would never</w:t>
      </w:r>
      <w:r w:rsidR="00467BA6">
        <w:rPr>
          <w:rFonts w:ascii="Arial" w:eastAsia="Arial" w:hAnsi="Arial" w:cs="Arial"/>
          <w:bCs/>
          <w:sz w:val="24"/>
          <w:szCs w:val="24"/>
        </w:rPr>
        <w:t xml:space="preserve"> agree to outside the settlement.</w:t>
      </w:r>
    </w:p>
    <w:p w14:paraId="6D4FFF6C" w14:textId="0C6660AB" w:rsidR="00467BA6" w:rsidRDefault="00747083" w:rsidP="007D60F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Accordingly, the Stipulation unreasonably and unlawfully</w:t>
      </w:r>
      <w:r w:rsidR="00E4495E">
        <w:rPr>
          <w:rFonts w:ascii="Arial" w:eastAsia="Arial" w:hAnsi="Arial" w:cs="Arial"/>
          <w:bCs/>
          <w:sz w:val="24"/>
          <w:szCs w:val="24"/>
        </w:rPr>
        <w:t xml:space="preserve"> proposes that the Commission</w:t>
      </w:r>
      <w:r>
        <w:rPr>
          <w:rFonts w:ascii="Arial" w:eastAsia="Arial" w:hAnsi="Arial" w:cs="Arial"/>
          <w:bCs/>
          <w:sz w:val="24"/>
          <w:szCs w:val="24"/>
        </w:rPr>
        <w:t xml:space="preserve"> increase DP&amp;L’s recovery of SSO-related costs</w:t>
      </w:r>
      <w:r w:rsidR="00BA59E2">
        <w:rPr>
          <w:rFonts w:ascii="Arial" w:eastAsia="Arial" w:hAnsi="Arial" w:cs="Arial"/>
          <w:bCs/>
          <w:sz w:val="24"/>
          <w:szCs w:val="24"/>
        </w:rPr>
        <w:t xml:space="preserve"> through distribution rates</w:t>
      </w:r>
      <w:r>
        <w:rPr>
          <w:rFonts w:ascii="Arial" w:eastAsia="Arial" w:hAnsi="Arial" w:cs="Arial"/>
          <w:bCs/>
          <w:sz w:val="24"/>
          <w:szCs w:val="24"/>
        </w:rPr>
        <w:t>.  Therefore, the Commission cannot authorize the Stipulation without addressing the legal shortcomings discussed herein.</w:t>
      </w:r>
    </w:p>
    <w:p w14:paraId="7BD378DB" w14:textId="29EF35FA" w:rsidR="006C1926" w:rsidRPr="00E4495E" w:rsidRDefault="00E4495E" w:rsidP="004202F3">
      <w:pPr>
        <w:pStyle w:val="ListParagraph"/>
        <w:numPr>
          <w:ilvl w:val="0"/>
          <w:numId w:val="13"/>
        </w:numPr>
        <w:spacing w:after="120" w:line="240" w:lineRule="auto"/>
        <w:jc w:val="both"/>
        <w:rPr>
          <w:rFonts w:ascii="Arial" w:hAnsi="Arial" w:cs="Arial"/>
          <w:sz w:val="24"/>
          <w:szCs w:val="24"/>
        </w:rPr>
      </w:pPr>
      <w:r>
        <w:rPr>
          <w:rFonts w:ascii="Arial" w:hAnsi="Arial" w:cs="Arial"/>
          <w:b/>
          <w:sz w:val="24"/>
          <w:szCs w:val="24"/>
        </w:rPr>
        <w:t>RESA and IGS</w:t>
      </w:r>
      <w:r w:rsidR="002F1923">
        <w:rPr>
          <w:rFonts w:ascii="Arial" w:hAnsi="Arial" w:cs="Arial"/>
          <w:b/>
          <w:sz w:val="24"/>
          <w:szCs w:val="24"/>
        </w:rPr>
        <w:t xml:space="preserve"> Provided the Only Credible Analysis to Rectify the Stipulation’s Unlawful P</w:t>
      </w:r>
      <w:r w:rsidR="006C1926">
        <w:rPr>
          <w:rFonts w:ascii="Arial" w:hAnsi="Arial" w:cs="Arial"/>
          <w:b/>
          <w:sz w:val="24"/>
          <w:szCs w:val="24"/>
        </w:rPr>
        <w:t>roposal</w:t>
      </w:r>
    </w:p>
    <w:p w14:paraId="31508E52" w14:textId="77777777" w:rsidR="00E4495E" w:rsidRPr="00E4495E" w:rsidRDefault="00E4495E" w:rsidP="00E4495E">
      <w:pPr>
        <w:pStyle w:val="ListParagraph"/>
        <w:spacing w:after="120" w:line="240" w:lineRule="auto"/>
        <w:ind w:left="1080"/>
        <w:jc w:val="both"/>
        <w:rPr>
          <w:rFonts w:ascii="Arial" w:hAnsi="Arial" w:cs="Arial"/>
          <w:sz w:val="24"/>
          <w:szCs w:val="24"/>
        </w:rPr>
      </w:pPr>
    </w:p>
    <w:p w14:paraId="06A51494" w14:textId="3B3BF973" w:rsidR="004202F3" w:rsidRDefault="004202F3" w:rsidP="004202F3">
      <w:pPr>
        <w:spacing w:after="120" w:line="480" w:lineRule="auto"/>
        <w:ind w:firstLine="720"/>
        <w:jc w:val="both"/>
        <w:rPr>
          <w:rFonts w:ascii="Arial" w:hAnsi="Arial" w:cs="Arial"/>
          <w:sz w:val="24"/>
          <w:szCs w:val="24"/>
        </w:rPr>
      </w:pPr>
      <w:r>
        <w:rPr>
          <w:rFonts w:ascii="Arial" w:hAnsi="Arial" w:cs="Arial"/>
          <w:sz w:val="24"/>
          <w:szCs w:val="24"/>
        </w:rPr>
        <w:t>Rather than working productively and collaboratively to quantify the SSO subsidy and without offering any quantitative analysis of their own, Staff and DP&amp;</w:t>
      </w:r>
      <w:r w:rsidR="00E4495E">
        <w:rPr>
          <w:rFonts w:ascii="Arial" w:hAnsi="Arial" w:cs="Arial"/>
          <w:sz w:val="24"/>
          <w:szCs w:val="24"/>
        </w:rPr>
        <w:t>L try to shoot holes in RESA’s and IGS</w:t>
      </w:r>
      <w:r>
        <w:rPr>
          <w:rFonts w:ascii="Arial" w:hAnsi="Arial" w:cs="Arial"/>
          <w:sz w:val="24"/>
          <w:szCs w:val="24"/>
        </w:rPr>
        <w:t xml:space="preserve">’ proposed methodology.  As discussed below, these challenges lack merit.  </w:t>
      </w:r>
    </w:p>
    <w:p w14:paraId="0F3C5673" w14:textId="1119CDD3" w:rsidR="00150542" w:rsidRDefault="001806F7" w:rsidP="004A6EE2">
      <w:pPr>
        <w:spacing w:after="120" w:line="480" w:lineRule="auto"/>
        <w:ind w:firstLine="720"/>
        <w:jc w:val="both"/>
        <w:rPr>
          <w:rFonts w:ascii="Arial" w:hAnsi="Arial" w:cs="Arial"/>
          <w:sz w:val="24"/>
          <w:szCs w:val="24"/>
        </w:rPr>
      </w:pPr>
      <w:r>
        <w:rPr>
          <w:rFonts w:ascii="Arial" w:hAnsi="Arial" w:cs="Arial"/>
          <w:sz w:val="24"/>
          <w:szCs w:val="24"/>
        </w:rPr>
        <w:t>S</w:t>
      </w:r>
      <w:r w:rsidR="008F3A83">
        <w:rPr>
          <w:rFonts w:ascii="Arial" w:hAnsi="Arial" w:cs="Arial"/>
          <w:sz w:val="24"/>
          <w:szCs w:val="24"/>
        </w:rPr>
        <w:t>taff argues that the only manner to</w:t>
      </w:r>
      <w:r>
        <w:rPr>
          <w:rFonts w:ascii="Arial" w:hAnsi="Arial" w:cs="Arial"/>
          <w:sz w:val="24"/>
          <w:szCs w:val="24"/>
        </w:rPr>
        <w:t xml:space="preserve"> identify the SSO subsidy is based upon </w:t>
      </w:r>
      <w:r w:rsidR="008F3A83">
        <w:rPr>
          <w:rFonts w:ascii="Arial" w:hAnsi="Arial" w:cs="Arial"/>
          <w:sz w:val="24"/>
          <w:szCs w:val="24"/>
        </w:rPr>
        <w:t>a class cost of service study.</w:t>
      </w:r>
      <w:r w:rsidR="00E4495E">
        <w:rPr>
          <w:rStyle w:val="FootnoteReference"/>
          <w:rFonts w:ascii="Arial" w:hAnsi="Arial" w:cs="Arial"/>
          <w:sz w:val="24"/>
          <w:szCs w:val="24"/>
        </w:rPr>
        <w:footnoteReference w:id="27"/>
      </w:r>
      <w:r>
        <w:rPr>
          <w:rFonts w:ascii="Arial" w:hAnsi="Arial" w:cs="Arial"/>
          <w:sz w:val="24"/>
          <w:szCs w:val="24"/>
        </w:rPr>
        <w:t xml:space="preserve">   First, this is simply false, given that the uncontroverted evidence demonstrates that the Stipulation would permit DP&amp;L to recover SSO-related costs through distribution rates.  A class cost of service study is simply not needed to confirm the obvious</w:t>
      </w:r>
      <w:r w:rsidR="00D322D3">
        <w:rPr>
          <w:rFonts w:ascii="Arial" w:hAnsi="Arial" w:cs="Arial"/>
          <w:sz w:val="24"/>
          <w:szCs w:val="24"/>
        </w:rPr>
        <w:t>—</w:t>
      </w:r>
      <w:r w:rsidR="00150542">
        <w:rPr>
          <w:rFonts w:ascii="Arial" w:hAnsi="Arial" w:cs="Arial"/>
          <w:sz w:val="24"/>
          <w:szCs w:val="24"/>
        </w:rPr>
        <w:t xml:space="preserve">that SSO costs are </w:t>
      </w:r>
      <w:r w:rsidR="00E4495E">
        <w:rPr>
          <w:rFonts w:ascii="Arial" w:hAnsi="Arial" w:cs="Arial"/>
          <w:sz w:val="24"/>
          <w:szCs w:val="24"/>
        </w:rPr>
        <w:t>proposed for recovery</w:t>
      </w:r>
      <w:r w:rsidR="00150542">
        <w:rPr>
          <w:rFonts w:ascii="Arial" w:hAnsi="Arial" w:cs="Arial"/>
          <w:sz w:val="24"/>
          <w:szCs w:val="24"/>
        </w:rPr>
        <w:t xml:space="preserve"> through distribution rates</w:t>
      </w:r>
      <w:r>
        <w:rPr>
          <w:rFonts w:ascii="Arial" w:hAnsi="Arial" w:cs="Arial"/>
          <w:sz w:val="24"/>
          <w:szCs w:val="24"/>
        </w:rPr>
        <w:t xml:space="preserve">.  </w:t>
      </w:r>
      <w:r w:rsidR="008F3A83">
        <w:rPr>
          <w:rFonts w:ascii="Arial" w:hAnsi="Arial" w:cs="Arial"/>
          <w:sz w:val="24"/>
          <w:szCs w:val="24"/>
        </w:rPr>
        <w:t xml:space="preserve"> </w:t>
      </w:r>
    </w:p>
    <w:p w14:paraId="03BD0787" w14:textId="3BEFE925" w:rsidR="00150542" w:rsidRDefault="001806F7" w:rsidP="004A6EE2">
      <w:pPr>
        <w:spacing w:after="120" w:line="480" w:lineRule="auto"/>
        <w:ind w:firstLine="720"/>
        <w:jc w:val="both"/>
        <w:rPr>
          <w:rFonts w:ascii="Arial" w:hAnsi="Arial" w:cs="Arial"/>
          <w:sz w:val="24"/>
          <w:szCs w:val="24"/>
        </w:rPr>
      </w:pPr>
      <w:r>
        <w:rPr>
          <w:rFonts w:ascii="Arial" w:hAnsi="Arial" w:cs="Arial"/>
          <w:sz w:val="24"/>
          <w:szCs w:val="24"/>
        </w:rPr>
        <w:lastRenderedPageBreak/>
        <w:t xml:space="preserve">Second, </w:t>
      </w:r>
      <w:r w:rsidR="00BA59E2">
        <w:rPr>
          <w:rFonts w:ascii="Arial" w:hAnsi="Arial" w:cs="Arial"/>
          <w:sz w:val="24"/>
          <w:szCs w:val="24"/>
        </w:rPr>
        <w:t xml:space="preserve">it is illogical to conclude that </w:t>
      </w:r>
      <w:r>
        <w:rPr>
          <w:rFonts w:ascii="Arial" w:hAnsi="Arial" w:cs="Arial"/>
          <w:sz w:val="24"/>
          <w:szCs w:val="24"/>
        </w:rPr>
        <w:t xml:space="preserve">a class cost of service study </w:t>
      </w:r>
      <w:r w:rsidR="00BA59E2">
        <w:rPr>
          <w:rFonts w:ascii="Arial" w:hAnsi="Arial" w:cs="Arial"/>
          <w:sz w:val="24"/>
          <w:szCs w:val="24"/>
        </w:rPr>
        <w:t>is</w:t>
      </w:r>
      <w:r>
        <w:rPr>
          <w:rFonts w:ascii="Arial" w:hAnsi="Arial" w:cs="Arial"/>
          <w:sz w:val="24"/>
          <w:szCs w:val="24"/>
        </w:rPr>
        <w:t xml:space="preserve"> needed to show the presence of a subsidy, given that Staff</w:t>
      </w:r>
      <w:r w:rsidR="00BA59E2">
        <w:rPr>
          <w:rFonts w:ascii="Arial" w:hAnsi="Arial" w:cs="Arial"/>
          <w:sz w:val="24"/>
          <w:szCs w:val="24"/>
        </w:rPr>
        <w:t xml:space="preserve"> concluded without a study that there is no subsidy.</w:t>
      </w:r>
      <w:r w:rsidR="00E4495E">
        <w:rPr>
          <w:rStyle w:val="FootnoteReference"/>
          <w:rFonts w:ascii="Arial" w:hAnsi="Arial" w:cs="Arial"/>
          <w:sz w:val="24"/>
          <w:szCs w:val="24"/>
        </w:rPr>
        <w:footnoteReference w:id="28"/>
      </w:r>
      <w:r w:rsidR="00BA59E2">
        <w:rPr>
          <w:rFonts w:ascii="Arial" w:hAnsi="Arial" w:cs="Arial"/>
          <w:sz w:val="24"/>
          <w:szCs w:val="24"/>
        </w:rPr>
        <w:t xml:space="preserve">  If a</w:t>
      </w:r>
      <w:r>
        <w:rPr>
          <w:rFonts w:ascii="Arial" w:hAnsi="Arial" w:cs="Arial"/>
          <w:sz w:val="24"/>
          <w:szCs w:val="24"/>
        </w:rPr>
        <w:t xml:space="preserve"> study is needed to show the existence of the subsidy, it is equally needed to disprove it</w:t>
      </w:r>
      <w:r w:rsidR="00BA59E2">
        <w:rPr>
          <w:rFonts w:ascii="Arial" w:hAnsi="Arial" w:cs="Arial"/>
          <w:sz w:val="24"/>
          <w:szCs w:val="24"/>
        </w:rPr>
        <w:t>s existence</w:t>
      </w:r>
      <w:r>
        <w:rPr>
          <w:rFonts w:ascii="Arial" w:hAnsi="Arial" w:cs="Arial"/>
          <w:sz w:val="24"/>
          <w:szCs w:val="24"/>
        </w:rPr>
        <w:t xml:space="preserve">.  </w:t>
      </w:r>
    </w:p>
    <w:p w14:paraId="1BD80961" w14:textId="3F0C9A40" w:rsidR="008F3A83" w:rsidRDefault="001806F7" w:rsidP="004A6EE2">
      <w:pPr>
        <w:spacing w:after="120" w:line="480" w:lineRule="auto"/>
        <w:ind w:firstLine="720"/>
        <w:jc w:val="both"/>
        <w:rPr>
          <w:rFonts w:ascii="Arial" w:hAnsi="Arial" w:cs="Arial"/>
          <w:sz w:val="24"/>
          <w:szCs w:val="24"/>
        </w:rPr>
      </w:pPr>
      <w:r>
        <w:rPr>
          <w:rFonts w:ascii="Arial" w:hAnsi="Arial" w:cs="Arial"/>
          <w:sz w:val="24"/>
          <w:szCs w:val="24"/>
        </w:rPr>
        <w:t xml:space="preserve">Third, Staff’s </w:t>
      </w:r>
      <w:r w:rsidR="00BA59E2">
        <w:rPr>
          <w:rFonts w:ascii="Arial" w:hAnsi="Arial" w:cs="Arial"/>
          <w:sz w:val="24"/>
          <w:szCs w:val="24"/>
        </w:rPr>
        <w:t xml:space="preserve">reasoning </w:t>
      </w:r>
      <w:r w:rsidR="00D322D3" w:rsidRPr="00D322D3">
        <w:rPr>
          <w:rFonts w:ascii="Arial" w:hAnsi="Arial" w:cs="Arial"/>
          <w:sz w:val="24"/>
          <w:szCs w:val="24"/>
        </w:rPr>
        <w:t>implies that it agreed to an evaluation</w:t>
      </w:r>
      <w:r w:rsidR="00D322D3">
        <w:rPr>
          <w:rFonts w:ascii="Arial" w:hAnsi="Arial" w:cs="Arial"/>
          <w:sz w:val="24"/>
          <w:szCs w:val="24"/>
        </w:rPr>
        <w:t xml:space="preserve"> in this proceeding with full knowledge that it would be an exercise in futility. </w:t>
      </w:r>
      <w:r w:rsidR="00D322D3" w:rsidRPr="00D322D3">
        <w:rPr>
          <w:rFonts w:ascii="Arial" w:hAnsi="Arial" w:cs="Arial"/>
          <w:sz w:val="24"/>
          <w:szCs w:val="24"/>
        </w:rPr>
        <w:t xml:space="preserve"> </w:t>
      </w:r>
      <w:r w:rsidR="00BA59E2">
        <w:rPr>
          <w:rFonts w:ascii="Arial" w:hAnsi="Arial" w:cs="Arial"/>
          <w:sz w:val="24"/>
          <w:szCs w:val="24"/>
        </w:rPr>
        <w:t xml:space="preserve">While there was a </w:t>
      </w:r>
      <w:r w:rsidR="00D322D3">
        <w:rPr>
          <w:rFonts w:ascii="Arial" w:hAnsi="Arial" w:cs="Arial"/>
          <w:sz w:val="24"/>
          <w:szCs w:val="24"/>
        </w:rPr>
        <w:t>study filed in this case docket several years ago,</w:t>
      </w:r>
      <w:r w:rsidR="00BA59E2">
        <w:rPr>
          <w:rFonts w:ascii="Arial" w:hAnsi="Arial" w:cs="Arial"/>
          <w:sz w:val="24"/>
          <w:szCs w:val="24"/>
        </w:rPr>
        <w:t xml:space="preserve"> it</w:t>
      </w:r>
      <w:r>
        <w:rPr>
          <w:rFonts w:ascii="Arial" w:hAnsi="Arial" w:cs="Arial"/>
          <w:sz w:val="24"/>
          <w:szCs w:val="24"/>
        </w:rPr>
        <w:t xml:space="preserve"> did not address this issue</w:t>
      </w:r>
      <w:r w:rsidR="00D322D3">
        <w:rPr>
          <w:rFonts w:ascii="Arial" w:hAnsi="Arial" w:cs="Arial"/>
          <w:sz w:val="24"/>
          <w:szCs w:val="24"/>
        </w:rPr>
        <w:t>.</w:t>
      </w:r>
      <w:r w:rsidR="00BA59E2">
        <w:rPr>
          <w:rStyle w:val="FootnoteReference"/>
          <w:rFonts w:ascii="Arial" w:hAnsi="Arial" w:cs="Arial"/>
          <w:sz w:val="24"/>
          <w:szCs w:val="24"/>
        </w:rPr>
        <w:footnoteReference w:id="29"/>
      </w:r>
      <w:r w:rsidR="00D322D3">
        <w:rPr>
          <w:rFonts w:ascii="Arial" w:hAnsi="Arial" w:cs="Arial"/>
          <w:sz w:val="24"/>
          <w:szCs w:val="24"/>
        </w:rPr>
        <w:t xml:space="preserve"> Moreover, that study</w:t>
      </w:r>
      <w:r w:rsidR="004A6EE2">
        <w:rPr>
          <w:rFonts w:ascii="Arial" w:hAnsi="Arial" w:cs="Arial"/>
          <w:sz w:val="24"/>
          <w:szCs w:val="24"/>
        </w:rPr>
        <w:t xml:space="preserve"> </w:t>
      </w:r>
      <w:r w:rsidR="00D322D3">
        <w:rPr>
          <w:rFonts w:ascii="Arial" w:hAnsi="Arial" w:cs="Arial"/>
          <w:sz w:val="24"/>
          <w:szCs w:val="24"/>
        </w:rPr>
        <w:t xml:space="preserve">was </w:t>
      </w:r>
      <w:r w:rsidR="004A6EE2">
        <w:rPr>
          <w:rFonts w:ascii="Arial" w:hAnsi="Arial" w:cs="Arial"/>
          <w:sz w:val="24"/>
          <w:szCs w:val="24"/>
        </w:rPr>
        <w:t>performed</w:t>
      </w:r>
      <w:r>
        <w:rPr>
          <w:rFonts w:ascii="Arial" w:hAnsi="Arial" w:cs="Arial"/>
          <w:sz w:val="24"/>
          <w:szCs w:val="24"/>
        </w:rPr>
        <w:t xml:space="preserve"> </w:t>
      </w:r>
      <w:r>
        <w:rPr>
          <w:rFonts w:ascii="Arial" w:hAnsi="Arial" w:cs="Arial"/>
          <w:i/>
          <w:sz w:val="24"/>
          <w:szCs w:val="24"/>
        </w:rPr>
        <w:t>before</w:t>
      </w:r>
      <w:r>
        <w:rPr>
          <w:rFonts w:ascii="Arial" w:hAnsi="Arial" w:cs="Arial"/>
          <w:sz w:val="24"/>
          <w:szCs w:val="24"/>
        </w:rPr>
        <w:t xml:space="preserve"> Staff agreed to evaluate the SSO subsidy in the Amended ESP Stipulation.</w:t>
      </w:r>
      <w:r w:rsidR="00E4495E">
        <w:rPr>
          <w:rStyle w:val="FootnoteReference"/>
          <w:rFonts w:ascii="Arial" w:hAnsi="Arial" w:cs="Arial"/>
          <w:sz w:val="24"/>
          <w:szCs w:val="24"/>
        </w:rPr>
        <w:footnoteReference w:id="30"/>
      </w:r>
      <w:r w:rsidR="00EC23E7">
        <w:rPr>
          <w:rFonts w:ascii="Arial" w:hAnsi="Arial" w:cs="Arial"/>
          <w:sz w:val="24"/>
          <w:szCs w:val="24"/>
        </w:rPr>
        <w:t xml:space="preserve">  R</w:t>
      </w:r>
      <w:r w:rsidR="00D322D3">
        <w:rPr>
          <w:rFonts w:ascii="Arial" w:hAnsi="Arial" w:cs="Arial"/>
          <w:sz w:val="24"/>
          <w:szCs w:val="24"/>
        </w:rPr>
        <w:t>ather than complaining about the lack of a study of this issue</w:t>
      </w:r>
      <w:r w:rsidR="00EC23E7">
        <w:rPr>
          <w:rFonts w:ascii="Arial" w:hAnsi="Arial" w:cs="Arial"/>
          <w:sz w:val="24"/>
          <w:szCs w:val="24"/>
        </w:rPr>
        <w:t xml:space="preserve"> after the</w:t>
      </w:r>
      <w:r w:rsidR="00E4495E">
        <w:rPr>
          <w:rFonts w:ascii="Arial" w:hAnsi="Arial" w:cs="Arial"/>
          <w:sz w:val="24"/>
          <w:szCs w:val="24"/>
        </w:rPr>
        <w:t xml:space="preserve"> time to complete one had elapsed</w:t>
      </w:r>
      <w:r w:rsidR="00D322D3">
        <w:rPr>
          <w:rFonts w:ascii="Arial" w:hAnsi="Arial" w:cs="Arial"/>
          <w:sz w:val="24"/>
          <w:szCs w:val="24"/>
        </w:rPr>
        <w:t>,</w:t>
      </w:r>
      <w:r w:rsidR="00E4495E">
        <w:rPr>
          <w:rFonts w:ascii="Arial" w:hAnsi="Arial" w:cs="Arial"/>
          <w:sz w:val="24"/>
          <w:szCs w:val="24"/>
        </w:rPr>
        <w:t xml:space="preserve"> Staff should have requested a cost of service study</w:t>
      </w:r>
      <w:r w:rsidR="00D322D3">
        <w:rPr>
          <w:rFonts w:ascii="Arial" w:hAnsi="Arial" w:cs="Arial"/>
          <w:sz w:val="24"/>
          <w:szCs w:val="24"/>
        </w:rPr>
        <w:t xml:space="preserve"> pursuant to its obligations under the Amended Stipulation.</w:t>
      </w:r>
      <w:r w:rsidR="00E4495E">
        <w:rPr>
          <w:rFonts w:ascii="Arial" w:hAnsi="Arial" w:cs="Arial"/>
          <w:sz w:val="24"/>
          <w:szCs w:val="24"/>
        </w:rPr>
        <w:t xml:space="preserve">  It had an entire year to request a cost of service study between the filing of the Amended Stipulation and the Staff Report.  Since it failed to do so, it should not be permitted to </w:t>
      </w:r>
      <w:r w:rsidR="00EC23E7">
        <w:rPr>
          <w:rFonts w:ascii="Arial" w:hAnsi="Arial" w:cs="Arial"/>
          <w:sz w:val="24"/>
          <w:szCs w:val="24"/>
        </w:rPr>
        <w:t>raise the argument here.</w:t>
      </w:r>
    </w:p>
    <w:p w14:paraId="7DBAB735" w14:textId="4C153384" w:rsidR="004A6EE2" w:rsidRDefault="008F3A83" w:rsidP="004A6EE2">
      <w:pPr>
        <w:pStyle w:val="BodyText"/>
        <w:spacing w:after="0" w:line="480" w:lineRule="auto"/>
        <w:ind w:firstLine="720"/>
        <w:jc w:val="both"/>
        <w:rPr>
          <w:rFonts w:ascii="Arial" w:hAnsi="Arial" w:cs="Arial"/>
          <w:sz w:val="24"/>
          <w:szCs w:val="24"/>
        </w:rPr>
      </w:pPr>
      <w:r>
        <w:rPr>
          <w:rFonts w:ascii="Arial" w:hAnsi="Arial" w:cs="Arial"/>
          <w:sz w:val="24"/>
          <w:szCs w:val="24"/>
        </w:rPr>
        <w:t xml:space="preserve">DP&amp;L and Staff </w:t>
      </w:r>
      <w:r w:rsidR="004A6EE2">
        <w:rPr>
          <w:rFonts w:ascii="Arial" w:hAnsi="Arial" w:cs="Arial"/>
          <w:sz w:val="24"/>
          <w:szCs w:val="24"/>
        </w:rPr>
        <w:t xml:space="preserve">further </w:t>
      </w:r>
      <w:r>
        <w:rPr>
          <w:rFonts w:ascii="Arial" w:hAnsi="Arial" w:cs="Arial"/>
          <w:sz w:val="24"/>
          <w:szCs w:val="24"/>
        </w:rPr>
        <w:t>argue that Mr. Hess’ methodology is flawed because DP&amp;L does not dir</w:t>
      </w:r>
      <w:r w:rsidR="004A6EE2">
        <w:rPr>
          <w:rFonts w:ascii="Arial" w:hAnsi="Arial" w:cs="Arial"/>
          <w:sz w:val="24"/>
          <w:szCs w:val="24"/>
        </w:rPr>
        <w:t>ectly track SSO-related costs.  This is an irrelevant point.  As Mr. Hess testified:</w:t>
      </w:r>
    </w:p>
    <w:p w14:paraId="7F135C91" w14:textId="77777777" w:rsidR="004A6EE2" w:rsidRPr="00755F2F" w:rsidRDefault="004A6EE2" w:rsidP="004A6EE2">
      <w:pPr>
        <w:pStyle w:val="BodyText"/>
        <w:spacing w:after="0" w:line="240" w:lineRule="auto"/>
        <w:ind w:left="720" w:right="720"/>
        <w:jc w:val="both"/>
        <w:rPr>
          <w:rFonts w:ascii="Arial" w:hAnsi="Arial" w:cs="Arial"/>
          <w:sz w:val="24"/>
          <w:szCs w:val="24"/>
        </w:rPr>
      </w:pPr>
      <w:r w:rsidRPr="002F747C">
        <w:rPr>
          <w:rFonts w:ascii="Arial" w:hAnsi="Arial" w:cs="Arial"/>
          <w:sz w:val="24"/>
          <w:szCs w:val="24"/>
        </w:rPr>
        <w:t xml:space="preserve">We agree that tracking these costs individually could be expensive, although Dayton has not identified how expensive that process would be. Regardless, that is why we are recommending a cost of service allocation methodology that approximates the costs incurred by Dayton in providing this service. It is the industry’s acceptable methodology to identify costs </w:t>
      </w:r>
      <w:r w:rsidRPr="002F747C">
        <w:rPr>
          <w:rFonts w:ascii="Arial" w:hAnsi="Arial" w:cs="Arial"/>
          <w:sz w:val="24"/>
          <w:szCs w:val="24"/>
        </w:rPr>
        <w:lastRenderedPageBreak/>
        <w:t>between different types of customers when tracking costs is prohibitively expensive.</w:t>
      </w:r>
      <w:r>
        <w:rPr>
          <w:rStyle w:val="FootnoteReference"/>
          <w:rFonts w:ascii="Arial" w:hAnsi="Arial" w:cs="Arial"/>
          <w:sz w:val="24"/>
          <w:szCs w:val="24"/>
        </w:rPr>
        <w:footnoteReference w:id="31"/>
      </w:r>
    </w:p>
    <w:p w14:paraId="24D331AB" w14:textId="77777777" w:rsidR="004A6EE2" w:rsidRDefault="004A6EE2" w:rsidP="004A6EE2">
      <w:pPr>
        <w:pStyle w:val="BodyText"/>
        <w:spacing w:after="0" w:line="240" w:lineRule="auto"/>
        <w:ind w:right="720"/>
        <w:jc w:val="both"/>
        <w:rPr>
          <w:rFonts w:ascii="Arial" w:hAnsi="Arial" w:cs="Arial"/>
          <w:sz w:val="24"/>
          <w:szCs w:val="24"/>
        </w:rPr>
      </w:pPr>
    </w:p>
    <w:p w14:paraId="003DB0E2" w14:textId="2AFFBEDF" w:rsidR="004A6EE2" w:rsidRDefault="004A6EE2" w:rsidP="004A6EE2">
      <w:pPr>
        <w:spacing w:after="120" w:line="480" w:lineRule="auto"/>
        <w:ind w:firstLine="720"/>
        <w:jc w:val="both"/>
        <w:rPr>
          <w:rFonts w:ascii="Arial" w:hAnsi="Arial" w:cs="Arial"/>
          <w:sz w:val="24"/>
          <w:szCs w:val="24"/>
        </w:rPr>
      </w:pPr>
      <w:r>
        <w:rPr>
          <w:rFonts w:ascii="Arial" w:hAnsi="Arial" w:cs="Arial"/>
          <w:sz w:val="24"/>
          <w:szCs w:val="24"/>
        </w:rPr>
        <w:t xml:space="preserve">During cross-examination, DP&amp;L and Staff confirmed Mr. Hess’ conclusion that it is common industry practice to use </w:t>
      </w:r>
      <w:r w:rsidRPr="002F747C">
        <w:rPr>
          <w:rFonts w:ascii="Arial" w:hAnsi="Arial" w:cs="Arial"/>
          <w:sz w:val="24"/>
          <w:szCs w:val="24"/>
        </w:rPr>
        <w:t>allocation</w:t>
      </w:r>
      <w:r>
        <w:rPr>
          <w:rFonts w:ascii="Arial" w:hAnsi="Arial" w:cs="Arial"/>
          <w:sz w:val="24"/>
          <w:szCs w:val="24"/>
        </w:rPr>
        <w:t xml:space="preserve"> factors to assign costs when it </w:t>
      </w:r>
      <w:r w:rsidRPr="002F747C">
        <w:rPr>
          <w:rFonts w:ascii="Arial" w:hAnsi="Arial" w:cs="Arial"/>
          <w:sz w:val="24"/>
          <w:szCs w:val="24"/>
        </w:rPr>
        <w:t xml:space="preserve">is determined that it </w:t>
      </w:r>
      <w:r>
        <w:rPr>
          <w:rFonts w:ascii="Arial" w:hAnsi="Arial" w:cs="Arial"/>
          <w:sz w:val="24"/>
          <w:szCs w:val="24"/>
        </w:rPr>
        <w:t>would be cost prohibitive to directly track and assign costs.</w:t>
      </w:r>
      <w:r>
        <w:rPr>
          <w:rStyle w:val="FootnoteReference"/>
          <w:rFonts w:ascii="Arial" w:hAnsi="Arial" w:cs="Arial"/>
          <w:sz w:val="24"/>
          <w:szCs w:val="24"/>
        </w:rPr>
        <w:footnoteReference w:id="32"/>
      </w:r>
      <w:r>
        <w:rPr>
          <w:rFonts w:ascii="Arial" w:hAnsi="Arial" w:cs="Arial"/>
          <w:sz w:val="24"/>
          <w:szCs w:val="24"/>
        </w:rPr>
        <w:t xml:space="preserve">  </w:t>
      </w:r>
    </w:p>
    <w:p w14:paraId="75B0B5B5" w14:textId="58D694B0" w:rsidR="00FA4BA7" w:rsidRDefault="00E72379" w:rsidP="00E72379">
      <w:pPr>
        <w:spacing w:after="120" w:line="480" w:lineRule="auto"/>
        <w:ind w:firstLine="720"/>
        <w:jc w:val="both"/>
        <w:rPr>
          <w:rFonts w:ascii="Arial" w:hAnsi="Arial" w:cs="Arial"/>
          <w:sz w:val="24"/>
          <w:szCs w:val="24"/>
        </w:rPr>
      </w:pPr>
      <w:r>
        <w:rPr>
          <w:rFonts w:ascii="Arial" w:hAnsi="Arial" w:cs="Arial"/>
          <w:sz w:val="24"/>
          <w:szCs w:val="24"/>
        </w:rPr>
        <w:t>DP&amp;L and Staff</w:t>
      </w:r>
      <w:r w:rsidR="008F3A83">
        <w:rPr>
          <w:rFonts w:ascii="Arial" w:hAnsi="Arial" w:cs="Arial"/>
          <w:sz w:val="24"/>
          <w:szCs w:val="24"/>
        </w:rPr>
        <w:t xml:space="preserve"> argue that Mr. Hess’</w:t>
      </w:r>
      <w:r w:rsidR="004A6EE2">
        <w:rPr>
          <w:rFonts w:ascii="Arial" w:hAnsi="Arial" w:cs="Arial"/>
          <w:sz w:val="24"/>
          <w:szCs w:val="24"/>
        </w:rPr>
        <w:t xml:space="preserve"> allocation factor-</w:t>
      </w:r>
      <w:r w:rsidR="008F3A83">
        <w:rPr>
          <w:rFonts w:ascii="Arial" w:hAnsi="Arial" w:cs="Arial"/>
          <w:sz w:val="24"/>
          <w:szCs w:val="24"/>
        </w:rPr>
        <w:t>based me</w:t>
      </w:r>
      <w:r w:rsidR="004A6EE2">
        <w:rPr>
          <w:rFonts w:ascii="Arial" w:hAnsi="Arial" w:cs="Arial"/>
          <w:sz w:val="24"/>
          <w:szCs w:val="24"/>
        </w:rPr>
        <w:t>thodology is flawed because Mr</w:t>
      </w:r>
      <w:r w:rsidR="004A6EE2" w:rsidRPr="00E72379">
        <w:rPr>
          <w:rFonts w:ascii="Arial" w:hAnsi="Arial" w:cs="Arial"/>
          <w:sz w:val="24"/>
          <w:szCs w:val="24"/>
        </w:rPr>
        <w:t>. Hess</w:t>
      </w:r>
      <w:r w:rsidR="008F3A83" w:rsidRPr="00E72379">
        <w:rPr>
          <w:rFonts w:ascii="Arial" w:hAnsi="Arial" w:cs="Arial"/>
          <w:sz w:val="24"/>
          <w:szCs w:val="24"/>
        </w:rPr>
        <w:t xml:space="preserve"> “arbitrarily” applied</w:t>
      </w:r>
      <w:r w:rsidR="004A6EE2" w:rsidRPr="00E72379">
        <w:rPr>
          <w:rFonts w:ascii="Arial" w:hAnsi="Arial" w:cs="Arial"/>
          <w:sz w:val="24"/>
          <w:szCs w:val="24"/>
        </w:rPr>
        <w:t xml:space="preserve"> allocation factors</w:t>
      </w:r>
      <w:r w:rsidR="008F3A83" w:rsidRPr="00E72379">
        <w:rPr>
          <w:rFonts w:ascii="Arial" w:hAnsi="Arial" w:cs="Arial"/>
          <w:sz w:val="24"/>
          <w:szCs w:val="24"/>
        </w:rPr>
        <w:t xml:space="preserve"> to accounts that </w:t>
      </w:r>
      <w:r w:rsidR="00FA4BA7" w:rsidRPr="00E72379">
        <w:rPr>
          <w:rFonts w:ascii="Arial" w:hAnsi="Arial" w:cs="Arial"/>
          <w:sz w:val="24"/>
          <w:szCs w:val="24"/>
        </w:rPr>
        <w:t>“</w:t>
      </w:r>
      <w:r w:rsidR="008F3A83" w:rsidRPr="00E72379">
        <w:rPr>
          <w:rFonts w:ascii="Arial" w:hAnsi="Arial" w:cs="Arial"/>
          <w:sz w:val="24"/>
          <w:szCs w:val="24"/>
        </w:rPr>
        <w:t>m</w:t>
      </w:r>
      <w:r w:rsidR="004A6EE2" w:rsidRPr="00E72379">
        <w:rPr>
          <w:rFonts w:ascii="Arial" w:hAnsi="Arial" w:cs="Arial"/>
          <w:sz w:val="24"/>
          <w:szCs w:val="24"/>
        </w:rPr>
        <w:t>ight</w:t>
      </w:r>
      <w:r w:rsidR="00FA4BA7" w:rsidRPr="00E72379">
        <w:rPr>
          <w:rFonts w:ascii="Arial" w:hAnsi="Arial" w:cs="Arial"/>
          <w:sz w:val="24"/>
          <w:szCs w:val="24"/>
        </w:rPr>
        <w:t>” contain SSO-related costs.</w:t>
      </w:r>
      <w:r w:rsidR="00E4495E">
        <w:rPr>
          <w:rStyle w:val="FootnoteReference"/>
          <w:rFonts w:ascii="Arial" w:hAnsi="Arial" w:cs="Arial"/>
          <w:sz w:val="24"/>
          <w:szCs w:val="24"/>
        </w:rPr>
        <w:footnoteReference w:id="33"/>
      </w:r>
      <w:r w:rsidRPr="00E72379">
        <w:rPr>
          <w:rFonts w:ascii="Arial" w:hAnsi="Arial" w:cs="Arial"/>
          <w:sz w:val="24"/>
          <w:szCs w:val="24"/>
        </w:rPr>
        <w:t xml:space="preserve">  They further argue that “without any analysis of embedded costs, they assumed costs were different.”</w:t>
      </w:r>
      <w:r w:rsidR="00E4495E">
        <w:rPr>
          <w:rStyle w:val="FootnoteReference"/>
          <w:rFonts w:ascii="Arial" w:hAnsi="Arial" w:cs="Arial"/>
          <w:sz w:val="24"/>
          <w:szCs w:val="24"/>
        </w:rPr>
        <w:footnoteReference w:id="34"/>
      </w:r>
      <w:r w:rsidRPr="00E72379">
        <w:rPr>
          <w:rFonts w:ascii="Arial" w:hAnsi="Arial" w:cs="Arial"/>
          <w:sz w:val="24"/>
          <w:szCs w:val="24"/>
        </w:rPr>
        <w:t xml:space="preserve"> </w:t>
      </w:r>
      <w:r w:rsidR="00FA4BA7" w:rsidRPr="00E72379">
        <w:rPr>
          <w:rFonts w:ascii="Arial" w:hAnsi="Arial" w:cs="Arial"/>
          <w:sz w:val="24"/>
          <w:szCs w:val="24"/>
        </w:rPr>
        <w:t xml:space="preserve">  Both DP&amp;L and Staff also allege that Mr. Hess erred “by basing his allocation methodology based upon revenue.”</w:t>
      </w:r>
      <w:r w:rsidR="002B2BCF">
        <w:rPr>
          <w:rStyle w:val="FootnoteReference"/>
          <w:rFonts w:ascii="Arial" w:hAnsi="Arial" w:cs="Arial"/>
          <w:sz w:val="24"/>
          <w:szCs w:val="24"/>
        </w:rPr>
        <w:footnoteReference w:id="35"/>
      </w:r>
      <w:r w:rsidR="004A6EE2" w:rsidRPr="00E72379">
        <w:rPr>
          <w:rFonts w:ascii="Arial" w:hAnsi="Arial" w:cs="Arial"/>
          <w:sz w:val="24"/>
          <w:szCs w:val="24"/>
        </w:rPr>
        <w:t xml:space="preserve"> </w:t>
      </w:r>
      <w:r w:rsidR="008F3A83" w:rsidRPr="00E72379">
        <w:rPr>
          <w:rFonts w:ascii="Arial" w:hAnsi="Arial" w:cs="Arial"/>
          <w:sz w:val="24"/>
          <w:szCs w:val="24"/>
        </w:rPr>
        <w:t xml:space="preserve"> </w:t>
      </w:r>
      <w:r w:rsidR="00FA4BA7" w:rsidRPr="00E72379">
        <w:rPr>
          <w:rFonts w:ascii="Arial" w:hAnsi="Arial" w:cs="Arial"/>
          <w:sz w:val="24"/>
          <w:szCs w:val="24"/>
        </w:rPr>
        <w:t>These</w:t>
      </w:r>
      <w:r w:rsidR="00FA4BA7">
        <w:rPr>
          <w:rFonts w:ascii="Arial" w:hAnsi="Arial" w:cs="Arial"/>
          <w:sz w:val="24"/>
          <w:szCs w:val="24"/>
        </w:rPr>
        <w:t xml:space="preserve"> claims lack merit.</w:t>
      </w:r>
    </w:p>
    <w:p w14:paraId="352A2851" w14:textId="7DFF88B2" w:rsidR="008F3A83" w:rsidRDefault="00FA4BA7" w:rsidP="004202F3">
      <w:pPr>
        <w:spacing w:after="120" w:line="480" w:lineRule="auto"/>
        <w:ind w:firstLine="720"/>
        <w:jc w:val="both"/>
        <w:rPr>
          <w:rFonts w:ascii="Arial" w:hAnsi="Arial" w:cs="Arial"/>
          <w:sz w:val="24"/>
          <w:szCs w:val="24"/>
        </w:rPr>
      </w:pPr>
      <w:r>
        <w:rPr>
          <w:rFonts w:ascii="Arial" w:hAnsi="Arial" w:cs="Arial"/>
          <w:sz w:val="24"/>
          <w:szCs w:val="24"/>
        </w:rPr>
        <w:t>There is nothing arbitrary about Mr. Hess’ detailed, thoughtful allocation process.  Indeed, Mr. Hess performed an in depth review of DP&amp;L’s accounts and isolated specific accounts</w:t>
      </w:r>
      <w:r w:rsidR="00AD0EB6">
        <w:rPr>
          <w:rFonts w:ascii="Arial" w:hAnsi="Arial" w:cs="Arial"/>
          <w:sz w:val="24"/>
          <w:szCs w:val="24"/>
        </w:rPr>
        <w:t xml:space="preserve"> that contained SSO-related costs</w:t>
      </w:r>
      <w:r>
        <w:rPr>
          <w:rFonts w:ascii="Arial" w:hAnsi="Arial" w:cs="Arial"/>
          <w:sz w:val="24"/>
          <w:szCs w:val="24"/>
        </w:rPr>
        <w:t>:</w:t>
      </w:r>
    </w:p>
    <w:p w14:paraId="6744D680" w14:textId="63907FBC" w:rsidR="00FA4BA7" w:rsidRDefault="00FA4BA7" w:rsidP="00FA4BA7">
      <w:pPr>
        <w:pStyle w:val="BodyText"/>
        <w:spacing w:after="0" w:line="240" w:lineRule="auto"/>
        <w:ind w:left="720" w:right="720"/>
        <w:jc w:val="both"/>
        <w:rPr>
          <w:rFonts w:ascii="Arial" w:hAnsi="Arial" w:cs="Arial"/>
          <w:sz w:val="24"/>
          <w:szCs w:val="24"/>
        </w:rPr>
      </w:pPr>
      <w:r w:rsidRPr="00BC7F4B">
        <w:rPr>
          <w:rFonts w:ascii="Arial" w:hAnsi="Arial" w:cs="Arial"/>
          <w:sz w:val="24"/>
          <w:szCs w:val="24"/>
        </w:rPr>
        <w:t xml:space="preserve">I reviewed the Schedule C-2.1 and have identified several accounts included in distribution expenses that would include the type of expenses I discussed earlier. These accounts are included in the FERC categories Customer Accounts Expense, Customer Service and Information Expense, Sales Expense, Administrative and General Expenses and Taxes Other Than Income Taxes. I reviewed these categories by specific FERC account to identify the accounts that would include costs that should be allocated to SSO customers. These accounts include costs such as PUCO and OCC assessments, legal and regulatory expenses, payroll taxes, call center costs, accounting costs, infrastructure costs, and several other categories </w:t>
      </w:r>
      <w:r w:rsidRPr="00BC7F4B">
        <w:rPr>
          <w:rFonts w:ascii="Arial" w:hAnsi="Arial" w:cs="Arial"/>
          <w:sz w:val="24"/>
          <w:szCs w:val="24"/>
        </w:rPr>
        <w:lastRenderedPageBreak/>
        <w:t>of costs I have identified throughout my testimony. These accounts, which I have identified, contain costs that are being incurred to process or administer to the SSO. For instance, Customer Account Expense contains costs for receiving, recording, and handling of inquiries, complaints, and requests for investigations from customers, including SSO customers. Dayton also recovers items such as the PUCO and OCC assessment, legal and compliance and other costs required to support the SSO service through the General and Administrative account. These are items that directly support SSO customers. The accounts that I selected are identified on JEH-2.</w:t>
      </w:r>
      <w:r>
        <w:rPr>
          <w:rStyle w:val="FootnoteReference"/>
          <w:rFonts w:ascii="Arial" w:hAnsi="Arial" w:cs="Arial"/>
          <w:sz w:val="24"/>
          <w:szCs w:val="24"/>
        </w:rPr>
        <w:footnoteReference w:id="36"/>
      </w:r>
    </w:p>
    <w:p w14:paraId="39813221" w14:textId="77777777" w:rsidR="00FA4BA7" w:rsidRDefault="00FA4BA7" w:rsidP="00FA4BA7">
      <w:pPr>
        <w:pStyle w:val="BodyText"/>
        <w:spacing w:after="0" w:line="240" w:lineRule="auto"/>
        <w:ind w:left="720" w:right="720"/>
        <w:jc w:val="both"/>
        <w:rPr>
          <w:rFonts w:ascii="Arial" w:hAnsi="Arial" w:cs="Arial"/>
          <w:sz w:val="24"/>
          <w:szCs w:val="24"/>
        </w:rPr>
      </w:pPr>
    </w:p>
    <w:p w14:paraId="10580830" w14:textId="77777777" w:rsidR="002B2BCF" w:rsidRDefault="00FA4BA7" w:rsidP="00A26F2E">
      <w:pPr>
        <w:spacing w:after="0" w:line="480" w:lineRule="auto"/>
        <w:ind w:firstLine="720"/>
        <w:jc w:val="both"/>
        <w:rPr>
          <w:rFonts w:ascii="Arial" w:hAnsi="Arial" w:cs="Arial"/>
          <w:sz w:val="24"/>
          <w:szCs w:val="24"/>
        </w:rPr>
      </w:pPr>
      <w:r>
        <w:rPr>
          <w:rFonts w:ascii="Arial" w:hAnsi="Arial" w:cs="Arial"/>
          <w:sz w:val="24"/>
          <w:szCs w:val="24"/>
        </w:rPr>
        <w:t>Moreover, the claim that Mr. Hess’ allocation methodology is based upon revenue is not even factually correct—this argument perpetuates a mistake contained in Witness Smith’s testimony that carries over into the briefs of both DP&amp;L and Staff.</w:t>
      </w:r>
      <w:r w:rsidR="002B2BCF">
        <w:rPr>
          <w:rStyle w:val="FootnoteReference"/>
          <w:rFonts w:ascii="Arial" w:hAnsi="Arial" w:cs="Arial"/>
          <w:sz w:val="24"/>
          <w:szCs w:val="24"/>
        </w:rPr>
        <w:footnoteReference w:id="37"/>
      </w:r>
      <w:r>
        <w:rPr>
          <w:rFonts w:ascii="Arial" w:hAnsi="Arial" w:cs="Arial"/>
          <w:sz w:val="24"/>
          <w:szCs w:val="24"/>
        </w:rPr>
        <w:t xml:space="preserve"> </w:t>
      </w:r>
      <w:r w:rsidR="00F55EA7">
        <w:rPr>
          <w:rFonts w:ascii="Arial" w:hAnsi="Arial" w:cs="Arial"/>
          <w:sz w:val="24"/>
          <w:szCs w:val="24"/>
        </w:rPr>
        <w:t xml:space="preserve"> </w:t>
      </w:r>
      <w:r w:rsidR="002B2BCF">
        <w:rPr>
          <w:rFonts w:ascii="Arial" w:hAnsi="Arial" w:cs="Arial"/>
          <w:sz w:val="24"/>
          <w:szCs w:val="24"/>
        </w:rPr>
        <w:t>Indeed, Mr. Smith conceded at the hearing that he failed to review the testimony Mr. Hess presented at the hearing—his testimony was based upon an earlier version of Mr. Hess’ Testimony that is not even part of the record.</w:t>
      </w:r>
      <w:r w:rsidR="002B2BCF">
        <w:rPr>
          <w:rStyle w:val="FootnoteReference"/>
          <w:rFonts w:ascii="Arial" w:hAnsi="Arial" w:cs="Arial"/>
          <w:sz w:val="24"/>
          <w:szCs w:val="24"/>
        </w:rPr>
        <w:footnoteReference w:id="38"/>
      </w:r>
      <w:r w:rsidR="002B2BCF">
        <w:rPr>
          <w:rFonts w:ascii="Arial" w:hAnsi="Arial" w:cs="Arial"/>
          <w:sz w:val="24"/>
          <w:szCs w:val="24"/>
        </w:rPr>
        <w:t xml:space="preserve">  </w:t>
      </w:r>
    </w:p>
    <w:p w14:paraId="0AF98826" w14:textId="1822F685" w:rsidR="00A26F2E" w:rsidRPr="00802C25" w:rsidRDefault="002B2BCF" w:rsidP="00A26F2E">
      <w:pPr>
        <w:spacing w:after="0" w:line="480" w:lineRule="auto"/>
        <w:ind w:firstLine="720"/>
        <w:jc w:val="both"/>
        <w:rPr>
          <w:rFonts w:ascii="Arial" w:hAnsi="Arial" w:cs="Arial"/>
          <w:sz w:val="24"/>
          <w:szCs w:val="24"/>
        </w:rPr>
      </w:pPr>
      <w:r>
        <w:rPr>
          <w:rFonts w:ascii="Arial" w:hAnsi="Arial" w:cs="Arial"/>
          <w:sz w:val="24"/>
          <w:szCs w:val="24"/>
        </w:rPr>
        <w:t>Regardless, a</w:t>
      </w:r>
      <w:r w:rsidR="00FA4BA7">
        <w:rPr>
          <w:rFonts w:ascii="Arial" w:hAnsi="Arial" w:cs="Arial"/>
          <w:sz w:val="24"/>
          <w:szCs w:val="24"/>
        </w:rPr>
        <w:t>s the prefiled testimony and the record shows, Mr. Hess developed two</w:t>
      </w:r>
      <w:r w:rsidR="001B611A">
        <w:rPr>
          <w:rFonts w:ascii="Arial" w:hAnsi="Arial" w:cs="Arial"/>
          <w:sz w:val="24"/>
          <w:szCs w:val="24"/>
        </w:rPr>
        <w:t xml:space="preserve"> different</w:t>
      </w:r>
      <w:r w:rsidR="00FA4BA7">
        <w:rPr>
          <w:rFonts w:ascii="Arial" w:hAnsi="Arial" w:cs="Arial"/>
          <w:sz w:val="24"/>
          <w:szCs w:val="24"/>
        </w:rPr>
        <w:t xml:space="preserve"> allocation factors, one based upon weighted customer count, and a second based upon the proportion of SSO revenue to distribution revenue.</w:t>
      </w:r>
      <w:r>
        <w:rPr>
          <w:rStyle w:val="FootnoteReference"/>
          <w:rFonts w:ascii="Arial" w:hAnsi="Arial" w:cs="Arial"/>
          <w:sz w:val="24"/>
          <w:szCs w:val="24"/>
        </w:rPr>
        <w:footnoteReference w:id="39"/>
      </w:r>
      <w:r w:rsidR="00FA4BA7">
        <w:rPr>
          <w:rFonts w:ascii="Arial" w:hAnsi="Arial" w:cs="Arial"/>
          <w:sz w:val="24"/>
          <w:szCs w:val="24"/>
        </w:rPr>
        <w:t xml:space="preserve">  </w:t>
      </w:r>
      <w:r w:rsidR="00A26F2E">
        <w:rPr>
          <w:rFonts w:ascii="Arial" w:hAnsi="Arial" w:cs="Arial"/>
          <w:sz w:val="24"/>
          <w:szCs w:val="24"/>
        </w:rPr>
        <w:t xml:space="preserve">Based upon his several decades of experience, </w:t>
      </w:r>
      <w:r w:rsidR="00A26F2E" w:rsidRPr="00802C25">
        <w:rPr>
          <w:rFonts w:ascii="Arial" w:hAnsi="Arial" w:cs="Arial"/>
          <w:sz w:val="24"/>
          <w:szCs w:val="24"/>
        </w:rPr>
        <w:t>Mr. Hess further explained the instances that necessitated t</w:t>
      </w:r>
      <w:r w:rsidR="00A26F2E">
        <w:rPr>
          <w:rFonts w:ascii="Arial" w:hAnsi="Arial" w:cs="Arial"/>
          <w:sz w:val="24"/>
          <w:szCs w:val="24"/>
        </w:rPr>
        <w:t>he use of each allocation factor to the specific identified accounts containing SSO-related costs</w:t>
      </w:r>
      <w:r w:rsidR="00A26F2E" w:rsidRPr="00802C25">
        <w:rPr>
          <w:rFonts w:ascii="Arial" w:hAnsi="Arial" w:cs="Arial"/>
          <w:sz w:val="24"/>
          <w:szCs w:val="24"/>
        </w:rPr>
        <w:t>:</w:t>
      </w:r>
    </w:p>
    <w:p w14:paraId="21E8CC02" w14:textId="77777777" w:rsidR="00A26F2E" w:rsidRPr="00802C25" w:rsidRDefault="00A26F2E" w:rsidP="00A26F2E">
      <w:pPr>
        <w:spacing w:after="0" w:line="240" w:lineRule="auto"/>
        <w:ind w:left="720" w:right="720"/>
        <w:jc w:val="both"/>
        <w:rPr>
          <w:rFonts w:ascii="Arial" w:hAnsi="Arial" w:cs="Arial"/>
          <w:sz w:val="24"/>
          <w:szCs w:val="24"/>
        </w:rPr>
      </w:pPr>
      <w:r w:rsidRPr="00802C25">
        <w:rPr>
          <w:rFonts w:ascii="Arial" w:hAnsi="Arial" w:cs="Arial"/>
          <w:sz w:val="24"/>
          <w:szCs w:val="24"/>
        </w:rPr>
        <w:t xml:space="preserve">The Customer Accounts Expenses and the Customer Service and Information Expenses that I allocated are customer related expenses. These expenses vary by numbers of customers. I applied a weighted customer allocation ratio to these expenses consistent with that relationship. The ratio was weighed to account for the costs to support </w:t>
      </w:r>
      <w:r w:rsidRPr="00802C25">
        <w:rPr>
          <w:rFonts w:ascii="Arial" w:hAnsi="Arial" w:cs="Arial"/>
          <w:sz w:val="24"/>
          <w:szCs w:val="24"/>
        </w:rPr>
        <w:lastRenderedPageBreak/>
        <w:t>distribution service for CRES customers and distribution and generation service for SSO customers.</w:t>
      </w:r>
    </w:p>
    <w:p w14:paraId="7AE73706" w14:textId="77777777" w:rsidR="00A26F2E" w:rsidRPr="00802C25" w:rsidRDefault="00A26F2E" w:rsidP="00A26F2E">
      <w:pPr>
        <w:spacing w:after="0" w:line="240" w:lineRule="auto"/>
        <w:ind w:left="720" w:right="720"/>
        <w:jc w:val="both"/>
        <w:rPr>
          <w:rFonts w:ascii="Arial" w:hAnsi="Arial" w:cs="Arial"/>
          <w:sz w:val="24"/>
          <w:szCs w:val="24"/>
        </w:rPr>
      </w:pPr>
      <w:r w:rsidRPr="00802C25">
        <w:rPr>
          <w:rFonts w:ascii="Arial" w:hAnsi="Arial" w:cs="Arial"/>
          <w:sz w:val="24"/>
          <w:szCs w:val="24"/>
        </w:rPr>
        <w:tab/>
      </w:r>
      <w:r w:rsidRPr="00802C25">
        <w:rPr>
          <w:rFonts w:ascii="Arial" w:hAnsi="Arial" w:cs="Arial"/>
          <w:sz w:val="24"/>
          <w:szCs w:val="24"/>
        </w:rPr>
        <w:tab/>
      </w:r>
    </w:p>
    <w:p w14:paraId="09F1D684" w14:textId="06FC5F2D" w:rsidR="00A26F2E" w:rsidRDefault="00A26F2E" w:rsidP="002B2BCF">
      <w:pPr>
        <w:spacing w:after="0" w:line="240" w:lineRule="auto"/>
        <w:ind w:left="720" w:right="720" w:firstLine="720"/>
        <w:jc w:val="both"/>
        <w:rPr>
          <w:rFonts w:ascii="Arial" w:hAnsi="Arial" w:cs="Arial"/>
          <w:sz w:val="24"/>
          <w:szCs w:val="24"/>
        </w:rPr>
      </w:pPr>
      <w:r w:rsidRPr="00802C25">
        <w:rPr>
          <w:rFonts w:ascii="Arial" w:hAnsi="Arial" w:cs="Arial"/>
          <w:sz w:val="24"/>
          <w:szCs w:val="24"/>
        </w:rPr>
        <w:t>I chose to allocate Administrative and General Expenses and Rate Base based on the amount of SSO revenue Dayton receives from customers. A utility company’s revenues provide a proxy for and generally mirror the costs that are required to provide the utility service to various customer categories.</w:t>
      </w:r>
      <w:r>
        <w:rPr>
          <w:rStyle w:val="FootnoteReference"/>
          <w:rFonts w:ascii="Arial" w:hAnsi="Arial" w:cs="Arial"/>
          <w:sz w:val="24"/>
          <w:szCs w:val="24"/>
        </w:rPr>
        <w:footnoteReference w:id="40"/>
      </w:r>
    </w:p>
    <w:p w14:paraId="1ADBFECB" w14:textId="77777777" w:rsidR="002B2BCF" w:rsidRDefault="002B2BCF" w:rsidP="002B2BCF">
      <w:pPr>
        <w:spacing w:after="0" w:line="240" w:lineRule="auto"/>
        <w:ind w:left="720" w:right="720" w:firstLine="720"/>
        <w:jc w:val="both"/>
        <w:rPr>
          <w:rFonts w:ascii="Arial" w:hAnsi="Arial" w:cs="Arial"/>
          <w:sz w:val="24"/>
          <w:szCs w:val="24"/>
        </w:rPr>
      </w:pPr>
    </w:p>
    <w:p w14:paraId="6B42F838" w14:textId="5677EA59" w:rsidR="00A26F2E" w:rsidRDefault="00A26F2E" w:rsidP="005373FC">
      <w:pPr>
        <w:spacing w:after="120" w:line="480" w:lineRule="auto"/>
        <w:ind w:firstLine="720"/>
        <w:jc w:val="both"/>
        <w:rPr>
          <w:rFonts w:ascii="Arial" w:hAnsi="Arial" w:cs="Arial"/>
          <w:sz w:val="24"/>
          <w:szCs w:val="24"/>
        </w:rPr>
      </w:pPr>
      <w:r>
        <w:rPr>
          <w:rFonts w:ascii="Arial" w:hAnsi="Arial" w:cs="Arial"/>
          <w:sz w:val="24"/>
          <w:szCs w:val="24"/>
        </w:rPr>
        <w:t>Interestingly, although Staff challenges the use of a revenue allocation factor, the one item that the Staff Report recommended be unbundled—the PUCO and OCC assessment—is one of the most appropriate costs to allocate based upon revenue.</w:t>
      </w:r>
      <w:r w:rsidR="002B2BCF">
        <w:rPr>
          <w:rStyle w:val="FootnoteReference"/>
          <w:rFonts w:ascii="Arial" w:hAnsi="Arial" w:cs="Arial"/>
          <w:sz w:val="24"/>
          <w:szCs w:val="24"/>
        </w:rPr>
        <w:footnoteReference w:id="41"/>
      </w:r>
      <w:r>
        <w:rPr>
          <w:rFonts w:ascii="Arial" w:hAnsi="Arial" w:cs="Arial"/>
          <w:sz w:val="24"/>
          <w:szCs w:val="24"/>
        </w:rPr>
        <w:t xml:space="preserve"> </w:t>
      </w:r>
      <w:r w:rsidR="002B2BCF">
        <w:rPr>
          <w:rFonts w:ascii="Arial" w:hAnsi="Arial" w:cs="Arial"/>
          <w:sz w:val="24"/>
          <w:szCs w:val="24"/>
        </w:rPr>
        <w:t xml:space="preserve"> </w:t>
      </w:r>
      <w:r w:rsidR="00AD0EB6">
        <w:rPr>
          <w:rFonts w:ascii="Arial" w:hAnsi="Arial" w:cs="Arial"/>
          <w:sz w:val="24"/>
          <w:szCs w:val="24"/>
        </w:rPr>
        <w:t>T</w:t>
      </w:r>
      <w:r>
        <w:rPr>
          <w:rFonts w:ascii="Arial" w:hAnsi="Arial" w:cs="Arial"/>
          <w:sz w:val="24"/>
          <w:szCs w:val="24"/>
        </w:rPr>
        <w:t>he Staff R</w:t>
      </w:r>
      <w:r w:rsidR="00AD0EB6">
        <w:rPr>
          <w:rFonts w:ascii="Arial" w:hAnsi="Arial" w:cs="Arial"/>
          <w:sz w:val="24"/>
          <w:szCs w:val="24"/>
        </w:rPr>
        <w:t xml:space="preserve">eport alludes to the use of a revenue </w:t>
      </w:r>
      <w:r>
        <w:rPr>
          <w:rFonts w:ascii="Arial" w:hAnsi="Arial" w:cs="Arial"/>
          <w:sz w:val="24"/>
          <w:szCs w:val="24"/>
        </w:rPr>
        <w:t>allocation factor in its recommendation, stating: “</w:t>
      </w:r>
      <w:r w:rsidRPr="00A26F2E">
        <w:rPr>
          <w:rFonts w:ascii="Arial" w:hAnsi="Arial" w:cs="Arial"/>
          <w:i/>
          <w:sz w:val="24"/>
          <w:szCs w:val="24"/>
        </w:rPr>
        <w:t xml:space="preserve">Staff recommends that </w:t>
      </w:r>
      <w:r w:rsidRPr="00AD0EB6">
        <w:rPr>
          <w:rFonts w:ascii="Arial" w:hAnsi="Arial" w:cs="Arial"/>
          <w:b/>
          <w:i/>
          <w:sz w:val="24"/>
          <w:szCs w:val="24"/>
        </w:rPr>
        <w:t>the SSO generation revenue percentage</w:t>
      </w:r>
      <w:r w:rsidRPr="00A26F2E">
        <w:rPr>
          <w:rFonts w:ascii="Arial" w:hAnsi="Arial" w:cs="Arial"/>
          <w:i/>
          <w:sz w:val="24"/>
          <w:szCs w:val="24"/>
        </w:rPr>
        <w:t xml:space="preserve"> of the PUCO/OCC assessment expense be recovered through an appropriate bypassable rider.</w:t>
      </w:r>
      <w:r>
        <w:rPr>
          <w:rFonts w:ascii="Arial" w:hAnsi="Arial" w:cs="Arial"/>
          <w:sz w:val="24"/>
          <w:szCs w:val="24"/>
        </w:rPr>
        <w:t>”</w:t>
      </w:r>
      <w:r w:rsidR="005373FC">
        <w:rPr>
          <w:rStyle w:val="FootnoteReference"/>
          <w:rFonts w:ascii="Arial" w:hAnsi="Arial" w:cs="Arial"/>
          <w:sz w:val="24"/>
          <w:szCs w:val="24"/>
        </w:rPr>
        <w:footnoteReference w:id="42"/>
      </w:r>
      <w:r>
        <w:rPr>
          <w:rFonts w:ascii="Arial" w:hAnsi="Arial" w:cs="Arial"/>
          <w:sz w:val="24"/>
          <w:szCs w:val="24"/>
        </w:rPr>
        <w:t xml:space="preserve">  </w:t>
      </w:r>
      <w:r w:rsidR="002B2BCF">
        <w:rPr>
          <w:rFonts w:ascii="Arial" w:hAnsi="Arial" w:cs="Arial"/>
          <w:sz w:val="24"/>
          <w:szCs w:val="24"/>
        </w:rPr>
        <w:t>T</w:t>
      </w:r>
      <w:r>
        <w:rPr>
          <w:rFonts w:ascii="Arial" w:hAnsi="Arial" w:cs="Arial"/>
          <w:sz w:val="24"/>
          <w:szCs w:val="24"/>
        </w:rPr>
        <w:t xml:space="preserve">he most logical way to </w:t>
      </w:r>
      <w:r w:rsidR="005373FC">
        <w:rPr>
          <w:rFonts w:ascii="Arial" w:hAnsi="Arial" w:cs="Arial"/>
          <w:sz w:val="24"/>
          <w:szCs w:val="24"/>
        </w:rPr>
        <w:t>implement this recommendation</w:t>
      </w:r>
      <w:r>
        <w:rPr>
          <w:rFonts w:ascii="Arial" w:hAnsi="Arial" w:cs="Arial"/>
          <w:sz w:val="24"/>
          <w:szCs w:val="24"/>
        </w:rPr>
        <w:t xml:space="preserve"> is to divide SSO revenue by total DP&amp;L revenue</w:t>
      </w:r>
      <w:r w:rsidR="005373FC">
        <w:rPr>
          <w:rFonts w:ascii="Arial" w:hAnsi="Arial" w:cs="Arial"/>
          <w:sz w:val="24"/>
          <w:szCs w:val="24"/>
        </w:rPr>
        <w:t xml:space="preserve">; then multiply the </w:t>
      </w:r>
      <w:r w:rsidR="002B2BCF">
        <w:rPr>
          <w:rFonts w:ascii="Arial" w:hAnsi="Arial" w:cs="Arial"/>
          <w:sz w:val="24"/>
          <w:szCs w:val="24"/>
        </w:rPr>
        <w:t xml:space="preserve">SSO </w:t>
      </w:r>
      <w:r w:rsidR="005373FC">
        <w:rPr>
          <w:rFonts w:ascii="Arial" w:hAnsi="Arial" w:cs="Arial"/>
          <w:sz w:val="24"/>
          <w:szCs w:val="24"/>
        </w:rPr>
        <w:t xml:space="preserve">percentage by the total assessment to determine the amount that should be unbundled and refunctionalized to the SSO.    </w:t>
      </w:r>
      <w:r>
        <w:rPr>
          <w:rFonts w:ascii="Arial" w:hAnsi="Arial" w:cs="Arial"/>
          <w:sz w:val="24"/>
          <w:szCs w:val="24"/>
        </w:rPr>
        <w:t xml:space="preserve"> </w:t>
      </w:r>
    </w:p>
    <w:p w14:paraId="21C037F1" w14:textId="23ECDB29" w:rsidR="005373FC" w:rsidRPr="005373FC" w:rsidRDefault="005373FC" w:rsidP="005373FC">
      <w:pPr>
        <w:spacing w:after="120" w:line="480" w:lineRule="auto"/>
        <w:ind w:firstLine="720"/>
        <w:jc w:val="both"/>
        <w:rPr>
          <w:rFonts w:ascii="Arial" w:hAnsi="Arial" w:cs="Arial"/>
          <w:sz w:val="24"/>
          <w:szCs w:val="24"/>
        </w:rPr>
      </w:pPr>
      <w:r>
        <w:rPr>
          <w:rFonts w:ascii="Arial" w:hAnsi="Arial" w:cs="Arial"/>
          <w:sz w:val="24"/>
          <w:szCs w:val="24"/>
        </w:rPr>
        <w:t>DP&amp;L also claims that Mr. Hess’ methodology is flawed because it is based upon the revenue requirement included in the Staff Report.</w:t>
      </w:r>
      <w:r w:rsidR="002B2BCF">
        <w:rPr>
          <w:rStyle w:val="FootnoteReference"/>
          <w:rFonts w:ascii="Arial" w:hAnsi="Arial" w:cs="Arial"/>
          <w:sz w:val="24"/>
          <w:szCs w:val="24"/>
        </w:rPr>
        <w:footnoteReference w:id="43"/>
      </w:r>
      <w:r>
        <w:rPr>
          <w:rFonts w:ascii="Arial" w:hAnsi="Arial" w:cs="Arial"/>
          <w:sz w:val="24"/>
          <w:szCs w:val="24"/>
        </w:rPr>
        <w:t xml:space="preserve">  DP&amp;L misses the point.  Mr. Hess proposed a </w:t>
      </w:r>
      <w:r>
        <w:rPr>
          <w:rFonts w:ascii="Arial" w:hAnsi="Arial" w:cs="Arial"/>
          <w:i/>
          <w:sz w:val="24"/>
          <w:szCs w:val="24"/>
        </w:rPr>
        <w:t>methodology</w:t>
      </w:r>
      <w:r>
        <w:rPr>
          <w:rFonts w:ascii="Arial" w:hAnsi="Arial" w:cs="Arial"/>
          <w:sz w:val="24"/>
          <w:szCs w:val="24"/>
        </w:rPr>
        <w:t xml:space="preserve">.  As he stated during the hearing, the Stipulation has no bearing </w:t>
      </w:r>
      <w:r>
        <w:rPr>
          <w:rFonts w:ascii="Arial" w:hAnsi="Arial" w:cs="Arial"/>
          <w:sz w:val="24"/>
          <w:szCs w:val="24"/>
        </w:rPr>
        <w:lastRenderedPageBreak/>
        <w:t>on his methodology.  The methodology is easily applicable to the proposal contained in the Stipulation.</w:t>
      </w:r>
      <w:r>
        <w:rPr>
          <w:rStyle w:val="FootnoteReference"/>
          <w:rFonts w:ascii="Arial" w:hAnsi="Arial" w:cs="Arial"/>
          <w:sz w:val="24"/>
          <w:szCs w:val="24"/>
        </w:rPr>
        <w:footnoteReference w:id="44"/>
      </w:r>
      <w:r>
        <w:rPr>
          <w:rFonts w:ascii="Arial" w:hAnsi="Arial" w:cs="Arial"/>
          <w:sz w:val="24"/>
          <w:szCs w:val="24"/>
        </w:rPr>
        <w:t xml:space="preserve"> </w:t>
      </w:r>
    </w:p>
    <w:p w14:paraId="6660E91E" w14:textId="4C0CDA74" w:rsidR="00B8607A" w:rsidRDefault="00B8607A" w:rsidP="00B8607A">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Moving away from Mr. Hess’ methodology itself, DP&amp;L throws up red herrings regarding Mr. Hess’ general knowledge of legal and factual matters.  For example, DP&amp;L argues that Mr. Hess was not aware of any case in which his methodology has been adopted.</w:t>
      </w:r>
      <w:r w:rsidR="00092DAE">
        <w:rPr>
          <w:rStyle w:val="FootnoteReference"/>
          <w:rFonts w:ascii="Arial" w:eastAsia="Arial" w:hAnsi="Arial" w:cs="Arial"/>
          <w:bCs/>
          <w:sz w:val="24"/>
          <w:szCs w:val="24"/>
        </w:rPr>
        <w:footnoteReference w:id="45"/>
      </w:r>
      <w:r>
        <w:rPr>
          <w:rFonts w:ascii="Arial" w:eastAsia="Arial" w:hAnsi="Arial" w:cs="Arial"/>
          <w:bCs/>
          <w:sz w:val="24"/>
          <w:szCs w:val="24"/>
        </w:rPr>
        <w:t xml:space="preserve">  This should not be a surprise, given that this is the first electric distribution rate case in which the issue been squarely addressed.</w:t>
      </w:r>
    </w:p>
    <w:p w14:paraId="28FFA2A8" w14:textId="2BC94BBE" w:rsidR="00A40450" w:rsidRDefault="00A40450" w:rsidP="00B8607A">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DP&amp;L makes much of t</w:t>
      </w:r>
      <w:r w:rsidR="00AD0EB6">
        <w:rPr>
          <w:rFonts w:ascii="Arial" w:eastAsia="Arial" w:hAnsi="Arial" w:cs="Arial"/>
          <w:bCs/>
          <w:sz w:val="24"/>
          <w:szCs w:val="24"/>
        </w:rPr>
        <w:t xml:space="preserve">he fact that Mr. Hess was not aware whether a </w:t>
      </w:r>
      <w:r>
        <w:rPr>
          <w:rFonts w:ascii="Arial" w:eastAsia="Arial" w:hAnsi="Arial" w:cs="Arial"/>
          <w:bCs/>
          <w:sz w:val="24"/>
          <w:szCs w:val="24"/>
        </w:rPr>
        <w:t>CRES providers</w:t>
      </w:r>
      <w:r w:rsidR="00AD0EB6">
        <w:rPr>
          <w:rFonts w:ascii="Arial" w:eastAsia="Arial" w:hAnsi="Arial" w:cs="Arial"/>
          <w:bCs/>
          <w:sz w:val="24"/>
          <w:szCs w:val="24"/>
        </w:rPr>
        <w:t xml:space="preserve"> could</w:t>
      </w:r>
      <w:r>
        <w:rPr>
          <w:rFonts w:ascii="Arial" w:eastAsia="Arial" w:hAnsi="Arial" w:cs="Arial"/>
          <w:bCs/>
          <w:sz w:val="24"/>
          <w:szCs w:val="24"/>
        </w:rPr>
        <w:t xml:space="preserve"> refuse to serve a customer.</w:t>
      </w:r>
      <w:r w:rsidR="00092DAE">
        <w:rPr>
          <w:rStyle w:val="FootnoteReference"/>
          <w:rFonts w:ascii="Arial" w:eastAsia="Arial" w:hAnsi="Arial" w:cs="Arial"/>
          <w:bCs/>
          <w:sz w:val="24"/>
          <w:szCs w:val="24"/>
        </w:rPr>
        <w:footnoteReference w:id="46"/>
      </w:r>
      <w:r>
        <w:rPr>
          <w:rFonts w:ascii="Arial" w:eastAsia="Arial" w:hAnsi="Arial" w:cs="Arial"/>
          <w:bCs/>
          <w:sz w:val="24"/>
          <w:szCs w:val="24"/>
        </w:rPr>
        <w:t xml:space="preserve">  That legal conclusion is irrelevant to whether the Commission may regulate competitive services under Chapter 4909 and whether the Commission should require shopping customers to pay for services twice.</w:t>
      </w:r>
    </w:p>
    <w:p w14:paraId="7DA65045" w14:textId="0CA7D69C" w:rsidR="00A40450" w:rsidRDefault="00A40450" w:rsidP="00B8607A">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Further, DP&amp;L argues that Mr. Hess does not know the exact amount of postage that DP&amp;L incurred to communicate with SSO customers compared to CRES customers.  As Mr. Hess stated, there is no basis to focus on services provided to CRES customers at all, the focus of his methodology </w:t>
      </w:r>
      <w:r w:rsidR="00AD0EB6">
        <w:rPr>
          <w:rFonts w:ascii="Arial" w:eastAsia="Arial" w:hAnsi="Arial" w:cs="Arial"/>
          <w:bCs/>
          <w:sz w:val="24"/>
          <w:szCs w:val="24"/>
        </w:rPr>
        <w:t>is to eliminate SSO-related costs</w:t>
      </w:r>
      <w:r>
        <w:rPr>
          <w:rFonts w:ascii="Arial" w:eastAsia="Arial" w:hAnsi="Arial" w:cs="Arial"/>
          <w:bCs/>
          <w:sz w:val="24"/>
          <w:szCs w:val="24"/>
        </w:rPr>
        <w:t xml:space="preserve"> from distribution rates.</w:t>
      </w:r>
      <w:r w:rsidR="00092DAE">
        <w:rPr>
          <w:rStyle w:val="FootnoteReference"/>
          <w:rFonts w:ascii="Arial" w:eastAsia="Arial" w:hAnsi="Arial" w:cs="Arial"/>
          <w:bCs/>
          <w:sz w:val="24"/>
          <w:szCs w:val="24"/>
        </w:rPr>
        <w:footnoteReference w:id="47"/>
      </w:r>
      <w:r>
        <w:rPr>
          <w:rFonts w:ascii="Arial" w:eastAsia="Arial" w:hAnsi="Arial" w:cs="Arial"/>
          <w:bCs/>
          <w:sz w:val="24"/>
          <w:szCs w:val="24"/>
        </w:rPr>
        <w:t xml:space="preserve">  Following industry standard, he developed an allocation factor to approximate the SSO-related subsidy, which includes postage to communicate with SSO customers.</w:t>
      </w:r>
      <w:r w:rsidR="00092DAE">
        <w:rPr>
          <w:rStyle w:val="FootnoteReference"/>
          <w:rFonts w:ascii="Arial" w:eastAsia="Arial" w:hAnsi="Arial" w:cs="Arial"/>
          <w:bCs/>
          <w:sz w:val="24"/>
          <w:szCs w:val="24"/>
        </w:rPr>
        <w:footnoteReference w:id="48"/>
      </w:r>
      <w:r>
        <w:rPr>
          <w:rFonts w:ascii="Arial" w:eastAsia="Arial" w:hAnsi="Arial" w:cs="Arial"/>
          <w:bCs/>
          <w:sz w:val="24"/>
          <w:szCs w:val="24"/>
        </w:rPr>
        <w:t xml:space="preserve"> </w:t>
      </w:r>
    </w:p>
    <w:p w14:paraId="4E386020" w14:textId="77745C6F" w:rsidR="00747083" w:rsidRDefault="00A40450" w:rsidP="00747083">
      <w:pPr>
        <w:spacing w:after="120" w:line="480" w:lineRule="auto"/>
        <w:jc w:val="both"/>
        <w:rPr>
          <w:rFonts w:ascii="Arial" w:eastAsia="Arial" w:hAnsi="Arial" w:cs="Arial"/>
          <w:bCs/>
          <w:sz w:val="24"/>
          <w:szCs w:val="24"/>
        </w:rPr>
      </w:pPr>
      <w:r>
        <w:rPr>
          <w:rFonts w:ascii="Arial" w:eastAsia="Arial" w:hAnsi="Arial" w:cs="Arial"/>
          <w:bCs/>
          <w:sz w:val="24"/>
          <w:szCs w:val="24"/>
        </w:rPr>
        <w:lastRenderedPageBreak/>
        <w:tab/>
        <w:t>DP&amp;L states, i</w:t>
      </w:r>
      <w:r w:rsidRPr="00A40450">
        <w:rPr>
          <w:rFonts w:ascii="Arial" w:eastAsia="Arial" w:hAnsi="Arial" w:cs="Arial"/>
          <w:bCs/>
          <w:sz w:val="24"/>
          <w:szCs w:val="24"/>
        </w:rPr>
        <w:t>n three of</w:t>
      </w:r>
      <w:r>
        <w:rPr>
          <w:rFonts w:ascii="Arial" w:eastAsia="Arial" w:hAnsi="Arial" w:cs="Arial"/>
          <w:bCs/>
          <w:sz w:val="24"/>
          <w:szCs w:val="24"/>
        </w:rPr>
        <w:t xml:space="preserve"> its most fallacious</w:t>
      </w:r>
      <w:r w:rsidRPr="00A40450">
        <w:rPr>
          <w:rFonts w:ascii="Arial" w:eastAsia="Arial" w:hAnsi="Arial" w:cs="Arial"/>
          <w:bCs/>
          <w:sz w:val="24"/>
          <w:szCs w:val="24"/>
        </w:rPr>
        <w:t xml:space="preserve"> claims, </w:t>
      </w:r>
      <w:r>
        <w:rPr>
          <w:rFonts w:ascii="Arial" w:eastAsia="Arial" w:hAnsi="Arial" w:cs="Arial"/>
          <w:bCs/>
          <w:sz w:val="24"/>
          <w:szCs w:val="24"/>
        </w:rPr>
        <w:t xml:space="preserve">that Mr. Hess did not know whether DP&amp;L had a call center for SSO issues only, whether DP&amp;L has accounting employees who work exclusively on SSO issues, or whether employees whose job is limited </w:t>
      </w:r>
      <w:r w:rsidR="007B55BE">
        <w:rPr>
          <w:rFonts w:ascii="Arial" w:eastAsia="Arial" w:hAnsi="Arial" w:cs="Arial"/>
          <w:bCs/>
          <w:sz w:val="24"/>
          <w:szCs w:val="24"/>
        </w:rPr>
        <w:t>to SSO regulatory compliance.  These questions are irrelevant.  It doesn’t matter whether</w:t>
      </w:r>
      <w:r w:rsidR="00AD0EB6">
        <w:rPr>
          <w:rFonts w:ascii="Arial" w:eastAsia="Arial" w:hAnsi="Arial" w:cs="Arial"/>
          <w:bCs/>
          <w:sz w:val="24"/>
          <w:szCs w:val="24"/>
        </w:rPr>
        <w:t xml:space="preserve"> an individual works solely on</w:t>
      </w:r>
      <w:r w:rsidR="007B55BE">
        <w:rPr>
          <w:rFonts w:ascii="Arial" w:eastAsia="Arial" w:hAnsi="Arial" w:cs="Arial"/>
          <w:bCs/>
          <w:sz w:val="24"/>
          <w:szCs w:val="24"/>
        </w:rPr>
        <w:t xml:space="preserve"> competitive services or non-competitive services.  What matters is that an individual </w:t>
      </w:r>
      <w:r w:rsidR="00AD0EB6">
        <w:rPr>
          <w:rFonts w:ascii="Arial" w:eastAsia="Arial" w:hAnsi="Arial" w:cs="Arial"/>
          <w:bCs/>
          <w:sz w:val="24"/>
          <w:szCs w:val="24"/>
        </w:rPr>
        <w:t>provides services, in wholly or in part,</w:t>
      </w:r>
      <w:r w:rsidR="007B55BE">
        <w:rPr>
          <w:rFonts w:ascii="Arial" w:eastAsia="Arial" w:hAnsi="Arial" w:cs="Arial"/>
          <w:bCs/>
          <w:sz w:val="24"/>
          <w:szCs w:val="24"/>
        </w:rPr>
        <w:t xml:space="preserve"> to support the SSO.  </w:t>
      </w:r>
      <w:r w:rsidR="00747083">
        <w:rPr>
          <w:rFonts w:ascii="Arial" w:eastAsia="Arial" w:hAnsi="Arial" w:cs="Arial"/>
          <w:bCs/>
          <w:sz w:val="24"/>
          <w:szCs w:val="24"/>
        </w:rPr>
        <w:t>DP&amp;L has many employees that provide services to different entities. For example, Mr. Bentley splits</w:t>
      </w:r>
      <w:r w:rsidR="007B55BE">
        <w:rPr>
          <w:rFonts w:ascii="Arial" w:eastAsia="Arial" w:hAnsi="Arial" w:cs="Arial"/>
          <w:bCs/>
          <w:sz w:val="24"/>
          <w:szCs w:val="24"/>
        </w:rPr>
        <w:t xml:space="preserve"> time between IPL and DP&amp;L.</w:t>
      </w:r>
      <w:r w:rsidR="00092DAE">
        <w:rPr>
          <w:rStyle w:val="FootnoteReference"/>
          <w:rFonts w:ascii="Arial" w:eastAsia="Arial" w:hAnsi="Arial" w:cs="Arial"/>
          <w:bCs/>
          <w:sz w:val="24"/>
          <w:szCs w:val="24"/>
        </w:rPr>
        <w:footnoteReference w:id="49"/>
      </w:r>
      <w:r w:rsidR="007B55BE">
        <w:rPr>
          <w:rFonts w:ascii="Arial" w:eastAsia="Arial" w:hAnsi="Arial" w:cs="Arial"/>
          <w:bCs/>
          <w:sz w:val="24"/>
          <w:szCs w:val="24"/>
        </w:rPr>
        <w:t xml:space="preserve">  </w:t>
      </w:r>
      <w:r w:rsidR="00AD0EB6">
        <w:rPr>
          <w:rFonts w:ascii="Arial" w:eastAsia="Arial" w:hAnsi="Arial" w:cs="Arial"/>
          <w:bCs/>
          <w:sz w:val="24"/>
          <w:szCs w:val="24"/>
        </w:rPr>
        <w:t>Mr. Hess developed a methodology for allocating the costs related to these employees between competitive and non-competitive services.</w:t>
      </w:r>
    </w:p>
    <w:p w14:paraId="77E7B492" w14:textId="66F89D00" w:rsidR="007B55BE" w:rsidRDefault="007B55BE" w:rsidP="007B55B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DP&amp;L complains that Mr. Hess was not aware</w:t>
      </w:r>
      <w:r w:rsidR="00747083">
        <w:rPr>
          <w:rFonts w:ascii="Arial" w:eastAsia="Arial" w:hAnsi="Arial" w:cs="Arial"/>
          <w:bCs/>
          <w:sz w:val="24"/>
          <w:szCs w:val="24"/>
        </w:rPr>
        <w:t xml:space="preserve"> how auction costs are treated</w:t>
      </w:r>
      <w:r>
        <w:rPr>
          <w:rFonts w:ascii="Arial" w:eastAsia="Arial" w:hAnsi="Arial" w:cs="Arial"/>
          <w:bCs/>
          <w:sz w:val="24"/>
          <w:szCs w:val="24"/>
        </w:rPr>
        <w:t>.</w:t>
      </w:r>
      <w:r w:rsidR="00092DAE">
        <w:rPr>
          <w:rStyle w:val="FootnoteReference"/>
          <w:rFonts w:ascii="Arial" w:eastAsia="Arial" w:hAnsi="Arial" w:cs="Arial"/>
          <w:bCs/>
          <w:sz w:val="24"/>
          <w:szCs w:val="24"/>
        </w:rPr>
        <w:footnoteReference w:id="50"/>
      </w:r>
      <w:r>
        <w:rPr>
          <w:rFonts w:ascii="Arial" w:eastAsia="Arial" w:hAnsi="Arial" w:cs="Arial"/>
          <w:bCs/>
          <w:sz w:val="24"/>
          <w:szCs w:val="24"/>
        </w:rPr>
        <w:t xml:space="preserve">  The fact that DP&amp;L ma</w:t>
      </w:r>
      <w:r w:rsidR="00AD0EB6">
        <w:rPr>
          <w:rFonts w:ascii="Arial" w:eastAsia="Arial" w:hAnsi="Arial" w:cs="Arial"/>
          <w:bCs/>
          <w:sz w:val="24"/>
          <w:szCs w:val="24"/>
        </w:rPr>
        <w:t>y have unbundled a small amount of costs</w:t>
      </w:r>
      <w:r>
        <w:rPr>
          <w:rFonts w:ascii="Arial" w:eastAsia="Arial" w:hAnsi="Arial" w:cs="Arial"/>
          <w:bCs/>
          <w:sz w:val="24"/>
          <w:szCs w:val="24"/>
        </w:rPr>
        <w:t xml:space="preserve"> provides little relevance to Mr. Hess’ evaluation of</w:t>
      </w:r>
      <w:r w:rsidR="00AD0EB6">
        <w:rPr>
          <w:rFonts w:ascii="Arial" w:eastAsia="Arial" w:hAnsi="Arial" w:cs="Arial"/>
          <w:bCs/>
          <w:sz w:val="24"/>
          <w:szCs w:val="24"/>
        </w:rPr>
        <w:t xml:space="preserve"> a</w:t>
      </w:r>
      <w:r>
        <w:rPr>
          <w:rFonts w:ascii="Arial" w:eastAsia="Arial" w:hAnsi="Arial" w:cs="Arial"/>
          <w:bCs/>
          <w:sz w:val="24"/>
          <w:szCs w:val="24"/>
        </w:rPr>
        <w:t xml:space="preserve"> </w:t>
      </w:r>
      <w:r w:rsidR="00AD0EB6">
        <w:rPr>
          <w:rFonts w:ascii="Arial" w:eastAsia="Arial" w:hAnsi="Arial" w:cs="Arial"/>
          <w:bCs/>
          <w:sz w:val="24"/>
          <w:szCs w:val="24"/>
        </w:rPr>
        <w:t xml:space="preserve">separate range of costs </w:t>
      </w:r>
      <w:r>
        <w:rPr>
          <w:rFonts w:ascii="Arial" w:eastAsia="Arial" w:hAnsi="Arial" w:cs="Arial"/>
          <w:bCs/>
          <w:sz w:val="24"/>
          <w:szCs w:val="24"/>
        </w:rPr>
        <w:t xml:space="preserve">which have been demonstrated to relate to the provision of the SSO. </w:t>
      </w:r>
      <w:r w:rsidRPr="007B55BE">
        <w:t xml:space="preserve"> </w:t>
      </w:r>
      <w:r w:rsidR="00AD0EB6">
        <w:rPr>
          <w:rFonts w:ascii="Arial" w:eastAsia="Arial" w:hAnsi="Arial" w:cs="Arial"/>
          <w:bCs/>
          <w:sz w:val="24"/>
          <w:szCs w:val="24"/>
        </w:rPr>
        <w:t>The fact that DP&amp;L</w:t>
      </w:r>
      <w:r w:rsidRPr="007B55BE">
        <w:rPr>
          <w:rFonts w:ascii="Arial" w:eastAsia="Arial" w:hAnsi="Arial" w:cs="Arial"/>
          <w:bCs/>
          <w:sz w:val="24"/>
          <w:szCs w:val="24"/>
        </w:rPr>
        <w:t xml:space="preserve"> has unbundled a small set of costs doesn’t excuse DP&amp;L from fully unbundling costs associated with the SSO.</w:t>
      </w:r>
    </w:p>
    <w:p w14:paraId="63CC9366" w14:textId="2244F7B0" w:rsidR="00747083" w:rsidRDefault="007B55BE" w:rsidP="007B55B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 W</w:t>
      </w:r>
      <w:r w:rsidR="00747083">
        <w:rPr>
          <w:rFonts w:ascii="Arial" w:eastAsia="Arial" w:hAnsi="Arial" w:cs="Arial"/>
          <w:bCs/>
          <w:sz w:val="24"/>
          <w:szCs w:val="24"/>
        </w:rPr>
        <w:t>hether customers call into the call</w:t>
      </w:r>
      <w:r>
        <w:rPr>
          <w:rFonts w:ascii="Arial" w:eastAsia="Arial" w:hAnsi="Arial" w:cs="Arial"/>
          <w:bCs/>
          <w:sz w:val="24"/>
          <w:szCs w:val="24"/>
        </w:rPr>
        <w:t xml:space="preserve"> center to ask about cho</w:t>
      </w:r>
      <w:r w:rsidR="00092DAE">
        <w:rPr>
          <w:rFonts w:ascii="Arial" w:eastAsia="Arial" w:hAnsi="Arial" w:cs="Arial"/>
          <w:bCs/>
          <w:sz w:val="24"/>
          <w:szCs w:val="24"/>
        </w:rPr>
        <w:t xml:space="preserve">ice is also irrelevant.  Such </w:t>
      </w:r>
      <w:r>
        <w:rPr>
          <w:rFonts w:ascii="Arial" w:eastAsia="Arial" w:hAnsi="Arial" w:cs="Arial"/>
          <w:bCs/>
          <w:sz w:val="24"/>
          <w:szCs w:val="24"/>
        </w:rPr>
        <w:t>call</w:t>
      </w:r>
      <w:r w:rsidR="00092DAE">
        <w:rPr>
          <w:rFonts w:ascii="Arial" w:eastAsia="Arial" w:hAnsi="Arial" w:cs="Arial"/>
          <w:bCs/>
          <w:sz w:val="24"/>
          <w:szCs w:val="24"/>
        </w:rPr>
        <w:t>s do</w:t>
      </w:r>
      <w:r>
        <w:rPr>
          <w:rFonts w:ascii="Arial" w:eastAsia="Arial" w:hAnsi="Arial" w:cs="Arial"/>
          <w:bCs/>
          <w:sz w:val="24"/>
          <w:szCs w:val="24"/>
        </w:rPr>
        <w:t xml:space="preserve"> not relate to DP&amp;L’s provision of comp</w:t>
      </w:r>
      <w:r w:rsidR="00092DAE">
        <w:rPr>
          <w:rFonts w:ascii="Arial" w:eastAsia="Arial" w:hAnsi="Arial" w:cs="Arial"/>
          <w:bCs/>
          <w:sz w:val="24"/>
          <w:szCs w:val="24"/>
        </w:rPr>
        <w:t>etitive retail electric service.</w:t>
      </w:r>
    </w:p>
    <w:p w14:paraId="35E421F9" w14:textId="7FAF3A1E" w:rsidR="00747083" w:rsidRDefault="00747083" w:rsidP="007B55B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The claim about CRES customers calling into DP&amp;L about complaints about their supply service is misleading.</w:t>
      </w:r>
      <w:r w:rsidR="00092DAE">
        <w:rPr>
          <w:rStyle w:val="FootnoteReference"/>
          <w:rFonts w:ascii="Arial" w:eastAsia="Arial" w:hAnsi="Arial" w:cs="Arial"/>
          <w:bCs/>
          <w:sz w:val="24"/>
          <w:szCs w:val="24"/>
        </w:rPr>
        <w:footnoteReference w:id="51"/>
      </w:r>
      <w:r>
        <w:rPr>
          <w:rFonts w:ascii="Arial" w:eastAsia="Arial" w:hAnsi="Arial" w:cs="Arial"/>
          <w:bCs/>
          <w:sz w:val="24"/>
          <w:szCs w:val="24"/>
        </w:rPr>
        <w:t xml:space="preserve">  Mr. Hess indicated that DP&amp;L lacks the knowledge to </w:t>
      </w:r>
      <w:r>
        <w:rPr>
          <w:rFonts w:ascii="Arial" w:eastAsia="Arial" w:hAnsi="Arial" w:cs="Arial"/>
          <w:bCs/>
          <w:sz w:val="24"/>
          <w:szCs w:val="24"/>
        </w:rPr>
        <w:lastRenderedPageBreak/>
        <w:t>answer those questions, so the calls should be short.</w:t>
      </w:r>
      <w:r w:rsidR="00092DAE">
        <w:rPr>
          <w:rStyle w:val="FootnoteReference"/>
          <w:rFonts w:ascii="Arial" w:eastAsia="Arial" w:hAnsi="Arial" w:cs="Arial"/>
          <w:bCs/>
          <w:sz w:val="24"/>
          <w:szCs w:val="24"/>
        </w:rPr>
        <w:footnoteReference w:id="52"/>
      </w:r>
      <w:r w:rsidR="007B55BE">
        <w:rPr>
          <w:rFonts w:ascii="Arial" w:eastAsia="Arial" w:hAnsi="Arial" w:cs="Arial"/>
          <w:bCs/>
          <w:sz w:val="24"/>
          <w:szCs w:val="24"/>
        </w:rPr>
        <w:t xml:space="preserve">  </w:t>
      </w:r>
      <w:r>
        <w:rPr>
          <w:rFonts w:ascii="Arial" w:eastAsia="Arial" w:hAnsi="Arial" w:cs="Arial"/>
          <w:bCs/>
          <w:sz w:val="24"/>
          <w:szCs w:val="24"/>
        </w:rPr>
        <w:t>In any even</w:t>
      </w:r>
      <w:r w:rsidR="00E72379">
        <w:rPr>
          <w:rFonts w:ascii="Arial" w:eastAsia="Arial" w:hAnsi="Arial" w:cs="Arial"/>
          <w:bCs/>
          <w:sz w:val="24"/>
          <w:szCs w:val="24"/>
        </w:rPr>
        <w:t>t, he testified that he anticip</w:t>
      </w:r>
      <w:r>
        <w:rPr>
          <w:rFonts w:ascii="Arial" w:eastAsia="Arial" w:hAnsi="Arial" w:cs="Arial"/>
          <w:bCs/>
          <w:sz w:val="24"/>
          <w:szCs w:val="24"/>
        </w:rPr>
        <w:t>ated that CRES customers are more likely to call their CRES if they have a concern about their competitive services.</w:t>
      </w:r>
      <w:r w:rsidR="00717195">
        <w:rPr>
          <w:rStyle w:val="FootnoteReference"/>
          <w:rFonts w:ascii="Arial" w:eastAsia="Arial" w:hAnsi="Arial" w:cs="Arial"/>
          <w:bCs/>
          <w:sz w:val="24"/>
          <w:szCs w:val="24"/>
        </w:rPr>
        <w:footnoteReference w:id="53"/>
      </w:r>
      <w:r w:rsidR="007B55BE" w:rsidRPr="007B55BE">
        <w:rPr>
          <w:rFonts w:ascii="Arial" w:eastAsia="Arial" w:hAnsi="Arial" w:cs="Arial"/>
          <w:bCs/>
          <w:sz w:val="24"/>
          <w:szCs w:val="24"/>
        </w:rPr>
        <w:t xml:space="preserve"> </w:t>
      </w:r>
    </w:p>
    <w:p w14:paraId="45603438" w14:textId="5713BD89" w:rsidR="00A6204B" w:rsidRDefault="002F1923" w:rsidP="00A6204B">
      <w:pPr>
        <w:pStyle w:val="ListParagraph"/>
        <w:numPr>
          <w:ilvl w:val="0"/>
          <w:numId w:val="13"/>
        </w:numPr>
        <w:spacing w:after="120" w:line="240" w:lineRule="auto"/>
        <w:jc w:val="both"/>
        <w:rPr>
          <w:rFonts w:ascii="Arial" w:eastAsia="Arial" w:hAnsi="Arial" w:cs="Arial"/>
          <w:b/>
          <w:bCs/>
          <w:sz w:val="24"/>
          <w:szCs w:val="24"/>
        </w:rPr>
      </w:pPr>
      <w:r>
        <w:rPr>
          <w:rFonts w:ascii="Arial" w:eastAsia="Arial" w:hAnsi="Arial" w:cs="Arial"/>
          <w:b/>
          <w:bCs/>
          <w:sz w:val="24"/>
          <w:szCs w:val="24"/>
        </w:rPr>
        <w:t>Any A</w:t>
      </w:r>
      <w:r w:rsidR="00092DAE">
        <w:rPr>
          <w:rFonts w:ascii="Arial" w:eastAsia="Arial" w:hAnsi="Arial" w:cs="Arial"/>
          <w:b/>
          <w:bCs/>
          <w:sz w:val="24"/>
          <w:szCs w:val="24"/>
        </w:rPr>
        <w:t>ttack on RESA</w:t>
      </w:r>
      <w:r w:rsidR="00160262">
        <w:rPr>
          <w:rFonts w:ascii="Arial" w:eastAsia="Arial" w:hAnsi="Arial" w:cs="Arial"/>
          <w:b/>
          <w:bCs/>
          <w:sz w:val="24"/>
          <w:szCs w:val="24"/>
        </w:rPr>
        <w:t>’</w:t>
      </w:r>
      <w:r w:rsidR="00092DAE">
        <w:rPr>
          <w:rFonts w:ascii="Arial" w:eastAsia="Arial" w:hAnsi="Arial" w:cs="Arial"/>
          <w:b/>
          <w:bCs/>
          <w:sz w:val="24"/>
          <w:szCs w:val="24"/>
        </w:rPr>
        <w:t>s and IGS’</w:t>
      </w:r>
      <w:r>
        <w:rPr>
          <w:rFonts w:ascii="Arial" w:eastAsia="Arial" w:hAnsi="Arial" w:cs="Arial"/>
          <w:b/>
          <w:bCs/>
          <w:sz w:val="24"/>
          <w:szCs w:val="24"/>
        </w:rPr>
        <w:t xml:space="preserve"> Cost Allocation M</w:t>
      </w:r>
      <w:r w:rsidR="00A6204B" w:rsidRPr="00F1112E">
        <w:rPr>
          <w:rFonts w:ascii="Arial" w:eastAsia="Arial" w:hAnsi="Arial" w:cs="Arial"/>
          <w:b/>
          <w:bCs/>
          <w:sz w:val="24"/>
          <w:szCs w:val="24"/>
        </w:rPr>
        <w:t xml:space="preserve">ethodology </w:t>
      </w:r>
      <w:r w:rsidR="00FE1E61">
        <w:rPr>
          <w:rFonts w:ascii="Arial" w:eastAsia="Arial" w:hAnsi="Arial" w:cs="Arial"/>
          <w:b/>
          <w:bCs/>
          <w:sz w:val="24"/>
          <w:szCs w:val="24"/>
        </w:rPr>
        <w:t>is</w:t>
      </w:r>
      <w:r>
        <w:rPr>
          <w:rFonts w:ascii="Arial" w:eastAsia="Arial" w:hAnsi="Arial" w:cs="Arial"/>
          <w:b/>
          <w:bCs/>
          <w:sz w:val="24"/>
          <w:szCs w:val="24"/>
        </w:rPr>
        <w:t xml:space="preserve"> Rendered Moot B</w:t>
      </w:r>
      <w:r w:rsidR="00A6204B" w:rsidRPr="00F1112E">
        <w:rPr>
          <w:rFonts w:ascii="Arial" w:eastAsia="Arial" w:hAnsi="Arial" w:cs="Arial"/>
          <w:b/>
          <w:bCs/>
          <w:sz w:val="24"/>
          <w:szCs w:val="24"/>
        </w:rPr>
        <w:t>ec</w:t>
      </w:r>
      <w:r>
        <w:rPr>
          <w:rFonts w:ascii="Arial" w:eastAsia="Arial" w:hAnsi="Arial" w:cs="Arial"/>
          <w:b/>
          <w:bCs/>
          <w:sz w:val="24"/>
          <w:szCs w:val="24"/>
        </w:rPr>
        <w:t>ause No Other Party Has Put F</w:t>
      </w:r>
      <w:r w:rsidR="00A6204B" w:rsidRPr="00F1112E">
        <w:rPr>
          <w:rFonts w:ascii="Arial" w:eastAsia="Arial" w:hAnsi="Arial" w:cs="Arial"/>
          <w:b/>
          <w:bCs/>
          <w:sz w:val="24"/>
          <w:szCs w:val="24"/>
        </w:rPr>
        <w:t>ort</w:t>
      </w:r>
      <w:r>
        <w:rPr>
          <w:rFonts w:ascii="Arial" w:eastAsia="Arial" w:hAnsi="Arial" w:cs="Arial"/>
          <w:b/>
          <w:bCs/>
          <w:sz w:val="24"/>
          <w:szCs w:val="24"/>
        </w:rPr>
        <w:t>h a Meaningful Analysis of SSO Related C</w:t>
      </w:r>
      <w:r w:rsidR="00A6204B" w:rsidRPr="00F1112E">
        <w:rPr>
          <w:rFonts w:ascii="Arial" w:eastAsia="Arial" w:hAnsi="Arial" w:cs="Arial"/>
          <w:b/>
          <w:bCs/>
          <w:sz w:val="24"/>
          <w:szCs w:val="24"/>
        </w:rPr>
        <w:t>osts</w:t>
      </w:r>
    </w:p>
    <w:p w14:paraId="7E67EE2E" w14:textId="20EE762D" w:rsidR="00A6204B" w:rsidRDefault="00A6204B" w:rsidP="00A6204B">
      <w:pPr>
        <w:spacing w:after="120" w:line="240" w:lineRule="auto"/>
        <w:jc w:val="both"/>
        <w:rPr>
          <w:rFonts w:ascii="Arial" w:eastAsia="Arial" w:hAnsi="Arial" w:cs="Arial"/>
          <w:b/>
          <w:bCs/>
          <w:sz w:val="24"/>
          <w:szCs w:val="24"/>
        </w:rPr>
      </w:pPr>
    </w:p>
    <w:p w14:paraId="773854D7" w14:textId="0B3E4D38" w:rsidR="00A6204B" w:rsidRDefault="00A6204B" w:rsidP="0078257B">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 xml:space="preserve">DP&amp;L’s previously approved ESP Stipulation </w:t>
      </w:r>
      <w:r w:rsidR="0078257B">
        <w:rPr>
          <w:rFonts w:ascii="Arial" w:eastAsia="Arial" w:hAnsi="Arial" w:cs="Arial"/>
          <w:bCs/>
          <w:sz w:val="24"/>
          <w:szCs w:val="24"/>
        </w:rPr>
        <w:t xml:space="preserve">specifically directed </w:t>
      </w:r>
      <w:r w:rsidR="001217FC">
        <w:rPr>
          <w:rFonts w:ascii="Arial" w:eastAsia="Arial" w:hAnsi="Arial" w:cs="Arial"/>
          <w:bCs/>
          <w:sz w:val="24"/>
          <w:szCs w:val="24"/>
        </w:rPr>
        <w:t xml:space="preserve">that the issue of </w:t>
      </w:r>
      <w:r w:rsidR="0078257B">
        <w:rPr>
          <w:rFonts w:ascii="Arial" w:eastAsia="Arial" w:hAnsi="Arial" w:cs="Arial"/>
          <w:bCs/>
          <w:sz w:val="24"/>
          <w:szCs w:val="24"/>
        </w:rPr>
        <w:t>SSO related costs recovered through its distribution rates</w:t>
      </w:r>
      <w:r w:rsidR="001217FC">
        <w:rPr>
          <w:rFonts w:ascii="Arial" w:eastAsia="Arial" w:hAnsi="Arial" w:cs="Arial"/>
          <w:bCs/>
          <w:sz w:val="24"/>
          <w:szCs w:val="24"/>
        </w:rPr>
        <w:t xml:space="preserve"> be considered in DP&amp;L’s next rate case</w:t>
      </w:r>
      <w:r w:rsidR="0078257B">
        <w:rPr>
          <w:rFonts w:ascii="Arial" w:eastAsia="Arial" w:hAnsi="Arial" w:cs="Arial"/>
          <w:bCs/>
          <w:sz w:val="24"/>
          <w:szCs w:val="24"/>
        </w:rPr>
        <w:t>.</w:t>
      </w:r>
      <w:r w:rsidR="00092DAE">
        <w:rPr>
          <w:rStyle w:val="FootnoteReference"/>
          <w:rFonts w:ascii="Arial" w:eastAsia="Arial" w:hAnsi="Arial" w:cs="Arial"/>
          <w:bCs/>
          <w:sz w:val="24"/>
          <w:szCs w:val="24"/>
        </w:rPr>
        <w:footnoteReference w:id="54"/>
      </w:r>
      <w:r w:rsidR="0078257B">
        <w:rPr>
          <w:rFonts w:ascii="Arial" w:eastAsia="Arial" w:hAnsi="Arial" w:cs="Arial"/>
          <w:bCs/>
          <w:sz w:val="24"/>
          <w:szCs w:val="24"/>
        </w:rPr>
        <w:t xml:space="preserve"> </w:t>
      </w:r>
      <w:r w:rsidR="001217FC">
        <w:rPr>
          <w:rFonts w:ascii="Arial" w:eastAsia="Arial" w:hAnsi="Arial" w:cs="Arial"/>
          <w:bCs/>
          <w:sz w:val="24"/>
          <w:szCs w:val="24"/>
        </w:rPr>
        <w:t xml:space="preserve">For its part, </w:t>
      </w:r>
      <w:r w:rsidR="0078257B">
        <w:rPr>
          <w:rFonts w:ascii="Arial" w:eastAsia="Arial" w:hAnsi="Arial" w:cs="Arial"/>
          <w:bCs/>
          <w:sz w:val="24"/>
          <w:szCs w:val="24"/>
        </w:rPr>
        <w:t>Staff reviewed DP&amp;L’s uncollectible expense and OCC related expense but went no further</w:t>
      </w:r>
      <w:r w:rsidR="001217FC">
        <w:rPr>
          <w:rFonts w:ascii="Arial" w:eastAsia="Arial" w:hAnsi="Arial" w:cs="Arial"/>
          <w:bCs/>
          <w:sz w:val="24"/>
          <w:szCs w:val="24"/>
        </w:rPr>
        <w:t>, claiming any additional analysis would be too burdensome</w:t>
      </w:r>
      <w:r w:rsidR="0078257B">
        <w:rPr>
          <w:rFonts w:ascii="Arial" w:eastAsia="Arial" w:hAnsi="Arial" w:cs="Arial"/>
          <w:bCs/>
          <w:sz w:val="24"/>
          <w:szCs w:val="24"/>
        </w:rPr>
        <w:t>.</w:t>
      </w:r>
      <w:r w:rsidR="001217FC">
        <w:rPr>
          <w:rFonts w:ascii="Arial" w:eastAsia="Arial" w:hAnsi="Arial" w:cs="Arial"/>
          <w:bCs/>
          <w:sz w:val="24"/>
          <w:szCs w:val="24"/>
        </w:rPr>
        <w:t xml:space="preserve"> </w:t>
      </w:r>
      <w:r w:rsidR="0078257B">
        <w:rPr>
          <w:rFonts w:ascii="Arial" w:eastAsia="Arial" w:hAnsi="Arial" w:cs="Arial"/>
          <w:bCs/>
          <w:sz w:val="24"/>
          <w:szCs w:val="24"/>
        </w:rPr>
        <w:t xml:space="preserve">  DP&amp;L simply declined to analyze SSO related costs, stating it is too burdensome.</w:t>
      </w:r>
    </w:p>
    <w:p w14:paraId="7D251398" w14:textId="410F77F6" w:rsidR="0078257B" w:rsidRDefault="0078257B" w:rsidP="0078257B">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Now,</w:t>
      </w:r>
      <w:r w:rsidR="001217FC">
        <w:rPr>
          <w:rFonts w:ascii="Arial" w:eastAsia="Arial" w:hAnsi="Arial" w:cs="Arial"/>
          <w:bCs/>
          <w:sz w:val="24"/>
          <w:szCs w:val="24"/>
        </w:rPr>
        <w:t xml:space="preserve"> in their initial briefs,</w:t>
      </w:r>
      <w:r>
        <w:rPr>
          <w:rFonts w:ascii="Arial" w:eastAsia="Arial" w:hAnsi="Arial" w:cs="Arial"/>
          <w:bCs/>
          <w:sz w:val="24"/>
          <w:szCs w:val="24"/>
        </w:rPr>
        <w:t xml:space="preserve"> both DP&amp;L and Staff claim that a proper allocation of SSO related costs cannot be done without additional studies.  Further, both DP&amp;L and Staff allege that “Choice“ costs are being recovered through distribution rates, which should off-set </w:t>
      </w:r>
      <w:r w:rsidR="00FE1E61">
        <w:rPr>
          <w:rFonts w:ascii="Arial" w:eastAsia="Arial" w:hAnsi="Arial" w:cs="Arial"/>
          <w:bCs/>
          <w:sz w:val="24"/>
          <w:szCs w:val="24"/>
        </w:rPr>
        <w:t>SSO</w:t>
      </w:r>
      <w:r>
        <w:rPr>
          <w:rFonts w:ascii="Arial" w:eastAsia="Arial" w:hAnsi="Arial" w:cs="Arial"/>
          <w:bCs/>
          <w:sz w:val="24"/>
          <w:szCs w:val="24"/>
        </w:rPr>
        <w:t xml:space="preserve"> related costs</w:t>
      </w:r>
      <w:r w:rsidR="00FE1E61">
        <w:rPr>
          <w:rFonts w:ascii="Arial" w:eastAsia="Arial" w:hAnsi="Arial" w:cs="Arial"/>
          <w:bCs/>
          <w:sz w:val="24"/>
          <w:szCs w:val="24"/>
        </w:rPr>
        <w:t>, without doing any quantitative</w:t>
      </w:r>
      <w:r w:rsidR="001217FC">
        <w:rPr>
          <w:rFonts w:ascii="Arial" w:eastAsia="Arial" w:hAnsi="Arial" w:cs="Arial"/>
          <w:bCs/>
          <w:sz w:val="24"/>
          <w:szCs w:val="24"/>
        </w:rPr>
        <w:t xml:space="preserve"> analysis</w:t>
      </w:r>
      <w:r w:rsidR="00FE1E61">
        <w:rPr>
          <w:rFonts w:ascii="Arial" w:eastAsia="Arial" w:hAnsi="Arial" w:cs="Arial"/>
          <w:bCs/>
          <w:sz w:val="24"/>
          <w:szCs w:val="24"/>
        </w:rPr>
        <w:t xml:space="preserve"> or studies.</w:t>
      </w:r>
    </w:p>
    <w:p w14:paraId="00AA5CC6" w14:textId="3EB91B25" w:rsidR="001217FC" w:rsidRDefault="00092DAE" w:rsidP="0078257B">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Conversely, RESA and IGS provided a</w:t>
      </w:r>
      <w:r w:rsidR="001217FC">
        <w:rPr>
          <w:rFonts w:ascii="Arial" w:eastAsia="Arial" w:hAnsi="Arial" w:cs="Arial"/>
          <w:bCs/>
          <w:sz w:val="24"/>
          <w:szCs w:val="24"/>
        </w:rPr>
        <w:t xml:space="preserve"> quantitative analysis of the SSO cost</w:t>
      </w:r>
      <w:r>
        <w:rPr>
          <w:rFonts w:ascii="Arial" w:eastAsia="Arial" w:hAnsi="Arial" w:cs="Arial"/>
          <w:bCs/>
          <w:sz w:val="24"/>
          <w:szCs w:val="24"/>
        </w:rPr>
        <w:t xml:space="preserve"> proposed for recovery </w:t>
      </w:r>
      <w:r w:rsidR="001217FC">
        <w:rPr>
          <w:rFonts w:ascii="Arial" w:eastAsia="Arial" w:hAnsi="Arial" w:cs="Arial"/>
          <w:bCs/>
          <w:sz w:val="24"/>
          <w:szCs w:val="24"/>
        </w:rPr>
        <w:t xml:space="preserve">in distribution rates and proposed a reasonable and conservative methodology </w:t>
      </w:r>
      <w:r w:rsidR="004F6973">
        <w:rPr>
          <w:rFonts w:ascii="Arial" w:eastAsia="Arial" w:hAnsi="Arial" w:cs="Arial"/>
          <w:bCs/>
          <w:sz w:val="24"/>
          <w:szCs w:val="24"/>
        </w:rPr>
        <w:t>for</w:t>
      </w:r>
      <w:r w:rsidR="001217FC">
        <w:rPr>
          <w:rFonts w:ascii="Arial" w:eastAsia="Arial" w:hAnsi="Arial" w:cs="Arial"/>
          <w:bCs/>
          <w:sz w:val="24"/>
          <w:szCs w:val="24"/>
        </w:rPr>
        <w:t xml:space="preserve"> unbundling tho</w:t>
      </w:r>
      <w:r>
        <w:rPr>
          <w:rFonts w:ascii="Arial" w:eastAsia="Arial" w:hAnsi="Arial" w:cs="Arial"/>
          <w:bCs/>
          <w:sz w:val="24"/>
          <w:szCs w:val="24"/>
        </w:rPr>
        <w:t>se costs</w:t>
      </w:r>
      <w:r w:rsidR="001217FC">
        <w:rPr>
          <w:rFonts w:ascii="Arial" w:eastAsia="Arial" w:hAnsi="Arial" w:cs="Arial"/>
          <w:bCs/>
          <w:sz w:val="24"/>
          <w:szCs w:val="24"/>
        </w:rPr>
        <w:t xml:space="preserve">.  Mr. Hess is a veteran of utility rate making with decades of experience preforming cost allocation studies such as the one he did in this proceeding.  The very fact that Mr. Hess was able to provide a detailed analysis of SSO </w:t>
      </w:r>
      <w:r w:rsidR="001217FC">
        <w:rPr>
          <w:rFonts w:ascii="Arial" w:eastAsia="Arial" w:hAnsi="Arial" w:cs="Arial"/>
          <w:bCs/>
          <w:sz w:val="24"/>
          <w:szCs w:val="24"/>
        </w:rPr>
        <w:lastRenderedPageBreak/>
        <w:t>related costs in distribution rates, and come up with a cost allocation methodology</w:t>
      </w:r>
      <w:r w:rsidR="004F6973">
        <w:rPr>
          <w:rFonts w:ascii="Arial" w:eastAsia="Arial" w:hAnsi="Arial" w:cs="Arial"/>
          <w:bCs/>
          <w:sz w:val="24"/>
          <w:szCs w:val="24"/>
        </w:rPr>
        <w:t>,</w:t>
      </w:r>
      <w:r w:rsidR="001217FC">
        <w:rPr>
          <w:rFonts w:ascii="Arial" w:eastAsia="Arial" w:hAnsi="Arial" w:cs="Arial"/>
          <w:bCs/>
          <w:sz w:val="24"/>
          <w:szCs w:val="24"/>
        </w:rPr>
        <w:t xml:space="preserve"> is indicative of the fact that a proper cost allocation to the SSO can be done.</w:t>
      </w:r>
    </w:p>
    <w:p w14:paraId="1DCF08F7" w14:textId="5024BCDE" w:rsidR="004F6973" w:rsidRDefault="004F6973" w:rsidP="004F6973">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Staff</w:t>
      </w:r>
      <w:r w:rsidR="00092DAE">
        <w:rPr>
          <w:rFonts w:ascii="Arial" w:eastAsia="Arial" w:hAnsi="Arial" w:cs="Arial"/>
          <w:bCs/>
          <w:sz w:val="24"/>
          <w:szCs w:val="24"/>
        </w:rPr>
        <w:t>’s</w:t>
      </w:r>
      <w:r>
        <w:rPr>
          <w:rFonts w:ascii="Arial" w:eastAsia="Arial" w:hAnsi="Arial" w:cs="Arial"/>
          <w:bCs/>
          <w:sz w:val="24"/>
          <w:szCs w:val="24"/>
        </w:rPr>
        <w:t xml:space="preserve"> and DP&amp;L</w:t>
      </w:r>
      <w:r w:rsidR="00092DAE">
        <w:rPr>
          <w:rFonts w:ascii="Arial" w:eastAsia="Arial" w:hAnsi="Arial" w:cs="Arial"/>
          <w:bCs/>
          <w:sz w:val="24"/>
          <w:szCs w:val="24"/>
        </w:rPr>
        <w:t>’s</w:t>
      </w:r>
      <w:r>
        <w:rPr>
          <w:rFonts w:ascii="Arial" w:eastAsia="Arial" w:hAnsi="Arial" w:cs="Arial"/>
          <w:bCs/>
          <w:sz w:val="24"/>
          <w:szCs w:val="24"/>
        </w:rPr>
        <w:t xml:space="preserve"> </w:t>
      </w:r>
      <w:r w:rsidR="00546434">
        <w:rPr>
          <w:rFonts w:ascii="Arial" w:eastAsia="Arial" w:hAnsi="Arial" w:cs="Arial"/>
          <w:bCs/>
          <w:sz w:val="24"/>
          <w:szCs w:val="24"/>
        </w:rPr>
        <w:t>argument</w:t>
      </w:r>
      <w:r w:rsidR="00092DAE">
        <w:rPr>
          <w:rFonts w:ascii="Arial" w:eastAsia="Arial" w:hAnsi="Arial" w:cs="Arial"/>
          <w:bCs/>
          <w:sz w:val="24"/>
          <w:szCs w:val="24"/>
        </w:rPr>
        <w:t xml:space="preserve"> that Mr. Hess analysis is in</w:t>
      </w:r>
      <w:r w:rsidR="00546434">
        <w:rPr>
          <w:rFonts w:ascii="Arial" w:eastAsia="Arial" w:hAnsi="Arial" w:cs="Arial"/>
          <w:bCs/>
          <w:sz w:val="24"/>
          <w:szCs w:val="24"/>
        </w:rPr>
        <w:t>accurate or incomplete should be rejected outright</w:t>
      </w:r>
      <w:r w:rsidR="00092DAE">
        <w:rPr>
          <w:rFonts w:ascii="Arial" w:eastAsia="Arial" w:hAnsi="Arial" w:cs="Arial"/>
          <w:bCs/>
          <w:sz w:val="24"/>
          <w:szCs w:val="24"/>
        </w:rPr>
        <w:t>,</w:t>
      </w:r>
      <w:r w:rsidR="000617E7">
        <w:rPr>
          <w:rFonts w:ascii="Arial" w:eastAsia="Arial" w:hAnsi="Arial" w:cs="Arial"/>
          <w:bCs/>
          <w:sz w:val="24"/>
          <w:szCs w:val="24"/>
        </w:rPr>
        <w:t xml:space="preserve"> given</w:t>
      </w:r>
      <w:r w:rsidR="00546434">
        <w:rPr>
          <w:rFonts w:ascii="Arial" w:eastAsia="Arial" w:hAnsi="Arial" w:cs="Arial"/>
          <w:bCs/>
          <w:sz w:val="24"/>
          <w:szCs w:val="24"/>
        </w:rPr>
        <w:t xml:space="preserve"> that</w:t>
      </w:r>
      <w:r>
        <w:rPr>
          <w:rFonts w:ascii="Arial" w:eastAsia="Arial" w:hAnsi="Arial" w:cs="Arial"/>
          <w:bCs/>
          <w:sz w:val="24"/>
          <w:szCs w:val="24"/>
        </w:rPr>
        <w:t xml:space="preserve"> DP&amp;L and Staff were un</w:t>
      </w:r>
      <w:r w:rsidR="00546434">
        <w:rPr>
          <w:rFonts w:ascii="Arial" w:eastAsia="Arial" w:hAnsi="Arial" w:cs="Arial"/>
          <w:bCs/>
          <w:sz w:val="24"/>
          <w:szCs w:val="24"/>
        </w:rPr>
        <w:t>willing do their own analysis of SSO-</w:t>
      </w:r>
      <w:r>
        <w:rPr>
          <w:rFonts w:ascii="Arial" w:eastAsia="Arial" w:hAnsi="Arial" w:cs="Arial"/>
          <w:bCs/>
          <w:sz w:val="24"/>
          <w:szCs w:val="24"/>
        </w:rPr>
        <w:t>related costs. Absent any quantitative analysis or studies, the crux of DP&amp;L</w:t>
      </w:r>
      <w:r w:rsidR="00546434">
        <w:rPr>
          <w:rFonts w:ascii="Arial" w:eastAsia="Arial" w:hAnsi="Arial" w:cs="Arial"/>
          <w:bCs/>
          <w:sz w:val="24"/>
          <w:szCs w:val="24"/>
        </w:rPr>
        <w:t>’s</w:t>
      </w:r>
      <w:r>
        <w:rPr>
          <w:rFonts w:ascii="Arial" w:eastAsia="Arial" w:hAnsi="Arial" w:cs="Arial"/>
          <w:bCs/>
          <w:sz w:val="24"/>
          <w:szCs w:val="24"/>
        </w:rPr>
        <w:t xml:space="preserve"> and S</w:t>
      </w:r>
      <w:r w:rsidR="00546434">
        <w:rPr>
          <w:rFonts w:ascii="Arial" w:eastAsia="Arial" w:hAnsi="Arial" w:cs="Arial"/>
          <w:bCs/>
          <w:sz w:val="24"/>
          <w:szCs w:val="24"/>
        </w:rPr>
        <w:t>taff’s argument is</w:t>
      </w:r>
      <w:r>
        <w:rPr>
          <w:rFonts w:ascii="Arial" w:eastAsia="Arial" w:hAnsi="Arial" w:cs="Arial"/>
          <w:bCs/>
          <w:sz w:val="24"/>
          <w:szCs w:val="24"/>
        </w:rPr>
        <w:t xml:space="preserve"> mere conjecture. </w:t>
      </w:r>
    </w:p>
    <w:p w14:paraId="4C94F252" w14:textId="19DD3538" w:rsidR="00A6204B" w:rsidRDefault="004F6973" w:rsidP="00092DAE">
      <w:pPr>
        <w:spacing w:after="120" w:line="480" w:lineRule="auto"/>
        <w:ind w:firstLine="720"/>
        <w:jc w:val="both"/>
        <w:rPr>
          <w:rFonts w:ascii="Arial" w:eastAsia="Arial" w:hAnsi="Arial" w:cs="Arial"/>
          <w:bCs/>
          <w:sz w:val="24"/>
          <w:szCs w:val="24"/>
        </w:rPr>
      </w:pPr>
      <w:r>
        <w:rPr>
          <w:rFonts w:ascii="Arial" w:eastAsia="Arial" w:hAnsi="Arial" w:cs="Arial"/>
          <w:bCs/>
          <w:sz w:val="24"/>
          <w:szCs w:val="24"/>
        </w:rPr>
        <w:t>Further, if Staff and DP&amp;L believes that alleged Choice costs off-set the SSO costs recovered through distribution rates, they should have at least attempted to provide a quantitative analysis of those costs</w:t>
      </w:r>
      <w:r w:rsidR="00546434">
        <w:rPr>
          <w:rFonts w:ascii="Arial" w:eastAsia="Arial" w:hAnsi="Arial" w:cs="Arial"/>
          <w:bCs/>
          <w:sz w:val="24"/>
          <w:szCs w:val="24"/>
        </w:rPr>
        <w:t xml:space="preserve"> (and explained why there are Choice fees)</w:t>
      </w:r>
      <w:r>
        <w:rPr>
          <w:rFonts w:ascii="Arial" w:eastAsia="Arial" w:hAnsi="Arial" w:cs="Arial"/>
          <w:bCs/>
          <w:sz w:val="24"/>
          <w:szCs w:val="24"/>
        </w:rPr>
        <w:t>. Staff and DP&amp;L did not.  For these reasons</w:t>
      </w:r>
      <w:r w:rsidR="00546434">
        <w:rPr>
          <w:rFonts w:ascii="Arial" w:eastAsia="Arial" w:hAnsi="Arial" w:cs="Arial"/>
          <w:bCs/>
          <w:sz w:val="24"/>
          <w:szCs w:val="24"/>
        </w:rPr>
        <w:t>,</w:t>
      </w:r>
      <w:r>
        <w:rPr>
          <w:rFonts w:ascii="Arial" w:eastAsia="Arial" w:hAnsi="Arial" w:cs="Arial"/>
          <w:bCs/>
          <w:sz w:val="24"/>
          <w:szCs w:val="24"/>
        </w:rPr>
        <w:t xml:space="preserve"> the only actual data on record regarding the S</w:t>
      </w:r>
      <w:r w:rsidR="00546434">
        <w:rPr>
          <w:rFonts w:ascii="Arial" w:eastAsia="Arial" w:hAnsi="Arial" w:cs="Arial"/>
          <w:bCs/>
          <w:sz w:val="24"/>
          <w:szCs w:val="24"/>
        </w:rPr>
        <w:t xml:space="preserve">SO costs proposed for recovery </w:t>
      </w:r>
      <w:r>
        <w:rPr>
          <w:rFonts w:ascii="Arial" w:eastAsia="Arial" w:hAnsi="Arial" w:cs="Arial"/>
          <w:bCs/>
          <w:sz w:val="24"/>
          <w:szCs w:val="24"/>
        </w:rPr>
        <w:t>in distribution rates i</w:t>
      </w:r>
      <w:r w:rsidR="00194BC0">
        <w:rPr>
          <w:rFonts w:ascii="Arial" w:eastAsia="Arial" w:hAnsi="Arial" w:cs="Arial"/>
          <w:bCs/>
          <w:sz w:val="24"/>
          <w:szCs w:val="24"/>
        </w:rPr>
        <w:t>s</w:t>
      </w:r>
      <w:r>
        <w:rPr>
          <w:rFonts w:ascii="Arial" w:eastAsia="Arial" w:hAnsi="Arial" w:cs="Arial"/>
          <w:bCs/>
          <w:sz w:val="24"/>
          <w:szCs w:val="24"/>
        </w:rPr>
        <w:t xml:space="preserve"> the data produced by Mr. Hess.  </w:t>
      </w:r>
      <w:r w:rsidR="00194BC0">
        <w:rPr>
          <w:rFonts w:ascii="Arial" w:eastAsia="Arial" w:hAnsi="Arial" w:cs="Arial"/>
          <w:bCs/>
          <w:sz w:val="24"/>
          <w:szCs w:val="24"/>
        </w:rPr>
        <w:t>Staff and DP&amp;L had every opportunity to produce contra</w:t>
      </w:r>
      <w:r w:rsidR="00546434">
        <w:rPr>
          <w:rFonts w:ascii="Arial" w:eastAsia="Arial" w:hAnsi="Arial" w:cs="Arial"/>
          <w:bCs/>
          <w:sz w:val="24"/>
          <w:szCs w:val="24"/>
        </w:rPr>
        <w:t>vening data, but they did not—</w:t>
      </w:r>
      <w:r w:rsidR="00194BC0">
        <w:rPr>
          <w:rFonts w:ascii="Arial" w:eastAsia="Arial" w:hAnsi="Arial" w:cs="Arial"/>
          <w:bCs/>
          <w:sz w:val="24"/>
          <w:szCs w:val="24"/>
        </w:rPr>
        <w:t>likely because such contravening data does not exist.</w:t>
      </w:r>
      <w:r>
        <w:rPr>
          <w:rFonts w:ascii="Arial" w:eastAsia="Arial" w:hAnsi="Arial" w:cs="Arial"/>
          <w:bCs/>
          <w:sz w:val="24"/>
          <w:szCs w:val="24"/>
        </w:rPr>
        <w:t xml:space="preserve"> </w:t>
      </w:r>
    </w:p>
    <w:p w14:paraId="4889C025" w14:textId="21D9C05C" w:rsidR="00717195" w:rsidRPr="00546434" w:rsidRDefault="00717195" w:rsidP="00717195">
      <w:pPr>
        <w:pStyle w:val="ListParagraph"/>
        <w:numPr>
          <w:ilvl w:val="0"/>
          <w:numId w:val="13"/>
        </w:numPr>
        <w:rPr>
          <w:rFonts w:ascii="Arial" w:hAnsi="Arial" w:cs="Arial"/>
          <w:b/>
          <w:sz w:val="24"/>
          <w:szCs w:val="24"/>
        </w:rPr>
      </w:pPr>
      <w:r w:rsidRPr="00717195">
        <w:rPr>
          <w:rFonts w:ascii="Arial" w:hAnsi="Arial" w:cs="Arial"/>
          <w:b/>
          <w:sz w:val="24"/>
          <w:szCs w:val="24"/>
        </w:rPr>
        <w:t xml:space="preserve">DP&amp;L’s Credit and Collateral Practices are Discriminatory and Violate its Own Tariff </w:t>
      </w:r>
    </w:p>
    <w:p w14:paraId="3EE04430" w14:textId="5D534401" w:rsidR="00717195" w:rsidRDefault="00717195" w:rsidP="00276393">
      <w:pPr>
        <w:spacing w:line="480" w:lineRule="auto"/>
        <w:ind w:firstLine="720"/>
        <w:jc w:val="both"/>
        <w:rPr>
          <w:rFonts w:ascii="Arial" w:hAnsi="Arial" w:cs="Arial"/>
          <w:sz w:val="24"/>
          <w:szCs w:val="24"/>
        </w:rPr>
      </w:pPr>
      <w:r>
        <w:rPr>
          <w:rFonts w:ascii="Arial" w:hAnsi="Arial" w:cs="Arial"/>
          <w:sz w:val="24"/>
          <w:szCs w:val="24"/>
        </w:rPr>
        <w:t xml:space="preserve">DP&amp;L claims that the Commission should reject IGS’ credit and collateral recommendations. </w:t>
      </w:r>
      <w:r w:rsidR="00276393">
        <w:rPr>
          <w:rFonts w:ascii="Arial" w:hAnsi="Arial" w:cs="Arial"/>
          <w:sz w:val="24"/>
          <w:szCs w:val="24"/>
        </w:rPr>
        <w:t xml:space="preserve"> First, DP&amp;L argues that the current credit and collateral requirements were approved as part of the ESP Stipulation.  DP&amp;L claims that the following provision of the Stipulation bars IGS from contesting matters in the Supplier Tariff, including credit and collateral requirements, “Parties agree that in DP&amp;L’s pending Electric Rate Case…no party will seek to support any attempt to withdraw, curtail, or revise any </w:t>
      </w:r>
      <w:r w:rsidR="00276393">
        <w:rPr>
          <w:rFonts w:ascii="Arial" w:hAnsi="Arial" w:cs="Arial"/>
          <w:sz w:val="24"/>
          <w:szCs w:val="24"/>
        </w:rPr>
        <w:lastRenderedPageBreak/>
        <w:t>provision of this settlement . . . .”</w:t>
      </w:r>
      <w:r w:rsidR="00546434">
        <w:rPr>
          <w:rStyle w:val="FootnoteReference"/>
          <w:rFonts w:ascii="Arial" w:hAnsi="Arial" w:cs="Arial"/>
          <w:sz w:val="24"/>
          <w:szCs w:val="24"/>
        </w:rPr>
        <w:footnoteReference w:id="55"/>
      </w:r>
      <w:r w:rsidR="00276393">
        <w:rPr>
          <w:rFonts w:ascii="Arial" w:hAnsi="Arial" w:cs="Arial"/>
          <w:sz w:val="24"/>
          <w:szCs w:val="24"/>
        </w:rPr>
        <w:t xml:space="preserve">  This argument cannot stand under basic laws of contractual interpretation.  </w:t>
      </w:r>
    </w:p>
    <w:p w14:paraId="100C2F82" w14:textId="77777777" w:rsidR="009E1602" w:rsidRDefault="00276393" w:rsidP="009E1602">
      <w:pPr>
        <w:spacing w:line="480" w:lineRule="auto"/>
        <w:ind w:firstLine="720"/>
        <w:jc w:val="both"/>
        <w:rPr>
          <w:rFonts w:ascii="Arial" w:hAnsi="Arial" w:cs="Arial"/>
          <w:sz w:val="24"/>
          <w:szCs w:val="24"/>
        </w:rPr>
      </w:pPr>
      <w:r>
        <w:rPr>
          <w:rFonts w:ascii="Arial" w:hAnsi="Arial" w:cs="Arial"/>
          <w:sz w:val="24"/>
          <w:szCs w:val="24"/>
        </w:rPr>
        <w:t xml:space="preserve">While DP&amp;L correctly cites to the Stipulation, it cherry picked a general provision applicable to all parties.  DP&amp;L, however, conveniently provided no citation to another section of the Stipulation which controls this issue.  Specifically, </w:t>
      </w:r>
      <w:r w:rsidRPr="00276393">
        <w:rPr>
          <w:rFonts w:ascii="Arial" w:hAnsi="Arial" w:cs="Arial"/>
          <w:sz w:val="24"/>
          <w:szCs w:val="24"/>
        </w:rPr>
        <w:t>the Amended Stipulation preserved the right of RESA and IGS to propose additional changes</w:t>
      </w:r>
      <w:r>
        <w:rPr>
          <w:rFonts w:ascii="Arial" w:hAnsi="Arial" w:cs="Arial"/>
          <w:sz w:val="24"/>
          <w:szCs w:val="24"/>
        </w:rPr>
        <w:t xml:space="preserve"> to the Supplier Tariff</w:t>
      </w:r>
      <w:r w:rsidRPr="00276393">
        <w:rPr>
          <w:rFonts w:ascii="Arial" w:hAnsi="Arial" w:cs="Arial"/>
          <w:sz w:val="24"/>
          <w:szCs w:val="24"/>
        </w:rPr>
        <w:t xml:space="preserve"> in this proceeding: “</w:t>
      </w:r>
      <w:r w:rsidRPr="00546434">
        <w:rPr>
          <w:rFonts w:ascii="Arial" w:hAnsi="Arial" w:cs="Arial"/>
          <w:i/>
          <w:sz w:val="24"/>
          <w:szCs w:val="24"/>
        </w:rPr>
        <w:t>IGS and RESA are not prohibited</w:t>
      </w:r>
      <w:r w:rsidRPr="00276393">
        <w:rPr>
          <w:rFonts w:ascii="Arial" w:hAnsi="Arial" w:cs="Arial"/>
          <w:sz w:val="24"/>
          <w:szCs w:val="24"/>
        </w:rPr>
        <w:t xml:space="preserve"> </w:t>
      </w:r>
      <w:r w:rsidRPr="00546434">
        <w:rPr>
          <w:rFonts w:ascii="Arial" w:hAnsi="Arial" w:cs="Arial"/>
          <w:i/>
          <w:sz w:val="24"/>
          <w:szCs w:val="24"/>
        </w:rPr>
        <w:t>from advocating for</w:t>
      </w:r>
      <w:r w:rsidRPr="00276393">
        <w:rPr>
          <w:rFonts w:ascii="Arial" w:hAnsi="Arial" w:cs="Arial"/>
          <w:sz w:val="24"/>
          <w:szCs w:val="24"/>
        </w:rPr>
        <w:t xml:space="preserve"> unbundling or </w:t>
      </w:r>
      <w:r w:rsidRPr="00546434">
        <w:rPr>
          <w:rFonts w:ascii="Arial" w:hAnsi="Arial" w:cs="Arial"/>
          <w:i/>
          <w:sz w:val="24"/>
          <w:szCs w:val="24"/>
        </w:rPr>
        <w:t xml:space="preserve">changes to </w:t>
      </w:r>
      <w:r w:rsidRPr="00276393">
        <w:rPr>
          <w:rFonts w:ascii="Arial" w:hAnsi="Arial" w:cs="Arial"/>
          <w:sz w:val="24"/>
          <w:szCs w:val="24"/>
        </w:rPr>
        <w:t xml:space="preserve">SSO rate </w:t>
      </w:r>
      <w:r w:rsidRPr="00546434">
        <w:rPr>
          <w:rFonts w:ascii="Arial" w:hAnsi="Arial" w:cs="Arial"/>
          <w:i/>
          <w:sz w:val="24"/>
          <w:szCs w:val="24"/>
        </w:rPr>
        <w:t>or supplier tariffs in that proceeding or any other distribution rate case.</w:t>
      </w:r>
      <w:r w:rsidRPr="00276393">
        <w:rPr>
          <w:rFonts w:ascii="Arial" w:hAnsi="Arial" w:cs="Arial"/>
          <w:sz w:val="24"/>
          <w:szCs w:val="24"/>
        </w:rPr>
        <w:t>”</w:t>
      </w:r>
      <w:r>
        <w:rPr>
          <w:rStyle w:val="FootnoteReference"/>
          <w:rFonts w:ascii="Arial" w:hAnsi="Arial" w:cs="Arial"/>
          <w:sz w:val="24"/>
          <w:szCs w:val="24"/>
        </w:rPr>
        <w:footnoteReference w:id="56"/>
      </w:r>
      <w:r>
        <w:rPr>
          <w:rFonts w:ascii="Arial" w:hAnsi="Arial" w:cs="Arial"/>
          <w:sz w:val="24"/>
          <w:szCs w:val="24"/>
        </w:rPr>
        <w:t xml:space="preserve">  It is a basic principle of contract law 101 that a specific provision in a contracts controls over a general provision</w:t>
      </w:r>
      <w:r w:rsidR="000561D3" w:rsidRPr="000561D3">
        <w:rPr>
          <w:rFonts w:ascii="Arial" w:hAnsi="Arial" w:cs="Arial"/>
          <w:sz w:val="24"/>
          <w:szCs w:val="24"/>
        </w:rPr>
        <w:t>.</w:t>
      </w:r>
      <w:r w:rsidR="000561D3">
        <w:rPr>
          <w:rStyle w:val="FootnoteReference"/>
          <w:rFonts w:ascii="Arial" w:hAnsi="Arial" w:cs="Arial"/>
          <w:sz w:val="24"/>
          <w:szCs w:val="24"/>
        </w:rPr>
        <w:footnoteReference w:id="57"/>
      </w:r>
      <w:r w:rsidR="000561D3">
        <w:rPr>
          <w:rFonts w:ascii="Arial" w:hAnsi="Arial" w:cs="Arial"/>
          <w:sz w:val="24"/>
          <w:szCs w:val="24"/>
        </w:rPr>
        <w:t xml:space="preserve">  Because the provision relating to IGS’ and RESA’s right to advocate for changes to the Supplier Tariff </w:t>
      </w:r>
      <w:r w:rsidR="000561D3">
        <w:rPr>
          <w:rFonts w:ascii="Arial" w:hAnsi="Arial" w:cs="Arial"/>
          <w:i/>
          <w:sz w:val="24"/>
          <w:szCs w:val="24"/>
        </w:rPr>
        <w:t>in this case</w:t>
      </w:r>
      <w:r w:rsidR="000561D3">
        <w:rPr>
          <w:rFonts w:ascii="Arial" w:hAnsi="Arial" w:cs="Arial"/>
          <w:sz w:val="24"/>
          <w:szCs w:val="24"/>
        </w:rPr>
        <w:t xml:space="preserve"> is more specific then the provision relied upon by DP&amp;L, the ESP Stipulation provides no bar here.  </w:t>
      </w:r>
      <w:r>
        <w:rPr>
          <w:rFonts w:ascii="Arial" w:hAnsi="Arial" w:cs="Arial"/>
          <w:sz w:val="24"/>
          <w:szCs w:val="24"/>
        </w:rPr>
        <w:t>While other parties may be prohibited from advocating for changes to the Supplier tariff, IGS and RESA are not.</w:t>
      </w:r>
      <w:r w:rsidR="009E1602">
        <w:rPr>
          <w:rFonts w:ascii="Arial" w:hAnsi="Arial" w:cs="Arial"/>
          <w:sz w:val="24"/>
          <w:szCs w:val="24"/>
        </w:rPr>
        <w:t xml:space="preserve">  </w:t>
      </w:r>
    </w:p>
    <w:p w14:paraId="1FBFE9FF" w14:textId="1782CD57" w:rsidR="009E1602" w:rsidRDefault="009E1602" w:rsidP="009E1602">
      <w:pPr>
        <w:spacing w:line="480" w:lineRule="auto"/>
        <w:ind w:firstLine="720"/>
        <w:jc w:val="both"/>
        <w:rPr>
          <w:rFonts w:ascii="Arial" w:hAnsi="Arial" w:cs="Arial"/>
          <w:sz w:val="24"/>
          <w:szCs w:val="24"/>
        </w:rPr>
      </w:pPr>
      <w:r>
        <w:rPr>
          <w:rFonts w:ascii="Arial" w:hAnsi="Arial" w:cs="Arial"/>
          <w:sz w:val="24"/>
          <w:szCs w:val="24"/>
        </w:rPr>
        <w:t xml:space="preserve">Moreover, contrary to DP&amp;L’s claim, it is DP&amp;L that is contractually prohibited from opposing IGS from proposing changes to the Supplier Tariff in this proceeding.  While </w:t>
      </w:r>
      <w:r>
        <w:rPr>
          <w:rFonts w:ascii="Arial" w:hAnsi="Arial" w:cs="Arial"/>
          <w:sz w:val="24"/>
          <w:szCs w:val="24"/>
        </w:rPr>
        <w:lastRenderedPageBreak/>
        <w:t>DP&amp;L may raise substantive arguments in response, it cannot seek to preclude IGS from raising the issue.</w:t>
      </w:r>
    </w:p>
    <w:p w14:paraId="7DB4BF9E" w14:textId="082F1F91" w:rsidR="00A0186B" w:rsidRDefault="009E1602" w:rsidP="009E1602">
      <w:pPr>
        <w:spacing w:after="120" w:line="480" w:lineRule="auto"/>
        <w:ind w:firstLine="720"/>
        <w:jc w:val="both"/>
        <w:rPr>
          <w:rFonts w:ascii="Arial" w:hAnsi="Arial" w:cs="Arial"/>
          <w:sz w:val="24"/>
          <w:szCs w:val="24"/>
        </w:rPr>
      </w:pPr>
      <w:r>
        <w:rPr>
          <w:rFonts w:ascii="Arial" w:hAnsi="Arial" w:cs="Arial"/>
          <w:sz w:val="24"/>
          <w:szCs w:val="24"/>
        </w:rPr>
        <w:t xml:space="preserve">Regardless, DP&amp;L’s substantive arguments fair no better.   </w:t>
      </w:r>
      <w:r w:rsidR="00A0186B">
        <w:rPr>
          <w:rFonts w:ascii="Arial" w:hAnsi="Arial" w:cs="Arial"/>
          <w:sz w:val="24"/>
          <w:szCs w:val="24"/>
        </w:rPr>
        <w:t>DP&amp;L claims that Mr. Crist provided no calculations to show the impact of his recommendation</w:t>
      </w:r>
      <w:r w:rsidR="00F92A52">
        <w:rPr>
          <w:rFonts w:ascii="Arial" w:hAnsi="Arial" w:cs="Arial"/>
          <w:sz w:val="24"/>
          <w:szCs w:val="24"/>
        </w:rPr>
        <w:t>.</w:t>
      </w:r>
      <w:r w:rsidR="002F1923">
        <w:rPr>
          <w:rStyle w:val="FootnoteReference"/>
          <w:rFonts w:ascii="Arial" w:hAnsi="Arial" w:cs="Arial"/>
          <w:sz w:val="24"/>
          <w:szCs w:val="24"/>
        </w:rPr>
        <w:footnoteReference w:id="58"/>
      </w:r>
      <w:r w:rsidR="00F92A52">
        <w:rPr>
          <w:rFonts w:ascii="Arial" w:hAnsi="Arial" w:cs="Arial"/>
          <w:sz w:val="24"/>
          <w:szCs w:val="24"/>
        </w:rPr>
        <w:t xml:space="preserve">  </w:t>
      </w:r>
      <w:r w:rsidR="00A0186B">
        <w:rPr>
          <w:rFonts w:ascii="Arial" w:hAnsi="Arial" w:cs="Arial"/>
          <w:sz w:val="24"/>
          <w:szCs w:val="24"/>
        </w:rPr>
        <w:t xml:space="preserve">DP&amp;L misses the point, Mr. Crist provides examples of the methodologies used by similarly situated EDUs in Ohio and concluded that DP&amp;L’s collateral calculation was by far the most restrictive and should therefore be brought into line with other EDUs in Ohio. </w:t>
      </w:r>
    </w:p>
    <w:p w14:paraId="5A92E5AE" w14:textId="3198714B" w:rsidR="00F92A52" w:rsidRPr="000E6A61" w:rsidRDefault="00A0186B" w:rsidP="00F92A52">
      <w:pPr>
        <w:spacing w:line="480" w:lineRule="auto"/>
        <w:ind w:firstLine="720"/>
        <w:jc w:val="both"/>
        <w:rPr>
          <w:rFonts w:ascii="Arial" w:hAnsi="Arial" w:cs="Arial"/>
          <w:sz w:val="24"/>
          <w:szCs w:val="24"/>
        </w:rPr>
      </w:pPr>
      <w:r>
        <w:rPr>
          <w:rFonts w:ascii="Arial" w:hAnsi="Arial" w:cs="Arial"/>
          <w:sz w:val="24"/>
          <w:szCs w:val="24"/>
        </w:rPr>
        <w:t xml:space="preserve"> DP&amp;L further tries to dismiss Mr. Crist’ claim that </w:t>
      </w:r>
      <w:r w:rsidR="00F92A52">
        <w:rPr>
          <w:rFonts w:ascii="Arial" w:hAnsi="Arial" w:cs="Arial"/>
          <w:sz w:val="24"/>
          <w:szCs w:val="24"/>
        </w:rPr>
        <w:t>its tariff doesn’t explicitly mention privately held companies, therefore the tariff cannot possibly discriminate against them.  Again, DP&amp;L’s literal out-of-context argument misses the point.</w:t>
      </w:r>
      <w:r w:rsidR="002F1923">
        <w:rPr>
          <w:rStyle w:val="FootnoteReference"/>
          <w:rFonts w:ascii="Arial" w:hAnsi="Arial" w:cs="Arial"/>
          <w:sz w:val="24"/>
          <w:szCs w:val="24"/>
        </w:rPr>
        <w:footnoteReference w:id="59"/>
      </w:r>
      <w:r w:rsidR="00F92A52">
        <w:rPr>
          <w:rFonts w:ascii="Arial" w:hAnsi="Arial" w:cs="Arial"/>
          <w:sz w:val="24"/>
          <w:szCs w:val="24"/>
        </w:rPr>
        <w:t xml:space="preserve">  Mr. Crist testified that DP&amp;L requires no collateral from CRES providers with a qualifying credit rating.  But “</w:t>
      </w:r>
      <w:r w:rsidR="002F1923">
        <w:rPr>
          <w:rFonts w:ascii="Arial" w:hAnsi="Arial" w:cs="Arial"/>
          <w:sz w:val="24"/>
          <w:szCs w:val="24"/>
        </w:rPr>
        <w:t>[</w:t>
      </w:r>
      <w:r w:rsidR="00F92A52" w:rsidRPr="00F92A52">
        <w:rPr>
          <w:rFonts w:ascii="Arial" w:hAnsi="Arial" w:cs="Arial"/>
          <w:sz w:val="24"/>
          <w:szCs w:val="24"/>
        </w:rPr>
        <w:t>I</w:t>
      </w:r>
      <w:r w:rsidR="002F1923">
        <w:rPr>
          <w:rFonts w:ascii="Arial" w:hAnsi="Arial" w:cs="Arial"/>
          <w:sz w:val="24"/>
          <w:szCs w:val="24"/>
        </w:rPr>
        <w:t>]</w:t>
      </w:r>
      <w:r w:rsidR="00F92A52" w:rsidRPr="00F92A52">
        <w:rPr>
          <w:rFonts w:ascii="Arial" w:hAnsi="Arial" w:cs="Arial"/>
          <w:sz w:val="24"/>
          <w:szCs w:val="24"/>
        </w:rPr>
        <w:t>n</w:t>
      </w:r>
      <w:r w:rsidR="00F92A52">
        <w:rPr>
          <w:rFonts w:ascii="Arial" w:hAnsi="Arial" w:cs="Arial"/>
          <w:sz w:val="24"/>
          <w:szCs w:val="24"/>
        </w:rPr>
        <w:t xml:space="preserve"> general, public companies would</w:t>
      </w:r>
      <w:r w:rsidR="00F92A52" w:rsidRPr="00F92A52">
        <w:rPr>
          <w:rFonts w:ascii="Arial" w:hAnsi="Arial" w:cs="Arial"/>
          <w:sz w:val="24"/>
          <w:szCs w:val="24"/>
        </w:rPr>
        <w:t xml:space="preserve"> obtain a credit rating more often than privately held</w:t>
      </w:r>
      <w:r w:rsidR="00F92A52">
        <w:rPr>
          <w:rFonts w:ascii="Arial" w:hAnsi="Arial" w:cs="Arial"/>
          <w:sz w:val="24"/>
          <w:szCs w:val="24"/>
        </w:rPr>
        <w:t xml:space="preserve"> </w:t>
      </w:r>
      <w:r w:rsidR="00F92A52" w:rsidRPr="00F92A52">
        <w:rPr>
          <w:rFonts w:ascii="Arial" w:hAnsi="Arial" w:cs="Arial"/>
          <w:sz w:val="24"/>
          <w:szCs w:val="24"/>
        </w:rPr>
        <w:t>companies, so as far a</w:t>
      </w:r>
      <w:r w:rsidR="00F92A52">
        <w:rPr>
          <w:rFonts w:ascii="Arial" w:hAnsi="Arial" w:cs="Arial"/>
          <w:sz w:val="24"/>
          <w:szCs w:val="24"/>
        </w:rPr>
        <w:t xml:space="preserve">s is there a difference between </w:t>
      </w:r>
      <w:r w:rsidR="00F92A52" w:rsidRPr="00F92A52">
        <w:rPr>
          <w:rFonts w:ascii="Arial" w:hAnsi="Arial" w:cs="Arial"/>
          <w:sz w:val="24"/>
          <w:szCs w:val="24"/>
        </w:rPr>
        <w:t>public and private in the tariff having a c</w:t>
      </w:r>
      <w:r w:rsidR="00F92A52">
        <w:rPr>
          <w:rFonts w:ascii="Arial" w:hAnsi="Arial" w:cs="Arial"/>
          <w:sz w:val="24"/>
          <w:szCs w:val="24"/>
        </w:rPr>
        <w:t xml:space="preserve">redit </w:t>
      </w:r>
      <w:r w:rsidR="00F92A52" w:rsidRPr="00F92A52">
        <w:rPr>
          <w:rFonts w:ascii="Arial" w:hAnsi="Arial" w:cs="Arial"/>
          <w:sz w:val="24"/>
          <w:szCs w:val="24"/>
        </w:rPr>
        <w:t>rating, giving advan</w:t>
      </w:r>
      <w:r w:rsidR="00F92A52">
        <w:rPr>
          <w:rFonts w:ascii="Arial" w:hAnsi="Arial" w:cs="Arial"/>
          <w:sz w:val="24"/>
          <w:szCs w:val="24"/>
        </w:rPr>
        <w:t xml:space="preserve">tage to a public company over a </w:t>
      </w:r>
      <w:r w:rsidR="00F92A52" w:rsidRPr="00F92A52">
        <w:rPr>
          <w:rFonts w:ascii="Arial" w:hAnsi="Arial" w:cs="Arial"/>
          <w:sz w:val="24"/>
          <w:szCs w:val="24"/>
        </w:rPr>
        <w:t>private company.</w:t>
      </w:r>
      <w:r w:rsidR="00F92A52">
        <w:rPr>
          <w:rFonts w:ascii="Arial" w:hAnsi="Arial" w:cs="Arial"/>
          <w:sz w:val="24"/>
          <w:szCs w:val="24"/>
        </w:rPr>
        <w:t>”</w:t>
      </w:r>
      <w:r w:rsidR="002F1923">
        <w:rPr>
          <w:rStyle w:val="FootnoteReference"/>
          <w:rFonts w:ascii="Arial" w:hAnsi="Arial" w:cs="Arial"/>
          <w:sz w:val="24"/>
          <w:szCs w:val="24"/>
        </w:rPr>
        <w:footnoteReference w:id="60"/>
      </w:r>
      <w:r w:rsidR="00F92A52">
        <w:rPr>
          <w:rFonts w:ascii="Arial" w:hAnsi="Arial" w:cs="Arial"/>
          <w:sz w:val="24"/>
          <w:szCs w:val="24"/>
        </w:rPr>
        <w:t xml:space="preserve"> </w:t>
      </w:r>
      <w:r w:rsidR="002F1923">
        <w:rPr>
          <w:rFonts w:ascii="Arial" w:hAnsi="Arial" w:cs="Arial"/>
          <w:sz w:val="24"/>
          <w:szCs w:val="24"/>
        </w:rPr>
        <w:t xml:space="preserve"> </w:t>
      </w:r>
      <w:r w:rsidR="00F92A52">
        <w:rPr>
          <w:rFonts w:ascii="Arial" w:hAnsi="Arial" w:cs="Arial"/>
          <w:sz w:val="24"/>
          <w:szCs w:val="24"/>
        </w:rPr>
        <w:t xml:space="preserve">Moreover, “private companies </w:t>
      </w:r>
      <w:r w:rsidR="00F92A52" w:rsidRPr="00F92A52">
        <w:rPr>
          <w:rFonts w:ascii="Arial" w:hAnsi="Arial" w:cs="Arial"/>
          <w:sz w:val="24"/>
          <w:szCs w:val="24"/>
        </w:rPr>
        <w:t>would not necessarily need to</w:t>
      </w:r>
      <w:r w:rsidR="00F92A52">
        <w:rPr>
          <w:rFonts w:ascii="Arial" w:hAnsi="Arial" w:cs="Arial"/>
          <w:sz w:val="24"/>
          <w:szCs w:val="24"/>
        </w:rPr>
        <w:t xml:space="preserve"> [get a credit rating], especially one with </w:t>
      </w:r>
      <w:r w:rsidR="00F92A52" w:rsidRPr="00F92A52">
        <w:rPr>
          <w:rFonts w:ascii="Arial" w:hAnsi="Arial" w:cs="Arial"/>
          <w:sz w:val="24"/>
          <w:szCs w:val="24"/>
        </w:rPr>
        <w:t>strong balance sheets</w:t>
      </w:r>
      <w:r w:rsidR="00F92A52">
        <w:rPr>
          <w:rFonts w:ascii="Arial" w:hAnsi="Arial" w:cs="Arial"/>
          <w:sz w:val="24"/>
          <w:szCs w:val="24"/>
        </w:rPr>
        <w:t xml:space="preserve">, since credit ratings are used Proceedings </w:t>
      </w:r>
      <w:r w:rsidR="00F92A52" w:rsidRPr="00F92A52">
        <w:rPr>
          <w:rFonts w:ascii="Arial" w:hAnsi="Arial" w:cs="Arial"/>
          <w:sz w:val="24"/>
          <w:szCs w:val="24"/>
        </w:rPr>
        <w:t>primarily for long-term debt.</w:t>
      </w:r>
      <w:r w:rsidR="00F92A52">
        <w:rPr>
          <w:rFonts w:ascii="Arial" w:hAnsi="Arial" w:cs="Arial"/>
          <w:sz w:val="24"/>
          <w:szCs w:val="24"/>
        </w:rPr>
        <w:t>”</w:t>
      </w:r>
      <w:r w:rsidR="002F1923">
        <w:rPr>
          <w:rStyle w:val="FootnoteReference"/>
          <w:rFonts w:ascii="Arial" w:hAnsi="Arial" w:cs="Arial"/>
          <w:sz w:val="24"/>
          <w:szCs w:val="24"/>
        </w:rPr>
        <w:footnoteReference w:id="61"/>
      </w:r>
      <w:r w:rsidR="00F92A52">
        <w:rPr>
          <w:rFonts w:ascii="Arial" w:hAnsi="Arial" w:cs="Arial"/>
          <w:sz w:val="24"/>
          <w:szCs w:val="24"/>
        </w:rPr>
        <w:t xml:space="preserve">  Thus, DP&amp;L’s tariff places privately held companies at a </w:t>
      </w:r>
      <w:r w:rsidR="00F92A52" w:rsidRPr="000E6A61">
        <w:rPr>
          <w:rFonts w:ascii="Arial" w:hAnsi="Arial" w:cs="Arial"/>
          <w:sz w:val="24"/>
          <w:szCs w:val="24"/>
        </w:rPr>
        <w:t>disadvantage relative to publicly-held companies.</w:t>
      </w:r>
    </w:p>
    <w:p w14:paraId="773A03E2" w14:textId="7E15064F" w:rsidR="009E1602" w:rsidRPr="000E6A61" w:rsidRDefault="009E1602" w:rsidP="009E1602">
      <w:pPr>
        <w:spacing w:after="120" w:line="480" w:lineRule="auto"/>
        <w:ind w:firstLine="720"/>
        <w:jc w:val="both"/>
        <w:rPr>
          <w:rFonts w:ascii="Arial" w:hAnsi="Arial" w:cs="Arial"/>
          <w:sz w:val="24"/>
          <w:szCs w:val="24"/>
        </w:rPr>
      </w:pPr>
      <w:r w:rsidRPr="000E6A61">
        <w:rPr>
          <w:rFonts w:ascii="Arial" w:hAnsi="Arial" w:cs="Arial"/>
          <w:sz w:val="24"/>
          <w:szCs w:val="24"/>
        </w:rPr>
        <w:lastRenderedPageBreak/>
        <w:t xml:space="preserve">Finally, there are two critical issues that DP&amp;L fails to even address. </w:t>
      </w:r>
      <w:r w:rsidRPr="000E6A61">
        <w:rPr>
          <w:rFonts w:ascii="Arial" w:hAnsi="Arial" w:cs="Arial"/>
          <w:sz w:val="24"/>
          <w:szCs w:val="24"/>
        </w:rPr>
        <w:t xml:space="preserve">DP&amp;L fails to explain why it is not following its Commission-authorized tariff, which states that “security required must be and remain commensurate with the financial risks placed on the Company by that supplier, </w:t>
      </w:r>
      <w:r w:rsidRPr="000E6A61">
        <w:rPr>
          <w:rFonts w:ascii="Arial" w:hAnsi="Arial" w:cs="Arial"/>
          <w:i/>
          <w:sz w:val="24"/>
          <w:szCs w:val="24"/>
        </w:rPr>
        <w:t>including recognition of that supplier’s performance</w:t>
      </w:r>
      <w:r w:rsidRPr="000E6A61">
        <w:rPr>
          <w:rFonts w:ascii="Arial" w:hAnsi="Arial" w:cs="Arial"/>
          <w:sz w:val="24"/>
          <w:szCs w:val="24"/>
        </w:rPr>
        <w:t>.”</w:t>
      </w:r>
      <w:r w:rsidRPr="000E6A61">
        <w:rPr>
          <w:rFonts w:ascii="Arial" w:hAnsi="Arial" w:cs="Arial"/>
          <w:sz w:val="24"/>
          <w:szCs w:val="24"/>
          <w:vertAlign w:val="superscript"/>
        </w:rPr>
        <w:footnoteReference w:id="62"/>
      </w:r>
      <w:r w:rsidRPr="000E6A61">
        <w:rPr>
          <w:rFonts w:ascii="Arial" w:hAnsi="Arial" w:cs="Arial"/>
          <w:sz w:val="24"/>
          <w:szCs w:val="24"/>
        </w:rPr>
        <w:t xml:space="preserve">  Likewise, DP&amp;L fails to explain why it continues to unilaterally modify its bond form without Commission oversight.  DP&amp;L’</w:t>
      </w:r>
      <w:r w:rsidRPr="000E6A61">
        <w:rPr>
          <w:rFonts w:ascii="Arial" w:hAnsi="Arial" w:cs="Arial"/>
          <w:sz w:val="24"/>
          <w:szCs w:val="24"/>
        </w:rPr>
        <w:t>s silence speaks volumes.  DP&amp;L’s existing collateral process is out of hand and patently unfair. Therefore, the Commission should direct DP&amp;L to follow its tariff obligations, reform DP&amp;L’s methodology into line with other Ohio EDUs, and require DP&amp;L to file its bond form with Commission for approval.</w:t>
      </w:r>
    </w:p>
    <w:p w14:paraId="07A003DB" w14:textId="13AD59F1" w:rsidR="002F1923" w:rsidRPr="000E6A61" w:rsidRDefault="002F1923" w:rsidP="002F1923">
      <w:pPr>
        <w:pStyle w:val="ListParagraph"/>
        <w:numPr>
          <w:ilvl w:val="0"/>
          <w:numId w:val="1"/>
        </w:numPr>
        <w:spacing w:after="120" w:line="480" w:lineRule="auto"/>
        <w:jc w:val="both"/>
        <w:rPr>
          <w:rFonts w:ascii="Arial" w:hAnsi="Arial" w:cs="Arial"/>
          <w:b/>
          <w:sz w:val="24"/>
          <w:szCs w:val="24"/>
        </w:rPr>
      </w:pPr>
      <w:r w:rsidRPr="000E6A61">
        <w:rPr>
          <w:rFonts w:ascii="Arial" w:hAnsi="Arial" w:cs="Arial"/>
          <w:b/>
          <w:sz w:val="24"/>
          <w:szCs w:val="24"/>
        </w:rPr>
        <w:t>CONCLUSION</w:t>
      </w:r>
    </w:p>
    <w:p w14:paraId="3DEFA4E5" w14:textId="4644018A" w:rsidR="00717195" w:rsidRPr="000E6A61" w:rsidRDefault="002F1923" w:rsidP="000E6A61">
      <w:pPr>
        <w:spacing w:after="120" w:line="480" w:lineRule="auto"/>
        <w:ind w:firstLine="720"/>
        <w:jc w:val="both"/>
        <w:rPr>
          <w:rFonts w:ascii="Arial" w:hAnsi="Arial" w:cs="Arial"/>
          <w:sz w:val="24"/>
          <w:szCs w:val="24"/>
        </w:rPr>
      </w:pPr>
      <w:r w:rsidRPr="000E6A61">
        <w:rPr>
          <w:rFonts w:ascii="Arial" w:hAnsi="Arial" w:cs="Arial"/>
          <w:sz w:val="24"/>
          <w:szCs w:val="24"/>
        </w:rPr>
        <w:t xml:space="preserve">For the reasons stated herein, IGS urges the Commission to modify the Stipulation.  It is unjust, unreasonable, discriminatory on multiple fronts, contrary to the public interest, and would violate Ohio law.  The Commission should modify to the Stipulation and ensure that customers are not penalized for exercising their right to shop.  </w:t>
      </w:r>
    </w:p>
    <w:p w14:paraId="38FD0EB9" w14:textId="79FDF4C2"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Respectfully submitted,</w:t>
      </w:r>
    </w:p>
    <w:p w14:paraId="1EA3BF00" w14:textId="1EAAB0DE" w:rsidR="005C0566" w:rsidRPr="000E6A61" w:rsidRDefault="005C0566" w:rsidP="005C0566">
      <w:pPr>
        <w:spacing w:after="0" w:line="240" w:lineRule="auto"/>
        <w:ind w:left="5040"/>
        <w:rPr>
          <w:rFonts w:ascii="Arial" w:hAnsi="Arial" w:cs="Arial"/>
          <w:sz w:val="24"/>
          <w:szCs w:val="24"/>
        </w:rPr>
      </w:pPr>
    </w:p>
    <w:p w14:paraId="15500A12" w14:textId="327041E8" w:rsidR="005C0566" w:rsidRPr="000E6A61" w:rsidRDefault="005C0566" w:rsidP="005C0566">
      <w:pPr>
        <w:spacing w:after="0" w:line="240" w:lineRule="auto"/>
        <w:ind w:left="5040"/>
        <w:rPr>
          <w:rFonts w:ascii="Arial" w:hAnsi="Arial" w:cs="Arial"/>
          <w:sz w:val="24"/>
          <w:szCs w:val="24"/>
          <w:u w:val="single"/>
        </w:rPr>
      </w:pPr>
      <w:r w:rsidRPr="000E6A61">
        <w:rPr>
          <w:rFonts w:ascii="Arial" w:hAnsi="Arial" w:cs="Arial"/>
          <w:sz w:val="24"/>
          <w:szCs w:val="24"/>
          <w:u w:val="single"/>
        </w:rPr>
        <w:t>/s/Joseph Oliker</w:t>
      </w:r>
    </w:p>
    <w:p w14:paraId="65C2F42E" w14:textId="22192069"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Joseph Oliker (0086088)</w:t>
      </w:r>
    </w:p>
    <w:p w14:paraId="031E7F07"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 xml:space="preserve">Counsel of Record </w:t>
      </w:r>
    </w:p>
    <w:p w14:paraId="43FBDBC0" w14:textId="63855D28" w:rsidR="005C0566" w:rsidRPr="000E6A61" w:rsidRDefault="005C0566" w:rsidP="005C0566">
      <w:pPr>
        <w:spacing w:after="0" w:line="240" w:lineRule="auto"/>
        <w:ind w:left="5040"/>
        <w:rPr>
          <w:rStyle w:val="Hyperlink"/>
          <w:rFonts w:ascii="Arial" w:hAnsi="Arial" w:cs="Arial"/>
          <w:color w:val="auto"/>
          <w:sz w:val="24"/>
          <w:szCs w:val="24"/>
          <w:u w:val="none"/>
        </w:rPr>
      </w:pPr>
      <w:r w:rsidRPr="000E6A61">
        <w:rPr>
          <w:rFonts w:ascii="Arial" w:hAnsi="Arial" w:cs="Arial"/>
          <w:sz w:val="24"/>
          <w:szCs w:val="24"/>
        </w:rPr>
        <w:t xml:space="preserve">Email: </w:t>
      </w:r>
      <w:hyperlink r:id="rId9" w:history="1">
        <w:r w:rsidRPr="000E6A61">
          <w:rPr>
            <w:rStyle w:val="Hyperlink"/>
            <w:rFonts w:ascii="Arial" w:hAnsi="Arial" w:cs="Arial"/>
            <w:color w:val="auto"/>
            <w:sz w:val="24"/>
            <w:szCs w:val="24"/>
            <w:u w:val="none"/>
          </w:rPr>
          <w:t>joliker@igsenergy.com</w:t>
        </w:r>
      </w:hyperlink>
    </w:p>
    <w:p w14:paraId="0E53A21F" w14:textId="3E3D5F77" w:rsidR="000E6A61" w:rsidRPr="000E6A61" w:rsidRDefault="000E6A61" w:rsidP="005C0566">
      <w:pPr>
        <w:spacing w:after="0" w:line="240" w:lineRule="auto"/>
        <w:ind w:left="5040"/>
        <w:rPr>
          <w:rStyle w:val="Hyperlink"/>
          <w:rFonts w:ascii="Arial" w:hAnsi="Arial" w:cs="Arial"/>
          <w:color w:val="auto"/>
          <w:sz w:val="24"/>
          <w:szCs w:val="24"/>
          <w:u w:val="none"/>
        </w:rPr>
      </w:pPr>
      <w:r w:rsidRPr="000E6A61">
        <w:rPr>
          <w:rStyle w:val="Hyperlink"/>
          <w:rFonts w:ascii="Arial" w:hAnsi="Arial" w:cs="Arial"/>
          <w:color w:val="auto"/>
          <w:sz w:val="24"/>
          <w:szCs w:val="24"/>
          <w:u w:val="none"/>
        </w:rPr>
        <w:t>Michael Nugent (0090408)</w:t>
      </w:r>
    </w:p>
    <w:p w14:paraId="74CD103A" w14:textId="15C30DF1" w:rsidR="000E6A61" w:rsidRPr="000E6A61" w:rsidRDefault="000E6A61" w:rsidP="005C0566">
      <w:pPr>
        <w:spacing w:after="0" w:line="240" w:lineRule="auto"/>
        <w:ind w:left="5040"/>
        <w:rPr>
          <w:rStyle w:val="Hyperlink"/>
          <w:rFonts w:ascii="Arial" w:hAnsi="Arial" w:cs="Arial"/>
          <w:color w:val="auto"/>
          <w:sz w:val="24"/>
          <w:szCs w:val="24"/>
          <w:u w:val="none"/>
        </w:rPr>
      </w:pPr>
      <w:r w:rsidRPr="000E6A61">
        <w:rPr>
          <w:rStyle w:val="Hyperlink"/>
          <w:rFonts w:ascii="Arial" w:hAnsi="Arial" w:cs="Arial"/>
          <w:color w:val="auto"/>
          <w:sz w:val="24"/>
          <w:szCs w:val="24"/>
          <w:u w:val="none"/>
        </w:rPr>
        <w:t>Mnugent@igsenergy.com</w:t>
      </w:r>
    </w:p>
    <w:p w14:paraId="302A3509"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IGS Energy</w:t>
      </w:r>
    </w:p>
    <w:p w14:paraId="5E417468"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6100 Emerald Parkway</w:t>
      </w:r>
    </w:p>
    <w:p w14:paraId="101BA754"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Dublin, Ohio 43016</w:t>
      </w:r>
    </w:p>
    <w:p w14:paraId="0FEF0A6D"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Telephone:</w:t>
      </w:r>
      <w:r w:rsidRPr="000E6A61">
        <w:rPr>
          <w:rFonts w:ascii="Arial" w:hAnsi="Arial" w:cs="Arial"/>
          <w:sz w:val="24"/>
          <w:szCs w:val="24"/>
        </w:rPr>
        <w:tab/>
        <w:t>(614) 659-5000</w:t>
      </w:r>
    </w:p>
    <w:p w14:paraId="606FA0F5" w14:textId="77777777" w:rsidR="005C0566" w:rsidRPr="000E6A61" w:rsidRDefault="005C0566" w:rsidP="005C0566">
      <w:pPr>
        <w:spacing w:after="0" w:line="240" w:lineRule="auto"/>
        <w:ind w:left="5040"/>
        <w:rPr>
          <w:rFonts w:ascii="Arial" w:hAnsi="Arial" w:cs="Arial"/>
          <w:sz w:val="24"/>
          <w:szCs w:val="24"/>
        </w:rPr>
      </w:pPr>
      <w:r w:rsidRPr="000E6A61">
        <w:rPr>
          <w:rFonts w:ascii="Arial" w:hAnsi="Arial" w:cs="Arial"/>
          <w:sz w:val="24"/>
          <w:szCs w:val="24"/>
        </w:rPr>
        <w:t>Facsimile:</w:t>
      </w:r>
      <w:r w:rsidRPr="000E6A61">
        <w:rPr>
          <w:rFonts w:ascii="Arial" w:hAnsi="Arial" w:cs="Arial"/>
          <w:sz w:val="24"/>
          <w:szCs w:val="24"/>
        </w:rPr>
        <w:tab/>
        <w:t>(614) 659-5073</w:t>
      </w:r>
    </w:p>
    <w:p w14:paraId="357EBB09" w14:textId="77777777" w:rsidR="005C0566" w:rsidRPr="000E6A61" w:rsidRDefault="005C0566" w:rsidP="005C0566">
      <w:pPr>
        <w:spacing w:after="0" w:line="240" w:lineRule="auto"/>
        <w:ind w:left="5040"/>
        <w:rPr>
          <w:rFonts w:ascii="Arial" w:hAnsi="Arial" w:cs="Arial"/>
          <w:sz w:val="24"/>
          <w:szCs w:val="24"/>
        </w:rPr>
      </w:pPr>
    </w:p>
    <w:p w14:paraId="3475D285" w14:textId="1DB65D60" w:rsidR="002F1923" w:rsidRPr="000E6A61" w:rsidRDefault="005C0566" w:rsidP="002F1923">
      <w:pPr>
        <w:spacing w:after="0" w:line="240" w:lineRule="auto"/>
        <w:ind w:left="5040"/>
        <w:rPr>
          <w:rFonts w:ascii="Arial" w:hAnsi="Arial" w:cs="Arial"/>
          <w:b/>
          <w:i/>
          <w:sz w:val="24"/>
          <w:szCs w:val="24"/>
        </w:rPr>
      </w:pPr>
      <w:r w:rsidRPr="000E6A61">
        <w:rPr>
          <w:rFonts w:ascii="Arial" w:hAnsi="Arial" w:cs="Arial"/>
          <w:b/>
          <w:i/>
          <w:sz w:val="24"/>
          <w:szCs w:val="24"/>
        </w:rPr>
        <w:t>Attorney</w:t>
      </w:r>
      <w:r w:rsidR="002F1923" w:rsidRPr="000E6A61">
        <w:rPr>
          <w:rFonts w:ascii="Arial" w:hAnsi="Arial" w:cs="Arial"/>
          <w:b/>
          <w:i/>
          <w:sz w:val="24"/>
          <w:szCs w:val="24"/>
        </w:rPr>
        <w:t>S</w:t>
      </w:r>
      <w:r w:rsidRPr="000E6A61">
        <w:rPr>
          <w:rFonts w:ascii="Arial" w:hAnsi="Arial" w:cs="Arial"/>
          <w:b/>
          <w:i/>
          <w:sz w:val="24"/>
          <w:szCs w:val="24"/>
        </w:rPr>
        <w:t xml:space="preserve"> for IGS Energy</w:t>
      </w:r>
    </w:p>
    <w:p w14:paraId="2CFD9706" w14:textId="641C8060" w:rsidR="005E5B59" w:rsidRPr="000E6A61" w:rsidRDefault="005E5B59" w:rsidP="005E5B59">
      <w:pPr>
        <w:spacing w:after="0"/>
        <w:ind w:left="2160" w:firstLine="720"/>
        <w:rPr>
          <w:rFonts w:ascii="Arial" w:eastAsia="Arial" w:hAnsi="Arial" w:cs="Arial"/>
          <w:b/>
          <w:u w:val="single"/>
        </w:rPr>
      </w:pPr>
      <w:r w:rsidRPr="000E6A61">
        <w:rPr>
          <w:rFonts w:ascii="Arial" w:eastAsia="Arial" w:hAnsi="Arial" w:cs="Arial"/>
          <w:b/>
          <w:u w:val="single"/>
        </w:rPr>
        <w:lastRenderedPageBreak/>
        <w:t>CERTIFICATE OF SERVICE</w:t>
      </w:r>
    </w:p>
    <w:p w14:paraId="17979195" w14:textId="77777777" w:rsidR="005E5B59" w:rsidRPr="000E6A61" w:rsidRDefault="005E5B59" w:rsidP="005E5B59">
      <w:pPr>
        <w:spacing w:after="0"/>
        <w:jc w:val="center"/>
        <w:rPr>
          <w:rFonts w:ascii="Arial" w:eastAsia="Arial" w:hAnsi="Arial" w:cs="Arial"/>
          <w:b/>
          <w:u w:val="single"/>
        </w:rPr>
      </w:pPr>
    </w:p>
    <w:p w14:paraId="2CB8B0C9" w14:textId="7F6035B1" w:rsidR="005E5B59" w:rsidRPr="000E6A61" w:rsidRDefault="005E5B59" w:rsidP="005E5B59">
      <w:pPr>
        <w:spacing w:after="0"/>
        <w:jc w:val="both"/>
        <w:rPr>
          <w:rFonts w:ascii="Arial" w:eastAsia="Calibri" w:hAnsi="Arial" w:cs="Arial"/>
        </w:rPr>
      </w:pPr>
      <w:r w:rsidRPr="000E6A61">
        <w:rPr>
          <w:rFonts w:ascii="Arial" w:eastAsia="Arial" w:hAnsi="Arial" w:cs="Arial"/>
        </w:rPr>
        <w:tab/>
      </w:r>
      <w:r w:rsidRPr="000E6A61">
        <w:rPr>
          <w:rFonts w:ascii="Arial" w:eastAsia="Calibri" w:hAnsi="Arial" w:cs="Arial"/>
        </w:rPr>
        <w:t xml:space="preserve">The undersigned hereby certifies that a copy of the foregoing </w:t>
      </w:r>
      <w:r w:rsidR="00AD0EB6" w:rsidRPr="000E6A61">
        <w:rPr>
          <w:rFonts w:ascii="Arial" w:eastAsia="Calibri" w:hAnsi="Arial" w:cs="Arial"/>
          <w:i/>
        </w:rPr>
        <w:t>Reply</w:t>
      </w:r>
      <w:r w:rsidRPr="000E6A61">
        <w:rPr>
          <w:rFonts w:ascii="Arial" w:eastAsia="Calibri" w:hAnsi="Arial" w:cs="Arial"/>
          <w:i/>
        </w:rPr>
        <w:t xml:space="preserve"> Brief of Interstate Gas Supply, Inc. </w:t>
      </w:r>
      <w:r w:rsidR="00E72379" w:rsidRPr="000E6A61">
        <w:rPr>
          <w:rFonts w:ascii="Arial" w:eastAsia="Calibri" w:hAnsi="Arial" w:cs="Arial"/>
        </w:rPr>
        <w:t>was served this 27th</w:t>
      </w:r>
      <w:r w:rsidRPr="000E6A61">
        <w:rPr>
          <w:rFonts w:ascii="Arial" w:eastAsia="Calibri" w:hAnsi="Arial" w:cs="Arial"/>
        </w:rPr>
        <w:t xml:space="preserve"> day of August 2018 via electronic mail upon the following:</w:t>
      </w:r>
    </w:p>
    <w:p w14:paraId="4462D693" w14:textId="77777777" w:rsidR="005E5B59" w:rsidRPr="000E6A61" w:rsidRDefault="005E5B59" w:rsidP="005E5B59">
      <w:pPr>
        <w:spacing w:after="0"/>
        <w:jc w:val="both"/>
        <w:rPr>
          <w:rFonts w:ascii="Arial" w:eastAsia="Calibri" w:hAnsi="Arial" w:cs="Arial"/>
        </w:rPr>
      </w:pPr>
    </w:p>
    <w:p w14:paraId="1ECEB127" w14:textId="77777777" w:rsidR="005E5B59" w:rsidRPr="000E6A61" w:rsidRDefault="005E5B59" w:rsidP="005E5B59">
      <w:pPr>
        <w:spacing w:after="0"/>
        <w:jc w:val="both"/>
        <w:rPr>
          <w:rFonts w:ascii="Arial" w:eastAsia="Arial" w:hAnsi="Arial" w:cs="Arial"/>
        </w:rPr>
      </w:pPr>
    </w:p>
    <w:p w14:paraId="7A6EE048" w14:textId="77777777" w:rsidR="005E5B59" w:rsidRPr="000E6A61" w:rsidRDefault="005E5B59" w:rsidP="005E5B59">
      <w:pPr>
        <w:spacing w:after="0"/>
        <w:jc w:val="both"/>
        <w:rPr>
          <w:rFonts w:ascii="Arial" w:eastAsia="Arial" w:hAnsi="Arial" w:cs="Arial"/>
        </w:rPr>
      </w:pPr>
    </w:p>
    <w:p w14:paraId="0A9F366D" w14:textId="77777777" w:rsidR="005E5B59" w:rsidRPr="000E6A61" w:rsidRDefault="005E5B59" w:rsidP="005E5B59">
      <w:pPr>
        <w:spacing w:after="0"/>
        <w:ind w:left="5040" w:firstLine="720"/>
        <w:rPr>
          <w:rFonts w:ascii="Arial" w:eastAsia="Calibri" w:hAnsi="Arial" w:cs="Arial"/>
          <w:u w:val="single"/>
        </w:rPr>
      </w:pPr>
      <w:r w:rsidRPr="000E6A61">
        <w:rPr>
          <w:rFonts w:ascii="Arial" w:eastAsia="Arial" w:hAnsi="Arial" w:cs="Arial"/>
          <w:i/>
          <w:u w:val="single"/>
        </w:rPr>
        <w:t>/s/ Joseph Oliker_______</w:t>
      </w:r>
    </w:p>
    <w:p w14:paraId="18F7A846" w14:textId="77777777" w:rsidR="005E5B59" w:rsidRPr="000E6A61" w:rsidRDefault="005E5B59" w:rsidP="005E5B59">
      <w:pPr>
        <w:spacing w:after="0"/>
        <w:ind w:left="5040" w:firstLine="720"/>
        <w:rPr>
          <w:rFonts w:ascii="Arial" w:eastAsia="Times New Roman" w:hAnsi="Arial" w:cs="Arial"/>
        </w:rPr>
      </w:pPr>
      <w:r w:rsidRPr="000E6A61">
        <w:rPr>
          <w:rFonts w:ascii="Arial" w:eastAsia="Times New Roman" w:hAnsi="Arial" w:cs="Arial"/>
        </w:rPr>
        <w:t>Joseph Oliker</w:t>
      </w:r>
    </w:p>
    <w:p w14:paraId="6FFF5381"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michael.schuler@aes.com</w:t>
      </w:r>
    </w:p>
    <w:p w14:paraId="3133600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jsharkey@ficlaw.com</w:t>
      </w:r>
    </w:p>
    <w:p w14:paraId="1AF85A4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djireland@ficlaw.com</w:t>
      </w:r>
    </w:p>
    <w:p w14:paraId="44ACAFFC"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chollon@ficlaw.com</w:t>
      </w:r>
    </w:p>
    <w:p w14:paraId="2FE82DFD" w14:textId="77777777" w:rsidR="005E5B59" w:rsidRPr="000E6A61" w:rsidRDefault="005E5B59" w:rsidP="005E5B59">
      <w:pPr>
        <w:autoSpaceDE w:val="0"/>
        <w:autoSpaceDN w:val="0"/>
        <w:adjustRightInd w:val="0"/>
        <w:spacing w:after="0"/>
        <w:rPr>
          <w:rFonts w:ascii="Arial" w:hAnsi="Arial" w:cs="Arial"/>
          <w:color w:val="0000FF"/>
        </w:rPr>
      </w:pPr>
      <w:bookmarkStart w:id="1" w:name="_Hlk511210790"/>
      <w:r w:rsidRPr="000E6A61">
        <w:rPr>
          <w:rFonts w:ascii="Arial" w:hAnsi="Arial" w:cs="Arial"/>
          <w:color w:val="0000FF"/>
        </w:rPr>
        <w:t>thomas.mcnamee@ohioattomeygeneral.gov</w:t>
      </w:r>
    </w:p>
    <w:bookmarkEnd w:id="1"/>
    <w:p w14:paraId="79391BC6"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christopher.healey@occ.ohio.gov</w:t>
      </w:r>
    </w:p>
    <w:p w14:paraId="1EEB651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terry.etter@occ.ohio.gov</w:t>
      </w:r>
    </w:p>
    <w:p w14:paraId="47927F1F"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fdarr@mwncmh.com</w:t>
      </w:r>
    </w:p>
    <w:p w14:paraId="5A239895"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mpritchard@mwncmh.com</w:t>
      </w:r>
    </w:p>
    <w:p w14:paraId="22A1818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sechler@carpenterlipps.com</w:t>
      </w:r>
    </w:p>
    <w:p w14:paraId="28F37D2D"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paul@carpenterlipps.com</w:t>
      </w:r>
    </w:p>
    <w:p w14:paraId="2015EC5C"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dboehm@BKLlawfirm.com</w:t>
      </w:r>
    </w:p>
    <w:p w14:paraId="04194411"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mkurtz@BKLlawfirm.com</w:t>
      </w:r>
    </w:p>
    <w:p w14:paraId="5854EDF5"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kboehm@BKLIawfirm.com</w:t>
      </w:r>
    </w:p>
    <w:p w14:paraId="4D39A92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jkylercohn@BKLlawfirm.com</w:t>
      </w:r>
    </w:p>
    <w:p w14:paraId="381BB64E"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bojko@carpenterlipps.com</w:t>
      </w:r>
    </w:p>
    <w:p w14:paraId="1A2DA67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dressel@carpenterlipps.com</w:t>
      </w:r>
    </w:p>
    <w:p w14:paraId="64577AFE"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mfleisher@elpc.org</w:t>
      </w:r>
    </w:p>
    <w:p w14:paraId="0B164DB9"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kfield@elpc.org</w:t>
      </w:r>
    </w:p>
    <w:p w14:paraId="71B077D0"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thawrot@spilmanlaw.com</w:t>
      </w:r>
    </w:p>
    <w:p w14:paraId="19F15CF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rkelter@elpc.org</w:t>
      </w:r>
    </w:p>
    <w:p w14:paraId="5B87AFD1"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jvickers@elpc.org</w:t>
      </w:r>
    </w:p>
    <w:p w14:paraId="7F70C116"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slesser@calfee.com</w:t>
      </w:r>
    </w:p>
    <w:p w14:paraId="23AC52DE"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jlang@calfee.com</w:t>
      </w:r>
    </w:p>
    <w:p w14:paraId="24F3DB7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talexander@calfee.com</w:t>
      </w:r>
    </w:p>
    <w:p w14:paraId="3A36AB96"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stephanie.chmiel@thompsonhine.com</w:t>
      </w:r>
    </w:p>
    <w:p w14:paraId="5E61670B"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dwilliamson@spilmanlaw.com</w:t>
      </w:r>
    </w:p>
    <w:p w14:paraId="59BAEAC2"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charris@spilmanlaw.com</w:t>
      </w:r>
    </w:p>
    <w:p w14:paraId="72CD058A"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stephen.chriss@walmart.com</w:t>
      </w:r>
    </w:p>
    <w:p w14:paraId="3E5A8302"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greg.tillman@walmart.com</w:t>
      </w:r>
    </w:p>
    <w:p w14:paraId="3160B19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John.Degnan@us.afmil</w:t>
      </w:r>
    </w:p>
    <w:p w14:paraId="65894A0A"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Thomas.Jernigan@us.af.mil</w:t>
      </w:r>
    </w:p>
    <w:p w14:paraId="5EEA4237"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Ebony.Payton.ctr@us.af.mil</w:t>
      </w:r>
    </w:p>
    <w:p w14:paraId="5BFB16FD"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ejacobs@ablelaw.org</w:t>
      </w:r>
    </w:p>
    <w:p w14:paraId="4AADCE09"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jdoll@djflawfirm.com</w:t>
      </w:r>
    </w:p>
    <w:p w14:paraId="08C61F37"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mcrawford@djflawfirm.com</w:t>
      </w:r>
    </w:p>
    <w:p w14:paraId="33A842B2"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mjsettineri@vorys.com</w:t>
      </w:r>
    </w:p>
    <w:p w14:paraId="5913659A"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glpetrucci@vorys.com</w:t>
      </w:r>
    </w:p>
    <w:p w14:paraId="582DB4F6"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lastRenderedPageBreak/>
        <w:t>witt@whitt-sturtevanat.com</w:t>
      </w:r>
    </w:p>
    <w:p w14:paraId="6C843069"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campbell@whitt-sturtevanat.com</w:t>
      </w:r>
    </w:p>
    <w:p w14:paraId="26420D5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glover@whitt-sturtevanat.com</w:t>
      </w:r>
    </w:p>
    <w:p w14:paraId="4F06199E"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tdougherty@theoec.org</w:t>
      </w:r>
    </w:p>
    <w:p w14:paraId="3811B4E4"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mleppla@theoec.org</w:t>
      </w:r>
    </w:p>
    <w:p w14:paraId="1A555749"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jfinnigan@edf.com</w:t>
      </w:r>
    </w:p>
    <w:p w14:paraId="570257CC"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rdove@attorneydove.com</w:t>
      </w:r>
    </w:p>
    <w:p w14:paraId="0FEF0381" w14:textId="77777777" w:rsidR="005E5B59" w:rsidRPr="000E6A61" w:rsidRDefault="005E5B59" w:rsidP="005E5B59">
      <w:pPr>
        <w:autoSpaceDE w:val="0"/>
        <w:autoSpaceDN w:val="0"/>
        <w:adjustRightInd w:val="0"/>
        <w:spacing w:after="0"/>
        <w:rPr>
          <w:rFonts w:ascii="Arial" w:hAnsi="Arial" w:cs="Arial"/>
          <w:color w:val="0000FF"/>
        </w:rPr>
      </w:pPr>
      <w:r w:rsidRPr="000E6A61">
        <w:rPr>
          <w:rFonts w:ascii="Arial" w:hAnsi="Arial" w:cs="Arial"/>
          <w:color w:val="0000FF"/>
        </w:rPr>
        <w:t>swilliams@nrdc.org</w:t>
      </w:r>
    </w:p>
    <w:p w14:paraId="5F662FE6" w14:textId="77777777" w:rsidR="005E5B59" w:rsidRPr="000E6A61" w:rsidRDefault="00122B62" w:rsidP="005E5B59">
      <w:pPr>
        <w:autoSpaceDE w:val="0"/>
        <w:autoSpaceDN w:val="0"/>
        <w:adjustRightInd w:val="0"/>
        <w:spacing w:after="0"/>
        <w:rPr>
          <w:rFonts w:ascii="Arial" w:hAnsi="Arial" w:cs="Arial"/>
          <w:color w:val="0000FF"/>
        </w:rPr>
      </w:pPr>
      <w:hyperlink r:id="rId10" w:history="1">
        <w:r w:rsidR="005E5B59" w:rsidRPr="000E6A61">
          <w:rPr>
            <w:rFonts w:ascii="Arial" w:hAnsi="Arial" w:cs="Arial"/>
            <w:color w:val="0000FF"/>
          </w:rPr>
          <w:t>cmooney@ohiopartners.org</w:t>
        </w:r>
      </w:hyperlink>
    </w:p>
    <w:p w14:paraId="6E4861B2" w14:textId="77777777" w:rsidR="005E5B59" w:rsidRPr="000E6A61" w:rsidRDefault="00122B62" w:rsidP="005E5B59">
      <w:pPr>
        <w:autoSpaceDE w:val="0"/>
        <w:autoSpaceDN w:val="0"/>
        <w:adjustRightInd w:val="0"/>
        <w:spacing w:after="0"/>
        <w:rPr>
          <w:rFonts w:ascii="Arial" w:hAnsi="Arial" w:cs="Arial"/>
          <w:color w:val="0000FF"/>
        </w:rPr>
      </w:pPr>
      <w:hyperlink r:id="rId11" w:history="1">
        <w:r w:rsidR="005E5B59" w:rsidRPr="000E6A61">
          <w:rPr>
            <w:rFonts w:ascii="Arial" w:hAnsi="Arial" w:cs="Arial"/>
            <w:color w:val="0000FF"/>
          </w:rPr>
          <w:t>Patricia.Schabo@puco.ohio.gov</w:t>
        </w:r>
      </w:hyperlink>
    </w:p>
    <w:p w14:paraId="69D8CD04" w14:textId="77777777" w:rsidR="005E5B59" w:rsidRPr="000E6A61" w:rsidRDefault="00122B62" w:rsidP="005E5B59">
      <w:pPr>
        <w:autoSpaceDE w:val="0"/>
        <w:autoSpaceDN w:val="0"/>
        <w:adjustRightInd w:val="0"/>
        <w:spacing w:after="0"/>
        <w:rPr>
          <w:rFonts w:ascii="Arial" w:hAnsi="Arial" w:cs="Arial"/>
        </w:rPr>
      </w:pPr>
      <w:hyperlink r:id="rId12" w:history="1">
        <w:r w:rsidR="005E5B59" w:rsidRPr="000E6A61">
          <w:rPr>
            <w:rFonts w:ascii="Arial" w:hAnsi="Arial" w:cs="Arial"/>
            <w:color w:val="0000FF"/>
          </w:rPr>
          <w:t>Greg.Price@puco.ohio.gov</w:t>
        </w:r>
      </w:hyperlink>
    </w:p>
    <w:p w14:paraId="653A7873" w14:textId="77777777" w:rsidR="005E5B59" w:rsidRPr="005C0566" w:rsidRDefault="005E5B59" w:rsidP="004A0C52">
      <w:pPr>
        <w:spacing w:line="480" w:lineRule="auto"/>
        <w:ind w:firstLine="720"/>
        <w:jc w:val="both"/>
        <w:rPr>
          <w:rFonts w:ascii="Arial" w:hAnsi="Arial" w:cs="Arial"/>
          <w:sz w:val="24"/>
          <w:szCs w:val="24"/>
        </w:rPr>
      </w:pPr>
    </w:p>
    <w:sectPr w:rsidR="005E5B59" w:rsidRPr="005C0566" w:rsidSect="00A94B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0C8B" w14:textId="77777777" w:rsidR="00122B62" w:rsidRDefault="00122B62" w:rsidP="003E1F76">
      <w:pPr>
        <w:spacing w:after="0" w:line="240" w:lineRule="auto"/>
      </w:pPr>
      <w:r>
        <w:separator/>
      </w:r>
    </w:p>
  </w:endnote>
  <w:endnote w:type="continuationSeparator" w:id="0">
    <w:p w14:paraId="1E55E4D4" w14:textId="77777777" w:rsidR="00122B62" w:rsidRDefault="00122B62" w:rsidP="003E1F76">
      <w:pPr>
        <w:spacing w:after="0" w:line="240" w:lineRule="auto"/>
      </w:pPr>
      <w:r>
        <w:continuationSeparator/>
      </w:r>
    </w:p>
  </w:endnote>
  <w:endnote w:type="continuationNotice" w:id="1">
    <w:p w14:paraId="6B90674C" w14:textId="77777777" w:rsidR="00122B62" w:rsidRDefault="00122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Times New Roman">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DD72" w14:textId="77777777" w:rsidR="00F71F25" w:rsidRDefault="00F71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7792"/>
      <w:docPartObj>
        <w:docPartGallery w:val="Page Numbers (Bottom of Page)"/>
        <w:docPartUnique/>
      </w:docPartObj>
    </w:sdtPr>
    <w:sdtEndPr>
      <w:rPr>
        <w:noProof/>
      </w:rPr>
    </w:sdtEndPr>
    <w:sdtContent>
      <w:p w14:paraId="27B33799" w14:textId="0D7E1EC2" w:rsidR="002F1923" w:rsidRDefault="002F1923">
        <w:pPr>
          <w:pStyle w:val="Footer"/>
          <w:jc w:val="center"/>
        </w:pPr>
        <w:r>
          <w:fldChar w:fldCharType="begin"/>
        </w:r>
        <w:r>
          <w:instrText xml:space="preserve"> PAGE   \* MERGEFORMAT </w:instrText>
        </w:r>
        <w:r>
          <w:fldChar w:fldCharType="separate"/>
        </w:r>
        <w:r w:rsidR="00F71F25">
          <w:rPr>
            <w:noProof/>
          </w:rPr>
          <w:t>4</w:t>
        </w:r>
        <w:r>
          <w:rPr>
            <w:noProof/>
          </w:rPr>
          <w:fldChar w:fldCharType="end"/>
        </w:r>
      </w:p>
    </w:sdtContent>
  </w:sdt>
  <w:p w14:paraId="1E983FB7" w14:textId="77777777" w:rsidR="00122B62" w:rsidRDefault="00122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B6C9" w14:textId="77777777" w:rsidR="00F71F25" w:rsidRDefault="00F7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4FED" w14:textId="77777777" w:rsidR="00122B62" w:rsidRDefault="00122B62" w:rsidP="003E1F76">
      <w:pPr>
        <w:spacing w:after="0" w:line="240" w:lineRule="auto"/>
      </w:pPr>
      <w:r>
        <w:separator/>
      </w:r>
    </w:p>
  </w:footnote>
  <w:footnote w:type="continuationSeparator" w:id="0">
    <w:p w14:paraId="62EF7380" w14:textId="77777777" w:rsidR="00122B62" w:rsidRDefault="00122B62" w:rsidP="003E1F76">
      <w:pPr>
        <w:spacing w:after="0" w:line="240" w:lineRule="auto"/>
      </w:pPr>
      <w:r>
        <w:continuationSeparator/>
      </w:r>
    </w:p>
  </w:footnote>
  <w:footnote w:type="continuationNotice" w:id="1">
    <w:p w14:paraId="7A818684" w14:textId="77777777" w:rsidR="00122B62" w:rsidRDefault="00122B62">
      <w:pPr>
        <w:spacing w:after="0" w:line="240" w:lineRule="auto"/>
      </w:pPr>
    </w:p>
  </w:footnote>
  <w:footnote w:id="2">
    <w:p w14:paraId="20F9826A" w14:textId="3B5A0F76"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According to the Testimony of Sharon Schroder, a typical residential customer that utilizes 1000 kWh would receive a monthly bill of $109.43.  DP&amp;L Ex. 1 at Ex. A at 1 of 11.  The monthly impact of the proposed bypassable charge of $0.0038 and non-bypassable credit of $0.002 is an increase of approximately $1.80 for a SSO customer.  JEH 1.</w:t>
      </w:r>
    </w:p>
    <w:p w14:paraId="091002E7" w14:textId="77777777" w:rsidR="002F1923" w:rsidRPr="002F1923" w:rsidRDefault="002F1923" w:rsidP="002F1923">
      <w:pPr>
        <w:pStyle w:val="FootnoteText"/>
        <w:jc w:val="both"/>
        <w:rPr>
          <w:rFonts w:ascii="Arial" w:hAnsi="Arial" w:cs="Arial"/>
        </w:rPr>
      </w:pPr>
    </w:p>
  </w:footnote>
  <w:footnote w:id="3">
    <w:p w14:paraId="2363CF0D" w14:textId="03ED4F1F"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OPAE’s initial brief sets forth more succinct versions of the positions taken by Staff and DP&amp;L; therefore, IGS’ responses below are equally applicable to OPAE’s arguments.</w:t>
      </w:r>
    </w:p>
  </w:footnote>
  <w:footnote w:id="4">
    <w:p w14:paraId="1AB87E21" w14:textId="68E6890A"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6. </w:t>
      </w:r>
    </w:p>
  </w:footnote>
  <w:footnote w:id="5">
    <w:p w14:paraId="711249DA"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Alternative Generation Supplier Coordination Tariff, sheet G8, page 24 of 30 (emphasis added). </w:t>
      </w:r>
    </w:p>
    <w:p w14:paraId="65A824DB" w14:textId="77777777" w:rsidR="00122B62" w:rsidRPr="002F1923" w:rsidRDefault="00122B62" w:rsidP="002F1923">
      <w:pPr>
        <w:pStyle w:val="FootnoteText"/>
        <w:jc w:val="both"/>
        <w:rPr>
          <w:rFonts w:ascii="Arial" w:hAnsi="Arial" w:cs="Arial"/>
        </w:rPr>
      </w:pPr>
    </w:p>
  </w:footnote>
  <w:footnote w:id="6">
    <w:p w14:paraId="6B87AAB0" w14:textId="13FE4CED"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8-10; DP&amp;L Brief at 8.</w:t>
      </w:r>
    </w:p>
    <w:p w14:paraId="5A942196" w14:textId="77777777" w:rsidR="00122B62" w:rsidRPr="002F1923" w:rsidRDefault="00122B62" w:rsidP="002F1923">
      <w:pPr>
        <w:pStyle w:val="FootnoteText"/>
        <w:jc w:val="both"/>
        <w:rPr>
          <w:rFonts w:ascii="Arial" w:hAnsi="Arial" w:cs="Arial"/>
        </w:rPr>
      </w:pPr>
    </w:p>
  </w:footnote>
  <w:footnote w:id="7">
    <w:p w14:paraId="741D36D5" w14:textId="1F34E61B"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9-10. </w:t>
      </w:r>
    </w:p>
    <w:p w14:paraId="4B6C5FDE" w14:textId="77777777" w:rsidR="00122B62" w:rsidRPr="002F1923" w:rsidRDefault="00122B62" w:rsidP="002F1923">
      <w:pPr>
        <w:pStyle w:val="FootnoteText"/>
        <w:jc w:val="both"/>
        <w:rPr>
          <w:rFonts w:ascii="Arial" w:hAnsi="Arial" w:cs="Arial"/>
        </w:rPr>
      </w:pPr>
    </w:p>
  </w:footnote>
  <w:footnote w:id="8">
    <w:p w14:paraId="4CDEB936" w14:textId="58C1B963"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7-8; DP&amp;L Brief at 8-9.</w:t>
      </w:r>
    </w:p>
  </w:footnote>
  <w:footnote w:id="9">
    <w:p w14:paraId="69F3857D"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8-9; DP&amp;L Brief at 8.</w:t>
      </w:r>
    </w:p>
    <w:p w14:paraId="5327BBC9" w14:textId="0094DD1E" w:rsidR="00122B62" w:rsidRPr="002F1923" w:rsidRDefault="00122B62" w:rsidP="002F1923">
      <w:pPr>
        <w:pStyle w:val="FootnoteText"/>
        <w:jc w:val="both"/>
        <w:rPr>
          <w:rFonts w:ascii="Arial" w:hAnsi="Arial" w:cs="Arial"/>
        </w:rPr>
      </w:pPr>
      <w:r w:rsidRPr="002F1923">
        <w:rPr>
          <w:rFonts w:ascii="Arial" w:hAnsi="Arial" w:cs="Arial"/>
        </w:rPr>
        <w:t xml:space="preserve"> </w:t>
      </w:r>
    </w:p>
  </w:footnote>
  <w:footnote w:id="10">
    <w:p w14:paraId="0249498C" w14:textId="05877FD1"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R.C. 4928.05(A)(1).  </w:t>
      </w:r>
    </w:p>
  </w:footnote>
  <w:footnote w:id="11">
    <w:p w14:paraId="09F9FF11" w14:textId="7123D64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State v. Cabrales</w:t>
      </w:r>
      <w:r w:rsidRPr="002F1923">
        <w:rPr>
          <w:rFonts w:ascii="Arial" w:hAnsi="Arial" w:cs="Arial"/>
        </w:rPr>
        <w:t>, 118 Ohio St. 3d 54, 59 (2008) (“Courts must avoid statutory interpretations that create absurd or unreasonable results.”).</w:t>
      </w:r>
    </w:p>
    <w:p w14:paraId="06E0624C" w14:textId="77777777" w:rsidR="00122B62" w:rsidRPr="002F1923" w:rsidRDefault="00122B62" w:rsidP="002F1923">
      <w:pPr>
        <w:pStyle w:val="FootnoteText"/>
        <w:jc w:val="both"/>
        <w:rPr>
          <w:rFonts w:ascii="Arial" w:hAnsi="Arial" w:cs="Arial"/>
        </w:rPr>
      </w:pPr>
    </w:p>
  </w:footnote>
  <w:footnote w:id="12">
    <w:p w14:paraId="2131828F" w14:textId="1775CFB0" w:rsidR="00122B62"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Report at 15.  </w:t>
      </w:r>
    </w:p>
    <w:p w14:paraId="1DAD5C98" w14:textId="77777777" w:rsidR="002F1923" w:rsidRPr="002F1923" w:rsidRDefault="002F1923" w:rsidP="002F1923">
      <w:pPr>
        <w:pStyle w:val="FootnoteText"/>
        <w:jc w:val="both"/>
        <w:rPr>
          <w:rFonts w:ascii="Arial" w:hAnsi="Arial" w:cs="Arial"/>
        </w:rPr>
      </w:pPr>
    </w:p>
  </w:footnote>
  <w:footnote w:id="13">
    <w:p w14:paraId="05023312" w14:textId="0ADD834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9-10.</w:t>
      </w:r>
    </w:p>
  </w:footnote>
  <w:footnote w:id="14">
    <w:p w14:paraId="5C9AF9D2" w14:textId="0907230B"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8-15.</w:t>
      </w:r>
    </w:p>
    <w:p w14:paraId="2905AEFE" w14:textId="77777777" w:rsidR="00122B62" w:rsidRPr="002F1923" w:rsidRDefault="00122B62" w:rsidP="002F1923">
      <w:pPr>
        <w:pStyle w:val="FootnoteText"/>
        <w:jc w:val="both"/>
        <w:rPr>
          <w:rFonts w:ascii="Arial" w:hAnsi="Arial" w:cs="Arial"/>
        </w:rPr>
      </w:pPr>
    </w:p>
  </w:footnote>
  <w:footnote w:id="15">
    <w:p w14:paraId="43D3ED45" w14:textId="3CC8662F"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14-15. Tr. Vol. I at 50 L 10 to 51 L 12 (uncollectible expense overhead); Tr. Vol. I at 86 L 18-25 (call center expense); Tr. Vol. II at 220 L 9-19 (call center expense); Tr. Vol. II at 223 L 7-25 (regulatory expenses); Tr. Vol. II at 231 (unrecovered SSO litigation expenses); Tr. Vol. II at 236 (unrecovered SSO-related cash working capital requirements); Tr. Vol. II at 305 L 4-22 (SSO-related legal, regulatory, IT, and call center expenses); Tr. Vol. I at 51 L 9-12 (accounting and tracking costs); Tr. Vol. II at 321-323 (CRES call center expense, CRES EDI expense, CRES switching fees, CRES usage fees).</w:t>
      </w:r>
    </w:p>
    <w:p w14:paraId="06C8CAD8" w14:textId="77777777" w:rsidR="00122B62" w:rsidRPr="002F1923" w:rsidRDefault="00122B62" w:rsidP="002F1923">
      <w:pPr>
        <w:pStyle w:val="FootnoteText"/>
        <w:jc w:val="both"/>
        <w:rPr>
          <w:rFonts w:ascii="Arial" w:hAnsi="Arial" w:cs="Arial"/>
        </w:rPr>
      </w:pPr>
    </w:p>
    <w:p w14:paraId="601A78F7" w14:textId="77777777" w:rsidR="00122B62" w:rsidRPr="002F1923" w:rsidRDefault="00122B62" w:rsidP="002F1923">
      <w:pPr>
        <w:pStyle w:val="FootnoteText"/>
        <w:jc w:val="both"/>
        <w:rPr>
          <w:rFonts w:ascii="Arial" w:hAnsi="Arial" w:cs="Arial"/>
        </w:rPr>
      </w:pPr>
    </w:p>
  </w:footnote>
  <w:footnote w:id="16">
    <w:p w14:paraId="3A3C4D29" w14:textId="032E18C4"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8.</w:t>
      </w:r>
    </w:p>
  </w:footnote>
  <w:footnote w:id="17">
    <w:p w14:paraId="66EA0BB8" w14:textId="2F180C28"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Uncollectible expense is another example where a revenue allocation factor may be appropriate, given the proportion of SSO revenue to distribution revenue provides a close approximation to the origin of each uncollected receivable.  Moreover, the weight of SSO receivables to total EDU receivables provides an approximation of the amount of overhead associated with the collection of each.  </w:t>
      </w:r>
    </w:p>
    <w:p w14:paraId="7074B3EB" w14:textId="1B7B5EA1" w:rsidR="00122B62" w:rsidRPr="002F1923" w:rsidRDefault="00122B62" w:rsidP="002F1923">
      <w:pPr>
        <w:pStyle w:val="FootnoteText"/>
        <w:jc w:val="both"/>
        <w:rPr>
          <w:rFonts w:ascii="Arial" w:hAnsi="Arial" w:cs="Arial"/>
        </w:rPr>
      </w:pPr>
      <w:r w:rsidRPr="002F1923">
        <w:rPr>
          <w:rFonts w:ascii="Arial" w:hAnsi="Arial" w:cs="Arial"/>
        </w:rPr>
        <w:t xml:space="preserve"> </w:t>
      </w:r>
    </w:p>
  </w:footnote>
  <w:footnote w:id="18">
    <w:p w14:paraId="07507A8B" w14:textId="284BD08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4901:1-21-03(B).</w:t>
      </w:r>
    </w:p>
    <w:p w14:paraId="7F8AE2F7" w14:textId="77777777" w:rsidR="00122B62" w:rsidRPr="002F1923" w:rsidRDefault="00122B62" w:rsidP="002F1923">
      <w:pPr>
        <w:pStyle w:val="FootnoteText"/>
        <w:jc w:val="both"/>
        <w:rPr>
          <w:rFonts w:ascii="Arial" w:hAnsi="Arial" w:cs="Arial"/>
        </w:rPr>
      </w:pPr>
    </w:p>
  </w:footnote>
  <w:footnote w:id="19">
    <w:p w14:paraId="59888872" w14:textId="4FFF8F1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7-8; DP&amp;L Brief 8-9.</w:t>
      </w:r>
    </w:p>
    <w:p w14:paraId="1A208DEB" w14:textId="77777777" w:rsidR="00122B62" w:rsidRPr="002F1923" w:rsidRDefault="00122B62" w:rsidP="002F1923">
      <w:pPr>
        <w:pStyle w:val="FootnoteText"/>
        <w:jc w:val="both"/>
        <w:rPr>
          <w:rFonts w:ascii="Arial" w:hAnsi="Arial" w:cs="Arial"/>
        </w:rPr>
      </w:pPr>
    </w:p>
  </w:footnote>
  <w:footnote w:id="20">
    <w:p w14:paraId="42D1344B" w14:textId="22008553" w:rsidR="00122B62" w:rsidRPr="002F1923" w:rsidRDefault="00122B62"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Id. </w:t>
      </w:r>
    </w:p>
  </w:footnote>
  <w:footnote w:id="21">
    <w:p w14:paraId="6BB92E89" w14:textId="5D3105E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8-9.</w:t>
      </w:r>
    </w:p>
    <w:p w14:paraId="3CBB9860" w14:textId="77777777" w:rsidR="00122B62" w:rsidRPr="002F1923" w:rsidRDefault="00122B62" w:rsidP="002F1923">
      <w:pPr>
        <w:pStyle w:val="FootnoteText"/>
        <w:jc w:val="both"/>
        <w:rPr>
          <w:rFonts w:ascii="Arial" w:hAnsi="Arial" w:cs="Arial"/>
        </w:rPr>
      </w:pPr>
    </w:p>
  </w:footnote>
  <w:footnote w:id="22">
    <w:p w14:paraId="1E80CB87" w14:textId="0A775F73"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10-11. </w:t>
      </w:r>
    </w:p>
    <w:p w14:paraId="20956BF6" w14:textId="77777777" w:rsidR="00122B62" w:rsidRPr="002F1923" w:rsidRDefault="00122B62" w:rsidP="002F1923">
      <w:pPr>
        <w:pStyle w:val="FootnoteText"/>
        <w:jc w:val="both"/>
        <w:rPr>
          <w:rFonts w:ascii="Arial" w:hAnsi="Arial" w:cs="Arial"/>
        </w:rPr>
      </w:pPr>
    </w:p>
  </w:footnote>
  <w:footnote w:id="23">
    <w:p w14:paraId="19946AB4" w14:textId="1FC30275"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1 at 2; Tr. Vol. II at 322.</w:t>
      </w:r>
    </w:p>
    <w:p w14:paraId="1741F383" w14:textId="77777777" w:rsidR="00122B62" w:rsidRPr="002F1923" w:rsidRDefault="00122B62" w:rsidP="002F1923">
      <w:pPr>
        <w:pStyle w:val="FootnoteText"/>
        <w:jc w:val="both"/>
        <w:rPr>
          <w:rFonts w:ascii="Arial" w:hAnsi="Arial" w:cs="Arial"/>
        </w:rPr>
      </w:pPr>
    </w:p>
  </w:footnote>
  <w:footnote w:id="24">
    <w:p w14:paraId="5C466AFF" w14:textId="3C9AF10A"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See </w:t>
      </w:r>
      <w:r w:rsidRPr="002F1923">
        <w:rPr>
          <w:rFonts w:ascii="Arial" w:hAnsi="Arial" w:cs="Arial"/>
        </w:rPr>
        <w:t>Tr. Vol. II at 345 (for purposes of the Stipulation, the fees were contemplated as a component of the total revenue DP&amp;L will collect).</w:t>
      </w:r>
    </w:p>
  </w:footnote>
  <w:footnote w:id="25">
    <w:p w14:paraId="0D963F84" w14:textId="0E2B4E7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JEH 2, L 6 (Meter Reading). </w:t>
      </w:r>
    </w:p>
  </w:footnote>
  <w:footnote w:id="26">
    <w:p w14:paraId="5039FF48" w14:textId="7CAC89C9"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IGS Ex. 2 at 37.</w:t>
      </w:r>
    </w:p>
    <w:p w14:paraId="022EED84" w14:textId="77777777" w:rsidR="00E4495E" w:rsidRPr="002F1923" w:rsidRDefault="00E4495E" w:rsidP="002F1923">
      <w:pPr>
        <w:pStyle w:val="FootnoteText"/>
        <w:jc w:val="both"/>
        <w:rPr>
          <w:rFonts w:ascii="Arial" w:hAnsi="Arial" w:cs="Arial"/>
        </w:rPr>
      </w:pPr>
    </w:p>
  </w:footnote>
  <w:footnote w:id="27">
    <w:p w14:paraId="3E877DDA" w14:textId="006B3A28" w:rsidR="00E4495E" w:rsidRPr="002F1923" w:rsidRDefault="00E4495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7.</w:t>
      </w:r>
    </w:p>
  </w:footnote>
  <w:footnote w:id="28">
    <w:p w14:paraId="7DCFF260" w14:textId="5B839E25" w:rsidR="00E4495E" w:rsidRPr="002F1923" w:rsidRDefault="00E4495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Brief at 8. </w:t>
      </w:r>
    </w:p>
    <w:p w14:paraId="6356C609" w14:textId="77777777" w:rsidR="00E4495E" w:rsidRPr="002F1923" w:rsidRDefault="00E4495E" w:rsidP="002F1923">
      <w:pPr>
        <w:pStyle w:val="FootnoteText"/>
        <w:jc w:val="both"/>
        <w:rPr>
          <w:rFonts w:ascii="Arial" w:hAnsi="Arial" w:cs="Arial"/>
        </w:rPr>
      </w:pPr>
    </w:p>
  </w:footnote>
  <w:footnote w:id="29">
    <w:p w14:paraId="5E043CF4" w14:textId="79A97C6B"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The Study was not entered into evidence.</w:t>
      </w:r>
    </w:p>
    <w:p w14:paraId="7616FFF1" w14:textId="77777777" w:rsidR="00E4495E" w:rsidRPr="002F1923" w:rsidRDefault="00E4495E" w:rsidP="002F1923">
      <w:pPr>
        <w:pStyle w:val="FootnoteText"/>
        <w:jc w:val="both"/>
        <w:rPr>
          <w:rFonts w:ascii="Arial" w:hAnsi="Arial" w:cs="Arial"/>
        </w:rPr>
      </w:pPr>
    </w:p>
  </w:footnote>
  <w:footnote w:id="30">
    <w:p w14:paraId="3BA3F6BD" w14:textId="711EA693" w:rsidR="00E4495E" w:rsidRPr="002F1923" w:rsidRDefault="00E4495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The Application was filed on October 30, 2015.  The Amended ESP Stipulation was filed on March 13, 2017.  The Staff Report was issued on March 12, 2018. </w:t>
      </w:r>
    </w:p>
    <w:p w14:paraId="3FE94CD7" w14:textId="77777777" w:rsidR="00E4495E" w:rsidRPr="002F1923" w:rsidRDefault="00E4495E" w:rsidP="002F1923">
      <w:pPr>
        <w:pStyle w:val="FootnoteText"/>
        <w:jc w:val="both"/>
        <w:rPr>
          <w:rFonts w:ascii="Arial" w:hAnsi="Arial" w:cs="Arial"/>
        </w:rPr>
      </w:pPr>
    </w:p>
    <w:p w14:paraId="3C5548FB" w14:textId="77777777" w:rsidR="00E4495E" w:rsidRPr="002F1923" w:rsidRDefault="00E4495E" w:rsidP="002F1923">
      <w:pPr>
        <w:pStyle w:val="FootnoteText"/>
        <w:jc w:val="both"/>
        <w:rPr>
          <w:rFonts w:ascii="Arial" w:hAnsi="Arial" w:cs="Arial"/>
        </w:rPr>
      </w:pPr>
    </w:p>
  </w:footnote>
  <w:footnote w:id="31">
    <w:p w14:paraId="11CFA0AA"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Id. </w:t>
      </w:r>
      <w:r w:rsidRPr="002F1923">
        <w:rPr>
          <w:rFonts w:ascii="Arial" w:hAnsi="Arial" w:cs="Arial"/>
        </w:rPr>
        <w:t>at 7.</w:t>
      </w:r>
    </w:p>
    <w:p w14:paraId="65534D15" w14:textId="77777777" w:rsidR="00122B62" w:rsidRPr="002F1923" w:rsidRDefault="00122B62" w:rsidP="002F1923">
      <w:pPr>
        <w:pStyle w:val="FootnoteText"/>
        <w:jc w:val="both"/>
        <w:rPr>
          <w:rFonts w:ascii="Arial" w:hAnsi="Arial" w:cs="Arial"/>
        </w:rPr>
      </w:pPr>
    </w:p>
  </w:footnote>
  <w:footnote w:id="32">
    <w:p w14:paraId="47C108BA"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II at 218 L 6-10; Tr. Vol. II at 326 L 25 to 327 L 3.  </w:t>
      </w:r>
    </w:p>
    <w:p w14:paraId="5378A933" w14:textId="77777777" w:rsidR="00122B62" w:rsidRPr="002F1923" w:rsidRDefault="00122B62" w:rsidP="002F1923">
      <w:pPr>
        <w:pStyle w:val="FootnoteText"/>
        <w:jc w:val="both"/>
        <w:rPr>
          <w:rFonts w:ascii="Arial" w:hAnsi="Arial" w:cs="Arial"/>
        </w:rPr>
      </w:pPr>
    </w:p>
  </w:footnote>
  <w:footnote w:id="33">
    <w:p w14:paraId="64F3423F" w14:textId="74B09931" w:rsidR="00E4495E" w:rsidRPr="002F1923" w:rsidRDefault="00E4495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10; Staff Brief at 8-9. </w:t>
      </w:r>
    </w:p>
    <w:p w14:paraId="35F1EECD" w14:textId="77777777" w:rsidR="00E4495E" w:rsidRPr="002F1923" w:rsidRDefault="00E4495E" w:rsidP="002F1923">
      <w:pPr>
        <w:pStyle w:val="FootnoteText"/>
        <w:jc w:val="both"/>
        <w:rPr>
          <w:rFonts w:ascii="Arial" w:hAnsi="Arial" w:cs="Arial"/>
        </w:rPr>
      </w:pPr>
    </w:p>
  </w:footnote>
  <w:footnote w:id="34">
    <w:p w14:paraId="01311667" w14:textId="77777777" w:rsidR="002B2BCF" w:rsidRPr="002F1923" w:rsidRDefault="00E4495E"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Id.</w:t>
      </w:r>
    </w:p>
    <w:p w14:paraId="63CECF28" w14:textId="6FD2B32F" w:rsidR="00E4495E" w:rsidRPr="002F1923" w:rsidRDefault="00E4495E" w:rsidP="002F1923">
      <w:pPr>
        <w:pStyle w:val="FootnoteText"/>
        <w:jc w:val="both"/>
        <w:rPr>
          <w:rFonts w:ascii="Arial" w:hAnsi="Arial" w:cs="Arial"/>
          <w:i/>
        </w:rPr>
      </w:pPr>
      <w:r w:rsidRPr="002F1923">
        <w:rPr>
          <w:rFonts w:ascii="Arial" w:hAnsi="Arial" w:cs="Arial"/>
          <w:i/>
        </w:rPr>
        <w:t xml:space="preserve"> </w:t>
      </w:r>
    </w:p>
  </w:footnote>
  <w:footnote w:id="35">
    <w:p w14:paraId="3B131754" w14:textId="080591B6" w:rsidR="002B2BCF" w:rsidRPr="002F1923" w:rsidRDefault="002B2BCF"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Id.</w:t>
      </w:r>
    </w:p>
  </w:footnote>
  <w:footnote w:id="36">
    <w:p w14:paraId="3637A39B"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16.</w:t>
      </w:r>
    </w:p>
    <w:p w14:paraId="0F8C41DC" w14:textId="77777777" w:rsidR="00122B62" w:rsidRPr="002F1923" w:rsidRDefault="00122B62" w:rsidP="002F1923">
      <w:pPr>
        <w:pStyle w:val="FootnoteText"/>
        <w:jc w:val="both"/>
        <w:rPr>
          <w:rFonts w:ascii="Arial" w:hAnsi="Arial" w:cs="Arial"/>
        </w:rPr>
      </w:pPr>
    </w:p>
  </w:footnote>
  <w:footnote w:id="37">
    <w:p w14:paraId="6B9F4133" w14:textId="66645507" w:rsidR="002B2BCF" w:rsidRPr="002F1923" w:rsidRDefault="002B2BCF"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II at 318.</w:t>
      </w:r>
    </w:p>
    <w:p w14:paraId="321EE594" w14:textId="77777777" w:rsidR="002B2BCF" w:rsidRPr="002F1923" w:rsidRDefault="002B2BCF" w:rsidP="002F1923">
      <w:pPr>
        <w:pStyle w:val="FootnoteText"/>
        <w:jc w:val="both"/>
        <w:rPr>
          <w:rFonts w:ascii="Arial" w:hAnsi="Arial" w:cs="Arial"/>
        </w:rPr>
      </w:pPr>
    </w:p>
  </w:footnote>
  <w:footnote w:id="38">
    <w:p w14:paraId="230A0470" w14:textId="3C9A8EF1" w:rsidR="002B2BCF" w:rsidRPr="002F1923" w:rsidRDefault="002B2BCF"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Id. </w:t>
      </w:r>
    </w:p>
    <w:p w14:paraId="106A824E" w14:textId="77777777" w:rsidR="002B2BCF" w:rsidRPr="002F1923" w:rsidRDefault="002B2BCF" w:rsidP="002F1923">
      <w:pPr>
        <w:pStyle w:val="FootnoteText"/>
        <w:jc w:val="both"/>
        <w:rPr>
          <w:rFonts w:ascii="Arial" w:hAnsi="Arial" w:cs="Arial"/>
          <w:i/>
        </w:rPr>
      </w:pPr>
    </w:p>
  </w:footnote>
  <w:footnote w:id="39">
    <w:p w14:paraId="72E7FE32" w14:textId="5EF1D7F2" w:rsidR="002B2BCF" w:rsidRPr="002F1923" w:rsidRDefault="002B2BCF"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17-18.</w:t>
      </w:r>
    </w:p>
  </w:footnote>
  <w:footnote w:id="40">
    <w:p w14:paraId="3A602A8F" w14:textId="77777777"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Id. </w:t>
      </w:r>
      <w:r w:rsidRPr="002F1923">
        <w:rPr>
          <w:rFonts w:ascii="Arial" w:hAnsi="Arial" w:cs="Arial"/>
        </w:rPr>
        <w:t>at 17-18.</w:t>
      </w:r>
    </w:p>
    <w:p w14:paraId="164D9136" w14:textId="77777777" w:rsidR="00122B62" w:rsidRPr="002F1923" w:rsidRDefault="00122B62" w:rsidP="002F1923">
      <w:pPr>
        <w:pStyle w:val="FootnoteText"/>
        <w:jc w:val="both"/>
        <w:rPr>
          <w:rFonts w:ascii="Arial" w:hAnsi="Arial" w:cs="Arial"/>
        </w:rPr>
      </w:pPr>
    </w:p>
  </w:footnote>
  <w:footnote w:id="41">
    <w:p w14:paraId="49527435" w14:textId="3CDA2F67" w:rsidR="002B2BCF" w:rsidRPr="002F1923" w:rsidRDefault="002B2BCF"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DP&amp;L’s PUCO and OCC assessments are determined based upon revenue collected (with a portion of that revenue being SSO revenue).  All else being equal, if DP&amp;L’s SSO revenue decreases, so does its assessment.</w:t>
      </w:r>
    </w:p>
    <w:p w14:paraId="26C45213" w14:textId="77777777" w:rsidR="002B2BCF" w:rsidRPr="002F1923" w:rsidRDefault="002B2BCF" w:rsidP="002F1923">
      <w:pPr>
        <w:pStyle w:val="FootnoteText"/>
        <w:jc w:val="both"/>
        <w:rPr>
          <w:rFonts w:ascii="Arial" w:hAnsi="Arial" w:cs="Arial"/>
        </w:rPr>
      </w:pPr>
    </w:p>
  </w:footnote>
  <w:footnote w:id="42">
    <w:p w14:paraId="63B0BE7B" w14:textId="503DC9F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Staff Report at 28. </w:t>
      </w:r>
    </w:p>
    <w:p w14:paraId="0D62915F" w14:textId="77777777" w:rsidR="00122B62" w:rsidRPr="002F1923" w:rsidRDefault="00122B62" w:rsidP="002F1923">
      <w:pPr>
        <w:pStyle w:val="FootnoteText"/>
        <w:jc w:val="both"/>
        <w:rPr>
          <w:rFonts w:ascii="Arial" w:hAnsi="Arial" w:cs="Arial"/>
        </w:rPr>
      </w:pPr>
    </w:p>
  </w:footnote>
  <w:footnote w:id="43">
    <w:p w14:paraId="50A078FA" w14:textId="207626B6" w:rsidR="002B2BCF" w:rsidRPr="002F1923" w:rsidRDefault="002B2BCF"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10.</w:t>
      </w:r>
    </w:p>
  </w:footnote>
  <w:footnote w:id="44">
    <w:p w14:paraId="71662A3E" w14:textId="76B3B884"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 at 157-158.  “The numbers would change, the methodology wouldn't.” Tr. Vol. I at 157 L. 14-25.</w:t>
      </w:r>
    </w:p>
    <w:p w14:paraId="67BA8CF9" w14:textId="77777777" w:rsidR="00092DAE" w:rsidRPr="002F1923" w:rsidRDefault="00092DAE" w:rsidP="002F1923">
      <w:pPr>
        <w:pStyle w:val="FootnoteText"/>
        <w:jc w:val="both"/>
        <w:rPr>
          <w:rFonts w:ascii="Arial" w:hAnsi="Arial" w:cs="Arial"/>
        </w:rPr>
      </w:pPr>
    </w:p>
  </w:footnote>
  <w:footnote w:id="45">
    <w:p w14:paraId="242570D4" w14:textId="642E0594"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10. </w:t>
      </w:r>
    </w:p>
    <w:p w14:paraId="5498EA36" w14:textId="77777777" w:rsidR="00092DAE" w:rsidRPr="002F1923" w:rsidRDefault="00092DAE" w:rsidP="002F1923">
      <w:pPr>
        <w:pStyle w:val="FootnoteText"/>
        <w:jc w:val="both"/>
        <w:rPr>
          <w:rFonts w:ascii="Arial" w:hAnsi="Arial" w:cs="Arial"/>
        </w:rPr>
      </w:pPr>
    </w:p>
  </w:footnote>
  <w:footnote w:id="46">
    <w:p w14:paraId="646B72FD" w14:textId="01662ED1" w:rsidR="00092DAE" w:rsidRPr="002F1923" w:rsidRDefault="00092DAE"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Id.</w:t>
      </w:r>
    </w:p>
    <w:p w14:paraId="481EC0A5" w14:textId="77777777" w:rsidR="00092DAE" w:rsidRPr="002F1923" w:rsidRDefault="00092DAE" w:rsidP="002F1923">
      <w:pPr>
        <w:pStyle w:val="FootnoteText"/>
        <w:jc w:val="both"/>
        <w:rPr>
          <w:rFonts w:ascii="Arial" w:hAnsi="Arial" w:cs="Arial"/>
          <w:i/>
        </w:rPr>
      </w:pPr>
    </w:p>
  </w:footnote>
  <w:footnote w:id="47">
    <w:p w14:paraId="033718B5" w14:textId="72DEEE18"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7-8; Tr. Vol. I at 118, 131, 146.</w:t>
      </w:r>
    </w:p>
    <w:p w14:paraId="6D6109C0" w14:textId="77777777" w:rsidR="00092DAE" w:rsidRPr="002F1923" w:rsidRDefault="00092DAE" w:rsidP="002F1923">
      <w:pPr>
        <w:pStyle w:val="FootnoteText"/>
        <w:jc w:val="both"/>
        <w:rPr>
          <w:rFonts w:ascii="Arial" w:hAnsi="Arial" w:cs="Arial"/>
        </w:rPr>
      </w:pPr>
    </w:p>
  </w:footnote>
  <w:footnote w:id="48">
    <w:p w14:paraId="1DE0E88E" w14:textId="56388273"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RESA/IGS Ex. 2 at 17-18.</w:t>
      </w:r>
    </w:p>
  </w:footnote>
  <w:footnote w:id="49">
    <w:p w14:paraId="460B0A8E" w14:textId="10CC1BD8"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 at 18-20, 57-58.</w:t>
      </w:r>
    </w:p>
    <w:p w14:paraId="0154F854" w14:textId="77777777" w:rsidR="00092DAE" w:rsidRPr="002F1923" w:rsidRDefault="00092DAE" w:rsidP="002F1923">
      <w:pPr>
        <w:pStyle w:val="FootnoteText"/>
        <w:jc w:val="both"/>
        <w:rPr>
          <w:rFonts w:ascii="Arial" w:hAnsi="Arial" w:cs="Arial"/>
        </w:rPr>
      </w:pPr>
    </w:p>
  </w:footnote>
  <w:footnote w:id="50">
    <w:p w14:paraId="6AABF352" w14:textId="4B7A3273"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11.</w:t>
      </w:r>
    </w:p>
    <w:p w14:paraId="29EE367A" w14:textId="77777777" w:rsidR="00092DAE" w:rsidRPr="002F1923" w:rsidRDefault="00092DAE" w:rsidP="002F1923">
      <w:pPr>
        <w:pStyle w:val="FootnoteText"/>
        <w:jc w:val="both"/>
        <w:rPr>
          <w:rFonts w:ascii="Arial" w:hAnsi="Arial" w:cs="Arial"/>
        </w:rPr>
      </w:pPr>
    </w:p>
  </w:footnote>
  <w:footnote w:id="51">
    <w:p w14:paraId="4130E40C" w14:textId="03E0FEA1"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11.</w:t>
      </w:r>
    </w:p>
  </w:footnote>
  <w:footnote w:id="52">
    <w:p w14:paraId="00558CE9" w14:textId="0FA324B6"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 at 128.</w:t>
      </w:r>
    </w:p>
    <w:p w14:paraId="00C400A2" w14:textId="77777777" w:rsidR="00092DAE" w:rsidRPr="002F1923" w:rsidRDefault="00092DAE" w:rsidP="002F1923">
      <w:pPr>
        <w:pStyle w:val="FootnoteText"/>
        <w:jc w:val="both"/>
        <w:rPr>
          <w:rFonts w:ascii="Arial" w:hAnsi="Arial" w:cs="Arial"/>
        </w:rPr>
      </w:pPr>
    </w:p>
  </w:footnote>
  <w:footnote w:id="53">
    <w:p w14:paraId="58CE3748" w14:textId="062C57D2"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 at 128 L 15 to 129 L 15.  </w:t>
      </w:r>
    </w:p>
    <w:p w14:paraId="6E31D4D9" w14:textId="77777777" w:rsidR="00092DAE" w:rsidRPr="002F1923" w:rsidRDefault="00092DAE" w:rsidP="002F1923">
      <w:pPr>
        <w:pStyle w:val="FootnoteText"/>
        <w:jc w:val="both"/>
        <w:rPr>
          <w:rFonts w:ascii="Arial" w:hAnsi="Arial" w:cs="Arial"/>
        </w:rPr>
      </w:pPr>
    </w:p>
  </w:footnote>
  <w:footnote w:id="54">
    <w:p w14:paraId="70251FCD" w14:textId="3B9F1A41" w:rsidR="00092DAE" w:rsidRPr="002F1923" w:rsidRDefault="00092DAE"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IGS Ex. 2 at 9.</w:t>
      </w:r>
    </w:p>
  </w:footnote>
  <w:footnote w:id="55">
    <w:p w14:paraId="5E64B613" w14:textId="0CA1318B" w:rsidR="00546434" w:rsidRPr="002F1923" w:rsidRDefault="00546434"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13.</w:t>
      </w:r>
    </w:p>
    <w:p w14:paraId="1EF66010" w14:textId="77777777" w:rsidR="00546434" w:rsidRPr="002F1923" w:rsidRDefault="00546434" w:rsidP="002F1923">
      <w:pPr>
        <w:pStyle w:val="FootnoteText"/>
        <w:jc w:val="both"/>
        <w:rPr>
          <w:rFonts w:ascii="Arial" w:hAnsi="Arial" w:cs="Arial"/>
        </w:rPr>
      </w:pPr>
    </w:p>
  </w:footnote>
  <w:footnote w:id="56">
    <w:p w14:paraId="7D1678BE" w14:textId="09453943"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IGS Ex. 2, Amen</w:t>
      </w:r>
      <w:r w:rsidR="00546434" w:rsidRPr="002F1923">
        <w:rPr>
          <w:rFonts w:ascii="Arial" w:hAnsi="Arial" w:cs="Arial"/>
        </w:rPr>
        <w:t>ded Stipulation at 38, FN 10 (emphasis added).</w:t>
      </w:r>
    </w:p>
    <w:p w14:paraId="5BF67689" w14:textId="77777777" w:rsidR="00122B62" w:rsidRPr="002F1923" w:rsidRDefault="00122B62" w:rsidP="002F1923">
      <w:pPr>
        <w:pStyle w:val="FootnoteText"/>
        <w:jc w:val="both"/>
        <w:rPr>
          <w:rFonts w:ascii="Arial" w:hAnsi="Arial" w:cs="Arial"/>
        </w:rPr>
      </w:pPr>
    </w:p>
  </w:footnote>
  <w:footnote w:id="57">
    <w:p w14:paraId="2131F2A4" w14:textId="5E8957DC" w:rsidR="00122B62" w:rsidRPr="002F1923" w:rsidRDefault="00122B62"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“[S]pecific terms and exact terms are given greater weight than general language” Restatement (Second) of Contracts § 203(c);  “if a specific provision found in the [contract] conflicts with a general provision, the specific provision should control.” </w:t>
      </w:r>
      <w:r w:rsidRPr="002F1923">
        <w:rPr>
          <w:rFonts w:ascii="Arial" w:hAnsi="Arial" w:cs="Arial"/>
          <w:i/>
        </w:rPr>
        <w:t>Saltzman v. Independence Blue Cross</w:t>
      </w:r>
      <w:r w:rsidRPr="002F1923">
        <w:rPr>
          <w:rFonts w:ascii="Arial" w:hAnsi="Arial" w:cs="Arial"/>
        </w:rPr>
        <w:t xml:space="preserve">, 384 F. App’x 107, 114 (3d Cir. 2010); “general principle[] of contract interpretation” that “if both a general and a specific provision apply to the subject at hand, the specific provision controls” </w:t>
      </w:r>
      <w:r w:rsidRPr="002F1923">
        <w:rPr>
          <w:rFonts w:ascii="Arial" w:hAnsi="Arial" w:cs="Arial"/>
          <w:i/>
        </w:rPr>
        <w:t>Young v. Verizon’s Bell Atl. Cash Balance Plan</w:t>
      </w:r>
      <w:r w:rsidRPr="002F1923">
        <w:rPr>
          <w:rFonts w:ascii="Arial" w:hAnsi="Arial" w:cs="Arial"/>
        </w:rPr>
        <w:t>, 615 F.3d 808, 823 (7th Cir. 2010)</w:t>
      </w:r>
    </w:p>
  </w:footnote>
  <w:footnote w:id="58">
    <w:p w14:paraId="0EB0B41C" w14:textId="77777777" w:rsidR="002F1923" w:rsidRPr="002F1923" w:rsidRDefault="002F1923"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DP&amp;L Brief at 13.</w:t>
      </w:r>
    </w:p>
    <w:p w14:paraId="12DAB93F" w14:textId="04FA3ADC" w:rsidR="002F1923" w:rsidRPr="002F1923" w:rsidRDefault="002F1923" w:rsidP="002F1923">
      <w:pPr>
        <w:pStyle w:val="FootnoteText"/>
        <w:jc w:val="both"/>
        <w:rPr>
          <w:rFonts w:ascii="Arial" w:hAnsi="Arial" w:cs="Arial"/>
        </w:rPr>
      </w:pPr>
      <w:r w:rsidRPr="002F1923">
        <w:rPr>
          <w:rFonts w:ascii="Arial" w:hAnsi="Arial" w:cs="Arial"/>
        </w:rPr>
        <w:t xml:space="preserve"> </w:t>
      </w:r>
    </w:p>
  </w:footnote>
  <w:footnote w:id="59">
    <w:p w14:paraId="72D75AEC" w14:textId="416E4BE3" w:rsidR="002F1923" w:rsidRPr="002F1923" w:rsidRDefault="002F1923" w:rsidP="002F1923">
      <w:pPr>
        <w:pStyle w:val="FootnoteText"/>
        <w:jc w:val="both"/>
        <w:rPr>
          <w:rFonts w:ascii="Arial" w:hAnsi="Arial" w:cs="Arial"/>
          <w:i/>
        </w:rPr>
      </w:pPr>
      <w:r w:rsidRPr="002F1923">
        <w:rPr>
          <w:rStyle w:val="FootnoteReference"/>
          <w:rFonts w:ascii="Arial" w:hAnsi="Arial" w:cs="Arial"/>
        </w:rPr>
        <w:footnoteRef/>
      </w:r>
      <w:r w:rsidRPr="002F1923">
        <w:rPr>
          <w:rFonts w:ascii="Arial" w:hAnsi="Arial" w:cs="Arial"/>
        </w:rPr>
        <w:t xml:space="preserve"> </w:t>
      </w:r>
      <w:r w:rsidRPr="002F1923">
        <w:rPr>
          <w:rFonts w:ascii="Arial" w:hAnsi="Arial" w:cs="Arial"/>
          <w:i/>
        </w:rPr>
        <w:t xml:space="preserve">Id. </w:t>
      </w:r>
    </w:p>
    <w:p w14:paraId="3F622B17" w14:textId="77777777" w:rsidR="002F1923" w:rsidRPr="002F1923" w:rsidRDefault="002F1923" w:rsidP="002F1923">
      <w:pPr>
        <w:pStyle w:val="FootnoteText"/>
        <w:jc w:val="both"/>
        <w:rPr>
          <w:rFonts w:ascii="Arial" w:hAnsi="Arial" w:cs="Arial"/>
          <w:i/>
        </w:rPr>
      </w:pPr>
    </w:p>
  </w:footnote>
  <w:footnote w:id="60">
    <w:p w14:paraId="1E93434B" w14:textId="798986E7" w:rsidR="002F1923" w:rsidRPr="002F1923" w:rsidRDefault="002F1923"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 at 196.</w:t>
      </w:r>
    </w:p>
    <w:p w14:paraId="2C09424E" w14:textId="77777777" w:rsidR="002F1923" w:rsidRPr="002F1923" w:rsidRDefault="002F1923" w:rsidP="002F1923">
      <w:pPr>
        <w:pStyle w:val="FootnoteText"/>
        <w:jc w:val="both"/>
        <w:rPr>
          <w:rFonts w:ascii="Arial" w:hAnsi="Arial" w:cs="Arial"/>
        </w:rPr>
      </w:pPr>
    </w:p>
  </w:footnote>
  <w:footnote w:id="61">
    <w:p w14:paraId="403F2A87" w14:textId="4A87BFEC" w:rsidR="002F1923" w:rsidRPr="002F1923" w:rsidRDefault="002F1923" w:rsidP="002F1923">
      <w:pPr>
        <w:pStyle w:val="FootnoteText"/>
        <w:jc w:val="both"/>
        <w:rPr>
          <w:rFonts w:ascii="Arial" w:hAnsi="Arial" w:cs="Arial"/>
        </w:rPr>
      </w:pPr>
      <w:r w:rsidRPr="002F1923">
        <w:rPr>
          <w:rStyle w:val="FootnoteReference"/>
          <w:rFonts w:ascii="Arial" w:hAnsi="Arial" w:cs="Arial"/>
        </w:rPr>
        <w:footnoteRef/>
      </w:r>
      <w:r w:rsidRPr="002F1923">
        <w:rPr>
          <w:rFonts w:ascii="Arial" w:hAnsi="Arial" w:cs="Arial"/>
        </w:rPr>
        <w:t xml:space="preserve"> Tr. Vol. II at 196-197.  </w:t>
      </w:r>
    </w:p>
  </w:footnote>
  <w:footnote w:id="62">
    <w:p w14:paraId="07B3FEF9" w14:textId="77777777" w:rsidR="009E1602" w:rsidRPr="00EC23E7" w:rsidRDefault="009E1602" w:rsidP="009E1602">
      <w:pPr>
        <w:pStyle w:val="FootnoteText"/>
        <w:jc w:val="both"/>
        <w:rPr>
          <w:rFonts w:ascii="Arial" w:hAnsi="Arial" w:cs="Arial"/>
        </w:rPr>
      </w:pPr>
      <w:r w:rsidRPr="00EC23E7">
        <w:rPr>
          <w:rStyle w:val="FootnoteReference"/>
          <w:rFonts w:ascii="Arial" w:hAnsi="Arial" w:cs="Arial"/>
        </w:rPr>
        <w:footnoteRef/>
      </w:r>
      <w:r w:rsidRPr="00EC23E7">
        <w:rPr>
          <w:rFonts w:ascii="Arial" w:hAnsi="Arial" w:cs="Arial"/>
        </w:rPr>
        <w:t xml:space="preserve"> DP&amp;L Alternative Generation Supplier Coordination Tariff, sheet G8, page 24 of 30 (emphasis added). </w:t>
      </w:r>
    </w:p>
    <w:p w14:paraId="1F495254" w14:textId="77777777" w:rsidR="009E1602" w:rsidRPr="00EC23E7" w:rsidRDefault="009E1602" w:rsidP="009E1602">
      <w:pPr>
        <w:pStyle w:val="FootnoteText"/>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42A3" w14:textId="77777777" w:rsidR="00F71F25" w:rsidRDefault="00F71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BFBE" w14:textId="77777777" w:rsidR="00F71F25" w:rsidRDefault="00F71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AB2A" w14:textId="77777777" w:rsidR="00F71F25" w:rsidRDefault="00F71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A2B"/>
    <w:multiLevelType w:val="hybridMultilevel"/>
    <w:tmpl w:val="67BC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B6D"/>
    <w:multiLevelType w:val="hybridMultilevel"/>
    <w:tmpl w:val="986CCDB6"/>
    <w:lvl w:ilvl="0" w:tplc="71AC6F3E">
      <w:start w:val="1"/>
      <w:numFmt w:val="upperLetter"/>
      <w:lvlText w:val="%1."/>
      <w:lvlJc w:val="left"/>
      <w:pPr>
        <w:ind w:left="1089" w:hanging="369"/>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86D57"/>
    <w:multiLevelType w:val="hybridMultilevel"/>
    <w:tmpl w:val="8FD4573E"/>
    <w:lvl w:ilvl="0" w:tplc="7C76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9601D"/>
    <w:multiLevelType w:val="hybridMultilevel"/>
    <w:tmpl w:val="374856E6"/>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D0F76"/>
    <w:multiLevelType w:val="hybridMultilevel"/>
    <w:tmpl w:val="7E2E4B2C"/>
    <w:lvl w:ilvl="0" w:tplc="57167B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1568CB"/>
    <w:multiLevelType w:val="hybridMultilevel"/>
    <w:tmpl w:val="E834C168"/>
    <w:lvl w:ilvl="0" w:tplc="E90624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AC5D39"/>
    <w:multiLevelType w:val="hybridMultilevel"/>
    <w:tmpl w:val="76529BEA"/>
    <w:lvl w:ilvl="0" w:tplc="A74C8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C81FEC"/>
    <w:multiLevelType w:val="multilevel"/>
    <w:tmpl w:val="C25A84E2"/>
    <w:name w:val="Testimony"/>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8" w15:restartNumberingAfterBreak="0">
    <w:nsid w:val="5015047C"/>
    <w:multiLevelType w:val="hybridMultilevel"/>
    <w:tmpl w:val="D6D6637A"/>
    <w:lvl w:ilvl="0" w:tplc="2B081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910E4"/>
    <w:multiLevelType w:val="hybridMultilevel"/>
    <w:tmpl w:val="2B1C4744"/>
    <w:lvl w:ilvl="0" w:tplc="705A9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720B8B"/>
    <w:multiLevelType w:val="hybridMultilevel"/>
    <w:tmpl w:val="5FBAFF84"/>
    <w:lvl w:ilvl="0" w:tplc="0688D4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F5228"/>
    <w:multiLevelType w:val="hybridMultilevel"/>
    <w:tmpl w:val="0B66A678"/>
    <w:lvl w:ilvl="0" w:tplc="991C3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C733F7"/>
    <w:multiLevelType w:val="hybridMultilevel"/>
    <w:tmpl w:val="D1BA8B30"/>
    <w:lvl w:ilvl="0" w:tplc="86DC3822">
      <w:start w:val="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F57A1"/>
    <w:multiLevelType w:val="hybridMultilevel"/>
    <w:tmpl w:val="F20E91F0"/>
    <w:lvl w:ilvl="0" w:tplc="4E0C97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4466635"/>
    <w:multiLevelType w:val="hybridMultilevel"/>
    <w:tmpl w:val="50B836B8"/>
    <w:lvl w:ilvl="0" w:tplc="4354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2"/>
  </w:num>
  <w:num w:numId="4">
    <w:abstractNumId w:val="13"/>
  </w:num>
  <w:num w:numId="5">
    <w:abstractNumId w:val="7"/>
  </w:num>
  <w:num w:numId="6">
    <w:abstractNumId w:val="0"/>
  </w:num>
  <w:num w:numId="7">
    <w:abstractNumId w:val="1"/>
  </w:num>
  <w:num w:numId="8">
    <w:abstractNumId w:val="8"/>
  </w:num>
  <w:num w:numId="9">
    <w:abstractNumId w:val="14"/>
  </w:num>
  <w:num w:numId="10">
    <w:abstractNumId w:val="6"/>
  </w:num>
  <w:num w:numId="11">
    <w:abstractNumId w:val="3"/>
  </w:num>
  <w:num w:numId="12">
    <w:abstractNumId w:val="12"/>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B5"/>
    <w:rsid w:val="0000183E"/>
    <w:rsid w:val="000030AC"/>
    <w:rsid w:val="00010ED3"/>
    <w:rsid w:val="0001199C"/>
    <w:rsid w:val="00021552"/>
    <w:rsid w:val="00024BC4"/>
    <w:rsid w:val="00024DA6"/>
    <w:rsid w:val="0003354E"/>
    <w:rsid w:val="00041A36"/>
    <w:rsid w:val="000561D3"/>
    <w:rsid w:val="000617E7"/>
    <w:rsid w:val="00061D66"/>
    <w:rsid w:val="00065455"/>
    <w:rsid w:val="00067681"/>
    <w:rsid w:val="00067D7E"/>
    <w:rsid w:val="000717C0"/>
    <w:rsid w:val="00085080"/>
    <w:rsid w:val="0008714F"/>
    <w:rsid w:val="00092DAE"/>
    <w:rsid w:val="00097759"/>
    <w:rsid w:val="000B029D"/>
    <w:rsid w:val="000B170E"/>
    <w:rsid w:val="000B401D"/>
    <w:rsid w:val="000B41A9"/>
    <w:rsid w:val="000B4BB0"/>
    <w:rsid w:val="000C28C4"/>
    <w:rsid w:val="000C673F"/>
    <w:rsid w:val="000C76ED"/>
    <w:rsid w:val="000D0753"/>
    <w:rsid w:val="000D37C1"/>
    <w:rsid w:val="000D55CC"/>
    <w:rsid w:val="000D7232"/>
    <w:rsid w:val="000E6A61"/>
    <w:rsid w:val="000F4484"/>
    <w:rsid w:val="00101A37"/>
    <w:rsid w:val="00105D20"/>
    <w:rsid w:val="00106FD5"/>
    <w:rsid w:val="001112EA"/>
    <w:rsid w:val="001217FC"/>
    <w:rsid w:val="00122B62"/>
    <w:rsid w:val="00134AA7"/>
    <w:rsid w:val="00150542"/>
    <w:rsid w:val="001572DB"/>
    <w:rsid w:val="00157F53"/>
    <w:rsid w:val="00160262"/>
    <w:rsid w:val="001806F7"/>
    <w:rsid w:val="00187398"/>
    <w:rsid w:val="00194B51"/>
    <w:rsid w:val="00194BC0"/>
    <w:rsid w:val="001978E3"/>
    <w:rsid w:val="001A0A2B"/>
    <w:rsid w:val="001A5803"/>
    <w:rsid w:val="001A6263"/>
    <w:rsid w:val="001B611A"/>
    <w:rsid w:val="001B7252"/>
    <w:rsid w:val="001D04B2"/>
    <w:rsid w:val="001D19B8"/>
    <w:rsid w:val="001E5829"/>
    <w:rsid w:val="00211AC1"/>
    <w:rsid w:val="002133DB"/>
    <w:rsid w:val="00216A5B"/>
    <w:rsid w:val="00220EC6"/>
    <w:rsid w:val="002238CE"/>
    <w:rsid w:val="00225120"/>
    <w:rsid w:val="00227AD4"/>
    <w:rsid w:val="0024580C"/>
    <w:rsid w:val="00250807"/>
    <w:rsid w:val="00262C8D"/>
    <w:rsid w:val="00276393"/>
    <w:rsid w:val="00276D3C"/>
    <w:rsid w:val="00277CC9"/>
    <w:rsid w:val="002834D5"/>
    <w:rsid w:val="00290369"/>
    <w:rsid w:val="00290AFD"/>
    <w:rsid w:val="002B2BCF"/>
    <w:rsid w:val="002B3CEE"/>
    <w:rsid w:val="002C2CDC"/>
    <w:rsid w:val="002C7179"/>
    <w:rsid w:val="002E09BA"/>
    <w:rsid w:val="002E35BD"/>
    <w:rsid w:val="002F1923"/>
    <w:rsid w:val="002F1C31"/>
    <w:rsid w:val="002F747C"/>
    <w:rsid w:val="003035D0"/>
    <w:rsid w:val="00310598"/>
    <w:rsid w:val="00313D2E"/>
    <w:rsid w:val="00322BD5"/>
    <w:rsid w:val="00325B4A"/>
    <w:rsid w:val="003330E2"/>
    <w:rsid w:val="00345B4A"/>
    <w:rsid w:val="00351D1F"/>
    <w:rsid w:val="00355AC5"/>
    <w:rsid w:val="00363433"/>
    <w:rsid w:val="0038079F"/>
    <w:rsid w:val="003929C5"/>
    <w:rsid w:val="00392A98"/>
    <w:rsid w:val="0039374A"/>
    <w:rsid w:val="003A5642"/>
    <w:rsid w:val="003B55C6"/>
    <w:rsid w:val="003C1AF5"/>
    <w:rsid w:val="003D365C"/>
    <w:rsid w:val="003E1F76"/>
    <w:rsid w:val="003E759D"/>
    <w:rsid w:val="003F017A"/>
    <w:rsid w:val="003F300E"/>
    <w:rsid w:val="003F338D"/>
    <w:rsid w:val="003F76A7"/>
    <w:rsid w:val="00403850"/>
    <w:rsid w:val="00404442"/>
    <w:rsid w:val="004052C5"/>
    <w:rsid w:val="004161ED"/>
    <w:rsid w:val="004202F3"/>
    <w:rsid w:val="004227C0"/>
    <w:rsid w:val="0044279B"/>
    <w:rsid w:val="00447F53"/>
    <w:rsid w:val="004560C2"/>
    <w:rsid w:val="00457F95"/>
    <w:rsid w:val="00467BA6"/>
    <w:rsid w:val="00471A77"/>
    <w:rsid w:val="00476CC5"/>
    <w:rsid w:val="00476CFC"/>
    <w:rsid w:val="0049223B"/>
    <w:rsid w:val="00496698"/>
    <w:rsid w:val="00497356"/>
    <w:rsid w:val="004A0C52"/>
    <w:rsid w:val="004A6EE2"/>
    <w:rsid w:val="004D41C5"/>
    <w:rsid w:val="004E3B4F"/>
    <w:rsid w:val="004E4C75"/>
    <w:rsid w:val="004E51FE"/>
    <w:rsid w:val="004F10C1"/>
    <w:rsid w:val="004F2437"/>
    <w:rsid w:val="004F6973"/>
    <w:rsid w:val="004F699C"/>
    <w:rsid w:val="00500EA5"/>
    <w:rsid w:val="00500F07"/>
    <w:rsid w:val="00503603"/>
    <w:rsid w:val="00503D08"/>
    <w:rsid w:val="00513148"/>
    <w:rsid w:val="00523C99"/>
    <w:rsid w:val="00527764"/>
    <w:rsid w:val="00530D04"/>
    <w:rsid w:val="005373FC"/>
    <w:rsid w:val="005400A4"/>
    <w:rsid w:val="00545137"/>
    <w:rsid w:val="00545603"/>
    <w:rsid w:val="00546434"/>
    <w:rsid w:val="00550D1A"/>
    <w:rsid w:val="005617C9"/>
    <w:rsid w:val="00570A29"/>
    <w:rsid w:val="0058270B"/>
    <w:rsid w:val="005848CF"/>
    <w:rsid w:val="0058602D"/>
    <w:rsid w:val="00593C0C"/>
    <w:rsid w:val="005A6C48"/>
    <w:rsid w:val="005B3AD8"/>
    <w:rsid w:val="005C0566"/>
    <w:rsid w:val="005C40D1"/>
    <w:rsid w:val="005C75FD"/>
    <w:rsid w:val="005D2548"/>
    <w:rsid w:val="005E3667"/>
    <w:rsid w:val="005E5B59"/>
    <w:rsid w:val="005E5B74"/>
    <w:rsid w:val="005E6A76"/>
    <w:rsid w:val="005F1205"/>
    <w:rsid w:val="005F3D25"/>
    <w:rsid w:val="00634B7A"/>
    <w:rsid w:val="0064725C"/>
    <w:rsid w:val="006543F9"/>
    <w:rsid w:val="00656E4E"/>
    <w:rsid w:val="00663D46"/>
    <w:rsid w:val="006774F1"/>
    <w:rsid w:val="006865AE"/>
    <w:rsid w:val="006A10D1"/>
    <w:rsid w:val="006A373B"/>
    <w:rsid w:val="006B5BE6"/>
    <w:rsid w:val="006C1926"/>
    <w:rsid w:val="006D1AC6"/>
    <w:rsid w:val="006D3115"/>
    <w:rsid w:val="006E3097"/>
    <w:rsid w:val="006E6FA0"/>
    <w:rsid w:val="006E782D"/>
    <w:rsid w:val="006F27F7"/>
    <w:rsid w:val="00702267"/>
    <w:rsid w:val="00717195"/>
    <w:rsid w:val="0072443A"/>
    <w:rsid w:val="007435CA"/>
    <w:rsid w:val="00744B94"/>
    <w:rsid w:val="00747083"/>
    <w:rsid w:val="0074795A"/>
    <w:rsid w:val="007515A3"/>
    <w:rsid w:val="00755F2F"/>
    <w:rsid w:val="00761984"/>
    <w:rsid w:val="007655CD"/>
    <w:rsid w:val="0076797D"/>
    <w:rsid w:val="00770A24"/>
    <w:rsid w:val="0077344F"/>
    <w:rsid w:val="00777363"/>
    <w:rsid w:val="0077799B"/>
    <w:rsid w:val="00777F4F"/>
    <w:rsid w:val="0078257B"/>
    <w:rsid w:val="007826CF"/>
    <w:rsid w:val="00790EE4"/>
    <w:rsid w:val="0079213B"/>
    <w:rsid w:val="007A5A37"/>
    <w:rsid w:val="007A6C0D"/>
    <w:rsid w:val="007B50E0"/>
    <w:rsid w:val="007B55BE"/>
    <w:rsid w:val="007D45FD"/>
    <w:rsid w:val="007D60FE"/>
    <w:rsid w:val="007F1EF5"/>
    <w:rsid w:val="007F4D9D"/>
    <w:rsid w:val="007F5579"/>
    <w:rsid w:val="007F5697"/>
    <w:rsid w:val="008000E7"/>
    <w:rsid w:val="00800E26"/>
    <w:rsid w:val="00802C25"/>
    <w:rsid w:val="0081077A"/>
    <w:rsid w:val="00812BB3"/>
    <w:rsid w:val="00824DFD"/>
    <w:rsid w:val="00831FD2"/>
    <w:rsid w:val="0083448D"/>
    <w:rsid w:val="00836ED3"/>
    <w:rsid w:val="00842708"/>
    <w:rsid w:val="00844B7A"/>
    <w:rsid w:val="00847DA7"/>
    <w:rsid w:val="00847E15"/>
    <w:rsid w:val="00850F1F"/>
    <w:rsid w:val="00864C04"/>
    <w:rsid w:val="00864E62"/>
    <w:rsid w:val="008711AC"/>
    <w:rsid w:val="00871619"/>
    <w:rsid w:val="008814F3"/>
    <w:rsid w:val="00881DCE"/>
    <w:rsid w:val="008B5F66"/>
    <w:rsid w:val="008D3734"/>
    <w:rsid w:val="008E359A"/>
    <w:rsid w:val="008E4454"/>
    <w:rsid w:val="008F0ED4"/>
    <w:rsid w:val="008F3A83"/>
    <w:rsid w:val="00904C00"/>
    <w:rsid w:val="00910316"/>
    <w:rsid w:val="0094320A"/>
    <w:rsid w:val="00950969"/>
    <w:rsid w:val="00951C5D"/>
    <w:rsid w:val="00982AE0"/>
    <w:rsid w:val="00984AB9"/>
    <w:rsid w:val="00985CA3"/>
    <w:rsid w:val="00996181"/>
    <w:rsid w:val="00996A82"/>
    <w:rsid w:val="009A1F2E"/>
    <w:rsid w:val="009A6EC5"/>
    <w:rsid w:val="009B5016"/>
    <w:rsid w:val="009B6881"/>
    <w:rsid w:val="009C1BC3"/>
    <w:rsid w:val="009C5736"/>
    <w:rsid w:val="009C7267"/>
    <w:rsid w:val="009D1916"/>
    <w:rsid w:val="009E1602"/>
    <w:rsid w:val="009F001A"/>
    <w:rsid w:val="009F1CFB"/>
    <w:rsid w:val="009F205D"/>
    <w:rsid w:val="009F5ABE"/>
    <w:rsid w:val="00A0186B"/>
    <w:rsid w:val="00A11DC5"/>
    <w:rsid w:val="00A13170"/>
    <w:rsid w:val="00A222C4"/>
    <w:rsid w:val="00A26F2E"/>
    <w:rsid w:val="00A27FE2"/>
    <w:rsid w:val="00A3024D"/>
    <w:rsid w:val="00A32C0E"/>
    <w:rsid w:val="00A3489A"/>
    <w:rsid w:val="00A40450"/>
    <w:rsid w:val="00A52A03"/>
    <w:rsid w:val="00A6196A"/>
    <w:rsid w:val="00A6204B"/>
    <w:rsid w:val="00A623AF"/>
    <w:rsid w:val="00A636C5"/>
    <w:rsid w:val="00A654AE"/>
    <w:rsid w:val="00A65539"/>
    <w:rsid w:val="00A80671"/>
    <w:rsid w:val="00A86EF2"/>
    <w:rsid w:val="00A928E4"/>
    <w:rsid w:val="00A946C6"/>
    <w:rsid w:val="00A94B72"/>
    <w:rsid w:val="00A961F1"/>
    <w:rsid w:val="00AA37BF"/>
    <w:rsid w:val="00AB3602"/>
    <w:rsid w:val="00AB5950"/>
    <w:rsid w:val="00AC2BA6"/>
    <w:rsid w:val="00AC7367"/>
    <w:rsid w:val="00AD0EB6"/>
    <w:rsid w:val="00AD173C"/>
    <w:rsid w:val="00AD1BA0"/>
    <w:rsid w:val="00AD31BC"/>
    <w:rsid w:val="00AD593D"/>
    <w:rsid w:val="00AE274B"/>
    <w:rsid w:val="00AE50ED"/>
    <w:rsid w:val="00AE7E7B"/>
    <w:rsid w:val="00AF1DEB"/>
    <w:rsid w:val="00AF761B"/>
    <w:rsid w:val="00B03304"/>
    <w:rsid w:val="00B11A37"/>
    <w:rsid w:val="00B157EE"/>
    <w:rsid w:val="00B2018D"/>
    <w:rsid w:val="00B34572"/>
    <w:rsid w:val="00B51377"/>
    <w:rsid w:val="00B53E24"/>
    <w:rsid w:val="00B566A8"/>
    <w:rsid w:val="00B70BAF"/>
    <w:rsid w:val="00B70EB5"/>
    <w:rsid w:val="00B75EDF"/>
    <w:rsid w:val="00B816ED"/>
    <w:rsid w:val="00B8607A"/>
    <w:rsid w:val="00B87974"/>
    <w:rsid w:val="00B92C32"/>
    <w:rsid w:val="00B94268"/>
    <w:rsid w:val="00B94350"/>
    <w:rsid w:val="00BA1A2F"/>
    <w:rsid w:val="00BA2C30"/>
    <w:rsid w:val="00BA58D6"/>
    <w:rsid w:val="00BA59E2"/>
    <w:rsid w:val="00BC7F4B"/>
    <w:rsid w:val="00BD22A6"/>
    <w:rsid w:val="00BD561F"/>
    <w:rsid w:val="00BD7019"/>
    <w:rsid w:val="00BE28F7"/>
    <w:rsid w:val="00BE36CF"/>
    <w:rsid w:val="00BE3D7F"/>
    <w:rsid w:val="00BE41D9"/>
    <w:rsid w:val="00BE5E2B"/>
    <w:rsid w:val="00BE63F3"/>
    <w:rsid w:val="00BF11EE"/>
    <w:rsid w:val="00BF5680"/>
    <w:rsid w:val="00C038B5"/>
    <w:rsid w:val="00C0562C"/>
    <w:rsid w:val="00C15579"/>
    <w:rsid w:val="00C16D5F"/>
    <w:rsid w:val="00C24A30"/>
    <w:rsid w:val="00C276E0"/>
    <w:rsid w:val="00C47F68"/>
    <w:rsid w:val="00C52AC8"/>
    <w:rsid w:val="00C66189"/>
    <w:rsid w:val="00C750AF"/>
    <w:rsid w:val="00C7692A"/>
    <w:rsid w:val="00C80590"/>
    <w:rsid w:val="00C936F6"/>
    <w:rsid w:val="00C94BF1"/>
    <w:rsid w:val="00C95FFA"/>
    <w:rsid w:val="00CA0DFE"/>
    <w:rsid w:val="00CA37C3"/>
    <w:rsid w:val="00CA6FB0"/>
    <w:rsid w:val="00CB0409"/>
    <w:rsid w:val="00CB6143"/>
    <w:rsid w:val="00CB7F8F"/>
    <w:rsid w:val="00CD12C4"/>
    <w:rsid w:val="00CD68A9"/>
    <w:rsid w:val="00CE3FE6"/>
    <w:rsid w:val="00CE6E22"/>
    <w:rsid w:val="00CF4822"/>
    <w:rsid w:val="00CF55F4"/>
    <w:rsid w:val="00D24093"/>
    <w:rsid w:val="00D322D3"/>
    <w:rsid w:val="00D32CA9"/>
    <w:rsid w:val="00D44D69"/>
    <w:rsid w:val="00D46BDB"/>
    <w:rsid w:val="00D541C3"/>
    <w:rsid w:val="00D60CD4"/>
    <w:rsid w:val="00D612FB"/>
    <w:rsid w:val="00D63FE5"/>
    <w:rsid w:val="00D708A0"/>
    <w:rsid w:val="00D73138"/>
    <w:rsid w:val="00D7597C"/>
    <w:rsid w:val="00D77223"/>
    <w:rsid w:val="00D97EB2"/>
    <w:rsid w:val="00DA0A01"/>
    <w:rsid w:val="00DA47F7"/>
    <w:rsid w:val="00DB0F73"/>
    <w:rsid w:val="00DB2023"/>
    <w:rsid w:val="00DB4812"/>
    <w:rsid w:val="00DB5F56"/>
    <w:rsid w:val="00DC194D"/>
    <w:rsid w:val="00DC42E1"/>
    <w:rsid w:val="00DD688B"/>
    <w:rsid w:val="00DD7503"/>
    <w:rsid w:val="00DE2201"/>
    <w:rsid w:val="00DE7A44"/>
    <w:rsid w:val="00DE7C2E"/>
    <w:rsid w:val="00DF66F4"/>
    <w:rsid w:val="00E0286F"/>
    <w:rsid w:val="00E148CB"/>
    <w:rsid w:val="00E16492"/>
    <w:rsid w:val="00E217B5"/>
    <w:rsid w:val="00E26C79"/>
    <w:rsid w:val="00E34991"/>
    <w:rsid w:val="00E364A8"/>
    <w:rsid w:val="00E41C4B"/>
    <w:rsid w:val="00E4448B"/>
    <w:rsid w:val="00E4495E"/>
    <w:rsid w:val="00E46044"/>
    <w:rsid w:val="00E477AA"/>
    <w:rsid w:val="00E63424"/>
    <w:rsid w:val="00E6351B"/>
    <w:rsid w:val="00E66435"/>
    <w:rsid w:val="00E705F7"/>
    <w:rsid w:val="00E72379"/>
    <w:rsid w:val="00E85101"/>
    <w:rsid w:val="00E866DB"/>
    <w:rsid w:val="00EA1F4A"/>
    <w:rsid w:val="00EA43F6"/>
    <w:rsid w:val="00EC0441"/>
    <w:rsid w:val="00EC23E7"/>
    <w:rsid w:val="00EF213B"/>
    <w:rsid w:val="00EF500F"/>
    <w:rsid w:val="00F038D0"/>
    <w:rsid w:val="00F106B4"/>
    <w:rsid w:val="00F10C2E"/>
    <w:rsid w:val="00F1112E"/>
    <w:rsid w:val="00F11798"/>
    <w:rsid w:val="00F160CC"/>
    <w:rsid w:val="00F21184"/>
    <w:rsid w:val="00F24E6E"/>
    <w:rsid w:val="00F26D5A"/>
    <w:rsid w:val="00F31E3D"/>
    <w:rsid w:val="00F31E77"/>
    <w:rsid w:val="00F334D9"/>
    <w:rsid w:val="00F3409D"/>
    <w:rsid w:val="00F370D8"/>
    <w:rsid w:val="00F41CE9"/>
    <w:rsid w:val="00F55EA7"/>
    <w:rsid w:val="00F71F25"/>
    <w:rsid w:val="00F80E95"/>
    <w:rsid w:val="00F81085"/>
    <w:rsid w:val="00F85B0A"/>
    <w:rsid w:val="00F87642"/>
    <w:rsid w:val="00F92A52"/>
    <w:rsid w:val="00F969BB"/>
    <w:rsid w:val="00FA0D19"/>
    <w:rsid w:val="00FA18AE"/>
    <w:rsid w:val="00FA2BAE"/>
    <w:rsid w:val="00FA3380"/>
    <w:rsid w:val="00FA4BA7"/>
    <w:rsid w:val="00FA6677"/>
    <w:rsid w:val="00FA7DED"/>
    <w:rsid w:val="00FB2E91"/>
    <w:rsid w:val="00FB5EA1"/>
    <w:rsid w:val="00FB6DDB"/>
    <w:rsid w:val="00FC3F03"/>
    <w:rsid w:val="00FC629B"/>
    <w:rsid w:val="00FC6426"/>
    <w:rsid w:val="00FD214F"/>
    <w:rsid w:val="00FD2B05"/>
    <w:rsid w:val="00FD572F"/>
    <w:rsid w:val="00FE1E61"/>
    <w:rsid w:val="00FE226F"/>
    <w:rsid w:val="00FF04E7"/>
    <w:rsid w:val="00FF1F22"/>
    <w:rsid w:val="00FF3551"/>
    <w:rsid w:val="00FF6992"/>
    <w:rsid w:val="1BB7B8B5"/>
    <w:rsid w:val="1D0DC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F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2C32"/>
  </w:style>
  <w:style w:type="paragraph" w:styleId="Heading1">
    <w:name w:val="heading 1"/>
    <w:basedOn w:val="Normal"/>
    <w:next w:val="BodyText"/>
    <w:link w:val="Heading1Char"/>
    <w:qFormat/>
    <w:rsid w:val="000D7232"/>
    <w:pPr>
      <w:keepNext/>
      <w:numPr>
        <w:numId w:val="5"/>
      </w:numPr>
      <w:spacing w:after="240" w:line="240" w:lineRule="auto"/>
      <w:outlineLvl w:val="0"/>
    </w:pPr>
    <w:rPr>
      <w:rFonts w:ascii="Times New Roman" w:eastAsiaTheme="majorEastAsia" w:hAnsi="Times New Roman" w:cs="Times New Roman"/>
      <w:b/>
      <w:caps/>
      <w:sz w:val="24"/>
      <w:szCs w:val="28"/>
    </w:rPr>
  </w:style>
  <w:style w:type="paragraph" w:styleId="Heading2">
    <w:name w:val="heading 2"/>
    <w:basedOn w:val="Normal"/>
    <w:next w:val="BodyText"/>
    <w:link w:val="Heading2Char"/>
    <w:unhideWhenUsed/>
    <w:qFormat/>
    <w:rsid w:val="000D7232"/>
    <w:pPr>
      <w:numPr>
        <w:ilvl w:val="1"/>
        <w:numId w:val="5"/>
      </w:numPr>
      <w:spacing w:after="0" w:line="480" w:lineRule="auto"/>
      <w:outlineLvl w:val="1"/>
    </w:pPr>
    <w:rPr>
      <w:rFonts w:ascii="Times New Roman" w:eastAsiaTheme="majorEastAsia" w:hAnsi="Times New Roman" w:cs="Times New Roman"/>
      <w:bCs/>
      <w:sz w:val="24"/>
      <w:szCs w:val="26"/>
    </w:rPr>
  </w:style>
  <w:style w:type="paragraph" w:styleId="Heading4">
    <w:name w:val="heading 4"/>
    <w:basedOn w:val="Normal"/>
    <w:next w:val="BodyText"/>
    <w:link w:val="Heading4Char"/>
    <w:unhideWhenUsed/>
    <w:qFormat/>
    <w:rsid w:val="000D7232"/>
    <w:pPr>
      <w:keepNext/>
      <w:numPr>
        <w:ilvl w:val="3"/>
        <w:numId w:val="5"/>
      </w:numPr>
      <w:spacing w:after="240" w:line="240" w:lineRule="auto"/>
      <w:outlineLvl w:val="3"/>
    </w:pPr>
    <w:rPr>
      <w:rFonts w:ascii="Times New Roman" w:eastAsiaTheme="majorEastAsia" w:hAnsi="Times New Roman" w:cs="Times New Roman"/>
      <w:b/>
      <w:bCs/>
      <w:i/>
      <w:iCs/>
      <w:sz w:val="24"/>
      <w:szCs w:val="24"/>
      <w:u w:val="single"/>
    </w:rPr>
  </w:style>
  <w:style w:type="paragraph" w:styleId="Heading6">
    <w:name w:val="heading 6"/>
    <w:basedOn w:val="Normal"/>
    <w:next w:val="BodyText"/>
    <w:link w:val="Heading6Char"/>
    <w:unhideWhenUsed/>
    <w:qFormat/>
    <w:rsid w:val="000D7232"/>
    <w:pPr>
      <w:numPr>
        <w:ilvl w:val="5"/>
        <w:numId w:val="5"/>
      </w:numPr>
      <w:spacing w:after="240" w:line="240" w:lineRule="auto"/>
      <w:outlineLvl w:val="5"/>
    </w:pPr>
    <w:rPr>
      <w:rFonts w:ascii="Times New Roman" w:eastAsiaTheme="majorEastAsia" w:hAnsi="Times New Roman" w:cs="Times New Roman"/>
      <w:iCs/>
      <w:sz w:val="24"/>
      <w:szCs w:val="24"/>
    </w:rPr>
  </w:style>
  <w:style w:type="paragraph" w:styleId="Heading7">
    <w:name w:val="heading 7"/>
    <w:basedOn w:val="Normal"/>
    <w:next w:val="BodyText"/>
    <w:link w:val="Heading7Char"/>
    <w:unhideWhenUsed/>
    <w:qFormat/>
    <w:rsid w:val="000D7232"/>
    <w:pPr>
      <w:numPr>
        <w:ilvl w:val="6"/>
        <w:numId w:val="5"/>
      </w:numPr>
      <w:spacing w:after="240" w:line="240" w:lineRule="auto"/>
      <w:outlineLvl w:val="6"/>
    </w:pPr>
    <w:rPr>
      <w:rFonts w:ascii="Times New Roman" w:eastAsiaTheme="majorEastAsia" w:hAnsi="Times New Roman" w:cs="Times New Roman"/>
      <w:iCs/>
      <w:sz w:val="24"/>
      <w:szCs w:val="24"/>
    </w:rPr>
  </w:style>
  <w:style w:type="paragraph" w:styleId="Heading8">
    <w:name w:val="heading 8"/>
    <w:basedOn w:val="Normal"/>
    <w:next w:val="BodyText"/>
    <w:link w:val="Heading8Char"/>
    <w:unhideWhenUsed/>
    <w:qFormat/>
    <w:rsid w:val="000D7232"/>
    <w:pPr>
      <w:numPr>
        <w:ilvl w:val="7"/>
        <w:numId w:val="5"/>
      </w:numPr>
      <w:spacing w:after="240" w:line="240" w:lineRule="auto"/>
      <w:outlineLvl w:val="7"/>
    </w:pPr>
    <w:rPr>
      <w:rFonts w:ascii="Times New Roman" w:eastAsiaTheme="majorEastAsia" w:hAnsi="Times New Roman" w:cs="Times New Roman"/>
      <w:sz w:val="24"/>
      <w:szCs w:val="20"/>
    </w:rPr>
  </w:style>
  <w:style w:type="paragraph" w:styleId="Heading9">
    <w:name w:val="heading 9"/>
    <w:basedOn w:val="Normal"/>
    <w:next w:val="BodyText"/>
    <w:link w:val="Heading9Char"/>
    <w:unhideWhenUsed/>
    <w:qFormat/>
    <w:rsid w:val="000D7232"/>
    <w:pPr>
      <w:numPr>
        <w:ilvl w:val="8"/>
        <w:numId w:val="5"/>
      </w:numPr>
      <w:spacing w:after="240" w:line="240" w:lineRule="auto"/>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1F76"/>
    <w:pPr>
      <w:spacing w:after="0" w:line="240" w:lineRule="auto"/>
    </w:pPr>
    <w:rPr>
      <w:sz w:val="20"/>
      <w:szCs w:val="20"/>
    </w:rPr>
  </w:style>
  <w:style w:type="character" w:customStyle="1" w:styleId="FootnoteTextChar">
    <w:name w:val="Footnote Text Char"/>
    <w:basedOn w:val="DefaultParagraphFont"/>
    <w:link w:val="FootnoteText"/>
    <w:uiPriority w:val="99"/>
    <w:rsid w:val="003E1F76"/>
    <w:rPr>
      <w:sz w:val="20"/>
      <w:szCs w:val="20"/>
    </w:rPr>
  </w:style>
  <w:style w:type="character" w:styleId="FootnoteReference">
    <w:name w:val="footnote reference"/>
    <w:basedOn w:val="DefaultParagraphFont"/>
    <w:uiPriority w:val="99"/>
    <w:unhideWhenUsed/>
    <w:rsid w:val="003E1F76"/>
    <w:rPr>
      <w:vertAlign w:val="superscript"/>
    </w:rPr>
  </w:style>
  <w:style w:type="paragraph" w:styleId="ListParagraph">
    <w:name w:val="List Paragraph"/>
    <w:basedOn w:val="Normal"/>
    <w:uiPriority w:val="34"/>
    <w:qFormat/>
    <w:rsid w:val="001D19B8"/>
    <w:pPr>
      <w:ind w:left="720"/>
      <w:contextualSpacing/>
    </w:pPr>
  </w:style>
  <w:style w:type="paragraph" w:styleId="BodyText">
    <w:name w:val="Body Text"/>
    <w:basedOn w:val="Normal"/>
    <w:link w:val="BodyTextChar"/>
    <w:uiPriority w:val="99"/>
    <w:unhideWhenUsed/>
    <w:rsid w:val="00755F2F"/>
    <w:pPr>
      <w:spacing w:after="120"/>
    </w:pPr>
  </w:style>
  <w:style w:type="character" w:customStyle="1" w:styleId="BodyTextChar">
    <w:name w:val="Body Text Char"/>
    <w:basedOn w:val="DefaultParagraphFont"/>
    <w:link w:val="BodyText"/>
    <w:uiPriority w:val="99"/>
    <w:rsid w:val="00755F2F"/>
  </w:style>
  <w:style w:type="character" w:customStyle="1" w:styleId="Heading1Char">
    <w:name w:val="Heading 1 Char"/>
    <w:basedOn w:val="DefaultParagraphFont"/>
    <w:link w:val="Heading1"/>
    <w:rsid w:val="000D7232"/>
    <w:rPr>
      <w:rFonts w:ascii="Times New Roman" w:eastAsiaTheme="majorEastAsia" w:hAnsi="Times New Roman" w:cs="Times New Roman"/>
      <w:b/>
      <w:caps/>
      <w:sz w:val="24"/>
      <w:szCs w:val="28"/>
    </w:rPr>
  </w:style>
  <w:style w:type="character" w:customStyle="1" w:styleId="Heading2Char">
    <w:name w:val="Heading 2 Char"/>
    <w:basedOn w:val="DefaultParagraphFont"/>
    <w:link w:val="Heading2"/>
    <w:rsid w:val="000D7232"/>
    <w:rPr>
      <w:rFonts w:ascii="Times New Roman" w:eastAsiaTheme="majorEastAsia" w:hAnsi="Times New Roman" w:cs="Times New Roman"/>
      <w:bCs/>
      <w:sz w:val="24"/>
      <w:szCs w:val="26"/>
    </w:rPr>
  </w:style>
  <w:style w:type="character" w:customStyle="1" w:styleId="Heading4Char">
    <w:name w:val="Heading 4 Char"/>
    <w:basedOn w:val="DefaultParagraphFont"/>
    <w:link w:val="Heading4"/>
    <w:rsid w:val="000D7232"/>
    <w:rPr>
      <w:rFonts w:ascii="Times New Roman" w:eastAsiaTheme="majorEastAsia" w:hAnsi="Times New Roman" w:cs="Times New Roman"/>
      <w:b/>
      <w:bCs/>
      <w:i/>
      <w:iCs/>
      <w:sz w:val="24"/>
      <w:szCs w:val="24"/>
      <w:u w:val="single"/>
    </w:rPr>
  </w:style>
  <w:style w:type="character" w:customStyle="1" w:styleId="Heading6Char">
    <w:name w:val="Heading 6 Char"/>
    <w:basedOn w:val="DefaultParagraphFont"/>
    <w:link w:val="Heading6"/>
    <w:rsid w:val="000D7232"/>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rsid w:val="000D7232"/>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rsid w:val="000D7232"/>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0D7232"/>
    <w:rPr>
      <w:rFonts w:ascii="Times New Roman" w:eastAsiaTheme="majorEastAsia" w:hAnsi="Times New Roman" w:cs="Times New Roman"/>
      <w:iCs/>
      <w:sz w:val="24"/>
      <w:szCs w:val="20"/>
    </w:rPr>
  </w:style>
  <w:style w:type="paragraph" w:styleId="BalloonText">
    <w:name w:val="Balloon Text"/>
    <w:basedOn w:val="Normal"/>
    <w:link w:val="BalloonTextChar"/>
    <w:uiPriority w:val="99"/>
    <w:semiHidden/>
    <w:unhideWhenUsed/>
    <w:rsid w:val="00C7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AF"/>
    <w:rPr>
      <w:rFonts w:ascii="Segoe UI" w:hAnsi="Segoe UI" w:cs="Segoe UI"/>
      <w:sz w:val="18"/>
      <w:szCs w:val="18"/>
    </w:rPr>
  </w:style>
  <w:style w:type="paragraph" w:styleId="Header">
    <w:name w:val="header"/>
    <w:basedOn w:val="Normal"/>
    <w:link w:val="HeaderChar"/>
    <w:uiPriority w:val="99"/>
    <w:unhideWhenUsed/>
    <w:rsid w:val="00BA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30"/>
  </w:style>
  <w:style w:type="paragraph" w:styleId="Footer">
    <w:name w:val="footer"/>
    <w:basedOn w:val="Normal"/>
    <w:link w:val="FooterChar"/>
    <w:uiPriority w:val="99"/>
    <w:unhideWhenUsed/>
    <w:rsid w:val="00BA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30"/>
  </w:style>
  <w:style w:type="paragraph" w:customStyle="1" w:styleId="Level1">
    <w:name w:val="Level 1"/>
    <w:basedOn w:val="TOC1"/>
    <w:link w:val="Level1Char"/>
    <w:qFormat/>
    <w:rsid w:val="00262C8D"/>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262C8D"/>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262C8D"/>
    <w:pPr>
      <w:spacing w:after="100"/>
    </w:pPr>
  </w:style>
  <w:style w:type="character" w:styleId="Hyperlink">
    <w:name w:val="Hyperlink"/>
    <w:basedOn w:val="DefaultParagraphFont"/>
    <w:uiPriority w:val="99"/>
    <w:rsid w:val="003A5642"/>
    <w:rPr>
      <w:color w:val="0000FF"/>
      <w:u w:val="single"/>
    </w:rPr>
  </w:style>
  <w:style w:type="character" w:styleId="CommentReference">
    <w:name w:val="annotation reference"/>
    <w:basedOn w:val="DefaultParagraphFont"/>
    <w:uiPriority w:val="99"/>
    <w:semiHidden/>
    <w:unhideWhenUsed/>
    <w:rsid w:val="00150542"/>
    <w:rPr>
      <w:sz w:val="16"/>
      <w:szCs w:val="16"/>
    </w:rPr>
  </w:style>
  <w:style w:type="paragraph" w:styleId="CommentText">
    <w:name w:val="annotation text"/>
    <w:basedOn w:val="Normal"/>
    <w:link w:val="CommentTextChar"/>
    <w:uiPriority w:val="99"/>
    <w:semiHidden/>
    <w:unhideWhenUsed/>
    <w:rsid w:val="00150542"/>
    <w:pPr>
      <w:spacing w:line="240" w:lineRule="auto"/>
    </w:pPr>
    <w:rPr>
      <w:sz w:val="20"/>
      <w:szCs w:val="20"/>
    </w:rPr>
  </w:style>
  <w:style w:type="character" w:customStyle="1" w:styleId="CommentTextChar">
    <w:name w:val="Comment Text Char"/>
    <w:basedOn w:val="DefaultParagraphFont"/>
    <w:link w:val="CommentText"/>
    <w:uiPriority w:val="99"/>
    <w:semiHidden/>
    <w:rsid w:val="00150542"/>
    <w:rPr>
      <w:sz w:val="20"/>
      <w:szCs w:val="20"/>
    </w:rPr>
  </w:style>
  <w:style w:type="paragraph" w:styleId="CommentSubject">
    <w:name w:val="annotation subject"/>
    <w:basedOn w:val="CommentText"/>
    <w:next w:val="CommentText"/>
    <w:link w:val="CommentSubjectChar"/>
    <w:uiPriority w:val="99"/>
    <w:semiHidden/>
    <w:unhideWhenUsed/>
    <w:rsid w:val="00150542"/>
    <w:rPr>
      <w:b/>
      <w:bCs/>
    </w:rPr>
  </w:style>
  <w:style w:type="character" w:customStyle="1" w:styleId="CommentSubjectChar">
    <w:name w:val="Comment Subject Char"/>
    <w:basedOn w:val="CommentTextChar"/>
    <w:link w:val="CommentSubject"/>
    <w:uiPriority w:val="99"/>
    <w:semiHidden/>
    <w:rsid w:val="00150542"/>
    <w:rPr>
      <w:b/>
      <w:bCs/>
      <w:sz w:val="20"/>
      <w:szCs w:val="20"/>
    </w:rPr>
  </w:style>
  <w:style w:type="paragraph" w:styleId="Revision">
    <w:name w:val="Revision"/>
    <w:hidden/>
    <w:uiPriority w:val="99"/>
    <w:semiHidden/>
    <w:rsid w:val="0015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3312">
      <w:bodyDiv w:val="1"/>
      <w:marLeft w:val="0"/>
      <w:marRight w:val="0"/>
      <w:marTop w:val="0"/>
      <w:marBottom w:val="0"/>
      <w:divBdr>
        <w:top w:val="none" w:sz="0" w:space="0" w:color="auto"/>
        <w:left w:val="none" w:sz="0" w:space="0" w:color="auto"/>
        <w:bottom w:val="none" w:sz="0" w:space="0" w:color="auto"/>
        <w:right w:val="none" w:sz="0" w:space="0" w:color="auto"/>
      </w:divBdr>
    </w:div>
    <w:div w:id="796487661">
      <w:bodyDiv w:val="1"/>
      <w:marLeft w:val="0"/>
      <w:marRight w:val="0"/>
      <w:marTop w:val="0"/>
      <w:marBottom w:val="0"/>
      <w:divBdr>
        <w:top w:val="none" w:sz="0" w:space="0" w:color="auto"/>
        <w:left w:val="none" w:sz="0" w:space="0" w:color="auto"/>
        <w:bottom w:val="none" w:sz="0" w:space="0" w:color="auto"/>
        <w:right w:val="none" w:sz="0" w:space="0" w:color="auto"/>
      </w:divBdr>
    </w:div>
    <w:div w:id="904022981">
      <w:bodyDiv w:val="1"/>
      <w:marLeft w:val="0"/>
      <w:marRight w:val="0"/>
      <w:marTop w:val="0"/>
      <w:marBottom w:val="0"/>
      <w:divBdr>
        <w:top w:val="none" w:sz="0" w:space="0" w:color="auto"/>
        <w:left w:val="none" w:sz="0" w:space="0" w:color="auto"/>
        <w:bottom w:val="none" w:sz="0" w:space="0" w:color="auto"/>
        <w:right w:val="none" w:sz="0" w:space="0" w:color="auto"/>
      </w:divBdr>
    </w:div>
    <w:div w:id="911693768">
      <w:bodyDiv w:val="1"/>
      <w:marLeft w:val="0"/>
      <w:marRight w:val="0"/>
      <w:marTop w:val="0"/>
      <w:marBottom w:val="0"/>
      <w:divBdr>
        <w:top w:val="none" w:sz="0" w:space="0" w:color="auto"/>
        <w:left w:val="none" w:sz="0" w:space="0" w:color="auto"/>
        <w:bottom w:val="none" w:sz="0" w:space="0" w:color="auto"/>
        <w:right w:val="none" w:sz="0" w:space="0" w:color="auto"/>
      </w:divBdr>
    </w:div>
    <w:div w:id="1799296313">
      <w:bodyDiv w:val="1"/>
      <w:marLeft w:val="0"/>
      <w:marRight w:val="0"/>
      <w:marTop w:val="0"/>
      <w:marBottom w:val="0"/>
      <w:divBdr>
        <w:top w:val="none" w:sz="0" w:space="0" w:color="auto"/>
        <w:left w:val="none" w:sz="0" w:space="0" w:color="auto"/>
        <w:bottom w:val="none" w:sz="0" w:space="0" w:color="auto"/>
        <w:right w:val="none" w:sz="0" w:space="0" w:color="auto"/>
      </w:divBdr>
    </w:div>
    <w:div w:id="18082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g.Price@puco.ohio.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Schabo@puco.ohi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mooney@ohiopartner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liker@igsenergy.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2260-567F-4F75-906F-3AFCA1E4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2018-08-27T21:12:00Z</dcterms:created>
  <dcterms:modified xsi:type="dcterms:W3CDTF">2018-08-27T21:12:00Z</dcterms:modified>
</cp:coreProperties>
</file>