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F9F5" w14:textId="77777777" w:rsidR="002F7871" w:rsidRPr="009D71F6" w:rsidRDefault="002F7871" w:rsidP="002F7871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0D6BDF55" w14:textId="77777777" w:rsidR="002F7871" w:rsidRPr="009D71F6" w:rsidRDefault="002F7871" w:rsidP="002F787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F7871" w:rsidRPr="009D71F6" w14:paraId="45C9F978" w14:textId="77777777" w:rsidTr="006B03A5">
        <w:trPr>
          <w:trHeight w:val="873"/>
          <w:jc w:val="center"/>
        </w:trPr>
        <w:tc>
          <w:tcPr>
            <w:tcW w:w="4739" w:type="dxa"/>
          </w:tcPr>
          <w:p w14:paraId="7E63839C" w14:textId="3BAFD66A" w:rsidR="002F7871" w:rsidRPr="009D71F6" w:rsidRDefault="00363606" w:rsidP="00123E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606">
              <w:rPr>
                <w:rFonts w:ascii="Arial" w:hAnsi="Arial" w:cs="Arial"/>
                <w:sz w:val="24"/>
                <w:szCs w:val="24"/>
              </w:rPr>
              <w:t xml:space="preserve">In the Matter of The </w:t>
            </w:r>
            <w:r w:rsidR="00123E69">
              <w:rPr>
                <w:rFonts w:ascii="Arial" w:hAnsi="Arial" w:cs="Arial"/>
                <w:sz w:val="24"/>
                <w:szCs w:val="24"/>
              </w:rPr>
              <w:t>Application of Duke Energy Ohio, Inc., for an Adjustment to the Capital Expenditure Program Rider Rate</w:t>
            </w:r>
          </w:p>
        </w:tc>
        <w:tc>
          <w:tcPr>
            <w:tcW w:w="630" w:type="dxa"/>
          </w:tcPr>
          <w:p w14:paraId="4ABCFFAB" w14:textId="77777777" w:rsidR="002F7871" w:rsidRPr="00561663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A910AC" w14:textId="77777777" w:rsidR="002F7871" w:rsidRPr="00561663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F17040" w14:textId="77777777" w:rsidR="002F7871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6C11F5" w14:textId="77777777" w:rsidR="002F7871" w:rsidRPr="009D71F6" w:rsidRDefault="002F7871" w:rsidP="006B03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4CF99B27" w14:textId="77777777" w:rsidR="002F7871" w:rsidRPr="00561663" w:rsidRDefault="002F7871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1F506" w14:textId="084C1920" w:rsidR="002F7871" w:rsidRPr="00561663" w:rsidRDefault="00363606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123E69">
              <w:rPr>
                <w:rFonts w:ascii="Arial" w:hAnsi="Arial" w:cs="Arial"/>
                <w:sz w:val="24"/>
                <w:szCs w:val="24"/>
              </w:rPr>
              <w:t>21-618-GA-RDR</w:t>
            </w:r>
          </w:p>
          <w:p w14:paraId="11E19B8F" w14:textId="77777777" w:rsidR="002F7871" w:rsidRDefault="002F7871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196F27" w14:textId="77777777" w:rsidR="002F7871" w:rsidRPr="009D71F6" w:rsidRDefault="002F7871" w:rsidP="006B03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6D2C7" w14:textId="77777777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715538D" w14:textId="77777777" w:rsidR="00BA74C0" w:rsidRDefault="00BA74C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A" w14:textId="10988AE6" w:rsidR="00545F29" w:rsidRPr="009D71F6" w:rsidRDefault="00BA74C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OF </w:t>
      </w:r>
      <w:r w:rsidR="00732F9F">
        <w:rPr>
          <w:rFonts w:ascii="Arial" w:hAnsi="Arial" w:cs="Arial"/>
          <w:b/>
          <w:bCs/>
          <w:sz w:val="24"/>
          <w:szCs w:val="24"/>
        </w:rPr>
        <w:t>INTERSTATE GAS SUPPLY, INC.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D434B1A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9A5282C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002DFE5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9545212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1E9EB2D6" w14:textId="7640C215" w:rsidR="002F7871" w:rsidRDefault="002F7871" w:rsidP="002F7871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5255C6C0" w14:textId="77777777" w:rsidR="00363606" w:rsidRPr="00363606" w:rsidRDefault="00363606" w:rsidP="003636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Michael Nugent (0090408)</w:t>
      </w:r>
    </w:p>
    <w:p w14:paraId="559F9DE2" w14:textId="36EC549C" w:rsidR="008E0DAD" w:rsidRDefault="008E0DAD" w:rsidP="008E0DAD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31B47581" w14:textId="1B8BA57E" w:rsidR="00363606" w:rsidRDefault="00C760D0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8E0DAD" w:rsidRPr="00C760D0">
        <w:rPr>
          <w:rFonts w:ascii="Arial" w:hAnsi="Arial" w:cs="Arial"/>
          <w:sz w:val="24"/>
          <w:szCs w:val="24"/>
        </w:rPr>
        <w:t>mnugent@igsenergy.com</w:t>
      </w:r>
    </w:p>
    <w:p w14:paraId="1C3B477D" w14:textId="2A58E714" w:rsidR="008E0DAD" w:rsidRDefault="008E0DAD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Bethany Allen (0093732)</w:t>
      </w:r>
    </w:p>
    <w:p w14:paraId="2FA5A66F" w14:textId="41361A58" w:rsidR="008E0DAD" w:rsidRDefault="008E0DAD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C760D0" w:rsidRPr="00C760D0">
        <w:rPr>
          <w:rFonts w:ascii="Arial" w:hAnsi="Arial" w:cs="Arial"/>
          <w:sz w:val="24"/>
          <w:szCs w:val="24"/>
        </w:rPr>
        <w:t>bethany.allen@igs.com</w:t>
      </w:r>
    </w:p>
    <w:p w14:paraId="0BF8EDBA" w14:textId="516B7386" w:rsidR="00D00F9B" w:rsidRDefault="00D00F9B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 Betterton (100089)</w:t>
      </w:r>
    </w:p>
    <w:p w14:paraId="223BCD20" w14:textId="57422AFF" w:rsidR="00D00F9B" w:rsidRDefault="00D00F9B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evan.betterton@igs.com</w:t>
      </w:r>
    </w:p>
    <w:p w14:paraId="6C944C9D" w14:textId="30FA4227" w:rsidR="006821AD" w:rsidRDefault="006821AD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0BC8A079" w14:textId="11860973" w:rsidR="00895F31" w:rsidRPr="00363606" w:rsidRDefault="00895F3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joe.oliker@igs.com</w:t>
      </w:r>
    </w:p>
    <w:p w14:paraId="7BA5D994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IGS Energy</w:t>
      </w:r>
    </w:p>
    <w:p w14:paraId="249903CB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6100 Emerald Parkway</w:t>
      </w:r>
    </w:p>
    <w:p w14:paraId="1D33547F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Dublin, Ohio 43016</w:t>
      </w:r>
    </w:p>
    <w:p w14:paraId="553D4621" w14:textId="77777777" w:rsidR="002F7871" w:rsidRPr="00363606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Telephone:</w:t>
      </w:r>
      <w:r w:rsidRPr="00363606">
        <w:rPr>
          <w:rFonts w:ascii="Arial" w:hAnsi="Arial" w:cs="Arial"/>
          <w:sz w:val="24"/>
          <w:szCs w:val="24"/>
        </w:rPr>
        <w:tab/>
        <w:t>(614) 659-5000</w:t>
      </w:r>
    </w:p>
    <w:p w14:paraId="2AB85075" w14:textId="77777777" w:rsidR="002F7871" w:rsidRPr="00526ADC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26ADC">
        <w:rPr>
          <w:rFonts w:ascii="Arial" w:hAnsi="Arial" w:cs="Arial"/>
          <w:sz w:val="24"/>
          <w:szCs w:val="24"/>
        </w:rPr>
        <w:t>Facsimile:</w:t>
      </w:r>
      <w:r w:rsidRPr="00526ADC">
        <w:rPr>
          <w:rFonts w:ascii="Arial" w:hAnsi="Arial" w:cs="Arial"/>
          <w:sz w:val="24"/>
          <w:szCs w:val="24"/>
        </w:rPr>
        <w:tab/>
        <w:t>(614) 659-5073</w:t>
      </w:r>
    </w:p>
    <w:p w14:paraId="7BF364A1" w14:textId="77777777" w:rsidR="002F7871" w:rsidRDefault="002F7871" w:rsidP="002F787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4368634F" w14:textId="77777777" w:rsidR="002F7871" w:rsidRPr="00237730" w:rsidRDefault="002F7871" w:rsidP="002F7871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29245C49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B238123" w14:textId="77777777" w:rsidR="003C11D0" w:rsidRDefault="003C11D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C1DFB2C" w14:textId="77777777" w:rsidR="003C11D0" w:rsidRDefault="003C11D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4F731599" w14:textId="72DA23A6" w:rsidR="00732F9F" w:rsidRDefault="00732F9F" w:rsidP="00D1328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59699E8" w14:textId="77777777" w:rsidR="00895F31" w:rsidRPr="00D13280" w:rsidRDefault="00895F31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7BE3E1" w14:textId="77777777" w:rsidR="00C84BD1" w:rsidRDefault="00C84BD1" w:rsidP="00237730">
      <w:pPr>
        <w:pStyle w:val="Title"/>
        <w:widowControl w:val="0"/>
        <w:rPr>
          <w:rFonts w:ascii="Arial" w:hAnsi="Arial" w:cs="Arial"/>
          <w:szCs w:val="24"/>
        </w:rPr>
      </w:pPr>
    </w:p>
    <w:p w14:paraId="6518D205" w14:textId="77777777" w:rsidR="007A14DE" w:rsidRDefault="007A14DE" w:rsidP="00363606">
      <w:pPr>
        <w:pStyle w:val="Title"/>
        <w:widowControl w:val="0"/>
        <w:rPr>
          <w:rFonts w:ascii="Arial" w:hAnsi="Arial" w:cs="Arial"/>
          <w:szCs w:val="24"/>
        </w:rPr>
      </w:pPr>
    </w:p>
    <w:p w14:paraId="0C000E77" w14:textId="77777777" w:rsidR="00123E69" w:rsidRPr="009D71F6" w:rsidRDefault="00123E69" w:rsidP="00123E69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7937A898" w14:textId="77777777" w:rsidR="00123E69" w:rsidRPr="009D71F6" w:rsidRDefault="00123E69" w:rsidP="00123E6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123E69" w:rsidRPr="009D71F6" w14:paraId="65C4E27B" w14:textId="77777777" w:rsidTr="006B606E">
        <w:trPr>
          <w:trHeight w:val="873"/>
          <w:jc w:val="center"/>
        </w:trPr>
        <w:tc>
          <w:tcPr>
            <w:tcW w:w="4739" w:type="dxa"/>
          </w:tcPr>
          <w:p w14:paraId="674BC65A" w14:textId="77777777" w:rsidR="00123E69" w:rsidRPr="009D71F6" w:rsidRDefault="00123E69" w:rsidP="006B6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3606">
              <w:rPr>
                <w:rFonts w:ascii="Arial" w:hAnsi="Arial" w:cs="Arial"/>
                <w:sz w:val="24"/>
                <w:szCs w:val="24"/>
              </w:rPr>
              <w:t xml:space="preserve">In the Matter of The </w:t>
            </w:r>
            <w:r>
              <w:rPr>
                <w:rFonts w:ascii="Arial" w:hAnsi="Arial" w:cs="Arial"/>
                <w:sz w:val="24"/>
                <w:szCs w:val="24"/>
              </w:rPr>
              <w:t>Application of Duke Energy Ohio, Inc., for an Adjustment to the Capital Expenditure Program Rider Rate</w:t>
            </w:r>
          </w:p>
        </w:tc>
        <w:tc>
          <w:tcPr>
            <w:tcW w:w="630" w:type="dxa"/>
          </w:tcPr>
          <w:p w14:paraId="610563B4" w14:textId="77777777" w:rsidR="00123E69" w:rsidRPr="00561663" w:rsidRDefault="00123E69" w:rsidP="006B60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6CED7A5" w14:textId="77777777" w:rsidR="00123E69" w:rsidRPr="00561663" w:rsidRDefault="00123E69" w:rsidP="006B60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83393F4" w14:textId="77777777" w:rsidR="00123E69" w:rsidRDefault="00123E69" w:rsidP="006B60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BFEEA1" w14:textId="77777777" w:rsidR="00123E69" w:rsidRPr="009D71F6" w:rsidRDefault="00123E69" w:rsidP="006B60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67325B0C" w14:textId="77777777" w:rsidR="00123E69" w:rsidRPr="00561663" w:rsidRDefault="00123E69" w:rsidP="006B606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DBBCEB" w14:textId="77777777" w:rsidR="00123E69" w:rsidRPr="00561663" w:rsidRDefault="00123E69" w:rsidP="006B606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21-618-GA-RDR</w:t>
            </w:r>
          </w:p>
          <w:p w14:paraId="35EB49E1" w14:textId="77777777" w:rsidR="00123E69" w:rsidRDefault="00123E69" w:rsidP="006B606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7E13A8" w14:textId="77777777" w:rsidR="00123E69" w:rsidRPr="009D71F6" w:rsidRDefault="00123E69" w:rsidP="006B606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16957" w14:textId="77777777" w:rsidR="00123E69" w:rsidRPr="009D71F6" w:rsidRDefault="00123E69" w:rsidP="00123E6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BA31494" w14:textId="77777777" w:rsidR="00123E69" w:rsidRDefault="00123E69" w:rsidP="00123E6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597A23" w14:textId="77777777" w:rsidR="00123E69" w:rsidRPr="009D71F6" w:rsidRDefault="00123E69" w:rsidP="00123E6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OF INTERSTATE GAS SUPPLY, INC.</w:t>
      </w:r>
    </w:p>
    <w:p w14:paraId="5C6BDE06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26BABD85" w14:textId="77777777" w:rsidR="00BA74C0" w:rsidRPr="00A83ED0" w:rsidRDefault="00BA74C0" w:rsidP="00BA74C0">
      <w:pPr>
        <w:rPr>
          <w:b/>
        </w:rPr>
      </w:pPr>
    </w:p>
    <w:p w14:paraId="38497175" w14:textId="2A942ACF" w:rsidR="00A83ED0" w:rsidRPr="00A83ED0" w:rsidRDefault="00A83ED0" w:rsidP="00A83ED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83ED0">
        <w:rPr>
          <w:rFonts w:ascii="Arial" w:hAnsi="Arial" w:cs="Arial"/>
          <w:b/>
          <w:sz w:val="24"/>
          <w:szCs w:val="24"/>
        </w:rPr>
        <w:t>INTRODUCTION</w:t>
      </w:r>
    </w:p>
    <w:p w14:paraId="0CB3180F" w14:textId="151A915A" w:rsidR="002219FC" w:rsidRDefault="0074607B" w:rsidP="00271A0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Interstate Gas Supply, Inc. (“IGS”) submits these comments to object to the failure of both the auditor and Staff</w:t>
      </w:r>
      <w:r w:rsidR="00050E75">
        <w:rPr>
          <w:rFonts w:ascii="Arial" w:hAnsi="Arial" w:cs="Arial"/>
          <w:sz w:val="24"/>
          <w:szCs w:val="24"/>
        </w:rPr>
        <w:t xml:space="preserve"> of the Public Utilities Commission of Ohio</w:t>
      </w:r>
      <w:r w:rsidR="009D6D97">
        <w:rPr>
          <w:rFonts w:ascii="Arial" w:hAnsi="Arial" w:cs="Arial"/>
          <w:sz w:val="24"/>
          <w:szCs w:val="24"/>
        </w:rPr>
        <w:t xml:space="preserve"> (“</w:t>
      </w:r>
      <w:r w:rsidR="00D969DB">
        <w:rPr>
          <w:rFonts w:ascii="Arial" w:hAnsi="Arial" w:cs="Arial"/>
          <w:sz w:val="24"/>
          <w:szCs w:val="24"/>
        </w:rPr>
        <w:t>Staff”)</w:t>
      </w:r>
      <w:r>
        <w:rPr>
          <w:rFonts w:ascii="Arial" w:hAnsi="Arial" w:cs="Arial"/>
          <w:sz w:val="24"/>
          <w:szCs w:val="24"/>
        </w:rPr>
        <w:t xml:space="preserve"> to recommend that Duke</w:t>
      </w:r>
      <w:r w:rsidR="00FD03B3">
        <w:rPr>
          <w:rFonts w:ascii="Arial" w:hAnsi="Arial" w:cs="Arial"/>
          <w:sz w:val="24"/>
          <w:szCs w:val="24"/>
        </w:rPr>
        <w:t xml:space="preserve"> Energy Ohio, Inc. (“Duke”)</w:t>
      </w:r>
      <w:r>
        <w:rPr>
          <w:rFonts w:ascii="Arial" w:hAnsi="Arial" w:cs="Arial"/>
          <w:sz w:val="24"/>
          <w:szCs w:val="24"/>
        </w:rPr>
        <w:t xml:space="preserve"> remove financial incentives from its </w:t>
      </w:r>
      <w:r w:rsidR="00FD03B3">
        <w:rPr>
          <w:rFonts w:ascii="Arial" w:hAnsi="Arial" w:cs="Arial"/>
          <w:sz w:val="24"/>
          <w:szCs w:val="24"/>
        </w:rPr>
        <w:t>Capital Expenditure Program Rider (“CEP”)</w:t>
      </w:r>
      <w:r w:rsidR="009829B0">
        <w:rPr>
          <w:rFonts w:ascii="Arial" w:hAnsi="Arial" w:cs="Arial"/>
          <w:sz w:val="24"/>
          <w:szCs w:val="24"/>
        </w:rPr>
        <w:t xml:space="preserve">.  The audit report </w:t>
      </w:r>
      <w:r w:rsidR="005E15A3">
        <w:rPr>
          <w:rFonts w:ascii="Arial" w:hAnsi="Arial" w:cs="Arial"/>
          <w:sz w:val="24"/>
          <w:szCs w:val="24"/>
        </w:rPr>
        <w:t xml:space="preserve">mistakenly </w:t>
      </w:r>
      <w:r w:rsidR="009829B0">
        <w:rPr>
          <w:rFonts w:ascii="Arial" w:hAnsi="Arial" w:cs="Arial"/>
          <w:sz w:val="24"/>
          <w:szCs w:val="24"/>
        </w:rPr>
        <w:t>relies on</w:t>
      </w:r>
      <w:r w:rsidR="005E15A3">
        <w:rPr>
          <w:rFonts w:ascii="Arial" w:hAnsi="Arial" w:cs="Arial"/>
          <w:sz w:val="24"/>
          <w:szCs w:val="24"/>
        </w:rPr>
        <w:t xml:space="preserve"> the terms and conditions of</w:t>
      </w:r>
      <w:r w:rsidR="009829B0">
        <w:rPr>
          <w:rFonts w:ascii="Arial" w:hAnsi="Arial" w:cs="Arial"/>
          <w:sz w:val="24"/>
          <w:szCs w:val="24"/>
        </w:rPr>
        <w:t xml:space="preserve"> a Stipulation and Recommendation</w:t>
      </w:r>
      <w:r w:rsidR="00EE5199">
        <w:rPr>
          <w:rFonts w:ascii="Arial" w:hAnsi="Arial" w:cs="Arial"/>
          <w:sz w:val="24"/>
          <w:szCs w:val="24"/>
        </w:rPr>
        <w:t xml:space="preserve"> (“Stipulation”)</w:t>
      </w:r>
      <w:r w:rsidR="009829B0">
        <w:rPr>
          <w:rFonts w:ascii="Arial" w:hAnsi="Arial" w:cs="Arial"/>
          <w:sz w:val="24"/>
          <w:szCs w:val="24"/>
        </w:rPr>
        <w:t xml:space="preserve"> </w:t>
      </w:r>
      <w:r w:rsidR="005E15A3">
        <w:rPr>
          <w:rFonts w:ascii="Arial" w:hAnsi="Arial" w:cs="Arial"/>
          <w:sz w:val="24"/>
          <w:szCs w:val="24"/>
        </w:rPr>
        <w:t xml:space="preserve">that </w:t>
      </w:r>
      <w:r w:rsidR="009F66BB">
        <w:rPr>
          <w:rFonts w:ascii="Arial" w:hAnsi="Arial" w:cs="Arial"/>
          <w:sz w:val="24"/>
          <w:szCs w:val="24"/>
        </w:rPr>
        <w:t xml:space="preserve">was approved </w:t>
      </w:r>
      <w:r w:rsidR="00EE5199">
        <w:rPr>
          <w:rFonts w:ascii="Arial" w:hAnsi="Arial" w:cs="Arial"/>
          <w:sz w:val="24"/>
          <w:szCs w:val="24"/>
        </w:rPr>
        <w:t xml:space="preserve">in Case No. 19-791-GA-ALT, which authorizes </w:t>
      </w:r>
      <w:r w:rsidR="009F66BB">
        <w:rPr>
          <w:rFonts w:ascii="Arial" w:hAnsi="Arial" w:cs="Arial"/>
          <w:sz w:val="24"/>
          <w:szCs w:val="24"/>
        </w:rPr>
        <w:t>Duke to recover incentive pay through its CEP using</w:t>
      </w:r>
      <w:r w:rsidR="005F5DEC">
        <w:rPr>
          <w:rFonts w:ascii="Arial" w:hAnsi="Arial" w:cs="Arial"/>
          <w:sz w:val="24"/>
          <w:szCs w:val="24"/>
        </w:rPr>
        <w:t xml:space="preserve"> existing accounting policies and procedures.</w:t>
      </w:r>
      <w:r w:rsidR="00214C08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5F5DEC">
        <w:rPr>
          <w:rFonts w:ascii="Arial" w:hAnsi="Arial" w:cs="Arial"/>
          <w:sz w:val="24"/>
          <w:szCs w:val="24"/>
        </w:rPr>
        <w:t xml:space="preserve">  </w:t>
      </w:r>
      <w:r w:rsidR="003D22D1">
        <w:rPr>
          <w:rFonts w:ascii="Arial" w:hAnsi="Arial" w:cs="Arial"/>
          <w:sz w:val="24"/>
          <w:szCs w:val="24"/>
        </w:rPr>
        <w:t>Th</w:t>
      </w:r>
      <w:r w:rsidR="00EB4F2C">
        <w:rPr>
          <w:rFonts w:ascii="Arial" w:hAnsi="Arial" w:cs="Arial"/>
          <w:sz w:val="24"/>
          <w:szCs w:val="24"/>
        </w:rPr>
        <w:t>at</w:t>
      </w:r>
      <w:r w:rsidR="008C145D">
        <w:rPr>
          <w:rFonts w:ascii="Arial" w:hAnsi="Arial" w:cs="Arial"/>
          <w:sz w:val="24"/>
          <w:szCs w:val="24"/>
        </w:rPr>
        <w:t xml:space="preserve"> Stipulation</w:t>
      </w:r>
      <w:r w:rsidR="00B066F2">
        <w:rPr>
          <w:rFonts w:ascii="Arial" w:hAnsi="Arial" w:cs="Arial"/>
          <w:sz w:val="24"/>
          <w:szCs w:val="24"/>
        </w:rPr>
        <w:t xml:space="preserve"> was submitted for purposes of </w:t>
      </w:r>
      <w:r w:rsidR="00EB4F2C">
        <w:rPr>
          <w:rFonts w:ascii="Arial" w:hAnsi="Arial" w:cs="Arial"/>
          <w:sz w:val="24"/>
          <w:szCs w:val="24"/>
        </w:rPr>
        <w:t>resolving Case No. 19-791-GA-ALT</w:t>
      </w:r>
      <w:r w:rsidR="00BB49CE">
        <w:rPr>
          <w:rFonts w:ascii="Arial" w:hAnsi="Arial" w:cs="Arial"/>
          <w:sz w:val="24"/>
          <w:szCs w:val="24"/>
        </w:rPr>
        <w:t xml:space="preserve">, </w:t>
      </w:r>
      <w:r w:rsidR="00EB4F2C">
        <w:rPr>
          <w:rFonts w:ascii="Arial" w:hAnsi="Arial" w:cs="Arial"/>
          <w:sz w:val="24"/>
          <w:szCs w:val="24"/>
        </w:rPr>
        <w:t>and by its</w:t>
      </w:r>
      <w:r w:rsidR="002219FC">
        <w:rPr>
          <w:rFonts w:ascii="Arial" w:hAnsi="Arial" w:cs="Arial"/>
          <w:sz w:val="24"/>
          <w:szCs w:val="24"/>
        </w:rPr>
        <w:t xml:space="preserve"> own</w:t>
      </w:r>
      <w:r w:rsidR="00EB4F2C">
        <w:rPr>
          <w:rFonts w:ascii="Arial" w:hAnsi="Arial" w:cs="Arial"/>
          <w:sz w:val="24"/>
          <w:szCs w:val="24"/>
        </w:rPr>
        <w:t xml:space="preserve"> terms</w:t>
      </w:r>
      <w:r w:rsidR="00BB49CE">
        <w:rPr>
          <w:rFonts w:ascii="Arial" w:hAnsi="Arial" w:cs="Arial"/>
          <w:sz w:val="24"/>
          <w:szCs w:val="24"/>
        </w:rPr>
        <w:t>, must not serve as precedent</w:t>
      </w:r>
      <w:r w:rsidR="002219FC">
        <w:rPr>
          <w:rFonts w:ascii="Arial" w:hAnsi="Arial" w:cs="Arial"/>
          <w:sz w:val="24"/>
          <w:szCs w:val="24"/>
        </w:rPr>
        <w:t xml:space="preserve"> in any future proceeding</w:t>
      </w:r>
      <w:r w:rsidR="002219FC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2219FC">
        <w:rPr>
          <w:rFonts w:ascii="Arial" w:hAnsi="Arial" w:cs="Arial"/>
          <w:sz w:val="24"/>
          <w:szCs w:val="24"/>
        </w:rPr>
        <w:t>, including Duke’s CEP application at issue here.</w:t>
      </w:r>
    </w:p>
    <w:p w14:paraId="65800549" w14:textId="59044311" w:rsidR="0074607B" w:rsidRDefault="0088221E" w:rsidP="00262B6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audit report should not assume that </w:t>
      </w:r>
      <w:r w:rsidR="007810D7">
        <w:rPr>
          <w:rFonts w:ascii="Arial" w:hAnsi="Arial" w:cs="Arial"/>
          <w:sz w:val="24"/>
          <w:szCs w:val="24"/>
        </w:rPr>
        <w:t xml:space="preserve">the </w:t>
      </w:r>
      <w:r w:rsidR="002528E4">
        <w:rPr>
          <w:rFonts w:ascii="Arial" w:hAnsi="Arial" w:cs="Arial"/>
          <w:sz w:val="24"/>
          <w:szCs w:val="24"/>
        </w:rPr>
        <w:t>terms of a</w:t>
      </w:r>
      <w:r w:rsidR="004E0E0F">
        <w:rPr>
          <w:rFonts w:ascii="Arial" w:hAnsi="Arial" w:cs="Arial"/>
          <w:sz w:val="24"/>
          <w:szCs w:val="24"/>
        </w:rPr>
        <w:t xml:space="preserve"> Stipulation</w:t>
      </w:r>
      <w:r w:rsidR="000E5CAC">
        <w:rPr>
          <w:rFonts w:ascii="Arial" w:hAnsi="Arial" w:cs="Arial"/>
          <w:sz w:val="24"/>
          <w:szCs w:val="24"/>
        </w:rPr>
        <w:t xml:space="preserve"> </w:t>
      </w:r>
      <w:r w:rsidR="004E0E0F">
        <w:rPr>
          <w:rFonts w:ascii="Arial" w:hAnsi="Arial" w:cs="Arial"/>
          <w:sz w:val="24"/>
          <w:szCs w:val="24"/>
        </w:rPr>
        <w:t xml:space="preserve">filed in a prior proceeding </w:t>
      </w:r>
      <w:r w:rsidR="002528E4">
        <w:rPr>
          <w:rFonts w:ascii="Arial" w:hAnsi="Arial" w:cs="Arial"/>
          <w:sz w:val="24"/>
          <w:szCs w:val="24"/>
        </w:rPr>
        <w:t>govern</w:t>
      </w:r>
      <w:r w:rsidR="004E0E0F">
        <w:rPr>
          <w:rFonts w:ascii="Arial" w:hAnsi="Arial" w:cs="Arial"/>
          <w:sz w:val="24"/>
          <w:szCs w:val="24"/>
        </w:rPr>
        <w:t xml:space="preserve"> </w:t>
      </w:r>
      <w:r w:rsidR="00274BE3">
        <w:rPr>
          <w:rFonts w:ascii="Arial" w:hAnsi="Arial" w:cs="Arial"/>
          <w:sz w:val="24"/>
          <w:szCs w:val="24"/>
        </w:rPr>
        <w:t>Duke’s</w:t>
      </w:r>
      <w:r w:rsidR="002528E4">
        <w:rPr>
          <w:rFonts w:ascii="Arial" w:hAnsi="Arial" w:cs="Arial"/>
          <w:sz w:val="24"/>
          <w:szCs w:val="24"/>
        </w:rPr>
        <w:t xml:space="preserve"> application</w:t>
      </w:r>
      <w:r w:rsidR="00C3417C">
        <w:rPr>
          <w:rFonts w:ascii="Arial" w:hAnsi="Arial" w:cs="Arial"/>
          <w:sz w:val="24"/>
          <w:szCs w:val="24"/>
        </w:rPr>
        <w:t xml:space="preserve"> i</w:t>
      </w:r>
      <w:r w:rsidR="007810D7">
        <w:rPr>
          <w:rFonts w:ascii="Arial" w:hAnsi="Arial" w:cs="Arial"/>
          <w:sz w:val="24"/>
          <w:szCs w:val="24"/>
        </w:rPr>
        <w:t>n this cas</w:t>
      </w:r>
      <w:r w:rsidR="002B3C8C">
        <w:rPr>
          <w:rFonts w:ascii="Arial" w:hAnsi="Arial" w:cs="Arial"/>
          <w:sz w:val="24"/>
          <w:szCs w:val="24"/>
        </w:rPr>
        <w:t>e</w:t>
      </w:r>
      <w:r w:rsidR="00EA1E55">
        <w:rPr>
          <w:rFonts w:ascii="Arial" w:hAnsi="Arial" w:cs="Arial"/>
          <w:sz w:val="24"/>
          <w:szCs w:val="24"/>
        </w:rPr>
        <w:t xml:space="preserve">.  </w:t>
      </w:r>
      <w:r w:rsidR="008935FB">
        <w:rPr>
          <w:rFonts w:ascii="Arial" w:hAnsi="Arial" w:cs="Arial"/>
          <w:sz w:val="24"/>
          <w:szCs w:val="24"/>
        </w:rPr>
        <w:t>Rather</w:t>
      </w:r>
      <w:r w:rsidR="00560C7D">
        <w:rPr>
          <w:rFonts w:ascii="Arial" w:hAnsi="Arial" w:cs="Arial"/>
          <w:sz w:val="24"/>
          <w:szCs w:val="24"/>
        </w:rPr>
        <w:t>,</w:t>
      </w:r>
      <w:r w:rsidR="008935FB">
        <w:rPr>
          <w:rFonts w:ascii="Arial" w:hAnsi="Arial" w:cs="Arial"/>
          <w:sz w:val="24"/>
          <w:szCs w:val="24"/>
        </w:rPr>
        <w:t xml:space="preserve"> the auditor and Staff</w:t>
      </w:r>
      <w:r w:rsidR="00560C7D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8935FB">
        <w:rPr>
          <w:rFonts w:ascii="Arial" w:hAnsi="Arial" w:cs="Arial"/>
          <w:sz w:val="24"/>
          <w:szCs w:val="24"/>
        </w:rPr>
        <w:t xml:space="preserve"> should review Duke’s application </w:t>
      </w:r>
      <w:r w:rsidR="00560C7D">
        <w:rPr>
          <w:rFonts w:ascii="Arial" w:hAnsi="Arial" w:cs="Arial"/>
          <w:i/>
          <w:iCs/>
          <w:sz w:val="24"/>
          <w:szCs w:val="24"/>
        </w:rPr>
        <w:t xml:space="preserve">de novo </w:t>
      </w:r>
      <w:r w:rsidR="00141C3F">
        <w:rPr>
          <w:rFonts w:ascii="Arial" w:hAnsi="Arial" w:cs="Arial"/>
          <w:sz w:val="24"/>
          <w:szCs w:val="24"/>
        </w:rPr>
        <w:t xml:space="preserve">to determine whether Duke’s request to recover incentive pay through its CEP </w:t>
      </w:r>
      <w:r w:rsidR="00D739E8">
        <w:rPr>
          <w:rFonts w:ascii="Arial" w:hAnsi="Arial" w:cs="Arial"/>
          <w:sz w:val="24"/>
          <w:szCs w:val="24"/>
        </w:rPr>
        <w:t>complies with Ohio law</w:t>
      </w:r>
      <w:r w:rsidR="00067BCF">
        <w:rPr>
          <w:rFonts w:ascii="Arial" w:hAnsi="Arial" w:cs="Arial"/>
          <w:sz w:val="24"/>
          <w:szCs w:val="24"/>
        </w:rPr>
        <w:t>.</w:t>
      </w:r>
      <w:r w:rsidR="009D6D97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067BCF">
        <w:rPr>
          <w:rFonts w:ascii="Arial" w:hAnsi="Arial" w:cs="Arial"/>
          <w:sz w:val="24"/>
          <w:szCs w:val="24"/>
        </w:rPr>
        <w:t xml:space="preserve">  In doing</w:t>
      </w:r>
      <w:r w:rsidR="00447F03">
        <w:rPr>
          <w:rFonts w:ascii="Arial" w:hAnsi="Arial" w:cs="Arial"/>
          <w:sz w:val="24"/>
          <w:szCs w:val="24"/>
        </w:rPr>
        <w:t xml:space="preserve"> so, </w:t>
      </w:r>
      <w:r w:rsidR="00067BCF">
        <w:rPr>
          <w:rFonts w:ascii="Arial" w:hAnsi="Arial" w:cs="Arial"/>
          <w:sz w:val="24"/>
          <w:szCs w:val="24"/>
        </w:rPr>
        <w:t xml:space="preserve">the auditor and Staff should </w:t>
      </w:r>
      <w:r w:rsidR="00447F03">
        <w:rPr>
          <w:rFonts w:ascii="Arial" w:hAnsi="Arial" w:cs="Arial"/>
          <w:sz w:val="24"/>
          <w:szCs w:val="24"/>
        </w:rPr>
        <w:t xml:space="preserve">find </w:t>
      </w:r>
      <w:r w:rsidR="0083383C">
        <w:rPr>
          <w:rFonts w:ascii="Arial" w:hAnsi="Arial" w:cs="Arial"/>
          <w:sz w:val="24"/>
          <w:szCs w:val="24"/>
        </w:rPr>
        <w:t>that</w:t>
      </w:r>
      <w:r w:rsidR="00D32E6F">
        <w:rPr>
          <w:rFonts w:ascii="Arial" w:hAnsi="Arial" w:cs="Arial"/>
          <w:sz w:val="24"/>
          <w:szCs w:val="24"/>
        </w:rPr>
        <w:t xml:space="preserve"> any</w:t>
      </w:r>
      <w:r w:rsidR="0083383C">
        <w:rPr>
          <w:rFonts w:ascii="Arial" w:hAnsi="Arial" w:cs="Arial"/>
          <w:sz w:val="24"/>
          <w:szCs w:val="24"/>
        </w:rPr>
        <w:t xml:space="preserve"> </w:t>
      </w:r>
      <w:r w:rsidR="00262B65">
        <w:rPr>
          <w:rFonts w:ascii="Arial" w:hAnsi="Arial" w:cs="Arial"/>
          <w:sz w:val="24"/>
          <w:szCs w:val="24"/>
        </w:rPr>
        <w:t>incentive</w:t>
      </w:r>
      <w:r w:rsidR="00FA3BE4">
        <w:rPr>
          <w:rFonts w:ascii="Arial" w:hAnsi="Arial" w:cs="Arial"/>
          <w:sz w:val="24"/>
          <w:szCs w:val="24"/>
        </w:rPr>
        <w:t xml:space="preserve">-based </w:t>
      </w:r>
      <w:r w:rsidR="00262B65">
        <w:rPr>
          <w:rFonts w:ascii="Arial" w:hAnsi="Arial" w:cs="Arial"/>
          <w:sz w:val="24"/>
          <w:szCs w:val="24"/>
        </w:rPr>
        <w:t>and stock-based compensation</w:t>
      </w:r>
      <w:r w:rsidR="00D32E6F">
        <w:rPr>
          <w:rFonts w:ascii="Arial" w:hAnsi="Arial" w:cs="Arial"/>
          <w:sz w:val="24"/>
          <w:szCs w:val="24"/>
        </w:rPr>
        <w:t xml:space="preserve"> included in Duke’s application in this case</w:t>
      </w:r>
      <w:r w:rsidR="00262B65">
        <w:rPr>
          <w:rFonts w:ascii="Arial" w:hAnsi="Arial" w:cs="Arial"/>
          <w:sz w:val="24"/>
          <w:szCs w:val="24"/>
        </w:rPr>
        <w:t xml:space="preserve"> should be removed from the CEP Rider.</w:t>
      </w:r>
      <w:r w:rsidR="00FC605D">
        <w:rPr>
          <w:rFonts w:ascii="Arial" w:hAnsi="Arial" w:cs="Arial"/>
          <w:sz w:val="24"/>
          <w:szCs w:val="24"/>
        </w:rPr>
        <w:t xml:space="preserve"> </w:t>
      </w:r>
    </w:p>
    <w:p w14:paraId="56A2988E" w14:textId="26A8B02A" w:rsidR="009829B0" w:rsidRPr="009829B0" w:rsidRDefault="009829B0" w:rsidP="009829B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</w:t>
      </w:r>
    </w:p>
    <w:p w14:paraId="71FD568C" w14:textId="20476216" w:rsidR="00271A05" w:rsidRDefault="007962E1" w:rsidP="00271A0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E935FF">
        <w:rPr>
          <w:rFonts w:ascii="Arial" w:hAnsi="Arial" w:cs="Arial"/>
          <w:sz w:val="24"/>
          <w:szCs w:val="24"/>
        </w:rPr>
        <w:t>April 23</w:t>
      </w:r>
      <w:r>
        <w:rPr>
          <w:rFonts w:ascii="Arial" w:hAnsi="Arial" w:cs="Arial"/>
          <w:sz w:val="24"/>
          <w:szCs w:val="24"/>
        </w:rPr>
        <w:t>,</w:t>
      </w:r>
      <w:r w:rsidR="00E935FF">
        <w:rPr>
          <w:rFonts w:ascii="Arial" w:hAnsi="Arial" w:cs="Arial"/>
          <w:sz w:val="24"/>
          <w:szCs w:val="24"/>
        </w:rPr>
        <w:t xml:space="preserve"> 2021, Duke Energy Ohio, Inc. (“Duke”) filed an application with the Public Utilities Commission of Ohio (“PUCO” or “Commission”) </w:t>
      </w:r>
      <w:r w:rsidR="006F12F9">
        <w:rPr>
          <w:rFonts w:ascii="Arial" w:hAnsi="Arial" w:cs="Arial"/>
          <w:sz w:val="24"/>
          <w:szCs w:val="24"/>
        </w:rPr>
        <w:t>seeking</w:t>
      </w:r>
      <w:r w:rsidR="00761769">
        <w:rPr>
          <w:rFonts w:ascii="Arial" w:hAnsi="Arial" w:cs="Arial"/>
          <w:sz w:val="24"/>
          <w:szCs w:val="24"/>
        </w:rPr>
        <w:t xml:space="preserve"> approval</w:t>
      </w:r>
      <w:r w:rsidR="00E935FF">
        <w:rPr>
          <w:rFonts w:ascii="Arial" w:hAnsi="Arial" w:cs="Arial"/>
          <w:sz w:val="24"/>
          <w:szCs w:val="24"/>
        </w:rPr>
        <w:t>, among other things,</w:t>
      </w:r>
      <w:r w:rsidR="00AB5C9F">
        <w:rPr>
          <w:rFonts w:ascii="Arial" w:hAnsi="Arial" w:cs="Arial"/>
          <w:sz w:val="24"/>
          <w:szCs w:val="24"/>
        </w:rPr>
        <w:t xml:space="preserve"> </w:t>
      </w:r>
      <w:r w:rsidR="00C5670D">
        <w:rPr>
          <w:rFonts w:ascii="Arial" w:hAnsi="Arial" w:cs="Arial"/>
          <w:sz w:val="24"/>
          <w:szCs w:val="24"/>
        </w:rPr>
        <w:t xml:space="preserve">to </w:t>
      </w:r>
      <w:r w:rsidR="00A41C45">
        <w:rPr>
          <w:rFonts w:ascii="Arial" w:hAnsi="Arial" w:cs="Arial"/>
          <w:sz w:val="24"/>
          <w:szCs w:val="24"/>
        </w:rPr>
        <w:t xml:space="preserve">continue to </w:t>
      </w:r>
      <w:r w:rsidR="00C5670D">
        <w:rPr>
          <w:rFonts w:ascii="Arial" w:hAnsi="Arial" w:cs="Arial"/>
          <w:sz w:val="24"/>
          <w:szCs w:val="24"/>
        </w:rPr>
        <w:t xml:space="preserve">capitalize </w:t>
      </w:r>
      <w:r w:rsidR="00293037">
        <w:rPr>
          <w:rFonts w:ascii="Arial" w:hAnsi="Arial" w:cs="Arial"/>
          <w:sz w:val="24"/>
          <w:szCs w:val="24"/>
        </w:rPr>
        <w:t xml:space="preserve">incentive pay through its Capital Expenditure </w:t>
      </w:r>
      <w:r w:rsidR="00CD6CD5">
        <w:rPr>
          <w:rFonts w:ascii="Arial" w:hAnsi="Arial" w:cs="Arial"/>
          <w:sz w:val="24"/>
          <w:szCs w:val="24"/>
        </w:rPr>
        <w:t>Program Rider (“CEP”)</w:t>
      </w:r>
      <w:r w:rsidR="00D6748B">
        <w:rPr>
          <w:rFonts w:ascii="Arial" w:hAnsi="Arial" w:cs="Arial"/>
          <w:sz w:val="24"/>
          <w:szCs w:val="24"/>
        </w:rPr>
        <w:t>.</w:t>
      </w:r>
      <w:r w:rsidR="005F3E57">
        <w:rPr>
          <w:rFonts w:ascii="Arial" w:hAnsi="Arial" w:cs="Arial"/>
          <w:sz w:val="24"/>
          <w:szCs w:val="24"/>
        </w:rPr>
        <w:t xml:space="preserve">  </w:t>
      </w:r>
      <w:r w:rsidR="004D5587">
        <w:rPr>
          <w:rFonts w:ascii="Arial" w:hAnsi="Arial" w:cs="Arial"/>
          <w:sz w:val="24"/>
          <w:szCs w:val="24"/>
        </w:rPr>
        <w:t>Specifically</w:t>
      </w:r>
      <w:r w:rsidR="00826AA5">
        <w:rPr>
          <w:rFonts w:ascii="Arial" w:hAnsi="Arial" w:cs="Arial"/>
          <w:sz w:val="24"/>
          <w:szCs w:val="24"/>
        </w:rPr>
        <w:t xml:space="preserve">, Duke </w:t>
      </w:r>
      <w:r w:rsidR="004D5587">
        <w:rPr>
          <w:rFonts w:ascii="Arial" w:hAnsi="Arial" w:cs="Arial"/>
          <w:sz w:val="24"/>
          <w:szCs w:val="24"/>
        </w:rPr>
        <w:t>seeks to</w:t>
      </w:r>
      <w:r w:rsidR="00A320E7">
        <w:rPr>
          <w:rFonts w:ascii="Arial" w:hAnsi="Arial" w:cs="Arial"/>
          <w:sz w:val="24"/>
          <w:szCs w:val="24"/>
        </w:rPr>
        <w:t xml:space="preserve"> </w:t>
      </w:r>
      <w:r w:rsidR="00826AA5">
        <w:rPr>
          <w:rFonts w:ascii="Arial" w:hAnsi="Arial" w:cs="Arial"/>
          <w:sz w:val="24"/>
          <w:szCs w:val="24"/>
        </w:rPr>
        <w:t xml:space="preserve">recover </w:t>
      </w:r>
      <w:r w:rsidR="00AC080A">
        <w:rPr>
          <w:rFonts w:ascii="Arial" w:hAnsi="Arial" w:cs="Arial"/>
          <w:sz w:val="24"/>
          <w:szCs w:val="24"/>
        </w:rPr>
        <w:t>stock-based and earnings-related financial incentives</w:t>
      </w:r>
      <w:r w:rsidR="006B44A4">
        <w:rPr>
          <w:rFonts w:ascii="Arial" w:hAnsi="Arial" w:cs="Arial"/>
          <w:sz w:val="24"/>
          <w:szCs w:val="24"/>
        </w:rPr>
        <w:t xml:space="preserve"> </w:t>
      </w:r>
      <w:r w:rsidR="00B320FA">
        <w:rPr>
          <w:rFonts w:ascii="Arial" w:hAnsi="Arial" w:cs="Arial"/>
          <w:sz w:val="24"/>
          <w:szCs w:val="24"/>
        </w:rPr>
        <w:t>granted</w:t>
      </w:r>
      <w:r w:rsidR="004123B7">
        <w:rPr>
          <w:rFonts w:ascii="Arial" w:hAnsi="Arial" w:cs="Arial"/>
          <w:sz w:val="24"/>
          <w:szCs w:val="24"/>
        </w:rPr>
        <w:t xml:space="preserve"> to </w:t>
      </w:r>
      <w:r w:rsidR="00F156E1">
        <w:rPr>
          <w:rFonts w:ascii="Arial" w:hAnsi="Arial" w:cs="Arial"/>
          <w:sz w:val="24"/>
          <w:szCs w:val="24"/>
        </w:rPr>
        <w:t xml:space="preserve">its </w:t>
      </w:r>
      <w:r w:rsidR="00B37280">
        <w:rPr>
          <w:rFonts w:ascii="Arial" w:hAnsi="Arial" w:cs="Arial"/>
          <w:sz w:val="24"/>
          <w:szCs w:val="24"/>
        </w:rPr>
        <w:t>employees and executives</w:t>
      </w:r>
      <w:r w:rsidR="00B320FA">
        <w:rPr>
          <w:rFonts w:ascii="Arial" w:hAnsi="Arial" w:cs="Arial"/>
          <w:sz w:val="24"/>
          <w:szCs w:val="24"/>
        </w:rPr>
        <w:t xml:space="preserve"> </w:t>
      </w:r>
      <w:r w:rsidR="00F156E1">
        <w:rPr>
          <w:rFonts w:ascii="Arial" w:hAnsi="Arial" w:cs="Arial"/>
          <w:sz w:val="24"/>
          <w:szCs w:val="24"/>
        </w:rPr>
        <w:t>via</w:t>
      </w:r>
      <w:r w:rsidR="006B44A4">
        <w:rPr>
          <w:rFonts w:ascii="Arial" w:hAnsi="Arial" w:cs="Arial"/>
          <w:sz w:val="24"/>
          <w:szCs w:val="24"/>
        </w:rPr>
        <w:t xml:space="preserve"> </w:t>
      </w:r>
      <w:r w:rsidR="00AD4C69">
        <w:rPr>
          <w:rFonts w:ascii="Arial" w:hAnsi="Arial" w:cs="Arial"/>
          <w:sz w:val="24"/>
          <w:szCs w:val="24"/>
        </w:rPr>
        <w:t xml:space="preserve">Short-Term and </w:t>
      </w:r>
      <w:r w:rsidR="006B44A4">
        <w:rPr>
          <w:rFonts w:ascii="Arial" w:hAnsi="Arial" w:cs="Arial"/>
          <w:sz w:val="24"/>
          <w:szCs w:val="24"/>
        </w:rPr>
        <w:t>Long-Term Incentive Plan</w:t>
      </w:r>
      <w:r w:rsidR="00973C9A">
        <w:rPr>
          <w:rFonts w:ascii="Arial" w:hAnsi="Arial" w:cs="Arial"/>
          <w:sz w:val="24"/>
          <w:szCs w:val="24"/>
        </w:rPr>
        <w:t>s</w:t>
      </w:r>
      <w:r w:rsidR="00A36D52">
        <w:rPr>
          <w:rFonts w:ascii="Arial" w:hAnsi="Arial" w:cs="Arial"/>
          <w:sz w:val="24"/>
          <w:szCs w:val="24"/>
        </w:rPr>
        <w:t xml:space="preserve">.  </w:t>
      </w:r>
      <w:r w:rsidR="00AB1962">
        <w:rPr>
          <w:rFonts w:ascii="Arial" w:hAnsi="Arial" w:cs="Arial"/>
          <w:sz w:val="24"/>
          <w:szCs w:val="24"/>
        </w:rPr>
        <w:t>Blue Ridge Consulting services performed an audit of Duke’s application in this case</w:t>
      </w:r>
      <w:r w:rsidR="003C1EF5">
        <w:rPr>
          <w:rFonts w:ascii="Arial" w:hAnsi="Arial" w:cs="Arial"/>
          <w:sz w:val="24"/>
          <w:szCs w:val="24"/>
        </w:rPr>
        <w:t xml:space="preserve"> and made </w:t>
      </w:r>
      <w:r w:rsidR="008029F3">
        <w:rPr>
          <w:rFonts w:ascii="Arial" w:hAnsi="Arial" w:cs="Arial"/>
          <w:sz w:val="24"/>
          <w:szCs w:val="24"/>
        </w:rPr>
        <w:t>several</w:t>
      </w:r>
      <w:r w:rsidR="00B76F62">
        <w:rPr>
          <w:rFonts w:ascii="Arial" w:hAnsi="Arial" w:cs="Arial"/>
          <w:sz w:val="24"/>
          <w:szCs w:val="24"/>
        </w:rPr>
        <w:t xml:space="preserve"> adjustments and</w:t>
      </w:r>
      <w:r w:rsidR="008029F3">
        <w:rPr>
          <w:rFonts w:ascii="Arial" w:hAnsi="Arial" w:cs="Arial"/>
          <w:sz w:val="24"/>
          <w:szCs w:val="24"/>
        </w:rPr>
        <w:t xml:space="preserve"> recommendations</w:t>
      </w:r>
      <w:r w:rsidR="00AB1962">
        <w:rPr>
          <w:rFonts w:ascii="Arial" w:hAnsi="Arial" w:cs="Arial"/>
          <w:sz w:val="24"/>
          <w:szCs w:val="24"/>
        </w:rPr>
        <w:t>.</w:t>
      </w:r>
      <w:r w:rsidR="00932864">
        <w:rPr>
          <w:rFonts w:ascii="Arial" w:hAnsi="Arial" w:cs="Arial"/>
          <w:sz w:val="24"/>
          <w:szCs w:val="24"/>
        </w:rPr>
        <w:t xml:space="preserve">  Commission Staff </w:t>
      </w:r>
      <w:r w:rsidR="009C71DF">
        <w:rPr>
          <w:rFonts w:ascii="Arial" w:hAnsi="Arial" w:cs="Arial"/>
          <w:sz w:val="24"/>
          <w:szCs w:val="24"/>
        </w:rPr>
        <w:t xml:space="preserve">adopted the </w:t>
      </w:r>
      <w:r w:rsidR="009846C8">
        <w:rPr>
          <w:rFonts w:ascii="Arial" w:hAnsi="Arial" w:cs="Arial"/>
          <w:sz w:val="24"/>
          <w:szCs w:val="24"/>
        </w:rPr>
        <w:t>adjustments and recommendations contained in that audit report in its entirety.</w:t>
      </w:r>
      <w:r w:rsidR="009846C8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162B11">
        <w:rPr>
          <w:rFonts w:ascii="Arial" w:hAnsi="Arial" w:cs="Arial"/>
          <w:sz w:val="24"/>
          <w:szCs w:val="24"/>
        </w:rPr>
        <w:t xml:space="preserve">  </w:t>
      </w:r>
    </w:p>
    <w:p w14:paraId="7F799CCD" w14:textId="7D4A054F" w:rsidR="004B39DA" w:rsidRDefault="00CB407D" w:rsidP="001D3E30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C6DC5">
        <w:rPr>
          <w:rFonts w:ascii="Arial" w:hAnsi="Arial" w:cs="Arial"/>
          <w:sz w:val="24"/>
          <w:szCs w:val="24"/>
        </w:rPr>
        <w:t>audit report</w:t>
      </w:r>
      <w:r w:rsidR="00F109D7">
        <w:rPr>
          <w:rFonts w:ascii="Arial" w:hAnsi="Arial" w:cs="Arial"/>
          <w:sz w:val="24"/>
          <w:szCs w:val="24"/>
        </w:rPr>
        <w:t xml:space="preserve"> note</w:t>
      </w:r>
      <w:r w:rsidR="0052297D">
        <w:rPr>
          <w:rFonts w:ascii="Arial" w:hAnsi="Arial" w:cs="Arial"/>
          <w:sz w:val="24"/>
          <w:szCs w:val="24"/>
        </w:rPr>
        <w:t xml:space="preserve">d </w:t>
      </w:r>
      <w:r w:rsidR="00F109D7">
        <w:rPr>
          <w:rFonts w:ascii="Arial" w:hAnsi="Arial" w:cs="Arial"/>
          <w:sz w:val="24"/>
          <w:szCs w:val="24"/>
        </w:rPr>
        <w:t>that</w:t>
      </w:r>
      <w:r w:rsidR="0003496F">
        <w:rPr>
          <w:rFonts w:ascii="Arial" w:hAnsi="Arial" w:cs="Arial"/>
          <w:sz w:val="24"/>
          <w:szCs w:val="24"/>
        </w:rPr>
        <w:t xml:space="preserve"> </w:t>
      </w:r>
      <w:r w:rsidR="002C7942">
        <w:rPr>
          <w:rFonts w:ascii="Arial" w:hAnsi="Arial" w:cs="Arial"/>
          <w:sz w:val="24"/>
          <w:szCs w:val="24"/>
        </w:rPr>
        <w:t xml:space="preserve">despite recommendations from </w:t>
      </w:r>
      <w:r w:rsidR="00DC6DC5">
        <w:rPr>
          <w:rFonts w:ascii="Arial" w:hAnsi="Arial" w:cs="Arial"/>
          <w:sz w:val="24"/>
          <w:szCs w:val="24"/>
        </w:rPr>
        <w:t xml:space="preserve">the auditor and Staff to remove </w:t>
      </w:r>
      <w:r w:rsidR="00C86705">
        <w:rPr>
          <w:rFonts w:ascii="Arial" w:hAnsi="Arial" w:cs="Arial"/>
          <w:sz w:val="24"/>
          <w:szCs w:val="24"/>
        </w:rPr>
        <w:t xml:space="preserve">financial incentives from Duke’s CEP in </w:t>
      </w:r>
      <w:r w:rsidR="003774A2">
        <w:rPr>
          <w:rFonts w:ascii="Arial" w:hAnsi="Arial" w:cs="Arial"/>
          <w:sz w:val="24"/>
          <w:szCs w:val="24"/>
        </w:rPr>
        <w:t>Case No. 19-791-GA-ALT</w:t>
      </w:r>
      <w:r w:rsidR="00C86705">
        <w:rPr>
          <w:rFonts w:ascii="Arial" w:hAnsi="Arial" w:cs="Arial"/>
          <w:sz w:val="24"/>
          <w:szCs w:val="24"/>
        </w:rPr>
        <w:t xml:space="preserve">, </w:t>
      </w:r>
      <w:r w:rsidR="0003496F">
        <w:rPr>
          <w:rFonts w:ascii="Arial" w:hAnsi="Arial" w:cs="Arial"/>
          <w:sz w:val="24"/>
          <w:szCs w:val="24"/>
        </w:rPr>
        <w:t xml:space="preserve">the </w:t>
      </w:r>
      <w:r w:rsidR="0003496F">
        <w:rPr>
          <w:rFonts w:ascii="Arial" w:hAnsi="Arial" w:cs="Arial"/>
          <w:sz w:val="24"/>
          <w:szCs w:val="24"/>
        </w:rPr>
        <w:lastRenderedPageBreak/>
        <w:t>Commission approved a Stipulation and Recommendation</w:t>
      </w:r>
      <w:r w:rsidR="00C34880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4D5587">
        <w:rPr>
          <w:rFonts w:ascii="Arial" w:hAnsi="Arial" w:cs="Arial"/>
          <w:sz w:val="24"/>
          <w:szCs w:val="24"/>
        </w:rPr>
        <w:t xml:space="preserve"> </w:t>
      </w:r>
      <w:r w:rsidR="0095799C">
        <w:rPr>
          <w:rFonts w:ascii="Arial" w:hAnsi="Arial" w:cs="Arial"/>
          <w:sz w:val="24"/>
          <w:szCs w:val="24"/>
        </w:rPr>
        <w:t xml:space="preserve">that authorized </w:t>
      </w:r>
      <w:r w:rsidR="00D16D46">
        <w:rPr>
          <w:rFonts w:ascii="Arial" w:hAnsi="Arial" w:cs="Arial"/>
          <w:sz w:val="24"/>
          <w:szCs w:val="24"/>
        </w:rPr>
        <w:t>Duke</w:t>
      </w:r>
      <w:r w:rsidR="009A5021">
        <w:rPr>
          <w:rFonts w:ascii="Arial" w:hAnsi="Arial" w:cs="Arial"/>
          <w:sz w:val="24"/>
          <w:szCs w:val="24"/>
        </w:rPr>
        <w:t xml:space="preserve"> to capitalize incentive pay</w:t>
      </w:r>
      <w:r w:rsidR="00DD3283">
        <w:rPr>
          <w:rFonts w:ascii="Arial" w:hAnsi="Arial" w:cs="Arial"/>
          <w:sz w:val="24"/>
          <w:szCs w:val="24"/>
        </w:rPr>
        <w:t xml:space="preserve"> using</w:t>
      </w:r>
      <w:r w:rsidR="009A5021">
        <w:rPr>
          <w:rFonts w:ascii="Arial" w:hAnsi="Arial" w:cs="Arial"/>
          <w:sz w:val="24"/>
          <w:szCs w:val="24"/>
        </w:rPr>
        <w:t xml:space="preserve"> its existing accounting policies and procedures</w:t>
      </w:r>
      <w:r w:rsidR="00434B41">
        <w:rPr>
          <w:rFonts w:ascii="Arial" w:hAnsi="Arial" w:cs="Arial"/>
          <w:sz w:val="24"/>
          <w:szCs w:val="24"/>
        </w:rPr>
        <w:t>.</w:t>
      </w:r>
      <w:r w:rsidR="00887677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3774A2">
        <w:rPr>
          <w:rFonts w:ascii="Arial" w:hAnsi="Arial" w:cs="Arial"/>
          <w:sz w:val="24"/>
          <w:szCs w:val="24"/>
        </w:rPr>
        <w:t xml:space="preserve">  </w:t>
      </w:r>
      <w:r w:rsidR="00827A40">
        <w:rPr>
          <w:rFonts w:ascii="Arial" w:hAnsi="Arial" w:cs="Arial"/>
          <w:sz w:val="24"/>
          <w:szCs w:val="24"/>
        </w:rPr>
        <w:t>Due to the</w:t>
      </w:r>
      <w:r w:rsidR="004D5587">
        <w:rPr>
          <w:rFonts w:ascii="Arial" w:hAnsi="Arial" w:cs="Arial"/>
          <w:sz w:val="24"/>
          <w:szCs w:val="24"/>
        </w:rPr>
        <w:t xml:space="preserve"> Commission’s ruling in that case,</w:t>
      </w:r>
      <w:r w:rsidR="004B39DA">
        <w:rPr>
          <w:rFonts w:ascii="Arial" w:hAnsi="Arial" w:cs="Arial"/>
          <w:sz w:val="24"/>
          <w:szCs w:val="24"/>
        </w:rPr>
        <w:t xml:space="preserve"> the auditor</w:t>
      </w:r>
      <w:r w:rsidR="00071F65">
        <w:rPr>
          <w:rFonts w:ascii="Arial" w:hAnsi="Arial" w:cs="Arial"/>
          <w:sz w:val="24"/>
          <w:szCs w:val="24"/>
        </w:rPr>
        <w:t xml:space="preserve"> </w:t>
      </w:r>
      <w:r w:rsidR="005F1E79">
        <w:rPr>
          <w:rFonts w:ascii="Arial" w:hAnsi="Arial" w:cs="Arial"/>
          <w:sz w:val="24"/>
          <w:szCs w:val="24"/>
        </w:rPr>
        <w:t>indicated</w:t>
      </w:r>
      <w:r w:rsidR="00071F65">
        <w:rPr>
          <w:rFonts w:ascii="Arial" w:hAnsi="Arial" w:cs="Arial"/>
          <w:sz w:val="24"/>
          <w:szCs w:val="24"/>
        </w:rPr>
        <w:t xml:space="preserve"> that it</w:t>
      </w:r>
      <w:r w:rsidR="004B39DA">
        <w:rPr>
          <w:rFonts w:ascii="Arial" w:hAnsi="Arial" w:cs="Arial"/>
          <w:sz w:val="24"/>
          <w:szCs w:val="24"/>
        </w:rPr>
        <w:t xml:space="preserve"> </w:t>
      </w:r>
      <w:r w:rsidR="00C36B2A">
        <w:rPr>
          <w:rFonts w:ascii="Arial" w:hAnsi="Arial" w:cs="Arial"/>
          <w:sz w:val="24"/>
          <w:szCs w:val="24"/>
        </w:rPr>
        <w:t>limited its review</w:t>
      </w:r>
      <w:r w:rsidR="00071F65">
        <w:rPr>
          <w:rFonts w:ascii="Arial" w:hAnsi="Arial" w:cs="Arial"/>
          <w:sz w:val="24"/>
          <w:szCs w:val="24"/>
        </w:rPr>
        <w:t xml:space="preserve"> </w:t>
      </w:r>
      <w:r w:rsidR="00827A40">
        <w:rPr>
          <w:rFonts w:ascii="Arial" w:hAnsi="Arial" w:cs="Arial"/>
          <w:sz w:val="24"/>
          <w:szCs w:val="24"/>
        </w:rPr>
        <w:t>to</w:t>
      </w:r>
      <w:r w:rsidR="004F5E6F">
        <w:rPr>
          <w:rFonts w:ascii="Arial" w:hAnsi="Arial" w:cs="Arial"/>
          <w:sz w:val="24"/>
          <w:szCs w:val="24"/>
        </w:rPr>
        <w:t xml:space="preserve"> the </w:t>
      </w:r>
      <w:r w:rsidR="00EB1538">
        <w:rPr>
          <w:rFonts w:ascii="Arial" w:hAnsi="Arial" w:cs="Arial"/>
          <w:sz w:val="24"/>
          <w:szCs w:val="24"/>
        </w:rPr>
        <w:t xml:space="preserve">amount of incentive pay included </w:t>
      </w:r>
      <w:r w:rsidR="0076548A">
        <w:rPr>
          <w:rFonts w:ascii="Arial" w:hAnsi="Arial" w:cs="Arial"/>
          <w:sz w:val="24"/>
          <w:szCs w:val="24"/>
        </w:rPr>
        <w:t xml:space="preserve">in Duke’s application </w:t>
      </w:r>
      <w:r w:rsidR="0065532A">
        <w:rPr>
          <w:rFonts w:ascii="Arial" w:hAnsi="Arial" w:cs="Arial"/>
          <w:sz w:val="24"/>
          <w:szCs w:val="24"/>
        </w:rPr>
        <w:t xml:space="preserve">to ensure that it is consistent with </w:t>
      </w:r>
      <w:r w:rsidR="0031399C">
        <w:rPr>
          <w:rFonts w:ascii="Arial" w:hAnsi="Arial" w:cs="Arial"/>
          <w:sz w:val="24"/>
          <w:szCs w:val="24"/>
        </w:rPr>
        <w:t xml:space="preserve">what was </w:t>
      </w:r>
      <w:r w:rsidR="006941C6">
        <w:rPr>
          <w:rFonts w:ascii="Arial" w:hAnsi="Arial" w:cs="Arial"/>
          <w:sz w:val="24"/>
          <w:szCs w:val="24"/>
        </w:rPr>
        <w:t>authorized</w:t>
      </w:r>
      <w:r w:rsidR="0031399C">
        <w:rPr>
          <w:rFonts w:ascii="Arial" w:hAnsi="Arial" w:cs="Arial"/>
          <w:sz w:val="24"/>
          <w:szCs w:val="24"/>
        </w:rPr>
        <w:t xml:space="preserve"> under the Stipulation.</w:t>
      </w:r>
      <w:r w:rsidR="002A3E94"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="001026DC">
        <w:rPr>
          <w:rFonts w:ascii="Arial" w:hAnsi="Arial" w:cs="Arial"/>
          <w:sz w:val="24"/>
          <w:szCs w:val="24"/>
        </w:rPr>
        <w:t xml:space="preserve">  In other words, an evaluation of whether Duke should be entitled to recover </w:t>
      </w:r>
      <w:r w:rsidR="006A6F03">
        <w:rPr>
          <w:rFonts w:ascii="Arial" w:hAnsi="Arial" w:cs="Arial"/>
          <w:sz w:val="24"/>
          <w:szCs w:val="24"/>
        </w:rPr>
        <w:t xml:space="preserve">any </w:t>
      </w:r>
      <w:r w:rsidR="00D411FA">
        <w:rPr>
          <w:rFonts w:ascii="Arial" w:hAnsi="Arial" w:cs="Arial"/>
          <w:sz w:val="24"/>
          <w:szCs w:val="24"/>
        </w:rPr>
        <w:t>incentive pay compensatio</w:t>
      </w:r>
      <w:r w:rsidR="00805509">
        <w:rPr>
          <w:rFonts w:ascii="Arial" w:hAnsi="Arial" w:cs="Arial"/>
          <w:sz w:val="24"/>
          <w:szCs w:val="24"/>
        </w:rPr>
        <w:t>n</w:t>
      </w:r>
      <w:r w:rsidR="006A6F03">
        <w:rPr>
          <w:rFonts w:ascii="Arial" w:hAnsi="Arial" w:cs="Arial"/>
          <w:sz w:val="24"/>
          <w:szCs w:val="24"/>
        </w:rPr>
        <w:t xml:space="preserve"> was not performed</w:t>
      </w:r>
      <w:r w:rsidR="00D411FA">
        <w:rPr>
          <w:rFonts w:ascii="Arial" w:hAnsi="Arial" w:cs="Arial"/>
          <w:sz w:val="24"/>
          <w:szCs w:val="24"/>
        </w:rPr>
        <w:t>.</w:t>
      </w:r>
    </w:p>
    <w:p w14:paraId="18951A01" w14:textId="3632C6EF" w:rsidR="00011BF7" w:rsidRDefault="006A6F03" w:rsidP="001D3E30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Nevertheless, t</w:t>
      </w:r>
      <w:r w:rsidR="00586688">
        <w:rPr>
          <w:rFonts w:ascii="Arial" w:hAnsi="Arial" w:cs="Arial"/>
          <w:sz w:val="24"/>
          <w:szCs w:val="24"/>
        </w:rPr>
        <w:t xml:space="preserve">he auditor </w:t>
      </w:r>
      <w:r w:rsidR="00B05D13">
        <w:rPr>
          <w:rFonts w:ascii="Arial" w:hAnsi="Arial" w:cs="Arial"/>
          <w:sz w:val="24"/>
          <w:szCs w:val="24"/>
        </w:rPr>
        <w:t xml:space="preserve">identified two </w:t>
      </w:r>
      <w:r w:rsidR="0008003D">
        <w:rPr>
          <w:rFonts w:ascii="Arial" w:hAnsi="Arial" w:cs="Arial"/>
          <w:sz w:val="24"/>
          <w:szCs w:val="24"/>
        </w:rPr>
        <w:t xml:space="preserve">anomalies: (1) </w:t>
      </w:r>
      <w:r w:rsidR="00292126">
        <w:rPr>
          <w:rFonts w:ascii="Arial" w:hAnsi="Arial" w:cs="Arial"/>
          <w:sz w:val="24"/>
          <w:szCs w:val="24"/>
        </w:rPr>
        <w:t xml:space="preserve">Duke increased </w:t>
      </w:r>
      <w:r w:rsidR="0008003D">
        <w:rPr>
          <w:rFonts w:ascii="Arial" w:hAnsi="Arial" w:cs="Arial"/>
          <w:sz w:val="24"/>
          <w:szCs w:val="24"/>
        </w:rPr>
        <w:t>the</w:t>
      </w:r>
      <w:r w:rsidR="002A72B2">
        <w:rPr>
          <w:rFonts w:ascii="Arial" w:hAnsi="Arial" w:cs="Arial"/>
          <w:sz w:val="24"/>
          <w:szCs w:val="24"/>
        </w:rPr>
        <w:t xml:space="preserve"> percentage related to earnings for the allocated incentives </w:t>
      </w:r>
      <w:r w:rsidR="00CA53D3">
        <w:rPr>
          <w:rFonts w:ascii="Arial" w:hAnsi="Arial" w:cs="Arial"/>
          <w:sz w:val="24"/>
          <w:szCs w:val="24"/>
        </w:rPr>
        <w:t xml:space="preserve">by approximately 10% </w:t>
      </w:r>
      <w:r w:rsidR="005B32B9">
        <w:rPr>
          <w:rFonts w:ascii="Arial" w:hAnsi="Arial" w:cs="Arial"/>
          <w:sz w:val="24"/>
          <w:szCs w:val="24"/>
        </w:rPr>
        <w:t>since the last audit was performed</w:t>
      </w:r>
      <w:r w:rsidR="001D543A">
        <w:rPr>
          <w:rFonts w:ascii="Arial" w:hAnsi="Arial" w:cs="Arial"/>
          <w:sz w:val="24"/>
          <w:szCs w:val="24"/>
        </w:rPr>
        <w:t>; and (2)</w:t>
      </w:r>
      <w:r w:rsidR="005B32B9">
        <w:rPr>
          <w:rFonts w:ascii="Arial" w:hAnsi="Arial" w:cs="Arial"/>
          <w:sz w:val="24"/>
          <w:szCs w:val="24"/>
        </w:rPr>
        <w:t xml:space="preserve"> </w:t>
      </w:r>
      <w:r w:rsidR="00125A7C">
        <w:rPr>
          <w:rFonts w:ascii="Arial" w:hAnsi="Arial" w:cs="Arial"/>
          <w:sz w:val="24"/>
          <w:szCs w:val="24"/>
        </w:rPr>
        <w:t xml:space="preserve">the incentive compensation </w:t>
      </w:r>
      <w:r w:rsidR="00A05995">
        <w:rPr>
          <w:rFonts w:ascii="Arial" w:hAnsi="Arial" w:cs="Arial"/>
          <w:sz w:val="24"/>
          <w:szCs w:val="24"/>
        </w:rPr>
        <w:t>that Duke allocated to capital spiked in 2019.</w:t>
      </w:r>
      <w:r w:rsidR="007630FF">
        <w:rPr>
          <w:rStyle w:val="FootnoteReference"/>
          <w:rFonts w:ascii="Arial" w:hAnsi="Arial" w:cs="Arial"/>
          <w:sz w:val="24"/>
          <w:szCs w:val="24"/>
        </w:rPr>
        <w:footnoteReference w:id="9"/>
      </w:r>
      <w:r w:rsidR="00A05995">
        <w:rPr>
          <w:rFonts w:ascii="Arial" w:hAnsi="Arial" w:cs="Arial"/>
          <w:sz w:val="24"/>
          <w:szCs w:val="24"/>
        </w:rPr>
        <w:t xml:space="preserve">  For those reasons, the auditor recommended </w:t>
      </w:r>
      <w:r w:rsidR="00E43808">
        <w:rPr>
          <w:rFonts w:ascii="Arial" w:hAnsi="Arial" w:cs="Arial"/>
          <w:sz w:val="24"/>
          <w:szCs w:val="24"/>
        </w:rPr>
        <w:t>that the capitalization and recovery of stock-based and earnings-related incentive compensation “should be monitored</w:t>
      </w:r>
      <w:r w:rsidR="0021336A">
        <w:rPr>
          <w:rFonts w:ascii="Arial" w:hAnsi="Arial" w:cs="Arial"/>
          <w:sz w:val="24"/>
          <w:szCs w:val="24"/>
        </w:rPr>
        <w:t xml:space="preserve"> to ensure the amount does not significantly increase.”</w:t>
      </w:r>
      <w:r w:rsidR="0021336A">
        <w:rPr>
          <w:rStyle w:val="FootnoteReference"/>
          <w:rFonts w:ascii="Arial" w:hAnsi="Arial" w:cs="Arial"/>
          <w:sz w:val="24"/>
          <w:szCs w:val="24"/>
        </w:rPr>
        <w:footnoteReference w:id="10"/>
      </w:r>
      <w:r w:rsidR="00511FBB">
        <w:rPr>
          <w:rFonts w:ascii="Arial" w:hAnsi="Arial" w:cs="Arial"/>
          <w:sz w:val="24"/>
          <w:szCs w:val="24"/>
        </w:rPr>
        <w:t xml:space="preserve">  No additional </w:t>
      </w:r>
      <w:r w:rsidR="002A3E94">
        <w:rPr>
          <w:rFonts w:ascii="Arial" w:hAnsi="Arial" w:cs="Arial"/>
          <w:sz w:val="24"/>
          <w:szCs w:val="24"/>
        </w:rPr>
        <w:t>adjustments</w:t>
      </w:r>
      <w:r w:rsidR="00511FBB">
        <w:rPr>
          <w:rFonts w:ascii="Arial" w:hAnsi="Arial" w:cs="Arial"/>
          <w:sz w:val="24"/>
          <w:szCs w:val="24"/>
        </w:rPr>
        <w:t xml:space="preserve"> or </w:t>
      </w:r>
      <w:r w:rsidR="002A3E94">
        <w:rPr>
          <w:rFonts w:ascii="Arial" w:hAnsi="Arial" w:cs="Arial"/>
          <w:sz w:val="24"/>
          <w:szCs w:val="24"/>
        </w:rPr>
        <w:t>recommendations</w:t>
      </w:r>
      <w:r w:rsidR="00511FBB">
        <w:rPr>
          <w:rFonts w:ascii="Arial" w:hAnsi="Arial" w:cs="Arial"/>
          <w:sz w:val="24"/>
          <w:szCs w:val="24"/>
        </w:rPr>
        <w:t xml:space="preserve"> were provided.</w:t>
      </w:r>
    </w:p>
    <w:p w14:paraId="2C47D97F" w14:textId="0AE81D71" w:rsidR="00197E35" w:rsidRDefault="00197E35" w:rsidP="00197E3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</w:t>
      </w:r>
    </w:p>
    <w:p w14:paraId="05BE1C78" w14:textId="0FF6071E" w:rsidR="00197E35" w:rsidRDefault="00197E35" w:rsidP="001E4B2D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audit report </w:t>
      </w:r>
      <w:r w:rsidR="001C581C">
        <w:rPr>
          <w:rFonts w:ascii="Arial" w:hAnsi="Arial" w:cs="Arial"/>
          <w:bCs/>
          <w:sz w:val="24"/>
          <w:szCs w:val="24"/>
        </w:rPr>
        <w:t>mistakenly assumes</w:t>
      </w:r>
      <w:r>
        <w:rPr>
          <w:rFonts w:ascii="Arial" w:hAnsi="Arial" w:cs="Arial"/>
          <w:bCs/>
          <w:sz w:val="24"/>
          <w:szCs w:val="24"/>
        </w:rPr>
        <w:t xml:space="preserve"> that </w:t>
      </w:r>
      <w:r w:rsidR="00F86818">
        <w:rPr>
          <w:rFonts w:ascii="Arial" w:hAnsi="Arial" w:cs="Arial"/>
          <w:bCs/>
          <w:sz w:val="24"/>
          <w:szCs w:val="24"/>
        </w:rPr>
        <w:t>Duke’s</w:t>
      </w:r>
      <w:r w:rsidR="00AE3313">
        <w:rPr>
          <w:rFonts w:ascii="Arial" w:hAnsi="Arial" w:cs="Arial"/>
          <w:bCs/>
          <w:sz w:val="24"/>
          <w:szCs w:val="24"/>
        </w:rPr>
        <w:t xml:space="preserve"> CEP application</w:t>
      </w:r>
      <w:r w:rsidR="00F86818">
        <w:rPr>
          <w:rFonts w:ascii="Arial" w:hAnsi="Arial" w:cs="Arial"/>
          <w:bCs/>
          <w:sz w:val="24"/>
          <w:szCs w:val="24"/>
        </w:rPr>
        <w:t xml:space="preserve"> must be reviewed </w:t>
      </w:r>
      <w:r w:rsidR="001C581C">
        <w:rPr>
          <w:rFonts w:ascii="Arial" w:hAnsi="Arial" w:cs="Arial"/>
          <w:bCs/>
          <w:sz w:val="24"/>
          <w:szCs w:val="24"/>
        </w:rPr>
        <w:t xml:space="preserve">in </w:t>
      </w:r>
      <w:r w:rsidR="00C80DD7">
        <w:rPr>
          <w:rFonts w:ascii="Arial" w:hAnsi="Arial" w:cs="Arial"/>
          <w:bCs/>
          <w:sz w:val="24"/>
          <w:szCs w:val="24"/>
        </w:rPr>
        <w:t>connection</w:t>
      </w:r>
      <w:r w:rsidR="00AD3312">
        <w:rPr>
          <w:rFonts w:ascii="Arial" w:hAnsi="Arial" w:cs="Arial"/>
          <w:bCs/>
          <w:sz w:val="24"/>
          <w:szCs w:val="24"/>
        </w:rPr>
        <w:t xml:space="preserve"> with</w:t>
      </w:r>
      <w:r w:rsidR="00F86818">
        <w:rPr>
          <w:rFonts w:ascii="Arial" w:hAnsi="Arial" w:cs="Arial"/>
          <w:bCs/>
          <w:sz w:val="24"/>
          <w:szCs w:val="24"/>
        </w:rPr>
        <w:t xml:space="preserve"> the Stipulation </w:t>
      </w:r>
      <w:r w:rsidR="00F27AB0">
        <w:rPr>
          <w:rFonts w:ascii="Arial" w:hAnsi="Arial" w:cs="Arial"/>
          <w:bCs/>
          <w:sz w:val="24"/>
          <w:szCs w:val="24"/>
        </w:rPr>
        <w:t>filed in Case No.</w:t>
      </w:r>
      <w:r w:rsidR="00F27AB0" w:rsidRPr="00F27AB0">
        <w:rPr>
          <w:rFonts w:ascii="Arial" w:hAnsi="Arial" w:cs="Arial"/>
          <w:sz w:val="24"/>
          <w:szCs w:val="24"/>
        </w:rPr>
        <w:t xml:space="preserve"> </w:t>
      </w:r>
      <w:r w:rsidR="00F27AB0">
        <w:rPr>
          <w:rFonts w:ascii="Arial" w:hAnsi="Arial" w:cs="Arial"/>
          <w:sz w:val="24"/>
          <w:szCs w:val="24"/>
        </w:rPr>
        <w:t>19-791-GA-ALT</w:t>
      </w:r>
      <w:r w:rsidR="00F27AB0">
        <w:rPr>
          <w:rFonts w:ascii="Arial" w:hAnsi="Arial" w:cs="Arial"/>
          <w:sz w:val="24"/>
          <w:szCs w:val="24"/>
        </w:rPr>
        <w:t>.</w:t>
      </w:r>
      <w:r w:rsidR="00161AE0">
        <w:rPr>
          <w:rFonts w:ascii="Arial" w:hAnsi="Arial" w:cs="Arial"/>
          <w:sz w:val="24"/>
          <w:szCs w:val="24"/>
        </w:rPr>
        <w:t xml:space="preserve">  By its own terms, the Stipulation </w:t>
      </w:r>
      <w:r w:rsidR="001D2331">
        <w:rPr>
          <w:rFonts w:ascii="Arial" w:hAnsi="Arial" w:cs="Arial"/>
          <w:sz w:val="24"/>
          <w:szCs w:val="24"/>
        </w:rPr>
        <w:t xml:space="preserve">was submitted for purposes of resolving Case No. </w:t>
      </w:r>
      <w:r w:rsidR="001D2331">
        <w:rPr>
          <w:rFonts w:ascii="Arial" w:hAnsi="Arial" w:cs="Arial"/>
          <w:sz w:val="24"/>
          <w:szCs w:val="24"/>
        </w:rPr>
        <w:t>19-791-GA-ALT</w:t>
      </w:r>
      <w:r w:rsidR="001D2331">
        <w:rPr>
          <w:rFonts w:ascii="Arial" w:hAnsi="Arial" w:cs="Arial"/>
          <w:sz w:val="24"/>
          <w:szCs w:val="24"/>
        </w:rPr>
        <w:t xml:space="preserve"> </w:t>
      </w:r>
      <w:r w:rsidR="001D2331">
        <w:rPr>
          <w:rFonts w:ascii="Arial" w:hAnsi="Arial" w:cs="Arial"/>
          <w:sz w:val="24"/>
          <w:szCs w:val="24"/>
        </w:rPr>
        <w:lastRenderedPageBreak/>
        <w:t>only</w:t>
      </w:r>
      <w:r w:rsidR="00AE3313">
        <w:rPr>
          <w:rFonts w:ascii="Arial" w:hAnsi="Arial" w:cs="Arial"/>
          <w:sz w:val="24"/>
          <w:szCs w:val="24"/>
        </w:rPr>
        <w:t>.  The Stipulation also provides that its terms</w:t>
      </w:r>
      <w:r w:rsidR="00A76947">
        <w:rPr>
          <w:rFonts w:ascii="Arial" w:hAnsi="Arial" w:cs="Arial"/>
          <w:sz w:val="24"/>
          <w:szCs w:val="24"/>
        </w:rPr>
        <w:t xml:space="preserve"> </w:t>
      </w:r>
      <w:r w:rsidR="0045514C">
        <w:rPr>
          <w:rFonts w:ascii="Arial" w:hAnsi="Arial" w:cs="Arial"/>
          <w:sz w:val="24"/>
          <w:szCs w:val="24"/>
        </w:rPr>
        <w:t xml:space="preserve">shall </w:t>
      </w:r>
      <w:r w:rsidR="005F1710">
        <w:rPr>
          <w:rFonts w:ascii="Arial" w:hAnsi="Arial" w:cs="Arial"/>
          <w:sz w:val="24"/>
          <w:szCs w:val="24"/>
        </w:rPr>
        <w:t>not be cited as precedent in any future proceeding</w:t>
      </w:r>
      <w:r w:rsidR="001D2331">
        <w:rPr>
          <w:rFonts w:ascii="Arial" w:hAnsi="Arial" w:cs="Arial"/>
          <w:sz w:val="24"/>
          <w:szCs w:val="24"/>
        </w:rPr>
        <w:t>.</w:t>
      </w:r>
      <w:r w:rsidR="009B58BA">
        <w:rPr>
          <w:rStyle w:val="FootnoteReference"/>
          <w:rFonts w:ascii="Arial" w:hAnsi="Arial" w:cs="Arial"/>
          <w:sz w:val="24"/>
          <w:szCs w:val="24"/>
        </w:rPr>
        <w:footnoteReference w:id="11"/>
      </w:r>
      <w:r w:rsidR="001A7167">
        <w:rPr>
          <w:rFonts w:ascii="Arial" w:hAnsi="Arial" w:cs="Arial"/>
          <w:sz w:val="24"/>
          <w:szCs w:val="24"/>
        </w:rPr>
        <w:t xml:space="preserve">  </w:t>
      </w:r>
      <w:r w:rsidR="005742A8">
        <w:rPr>
          <w:rFonts w:ascii="Arial" w:hAnsi="Arial" w:cs="Arial"/>
          <w:sz w:val="24"/>
          <w:szCs w:val="24"/>
        </w:rPr>
        <w:t>Thus, a</w:t>
      </w:r>
      <w:r w:rsidR="006A0320">
        <w:rPr>
          <w:rFonts w:ascii="Arial" w:hAnsi="Arial" w:cs="Arial"/>
          <w:sz w:val="24"/>
          <w:szCs w:val="24"/>
        </w:rPr>
        <w:t>ny</w:t>
      </w:r>
      <w:r w:rsidR="00C430A0">
        <w:rPr>
          <w:rFonts w:ascii="Arial" w:hAnsi="Arial" w:cs="Arial"/>
          <w:sz w:val="24"/>
          <w:szCs w:val="24"/>
        </w:rPr>
        <w:t xml:space="preserve"> audit </w:t>
      </w:r>
      <w:r w:rsidR="00402BDD">
        <w:rPr>
          <w:rFonts w:ascii="Arial" w:hAnsi="Arial" w:cs="Arial"/>
          <w:sz w:val="24"/>
          <w:szCs w:val="24"/>
        </w:rPr>
        <w:t xml:space="preserve">or review </w:t>
      </w:r>
      <w:r w:rsidR="00C430A0">
        <w:rPr>
          <w:rFonts w:ascii="Arial" w:hAnsi="Arial" w:cs="Arial"/>
          <w:sz w:val="24"/>
          <w:szCs w:val="24"/>
        </w:rPr>
        <w:t>of Duke’s</w:t>
      </w:r>
      <w:r w:rsidR="00CF0EB0">
        <w:rPr>
          <w:rFonts w:ascii="Arial" w:hAnsi="Arial" w:cs="Arial"/>
          <w:sz w:val="24"/>
          <w:szCs w:val="24"/>
        </w:rPr>
        <w:t xml:space="preserve"> current</w:t>
      </w:r>
      <w:r w:rsidR="00C430A0">
        <w:rPr>
          <w:rFonts w:ascii="Arial" w:hAnsi="Arial" w:cs="Arial"/>
          <w:sz w:val="24"/>
          <w:szCs w:val="24"/>
        </w:rPr>
        <w:t xml:space="preserve"> application should </w:t>
      </w:r>
      <w:r w:rsidR="00A76947">
        <w:rPr>
          <w:rFonts w:ascii="Arial" w:hAnsi="Arial" w:cs="Arial"/>
          <w:sz w:val="24"/>
          <w:szCs w:val="24"/>
        </w:rPr>
        <w:t>have been</w:t>
      </w:r>
      <w:r w:rsidR="00C430A0">
        <w:rPr>
          <w:rFonts w:ascii="Arial" w:hAnsi="Arial" w:cs="Arial"/>
          <w:sz w:val="24"/>
          <w:szCs w:val="24"/>
        </w:rPr>
        <w:t xml:space="preserve"> performed indep</w:t>
      </w:r>
      <w:r w:rsidR="00796329">
        <w:rPr>
          <w:rFonts w:ascii="Arial" w:hAnsi="Arial" w:cs="Arial"/>
          <w:sz w:val="24"/>
          <w:szCs w:val="24"/>
        </w:rPr>
        <w:t xml:space="preserve">endent of the Stipulation Duke filed in the prior </w:t>
      </w:r>
      <w:r w:rsidR="001B0628">
        <w:rPr>
          <w:rFonts w:ascii="Arial" w:hAnsi="Arial" w:cs="Arial"/>
          <w:sz w:val="24"/>
          <w:szCs w:val="24"/>
        </w:rPr>
        <w:t>case</w:t>
      </w:r>
      <w:r w:rsidR="00B94BDB">
        <w:rPr>
          <w:rFonts w:ascii="Arial" w:hAnsi="Arial" w:cs="Arial"/>
          <w:sz w:val="24"/>
          <w:szCs w:val="24"/>
        </w:rPr>
        <w:t>.</w:t>
      </w:r>
      <w:r w:rsidR="005742A8">
        <w:rPr>
          <w:rFonts w:ascii="Arial" w:hAnsi="Arial" w:cs="Arial"/>
          <w:sz w:val="24"/>
          <w:szCs w:val="24"/>
        </w:rPr>
        <w:t xml:space="preserve">  That did not occur here.</w:t>
      </w:r>
    </w:p>
    <w:p w14:paraId="4AF7A2F4" w14:textId="7943E7F9" w:rsidR="00310D3E" w:rsidRDefault="005B20F7" w:rsidP="00E66A37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the auditor</w:t>
      </w:r>
      <w:r w:rsidR="00B305B9">
        <w:rPr>
          <w:rFonts w:ascii="Arial" w:hAnsi="Arial" w:cs="Arial"/>
          <w:sz w:val="24"/>
          <w:szCs w:val="24"/>
        </w:rPr>
        <w:t xml:space="preserve"> and/or Staff</w:t>
      </w:r>
      <w:r>
        <w:rPr>
          <w:rFonts w:ascii="Arial" w:hAnsi="Arial" w:cs="Arial"/>
          <w:sz w:val="24"/>
          <w:szCs w:val="24"/>
        </w:rPr>
        <w:t xml:space="preserve"> </w:t>
      </w:r>
      <w:r w:rsidR="00677863">
        <w:rPr>
          <w:rFonts w:ascii="Arial" w:hAnsi="Arial" w:cs="Arial"/>
          <w:sz w:val="24"/>
          <w:szCs w:val="24"/>
        </w:rPr>
        <w:t xml:space="preserve">reviewed Duke’s application </w:t>
      </w:r>
      <w:r w:rsidR="00B916D9">
        <w:rPr>
          <w:rFonts w:ascii="Arial" w:hAnsi="Arial" w:cs="Arial"/>
          <w:sz w:val="24"/>
          <w:szCs w:val="24"/>
        </w:rPr>
        <w:t>independently</w:t>
      </w:r>
      <w:r>
        <w:rPr>
          <w:rFonts w:ascii="Arial" w:hAnsi="Arial" w:cs="Arial"/>
          <w:sz w:val="24"/>
          <w:szCs w:val="24"/>
        </w:rPr>
        <w:t xml:space="preserve">, </w:t>
      </w:r>
      <w:r w:rsidR="00B305B9">
        <w:rPr>
          <w:rFonts w:ascii="Arial" w:hAnsi="Arial" w:cs="Arial"/>
          <w:sz w:val="24"/>
          <w:szCs w:val="24"/>
        </w:rPr>
        <w:t>either party</w:t>
      </w:r>
      <w:r w:rsidR="000766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likely would </w:t>
      </w:r>
      <w:r w:rsidR="00740020">
        <w:rPr>
          <w:rFonts w:ascii="Arial" w:hAnsi="Arial" w:cs="Arial"/>
          <w:sz w:val="24"/>
          <w:szCs w:val="24"/>
        </w:rPr>
        <w:t xml:space="preserve">have </w:t>
      </w:r>
      <w:r w:rsidR="00A14664">
        <w:rPr>
          <w:rFonts w:ascii="Arial" w:hAnsi="Arial" w:cs="Arial"/>
          <w:sz w:val="24"/>
          <w:szCs w:val="24"/>
        </w:rPr>
        <w:t>arrived at</w:t>
      </w:r>
      <w:r w:rsidR="00FD19E8">
        <w:rPr>
          <w:rFonts w:ascii="Arial" w:hAnsi="Arial" w:cs="Arial"/>
          <w:sz w:val="24"/>
          <w:szCs w:val="24"/>
        </w:rPr>
        <w:t xml:space="preserve"> the same conclusion it did in </w:t>
      </w:r>
      <w:r w:rsidR="00B800B3">
        <w:rPr>
          <w:rFonts w:ascii="Arial" w:hAnsi="Arial" w:cs="Arial"/>
          <w:sz w:val="24"/>
          <w:szCs w:val="24"/>
        </w:rPr>
        <w:t>in Case No. 19</w:t>
      </w:r>
      <w:r w:rsidR="00B800B3">
        <w:rPr>
          <w:rFonts w:ascii="Arial" w:hAnsi="Arial" w:cs="Arial"/>
          <w:sz w:val="24"/>
          <w:szCs w:val="24"/>
        </w:rPr>
        <w:t>-791-GA-ALT</w:t>
      </w:r>
      <w:r w:rsidR="00120D66">
        <w:rPr>
          <w:rFonts w:ascii="Arial" w:hAnsi="Arial" w:cs="Arial"/>
          <w:sz w:val="24"/>
          <w:szCs w:val="24"/>
        </w:rPr>
        <w:t xml:space="preserve">.  There, the auditor determined </w:t>
      </w:r>
      <w:r w:rsidR="00740020">
        <w:rPr>
          <w:rFonts w:ascii="Arial" w:hAnsi="Arial" w:cs="Arial"/>
          <w:sz w:val="24"/>
          <w:szCs w:val="24"/>
        </w:rPr>
        <w:t xml:space="preserve">that </w:t>
      </w:r>
      <w:r w:rsidR="00D8620E">
        <w:rPr>
          <w:rFonts w:ascii="Arial" w:hAnsi="Arial" w:cs="Arial"/>
          <w:sz w:val="24"/>
          <w:szCs w:val="24"/>
        </w:rPr>
        <w:t>Duke</w:t>
      </w:r>
      <w:r w:rsidR="001B420E">
        <w:rPr>
          <w:rFonts w:ascii="Arial" w:hAnsi="Arial" w:cs="Arial"/>
          <w:sz w:val="24"/>
          <w:szCs w:val="24"/>
        </w:rPr>
        <w:t xml:space="preserve"> should not permitted to </w:t>
      </w:r>
      <w:r w:rsidR="00D8620E">
        <w:rPr>
          <w:rFonts w:ascii="Arial" w:hAnsi="Arial" w:cs="Arial"/>
          <w:sz w:val="24"/>
          <w:szCs w:val="24"/>
        </w:rPr>
        <w:t>include</w:t>
      </w:r>
      <w:r w:rsidR="00BC36DE">
        <w:rPr>
          <w:rFonts w:ascii="Arial" w:hAnsi="Arial" w:cs="Arial"/>
          <w:sz w:val="24"/>
          <w:szCs w:val="24"/>
        </w:rPr>
        <w:t xml:space="preserve"> stock-based and earnings-related compensation</w:t>
      </w:r>
      <w:r w:rsidR="001B420E">
        <w:rPr>
          <w:rFonts w:ascii="Arial" w:hAnsi="Arial" w:cs="Arial"/>
          <w:sz w:val="24"/>
          <w:szCs w:val="24"/>
        </w:rPr>
        <w:t xml:space="preserve"> in its CEP, because </w:t>
      </w:r>
      <w:r w:rsidR="00C6541B">
        <w:rPr>
          <w:rFonts w:ascii="Arial" w:hAnsi="Arial" w:cs="Arial"/>
          <w:sz w:val="24"/>
          <w:szCs w:val="24"/>
        </w:rPr>
        <w:t xml:space="preserve">the expenses </w:t>
      </w:r>
      <w:r w:rsidR="00E03145">
        <w:rPr>
          <w:rFonts w:ascii="Arial" w:hAnsi="Arial" w:cs="Arial"/>
          <w:sz w:val="24"/>
          <w:szCs w:val="24"/>
        </w:rPr>
        <w:t>are intended</w:t>
      </w:r>
      <w:r w:rsidR="00BF7332">
        <w:rPr>
          <w:rFonts w:ascii="Arial" w:hAnsi="Arial" w:cs="Arial"/>
          <w:sz w:val="24"/>
          <w:szCs w:val="24"/>
        </w:rPr>
        <w:t xml:space="preserve"> </w:t>
      </w:r>
      <w:r w:rsidR="00C47D5E">
        <w:rPr>
          <w:rFonts w:ascii="Arial" w:hAnsi="Arial" w:cs="Arial"/>
          <w:sz w:val="24"/>
          <w:szCs w:val="24"/>
        </w:rPr>
        <w:t xml:space="preserve">to </w:t>
      </w:r>
      <w:r w:rsidR="00BF7332">
        <w:rPr>
          <w:rFonts w:ascii="Arial" w:hAnsi="Arial" w:cs="Arial"/>
          <w:sz w:val="24"/>
          <w:szCs w:val="24"/>
        </w:rPr>
        <w:t xml:space="preserve">improve </w:t>
      </w:r>
      <w:r w:rsidR="00521087">
        <w:rPr>
          <w:rFonts w:ascii="Arial" w:hAnsi="Arial" w:cs="Arial"/>
          <w:sz w:val="24"/>
          <w:szCs w:val="24"/>
        </w:rPr>
        <w:t>Duke’s</w:t>
      </w:r>
      <w:r w:rsidR="00BF7332">
        <w:rPr>
          <w:rFonts w:ascii="Arial" w:hAnsi="Arial" w:cs="Arial"/>
          <w:sz w:val="24"/>
          <w:szCs w:val="24"/>
        </w:rPr>
        <w:t xml:space="preserve"> financial </w:t>
      </w:r>
      <w:r w:rsidR="00E03145">
        <w:rPr>
          <w:rFonts w:ascii="Arial" w:hAnsi="Arial" w:cs="Arial"/>
          <w:sz w:val="24"/>
          <w:szCs w:val="24"/>
        </w:rPr>
        <w:t>results</w:t>
      </w:r>
      <w:r w:rsidR="00A83EFF">
        <w:rPr>
          <w:rFonts w:ascii="Arial" w:hAnsi="Arial" w:cs="Arial"/>
          <w:sz w:val="24"/>
          <w:szCs w:val="24"/>
        </w:rPr>
        <w:t xml:space="preserve"> for the benefit of </w:t>
      </w:r>
      <w:r w:rsidR="00E8306C">
        <w:rPr>
          <w:rFonts w:ascii="Arial" w:hAnsi="Arial" w:cs="Arial"/>
          <w:sz w:val="24"/>
          <w:szCs w:val="24"/>
        </w:rPr>
        <w:t xml:space="preserve">its </w:t>
      </w:r>
      <w:r w:rsidR="00A83EFF">
        <w:rPr>
          <w:rFonts w:ascii="Arial" w:hAnsi="Arial" w:cs="Arial"/>
          <w:sz w:val="24"/>
          <w:szCs w:val="24"/>
        </w:rPr>
        <w:t>shareholders</w:t>
      </w:r>
      <w:r w:rsidR="00BF0D4B">
        <w:rPr>
          <w:rFonts w:ascii="Arial" w:hAnsi="Arial" w:cs="Arial"/>
          <w:sz w:val="24"/>
          <w:szCs w:val="24"/>
        </w:rPr>
        <w:t>.</w:t>
      </w:r>
      <w:r w:rsidR="00C6541B">
        <w:rPr>
          <w:rStyle w:val="FootnoteReference"/>
          <w:rFonts w:ascii="Arial" w:hAnsi="Arial" w:cs="Arial"/>
          <w:sz w:val="24"/>
          <w:szCs w:val="24"/>
        </w:rPr>
        <w:footnoteReference w:id="12"/>
      </w:r>
      <w:r w:rsidR="00017393">
        <w:rPr>
          <w:rFonts w:ascii="Arial" w:hAnsi="Arial" w:cs="Arial"/>
          <w:sz w:val="24"/>
          <w:szCs w:val="24"/>
        </w:rPr>
        <w:t xml:space="preserve">  </w:t>
      </w:r>
      <w:r w:rsidR="00750BBB">
        <w:rPr>
          <w:rFonts w:ascii="Arial" w:hAnsi="Arial" w:cs="Arial"/>
          <w:sz w:val="24"/>
          <w:szCs w:val="24"/>
        </w:rPr>
        <w:t>Staff agreed.</w:t>
      </w:r>
      <w:r w:rsidR="006920CA">
        <w:rPr>
          <w:rStyle w:val="FootnoteReference"/>
          <w:rFonts w:ascii="Arial" w:hAnsi="Arial" w:cs="Arial"/>
          <w:sz w:val="24"/>
          <w:szCs w:val="24"/>
        </w:rPr>
        <w:footnoteReference w:id="13"/>
      </w:r>
      <w:r w:rsidR="00750BBB">
        <w:rPr>
          <w:rFonts w:ascii="Arial" w:hAnsi="Arial" w:cs="Arial"/>
          <w:sz w:val="24"/>
          <w:szCs w:val="24"/>
        </w:rPr>
        <w:t xml:space="preserve">  </w:t>
      </w:r>
      <w:r w:rsidR="00017393">
        <w:rPr>
          <w:rFonts w:ascii="Arial" w:hAnsi="Arial" w:cs="Arial"/>
          <w:sz w:val="24"/>
          <w:szCs w:val="24"/>
        </w:rPr>
        <w:t>The situation here is no different.</w:t>
      </w:r>
      <w:r w:rsidR="00116A24">
        <w:rPr>
          <w:rFonts w:ascii="Arial" w:hAnsi="Arial" w:cs="Arial"/>
          <w:sz w:val="24"/>
          <w:szCs w:val="24"/>
        </w:rPr>
        <w:t xml:space="preserve">  </w:t>
      </w:r>
      <w:r w:rsidR="00E8306C">
        <w:rPr>
          <w:rFonts w:ascii="Arial" w:hAnsi="Arial" w:cs="Arial"/>
          <w:sz w:val="24"/>
          <w:szCs w:val="24"/>
        </w:rPr>
        <w:t xml:space="preserve">Duke continues to seek </w:t>
      </w:r>
      <w:r w:rsidR="002B4336">
        <w:rPr>
          <w:rFonts w:ascii="Arial" w:hAnsi="Arial" w:cs="Arial"/>
          <w:sz w:val="24"/>
          <w:szCs w:val="24"/>
        </w:rPr>
        <w:t xml:space="preserve">to capitalize </w:t>
      </w:r>
      <w:r w:rsidR="00D35ABF">
        <w:rPr>
          <w:rFonts w:ascii="Arial" w:hAnsi="Arial" w:cs="Arial"/>
          <w:sz w:val="24"/>
          <w:szCs w:val="24"/>
        </w:rPr>
        <w:t>expenses related to incentive pay</w:t>
      </w:r>
      <w:r w:rsidR="009F125F">
        <w:rPr>
          <w:rFonts w:ascii="Arial" w:hAnsi="Arial" w:cs="Arial"/>
          <w:sz w:val="24"/>
          <w:szCs w:val="24"/>
        </w:rPr>
        <w:t xml:space="preserve"> that </w:t>
      </w:r>
      <w:r w:rsidR="00D35ABF">
        <w:rPr>
          <w:rFonts w:ascii="Arial" w:hAnsi="Arial" w:cs="Arial"/>
          <w:sz w:val="24"/>
          <w:szCs w:val="24"/>
        </w:rPr>
        <w:t xml:space="preserve">provide no direct benefit to ratepayers.  </w:t>
      </w:r>
    </w:p>
    <w:p w14:paraId="7E6078A5" w14:textId="6AE96433" w:rsidR="00197E35" w:rsidRDefault="00E66A37" w:rsidP="000E0E5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Moreover, longstanding Commission policy prohibits utilities from charging ratepayers for financial incentives. </w:t>
      </w:r>
      <w:r w:rsidR="00202D63">
        <w:rPr>
          <w:rFonts w:ascii="Arial" w:hAnsi="Arial" w:cs="Arial"/>
          <w:sz w:val="24"/>
          <w:szCs w:val="24"/>
        </w:rPr>
        <w:t>Although the Stipulation that the auditor</w:t>
      </w:r>
      <w:r w:rsidR="000E0E54">
        <w:rPr>
          <w:rFonts w:ascii="Arial" w:hAnsi="Arial" w:cs="Arial"/>
          <w:sz w:val="24"/>
          <w:szCs w:val="24"/>
        </w:rPr>
        <w:t xml:space="preserve"> mistakenly</w:t>
      </w:r>
      <w:r w:rsidR="00202D63">
        <w:rPr>
          <w:rFonts w:ascii="Arial" w:hAnsi="Arial" w:cs="Arial"/>
          <w:sz w:val="24"/>
          <w:szCs w:val="24"/>
        </w:rPr>
        <w:t xml:space="preserve"> relied on</w:t>
      </w:r>
      <w:r w:rsidR="00310D3E">
        <w:rPr>
          <w:rFonts w:ascii="Arial" w:hAnsi="Arial" w:cs="Arial"/>
          <w:sz w:val="24"/>
          <w:szCs w:val="24"/>
        </w:rPr>
        <w:t xml:space="preserve"> to guide its evaluation</w:t>
      </w:r>
      <w:r w:rsidR="00202D63">
        <w:rPr>
          <w:rFonts w:ascii="Arial" w:hAnsi="Arial" w:cs="Arial"/>
          <w:sz w:val="24"/>
          <w:szCs w:val="24"/>
        </w:rPr>
        <w:t xml:space="preserve"> represents a clear departure from </w:t>
      </w:r>
      <w:r w:rsidR="00C94F2B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at </w:t>
      </w:r>
      <w:r w:rsidR="00C94F2B">
        <w:rPr>
          <w:rFonts w:ascii="Arial" w:hAnsi="Arial" w:cs="Arial"/>
          <w:sz w:val="24"/>
          <w:szCs w:val="24"/>
        </w:rPr>
        <w:t xml:space="preserve">policy, the Commission has otherwise </w:t>
      </w:r>
      <w:r w:rsidR="00053E43">
        <w:rPr>
          <w:rFonts w:ascii="Arial" w:hAnsi="Arial" w:cs="Arial"/>
          <w:sz w:val="24"/>
          <w:szCs w:val="24"/>
        </w:rPr>
        <w:t xml:space="preserve">determined that </w:t>
      </w:r>
      <w:r w:rsidR="005408C1">
        <w:rPr>
          <w:rFonts w:ascii="Arial" w:hAnsi="Arial" w:cs="Arial"/>
          <w:sz w:val="24"/>
          <w:szCs w:val="24"/>
        </w:rPr>
        <w:t>“to the extent that a public utility awards financial incentives to its employees for achieving financial goals, shareholders are the primary beneficiary</w:t>
      </w:r>
      <w:r w:rsidR="00A75FE3">
        <w:rPr>
          <w:rFonts w:ascii="Arial" w:hAnsi="Arial" w:cs="Arial"/>
          <w:sz w:val="24"/>
          <w:szCs w:val="24"/>
        </w:rPr>
        <w:t xml:space="preserve"> and, therefore, that portion of the </w:t>
      </w:r>
      <w:r w:rsidR="00E1349B">
        <w:rPr>
          <w:rFonts w:ascii="Arial" w:hAnsi="Arial" w:cs="Arial"/>
          <w:sz w:val="24"/>
          <w:szCs w:val="24"/>
        </w:rPr>
        <w:t xml:space="preserve">incentive compensation should not </w:t>
      </w:r>
      <w:r w:rsidR="00E1349B">
        <w:rPr>
          <w:rFonts w:ascii="Arial" w:hAnsi="Arial" w:cs="Arial"/>
          <w:sz w:val="24"/>
          <w:szCs w:val="24"/>
        </w:rPr>
        <w:lastRenderedPageBreak/>
        <w:t>be recovered from ratepayers.”</w:t>
      </w:r>
      <w:r w:rsidR="009F74A3">
        <w:rPr>
          <w:rStyle w:val="FootnoteReference"/>
          <w:rFonts w:ascii="Arial" w:hAnsi="Arial" w:cs="Arial"/>
          <w:sz w:val="24"/>
          <w:szCs w:val="24"/>
        </w:rPr>
        <w:footnoteReference w:id="14"/>
      </w:r>
      <w:r w:rsidR="00B30F97">
        <w:rPr>
          <w:rFonts w:ascii="Arial" w:hAnsi="Arial" w:cs="Arial"/>
          <w:sz w:val="24"/>
          <w:szCs w:val="24"/>
        </w:rPr>
        <w:t xml:space="preserve">  </w:t>
      </w:r>
      <w:r w:rsidR="00DC3D86">
        <w:rPr>
          <w:rFonts w:ascii="Arial" w:hAnsi="Arial" w:cs="Arial"/>
          <w:sz w:val="24"/>
          <w:szCs w:val="24"/>
        </w:rPr>
        <w:t xml:space="preserve">Duke should not be entitled to reap the benefits of the auditor’s and Staff Report’s </w:t>
      </w:r>
      <w:r w:rsidR="0057025D">
        <w:rPr>
          <w:rFonts w:ascii="Arial" w:hAnsi="Arial" w:cs="Arial"/>
          <w:sz w:val="24"/>
          <w:szCs w:val="24"/>
        </w:rPr>
        <w:t xml:space="preserve">oversight by </w:t>
      </w:r>
      <w:r w:rsidR="00277563">
        <w:rPr>
          <w:rFonts w:ascii="Arial" w:hAnsi="Arial" w:cs="Arial"/>
          <w:sz w:val="24"/>
          <w:szCs w:val="24"/>
        </w:rPr>
        <w:t xml:space="preserve">charging Ohio ratepayers for incentive payments </w:t>
      </w:r>
      <w:r w:rsidR="0057025D">
        <w:rPr>
          <w:rFonts w:ascii="Arial" w:hAnsi="Arial" w:cs="Arial"/>
          <w:sz w:val="24"/>
          <w:szCs w:val="24"/>
        </w:rPr>
        <w:t xml:space="preserve"> </w:t>
      </w:r>
      <w:r w:rsidR="005649FF">
        <w:rPr>
          <w:rFonts w:ascii="Arial" w:hAnsi="Arial" w:cs="Arial"/>
          <w:sz w:val="24"/>
          <w:szCs w:val="24"/>
        </w:rPr>
        <w:t xml:space="preserve">that are potentially distributed </w:t>
      </w:r>
      <w:r w:rsidR="0057025D">
        <w:rPr>
          <w:rFonts w:ascii="Arial" w:hAnsi="Arial" w:cs="Arial"/>
          <w:sz w:val="24"/>
          <w:szCs w:val="24"/>
        </w:rPr>
        <w:t xml:space="preserve">to </w:t>
      </w:r>
      <w:r w:rsidR="00F564B8">
        <w:rPr>
          <w:rFonts w:ascii="Arial" w:hAnsi="Arial" w:cs="Arial"/>
          <w:sz w:val="24"/>
          <w:szCs w:val="24"/>
        </w:rPr>
        <w:t xml:space="preserve">out-of-state </w:t>
      </w:r>
      <w:r w:rsidR="0057025D">
        <w:rPr>
          <w:rFonts w:ascii="Arial" w:hAnsi="Arial" w:cs="Arial"/>
          <w:sz w:val="24"/>
          <w:szCs w:val="24"/>
        </w:rPr>
        <w:t>e</w:t>
      </w:r>
      <w:r w:rsidR="00416A9B">
        <w:rPr>
          <w:rFonts w:ascii="Arial" w:hAnsi="Arial" w:cs="Arial"/>
          <w:sz w:val="24"/>
          <w:szCs w:val="24"/>
        </w:rPr>
        <w:t>xecutives</w:t>
      </w:r>
      <w:r w:rsidR="00416A9B">
        <w:rPr>
          <w:rStyle w:val="FootnoteReference"/>
          <w:rFonts w:ascii="Arial" w:hAnsi="Arial" w:cs="Arial"/>
          <w:sz w:val="24"/>
          <w:szCs w:val="24"/>
        </w:rPr>
        <w:footnoteReference w:id="15"/>
      </w:r>
      <w:r w:rsidR="00416A9B">
        <w:rPr>
          <w:rFonts w:ascii="Arial" w:hAnsi="Arial" w:cs="Arial"/>
          <w:sz w:val="24"/>
          <w:szCs w:val="24"/>
        </w:rPr>
        <w:t xml:space="preserve"> and employees</w:t>
      </w:r>
      <w:r w:rsidR="00DC3D86">
        <w:rPr>
          <w:rFonts w:ascii="Arial" w:hAnsi="Arial" w:cs="Arial"/>
          <w:sz w:val="24"/>
          <w:szCs w:val="24"/>
        </w:rPr>
        <w:t xml:space="preserve">.  </w:t>
      </w:r>
      <w:r w:rsidR="00FF7AD5">
        <w:rPr>
          <w:rFonts w:ascii="Arial" w:hAnsi="Arial" w:cs="Arial"/>
          <w:bCs/>
          <w:sz w:val="24"/>
          <w:szCs w:val="24"/>
        </w:rPr>
        <w:t xml:space="preserve">Based on the foregoing, IGS </w:t>
      </w:r>
      <w:r w:rsidR="005A5333">
        <w:rPr>
          <w:rFonts w:ascii="Arial" w:hAnsi="Arial" w:cs="Arial"/>
          <w:sz w:val="24"/>
          <w:szCs w:val="24"/>
        </w:rPr>
        <w:t>object</w:t>
      </w:r>
      <w:r w:rsidR="005A5333">
        <w:rPr>
          <w:rFonts w:ascii="Arial" w:hAnsi="Arial" w:cs="Arial"/>
          <w:sz w:val="24"/>
          <w:szCs w:val="24"/>
        </w:rPr>
        <w:t>s</w:t>
      </w:r>
      <w:r w:rsidR="005A5333">
        <w:rPr>
          <w:rFonts w:ascii="Arial" w:hAnsi="Arial" w:cs="Arial"/>
          <w:sz w:val="24"/>
          <w:szCs w:val="24"/>
        </w:rPr>
        <w:t xml:space="preserve"> to the failure of both the auditor and Staff </w:t>
      </w:r>
      <w:r w:rsidR="009E25D7">
        <w:rPr>
          <w:rFonts w:ascii="Arial" w:hAnsi="Arial" w:cs="Arial"/>
          <w:sz w:val="24"/>
          <w:szCs w:val="24"/>
        </w:rPr>
        <w:t xml:space="preserve">Report </w:t>
      </w:r>
      <w:r w:rsidR="005A5333">
        <w:rPr>
          <w:rFonts w:ascii="Arial" w:hAnsi="Arial" w:cs="Arial"/>
          <w:sz w:val="24"/>
          <w:szCs w:val="24"/>
        </w:rPr>
        <w:t xml:space="preserve">to recommend that Duke remove financial incentives from its </w:t>
      </w:r>
      <w:r w:rsidR="00E8306C">
        <w:rPr>
          <w:rFonts w:ascii="Arial" w:hAnsi="Arial" w:cs="Arial"/>
          <w:sz w:val="24"/>
          <w:szCs w:val="24"/>
        </w:rPr>
        <w:t>CEP.</w:t>
      </w:r>
    </w:p>
    <w:p w14:paraId="4967F2C4" w14:textId="37B987EA" w:rsidR="007810FF" w:rsidRDefault="007810FF" w:rsidP="007810F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</w:t>
      </w:r>
    </w:p>
    <w:p w14:paraId="3D4FC15B" w14:textId="427D6506" w:rsidR="007810FF" w:rsidRPr="007810FF" w:rsidRDefault="007810FF" w:rsidP="007810FF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IGS </w:t>
      </w:r>
      <w:r w:rsidR="009E25D7">
        <w:rPr>
          <w:rFonts w:ascii="Arial" w:hAnsi="Arial" w:cs="Arial"/>
          <w:sz w:val="24"/>
          <w:szCs w:val="24"/>
        </w:rPr>
        <w:t>object</w:t>
      </w:r>
      <w:r w:rsidR="009E25D7">
        <w:rPr>
          <w:rFonts w:ascii="Arial" w:hAnsi="Arial" w:cs="Arial"/>
          <w:sz w:val="24"/>
          <w:szCs w:val="24"/>
        </w:rPr>
        <w:t>s</w:t>
      </w:r>
      <w:r w:rsidR="009E25D7">
        <w:rPr>
          <w:rFonts w:ascii="Arial" w:hAnsi="Arial" w:cs="Arial"/>
          <w:sz w:val="24"/>
          <w:szCs w:val="24"/>
        </w:rPr>
        <w:t xml:space="preserve"> to the failure of both the audit and Staff </w:t>
      </w:r>
      <w:r w:rsidR="007546C5">
        <w:rPr>
          <w:rFonts w:ascii="Arial" w:hAnsi="Arial" w:cs="Arial"/>
          <w:sz w:val="24"/>
          <w:szCs w:val="24"/>
        </w:rPr>
        <w:t>Report to recommend that Duke</w:t>
      </w:r>
      <w:r w:rsidR="009E25D7">
        <w:rPr>
          <w:rFonts w:ascii="Arial" w:hAnsi="Arial" w:cs="Arial"/>
          <w:sz w:val="24"/>
          <w:szCs w:val="24"/>
        </w:rPr>
        <w:t xml:space="preserve"> remove financial incentives from its C</w:t>
      </w:r>
      <w:r w:rsidR="00AE3313">
        <w:rPr>
          <w:rFonts w:ascii="Arial" w:hAnsi="Arial" w:cs="Arial"/>
          <w:sz w:val="24"/>
          <w:szCs w:val="24"/>
        </w:rPr>
        <w:t>EP</w:t>
      </w:r>
      <w:r w:rsidR="009E25D7">
        <w:rPr>
          <w:rFonts w:ascii="Arial" w:hAnsi="Arial" w:cs="Arial"/>
          <w:sz w:val="24"/>
          <w:szCs w:val="24"/>
        </w:rPr>
        <w:t>.</w:t>
      </w:r>
      <w:r w:rsidR="006578D9">
        <w:rPr>
          <w:rFonts w:ascii="Arial" w:hAnsi="Arial" w:cs="Arial"/>
          <w:sz w:val="24"/>
          <w:szCs w:val="24"/>
        </w:rPr>
        <w:t xml:space="preserve">  The incentive payments that Duke seeks to capitalize are unlikely to </w:t>
      </w:r>
      <w:r w:rsidR="00036252">
        <w:rPr>
          <w:rFonts w:ascii="Arial" w:hAnsi="Arial" w:cs="Arial"/>
          <w:sz w:val="24"/>
          <w:szCs w:val="24"/>
        </w:rPr>
        <w:t>provide any measurable benefit to ratepayers and should therefore be removed from the CEP.</w:t>
      </w:r>
      <w:r w:rsidR="00AE3313">
        <w:rPr>
          <w:rFonts w:ascii="Arial" w:hAnsi="Arial" w:cs="Arial"/>
          <w:sz w:val="24"/>
          <w:szCs w:val="24"/>
        </w:rPr>
        <w:t xml:space="preserve"> </w:t>
      </w:r>
    </w:p>
    <w:p w14:paraId="7176D2F6" w14:textId="77777777" w:rsidR="00545F29" w:rsidRDefault="00545F2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176D2F7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363606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6324132E" w14:textId="3BDC2A96" w:rsidR="00363606" w:rsidRPr="00363606" w:rsidRDefault="00363606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363606">
        <w:rPr>
          <w:rFonts w:ascii="Arial" w:eastAsia="Calibri" w:hAnsi="Arial" w:cs="Arial"/>
          <w:sz w:val="24"/>
          <w:szCs w:val="24"/>
          <w:u w:val="single"/>
        </w:rPr>
        <w:t>/s/</w:t>
      </w:r>
      <w:r w:rsidR="00036252">
        <w:rPr>
          <w:rFonts w:ascii="Arial" w:eastAsia="Calibri" w:hAnsi="Arial" w:cs="Arial"/>
          <w:sz w:val="24"/>
          <w:szCs w:val="24"/>
          <w:u w:val="single"/>
        </w:rPr>
        <w:t xml:space="preserve"> Michael Nugent</w:t>
      </w:r>
      <w:r w:rsidR="00036252">
        <w:rPr>
          <w:rFonts w:ascii="Arial" w:eastAsia="Calibri" w:hAnsi="Arial" w:cs="Arial"/>
          <w:sz w:val="24"/>
          <w:szCs w:val="24"/>
          <w:u w:val="single"/>
        </w:rPr>
        <w:tab/>
      </w:r>
      <w:r w:rsidR="00036252">
        <w:rPr>
          <w:rFonts w:ascii="Arial" w:eastAsia="Calibri" w:hAnsi="Arial" w:cs="Arial"/>
          <w:sz w:val="24"/>
          <w:szCs w:val="24"/>
          <w:u w:val="single"/>
        </w:rPr>
        <w:tab/>
      </w:r>
    </w:p>
    <w:p w14:paraId="405E2F97" w14:textId="77777777" w:rsidR="00036252" w:rsidRPr="00363606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Michael Nugent (0090408)</w:t>
      </w:r>
    </w:p>
    <w:p w14:paraId="785482FA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5D31A9D4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C760D0">
        <w:rPr>
          <w:rFonts w:ascii="Arial" w:hAnsi="Arial" w:cs="Arial"/>
          <w:sz w:val="24"/>
          <w:szCs w:val="24"/>
        </w:rPr>
        <w:t>mnugent@igsenergy.com</w:t>
      </w:r>
    </w:p>
    <w:p w14:paraId="554D1157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Bethany Allen (0093732)</w:t>
      </w:r>
    </w:p>
    <w:p w14:paraId="089F22F5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C760D0">
        <w:rPr>
          <w:rFonts w:ascii="Arial" w:hAnsi="Arial" w:cs="Arial"/>
          <w:sz w:val="24"/>
          <w:szCs w:val="24"/>
        </w:rPr>
        <w:t>bethany.allen@igs.com</w:t>
      </w:r>
    </w:p>
    <w:p w14:paraId="5C0CB724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 Betterton (100089)</w:t>
      </w:r>
    </w:p>
    <w:p w14:paraId="6EDACB5F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evan.betterton@igs.com</w:t>
      </w:r>
    </w:p>
    <w:p w14:paraId="5AB8FFE9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063E65FD" w14:textId="77777777" w:rsidR="00036252" w:rsidRPr="00363606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joe.oliker@igs.com</w:t>
      </w:r>
    </w:p>
    <w:p w14:paraId="22DB544F" w14:textId="77777777" w:rsidR="00036252" w:rsidRPr="00363606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IGS Energy</w:t>
      </w:r>
    </w:p>
    <w:p w14:paraId="533E136B" w14:textId="77777777" w:rsidR="00036252" w:rsidRPr="00363606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6100 Emerald Parkway</w:t>
      </w:r>
    </w:p>
    <w:p w14:paraId="0F7BDCF8" w14:textId="77777777" w:rsidR="00036252" w:rsidRPr="00363606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lastRenderedPageBreak/>
        <w:t>Dublin, Ohio 43016</w:t>
      </w:r>
    </w:p>
    <w:p w14:paraId="1DD8DB8E" w14:textId="77777777" w:rsidR="00036252" w:rsidRPr="00363606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363606">
        <w:rPr>
          <w:rFonts w:ascii="Arial" w:hAnsi="Arial" w:cs="Arial"/>
          <w:sz w:val="24"/>
          <w:szCs w:val="24"/>
        </w:rPr>
        <w:t>Telephone:</w:t>
      </w:r>
      <w:r w:rsidRPr="00363606">
        <w:rPr>
          <w:rFonts w:ascii="Arial" w:hAnsi="Arial" w:cs="Arial"/>
          <w:sz w:val="24"/>
          <w:szCs w:val="24"/>
        </w:rPr>
        <w:tab/>
        <w:t>(614) 659-5000</w:t>
      </w:r>
    </w:p>
    <w:p w14:paraId="236B98AD" w14:textId="77777777" w:rsidR="00036252" w:rsidRPr="00526ADC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26ADC">
        <w:rPr>
          <w:rFonts w:ascii="Arial" w:hAnsi="Arial" w:cs="Arial"/>
          <w:sz w:val="24"/>
          <w:szCs w:val="24"/>
        </w:rPr>
        <w:t>Facsimile:</w:t>
      </w:r>
      <w:r w:rsidRPr="00526ADC">
        <w:rPr>
          <w:rFonts w:ascii="Arial" w:hAnsi="Arial" w:cs="Arial"/>
          <w:sz w:val="24"/>
          <w:szCs w:val="24"/>
        </w:rPr>
        <w:tab/>
        <w:t>(614) 659-5073</w:t>
      </w:r>
    </w:p>
    <w:p w14:paraId="71CCE043" w14:textId="77777777" w:rsidR="00036252" w:rsidRDefault="00036252" w:rsidP="00036252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BC46C1D" w14:textId="77777777" w:rsidR="00036252" w:rsidRPr="00237730" w:rsidRDefault="00036252" w:rsidP="00036252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7176D309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4FC0009D" w:rsidR="00545F29" w:rsidRPr="009D71F6" w:rsidRDefault="005627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 xml:space="preserve">The undersigned hereby certifies that a copy of the foregoing </w:t>
      </w:r>
      <w:r w:rsidR="005C24DC">
        <w:rPr>
          <w:rFonts w:ascii="Arial" w:eastAsia="Calibri" w:hAnsi="Arial" w:cs="Arial"/>
          <w:i/>
          <w:sz w:val="24"/>
          <w:szCs w:val="24"/>
        </w:rPr>
        <w:t xml:space="preserve">Comments of </w:t>
      </w:r>
      <w:proofErr w:type="spellStart"/>
      <w:r w:rsidR="005C24DC">
        <w:rPr>
          <w:rFonts w:ascii="Arial" w:eastAsia="Calibri" w:hAnsi="Arial" w:cs="Arial"/>
          <w:i/>
          <w:sz w:val="24"/>
          <w:szCs w:val="24"/>
        </w:rPr>
        <w:t>of</w:t>
      </w:r>
      <w:proofErr w:type="spellEnd"/>
      <w:r w:rsidR="005C24DC">
        <w:rPr>
          <w:rFonts w:ascii="Arial" w:eastAsia="Calibri" w:hAnsi="Arial" w:cs="Arial"/>
          <w:i/>
          <w:sz w:val="24"/>
          <w:szCs w:val="24"/>
        </w:rPr>
        <w:t xml:space="preserve"> </w:t>
      </w:r>
      <w:r w:rsidR="0003001D">
        <w:rPr>
          <w:rFonts w:ascii="Arial" w:eastAsia="Calibri" w:hAnsi="Arial" w:cs="Arial"/>
          <w:i/>
          <w:sz w:val="24"/>
          <w:szCs w:val="24"/>
        </w:rPr>
        <w:t>Interstate Gas Supply, Inc.</w:t>
      </w:r>
      <w:r w:rsidRPr="009D71F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 w:rsidR="005C24DC">
        <w:rPr>
          <w:rFonts w:ascii="Arial" w:eastAsia="Calibri" w:hAnsi="Arial" w:cs="Arial"/>
          <w:sz w:val="24"/>
          <w:szCs w:val="24"/>
        </w:rPr>
        <w:t>8</w:t>
      </w:r>
      <w:r w:rsidR="005C24DC" w:rsidRPr="005C24DC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 w:rsidR="005C24DC">
        <w:rPr>
          <w:rFonts w:ascii="Arial" w:eastAsia="Calibri" w:hAnsi="Arial" w:cs="Arial"/>
          <w:sz w:val="24"/>
          <w:szCs w:val="24"/>
        </w:rPr>
        <w:t>November</w:t>
      </w:r>
      <w:r w:rsidR="008C7AC1">
        <w:rPr>
          <w:rFonts w:ascii="Arial" w:eastAsia="Calibri" w:hAnsi="Arial" w:cs="Arial"/>
          <w:sz w:val="24"/>
          <w:szCs w:val="24"/>
        </w:rPr>
        <w:t xml:space="preserve"> 20</w:t>
      </w:r>
      <w:r w:rsidR="005C24DC">
        <w:rPr>
          <w:rFonts w:ascii="Arial" w:eastAsia="Calibri" w:hAnsi="Arial" w:cs="Arial"/>
          <w:sz w:val="24"/>
          <w:szCs w:val="24"/>
        </w:rPr>
        <w:t>21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7176D30D" w14:textId="6E5CF02B" w:rsidR="00545F29" w:rsidRDefault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49A4AA72" w14:textId="77777777" w:rsidR="00F60EC5" w:rsidRPr="009D71F6" w:rsidRDefault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EC80BD" w14:textId="77777777" w:rsidR="0003001D" w:rsidRPr="0003001D" w:rsidRDefault="00030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B23AD" w14:textId="7A308DB3" w:rsidR="0003001D" w:rsidRPr="0003001D" w:rsidRDefault="0003001D" w:rsidP="0003001D">
      <w:pPr>
        <w:spacing w:after="0" w:line="240" w:lineRule="auto"/>
        <w:ind w:left="5760"/>
        <w:rPr>
          <w:rFonts w:ascii="Arial" w:hAnsi="Arial" w:cs="Arial"/>
          <w:sz w:val="24"/>
          <w:szCs w:val="24"/>
          <w:u w:val="single"/>
        </w:rPr>
      </w:pPr>
      <w:r w:rsidRPr="0003001D">
        <w:rPr>
          <w:rFonts w:ascii="Arial" w:hAnsi="Arial" w:cs="Arial"/>
          <w:i/>
          <w:sz w:val="24"/>
          <w:szCs w:val="24"/>
          <w:u w:val="single"/>
        </w:rPr>
        <w:t xml:space="preserve">/s/ </w:t>
      </w:r>
      <w:r w:rsidR="005C24DC">
        <w:rPr>
          <w:rFonts w:ascii="Arial" w:hAnsi="Arial" w:cs="Arial"/>
          <w:i/>
          <w:sz w:val="24"/>
          <w:szCs w:val="24"/>
          <w:u w:val="single"/>
        </w:rPr>
        <w:t>Michael Nugent</w:t>
      </w:r>
      <w:r w:rsidRPr="0003001D">
        <w:rPr>
          <w:rFonts w:ascii="Arial" w:hAnsi="Arial" w:cs="Arial"/>
          <w:i/>
          <w:sz w:val="24"/>
          <w:szCs w:val="24"/>
          <w:u w:val="single"/>
        </w:rPr>
        <w:t>____</w:t>
      </w:r>
    </w:p>
    <w:p w14:paraId="49B16ED2" w14:textId="0D814A9A" w:rsidR="0003001D" w:rsidRDefault="005C24DC" w:rsidP="005C24DC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Nugent</w:t>
      </w:r>
    </w:p>
    <w:p w14:paraId="3417BBC8" w14:textId="0D8BA63A" w:rsidR="005C24DC" w:rsidRDefault="005C24DC" w:rsidP="005C24DC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14:paraId="367C2B31" w14:textId="501A945D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w</w:t>
        </w:r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illiam.michael@occ.ohio.gov</w:t>
        </w:r>
      </w:hyperlink>
    </w:p>
    <w:p w14:paraId="5491CB65" w14:textId="35CF3799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Amy.botschner.obrien@occ.ohio.gov</w:t>
        </w:r>
      </w:hyperlink>
    </w:p>
    <w:p w14:paraId="7834BE4D" w14:textId="5FA947C8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Rocco.dascenzo@duke-energy.com</w:t>
        </w:r>
      </w:hyperlink>
    </w:p>
    <w:p w14:paraId="7C33AE5A" w14:textId="3A9FAB0F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Larisa.vaysman@duke-energy.com</w:t>
        </w:r>
      </w:hyperlink>
    </w:p>
    <w:p w14:paraId="053DFA81" w14:textId="2121D97E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Jeanne.kingery@duke-energy.com</w:t>
        </w:r>
      </w:hyperlink>
    </w:p>
    <w:p w14:paraId="65D7016D" w14:textId="7102F433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Robert.eubanks@ohioago.gov</w:t>
        </w:r>
      </w:hyperlink>
    </w:p>
    <w:p w14:paraId="16DDD31E" w14:textId="002D9C04" w:rsidR="00F60EC5" w:rsidRDefault="00F60EC5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Chelsea.fletcher@ohioago.gov</w:t>
        </w:r>
      </w:hyperlink>
    </w:p>
    <w:p w14:paraId="38883DB9" w14:textId="05A30CF2" w:rsidR="00F60EC5" w:rsidRDefault="008D5D97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5" w:history="1">
        <w:r w:rsidRPr="009A2F43">
          <w:rPr>
            <w:rStyle w:val="Hyperlink"/>
            <w:rFonts w:ascii="Arial" w:eastAsia="Calibri" w:hAnsi="Arial" w:cs="Arial"/>
            <w:sz w:val="24"/>
            <w:szCs w:val="24"/>
          </w:rPr>
          <w:t>Matthew.sandor@puco.ohio.gov</w:t>
        </w:r>
      </w:hyperlink>
    </w:p>
    <w:p w14:paraId="0FB83FAF" w14:textId="77777777" w:rsidR="008D5D97" w:rsidRDefault="008D5D97" w:rsidP="00F60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74A5E2" w14:textId="77777777" w:rsidR="005C24DC" w:rsidRDefault="005C24DC" w:rsidP="005C24DC">
      <w:pPr>
        <w:spacing w:after="0" w:line="240" w:lineRule="auto"/>
        <w:ind w:left="5040" w:firstLine="720"/>
        <w:rPr>
          <w:rFonts w:ascii="Arial" w:hAnsi="Arial" w:cs="Arial"/>
          <w:sz w:val="16"/>
          <w:szCs w:val="16"/>
        </w:rPr>
      </w:pPr>
    </w:p>
    <w:sectPr w:rsidR="005C24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54935" w14:textId="77777777" w:rsidR="00AA514C" w:rsidRDefault="00AA514C">
      <w:pPr>
        <w:spacing w:after="0" w:line="240" w:lineRule="auto"/>
      </w:pPr>
      <w:r>
        <w:separator/>
      </w:r>
    </w:p>
  </w:endnote>
  <w:endnote w:type="continuationSeparator" w:id="0">
    <w:p w14:paraId="6DA08DFD" w14:textId="77777777" w:rsidR="00AA514C" w:rsidRDefault="00A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B7B2" w14:textId="77777777" w:rsidR="00DC01BC" w:rsidRDefault="00DC0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77777777" w:rsidR="0098338B" w:rsidRDefault="00983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6D32F" w14:textId="77777777" w:rsidR="0098338B" w:rsidRDefault="00983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FABE" w14:textId="77777777" w:rsidR="00DC01BC" w:rsidRDefault="00DC0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CB1F3" w14:textId="77777777" w:rsidR="00AA514C" w:rsidRDefault="00AA514C">
      <w:pPr>
        <w:spacing w:after="0" w:line="240" w:lineRule="auto"/>
      </w:pPr>
      <w:r>
        <w:separator/>
      </w:r>
    </w:p>
  </w:footnote>
  <w:footnote w:type="continuationSeparator" w:id="0">
    <w:p w14:paraId="3AB68B7B" w14:textId="77777777" w:rsidR="00AA514C" w:rsidRDefault="00AA514C">
      <w:pPr>
        <w:spacing w:after="0" w:line="240" w:lineRule="auto"/>
      </w:pPr>
      <w:r>
        <w:continuationSeparator/>
      </w:r>
    </w:p>
  </w:footnote>
  <w:footnote w:id="1">
    <w:p w14:paraId="64E2FF17" w14:textId="66345F00" w:rsidR="00214C08" w:rsidRDefault="00214C08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1173B1">
        <w:rPr>
          <w:rFonts w:ascii="Arial" w:hAnsi="Arial" w:cs="Arial"/>
          <w:i/>
          <w:iCs/>
        </w:rPr>
        <w:t>In the Matter of the Application of Duke Energy Ohio, Inc. for Approval of an Alternative Form of Regulation</w:t>
      </w:r>
      <w:r w:rsidRPr="001173B1">
        <w:rPr>
          <w:rFonts w:ascii="Arial" w:hAnsi="Arial" w:cs="Arial"/>
        </w:rPr>
        <w:t>, Stipulation and Recommendation at ¶9, Case No. 19-0791-GA-ALT (Nov. 16, 2020).</w:t>
      </w:r>
      <w:r w:rsidR="009B58BA">
        <w:rPr>
          <w:rFonts w:ascii="Arial" w:hAnsi="Arial" w:cs="Arial"/>
        </w:rPr>
        <w:t xml:space="preserve"> (hereinafter “Stipulation”)</w:t>
      </w:r>
    </w:p>
    <w:p w14:paraId="7618BE87" w14:textId="77777777" w:rsidR="002219FC" w:rsidRDefault="002219FC">
      <w:pPr>
        <w:pStyle w:val="FootnoteText"/>
      </w:pPr>
    </w:p>
  </w:footnote>
  <w:footnote w:id="2">
    <w:p w14:paraId="40619D76" w14:textId="0A5176D6" w:rsidR="002219FC" w:rsidRDefault="002219FC">
      <w:pPr>
        <w:pStyle w:val="FootnoteText"/>
        <w:rPr>
          <w:rFonts w:ascii="Arial" w:hAnsi="Arial" w:cs="Arial"/>
        </w:rPr>
      </w:pPr>
      <w:r w:rsidRPr="00EE74E6">
        <w:rPr>
          <w:rStyle w:val="FootnoteReference"/>
          <w:rFonts w:ascii="Arial" w:hAnsi="Arial" w:cs="Arial"/>
        </w:rPr>
        <w:footnoteRef/>
      </w:r>
      <w:r w:rsidRPr="00EE74E6">
        <w:rPr>
          <w:rFonts w:ascii="Arial" w:hAnsi="Arial" w:cs="Arial"/>
        </w:rPr>
        <w:t xml:space="preserve"> </w:t>
      </w:r>
      <w:r w:rsidRPr="00EE74E6">
        <w:rPr>
          <w:rFonts w:ascii="Arial" w:hAnsi="Arial" w:cs="Arial"/>
          <w:i/>
          <w:iCs/>
        </w:rPr>
        <w:t>Id</w:t>
      </w:r>
      <w:r w:rsidRPr="00EE74E6">
        <w:rPr>
          <w:rFonts w:ascii="Arial" w:hAnsi="Arial" w:cs="Arial"/>
        </w:rPr>
        <w:t xml:space="preserve">. at </w:t>
      </w:r>
      <w:r w:rsidR="00EE74E6" w:rsidRPr="00EE74E6">
        <w:rPr>
          <w:rFonts w:ascii="Arial" w:hAnsi="Arial" w:cs="Arial"/>
        </w:rPr>
        <w:t>¶21.</w:t>
      </w:r>
      <w:r w:rsidRPr="00EE74E6">
        <w:rPr>
          <w:rFonts w:ascii="Arial" w:hAnsi="Arial" w:cs="Arial"/>
        </w:rPr>
        <w:t xml:space="preserve"> </w:t>
      </w:r>
    </w:p>
    <w:p w14:paraId="724896ED" w14:textId="77777777" w:rsidR="00560C7D" w:rsidRPr="00EE74E6" w:rsidRDefault="00560C7D">
      <w:pPr>
        <w:pStyle w:val="FootnoteText"/>
        <w:rPr>
          <w:rFonts w:ascii="Arial" w:hAnsi="Arial" w:cs="Arial"/>
        </w:rPr>
      </w:pPr>
    </w:p>
  </w:footnote>
  <w:footnote w:id="3">
    <w:p w14:paraId="0AAAAF79" w14:textId="17AFBCFC" w:rsidR="00560C7D" w:rsidRDefault="00560C7D">
      <w:pPr>
        <w:pStyle w:val="FootnoteText"/>
        <w:rPr>
          <w:rFonts w:ascii="Arial" w:hAnsi="Arial" w:cs="Arial"/>
        </w:rPr>
      </w:pPr>
      <w:r w:rsidRPr="00560C7D">
        <w:rPr>
          <w:rStyle w:val="FootnoteReference"/>
          <w:rFonts w:ascii="Arial" w:hAnsi="Arial" w:cs="Arial"/>
        </w:rPr>
        <w:footnoteRef/>
      </w:r>
      <w:r w:rsidRPr="00560C7D">
        <w:rPr>
          <w:rFonts w:ascii="Arial" w:hAnsi="Arial" w:cs="Arial"/>
        </w:rPr>
        <w:t xml:space="preserve"> IGS notes that Staff adopted the adjustments and recommendations contained in the audit report in its entirety. </w:t>
      </w:r>
    </w:p>
    <w:p w14:paraId="4BF1C4F8" w14:textId="77777777" w:rsidR="00560C7D" w:rsidRPr="00560C7D" w:rsidRDefault="00560C7D">
      <w:pPr>
        <w:pStyle w:val="FootnoteText"/>
        <w:rPr>
          <w:rFonts w:ascii="Arial" w:hAnsi="Arial" w:cs="Arial"/>
        </w:rPr>
      </w:pPr>
    </w:p>
  </w:footnote>
  <w:footnote w:id="4">
    <w:p w14:paraId="40864B22" w14:textId="6EE261C1" w:rsidR="009D6D97" w:rsidRPr="009D6D97" w:rsidRDefault="009D6D97">
      <w:pPr>
        <w:pStyle w:val="FootnoteText"/>
        <w:rPr>
          <w:rFonts w:ascii="Arial" w:hAnsi="Arial" w:cs="Arial"/>
        </w:rPr>
      </w:pPr>
      <w:r w:rsidRPr="009D6D97">
        <w:rPr>
          <w:rStyle w:val="FootnoteReference"/>
          <w:rFonts w:ascii="Arial" w:hAnsi="Arial" w:cs="Arial"/>
        </w:rPr>
        <w:footnoteRef/>
      </w:r>
      <w:r w:rsidRPr="009D6D97">
        <w:rPr>
          <w:rFonts w:ascii="Arial" w:hAnsi="Arial" w:cs="Arial"/>
        </w:rPr>
        <w:t xml:space="preserve"> </w:t>
      </w:r>
      <w:r w:rsidRPr="009D6D97">
        <w:rPr>
          <w:rFonts w:ascii="Arial" w:hAnsi="Arial" w:cs="Arial"/>
          <w:i/>
          <w:iCs/>
        </w:rPr>
        <w:t xml:space="preserve">See </w:t>
      </w:r>
      <w:r w:rsidRPr="009D6D97">
        <w:rPr>
          <w:rFonts w:ascii="Arial" w:hAnsi="Arial" w:cs="Arial"/>
        </w:rPr>
        <w:t>R.C. 4929.111</w:t>
      </w:r>
    </w:p>
    <w:p w14:paraId="7DCD25B7" w14:textId="77777777" w:rsidR="009D6D97" w:rsidRPr="009D6D97" w:rsidRDefault="009D6D97">
      <w:pPr>
        <w:pStyle w:val="FootnoteText"/>
      </w:pPr>
    </w:p>
  </w:footnote>
  <w:footnote w:id="5">
    <w:p w14:paraId="5597EABE" w14:textId="687DF3AB" w:rsidR="009846C8" w:rsidRPr="00CD0EFE" w:rsidRDefault="009846C8">
      <w:pPr>
        <w:pStyle w:val="FootnoteText"/>
        <w:rPr>
          <w:rFonts w:ascii="Arial" w:hAnsi="Arial" w:cs="Arial"/>
        </w:rPr>
      </w:pPr>
      <w:r w:rsidRPr="00CD0EFE">
        <w:rPr>
          <w:rStyle w:val="FootnoteReference"/>
          <w:rFonts w:ascii="Arial" w:hAnsi="Arial" w:cs="Arial"/>
        </w:rPr>
        <w:footnoteRef/>
      </w:r>
      <w:r w:rsidRPr="00CD0EFE">
        <w:rPr>
          <w:rFonts w:ascii="Arial" w:hAnsi="Arial" w:cs="Arial"/>
        </w:rPr>
        <w:t xml:space="preserve"> </w:t>
      </w:r>
      <w:r w:rsidR="007715CF" w:rsidRPr="00CD0EFE">
        <w:rPr>
          <w:rFonts w:ascii="Arial" w:hAnsi="Arial" w:cs="Arial"/>
        </w:rPr>
        <w:t xml:space="preserve">Staff Review and Recommendation at </w:t>
      </w:r>
      <w:r w:rsidR="00CD0EFE" w:rsidRPr="00CD0EFE">
        <w:rPr>
          <w:rFonts w:ascii="Arial" w:hAnsi="Arial" w:cs="Arial"/>
        </w:rPr>
        <w:t>4.</w:t>
      </w:r>
    </w:p>
    <w:p w14:paraId="0F94C506" w14:textId="77777777" w:rsidR="007715CF" w:rsidRDefault="007715CF">
      <w:pPr>
        <w:pStyle w:val="FootnoteText"/>
      </w:pPr>
    </w:p>
  </w:footnote>
  <w:footnote w:id="6">
    <w:p w14:paraId="683BE10D" w14:textId="29F652D9" w:rsidR="00C34880" w:rsidRDefault="00C34880" w:rsidP="001173B1">
      <w:pPr>
        <w:pStyle w:val="FootnoteText"/>
        <w:jc w:val="both"/>
        <w:rPr>
          <w:rFonts w:ascii="Arial" w:hAnsi="Arial" w:cs="Arial"/>
        </w:rPr>
      </w:pPr>
      <w:r w:rsidRPr="001173B1">
        <w:rPr>
          <w:rStyle w:val="FootnoteReference"/>
          <w:rFonts w:ascii="Arial" w:hAnsi="Arial" w:cs="Arial"/>
        </w:rPr>
        <w:footnoteRef/>
      </w:r>
      <w:r w:rsidRPr="001173B1">
        <w:rPr>
          <w:rFonts w:ascii="Arial" w:hAnsi="Arial" w:cs="Arial"/>
        </w:rPr>
        <w:t xml:space="preserve"> </w:t>
      </w:r>
      <w:r w:rsidR="009B58BA">
        <w:rPr>
          <w:rFonts w:ascii="Arial" w:hAnsi="Arial" w:cs="Arial"/>
        </w:rPr>
        <w:t>Stipulation</w:t>
      </w:r>
      <w:r w:rsidR="008B1B70" w:rsidRPr="001173B1">
        <w:rPr>
          <w:rFonts w:ascii="Arial" w:hAnsi="Arial" w:cs="Arial"/>
        </w:rPr>
        <w:t xml:space="preserve"> at </w:t>
      </w:r>
      <w:r w:rsidR="008B1B70" w:rsidRPr="001173B1">
        <w:rPr>
          <w:rFonts w:ascii="Arial" w:hAnsi="Arial" w:cs="Arial"/>
        </w:rPr>
        <w:t>¶</w:t>
      </w:r>
      <w:r w:rsidR="009B58BA">
        <w:rPr>
          <w:rFonts w:ascii="Arial" w:hAnsi="Arial" w:cs="Arial"/>
        </w:rPr>
        <w:t>9.</w:t>
      </w:r>
    </w:p>
    <w:p w14:paraId="1C2462C2" w14:textId="77777777" w:rsidR="00E12351" w:rsidRPr="001173B1" w:rsidRDefault="00E12351" w:rsidP="001173B1">
      <w:pPr>
        <w:pStyle w:val="FootnoteText"/>
        <w:jc w:val="both"/>
        <w:rPr>
          <w:rFonts w:ascii="Arial" w:hAnsi="Arial" w:cs="Arial"/>
        </w:rPr>
      </w:pPr>
    </w:p>
  </w:footnote>
  <w:footnote w:id="7">
    <w:p w14:paraId="6F0C95F7" w14:textId="62AC53FA" w:rsidR="00887677" w:rsidRDefault="00887677" w:rsidP="00887677">
      <w:pPr>
        <w:pStyle w:val="FootnoteText"/>
        <w:jc w:val="both"/>
        <w:rPr>
          <w:rFonts w:ascii="Arial" w:hAnsi="Arial" w:cs="Arial"/>
        </w:rPr>
      </w:pPr>
      <w:r w:rsidRPr="00E50DAB">
        <w:rPr>
          <w:rStyle w:val="FootnoteReference"/>
          <w:rFonts w:ascii="Arial" w:hAnsi="Arial" w:cs="Arial"/>
        </w:rPr>
        <w:footnoteRef/>
      </w:r>
      <w:r w:rsidRPr="00E50DAB">
        <w:rPr>
          <w:rFonts w:ascii="Arial" w:hAnsi="Arial" w:cs="Arial"/>
        </w:rPr>
        <w:t xml:space="preserve"> </w:t>
      </w:r>
      <w:r w:rsidRPr="00E50DAB">
        <w:rPr>
          <w:rFonts w:ascii="Arial" w:hAnsi="Arial" w:cs="Arial"/>
          <w:i/>
          <w:iCs/>
        </w:rPr>
        <w:t>In the Matter of the Application of Duke Energy Ohio, Inc. for an Adjustment to the Capital Expenditure Program Rider Rate</w:t>
      </w:r>
      <w:r w:rsidRPr="00E50DAB">
        <w:rPr>
          <w:rFonts w:ascii="Arial" w:hAnsi="Arial" w:cs="Arial"/>
        </w:rPr>
        <w:t>, Plant-in-Service and Capital Expenditure Program Audit of Duke Energy Ohio, Inc., at 75, Case No. 21-0618-GA-RDR (Oct. 14, 2021).</w:t>
      </w:r>
      <w:r>
        <w:rPr>
          <w:rFonts w:ascii="Arial" w:hAnsi="Arial" w:cs="Arial"/>
        </w:rPr>
        <w:t xml:space="preserve"> (hereinafter “Audit”)</w:t>
      </w:r>
    </w:p>
    <w:p w14:paraId="081E8167" w14:textId="77777777" w:rsidR="007630FF" w:rsidRPr="00E50DAB" w:rsidRDefault="007630FF" w:rsidP="00887677">
      <w:pPr>
        <w:pStyle w:val="FootnoteText"/>
        <w:jc w:val="both"/>
        <w:rPr>
          <w:rFonts w:ascii="Arial" w:hAnsi="Arial" w:cs="Arial"/>
        </w:rPr>
      </w:pPr>
    </w:p>
  </w:footnote>
  <w:footnote w:id="8">
    <w:p w14:paraId="146E06BB" w14:textId="17D56E51" w:rsidR="002A3E94" w:rsidRPr="00CB3CD3" w:rsidRDefault="002A3E94">
      <w:pPr>
        <w:pStyle w:val="FootnoteText"/>
        <w:rPr>
          <w:rFonts w:ascii="Arial" w:hAnsi="Arial" w:cs="Arial"/>
        </w:rPr>
      </w:pPr>
      <w:r w:rsidRPr="00CB3CD3">
        <w:rPr>
          <w:rStyle w:val="FootnoteReference"/>
          <w:rFonts w:ascii="Arial" w:hAnsi="Arial" w:cs="Arial"/>
        </w:rPr>
        <w:footnoteRef/>
      </w:r>
      <w:r w:rsidRPr="00CB3CD3">
        <w:rPr>
          <w:rFonts w:ascii="Arial" w:hAnsi="Arial" w:cs="Arial"/>
        </w:rPr>
        <w:t xml:space="preserve"> </w:t>
      </w:r>
      <w:r w:rsidR="0060512E" w:rsidRPr="00CB3CD3">
        <w:rPr>
          <w:rFonts w:ascii="Arial" w:hAnsi="Arial" w:cs="Arial"/>
          <w:i/>
          <w:iCs/>
        </w:rPr>
        <w:t>Id</w:t>
      </w:r>
      <w:r w:rsidR="0060512E" w:rsidRPr="00CB3CD3">
        <w:rPr>
          <w:rFonts w:ascii="Arial" w:hAnsi="Arial" w:cs="Arial"/>
        </w:rPr>
        <w:t xml:space="preserve">.  </w:t>
      </w:r>
    </w:p>
    <w:p w14:paraId="71F5DD88" w14:textId="77777777" w:rsidR="0060512E" w:rsidRPr="00CB3CD3" w:rsidRDefault="0060512E">
      <w:pPr>
        <w:pStyle w:val="FootnoteText"/>
        <w:rPr>
          <w:rFonts w:ascii="Arial" w:hAnsi="Arial" w:cs="Arial"/>
        </w:rPr>
      </w:pPr>
    </w:p>
  </w:footnote>
  <w:footnote w:id="9">
    <w:p w14:paraId="6E9CDE1A" w14:textId="752B702E" w:rsidR="007630FF" w:rsidRPr="00CB3CD3" w:rsidRDefault="007630FF">
      <w:pPr>
        <w:pStyle w:val="FootnoteText"/>
        <w:rPr>
          <w:rFonts w:ascii="Arial" w:hAnsi="Arial" w:cs="Arial"/>
        </w:rPr>
      </w:pPr>
      <w:r w:rsidRPr="00CB3CD3">
        <w:rPr>
          <w:rStyle w:val="FootnoteReference"/>
          <w:rFonts w:ascii="Arial" w:hAnsi="Arial" w:cs="Arial"/>
        </w:rPr>
        <w:footnoteRef/>
      </w:r>
      <w:r w:rsidRPr="00CB3CD3">
        <w:rPr>
          <w:rFonts w:ascii="Arial" w:hAnsi="Arial" w:cs="Arial"/>
        </w:rPr>
        <w:t xml:space="preserve"> </w:t>
      </w:r>
      <w:r w:rsidRPr="00CB3CD3">
        <w:rPr>
          <w:rFonts w:ascii="Arial" w:hAnsi="Arial" w:cs="Arial"/>
          <w:i/>
          <w:iCs/>
        </w:rPr>
        <w:t>Id</w:t>
      </w:r>
      <w:r w:rsidRPr="00CB3CD3">
        <w:rPr>
          <w:rFonts w:ascii="Arial" w:hAnsi="Arial" w:cs="Arial"/>
        </w:rPr>
        <w:t xml:space="preserve">. at 76. </w:t>
      </w:r>
    </w:p>
    <w:p w14:paraId="1E7B791E" w14:textId="77777777" w:rsidR="0021336A" w:rsidRPr="00CB3CD3" w:rsidRDefault="0021336A">
      <w:pPr>
        <w:pStyle w:val="FootnoteText"/>
        <w:rPr>
          <w:rFonts w:ascii="Arial" w:hAnsi="Arial" w:cs="Arial"/>
        </w:rPr>
      </w:pPr>
    </w:p>
  </w:footnote>
  <w:footnote w:id="10">
    <w:p w14:paraId="526DAD79" w14:textId="171B9BC1" w:rsidR="0021336A" w:rsidRPr="00CB3CD3" w:rsidRDefault="0021336A">
      <w:pPr>
        <w:pStyle w:val="FootnoteText"/>
        <w:rPr>
          <w:rFonts w:ascii="Arial" w:hAnsi="Arial" w:cs="Arial"/>
        </w:rPr>
      </w:pPr>
      <w:r w:rsidRPr="00CB3CD3">
        <w:rPr>
          <w:rStyle w:val="FootnoteReference"/>
          <w:rFonts w:ascii="Arial" w:hAnsi="Arial" w:cs="Arial"/>
        </w:rPr>
        <w:footnoteRef/>
      </w:r>
      <w:r w:rsidR="00CB3CD3">
        <w:rPr>
          <w:rFonts w:ascii="Arial" w:hAnsi="Arial" w:cs="Arial"/>
        </w:rPr>
        <w:t xml:space="preserve"> </w:t>
      </w:r>
      <w:r w:rsidRPr="00CB3CD3">
        <w:rPr>
          <w:rFonts w:ascii="Arial" w:hAnsi="Arial" w:cs="Arial"/>
          <w:i/>
          <w:iCs/>
        </w:rPr>
        <w:t>Id</w:t>
      </w:r>
      <w:r w:rsidRPr="00CB3CD3">
        <w:rPr>
          <w:rFonts w:ascii="Arial" w:hAnsi="Arial" w:cs="Arial"/>
        </w:rPr>
        <w:t xml:space="preserve">. </w:t>
      </w:r>
    </w:p>
    <w:p w14:paraId="409DAA08" w14:textId="77777777" w:rsidR="009B58BA" w:rsidRPr="00CB3CD3" w:rsidRDefault="009B58BA">
      <w:pPr>
        <w:pStyle w:val="FootnoteText"/>
        <w:rPr>
          <w:rFonts w:ascii="Arial" w:hAnsi="Arial" w:cs="Arial"/>
        </w:rPr>
      </w:pPr>
    </w:p>
  </w:footnote>
  <w:footnote w:id="11">
    <w:p w14:paraId="2E8C626E" w14:textId="0BEE477C" w:rsidR="009B58BA" w:rsidRDefault="009B58BA">
      <w:pPr>
        <w:pStyle w:val="FootnoteText"/>
        <w:rPr>
          <w:rFonts w:ascii="Arial" w:hAnsi="Arial" w:cs="Arial"/>
        </w:rPr>
      </w:pPr>
      <w:r w:rsidRPr="00CB3CD3">
        <w:rPr>
          <w:rStyle w:val="FootnoteReference"/>
          <w:rFonts w:ascii="Arial" w:hAnsi="Arial" w:cs="Arial"/>
        </w:rPr>
        <w:footnoteRef/>
      </w:r>
      <w:r w:rsidR="00CB3CD3" w:rsidRPr="00CB3CD3">
        <w:rPr>
          <w:rFonts w:ascii="Arial" w:hAnsi="Arial" w:cs="Arial"/>
        </w:rPr>
        <w:t xml:space="preserve"> Stipulation at ¶21.</w:t>
      </w:r>
      <w:r w:rsidRPr="00CB3CD3">
        <w:rPr>
          <w:rFonts w:ascii="Arial" w:hAnsi="Arial" w:cs="Arial"/>
        </w:rPr>
        <w:t xml:space="preserve"> </w:t>
      </w:r>
    </w:p>
    <w:p w14:paraId="4F3908F5" w14:textId="77777777" w:rsidR="00E1349B" w:rsidRPr="00883E2B" w:rsidRDefault="00E1349B" w:rsidP="00883E2B">
      <w:pPr>
        <w:pStyle w:val="FootnoteText"/>
        <w:jc w:val="both"/>
        <w:rPr>
          <w:rFonts w:ascii="Arial" w:hAnsi="Arial" w:cs="Arial"/>
        </w:rPr>
      </w:pPr>
    </w:p>
  </w:footnote>
  <w:footnote w:id="12">
    <w:p w14:paraId="28400CC9" w14:textId="33322CF8" w:rsidR="00C6541B" w:rsidRPr="00883E2B" w:rsidRDefault="00C6541B" w:rsidP="00883E2B">
      <w:pPr>
        <w:pStyle w:val="FootnoteText"/>
        <w:jc w:val="both"/>
        <w:rPr>
          <w:rFonts w:ascii="Arial" w:hAnsi="Arial" w:cs="Arial"/>
        </w:rPr>
      </w:pPr>
      <w:r w:rsidRPr="00883E2B">
        <w:rPr>
          <w:rStyle w:val="FootnoteReference"/>
          <w:rFonts w:ascii="Arial" w:hAnsi="Arial" w:cs="Arial"/>
        </w:rPr>
        <w:footnoteRef/>
      </w:r>
      <w:r w:rsidR="00875C35" w:rsidRPr="00883E2B">
        <w:rPr>
          <w:rFonts w:ascii="Arial" w:hAnsi="Arial" w:cs="Arial"/>
        </w:rPr>
        <w:t xml:space="preserve"> </w:t>
      </w:r>
      <w:r w:rsidR="00875C35" w:rsidRPr="00883E2B">
        <w:rPr>
          <w:rFonts w:ascii="Arial" w:hAnsi="Arial" w:cs="Arial"/>
          <w:i/>
          <w:iCs/>
        </w:rPr>
        <w:t xml:space="preserve">In the Matter of the Application of Duke Energy Ohio, Inc. for Approval of an Alternative Form of Regulation to Establish a Capital Expenditure </w:t>
      </w:r>
      <w:r w:rsidR="00112C64" w:rsidRPr="00883E2B">
        <w:rPr>
          <w:rFonts w:ascii="Arial" w:hAnsi="Arial" w:cs="Arial"/>
          <w:i/>
          <w:iCs/>
        </w:rPr>
        <w:t>Program Rider Mechanism</w:t>
      </w:r>
      <w:r w:rsidR="00112C64" w:rsidRPr="00883E2B">
        <w:rPr>
          <w:rFonts w:ascii="Arial" w:hAnsi="Arial" w:cs="Arial"/>
        </w:rPr>
        <w:t>, Report of Plant in Service and Capital Spending Prudence Audit of Duke Energy Ohio, Inc.</w:t>
      </w:r>
      <w:r w:rsidR="00883E2B" w:rsidRPr="00883E2B">
        <w:rPr>
          <w:rFonts w:ascii="Arial" w:hAnsi="Arial" w:cs="Arial"/>
        </w:rPr>
        <w:t>, at 118, Case No. 19-0791-GA-ALT (May 11, 2020).</w:t>
      </w:r>
      <w:r w:rsidRPr="00883E2B">
        <w:rPr>
          <w:rFonts w:ascii="Arial" w:hAnsi="Arial" w:cs="Arial"/>
        </w:rPr>
        <w:t xml:space="preserve"> </w:t>
      </w:r>
    </w:p>
    <w:p w14:paraId="0C69760A" w14:textId="77777777" w:rsidR="00C6541B" w:rsidRDefault="00C6541B">
      <w:pPr>
        <w:pStyle w:val="FootnoteText"/>
      </w:pPr>
    </w:p>
  </w:footnote>
  <w:footnote w:id="13">
    <w:p w14:paraId="51F9AA60" w14:textId="1F23E31A" w:rsidR="006920CA" w:rsidRDefault="006920CA" w:rsidP="009F125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83E2B">
        <w:rPr>
          <w:rFonts w:ascii="Arial" w:hAnsi="Arial" w:cs="Arial"/>
          <w:i/>
          <w:iCs/>
        </w:rPr>
        <w:t>In the Matter of the Application of Duke Energy Ohio, Inc. for Approval of an Alternative Form of Regulation to Establish a Capital Expenditure Program Rider Mechanism</w:t>
      </w:r>
      <w:r w:rsidRPr="00883E2B">
        <w:rPr>
          <w:rFonts w:ascii="Arial" w:hAnsi="Arial" w:cs="Arial"/>
        </w:rPr>
        <w:t xml:space="preserve">, </w:t>
      </w:r>
      <w:r w:rsidR="009F125F">
        <w:rPr>
          <w:rFonts w:ascii="Arial" w:hAnsi="Arial" w:cs="Arial"/>
        </w:rPr>
        <w:t>Staff Report</w:t>
      </w:r>
      <w:r w:rsidRPr="00883E2B">
        <w:rPr>
          <w:rFonts w:ascii="Arial" w:hAnsi="Arial" w:cs="Arial"/>
        </w:rPr>
        <w:t xml:space="preserve"> at </w:t>
      </w:r>
      <w:r w:rsidR="009F125F">
        <w:rPr>
          <w:rFonts w:ascii="Arial" w:hAnsi="Arial" w:cs="Arial"/>
        </w:rPr>
        <w:t>7,</w:t>
      </w:r>
      <w:r w:rsidRPr="00883E2B">
        <w:rPr>
          <w:rFonts w:ascii="Arial" w:hAnsi="Arial" w:cs="Arial"/>
        </w:rPr>
        <w:t xml:space="preserve"> Case No. 19-0791-GA-ALT (May </w:t>
      </w:r>
      <w:r w:rsidR="009F125F">
        <w:rPr>
          <w:rFonts w:ascii="Arial" w:hAnsi="Arial" w:cs="Arial"/>
        </w:rPr>
        <w:t>22</w:t>
      </w:r>
      <w:r w:rsidRPr="00883E2B">
        <w:rPr>
          <w:rFonts w:ascii="Arial" w:hAnsi="Arial" w:cs="Arial"/>
        </w:rPr>
        <w:t>, 2020).</w:t>
      </w:r>
    </w:p>
    <w:p w14:paraId="0FDEB063" w14:textId="77777777" w:rsidR="006920CA" w:rsidRDefault="006920CA">
      <w:pPr>
        <w:pStyle w:val="FootnoteText"/>
      </w:pPr>
    </w:p>
  </w:footnote>
  <w:footnote w:id="14">
    <w:p w14:paraId="7F5B7210" w14:textId="5A4A9183" w:rsidR="009F74A3" w:rsidRDefault="009F74A3" w:rsidP="009F74A3">
      <w:pPr>
        <w:pStyle w:val="FootnoteText"/>
        <w:jc w:val="both"/>
        <w:rPr>
          <w:rFonts w:ascii="Arial" w:hAnsi="Arial" w:cs="Arial"/>
        </w:rPr>
      </w:pPr>
      <w:r w:rsidRPr="009F74A3">
        <w:rPr>
          <w:rStyle w:val="FootnoteReference"/>
          <w:rFonts w:ascii="Arial" w:hAnsi="Arial" w:cs="Arial"/>
        </w:rPr>
        <w:footnoteRef/>
      </w:r>
      <w:r w:rsidRPr="009F74A3">
        <w:rPr>
          <w:rFonts w:ascii="Arial" w:hAnsi="Arial" w:cs="Arial"/>
        </w:rPr>
        <w:t xml:space="preserve"> </w:t>
      </w:r>
      <w:r w:rsidRPr="009F74A3">
        <w:rPr>
          <w:rFonts w:ascii="Arial" w:hAnsi="Arial" w:cs="Arial"/>
          <w:i/>
          <w:iCs/>
        </w:rPr>
        <w:t>In the Matter of the 2016 Review of the Distribution Investment Rider Contained in the Tariff of the Ohio Power Company</w:t>
      </w:r>
      <w:r w:rsidRPr="009F74A3">
        <w:rPr>
          <w:rFonts w:ascii="Arial" w:hAnsi="Arial" w:cs="Arial"/>
        </w:rPr>
        <w:t xml:space="preserve">; </w:t>
      </w:r>
      <w:r w:rsidRPr="009F74A3">
        <w:rPr>
          <w:rFonts w:ascii="Arial" w:hAnsi="Arial" w:cs="Arial"/>
          <w:i/>
          <w:iCs/>
        </w:rPr>
        <w:t>In the Matter of the 2017 Review of the Distribution Investment Rider Contained in the Tariff of the Ohio Power Company</w:t>
      </w:r>
      <w:r w:rsidRPr="009F74A3">
        <w:rPr>
          <w:rFonts w:ascii="Arial" w:hAnsi="Arial" w:cs="Arial"/>
        </w:rPr>
        <w:t>, Consolidated Case Nos. 17-38-EL-RDR and 18-230-EL-RDR, Opinion and Order at ¶47 (Jun. 17, 2020).</w:t>
      </w:r>
    </w:p>
    <w:p w14:paraId="79BD328A" w14:textId="77777777" w:rsidR="00416A9B" w:rsidRPr="009F74A3" w:rsidRDefault="00416A9B" w:rsidP="009F74A3">
      <w:pPr>
        <w:pStyle w:val="FootnoteText"/>
        <w:jc w:val="both"/>
        <w:rPr>
          <w:rFonts w:ascii="Arial" w:hAnsi="Arial" w:cs="Arial"/>
        </w:rPr>
      </w:pPr>
    </w:p>
  </w:footnote>
  <w:footnote w:id="15">
    <w:p w14:paraId="30E0AD3C" w14:textId="3C48B6CB" w:rsidR="00416A9B" w:rsidRPr="00F564B8" w:rsidRDefault="00416A9B" w:rsidP="00F564B8">
      <w:pPr>
        <w:pStyle w:val="FootnoteText"/>
        <w:jc w:val="both"/>
        <w:rPr>
          <w:rFonts w:ascii="Arial" w:hAnsi="Arial" w:cs="Arial"/>
        </w:rPr>
      </w:pPr>
      <w:r w:rsidRPr="00F564B8">
        <w:rPr>
          <w:rStyle w:val="FootnoteReference"/>
          <w:rFonts w:ascii="Arial" w:hAnsi="Arial" w:cs="Arial"/>
        </w:rPr>
        <w:footnoteRef/>
      </w:r>
      <w:r w:rsidRPr="00F564B8">
        <w:rPr>
          <w:rFonts w:ascii="Arial" w:hAnsi="Arial" w:cs="Arial"/>
        </w:rPr>
        <w:t xml:space="preserve"> </w:t>
      </w:r>
      <w:r w:rsidR="00F564B8" w:rsidRPr="00F564B8">
        <w:rPr>
          <w:rFonts w:ascii="Arial" w:hAnsi="Arial" w:cs="Arial"/>
        </w:rPr>
        <w:t>IGS notes that Duke Energy Ohio, Inc.’s parent company, Duke Energy, is headquartered in Charlotte, North Carolina.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5DF8" w14:textId="77777777" w:rsidR="00DC01BC" w:rsidRDefault="00DC0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00F41" w14:textId="77777777" w:rsidR="00DC01BC" w:rsidRDefault="00DC0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D330" w14:textId="77777777"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78F"/>
    <w:multiLevelType w:val="hybridMultilevel"/>
    <w:tmpl w:val="7E3AFC88"/>
    <w:lvl w:ilvl="0" w:tplc="975630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05C61"/>
    <w:multiLevelType w:val="hybridMultilevel"/>
    <w:tmpl w:val="7CC4EA64"/>
    <w:lvl w:ilvl="0" w:tplc="447A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11BF7"/>
    <w:rsid w:val="00017393"/>
    <w:rsid w:val="0003001D"/>
    <w:rsid w:val="0003496F"/>
    <w:rsid w:val="00036252"/>
    <w:rsid w:val="00047832"/>
    <w:rsid w:val="00050E75"/>
    <w:rsid w:val="00052C92"/>
    <w:rsid w:val="00053E43"/>
    <w:rsid w:val="00067BCF"/>
    <w:rsid w:val="000702A8"/>
    <w:rsid w:val="00071F65"/>
    <w:rsid w:val="00074253"/>
    <w:rsid w:val="000766A4"/>
    <w:rsid w:val="0008003D"/>
    <w:rsid w:val="0008531B"/>
    <w:rsid w:val="000A4AE4"/>
    <w:rsid w:val="000B223F"/>
    <w:rsid w:val="000E0E54"/>
    <w:rsid w:val="000E5CAC"/>
    <w:rsid w:val="001026DC"/>
    <w:rsid w:val="00112C64"/>
    <w:rsid w:val="00116A24"/>
    <w:rsid w:val="001173B1"/>
    <w:rsid w:val="00120375"/>
    <w:rsid w:val="00120D66"/>
    <w:rsid w:val="00121836"/>
    <w:rsid w:val="00123E69"/>
    <w:rsid w:val="00124D9F"/>
    <w:rsid w:val="00125A7C"/>
    <w:rsid w:val="00141C3F"/>
    <w:rsid w:val="001600D2"/>
    <w:rsid w:val="00161AE0"/>
    <w:rsid w:val="00162B11"/>
    <w:rsid w:val="00162C88"/>
    <w:rsid w:val="001808AC"/>
    <w:rsid w:val="00192675"/>
    <w:rsid w:val="00197E35"/>
    <w:rsid w:val="001A2EFD"/>
    <w:rsid w:val="001A7167"/>
    <w:rsid w:val="001B0628"/>
    <w:rsid w:val="001B420E"/>
    <w:rsid w:val="001C581C"/>
    <w:rsid w:val="001D2331"/>
    <w:rsid w:val="001D3E30"/>
    <w:rsid w:val="001D427C"/>
    <w:rsid w:val="001D543A"/>
    <w:rsid w:val="001E4B2D"/>
    <w:rsid w:val="00202D63"/>
    <w:rsid w:val="0021336A"/>
    <w:rsid w:val="00214C08"/>
    <w:rsid w:val="002219FC"/>
    <w:rsid w:val="00231B62"/>
    <w:rsid w:val="00237730"/>
    <w:rsid w:val="00240FFB"/>
    <w:rsid w:val="0024588F"/>
    <w:rsid w:val="002518D4"/>
    <w:rsid w:val="002528E4"/>
    <w:rsid w:val="0026046D"/>
    <w:rsid w:val="00262B65"/>
    <w:rsid w:val="00263C71"/>
    <w:rsid w:val="00271A05"/>
    <w:rsid w:val="00271C3E"/>
    <w:rsid w:val="00274BE3"/>
    <w:rsid w:val="00277563"/>
    <w:rsid w:val="00290CC7"/>
    <w:rsid w:val="00292126"/>
    <w:rsid w:val="00292C7B"/>
    <w:rsid w:val="00293037"/>
    <w:rsid w:val="002A0235"/>
    <w:rsid w:val="002A26F1"/>
    <w:rsid w:val="002A3E94"/>
    <w:rsid w:val="002A4B50"/>
    <w:rsid w:val="002A72B2"/>
    <w:rsid w:val="002B2104"/>
    <w:rsid w:val="002B3C8C"/>
    <w:rsid w:val="002B4336"/>
    <w:rsid w:val="002C7942"/>
    <w:rsid w:val="002D760B"/>
    <w:rsid w:val="002F05DC"/>
    <w:rsid w:val="002F7871"/>
    <w:rsid w:val="00310D3E"/>
    <w:rsid w:val="0031399C"/>
    <w:rsid w:val="003269E1"/>
    <w:rsid w:val="00327C68"/>
    <w:rsid w:val="00342A75"/>
    <w:rsid w:val="00345208"/>
    <w:rsid w:val="00347ED1"/>
    <w:rsid w:val="003513AC"/>
    <w:rsid w:val="00355B90"/>
    <w:rsid w:val="00363606"/>
    <w:rsid w:val="00364932"/>
    <w:rsid w:val="0037154B"/>
    <w:rsid w:val="003774A2"/>
    <w:rsid w:val="00390201"/>
    <w:rsid w:val="003960CE"/>
    <w:rsid w:val="003C11D0"/>
    <w:rsid w:val="003C1EF5"/>
    <w:rsid w:val="003D22D1"/>
    <w:rsid w:val="00402BDD"/>
    <w:rsid w:val="004123B7"/>
    <w:rsid w:val="00416022"/>
    <w:rsid w:val="00416A9B"/>
    <w:rsid w:val="00434B41"/>
    <w:rsid w:val="00447F03"/>
    <w:rsid w:val="00451CF7"/>
    <w:rsid w:val="0045281C"/>
    <w:rsid w:val="0045514C"/>
    <w:rsid w:val="00467525"/>
    <w:rsid w:val="00482FD7"/>
    <w:rsid w:val="00492AD6"/>
    <w:rsid w:val="00496315"/>
    <w:rsid w:val="004B39DA"/>
    <w:rsid w:val="004C3C69"/>
    <w:rsid w:val="004C7FF1"/>
    <w:rsid w:val="004D5587"/>
    <w:rsid w:val="004E0E0F"/>
    <w:rsid w:val="004F42C6"/>
    <w:rsid w:val="004F4DCC"/>
    <w:rsid w:val="004F4EEE"/>
    <w:rsid w:val="004F5E6F"/>
    <w:rsid w:val="004F7E0F"/>
    <w:rsid w:val="00500824"/>
    <w:rsid w:val="00511FBB"/>
    <w:rsid w:val="00516163"/>
    <w:rsid w:val="00521087"/>
    <w:rsid w:val="0052297D"/>
    <w:rsid w:val="0052379E"/>
    <w:rsid w:val="005368DD"/>
    <w:rsid w:val="005408C1"/>
    <w:rsid w:val="00545F29"/>
    <w:rsid w:val="00560C7D"/>
    <w:rsid w:val="00562577"/>
    <w:rsid w:val="0056270F"/>
    <w:rsid w:val="005649FF"/>
    <w:rsid w:val="0057025D"/>
    <w:rsid w:val="005742A8"/>
    <w:rsid w:val="00586688"/>
    <w:rsid w:val="005A0046"/>
    <w:rsid w:val="005A5333"/>
    <w:rsid w:val="005B20F7"/>
    <w:rsid w:val="005B32B9"/>
    <w:rsid w:val="005C24DC"/>
    <w:rsid w:val="005E15A3"/>
    <w:rsid w:val="005F1710"/>
    <w:rsid w:val="005F1E79"/>
    <w:rsid w:val="005F3E57"/>
    <w:rsid w:val="005F5DEC"/>
    <w:rsid w:val="0060512E"/>
    <w:rsid w:val="00613140"/>
    <w:rsid w:val="0062260B"/>
    <w:rsid w:val="0062270F"/>
    <w:rsid w:val="006342BD"/>
    <w:rsid w:val="00644422"/>
    <w:rsid w:val="00645BF6"/>
    <w:rsid w:val="0065532A"/>
    <w:rsid w:val="006578D9"/>
    <w:rsid w:val="00663E44"/>
    <w:rsid w:val="0066488C"/>
    <w:rsid w:val="00673A0E"/>
    <w:rsid w:val="006776EA"/>
    <w:rsid w:val="00677863"/>
    <w:rsid w:val="006821AD"/>
    <w:rsid w:val="006920CA"/>
    <w:rsid w:val="006925BB"/>
    <w:rsid w:val="006941C6"/>
    <w:rsid w:val="006A0320"/>
    <w:rsid w:val="006A6F03"/>
    <w:rsid w:val="006B44A4"/>
    <w:rsid w:val="006F12F9"/>
    <w:rsid w:val="00702B57"/>
    <w:rsid w:val="00712000"/>
    <w:rsid w:val="00720AA3"/>
    <w:rsid w:val="00724226"/>
    <w:rsid w:val="00732F9F"/>
    <w:rsid w:val="00734E39"/>
    <w:rsid w:val="00740020"/>
    <w:rsid w:val="00741166"/>
    <w:rsid w:val="0074607B"/>
    <w:rsid w:val="00750BBB"/>
    <w:rsid w:val="00751C6B"/>
    <w:rsid w:val="007535B3"/>
    <w:rsid w:val="007546C5"/>
    <w:rsid w:val="0075543E"/>
    <w:rsid w:val="00761769"/>
    <w:rsid w:val="007630FF"/>
    <w:rsid w:val="0076548A"/>
    <w:rsid w:val="007715CF"/>
    <w:rsid w:val="007810D7"/>
    <w:rsid w:val="007810FF"/>
    <w:rsid w:val="007909DE"/>
    <w:rsid w:val="007962E1"/>
    <w:rsid w:val="00796329"/>
    <w:rsid w:val="007A14DE"/>
    <w:rsid w:val="007B008B"/>
    <w:rsid w:val="007B3399"/>
    <w:rsid w:val="007B3D79"/>
    <w:rsid w:val="007D2210"/>
    <w:rsid w:val="007E1EDD"/>
    <w:rsid w:val="008029F3"/>
    <w:rsid w:val="00805509"/>
    <w:rsid w:val="00813BFB"/>
    <w:rsid w:val="008162CF"/>
    <w:rsid w:val="0082422E"/>
    <w:rsid w:val="00826AA5"/>
    <w:rsid w:val="00827A40"/>
    <w:rsid w:val="00830065"/>
    <w:rsid w:val="00832D0B"/>
    <w:rsid w:val="0083383C"/>
    <w:rsid w:val="00846419"/>
    <w:rsid w:val="0086206E"/>
    <w:rsid w:val="00875C35"/>
    <w:rsid w:val="0088221E"/>
    <w:rsid w:val="00883E2B"/>
    <w:rsid w:val="00887677"/>
    <w:rsid w:val="008935FB"/>
    <w:rsid w:val="00895F31"/>
    <w:rsid w:val="0089667C"/>
    <w:rsid w:val="0089726B"/>
    <w:rsid w:val="008B1B70"/>
    <w:rsid w:val="008C145D"/>
    <w:rsid w:val="008C524E"/>
    <w:rsid w:val="008C7AC1"/>
    <w:rsid w:val="008D5D97"/>
    <w:rsid w:val="008E0DAD"/>
    <w:rsid w:val="009121B4"/>
    <w:rsid w:val="00932864"/>
    <w:rsid w:val="00944A1B"/>
    <w:rsid w:val="00952656"/>
    <w:rsid w:val="00955F86"/>
    <w:rsid w:val="0095799C"/>
    <w:rsid w:val="00973C9A"/>
    <w:rsid w:val="009829B0"/>
    <w:rsid w:val="0098338B"/>
    <w:rsid w:val="009846C8"/>
    <w:rsid w:val="0098755F"/>
    <w:rsid w:val="00993E15"/>
    <w:rsid w:val="00993F2B"/>
    <w:rsid w:val="009A5021"/>
    <w:rsid w:val="009B4C01"/>
    <w:rsid w:val="009B58BA"/>
    <w:rsid w:val="009C71DF"/>
    <w:rsid w:val="009D17B3"/>
    <w:rsid w:val="009D6D97"/>
    <w:rsid w:val="009D71F6"/>
    <w:rsid w:val="009E1319"/>
    <w:rsid w:val="009E25D7"/>
    <w:rsid w:val="009F125F"/>
    <w:rsid w:val="009F4632"/>
    <w:rsid w:val="009F6674"/>
    <w:rsid w:val="009F66BB"/>
    <w:rsid w:val="009F74A3"/>
    <w:rsid w:val="00A02019"/>
    <w:rsid w:val="00A05995"/>
    <w:rsid w:val="00A14664"/>
    <w:rsid w:val="00A24B2E"/>
    <w:rsid w:val="00A320E7"/>
    <w:rsid w:val="00A35641"/>
    <w:rsid w:val="00A36D52"/>
    <w:rsid w:val="00A41C45"/>
    <w:rsid w:val="00A4361B"/>
    <w:rsid w:val="00A51620"/>
    <w:rsid w:val="00A60140"/>
    <w:rsid w:val="00A609E8"/>
    <w:rsid w:val="00A65318"/>
    <w:rsid w:val="00A71E20"/>
    <w:rsid w:val="00A75FE3"/>
    <w:rsid w:val="00A76364"/>
    <w:rsid w:val="00A76947"/>
    <w:rsid w:val="00A83ED0"/>
    <w:rsid w:val="00A83EFF"/>
    <w:rsid w:val="00A940AD"/>
    <w:rsid w:val="00AA514C"/>
    <w:rsid w:val="00AA75B4"/>
    <w:rsid w:val="00AB1962"/>
    <w:rsid w:val="00AB5C9F"/>
    <w:rsid w:val="00AC080A"/>
    <w:rsid w:val="00AD3312"/>
    <w:rsid w:val="00AD4C69"/>
    <w:rsid w:val="00AD5E1E"/>
    <w:rsid w:val="00AE3313"/>
    <w:rsid w:val="00AE363C"/>
    <w:rsid w:val="00B05D13"/>
    <w:rsid w:val="00B066F2"/>
    <w:rsid w:val="00B305B9"/>
    <w:rsid w:val="00B30F97"/>
    <w:rsid w:val="00B320FA"/>
    <w:rsid w:val="00B37280"/>
    <w:rsid w:val="00B625FA"/>
    <w:rsid w:val="00B76F62"/>
    <w:rsid w:val="00B800B3"/>
    <w:rsid w:val="00B916D9"/>
    <w:rsid w:val="00B92A76"/>
    <w:rsid w:val="00B94BDB"/>
    <w:rsid w:val="00B95BDD"/>
    <w:rsid w:val="00BA1D5C"/>
    <w:rsid w:val="00BA74C0"/>
    <w:rsid w:val="00BB49CE"/>
    <w:rsid w:val="00BB7C38"/>
    <w:rsid w:val="00BC36DE"/>
    <w:rsid w:val="00BC43E6"/>
    <w:rsid w:val="00BE21A8"/>
    <w:rsid w:val="00BF0D4B"/>
    <w:rsid w:val="00BF7332"/>
    <w:rsid w:val="00C02DE9"/>
    <w:rsid w:val="00C20F96"/>
    <w:rsid w:val="00C221AB"/>
    <w:rsid w:val="00C3417C"/>
    <w:rsid w:val="00C34880"/>
    <w:rsid w:val="00C368D7"/>
    <w:rsid w:val="00C36B2A"/>
    <w:rsid w:val="00C430A0"/>
    <w:rsid w:val="00C47D5E"/>
    <w:rsid w:val="00C538DC"/>
    <w:rsid w:val="00C54673"/>
    <w:rsid w:val="00C54CA3"/>
    <w:rsid w:val="00C5670D"/>
    <w:rsid w:val="00C64120"/>
    <w:rsid w:val="00C6541B"/>
    <w:rsid w:val="00C70423"/>
    <w:rsid w:val="00C760D0"/>
    <w:rsid w:val="00C80DD7"/>
    <w:rsid w:val="00C84BD1"/>
    <w:rsid w:val="00C86705"/>
    <w:rsid w:val="00C94F2B"/>
    <w:rsid w:val="00CA53D3"/>
    <w:rsid w:val="00CB3C2A"/>
    <w:rsid w:val="00CB3CD3"/>
    <w:rsid w:val="00CB407D"/>
    <w:rsid w:val="00CD0EFE"/>
    <w:rsid w:val="00CD6CD5"/>
    <w:rsid w:val="00CF0EB0"/>
    <w:rsid w:val="00D00F9B"/>
    <w:rsid w:val="00D022D5"/>
    <w:rsid w:val="00D073CF"/>
    <w:rsid w:val="00D13280"/>
    <w:rsid w:val="00D16D46"/>
    <w:rsid w:val="00D32E6F"/>
    <w:rsid w:val="00D35ABF"/>
    <w:rsid w:val="00D411FA"/>
    <w:rsid w:val="00D57E21"/>
    <w:rsid w:val="00D6748B"/>
    <w:rsid w:val="00D739E8"/>
    <w:rsid w:val="00D76C4C"/>
    <w:rsid w:val="00D8620E"/>
    <w:rsid w:val="00D969DB"/>
    <w:rsid w:val="00DC01BC"/>
    <w:rsid w:val="00DC3D86"/>
    <w:rsid w:val="00DC6DC5"/>
    <w:rsid w:val="00DD3283"/>
    <w:rsid w:val="00DE4973"/>
    <w:rsid w:val="00E0096A"/>
    <w:rsid w:val="00E03145"/>
    <w:rsid w:val="00E057D4"/>
    <w:rsid w:val="00E12351"/>
    <w:rsid w:val="00E12966"/>
    <w:rsid w:val="00E1349B"/>
    <w:rsid w:val="00E43808"/>
    <w:rsid w:val="00E4600C"/>
    <w:rsid w:val="00E50DAB"/>
    <w:rsid w:val="00E52F93"/>
    <w:rsid w:val="00E66A37"/>
    <w:rsid w:val="00E76974"/>
    <w:rsid w:val="00E8306C"/>
    <w:rsid w:val="00E935FF"/>
    <w:rsid w:val="00E9611A"/>
    <w:rsid w:val="00EA1E55"/>
    <w:rsid w:val="00EB1538"/>
    <w:rsid w:val="00EB4F2C"/>
    <w:rsid w:val="00EE5199"/>
    <w:rsid w:val="00EE74E6"/>
    <w:rsid w:val="00F109D7"/>
    <w:rsid w:val="00F10F9B"/>
    <w:rsid w:val="00F111C7"/>
    <w:rsid w:val="00F156E1"/>
    <w:rsid w:val="00F27AB0"/>
    <w:rsid w:val="00F368C7"/>
    <w:rsid w:val="00F36B16"/>
    <w:rsid w:val="00F42614"/>
    <w:rsid w:val="00F46B7B"/>
    <w:rsid w:val="00F54DA7"/>
    <w:rsid w:val="00F564B8"/>
    <w:rsid w:val="00F5720A"/>
    <w:rsid w:val="00F60EC5"/>
    <w:rsid w:val="00F86818"/>
    <w:rsid w:val="00F91E9D"/>
    <w:rsid w:val="00FA3BE4"/>
    <w:rsid w:val="00FC605D"/>
    <w:rsid w:val="00FD03B3"/>
    <w:rsid w:val="00FD19E8"/>
    <w:rsid w:val="00FE2DE0"/>
    <w:rsid w:val="00FF103E"/>
    <w:rsid w:val="00FF3CA0"/>
    <w:rsid w:val="00FF7261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michael@occ.ohio.gov" TargetMode="External"/><Relationship Id="rId13" Type="http://schemas.openxmlformats.org/officeDocument/2006/relationships/hyperlink" Target="mailto:Robert.eubanks@ohioago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Jeanne.kingery@duke-energy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isa.vaysman@duke-energ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tthew.sandor@puco.ohio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cco.dascenzo@duke-energy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my.botschner.obrien@occ.ohio.gov" TargetMode="External"/><Relationship Id="rId14" Type="http://schemas.openxmlformats.org/officeDocument/2006/relationships/hyperlink" Target="mailto:Chelsea.fletcher@ohioago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13F5-3E46-4FF7-89C8-B8CE95BD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2021-11-08T13:58:00Z</dcterms:created>
  <dcterms:modified xsi:type="dcterms:W3CDTF">2021-11-08T20:30:00Z</dcterms:modified>
</cp:coreProperties>
</file>