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A044B5" w:rsidRPr="00DC06C4" w14:paraId="2E232AFA" w14:textId="77777777">
      <w:pPr>
        <w:pStyle w:val="HTMLPreformatted"/>
        <w:jc w:val="center"/>
        <w:rPr>
          <w:rFonts w:ascii="Times New Roman" w:hAnsi="Times New Roman" w:cs="Times New Roman"/>
          <w:b/>
          <w:bCs/>
          <w:sz w:val="24"/>
          <w:szCs w:val="24"/>
        </w:rPr>
      </w:pPr>
      <w:r w:rsidRPr="00DC06C4">
        <w:rPr>
          <w:rFonts w:ascii="Times New Roman" w:hAnsi="Times New Roman" w:cs="Times New Roman"/>
          <w:b/>
          <w:bCs/>
          <w:sz w:val="24"/>
          <w:szCs w:val="24"/>
        </w:rPr>
        <w:t>BEFORE</w:t>
      </w:r>
    </w:p>
    <w:p w:rsidR="00A044B5" w:rsidRPr="00DC06C4" w14:paraId="163497AF" w14:textId="77777777">
      <w:pPr>
        <w:pStyle w:val="HTMLPreformatted"/>
        <w:jc w:val="center"/>
        <w:rPr>
          <w:rFonts w:ascii="Times New Roman" w:hAnsi="Times New Roman" w:cs="Times New Roman"/>
          <w:sz w:val="24"/>
          <w:szCs w:val="24"/>
        </w:rPr>
      </w:pPr>
      <w:r w:rsidRPr="00DC06C4">
        <w:rPr>
          <w:rFonts w:ascii="Times New Roman" w:hAnsi="Times New Roman" w:cs="Times New Roman"/>
          <w:b/>
          <w:bCs/>
          <w:sz w:val="24"/>
          <w:szCs w:val="24"/>
        </w:rPr>
        <w:t>THE PUBLIC UTILITIES COMMISSION OF OHIO</w:t>
      </w:r>
    </w:p>
    <w:p w:rsidR="00A044B5" w:rsidRPr="00DC06C4" w14:paraId="2AE72F3E" w14:textId="77777777">
      <w:pPr>
        <w:pStyle w:val="HTMLPreformatted"/>
        <w:rPr>
          <w:rFonts w:ascii="Times New Roman" w:hAnsi="Times New Roman" w:cs="Times New Roman"/>
          <w:sz w:val="24"/>
          <w:szCs w:val="24"/>
        </w:rPr>
      </w:pPr>
    </w:p>
    <w:tbl>
      <w:tblPr>
        <w:tblW w:w="9092" w:type="dxa"/>
        <w:tblLook w:val="01E0"/>
      </w:tblPr>
      <w:tblGrid>
        <w:gridCol w:w="4332"/>
        <w:gridCol w:w="360"/>
        <w:gridCol w:w="4400"/>
      </w:tblGrid>
      <w:tr w14:paraId="5BFE9BA8" w14:textId="77777777" w:rsidTr="00A044B5">
        <w:tblPrEx>
          <w:tblW w:w="9092" w:type="dxa"/>
          <w:tblLook w:val="01E0"/>
        </w:tblPrEx>
        <w:trPr>
          <w:trHeight w:val="807"/>
        </w:trPr>
        <w:tc>
          <w:tcPr>
            <w:tcW w:w="4332" w:type="dxa"/>
            <w:shd w:val="clear" w:color="auto" w:fill="auto"/>
          </w:tcPr>
          <w:p w:rsidR="00A044B5" w:rsidRPr="00DC06C4" w:rsidP="00D30729" w14:paraId="25FA6765" w14:textId="32BF90F1">
            <w:pPr>
              <w:pStyle w:val="HTMLPreformatted"/>
              <w:rPr>
                <w:rFonts w:ascii="Times New Roman" w:hAnsi="Times New Roman" w:cs="Times New Roman"/>
                <w:sz w:val="24"/>
                <w:szCs w:val="24"/>
              </w:rPr>
            </w:pPr>
            <w:r w:rsidRPr="00DC06C4">
              <w:rPr>
                <w:rFonts w:ascii="Times New Roman" w:hAnsi="Times New Roman" w:cs="Times New Roman"/>
                <w:sz w:val="24"/>
                <w:szCs w:val="24"/>
              </w:rPr>
              <w:t>In the Matter of</w:t>
            </w:r>
            <w:r w:rsidRPr="00DC06C4" w:rsidR="00D30729">
              <w:rPr>
                <w:rFonts w:ascii="Times New Roman" w:hAnsi="Times New Roman" w:cs="Times New Roman"/>
                <w:sz w:val="24"/>
                <w:szCs w:val="24"/>
              </w:rPr>
              <w:t xml:space="preserve"> the </w:t>
            </w:r>
            <w:r w:rsidRPr="00DC06C4" w:rsidR="00802B57">
              <w:rPr>
                <w:rFonts w:ascii="Times New Roman" w:hAnsi="Times New Roman" w:cs="Times New Roman"/>
                <w:sz w:val="24"/>
                <w:szCs w:val="24"/>
              </w:rPr>
              <w:t>2020 Review of the Delivery Capital Recovery Rider of Ohio Edison Company, the Cleveland Electric Illuminating Company, and the Toledo Edison Company</w:t>
            </w:r>
            <w:r w:rsidRPr="00DC06C4" w:rsidR="006F5FAD">
              <w:rPr>
                <w:rFonts w:ascii="Times New Roman" w:hAnsi="Times New Roman" w:cs="Times New Roman"/>
                <w:sz w:val="24"/>
                <w:szCs w:val="24"/>
              </w:rPr>
              <w:t>.</w:t>
            </w:r>
          </w:p>
        </w:tc>
        <w:tc>
          <w:tcPr>
            <w:tcW w:w="360" w:type="dxa"/>
            <w:shd w:val="clear" w:color="auto" w:fill="auto"/>
          </w:tcPr>
          <w:p w:rsidR="00A044B5" w:rsidRPr="00DC06C4" w14:paraId="125D5A33" w14:textId="77777777">
            <w:pPr>
              <w:pStyle w:val="HTMLPreformatted"/>
              <w:rPr>
                <w:rFonts w:ascii="Times New Roman" w:hAnsi="Times New Roman" w:cs="Times New Roman"/>
                <w:sz w:val="24"/>
                <w:szCs w:val="24"/>
              </w:rPr>
            </w:pPr>
            <w:r w:rsidRPr="00DC06C4">
              <w:rPr>
                <w:rFonts w:ascii="Times New Roman" w:hAnsi="Times New Roman" w:cs="Times New Roman"/>
                <w:sz w:val="24"/>
                <w:szCs w:val="24"/>
              </w:rPr>
              <w:t>)</w:t>
            </w:r>
          </w:p>
          <w:p w:rsidR="00A044B5" w:rsidRPr="00DC06C4" w14:paraId="225A0C1A" w14:textId="77777777">
            <w:pPr>
              <w:pStyle w:val="HTMLPreformatted"/>
              <w:rPr>
                <w:rFonts w:ascii="Times New Roman" w:hAnsi="Times New Roman" w:cs="Times New Roman"/>
                <w:sz w:val="24"/>
                <w:szCs w:val="24"/>
              </w:rPr>
            </w:pPr>
            <w:r w:rsidRPr="00DC06C4">
              <w:rPr>
                <w:rFonts w:ascii="Times New Roman" w:hAnsi="Times New Roman" w:cs="Times New Roman"/>
                <w:sz w:val="24"/>
                <w:szCs w:val="24"/>
              </w:rPr>
              <w:t>)</w:t>
            </w:r>
          </w:p>
          <w:p w:rsidR="00A044B5" w:rsidRPr="00DC06C4" w14:paraId="738F1669" w14:textId="77777777">
            <w:pPr>
              <w:pStyle w:val="HTMLPreformatted"/>
              <w:rPr>
                <w:rFonts w:ascii="Times New Roman" w:hAnsi="Times New Roman" w:cs="Times New Roman"/>
                <w:sz w:val="24"/>
                <w:szCs w:val="24"/>
              </w:rPr>
            </w:pPr>
            <w:r w:rsidRPr="00DC06C4">
              <w:rPr>
                <w:rFonts w:ascii="Times New Roman" w:hAnsi="Times New Roman" w:cs="Times New Roman"/>
                <w:sz w:val="24"/>
                <w:szCs w:val="24"/>
              </w:rPr>
              <w:t>)</w:t>
            </w:r>
          </w:p>
          <w:p w:rsidR="00A044B5" w:rsidRPr="00DC06C4" w14:paraId="64433CD2" w14:textId="77777777">
            <w:pPr>
              <w:pStyle w:val="HTMLPreformatted"/>
              <w:rPr>
                <w:rFonts w:ascii="Times New Roman" w:hAnsi="Times New Roman" w:cs="Times New Roman"/>
                <w:sz w:val="24"/>
                <w:szCs w:val="24"/>
              </w:rPr>
            </w:pPr>
            <w:r w:rsidRPr="00DC06C4">
              <w:rPr>
                <w:rFonts w:ascii="Times New Roman" w:hAnsi="Times New Roman" w:cs="Times New Roman"/>
                <w:sz w:val="24"/>
                <w:szCs w:val="24"/>
              </w:rPr>
              <w:t>)</w:t>
            </w:r>
          </w:p>
          <w:p w:rsidR="00D30729" w:rsidRPr="00DC06C4" w14:paraId="535BB999" w14:textId="02812F71">
            <w:pPr>
              <w:pStyle w:val="HTMLPreformatted"/>
              <w:rPr>
                <w:rFonts w:ascii="Times New Roman" w:hAnsi="Times New Roman" w:cs="Times New Roman"/>
                <w:sz w:val="24"/>
                <w:szCs w:val="24"/>
              </w:rPr>
            </w:pPr>
            <w:r w:rsidRPr="00DC06C4">
              <w:rPr>
                <w:rFonts w:ascii="Times New Roman" w:hAnsi="Times New Roman" w:cs="Times New Roman"/>
                <w:sz w:val="24"/>
                <w:szCs w:val="24"/>
              </w:rPr>
              <w:t>)</w:t>
            </w:r>
          </w:p>
        </w:tc>
        <w:tc>
          <w:tcPr>
            <w:tcW w:w="4400" w:type="dxa"/>
            <w:shd w:val="clear" w:color="auto" w:fill="auto"/>
          </w:tcPr>
          <w:p w:rsidR="00A044B5" w:rsidRPr="00DC06C4" w14:paraId="00EBFB60" w14:textId="77777777">
            <w:pPr>
              <w:pStyle w:val="HTMLPreformatted"/>
              <w:rPr>
                <w:rFonts w:ascii="Times New Roman" w:hAnsi="Times New Roman" w:cs="Times New Roman"/>
                <w:sz w:val="24"/>
                <w:szCs w:val="24"/>
              </w:rPr>
            </w:pPr>
          </w:p>
          <w:p w:rsidR="00A044B5" w:rsidRPr="00DC06C4" w14:paraId="78174EB7" w14:textId="5444A4CD">
            <w:pPr>
              <w:pStyle w:val="HTMLPreformatted"/>
              <w:rPr>
                <w:rFonts w:ascii="Times New Roman" w:hAnsi="Times New Roman" w:cs="Times New Roman"/>
                <w:sz w:val="24"/>
                <w:szCs w:val="24"/>
              </w:rPr>
            </w:pPr>
            <w:r w:rsidRPr="00DC06C4">
              <w:rPr>
                <w:rFonts w:ascii="Times New Roman" w:hAnsi="Times New Roman" w:cs="Times New Roman"/>
                <w:sz w:val="24"/>
                <w:szCs w:val="24"/>
              </w:rPr>
              <w:t xml:space="preserve">Case No. </w:t>
            </w:r>
            <w:r w:rsidRPr="00DC06C4" w:rsidR="00802B57">
              <w:rPr>
                <w:rFonts w:ascii="Times New Roman" w:hAnsi="Times New Roman" w:cs="Times New Roman"/>
                <w:sz w:val="24"/>
                <w:szCs w:val="24"/>
              </w:rPr>
              <w:t>20-1629-EL-RDR</w:t>
            </w:r>
          </w:p>
          <w:p w:rsidR="00D30729" w:rsidRPr="00DC06C4" w14:paraId="11C4F899" w14:textId="36390352">
            <w:pPr>
              <w:pStyle w:val="HTMLPreformatted"/>
              <w:rPr>
                <w:rFonts w:ascii="Times New Roman" w:hAnsi="Times New Roman" w:cs="Times New Roman"/>
                <w:sz w:val="24"/>
                <w:szCs w:val="24"/>
              </w:rPr>
            </w:pPr>
          </w:p>
          <w:p w:rsidR="00A044B5" w:rsidRPr="00DC06C4" w14:paraId="3133AF34" w14:textId="77777777">
            <w:pPr>
              <w:pStyle w:val="HTMLPreformatted"/>
              <w:rPr>
                <w:rFonts w:ascii="Times New Roman" w:hAnsi="Times New Roman" w:cs="Times New Roman"/>
                <w:sz w:val="24"/>
                <w:szCs w:val="24"/>
              </w:rPr>
            </w:pPr>
          </w:p>
          <w:p w:rsidR="00A044B5" w:rsidRPr="00DC06C4" w14:paraId="26D5327D" w14:textId="77777777">
            <w:pPr>
              <w:pStyle w:val="HTMLPreformatted"/>
              <w:rPr>
                <w:rFonts w:ascii="Times New Roman" w:hAnsi="Times New Roman" w:cs="Times New Roman"/>
                <w:sz w:val="24"/>
                <w:szCs w:val="24"/>
              </w:rPr>
            </w:pPr>
          </w:p>
        </w:tc>
      </w:tr>
    </w:tbl>
    <w:p w:rsidR="00A044B5" w:rsidRPr="00DC06C4" w14:paraId="78247C0E" w14:textId="77777777">
      <w:pPr>
        <w:pStyle w:val="HTMLPreformatted"/>
        <w:rPr>
          <w:rFonts w:ascii="Times New Roman" w:hAnsi="Times New Roman" w:cs="Times New Roman"/>
          <w:sz w:val="24"/>
          <w:szCs w:val="24"/>
        </w:rPr>
      </w:pPr>
    </w:p>
    <w:p w:rsidR="00A044B5" w:rsidRPr="00DC06C4" w14:paraId="2AB8278A" w14:textId="77777777">
      <w:pPr>
        <w:pStyle w:val="HTMLPreformatted"/>
        <w:pBdr>
          <w:top w:val="single" w:sz="12" w:space="1" w:color="auto"/>
        </w:pBdr>
        <w:rPr>
          <w:rFonts w:ascii="Times New Roman" w:hAnsi="Times New Roman" w:cs="Times New Roman"/>
          <w:sz w:val="24"/>
          <w:szCs w:val="24"/>
        </w:rPr>
      </w:pPr>
    </w:p>
    <w:p w:rsidR="00A044B5" w:rsidRPr="00DC06C4" w14:paraId="75D195BF" w14:textId="77777777">
      <w:pPr>
        <w:jc w:val="center"/>
        <w:rPr>
          <w:b/>
          <w:bCs/>
          <w:szCs w:val="24"/>
        </w:rPr>
      </w:pPr>
      <w:r w:rsidRPr="00DC06C4">
        <w:rPr>
          <w:b/>
          <w:bCs/>
          <w:szCs w:val="24"/>
        </w:rPr>
        <w:t>MOTION TO INTERVENE</w:t>
      </w:r>
    </w:p>
    <w:p w:rsidR="00A044B5" w:rsidRPr="00DC06C4" w14:paraId="046ABE92" w14:textId="77777777">
      <w:pPr>
        <w:jc w:val="center"/>
        <w:rPr>
          <w:b/>
          <w:bCs/>
          <w:szCs w:val="24"/>
        </w:rPr>
      </w:pPr>
      <w:r w:rsidRPr="00DC06C4">
        <w:rPr>
          <w:b/>
          <w:bCs/>
          <w:szCs w:val="24"/>
        </w:rPr>
        <w:t>BY</w:t>
      </w:r>
    </w:p>
    <w:p w:rsidR="00A044B5" w:rsidRPr="00DC06C4" w14:paraId="0E1D9606" w14:textId="300B6049">
      <w:pPr>
        <w:jc w:val="center"/>
        <w:rPr>
          <w:b/>
          <w:bCs/>
          <w:szCs w:val="24"/>
        </w:rPr>
      </w:pPr>
      <w:r w:rsidRPr="00DC06C4">
        <w:rPr>
          <w:b/>
          <w:bCs/>
          <w:szCs w:val="24"/>
        </w:rPr>
        <w:t>OFFICE OF THE OHIO CONSUMERS’ COUNSEL</w:t>
      </w:r>
    </w:p>
    <w:p w:rsidR="00A044B5" w:rsidRPr="00DC06C4" w14:paraId="20111363" w14:textId="77777777">
      <w:pPr>
        <w:pBdr>
          <w:bottom w:val="single" w:sz="12" w:space="1" w:color="auto"/>
        </w:pBdr>
        <w:tabs>
          <w:tab w:val="left" w:pos="4320"/>
        </w:tabs>
        <w:rPr>
          <w:szCs w:val="24"/>
        </w:rPr>
      </w:pPr>
    </w:p>
    <w:p w:rsidR="00A044B5" w:rsidRPr="00DC06C4" w14:paraId="4A218113" w14:textId="77777777">
      <w:pPr>
        <w:tabs>
          <w:tab w:val="left" w:pos="4320"/>
        </w:tabs>
        <w:rPr>
          <w:szCs w:val="24"/>
        </w:rPr>
      </w:pPr>
    </w:p>
    <w:p w:rsidR="006B3BF4" w:rsidRPr="00DC06C4" w:rsidP="006B3BF4" w14:paraId="4C0B541F" w14:textId="195909A0">
      <w:pPr>
        <w:pStyle w:val="BodyTextIndent3"/>
        <w:widowControl w:val="0"/>
        <w:spacing w:line="480" w:lineRule="auto"/>
        <w:ind w:right="-312"/>
        <w:rPr>
          <w:szCs w:val="24"/>
        </w:rPr>
      </w:pPr>
      <w:r w:rsidRPr="00DC06C4">
        <w:rPr>
          <w:szCs w:val="24"/>
        </w:rPr>
        <w:t xml:space="preserve">This case </w:t>
      </w:r>
      <w:r w:rsidRPr="00DC06C4" w:rsidR="002E5AC5">
        <w:rPr>
          <w:szCs w:val="24"/>
        </w:rPr>
        <w:t xml:space="preserve">was already important for consumer protection when it was initiated as an     </w:t>
      </w:r>
      <w:r w:rsidRPr="00DC06C4">
        <w:rPr>
          <w:szCs w:val="24"/>
        </w:rPr>
        <w:t xml:space="preserve">annual audit of FirstEnergy Utilities’ so-called Delivery Capital Recover Rider (“DCR Charge”).  Under the DCR Charge, the FirstEnergy Utilities charge consumers hundreds of millions of dollars, including a return on and of their </w:t>
      </w:r>
      <w:r w:rsidRPr="00DC06C4" w:rsidR="00A95118">
        <w:rPr>
          <w:szCs w:val="24"/>
        </w:rPr>
        <w:t xml:space="preserve">distribution-related capital </w:t>
      </w:r>
      <w:r w:rsidRPr="00DC06C4">
        <w:rPr>
          <w:szCs w:val="24"/>
        </w:rPr>
        <w:t xml:space="preserve">investments. </w:t>
      </w:r>
      <w:r w:rsidRPr="00DC06C4" w:rsidR="002E5AC5">
        <w:rPr>
          <w:szCs w:val="24"/>
        </w:rPr>
        <w:t xml:space="preserve">This case has become all the more significant given recent </w:t>
      </w:r>
      <w:r w:rsidRPr="00DC06C4">
        <w:rPr>
          <w:szCs w:val="24"/>
        </w:rPr>
        <w:t xml:space="preserve">admissions by FirstEnergy that, through its internal H.B. 6 investigation, it has uncovered vendor </w:t>
      </w:r>
      <w:r w:rsidRPr="00DC06C4" w:rsidR="00E36439">
        <w:rPr>
          <w:szCs w:val="24"/>
        </w:rPr>
        <w:t>payments charged to the FirstEnergy Ohio Utilities (and potentially their customers) that were improper.</w:t>
      </w:r>
      <w:r>
        <w:rPr>
          <w:rStyle w:val="FootnoteReference"/>
          <w:szCs w:val="24"/>
        </w:rPr>
        <w:footnoteReference w:id="2"/>
      </w:r>
      <w:r w:rsidRPr="00DC06C4" w:rsidR="00E36439">
        <w:rPr>
          <w:szCs w:val="24"/>
        </w:rPr>
        <w:t xml:space="preserve">  </w:t>
      </w:r>
      <w:r w:rsidRPr="00DC06C4">
        <w:rPr>
          <w:szCs w:val="24"/>
        </w:rPr>
        <w:t>The U.S. Attorney has described the events giving rise to tainted House Bill 6 as “likely the largest bribery, money-laundering scheme ever perpetrated against the people in the state of Ohio.”</w:t>
      </w:r>
      <w:r>
        <w:rPr>
          <w:rStyle w:val="FootnoteReference"/>
          <w:szCs w:val="24"/>
        </w:rPr>
        <w:footnoteReference w:id="3"/>
      </w:r>
      <w:r w:rsidRPr="00DC06C4">
        <w:rPr>
          <w:szCs w:val="24"/>
        </w:rPr>
        <w:t xml:space="preserve">  </w:t>
      </w:r>
    </w:p>
    <w:p w:rsidR="001B3C94" w:rsidRPr="00DC06C4" w14:paraId="02369ACD" w14:textId="77777777">
      <w:pPr>
        <w:rPr>
          <w:szCs w:val="24"/>
        </w:rPr>
      </w:pPr>
      <w:r w:rsidRPr="00DC06C4">
        <w:rPr>
          <w:szCs w:val="24"/>
        </w:rPr>
        <w:br w:type="page"/>
      </w:r>
    </w:p>
    <w:p w:rsidR="002E13D1" w:rsidRPr="00DC06C4" w14:paraId="7839F352" w14:textId="107FF523">
      <w:pPr>
        <w:pStyle w:val="BodyTextIndent3"/>
        <w:widowControl w:val="0"/>
        <w:spacing w:line="480" w:lineRule="auto"/>
        <w:ind w:right="-312"/>
        <w:rPr>
          <w:szCs w:val="24"/>
        </w:rPr>
      </w:pPr>
      <w:r w:rsidRPr="00DC06C4">
        <w:rPr>
          <w:szCs w:val="24"/>
        </w:rPr>
        <w:t>Based on a filing in this case by the Public Utilities Commission of Ohio’s Staff (“PUCO Staff”),</w:t>
      </w:r>
      <w:r>
        <w:rPr>
          <w:rStyle w:val="FootnoteReference"/>
          <w:szCs w:val="24"/>
        </w:rPr>
        <w:footnoteReference w:id="4"/>
      </w:r>
      <w:r w:rsidRPr="00DC06C4">
        <w:rPr>
          <w:szCs w:val="24"/>
        </w:rPr>
        <w:t xml:space="preserve"> and an Entry by the Public Utilities Commission of Ohio (“PUCO”) itself,</w:t>
      </w:r>
      <w:r>
        <w:rPr>
          <w:rStyle w:val="FootnoteReference"/>
          <w:szCs w:val="24"/>
        </w:rPr>
        <w:footnoteReference w:id="5"/>
      </w:r>
      <w:r w:rsidRPr="00DC06C4">
        <w:rPr>
          <w:szCs w:val="24"/>
        </w:rPr>
        <w:t xml:space="preserve"> this annual audit </w:t>
      </w:r>
      <w:r w:rsidRPr="00DC06C4" w:rsidR="00E36439">
        <w:rPr>
          <w:szCs w:val="24"/>
        </w:rPr>
        <w:t xml:space="preserve">will be expanded to examine these issues.  </w:t>
      </w:r>
      <w:r w:rsidRPr="00DC06C4" w:rsidR="00EF4EA0">
        <w:rPr>
          <w:szCs w:val="24"/>
        </w:rPr>
        <w:t xml:space="preserve">  </w:t>
      </w:r>
    </w:p>
    <w:p w:rsidR="00607E83" w:rsidRPr="00DC06C4" w14:paraId="4401FC0B" w14:textId="5873B51F">
      <w:pPr>
        <w:pStyle w:val="BodyTextIndent3"/>
        <w:widowControl w:val="0"/>
        <w:spacing w:line="480" w:lineRule="auto"/>
        <w:ind w:right="-312"/>
        <w:rPr>
          <w:szCs w:val="24"/>
        </w:rPr>
      </w:pPr>
      <w:r w:rsidRPr="00DC06C4">
        <w:rPr>
          <w:szCs w:val="24"/>
        </w:rPr>
        <w:t>Specifically, PUCO Staff has asserted that after its review of the 10Q filed by FirstEnergy Corporation on February 18, 2021, it sent a data request to the FirstEnergy Utilities “for additional records related to a disclosure [in the 10Q] of ‘certain transactions . . . that were either improperly classified, misallocated . . . or lacked supporting documentation.’”</w:t>
      </w:r>
      <w:r>
        <w:rPr>
          <w:rStyle w:val="FootnoteReference"/>
          <w:szCs w:val="24"/>
        </w:rPr>
        <w:footnoteReference w:id="6"/>
      </w:r>
      <w:r w:rsidRPr="00DC06C4">
        <w:rPr>
          <w:szCs w:val="24"/>
        </w:rPr>
        <w:t xml:space="preserve">  Apparently, the FirstEnergy Utilities responded to the Staff’s inquiry, </w:t>
      </w:r>
      <w:r w:rsidRPr="00DC06C4" w:rsidR="00B44959">
        <w:rPr>
          <w:szCs w:val="24"/>
        </w:rPr>
        <w:t>providing them with information from the FirstEnergy internal investigation – information that OCC has repeatedly sought but been denied on the basis that the information its subject to attorney-client privilege</w:t>
      </w:r>
    </w:p>
    <w:p w:rsidR="00D25371" w:rsidRPr="00DC06C4" w14:paraId="3FF9F077" w14:textId="2B977483">
      <w:pPr>
        <w:pStyle w:val="BodyTextIndent3"/>
        <w:widowControl w:val="0"/>
        <w:spacing w:line="480" w:lineRule="auto"/>
        <w:ind w:right="-312"/>
        <w:rPr>
          <w:szCs w:val="24"/>
        </w:rPr>
      </w:pPr>
      <w:r w:rsidRPr="00DC06C4">
        <w:rPr>
          <w:szCs w:val="24"/>
        </w:rPr>
        <w:t xml:space="preserve">After reviewing the FirstEnergy Utilities’ response to the data request, PUCO Staff concluded that the independent auditor </w:t>
      </w:r>
      <w:r w:rsidRPr="00DC06C4" w:rsidR="00607E83">
        <w:rPr>
          <w:szCs w:val="24"/>
        </w:rPr>
        <w:t xml:space="preserve">in this proceeding </w:t>
      </w:r>
      <w:r w:rsidRPr="00DC06C4">
        <w:rPr>
          <w:szCs w:val="24"/>
        </w:rPr>
        <w:t>should “review these transactions to determine whether funds collected from ratepayers were used to pay these vendors and if so, whether or not the funds associated with those payments should be returned to ratepayers as part of the Commission’s review of the Utilities’ delivery capital recovery rider.”</w:t>
      </w:r>
      <w:r>
        <w:rPr>
          <w:rStyle w:val="FootnoteReference"/>
          <w:szCs w:val="24"/>
        </w:rPr>
        <w:footnoteReference w:id="7"/>
      </w:r>
      <w:r w:rsidRPr="00DC06C4">
        <w:rPr>
          <w:szCs w:val="24"/>
        </w:rPr>
        <w:t xml:space="preserve">  Accordingly, PUCO Staff requested that the PUCO expand the scope of the annual audit of the DCR Charge.</w:t>
      </w:r>
      <w:r>
        <w:rPr>
          <w:rStyle w:val="FootnoteReference"/>
          <w:szCs w:val="24"/>
        </w:rPr>
        <w:footnoteReference w:id="8"/>
      </w:r>
      <w:r w:rsidRPr="00DC06C4">
        <w:rPr>
          <w:szCs w:val="24"/>
        </w:rPr>
        <w:t xml:space="preserve">  </w:t>
      </w:r>
    </w:p>
    <w:p w:rsidR="00EF4EA0" w:rsidRPr="00DC06C4" w14:paraId="1F4501A7" w14:textId="502E4E1F">
      <w:pPr>
        <w:pStyle w:val="BodyTextIndent3"/>
        <w:widowControl w:val="0"/>
        <w:spacing w:line="480" w:lineRule="auto"/>
        <w:ind w:right="-312"/>
        <w:rPr>
          <w:szCs w:val="24"/>
        </w:rPr>
      </w:pPr>
      <w:r w:rsidRPr="00DC06C4">
        <w:rPr>
          <w:szCs w:val="24"/>
        </w:rPr>
        <w:t>The PUCO granted PUCO Staff’s request.</w:t>
      </w:r>
      <w:r>
        <w:rPr>
          <w:rStyle w:val="FootnoteReference"/>
          <w:szCs w:val="24"/>
        </w:rPr>
        <w:footnoteReference w:id="9"/>
      </w:r>
      <w:r w:rsidRPr="00DC06C4">
        <w:rPr>
          <w:szCs w:val="24"/>
        </w:rPr>
        <w:t xml:space="preserve">  In its Entry doing so, the PUCO explained: “Expansion of the scope of the review by the independent auditor in this case to include the disclosed vendor payments is consistent with our commitment to act in a reasoned and methodical </w:t>
      </w:r>
      <w:r w:rsidRPr="00DC06C4">
        <w:rPr>
          <w:szCs w:val="24"/>
        </w:rPr>
        <w:t>manner, based upon facts rather than speculation, in light of the recent allegations surrounding FirstEnergy Corp.” related to House Bill 6.</w:t>
      </w:r>
      <w:r>
        <w:rPr>
          <w:rStyle w:val="FootnoteReference"/>
          <w:szCs w:val="24"/>
        </w:rPr>
        <w:footnoteReference w:id="10"/>
      </w:r>
    </w:p>
    <w:p w:rsidR="00934CAD" w:rsidRPr="00DC06C4" w:rsidP="0035069A" w14:paraId="00DA69F2" w14:textId="03DD5170">
      <w:pPr>
        <w:pStyle w:val="BodyTextIndent3"/>
        <w:widowControl w:val="0"/>
        <w:spacing w:line="480" w:lineRule="auto"/>
        <w:ind w:right="-312"/>
        <w:rPr>
          <w:szCs w:val="24"/>
        </w:rPr>
      </w:pPr>
      <w:r w:rsidRPr="00DC06C4">
        <w:rPr>
          <w:szCs w:val="24"/>
        </w:rPr>
        <w:t xml:space="preserve">OCC </w:t>
      </w:r>
      <w:r w:rsidRPr="00DC06C4" w:rsidR="00671B23">
        <w:rPr>
          <w:szCs w:val="24"/>
        </w:rPr>
        <w:t>files this motion</w:t>
      </w:r>
      <w:r w:rsidRPr="00DC06C4" w:rsidR="00065F22">
        <w:rPr>
          <w:szCs w:val="24"/>
        </w:rPr>
        <w:t xml:space="preserve"> to intervene</w:t>
      </w:r>
      <w:r w:rsidRPr="00DC06C4">
        <w:rPr>
          <w:szCs w:val="24"/>
        </w:rPr>
        <w:t xml:space="preserve"> on</w:t>
      </w:r>
      <w:r w:rsidRPr="00DC06C4" w:rsidR="00D55177">
        <w:rPr>
          <w:szCs w:val="24"/>
        </w:rPr>
        <w:t xml:space="preserve"> behalf of </w:t>
      </w:r>
      <w:r w:rsidRPr="00DC06C4" w:rsidR="001D0897">
        <w:rPr>
          <w:szCs w:val="24"/>
        </w:rPr>
        <w:t>the</w:t>
      </w:r>
      <w:r w:rsidRPr="00DC06C4">
        <w:rPr>
          <w:szCs w:val="24"/>
        </w:rPr>
        <w:t xml:space="preserve"> </w:t>
      </w:r>
      <w:r w:rsidRPr="00DC06C4" w:rsidR="00D30729">
        <w:rPr>
          <w:szCs w:val="24"/>
        </w:rPr>
        <w:t xml:space="preserve">1.9 million </w:t>
      </w:r>
      <w:r w:rsidRPr="00DC06C4">
        <w:rPr>
          <w:szCs w:val="24"/>
        </w:rPr>
        <w:t xml:space="preserve">residential utility customers of </w:t>
      </w:r>
      <w:r w:rsidRPr="00DC06C4" w:rsidR="00D25371">
        <w:rPr>
          <w:szCs w:val="24"/>
        </w:rPr>
        <w:t xml:space="preserve">the </w:t>
      </w:r>
      <w:r w:rsidRPr="00DC06C4" w:rsidR="00D30729">
        <w:rPr>
          <w:szCs w:val="24"/>
        </w:rPr>
        <w:t>FirstEnergy</w:t>
      </w:r>
      <w:r w:rsidRPr="00DC06C4" w:rsidR="00D25371">
        <w:rPr>
          <w:szCs w:val="24"/>
        </w:rPr>
        <w:t xml:space="preserve"> Utilities</w:t>
      </w:r>
      <w:r w:rsidRPr="00DC06C4">
        <w:rPr>
          <w:szCs w:val="24"/>
        </w:rPr>
        <w:t xml:space="preserve">. </w:t>
      </w:r>
      <w:r w:rsidRPr="00DC06C4" w:rsidR="00671B23">
        <w:rPr>
          <w:szCs w:val="24"/>
        </w:rPr>
        <w:t>T</w:t>
      </w:r>
      <w:r w:rsidRPr="00DC06C4">
        <w:rPr>
          <w:szCs w:val="24"/>
        </w:rPr>
        <w:t xml:space="preserve">he </w:t>
      </w:r>
      <w:r w:rsidRPr="00DC06C4" w:rsidR="00641070">
        <w:rPr>
          <w:szCs w:val="24"/>
        </w:rPr>
        <w:t>PUCO</w:t>
      </w:r>
      <w:r w:rsidRPr="00DC06C4">
        <w:rPr>
          <w:szCs w:val="24"/>
        </w:rPr>
        <w:t xml:space="preserve"> should grant OCC’s </w:t>
      </w:r>
      <w:r w:rsidRPr="00DC06C4" w:rsidR="00D30729">
        <w:rPr>
          <w:szCs w:val="24"/>
        </w:rPr>
        <w:t>m</w:t>
      </w:r>
      <w:r w:rsidRPr="00DC06C4">
        <w:rPr>
          <w:szCs w:val="24"/>
        </w:rPr>
        <w:t xml:space="preserve">otion </w:t>
      </w:r>
      <w:r w:rsidRPr="00DC06C4" w:rsidR="00671B23">
        <w:rPr>
          <w:szCs w:val="24"/>
        </w:rPr>
        <w:t xml:space="preserve">for the reasons </w:t>
      </w:r>
      <w:r w:rsidRPr="00DC06C4">
        <w:rPr>
          <w:szCs w:val="24"/>
        </w:rPr>
        <w:t xml:space="preserve">set forth in the attached </w:t>
      </w:r>
      <w:r w:rsidRPr="00DC06C4" w:rsidR="00D30729">
        <w:rPr>
          <w:szCs w:val="24"/>
        </w:rPr>
        <w:t>m</w:t>
      </w:r>
      <w:r w:rsidRPr="00DC06C4">
        <w:rPr>
          <w:szCs w:val="24"/>
        </w:rPr>
        <w:t xml:space="preserve">emorandum in </w:t>
      </w:r>
      <w:r w:rsidRPr="00DC06C4" w:rsidR="00D30729">
        <w:rPr>
          <w:szCs w:val="24"/>
        </w:rPr>
        <w:t>s</w:t>
      </w:r>
      <w:r w:rsidRPr="00DC06C4">
        <w:rPr>
          <w:szCs w:val="24"/>
        </w:rPr>
        <w:t>upport.</w:t>
      </w:r>
    </w:p>
    <w:p w:rsidR="001B3C94" w:rsidRPr="00DC06C4" w:rsidP="001B3C94" w14:paraId="7843D016" w14:textId="77777777">
      <w:pPr>
        <w:ind w:left="2880" w:firstLine="720"/>
        <w:rPr>
          <w:szCs w:val="24"/>
        </w:rPr>
      </w:pPr>
    </w:p>
    <w:p w:rsidR="00802B57" w:rsidRPr="00DC06C4" w:rsidP="001B3C94" w14:paraId="0841623B" w14:textId="27F83631">
      <w:pPr>
        <w:ind w:left="2880" w:firstLine="720"/>
        <w:rPr>
          <w:szCs w:val="24"/>
        </w:rPr>
      </w:pPr>
      <w:r w:rsidRPr="00DC06C4">
        <w:rPr>
          <w:szCs w:val="24"/>
        </w:rPr>
        <w:t>Respectfully submitted,</w:t>
      </w:r>
    </w:p>
    <w:p w:rsidR="001B3C94" w:rsidRPr="00DC06C4" w:rsidP="001B3C94" w14:paraId="50A42DE0" w14:textId="77777777">
      <w:pPr>
        <w:ind w:left="2880" w:firstLine="720"/>
        <w:rPr>
          <w:szCs w:val="24"/>
        </w:rPr>
      </w:pPr>
    </w:p>
    <w:p w:rsidR="00802B57" w:rsidRPr="00DC06C4" w:rsidP="00802B57" w14:paraId="4F6217CC" w14:textId="77777777">
      <w:pPr>
        <w:pStyle w:val="Footer"/>
        <w:tabs>
          <w:tab w:val="left" w:pos="4320"/>
          <w:tab w:val="clear" w:pos="8640"/>
        </w:tabs>
        <w:ind w:left="3600"/>
        <w:rPr>
          <w:sz w:val="24"/>
          <w:szCs w:val="24"/>
        </w:rPr>
      </w:pPr>
      <w:r w:rsidRPr="00DC06C4">
        <w:rPr>
          <w:sz w:val="24"/>
          <w:szCs w:val="24"/>
        </w:rPr>
        <w:t>Bruce Weston (0016973)</w:t>
      </w:r>
    </w:p>
    <w:p w:rsidR="00802B57" w:rsidRPr="00DC06C4" w:rsidP="00802B57" w14:paraId="0137C6F4" w14:textId="77777777">
      <w:pPr>
        <w:tabs>
          <w:tab w:val="left" w:pos="4320"/>
        </w:tabs>
        <w:ind w:left="3600"/>
        <w:rPr>
          <w:szCs w:val="24"/>
        </w:rPr>
      </w:pPr>
      <w:r w:rsidRPr="00DC06C4">
        <w:rPr>
          <w:szCs w:val="24"/>
        </w:rPr>
        <w:t>Ohio Consumers’ Counsel</w:t>
      </w:r>
    </w:p>
    <w:p w:rsidR="00802B57" w:rsidRPr="00DC06C4" w:rsidP="00802B57" w14:paraId="53D829F3" w14:textId="77777777">
      <w:pPr>
        <w:tabs>
          <w:tab w:val="left" w:pos="4320"/>
        </w:tabs>
        <w:ind w:left="3600"/>
        <w:rPr>
          <w:szCs w:val="24"/>
        </w:rPr>
      </w:pPr>
      <w:r w:rsidRPr="00DC06C4">
        <w:rPr>
          <w:szCs w:val="24"/>
        </w:rPr>
        <w:tab/>
      </w:r>
    </w:p>
    <w:p w:rsidR="00802B57" w:rsidRPr="00DC06C4" w:rsidP="00802B57" w14:paraId="26CE28AB" w14:textId="77777777">
      <w:pPr>
        <w:tabs>
          <w:tab w:val="left" w:pos="4320"/>
        </w:tabs>
        <w:ind w:left="3600"/>
        <w:rPr>
          <w:szCs w:val="24"/>
        </w:rPr>
      </w:pPr>
      <w:r w:rsidRPr="00DC06C4">
        <w:rPr>
          <w:i/>
          <w:szCs w:val="24"/>
          <w:u w:val="single"/>
        </w:rPr>
        <w:t>/s/ William J. Michael</w:t>
      </w:r>
      <w:r w:rsidRPr="00DC06C4">
        <w:rPr>
          <w:i/>
          <w:szCs w:val="24"/>
          <w:u w:val="single"/>
        </w:rPr>
        <w:tab/>
      </w:r>
      <w:r w:rsidRPr="00DC06C4">
        <w:rPr>
          <w:i/>
          <w:szCs w:val="24"/>
          <w:u w:val="single"/>
        </w:rPr>
        <w:tab/>
      </w:r>
      <w:r w:rsidRPr="00DC06C4">
        <w:rPr>
          <w:szCs w:val="24"/>
        </w:rPr>
        <w:t xml:space="preserve"> </w:t>
      </w:r>
    </w:p>
    <w:p w:rsidR="00802B57" w:rsidRPr="00DC06C4" w:rsidP="00802B57" w14:paraId="4DFB01CF" w14:textId="77777777">
      <w:pPr>
        <w:tabs>
          <w:tab w:val="left" w:pos="4320"/>
        </w:tabs>
        <w:ind w:left="3600"/>
        <w:rPr>
          <w:szCs w:val="24"/>
        </w:rPr>
      </w:pPr>
      <w:r w:rsidRPr="00DC06C4">
        <w:rPr>
          <w:szCs w:val="24"/>
        </w:rPr>
        <w:t>William J. Michael (0070921)</w:t>
      </w:r>
    </w:p>
    <w:p w:rsidR="00802B57" w:rsidRPr="00DC06C4" w:rsidP="00802B57" w14:paraId="31814C4D" w14:textId="77777777">
      <w:pPr>
        <w:tabs>
          <w:tab w:val="left" w:pos="4320"/>
        </w:tabs>
        <w:ind w:left="3600"/>
        <w:rPr>
          <w:szCs w:val="24"/>
        </w:rPr>
      </w:pPr>
      <w:r w:rsidRPr="00DC06C4">
        <w:rPr>
          <w:szCs w:val="24"/>
        </w:rPr>
        <w:t xml:space="preserve">Counsel of Record </w:t>
      </w:r>
    </w:p>
    <w:p w:rsidR="00802B57" w:rsidRPr="00DC06C4" w:rsidP="00802B57" w14:paraId="4858E13E" w14:textId="77777777">
      <w:pPr>
        <w:tabs>
          <w:tab w:val="left" w:pos="4320"/>
        </w:tabs>
        <w:ind w:left="3600"/>
        <w:rPr>
          <w:szCs w:val="24"/>
        </w:rPr>
      </w:pPr>
      <w:r w:rsidRPr="00DC06C4">
        <w:rPr>
          <w:szCs w:val="24"/>
        </w:rPr>
        <w:t>Ambrosia E. Wilson (0096598)</w:t>
      </w:r>
    </w:p>
    <w:p w:rsidR="00802B57" w:rsidRPr="00DC06C4" w:rsidP="00802B57" w14:paraId="14C5D501" w14:textId="77777777">
      <w:pPr>
        <w:tabs>
          <w:tab w:val="left" w:pos="4320"/>
        </w:tabs>
        <w:ind w:left="3600"/>
        <w:rPr>
          <w:szCs w:val="24"/>
        </w:rPr>
      </w:pPr>
      <w:r w:rsidRPr="00DC06C4">
        <w:rPr>
          <w:szCs w:val="24"/>
        </w:rPr>
        <w:t>Assistant Consumers’ Counsel</w:t>
      </w:r>
    </w:p>
    <w:p w:rsidR="00802B57" w:rsidRPr="00DC06C4" w:rsidP="00802B57" w14:paraId="048933CD" w14:textId="77777777">
      <w:pPr>
        <w:tabs>
          <w:tab w:val="left" w:pos="4320"/>
        </w:tabs>
        <w:ind w:left="3600"/>
        <w:rPr>
          <w:szCs w:val="24"/>
        </w:rPr>
      </w:pPr>
      <w:r w:rsidRPr="00DC06C4">
        <w:rPr>
          <w:szCs w:val="24"/>
        </w:rPr>
        <w:tab/>
      </w:r>
    </w:p>
    <w:p w:rsidR="00802B57" w:rsidRPr="00DC06C4" w:rsidP="00802B57" w14:paraId="1E94E7F0" w14:textId="77777777">
      <w:pPr>
        <w:pStyle w:val="Heading1"/>
        <w:ind w:left="3600" w:right="-648"/>
        <w:rPr>
          <w:u w:val="none"/>
        </w:rPr>
      </w:pPr>
      <w:r w:rsidRPr="00DC06C4">
        <w:rPr>
          <w:u w:val="none"/>
        </w:rPr>
        <w:t>Office of the Ohio Consumers’ Counsel</w:t>
      </w:r>
    </w:p>
    <w:p w:rsidR="00802B57" w:rsidRPr="00DC06C4" w:rsidP="00802B57" w14:paraId="519298F6" w14:textId="77777777">
      <w:pPr>
        <w:pStyle w:val="Heading1"/>
        <w:ind w:left="3600" w:right="-648"/>
        <w:rPr>
          <w:b w:val="0"/>
          <w:u w:val="none"/>
        </w:rPr>
      </w:pPr>
      <w:r w:rsidRPr="00DC06C4">
        <w:rPr>
          <w:b w:val="0"/>
          <w:u w:val="none"/>
        </w:rPr>
        <w:t>65 East State Street, 7th Floor</w:t>
      </w:r>
    </w:p>
    <w:p w:rsidR="00802B57" w:rsidRPr="00DC06C4" w:rsidP="00802B57" w14:paraId="0002E6BE" w14:textId="77777777">
      <w:pPr>
        <w:pStyle w:val="Heading1"/>
        <w:ind w:left="3600" w:right="-648"/>
        <w:rPr>
          <w:b w:val="0"/>
          <w:u w:val="none"/>
        </w:rPr>
      </w:pPr>
      <w:r w:rsidRPr="00DC06C4">
        <w:rPr>
          <w:b w:val="0"/>
          <w:u w:val="none"/>
        </w:rPr>
        <w:t>Columbus, Ohio 43215-4213</w:t>
      </w:r>
    </w:p>
    <w:p w:rsidR="00802B57" w:rsidRPr="00DC06C4" w:rsidP="00802B57" w14:paraId="0A5AC48B" w14:textId="77777777">
      <w:pPr>
        <w:autoSpaceDE w:val="0"/>
        <w:autoSpaceDN w:val="0"/>
        <w:adjustRightInd w:val="0"/>
        <w:ind w:left="3600"/>
        <w:rPr>
          <w:szCs w:val="24"/>
        </w:rPr>
      </w:pPr>
      <w:r w:rsidRPr="00DC06C4">
        <w:rPr>
          <w:szCs w:val="24"/>
        </w:rPr>
        <w:t>Telephone [Michael]: (614) 466-1291</w:t>
      </w:r>
    </w:p>
    <w:p w:rsidR="00802B57" w:rsidRPr="00DC06C4" w:rsidP="00802B57" w14:paraId="5732C0D8" w14:textId="77777777">
      <w:pPr>
        <w:autoSpaceDE w:val="0"/>
        <w:autoSpaceDN w:val="0"/>
        <w:adjustRightInd w:val="0"/>
        <w:ind w:left="3600"/>
        <w:rPr>
          <w:szCs w:val="24"/>
        </w:rPr>
      </w:pPr>
      <w:r w:rsidRPr="00DC06C4">
        <w:rPr>
          <w:szCs w:val="24"/>
        </w:rPr>
        <w:t>Telephone [Wilson]: (614) 466-1292</w:t>
      </w:r>
    </w:p>
    <w:p w:rsidR="00802B57" w:rsidRPr="00DC06C4" w:rsidP="00802B57" w14:paraId="511CF68E" w14:textId="77777777">
      <w:pPr>
        <w:autoSpaceDE w:val="0"/>
        <w:autoSpaceDN w:val="0"/>
        <w:adjustRightInd w:val="0"/>
        <w:ind w:left="3600"/>
        <w:rPr>
          <w:szCs w:val="24"/>
        </w:rPr>
      </w:pPr>
      <w:hyperlink r:id="rId6" w:history="1">
        <w:r w:rsidRPr="00DC06C4" w:rsidR="00172DCD">
          <w:rPr>
            <w:rStyle w:val="Hyperlink"/>
            <w:szCs w:val="24"/>
          </w:rPr>
          <w:t>William.Michael@occ.ohio.gov</w:t>
        </w:r>
      </w:hyperlink>
    </w:p>
    <w:p w:rsidR="00802B57" w:rsidRPr="00DC06C4" w:rsidP="00802B57" w14:paraId="5F2B8F62" w14:textId="77777777">
      <w:pPr>
        <w:autoSpaceDE w:val="0"/>
        <w:autoSpaceDN w:val="0"/>
        <w:adjustRightInd w:val="0"/>
        <w:ind w:left="3600"/>
        <w:rPr>
          <w:szCs w:val="24"/>
        </w:rPr>
      </w:pPr>
      <w:hyperlink r:id="rId7" w:history="1">
        <w:r w:rsidRPr="00DC06C4" w:rsidR="00172DCD">
          <w:rPr>
            <w:rStyle w:val="Hyperlink"/>
            <w:szCs w:val="24"/>
          </w:rPr>
          <w:t>Ambrosia.Wilson@occ.ohio.gov</w:t>
        </w:r>
      </w:hyperlink>
    </w:p>
    <w:p w:rsidR="00802B57" w:rsidRPr="00DC06C4" w:rsidP="00802B57" w14:paraId="25288EBA" w14:textId="77777777">
      <w:pPr>
        <w:ind w:left="3600"/>
        <w:rPr>
          <w:szCs w:val="24"/>
        </w:rPr>
      </w:pPr>
      <w:r w:rsidRPr="00DC06C4">
        <w:rPr>
          <w:szCs w:val="24"/>
        </w:rPr>
        <w:t>(willing to accept service by e-mail)</w:t>
      </w:r>
    </w:p>
    <w:p w:rsidR="00B26D7F" w:rsidRPr="00DC06C4" w:rsidP="00D30729" w14:paraId="649E562E" w14:textId="77777777">
      <w:pPr>
        <w:pStyle w:val="HTMLPreformatted"/>
        <w:jc w:val="center"/>
        <w:rPr>
          <w:rFonts w:ascii="Times New Roman" w:hAnsi="Times New Roman" w:cs="Times New Roman"/>
          <w:b/>
          <w:bCs/>
          <w:sz w:val="24"/>
          <w:szCs w:val="24"/>
        </w:rPr>
        <w:sectPr w:rsidSect="0076297D">
          <w:footerReference w:type="default" r:id="rId8"/>
          <w:footerReference w:type="first" r:id="rId9"/>
          <w:pgSz w:w="12240" w:h="15840"/>
          <w:pgMar w:top="1440" w:right="1440" w:bottom="1440" w:left="1440" w:header="720" w:footer="720" w:gutter="0"/>
          <w:pgNumType w:start="1"/>
          <w:cols w:space="720"/>
          <w:titlePg/>
          <w:docGrid w:linePitch="326"/>
        </w:sectPr>
      </w:pPr>
    </w:p>
    <w:p w:rsidR="00D30729" w:rsidRPr="00DC06C4" w:rsidP="00D30729" w14:paraId="6654076A" w14:textId="57E418F5">
      <w:pPr>
        <w:pStyle w:val="HTMLPreformatted"/>
        <w:jc w:val="center"/>
        <w:rPr>
          <w:rFonts w:ascii="Times New Roman" w:hAnsi="Times New Roman" w:cs="Times New Roman"/>
          <w:b/>
          <w:bCs/>
          <w:sz w:val="24"/>
          <w:szCs w:val="24"/>
        </w:rPr>
      </w:pPr>
      <w:r w:rsidRPr="00DC06C4">
        <w:rPr>
          <w:rFonts w:ascii="Times New Roman" w:hAnsi="Times New Roman" w:cs="Times New Roman"/>
          <w:b/>
          <w:bCs/>
          <w:sz w:val="24"/>
          <w:szCs w:val="24"/>
        </w:rPr>
        <w:t>BEFORE</w:t>
      </w:r>
    </w:p>
    <w:p w:rsidR="00D30729" w:rsidRPr="00DC06C4" w:rsidP="00D30729" w14:paraId="40AD4938" w14:textId="49B72874">
      <w:pPr>
        <w:pStyle w:val="HTMLPreformatted"/>
        <w:jc w:val="center"/>
        <w:rPr>
          <w:rFonts w:ascii="Times New Roman" w:hAnsi="Times New Roman" w:cs="Times New Roman"/>
          <w:b/>
          <w:bCs/>
          <w:sz w:val="24"/>
          <w:szCs w:val="24"/>
        </w:rPr>
      </w:pPr>
      <w:r w:rsidRPr="00DC06C4">
        <w:rPr>
          <w:rFonts w:ascii="Times New Roman" w:hAnsi="Times New Roman" w:cs="Times New Roman"/>
          <w:b/>
          <w:bCs/>
          <w:sz w:val="24"/>
          <w:szCs w:val="24"/>
        </w:rPr>
        <w:t>THE PUBLIC UTILITIES COMMISSION OF OHIO</w:t>
      </w:r>
    </w:p>
    <w:p w:rsidR="00802B57" w:rsidRPr="00DC06C4" w:rsidP="00D30729" w14:paraId="1297D6CA" w14:textId="6617C565">
      <w:pPr>
        <w:pStyle w:val="HTMLPreformatted"/>
        <w:jc w:val="center"/>
        <w:rPr>
          <w:rFonts w:ascii="Times New Roman" w:hAnsi="Times New Roman" w:cs="Times New Roman"/>
          <w:b/>
          <w:bCs/>
          <w:sz w:val="24"/>
          <w:szCs w:val="24"/>
        </w:rPr>
      </w:pPr>
    </w:p>
    <w:tbl>
      <w:tblPr>
        <w:tblW w:w="9092" w:type="dxa"/>
        <w:tblLook w:val="01E0"/>
      </w:tblPr>
      <w:tblGrid>
        <w:gridCol w:w="4332"/>
        <w:gridCol w:w="360"/>
        <w:gridCol w:w="4400"/>
      </w:tblGrid>
      <w:tr w14:paraId="74C0074A" w14:textId="77777777" w:rsidTr="00722557">
        <w:tblPrEx>
          <w:tblW w:w="9092" w:type="dxa"/>
          <w:tblLook w:val="01E0"/>
        </w:tblPrEx>
        <w:trPr>
          <w:trHeight w:val="807"/>
        </w:trPr>
        <w:tc>
          <w:tcPr>
            <w:tcW w:w="4332" w:type="dxa"/>
            <w:shd w:val="clear" w:color="auto" w:fill="auto"/>
          </w:tcPr>
          <w:p w:rsidR="00802B57" w:rsidRPr="00DC06C4" w:rsidP="00722557" w14:paraId="4BF3CA65" w14:textId="77777777">
            <w:pPr>
              <w:pStyle w:val="HTMLPreformatted"/>
              <w:rPr>
                <w:rFonts w:ascii="Times New Roman" w:hAnsi="Times New Roman" w:cs="Times New Roman"/>
                <w:sz w:val="24"/>
                <w:szCs w:val="24"/>
              </w:rPr>
            </w:pPr>
            <w:r w:rsidRPr="00DC06C4">
              <w:rPr>
                <w:rFonts w:ascii="Times New Roman" w:hAnsi="Times New Roman" w:cs="Times New Roman"/>
                <w:sz w:val="24"/>
                <w:szCs w:val="24"/>
              </w:rPr>
              <w:t>In the Matter of the 2020 Review of the Delivery Capital Recovery Rider of Ohio Edison Company, the Cleveland Electric Illuminating Company, and the Toledo Edison Company.</w:t>
            </w:r>
          </w:p>
        </w:tc>
        <w:tc>
          <w:tcPr>
            <w:tcW w:w="360" w:type="dxa"/>
            <w:shd w:val="clear" w:color="auto" w:fill="auto"/>
          </w:tcPr>
          <w:p w:rsidR="00802B57" w:rsidRPr="00DC06C4" w:rsidP="00722557" w14:paraId="62A8753B" w14:textId="77777777">
            <w:pPr>
              <w:pStyle w:val="HTMLPreformatted"/>
              <w:rPr>
                <w:rFonts w:ascii="Times New Roman" w:hAnsi="Times New Roman" w:cs="Times New Roman"/>
                <w:sz w:val="24"/>
                <w:szCs w:val="24"/>
              </w:rPr>
            </w:pPr>
            <w:r w:rsidRPr="00DC06C4">
              <w:rPr>
                <w:rFonts w:ascii="Times New Roman" w:hAnsi="Times New Roman" w:cs="Times New Roman"/>
                <w:sz w:val="24"/>
                <w:szCs w:val="24"/>
              </w:rPr>
              <w:t>)</w:t>
            </w:r>
          </w:p>
          <w:p w:rsidR="00802B57" w:rsidRPr="00DC06C4" w:rsidP="00722557" w14:paraId="73A651E4" w14:textId="77777777">
            <w:pPr>
              <w:pStyle w:val="HTMLPreformatted"/>
              <w:rPr>
                <w:rFonts w:ascii="Times New Roman" w:hAnsi="Times New Roman" w:cs="Times New Roman"/>
                <w:sz w:val="24"/>
                <w:szCs w:val="24"/>
              </w:rPr>
            </w:pPr>
            <w:r w:rsidRPr="00DC06C4">
              <w:rPr>
                <w:rFonts w:ascii="Times New Roman" w:hAnsi="Times New Roman" w:cs="Times New Roman"/>
                <w:sz w:val="24"/>
                <w:szCs w:val="24"/>
              </w:rPr>
              <w:t>)</w:t>
            </w:r>
          </w:p>
          <w:p w:rsidR="00802B57" w:rsidRPr="00DC06C4" w:rsidP="00722557" w14:paraId="4EA08287" w14:textId="77777777">
            <w:pPr>
              <w:pStyle w:val="HTMLPreformatted"/>
              <w:rPr>
                <w:rFonts w:ascii="Times New Roman" w:hAnsi="Times New Roman" w:cs="Times New Roman"/>
                <w:sz w:val="24"/>
                <w:szCs w:val="24"/>
              </w:rPr>
            </w:pPr>
            <w:r w:rsidRPr="00DC06C4">
              <w:rPr>
                <w:rFonts w:ascii="Times New Roman" w:hAnsi="Times New Roman" w:cs="Times New Roman"/>
                <w:sz w:val="24"/>
                <w:szCs w:val="24"/>
              </w:rPr>
              <w:t>)</w:t>
            </w:r>
          </w:p>
          <w:p w:rsidR="00802B57" w:rsidRPr="00DC06C4" w:rsidP="00722557" w14:paraId="7EBC41B1" w14:textId="77777777">
            <w:pPr>
              <w:pStyle w:val="HTMLPreformatted"/>
              <w:rPr>
                <w:rFonts w:ascii="Times New Roman" w:hAnsi="Times New Roman" w:cs="Times New Roman"/>
                <w:sz w:val="24"/>
                <w:szCs w:val="24"/>
              </w:rPr>
            </w:pPr>
            <w:r w:rsidRPr="00DC06C4">
              <w:rPr>
                <w:rFonts w:ascii="Times New Roman" w:hAnsi="Times New Roman" w:cs="Times New Roman"/>
                <w:sz w:val="24"/>
                <w:szCs w:val="24"/>
              </w:rPr>
              <w:t>)</w:t>
            </w:r>
          </w:p>
          <w:p w:rsidR="00802B57" w:rsidRPr="00DC06C4" w:rsidP="00722557" w14:paraId="17311C8A" w14:textId="77777777">
            <w:pPr>
              <w:pStyle w:val="HTMLPreformatted"/>
              <w:rPr>
                <w:rFonts w:ascii="Times New Roman" w:hAnsi="Times New Roman" w:cs="Times New Roman"/>
                <w:sz w:val="24"/>
                <w:szCs w:val="24"/>
              </w:rPr>
            </w:pPr>
            <w:r w:rsidRPr="00DC06C4">
              <w:rPr>
                <w:rFonts w:ascii="Times New Roman" w:hAnsi="Times New Roman" w:cs="Times New Roman"/>
                <w:sz w:val="24"/>
                <w:szCs w:val="24"/>
              </w:rPr>
              <w:t>)</w:t>
            </w:r>
          </w:p>
        </w:tc>
        <w:tc>
          <w:tcPr>
            <w:tcW w:w="4400" w:type="dxa"/>
            <w:shd w:val="clear" w:color="auto" w:fill="auto"/>
          </w:tcPr>
          <w:p w:rsidR="00802B57" w:rsidRPr="00DC06C4" w:rsidP="00722557" w14:paraId="522089B6" w14:textId="77777777">
            <w:pPr>
              <w:pStyle w:val="HTMLPreformatted"/>
              <w:rPr>
                <w:rFonts w:ascii="Times New Roman" w:hAnsi="Times New Roman" w:cs="Times New Roman"/>
                <w:sz w:val="24"/>
                <w:szCs w:val="24"/>
              </w:rPr>
            </w:pPr>
          </w:p>
          <w:p w:rsidR="00802B57" w:rsidRPr="00DC06C4" w:rsidP="00722557" w14:paraId="454FF212" w14:textId="77777777">
            <w:pPr>
              <w:pStyle w:val="HTMLPreformatted"/>
              <w:rPr>
                <w:rFonts w:ascii="Times New Roman" w:hAnsi="Times New Roman" w:cs="Times New Roman"/>
                <w:sz w:val="24"/>
                <w:szCs w:val="24"/>
              </w:rPr>
            </w:pPr>
            <w:r w:rsidRPr="00DC06C4">
              <w:rPr>
                <w:rFonts w:ascii="Times New Roman" w:hAnsi="Times New Roman" w:cs="Times New Roman"/>
                <w:sz w:val="24"/>
                <w:szCs w:val="24"/>
              </w:rPr>
              <w:t>Case No. 20-1629-EL-RDR</w:t>
            </w:r>
          </w:p>
          <w:p w:rsidR="00802B57" w:rsidRPr="00DC06C4" w:rsidP="00722557" w14:paraId="2706660C" w14:textId="77777777">
            <w:pPr>
              <w:pStyle w:val="HTMLPreformatted"/>
              <w:rPr>
                <w:rFonts w:ascii="Times New Roman" w:hAnsi="Times New Roman" w:cs="Times New Roman"/>
                <w:sz w:val="24"/>
                <w:szCs w:val="24"/>
              </w:rPr>
            </w:pPr>
          </w:p>
          <w:p w:rsidR="00802B57" w:rsidRPr="00DC06C4" w:rsidP="00722557" w14:paraId="3B85951B" w14:textId="77777777">
            <w:pPr>
              <w:pStyle w:val="HTMLPreformatted"/>
              <w:rPr>
                <w:rFonts w:ascii="Times New Roman" w:hAnsi="Times New Roman" w:cs="Times New Roman"/>
                <w:sz w:val="24"/>
                <w:szCs w:val="24"/>
              </w:rPr>
            </w:pPr>
          </w:p>
          <w:p w:rsidR="00802B57" w:rsidRPr="00DC06C4" w:rsidP="00722557" w14:paraId="0EB5EFDF" w14:textId="77777777">
            <w:pPr>
              <w:pStyle w:val="HTMLPreformatted"/>
              <w:rPr>
                <w:rFonts w:ascii="Times New Roman" w:hAnsi="Times New Roman" w:cs="Times New Roman"/>
                <w:sz w:val="24"/>
                <w:szCs w:val="24"/>
              </w:rPr>
            </w:pPr>
          </w:p>
        </w:tc>
      </w:tr>
    </w:tbl>
    <w:p w:rsidR="00A044B5" w:rsidRPr="00DC06C4" w14:paraId="02778103" w14:textId="77777777">
      <w:pPr>
        <w:pStyle w:val="Heading2"/>
        <w:pBdr>
          <w:bottom w:val="single" w:sz="12" w:space="1" w:color="auto"/>
        </w:pBdr>
        <w:jc w:val="left"/>
        <w:rPr>
          <w:b w:val="0"/>
          <w:szCs w:val="24"/>
        </w:rPr>
      </w:pPr>
    </w:p>
    <w:p w:rsidR="00A044B5" w:rsidRPr="00DC06C4" w14:paraId="3D9D09EF" w14:textId="77777777">
      <w:pPr>
        <w:pStyle w:val="Heading2"/>
        <w:rPr>
          <w:szCs w:val="24"/>
        </w:rPr>
      </w:pPr>
    </w:p>
    <w:p w:rsidR="00A044B5" w:rsidRPr="00DC06C4" w14:paraId="4C92F85B" w14:textId="77777777">
      <w:pPr>
        <w:pStyle w:val="Heading2"/>
        <w:pBdr>
          <w:bottom w:val="single" w:sz="12" w:space="1" w:color="auto"/>
        </w:pBdr>
        <w:rPr>
          <w:szCs w:val="24"/>
        </w:rPr>
      </w:pPr>
      <w:r w:rsidRPr="00DC06C4">
        <w:rPr>
          <w:szCs w:val="24"/>
        </w:rPr>
        <w:t>MEMORANDUM IN SUPPORT</w:t>
      </w:r>
      <w:r w:rsidRPr="00DC06C4">
        <w:rPr>
          <w:szCs w:val="24"/>
        </w:rPr>
        <w:br/>
      </w:r>
    </w:p>
    <w:p w:rsidR="00A044B5" w:rsidRPr="00DC06C4" w14:paraId="3D4EA66E" w14:textId="77777777">
      <w:pPr>
        <w:pStyle w:val="BodyTextIndent"/>
        <w:spacing w:line="240" w:lineRule="auto"/>
        <w:ind w:firstLine="0"/>
        <w:rPr>
          <w:b/>
          <w:bCs/>
          <w:szCs w:val="24"/>
        </w:rPr>
      </w:pPr>
    </w:p>
    <w:p w:rsidR="00D30729" w:rsidRPr="00DC06C4" w14:paraId="5D4879C9" w14:textId="03CC04A6">
      <w:pPr>
        <w:pStyle w:val="BodyTextIndent3"/>
        <w:widowControl w:val="0"/>
        <w:spacing w:line="480" w:lineRule="auto"/>
        <w:ind w:right="-24"/>
        <w:rPr>
          <w:szCs w:val="24"/>
        </w:rPr>
      </w:pPr>
      <w:r w:rsidRPr="00DC06C4">
        <w:rPr>
          <w:szCs w:val="24"/>
        </w:rPr>
        <w:t xml:space="preserve"> </w:t>
      </w:r>
      <w:r w:rsidRPr="00DC06C4" w:rsidR="00D25371">
        <w:rPr>
          <w:szCs w:val="24"/>
        </w:rPr>
        <w:t xml:space="preserve">Under the DCR Charge, the FirstEnergy Utilities charge consumers hundreds of millions of dollars, including a return on and of their </w:t>
      </w:r>
      <w:r w:rsidRPr="00DC06C4" w:rsidR="00A95118">
        <w:rPr>
          <w:szCs w:val="24"/>
        </w:rPr>
        <w:t xml:space="preserve">distribution-related capital </w:t>
      </w:r>
      <w:r w:rsidRPr="00DC06C4" w:rsidR="00D25371">
        <w:rPr>
          <w:szCs w:val="24"/>
        </w:rPr>
        <w:t xml:space="preserve">investments.  OCC has long opposed such single-issue ratemaking, which allows utilities to charge their captive customers hundreds of millions of dollars without the consumer protections involved in a rate case.  As such, this annual audit of the DCR Charge is important to protecting consumers by making sure that they are not paying too much for </w:t>
      </w:r>
      <w:r w:rsidRPr="00DC06C4" w:rsidR="00133F79">
        <w:rPr>
          <w:szCs w:val="24"/>
        </w:rPr>
        <w:t>their electric service.  This is especially so here because this annual audit may involve issues arising out of tainted House Bill 6, as indicated by the PUCO Staff.</w:t>
      </w:r>
    </w:p>
    <w:p w:rsidR="00A044B5" w:rsidRPr="00DC06C4" w:rsidP="00FC072E" w14:paraId="5E6C0DE0" w14:textId="2D686374">
      <w:pPr>
        <w:pStyle w:val="BodyTextIndent3"/>
        <w:widowControl w:val="0"/>
        <w:spacing w:line="480" w:lineRule="auto"/>
        <w:ind w:right="-24"/>
        <w:rPr>
          <w:szCs w:val="24"/>
        </w:rPr>
      </w:pPr>
      <w:r w:rsidRPr="00DC06C4">
        <w:rPr>
          <w:szCs w:val="24"/>
        </w:rPr>
        <w:t>OCC has authority to represent the in</w:t>
      </w:r>
      <w:r w:rsidRPr="00DC06C4" w:rsidR="00A5514C">
        <w:rPr>
          <w:szCs w:val="24"/>
        </w:rPr>
        <w:t xml:space="preserve">terests of the </w:t>
      </w:r>
      <w:r w:rsidRPr="00DC06C4" w:rsidR="0076297D">
        <w:rPr>
          <w:szCs w:val="24"/>
        </w:rPr>
        <w:t xml:space="preserve">1.9 million </w:t>
      </w:r>
      <w:r w:rsidRPr="00DC06C4">
        <w:rPr>
          <w:szCs w:val="24"/>
        </w:rPr>
        <w:t xml:space="preserve">residential utility customers </w:t>
      </w:r>
      <w:r w:rsidRPr="00DC06C4" w:rsidR="00133F79">
        <w:rPr>
          <w:szCs w:val="24"/>
        </w:rPr>
        <w:t>the</w:t>
      </w:r>
      <w:r w:rsidRPr="00DC06C4">
        <w:rPr>
          <w:szCs w:val="24"/>
        </w:rPr>
        <w:t xml:space="preserve"> </w:t>
      </w:r>
      <w:r w:rsidRPr="00DC06C4" w:rsidR="0076297D">
        <w:rPr>
          <w:szCs w:val="24"/>
        </w:rPr>
        <w:t>FirstEnergy</w:t>
      </w:r>
      <w:r w:rsidRPr="00DC06C4" w:rsidR="00133F79">
        <w:rPr>
          <w:szCs w:val="24"/>
        </w:rPr>
        <w:t xml:space="preserve"> Utilities</w:t>
      </w:r>
      <w:r w:rsidRPr="00DC06C4">
        <w:rPr>
          <w:szCs w:val="24"/>
        </w:rPr>
        <w:t xml:space="preserve">, </w:t>
      </w:r>
      <w:r w:rsidRPr="00DC06C4" w:rsidR="0055107B">
        <w:rPr>
          <w:szCs w:val="24"/>
        </w:rPr>
        <w:t>under</w:t>
      </w:r>
      <w:r w:rsidRPr="00DC06C4">
        <w:rPr>
          <w:szCs w:val="24"/>
        </w:rPr>
        <w:t xml:space="preserve"> R.C. Chapter 4911.</w:t>
      </w:r>
      <w:r w:rsidRPr="00DC06C4" w:rsidR="00225CF0">
        <w:rPr>
          <w:szCs w:val="24"/>
        </w:rPr>
        <w:t xml:space="preserve"> </w:t>
      </w:r>
      <w:r w:rsidRPr="00DC06C4">
        <w:rPr>
          <w:szCs w:val="24"/>
        </w:rPr>
        <w:t xml:space="preserve"> R.C. 4903.221 provides, in part, that any person “who may be adversely affected” by a PUCO proceeding is entitled to seek in</w:t>
      </w:r>
      <w:r w:rsidRPr="00DC06C4" w:rsidR="002A4912">
        <w:rPr>
          <w:szCs w:val="24"/>
        </w:rPr>
        <w:t xml:space="preserve">tervention in that proceeding. </w:t>
      </w:r>
      <w:r w:rsidRPr="00DC06C4">
        <w:rPr>
          <w:szCs w:val="24"/>
        </w:rPr>
        <w:t>The interests of Ohio’s residential customers may be “adversely affected” by this case, especially if the customers were unrepresented in a pr</w:t>
      </w:r>
      <w:r w:rsidRPr="00DC06C4" w:rsidR="002A4912">
        <w:rPr>
          <w:szCs w:val="24"/>
        </w:rPr>
        <w:t xml:space="preserve">oceeding </w:t>
      </w:r>
      <w:r w:rsidRPr="00DC06C4" w:rsidR="0076297D">
        <w:rPr>
          <w:szCs w:val="24"/>
        </w:rPr>
        <w:t xml:space="preserve">where </w:t>
      </w:r>
      <w:r w:rsidRPr="00DC06C4" w:rsidR="00133F79">
        <w:rPr>
          <w:szCs w:val="24"/>
        </w:rPr>
        <w:t>the FirstEnergy Utilities</w:t>
      </w:r>
      <w:r w:rsidRPr="00DC06C4" w:rsidR="0076297D">
        <w:rPr>
          <w:szCs w:val="24"/>
        </w:rPr>
        <w:t xml:space="preserve"> </w:t>
      </w:r>
      <w:r w:rsidRPr="00DC06C4" w:rsidR="00B411E5">
        <w:rPr>
          <w:szCs w:val="24"/>
        </w:rPr>
        <w:t>have</w:t>
      </w:r>
      <w:r w:rsidRPr="00DC06C4" w:rsidR="00934CAD">
        <w:rPr>
          <w:szCs w:val="24"/>
        </w:rPr>
        <w:t xml:space="preserve"> charged</w:t>
      </w:r>
      <w:r w:rsidRPr="00DC06C4" w:rsidR="00101B82">
        <w:rPr>
          <w:szCs w:val="24"/>
        </w:rPr>
        <w:t xml:space="preserve"> them </w:t>
      </w:r>
      <w:r w:rsidRPr="00DC06C4" w:rsidR="00133F79">
        <w:rPr>
          <w:szCs w:val="24"/>
        </w:rPr>
        <w:t>hundreds of millions of dollars under the DCR Charge</w:t>
      </w:r>
      <w:r w:rsidRPr="00DC06C4" w:rsidR="00101B82">
        <w:rPr>
          <w:szCs w:val="24"/>
        </w:rPr>
        <w:t xml:space="preserve">. </w:t>
      </w:r>
      <w:r w:rsidRPr="00DC06C4">
        <w:rPr>
          <w:szCs w:val="24"/>
        </w:rPr>
        <w:t xml:space="preserve">Thus, this element of the intervention standard in R.C. 4903.221 is satisfied. </w:t>
      </w:r>
    </w:p>
    <w:p w:rsidR="00A044B5" w:rsidRPr="00DC06C4" w14:paraId="725D2389" w14:textId="77777777">
      <w:pPr>
        <w:spacing w:line="480" w:lineRule="auto"/>
        <w:ind w:firstLine="720"/>
        <w:rPr>
          <w:szCs w:val="24"/>
        </w:rPr>
      </w:pPr>
      <w:r w:rsidRPr="00DC06C4">
        <w:rPr>
          <w:szCs w:val="24"/>
        </w:rPr>
        <w:t>R.C. 490</w:t>
      </w:r>
      <w:r w:rsidRPr="00DC06C4" w:rsidR="002A4912">
        <w:rPr>
          <w:szCs w:val="24"/>
        </w:rPr>
        <w:t>3.221(B) requires the PUCO</w:t>
      </w:r>
      <w:r w:rsidRPr="00DC06C4">
        <w:rPr>
          <w:szCs w:val="24"/>
        </w:rPr>
        <w:t xml:space="preserve"> to consider the following criteria in ruling on motions to intervene:</w:t>
      </w:r>
    </w:p>
    <w:p w:rsidR="00A044B5" w:rsidRPr="00DC06C4" w:rsidP="0031242C" w14:paraId="7A2944D0" w14:textId="77777777">
      <w:pPr>
        <w:ind w:left="2160" w:right="720" w:hanging="720"/>
        <w:rPr>
          <w:szCs w:val="24"/>
        </w:rPr>
      </w:pPr>
      <w:r w:rsidRPr="00DC06C4">
        <w:rPr>
          <w:szCs w:val="24"/>
        </w:rPr>
        <w:t>(1)</w:t>
      </w:r>
      <w:r w:rsidRPr="00DC06C4">
        <w:rPr>
          <w:szCs w:val="24"/>
        </w:rPr>
        <w:tab/>
        <w:t>The nature and extent of the prospective intervenor’s interest;</w:t>
      </w:r>
    </w:p>
    <w:p w:rsidR="00A044B5" w:rsidRPr="00DC06C4" w:rsidP="0031242C" w14:paraId="1C41DE1E" w14:textId="77777777">
      <w:pPr>
        <w:spacing w:before="240"/>
        <w:ind w:left="2160" w:right="720" w:hanging="720"/>
        <w:rPr>
          <w:szCs w:val="24"/>
        </w:rPr>
      </w:pPr>
      <w:r w:rsidRPr="00DC06C4">
        <w:rPr>
          <w:szCs w:val="24"/>
        </w:rPr>
        <w:t>(2)</w:t>
      </w:r>
      <w:r w:rsidRPr="00DC06C4">
        <w:rPr>
          <w:szCs w:val="24"/>
        </w:rPr>
        <w:tab/>
        <w:t>The legal position advanced by the prospective intervenor and its probable relation to the merits of the case;</w:t>
      </w:r>
    </w:p>
    <w:p w:rsidR="00A044B5" w:rsidRPr="00DC06C4" w:rsidP="0031242C" w14:paraId="25F2F6CC" w14:textId="77777777">
      <w:pPr>
        <w:spacing w:before="240"/>
        <w:ind w:left="2160" w:right="720" w:hanging="720"/>
        <w:rPr>
          <w:szCs w:val="24"/>
        </w:rPr>
      </w:pPr>
      <w:r w:rsidRPr="00DC06C4">
        <w:rPr>
          <w:szCs w:val="24"/>
        </w:rPr>
        <w:t>(3)</w:t>
      </w:r>
      <w:r w:rsidRPr="00DC06C4">
        <w:rPr>
          <w:szCs w:val="24"/>
        </w:rPr>
        <w:tab/>
        <w:t>Whether the intervention by the prospective intervenor will unduly prolong or delay the proceeding</w:t>
      </w:r>
      <w:r w:rsidRPr="00DC06C4" w:rsidR="00E444D2">
        <w:rPr>
          <w:szCs w:val="24"/>
        </w:rPr>
        <w:t>s</w:t>
      </w:r>
      <w:r w:rsidRPr="00DC06C4">
        <w:rPr>
          <w:szCs w:val="24"/>
        </w:rPr>
        <w:t xml:space="preserve">; </w:t>
      </w:r>
    </w:p>
    <w:p w:rsidR="00A044B5" w:rsidRPr="00DC06C4" w:rsidP="0031242C" w14:paraId="74F2B80A" w14:textId="77777777">
      <w:pPr>
        <w:pStyle w:val="BodyTextIndent2"/>
        <w:tabs>
          <w:tab w:val="clear" w:pos="720"/>
        </w:tabs>
        <w:ind w:left="2160" w:right="720" w:hanging="720"/>
        <w:rPr>
          <w:szCs w:val="24"/>
        </w:rPr>
      </w:pPr>
      <w:r w:rsidRPr="00DC06C4">
        <w:rPr>
          <w:szCs w:val="24"/>
        </w:rPr>
        <w:t>(4)</w:t>
      </w:r>
      <w:r w:rsidRPr="00DC06C4">
        <w:rPr>
          <w:szCs w:val="24"/>
        </w:rPr>
        <w:tab/>
        <w:t>Whether the prospective intervenor will significantly contribute to full development and equitable resolution of the factual issues.</w:t>
      </w:r>
    </w:p>
    <w:p w:rsidR="00A044B5" w:rsidRPr="00DC06C4" w14:paraId="1E8B3FDC" w14:textId="2D8F5EE7">
      <w:pPr>
        <w:pStyle w:val="BodyTextIndent3"/>
        <w:spacing w:line="480" w:lineRule="auto"/>
        <w:rPr>
          <w:szCs w:val="24"/>
        </w:rPr>
      </w:pPr>
      <w:r w:rsidRPr="00DC06C4">
        <w:rPr>
          <w:szCs w:val="24"/>
        </w:rPr>
        <w:t xml:space="preserve">First, the nature and extent of OCC’s interest is representing </w:t>
      </w:r>
      <w:r w:rsidRPr="00DC06C4" w:rsidR="00133F79">
        <w:rPr>
          <w:szCs w:val="24"/>
        </w:rPr>
        <w:t>the FirstEnergy Utilities’</w:t>
      </w:r>
      <w:r w:rsidRPr="00DC06C4" w:rsidR="002B3385">
        <w:rPr>
          <w:szCs w:val="24"/>
        </w:rPr>
        <w:t xml:space="preserve"> </w:t>
      </w:r>
      <w:r w:rsidRPr="00DC06C4">
        <w:rPr>
          <w:szCs w:val="24"/>
        </w:rPr>
        <w:t xml:space="preserve">residential </w:t>
      </w:r>
      <w:r w:rsidRPr="00DC06C4" w:rsidR="002B3385">
        <w:rPr>
          <w:szCs w:val="24"/>
        </w:rPr>
        <w:t>consumers</w:t>
      </w:r>
      <w:r w:rsidRPr="00DC06C4" w:rsidR="0076297D">
        <w:rPr>
          <w:szCs w:val="24"/>
        </w:rPr>
        <w:t xml:space="preserve"> </w:t>
      </w:r>
      <w:r w:rsidRPr="00DC06C4" w:rsidR="002B3385">
        <w:rPr>
          <w:szCs w:val="24"/>
        </w:rPr>
        <w:t xml:space="preserve">in a case </w:t>
      </w:r>
      <w:r w:rsidRPr="00DC06C4" w:rsidR="00133F79">
        <w:rPr>
          <w:szCs w:val="24"/>
        </w:rPr>
        <w:t xml:space="preserve">potentially </w:t>
      </w:r>
      <w:r w:rsidRPr="00DC06C4" w:rsidR="00AC6B71">
        <w:rPr>
          <w:szCs w:val="24"/>
        </w:rPr>
        <w:t>involving</w:t>
      </w:r>
      <w:r w:rsidRPr="00DC06C4" w:rsidR="00842287">
        <w:rPr>
          <w:szCs w:val="24"/>
        </w:rPr>
        <w:t xml:space="preserve"> payments in furtherance of</w:t>
      </w:r>
      <w:r w:rsidRPr="00DC06C4" w:rsidR="00AC6B71">
        <w:rPr>
          <w:szCs w:val="24"/>
        </w:rPr>
        <w:t xml:space="preserve"> </w:t>
      </w:r>
      <w:r w:rsidRPr="00DC06C4" w:rsidR="000E0DD4">
        <w:rPr>
          <w:szCs w:val="24"/>
        </w:rPr>
        <w:t>an allegedly corrupt law</w:t>
      </w:r>
      <w:r w:rsidRPr="00DC06C4" w:rsidR="00842287">
        <w:rPr>
          <w:szCs w:val="24"/>
        </w:rPr>
        <w:t xml:space="preserve"> (H.B. 6)</w:t>
      </w:r>
      <w:r w:rsidRPr="00DC06C4" w:rsidR="00AC6B71">
        <w:rPr>
          <w:szCs w:val="24"/>
        </w:rPr>
        <w:t xml:space="preserve">, with </w:t>
      </w:r>
      <w:r w:rsidRPr="00DC06C4" w:rsidR="00842287">
        <w:rPr>
          <w:szCs w:val="24"/>
        </w:rPr>
        <w:t xml:space="preserve">the potential that </w:t>
      </w:r>
      <w:r w:rsidRPr="00DC06C4" w:rsidR="000E0DD4">
        <w:rPr>
          <w:szCs w:val="24"/>
        </w:rPr>
        <w:t>consumer</w:t>
      </w:r>
      <w:r w:rsidRPr="00DC06C4" w:rsidR="00842287">
        <w:rPr>
          <w:szCs w:val="24"/>
        </w:rPr>
        <w:t>s were charged for some of the corrupt activity</w:t>
      </w:r>
      <w:r w:rsidRPr="00DC06C4" w:rsidR="000E0DD4">
        <w:rPr>
          <w:szCs w:val="24"/>
        </w:rPr>
        <w:t xml:space="preserve"> </w:t>
      </w:r>
      <w:r w:rsidRPr="00DC06C4" w:rsidR="00842287">
        <w:rPr>
          <w:szCs w:val="24"/>
        </w:rPr>
        <w:t xml:space="preserve">to enact tainted H.B. 6 though the </w:t>
      </w:r>
      <w:r w:rsidRPr="00DC06C4" w:rsidR="00133F79">
        <w:rPr>
          <w:szCs w:val="24"/>
        </w:rPr>
        <w:t>DCR Charge</w:t>
      </w:r>
      <w:r w:rsidRPr="00DC06C4" w:rsidR="000E0DD4">
        <w:rPr>
          <w:szCs w:val="24"/>
        </w:rPr>
        <w:t xml:space="preserve">. </w:t>
      </w:r>
      <w:r w:rsidRPr="00DC06C4" w:rsidR="002A4912">
        <w:rPr>
          <w:szCs w:val="24"/>
        </w:rPr>
        <w:t xml:space="preserve"> </w:t>
      </w:r>
      <w:r w:rsidRPr="00DC06C4">
        <w:rPr>
          <w:szCs w:val="24"/>
        </w:rPr>
        <w:t xml:space="preserve">This interest is different than that of any other party and especially different than that of </w:t>
      </w:r>
      <w:r w:rsidRPr="00DC06C4" w:rsidR="00133F79">
        <w:rPr>
          <w:szCs w:val="24"/>
        </w:rPr>
        <w:t xml:space="preserve">the </w:t>
      </w:r>
      <w:r w:rsidRPr="00DC06C4" w:rsidR="00523808">
        <w:rPr>
          <w:szCs w:val="24"/>
        </w:rPr>
        <w:t>FirstEnergy</w:t>
      </w:r>
      <w:r w:rsidRPr="00DC06C4" w:rsidR="00133F79">
        <w:rPr>
          <w:szCs w:val="24"/>
        </w:rPr>
        <w:t xml:space="preserve"> Utilities</w:t>
      </w:r>
      <w:r w:rsidRPr="00DC06C4" w:rsidR="00523808">
        <w:rPr>
          <w:szCs w:val="24"/>
        </w:rPr>
        <w:t>,</w:t>
      </w:r>
      <w:r w:rsidRPr="00DC06C4">
        <w:rPr>
          <w:szCs w:val="24"/>
        </w:rPr>
        <w:t xml:space="preserve"> whose advocacy includes the financial interest of </w:t>
      </w:r>
      <w:r w:rsidRPr="00DC06C4" w:rsidR="0076297D">
        <w:rPr>
          <w:szCs w:val="24"/>
        </w:rPr>
        <w:t>shareholder</w:t>
      </w:r>
      <w:r w:rsidRPr="00DC06C4" w:rsidR="00764CFF">
        <w:rPr>
          <w:szCs w:val="24"/>
        </w:rPr>
        <w:t>s</w:t>
      </w:r>
      <w:r w:rsidRPr="00DC06C4">
        <w:rPr>
          <w:szCs w:val="24"/>
        </w:rPr>
        <w:t>.</w:t>
      </w:r>
    </w:p>
    <w:p w:rsidR="00A044B5" w:rsidRPr="00DC06C4" w14:paraId="5F1DA7DF" w14:textId="08E69569">
      <w:pPr>
        <w:pStyle w:val="Footer"/>
        <w:tabs>
          <w:tab w:val="clear" w:pos="4320"/>
          <w:tab w:val="clear" w:pos="8640"/>
        </w:tabs>
        <w:spacing w:line="480" w:lineRule="auto"/>
        <w:ind w:firstLine="720"/>
        <w:rPr>
          <w:sz w:val="24"/>
          <w:szCs w:val="24"/>
        </w:rPr>
      </w:pPr>
      <w:r w:rsidRPr="00DC06C4">
        <w:rPr>
          <w:sz w:val="24"/>
          <w:szCs w:val="24"/>
        </w:rPr>
        <w:t>Second, OCC’s advocacy for residential customers will include</w:t>
      </w:r>
      <w:r w:rsidRPr="00DC06C4" w:rsidR="0055107B">
        <w:rPr>
          <w:sz w:val="24"/>
          <w:szCs w:val="24"/>
        </w:rPr>
        <w:t>, among other things,</w:t>
      </w:r>
      <w:r w:rsidRPr="00DC06C4">
        <w:rPr>
          <w:sz w:val="24"/>
          <w:szCs w:val="24"/>
        </w:rPr>
        <w:t xml:space="preserve"> advancing the position that </w:t>
      </w:r>
      <w:r w:rsidRPr="00DC06C4" w:rsidR="00934CAD">
        <w:rPr>
          <w:sz w:val="24"/>
          <w:szCs w:val="24"/>
        </w:rPr>
        <w:t xml:space="preserve">residential </w:t>
      </w:r>
      <w:r w:rsidRPr="00DC06C4" w:rsidR="0076297D">
        <w:rPr>
          <w:sz w:val="24"/>
          <w:szCs w:val="24"/>
        </w:rPr>
        <w:t>customers should</w:t>
      </w:r>
      <w:r w:rsidRPr="00DC06C4" w:rsidR="000B556E">
        <w:rPr>
          <w:sz w:val="24"/>
          <w:szCs w:val="24"/>
        </w:rPr>
        <w:t xml:space="preserve"> </w:t>
      </w:r>
      <w:r w:rsidRPr="00DC06C4" w:rsidR="00133F79">
        <w:rPr>
          <w:sz w:val="24"/>
          <w:szCs w:val="24"/>
        </w:rPr>
        <w:t xml:space="preserve">pay only just and reasonable rates.  OCC will also advance the position, if warranted, that consumes should </w:t>
      </w:r>
      <w:r w:rsidRPr="00DC06C4" w:rsidR="000B556E">
        <w:rPr>
          <w:sz w:val="24"/>
          <w:szCs w:val="24"/>
        </w:rPr>
        <w:t xml:space="preserve">receive a refund for </w:t>
      </w:r>
      <w:r w:rsidRPr="00DC06C4" w:rsidR="00133F79">
        <w:rPr>
          <w:sz w:val="24"/>
          <w:szCs w:val="24"/>
        </w:rPr>
        <w:t>any</w:t>
      </w:r>
      <w:r w:rsidRPr="00DC06C4" w:rsidR="000B556E">
        <w:rPr>
          <w:sz w:val="24"/>
          <w:szCs w:val="24"/>
        </w:rPr>
        <w:t xml:space="preserve"> charges</w:t>
      </w:r>
      <w:r w:rsidRPr="00DC06C4" w:rsidR="00133F79">
        <w:rPr>
          <w:sz w:val="24"/>
          <w:szCs w:val="24"/>
        </w:rPr>
        <w:t xml:space="preserve"> under the DCR Charge used in connection with </w:t>
      </w:r>
      <w:r w:rsidRPr="00DC06C4" w:rsidR="000B556E">
        <w:rPr>
          <w:sz w:val="24"/>
          <w:szCs w:val="24"/>
        </w:rPr>
        <w:t>tainted H.B. 6</w:t>
      </w:r>
      <w:r w:rsidRPr="00DC06C4" w:rsidR="007D04E6">
        <w:rPr>
          <w:sz w:val="24"/>
          <w:szCs w:val="24"/>
        </w:rPr>
        <w:t>.</w:t>
      </w:r>
      <w:r w:rsidRPr="00DC06C4">
        <w:rPr>
          <w:sz w:val="24"/>
          <w:szCs w:val="24"/>
        </w:rPr>
        <w:t xml:space="preserve"> OCC’s position is therefore directly related to the merits of this case</w:t>
      </w:r>
      <w:r w:rsidRPr="00DC06C4" w:rsidR="0055107B">
        <w:rPr>
          <w:sz w:val="24"/>
          <w:szCs w:val="24"/>
        </w:rPr>
        <w:t>, which</w:t>
      </w:r>
      <w:r w:rsidRPr="00DC06C4">
        <w:rPr>
          <w:sz w:val="24"/>
          <w:szCs w:val="24"/>
        </w:rPr>
        <w:t xml:space="preserve"> is pending before the PUCO, the authority with regulatory control of public utilities’ rates and service quality in Ohio. </w:t>
      </w:r>
    </w:p>
    <w:p w:rsidR="00A044B5" w:rsidRPr="00DC06C4" w14:paraId="0FBE04C2" w14:textId="3B9F5237">
      <w:pPr>
        <w:pStyle w:val="BodyTextIndent3"/>
        <w:spacing w:line="480" w:lineRule="auto"/>
        <w:rPr>
          <w:szCs w:val="24"/>
        </w:rPr>
      </w:pPr>
      <w:r w:rsidRPr="00DC06C4">
        <w:rPr>
          <w:szCs w:val="24"/>
        </w:rPr>
        <w:t>Third, OCC’s intervention will not unduly prolong or delay the proceedings.</w:t>
      </w:r>
      <w:r w:rsidRPr="00DC06C4" w:rsidR="00225CF0">
        <w:rPr>
          <w:szCs w:val="24"/>
        </w:rPr>
        <w:t xml:space="preserve"> </w:t>
      </w:r>
      <w:r w:rsidRPr="00DC06C4">
        <w:rPr>
          <w:szCs w:val="24"/>
        </w:rPr>
        <w:t>OCC, with its longstanding expertise and experience in PUCO proceedings, will duly allow for the efficient processing of the case with consideration of the public interest.</w:t>
      </w:r>
    </w:p>
    <w:p w:rsidR="00A044B5" w:rsidRPr="00DC06C4" w14:paraId="07C94BCA" w14:textId="77777777">
      <w:pPr>
        <w:pStyle w:val="Footer"/>
        <w:tabs>
          <w:tab w:val="clear" w:pos="4320"/>
          <w:tab w:val="clear" w:pos="8640"/>
        </w:tabs>
        <w:spacing w:line="480" w:lineRule="auto"/>
        <w:ind w:firstLine="720"/>
        <w:rPr>
          <w:sz w:val="24"/>
          <w:szCs w:val="24"/>
        </w:rPr>
      </w:pPr>
      <w:r w:rsidRPr="00DC06C4">
        <w:rPr>
          <w:sz w:val="24"/>
          <w:szCs w:val="24"/>
        </w:rPr>
        <w:t>Fourth, OCC’s intervention will significantly contribute to full development and equitable res</w:t>
      </w:r>
      <w:r w:rsidRPr="00DC06C4" w:rsidR="002A4912">
        <w:rPr>
          <w:sz w:val="24"/>
          <w:szCs w:val="24"/>
        </w:rPr>
        <w:t xml:space="preserve">olution of the factual issues. </w:t>
      </w:r>
      <w:r w:rsidRPr="00DC06C4">
        <w:rPr>
          <w:sz w:val="24"/>
          <w:szCs w:val="24"/>
        </w:rPr>
        <w:t xml:space="preserve">OCC will obtain and develop information that the PUCO should consider for equitably and lawfully deciding the case in the public interest. </w:t>
      </w:r>
    </w:p>
    <w:p w:rsidR="00A044B5" w:rsidRPr="00DC06C4" w14:paraId="506D3888" w14:textId="770B6BD8">
      <w:pPr>
        <w:pStyle w:val="WW-BodyTextIndent3"/>
        <w:widowControl w:val="0"/>
        <w:spacing w:line="480" w:lineRule="auto"/>
        <w:ind w:right="-24"/>
        <w:rPr>
          <w:szCs w:val="24"/>
        </w:rPr>
      </w:pPr>
      <w:r w:rsidRPr="00DC06C4">
        <w:rPr>
          <w:szCs w:val="24"/>
        </w:rPr>
        <w:t>OCC also satisfies the intervention criteria in the Ohio Administrative Code (which are subordinate to the criteria that OCC satisf</w:t>
      </w:r>
      <w:r w:rsidRPr="00DC06C4" w:rsidR="002A4912">
        <w:rPr>
          <w:szCs w:val="24"/>
        </w:rPr>
        <w:t xml:space="preserve">ies in the Ohio Revised Code). </w:t>
      </w:r>
      <w:r w:rsidRPr="00DC06C4">
        <w:rPr>
          <w:szCs w:val="24"/>
        </w:rPr>
        <w:t>To intervene, a party should have a “real and substantial interest” according to O</w:t>
      </w:r>
      <w:r w:rsidRPr="00DC06C4" w:rsidR="002A4912">
        <w:rPr>
          <w:szCs w:val="24"/>
        </w:rPr>
        <w:t xml:space="preserve">hio Adm. Code 4901-1-11(A)(2). </w:t>
      </w:r>
      <w:r w:rsidRPr="00DC06C4">
        <w:rPr>
          <w:szCs w:val="24"/>
        </w:rPr>
        <w:t xml:space="preserve">As the advocate for residential utility customers, OCC has a very real and substantial interest in this case where </w:t>
      </w:r>
      <w:r w:rsidRPr="00DC06C4" w:rsidR="00934CAD">
        <w:rPr>
          <w:szCs w:val="24"/>
        </w:rPr>
        <w:t xml:space="preserve">customers </w:t>
      </w:r>
      <w:r w:rsidRPr="00DC06C4" w:rsidR="000B556E">
        <w:rPr>
          <w:szCs w:val="24"/>
        </w:rPr>
        <w:t xml:space="preserve">have </w:t>
      </w:r>
      <w:r w:rsidRPr="00DC06C4" w:rsidR="00133F79">
        <w:rPr>
          <w:szCs w:val="24"/>
        </w:rPr>
        <w:t xml:space="preserve">paid hundreds of millions of dollars under the DCR Charge, potentially in connection with a </w:t>
      </w:r>
      <w:r w:rsidRPr="00DC06C4" w:rsidR="00764CFF">
        <w:rPr>
          <w:szCs w:val="24"/>
        </w:rPr>
        <w:t>scandal-ridden law.</w:t>
      </w:r>
      <w:r w:rsidRPr="00DC06C4" w:rsidR="00225CF0">
        <w:rPr>
          <w:szCs w:val="24"/>
        </w:rPr>
        <w:t xml:space="preserve"> </w:t>
      </w:r>
    </w:p>
    <w:p w:rsidR="00A044B5" w:rsidRPr="00DC06C4" w14:paraId="091EA36F" w14:textId="2C28F896">
      <w:pPr>
        <w:pStyle w:val="BodyTextIndent3"/>
        <w:widowControl w:val="0"/>
        <w:spacing w:line="480" w:lineRule="auto"/>
        <w:ind w:right="-24"/>
        <w:rPr>
          <w:szCs w:val="24"/>
        </w:rPr>
      </w:pPr>
      <w:r w:rsidRPr="00DC06C4">
        <w:rPr>
          <w:szCs w:val="24"/>
        </w:rPr>
        <w:t>In addition, OCC meets the criteria of Ohio Adm. Code 4901-1-11(B)(1)-(4).</w:t>
      </w:r>
      <w:r w:rsidRPr="00DC06C4" w:rsidR="00225CF0">
        <w:rPr>
          <w:szCs w:val="24"/>
        </w:rPr>
        <w:t xml:space="preserve"> </w:t>
      </w:r>
      <w:r w:rsidRPr="00DC06C4">
        <w:rPr>
          <w:szCs w:val="24"/>
        </w:rPr>
        <w:t>These criteria mirror the statutory criteria in R.C. 4903.221(B)</w:t>
      </w:r>
      <w:r w:rsidRPr="00DC06C4" w:rsidR="0055107B">
        <w:rPr>
          <w:szCs w:val="24"/>
        </w:rPr>
        <w:t>,</w:t>
      </w:r>
      <w:r w:rsidRPr="00DC06C4">
        <w:rPr>
          <w:szCs w:val="24"/>
        </w:rPr>
        <w:t xml:space="preserve"> </w:t>
      </w:r>
      <w:r w:rsidRPr="00DC06C4" w:rsidR="0055107B">
        <w:rPr>
          <w:szCs w:val="24"/>
        </w:rPr>
        <w:t>which</w:t>
      </w:r>
      <w:r w:rsidRPr="00DC06C4">
        <w:rPr>
          <w:szCs w:val="24"/>
        </w:rPr>
        <w:t xml:space="preserve"> OCC already has </w:t>
      </w:r>
      <w:r w:rsidRPr="00DC06C4" w:rsidR="00B05C21">
        <w:rPr>
          <w:szCs w:val="24"/>
        </w:rPr>
        <w:t>addressed,</w:t>
      </w:r>
      <w:r w:rsidRPr="00DC06C4">
        <w:rPr>
          <w:szCs w:val="24"/>
        </w:rPr>
        <w:t xml:space="preserve"> and </w:t>
      </w:r>
      <w:r w:rsidRPr="00DC06C4" w:rsidR="0055107B">
        <w:rPr>
          <w:szCs w:val="24"/>
        </w:rPr>
        <w:t xml:space="preserve">which </w:t>
      </w:r>
      <w:r w:rsidRPr="00DC06C4">
        <w:rPr>
          <w:szCs w:val="24"/>
        </w:rPr>
        <w:t>OCC satisfies.</w:t>
      </w:r>
    </w:p>
    <w:p w:rsidR="00A044B5" w:rsidRPr="00DC06C4" w14:paraId="77708D9F" w14:textId="6D97EEC0">
      <w:pPr>
        <w:pStyle w:val="BodyTextIndent3"/>
        <w:widowControl w:val="0"/>
        <w:spacing w:line="480" w:lineRule="auto"/>
        <w:ind w:right="-24"/>
        <w:rPr>
          <w:szCs w:val="24"/>
        </w:rPr>
      </w:pPr>
      <w:r w:rsidRPr="00DC06C4">
        <w:rPr>
          <w:szCs w:val="24"/>
        </w:rPr>
        <w:t>Ohio Adm. Code 4901-1-11(</w:t>
      </w:r>
      <w:r w:rsidRPr="00DC06C4" w:rsidR="00A5514C">
        <w:rPr>
          <w:szCs w:val="24"/>
        </w:rPr>
        <w:t>B)(5) states that the PUCO</w:t>
      </w:r>
      <w:r w:rsidRPr="00DC06C4">
        <w:rPr>
          <w:szCs w:val="24"/>
        </w:rPr>
        <w:t xml:space="preserve"> shall consider </w:t>
      </w:r>
      <w:r w:rsidRPr="00DC06C4" w:rsidR="00760DE9">
        <w:rPr>
          <w:szCs w:val="24"/>
        </w:rPr>
        <w:t xml:space="preserve">“The </w:t>
      </w:r>
      <w:r w:rsidRPr="00DC06C4">
        <w:rPr>
          <w:szCs w:val="24"/>
        </w:rPr>
        <w:t>extent to which the person’s interest is rep</w:t>
      </w:r>
      <w:r w:rsidRPr="00DC06C4" w:rsidR="002A4912">
        <w:rPr>
          <w:szCs w:val="24"/>
        </w:rPr>
        <w:t xml:space="preserve">resented by existing parties.” </w:t>
      </w:r>
      <w:r w:rsidRPr="00DC06C4">
        <w:rPr>
          <w:szCs w:val="24"/>
        </w:rPr>
        <w:t>OCC does not concede the lawfulness of this criterion</w:t>
      </w:r>
      <w:r w:rsidRPr="00DC06C4" w:rsidR="00133F79">
        <w:rPr>
          <w:szCs w:val="24"/>
        </w:rPr>
        <w:t>.</w:t>
      </w:r>
      <w:r w:rsidRPr="00DC06C4" w:rsidR="00312966">
        <w:rPr>
          <w:szCs w:val="24"/>
        </w:rPr>
        <w:t xml:space="preserve"> </w:t>
      </w:r>
      <w:r w:rsidRPr="00DC06C4" w:rsidR="00133F79">
        <w:rPr>
          <w:szCs w:val="24"/>
        </w:rPr>
        <w:t xml:space="preserve"> </w:t>
      </w:r>
      <w:r w:rsidRPr="00DC06C4" w:rsidR="00312966">
        <w:rPr>
          <w:szCs w:val="24"/>
        </w:rPr>
        <w:t>But</w:t>
      </w:r>
      <w:r w:rsidRPr="00DC06C4">
        <w:rPr>
          <w:szCs w:val="24"/>
        </w:rPr>
        <w:t xml:space="preserve"> OCC satisfies this criterion in that it uniquely has been designated as the state representative of the interests of Ohio’s </w:t>
      </w:r>
      <w:r w:rsidRPr="00DC06C4" w:rsidR="002A4912">
        <w:rPr>
          <w:szCs w:val="24"/>
        </w:rPr>
        <w:t xml:space="preserve">residential utility customers. </w:t>
      </w:r>
      <w:r w:rsidRPr="00DC06C4">
        <w:rPr>
          <w:szCs w:val="24"/>
        </w:rPr>
        <w:t>That interest is different from, and not represented by, any other entity in Ohio.</w:t>
      </w:r>
    </w:p>
    <w:p w:rsidR="00B1088C" w:rsidRPr="00DC06C4" w:rsidP="00B26D7F" w14:paraId="5B676343" w14:textId="7000D701">
      <w:pPr>
        <w:pStyle w:val="WW-BodyTextIndent3"/>
        <w:widowControl w:val="0"/>
        <w:spacing w:line="480" w:lineRule="auto"/>
        <w:ind w:right="-24"/>
        <w:rPr>
          <w:szCs w:val="24"/>
        </w:rPr>
      </w:pPr>
      <w:r w:rsidRPr="00DC06C4">
        <w:rPr>
          <w:szCs w:val="24"/>
        </w:rPr>
        <w:t>Moreover, the Supreme Court of Ohio</w:t>
      </w:r>
      <w:r w:rsidRPr="00DC06C4" w:rsidR="0055107B">
        <w:rPr>
          <w:szCs w:val="24"/>
        </w:rPr>
        <w:t xml:space="preserve"> (“Court”)</w:t>
      </w:r>
      <w:r w:rsidRPr="00DC06C4">
        <w:rPr>
          <w:szCs w:val="24"/>
        </w:rPr>
        <w:t xml:space="preserve"> confirmed OCC’s right to intervene in PUCO proceedings, in deciding two appeals in which OCC claimed the PUCO erred</w:t>
      </w:r>
      <w:r w:rsidRPr="00DC06C4" w:rsidR="002A4912">
        <w:rPr>
          <w:szCs w:val="24"/>
        </w:rPr>
        <w:t xml:space="preserve"> by denying </w:t>
      </w:r>
    </w:p>
    <w:p w:rsidR="00A044B5" w:rsidRPr="00DC06C4" w:rsidP="00B1088C" w14:paraId="33F604B9" w14:textId="011345BF">
      <w:pPr>
        <w:pStyle w:val="WW-BodyTextIndent3"/>
        <w:widowControl w:val="0"/>
        <w:spacing w:line="480" w:lineRule="auto"/>
        <w:ind w:right="-24" w:firstLine="0"/>
        <w:rPr>
          <w:szCs w:val="24"/>
        </w:rPr>
      </w:pPr>
      <w:r w:rsidRPr="00DC06C4">
        <w:rPr>
          <w:szCs w:val="24"/>
        </w:rPr>
        <w:t xml:space="preserve">its interventions. </w:t>
      </w:r>
      <w:r w:rsidRPr="00DC06C4" w:rsidR="00C713E4">
        <w:rPr>
          <w:szCs w:val="24"/>
        </w:rPr>
        <w:t>The Court found that the PUCO abused its discretion in denying OCC’s interventions and that OCC should have been granted intervention in both proceedings.</w:t>
      </w:r>
      <w:r>
        <w:rPr>
          <w:rStyle w:val="FootnoteReference"/>
          <w:szCs w:val="24"/>
        </w:rPr>
        <w:footnoteReference w:id="11"/>
      </w:r>
      <w:r w:rsidRPr="00DC06C4" w:rsidR="00225CF0">
        <w:rPr>
          <w:szCs w:val="24"/>
        </w:rPr>
        <w:t xml:space="preserve"> </w:t>
      </w:r>
    </w:p>
    <w:p w:rsidR="00A044B5" w:rsidRPr="00DC06C4" w14:paraId="001FFFB5" w14:textId="1EE3841F">
      <w:pPr>
        <w:spacing w:line="480" w:lineRule="auto"/>
        <w:ind w:firstLine="720"/>
        <w:rPr>
          <w:szCs w:val="24"/>
        </w:rPr>
      </w:pPr>
      <w:r w:rsidRPr="00DC06C4">
        <w:rPr>
          <w:szCs w:val="24"/>
        </w:rPr>
        <w:t>OCC meets the criteria set forth in R.C. 4903.221, Ohio Adm. Code 4901-1-11, and the precedent established by the Supreme C</w:t>
      </w:r>
      <w:r w:rsidRPr="00DC06C4" w:rsidR="002A4912">
        <w:rPr>
          <w:szCs w:val="24"/>
        </w:rPr>
        <w:t xml:space="preserve">ourt of Ohio for intervention. </w:t>
      </w:r>
      <w:r w:rsidRPr="00DC06C4">
        <w:rPr>
          <w:szCs w:val="24"/>
        </w:rPr>
        <w:t xml:space="preserve">On behalf of Ohio residential </w:t>
      </w:r>
      <w:r w:rsidRPr="00DC06C4" w:rsidR="00312966">
        <w:rPr>
          <w:szCs w:val="24"/>
        </w:rPr>
        <w:t>consumers</w:t>
      </w:r>
      <w:r w:rsidRPr="00DC06C4" w:rsidR="00A5514C">
        <w:rPr>
          <w:szCs w:val="24"/>
        </w:rPr>
        <w:t>, the PUCO</w:t>
      </w:r>
      <w:r w:rsidRPr="00DC06C4">
        <w:rPr>
          <w:szCs w:val="24"/>
        </w:rPr>
        <w:t xml:space="preserve"> should grant OCC’s Motion to Intervene.</w:t>
      </w:r>
    </w:p>
    <w:p w:rsidR="00272ED4" w:rsidRPr="00DC06C4" w:rsidP="006F5FAD" w14:paraId="07FF168B" w14:textId="77777777">
      <w:pPr>
        <w:rPr>
          <w:szCs w:val="24"/>
        </w:rPr>
      </w:pPr>
      <w:r w:rsidRPr="00DC06C4">
        <w:rPr>
          <w:szCs w:val="24"/>
        </w:rPr>
        <w:tab/>
      </w:r>
      <w:r w:rsidRPr="00DC06C4">
        <w:rPr>
          <w:szCs w:val="24"/>
        </w:rPr>
        <w:tab/>
      </w:r>
      <w:r w:rsidRPr="00DC06C4">
        <w:rPr>
          <w:szCs w:val="24"/>
        </w:rPr>
        <w:tab/>
      </w:r>
      <w:r w:rsidRPr="00DC06C4">
        <w:rPr>
          <w:szCs w:val="24"/>
        </w:rPr>
        <w:tab/>
      </w:r>
      <w:r w:rsidRPr="00DC06C4">
        <w:rPr>
          <w:szCs w:val="24"/>
        </w:rPr>
        <w:tab/>
      </w:r>
      <w:r w:rsidRPr="00DC06C4">
        <w:rPr>
          <w:szCs w:val="24"/>
        </w:rPr>
        <w:tab/>
      </w:r>
    </w:p>
    <w:p w:rsidR="00B26D7F" w:rsidRPr="00DC06C4" w:rsidP="00802B57" w14:paraId="57B26EDF" w14:textId="77777777">
      <w:pPr>
        <w:pStyle w:val="BodyTextIndent3"/>
        <w:widowControl w:val="0"/>
        <w:spacing w:line="480" w:lineRule="auto"/>
        <w:ind w:left="3600" w:right="-312" w:firstLine="0"/>
        <w:rPr>
          <w:szCs w:val="24"/>
        </w:rPr>
        <w:sectPr w:rsidSect="0076297D">
          <w:pgSz w:w="12240" w:h="15840"/>
          <w:pgMar w:top="1440" w:right="1440" w:bottom="1440" w:left="1440" w:header="720" w:footer="720" w:gutter="0"/>
          <w:pgNumType w:start="1"/>
          <w:cols w:space="720"/>
          <w:titlePg/>
          <w:docGrid w:linePitch="326"/>
        </w:sectPr>
      </w:pPr>
    </w:p>
    <w:p w:rsidR="00802B57" w:rsidRPr="00DC06C4" w:rsidP="00802B57" w14:paraId="411FD2A7" w14:textId="6B452BE9">
      <w:pPr>
        <w:pStyle w:val="BodyTextIndent3"/>
        <w:widowControl w:val="0"/>
        <w:spacing w:line="480" w:lineRule="auto"/>
        <w:ind w:left="3600" w:right="-312" w:firstLine="0"/>
        <w:rPr>
          <w:szCs w:val="24"/>
        </w:rPr>
      </w:pPr>
      <w:r w:rsidRPr="00DC06C4">
        <w:rPr>
          <w:szCs w:val="24"/>
        </w:rPr>
        <w:t>Respectfully submitted,</w:t>
      </w:r>
    </w:p>
    <w:p w:rsidR="00802B57" w:rsidRPr="00DC06C4" w:rsidP="00802B57" w14:paraId="7CE139F0" w14:textId="77777777">
      <w:pPr>
        <w:pStyle w:val="Footer"/>
        <w:tabs>
          <w:tab w:val="left" w:pos="4320"/>
          <w:tab w:val="clear" w:pos="8640"/>
        </w:tabs>
        <w:ind w:left="3600"/>
        <w:rPr>
          <w:sz w:val="24"/>
          <w:szCs w:val="24"/>
        </w:rPr>
      </w:pPr>
      <w:r w:rsidRPr="00DC06C4">
        <w:rPr>
          <w:sz w:val="24"/>
          <w:szCs w:val="24"/>
        </w:rPr>
        <w:t>Bruce Weston (0016973)</w:t>
      </w:r>
    </w:p>
    <w:p w:rsidR="00802B57" w:rsidRPr="00DC06C4" w:rsidP="00802B57" w14:paraId="6778B441" w14:textId="77777777">
      <w:pPr>
        <w:tabs>
          <w:tab w:val="left" w:pos="4320"/>
        </w:tabs>
        <w:ind w:left="3600"/>
        <w:rPr>
          <w:szCs w:val="24"/>
        </w:rPr>
      </w:pPr>
      <w:r w:rsidRPr="00DC06C4">
        <w:rPr>
          <w:szCs w:val="24"/>
        </w:rPr>
        <w:t>Ohio Consumers’ Counsel</w:t>
      </w:r>
    </w:p>
    <w:p w:rsidR="00802B57" w:rsidRPr="00DC06C4" w:rsidP="00802B57" w14:paraId="1CA81C6C" w14:textId="77777777">
      <w:pPr>
        <w:tabs>
          <w:tab w:val="left" w:pos="4320"/>
        </w:tabs>
        <w:ind w:left="3600"/>
        <w:rPr>
          <w:szCs w:val="24"/>
        </w:rPr>
      </w:pPr>
      <w:r w:rsidRPr="00DC06C4">
        <w:rPr>
          <w:szCs w:val="24"/>
        </w:rPr>
        <w:tab/>
      </w:r>
    </w:p>
    <w:p w:rsidR="00802B57" w:rsidRPr="00DC06C4" w:rsidP="00802B57" w14:paraId="785729E8" w14:textId="77777777">
      <w:pPr>
        <w:tabs>
          <w:tab w:val="left" w:pos="4320"/>
        </w:tabs>
        <w:ind w:left="3600"/>
        <w:rPr>
          <w:szCs w:val="24"/>
        </w:rPr>
      </w:pPr>
      <w:r w:rsidRPr="00DC06C4">
        <w:rPr>
          <w:i/>
          <w:szCs w:val="24"/>
          <w:u w:val="single"/>
        </w:rPr>
        <w:t>/s/ William J. Michael</w:t>
      </w:r>
      <w:r w:rsidRPr="00DC06C4">
        <w:rPr>
          <w:i/>
          <w:szCs w:val="24"/>
          <w:u w:val="single"/>
        </w:rPr>
        <w:tab/>
      </w:r>
      <w:r w:rsidRPr="00DC06C4">
        <w:rPr>
          <w:i/>
          <w:szCs w:val="24"/>
          <w:u w:val="single"/>
        </w:rPr>
        <w:tab/>
      </w:r>
      <w:r w:rsidRPr="00DC06C4">
        <w:rPr>
          <w:szCs w:val="24"/>
        </w:rPr>
        <w:t xml:space="preserve"> </w:t>
      </w:r>
    </w:p>
    <w:p w:rsidR="00802B57" w:rsidRPr="00DC06C4" w:rsidP="00802B57" w14:paraId="42EF9ED8" w14:textId="77777777">
      <w:pPr>
        <w:tabs>
          <w:tab w:val="left" w:pos="4320"/>
        </w:tabs>
        <w:ind w:left="3600"/>
        <w:rPr>
          <w:szCs w:val="24"/>
        </w:rPr>
      </w:pPr>
      <w:r w:rsidRPr="00DC06C4">
        <w:rPr>
          <w:szCs w:val="24"/>
        </w:rPr>
        <w:t>William J. Michael (0070921)</w:t>
      </w:r>
    </w:p>
    <w:p w:rsidR="00802B57" w:rsidRPr="00DC06C4" w:rsidP="00802B57" w14:paraId="7DAD9E28" w14:textId="77777777">
      <w:pPr>
        <w:tabs>
          <w:tab w:val="left" w:pos="4320"/>
        </w:tabs>
        <w:ind w:left="3600"/>
        <w:rPr>
          <w:szCs w:val="24"/>
        </w:rPr>
      </w:pPr>
      <w:r w:rsidRPr="00DC06C4">
        <w:rPr>
          <w:szCs w:val="24"/>
        </w:rPr>
        <w:t xml:space="preserve">Counsel of Record </w:t>
      </w:r>
    </w:p>
    <w:p w:rsidR="00802B57" w:rsidRPr="00DC06C4" w:rsidP="00802B57" w14:paraId="08994EA2" w14:textId="77777777">
      <w:pPr>
        <w:tabs>
          <w:tab w:val="left" w:pos="4320"/>
        </w:tabs>
        <w:ind w:left="3600"/>
        <w:rPr>
          <w:szCs w:val="24"/>
        </w:rPr>
      </w:pPr>
      <w:r w:rsidRPr="00DC06C4">
        <w:rPr>
          <w:szCs w:val="24"/>
        </w:rPr>
        <w:t>Ambrosia E. Wilson (0096598)</w:t>
      </w:r>
    </w:p>
    <w:p w:rsidR="00802B57" w:rsidRPr="00DC06C4" w:rsidP="00802B57" w14:paraId="7C6A581E" w14:textId="77777777">
      <w:pPr>
        <w:tabs>
          <w:tab w:val="left" w:pos="4320"/>
        </w:tabs>
        <w:ind w:left="3600"/>
        <w:rPr>
          <w:szCs w:val="24"/>
        </w:rPr>
      </w:pPr>
      <w:r w:rsidRPr="00DC06C4">
        <w:rPr>
          <w:szCs w:val="24"/>
        </w:rPr>
        <w:t>Assistant Consumers’ Counsel</w:t>
      </w:r>
    </w:p>
    <w:p w:rsidR="00802B57" w:rsidRPr="00DC06C4" w:rsidP="00802B57" w14:paraId="16C36ABE" w14:textId="77777777">
      <w:pPr>
        <w:tabs>
          <w:tab w:val="left" w:pos="4320"/>
        </w:tabs>
        <w:ind w:left="3600"/>
        <w:rPr>
          <w:szCs w:val="24"/>
        </w:rPr>
      </w:pPr>
      <w:r w:rsidRPr="00DC06C4">
        <w:rPr>
          <w:szCs w:val="24"/>
        </w:rPr>
        <w:tab/>
      </w:r>
    </w:p>
    <w:p w:rsidR="00802B57" w:rsidRPr="00DC06C4" w:rsidP="00802B57" w14:paraId="61E2A79B" w14:textId="77777777">
      <w:pPr>
        <w:pStyle w:val="Heading1"/>
        <w:ind w:left="3600" w:right="-648"/>
        <w:rPr>
          <w:u w:val="none"/>
        </w:rPr>
      </w:pPr>
      <w:r w:rsidRPr="00DC06C4">
        <w:rPr>
          <w:u w:val="none"/>
        </w:rPr>
        <w:t>Office of the Ohio Consumers’ Counsel</w:t>
      </w:r>
    </w:p>
    <w:p w:rsidR="00802B57" w:rsidRPr="00DC06C4" w:rsidP="00802B57" w14:paraId="4F44C212" w14:textId="77777777">
      <w:pPr>
        <w:pStyle w:val="Heading1"/>
        <w:ind w:left="3600" w:right="-648"/>
        <w:rPr>
          <w:b w:val="0"/>
          <w:u w:val="none"/>
        </w:rPr>
      </w:pPr>
      <w:r w:rsidRPr="00DC06C4">
        <w:rPr>
          <w:b w:val="0"/>
          <w:u w:val="none"/>
        </w:rPr>
        <w:t>65 East State Street, 7th Floor</w:t>
      </w:r>
    </w:p>
    <w:p w:rsidR="00802B57" w:rsidRPr="00DC06C4" w:rsidP="00802B57" w14:paraId="1BD6016F" w14:textId="77777777">
      <w:pPr>
        <w:pStyle w:val="Heading1"/>
        <w:ind w:left="3600" w:right="-648"/>
        <w:rPr>
          <w:b w:val="0"/>
          <w:u w:val="none"/>
        </w:rPr>
      </w:pPr>
      <w:r w:rsidRPr="00DC06C4">
        <w:rPr>
          <w:b w:val="0"/>
          <w:u w:val="none"/>
        </w:rPr>
        <w:t>Columbus, Ohio 43215-4213</w:t>
      </w:r>
    </w:p>
    <w:p w:rsidR="00802B57" w:rsidRPr="00DC06C4" w:rsidP="00802B57" w14:paraId="7C01D171" w14:textId="77777777">
      <w:pPr>
        <w:autoSpaceDE w:val="0"/>
        <w:autoSpaceDN w:val="0"/>
        <w:adjustRightInd w:val="0"/>
        <w:ind w:left="3600"/>
        <w:rPr>
          <w:szCs w:val="24"/>
        </w:rPr>
      </w:pPr>
      <w:r w:rsidRPr="00DC06C4">
        <w:rPr>
          <w:szCs w:val="24"/>
        </w:rPr>
        <w:t>Telephone [Michael]: (614) 466-1291</w:t>
      </w:r>
    </w:p>
    <w:p w:rsidR="00802B57" w:rsidRPr="00DC06C4" w:rsidP="00802B57" w14:paraId="6CCCDF3F" w14:textId="77777777">
      <w:pPr>
        <w:autoSpaceDE w:val="0"/>
        <w:autoSpaceDN w:val="0"/>
        <w:adjustRightInd w:val="0"/>
        <w:ind w:left="3600"/>
        <w:rPr>
          <w:szCs w:val="24"/>
        </w:rPr>
      </w:pPr>
      <w:r w:rsidRPr="00DC06C4">
        <w:rPr>
          <w:szCs w:val="24"/>
        </w:rPr>
        <w:t>Telephone [Wilson]: (614) 466-1292</w:t>
      </w:r>
    </w:p>
    <w:p w:rsidR="00802B57" w:rsidRPr="00DC06C4" w:rsidP="00802B57" w14:paraId="0A9D7631" w14:textId="77777777">
      <w:pPr>
        <w:autoSpaceDE w:val="0"/>
        <w:autoSpaceDN w:val="0"/>
        <w:adjustRightInd w:val="0"/>
        <w:ind w:left="3600"/>
        <w:rPr>
          <w:szCs w:val="24"/>
        </w:rPr>
      </w:pPr>
      <w:hyperlink r:id="rId6" w:history="1">
        <w:r w:rsidRPr="00DC06C4" w:rsidR="00172DCD">
          <w:rPr>
            <w:rStyle w:val="Hyperlink"/>
            <w:szCs w:val="24"/>
          </w:rPr>
          <w:t>William.Michael@occ.ohio.gov</w:t>
        </w:r>
      </w:hyperlink>
    </w:p>
    <w:p w:rsidR="00802B57" w:rsidRPr="00DC06C4" w:rsidP="00802B57" w14:paraId="55CBE47B" w14:textId="77777777">
      <w:pPr>
        <w:autoSpaceDE w:val="0"/>
        <w:autoSpaceDN w:val="0"/>
        <w:adjustRightInd w:val="0"/>
        <w:ind w:left="3600"/>
        <w:rPr>
          <w:szCs w:val="24"/>
        </w:rPr>
      </w:pPr>
      <w:hyperlink r:id="rId7" w:history="1">
        <w:r w:rsidRPr="00DC06C4" w:rsidR="00172DCD">
          <w:rPr>
            <w:rStyle w:val="Hyperlink"/>
            <w:szCs w:val="24"/>
          </w:rPr>
          <w:t>Ambrosia.Wilson@occ.ohio.gov</w:t>
        </w:r>
      </w:hyperlink>
    </w:p>
    <w:p w:rsidR="00802B57" w:rsidRPr="00DC06C4" w:rsidP="00802B57" w14:paraId="0A0922BF" w14:textId="77777777">
      <w:pPr>
        <w:ind w:left="3600"/>
        <w:rPr>
          <w:szCs w:val="24"/>
        </w:rPr>
      </w:pPr>
      <w:r w:rsidRPr="00DC06C4">
        <w:rPr>
          <w:szCs w:val="24"/>
        </w:rPr>
        <w:t>(willing to accept service by e-mail)</w:t>
      </w:r>
    </w:p>
    <w:p w:rsidR="006F5FAD" w:rsidRPr="00DC06C4" w14:paraId="72BC59D5" w14:textId="77777777">
      <w:pPr>
        <w:rPr>
          <w:b/>
          <w:bCs/>
          <w:szCs w:val="24"/>
          <w:u w:val="single"/>
        </w:rPr>
      </w:pPr>
      <w:r w:rsidRPr="00DC06C4">
        <w:rPr>
          <w:b/>
          <w:bCs/>
          <w:szCs w:val="24"/>
          <w:u w:val="single"/>
        </w:rPr>
        <w:br w:type="page"/>
      </w:r>
    </w:p>
    <w:p w:rsidR="00A044B5" w:rsidRPr="00DC06C4" w14:paraId="595AF26C" w14:textId="78085546">
      <w:pPr>
        <w:jc w:val="center"/>
        <w:rPr>
          <w:b/>
          <w:bCs/>
          <w:szCs w:val="24"/>
          <w:u w:val="single"/>
        </w:rPr>
      </w:pPr>
      <w:r w:rsidRPr="00DC06C4">
        <w:rPr>
          <w:b/>
          <w:bCs/>
          <w:szCs w:val="24"/>
          <w:u w:val="single"/>
        </w:rPr>
        <w:t>CERTIFICATE OF SERVICE</w:t>
      </w:r>
    </w:p>
    <w:p w:rsidR="00A044B5" w:rsidRPr="00DC06C4" w14:paraId="111310E6" w14:textId="6616FD4C">
      <w:pPr>
        <w:spacing w:line="480" w:lineRule="atLeast"/>
        <w:rPr>
          <w:szCs w:val="24"/>
        </w:rPr>
      </w:pPr>
      <w:r w:rsidRPr="00DC06C4">
        <w:rPr>
          <w:szCs w:val="24"/>
        </w:rPr>
        <w:tab/>
        <w:t xml:space="preserve">I hereby certify that a copy of this </w:t>
      </w:r>
      <w:r w:rsidRPr="00DC06C4">
        <w:rPr>
          <w:iCs/>
          <w:szCs w:val="24"/>
        </w:rPr>
        <w:t>Motion to Intervene</w:t>
      </w:r>
      <w:r w:rsidRPr="00DC06C4">
        <w:rPr>
          <w:szCs w:val="24"/>
        </w:rPr>
        <w:t xml:space="preserve"> was served on the persons stated below</w:t>
      </w:r>
      <w:r w:rsidRPr="00DC06C4">
        <w:rPr>
          <w:iCs/>
          <w:szCs w:val="24"/>
        </w:rPr>
        <w:t xml:space="preserve"> via</w:t>
      </w:r>
      <w:r w:rsidRPr="00DC06C4" w:rsidR="002A4912">
        <w:rPr>
          <w:iCs/>
          <w:szCs w:val="24"/>
        </w:rPr>
        <w:t xml:space="preserve"> </w:t>
      </w:r>
      <w:r w:rsidRPr="00DC06C4" w:rsidR="002A4912">
        <w:rPr>
          <w:szCs w:val="24"/>
        </w:rPr>
        <w:t>electronic transmission</w:t>
      </w:r>
      <w:r w:rsidRPr="00DC06C4">
        <w:rPr>
          <w:szCs w:val="24"/>
        </w:rPr>
        <w:t xml:space="preserve">, this </w:t>
      </w:r>
      <w:r w:rsidRPr="00DC06C4" w:rsidR="001B3C94">
        <w:rPr>
          <w:szCs w:val="24"/>
        </w:rPr>
        <w:t>22nd</w:t>
      </w:r>
      <w:r w:rsidRPr="00DC06C4" w:rsidR="00D25F05">
        <w:rPr>
          <w:szCs w:val="24"/>
        </w:rPr>
        <w:t xml:space="preserve"> </w:t>
      </w:r>
      <w:r w:rsidRPr="00DC06C4">
        <w:rPr>
          <w:szCs w:val="24"/>
        </w:rPr>
        <w:t xml:space="preserve">day of </w:t>
      </w:r>
      <w:r w:rsidRPr="00DC06C4" w:rsidR="00802B57">
        <w:rPr>
          <w:szCs w:val="24"/>
        </w:rPr>
        <w:t>March</w:t>
      </w:r>
      <w:r w:rsidRPr="00DC06C4" w:rsidR="007433DE">
        <w:rPr>
          <w:szCs w:val="24"/>
        </w:rPr>
        <w:t xml:space="preserve"> 2021</w:t>
      </w:r>
      <w:r w:rsidRPr="00DC06C4">
        <w:rPr>
          <w:szCs w:val="24"/>
        </w:rPr>
        <w:t>.</w:t>
      </w:r>
    </w:p>
    <w:p w:rsidR="00A044B5" w:rsidRPr="00DC06C4" w14:paraId="237BFE1B" w14:textId="77777777">
      <w:pPr>
        <w:spacing w:line="480" w:lineRule="atLeast"/>
        <w:rPr>
          <w:szCs w:val="24"/>
        </w:rPr>
      </w:pPr>
    </w:p>
    <w:p w:rsidR="00A044B5" w:rsidRPr="00DC06C4" w14:paraId="66D00E46" w14:textId="35B778DE">
      <w:pPr>
        <w:tabs>
          <w:tab w:val="left" w:pos="4320"/>
        </w:tabs>
        <w:rPr>
          <w:i/>
          <w:iCs/>
          <w:szCs w:val="24"/>
          <w:u w:val="single"/>
        </w:rPr>
      </w:pPr>
      <w:r w:rsidRPr="00DC06C4">
        <w:rPr>
          <w:szCs w:val="24"/>
        </w:rPr>
        <w:tab/>
      </w:r>
      <w:r w:rsidRPr="00DC06C4" w:rsidR="0076297D">
        <w:rPr>
          <w:i/>
          <w:iCs/>
          <w:szCs w:val="24"/>
          <w:u w:val="single"/>
        </w:rPr>
        <w:t xml:space="preserve">/s/ </w:t>
      </w:r>
      <w:r w:rsidRPr="00DC06C4" w:rsidR="00802B57">
        <w:rPr>
          <w:i/>
          <w:iCs/>
          <w:szCs w:val="24"/>
          <w:u w:val="single"/>
        </w:rPr>
        <w:t>William J. Michael</w:t>
      </w:r>
      <w:r w:rsidRPr="00DC06C4" w:rsidR="0076297D">
        <w:rPr>
          <w:i/>
          <w:iCs/>
          <w:szCs w:val="24"/>
          <w:u w:val="single"/>
        </w:rPr>
        <w:tab/>
      </w:r>
      <w:r w:rsidRPr="00DC06C4" w:rsidR="0076297D">
        <w:rPr>
          <w:i/>
          <w:iCs/>
          <w:szCs w:val="24"/>
          <w:u w:val="single"/>
        </w:rPr>
        <w:tab/>
      </w:r>
    </w:p>
    <w:p w:rsidR="00A044B5" w:rsidRPr="00DC06C4" w14:paraId="56C083AC" w14:textId="356C0E79">
      <w:pPr>
        <w:tabs>
          <w:tab w:val="left" w:pos="4320"/>
        </w:tabs>
        <w:rPr>
          <w:szCs w:val="24"/>
        </w:rPr>
      </w:pPr>
      <w:r w:rsidRPr="00DC06C4">
        <w:rPr>
          <w:szCs w:val="24"/>
        </w:rPr>
        <w:tab/>
      </w:r>
      <w:r w:rsidRPr="00DC06C4" w:rsidR="00802B57">
        <w:rPr>
          <w:szCs w:val="24"/>
        </w:rPr>
        <w:t>William J. Michael</w:t>
      </w:r>
    </w:p>
    <w:p w:rsidR="00A044B5" w:rsidRPr="00DC06C4" w14:paraId="32883B12" w14:textId="77777777">
      <w:pPr>
        <w:tabs>
          <w:tab w:val="left" w:pos="4320"/>
        </w:tabs>
        <w:rPr>
          <w:szCs w:val="24"/>
        </w:rPr>
      </w:pPr>
      <w:r w:rsidRPr="00DC06C4">
        <w:rPr>
          <w:szCs w:val="24"/>
        </w:rPr>
        <w:tab/>
        <w:t>Assistant Consumers’ Counsel</w:t>
      </w:r>
    </w:p>
    <w:p w:rsidR="00A044B5" w:rsidRPr="00DC06C4" w14:paraId="2F4EF65C" w14:textId="77777777">
      <w:pPr>
        <w:pStyle w:val="CommentSubject"/>
        <w:rPr>
          <w:szCs w:val="24"/>
        </w:rPr>
      </w:pPr>
    </w:p>
    <w:p w:rsidR="002606A0" w:rsidRPr="00DC06C4" w:rsidP="002606A0" w14:paraId="77DB369B" w14:textId="77777777">
      <w:pPr>
        <w:rPr>
          <w:szCs w:val="24"/>
        </w:rPr>
      </w:pPr>
      <w:r w:rsidRPr="00DC06C4">
        <w:rPr>
          <w:szCs w:val="24"/>
        </w:rPr>
        <w:t>The PUCO’s e-filing system will electronically serve notice of the filing of this document on the following parties:</w:t>
      </w:r>
    </w:p>
    <w:p w:rsidR="00A044B5" w:rsidRPr="00DC06C4" w14:paraId="034DF294" w14:textId="77777777">
      <w:pPr>
        <w:pStyle w:val="CommentText"/>
      </w:pPr>
    </w:p>
    <w:p w:rsidR="00A044B5" w:rsidRPr="00DC06C4" w14:paraId="605FD25C" w14:textId="30EE21A6">
      <w:pPr>
        <w:pStyle w:val="CommentText"/>
        <w:jc w:val="center"/>
        <w:rPr>
          <w:b/>
          <w:u w:val="single"/>
        </w:rPr>
      </w:pPr>
      <w:r w:rsidRPr="00DC06C4">
        <w:rPr>
          <w:b/>
          <w:u w:val="single"/>
        </w:rPr>
        <w:t>SERVICE LIST</w:t>
      </w:r>
    </w:p>
    <w:p w:rsidR="006F5FAD" w:rsidRPr="00DC06C4" w14:paraId="3A8DBBA4" w14:textId="77777777">
      <w:pPr>
        <w:pStyle w:val="CommentText"/>
        <w:jc w:val="center"/>
        <w:rPr>
          <w:b/>
          <w:u w:val="single"/>
        </w:rPr>
      </w:pPr>
    </w:p>
    <w:p w:rsidR="006F5FAD" w:rsidRPr="00DC06C4" w14:paraId="6B9F4295" w14:textId="57CA2FE9">
      <w:pPr>
        <w:pStyle w:val="CommentText"/>
        <w:jc w:val="center"/>
        <w:rPr>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675"/>
      </w:tblGrid>
      <w:tr w14:paraId="7DD6659F" w14:textId="77777777" w:rsidTr="0094557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p w:rsidR="005764B9" w:rsidRPr="00DC06C4" w:rsidP="007433DE" w14:paraId="00E66DE0" w14:textId="15CA6848">
            <w:pPr>
              <w:pStyle w:val="CommentText"/>
              <w:rPr>
                <w:rStyle w:val="Hyperlink"/>
                <w:bCs/>
              </w:rPr>
            </w:pPr>
            <w:hyperlink r:id="rId10" w:history="1">
              <w:r w:rsidRPr="00DC06C4" w:rsidR="001B3C94">
                <w:rPr>
                  <w:rStyle w:val="Hyperlink"/>
                  <w:bCs/>
                </w:rPr>
                <w:t>werner.margard@ohioattorneygeneral.gov</w:t>
              </w:r>
            </w:hyperlink>
          </w:p>
          <w:p w:rsidR="001B3C94" w:rsidRPr="00DC06C4" w:rsidP="007433DE" w14:paraId="110F42CA" w14:textId="6F1BD7FA">
            <w:pPr>
              <w:pStyle w:val="CommentText"/>
              <w:rPr>
                <w:rStyle w:val="Hyperlink"/>
                <w:bCs/>
              </w:rPr>
            </w:pPr>
            <w:hyperlink r:id="rId11" w:history="1">
              <w:r w:rsidRPr="00DC06C4" w:rsidR="00172DCD">
                <w:rPr>
                  <w:rStyle w:val="Hyperlink"/>
                  <w:bCs/>
                </w:rPr>
                <w:t>Thomas.lindgren@ohioattorneygeneral.gov</w:t>
              </w:r>
            </w:hyperlink>
          </w:p>
          <w:p w:rsidR="001B3C94" w:rsidRPr="00DC06C4" w:rsidP="001B3C94" w14:paraId="5C2153E0" w14:textId="4EEF08CF">
            <w:pPr>
              <w:autoSpaceDE w:val="0"/>
              <w:autoSpaceDN w:val="0"/>
              <w:adjustRightInd w:val="0"/>
              <w:rPr>
                <w:color w:val="0000FF"/>
                <w:szCs w:val="24"/>
              </w:rPr>
            </w:pPr>
            <w:hyperlink r:id="rId12" w:history="1">
              <w:r w:rsidRPr="00DC06C4" w:rsidR="00172DCD">
                <w:rPr>
                  <w:rStyle w:val="Hyperlink"/>
                  <w:szCs w:val="24"/>
                </w:rPr>
                <w:t>Bojko@carpenterlipps.com</w:t>
              </w:r>
            </w:hyperlink>
          </w:p>
          <w:p w:rsidR="001B3C94" w:rsidRPr="00DC06C4" w:rsidP="001B3C94" w14:paraId="70B5D11A" w14:textId="769A5947">
            <w:pPr>
              <w:pStyle w:val="CommentText"/>
              <w:rPr>
                <w:color w:val="0000FF"/>
              </w:rPr>
            </w:pPr>
            <w:hyperlink r:id="rId13" w:history="1">
              <w:r w:rsidRPr="00DC06C4" w:rsidR="00172DCD">
                <w:rPr>
                  <w:rStyle w:val="Hyperlink"/>
                </w:rPr>
                <w:t>Donadio@carpenterlipps.com</w:t>
              </w:r>
            </w:hyperlink>
          </w:p>
          <w:p w:rsidR="001B3C94" w:rsidRPr="00DC06C4" w:rsidP="001B3C94" w14:paraId="6B65117F" w14:textId="77777777">
            <w:pPr>
              <w:pStyle w:val="CommentText"/>
              <w:rPr>
                <w:bCs/>
              </w:rPr>
            </w:pPr>
          </w:p>
          <w:p w:rsidR="0094557C" w:rsidRPr="00DC06C4" w:rsidP="007433DE" w14:paraId="2486A6BA" w14:textId="77777777">
            <w:pPr>
              <w:pStyle w:val="CommentText"/>
              <w:rPr>
                <w:bCs/>
              </w:rPr>
            </w:pPr>
          </w:p>
          <w:p w:rsidR="0094557C" w:rsidRPr="00DC06C4" w:rsidP="007433DE" w14:paraId="7C3D0B01" w14:textId="416F1C54">
            <w:pPr>
              <w:pStyle w:val="CommentText"/>
              <w:rPr>
                <w:bCs/>
              </w:rPr>
            </w:pPr>
            <w:r w:rsidRPr="00DC06C4">
              <w:rPr>
                <w:bCs/>
              </w:rPr>
              <w:t>Attorney Examiner:</w:t>
            </w:r>
          </w:p>
          <w:p w:rsidR="00802B57" w:rsidRPr="00DC06C4" w:rsidP="007433DE" w14:paraId="5E9E95E9" w14:textId="77777777">
            <w:pPr>
              <w:pStyle w:val="CommentText"/>
              <w:rPr>
                <w:bCs/>
              </w:rPr>
            </w:pPr>
          </w:p>
          <w:p w:rsidR="0094557C" w:rsidRPr="00DC06C4" w:rsidP="007433DE" w14:paraId="73EE5005" w14:textId="0D740E6E">
            <w:pPr>
              <w:pStyle w:val="CommentText"/>
              <w:rPr>
                <w:rStyle w:val="Hyperlink"/>
                <w:bCs/>
              </w:rPr>
            </w:pPr>
            <w:hyperlink r:id="rId14" w:history="1">
              <w:r w:rsidRPr="00DC06C4" w:rsidR="00B04CE3">
                <w:rPr>
                  <w:rStyle w:val="Hyperlink"/>
                  <w:bCs/>
                </w:rPr>
                <w:t>Megan.addison@puco.ohio.gov</w:t>
              </w:r>
            </w:hyperlink>
          </w:p>
          <w:p w:rsidR="00802B57" w:rsidRPr="00DC06C4" w:rsidP="007433DE" w14:paraId="385A4211" w14:textId="3DD4EDB9">
            <w:pPr>
              <w:pStyle w:val="CommentText"/>
              <w:rPr>
                <w:rStyle w:val="Hyperlink"/>
                <w:bCs/>
              </w:rPr>
            </w:pPr>
            <w:hyperlink r:id="rId15" w:history="1">
              <w:r w:rsidRPr="00DC06C4" w:rsidR="00172DCD">
                <w:rPr>
                  <w:rStyle w:val="Hyperlink"/>
                  <w:bCs/>
                </w:rPr>
                <w:t>Gregory.price@puco.ohio.gov</w:t>
              </w:r>
            </w:hyperlink>
          </w:p>
          <w:p w:rsidR="00802B57" w:rsidRPr="00DC06C4" w:rsidP="007433DE" w14:paraId="0EB65B3D" w14:textId="2F11301A">
            <w:pPr>
              <w:pStyle w:val="CommentText"/>
              <w:rPr>
                <w:rStyle w:val="Hyperlink"/>
              </w:rPr>
            </w:pPr>
            <w:hyperlink r:id="rId16" w:history="1">
              <w:r w:rsidRPr="00DC06C4" w:rsidR="00172DCD">
                <w:rPr>
                  <w:rStyle w:val="Hyperlink"/>
                </w:rPr>
                <w:t>Jacqueline.st.john@puco.ohio.gov</w:t>
              </w:r>
            </w:hyperlink>
          </w:p>
          <w:p w:rsidR="00802B57" w:rsidRPr="00DC06C4" w:rsidP="007433DE" w14:paraId="40A379D9" w14:textId="77777777">
            <w:pPr>
              <w:pStyle w:val="CommentText"/>
              <w:rPr>
                <w:bCs/>
              </w:rPr>
            </w:pPr>
          </w:p>
          <w:p w:rsidR="0094557C" w:rsidRPr="00DC06C4" w:rsidP="007433DE" w14:paraId="68135521" w14:textId="0510E358">
            <w:pPr>
              <w:pStyle w:val="CommentText"/>
              <w:rPr>
                <w:bCs/>
              </w:rPr>
            </w:pPr>
          </w:p>
        </w:tc>
        <w:tc>
          <w:tcPr>
            <w:tcW w:w="4675" w:type="dxa"/>
          </w:tcPr>
          <w:p w:rsidR="006F5FAD" w:rsidRPr="00DC06C4" w:rsidP="0094557C" w14:paraId="043CCD3D" w14:textId="108BC6AA">
            <w:pPr>
              <w:pStyle w:val="CommentText"/>
              <w:ind w:left="1062"/>
              <w:rPr>
                <w:color w:val="0563C2"/>
              </w:rPr>
            </w:pPr>
            <w:hyperlink r:id="rId17" w:history="1">
              <w:r w:rsidRPr="00DC06C4" w:rsidR="0094557C">
                <w:rPr>
                  <w:rStyle w:val="Hyperlink"/>
                </w:rPr>
                <w:t>bknipe@firstenergycorp.com</w:t>
              </w:r>
            </w:hyperlink>
          </w:p>
          <w:p w:rsidR="0094557C" w:rsidRPr="00DC06C4" w:rsidP="0094557C" w14:paraId="48B5B465" w14:textId="3C222045">
            <w:pPr>
              <w:pStyle w:val="CommentText"/>
              <w:ind w:left="1062"/>
              <w:rPr>
                <w:b/>
                <w:u w:val="single"/>
              </w:rPr>
            </w:pPr>
          </w:p>
        </w:tc>
      </w:tr>
    </w:tbl>
    <w:p w:rsidR="006F5FAD" w:rsidRPr="00DC06C4" w14:paraId="029CD923" w14:textId="77777777">
      <w:pPr>
        <w:pStyle w:val="CommentText"/>
        <w:jc w:val="center"/>
        <w:rPr>
          <w:b/>
          <w:u w:val="single"/>
        </w:rPr>
      </w:pPr>
    </w:p>
    <w:p w:rsidR="00A044B5" w:rsidRPr="00DC06C4" w14:paraId="5715EEE9" w14:textId="77777777">
      <w:pPr>
        <w:pStyle w:val="BodyText"/>
        <w:rPr>
          <w:b/>
          <w:bCs/>
          <w:szCs w:val="24"/>
        </w:rPr>
      </w:pPr>
    </w:p>
    <w:p w:rsidR="00A044B5" w:rsidRPr="00DC06C4" w14:paraId="39F14B5E" w14:textId="77777777">
      <w:pPr>
        <w:pStyle w:val="BodyText"/>
        <w:rPr>
          <w:b/>
          <w:bCs/>
          <w:szCs w:val="24"/>
        </w:rPr>
      </w:pPr>
    </w:p>
    <w:sectPr w:rsidSect="00B26D7F">
      <w:footerReference w:type="first" r:id="rId18"/>
      <w:pgSz w:w="12240" w:h="15840"/>
      <w:pgMar w:top="1440"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rsidRPr="00225CF0" w:rsidP="00225CF0" w14:paraId="72A9216C" w14:textId="4520E493">
    <w:pPr>
      <w:pStyle w:val="Footer"/>
      <w:framePr w:wrap="around" w:vAnchor="text" w:hAnchor="margin" w:xAlign="center" w:y="1"/>
      <w:jc w:val="center"/>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6C5841">
      <w:rPr>
        <w:rStyle w:val="PageNumber"/>
        <w:noProof/>
        <w:sz w:val="24"/>
        <w:szCs w:val="24"/>
      </w:rPr>
      <w:t>4</w:t>
    </w:r>
    <w:r>
      <w:rPr>
        <w:rStyle w:val="PageNumber"/>
        <w:sz w:val="24"/>
        <w:szCs w:val="24"/>
      </w:rPr>
      <w:fldChar w:fldCharType="end"/>
    </w:r>
  </w:p>
  <w:p w:rsidR="00A044B5" w:rsidP="00225CF0" w14:paraId="5D7415C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95333427"/>
      <w:docPartObj>
        <w:docPartGallery w:val="Page Numbers (Bottom of Page)"/>
        <w:docPartUnique/>
      </w:docPartObj>
    </w:sdtPr>
    <w:sdtEndPr>
      <w:rPr>
        <w:noProof/>
      </w:rPr>
    </w:sdtEndPr>
    <w:sdtContent>
      <w:p w:rsidR="00370005" w14:paraId="451B9F6B" w14:textId="1E9D41AD">
        <w:pPr>
          <w:pStyle w:val="Footer"/>
          <w:jc w:val="center"/>
        </w:pPr>
      </w:p>
    </w:sdtContent>
  </w:sdt>
  <w:p w:rsidR="00225CF0" w:rsidRPr="00225CF0" w14:paraId="5A85A1EE" w14:textId="113F1FA9">
    <w:pPr>
      <w:pStyle w:val="Footer"/>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5026869"/>
      <w:docPartObj>
        <w:docPartGallery w:val="Page Numbers (Bottom of Page)"/>
        <w:docPartUnique/>
      </w:docPartObj>
    </w:sdtPr>
    <w:sdtEndPr>
      <w:rPr>
        <w:noProof/>
        <w:sz w:val="24"/>
        <w:szCs w:val="24"/>
      </w:rPr>
    </w:sdtEndPr>
    <w:sdtContent>
      <w:p w:rsidR="00370005" w:rsidRPr="00370005" w14:paraId="547980D3" w14:textId="77777777">
        <w:pPr>
          <w:pStyle w:val="Footer"/>
          <w:jc w:val="center"/>
          <w:rPr>
            <w:sz w:val="24"/>
            <w:szCs w:val="24"/>
          </w:rPr>
        </w:pPr>
        <w:r w:rsidRPr="00370005">
          <w:rPr>
            <w:sz w:val="24"/>
            <w:szCs w:val="24"/>
          </w:rPr>
          <w:fldChar w:fldCharType="begin"/>
        </w:r>
        <w:r w:rsidRPr="00370005">
          <w:rPr>
            <w:sz w:val="24"/>
            <w:szCs w:val="24"/>
          </w:rPr>
          <w:instrText xml:space="preserve"> PAGE   \* MERGEFORMAT </w:instrText>
        </w:r>
        <w:r w:rsidRPr="00370005">
          <w:rPr>
            <w:sz w:val="24"/>
            <w:szCs w:val="24"/>
          </w:rPr>
          <w:fldChar w:fldCharType="separate"/>
        </w:r>
        <w:r w:rsidRPr="00370005">
          <w:rPr>
            <w:noProof/>
            <w:sz w:val="24"/>
            <w:szCs w:val="24"/>
          </w:rPr>
          <w:t>2</w:t>
        </w:r>
        <w:r w:rsidRPr="00370005">
          <w:rPr>
            <w:noProof/>
            <w:sz w:val="24"/>
            <w:szCs w:val="24"/>
          </w:rPr>
          <w:fldChar w:fldCharType="end"/>
        </w:r>
      </w:p>
    </w:sdtContent>
  </w:sdt>
  <w:p w:rsidR="00370005" w:rsidRPr="00225CF0" w14:paraId="545010B1" w14:textId="77777777">
    <w:pPr>
      <w:pStyle w:val="Footer"/>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72DCD" w14:paraId="3D92121E" w14:textId="77777777">
      <w:r>
        <w:separator/>
      </w:r>
    </w:p>
  </w:footnote>
  <w:footnote w:type="continuationSeparator" w:id="1">
    <w:p w:rsidR="00172DCD" w14:paraId="1FFC0449" w14:textId="77777777">
      <w:r>
        <w:continuationSeparator/>
      </w:r>
    </w:p>
  </w:footnote>
  <w:footnote w:id="2">
    <w:p w:rsidR="00E36439" w:rsidP="001B3C94" w14:paraId="637871D5" w14:textId="0CDC28D2">
      <w:pPr>
        <w:pStyle w:val="FootnoteText"/>
        <w:spacing w:after="120"/>
      </w:pPr>
      <w:r>
        <w:rPr>
          <w:rStyle w:val="FootnoteReference"/>
        </w:rPr>
        <w:footnoteRef/>
      </w:r>
      <w:r>
        <w:t xml:space="preserve"> </w:t>
      </w:r>
      <w:r w:rsidRPr="00802B57" w:rsidR="002B6ED7">
        <w:rPr>
          <w:i/>
          <w:iCs/>
        </w:rPr>
        <w:t xml:space="preserve">See </w:t>
      </w:r>
      <w:r w:rsidRPr="00802B57" w:rsidR="002B6ED7">
        <w:t xml:space="preserve">PUCO Staff’s </w:t>
      </w:r>
      <w:r w:rsidRPr="00802B57" w:rsidR="002B6ED7">
        <w:rPr>
          <w:color w:val="232323"/>
        </w:rPr>
        <w:t>Request to Expand Audit Scope in the Matter of the 2020 Review of the Delivery Capital Recovery Rider of the Ohio Edison Company, the Cleveland Electric Illuminating Company, and the Toledo Edison Company (March 8, 2021) (“Staff Request”).</w:t>
      </w:r>
    </w:p>
  </w:footnote>
  <w:footnote w:id="3">
    <w:p w:rsidR="006B3BF4" w:rsidRPr="00802B57" w:rsidP="001B3C94" w14:paraId="485400ED" w14:textId="77777777">
      <w:pPr>
        <w:pStyle w:val="Heading1"/>
        <w:spacing w:after="120"/>
        <w:rPr>
          <w:sz w:val="20"/>
          <w:szCs w:val="20"/>
        </w:rPr>
      </w:pPr>
      <w:r w:rsidRPr="00802B57">
        <w:rPr>
          <w:rStyle w:val="FootnoteReference"/>
          <w:sz w:val="20"/>
          <w:szCs w:val="20"/>
          <w:u w:val="none"/>
        </w:rPr>
        <w:footnoteRef/>
      </w:r>
      <w:r w:rsidRPr="00802B57">
        <w:rPr>
          <w:sz w:val="20"/>
          <w:szCs w:val="20"/>
          <w:u w:val="none"/>
        </w:rPr>
        <w:t xml:space="preserve"> </w:t>
      </w:r>
      <w:r w:rsidRPr="00802B57">
        <w:rPr>
          <w:b w:val="0"/>
          <w:bCs/>
          <w:sz w:val="20"/>
          <w:szCs w:val="20"/>
          <w:u w:val="none"/>
        </w:rPr>
        <w:t xml:space="preserve">Cleveland.com, </w:t>
      </w:r>
      <w:r w:rsidRPr="00802B57">
        <w:rPr>
          <w:b w:val="0"/>
          <w:bCs/>
          <w:i/>
          <w:iCs/>
          <w:sz w:val="20"/>
          <w:szCs w:val="20"/>
          <w:u w:val="none"/>
        </w:rPr>
        <w:t>Ohio House Speaker Larry Householder, allies got more than $60 million in FirstEnergy bribes to pass HB6, feds claim</w:t>
      </w:r>
      <w:r w:rsidRPr="00802B57">
        <w:rPr>
          <w:b w:val="0"/>
          <w:bCs/>
          <w:sz w:val="20"/>
          <w:szCs w:val="20"/>
          <w:u w:val="none"/>
        </w:rPr>
        <w:t xml:space="preserve"> (July 21, 2020), available at: </w:t>
      </w:r>
      <w:hyperlink r:id="rId1" w:history="1">
        <w:r w:rsidRPr="00802B57">
          <w:rPr>
            <w:rStyle w:val="Hyperlink"/>
            <w:b w:val="0"/>
            <w:bCs/>
            <w:sz w:val="20"/>
            <w:szCs w:val="20"/>
          </w:rPr>
          <w:t>https://www.cleveland.com/open/2020/07/ohio-house-speaker-larry-householder-allies-got-more-than-60-million-in-firstenergy-bribes-to-pass-hb6-feds-claim.html</w:t>
        </w:r>
      </w:hyperlink>
    </w:p>
  </w:footnote>
  <w:footnote w:id="4">
    <w:p w:rsidR="002F2D3D" w:rsidRPr="002B6ED7" w:rsidP="001B3C94" w14:paraId="7FCC5EC4" w14:textId="6F3C8711">
      <w:pPr>
        <w:pStyle w:val="FootnoteText"/>
        <w:spacing w:after="120"/>
      </w:pPr>
      <w:r w:rsidRPr="00802B57">
        <w:rPr>
          <w:rStyle w:val="FootnoteReference"/>
        </w:rPr>
        <w:footnoteRef/>
      </w:r>
      <w:r w:rsidRPr="00802B57">
        <w:t xml:space="preserve"> </w:t>
      </w:r>
      <w:r w:rsidR="002B6ED7">
        <w:rPr>
          <w:i/>
          <w:iCs/>
          <w:color w:val="232323"/>
        </w:rPr>
        <w:t xml:space="preserve">See </w:t>
      </w:r>
      <w:r w:rsidR="002B6ED7">
        <w:rPr>
          <w:color w:val="232323"/>
        </w:rPr>
        <w:t>Staff Request.</w:t>
      </w:r>
    </w:p>
  </w:footnote>
  <w:footnote w:id="5">
    <w:p w:rsidR="00EF4EA0" w:rsidRPr="00802B57" w:rsidP="001B3C94" w14:paraId="47283401" w14:textId="4F1252A5">
      <w:pPr>
        <w:pStyle w:val="FootnoteText"/>
        <w:spacing w:after="120"/>
      </w:pPr>
      <w:r w:rsidRPr="00802B57">
        <w:rPr>
          <w:rStyle w:val="FootnoteReference"/>
        </w:rPr>
        <w:footnoteRef/>
      </w:r>
      <w:r w:rsidRPr="00802B57">
        <w:t xml:space="preserve"> </w:t>
      </w:r>
      <w:r w:rsidRPr="00802B57">
        <w:rPr>
          <w:i/>
          <w:iCs/>
        </w:rPr>
        <w:t xml:space="preserve">See </w:t>
      </w:r>
      <w:r w:rsidRPr="00802B57">
        <w:t>Entry (March 10, 2021) (granting PUCO’s Staff’s request to expand the audit).</w:t>
      </w:r>
    </w:p>
  </w:footnote>
  <w:footnote w:id="6">
    <w:p w:rsidR="00EF4EA0" w:rsidRPr="00802B57" w:rsidP="00802B57" w14:paraId="6CE81496" w14:textId="0C6A285F">
      <w:pPr>
        <w:pStyle w:val="FootnoteText"/>
        <w:spacing w:after="120"/>
      </w:pPr>
      <w:r w:rsidRPr="00802B57">
        <w:rPr>
          <w:rStyle w:val="FootnoteReference"/>
        </w:rPr>
        <w:footnoteRef/>
      </w:r>
      <w:r w:rsidRPr="00802B57">
        <w:t xml:space="preserve"> Staff Request.</w:t>
      </w:r>
    </w:p>
  </w:footnote>
  <w:footnote w:id="7">
    <w:p w:rsidR="00EF4EA0" w:rsidRPr="00802B57" w:rsidP="00802B57" w14:paraId="6220993B" w14:textId="6082F4C9">
      <w:pPr>
        <w:pStyle w:val="FootnoteText"/>
        <w:spacing w:after="120"/>
        <w:rPr>
          <w:i/>
          <w:iCs/>
        </w:rPr>
      </w:pPr>
      <w:r w:rsidRPr="00802B57">
        <w:rPr>
          <w:rStyle w:val="FootnoteReference"/>
        </w:rPr>
        <w:footnoteRef/>
      </w:r>
      <w:r w:rsidRPr="00802B57">
        <w:t xml:space="preserve"> </w:t>
      </w:r>
      <w:r w:rsidRPr="00802B57">
        <w:rPr>
          <w:i/>
          <w:iCs/>
        </w:rPr>
        <w:t>Id.</w:t>
      </w:r>
    </w:p>
  </w:footnote>
  <w:footnote w:id="8">
    <w:p w:rsidR="00D25371" w:rsidRPr="00802B57" w:rsidP="00802B57" w14:paraId="6734C08F" w14:textId="04FF369B">
      <w:pPr>
        <w:pStyle w:val="FootnoteText"/>
        <w:spacing w:after="120"/>
        <w:rPr>
          <w:i/>
          <w:iCs/>
        </w:rPr>
      </w:pPr>
      <w:r w:rsidRPr="00802B57">
        <w:rPr>
          <w:rStyle w:val="FootnoteReference"/>
        </w:rPr>
        <w:footnoteRef/>
      </w:r>
      <w:r w:rsidRPr="00802B57">
        <w:t xml:space="preserve"> </w:t>
      </w:r>
      <w:r w:rsidRPr="00802B57">
        <w:rPr>
          <w:i/>
          <w:iCs/>
        </w:rPr>
        <w:t>Id.</w:t>
      </w:r>
    </w:p>
  </w:footnote>
  <w:footnote w:id="9">
    <w:p w:rsidR="00D25371" w:rsidRPr="00802B57" w:rsidP="00802B57" w14:paraId="252D0B90" w14:textId="4626B284">
      <w:pPr>
        <w:pStyle w:val="FootnoteText"/>
        <w:spacing w:after="120"/>
      </w:pPr>
      <w:r w:rsidRPr="00802B57">
        <w:rPr>
          <w:rStyle w:val="FootnoteReference"/>
        </w:rPr>
        <w:footnoteRef/>
      </w:r>
      <w:r w:rsidRPr="00802B57">
        <w:t xml:space="preserve"> </w:t>
      </w:r>
      <w:r w:rsidRPr="00802B57">
        <w:rPr>
          <w:i/>
          <w:iCs/>
        </w:rPr>
        <w:t xml:space="preserve">See </w:t>
      </w:r>
      <w:r w:rsidRPr="00802B57">
        <w:t>Entry.</w:t>
      </w:r>
    </w:p>
  </w:footnote>
  <w:footnote w:id="10">
    <w:p w:rsidR="00D25371" w:rsidRPr="00802B57" w:rsidP="00802B57" w14:paraId="7BD0D6AE" w14:textId="69147906">
      <w:pPr>
        <w:pStyle w:val="FootnoteText"/>
        <w:spacing w:after="120"/>
      </w:pPr>
      <w:r w:rsidRPr="00802B57">
        <w:rPr>
          <w:rStyle w:val="FootnoteReference"/>
        </w:rPr>
        <w:footnoteRef/>
      </w:r>
      <w:r w:rsidRPr="00802B57">
        <w:t xml:space="preserve"> Entry at para. 8.</w:t>
      </w:r>
    </w:p>
  </w:footnote>
  <w:footnote w:id="11">
    <w:p w:rsidR="00A044B5" w:rsidRPr="00802B57" w:rsidP="00802B57" w14:paraId="59376450" w14:textId="77777777">
      <w:pPr>
        <w:pStyle w:val="FootnoteText"/>
        <w:spacing w:after="120"/>
      </w:pPr>
      <w:r w:rsidRPr="00802B57">
        <w:rPr>
          <w:rStyle w:val="FootnoteReference"/>
        </w:rPr>
        <w:footnoteRef/>
      </w:r>
      <w:r w:rsidRPr="00802B57">
        <w:rPr>
          <w:i/>
        </w:rPr>
        <w:t xml:space="preserve"> See Ohio Consumers’ Counsel v. Pub. Util. Comm</w:t>
      </w:r>
      <w:r w:rsidRPr="00802B57">
        <w:t>., 111 Ohio St.3d 384</w:t>
      </w:r>
      <w:r w:rsidRPr="00802B57" w:rsidR="002A4912">
        <w:t>, 2006-Ohio-5853, ¶¶13-20</w:t>
      </w:r>
      <w:r w:rsidRPr="00802B57">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12"/>
    <w:rsid w:val="00065F22"/>
    <w:rsid w:val="00082870"/>
    <w:rsid w:val="00093E1D"/>
    <w:rsid w:val="000A27B9"/>
    <w:rsid w:val="000A5604"/>
    <w:rsid w:val="000B556E"/>
    <w:rsid w:val="000B6B46"/>
    <w:rsid w:val="000D73F4"/>
    <w:rsid w:val="000E0DD4"/>
    <w:rsid w:val="000F3778"/>
    <w:rsid w:val="00101B82"/>
    <w:rsid w:val="001041B6"/>
    <w:rsid w:val="00124518"/>
    <w:rsid w:val="00124F1D"/>
    <w:rsid w:val="00127E76"/>
    <w:rsid w:val="00133F79"/>
    <w:rsid w:val="00172DCD"/>
    <w:rsid w:val="001A0926"/>
    <w:rsid w:val="001B3C94"/>
    <w:rsid w:val="001D0897"/>
    <w:rsid w:val="00202569"/>
    <w:rsid w:val="00225CF0"/>
    <w:rsid w:val="002416B6"/>
    <w:rsid w:val="002606A0"/>
    <w:rsid w:val="00264A0C"/>
    <w:rsid w:val="00270856"/>
    <w:rsid w:val="00272ED4"/>
    <w:rsid w:val="002A4912"/>
    <w:rsid w:val="002A6D9B"/>
    <w:rsid w:val="002B3385"/>
    <w:rsid w:val="002B6ED7"/>
    <w:rsid w:val="002C2315"/>
    <w:rsid w:val="002E13D1"/>
    <w:rsid w:val="002E1F4C"/>
    <w:rsid w:val="002E5AC5"/>
    <w:rsid w:val="002F2D3D"/>
    <w:rsid w:val="002F2F42"/>
    <w:rsid w:val="002F3376"/>
    <w:rsid w:val="0031242C"/>
    <w:rsid w:val="00312966"/>
    <w:rsid w:val="00325125"/>
    <w:rsid w:val="0035069A"/>
    <w:rsid w:val="00370005"/>
    <w:rsid w:val="00392629"/>
    <w:rsid w:val="003B0073"/>
    <w:rsid w:val="003B09DD"/>
    <w:rsid w:val="003B7CA8"/>
    <w:rsid w:val="003F0FBF"/>
    <w:rsid w:val="004138BF"/>
    <w:rsid w:val="00444722"/>
    <w:rsid w:val="00454BEB"/>
    <w:rsid w:val="00476981"/>
    <w:rsid w:val="004E25C0"/>
    <w:rsid w:val="004E54F5"/>
    <w:rsid w:val="004F4FD2"/>
    <w:rsid w:val="004F7FD1"/>
    <w:rsid w:val="00512B71"/>
    <w:rsid w:val="0051520D"/>
    <w:rsid w:val="00523808"/>
    <w:rsid w:val="0052646A"/>
    <w:rsid w:val="005270F0"/>
    <w:rsid w:val="0055107B"/>
    <w:rsid w:val="005702A5"/>
    <w:rsid w:val="00572D9A"/>
    <w:rsid w:val="005733BE"/>
    <w:rsid w:val="00574F81"/>
    <w:rsid w:val="005764B9"/>
    <w:rsid w:val="005A4F7A"/>
    <w:rsid w:val="005A636C"/>
    <w:rsid w:val="005A6744"/>
    <w:rsid w:val="005C6A34"/>
    <w:rsid w:val="005D3733"/>
    <w:rsid w:val="00607E83"/>
    <w:rsid w:val="0062108F"/>
    <w:rsid w:val="00624276"/>
    <w:rsid w:val="00636CAE"/>
    <w:rsid w:val="00641070"/>
    <w:rsid w:val="00671B23"/>
    <w:rsid w:val="006B3BF4"/>
    <w:rsid w:val="006C5841"/>
    <w:rsid w:val="006D1A40"/>
    <w:rsid w:val="006F5FAD"/>
    <w:rsid w:val="006F6C88"/>
    <w:rsid w:val="006F79DA"/>
    <w:rsid w:val="00722557"/>
    <w:rsid w:val="00730C0C"/>
    <w:rsid w:val="007433DE"/>
    <w:rsid w:val="00744681"/>
    <w:rsid w:val="00746F6B"/>
    <w:rsid w:val="00760DE9"/>
    <w:rsid w:val="0076297D"/>
    <w:rsid w:val="00764CFF"/>
    <w:rsid w:val="00765943"/>
    <w:rsid w:val="00782340"/>
    <w:rsid w:val="007A5447"/>
    <w:rsid w:val="007B6EF0"/>
    <w:rsid w:val="007D04E6"/>
    <w:rsid w:val="007D5E09"/>
    <w:rsid w:val="00802B57"/>
    <w:rsid w:val="00831768"/>
    <w:rsid w:val="00842287"/>
    <w:rsid w:val="008559E5"/>
    <w:rsid w:val="00862A19"/>
    <w:rsid w:val="008D3A4F"/>
    <w:rsid w:val="008F4272"/>
    <w:rsid w:val="00906222"/>
    <w:rsid w:val="00912F24"/>
    <w:rsid w:val="00934CAD"/>
    <w:rsid w:val="00935821"/>
    <w:rsid w:val="009370DC"/>
    <w:rsid w:val="0094557C"/>
    <w:rsid w:val="009512E6"/>
    <w:rsid w:val="00967F4C"/>
    <w:rsid w:val="0097256E"/>
    <w:rsid w:val="0098194C"/>
    <w:rsid w:val="009906E5"/>
    <w:rsid w:val="00992E47"/>
    <w:rsid w:val="0099596C"/>
    <w:rsid w:val="009B6D8B"/>
    <w:rsid w:val="009B79D5"/>
    <w:rsid w:val="009F440C"/>
    <w:rsid w:val="00A044B5"/>
    <w:rsid w:val="00A1360D"/>
    <w:rsid w:val="00A5514C"/>
    <w:rsid w:val="00A95118"/>
    <w:rsid w:val="00AC102B"/>
    <w:rsid w:val="00AC6B71"/>
    <w:rsid w:val="00AD135E"/>
    <w:rsid w:val="00AE222C"/>
    <w:rsid w:val="00AE437E"/>
    <w:rsid w:val="00AE4AA8"/>
    <w:rsid w:val="00B04CE3"/>
    <w:rsid w:val="00B05A64"/>
    <w:rsid w:val="00B05C21"/>
    <w:rsid w:val="00B1088C"/>
    <w:rsid w:val="00B12C35"/>
    <w:rsid w:val="00B15801"/>
    <w:rsid w:val="00B2656D"/>
    <w:rsid w:val="00B26D7F"/>
    <w:rsid w:val="00B411E5"/>
    <w:rsid w:val="00B44959"/>
    <w:rsid w:val="00BA335C"/>
    <w:rsid w:val="00BC7AB9"/>
    <w:rsid w:val="00BD55E3"/>
    <w:rsid w:val="00BE3050"/>
    <w:rsid w:val="00BE3DA8"/>
    <w:rsid w:val="00BE4636"/>
    <w:rsid w:val="00BE4B9C"/>
    <w:rsid w:val="00C21345"/>
    <w:rsid w:val="00C46096"/>
    <w:rsid w:val="00C6286A"/>
    <w:rsid w:val="00C713E4"/>
    <w:rsid w:val="00C910AC"/>
    <w:rsid w:val="00CA3F81"/>
    <w:rsid w:val="00CB3243"/>
    <w:rsid w:val="00CC7EAD"/>
    <w:rsid w:val="00CD5CEF"/>
    <w:rsid w:val="00CE3219"/>
    <w:rsid w:val="00CF2383"/>
    <w:rsid w:val="00D0720B"/>
    <w:rsid w:val="00D212BB"/>
    <w:rsid w:val="00D244E2"/>
    <w:rsid w:val="00D25371"/>
    <w:rsid w:val="00D25F05"/>
    <w:rsid w:val="00D30729"/>
    <w:rsid w:val="00D55177"/>
    <w:rsid w:val="00D57504"/>
    <w:rsid w:val="00D74BAB"/>
    <w:rsid w:val="00DC06C4"/>
    <w:rsid w:val="00DC627D"/>
    <w:rsid w:val="00DD7AED"/>
    <w:rsid w:val="00DE3BDA"/>
    <w:rsid w:val="00DE62E5"/>
    <w:rsid w:val="00E07518"/>
    <w:rsid w:val="00E36439"/>
    <w:rsid w:val="00E444D2"/>
    <w:rsid w:val="00E5647D"/>
    <w:rsid w:val="00E56679"/>
    <w:rsid w:val="00E75D2C"/>
    <w:rsid w:val="00E91D62"/>
    <w:rsid w:val="00EB5B47"/>
    <w:rsid w:val="00EF3AD6"/>
    <w:rsid w:val="00EF4EA0"/>
    <w:rsid w:val="00F1341B"/>
    <w:rsid w:val="00F257DB"/>
    <w:rsid w:val="00F661B9"/>
    <w:rsid w:val="00F83B55"/>
    <w:rsid w:val="00F95B7E"/>
    <w:rsid w:val="00FB59E9"/>
    <w:rsid w:val="00FC072E"/>
    <w:rsid w:val="00FD12B3"/>
    <w:rsid w:val="00FE05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rPr>
      <w:color w:val="0000FF"/>
      <w:u w:val="single"/>
    </w:rPr>
  </w:style>
  <w:style w:type="paragraph" w:styleId="FootnoteText">
    <w:name w:val="footnote text"/>
    <w:aliases w:val="ALTS FOOTNOTE,Footnote Text Char Char,Footnote Text Char Char Char Char,Footnote Text Char Char1,Footnote Text Char1,Footnote Text Char1 Char Char1,Footnote Text Char1 Char Char1 Char Char Char,Footnote Text Char2 Char Char Char Char1,fn"/>
    <w:basedOn w:val="Normal"/>
    <w:link w:val="FootnoteTextChar"/>
    <w:uiPriority w:val="99"/>
    <w:qFormat/>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BodyTextIndent3Char">
    <w:name w:val="Body Text Indent 3 Char"/>
    <w:basedOn w:val="DefaultParagraphFont"/>
    <w:link w:val="BodyTextIndent3"/>
    <w:rsid w:val="006F5FAD"/>
    <w:rPr>
      <w:sz w:val="24"/>
    </w:rPr>
  </w:style>
  <w:style w:type="character" w:customStyle="1" w:styleId="UnresolvedMention1">
    <w:name w:val="Unresolved Mention1"/>
    <w:basedOn w:val="DefaultParagraphFont"/>
    <w:uiPriority w:val="99"/>
    <w:semiHidden/>
    <w:unhideWhenUsed/>
    <w:rsid w:val="006F5FAD"/>
    <w:rPr>
      <w:color w:val="605E5C"/>
      <w:shd w:val="clear" w:color="auto" w:fill="E1DFDD"/>
    </w:rPr>
  </w:style>
  <w:style w:type="character" w:customStyle="1" w:styleId="FooterChar">
    <w:name w:val="Footer Char"/>
    <w:basedOn w:val="DefaultParagraphFont"/>
    <w:link w:val="Footer"/>
    <w:uiPriority w:val="99"/>
    <w:rsid w:val="00225CF0"/>
  </w:style>
  <w:style w:type="character" w:customStyle="1" w:styleId="UnresolvedMention2">
    <w:name w:val="Unresolved Mention2"/>
    <w:basedOn w:val="DefaultParagraphFont"/>
    <w:rsid w:val="00D0720B"/>
    <w:rPr>
      <w:color w:val="605E5C"/>
      <w:shd w:val="clear" w:color="auto" w:fill="E1DFDD"/>
    </w:rPr>
  </w:style>
  <w:style w:type="character" w:customStyle="1" w:styleId="CommentTextChar">
    <w:name w:val="Comment Text Char"/>
    <w:basedOn w:val="DefaultParagraphFont"/>
    <w:link w:val="CommentText"/>
    <w:semiHidden/>
    <w:rsid w:val="00D244E2"/>
    <w:rPr>
      <w:sz w:val="24"/>
      <w:szCs w:val="24"/>
    </w:rPr>
  </w:style>
  <w:style w:type="character" w:customStyle="1" w:styleId="FootnoteTextChar">
    <w:name w:val="Footnote Text Char"/>
    <w:aliases w:val="ALTS FOOTNOTE Char,Footnote Text Char Char Char,Footnote Text Char Char Char Char Char,Footnote Text Char Char1 Char,Footnote Text Char1 Char,Footnote Text Char1 Char Char1 Char,Footnote Text Char1 Char Char1 Char Char Char Char"/>
    <w:basedOn w:val="DefaultParagraphFont"/>
    <w:link w:val="FootnoteText"/>
    <w:uiPriority w:val="99"/>
    <w:rsid w:val="00DE62E5"/>
  </w:style>
  <w:style w:type="character" w:customStyle="1" w:styleId="Heading1Char">
    <w:name w:val="Heading 1 Char"/>
    <w:link w:val="Heading1"/>
    <w:rsid w:val="00802B57"/>
    <w:rPr>
      <w:b/>
      <w:sz w:val="24"/>
      <w:szCs w:val="24"/>
      <w:u w:val="single"/>
    </w:rPr>
  </w:style>
  <w:style w:type="character" w:customStyle="1" w:styleId="UnresolvedMention3">
    <w:name w:val="Unresolved Mention3"/>
    <w:basedOn w:val="DefaultParagraphFont"/>
    <w:rsid w:val="00802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John.jones@ohioattorneygeneral.gov" TargetMode="External" /><Relationship Id="rId11" Type="http://schemas.openxmlformats.org/officeDocument/2006/relationships/hyperlink" Target="mailto:Thomas.lindgren@ohioattorneygeneral.gov" TargetMode="External" /><Relationship Id="rId12" Type="http://schemas.openxmlformats.org/officeDocument/2006/relationships/hyperlink" Target="mailto:Bojko@carpenterlipps.com" TargetMode="External" /><Relationship Id="rId13" Type="http://schemas.openxmlformats.org/officeDocument/2006/relationships/hyperlink" Target="mailto:Donadio@carpenterlipps.com" TargetMode="External" /><Relationship Id="rId14" Type="http://schemas.openxmlformats.org/officeDocument/2006/relationships/hyperlink" Target="mailto:Megan.addison@puco.ohio.gov" TargetMode="External" /><Relationship Id="rId15" Type="http://schemas.openxmlformats.org/officeDocument/2006/relationships/hyperlink" Target="mailto:Gregory.price@puco.ohio.gov" TargetMode="External" /><Relationship Id="rId16" Type="http://schemas.openxmlformats.org/officeDocument/2006/relationships/hyperlink" Target="mailto:Jacqueline.st.john@puco.ohio.gov" TargetMode="External" /><Relationship Id="rId17" Type="http://schemas.openxmlformats.org/officeDocument/2006/relationships/hyperlink" Target="mailto:bknipe@firstenergycorp.com" TargetMode="Externa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William.Michael@occ.ohio.gov" TargetMode="External" /><Relationship Id="rId7" Type="http://schemas.openxmlformats.org/officeDocument/2006/relationships/hyperlink" Target="mailto:Ambrosia.Wilson@occ.ohio.gov" TargetMode="External" /><Relationship Id="rId8" Type="http://schemas.openxmlformats.org/officeDocument/2006/relationships/footer" Target="footer1.xml" /><Relationship Id="rId9" Type="http://schemas.openxmlformats.org/officeDocument/2006/relationships/footer" Target="footer2.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cleveland.com/open/2020/07/ohio-house-speaker-larry-householder-allies-got-more-than-60-million-in-firstenergy-bribes-to-pass-hb6-feds-claim.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E16BA-4719-4A88-AD8B-D013E44DE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1634</Words>
  <Characters>9315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FE MTI.docx</vt:lpstr>
    </vt:vector>
  </TitlesOfParts>
  <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2021-03-22T15:41:56Z</dcterms:created>
  <dcterms:modified xsi:type="dcterms:W3CDTF">2021-03-22T15:41:56Z</dcterms:modified>
</cp:coreProperties>
</file>