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E36129" w14:paraId="36ADFE19" w14:textId="77777777">
      <w:pPr>
        <w:pStyle w:val="BodyA"/>
        <w:jc w:val="center"/>
        <w:rPr>
          <w:b/>
          <w:bCs/>
        </w:rPr>
      </w:pPr>
      <w:r>
        <w:rPr>
          <w:b/>
          <w:bCs/>
        </w:rPr>
        <w:t>BEFORE</w:t>
      </w:r>
    </w:p>
    <w:p w:rsidR="00E36129" w14:paraId="4BF9E13E" w14:textId="77777777">
      <w:pPr>
        <w:pStyle w:val="BodyA"/>
        <w:jc w:val="center"/>
        <w:rPr>
          <w:b/>
          <w:bCs/>
          <w:lang w:val="en-US"/>
        </w:rPr>
      </w:pPr>
      <w:r>
        <w:rPr>
          <w:b/>
          <w:bCs/>
          <w:lang w:val="en-US"/>
        </w:rPr>
        <w:t>THE PUBLIC UTILITIES COMMISSION OF OHIO</w:t>
      </w:r>
    </w:p>
    <w:p w:rsidR="00E36129" w14:paraId="4C42F166" w14:textId="77777777">
      <w:pPr>
        <w:pStyle w:val="BodyA"/>
        <w:tabs>
          <w:tab w:val="left" w:pos="916"/>
          <w:tab w:val="left" w:pos="1832"/>
          <w:tab w:val="left" w:pos="2748"/>
          <w:tab w:val="left" w:pos="3664"/>
          <w:tab w:val="left" w:pos="4580"/>
          <w:tab w:val="left" w:pos="5496"/>
          <w:tab w:val="left" w:pos="6412"/>
          <w:tab w:val="left" w:pos="7328"/>
          <w:tab w:val="left" w:pos="8140"/>
        </w:tabs>
      </w:pPr>
    </w:p>
    <w:tbl>
      <w:tblPr>
        <w:tblW w:w="87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tblPr>
      <w:tblGrid>
        <w:gridCol w:w="4230"/>
        <w:gridCol w:w="270"/>
        <w:gridCol w:w="4230"/>
      </w:tblGrid>
      <w:tr w14:paraId="7FD95477" w14:textId="77777777" w:rsidTr="000F4C1D">
        <w:tblPrEx>
          <w:tblW w:w="87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tblPrEx>
        <w:trPr>
          <w:trHeight w:val="1210"/>
        </w:trPr>
        <w:tc>
          <w:tcPr>
            <w:tcW w:w="4230" w:type="dxa"/>
            <w:tcBorders>
              <w:top w:val="nil"/>
              <w:left w:val="nil"/>
              <w:bottom w:val="nil"/>
              <w:right w:val="nil"/>
            </w:tcBorders>
            <w:shd w:val="clear" w:color="auto" w:fill="auto"/>
            <w:tcMar>
              <w:top w:w="80" w:type="dxa"/>
              <w:left w:w="80" w:type="dxa"/>
              <w:bottom w:w="80" w:type="dxa"/>
              <w:right w:w="80" w:type="dxa"/>
            </w:tcMar>
          </w:tcPr>
          <w:p w:rsidR="00E36129" w14:paraId="3F33A2C8" w14:textId="77777777">
            <w:pPr>
              <w:pStyle w:val="BodyA"/>
              <w:tabs>
                <w:tab w:val="left" w:pos="916"/>
                <w:tab w:val="left" w:pos="1832"/>
                <w:tab w:val="left" w:pos="2748"/>
                <w:tab w:val="left" w:pos="3664"/>
                <w:tab w:val="left" w:pos="4580"/>
                <w:tab w:val="left" w:pos="5496"/>
                <w:tab w:val="left" w:pos="6412"/>
                <w:tab w:val="left" w:pos="7328"/>
                <w:tab w:val="left" w:pos="8140"/>
              </w:tabs>
            </w:pPr>
            <w:r>
              <w:rPr>
                <w:lang w:val="en-US"/>
              </w:rPr>
              <w:t>In the Matter of the Commission’s Investigation of the Implementation of the Federal Infrastructure and Jobs.</w:t>
            </w:r>
          </w:p>
        </w:tc>
        <w:tc>
          <w:tcPr>
            <w:tcW w:w="270" w:type="dxa"/>
            <w:tcBorders>
              <w:top w:val="nil"/>
              <w:left w:val="nil"/>
              <w:bottom w:val="nil"/>
              <w:right w:val="nil"/>
            </w:tcBorders>
            <w:shd w:val="clear" w:color="auto" w:fill="auto"/>
            <w:tcMar>
              <w:top w:w="80" w:type="dxa"/>
              <w:left w:w="80" w:type="dxa"/>
              <w:bottom w:w="80" w:type="dxa"/>
              <w:right w:w="80" w:type="dxa"/>
            </w:tcMar>
          </w:tcPr>
          <w:p w:rsidR="00E36129" w14:paraId="3AF8AC7F" w14:textId="77777777">
            <w:pPr>
              <w:pStyle w:val="BodyA"/>
              <w:tabs>
                <w:tab w:val="left" w:pos="916"/>
                <w:tab w:val="left" w:pos="1832"/>
                <w:tab w:val="left" w:pos="2748"/>
                <w:tab w:val="left" w:pos="3664"/>
                <w:tab w:val="left" w:pos="4580"/>
                <w:tab w:val="left" w:pos="5496"/>
                <w:tab w:val="left" w:pos="6412"/>
                <w:tab w:val="left" w:pos="7328"/>
                <w:tab w:val="left" w:pos="8140"/>
              </w:tabs>
            </w:pPr>
            <w:r>
              <w:rPr>
                <w:lang w:val="en-US"/>
              </w:rPr>
              <w:t>)</w:t>
            </w:r>
          </w:p>
          <w:p w:rsidR="00E36129" w14:paraId="70FE55CE" w14:textId="77777777">
            <w:pPr>
              <w:pStyle w:val="BodyA"/>
              <w:tabs>
                <w:tab w:val="left" w:pos="916"/>
                <w:tab w:val="left" w:pos="1832"/>
                <w:tab w:val="left" w:pos="2748"/>
                <w:tab w:val="left" w:pos="3664"/>
                <w:tab w:val="left" w:pos="4580"/>
                <w:tab w:val="left" w:pos="5496"/>
                <w:tab w:val="left" w:pos="6412"/>
                <w:tab w:val="left" w:pos="7328"/>
                <w:tab w:val="left" w:pos="8140"/>
              </w:tabs>
            </w:pPr>
            <w:r>
              <w:rPr>
                <w:lang w:val="en-US"/>
              </w:rPr>
              <w:t>)</w:t>
            </w:r>
          </w:p>
          <w:p w:rsidR="00E36129" w14:paraId="682EBF96" w14:textId="77777777">
            <w:pPr>
              <w:pStyle w:val="BodyA"/>
              <w:tabs>
                <w:tab w:val="left" w:pos="916"/>
                <w:tab w:val="left" w:pos="1832"/>
                <w:tab w:val="left" w:pos="2748"/>
                <w:tab w:val="left" w:pos="3664"/>
                <w:tab w:val="left" w:pos="4580"/>
                <w:tab w:val="left" w:pos="5496"/>
                <w:tab w:val="left" w:pos="6412"/>
                <w:tab w:val="left" w:pos="7328"/>
                <w:tab w:val="left" w:pos="8140"/>
              </w:tabs>
            </w:pPr>
            <w:r>
              <w:rPr>
                <w:lang w:val="en-US"/>
              </w:rPr>
              <w:t>)</w:t>
            </w:r>
          </w:p>
        </w:tc>
        <w:tc>
          <w:tcPr>
            <w:tcW w:w="4230" w:type="dxa"/>
            <w:tcBorders>
              <w:top w:val="nil"/>
              <w:left w:val="nil"/>
              <w:bottom w:val="nil"/>
              <w:right w:val="nil"/>
            </w:tcBorders>
            <w:shd w:val="clear" w:color="auto" w:fill="auto"/>
            <w:tcMar>
              <w:top w:w="80" w:type="dxa"/>
              <w:left w:w="80" w:type="dxa"/>
              <w:bottom w:w="80" w:type="dxa"/>
              <w:right w:w="80" w:type="dxa"/>
            </w:tcMar>
          </w:tcPr>
          <w:p w:rsidR="00E36129" w14:paraId="6478D227" w14:textId="77777777">
            <w:pPr>
              <w:pStyle w:val="BodyA"/>
              <w:tabs>
                <w:tab w:val="left" w:pos="916"/>
                <w:tab w:val="left" w:pos="1832"/>
                <w:tab w:val="left" w:pos="2748"/>
                <w:tab w:val="left" w:pos="3664"/>
                <w:tab w:val="left" w:pos="4580"/>
                <w:tab w:val="left" w:pos="5496"/>
                <w:tab w:val="left" w:pos="6412"/>
                <w:tab w:val="left" w:pos="7328"/>
                <w:tab w:val="left" w:pos="8140"/>
              </w:tabs>
              <w:rPr>
                <w:lang w:val="en-US"/>
              </w:rPr>
            </w:pPr>
          </w:p>
          <w:p w:rsidR="00E36129" w14:paraId="0A231B41" w14:textId="77777777">
            <w:pPr>
              <w:pStyle w:val="BodyA"/>
              <w:tabs>
                <w:tab w:val="left" w:pos="916"/>
                <w:tab w:val="left" w:pos="1832"/>
                <w:tab w:val="left" w:pos="2748"/>
                <w:tab w:val="left" w:pos="3664"/>
                <w:tab w:val="left" w:pos="4580"/>
                <w:tab w:val="left" w:pos="5496"/>
                <w:tab w:val="left" w:pos="6412"/>
                <w:tab w:val="left" w:pos="7328"/>
                <w:tab w:val="left" w:pos="8140"/>
              </w:tabs>
            </w:pPr>
            <w:r>
              <w:rPr>
                <w:lang w:val="en-US"/>
              </w:rPr>
              <w:t>Case No. 22-755-AU-COI</w:t>
            </w:r>
          </w:p>
        </w:tc>
      </w:tr>
    </w:tbl>
    <w:p w:rsidR="00E36129" w14:paraId="0AB25C59" w14:textId="77777777">
      <w:pPr>
        <w:pStyle w:val="BodyAA"/>
        <w:pBdr>
          <w:bottom w:val="single" w:sz="12" w:space="0" w:color="000000"/>
        </w:pBdr>
        <w:jc w:val="center"/>
        <w:rPr>
          <w:rFonts w:ascii="Times New Roman" w:eastAsia="Times New Roman" w:hAnsi="Times New Roman" w:cs="Times New Roman"/>
          <w:b/>
          <w:bCs/>
          <w:sz w:val="24"/>
          <w:szCs w:val="24"/>
        </w:rPr>
      </w:pPr>
    </w:p>
    <w:p w:rsidR="00E36129" w14:paraId="778D6AF1" w14:textId="77777777">
      <w:pPr>
        <w:pStyle w:val="BodyAA"/>
        <w:jc w:val="center"/>
        <w:rPr>
          <w:rFonts w:ascii="Times New Roman" w:eastAsia="Times New Roman" w:hAnsi="Times New Roman" w:cs="Times New Roman"/>
          <w:b/>
          <w:bCs/>
          <w:sz w:val="24"/>
          <w:szCs w:val="24"/>
        </w:rPr>
      </w:pPr>
    </w:p>
    <w:p w:rsidR="00E36129" w14:paraId="074C8AA1" w14:textId="77777777">
      <w:pPr>
        <w:pStyle w:val="BodyAA"/>
        <w:jc w:val="center"/>
        <w:rPr>
          <w:rFonts w:ascii="Times New Roman" w:eastAsia="Times New Roman" w:hAnsi="Times New Roman" w:cs="Times New Roman"/>
          <w:b/>
          <w:bCs/>
          <w:sz w:val="24"/>
          <w:szCs w:val="24"/>
        </w:rPr>
      </w:pPr>
      <w:r>
        <w:rPr>
          <w:rFonts w:ascii="Times New Roman" w:hAnsi="Times New Roman"/>
          <w:b/>
          <w:bCs/>
          <w:sz w:val="24"/>
          <w:szCs w:val="24"/>
        </w:rPr>
        <w:t xml:space="preserve">CONSUMER PROTECTION COMMENTS </w:t>
      </w:r>
    </w:p>
    <w:p w:rsidR="00E36129" w14:paraId="1E6EE555" w14:textId="77777777">
      <w:pPr>
        <w:pStyle w:val="BodyAA"/>
        <w:jc w:val="center"/>
        <w:rPr>
          <w:rFonts w:ascii="Times New Roman" w:eastAsia="Times New Roman" w:hAnsi="Times New Roman" w:cs="Times New Roman"/>
          <w:b/>
          <w:bCs/>
          <w:sz w:val="24"/>
          <w:szCs w:val="24"/>
        </w:rPr>
      </w:pPr>
      <w:r>
        <w:rPr>
          <w:rFonts w:ascii="Times New Roman" w:hAnsi="Times New Roman"/>
          <w:b/>
          <w:bCs/>
          <w:sz w:val="24"/>
          <w:szCs w:val="24"/>
        </w:rPr>
        <w:t>BY</w:t>
      </w:r>
    </w:p>
    <w:p w:rsidR="00E36129" w14:paraId="1F60B31D" w14:textId="77777777">
      <w:pPr>
        <w:pStyle w:val="BodyAA"/>
        <w:jc w:val="center"/>
        <w:rPr>
          <w:rFonts w:ascii="Times New Roman" w:eastAsia="Times New Roman" w:hAnsi="Times New Roman" w:cs="Times New Roman"/>
          <w:b/>
          <w:bCs/>
          <w:sz w:val="24"/>
          <w:szCs w:val="24"/>
        </w:rPr>
      </w:pPr>
      <w:r>
        <w:rPr>
          <w:rFonts w:ascii="Times New Roman" w:hAnsi="Times New Roman"/>
          <w:b/>
          <w:bCs/>
          <w:sz w:val="24"/>
          <w:szCs w:val="24"/>
        </w:rPr>
        <w:t xml:space="preserve">OFFICE OF THE OHIO CONSUMERS’ </w:t>
      </w:r>
      <w:r>
        <w:rPr>
          <w:rFonts w:ascii="Times New Roman" w:hAnsi="Times New Roman"/>
          <w:b/>
          <w:bCs/>
          <w:sz w:val="24"/>
          <w:szCs w:val="24"/>
          <w:lang w:val="fr-FR"/>
        </w:rPr>
        <w:t>COUNSEL</w:t>
      </w:r>
    </w:p>
    <w:p w:rsidR="00E36129" w14:paraId="5BC43314" w14:textId="77777777">
      <w:pPr>
        <w:pStyle w:val="BodyAA"/>
        <w:pBdr>
          <w:bottom w:val="single" w:sz="12" w:space="0" w:color="000000"/>
        </w:pBdr>
        <w:jc w:val="center"/>
        <w:rPr>
          <w:rFonts w:ascii="Times New Roman" w:eastAsia="Times New Roman" w:hAnsi="Times New Roman" w:cs="Times New Roman"/>
          <w:b/>
          <w:bCs/>
          <w:sz w:val="24"/>
          <w:szCs w:val="24"/>
        </w:rPr>
      </w:pPr>
    </w:p>
    <w:p w:rsidR="00E36129" w14:paraId="10E8746A" w14:textId="77777777">
      <w:pPr>
        <w:pStyle w:val="BodyAA"/>
        <w:jc w:val="center"/>
        <w:rPr>
          <w:rFonts w:ascii="Times New Roman" w:eastAsia="Times New Roman" w:hAnsi="Times New Roman" w:cs="Times New Roman"/>
          <w:b/>
          <w:bCs/>
          <w:sz w:val="24"/>
          <w:szCs w:val="24"/>
        </w:rPr>
      </w:pPr>
    </w:p>
    <w:p w:rsidR="00E36129" w14:paraId="40C6BA6F" w14:textId="77777777">
      <w:pPr>
        <w:pStyle w:val="Heading"/>
        <w:keepLines/>
        <w:numPr>
          <w:ilvl w:val="0"/>
          <w:numId w:val="2"/>
        </w:numPr>
        <w:rPr>
          <w:rFonts w:ascii="Times New Roman" w:hAnsi="Times New Roman"/>
          <w:sz w:val="24"/>
          <w:szCs w:val="24"/>
        </w:rPr>
      </w:pPr>
      <w:r>
        <w:rPr>
          <w:rStyle w:val="NoneB"/>
          <w:rFonts w:ascii="Times New Roman" w:hAnsi="Times New Roman"/>
          <w:sz w:val="24"/>
          <w:szCs w:val="24"/>
        </w:rPr>
        <w:t>INTRODUCTION</w:t>
      </w:r>
    </w:p>
    <w:p w:rsidR="00E36129" w14:paraId="22EB0972" w14:textId="77777777">
      <w:pPr>
        <w:pStyle w:val="BodyAA"/>
        <w:rPr>
          <w:rFonts w:ascii="Calibri" w:eastAsia="Calibri" w:hAnsi="Calibri" w:cs="Calibri"/>
        </w:rPr>
      </w:pPr>
    </w:p>
    <w:p w:rsidR="00E36129" w14:paraId="2DD61B14" w14:textId="30C738E4">
      <w:pPr>
        <w:pStyle w:val="Default"/>
        <w:spacing w:before="0" w:line="480" w:lineRule="auto"/>
        <w:rPr>
          <w:rFonts w:ascii="Times New Roman" w:eastAsia="Times New Roman" w:hAnsi="Times New Roman" w:cs="Times New Roman"/>
          <w:color w:val="333333"/>
          <w:u w:color="333333"/>
        </w:rPr>
      </w:pPr>
      <w:r>
        <w:rPr>
          <w:rFonts w:ascii="Times New Roman" w:eastAsia="Times New Roman" w:hAnsi="Times New Roman" w:cs="Times New Roman"/>
          <w:color w:val="333333"/>
          <w:sz w:val="30"/>
          <w:szCs w:val="30"/>
          <w:u w:color="333333"/>
        </w:rPr>
        <w:tab/>
      </w:r>
      <w:r w:rsidRPr="000F4C1D">
        <w:rPr>
          <w:rFonts w:ascii="Times New Roman" w:eastAsia="Times New Roman" w:hAnsi="Times New Roman" w:cs="Times New Roman"/>
          <w:color w:val="333333"/>
          <w:u w:color="333333"/>
        </w:rPr>
        <w:t>T</w:t>
      </w:r>
      <w:r w:rsidRPr="000F4C1D">
        <w:rPr>
          <w:rFonts w:ascii="Times New Roman" w:hAnsi="Times New Roman"/>
          <w:color w:val="333333"/>
          <w:u w:color="333333"/>
        </w:rPr>
        <w:t>he Infrastructure</w:t>
      </w:r>
      <w:r>
        <w:rPr>
          <w:rFonts w:ascii="Times New Roman" w:hAnsi="Times New Roman"/>
          <w:color w:val="333333"/>
          <w:u w:color="333333"/>
        </w:rPr>
        <w:t xml:space="preserve"> Investment and Jobs Act (the “Act”)</w:t>
      </w:r>
      <w:r w:rsidR="0066661B">
        <w:rPr>
          <w:rFonts w:ascii="Times New Roman" w:hAnsi="Times New Roman"/>
          <w:color w:val="333333"/>
          <w:u w:color="333333"/>
        </w:rPr>
        <w:t xml:space="preserve"> </w:t>
      </w:r>
      <w:r>
        <w:rPr>
          <w:rFonts w:ascii="Times New Roman" w:hAnsi="Times New Roman"/>
          <w:color w:val="333333"/>
          <w:u w:color="333333"/>
        </w:rPr>
        <w:t>was signed into law by President Joe Biden on Nov. 15, 2021.</w:t>
      </w:r>
      <w:r>
        <w:rPr>
          <w:rFonts w:ascii="Times New Roman" w:eastAsia="Times New Roman" w:hAnsi="Times New Roman" w:cs="Times New Roman"/>
          <w:color w:val="333333"/>
          <w:u w:color="333333"/>
          <w:vertAlign w:val="superscript"/>
        </w:rPr>
        <w:footnoteReference w:id="3"/>
      </w:r>
      <w:r>
        <w:rPr>
          <w:rFonts w:ascii="Times New Roman" w:hAnsi="Times New Roman"/>
          <w:color w:val="333333"/>
          <w:u w:color="333333"/>
        </w:rPr>
        <w:t xml:space="preserve"> The bill contains $1.2 trillion in total funding ($550 billion of which is new spending) for various infrastructure purposes, including roads and bridges, broadband, drinking water resources, airports, electrical vehicles, and more.</w:t>
      </w:r>
      <w:r>
        <w:rPr>
          <w:rFonts w:ascii="Times New Roman" w:eastAsia="Times New Roman" w:hAnsi="Times New Roman" w:cs="Times New Roman"/>
          <w:color w:val="333333"/>
          <w:u w:color="333333"/>
          <w:vertAlign w:val="superscript"/>
        </w:rPr>
        <w:footnoteReference w:id="4"/>
      </w:r>
      <w:r>
        <w:rPr>
          <w:rFonts w:ascii="Times New Roman" w:hAnsi="Times New Roman"/>
          <w:color w:val="333333"/>
          <w:u w:color="333333"/>
        </w:rPr>
        <w:t> The Council of State Governments analysis shows that there is $73 billion in funding allocated for power grids and utilities improvements and $12.5 billion for electric vehicle chargers and buses.</w:t>
      </w:r>
      <w:r w:rsidR="00D64BC9">
        <w:rPr>
          <w:rFonts w:ascii="Times New Roman" w:hAnsi="Times New Roman"/>
          <w:b/>
          <w:bCs/>
          <w:color w:val="333333"/>
          <w:u w:color="333333"/>
        </w:rPr>
        <w:t xml:space="preserve"> </w:t>
      </w:r>
      <w:r>
        <w:rPr>
          <w:rFonts w:ascii="Times New Roman" w:hAnsi="Times New Roman"/>
          <w:color w:val="333333"/>
          <w:u w:color="333333"/>
        </w:rPr>
        <w:t>Power grid and utility improvements are tied as the third largest funding source in the bill.</w:t>
      </w:r>
    </w:p>
    <w:p w:rsidR="00E36129" w14:paraId="16CB10AE" w14:textId="3847FBAF">
      <w:pPr>
        <w:pStyle w:val="Default"/>
        <w:spacing w:before="0" w:line="480" w:lineRule="auto"/>
        <w:ind w:firstLine="720"/>
        <w:rPr>
          <w:rFonts w:ascii="Times New Roman" w:eastAsia="Times New Roman" w:hAnsi="Times New Roman" w:cs="Times New Roman"/>
        </w:rPr>
      </w:pPr>
      <w:r>
        <w:rPr>
          <w:rFonts w:ascii="Times New Roman" w:hAnsi="Times New Roman"/>
        </w:rPr>
        <w:t>The PUCO has invited interested stakeholders to provide comments on implementing the Act, including regarding funding for a number of competitive grants and revolving loan programs. OCC appreciates the opportunity to do so, given that important consumer protection matters are at issue.</w:t>
      </w:r>
      <w:r w:rsidR="00D64BC9">
        <w:rPr>
          <w:rFonts w:ascii="Times New Roman" w:hAnsi="Times New Roman"/>
        </w:rPr>
        <w:t xml:space="preserve"> </w:t>
      </w:r>
      <w:r>
        <w:rPr>
          <w:rFonts w:ascii="Times New Roman" w:hAnsi="Times New Roman"/>
        </w:rPr>
        <w:t xml:space="preserve">As described by the PUCO, these </w:t>
      </w:r>
      <w:r>
        <w:rPr>
          <w:rFonts w:ascii="Times New Roman" w:hAnsi="Times New Roman"/>
        </w:rPr>
        <w:t>matters include preventing outages and enhancing the resilience of the electric grid.</w:t>
      </w:r>
      <w:r>
        <w:rPr>
          <w:rFonts w:ascii="Times New Roman" w:eastAsia="Times New Roman" w:hAnsi="Times New Roman" w:cs="Times New Roman"/>
          <w:vertAlign w:val="superscript"/>
        </w:rPr>
        <w:footnoteReference w:id="5"/>
      </w:r>
      <w:r>
        <w:rPr>
          <w:rFonts w:ascii="Times New Roman" w:hAnsi="Times New Roman"/>
        </w:rPr>
        <w:t xml:space="preserve"> We recommend that the PUCO also address consumer protection by making sure that goals for the grants applied for are consumer-oriented and stated up-front, mechanisms are established to monitor the grants, and clear guidance is provided about how the grants will be handled for rate making purposes.</w:t>
      </w:r>
    </w:p>
    <w:p w:rsidR="00E36129" w14:paraId="4EDF3127" w14:textId="77777777">
      <w:pPr>
        <w:pStyle w:val="Default"/>
        <w:spacing w:before="0" w:line="240" w:lineRule="auto"/>
        <w:ind w:firstLine="720"/>
        <w:rPr>
          <w:rFonts w:ascii="Times New Roman" w:eastAsia="Times New Roman" w:hAnsi="Times New Roman" w:cs="Times New Roman"/>
          <w:color w:val="333333"/>
          <w:u w:color="333333"/>
        </w:rPr>
      </w:pPr>
    </w:p>
    <w:p w:rsidR="00E36129" w:rsidP="00FB4033" w14:paraId="636D976F" w14:textId="77777777">
      <w:pPr>
        <w:pStyle w:val="Heading1"/>
        <w:rPr>
          <w:rFonts w:ascii="Times New Roman" w:eastAsia="Times New Roman" w:hAnsi="Times New Roman" w:cs="Times New Roman"/>
          <w:u w:color="212529"/>
          <w:shd w:val="clear" w:color="auto" w:fill="FFFFFF"/>
        </w:rPr>
      </w:pPr>
      <w:r>
        <w:rPr>
          <w:u w:color="212529"/>
          <w:shd w:val="clear" w:color="auto" w:fill="FFFFFF"/>
        </w:rPr>
        <w:t>II.</w:t>
      </w:r>
      <w:r>
        <w:rPr>
          <w:u w:color="212529"/>
          <w:shd w:val="clear" w:color="auto" w:fill="FFFFFF"/>
        </w:rPr>
        <w:tab/>
        <w:t>Consumer Protection Recommendations</w:t>
      </w:r>
    </w:p>
    <w:p w:rsidR="00E36129" w14:paraId="7E57573C" w14:textId="6004C1E4">
      <w:pPr>
        <w:pStyle w:val="BodyAA"/>
        <w:spacing w:line="480" w:lineRule="auto"/>
      </w:pPr>
      <w:r>
        <w:rPr>
          <w:rStyle w:val="NoneB"/>
        </w:rPr>
        <w:tab/>
      </w:r>
      <w:r>
        <w:rPr>
          <w:rFonts w:ascii="Times New Roman" w:hAnsi="Times New Roman"/>
          <w:sz w:val="24"/>
          <w:szCs w:val="24"/>
        </w:rPr>
        <w:t>The Act funds a number of competitive grants and revolving loan programs nationwide.</w:t>
      </w:r>
      <w:r w:rsidR="00D64BC9">
        <w:rPr>
          <w:rFonts w:ascii="Times New Roman" w:hAnsi="Times New Roman"/>
          <w:sz w:val="24"/>
          <w:szCs w:val="24"/>
        </w:rPr>
        <w:t xml:space="preserve"> </w:t>
      </w:r>
      <w:r>
        <w:rPr>
          <w:rFonts w:ascii="Times New Roman" w:hAnsi="Times New Roman"/>
          <w:sz w:val="24"/>
          <w:szCs w:val="24"/>
        </w:rPr>
        <w:t>They include:</w:t>
      </w:r>
    </w:p>
    <w:p w:rsidR="00E36129" w14:paraId="77BA97CC" w14:textId="77777777">
      <w:pPr>
        <w:pStyle w:val="Default"/>
        <w:spacing w:before="0" w:line="480" w:lineRule="auto"/>
        <w:rPr>
          <w:rFonts w:ascii="Times New Roman" w:eastAsia="Times New Roman" w:hAnsi="Times New Roman" w:cs="Times New Roman"/>
          <w:color w:val="212529"/>
          <w:u w:color="212529"/>
          <w:shd w:val="clear" w:color="auto" w:fill="FFFFFF"/>
        </w:rPr>
      </w:pPr>
      <w:r>
        <w:rPr>
          <w:rFonts w:ascii="Times New Roman" w:hAnsi="Times New Roman"/>
          <w:b/>
          <w:bCs/>
          <w:color w:val="212529"/>
          <w:u w:color="212529"/>
          <w:shd w:val="clear" w:color="auto" w:fill="FFFFFF"/>
        </w:rPr>
        <w:t>Power Grids</w:t>
      </w:r>
    </w:p>
    <w:p w:rsidR="00E36129" w14:paraId="4C5E68D1" w14:textId="77777777">
      <w:pPr>
        <w:pStyle w:val="Default"/>
        <w:numPr>
          <w:ilvl w:val="0"/>
          <w:numId w:val="4"/>
        </w:numPr>
        <w:spacing w:before="0" w:line="480" w:lineRule="auto"/>
        <w:rPr>
          <w:rFonts w:ascii="Times New Roman" w:hAnsi="Times New Roman"/>
          <w:color w:val="212529"/>
        </w:rPr>
      </w:pPr>
      <w:r>
        <w:rPr>
          <w:rFonts w:ascii="Times New Roman" w:hAnsi="Times New Roman"/>
          <w:color w:val="212529"/>
          <w:u w:color="212529"/>
          <w:shd w:val="clear" w:color="auto" w:fill="FFFFFF"/>
        </w:rPr>
        <w:t>Funds the creation of </w:t>
      </w:r>
      <w:r>
        <w:rPr>
          <w:rFonts w:ascii="Times New Roman" w:hAnsi="Times New Roman"/>
          <w:b/>
          <w:bCs/>
          <w:color w:val="212529"/>
          <w:u w:color="212529"/>
          <w:shd w:val="clear" w:color="auto" w:fill="FFFFFF"/>
        </w:rPr>
        <w:t>four clean hydrogen hubs</w:t>
      </w:r>
      <w:r>
        <w:rPr>
          <w:rFonts w:ascii="Times New Roman" w:hAnsi="Times New Roman"/>
          <w:color w:val="212529"/>
          <w:u w:color="212529"/>
          <w:shd w:val="clear" w:color="auto" w:fill="FFFFFF"/>
        </w:rPr>
        <w:t> to generate electricity – $8 billion.</w:t>
      </w:r>
    </w:p>
    <w:p w:rsidR="00E36129" w14:paraId="5CE7EF91" w14:textId="77777777">
      <w:pPr>
        <w:pStyle w:val="Default"/>
        <w:numPr>
          <w:ilvl w:val="0"/>
          <w:numId w:val="4"/>
        </w:numPr>
        <w:spacing w:before="0" w:line="480" w:lineRule="auto"/>
        <w:rPr>
          <w:rFonts w:ascii="Times New Roman" w:hAnsi="Times New Roman"/>
          <w:color w:val="212529"/>
        </w:rPr>
      </w:pPr>
      <w:r>
        <w:rPr>
          <w:rFonts w:ascii="Times New Roman" w:hAnsi="Times New Roman"/>
          <w:color w:val="212529"/>
          <w:u w:color="212529"/>
          <w:shd w:val="clear" w:color="auto" w:fill="FFFFFF"/>
        </w:rPr>
        <w:t>Subsidizes current </w:t>
      </w:r>
      <w:r>
        <w:rPr>
          <w:rFonts w:ascii="Times New Roman" w:hAnsi="Times New Roman"/>
          <w:b/>
          <w:bCs/>
          <w:color w:val="212529"/>
          <w:u w:color="212529"/>
          <w:shd w:val="clear" w:color="auto" w:fill="FFFFFF"/>
        </w:rPr>
        <w:t>nuclear power plants</w:t>
      </w:r>
      <w:r>
        <w:rPr>
          <w:rFonts w:ascii="Times New Roman" w:hAnsi="Times New Roman"/>
          <w:color w:val="212529"/>
          <w:u w:color="212529"/>
          <w:shd w:val="clear" w:color="auto" w:fill="FFFFFF"/>
        </w:rPr>
        <w:t> – $6 billion.</w:t>
      </w:r>
    </w:p>
    <w:p w:rsidR="00E36129" w14:paraId="48DE7F1E" w14:textId="77777777">
      <w:pPr>
        <w:pStyle w:val="Default"/>
        <w:numPr>
          <w:ilvl w:val="0"/>
          <w:numId w:val="4"/>
        </w:numPr>
        <w:spacing w:before="0" w:line="480" w:lineRule="auto"/>
        <w:rPr>
          <w:rFonts w:ascii="Times New Roman" w:hAnsi="Times New Roman"/>
          <w:color w:val="212529"/>
        </w:rPr>
      </w:pPr>
      <w:r>
        <w:rPr>
          <w:rFonts w:ascii="Times New Roman" w:hAnsi="Times New Roman"/>
          <w:color w:val="212529"/>
          <w:u w:color="212529"/>
          <w:shd w:val="clear" w:color="auto" w:fill="FFFFFF"/>
        </w:rPr>
        <w:t>Establishes new competitive grants to </w:t>
      </w:r>
      <w:r>
        <w:rPr>
          <w:rFonts w:ascii="Times New Roman" w:hAnsi="Times New Roman"/>
          <w:b/>
          <w:bCs/>
          <w:color w:val="212529"/>
          <w:u w:color="212529"/>
          <w:shd w:val="clear" w:color="auto" w:fill="FFFFFF"/>
        </w:rPr>
        <w:t>enhance resilience of the electrical grid</w:t>
      </w:r>
      <w:r>
        <w:rPr>
          <w:rFonts w:ascii="Times New Roman" w:hAnsi="Times New Roman"/>
          <w:color w:val="212529"/>
          <w:u w:color="212529"/>
          <w:shd w:val="clear" w:color="auto" w:fill="FFFFFF"/>
        </w:rPr>
        <w:t> – $5 billion over five years.</w:t>
      </w:r>
    </w:p>
    <w:p w:rsidR="00E36129" w14:paraId="1ABF7BE4" w14:textId="77777777">
      <w:pPr>
        <w:pStyle w:val="Default"/>
        <w:numPr>
          <w:ilvl w:val="0"/>
          <w:numId w:val="4"/>
        </w:numPr>
        <w:spacing w:before="0" w:line="480" w:lineRule="auto"/>
        <w:rPr>
          <w:rFonts w:ascii="Times New Roman" w:hAnsi="Times New Roman"/>
          <w:color w:val="212529"/>
        </w:rPr>
      </w:pPr>
      <w:r>
        <w:rPr>
          <w:rFonts w:ascii="Times New Roman" w:hAnsi="Times New Roman"/>
          <w:color w:val="212529"/>
          <w:u w:color="212529"/>
          <w:shd w:val="clear" w:color="auto" w:fill="FFFFFF"/>
        </w:rPr>
        <w:t>Adds funding to the </w:t>
      </w:r>
      <w:hyperlink r:id="rId6" w:history="1">
        <w:r>
          <w:rPr>
            <w:rStyle w:val="Hyperlink0"/>
            <w:rFonts w:eastAsia="Helvetica Neue"/>
          </w:rPr>
          <w:t>Weatherization Assistance Program</w:t>
        </w:r>
      </w:hyperlink>
      <w:r>
        <w:rPr>
          <w:rStyle w:val="None"/>
          <w:rFonts w:ascii="Times New Roman" w:hAnsi="Times New Roman"/>
          <w:color w:val="212529"/>
          <w:u w:color="212529"/>
          <w:shd w:val="clear" w:color="auto" w:fill="FFFFFF"/>
        </w:rPr>
        <w:t> – $3.5 billion in fiscal year 2022.</w:t>
      </w:r>
    </w:p>
    <w:p w:rsidR="00E36129" w14:paraId="3F009313" w14:textId="77777777">
      <w:pPr>
        <w:pStyle w:val="Default"/>
        <w:numPr>
          <w:ilvl w:val="0"/>
          <w:numId w:val="4"/>
        </w:numPr>
        <w:spacing w:before="0" w:line="480" w:lineRule="auto"/>
        <w:rPr>
          <w:rFonts w:ascii="Times New Roman" w:hAnsi="Times New Roman"/>
          <w:color w:val="212529"/>
        </w:rPr>
      </w:pPr>
      <w:r>
        <w:rPr>
          <w:rStyle w:val="None"/>
          <w:rFonts w:ascii="Times New Roman" w:hAnsi="Times New Roman"/>
          <w:color w:val="212529"/>
          <w:u w:color="212529"/>
          <w:shd w:val="clear" w:color="auto" w:fill="FFFFFF"/>
        </w:rPr>
        <w:t>Creates competitive grant for </w:t>
      </w:r>
      <w:r>
        <w:rPr>
          <w:rStyle w:val="None"/>
          <w:rFonts w:ascii="Times New Roman" w:hAnsi="Times New Roman"/>
          <w:b/>
          <w:bCs/>
          <w:color w:val="212529"/>
          <w:u w:color="212529"/>
          <w:shd w:val="clear" w:color="auto" w:fill="FFFFFF"/>
        </w:rPr>
        <w:t>modernizing energy infrastructure</w:t>
      </w:r>
      <w:r>
        <w:rPr>
          <w:rStyle w:val="None"/>
          <w:rFonts w:ascii="Times New Roman" w:hAnsi="Times New Roman"/>
          <w:color w:val="212529"/>
          <w:u w:color="212529"/>
          <w:shd w:val="clear" w:color="auto" w:fill="FFFFFF"/>
        </w:rPr>
        <w:t> – $3 billion over five years.</w:t>
      </w:r>
    </w:p>
    <w:p w:rsidR="00E36129" w14:paraId="1417110D" w14:textId="77777777">
      <w:pPr>
        <w:pStyle w:val="Default"/>
        <w:numPr>
          <w:ilvl w:val="0"/>
          <w:numId w:val="4"/>
        </w:numPr>
        <w:spacing w:before="0" w:line="480" w:lineRule="auto"/>
        <w:rPr>
          <w:rFonts w:ascii="Times New Roman" w:hAnsi="Times New Roman"/>
          <w:b/>
          <w:bCs/>
          <w:color w:val="212529"/>
        </w:rPr>
      </w:pPr>
      <w:r>
        <w:rPr>
          <w:rStyle w:val="None"/>
          <w:rFonts w:ascii="Times New Roman" w:hAnsi="Times New Roman"/>
          <w:color w:val="212529"/>
          <w:u w:color="212529"/>
          <w:shd w:val="clear" w:color="auto" w:fill="FFFFFF"/>
        </w:rPr>
        <w:t>Establishes revolving loan fund for </w:t>
      </w:r>
      <w:r>
        <w:rPr>
          <w:rStyle w:val="None"/>
          <w:rFonts w:ascii="Times New Roman" w:hAnsi="Times New Roman"/>
          <w:b/>
          <w:bCs/>
          <w:color w:val="212529"/>
          <w:u w:color="212529"/>
          <w:shd w:val="clear" w:color="auto" w:fill="FFFFFF"/>
        </w:rPr>
        <w:t>replacement or enhancement of electrical transmission </w:t>
      </w:r>
      <w:r>
        <w:rPr>
          <w:rStyle w:val="None"/>
          <w:rFonts w:ascii="Times New Roman" w:hAnsi="Times New Roman"/>
          <w:color w:val="212529"/>
          <w:u w:color="212529"/>
          <w:shd w:val="clear" w:color="auto" w:fill="FFFFFF"/>
          <w:lang w:val="fr-FR"/>
        </w:rPr>
        <w:t xml:space="preserve">lines </w:t>
      </w:r>
      <w:r>
        <w:rPr>
          <w:rStyle w:val="None"/>
          <w:rFonts w:ascii="Times New Roman" w:hAnsi="Times New Roman"/>
          <w:color w:val="212529"/>
          <w:u w:color="212529"/>
          <w:shd w:val="clear" w:color="auto" w:fill="FFFFFF"/>
        </w:rPr>
        <w:t>– $2.5 billion over five years.</w:t>
      </w:r>
    </w:p>
    <w:p w:rsidR="00E36129" w14:paraId="53F5EEB2" w14:textId="77777777">
      <w:pPr>
        <w:pStyle w:val="Default"/>
        <w:numPr>
          <w:ilvl w:val="0"/>
          <w:numId w:val="4"/>
        </w:numPr>
        <w:spacing w:before="0" w:line="480" w:lineRule="auto"/>
        <w:rPr>
          <w:rFonts w:ascii="Times New Roman" w:hAnsi="Times New Roman"/>
          <w:b/>
          <w:bCs/>
          <w:color w:val="007BFF"/>
        </w:rPr>
      </w:pPr>
      <w:r>
        <w:rPr>
          <w:rStyle w:val="None"/>
          <w:rFonts w:ascii="Times New Roman" w:hAnsi="Times New Roman"/>
          <w:color w:val="212529"/>
          <w:u w:color="212529"/>
          <w:shd w:val="clear" w:color="auto" w:fill="FFFFFF"/>
        </w:rPr>
        <w:t>Adds funding to and expands the </w:t>
      </w:r>
      <w:hyperlink r:id="rId7" w:history="1">
        <w:r>
          <w:rPr>
            <w:rStyle w:val="Hyperlink1"/>
            <w:rFonts w:ascii="Times New Roman" w:hAnsi="Times New Roman"/>
            <w:b/>
            <w:bCs/>
          </w:rPr>
          <w:t>Energy Efficiency and Conservation Block Grant</w:t>
        </w:r>
      </w:hyperlink>
      <w:r>
        <w:rPr>
          <w:rStyle w:val="None"/>
          <w:rFonts w:ascii="Times New Roman" w:hAnsi="Times New Roman"/>
          <w:shd w:val="clear" w:color="auto" w:fill="FFFFFF"/>
        </w:rPr>
        <w:t> </w:t>
      </w:r>
      <w:r>
        <w:rPr>
          <w:rStyle w:val="None"/>
          <w:rFonts w:ascii="Times New Roman" w:hAnsi="Times New Roman"/>
          <w:b/>
          <w:bCs/>
          <w:color w:val="212529"/>
          <w:u w:color="212529"/>
          <w:shd w:val="clear" w:color="auto" w:fill="FFFFFF"/>
        </w:rPr>
        <w:t>Program</w:t>
      </w:r>
      <w:r>
        <w:rPr>
          <w:rStyle w:val="None"/>
          <w:rFonts w:ascii="Times New Roman" w:hAnsi="Times New Roman"/>
          <w:color w:val="212529"/>
          <w:u w:color="212529"/>
          <w:shd w:val="clear" w:color="auto" w:fill="FFFFFF"/>
        </w:rPr>
        <w:t> – $550 million in fiscal year 2022.</w:t>
      </w:r>
    </w:p>
    <w:p w:rsidR="00E36129" w14:paraId="1CD30DBD" w14:textId="77777777">
      <w:pPr>
        <w:pStyle w:val="Default"/>
        <w:numPr>
          <w:ilvl w:val="0"/>
          <w:numId w:val="4"/>
        </w:numPr>
        <w:spacing w:before="0" w:line="480" w:lineRule="auto"/>
        <w:rPr>
          <w:rFonts w:ascii="Times New Roman" w:hAnsi="Times New Roman"/>
          <w:color w:val="212529"/>
        </w:rPr>
      </w:pPr>
      <w:r>
        <w:rPr>
          <w:rStyle w:val="None"/>
          <w:rFonts w:ascii="Times New Roman" w:hAnsi="Times New Roman"/>
          <w:color w:val="212529"/>
          <w:u w:color="212529"/>
          <w:shd w:val="clear" w:color="auto" w:fill="FFFFFF"/>
        </w:rPr>
        <w:t>Establishes competitive grants for </w:t>
      </w:r>
      <w:r>
        <w:rPr>
          <w:rStyle w:val="None"/>
          <w:rFonts w:ascii="Times New Roman" w:hAnsi="Times New Roman"/>
          <w:b/>
          <w:bCs/>
          <w:color w:val="212529"/>
          <w:u w:color="212529"/>
          <w:shd w:val="clear" w:color="auto" w:fill="FFFFFF"/>
        </w:rPr>
        <w:t>enhancing energy efficiency in schools</w:t>
      </w:r>
      <w:r>
        <w:rPr>
          <w:rStyle w:val="None"/>
          <w:rFonts w:ascii="Times New Roman" w:hAnsi="Times New Roman"/>
          <w:color w:val="212529"/>
          <w:u w:color="212529"/>
          <w:shd w:val="clear" w:color="auto" w:fill="FFFFFF"/>
        </w:rPr>
        <w:t>, including improvements, repairs or renovations to lower energy costs – $500 million over five years.</w:t>
      </w:r>
    </w:p>
    <w:p w:rsidR="00E36129" w14:paraId="67C2D4CA" w14:textId="77777777">
      <w:pPr>
        <w:pStyle w:val="Default"/>
        <w:numPr>
          <w:ilvl w:val="0"/>
          <w:numId w:val="4"/>
        </w:numPr>
        <w:spacing w:before="0" w:line="480" w:lineRule="auto"/>
        <w:rPr>
          <w:rFonts w:ascii="Times New Roman" w:hAnsi="Times New Roman"/>
          <w:color w:val="212529"/>
        </w:rPr>
      </w:pPr>
      <w:r>
        <w:rPr>
          <w:rStyle w:val="None"/>
          <w:rFonts w:ascii="Times New Roman" w:hAnsi="Times New Roman"/>
          <w:color w:val="212529"/>
          <w:u w:color="212529"/>
          <w:shd w:val="clear" w:color="auto" w:fill="FFFFFF"/>
        </w:rPr>
        <w:t>Allocates funding for </w:t>
      </w:r>
      <w:r>
        <w:rPr>
          <w:rStyle w:val="None"/>
          <w:rFonts w:ascii="Times New Roman" w:hAnsi="Times New Roman"/>
          <w:b/>
          <w:bCs/>
          <w:color w:val="212529"/>
          <w:u w:color="212529"/>
          <w:shd w:val="clear" w:color="auto" w:fill="FFFFFF"/>
        </w:rPr>
        <w:t>capital improvements to existing hydroelectric power facilities</w:t>
      </w:r>
      <w:r>
        <w:rPr>
          <w:rStyle w:val="None"/>
          <w:rFonts w:ascii="Times New Roman" w:hAnsi="Times New Roman"/>
          <w:color w:val="212529"/>
          <w:u w:color="212529"/>
          <w:shd w:val="clear" w:color="auto" w:fill="FFFFFF"/>
        </w:rPr>
        <w:t> to improve grid resiliency, dam safety and lower environmental impact – $553 million.</w:t>
      </w:r>
    </w:p>
    <w:p w:rsidR="00E36129" w14:paraId="386A2E03" w14:textId="77777777">
      <w:pPr>
        <w:pStyle w:val="Default"/>
        <w:numPr>
          <w:ilvl w:val="0"/>
          <w:numId w:val="4"/>
        </w:numPr>
        <w:spacing w:before="0" w:line="480" w:lineRule="auto"/>
        <w:rPr>
          <w:rFonts w:ascii="Times New Roman" w:hAnsi="Times New Roman"/>
          <w:color w:val="212529"/>
        </w:rPr>
      </w:pPr>
      <w:r>
        <w:rPr>
          <w:rStyle w:val="None"/>
          <w:rFonts w:ascii="Times New Roman" w:hAnsi="Times New Roman"/>
          <w:color w:val="212529"/>
          <w:u w:color="212529"/>
          <w:shd w:val="clear" w:color="auto" w:fill="FFFFFF"/>
        </w:rPr>
        <w:t>Adds funding to incentivize </w:t>
      </w:r>
      <w:r>
        <w:rPr>
          <w:rStyle w:val="None"/>
          <w:rFonts w:ascii="Times New Roman" w:hAnsi="Times New Roman"/>
          <w:b/>
          <w:bCs/>
          <w:color w:val="212529"/>
          <w:u w:color="212529"/>
          <w:shd w:val="clear" w:color="auto" w:fill="FFFFFF"/>
        </w:rPr>
        <w:t>hydroelectric power generation</w:t>
      </w:r>
      <w:r>
        <w:rPr>
          <w:rStyle w:val="None"/>
          <w:rFonts w:ascii="Times New Roman" w:hAnsi="Times New Roman"/>
          <w:color w:val="212529"/>
          <w:u w:color="212529"/>
          <w:shd w:val="clear" w:color="auto" w:fill="FFFFFF"/>
        </w:rPr>
        <w:t> – $125 million.</w:t>
      </w:r>
    </w:p>
    <w:p w:rsidR="00E36129" w14:paraId="5C7400C1" w14:textId="77777777">
      <w:pPr>
        <w:pStyle w:val="Default"/>
        <w:numPr>
          <w:ilvl w:val="0"/>
          <w:numId w:val="4"/>
        </w:numPr>
        <w:spacing w:before="0" w:line="480" w:lineRule="auto"/>
        <w:rPr>
          <w:rFonts w:ascii="Times New Roman" w:hAnsi="Times New Roman"/>
          <w:color w:val="212529"/>
        </w:rPr>
      </w:pPr>
      <w:r>
        <w:rPr>
          <w:rStyle w:val="None"/>
          <w:rFonts w:ascii="Times New Roman" w:hAnsi="Times New Roman"/>
          <w:color w:val="212529"/>
          <w:u w:color="212529"/>
          <w:shd w:val="clear" w:color="auto" w:fill="FFFFFF"/>
        </w:rPr>
        <w:t>Creates a </w:t>
      </w:r>
      <w:r>
        <w:rPr>
          <w:rStyle w:val="None"/>
          <w:rFonts w:ascii="Times New Roman" w:hAnsi="Times New Roman"/>
          <w:b/>
          <w:bCs/>
          <w:color w:val="212529"/>
          <w:u w:color="212529"/>
          <w:shd w:val="clear" w:color="auto" w:fill="FFFFFF"/>
          <w:lang w:val="fr-FR"/>
        </w:rPr>
        <w:t>transmission facilitation program</w:t>
      </w:r>
      <w:r>
        <w:rPr>
          <w:rStyle w:val="None"/>
          <w:rFonts w:ascii="Times New Roman" w:hAnsi="Times New Roman"/>
          <w:color w:val="212529"/>
          <w:u w:color="212529"/>
          <w:shd w:val="clear" w:color="auto" w:fill="FFFFFF"/>
        </w:rPr>
        <w:t> for eligible projects like creating or replacing transmission lines, increasing transmission capacity or connecting microgrids to larger corridors – $50 million over five years.</w:t>
      </w:r>
    </w:p>
    <w:p w:rsidR="00E36129" w14:paraId="694DD9E2" w14:textId="77777777">
      <w:pPr>
        <w:pStyle w:val="Default"/>
        <w:spacing w:before="0" w:line="480" w:lineRule="auto"/>
        <w:rPr>
          <w:rStyle w:val="None"/>
          <w:rFonts w:ascii="Times New Roman" w:eastAsia="Times New Roman" w:hAnsi="Times New Roman" w:cs="Times New Roman"/>
          <w:color w:val="212529"/>
          <w:u w:color="212529"/>
          <w:shd w:val="clear" w:color="auto" w:fill="FFFFFF"/>
        </w:rPr>
      </w:pPr>
      <w:r>
        <w:rPr>
          <w:rStyle w:val="None"/>
          <w:rFonts w:ascii="Times New Roman" w:hAnsi="Times New Roman"/>
          <w:b/>
          <w:bCs/>
          <w:color w:val="212529"/>
          <w:u w:color="212529"/>
          <w:shd w:val="clear" w:color="auto" w:fill="FFFFFF"/>
        </w:rPr>
        <w:t>Electric Vehicles (EVs)</w:t>
      </w:r>
    </w:p>
    <w:p w:rsidR="00E36129" w14:paraId="6AAC90E9" w14:textId="77777777">
      <w:pPr>
        <w:pStyle w:val="Default"/>
        <w:numPr>
          <w:ilvl w:val="0"/>
          <w:numId w:val="4"/>
        </w:numPr>
        <w:spacing w:before="0" w:line="480" w:lineRule="auto"/>
        <w:rPr>
          <w:rFonts w:ascii="Times New Roman" w:hAnsi="Times New Roman"/>
          <w:color w:val="212529"/>
        </w:rPr>
      </w:pPr>
      <w:r>
        <w:rPr>
          <w:rStyle w:val="None"/>
          <w:rFonts w:ascii="Times New Roman" w:hAnsi="Times New Roman"/>
          <w:color w:val="212529"/>
          <w:u w:color="212529"/>
          <w:shd w:val="clear" w:color="auto" w:fill="FFFFFF"/>
        </w:rPr>
        <w:t>Establishes federal funding for </w:t>
      </w:r>
      <w:r>
        <w:rPr>
          <w:rStyle w:val="None"/>
          <w:rFonts w:ascii="Times New Roman" w:hAnsi="Times New Roman"/>
          <w:b/>
          <w:bCs/>
          <w:color w:val="212529"/>
          <w:u w:color="212529"/>
          <w:shd w:val="clear" w:color="auto" w:fill="FFFFFF"/>
        </w:rPr>
        <w:t>EV charger infrastructure</w:t>
      </w:r>
      <w:r>
        <w:rPr>
          <w:rStyle w:val="None"/>
          <w:rFonts w:ascii="Times New Roman" w:hAnsi="Times New Roman"/>
          <w:color w:val="212529"/>
          <w:u w:color="212529"/>
          <w:shd w:val="clear" w:color="auto" w:fill="FFFFFF"/>
        </w:rPr>
        <w:t> – $7.5 billion.</w:t>
      </w:r>
    </w:p>
    <w:p w:rsidR="00E36129" w14:paraId="7940245D" w14:textId="77777777">
      <w:pPr>
        <w:pStyle w:val="Default"/>
        <w:numPr>
          <w:ilvl w:val="0"/>
          <w:numId w:val="4"/>
        </w:numPr>
        <w:spacing w:before="0" w:line="480" w:lineRule="auto"/>
        <w:rPr>
          <w:rFonts w:ascii="Times New Roman" w:hAnsi="Times New Roman"/>
          <w:color w:val="212529"/>
        </w:rPr>
      </w:pPr>
      <w:r>
        <w:rPr>
          <w:rStyle w:val="None"/>
          <w:rFonts w:ascii="Times New Roman" w:hAnsi="Times New Roman"/>
          <w:color w:val="212529"/>
          <w:u w:color="212529"/>
          <w:shd w:val="clear" w:color="auto" w:fill="FFFFFF"/>
        </w:rPr>
        <w:t>Establishes federal funding for </w:t>
      </w:r>
      <w:r>
        <w:rPr>
          <w:rStyle w:val="None"/>
          <w:rFonts w:ascii="Times New Roman" w:hAnsi="Times New Roman"/>
          <w:b/>
          <w:bCs/>
          <w:color w:val="212529"/>
          <w:u w:color="212529"/>
          <w:shd w:val="clear" w:color="auto" w:fill="FFFFFF"/>
        </w:rPr>
        <w:t>EV school buses</w:t>
      </w:r>
      <w:r>
        <w:rPr>
          <w:rStyle w:val="None"/>
          <w:rFonts w:ascii="Times New Roman" w:hAnsi="Times New Roman"/>
          <w:color w:val="212529"/>
          <w:u w:color="212529"/>
          <w:shd w:val="clear" w:color="auto" w:fill="FFFFFF"/>
        </w:rPr>
        <w:t> – $5 billion.</w:t>
      </w:r>
    </w:p>
    <w:p w:rsidR="00E36129" w14:paraId="2CC00F4E" w14:textId="77777777">
      <w:pPr>
        <w:pStyle w:val="Default"/>
        <w:numPr>
          <w:ilvl w:val="0"/>
          <w:numId w:val="4"/>
        </w:numPr>
        <w:spacing w:before="0" w:line="480" w:lineRule="auto"/>
        <w:rPr>
          <w:rFonts w:ascii="Times New Roman" w:hAnsi="Times New Roman"/>
          <w:color w:val="212529"/>
        </w:rPr>
      </w:pPr>
      <w:r>
        <w:rPr>
          <w:rStyle w:val="None"/>
          <w:rFonts w:ascii="Times New Roman" w:hAnsi="Times New Roman"/>
          <w:color w:val="212529"/>
          <w:u w:color="212529"/>
          <w:shd w:val="clear" w:color="auto" w:fill="FFFFFF"/>
        </w:rPr>
        <w:t>Establishes grants for states for </w:t>
      </w:r>
      <w:r>
        <w:rPr>
          <w:rStyle w:val="None"/>
          <w:rFonts w:ascii="Times New Roman" w:hAnsi="Times New Roman"/>
          <w:b/>
          <w:bCs/>
          <w:color w:val="212529"/>
          <w:u w:color="212529"/>
          <w:shd w:val="clear" w:color="auto" w:fill="FFFFFF"/>
        </w:rPr>
        <w:t>battery processing</w:t>
      </w:r>
      <w:r>
        <w:rPr>
          <w:rStyle w:val="None"/>
          <w:rFonts w:ascii="Times New Roman" w:hAnsi="Times New Roman"/>
          <w:color w:val="212529"/>
          <w:u w:color="212529"/>
          <w:shd w:val="clear" w:color="auto" w:fill="FFFFFF"/>
        </w:rPr>
        <w:t> – $3 billion over five years.</w:t>
      </w:r>
    </w:p>
    <w:p w:rsidR="00E36129" w14:paraId="5F17DF34" w14:textId="77777777">
      <w:pPr>
        <w:pStyle w:val="Default"/>
        <w:numPr>
          <w:ilvl w:val="0"/>
          <w:numId w:val="4"/>
        </w:numPr>
        <w:spacing w:before="0" w:line="480" w:lineRule="auto"/>
        <w:rPr>
          <w:rFonts w:ascii="Times New Roman" w:hAnsi="Times New Roman"/>
          <w:color w:val="333333"/>
        </w:rPr>
      </w:pPr>
      <w:r>
        <w:rPr>
          <w:rStyle w:val="None"/>
          <w:rFonts w:ascii="Times New Roman" w:hAnsi="Times New Roman"/>
          <w:color w:val="212529"/>
          <w:u w:color="212529"/>
          <w:shd w:val="clear" w:color="auto" w:fill="FFFFFF"/>
        </w:rPr>
        <w:t>Creates an EV working group to provide </w:t>
      </w:r>
      <w:r>
        <w:rPr>
          <w:rStyle w:val="None"/>
          <w:rFonts w:ascii="Times New Roman" w:hAnsi="Times New Roman"/>
          <w:b/>
          <w:bCs/>
          <w:color w:val="212529"/>
          <w:u w:color="212529"/>
          <w:shd w:val="clear" w:color="auto" w:fill="FFFFFF"/>
        </w:rPr>
        <w:t>recommendations on integrating EVs into the energy system</w:t>
      </w:r>
      <w:r>
        <w:rPr>
          <w:rStyle w:val="None"/>
          <w:rFonts w:ascii="Times New Roman" w:hAnsi="Times New Roman"/>
          <w:color w:val="212529"/>
          <w:u w:color="212529"/>
          <w:shd w:val="clear" w:color="auto" w:fill="FFFFFF"/>
        </w:rPr>
        <w:t> and </w:t>
      </w:r>
      <w:r>
        <w:rPr>
          <w:rStyle w:val="None"/>
          <w:rFonts w:ascii="Times New Roman" w:hAnsi="Times New Roman"/>
          <w:b/>
          <w:bCs/>
          <w:color w:val="212529"/>
          <w:u w:color="212529"/>
          <w:shd w:val="clear" w:color="auto" w:fill="FFFFFF"/>
        </w:rPr>
        <w:t>orders a demonstration project to use EVs as decentralized energy storage </w:t>
      </w:r>
      <w:r>
        <w:rPr>
          <w:rStyle w:val="None"/>
          <w:rFonts w:ascii="Times New Roman" w:hAnsi="Times New Roman"/>
          <w:color w:val="212529"/>
          <w:u w:color="212529"/>
          <w:shd w:val="clear" w:color="auto" w:fill="FFFFFF"/>
        </w:rPr>
        <w:t>and a </w:t>
      </w:r>
      <w:r>
        <w:rPr>
          <w:rStyle w:val="None"/>
          <w:rFonts w:ascii="Times New Roman" w:hAnsi="Times New Roman"/>
          <w:b/>
          <w:bCs/>
          <w:color w:val="212529"/>
          <w:u w:color="212529"/>
          <w:shd w:val="clear" w:color="auto" w:fill="FFFFFF"/>
        </w:rPr>
        <w:t>study of the environmental impacts of EV use.</w:t>
      </w:r>
      <w:r>
        <w:rPr>
          <w:rStyle w:val="None"/>
          <w:rFonts w:ascii="Times New Roman" w:eastAsia="Times New Roman" w:hAnsi="Times New Roman" w:cs="Times New Roman"/>
          <w:b/>
          <w:bCs/>
          <w:color w:val="212529"/>
          <w:u w:color="212529"/>
          <w:shd w:val="clear" w:color="auto" w:fill="FFFFFF"/>
          <w:vertAlign w:val="superscript"/>
        </w:rPr>
        <w:footnoteReference w:id="6"/>
      </w:r>
    </w:p>
    <w:p w:rsidR="00E36129" w14:paraId="2D2219F1" w14:textId="77777777">
      <w:pPr>
        <w:pStyle w:val="Default"/>
        <w:numPr>
          <w:ilvl w:val="0"/>
          <w:numId w:val="6"/>
        </w:numPr>
        <w:spacing w:before="0" w:line="240" w:lineRule="auto"/>
        <w:rPr>
          <w:rFonts w:ascii="Times New Roman" w:hAnsi="Times New Roman"/>
          <w:b/>
          <w:bCs/>
        </w:rPr>
      </w:pPr>
      <w:r>
        <w:rPr>
          <w:rStyle w:val="NoneB"/>
          <w:rFonts w:ascii="Times New Roman" w:hAnsi="Times New Roman"/>
          <w:b/>
          <w:bCs/>
        </w:rPr>
        <w:t xml:space="preserve">For consumer protection, the PUCO should take a proactive approach to how Ohio’s regulated utilities participate in the Act’s grant process. </w:t>
      </w:r>
    </w:p>
    <w:p w:rsidR="00E36129" w14:paraId="104A0460" w14:textId="77777777">
      <w:pPr>
        <w:pStyle w:val="Default"/>
        <w:spacing w:before="0" w:line="240" w:lineRule="auto"/>
        <w:ind w:left="1080"/>
        <w:rPr>
          <w:rStyle w:val="None"/>
          <w:rFonts w:ascii="Times New Roman" w:eastAsia="Times New Roman" w:hAnsi="Times New Roman" w:cs="Times New Roman"/>
          <w:b/>
          <w:bCs/>
        </w:rPr>
      </w:pPr>
    </w:p>
    <w:p w:rsidR="00E36129" w14:paraId="029697D8" w14:textId="110081CD">
      <w:pPr>
        <w:pStyle w:val="Default"/>
        <w:spacing w:before="0" w:line="480" w:lineRule="auto"/>
        <w:rPr>
          <w:rStyle w:val="None"/>
          <w:rFonts w:ascii="Times New Roman" w:eastAsia="Times New Roman" w:hAnsi="Times New Roman" w:cs="Times New Roman"/>
        </w:rPr>
      </w:pPr>
      <w:r>
        <w:rPr>
          <w:rStyle w:val="None"/>
          <w:rFonts w:ascii="Times New Roman" w:eastAsia="Times New Roman" w:hAnsi="Times New Roman" w:cs="Times New Roman"/>
        </w:rPr>
        <w:tab/>
        <w:t>We encourage Ohio</w:t>
      </w:r>
      <w:r>
        <w:rPr>
          <w:rStyle w:val="None"/>
          <w:rFonts w:ascii="Times New Roman" w:hAnsi="Times New Roman"/>
        </w:rPr>
        <w:t>’s regulated utilities to participate in the grant process under the Act.</w:t>
      </w:r>
      <w:r w:rsidR="00D64BC9">
        <w:rPr>
          <w:rStyle w:val="None"/>
          <w:rFonts w:ascii="Times New Roman" w:hAnsi="Times New Roman"/>
        </w:rPr>
        <w:t xml:space="preserve"> </w:t>
      </w:r>
      <w:r>
        <w:rPr>
          <w:rStyle w:val="None"/>
          <w:rFonts w:ascii="Times New Roman" w:hAnsi="Times New Roman"/>
        </w:rPr>
        <w:t>But the PUCO must be proactive in protecting consumers through the process.</w:t>
      </w:r>
      <w:r w:rsidR="00D64BC9">
        <w:rPr>
          <w:rStyle w:val="None"/>
          <w:rFonts w:ascii="Times New Roman" w:hAnsi="Times New Roman"/>
        </w:rPr>
        <w:t xml:space="preserve"> </w:t>
      </w:r>
      <w:r>
        <w:rPr>
          <w:rStyle w:val="None"/>
          <w:rFonts w:ascii="Times New Roman" w:hAnsi="Times New Roman"/>
        </w:rPr>
        <w:t>Goals for the grants applied for should be consumer-oriented and stated up-front, mechanisms should be established to monitor the grants, and clear guidance should be provided about how the grants will be handled for rate making purposes.</w:t>
      </w:r>
      <w:r w:rsidR="00D64BC9">
        <w:rPr>
          <w:rStyle w:val="None"/>
          <w:rFonts w:ascii="Times New Roman" w:hAnsi="Times New Roman"/>
        </w:rPr>
        <w:t xml:space="preserve"> </w:t>
      </w:r>
    </w:p>
    <w:p w:rsidR="00E36129" w14:paraId="664BD916" w14:textId="77777777">
      <w:pPr>
        <w:pStyle w:val="Default"/>
        <w:numPr>
          <w:ilvl w:val="0"/>
          <w:numId w:val="8"/>
        </w:numPr>
        <w:spacing w:before="0" w:line="480" w:lineRule="auto"/>
        <w:rPr>
          <w:rFonts w:ascii="Times New Roman" w:hAnsi="Times New Roman"/>
          <w:b/>
          <w:bCs/>
        </w:rPr>
      </w:pPr>
      <w:r>
        <w:rPr>
          <w:rStyle w:val="NoneB"/>
          <w:rFonts w:ascii="Times New Roman" w:hAnsi="Times New Roman"/>
          <w:b/>
          <w:bCs/>
        </w:rPr>
        <w:t>Goals for the grants should be consumer-oriented.</w:t>
      </w:r>
    </w:p>
    <w:p w:rsidR="00E36129" w14:paraId="06D413DD" w14:textId="4DE397D0">
      <w:pPr>
        <w:pStyle w:val="BodyA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b/>
          <w:bCs/>
          <w:sz w:val="24"/>
          <w:szCs w:val="24"/>
        </w:rPr>
        <w:tab/>
      </w:r>
      <w:r>
        <w:rPr>
          <w:rStyle w:val="None"/>
          <w:rFonts w:ascii="Times New Roman" w:hAnsi="Times New Roman"/>
          <w:sz w:val="24"/>
          <w:szCs w:val="24"/>
        </w:rPr>
        <w:t xml:space="preserve">In Michigan Docket U-21227, AEP’s affiliate Indiana Michigan Power Company commented that efforts should be prioritized to identify funding opportunities that have the potential to </w:t>
      </w:r>
      <w:r>
        <w:rPr>
          <w:rStyle w:val="None"/>
          <w:rFonts w:ascii="Times New Roman" w:hAnsi="Times New Roman"/>
          <w:b/>
          <w:bCs/>
          <w:i/>
          <w:iCs/>
          <w:sz w:val="24"/>
          <w:szCs w:val="24"/>
        </w:rPr>
        <w:t xml:space="preserve">lower costs for consumers </w:t>
      </w:r>
      <w:r>
        <w:rPr>
          <w:rStyle w:val="None"/>
          <w:rFonts w:ascii="Times New Roman" w:hAnsi="Times New Roman"/>
          <w:sz w:val="24"/>
          <w:szCs w:val="24"/>
        </w:rPr>
        <w:t>and improve grid reliability and resiliency.</w:t>
      </w:r>
      <w:r w:rsidR="00D64BC9">
        <w:rPr>
          <w:rStyle w:val="None"/>
          <w:rFonts w:ascii="Times New Roman" w:hAnsi="Times New Roman"/>
          <w:sz w:val="24"/>
          <w:szCs w:val="24"/>
        </w:rPr>
        <w:t xml:space="preserve"> </w:t>
      </w:r>
      <w:r>
        <w:rPr>
          <w:rStyle w:val="None"/>
          <w:rFonts w:ascii="Times New Roman" w:hAnsi="Times New Roman"/>
          <w:sz w:val="24"/>
          <w:szCs w:val="24"/>
        </w:rPr>
        <w:t>We support these goals.</w:t>
      </w:r>
      <w:r w:rsidR="00D64BC9">
        <w:rPr>
          <w:rStyle w:val="None"/>
          <w:rFonts w:ascii="Times New Roman" w:hAnsi="Times New Roman"/>
          <w:sz w:val="24"/>
          <w:szCs w:val="24"/>
        </w:rPr>
        <w:t xml:space="preserve"> </w:t>
      </w:r>
    </w:p>
    <w:p w:rsidR="00E36129" w14:paraId="110ABADD" w14:textId="58893229">
      <w:pPr>
        <w:pStyle w:val="BodyAA"/>
        <w:spacing w:line="480" w:lineRule="auto"/>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An opportunity to achieve these goals relates to energy costs and grid reliability. Currently consumers are under intense pressure from rising energy cost, particularly from natural gas price increases.</w:t>
      </w:r>
      <w:r w:rsidR="00D64BC9">
        <w:rPr>
          <w:rStyle w:val="None"/>
          <w:rFonts w:ascii="Times New Roman" w:hAnsi="Times New Roman"/>
          <w:sz w:val="24"/>
          <w:szCs w:val="24"/>
        </w:rPr>
        <w:t xml:space="preserve"> </w:t>
      </w:r>
      <w:r>
        <w:rPr>
          <w:rStyle w:val="None"/>
          <w:rFonts w:ascii="Times New Roman" w:hAnsi="Times New Roman"/>
          <w:sz w:val="24"/>
          <w:szCs w:val="24"/>
        </w:rPr>
        <w:t xml:space="preserve">Further, as witnessed during the June 2022 AEP outages, grid reliability is important for consumers. Grants awarded under the Act should provide a path to help stabilize energy costs while improving grid reliability. </w:t>
      </w:r>
    </w:p>
    <w:p w:rsidR="00E36129" w14:paraId="63AF5EE4" w14:textId="0E32E66A">
      <w:pPr>
        <w:pStyle w:val="BodyAA"/>
        <w:spacing w:line="480" w:lineRule="auto"/>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Another opportunity to achieve these goals relates to capital and operation and maintenance costs. There are currently a number of riders that target infrastructure investment and grid reliability</w:t>
      </w:r>
      <w:r w:rsidR="0066661B">
        <w:rPr>
          <w:rStyle w:val="None"/>
          <w:rFonts w:ascii="Times New Roman" w:hAnsi="Times New Roman"/>
          <w:sz w:val="24"/>
          <w:szCs w:val="24"/>
        </w:rPr>
        <w:t>. B</w:t>
      </w:r>
      <w:r>
        <w:rPr>
          <w:rStyle w:val="None"/>
          <w:rFonts w:ascii="Times New Roman" w:hAnsi="Times New Roman"/>
          <w:sz w:val="24"/>
          <w:szCs w:val="24"/>
        </w:rPr>
        <w:t>efore charging consumers for any grid reliability projects Ohio utilities should seek grants under the Act to cover capital and operation and maintenance costs. In dockets where utilities are proposing to charge consumers for such capital or operation and maintenance costs, utilities should be required by the PUCO to seek out</w:t>
      </w:r>
      <w:r w:rsidR="00D64BC9">
        <w:rPr>
          <w:rStyle w:val="None"/>
          <w:rFonts w:ascii="Times New Roman" w:hAnsi="Times New Roman"/>
          <w:sz w:val="24"/>
          <w:szCs w:val="24"/>
        </w:rPr>
        <w:t xml:space="preserve"> </w:t>
      </w:r>
      <w:r>
        <w:rPr>
          <w:rStyle w:val="None"/>
          <w:rFonts w:ascii="Times New Roman" w:hAnsi="Times New Roman"/>
          <w:sz w:val="24"/>
          <w:szCs w:val="24"/>
        </w:rPr>
        <w:t xml:space="preserve">grants in lieu of charging consumers for any projects that fall under the Act. Too often utilities view consumers as their checkbook without looking for alternative funding sources that are available. The Act provides dollars that can benefit consumers. Ohio utilities should utilize them. </w:t>
      </w:r>
    </w:p>
    <w:p w:rsidR="00E36129" w14:paraId="59D829EB" w14:textId="77777777">
      <w:pPr>
        <w:pStyle w:val="BodyAA"/>
        <w:numPr>
          <w:ilvl w:val="0"/>
          <w:numId w:val="8"/>
        </w:numPr>
        <w:spacing w:after="160"/>
        <w:rPr>
          <w:rFonts w:ascii="Times New Roman" w:hAnsi="Times New Roman"/>
          <w:b/>
          <w:bCs/>
          <w:sz w:val="24"/>
          <w:szCs w:val="24"/>
        </w:rPr>
      </w:pPr>
      <w:r>
        <w:rPr>
          <w:rStyle w:val="NoneB"/>
          <w:rFonts w:ascii="Times New Roman" w:hAnsi="Times New Roman"/>
          <w:b/>
          <w:bCs/>
          <w:sz w:val="24"/>
          <w:szCs w:val="24"/>
        </w:rPr>
        <w:t>Monitoring the grants, with full transparency and accountability, is needed for consumer protection.</w:t>
      </w:r>
    </w:p>
    <w:p w:rsidR="00E36129" w14:paraId="06B186EB" w14:textId="51BE2495">
      <w:pPr>
        <w:pStyle w:val="BodyA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b/>
          <w:bCs/>
          <w:sz w:val="24"/>
          <w:szCs w:val="24"/>
        </w:rPr>
        <w:tab/>
      </w:r>
      <w:r>
        <w:rPr>
          <w:rStyle w:val="None"/>
          <w:rFonts w:ascii="Times New Roman" w:hAnsi="Times New Roman"/>
          <w:sz w:val="24"/>
          <w:szCs w:val="24"/>
        </w:rPr>
        <w:t>Public funds are being made available for electric infrastructure improvement. We encourage their use. But with the use of public funds comes the need for monitoring and transparency for accountability and consumer protection. We have seen programs offered by utilities that show future consumers savings, “supported” by consumer-friendly cost-benefit studies, that instead cost consumers far more than the projected benefits. For example, in 1954 the Atomic Energy Commission chairman is reported to have predicted that within 15 years nuclear power would make electricity “too cheap to meter.”</w:t>
      </w:r>
      <w:r>
        <w:rPr>
          <w:rStyle w:val="None"/>
          <w:rFonts w:ascii="Times New Roman" w:eastAsia="Times New Roman" w:hAnsi="Times New Roman" w:cs="Times New Roman"/>
          <w:sz w:val="24"/>
          <w:szCs w:val="24"/>
          <w:vertAlign w:val="superscript"/>
        </w:rPr>
        <w:footnoteReference w:id="7"/>
      </w:r>
      <w:r w:rsidR="00D64BC9">
        <w:rPr>
          <w:rStyle w:val="None"/>
          <w:rFonts w:ascii="Times New Roman" w:hAnsi="Times New Roman"/>
          <w:sz w:val="24"/>
          <w:szCs w:val="24"/>
        </w:rPr>
        <w:t xml:space="preserve"> </w:t>
      </w:r>
      <w:r>
        <w:rPr>
          <w:rStyle w:val="None"/>
          <w:rFonts w:ascii="Times New Roman" w:hAnsi="Times New Roman"/>
          <w:sz w:val="24"/>
          <w:szCs w:val="24"/>
        </w:rPr>
        <w:t>That prediction has not born out.</w:t>
      </w:r>
      <w:r>
        <w:rPr>
          <w:rStyle w:val="None"/>
          <w:rFonts w:ascii="Times New Roman" w:eastAsia="Times New Roman" w:hAnsi="Times New Roman" w:cs="Times New Roman"/>
          <w:sz w:val="24"/>
          <w:szCs w:val="24"/>
          <w:vertAlign w:val="superscript"/>
        </w:rPr>
        <w:footnoteReference w:id="8"/>
      </w:r>
      <w:r w:rsidR="00D64BC9">
        <w:rPr>
          <w:rStyle w:val="None"/>
          <w:rFonts w:ascii="Times New Roman" w:hAnsi="Times New Roman"/>
          <w:sz w:val="24"/>
          <w:szCs w:val="24"/>
        </w:rPr>
        <w:t xml:space="preserve"> </w:t>
      </w:r>
      <w:r>
        <w:rPr>
          <w:rStyle w:val="None"/>
          <w:rFonts w:ascii="Times New Roman" w:hAnsi="Times New Roman"/>
          <w:sz w:val="24"/>
          <w:szCs w:val="24"/>
        </w:rPr>
        <w:t>Of course, predicted consumer benefits have not materialized as a result of other energy industry programs, either.</w:t>
      </w:r>
      <w:r>
        <w:rPr>
          <w:rStyle w:val="None"/>
          <w:rFonts w:ascii="Times New Roman" w:eastAsia="Times New Roman" w:hAnsi="Times New Roman" w:cs="Times New Roman"/>
          <w:sz w:val="24"/>
          <w:szCs w:val="24"/>
          <w:vertAlign w:val="superscript"/>
        </w:rPr>
        <w:footnoteReference w:id="9"/>
      </w:r>
      <w:r>
        <w:rPr>
          <w:rStyle w:val="None"/>
          <w:rFonts w:ascii="Times New Roman" w:hAnsi="Times New Roman"/>
          <w:sz w:val="24"/>
          <w:szCs w:val="24"/>
        </w:rPr>
        <w:t xml:space="preserve"> It can be difficult to hold utilities to their predicted consumer benefits. Proper monitoring and establishing up front rate treatment could go a long way to mitigating some of this risk faced by consumers and to delivering the consumer benefits promised.</w:t>
      </w:r>
    </w:p>
    <w:p w:rsidR="00E36129" w:rsidP="00FB4033" w14:paraId="7153A1E9" w14:textId="4F4A896F">
      <w:pPr>
        <w:pStyle w:val="BodyAA"/>
        <w:spacing w:line="480" w:lineRule="auto"/>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A separate portal should be created and linked to the PUCO website to facilitate monitoring and transparency in consumers’ interest. At minimum, the portal should track the amount of funds that were granted to each utility, the purpose of the funds, a timeline on when the funds will be deployed, and how those funds are being used to benefit and/or lower costs for utility consumers.</w:t>
      </w:r>
      <w:r w:rsidR="00D64BC9">
        <w:rPr>
          <w:rStyle w:val="None"/>
          <w:rFonts w:ascii="Times New Roman" w:hAnsi="Times New Roman"/>
          <w:sz w:val="24"/>
          <w:szCs w:val="24"/>
        </w:rPr>
        <w:t xml:space="preserve"> </w:t>
      </w:r>
      <w:r>
        <w:rPr>
          <w:rStyle w:val="None"/>
          <w:rFonts w:ascii="Times New Roman" w:hAnsi="Times New Roman"/>
          <w:sz w:val="24"/>
          <w:szCs w:val="24"/>
        </w:rPr>
        <w:t>Utilities should also provide a report to the PUCO and OCC outlining the grants applied for, the grants awarded, and projects resulting from the awarded grants. Such monitoring and transparency would highlight the Act’s benefits and assure for all interested parties that the funds obtained from grants are being used for their stated purposes.</w:t>
      </w:r>
      <w:r w:rsidR="00D64BC9">
        <w:rPr>
          <w:rStyle w:val="None"/>
          <w:rFonts w:ascii="Times New Roman" w:hAnsi="Times New Roman"/>
          <w:sz w:val="24"/>
          <w:szCs w:val="24"/>
        </w:rPr>
        <w:t xml:space="preserve"> </w:t>
      </w:r>
      <w:r>
        <w:rPr>
          <w:rStyle w:val="None"/>
          <w:rFonts w:ascii="Times New Roman" w:eastAsia="Times New Roman" w:hAnsi="Times New Roman" w:cs="Times New Roman"/>
          <w:sz w:val="24"/>
          <w:szCs w:val="24"/>
        </w:rPr>
        <w:tab/>
      </w:r>
      <w:r>
        <w:rPr>
          <w:rStyle w:val="None"/>
          <w:rFonts w:ascii="Times New Roman" w:hAnsi="Times New Roman"/>
          <w:sz w:val="24"/>
          <w:szCs w:val="24"/>
        </w:rPr>
        <w:t xml:space="preserve"> </w:t>
      </w:r>
    </w:p>
    <w:p w:rsidR="00E36129" w14:paraId="307751E5" w14:textId="1AEE0273">
      <w:pPr>
        <w:pStyle w:val="BodyAA"/>
        <w:spacing w:line="480" w:lineRule="auto"/>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Additionally, the PUCO needs to establish and outline an independent audit process upfront, so the appropriate data can be collected, shared, and reviewed by all interested parties.</w:t>
      </w:r>
      <w:r w:rsidR="00D64BC9">
        <w:rPr>
          <w:rStyle w:val="None"/>
          <w:rFonts w:ascii="Times New Roman" w:hAnsi="Times New Roman"/>
          <w:sz w:val="24"/>
          <w:szCs w:val="24"/>
        </w:rPr>
        <w:t xml:space="preserve"> </w:t>
      </w:r>
      <w:r>
        <w:rPr>
          <w:rStyle w:val="None"/>
          <w:rFonts w:ascii="Times New Roman" w:hAnsi="Times New Roman"/>
          <w:sz w:val="24"/>
          <w:szCs w:val="24"/>
        </w:rPr>
        <w:t>The audit process should focus on how grant money was spent and on cost recovery</w:t>
      </w:r>
      <w:r w:rsidR="004B08EE">
        <w:rPr>
          <w:rStyle w:val="None"/>
          <w:rFonts w:ascii="Times New Roman" w:hAnsi="Times New Roman"/>
          <w:sz w:val="24"/>
          <w:szCs w:val="24"/>
        </w:rPr>
        <w:t xml:space="preserve"> (if any)</w:t>
      </w:r>
      <w:r>
        <w:rPr>
          <w:rStyle w:val="None"/>
          <w:rFonts w:ascii="Times New Roman" w:hAnsi="Times New Roman"/>
          <w:sz w:val="24"/>
          <w:szCs w:val="24"/>
        </w:rPr>
        <w:t>.</w:t>
      </w:r>
      <w:r w:rsidR="00D64BC9">
        <w:rPr>
          <w:rStyle w:val="None"/>
          <w:rFonts w:ascii="Times New Roman" w:hAnsi="Times New Roman"/>
          <w:sz w:val="24"/>
          <w:szCs w:val="24"/>
        </w:rPr>
        <w:t xml:space="preserve"> </w:t>
      </w:r>
      <w:r w:rsidR="004B08EE">
        <w:rPr>
          <w:rStyle w:val="None"/>
          <w:rFonts w:ascii="Times New Roman" w:hAnsi="Times New Roman"/>
          <w:sz w:val="24"/>
          <w:szCs w:val="24"/>
        </w:rPr>
        <w:t>Regarding cost recovery, f</w:t>
      </w:r>
      <w:r>
        <w:rPr>
          <w:rStyle w:val="None"/>
          <w:rFonts w:ascii="Times New Roman" w:hAnsi="Times New Roman"/>
          <w:sz w:val="24"/>
          <w:szCs w:val="24"/>
        </w:rPr>
        <w:t xml:space="preserve">or example, if matching funds are provided by </w:t>
      </w:r>
      <w:r w:rsidR="004B08EE">
        <w:rPr>
          <w:rStyle w:val="None"/>
          <w:rFonts w:ascii="Times New Roman" w:hAnsi="Times New Roman"/>
          <w:sz w:val="24"/>
          <w:szCs w:val="24"/>
        </w:rPr>
        <w:t>a</w:t>
      </w:r>
      <w:r>
        <w:rPr>
          <w:rStyle w:val="None"/>
          <w:rFonts w:ascii="Times New Roman" w:hAnsi="Times New Roman"/>
          <w:sz w:val="24"/>
          <w:szCs w:val="24"/>
        </w:rPr>
        <w:t xml:space="preserve"> utility there should not be a presumption that those costs will be recovered unless the used and useful standard is met</w:t>
      </w:r>
      <w:r w:rsidR="004B08EE">
        <w:rPr>
          <w:rStyle w:val="None"/>
          <w:rFonts w:ascii="Times New Roman" w:hAnsi="Times New Roman"/>
          <w:sz w:val="24"/>
          <w:szCs w:val="24"/>
        </w:rPr>
        <w:t>.</w:t>
      </w:r>
      <w:r>
        <w:rPr>
          <w:rStyle w:val="None"/>
          <w:rFonts w:ascii="Times New Roman" w:hAnsi="Times New Roman"/>
          <w:sz w:val="24"/>
          <w:szCs w:val="24"/>
        </w:rPr>
        <w:t xml:space="preserve"> The audit could be performed by an outside auditor and should be made available to interested parties, along with work papers, for comment.</w:t>
      </w:r>
      <w:r w:rsidR="00D64BC9">
        <w:rPr>
          <w:rStyle w:val="None"/>
          <w:rFonts w:ascii="Times New Roman" w:hAnsi="Times New Roman"/>
          <w:sz w:val="24"/>
          <w:szCs w:val="24"/>
        </w:rPr>
        <w:t xml:space="preserve"> </w:t>
      </w:r>
      <w:r>
        <w:rPr>
          <w:rStyle w:val="None"/>
          <w:rFonts w:ascii="Times New Roman" w:hAnsi="Times New Roman"/>
          <w:sz w:val="24"/>
          <w:szCs w:val="24"/>
        </w:rPr>
        <w:t>The audit should also review grants utilities could have utilized but did not pursue. The collection of any matching costs from consumers should not be through a single-issue ratemaking process. It should be subject to a base rate case. Base rate cases provide more consumer protection than single-issue ratemaking cases. Further, a substantial portion of the funding under the Act is being provided upfront through grants. This eliminates any need for potential collection from consumers through a rider.</w:t>
      </w:r>
    </w:p>
    <w:p w:rsidR="00E36129" w:rsidP="00FB4033" w14:paraId="6CC046E3" w14:textId="4C95C610">
      <w:pPr>
        <w:pStyle w:val="BodyAA"/>
        <w:numPr>
          <w:ilvl w:val="0"/>
          <w:numId w:val="8"/>
        </w:numPr>
        <w:rPr>
          <w:rStyle w:val="NoneB"/>
          <w:rFonts w:ascii="Times New Roman" w:hAnsi="Times New Roman"/>
          <w:b/>
          <w:bCs/>
          <w:sz w:val="24"/>
          <w:szCs w:val="24"/>
        </w:rPr>
      </w:pPr>
      <w:r>
        <w:rPr>
          <w:rStyle w:val="NoneB"/>
          <w:rFonts w:ascii="Times New Roman" w:hAnsi="Times New Roman"/>
          <w:b/>
          <w:bCs/>
          <w:sz w:val="24"/>
          <w:szCs w:val="24"/>
        </w:rPr>
        <w:t>Utilities obtaining grants should protect consumers through Rate Making offsets.</w:t>
      </w:r>
    </w:p>
    <w:p w:rsidR="00FB4033" w:rsidP="00FB4033" w14:paraId="28DC3A2B" w14:textId="77777777">
      <w:pPr>
        <w:pStyle w:val="BodyAA"/>
        <w:ind w:left="2160"/>
        <w:rPr>
          <w:rFonts w:ascii="Times New Roman" w:hAnsi="Times New Roman"/>
          <w:b/>
          <w:bCs/>
          <w:sz w:val="24"/>
          <w:szCs w:val="24"/>
        </w:rPr>
      </w:pPr>
    </w:p>
    <w:p w:rsidR="00E36129" w14:paraId="276C63FC" w14:textId="47D1EE06">
      <w:pPr>
        <w:pStyle w:val="BodyAA"/>
        <w:spacing w:after="160"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b/>
          <w:bCs/>
          <w:sz w:val="24"/>
          <w:szCs w:val="24"/>
        </w:rPr>
        <w:tab/>
      </w:r>
      <w:r>
        <w:rPr>
          <w:rStyle w:val="None"/>
          <w:rFonts w:ascii="Times New Roman" w:hAnsi="Times New Roman"/>
          <w:sz w:val="24"/>
          <w:szCs w:val="24"/>
        </w:rPr>
        <w:t>OCC encourages Ohio’s regulated utilities to pursue grants under the Act. But the funds, if secured, should be used to benefit consumers – not shareholders.</w:t>
      </w:r>
      <w:r w:rsidR="00D64BC9">
        <w:rPr>
          <w:rStyle w:val="None"/>
          <w:rFonts w:ascii="Times New Roman" w:hAnsi="Times New Roman"/>
          <w:sz w:val="24"/>
          <w:szCs w:val="24"/>
        </w:rPr>
        <w:t xml:space="preserve"> </w:t>
      </w:r>
      <w:r>
        <w:rPr>
          <w:rStyle w:val="None"/>
          <w:rFonts w:ascii="Times New Roman" w:hAnsi="Times New Roman"/>
          <w:sz w:val="24"/>
          <w:szCs w:val="24"/>
        </w:rPr>
        <w:t>Most if not all of the major utilities operating in Ohio charge consumers for infrastructure improvement (above and beyond base rates).</w:t>
      </w:r>
      <w:r>
        <w:rPr>
          <w:rStyle w:val="None"/>
          <w:rFonts w:ascii="Times New Roman" w:eastAsia="Times New Roman" w:hAnsi="Times New Roman" w:cs="Times New Roman"/>
          <w:sz w:val="24"/>
          <w:szCs w:val="24"/>
          <w:vertAlign w:val="superscript"/>
        </w:rPr>
        <w:footnoteReference w:id="10"/>
      </w:r>
      <w:r w:rsidR="00D64BC9">
        <w:rPr>
          <w:rStyle w:val="None"/>
          <w:rFonts w:ascii="Times New Roman" w:hAnsi="Times New Roman"/>
          <w:sz w:val="24"/>
          <w:szCs w:val="24"/>
        </w:rPr>
        <w:t xml:space="preserve"> </w:t>
      </w:r>
      <w:r>
        <w:rPr>
          <w:rStyle w:val="None"/>
          <w:rFonts w:ascii="Times New Roman" w:hAnsi="Times New Roman"/>
          <w:sz w:val="24"/>
          <w:szCs w:val="24"/>
        </w:rPr>
        <w:t>Any grant money secured under the Act for infrastructure improvement should offset/decrease consumers’ obligation to pay infrastructure improvement and grid reliability charges.</w:t>
      </w:r>
      <w:r w:rsidR="00D64BC9">
        <w:rPr>
          <w:rStyle w:val="None"/>
          <w:rFonts w:ascii="Times New Roman" w:hAnsi="Times New Roman"/>
          <w:sz w:val="24"/>
          <w:szCs w:val="24"/>
        </w:rPr>
        <w:t xml:space="preserve"> </w:t>
      </w:r>
      <w:r>
        <w:rPr>
          <w:rStyle w:val="None"/>
          <w:rFonts w:ascii="Times New Roman" w:hAnsi="Times New Roman"/>
          <w:sz w:val="24"/>
          <w:szCs w:val="24"/>
        </w:rPr>
        <w:t xml:space="preserve">Such ratemaking will </w:t>
      </w:r>
      <w:r w:rsidR="000F4C1D">
        <w:rPr>
          <w:rStyle w:val="None"/>
          <w:rFonts w:ascii="Times New Roman" w:hAnsi="Times New Roman"/>
          <w:sz w:val="24"/>
          <w:szCs w:val="24"/>
        </w:rPr>
        <w:t>lessen</w:t>
      </w:r>
      <w:r>
        <w:rPr>
          <w:rStyle w:val="None"/>
          <w:rFonts w:ascii="Times New Roman" w:hAnsi="Times New Roman"/>
          <w:sz w:val="24"/>
          <w:szCs w:val="24"/>
        </w:rPr>
        <w:t xml:space="preserve"> the burden on consumers to pay for these improvements.</w:t>
      </w:r>
      <w:r w:rsidR="00D64BC9">
        <w:rPr>
          <w:rStyle w:val="None"/>
          <w:rFonts w:ascii="Times New Roman" w:hAnsi="Times New Roman"/>
          <w:sz w:val="24"/>
          <w:szCs w:val="24"/>
        </w:rPr>
        <w:t xml:space="preserve"> </w:t>
      </w:r>
      <w:r>
        <w:rPr>
          <w:rStyle w:val="None"/>
          <w:rFonts w:ascii="Times New Roman" w:hAnsi="Times New Roman"/>
          <w:sz w:val="24"/>
          <w:szCs w:val="24"/>
        </w:rPr>
        <w:t>Otherwise, the Act could be used as tool by the regulated utilities to obtain or increase the rider charges (for infrastructure improvement, electric charging stations or any other purposes).</w:t>
      </w:r>
    </w:p>
    <w:p w:rsidR="00E36129" w14:paraId="43AB1317" w14:textId="77777777">
      <w:pPr>
        <w:pStyle w:val="BodyAA"/>
        <w:spacing w:line="480" w:lineRule="auto"/>
        <w:rPr>
          <w:rStyle w:val="None"/>
          <w:rFonts w:ascii="Times New Roman" w:eastAsia="Times New Roman" w:hAnsi="Times New Roman" w:cs="Times New Roman"/>
          <w:b/>
          <w:bCs/>
          <w:color w:val="333333"/>
          <w:u w:color="333333"/>
        </w:rPr>
      </w:pPr>
      <w:r>
        <w:rPr>
          <w:rStyle w:val="None"/>
          <w:rFonts w:ascii="Times New Roman" w:hAnsi="Times New Roman"/>
          <w:b/>
          <w:bCs/>
          <w:color w:val="333333"/>
          <w:u w:color="333333"/>
        </w:rPr>
        <w:t xml:space="preserve">III. </w:t>
      </w:r>
      <w:r>
        <w:rPr>
          <w:rStyle w:val="None"/>
          <w:rFonts w:ascii="Times New Roman" w:hAnsi="Times New Roman"/>
          <w:b/>
          <w:bCs/>
          <w:color w:val="333333"/>
          <w:u w:color="333333"/>
        </w:rPr>
        <w:tab/>
        <w:t>CONCLUSION</w:t>
      </w:r>
    </w:p>
    <w:p w:rsidR="00E36129" w14:paraId="15082530" w14:textId="63FB774C">
      <w:pPr>
        <w:pStyle w:val="Default"/>
        <w:spacing w:before="0" w:line="480" w:lineRule="auto"/>
        <w:ind w:firstLine="720"/>
        <w:rPr>
          <w:rStyle w:val="None"/>
          <w:rFonts w:ascii="Times New Roman" w:eastAsia="Times New Roman" w:hAnsi="Times New Roman" w:cs="Times New Roman"/>
          <w:color w:val="333333"/>
          <w:u w:color="333333"/>
        </w:rPr>
      </w:pPr>
      <w:r>
        <w:rPr>
          <w:rStyle w:val="None"/>
          <w:rFonts w:ascii="Times New Roman" w:hAnsi="Times New Roman"/>
          <w:color w:val="333333"/>
          <w:u w:color="333333"/>
        </w:rPr>
        <w:t>The Act, if implemented properly, has the potential to benefit consumers.</w:t>
      </w:r>
      <w:r w:rsidR="00D64BC9">
        <w:rPr>
          <w:rStyle w:val="None"/>
          <w:rFonts w:ascii="Times New Roman" w:hAnsi="Times New Roman"/>
          <w:color w:val="333333"/>
          <w:u w:color="333333"/>
        </w:rPr>
        <w:t xml:space="preserve"> </w:t>
      </w:r>
      <w:r>
        <w:rPr>
          <w:rStyle w:val="None"/>
          <w:rFonts w:ascii="Times New Roman" w:hAnsi="Times New Roman"/>
          <w:color w:val="333333"/>
          <w:u w:color="333333"/>
        </w:rPr>
        <w:t>But upfront planning, monitoring, transparency</w:t>
      </w:r>
      <w:r w:rsidR="004B08EE">
        <w:rPr>
          <w:rStyle w:val="None"/>
          <w:rFonts w:ascii="Times New Roman" w:hAnsi="Times New Roman"/>
          <w:color w:val="333333"/>
          <w:u w:color="333333"/>
        </w:rPr>
        <w:t>, and accountability</w:t>
      </w:r>
      <w:r>
        <w:rPr>
          <w:rStyle w:val="None"/>
          <w:rFonts w:ascii="Times New Roman" w:hAnsi="Times New Roman"/>
          <w:color w:val="333333"/>
          <w:u w:color="333333"/>
        </w:rPr>
        <w:t xml:space="preserve"> are critical to the long-term success of the projects.</w:t>
      </w:r>
      <w:r w:rsidR="00D64BC9">
        <w:rPr>
          <w:rStyle w:val="None"/>
          <w:rFonts w:ascii="Times New Roman" w:hAnsi="Times New Roman"/>
          <w:color w:val="333333"/>
          <w:u w:color="333333"/>
        </w:rPr>
        <w:t xml:space="preserve"> </w:t>
      </w:r>
    </w:p>
    <w:p w:rsidR="00E36129" w14:paraId="74874F04" w14:textId="77777777">
      <w:pPr>
        <w:pStyle w:val="BodyTextIndent3"/>
        <w:widowControl w:val="0"/>
        <w:ind w:left="3600"/>
        <w:rPr>
          <w:rStyle w:val="NoneB"/>
        </w:rPr>
      </w:pPr>
      <w:r>
        <w:rPr>
          <w:rStyle w:val="NoneB"/>
        </w:rPr>
        <w:t>Respectfully submitted,</w:t>
      </w:r>
    </w:p>
    <w:p w:rsidR="00E36129" w14:paraId="05EF4F95" w14:textId="77777777">
      <w:pPr>
        <w:pStyle w:val="Body"/>
        <w:jc w:val="both"/>
      </w:pPr>
      <w:r>
        <w:rPr>
          <w:rStyle w:val="NoneB"/>
        </w:rPr>
        <w:tab/>
      </w:r>
    </w:p>
    <w:p w:rsidR="00E36129" w14:paraId="48CCB5CF" w14:textId="77777777">
      <w:pPr>
        <w:pStyle w:val="Body"/>
        <w:ind w:left="4320"/>
        <w:jc w:val="both"/>
      </w:pPr>
      <w:r>
        <w:rPr>
          <w:rStyle w:val="NoneB"/>
          <w:lang w:val="nl-NL"/>
        </w:rPr>
        <w:t>Bruce Weston (0016973)</w:t>
      </w:r>
    </w:p>
    <w:p w:rsidR="00E36129" w14:paraId="7067A641" w14:textId="7C672785">
      <w:pPr>
        <w:pStyle w:val="Body"/>
        <w:tabs>
          <w:tab w:val="left" w:pos="4320"/>
        </w:tabs>
        <w:ind w:left="4320" w:hanging="450"/>
        <w:jc w:val="both"/>
      </w:pPr>
      <w:r>
        <w:rPr>
          <w:rStyle w:val="NoneB"/>
          <w:lang w:val="it-IT"/>
        </w:rPr>
        <w:tab/>
        <w:t>Ohio Consume</w:t>
      </w:r>
      <w:r w:rsidR="000F4C1D">
        <w:rPr>
          <w:rStyle w:val="NoneB"/>
          <w:lang w:val="it-IT"/>
        </w:rPr>
        <w:t>rs’</w:t>
      </w:r>
      <w:r>
        <w:rPr>
          <w:rStyle w:val="NoneB"/>
          <w:rtl/>
        </w:rPr>
        <w:t xml:space="preserve"> </w:t>
      </w:r>
      <w:r>
        <w:rPr>
          <w:rStyle w:val="NoneB"/>
        </w:rPr>
        <w:t>Counsel</w:t>
      </w:r>
    </w:p>
    <w:p w:rsidR="00E36129" w14:paraId="53620692" w14:textId="77777777">
      <w:pPr>
        <w:pStyle w:val="Body"/>
        <w:tabs>
          <w:tab w:val="left" w:pos="4320"/>
        </w:tabs>
        <w:ind w:left="4320"/>
        <w:jc w:val="both"/>
      </w:pPr>
    </w:p>
    <w:p w:rsidR="00E36129" w14:paraId="72A2EBB9" w14:textId="77777777">
      <w:pPr>
        <w:pStyle w:val="Body"/>
        <w:tabs>
          <w:tab w:val="left" w:pos="4320"/>
        </w:tabs>
        <w:ind w:left="4320"/>
        <w:jc w:val="both"/>
        <w:rPr>
          <w:rStyle w:val="None"/>
          <w:i/>
          <w:iCs/>
          <w:u w:val="single"/>
        </w:rPr>
      </w:pPr>
      <w:r>
        <w:rPr>
          <w:rStyle w:val="None"/>
          <w:i/>
          <w:iCs/>
          <w:u w:val="single"/>
          <w:lang w:val="de-DE"/>
        </w:rPr>
        <w:t>/s/ William J. Michael</w:t>
      </w:r>
      <w:r>
        <w:rPr>
          <w:rStyle w:val="None"/>
          <w:i/>
          <w:iCs/>
          <w:u w:val="single"/>
          <w:lang w:val="de-DE"/>
        </w:rPr>
        <w:tab/>
      </w:r>
    </w:p>
    <w:p w:rsidR="00E36129" w14:paraId="6F3A0C7E" w14:textId="77777777">
      <w:pPr>
        <w:pStyle w:val="Body"/>
        <w:tabs>
          <w:tab w:val="left" w:pos="4320"/>
        </w:tabs>
        <w:ind w:left="4320"/>
        <w:jc w:val="both"/>
      </w:pPr>
      <w:r>
        <w:rPr>
          <w:rStyle w:val="NoneB"/>
          <w:lang w:val="it-IT"/>
        </w:rPr>
        <w:t>William J. Michael (0070921)</w:t>
      </w:r>
    </w:p>
    <w:p w:rsidR="00E36129" w14:paraId="20FE3A62" w14:textId="77777777">
      <w:pPr>
        <w:pStyle w:val="Body"/>
        <w:tabs>
          <w:tab w:val="left" w:pos="4320"/>
        </w:tabs>
        <w:ind w:left="4320"/>
        <w:jc w:val="both"/>
      </w:pPr>
      <w:r>
        <w:rPr>
          <w:rStyle w:val="NoneB"/>
        </w:rPr>
        <w:t>Counsel of Record</w:t>
      </w:r>
    </w:p>
    <w:p w:rsidR="00E36129" w14:paraId="541277C6" w14:textId="77777777">
      <w:pPr>
        <w:pStyle w:val="Body"/>
        <w:tabs>
          <w:tab w:val="left" w:pos="4320"/>
        </w:tabs>
        <w:ind w:left="4320"/>
        <w:jc w:val="both"/>
      </w:pPr>
      <w:r>
        <w:rPr>
          <w:rStyle w:val="NoneB"/>
          <w:lang w:val="it-IT"/>
        </w:rPr>
        <w:t>Connor D. Semple (0101102)</w:t>
      </w:r>
    </w:p>
    <w:p w:rsidR="00E36129" w14:paraId="6389CD48" w14:textId="5157ED63">
      <w:pPr>
        <w:pStyle w:val="Body"/>
        <w:tabs>
          <w:tab w:val="left" w:pos="3870"/>
          <w:tab w:val="left" w:pos="4320"/>
        </w:tabs>
        <w:ind w:left="4320"/>
        <w:jc w:val="both"/>
      </w:pPr>
      <w:r>
        <w:rPr>
          <w:rStyle w:val="NoneB"/>
          <w:lang w:val="fr-FR"/>
        </w:rPr>
        <w:t>Assistant Consumers</w:t>
      </w:r>
      <w:r w:rsidR="000F4C1D">
        <w:rPr>
          <w:rStyle w:val="NoneB"/>
          <w:lang w:val="fr-FR"/>
        </w:rPr>
        <w:t xml:space="preserve">’ </w:t>
      </w:r>
      <w:r>
        <w:rPr>
          <w:rStyle w:val="NoneB"/>
        </w:rPr>
        <w:t>Counsel</w:t>
      </w:r>
    </w:p>
    <w:p w:rsidR="00E36129" w14:paraId="389521A4" w14:textId="77777777">
      <w:pPr>
        <w:pStyle w:val="Body"/>
        <w:tabs>
          <w:tab w:val="left" w:pos="3870"/>
          <w:tab w:val="left" w:pos="4320"/>
        </w:tabs>
        <w:ind w:left="4320"/>
        <w:jc w:val="both"/>
      </w:pPr>
    </w:p>
    <w:p w:rsidR="00E36129" w14:paraId="4C386C4A" w14:textId="77777777">
      <w:pPr>
        <w:pStyle w:val="Body"/>
        <w:ind w:left="4320"/>
        <w:jc w:val="both"/>
        <w:rPr>
          <w:rStyle w:val="None"/>
          <w:b/>
          <w:bCs/>
        </w:rPr>
      </w:pPr>
      <w:r>
        <w:rPr>
          <w:rStyle w:val="None"/>
          <w:b/>
          <w:bCs/>
        </w:rPr>
        <w:t>Office of the Ohio Consumers' Counsel</w:t>
      </w:r>
    </w:p>
    <w:p w:rsidR="00E36129" w14:paraId="2B9F3950" w14:textId="77777777">
      <w:pPr>
        <w:pStyle w:val="Body"/>
        <w:ind w:left="4320"/>
        <w:jc w:val="both"/>
      </w:pPr>
      <w:r>
        <w:rPr>
          <w:rStyle w:val="NoneB"/>
        </w:rPr>
        <w:t>65 East State Street, Suite 700</w:t>
      </w:r>
    </w:p>
    <w:p w:rsidR="00E36129" w14:paraId="16667128" w14:textId="77777777">
      <w:pPr>
        <w:pStyle w:val="Body"/>
        <w:ind w:left="4320"/>
        <w:jc w:val="both"/>
      </w:pPr>
      <w:r>
        <w:rPr>
          <w:rStyle w:val="NoneB"/>
          <w:lang w:val="it-IT"/>
        </w:rPr>
        <w:t>Columbus, Ohio 43215</w:t>
      </w:r>
    </w:p>
    <w:p w:rsidR="00E36129" w14:paraId="730FBCC2" w14:textId="77777777">
      <w:pPr>
        <w:pStyle w:val="Body"/>
        <w:ind w:left="4320"/>
        <w:jc w:val="both"/>
      </w:pPr>
      <w:r>
        <w:rPr>
          <w:rStyle w:val="NoneB"/>
        </w:rPr>
        <w:t>Telephone: [Michael]: (614) 466-1291</w:t>
      </w:r>
    </w:p>
    <w:p w:rsidR="00E36129" w14:paraId="3DC94547" w14:textId="77777777">
      <w:pPr>
        <w:pStyle w:val="Body"/>
        <w:ind w:left="4320"/>
        <w:jc w:val="both"/>
      </w:pPr>
      <w:r>
        <w:rPr>
          <w:rStyle w:val="NoneB"/>
        </w:rPr>
        <w:t>Telephone: [Semple]: (614) 466-9565</w:t>
      </w:r>
    </w:p>
    <w:p w:rsidR="00E36129" w14:paraId="6D7396B9" w14:textId="77777777">
      <w:pPr>
        <w:pStyle w:val="Body"/>
        <w:ind w:left="4320"/>
        <w:jc w:val="both"/>
        <w:rPr>
          <w:rStyle w:val="None"/>
          <w:color w:val="0000FF"/>
          <w:u w:color="0000FF"/>
        </w:rPr>
      </w:pPr>
      <w:hyperlink r:id="rId8" w:history="1">
        <w:r w:rsidR="00FB4033">
          <w:rPr>
            <w:rStyle w:val="Hyperlink3"/>
          </w:rPr>
          <w:t>william.michael@occ.ohio.gov</w:t>
        </w:r>
      </w:hyperlink>
    </w:p>
    <w:p w:rsidR="00E36129" w14:paraId="066A208F" w14:textId="77777777">
      <w:pPr>
        <w:pStyle w:val="Body"/>
        <w:ind w:left="4320"/>
        <w:jc w:val="both"/>
        <w:rPr>
          <w:rStyle w:val="None"/>
          <w:color w:val="0000FF"/>
          <w:u w:color="0000FF"/>
        </w:rPr>
      </w:pPr>
      <w:hyperlink r:id="rId9" w:history="1">
        <w:r w:rsidR="00FB4033">
          <w:rPr>
            <w:rStyle w:val="Hyperlink3"/>
            <w:lang w:val="it-IT"/>
          </w:rPr>
          <w:t>connor.semple@occ.ohio.gov</w:t>
        </w:r>
      </w:hyperlink>
    </w:p>
    <w:p w:rsidR="00E36129" w14:paraId="306FD069" w14:textId="77777777">
      <w:pPr>
        <w:pStyle w:val="Body"/>
        <w:ind w:left="4320" w:hanging="4320"/>
        <w:jc w:val="both"/>
      </w:pPr>
      <w:r>
        <w:rPr>
          <w:rStyle w:val="NoneB"/>
        </w:rPr>
        <w:tab/>
        <w:t>(willing to accept service by e-mail)</w:t>
      </w:r>
    </w:p>
    <w:p w:rsidR="00E36129" w14:paraId="4C9B2A67" w14:textId="77777777">
      <w:pPr>
        <w:pStyle w:val="Body"/>
      </w:pPr>
      <w:r>
        <w:rPr>
          <w:rStyle w:val="NoneB"/>
          <w:rFonts w:ascii="Arial Unicode MS" w:eastAsia="Arial Unicode MS" w:hAnsi="Arial Unicode MS" w:cs="Arial Unicode MS"/>
        </w:rPr>
        <w:br w:type="page"/>
      </w:r>
    </w:p>
    <w:p w:rsidR="00E36129" w14:paraId="77B69E96" w14:textId="77777777">
      <w:pPr>
        <w:pStyle w:val="Body"/>
        <w:jc w:val="center"/>
        <w:rPr>
          <w:rStyle w:val="None"/>
          <w:b/>
          <w:bCs/>
          <w:u w:val="single"/>
        </w:rPr>
      </w:pPr>
      <w:r>
        <w:rPr>
          <w:rStyle w:val="None"/>
          <w:b/>
          <w:bCs/>
          <w:u w:val="single"/>
        </w:rPr>
        <w:t>CERTIFICATE OF SERVICE</w:t>
      </w:r>
    </w:p>
    <w:p w:rsidR="00E36129" w14:paraId="33EED349" w14:textId="77777777">
      <w:pPr>
        <w:pStyle w:val="Body"/>
        <w:spacing w:line="480" w:lineRule="atLeast"/>
      </w:pPr>
      <w:r>
        <w:rPr>
          <w:rStyle w:val="NoneB"/>
        </w:rPr>
        <w:tab/>
        <w:t>I hereby certify that a copy of these Comments was served on the persons stated below via electronic transmission, this 12th day of September 2022.</w:t>
      </w:r>
    </w:p>
    <w:p w:rsidR="00E36129" w14:paraId="6C2C557C" w14:textId="77777777">
      <w:pPr>
        <w:pStyle w:val="Body"/>
      </w:pPr>
    </w:p>
    <w:p w:rsidR="00E36129" w14:paraId="7BD85833" w14:textId="77777777">
      <w:pPr>
        <w:pStyle w:val="Body"/>
        <w:tabs>
          <w:tab w:val="left" w:pos="4320"/>
        </w:tabs>
        <w:rPr>
          <w:rStyle w:val="None"/>
          <w:i/>
          <w:iCs/>
          <w:u w:val="single"/>
        </w:rPr>
      </w:pPr>
      <w:r>
        <w:rPr>
          <w:rStyle w:val="NoneB"/>
        </w:rPr>
        <w:tab/>
      </w:r>
      <w:r>
        <w:rPr>
          <w:rStyle w:val="None"/>
          <w:i/>
          <w:iCs/>
          <w:u w:val="single"/>
          <w:lang w:val="de-DE"/>
        </w:rPr>
        <w:t>/s/ William J. Michael</w:t>
      </w:r>
      <w:r>
        <w:rPr>
          <w:rStyle w:val="None"/>
          <w:i/>
          <w:iCs/>
          <w:u w:val="single"/>
          <w:lang w:val="de-DE"/>
        </w:rPr>
        <w:tab/>
      </w:r>
      <w:r>
        <w:rPr>
          <w:rStyle w:val="None"/>
          <w:i/>
          <w:iCs/>
          <w:u w:val="single"/>
          <w:lang w:val="de-DE"/>
        </w:rPr>
        <w:tab/>
      </w:r>
    </w:p>
    <w:p w:rsidR="00E36129" w14:paraId="35BC9AEF" w14:textId="77777777">
      <w:pPr>
        <w:pStyle w:val="Body"/>
        <w:tabs>
          <w:tab w:val="left" w:pos="4320"/>
        </w:tabs>
      </w:pPr>
      <w:r>
        <w:rPr>
          <w:rStyle w:val="NoneB"/>
          <w:lang w:val="de-DE"/>
        </w:rPr>
        <w:tab/>
        <w:t>William J. Michael</w:t>
      </w:r>
    </w:p>
    <w:p w:rsidR="00E36129" w14:paraId="1F9086C9" w14:textId="77777777">
      <w:pPr>
        <w:pStyle w:val="Body"/>
        <w:tabs>
          <w:tab w:val="left" w:pos="4320"/>
        </w:tabs>
      </w:pPr>
      <w:r>
        <w:rPr>
          <w:rStyle w:val="NoneB"/>
          <w:lang w:val="fr-FR"/>
        </w:rPr>
        <w:tab/>
        <w:t>Assistant Consumers</w:t>
      </w:r>
      <w:r>
        <w:rPr>
          <w:rStyle w:val="NoneB"/>
          <w:rtl/>
        </w:rPr>
        <w:t xml:space="preserve">’ </w:t>
      </w:r>
      <w:r>
        <w:rPr>
          <w:rStyle w:val="NoneB"/>
        </w:rPr>
        <w:t>Counsel</w:t>
      </w:r>
    </w:p>
    <w:p w:rsidR="00E36129" w14:paraId="068F9D32" w14:textId="77777777">
      <w:pPr>
        <w:pStyle w:val="CommentSubject"/>
        <w:rPr>
          <w:rStyle w:val="NoneB"/>
        </w:rPr>
      </w:pPr>
    </w:p>
    <w:p w:rsidR="00E36129" w14:paraId="4E8E4847" w14:textId="77777777">
      <w:pPr>
        <w:pStyle w:val="Body"/>
      </w:pPr>
      <w:r>
        <w:rPr>
          <w:rStyle w:val="NoneB"/>
          <w:rFonts w:eastAsia="Arial Unicode MS" w:cs="Arial Unicode MS"/>
        </w:rPr>
        <w:t>The PUCO</w:t>
      </w:r>
      <w:r>
        <w:rPr>
          <w:rStyle w:val="NoneB"/>
          <w:rFonts w:eastAsia="Arial Unicode MS" w:cs="Arial Unicode MS"/>
          <w:rtl/>
        </w:rPr>
        <w:t>’</w:t>
      </w:r>
      <w:r>
        <w:rPr>
          <w:rStyle w:val="NoneB"/>
          <w:rFonts w:eastAsia="Arial Unicode MS" w:cs="Arial Unicode MS"/>
        </w:rPr>
        <w:t>s e-filing system will electronically serve notice of the filing of this document on the following parties:</w:t>
      </w:r>
    </w:p>
    <w:p w:rsidR="00E36129" w14:paraId="43779FB6" w14:textId="77777777">
      <w:pPr>
        <w:pStyle w:val="CommentText"/>
      </w:pPr>
    </w:p>
    <w:p w:rsidR="00E36129" w14:paraId="5F36F3BD" w14:textId="77777777">
      <w:pPr>
        <w:pStyle w:val="CommentText"/>
        <w:jc w:val="center"/>
        <w:rPr>
          <w:rStyle w:val="None"/>
          <w:b/>
          <w:bCs/>
          <w:u w:val="single"/>
        </w:rPr>
      </w:pPr>
      <w:r>
        <w:rPr>
          <w:rStyle w:val="None"/>
          <w:b/>
          <w:bCs/>
          <w:u w:val="single"/>
        </w:rPr>
        <w:t>SERVICE LIST</w:t>
      </w:r>
    </w:p>
    <w:p w:rsidR="00E36129" w14:paraId="5A3185B5" w14:textId="77777777">
      <w:pPr>
        <w:pStyle w:val="BodyText"/>
        <w:rPr>
          <w:rStyle w:val="None"/>
          <w:b/>
          <w:bCs/>
        </w:rPr>
      </w:pPr>
    </w:p>
    <w:tbl>
      <w:tblPr>
        <w:tblW w:w="8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tblPr>
      <w:tblGrid>
        <w:gridCol w:w="4320"/>
        <w:gridCol w:w="2044"/>
        <w:gridCol w:w="1556"/>
        <w:gridCol w:w="720"/>
      </w:tblGrid>
      <w:tr w14:paraId="679AD6FA" w14:textId="77777777">
        <w:tblPrEx>
          <w:tblW w:w="8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tblPrEx>
        <w:trPr>
          <w:trHeight w:val="3890"/>
        </w:trPr>
        <w:tc>
          <w:tcPr>
            <w:tcW w:w="4320" w:type="dxa"/>
            <w:tcBorders>
              <w:top w:val="nil"/>
              <w:left w:val="nil"/>
              <w:bottom w:val="nil"/>
              <w:right w:val="nil"/>
            </w:tcBorders>
            <w:shd w:val="clear" w:color="auto" w:fill="auto"/>
            <w:tcMar>
              <w:top w:w="80" w:type="dxa"/>
              <w:left w:w="80" w:type="dxa"/>
              <w:bottom w:w="80" w:type="dxa"/>
              <w:right w:w="80" w:type="dxa"/>
            </w:tcMar>
          </w:tcPr>
          <w:p w:rsidR="00E36129" w14:paraId="38E347BF" w14:textId="77777777">
            <w:pPr>
              <w:pStyle w:val="Body"/>
              <w:rPr>
                <w:rStyle w:val="None"/>
                <w:color w:val="0000FF"/>
                <w:u w:val="single" w:color="0000FF"/>
              </w:rPr>
            </w:pPr>
            <w:hyperlink r:id="rId10" w:history="1">
              <w:r w:rsidR="00FB4033">
                <w:rPr>
                  <w:rStyle w:val="Hyperlink4"/>
                </w:rPr>
                <w:t>john.jones@ohioAGO.gov</w:t>
              </w:r>
            </w:hyperlink>
          </w:p>
          <w:p w:rsidR="00E36129" w14:paraId="02443FCF" w14:textId="77777777">
            <w:pPr>
              <w:pStyle w:val="Body"/>
              <w:rPr>
                <w:rStyle w:val="None"/>
                <w:color w:val="0000FF"/>
                <w:u w:val="single" w:color="0000FF"/>
              </w:rPr>
            </w:pPr>
            <w:hyperlink r:id="rId11" w:history="1">
              <w:r w:rsidR="00FB4033">
                <w:rPr>
                  <w:rStyle w:val="Hyperlink4"/>
                </w:rPr>
                <w:t>jmchugh@painesville.com</w:t>
              </w:r>
            </w:hyperlink>
          </w:p>
          <w:p w:rsidR="00E36129" w14:paraId="0F509E60" w14:textId="77777777">
            <w:pPr>
              <w:pStyle w:val="Body"/>
              <w:rPr>
                <w:rStyle w:val="None"/>
                <w:color w:val="0000FF"/>
                <w:u w:val="single" w:color="0000FF"/>
              </w:rPr>
            </w:pPr>
            <w:hyperlink r:id="rId12" w:history="1">
              <w:r w:rsidR="00FB4033">
                <w:rPr>
                  <w:rStyle w:val="Hyperlink4"/>
                </w:rPr>
                <w:t>dlewis@painesville.com</w:t>
              </w:r>
            </w:hyperlink>
          </w:p>
          <w:p w:rsidR="00E36129" w14:paraId="22D888DE" w14:textId="77777777">
            <w:pPr>
              <w:pStyle w:val="Body"/>
              <w:rPr>
                <w:rStyle w:val="None"/>
                <w:color w:val="0000FF"/>
                <w:u w:val="single" w:color="0000FF"/>
              </w:rPr>
            </w:pPr>
            <w:hyperlink r:id="rId13" w:history="1">
              <w:r w:rsidR="00FB4033">
                <w:rPr>
                  <w:rStyle w:val="Hyperlink4"/>
                </w:rPr>
                <w:t>ldalessandris@firstenergycorp.com</w:t>
              </w:r>
            </w:hyperlink>
          </w:p>
          <w:p w:rsidR="00E36129" w14:paraId="68077BC5" w14:textId="77777777">
            <w:pPr>
              <w:pStyle w:val="Body"/>
              <w:rPr>
                <w:rStyle w:val="None"/>
                <w:color w:val="0000FF"/>
                <w:u w:val="single" w:color="0000FF"/>
              </w:rPr>
            </w:pPr>
            <w:hyperlink r:id="rId14" w:history="1">
              <w:r w:rsidR="00FB4033">
                <w:rPr>
                  <w:rStyle w:val="Hyperlink4"/>
                </w:rPr>
                <w:t>rocco.dascenzo@duke-energy.com</w:t>
              </w:r>
            </w:hyperlink>
          </w:p>
          <w:p w:rsidR="00E36129" w14:paraId="02242D94" w14:textId="77777777">
            <w:pPr>
              <w:pStyle w:val="Body"/>
              <w:rPr>
                <w:rStyle w:val="None"/>
                <w:color w:val="0000FF"/>
                <w:u w:val="single" w:color="0000FF"/>
              </w:rPr>
            </w:pPr>
            <w:hyperlink r:id="rId15" w:history="1">
              <w:r w:rsidR="00FB4033">
                <w:rPr>
                  <w:rStyle w:val="Hyperlink4"/>
                </w:rPr>
                <w:t>jeanne.kingery@duke-energy.com</w:t>
              </w:r>
            </w:hyperlink>
          </w:p>
          <w:p w:rsidR="00E36129" w14:paraId="40F547A7" w14:textId="77777777">
            <w:pPr>
              <w:pStyle w:val="Body"/>
              <w:rPr>
                <w:rStyle w:val="None"/>
                <w:color w:val="0000FF"/>
                <w:u w:val="single" w:color="0000FF"/>
              </w:rPr>
            </w:pPr>
            <w:hyperlink r:id="rId16" w:history="1">
              <w:r w:rsidR="00FB4033">
                <w:rPr>
                  <w:rStyle w:val="Hyperlink4"/>
                </w:rPr>
                <w:t>larisa.vaysman@duke-energy.com</w:t>
              </w:r>
            </w:hyperlink>
          </w:p>
          <w:p w:rsidR="00E36129" w14:paraId="1CCAB70D" w14:textId="77777777">
            <w:pPr>
              <w:pStyle w:val="Body"/>
              <w:rPr>
                <w:rStyle w:val="None"/>
                <w:color w:val="0000FF"/>
                <w:u w:val="single" w:color="0000FF"/>
              </w:rPr>
            </w:pPr>
            <w:hyperlink r:id="rId17" w:history="1">
              <w:r w:rsidR="00FB4033">
                <w:rPr>
                  <w:rStyle w:val="Hyperlink4"/>
                </w:rPr>
                <w:t>elyse.akhbari@duke-energy.com</w:t>
              </w:r>
            </w:hyperlink>
          </w:p>
          <w:p w:rsidR="00E36129" w14:paraId="27DD2EFD" w14:textId="77777777">
            <w:pPr>
              <w:pStyle w:val="Body"/>
              <w:rPr>
                <w:rStyle w:val="None"/>
                <w:color w:val="0000FF"/>
                <w:u w:val="single" w:color="0000FF"/>
              </w:rPr>
            </w:pPr>
            <w:hyperlink r:id="rId18" w:history="1">
              <w:r w:rsidR="00FB4033">
                <w:rPr>
                  <w:rStyle w:val="Hyperlink4"/>
                </w:rPr>
                <w:t>stnourse@aep.com</w:t>
              </w:r>
            </w:hyperlink>
          </w:p>
          <w:p w:rsidR="00E36129" w14:paraId="6B605B67" w14:textId="77777777">
            <w:pPr>
              <w:pStyle w:val="Body"/>
              <w:rPr>
                <w:rStyle w:val="None"/>
                <w:color w:val="0000FF"/>
                <w:u w:val="single" w:color="0000FF"/>
              </w:rPr>
            </w:pPr>
            <w:hyperlink r:id="rId19" w:history="1">
              <w:r w:rsidR="00FB4033">
                <w:rPr>
                  <w:rStyle w:val="Hyperlink4"/>
                </w:rPr>
                <w:t>mjschuler@aep.com</w:t>
              </w:r>
            </w:hyperlink>
          </w:p>
          <w:p w:rsidR="00E36129" w14:paraId="6A9F60CC" w14:textId="77777777">
            <w:pPr>
              <w:pStyle w:val="Body"/>
              <w:rPr>
                <w:rStyle w:val="None"/>
                <w:color w:val="0000FF"/>
                <w:u w:val="single" w:color="0000FF"/>
              </w:rPr>
            </w:pPr>
            <w:r>
              <w:rPr>
                <w:rStyle w:val="Hyperlink4"/>
              </w:rPr>
              <w:t>opga@kdafirm.com</w:t>
            </w:r>
          </w:p>
          <w:p w:rsidR="00E36129" w14:paraId="7F515EFA" w14:textId="77777777">
            <w:pPr>
              <w:pStyle w:val="Body"/>
            </w:pPr>
          </w:p>
        </w:tc>
        <w:tc>
          <w:tcPr>
            <w:tcW w:w="3600" w:type="dxa"/>
            <w:gridSpan w:val="2"/>
            <w:tcBorders>
              <w:top w:val="nil"/>
              <w:left w:val="nil"/>
              <w:bottom w:val="nil"/>
              <w:right w:val="nil"/>
            </w:tcBorders>
            <w:shd w:val="clear" w:color="auto" w:fill="auto"/>
            <w:tcMar>
              <w:top w:w="80" w:type="dxa"/>
              <w:left w:w="80" w:type="dxa"/>
              <w:bottom w:w="80" w:type="dxa"/>
              <w:right w:w="80" w:type="dxa"/>
            </w:tcMar>
          </w:tcPr>
          <w:p w:rsidR="00E36129" w14:paraId="6FB59A19" w14:textId="77777777">
            <w:pPr>
              <w:pStyle w:val="Body"/>
              <w:rPr>
                <w:rStyle w:val="None"/>
                <w:color w:val="0000FF"/>
                <w:u w:val="single" w:color="0000FF"/>
              </w:rPr>
            </w:pPr>
            <w:hyperlink r:id="rId20" w:history="1">
              <w:r w:rsidR="00FB4033">
                <w:rPr>
                  <w:rStyle w:val="Hyperlink4"/>
                </w:rPr>
                <w:t>khelfrich@ohioec.org</w:t>
              </w:r>
            </w:hyperlink>
          </w:p>
          <w:p w:rsidR="00E36129" w14:paraId="24E5A5E6" w14:textId="77777777">
            <w:pPr>
              <w:pStyle w:val="Body"/>
              <w:rPr>
                <w:rStyle w:val="None"/>
                <w:color w:val="0000FF"/>
                <w:u w:val="single" w:color="0000FF"/>
              </w:rPr>
            </w:pPr>
            <w:hyperlink r:id="rId21" w:history="1">
              <w:r w:rsidR="00FB4033">
                <w:rPr>
                  <w:rStyle w:val="Hyperlink4"/>
                </w:rPr>
                <w:t>ikaleps@ohioec.org</w:t>
              </w:r>
            </w:hyperlink>
          </w:p>
          <w:p w:rsidR="00E36129" w14:paraId="191A22ED" w14:textId="77777777">
            <w:pPr>
              <w:pStyle w:val="Body"/>
              <w:rPr>
                <w:rStyle w:val="None"/>
                <w:color w:val="0000FF"/>
                <w:u w:val="single" w:color="0000FF"/>
              </w:rPr>
            </w:pPr>
            <w:hyperlink r:id="rId22" w:history="1">
              <w:r w:rsidR="00FB4033">
                <w:rPr>
                  <w:rStyle w:val="Hyperlink4"/>
                </w:rPr>
                <w:t>talexander@beneschlaw.com</w:t>
              </w:r>
            </w:hyperlink>
          </w:p>
          <w:p w:rsidR="00E36129" w14:paraId="1ABAA4AF" w14:textId="77777777">
            <w:pPr>
              <w:pStyle w:val="Body"/>
              <w:rPr>
                <w:rStyle w:val="None"/>
                <w:color w:val="0000FF"/>
                <w:u w:val="single" w:color="0000FF"/>
              </w:rPr>
            </w:pPr>
            <w:hyperlink r:id="rId23" w:history="1">
              <w:r w:rsidR="00FB4033">
                <w:rPr>
                  <w:rStyle w:val="Hyperlink4"/>
                </w:rPr>
                <w:t>slesser@beneschlaw.com</w:t>
              </w:r>
            </w:hyperlink>
          </w:p>
          <w:p w:rsidR="00E36129" w14:paraId="054C851A" w14:textId="77777777">
            <w:pPr>
              <w:pStyle w:val="Body"/>
              <w:rPr>
                <w:rStyle w:val="None"/>
                <w:color w:val="0000FF"/>
                <w:u w:val="single" w:color="0000FF"/>
              </w:rPr>
            </w:pPr>
            <w:hyperlink r:id="rId24" w:history="1">
              <w:r w:rsidR="00FB4033">
                <w:rPr>
                  <w:rStyle w:val="Hyperlink4"/>
                </w:rPr>
                <w:t>dparram@bricker.com</w:t>
              </w:r>
            </w:hyperlink>
          </w:p>
          <w:p w:rsidR="00E36129" w14:paraId="639ADA69" w14:textId="77777777">
            <w:pPr>
              <w:pStyle w:val="Body"/>
              <w:rPr>
                <w:rStyle w:val="None"/>
                <w:color w:val="0000FF"/>
                <w:u w:val="single" w:color="0000FF"/>
              </w:rPr>
            </w:pPr>
            <w:hyperlink r:id="rId25" w:history="1">
              <w:r w:rsidR="00FB4033">
                <w:rPr>
                  <w:rStyle w:val="Hyperlink4"/>
                </w:rPr>
                <w:t>rmains@bricker.com</w:t>
              </w:r>
            </w:hyperlink>
          </w:p>
          <w:p w:rsidR="00E36129" w14:paraId="46B9CF2D" w14:textId="77777777">
            <w:pPr>
              <w:pStyle w:val="Body"/>
              <w:rPr>
                <w:rStyle w:val="None"/>
                <w:color w:val="0000FF"/>
                <w:u w:val="single" w:color="0000FF"/>
              </w:rPr>
            </w:pPr>
            <w:hyperlink r:id="rId26" w:history="1">
              <w:r w:rsidR="00FB4033">
                <w:rPr>
                  <w:rStyle w:val="Hyperlink4"/>
                </w:rPr>
                <w:t>bojko@carpenterlipps.com</w:t>
              </w:r>
            </w:hyperlink>
          </w:p>
          <w:p w:rsidR="00E36129" w14:paraId="614DD3CD" w14:textId="77777777">
            <w:pPr>
              <w:pStyle w:val="Body"/>
              <w:rPr>
                <w:rStyle w:val="None"/>
                <w:color w:val="0000FF"/>
                <w:u w:val="single" w:color="0000FF"/>
              </w:rPr>
            </w:pPr>
            <w:hyperlink r:id="rId27" w:history="1">
              <w:r w:rsidR="00FB4033">
                <w:rPr>
                  <w:rStyle w:val="Hyperlink4"/>
                </w:rPr>
                <w:t>wygonski@carpenterlipps.com</w:t>
              </w:r>
            </w:hyperlink>
          </w:p>
          <w:p w:rsidR="00E36129" w14:paraId="01C3533E" w14:textId="77777777">
            <w:pPr>
              <w:pStyle w:val="Body"/>
              <w:rPr>
                <w:rStyle w:val="None"/>
                <w:color w:val="0000FF"/>
                <w:u w:val="single" w:color="0000FF"/>
              </w:rPr>
            </w:pPr>
            <w:hyperlink r:id="rId28" w:history="1">
              <w:r w:rsidR="00FB4033">
                <w:rPr>
                  <w:rStyle w:val="Hyperlink4"/>
                </w:rPr>
                <w:t>christopher.hollon@aes.com</w:t>
              </w:r>
            </w:hyperlink>
          </w:p>
          <w:p w:rsidR="00E36129" w14:paraId="3D5D16FD" w14:textId="77777777">
            <w:pPr>
              <w:pStyle w:val="Body"/>
              <w:rPr>
                <w:rStyle w:val="None"/>
                <w:color w:val="0000FF"/>
                <w:u w:val="single" w:color="0000FF"/>
              </w:rPr>
            </w:pPr>
            <w:hyperlink r:id="rId29" w:history="1">
              <w:r w:rsidR="00FB4033">
                <w:rPr>
                  <w:rStyle w:val="Hyperlink4"/>
                </w:rPr>
                <w:t>knordstrom@theOEC.org</w:t>
              </w:r>
            </w:hyperlink>
          </w:p>
          <w:p w:rsidR="00E36129" w14:paraId="3747BADC" w14:textId="77777777">
            <w:pPr>
              <w:pStyle w:val="Body"/>
            </w:pPr>
            <w:hyperlink r:id="rId30" w:history="1">
              <w:r w:rsidR="00FB4033">
                <w:rPr>
                  <w:rStyle w:val="Hyperlink4"/>
                </w:rPr>
                <w:t>ctavenor@theOEC.org</w:t>
              </w:r>
            </w:hyperlink>
          </w:p>
        </w:tc>
        <w:tc>
          <w:tcPr>
            <w:tcW w:w="720" w:type="dxa"/>
            <w:tcBorders>
              <w:top w:val="nil"/>
              <w:left w:val="nil"/>
              <w:bottom w:val="nil"/>
              <w:right w:val="nil"/>
            </w:tcBorders>
            <w:shd w:val="clear" w:color="auto" w:fill="auto"/>
            <w:tcMar>
              <w:top w:w="80" w:type="dxa"/>
              <w:left w:w="80" w:type="dxa"/>
              <w:bottom w:w="80" w:type="dxa"/>
              <w:right w:w="80" w:type="dxa"/>
            </w:tcMar>
          </w:tcPr>
          <w:p w:rsidR="00E36129" w14:paraId="55D85752" w14:textId="77777777"/>
        </w:tc>
      </w:tr>
      <w:tr w14:paraId="1F2E2211" w14:textId="77777777">
        <w:tblPrEx>
          <w:tblW w:w="8640" w:type="dxa"/>
          <w:tblInd w:w="108" w:type="dxa"/>
          <w:shd w:val="clear" w:color="auto" w:fill="CADFFF"/>
          <w:tblLayout w:type="fixed"/>
          <w:tblLook w:val="04A0"/>
        </w:tblPrEx>
        <w:trPr>
          <w:trHeight w:val="290"/>
        </w:trPr>
        <w:tc>
          <w:tcPr>
            <w:tcW w:w="4320" w:type="dxa"/>
            <w:tcBorders>
              <w:top w:val="nil"/>
              <w:left w:val="nil"/>
              <w:bottom w:val="nil"/>
              <w:right w:val="nil"/>
            </w:tcBorders>
            <w:shd w:val="clear" w:color="auto" w:fill="auto"/>
            <w:tcMar>
              <w:top w:w="80" w:type="dxa"/>
              <w:left w:w="80" w:type="dxa"/>
              <w:bottom w:w="80" w:type="dxa"/>
              <w:right w:w="80" w:type="dxa"/>
            </w:tcMar>
          </w:tcPr>
          <w:p w:rsidR="00E36129" w14:paraId="3A362E21" w14:textId="77777777"/>
        </w:tc>
        <w:tc>
          <w:tcPr>
            <w:tcW w:w="2044" w:type="dxa"/>
            <w:tcBorders>
              <w:top w:val="nil"/>
              <w:left w:val="nil"/>
              <w:bottom w:val="nil"/>
              <w:right w:val="nil"/>
            </w:tcBorders>
            <w:shd w:val="clear" w:color="auto" w:fill="auto"/>
            <w:tcMar>
              <w:top w:w="80" w:type="dxa"/>
              <w:left w:w="80" w:type="dxa"/>
              <w:bottom w:w="80" w:type="dxa"/>
              <w:right w:w="80" w:type="dxa"/>
            </w:tcMar>
          </w:tcPr>
          <w:p w:rsidR="00E36129" w14:paraId="4B9484C0" w14:textId="77777777"/>
        </w:tc>
        <w:tc>
          <w:tcPr>
            <w:tcW w:w="2276" w:type="dxa"/>
            <w:gridSpan w:val="2"/>
            <w:tcBorders>
              <w:top w:val="nil"/>
              <w:left w:val="nil"/>
              <w:bottom w:val="nil"/>
              <w:right w:val="nil"/>
            </w:tcBorders>
            <w:shd w:val="clear" w:color="auto" w:fill="auto"/>
            <w:tcMar>
              <w:top w:w="80" w:type="dxa"/>
              <w:left w:w="80" w:type="dxa"/>
              <w:bottom w:w="80" w:type="dxa"/>
              <w:right w:w="80" w:type="dxa"/>
            </w:tcMar>
          </w:tcPr>
          <w:p w:rsidR="00E36129" w14:paraId="1BB58EA5" w14:textId="77777777"/>
        </w:tc>
      </w:tr>
    </w:tbl>
    <w:p w:rsidR="00E36129" w14:paraId="47DD9CA6" w14:textId="77777777">
      <w:pPr>
        <w:pStyle w:val="BodyText"/>
        <w:widowControl w:val="0"/>
      </w:pPr>
    </w:p>
    <w:sectPr>
      <w:footerReference w:type="default" r:id="rId31"/>
      <w:pgSz w:w="12240" w:h="15840"/>
      <w:pgMar w:top="1440" w:right="1800" w:bottom="1440" w:left="1800" w:header="720" w:footer="86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Times Roman">
    <w:altName w:val="Times New Roman"/>
    <w:charset w:val="00"/>
    <w:family w:val="roman"/>
    <w:pitch w:val="default"/>
  </w:font>
  <w:font w:name="Times New Roman Bold">
    <w:panose1 w:val="02020803070505020304"/>
    <w:charset w:val="00"/>
    <w:family w:val="roman"/>
    <w:notTrueType/>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129" w14:paraId="7AA27FEB" w14:textId="2E3973C3">
    <w:pPr>
      <w:pStyle w:val="Footer"/>
      <w:tabs>
        <w:tab w:val="right" w:pos="8620"/>
        <w:tab w:val="clear" w:pos="9360"/>
      </w:tabs>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20DA0" w14:paraId="525DD57B" w14:textId="77777777">
      <w:r>
        <w:separator/>
      </w:r>
    </w:p>
  </w:footnote>
  <w:footnote w:type="continuationSeparator" w:id="1">
    <w:p w:rsidR="00720DA0" w14:paraId="76E4ADCE" w14:textId="77777777">
      <w:r>
        <w:continuationSeparator/>
      </w:r>
    </w:p>
  </w:footnote>
  <w:footnote w:type="continuationNotice" w:id="2">
    <w:p w:rsidR="00720DA0" w14:paraId="3D8B2750" w14:textId="77777777"/>
  </w:footnote>
  <w:footnote w:id="3">
    <w:p w:rsidR="00E36129" w:rsidRPr="0028773F" w14:paraId="5FEF725B" w14:textId="77777777">
      <w:pPr>
        <w:pStyle w:val="BodyA"/>
        <w:spacing w:after="120"/>
        <w:rPr>
          <w:rFonts w:cs="Times New Roman"/>
          <w:sz w:val="20"/>
          <w:szCs w:val="20"/>
        </w:rPr>
      </w:pPr>
      <w:r w:rsidRPr="0028773F">
        <w:rPr>
          <w:rFonts w:cs="Times New Roman"/>
          <w:color w:val="333333"/>
          <w:sz w:val="20"/>
          <w:szCs w:val="20"/>
          <w:u w:color="333333"/>
          <w:vertAlign w:val="superscript"/>
        </w:rPr>
        <w:footnoteRef/>
      </w:r>
      <w:r w:rsidRPr="0028773F">
        <w:rPr>
          <w:rFonts w:cs="Times New Roman"/>
          <w:sz w:val="20"/>
          <w:szCs w:val="20"/>
        </w:rPr>
        <w:t xml:space="preserve"> </w:t>
      </w:r>
      <w:r w:rsidRPr="0028773F">
        <w:rPr>
          <w:rFonts w:cs="Times New Roman"/>
          <w:color w:val="232323"/>
          <w:sz w:val="20"/>
          <w:szCs w:val="20"/>
          <w:u w:color="232323"/>
        </w:rPr>
        <w:t>Pub. L. No. 117-58.</w:t>
      </w:r>
    </w:p>
  </w:footnote>
  <w:footnote w:id="4">
    <w:p w:rsidR="00E36129" w:rsidRPr="0028773F" w14:paraId="0002EF5E" w14:textId="77777777">
      <w:pPr>
        <w:pStyle w:val="FootnoteText"/>
        <w:spacing w:after="120"/>
      </w:pPr>
      <w:r w:rsidRPr="0028773F">
        <w:rPr>
          <w:color w:val="333333"/>
          <w:u w:color="333333"/>
          <w:vertAlign w:val="superscript"/>
        </w:rPr>
        <w:footnoteRef/>
      </w:r>
      <w:r w:rsidRPr="0028773F">
        <w:rPr>
          <w:rStyle w:val="NoneB"/>
        </w:rPr>
        <w:t xml:space="preserve"> </w:t>
      </w:r>
      <w:r w:rsidRPr="0028773F">
        <w:rPr>
          <w:i/>
          <w:iCs/>
        </w:rPr>
        <w:t>See id.</w:t>
      </w:r>
    </w:p>
  </w:footnote>
  <w:footnote w:id="5">
    <w:p w:rsidR="00E36129" w:rsidRPr="0028773F" w14:paraId="0BA5A89E" w14:textId="77777777">
      <w:pPr>
        <w:pStyle w:val="BodyA"/>
        <w:spacing w:after="120"/>
        <w:rPr>
          <w:rFonts w:cs="Times New Roman"/>
          <w:sz w:val="20"/>
          <w:szCs w:val="20"/>
        </w:rPr>
      </w:pPr>
      <w:r w:rsidRPr="0028773F">
        <w:rPr>
          <w:rFonts w:cs="Times New Roman"/>
          <w:sz w:val="20"/>
          <w:szCs w:val="20"/>
          <w:vertAlign w:val="superscript"/>
          <w:lang w:val="en-US"/>
        </w:rPr>
        <w:footnoteRef/>
      </w:r>
      <w:r w:rsidRPr="0028773F">
        <w:rPr>
          <w:rFonts w:cs="Times New Roman"/>
          <w:sz w:val="20"/>
          <w:szCs w:val="20"/>
          <w:lang w:val="en-US"/>
        </w:rPr>
        <w:t xml:space="preserve"> Entry, August 10, 2022.</w:t>
      </w:r>
    </w:p>
  </w:footnote>
  <w:footnote w:id="6">
    <w:p w:rsidR="00E36129" w:rsidRPr="0028773F" w14:paraId="6D42631B" w14:textId="6E770FA5">
      <w:pPr>
        <w:pStyle w:val="Footnote"/>
        <w:spacing w:after="120"/>
        <w:rPr>
          <w:rFonts w:ascii="Times New Roman" w:hAnsi="Times New Roman" w:cs="Times New Roman"/>
          <w:sz w:val="20"/>
          <w:szCs w:val="20"/>
        </w:rPr>
      </w:pPr>
      <w:r w:rsidRPr="00DE563F">
        <w:rPr>
          <w:rStyle w:val="Hyperlink2"/>
          <w:rFonts w:eastAsia="Helvetica Neue"/>
          <w:u w:val="none"/>
          <w:vertAlign w:val="superscript"/>
        </w:rPr>
        <w:t>4</w:t>
      </w:r>
      <w:r>
        <w:rPr>
          <w:rStyle w:val="Hyperlink2"/>
          <w:rFonts w:eastAsia="Helvetica Neue"/>
          <w:u w:val="none"/>
        </w:rPr>
        <w:t xml:space="preserve"> </w:t>
      </w:r>
      <w:hyperlink r:id="rId1" w:history="1">
        <w:r w:rsidRPr="00DE563F">
          <w:rPr>
            <w:rStyle w:val="Hyperlink"/>
            <w:rFonts w:ascii="Times New Roman" w:hAnsi="Times New Roman" w:cs="Times New Roman"/>
            <w:sz w:val="20"/>
            <w:szCs w:val="20"/>
            <w:u w:val="none"/>
          </w:rPr>
          <w:t>https://www.csg.org/-The</w:t>
        </w:r>
      </w:hyperlink>
      <w:r w:rsidRPr="0028773F" w:rsidR="00FB4033">
        <w:rPr>
          <w:rStyle w:val="None"/>
          <w:rFonts w:ascii="Times New Roman" w:hAnsi="Times New Roman" w:cs="Times New Roman"/>
          <w:sz w:val="20"/>
          <w:szCs w:val="20"/>
        </w:rPr>
        <w:t xml:space="preserve"> Council of State Governments</w:t>
      </w:r>
      <w:r>
        <w:rPr>
          <w:rStyle w:val="None"/>
          <w:rFonts w:ascii="Times New Roman" w:hAnsi="Times New Roman" w:cs="Times New Roman"/>
          <w:sz w:val="20"/>
          <w:szCs w:val="20"/>
        </w:rPr>
        <w:t>.</w:t>
      </w:r>
    </w:p>
  </w:footnote>
  <w:footnote w:id="7">
    <w:p w:rsidR="00E36129" w:rsidRPr="0028773F" w14:paraId="26E0E2D7" w14:textId="77777777">
      <w:pPr>
        <w:pStyle w:val="FootnoteText"/>
        <w:spacing w:after="120"/>
      </w:pPr>
      <w:r w:rsidRPr="0028773F">
        <w:rPr>
          <w:rStyle w:val="None"/>
          <w:vertAlign w:val="superscript"/>
        </w:rPr>
        <w:footnoteRef/>
      </w:r>
      <w:r w:rsidRPr="0028773F">
        <w:rPr>
          <w:rStyle w:val="NoneB"/>
        </w:rPr>
        <w:t xml:space="preserve"> </w:t>
      </w:r>
      <w:r w:rsidRPr="0028773F">
        <w:rPr>
          <w:rStyle w:val="None"/>
          <w:i/>
          <w:iCs/>
        </w:rPr>
        <w:t>See</w:t>
      </w:r>
      <w:r w:rsidRPr="0028773F">
        <w:rPr>
          <w:rStyle w:val="NoneB"/>
        </w:rPr>
        <w:t xml:space="preserve"> “Too Cheap To Meter: A History of the Phrase,” United States Nuclear Regulatory Commission,</w:t>
      </w:r>
      <w:r w:rsidRPr="0028773F">
        <w:rPr>
          <w:rStyle w:val="None"/>
          <w:i/>
          <w:iCs/>
        </w:rPr>
        <w:t xml:space="preserve"> </w:t>
      </w:r>
      <w:r w:rsidRPr="0028773F">
        <w:rPr>
          <w:rStyle w:val="NoneB"/>
        </w:rPr>
        <w:t>https://www.nrc.gov/reading-rm/basic-ref/students/history-101/too-cheap-to-meter.html.</w:t>
      </w:r>
    </w:p>
  </w:footnote>
  <w:footnote w:id="8">
    <w:p w:rsidR="00E36129" w:rsidRPr="0028773F" w14:paraId="1C6B1F5C" w14:textId="77777777">
      <w:pPr>
        <w:pStyle w:val="FootnoteText"/>
        <w:spacing w:after="120"/>
      </w:pPr>
      <w:r w:rsidRPr="0028773F">
        <w:rPr>
          <w:rStyle w:val="None"/>
          <w:vertAlign w:val="superscript"/>
        </w:rPr>
        <w:footnoteRef/>
      </w:r>
      <w:r w:rsidRPr="0028773F">
        <w:rPr>
          <w:rStyle w:val="NoneB"/>
        </w:rPr>
        <w:t xml:space="preserve"> </w:t>
      </w:r>
      <w:r w:rsidRPr="0028773F">
        <w:rPr>
          <w:rStyle w:val="None"/>
          <w:i/>
          <w:iCs/>
        </w:rPr>
        <w:t xml:space="preserve">See, e.g., </w:t>
      </w:r>
      <w:r w:rsidRPr="0028773F">
        <w:rPr>
          <w:rStyle w:val="NoneB"/>
        </w:rPr>
        <w:t>H.B. 6.</w:t>
      </w:r>
    </w:p>
  </w:footnote>
  <w:footnote w:id="9">
    <w:p w:rsidR="00E36129" w:rsidRPr="0028773F" w14:paraId="549ECA50" w14:textId="3B703637">
      <w:pPr>
        <w:pStyle w:val="BodyA"/>
        <w:spacing w:after="120"/>
        <w:rPr>
          <w:rFonts w:cs="Times New Roman"/>
          <w:sz w:val="20"/>
          <w:szCs w:val="20"/>
        </w:rPr>
      </w:pPr>
      <w:r w:rsidRPr="0028773F">
        <w:rPr>
          <w:rStyle w:val="None"/>
          <w:rFonts w:cs="Times New Roman"/>
          <w:sz w:val="20"/>
          <w:szCs w:val="20"/>
          <w:vertAlign w:val="superscript"/>
        </w:rPr>
        <w:footnoteRef/>
      </w:r>
      <w:r w:rsidRPr="0028773F">
        <w:rPr>
          <w:rStyle w:val="None"/>
          <w:rFonts w:cs="Times New Roman"/>
          <w:sz w:val="20"/>
          <w:szCs w:val="20"/>
        </w:rPr>
        <w:t xml:space="preserve"> </w:t>
      </w:r>
      <w:r w:rsidRPr="0028773F">
        <w:rPr>
          <w:rStyle w:val="None"/>
          <w:rFonts w:cs="Times New Roman"/>
          <w:sz w:val="20"/>
          <w:szCs w:val="20"/>
          <w:lang w:val="en-US"/>
        </w:rPr>
        <w:t>For example, HB 6 provided subsidies through 2030 for the Ohio Valley Electric Corp.</w:t>
      </w:r>
      <w:r w:rsidRPr="0028773F" w:rsidR="00D64BC9">
        <w:rPr>
          <w:rStyle w:val="None"/>
          <w:rFonts w:cs="Times New Roman"/>
          <w:sz w:val="20"/>
          <w:szCs w:val="20"/>
          <w:lang w:val="en-US"/>
        </w:rPr>
        <w:t xml:space="preserve"> </w:t>
      </w:r>
      <w:r w:rsidRPr="0028773F">
        <w:rPr>
          <w:rStyle w:val="None"/>
          <w:rFonts w:cs="Times New Roman"/>
          <w:sz w:val="20"/>
          <w:szCs w:val="20"/>
          <w:lang w:val="en-US"/>
        </w:rPr>
        <w:t>Ohio residential consumers currently pay up to $1.50 per month for the subsidy.</w:t>
      </w:r>
      <w:r w:rsidRPr="0028773F" w:rsidR="00D64BC9">
        <w:rPr>
          <w:rStyle w:val="None"/>
          <w:rFonts w:cs="Times New Roman"/>
          <w:sz w:val="20"/>
          <w:szCs w:val="20"/>
          <w:lang w:val="en-US"/>
        </w:rPr>
        <w:t xml:space="preserve"> </w:t>
      </w:r>
      <w:r w:rsidRPr="0028773F">
        <w:rPr>
          <w:rStyle w:val="None"/>
          <w:rFonts w:cs="Times New Roman"/>
          <w:sz w:val="20"/>
          <w:szCs w:val="20"/>
          <w:lang w:val="en-US"/>
        </w:rPr>
        <w:t>The OVEC payments continue to substantially fail the cost/benefit standards on a long-term basis.</w:t>
      </w:r>
    </w:p>
  </w:footnote>
  <w:footnote w:id="10">
    <w:p w:rsidR="00E36129" w:rsidRPr="0028773F" w14:paraId="6AC43A3F" w14:textId="77777777">
      <w:pPr>
        <w:pStyle w:val="BodyA"/>
        <w:spacing w:after="120"/>
        <w:rPr>
          <w:rFonts w:cs="Times New Roman"/>
          <w:sz w:val="20"/>
          <w:szCs w:val="20"/>
        </w:rPr>
      </w:pPr>
      <w:r w:rsidRPr="0028773F">
        <w:rPr>
          <w:rStyle w:val="None"/>
          <w:rFonts w:cs="Times New Roman"/>
          <w:sz w:val="20"/>
          <w:szCs w:val="20"/>
          <w:vertAlign w:val="superscript"/>
        </w:rPr>
        <w:footnoteRef/>
      </w:r>
      <w:r w:rsidRPr="0028773F">
        <w:rPr>
          <w:rStyle w:val="None"/>
          <w:rFonts w:cs="Times New Roman"/>
          <w:sz w:val="20"/>
          <w:szCs w:val="20"/>
        </w:rPr>
        <w:t xml:space="preserve"> </w:t>
      </w:r>
      <w:r w:rsidRPr="0028773F">
        <w:rPr>
          <w:rStyle w:val="None"/>
          <w:rFonts w:cs="Times New Roman"/>
          <w:sz w:val="20"/>
          <w:szCs w:val="20"/>
          <w:lang w:val="en-US"/>
        </w:rPr>
        <w:t xml:space="preserve">These include Distribution Improvement Riders for each electric distribution company and Capital Expenditure Programs for all of the gas distribution companies.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79420D"/>
    <w:multiLevelType w:val="hybridMultilevel"/>
    <w:tmpl w:val="2B3AA03C"/>
    <w:numStyleLink w:val="ImportedStyle1"/>
  </w:abstractNum>
  <w:abstractNum w:abstractNumId="1">
    <w:nsid w:val="0C1B24F8"/>
    <w:multiLevelType w:val="hybridMultilevel"/>
    <w:tmpl w:val="CE460148"/>
    <w:styleLink w:val="ImportedStyle10"/>
    <w:lvl w:ilvl="0">
      <w:start w:val="1"/>
      <w:numFmt w:val="upperLetter"/>
      <w:lvlText w:val="%1."/>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88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04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4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200" w:hanging="6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1DA74E8B"/>
    <w:multiLevelType w:val="hybridMultilevel"/>
    <w:tmpl w:val="46884EE8"/>
    <w:numStyleLink w:val="Bullet"/>
  </w:abstractNum>
  <w:abstractNum w:abstractNumId="3">
    <w:nsid w:val="24A92FD5"/>
    <w:multiLevelType w:val="hybridMultilevel"/>
    <w:tmpl w:val="681A360E"/>
    <w:styleLink w:val="ImportedStyle2"/>
    <w:lvl w:ilvl="0">
      <w:start w:val="1"/>
      <w:numFmt w:val="decimal"/>
      <w:lvlText w:val="%1."/>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360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76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64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2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920" w:hanging="6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42BE2771"/>
    <w:multiLevelType w:val="hybridMultilevel"/>
    <w:tmpl w:val="CE460148"/>
    <w:numStyleLink w:val="ImportedStyle10"/>
  </w:abstractNum>
  <w:abstractNum w:abstractNumId="5">
    <w:nsid w:val="43107AE2"/>
    <w:multiLevelType w:val="hybridMultilevel"/>
    <w:tmpl w:val="2B3AA03C"/>
    <w:styleLink w:val="ImportedStyle1"/>
    <w:lvl w:ilvl="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4E821D6D"/>
    <w:multiLevelType w:val="hybridMultilevel"/>
    <w:tmpl w:val="681A360E"/>
    <w:numStyleLink w:val="ImportedStyle2"/>
  </w:abstractNum>
  <w:abstractNum w:abstractNumId="7">
    <w:nsid w:val="5C1D0CE3"/>
    <w:multiLevelType w:val="hybridMultilevel"/>
    <w:tmpl w:val="46884EE8"/>
    <w:styleLink w:val="Bullet"/>
    <w:lvl w:ilvl="0">
      <w:start w:val="1"/>
      <w:numFmt w:val="bullet"/>
      <w:lvlText w:val="•"/>
      <w:lvlJc w:val="left"/>
      <w:pPr>
        <w:ind w:left="1440" w:hanging="720"/>
      </w:pPr>
      <w:rPr>
        <w:rFonts w:ascii="Times Roman" w:eastAsia="Times Roman" w:hAnsi="Times Roman" w:cs="Times Roman"/>
        <w:b w:val="0"/>
        <w:bCs w:val="0"/>
        <w:i w:val="0"/>
        <w:iCs w:val="0"/>
        <w:caps w:val="0"/>
        <w:smallCaps w:val="0"/>
        <w:strike w:val="0"/>
        <w:dstrike w:val="0"/>
        <w:outline w:val="0"/>
        <w:emboss w:val="0"/>
        <w:imprint w:val="0"/>
        <w:color w:val="212529"/>
        <w:spacing w:val="0"/>
        <w:w w:val="100"/>
        <w:kern w:val="0"/>
        <w:position w:val="0"/>
        <w:highlight w:val="none"/>
        <w:vertAlign w:val="baseline"/>
      </w:rPr>
    </w:lvl>
    <w:lvl w:ilvl="1">
      <w:start w:val="1"/>
      <w:numFmt w:val="bullet"/>
      <w:lvlText w:val="•"/>
      <w:lvlJc w:val="left"/>
      <w:pPr>
        <w:ind w:left="1535" w:hanging="595"/>
      </w:pPr>
      <w:rPr>
        <w:rFonts w:ascii="Times Roman" w:eastAsia="Times Roman" w:hAnsi="Times Roman" w:cs="Times Roman"/>
        <w:b w:val="0"/>
        <w:bCs w:val="0"/>
        <w:i w:val="0"/>
        <w:iCs w:val="0"/>
        <w:caps w:val="0"/>
        <w:smallCaps w:val="0"/>
        <w:strike w:val="0"/>
        <w:dstrike w:val="0"/>
        <w:outline w:val="0"/>
        <w:emboss w:val="0"/>
        <w:imprint w:val="0"/>
        <w:color w:val="212529"/>
        <w:spacing w:val="0"/>
        <w:w w:val="100"/>
        <w:kern w:val="0"/>
        <w:position w:val="0"/>
        <w:highlight w:val="none"/>
        <w:vertAlign w:val="baseline"/>
      </w:rPr>
    </w:lvl>
    <w:lvl w:ilvl="2">
      <w:start w:val="1"/>
      <w:numFmt w:val="bullet"/>
      <w:lvlText w:val="•"/>
      <w:lvlJc w:val="left"/>
      <w:pPr>
        <w:ind w:left="1755" w:hanging="595"/>
      </w:pPr>
      <w:rPr>
        <w:rFonts w:ascii="Times Roman" w:eastAsia="Times Roman" w:hAnsi="Times Roman" w:cs="Times Roman"/>
        <w:b w:val="0"/>
        <w:bCs w:val="0"/>
        <w:i w:val="0"/>
        <w:iCs w:val="0"/>
        <w:caps w:val="0"/>
        <w:smallCaps w:val="0"/>
        <w:strike w:val="0"/>
        <w:dstrike w:val="0"/>
        <w:outline w:val="0"/>
        <w:emboss w:val="0"/>
        <w:imprint w:val="0"/>
        <w:color w:val="212529"/>
        <w:spacing w:val="0"/>
        <w:w w:val="100"/>
        <w:kern w:val="0"/>
        <w:position w:val="0"/>
        <w:highlight w:val="none"/>
        <w:vertAlign w:val="baseline"/>
      </w:rPr>
    </w:lvl>
    <w:lvl w:ilvl="3">
      <w:start w:val="1"/>
      <w:numFmt w:val="bullet"/>
      <w:lvlText w:val="•"/>
      <w:lvlJc w:val="left"/>
      <w:pPr>
        <w:ind w:left="1975" w:hanging="595"/>
      </w:pPr>
      <w:rPr>
        <w:rFonts w:ascii="Times Roman" w:eastAsia="Times Roman" w:hAnsi="Times Roman" w:cs="Times Roman"/>
        <w:b w:val="0"/>
        <w:bCs w:val="0"/>
        <w:i w:val="0"/>
        <w:iCs w:val="0"/>
        <w:caps w:val="0"/>
        <w:smallCaps w:val="0"/>
        <w:strike w:val="0"/>
        <w:dstrike w:val="0"/>
        <w:outline w:val="0"/>
        <w:emboss w:val="0"/>
        <w:imprint w:val="0"/>
        <w:color w:val="212529"/>
        <w:spacing w:val="0"/>
        <w:w w:val="100"/>
        <w:kern w:val="0"/>
        <w:position w:val="0"/>
        <w:highlight w:val="none"/>
        <w:vertAlign w:val="baseline"/>
      </w:rPr>
    </w:lvl>
    <w:lvl w:ilvl="4">
      <w:start w:val="1"/>
      <w:numFmt w:val="bullet"/>
      <w:lvlText w:val="•"/>
      <w:lvlJc w:val="left"/>
      <w:pPr>
        <w:ind w:left="2195" w:hanging="595"/>
      </w:pPr>
      <w:rPr>
        <w:rFonts w:ascii="Times Roman" w:eastAsia="Times Roman" w:hAnsi="Times Roman" w:cs="Times Roman"/>
        <w:b w:val="0"/>
        <w:bCs w:val="0"/>
        <w:i w:val="0"/>
        <w:iCs w:val="0"/>
        <w:caps w:val="0"/>
        <w:smallCaps w:val="0"/>
        <w:strike w:val="0"/>
        <w:dstrike w:val="0"/>
        <w:outline w:val="0"/>
        <w:emboss w:val="0"/>
        <w:imprint w:val="0"/>
        <w:color w:val="212529"/>
        <w:spacing w:val="0"/>
        <w:w w:val="100"/>
        <w:kern w:val="0"/>
        <w:position w:val="0"/>
        <w:highlight w:val="none"/>
        <w:vertAlign w:val="baseline"/>
      </w:rPr>
    </w:lvl>
    <w:lvl w:ilvl="5">
      <w:start w:val="1"/>
      <w:numFmt w:val="bullet"/>
      <w:lvlText w:val="•"/>
      <w:lvlJc w:val="left"/>
      <w:pPr>
        <w:ind w:left="2415" w:hanging="595"/>
      </w:pPr>
      <w:rPr>
        <w:rFonts w:ascii="Times Roman" w:eastAsia="Times Roman" w:hAnsi="Times Roman" w:cs="Times Roman"/>
        <w:b w:val="0"/>
        <w:bCs w:val="0"/>
        <w:i w:val="0"/>
        <w:iCs w:val="0"/>
        <w:caps w:val="0"/>
        <w:smallCaps w:val="0"/>
        <w:strike w:val="0"/>
        <w:dstrike w:val="0"/>
        <w:outline w:val="0"/>
        <w:emboss w:val="0"/>
        <w:imprint w:val="0"/>
        <w:color w:val="212529"/>
        <w:spacing w:val="0"/>
        <w:w w:val="100"/>
        <w:kern w:val="0"/>
        <w:position w:val="0"/>
        <w:highlight w:val="none"/>
        <w:vertAlign w:val="baseline"/>
      </w:rPr>
    </w:lvl>
    <w:lvl w:ilvl="6">
      <w:start w:val="1"/>
      <w:numFmt w:val="bullet"/>
      <w:lvlText w:val="•"/>
      <w:lvlJc w:val="left"/>
      <w:pPr>
        <w:ind w:left="2635" w:hanging="595"/>
      </w:pPr>
      <w:rPr>
        <w:rFonts w:ascii="Times Roman" w:eastAsia="Times Roman" w:hAnsi="Times Roman" w:cs="Times Roman"/>
        <w:b w:val="0"/>
        <w:bCs w:val="0"/>
        <w:i w:val="0"/>
        <w:iCs w:val="0"/>
        <w:caps w:val="0"/>
        <w:smallCaps w:val="0"/>
        <w:strike w:val="0"/>
        <w:dstrike w:val="0"/>
        <w:outline w:val="0"/>
        <w:emboss w:val="0"/>
        <w:imprint w:val="0"/>
        <w:color w:val="212529"/>
        <w:spacing w:val="0"/>
        <w:w w:val="100"/>
        <w:kern w:val="0"/>
        <w:position w:val="0"/>
        <w:highlight w:val="none"/>
        <w:vertAlign w:val="baseline"/>
      </w:rPr>
    </w:lvl>
    <w:lvl w:ilvl="7">
      <w:start w:val="1"/>
      <w:numFmt w:val="bullet"/>
      <w:lvlText w:val="•"/>
      <w:lvlJc w:val="left"/>
      <w:pPr>
        <w:ind w:left="2855" w:hanging="595"/>
      </w:pPr>
      <w:rPr>
        <w:rFonts w:ascii="Times Roman" w:eastAsia="Times Roman" w:hAnsi="Times Roman" w:cs="Times Roman"/>
        <w:b w:val="0"/>
        <w:bCs w:val="0"/>
        <w:i w:val="0"/>
        <w:iCs w:val="0"/>
        <w:caps w:val="0"/>
        <w:smallCaps w:val="0"/>
        <w:strike w:val="0"/>
        <w:dstrike w:val="0"/>
        <w:outline w:val="0"/>
        <w:emboss w:val="0"/>
        <w:imprint w:val="0"/>
        <w:color w:val="212529"/>
        <w:spacing w:val="0"/>
        <w:w w:val="100"/>
        <w:kern w:val="0"/>
        <w:position w:val="0"/>
        <w:highlight w:val="none"/>
        <w:vertAlign w:val="baseline"/>
      </w:rPr>
    </w:lvl>
    <w:lvl w:ilvl="8">
      <w:start w:val="1"/>
      <w:numFmt w:val="bullet"/>
      <w:lvlText w:val="•"/>
      <w:lvlJc w:val="left"/>
      <w:pPr>
        <w:ind w:left="3075" w:hanging="595"/>
      </w:pPr>
      <w:rPr>
        <w:rFonts w:ascii="Times Roman" w:eastAsia="Times Roman" w:hAnsi="Times Roman" w:cs="Times Roman"/>
        <w:b w:val="0"/>
        <w:bCs w:val="0"/>
        <w:i w:val="0"/>
        <w:iCs w:val="0"/>
        <w:caps w:val="0"/>
        <w:smallCaps w:val="0"/>
        <w:strike w:val="0"/>
        <w:dstrike w:val="0"/>
        <w:outline w:val="0"/>
        <w:emboss w:val="0"/>
        <w:imprint w:val="0"/>
        <w:color w:val="212529"/>
        <w:spacing w:val="0"/>
        <w:w w:val="100"/>
        <w:kern w:val="0"/>
        <w:position w:val="0"/>
        <w:highlight w:val="none"/>
        <w:vertAlign w:val="baseline"/>
      </w:rPr>
    </w:lvl>
  </w:abstractNum>
  <w:num w:numId="1">
    <w:abstractNumId w:val="5"/>
  </w:num>
  <w:num w:numId="2">
    <w:abstractNumId w:val="0"/>
  </w:num>
  <w:num w:numId="3">
    <w:abstractNumId w:val="7"/>
  </w:num>
  <w:num w:numId="4">
    <w:abstractNumId w:val="2"/>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displayBackgroundShap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129"/>
    <w:rsid w:val="000F4C1D"/>
    <w:rsid w:val="001054B8"/>
    <w:rsid w:val="00133078"/>
    <w:rsid w:val="0028773F"/>
    <w:rsid w:val="004B08EE"/>
    <w:rsid w:val="00586094"/>
    <w:rsid w:val="0066661B"/>
    <w:rsid w:val="006C48D1"/>
    <w:rsid w:val="00720DA0"/>
    <w:rsid w:val="007B24ED"/>
    <w:rsid w:val="00D62367"/>
    <w:rsid w:val="00D64BC9"/>
    <w:rsid w:val="00DE563F"/>
    <w:rsid w:val="00E36129"/>
    <w:rsid w:val="00FB40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B4033"/>
    <w:pPr>
      <w:keepNext/>
      <w:keepLines/>
      <w:spacing w:after="240"/>
      <w:ind w:left="720" w:hanging="720"/>
      <w:outlineLvl w:val="0"/>
    </w:pPr>
    <w:rPr>
      <w:rFonts w:ascii="Times New Roman Bold" w:hAnsi="Times New Roman Bold" w:eastAsiaTheme="majorEastAsia" w:cstheme="majorBidi"/>
      <w:b/>
      <w: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noFill/>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rPr>
      <w:rFonts w:cs="Arial Unicode MS"/>
      <w:color w:val="000000"/>
      <w:sz w:val="24"/>
      <w:szCs w:val="24"/>
      <w:u w:color="000000"/>
      <w:lang w:val="de-DE"/>
      <w14:textOutline w14:w="12700">
        <w14:noFill/>
        <w14:miter w14:lim="400000"/>
      </w14:textOutline>
    </w:rPr>
  </w:style>
  <w:style w:type="paragraph" w:customStyle="1" w:styleId="BodyAA">
    <w:name w:val="Body A A"/>
    <w:rPr>
      <w:rFonts w:ascii="Helvetica Neue" w:eastAsia="Helvetica Neue" w:hAnsi="Helvetica Neue" w:cs="Helvetica Neue"/>
      <w:color w:val="000000"/>
      <w:sz w:val="22"/>
      <w:szCs w:val="22"/>
      <w:u w:color="000000"/>
      <w14:textOutline w14:w="12700">
        <w14:noFill/>
        <w14:miter w14:lim="400000"/>
      </w14:textOutline>
    </w:rPr>
  </w:style>
  <w:style w:type="paragraph" w:customStyle="1" w:styleId="Heading">
    <w:name w:val="Heading"/>
    <w:next w:val="BodyAA"/>
    <w:pPr>
      <w:keepNext/>
      <w:outlineLvl w:val="0"/>
    </w:pPr>
    <w:rPr>
      <w:rFonts w:ascii="Helvetica Neue" w:hAnsi="Helvetica Neue" w:cs="Arial Unicode MS"/>
      <w:b/>
      <w:bCs/>
      <w:color w:val="000000"/>
      <w:sz w:val="36"/>
      <w:szCs w:val="36"/>
      <w:u w:color="000000"/>
      <w14:textOutline w14:w="12700">
        <w14:noFill/>
        <w14:miter w14:lim="400000"/>
      </w14:textOutline>
    </w:rPr>
  </w:style>
  <w:style w:type="numbering" w:customStyle="1" w:styleId="ImportedStyle1">
    <w:name w:val="Imported Style 1"/>
    <w:pPr>
      <w:numPr>
        <w:numId w:val="1"/>
      </w:numPr>
    </w:pPr>
  </w:style>
  <w:style w:type="character" w:customStyle="1" w:styleId="NoneB">
    <w:name w:val="None B"/>
    <w:rPr>
      <w:lang w:val="en-US"/>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noFill/>
        <w14:miter w14:lim="400000"/>
      </w14:textOutline>
    </w:rPr>
  </w:style>
  <w:style w:type="paragraph" w:styleId="FootnoteText">
    <w:name w:val="footnote text"/>
    <w:rPr>
      <w:rFonts w:eastAsia="Times New Roman"/>
      <w:color w:val="000000"/>
      <w:u w:color="000000"/>
    </w:rPr>
  </w:style>
  <w:style w:type="numbering" w:customStyle="1" w:styleId="Bullet">
    <w:name w:val="Bullet"/>
    <w:pPr>
      <w:numPr>
        <w:numId w:val="3"/>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outline w:val="0"/>
      <w:color w:val="000000"/>
      <w:u w:color="000000"/>
      <w:shd w:val="clear" w:color="auto" w:fill="FFFFFF"/>
    </w:rPr>
  </w:style>
  <w:style w:type="character" w:customStyle="1" w:styleId="Hyperlink1">
    <w:name w:val="Hyperlink.1"/>
    <w:basedOn w:val="None"/>
    <w:rPr>
      <w:outline w:val="0"/>
      <w:color w:val="000000"/>
      <w:u w:val="none" w:color="000000"/>
      <w:shd w:val="clear" w:color="auto" w:fill="FFFFFF"/>
    </w:rPr>
  </w:style>
  <w:style w:type="character" w:customStyle="1" w:styleId="Hyperlink2">
    <w:name w:val="Hyperlink.2"/>
    <w:basedOn w:val="None"/>
    <w:rPr>
      <w:rFonts w:ascii="Times New Roman" w:eastAsia="Times New Roman" w:hAnsi="Times New Roman" w:cs="Times New Roman"/>
      <w:sz w:val="20"/>
      <w:szCs w:val="20"/>
      <w:u w:val="single"/>
    </w:rPr>
  </w:style>
  <w:style w:type="paragraph" w:customStyle="1" w:styleId="Footnote">
    <w:name w:val="Footnote"/>
    <w:rPr>
      <w:rFonts w:ascii="Helvetica Neue" w:eastAsia="Helvetica Neue" w:hAnsi="Helvetica Neue" w:cs="Helvetica Neue"/>
      <w:color w:val="000000"/>
      <w:sz w:val="22"/>
      <w:szCs w:val="22"/>
      <w:u w:color="000000"/>
      <w14:textOutline w14:w="12700">
        <w14:noFill/>
        <w14:miter w14:lim="400000"/>
      </w14:textOutline>
    </w:rPr>
  </w:style>
  <w:style w:type="numbering" w:customStyle="1" w:styleId="ImportedStyle10">
    <w:name w:val="Imported Style 1.0"/>
    <w:pPr>
      <w:numPr>
        <w:numId w:val="5"/>
      </w:numPr>
    </w:pPr>
  </w:style>
  <w:style w:type="numbering" w:customStyle="1" w:styleId="ImportedStyle2">
    <w:name w:val="Imported Style 2"/>
    <w:pPr>
      <w:numPr>
        <w:numId w:val="7"/>
      </w:numPr>
    </w:pPr>
  </w:style>
  <w:style w:type="paragraph" w:styleId="BodyTextIndent3">
    <w:name w:val="Body Text Indent 3"/>
    <w:pPr>
      <w:spacing w:line="480" w:lineRule="atLeast"/>
      <w:ind w:firstLine="720"/>
    </w:pPr>
    <w:rPr>
      <w:rFonts w:cs="Arial Unicode MS"/>
      <w:color w:val="000000"/>
      <w:sz w:val="24"/>
      <w:szCs w:val="24"/>
      <w:u w:color="000000"/>
    </w:rPr>
  </w:style>
  <w:style w:type="paragraph" w:customStyle="1" w:styleId="Body">
    <w:name w:val="Body"/>
    <w:rPr>
      <w:rFonts w:eastAsia="Times New Roman"/>
      <w:color w:val="000000"/>
      <w:sz w:val="24"/>
      <w:szCs w:val="24"/>
      <w:u w:color="000000"/>
      <w14:textOutline w14:w="0">
        <w14:noFill/>
        <w14:bevel/>
      </w14:textOutline>
    </w:rPr>
  </w:style>
  <w:style w:type="character" w:customStyle="1" w:styleId="Hyperlink3">
    <w:name w:val="Hyperlink.3"/>
    <w:basedOn w:val="Hyperlink"/>
    <w:rPr>
      <w:outline w:val="0"/>
      <w:color w:val="0000FF"/>
      <w:u w:val="single" w:color="0000FF"/>
    </w:rPr>
  </w:style>
  <w:style w:type="paragraph" w:styleId="CommentSubject">
    <w:name w:val="annotation subject"/>
    <w:next w:val="CommentText"/>
    <w:rPr>
      <w:rFonts w:eastAsia="Times New Roman"/>
      <w:b/>
      <w:bCs/>
      <w:color w:val="000000"/>
      <w:u w:color="000000"/>
    </w:rPr>
  </w:style>
  <w:style w:type="paragraph" w:styleId="CommentText">
    <w:name w:val="annotation text"/>
    <w:rPr>
      <w:rFonts w:eastAsia="Times New Roman"/>
      <w:color w:val="000000"/>
      <w:u w:color="000000"/>
    </w:rPr>
  </w:style>
  <w:style w:type="paragraph" w:styleId="BodyText">
    <w:name w:val="Body Text"/>
    <w:pPr>
      <w:spacing w:after="120"/>
    </w:pPr>
    <w:rPr>
      <w:rFonts w:eastAsia="Times New Roman"/>
      <w:color w:val="000000"/>
      <w:sz w:val="24"/>
      <w:szCs w:val="24"/>
      <w:u w:color="000000"/>
    </w:rPr>
  </w:style>
  <w:style w:type="character" w:customStyle="1" w:styleId="Hyperlink4">
    <w:name w:val="Hyperlink.4"/>
    <w:basedOn w:val="Hyperlink3"/>
    <w:rPr>
      <w:rFonts w:ascii="Times New Roman" w:eastAsia="Times New Roman" w:hAnsi="Times New Roman" w:cs="Times New Roman"/>
      <w:outline w:val="0"/>
      <w:color w:val="0000FF"/>
      <w:u w:val="single" w:color="0000FF"/>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B4033"/>
    <w:pPr>
      <w:pBdr>
        <w:top w:val="none" w:sz="0" w:space="0" w:color="auto"/>
        <w:left w:val="none" w:sz="0" w:space="0" w:color="auto"/>
        <w:bottom w:val="none" w:sz="0" w:space="0" w:color="auto"/>
        <w:right w:val="none" w:sz="0" w:space="0" w:color="auto"/>
        <w:between w:val="none" w:sz="0" w:space="0" w:color="auto"/>
        <w:bar w:val="none" w:sz="0" w:space="0" w:color="auto"/>
      </w:pBdr>
    </w:pPr>
    <w:rPr>
      <w:sz w:val="24"/>
      <w:szCs w:val="24"/>
    </w:rPr>
  </w:style>
  <w:style w:type="character" w:customStyle="1" w:styleId="Heading1Char">
    <w:name w:val="Heading 1 Char"/>
    <w:basedOn w:val="DefaultParagraphFont"/>
    <w:link w:val="Heading1"/>
    <w:uiPriority w:val="9"/>
    <w:rsid w:val="00FB4033"/>
    <w:rPr>
      <w:rFonts w:ascii="Times New Roman Bold" w:hAnsi="Times New Roman Bold" w:eastAsiaTheme="majorEastAsia" w:cstheme="majorBidi"/>
      <w:b/>
      <w:caps/>
      <w:sz w:val="24"/>
      <w:szCs w:val="32"/>
    </w:rPr>
  </w:style>
  <w:style w:type="character" w:customStyle="1" w:styleId="UnresolvedMention1">
    <w:name w:val="Unresolved Mention1"/>
    <w:basedOn w:val="DefaultParagraphFont"/>
    <w:uiPriority w:val="99"/>
    <w:semiHidden/>
    <w:unhideWhenUsed/>
    <w:rsid w:val="00DE5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hn.jones@ohioAGO.gov" TargetMode="External" /><Relationship Id="rId11" Type="http://schemas.openxmlformats.org/officeDocument/2006/relationships/hyperlink" Target="mailto:jmchugh@painesville.com" TargetMode="External" /><Relationship Id="rId12" Type="http://schemas.openxmlformats.org/officeDocument/2006/relationships/hyperlink" Target="mailto:dlewis@painesville.com" TargetMode="External" /><Relationship Id="rId13" Type="http://schemas.openxmlformats.org/officeDocument/2006/relationships/hyperlink" Target="mailto:ldalessandris@firstenergycorp.com" TargetMode="External" /><Relationship Id="rId14" Type="http://schemas.openxmlformats.org/officeDocument/2006/relationships/hyperlink" Target="mailto:rocco.dascenzo@duke-energy.com" TargetMode="External" /><Relationship Id="rId15" Type="http://schemas.openxmlformats.org/officeDocument/2006/relationships/hyperlink" Target="mailto:jeanne.kingery@duke-energy.com" TargetMode="External" /><Relationship Id="rId16" Type="http://schemas.openxmlformats.org/officeDocument/2006/relationships/hyperlink" Target="mailto:larisa.vaysman@duke-energy.com" TargetMode="External" /><Relationship Id="rId17" Type="http://schemas.openxmlformats.org/officeDocument/2006/relationships/hyperlink" Target="mailto:elyse.akhbari@duke-energy.com" TargetMode="External" /><Relationship Id="rId18" Type="http://schemas.openxmlformats.org/officeDocument/2006/relationships/hyperlink" Target="mailto:stnourse@aep.com" TargetMode="External" /><Relationship Id="rId19" Type="http://schemas.openxmlformats.org/officeDocument/2006/relationships/hyperlink" Target="mailto:mjschuler@aep.com" TargetMode="External" /><Relationship Id="rId2" Type="http://schemas.openxmlformats.org/officeDocument/2006/relationships/settings" Target="settings.xml" /><Relationship Id="rId20" Type="http://schemas.openxmlformats.org/officeDocument/2006/relationships/hyperlink" Target="mailto:khelfrich@ohioec.org" TargetMode="External" /><Relationship Id="rId21" Type="http://schemas.openxmlformats.org/officeDocument/2006/relationships/hyperlink" Target="mailto:ikaleps@ohioec.org" TargetMode="External" /><Relationship Id="rId22" Type="http://schemas.openxmlformats.org/officeDocument/2006/relationships/hyperlink" Target="mailto:talexander@beneschlaw.com" TargetMode="External" /><Relationship Id="rId23" Type="http://schemas.openxmlformats.org/officeDocument/2006/relationships/hyperlink" Target="mailto:slesser@beneschlaw.com" TargetMode="External" /><Relationship Id="rId24" Type="http://schemas.openxmlformats.org/officeDocument/2006/relationships/hyperlink" Target="mailto:dparram@bricker.com" TargetMode="External" /><Relationship Id="rId25" Type="http://schemas.openxmlformats.org/officeDocument/2006/relationships/hyperlink" Target="mailto:rmains@bricker.com" TargetMode="External" /><Relationship Id="rId26" Type="http://schemas.openxmlformats.org/officeDocument/2006/relationships/hyperlink" Target="mailto:bojko@carpenterlipps.com" TargetMode="External" /><Relationship Id="rId27" Type="http://schemas.openxmlformats.org/officeDocument/2006/relationships/hyperlink" Target="mailto:wygonski@carpenterlipps.com" TargetMode="External" /><Relationship Id="rId28" Type="http://schemas.openxmlformats.org/officeDocument/2006/relationships/hyperlink" Target="mailto:christopher.hollon@aes.com" TargetMode="External" /><Relationship Id="rId29" Type="http://schemas.openxmlformats.org/officeDocument/2006/relationships/hyperlink" Target="mailto:knordstrom@theOEC.org" TargetMode="External" /><Relationship Id="rId3" Type="http://schemas.openxmlformats.org/officeDocument/2006/relationships/webSettings" Target="webSettings.xml" /><Relationship Id="rId30" Type="http://schemas.openxmlformats.org/officeDocument/2006/relationships/hyperlink" Target="mailto:ctavenor@theOEC.org" TargetMode="External" /><Relationship Id="rId31" Type="http://schemas.openxmlformats.org/officeDocument/2006/relationships/footer" Target="footer1.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energy.gov/eere/wap/weatherization-assistance-program" TargetMode="External" /><Relationship Id="rId7" Type="http://schemas.openxmlformats.org/officeDocument/2006/relationships/hyperlink" Target="https://www.energy.gov/eere/wipo/energy-efficiency-and-conservation-block-grant-program" TargetMode="External" /><Relationship Id="rId8" Type="http://schemas.openxmlformats.org/officeDocument/2006/relationships/hyperlink" Target="mailto:william.michael@occ.ohio.gov" TargetMode="External" /><Relationship Id="rId9" Type="http://schemas.openxmlformats.org/officeDocument/2006/relationships/hyperlink" Target="mailto:connor.semple@occ.ohio.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csg.org/-The" TargetMode="External"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398AC-46BA-428A-9068-9FAB27EA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2022-09-12T18:23:31Z</dcterms:created>
  <dcterms:modified xsi:type="dcterms:W3CDTF">2022-09-12T18:23:31Z</dcterms:modified>
</cp:coreProperties>
</file>