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B4" w:rsidRDefault="00813472" w:rsidP="00813472">
      <w:pPr>
        <w:spacing w:after="0" w:line="240" w:lineRule="auto"/>
        <w:jc w:val="center"/>
        <w:rPr>
          <w:rFonts w:cs="Times New Roman"/>
          <w:b/>
          <w:sz w:val="26"/>
          <w:szCs w:val="26"/>
        </w:rPr>
      </w:pPr>
      <w:bookmarkStart w:id="0" w:name="_GoBack"/>
      <w:bookmarkEnd w:id="0"/>
      <w:r w:rsidRPr="00CD42AF">
        <w:rPr>
          <w:rFonts w:cs="Times New Roman"/>
          <w:b/>
          <w:sz w:val="26"/>
          <w:szCs w:val="26"/>
        </w:rPr>
        <w:t>BEFORE</w:t>
      </w:r>
    </w:p>
    <w:p w:rsidR="00813472" w:rsidRPr="00CD42AF" w:rsidRDefault="00813472" w:rsidP="00813472">
      <w:pPr>
        <w:spacing w:after="0" w:line="240" w:lineRule="auto"/>
        <w:jc w:val="center"/>
        <w:rPr>
          <w:rFonts w:cs="Times New Roman"/>
          <w:b/>
          <w:sz w:val="26"/>
          <w:szCs w:val="26"/>
        </w:rPr>
      </w:pPr>
      <w:r w:rsidRPr="00CD42AF">
        <w:rPr>
          <w:rFonts w:cs="Times New Roman"/>
          <w:b/>
          <w:sz w:val="26"/>
          <w:szCs w:val="26"/>
        </w:rPr>
        <w:t>THE PUBLIC UTILITIES COMMISSION OF OHIO</w:t>
      </w:r>
    </w:p>
    <w:p w:rsidR="00813472" w:rsidRPr="00CD42AF" w:rsidRDefault="00813472" w:rsidP="00813472">
      <w:pPr>
        <w:rPr>
          <w:rFonts w:cs="Times New Roman"/>
          <w:sz w:val="26"/>
          <w:szCs w:val="26"/>
        </w:rPr>
      </w:pPr>
    </w:p>
    <w:tbl>
      <w:tblPr>
        <w:tblW w:w="8762" w:type="dxa"/>
        <w:tblLook w:val="04A0" w:firstRow="1" w:lastRow="0" w:firstColumn="1" w:lastColumn="0" w:noHBand="0" w:noVBand="1"/>
      </w:tblPr>
      <w:tblGrid>
        <w:gridCol w:w="4518"/>
        <w:gridCol w:w="360"/>
        <w:gridCol w:w="3884"/>
      </w:tblGrid>
      <w:tr w:rsidR="00813472" w:rsidRPr="00CD42AF" w:rsidTr="000E73B4">
        <w:tc>
          <w:tcPr>
            <w:tcW w:w="4518" w:type="dxa"/>
            <w:shd w:val="clear" w:color="auto" w:fill="auto"/>
          </w:tcPr>
          <w:p w:rsidR="00813472" w:rsidRPr="0036080A" w:rsidRDefault="00813472" w:rsidP="00932FB0">
            <w:pPr>
              <w:spacing w:after="0" w:line="240" w:lineRule="auto"/>
              <w:rPr>
                <w:rFonts w:cs="Times New Roman"/>
                <w:sz w:val="26"/>
                <w:szCs w:val="26"/>
              </w:rPr>
            </w:pPr>
            <w:r w:rsidRPr="0036080A">
              <w:rPr>
                <w:rFonts w:cs="Times New Roman"/>
                <w:sz w:val="26"/>
                <w:szCs w:val="26"/>
              </w:rPr>
              <w:t xml:space="preserve">In the Matter of the Application of </w:t>
            </w:r>
            <w:r w:rsidR="00932FB0">
              <w:rPr>
                <w:rFonts w:cs="Times New Roman"/>
                <w:sz w:val="26"/>
                <w:szCs w:val="26"/>
              </w:rPr>
              <w:t>Vectren Energy Delivery of Ohio, Inc.</w:t>
            </w:r>
            <w:r w:rsidR="005B104E">
              <w:rPr>
                <w:rFonts w:cs="Times New Roman"/>
                <w:sz w:val="26"/>
                <w:szCs w:val="26"/>
              </w:rPr>
              <w:t xml:space="preserve"> </w:t>
            </w:r>
            <w:r w:rsidRPr="0036080A">
              <w:rPr>
                <w:rFonts w:cs="Times New Roman"/>
                <w:sz w:val="26"/>
                <w:szCs w:val="26"/>
              </w:rPr>
              <w:t xml:space="preserve">to </w:t>
            </w:r>
            <w:r w:rsidR="007174B3">
              <w:rPr>
                <w:rFonts w:cs="Times New Roman"/>
                <w:sz w:val="26"/>
                <w:szCs w:val="26"/>
              </w:rPr>
              <w:t xml:space="preserve">Implement a Capital Expenditure </w:t>
            </w:r>
            <w:r w:rsidR="007174B3" w:rsidRPr="0036080A">
              <w:rPr>
                <w:rFonts w:cs="Times New Roman"/>
                <w:sz w:val="26"/>
                <w:szCs w:val="26"/>
              </w:rPr>
              <w:t>Program</w:t>
            </w:r>
            <w:r w:rsidRPr="0036080A">
              <w:rPr>
                <w:rFonts w:cs="Times New Roman"/>
                <w:sz w:val="26"/>
                <w:szCs w:val="26"/>
              </w:rPr>
              <w:t>.</w:t>
            </w:r>
          </w:p>
        </w:tc>
        <w:tc>
          <w:tcPr>
            <w:tcW w:w="360" w:type="dxa"/>
          </w:tcPr>
          <w:p w:rsidR="007174B3" w:rsidRPr="00CD42AF" w:rsidRDefault="000E73B4" w:rsidP="000E73B4">
            <w:pPr>
              <w:pStyle w:val="NoSpacing"/>
              <w:rPr>
                <w:rFonts w:cs="Times New Roman"/>
                <w:sz w:val="26"/>
                <w:szCs w:val="26"/>
              </w:rPr>
            </w:pPr>
            <w:r>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r>
              <w:rPr>
                <w:rFonts w:cs="Times New Roman"/>
                <w:sz w:val="26"/>
                <w:szCs w:val="26"/>
              </w:rPr>
              <w:br/>
            </w:r>
          </w:p>
        </w:tc>
        <w:tc>
          <w:tcPr>
            <w:tcW w:w="3884" w:type="dxa"/>
            <w:shd w:val="clear" w:color="auto" w:fill="auto"/>
          </w:tcPr>
          <w:p w:rsidR="00813472" w:rsidRPr="00CD42AF" w:rsidRDefault="00813472" w:rsidP="000E73B4">
            <w:pPr>
              <w:spacing w:after="0" w:line="240" w:lineRule="auto"/>
              <w:ind w:left="-288"/>
              <w:rPr>
                <w:rFonts w:cs="Times New Roman"/>
                <w:sz w:val="26"/>
                <w:szCs w:val="26"/>
              </w:rPr>
            </w:pPr>
          </w:p>
          <w:p w:rsidR="00813472" w:rsidRPr="00CD42AF" w:rsidRDefault="00813472" w:rsidP="00932FB0">
            <w:pPr>
              <w:spacing w:after="0" w:line="240" w:lineRule="auto"/>
              <w:ind w:left="72"/>
              <w:rPr>
                <w:rFonts w:cs="Times New Roman"/>
                <w:sz w:val="26"/>
                <w:szCs w:val="26"/>
              </w:rPr>
            </w:pPr>
            <w:r w:rsidRPr="00CD42AF">
              <w:rPr>
                <w:rFonts w:cs="Times New Roman"/>
                <w:sz w:val="26"/>
                <w:szCs w:val="26"/>
              </w:rPr>
              <w:t xml:space="preserve">Case No. </w:t>
            </w:r>
            <w:r w:rsidR="00932FB0">
              <w:rPr>
                <w:rFonts w:cs="Times New Roman"/>
                <w:sz w:val="26"/>
                <w:szCs w:val="26"/>
              </w:rPr>
              <w:t>13-1890</w:t>
            </w:r>
            <w:r w:rsidRPr="00CD42AF">
              <w:rPr>
                <w:rFonts w:cs="Times New Roman"/>
                <w:sz w:val="26"/>
                <w:szCs w:val="26"/>
              </w:rPr>
              <w:t>-GA-</w:t>
            </w:r>
            <w:r w:rsidR="007174B3">
              <w:rPr>
                <w:rFonts w:cs="Times New Roman"/>
                <w:sz w:val="26"/>
                <w:szCs w:val="26"/>
              </w:rPr>
              <w:t>UNC</w:t>
            </w:r>
          </w:p>
        </w:tc>
      </w:tr>
      <w:tr w:rsidR="007174B3" w:rsidRPr="00CD42AF" w:rsidTr="000E73B4">
        <w:tc>
          <w:tcPr>
            <w:tcW w:w="4518" w:type="dxa"/>
            <w:shd w:val="clear" w:color="auto" w:fill="auto"/>
          </w:tcPr>
          <w:p w:rsidR="007174B3" w:rsidRPr="0036080A" w:rsidRDefault="007174B3" w:rsidP="005B104E">
            <w:pPr>
              <w:spacing w:after="0" w:line="240" w:lineRule="auto"/>
              <w:rPr>
                <w:rFonts w:cs="Times New Roman"/>
                <w:sz w:val="26"/>
                <w:szCs w:val="26"/>
              </w:rPr>
            </w:pPr>
            <w:r w:rsidRPr="0036080A">
              <w:rPr>
                <w:rFonts w:cs="Times New Roman"/>
                <w:sz w:val="26"/>
                <w:szCs w:val="26"/>
              </w:rPr>
              <w:t xml:space="preserve">In the Matter of the Application of </w:t>
            </w:r>
            <w:r w:rsidR="00932FB0">
              <w:rPr>
                <w:rFonts w:cs="Times New Roman"/>
                <w:sz w:val="26"/>
                <w:szCs w:val="26"/>
              </w:rPr>
              <w:t xml:space="preserve">Vectren Energy Delivery of Ohio, Inc. </w:t>
            </w:r>
            <w:r w:rsidR="005B104E">
              <w:rPr>
                <w:rFonts w:cs="Times New Roman"/>
                <w:sz w:val="26"/>
                <w:szCs w:val="26"/>
              </w:rPr>
              <w:t xml:space="preserve"> </w:t>
            </w:r>
            <w:r w:rsidRPr="0036080A">
              <w:rPr>
                <w:rFonts w:cs="Times New Roman"/>
                <w:sz w:val="26"/>
                <w:szCs w:val="26"/>
              </w:rPr>
              <w:t xml:space="preserve">for </w:t>
            </w:r>
            <w:r w:rsidR="005B104E" w:rsidRPr="0036080A">
              <w:rPr>
                <w:rFonts w:cs="Times New Roman"/>
                <w:sz w:val="26"/>
                <w:szCs w:val="26"/>
              </w:rPr>
              <w:t>A</w:t>
            </w:r>
            <w:r w:rsidR="005B104E">
              <w:rPr>
                <w:rFonts w:cs="Times New Roman"/>
                <w:sz w:val="26"/>
                <w:szCs w:val="26"/>
              </w:rPr>
              <w:t>uthority to</w:t>
            </w:r>
            <w:r w:rsidRPr="0036080A">
              <w:rPr>
                <w:rFonts w:cs="Times New Roman"/>
                <w:sz w:val="26"/>
                <w:szCs w:val="26"/>
              </w:rPr>
              <w:t xml:space="preserve"> </w:t>
            </w:r>
            <w:r>
              <w:rPr>
                <w:rFonts w:cs="Times New Roman"/>
                <w:sz w:val="26"/>
                <w:szCs w:val="26"/>
              </w:rPr>
              <w:t>Change Accounting Methods</w:t>
            </w:r>
            <w:r w:rsidRPr="0036080A">
              <w:rPr>
                <w:rFonts w:cs="Times New Roman"/>
                <w:sz w:val="26"/>
                <w:szCs w:val="26"/>
              </w:rPr>
              <w:t>.</w:t>
            </w:r>
          </w:p>
        </w:tc>
        <w:tc>
          <w:tcPr>
            <w:tcW w:w="360" w:type="dxa"/>
          </w:tcPr>
          <w:p w:rsidR="007174B3" w:rsidRPr="00CD42AF" w:rsidRDefault="007174B3" w:rsidP="000E73B4">
            <w:pPr>
              <w:spacing w:after="0" w:line="240" w:lineRule="auto"/>
              <w:rPr>
                <w:rFonts w:cs="Times New Roman"/>
                <w:sz w:val="26"/>
                <w:szCs w:val="26"/>
              </w:rPr>
            </w:pPr>
            <w:r w:rsidRPr="00CD42AF">
              <w:rPr>
                <w:rFonts w:cs="Times New Roman"/>
                <w:sz w:val="26"/>
                <w:szCs w:val="26"/>
              </w:rPr>
              <w:t>:</w:t>
            </w:r>
            <w:r w:rsidR="000E73B4">
              <w:rPr>
                <w:rFonts w:cs="Times New Roman"/>
                <w:sz w:val="26"/>
                <w:szCs w:val="26"/>
              </w:rPr>
              <w:br/>
              <w:t>:</w:t>
            </w:r>
            <w:r w:rsidR="000E73B4">
              <w:rPr>
                <w:rFonts w:cs="Times New Roman"/>
                <w:sz w:val="26"/>
                <w:szCs w:val="26"/>
              </w:rPr>
              <w:br/>
              <w:t>:</w:t>
            </w:r>
            <w:r w:rsidR="000E73B4">
              <w:rPr>
                <w:rFonts w:cs="Times New Roman"/>
                <w:sz w:val="26"/>
                <w:szCs w:val="26"/>
              </w:rPr>
              <w:br/>
              <w:t>:</w:t>
            </w:r>
          </w:p>
        </w:tc>
        <w:tc>
          <w:tcPr>
            <w:tcW w:w="3884" w:type="dxa"/>
            <w:shd w:val="clear" w:color="auto" w:fill="auto"/>
          </w:tcPr>
          <w:p w:rsidR="007174B3" w:rsidRPr="00CD42AF" w:rsidRDefault="007174B3" w:rsidP="000E73B4">
            <w:pPr>
              <w:spacing w:after="0" w:line="240" w:lineRule="auto"/>
              <w:ind w:left="-288"/>
              <w:rPr>
                <w:rFonts w:cs="Times New Roman"/>
                <w:sz w:val="26"/>
                <w:szCs w:val="26"/>
              </w:rPr>
            </w:pPr>
          </w:p>
          <w:p w:rsidR="007174B3" w:rsidRPr="00CD42AF" w:rsidRDefault="007174B3" w:rsidP="00932FB0">
            <w:pPr>
              <w:spacing w:after="0" w:line="240" w:lineRule="auto"/>
              <w:ind w:left="72"/>
              <w:rPr>
                <w:rFonts w:cs="Times New Roman"/>
                <w:sz w:val="26"/>
                <w:szCs w:val="26"/>
              </w:rPr>
            </w:pPr>
            <w:r w:rsidRPr="000E73B4">
              <w:rPr>
                <w:rFonts w:cs="Times New Roman"/>
                <w:sz w:val="26"/>
                <w:szCs w:val="26"/>
              </w:rPr>
              <w:t xml:space="preserve">Case No. </w:t>
            </w:r>
            <w:r w:rsidR="00932FB0">
              <w:rPr>
                <w:rFonts w:cs="Times New Roman"/>
                <w:sz w:val="26"/>
                <w:szCs w:val="26"/>
              </w:rPr>
              <w:t>13-1891</w:t>
            </w:r>
            <w:r w:rsidRPr="000E73B4">
              <w:rPr>
                <w:rFonts w:cs="Times New Roman"/>
                <w:sz w:val="26"/>
                <w:szCs w:val="26"/>
              </w:rPr>
              <w:t>-GA-AAM</w:t>
            </w:r>
          </w:p>
        </w:tc>
      </w:tr>
    </w:tbl>
    <w:p w:rsidR="000E73B4" w:rsidRPr="000E73B4" w:rsidRDefault="000E73B4" w:rsidP="000E73B4">
      <w:pPr>
        <w:pStyle w:val="NoSpacing"/>
      </w:pPr>
    </w:p>
    <w:p w:rsidR="00813472"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915BED" w:rsidRPr="009C4948" w:rsidRDefault="0056760B" w:rsidP="00813472">
      <w:pPr>
        <w:spacing w:after="0" w:line="240" w:lineRule="auto"/>
        <w:jc w:val="center"/>
        <w:rPr>
          <w:rFonts w:cs="Times New Roman"/>
          <w:b/>
          <w:sz w:val="28"/>
          <w:szCs w:val="28"/>
        </w:rPr>
      </w:pPr>
      <w:r>
        <w:rPr>
          <w:rFonts w:cs="Times New Roman"/>
          <w:b/>
          <w:sz w:val="28"/>
          <w:szCs w:val="28"/>
        </w:rPr>
        <w:t>COMMENTS</w:t>
      </w:r>
      <w:r w:rsidRPr="009C4948">
        <w:rPr>
          <w:rFonts w:cs="Times New Roman"/>
          <w:b/>
          <w:sz w:val="28"/>
          <w:szCs w:val="28"/>
        </w:rPr>
        <w:t xml:space="preserve"> </w:t>
      </w:r>
    </w:p>
    <w:p w:rsidR="00813472" w:rsidRPr="00CD42AF" w:rsidRDefault="00813472" w:rsidP="00813472">
      <w:pPr>
        <w:spacing w:after="0" w:line="240" w:lineRule="auto"/>
        <w:jc w:val="center"/>
        <w:rPr>
          <w:rFonts w:cs="Times New Roman"/>
          <w:b/>
          <w:sz w:val="26"/>
          <w:szCs w:val="26"/>
        </w:rPr>
      </w:pPr>
      <w:r w:rsidRPr="00CD42AF">
        <w:rPr>
          <w:rFonts w:cs="Times New Roman"/>
          <w:b/>
          <w:sz w:val="26"/>
          <w:szCs w:val="26"/>
        </w:rPr>
        <w:t>SUBMITTED ON BEHALF OF</w:t>
      </w:r>
      <w:r w:rsidR="00654A33">
        <w:rPr>
          <w:rFonts w:cs="Times New Roman"/>
          <w:b/>
          <w:sz w:val="26"/>
          <w:szCs w:val="26"/>
        </w:rPr>
        <w:t xml:space="preserve"> THE STAFF OF</w:t>
      </w:r>
    </w:p>
    <w:p w:rsidR="00813472" w:rsidRPr="00CD42AF" w:rsidRDefault="00813472" w:rsidP="00813472">
      <w:pPr>
        <w:spacing w:after="0" w:line="240" w:lineRule="auto"/>
        <w:jc w:val="center"/>
        <w:rPr>
          <w:rFonts w:cs="Times New Roman"/>
          <w:sz w:val="26"/>
          <w:szCs w:val="26"/>
        </w:rPr>
      </w:pPr>
      <w:r w:rsidRPr="00CD42AF">
        <w:rPr>
          <w:rFonts w:cs="Times New Roman"/>
          <w:b/>
          <w:sz w:val="26"/>
          <w:szCs w:val="26"/>
        </w:rPr>
        <w:t>THE PUBLIC UTILITIES COMMISSION OF OHIO</w:t>
      </w:r>
    </w:p>
    <w:p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2B0FA8" w:rsidRDefault="002B0FA8" w:rsidP="002B0FA8">
      <w:pPr>
        <w:pStyle w:val="NoSpacing"/>
      </w:pPr>
    </w:p>
    <w:p w:rsidR="002B0FA8" w:rsidRPr="002B0FA8" w:rsidRDefault="002B0FA8" w:rsidP="002B0FA8">
      <w:pPr>
        <w:pStyle w:val="NoSpacing"/>
      </w:pPr>
    </w:p>
    <w:p w:rsidR="00813472" w:rsidRPr="00CD42AF" w:rsidRDefault="00813472" w:rsidP="000E73B4">
      <w:pPr>
        <w:pStyle w:val="text"/>
        <w:ind w:left="4320"/>
        <w:rPr>
          <w:b/>
          <w:szCs w:val="26"/>
        </w:rPr>
      </w:pPr>
      <w:r w:rsidRPr="00CD42AF">
        <w:rPr>
          <w:b/>
          <w:szCs w:val="26"/>
        </w:rPr>
        <w:t xml:space="preserve">Michael DeWine </w:t>
      </w:r>
    </w:p>
    <w:p w:rsidR="00813472" w:rsidRPr="00CD42AF" w:rsidRDefault="002B0FA8" w:rsidP="000E73B4">
      <w:pPr>
        <w:pStyle w:val="text"/>
        <w:ind w:left="4320"/>
        <w:rPr>
          <w:szCs w:val="26"/>
        </w:rPr>
      </w:pPr>
      <w:r>
        <w:rPr>
          <w:szCs w:val="26"/>
        </w:rPr>
        <w:t xml:space="preserve">Ohio </w:t>
      </w:r>
      <w:r w:rsidR="00813472" w:rsidRPr="00CD42AF">
        <w:rPr>
          <w:szCs w:val="26"/>
        </w:rPr>
        <w:t>Attorney General</w:t>
      </w:r>
    </w:p>
    <w:p w:rsidR="00813472" w:rsidRPr="00CD42AF" w:rsidRDefault="00813472" w:rsidP="000E73B4">
      <w:pPr>
        <w:pStyle w:val="text"/>
        <w:ind w:left="4320"/>
        <w:rPr>
          <w:szCs w:val="26"/>
        </w:rPr>
      </w:pPr>
    </w:p>
    <w:p w:rsidR="002B0FA8" w:rsidRDefault="002B0FA8" w:rsidP="000E73B4">
      <w:pPr>
        <w:pStyle w:val="text"/>
        <w:ind w:left="4320"/>
        <w:rPr>
          <w:szCs w:val="26"/>
        </w:rPr>
      </w:pPr>
      <w:r>
        <w:rPr>
          <w:b/>
          <w:szCs w:val="26"/>
        </w:rPr>
        <w:t>William L. Wright</w:t>
      </w:r>
    </w:p>
    <w:p w:rsidR="00813472" w:rsidRPr="002B0FA8" w:rsidRDefault="00813472" w:rsidP="000E73B4">
      <w:pPr>
        <w:pStyle w:val="text"/>
        <w:ind w:left="4320"/>
        <w:rPr>
          <w:b/>
          <w:szCs w:val="26"/>
        </w:rPr>
      </w:pPr>
      <w:r w:rsidRPr="00CD42AF">
        <w:rPr>
          <w:szCs w:val="26"/>
        </w:rPr>
        <w:t>Section Chief</w:t>
      </w:r>
    </w:p>
    <w:p w:rsidR="00813472" w:rsidRPr="00CD42AF" w:rsidRDefault="00813472" w:rsidP="000E73B4">
      <w:pPr>
        <w:pStyle w:val="text"/>
        <w:ind w:left="4320"/>
        <w:rPr>
          <w:szCs w:val="26"/>
        </w:rPr>
      </w:pPr>
    </w:p>
    <w:p w:rsidR="00813472" w:rsidRPr="000E73B4" w:rsidRDefault="00726273" w:rsidP="000E73B4">
      <w:pPr>
        <w:pStyle w:val="text"/>
        <w:ind w:left="4320"/>
        <w:rPr>
          <w:b/>
          <w:szCs w:val="26"/>
        </w:rPr>
      </w:pPr>
      <w:r>
        <w:rPr>
          <w:b/>
          <w:szCs w:val="26"/>
        </w:rPr>
        <w:t>Ryan P. O’Rourke</w:t>
      </w:r>
    </w:p>
    <w:p w:rsidR="00813472" w:rsidRPr="000E73B4" w:rsidRDefault="00643B5F" w:rsidP="000E73B4">
      <w:pPr>
        <w:pStyle w:val="text"/>
        <w:ind w:left="4320"/>
        <w:rPr>
          <w:szCs w:val="26"/>
        </w:rPr>
      </w:pPr>
      <w:r w:rsidRPr="000E73B4">
        <w:rPr>
          <w:szCs w:val="26"/>
        </w:rPr>
        <w:t>Assistant Attorney</w:t>
      </w:r>
      <w:r w:rsidR="00813472" w:rsidRPr="000E73B4">
        <w:rPr>
          <w:szCs w:val="26"/>
        </w:rPr>
        <w:t xml:space="preserve"> General</w:t>
      </w:r>
    </w:p>
    <w:p w:rsidR="00813472" w:rsidRPr="000E73B4" w:rsidRDefault="00813472" w:rsidP="000E73B4">
      <w:pPr>
        <w:pStyle w:val="text"/>
        <w:ind w:left="4320"/>
        <w:rPr>
          <w:szCs w:val="26"/>
        </w:rPr>
      </w:pPr>
      <w:r w:rsidRPr="000E73B4">
        <w:rPr>
          <w:szCs w:val="26"/>
        </w:rPr>
        <w:t>Public Utilities Section</w:t>
      </w:r>
    </w:p>
    <w:p w:rsidR="00813472" w:rsidRPr="000E73B4" w:rsidRDefault="00813472" w:rsidP="000E73B4">
      <w:pPr>
        <w:pStyle w:val="text"/>
        <w:ind w:left="4320"/>
        <w:rPr>
          <w:szCs w:val="26"/>
        </w:rPr>
      </w:pPr>
      <w:r w:rsidRPr="000E73B4">
        <w:rPr>
          <w:szCs w:val="26"/>
        </w:rPr>
        <w:t>180 East Broad Street, 6</w:t>
      </w:r>
      <w:r w:rsidRPr="000E73B4">
        <w:rPr>
          <w:szCs w:val="26"/>
          <w:vertAlign w:val="superscript"/>
        </w:rPr>
        <w:t>th</w:t>
      </w:r>
      <w:r w:rsidRPr="000E73B4">
        <w:rPr>
          <w:szCs w:val="26"/>
        </w:rPr>
        <w:t xml:space="preserve"> Fl. </w:t>
      </w:r>
    </w:p>
    <w:p w:rsidR="00813472" w:rsidRPr="000E73B4" w:rsidRDefault="00813472" w:rsidP="000E73B4">
      <w:pPr>
        <w:pStyle w:val="text"/>
        <w:ind w:left="4320"/>
        <w:rPr>
          <w:szCs w:val="26"/>
        </w:rPr>
      </w:pPr>
      <w:r w:rsidRPr="000E73B4">
        <w:rPr>
          <w:szCs w:val="26"/>
        </w:rPr>
        <w:t xml:space="preserve">Columbus, </w:t>
      </w:r>
      <w:r w:rsidR="002B0FA8">
        <w:rPr>
          <w:szCs w:val="26"/>
        </w:rPr>
        <w:t>OH</w:t>
      </w:r>
      <w:r w:rsidRPr="000E73B4">
        <w:rPr>
          <w:szCs w:val="26"/>
        </w:rPr>
        <w:t xml:space="preserve">  43215</w:t>
      </w:r>
    </w:p>
    <w:p w:rsidR="00813472" w:rsidRPr="001420B4" w:rsidRDefault="002B0FA8" w:rsidP="000E73B4">
      <w:pPr>
        <w:pStyle w:val="text"/>
        <w:ind w:left="4320"/>
        <w:rPr>
          <w:szCs w:val="26"/>
        </w:rPr>
      </w:pPr>
      <w:r w:rsidRPr="001420B4">
        <w:rPr>
          <w:szCs w:val="26"/>
        </w:rPr>
        <w:t>614.466.4395 (telephone)</w:t>
      </w:r>
    </w:p>
    <w:p w:rsidR="00813472" w:rsidRPr="001420B4" w:rsidRDefault="002B0FA8" w:rsidP="000E73B4">
      <w:pPr>
        <w:spacing w:after="0" w:line="240" w:lineRule="auto"/>
        <w:ind w:left="4320"/>
        <w:jc w:val="both"/>
        <w:rPr>
          <w:rFonts w:cs="Times New Roman"/>
          <w:sz w:val="26"/>
          <w:szCs w:val="26"/>
        </w:rPr>
      </w:pPr>
      <w:r w:rsidRPr="001420B4">
        <w:rPr>
          <w:rFonts w:cs="Times New Roman"/>
          <w:sz w:val="26"/>
          <w:szCs w:val="26"/>
        </w:rPr>
        <w:t>614.644.8764 (fax)</w:t>
      </w:r>
    </w:p>
    <w:p w:rsidR="002B0FA8" w:rsidRPr="001420B4" w:rsidRDefault="007A33CB" w:rsidP="002B0FA8">
      <w:pPr>
        <w:spacing w:after="0" w:line="240" w:lineRule="auto"/>
        <w:ind w:left="4320"/>
        <w:jc w:val="both"/>
        <w:rPr>
          <w:rFonts w:cs="Times New Roman"/>
          <w:sz w:val="26"/>
          <w:szCs w:val="26"/>
        </w:rPr>
      </w:pPr>
      <w:hyperlink r:id="rId9" w:history="1">
        <w:r w:rsidR="002B0FA8" w:rsidRPr="001420B4">
          <w:rPr>
            <w:rStyle w:val="Hyperlink"/>
            <w:rFonts w:cs="Times New Roman"/>
            <w:sz w:val="26"/>
            <w:szCs w:val="26"/>
          </w:rPr>
          <w:t>william.wright@puc.state.oh.us</w:t>
        </w:r>
      </w:hyperlink>
    </w:p>
    <w:p w:rsidR="00813472" w:rsidRDefault="007A33CB" w:rsidP="000E73B4">
      <w:pPr>
        <w:spacing w:after="0" w:line="240" w:lineRule="auto"/>
        <w:ind w:left="4320"/>
        <w:jc w:val="both"/>
        <w:rPr>
          <w:rFonts w:cs="Times New Roman"/>
          <w:sz w:val="26"/>
          <w:szCs w:val="26"/>
        </w:rPr>
      </w:pPr>
      <w:hyperlink r:id="rId10" w:history="1">
        <w:r w:rsidR="00414E84" w:rsidRPr="00D855E3">
          <w:rPr>
            <w:rStyle w:val="Hyperlink"/>
            <w:rFonts w:cs="Times New Roman"/>
            <w:sz w:val="26"/>
            <w:szCs w:val="26"/>
          </w:rPr>
          <w:t>ryan.orourke@puc.state.oh.us</w:t>
        </w:r>
      </w:hyperlink>
    </w:p>
    <w:p w:rsidR="00915BED" w:rsidRDefault="00915BED" w:rsidP="00915BED">
      <w:pPr>
        <w:pStyle w:val="NoSpacing"/>
      </w:pPr>
    </w:p>
    <w:p w:rsidR="000E73B4" w:rsidRDefault="000E73B4" w:rsidP="000E73B4">
      <w:pPr>
        <w:pStyle w:val="NoSpacing"/>
      </w:pPr>
    </w:p>
    <w:p w:rsidR="004B3408" w:rsidRDefault="004B3408" w:rsidP="000E73B4">
      <w:pPr>
        <w:pStyle w:val="NoSpacing"/>
      </w:pPr>
    </w:p>
    <w:p w:rsidR="004B3408" w:rsidRDefault="004B3408" w:rsidP="000E73B4">
      <w:pPr>
        <w:pStyle w:val="NoSpacing"/>
      </w:pPr>
    </w:p>
    <w:p w:rsidR="004B3408" w:rsidRPr="000E73B4" w:rsidRDefault="004B3408" w:rsidP="000E73B4">
      <w:pPr>
        <w:pStyle w:val="NoSpacing"/>
      </w:pPr>
    </w:p>
    <w:p w:rsidR="00813472" w:rsidRPr="00CD42AF" w:rsidRDefault="00813472" w:rsidP="00CD42AF">
      <w:pPr>
        <w:jc w:val="both"/>
        <w:rPr>
          <w:rFonts w:cs="Times New Roman"/>
          <w:sz w:val="26"/>
          <w:szCs w:val="26"/>
        </w:rPr>
      </w:pPr>
      <w:r w:rsidRPr="00CD42AF">
        <w:rPr>
          <w:rFonts w:cs="Times New Roman"/>
          <w:sz w:val="26"/>
          <w:szCs w:val="26"/>
        </w:rPr>
        <w:t xml:space="preserve">Date Submitted: </w:t>
      </w:r>
      <w:r w:rsidR="00932FB0">
        <w:rPr>
          <w:rFonts w:cs="Times New Roman"/>
          <w:sz w:val="26"/>
          <w:szCs w:val="26"/>
        </w:rPr>
        <w:t>October 10</w:t>
      </w:r>
      <w:r w:rsidR="00CD42AF" w:rsidRPr="00CD42AF">
        <w:rPr>
          <w:rFonts w:cs="Times New Roman"/>
          <w:sz w:val="26"/>
          <w:szCs w:val="26"/>
        </w:rPr>
        <w:t>, 201</w:t>
      </w:r>
      <w:r w:rsidR="00D52F27">
        <w:rPr>
          <w:rFonts w:cs="Times New Roman"/>
          <w:sz w:val="26"/>
          <w:szCs w:val="26"/>
        </w:rPr>
        <w:t>3</w:t>
      </w:r>
    </w:p>
    <w:p w:rsidR="00CD42AF" w:rsidRPr="00CD42AF" w:rsidRDefault="00CD42AF">
      <w:pPr>
        <w:rPr>
          <w:rFonts w:cs="Times New Roman"/>
          <w:sz w:val="26"/>
          <w:szCs w:val="26"/>
        </w:rPr>
        <w:sectPr w:rsidR="00CD42AF" w:rsidRPr="00CD42AF" w:rsidSect="00B65AD5">
          <w:footerReference w:type="default" r:id="rId11"/>
          <w:pgSz w:w="12240" w:h="15840"/>
          <w:pgMar w:top="1440" w:right="1440" w:bottom="1440" w:left="1440" w:header="720" w:footer="720" w:gutter="0"/>
          <w:cols w:space="720"/>
          <w:titlePg/>
          <w:docGrid w:linePitch="360"/>
        </w:sectPr>
      </w:pPr>
    </w:p>
    <w:p w:rsidR="00135D3A" w:rsidRDefault="0059084C">
      <w:pPr>
        <w:pStyle w:val="TOC1"/>
        <w:rPr>
          <w:rFonts w:asciiTheme="minorHAnsi" w:eastAsiaTheme="minorEastAsia" w:hAnsiTheme="minorHAnsi"/>
          <w:noProof/>
          <w:sz w:val="22"/>
        </w:rPr>
      </w:pPr>
      <w:r>
        <w:rPr>
          <w:rFonts w:cs="Times New Roman"/>
          <w:b/>
          <w:szCs w:val="26"/>
        </w:rPr>
        <w:lastRenderedPageBreak/>
        <w:fldChar w:fldCharType="begin"/>
      </w:r>
      <w:r>
        <w:rPr>
          <w:rFonts w:cs="Times New Roman"/>
          <w:b/>
          <w:szCs w:val="26"/>
        </w:rPr>
        <w:instrText xml:space="preserve"> TOC \o "1-5" \u </w:instrText>
      </w:r>
      <w:r>
        <w:rPr>
          <w:rFonts w:cs="Times New Roman"/>
          <w:b/>
          <w:szCs w:val="26"/>
        </w:rPr>
        <w:fldChar w:fldCharType="separate"/>
      </w:r>
      <w:r w:rsidR="00135D3A">
        <w:rPr>
          <w:noProof/>
        </w:rPr>
        <w:t>I.</w:t>
      </w:r>
      <w:r w:rsidR="00135D3A">
        <w:rPr>
          <w:rFonts w:asciiTheme="minorHAnsi" w:eastAsiaTheme="minorEastAsia" w:hAnsiTheme="minorHAnsi"/>
          <w:noProof/>
          <w:sz w:val="22"/>
        </w:rPr>
        <w:tab/>
      </w:r>
      <w:r w:rsidR="00135D3A">
        <w:rPr>
          <w:noProof/>
        </w:rPr>
        <w:t>INTRODUCTION AND BACKGROUND</w:t>
      </w:r>
      <w:r w:rsidR="00135D3A">
        <w:rPr>
          <w:noProof/>
        </w:rPr>
        <w:tab/>
      </w:r>
      <w:r w:rsidR="00135D3A">
        <w:rPr>
          <w:noProof/>
        </w:rPr>
        <w:fldChar w:fldCharType="begin"/>
      </w:r>
      <w:r w:rsidR="00135D3A">
        <w:rPr>
          <w:noProof/>
        </w:rPr>
        <w:instrText xml:space="preserve"> PAGEREF _Toc369162829 \h </w:instrText>
      </w:r>
      <w:r w:rsidR="00135D3A">
        <w:rPr>
          <w:noProof/>
        </w:rPr>
      </w:r>
      <w:r w:rsidR="00135D3A">
        <w:rPr>
          <w:noProof/>
        </w:rPr>
        <w:fldChar w:fldCharType="separate"/>
      </w:r>
      <w:r w:rsidR="007A33CB">
        <w:rPr>
          <w:noProof/>
        </w:rPr>
        <w:t>1</w:t>
      </w:r>
      <w:r w:rsidR="00135D3A">
        <w:rPr>
          <w:noProof/>
        </w:rPr>
        <w:fldChar w:fldCharType="end"/>
      </w:r>
    </w:p>
    <w:p w:rsidR="00135D3A" w:rsidRDefault="00135D3A">
      <w:pPr>
        <w:pStyle w:val="TOC1"/>
        <w:rPr>
          <w:rFonts w:asciiTheme="minorHAnsi" w:eastAsiaTheme="minorEastAsia" w:hAnsiTheme="minorHAnsi"/>
          <w:noProof/>
          <w:sz w:val="22"/>
        </w:rPr>
      </w:pPr>
      <w:r>
        <w:rPr>
          <w:noProof/>
        </w:rPr>
        <w:t>II.</w:t>
      </w:r>
      <w:r>
        <w:rPr>
          <w:rFonts w:asciiTheme="minorHAnsi" w:eastAsiaTheme="minorEastAsia" w:hAnsiTheme="minorHAnsi"/>
          <w:noProof/>
          <w:sz w:val="22"/>
        </w:rPr>
        <w:tab/>
      </w:r>
      <w:r>
        <w:rPr>
          <w:noProof/>
        </w:rPr>
        <w:t>VEDO’S APPLICATION AND PROPOSED DEFERRALS</w:t>
      </w:r>
      <w:r>
        <w:rPr>
          <w:noProof/>
        </w:rPr>
        <w:tab/>
      </w:r>
      <w:r>
        <w:rPr>
          <w:noProof/>
        </w:rPr>
        <w:fldChar w:fldCharType="begin"/>
      </w:r>
      <w:r>
        <w:rPr>
          <w:noProof/>
        </w:rPr>
        <w:instrText xml:space="preserve"> PAGEREF _Toc369162830 \h </w:instrText>
      </w:r>
      <w:r>
        <w:rPr>
          <w:noProof/>
        </w:rPr>
      </w:r>
      <w:r>
        <w:rPr>
          <w:noProof/>
        </w:rPr>
        <w:fldChar w:fldCharType="separate"/>
      </w:r>
      <w:r w:rsidR="007A33CB">
        <w:rPr>
          <w:noProof/>
        </w:rPr>
        <w:t>5</w:t>
      </w:r>
      <w:r>
        <w:rPr>
          <w:noProof/>
        </w:rPr>
        <w:fldChar w:fldCharType="end"/>
      </w:r>
    </w:p>
    <w:p w:rsidR="00135D3A" w:rsidRDefault="00135D3A">
      <w:pPr>
        <w:pStyle w:val="TOC1"/>
        <w:rPr>
          <w:rFonts w:asciiTheme="minorHAnsi" w:eastAsiaTheme="minorEastAsia" w:hAnsiTheme="minorHAnsi"/>
          <w:noProof/>
          <w:sz w:val="22"/>
        </w:rPr>
      </w:pPr>
      <w:r>
        <w:rPr>
          <w:noProof/>
        </w:rPr>
        <w:t>III.</w:t>
      </w:r>
      <w:r>
        <w:rPr>
          <w:rFonts w:asciiTheme="minorHAnsi" w:eastAsiaTheme="minorEastAsia" w:hAnsiTheme="minorHAnsi"/>
          <w:noProof/>
          <w:sz w:val="22"/>
        </w:rPr>
        <w:tab/>
      </w:r>
      <w:r>
        <w:rPr>
          <w:noProof/>
        </w:rPr>
        <w:t>STAFF’S REVIEW</w:t>
      </w:r>
      <w:r>
        <w:rPr>
          <w:noProof/>
        </w:rPr>
        <w:tab/>
      </w:r>
      <w:r>
        <w:rPr>
          <w:noProof/>
        </w:rPr>
        <w:fldChar w:fldCharType="begin"/>
      </w:r>
      <w:r>
        <w:rPr>
          <w:noProof/>
        </w:rPr>
        <w:instrText xml:space="preserve"> PAGEREF _Toc369162831 \h </w:instrText>
      </w:r>
      <w:r>
        <w:rPr>
          <w:noProof/>
        </w:rPr>
      </w:r>
      <w:r>
        <w:rPr>
          <w:noProof/>
        </w:rPr>
        <w:fldChar w:fldCharType="separate"/>
      </w:r>
      <w:r w:rsidR="007A33CB">
        <w:rPr>
          <w:noProof/>
        </w:rPr>
        <w:t>11</w:t>
      </w:r>
      <w:r>
        <w:rPr>
          <w:noProof/>
        </w:rPr>
        <w:fldChar w:fldCharType="end"/>
      </w:r>
    </w:p>
    <w:p w:rsidR="00135D3A" w:rsidRDefault="00135D3A">
      <w:pPr>
        <w:pStyle w:val="TOC1"/>
        <w:rPr>
          <w:rFonts w:asciiTheme="minorHAnsi" w:eastAsiaTheme="minorEastAsia" w:hAnsiTheme="minorHAnsi"/>
          <w:noProof/>
          <w:sz w:val="22"/>
        </w:rPr>
      </w:pPr>
      <w:r>
        <w:rPr>
          <w:noProof/>
        </w:rPr>
        <w:t>IV.</w:t>
      </w:r>
      <w:r>
        <w:rPr>
          <w:rFonts w:asciiTheme="minorHAnsi" w:eastAsiaTheme="minorEastAsia" w:hAnsiTheme="minorHAnsi"/>
          <w:noProof/>
          <w:sz w:val="22"/>
        </w:rPr>
        <w:tab/>
      </w:r>
      <w:r>
        <w:rPr>
          <w:noProof/>
        </w:rPr>
        <w:t>STAFF’S COMMENTS AND RECOMMENDATIONS</w:t>
      </w:r>
      <w:r>
        <w:rPr>
          <w:noProof/>
        </w:rPr>
        <w:tab/>
      </w:r>
      <w:r>
        <w:rPr>
          <w:noProof/>
        </w:rPr>
        <w:fldChar w:fldCharType="begin"/>
      </w:r>
      <w:r>
        <w:rPr>
          <w:noProof/>
        </w:rPr>
        <w:instrText xml:space="preserve"> PAGEREF _Toc369162832 \h </w:instrText>
      </w:r>
      <w:r>
        <w:rPr>
          <w:noProof/>
        </w:rPr>
      </w:r>
      <w:r>
        <w:rPr>
          <w:noProof/>
        </w:rPr>
        <w:fldChar w:fldCharType="separate"/>
      </w:r>
      <w:r w:rsidR="007A33CB">
        <w:rPr>
          <w:noProof/>
        </w:rPr>
        <w:t>12</w:t>
      </w:r>
      <w:r>
        <w:rPr>
          <w:noProof/>
        </w:rPr>
        <w:fldChar w:fldCharType="end"/>
      </w:r>
    </w:p>
    <w:p w:rsidR="00135D3A" w:rsidRDefault="00135D3A">
      <w:pPr>
        <w:pStyle w:val="TOC2"/>
        <w:rPr>
          <w:rFonts w:asciiTheme="minorHAnsi" w:eastAsiaTheme="minorEastAsia" w:hAnsiTheme="minorHAnsi"/>
          <w:noProof/>
          <w:sz w:val="22"/>
        </w:rPr>
      </w:pPr>
      <w:r>
        <w:rPr>
          <w:noProof/>
        </w:rPr>
        <w:t>A.</w:t>
      </w:r>
      <w:r>
        <w:rPr>
          <w:rFonts w:asciiTheme="minorHAnsi" w:eastAsiaTheme="minorEastAsia" w:hAnsiTheme="minorHAnsi"/>
          <w:noProof/>
          <w:sz w:val="22"/>
        </w:rPr>
        <w:tab/>
      </w:r>
      <w:r>
        <w:rPr>
          <w:noProof/>
        </w:rPr>
        <w:t>With the Company’s agreement to adhere to the requirements and formulas that were approved in Case No. 12-530-GA-UNC and subject to adoption of the Staff’s other recommendations, VEDO’s Application should be approved.</w:t>
      </w:r>
      <w:r>
        <w:rPr>
          <w:noProof/>
        </w:rPr>
        <w:tab/>
      </w:r>
      <w:r>
        <w:rPr>
          <w:noProof/>
        </w:rPr>
        <w:fldChar w:fldCharType="begin"/>
      </w:r>
      <w:r>
        <w:rPr>
          <w:noProof/>
        </w:rPr>
        <w:instrText xml:space="preserve"> PAGEREF _Toc369162833 \h </w:instrText>
      </w:r>
      <w:r>
        <w:rPr>
          <w:noProof/>
        </w:rPr>
      </w:r>
      <w:r>
        <w:rPr>
          <w:noProof/>
        </w:rPr>
        <w:fldChar w:fldCharType="separate"/>
      </w:r>
      <w:r w:rsidR="007A33CB">
        <w:rPr>
          <w:noProof/>
        </w:rPr>
        <w:t>12</w:t>
      </w:r>
      <w:r>
        <w:rPr>
          <w:noProof/>
        </w:rPr>
        <w:fldChar w:fldCharType="end"/>
      </w:r>
    </w:p>
    <w:p w:rsidR="00135D3A" w:rsidRDefault="00135D3A">
      <w:pPr>
        <w:pStyle w:val="TOC2"/>
        <w:rPr>
          <w:rFonts w:asciiTheme="minorHAnsi" w:eastAsiaTheme="minorEastAsia" w:hAnsiTheme="minorHAnsi"/>
          <w:noProof/>
          <w:sz w:val="22"/>
        </w:rPr>
      </w:pPr>
      <w:r>
        <w:rPr>
          <w:noProof/>
        </w:rPr>
        <w:t>B.</w:t>
      </w:r>
      <w:r>
        <w:rPr>
          <w:rFonts w:asciiTheme="minorHAnsi" w:eastAsiaTheme="minorEastAsia" w:hAnsiTheme="minorHAnsi"/>
          <w:noProof/>
          <w:sz w:val="22"/>
        </w:rPr>
        <w:tab/>
      </w:r>
      <w:r>
        <w:rPr>
          <w:noProof/>
        </w:rPr>
        <w:t>The Commission should direct that VEDO’s April 30, 2014 and future annual informational filings should include revenue data from all potential sources of revenue delineated in the incremental revenue formula adopted in Case No. 12-530-GA-UNC.</w:t>
      </w:r>
      <w:r>
        <w:rPr>
          <w:noProof/>
        </w:rPr>
        <w:tab/>
      </w:r>
      <w:r>
        <w:rPr>
          <w:noProof/>
        </w:rPr>
        <w:fldChar w:fldCharType="begin"/>
      </w:r>
      <w:r>
        <w:rPr>
          <w:noProof/>
        </w:rPr>
        <w:instrText xml:space="preserve"> PAGEREF _Toc369162834 \h </w:instrText>
      </w:r>
      <w:r>
        <w:rPr>
          <w:noProof/>
        </w:rPr>
      </w:r>
      <w:r>
        <w:rPr>
          <w:noProof/>
        </w:rPr>
        <w:fldChar w:fldCharType="separate"/>
      </w:r>
      <w:r w:rsidR="007A33CB">
        <w:rPr>
          <w:noProof/>
        </w:rPr>
        <w:t>13</w:t>
      </w:r>
      <w:r>
        <w:rPr>
          <w:noProof/>
        </w:rPr>
        <w:fldChar w:fldCharType="end"/>
      </w:r>
    </w:p>
    <w:p w:rsidR="00135D3A" w:rsidRDefault="00135D3A">
      <w:pPr>
        <w:pStyle w:val="TOC2"/>
        <w:rPr>
          <w:rFonts w:asciiTheme="minorHAnsi" w:eastAsiaTheme="minorEastAsia" w:hAnsiTheme="minorHAnsi"/>
          <w:noProof/>
          <w:sz w:val="22"/>
        </w:rPr>
      </w:pPr>
      <w:r>
        <w:rPr>
          <w:noProof/>
        </w:rPr>
        <w:t>C.</w:t>
      </w:r>
      <w:r>
        <w:rPr>
          <w:rFonts w:asciiTheme="minorHAnsi" w:eastAsiaTheme="minorEastAsia" w:hAnsiTheme="minorHAnsi"/>
          <w:noProof/>
          <w:sz w:val="22"/>
        </w:rPr>
        <w:tab/>
      </w:r>
      <w:r>
        <w:rPr>
          <w:noProof/>
        </w:rPr>
        <w:t>The Staff agrees conceptually with VEDO’s proposed process for annual automatic approval for continued authority to implement a CEP and ongoing deferral authority until the $1.50 per month cap is reached.  However, the process should be modified to reflect the Commission process adopted in Case No. 12-3221-GA-UNC.</w:t>
      </w:r>
      <w:r>
        <w:rPr>
          <w:noProof/>
        </w:rPr>
        <w:tab/>
      </w:r>
      <w:r>
        <w:rPr>
          <w:noProof/>
        </w:rPr>
        <w:fldChar w:fldCharType="begin"/>
      </w:r>
      <w:r>
        <w:rPr>
          <w:noProof/>
        </w:rPr>
        <w:instrText xml:space="preserve"> PAGEREF _Toc369162835 \h </w:instrText>
      </w:r>
      <w:r>
        <w:rPr>
          <w:noProof/>
        </w:rPr>
      </w:r>
      <w:r>
        <w:rPr>
          <w:noProof/>
        </w:rPr>
        <w:fldChar w:fldCharType="separate"/>
      </w:r>
      <w:r w:rsidR="007A33CB">
        <w:rPr>
          <w:noProof/>
        </w:rPr>
        <w:t>15</w:t>
      </w:r>
      <w:r>
        <w:rPr>
          <w:noProof/>
        </w:rPr>
        <w:fldChar w:fldCharType="end"/>
      </w:r>
    </w:p>
    <w:p w:rsidR="00135D3A" w:rsidRDefault="00135D3A">
      <w:pPr>
        <w:pStyle w:val="TOC1"/>
        <w:rPr>
          <w:rFonts w:asciiTheme="minorHAnsi" w:eastAsiaTheme="minorEastAsia" w:hAnsiTheme="minorHAnsi"/>
          <w:noProof/>
          <w:sz w:val="22"/>
        </w:rPr>
      </w:pPr>
      <w:r>
        <w:rPr>
          <w:noProof/>
        </w:rPr>
        <w:t>V.</w:t>
      </w:r>
      <w:r>
        <w:rPr>
          <w:rFonts w:asciiTheme="minorHAnsi" w:eastAsiaTheme="minorEastAsia" w:hAnsiTheme="minorHAnsi"/>
          <w:noProof/>
          <w:sz w:val="22"/>
        </w:rPr>
        <w:tab/>
      </w:r>
      <w:r>
        <w:rPr>
          <w:noProof/>
        </w:rPr>
        <w:t>CONCLUSION</w:t>
      </w:r>
      <w:r>
        <w:rPr>
          <w:noProof/>
        </w:rPr>
        <w:tab/>
      </w:r>
      <w:r>
        <w:rPr>
          <w:noProof/>
        </w:rPr>
        <w:fldChar w:fldCharType="begin"/>
      </w:r>
      <w:r>
        <w:rPr>
          <w:noProof/>
        </w:rPr>
        <w:instrText xml:space="preserve"> PAGEREF _Toc369162836 \h </w:instrText>
      </w:r>
      <w:r>
        <w:rPr>
          <w:noProof/>
        </w:rPr>
      </w:r>
      <w:r>
        <w:rPr>
          <w:noProof/>
        </w:rPr>
        <w:fldChar w:fldCharType="separate"/>
      </w:r>
      <w:r w:rsidR="007A33CB">
        <w:rPr>
          <w:noProof/>
        </w:rPr>
        <w:t>17</w:t>
      </w:r>
      <w:r>
        <w:rPr>
          <w:noProof/>
        </w:rPr>
        <w:fldChar w:fldCharType="end"/>
      </w:r>
    </w:p>
    <w:p w:rsidR="00135D3A" w:rsidRDefault="00135D3A">
      <w:pPr>
        <w:pStyle w:val="TOC1"/>
        <w:rPr>
          <w:rFonts w:asciiTheme="minorHAnsi" w:eastAsiaTheme="minorEastAsia" w:hAnsiTheme="minorHAnsi"/>
          <w:noProof/>
          <w:sz w:val="22"/>
        </w:rPr>
      </w:pPr>
      <w:r>
        <w:rPr>
          <w:noProof/>
        </w:rPr>
        <w:t>VI.</w:t>
      </w:r>
      <w:r>
        <w:rPr>
          <w:rFonts w:asciiTheme="minorHAnsi" w:eastAsiaTheme="minorEastAsia" w:hAnsiTheme="minorHAnsi"/>
          <w:noProof/>
          <w:sz w:val="22"/>
        </w:rPr>
        <w:tab/>
      </w:r>
      <w:r>
        <w:rPr>
          <w:noProof/>
        </w:rPr>
        <w:t>CERTIFICATE OF SERVICE</w:t>
      </w:r>
      <w:r>
        <w:rPr>
          <w:noProof/>
        </w:rPr>
        <w:tab/>
      </w:r>
      <w:r>
        <w:rPr>
          <w:noProof/>
        </w:rPr>
        <w:fldChar w:fldCharType="begin"/>
      </w:r>
      <w:r>
        <w:rPr>
          <w:noProof/>
        </w:rPr>
        <w:instrText xml:space="preserve"> PAGEREF _Toc369162837 \h </w:instrText>
      </w:r>
      <w:r>
        <w:rPr>
          <w:noProof/>
        </w:rPr>
      </w:r>
      <w:r>
        <w:rPr>
          <w:noProof/>
        </w:rPr>
        <w:fldChar w:fldCharType="separate"/>
      </w:r>
      <w:r w:rsidR="007A33CB">
        <w:rPr>
          <w:noProof/>
        </w:rPr>
        <w:t>18</w:t>
      </w:r>
      <w:r>
        <w:rPr>
          <w:noProof/>
        </w:rPr>
        <w:fldChar w:fldCharType="end"/>
      </w:r>
    </w:p>
    <w:p w:rsidR="000E73B4" w:rsidRDefault="0059084C">
      <w:pPr>
        <w:rPr>
          <w:rFonts w:cs="Times New Roman"/>
          <w:b/>
          <w:sz w:val="26"/>
          <w:szCs w:val="26"/>
        </w:rPr>
        <w:sectPr w:rsidR="000E73B4" w:rsidSect="002B0FA8">
          <w:headerReference w:type="default" r:id="rId12"/>
          <w:footerReference w:type="default" r:id="rId13"/>
          <w:pgSz w:w="12240" w:h="15840"/>
          <w:pgMar w:top="1440" w:right="1440" w:bottom="1440" w:left="1440" w:header="720" w:footer="720" w:gutter="0"/>
          <w:pgNumType w:fmt="lowerRoman" w:start="1"/>
          <w:cols w:space="720"/>
          <w:docGrid w:linePitch="360"/>
        </w:sectPr>
      </w:pPr>
      <w:r>
        <w:rPr>
          <w:rFonts w:cs="Times New Roman"/>
          <w:b/>
          <w:sz w:val="26"/>
          <w:szCs w:val="26"/>
        </w:rPr>
        <w:fldChar w:fldCharType="end"/>
      </w:r>
    </w:p>
    <w:p w:rsidR="000E73B4" w:rsidRDefault="000E73B4" w:rsidP="000E73B4">
      <w:pPr>
        <w:spacing w:after="0" w:line="240" w:lineRule="auto"/>
        <w:jc w:val="center"/>
        <w:rPr>
          <w:rFonts w:cs="Times New Roman"/>
          <w:b/>
          <w:sz w:val="26"/>
          <w:szCs w:val="26"/>
        </w:rPr>
      </w:pPr>
      <w:r w:rsidRPr="00CD42AF">
        <w:rPr>
          <w:rFonts w:cs="Times New Roman"/>
          <w:b/>
          <w:sz w:val="26"/>
          <w:szCs w:val="26"/>
        </w:rPr>
        <w:lastRenderedPageBreak/>
        <w:t>BEFORE</w:t>
      </w:r>
    </w:p>
    <w:p w:rsidR="000E73B4" w:rsidRPr="00CD42AF" w:rsidRDefault="000E73B4" w:rsidP="000E73B4">
      <w:pPr>
        <w:spacing w:after="0" w:line="240" w:lineRule="auto"/>
        <w:jc w:val="center"/>
        <w:rPr>
          <w:rFonts w:cs="Times New Roman"/>
          <w:b/>
          <w:sz w:val="26"/>
          <w:szCs w:val="26"/>
        </w:rPr>
      </w:pPr>
      <w:r w:rsidRPr="00CD42AF">
        <w:rPr>
          <w:rFonts w:cs="Times New Roman"/>
          <w:b/>
          <w:sz w:val="26"/>
          <w:szCs w:val="26"/>
        </w:rPr>
        <w:t>THE PUBLIC UTILITIES COMMISSION OF OHIO</w:t>
      </w:r>
    </w:p>
    <w:p w:rsidR="000E73B4" w:rsidRPr="00CD42AF" w:rsidRDefault="000E73B4" w:rsidP="000E73B4">
      <w:pPr>
        <w:rPr>
          <w:rFonts w:cs="Times New Roman"/>
          <w:sz w:val="26"/>
          <w:szCs w:val="26"/>
        </w:rPr>
      </w:pPr>
    </w:p>
    <w:tbl>
      <w:tblPr>
        <w:tblW w:w="8762" w:type="dxa"/>
        <w:tblLook w:val="04A0" w:firstRow="1" w:lastRow="0" w:firstColumn="1" w:lastColumn="0" w:noHBand="0" w:noVBand="1"/>
      </w:tblPr>
      <w:tblGrid>
        <w:gridCol w:w="4518"/>
        <w:gridCol w:w="360"/>
        <w:gridCol w:w="3884"/>
      </w:tblGrid>
      <w:tr w:rsidR="005B104E" w:rsidRPr="00CD42AF" w:rsidTr="00915BED">
        <w:tc>
          <w:tcPr>
            <w:tcW w:w="4518" w:type="dxa"/>
            <w:shd w:val="clear" w:color="auto" w:fill="auto"/>
          </w:tcPr>
          <w:p w:rsidR="005B104E" w:rsidRPr="0036080A" w:rsidRDefault="00932FB0" w:rsidP="005B104E">
            <w:pPr>
              <w:spacing w:after="0" w:line="240" w:lineRule="auto"/>
              <w:rPr>
                <w:rFonts w:cs="Times New Roman"/>
                <w:sz w:val="26"/>
                <w:szCs w:val="26"/>
              </w:rPr>
            </w:pPr>
            <w:r w:rsidRPr="0036080A">
              <w:rPr>
                <w:rFonts w:cs="Times New Roman"/>
                <w:sz w:val="26"/>
                <w:szCs w:val="26"/>
              </w:rPr>
              <w:t xml:space="preserve">In the Matter of the Application of </w:t>
            </w:r>
            <w:r>
              <w:rPr>
                <w:rFonts w:cs="Times New Roman"/>
                <w:sz w:val="26"/>
                <w:szCs w:val="26"/>
              </w:rPr>
              <w:t xml:space="preserve">Vectren Energy Delivery of Ohio, Inc. </w:t>
            </w:r>
            <w:r w:rsidRPr="0036080A">
              <w:rPr>
                <w:rFonts w:cs="Times New Roman"/>
                <w:sz w:val="26"/>
                <w:szCs w:val="26"/>
              </w:rPr>
              <w:t xml:space="preserve">to </w:t>
            </w:r>
            <w:r>
              <w:rPr>
                <w:rFonts w:cs="Times New Roman"/>
                <w:sz w:val="26"/>
                <w:szCs w:val="26"/>
              </w:rPr>
              <w:t xml:space="preserve">Implement a Capital Expenditure </w:t>
            </w:r>
            <w:r w:rsidRPr="0036080A">
              <w:rPr>
                <w:rFonts w:cs="Times New Roman"/>
                <w:sz w:val="26"/>
                <w:szCs w:val="26"/>
              </w:rPr>
              <w:t>Program.</w:t>
            </w:r>
          </w:p>
        </w:tc>
        <w:tc>
          <w:tcPr>
            <w:tcW w:w="360" w:type="dxa"/>
          </w:tcPr>
          <w:p w:rsidR="005B104E" w:rsidRPr="00CD42AF" w:rsidRDefault="005B104E" w:rsidP="00915BED">
            <w:pPr>
              <w:pStyle w:val="NoSpacing"/>
              <w:rPr>
                <w:rFonts w:cs="Times New Roman"/>
                <w:sz w:val="26"/>
                <w:szCs w:val="26"/>
              </w:rPr>
            </w:pPr>
            <w:r>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r>
              <w:rPr>
                <w:rFonts w:cs="Times New Roman"/>
                <w:sz w:val="26"/>
                <w:szCs w:val="26"/>
              </w:rPr>
              <w:br/>
            </w:r>
          </w:p>
        </w:tc>
        <w:tc>
          <w:tcPr>
            <w:tcW w:w="3884" w:type="dxa"/>
            <w:shd w:val="clear" w:color="auto" w:fill="auto"/>
          </w:tcPr>
          <w:p w:rsidR="005B104E" w:rsidRPr="00CD42AF" w:rsidRDefault="005B104E" w:rsidP="00915BED">
            <w:pPr>
              <w:spacing w:after="0" w:line="240" w:lineRule="auto"/>
              <w:ind w:left="-288"/>
              <w:rPr>
                <w:rFonts w:cs="Times New Roman"/>
                <w:sz w:val="26"/>
                <w:szCs w:val="26"/>
              </w:rPr>
            </w:pPr>
          </w:p>
          <w:p w:rsidR="005B104E" w:rsidRPr="00CD42AF" w:rsidRDefault="005B104E" w:rsidP="00932FB0">
            <w:pPr>
              <w:spacing w:after="0" w:line="240" w:lineRule="auto"/>
              <w:ind w:left="72"/>
              <w:rPr>
                <w:rFonts w:cs="Times New Roman"/>
                <w:sz w:val="26"/>
                <w:szCs w:val="26"/>
              </w:rPr>
            </w:pPr>
            <w:r w:rsidRPr="00CD42AF">
              <w:rPr>
                <w:rFonts w:cs="Times New Roman"/>
                <w:sz w:val="26"/>
                <w:szCs w:val="26"/>
              </w:rPr>
              <w:t xml:space="preserve">Case No. </w:t>
            </w:r>
            <w:r w:rsidR="00932FB0">
              <w:rPr>
                <w:rFonts w:cs="Times New Roman"/>
                <w:sz w:val="26"/>
                <w:szCs w:val="26"/>
              </w:rPr>
              <w:t>13-1890</w:t>
            </w:r>
            <w:r w:rsidRPr="00CD42AF">
              <w:rPr>
                <w:rFonts w:cs="Times New Roman"/>
                <w:sz w:val="26"/>
                <w:szCs w:val="26"/>
              </w:rPr>
              <w:t>-GA-</w:t>
            </w:r>
            <w:r>
              <w:rPr>
                <w:rFonts w:cs="Times New Roman"/>
                <w:sz w:val="26"/>
                <w:szCs w:val="26"/>
              </w:rPr>
              <w:t>UNC</w:t>
            </w:r>
          </w:p>
        </w:tc>
      </w:tr>
      <w:tr w:rsidR="005B104E" w:rsidRPr="00CD42AF" w:rsidTr="00915BED">
        <w:tc>
          <w:tcPr>
            <w:tcW w:w="4518" w:type="dxa"/>
            <w:shd w:val="clear" w:color="auto" w:fill="auto"/>
          </w:tcPr>
          <w:p w:rsidR="005B104E" w:rsidRPr="0036080A" w:rsidRDefault="00932FB0" w:rsidP="00915BED">
            <w:pPr>
              <w:spacing w:after="0" w:line="240" w:lineRule="auto"/>
              <w:rPr>
                <w:rFonts w:cs="Times New Roman"/>
                <w:sz w:val="26"/>
                <w:szCs w:val="26"/>
              </w:rPr>
            </w:pPr>
            <w:r w:rsidRPr="0036080A">
              <w:rPr>
                <w:rFonts w:cs="Times New Roman"/>
                <w:sz w:val="26"/>
                <w:szCs w:val="26"/>
              </w:rPr>
              <w:t xml:space="preserve">In the Matter of the Application of </w:t>
            </w:r>
            <w:r>
              <w:rPr>
                <w:rFonts w:cs="Times New Roman"/>
                <w:sz w:val="26"/>
                <w:szCs w:val="26"/>
              </w:rPr>
              <w:t>Vectren</w:t>
            </w:r>
            <w:r w:rsidR="00216D2A">
              <w:rPr>
                <w:rFonts w:cs="Times New Roman"/>
                <w:sz w:val="26"/>
                <w:szCs w:val="26"/>
              </w:rPr>
              <w:t xml:space="preserve"> Energy Delivery of Ohio, Inc. </w:t>
            </w:r>
            <w:r w:rsidRPr="0036080A">
              <w:rPr>
                <w:rFonts w:cs="Times New Roman"/>
                <w:sz w:val="26"/>
                <w:szCs w:val="26"/>
              </w:rPr>
              <w:t>for A</w:t>
            </w:r>
            <w:r>
              <w:rPr>
                <w:rFonts w:cs="Times New Roman"/>
                <w:sz w:val="26"/>
                <w:szCs w:val="26"/>
              </w:rPr>
              <w:t>uthority to</w:t>
            </w:r>
            <w:r w:rsidRPr="0036080A">
              <w:rPr>
                <w:rFonts w:cs="Times New Roman"/>
                <w:sz w:val="26"/>
                <w:szCs w:val="26"/>
              </w:rPr>
              <w:t xml:space="preserve"> </w:t>
            </w:r>
            <w:r>
              <w:rPr>
                <w:rFonts w:cs="Times New Roman"/>
                <w:sz w:val="26"/>
                <w:szCs w:val="26"/>
              </w:rPr>
              <w:t>Change Accounting Methods</w:t>
            </w:r>
            <w:r w:rsidRPr="0036080A">
              <w:rPr>
                <w:rFonts w:cs="Times New Roman"/>
                <w:sz w:val="26"/>
                <w:szCs w:val="26"/>
              </w:rPr>
              <w:t>.</w:t>
            </w:r>
          </w:p>
        </w:tc>
        <w:tc>
          <w:tcPr>
            <w:tcW w:w="360" w:type="dxa"/>
          </w:tcPr>
          <w:p w:rsidR="005B104E" w:rsidRPr="00CD42AF" w:rsidRDefault="005B104E" w:rsidP="00915BED">
            <w:pPr>
              <w:spacing w:after="0" w:line="240" w:lineRule="auto"/>
              <w:rPr>
                <w:rFonts w:cs="Times New Roman"/>
                <w:sz w:val="26"/>
                <w:szCs w:val="26"/>
              </w:rPr>
            </w:pPr>
            <w:r w:rsidRPr="00CD42AF">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p>
        </w:tc>
        <w:tc>
          <w:tcPr>
            <w:tcW w:w="3884" w:type="dxa"/>
            <w:shd w:val="clear" w:color="auto" w:fill="auto"/>
          </w:tcPr>
          <w:p w:rsidR="005B104E" w:rsidRPr="00CD42AF" w:rsidRDefault="005B104E" w:rsidP="00915BED">
            <w:pPr>
              <w:spacing w:after="0" w:line="240" w:lineRule="auto"/>
              <w:ind w:left="-288"/>
              <w:rPr>
                <w:rFonts w:cs="Times New Roman"/>
                <w:sz w:val="26"/>
                <w:szCs w:val="26"/>
              </w:rPr>
            </w:pPr>
          </w:p>
          <w:p w:rsidR="005B104E" w:rsidRPr="00CD42AF" w:rsidRDefault="003A2FBD" w:rsidP="00932FB0">
            <w:pPr>
              <w:spacing w:after="0" w:line="240" w:lineRule="auto"/>
              <w:ind w:left="72"/>
              <w:rPr>
                <w:rFonts w:cs="Times New Roman"/>
                <w:sz w:val="26"/>
                <w:szCs w:val="26"/>
              </w:rPr>
            </w:pPr>
            <w:r>
              <w:rPr>
                <w:rFonts w:cs="Times New Roman"/>
                <w:sz w:val="26"/>
                <w:szCs w:val="26"/>
              </w:rPr>
              <w:t xml:space="preserve">Case No. </w:t>
            </w:r>
            <w:r w:rsidR="00932FB0">
              <w:rPr>
                <w:rFonts w:cs="Times New Roman"/>
                <w:sz w:val="26"/>
                <w:szCs w:val="26"/>
              </w:rPr>
              <w:t>13-1891</w:t>
            </w:r>
            <w:r w:rsidR="005B104E" w:rsidRPr="000E73B4">
              <w:rPr>
                <w:rFonts w:cs="Times New Roman"/>
                <w:sz w:val="26"/>
                <w:szCs w:val="26"/>
              </w:rPr>
              <w:t>-GA-AAM</w:t>
            </w:r>
          </w:p>
        </w:tc>
      </w:tr>
    </w:tbl>
    <w:p w:rsidR="00915BED" w:rsidRPr="000E73B4" w:rsidRDefault="00915BED" w:rsidP="00915BED">
      <w:pPr>
        <w:pStyle w:val="NoSpacing"/>
      </w:pPr>
    </w:p>
    <w:p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915BED" w:rsidRPr="009C4948" w:rsidRDefault="0056760B" w:rsidP="00915BED">
      <w:pPr>
        <w:spacing w:after="0" w:line="240" w:lineRule="auto"/>
        <w:jc w:val="center"/>
        <w:rPr>
          <w:rFonts w:cs="Times New Roman"/>
          <w:b/>
          <w:sz w:val="28"/>
          <w:szCs w:val="28"/>
        </w:rPr>
      </w:pPr>
      <w:r>
        <w:rPr>
          <w:rFonts w:cs="Times New Roman"/>
          <w:b/>
          <w:sz w:val="28"/>
          <w:szCs w:val="28"/>
        </w:rPr>
        <w:t>COMMENTS</w:t>
      </w:r>
      <w:r w:rsidRPr="009C4948">
        <w:rPr>
          <w:rFonts w:cs="Times New Roman"/>
          <w:b/>
          <w:sz w:val="28"/>
          <w:szCs w:val="28"/>
        </w:rPr>
        <w:t xml:space="preserve"> </w:t>
      </w:r>
    </w:p>
    <w:p w:rsidR="00915BED" w:rsidRPr="00CD42AF" w:rsidRDefault="00915BED" w:rsidP="00915BED">
      <w:pPr>
        <w:spacing w:after="0" w:line="240" w:lineRule="auto"/>
        <w:jc w:val="center"/>
        <w:rPr>
          <w:rFonts w:cs="Times New Roman"/>
          <w:b/>
          <w:sz w:val="26"/>
          <w:szCs w:val="26"/>
        </w:rPr>
      </w:pPr>
      <w:r w:rsidRPr="00CD42AF">
        <w:rPr>
          <w:rFonts w:cs="Times New Roman"/>
          <w:b/>
          <w:sz w:val="26"/>
          <w:szCs w:val="26"/>
        </w:rPr>
        <w:t>SUBMITTED ON BEHALF OF</w:t>
      </w:r>
      <w:r>
        <w:rPr>
          <w:rFonts w:cs="Times New Roman"/>
          <w:b/>
          <w:sz w:val="26"/>
          <w:szCs w:val="26"/>
        </w:rPr>
        <w:t xml:space="preserve"> THE STAFF OF</w:t>
      </w:r>
    </w:p>
    <w:p w:rsidR="00915BED" w:rsidRPr="00CD42AF" w:rsidRDefault="00915BED" w:rsidP="00915BED">
      <w:pPr>
        <w:spacing w:after="0" w:line="240" w:lineRule="auto"/>
        <w:jc w:val="center"/>
        <w:rPr>
          <w:rFonts w:cs="Times New Roman"/>
          <w:sz w:val="26"/>
          <w:szCs w:val="26"/>
        </w:rPr>
      </w:pPr>
      <w:r w:rsidRPr="00CD42AF">
        <w:rPr>
          <w:rFonts w:cs="Times New Roman"/>
          <w:b/>
          <w:sz w:val="26"/>
          <w:szCs w:val="26"/>
        </w:rPr>
        <w:t>THE PUBLIC UTILITIES COMMISSION OF OHIO</w:t>
      </w:r>
    </w:p>
    <w:p w:rsidR="00915BED" w:rsidRDefault="00915BED" w:rsidP="00915BED">
      <w:pPr>
        <w:tabs>
          <w:tab w:val="left" w:pos="9360"/>
        </w:tabs>
        <w:jc w:val="both"/>
        <w:rPr>
          <w:rFonts w:cs="Times New Roman"/>
          <w:sz w:val="26"/>
          <w:szCs w:val="26"/>
          <w:u w:val="single"/>
        </w:rPr>
      </w:pPr>
      <w:r>
        <w:rPr>
          <w:rFonts w:cs="Times New Roman"/>
          <w:sz w:val="26"/>
          <w:szCs w:val="26"/>
          <w:u w:val="single"/>
        </w:rPr>
        <w:tab/>
      </w:r>
    </w:p>
    <w:p w:rsidR="002E4BCE" w:rsidRPr="00CD42AF" w:rsidRDefault="005E0D99" w:rsidP="00230969">
      <w:pPr>
        <w:pStyle w:val="Heading1"/>
      </w:pPr>
      <w:bookmarkStart w:id="1" w:name="_Toc369162829"/>
      <w:r w:rsidRPr="00CD42AF">
        <w:t>INTRODUCTION</w:t>
      </w:r>
      <w:r w:rsidR="00E42447" w:rsidRPr="00CD42AF">
        <w:t xml:space="preserve"> AND BACKGROUND</w:t>
      </w:r>
      <w:bookmarkEnd w:id="1"/>
    </w:p>
    <w:p w:rsidR="004B3766" w:rsidRPr="00CD42AF" w:rsidRDefault="000E73B4" w:rsidP="00932FB0">
      <w:pPr>
        <w:pStyle w:val="textstyle"/>
      </w:pPr>
      <w:r>
        <w:tab/>
      </w:r>
      <w:r w:rsidR="005E0D99" w:rsidRPr="00CD42AF">
        <w:t xml:space="preserve">On </w:t>
      </w:r>
      <w:r w:rsidR="00932FB0">
        <w:t>August 29, 2013</w:t>
      </w:r>
      <w:r w:rsidR="002B0FA8">
        <w:t xml:space="preserve">, </w:t>
      </w:r>
      <w:r w:rsidR="00932FB0">
        <w:t>Vectren Energy Delivery of Ohio, Inc.</w:t>
      </w:r>
      <w:r w:rsidR="002B0FA8">
        <w:t xml:space="preserve"> (</w:t>
      </w:r>
      <w:r w:rsidR="00932FB0">
        <w:t>VEDO</w:t>
      </w:r>
      <w:r w:rsidR="002B0FA8">
        <w:t xml:space="preserve"> or Company</w:t>
      </w:r>
      <w:r w:rsidR="005E0D99" w:rsidRPr="00CD42AF">
        <w:t xml:space="preserve">) filed an </w:t>
      </w:r>
      <w:r w:rsidR="00A50270">
        <w:t>application (</w:t>
      </w:r>
      <w:r w:rsidR="009A298E">
        <w:t>Appli</w:t>
      </w:r>
      <w:r w:rsidR="009A298E">
        <w:softHyphen/>
        <w:t>cation</w:t>
      </w:r>
      <w:r w:rsidR="00A50270">
        <w:t>)</w:t>
      </w:r>
      <w:r w:rsidR="009A298E">
        <w:t xml:space="preserve"> </w:t>
      </w:r>
      <w:r w:rsidR="00372296">
        <w:t>in the above captioned case</w:t>
      </w:r>
      <w:r w:rsidR="0097072C">
        <w:t>s</w:t>
      </w:r>
      <w:r w:rsidR="00372296">
        <w:t xml:space="preserve"> </w:t>
      </w:r>
      <w:r w:rsidR="005E0D99" w:rsidRPr="00CD42AF">
        <w:t xml:space="preserve">seeking authority </w:t>
      </w:r>
      <w:r w:rsidR="0097072C">
        <w:t>from the Public Utilities C</w:t>
      </w:r>
      <w:r w:rsidR="002B0FA8">
        <w:t>ommission of Ohio (Commission</w:t>
      </w:r>
      <w:r w:rsidR="00372296">
        <w:t xml:space="preserve">) </w:t>
      </w:r>
      <w:r w:rsidR="00932FB0">
        <w:t>to implement</w:t>
      </w:r>
      <w:r w:rsidR="00372296">
        <w:t xml:space="preserve"> a capital expenditure program </w:t>
      </w:r>
      <w:r w:rsidR="002B0FA8">
        <w:t>(</w:t>
      </w:r>
      <w:r w:rsidR="000E2601">
        <w:t>CEP</w:t>
      </w:r>
      <w:r w:rsidR="00813FC9">
        <w:t xml:space="preserve">) </w:t>
      </w:r>
      <w:r w:rsidR="00372296">
        <w:t xml:space="preserve">and to modify its accounting procedures to provide for: </w:t>
      </w:r>
      <w:r w:rsidR="00813FC9">
        <w:t>(1) capital</w:t>
      </w:r>
      <w:r w:rsidR="004E09BA">
        <w:softHyphen/>
      </w:r>
      <w:r w:rsidR="00813FC9">
        <w:t>ization of post-in-ser</w:t>
      </w:r>
      <w:r w:rsidR="002B0FA8">
        <w:softHyphen/>
      </w:r>
      <w:r w:rsidR="00813FC9">
        <w:t xml:space="preserve">vice carrying costs </w:t>
      </w:r>
      <w:r w:rsidR="002B0FA8">
        <w:t>(</w:t>
      </w:r>
      <w:r w:rsidR="0086335A">
        <w:t xml:space="preserve">PISCC) </w:t>
      </w:r>
      <w:r w:rsidR="00813FC9">
        <w:t xml:space="preserve">on those assets of the </w:t>
      </w:r>
      <w:r w:rsidR="000E2601">
        <w:t>CEP</w:t>
      </w:r>
      <w:r w:rsidR="00813FC9">
        <w:t xml:space="preserve"> that are placed into service but not reflected in the Company’s rates as plant in service; (2) </w:t>
      </w:r>
      <w:r w:rsidR="005E0D99" w:rsidRPr="00CD42AF">
        <w:t>defer</w:t>
      </w:r>
      <w:r w:rsidR="00813FC9">
        <w:t>ral of depre</w:t>
      </w:r>
      <w:r w:rsidR="00216D2A">
        <w:softHyphen/>
      </w:r>
      <w:r w:rsidR="00813FC9">
        <w:t xml:space="preserve">ciation expense and property tax </w:t>
      </w:r>
      <w:r w:rsidR="00A45B3D">
        <w:t xml:space="preserve">expenses </w:t>
      </w:r>
      <w:r w:rsidR="00813FC9">
        <w:t xml:space="preserve">directly attributable to the </w:t>
      </w:r>
      <w:r w:rsidR="000E2601">
        <w:t xml:space="preserve">CEP </w:t>
      </w:r>
      <w:r w:rsidR="00813FC9">
        <w:t>assets that are placed into ser</w:t>
      </w:r>
      <w:r w:rsidR="002B0FA8">
        <w:softHyphen/>
      </w:r>
      <w:r w:rsidR="00813FC9">
        <w:t>vice</w:t>
      </w:r>
      <w:r w:rsidR="007F64BE">
        <w:t xml:space="preserve">; and, (3) creation of a regulatory asset </w:t>
      </w:r>
      <w:r w:rsidR="004A5AD9">
        <w:t>to defer the PISCC, deprecia</w:t>
      </w:r>
      <w:r w:rsidR="00C27309">
        <w:softHyphen/>
      </w:r>
      <w:r w:rsidR="004A5AD9">
        <w:lastRenderedPageBreak/>
        <w:t>tion expense, and property tax expense for recovery in a future proceeding</w:t>
      </w:r>
      <w:r w:rsidR="00DB46C6">
        <w:t>.</w:t>
      </w:r>
      <w:r w:rsidR="002A0387">
        <w:rPr>
          <w:rStyle w:val="FootnoteReference"/>
        </w:rPr>
        <w:footnoteReference w:id="1"/>
      </w:r>
      <w:r w:rsidR="00932FB0">
        <w:t xml:space="preserve">  The Applica</w:t>
      </w:r>
      <w:r w:rsidR="00C27309">
        <w:softHyphen/>
      </w:r>
      <w:r w:rsidR="00932FB0">
        <w:t xml:space="preserve">tion proposes that </w:t>
      </w:r>
      <w:r w:rsidR="000E2601">
        <w:t>t</w:t>
      </w:r>
      <w:r w:rsidR="00932FB0">
        <w:t xml:space="preserve">he requested authority to implement </w:t>
      </w:r>
      <w:r w:rsidR="000E2601">
        <w:t>the CEP</w:t>
      </w:r>
      <w:r w:rsidR="00932FB0">
        <w:t xml:space="preserve"> and related deferral authority </w:t>
      </w:r>
      <w:r w:rsidR="00C11E88">
        <w:t xml:space="preserve">will remain in effect until the deferrals, if included in certain VEDO rate schedules, would exceed the $1.50 per month cap established in Case No. 12-530-GA-UNC, </w:t>
      </w:r>
      <w:r w:rsidR="00C11E88" w:rsidRPr="00C11E88">
        <w:rPr>
          <w:i/>
        </w:rPr>
        <w:t>et al</w:t>
      </w:r>
      <w:r w:rsidR="00C11E88">
        <w:t>.</w:t>
      </w:r>
      <w:r w:rsidR="00C11E88">
        <w:rPr>
          <w:rStyle w:val="FootnoteReference"/>
        </w:rPr>
        <w:footnoteReference w:id="2"/>
      </w:r>
    </w:p>
    <w:p w:rsidR="00894D38" w:rsidRDefault="00B25BB4" w:rsidP="00B25BB4">
      <w:pPr>
        <w:pStyle w:val="textstyle"/>
      </w:pPr>
      <w:r>
        <w:tab/>
      </w:r>
      <w:r w:rsidR="00B1655A">
        <w:t>VED</w:t>
      </w:r>
      <w:r w:rsidR="00927043">
        <w:t>O</w:t>
      </w:r>
      <w:r w:rsidR="000365C1" w:rsidRPr="00CD42AF">
        <w:t xml:space="preserve"> filed </w:t>
      </w:r>
      <w:r w:rsidR="00DB46C6">
        <w:t xml:space="preserve">its </w:t>
      </w:r>
      <w:r w:rsidR="009A298E">
        <w:t xml:space="preserve">Application </w:t>
      </w:r>
      <w:r w:rsidR="000365C1" w:rsidRPr="00CD42AF">
        <w:t xml:space="preserve">pursuant to </w:t>
      </w:r>
      <w:r w:rsidR="00DB46C6">
        <w:t xml:space="preserve">sections </w:t>
      </w:r>
      <w:r w:rsidR="00A50270">
        <w:t>4909.18 and 4929.111 o</w:t>
      </w:r>
      <w:r w:rsidR="00894D38">
        <w:t>f the Ohio Revised Code</w:t>
      </w:r>
      <w:r w:rsidR="00DB46C6">
        <w:t xml:space="preserve">.  </w:t>
      </w:r>
      <w:r w:rsidR="002A0387">
        <w:t>Specifi</w:t>
      </w:r>
      <w:r w:rsidR="002B0FA8">
        <w:softHyphen/>
      </w:r>
      <w:r w:rsidR="002A0387">
        <w:t xml:space="preserve">cally, </w:t>
      </w:r>
      <w:r>
        <w:t xml:space="preserve">R.C. </w:t>
      </w:r>
      <w:r w:rsidR="00894D38">
        <w:t>4929.111(A) provides that a natural gas company may file an applica</w:t>
      </w:r>
      <w:r w:rsidR="00C77EB1">
        <w:softHyphen/>
      </w:r>
      <w:r w:rsidR="00894D38">
        <w:t xml:space="preserve">tion with the Commission under </w:t>
      </w:r>
      <w:r>
        <w:t xml:space="preserve">R.C. </w:t>
      </w:r>
      <w:r w:rsidR="00894D38">
        <w:t xml:space="preserve">4909.18, 4929.05, or 4929.11 to implement a </w:t>
      </w:r>
      <w:r w:rsidR="000E2601">
        <w:t>CEP</w:t>
      </w:r>
      <w:r w:rsidR="00894D38">
        <w:t xml:space="preserve"> for any of the following:</w:t>
      </w:r>
    </w:p>
    <w:p w:rsidR="00894D38" w:rsidRDefault="00894D38" w:rsidP="00B25BB4">
      <w:pPr>
        <w:pStyle w:val="NoSpacing"/>
        <w:numPr>
          <w:ilvl w:val="0"/>
          <w:numId w:val="1"/>
        </w:numPr>
        <w:spacing w:before="240" w:after="240"/>
        <w:ind w:left="2160" w:right="1440" w:hanging="720"/>
        <w:rPr>
          <w:rFonts w:cs="Times New Roman"/>
          <w:sz w:val="26"/>
          <w:szCs w:val="26"/>
        </w:rPr>
      </w:pPr>
      <w:r>
        <w:rPr>
          <w:rFonts w:cs="Times New Roman"/>
          <w:sz w:val="26"/>
          <w:szCs w:val="26"/>
        </w:rPr>
        <w:t>Any infrastructure expansion, infrastructure improve</w:t>
      </w:r>
      <w:r w:rsidR="002B0FA8">
        <w:rPr>
          <w:rFonts w:cs="Times New Roman"/>
          <w:sz w:val="26"/>
          <w:szCs w:val="26"/>
        </w:rPr>
        <w:softHyphen/>
      </w:r>
      <w:r>
        <w:rPr>
          <w:rFonts w:cs="Times New Roman"/>
          <w:sz w:val="26"/>
          <w:szCs w:val="26"/>
        </w:rPr>
        <w:t>ment, or infrastructure replacement program;</w:t>
      </w:r>
    </w:p>
    <w:p w:rsidR="00894D38" w:rsidRDefault="00894D38" w:rsidP="00B25BB4">
      <w:pPr>
        <w:pStyle w:val="NoSpacing"/>
        <w:numPr>
          <w:ilvl w:val="0"/>
          <w:numId w:val="1"/>
        </w:numPr>
        <w:spacing w:before="240" w:after="240"/>
        <w:ind w:left="2160" w:right="1440" w:hanging="720"/>
        <w:rPr>
          <w:rFonts w:cs="Times New Roman"/>
          <w:sz w:val="26"/>
          <w:szCs w:val="26"/>
        </w:rPr>
      </w:pPr>
      <w:r>
        <w:rPr>
          <w:rFonts w:cs="Times New Roman"/>
          <w:sz w:val="26"/>
          <w:szCs w:val="26"/>
        </w:rPr>
        <w:t>Any program to install, upgrade, or replace infor</w:t>
      </w:r>
      <w:r w:rsidR="002B0FA8">
        <w:rPr>
          <w:rFonts w:cs="Times New Roman"/>
          <w:sz w:val="26"/>
          <w:szCs w:val="26"/>
        </w:rPr>
        <w:softHyphen/>
      </w:r>
      <w:r>
        <w:rPr>
          <w:rFonts w:cs="Times New Roman"/>
          <w:sz w:val="26"/>
          <w:szCs w:val="26"/>
        </w:rPr>
        <w:t>mation technology systems;</w:t>
      </w:r>
    </w:p>
    <w:p w:rsidR="00894D38" w:rsidRDefault="00894D38" w:rsidP="00B25BB4">
      <w:pPr>
        <w:pStyle w:val="NoSpacing"/>
        <w:numPr>
          <w:ilvl w:val="0"/>
          <w:numId w:val="1"/>
        </w:numPr>
        <w:spacing w:before="240" w:after="240"/>
        <w:ind w:left="2160" w:right="1440" w:hanging="720"/>
        <w:rPr>
          <w:rFonts w:cs="Times New Roman"/>
          <w:sz w:val="26"/>
          <w:szCs w:val="26"/>
        </w:rPr>
      </w:pPr>
      <w:r>
        <w:rPr>
          <w:rFonts w:cs="Times New Roman"/>
          <w:sz w:val="26"/>
          <w:szCs w:val="26"/>
        </w:rPr>
        <w:t xml:space="preserve">Any program reasonably necessary to comply with any rules, regulations, or orders </w:t>
      </w:r>
      <w:r w:rsidR="00DE12CB">
        <w:rPr>
          <w:rFonts w:cs="Times New Roman"/>
          <w:sz w:val="26"/>
          <w:szCs w:val="26"/>
        </w:rPr>
        <w:t>of the Commission or other governmental entity having jurisdiction.</w:t>
      </w:r>
    </w:p>
    <w:p w:rsidR="0086335A" w:rsidRDefault="00B25BB4" w:rsidP="00B25BB4">
      <w:pPr>
        <w:pStyle w:val="textstyle"/>
      </w:pPr>
      <w:r>
        <w:tab/>
        <w:t xml:space="preserve">R.C. </w:t>
      </w:r>
      <w:r w:rsidR="004268C2">
        <w:t>4929.111(C) provides that the Commission shall approve a natural gas com</w:t>
      </w:r>
      <w:r w:rsidR="002B0FA8">
        <w:softHyphen/>
      </w:r>
      <w:r w:rsidR="004268C2">
        <w:t xml:space="preserve">pany’s application </w:t>
      </w:r>
      <w:r w:rsidR="00E86804">
        <w:t xml:space="preserve">for a </w:t>
      </w:r>
      <w:r w:rsidR="000E2601">
        <w:t>CEP</w:t>
      </w:r>
      <w:r w:rsidR="004268C2">
        <w:t xml:space="preserve"> if the Commission finds that the </w:t>
      </w:r>
      <w:r w:rsidR="000E2601">
        <w:t>CEP</w:t>
      </w:r>
      <w:r w:rsidR="004268C2">
        <w:t xml:space="preserve"> is consistent with the natural gas company’s </w:t>
      </w:r>
      <w:r w:rsidR="00363A9A">
        <w:t xml:space="preserve">obligation to furnish necessary and adequate services and facilities </w:t>
      </w:r>
      <w:r w:rsidR="00363A9A">
        <w:lastRenderedPageBreak/>
        <w:t xml:space="preserve">under </w:t>
      </w:r>
      <w:r>
        <w:t>R.C.</w:t>
      </w:r>
      <w:r w:rsidR="00363A9A">
        <w:t xml:space="preserve"> 4905.22 and that the services and facilities are just and reasonable.  </w:t>
      </w:r>
      <w:r w:rsidR="00E86804">
        <w:t xml:space="preserve">Further, </w:t>
      </w:r>
      <w:r>
        <w:t>R.C.</w:t>
      </w:r>
      <w:r w:rsidR="00363A9A">
        <w:t xml:space="preserve"> </w:t>
      </w:r>
      <w:r w:rsidR="00E86804">
        <w:t xml:space="preserve">4929.111(D) </w:t>
      </w:r>
      <w:r w:rsidR="00363A9A">
        <w:t>provides that</w:t>
      </w:r>
      <w:r w:rsidR="0086335A">
        <w:t>,</w:t>
      </w:r>
      <w:r w:rsidR="00363A9A">
        <w:t xml:space="preserve"> </w:t>
      </w:r>
      <w:r w:rsidR="00E86804">
        <w:t xml:space="preserve">in approving an application for </w:t>
      </w:r>
      <w:r w:rsidR="0086335A">
        <w:t xml:space="preserve">a </w:t>
      </w:r>
      <w:r w:rsidR="000E2601">
        <w:t>CEP</w:t>
      </w:r>
      <w:r w:rsidR="009A298E">
        <w:t xml:space="preserve"> </w:t>
      </w:r>
      <w:r w:rsidR="0086335A">
        <w:t xml:space="preserve">under Division (C), </w:t>
      </w:r>
      <w:r w:rsidR="00E86804">
        <w:t xml:space="preserve">the Commission </w:t>
      </w:r>
      <w:r w:rsidR="0086335A">
        <w:t>shall</w:t>
      </w:r>
      <w:r w:rsidR="00E86804">
        <w:t xml:space="preserve"> authorize </w:t>
      </w:r>
      <w:r w:rsidR="0097072C">
        <w:t>the</w:t>
      </w:r>
      <w:r w:rsidR="00E86804">
        <w:t xml:space="preserve"> natural </w:t>
      </w:r>
      <w:r w:rsidR="000D0211">
        <w:t xml:space="preserve">gas </w:t>
      </w:r>
      <w:r w:rsidR="00E86804">
        <w:t xml:space="preserve">company to </w:t>
      </w:r>
      <w:r w:rsidR="00B40984">
        <w:t xml:space="preserve">create regulatory assets for PISCC on that portion of the </w:t>
      </w:r>
      <w:r w:rsidR="000E2601">
        <w:t>CEP</w:t>
      </w:r>
      <w:r w:rsidR="00B40984">
        <w:t xml:space="preserve"> assets that are placed into service but not reflected in base rates as plant</w:t>
      </w:r>
      <w:r w:rsidR="00126E25">
        <w:t xml:space="preserve"> </w:t>
      </w:r>
      <w:r w:rsidR="00B40984">
        <w:t>in-ser</w:t>
      </w:r>
      <w:r w:rsidR="006A4E91">
        <w:softHyphen/>
      </w:r>
      <w:r w:rsidR="00B40984">
        <w:t>vice and for incremental depreciation and property tax expense directly attributable to th</w:t>
      </w:r>
      <w:r w:rsidR="00011697">
        <w:t xml:space="preserve">e </w:t>
      </w:r>
      <w:r w:rsidR="000E2601">
        <w:t>CEP</w:t>
      </w:r>
      <w:r w:rsidR="00011697">
        <w:t xml:space="preserve"> for recovery or deferral for future recovery in an applica</w:t>
      </w:r>
      <w:r w:rsidR="002B0FA8">
        <w:softHyphen/>
      </w:r>
      <w:r w:rsidR="00011697">
        <w:t>tion pursuant to</w:t>
      </w:r>
      <w:r>
        <w:t xml:space="preserve"> R.C.</w:t>
      </w:r>
      <w:r w:rsidR="00011697">
        <w:t xml:space="preserve"> 4909.18, 4905.05, or 4929.11.  </w:t>
      </w:r>
      <w:r>
        <w:t xml:space="preserve">R.C. </w:t>
      </w:r>
      <w:r w:rsidR="00011697">
        <w:t xml:space="preserve">4929.111(F) authorizes </w:t>
      </w:r>
      <w:r w:rsidR="0097072C">
        <w:t>the</w:t>
      </w:r>
      <w:r w:rsidR="00011697">
        <w:t xml:space="preserve"> natural gas com</w:t>
      </w:r>
      <w:r w:rsidR="006A4E91">
        <w:softHyphen/>
      </w:r>
      <w:r w:rsidR="00011697">
        <w:t>pany to make any accounting accruals necessary to establish the reg</w:t>
      </w:r>
      <w:r w:rsidR="00395DDD">
        <w:softHyphen/>
      </w:r>
      <w:r w:rsidR="00011697">
        <w:t>ula</w:t>
      </w:r>
      <w:r w:rsidR="002B0FA8">
        <w:softHyphen/>
      </w:r>
      <w:r w:rsidR="00011697">
        <w:t xml:space="preserve">tory assets authorized under </w:t>
      </w:r>
      <w:r>
        <w:t>R.C.</w:t>
      </w:r>
      <w:r w:rsidR="00011697">
        <w:t xml:space="preserve"> 4929.111(D) in addition to any allowance for f</w:t>
      </w:r>
      <w:r>
        <w:t>unds used during construction (AFUDC</w:t>
      </w:r>
      <w:r w:rsidR="00011697">
        <w:t xml:space="preserve">).  </w:t>
      </w:r>
      <w:r w:rsidR="0097072C">
        <w:t>And, l</w:t>
      </w:r>
      <w:r w:rsidR="00011697">
        <w:t xml:space="preserve">astly, </w:t>
      </w:r>
      <w:r>
        <w:t xml:space="preserve">R.C. </w:t>
      </w:r>
      <w:r w:rsidR="00011697">
        <w:t xml:space="preserve">4929.111(G) provides that </w:t>
      </w:r>
      <w:r w:rsidR="0097072C">
        <w:t xml:space="preserve">any accrual for deferral or recovery under </w:t>
      </w:r>
      <w:r>
        <w:t>R.C.</w:t>
      </w:r>
      <w:r w:rsidR="0097072C">
        <w:t xml:space="preserve"> 4929.111(D) shall be calculated in accordance with the system of accounts estab</w:t>
      </w:r>
      <w:r w:rsidR="00422E1B">
        <w:softHyphen/>
      </w:r>
      <w:r w:rsidR="0097072C">
        <w:t xml:space="preserve">lished by the Commission under </w:t>
      </w:r>
      <w:r>
        <w:t>R.C.</w:t>
      </w:r>
      <w:r w:rsidR="0097072C">
        <w:t xml:space="preserve"> 4905.13.</w:t>
      </w:r>
    </w:p>
    <w:p w:rsidR="0093148C" w:rsidRDefault="00385947" w:rsidP="00B25BB4">
      <w:pPr>
        <w:pStyle w:val="textstyle"/>
      </w:pPr>
      <w:r>
        <w:tab/>
      </w:r>
      <w:r w:rsidR="0036458F">
        <w:t>VEDO</w:t>
      </w:r>
      <w:r w:rsidR="006856B0">
        <w:t>’s</w:t>
      </w:r>
      <w:r w:rsidR="0093148C">
        <w:t xml:space="preserve"> Application </w:t>
      </w:r>
      <w:r w:rsidR="006856B0">
        <w:t xml:space="preserve">in these cases seeks </w:t>
      </w:r>
      <w:r w:rsidR="0036458F">
        <w:t xml:space="preserve">ongoing </w:t>
      </w:r>
      <w:r w:rsidR="006856B0">
        <w:t>authority to implement the Com</w:t>
      </w:r>
      <w:r w:rsidR="00216D2A">
        <w:softHyphen/>
      </w:r>
      <w:r w:rsidR="006856B0">
        <w:t xml:space="preserve">pany’s second </w:t>
      </w:r>
      <w:r w:rsidR="000E2601">
        <w:t>CEP</w:t>
      </w:r>
      <w:r w:rsidR="0093148C">
        <w:t xml:space="preserve"> </w:t>
      </w:r>
      <w:r w:rsidR="00AE756B">
        <w:t>and related deferral authority.</w:t>
      </w:r>
      <w:r w:rsidR="0093148C">
        <w:t xml:space="preserve">  </w:t>
      </w:r>
      <w:r w:rsidR="00AE756B">
        <w:t xml:space="preserve">Last year in Case No. </w:t>
      </w:r>
      <w:r w:rsidR="00D33477">
        <w:t>1</w:t>
      </w:r>
      <w:r w:rsidR="0036458F">
        <w:t>2</w:t>
      </w:r>
      <w:r w:rsidR="00D33477">
        <w:t>-</w:t>
      </w:r>
      <w:r w:rsidR="0036458F">
        <w:t>530</w:t>
      </w:r>
      <w:r w:rsidR="00D33477">
        <w:t>-GA-UNC</w:t>
      </w:r>
      <w:r w:rsidR="00AE756B">
        <w:t>,</w:t>
      </w:r>
      <w:r w:rsidR="00AE756B" w:rsidRPr="004E09BA">
        <w:rPr>
          <w:i/>
        </w:rPr>
        <w:t xml:space="preserve"> et al</w:t>
      </w:r>
      <w:r w:rsidR="00AE756B">
        <w:t xml:space="preserve">, the Commission approved </w:t>
      </w:r>
      <w:r w:rsidR="0036458F">
        <w:t>VED</w:t>
      </w:r>
      <w:r w:rsidR="00AE756B">
        <w:t xml:space="preserve">O’s initial </w:t>
      </w:r>
      <w:r w:rsidR="000E2601">
        <w:t>CEP</w:t>
      </w:r>
      <w:r w:rsidR="00AE756B">
        <w:t xml:space="preserve"> and deferrals covering the period October 1, 2011 through December 31, 2012.</w:t>
      </w:r>
      <w:r w:rsidR="00AE756B">
        <w:rPr>
          <w:rStyle w:val="FootnoteReference"/>
        </w:rPr>
        <w:footnoteReference w:id="3"/>
      </w:r>
      <w:r w:rsidR="004E09BA">
        <w:t xml:space="preserve"> </w:t>
      </w:r>
      <w:r w:rsidR="00D33477">
        <w:t xml:space="preserve"> </w:t>
      </w:r>
      <w:r w:rsidR="00AE756B">
        <w:t xml:space="preserve">The Commission’s </w:t>
      </w:r>
      <w:r w:rsidR="00126E25">
        <w:t xml:space="preserve">Finding </w:t>
      </w:r>
      <w:r w:rsidR="00AE756B">
        <w:t xml:space="preserve">and </w:t>
      </w:r>
      <w:r w:rsidR="00126E25">
        <w:t xml:space="preserve">Order </w:t>
      </w:r>
      <w:r w:rsidR="00AE756B">
        <w:t xml:space="preserve">in that </w:t>
      </w:r>
      <w:r w:rsidR="00D33477">
        <w:t xml:space="preserve">case </w:t>
      </w:r>
      <w:r w:rsidR="00AE756B">
        <w:t xml:space="preserve">also </w:t>
      </w:r>
      <w:r w:rsidR="00D33477">
        <w:t xml:space="preserve">established the following </w:t>
      </w:r>
      <w:r w:rsidR="00AE756B">
        <w:t>requirements</w:t>
      </w:r>
      <w:r w:rsidR="00D33477">
        <w:t>:</w:t>
      </w:r>
      <w:r w:rsidR="00BD3524">
        <w:rPr>
          <w:rStyle w:val="FootnoteReference"/>
        </w:rPr>
        <w:footnoteReference w:id="4"/>
      </w:r>
    </w:p>
    <w:p w:rsidR="003760AD" w:rsidRDefault="003760AD" w:rsidP="003E3559">
      <w:pPr>
        <w:pStyle w:val="textstyle"/>
        <w:numPr>
          <w:ilvl w:val="0"/>
          <w:numId w:val="14"/>
        </w:numPr>
        <w:spacing w:line="240" w:lineRule="auto"/>
      </w:pPr>
      <w:r>
        <w:t>VED</w:t>
      </w:r>
      <w:r w:rsidR="00D33477">
        <w:t>O</w:t>
      </w:r>
      <w:r>
        <w:t xml:space="preserve">’s calculation of </w:t>
      </w:r>
      <w:r w:rsidR="000E2601">
        <w:t>CEP</w:t>
      </w:r>
      <w:r>
        <w:t xml:space="preserve"> deferred regulatory assets should be net of incre</w:t>
      </w:r>
      <w:r w:rsidR="00216D2A">
        <w:softHyphen/>
      </w:r>
      <w:r>
        <w:t xml:space="preserve">mental revenue attributable to </w:t>
      </w:r>
      <w:r w:rsidR="000E2601">
        <w:t>CEP</w:t>
      </w:r>
      <w:r>
        <w:t xml:space="preserve"> investments</w:t>
      </w:r>
      <w:r w:rsidR="00A45B3D">
        <w:t>.</w:t>
      </w:r>
    </w:p>
    <w:p w:rsidR="003760AD" w:rsidRDefault="003760AD" w:rsidP="003760AD">
      <w:pPr>
        <w:pStyle w:val="textstyle"/>
        <w:spacing w:line="240" w:lineRule="auto"/>
        <w:ind w:left="1080"/>
      </w:pPr>
    </w:p>
    <w:p w:rsidR="00D33477" w:rsidRDefault="003760AD" w:rsidP="003E3559">
      <w:pPr>
        <w:pStyle w:val="textstyle"/>
        <w:numPr>
          <w:ilvl w:val="0"/>
          <w:numId w:val="14"/>
        </w:numPr>
        <w:spacing w:line="240" w:lineRule="auto"/>
      </w:pPr>
      <w:r>
        <w:lastRenderedPageBreak/>
        <w:t xml:space="preserve">VEDO </w:t>
      </w:r>
      <w:r w:rsidR="00D33477">
        <w:t>should calculate the total monthly deferral, PISCC, depreciation expense, property tax expense, and incremental revenue</w:t>
      </w:r>
      <w:r>
        <w:t xml:space="preserve">, and revenue from and other sources </w:t>
      </w:r>
      <w:r w:rsidR="00D33477">
        <w:t>by using the spe</w:t>
      </w:r>
      <w:r w:rsidR="004E09BA">
        <w:softHyphen/>
      </w:r>
      <w:r w:rsidR="00D33477">
        <w:t>cific formulas set forth in Staff’s sur-reply comments.</w:t>
      </w:r>
    </w:p>
    <w:p w:rsidR="003760AD" w:rsidRDefault="003760AD" w:rsidP="003760AD">
      <w:pPr>
        <w:pStyle w:val="textstyle"/>
        <w:spacing w:line="240" w:lineRule="auto"/>
        <w:ind w:left="1080"/>
      </w:pPr>
    </w:p>
    <w:p w:rsidR="003760AD" w:rsidRDefault="003760AD" w:rsidP="003E3559">
      <w:pPr>
        <w:pStyle w:val="textstyle"/>
        <w:numPr>
          <w:ilvl w:val="0"/>
          <w:numId w:val="14"/>
        </w:numPr>
        <w:spacing w:line="240" w:lineRule="auto"/>
      </w:pPr>
      <w:r>
        <w:t xml:space="preserve">VEDO’s calculation of </w:t>
      </w:r>
      <w:r w:rsidR="00AB1C0E">
        <w:t xml:space="preserve">incremental revenue should be performed on an annual basis, and should be consistent with the clarifications in Staff’s </w:t>
      </w:r>
      <w:r w:rsidR="00C27309">
        <w:t>sur-</w:t>
      </w:r>
      <w:r w:rsidR="00C27309">
        <w:softHyphen/>
        <w:t>reply</w:t>
      </w:r>
      <w:r w:rsidR="00AB1C0E">
        <w:t xml:space="preserve"> comments in all other aspects.</w:t>
      </w:r>
    </w:p>
    <w:p w:rsidR="003E3559" w:rsidRDefault="003E3559" w:rsidP="003E3559">
      <w:pPr>
        <w:pStyle w:val="textstyle"/>
        <w:spacing w:line="240" w:lineRule="auto"/>
        <w:ind w:left="1440"/>
      </w:pPr>
    </w:p>
    <w:p w:rsidR="00D33477" w:rsidRDefault="00AB1C0E" w:rsidP="003E3559">
      <w:pPr>
        <w:pStyle w:val="textstyle"/>
        <w:numPr>
          <w:ilvl w:val="0"/>
          <w:numId w:val="14"/>
        </w:numPr>
        <w:spacing w:line="240" w:lineRule="auto"/>
      </w:pPr>
      <w:r>
        <w:t>VEDO</w:t>
      </w:r>
      <w:r w:rsidR="00D33477">
        <w:t xml:space="preserve"> should offset the monthly regulatory asset amount charged to the </w:t>
      </w:r>
      <w:r w:rsidR="000E2601">
        <w:t>CEP</w:t>
      </w:r>
      <w:r w:rsidR="00D33477">
        <w:t xml:space="preserve"> by those revenues generated from the assets included in the </w:t>
      </w:r>
      <w:r w:rsidR="000E2601">
        <w:t>CEP</w:t>
      </w:r>
      <w:r w:rsidR="00D33477">
        <w:t xml:space="preserve"> for SFV customers, non-SFV customers, and any other revenue sources directly attributable to </w:t>
      </w:r>
      <w:r w:rsidR="000E2601">
        <w:t>CEP</w:t>
      </w:r>
      <w:r w:rsidR="00D33477">
        <w:t xml:space="preserve"> investments.</w:t>
      </w:r>
    </w:p>
    <w:p w:rsidR="003E3559" w:rsidRDefault="003E3559" w:rsidP="003E3559">
      <w:pPr>
        <w:pStyle w:val="textstyle"/>
        <w:spacing w:line="240" w:lineRule="auto"/>
        <w:ind w:left="1440"/>
      </w:pPr>
    </w:p>
    <w:p w:rsidR="00BD3524" w:rsidRDefault="00AB1C0E" w:rsidP="00BD3524">
      <w:pPr>
        <w:pStyle w:val="textstyle"/>
        <w:numPr>
          <w:ilvl w:val="0"/>
          <w:numId w:val="14"/>
        </w:numPr>
        <w:spacing w:line="240" w:lineRule="auto"/>
      </w:pPr>
      <w:r>
        <w:t>VEDO</w:t>
      </w:r>
      <w:r w:rsidR="00D33477">
        <w:t xml:space="preserve"> should maintain sufficient records to enable Staff to verify that all rev</w:t>
      </w:r>
      <w:r w:rsidR="004E09BA">
        <w:softHyphen/>
      </w:r>
      <w:r w:rsidR="00D33477">
        <w:t xml:space="preserve">enue generated from </w:t>
      </w:r>
      <w:r w:rsidR="000E2601">
        <w:t>CEP</w:t>
      </w:r>
      <w:r w:rsidR="00D33477">
        <w:t xml:space="preserve"> investments is accurately excluded from the total monthly deferral.</w:t>
      </w:r>
    </w:p>
    <w:p w:rsidR="00BD3524" w:rsidRDefault="00BD3524" w:rsidP="00BD3524">
      <w:pPr>
        <w:pStyle w:val="textstyle"/>
        <w:spacing w:line="240" w:lineRule="auto"/>
        <w:ind w:left="1080"/>
      </w:pPr>
    </w:p>
    <w:p w:rsidR="00BD3524" w:rsidRDefault="00BD3524" w:rsidP="003E3559">
      <w:pPr>
        <w:pStyle w:val="textstyle"/>
        <w:numPr>
          <w:ilvl w:val="0"/>
          <w:numId w:val="14"/>
        </w:numPr>
        <w:spacing w:line="240" w:lineRule="auto"/>
      </w:pPr>
      <w:r>
        <w:t>VEDO should calculate the PISCC on assets placed in service under the C</w:t>
      </w:r>
      <w:r w:rsidR="000E2601">
        <w:t>EP</w:t>
      </w:r>
      <w:r>
        <w:t xml:space="preserve"> as recommended by Staff, and should use the long-term cost of debt rate that was set in the VEDO rate case.</w:t>
      </w:r>
    </w:p>
    <w:p w:rsidR="003E3559" w:rsidRDefault="003E3559" w:rsidP="003E3559">
      <w:pPr>
        <w:pStyle w:val="textstyle"/>
        <w:spacing w:line="240" w:lineRule="auto"/>
        <w:ind w:left="1440"/>
      </w:pPr>
    </w:p>
    <w:p w:rsidR="00501F94" w:rsidRDefault="00501F94" w:rsidP="00501F94">
      <w:pPr>
        <w:pStyle w:val="textstyle"/>
        <w:numPr>
          <w:ilvl w:val="0"/>
          <w:numId w:val="14"/>
        </w:numPr>
        <w:spacing w:line="240" w:lineRule="auto"/>
      </w:pPr>
      <w:r>
        <w:t xml:space="preserve">VEDO should calculate the depreciation and property tax deferrals for the </w:t>
      </w:r>
      <w:r w:rsidR="000E2601">
        <w:t>CEP</w:t>
      </w:r>
      <w:r>
        <w:t xml:space="preserve"> in a manner consistent with Staff’s recommendations.</w:t>
      </w:r>
    </w:p>
    <w:p w:rsidR="00501F94" w:rsidRDefault="00501F94" w:rsidP="003E3559">
      <w:pPr>
        <w:pStyle w:val="textstyle"/>
        <w:spacing w:line="240" w:lineRule="auto"/>
        <w:ind w:left="1440"/>
      </w:pPr>
    </w:p>
    <w:p w:rsidR="00D33477" w:rsidRDefault="00501F94" w:rsidP="003E3559">
      <w:pPr>
        <w:pStyle w:val="textstyle"/>
        <w:numPr>
          <w:ilvl w:val="0"/>
          <w:numId w:val="14"/>
        </w:numPr>
        <w:spacing w:line="240" w:lineRule="auto"/>
      </w:pPr>
      <w:r>
        <w:t>VEDO</w:t>
      </w:r>
      <w:r w:rsidR="00D33477">
        <w:t xml:space="preserve"> should docket an annual informational filing </w:t>
      </w:r>
      <w:r w:rsidR="003E3559">
        <w:t xml:space="preserve">by April 30 of each year that details the monthly </w:t>
      </w:r>
      <w:r w:rsidR="000E2601">
        <w:t>CEP</w:t>
      </w:r>
      <w:r w:rsidR="003E3559">
        <w:t xml:space="preserve"> investments and the calculations used to determine the associated deferrals, as recommended by Staff.</w:t>
      </w:r>
      <w:r>
        <w:t xml:space="preserve">  The annual informational filing should include all calculations used to determine the monthly deferred amounts including a breakdown of investments (by budget class), PISCC, depreciation expense, property tax expense, and all incremental revenue, as well as a capital budget for the upcoming year.  The annual informational filing should also include an estimation of the effect that the proposed deferrals would have on customer bills, if they were to be included in rates, and schedules showing the calculations and inputs for deferrals.  Further, if VEDO substantially deviates from planned C</w:t>
      </w:r>
      <w:r w:rsidR="000E2601">
        <w:t>EP</w:t>
      </w:r>
      <w:r>
        <w:t xml:space="preserve"> expenditures specified in its </w:t>
      </w:r>
      <w:r w:rsidR="000E2601">
        <w:t>CEP</w:t>
      </w:r>
      <w:r>
        <w:t xml:space="preserve"> applications or capital budgets provided with its annual informational filing, then VEDO should provide detailed explanations for such deviations in its annual informational filing</w:t>
      </w:r>
      <w:r w:rsidR="00100888">
        <w:t>.</w:t>
      </w:r>
      <w:r>
        <w:t xml:space="preserve">  </w:t>
      </w:r>
    </w:p>
    <w:p w:rsidR="003E3559" w:rsidRDefault="003E3559" w:rsidP="003E3559">
      <w:pPr>
        <w:pStyle w:val="textstyle"/>
        <w:spacing w:line="240" w:lineRule="auto"/>
        <w:ind w:left="1440"/>
      </w:pPr>
    </w:p>
    <w:p w:rsidR="003E3559" w:rsidRDefault="00A45B3D" w:rsidP="003E3559">
      <w:pPr>
        <w:pStyle w:val="textstyle"/>
        <w:numPr>
          <w:ilvl w:val="0"/>
          <w:numId w:val="14"/>
        </w:numPr>
        <w:spacing w:line="240" w:lineRule="auto"/>
      </w:pPr>
      <w:r>
        <w:t xml:space="preserve">VEDO </w:t>
      </w:r>
      <w:r w:rsidR="003E3559">
        <w:t>may accrue C</w:t>
      </w:r>
      <w:r w:rsidR="000E2601">
        <w:t>EP</w:t>
      </w:r>
      <w:r w:rsidR="003E3559">
        <w:t xml:space="preserve"> deferrals up until the point where the accrued defer</w:t>
      </w:r>
      <w:r w:rsidR="004E09BA">
        <w:softHyphen/>
      </w:r>
      <w:r w:rsidR="003E3559">
        <w:t xml:space="preserve">rals, if included in rates, would cause the rates charged to </w:t>
      </w:r>
      <w:r w:rsidR="00100888">
        <w:t xml:space="preserve">Residential </w:t>
      </w:r>
      <w:r w:rsidR="00100888">
        <w:lastRenderedPageBreak/>
        <w:t xml:space="preserve">(Rate 310, 311, and 315) and General Default Sales Service, Group 1 (Rate 320, 321, and 325) customers to increase by more than $1.50 per month.  </w:t>
      </w:r>
      <w:r w:rsidR="008C22C8">
        <w:t>Accrual</w:t>
      </w:r>
      <w:r w:rsidR="00100888">
        <w:t xml:space="preserve"> of all future C</w:t>
      </w:r>
      <w:r w:rsidR="000E2601">
        <w:t>EP</w:t>
      </w:r>
      <w:r w:rsidR="00100888">
        <w:t xml:space="preserve">-related </w:t>
      </w:r>
      <w:r w:rsidR="008C22C8">
        <w:t>deferrals</w:t>
      </w:r>
      <w:r w:rsidR="00100888">
        <w:t xml:space="preserve"> should cease once the $1.50 per month thresho</w:t>
      </w:r>
      <w:r w:rsidR="008C22C8">
        <w:t>ld is surpassed, until such time as VEDO files to recover the existing accrued deferrals and establish a recovery mechanism under Sec</w:t>
      </w:r>
      <w:r w:rsidR="00216D2A">
        <w:softHyphen/>
      </w:r>
      <w:r w:rsidR="008C22C8">
        <w:t xml:space="preserve">tions 4909.18, 4929.05, or </w:t>
      </w:r>
      <w:r>
        <w:t>4929</w:t>
      </w:r>
      <w:r w:rsidR="008C22C8">
        <w:t>.11, Revised Code.</w:t>
      </w:r>
      <w:r w:rsidR="00100888">
        <w:t xml:space="preserve"> </w:t>
      </w:r>
    </w:p>
    <w:p w:rsidR="008C22C8" w:rsidRDefault="008C22C8" w:rsidP="008C22C8">
      <w:pPr>
        <w:pStyle w:val="textstyle"/>
        <w:spacing w:line="240" w:lineRule="auto"/>
      </w:pPr>
    </w:p>
    <w:p w:rsidR="008C22C8" w:rsidRDefault="008C22C8" w:rsidP="008C22C8">
      <w:pPr>
        <w:pStyle w:val="textstyle"/>
        <w:numPr>
          <w:ilvl w:val="0"/>
          <w:numId w:val="14"/>
        </w:numPr>
        <w:spacing w:line="240" w:lineRule="auto"/>
      </w:pPr>
      <w:r>
        <w:t>VEDO may allocate its C</w:t>
      </w:r>
      <w:r w:rsidR="000E2601">
        <w:t>EP</w:t>
      </w:r>
      <w:r>
        <w:t xml:space="preserve"> investments as it deems necessary, however sub</w:t>
      </w:r>
      <w:r w:rsidR="00216D2A">
        <w:softHyphen/>
      </w:r>
      <w:r>
        <w:t xml:space="preserve">stantial and frequent modifications that impair Staff’s ability to monitor VEDO’s </w:t>
      </w:r>
      <w:r w:rsidR="000E2601">
        <w:t>CEP</w:t>
      </w:r>
      <w:r>
        <w:t xml:space="preserve"> may cause the Commission to reexamine the Co</w:t>
      </w:r>
      <w:r w:rsidR="000E2601">
        <w:t>m</w:t>
      </w:r>
      <w:r>
        <w:t>pan</w:t>
      </w:r>
      <w:r w:rsidR="000E2601">
        <w:t>y</w:t>
      </w:r>
      <w:r>
        <w:t>’s C</w:t>
      </w:r>
      <w:r w:rsidR="000E2601">
        <w:t>EP</w:t>
      </w:r>
      <w:r>
        <w:t xml:space="preserve"> deferrals.    </w:t>
      </w:r>
    </w:p>
    <w:p w:rsidR="003E3559" w:rsidRDefault="003E3559" w:rsidP="003E3559">
      <w:pPr>
        <w:pStyle w:val="textstyle"/>
      </w:pPr>
    </w:p>
    <w:p w:rsidR="009614FF" w:rsidRDefault="00385947" w:rsidP="0007697A">
      <w:pPr>
        <w:pStyle w:val="textstyle"/>
        <w:ind w:firstLine="720"/>
      </w:pPr>
      <w:r>
        <w:t xml:space="preserve">On </w:t>
      </w:r>
      <w:r w:rsidR="006A46A5">
        <w:t>September 17</w:t>
      </w:r>
      <w:r>
        <w:t>, 201</w:t>
      </w:r>
      <w:r w:rsidR="00A11BCB">
        <w:t>3</w:t>
      </w:r>
      <w:r>
        <w:t xml:space="preserve">, the Attorney Examiner assigned to these cases issued an Entry </w:t>
      </w:r>
      <w:r w:rsidR="009614FF">
        <w:t>setting a procedural schedule for com</w:t>
      </w:r>
      <w:r w:rsidR="002B0FA8">
        <w:softHyphen/>
      </w:r>
      <w:r w:rsidR="009614FF">
        <w:t xml:space="preserve">ments on </w:t>
      </w:r>
      <w:r w:rsidR="00367AC5">
        <w:t>VEDO</w:t>
      </w:r>
      <w:r w:rsidR="00933E75">
        <w:t>’s</w:t>
      </w:r>
      <w:r w:rsidR="009614FF">
        <w:t xml:space="preserve"> Application as follows:</w:t>
      </w:r>
    </w:p>
    <w:p w:rsidR="008E753D" w:rsidRDefault="006A46A5" w:rsidP="00B25BB4">
      <w:pPr>
        <w:pStyle w:val="NoSpacing"/>
        <w:numPr>
          <w:ilvl w:val="0"/>
          <w:numId w:val="3"/>
        </w:numPr>
        <w:spacing w:before="240" w:after="240"/>
        <w:ind w:left="1440" w:right="1440" w:hanging="720"/>
        <w:rPr>
          <w:rFonts w:cs="Times New Roman"/>
          <w:sz w:val="26"/>
          <w:szCs w:val="26"/>
        </w:rPr>
      </w:pPr>
      <w:r>
        <w:rPr>
          <w:rFonts w:cs="Times New Roman"/>
          <w:sz w:val="26"/>
          <w:szCs w:val="26"/>
        </w:rPr>
        <w:t>October 2</w:t>
      </w:r>
      <w:r w:rsidR="009614FF">
        <w:rPr>
          <w:rFonts w:cs="Times New Roman"/>
          <w:sz w:val="26"/>
          <w:szCs w:val="26"/>
        </w:rPr>
        <w:t>, 201</w:t>
      </w:r>
      <w:r w:rsidR="0007697A">
        <w:rPr>
          <w:rFonts w:cs="Times New Roman"/>
          <w:sz w:val="26"/>
          <w:szCs w:val="26"/>
        </w:rPr>
        <w:t>3</w:t>
      </w:r>
      <w:r w:rsidR="009614FF">
        <w:rPr>
          <w:rFonts w:cs="Times New Roman"/>
          <w:sz w:val="26"/>
          <w:szCs w:val="26"/>
        </w:rPr>
        <w:t xml:space="preserve"> – Deadline for filing of motions to inter</w:t>
      </w:r>
      <w:r w:rsidR="002B0FA8">
        <w:rPr>
          <w:rFonts w:cs="Times New Roman"/>
          <w:sz w:val="26"/>
          <w:szCs w:val="26"/>
        </w:rPr>
        <w:softHyphen/>
      </w:r>
      <w:r w:rsidR="009614FF">
        <w:rPr>
          <w:rFonts w:cs="Times New Roman"/>
          <w:sz w:val="26"/>
          <w:szCs w:val="26"/>
        </w:rPr>
        <w:t>vene;</w:t>
      </w:r>
    </w:p>
    <w:p w:rsidR="009614FF" w:rsidRDefault="006A46A5" w:rsidP="00B25BB4">
      <w:pPr>
        <w:pStyle w:val="NoSpacing"/>
        <w:numPr>
          <w:ilvl w:val="0"/>
          <w:numId w:val="3"/>
        </w:numPr>
        <w:spacing w:before="240" w:after="240"/>
        <w:ind w:left="1440" w:right="1440" w:hanging="720"/>
        <w:rPr>
          <w:rFonts w:cs="Times New Roman"/>
          <w:sz w:val="26"/>
          <w:szCs w:val="26"/>
        </w:rPr>
      </w:pPr>
      <w:r>
        <w:rPr>
          <w:rFonts w:cs="Times New Roman"/>
          <w:sz w:val="26"/>
          <w:szCs w:val="26"/>
        </w:rPr>
        <w:t>October 10</w:t>
      </w:r>
      <w:r w:rsidR="009614FF">
        <w:rPr>
          <w:rFonts w:cs="Times New Roman"/>
          <w:sz w:val="26"/>
          <w:szCs w:val="26"/>
        </w:rPr>
        <w:t>, 201</w:t>
      </w:r>
      <w:r w:rsidR="0007697A">
        <w:rPr>
          <w:rFonts w:cs="Times New Roman"/>
          <w:sz w:val="26"/>
          <w:szCs w:val="26"/>
        </w:rPr>
        <w:t>3</w:t>
      </w:r>
      <w:r w:rsidR="009614FF">
        <w:rPr>
          <w:rFonts w:cs="Times New Roman"/>
          <w:sz w:val="26"/>
          <w:szCs w:val="26"/>
        </w:rPr>
        <w:t xml:space="preserve"> – Deadline for the filing of comments on the Application by Staff and interveners; and, </w:t>
      </w:r>
    </w:p>
    <w:p w:rsidR="009614FF" w:rsidRDefault="006A46A5" w:rsidP="00B25BB4">
      <w:pPr>
        <w:pStyle w:val="NoSpacing"/>
        <w:numPr>
          <w:ilvl w:val="0"/>
          <w:numId w:val="3"/>
        </w:numPr>
        <w:spacing w:before="240" w:after="240"/>
        <w:ind w:left="1440" w:right="1440" w:hanging="720"/>
        <w:rPr>
          <w:rFonts w:cs="Times New Roman"/>
          <w:sz w:val="26"/>
          <w:szCs w:val="26"/>
        </w:rPr>
      </w:pPr>
      <w:r>
        <w:rPr>
          <w:rFonts w:cs="Times New Roman"/>
          <w:sz w:val="26"/>
          <w:szCs w:val="26"/>
        </w:rPr>
        <w:t>October 24</w:t>
      </w:r>
      <w:r w:rsidR="009614FF">
        <w:rPr>
          <w:rFonts w:cs="Times New Roman"/>
          <w:sz w:val="26"/>
          <w:szCs w:val="26"/>
        </w:rPr>
        <w:t>, 201</w:t>
      </w:r>
      <w:r w:rsidR="00A11BCB">
        <w:rPr>
          <w:rFonts w:cs="Times New Roman"/>
          <w:sz w:val="26"/>
          <w:szCs w:val="26"/>
        </w:rPr>
        <w:t>3</w:t>
      </w:r>
      <w:r w:rsidR="009614FF">
        <w:rPr>
          <w:rFonts w:cs="Times New Roman"/>
          <w:sz w:val="26"/>
          <w:szCs w:val="26"/>
        </w:rPr>
        <w:t xml:space="preserve"> – Deadline for all parties to file reply com</w:t>
      </w:r>
      <w:r w:rsidR="002B0FA8">
        <w:rPr>
          <w:rFonts w:cs="Times New Roman"/>
          <w:sz w:val="26"/>
          <w:szCs w:val="26"/>
        </w:rPr>
        <w:softHyphen/>
      </w:r>
      <w:r w:rsidR="005264AE">
        <w:rPr>
          <w:rFonts w:cs="Times New Roman"/>
          <w:sz w:val="26"/>
          <w:szCs w:val="26"/>
        </w:rPr>
        <w:t>ments.</w:t>
      </w:r>
      <w:r w:rsidR="009614FF">
        <w:rPr>
          <w:rFonts w:cs="Times New Roman"/>
          <w:sz w:val="26"/>
          <w:szCs w:val="26"/>
        </w:rPr>
        <w:t xml:space="preserve"> </w:t>
      </w:r>
    </w:p>
    <w:p w:rsidR="007E2DF7" w:rsidRDefault="007E2DF7" w:rsidP="007E2DF7">
      <w:pPr>
        <w:pStyle w:val="NoSpacing"/>
        <w:spacing w:before="240" w:after="240"/>
        <w:ind w:left="1440" w:right="1440"/>
        <w:rPr>
          <w:rFonts w:cs="Times New Roman"/>
          <w:sz w:val="26"/>
          <w:szCs w:val="26"/>
        </w:rPr>
      </w:pPr>
    </w:p>
    <w:p w:rsidR="008E753D" w:rsidRPr="00CD42AF" w:rsidRDefault="00367AC5" w:rsidP="00230969">
      <w:pPr>
        <w:pStyle w:val="Heading1"/>
      </w:pPr>
      <w:bookmarkStart w:id="2" w:name="_Toc369162830"/>
      <w:r>
        <w:t>VEDO</w:t>
      </w:r>
      <w:r w:rsidR="00385947">
        <w:t>’S APPLICATION AND PROPOSED DEFERRALS</w:t>
      </w:r>
      <w:bookmarkEnd w:id="2"/>
      <w:r w:rsidR="00385947">
        <w:t xml:space="preserve"> </w:t>
      </w:r>
    </w:p>
    <w:p w:rsidR="00635B27" w:rsidRDefault="00B62DFA" w:rsidP="00B41843">
      <w:pPr>
        <w:pStyle w:val="textstyle"/>
      </w:pPr>
      <w:r>
        <w:tab/>
      </w:r>
      <w:r w:rsidR="001408B2">
        <w:t xml:space="preserve">In its Application, </w:t>
      </w:r>
      <w:r w:rsidR="00367AC5">
        <w:t xml:space="preserve">VEDO </w:t>
      </w:r>
      <w:r w:rsidR="00B41843">
        <w:t xml:space="preserve">estimates </w:t>
      </w:r>
      <w:r w:rsidR="00367AC5">
        <w:t xml:space="preserve">that </w:t>
      </w:r>
      <w:r w:rsidR="00B41843">
        <w:t xml:space="preserve">its January 1, 2013 to December 31, 2013 CEP investments will </w:t>
      </w:r>
      <w:r w:rsidR="00CD0151">
        <w:t xml:space="preserve">be </w:t>
      </w:r>
      <w:r w:rsidR="00B41843">
        <w:t xml:space="preserve">approximately $61.5 million.  The Company states that the CEP investments proposed in the Application </w:t>
      </w:r>
      <w:r w:rsidR="00183EAE">
        <w:t>specifically excludes capital expenditures</w:t>
      </w:r>
      <w:r w:rsidR="00183EAE" w:rsidRPr="00183EAE">
        <w:t xml:space="preserve"> </w:t>
      </w:r>
      <w:r w:rsidR="00183EAE">
        <w:t>asso</w:t>
      </w:r>
      <w:r w:rsidR="00216D2A">
        <w:softHyphen/>
      </w:r>
      <w:r w:rsidR="00183EAE">
        <w:t>ciated with non-jurisdictional services</w:t>
      </w:r>
      <w:r w:rsidR="00F24C4F">
        <w:t xml:space="preserve">.  It also </w:t>
      </w:r>
      <w:r w:rsidR="00633AF9">
        <w:t>notes</w:t>
      </w:r>
      <w:r w:rsidR="00F24C4F">
        <w:t xml:space="preserve"> that it has a pending application in Case No. 13-1571-GA-ALT to extend and expand its Distribution Replacement Rider (DRR) mechanism for recovery of investments to replace aging infrastructure in its dis</w:t>
      </w:r>
      <w:r w:rsidR="00216D2A">
        <w:softHyphen/>
      </w:r>
      <w:r w:rsidR="00F24C4F">
        <w:t xml:space="preserve">tribution system </w:t>
      </w:r>
      <w:r w:rsidR="00633AF9">
        <w:t>that was originally approved in Case No. 07-1081-GA-ALT.  The Com</w:t>
      </w:r>
      <w:r w:rsidR="00216D2A">
        <w:softHyphen/>
      </w:r>
      <w:r w:rsidR="00633AF9">
        <w:lastRenderedPageBreak/>
        <w:t>pany states that it will withdraw any capital expenditures included in the CEP if such expenditures are ultimately approved for recovery via the DRR mechanism in order to avoid double recovery of the expenditures.</w:t>
      </w:r>
      <w:r w:rsidR="00633AF9">
        <w:rPr>
          <w:rStyle w:val="FootnoteReference"/>
        </w:rPr>
        <w:footnoteReference w:id="5"/>
      </w:r>
      <w:r w:rsidR="00633AF9">
        <w:t xml:space="preserve">  </w:t>
      </w:r>
      <w:r w:rsidR="00F24C4F">
        <w:t xml:space="preserve"> </w:t>
      </w:r>
      <w:r w:rsidR="00B41843">
        <w:t xml:space="preserve"> </w:t>
      </w:r>
    </w:p>
    <w:p w:rsidR="007A496D" w:rsidRDefault="00186914" w:rsidP="00635B27">
      <w:pPr>
        <w:pStyle w:val="textstyle"/>
        <w:ind w:firstLine="720"/>
      </w:pPr>
      <w:r>
        <w:t xml:space="preserve">VEDO states that the CEP investments </w:t>
      </w:r>
      <w:r w:rsidR="00556C82">
        <w:t>fall into five general categories of expend</w:t>
      </w:r>
      <w:r w:rsidR="00216D2A">
        <w:softHyphen/>
      </w:r>
      <w:r w:rsidR="00556C82">
        <w:t>itures</w:t>
      </w:r>
      <w:r>
        <w:t xml:space="preserve">: </w:t>
      </w:r>
      <w:r w:rsidR="00B9771E">
        <w:t>(1) “Infrastructure Expansion</w:t>
      </w:r>
      <w:r w:rsidR="00556C82">
        <w:t xml:space="preserve">;” 2) </w:t>
      </w:r>
      <w:r w:rsidR="00A45B3D">
        <w:t>“</w:t>
      </w:r>
      <w:r w:rsidR="00556C82">
        <w:t xml:space="preserve">Infrastructure </w:t>
      </w:r>
      <w:r w:rsidR="00B9771E">
        <w:t xml:space="preserve">Improvement </w:t>
      </w:r>
      <w:r w:rsidR="00556C82">
        <w:t>and</w:t>
      </w:r>
      <w:r w:rsidR="00B9771E">
        <w:t xml:space="preserve"> Replacement;” (3) “Programs Reasonably Necessary to Comply with Commission Rules, Regula</w:t>
      </w:r>
      <w:r w:rsidR="004E09BA">
        <w:softHyphen/>
      </w:r>
      <w:r w:rsidR="00B9771E">
        <w:t>tions</w:t>
      </w:r>
      <w:r w:rsidR="00556C82">
        <w:t>, and Orders;</w:t>
      </w:r>
      <w:r w:rsidR="00B9771E">
        <w:t>”</w:t>
      </w:r>
      <w:r w:rsidR="00556C82">
        <w:t xml:space="preserve"> (4) “Federal Pipeline Safety Requirements;” and, (5) “Distribution Replacement”</w:t>
      </w:r>
      <w:r w:rsidR="00B9771E">
        <w:rPr>
          <w:rStyle w:val="FootnoteReference"/>
        </w:rPr>
        <w:footnoteReference w:id="6"/>
      </w:r>
      <w:r w:rsidR="003F3DAB">
        <w:t xml:space="preserve">  </w:t>
      </w:r>
      <w:r w:rsidR="007A496D">
        <w:t xml:space="preserve">The </w:t>
      </w:r>
      <w:r w:rsidR="00F24C4F">
        <w:t>CEP</w:t>
      </w:r>
      <w:r w:rsidR="007A496D">
        <w:t xml:space="preserve"> categories and their estimated amounts</w:t>
      </w:r>
      <w:r w:rsidR="00F24C4F">
        <w:t xml:space="preserve"> to be spent in calendar year 2013</w:t>
      </w:r>
      <w:r w:rsidR="007A496D">
        <w:t xml:space="preserve"> are </w:t>
      </w:r>
      <w:r w:rsidR="00925638">
        <w:t>shown below in Table 1.</w:t>
      </w:r>
    </w:p>
    <w:p w:rsidR="00E60F4C" w:rsidRDefault="00E60F4C" w:rsidP="0020282B">
      <w:pPr>
        <w:pStyle w:val="NoSpacing"/>
        <w:jc w:val="center"/>
        <w:rPr>
          <w:rFonts w:cs="Times New Roman"/>
          <w:b/>
          <w:sz w:val="26"/>
          <w:szCs w:val="26"/>
        </w:rPr>
      </w:pPr>
    </w:p>
    <w:p w:rsidR="0020282B" w:rsidRDefault="00925638" w:rsidP="0020282B">
      <w:pPr>
        <w:pStyle w:val="NoSpacing"/>
        <w:jc w:val="center"/>
        <w:rPr>
          <w:rFonts w:cs="Times New Roman"/>
          <w:b/>
          <w:sz w:val="26"/>
          <w:szCs w:val="26"/>
        </w:rPr>
      </w:pPr>
      <w:r w:rsidRPr="0020282B">
        <w:rPr>
          <w:rFonts w:cs="Times New Roman"/>
          <w:b/>
          <w:sz w:val="26"/>
          <w:szCs w:val="26"/>
        </w:rPr>
        <w:t>Table</w:t>
      </w:r>
      <w:r w:rsidR="0020282B" w:rsidRPr="0020282B">
        <w:rPr>
          <w:rFonts w:cs="Times New Roman"/>
          <w:b/>
          <w:sz w:val="26"/>
          <w:szCs w:val="26"/>
        </w:rPr>
        <w:t xml:space="preserve"> 1 – </w:t>
      </w:r>
      <w:r w:rsidR="00F24C4F">
        <w:rPr>
          <w:rFonts w:cs="Times New Roman"/>
          <w:b/>
          <w:sz w:val="26"/>
          <w:szCs w:val="26"/>
        </w:rPr>
        <w:t>VED</w:t>
      </w:r>
      <w:r w:rsidR="00B9771E">
        <w:rPr>
          <w:rFonts w:cs="Times New Roman"/>
          <w:b/>
          <w:sz w:val="26"/>
          <w:szCs w:val="26"/>
        </w:rPr>
        <w:t>O</w:t>
      </w:r>
      <w:r w:rsidR="0020282B" w:rsidRPr="0020282B">
        <w:rPr>
          <w:rFonts w:cs="Times New Roman"/>
          <w:b/>
          <w:sz w:val="26"/>
          <w:szCs w:val="26"/>
        </w:rPr>
        <w:t xml:space="preserve">’s Estimate of Annual </w:t>
      </w:r>
      <w:r w:rsidR="00F24C4F">
        <w:rPr>
          <w:rFonts w:cs="Times New Roman"/>
          <w:b/>
          <w:sz w:val="26"/>
          <w:szCs w:val="26"/>
        </w:rPr>
        <w:t>CEP</w:t>
      </w:r>
      <w:r w:rsidR="0020282B" w:rsidRPr="0020282B">
        <w:rPr>
          <w:rFonts w:cs="Times New Roman"/>
          <w:b/>
          <w:sz w:val="26"/>
          <w:szCs w:val="26"/>
        </w:rPr>
        <w:t xml:space="preserve"> Spending by Category</w:t>
      </w:r>
      <w:r w:rsidR="0020282B">
        <w:rPr>
          <w:rStyle w:val="FootnoteReference"/>
          <w:rFonts w:cs="Times New Roman"/>
          <w:b/>
          <w:sz w:val="26"/>
          <w:szCs w:val="26"/>
        </w:rPr>
        <w:footnoteReference w:id="7"/>
      </w:r>
    </w:p>
    <w:p w:rsidR="0020282B" w:rsidRDefault="0020282B" w:rsidP="0020282B">
      <w:pPr>
        <w:pStyle w:val="NoSpacing"/>
        <w:jc w:val="center"/>
        <w:rPr>
          <w:rFonts w:cs="Times New Roman"/>
          <w:b/>
          <w:sz w:val="26"/>
          <w:szCs w:val="26"/>
        </w:rPr>
      </w:pPr>
      <w:r>
        <w:rPr>
          <w:rFonts w:cs="Times New Roman"/>
          <w:b/>
          <w:sz w:val="26"/>
          <w:szCs w:val="26"/>
        </w:rPr>
        <w:t>($Millions)</w:t>
      </w:r>
    </w:p>
    <w:p w:rsidR="0020282B" w:rsidRPr="0020282B" w:rsidRDefault="0020282B" w:rsidP="0020282B">
      <w:pPr>
        <w:pStyle w:val="NoSpacing"/>
        <w:jc w:val="center"/>
        <w:rPr>
          <w:rFonts w:cs="Times New Roman"/>
          <w:b/>
          <w:sz w:val="26"/>
          <w:szCs w:val="26"/>
        </w:rPr>
      </w:pPr>
    </w:p>
    <w:tbl>
      <w:tblPr>
        <w:tblStyle w:val="TableGrid"/>
        <w:tblW w:w="0" w:type="auto"/>
        <w:jc w:val="center"/>
        <w:tblInd w:w="-978" w:type="dxa"/>
        <w:tblLook w:val="04A0" w:firstRow="1" w:lastRow="0" w:firstColumn="1" w:lastColumn="0" w:noHBand="0" w:noVBand="1"/>
      </w:tblPr>
      <w:tblGrid>
        <w:gridCol w:w="5594"/>
        <w:gridCol w:w="2534"/>
      </w:tblGrid>
      <w:tr w:rsidR="00EE3764" w:rsidTr="002F2224">
        <w:trPr>
          <w:jc w:val="center"/>
        </w:trPr>
        <w:tc>
          <w:tcPr>
            <w:tcW w:w="5594" w:type="dxa"/>
            <w:tcBorders>
              <w:top w:val="single" w:sz="4" w:space="0" w:color="auto"/>
            </w:tcBorders>
          </w:tcPr>
          <w:p w:rsidR="00EE3764" w:rsidRPr="00925638" w:rsidRDefault="00F24C4F" w:rsidP="00B25BB4">
            <w:pPr>
              <w:pStyle w:val="NoSpacing"/>
              <w:spacing w:before="120" w:after="240"/>
              <w:jc w:val="center"/>
              <w:rPr>
                <w:rFonts w:cs="Times New Roman"/>
                <w:b/>
                <w:sz w:val="26"/>
                <w:szCs w:val="26"/>
              </w:rPr>
            </w:pPr>
            <w:r>
              <w:rPr>
                <w:rFonts w:cs="Times New Roman"/>
                <w:b/>
                <w:sz w:val="26"/>
                <w:szCs w:val="26"/>
              </w:rPr>
              <w:t>CEP</w:t>
            </w:r>
            <w:r w:rsidR="00EE3764" w:rsidRPr="00925638">
              <w:rPr>
                <w:rFonts w:cs="Times New Roman"/>
                <w:b/>
                <w:sz w:val="26"/>
                <w:szCs w:val="26"/>
              </w:rPr>
              <w:t xml:space="preserve"> Category</w:t>
            </w:r>
          </w:p>
        </w:tc>
        <w:tc>
          <w:tcPr>
            <w:tcW w:w="2534" w:type="dxa"/>
            <w:tcBorders>
              <w:top w:val="single" w:sz="4" w:space="0" w:color="auto"/>
            </w:tcBorders>
          </w:tcPr>
          <w:p w:rsidR="00EE3764" w:rsidRPr="00925638" w:rsidRDefault="00EE3764" w:rsidP="0024759C">
            <w:pPr>
              <w:pStyle w:val="NoSpacing"/>
              <w:spacing w:before="120" w:after="240"/>
              <w:jc w:val="center"/>
              <w:rPr>
                <w:rFonts w:cs="Times New Roman"/>
                <w:b/>
                <w:sz w:val="26"/>
                <w:szCs w:val="26"/>
              </w:rPr>
            </w:pPr>
            <w:r w:rsidRPr="00925638">
              <w:rPr>
                <w:rFonts w:cs="Times New Roman"/>
                <w:b/>
                <w:sz w:val="26"/>
                <w:szCs w:val="26"/>
              </w:rPr>
              <w:t>1/1 – 12/31/201</w:t>
            </w:r>
            <w:r w:rsidR="0024759C">
              <w:rPr>
                <w:rFonts w:cs="Times New Roman"/>
                <w:b/>
                <w:sz w:val="26"/>
                <w:szCs w:val="26"/>
              </w:rPr>
              <w:t>3</w:t>
            </w:r>
            <w:r w:rsidRPr="00925638">
              <w:rPr>
                <w:rFonts w:cs="Times New Roman"/>
                <w:b/>
                <w:sz w:val="26"/>
                <w:szCs w:val="26"/>
              </w:rPr>
              <w:t xml:space="preserve"> Est.</w:t>
            </w:r>
          </w:p>
        </w:tc>
      </w:tr>
      <w:tr w:rsidR="00EE3764" w:rsidTr="002F2224">
        <w:trPr>
          <w:jc w:val="center"/>
        </w:trPr>
        <w:tc>
          <w:tcPr>
            <w:tcW w:w="5594" w:type="dxa"/>
          </w:tcPr>
          <w:p w:rsidR="00EE3764" w:rsidRDefault="00EE3764" w:rsidP="00F24C4F">
            <w:pPr>
              <w:pStyle w:val="NoSpacing"/>
              <w:spacing w:before="120" w:after="120"/>
              <w:rPr>
                <w:rFonts w:cs="Times New Roman"/>
                <w:sz w:val="26"/>
                <w:szCs w:val="26"/>
              </w:rPr>
            </w:pPr>
            <w:r w:rsidRPr="007A270F">
              <w:rPr>
                <w:rFonts w:cs="Times New Roman"/>
                <w:sz w:val="26"/>
                <w:szCs w:val="26"/>
              </w:rPr>
              <w:t>Infrastructure Expansion</w:t>
            </w:r>
          </w:p>
        </w:tc>
        <w:tc>
          <w:tcPr>
            <w:tcW w:w="2534" w:type="dxa"/>
            <w:vAlign w:val="center"/>
          </w:tcPr>
          <w:p w:rsidR="00EE3764" w:rsidRDefault="00F24C4F" w:rsidP="002F2224">
            <w:pPr>
              <w:pStyle w:val="NoSpacing"/>
              <w:tabs>
                <w:tab w:val="decimal" w:pos="1242"/>
              </w:tabs>
              <w:spacing w:before="120" w:after="120"/>
              <w:rPr>
                <w:rFonts w:cs="Times New Roman"/>
                <w:sz w:val="26"/>
                <w:szCs w:val="26"/>
              </w:rPr>
            </w:pPr>
            <w:r>
              <w:rPr>
                <w:rFonts w:cs="Times New Roman"/>
                <w:sz w:val="26"/>
                <w:szCs w:val="26"/>
              </w:rPr>
              <w:t>9.5</w:t>
            </w:r>
          </w:p>
        </w:tc>
      </w:tr>
      <w:tr w:rsidR="00EE3764" w:rsidTr="002F2224">
        <w:trPr>
          <w:jc w:val="center"/>
        </w:trPr>
        <w:tc>
          <w:tcPr>
            <w:tcW w:w="5594" w:type="dxa"/>
          </w:tcPr>
          <w:p w:rsidR="00EE3764" w:rsidRDefault="00F24C4F" w:rsidP="00F24C4F">
            <w:pPr>
              <w:pStyle w:val="NoSpacing"/>
              <w:spacing w:before="120" w:after="120"/>
              <w:rPr>
                <w:rFonts w:cs="Times New Roman"/>
                <w:sz w:val="26"/>
                <w:szCs w:val="26"/>
              </w:rPr>
            </w:pPr>
            <w:r>
              <w:rPr>
                <w:rFonts w:cs="Times New Roman"/>
                <w:sz w:val="26"/>
                <w:szCs w:val="26"/>
              </w:rPr>
              <w:t>Infrastructure Improvement and</w:t>
            </w:r>
            <w:r w:rsidR="00EE3764" w:rsidRPr="007A270F">
              <w:rPr>
                <w:rFonts w:cs="Times New Roman"/>
                <w:sz w:val="26"/>
                <w:szCs w:val="26"/>
              </w:rPr>
              <w:t xml:space="preserve"> Replacement </w:t>
            </w:r>
          </w:p>
        </w:tc>
        <w:tc>
          <w:tcPr>
            <w:tcW w:w="2534" w:type="dxa"/>
            <w:vAlign w:val="center"/>
          </w:tcPr>
          <w:p w:rsidR="00EE3764" w:rsidRDefault="00F24C4F" w:rsidP="002F2224">
            <w:pPr>
              <w:pStyle w:val="NoSpacing"/>
              <w:tabs>
                <w:tab w:val="decimal" w:pos="1242"/>
              </w:tabs>
              <w:spacing w:before="120" w:after="120"/>
              <w:rPr>
                <w:rFonts w:cs="Times New Roman"/>
                <w:sz w:val="26"/>
                <w:szCs w:val="26"/>
              </w:rPr>
            </w:pPr>
            <w:r>
              <w:rPr>
                <w:rFonts w:cs="Times New Roman"/>
                <w:sz w:val="26"/>
                <w:szCs w:val="26"/>
              </w:rPr>
              <w:t>4.2</w:t>
            </w:r>
          </w:p>
        </w:tc>
      </w:tr>
      <w:tr w:rsidR="00EE3764" w:rsidTr="002F2224">
        <w:trPr>
          <w:jc w:val="center"/>
        </w:trPr>
        <w:tc>
          <w:tcPr>
            <w:tcW w:w="5594" w:type="dxa"/>
          </w:tcPr>
          <w:p w:rsidR="00EE3764" w:rsidRDefault="00EE3764" w:rsidP="00B25BB4">
            <w:pPr>
              <w:pStyle w:val="NoSpacing"/>
              <w:spacing w:before="120" w:after="120"/>
              <w:rPr>
                <w:rFonts w:cs="Times New Roman"/>
                <w:sz w:val="26"/>
                <w:szCs w:val="26"/>
              </w:rPr>
            </w:pPr>
            <w:r w:rsidRPr="007A270F">
              <w:rPr>
                <w:rFonts w:cs="Times New Roman"/>
                <w:sz w:val="26"/>
                <w:szCs w:val="26"/>
              </w:rPr>
              <w:t>Programs Reasonably Necessary to Comply with Commission Rules, Regulations</w:t>
            </w:r>
            <w:r w:rsidR="001B75DC">
              <w:rPr>
                <w:rFonts w:cs="Times New Roman"/>
                <w:sz w:val="26"/>
                <w:szCs w:val="26"/>
              </w:rPr>
              <w:t>,</w:t>
            </w:r>
            <w:r w:rsidRPr="007A270F">
              <w:rPr>
                <w:rFonts w:cs="Times New Roman"/>
                <w:sz w:val="26"/>
                <w:szCs w:val="26"/>
              </w:rPr>
              <w:t xml:space="preserve"> and Orders</w:t>
            </w:r>
          </w:p>
        </w:tc>
        <w:tc>
          <w:tcPr>
            <w:tcW w:w="2534" w:type="dxa"/>
            <w:vAlign w:val="center"/>
          </w:tcPr>
          <w:p w:rsidR="00EE3764" w:rsidRDefault="00F24C4F" w:rsidP="002F2224">
            <w:pPr>
              <w:pStyle w:val="NoSpacing"/>
              <w:tabs>
                <w:tab w:val="decimal" w:pos="1242"/>
              </w:tabs>
              <w:spacing w:before="120" w:after="120"/>
              <w:rPr>
                <w:rFonts w:cs="Times New Roman"/>
                <w:sz w:val="26"/>
                <w:szCs w:val="26"/>
              </w:rPr>
            </w:pPr>
            <w:r>
              <w:rPr>
                <w:rFonts w:cs="Times New Roman"/>
                <w:sz w:val="26"/>
                <w:szCs w:val="26"/>
              </w:rPr>
              <w:t>3.2</w:t>
            </w:r>
          </w:p>
        </w:tc>
      </w:tr>
      <w:tr w:rsidR="00F24C4F" w:rsidTr="002F2224">
        <w:trPr>
          <w:jc w:val="center"/>
        </w:trPr>
        <w:tc>
          <w:tcPr>
            <w:tcW w:w="5594" w:type="dxa"/>
          </w:tcPr>
          <w:p w:rsidR="00F24C4F" w:rsidRPr="007A270F" w:rsidRDefault="00F24C4F" w:rsidP="00B25BB4">
            <w:pPr>
              <w:pStyle w:val="NoSpacing"/>
              <w:spacing w:before="120" w:after="120"/>
              <w:rPr>
                <w:rFonts w:cs="Times New Roman"/>
                <w:sz w:val="26"/>
                <w:szCs w:val="26"/>
              </w:rPr>
            </w:pPr>
            <w:r>
              <w:rPr>
                <w:rFonts w:cs="Times New Roman"/>
                <w:sz w:val="26"/>
                <w:szCs w:val="26"/>
              </w:rPr>
              <w:t xml:space="preserve">Federal Pipeline Safety Requirements </w:t>
            </w:r>
          </w:p>
        </w:tc>
        <w:tc>
          <w:tcPr>
            <w:tcW w:w="2534" w:type="dxa"/>
            <w:vAlign w:val="center"/>
          </w:tcPr>
          <w:p w:rsidR="00F24C4F" w:rsidRDefault="00F24C4F" w:rsidP="002F2224">
            <w:pPr>
              <w:pStyle w:val="NoSpacing"/>
              <w:tabs>
                <w:tab w:val="decimal" w:pos="1242"/>
              </w:tabs>
              <w:spacing w:before="120" w:after="120"/>
              <w:rPr>
                <w:rFonts w:cs="Times New Roman"/>
                <w:sz w:val="26"/>
                <w:szCs w:val="26"/>
              </w:rPr>
            </w:pPr>
            <w:r>
              <w:rPr>
                <w:rFonts w:cs="Times New Roman"/>
                <w:sz w:val="26"/>
                <w:szCs w:val="26"/>
              </w:rPr>
              <w:t>9.8</w:t>
            </w:r>
          </w:p>
        </w:tc>
      </w:tr>
      <w:tr w:rsidR="00F24C4F" w:rsidTr="002F2224">
        <w:trPr>
          <w:jc w:val="center"/>
        </w:trPr>
        <w:tc>
          <w:tcPr>
            <w:tcW w:w="5594" w:type="dxa"/>
          </w:tcPr>
          <w:p w:rsidR="00F24C4F" w:rsidRPr="007A270F" w:rsidRDefault="00F24C4F" w:rsidP="00B25BB4">
            <w:pPr>
              <w:pStyle w:val="NoSpacing"/>
              <w:spacing w:before="120" w:after="120"/>
              <w:rPr>
                <w:rFonts w:cs="Times New Roman"/>
                <w:sz w:val="26"/>
                <w:szCs w:val="26"/>
              </w:rPr>
            </w:pPr>
            <w:r>
              <w:rPr>
                <w:rFonts w:cs="Times New Roman"/>
                <w:sz w:val="26"/>
                <w:szCs w:val="26"/>
              </w:rPr>
              <w:t>Distribution Replacement</w:t>
            </w:r>
          </w:p>
        </w:tc>
        <w:tc>
          <w:tcPr>
            <w:tcW w:w="2534" w:type="dxa"/>
            <w:vAlign w:val="center"/>
          </w:tcPr>
          <w:p w:rsidR="00F24C4F" w:rsidRDefault="00F24C4F" w:rsidP="002F2224">
            <w:pPr>
              <w:pStyle w:val="NoSpacing"/>
              <w:tabs>
                <w:tab w:val="decimal" w:pos="1242"/>
              </w:tabs>
              <w:spacing w:before="120" w:after="120"/>
              <w:rPr>
                <w:rFonts w:cs="Times New Roman"/>
                <w:sz w:val="26"/>
                <w:szCs w:val="26"/>
              </w:rPr>
            </w:pPr>
            <w:r>
              <w:rPr>
                <w:rFonts w:cs="Times New Roman"/>
                <w:sz w:val="26"/>
                <w:szCs w:val="26"/>
              </w:rPr>
              <w:t>34.8</w:t>
            </w:r>
          </w:p>
        </w:tc>
      </w:tr>
      <w:tr w:rsidR="00EE3764" w:rsidTr="002F2224">
        <w:trPr>
          <w:jc w:val="center"/>
        </w:trPr>
        <w:tc>
          <w:tcPr>
            <w:tcW w:w="5594" w:type="dxa"/>
          </w:tcPr>
          <w:p w:rsidR="00EE3764" w:rsidRPr="00925638" w:rsidRDefault="00EE3764" w:rsidP="001B75DC">
            <w:pPr>
              <w:pStyle w:val="NoSpacing"/>
              <w:spacing w:before="120" w:after="120"/>
              <w:rPr>
                <w:rFonts w:cs="Times New Roman"/>
                <w:b/>
                <w:sz w:val="26"/>
                <w:szCs w:val="26"/>
              </w:rPr>
            </w:pPr>
            <w:r w:rsidRPr="00925638">
              <w:rPr>
                <w:rFonts w:cs="Times New Roman"/>
                <w:b/>
                <w:sz w:val="26"/>
                <w:szCs w:val="26"/>
              </w:rPr>
              <w:t xml:space="preserve">Total </w:t>
            </w:r>
            <w:r w:rsidR="001B75DC">
              <w:rPr>
                <w:rFonts w:cs="Times New Roman"/>
                <w:b/>
                <w:sz w:val="26"/>
                <w:szCs w:val="26"/>
              </w:rPr>
              <w:t>CEP</w:t>
            </w:r>
            <w:r w:rsidRPr="00925638">
              <w:rPr>
                <w:rFonts w:cs="Times New Roman"/>
                <w:b/>
                <w:sz w:val="26"/>
                <w:szCs w:val="26"/>
              </w:rPr>
              <w:t xml:space="preserve"> Capital Spending</w:t>
            </w:r>
          </w:p>
        </w:tc>
        <w:tc>
          <w:tcPr>
            <w:tcW w:w="2534" w:type="dxa"/>
            <w:vAlign w:val="center"/>
          </w:tcPr>
          <w:p w:rsidR="00EE3764" w:rsidRDefault="00F24C4F" w:rsidP="002F2224">
            <w:pPr>
              <w:pStyle w:val="NoSpacing"/>
              <w:tabs>
                <w:tab w:val="decimal" w:pos="1242"/>
              </w:tabs>
              <w:spacing w:before="120" w:after="120"/>
              <w:rPr>
                <w:rFonts w:cs="Times New Roman"/>
                <w:sz w:val="26"/>
                <w:szCs w:val="26"/>
              </w:rPr>
            </w:pPr>
            <w:r>
              <w:rPr>
                <w:rFonts w:cs="Times New Roman"/>
                <w:sz w:val="26"/>
                <w:szCs w:val="26"/>
              </w:rPr>
              <w:t>61.5</w:t>
            </w:r>
          </w:p>
        </w:tc>
      </w:tr>
    </w:tbl>
    <w:p w:rsidR="00216D2A" w:rsidRDefault="00186914" w:rsidP="00B25BB4">
      <w:pPr>
        <w:pStyle w:val="textstyle"/>
      </w:pPr>
      <w:r>
        <w:lastRenderedPageBreak/>
        <w:t>VEDO</w:t>
      </w:r>
      <w:r w:rsidR="00683619">
        <w:t xml:space="preserve"> </w:t>
      </w:r>
      <w:r>
        <w:t>states</w:t>
      </w:r>
      <w:r w:rsidR="00B84616">
        <w:t xml:space="preserve"> that the actual amounts </w:t>
      </w:r>
      <w:r w:rsidR="001B75DC">
        <w:t xml:space="preserve">for </w:t>
      </w:r>
      <w:r w:rsidR="00B84616">
        <w:t xml:space="preserve">assets placed in-service under the </w:t>
      </w:r>
      <w:r w:rsidR="001B75DC">
        <w:t xml:space="preserve">Program </w:t>
      </w:r>
      <w:r w:rsidR="00B84616">
        <w:t>may</w:t>
      </w:r>
      <w:r w:rsidR="000B3DE3">
        <w:t xml:space="preserve"> </w:t>
      </w:r>
      <w:r w:rsidR="007E5056">
        <w:t>vary</w:t>
      </w:r>
      <w:r w:rsidR="00B84616">
        <w:t xml:space="preserve"> from the budgeted estimates listed in Table 1 due to a timing difference </w:t>
      </w:r>
      <w:r w:rsidR="00A906A5">
        <w:t>between the date cash</w:t>
      </w:r>
      <w:r w:rsidR="00B84616">
        <w:t xml:space="preserve"> expenditures are made </w:t>
      </w:r>
      <w:r w:rsidR="000B3DE3">
        <w:t xml:space="preserve">and the date plant </w:t>
      </w:r>
      <w:r w:rsidR="00B84616">
        <w:t>is placed in-service</w:t>
      </w:r>
      <w:r w:rsidR="00A906A5">
        <w:t>.</w:t>
      </w:r>
      <w:r w:rsidR="00DF0DFB">
        <w:rPr>
          <w:rStyle w:val="FootnoteReference"/>
        </w:rPr>
        <w:footnoteReference w:id="8"/>
      </w:r>
      <w:r w:rsidR="00DF0DFB">
        <w:t xml:space="preserve">  In addition, </w:t>
      </w:r>
      <w:r>
        <w:t>the Company</w:t>
      </w:r>
      <w:r w:rsidR="00DF0DFB">
        <w:t xml:space="preserve"> indicates that it may reallocate its </w:t>
      </w:r>
      <w:r w:rsidR="002C670F">
        <w:t>CEP</w:t>
      </w:r>
      <w:r w:rsidR="00DF0DFB">
        <w:t xml:space="preserve"> investments among the Program cate</w:t>
      </w:r>
      <w:r w:rsidR="00216D2A">
        <w:softHyphen/>
      </w:r>
      <w:r w:rsidR="00DF0DFB">
        <w:t>gories as it deems necessary to meet the needs of its customers and gas delivery system.</w:t>
      </w:r>
      <w:r w:rsidR="00DF0DFB">
        <w:rPr>
          <w:rStyle w:val="FootnoteReference"/>
        </w:rPr>
        <w:footnoteReference w:id="9"/>
      </w:r>
      <w:r w:rsidR="00DF0DFB">
        <w:t xml:space="preserve">  In doing so, however, </w:t>
      </w:r>
      <w:r w:rsidR="002C670F">
        <w:t>the Company</w:t>
      </w:r>
      <w:r w:rsidR="008D7EC7">
        <w:t xml:space="preserve"> indicates that it will be “mindful that substantial and frequent modifications that impair Staff’s ability to monitor </w:t>
      </w:r>
      <w:r w:rsidR="001B75DC">
        <w:t>VEDO’s CEP</w:t>
      </w:r>
      <w:r w:rsidR="008D7EC7">
        <w:t xml:space="preserve"> may cause the Commission to reex</w:t>
      </w:r>
      <w:r w:rsidR="004E09BA">
        <w:softHyphen/>
      </w:r>
      <w:r w:rsidR="008D7EC7">
        <w:t xml:space="preserve">amine the Company’s deferrals” in accordance with </w:t>
      </w:r>
      <w:r w:rsidR="002C670F">
        <w:t>the Commis</w:t>
      </w:r>
      <w:r w:rsidR="00C27309">
        <w:softHyphen/>
      </w:r>
      <w:r w:rsidR="002C670F">
        <w:t>sion’s</w:t>
      </w:r>
      <w:r w:rsidR="008D7EC7">
        <w:t xml:space="preserve"> </w:t>
      </w:r>
      <w:r w:rsidR="00A652C0">
        <w:t xml:space="preserve">Finding </w:t>
      </w:r>
      <w:r w:rsidR="004E09BA">
        <w:t xml:space="preserve">and </w:t>
      </w:r>
      <w:r w:rsidR="00A652C0">
        <w:t xml:space="preserve">Order </w:t>
      </w:r>
      <w:r w:rsidR="008D7EC7">
        <w:t xml:space="preserve">in Case No. 12-530-GA-UNC authorizing </w:t>
      </w:r>
      <w:r w:rsidR="002C670F">
        <w:t>its initial CEP.</w:t>
      </w:r>
      <w:r w:rsidR="002C670F">
        <w:rPr>
          <w:rStyle w:val="FootnoteReference"/>
        </w:rPr>
        <w:footnoteReference w:id="10"/>
      </w:r>
      <w:r w:rsidR="00635B27">
        <w:t xml:space="preserve">  V</w:t>
      </w:r>
      <w:r w:rsidR="007E5056">
        <w:t>EDO</w:t>
      </w:r>
      <w:r w:rsidR="007A270F">
        <w:t xml:space="preserve"> describes the </w:t>
      </w:r>
      <w:r w:rsidR="007E5056">
        <w:t>CEP</w:t>
      </w:r>
      <w:r w:rsidR="007A270F">
        <w:t xml:space="preserve"> categories as follows: </w:t>
      </w:r>
    </w:p>
    <w:p w:rsidR="003C5DFF" w:rsidRDefault="007A270F" w:rsidP="00B25BB4">
      <w:pPr>
        <w:pStyle w:val="NoSpacing"/>
        <w:numPr>
          <w:ilvl w:val="0"/>
          <w:numId w:val="4"/>
        </w:numPr>
        <w:spacing w:line="480" w:lineRule="auto"/>
        <w:ind w:left="1440" w:hanging="720"/>
        <w:rPr>
          <w:rFonts w:cs="Times New Roman"/>
          <w:sz w:val="26"/>
          <w:szCs w:val="26"/>
        </w:rPr>
      </w:pPr>
      <w:r w:rsidRPr="007A270F">
        <w:rPr>
          <w:rFonts w:cs="Times New Roman"/>
          <w:b/>
          <w:sz w:val="26"/>
          <w:szCs w:val="26"/>
        </w:rPr>
        <w:t>Infrastructure Expansion</w:t>
      </w:r>
      <w:r w:rsidRPr="007A270F">
        <w:rPr>
          <w:rFonts w:cs="Times New Roman"/>
          <w:sz w:val="26"/>
          <w:szCs w:val="26"/>
        </w:rPr>
        <w:t xml:space="preserve"> </w:t>
      </w:r>
      <w:r>
        <w:rPr>
          <w:rFonts w:cs="Times New Roman"/>
          <w:sz w:val="26"/>
          <w:szCs w:val="26"/>
        </w:rPr>
        <w:t>–</w:t>
      </w:r>
      <w:r w:rsidR="002A5BC5">
        <w:rPr>
          <w:rFonts w:cs="Times New Roman"/>
          <w:sz w:val="26"/>
          <w:szCs w:val="26"/>
        </w:rPr>
        <w:t xml:space="preserve"> includes capi</w:t>
      </w:r>
      <w:r w:rsidR="004E09BA">
        <w:rPr>
          <w:rFonts w:cs="Times New Roman"/>
          <w:sz w:val="26"/>
          <w:szCs w:val="26"/>
        </w:rPr>
        <w:softHyphen/>
      </w:r>
      <w:r w:rsidR="002A5BC5">
        <w:rPr>
          <w:rFonts w:cs="Times New Roman"/>
          <w:sz w:val="26"/>
          <w:szCs w:val="26"/>
        </w:rPr>
        <w:t xml:space="preserve">tal expenditures for </w:t>
      </w:r>
      <w:r w:rsidR="00DB1F3B">
        <w:rPr>
          <w:rFonts w:cs="Times New Roman"/>
          <w:sz w:val="26"/>
          <w:szCs w:val="26"/>
        </w:rPr>
        <w:t xml:space="preserve">main line extensions, main-to-meter service line installations, and meter installations for new </w:t>
      </w:r>
      <w:r w:rsidR="0012378E">
        <w:rPr>
          <w:rFonts w:cs="Times New Roman"/>
          <w:sz w:val="26"/>
          <w:szCs w:val="26"/>
        </w:rPr>
        <w:t>customers.</w:t>
      </w:r>
      <w:r w:rsidR="002A5BC5">
        <w:rPr>
          <w:rStyle w:val="FootnoteReference"/>
          <w:rFonts w:cs="Times New Roman"/>
          <w:sz w:val="26"/>
          <w:szCs w:val="26"/>
        </w:rPr>
        <w:footnoteReference w:id="11"/>
      </w:r>
      <w:r w:rsidR="002A5BC5">
        <w:rPr>
          <w:rFonts w:cs="Times New Roman"/>
          <w:sz w:val="26"/>
          <w:szCs w:val="26"/>
        </w:rPr>
        <w:t xml:space="preserve"> </w:t>
      </w:r>
      <w:r w:rsidR="00850A6E">
        <w:rPr>
          <w:rFonts w:cs="Times New Roman"/>
          <w:sz w:val="26"/>
          <w:szCs w:val="26"/>
        </w:rPr>
        <w:t xml:space="preserve"> </w:t>
      </w:r>
    </w:p>
    <w:p w:rsidR="007A270F" w:rsidRDefault="00DB1F3B" w:rsidP="00B25BB4">
      <w:pPr>
        <w:pStyle w:val="NoSpacing"/>
        <w:numPr>
          <w:ilvl w:val="0"/>
          <w:numId w:val="4"/>
        </w:numPr>
        <w:spacing w:line="480" w:lineRule="auto"/>
        <w:ind w:left="1440" w:hanging="720"/>
        <w:rPr>
          <w:rFonts w:cs="Times New Roman"/>
          <w:sz w:val="26"/>
          <w:szCs w:val="26"/>
        </w:rPr>
      </w:pPr>
      <w:r>
        <w:rPr>
          <w:rFonts w:cs="Times New Roman"/>
          <w:b/>
          <w:sz w:val="26"/>
          <w:szCs w:val="26"/>
        </w:rPr>
        <w:t xml:space="preserve">Infrastructure Improvement and Replacement </w:t>
      </w:r>
      <w:r w:rsidR="007A270F">
        <w:rPr>
          <w:rFonts w:cs="Times New Roman"/>
          <w:sz w:val="26"/>
          <w:szCs w:val="26"/>
        </w:rPr>
        <w:t>– includes</w:t>
      </w:r>
      <w:r w:rsidR="002A5BC5">
        <w:rPr>
          <w:rFonts w:cs="Times New Roman"/>
          <w:sz w:val="26"/>
          <w:szCs w:val="26"/>
        </w:rPr>
        <w:t xml:space="preserve"> capital expendi</w:t>
      </w:r>
      <w:r w:rsidR="00216D2A">
        <w:rPr>
          <w:rFonts w:cs="Times New Roman"/>
          <w:sz w:val="26"/>
          <w:szCs w:val="26"/>
        </w:rPr>
        <w:softHyphen/>
      </w:r>
      <w:r w:rsidR="002A5BC5">
        <w:rPr>
          <w:rFonts w:cs="Times New Roman"/>
          <w:sz w:val="26"/>
          <w:szCs w:val="26"/>
        </w:rPr>
        <w:t xml:space="preserve">tures for </w:t>
      </w:r>
      <w:r>
        <w:rPr>
          <w:rFonts w:cs="Times New Roman"/>
          <w:sz w:val="26"/>
          <w:szCs w:val="26"/>
        </w:rPr>
        <w:t xml:space="preserve">distribution system betterments, including pipeline, service line, regulating station, integrity management, and other improvements or replacements, including non-billable pipeline relocations associated with the Company’s distribution and transmission systems.  This category does </w:t>
      </w:r>
      <w:r>
        <w:rPr>
          <w:rFonts w:cs="Times New Roman"/>
          <w:sz w:val="26"/>
          <w:szCs w:val="26"/>
        </w:rPr>
        <w:lastRenderedPageBreak/>
        <w:t xml:space="preserve">not include </w:t>
      </w:r>
      <w:r w:rsidR="005074AF">
        <w:rPr>
          <w:rFonts w:cs="Times New Roman"/>
          <w:sz w:val="26"/>
          <w:szCs w:val="26"/>
        </w:rPr>
        <w:t>distribution and transmission investment captured in other cate</w:t>
      </w:r>
      <w:r w:rsidR="00216D2A">
        <w:rPr>
          <w:rFonts w:cs="Times New Roman"/>
          <w:sz w:val="26"/>
          <w:szCs w:val="26"/>
        </w:rPr>
        <w:softHyphen/>
      </w:r>
      <w:r w:rsidR="005074AF">
        <w:rPr>
          <w:rFonts w:cs="Times New Roman"/>
          <w:sz w:val="26"/>
          <w:szCs w:val="26"/>
        </w:rPr>
        <w:t>gories, such as complying with federal pipeline safety requirements and distribution replacement.</w:t>
      </w:r>
      <w:r w:rsidR="00CA5991">
        <w:rPr>
          <w:rStyle w:val="FootnoteReference"/>
          <w:rFonts w:cs="Times New Roman"/>
          <w:sz w:val="26"/>
          <w:szCs w:val="26"/>
        </w:rPr>
        <w:footnoteReference w:id="12"/>
      </w:r>
      <w:r w:rsidR="007A270F">
        <w:rPr>
          <w:rFonts w:cs="Times New Roman"/>
          <w:sz w:val="26"/>
          <w:szCs w:val="26"/>
        </w:rPr>
        <w:t xml:space="preserve"> </w:t>
      </w:r>
    </w:p>
    <w:p w:rsidR="005074AF" w:rsidRDefault="005074AF" w:rsidP="005074AF">
      <w:pPr>
        <w:pStyle w:val="NoSpacing"/>
        <w:numPr>
          <w:ilvl w:val="0"/>
          <w:numId w:val="4"/>
        </w:numPr>
        <w:spacing w:line="480" w:lineRule="auto"/>
        <w:ind w:left="1440" w:hanging="720"/>
        <w:rPr>
          <w:rFonts w:cs="Times New Roman"/>
          <w:sz w:val="26"/>
          <w:szCs w:val="26"/>
        </w:rPr>
      </w:pPr>
      <w:r w:rsidRPr="007A270F">
        <w:rPr>
          <w:rFonts w:cs="Times New Roman"/>
          <w:b/>
          <w:sz w:val="26"/>
          <w:szCs w:val="26"/>
        </w:rPr>
        <w:t>Programs Reasonably Necessary to Comply with Commission Rules, Regulations and Orders</w:t>
      </w:r>
      <w:r>
        <w:rPr>
          <w:rFonts w:cs="Times New Roman"/>
          <w:b/>
          <w:sz w:val="26"/>
          <w:szCs w:val="26"/>
        </w:rPr>
        <w:t xml:space="preserve"> – </w:t>
      </w:r>
      <w:r w:rsidRPr="00850A6E">
        <w:rPr>
          <w:rFonts w:cs="Times New Roman"/>
          <w:sz w:val="26"/>
          <w:szCs w:val="26"/>
        </w:rPr>
        <w:t xml:space="preserve">includes </w:t>
      </w:r>
      <w:r>
        <w:rPr>
          <w:rFonts w:cs="Times New Roman"/>
          <w:sz w:val="26"/>
          <w:szCs w:val="26"/>
        </w:rPr>
        <w:t>capital expenditures in areas such as buildings, fleet, tools and equipment, metering, and instrumentation.</w:t>
      </w:r>
      <w:r>
        <w:rPr>
          <w:rStyle w:val="FootnoteReference"/>
          <w:rFonts w:cs="Times New Roman"/>
          <w:sz w:val="26"/>
          <w:szCs w:val="26"/>
        </w:rPr>
        <w:footnoteReference w:id="13"/>
      </w:r>
    </w:p>
    <w:p w:rsidR="002F2224" w:rsidRDefault="005074AF" w:rsidP="00B25BB4">
      <w:pPr>
        <w:pStyle w:val="NoSpacing"/>
        <w:numPr>
          <w:ilvl w:val="0"/>
          <w:numId w:val="4"/>
        </w:numPr>
        <w:spacing w:line="480" w:lineRule="auto"/>
        <w:ind w:left="1440" w:hanging="720"/>
        <w:rPr>
          <w:rFonts w:cs="Times New Roman"/>
          <w:b/>
          <w:sz w:val="26"/>
          <w:szCs w:val="26"/>
        </w:rPr>
      </w:pPr>
      <w:r>
        <w:rPr>
          <w:rFonts w:cs="Times New Roman"/>
          <w:b/>
          <w:sz w:val="26"/>
          <w:szCs w:val="26"/>
        </w:rPr>
        <w:t xml:space="preserve">Federal Pipeline Safety Requirements – </w:t>
      </w:r>
      <w:r w:rsidRPr="00850A6E">
        <w:rPr>
          <w:rFonts w:cs="Times New Roman"/>
          <w:sz w:val="26"/>
          <w:szCs w:val="26"/>
        </w:rPr>
        <w:t xml:space="preserve">includes </w:t>
      </w:r>
      <w:r>
        <w:rPr>
          <w:rFonts w:cs="Times New Roman"/>
          <w:sz w:val="26"/>
          <w:szCs w:val="26"/>
        </w:rPr>
        <w:t>capital expenditures to meet mandates from existing and new transmission and distribution integ</w:t>
      </w:r>
      <w:r w:rsidR="00216D2A">
        <w:rPr>
          <w:rFonts w:cs="Times New Roman"/>
          <w:sz w:val="26"/>
          <w:szCs w:val="26"/>
        </w:rPr>
        <w:softHyphen/>
      </w:r>
      <w:r>
        <w:rPr>
          <w:rFonts w:cs="Times New Roman"/>
          <w:sz w:val="26"/>
          <w:szCs w:val="26"/>
        </w:rPr>
        <w:t>rity management requirements and new rules issued by the Pipeline Haz</w:t>
      </w:r>
      <w:r w:rsidR="00216D2A">
        <w:rPr>
          <w:rFonts w:cs="Times New Roman"/>
          <w:sz w:val="26"/>
          <w:szCs w:val="26"/>
        </w:rPr>
        <w:softHyphen/>
      </w:r>
      <w:r>
        <w:rPr>
          <w:rFonts w:cs="Times New Roman"/>
          <w:sz w:val="26"/>
          <w:szCs w:val="26"/>
        </w:rPr>
        <w:t>ardous Materials &amp; Safety Administration (PHMSA).</w:t>
      </w:r>
      <w:r>
        <w:rPr>
          <w:rStyle w:val="FootnoteReference"/>
          <w:rFonts w:cs="Times New Roman"/>
          <w:sz w:val="26"/>
          <w:szCs w:val="26"/>
        </w:rPr>
        <w:footnoteReference w:id="14"/>
      </w:r>
      <w:r>
        <w:rPr>
          <w:rFonts w:cs="Times New Roman"/>
          <w:sz w:val="26"/>
          <w:szCs w:val="26"/>
        </w:rPr>
        <w:t xml:space="preserve"> </w:t>
      </w:r>
    </w:p>
    <w:p w:rsidR="00B475DC" w:rsidRDefault="00635B27" w:rsidP="00B25BB4">
      <w:pPr>
        <w:pStyle w:val="NoSpacing"/>
        <w:numPr>
          <w:ilvl w:val="0"/>
          <w:numId w:val="4"/>
        </w:numPr>
        <w:spacing w:line="480" w:lineRule="auto"/>
        <w:ind w:left="1440" w:hanging="720"/>
        <w:rPr>
          <w:rFonts w:cs="Times New Roman"/>
          <w:sz w:val="26"/>
          <w:szCs w:val="26"/>
        </w:rPr>
      </w:pPr>
      <w:r>
        <w:rPr>
          <w:rFonts w:cs="Times New Roman"/>
          <w:b/>
          <w:sz w:val="26"/>
          <w:szCs w:val="26"/>
        </w:rPr>
        <w:t>Distribution Replacement</w:t>
      </w:r>
      <w:r w:rsidR="007A270F">
        <w:rPr>
          <w:rFonts w:cs="Times New Roman"/>
          <w:b/>
          <w:sz w:val="26"/>
          <w:szCs w:val="26"/>
        </w:rPr>
        <w:t xml:space="preserve"> – </w:t>
      </w:r>
      <w:r w:rsidR="007A270F" w:rsidRPr="00850A6E">
        <w:rPr>
          <w:rFonts w:cs="Times New Roman"/>
          <w:sz w:val="26"/>
          <w:szCs w:val="26"/>
        </w:rPr>
        <w:t xml:space="preserve">includes </w:t>
      </w:r>
      <w:r w:rsidR="00CA5991">
        <w:rPr>
          <w:rFonts w:cs="Times New Roman"/>
          <w:sz w:val="26"/>
          <w:szCs w:val="26"/>
        </w:rPr>
        <w:t xml:space="preserve">capital expenditures </w:t>
      </w:r>
      <w:r>
        <w:rPr>
          <w:rFonts w:cs="Times New Roman"/>
          <w:sz w:val="26"/>
          <w:szCs w:val="26"/>
        </w:rPr>
        <w:t>that VEDO has proposed for recovery via the modified DRR pursuant to the Company’s pending application in Case No. 13-1571-GA-ALT.  As noted previously, VEDO states that it will remove such expenditures from the CEP if recov</w:t>
      </w:r>
      <w:r w:rsidR="00216D2A">
        <w:rPr>
          <w:rFonts w:cs="Times New Roman"/>
          <w:sz w:val="26"/>
          <w:szCs w:val="26"/>
        </w:rPr>
        <w:softHyphen/>
      </w:r>
      <w:r>
        <w:rPr>
          <w:rFonts w:cs="Times New Roman"/>
          <w:sz w:val="26"/>
          <w:szCs w:val="26"/>
        </w:rPr>
        <w:t>ery of the expenditures is approved via the DRR.</w:t>
      </w:r>
      <w:r w:rsidR="00CA5991">
        <w:rPr>
          <w:rStyle w:val="FootnoteReference"/>
          <w:rFonts w:cs="Times New Roman"/>
          <w:sz w:val="26"/>
          <w:szCs w:val="26"/>
        </w:rPr>
        <w:footnoteReference w:id="15"/>
      </w:r>
    </w:p>
    <w:p w:rsidR="00CA5991" w:rsidRDefault="00B217F5" w:rsidP="00E60F4C">
      <w:pPr>
        <w:pStyle w:val="textstyle"/>
      </w:pPr>
      <w:r>
        <w:t xml:space="preserve">The </w:t>
      </w:r>
      <w:r w:rsidR="00067410">
        <w:t>Company</w:t>
      </w:r>
      <w:r w:rsidR="00CA5991" w:rsidRPr="00CA5991">
        <w:t xml:space="preserve"> </w:t>
      </w:r>
      <w:r w:rsidR="00CA5991">
        <w:t xml:space="preserve">states that the </w:t>
      </w:r>
      <w:r w:rsidR="001B75DC">
        <w:t>CEP</w:t>
      </w:r>
      <w:r w:rsidR="00CA5991">
        <w:t xml:space="preserve"> costs </w:t>
      </w:r>
      <w:r w:rsidR="005326BF">
        <w:t>include applicable supervisory, engineering, gen</w:t>
      </w:r>
      <w:r w:rsidR="00C27309">
        <w:softHyphen/>
      </w:r>
      <w:r w:rsidR="005326BF">
        <w:t>eral and administrative overheads</w:t>
      </w:r>
      <w:r w:rsidR="001B75DC">
        <w:t>,</w:t>
      </w:r>
      <w:r w:rsidR="005326BF">
        <w:t xml:space="preserve"> and Allowance for Funds Used </w:t>
      </w:r>
      <w:proofErr w:type="gramStart"/>
      <w:r w:rsidR="005326BF">
        <w:t>During</w:t>
      </w:r>
      <w:proofErr w:type="gramEnd"/>
      <w:r w:rsidR="005326BF">
        <w:t xml:space="preserve"> Construction </w:t>
      </w:r>
      <w:r w:rsidR="005326BF">
        <w:lastRenderedPageBreak/>
        <w:t>(AFUDC) and are net of any contributions, deposits, or other aid to con</w:t>
      </w:r>
      <w:r w:rsidR="00422E1B">
        <w:softHyphen/>
      </w:r>
      <w:r w:rsidR="005326BF">
        <w:t>struction.</w:t>
      </w:r>
      <w:r w:rsidR="005326BF">
        <w:rPr>
          <w:rStyle w:val="FootnoteReference"/>
        </w:rPr>
        <w:footnoteReference w:id="16"/>
      </w:r>
      <w:r w:rsidR="005326BF">
        <w:t xml:space="preserve">  </w:t>
      </w:r>
      <w:r w:rsidR="0082429A">
        <w:t>In addi</w:t>
      </w:r>
      <w:r w:rsidR="00C27309">
        <w:softHyphen/>
      </w:r>
      <w:r w:rsidR="0082429A">
        <w:t>tion,</w:t>
      </w:r>
      <w:r w:rsidR="005326BF">
        <w:t xml:space="preserve"> it maintains that the </w:t>
      </w:r>
      <w:r w:rsidR="001B75DC">
        <w:t>CEP</w:t>
      </w:r>
      <w:r w:rsidR="005326BF">
        <w:t xml:space="preserve"> is consistent with its obliga</w:t>
      </w:r>
      <w:r w:rsidR="007421EC">
        <w:softHyphen/>
      </w:r>
      <w:r w:rsidR="005326BF">
        <w:t>tion to furnish necessary and adequate service and facilities pursuant to R.C. 4905.22.</w:t>
      </w:r>
      <w:r w:rsidR="005326BF">
        <w:rPr>
          <w:rStyle w:val="FootnoteReference"/>
        </w:rPr>
        <w:footnoteReference w:id="17"/>
      </w:r>
      <w:r w:rsidR="005326BF">
        <w:t xml:space="preserve"> </w:t>
      </w:r>
    </w:p>
    <w:p w:rsidR="005713B3" w:rsidRDefault="005713B3" w:rsidP="00E60F4C">
      <w:pPr>
        <w:pStyle w:val="textstyle"/>
      </w:pPr>
      <w:r>
        <w:tab/>
        <w:t>Lastly, VEDO’s Application indicates that the Company accepts continuation of applicable requirements established in the Commission’s December 12, 2012 Finding and Order in Case No. 12-530-GA-UNC that authorized its initial CEP, including:</w:t>
      </w:r>
    </w:p>
    <w:p w:rsidR="009F6C39" w:rsidRDefault="00C27309" w:rsidP="00F040C6">
      <w:pPr>
        <w:pStyle w:val="textstyle"/>
        <w:numPr>
          <w:ilvl w:val="0"/>
          <w:numId w:val="16"/>
        </w:numPr>
      </w:pPr>
      <w:r>
        <w:t xml:space="preserve">The Company will calculate the PISCC, depreciation </w:t>
      </w:r>
      <w:proofErr w:type="gramStart"/>
      <w:r>
        <w:t>expense,</w:t>
      </w:r>
      <w:proofErr w:type="gramEnd"/>
      <w:r>
        <w:t xml:space="preserve"> property tax expense, incremental revenue, and total monthly deferral using the specific for</w:t>
      </w:r>
      <w:r>
        <w:softHyphen/>
        <w:t>mulas set forth in the Staff’s sur-reply comments and will calculate its incremental revenue on a calendar year basis as recommended by Staff.</w:t>
      </w:r>
      <w:r>
        <w:rPr>
          <w:rStyle w:val="FootnoteReference"/>
        </w:rPr>
        <w:footnoteReference w:id="18"/>
      </w:r>
    </w:p>
    <w:p w:rsidR="006A235A" w:rsidRDefault="006A235A" w:rsidP="00F040C6">
      <w:pPr>
        <w:pStyle w:val="textstyle"/>
        <w:numPr>
          <w:ilvl w:val="0"/>
          <w:numId w:val="16"/>
        </w:numPr>
      </w:pPr>
      <w:r>
        <w:t>VEDO will offset the monthly regulatory asset amount charged to the CEP by those revenues generated from the assets included in the CEP for customers served via straight fixed-variable (SFV) rate design, customers served via a non-SFV rate design, and other sources directly attributable to CEP investments.</w:t>
      </w:r>
      <w:r w:rsidR="00F040C6">
        <w:rPr>
          <w:rStyle w:val="FootnoteReference"/>
        </w:rPr>
        <w:footnoteReference w:id="19"/>
      </w:r>
    </w:p>
    <w:p w:rsidR="00D80A49" w:rsidRDefault="006A235A" w:rsidP="00F040C6">
      <w:pPr>
        <w:pStyle w:val="textstyle"/>
        <w:numPr>
          <w:ilvl w:val="0"/>
          <w:numId w:val="16"/>
        </w:numPr>
      </w:pPr>
      <w:r>
        <w:t>VEDO will calculate the PISCC and depreciation and property tax deferrals con</w:t>
      </w:r>
      <w:r w:rsidR="00216D2A">
        <w:softHyphen/>
      </w:r>
      <w:r>
        <w:t>sistent with the Staff’</w:t>
      </w:r>
      <w:r w:rsidR="00D80A49">
        <w:t>s recommendations.</w:t>
      </w:r>
      <w:r w:rsidR="00F040C6">
        <w:rPr>
          <w:rStyle w:val="FootnoteReference"/>
        </w:rPr>
        <w:footnoteReference w:id="20"/>
      </w:r>
    </w:p>
    <w:p w:rsidR="008B4AE9" w:rsidRDefault="008B4AE9" w:rsidP="00F040C6">
      <w:pPr>
        <w:pStyle w:val="textstyle"/>
        <w:numPr>
          <w:ilvl w:val="0"/>
          <w:numId w:val="16"/>
        </w:numPr>
      </w:pPr>
      <w:r>
        <w:lastRenderedPageBreak/>
        <w:t>VEDO will docket an informational filing by April 30 of each year that provides the information required by the Commission.</w:t>
      </w:r>
      <w:r>
        <w:rPr>
          <w:rStyle w:val="FootnoteReference"/>
        </w:rPr>
        <w:footnoteReference w:id="21"/>
      </w:r>
    </w:p>
    <w:p w:rsidR="00F040C6" w:rsidRDefault="00F040C6" w:rsidP="00F040C6">
      <w:pPr>
        <w:pStyle w:val="textstyle"/>
        <w:numPr>
          <w:ilvl w:val="0"/>
          <w:numId w:val="16"/>
        </w:numPr>
      </w:pPr>
      <w:r>
        <w:t>PISCC will be based on the Company’s cost of long-term debt set in its last base rate case.</w:t>
      </w:r>
      <w:r>
        <w:rPr>
          <w:rStyle w:val="FootnoteReference"/>
        </w:rPr>
        <w:footnoteReference w:id="22"/>
      </w:r>
    </w:p>
    <w:p w:rsidR="005713B3" w:rsidRDefault="00D80A49" w:rsidP="00F040C6">
      <w:pPr>
        <w:pStyle w:val="textstyle"/>
        <w:numPr>
          <w:ilvl w:val="0"/>
          <w:numId w:val="16"/>
        </w:numPr>
      </w:pPr>
      <w:r>
        <w:t>The Company will accrue CEP deferrals up until the point where the accrued defer</w:t>
      </w:r>
      <w:r w:rsidR="00216D2A">
        <w:softHyphen/>
      </w:r>
      <w:r>
        <w:t>rals, if included in rates, would cause the rates charged to its Residential and General Service, Group 1 customers to increase by more than $1.50 per month.  Accrual</w:t>
      </w:r>
      <w:r w:rsidR="00F040C6">
        <w:t xml:space="preserve"> of all future CEP-related deferrals will cease once the $1.50 threshold is surpassed, until such time as VEDO files to recover existing accrued deferrals and establish an appropriate recovery mechanism.</w:t>
      </w:r>
      <w:r w:rsidR="00F040C6">
        <w:rPr>
          <w:rStyle w:val="FootnoteReference"/>
        </w:rPr>
        <w:footnoteReference w:id="23"/>
      </w:r>
    </w:p>
    <w:p w:rsidR="00F040C6" w:rsidRPr="00CA5991" w:rsidRDefault="00CB21D7" w:rsidP="00E60F4C">
      <w:pPr>
        <w:pStyle w:val="textstyle"/>
      </w:pPr>
      <w:r>
        <w:t xml:space="preserve">In recognition that it is requesting ongoing authority to continue </w:t>
      </w:r>
      <w:r w:rsidR="001B75DC">
        <w:t xml:space="preserve">the </w:t>
      </w:r>
      <w:r>
        <w:t xml:space="preserve">CEP and related deferrals until the $1.50 </w:t>
      </w:r>
      <w:r w:rsidR="00655F14">
        <w:t xml:space="preserve">per month </w:t>
      </w:r>
      <w:r>
        <w:t xml:space="preserve">cap is exceeded, VEDO proposes a process whereby it will provide information </w:t>
      </w:r>
      <w:r w:rsidR="001B75DC">
        <w:t xml:space="preserve">required by the Commission and </w:t>
      </w:r>
      <w:r>
        <w:t>similar to what is included in the Application in future annual update filings</w:t>
      </w:r>
      <w:r w:rsidR="00C27309">
        <w:t xml:space="preserve">.  </w:t>
      </w:r>
      <w:r>
        <w:t>Staff and any intervening parties will have 30 days to file objec</w:t>
      </w:r>
      <w:r w:rsidR="00216D2A">
        <w:softHyphen/>
      </w:r>
      <w:r>
        <w:t xml:space="preserve">tions concerning the information contained in the filings.  If no objections are filed within 30 days of the date the informational filing is docketed, then the Company proposes that the CEP ongoing deferral authority be deemed approved.  If objections are filed, then VEDO proposes that an attorney examiner appointed by the </w:t>
      </w:r>
      <w:r>
        <w:lastRenderedPageBreak/>
        <w:t>Commission should issue an entry soliciting comments on the matters raised in the objections.</w:t>
      </w:r>
      <w:r>
        <w:rPr>
          <w:rStyle w:val="FootnoteReference"/>
        </w:rPr>
        <w:footnoteReference w:id="24"/>
      </w:r>
      <w:r>
        <w:t xml:space="preserve">  </w:t>
      </w:r>
    </w:p>
    <w:p w:rsidR="00B9713C" w:rsidRDefault="00B475DC" w:rsidP="00230969">
      <w:pPr>
        <w:pStyle w:val="Heading1"/>
      </w:pPr>
      <w:bookmarkStart w:id="3" w:name="_Toc369162831"/>
      <w:r>
        <w:t>STAFF’S REVIEW</w:t>
      </w:r>
      <w:bookmarkEnd w:id="3"/>
    </w:p>
    <w:p w:rsidR="00CD60B1" w:rsidRDefault="00601DD8" w:rsidP="00B25BB4">
      <w:pPr>
        <w:pStyle w:val="textstyle"/>
      </w:pPr>
      <w:r>
        <w:tab/>
        <w:t xml:space="preserve">The Staff has reviewed </w:t>
      </w:r>
      <w:r w:rsidR="00CB21D7">
        <w:t>VEDO</w:t>
      </w:r>
      <w:r>
        <w:t>’s Application</w:t>
      </w:r>
      <w:r w:rsidR="005326BF">
        <w:t xml:space="preserve">, </w:t>
      </w:r>
      <w:r>
        <w:t xml:space="preserve">proposed </w:t>
      </w:r>
      <w:r w:rsidR="00CB21D7">
        <w:t>CEP</w:t>
      </w:r>
      <w:r w:rsidR="005326BF">
        <w:t xml:space="preserve">, </w:t>
      </w:r>
      <w:r>
        <w:t>and</w:t>
      </w:r>
      <w:r w:rsidR="0056760B">
        <w:t xml:space="preserve"> </w:t>
      </w:r>
      <w:r>
        <w:t xml:space="preserve">request to create </w:t>
      </w:r>
      <w:r w:rsidR="005326BF">
        <w:t>a regulatory asset</w:t>
      </w:r>
      <w:r>
        <w:t xml:space="preserve"> to defer for future recovery PISCC, </w:t>
      </w:r>
      <w:r w:rsidR="00882879">
        <w:t>deprecia</w:t>
      </w:r>
      <w:r w:rsidR="002B0FA8">
        <w:softHyphen/>
      </w:r>
      <w:r w:rsidR="00882879">
        <w:t xml:space="preserve">tion expense, and property tax </w:t>
      </w:r>
      <w:r w:rsidR="005326BF">
        <w:t xml:space="preserve">expense </w:t>
      </w:r>
      <w:r w:rsidR="00882879">
        <w:t xml:space="preserve">directly attributable to the </w:t>
      </w:r>
      <w:r w:rsidR="00CB21D7">
        <w:t>CEP</w:t>
      </w:r>
      <w:r w:rsidR="00882879">
        <w:t xml:space="preserve"> invest</w:t>
      </w:r>
      <w:r w:rsidR="00422E1B">
        <w:softHyphen/>
      </w:r>
      <w:r w:rsidR="00882879">
        <w:t>ments.  The pur</w:t>
      </w:r>
      <w:r w:rsidR="00395DDD">
        <w:softHyphen/>
      </w:r>
      <w:r w:rsidR="00882879">
        <w:t xml:space="preserve">pose of the Staff’s review was to determine if, in the Staff’s opinion, the proposed </w:t>
      </w:r>
      <w:r w:rsidR="00CB21D7">
        <w:t>CEP</w:t>
      </w:r>
      <w:r w:rsidR="00882879">
        <w:t xml:space="preserve"> and associated deferrals </w:t>
      </w:r>
      <w:r w:rsidR="002A4B50">
        <w:t xml:space="preserve">are consistent with applicable provisions of the Commission’s December 12, 2012 Finding and Order in Case No. 12-530-GA-UNC, </w:t>
      </w:r>
      <w:r w:rsidR="00CD60B1">
        <w:t>meet the just and reasonable stand</w:t>
      </w:r>
      <w:r w:rsidR="00422E1B">
        <w:softHyphen/>
      </w:r>
      <w:r w:rsidR="00CD60B1">
        <w:t xml:space="preserve">ards established in </w:t>
      </w:r>
      <w:r w:rsidR="00B25BB4">
        <w:t xml:space="preserve">R.C. </w:t>
      </w:r>
      <w:r w:rsidR="00CD60B1">
        <w:t>4929.111</w:t>
      </w:r>
      <w:r w:rsidR="002A4B50">
        <w:t>,</w:t>
      </w:r>
      <w:r w:rsidR="00CD60B1">
        <w:t xml:space="preserve"> and generally comport with</w:t>
      </w:r>
      <w:r w:rsidR="00CD60B1" w:rsidRPr="00CD60B1">
        <w:t xml:space="preserve"> </w:t>
      </w:r>
      <w:r w:rsidR="00CD60B1" w:rsidRPr="00CD42AF">
        <w:t>sound ratemaking princi</w:t>
      </w:r>
      <w:r w:rsidR="00422E1B">
        <w:softHyphen/>
      </w:r>
      <w:r w:rsidR="00CD60B1" w:rsidRPr="00CD42AF">
        <w:t xml:space="preserve">pals regarding deferring costs for potential future recovery </w:t>
      </w:r>
      <w:r w:rsidR="000D0211">
        <w:t>by</w:t>
      </w:r>
      <w:r w:rsidR="00CD60B1" w:rsidRPr="00CD42AF">
        <w:t xml:space="preserve"> regulated utilities.</w:t>
      </w:r>
      <w:r w:rsidR="00CD60B1">
        <w:t xml:space="preserve">  </w:t>
      </w:r>
      <w:r w:rsidR="00F61B35">
        <w:t xml:space="preserve">The </w:t>
      </w:r>
      <w:r w:rsidR="00100ABC">
        <w:t xml:space="preserve">Staff also reviewed </w:t>
      </w:r>
      <w:r w:rsidR="002A4B50">
        <w:t>VEDO</w:t>
      </w:r>
      <w:r w:rsidR="00100ABC">
        <w:t xml:space="preserve">’s </w:t>
      </w:r>
      <w:r w:rsidR="00A652C0">
        <w:t xml:space="preserve">Application </w:t>
      </w:r>
      <w:r w:rsidR="00F61B35">
        <w:t xml:space="preserve">in light of the </w:t>
      </w:r>
      <w:r w:rsidR="00100ABC">
        <w:t xml:space="preserve">Annual Informational Filing that was filed </w:t>
      </w:r>
      <w:r w:rsidR="00F61B35">
        <w:t xml:space="preserve">on April 30, 2012 in accordance with the Commission’s </w:t>
      </w:r>
      <w:r w:rsidR="00A652C0">
        <w:t xml:space="preserve">Finding </w:t>
      </w:r>
      <w:r w:rsidR="004E09BA">
        <w:t xml:space="preserve">and </w:t>
      </w:r>
      <w:r w:rsidR="00A652C0">
        <w:t xml:space="preserve">Order </w:t>
      </w:r>
      <w:r w:rsidR="00F61B35">
        <w:t xml:space="preserve">in the </w:t>
      </w:r>
      <w:r w:rsidR="002A4B50">
        <w:t>12-530-GA</w:t>
      </w:r>
      <w:r w:rsidR="004E09BA">
        <w:t>-UNC</w:t>
      </w:r>
      <w:r w:rsidR="00F61B35">
        <w:t xml:space="preserve"> case.</w:t>
      </w:r>
      <w:r w:rsidR="00100ABC">
        <w:t xml:space="preserve">  </w:t>
      </w:r>
      <w:r w:rsidR="00F61B35">
        <w:t xml:space="preserve">Reviewing </w:t>
      </w:r>
      <w:r w:rsidR="002A4B50">
        <w:t>VEDO</w:t>
      </w:r>
      <w:r w:rsidR="00F61B35">
        <w:t>’s Application in this case in conjunc</w:t>
      </w:r>
      <w:r w:rsidR="00216D2A">
        <w:softHyphen/>
      </w:r>
      <w:r w:rsidR="00F61B35">
        <w:t>tion with the Annual Infor</w:t>
      </w:r>
      <w:r w:rsidR="004E09BA">
        <w:softHyphen/>
      </w:r>
      <w:r w:rsidR="00F61B35">
        <w:t xml:space="preserve">mational Filing from last year’s </w:t>
      </w:r>
      <w:r w:rsidR="008A0D02">
        <w:t>CEP</w:t>
      </w:r>
      <w:r w:rsidR="00F61B35">
        <w:t xml:space="preserve"> case is </w:t>
      </w:r>
      <w:r w:rsidR="00CD60B1">
        <w:t xml:space="preserve">important </w:t>
      </w:r>
      <w:r w:rsidR="00F61B35">
        <w:t xml:space="preserve">because of </w:t>
      </w:r>
      <w:r w:rsidR="002A4B50">
        <w:t>the Company’s</w:t>
      </w:r>
      <w:r w:rsidR="00F61B35">
        <w:t xml:space="preserve"> commit</w:t>
      </w:r>
      <w:r w:rsidR="004E09BA">
        <w:softHyphen/>
      </w:r>
      <w:r w:rsidR="00F61B35">
        <w:t>ment</w:t>
      </w:r>
      <w:r w:rsidR="002A4B50">
        <w:t>s</w:t>
      </w:r>
      <w:r w:rsidR="00F61B35">
        <w:t xml:space="preserve"> </w:t>
      </w:r>
      <w:r w:rsidR="00CD60B1">
        <w:t xml:space="preserve">to </w:t>
      </w:r>
      <w:r w:rsidR="00F61B35">
        <w:t>adhere to the Commission’s requirements and formu</w:t>
      </w:r>
      <w:r w:rsidR="00216D2A">
        <w:softHyphen/>
      </w:r>
      <w:r w:rsidR="00F61B35">
        <w:t xml:space="preserve">las adopted in that case.  </w:t>
      </w:r>
      <w:r w:rsidR="00551CEA">
        <w:t>Given th</w:t>
      </w:r>
      <w:r w:rsidR="002A4B50">
        <w:t>ose</w:t>
      </w:r>
      <w:r w:rsidR="00551CEA">
        <w:t xml:space="preserve"> commitment</w:t>
      </w:r>
      <w:r w:rsidR="002A4B50">
        <w:t>s</w:t>
      </w:r>
      <w:r w:rsidR="00551CEA">
        <w:t>, a</w:t>
      </w:r>
      <w:r w:rsidR="00F61B35">
        <w:t xml:space="preserve">ny concerns that the Staff may have </w:t>
      </w:r>
      <w:r w:rsidR="00126E25">
        <w:t xml:space="preserve">regarding </w:t>
      </w:r>
      <w:r w:rsidR="008A0D02">
        <w:t>VED</w:t>
      </w:r>
      <w:r w:rsidR="00551CEA">
        <w:t>O’s annual informa</w:t>
      </w:r>
      <w:r w:rsidR="004E09BA">
        <w:softHyphen/>
      </w:r>
      <w:r w:rsidR="00551CEA">
        <w:t>tional filing in the 1</w:t>
      </w:r>
      <w:r w:rsidR="002A4B50">
        <w:t>2</w:t>
      </w:r>
      <w:r w:rsidR="00551CEA">
        <w:t>-</w:t>
      </w:r>
      <w:r w:rsidR="002A4B50">
        <w:t>530</w:t>
      </w:r>
      <w:r w:rsidR="004E09BA">
        <w:t>-GA-UNC</w:t>
      </w:r>
      <w:r w:rsidR="00551CEA">
        <w:t xml:space="preserve"> case would show up in the April 30, 2014 </w:t>
      </w:r>
      <w:r w:rsidR="002A4B50">
        <w:t xml:space="preserve">and future </w:t>
      </w:r>
      <w:r w:rsidR="00551CEA">
        <w:t>annual informa</w:t>
      </w:r>
      <w:r w:rsidR="004E09BA">
        <w:softHyphen/>
      </w:r>
      <w:r w:rsidR="00551CEA">
        <w:t>tional filing</w:t>
      </w:r>
      <w:r w:rsidR="002A4B50">
        <w:t>s</w:t>
      </w:r>
      <w:r w:rsidR="00551CEA">
        <w:t xml:space="preserve"> that will be made pursu</w:t>
      </w:r>
      <w:r w:rsidR="00216D2A">
        <w:softHyphen/>
      </w:r>
      <w:r w:rsidR="00551CEA">
        <w:t xml:space="preserve">ant to this case.  Lastly, the Staff notes </w:t>
      </w:r>
      <w:r w:rsidR="00CD60B1">
        <w:t>that, i</w:t>
      </w:r>
      <w:r w:rsidR="00CD60B1" w:rsidRPr="00CD42AF">
        <w:t>n these</w:t>
      </w:r>
      <w:r w:rsidR="00CD60B1">
        <w:t xml:space="preserve"> </w:t>
      </w:r>
      <w:r w:rsidR="0056760B">
        <w:t>Comments</w:t>
      </w:r>
      <w:r w:rsidR="004E09BA" w:rsidRPr="00CD42AF">
        <w:t>, it</w:t>
      </w:r>
      <w:r w:rsidR="00CD60B1" w:rsidRPr="00CD42AF">
        <w:t xml:space="preserve"> </w:t>
      </w:r>
      <w:r w:rsidR="00CD60B1">
        <w:t>is taking</w:t>
      </w:r>
      <w:r w:rsidR="00CD60B1" w:rsidRPr="00CD42AF">
        <w:t xml:space="preserve"> no position </w:t>
      </w:r>
      <w:r w:rsidR="00CD60B1">
        <w:lastRenderedPageBreak/>
        <w:t>on</w:t>
      </w:r>
      <w:r w:rsidR="00CD60B1" w:rsidRPr="00CD42AF">
        <w:t xml:space="preserve"> the level or </w:t>
      </w:r>
      <w:r w:rsidR="008572F8">
        <w:t xml:space="preserve">ultimate </w:t>
      </w:r>
      <w:r w:rsidR="007C3ABD">
        <w:t>recoverability</w:t>
      </w:r>
      <w:r w:rsidR="00CD60B1" w:rsidRPr="00CD42AF">
        <w:t xml:space="preserve"> of the </w:t>
      </w:r>
      <w:r w:rsidR="00CD60B1">
        <w:t>capital spending proposed</w:t>
      </w:r>
      <w:r w:rsidR="00CD60B1" w:rsidRPr="00CD42AF">
        <w:t xml:space="preserve"> </w:t>
      </w:r>
      <w:r w:rsidR="00D83E32">
        <w:t xml:space="preserve">in the </w:t>
      </w:r>
      <w:r w:rsidR="002A4B50">
        <w:t>Company’s CEP</w:t>
      </w:r>
      <w:r w:rsidR="00CD60B1">
        <w:t xml:space="preserve">.  </w:t>
      </w:r>
      <w:r w:rsidR="008572F8">
        <w:t>As a result, t</w:t>
      </w:r>
      <w:r w:rsidR="00CD60B1" w:rsidRPr="00CD42AF">
        <w:t xml:space="preserve">he Staff’s lack of </w:t>
      </w:r>
      <w:r w:rsidR="00CD60B1">
        <w:t xml:space="preserve">comments or </w:t>
      </w:r>
      <w:r w:rsidR="00CD60B1" w:rsidRPr="00CD42AF">
        <w:t xml:space="preserve">objection to </w:t>
      </w:r>
      <w:r w:rsidR="00CD60B1">
        <w:t xml:space="preserve">the proposed </w:t>
      </w:r>
      <w:r w:rsidR="002A4B50">
        <w:t>CEP</w:t>
      </w:r>
      <w:r w:rsidR="00CD60B1">
        <w:t xml:space="preserve"> invest</w:t>
      </w:r>
      <w:r w:rsidR="00216D2A">
        <w:softHyphen/>
      </w:r>
      <w:r w:rsidR="00CD60B1">
        <w:t xml:space="preserve">ments </w:t>
      </w:r>
      <w:r w:rsidR="002A4B50">
        <w:t xml:space="preserve">or deferrals </w:t>
      </w:r>
      <w:r w:rsidR="00CD60B1">
        <w:t xml:space="preserve">should in no way </w:t>
      </w:r>
      <w:r w:rsidR="00CD60B1" w:rsidRPr="00CD42AF">
        <w:t>be construed as the Staff’s lack of objection or sup</w:t>
      </w:r>
      <w:r w:rsidR="00216D2A">
        <w:softHyphen/>
      </w:r>
      <w:r w:rsidR="00CD60B1" w:rsidRPr="00CD42AF">
        <w:t xml:space="preserve">port for future recovery of </w:t>
      </w:r>
      <w:r w:rsidR="00D83E32">
        <w:t xml:space="preserve">the investments or related </w:t>
      </w:r>
      <w:r w:rsidR="00CD60B1" w:rsidRPr="00CD42AF">
        <w:t>deferred amounts</w:t>
      </w:r>
      <w:r w:rsidR="00CD60B1">
        <w:t xml:space="preserve">. </w:t>
      </w:r>
      <w:r w:rsidR="00CD60B1" w:rsidRPr="00CD42AF">
        <w:t xml:space="preserve"> In fact, the Staff </w:t>
      </w:r>
      <w:r w:rsidR="00B41A53">
        <w:t xml:space="preserve">will </w:t>
      </w:r>
      <w:r w:rsidR="00CD60B1" w:rsidRPr="00CD42AF">
        <w:t xml:space="preserve">investigate and </w:t>
      </w:r>
      <w:r w:rsidR="00A8729F">
        <w:t>recom</w:t>
      </w:r>
      <w:r w:rsidR="006A4E91">
        <w:softHyphen/>
      </w:r>
      <w:r w:rsidR="00A8729F">
        <w:t>mend</w:t>
      </w:r>
      <w:r w:rsidR="00A8729F" w:rsidRPr="00CD42AF">
        <w:t xml:space="preserve"> </w:t>
      </w:r>
      <w:r w:rsidR="00CD60B1" w:rsidRPr="00CD42AF">
        <w:t>any nec</w:t>
      </w:r>
      <w:r w:rsidR="001420B4">
        <w:softHyphen/>
      </w:r>
      <w:r w:rsidR="00CD60B1" w:rsidRPr="00CD42AF">
        <w:t>essary adjust</w:t>
      </w:r>
      <w:r w:rsidR="002B0FA8">
        <w:softHyphen/>
      </w:r>
      <w:r w:rsidR="00D967D9">
        <w:t>ments to the deferral</w:t>
      </w:r>
      <w:r w:rsidR="00CD60B1" w:rsidRPr="00CD42AF">
        <w:t xml:space="preserve"> when </w:t>
      </w:r>
      <w:r w:rsidR="002A4B50">
        <w:t>VED</w:t>
      </w:r>
      <w:r w:rsidR="005326BF">
        <w:t>O</w:t>
      </w:r>
      <w:r w:rsidR="00CD60B1" w:rsidRPr="00CD42AF">
        <w:t xml:space="preserve"> applie</w:t>
      </w:r>
      <w:r w:rsidR="00D967D9">
        <w:t>s to recover the deferred asset</w:t>
      </w:r>
      <w:r w:rsidR="00142E5A">
        <w:t>s</w:t>
      </w:r>
      <w:r w:rsidR="00CD60B1" w:rsidRPr="00CD42AF">
        <w:t>.</w:t>
      </w:r>
    </w:p>
    <w:p w:rsidR="00B9713C" w:rsidRDefault="00B9713C" w:rsidP="00230969">
      <w:pPr>
        <w:pStyle w:val="Heading1"/>
      </w:pPr>
      <w:bookmarkStart w:id="4" w:name="_Toc369162832"/>
      <w:r>
        <w:t>STAFF’S COMMENTS AND RECOMMENDATIONS</w:t>
      </w:r>
      <w:bookmarkEnd w:id="4"/>
    </w:p>
    <w:p w:rsidR="00FB4393" w:rsidRDefault="007B5366" w:rsidP="00036068">
      <w:pPr>
        <w:pStyle w:val="textstyle"/>
        <w:ind w:firstLine="720"/>
      </w:pPr>
      <w:r>
        <w:t>Based on its review, t</w:t>
      </w:r>
      <w:r w:rsidR="00954DD5">
        <w:t>he Staff</w:t>
      </w:r>
      <w:r w:rsidR="00C52922">
        <w:t xml:space="preserve"> </w:t>
      </w:r>
      <w:r w:rsidR="00036068">
        <w:t xml:space="preserve">makes the following </w:t>
      </w:r>
      <w:r w:rsidR="00954DD5">
        <w:t>comments</w:t>
      </w:r>
      <w:r w:rsidR="00C52922">
        <w:t xml:space="preserve"> and recommend</w:t>
      </w:r>
      <w:r w:rsidR="00036068">
        <w:t>a</w:t>
      </w:r>
      <w:r w:rsidR="00422E1B">
        <w:softHyphen/>
      </w:r>
      <w:r w:rsidR="00036068">
        <w:t xml:space="preserve">tions to </w:t>
      </w:r>
      <w:r w:rsidR="001B75DC">
        <w:t xml:space="preserve">VEDO’s </w:t>
      </w:r>
      <w:r w:rsidR="00C52922">
        <w:t xml:space="preserve">proposed </w:t>
      </w:r>
      <w:r w:rsidR="008A0D02">
        <w:t>CEP</w:t>
      </w:r>
      <w:r w:rsidR="00036068">
        <w:t xml:space="preserve"> and regulatory asset for deferral of the PISCC deprecia</w:t>
      </w:r>
      <w:r w:rsidR="00216D2A">
        <w:softHyphen/>
      </w:r>
      <w:r w:rsidR="00036068">
        <w:t>tion</w:t>
      </w:r>
      <w:r w:rsidR="00264A7C">
        <w:t>,</w:t>
      </w:r>
      <w:r w:rsidR="00036068">
        <w:t xml:space="preserve"> and property taxes associated with the </w:t>
      </w:r>
      <w:r w:rsidR="008A0D02">
        <w:t>CEP</w:t>
      </w:r>
      <w:r w:rsidR="00036068">
        <w:t xml:space="preserve">. </w:t>
      </w:r>
      <w:r w:rsidR="00C52922">
        <w:t xml:space="preserve"> The Staff’s </w:t>
      </w:r>
      <w:r w:rsidR="00B9713C">
        <w:t>com</w:t>
      </w:r>
      <w:r w:rsidR="006A4E91">
        <w:softHyphen/>
      </w:r>
      <w:r w:rsidR="00B9713C">
        <w:t>ments and recom</w:t>
      </w:r>
      <w:r w:rsidR="00C27309">
        <w:softHyphen/>
      </w:r>
      <w:r w:rsidR="00B9713C">
        <w:t>mendations are set forth below.</w:t>
      </w:r>
    </w:p>
    <w:p w:rsidR="00A346EC" w:rsidRPr="00103D8F" w:rsidRDefault="001D258C" w:rsidP="00C0224B">
      <w:pPr>
        <w:pStyle w:val="Heading2"/>
      </w:pPr>
      <w:bookmarkStart w:id="5" w:name="_Toc369162833"/>
      <w:r>
        <w:t>With</w:t>
      </w:r>
      <w:r w:rsidR="00077A98">
        <w:t xml:space="preserve"> the Company’s agreement to adhere to the require</w:t>
      </w:r>
      <w:r w:rsidR="004E09BA">
        <w:softHyphen/>
      </w:r>
      <w:r w:rsidR="00077A98">
        <w:t xml:space="preserve">ments and formulas that were approved in Case No. </w:t>
      </w:r>
      <w:r w:rsidR="008A0D02">
        <w:t>12-530</w:t>
      </w:r>
      <w:r w:rsidR="00077A98">
        <w:t xml:space="preserve">-GA-UNC </w:t>
      </w:r>
      <w:r>
        <w:t>and subject to adoption of the Staff’</w:t>
      </w:r>
      <w:r w:rsidR="001B4463">
        <w:t>s other recommendation</w:t>
      </w:r>
      <w:r w:rsidR="008A0D02">
        <w:t>s</w:t>
      </w:r>
      <w:r>
        <w:t xml:space="preserve">, </w:t>
      </w:r>
      <w:r w:rsidR="008A0D02">
        <w:t>VED</w:t>
      </w:r>
      <w:r>
        <w:t>O’s Application should be approved.</w:t>
      </w:r>
      <w:bookmarkEnd w:id="5"/>
    </w:p>
    <w:p w:rsidR="005F330D" w:rsidRDefault="00150F3B" w:rsidP="005F330D">
      <w:pPr>
        <w:pStyle w:val="textstyle"/>
      </w:pPr>
      <w:r>
        <w:tab/>
      </w:r>
      <w:r w:rsidR="001D258C">
        <w:t xml:space="preserve">As noted above, in its Application </w:t>
      </w:r>
      <w:r w:rsidR="008A0D02">
        <w:t>VEDO</w:t>
      </w:r>
      <w:r w:rsidR="001D258C">
        <w:t xml:space="preserve"> states that it accepts continuation of </w:t>
      </w:r>
      <w:r w:rsidR="008A0D02">
        <w:t>appli</w:t>
      </w:r>
      <w:r w:rsidR="00216D2A">
        <w:softHyphen/>
      </w:r>
      <w:r w:rsidR="008A0D02">
        <w:t xml:space="preserve">cable </w:t>
      </w:r>
      <w:r w:rsidR="001D258C">
        <w:t xml:space="preserve">requirements established in the Commission’s </w:t>
      </w:r>
      <w:r w:rsidR="00A652C0">
        <w:t>F</w:t>
      </w:r>
      <w:r w:rsidR="004E09BA">
        <w:t xml:space="preserve">inding and </w:t>
      </w:r>
      <w:r w:rsidR="00A652C0">
        <w:t>O</w:t>
      </w:r>
      <w:r w:rsidR="004E09BA">
        <w:t>rder</w:t>
      </w:r>
      <w:r w:rsidR="001D258C">
        <w:t xml:space="preserve"> in Case 1</w:t>
      </w:r>
      <w:r w:rsidR="008A0D02">
        <w:t>2</w:t>
      </w:r>
      <w:r w:rsidR="001D258C">
        <w:t>-</w:t>
      </w:r>
      <w:r w:rsidR="008A0D02">
        <w:t>530</w:t>
      </w:r>
      <w:r w:rsidR="001D258C">
        <w:t xml:space="preserve">-GA-UNC </w:t>
      </w:r>
      <w:r w:rsidR="005F193A">
        <w:t xml:space="preserve">and indicates that it </w:t>
      </w:r>
      <w:r w:rsidR="001B4463">
        <w:t xml:space="preserve">will </w:t>
      </w:r>
      <w:r w:rsidR="005F193A">
        <w:t xml:space="preserve">utilize the formulas approved by the Commission in that case to calculate its 2013 </w:t>
      </w:r>
      <w:r w:rsidR="008A0D02">
        <w:t xml:space="preserve">and future </w:t>
      </w:r>
      <w:r w:rsidR="005F193A">
        <w:t xml:space="preserve">deferrals.  </w:t>
      </w:r>
      <w:r w:rsidR="008A0D02">
        <w:t>VED</w:t>
      </w:r>
      <w:r w:rsidR="005F193A">
        <w:t xml:space="preserve">O also indicates that it will be mindful to not impair the Staff’s ongoing monitoring of the </w:t>
      </w:r>
      <w:r w:rsidR="008A0D02">
        <w:t>CEP</w:t>
      </w:r>
      <w:r w:rsidR="005F193A">
        <w:t xml:space="preserve"> if it becomes necessary to reallocate </w:t>
      </w:r>
      <w:r w:rsidR="008A0D02">
        <w:t>CEP</w:t>
      </w:r>
      <w:r w:rsidR="005F193A">
        <w:t xml:space="preserve"> investments in response to customer or system needs.  Lastly, the Company’s Application properly recognizes that</w:t>
      </w:r>
      <w:r w:rsidR="005C1BA9">
        <w:t xml:space="preserve"> recovery of deferrals created under the </w:t>
      </w:r>
      <w:r w:rsidR="001B75DC">
        <w:lastRenderedPageBreak/>
        <w:t>CEP</w:t>
      </w:r>
      <w:r w:rsidR="005C1BA9">
        <w:t xml:space="preserve"> will </w:t>
      </w:r>
      <w:r w:rsidR="001B75DC">
        <w:t xml:space="preserve">be </w:t>
      </w:r>
      <w:r w:rsidR="005C1BA9">
        <w:t>considered in a future proceeding.  In the Application, the Com</w:t>
      </w:r>
      <w:r w:rsidR="004E09BA">
        <w:softHyphen/>
      </w:r>
      <w:r w:rsidR="005C1BA9">
        <w:t xml:space="preserve">pany states that, “In this application, </w:t>
      </w:r>
      <w:r w:rsidR="008A0D02">
        <w:t>V</w:t>
      </w:r>
      <w:r w:rsidR="005C1BA9">
        <w:t>E</w:t>
      </w:r>
      <w:r w:rsidR="008A0D02">
        <w:t>D</w:t>
      </w:r>
      <w:r w:rsidR="005C1BA9">
        <w:t>O is only requesting approval of the imple</w:t>
      </w:r>
      <w:r w:rsidR="004E09BA">
        <w:softHyphen/>
      </w:r>
      <w:r w:rsidR="005C1BA9">
        <w:t xml:space="preserve">mentation of the </w:t>
      </w:r>
      <w:r w:rsidR="008A0D02">
        <w:t>CEP</w:t>
      </w:r>
      <w:r w:rsidR="005C1BA9">
        <w:t xml:space="preserve"> and the authority for the accounting treatment described above.</w:t>
      </w:r>
      <w:r w:rsidR="005F193A">
        <w:t xml:space="preserve">  </w:t>
      </w:r>
      <w:r w:rsidR="005C1BA9">
        <w:t>Recovery of any amounts deferred in accordance with this application will be addressed in a separate pro</w:t>
      </w:r>
      <w:r w:rsidR="00C27309">
        <w:softHyphen/>
      </w:r>
      <w:r w:rsidR="005C1BA9">
        <w:t>ceeding</w:t>
      </w:r>
      <w:r w:rsidR="008A0D02">
        <w:t>...</w:t>
      </w:r>
      <w:r w:rsidR="005C1BA9">
        <w:t>.”</w:t>
      </w:r>
      <w:r w:rsidR="005C1BA9">
        <w:rPr>
          <w:rStyle w:val="FootnoteReference"/>
        </w:rPr>
        <w:footnoteReference w:id="25"/>
      </w:r>
      <w:r w:rsidR="005F193A">
        <w:t xml:space="preserve">  </w:t>
      </w:r>
      <w:r w:rsidR="005C1BA9">
        <w:t xml:space="preserve">The Staff recommends that the Commission acknowledge </w:t>
      </w:r>
      <w:r w:rsidR="008B4AE9">
        <w:t>VED</w:t>
      </w:r>
      <w:r w:rsidR="005C1BA9">
        <w:t>O’s commit</w:t>
      </w:r>
      <w:r w:rsidR="00C27309">
        <w:softHyphen/>
      </w:r>
      <w:r w:rsidR="005C1BA9">
        <w:t xml:space="preserve">ments and indicate its approval of </w:t>
      </w:r>
      <w:r w:rsidR="008B4AE9">
        <w:t>VED</w:t>
      </w:r>
      <w:r w:rsidR="005C1BA9">
        <w:t>O’s Application in this case is con</w:t>
      </w:r>
      <w:r w:rsidR="004E09BA">
        <w:softHyphen/>
      </w:r>
      <w:r w:rsidR="005C1BA9">
        <w:t>ditioned on those commitments.</w:t>
      </w:r>
      <w:r w:rsidR="00126E25">
        <w:t xml:space="preserve">  Similarly, the Commission should indicate that, in accordance with the Elyria Foundry case,</w:t>
      </w:r>
      <w:r w:rsidR="00126E25">
        <w:rPr>
          <w:rStyle w:val="FootnoteReference"/>
        </w:rPr>
        <w:footnoteReference w:id="26"/>
      </w:r>
      <w:r w:rsidR="00126E25">
        <w:t xml:space="preserve"> recovery of the deferrals is not guaranteed and will be con</w:t>
      </w:r>
      <w:r w:rsidR="00C27309">
        <w:softHyphen/>
      </w:r>
      <w:r w:rsidR="00126E25">
        <w:t xml:space="preserve">sidered in a future proceeding. </w:t>
      </w:r>
    </w:p>
    <w:p w:rsidR="00601DD8" w:rsidRPr="00E77265" w:rsidRDefault="00A346EC" w:rsidP="00C0224B">
      <w:pPr>
        <w:pStyle w:val="Heading2"/>
      </w:pPr>
      <w:bookmarkStart w:id="6" w:name="_Toc369162834"/>
      <w:r w:rsidRPr="00E77265">
        <w:t xml:space="preserve">The </w:t>
      </w:r>
      <w:r w:rsidR="007F3E0E">
        <w:t xml:space="preserve">Commission should </w:t>
      </w:r>
      <w:r w:rsidR="00551CEA">
        <w:t xml:space="preserve">direct that </w:t>
      </w:r>
      <w:r w:rsidR="00A45B3D">
        <w:t xml:space="preserve">VEDO’s </w:t>
      </w:r>
      <w:r w:rsidR="00551CEA">
        <w:t>April 30, 2014 and future annual informational filings should include revenue data from all potential sources of revenue deline</w:t>
      </w:r>
      <w:r w:rsidR="004E09BA">
        <w:softHyphen/>
      </w:r>
      <w:r w:rsidR="00551CEA">
        <w:t xml:space="preserve">ated in the incremental revenue formula adopted in Case No. </w:t>
      </w:r>
      <w:r w:rsidR="00A45B3D">
        <w:t>12-530</w:t>
      </w:r>
      <w:r w:rsidR="00551CEA">
        <w:t>-GA-UNC.</w:t>
      </w:r>
      <w:bookmarkEnd w:id="6"/>
      <w:r w:rsidR="001B4463">
        <w:t xml:space="preserve"> </w:t>
      </w:r>
    </w:p>
    <w:p w:rsidR="009D3FEC" w:rsidRDefault="005A5444" w:rsidP="00D51C22">
      <w:pPr>
        <w:pStyle w:val="textstyle"/>
      </w:pPr>
      <w:r>
        <w:tab/>
      </w:r>
      <w:r w:rsidR="009D3FEC">
        <w:t xml:space="preserve">In its Application, </w:t>
      </w:r>
      <w:r w:rsidR="008B4AE9">
        <w:t>VED</w:t>
      </w:r>
      <w:r w:rsidR="009D3FEC">
        <w:t>O states that it will comply with the Commission require</w:t>
      </w:r>
      <w:r w:rsidR="004E09BA">
        <w:softHyphen/>
      </w:r>
      <w:r w:rsidR="009D3FEC">
        <w:t xml:space="preserve">ments for implementing a </w:t>
      </w:r>
      <w:r w:rsidR="008B4AE9">
        <w:t>CEP</w:t>
      </w:r>
      <w:r w:rsidR="009D3FEC">
        <w:t xml:space="preserve"> and for calculating deferrals related to the Program</w:t>
      </w:r>
      <w:r w:rsidR="00B36266">
        <w:t xml:space="preserve"> that were established in Case No. 1</w:t>
      </w:r>
      <w:r w:rsidR="008B4AE9">
        <w:t>2</w:t>
      </w:r>
      <w:r w:rsidR="00B36266">
        <w:t>-</w:t>
      </w:r>
      <w:r w:rsidR="008B4AE9">
        <w:t>530</w:t>
      </w:r>
      <w:r w:rsidR="00B36266">
        <w:t>-GA-UNC</w:t>
      </w:r>
      <w:r w:rsidR="009D3FEC">
        <w:t xml:space="preserve">. </w:t>
      </w:r>
      <w:r w:rsidR="00B36266">
        <w:t xml:space="preserve"> </w:t>
      </w:r>
      <w:r w:rsidR="008B4AE9">
        <w:t>In regards to incremental revenue, t</w:t>
      </w:r>
      <w:r w:rsidR="009D3FEC">
        <w:t>he Company spe</w:t>
      </w:r>
      <w:r w:rsidR="004E09BA">
        <w:softHyphen/>
      </w:r>
      <w:r w:rsidR="009D3FEC">
        <w:t xml:space="preserve">cifically states that “[it] </w:t>
      </w:r>
      <w:r w:rsidR="008B4AE9">
        <w:t xml:space="preserve">will offset the monthly regulatory asset amount charged to the CEP by those revenues generated from the assets included in the CEP for customers served via straight fixed-variable (SFV) rate design, customers served via a </w:t>
      </w:r>
      <w:r w:rsidR="008B4AE9">
        <w:lastRenderedPageBreak/>
        <w:t>non-SFV rate design, and other sources directly attributable to CEP investments.</w:t>
      </w:r>
      <w:r w:rsidR="00126E25">
        <w:t>”</w:t>
      </w:r>
      <w:r w:rsidR="001240D1">
        <w:rPr>
          <w:rStyle w:val="FootnoteReference"/>
        </w:rPr>
        <w:footnoteReference w:id="27"/>
      </w:r>
      <w:r w:rsidR="009D3FEC">
        <w:t xml:space="preserve"> </w:t>
      </w:r>
      <w:r w:rsidR="004E09BA">
        <w:t xml:space="preserve"> </w:t>
      </w:r>
      <w:r w:rsidR="001240D1">
        <w:t>In addition, it states that “</w:t>
      </w:r>
      <w:r w:rsidR="001F3394">
        <w:t>VEDO will docket an informational filing by April 30 of each year that provides the information required by the Commission</w:t>
      </w:r>
      <w:r w:rsidR="001240D1">
        <w:t xml:space="preserve">” </w:t>
      </w:r>
      <w:r w:rsidR="001F3394">
        <w:t xml:space="preserve"> A</w:t>
      </w:r>
      <w:r w:rsidR="001240D1">
        <w:t xml:space="preserve">s noted above, on April 30, 2013 </w:t>
      </w:r>
      <w:r w:rsidR="001F3394">
        <w:t>VEDO</w:t>
      </w:r>
      <w:r w:rsidR="001240D1">
        <w:t xml:space="preserve"> filed an informational filing in accord</w:t>
      </w:r>
      <w:r w:rsidR="004E09BA">
        <w:softHyphen/>
      </w:r>
      <w:r w:rsidR="001240D1">
        <w:t xml:space="preserve">ance with the Commission’s </w:t>
      </w:r>
      <w:r w:rsidR="006D5201">
        <w:t xml:space="preserve">Finding </w:t>
      </w:r>
      <w:r w:rsidR="004E09BA">
        <w:t xml:space="preserve">and </w:t>
      </w:r>
      <w:r w:rsidR="006D5201">
        <w:t xml:space="preserve">Order </w:t>
      </w:r>
      <w:r w:rsidR="001F3394">
        <w:t>in the 12</w:t>
      </w:r>
      <w:r w:rsidR="001240D1">
        <w:t>-</w:t>
      </w:r>
      <w:r w:rsidR="001F3394">
        <w:t>530</w:t>
      </w:r>
      <w:r w:rsidR="002F2224">
        <w:t>-GA-UNC</w:t>
      </w:r>
      <w:r w:rsidR="001240D1">
        <w:t xml:space="preserve"> case.  However, the data that the Company provided </w:t>
      </w:r>
      <w:r w:rsidR="006D1C89">
        <w:t xml:space="preserve">pertaining to the computation of any incremental revenue is </w:t>
      </w:r>
      <w:r w:rsidR="001F3394">
        <w:t xml:space="preserve">not quite </w:t>
      </w:r>
      <w:r w:rsidR="006D1C89">
        <w:t>complete.  The incremental revenue formula that the Commission adopted in the 1</w:t>
      </w:r>
      <w:r w:rsidR="001F3394">
        <w:t>2</w:t>
      </w:r>
      <w:r w:rsidR="006D1C89">
        <w:t>-</w:t>
      </w:r>
      <w:r w:rsidR="001F3394">
        <w:t>530</w:t>
      </w:r>
      <w:r w:rsidR="002F2224">
        <w:t>-GA-UNC</w:t>
      </w:r>
      <w:r w:rsidR="006D1C89">
        <w:t xml:space="preserve"> case provided that </w:t>
      </w:r>
      <w:r w:rsidR="001F3394">
        <w:t>VED</w:t>
      </w:r>
      <w:r w:rsidR="006D1C89">
        <w:t xml:space="preserve">O’s incremental revenue would be determined utilizing the </w:t>
      </w:r>
      <w:r w:rsidR="00B36266">
        <w:t>for</w:t>
      </w:r>
      <w:r w:rsidR="00216D2A">
        <w:softHyphen/>
      </w:r>
      <w:r w:rsidR="00B36266">
        <w:t>mula provided below</w:t>
      </w:r>
      <w:r w:rsidR="00BE3FD9">
        <w:t>.</w:t>
      </w:r>
    </w:p>
    <w:tbl>
      <w:tblPr>
        <w:tblW w:w="7763" w:type="dxa"/>
        <w:tblInd w:w="848" w:type="dxa"/>
        <w:tblLook w:val="04A0" w:firstRow="1" w:lastRow="0" w:firstColumn="1" w:lastColumn="0" w:noHBand="0" w:noVBand="1"/>
      </w:tblPr>
      <w:tblGrid>
        <w:gridCol w:w="2683"/>
        <w:gridCol w:w="720"/>
        <w:gridCol w:w="4360"/>
      </w:tblGrid>
      <w:tr w:rsidR="001F3394" w:rsidRPr="00050A19" w:rsidTr="005074AF">
        <w:trPr>
          <w:trHeight w:val="1500"/>
        </w:trPr>
        <w:tc>
          <w:tcPr>
            <w:tcW w:w="2683" w:type="dxa"/>
            <w:tcBorders>
              <w:top w:val="single" w:sz="4" w:space="0" w:color="auto"/>
              <w:left w:val="single" w:sz="4" w:space="0" w:color="auto"/>
              <w:bottom w:val="single" w:sz="4" w:space="0" w:color="auto"/>
              <w:right w:val="nil"/>
            </w:tcBorders>
            <w:shd w:val="clear" w:color="auto" w:fill="auto"/>
            <w:noWrap/>
            <w:vAlign w:val="center"/>
            <w:hideMark/>
          </w:tcPr>
          <w:p w:rsidR="001F3394" w:rsidRPr="00050A19" w:rsidRDefault="001F3394" w:rsidP="00D215A4">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Incremental Revenue</w:t>
            </w:r>
          </w:p>
        </w:tc>
        <w:tc>
          <w:tcPr>
            <w:tcW w:w="720" w:type="dxa"/>
            <w:tcBorders>
              <w:top w:val="single" w:sz="4" w:space="0" w:color="auto"/>
              <w:left w:val="nil"/>
              <w:bottom w:val="single" w:sz="4" w:space="0" w:color="auto"/>
              <w:right w:val="nil"/>
            </w:tcBorders>
            <w:shd w:val="clear" w:color="auto" w:fill="auto"/>
            <w:noWrap/>
            <w:vAlign w:val="center"/>
            <w:hideMark/>
          </w:tcPr>
          <w:p w:rsidR="001F3394" w:rsidRPr="00050A19" w:rsidRDefault="001F3394" w:rsidP="00D215A4">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1F3394" w:rsidRDefault="001F3394" w:rsidP="00D215A4">
            <w:pPr>
              <w:spacing w:after="0" w:line="240" w:lineRule="auto"/>
              <w:jc w:val="center"/>
              <w:rPr>
                <w:rFonts w:eastAsia="Times New Roman" w:cs="Times New Roman"/>
                <w:color w:val="000000"/>
                <w:sz w:val="26"/>
                <w:szCs w:val="26"/>
              </w:rPr>
            </w:pPr>
          </w:p>
          <w:p w:rsidR="001F3394" w:rsidRDefault="001F3394" w:rsidP="00D215A4">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w:t>
            </w:r>
            <w:r>
              <w:rPr>
                <w:rFonts w:eastAsia="Times New Roman" w:cs="Times New Roman"/>
                <w:color w:val="000000"/>
                <w:sz w:val="26"/>
                <w:szCs w:val="26"/>
              </w:rPr>
              <w:t>Annual Number of</w:t>
            </w:r>
            <w:r w:rsidRPr="00050A19">
              <w:rPr>
                <w:rFonts w:eastAsia="Times New Roman" w:cs="Times New Roman"/>
                <w:color w:val="000000"/>
                <w:sz w:val="26"/>
                <w:szCs w:val="26"/>
              </w:rPr>
              <w:t xml:space="preserve"> Customer</w:t>
            </w:r>
            <w:r>
              <w:rPr>
                <w:rFonts w:eastAsia="Times New Roman" w:cs="Times New Roman"/>
                <w:color w:val="000000"/>
                <w:sz w:val="26"/>
                <w:szCs w:val="26"/>
              </w:rPr>
              <w:t xml:space="preserve"> Bills Issued</w:t>
            </w:r>
            <w:r w:rsidRPr="00050A19">
              <w:rPr>
                <w:rFonts w:eastAsia="Times New Roman" w:cs="Times New Roman"/>
                <w:color w:val="000000"/>
                <w:sz w:val="26"/>
                <w:szCs w:val="26"/>
              </w:rPr>
              <w:t xml:space="preserve"> - </w:t>
            </w:r>
          </w:p>
          <w:p w:rsidR="001F3394" w:rsidRDefault="001F3394" w:rsidP="00D215A4">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Baseline </w:t>
            </w:r>
            <w:r>
              <w:rPr>
                <w:rFonts w:eastAsia="Times New Roman" w:cs="Times New Roman"/>
                <w:color w:val="000000"/>
                <w:sz w:val="26"/>
                <w:szCs w:val="26"/>
              </w:rPr>
              <w:t xml:space="preserve">Number of </w:t>
            </w:r>
            <w:r w:rsidRPr="00050A19">
              <w:rPr>
                <w:rFonts w:eastAsia="Times New Roman" w:cs="Times New Roman"/>
                <w:color w:val="000000"/>
                <w:sz w:val="26"/>
                <w:szCs w:val="26"/>
              </w:rPr>
              <w:t>Customer</w:t>
            </w:r>
            <w:r>
              <w:rPr>
                <w:rFonts w:eastAsia="Times New Roman" w:cs="Times New Roman"/>
                <w:color w:val="000000"/>
                <w:sz w:val="26"/>
                <w:szCs w:val="26"/>
              </w:rPr>
              <w:t xml:space="preserve"> Bills Issued</w:t>
            </w:r>
            <w:r w:rsidRPr="00050A19">
              <w:rPr>
                <w:rFonts w:eastAsia="Times New Roman" w:cs="Times New Roman"/>
                <w:color w:val="000000"/>
                <w:sz w:val="26"/>
                <w:szCs w:val="26"/>
              </w:rPr>
              <w:t xml:space="preserve">) x (Cost Portion of Rate)] + [(Consumption by non-SFV customers directly attributable to program investment) x (Cost Portion of Rate)] + (Other revenues directly attributable to </w:t>
            </w:r>
            <w:r>
              <w:rPr>
                <w:rFonts w:eastAsia="Times New Roman" w:cs="Times New Roman"/>
                <w:color w:val="000000"/>
                <w:sz w:val="26"/>
                <w:szCs w:val="26"/>
              </w:rPr>
              <w:t xml:space="preserve">CEP </w:t>
            </w:r>
            <w:r w:rsidRPr="00050A19">
              <w:rPr>
                <w:rFonts w:eastAsia="Times New Roman" w:cs="Times New Roman"/>
                <w:color w:val="000000"/>
                <w:sz w:val="26"/>
                <w:szCs w:val="26"/>
              </w:rPr>
              <w:t>investment)</w:t>
            </w:r>
            <w:r>
              <w:rPr>
                <w:rFonts w:eastAsia="Times New Roman" w:cs="Times New Roman"/>
                <w:color w:val="000000"/>
                <w:sz w:val="26"/>
                <w:szCs w:val="26"/>
              </w:rPr>
              <w:t>.</w:t>
            </w:r>
          </w:p>
          <w:p w:rsidR="001F3394" w:rsidRPr="00050A19" w:rsidRDefault="001F3394" w:rsidP="00D215A4">
            <w:pPr>
              <w:spacing w:after="0" w:line="240" w:lineRule="auto"/>
              <w:jc w:val="center"/>
              <w:rPr>
                <w:rFonts w:eastAsia="Times New Roman" w:cs="Times New Roman"/>
                <w:color w:val="000000"/>
                <w:sz w:val="26"/>
                <w:szCs w:val="26"/>
              </w:rPr>
            </w:pPr>
          </w:p>
        </w:tc>
      </w:tr>
    </w:tbl>
    <w:p w:rsidR="006D1C89" w:rsidRDefault="006D1C89" w:rsidP="00D51C22">
      <w:pPr>
        <w:pStyle w:val="textstyle"/>
      </w:pPr>
    </w:p>
    <w:p w:rsidR="001112F0" w:rsidRDefault="00BE3FD9" w:rsidP="00D51C22">
      <w:pPr>
        <w:pStyle w:val="textstyle"/>
      </w:pPr>
      <w:r>
        <w:t>Consistent with t</w:t>
      </w:r>
      <w:r w:rsidR="001F3394">
        <w:t>his</w:t>
      </w:r>
      <w:r>
        <w:t xml:space="preserve"> formula, t</w:t>
      </w:r>
      <w:r w:rsidR="006D1C89">
        <w:t>he Company</w:t>
      </w:r>
      <w:r>
        <w:t xml:space="preserve"> provided data regarding its annual number of </w:t>
      </w:r>
      <w:r w:rsidR="009D7783">
        <w:t xml:space="preserve">SFV and non-SVF </w:t>
      </w:r>
      <w:r>
        <w:t xml:space="preserve">customers in 2012 relative to its annual customer baseline.  However, the Company did not provide any data concerning revenue (if any) </w:t>
      </w:r>
      <w:r w:rsidR="007E4DD7">
        <w:t xml:space="preserve">from other potential revenue sources directly attributable to </w:t>
      </w:r>
      <w:r w:rsidR="009D7783">
        <w:t>CEP</w:t>
      </w:r>
      <w:r w:rsidR="007E4DD7">
        <w:t xml:space="preserve"> invest</w:t>
      </w:r>
      <w:r w:rsidR="004E09BA">
        <w:softHyphen/>
      </w:r>
      <w:r w:rsidR="007E4DD7">
        <w:t xml:space="preserve">ments.  Without this data, the Staff cannot adequately monitor </w:t>
      </w:r>
      <w:r w:rsidR="001B75DC">
        <w:t>VEDO’s CEP</w:t>
      </w:r>
      <w:r w:rsidR="007E4DD7">
        <w:t xml:space="preserve"> </w:t>
      </w:r>
      <w:r w:rsidR="001112F0">
        <w:t xml:space="preserve">or verify the total monthly deferrals created </w:t>
      </w:r>
      <w:r w:rsidR="001112F0">
        <w:lastRenderedPageBreak/>
        <w:t>thereunder.  The Commission approved formula for computing the total monthly deferrals is:</w:t>
      </w:r>
    </w:p>
    <w:tbl>
      <w:tblPr>
        <w:tblW w:w="7680" w:type="dxa"/>
        <w:tblInd w:w="848" w:type="dxa"/>
        <w:tblLook w:val="04A0" w:firstRow="1" w:lastRow="0" w:firstColumn="1" w:lastColumn="0" w:noHBand="0" w:noVBand="1"/>
      </w:tblPr>
      <w:tblGrid>
        <w:gridCol w:w="2860"/>
        <w:gridCol w:w="460"/>
        <w:gridCol w:w="4360"/>
      </w:tblGrid>
      <w:tr w:rsidR="009D7783" w:rsidRPr="00050A19" w:rsidTr="005074AF">
        <w:trPr>
          <w:trHeight w:val="1500"/>
        </w:trPr>
        <w:tc>
          <w:tcPr>
            <w:tcW w:w="2860" w:type="dxa"/>
            <w:tcBorders>
              <w:top w:val="single" w:sz="4" w:space="0" w:color="auto"/>
              <w:left w:val="single" w:sz="4" w:space="0" w:color="auto"/>
              <w:bottom w:val="single" w:sz="4" w:space="0" w:color="auto"/>
              <w:right w:val="nil"/>
            </w:tcBorders>
            <w:shd w:val="clear" w:color="auto" w:fill="auto"/>
            <w:noWrap/>
            <w:vAlign w:val="center"/>
            <w:hideMark/>
          </w:tcPr>
          <w:p w:rsidR="009D7783" w:rsidRPr="00050A19" w:rsidRDefault="001112F0" w:rsidP="00D215A4">
            <w:pPr>
              <w:spacing w:after="0" w:line="240" w:lineRule="auto"/>
              <w:jc w:val="center"/>
              <w:rPr>
                <w:rFonts w:eastAsia="Times New Roman" w:cs="Times New Roman"/>
                <w:color w:val="000000"/>
                <w:sz w:val="26"/>
                <w:szCs w:val="26"/>
              </w:rPr>
            </w:pPr>
            <w:r>
              <w:t xml:space="preserve"> </w:t>
            </w:r>
            <w:r w:rsidR="009D7783" w:rsidRPr="00050A19">
              <w:rPr>
                <w:rFonts w:eastAsia="Times New Roman" w:cs="Times New Roman"/>
                <w:color w:val="000000"/>
                <w:sz w:val="26"/>
                <w:szCs w:val="26"/>
              </w:rPr>
              <w:t>Total Monthly Deferral</w:t>
            </w:r>
          </w:p>
        </w:tc>
        <w:tc>
          <w:tcPr>
            <w:tcW w:w="460" w:type="dxa"/>
            <w:tcBorders>
              <w:top w:val="single" w:sz="4" w:space="0" w:color="auto"/>
              <w:left w:val="nil"/>
              <w:bottom w:val="single" w:sz="4" w:space="0" w:color="auto"/>
              <w:right w:val="nil"/>
            </w:tcBorders>
            <w:shd w:val="clear" w:color="auto" w:fill="auto"/>
            <w:noWrap/>
            <w:vAlign w:val="center"/>
            <w:hideMark/>
          </w:tcPr>
          <w:p w:rsidR="009D7783" w:rsidRPr="00050A19" w:rsidRDefault="009D7783" w:rsidP="00D215A4">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 =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9D7783" w:rsidRPr="00050A19" w:rsidRDefault="009D7783" w:rsidP="00D215A4">
            <w:pPr>
              <w:spacing w:after="0" w:line="240" w:lineRule="auto"/>
              <w:jc w:val="center"/>
              <w:rPr>
                <w:rFonts w:eastAsia="Times New Roman" w:cs="Times New Roman"/>
                <w:color w:val="000000"/>
                <w:sz w:val="26"/>
                <w:szCs w:val="26"/>
              </w:rPr>
            </w:pPr>
            <w:r w:rsidRPr="00050A19">
              <w:rPr>
                <w:rFonts w:eastAsia="Times New Roman" w:cs="Times New Roman"/>
                <w:color w:val="000000"/>
                <w:sz w:val="26"/>
                <w:szCs w:val="26"/>
              </w:rPr>
              <w:t xml:space="preserve">(PISCC) + (Depreciation Expense) + (Property Tax Expense) </w:t>
            </w:r>
            <w:r>
              <w:rPr>
                <w:rFonts w:eastAsia="Times New Roman" w:cs="Times New Roman"/>
                <w:color w:val="000000"/>
                <w:sz w:val="26"/>
                <w:szCs w:val="26"/>
              </w:rPr>
              <w:t xml:space="preserve">– </w:t>
            </w:r>
            <w:r w:rsidRPr="00050A19">
              <w:rPr>
                <w:rFonts w:eastAsia="Times New Roman" w:cs="Times New Roman"/>
                <w:color w:val="000000"/>
                <w:sz w:val="26"/>
                <w:szCs w:val="26"/>
              </w:rPr>
              <w:t xml:space="preserve"> (Incremental Revenues)</w:t>
            </w:r>
          </w:p>
        </w:tc>
      </w:tr>
    </w:tbl>
    <w:p w:rsidR="001112F0" w:rsidRDefault="001112F0" w:rsidP="001112F0">
      <w:pPr>
        <w:pStyle w:val="textstyle"/>
        <w:spacing w:line="240" w:lineRule="auto"/>
      </w:pPr>
    </w:p>
    <w:p w:rsidR="00D51C22" w:rsidRDefault="001112F0" w:rsidP="00D51C22">
      <w:pPr>
        <w:pStyle w:val="textstyle"/>
      </w:pPr>
      <w:r>
        <w:t>Without complete data for determining any incremental revenue, then the total monthly deferrals cannot be verified.  As a result, the Staff recommends that t</w:t>
      </w:r>
      <w:r w:rsidRPr="001112F0">
        <w:t xml:space="preserve">he Commission direct that </w:t>
      </w:r>
      <w:r w:rsidR="009D7783">
        <w:t>VED</w:t>
      </w:r>
      <w:r w:rsidRPr="001112F0">
        <w:t xml:space="preserve">O’s April 30, 2014 and future annual informational filings should include revenue data from </w:t>
      </w:r>
      <w:r w:rsidR="009D7783">
        <w:t>other revenue sources attributable to the CEP</w:t>
      </w:r>
      <w:r w:rsidRPr="001112F0">
        <w:t>.</w:t>
      </w:r>
      <w:r w:rsidR="00D51C22" w:rsidRPr="000234E0">
        <w:t xml:space="preserve"> </w:t>
      </w:r>
      <w:r w:rsidR="009D7783">
        <w:t xml:space="preserve"> If no such revenue exists, then the Company should indicate as much in its formula and/or elsewhere in its informational filing.</w:t>
      </w:r>
    </w:p>
    <w:p w:rsidR="00C0224B" w:rsidRDefault="00C0224B" w:rsidP="00C0224B">
      <w:pPr>
        <w:pStyle w:val="Heading2"/>
      </w:pPr>
      <w:bookmarkStart w:id="7" w:name="_Toc369162835"/>
      <w:r>
        <w:t xml:space="preserve">The Staff agrees </w:t>
      </w:r>
      <w:r w:rsidR="001B75DC">
        <w:t xml:space="preserve">conceptually </w:t>
      </w:r>
      <w:r>
        <w:t xml:space="preserve">with VEDO’s proposed </w:t>
      </w:r>
      <w:r w:rsidR="00655F14">
        <w:t>pro</w:t>
      </w:r>
      <w:r w:rsidR="00C27309">
        <w:softHyphen/>
      </w:r>
      <w:r w:rsidR="00655F14">
        <w:t>cess for annual automatic approval for continued author</w:t>
      </w:r>
      <w:r w:rsidR="00C27309">
        <w:softHyphen/>
      </w:r>
      <w:r w:rsidR="00655F14">
        <w:t>ity to implement a CEP and ongoing deferral authority until the $1.50 per mo</w:t>
      </w:r>
      <w:r w:rsidR="004931B3">
        <w:t>n</w:t>
      </w:r>
      <w:r w:rsidR="00655F14">
        <w:t>th cap is reached.</w:t>
      </w:r>
      <w:r w:rsidR="001B75DC">
        <w:t xml:space="preserve">  However, the process should be modified to reflect the Commission pro</w:t>
      </w:r>
      <w:r w:rsidR="00C27309">
        <w:softHyphen/>
      </w:r>
      <w:r w:rsidR="001B75DC">
        <w:t xml:space="preserve">cess adopted in Case No. </w:t>
      </w:r>
      <w:r w:rsidR="006F78A9">
        <w:t>12-3221-GA-UNC.</w:t>
      </w:r>
      <w:bookmarkEnd w:id="7"/>
      <w:r w:rsidR="00655F14">
        <w:t xml:space="preserve"> </w:t>
      </w:r>
    </w:p>
    <w:p w:rsidR="0094663C" w:rsidRDefault="00655F14" w:rsidP="006F78A9">
      <w:pPr>
        <w:spacing w:line="480" w:lineRule="auto"/>
        <w:rPr>
          <w:sz w:val="26"/>
          <w:szCs w:val="26"/>
        </w:rPr>
      </w:pPr>
      <w:r w:rsidRPr="00655F14">
        <w:rPr>
          <w:sz w:val="26"/>
          <w:szCs w:val="26"/>
        </w:rPr>
        <w:t xml:space="preserve">VEDO’s proposed process </w:t>
      </w:r>
      <w:r w:rsidR="004931B3">
        <w:rPr>
          <w:sz w:val="26"/>
          <w:szCs w:val="26"/>
        </w:rPr>
        <w:t xml:space="preserve">for annual automatic approval for continued authority </w:t>
      </w:r>
      <w:r w:rsidR="004931B3" w:rsidRPr="004931B3">
        <w:rPr>
          <w:sz w:val="26"/>
          <w:szCs w:val="26"/>
        </w:rPr>
        <w:t xml:space="preserve">to implement a CEP and ongoing deferral authority until the $1.50 per month cap is reached </w:t>
      </w:r>
      <w:r w:rsidR="004931B3">
        <w:rPr>
          <w:sz w:val="26"/>
          <w:szCs w:val="26"/>
        </w:rPr>
        <w:t>is the same process that the Staff recommended that the Commission adopt in Comments filed in Columbia Gas of Ohio</w:t>
      </w:r>
      <w:r w:rsidR="00CA76AE">
        <w:rPr>
          <w:sz w:val="26"/>
          <w:szCs w:val="26"/>
        </w:rPr>
        <w:t xml:space="preserve">, Inc.’s </w:t>
      </w:r>
      <w:r w:rsidR="006F78A9">
        <w:rPr>
          <w:sz w:val="26"/>
          <w:szCs w:val="26"/>
        </w:rPr>
        <w:t xml:space="preserve">recently approved </w:t>
      </w:r>
      <w:r w:rsidR="004931B3">
        <w:rPr>
          <w:sz w:val="26"/>
          <w:szCs w:val="26"/>
        </w:rPr>
        <w:t xml:space="preserve">application for continued authority to implement a capital expenditure program and ongoing deferral authority in </w:t>
      </w:r>
      <w:r w:rsidR="004931B3">
        <w:rPr>
          <w:sz w:val="26"/>
          <w:szCs w:val="26"/>
        </w:rPr>
        <w:lastRenderedPageBreak/>
        <w:t>Case No. 12-3221-GA-UNC.</w:t>
      </w:r>
      <w:r w:rsidR="00CA76AE">
        <w:rPr>
          <w:rStyle w:val="FootnoteReference"/>
          <w:sz w:val="26"/>
          <w:szCs w:val="26"/>
        </w:rPr>
        <w:footnoteReference w:id="28"/>
      </w:r>
      <w:r w:rsidRPr="004931B3">
        <w:rPr>
          <w:sz w:val="26"/>
          <w:szCs w:val="26"/>
        </w:rPr>
        <w:t xml:space="preserve">  </w:t>
      </w:r>
      <w:r w:rsidR="00CA76AE">
        <w:rPr>
          <w:sz w:val="26"/>
          <w:szCs w:val="26"/>
        </w:rPr>
        <w:t>As the Staff noted in its Comments in that case, the pro</w:t>
      </w:r>
      <w:r w:rsidR="00216D2A">
        <w:rPr>
          <w:sz w:val="26"/>
          <w:szCs w:val="26"/>
        </w:rPr>
        <w:softHyphen/>
      </w:r>
      <w:r w:rsidR="00CA76AE">
        <w:rPr>
          <w:sz w:val="26"/>
          <w:szCs w:val="26"/>
        </w:rPr>
        <w:t xml:space="preserve">posed process strikes an appropriate balance between providing an efficient mechanism for utilities to receive ongoing authority to implement their capital expenditure programs </w:t>
      </w:r>
      <w:r w:rsidR="00B44820">
        <w:rPr>
          <w:sz w:val="26"/>
          <w:szCs w:val="26"/>
        </w:rPr>
        <w:t>and related deferrals</w:t>
      </w:r>
      <w:r w:rsidR="00CA76AE">
        <w:rPr>
          <w:sz w:val="26"/>
          <w:szCs w:val="26"/>
        </w:rPr>
        <w:t xml:space="preserve"> </w:t>
      </w:r>
      <w:r w:rsidR="00B44820">
        <w:rPr>
          <w:sz w:val="26"/>
          <w:szCs w:val="26"/>
        </w:rPr>
        <w:t xml:space="preserve">and enabling the Staff and intervening parties to effectively monitor the programs.  </w:t>
      </w:r>
      <w:r w:rsidR="0094663C">
        <w:rPr>
          <w:sz w:val="26"/>
          <w:szCs w:val="26"/>
        </w:rPr>
        <w:t>However, in its October 9, 2013 Finding and Order approving Columbia’s application in the case, the Commission modified the Staff-recommended automatic approval process.  In its Finding and Order, the Commission directed that:</w:t>
      </w:r>
    </w:p>
    <w:p w:rsidR="00296A6A" w:rsidRDefault="0094663C" w:rsidP="00296A6A">
      <w:pPr>
        <w:pStyle w:val="Blockquote"/>
        <w:spacing w:after="240"/>
        <w:ind w:left="1440" w:right="1440"/>
      </w:pPr>
      <w:r>
        <w:t xml:space="preserve">…a process should be adopted to allow interested persons and Staff to comment on the information provided by [Columbia] in its annual </w:t>
      </w:r>
      <w:r w:rsidR="005D6399">
        <w:t>informational filings due on April 30 of each year (CEP Order at 12).  Therefore, the Commission directs that any comments and reply comments should be filed within 30 days and 40 days, respectively, of the date of Columbia’s informational filing.  After review of any comments submit</w:t>
      </w:r>
      <w:r w:rsidR="00296A6A">
        <w:softHyphen/>
      </w:r>
      <w:r w:rsidR="005D6399">
        <w:t xml:space="preserve">ted, the Commission will determine whether there should be further review of Columbia’s approved deferral authority at that time.  If the Commission finds such further review to be necessary, within 60 days after the filing of each annual informational filing, an appropriate procedure for review will be established.  If such a review is initiated, Columbia may continue to accrue appropriate deferrals, unless and until the Commission orders otherwise.  The Commission notes that </w:t>
      </w:r>
      <w:r w:rsidR="00296A6A">
        <w:br w:type="page"/>
      </w:r>
    </w:p>
    <w:p w:rsidR="0094663C" w:rsidRDefault="005D6399" w:rsidP="00296A6A">
      <w:pPr>
        <w:pStyle w:val="Blockquote"/>
        <w:spacing w:after="240"/>
        <w:ind w:left="1440" w:right="1440"/>
      </w:pPr>
      <w:r>
        <w:lastRenderedPageBreak/>
        <w:t>Columbia’s annual informational filings, as well as any com</w:t>
      </w:r>
      <w:r w:rsidR="00296A6A">
        <w:softHyphen/>
      </w:r>
      <w:r>
        <w:t>ments and reply comments, should be filed in the above-cap</w:t>
      </w:r>
      <w:r w:rsidR="00296A6A">
        <w:softHyphen/>
      </w:r>
      <w:r>
        <w:t>tioned cases.</w:t>
      </w:r>
      <w:r w:rsidR="00357BEB">
        <w:rPr>
          <w:rStyle w:val="FootnoteReference"/>
        </w:rPr>
        <w:footnoteReference w:id="29"/>
      </w:r>
    </w:p>
    <w:p w:rsidR="00655F14" w:rsidRPr="004931B3" w:rsidRDefault="00357BEB" w:rsidP="006F78A9">
      <w:pPr>
        <w:spacing w:line="480" w:lineRule="auto"/>
        <w:rPr>
          <w:sz w:val="26"/>
          <w:szCs w:val="26"/>
        </w:rPr>
      </w:pPr>
      <w:r>
        <w:rPr>
          <w:sz w:val="26"/>
          <w:szCs w:val="26"/>
        </w:rPr>
        <w:t xml:space="preserve">The </w:t>
      </w:r>
      <w:r w:rsidR="00B44820">
        <w:rPr>
          <w:sz w:val="26"/>
          <w:szCs w:val="26"/>
        </w:rPr>
        <w:t xml:space="preserve">Staff recommends that the Commission adopt </w:t>
      </w:r>
      <w:r>
        <w:rPr>
          <w:sz w:val="26"/>
          <w:szCs w:val="26"/>
        </w:rPr>
        <w:t>the same process in this case</w:t>
      </w:r>
      <w:r w:rsidR="00B44820">
        <w:rPr>
          <w:sz w:val="26"/>
          <w:szCs w:val="26"/>
        </w:rPr>
        <w:t xml:space="preserve">.  </w:t>
      </w:r>
    </w:p>
    <w:p w:rsidR="005A5444" w:rsidRDefault="005A5444" w:rsidP="00230969">
      <w:pPr>
        <w:pStyle w:val="Heading1"/>
      </w:pPr>
      <w:bookmarkStart w:id="8" w:name="_Toc318974779"/>
      <w:bookmarkStart w:id="9" w:name="_Toc369162836"/>
      <w:r>
        <w:t>CONCLUSION</w:t>
      </w:r>
      <w:bookmarkEnd w:id="8"/>
      <w:bookmarkEnd w:id="9"/>
    </w:p>
    <w:p w:rsidR="0052205B" w:rsidRDefault="001420B4" w:rsidP="00C43C58">
      <w:pPr>
        <w:pStyle w:val="textstyle"/>
      </w:pPr>
      <w:r>
        <w:tab/>
      </w:r>
      <w:r w:rsidR="008D0667">
        <w:t>W</w:t>
      </w:r>
      <w:r w:rsidR="0052205B">
        <w:t xml:space="preserve">ith adoption of the Staff’s </w:t>
      </w:r>
      <w:r w:rsidR="00C43C58">
        <w:t>recommen</w:t>
      </w:r>
      <w:r w:rsidR="008D0667">
        <w:t xml:space="preserve">dations described </w:t>
      </w:r>
      <w:r w:rsidR="00C43C58">
        <w:t xml:space="preserve">above, </w:t>
      </w:r>
      <w:r w:rsidR="0052205B">
        <w:t>the Staff respect</w:t>
      </w:r>
      <w:r w:rsidR="00C27309">
        <w:softHyphen/>
      </w:r>
      <w:r w:rsidR="0052205B">
        <w:t>fully recommend</w:t>
      </w:r>
      <w:r w:rsidR="00357BEB">
        <w:t>s</w:t>
      </w:r>
      <w:r w:rsidR="0052205B">
        <w:t xml:space="preserve"> that the Com</w:t>
      </w:r>
      <w:r w:rsidR="00422E1B">
        <w:softHyphen/>
      </w:r>
      <w:r w:rsidR="0052205B">
        <w:t xml:space="preserve">mission approve </w:t>
      </w:r>
      <w:r w:rsidR="00B44820">
        <w:t>VEDO</w:t>
      </w:r>
      <w:r w:rsidR="0052205B">
        <w:t>’s Applica</w:t>
      </w:r>
      <w:r w:rsidR="00395DDD">
        <w:softHyphen/>
      </w:r>
      <w:r w:rsidR="0052205B">
        <w:t>tion.</w:t>
      </w:r>
    </w:p>
    <w:p w:rsidR="0036080A" w:rsidRDefault="0036080A" w:rsidP="002B0FA8">
      <w:pPr>
        <w:tabs>
          <w:tab w:val="center" w:pos="9360"/>
        </w:tabs>
        <w:spacing w:after="0" w:line="240" w:lineRule="auto"/>
        <w:ind w:left="4320"/>
        <w:rPr>
          <w:rFonts w:cs="Times New Roman"/>
          <w:sz w:val="26"/>
          <w:szCs w:val="26"/>
        </w:rPr>
      </w:pPr>
      <w:r>
        <w:rPr>
          <w:rFonts w:cs="Times New Roman"/>
          <w:sz w:val="26"/>
          <w:szCs w:val="26"/>
        </w:rPr>
        <w:t>Respectfully Submitted,</w:t>
      </w:r>
    </w:p>
    <w:p w:rsidR="002B0FA8" w:rsidRPr="002B0FA8" w:rsidRDefault="002B0FA8" w:rsidP="002B0FA8">
      <w:pPr>
        <w:pStyle w:val="NoSpacing"/>
      </w:pPr>
    </w:p>
    <w:p w:rsidR="001420B4" w:rsidRPr="00CD42AF" w:rsidRDefault="001420B4" w:rsidP="001420B4">
      <w:pPr>
        <w:pStyle w:val="text"/>
        <w:ind w:left="4320"/>
        <w:rPr>
          <w:b/>
          <w:szCs w:val="26"/>
        </w:rPr>
      </w:pPr>
      <w:r w:rsidRPr="00CD42AF">
        <w:rPr>
          <w:b/>
          <w:szCs w:val="26"/>
        </w:rPr>
        <w:t xml:space="preserve">Michael DeWine </w:t>
      </w:r>
    </w:p>
    <w:p w:rsidR="001420B4" w:rsidRPr="00CD42AF" w:rsidRDefault="001420B4" w:rsidP="001420B4">
      <w:pPr>
        <w:pStyle w:val="text"/>
        <w:ind w:left="4320"/>
        <w:rPr>
          <w:szCs w:val="26"/>
        </w:rPr>
      </w:pPr>
      <w:r>
        <w:rPr>
          <w:szCs w:val="26"/>
        </w:rPr>
        <w:t xml:space="preserve">Ohio </w:t>
      </w:r>
      <w:r w:rsidRPr="00CD42AF">
        <w:rPr>
          <w:szCs w:val="26"/>
        </w:rPr>
        <w:t>Attorney General</w:t>
      </w:r>
    </w:p>
    <w:p w:rsidR="001420B4" w:rsidRPr="00CD42AF" w:rsidRDefault="001420B4" w:rsidP="001420B4">
      <w:pPr>
        <w:pStyle w:val="text"/>
        <w:ind w:left="4320"/>
        <w:rPr>
          <w:szCs w:val="26"/>
        </w:rPr>
      </w:pPr>
    </w:p>
    <w:p w:rsidR="001420B4" w:rsidRDefault="001420B4" w:rsidP="001420B4">
      <w:pPr>
        <w:pStyle w:val="text"/>
        <w:ind w:left="4320"/>
        <w:rPr>
          <w:szCs w:val="26"/>
        </w:rPr>
      </w:pPr>
      <w:r>
        <w:rPr>
          <w:b/>
          <w:szCs w:val="26"/>
        </w:rPr>
        <w:t>William L. Wright</w:t>
      </w:r>
    </w:p>
    <w:p w:rsidR="001420B4" w:rsidRPr="002B0FA8" w:rsidRDefault="001420B4" w:rsidP="001420B4">
      <w:pPr>
        <w:pStyle w:val="text"/>
        <w:ind w:left="4320"/>
        <w:rPr>
          <w:b/>
          <w:szCs w:val="26"/>
        </w:rPr>
      </w:pPr>
      <w:r w:rsidRPr="00CD42AF">
        <w:rPr>
          <w:szCs w:val="26"/>
        </w:rPr>
        <w:t>Section Chief</w:t>
      </w:r>
    </w:p>
    <w:p w:rsidR="001420B4" w:rsidRDefault="001420B4" w:rsidP="001420B4">
      <w:pPr>
        <w:pStyle w:val="text"/>
        <w:ind w:left="4320"/>
        <w:rPr>
          <w:szCs w:val="26"/>
        </w:rPr>
      </w:pPr>
    </w:p>
    <w:p w:rsidR="004E09BA" w:rsidRDefault="00296A6A" w:rsidP="001420B4">
      <w:pPr>
        <w:pStyle w:val="text"/>
        <w:ind w:left="4320"/>
        <w:rPr>
          <w:rFonts w:ascii="Viner Hand ITC" w:hAnsi="Viner Hand ITC"/>
          <w:sz w:val="28"/>
          <w:szCs w:val="28"/>
          <w:u w:val="single"/>
        </w:rPr>
      </w:pPr>
      <w:r>
        <w:rPr>
          <w:rFonts w:ascii="Viner Hand ITC" w:hAnsi="Viner Hand ITC"/>
          <w:sz w:val="28"/>
          <w:szCs w:val="28"/>
          <w:u w:val="single"/>
        </w:rPr>
        <w:t>/s/ Ryan P. O’Rourke</w:t>
      </w:r>
      <w:r w:rsidR="004E09BA">
        <w:rPr>
          <w:rFonts w:ascii="Viner Hand ITC" w:hAnsi="Viner Hand ITC"/>
          <w:sz w:val="28"/>
          <w:szCs w:val="28"/>
          <w:u w:val="single"/>
        </w:rPr>
        <w:tab/>
      </w:r>
    </w:p>
    <w:p w:rsidR="001420B4" w:rsidRPr="000E73B4" w:rsidRDefault="001B75DC" w:rsidP="001420B4">
      <w:pPr>
        <w:pStyle w:val="text"/>
        <w:ind w:left="4320"/>
        <w:rPr>
          <w:b/>
          <w:szCs w:val="26"/>
        </w:rPr>
      </w:pPr>
      <w:r>
        <w:rPr>
          <w:b/>
          <w:szCs w:val="26"/>
        </w:rPr>
        <w:t>Ryan P. O’Rourke</w:t>
      </w:r>
    </w:p>
    <w:p w:rsidR="001420B4" w:rsidRPr="000E73B4" w:rsidRDefault="001420B4" w:rsidP="001420B4">
      <w:pPr>
        <w:pStyle w:val="text"/>
        <w:ind w:left="4320"/>
        <w:rPr>
          <w:szCs w:val="26"/>
        </w:rPr>
      </w:pPr>
      <w:r w:rsidRPr="000E73B4">
        <w:rPr>
          <w:szCs w:val="26"/>
        </w:rPr>
        <w:t>Assistant Attorney General</w:t>
      </w:r>
    </w:p>
    <w:p w:rsidR="001420B4" w:rsidRPr="000E73B4" w:rsidRDefault="001420B4" w:rsidP="001420B4">
      <w:pPr>
        <w:pStyle w:val="text"/>
        <w:ind w:left="4320"/>
        <w:rPr>
          <w:szCs w:val="26"/>
        </w:rPr>
      </w:pPr>
      <w:r w:rsidRPr="000E73B4">
        <w:rPr>
          <w:szCs w:val="26"/>
        </w:rPr>
        <w:t>Public Utilities Section</w:t>
      </w:r>
    </w:p>
    <w:p w:rsidR="001420B4" w:rsidRPr="000E73B4" w:rsidRDefault="001420B4" w:rsidP="001420B4">
      <w:pPr>
        <w:pStyle w:val="text"/>
        <w:ind w:left="4320"/>
        <w:rPr>
          <w:szCs w:val="26"/>
        </w:rPr>
      </w:pPr>
      <w:r w:rsidRPr="000E73B4">
        <w:rPr>
          <w:szCs w:val="26"/>
        </w:rPr>
        <w:t>180 East Broad Street, 6</w:t>
      </w:r>
      <w:r w:rsidRPr="000E73B4">
        <w:rPr>
          <w:szCs w:val="26"/>
          <w:vertAlign w:val="superscript"/>
        </w:rPr>
        <w:t>th</w:t>
      </w:r>
      <w:r w:rsidRPr="000E73B4">
        <w:rPr>
          <w:szCs w:val="26"/>
        </w:rPr>
        <w:t xml:space="preserve"> Fl. </w:t>
      </w:r>
    </w:p>
    <w:p w:rsidR="001420B4" w:rsidRPr="000E73B4" w:rsidRDefault="001420B4" w:rsidP="001420B4">
      <w:pPr>
        <w:pStyle w:val="text"/>
        <w:ind w:left="4320"/>
        <w:rPr>
          <w:szCs w:val="26"/>
        </w:rPr>
      </w:pPr>
      <w:r w:rsidRPr="000E73B4">
        <w:rPr>
          <w:szCs w:val="26"/>
        </w:rPr>
        <w:t xml:space="preserve">Columbus, </w:t>
      </w:r>
      <w:r>
        <w:rPr>
          <w:szCs w:val="26"/>
        </w:rPr>
        <w:t>OH</w:t>
      </w:r>
      <w:r w:rsidRPr="000E73B4">
        <w:rPr>
          <w:szCs w:val="26"/>
        </w:rPr>
        <w:t xml:space="preserve">  43215</w:t>
      </w:r>
    </w:p>
    <w:p w:rsidR="001420B4" w:rsidRPr="001420B4" w:rsidRDefault="001420B4" w:rsidP="001420B4">
      <w:pPr>
        <w:pStyle w:val="text"/>
        <w:ind w:left="4320"/>
        <w:rPr>
          <w:szCs w:val="26"/>
        </w:rPr>
      </w:pPr>
      <w:r w:rsidRPr="001420B4">
        <w:rPr>
          <w:szCs w:val="26"/>
        </w:rPr>
        <w:t>614.466.4395 (telephone)</w:t>
      </w:r>
    </w:p>
    <w:p w:rsidR="001420B4" w:rsidRPr="001420B4" w:rsidRDefault="001420B4" w:rsidP="001420B4">
      <w:pPr>
        <w:spacing w:after="0" w:line="240" w:lineRule="auto"/>
        <w:ind w:left="4320"/>
        <w:jc w:val="both"/>
        <w:rPr>
          <w:rFonts w:cs="Times New Roman"/>
          <w:sz w:val="26"/>
          <w:szCs w:val="26"/>
        </w:rPr>
      </w:pPr>
      <w:r w:rsidRPr="001420B4">
        <w:rPr>
          <w:rFonts w:cs="Times New Roman"/>
          <w:sz w:val="26"/>
          <w:szCs w:val="26"/>
        </w:rPr>
        <w:t>614.644.8764 (fax)</w:t>
      </w:r>
    </w:p>
    <w:p w:rsidR="001420B4" w:rsidRPr="001420B4" w:rsidRDefault="007A33CB" w:rsidP="001420B4">
      <w:pPr>
        <w:spacing w:after="0" w:line="240" w:lineRule="auto"/>
        <w:ind w:left="4320"/>
        <w:jc w:val="both"/>
        <w:rPr>
          <w:rFonts w:cs="Times New Roman"/>
          <w:sz w:val="26"/>
          <w:szCs w:val="26"/>
        </w:rPr>
      </w:pPr>
      <w:hyperlink r:id="rId14" w:history="1">
        <w:r w:rsidR="001420B4" w:rsidRPr="001420B4">
          <w:rPr>
            <w:rStyle w:val="Hyperlink"/>
            <w:rFonts w:cs="Times New Roman"/>
            <w:sz w:val="26"/>
            <w:szCs w:val="26"/>
          </w:rPr>
          <w:t>william.wright@puc.state.oh.us</w:t>
        </w:r>
      </w:hyperlink>
    </w:p>
    <w:p w:rsidR="00296A6A" w:rsidRDefault="007A33CB" w:rsidP="00296A6A">
      <w:pPr>
        <w:spacing w:after="0" w:line="240" w:lineRule="auto"/>
        <w:ind w:left="4320"/>
        <w:jc w:val="both"/>
        <w:rPr>
          <w:rFonts w:cs="Times New Roman"/>
          <w:sz w:val="26"/>
          <w:szCs w:val="26"/>
        </w:rPr>
      </w:pPr>
      <w:hyperlink r:id="rId15" w:history="1">
        <w:r w:rsidR="00296A6A" w:rsidRPr="00D855E3">
          <w:rPr>
            <w:rStyle w:val="Hyperlink"/>
            <w:rFonts w:cs="Times New Roman"/>
            <w:sz w:val="26"/>
            <w:szCs w:val="26"/>
          </w:rPr>
          <w:t>ryan.orourke@puc.state.oh.us</w:t>
        </w:r>
      </w:hyperlink>
    </w:p>
    <w:p w:rsidR="00296A6A" w:rsidRDefault="00296A6A" w:rsidP="00296A6A">
      <w:pPr>
        <w:pStyle w:val="NoSpacing"/>
      </w:pPr>
    </w:p>
    <w:p w:rsidR="00296A6A" w:rsidRPr="00296A6A" w:rsidRDefault="00296A6A" w:rsidP="00296A6A">
      <w:pPr>
        <w:pStyle w:val="NoSpacing"/>
      </w:pPr>
    </w:p>
    <w:p w:rsidR="00CD42AF" w:rsidRPr="000E73B4" w:rsidRDefault="00CD42AF" w:rsidP="00230969">
      <w:pPr>
        <w:pStyle w:val="Heading1"/>
      </w:pPr>
      <w:bookmarkStart w:id="10" w:name="_Toc318974780"/>
      <w:bookmarkStart w:id="11" w:name="_Toc369162837"/>
      <w:r w:rsidRPr="000E73B4">
        <w:lastRenderedPageBreak/>
        <w:t>CERTIFICATE OF SERVICE</w:t>
      </w:r>
      <w:bookmarkEnd w:id="10"/>
      <w:bookmarkEnd w:id="11"/>
    </w:p>
    <w:p w:rsidR="00CD42AF" w:rsidRPr="000E73B4" w:rsidRDefault="00CD42AF" w:rsidP="004E09BA">
      <w:pPr>
        <w:pStyle w:val="textstyle"/>
      </w:pPr>
      <w:r w:rsidRPr="000E73B4">
        <w:tab/>
        <w:t>I hereby certify that a true copy of the</w:t>
      </w:r>
      <w:r w:rsidR="0061659A" w:rsidRPr="000E73B4">
        <w:t xml:space="preserve"> </w:t>
      </w:r>
      <w:r w:rsidR="002B0FA8">
        <w:t xml:space="preserve">foregoing </w:t>
      </w:r>
      <w:r w:rsidR="00B17D9A">
        <w:rPr>
          <w:b/>
        </w:rPr>
        <w:t>Comments</w:t>
      </w:r>
      <w:r w:rsidRPr="000E73B4">
        <w:rPr>
          <w:b/>
        </w:rPr>
        <w:t xml:space="preserve"> </w:t>
      </w:r>
      <w:r w:rsidR="002B0FA8" w:rsidRPr="002B0FA8">
        <w:t xml:space="preserve">submitted on behalf of the Staff of the Public Utilities Commission of Ohio </w:t>
      </w:r>
      <w:r w:rsidRPr="000E73B4">
        <w:t xml:space="preserve">was served </w:t>
      </w:r>
      <w:r w:rsidR="00216D2A">
        <w:t>via</w:t>
      </w:r>
      <w:r w:rsidRPr="000E73B4">
        <w:t xml:space="preserve"> electronic mail upon </w:t>
      </w:r>
      <w:r w:rsidR="00216D2A">
        <w:t xml:space="preserve">applicant’s counsel, Andrew J. Carpenter, Carpenter, Lipps &amp; Leland, 280 Plaza, Suite 1300, 280 North High Street, Columbus, Ohio, 43215, </w:t>
      </w:r>
      <w:hyperlink r:id="rId16" w:history="1">
        <w:r w:rsidR="00216D2A" w:rsidRPr="00C15F29">
          <w:rPr>
            <w:rStyle w:val="Hyperlink"/>
          </w:rPr>
          <w:t>carpenter@whitt-sturtevant.com</w:t>
        </w:r>
      </w:hyperlink>
      <w:r w:rsidRPr="000E73B4">
        <w:t xml:space="preserve">, this </w:t>
      </w:r>
      <w:r w:rsidR="00216D2A">
        <w:t>10</w:t>
      </w:r>
      <w:r w:rsidR="00E60F4C" w:rsidRPr="00E60F4C">
        <w:rPr>
          <w:vertAlign w:val="superscript"/>
        </w:rPr>
        <w:t>th</w:t>
      </w:r>
      <w:r w:rsidR="00E60F4C">
        <w:t xml:space="preserve"> day </w:t>
      </w:r>
      <w:r w:rsidR="004E09BA">
        <w:t xml:space="preserve">of </w:t>
      </w:r>
      <w:r w:rsidR="00216D2A">
        <w:t>October</w:t>
      </w:r>
      <w:r w:rsidR="00B65AD5" w:rsidRPr="000E73B4">
        <w:t xml:space="preserve">, </w:t>
      </w:r>
      <w:r w:rsidR="007F06F3">
        <w:t>2013.</w:t>
      </w:r>
    </w:p>
    <w:p w:rsidR="00395DDD" w:rsidRDefault="00395DDD" w:rsidP="002B0FA8">
      <w:pPr>
        <w:tabs>
          <w:tab w:val="left" w:pos="9360"/>
        </w:tabs>
        <w:spacing w:after="0" w:line="240" w:lineRule="auto"/>
        <w:ind w:left="4770"/>
        <w:jc w:val="both"/>
        <w:rPr>
          <w:rFonts w:cs="Times New Roman"/>
          <w:sz w:val="26"/>
          <w:szCs w:val="26"/>
          <w:u w:val="single"/>
        </w:rPr>
      </w:pPr>
    </w:p>
    <w:p w:rsidR="00CD42AF" w:rsidRPr="004E09BA" w:rsidRDefault="00296A6A" w:rsidP="002B0FA8">
      <w:pPr>
        <w:tabs>
          <w:tab w:val="left" w:pos="9360"/>
        </w:tabs>
        <w:spacing w:after="0" w:line="240" w:lineRule="auto"/>
        <w:ind w:left="4770"/>
        <w:jc w:val="both"/>
        <w:rPr>
          <w:rFonts w:ascii="Viner Hand ITC" w:hAnsi="Viner Hand ITC" w:cs="Times New Roman"/>
          <w:sz w:val="28"/>
          <w:szCs w:val="28"/>
        </w:rPr>
      </w:pPr>
      <w:r>
        <w:rPr>
          <w:rFonts w:ascii="Viner Hand ITC" w:hAnsi="Viner Hand ITC" w:cs="Times New Roman"/>
          <w:sz w:val="28"/>
          <w:szCs w:val="28"/>
          <w:u w:val="single"/>
        </w:rPr>
        <w:t>/s/ Ryan P. O’Rourke</w:t>
      </w:r>
      <w:r w:rsidR="002B0FA8" w:rsidRPr="004E09BA">
        <w:rPr>
          <w:rFonts w:ascii="Viner Hand ITC" w:hAnsi="Viner Hand ITC" w:cs="Times New Roman"/>
          <w:sz w:val="28"/>
          <w:szCs w:val="28"/>
          <w:u w:val="single"/>
        </w:rPr>
        <w:tab/>
      </w:r>
    </w:p>
    <w:p w:rsidR="00CD42AF" w:rsidRPr="001420B4" w:rsidRDefault="001B75DC" w:rsidP="001420B4">
      <w:pPr>
        <w:spacing w:after="0" w:line="240" w:lineRule="auto"/>
        <w:ind w:left="4770"/>
        <w:rPr>
          <w:b/>
        </w:rPr>
      </w:pPr>
      <w:r>
        <w:rPr>
          <w:b/>
        </w:rPr>
        <w:t>Ryan P. O’Rourke</w:t>
      </w:r>
    </w:p>
    <w:p w:rsidR="00CD42AF" w:rsidRPr="000E73B4" w:rsidRDefault="00395DDD" w:rsidP="00B65AD5">
      <w:pPr>
        <w:spacing w:after="0" w:line="240" w:lineRule="auto"/>
        <w:ind w:left="4770"/>
        <w:jc w:val="both"/>
        <w:rPr>
          <w:rFonts w:cs="Times New Roman"/>
          <w:sz w:val="26"/>
          <w:szCs w:val="26"/>
        </w:rPr>
      </w:pPr>
      <w:r>
        <w:rPr>
          <w:rFonts w:cs="Times New Roman"/>
          <w:sz w:val="26"/>
          <w:szCs w:val="26"/>
        </w:rPr>
        <w:t>Assistant Attorney General</w:t>
      </w:r>
    </w:p>
    <w:p w:rsidR="00CD42AF" w:rsidRPr="000E73B4" w:rsidRDefault="00CD42AF" w:rsidP="00CD42AF">
      <w:pPr>
        <w:ind w:left="4320"/>
        <w:jc w:val="both"/>
        <w:rPr>
          <w:rFonts w:cs="Times New Roman"/>
          <w:sz w:val="26"/>
          <w:szCs w:val="26"/>
        </w:rPr>
      </w:pPr>
    </w:p>
    <w:p w:rsidR="00CD42AF" w:rsidRPr="000E73B4" w:rsidRDefault="00CD42AF" w:rsidP="00CD42AF">
      <w:pPr>
        <w:ind w:left="4320"/>
        <w:jc w:val="both"/>
        <w:rPr>
          <w:rFonts w:cs="Times New Roman"/>
          <w:sz w:val="26"/>
          <w:szCs w:val="26"/>
        </w:rPr>
      </w:pPr>
    </w:p>
    <w:sectPr w:rsidR="00CD42AF" w:rsidRPr="000E73B4" w:rsidSect="002B0FA8">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D6" w:rsidRDefault="006017D6" w:rsidP="00334569">
      <w:pPr>
        <w:spacing w:after="0" w:line="240" w:lineRule="auto"/>
      </w:pPr>
      <w:r>
        <w:separator/>
      </w:r>
    </w:p>
  </w:endnote>
  <w:endnote w:type="continuationSeparator" w:id="0">
    <w:p w:rsidR="006017D6" w:rsidRDefault="006017D6" w:rsidP="0033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206621"/>
      <w:docPartObj>
        <w:docPartGallery w:val="Page Numbers (Bottom of Page)"/>
        <w:docPartUnique/>
      </w:docPartObj>
    </w:sdtPr>
    <w:sdtEndPr>
      <w:rPr>
        <w:noProof/>
      </w:rPr>
    </w:sdtEndPr>
    <w:sdtContent>
      <w:p w:rsidR="005074AF" w:rsidRDefault="00507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74AF" w:rsidRDefault="005074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728939"/>
      <w:docPartObj>
        <w:docPartGallery w:val="Page Numbers (Bottom of Page)"/>
        <w:docPartUnique/>
      </w:docPartObj>
    </w:sdtPr>
    <w:sdtEndPr>
      <w:rPr>
        <w:noProof/>
      </w:rPr>
    </w:sdtEndPr>
    <w:sdtContent>
      <w:p w:rsidR="005074AF" w:rsidRDefault="005074AF" w:rsidP="002B0FA8">
        <w:pPr>
          <w:pStyle w:val="Footer"/>
          <w:jc w:val="center"/>
        </w:pPr>
        <w:r>
          <w:fldChar w:fldCharType="begin"/>
        </w:r>
        <w:r>
          <w:instrText xml:space="preserve"> PAGE   \* MERGEFORMAT </w:instrText>
        </w:r>
        <w:r>
          <w:fldChar w:fldCharType="separate"/>
        </w:r>
        <w:r w:rsidR="007A33CB">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298612"/>
      <w:docPartObj>
        <w:docPartGallery w:val="Page Numbers (Bottom of Page)"/>
        <w:docPartUnique/>
      </w:docPartObj>
    </w:sdtPr>
    <w:sdtEndPr>
      <w:rPr>
        <w:noProof/>
      </w:rPr>
    </w:sdtEndPr>
    <w:sdtContent>
      <w:p w:rsidR="005074AF" w:rsidRDefault="005074AF" w:rsidP="002B0FA8">
        <w:pPr>
          <w:pStyle w:val="Footer"/>
          <w:jc w:val="center"/>
        </w:pPr>
        <w:r>
          <w:fldChar w:fldCharType="begin"/>
        </w:r>
        <w:r>
          <w:instrText xml:space="preserve"> PAGE   \* MERGEFORMAT </w:instrText>
        </w:r>
        <w:r>
          <w:fldChar w:fldCharType="separate"/>
        </w:r>
        <w:r w:rsidR="007A33CB">
          <w:rPr>
            <w:noProof/>
          </w:rPr>
          <w:t>18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AF" w:rsidRDefault="00507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D6" w:rsidRDefault="006017D6" w:rsidP="00334569">
      <w:pPr>
        <w:spacing w:after="0" w:line="240" w:lineRule="auto"/>
      </w:pPr>
      <w:r>
        <w:separator/>
      </w:r>
    </w:p>
  </w:footnote>
  <w:footnote w:type="continuationSeparator" w:id="0">
    <w:p w:rsidR="006017D6" w:rsidRDefault="006017D6" w:rsidP="00334569">
      <w:pPr>
        <w:spacing w:after="0" w:line="240" w:lineRule="auto"/>
      </w:pPr>
      <w:r>
        <w:continuationSeparator/>
      </w:r>
    </w:p>
  </w:footnote>
  <w:footnote w:id="1">
    <w:p w:rsidR="005074AF" w:rsidRPr="00B25BB4" w:rsidRDefault="005074AF" w:rsidP="00B25BB4">
      <w:pPr>
        <w:pStyle w:val="FootnoteText"/>
      </w:pPr>
      <w:r>
        <w:rPr>
          <w:rStyle w:val="FootnoteReference"/>
        </w:rPr>
        <w:footnoteRef/>
      </w:r>
      <w:r>
        <w:t xml:space="preserve"> </w:t>
      </w:r>
      <w:r>
        <w:tab/>
      </w:r>
      <w:r w:rsidRPr="000E73B4">
        <w:tab/>
      </w:r>
      <w:r w:rsidRPr="00B25BB4">
        <w:rPr>
          <w:i/>
        </w:rPr>
        <w:t xml:space="preserve">In the Matter of the Application of </w:t>
      </w:r>
      <w:r>
        <w:rPr>
          <w:i/>
        </w:rPr>
        <w:t xml:space="preserve">Vectren Energy Delivery of Ohio, Inc. to Implement </w:t>
      </w:r>
      <w:r w:rsidRPr="00B25BB4">
        <w:rPr>
          <w:i/>
        </w:rPr>
        <w:t>a Capital Expenditure Program and for A</w:t>
      </w:r>
      <w:r>
        <w:rPr>
          <w:i/>
        </w:rPr>
        <w:t>uthority</w:t>
      </w:r>
      <w:r w:rsidRPr="00B25BB4">
        <w:rPr>
          <w:i/>
        </w:rPr>
        <w:t xml:space="preserve"> to Change Accounting Methods</w:t>
      </w:r>
      <w:r>
        <w:t xml:space="preserve">, Case No. 13-1890-GA-UNC, </w:t>
      </w:r>
      <w:r>
        <w:rPr>
          <w:i/>
        </w:rPr>
        <w:t>et</w:t>
      </w:r>
      <w:r w:rsidRPr="00927043">
        <w:rPr>
          <w:i/>
        </w:rPr>
        <w:t xml:space="preserve"> al</w:t>
      </w:r>
      <w:r>
        <w:t>. (</w:t>
      </w:r>
      <w:r w:rsidRPr="000E73B4">
        <w:t>Application at 1</w:t>
      </w:r>
      <w:r>
        <w:t>) (August 29, 2013) (</w:t>
      </w:r>
      <w:r>
        <w:rPr>
          <w:i/>
        </w:rPr>
        <w:t>VEDO</w:t>
      </w:r>
      <w:r w:rsidRPr="006856B0">
        <w:rPr>
          <w:i/>
        </w:rPr>
        <w:t xml:space="preserve"> </w:t>
      </w:r>
      <w:r>
        <w:rPr>
          <w:i/>
        </w:rPr>
        <w:t>Application</w:t>
      </w:r>
      <w:r>
        <w:t>).</w:t>
      </w:r>
    </w:p>
  </w:footnote>
  <w:footnote w:id="2">
    <w:p w:rsidR="005074AF" w:rsidRPr="00C11E88" w:rsidRDefault="005074AF" w:rsidP="00C11E88">
      <w:pPr>
        <w:pStyle w:val="FootnoteText"/>
        <w:rPr>
          <w:i/>
        </w:rPr>
      </w:pPr>
      <w:r>
        <w:rPr>
          <w:rStyle w:val="FootnoteReference"/>
        </w:rPr>
        <w:footnoteRef/>
      </w:r>
      <w:r>
        <w:t xml:space="preserve"> </w:t>
      </w:r>
      <w:r>
        <w:tab/>
      </w:r>
      <w:r>
        <w:tab/>
      </w:r>
      <w:r w:rsidRPr="00DF5F1C">
        <w:rPr>
          <w:i/>
        </w:rPr>
        <w:t xml:space="preserve">In the Matter of the Application of </w:t>
      </w:r>
      <w:r>
        <w:rPr>
          <w:i/>
        </w:rPr>
        <w:t xml:space="preserve">Vectren Energy Delivery of Ohio, Inc. </w:t>
      </w:r>
      <w:r w:rsidRPr="00DF5F1C">
        <w:rPr>
          <w:i/>
        </w:rPr>
        <w:t>for Approval to Implement a Capital Expenditure Program</w:t>
      </w:r>
      <w:r>
        <w:t xml:space="preserve">, Case Nos. 12-530-GA-UNC, </w:t>
      </w:r>
      <w:r w:rsidRPr="00B42171">
        <w:rPr>
          <w:i/>
        </w:rPr>
        <w:t>et al</w:t>
      </w:r>
      <w:r>
        <w:t>. (Finding and Order) (</w:t>
      </w:r>
      <w:r w:rsidR="00C27309">
        <w:t xml:space="preserve">Dec. </w:t>
      </w:r>
      <w:r>
        <w:t>12, 2012)</w:t>
      </w:r>
      <w:r w:rsidR="00216D2A">
        <w:t xml:space="preserve"> (</w:t>
      </w:r>
      <w:r w:rsidR="00216D2A">
        <w:rPr>
          <w:i/>
        </w:rPr>
        <w:t>Case No. 12-530-GA-UNC Finding and Order</w:t>
      </w:r>
      <w:r w:rsidR="00216D2A">
        <w:t>)</w:t>
      </w:r>
      <w:r>
        <w:t>.</w:t>
      </w:r>
    </w:p>
  </w:footnote>
  <w:footnote w:id="3">
    <w:p w:rsidR="005074AF" w:rsidRDefault="005074AF">
      <w:pPr>
        <w:pStyle w:val="FootnoteText"/>
      </w:pPr>
      <w:r>
        <w:rPr>
          <w:rStyle w:val="FootnoteReference"/>
        </w:rPr>
        <w:footnoteRef/>
      </w:r>
      <w:r>
        <w:t xml:space="preserve"> </w:t>
      </w:r>
      <w:r>
        <w:tab/>
      </w:r>
      <w:r>
        <w:tab/>
      </w:r>
      <w:r w:rsidRPr="00216D2A">
        <w:rPr>
          <w:i/>
        </w:rPr>
        <w:t>Case No. 12-530-GA-UNC Finding and Order</w:t>
      </w:r>
      <w:r>
        <w:t xml:space="preserve"> at 22.</w:t>
      </w:r>
    </w:p>
  </w:footnote>
  <w:footnote w:id="4">
    <w:p w:rsidR="005074AF" w:rsidRDefault="005074AF">
      <w:pPr>
        <w:pStyle w:val="FootnoteText"/>
      </w:pPr>
      <w:r>
        <w:rPr>
          <w:rStyle w:val="FootnoteReference"/>
        </w:rPr>
        <w:footnoteRef/>
      </w:r>
      <w:r>
        <w:t xml:space="preserve"> </w:t>
      </w:r>
      <w:r>
        <w:tab/>
      </w:r>
      <w:r>
        <w:tab/>
      </w:r>
      <w:r w:rsidRPr="00BD3524">
        <w:rPr>
          <w:i/>
        </w:rPr>
        <w:t>Id.</w:t>
      </w:r>
      <w:r>
        <w:t xml:space="preserve"> at 19-21.</w:t>
      </w:r>
    </w:p>
  </w:footnote>
  <w:footnote w:id="5">
    <w:p w:rsidR="005074AF" w:rsidRDefault="005074AF">
      <w:pPr>
        <w:pStyle w:val="FootnoteText"/>
      </w:pPr>
      <w:r>
        <w:rPr>
          <w:rStyle w:val="FootnoteReference"/>
        </w:rPr>
        <w:footnoteRef/>
      </w:r>
      <w:r>
        <w:t xml:space="preserve"> </w:t>
      </w:r>
      <w:r>
        <w:tab/>
      </w:r>
      <w:r>
        <w:tab/>
      </w:r>
      <w:r>
        <w:rPr>
          <w:i/>
        </w:rPr>
        <w:t>VEDO</w:t>
      </w:r>
      <w:r w:rsidRPr="00E60F4C">
        <w:rPr>
          <w:i/>
        </w:rPr>
        <w:t xml:space="preserve"> Application</w:t>
      </w:r>
      <w:r>
        <w:t xml:space="preserve"> at 4.</w:t>
      </w:r>
    </w:p>
  </w:footnote>
  <w:footnote w:id="6">
    <w:p w:rsidR="005074AF" w:rsidRDefault="005074AF">
      <w:pPr>
        <w:pStyle w:val="FootnoteText"/>
      </w:pPr>
      <w:r>
        <w:rPr>
          <w:rStyle w:val="FootnoteReference"/>
        </w:rPr>
        <w:footnoteRef/>
      </w:r>
      <w:r>
        <w:t xml:space="preserve"> </w:t>
      </w:r>
      <w:r>
        <w:tab/>
      </w:r>
      <w:r>
        <w:tab/>
      </w:r>
      <w:r w:rsidRPr="00B9771E">
        <w:rPr>
          <w:i/>
        </w:rPr>
        <w:t>Id</w:t>
      </w:r>
      <w:r>
        <w:t>. at 2-3.</w:t>
      </w:r>
    </w:p>
  </w:footnote>
  <w:footnote w:id="7">
    <w:p w:rsidR="005074AF" w:rsidRDefault="005074AF">
      <w:pPr>
        <w:pStyle w:val="FootnoteText"/>
      </w:pPr>
      <w:r>
        <w:rPr>
          <w:rStyle w:val="FootnoteReference"/>
        </w:rPr>
        <w:footnoteRef/>
      </w:r>
      <w:r>
        <w:t xml:space="preserve"> </w:t>
      </w:r>
      <w:r>
        <w:tab/>
      </w:r>
      <w:r>
        <w:tab/>
      </w:r>
      <w:r>
        <w:rPr>
          <w:i/>
        </w:rPr>
        <w:t>Id.</w:t>
      </w:r>
      <w:r>
        <w:t xml:space="preserve"> at Exhibit A</w:t>
      </w:r>
      <w:r w:rsidR="00B824EA">
        <w:t>.</w:t>
      </w:r>
    </w:p>
  </w:footnote>
  <w:footnote w:id="8">
    <w:p w:rsidR="005074AF" w:rsidRDefault="005074AF">
      <w:pPr>
        <w:pStyle w:val="FootnoteText"/>
      </w:pPr>
      <w:r>
        <w:rPr>
          <w:rStyle w:val="FootnoteReference"/>
        </w:rPr>
        <w:footnoteRef/>
      </w:r>
      <w:r>
        <w:t xml:space="preserve"> </w:t>
      </w:r>
      <w:r>
        <w:tab/>
      </w:r>
      <w:r>
        <w:tab/>
      </w:r>
      <w:r w:rsidR="00B824EA">
        <w:rPr>
          <w:i/>
        </w:rPr>
        <w:t>VEDO</w:t>
      </w:r>
      <w:r w:rsidR="00B824EA" w:rsidRPr="00E60F4C">
        <w:rPr>
          <w:i/>
        </w:rPr>
        <w:t xml:space="preserve"> Application</w:t>
      </w:r>
      <w:r w:rsidR="00B824EA">
        <w:t xml:space="preserve"> at 3</w:t>
      </w:r>
      <w:r>
        <w:t>.</w:t>
      </w:r>
    </w:p>
  </w:footnote>
  <w:footnote w:id="9">
    <w:p w:rsidR="005074AF" w:rsidRDefault="005074AF">
      <w:pPr>
        <w:pStyle w:val="FootnoteText"/>
      </w:pPr>
      <w:r>
        <w:rPr>
          <w:rStyle w:val="FootnoteReference"/>
        </w:rPr>
        <w:footnoteRef/>
      </w:r>
      <w:r>
        <w:t xml:space="preserve"> </w:t>
      </w:r>
      <w:r>
        <w:tab/>
      </w:r>
      <w:r>
        <w:tab/>
      </w:r>
      <w:r w:rsidRPr="00DF0DFB">
        <w:rPr>
          <w:i/>
        </w:rPr>
        <w:t>Id</w:t>
      </w:r>
      <w:r>
        <w:rPr>
          <w:i/>
        </w:rPr>
        <w:t xml:space="preserve">. </w:t>
      </w:r>
      <w:r w:rsidRPr="002C670F">
        <w:t>at</w:t>
      </w:r>
      <w:r>
        <w:rPr>
          <w:i/>
        </w:rPr>
        <w:t xml:space="preserve"> </w:t>
      </w:r>
      <w:r>
        <w:t>3-4</w:t>
      </w:r>
      <w:r w:rsidRPr="00DF0DFB">
        <w:rPr>
          <w:i/>
        </w:rPr>
        <w:t>.</w:t>
      </w:r>
    </w:p>
  </w:footnote>
  <w:footnote w:id="10">
    <w:p w:rsidR="005074AF" w:rsidRDefault="005074AF">
      <w:pPr>
        <w:pStyle w:val="FootnoteText"/>
      </w:pPr>
      <w:r>
        <w:rPr>
          <w:rStyle w:val="FootnoteReference"/>
        </w:rPr>
        <w:footnoteRef/>
      </w:r>
      <w:r>
        <w:t xml:space="preserve"> </w:t>
      </w:r>
      <w:r>
        <w:tab/>
      </w:r>
      <w:r>
        <w:tab/>
      </w:r>
      <w:r w:rsidRPr="002C670F">
        <w:rPr>
          <w:i/>
        </w:rPr>
        <w:t>Id.</w:t>
      </w:r>
      <w:r>
        <w:t xml:space="preserve"> at 4</w:t>
      </w:r>
      <w:r w:rsidR="00B824EA">
        <w:t>.</w:t>
      </w:r>
    </w:p>
  </w:footnote>
  <w:footnote w:id="11">
    <w:p w:rsidR="005074AF" w:rsidRDefault="005074AF">
      <w:pPr>
        <w:pStyle w:val="FootnoteText"/>
      </w:pPr>
      <w:r>
        <w:rPr>
          <w:rStyle w:val="FootnoteReference"/>
        </w:rPr>
        <w:footnoteRef/>
      </w:r>
      <w:r>
        <w:t xml:space="preserve"> </w:t>
      </w:r>
      <w:r>
        <w:tab/>
      </w:r>
      <w:r>
        <w:tab/>
      </w:r>
      <w:r w:rsidR="00635B27">
        <w:rPr>
          <w:i/>
        </w:rPr>
        <w:t>Id.</w:t>
      </w:r>
      <w:r w:rsidR="00635B27">
        <w:t xml:space="preserve"> at</w:t>
      </w:r>
      <w:r>
        <w:t xml:space="preserve"> 2.</w:t>
      </w:r>
    </w:p>
  </w:footnote>
  <w:footnote w:id="12">
    <w:p w:rsidR="005074AF" w:rsidRDefault="005074AF">
      <w:pPr>
        <w:pStyle w:val="FootnoteText"/>
      </w:pPr>
      <w:r>
        <w:rPr>
          <w:rStyle w:val="FootnoteReference"/>
        </w:rPr>
        <w:footnoteRef/>
      </w:r>
      <w:r>
        <w:t xml:space="preserve"> </w:t>
      </w:r>
      <w:r>
        <w:tab/>
      </w:r>
      <w:r>
        <w:tab/>
      </w:r>
      <w:r w:rsidR="00B824EA">
        <w:rPr>
          <w:i/>
        </w:rPr>
        <w:t>VEDO</w:t>
      </w:r>
      <w:r w:rsidR="00B824EA" w:rsidRPr="00E60F4C">
        <w:rPr>
          <w:i/>
        </w:rPr>
        <w:t xml:space="preserve"> Application</w:t>
      </w:r>
      <w:r w:rsidR="00B824EA">
        <w:t xml:space="preserve"> at 2.</w:t>
      </w:r>
    </w:p>
  </w:footnote>
  <w:footnote w:id="13">
    <w:p w:rsidR="005074AF" w:rsidRDefault="005074AF" w:rsidP="005074AF">
      <w:pPr>
        <w:pStyle w:val="FootnoteText"/>
      </w:pPr>
      <w:r>
        <w:rPr>
          <w:rStyle w:val="FootnoteReference"/>
        </w:rPr>
        <w:footnoteRef/>
      </w:r>
      <w:r>
        <w:t xml:space="preserve"> </w:t>
      </w:r>
      <w:r>
        <w:tab/>
      </w:r>
      <w:r>
        <w:tab/>
      </w:r>
      <w:r w:rsidR="00635B27">
        <w:rPr>
          <w:i/>
        </w:rPr>
        <w:t>Id.</w:t>
      </w:r>
      <w:r>
        <w:rPr>
          <w:i/>
        </w:rPr>
        <w:t xml:space="preserve"> </w:t>
      </w:r>
      <w:r w:rsidR="00635B27">
        <w:t>at 3</w:t>
      </w:r>
      <w:r>
        <w:t xml:space="preserve">. </w:t>
      </w:r>
    </w:p>
  </w:footnote>
  <w:footnote w:id="14">
    <w:p w:rsidR="005074AF" w:rsidRDefault="005074AF">
      <w:pPr>
        <w:pStyle w:val="FootnoteText"/>
      </w:pPr>
      <w:r>
        <w:rPr>
          <w:rStyle w:val="FootnoteReference"/>
        </w:rPr>
        <w:footnoteRef/>
      </w:r>
      <w:r>
        <w:t xml:space="preserve"> </w:t>
      </w:r>
      <w:r w:rsidR="00635B27">
        <w:tab/>
      </w:r>
      <w:r w:rsidR="00635B27">
        <w:tab/>
      </w:r>
      <w:r w:rsidR="00635B27" w:rsidRPr="00635B27">
        <w:rPr>
          <w:i/>
        </w:rPr>
        <w:t>Id.</w:t>
      </w:r>
    </w:p>
  </w:footnote>
  <w:footnote w:id="15">
    <w:p w:rsidR="005074AF" w:rsidRDefault="005074AF">
      <w:pPr>
        <w:pStyle w:val="FootnoteText"/>
      </w:pPr>
      <w:r>
        <w:rPr>
          <w:rStyle w:val="FootnoteReference"/>
        </w:rPr>
        <w:footnoteRef/>
      </w:r>
      <w:r>
        <w:t xml:space="preserve"> </w:t>
      </w:r>
      <w:r>
        <w:tab/>
      </w:r>
      <w:r>
        <w:tab/>
      </w:r>
      <w:r w:rsidR="00635B27">
        <w:rPr>
          <w:i/>
        </w:rPr>
        <w:t>Id</w:t>
      </w:r>
      <w:r>
        <w:t xml:space="preserve">. </w:t>
      </w:r>
    </w:p>
  </w:footnote>
  <w:footnote w:id="16">
    <w:p w:rsidR="005074AF" w:rsidRDefault="005074AF">
      <w:pPr>
        <w:pStyle w:val="FootnoteText"/>
      </w:pPr>
      <w:r>
        <w:rPr>
          <w:rStyle w:val="FootnoteReference"/>
        </w:rPr>
        <w:footnoteRef/>
      </w:r>
      <w:r>
        <w:t xml:space="preserve"> </w:t>
      </w:r>
      <w:r>
        <w:tab/>
      </w:r>
      <w:r>
        <w:tab/>
      </w:r>
      <w:r w:rsidR="00B824EA">
        <w:rPr>
          <w:i/>
        </w:rPr>
        <w:t>VEDO</w:t>
      </w:r>
      <w:r w:rsidR="00B824EA" w:rsidRPr="00E60F4C">
        <w:rPr>
          <w:i/>
        </w:rPr>
        <w:t xml:space="preserve"> Application</w:t>
      </w:r>
      <w:r w:rsidR="00B824EA">
        <w:t xml:space="preserve"> at 4.</w:t>
      </w:r>
    </w:p>
  </w:footnote>
  <w:footnote w:id="17">
    <w:p w:rsidR="005074AF" w:rsidRDefault="005074AF">
      <w:pPr>
        <w:pStyle w:val="FootnoteText"/>
      </w:pPr>
      <w:r>
        <w:rPr>
          <w:rStyle w:val="FootnoteReference"/>
        </w:rPr>
        <w:footnoteRef/>
      </w:r>
      <w:r>
        <w:t xml:space="preserve"> </w:t>
      </w:r>
      <w:r>
        <w:tab/>
      </w:r>
      <w:r>
        <w:tab/>
      </w:r>
      <w:r w:rsidRPr="005326BF">
        <w:rPr>
          <w:i/>
        </w:rPr>
        <w:t>Id</w:t>
      </w:r>
      <w:r>
        <w:t>.</w:t>
      </w:r>
    </w:p>
  </w:footnote>
  <w:footnote w:id="18">
    <w:p w:rsidR="00C27309" w:rsidRDefault="00C27309">
      <w:pPr>
        <w:pStyle w:val="FootnoteText"/>
      </w:pPr>
      <w:r>
        <w:rPr>
          <w:rStyle w:val="FootnoteReference"/>
        </w:rPr>
        <w:footnoteRef/>
      </w:r>
      <w:r>
        <w:t xml:space="preserve"> </w:t>
      </w:r>
      <w:r>
        <w:tab/>
      </w:r>
      <w:r>
        <w:tab/>
      </w:r>
      <w:r w:rsidRPr="00F040C6">
        <w:rPr>
          <w:i/>
        </w:rPr>
        <w:t>Id.</w:t>
      </w:r>
      <w:r>
        <w:t xml:space="preserve"> at 6.</w:t>
      </w:r>
    </w:p>
  </w:footnote>
  <w:footnote w:id="19">
    <w:p w:rsidR="00F040C6" w:rsidRDefault="00F040C6">
      <w:pPr>
        <w:pStyle w:val="FootnoteText"/>
      </w:pPr>
      <w:r>
        <w:rPr>
          <w:rStyle w:val="FootnoteReference"/>
        </w:rPr>
        <w:footnoteRef/>
      </w:r>
      <w:r>
        <w:t xml:space="preserve"> </w:t>
      </w:r>
      <w:r>
        <w:tab/>
      </w:r>
      <w:r>
        <w:tab/>
      </w:r>
      <w:r w:rsidRPr="00F040C6">
        <w:rPr>
          <w:i/>
        </w:rPr>
        <w:t>Id.</w:t>
      </w:r>
      <w:r>
        <w:t xml:space="preserve"> at 6-7</w:t>
      </w:r>
      <w:r w:rsidR="00B824EA">
        <w:t>.</w:t>
      </w:r>
    </w:p>
  </w:footnote>
  <w:footnote w:id="20">
    <w:p w:rsidR="00F040C6" w:rsidRDefault="00F040C6">
      <w:pPr>
        <w:pStyle w:val="FootnoteText"/>
      </w:pPr>
      <w:r>
        <w:rPr>
          <w:rStyle w:val="FootnoteReference"/>
        </w:rPr>
        <w:footnoteRef/>
      </w:r>
      <w:r>
        <w:t xml:space="preserve"> </w:t>
      </w:r>
      <w:r>
        <w:tab/>
      </w:r>
      <w:r>
        <w:tab/>
      </w:r>
      <w:r w:rsidRPr="00F040C6">
        <w:rPr>
          <w:i/>
        </w:rPr>
        <w:t>Id.</w:t>
      </w:r>
      <w:r>
        <w:t xml:space="preserve"> at 7</w:t>
      </w:r>
      <w:r w:rsidR="00B824EA">
        <w:t>.</w:t>
      </w:r>
    </w:p>
  </w:footnote>
  <w:footnote w:id="21">
    <w:p w:rsidR="008B4AE9" w:rsidRDefault="008B4AE9">
      <w:pPr>
        <w:pStyle w:val="FootnoteText"/>
      </w:pPr>
      <w:r>
        <w:rPr>
          <w:rStyle w:val="FootnoteReference"/>
        </w:rPr>
        <w:footnoteRef/>
      </w:r>
      <w:r>
        <w:t xml:space="preserve"> </w:t>
      </w:r>
      <w:r>
        <w:tab/>
      </w:r>
      <w:r>
        <w:tab/>
      </w:r>
      <w:r w:rsidR="00B824EA">
        <w:rPr>
          <w:i/>
        </w:rPr>
        <w:t>VEDO</w:t>
      </w:r>
      <w:r w:rsidR="00B824EA" w:rsidRPr="00E60F4C">
        <w:rPr>
          <w:i/>
        </w:rPr>
        <w:t xml:space="preserve"> Application</w:t>
      </w:r>
      <w:r w:rsidR="00B824EA">
        <w:t xml:space="preserve"> at 7.</w:t>
      </w:r>
    </w:p>
  </w:footnote>
  <w:footnote w:id="22">
    <w:p w:rsidR="00F040C6" w:rsidRDefault="00F040C6">
      <w:pPr>
        <w:pStyle w:val="FootnoteText"/>
      </w:pPr>
      <w:r>
        <w:rPr>
          <w:rStyle w:val="FootnoteReference"/>
        </w:rPr>
        <w:footnoteRef/>
      </w:r>
      <w:r>
        <w:t xml:space="preserve"> </w:t>
      </w:r>
      <w:r>
        <w:tab/>
      </w:r>
      <w:r>
        <w:tab/>
      </w:r>
      <w:r w:rsidRPr="00F040C6">
        <w:rPr>
          <w:i/>
        </w:rPr>
        <w:t>Id.</w:t>
      </w:r>
      <w:r>
        <w:t xml:space="preserve"> at 5</w:t>
      </w:r>
      <w:r w:rsidR="00B824EA">
        <w:t>.</w:t>
      </w:r>
    </w:p>
  </w:footnote>
  <w:footnote w:id="23">
    <w:p w:rsidR="00F040C6" w:rsidRDefault="00F040C6">
      <w:pPr>
        <w:pStyle w:val="FootnoteText"/>
      </w:pPr>
      <w:r>
        <w:rPr>
          <w:rStyle w:val="FootnoteReference"/>
        </w:rPr>
        <w:footnoteRef/>
      </w:r>
      <w:r>
        <w:t xml:space="preserve"> </w:t>
      </w:r>
      <w:r>
        <w:tab/>
      </w:r>
      <w:r>
        <w:tab/>
      </w:r>
      <w:r w:rsidRPr="00F040C6">
        <w:rPr>
          <w:i/>
        </w:rPr>
        <w:t>Id.</w:t>
      </w:r>
      <w:r>
        <w:t xml:space="preserve"> at 7</w:t>
      </w:r>
      <w:r w:rsidR="00B824EA">
        <w:t>.</w:t>
      </w:r>
    </w:p>
  </w:footnote>
  <w:footnote w:id="24">
    <w:p w:rsidR="00CB21D7" w:rsidRDefault="00CB21D7">
      <w:pPr>
        <w:pStyle w:val="FootnoteText"/>
      </w:pPr>
      <w:r>
        <w:rPr>
          <w:rStyle w:val="FootnoteReference"/>
        </w:rPr>
        <w:footnoteRef/>
      </w:r>
      <w:r>
        <w:t xml:space="preserve"> </w:t>
      </w:r>
      <w:r>
        <w:tab/>
      </w:r>
      <w:r>
        <w:tab/>
      </w:r>
      <w:r w:rsidR="00B824EA">
        <w:rPr>
          <w:i/>
        </w:rPr>
        <w:t>VEDO</w:t>
      </w:r>
      <w:r w:rsidR="00B824EA" w:rsidRPr="00E60F4C">
        <w:rPr>
          <w:i/>
        </w:rPr>
        <w:t xml:space="preserve"> Application</w:t>
      </w:r>
      <w:r w:rsidR="00B824EA">
        <w:t xml:space="preserve"> at 7-8.</w:t>
      </w:r>
    </w:p>
  </w:footnote>
  <w:footnote w:id="25">
    <w:p w:rsidR="005074AF" w:rsidRDefault="005074AF">
      <w:pPr>
        <w:pStyle w:val="FootnoteText"/>
      </w:pPr>
      <w:r>
        <w:rPr>
          <w:rStyle w:val="FootnoteReference"/>
        </w:rPr>
        <w:footnoteRef/>
      </w:r>
      <w:r>
        <w:t xml:space="preserve"> </w:t>
      </w:r>
      <w:r>
        <w:tab/>
      </w:r>
      <w:r>
        <w:tab/>
      </w:r>
      <w:r w:rsidR="008B4AE9">
        <w:rPr>
          <w:i/>
        </w:rPr>
        <w:t>VEDO</w:t>
      </w:r>
      <w:r w:rsidRPr="005C1BA9">
        <w:rPr>
          <w:i/>
        </w:rPr>
        <w:t xml:space="preserve"> Application</w:t>
      </w:r>
      <w:r>
        <w:t xml:space="preserve"> at 5.</w:t>
      </w:r>
    </w:p>
  </w:footnote>
  <w:footnote w:id="26">
    <w:p w:rsidR="005074AF" w:rsidRDefault="005074AF">
      <w:pPr>
        <w:pStyle w:val="FootnoteText"/>
      </w:pPr>
      <w:r>
        <w:rPr>
          <w:rStyle w:val="FootnoteReference"/>
        </w:rPr>
        <w:footnoteRef/>
      </w:r>
      <w:r>
        <w:t xml:space="preserve"> </w:t>
      </w:r>
      <w:r>
        <w:tab/>
      </w:r>
      <w:r>
        <w:tab/>
      </w:r>
      <w:r w:rsidRPr="00126E25">
        <w:rPr>
          <w:i/>
        </w:rPr>
        <w:t>Elyria Foundry Co. v. Pub. Util. Comm.,</w:t>
      </w:r>
      <w:r w:rsidR="00216D2A">
        <w:t xml:space="preserve"> 114 Ohio St.3d </w:t>
      </w:r>
      <w:r>
        <w:t>305</w:t>
      </w:r>
      <w:r w:rsidR="00216D2A">
        <w:t>, 2007-Ohio-4164, 871 N.E.2d 1176</w:t>
      </w:r>
      <w:r>
        <w:t>.</w:t>
      </w:r>
    </w:p>
  </w:footnote>
  <w:footnote w:id="27">
    <w:p w:rsidR="005074AF" w:rsidRDefault="005074AF">
      <w:pPr>
        <w:pStyle w:val="FootnoteText"/>
      </w:pPr>
      <w:r>
        <w:rPr>
          <w:rStyle w:val="FootnoteReference"/>
        </w:rPr>
        <w:footnoteRef/>
      </w:r>
      <w:r>
        <w:t xml:space="preserve"> </w:t>
      </w:r>
      <w:r>
        <w:tab/>
      </w:r>
      <w:r>
        <w:tab/>
      </w:r>
      <w:r w:rsidR="008B4AE9">
        <w:rPr>
          <w:i/>
        </w:rPr>
        <w:t>VED</w:t>
      </w:r>
      <w:r>
        <w:rPr>
          <w:i/>
        </w:rPr>
        <w:t>O Application</w:t>
      </w:r>
      <w:r>
        <w:t xml:space="preserve"> at </w:t>
      </w:r>
      <w:r w:rsidR="008B4AE9">
        <w:t>6-7</w:t>
      </w:r>
      <w:r>
        <w:t>.</w:t>
      </w:r>
    </w:p>
  </w:footnote>
  <w:footnote w:id="28">
    <w:p w:rsidR="00CA76AE" w:rsidRDefault="00CA76AE">
      <w:pPr>
        <w:pStyle w:val="FootnoteText"/>
      </w:pPr>
      <w:r>
        <w:rPr>
          <w:rStyle w:val="FootnoteReference"/>
        </w:rPr>
        <w:footnoteRef/>
      </w:r>
      <w:r>
        <w:t xml:space="preserve"> </w:t>
      </w:r>
      <w:r>
        <w:tab/>
      </w:r>
      <w:r>
        <w:tab/>
      </w:r>
      <w:r w:rsidRPr="00B25BB4">
        <w:rPr>
          <w:i/>
        </w:rPr>
        <w:t>In the Matter of the Application of Columbia Gas of Ohio, Inc. for Approval of a Capital Expenditure Program and for Approval to Change Accounting Methods</w:t>
      </w:r>
      <w:r>
        <w:t>, Case No. 11-5351-GA-UNC,</w:t>
      </w:r>
      <w:r w:rsidRPr="00B15059">
        <w:rPr>
          <w:i/>
        </w:rPr>
        <w:t xml:space="preserve"> et.al.</w:t>
      </w:r>
      <w:r>
        <w:t xml:space="preserve"> </w:t>
      </w:r>
      <w:r w:rsidR="00216D2A">
        <w:t>(</w:t>
      </w:r>
      <w:r>
        <w:t>Comments Filed on Behalf of the Staff of the Public Utilities Commission of Ohio</w:t>
      </w:r>
      <w:r w:rsidR="00216D2A">
        <w:t>)</w:t>
      </w:r>
      <w:r>
        <w:t xml:space="preserve"> (Jul</w:t>
      </w:r>
      <w:r w:rsidR="00C27309">
        <w:t>.</w:t>
      </w:r>
      <w:r>
        <w:t xml:space="preserve"> 11, 2013).</w:t>
      </w:r>
    </w:p>
  </w:footnote>
  <w:footnote w:id="29">
    <w:p w:rsidR="00357BEB" w:rsidRDefault="00357BEB">
      <w:pPr>
        <w:pStyle w:val="FootnoteText"/>
      </w:pPr>
      <w:r>
        <w:rPr>
          <w:rStyle w:val="FootnoteReference"/>
        </w:rPr>
        <w:footnoteRef/>
      </w:r>
      <w:r>
        <w:t xml:space="preserve"> </w:t>
      </w:r>
      <w:r>
        <w:tab/>
      </w:r>
      <w:r>
        <w:tab/>
      </w:r>
      <w:r w:rsidRPr="00B25BB4">
        <w:rPr>
          <w:i/>
        </w:rPr>
        <w:t>In the Matter of the Application of Columbia Gas of Ohio, Inc. for Approval of a Capital Expenditure Program and for Approval to Change Accounting Methods</w:t>
      </w:r>
      <w:r>
        <w:t>, Case No. 11-5351-GA-UNC,</w:t>
      </w:r>
      <w:r w:rsidRPr="00B15059">
        <w:rPr>
          <w:i/>
        </w:rPr>
        <w:t xml:space="preserve"> et.al.</w:t>
      </w:r>
      <w:r>
        <w:t xml:space="preserve"> (Finding and Order) (Oct</w:t>
      </w:r>
      <w:r w:rsidR="00C27309">
        <w:t>.</w:t>
      </w:r>
      <w:r>
        <w:t xml:space="preserve"> 9,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AF" w:rsidRPr="002F2224" w:rsidRDefault="005074AF" w:rsidP="002F2224">
    <w:pPr>
      <w:pStyle w:val="Header"/>
      <w:jc w:val="center"/>
      <w:rPr>
        <w:rFonts w:ascii="Arial" w:hAnsi="Arial" w:cs="Arial"/>
        <w:b/>
        <w:color w:val="FF0000"/>
        <w:sz w:val="16"/>
        <w:szCs w:val="16"/>
      </w:rPr>
    </w:pPr>
  </w:p>
  <w:p w:rsidR="005074AF" w:rsidRDefault="005074AF" w:rsidP="002B0FA8">
    <w:pPr>
      <w:pStyle w:val="Header"/>
      <w:jc w:val="center"/>
      <w:rPr>
        <w:b/>
        <w:sz w:val="28"/>
        <w:szCs w:val="28"/>
      </w:rPr>
    </w:pPr>
    <w:r>
      <w:rPr>
        <w:b/>
        <w:sz w:val="28"/>
        <w:szCs w:val="28"/>
      </w:rPr>
      <w:t>TABLE OF CONTENTS</w:t>
    </w:r>
  </w:p>
  <w:p w:rsidR="005074AF" w:rsidRDefault="005074AF" w:rsidP="002B0FA8">
    <w:pPr>
      <w:pStyle w:val="Header"/>
      <w:jc w:val="right"/>
      <w:rPr>
        <w:b/>
        <w:sz w:val="28"/>
        <w:szCs w:val="28"/>
      </w:rPr>
    </w:pPr>
    <w:r>
      <w:rPr>
        <w:b/>
        <w:sz w:val="28"/>
        <w:szCs w:val="28"/>
      </w:rPr>
      <w:t>Page</w:t>
    </w:r>
  </w:p>
  <w:p w:rsidR="005074AF" w:rsidRDefault="005074AF" w:rsidP="002B0FA8">
    <w:pPr>
      <w:pStyle w:val="Header"/>
      <w:jc w:val="right"/>
      <w:rPr>
        <w:b/>
        <w:sz w:val="28"/>
        <w:szCs w:val="28"/>
      </w:rPr>
    </w:pPr>
  </w:p>
  <w:p w:rsidR="005074AF" w:rsidRPr="002B0FA8" w:rsidRDefault="005074AF" w:rsidP="002B0FA8">
    <w:pPr>
      <w:pStyle w:val="Header"/>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AF" w:rsidRPr="002F2224" w:rsidRDefault="005074AF" w:rsidP="002F2224">
    <w:pPr>
      <w:pStyle w:val="Header"/>
      <w:jc w:val="center"/>
      <w:rPr>
        <w:rFonts w:ascii="Arial" w:hAnsi="Arial" w:cs="Arial"/>
        <w:b/>
        <w:color w:val="FF0000"/>
        <w:sz w:val="16"/>
        <w:szCs w:val="16"/>
      </w:rPr>
    </w:pPr>
  </w:p>
  <w:p w:rsidR="005074AF" w:rsidRPr="00C77EB1" w:rsidRDefault="005074AF" w:rsidP="00C77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AF" w:rsidRPr="00932FB0" w:rsidRDefault="005074AF" w:rsidP="00932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161"/>
    <w:multiLevelType w:val="hybridMultilevel"/>
    <w:tmpl w:val="1E76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30683"/>
    <w:multiLevelType w:val="hybridMultilevel"/>
    <w:tmpl w:val="0C34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A3E9E"/>
    <w:multiLevelType w:val="hybridMultilevel"/>
    <w:tmpl w:val="065690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15033B3"/>
    <w:multiLevelType w:val="hybridMultilevel"/>
    <w:tmpl w:val="C4A203FE"/>
    <w:lvl w:ilvl="0" w:tplc="36EED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A51CB"/>
    <w:multiLevelType w:val="hybridMultilevel"/>
    <w:tmpl w:val="25080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D4511"/>
    <w:multiLevelType w:val="hybridMultilevel"/>
    <w:tmpl w:val="D2CEA59A"/>
    <w:lvl w:ilvl="0" w:tplc="ED382888">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522CE"/>
    <w:multiLevelType w:val="hybridMultilevel"/>
    <w:tmpl w:val="93A6D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2139F"/>
    <w:multiLevelType w:val="hybridMultilevel"/>
    <w:tmpl w:val="C84A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106AC"/>
    <w:multiLevelType w:val="hybridMultilevel"/>
    <w:tmpl w:val="0D1A0F98"/>
    <w:lvl w:ilvl="0" w:tplc="B2F863A2">
      <w:start w:val="1"/>
      <w:numFmt w:val="upp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23975"/>
    <w:multiLevelType w:val="hybridMultilevel"/>
    <w:tmpl w:val="04382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7A6F5A"/>
    <w:multiLevelType w:val="hybridMultilevel"/>
    <w:tmpl w:val="4F3C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D749D"/>
    <w:multiLevelType w:val="hybridMultilevel"/>
    <w:tmpl w:val="E674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212D27"/>
    <w:multiLevelType w:val="hybridMultilevel"/>
    <w:tmpl w:val="A3D81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659C5"/>
    <w:multiLevelType w:val="hybridMultilevel"/>
    <w:tmpl w:val="8DD222C2"/>
    <w:lvl w:ilvl="0" w:tplc="C5A49CB4">
      <w:start w:val="1"/>
      <w:numFmt w:val="upperLetter"/>
      <w:pStyle w:val="Heading2"/>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DC598E"/>
    <w:multiLevelType w:val="hybridMultilevel"/>
    <w:tmpl w:val="6E8ED152"/>
    <w:lvl w:ilvl="0" w:tplc="F6DE3EC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5BD130A"/>
    <w:multiLevelType w:val="hybridMultilevel"/>
    <w:tmpl w:val="7098E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0"/>
  </w:num>
  <w:num w:numId="4">
    <w:abstractNumId w:val="0"/>
  </w:num>
  <w:num w:numId="5">
    <w:abstractNumId w:val="12"/>
  </w:num>
  <w:num w:numId="6">
    <w:abstractNumId w:val="11"/>
  </w:num>
  <w:num w:numId="7">
    <w:abstractNumId w:val="6"/>
  </w:num>
  <w:num w:numId="8">
    <w:abstractNumId w:val="3"/>
  </w:num>
  <w:num w:numId="9">
    <w:abstractNumId w:val="8"/>
  </w:num>
  <w:num w:numId="10">
    <w:abstractNumId w:val="14"/>
  </w:num>
  <w:num w:numId="11">
    <w:abstractNumId w:val="5"/>
  </w:num>
  <w:num w:numId="12">
    <w:abstractNumId w:val="14"/>
    <w:lvlOverride w:ilvl="0">
      <w:startOverride w:val="1"/>
    </w:lvlOverride>
  </w:num>
  <w:num w:numId="13">
    <w:abstractNumId w:val="13"/>
  </w:num>
  <w:num w:numId="14">
    <w:abstractNumId w:val="15"/>
  </w:num>
  <w:num w:numId="15">
    <w:abstractNumId w:val="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99"/>
    <w:rsid w:val="00011697"/>
    <w:rsid w:val="00014504"/>
    <w:rsid w:val="00014A1D"/>
    <w:rsid w:val="0003578D"/>
    <w:rsid w:val="00036068"/>
    <w:rsid w:val="000365C1"/>
    <w:rsid w:val="0004478E"/>
    <w:rsid w:val="00047A6D"/>
    <w:rsid w:val="00050B00"/>
    <w:rsid w:val="0006167B"/>
    <w:rsid w:val="00065663"/>
    <w:rsid w:val="00067410"/>
    <w:rsid w:val="00073FE2"/>
    <w:rsid w:val="00075ADE"/>
    <w:rsid w:val="0007697A"/>
    <w:rsid w:val="00077A98"/>
    <w:rsid w:val="000A6BE2"/>
    <w:rsid w:val="000B3DE3"/>
    <w:rsid w:val="000B4E82"/>
    <w:rsid w:val="000C3369"/>
    <w:rsid w:val="000C60E8"/>
    <w:rsid w:val="000D0211"/>
    <w:rsid w:val="000D4CA9"/>
    <w:rsid w:val="000D51EB"/>
    <w:rsid w:val="000E2601"/>
    <w:rsid w:val="000E73B4"/>
    <w:rsid w:val="000F32DE"/>
    <w:rsid w:val="000F44F2"/>
    <w:rsid w:val="00100888"/>
    <w:rsid w:val="00100ABC"/>
    <w:rsid w:val="00103D8F"/>
    <w:rsid w:val="001112F0"/>
    <w:rsid w:val="00115ED2"/>
    <w:rsid w:val="00121D72"/>
    <w:rsid w:val="0012300F"/>
    <w:rsid w:val="0012378E"/>
    <w:rsid w:val="001240D1"/>
    <w:rsid w:val="00126E25"/>
    <w:rsid w:val="00135D3A"/>
    <w:rsid w:val="001408B2"/>
    <w:rsid w:val="00141579"/>
    <w:rsid w:val="001420B4"/>
    <w:rsid w:val="00142E5A"/>
    <w:rsid w:val="00150F3B"/>
    <w:rsid w:val="001562E4"/>
    <w:rsid w:val="00160121"/>
    <w:rsid w:val="00173AD6"/>
    <w:rsid w:val="00181868"/>
    <w:rsid w:val="00183EAE"/>
    <w:rsid w:val="001846BC"/>
    <w:rsid w:val="00186914"/>
    <w:rsid w:val="001A6970"/>
    <w:rsid w:val="001A6E0D"/>
    <w:rsid w:val="001B4463"/>
    <w:rsid w:val="001B5E34"/>
    <w:rsid w:val="001B63A9"/>
    <w:rsid w:val="001B75DC"/>
    <w:rsid w:val="001C42E5"/>
    <w:rsid w:val="001D258C"/>
    <w:rsid w:val="001D283E"/>
    <w:rsid w:val="001E2081"/>
    <w:rsid w:val="001F3394"/>
    <w:rsid w:val="001F5BAF"/>
    <w:rsid w:val="0020282B"/>
    <w:rsid w:val="00216D2A"/>
    <w:rsid w:val="00217012"/>
    <w:rsid w:val="00226E85"/>
    <w:rsid w:val="00230969"/>
    <w:rsid w:val="002331A7"/>
    <w:rsid w:val="0023639F"/>
    <w:rsid w:val="002371D5"/>
    <w:rsid w:val="0024095F"/>
    <w:rsid w:val="0024759C"/>
    <w:rsid w:val="0025706E"/>
    <w:rsid w:val="00264A7C"/>
    <w:rsid w:val="002736D9"/>
    <w:rsid w:val="002860A0"/>
    <w:rsid w:val="0029171F"/>
    <w:rsid w:val="00296A6A"/>
    <w:rsid w:val="002A0387"/>
    <w:rsid w:val="002A13C3"/>
    <w:rsid w:val="002A1BD2"/>
    <w:rsid w:val="002A4B50"/>
    <w:rsid w:val="002A5BC5"/>
    <w:rsid w:val="002A71CE"/>
    <w:rsid w:val="002B0FA8"/>
    <w:rsid w:val="002B749D"/>
    <w:rsid w:val="002C670F"/>
    <w:rsid w:val="002C6F13"/>
    <w:rsid w:val="002E4BCE"/>
    <w:rsid w:val="002E6653"/>
    <w:rsid w:val="002E713E"/>
    <w:rsid w:val="002F2224"/>
    <w:rsid w:val="002F3244"/>
    <w:rsid w:val="00302EA3"/>
    <w:rsid w:val="0030763F"/>
    <w:rsid w:val="00334569"/>
    <w:rsid w:val="00344D0E"/>
    <w:rsid w:val="00351A60"/>
    <w:rsid w:val="00357BEB"/>
    <w:rsid w:val="0036080A"/>
    <w:rsid w:val="00363A9A"/>
    <w:rsid w:val="0036458F"/>
    <w:rsid w:val="00367AC5"/>
    <w:rsid w:val="00372296"/>
    <w:rsid w:val="003760AD"/>
    <w:rsid w:val="00383334"/>
    <w:rsid w:val="003838E0"/>
    <w:rsid w:val="00385947"/>
    <w:rsid w:val="00387B59"/>
    <w:rsid w:val="00395DDD"/>
    <w:rsid w:val="003A2BB1"/>
    <w:rsid w:val="003A2FBD"/>
    <w:rsid w:val="003B63C4"/>
    <w:rsid w:val="003C197A"/>
    <w:rsid w:val="003C3D34"/>
    <w:rsid w:val="003C5DFF"/>
    <w:rsid w:val="003D4C13"/>
    <w:rsid w:val="003E3559"/>
    <w:rsid w:val="003F3DAB"/>
    <w:rsid w:val="00412B1A"/>
    <w:rsid w:val="00414E84"/>
    <w:rsid w:val="00420D22"/>
    <w:rsid w:val="00422E1B"/>
    <w:rsid w:val="004268C2"/>
    <w:rsid w:val="00432876"/>
    <w:rsid w:val="0043374F"/>
    <w:rsid w:val="004338CA"/>
    <w:rsid w:val="0044463D"/>
    <w:rsid w:val="00451D2C"/>
    <w:rsid w:val="00470847"/>
    <w:rsid w:val="00482123"/>
    <w:rsid w:val="0048471C"/>
    <w:rsid w:val="004931B3"/>
    <w:rsid w:val="004A5AD9"/>
    <w:rsid w:val="004B2885"/>
    <w:rsid w:val="004B3408"/>
    <w:rsid w:val="004B3766"/>
    <w:rsid w:val="004B7F00"/>
    <w:rsid w:val="004C7418"/>
    <w:rsid w:val="004D5222"/>
    <w:rsid w:val="004E09BA"/>
    <w:rsid w:val="004E221A"/>
    <w:rsid w:val="004E57FC"/>
    <w:rsid w:val="004F7FCD"/>
    <w:rsid w:val="0050047E"/>
    <w:rsid w:val="00501F94"/>
    <w:rsid w:val="005074AF"/>
    <w:rsid w:val="00514E0E"/>
    <w:rsid w:val="0052205B"/>
    <w:rsid w:val="00522BA5"/>
    <w:rsid w:val="005264AE"/>
    <w:rsid w:val="005326BF"/>
    <w:rsid w:val="00542498"/>
    <w:rsid w:val="00545975"/>
    <w:rsid w:val="00551CEA"/>
    <w:rsid w:val="00556C82"/>
    <w:rsid w:val="0056760B"/>
    <w:rsid w:val="005713B3"/>
    <w:rsid w:val="00573DBC"/>
    <w:rsid w:val="0059084C"/>
    <w:rsid w:val="005A5444"/>
    <w:rsid w:val="005B104E"/>
    <w:rsid w:val="005B1E8F"/>
    <w:rsid w:val="005B27F4"/>
    <w:rsid w:val="005C1BA9"/>
    <w:rsid w:val="005C3508"/>
    <w:rsid w:val="005D5314"/>
    <w:rsid w:val="005D6399"/>
    <w:rsid w:val="005E0D99"/>
    <w:rsid w:val="005F193A"/>
    <w:rsid w:val="005F330D"/>
    <w:rsid w:val="005F5CC5"/>
    <w:rsid w:val="006017D6"/>
    <w:rsid w:val="00601DD8"/>
    <w:rsid w:val="0061659A"/>
    <w:rsid w:val="00630E6E"/>
    <w:rsid w:val="00632E22"/>
    <w:rsid w:val="00633AF9"/>
    <w:rsid w:val="00634DD4"/>
    <w:rsid w:val="00635B27"/>
    <w:rsid w:val="00640CC5"/>
    <w:rsid w:val="00643B5F"/>
    <w:rsid w:val="00644E93"/>
    <w:rsid w:val="00654A33"/>
    <w:rsid w:val="00655F14"/>
    <w:rsid w:val="00683619"/>
    <w:rsid w:val="006856B0"/>
    <w:rsid w:val="006A235A"/>
    <w:rsid w:val="006A46A5"/>
    <w:rsid w:val="006A4E91"/>
    <w:rsid w:val="006C119A"/>
    <w:rsid w:val="006C4767"/>
    <w:rsid w:val="006C6FDD"/>
    <w:rsid w:val="006D1C89"/>
    <w:rsid w:val="006D5201"/>
    <w:rsid w:val="006F78A9"/>
    <w:rsid w:val="00707DD4"/>
    <w:rsid w:val="007146A1"/>
    <w:rsid w:val="007174B3"/>
    <w:rsid w:val="00726273"/>
    <w:rsid w:val="00732CCC"/>
    <w:rsid w:val="007334DB"/>
    <w:rsid w:val="00737928"/>
    <w:rsid w:val="007421EC"/>
    <w:rsid w:val="0074394D"/>
    <w:rsid w:val="007463E6"/>
    <w:rsid w:val="00750CCE"/>
    <w:rsid w:val="0077312C"/>
    <w:rsid w:val="00774531"/>
    <w:rsid w:val="00777D10"/>
    <w:rsid w:val="007802DA"/>
    <w:rsid w:val="0078448E"/>
    <w:rsid w:val="00786DDC"/>
    <w:rsid w:val="0078719A"/>
    <w:rsid w:val="00793117"/>
    <w:rsid w:val="007A270F"/>
    <w:rsid w:val="007A33CB"/>
    <w:rsid w:val="007A496D"/>
    <w:rsid w:val="007B5366"/>
    <w:rsid w:val="007C1A95"/>
    <w:rsid w:val="007C3ABD"/>
    <w:rsid w:val="007E18B7"/>
    <w:rsid w:val="007E2DF7"/>
    <w:rsid w:val="007E4DD7"/>
    <w:rsid w:val="007E5056"/>
    <w:rsid w:val="007F0491"/>
    <w:rsid w:val="007F06F3"/>
    <w:rsid w:val="007F2653"/>
    <w:rsid w:val="007F3E0E"/>
    <w:rsid w:val="007F64BE"/>
    <w:rsid w:val="008059D5"/>
    <w:rsid w:val="00813472"/>
    <w:rsid w:val="00813B9D"/>
    <w:rsid w:val="00813FC9"/>
    <w:rsid w:val="0081583D"/>
    <w:rsid w:val="00817269"/>
    <w:rsid w:val="00821EC5"/>
    <w:rsid w:val="00823271"/>
    <w:rsid w:val="0082429A"/>
    <w:rsid w:val="00836A14"/>
    <w:rsid w:val="008407A4"/>
    <w:rsid w:val="00850A6E"/>
    <w:rsid w:val="00855B92"/>
    <w:rsid w:val="008572F8"/>
    <w:rsid w:val="0086335A"/>
    <w:rsid w:val="00882879"/>
    <w:rsid w:val="00894D38"/>
    <w:rsid w:val="008A0D02"/>
    <w:rsid w:val="008A1676"/>
    <w:rsid w:val="008A5280"/>
    <w:rsid w:val="008B4AE9"/>
    <w:rsid w:val="008C22C8"/>
    <w:rsid w:val="008D0471"/>
    <w:rsid w:val="008D0667"/>
    <w:rsid w:val="008D1338"/>
    <w:rsid w:val="008D7EC7"/>
    <w:rsid w:val="008E753D"/>
    <w:rsid w:val="009006FF"/>
    <w:rsid w:val="00901669"/>
    <w:rsid w:val="0090503D"/>
    <w:rsid w:val="00915BED"/>
    <w:rsid w:val="009178AE"/>
    <w:rsid w:val="00921027"/>
    <w:rsid w:val="0092344F"/>
    <w:rsid w:val="00925638"/>
    <w:rsid w:val="00927043"/>
    <w:rsid w:val="0093148C"/>
    <w:rsid w:val="00932925"/>
    <w:rsid w:val="00932FB0"/>
    <w:rsid w:val="00933E75"/>
    <w:rsid w:val="00943338"/>
    <w:rsid w:val="0094663C"/>
    <w:rsid w:val="00954DD5"/>
    <w:rsid w:val="009614FF"/>
    <w:rsid w:val="00963F9F"/>
    <w:rsid w:val="0097072C"/>
    <w:rsid w:val="00971CE8"/>
    <w:rsid w:val="0097442E"/>
    <w:rsid w:val="009A0303"/>
    <w:rsid w:val="009A298E"/>
    <w:rsid w:val="009C4948"/>
    <w:rsid w:val="009C5231"/>
    <w:rsid w:val="009D3FEC"/>
    <w:rsid w:val="009D7783"/>
    <w:rsid w:val="009E4D63"/>
    <w:rsid w:val="009E7DC1"/>
    <w:rsid w:val="009F5AD9"/>
    <w:rsid w:val="009F6C39"/>
    <w:rsid w:val="00A06B19"/>
    <w:rsid w:val="00A11BCB"/>
    <w:rsid w:val="00A346EC"/>
    <w:rsid w:val="00A35B93"/>
    <w:rsid w:val="00A364A7"/>
    <w:rsid w:val="00A45B3D"/>
    <w:rsid w:val="00A45F2A"/>
    <w:rsid w:val="00A46922"/>
    <w:rsid w:val="00A47960"/>
    <w:rsid w:val="00A50270"/>
    <w:rsid w:val="00A5184E"/>
    <w:rsid w:val="00A52FD0"/>
    <w:rsid w:val="00A57B1D"/>
    <w:rsid w:val="00A64C2F"/>
    <w:rsid w:val="00A652C0"/>
    <w:rsid w:val="00A70785"/>
    <w:rsid w:val="00A71593"/>
    <w:rsid w:val="00A8001F"/>
    <w:rsid w:val="00A84678"/>
    <w:rsid w:val="00A84CCC"/>
    <w:rsid w:val="00A8729F"/>
    <w:rsid w:val="00A879CB"/>
    <w:rsid w:val="00A906A5"/>
    <w:rsid w:val="00AB1B94"/>
    <w:rsid w:val="00AB1C0E"/>
    <w:rsid w:val="00AB4BAC"/>
    <w:rsid w:val="00AB5BB4"/>
    <w:rsid w:val="00AB762C"/>
    <w:rsid w:val="00AC22FF"/>
    <w:rsid w:val="00AE6A65"/>
    <w:rsid w:val="00AE756B"/>
    <w:rsid w:val="00B15315"/>
    <w:rsid w:val="00B1655A"/>
    <w:rsid w:val="00B17D9A"/>
    <w:rsid w:val="00B17EAC"/>
    <w:rsid w:val="00B217F5"/>
    <w:rsid w:val="00B25BB4"/>
    <w:rsid w:val="00B25BF5"/>
    <w:rsid w:val="00B36266"/>
    <w:rsid w:val="00B40984"/>
    <w:rsid w:val="00B41843"/>
    <w:rsid w:val="00B41A53"/>
    <w:rsid w:val="00B43A30"/>
    <w:rsid w:val="00B44820"/>
    <w:rsid w:val="00B475DC"/>
    <w:rsid w:val="00B60DCA"/>
    <w:rsid w:val="00B625BB"/>
    <w:rsid w:val="00B62DFA"/>
    <w:rsid w:val="00B650E1"/>
    <w:rsid w:val="00B65AD5"/>
    <w:rsid w:val="00B824EA"/>
    <w:rsid w:val="00B84616"/>
    <w:rsid w:val="00B9713C"/>
    <w:rsid w:val="00B9771E"/>
    <w:rsid w:val="00BA00FC"/>
    <w:rsid w:val="00BA298E"/>
    <w:rsid w:val="00BC195C"/>
    <w:rsid w:val="00BC21D2"/>
    <w:rsid w:val="00BC62E7"/>
    <w:rsid w:val="00BD3524"/>
    <w:rsid w:val="00BD4520"/>
    <w:rsid w:val="00BE0516"/>
    <w:rsid w:val="00BE3FD9"/>
    <w:rsid w:val="00BE7999"/>
    <w:rsid w:val="00BF1F6A"/>
    <w:rsid w:val="00BF6204"/>
    <w:rsid w:val="00C0224B"/>
    <w:rsid w:val="00C10D34"/>
    <w:rsid w:val="00C11E88"/>
    <w:rsid w:val="00C26062"/>
    <w:rsid w:val="00C27309"/>
    <w:rsid w:val="00C43C58"/>
    <w:rsid w:val="00C52922"/>
    <w:rsid w:val="00C620C6"/>
    <w:rsid w:val="00C669B2"/>
    <w:rsid w:val="00C77EB1"/>
    <w:rsid w:val="00C80C87"/>
    <w:rsid w:val="00C84670"/>
    <w:rsid w:val="00C87A99"/>
    <w:rsid w:val="00CA5991"/>
    <w:rsid w:val="00CA600B"/>
    <w:rsid w:val="00CA76AE"/>
    <w:rsid w:val="00CB21D7"/>
    <w:rsid w:val="00CC1F47"/>
    <w:rsid w:val="00CD0151"/>
    <w:rsid w:val="00CD1722"/>
    <w:rsid w:val="00CD42AF"/>
    <w:rsid w:val="00CD60B1"/>
    <w:rsid w:val="00CD78C0"/>
    <w:rsid w:val="00CE2968"/>
    <w:rsid w:val="00CF2C0C"/>
    <w:rsid w:val="00D06A39"/>
    <w:rsid w:val="00D1024F"/>
    <w:rsid w:val="00D11596"/>
    <w:rsid w:val="00D132E5"/>
    <w:rsid w:val="00D33477"/>
    <w:rsid w:val="00D33D0F"/>
    <w:rsid w:val="00D3685B"/>
    <w:rsid w:val="00D37F9A"/>
    <w:rsid w:val="00D51C22"/>
    <w:rsid w:val="00D52F27"/>
    <w:rsid w:val="00D56F59"/>
    <w:rsid w:val="00D72856"/>
    <w:rsid w:val="00D76E48"/>
    <w:rsid w:val="00D80A49"/>
    <w:rsid w:val="00D83E32"/>
    <w:rsid w:val="00D87C2F"/>
    <w:rsid w:val="00D95810"/>
    <w:rsid w:val="00D967D9"/>
    <w:rsid w:val="00DB1F3B"/>
    <w:rsid w:val="00DB46C6"/>
    <w:rsid w:val="00DB5296"/>
    <w:rsid w:val="00DE12CB"/>
    <w:rsid w:val="00DF0DFB"/>
    <w:rsid w:val="00DF1ED6"/>
    <w:rsid w:val="00DF416A"/>
    <w:rsid w:val="00E1699F"/>
    <w:rsid w:val="00E26ED9"/>
    <w:rsid w:val="00E30344"/>
    <w:rsid w:val="00E3326E"/>
    <w:rsid w:val="00E42447"/>
    <w:rsid w:val="00E45158"/>
    <w:rsid w:val="00E4674A"/>
    <w:rsid w:val="00E46759"/>
    <w:rsid w:val="00E51A55"/>
    <w:rsid w:val="00E57BD4"/>
    <w:rsid w:val="00E60F4C"/>
    <w:rsid w:val="00E657E3"/>
    <w:rsid w:val="00E77265"/>
    <w:rsid w:val="00E86804"/>
    <w:rsid w:val="00EE3764"/>
    <w:rsid w:val="00EE7C08"/>
    <w:rsid w:val="00EF2076"/>
    <w:rsid w:val="00EF7FD1"/>
    <w:rsid w:val="00F040C6"/>
    <w:rsid w:val="00F068BE"/>
    <w:rsid w:val="00F159CA"/>
    <w:rsid w:val="00F15A3B"/>
    <w:rsid w:val="00F20ABA"/>
    <w:rsid w:val="00F24C4F"/>
    <w:rsid w:val="00F51369"/>
    <w:rsid w:val="00F56EB4"/>
    <w:rsid w:val="00F61B35"/>
    <w:rsid w:val="00F62B1E"/>
    <w:rsid w:val="00F672C0"/>
    <w:rsid w:val="00F82AA7"/>
    <w:rsid w:val="00FB4393"/>
    <w:rsid w:val="00FD1E7F"/>
    <w:rsid w:val="00FD61FC"/>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eferred"/>
    <w:next w:val="NoSpacing"/>
    <w:qFormat/>
    <w:rsid w:val="00CE2968"/>
    <w:rPr>
      <w:rFonts w:ascii="Times New Roman" w:hAnsi="Times New Roman"/>
      <w:sz w:val="24"/>
    </w:rPr>
  </w:style>
  <w:style w:type="paragraph" w:styleId="Heading1">
    <w:name w:val="heading 1"/>
    <w:basedOn w:val="Normal"/>
    <w:next w:val="Normal"/>
    <w:link w:val="Heading1Char"/>
    <w:autoRedefine/>
    <w:uiPriority w:val="9"/>
    <w:qFormat/>
    <w:rsid w:val="00E60F4C"/>
    <w:pPr>
      <w:keepNext/>
      <w:keepLines/>
      <w:numPr>
        <w:numId w:val="11"/>
      </w:numPr>
      <w:spacing w:before="360" w:after="240" w:line="240" w:lineRule="auto"/>
      <w:ind w:hanging="72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C0224B"/>
    <w:pPr>
      <w:keepNext/>
      <w:keepLines/>
      <w:numPr>
        <w:numId w:val="13"/>
      </w:numPr>
      <w:spacing w:before="360" w:after="240" w:line="240" w:lineRule="auto"/>
      <w:ind w:left="1440" w:right="1440" w:hanging="7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968"/>
    <w:pPr>
      <w:spacing w:after="0" w:line="240" w:lineRule="auto"/>
    </w:pPr>
    <w:rPr>
      <w:rFonts w:ascii="Times New Roman" w:hAnsi="Times New Roman"/>
      <w:sz w:val="24"/>
    </w:rPr>
  </w:style>
  <w:style w:type="paragraph" w:styleId="FootnoteText">
    <w:name w:val="footnote text"/>
    <w:basedOn w:val="Normal"/>
    <w:link w:val="FootnoteTextChar"/>
    <w:autoRedefine/>
    <w:uiPriority w:val="99"/>
    <w:unhideWhenUsed/>
    <w:rsid w:val="00B25BB4"/>
    <w:pPr>
      <w:spacing w:before="240" w:after="240" w:line="240" w:lineRule="auto"/>
      <w:ind w:left="720" w:hanging="720"/>
    </w:pPr>
    <w:rPr>
      <w:rFonts w:cs="Arial"/>
      <w:szCs w:val="20"/>
    </w:rPr>
  </w:style>
  <w:style w:type="character" w:customStyle="1" w:styleId="FootnoteTextChar">
    <w:name w:val="Footnote Text Char"/>
    <w:basedOn w:val="DefaultParagraphFont"/>
    <w:link w:val="FootnoteText"/>
    <w:uiPriority w:val="99"/>
    <w:rsid w:val="00B25BB4"/>
    <w:rPr>
      <w:rFonts w:ascii="Times New Roman" w:hAnsi="Times New Roman" w:cs="Arial"/>
      <w:sz w:val="24"/>
      <w:szCs w:val="20"/>
    </w:rPr>
  </w:style>
  <w:style w:type="character" w:styleId="FootnoteReference">
    <w:name w:val="footnote reference"/>
    <w:basedOn w:val="DefaultParagraphFont"/>
    <w:uiPriority w:val="99"/>
    <w:semiHidden/>
    <w:unhideWhenUsed/>
    <w:rsid w:val="00334569"/>
    <w:rPr>
      <w:vertAlign w:val="superscript"/>
    </w:rPr>
  </w:style>
  <w:style w:type="paragraph" w:styleId="ListParagraph">
    <w:name w:val="List Paragraph"/>
    <w:basedOn w:val="Normal"/>
    <w:uiPriority w:val="34"/>
    <w:qFormat/>
    <w:rsid w:val="00E3326E"/>
    <w:pPr>
      <w:ind w:left="720"/>
      <w:contextualSpacing/>
    </w:pPr>
    <w:rPr>
      <w:rFonts w:asciiTheme="minorHAnsi" w:hAnsiTheme="minorHAnsi"/>
      <w:sz w:val="22"/>
    </w:rPr>
  </w:style>
  <w:style w:type="character" w:styleId="Hyperlink">
    <w:name w:val="Hyperlink"/>
    <w:basedOn w:val="DefaultParagraphFont"/>
    <w:uiPriority w:val="99"/>
    <w:unhideWhenUsed/>
    <w:rsid w:val="00813472"/>
    <w:rPr>
      <w:color w:val="0000FF"/>
      <w:u w:val="single"/>
    </w:rPr>
  </w:style>
  <w:style w:type="paragraph" w:customStyle="1" w:styleId="text">
    <w:name w:val="text"/>
    <w:basedOn w:val="Normal"/>
    <w:autoRedefine/>
    <w:rsid w:val="00813472"/>
    <w:pPr>
      <w:tabs>
        <w:tab w:val="left" w:pos="9360"/>
      </w:tabs>
      <w:spacing w:after="0" w:line="240" w:lineRule="auto"/>
      <w:ind w:left="5040"/>
      <w:jc w:val="both"/>
    </w:pPr>
    <w:rPr>
      <w:rFonts w:eastAsia="Times New Roman" w:cs="Times New Roman"/>
      <w:sz w:val="26"/>
      <w:szCs w:val="20"/>
    </w:rPr>
  </w:style>
  <w:style w:type="paragraph" w:customStyle="1" w:styleId="DefaultParagraphFont1">
    <w:name w:val="Default Paragraph Font1"/>
    <w:rsid w:val="00CD42AF"/>
    <w:pPr>
      <w:spacing w:after="0" w:line="240" w:lineRule="auto"/>
    </w:pPr>
    <w:rPr>
      <w:rFonts w:ascii="Palatino" w:eastAsia="Times New Roman" w:hAnsi="Palatino" w:cs="Times New Roman"/>
      <w:sz w:val="24"/>
      <w:szCs w:val="20"/>
    </w:rPr>
  </w:style>
  <w:style w:type="paragraph" w:customStyle="1" w:styleId="noindent">
    <w:name w:val="no indent"/>
    <w:basedOn w:val="Normal"/>
    <w:rsid w:val="00CD42AF"/>
    <w:pPr>
      <w:spacing w:after="0" w:line="240" w:lineRule="auto"/>
      <w:jc w:val="both"/>
    </w:pPr>
    <w:rPr>
      <w:rFonts w:ascii="Palatino" w:eastAsia="Times New Roman" w:hAnsi="Palatino" w:cs="Times New Roman"/>
      <w:szCs w:val="20"/>
    </w:rPr>
  </w:style>
  <w:style w:type="paragraph" w:styleId="Header">
    <w:name w:val="header"/>
    <w:basedOn w:val="Normal"/>
    <w:link w:val="HeaderChar"/>
    <w:uiPriority w:val="99"/>
    <w:unhideWhenUsed/>
    <w:rsid w:val="00B6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AD5"/>
    <w:rPr>
      <w:rFonts w:ascii="Times New Roman" w:hAnsi="Times New Roman"/>
      <w:sz w:val="24"/>
    </w:rPr>
  </w:style>
  <w:style w:type="paragraph" w:styleId="Footer">
    <w:name w:val="footer"/>
    <w:basedOn w:val="Normal"/>
    <w:link w:val="FooterChar"/>
    <w:uiPriority w:val="99"/>
    <w:unhideWhenUsed/>
    <w:rsid w:val="00B6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AD5"/>
    <w:rPr>
      <w:rFonts w:ascii="Times New Roman" w:hAnsi="Times New Roman"/>
      <w:sz w:val="24"/>
    </w:rPr>
  </w:style>
  <w:style w:type="paragraph" w:styleId="BalloonText">
    <w:name w:val="Balloon Text"/>
    <w:basedOn w:val="Normal"/>
    <w:link w:val="BalloonTextChar"/>
    <w:uiPriority w:val="99"/>
    <w:semiHidden/>
    <w:unhideWhenUsed/>
    <w:rsid w:val="00B6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D5"/>
    <w:rPr>
      <w:rFonts w:ascii="Tahoma" w:hAnsi="Tahoma" w:cs="Tahoma"/>
      <w:sz w:val="16"/>
      <w:szCs w:val="16"/>
    </w:rPr>
  </w:style>
  <w:style w:type="table" w:styleId="TableGrid">
    <w:name w:val="Table Grid"/>
    <w:basedOn w:val="TableNormal"/>
    <w:uiPriority w:val="59"/>
    <w:rsid w:val="007A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0F4C"/>
    <w:rPr>
      <w:rFonts w:ascii="Times New Roman" w:eastAsiaTheme="majorEastAsia" w:hAnsi="Times New Roman" w:cstheme="majorBidi"/>
      <w:b/>
      <w:bCs/>
      <w:sz w:val="28"/>
      <w:szCs w:val="28"/>
    </w:rPr>
  </w:style>
  <w:style w:type="paragraph" w:customStyle="1" w:styleId="textstyle">
    <w:name w:val="text style"/>
    <w:basedOn w:val="NoSpacing"/>
    <w:rsid w:val="000E73B4"/>
    <w:pPr>
      <w:spacing w:line="480" w:lineRule="auto"/>
    </w:pPr>
    <w:rPr>
      <w:rFonts w:cs="Times New Roman"/>
      <w:sz w:val="26"/>
      <w:szCs w:val="26"/>
    </w:rPr>
  </w:style>
  <w:style w:type="character" w:customStyle="1" w:styleId="Heading2Char">
    <w:name w:val="Heading 2 Char"/>
    <w:basedOn w:val="DefaultParagraphFont"/>
    <w:link w:val="Heading2"/>
    <w:uiPriority w:val="9"/>
    <w:rsid w:val="00C0224B"/>
    <w:rPr>
      <w:rFonts w:ascii="Times New Roman" w:eastAsiaTheme="majorEastAsia" w:hAnsi="Times New Roman" w:cstheme="majorBidi"/>
      <w:b/>
      <w:bCs/>
      <w:sz w:val="26"/>
      <w:szCs w:val="26"/>
    </w:rPr>
  </w:style>
  <w:style w:type="paragraph" w:styleId="TOC1">
    <w:name w:val="toc 1"/>
    <w:basedOn w:val="Normal"/>
    <w:next w:val="Normal"/>
    <w:autoRedefine/>
    <w:uiPriority w:val="39"/>
    <w:unhideWhenUsed/>
    <w:rsid w:val="002F2224"/>
    <w:pPr>
      <w:tabs>
        <w:tab w:val="right" w:leader="dot" w:pos="9350"/>
      </w:tabs>
      <w:spacing w:before="240" w:after="240" w:line="240" w:lineRule="auto"/>
      <w:ind w:left="720" w:right="1440" w:hanging="720"/>
    </w:pPr>
    <w:rPr>
      <w:sz w:val="26"/>
    </w:rPr>
  </w:style>
  <w:style w:type="paragraph" w:styleId="TOC2">
    <w:name w:val="toc 2"/>
    <w:basedOn w:val="Normal"/>
    <w:next w:val="Normal"/>
    <w:autoRedefine/>
    <w:uiPriority w:val="39"/>
    <w:unhideWhenUsed/>
    <w:rsid w:val="007463E6"/>
    <w:pPr>
      <w:tabs>
        <w:tab w:val="left" w:pos="1440"/>
        <w:tab w:val="right" w:leader="dot" w:pos="9350"/>
      </w:tabs>
      <w:spacing w:before="240" w:after="240" w:line="240" w:lineRule="auto"/>
      <w:ind w:left="1440" w:right="1440" w:hanging="720"/>
    </w:pPr>
    <w:rPr>
      <w:sz w:val="26"/>
    </w:rPr>
  </w:style>
  <w:style w:type="paragraph" w:customStyle="1" w:styleId="Blockquote">
    <w:name w:val="Block quote"/>
    <w:basedOn w:val="Normal"/>
    <w:rsid w:val="00296A6A"/>
    <w:pPr>
      <w:spacing w:line="240" w:lineRule="auto"/>
      <w:ind w:left="72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referred"/>
    <w:next w:val="NoSpacing"/>
    <w:qFormat/>
    <w:rsid w:val="00CE2968"/>
    <w:rPr>
      <w:rFonts w:ascii="Times New Roman" w:hAnsi="Times New Roman"/>
      <w:sz w:val="24"/>
    </w:rPr>
  </w:style>
  <w:style w:type="paragraph" w:styleId="Heading1">
    <w:name w:val="heading 1"/>
    <w:basedOn w:val="Normal"/>
    <w:next w:val="Normal"/>
    <w:link w:val="Heading1Char"/>
    <w:autoRedefine/>
    <w:uiPriority w:val="9"/>
    <w:qFormat/>
    <w:rsid w:val="00E60F4C"/>
    <w:pPr>
      <w:keepNext/>
      <w:keepLines/>
      <w:numPr>
        <w:numId w:val="11"/>
      </w:numPr>
      <w:spacing w:before="360" w:after="240" w:line="240" w:lineRule="auto"/>
      <w:ind w:hanging="72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C0224B"/>
    <w:pPr>
      <w:keepNext/>
      <w:keepLines/>
      <w:numPr>
        <w:numId w:val="13"/>
      </w:numPr>
      <w:spacing w:before="360" w:after="240" w:line="240" w:lineRule="auto"/>
      <w:ind w:left="1440" w:right="1440" w:hanging="7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968"/>
    <w:pPr>
      <w:spacing w:after="0" w:line="240" w:lineRule="auto"/>
    </w:pPr>
    <w:rPr>
      <w:rFonts w:ascii="Times New Roman" w:hAnsi="Times New Roman"/>
      <w:sz w:val="24"/>
    </w:rPr>
  </w:style>
  <w:style w:type="paragraph" w:styleId="FootnoteText">
    <w:name w:val="footnote text"/>
    <w:basedOn w:val="Normal"/>
    <w:link w:val="FootnoteTextChar"/>
    <w:autoRedefine/>
    <w:uiPriority w:val="99"/>
    <w:unhideWhenUsed/>
    <w:rsid w:val="00B25BB4"/>
    <w:pPr>
      <w:spacing w:before="240" w:after="240" w:line="240" w:lineRule="auto"/>
      <w:ind w:left="720" w:hanging="720"/>
    </w:pPr>
    <w:rPr>
      <w:rFonts w:cs="Arial"/>
      <w:szCs w:val="20"/>
    </w:rPr>
  </w:style>
  <w:style w:type="character" w:customStyle="1" w:styleId="FootnoteTextChar">
    <w:name w:val="Footnote Text Char"/>
    <w:basedOn w:val="DefaultParagraphFont"/>
    <w:link w:val="FootnoteText"/>
    <w:uiPriority w:val="99"/>
    <w:rsid w:val="00B25BB4"/>
    <w:rPr>
      <w:rFonts w:ascii="Times New Roman" w:hAnsi="Times New Roman" w:cs="Arial"/>
      <w:sz w:val="24"/>
      <w:szCs w:val="20"/>
    </w:rPr>
  </w:style>
  <w:style w:type="character" w:styleId="FootnoteReference">
    <w:name w:val="footnote reference"/>
    <w:basedOn w:val="DefaultParagraphFont"/>
    <w:uiPriority w:val="99"/>
    <w:semiHidden/>
    <w:unhideWhenUsed/>
    <w:rsid w:val="00334569"/>
    <w:rPr>
      <w:vertAlign w:val="superscript"/>
    </w:rPr>
  </w:style>
  <w:style w:type="paragraph" w:styleId="ListParagraph">
    <w:name w:val="List Paragraph"/>
    <w:basedOn w:val="Normal"/>
    <w:uiPriority w:val="34"/>
    <w:qFormat/>
    <w:rsid w:val="00E3326E"/>
    <w:pPr>
      <w:ind w:left="720"/>
      <w:contextualSpacing/>
    </w:pPr>
    <w:rPr>
      <w:rFonts w:asciiTheme="minorHAnsi" w:hAnsiTheme="minorHAnsi"/>
      <w:sz w:val="22"/>
    </w:rPr>
  </w:style>
  <w:style w:type="character" w:styleId="Hyperlink">
    <w:name w:val="Hyperlink"/>
    <w:basedOn w:val="DefaultParagraphFont"/>
    <w:uiPriority w:val="99"/>
    <w:unhideWhenUsed/>
    <w:rsid w:val="00813472"/>
    <w:rPr>
      <w:color w:val="0000FF"/>
      <w:u w:val="single"/>
    </w:rPr>
  </w:style>
  <w:style w:type="paragraph" w:customStyle="1" w:styleId="text">
    <w:name w:val="text"/>
    <w:basedOn w:val="Normal"/>
    <w:autoRedefine/>
    <w:rsid w:val="00813472"/>
    <w:pPr>
      <w:tabs>
        <w:tab w:val="left" w:pos="9360"/>
      </w:tabs>
      <w:spacing w:after="0" w:line="240" w:lineRule="auto"/>
      <w:ind w:left="5040"/>
      <w:jc w:val="both"/>
    </w:pPr>
    <w:rPr>
      <w:rFonts w:eastAsia="Times New Roman" w:cs="Times New Roman"/>
      <w:sz w:val="26"/>
      <w:szCs w:val="20"/>
    </w:rPr>
  </w:style>
  <w:style w:type="paragraph" w:customStyle="1" w:styleId="DefaultParagraphFont1">
    <w:name w:val="Default Paragraph Font1"/>
    <w:rsid w:val="00CD42AF"/>
    <w:pPr>
      <w:spacing w:after="0" w:line="240" w:lineRule="auto"/>
    </w:pPr>
    <w:rPr>
      <w:rFonts w:ascii="Palatino" w:eastAsia="Times New Roman" w:hAnsi="Palatino" w:cs="Times New Roman"/>
      <w:sz w:val="24"/>
      <w:szCs w:val="20"/>
    </w:rPr>
  </w:style>
  <w:style w:type="paragraph" w:customStyle="1" w:styleId="noindent">
    <w:name w:val="no indent"/>
    <w:basedOn w:val="Normal"/>
    <w:rsid w:val="00CD42AF"/>
    <w:pPr>
      <w:spacing w:after="0" w:line="240" w:lineRule="auto"/>
      <w:jc w:val="both"/>
    </w:pPr>
    <w:rPr>
      <w:rFonts w:ascii="Palatino" w:eastAsia="Times New Roman" w:hAnsi="Palatino" w:cs="Times New Roman"/>
      <w:szCs w:val="20"/>
    </w:rPr>
  </w:style>
  <w:style w:type="paragraph" w:styleId="Header">
    <w:name w:val="header"/>
    <w:basedOn w:val="Normal"/>
    <w:link w:val="HeaderChar"/>
    <w:uiPriority w:val="99"/>
    <w:unhideWhenUsed/>
    <w:rsid w:val="00B6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AD5"/>
    <w:rPr>
      <w:rFonts w:ascii="Times New Roman" w:hAnsi="Times New Roman"/>
      <w:sz w:val="24"/>
    </w:rPr>
  </w:style>
  <w:style w:type="paragraph" w:styleId="Footer">
    <w:name w:val="footer"/>
    <w:basedOn w:val="Normal"/>
    <w:link w:val="FooterChar"/>
    <w:uiPriority w:val="99"/>
    <w:unhideWhenUsed/>
    <w:rsid w:val="00B6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AD5"/>
    <w:rPr>
      <w:rFonts w:ascii="Times New Roman" w:hAnsi="Times New Roman"/>
      <w:sz w:val="24"/>
    </w:rPr>
  </w:style>
  <w:style w:type="paragraph" w:styleId="BalloonText">
    <w:name w:val="Balloon Text"/>
    <w:basedOn w:val="Normal"/>
    <w:link w:val="BalloonTextChar"/>
    <w:uiPriority w:val="99"/>
    <w:semiHidden/>
    <w:unhideWhenUsed/>
    <w:rsid w:val="00B6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D5"/>
    <w:rPr>
      <w:rFonts w:ascii="Tahoma" w:hAnsi="Tahoma" w:cs="Tahoma"/>
      <w:sz w:val="16"/>
      <w:szCs w:val="16"/>
    </w:rPr>
  </w:style>
  <w:style w:type="table" w:styleId="TableGrid">
    <w:name w:val="Table Grid"/>
    <w:basedOn w:val="TableNormal"/>
    <w:uiPriority w:val="59"/>
    <w:rsid w:val="007A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0F4C"/>
    <w:rPr>
      <w:rFonts w:ascii="Times New Roman" w:eastAsiaTheme="majorEastAsia" w:hAnsi="Times New Roman" w:cstheme="majorBidi"/>
      <w:b/>
      <w:bCs/>
      <w:sz w:val="28"/>
      <w:szCs w:val="28"/>
    </w:rPr>
  </w:style>
  <w:style w:type="paragraph" w:customStyle="1" w:styleId="textstyle">
    <w:name w:val="text style"/>
    <w:basedOn w:val="NoSpacing"/>
    <w:rsid w:val="000E73B4"/>
    <w:pPr>
      <w:spacing w:line="480" w:lineRule="auto"/>
    </w:pPr>
    <w:rPr>
      <w:rFonts w:cs="Times New Roman"/>
      <w:sz w:val="26"/>
      <w:szCs w:val="26"/>
    </w:rPr>
  </w:style>
  <w:style w:type="character" w:customStyle="1" w:styleId="Heading2Char">
    <w:name w:val="Heading 2 Char"/>
    <w:basedOn w:val="DefaultParagraphFont"/>
    <w:link w:val="Heading2"/>
    <w:uiPriority w:val="9"/>
    <w:rsid w:val="00C0224B"/>
    <w:rPr>
      <w:rFonts w:ascii="Times New Roman" w:eastAsiaTheme="majorEastAsia" w:hAnsi="Times New Roman" w:cstheme="majorBidi"/>
      <w:b/>
      <w:bCs/>
      <w:sz w:val="26"/>
      <w:szCs w:val="26"/>
    </w:rPr>
  </w:style>
  <w:style w:type="paragraph" w:styleId="TOC1">
    <w:name w:val="toc 1"/>
    <w:basedOn w:val="Normal"/>
    <w:next w:val="Normal"/>
    <w:autoRedefine/>
    <w:uiPriority w:val="39"/>
    <w:unhideWhenUsed/>
    <w:rsid w:val="002F2224"/>
    <w:pPr>
      <w:tabs>
        <w:tab w:val="right" w:leader="dot" w:pos="9350"/>
      </w:tabs>
      <w:spacing w:before="240" w:after="240" w:line="240" w:lineRule="auto"/>
      <w:ind w:left="720" w:right="1440" w:hanging="720"/>
    </w:pPr>
    <w:rPr>
      <w:sz w:val="26"/>
    </w:rPr>
  </w:style>
  <w:style w:type="paragraph" w:styleId="TOC2">
    <w:name w:val="toc 2"/>
    <w:basedOn w:val="Normal"/>
    <w:next w:val="Normal"/>
    <w:autoRedefine/>
    <w:uiPriority w:val="39"/>
    <w:unhideWhenUsed/>
    <w:rsid w:val="007463E6"/>
    <w:pPr>
      <w:tabs>
        <w:tab w:val="left" w:pos="1440"/>
        <w:tab w:val="right" w:leader="dot" w:pos="9350"/>
      </w:tabs>
      <w:spacing w:before="240" w:after="240" w:line="240" w:lineRule="auto"/>
      <w:ind w:left="1440" w:right="1440" w:hanging="720"/>
    </w:pPr>
    <w:rPr>
      <w:sz w:val="26"/>
    </w:rPr>
  </w:style>
  <w:style w:type="paragraph" w:customStyle="1" w:styleId="Blockquote">
    <w:name w:val="Block quote"/>
    <w:basedOn w:val="Normal"/>
    <w:rsid w:val="00296A6A"/>
    <w:pPr>
      <w:spacing w:line="240" w:lineRule="auto"/>
      <w:ind w:left="72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arpenter@whitt-sturtevant.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ryan.orourke@puc.state.oh.us" TargetMode="External"/><Relationship Id="rId10" Type="http://schemas.openxmlformats.org/officeDocument/2006/relationships/hyperlink" Target="mailto:ryan.orourke@puc.state.oh.us"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william.wright@puc.state.oh.us" TargetMode="External"/><Relationship Id="rId14" Type="http://schemas.openxmlformats.org/officeDocument/2006/relationships/hyperlink" Target="mailto:william.wright@puc.state.oh.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BFF4-3D03-4948-8C2B-58A82991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Adkins, Kerry</dc:creator>
  <cp:lastModifiedBy>Keeton, Kim</cp:lastModifiedBy>
  <cp:revision>7</cp:revision>
  <cp:lastPrinted>2013-10-10T19:19:00Z</cp:lastPrinted>
  <dcterms:created xsi:type="dcterms:W3CDTF">2013-10-10T13:59:00Z</dcterms:created>
  <dcterms:modified xsi:type="dcterms:W3CDTF">2013-10-10T19:20:00Z</dcterms:modified>
</cp:coreProperties>
</file>