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B4" w:rsidRDefault="00813472" w:rsidP="00813472">
      <w:pPr>
        <w:spacing w:after="0" w:line="240" w:lineRule="auto"/>
        <w:jc w:val="center"/>
        <w:rPr>
          <w:rFonts w:cs="Times New Roman"/>
          <w:b/>
          <w:sz w:val="26"/>
          <w:szCs w:val="26"/>
        </w:rPr>
      </w:pPr>
      <w:r w:rsidRPr="00CD42AF">
        <w:rPr>
          <w:rFonts w:cs="Times New Roman"/>
          <w:b/>
          <w:sz w:val="26"/>
          <w:szCs w:val="26"/>
        </w:rPr>
        <w:t>BEFORE</w:t>
      </w:r>
    </w:p>
    <w:p w:rsidR="00813472" w:rsidRPr="00CD42AF" w:rsidRDefault="00813472" w:rsidP="00813472">
      <w:pPr>
        <w:spacing w:after="0" w:line="240" w:lineRule="auto"/>
        <w:jc w:val="center"/>
        <w:rPr>
          <w:rFonts w:cs="Times New Roman"/>
          <w:b/>
          <w:sz w:val="26"/>
          <w:szCs w:val="26"/>
        </w:rPr>
      </w:pPr>
      <w:r w:rsidRPr="00CD42AF">
        <w:rPr>
          <w:rFonts w:cs="Times New Roman"/>
          <w:b/>
          <w:sz w:val="26"/>
          <w:szCs w:val="26"/>
        </w:rPr>
        <w:t>THE PUBLIC UTILITIES COMMISSION OF OHIO</w:t>
      </w:r>
    </w:p>
    <w:p w:rsidR="00813472" w:rsidRPr="00CD42AF" w:rsidRDefault="00813472" w:rsidP="00813472">
      <w:pPr>
        <w:rPr>
          <w:rFonts w:cs="Times New Roman"/>
          <w:sz w:val="26"/>
          <w:szCs w:val="26"/>
        </w:rPr>
      </w:pPr>
    </w:p>
    <w:tbl>
      <w:tblPr>
        <w:tblW w:w="8762" w:type="dxa"/>
        <w:tblLook w:val="04A0" w:firstRow="1" w:lastRow="0" w:firstColumn="1" w:lastColumn="0" w:noHBand="0" w:noVBand="1"/>
      </w:tblPr>
      <w:tblGrid>
        <w:gridCol w:w="4518"/>
        <w:gridCol w:w="360"/>
        <w:gridCol w:w="3884"/>
      </w:tblGrid>
      <w:tr w:rsidR="00813472" w:rsidRPr="00CD42AF" w:rsidTr="000E73B4">
        <w:tc>
          <w:tcPr>
            <w:tcW w:w="4518" w:type="dxa"/>
            <w:shd w:val="clear" w:color="auto" w:fill="auto"/>
          </w:tcPr>
          <w:p w:rsidR="00813472" w:rsidRPr="0036080A" w:rsidRDefault="00813472" w:rsidP="007907BA">
            <w:pPr>
              <w:spacing w:after="0" w:line="240" w:lineRule="auto"/>
              <w:rPr>
                <w:rFonts w:cs="Times New Roman"/>
                <w:sz w:val="26"/>
                <w:szCs w:val="26"/>
              </w:rPr>
            </w:pPr>
            <w:r w:rsidRPr="0036080A">
              <w:rPr>
                <w:rFonts w:cs="Times New Roman"/>
                <w:sz w:val="26"/>
                <w:szCs w:val="26"/>
              </w:rPr>
              <w:t xml:space="preserve">In the Matter of the Application of </w:t>
            </w:r>
            <w:r w:rsidR="007907BA">
              <w:rPr>
                <w:rFonts w:cs="Times New Roman"/>
                <w:sz w:val="26"/>
                <w:szCs w:val="26"/>
              </w:rPr>
              <w:t xml:space="preserve">The East Ohio Gas Company d/b/a Dominion East Ohio </w:t>
            </w:r>
            <w:r w:rsidRPr="0036080A">
              <w:rPr>
                <w:rFonts w:cs="Times New Roman"/>
                <w:sz w:val="26"/>
                <w:szCs w:val="26"/>
              </w:rPr>
              <w:t xml:space="preserve">for </w:t>
            </w:r>
            <w:r w:rsidR="007174B3" w:rsidRPr="0036080A">
              <w:rPr>
                <w:rFonts w:cs="Times New Roman"/>
                <w:sz w:val="26"/>
                <w:szCs w:val="26"/>
              </w:rPr>
              <w:t>A</w:t>
            </w:r>
            <w:r w:rsidR="007174B3">
              <w:rPr>
                <w:rFonts w:cs="Times New Roman"/>
                <w:sz w:val="26"/>
                <w:szCs w:val="26"/>
              </w:rPr>
              <w:t xml:space="preserve">pproval </w:t>
            </w:r>
            <w:r w:rsidRPr="0036080A">
              <w:rPr>
                <w:rFonts w:cs="Times New Roman"/>
                <w:sz w:val="26"/>
                <w:szCs w:val="26"/>
              </w:rPr>
              <w:t xml:space="preserve">to </w:t>
            </w:r>
            <w:r w:rsidR="007174B3">
              <w:rPr>
                <w:rFonts w:cs="Times New Roman"/>
                <w:sz w:val="26"/>
                <w:szCs w:val="26"/>
              </w:rPr>
              <w:t xml:space="preserve">Implement a Capital Expenditure </w:t>
            </w:r>
            <w:r w:rsidR="007174B3" w:rsidRPr="0036080A">
              <w:rPr>
                <w:rFonts w:cs="Times New Roman"/>
                <w:sz w:val="26"/>
                <w:szCs w:val="26"/>
              </w:rPr>
              <w:t>Program</w:t>
            </w:r>
            <w:r w:rsidRPr="0036080A">
              <w:rPr>
                <w:rFonts w:cs="Times New Roman"/>
                <w:sz w:val="26"/>
                <w:szCs w:val="26"/>
              </w:rPr>
              <w:t>.</w:t>
            </w:r>
          </w:p>
        </w:tc>
        <w:tc>
          <w:tcPr>
            <w:tcW w:w="360" w:type="dxa"/>
          </w:tcPr>
          <w:p w:rsidR="007174B3" w:rsidRPr="00CD42AF" w:rsidRDefault="00A27CEE" w:rsidP="000E73B4">
            <w:pPr>
              <w:rPr>
                <w:rFonts w:cs="Times New Roman"/>
                <w:sz w:val="26"/>
                <w:szCs w:val="26"/>
              </w:rPr>
            </w:pPr>
            <w:r>
              <w:rPr>
                <w:rFonts w:cs="Times New Roman"/>
                <w:sz w:val="26"/>
                <w:szCs w:val="26"/>
              </w:rPr>
              <w:t>:</w:t>
            </w:r>
            <w:r>
              <w:rPr>
                <w:rFonts w:cs="Times New Roman"/>
                <w:sz w:val="26"/>
                <w:szCs w:val="26"/>
              </w:rPr>
              <w:br/>
              <w:t>:</w:t>
            </w:r>
            <w:r>
              <w:rPr>
                <w:rFonts w:cs="Times New Roman"/>
                <w:sz w:val="26"/>
                <w:szCs w:val="26"/>
              </w:rPr>
              <w:br/>
              <w:t>:</w:t>
            </w:r>
            <w:r>
              <w:rPr>
                <w:rFonts w:cs="Times New Roman"/>
                <w:sz w:val="26"/>
                <w:szCs w:val="26"/>
              </w:rPr>
              <w:br/>
              <w:t>:</w:t>
            </w:r>
          </w:p>
        </w:tc>
        <w:tc>
          <w:tcPr>
            <w:tcW w:w="3884" w:type="dxa"/>
            <w:shd w:val="clear" w:color="auto" w:fill="auto"/>
          </w:tcPr>
          <w:p w:rsidR="00813472" w:rsidRPr="00CD42AF" w:rsidRDefault="00813472" w:rsidP="000E73B4">
            <w:pPr>
              <w:spacing w:after="0" w:line="240" w:lineRule="auto"/>
              <w:ind w:left="-288"/>
              <w:rPr>
                <w:rFonts w:cs="Times New Roman"/>
                <w:sz w:val="26"/>
                <w:szCs w:val="26"/>
              </w:rPr>
            </w:pPr>
          </w:p>
          <w:p w:rsidR="00813472" w:rsidRPr="00CD42AF" w:rsidRDefault="00813472" w:rsidP="007907BA">
            <w:pPr>
              <w:spacing w:after="0" w:line="240" w:lineRule="auto"/>
              <w:ind w:left="72"/>
              <w:rPr>
                <w:rFonts w:cs="Times New Roman"/>
                <w:sz w:val="26"/>
                <w:szCs w:val="26"/>
              </w:rPr>
            </w:pPr>
            <w:r w:rsidRPr="00CD42AF">
              <w:rPr>
                <w:rFonts w:cs="Times New Roman"/>
                <w:sz w:val="26"/>
                <w:szCs w:val="26"/>
              </w:rPr>
              <w:t xml:space="preserve">Case No. </w:t>
            </w:r>
            <w:r w:rsidR="007174B3">
              <w:rPr>
                <w:rFonts w:cs="Times New Roman"/>
                <w:sz w:val="26"/>
                <w:szCs w:val="26"/>
              </w:rPr>
              <w:t>11-</w:t>
            </w:r>
            <w:r w:rsidR="007907BA">
              <w:rPr>
                <w:rFonts w:cs="Times New Roman"/>
                <w:sz w:val="26"/>
                <w:szCs w:val="26"/>
              </w:rPr>
              <w:t>6024</w:t>
            </w:r>
            <w:r w:rsidRPr="00CD42AF">
              <w:rPr>
                <w:rFonts w:cs="Times New Roman"/>
                <w:sz w:val="26"/>
                <w:szCs w:val="26"/>
              </w:rPr>
              <w:t>-GA-</w:t>
            </w:r>
            <w:r w:rsidR="007174B3">
              <w:rPr>
                <w:rFonts w:cs="Times New Roman"/>
                <w:sz w:val="26"/>
                <w:szCs w:val="26"/>
              </w:rPr>
              <w:t>UNC</w:t>
            </w:r>
          </w:p>
        </w:tc>
      </w:tr>
      <w:tr w:rsidR="007174B3" w:rsidRPr="00CD42AF" w:rsidTr="000E73B4">
        <w:tc>
          <w:tcPr>
            <w:tcW w:w="4518" w:type="dxa"/>
            <w:shd w:val="clear" w:color="auto" w:fill="auto"/>
          </w:tcPr>
          <w:p w:rsidR="007174B3" w:rsidRPr="0036080A" w:rsidRDefault="007174B3" w:rsidP="007907BA">
            <w:pPr>
              <w:spacing w:after="0" w:line="240" w:lineRule="auto"/>
              <w:rPr>
                <w:rFonts w:cs="Times New Roman"/>
                <w:sz w:val="26"/>
                <w:szCs w:val="26"/>
              </w:rPr>
            </w:pPr>
            <w:r w:rsidRPr="0036080A">
              <w:rPr>
                <w:rFonts w:cs="Times New Roman"/>
                <w:sz w:val="26"/>
                <w:szCs w:val="26"/>
              </w:rPr>
              <w:t xml:space="preserve">In the Matter of the Application of </w:t>
            </w:r>
            <w:r w:rsidR="007907BA" w:rsidRPr="007907BA">
              <w:rPr>
                <w:rFonts w:cs="Times New Roman"/>
                <w:sz w:val="26"/>
                <w:szCs w:val="26"/>
              </w:rPr>
              <w:t xml:space="preserve">The East Ohio Gas Company d/b/a Dominion East Ohio </w:t>
            </w:r>
            <w:r w:rsidRPr="0036080A">
              <w:rPr>
                <w:rFonts w:cs="Times New Roman"/>
                <w:sz w:val="26"/>
                <w:szCs w:val="26"/>
              </w:rPr>
              <w:t>for A</w:t>
            </w:r>
            <w:r>
              <w:rPr>
                <w:rFonts w:cs="Times New Roman"/>
                <w:sz w:val="26"/>
                <w:szCs w:val="26"/>
              </w:rPr>
              <w:t xml:space="preserve">pproval </w:t>
            </w:r>
            <w:r w:rsidRPr="0036080A">
              <w:rPr>
                <w:rFonts w:cs="Times New Roman"/>
                <w:sz w:val="26"/>
                <w:szCs w:val="26"/>
              </w:rPr>
              <w:t xml:space="preserve">to </w:t>
            </w:r>
            <w:r>
              <w:rPr>
                <w:rFonts w:cs="Times New Roman"/>
                <w:sz w:val="26"/>
                <w:szCs w:val="26"/>
              </w:rPr>
              <w:t>Change Accounting Methods</w:t>
            </w:r>
            <w:r w:rsidRPr="0036080A">
              <w:rPr>
                <w:rFonts w:cs="Times New Roman"/>
                <w:sz w:val="26"/>
                <w:szCs w:val="26"/>
              </w:rPr>
              <w:t>.</w:t>
            </w:r>
          </w:p>
        </w:tc>
        <w:tc>
          <w:tcPr>
            <w:tcW w:w="360" w:type="dxa"/>
          </w:tcPr>
          <w:p w:rsidR="007174B3" w:rsidRPr="00CD42AF" w:rsidRDefault="007174B3" w:rsidP="000E73B4">
            <w:pPr>
              <w:spacing w:after="0" w:line="240" w:lineRule="auto"/>
              <w:rPr>
                <w:rFonts w:cs="Times New Roman"/>
                <w:sz w:val="26"/>
                <w:szCs w:val="26"/>
              </w:rPr>
            </w:pPr>
            <w:r w:rsidRPr="00CD42AF">
              <w:rPr>
                <w:rFonts w:cs="Times New Roman"/>
                <w:sz w:val="26"/>
                <w:szCs w:val="26"/>
              </w:rPr>
              <w:t>:</w:t>
            </w:r>
            <w:r w:rsidR="000E73B4">
              <w:rPr>
                <w:rFonts w:cs="Times New Roman"/>
                <w:sz w:val="26"/>
                <w:szCs w:val="26"/>
              </w:rPr>
              <w:br/>
              <w:t>:</w:t>
            </w:r>
            <w:r w:rsidR="000E73B4">
              <w:rPr>
                <w:rFonts w:cs="Times New Roman"/>
                <w:sz w:val="26"/>
                <w:szCs w:val="26"/>
              </w:rPr>
              <w:br/>
              <w:t>:</w:t>
            </w:r>
            <w:r w:rsidR="000E73B4">
              <w:rPr>
                <w:rFonts w:cs="Times New Roman"/>
                <w:sz w:val="26"/>
                <w:szCs w:val="26"/>
              </w:rPr>
              <w:br/>
              <w:t>:</w:t>
            </w:r>
          </w:p>
        </w:tc>
        <w:tc>
          <w:tcPr>
            <w:tcW w:w="3884" w:type="dxa"/>
            <w:shd w:val="clear" w:color="auto" w:fill="auto"/>
          </w:tcPr>
          <w:p w:rsidR="007174B3" w:rsidRPr="00CD42AF" w:rsidRDefault="007174B3" w:rsidP="000E73B4">
            <w:pPr>
              <w:spacing w:after="0" w:line="240" w:lineRule="auto"/>
              <w:ind w:left="-288"/>
              <w:rPr>
                <w:rFonts w:cs="Times New Roman"/>
                <w:sz w:val="26"/>
                <w:szCs w:val="26"/>
              </w:rPr>
            </w:pPr>
          </w:p>
          <w:p w:rsidR="007174B3" w:rsidRPr="00CD42AF" w:rsidRDefault="007174B3" w:rsidP="007907BA">
            <w:pPr>
              <w:spacing w:after="0" w:line="240" w:lineRule="auto"/>
              <w:ind w:left="72"/>
              <w:rPr>
                <w:rFonts w:cs="Times New Roman"/>
                <w:sz w:val="26"/>
                <w:szCs w:val="26"/>
              </w:rPr>
            </w:pPr>
            <w:r w:rsidRPr="000E73B4">
              <w:rPr>
                <w:rFonts w:cs="Times New Roman"/>
                <w:sz w:val="26"/>
                <w:szCs w:val="26"/>
              </w:rPr>
              <w:t>Case No. 11-</w:t>
            </w:r>
            <w:r w:rsidR="007907BA">
              <w:rPr>
                <w:rFonts w:cs="Times New Roman"/>
                <w:sz w:val="26"/>
                <w:szCs w:val="26"/>
              </w:rPr>
              <w:t>6025</w:t>
            </w:r>
            <w:r w:rsidRPr="000E73B4">
              <w:rPr>
                <w:rFonts w:cs="Times New Roman"/>
                <w:sz w:val="26"/>
                <w:szCs w:val="26"/>
              </w:rPr>
              <w:t>-GA-AAM</w:t>
            </w:r>
          </w:p>
        </w:tc>
      </w:tr>
    </w:tbl>
    <w:p w:rsidR="000E73B4" w:rsidRPr="000E73B4" w:rsidRDefault="000E73B4" w:rsidP="000E73B4"/>
    <w:p w:rsidR="00813472"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rsidR="00915BED" w:rsidRPr="009C4948" w:rsidRDefault="009434D3" w:rsidP="00813472">
      <w:pPr>
        <w:spacing w:after="0" w:line="240" w:lineRule="auto"/>
        <w:jc w:val="center"/>
        <w:rPr>
          <w:rFonts w:cs="Times New Roman"/>
          <w:b/>
          <w:sz w:val="28"/>
          <w:szCs w:val="28"/>
        </w:rPr>
      </w:pPr>
      <w:r>
        <w:rPr>
          <w:rFonts w:cs="Times New Roman"/>
          <w:b/>
          <w:sz w:val="28"/>
          <w:szCs w:val="28"/>
        </w:rPr>
        <w:t>SUR-</w:t>
      </w:r>
      <w:r w:rsidR="008E4708">
        <w:rPr>
          <w:rFonts w:cs="Times New Roman"/>
          <w:b/>
          <w:sz w:val="28"/>
          <w:szCs w:val="28"/>
        </w:rPr>
        <w:t xml:space="preserve">REPLY </w:t>
      </w:r>
      <w:r w:rsidR="0056760B">
        <w:rPr>
          <w:rFonts w:cs="Times New Roman"/>
          <w:b/>
          <w:sz w:val="28"/>
          <w:szCs w:val="28"/>
        </w:rPr>
        <w:t>COMMENTS</w:t>
      </w:r>
      <w:r w:rsidR="0056760B" w:rsidRPr="009C4948">
        <w:rPr>
          <w:rFonts w:cs="Times New Roman"/>
          <w:b/>
          <w:sz w:val="28"/>
          <w:szCs w:val="28"/>
        </w:rPr>
        <w:t xml:space="preserve"> </w:t>
      </w:r>
    </w:p>
    <w:p w:rsidR="00813472" w:rsidRPr="00CD42AF" w:rsidRDefault="00813472" w:rsidP="00813472">
      <w:pPr>
        <w:spacing w:after="0" w:line="240" w:lineRule="auto"/>
        <w:jc w:val="center"/>
        <w:rPr>
          <w:rFonts w:cs="Times New Roman"/>
          <w:b/>
          <w:sz w:val="26"/>
          <w:szCs w:val="26"/>
        </w:rPr>
      </w:pPr>
      <w:r w:rsidRPr="00CD42AF">
        <w:rPr>
          <w:rFonts w:cs="Times New Roman"/>
          <w:b/>
          <w:sz w:val="26"/>
          <w:szCs w:val="26"/>
        </w:rPr>
        <w:t>SUBMITTED ON BEHALF OF</w:t>
      </w:r>
      <w:r w:rsidR="00654A33">
        <w:rPr>
          <w:rFonts w:cs="Times New Roman"/>
          <w:b/>
          <w:sz w:val="26"/>
          <w:szCs w:val="26"/>
        </w:rPr>
        <w:t xml:space="preserve"> THE STAFF OF</w:t>
      </w:r>
    </w:p>
    <w:p w:rsidR="00813472" w:rsidRPr="00CD42AF" w:rsidRDefault="00813472" w:rsidP="00813472">
      <w:pPr>
        <w:spacing w:after="0" w:line="240" w:lineRule="auto"/>
        <w:jc w:val="center"/>
        <w:rPr>
          <w:rFonts w:cs="Times New Roman"/>
          <w:sz w:val="26"/>
          <w:szCs w:val="26"/>
        </w:rPr>
      </w:pPr>
      <w:r w:rsidRPr="00CD42AF">
        <w:rPr>
          <w:rFonts w:cs="Times New Roman"/>
          <w:b/>
          <w:sz w:val="26"/>
          <w:szCs w:val="26"/>
        </w:rPr>
        <w:t>THE PUBLIC UTILITIES COMMISSION OF OHIO</w:t>
      </w:r>
    </w:p>
    <w:p w:rsidR="002B0FA8" w:rsidRDefault="00915BED" w:rsidP="00B42171">
      <w:pPr>
        <w:tabs>
          <w:tab w:val="left" w:pos="9360"/>
        </w:tabs>
        <w:jc w:val="both"/>
        <w:rPr>
          <w:rFonts w:cs="Times New Roman"/>
          <w:sz w:val="26"/>
          <w:szCs w:val="26"/>
          <w:u w:val="single"/>
        </w:rPr>
      </w:pPr>
      <w:r>
        <w:rPr>
          <w:rFonts w:cs="Times New Roman"/>
          <w:sz w:val="26"/>
          <w:szCs w:val="26"/>
          <w:u w:val="single"/>
        </w:rPr>
        <w:tab/>
      </w:r>
    </w:p>
    <w:p w:rsidR="00A27CEE" w:rsidRPr="00B42171" w:rsidRDefault="00A27CEE" w:rsidP="00B42171">
      <w:pPr>
        <w:tabs>
          <w:tab w:val="left" w:pos="9360"/>
        </w:tabs>
        <w:jc w:val="both"/>
        <w:rPr>
          <w:rFonts w:cs="Times New Roman"/>
          <w:sz w:val="26"/>
          <w:szCs w:val="26"/>
          <w:u w:val="single"/>
        </w:rPr>
      </w:pPr>
    </w:p>
    <w:p w:rsidR="00813472" w:rsidRPr="00B42171" w:rsidRDefault="00813472" w:rsidP="00B42171">
      <w:pPr>
        <w:spacing w:after="0" w:line="240" w:lineRule="auto"/>
        <w:ind w:left="4320"/>
        <w:rPr>
          <w:b/>
          <w:sz w:val="26"/>
          <w:szCs w:val="26"/>
        </w:rPr>
      </w:pPr>
      <w:r w:rsidRPr="00B42171">
        <w:rPr>
          <w:b/>
          <w:sz w:val="26"/>
          <w:szCs w:val="26"/>
        </w:rPr>
        <w:t xml:space="preserve">Michael DeWine </w:t>
      </w:r>
    </w:p>
    <w:p w:rsidR="00813472" w:rsidRPr="00B42171" w:rsidRDefault="002B0FA8" w:rsidP="00B42171">
      <w:pPr>
        <w:spacing w:after="0" w:line="240" w:lineRule="auto"/>
        <w:ind w:left="4320"/>
        <w:rPr>
          <w:sz w:val="26"/>
          <w:szCs w:val="26"/>
        </w:rPr>
      </w:pPr>
      <w:r w:rsidRPr="00B42171">
        <w:rPr>
          <w:sz w:val="26"/>
          <w:szCs w:val="26"/>
        </w:rPr>
        <w:t xml:space="preserve">Ohio </w:t>
      </w:r>
      <w:r w:rsidR="00813472" w:rsidRPr="00B42171">
        <w:rPr>
          <w:sz w:val="26"/>
          <w:szCs w:val="26"/>
        </w:rPr>
        <w:t>Attorney General</w:t>
      </w:r>
    </w:p>
    <w:p w:rsidR="00813472" w:rsidRPr="00B42171" w:rsidRDefault="00813472" w:rsidP="00B42171">
      <w:pPr>
        <w:spacing w:after="0" w:line="240" w:lineRule="auto"/>
        <w:ind w:left="4320"/>
        <w:rPr>
          <w:sz w:val="26"/>
          <w:szCs w:val="26"/>
        </w:rPr>
      </w:pPr>
    </w:p>
    <w:p w:rsidR="002B0FA8" w:rsidRPr="00B42171" w:rsidRDefault="002B0FA8" w:rsidP="00B42171">
      <w:pPr>
        <w:spacing w:after="0" w:line="240" w:lineRule="auto"/>
        <w:ind w:left="4320"/>
        <w:rPr>
          <w:sz w:val="26"/>
          <w:szCs w:val="26"/>
        </w:rPr>
      </w:pPr>
      <w:r w:rsidRPr="00B42171">
        <w:rPr>
          <w:b/>
          <w:sz w:val="26"/>
          <w:szCs w:val="26"/>
        </w:rPr>
        <w:t>William L. Wright</w:t>
      </w:r>
    </w:p>
    <w:p w:rsidR="00813472" w:rsidRPr="00B42171" w:rsidRDefault="00813472" w:rsidP="00B42171">
      <w:pPr>
        <w:spacing w:after="0" w:line="240" w:lineRule="auto"/>
        <w:ind w:left="4320"/>
        <w:rPr>
          <w:b/>
          <w:sz w:val="26"/>
          <w:szCs w:val="26"/>
        </w:rPr>
      </w:pPr>
      <w:r w:rsidRPr="00B42171">
        <w:rPr>
          <w:sz w:val="26"/>
          <w:szCs w:val="26"/>
        </w:rPr>
        <w:t>Section Chief</w:t>
      </w:r>
    </w:p>
    <w:p w:rsidR="00813472" w:rsidRPr="00B42171" w:rsidRDefault="00813472" w:rsidP="00B42171">
      <w:pPr>
        <w:spacing w:after="0" w:line="240" w:lineRule="auto"/>
        <w:ind w:left="4320"/>
        <w:rPr>
          <w:sz w:val="26"/>
          <w:szCs w:val="26"/>
        </w:rPr>
      </w:pPr>
    </w:p>
    <w:p w:rsidR="00813472" w:rsidRPr="00B42171" w:rsidRDefault="00CD42AF" w:rsidP="00B42171">
      <w:pPr>
        <w:spacing w:after="0" w:line="240" w:lineRule="auto"/>
        <w:ind w:left="4320"/>
        <w:rPr>
          <w:b/>
          <w:sz w:val="26"/>
          <w:szCs w:val="26"/>
        </w:rPr>
      </w:pPr>
      <w:r w:rsidRPr="00B42171">
        <w:rPr>
          <w:b/>
          <w:sz w:val="26"/>
          <w:szCs w:val="26"/>
        </w:rPr>
        <w:t>Ste</w:t>
      </w:r>
      <w:r w:rsidR="001420B4" w:rsidRPr="00B42171">
        <w:rPr>
          <w:b/>
          <w:sz w:val="26"/>
          <w:szCs w:val="26"/>
        </w:rPr>
        <w:t>ph</w:t>
      </w:r>
      <w:r w:rsidRPr="00B42171">
        <w:rPr>
          <w:b/>
          <w:sz w:val="26"/>
          <w:szCs w:val="26"/>
        </w:rPr>
        <w:t xml:space="preserve">en </w:t>
      </w:r>
      <w:r w:rsidR="0056760B" w:rsidRPr="00B42171">
        <w:rPr>
          <w:b/>
          <w:sz w:val="26"/>
          <w:szCs w:val="26"/>
        </w:rPr>
        <w:t>A. Reilly</w:t>
      </w:r>
      <w:r w:rsidRPr="00B42171">
        <w:rPr>
          <w:b/>
          <w:sz w:val="26"/>
          <w:szCs w:val="26"/>
        </w:rPr>
        <w:t xml:space="preserve"> </w:t>
      </w:r>
    </w:p>
    <w:p w:rsidR="00813472" w:rsidRPr="00B42171" w:rsidRDefault="00643B5F" w:rsidP="00B42171">
      <w:pPr>
        <w:spacing w:after="0" w:line="240" w:lineRule="auto"/>
        <w:ind w:left="4320"/>
        <w:rPr>
          <w:sz w:val="26"/>
          <w:szCs w:val="26"/>
        </w:rPr>
      </w:pPr>
      <w:r w:rsidRPr="00B42171">
        <w:rPr>
          <w:sz w:val="26"/>
          <w:szCs w:val="26"/>
        </w:rPr>
        <w:t>Assistant Attorney</w:t>
      </w:r>
      <w:r w:rsidR="00813472" w:rsidRPr="00B42171">
        <w:rPr>
          <w:sz w:val="26"/>
          <w:szCs w:val="26"/>
        </w:rPr>
        <w:t xml:space="preserve"> General</w:t>
      </w:r>
    </w:p>
    <w:p w:rsidR="00813472" w:rsidRPr="00B42171" w:rsidRDefault="00813472" w:rsidP="00B42171">
      <w:pPr>
        <w:spacing w:after="0" w:line="240" w:lineRule="auto"/>
        <w:ind w:left="4320"/>
        <w:rPr>
          <w:sz w:val="26"/>
          <w:szCs w:val="26"/>
        </w:rPr>
      </w:pPr>
      <w:r w:rsidRPr="00B42171">
        <w:rPr>
          <w:sz w:val="26"/>
          <w:szCs w:val="26"/>
        </w:rPr>
        <w:t>Public Utilities Section</w:t>
      </w:r>
    </w:p>
    <w:p w:rsidR="00813472" w:rsidRPr="00B42171" w:rsidRDefault="00813472" w:rsidP="00B42171">
      <w:pPr>
        <w:spacing w:after="0" w:line="240" w:lineRule="auto"/>
        <w:ind w:left="4320"/>
        <w:rPr>
          <w:sz w:val="26"/>
          <w:szCs w:val="26"/>
        </w:rPr>
      </w:pPr>
      <w:r w:rsidRPr="00B42171">
        <w:rPr>
          <w:sz w:val="26"/>
          <w:szCs w:val="26"/>
        </w:rPr>
        <w:t>180 East Broad Street, 6</w:t>
      </w:r>
      <w:r w:rsidRPr="00B42171">
        <w:rPr>
          <w:sz w:val="26"/>
          <w:szCs w:val="26"/>
          <w:vertAlign w:val="superscript"/>
        </w:rPr>
        <w:t>th</w:t>
      </w:r>
      <w:r w:rsidRPr="00B42171">
        <w:rPr>
          <w:sz w:val="26"/>
          <w:szCs w:val="26"/>
        </w:rPr>
        <w:t xml:space="preserve"> Fl. </w:t>
      </w:r>
    </w:p>
    <w:p w:rsidR="00813472" w:rsidRPr="00B42171" w:rsidRDefault="00813472" w:rsidP="00B42171">
      <w:pPr>
        <w:spacing w:after="0" w:line="240" w:lineRule="auto"/>
        <w:ind w:left="4320"/>
        <w:rPr>
          <w:sz w:val="26"/>
          <w:szCs w:val="26"/>
        </w:rPr>
      </w:pPr>
      <w:r w:rsidRPr="00B42171">
        <w:rPr>
          <w:sz w:val="26"/>
          <w:szCs w:val="26"/>
        </w:rPr>
        <w:t xml:space="preserve">Columbus, </w:t>
      </w:r>
      <w:r w:rsidR="002B0FA8" w:rsidRPr="00B42171">
        <w:rPr>
          <w:sz w:val="26"/>
          <w:szCs w:val="26"/>
        </w:rPr>
        <w:t>OH</w:t>
      </w:r>
      <w:r w:rsidRPr="00B42171">
        <w:rPr>
          <w:sz w:val="26"/>
          <w:szCs w:val="26"/>
        </w:rPr>
        <w:t xml:space="preserve">  43215</w:t>
      </w:r>
    </w:p>
    <w:p w:rsidR="00813472" w:rsidRPr="00B42171" w:rsidRDefault="002B0FA8" w:rsidP="00B42171">
      <w:pPr>
        <w:spacing w:after="0" w:line="240" w:lineRule="auto"/>
        <w:ind w:left="4320"/>
        <w:rPr>
          <w:sz w:val="26"/>
          <w:szCs w:val="26"/>
        </w:rPr>
      </w:pPr>
      <w:r w:rsidRPr="00B42171">
        <w:rPr>
          <w:sz w:val="26"/>
          <w:szCs w:val="26"/>
        </w:rPr>
        <w:t>614.466.4395 (telephone)</w:t>
      </w:r>
    </w:p>
    <w:p w:rsidR="00813472" w:rsidRPr="00B42171" w:rsidRDefault="002B0FA8" w:rsidP="00B42171">
      <w:pPr>
        <w:spacing w:after="0" w:line="240" w:lineRule="auto"/>
        <w:ind w:left="4320"/>
        <w:jc w:val="both"/>
        <w:rPr>
          <w:rFonts w:cs="Times New Roman"/>
          <w:sz w:val="26"/>
          <w:szCs w:val="26"/>
        </w:rPr>
      </w:pPr>
      <w:r w:rsidRPr="00B42171">
        <w:rPr>
          <w:rFonts w:cs="Times New Roman"/>
          <w:sz w:val="26"/>
          <w:szCs w:val="26"/>
        </w:rPr>
        <w:t>614.644.8764 (fax)</w:t>
      </w:r>
    </w:p>
    <w:p w:rsidR="002B0FA8" w:rsidRPr="00B42171" w:rsidRDefault="004473DE" w:rsidP="00B42171">
      <w:pPr>
        <w:spacing w:after="0" w:line="240" w:lineRule="auto"/>
        <w:ind w:left="4320"/>
        <w:jc w:val="both"/>
        <w:rPr>
          <w:rFonts w:cs="Times New Roman"/>
          <w:sz w:val="26"/>
          <w:szCs w:val="26"/>
        </w:rPr>
      </w:pPr>
      <w:hyperlink r:id="rId9" w:history="1">
        <w:r w:rsidR="002B0FA8" w:rsidRPr="00B42171">
          <w:rPr>
            <w:rStyle w:val="Hyperlink"/>
            <w:rFonts w:cs="Times New Roman"/>
            <w:sz w:val="26"/>
            <w:szCs w:val="26"/>
          </w:rPr>
          <w:t>william.wright@puc.state.oh.us</w:t>
        </w:r>
      </w:hyperlink>
    </w:p>
    <w:p w:rsidR="00813472" w:rsidRDefault="004473DE" w:rsidP="00B42171">
      <w:pPr>
        <w:spacing w:after="0" w:line="240" w:lineRule="auto"/>
        <w:ind w:left="4320"/>
        <w:jc w:val="both"/>
        <w:rPr>
          <w:rStyle w:val="Hyperlink"/>
          <w:rFonts w:cs="Times New Roman"/>
          <w:sz w:val="26"/>
          <w:szCs w:val="26"/>
        </w:rPr>
      </w:pPr>
      <w:hyperlink r:id="rId10" w:history="1">
        <w:r w:rsidR="001420B4" w:rsidRPr="00B42171">
          <w:rPr>
            <w:rStyle w:val="Hyperlink"/>
            <w:rFonts w:cs="Times New Roman"/>
            <w:sz w:val="26"/>
            <w:szCs w:val="26"/>
          </w:rPr>
          <w:t>stephen.reilly@puc.state.oh.us</w:t>
        </w:r>
      </w:hyperlink>
    </w:p>
    <w:p w:rsidR="00B42171" w:rsidRDefault="00B42171" w:rsidP="00B42171">
      <w:pPr>
        <w:spacing w:after="0" w:line="240" w:lineRule="auto"/>
        <w:ind w:left="4320"/>
        <w:jc w:val="both"/>
        <w:rPr>
          <w:rStyle w:val="Hyperlink"/>
          <w:rFonts w:cs="Times New Roman"/>
          <w:sz w:val="26"/>
          <w:szCs w:val="26"/>
        </w:rPr>
      </w:pPr>
    </w:p>
    <w:p w:rsidR="00B42171" w:rsidRDefault="00B42171" w:rsidP="00B42171">
      <w:pPr>
        <w:spacing w:after="0" w:line="240" w:lineRule="auto"/>
        <w:ind w:left="4320"/>
        <w:jc w:val="both"/>
        <w:rPr>
          <w:rStyle w:val="Hyperlink"/>
          <w:rFonts w:cs="Times New Roman"/>
          <w:sz w:val="26"/>
          <w:szCs w:val="26"/>
        </w:rPr>
      </w:pPr>
    </w:p>
    <w:p w:rsidR="00B42171" w:rsidRDefault="00B42171" w:rsidP="00B42171">
      <w:pPr>
        <w:spacing w:after="0" w:line="240" w:lineRule="auto"/>
        <w:ind w:left="4320"/>
        <w:jc w:val="both"/>
        <w:rPr>
          <w:rStyle w:val="Hyperlink"/>
          <w:rFonts w:cs="Times New Roman"/>
          <w:sz w:val="26"/>
          <w:szCs w:val="26"/>
        </w:rPr>
      </w:pPr>
    </w:p>
    <w:p w:rsidR="00813472" w:rsidRPr="00CD42AF" w:rsidRDefault="00813472" w:rsidP="00CD42AF">
      <w:pPr>
        <w:jc w:val="both"/>
        <w:rPr>
          <w:rFonts w:cs="Times New Roman"/>
          <w:sz w:val="26"/>
          <w:szCs w:val="26"/>
        </w:rPr>
      </w:pPr>
      <w:r w:rsidRPr="00CD42AF">
        <w:rPr>
          <w:rFonts w:cs="Times New Roman"/>
          <w:sz w:val="26"/>
          <w:szCs w:val="26"/>
        </w:rPr>
        <w:t xml:space="preserve">Date Submitted: </w:t>
      </w:r>
      <w:r w:rsidR="007907BA">
        <w:rPr>
          <w:rFonts w:cs="Times New Roman"/>
          <w:sz w:val="26"/>
          <w:szCs w:val="26"/>
        </w:rPr>
        <w:t xml:space="preserve">September </w:t>
      </w:r>
      <w:r w:rsidR="00653679">
        <w:rPr>
          <w:rFonts w:cs="Times New Roman"/>
          <w:sz w:val="26"/>
          <w:szCs w:val="26"/>
        </w:rPr>
        <w:t>20</w:t>
      </w:r>
      <w:r w:rsidR="00457618" w:rsidRPr="00CD42AF">
        <w:rPr>
          <w:rFonts w:cs="Times New Roman"/>
          <w:sz w:val="26"/>
          <w:szCs w:val="26"/>
        </w:rPr>
        <w:t xml:space="preserve">, </w:t>
      </w:r>
      <w:r w:rsidR="00CD42AF" w:rsidRPr="00CD42AF">
        <w:rPr>
          <w:rFonts w:cs="Times New Roman"/>
          <w:sz w:val="26"/>
          <w:szCs w:val="26"/>
        </w:rPr>
        <w:t>2012</w:t>
      </w:r>
    </w:p>
    <w:p w:rsidR="00CD42AF" w:rsidRPr="00CD42AF" w:rsidRDefault="00CD42AF">
      <w:pPr>
        <w:rPr>
          <w:rFonts w:cs="Times New Roman"/>
          <w:sz w:val="26"/>
          <w:szCs w:val="26"/>
        </w:rPr>
        <w:sectPr w:rsidR="00CD42AF" w:rsidRPr="00CD42AF" w:rsidSect="00B65AD5">
          <w:footerReference w:type="default" r:id="rId11"/>
          <w:pgSz w:w="12240" w:h="15840"/>
          <w:pgMar w:top="1440" w:right="1440" w:bottom="1440" w:left="1440" w:header="720" w:footer="720" w:gutter="0"/>
          <w:cols w:space="720"/>
          <w:titlePg/>
          <w:docGrid w:linePitch="360"/>
        </w:sectPr>
      </w:pPr>
    </w:p>
    <w:p w:rsidR="00064E41" w:rsidRDefault="0059084C">
      <w:pPr>
        <w:pStyle w:val="TOC1"/>
        <w:rPr>
          <w:rFonts w:asciiTheme="minorHAnsi" w:eastAsiaTheme="minorEastAsia" w:hAnsiTheme="minorHAnsi"/>
          <w:noProof/>
          <w:sz w:val="22"/>
        </w:rPr>
      </w:pPr>
      <w:r>
        <w:rPr>
          <w:rFonts w:cs="Times New Roman"/>
          <w:b/>
          <w:szCs w:val="26"/>
        </w:rPr>
        <w:lastRenderedPageBreak/>
        <w:fldChar w:fldCharType="begin"/>
      </w:r>
      <w:r>
        <w:rPr>
          <w:rFonts w:cs="Times New Roman"/>
          <w:b/>
          <w:szCs w:val="26"/>
        </w:rPr>
        <w:instrText xml:space="preserve"> TOC \o "1-5" \u </w:instrText>
      </w:r>
      <w:r>
        <w:rPr>
          <w:rFonts w:cs="Times New Roman"/>
          <w:b/>
          <w:szCs w:val="26"/>
        </w:rPr>
        <w:fldChar w:fldCharType="separate"/>
      </w:r>
      <w:r w:rsidR="00064E41">
        <w:rPr>
          <w:noProof/>
        </w:rPr>
        <w:t>I.</w:t>
      </w:r>
      <w:r w:rsidR="00064E41">
        <w:rPr>
          <w:rFonts w:asciiTheme="minorHAnsi" w:eastAsiaTheme="minorEastAsia" w:hAnsiTheme="minorHAnsi"/>
          <w:noProof/>
          <w:sz w:val="22"/>
        </w:rPr>
        <w:tab/>
      </w:r>
      <w:r w:rsidR="00064E41">
        <w:rPr>
          <w:noProof/>
        </w:rPr>
        <w:t>INTRODUCTION</w:t>
      </w:r>
      <w:r w:rsidR="00064E41">
        <w:rPr>
          <w:noProof/>
        </w:rPr>
        <w:tab/>
      </w:r>
      <w:r w:rsidR="00064E41">
        <w:rPr>
          <w:noProof/>
        </w:rPr>
        <w:fldChar w:fldCharType="begin"/>
      </w:r>
      <w:r w:rsidR="00064E41">
        <w:rPr>
          <w:noProof/>
        </w:rPr>
        <w:instrText xml:space="preserve"> PAGEREF _Toc335806083 \h </w:instrText>
      </w:r>
      <w:r w:rsidR="00064E41">
        <w:rPr>
          <w:noProof/>
        </w:rPr>
      </w:r>
      <w:r w:rsidR="00064E41">
        <w:rPr>
          <w:noProof/>
        </w:rPr>
        <w:fldChar w:fldCharType="separate"/>
      </w:r>
      <w:r w:rsidR="004473DE">
        <w:rPr>
          <w:noProof/>
        </w:rPr>
        <w:t>1</w:t>
      </w:r>
      <w:r w:rsidR="00064E41">
        <w:rPr>
          <w:noProof/>
        </w:rPr>
        <w:fldChar w:fldCharType="end"/>
      </w:r>
    </w:p>
    <w:p w:rsidR="00064E41" w:rsidRDefault="00064E41">
      <w:pPr>
        <w:pStyle w:val="TOC1"/>
        <w:rPr>
          <w:rFonts w:asciiTheme="minorHAnsi" w:eastAsiaTheme="minorEastAsia" w:hAnsiTheme="minorHAnsi"/>
          <w:noProof/>
          <w:sz w:val="22"/>
        </w:rPr>
      </w:pPr>
      <w:r>
        <w:rPr>
          <w:noProof/>
        </w:rPr>
        <w:t>II.</w:t>
      </w:r>
      <w:r>
        <w:rPr>
          <w:rFonts w:asciiTheme="minorHAnsi" w:eastAsiaTheme="minorEastAsia" w:hAnsiTheme="minorHAnsi"/>
          <w:noProof/>
          <w:sz w:val="22"/>
        </w:rPr>
        <w:tab/>
      </w:r>
      <w:r>
        <w:rPr>
          <w:noProof/>
        </w:rPr>
        <w:t>STAFF’S SUR-REPLY COMMENTS</w:t>
      </w:r>
      <w:r>
        <w:rPr>
          <w:noProof/>
        </w:rPr>
        <w:tab/>
      </w:r>
      <w:r>
        <w:rPr>
          <w:noProof/>
        </w:rPr>
        <w:fldChar w:fldCharType="begin"/>
      </w:r>
      <w:r>
        <w:rPr>
          <w:noProof/>
        </w:rPr>
        <w:instrText xml:space="preserve"> PAGEREF _Toc335806084 \h </w:instrText>
      </w:r>
      <w:r>
        <w:rPr>
          <w:noProof/>
        </w:rPr>
      </w:r>
      <w:r>
        <w:rPr>
          <w:noProof/>
        </w:rPr>
        <w:fldChar w:fldCharType="separate"/>
      </w:r>
      <w:r w:rsidR="004473DE">
        <w:rPr>
          <w:noProof/>
        </w:rPr>
        <w:t>3</w:t>
      </w:r>
      <w:r>
        <w:rPr>
          <w:noProof/>
        </w:rPr>
        <w:fldChar w:fldCharType="end"/>
      </w:r>
    </w:p>
    <w:p w:rsidR="00064E41" w:rsidRDefault="00064E41">
      <w:pPr>
        <w:pStyle w:val="TOC2"/>
        <w:tabs>
          <w:tab w:val="left" w:pos="1440"/>
        </w:tabs>
        <w:rPr>
          <w:rFonts w:asciiTheme="minorHAnsi" w:eastAsiaTheme="minorEastAsia" w:hAnsiTheme="minorHAnsi"/>
          <w:noProof/>
          <w:sz w:val="22"/>
        </w:rPr>
      </w:pPr>
      <w:r>
        <w:rPr>
          <w:noProof/>
        </w:rPr>
        <w:t>A.</w:t>
      </w:r>
      <w:r>
        <w:rPr>
          <w:rFonts w:asciiTheme="minorHAnsi" w:eastAsiaTheme="minorEastAsia" w:hAnsiTheme="minorHAnsi"/>
          <w:noProof/>
          <w:sz w:val="22"/>
        </w:rPr>
        <w:tab/>
      </w:r>
      <w:r>
        <w:rPr>
          <w:noProof/>
        </w:rPr>
        <w:t>DEO agrees that the total monthly deferred regulatory asset should be net of any incremental revenue and, to avoid ambiguity, the determination of incremental revenue should be clearly defined in this proceeding.</w:t>
      </w:r>
      <w:r>
        <w:rPr>
          <w:noProof/>
        </w:rPr>
        <w:tab/>
      </w:r>
      <w:r>
        <w:rPr>
          <w:noProof/>
        </w:rPr>
        <w:fldChar w:fldCharType="begin"/>
      </w:r>
      <w:r>
        <w:rPr>
          <w:noProof/>
        </w:rPr>
        <w:instrText xml:space="preserve"> PAGEREF _Toc335806085 \h </w:instrText>
      </w:r>
      <w:r>
        <w:rPr>
          <w:noProof/>
        </w:rPr>
      </w:r>
      <w:r>
        <w:rPr>
          <w:noProof/>
        </w:rPr>
        <w:fldChar w:fldCharType="separate"/>
      </w:r>
      <w:r w:rsidR="004473DE">
        <w:rPr>
          <w:noProof/>
        </w:rPr>
        <w:t>3</w:t>
      </w:r>
      <w:r>
        <w:rPr>
          <w:noProof/>
        </w:rPr>
        <w:fldChar w:fldCharType="end"/>
      </w:r>
    </w:p>
    <w:p w:rsidR="00064E41" w:rsidRDefault="00064E41">
      <w:pPr>
        <w:pStyle w:val="TOC2"/>
        <w:tabs>
          <w:tab w:val="left" w:pos="1440"/>
        </w:tabs>
        <w:rPr>
          <w:rFonts w:asciiTheme="minorHAnsi" w:eastAsiaTheme="minorEastAsia" w:hAnsiTheme="minorHAnsi"/>
          <w:noProof/>
          <w:sz w:val="22"/>
        </w:rPr>
      </w:pPr>
      <w:r>
        <w:rPr>
          <w:noProof/>
        </w:rPr>
        <w:t>B.</w:t>
      </w:r>
      <w:r>
        <w:rPr>
          <w:rFonts w:asciiTheme="minorHAnsi" w:eastAsiaTheme="minorEastAsia" w:hAnsiTheme="minorHAnsi"/>
          <w:noProof/>
          <w:sz w:val="22"/>
        </w:rPr>
        <w:tab/>
      </w:r>
      <w:r>
        <w:rPr>
          <w:noProof/>
        </w:rPr>
        <w:t>DEO agrees that the monthly deferred PISCC should be based on net plant.  In addition, DEO’s proposed formula for calculating the PISCC is consistent with the formula adopted by the Commission in the Columbia CEP Order.</w:t>
      </w:r>
      <w:r>
        <w:rPr>
          <w:noProof/>
        </w:rPr>
        <w:tab/>
      </w:r>
      <w:r>
        <w:rPr>
          <w:noProof/>
        </w:rPr>
        <w:fldChar w:fldCharType="begin"/>
      </w:r>
      <w:r>
        <w:rPr>
          <w:noProof/>
        </w:rPr>
        <w:instrText xml:space="preserve"> PAGEREF _Toc335806086 \h </w:instrText>
      </w:r>
      <w:r>
        <w:rPr>
          <w:noProof/>
        </w:rPr>
      </w:r>
      <w:r>
        <w:rPr>
          <w:noProof/>
        </w:rPr>
        <w:fldChar w:fldCharType="separate"/>
      </w:r>
      <w:r w:rsidR="004473DE">
        <w:rPr>
          <w:noProof/>
        </w:rPr>
        <w:t>6</w:t>
      </w:r>
      <w:r>
        <w:rPr>
          <w:noProof/>
        </w:rPr>
        <w:fldChar w:fldCharType="end"/>
      </w:r>
    </w:p>
    <w:p w:rsidR="00064E41" w:rsidRDefault="00064E41">
      <w:pPr>
        <w:pStyle w:val="TOC2"/>
        <w:tabs>
          <w:tab w:val="left" w:pos="1440"/>
        </w:tabs>
        <w:rPr>
          <w:rFonts w:asciiTheme="minorHAnsi" w:eastAsiaTheme="minorEastAsia" w:hAnsiTheme="minorHAnsi"/>
          <w:noProof/>
          <w:sz w:val="22"/>
        </w:rPr>
      </w:pPr>
      <w:r>
        <w:rPr>
          <w:noProof/>
        </w:rPr>
        <w:t>C.</w:t>
      </w:r>
      <w:r>
        <w:rPr>
          <w:rFonts w:asciiTheme="minorHAnsi" w:eastAsiaTheme="minorEastAsia" w:hAnsiTheme="minorHAnsi"/>
          <w:noProof/>
          <w:sz w:val="22"/>
        </w:rPr>
        <w:tab/>
      </w:r>
      <w:r>
        <w:rPr>
          <w:noProof/>
        </w:rPr>
        <w:t>The Staff agrees with DEO’s proposed formulas for calculating the monthly deferral of depreciation and property tax expenses.</w:t>
      </w:r>
      <w:r>
        <w:rPr>
          <w:noProof/>
        </w:rPr>
        <w:tab/>
      </w:r>
      <w:r>
        <w:rPr>
          <w:noProof/>
        </w:rPr>
        <w:fldChar w:fldCharType="begin"/>
      </w:r>
      <w:r>
        <w:rPr>
          <w:noProof/>
        </w:rPr>
        <w:instrText xml:space="preserve"> PAGEREF _Toc335806087 \h </w:instrText>
      </w:r>
      <w:r>
        <w:rPr>
          <w:noProof/>
        </w:rPr>
      </w:r>
      <w:r>
        <w:rPr>
          <w:noProof/>
        </w:rPr>
        <w:fldChar w:fldCharType="separate"/>
      </w:r>
      <w:r w:rsidR="004473DE">
        <w:rPr>
          <w:noProof/>
        </w:rPr>
        <w:t>7</w:t>
      </w:r>
      <w:r>
        <w:rPr>
          <w:noProof/>
        </w:rPr>
        <w:fldChar w:fldCharType="end"/>
      </w:r>
    </w:p>
    <w:p w:rsidR="00064E41" w:rsidRDefault="00064E41">
      <w:pPr>
        <w:pStyle w:val="TOC2"/>
        <w:tabs>
          <w:tab w:val="left" w:pos="1440"/>
        </w:tabs>
        <w:rPr>
          <w:rFonts w:asciiTheme="minorHAnsi" w:eastAsiaTheme="minorEastAsia" w:hAnsiTheme="minorHAnsi"/>
          <w:noProof/>
          <w:sz w:val="22"/>
        </w:rPr>
      </w:pPr>
      <w:r>
        <w:rPr>
          <w:noProof/>
        </w:rPr>
        <w:t>D.</w:t>
      </w:r>
      <w:r>
        <w:rPr>
          <w:rFonts w:asciiTheme="minorHAnsi" w:eastAsiaTheme="minorEastAsia" w:hAnsiTheme="minorHAnsi"/>
          <w:noProof/>
          <w:sz w:val="22"/>
        </w:rPr>
        <w:tab/>
      </w:r>
      <w:r>
        <w:rPr>
          <w:noProof/>
        </w:rPr>
        <w:t>DEO and the Staff agree that DEO should make annual informational filings.</w:t>
      </w:r>
      <w:r>
        <w:rPr>
          <w:noProof/>
        </w:rPr>
        <w:tab/>
      </w:r>
      <w:r>
        <w:rPr>
          <w:noProof/>
        </w:rPr>
        <w:fldChar w:fldCharType="begin"/>
      </w:r>
      <w:r>
        <w:rPr>
          <w:noProof/>
        </w:rPr>
        <w:instrText xml:space="preserve"> PAGEREF _Toc335806088 \h </w:instrText>
      </w:r>
      <w:r>
        <w:rPr>
          <w:noProof/>
        </w:rPr>
      </w:r>
      <w:r>
        <w:rPr>
          <w:noProof/>
        </w:rPr>
        <w:fldChar w:fldCharType="separate"/>
      </w:r>
      <w:r w:rsidR="004473DE">
        <w:rPr>
          <w:noProof/>
        </w:rPr>
        <w:t>8</w:t>
      </w:r>
      <w:r>
        <w:rPr>
          <w:noProof/>
        </w:rPr>
        <w:fldChar w:fldCharType="end"/>
      </w:r>
    </w:p>
    <w:p w:rsidR="00064E41" w:rsidRDefault="00064E41">
      <w:pPr>
        <w:pStyle w:val="TOC2"/>
        <w:tabs>
          <w:tab w:val="left" w:pos="1440"/>
        </w:tabs>
        <w:rPr>
          <w:rFonts w:asciiTheme="minorHAnsi" w:eastAsiaTheme="minorEastAsia" w:hAnsiTheme="minorHAnsi"/>
          <w:noProof/>
          <w:sz w:val="22"/>
        </w:rPr>
      </w:pPr>
      <w:r>
        <w:rPr>
          <w:noProof/>
        </w:rPr>
        <w:t>E.</w:t>
      </w:r>
      <w:r>
        <w:rPr>
          <w:rFonts w:asciiTheme="minorHAnsi" w:eastAsiaTheme="minorEastAsia" w:hAnsiTheme="minorHAnsi"/>
          <w:noProof/>
          <w:sz w:val="22"/>
        </w:rPr>
        <w:tab/>
      </w:r>
      <w:r>
        <w:rPr>
          <w:noProof/>
        </w:rPr>
        <w:t>DEO and Staff agree on a cap on CAPEX deferrals.</w:t>
      </w:r>
      <w:r>
        <w:rPr>
          <w:noProof/>
        </w:rPr>
        <w:tab/>
      </w:r>
      <w:r>
        <w:rPr>
          <w:noProof/>
        </w:rPr>
        <w:fldChar w:fldCharType="begin"/>
      </w:r>
      <w:r>
        <w:rPr>
          <w:noProof/>
        </w:rPr>
        <w:instrText xml:space="preserve"> PAGEREF _Toc335806089 \h </w:instrText>
      </w:r>
      <w:r>
        <w:rPr>
          <w:noProof/>
        </w:rPr>
      </w:r>
      <w:r>
        <w:rPr>
          <w:noProof/>
        </w:rPr>
        <w:fldChar w:fldCharType="separate"/>
      </w:r>
      <w:r w:rsidR="004473DE">
        <w:rPr>
          <w:noProof/>
        </w:rPr>
        <w:t>9</w:t>
      </w:r>
      <w:r>
        <w:rPr>
          <w:noProof/>
        </w:rPr>
        <w:fldChar w:fldCharType="end"/>
      </w:r>
    </w:p>
    <w:p w:rsidR="00064E41" w:rsidRDefault="00064E41">
      <w:pPr>
        <w:pStyle w:val="TOC2"/>
        <w:tabs>
          <w:tab w:val="left" w:pos="1440"/>
        </w:tabs>
        <w:rPr>
          <w:rFonts w:asciiTheme="minorHAnsi" w:eastAsiaTheme="minorEastAsia" w:hAnsiTheme="minorHAnsi"/>
          <w:noProof/>
          <w:sz w:val="22"/>
        </w:rPr>
      </w:pPr>
      <w:r>
        <w:rPr>
          <w:noProof/>
        </w:rPr>
        <w:t>F.</w:t>
      </w:r>
      <w:r>
        <w:rPr>
          <w:rFonts w:asciiTheme="minorHAnsi" w:eastAsiaTheme="minorEastAsia" w:hAnsiTheme="minorHAnsi"/>
          <w:noProof/>
          <w:sz w:val="22"/>
        </w:rPr>
        <w:tab/>
      </w:r>
      <w:r>
        <w:rPr>
          <w:noProof/>
        </w:rPr>
        <w:t>The Commission should establish the specific formulas that should be used to calculate DEO’s total monthly CAPEX deferrals.</w:t>
      </w:r>
      <w:r>
        <w:rPr>
          <w:noProof/>
        </w:rPr>
        <w:tab/>
      </w:r>
      <w:r>
        <w:rPr>
          <w:noProof/>
        </w:rPr>
        <w:fldChar w:fldCharType="begin"/>
      </w:r>
      <w:r>
        <w:rPr>
          <w:noProof/>
        </w:rPr>
        <w:instrText xml:space="preserve"> PAGEREF _Toc335806090 \h </w:instrText>
      </w:r>
      <w:r>
        <w:rPr>
          <w:noProof/>
        </w:rPr>
      </w:r>
      <w:r>
        <w:rPr>
          <w:noProof/>
        </w:rPr>
        <w:fldChar w:fldCharType="separate"/>
      </w:r>
      <w:r w:rsidR="004473DE">
        <w:rPr>
          <w:noProof/>
        </w:rPr>
        <w:t>10</w:t>
      </w:r>
      <w:r>
        <w:rPr>
          <w:noProof/>
        </w:rPr>
        <w:fldChar w:fldCharType="end"/>
      </w:r>
    </w:p>
    <w:p w:rsidR="00064E41" w:rsidRDefault="00064E41">
      <w:pPr>
        <w:pStyle w:val="TOC1"/>
        <w:rPr>
          <w:rFonts w:asciiTheme="minorHAnsi" w:eastAsiaTheme="minorEastAsia" w:hAnsiTheme="minorHAnsi"/>
          <w:noProof/>
          <w:sz w:val="22"/>
        </w:rPr>
      </w:pPr>
      <w:r>
        <w:rPr>
          <w:noProof/>
        </w:rPr>
        <w:t>III.</w:t>
      </w:r>
      <w:r>
        <w:rPr>
          <w:rFonts w:asciiTheme="minorHAnsi" w:eastAsiaTheme="minorEastAsia" w:hAnsiTheme="minorHAnsi"/>
          <w:noProof/>
          <w:sz w:val="22"/>
        </w:rPr>
        <w:tab/>
      </w:r>
      <w:r>
        <w:rPr>
          <w:noProof/>
        </w:rPr>
        <w:t>CONCLUSION</w:t>
      </w:r>
      <w:r>
        <w:rPr>
          <w:noProof/>
        </w:rPr>
        <w:tab/>
      </w:r>
      <w:r>
        <w:rPr>
          <w:noProof/>
        </w:rPr>
        <w:fldChar w:fldCharType="begin"/>
      </w:r>
      <w:r>
        <w:rPr>
          <w:noProof/>
        </w:rPr>
        <w:instrText xml:space="preserve"> PAGEREF _Toc335806091 \h </w:instrText>
      </w:r>
      <w:r>
        <w:rPr>
          <w:noProof/>
        </w:rPr>
      </w:r>
      <w:r>
        <w:rPr>
          <w:noProof/>
        </w:rPr>
        <w:fldChar w:fldCharType="separate"/>
      </w:r>
      <w:r w:rsidR="004473DE">
        <w:rPr>
          <w:noProof/>
        </w:rPr>
        <w:t>13</w:t>
      </w:r>
      <w:r>
        <w:rPr>
          <w:noProof/>
        </w:rPr>
        <w:fldChar w:fldCharType="end"/>
      </w:r>
    </w:p>
    <w:p w:rsidR="00064E41" w:rsidRDefault="00064E41">
      <w:pPr>
        <w:pStyle w:val="TOC1"/>
        <w:rPr>
          <w:rFonts w:asciiTheme="minorHAnsi" w:eastAsiaTheme="minorEastAsia" w:hAnsiTheme="minorHAnsi"/>
          <w:noProof/>
          <w:sz w:val="22"/>
        </w:rPr>
      </w:pPr>
      <w:r>
        <w:rPr>
          <w:noProof/>
        </w:rPr>
        <w:t>IV.</w:t>
      </w:r>
      <w:r>
        <w:rPr>
          <w:rFonts w:asciiTheme="minorHAnsi" w:eastAsiaTheme="minorEastAsia" w:hAnsiTheme="minorHAnsi"/>
          <w:noProof/>
          <w:sz w:val="22"/>
        </w:rPr>
        <w:tab/>
      </w:r>
      <w:r>
        <w:rPr>
          <w:noProof/>
        </w:rPr>
        <w:t>CERTIFICATE OF SERVICE</w:t>
      </w:r>
      <w:r>
        <w:rPr>
          <w:noProof/>
        </w:rPr>
        <w:tab/>
      </w:r>
      <w:r>
        <w:rPr>
          <w:noProof/>
        </w:rPr>
        <w:fldChar w:fldCharType="begin"/>
      </w:r>
      <w:r>
        <w:rPr>
          <w:noProof/>
        </w:rPr>
        <w:instrText xml:space="preserve"> PAGEREF _Toc335806092 \h </w:instrText>
      </w:r>
      <w:r>
        <w:rPr>
          <w:noProof/>
        </w:rPr>
      </w:r>
      <w:r>
        <w:rPr>
          <w:noProof/>
        </w:rPr>
        <w:fldChar w:fldCharType="separate"/>
      </w:r>
      <w:r w:rsidR="004473DE">
        <w:rPr>
          <w:noProof/>
        </w:rPr>
        <w:t>14</w:t>
      </w:r>
      <w:r>
        <w:rPr>
          <w:noProof/>
        </w:rPr>
        <w:fldChar w:fldCharType="end"/>
      </w:r>
    </w:p>
    <w:p w:rsidR="000E73B4" w:rsidRDefault="0059084C">
      <w:pPr>
        <w:rPr>
          <w:rFonts w:cs="Times New Roman"/>
          <w:b/>
          <w:sz w:val="26"/>
          <w:szCs w:val="26"/>
        </w:rPr>
        <w:sectPr w:rsidR="000E73B4" w:rsidSect="002B0FA8">
          <w:headerReference w:type="default" r:id="rId12"/>
          <w:footerReference w:type="default" r:id="rId13"/>
          <w:pgSz w:w="12240" w:h="15840"/>
          <w:pgMar w:top="1440" w:right="1440" w:bottom="1440" w:left="1440" w:header="720" w:footer="720" w:gutter="0"/>
          <w:pgNumType w:fmt="lowerRoman" w:start="1"/>
          <w:cols w:space="720"/>
          <w:docGrid w:linePitch="360"/>
        </w:sectPr>
      </w:pPr>
      <w:r>
        <w:rPr>
          <w:rFonts w:cs="Times New Roman"/>
          <w:b/>
          <w:sz w:val="26"/>
          <w:szCs w:val="26"/>
        </w:rPr>
        <w:fldChar w:fldCharType="end"/>
      </w:r>
    </w:p>
    <w:p w:rsidR="000E73B4" w:rsidRDefault="000E73B4" w:rsidP="000E73B4">
      <w:pPr>
        <w:spacing w:after="0" w:line="240" w:lineRule="auto"/>
        <w:jc w:val="center"/>
        <w:rPr>
          <w:rFonts w:cs="Times New Roman"/>
          <w:b/>
          <w:sz w:val="26"/>
          <w:szCs w:val="26"/>
        </w:rPr>
      </w:pPr>
      <w:r w:rsidRPr="00CD42AF">
        <w:rPr>
          <w:rFonts w:cs="Times New Roman"/>
          <w:b/>
          <w:sz w:val="26"/>
          <w:szCs w:val="26"/>
        </w:rPr>
        <w:lastRenderedPageBreak/>
        <w:t>BEFORE</w:t>
      </w:r>
    </w:p>
    <w:p w:rsidR="000E73B4" w:rsidRPr="00CD42AF" w:rsidRDefault="000E73B4" w:rsidP="000E73B4">
      <w:pPr>
        <w:spacing w:after="0" w:line="240" w:lineRule="auto"/>
        <w:jc w:val="center"/>
        <w:rPr>
          <w:rFonts w:cs="Times New Roman"/>
          <w:b/>
          <w:sz w:val="26"/>
          <w:szCs w:val="26"/>
        </w:rPr>
      </w:pPr>
      <w:r w:rsidRPr="00CD42AF">
        <w:rPr>
          <w:rFonts w:cs="Times New Roman"/>
          <w:b/>
          <w:sz w:val="26"/>
          <w:szCs w:val="26"/>
        </w:rPr>
        <w:t>THE PUBLIC UTILITIES COMMISSION OF OHIO</w:t>
      </w:r>
    </w:p>
    <w:p w:rsidR="000E73B4" w:rsidRPr="00CD42AF" w:rsidRDefault="000E73B4" w:rsidP="000E73B4">
      <w:pPr>
        <w:rPr>
          <w:rFonts w:cs="Times New Roman"/>
          <w:sz w:val="26"/>
          <w:szCs w:val="26"/>
        </w:rPr>
      </w:pPr>
    </w:p>
    <w:tbl>
      <w:tblPr>
        <w:tblW w:w="8762" w:type="dxa"/>
        <w:tblLook w:val="04A0" w:firstRow="1" w:lastRow="0" w:firstColumn="1" w:lastColumn="0" w:noHBand="0" w:noVBand="1"/>
      </w:tblPr>
      <w:tblGrid>
        <w:gridCol w:w="4518"/>
        <w:gridCol w:w="360"/>
        <w:gridCol w:w="3884"/>
      </w:tblGrid>
      <w:tr w:rsidR="000E73B4" w:rsidRPr="00CD42AF" w:rsidTr="00915BED">
        <w:tc>
          <w:tcPr>
            <w:tcW w:w="4518" w:type="dxa"/>
            <w:shd w:val="clear" w:color="auto" w:fill="auto"/>
          </w:tcPr>
          <w:p w:rsidR="000E73B4" w:rsidRPr="0036080A" w:rsidRDefault="000E73B4" w:rsidP="007907BA">
            <w:pPr>
              <w:spacing w:after="0" w:line="240" w:lineRule="auto"/>
              <w:rPr>
                <w:rFonts w:cs="Times New Roman"/>
                <w:sz w:val="26"/>
                <w:szCs w:val="26"/>
              </w:rPr>
            </w:pPr>
            <w:r w:rsidRPr="0036080A">
              <w:rPr>
                <w:rFonts w:cs="Times New Roman"/>
                <w:sz w:val="26"/>
                <w:szCs w:val="26"/>
              </w:rPr>
              <w:t xml:space="preserve">In the Matter of the Application of </w:t>
            </w:r>
            <w:r w:rsidR="007907BA" w:rsidRPr="007907BA">
              <w:rPr>
                <w:rFonts w:cs="Times New Roman"/>
                <w:sz w:val="26"/>
                <w:szCs w:val="26"/>
              </w:rPr>
              <w:t xml:space="preserve">The East Ohio Gas Company d/b/a Dominion East Ohio </w:t>
            </w:r>
            <w:r w:rsidRPr="0036080A">
              <w:rPr>
                <w:rFonts w:cs="Times New Roman"/>
                <w:sz w:val="26"/>
                <w:szCs w:val="26"/>
              </w:rPr>
              <w:t>for A</w:t>
            </w:r>
            <w:r>
              <w:rPr>
                <w:rFonts w:cs="Times New Roman"/>
                <w:sz w:val="26"/>
                <w:szCs w:val="26"/>
              </w:rPr>
              <w:t xml:space="preserve">pproval </w:t>
            </w:r>
            <w:r w:rsidRPr="0036080A">
              <w:rPr>
                <w:rFonts w:cs="Times New Roman"/>
                <w:sz w:val="26"/>
                <w:szCs w:val="26"/>
              </w:rPr>
              <w:t xml:space="preserve">to </w:t>
            </w:r>
            <w:r>
              <w:rPr>
                <w:rFonts w:cs="Times New Roman"/>
                <w:sz w:val="26"/>
                <w:szCs w:val="26"/>
              </w:rPr>
              <w:t xml:space="preserve">Implement a Capital Expenditure </w:t>
            </w:r>
            <w:r w:rsidRPr="0036080A">
              <w:rPr>
                <w:rFonts w:cs="Times New Roman"/>
                <w:sz w:val="26"/>
                <w:szCs w:val="26"/>
              </w:rPr>
              <w:t>Program.</w:t>
            </w:r>
          </w:p>
        </w:tc>
        <w:tc>
          <w:tcPr>
            <w:tcW w:w="360" w:type="dxa"/>
          </w:tcPr>
          <w:p w:rsidR="000E73B4" w:rsidRPr="00CD42AF" w:rsidRDefault="00A27CEE" w:rsidP="00915BED">
            <w:pPr>
              <w:rPr>
                <w:rFonts w:cs="Times New Roman"/>
                <w:sz w:val="26"/>
                <w:szCs w:val="26"/>
              </w:rPr>
            </w:pPr>
            <w:r>
              <w:rPr>
                <w:rFonts w:cs="Times New Roman"/>
                <w:sz w:val="26"/>
                <w:szCs w:val="26"/>
              </w:rPr>
              <w:t>:</w:t>
            </w:r>
            <w:r>
              <w:rPr>
                <w:rFonts w:cs="Times New Roman"/>
                <w:sz w:val="26"/>
                <w:szCs w:val="26"/>
              </w:rPr>
              <w:br/>
              <w:t>:</w:t>
            </w:r>
            <w:r>
              <w:rPr>
                <w:rFonts w:cs="Times New Roman"/>
                <w:sz w:val="26"/>
                <w:szCs w:val="26"/>
              </w:rPr>
              <w:br/>
              <w:t>:</w:t>
            </w:r>
            <w:r>
              <w:rPr>
                <w:rFonts w:cs="Times New Roman"/>
                <w:sz w:val="26"/>
                <w:szCs w:val="26"/>
              </w:rPr>
              <w:br/>
              <w:t>:</w:t>
            </w:r>
          </w:p>
        </w:tc>
        <w:tc>
          <w:tcPr>
            <w:tcW w:w="3884" w:type="dxa"/>
            <w:shd w:val="clear" w:color="auto" w:fill="auto"/>
          </w:tcPr>
          <w:p w:rsidR="000E73B4" w:rsidRPr="00CD42AF" w:rsidRDefault="000E73B4" w:rsidP="00915BED">
            <w:pPr>
              <w:spacing w:after="0" w:line="240" w:lineRule="auto"/>
              <w:ind w:left="-288"/>
              <w:rPr>
                <w:rFonts w:cs="Times New Roman"/>
                <w:sz w:val="26"/>
                <w:szCs w:val="26"/>
              </w:rPr>
            </w:pPr>
          </w:p>
          <w:p w:rsidR="000E73B4" w:rsidRPr="00CD42AF" w:rsidRDefault="000E73B4" w:rsidP="007907BA">
            <w:pPr>
              <w:spacing w:after="0" w:line="240" w:lineRule="auto"/>
              <w:ind w:left="72"/>
              <w:rPr>
                <w:rFonts w:cs="Times New Roman"/>
                <w:sz w:val="26"/>
                <w:szCs w:val="26"/>
              </w:rPr>
            </w:pPr>
            <w:r w:rsidRPr="00CD42AF">
              <w:rPr>
                <w:rFonts w:cs="Times New Roman"/>
                <w:sz w:val="26"/>
                <w:szCs w:val="26"/>
              </w:rPr>
              <w:t xml:space="preserve">Case No. </w:t>
            </w:r>
            <w:r>
              <w:rPr>
                <w:rFonts w:cs="Times New Roman"/>
                <w:sz w:val="26"/>
                <w:szCs w:val="26"/>
              </w:rPr>
              <w:t>11-</w:t>
            </w:r>
            <w:r w:rsidR="007907BA">
              <w:rPr>
                <w:rFonts w:cs="Times New Roman"/>
                <w:sz w:val="26"/>
                <w:szCs w:val="26"/>
              </w:rPr>
              <w:t>6024</w:t>
            </w:r>
            <w:r w:rsidRPr="00CD42AF">
              <w:rPr>
                <w:rFonts w:cs="Times New Roman"/>
                <w:sz w:val="26"/>
                <w:szCs w:val="26"/>
              </w:rPr>
              <w:t>-GA-</w:t>
            </w:r>
            <w:r>
              <w:rPr>
                <w:rFonts w:cs="Times New Roman"/>
                <w:sz w:val="26"/>
                <w:szCs w:val="26"/>
              </w:rPr>
              <w:t>UNC</w:t>
            </w:r>
          </w:p>
        </w:tc>
      </w:tr>
      <w:tr w:rsidR="000E73B4" w:rsidRPr="00CD42AF" w:rsidTr="00915BED">
        <w:tc>
          <w:tcPr>
            <w:tcW w:w="4518" w:type="dxa"/>
            <w:shd w:val="clear" w:color="auto" w:fill="auto"/>
          </w:tcPr>
          <w:p w:rsidR="000E73B4" w:rsidRPr="0036080A" w:rsidRDefault="000E73B4" w:rsidP="007907BA">
            <w:pPr>
              <w:spacing w:after="0" w:line="240" w:lineRule="auto"/>
              <w:rPr>
                <w:rFonts w:cs="Times New Roman"/>
                <w:sz w:val="26"/>
                <w:szCs w:val="26"/>
              </w:rPr>
            </w:pPr>
            <w:r w:rsidRPr="0036080A">
              <w:rPr>
                <w:rFonts w:cs="Times New Roman"/>
                <w:sz w:val="26"/>
                <w:szCs w:val="26"/>
              </w:rPr>
              <w:t xml:space="preserve">In the Matter of the Application of </w:t>
            </w:r>
            <w:r w:rsidR="007907BA">
              <w:rPr>
                <w:rFonts w:cs="Times New Roman"/>
                <w:sz w:val="26"/>
                <w:szCs w:val="26"/>
              </w:rPr>
              <w:t xml:space="preserve">The East Ohio Gas Company d/b/a Dominion East Ohio </w:t>
            </w:r>
            <w:r w:rsidRPr="0036080A">
              <w:rPr>
                <w:rFonts w:cs="Times New Roman"/>
                <w:sz w:val="26"/>
                <w:szCs w:val="26"/>
              </w:rPr>
              <w:t>for A</w:t>
            </w:r>
            <w:r>
              <w:rPr>
                <w:rFonts w:cs="Times New Roman"/>
                <w:sz w:val="26"/>
                <w:szCs w:val="26"/>
              </w:rPr>
              <w:t xml:space="preserve">pproval </w:t>
            </w:r>
            <w:r w:rsidRPr="0036080A">
              <w:rPr>
                <w:rFonts w:cs="Times New Roman"/>
                <w:sz w:val="26"/>
                <w:szCs w:val="26"/>
              </w:rPr>
              <w:t xml:space="preserve">to </w:t>
            </w:r>
            <w:r>
              <w:rPr>
                <w:rFonts w:cs="Times New Roman"/>
                <w:sz w:val="26"/>
                <w:szCs w:val="26"/>
              </w:rPr>
              <w:t>Change Accounting Methods</w:t>
            </w:r>
            <w:r w:rsidRPr="0036080A">
              <w:rPr>
                <w:rFonts w:cs="Times New Roman"/>
                <w:sz w:val="26"/>
                <w:szCs w:val="26"/>
              </w:rPr>
              <w:t>.</w:t>
            </w:r>
          </w:p>
        </w:tc>
        <w:tc>
          <w:tcPr>
            <w:tcW w:w="360" w:type="dxa"/>
          </w:tcPr>
          <w:p w:rsidR="000E73B4" w:rsidRPr="00CD42AF" w:rsidRDefault="000E73B4" w:rsidP="00915BED">
            <w:pPr>
              <w:spacing w:after="0" w:line="240" w:lineRule="auto"/>
              <w:rPr>
                <w:rFonts w:cs="Times New Roman"/>
                <w:sz w:val="26"/>
                <w:szCs w:val="26"/>
              </w:rPr>
            </w:pPr>
            <w:r w:rsidRPr="00CD42AF">
              <w:rPr>
                <w:rFonts w:cs="Times New Roman"/>
                <w:sz w:val="26"/>
                <w:szCs w:val="26"/>
              </w:rPr>
              <w:t>:</w:t>
            </w:r>
            <w:r>
              <w:rPr>
                <w:rFonts w:cs="Times New Roman"/>
                <w:sz w:val="26"/>
                <w:szCs w:val="26"/>
              </w:rPr>
              <w:br/>
              <w:t>:</w:t>
            </w:r>
            <w:r>
              <w:rPr>
                <w:rFonts w:cs="Times New Roman"/>
                <w:sz w:val="26"/>
                <w:szCs w:val="26"/>
              </w:rPr>
              <w:br/>
              <w:t>:</w:t>
            </w:r>
            <w:r>
              <w:rPr>
                <w:rFonts w:cs="Times New Roman"/>
                <w:sz w:val="26"/>
                <w:szCs w:val="26"/>
              </w:rPr>
              <w:br/>
              <w:t>:</w:t>
            </w:r>
          </w:p>
        </w:tc>
        <w:tc>
          <w:tcPr>
            <w:tcW w:w="3884" w:type="dxa"/>
            <w:shd w:val="clear" w:color="auto" w:fill="auto"/>
          </w:tcPr>
          <w:p w:rsidR="000E73B4" w:rsidRPr="00CD42AF" w:rsidRDefault="000E73B4" w:rsidP="00915BED">
            <w:pPr>
              <w:spacing w:after="0" w:line="240" w:lineRule="auto"/>
              <w:ind w:left="-288"/>
              <w:rPr>
                <w:rFonts w:cs="Times New Roman"/>
                <w:sz w:val="26"/>
                <w:szCs w:val="26"/>
              </w:rPr>
            </w:pPr>
          </w:p>
          <w:p w:rsidR="000E73B4" w:rsidRPr="00CD42AF" w:rsidRDefault="000E73B4" w:rsidP="007907BA">
            <w:pPr>
              <w:spacing w:after="0" w:line="240" w:lineRule="auto"/>
              <w:ind w:left="72"/>
              <w:rPr>
                <w:rFonts w:cs="Times New Roman"/>
                <w:sz w:val="26"/>
                <w:szCs w:val="26"/>
              </w:rPr>
            </w:pPr>
            <w:r w:rsidRPr="000E73B4">
              <w:rPr>
                <w:rFonts w:cs="Times New Roman"/>
                <w:sz w:val="26"/>
                <w:szCs w:val="26"/>
              </w:rPr>
              <w:t>Case No. 11-</w:t>
            </w:r>
            <w:r w:rsidR="007907BA">
              <w:rPr>
                <w:rFonts w:cs="Times New Roman"/>
                <w:sz w:val="26"/>
                <w:szCs w:val="26"/>
              </w:rPr>
              <w:t>6025</w:t>
            </w:r>
            <w:r w:rsidRPr="000E73B4">
              <w:rPr>
                <w:rFonts w:cs="Times New Roman"/>
                <w:sz w:val="26"/>
                <w:szCs w:val="26"/>
              </w:rPr>
              <w:t>-GA-AAM</w:t>
            </w:r>
          </w:p>
        </w:tc>
      </w:tr>
    </w:tbl>
    <w:p w:rsidR="00915BED"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rsidR="009434D3" w:rsidRPr="009C4948" w:rsidRDefault="009434D3" w:rsidP="009434D3">
      <w:pPr>
        <w:spacing w:after="0" w:line="240" w:lineRule="auto"/>
        <w:jc w:val="center"/>
        <w:rPr>
          <w:rFonts w:cs="Times New Roman"/>
          <w:b/>
          <w:sz w:val="28"/>
          <w:szCs w:val="28"/>
        </w:rPr>
      </w:pPr>
      <w:r>
        <w:rPr>
          <w:rFonts w:cs="Times New Roman"/>
          <w:b/>
          <w:sz w:val="28"/>
          <w:szCs w:val="28"/>
        </w:rPr>
        <w:t>SUR-REPLY COMMENTS</w:t>
      </w:r>
      <w:r w:rsidRPr="009C4948">
        <w:rPr>
          <w:rFonts w:cs="Times New Roman"/>
          <w:b/>
          <w:sz w:val="28"/>
          <w:szCs w:val="28"/>
        </w:rPr>
        <w:t xml:space="preserve"> </w:t>
      </w:r>
    </w:p>
    <w:p w:rsidR="009434D3" w:rsidRPr="00CD42AF" w:rsidRDefault="009434D3" w:rsidP="009434D3">
      <w:pPr>
        <w:spacing w:after="0" w:line="240" w:lineRule="auto"/>
        <w:jc w:val="center"/>
        <w:rPr>
          <w:rFonts w:cs="Times New Roman"/>
          <w:b/>
          <w:sz w:val="26"/>
          <w:szCs w:val="26"/>
        </w:rPr>
      </w:pPr>
      <w:r w:rsidRPr="00CD42AF">
        <w:rPr>
          <w:rFonts w:cs="Times New Roman"/>
          <w:b/>
          <w:sz w:val="26"/>
          <w:szCs w:val="26"/>
        </w:rPr>
        <w:t>SUBMITTED ON BEHALF OF</w:t>
      </w:r>
      <w:r>
        <w:rPr>
          <w:rFonts w:cs="Times New Roman"/>
          <w:b/>
          <w:sz w:val="26"/>
          <w:szCs w:val="26"/>
        </w:rPr>
        <w:t xml:space="preserve"> THE STAFF OF</w:t>
      </w:r>
    </w:p>
    <w:p w:rsidR="009434D3" w:rsidRPr="00CD42AF" w:rsidRDefault="009434D3" w:rsidP="009434D3">
      <w:pPr>
        <w:spacing w:after="0" w:line="240" w:lineRule="auto"/>
        <w:jc w:val="center"/>
        <w:rPr>
          <w:rFonts w:cs="Times New Roman"/>
          <w:sz w:val="26"/>
          <w:szCs w:val="26"/>
        </w:rPr>
      </w:pPr>
      <w:r w:rsidRPr="00CD42AF">
        <w:rPr>
          <w:rFonts w:cs="Times New Roman"/>
          <w:b/>
          <w:sz w:val="26"/>
          <w:szCs w:val="26"/>
        </w:rPr>
        <w:t>THE PUBLIC UTILITIES COMMISSION OF OHIO</w:t>
      </w:r>
    </w:p>
    <w:p w:rsidR="00915BED"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rsidR="002E4BCE" w:rsidRPr="00CD42AF" w:rsidRDefault="005E0D99" w:rsidP="00230969">
      <w:pPr>
        <w:pStyle w:val="Heading1"/>
      </w:pPr>
      <w:bookmarkStart w:id="0" w:name="_Toc335806083"/>
      <w:r w:rsidRPr="00CD42AF">
        <w:t>INTRODUCTION</w:t>
      </w:r>
      <w:bookmarkEnd w:id="0"/>
      <w:r w:rsidR="00E42447" w:rsidRPr="00CD42AF">
        <w:t xml:space="preserve"> </w:t>
      </w:r>
    </w:p>
    <w:p w:rsidR="009434D3" w:rsidRPr="008C19D3" w:rsidRDefault="009434D3" w:rsidP="009434D3">
      <w:pPr>
        <w:pStyle w:val="textstyle"/>
      </w:pPr>
      <w:r>
        <w:tab/>
      </w:r>
      <w:r w:rsidRPr="008C19D3">
        <w:t xml:space="preserve">On </w:t>
      </w:r>
      <w:r w:rsidR="007907BA">
        <w:t>December</w:t>
      </w:r>
      <w:r w:rsidR="007907BA" w:rsidRPr="008C19D3">
        <w:t xml:space="preserve"> </w:t>
      </w:r>
      <w:r w:rsidR="007907BA">
        <w:t>2</w:t>
      </w:r>
      <w:r w:rsidRPr="008C19D3">
        <w:t xml:space="preserve">3, 2011, </w:t>
      </w:r>
      <w:r w:rsidR="007907BA">
        <w:t>The East Ohio Gas Company d/b/a Dominion East Ohio</w:t>
      </w:r>
      <w:r w:rsidR="00B42171">
        <w:t xml:space="preserve"> (</w:t>
      </w:r>
      <w:r w:rsidR="007907BA">
        <w:t>DEO</w:t>
      </w:r>
      <w:r w:rsidRPr="008C19D3">
        <w:t xml:space="preserve"> or </w:t>
      </w:r>
      <w:r w:rsidR="00B42171">
        <w:t>Company</w:t>
      </w:r>
      <w:r w:rsidRPr="008C19D3">
        <w:t>) filed an Application for Authority to Implement a Capital Expendi</w:t>
      </w:r>
      <w:r w:rsidR="00B42171">
        <w:softHyphen/>
      </w:r>
      <w:r w:rsidRPr="008C19D3">
        <w:t>ture Program and for Approval</w:t>
      </w:r>
      <w:r w:rsidR="00B42171">
        <w:t xml:space="preserve"> to Change Accounting Methods (Application</w:t>
      </w:r>
      <w:r w:rsidRPr="008C19D3">
        <w:t>) in the dockets listed above</w:t>
      </w:r>
      <w:r w:rsidR="00050A19" w:rsidRPr="008C19D3">
        <w:t xml:space="preserve">.  </w:t>
      </w:r>
      <w:r w:rsidR="0068407C">
        <w:t>DEO</w:t>
      </w:r>
      <w:r w:rsidR="0068407C" w:rsidRPr="008C19D3">
        <w:t xml:space="preserve"> </w:t>
      </w:r>
      <w:r w:rsidRPr="008C19D3">
        <w:t xml:space="preserve">is seeking the Commission’s approval to create a capital expenditure </w:t>
      </w:r>
      <w:r w:rsidR="00B42171">
        <w:t>(</w:t>
      </w:r>
      <w:proofErr w:type="spellStart"/>
      <w:r w:rsidR="00B42171">
        <w:t>CAPEX</w:t>
      </w:r>
      <w:proofErr w:type="spellEnd"/>
      <w:r w:rsidR="00A32E21">
        <w:t xml:space="preserve">) </w:t>
      </w:r>
      <w:r w:rsidRPr="008C19D3">
        <w:t>program for the period from October 1, 2011, through December 31, 2012, and associ</w:t>
      </w:r>
      <w:r w:rsidR="00F452D9">
        <w:softHyphen/>
      </w:r>
      <w:r w:rsidRPr="008C19D3">
        <w:t xml:space="preserve">ated deferral authority </w:t>
      </w:r>
      <w:r w:rsidR="007907BA">
        <w:t>covering the same time period</w:t>
      </w:r>
      <w:r w:rsidRPr="008C19D3">
        <w:t>.</w:t>
      </w:r>
    </w:p>
    <w:p w:rsidR="00795F49" w:rsidRDefault="009434D3" w:rsidP="009434D3">
      <w:pPr>
        <w:pStyle w:val="textstyle"/>
      </w:pPr>
      <w:r>
        <w:tab/>
      </w:r>
      <w:r w:rsidRPr="009434D3">
        <w:t xml:space="preserve">On January </w:t>
      </w:r>
      <w:r w:rsidR="007907BA" w:rsidRPr="009434D3">
        <w:t>2</w:t>
      </w:r>
      <w:r w:rsidR="007907BA">
        <w:t>3</w:t>
      </w:r>
      <w:r w:rsidRPr="009434D3">
        <w:t>, 2012, the Office o</w:t>
      </w:r>
      <w:r w:rsidR="00B42171">
        <w:t>f the Ohio Consumers’ Counsel (OCC</w:t>
      </w:r>
      <w:r w:rsidRPr="009434D3">
        <w:t xml:space="preserve">) </w:t>
      </w:r>
      <w:r w:rsidR="007907BA">
        <w:t>filed a motion for intervention, and on</w:t>
      </w:r>
      <w:r w:rsidRPr="009434D3">
        <w:t xml:space="preserve"> </w:t>
      </w:r>
      <w:r w:rsidR="007907BA">
        <w:t>March 2</w:t>
      </w:r>
      <w:r w:rsidRPr="009434D3">
        <w:t xml:space="preserve">, 2012, </w:t>
      </w:r>
      <w:r w:rsidR="007907BA">
        <w:t xml:space="preserve">the </w:t>
      </w:r>
      <w:r w:rsidRPr="009434D3">
        <w:t>Commission Staff</w:t>
      </w:r>
      <w:r w:rsidR="007907BA">
        <w:t xml:space="preserve"> and</w:t>
      </w:r>
      <w:r w:rsidRPr="009434D3">
        <w:t xml:space="preserve"> OCC filed ini</w:t>
      </w:r>
      <w:r w:rsidR="00B42171">
        <w:softHyphen/>
      </w:r>
      <w:r w:rsidRPr="009434D3">
        <w:t>tial Comments</w:t>
      </w:r>
      <w:r w:rsidR="007907BA">
        <w:t xml:space="preserve"> on DEO’s Application</w:t>
      </w:r>
      <w:r w:rsidRPr="009434D3">
        <w:t>.</w:t>
      </w:r>
      <w:r>
        <w:t xml:space="preserve"> </w:t>
      </w:r>
      <w:r w:rsidRPr="009434D3">
        <w:t xml:space="preserve"> On </w:t>
      </w:r>
      <w:r w:rsidR="007907BA">
        <w:t>March 22</w:t>
      </w:r>
      <w:r w:rsidRPr="009434D3">
        <w:t>, 2012, the OCC</w:t>
      </w:r>
      <w:r w:rsidR="007907BA">
        <w:t xml:space="preserve"> and DEO </w:t>
      </w:r>
      <w:r w:rsidRPr="009434D3">
        <w:t>filed reply Comments.</w:t>
      </w:r>
      <w:r>
        <w:t xml:space="preserve"> </w:t>
      </w:r>
      <w:r w:rsidRPr="009434D3">
        <w:t xml:space="preserve"> On </w:t>
      </w:r>
      <w:r w:rsidR="0068407C">
        <w:t>August 3</w:t>
      </w:r>
      <w:r w:rsidRPr="009434D3">
        <w:t xml:space="preserve">, 2012, </w:t>
      </w:r>
      <w:r w:rsidR="0068407C">
        <w:t>DEO</w:t>
      </w:r>
      <w:r w:rsidR="0068407C" w:rsidRPr="009434D3">
        <w:t xml:space="preserve"> </w:t>
      </w:r>
      <w:r w:rsidRPr="009434D3">
        <w:t>filed Supplemental Reply Comments.</w:t>
      </w:r>
      <w:r w:rsidR="0068407C">
        <w:t xml:space="preserve">  </w:t>
      </w:r>
    </w:p>
    <w:p w:rsidR="009434D3" w:rsidRPr="009434D3" w:rsidRDefault="0068407C" w:rsidP="008260AA">
      <w:pPr>
        <w:pStyle w:val="textstyle"/>
        <w:ind w:firstLine="720"/>
      </w:pPr>
      <w:r>
        <w:lastRenderedPageBreak/>
        <w:t>DEO states that it filed the Supplemental Reply Comments “[</w:t>
      </w:r>
      <w:r w:rsidR="001078DB">
        <w:t>U</w:t>
      </w:r>
      <w:r>
        <w:t>]pon further con</w:t>
      </w:r>
      <w:r w:rsidR="00B42171">
        <w:softHyphen/>
      </w:r>
      <w:r>
        <w:t xml:space="preserve">sideration of the </w:t>
      </w:r>
      <w:r w:rsidR="001078DB">
        <w:t>comments</w:t>
      </w:r>
      <w:r>
        <w:t xml:space="preserve"> of Staff and OCC, as well as consideration of Supplemen</w:t>
      </w:r>
      <w:r w:rsidR="00223C1A">
        <w:t xml:space="preserve">tal Reply Comments filed by </w:t>
      </w:r>
      <w:r w:rsidR="001078DB">
        <w:t>Columbia Gas of Ohio, Inc., in Case No. 11-5351-GA-UNC”</w:t>
      </w:r>
      <w:r w:rsidR="001078DB">
        <w:rPr>
          <w:rStyle w:val="FootnoteReference"/>
        </w:rPr>
        <w:footnoteReference w:id="1"/>
      </w:r>
      <w:r w:rsidR="001078DB">
        <w:t>and to “clarify its position.”</w:t>
      </w:r>
      <w:r w:rsidR="001078DB">
        <w:rPr>
          <w:rStyle w:val="FootnoteReference"/>
        </w:rPr>
        <w:footnoteReference w:id="2"/>
      </w:r>
      <w:r w:rsidR="00795F49">
        <w:t xml:space="preserve">  In the </w:t>
      </w:r>
      <w:r w:rsidR="00404D8D">
        <w:t xml:space="preserve">Supplemental </w:t>
      </w:r>
      <w:r w:rsidR="00795F49">
        <w:t xml:space="preserve">Comments, DEO indicates that it is willing to accede to various proposals and positions contained in the Staff Comments </w:t>
      </w:r>
      <w:r w:rsidR="00A32E21">
        <w:t xml:space="preserve">filed in this case </w:t>
      </w:r>
      <w:r w:rsidR="00795F49">
        <w:t xml:space="preserve">in order to resolve </w:t>
      </w:r>
      <w:r w:rsidR="00DD1926">
        <w:t xml:space="preserve">the </w:t>
      </w:r>
      <w:r w:rsidR="00795F49">
        <w:t>case and move forward on its proposed CAPEX program.  DEO also proposes several specific formulas for calculating the incremental revenue, post in-service carrying costs</w:t>
      </w:r>
      <w:r w:rsidR="00B42171">
        <w:t xml:space="preserve"> (PISCC</w:t>
      </w:r>
      <w:r w:rsidR="00A32E21">
        <w:t>)</w:t>
      </w:r>
      <w:r w:rsidR="00795F49">
        <w:t xml:space="preserve">, deferred depreciation expense and deferred property tax expense associated with its CAPEX program.  </w:t>
      </w:r>
      <w:r w:rsidR="009434D3" w:rsidRPr="009434D3">
        <w:t xml:space="preserve">The Staff reviewed </w:t>
      </w:r>
      <w:r w:rsidR="00795F49">
        <w:t>DEO</w:t>
      </w:r>
      <w:r w:rsidR="00795F49" w:rsidRPr="009434D3">
        <w:t xml:space="preserve">’s </w:t>
      </w:r>
      <w:r w:rsidR="009434D3" w:rsidRPr="009434D3">
        <w:t xml:space="preserve">Supplemental Reply Comments </w:t>
      </w:r>
      <w:r w:rsidR="00795F49">
        <w:t xml:space="preserve">and proposed formulas </w:t>
      </w:r>
      <w:r w:rsidR="003322B6">
        <w:t>in light of the Commis</w:t>
      </w:r>
      <w:r w:rsidR="00B42171">
        <w:softHyphen/>
      </w:r>
      <w:r w:rsidR="003322B6">
        <w:t xml:space="preserve">sion’s recent </w:t>
      </w:r>
      <w:r w:rsidR="00663308">
        <w:t xml:space="preserve">Finding </w:t>
      </w:r>
      <w:r w:rsidR="003322B6">
        <w:t xml:space="preserve">and Order in Case No. </w:t>
      </w:r>
      <w:r w:rsidR="003322B6" w:rsidRPr="003322B6">
        <w:t>11-5351-GA-UNC</w:t>
      </w:r>
      <w:r w:rsidR="003322B6">
        <w:t xml:space="preserve"> (Columbia CEP Order)</w:t>
      </w:r>
      <w:r w:rsidR="003322B6" w:rsidRPr="003322B6">
        <w:t xml:space="preserve"> </w:t>
      </w:r>
      <w:r w:rsidR="003322B6">
        <w:t xml:space="preserve">where the Commission adopted specific formulas for calculating </w:t>
      </w:r>
      <w:r w:rsidR="003322B6" w:rsidRPr="003322B6">
        <w:t xml:space="preserve">the incremental revenue, </w:t>
      </w:r>
      <w:r w:rsidR="00A32E21">
        <w:t>PISCC</w:t>
      </w:r>
      <w:r w:rsidR="003322B6" w:rsidRPr="003322B6">
        <w:t xml:space="preserve">, deferred depreciation expense and deferred property tax expense associated with </w:t>
      </w:r>
      <w:r w:rsidR="003322B6">
        <w:t>Columbia Gas of Ohio, Inc.’s (Columbia) very similar proposed capital expenditure pro</w:t>
      </w:r>
      <w:r w:rsidR="00B42171">
        <w:softHyphen/>
      </w:r>
      <w:r w:rsidR="003322B6">
        <w:t>gram</w:t>
      </w:r>
      <w:r w:rsidR="00A32E21">
        <w:t xml:space="preserve"> </w:t>
      </w:r>
      <w:r w:rsidR="009267F4">
        <w:t>as well as t</w:t>
      </w:r>
      <w:r w:rsidR="00BE515C">
        <w:t>he Staff</w:t>
      </w:r>
      <w:r w:rsidR="009267F4">
        <w:t>’s</w:t>
      </w:r>
      <w:r w:rsidR="00BE515C">
        <w:t xml:space="preserve"> position on the various topics and  proposed formulas.  The Staff’s comments and recommendations by topic are</w:t>
      </w:r>
      <w:r w:rsidR="00FE4ED3">
        <w:t>a are</w:t>
      </w:r>
      <w:r w:rsidR="00BE515C">
        <w:t xml:space="preserve"> set forth below.</w:t>
      </w:r>
      <w:r w:rsidR="009434D3" w:rsidRPr="009434D3">
        <w:t xml:space="preserve">   </w:t>
      </w:r>
    </w:p>
    <w:p w:rsidR="008E753D" w:rsidRPr="00CD42AF" w:rsidRDefault="00C33368" w:rsidP="00230969">
      <w:pPr>
        <w:pStyle w:val="Heading1"/>
      </w:pPr>
      <w:bookmarkStart w:id="1" w:name="_Toc335806084"/>
      <w:r>
        <w:lastRenderedPageBreak/>
        <w:t xml:space="preserve">STAFF’S </w:t>
      </w:r>
      <w:r w:rsidR="009434D3">
        <w:t>SUR-</w:t>
      </w:r>
      <w:r>
        <w:t>REPLY COMMENTS</w:t>
      </w:r>
      <w:bookmarkEnd w:id="1"/>
      <w:r w:rsidR="00385947">
        <w:t xml:space="preserve"> </w:t>
      </w:r>
    </w:p>
    <w:p w:rsidR="00A346EC" w:rsidRPr="00792A39" w:rsidRDefault="00476DAF" w:rsidP="00792A39">
      <w:pPr>
        <w:pStyle w:val="Heading2"/>
      </w:pPr>
      <w:bookmarkStart w:id="2" w:name="_Toc317248249"/>
      <w:bookmarkStart w:id="3" w:name="_Toc335806085"/>
      <w:r>
        <w:t xml:space="preserve">DEO </w:t>
      </w:r>
      <w:r w:rsidR="00457618" w:rsidRPr="00792A39">
        <w:t>agree</w:t>
      </w:r>
      <w:r>
        <w:t>s</w:t>
      </w:r>
      <w:r w:rsidR="009434D3" w:rsidRPr="00792A39">
        <w:t xml:space="preserve"> that the total monthly deferred regula</w:t>
      </w:r>
      <w:r w:rsidR="00B42171">
        <w:softHyphen/>
      </w:r>
      <w:r w:rsidR="009434D3" w:rsidRPr="00792A39">
        <w:t>tory asset should be net of any incre</w:t>
      </w:r>
      <w:r w:rsidR="00F452D9">
        <w:softHyphen/>
      </w:r>
      <w:r w:rsidR="009434D3" w:rsidRPr="00792A39">
        <w:t>mental revenue</w:t>
      </w:r>
      <w:r w:rsidR="00233972">
        <w:t xml:space="preserve"> and,</w:t>
      </w:r>
      <w:r w:rsidR="00792A39">
        <w:t xml:space="preserve"> to avoid am</w:t>
      </w:r>
      <w:r w:rsidR="009434D3" w:rsidRPr="00792A39">
        <w:t>biguity</w:t>
      </w:r>
      <w:r w:rsidR="00792A39">
        <w:t>,</w:t>
      </w:r>
      <w:r w:rsidR="009434D3" w:rsidRPr="00792A39">
        <w:t xml:space="preserve"> the deter</w:t>
      </w:r>
      <w:r w:rsidR="00457618">
        <w:softHyphen/>
      </w:r>
      <w:r w:rsidR="009434D3" w:rsidRPr="00792A39">
        <w:t>mina</w:t>
      </w:r>
      <w:r w:rsidR="00F452D9">
        <w:softHyphen/>
      </w:r>
      <w:r w:rsidR="009434D3" w:rsidRPr="00792A39">
        <w:t>tion of incre</w:t>
      </w:r>
      <w:r w:rsidR="00B42171">
        <w:softHyphen/>
      </w:r>
      <w:r w:rsidR="009434D3" w:rsidRPr="00792A39">
        <w:t>mental revenue should be clearly defined</w:t>
      </w:r>
      <w:r w:rsidR="0034104D">
        <w:t xml:space="preserve"> in this pro</w:t>
      </w:r>
      <w:r w:rsidR="00B42171">
        <w:softHyphen/>
      </w:r>
      <w:r w:rsidR="0034104D">
        <w:t>ceeding</w:t>
      </w:r>
      <w:r w:rsidR="005A5444" w:rsidRPr="00792A39">
        <w:t>.</w:t>
      </w:r>
      <w:bookmarkEnd w:id="2"/>
      <w:bookmarkEnd w:id="3"/>
    </w:p>
    <w:p w:rsidR="006550D1" w:rsidRDefault="00792A39" w:rsidP="00792A39">
      <w:pPr>
        <w:pStyle w:val="textstyle"/>
      </w:pPr>
      <w:bookmarkStart w:id="4" w:name="_Toc317248250"/>
      <w:r>
        <w:tab/>
      </w:r>
      <w:r w:rsidR="009434D3" w:rsidRPr="008C19D3">
        <w:t xml:space="preserve">In its </w:t>
      </w:r>
      <w:r w:rsidR="009434D3">
        <w:t>S</w:t>
      </w:r>
      <w:r w:rsidR="009434D3" w:rsidRPr="008C19D3">
        <w:t xml:space="preserve">upplemental </w:t>
      </w:r>
      <w:r w:rsidR="009434D3">
        <w:t>Reply Comments</w:t>
      </w:r>
      <w:r w:rsidR="009434D3" w:rsidRPr="008C19D3">
        <w:t xml:space="preserve"> </w:t>
      </w:r>
      <w:r w:rsidR="009434D3">
        <w:t xml:space="preserve">responding to the </w:t>
      </w:r>
      <w:r w:rsidR="009434D3" w:rsidRPr="008C19D3">
        <w:t>Staff</w:t>
      </w:r>
      <w:r w:rsidR="009434D3">
        <w:t>’s</w:t>
      </w:r>
      <w:r w:rsidR="009434D3" w:rsidRPr="008C19D3">
        <w:t xml:space="preserve"> </w:t>
      </w:r>
      <w:r w:rsidR="00322587">
        <w:t xml:space="preserve">initial </w:t>
      </w:r>
      <w:r w:rsidR="009434D3">
        <w:t>C</w:t>
      </w:r>
      <w:r w:rsidR="009434D3" w:rsidRPr="008C19D3">
        <w:t xml:space="preserve">omments, </w:t>
      </w:r>
      <w:r w:rsidR="00476DAF">
        <w:t>DEO</w:t>
      </w:r>
      <w:r w:rsidR="00322587">
        <w:t xml:space="preserve"> states that it</w:t>
      </w:r>
      <w:r w:rsidR="00476DAF">
        <w:t xml:space="preserve"> “continues to agree with Staff that ‘revenue that is incremental to the revenue provided by the rates that were set in its last base rate case’ may be recognized”.</w:t>
      </w:r>
      <w:r w:rsidR="00476DAF">
        <w:rPr>
          <w:rStyle w:val="FootnoteReference"/>
        </w:rPr>
        <w:footnoteReference w:id="3"/>
      </w:r>
      <w:r w:rsidR="009434D3">
        <w:t xml:space="preserve">  </w:t>
      </w:r>
      <w:r w:rsidR="00476DAF">
        <w:t xml:space="preserve">However, some clarification is needed regarding the calculation of </w:t>
      </w:r>
      <w:r w:rsidR="00FE4ED3">
        <w:t>incremental</w:t>
      </w:r>
      <w:r w:rsidR="00476DAF">
        <w:t xml:space="preserve"> revenues.  As Staff </w:t>
      </w:r>
      <w:r w:rsidR="00FE4ED3">
        <w:t>noted</w:t>
      </w:r>
      <w:r w:rsidR="00476DAF">
        <w:t xml:space="preserve"> in its initial Comments, “DEO has multiple sources of revenue that may or may not be related to or impacted by CAPEX Program investments”</w:t>
      </w:r>
      <w:r w:rsidR="00476DAF">
        <w:rPr>
          <w:rStyle w:val="FootnoteReference"/>
        </w:rPr>
        <w:footnoteReference w:id="4"/>
      </w:r>
      <w:r w:rsidR="006550D1">
        <w:t xml:space="preserve">  </w:t>
      </w:r>
      <w:r w:rsidR="00FE4ED3">
        <w:t>T</w:t>
      </w:r>
      <w:r w:rsidR="00FE4ED3" w:rsidRPr="00FE4ED3">
        <w:t>he Staff believes that the Com</w:t>
      </w:r>
      <w:r w:rsidR="00FE4ED3" w:rsidRPr="00FE4ED3">
        <w:softHyphen/>
        <w:t>mission should state as a principle that any revenue directly associated with CEP invest</w:t>
      </w:r>
      <w:r w:rsidR="00FE4ED3" w:rsidRPr="00FE4ED3">
        <w:softHyphen/>
        <w:t>ments under a CEP should be used to offset the requested CEP deferrals.</w:t>
      </w:r>
      <w:r w:rsidR="00FE4ED3">
        <w:t xml:space="preserve">  Towards this end, the </w:t>
      </w:r>
      <w:r w:rsidR="00476DAF">
        <w:t>Staff has categorized</w:t>
      </w:r>
      <w:r w:rsidR="006550D1">
        <w:t xml:space="preserve"> </w:t>
      </w:r>
      <w:r w:rsidR="00FE4ED3">
        <w:t xml:space="preserve">potential incremental </w:t>
      </w:r>
      <w:r w:rsidR="006550D1">
        <w:t>revenue sources</w:t>
      </w:r>
      <w:r w:rsidR="00476DAF">
        <w:t xml:space="preserve"> as</w:t>
      </w:r>
      <w:r w:rsidR="00B42171">
        <w:t xml:space="preserve"> straight fixed-variable rate (SFV</w:t>
      </w:r>
      <w:r w:rsidR="00476DAF">
        <w:t>) customers, non-SFV customers, and other revenues</w:t>
      </w:r>
      <w:r w:rsidR="006550D1">
        <w:t xml:space="preserve"> and addresses </w:t>
      </w:r>
      <w:r w:rsidR="00FE4ED3">
        <w:t>each category</w:t>
      </w:r>
      <w:r w:rsidR="006550D1">
        <w:t xml:space="preserve"> below</w:t>
      </w:r>
      <w:r w:rsidR="00476DAF">
        <w:t>.</w:t>
      </w:r>
    </w:p>
    <w:p w:rsidR="006550D1" w:rsidRDefault="006550D1" w:rsidP="008260AA">
      <w:pPr>
        <w:pStyle w:val="textstyle"/>
        <w:ind w:firstLine="720"/>
      </w:pPr>
      <w:r>
        <w:t>In the Columbia CEP Order, the Commission adopted Staff’s formula for calcu</w:t>
      </w:r>
      <w:r w:rsidR="00B42171">
        <w:softHyphen/>
      </w:r>
      <w:r>
        <w:t>lating incremental revenues generated from SFV customers for the purposes of offsetting the total monthly deferral.  This is done by taking the number of customer bills for a spe</w:t>
      </w:r>
      <w:r w:rsidR="00B42171">
        <w:softHyphen/>
      </w:r>
      <w:r>
        <w:lastRenderedPageBreak/>
        <w:t xml:space="preserve">cific class of customers included in the baseline (from the most recent base rate case) and subtracting  it from the actual number of customer bills, then multiplying that number by the cost portion of the SFV rate for that class.  Revenue generated </w:t>
      </w:r>
      <w:r w:rsidR="009267F4">
        <w:t xml:space="preserve">in this manner </w:t>
      </w:r>
      <w:r>
        <w:t xml:space="preserve">would </w:t>
      </w:r>
      <w:r w:rsidR="009267F4">
        <w:t xml:space="preserve">then </w:t>
      </w:r>
      <w:r>
        <w:t xml:space="preserve">be subtracted from the deferral amounts.  If the number of current customer bills is less than the baseline, no adjustment is made.  Likewise, if the revenue calculation exceeds the </w:t>
      </w:r>
      <w:proofErr w:type="spellStart"/>
      <w:r>
        <w:t>PISCC</w:t>
      </w:r>
      <w:proofErr w:type="spellEnd"/>
      <w:r>
        <w:t xml:space="preserve">, property tax expense, and depreciation expense to be deferred for that period, DEO simply would not record a deferral rather than recording a negative amount.  Staff would like to make it clear that the actual number of customer bills is not adjusted to reflect only those customer bills identified by the Company as directly attributable to the </w:t>
      </w:r>
      <w:proofErr w:type="spellStart"/>
      <w:r>
        <w:t>CAPEX</w:t>
      </w:r>
      <w:proofErr w:type="spellEnd"/>
      <w:r>
        <w:t xml:space="preserve"> program.  As pointed out in its comments in Columbia’s pro</w:t>
      </w:r>
      <w:r w:rsidR="00B42171">
        <w:softHyphen/>
      </w:r>
      <w:r>
        <w:t>ceeding, if a company’s “customer count increases or it obtains other sources of revenue that were not considered in the [last base rate case]…, then the company would realize earnings above its allowable rate of return.”</w:t>
      </w:r>
      <w:r>
        <w:rPr>
          <w:rStyle w:val="FootnoteReference"/>
        </w:rPr>
        <w:footnoteReference w:id="5"/>
      </w:r>
      <w:r>
        <w:t xml:space="preserve">  DEO</w:t>
      </w:r>
      <w:r w:rsidR="00FE4ED3">
        <w:t>, however,</w:t>
      </w:r>
      <w:r>
        <w:t xml:space="preserve"> raises a valid point regard</w:t>
      </w:r>
      <w:r w:rsidR="00B42171">
        <w:softHyphen/>
      </w:r>
      <w:r>
        <w:t>ing the calculation of the revenues in this manner on a monthly basis.  Staff agrees with DEO that a “calendar year calculation of incremental revenues</w:t>
      </w:r>
      <w:r w:rsidR="00F375FB">
        <w:t>”</w:t>
      </w:r>
      <w:r w:rsidR="00F375FB">
        <w:rPr>
          <w:rStyle w:val="FootnoteReference"/>
        </w:rPr>
        <w:footnoteReference w:id="6"/>
      </w:r>
      <w:r w:rsidR="00F375FB">
        <w:t xml:space="preserve"> is appropriate given a calendar year baseline and recognizes that calculating this number annually still produces the desired result.</w:t>
      </w:r>
    </w:p>
    <w:p w:rsidR="00F375FB" w:rsidRDefault="00F375FB" w:rsidP="008260AA">
      <w:pPr>
        <w:pStyle w:val="textstyle"/>
        <w:ind w:firstLine="720"/>
      </w:pPr>
      <w:r>
        <w:lastRenderedPageBreak/>
        <w:t>The Commission also adopted Staff’s methodology for calculating incremental revenues for non-SFV customers in Columbia’s CEP Order.  For non-</w:t>
      </w:r>
      <w:proofErr w:type="spellStart"/>
      <w:r>
        <w:t>SFV</w:t>
      </w:r>
      <w:proofErr w:type="spellEnd"/>
      <w:r>
        <w:t xml:space="preserve"> customers directly attributable to program investment, the Company should calculate incremental revenue by multiplying total usage by the cost portion of that customer’s rate and sub</w:t>
      </w:r>
      <w:r w:rsidR="00B42171">
        <w:softHyphen/>
      </w:r>
      <w:r>
        <w:t>tracting it from the deferral for that period.  The Commission found this method to be reasonable and consistent with the calculation of incremental revenue for SFV customers.</w:t>
      </w:r>
    </w:p>
    <w:p w:rsidR="00F375FB" w:rsidRDefault="00F375FB" w:rsidP="008260AA">
      <w:pPr>
        <w:pStyle w:val="textstyle"/>
        <w:ind w:firstLine="720"/>
      </w:pPr>
      <w:r>
        <w:t xml:space="preserve">Staff acknowledges that, given the complexity of DEO’s operations along with the ever-changing environment in which it operates, it would be difficult </w:t>
      </w:r>
      <w:r w:rsidR="007B3BA9">
        <w:t>(</w:t>
      </w:r>
      <w:r>
        <w:t>if not impossible</w:t>
      </w:r>
      <w:r w:rsidR="007B3BA9">
        <w:t>)</w:t>
      </w:r>
      <w:r>
        <w:t xml:space="preserve"> to account for every conceivable current and future revenue stream at </w:t>
      </w:r>
      <w:r w:rsidR="007B3BA9">
        <w:t xml:space="preserve">any particular </w:t>
      </w:r>
      <w:r>
        <w:t xml:space="preserve">moment in time.  </w:t>
      </w:r>
      <w:r w:rsidR="007B3BA9">
        <w:t xml:space="preserve">Therefore, </w:t>
      </w:r>
      <w:r>
        <w:t>Staff recommends that any other revenues generated by CAPEX Program investments also be deducted from the deferral.  In addition, Staff rec</w:t>
      </w:r>
      <w:r w:rsidR="00B42171">
        <w:softHyphen/>
      </w:r>
      <w:r>
        <w:t>ommends that the Commission direct DEO to maintain sufficient records to enable the Staff to verify that all revenue generated from CEP investments can be accurately excluded from the total monthly deferral.</w:t>
      </w:r>
    </w:p>
    <w:p w:rsidR="009434D3" w:rsidRDefault="00F375FB" w:rsidP="008260AA">
      <w:pPr>
        <w:pStyle w:val="textstyle"/>
        <w:ind w:firstLine="720"/>
      </w:pPr>
      <w:r>
        <w:t>In sum, t</w:t>
      </w:r>
      <w:r w:rsidR="009434D3">
        <w:t>he Staff’s initial proposal</w:t>
      </w:r>
      <w:r w:rsidR="00322587">
        <w:t xml:space="preserve"> </w:t>
      </w:r>
      <w:r>
        <w:t>did not provide methodologies for the calcula</w:t>
      </w:r>
      <w:r w:rsidR="00B42171">
        <w:softHyphen/>
      </w:r>
      <w:r>
        <w:t>tion of incremental revenues</w:t>
      </w:r>
      <w:r w:rsidR="009434D3">
        <w:t xml:space="preserve">.  The Staff believes that the </w:t>
      </w:r>
      <w:r w:rsidR="0034104D">
        <w:t xml:space="preserve">methodologies set forth herein should be adopted and has provided a specific calculation below.  </w:t>
      </w:r>
    </w:p>
    <w:p w:rsidR="00601DD8" w:rsidRDefault="00957C1A" w:rsidP="00792A39">
      <w:pPr>
        <w:pStyle w:val="Heading2"/>
      </w:pPr>
      <w:bookmarkStart w:id="6" w:name="_Toc335806086"/>
      <w:r>
        <w:lastRenderedPageBreak/>
        <w:t xml:space="preserve">DEO </w:t>
      </w:r>
      <w:r w:rsidR="009434D3">
        <w:t>agree</w:t>
      </w:r>
      <w:r>
        <w:t>s</w:t>
      </w:r>
      <w:r w:rsidR="009434D3">
        <w:t xml:space="preserve"> that the m</w:t>
      </w:r>
      <w:r w:rsidR="009434D3" w:rsidRPr="00D43E18">
        <w:t>onthly deferred PISCC should be based on net plant</w:t>
      </w:r>
      <w:r w:rsidR="007B3BA9">
        <w:t>.  In addition</w:t>
      </w:r>
      <w:r w:rsidR="005D256E">
        <w:t>, DEO’s</w:t>
      </w:r>
      <w:r>
        <w:t xml:space="preserve"> proposed formula for calculating the PISCC is consistent with the formula adopted by the </w:t>
      </w:r>
      <w:r w:rsidR="00322587">
        <w:t>Commission</w:t>
      </w:r>
      <w:r>
        <w:t xml:space="preserve"> in the Columbia CEP Order</w:t>
      </w:r>
      <w:r w:rsidR="005A5444">
        <w:t>.</w:t>
      </w:r>
      <w:bookmarkEnd w:id="4"/>
      <w:bookmarkEnd w:id="6"/>
    </w:p>
    <w:p w:rsidR="00957C1A" w:rsidRDefault="00792A39" w:rsidP="00792A39">
      <w:pPr>
        <w:pStyle w:val="textstyle"/>
      </w:pPr>
      <w:bookmarkStart w:id="7" w:name="_Toc317248251"/>
      <w:r>
        <w:tab/>
      </w:r>
      <w:r w:rsidR="00957C1A">
        <w:t xml:space="preserve">In its Supplemental Reply Comments, DEO states that in an effort to resolve this case it no longer opposes the Staff’s recommendations to calculate </w:t>
      </w:r>
      <w:proofErr w:type="spellStart"/>
      <w:r w:rsidR="00957C1A">
        <w:t>PISCC</w:t>
      </w:r>
      <w:proofErr w:type="spellEnd"/>
      <w:r w:rsidR="00957C1A">
        <w:t xml:space="preserve"> net of accumulated depreciation, retirements, and cost of removal.</w:t>
      </w:r>
      <w:r w:rsidR="00957C1A">
        <w:rPr>
          <w:rStyle w:val="FootnoteReference"/>
        </w:rPr>
        <w:footnoteReference w:id="7"/>
      </w:r>
      <w:r w:rsidR="00957C1A">
        <w:t xml:space="preserve">  As a result, DEO proposes to use the following formula to calculate PISCC on its CAPEX Program investments:</w:t>
      </w:r>
    </w:p>
    <w:p w:rsidR="00957C1A" w:rsidRDefault="00957C1A" w:rsidP="00B42171">
      <w:pPr>
        <w:pStyle w:val="blockquote"/>
      </w:pPr>
      <w:proofErr w:type="gramStart"/>
      <w:r>
        <w:t>[(Previous Month’s Cumulative Gross Plant Additions – (Previous Month’s Cumulative Cost of Removal) – (Previous Month’s Cumulative Retirements) – (</w:t>
      </w:r>
      <w:r w:rsidRPr="00957C1A">
        <w:t>Previous Month’s</w:t>
      </w:r>
      <w:r>
        <w:t xml:space="preserve"> Accumulated Depreciation)] x [Long-term Debt Rate/12].</w:t>
      </w:r>
      <w:proofErr w:type="gramEnd"/>
      <w:r>
        <w:rPr>
          <w:rStyle w:val="FootnoteReference"/>
        </w:rPr>
        <w:footnoteReference w:id="8"/>
      </w:r>
    </w:p>
    <w:p w:rsidR="009434D3" w:rsidRPr="008C19D3" w:rsidRDefault="00957C1A" w:rsidP="00792A39">
      <w:pPr>
        <w:pStyle w:val="textstyle"/>
      </w:pPr>
      <w:r>
        <w:t xml:space="preserve">In addition, like Columbia in its CEP Order case, DEO emphasizes that only retirements associated with the CAPEX Program investments (not all retirements) should be included in the PISCC calculation.  </w:t>
      </w:r>
      <w:r w:rsidR="00DD1926">
        <w:t xml:space="preserve">The Staff agrees that only retirements associated with CAPEX investments should included in the PISCC calculation.  Other retirements will be accounted for elsewhere.  </w:t>
      </w:r>
      <w:r>
        <w:t xml:space="preserve"> </w:t>
      </w:r>
    </w:p>
    <w:p w:rsidR="009434D3" w:rsidRPr="008C19D3" w:rsidRDefault="00792A39" w:rsidP="00792A39">
      <w:pPr>
        <w:pStyle w:val="textstyle"/>
      </w:pPr>
      <w:r>
        <w:tab/>
      </w:r>
      <w:r w:rsidR="00957C1A">
        <w:t>The Staff believes that DEO’s proposed formula for calculating PISCC on the CAPEX Program investments is consistent with the PISCC formula that the Commission adopted for Columbia in the Columbia CE</w:t>
      </w:r>
      <w:r w:rsidR="00FE4ED3">
        <w:t>P</w:t>
      </w:r>
      <w:r w:rsidR="00957C1A">
        <w:t xml:space="preserve"> Order, except that DEO’s proposed formula adds a step to subtract the cumulative cost of removal of existing plant in-service items replaced by CAPEX Program investments</w:t>
      </w:r>
      <w:r w:rsidR="00C42BB8">
        <w:t xml:space="preserve"> and does not specify that DEO will use the </w:t>
      </w:r>
      <w:r w:rsidR="00C42BB8">
        <w:lastRenderedPageBreak/>
        <w:t>one-month lag method for computing PISCC</w:t>
      </w:r>
      <w:r w:rsidR="00957C1A">
        <w:t xml:space="preserve">.  The step </w:t>
      </w:r>
      <w:r w:rsidR="00C42BB8">
        <w:t xml:space="preserve">regarding netting out the cost of removal of existing plant items </w:t>
      </w:r>
      <w:r w:rsidR="00957C1A">
        <w:t xml:space="preserve">was unnecessary in Columbia’s case because </w:t>
      </w:r>
      <w:r w:rsidR="00C42BB8">
        <w:t>Columbia does not traditionally include the cost of removal in its plant addition balance</w:t>
      </w:r>
      <w:r w:rsidR="00FE4ED3">
        <w:t>,</w:t>
      </w:r>
      <w:r w:rsidR="00C42BB8">
        <w:t xml:space="preserve"> whereas DEO does.  As to utilizing the one-month lag method, DEO traditionally uses this method to compute PISCC, but its proposed formula does not say so directly.  The Staff recom</w:t>
      </w:r>
      <w:r w:rsidR="00B42171">
        <w:softHyphen/>
      </w:r>
      <w:r w:rsidR="00C42BB8">
        <w:t>mends that the Commission approve DEO’s proposed PISCC formula with the proviso that it</w:t>
      </w:r>
      <w:r w:rsidR="00FE4ED3">
        <w:t xml:space="preserve"> continue to</w:t>
      </w:r>
      <w:r w:rsidR="00C42BB8">
        <w:t xml:space="preserve"> u</w:t>
      </w:r>
      <w:r w:rsidR="00FE4ED3">
        <w:t>tilize</w:t>
      </w:r>
      <w:r w:rsidR="00C42BB8">
        <w:t xml:space="preserve"> the one-month lag method.  </w:t>
      </w:r>
      <w:r w:rsidR="00957C1A">
        <w:t xml:space="preserve"> </w:t>
      </w:r>
      <w:r w:rsidR="00FE4ED3">
        <w:t>The specific PISCC formula that the Staff is recommending for DEO is set forth below.</w:t>
      </w:r>
    </w:p>
    <w:p w:rsidR="00A346EC" w:rsidRDefault="00FE4ED3" w:rsidP="00792A39">
      <w:pPr>
        <w:pStyle w:val="Heading2"/>
      </w:pPr>
      <w:bookmarkStart w:id="8" w:name="_Toc335806087"/>
      <w:bookmarkEnd w:id="7"/>
      <w:r>
        <w:t xml:space="preserve">The </w:t>
      </w:r>
      <w:r w:rsidR="009434D3">
        <w:t>Staff agree</w:t>
      </w:r>
      <w:r>
        <w:t>s</w:t>
      </w:r>
      <w:r w:rsidR="009434D3">
        <w:t xml:space="preserve"> </w:t>
      </w:r>
      <w:r>
        <w:t xml:space="preserve">with DEO’s proposed formulas </w:t>
      </w:r>
      <w:r w:rsidR="005D256E">
        <w:t>for cal</w:t>
      </w:r>
      <w:r w:rsidR="00B42171">
        <w:softHyphen/>
      </w:r>
      <w:r w:rsidR="005D256E">
        <w:t>culating</w:t>
      </w:r>
      <w:r w:rsidRPr="00D43E18">
        <w:t xml:space="preserve"> </w:t>
      </w:r>
      <w:r>
        <w:t xml:space="preserve">the </w:t>
      </w:r>
      <w:r w:rsidR="009434D3" w:rsidRPr="00D43E18">
        <w:t>monthly deferral of depreciation and property tax expense</w:t>
      </w:r>
      <w:r w:rsidR="009434D3">
        <w:t>s</w:t>
      </w:r>
      <w:r>
        <w:t>.</w:t>
      </w:r>
      <w:bookmarkEnd w:id="8"/>
      <w:r w:rsidR="009434D3" w:rsidRPr="00D43E18">
        <w:t xml:space="preserve"> </w:t>
      </w:r>
    </w:p>
    <w:p w:rsidR="00FE4ED3" w:rsidRDefault="00792A39" w:rsidP="00FE4ED3">
      <w:pPr>
        <w:pStyle w:val="textstyle"/>
      </w:pPr>
      <w:bookmarkStart w:id="9" w:name="_Toc317248254"/>
      <w:r>
        <w:tab/>
      </w:r>
      <w:r w:rsidR="009434D3" w:rsidRPr="008C19D3">
        <w:t xml:space="preserve">In its </w:t>
      </w:r>
      <w:r w:rsidR="00FE4ED3">
        <w:t xml:space="preserve">Supplemental Reply </w:t>
      </w:r>
      <w:r w:rsidR="009434D3">
        <w:t>C</w:t>
      </w:r>
      <w:r w:rsidR="009434D3" w:rsidRPr="008C19D3">
        <w:t xml:space="preserve">omments, </w:t>
      </w:r>
      <w:r w:rsidR="00FE4ED3">
        <w:t xml:space="preserve">DEO proposes specific formulas to </w:t>
      </w:r>
      <w:r w:rsidR="008260AA">
        <w:t>calcu</w:t>
      </w:r>
      <w:r w:rsidR="00B42171">
        <w:softHyphen/>
      </w:r>
      <w:r w:rsidR="008260AA">
        <w:t xml:space="preserve">late </w:t>
      </w:r>
      <w:r w:rsidR="008260AA" w:rsidRPr="008C19D3">
        <w:t>monthly</w:t>
      </w:r>
      <w:r w:rsidR="009434D3" w:rsidRPr="008C19D3">
        <w:t xml:space="preserve"> defer</w:t>
      </w:r>
      <w:r w:rsidR="00F452D9">
        <w:softHyphen/>
      </w:r>
      <w:r w:rsidR="009434D3" w:rsidRPr="008C19D3">
        <w:t xml:space="preserve">rals for </w:t>
      </w:r>
      <w:r w:rsidR="009434D3">
        <w:t xml:space="preserve">the </w:t>
      </w:r>
      <w:r w:rsidR="009434D3" w:rsidRPr="008C19D3">
        <w:t xml:space="preserve">depreciation </w:t>
      </w:r>
      <w:r w:rsidR="009434D3">
        <w:t xml:space="preserve">expense </w:t>
      </w:r>
      <w:r w:rsidR="009434D3" w:rsidRPr="008C19D3">
        <w:t>and property tax</w:t>
      </w:r>
      <w:r w:rsidR="009434D3">
        <w:t xml:space="preserve"> expense associated with </w:t>
      </w:r>
      <w:r w:rsidR="00FE4ED3">
        <w:t xml:space="preserve">its CAPEX </w:t>
      </w:r>
      <w:r w:rsidR="009434D3">
        <w:t>investments</w:t>
      </w:r>
      <w:r w:rsidR="009434D3" w:rsidRPr="008C19D3">
        <w:t xml:space="preserve">.  </w:t>
      </w:r>
      <w:r w:rsidR="00FE4ED3">
        <w:t xml:space="preserve">These formulas (detailed below in the summary of CAPEX deferral calculations), are not identical to the formulas that the Commission adopted in the Columbia CEP Order for the depreciation and property tax expense deferrals, but they are </w:t>
      </w:r>
      <w:r w:rsidR="000A3619">
        <w:t xml:space="preserve">very </w:t>
      </w:r>
      <w:r w:rsidR="00FE4ED3">
        <w:t xml:space="preserve">similar to what was adopted in the Columbia case and are consistent with the formulas that DEO uses in its annual pipeline infrastructure replacement rider cases.  For purposes of this case, the Staff </w:t>
      </w:r>
      <w:r w:rsidR="000A3619">
        <w:t xml:space="preserve">does not object to the formulas and </w:t>
      </w:r>
      <w:r w:rsidR="00FE4ED3">
        <w:t>recommends that the Commission adopt DEO’s proposed formulas for calculating the monthly depre</w:t>
      </w:r>
      <w:r w:rsidR="00B42171">
        <w:softHyphen/>
      </w:r>
      <w:r w:rsidR="00FE4ED3">
        <w:t xml:space="preserve">ciation and property tax expenses associated with the CAPEX investments as set forth below in the summary of Staff-recommended calculations.  </w:t>
      </w:r>
    </w:p>
    <w:p w:rsidR="009434D3" w:rsidRPr="00D43E18" w:rsidRDefault="00FE4ED3" w:rsidP="008260AA">
      <w:pPr>
        <w:pStyle w:val="Heading2"/>
      </w:pPr>
      <w:bookmarkStart w:id="10" w:name="_Toc335806088"/>
      <w:r>
        <w:lastRenderedPageBreak/>
        <w:t>DEO</w:t>
      </w:r>
      <w:r w:rsidRPr="00D43E18">
        <w:t xml:space="preserve"> </w:t>
      </w:r>
      <w:r w:rsidR="009434D3">
        <w:t xml:space="preserve">and the Staff agree that </w:t>
      </w:r>
      <w:r>
        <w:t xml:space="preserve">DEO </w:t>
      </w:r>
      <w:r w:rsidR="009434D3" w:rsidRPr="00D43E18">
        <w:t>should make annual informational filings.</w:t>
      </w:r>
      <w:bookmarkEnd w:id="10"/>
    </w:p>
    <w:p w:rsidR="009434D3" w:rsidRPr="008C19D3" w:rsidRDefault="00050A19" w:rsidP="00050A19">
      <w:pPr>
        <w:pStyle w:val="textstyle"/>
      </w:pPr>
      <w:r>
        <w:tab/>
      </w:r>
      <w:r w:rsidR="009434D3" w:rsidRPr="008C19D3">
        <w:t xml:space="preserve">In its initial </w:t>
      </w:r>
      <w:r w:rsidR="009434D3">
        <w:t>C</w:t>
      </w:r>
      <w:r w:rsidR="009434D3" w:rsidRPr="008C19D3">
        <w:t xml:space="preserve">omments, Staff proposed that </w:t>
      </w:r>
      <w:r w:rsidR="00FE4ED3">
        <w:t>DEO</w:t>
      </w:r>
      <w:r w:rsidR="00FE4ED3" w:rsidRPr="008C19D3">
        <w:t xml:space="preserve"> </w:t>
      </w:r>
      <w:r w:rsidR="009434D3" w:rsidRPr="008C19D3">
        <w:t xml:space="preserve">should be required to make annual informational filings for its </w:t>
      </w:r>
      <w:r w:rsidR="00FE4ED3">
        <w:t>CAPEX</w:t>
      </w:r>
      <w:r w:rsidR="00FE4ED3" w:rsidRPr="008C19D3">
        <w:t xml:space="preserve"> </w:t>
      </w:r>
      <w:r w:rsidR="00FE4ED3">
        <w:t>P</w:t>
      </w:r>
      <w:r w:rsidR="00FE4ED3" w:rsidRPr="008C19D3">
        <w:t xml:space="preserve">rogram </w:t>
      </w:r>
      <w:r w:rsidR="009434D3" w:rsidRPr="008C19D3">
        <w:t>on March 15</w:t>
      </w:r>
      <w:r w:rsidR="000A3619">
        <w:t xml:space="preserve"> of each year </w:t>
      </w:r>
      <w:r w:rsidR="00CC52BC">
        <w:t xml:space="preserve">covering </w:t>
      </w:r>
      <w:r w:rsidR="009434D3" w:rsidRPr="008C19D3">
        <w:t xml:space="preserve">the previous calendar year and that this filing “should </w:t>
      </w:r>
      <w:r w:rsidR="00FE4ED3">
        <w:t xml:space="preserve">provide a breakdown of </w:t>
      </w:r>
      <w:r w:rsidR="009434D3" w:rsidRPr="008C19D3">
        <w:t>invest</w:t>
      </w:r>
      <w:r w:rsidR="00B42171">
        <w:softHyphen/>
      </w:r>
      <w:r w:rsidR="009434D3" w:rsidRPr="008C19D3">
        <w:t>ments</w:t>
      </w:r>
      <w:r w:rsidR="00FE4ED3">
        <w:t>, PISCC, depreciation expense, property tax expense, and incremental revenue.”</w:t>
      </w:r>
      <w:r w:rsidR="00FE4ED3">
        <w:rPr>
          <w:rStyle w:val="FootnoteReference"/>
        </w:rPr>
        <w:footnoteReference w:id="9"/>
      </w:r>
      <w:proofErr w:type="gramStart"/>
      <w:r w:rsidR="009434D3" w:rsidRPr="008C19D3">
        <w:t xml:space="preserve"> </w:t>
      </w:r>
      <w:r w:rsidR="00FE4ED3">
        <w:t xml:space="preserve">  </w:t>
      </w:r>
      <w:proofErr w:type="gramEnd"/>
      <w:r w:rsidR="00FE4ED3">
        <w:t>In addition, the Staff recommended that the annual filing should include a capital budget for the year succeeding the year covered in the filing.</w:t>
      </w:r>
      <w:r w:rsidR="00FE4ED3">
        <w:rPr>
          <w:rStyle w:val="FootnoteReference"/>
        </w:rPr>
        <w:footnoteReference w:id="10"/>
      </w:r>
      <w:r w:rsidR="00FE4ED3">
        <w:t xml:space="preserve">  In its Supplemental Reply Com</w:t>
      </w:r>
      <w:r w:rsidR="00532AE0">
        <w:softHyphen/>
      </w:r>
      <w:r w:rsidR="00FE4ED3">
        <w:t>ments, DEO agrees to submit annual information filings that DEO states will include the following</w:t>
      </w:r>
      <w:r w:rsidR="00C50515">
        <w:t>: (1) the CAPEX program regulatory asset balance as of December 31</w:t>
      </w:r>
      <w:r w:rsidR="00094BC3">
        <w:t xml:space="preserve">; and, (2) monthly and total deferrals to the regulatory asset for the year </w:t>
      </w:r>
      <w:r w:rsidR="00B42171">
        <w:t>ended</w:t>
      </w:r>
      <w:r w:rsidR="00094BC3">
        <w:t xml:space="preserve"> December 31 based on CAPEX investments for PISCC, depreciation expense, property tax expense, and reductions for net incremental revenue</w:t>
      </w:r>
      <w:r w:rsidR="00B42171">
        <w:t xml:space="preserve">.  </w:t>
      </w:r>
      <w:r w:rsidR="00FE4ED3">
        <w:t xml:space="preserve">The Staff recommends that information that DEO proposes to include in its annual information filing should modified to also include </w:t>
      </w:r>
      <w:r w:rsidR="00094BC3">
        <w:t>a breakdown of CAPEX investments by budget class, a capital budget for the year suc</w:t>
      </w:r>
      <w:r w:rsidR="00B42171">
        <w:softHyphen/>
      </w:r>
      <w:r w:rsidR="00094BC3">
        <w:t xml:space="preserve">ceeding the year covered in the information filing, a schedule showing the potential impact on </w:t>
      </w:r>
      <w:proofErr w:type="spellStart"/>
      <w:r w:rsidR="00094BC3">
        <w:t>GSS</w:t>
      </w:r>
      <w:proofErr w:type="spellEnd"/>
      <w:r w:rsidR="00094BC3">
        <w:t xml:space="preserve"> customer rates if the </w:t>
      </w:r>
      <w:r w:rsidR="007B591D">
        <w:t>deferrals</w:t>
      </w:r>
      <w:r w:rsidR="00094BC3">
        <w:t xml:space="preserve"> were included in rates, and schedules showing the calculatio</w:t>
      </w:r>
      <w:r w:rsidR="00653679">
        <w:t xml:space="preserve">ns and inputs for the deferrals. </w:t>
      </w:r>
      <w:r w:rsidR="00FE4ED3">
        <w:t xml:space="preserve"> The</w:t>
      </w:r>
      <w:r w:rsidR="00322587">
        <w:t xml:space="preserve"> </w:t>
      </w:r>
      <w:r w:rsidR="00FE4ED3">
        <w:t>Staff believes that these addi</w:t>
      </w:r>
      <w:r w:rsidR="00B42171">
        <w:softHyphen/>
      </w:r>
      <w:r w:rsidR="00FE4ED3">
        <w:t xml:space="preserve">tions are necessary and will make DEO’s annual information filing consistent with the information filing requirements that the Commission adopted for Columbia in the </w:t>
      </w:r>
      <w:r w:rsidR="00FE4ED3">
        <w:lastRenderedPageBreak/>
        <w:t>Columbia CEP Order.</w:t>
      </w:r>
      <w:r w:rsidR="00322587">
        <w:t xml:space="preserve">  The Staff also recommends that the Commission set </w:t>
      </w:r>
      <w:r w:rsidR="00420A66">
        <w:t>the filing date for DEO’s annual information filings as April 30 of each year.  This date is con</w:t>
      </w:r>
      <w:r w:rsidR="00B42171">
        <w:softHyphen/>
      </w:r>
      <w:r w:rsidR="00420A66">
        <w:t xml:space="preserve">sistent with the filing date that the Commission established in the Columbia </w:t>
      </w:r>
      <w:r w:rsidR="00F3556B">
        <w:t xml:space="preserve">CEP </w:t>
      </w:r>
      <w:r w:rsidR="00420A66">
        <w:t xml:space="preserve">Order in recognition of the fact that both Columbia and Staff’s </w:t>
      </w:r>
      <w:r w:rsidR="004B731D">
        <w:t>resour</w:t>
      </w:r>
      <w:r w:rsidR="007B591D">
        <w:t>c</w:t>
      </w:r>
      <w:r w:rsidR="004B731D">
        <w:t xml:space="preserve">es </w:t>
      </w:r>
      <w:r w:rsidR="00420A66">
        <w:t xml:space="preserve">are stretched thin around the March 15 date originally proposed by Staff.  Like Columbia, DEO’s staff will also be engaged in closing the Company’s books and preparing </w:t>
      </w:r>
      <w:r w:rsidR="00591325">
        <w:t>documents for annual rider fil</w:t>
      </w:r>
      <w:r w:rsidR="00532AE0">
        <w:softHyphen/>
      </w:r>
      <w:r w:rsidR="00591325">
        <w:t xml:space="preserve">ings around the March 15 date.  Therefore, the Staff believes that the April 30 date is better for DEO as well as for the Staff.  </w:t>
      </w:r>
    </w:p>
    <w:p w:rsidR="009434D3" w:rsidRPr="00D43E18" w:rsidRDefault="00591325" w:rsidP="00050A19">
      <w:pPr>
        <w:pStyle w:val="Heading2"/>
      </w:pPr>
      <w:bookmarkStart w:id="11" w:name="_Toc335806089"/>
      <w:r>
        <w:t xml:space="preserve">DEO and </w:t>
      </w:r>
      <w:r w:rsidR="009434D3">
        <w:t xml:space="preserve">Staff agree </w:t>
      </w:r>
      <w:r>
        <w:t xml:space="preserve">on </w:t>
      </w:r>
      <w:r w:rsidR="009434D3">
        <w:t xml:space="preserve">a cap on </w:t>
      </w:r>
      <w:r>
        <w:t xml:space="preserve">CAPEX </w:t>
      </w:r>
      <w:r w:rsidR="009434D3">
        <w:t>deferrals.</w:t>
      </w:r>
      <w:bookmarkEnd w:id="11"/>
    </w:p>
    <w:p w:rsidR="00F25C88" w:rsidRDefault="009434D3" w:rsidP="00050A19">
      <w:pPr>
        <w:pStyle w:val="textstyle"/>
      </w:pPr>
      <w:r>
        <w:tab/>
      </w:r>
      <w:r w:rsidRPr="008C19D3">
        <w:t xml:space="preserve">In </w:t>
      </w:r>
      <w:r w:rsidR="009624AD">
        <w:t xml:space="preserve">the Columbia CEP Order, the Commission </w:t>
      </w:r>
      <w:r w:rsidR="00F25C88">
        <w:t xml:space="preserve">established that: </w:t>
      </w:r>
    </w:p>
    <w:p w:rsidR="00F25C88" w:rsidRDefault="00F25C88" w:rsidP="00B42171">
      <w:pPr>
        <w:pStyle w:val="blockquote"/>
      </w:pPr>
      <w:r>
        <w:t>Columbia may accrue CEP deferrals up until the point where the accrued deferrals, if included in rates, would cause the rates charged to the SGS class of customers to increase by more than $1.50/month.  Accrual of all future CEP-related deferrals should cease once the $1.50/month threshold is sur</w:t>
      </w:r>
      <w:r w:rsidR="00B42171">
        <w:softHyphen/>
      </w:r>
      <w:r>
        <w:t xml:space="preserve">passed, until such time as Columbia files to recover the existing accrued </w:t>
      </w:r>
      <w:r w:rsidR="008260AA">
        <w:t>deferrals</w:t>
      </w:r>
      <w:r>
        <w:t xml:space="preserve"> and establish a recovery mecha</w:t>
      </w:r>
      <w:r w:rsidR="00B42171">
        <w:softHyphen/>
      </w:r>
      <w:r>
        <w:t>nism under Section 4909.18, 492</w:t>
      </w:r>
      <w:r w:rsidR="00B42171">
        <w:t>9.05, or 4929.11, Revised Code.</w:t>
      </w:r>
      <w:r>
        <w:rPr>
          <w:rStyle w:val="FootnoteReference"/>
        </w:rPr>
        <w:footnoteReference w:id="11"/>
      </w:r>
    </w:p>
    <w:p w:rsidR="009434D3" w:rsidRDefault="00581CB8" w:rsidP="00D579DB">
      <w:pPr>
        <w:pStyle w:val="textstyle"/>
      </w:pPr>
      <w:r>
        <w:t>Columbia proposed the $1.50/month cap on accrued CEP deferrals in the CEP Order case to address the Staff’s concern that</w:t>
      </w:r>
      <w:r w:rsidR="00E069B3">
        <w:t>,</w:t>
      </w:r>
      <w:r>
        <w:t xml:space="preserve"> without a limit</w:t>
      </w:r>
      <w:r w:rsidR="00E069B3">
        <w:t>,</w:t>
      </w:r>
      <w:r>
        <w:t xml:space="preserve"> CEP deferrals could grow to unrea</w:t>
      </w:r>
      <w:r w:rsidR="00B42171">
        <w:softHyphen/>
      </w:r>
      <w:r>
        <w:t xml:space="preserve">sonable levels and </w:t>
      </w:r>
      <w:r w:rsidR="00E069B3">
        <w:t xml:space="preserve">potentially </w:t>
      </w:r>
      <w:r>
        <w:t xml:space="preserve">cause rate shock for customers once the deferrals were placed into rates while still allowing </w:t>
      </w:r>
      <w:r w:rsidR="00E069B3">
        <w:t xml:space="preserve">the deferrals to accrue </w:t>
      </w:r>
      <w:r w:rsidR="00663308">
        <w:t xml:space="preserve">for a sufficient time </w:t>
      </w:r>
      <w:r w:rsidR="00E069B3">
        <w:t>to pre</w:t>
      </w:r>
      <w:r w:rsidR="00B42171">
        <w:softHyphen/>
      </w:r>
      <w:r w:rsidR="00E069B3">
        <w:lastRenderedPageBreak/>
        <w:t>vent frequent recovery cases</w:t>
      </w:r>
      <w:r w:rsidR="00B42171">
        <w:t xml:space="preserve">.  </w:t>
      </w:r>
      <w:r w:rsidR="00E069B3">
        <w:t xml:space="preserve">In its </w:t>
      </w:r>
      <w:r w:rsidR="009434D3">
        <w:t>Supplemental Reply Com</w:t>
      </w:r>
      <w:r w:rsidR="00F452D9">
        <w:softHyphen/>
      </w:r>
      <w:r w:rsidR="009434D3">
        <w:t>ments</w:t>
      </w:r>
      <w:r w:rsidR="00E069B3">
        <w:t xml:space="preserve">, DEO </w:t>
      </w:r>
      <w:r w:rsidR="00D579DB">
        <w:t>states that it agrees to a $1.50/month cap on accrual of CAPEX Program deferrals as proposed by Columbia.  Given that agreement, the Staff recommends that the Commission order</w:t>
      </w:r>
      <w:r w:rsidR="00663308">
        <w:t xml:space="preserve"> </w:t>
      </w:r>
      <w:r w:rsidR="009434D3">
        <w:t xml:space="preserve">that </w:t>
      </w:r>
      <w:r w:rsidR="00D579DB">
        <w:t xml:space="preserve">DEO </w:t>
      </w:r>
      <w:r w:rsidR="009434D3">
        <w:t xml:space="preserve">can accrue </w:t>
      </w:r>
      <w:r w:rsidR="00D579DB">
        <w:t xml:space="preserve">CAPEX </w:t>
      </w:r>
      <w:r w:rsidR="009434D3">
        <w:t>deferrals up until the point where the accrued deferrals, if included in rates, would cause the rate</w:t>
      </w:r>
      <w:r w:rsidR="00725B11">
        <w:t>s</w:t>
      </w:r>
      <w:r w:rsidR="009434D3">
        <w:t xml:space="preserve"> charged to the </w:t>
      </w:r>
      <w:r w:rsidR="00D579DB">
        <w:t xml:space="preserve">General Sales Service or “GSS” </w:t>
      </w:r>
      <w:r w:rsidR="009434D3">
        <w:t xml:space="preserve"> class of customers </w:t>
      </w:r>
      <w:r w:rsidR="00D579DB">
        <w:t xml:space="preserve">(which is </w:t>
      </w:r>
      <w:r w:rsidR="00225C09">
        <w:t xml:space="preserve">comparable </w:t>
      </w:r>
      <w:r w:rsidR="00D579DB">
        <w:t xml:space="preserve">to Columbia’s SGS </w:t>
      </w:r>
      <w:r w:rsidR="008260AA">
        <w:t>class</w:t>
      </w:r>
      <w:r w:rsidR="00D579DB">
        <w:t xml:space="preserve"> of customers) </w:t>
      </w:r>
      <w:r w:rsidR="009434D3">
        <w:t xml:space="preserve">to </w:t>
      </w:r>
      <w:r w:rsidR="00F67218">
        <w:t xml:space="preserve">increase by more than </w:t>
      </w:r>
      <w:r w:rsidR="009434D3">
        <w:t xml:space="preserve">$1.50/month.  Accrual of all future </w:t>
      </w:r>
      <w:r w:rsidR="00D579DB">
        <w:t>CAPEX</w:t>
      </w:r>
      <w:r w:rsidR="00653679">
        <w:t>-related deferral</w:t>
      </w:r>
      <w:r w:rsidR="009434D3">
        <w:t xml:space="preserve">s would cease once the $1.50/month threshold is surpassed until such time as </w:t>
      </w:r>
      <w:r w:rsidR="00D579DB">
        <w:t xml:space="preserve">DEO </w:t>
      </w:r>
      <w:r w:rsidR="009434D3">
        <w:t>files to recover the existing accrued deferrals under one of the recovery mech</w:t>
      </w:r>
      <w:r w:rsidR="00457618">
        <w:softHyphen/>
      </w:r>
      <w:r w:rsidR="009434D3">
        <w:t>anisms specified in Revised Code</w:t>
      </w:r>
      <w:r w:rsidR="00F3556B">
        <w:t>.</w:t>
      </w:r>
      <w:r w:rsidR="009434D3">
        <w:t xml:space="preserve"> </w:t>
      </w:r>
    </w:p>
    <w:p w:rsidR="009434D3" w:rsidRPr="00D43E18" w:rsidRDefault="009434D3" w:rsidP="00050A19">
      <w:pPr>
        <w:pStyle w:val="Heading2"/>
      </w:pPr>
      <w:bookmarkStart w:id="12" w:name="_Toc335806090"/>
      <w:r w:rsidRPr="00D43E18">
        <w:t xml:space="preserve">The </w:t>
      </w:r>
      <w:r>
        <w:t>Commission should establish the specific formu</w:t>
      </w:r>
      <w:r w:rsidR="00F452D9">
        <w:softHyphen/>
      </w:r>
      <w:r>
        <w:t xml:space="preserve">las that should be used to calculate </w:t>
      </w:r>
      <w:r w:rsidR="003A3400">
        <w:t xml:space="preserve">DEO’s </w:t>
      </w:r>
      <w:r>
        <w:t xml:space="preserve">total monthly </w:t>
      </w:r>
      <w:r w:rsidR="003A3400">
        <w:t xml:space="preserve">CAPEX </w:t>
      </w:r>
      <w:r>
        <w:t>deferrals</w:t>
      </w:r>
      <w:r w:rsidRPr="00D43E18">
        <w:t>.</w:t>
      </w:r>
      <w:bookmarkEnd w:id="12"/>
    </w:p>
    <w:p w:rsidR="009434D3" w:rsidRPr="008C19D3" w:rsidRDefault="00050A19" w:rsidP="00050A19">
      <w:pPr>
        <w:pStyle w:val="textstyle"/>
      </w:pPr>
      <w:r>
        <w:tab/>
      </w:r>
      <w:r w:rsidR="009434D3">
        <w:t xml:space="preserve">As the </w:t>
      </w:r>
      <w:r w:rsidR="003A3400">
        <w:t xml:space="preserve">preceding </w:t>
      </w:r>
      <w:r w:rsidR="009434D3">
        <w:t xml:space="preserve">discussion above demonstrates, there is now a substantial amount of agreement between </w:t>
      </w:r>
      <w:r w:rsidR="003A3400">
        <w:t xml:space="preserve">DEO </w:t>
      </w:r>
      <w:r w:rsidR="009434D3">
        <w:t xml:space="preserve">and the Staff on </w:t>
      </w:r>
      <w:r w:rsidR="003A3400">
        <w:t xml:space="preserve">DEO’s </w:t>
      </w:r>
      <w:r w:rsidR="009434D3">
        <w:t xml:space="preserve">proposal for creation of a </w:t>
      </w:r>
      <w:r w:rsidR="003A3400">
        <w:t xml:space="preserve">CAPEX Program </w:t>
      </w:r>
      <w:r w:rsidR="009434D3">
        <w:t xml:space="preserve">and calculation of associated deferrals.  </w:t>
      </w:r>
      <w:r w:rsidR="003A3400">
        <w:t xml:space="preserve">Similarly, the formulas for calculating DEO’s CAPEX deferrals that the Staff and DEO are recommending are consistent with similar formulas that the Commission adopted for Columbia in the Columbia CEP Order.  As a result, the Staff recommends that the Commission adopt the following </w:t>
      </w:r>
      <w:r w:rsidR="00A32E21">
        <w:t>specific for</w:t>
      </w:r>
      <w:r w:rsidR="00532AE0">
        <w:softHyphen/>
      </w:r>
      <w:r w:rsidR="00A32E21">
        <w:t>mulas</w:t>
      </w:r>
      <w:r w:rsidR="009434D3">
        <w:t xml:space="preserve"> </w:t>
      </w:r>
      <w:r w:rsidR="003A3400">
        <w:t>for</w:t>
      </w:r>
      <w:r w:rsidR="009434D3">
        <w:t xml:space="preserve"> calculat</w:t>
      </w:r>
      <w:r w:rsidR="003A3400">
        <w:t>ing</w:t>
      </w:r>
      <w:r w:rsidR="009434D3">
        <w:t xml:space="preserve"> </w:t>
      </w:r>
      <w:r w:rsidR="003A3400">
        <w:t xml:space="preserve">DEO’s </w:t>
      </w:r>
      <w:r w:rsidR="009434D3">
        <w:t xml:space="preserve">monthly </w:t>
      </w:r>
      <w:r w:rsidR="003A3400">
        <w:t xml:space="preserve">CAPEX </w:t>
      </w:r>
      <w:r w:rsidR="009434D3">
        <w:t>deferrals</w:t>
      </w:r>
      <w:r w:rsidR="00F3556B">
        <w:t>:</w:t>
      </w:r>
    </w:p>
    <w:tbl>
      <w:tblPr>
        <w:tblW w:w="7680" w:type="dxa"/>
        <w:tblInd w:w="848" w:type="dxa"/>
        <w:tblLook w:val="04A0" w:firstRow="1" w:lastRow="0" w:firstColumn="1" w:lastColumn="0" w:noHBand="0" w:noVBand="1"/>
      </w:tblPr>
      <w:tblGrid>
        <w:gridCol w:w="2860"/>
        <w:gridCol w:w="460"/>
        <w:gridCol w:w="4360"/>
      </w:tblGrid>
      <w:tr w:rsidR="009434D3" w:rsidRPr="008C19D3" w:rsidTr="00050A19">
        <w:trPr>
          <w:trHeight w:val="1500"/>
        </w:trPr>
        <w:tc>
          <w:tcPr>
            <w:tcW w:w="2860" w:type="dxa"/>
            <w:tcBorders>
              <w:top w:val="single" w:sz="4" w:space="0" w:color="auto"/>
              <w:left w:val="single" w:sz="4" w:space="0" w:color="auto"/>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lastRenderedPageBreak/>
              <w:t>Total Monthly Deferral</w:t>
            </w:r>
          </w:p>
        </w:tc>
        <w:tc>
          <w:tcPr>
            <w:tcW w:w="460" w:type="dxa"/>
            <w:tcBorders>
              <w:top w:val="single" w:sz="4" w:space="0" w:color="auto"/>
              <w:left w:val="nil"/>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 =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(PISCC) + (Depreciation Expense) + (Property Tax Expense) </w:t>
            </w:r>
            <w:r w:rsidR="00653679">
              <w:rPr>
                <w:rFonts w:eastAsia="Times New Roman" w:cs="Times New Roman"/>
                <w:color w:val="000000"/>
                <w:sz w:val="26"/>
                <w:szCs w:val="26"/>
              </w:rPr>
              <w:t xml:space="preserve">– </w:t>
            </w:r>
            <w:r w:rsidRPr="00050A19">
              <w:rPr>
                <w:rFonts w:eastAsia="Times New Roman" w:cs="Times New Roman"/>
                <w:color w:val="000000"/>
                <w:sz w:val="26"/>
                <w:szCs w:val="26"/>
              </w:rPr>
              <w:t xml:space="preserve"> (Incremental Revenues)</w:t>
            </w:r>
          </w:p>
        </w:tc>
      </w:tr>
    </w:tbl>
    <w:p w:rsidR="009434D3" w:rsidRPr="008C19D3" w:rsidRDefault="009434D3" w:rsidP="009434D3">
      <w:pPr>
        <w:rPr>
          <w:rFonts w:cs="Times New Roman"/>
        </w:rPr>
      </w:pPr>
    </w:p>
    <w:p w:rsidR="00C25496" w:rsidRPr="008C19D3" w:rsidRDefault="009434D3" w:rsidP="00050A19">
      <w:pPr>
        <w:pStyle w:val="textstyle"/>
      </w:pPr>
      <w:r w:rsidRPr="008C19D3">
        <w:t>Where:</w:t>
      </w:r>
    </w:p>
    <w:tbl>
      <w:tblPr>
        <w:tblW w:w="7763" w:type="dxa"/>
        <w:tblInd w:w="848" w:type="dxa"/>
        <w:tblLook w:val="04A0" w:firstRow="1" w:lastRow="0" w:firstColumn="1" w:lastColumn="0" w:noHBand="0" w:noVBand="1"/>
      </w:tblPr>
      <w:tblGrid>
        <w:gridCol w:w="720"/>
        <w:gridCol w:w="1600"/>
        <w:gridCol w:w="363"/>
        <w:gridCol w:w="720"/>
        <w:gridCol w:w="1677"/>
        <w:gridCol w:w="2683"/>
      </w:tblGrid>
      <w:tr w:rsidR="009434D3" w:rsidRPr="008C19D3" w:rsidTr="00050A19">
        <w:trPr>
          <w:trHeight w:val="1500"/>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proofErr w:type="spellStart"/>
            <w:r w:rsidRPr="00050A19">
              <w:rPr>
                <w:rFonts w:eastAsia="Times New Roman" w:cs="Times New Roman"/>
                <w:color w:val="000000"/>
                <w:sz w:val="26"/>
                <w:szCs w:val="26"/>
              </w:rPr>
              <w:t>PISCC</w:t>
            </w:r>
            <w:proofErr w:type="spellEnd"/>
          </w:p>
        </w:tc>
        <w:tc>
          <w:tcPr>
            <w:tcW w:w="363" w:type="dxa"/>
            <w:tcBorders>
              <w:top w:val="single" w:sz="4" w:space="0" w:color="auto"/>
              <w:left w:val="nil"/>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 = </w:t>
            </w:r>
          </w:p>
        </w:tc>
        <w:tc>
          <w:tcPr>
            <w:tcW w:w="5080" w:type="dxa"/>
            <w:gridSpan w:val="3"/>
            <w:tcBorders>
              <w:top w:val="single" w:sz="4" w:space="0" w:color="auto"/>
              <w:left w:val="nil"/>
              <w:bottom w:val="single" w:sz="4" w:space="0" w:color="auto"/>
              <w:right w:val="single" w:sz="4" w:space="0" w:color="auto"/>
            </w:tcBorders>
            <w:shd w:val="clear" w:color="auto" w:fill="auto"/>
            <w:vAlign w:val="center"/>
            <w:hideMark/>
          </w:tcPr>
          <w:p w:rsidR="00A27CEE" w:rsidRDefault="00A27CEE" w:rsidP="00653679">
            <w:pPr>
              <w:spacing w:after="0" w:line="240" w:lineRule="auto"/>
              <w:jc w:val="center"/>
              <w:rPr>
                <w:rFonts w:eastAsia="Times New Roman" w:cs="Times New Roman"/>
                <w:color w:val="000000"/>
                <w:sz w:val="26"/>
                <w:szCs w:val="26"/>
              </w:rPr>
            </w:pPr>
          </w:p>
          <w:p w:rsidR="009434D3" w:rsidRDefault="009434D3" w:rsidP="00653679">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[(Previous Month's Cumulative Gross Plan</w:t>
            </w:r>
            <w:r w:rsidR="00DD1926">
              <w:rPr>
                <w:rFonts w:eastAsia="Times New Roman" w:cs="Times New Roman"/>
                <w:color w:val="000000"/>
                <w:sz w:val="26"/>
                <w:szCs w:val="26"/>
              </w:rPr>
              <w:t>t</w:t>
            </w:r>
            <w:r w:rsidRPr="00050A19">
              <w:rPr>
                <w:rFonts w:eastAsia="Times New Roman" w:cs="Times New Roman"/>
                <w:color w:val="000000"/>
                <w:sz w:val="26"/>
                <w:szCs w:val="26"/>
              </w:rPr>
              <w:t xml:space="preserve"> Additions) </w:t>
            </w:r>
            <w:r w:rsidR="00DD1926">
              <w:rPr>
                <w:rFonts w:eastAsia="Times New Roman" w:cs="Times New Roman"/>
                <w:color w:val="000000"/>
                <w:sz w:val="26"/>
                <w:szCs w:val="26"/>
              </w:rPr>
              <w:t xml:space="preserve">– </w:t>
            </w:r>
            <w:r w:rsidRPr="00050A19">
              <w:rPr>
                <w:rFonts w:eastAsia="Times New Roman" w:cs="Times New Roman"/>
                <w:color w:val="000000"/>
                <w:sz w:val="26"/>
                <w:szCs w:val="26"/>
              </w:rPr>
              <w:t xml:space="preserve"> </w:t>
            </w:r>
            <w:r w:rsidR="00C9678A">
              <w:rPr>
                <w:rFonts w:eastAsia="Times New Roman" w:cs="Times New Roman"/>
                <w:color w:val="000000"/>
                <w:sz w:val="26"/>
                <w:szCs w:val="26"/>
              </w:rPr>
              <w:t>(Previous Month’s Cumulative Cost of Removal)</w:t>
            </w:r>
            <w:r w:rsidR="00653679">
              <w:rPr>
                <w:rFonts w:eastAsia="Times New Roman" w:cs="Times New Roman"/>
                <w:color w:val="000000"/>
                <w:sz w:val="26"/>
                <w:szCs w:val="26"/>
              </w:rPr>
              <w:t xml:space="preserve"> – </w:t>
            </w:r>
            <w:r w:rsidRPr="00050A19">
              <w:rPr>
                <w:rFonts w:eastAsia="Times New Roman" w:cs="Times New Roman"/>
                <w:color w:val="000000"/>
                <w:sz w:val="26"/>
                <w:szCs w:val="26"/>
              </w:rPr>
              <w:t xml:space="preserve"> (Previous Month's Cumulative Retirements)</w:t>
            </w:r>
            <w:r w:rsidR="00C9678A">
              <w:rPr>
                <w:rFonts w:eastAsia="Times New Roman" w:cs="Times New Roman"/>
                <w:color w:val="000000"/>
                <w:sz w:val="26"/>
                <w:szCs w:val="26"/>
              </w:rPr>
              <w:t xml:space="preserve"> – </w:t>
            </w:r>
            <w:r w:rsidR="00C9678A" w:rsidRPr="00C9678A">
              <w:rPr>
                <w:rFonts w:eastAsia="Times New Roman" w:cs="Times New Roman"/>
                <w:color w:val="000000"/>
                <w:sz w:val="26"/>
                <w:szCs w:val="26"/>
              </w:rPr>
              <w:t>(Previous Month's Accumulated Depreciation</w:t>
            </w:r>
            <w:r w:rsidRPr="00050A19">
              <w:rPr>
                <w:rFonts w:eastAsia="Times New Roman" w:cs="Times New Roman"/>
                <w:color w:val="000000"/>
                <w:sz w:val="26"/>
                <w:szCs w:val="26"/>
              </w:rPr>
              <w:t>] x [(Long Term Debt Rate) / (12 Months)]</w:t>
            </w:r>
          </w:p>
          <w:p w:rsidR="00A27CEE" w:rsidRPr="00050A19" w:rsidRDefault="00A27CEE" w:rsidP="00653679">
            <w:pPr>
              <w:spacing w:after="0" w:line="240" w:lineRule="auto"/>
              <w:jc w:val="center"/>
              <w:rPr>
                <w:rFonts w:eastAsia="Times New Roman" w:cs="Times New Roman"/>
                <w:color w:val="000000"/>
                <w:sz w:val="26"/>
                <w:szCs w:val="26"/>
              </w:rPr>
            </w:pPr>
          </w:p>
        </w:tc>
      </w:tr>
      <w:tr w:rsidR="00A27CEE" w:rsidRPr="008C19D3" w:rsidTr="00050A19">
        <w:trPr>
          <w:gridAfter w:val="1"/>
          <w:wAfter w:w="2683" w:type="dxa"/>
          <w:trHeight w:val="300"/>
        </w:trPr>
        <w:tc>
          <w:tcPr>
            <w:tcW w:w="720" w:type="dxa"/>
            <w:tcBorders>
              <w:top w:val="nil"/>
              <w:left w:val="nil"/>
              <w:bottom w:val="nil"/>
              <w:right w:val="nil"/>
            </w:tcBorders>
            <w:shd w:val="clear" w:color="auto" w:fill="auto"/>
            <w:noWrap/>
            <w:vAlign w:val="bottom"/>
          </w:tcPr>
          <w:p w:rsidR="00A27CEE" w:rsidRPr="008C19D3" w:rsidRDefault="00A27CEE" w:rsidP="00A27CEE">
            <w:pPr>
              <w:spacing w:after="0" w:line="240" w:lineRule="auto"/>
              <w:rPr>
                <w:rFonts w:ascii="Calibri" w:eastAsia="Times New Roman" w:hAnsi="Calibri" w:cs="Calibri"/>
                <w:color w:val="000000"/>
              </w:rPr>
            </w:pPr>
          </w:p>
        </w:tc>
        <w:tc>
          <w:tcPr>
            <w:tcW w:w="4360" w:type="dxa"/>
            <w:gridSpan w:val="4"/>
            <w:tcBorders>
              <w:top w:val="nil"/>
              <w:left w:val="nil"/>
              <w:bottom w:val="nil"/>
              <w:right w:val="nil"/>
            </w:tcBorders>
            <w:shd w:val="clear" w:color="auto" w:fill="auto"/>
            <w:noWrap/>
            <w:vAlign w:val="bottom"/>
          </w:tcPr>
          <w:p w:rsidR="00A27CEE" w:rsidRPr="00050A19" w:rsidRDefault="00A27CEE" w:rsidP="00A27CEE">
            <w:pPr>
              <w:spacing w:after="0"/>
            </w:pPr>
          </w:p>
        </w:tc>
      </w:tr>
      <w:tr w:rsidR="009434D3" w:rsidRPr="008C19D3" w:rsidTr="00050A19">
        <w:trPr>
          <w:trHeight w:val="1500"/>
        </w:trPr>
        <w:tc>
          <w:tcPr>
            <w:tcW w:w="2683" w:type="dxa"/>
            <w:gridSpan w:val="3"/>
            <w:tcBorders>
              <w:top w:val="single" w:sz="4" w:space="0" w:color="auto"/>
              <w:left w:val="single" w:sz="4" w:space="0" w:color="auto"/>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Depreciation Expense</w:t>
            </w:r>
          </w:p>
        </w:tc>
        <w:tc>
          <w:tcPr>
            <w:tcW w:w="720" w:type="dxa"/>
            <w:tcBorders>
              <w:top w:val="single" w:sz="4" w:space="0" w:color="auto"/>
              <w:left w:val="nil"/>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 = </w:t>
            </w:r>
          </w:p>
        </w:tc>
        <w:tc>
          <w:tcPr>
            <w:tcW w:w="4360" w:type="dxa"/>
            <w:gridSpan w:val="2"/>
            <w:tcBorders>
              <w:top w:val="single" w:sz="4" w:space="0" w:color="auto"/>
              <w:left w:val="nil"/>
              <w:bottom w:val="single" w:sz="4" w:space="0" w:color="auto"/>
              <w:right w:val="single" w:sz="4" w:space="0" w:color="auto"/>
            </w:tcBorders>
            <w:shd w:val="clear" w:color="auto" w:fill="auto"/>
            <w:vAlign w:val="center"/>
            <w:hideMark/>
          </w:tcPr>
          <w:p w:rsidR="00A27CEE" w:rsidRDefault="00A27CEE" w:rsidP="00366056">
            <w:pPr>
              <w:spacing w:after="0" w:line="240" w:lineRule="auto"/>
              <w:jc w:val="center"/>
              <w:rPr>
                <w:rFonts w:eastAsia="Times New Roman" w:cs="Times New Roman"/>
                <w:color w:val="000000"/>
                <w:sz w:val="26"/>
                <w:szCs w:val="26"/>
              </w:rPr>
            </w:pPr>
          </w:p>
          <w:p w:rsidR="009434D3" w:rsidRDefault="009434D3" w:rsidP="00366056">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w:t>
            </w:r>
            <w:r w:rsidR="00366056">
              <w:rPr>
                <w:rFonts w:eastAsia="Times New Roman" w:cs="Times New Roman"/>
                <w:color w:val="000000"/>
                <w:sz w:val="26"/>
                <w:szCs w:val="26"/>
              </w:rPr>
              <w:t>Current</w:t>
            </w:r>
            <w:r w:rsidR="00366056" w:rsidRPr="00050A19">
              <w:rPr>
                <w:rFonts w:eastAsia="Times New Roman" w:cs="Times New Roman"/>
                <w:color w:val="000000"/>
                <w:sz w:val="26"/>
                <w:szCs w:val="26"/>
              </w:rPr>
              <w:t xml:space="preserve"> </w:t>
            </w:r>
            <w:r w:rsidRPr="00050A19">
              <w:rPr>
                <w:rFonts w:eastAsia="Times New Roman" w:cs="Times New Roman"/>
                <w:color w:val="000000"/>
                <w:sz w:val="26"/>
                <w:szCs w:val="26"/>
              </w:rPr>
              <w:t>Month</w:t>
            </w:r>
            <w:r w:rsidR="00DD1926">
              <w:rPr>
                <w:rFonts w:eastAsia="Times New Roman" w:cs="Times New Roman"/>
                <w:color w:val="000000"/>
                <w:sz w:val="26"/>
                <w:szCs w:val="26"/>
              </w:rPr>
              <w:t>’s</w:t>
            </w:r>
            <w:r w:rsidRPr="00050A19">
              <w:rPr>
                <w:rFonts w:eastAsia="Times New Roman" w:cs="Times New Roman"/>
                <w:color w:val="000000"/>
                <w:sz w:val="26"/>
                <w:szCs w:val="26"/>
              </w:rPr>
              <w:t xml:space="preserve"> Cumulative Gross Plan</w:t>
            </w:r>
            <w:r w:rsidR="00C9678A">
              <w:rPr>
                <w:rFonts w:eastAsia="Times New Roman" w:cs="Times New Roman"/>
                <w:color w:val="000000"/>
                <w:sz w:val="26"/>
                <w:szCs w:val="26"/>
              </w:rPr>
              <w:t>t</w:t>
            </w:r>
            <w:r w:rsidRPr="00050A19">
              <w:rPr>
                <w:rFonts w:eastAsia="Times New Roman" w:cs="Times New Roman"/>
                <w:color w:val="000000"/>
                <w:sz w:val="26"/>
                <w:szCs w:val="26"/>
              </w:rPr>
              <w:t xml:space="preserve"> Additions) </w:t>
            </w:r>
            <w:r w:rsidR="00366056">
              <w:rPr>
                <w:rFonts w:eastAsia="Times New Roman" w:cs="Times New Roman"/>
                <w:color w:val="000000"/>
                <w:sz w:val="26"/>
                <w:szCs w:val="26"/>
              </w:rPr>
              <w:t>– (Current Month</w:t>
            </w:r>
            <w:r w:rsidR="00DD1926">
              <w:rPr>
                <w:rFonts w:eastAsia="Times New Roman" w:cs="Times New Roman"/>
                <w:color w:val="000000"/>
                <w:sz w:val="26"/>
                <w:szCs w:val="26"/>
              </w:rPr>
              <w:t>’s</w:t>
            </w:r>
            <w:r w:rsidR="00366056">
              <w:rPr>
                <w:rFonts w:eastAsia="Times New Roman" w:cs="Times New Roman"/>
                <w:color w:val="000000"/>
                <w:sz w:val="26"/>
                <w:szCs w:val="26"/>
              </w:rPr>
              <w:t xml:space="preserve"> Cumulative Cost of Removal) </w:t>
            </w:r>
            <w:r w:rsidR="00DD1926">
              <w:rPr>
                <w:rFonts w:eastAsia="Times New Roman" w:cs="Times New Roman"/>
                <w:color w:val="000000"/>
                <w:sz w:val="26"/>
                <w:szCs w:val="26"/>
              </w:rPr>
              <w:t>–</w:t>
            </w:r>
            <w:r w:rsidRPr="00050A19">
              <w:rPr>
                <w:rFonts w:eastAsia="Times New Roman" w:cs="Times New Roman"/>
                <w:color w:val="000000"/>
                <w:sz w:val="26"/>
                <w:szCs w:val="26"/>
              </w:rPr>
              <w:t xml:space="preserve"> (</w:t>
            </w:r>
            <w:r w:rsidR="00366056">
              <w:rPr>
                <w:rFonts w:eastAsia="Times New Roman" w:cs="Times New Roman"/>
                <w:color w:val="000000"/>
                <w:sz w:val="26"/>
                <w:szCs w:val="26"/>
              </w:rPr>
              <w:t>Current</w:t>
            </w:r>
            <w:r w:rsidR="00366056" w:rsidRPr="00050A19">
              <w:rPr>
                <w:rFonts w:eastAsia="Times New Roman" w:cs="Times New Roman"/>
                <w:color w:val="000000"/>
                <w:sz w:val="26"/>
                <w:szCs w:val="26"/>
              </w:rPr>
              <w:t xml:space="preserve"> </w:t>
            </w:r>
            <w:r w:rsidRPr="00050A19">
              <w:rPr>
                <w:rFonts w:eastAsia="Times New Roman" w:cs="Times New Roman"/>
                <w:color w:val="000000"/>
                <w:sz w:val="26"/>
                <w:szCs w:val="26"/>
              </w:rPr>
              <w:t>Month</w:t>
            </w:r>
            <w:r w:rsidR="00DD1926">
              <w:rPr>
                <w:rFonts w:eastAsia="Times New Roman" w:cs="Times New Roman"/>
                <w:color w:val="000000"/>
                <w:sz w:val="26"/>
                <w:szCs w:val="26"/>
              </w:rPr>
              <w:t>’s</w:t>
            </w:r>
            <w:r w:rsidRPr="00050A19">
              <w:rPr>
                <w:rFonts w:eastAsia="Times New Roman" w:cs="Times New Roman"/>
                <w:color w:val="000000"/>
                <w:sz w:val="26"/>
                <w:szCs w:val="26"/>
              </w:rPr>
              <w:t xml:space="preserve"> Cumulative Retirements)] x [(Depreciation Rate) / (12 Months)]</w:t>
            </w:r>
          </w:p>
          <w:p w:rsidR="00A27CEE" w:rsidRPr="00050A19" w:rsidRDefault="00A27CEE" w:rsidP="00366056">
            <w:pPr>
              <w:spacing w:after="0" w:line="240" w:lineRule="auto"/>
              <w:jc w:val="center"/>
              <w:rPr>
                <w:rFonts w:eastAsia="Times New Roman" w:cs="Times New Roman"/>
                <w:color w:val="000000"/>
                <w:sz w:val="26"/>
                <w:szCs w:val="26"/>
              </w:rPr>
            </w:pPr>
          </w:p>
        </w:tc>
      </w:tr>
      <w:tr w:rsidR="009434D3" w:rsidRPr="008C19D3" w:rsidTr="00050A19">
        <w:trPr>
          <w:trHeight w:val="300"/>
        </w:trPr>
        <w:tc>
          <w:tcPr>
            <w:tcW w:w="2683" w:type="dxa"/>
            <w:gridSpan w:val="3"/>
            <w:tcBorders>
              <w:top w:val="nil"/>
              <w:left w:val="nil"/>
              <w:bottom w:val="nil"/>
              <w:right w:val="nil"/>
            </w:tcBorders>
            <w:shd w:val="clear" w:color="auto" w:fill="auto"/>
            <w:noWrap/>
            <w:vAlign w:val="bottom"/>
            <w:hideMark/>
          </w:tcPr>
          <w:p w:rsidR="009434D3" w:rsidRPr="008C19D3" w:rsidRDefault="009434D3" w:rsidP="009434D3">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9434D3" w:rsidRPr="008C19D3" w:rsidRDefault="009434D3" w:rsidP="009434D3">
            <w:pPr>
              <w:spacing w:after="0" w:line="240" w:lineRule="auto"/>
              <w:rPr>
                <w:rFonts w:ascii="Calibri" w:eastAsia="Times New Roman" w:hAnsi="Calibri" w:cs="Calibri"/>
                <w:color w:val="000000"/>
              </w:rPr>
            </w:pPr>
          </w:p>
        </w:tc>
        <w:tc>
          <w:tcPr>
            <w:tcW w:w="4360" w:type="dxa"/>
            <w:gridSpan w:val="2"/>
            <w:tcBorders>
              <w:top w:val="nil"/>
              <w:left w:val="nil"/>
              <w:bottom w:val="nil"/>
              <w:right w:val="nil"/>
            </w:tcBorders>
            <w:shd w:val="clear" w:color="auto" w:fill="auto"/>
            <w:noWrap/>
            <w:vAlign w:val="bottom"/>
            <w:hideMark/>
          </w:tcPr>
          <w:p w:rsidR="009434D3" w:rsidRPr="008C19D3" w:rsidRDefault="009434D3" w:rsidP="009434D3">
            <w:pPr>
              <w:spacing w:after="0" w:line="240" w:lineRule="auto"/>
              <w:rPr>
                <w:rFonts w:ascii="Calibri" w:eastAsia="Times New Roman" w:hAnsi="Calibri" w:cs="Calibri"/>
                <w:color w:val="000000"/>
              </w:rPr>
            </w:pPr>
          </w:p>
        </w:tc>
      </w:tr>
      <w:tr w:rsidR="009434D3" w:rsidRPr="008C19D3" w:rsidTr="00050A19">
        <w:trPr>
          <w:trHeight w:val="1500"/>
        </w:trPr>
        <w:tc>
          <w:tcPr>
            <w:tcW w:w="2683" w:type="dxa"/>
            <w:gridSpan w:val="3"/>
            <w:tcBorders>
              <w:top w:val="single" w:sz="4" w:space="0" w:color="auto"/>
              <w:left w:val="single" w:sz="4" w:space="0" w:color="auto"/>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Property Tax Expense</w:t>
            </w:r>
          </w:p>
        </w:tc>
        <w:tc>
          <w:tcPr>
            <w:tcW w:w="720" w:type="dxa"/>
            <w:tcBorders>
              <w:top w:val="single" w:sz="4" w:space="0" w:color="auto"/>
              <w:left w:val="nil"/>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 = </w:t>
            </w:r>
          </w:p>
        </w:tc>
        <w:tc>
          <w:tcPr>
            <w:tcW w:w="4360" w:type="dxa"/>
            <w:gridSpan w:val="2"/>
            <w:tcBorders>
              <w:top w:val="single" w:sz="4" w:space="0" w:color="auto"/>
              <w:left w:val="nil"/>
              <w:bottom w:val="single" w:sz="4" w:space="0" w:color="auto"/>
              <w:right w:val="single" w:sz="4" w:space="0" w:color="auto"/>
            </w:tcBorders>
            <w:shd w:val="clear" w:color="auto" w:fill="auto"/>
            <w:vAlign w:val="center"/>
            <w:hideMark/>
          </w:tcPr>
          <w:p w:rsidR="00A27CEE" w:rsidRDefault="00A27CEE" w:rsidP="00366056">
            <w:pPr>
              <w:spacing w:after="0" w:line="240" w:lineRule="auto"/>
              <w:jc w:val="center"/>
              <w:rPr>
                <w:rFonts w:eastAsia="Times New Roman" w:cs="Times New Roman"/>
                <w:color w:val="000000"/>
                <w:sz w:val="26"/>
                <w:szCs w:val="26"/>
              </w:rPr>
            </w:pPr>
          </w:p>
          <w:p w:rsidR="009434D3" w:rsidRDefault="009434D3" w:rsidP="00366056">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w:t>
            </w:r>
            <w:r w:rsidR="00366056">
              <w:rPr>
                <w:rFonts w:eastAsia="Times New Roman" w:cs="Times New Roman"/>
                <w:color w:val="000000"/>
                <w:sz w:val="26"/>
                <w:szCs w:val="26"/>
              </w:rPr>
              <w:t>Prior Year-end Cumulative Gross Plant Additions</w:t>
            </w:r>
            <w:r w:rsidRPr="00050A19">
              <w:rPr>
                <w:rFonts w:eastAsia="Times New Roman" w:cs="Times New Roman"/>
                <w:color w:val="000000"/>
                <w:sz w:val="26"/>
                <w:szCs w:val="26"/>
              </w:rPr>
              <w:t>) - (</w:t>
            </w:r>
            <w:r w:rsidR="00366056">
              <w:rPr>
                <w:rFonts w:eastAsia="Times New Roman" w:cs="Times New Roman"/>
                <w:color w:val="000000"/>
                <w:sz w:val="26"/>
                <w:szCs w:val="26"/>
              </w:rPr>
              <w:t>Prior Year-End Cumulative Cost of Removal</w:t>
            </w:r>
            <w:r w:rsidRPr="00050A19">
              <w:rPr>
                <w:rFonts w:eastAsia="Times New Roman" w:cs="Times New Roman"/>
                <w:color w:val="000000"/>
                <w:sz w:val="26"/>
                <w:szCs w:val="26"/>
              </w:rPr>
              <w:t>)</w:t>
            </w:r>
            <w:r w:rsidR="00366056">
              <w:rPr>
                <w:rFonts w:eastAsia="Times New Roman" w:cs="Times New Roman"/>
                <w:color w:val="000000"/>
                <w:sz w:val="26"/>
                <w:szCs w:val="26"/>
              </w:rPr>
              <w:t xml:space="preserve"> – (Prior Year-End Cumulative Retirements</w:t>
            </w:r>
            <w:r w:rsidRPr="00050A19">
              <w:rPr>
                <w:rFonts w:eastAsia="Times New Roman" w:cs="Times New Roman"/>
                <w:color w:val="000000"/>
                <w:sz w:val="26"/>
                <w:szCs w:val="26"/>
              </w:rPr>
              <w:t>] x [(Effective Property Tax Rate) / (12 Months)]</w:t>
            </w:r>
          </w:p>
          <w:p w:rsidR="00A27CEE" w:rsidRPr="00050A19" w:rsidRDefault="00A27CEE" w:rsidP="00366056">
            <w:pPr>
              <w:spacing w:after="0" w:line="240" w:lineRule="auto"/>
              <w:jc w:val="center"/>
              <w:rPr>
                <w:rFonts w:eastAsia="Times New Roman" w:cs="Times New Roman"/>
                <w:color w:val="000000"/>
                <w:sz w:val="26"/>
                <w:szCs w:val="26"/>
              </w:rPr>
            </w:pPr>
          </w:p>
        </w:tc>
      </w:tr>
    </w:tbl>
    <w:p w:rsidR="00A27CEE" w:rsidRDefault="00A27CEE">
      <w:r>
        <w:br w:type="page"/>
      </w:r>
    </w:p>
    <w:tbl>
      <w:tblPr>
        <w:tblW w:w="7763" w:type="dxa"/>
        <w:tblInd w:w="848" w:type="dxa"/>
        <w:tblLook w:val="04A0" w:firstRow="1" w:lastRow="0" w:firstColumn="1" w:lastColumn="0" w:noHBand="0" w:noVBand="1"/>
      </w:tblPr>
      <w:tblGrid>
        <w:gridCol w:w="2683"/>
        <w:gridCol w:w="720"/>
        <w:gridCol w:w="4360"/>
      </w:tblGrid>
      <w:tr w:rsidR="009434D3" w:rsidRPr="008C19D3" w:rsidTr="00050A19">
        <w:trPr>
          <w:trHeight w:val="300"/>
        </w:trPr>
        <w:tc>
          <w:tcPr>
            <w:tcW w:w="2683" w:type="dxa"/>
            <w:tcBorders>
              <w:top w:val="nil"/>
              <w:left w:val="nil"/>
              <w:bottom w:val="nil"/>
              <w:right w:val="nil"/>
            </w:tcBorders>
            <w:shd w:val="clear" w:color="auto" w:fill="auto"/>
            <w:noWrap/>
            <w:vAlign w:val="bottom"/>
            <w:hideMark/>
          </w:tcPr>
          <w:p w:rsidR="009434D3" w:rsidRPr="008C19D3" w:rsidRDefault="009434D3" w:rsidP="009434D3">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9434D3" w:rsidRPr="008C19D3" w:rsidRDefault="009434D3" w:rsidP="009434D3">
            <w:pPr>
              <w:spacing w:after="0" w:line="240" w:lineRule="auto"/>
              <w:rPr>
                <w:rFonts w:ascii="Calibri" w:eastAsia="Times New Roman" w:hAnsi="Calibri" w:cs="Calibri"/>
                <w:color w:val="000000"/>
              </w:rPr>
            </w:pPr>
          </w:p>
        </w:tc>
        <w:tc>
          <w:tcPr>
            <w:tcW w:w="4360" w:type="dxa"/>
            <w:tcBorders>
              <w:top w:val="nil"/>
              <w:left w:val="nil"/>
              <w:bottom w:val="nil"/>
              <w:right w:val="nil"/>
            </w:tcBorders>
            <w:shd w:val="clear" w:color="auto" w:fill="auto"/>
            <w:noWrap/>
            <w:vAlign w:val="bottom"/>
            <w:hideMark/>
          </w:tcPr>
          <w:p w:rsidR="009434D3" w:rsidRPr="008C19D3" w:rsidRDefault="009434D3" w:rsidP="009434D3">
            <w:pPr>
              <w:spacing w:after="0" w:line="240" w:lineRule="auto"/>
              <w:rPr>
                <w:rFonts w:ascii="Calibri" w:eastAsia="Times New Roman" w:hAnsi="Calibri" w:cs="Calibri"/>
                <w:color w:val="000000"/>
              </w:rPr>
            </w:pPr>
          </w:p>
        </w:tc>
      </w:tr>
      <w:tr w:rsidR="009434D3" w:rsidRPr="00050A19" w:rsidTr="00050A19">
        <w:trPr>
          <w:trHeight w:val="1500"/>
        </w:trPr>
        <w:tc>
          <w:tcPr>
            <w:tcW w:w="2683" w:type="dxa"/>
            <w:tcBorders>
              <w:top w:val="single" w:sz="4" w:space="0" w:color="auto"/>
              <w:left w:val="single" w:sz="4" w:space="0" w:color="auto"/>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Incremental Revenue</w:t>
            </w:r>
          </w:p>
        </w:tc>
        <w:tc>
          <w:tcPr>
            <w:tcW w:w="720" w:type="dxa"/>
            <w:tcBorders>
              <w:top w:val="single" w:sz="4" w:space="0" w:color="auto"/>
              <w:left w:val="nil"/>
              <w:bottom w:val="single" w:sz="4" w:space="0" w:color="auto"/>
              <w:right w:val="nil"/>
            </w:tcBorders>
            <w:shd w:val="clear" w:color="auto" w:fill="auto"/>
            <w:noWrap/>
            <w:vAlign w:val="center"/>
            <w:hideMark/>
          </w:tcPr>
          <w:p w:rsidR="009434D3" w:rsidRPr="00050A19"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 =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A27CEE" w:rsidRDefault="00A27CEE" w:rsidP="009434D3">
            <w:pPr>
              <w:spacing w:after="0" w:line="240" w:lineRule="auto"/>
              <w:jc w:val="center"/>
              <w:rPr>
                <w:rFonts w:eastAsia="Times New Roman" w:cs="Times New Roman"/>
                <w:color w:val="000000"/>
                <w:sz w:val="26"/>
                <w:szCs w:val="26"/>
              </w:rPr>
            </w:pPr>
          </w:p>
          <w:p w:rsidR="00A27CEE"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[(Current Month's Customers - </w:t>
            </w:r>
          </w:p>
          <w:p w:rsidR="00A27CEE" w:rsidRDefault="009434D3" w:rsidP="009434D3">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Baseline Customers) x (Cost Portion of Rate)] + [(Consumption by non-SFV customers directly attributable to program investment) x (Cost Portion of Rate)] + (Other revenues directly attributable to program investment)</w:t>
            </w:r>
            <w:r w:rsidR="00F3556B">
              <w:rPr>
                <w:rFonts w:eastAsia="Times New Roman" w:cs="Times New Roman"/>
                <w:color w:val="000000"/>
                <w:sz w:val="26"/>
                <w:szCs w:val="26"/>
              </w:rPr>
              <w:t>.</w:t>
            </w:r>
          </w:p>
          <w:p w:rsidR="00A27CEE" w:rsidRPr="00050A19" w:rsidRDefault="00A27CEE" w:rsidP="009434D3">
            <w:pPr>
              <w:spacing w:after="0" w:line="240" w:lineRule="auto"/>
              <w:jc w:val="center"/>
              <w:rPr>
                <w:rFonts w:eastAsia="Times New Roman" w:cs="Times New Roman"/>
                <w:color w:val="000000"/>
                <w:sz w:val="26"/>
                <w:szCs w:val="26"/>
              </w:rPr>
            </w:pPr>
          </w:p>
        </w:tc>
      </w:tr>
    </w:tbl>
    <w:p w:rsidR="009434D3" w:rsidRDefault="009434D3" w:rsidP="009434D3"/>
    <w:p w:rsidR="009434D3" w:rsidRDefault="00050A19" w:rsidP="00050A19">
      <w:pPr>
        <w:pStyle w:val="textstyle"/>
      </w:pPr>
      <w:r>
        <w:tab/>
      </w:r>
      <w:r w:rsidR="00C566FF">
        <w:t xml:space="preserve">The Staff believes that </w:t>
      </w:r>
      <w:r w:rsidR="009434D3">
        <w:t xml:space="preserve">Commission adoption of the </w:t>
      </w:r>
      <w:r w:rsidR="00C566FF">
        <w:t xml:space="preserve">above </w:t>
      </w:r>
      <w:r w:rsidR="009434D3">
        <w:t xml:space="preserve">formulas </w:t>
      </w:r>
      <w:r w:rsidR="00C566FF">
        <w:t>for</w:t>
      </w:r>
      <w:r w:rsidR="009434D3">
        <w:t xml:space="preserve"> </w:t>
      </w:r>
      <w:r w:rsidR="00C566FF">
        <w:t>calculating DEO’s monthly CAPEX</w:t>
      </w:r>
      <w:r w:rsidR="009434D3">
        <w:t xml:space="preserve"> deferrals as well as the other Staff recommendations made herein should go a long way towards avoiding future misunderstandings and argu</w:t>
      </w:r>
      <w:r>
        <w:t xml:space="preserve">ments over the </w:t>
      </w:r>
      <w:r w:rsidR="00C566FF">
        <w:t xml:space="preserve">CAPEX </w:t>
      </w:r>
      <w:r>
        <w:t xml:space="preserve">deferrals.  </w:t>
      </w:r>
      <w:r w:rsidR="009434D3">
        <w:t xml:space="preserve">Notwithstanding Commission </w:t>
      </w:r>
      <w:r w:rsidR="00C566FF">
        <w:t xml:space="preserve">adoption of </w:t>
      </w:r>
      <w:r w:rsidR="00663308">
        <w:t>the Staff-recom</w:t>
      </w:r>
      <w:r w:rsidR="00B42171">
        <w:softHyphen/>
      </w:r>
      <w:r w:rsidR="00663308">
        <w:t xml:space="preserve">mended </w:t>
      </w:r>
      <w:r w:rsidR="009434D3">
        <w:t>formulas, however, the Staff reiterates the statement that it made in its ini</w:t>
      </w:r>
      <w:r w:rsidR="00F452D9">
        <w:softHyphen/>
      </w:r>
      <w:r w:rsidR="009434D3">
        <w:t xml:space="preserve">tial Comments that </w:t>
      </w:r>
      <w:r w:rsidR="009434D3" w:rsidRPr="00830DCB">
        <w:t>the Staff is taking no position on the level or prudence of the capital</w:t>
      </w:r>
      <w:r w:rsidR="009434D3">
        <w:t xml:space="preserve"> </w:t>
      </w:r>
      <w:r w:rsidR="009434D3" w:rsidRPr="00830DCB">
        <w:t xml:space="preserve">spending proposed </w:t>
      </w:r>
      <w:r w:rsidR="00C566FF">
        <w:t>for DEO’s CAPEX Program</w:t>
      </w:r>
      <w:r w:rsidR="009434D3">
        <w:t xml:space="preserve"> in this proceeding</w:t>
      </w:r>
      <w:r w:rsidR="009434D3" w:rsidRPr="00830DCB">
        <w:t xml:space="preserve">. </w:t>
      </w:r>
      <w:r w:rsidR="009434D3">
        <w:t xml:space="preserve"> </w:t>
      </w:r>
      <w:r w:rsidR="00C566FF">
        <w:t>Further</w:t>
      </w:r>
      <w:r w:rsidR="009434D3" w:rsidRPr="00830DCB">
        <w:t>, the Staff</w:t>
      </w:r>
      <w:r w:rsidR="009434D3">
        <w:t>’</w:t>
      </w:r>
      <w:r w:rsidR="009434D3" w:rsidRPr="00830DCB">
        <w:t>s lack of comment or objection to</w:t>
      </w:r>
      <w:r w:rsidR="009434D3">
        <w:t xml:space="preserve"> </w:t>
      </w:r>
      <w:r w:rsidR="009434D3" w:rsidRPr="00830DCB">
        <w:t>the proposed CEP investments should in no way be con</w:t>
      </w:r>
      <w:r w:rsidR="00B42171">
        <w:softHyphen/>
      </w:r>
      <w:r w:rsidR="009434D3" w:rsidRPr="00830DCB">
        <w:t>strued as the Staff</w:t>
      </w:r>
      <w:r w:rsidR="00F67218">
        <w:t>’</w:t>
      </w:r>
      <w:r w:rsidR="009434D3" w:rsidRPr="00830DCB">
        <w:t>s lack of</w:t>
      </w:r>
      <w:r w:rsidR="009434D3">
        <w:t xml:space="preserve"> </w:t>
      </w:r>
      <w:r w:rsidR="009434D3" w:rsidRPr="00830DCB">
        <w:t>objec</w:t>
      </w:r>
      <w:r w:rsidR="009434D3">
        <w:t>t</w:t>
      </w:r>
      <w:r w:rsidR="009434D3" w:rsidRPr="00830DCB">
        <w:t>ion or support for future recovery of the investments or related deferred amounts</w:t>
      </w:r>
      <w:r w:rsidRPr="00830DCB">
        <w:t>.</w:t>
      </w:r>
      <w:r>
        <w:t xml:space="preserve">  </w:t>
      </w:r>
      <w:r w:rsidR="009434D3" w:rsidRPr="00830DCB">
        <w:t>In fact, the Staff will investigate and make any necessary adjustments to the deferrals</w:t>
      </w:r>
      <w:r w:rsidR="009434D3">
        <w:t xml:space="preserve"> </w:t>
      </w:r>
      <w:r w:rsidR="009434D3" w:rsidRPr="00830DCB">
        <w:t xml:space="preserve">when </w:t>
      </w:r>
      <w:r w:rsidR="00C566FF">
        <w:t>DEO</w:t>
      </w:r>
      <w:r w:rsidR="00C566FF" w:rsidRPr="00830DCB">
        <w:t xml:space="preserve"> </w:t>
      </w:r>
      <w:r w:rsidR="009434D3" w:rsidRPr="00830DCB">
        <w:t>applies to recover the deferred assets.</w:t>
      </w:r>
    </w:p>
    <w:p w:rsidR="004C1633" w:rsidRDefault="004C1633" w:rsidP="00050A19">
      <w:pPr>
        <w:pStyle w:val="textstyle"/>
      </w:pPr>
    </w:p>
    <w:p w:rsidR="004C1633" w:rsidRDefault="004C1633" w:rsidP="00050A19">
      <w:pPr>
        <w:pStyle w:val="textstyle"/>
      </w:pPr>
    </w:p>
    <w:p w:rsidR="004C1633" w:rsidRDefault="004C1633" w:rsidP="00050A19">
      <w:pPr>
        <w:pStyle w:val="textstyle"/>
      </w:pPr>
    </w:p>
    <w:p w:rsidR="004C1633" w:rsidRDefault="004C1633" w:rsidP="00050A19">
      <w:pPr>
        <w:pStyle w:val="textstyle"/>
      </w:pPr>
    </w:p>
    <w:p w:rsidR="004C1633" w:rsidRDefault="004C1633" w:rsidP="00050A19">
      <w:pPr>
        <w:pStyle w:val="textstyle"/>
      </w:pPr>
    </w:p>
    <w:p w:rsidR="005A5444" w:rsidRDefault="005A5444" w:rsidP="00230969">
      <w:pPr>
        <w:pStyle w:val="Heading1"/>
      </w:pPr>
      <w:bookmarkStart w:id="13" w:name="_Toc332788838"/>
      <w:bookmarkStart w:id="14" w:name="_Toc335806091"/>
      <w:r>
        <w:lastRenderedPageBreak/>
        <w:t>CONCLUSION</w:t>
      </w:r>
      <w:bookmarkEnd w:id="9"/>
      <w:bookmarkEnd w:id="13"/>
      <w:bookmarkEnd w:id="14"/>
    </w:p>
    <w:p w:rsidR="009434D3" w:rsidRPr="008C19D3" w:rsidRDefault="00050A19" w:rsidP="00050A19">
      <w:pPr>
        <w:pStyle w:val="textstyle"/>
      </w:pPr>
      <w:r>
        <w:tab/>
      </w:r>
      <w:r w:rsidR="009434D3" w:rsidRPr="008C19D3">
        <w:t xml:space="preserve">With the adoption of the Staff’s unmodified recommendations included in </w:t>
      </w:r>
      <w:r w:rsidR="009434D3">
        <w:t>these Sur</w:t>
      </w:r>
      <w:r w:rsidR="00C566FF">
        <w:t>-</w:t>
      </w:r>
      <w:r w:rsidR="009434D3">
        <w:t xml:space="preserve">Reply </w:t>
      </w:r>
      <w:r w:rsidR="009434D3" w:rsidRPr="008C19D3">
        <w:t>Comments</w:t>
      </w:r>
      <w:r w:rsidR="009434D3">
        <w:t>,</w:t>
      </w:r>
      <w:r w:rsidR="009434D3" w:rsidRPr="008C19D3">
        <w:t xml:space="preserve"> the Staff would respectfully recommend that the Commission approve </w:t>
      </w:r>
      <w:r w:rsidR="00C566FF">
        <w:t xml:space="preserve">DEO’s </w:t>
      </w:r>
      <w:r w:rsidR="009434D3">
        <w:t xml:space="preserve">Application </w:t>
      </w:r>
      <w:r w:rsidR="00F3556B">
        <w:t xml:space="preserve">and the Staff recommendations </w:t>
      </w:r>
      <w:r w:rsidR="009434D3">
        <w:t>in these cases.</w:t>
      </w:r>
    </w:p>
    <w:p w:rsidR="0036080A" w:rsidRPr="00B42171" w:rsidRDefault="0036080A" w:rsidP="00B42171">
      <w:pPr>
        <w:tabs>
          <w:tab w:val="center" w:pos="9360"/>
        </w:tabs>
        <w:spacing w:after="0" w:line="240" w:lineRule="auto"/>
        <w:ind w:left="4320"/>
        <w:rPr>
          <w:rFonts w:cs="Times New Roman"/>
          <w:sz w:val="26"/>
          <w:szCs w:val="26"/>
        </w:rPr>
      </w:pPr>
      <w:r w:rsidRPr="00B42171">
        <w:rPr>
          <w:rFonts w:cs="Times New Roman"/>
          <w:sz w:val="26"/>
          <w:szCs w:val="26"/>
        </w:rPr>
        <w:t>Respectfully Submitted,</w:t>
      </w:r>
    </w:p>
    <w:p w:rsidR="002B0FA8" w:rsidRPr="00B42171" w:rsidRDefault="002B0FA8" w:rsidP="00B42171">
      <w:pPr>
        <w:spacing w:after="0" w:line="240" w:lineRule="auto"/>
        <w:ind w:left="4320"/>
        <w:rPr>
          <w:rFonts w:cs="Times New Roman"/>
          <w:sz w:val="26"/>
          <w:szCs w:val="26"/>
        </w:rPr>
      </w:pPr>
    </w:p>
    <w:p w:rsidR="001420B4" w:rsidRPr="00B42171" w:rsidRDefault="001420B4" w:rsidP="00B42171">
      <w:pPr>
        <w:spacing w:after="0" w:line="240" w:lineRule="auto"/>
        <w:ind w:left="4320"/>
        <w:rPr>
          <w:rFonts w:cs="Times New Roman"/>
          <w:b/>
          <w:sz w:val="26"/>
          <w:szCs w:val="26"/>
        </w:rPr>
      </w:pPr>
      <w:r w:rsidRPr="00B42171">
        <w:rPr>
          <w:rFonts w:cs="Times New Roman"/>
          <w:b/>
          <w:sz w:val="26"/>
          <w:szCs w:val="26"/>
        </w:rPr>
        <w:t xml:space="preserve">Michael DeWine </w:t>
      </w:r>
    </w:p>
    <w:p w:rsidR="001420B4" w:rsidRPr="00B42171" w:rsidRDefault="001420B4" w:rsidP="00B42171">
      <w:pPr>
        <w:spacing w:after="0" w:line="240" w:lineRule="auto"/>
        <w:ind w:left="4320"/>
        <w:rPr>
          <w:rFonts w:cs="Times New Roman"/>
          <w:sz w:val="26"/>
          <w:szCs w:val="26"/>
        </w:rPr>
      </w:pPr>
      <w:r w:rsidRPr="00B42171">
        <w:rPr>
          <w:rFonts w:cs="Times New Roman"/>
          <w:sz w:val="26"/>
          <w:szCs w:val="26"/>
        </w:rPr>
        <w:t>Ohio Attorney General</w:t>
      </w:r>
    </w:p>
    <w:p w:rsidR="001420B4" w:rsidRPr="00B42171" w:rsidRDefault="001420B4" w:rsidP="00B42171">
      <w:pPr>
        <w:spacing w:after="0" w:line="240" w:lineRule="auto"/>
        <w:ind w:left="4320"/>
        <w:rPr>
          <w:rFonts w:cs="Times New Roman"/>
          <w:sz w:val="26"/>
          <w:szCs w:val="26"/>
        </w:rPr>
      </w:pPr>
    </w:p>
    <w:p w:rsidR="001420B4" w:rsidRPr="00B42171" w:rsidRDefault="001420B4" w:rsidP="00B42171">
      <w:pPr>
        <w:spacing w:after="0" w:line="240" w:lineRule="auto"/>
        <w:ind w:left="4320"/>
        <w:rPr>
          <w:rFonts w:cs="Times New Roman"/>
          <w:sz w:val="26"/>
          <w:szCs w:val="26"/>
        </w:rPr>
      </w:pPr>
      <w:r w:rsidRPr="00B42171">
        <w:rPr>
          <w:rFonts w:cs="Times New Roman"/>
          <w:b/>
          <w:sz w:val="26"/>
          <w:szCs w:val="26"/>
        </w:rPr>
        <w:t>William L. Wright</w:t>
      </w:r>
    </w:p>
    <w:p w:rsidR="00395DDD" w:rsidRPr="004C1633" w:rsidRDefault="001420B4" w:rsidP="00B42171">
      <w:pPr>
        <w:spacing w:after="0" w:line="240" w:lineRule="auto"/>
        <w:ind w:left="4320"/>
        <w:rPr>
          <w:rFonts w:cs="Times New Roman"/>
          <w:b/>
          <w:sz w:val="26"/>
          <w:szCs w:val="26"/>
        </w:rPr>
      </w:pPr>
      <w:r w:rsidRPr="00B42171">
        <w:rPr>
          <w:rFonts w:cs="Times New Roman"/>
          <w:sz w:val="26"/>
          <w:szCs w:val="26"/>
        </w:rPr>
        <w:t>Section Chief</w:t>
      </w:r>
    </w:p>
    <w:p w:rsidR="00395DDD" w:rsidRPr="00B42171" w:rsidRDefault="001E55BC" w:rsidP="00B42171">
      <w:pPr>
        <w:pStyle w:val="SignatureStyle"/>
      </w:pPr>
      <w:r w:rsidRPr="00B42171">
        <w:t>/s/ Stephen A. Reilly</w:t>
      </w:r>
      <w:r w:rsidR="00395DDD" w:rsidRPr="00B42171">
        <w:tab/>
      </w:r>
    </w:p>
    <w:p w:rsidR="001420B4" w:rsidRPr="00B42171" w:rsidRDefault="001420B4" w:rsidP="00B42171">
      <w:pPr>
        <w:spacing w:after="0" w:line="240" w:lineRule="auto"/>
        <w:ind w:left="4320"/>
        <w:rPr>
          <w:rFonts w:cs="Times New Roman"/>
          <w:b/>
          <w:sz w:val="26"/>
          <w:szCs w:val="26"/>
        </w:rPr>
      </w:pPr>
      <w:r w:rsidRPr="00B42171">
        <w:rPr>
          <w:rFonts w:cs="Times New Roman"/>
          <w:b/>
          <w:sz w:val="26"/>
          <w:szCs w:val="26"/>
        </w:rPr>
        <w:t xml:space="preserve">Stephen A. Reilly </w:t>
      </w:r>
    </w:p>
    <w:p w:rsidR="001420B4" w:rsidRPr="00B42171" w:rsidRDefault="001420B4" w:rsidP="00B42171">
      <w:pPr>
        <w:spacing w:after="0" w:line="240" w:lineRule="auto"/>
        <w:ind w:left="4320"/>
        <w:rPr>
          <w:rFonts w:cs="Times New Roman"/>
          <w:sz w:val="26"/>
          <w:szCs w:val="26"/>
        </w:rPr>
      </w:pPr>
      <w:r w:rsidRPr="00B42171">
        <w:rPr>
          <w:rFonts w:cs="Times New Roman"/>
          <w:sz w:val="26"/>
          <w:szCs w:val="26"/>
        </w:rPr>
        <w:t>Assistant Attorney General</w:t>
      </w:r>
    </w:p>
    <w:p w:rsidR="001420B4" w:rsidRPr="00B42171" w:rsidRDefault="001420B4" w:rsidP="00B42171">
      <w:pPr>
        <w:spacing w:after="0" w:line="240" w:lineRule="auto"/>
        <w:ind w:left="4320"/>
        <w:rPr>
          <w:rFonts w:cs="Times New Roman"/>
          <w:sz w:val="26"/>
          <w:szCs w:val="26"/>
        </w:rPr>
      </w:pPr>
      <w:r w:rsidRPr="00B42171">
        <w:rPr>
          <w:rFonts w:cs="Times New Roman"/>
          <w:sz w:val="26"/>
          <w:szCs w:val="26"/>
        </w:rPr>
        <w:t>Public Utilities Section</w:t>
      </w:r>
    </w:p>
    <w:p w:rsidR="001420B4" w:rsidRPr="00B42171" w:rsidRDefault="001420B4" w:rsidP="00B42171">
      <w:pPr>
        <w:spacing w:after="0" w:line="240" w:lineRule="auto"/>
        <w:ind w:left="4320"/>
        <w:rPr>
          <w:rFonts w:cs="Times New Roman"/>
          <w:sz w:val="26"/>
          <w:szCs w:val="26"/>
        </w:rPr>
      </w:pPr>
      <w:r w:rsidRPr="00B42171">
        <w:rPr>
          <w:rFonts w:cs="Times New Roman"/>
          <w:sz w:val="26"/>
          <w:szCs w:val="26"/>
        </w:rPr>
        <w:t>180 East Broad Street, 6</w:t>
      </w:r>
      <w:r w:rsidRPr="00B42171">
        <w:rPr>
          <w:rFonts w:cs="Times New Roman"/>
          <w:sz w:val="26"/>
          <w:szCs w:val="26"/>
          <w:vertAlign w:val="superscript"/>
        </w:rPr>
        <w:t>th</w:t>
      </w:r>
      <w:r w:rsidRPr="00B42171">
        <w:rPr>
          <w:rFonts w:cs="Times New Roman"/>
          <w:sz w:val="26"/>
          <w:szCs w:val="26"/>
        </w:rPr>
        <w:t xml:space="preserve"> Fl. </w:t>
      </w:r>
    </w:p>
    <w:p w:rsidR="001420B4" w:rsidRPr="00B42171" w:rsidRDefault="001420B4" w:rsidP="00B42171">
      <w:pPr>
        <w:spacing w:after="0" w:line="240" w:lineRule="auto"/>
        <w:ind w:left="4320"/>
        <w:rPr>
          <w:rFonts w:cs="Times New Roman"/>
          <w:sz w:val="26"/>
          <w:szCs w:val="26"/>
        </w:rPr>
      </w:pPr>
      <w:r w:rsidRPr="00B42171">
        <w:rPr>
          <w:rFonts w:cs="Times New Roman"/>
          <w:sz w:val="26"/>
          <w:szCs w:val="26"/>
        </w:rPr>
        <w:t>Columbus, OH  43215</w:t>
      </w:r>
    </w:p>
    <w:p w:rsidR="001420B4" w:rsidRPr="00B42171" w:rsidRDefault="001420B4" w:rsidP="00B42171">
      <w:pPr>
        <w:spacing w:after="0" w:line="240" w:lineRule="auto"/>
        <w:ind w:left="4320"/>
        <w:rPr>
          <w:rFonts w:cs="Times New Roman"/>
          <w:sz w:val="26"/>
          <w:szCs w:val="26"/>
        </w:rPr>
      </w:pPr>
      <w:r w:rsidRPr="00B42171">
        <w:rPr>
          <w:rFonts w:cs="Times New Roman"/>
          <w:sz w:val="26"/>
          <w:szCs w:val="26"/>
        </w:rPr>
        <w:t>614.466.4395 (telephone)</w:t>
      </w:r>
    </w:p>
    <w:p w:rsidR="001420B4" w:rsidRPr="00B42171" w:rsidRDefault="001420B4" w:rsidP="00B42171">
      <w:pPr>
        <w:spacing w:after="0" w:line="240" w:lineRule="auto"/>
        <w:ind w:left="4320"/>
        <w:jc w:val="both"/>
        <w:rPr>
          <w:rFonts w:cs="Times New Roman"/>
          <w:sz w:val="26"/>
          <w:szCs w:val="26"/>
        </w:rPr>
      </w:pPr>
      <w:r w:rsidRPr="00B42171">
        <w:rPr>
          <w:rFonts w:cs="Times New Roman"/>
          <w:sz w:val="26"/>
          <w:szCs w:val="26"/>
        </w:rPr>
        <w:t>614.644.8764 (fax)</w:t>
      </w:r>
    </w:p>
    <w:p w:rsidR="001420B4" w:rsidRPr="00B42171" w:rsidRDefault="004473DE" w:rsidP="00B42171">
      <w:pPr>
        <w:spacing w:after="0" w:line="240" w:lineRule="auto"/>
        <w:ind w:left="4320"/>
        <w:jc w:val="both"/>
        <w:rPr>
          <w:rFonts w:cs="Times New Roman"/>
          <w:sz w:val="26"/>
          <w:szCs w:val="26"/>
        </w:rPr>
      </w:pPr>
      <w:hyperlink r:id="rId14" w:history="1">
        <w:r w:rsidR="001420B4" w:rsidRPr="00B42171">
          <w:rPr>
            <w:rStyle w:val="Hyperlink"/>
            <w:rFonts w:cs="Times New Roman"/>
            <w:sz w:val="26"/>
            <w:szCs w:val="26"/>
          </w:rPr>
          <w:t>william.wright@puc.state.oh.us</w:t>
        </w:r>
      </w:hyperlink>
    </w:p>
    <w:p w:rsidR="001420B4" w:rsidRPr="00B42171" w:rsidRDefault="004473DE" w:rsidP="00B42171">
      <w:pPr>
        <w:spacing w:after="0" w:line="240" w:lineRule="auto"/>
        <w:ind w:left="4320"/>
        <w:jc w:val="both"/>
        <w:rPr>
          <w:rFonts w:cs="Times New Roman"/>
          <w:sz w:val="26"/>
          <w:szCs w:val="26"/>
        </w:rPr>
      </w:pPr>
      <w:hyperlink r:id="rId15" w:history="1">
        <w:r w:rsidR="001420B4" w:rsidRPr="00B42171">
          <w:rPr>
            <w:rStyle w:val="Hyperlink"/>
            <w:rFonts w:cs="Times New Roman"/>
            <w:sz w:val="26"/>
            <w:szCs w:val="26"/>
          </w:rPr>
          <w:t>stephen.reilly@puc.state.oh.us</w:t>
        </w:r>
      </w:hyperlink>
    </w:p>
    <w:p w:rsidR="005A5444" w:rsidRDefault="005A5444" w:rsidP="0036080A">
      <w:pPr>
        <w:jc w:val="center"/>
        <w:rPr>
          <w:rFonts w:cs="Times New Roman"/>
          <w:b/>
          <w:sz w:val="26"/>
          <w:szCs w:val="26"/>
        </w:rPr>
      </w:pPr>
      <w:r>
        <w:rPr>
          <w:rFonts w:cs="Times New Roman"/>
          <w:b/>
          <w:sz w:val="26"/>
          <w:szCs w:val="26"/>
        </w:rPr>
        <w:br w:type="page"/>
      </w:r>
    </w:p>
    <w:p w:rsidR="00CD42AF" w:rsidRPr="000E73B4" w:rsidRDefault="00CD42AF" w:rsidP="00230969">
      <w:pPr>
        <w:pStyle w:val="Heading1"/>
      </w:pPr>
      <w:bookmarkStart w:id="15" w:name="_Toc317248255"/>
      <w:bookmarkStart w:id="16" w:name="_Toc335806092"/>
      <w:r w:rsidRPr="000E73B4">
        <w:lastRenderedPageBreak/>
        <w:t>CERTIFICATE OF SERVICE</w:t>
      </w:r>
      <w:bookmarkEnd w:id="15"/>
      <w:bookmarkEnd w:id="16"/>
    </w:p>
    <w:p w:rsidR="00CD42AF" w:rsidRPr="000E73B4" w:rsidRDefault="00CD42AF" w:rsidP="00CD42AF">
      <w:pPr>
        <w:spacing w:line="480" w:lineRule="auto"/>
        <w:jc w:val="both"/>
        <w:rPr>
          <w:rFonts w:cs="Times New Roman"/>
          <w:sz w:val="26"/>
          <w:szCs w:val="26"/>
        </w:rPr>
      </w:pPr>
      <w:r w:rsidRPr="000E73B4">
        <w:rPr>
          <w:rFonts w:cs="Times New Roman"/>
          <w:sz w:val="26"/>
          <w:szCs w:val="26"/>
        </w:rPr>
        <w:tab/>
        <w:t>I hereby certify that a true copy of the</w:t>
      </w:r>
      <w:r w:rsidR="0061659A" w:rsidRPr="000E73B4">
        <w:rPr>
          <w:rFonts w:cs="Times New Roman"/>
          <w:sz w:val="26"/>
          <w:szCs w:val="26"/>
        </w:rPr>
        <w:t xml:space="preserve"> </w:t>
      </w:r>
      <w:r w:rsidR="002B0FA8">
        <w:rPr>
          <w:rFonts w:cs="Times New Roman"/>
          <w:sz w:val="26"/>
          <w:szCs w:val="26"/>
        </w:rPr>
        <w:t xml:space="preserve">foregoing </w:t>
      </w:r>
      <w:r w:rsidR="00050A19">
        <w:rPr>
          <w:rFonts w:cs="Times New Roman"/>
          <w:b/>
          <w:sz w:val="26"/>
          <w:szCs w:val="26"/>
        </w:rPr>
        <w:t>Sur-</w:t>
      </w:r>
      <w:r w:rsidR="002362D8" w:rsidRPr="002362D8">
        <w:rPr>
          <w:rFonts w:cs="Times New Roman"/>
          <w:b/>
          <w:sz w:val="26"/>
          <w:szCs w:val="26"/>
        </w:rPr>
        <w:t>Reply</w:t>
      </w:r>
      <w:r w:rsidR="002362D8">
        <w:rPr>
          <w:rFonts w:cs="Times New Roman"/>
          <w:sz w:val="26"/>
          <w:szCs w:val="26"/>
        </w:rPr>
        <w:t xml:space="preserve"> </w:t>
      </w:r>
      <w:r w:rsidR="00B17D9A">
        <w:rPr>
          <w:rFonts w:cs="Times New Roman"/>
          <w:b/>
          <w:sz w:val="26"/>
          <w:szCs w:val="26"/>
        </w:rPr>
        <w:t>Comments</w:t>
      </w:r>
      <w:r w:rsidRPr="000E73B4">
        <w:rPr>
          <w:rFonts w:cs="Times New Roman"/>
          <w:b/>
          <w:sz w:val="26"/>
          <w:szCs w:val="26"/>
        </w:rPr>
        <w:t xml:space="preserve"> </w:t>
      </w:r>
      <w:r w:rsidR="002B0FA8" w:rsidRPr="002B0FA8">
        <w:rPr>
          <w:rFonts w:cs="Times New Roman"/>
          <w:sz w:val="26"/>
          <w:szCs w:val="26"/>
        </w:rPr>
        <w:t xml:space="preserve">submitted on behalf of the Staff of the Public Utilities Commission of Ohio </w:t>
      </w:r>
      <w:r w:rsidRPr="000E73B4">
        <w:rPr>
          <w:rFonts w:cs="Times New Roman"/>
          <w:sz w:val="26"/>
          <w:szCs w:val="26"/>
        </w:rPr>
        <w:t>was served by elec</w:t>
      </w:r>
      <w:r w:rsidR="00F452D9">
        <w:rPr>
          <w:rFonts w:cs="Times New Roman"/>
          <w:sz w:val="26"/>
          <w:szCs w:val="26"/>
        </w:rPr>
        <w:softHyphen/>
      </w:r>
      <w:r w:rsidRPr="000E73B4">
        <w:rPr>
          <w:rFonts w:cs="Times New Roman"/>
          <w:sz w:val="26"/>
          <w:szCs w:val="26"/>
        </w:rPr>
        <w:t xml:space="preserve">tronic mail upon the following parties of record, this </w:t>
      </w:r>
      <w:r w:rsidR="00B42171">
        <w:rPr>
          <w:rFonts w:cs="Times New Roman"/>
          <w:sz w:val="26"/>
          <w:szCs w:val="26"/>
        </w:rPr>
        <w:t>20</w:t>
      </w:r>
      <w:r w:rsidR="00B42171" w:rsidRPr="00B42171">
        <w:rPr>
          <w:rFonts w:cs="Times New Roman"/>
          <w:sz w:val="26"/>
          <w:szCs w:val="26"/>
          <w:vertAlign w:val="superscript"/>
        </w:rPr>
        <w:t>th</w:t>
      </w:r>
      <w:r w:rsidR="00B42171">
        <w:rPr>
          <w:rFonts w:cs="Times New Roman"/>
          <w:sz w:val="26"/>
          <w:szCs w:val="26"/>
        </w:rPr>
        <w:t xml:space="preserve"> day of September</w:t>
      </w:r>
      <w:r w:rsidR="00B65AD5" w:rsidRPr="000E73B4">
        <w:rPr>
          <w:rFonts w:cs="Times New Roman"/>
          <w:sz w:val="26"/>
          <w:szCs w:val="26"/>
        </w:rPr>
        <w:t>, 2012</w:t>
      </w:r>
      <w:r w:rsidRPr="000E73B4">
        <w:rPr>
          <w:rFonts w:cs="Times New Roman"/>
          <w:sz w:val="26"/>
          <w:szCs w:val="26"/>
        </w:rPr>
        <w:t>.</w:t>
      </w:r>
    </w:p>
    <w:p w:rsidR="001E55BC" w:rsidRDefault="001E55BC" w:rsidP="00B42171">
      <w:pPr>
        <w:pStyle w:val="SignatureStyle"/>
      </w:pPr>
      <w:r w:rsidRPr="001E55BC">
        <w:t>/s/ Stephen A. Reilly</w:t>
      </w:r>
      <w:r>
        <w:tab/>
      </w:r>
    </w:p>
    <w:p w:rsidR="00CD42AF" w:rsidRPr="00050A19" w:rsidRDefault="00451D2C" w:rsidP="00B42171">
      <w:pPr>
        <w:spacing w:after="0" w:line="240" w:lineRule="auto"/>
        <w:ind w:left="4320"/>
        <w:rPr>
          <w:b/>
          <w:sz w:val="26"/>
          <w:szCs w:val="26"/>
        </w:rPr>
      </w:pPr>
      <w:r w:rsidRPr="00050A19">
        <w:rPr>
          <w:b/>
          <w:sz w:val="26"/>
          <w:szCs w:val="26"/>
        </w:rPr>
        <w:t>Stephen A. Reilly</w:t>
      </w:r>
    </w:p>
    <w:p w:rsidR="00CD42AF" w:rsidRPr="00050A19" w:rsidRDefault="00395DDD" w:rsidP="00B42171">
      <w:pPr>
        <w:spacing w:after="0" w:line="240" w:lineRule="auto"/>
        <w:ind w:left="4320"/>
        <w:jc w:val="both"/>
        <w:rPr>
          <w:rFonts w:cs="Times New Roman"/>
          <w:sz w:val="26"/>
          <w:szCs w:val="26"/>
        </w:rPr>
      </w:pPr>
      <w:r w:rsidRPr="00050A19">
        <w:rPr>
          <w:rFonts w:cs="Times New Roman"/>
          <w:sz w:val="26"/>
          <w:szCs w:val="26"/>
        </w:rPr>
        <w:t>Assistant Attorney General</w:t>
      </w:r>
    </w:p>
    <w:p w:rsidR="00CD42AF" w:rsidRDefault="00CD42AF" w:rsidP="00B42171">
      <w:pPr>
        <w:spacing w:after="0" w:line="240" w:lineRule="auto"/>
        <w:jc w:val="both"/>
        <w:rPr>
          <w:rFonts w:cs="Times New Roman"/>
          <w:b/>
          <w:sz w:val="26"/>
          <w:szCs w:val="26"/>
        </w:rPr>
      </w:pPr>
      <w:r w:rsidRPr="000E73B4">
        <w:rPr>
          <w:rFonts w:cs="Times New Roman"/>
          <w:b/>
          <w:sz w:val="26"/>
          <w:szCs w:val="26"/>
        </w:rPr>
        <w:t>PARTIES OF RECORD:</w:t>
      </w:r>
    </w:p>
    <w:p w:rsidR="00B42171" w:rsidRPr="000E73B4" w:rsidRDefault="00B42171" w:rsidP="00B42171">
      <w:pPr>
        <w:spacing w:after="0" w:line="240" w:lineRule="auto"/>
        <w:jc w:val="both"/>
        <w:rPr>
          <w:rFonts w:cs="Times New Roman"/>
          <w:b/>
          <w:sz w:val="26"/>
          <w:szCs w:val="26"/>
        </w:rPr>
      </w:pPr>
    </w:p>
    <w:p w:rsidR="008E753D" w:rsidRPr="000E73B4" w:rsidRDefault="00B65AD5" w:rsidP="00B42171">
      <w:pPr>
        <w:spacing w:after="0" w:line="240" w:lineRule="auto"/>
        <w:rPr>
          <w:rFonts w:cs="Times New Roman"/>
          <w:sz w:val="26"/>
          <w:szCs w:val="26"/>
        </w:rPr>
      </w:pPr>
      <w:r w:rsidRPr="000E73B4">
        <w:rPr>
          <w:rFonts w:cs="Times New Roman"/>
          <w:sz w:val="26"/>
          <w:szCs w:val="26"/>
        </w:rPr>
        <w:t>Larry S. Sauer</w:t>
      </w:r>
    </w:p>
    <w:p w:rsidR="00B65AD5" w:rsidRPr="000E73B4" w:rsidRDefault="00B65AD5" w:rsidP="00B42171">
      <w:pPr>
        <w:spacing w:after="0" w:line="240" w:lineRule="auto"/>
        <w:rPr>
          <w:rFonts w:cs="Times New Roman"/>
          <w:sz w:val="26"/>
          <w:szCs w:val="26"/>
        </w:rPr>
      </w:pPr>
      <w:r w:rsidRPr="000E73B4">
        <w:rPr>
          <w:rFonts w:cs="Times New Roman"/>
          <w:sz w:val="26"/>
          <w:szCs w:val="26"/>
        </w:rPr>
        <w:t>Joseph P. Serio</w:t>
      </w:r>
    </w:p>
    <w:p w:rsidR="00B65AD5" w:rsidRPr="000E73B4" w:rsidRDefault="00B65AD5" w:rsidP="00B42171">
      <w:pPr>
        <w:spacing w:after="0" w:line="240" w:lineRule="auto"/>
        <w:rPr>
          <w:rFonts w:cs="Times New Roman"/>
          <w:sz w:val="26"/>
          <w:szCs w:val="26"/>
        </w:rPr>
      </w:pPr>
      <w:r w:rsidRPr="000E73B4">
        <w:rPr>
          <w:rFonts w:cs="Times New Roman"/>
          <w:sz w:val="26"/>
          <w:szCs w:val="26"/>
        </w:rPr>
        <w:t>Assistant Consumers’ counsel</w:t>
      </w:r>
    </w:p>
    <w:p w:rsidR="00B65AD5" w:rsidRPr="000E73B4" w:rsidRDefault="00B65AD5" w:rsidP="00B42171">
      <w:pPr>
        <w:spacing w:after="0" w:line="240" w:lineRule="auto"/>
        <w:rPr>
          <w:rFonts w:cs="Times New Roman"/>
          <w:sz w:val="26"/>
          <w:szCs w:val="26"/>
        </w:rPr>
      </w:pPr>
      <w:r w:rsidRPr="000E73B4">
        <w:rPr>
          <w:rFonts w:cs="Times New Roman"/>
          <w:sz w:val="26"/>
          <w:szCs w:val="26"/>
        </w:rPr>
        <w:t>10 West Broad Street, Suite 1800</w:t>
      </w:r>
    </w:p>
    <w:p w:rsidR="00B65AD5" w:rsidRPr="000E73B4" w:rsidRDefault="00B65AD5" w:rsidP="00B42171">
      <w:pPr>
        <w:spacing w:after="0" w:line="240" w:lineRule="auto"/>
        <w:rPr>
          <w:rFonts w:cs="Times New Roman"/>
          <w:sz w:val="26"/>
          <w:szCs w:val="26"/>
        </w:rPr>
      </w:pPr>
      <w:r w:rsidRPr="000E73B4">
        <w:rPr>
          <w:rFonts w:cs="Times New Roman"/>
          <w:sz w:val="26"/>
          <w:szCs w:val="26"/>
        </w:rPr>
        <w:t>Columbus, Ohio  43215-3485</w:t>
      </w:r>
    </w:p>
    <w:p w:rsidR="00B65AD5" w:rsidRDefault="004473DE" w:rsidP="00B42171">
      <w:pPr>
        <w:spacing w:after="0" w:line="240" w:lineRule="auto"/>
        <w:rPr>
          <w:rFonts w:cs="Times New Roman"/>
          <w:sz w:val="26"/>
          <w:szCs w:val="26"/>
        </w:rPr>
      </w:pPr>
      <w:hyperlink r:id="rId16" w:history="1">
        <w:r w:rsidR="00B42171" w:rsidRPr="00767016">
          <w:rPr>
            <w:rStyle w:val="Hyperlink"/>
            <w:rFonts w:cs="Times New Roman"/>
            <w:sz w:val="26"/>
            <w:szCs w:val="26"/>
          </w:rPr>
          <w:t>serio@occ.state.oh.us</w:t>
        </w:r>
      </w:hyperlink>
    </w:p>
    <w:p w:rsidR="00B65AD5" w:rsidRDefault="004473DE" w:rsidP="00B42171">
      <w:pPr>
        <w:spacing w:after="0" w:line="240" w:lineRule="auto"/>
        <w:rPr>
          <w:rFonts w:cs="Times New Roman"/>
          <w:sz w:val="26"/>
          <w:szCs w:val="26"/>
        </w:rPr>
      </w:pPr>
      <w:hyperlink r:id="rId17" w:history="1">
        <w:r w:rsidR="00B42171" w:rsidRPr="00767016">
          <w:rPr>
            <w:rStyle w:val="Hyperlink"/>
            <w:rFonts w:cs="Times New Roman"/>
            <w:sz w:val="26"/>
            <w:szCs w:val="26"/>
          </w:rPr>
          <w:t>sauer@occ.state.oh.us</w:t>
        </w:r>
      </w:hyperlink>
    </w:p>
    <w:p w:rsidR="00B42171" w:rsidRPr="000E73B4" w:rsidRDefault="00B42171" w:rsidP="00B42171">
      <w:pPr>
        <w:spacing w:after="0" w:line="240" w:lineRule="auto"/>
        <w:rPr>
          <w:rStyle w:val="Hyperlink"/>
          <w:rFonts w:cs="Times New Roman"/>
          <w:sz w:val="26"/>
          <w:szCs w:val="26"/>
        </w:rPr>
      </w:pPr>
    </w:p>
    <w:p w:rsidR="0061659A" w:rsidRDefault="00B42171" w:rsidP="00B42171">
      <w:pPr>
        <w:spacing w:after="0" w:line="240" w:lineRule="auto"/>
        <w:rPr>
          <w:rFonts w:cs="Times New Roman"/>
          <w:sz w:val="26"/>
          <w:szCs w:val="26"/>
        </w:rPr>
      </w:pPr>
      <w:r>
        <w:rPr>
          <w:rFonts w:cs="Times New Roman"/>
          <w:sz w:val="26"/>
          <w:szCs w:val="26"/>
        </w:rPr>
        <w:t>Mark A. Whitt</w:t>
      </w:r>
      <w:r>
        <w:rPr>
          <w:rFonts w:cs="Times New Roman"/>
          <w:sz w:val="26"/>
          <w:szCs w:val="26"/>
        </w:rPr>
        <w:br/>
        <w:t>Andrew J. Campbell</w:t>
      </w:r>
    </w:p>
    <w:p w:rsidR="00B42171" w:rsidRDefault="00B42171" w:rsidP="00B42171">
      <w:pPr>
        <w:spacing w:after="0" w:line="240" w:lineRule="auto"/>
        <w:rPr>
          <w:rFonts w:cs="Times New Roman"/>
          <w:sz w:val="26"/>
          <w:szCs w:val="26"/>
        </w:rPr>
      </w:pPr>
      <w:r>
        <w:rPr>
          <w:rFonts w:cs="Times New Roman"/>
          <w:sz w:val="26"/>
          <w:szCs w:val="26"/>
        </w:rPr>
        <w:t>Whitt Sturtevant</w:t>
      </w:r>
    </w:p>
    <w:p w:rsidR="00B42171" w:rsidRDefault="00B42171" w:rsidP="00B42171">
      <w:pPr>
        <w:spacing w:after="0" w:line="240" w:lineRule="auto"/>
        <w:rPr>
          <w:rFonts w:cs="Times New Roman"/>
          <w:sz w:val="26"/>
          <w:szCs w:val="26"/>
        </w:rPr>
      </w:pPr>
      <w:r>
        <w:rPr>
          <w:rFonts w:cs="Times New Roman"/>
          <w:sz w:val="26"/>
          <w:szCs w:val="26"/>
        </w:rPr>
        <w:t>PNC Plaza, Suite 2020</w:t>
      </w:r>
    </w:p>
    <w:p w:rsidR="00B42171" w:rsidRDefault="00B42171" w:rsidP="00B42171">
      <w:pPr>
        <w:spacing w:after="0" w:line="240" w:lineRule="auto"/>
        <w:rPr>
          <w:rFonts w:cs="Times New Roman"/>
          <w:sz w:val="26"/>
          <w:szCs w:val="26"/>
        </w:rPr>
      </w:pPr>
      <w:r>
        <w:rPr>
          <w:rFonts w:cs="Times New Roman"/>
          <w:sz w:val="26"/>
          <w:szCs w:val="26"/>
        </w:rPr>
        <w:t>155 East Broad Street</w:t>
      </w:r>
    </w:p>
    <w:p w:rsidR="00B42171" w:rsidRDefault="00B42171" w:rsidP="00B42171">
      <w:pPr>
        <w:spacing w:after="0" w:line="240" w:lineRule="auto"/>
        <w:rPr>
          <w:rFonts w:cs="Times New Roman"/>
          <w:sz w:val="26"/>
          <w:szCs w:val="26"/>
        </w:rPr>
      </w:pPr>
      <w:r>
        <w:rPr>
          <w:rFonts w:cs="Times New Roman"/>
          <w:sz w:val="26"/>
          <w:szCs w:val="26"/>
        </w:rPr>
        <w:t>Columbus, OH  43215</w:t>
      </w:r>
    </w:p>
    <w:p w:rsidR="00B42171" w:rsidRDefault="004473DE" w:rsidP="00B42171">
      <w:pPr>
        <w:spacing w:after="0" w:line="240" w:lineRule="auto"/>
        <w:rPr>
          <w:rFonts w:cs="Times New Roman"/>
          <w:sz w:val="26"/>
          <w:szCs w:val="26"/>
        </w:rPr>
      </w:pPr>
      <w:hyperlink r:id="rId18" w:history="1">
        <w:r w:rsidR="00B42171" w:rsidRPr="00767016">
          <w:rPr>
            <w:rStyle w:val="Hyperlink"/>
            <w:rFonts w:cs="Times New Roman"/>
            <w:sz w:val="26"/>
            <w:szCs w:val="26"/>
          </w:rPr>
          <w:t>whitt@whitt-sturtevant.com</w:t>
        </w:r>
      </w:hyperlink>
    </w:p>
    <w:p w:rsidR="00B42171" w:rsidRDefault="004473DE" w:rsidP="00B42171">
      <w:pPr>
        <w:spacing w:after="0" w:line="240" w:lineRule="auto"/>
        <w:rPr>
          <w:rFonts w:cs="Times New Roman"/>
          <w:sz w:val="26"/>
          <w:szCs w:val="26"/>
        </w:rPr>
      </w:pPr>
      <w:hyperlink r:id="rId19" w:history="1">
        <w:r w:rsidR="00B42171" w:rsidRPr="00767016">
          <w:rPr>
            <w:rStyle w:val="Hyperlink"/>
            <w:rFonts w:cs="Times New Roman"/>
            <w:sz w:val="26"/>
            <w:szCs w:val="26"/>
          </w:rPr>
          <w:t>campbell@whitt.sturtevant.com</w:t>
        </w:r>
      </w:hyperlink>
    </w:p>
    <w:p w:rsidR="00B42171" w:rsidRDefault="00B42171" w:rsidP="00B42171">
      <w:pPr>
        <w:spacing w:after="0" w:line="240" w:lineRule="auto"/>
        <w:rPr>
          <w:rFonts w:cs="Times New Roman"/>
          <w:sz w:val="26"/>
          <w:szCs w:val="26"/>
        </w:rPr>
      </w:pPr>
    </w:p>
    <w:p w:rsidR="00B65AD5" w:rsidRPr="00CD42AF" w:rsidRDefault="00B65AD5" w:rsidP="00B42171">
      <w:pPr>
        <w:spacing w:after="0" w:line="240" w:lineRule="auto"/>
        <w:rPr>
          <w:rFonts w:cs="Times New Roman"/>
          <w:sz w:val="26"/>
          <w:szCs w:val="26"/>
        </w:rPr>
      </w:pPr>
    </w:p>
    <w:sectPr w:rsidR="00B65AD5" w:rsidRPr="00CD42AF" w:rsidSect="002B0FA8">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39" w:rsidRDefault="00366339" w:rsidP="00334569">
      <w:pPr>
        <w:spacing w:after="0" w:line="240" w:lineRule="auto"/>
      </w:pPr>
      <w:r>
        <w:separator/>
      </w:r>
    </w:p>
    <w:p w:rsidR="00366339" w:rsidRDefault="00366339"/>
  </w:endnote>
  <w:endnote w:type="continuationSeparator" w:id="0">
    <w:p w:rsidR="00366339" w:rsidRDefault="00366339" w:rsidP="00334569">
      <w:pPr>
        <w:spacing w:after="0" w:line="240" w:lineRule="auto"/>
      </w:pPr>
      <w:r>
        <w:continuationSeparator/>
      </w:r>
    </w:p>
    <w:p w:rsidR="00366339" w:rsidRDefault="00366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580093"/>
      <w:docPartObj>
        <w:docPartGallery w:val="Page Numbers (Bottom of Page)"/>
        <w:docPartUnique/>
      </w:docPartObj>
    </w:sdtPr>
    <w:sdtEndPr>
      <w:rPr>
        <w:noProof/>
      </w:rPr>
    </w:sdtEndPr>
    <w:sdtContent>
      <w:p w:rsidR="00DD1926" w:rsidRDefault="00DD1926">
        <w:pPr>
          <w:pStyle w:val="Footer"/>
          <w:jc w:val="center"/>
        </w:pPr>
        <w:r>
          <w:fldChar w:fldCharType="begin"/>
        </w:r>
        <w:r>
          <w:instrText xml:space="preserve"> PAGE   \* MERGEFORMAT </w:instrText>
        </w:r>
        <w:r>
          <w:fldChar w:fldCharType="separate"/>
        </w:r>
        <w:r w:rsidR="00A27CEE">
          <w:rPr>
            <w:noProof/>
          </w:rPr>
          <w:t>2</w:t>
        </w:r>
        <w:r>
          <w:rPr>
            <w:noProof/>
          </w:rPr>
          <w:fldChar w:fldCharType="end"/>
        </w:r>
      </w:p>
    </w:sdtContent>
  </w:sdt>
  <w:p w:rsidR="00DD1926" w:rsidRDefault="00DD1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056011"/>
      <w:docPartObj>
        <w:docPartGallery w:val="Page Numbers (Bottom of Page)"/>
        <w:docPartUnique/>
      </w:docPartObj>
    </w:sdtPr>
    <w:sdtEndPr>
      <w:rPr>
        <w:noProof/>
      </w:rPr>
    </w:sdtEndPr>
    <w:sdtContent>
      <w:p w:rsidR="00DD1926" w:rsidRDefault="00DD1926" w:rsidP="002B0FA8">
        <w:pPr>
          <w:pStyle w:val="Footer"/>
          <w:jc w:val="center"/>
        </w:pPr>
        <w:r>
          <w:fldChar w:fldCharType="begin"/>
        </w:r>
        <w:r>
          <w:instrText xml:space="preserve"> PAGE   \* MERGEFORMAT </w:instrText>
        </w:r>
        <w:r>
          <w:fldChar w:fldCharType="separate"/>
        </w:r>
        <w:r w:rsidR="004473DE">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298612"/>
      <w:docPartObj>
        <w:docPartGallery w:val="Page Numbers (Bottom of Page)"/>
        <w:docPartUnique/>
      </w:docPartObj>
    </w:sdtPr>
    <w:sdtEndPr>
      <w:rPr>
        <w:noProof/>
      </w:rPr>
    </w:sdtEndPr>
    <w:sdtContent>
      <w:p w:rsidR="00DD1926" w:rsidRDefault="00DD1926" w:rsidP="002B0FA8">
        <w:pPr>
          <w:pStyle w:val="Footer"/>
          <w:jc w:val="center"/>
        </w:pPr>
        <w:r>
          <w:fldChar w:fldCharType="begin"/>
        </w:r>
        <w:r>
          <w:instrText xml:space="preserve"> PAGE   \* MERGEFORMAT </w:instrText>
        </w:r>
        <w:r>
          <w:fldChar w:fldCharType="separate"/>
        </w:r>
        <w:r w:rsidR="004473DE">
          <w:rPr>
            <w:noProof/>
          </w:rPr>
          <w:t>14</w:t>
        </w:r>
        <w:r>
          <w:rPr>
            <w:noProof/>
          </w:rPr>
          <w:fldChar w:fldCharType="end"/>
        </w:r>
      </w:p>
    </w:sdtContent>
  </w:sdt>
  <w:p w:rsidR="00DD1926" w:rsidRDefault="00DD19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26" w:rsidRDefault="00DD1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39" w:rsidRDefault="00366339" w:rsidP="00B42171">
      <w:pPr>
        <w:spacing w:after="0" w:line="240" w:lineRule="auto"/>
      </w:pPr>
      <w:r>
        <w:separator/>
      </w:r>
    </w:p>
  </w:footnote>
  <w:footnote w:type="continuationSeparator" w:id="0">
    <w:p w:rsidR="00366339" w:rsidRDefault="00366339" w:rsidP="00334569">
      <w:pPr>
        <w:spacing w:after="0" w:line="240" w:lineRule="auto"/>
      </w:pPr>
      <w:r>
        <w:continuationSeparator/>
      </w:r>
    </w:p>
    <w:p w:rsidR="00366339" w:rsidRDefault="00366339"/>
  </w:footnote>
  <w:footnote w:id="1">
    <w:p w:rsidR="00DD1926" w:rsidRDefault="00DD1926">
      <w:pPr>
        <w:pStyle w:val="FootnoteText"/>
      </w:pPr>
      <w:r>
        <w:rPr>
          <w:rStyle w:val="FootnoteReference"/>
        </w:rPr>
        <w:footnoteRef/>
      </w:r>
      <w:r>
        <w:t xml:space="preserve"> </w:t>
      </w:r>
      <w:r>
        <w:tab/>
      </w:r>
      <w:r>
        <w:tab/>
      </w:r>
      <w:r w:rsidRPr="00DF5F1C">
        <w:rPr>
          <w:i/>
        </w:rPr>
        <w:t>In the Matter of the Application of The East Ohio Gas Company d/b/a Dominion East Ohio for Approval to Implement a Capital Expenditure Program</w:t>
      </w:r>
      <w:r>
        <w:t xml:space="preserve">, Case Nos. 11-6024-GA-UNC, </w:t>
      </w:r>
      <w:r w:rsidRPr="00B42171">
        <w:rPr>
          <w:i/>
        </w:rPr>
        <w:t>et al</w:t>
      </w:r>
      <w:r>
        <w:t>.  (Supplemental Reply Comments of The East Ohio Gas Company d/b/a Dominion East Ohio at 1) (August 3, 2012) (</w:t>
      </w:r>
      <w:r w:rsidRPr="00B42171">
        <w:rPr>
          <w:i/>
        </w:rPr>
        <w:t>DEO Supplemental Reply Comments</w:t>
      </w:r>
      <w:r>
        <w:t>).</w:t>
      </w:r>
    </w:p>
  </w:footnote>
  <w:footnote w:id="2">
    <w:p w:rsidR="00DD1926" w:rsidRDefault="00DD1926">
      <w:pPr>
        <w:pStyle w:val="FootnoteText"/>
      </w:pPr>
      <w:r>
        <w:rPr>
          <w:rStyle w:val="FootnoteReference"/>
        </w:rPr>
        <w:footnoteRef/>
      </w:r>
      <w:r>
        <w:t xml:space="preserve"> </w:t>
      </w:r>
      <w:r>
        <w:tab/>
      </w:r>
      <w:r>
        <w:tab/>
      </w:r>
      <w:r w:rsidRPr="007B591D">
        <w:rPr>
          <w:i/>
        </w:rPr>
        <w:t>Id.</w:t>
      </w:r>
    </w:p>
  </w:footnote>
  <w:footnote w:id="3">
    <w:p w:rsidR="00DD1926" w:rsidRDefault="00DD1926">
      <w:pPr>
        <w:pStyle w:val="FootnoteText"/>
      </w:pPr>
      <w:r>
        <w:rPr>
          <w:rStyle w:val="FootnoteReference"/>
        </w:rPr>
        <w:footnoteRef/>
      </w:r>
      <w:r>
        <w:t xml:space="preserve"> </w:t>
      </w:r>
      <w:r>
        <w:tab/>
      </w:r>
      <w:r>
        <w:tab/>
      </w:r>
      <w:proofErr w:type="gramStart"/>
      <w:r w:rsidRPr="005B6BA2">
        <w:rPr>
          <w:i/>
        </w:rPr>
        <w:t>DEO Supplemental Reply Comments</w:t>
      </w:r>
      <w:r>
        <w:t xml:space="preserve"> at 1.</w:t>
      </w:r>
      <w:proofErr w:type="gramEnd"/>
    </w:p>
  </w:footnote>
  <w:footnote w:id="4">
    <w:p w:rsidR="00DD1926" w:rsidRDefault="00DD1926">
      <w:pPr>
        <w:pStyle w:val="FootnoteText"/>
      </w:pPr>
      <w:r>
        <w:rPr>
          <w:rStyle w:val="FootnoteReference"/>
        </w:rPr>
        <w:footnoteRef/>
      </w:r>
      <w:r>
        <w:t xml:space="preserve"> </w:t>
      </w:r>
      <w:r>
        <w:tab/>
      </w:r>
      <w:r>
        <w:tab/>
      </w:r>
      <w:r w:rsidRPr="00DF5F1C">
        <w:rPr>
          <w:i/>
        </w:rPr>
        <w:t>In the Matter of the Application of The East Ohio Gas Company d/b/a Dominion East Ohio for Approval to Implement a Capital Expenditure Program</w:t>
      </w:r>
      <w:r>
        <w:t xml:space="preserve">, Case Nos. 11-6024-GA-UNC, </w:t>
      </w:r>
      <w:r w:rsidRPr="00B42171">
        <w:rPr>
          <w:i/>
        </w:rPr>
        <w:t>et al</w:t>
      </w:r>
      <w:r>
        <w:t>.  (Staff Initial Comments at 8) (March 12, 2012) (</w:t>
      </w:r>
      <w:r>
        <w:rPr>
          <w:i/>
        </w:rPr>
        <w:t>Staff Initial Comments</w:t>
      </w:r>
      <w:r>
        <w:t>).</w:t>
      </w:r>
    </w:p>
  </w:footnote>
  <w:footnote w:id="5">
    <w:p w:rsidR="00DD1926" w:rsidRDefault="00DD1926">
      <w:pPr>
        <w:pStyle w:val="FootnoteText"/>
      </w:pPr>
      <w:r>
        <w:rPr>
          <w:rStyle w:val="FootnoteReference"/>
        </w:rPr>
        <w:footnoteRef/>
      </w:r>
      <w:r>
        <w:t xml:space="preserve"> </w:t>
      </w:r>
      <w:r>
        <w:tab/>
      </w:r>
      <w:r>
        <w:tab/>
      </w:r>
      <w:r w:rsidRPr="00DF5F1C">
        <w:rPr>
          <w:i/>
        </w:rPr>
        <w:t xml:space="preserve">In the Matter of the Application of </w:t>
      </w:r>
      <w:r>
        <w:rPr>
          <w:i/>
        </w:rPr>
        <w:t xml:space="preserve">Columbia Gas of Ohio, Inc. </w:t>
      </w:r>
      <w:r w:rsidRPr="00DF5F1C">
        <w:rPr>
          <w:i/>
        </w:rPr>
        <w:t>for Approval to Implement a Capital Expenditure Program</w:t>
      </w:r>
      <w:r>
        <w:t xml:space="preserve">, Case Nos. 11-5351-GA-UNC, </w:t>
      </w:r>
      <w:r w:rsidRPr="00B42171">
        <w:rPr>
          <w:i/>
        </w:rPr>
        <w:t>et al.</w:t>
      </w:r>
      <w:r>
        <w:t xml:space="preserve">  (Staff Comments at 9) (February 17, 2012).</w:t>
      </w:r>
    </w:p>
  </w:footnote>
  <w:footnote w:id="6">
    <w:p w:rsidR="00DD1926" w:rsidRDefault="00DD1926" w:rsidP="0034104D">
      <w:pPr>
        <w:pStyle w:val="FootnoteText"/>
      </w:pPr>
      <w:r>
        <w:rPr>
          <w:rStyle w:val="FootnoteReference"/>
        </w:rPr>
        <w:footnoteRef/>
      </w:r>
      <w:r>
        <w:t xml:space="preserve"> </w:t>
      </w:r>
      <w:r>
        <w:tab/>
      </w:r>
      <w:r>
        <w:tab/>
      </w:r>
      <w:r w:rsidRPr="00DF5F1C">
        <w:rPr>
          <w:i/>
        </w:rPr>
        <w:t>In the Matter of the Application of The East Ohio Gas Company d/b/a Dominion East Ohio for Approval to Implement a Capital Expenditure Program</w:t>
      </w:r>
      <w:r>
        <w:t xml:space="preserve">, Case Nos. 11-6024-GA-UNC, </w:t>
      </w:r>
      <w:r w:rsidRPr="005B6BA2">
        <w:rPr>
          <w:i/>
        </w:rPr>
        <w:t>et al.</w:t>
      </w:r>
      <w:r>
        <w:t xml:space="preserve">  (DEO</w:t>
      </w:r>
      <w:bookmarkStart w:id="5" w:name="_GoBack"/>
      <w:bookmarkEnd w:id="5"/>
      <w:r>
        <w:t xml:space="preserve"> Reply Comments at 2) (March 22, 2012).</w:t>
      </w:r>
    </w:p>
  </w:footnote>
  <w:footnote w:id="7">
    <w:p w:rsidR="00DD1926" w:rsidRDefault="00DD1926">
      <w:pPr>
        <w:pStyle w:val="FootnoteText"/>
      </w:pPr>
      <w:r>
        <w:rPr>
          <w:rStyle w:val="FootnoteReference"/>
        </w:rPr>
        <w:footnoteRef/>
      </w:r>
      <w:r>
        <w:t xml:space="preserve"> </w:t>
      </w:r>
      <w:r>
        <w:tab/>
      </w:r>
      <w:r>
        <w:tab/>
      </w:r>
      <w:r w:rsidRPr="007B591D">
        <w:rPr>
          <w:i/>
        </w:rPr>
        <w:t>DEO Supplemental Reply Comments</w:t>
      </w:r>
      <w:r>
        <w:t xml:space="preserve"> at 3.</w:t>
      </w:r>
    </w:p>
  </w:footnote>
  <w:footnote w:id="8">
    <w:p w:rsidR="00DD1926" w:rsidRDefault="00DD1926">
      <w:pPr>
        <w:pStyle w:val="FootnoteText"/>
      </w:pPr>
      <w:r>
        <w:rPr>
          <w:rStyle w:val="FootnoteReference"/>
        </w:rPr>
        <w:footnoteRef/>
      </w:r>
      <w:r>
        <w:t xml:space="preserve"> </w:t>
      </w:r>
      <w:r>
        <w:tab/>
      </w:r>
      <w:r>
        <w:tab/>
      </w:r>
      <w:r w:rsidRPr="007B591D">
        <w:rPr>
          <w:i/>
        </w:rPr>
        <w:t>Id</w:t>
      </w:r>
      <w:r>
        <w:t>. at 4.</w:t>
      </w:r>
    </w:p>
  </w:footnote>
  <w:footnote w:id="9">
    <w:p w:rsidR="00DD1926" w:rsidRDefault="00DD1926">
      <w:pPr>
        <w:pStyle w:val="FootnoteText"/>
      </w:pPr>
      <w:r>
        <w:rPr>
          <w:rStyle w:val="FootnoteReference"/>
        </w:rPr>
        <w:footnoteRef/>
      </w:r>
      <w:r>
        <w:t xml:space="preserve"> </w:t>
      </w:r>
      <w:r>
        <w:tab/>
      </w:r>
      <w:r>
        <w:tab/>
      </w:r>
      <w:r w:rsidRPr="007B591D">
        <w:rPr>
          <w:i/>
        </w:rPr>
        <w:t>Staff Initial Comments</w:t>
      </w:r>
      <w:r>
        <w:t xml:space="preserve"> at 12.</w:t>
      </w:r>
    </w:p>
  </w:footnote>
  <w:footnote w:id="10">
    <w:p w:rsidR="00DD1926" w:rsidRDefault="00DD1926">
      <w:pPr>
        <w:pStyle w:val="FootnoteText"/>
      </w:pPr>
      <w:r>
        <w:rPr>
          <w:rStyle w:val="FootnoteReference"/>
        </w:rPr>
        <w:footnoteRef/>
      </w:r>
      <w:r>
        <w:t xml:space="preserve"> </w:t>
      </w:r>
      <w:r>
        <w:tab/>
      </w:r>
      <w:r>
        <w:tab/>
      </w:r>
      <w:r w:rsidRPr="007B591D">
        <w:rPr>
          <w:i/>
        </w:rPr>
        <w:t>Id</w:t>
      </w:r>
      <w:r>
        <w:t>.</w:t>
      </w:r>
    </w:p>
  </w:footnote>
  <w:footnote w:id="11">
    <w:p w:rsidR="00DD1926" w:rsidRDefault="00DD1926">
      <w:pPr>
        <w:pStyle w:val="FootnoteText"/>
      </w:pPr>
      <w:r>
        <w:rPr>
          <w:rStyle w:val="FootnoteReference"/>
        </w:rPr>
        <w:footnoteRef/>
      </w:r>
      <w:r>
        <w:t xml:space="preserve"> </w:t>
      </w:r>
      <w:r>
        <w:tab/>
      </w:r>
      <w:r>
        <w:tab/>
      </w:r>
      <w:r w:rsidRPr="00DF5F1C">
        <w:rPr>
          <w:i/>
        </w:rPr>
        <w:t xml:space="preserve">In the Matter of the Application of </w:t>
      </w:r>
      <w:r>
        <w:rPr>
          <w:i/>
        </w:rPr>
        <w:t xml:space="preserve">Columbia Gas of Ohio, Inc. </w:t>
      </w:r>
      <w:r w:rsidRPr="00DF5F1C">
        <w:rPr>
          <w:i/>
        </w:rPr>
        <w:t>for Approval to Implement a Capital Expenditure Program</w:t>
      </w:r>
      <w:r>
        <w:t xml:space="preserve">, Case Nos. 11-5351-GA-UNC, </w:t>
      </w:r>
      <w:r w:rsidRPr="00B42171">
        <w:rPr>
          <w:i/>
        </w:rPr>
        <w:t>et al</w:t>
      </w:r>
      <w:r>
        <w:t>. (Finding and Order at 12-13) (August 29,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26" w:rsidRDefault="00DD1926" w:rsidP="002B0FA8">
    <w:pPr>
      <w:pStyle w:val="Header"/>
      <w:jc w:val="center"/>
      <w:rPr>
        <w:b/>
        <w:sz w:val="28"/>
        <w:szCs w:val="28"/>
      </w:rPr>
    </w:pPr>
    <w:r>
      <w:rPr>
        <w:b/>
        <w:sz w:val="28"/>
        <w:szCs w:val="28"/>
      </w:rPr>
      <w:t>TABLE OF CONTENTS</w:t>
    </w:r>
  </w:p>
  <w:p w:rsidR="00DD1926" w:rsidRDefault="00DD1926" w:rsidP="002B0FA8">
    <w:pPr>
      <w:pStyle w:val="Header"/>
      <w:jc w:val="right"/>
      <w:rPr>
        <w:b/>
        <w:sz w:val="28"/>
        <w:szCs w:val="28"/>
      </w:rPr>
    </w:pPr>
    <w:r>
      <w:rPr>
        <w:b/>
        <w:sz w:val="28"/>
        <w:szCs w:val="28"/>
      </w:rPr>
      <w:t>Page</w:t>
    </w:r>
  </w:p>
  <w:p w:rsidR="00DD1926" w:rsidRDefault="00DD1926" w:rsidP="002B0FA8">
    <w:pPr>
      <w:pStyle w:val="Header"/>
      <w:jc w:val="right"/>
      <w:rPr>
        <w:b/>
        <w:sz w:val="28"/>
        <w:szCs w:val="28"/>
      </w:rPr>
    </w:pPr>
  </w:p>
  <w:p w:rsidR="00DD1926" w:rsidRPr="002B0FA8" w:rsidRDefault="00DD1926" w:rsidP="002B0FA8">
    <w:pPr>
      <w:pStyle w:val="Header"/>
      <w:jc w:val="right"/>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26" w:rsidRPr="00583A9C" w:rsidRDefault="00DD1926" w:rsidP="00583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26" w:rsidRPr="00583A9C" w:rsidRDefault="00DD1926" w:rsidP="00583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D2BE6E"/>
    <w:lvl w:ilvl="0">
      <w:start w:val="1"/>
      <w:numFmt w:val="decimal"/>
      <w:lvlText w:val="%1."/>
      <w:lvlJc w:val="left"/>
      <w:pPr>
        <w:tabs>
          <w:tab w:val="num" w:pos="1800"/>
        </w:tabs>
        <w:ind w:left="1800" w:hanging="360"/>
      </w:pPr>
    </w:lvl>
  </w:abstractNum>
  <w:abstractNum w:abstractNumId="1">
    <w:nsid w:val="FFFFFF7D"/>
    <w:multiLevelType w:val="singleLevel"/>
    <w:tmpl w:val="89365A5C"/>
    <w:lvl w:ilvl="0">
      <w:start w:val="1"/>
      <w:numFmt w:val="decimal"/>
      <w:lvlText w:val="%1."/>
      <w:lvlJc w:val="left"/>
      <w:pPr>
        <w:tabs>
          <w:tab w:val="num" w:pos="1440"/>
        </w:tabs>
        <w:ind w:left="1440" w:hanging="360"/>
      </w:pPr>
    </w:lvl>
  </w:abstractNum>
  <w:abstractNum w:abstractNumId="2">
    <w:nsid w:val="FFFFFF7E"/>
    <w:multiLevelType w:val="singleLevel"/>
    <w:tmpl w:val="BC78C928"/>
    <w:lvl w:ilvl="0">
      <w:start w:val="1"/>
      <w:numFmt w:val="decimal"/>
      <w:lvlText w:val="%1."/>
      <w:lvlJc w:val="left"/>
      <w:pPr>
        <w:tabs>
          <w:tab w:val="num" w:pos="1080"/>
        </w:tabs>
        <w:ind w:left="1080" w:hanging="360"/>
      </w:pPr>
    </w:lvl>
  </w:abstractNum>
  <w:abstractNum w:abstractNumId="3">
    <w:nsid w:val="FFFFFF7F"/>
    <w:multiLevelType w:val="singleLevel"/>
    <w:tmpl w:val="B3AEB0C4"/>
    <w:lvl w:ilvl="0">
      <w:start w:val="1"/>
      <w:numFmt w:val="decimal"/>
      <w:lvlText w:val="%1."/>
      <w:lvlJc w:val="left"/>
      <w:pPr>
        <w:tabs>
          <w:tab w:val="num" w:pos="720"/>
        </w:tabs>
        <w:ind w:left="720" w:hanging="360"/>
      </w:pPr>
    </w:lvl>
  </w:abstractNum>
  <w:abstractNum w:abstractNumId="4">
    <w:nsid w:val="FFFFFF80"/>
    <w:multiLevelType w:val="singleLevel"/>
    <w:tmpl w:val="BB6CC1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D48A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3474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57A3E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C4A894"/>
    <w:lvl w:ilvl="0">
      <w:start w:val="1"/>
      <w:numFmt w:val="decimal"/>
      <w:lvlText w:val="%1."/>
      <w:lvlJc w:val="left"/>
      <w:pPr>
        <w:tabs>
          <w:tab w:val="num" w:pos="360"/>
        </w:tabs>
        <w:ind w:left="360" w:hanging="360"/>
      </w:pPr>
    </w:lvl>
  </w:abstractNum>
  <w:abstractNum w:abstractNumId="9">
    <w:nsid w:val="FFFFFF89"/>
    <w:multiLevelType w:val="singleLevel"/>
    <w:tmpl w:val="30DE0A10"/>
    <w:lvl w:ilvl="0">
      <w:start w:val="1"/>
      <w:numFmt w:val="bullet"/>
      <w:lvlText w:val=""/>
      <w:lvlJc w:val="left"/>
      <w:pPr>
        <w:tabs>
          <w:tab w:val="num" w:pos="360"/>
        </w:tabs>
        <w:ind w:left="360" w:hanging="360"/>
      </w:pPr>
      <w:rPr>
        <w:rFonts w:ascii="Symbol" w:hAnsi="Symbol" w:hint="default"/>
      </w:rPr>
    </w:lvl>
  </w:abstractNum>
  <w:abstractNum w:abstractNumId="10">
    <w:nsid w:val="0A0B0161"/>
    <w:multiLevelType w:val="hybridMultilevel"/>
    <w:tmpl w:val="1E76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96A30"/>
    <w:multiLevelType w:val="hybridMultilevel"/>
    <w:tmpl w:val="AC54A9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15033B3"/>
    <w:multiLevelType w:val="hybridMultilevel"/>
    <w:tmpl w:val="C4A203FE"/>
    <w:lvl w:ilvl="0" w:tplc="36EED1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D4511"/>
    <w:multiLevelType w:val="hybridMultilevel"/>
    <w:tmpl w:val="D2CEA59A"/>
    <w:lvl w:ilvl="0" w:tplc="ED382888">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522CE"/>
    <w:multiLevelType w:val="hybridMultilevel"/>
    <w:tmpl w:val="93A6D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2139F"/>
    <w:multiLevelType w:val="hybridMultilevel"/>
    <w:tmpl w:val="C84A4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106AC"/>
    <w:multiLevelType w:val="hybridMultilevel"/>
    <w:tmpl w:val="0D1A0F98"/>
    <w:lvl w:ilvl="0" w:tplc="B2F863A2">
      <w:start w:val="1"/>
      <w:numFmt w:val="upp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23975"/>
    <w:multiLevelType w:val="hybridMultilevel"/>
    <w:tmpl w:val="04382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E7A6F5A"/>
    <w:multiLevelType w:val="hybridMultilevel"/>
    <w:tmpl w:val="4F3C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D749D"/>
    <w:multiLevelType w:val="hybridMultilevel"/>
    <w:tmpl w:val="E6749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212D27"/>
    <w:multiLevelType w:val="hybridMultilevel"/>
    <w:tmpl w:val="A3D81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C598E"/>
    <w:multiLevelType w:val="hybridMultilevel"/>
    <w:tmpl w:val="3E406B6C"/>
    <w:lvl w:ilvl="0" w:tplc="71EAADEE">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7A67EFB"/>
    <w:multiLevelType w:val="hybridMultilevel"/>
    <w:tmpl w:val="8B888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8"/>
  </w:num>
  <w:num w:numId="4">
    <w:abstractNumId w:val="10"/>
  </w:num>
  <w:num w:numId="5">
    <w:abstractNumId w:val="20"/>
  </w:num>
  <w:num w:numId="6">
    <w:abstractNumId w:val="19"/>
  </w:num>
  <w:num w:numId="7">
    <w:abstractNumId w:val="14"/>
  </w:num>
  <w:num w:numId="8">
    <w:abstractNumId w:val="12"/>
  </w:num>
  <w:num w:numId="9">
    <w:abstractNumId w:val="16"/>
  </w:num>
  <w:num w:numId="10">
    <w:abstractNumId w:val="21"/>
  </w:num>
  <w:num w:numId="11">
    <w:abstractNumId w:val="13"/>
  </w:num>
  <w:num w:numId="12">
    <w:abstractNumId w:val="21"/>
    <w:lvlOverride w:ilvl="0">
      <w:startOverride w:val="1"/>
    </w:lvlOverride>
  </w:num>
  <w:num w:numId="13">
    <w:abstractNumId w:val="22"/>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99"/>
    <w:rsid w:val="00011697"/>
    <w:rsid w:val="00014504"/>
    <w:rsid w:val="00014A1D"/>
    <w:rsid w:val="00020DAE"/>
    <w:rsid w:val="0003578D"/>
    <w:rsid w:val="000365C1"/>
    <w:rsid w:val="00047A6D"/>
    <w:rsid w:val="00050A19"/>
    <w:rsid w:val="000643F0"/>
    <w:rsid w:val="00064E41"/>
    <w:rsid w:val="00065663"/>
    <w:rsid w:val="00073FE2"/>
    <w:rsid w:val="00074EAC"/>
    <w:rsid w:val="00094BC3"/>
    <w:rsid w:val="000A3619"/>
    <w:rsid w:val="000A6BE2"/>
    <w:rsid w:val="000B288C"/>
    <w:rsid w:val="000B4E82"/>
    <w:rsid w:val="000B552F"/>
    <w:rsid w:val="000C00A3"/>
    <w:rsid w:val="000C2BC0"/>
    <w:rsid w:val="000C60E8"/>
    <w:rsid w:val="000D0211"/>
    <w:rsid w:val="000D51EB"/>
    <w:rsid w:val="000E73B4"/>
    <w:rsid w:val="000F32DE"/>
    <w:rsid w:val="000F44F2"/>
    <w:rsid w:val="001078DB"/>
    <w:rsid w:val="00121D72"/>
    <w:rsid w:val="001316F1"/>
    <w:rsid w:val="001360B6"/>
    <w:rsid w:val="001408B2"/>
    <w:rsid w:val="001420B4"/>
    <w:rsid w:val="00150F3B"/>
    <w:rsid w:val="00153220"/>
    <w:rsid w:val="001562E4"/>
    <w:rsid w:val="00160121"/>
    <w:rsid w:val="001846BC"/>
    <w:rsid w:val="001C42E5"/>
    <w:rsid w:val="001E55BC"/>
    <w:rsid w:val="001E66FD"/>
    <w:rsid w:val="001F5BAF"/>
    <w:rsid w:val="001F7912"/>
    <w:rsid w:val="0020282B"/>
    <w:rsid w:val="00217012"/>
    <w:rsid w:val="00223C1A"/>
    <w:rsid w:val="00225C09"/>
    <w:rsid w:val="00226E85"/>
    <w:rsid w:val="00230969"/>
    <w:rsid w:val="002331A7"/>
    <w:rsid w:val="00233972"/>
    <w:rsid w:val="00234BA6"/>
    <w:rsid w:val="002362D8"/>
    <w:rsid w:val="002371D5"/>
    <w:rsid w:val="002472F5"/>
    <w:rsid w:val="00251C7F"/>
    <w:rsid w:val="0025706E"/>
    <w:rsid w:val="002736D9"/>
    <w:rsid w:val="002A0387"/>
    <w:rsid w:val="002A13C3"/>
    <w:rsid w:val="002A1BD2"/>
    <w:rsid w:val="002A71CE"/>
    <w:rsid w:val="002B0FA8"/>
    <w:rsid w:val="002B45EE"/>
    <w:rsid w:val="002B749D"/>
    <w:rsid w:val="002C60EA"/>
    <w:rsid w:val="002E4BCE"/>
    <w:rsid w:val="002E713E"/>
    <w:rsid w:val="002F3244"/>
    <w:rsid w:val="003137FA"/>
    <w:rsid w:val="00313F86"/>
    <w:rsid w:val="00322587"/>
    <w:rsid w:val="003322B6"/>
    <w:rsid w:val="00334569"/>
    <w:rsid w:val="0034104D"/>
    <w:rsid w:val="00344D0E"/>
    <w:rsid w:val="00351A60"/>
    <w:rsid w:val="0036080A"/>
    <w:rsid w:val="00363A9A"/>
    <w:rsid w:val="00366056"/>
    <w:rsid w:val="00366339"/>
    <w:rsid w:val="00372296"/>
    <w:rsid w:val="00383334"/>
    <w:rsid w:val="003838E0"/>
    <w:rsid w:val="00385947"/>
    <w:rsid w:val="00387B59"/>
    <w:rsid w:val="00395DDD"/>
    <w:rsid w:val="003A2BB1"/>
    <w:rsid w:val="003A3400"/>
    <w:rsid w:val="003B6CAC"/>
    <w:rsid w:val="003C3D34"/>
    <w:rsid w:val="003C5DFF"/>
    <w:rsid w:val="003D4C13"/>
    <w:rsid w:val="003E6CB5"/>
    <w:rsid w:val="003F3DAB"/>
    <w:rsid w:val="00404D8D"/>
    <w:rsid w:val="00412B1A"/>
    <w:rsid w:val="00414971"/>
    <w:rsid w:val="00420A66"/>
    <w:rsid w:val="00420D22"/>
    <w:rsid w:val="004268C2"/>
    <w:rsid w:val="00432876"/>
    <w:rsid w:val="0043374F"/>
    <w:rsid w:val="004338CA"/>
    <w:rsid w:val="004473DE"/>
    <w:rsid w:val="00451D2C"/>
    <w:rsid w:val="00457618"/>
    <w:rsid w:val="00476DAF"/>
    <w:rsid w:val="004A2998"/>
    <w:rsid w:val="004B2885"/>
    <w:rsid w:val="004B3408"/>
    <w:rsid w:val="004B3766"/>
    <w:rsid w:val="004B731D"/>
    <w:rsid w:val="004B7F00"/>
    <w:rsid w:val="004C1633"/>
    <w:rsid w:val="004C7418"/>
    <w:rsid w:val="004D5222"/>
    <w:rsid w:val="004E57FC"/>
    <w:rsid w:val="004F293B"/>
    <w:rsid w:val="004F7FCD"/>
    <w:rsid w:val="0050047E"/>
    <w:rsid w:val="0051330D"/>
    <w:rsid w:val="0052205B"/>
    <w:rsid w:val="00522146"/>
    <w:rsid w:val="00522BA5"/>
    <w:rsid w:val="00532AE0"/>
    <w:rsid w:val="00542498"/>
    <w:rsid w:val="00545975"/>
    <w:rsid w:val="005544EE"/>
    <w:rsid w:val="0056760B"/>
    <w:rsid w:val="005770CC"/>
    <w:rsid w:val="00581CB8"/>
    <w:rsid w:val="00583A9C"/>
    <w:rsid w:val="0059084C"/>
    <w:rsid w:val="00591325"/>
    <w:rsid w:val="005A5444"/>
    <w:rsid w:val="005B1E8F"/>
    <w:rsid w:val="005B6BA2"/>
    <w:rsid w:val="005C3508"/>
    <w:rsid w:val="005C51C2"/>
    <w:rsid w:val="005C7D27"/>
    <w:rsid w:val="005D256E"/>
    <w:rsid w:val="005E0D99"/>
    <w:rsid w:val="00601DD8"/>
    <w:rsid w:val="00603052"/>
    <w:rsid w:val="00614BFD"/>
    <w:rsid w:val="0061659A"/>
    <w:rsid w:val="00630E6E"/>
    <w:rsid w:val="00640CC5"/>
    <w:rsid w:val="00643B5F"/>
    <w:rsid w:val="006516B8"/>
    <w:rsid w:val="00653679"/>
    <w:rsid w:val="00654A33"/>
    <w:rsid w:val="006550D1"/>
    <w:rsid w:val="00663308"/>
    <w:rsid w:val="0068407C"/>
    <w:rsid w:val="00691FC4"/>
    <w:rsid w:val="006A77B8"/>
    <w:rsid w:val="006B616E"/>
    <w:rsid w:val="006C0052"/>
    <w:rsid w:val="006C119A"/>
    <w:rsid w:val="006C6FDD"/>
    <w:rsid w:val="00707DD4"/>
    <w:rsid w:val="00713803"/>
    <w:rsid w:val="007146A1"/>
    <w:rsid w:val="007174B3"/>
    <w:rsid w:val="00725B11"/>
    <w:rsid w:val="007334DB"/>
    <w:rsid w:val="0073661A"/>
    <w:rsid w:val="0074394D"/>
    <w:rsid w:val="00760F32"/>
    <w:rsid w:val="007635F2"/>
    <w:rsid w:val="0077312C"/>
    <w:rsid w:val="00774531"/>
    <w:rsid w:val="00777D10"/>
    <w:rsid w:val="007802DA"/>
    <w:rsid w:val="007840BD"/>
    <w:rsid w:val="0078448E"/>
    <w:rsid w:val="00786DDC"/>
    <w:rsid w:val="007907BA"/>
    <w:rsid w:val="00792A39"/>
    <w:rsid w:val="00793117"/>
    <w:rsid w:val="00795F49"/>
    <w:rsid w:val="007A496D"/>
    <w:rsid w:val="007B3BA9"/>
    <w:rsid w:val="007B591D"/>
    <w:rsid w:val="007E1D01"/>
    <w:rsid w:val="007F0491"/>
    <w:rsid w:val="007F4C8A"/>
    <w:rsid w:val="00804C67"/>
    <w:rsid w:val="008116C5"/>
    <w:rsid w:val="00813472"/>
    <w:rsid w:val="00813FC9"/>
    <w:rsid w:val="0081583D"/>
    <w:rsid w:val="0081683F"/>
    <w:rsid w:val="008260AA"/>
    <w:rsid w:val="00831E52"/>
    <w:rsid w:val="00836A14"/>
    <w:rsid w:val="008405C3"/>
    <w:rsid w:val="00855B92"/>
    <w:rsid w:val="0086335A"/>
    <w:rsid w:val="00882879"/>
    <w:rsid w:val="00894D38"/>
    <w:rsid w:val="008A1676"/>
    <w:rsid w:val="008D0471"/>
    <w:rsid w:val="008E2D21"/>
    <w:rsid w:val="008E4708"/>
    <w:rsid w:val="008E753D"/>
    <w:rsid w:val="009006FF"/>
    <w:rsid w:val="00901669"/>
    <w:rsid w:val="0090503D"/>
    <w:rsid w:val="00915BED"/>
    <w:rsid w:val="009178AE"/>
    <w:rsid w:val="00921027"/>
    <w:rsid w:val="0092344F"/>
    <w:rsid w:val="00925638"/>
    <w:rsid w:val="009267F4"/>
    <w:rsid w:val="00932925"/>
    <w:rsid w:val="00935201"/>
    <w:rsid w:val="00943338"/>
    <w:rsid w:val="009434D3"/>
    <w:rsid w:val="00954DD5"/>
    <w:rsid w:val="00957C1A"/>
    <w:rsid w:val="00960011"/>
    <w:rsid w:val="009614FF"/>
    <w:rsid w:val="0096161D"/>
    <w:rsid w:val="009624AD"/>
    <w:rsid w:val="00963F9F"/>
    <w:rsid w:val="009666B2"/>
    <w:rsid w:val="0097072C"/>
    <w:rsid w:val="00971CE8"/>
    <w:rsid w:val="009A0303"/>
    <w:rsid w:val="009B2C1D"/>
    <w:rsid w:val="009B65CA"/>
    <w:rsid w:val="009C4948"/>
    <w:rsid w:val="009C5231"/>
    <w:rsid w:val="009D0C73"/>
    <w:rsid w:val="009D3CA5"/>
    <w:rsid w:val="009D6CE4"/>
    <w:rsid w:val="009E52D5"/>
    <w:rsid w:val="009E7DC1"/>
    <w:rsid w:val="009F5AD9"/>
    <w:rsid w:val="00A11E7D"/>
    <w:rsid w:val="00A178C1"/>
    <w:rsid w:val="00A25357"/>
    <w:rsid w:val="00A27CEE"/>
    <w:rsid w:val="00A32E21"/>
    <w:rsid w:val="00A346EC"/>
    <w:rsid w:val="00A35B93"/>
    <w:rsid w:val="00A44D0D"/>
    <w:rsid w:val="00A46922"/>
    <w:rsid w:val="00A47960"/>
    <w:rsid w:val="00A5184E"/>
    <w:rsid w:val="00A52FD0"/>
    <w:rsid w:val="00A57B1D"/>
    <w:rsid w:val="00A64C2F"/>
    <w:rsid w:val="00A70785"/>
    <w:rsid w:val="00A71593"/>
    <w:rsid w:val="00A7391A"/>
    <w:rsid w:val="00A8001F"/>
    <w:rsid w:val="00A84678"/>
    <w:rsid w:val="00A879CB"/>
    <w:rsid w:val="00AB1B94"/>
    <w:rsid w:val="00AB4BAC"/>
    <w:rsid w:val="00AB5BB4"/>
    <w:rsid w:val="00AB762C"/>
    <w:rsid w:val="00AD74E4"/>
    <w:rsid w:val="00AE6A65"/>
    <w:rsid w:val="00AE6B2F"/>
    <w:rsid w:val="00B15315"/>
    <w:rsid w:val="00B17D9A"/>
    <w:rsid w:val="00B25BB4"/>
    <w:rsid w:val="00B25BF5"/>
    <w:rsid w:val="00B40984"/>
    <w:rsid w:val="00B41A53"/>
    <w:rsid w:val="00B42171"/>
    <w:rsid w:val="00B475DC"/>
    <w:rsid w:val="00B60DCA"/>
    <w:rsid w:val="00B625BB"/>
    <w:rsid w:val="00B62DFA"/>
    <w:rsid w:val="00B65AD5"/>
    <w:rsid w:val="00B81DFB"/>
    <w:rsid w:val="00B9713C"/>
    <w:rsid w:val="00BA00FC"/>
    <w:rsid w:val="00BA09C3"/>
    <w:rsid w:val="00BA1DA5"/>
    <w:rsid w:val="00BC195C"/>
    <w:rsid w:val="00BC21D2"/>
    <w:rsid w:val="00BC62E7"/>
    <w:rsid w:val="00BD4520"/>
    <w:rsid w:val="00BE2F05"/>
    <w:rsid w:val="00BE515C"/>
    <w:rsid w:val="00BF1F6A"/>
    <w:rsid w:val="00C1021D"/>
    <w:rsid w:val="00C2057B"/>
    <w:rsid w:val="00C25496"/>
    <w:rsid w:val="00C26062"/>
    <w:rsid w:val="00C33368"/>
    <w:rsid w:val="00C42BB8"/>
    <w:rsid w:val="00C50515"/>
    <w:rsid w:val="00C50EEC"/>
    <w:rsid w:val="00C52922"/>
    <w:rsid w:val="00C566FF"/>
    <w:rsid w:val="00C620C6"/>
    <w:rsid w:val="00C62CED"/>
    <w:rsid w:val="00C669B2"/>
    <w:rsid w:val="00C77EB1"/>
    <w:rsid w:val="00C87A99"/>
    <w:rsid w:val="00C9678A"/>
    <w:rsid w:val="00CA600B"/>
    <w:rsid w:val="00CB2B71"/>
    <w:rsid w:val="00CC1F47"/>
    <w:rsid w:val="00CC52BC"/>
    <w:rsid w:val="00CD1722"/>
    <w:rsid w:val="00CD42AF"/>
    <w:rsid w:val="00CD60B1"/>
    <w:rsid w:val="00CE2968"/>
    <w:rsid w:val="00CF2C0C"/>
    <w:rsid w:val="00D1024F"/>
    <w:rsid w:val="00D11596"/>
    <w:rsid w:val="00D132E5"/>
    <w:rsid w:val="00D271A0"/>
    <w:rsid w:val="00D33D0F"/>
    <w:rsid w:val="00D56F59"/>
    <w:rsid w:val="00D579DB"/>
    <w:rsid w:val="00D6216A"/>
    <w:rsid w:val="00D77E2E"/>
    <w:rsid w:val="00D83E32"/>
    <w:rsid w:val="00D87C2F"/>
    <w:rsid w:val="00D93E8A"/>
    <w:rsid w:val="00DA03E0"/>
    <w:rsid w:val="00DB050F"/>
    <w:rsid w:val="00DB46C6"/>
    <w:rsid w:val="00DB5296"/>
    <w:rsid w:val="00DC13DF"/>
    <w:rsid w:val="00DC5FF1"/>
    <w:rsid w:val="00DD1926"/>
    <w:rsid w:val="00DE12CB"/>
    <w:rsid w:val="00DF416A"/>
    <w:rsid w:val="00E069B3"/>
    <w:rsid w:val="00E1699F"/>
    <w:rsid w:val="00E2561E"/>
    <w:rsid w:val="00E26ED9"/>
    <w:rsid w:val="00E3326E"/>
    <w:rsid w:val="00E35D59"/>
    <w:rsid w:val="00E42447"/>
    <w:rsid w:val="00E4674A"/>
    <w:rsid w:val="00E46759"/>
    <w:rsid w:val="00E51A55"/>
    <w:rsid w:val="00E53DFA"/>
    <w:rsid w:val="00E657E3"/>
    <w:rsid w:val="00E71C2B"/>
    <w:rsid w:val="00E71DAD"/>
    <w:rsid w:val="00E86804"/>
    <w:rsid w:val="00E978B3"/>
    <w:rsid w:val="00EA0384"/>
    <w:rsid w:val="00EE797C"/>
    <w:rsid w:val="00EE7AB3"/>
    <w:rsid w:val="00EE7C08"/>
    <w:rsid w:val="00EF2076"/>
    <w:rsid w:val="00EF7FD1"/>
    <w:rsid w:val="00F01B2C"/>
    <w:rsid w:val="00F068BE"/>
    <w:rsid w:val="00F159CA"/>
    <w:rsid w:val="00F25A9B"/>
    <w:rsid w:val="00F25C88"/>
    <w:rsid w:val="00F3556B"/>
    <w:rsid w:val="00F375FB"/>
    <w:rsid w:val="00F452D9"/>
    <w:rsid w:val="00F56EB4"/>
    <w:rsid w:val="00F62B1E"/>
    <w:rsid w:val="00F67218"/>
    <w:rsid w:val="00F80C14"/>
    <w:rsid w:val="00F87E05"/>
    <w:rsid w:val="00F914E0"/>
    <w:rsid w:val="00F92037"/>
    <w:rsid w:val="00F97CB5"/>
    <w:rsid w:val="00FB1C59"/>
    <w:rsid w:val="00FB4393"/>
    <w:rsid w:val="00FD5570"/>
    <w:rsid w:val="00FD61FC"/>
    <w:rsid w:val="00FE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eferred"/>
    <w:qFormat/>
    <w:rsid w:val="00B42171"/>
    <w:rPr>
      <w:rFonts w:ascii="Times New Roman" w:hAnsi="Times New Roman"/>
      <w:sz w:val="24"/>
    </w:rPr>
  </w:style>
  <w:style w:type="paragraph" w:styleId="Heading1">
    <w:name w:val="heading 1"/>
    <w:basedOn w:val="Normal"/>
    <w:next w:val="Normal"/>
    <w:link w:val="Heading1Char"/>
    <w:autoRedefine/>
    <w:uiPriority w:val="9"/>
    <w:qFormat/>
    <w:rsid w:val="001420B4"/>
    <w:pPr>
      <w:keepNext/>
      <w:keepLines/>
      <w:numPr>
        <w:numId w:val="11"/>
      </w:numPr>
      <w:spacing w:before="360" w:after="240" w:line="240" w:lineRule="auto"/>
      <w:ind w:hanging="72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792A39"/>
    <w:pPr>
      <w:keepNext/>
      <w:keepLines/>
      <w:numPr>
        <w:numId w:val="10"/>
      </w:numPr>
      <w:spacing w:before="360" w:after="240" w:line="240" w:lineRule="auto"/>
      <w:ind w:right="1440" w:hanging="720"/>
      <w:outlineLvl w:val="1"/>
    </w:pPr>
    <w:rPr>
      <w:rFonts w:eastAsiaTheme="majorEastAsia" w:cs="Times New Roman"/>
      <w:b/>
      <w:bCs/>
      <w:sz w:val="28"/>
      <w:szCs w:val="28"/>
    </w:rPr>
  </w:style>
  <w:style w:type="paragraph" w:styleId="Heading3">
    <w:name w:val="heading 3"/>
    <w:basedOn w:val="Normal"/>
    <w:next w:val="Normal"/>
    <w:link w:val="Heading3Char"/>
    <w:autoRedefine/>
    <w:uiPriority w:val="9"/>
    <w:unhideWhenUsed/>
    <w:qFormat/>
    <w:rsid w:val="00792A39"/>
    <w:pPr>
      <w:keepNext/>
      <w:keepLines/>
      <w:spacing w:before="360" w:after="240" w:line="240" w:lineRule="auto"/>
      <w:ind w:left="2160" w:right="1440" w:hanging="72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textstyle"/>
    <w:autoRedefine/>
    <w:rsid w:val="00B42171"/>
    <w:pPr>
      <w:spacing w:after="260" w:line="240" w:lineRule="auto"/>
      <w:ind w:left="1440" w:right="1440"/>
    </w:pPr>
  </w:style>
  <w:style w:type="paragraph" w:styleId="FootnoteText">
    <w:name w:val="footnote text"/>
    <w:basedOn w:val="Normal"/>
    <w:link w:val="FootnoteTextChar"/>
    <w:autoRedefine/>
    <w:uiPriority w:val="99"/>
    <w:unhideWhenUsed/>
    <w:rsid w:val="00B25BB4"/>
    <w:pPr>
      <w:spacing w:before="240" w:after="240" w:line="240" w:lineRule="auto"/>
      <w:ind w:left="720" w:hanging="720"/>
    </w:pPr>
    <w:rPr>
      <w:rFonts w:cs="Arial"/>
      <w:szCs w:val="20"/>
    </w:rPr>
  </w:style>
  <w:style w:type="character" w:customStyle="1" w:styleId="FootnoteTextChar">
    <w:name w:val="Footnote Text Char"/>
    <w:basedOn w:val="DefaultParagraphFont"/>
    <w:link w:val="FootnoteText"/>
    <w:uiPriority w:val="99"/>
    <w:rsid w:val="00B25BB4"/>
    <w:rPr>
      <w:rFonts w:ascii="Times New Roman" w:hAnsi="Times New Roman" w:cs="Arial"/>
      <w:sz w:val="24"/>
      <w:szCs w:val="20"/>
    </w:rPr>
  </w:style>
  <w:style w:type="character" w:styleId="FootnoteReference">
    <w:name w:val="footnote reference"/>
    <w:basedOn w:val="DefaultParagraphFont"/>
    <w:uiPriority w:val="99"/>
    <w:semiHidden/>
    <w:unhideWhenUsed/>
    <w:rsid w:val="00334569"/>
    <w:rPr>
      <w:vertAlign w:val="superscript"/>
    </w:rPr>
  </w:style>
  <w:style w:type="paragraph" w:customStyle="1" w:styleId="SignatureStyle">
    <w:name w:val="Signature Style"/>
    <w:basedOn w:val="Normal"/>
    <w:qFormat/>
    <w:rsid w:val="00B42171"/>
    <w:pPr>
      <w:tabs>
        <w:tab w:val="left" w:pos="9360"/>
      </w:tabs>
      <w:spacing w:after="0" w:line="240" w:lineRule="auto"/>
      <w:ind w:left="4320"/>
    </w:pPr>
    <w:rPr>
      <w:rFonts w:ascii="Viner Hand ITC" w:hAnsi="Viner Hand ITC" w:cs="Arial"/>
      <w:sz w:val="32"/>
      <w:szCs w:val="32"/>
      <w:u w:val="single"/>
    </w:rPr>
  </w:style>
  <w:style w:type="character" w:styleId="Hyperlink">
    <w:name w:val="Hyperlink"/>
    <w:basedOn w:val="DefaultParagraphFont"/>
    <w:uiPriority w:val="99"/>
    <w:unhideWhenUsed/>
    <w:rsid w:val="00813472"/>
    <w:rPr>
      <w:color w:val="0000FF"/>
      <w:u w:val="single"/>
    </w:rPr>
  </w:style>
  <w:style w:type="paragraph" w:styleId="Header">
    <w:name w:val="header"/>
    <w:basedOn w:val="Normal"/>
    <w:link w:val="HeaderChar"/>
    <w:uiPriority w:val="99"/>
    <w:unhideWhenUsed/>
    <w:rsid w:val="00B6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AD5"/>
    <w:rPr>
      <w:rFonts w:ascii="Times New Roman" w:hAnsi="Times New Roman"/>
      <w:sz w:val="24"/>
    </w:rPr>
  </w:style>
  <w:style w:type="paragraph" w:styleId="Footer">
    <w:name w:val="footer"/>
    <w:basedOn w:val="Normal"/>
    <w:link w:val="FooterChar"/>
    <w:uiPriority w:val="99"/>
    <w:unhideWhenUsed/>
    <w:rsid w:val="00B65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AD5"/>
    <w:rPr>
      <w:rFonts w:ascii="Times New Roman" w:hAnsi="Times New Roman"/>
      <w:sz w:val="24"/>
    </w:rPr>
  </w:style>
  <w:style w:type="paragraph" w:styleId="BalloonText">
    <w:name w:val="Balloon Text"/>
    <w:basedOn w:val="Normal"/>
    <w:link w:val="BalloonTextChar"/>
    <w:uiPriority w:val="99"/>
    <w:semiHidden/>
    <w:unhideWhenUsed/>
    <w:rsid w:val="00B6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AD5"/>
    <w:rPr>
      <w:rFonts w:ascii="Tahoma" w:hAnsi="Tahoma" w:cs="Tahoma"/>
      <w:sz w:val="16"/>
      <w:szCs w:val="16"/>
    </w:rPr>
  </w:style>
  <w:style w:type="table" w:styleId="TableGrid">
    <w:name w:val="Table Grid"/>
    <w:basedOn w:val="TableNormal"/>
    <w:uiPriority w:val="59"/>
    <w:rsid w:val="007A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420B4"/>
    <w:rPr>
      <w:rFonts w:ascii="Times New Roman" w:eastAsiaTheme="majorEastAsia" w:hAnsi="Times New Roman" w:cstheme="majorBidi"/>
      <w:b/>
      <w:bCs/>
      <w:sz w:val="28"/>
      <w:szCs w:val="28"/>
    </w:rPr>
  </w:style>
  <w:style w:type="paragraph" w:customStyle="1" w:styleId="textstyle">
    <w:name w:val="text style"/>
    <w:basedOn w:val="Normal"/>
    <w:rsid w:val="00B42171"/>
    <w:pPr>
      <w:spacing w:after="0" w:line="480" w:lineRule="auto"/>
    </w:pPr>
    <w:rPr>
      <w:rFonts w:cs="Times New Roman"/>
      <w:sz w:val="26"/>
      <w:szCs w:val="26"/>
    </w:rPr>
  </w:style>
  <w:style w:type="character" w:customStyle="1" w:styleId="Heading2Char">
    <w:name w:val="Heading 2 Char"/>
    <w:basedOn w:val="DefaultParagraphFont"/>
    <w:link w:val="Heading2"/>
    <w:uiPriority w:val="9"/>
    <w:rsid w:val="00792A39"/>
    <w:rPr>
      <w:rFonts w:ascii="Times New Roman" w:eastAsiaTheme="majorEastAsia" w:hAnsi="Times New Roman" w:cs="Times New Roman"/>
      <w:b/>
      <w:bCs/>
      <w:sz w:val="28"/>
      <w:szCs w:val="28"/>
    </w:rPr>
  </w:style>
  <w:style w:type="paragraph" w:styleId="TOC1">
    <w:name w:val="toc 1"/>
    <w:basedOn w:val="Normal"/>
    <w:next w:val="Normal"/>
    <w:autoRedefine/>
    <w:uiPriority w:val="39"/>
    <w:unhideWhenUsed/>
    <w:rsid w:val="00AD74E4"/>
    <w:pPr>
      <w:tabs>
        <w:tab w:val="right" w:leader="dot" w:pos="9350"/>
      </w:tabs>
      <w:spacing w:before="240" w:after="240" w:line="240" w:lineRule="auto"/>
      <w:ind w:left="720" w:right="1440" w:hanging="720"/>
    </w:pPr>
    <w:rPr>
      <w:sz w:val="26"/>
    </w:rPr>
  </w:style>
  <w:style w:type="paragraph" w:styleId="TOC2">
    <w:name w:val="toc 2"/>
    <w:basedOn w:val="Normal"/>
    <w:next w:val="Normal"/>
    <w:autoRedefine/>
    <w:uiPriority w:val="39"/>
    <w:unhideWhenUsed/>
    <w:rsid w:val="0059084C"/>
    <w:pPr>
      <w:tabs>
        <w:tab w:val="right" w:leader="dot" w:pos="9350"/>
      </w:tabs>
      <w:spacing w:before="240" w:after="240" w:line="240" w:lineRule="auto"/>
      <w:ind w:left="1440" w:right="1440" w:hanging="720"/>
    </w:pPr>
    <w:rPr>
      <w:sz w:val="26"/>
    </w:rPr>
  </w:style>
  <w:style w:type="paragraph" w:styleId="EndnoteText">
    <w:name w:val="endnote text"/>
    <w:basedOn w:val="Normal"/>
    <w:link w:val="EndnoteTextChar"/>
    <w:uiPriority w:val="99"/>
    <w:semiHidden/>
    <w:unhideWhenUsed/>
    <w:rsid w:val="009B65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65CA"/>
    <w:rPr>
      <w:rFonts w:ascii="Times New Roman" w:hAnsi="Times New Roman"/>
      <w:sz w:val="20"/>
      <w:szCs w:val="20"/>
    </w:rPr>
  </w:style>
  <w:style w:type="character" w:styleId="EndnoteReference">
    <w:name w:val="endnote reference"/>
    <w:basedOn w:val="DefaultParagraphFont"/>
    <w:uiPriority w:val="99"/>
    <w:semiHidden/>
    <w:unhideWhenUsed/>
    <w:rsid w:val="009B65CA"/>
    <w:rPr>
      <w:vertAlign w:val="superscript"/>
    </w:rPr>
  </w:style>
  <w:style w:type="character" w:customStyle="1" w:styleId="Heading3Char">
    <w:name w:val="Heading 3 Char"/>
    <w:basedOn w:val="DefaultParagraphFont"/>
    <w:link w:val="Heading3"/>
    <w:uiPriority w:val="9"/>
    <w:rsid w:val="00792A39"/>
    <w:rPr>
      <w:rFonts w:ascii="Times New Roman" w:eastAsiaTheme="majorEastAsia" w:hAnsi="Times New Roman" w:cstheme="majorBidi"/>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eferred"/>
    <w:qFormat/>
    <w:rsid w:val="00B42171"/>
    <w:rPr>
      <w:rFonts w:ascii="Times New Roman" w:hAnsi="Times New Roman"/>
      <w:sz w:val="24"/>
    </w:rPr>
  </w:style>
  <w:style w:type="paragraph" w:styleId="Heading1">
    <w:name w:val="heading 1"/>
    <w:basedOn w:val="Normal"/>
    <w:next w:val="Normal"/>
    <w:link w:val="Heading1Char"/>
    <w:autoRedefine/>
    <w:uiPriority w:val="9"/>
    <w:qFormat/>
    <w:rsid w:val="001420B4"/>
    <w:pPr>
      <w:keepNext/>
      <w:keepLines/>
      <w:numPr>
        <w:numId w:val="11"/>
      </w:numPr>
      <w:spacing w:before="360" w:after="240" w:line="240" w:lineRule="auto"/>
      <w:ind w:hanging="72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792A39"/>
    <w:pPr>
      <w:keepNext/>
      <w:keepLines/>
      <w:numPr>
        <w:numId w:val="10"/>
      </w:numPr>
      <w:spacing w:before="360" w:after="240" w:line="240" w:lineRule="auto"/>
      <w:ind w:right="1440" w:hanging="720"/>
      <w:outlineLvl w:val="1"/>
    </w:pPr>
    <w:rPr>
      <w:rFonts w:eastAsiaTheme="majorEastAsia" w:cs="Times New Roman"/>
      <w:b/>
      <w:bCs/>
      <w:sz w:val="28"/>
      <w:szCs w:val="28"/>
    </w:rPr>
  </w:style>
  <w:style w:type="paragraph" w:styleId="Heading3">
    <w:name w:val="heading 3"/>
    <w:basedOn w:val="Normal"/>
    <w:next w:val="Normal"/>
    <w:link w:val="Heading3Char"/>
    <w:autoRedefine/>
    <w:uiPriority w:val="9"/>
    <w:unhideWhenUsed/>
    <w:qFormat/>
    <w:rsid w:val="00792A39"/>
    <w:pPr>
      <w:keepNext/>
      <w:keepLines/>
      <w:spacing w:before="360" w:after="240" w:line="240" w:lineRule="auto"/>
      <w:ind w:left="2160" w:right="1440" w:hanging="72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textstyle"/>
    <w:autoRedefine/>
    <w:rsid w:val="00B42171"/>
    <w:pPr>
      <w:spacing w:after="260" w:line="240" w:lineRule="auto"/>
      <w:ind w:left="1440" w:right="1440"/>
    </w:pPr>
  </w:style>
  <w:style w:type="paragraph" w:styleId="FootnoteText">
    <w:name w:val="footnote text"/>
    <w:basedOn w:val="Normal"/>
    <w:link w:val="FootnoteTextChar"/>
    <w:autoRedefine/>
    <w:uiPriority w:val="99"/>
    <w:unhideWhenUsed/>
    <w:rsid w:val="00B25BB4"/>
    <w:pPr>
      <w:spacing w:before="240" w:after="240" w:line="240" w:lineRule="auto"/>
      <w:ind w:left="720" w:hanging="720"/>
    </w:pPr>
    <w:rPr>
      <w:rFonts w:cs="Arial"/>
      <w:szCs w:val="20"/>
    </w:rPr>
  </w:style>
  <w:style w:type="character" w:customStyle="1" w:styleId="FootnoteTextChar">
    <w:name w:val="Footnote Text Char"/>
    <w:basedOn w:val="DefaultParagraphFont"/>
    <w:link w:val="FootnoteText"/>
    <w:uiPriority w:val="99"/>
    <w:rsid w:val="00B25BB4"/>
    <w:rPr>
      <w:rFonts w:ascii="Times New Roman" w:hAnsi="Times New Roman" w:cs="Arial"/>
      <w:sz w:val="24"/>
      <w:szCs w:val="20"/>
    </w:rPr>
  </w:style>
  <w:style w:type="character" w:styleId="FootnoteReference">
    <w:name w:val="footnote reference"/>
    <w:basedOn w:val="DefaultParagraphFont"/>
    <w:uiPriority w:val="99"/>
    <w:semiHidden/>
    <w:unhideWhenUsed/>
    <w:rsid w:val="00334569"/>
    <w:rPr>
      <w:vertAlign w:val="superscript"/>
    </w:rPr>
  </w:style>
  <w:style w:type="paragraph" w:customStyle="1" w:styleId="SignatureStyle">
    <w:name w:val="Signature Style"/>
    <w:basedOn w:val="Normal"/>
    <w:qFormat/>
    <w:rsid w:val="00B42171"/>
    <w:pPr>
      <w:tabs>
        <w:tab w:val="left" w:pos="9360"/>
      </w:tabs>
      <w:spacing w:after="0" w:line="240" w:lineRule="auto"/>
      <w:ind w:left="4320"/>
    </w:pPr>
    <w:rPr>
      <w:rFonts w:ascii="Viner Hand ITC" w:hAnsi="Viner Hand ITC" w:cs="Arial"/>
      <w:sz w:val="32"/>
      <w:szCs w:val="32"/>
      <w:u w:val="single"/>
    </w:rPr>
  </w:style>
  <w:style w:type="character" w:styleId="Hyperlink">
    <w:name w:val="Hyperlink"/>
    <w:basedOn w:val="DefaultParagraphFont"/>
    <w:uiPriority w:val="99"/>
    <w:unhideWhenUsed/>
    <w:rsid w:val="00813472"/>
    <w:rPr>
      <w:color w:val="0000FF"/>
      <w:u w:val="single"/>
    </w:rPr>
  </w:style>
  <w:style w:type="paragraph" w:styleId="Header">
    <w:name w:val="header"/>
    <w:basedOn w:val="Normal"/>
    <w:link w:val="HeaderChar"/>
    <w:uiPriority w:val="99"/>
    <w:unhideWhenUsed/>
    <w:rsid w:val="00B6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AD5"/>
    <w:rPr>
      <w:rFonts w:ascii="Times New Roman" w:hAnsi="Times New Roman"/>
      <w:sz w:val="24"/>
    </w:rPr>
  </w:style>
  <w:style w:type="paragraph" w:styleId="Footer">
    <w:name w:val="footer"/>
    <w:basedOn w:val="Normal"/>
    <w:link w:val="FooterChar"/>
    <w:uiPriority w:val="99"/>
    <w:unhideWhenUsed/>
    <w:rsid w:val="00B65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AD5"/>
    <w:rPr>
      <w:rFonts w:ascii="Times New Roman" w:hAnsi="Times New Roman"/>
      <w:sz w:val="24"/>
    </w:rPr>
  </w:style>
  <w:style w:type="paragraph" w:styleId="BalloonText">
    <w:name w:val="Balloon Text"/>
    <w:basedOn w:val="Normal"/>
    <w:link w:val="BalloonTextChar"/>
    <w:uiPriority w:val="99"/>
    <w:semiHidden/>
    <w:unhideWhenUsed/>
    <w:rsid w:val="00B6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AD5"/>
    <w:rPr>
      <w:rFonts w:ascii="Tahoma" w:hAnsi="Tahoma" w:cs="Tahoma"/>
      <w:sz w:val="16"/>
      <w:szCs w:val="16"/>
    </w:rPr>
  </w:style>
  <w:style w:type="table" w:styleId="TableGrid">
    <w:name w:val="Table Grid"/>
    <w:basedOn w:val="TableNormal"/>
    <w:uiPriority w:val="59"/>
    <w:rsid w:val="007A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420B4"/>
    <w:rPr>
      <w:rFonts w:ascii="Times New Roman" w:eastAsiaTheme="majorEastAsia" w:hAnsi="Times New Roman" w:cstheme="majorBidi"/>
      <w:b/>
      <w:bCs/>
      <w:sz w:val="28"/>
      <w:szCs w:val="28"/>
    </w:rPr>
  </w:style>
  <w:style w:type="paragraph" w:customStyle="1" w:styleId="textstyle">
    <w:name w:val="text style"/>
    <w:basedOn w:val="Normal"/>
    <w:rsid w:val="00B42171"/>
    <w:pPr>
      <w:spacing w:after="0" w:line="480" w:lineRule="auto"/>
    </w:pPr>
    <w:rPr>
      <w:rFonts w:cs="Times New Roman"/>
      <w:sz w:val="26"/>
      <w:szCs w:val="26"/>
    </w:rPr>
  </w:style>
  <w:style w:type="character" w:customStyle="1" w:styleId="Heading2Char">
    <w:name w:val="Heading 2 Char"/>
    <w:basedOn w:val="DefaultParagraphFont"/>
    <w:link w:val="Heading2"/>
    <w:uiPriority w:val="9"/>
    <w:rsid w:val="00792A39"/>
    <w:rPr>
      <w:rFonts w:ascii="Times New Roman" w:eastAsiaTheme="majorEastAsia" w:hAnsi="Times New Roman" w:cs="Times New Roman"/>
      <w:b/>
      <w:bCs/>
      <w:sz w:val="28"/>
      <w:szCs w:val="28"/>
    </w:rPr>
  </w:style>
  <w:style w:type="paragraph" w:styleId="TOC1">
    <w:name w:val="toc 1"/>
    <w:basedOn w:val="Normal"/>
    <w:next w:val="Normal"/>
    <w:autoRedefine/>
    <w:uiPriority w:val="39"/>
    <w:unhideWhenUsed/>
    <w:rsid w:val="00AD74E4"/>
    <w:pPr>
      <w:tabs>
        <w:tab w:val="right" w:leader="dot" w:pos="9350"/>
      </w:tabs>
      <w:spacing w:before="240" w:after="240" w:line="240" w:lineRule="auto"/>
      <w:ind w:left="720" w:right="1440" w:hanging="720"/>
    </w:pPr>
    <w:rPr>
      <w:sz w:val="26"/>
    </w:rPr>
  </w:style>
  <w:style w:type="paragraph" w:styleId="TOC2">
    <w:name w:val="toc 2"/>
    <w:basedOn w:val="Normal"/>
    <w:next w:val="Normal"/>
    <w:autoRedefine/>
    <w:uiPriority w:val="39"/>
    <w:unhideWhenUsed/>
    <w:rsid w:val="0059084C"/>
    <w:pPr>
      <w:tabs>
        <w:tab w:val="right" w:leader="dot" w:pos="9350"/>
      </w:tabs>
      <w:spacing w:before="240" w:after="240" w:line="240" w:lineRule="auto"/>
      <w:ind w:left="1440" w:right="1440" w:hanging="720"/>
    </w:pPr>
    <w:rPr>
      <w:sz w:val="26"/>
    </w:rPr>
  </w:style>
  <w:style w:type="paragraph" w:styleId="EndnoteText">
    <w:name w:val="endnote text"/>
    <w:basedOn w:val="Normal"/>
    <w:link w:val="EndnoteTextChar"/>
    <w:uiPriority w:val="99"/>
    <w:semiHidden/>
    <w:unhideWhenUsed/>
    <w:rsid w:val="009B65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65CA"/>
    <w:rPr>
      <w:rFonts w:ascii="Times New Roman" w:hAnsi="Times New Roman"/>
      <w:sz w:val="20"/>
      <w:szCs w:val="20"/>
    </w:rPr>
  </w:style>
  <w:style w:type="character" w:styleId="EndnoteReference">
    <w:name w:val="endnote reference"/>
    <w:basedOn w:val="DefaultParagraphFont"/>
    <w:uiPriority w:val="99"/>
    <w:semiHidden/>
    <w:unhideWhenUsed/>
    <w:rsid w:val="009B65CA"/>
    <w:rPr>
      <w:vertAlign w:val="superscript"/>
    </w:rPr>
  </w:style>
  <w:style w:type="character" w:customStyle="1" w:styleId="Heading3Char">
    <w:name w:val="Heading 3 Char"/>
    <w:basedOn w:val="DefaultParagraphFont"/>
    <w:link w:val="Heading3"/>
    <w:uiPriority w:val="9"/>
    <w:rsid w:val="00792A39"/>
    <w:rPr>
      <w:rFonts w:ascii="Times New Roman" w:eastAsiaTheme="majorEastAsia" w:hAnsi="Times New Roman" w:cstheme="majorBid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whitt@whitt-sturtevant.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sauer@occ.state.oh.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io@occ.state.oh.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tephen.reilly@puc.state.oh.us" TargetMode="External"/><Relationship Id="rId23" Type="http://schemas.openxmlformats.org/officeDocument/2006/relationships/footer" Target="footer4.xml"/><Relationship Id="rId10" Type="http://schemas.openxmlformats.org/officeDocument/2006/relationships/hyperlink" Target="mailto:stephen.reilly@puc.state.oh.us" TargetMode="External"/><Relationship Id="rId19" Type="http://schemas.openxmlformats.org/officeDocument/2006/relationships/hyperlink" Target="mailto:campbell@whitt.sturtevant.com" TargetMode="External"/><Relationship Id="rId4" Type="http://schemas.microsoft.com/office/2007/relationships/stylesWithEffects" Target="stylesWithEffects.xml"/><Relationship Id="rId9" Type="http://schemas.openxmlformats.org/officeDocument/2006/relationships/hyperlink" Target="mailto:william.wright@puc.state.oh.us" TargetMode="External"/><Relationship Id="rId14" Type="http://schemas.openxmlformats.org/officeDocument/2006/relationships/hyperlink" Target="mailto:william.wright@puc.state.oh.u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79569-FFCE-4B95-B95B-72C5D6E3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2012-09-20T13:45:00Z</dcterms:created>
  <dcterms:modified xsi:type="dcterms:W3CDTF">2012-09-20T14:11:00Z</dcterms:modified>
</cp:coreProperties>
</file>