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43B" w:rsidRPr="00D1743B" w:rsidRDefault="00D1743B" w:rsidP="00D1743B">
      <w:pPr>
        <w:spacing w:after="0" w:line="240" w:lineRule="auto"/>
        <w:jc w:val="center"/>
        <w:rPr>
          <w:b/>
        </w:rPr>
      </w:pPr>
      <w:bookmarkStart w:id="0" w:name="_GoBack"/>
      <w:bookmarkEnd w:id="0"/>
      <w:r w:rsidRPr="00D1743B">
        <w:rPr>
          <w:b/>
        </w:rPr>
        <w:t>BEFORE</w:t>
      </w:r>
      <w:r w:rsidR="00D44733">
        <w:rPr>
          <w:b/>
        </w:rPr>
        <w:t xml:space="preserve"> </w:t>
      </w:r>
      <w:r w:rsidRPr="00D1743B">
        <w:rPr>
          <w:b/>
        </w:rPr>
        <w:t>THE PUBLIC UTILITIES COMMISSION OF OHIO</w:t>
      </w:r>
    </w:p>
    <w:p w:rsidR="00D1743B" w:rsidRDefault="00D1743B" w:rsidP="00620B9B">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1"/>
        <w:gridCol w:w="852"/>
        <w:gridCol w:w="3093"/>
      </w:tblGrid>
      <w:tr w:rsidR="00D1743B" w:rsidTr="00D1743B">
        <w:tc>
          <w:tcPr>
            <w:tcW w:w="5508" w:type="dxa"/>
          </w:tcPr>
          <w:p w:rsidR="00D1743B" w:rsidRDefault="00D1743B" w:rsidP="00C57EFE">
            <w:r>
              <w:t xml:space="preserve">In the Matter of the Commission’s Review of </w:t>
            </w:r>
            <w:r w:rsidR="00C57EFE">
              <w:t>it</w:t>
            </w:r>
            <w:r>
              <w:t>s</w:t>
            </w:r>
            <w:r w:rsidR="00C57EFE">
              <w:t xml:space="preserve"> Rules for </w:t>
            </w:r>
            <w:r w:rsidR="006F6ADE">
              <w:t>Competitive</w:t>
            </w:r>
            <w:r w:rsidR="00C57EFE">
              <w:t xml:space="preserve"> Retail </w:t>
            </w:r>
            <w:r w:rsidR="006F6ADE">
              <w:t>Electric</w:t>
            </w:r>
            <w:r w:rsidR="00C57EFE">
              <w:t xml:space="preserve"> Service Contained in Chapters 4901:1-21 and 4901:1-24 of the Ohio Administrative Code.</w:t>
            </w:r>
          </w:p>
        </w:tc>
        <w:tc>
          <w:tcPr>
            <w:tcW w:w="876" w:type="dxa"/>
          </w:tcPr>
          <w:p w:rsidR="00D1743B" w:rsidRDefault="00D1743B" w:rsidP="00D1743B">
            <w:pPr>
              <w:jc w:val="center"/>
            </w:pPr>
            <w:r>
              <w:t>)</w:t>
            </w:r>
          </w:p>
          <w:p w:rsidR="00D1743B" w:rsidRDefault="00D1743B" w:rsidP="00D1743B">
            <w:pPr>
              <w:jc w:val="center"/>
            </w:pPr>
            <w:r>
              <w:t>)</w:t>
            </w:r>
          </w:p>
          <w:p w:rsidR="00D1743B" w:rsidRDefault="00D1743B" w:rsidP="00D1743B">
            <w:pPr>
              <w:jc w:val="center"/>
            </w:pPr>
            <w:r>
              <w:t>)</w:t>
            </w:r>
          </w:p>
        </w:tc>
        <w:tc>
          <w:tcPr>
            <w:tcW w:w="3192" w:type="dxa"/>
          </w:tcPr>
          <w:p w:rsidR="00D1743B" w:rsidRDefault="00D1743B" w:rsidP="00620B9B"/>
          <w:p w:rsidR="00D1743B" w:rsidRDefault="00D1743B" w:rsidP="00C57EFE">
            <w:r>
              <w:t>Case No. 12-</w:t>
            </w:r>
            <w:r w:rsidR="00C57EFE">
              <w:t>1924-EL-</w:t>
            </w:r>
            <w:proofErr w:type="spellStart"/>
            <w:r w:rsidR="00C57EFE">
              <w:t>ORD</w:t>
            </w:r>
            <w:proofErr w:type="spellEnd"/>
          </w:p>
        </w:tc>
      </w:tr>
    </w:tbl>
    <w:p w:rsidR="00D1743B" w:rsidRDefault="00D1743B" w:rsidP="00620B9B">
      <w:pPr>
        <w:spacing w:after="0" w:line="240" w:lineRule="auto"/>
      </w:pPr>
    </w:p>
    <w:p w:rsidR="00D1743B" w:rsidRDefault="00D1743B" w:rsidP="00620B9B">
      <w:pPr>
        <w:spacing w:after="0" w:line="240" w:lineRule="auto"/>
      </w:pPr>
    </w:p>
    <w:p w:rsidR="00D1743B" w:rsidRPr="00D1743B" w:rsidRDefault="00C57EFE" w:rsidP="00D1743B">
      <w:pPr>
        <w:spacing w:after="0" w:line="240" w:lineRule="auto"/>
        <w:jc w:val="center"/>
        <w:rPr>
          <w:u w:val="single"/>
        </w:rPr>
      </w:pPr>
      <w:r>
        <w:rPr>
          <w:b/>
        </w:rPr>
        <w:t xml:space="preserve">BORDER ENERGY ELECTRIC SERVICES, INC.’S COMMENTS ON </w:t>
      </w:r>
      <w:r>
        <w:rPr>
          <w:b/>
        </w:rPr>
        <w:br/>
      </w:r>
      <w:r w:rsidRPr="00C57EFE">
        <w:rPr>
          <w:b/>
          <w:u w:val="single"/>
        </w:rPr>
        <w:t>PROPOSED RULES RELATING TO THIRD-PARTY VERIFICATION</w:t>
      </w:r>
    </w:p>
    <w:p w:rsidR="00D1743B" w:rsidRDefault="00D1743B" w:rsidP="00620B9B">
      <w:pPr>
        <w:spacing w:after="0" w:line="240" w:lineRule="auto"/>
      </w:pPr>
    </w:p>
    <w:p w:rsidR="00D1743B" w:rsidRDefault="00D1743B" w:rsidP="00D95BB8">
      <w:pPr>
        <w:spacing w:after="0" w:line="480" w:lineRule="auto"/>
      </w:pPr>
      <w:r>
        <w:tab/>
      </w:r>
      <w:r w:rsidR="00C57EFE">
        <w:t>Border Energy Electric Services, Inc. (“Border”)</w:t>
      </w:r>
      <w:r w:rsidR="001E6651">
        <w:t xml:space="preserve"> respectfully submit</w:t>
      </w:r>
      <w:r w:rsidR="00C57EFE">
        <w:t>s</w:t>
      </w:r>
      <w:r w:rsidR="001E6651">
        <w:t xml:space="preserve"> </w:t>
      </w:r>
      <w:r w:rsidR="00C57EFE">
        <w:t>its</w:t>
      </w:r>
      <w:r w:rsidR="001E6651">
        <w:t xml:space="preserve"> comments regarding </w:t>
      </w:r>
      <w:r w:rsidR="00C57EFE">
        <w:t xml:space="preserve">the proposed amendments to Chapter 4901:1-21 </w:t>
      </w:r>
      <w:r w:rsidR="00C66EBA">
        <w:t>of the Ohio Administrative Code</w:t>
      </w:r>
      <w:r w:rsidR="00C57EFE">
        <w:t xml:space="preserve"> </w:t>
      </w:r>
      <w:r w:rsidR="00FF43B5">
        <w:t>pursuant to the schedule set forth in the Commission’s</w:t>
      </w:r>
      <w:r w:rsidR="004E1DC1">
        <w:t xml:space="preserve"> November 7, 2012 </w:t>
      </w:r>
      <w:r w:rsidR="001E6651">
        <w:t>Entry in this case (“Entry”)</w:t>
      </w:r>
      <w:r w:rsidR="00D95BB8">
        <w:t>.</w:t>
      </w:r>
    </w:p>
    <w:p w:rsidR="002055B2" w:rsidRDefault="00D95BB8" w:rsidP="00D95BB8">
      <w:pPr>
        <w:spacing w:after="0" w:line="480" w:lineRule="auto"/>
      </w:pPr>
      <w:r>
        <w:tab/>
      </w:r>
      <w:r w:rsidR="00C57EFE">
        <w:t>Although t</w:t>
      </w:r>
      <w:r w:rsidR="00FF43B5">
        <w:t>he</w:t>
      </w:r>
      <w:r>
        <w:t xml:space="preserve"> proposed amendments are </w:t>
      </w:r>
      <w:r w:rsidR="00A65011">
        <w:t xml:space="preserve">generally </w:t>
      </w:r>
      <w:r>
        <w:t>appropriate</w:t>
      </w:r>
      <w:r w:rsidR="004728BC">
        <w:t xml:space="preserve">, </w:t>
      </w:r>
      <w:r w:rsidR="00C57EFE">
        <w:t xml:space="preserve">Border suggests </w:t>
      </w:r>
      <w:r w:rsidR="00654C37">
        <w:t xml:space="preserve">a few changes </w:t>
      </w:r>
      <w:r w:rsidR="00C57EFE">
        <w:t>to</w:t>
      </w:r>
      <w:r w:rsidR="004E1DC1">
        <w:t xml:space="preserve"> alleviate the new burden on </w:t>
      </w:r>
      <w:proofErr w:type="spellStart"/>
      <w:r w:rsidR="004E1DC1">
        <w:t>CRES</w:t>
      </w:r>
      <w:proofErr w:type="spellEnd"/>
      <w:r w:rsidR="004E1DC1">
        <w:t xml:space="preserve"> providers engaging in door-to-door marketing and enrollment.</w:t>
      </w:r>
      <w:r>
        <w:t xml:space="preserve">  </w:t>
      </w:r>
      <w:r w:rsidR="00C57EFE">
        <w:t>Border</w:t>
      </w:r>
      <w:r w:rsidR="00654C37">
        <w:t xml:space="preserve"> addresses these issues below.</w:t>
      </w:r>
    </w:p>
    <w:p w:rsidR="00087B9F" w:rsidRPr="00341582" w:rsidRDefault="00087B9F" w:rsidP="00087B9F">
      <w:pPr>
        <w:spacing w:after="0" w:line="480" w:lineRule="auto"/>
        <w:rPr>
          <w:b/>
          <w:u w:val="single"/>
        </w:rPr>
      </w:pPr>
      <w:r w:rsidRPr="002055B2">
        <w:rPr>
          <w:b/>
          <w:u w:val="single"/>
        </w:rPr>
        <w:t>4901:1-</w:t>
      </w:r>
      <w:r>
        <w:rPr>
          <w:b/>
          <w:u w:val="single"/>
        </w:rPr>
        <w:t>21-06     Marketing and solicitation</w:t>
      </w:r>
      <w:r w:rsidR="00D44733">
        <w:rPr>
          <w:b/>
          <w:u w:val="single"/>
        </w:rPr>
        <w:t>.</w:t>
      </w:r>
    </w:p>
    <w:p w:rsidR="00087B9F" w:rsidRDefault="00087B9F" w:rsidP="00087B9F">
      <w:pPr>
        <w:spacing w:after="0" w:line="480" w:lineRule="auto"/>
      </w:pPr>
      <w:r>
        <w:tab/>
        <w:t>Proposed 4901:1-21-05(D) states that “</w:t>
      </w:r>
      <w:proofErr w:type="spellStart"/>
      <w:r>
        <w:t>CRES</w:t>
      </w:r>
      <w:proofErr w:type="spellEnd"/>
      <w:r>
        <w:t xml:space="preserve"> providers shall perform criminal background checks on all employees and agents engaged in door-to-door marketing and enrollment.”</w:t>
      </w:r>
      <w:r w:rsidR="00A2470D">
        <w:t xml:space="preserve">  Border does not object to requiring criminal background checks.  However, if the </w:t>
      </w:r>
      <w:proofErr w:type="spellStart"/>
      <w:r w:rsidR="00A2470D">
        <w:t>CRES</w:t>
      </w:r>
      <w:proofErr w:type="spellEnd"/>
      <w:r w:rsidR="00A2470D">
        <w:t xml:space="preserve"> provider hires a </w:t>
      </w:r>
      <w:r w:rsidR="004B1360">
        <w:t>third-party</w:t>
      </w:r>
      <w:r w:rsidR="00A2470D">
        <w:t xml:space="preserve"> company to </w:t>
      </w:r>
      <w:r w:rsidR="00C66EBA">
        <w:t>perform</w:t>
      </w:r>
      <w:r w:rsidR="00A2470D">
        <w:t xml:space="preserve"> door-to-door marketing</w:t>
      </w:r>
      <w:r w:rsidR="00C66EBA">
        <w:t xml:space="preserve"> on its behalf</w:t>
      </w:r>
      <w:r w:rsidR="00A2470D">
        <w:t xml:space="preserve">, that company, and not the </w:t>
      </w:r>
      <w:proofErr w:type="spellStart"/>
      <w:r w:rsidR="00A2470D">
        <w:t>CRES</w:t>
      </w:r>
      <w:proofErr w:type="spellEnd"/>
      <w:r w:rsidR="00A2470D">
        <w:t xml:space="preserve"> provider, should bear the responsibility for performing the </w:t>
      </w:r>
      <w:r w:rsidR="00BC1EBA">
        <w:t xml:space="preserve">criminal </w:t>
      </w:r>
      <w:r w:rsidR="00A2470D">
        <w:t xml:space="preserve">background </w:t>
      </w:r>
      <w:r w:rsidR="00C66EBA">
        <w:t>check</w:t>
      </w:r>
      <w:r w:rsidR="00A2470D">
        <w:t>.</w:t>
      </w:r>
    </w:p>
    <w:p w:rsidR="00A2470D" w:rsidRDefault="00A2470D" w:rsidP="00087B9F">
      <w:pPr>
        <w:spacing w:after="0" w:line="480" w:lineRule="auto"/>
        <w:rPr>
          <w:b/>
          <w:u w:val="single"/>
        </w:rPr>
      </w:pPr>
      <w:r>
        <w:tab/>
        <w:t>To address this concern, Border suggests that the Commission adopt the following modified language:  “</w:t>
      </w:r>
      <w:proofErr w:type="spellStart"/>
      <w:r>
        <w:t>CRES</w:t>
      </w:r>
      <w:proofErr w:type="spellEnd"/>
      <w:r>
        <w:t xml:space="preserve"> providers, </w:t>
      </w:r>
      <w:r w:rsidRPr="00A2470D">
        <w:rPr>
          <w:u w:val="single"/>
        </w:rPr>
        <w:t xml:space="preserve">or third-party companies engaged by </w:t>
      </w:r>
      <w:proofErr w:type="spellStart"/>
      <w:r w:rsidRPr="00A2470D">
        <w:rPr>
          <w:u w:val="single"/>
        </w:rPr>
        <w:t>CRES</w:t>
      </w:r>
      <w:proofErr w:type="spellEnd"/>
      <w:r w:rsidRPr="00A2470D">
        <w:rPr>
          <w:u w:val="single"/>
        </w:rPr>
        <w:t xml:space="preserve"> providers </w:t>
      </w:r>
      <w:r w:rsidRPr="00A2470D">
        <w:rPr>
          <w:u w:val="single"/>
        </w:rPr>
        <w:lastRenderedPageBreak/>
        <w:t>to perform door-to-door marketing and enrollment</w:t>
      </w:r>
      <w:r>
        <w:t>, shall perform criminal background checks on all employees and agents engaged in door-to-door marketing and enrollment.”</w:t>
      </w:r>
      <w:r>
        <w:rPr>
          <w:rStyle w:val="FootnoteReference"/>
        </w:rPr>
        <w:footnoteReference w:id="1"/>
      </w:r>
    </w:p>
    <w:p w:rsidR="00654C37" w:rsidRPr="00341582" w:rsidRDefault="00654C37" w:rsidP="00654C37">
      <w:pPr>
        <w:spacing w:after="0" w:line="480" w:lineRule="auto"/>
        <w:rPr>
          <w:b/>
          <w:u w:val="single"/>
        </w:rPr>
      </w:pPr>
      <w:r w:rsidRPr="002055B2">
        <w:rPr>
          <w:b/>
          <w:u w:val="single"/>
        </w:rPr>
        <w:t>4901:1-</w:t>
      </w:r>
      <w:r w:rsidR="00341582">
        <w:rPr>
          <w:b/>
          <w:u w:val="single"/>
        </w:rPr>
        <w:t>21-0</w:t>
      </w:r>
      <w:r w:rsidR="0086563F">
        <w:rPr>
          <w:b/>
          <w:u w:val="single"/>
        </w:rPr>
        <w:t>6</w:t>
      </w:r>
      <w:r w:rsidR="00087B9F">
        <w:rPr>
          <w:b/>
          <w:u w:val="single"/>
        </w:rPr>
        <w:t xml:space="preserve">     </w:t>
      </w:r>
      <w:r w:rsidR="00341582">
        <w:rPr>
          <w:b/>
          <w:u w:val="single"/>
        </w:rPr>
        <w:t xml:space="preserve">Customer </w:t>
      </w:r>
      <w:r w:rsidR="00087B9F">
        <w:rPr>
          <w:b/>
          <w:u w:val="single"/>
        </w:rPr>
        <w:t>e</w:t>
      </w:r>
      <w:r w:rsidR="00A2470D">
        <w:rPr>
          <w:b/>
          <w:u w:val="single"/>
        </w:rPr>
        <w:t>nrollment</w:t>
      </w:r>
      <w:r w:rsidR="00D44733">
        <w:rPr>
          <w:b/>
          <w:u w:val="single"/>
        </w:rPr>
        <w:t>.</w:t>
      </w:r>
    </w:p>
    <w:p w:rsidR="004E1DC1" w:rsidRPr="000368B6" w:rsidRDefault="00654C37" w:rsidP="00AA38AD">
      <w:pPr>
        <w:spacing w:after="0" w:line="480" w:lineRule="auto"/>
      </w:pPr>
      <w:r>
        <w:tab/>
      </w:r>
      <w:r w:rsidR="000368B6">
        <w:t xml:space="preserve">Proposed </w:t>
      </w:r>
      <w:proofErr w:type="spellStart"/>
      <w:r w:rsidR="00C66EBA">
        <w:t>OAC</w:t>
      </w:r>
      <w:proofErr w:type="spellEnd"/>
      <w:r w:rsidR="00C66EBA">
        <w:t xml:space="preserve"> </w:t>
      </w:r>
      <w:r w:rsidR="000368B6">
        <w:t xml:space="preserve">4901:1-21-06(D)(1)(h) provides new requirements for third-party verification in the case of door-to-door </w:t>
      </w:r>
      <w:r w:rsidR="00C66EBA">
        <w:t>marketing and enrollment</w:t>
      </w:r>
      <w:r w:rsidR="000368B6">
        <w:t xml:space="preserve">.  Border understands and agrees with the Commission that a verification process is appropriate for door-to-door solicitation.  However, </w:t>
      </w:r>
      <w:r w:rsidR="00B1303D">
        <w:t>Border</w:t>
      </w:r>
      <w:r w:rsidR="000368B6">
        <w:t xml:space="preserve"> would suggest that </w:t>
      </w:r>
      <w:proofErr w:type="spellStart"/>
      <w:r w:rsidR="000368B6">
        <w:t>CRES</w:t>
      </w:r>
      <w:proofErr w:type="spellEnd"/>
      <w:r w:rsidR="000368B6">
        <w:t xml:space="preserve"> providers be permitted to either use a </w:t>
      </w:r>
      <w:r w:rsidR="004B1360">
        <w:t>third-party</w:t>
      </w:r>
      <w:r w:rsidR="000368B6">
        <w:t xml:space="preserve"> verifier </w:t>
      </w:r>
      <w:r w:rsidR="000368B6">
        <w:rPr>
          <w:i/>
        </w:rPr>
        <w:t>or</w:t>
      </w:r>
      <w:r w:rsidR="000368B6">
        <w:t xml:space="preserve"> allow the sales person to record </w:t>
      </w:r>
      <w:r w:rsidR="00B1303D">
        <w:t xml:space="preserve">the customer verification using video technology.  Allowing the customer’s decision to switch </w:t>
      </w:r>
      <w:proofErr w:type="spellStart"/>
      <w:r w:rsidR="00B1303D">
        <w:t>CRES</w:t>
      </w:r>
      <w:proofErr w:type="spellEnd"/>
      <w:r w:rsidR="00B1303D">
        <w:t xml:space="preserve"> providers to be recorded provides the same level of assurance </w:t>
      </w:r>
      <w:r w:rsidR="000C25F6">
        <w:t>that the customer understands and intends to switch electric service providers as does requiring third-party verification.</w:t>
      </w:r>
      <w:r w:rsidR="00C66EBA">
        <w:t xml:space="preserve">  However, it would be less burdensome on the </w:t>
      </w:r>
      <w:proofErr w:type="spellStart"/>
      <w:r w:rsidR="00C66EBA">
        <w:t>CRES</w:t>
      </w:r>
      <w:proofErr w:type="spellEnd"/>
      <w:r w:rsidR="00C66EBA">
        <w:t xml:space="preserve"> provider.</w:t>
      </w:r>
    </w:p>
    <w:p w:rsidR="003D6827" w:rsidRDefault="004E1DC1" w:rsidP="004E1DC1">
      <w:pPr>
        <w:spacing w:after="0" w:line="480" w:lineRule="auto"/>
        <w:ind w:firstLine="720"/>
      </w:pPr>
      <w:r>
        <w:t>To the extent the Commission requires third-party verification in all instances, Border nonetheless takes issue with the requirement that its sales</w:t>
      </w:r>
      <w:r w:rsidR="00C66EBA">
        <w:t xml:space="preserve"> </w:t>
      </w:r>
      <w:r>
        <w:t xml:space="preserve">person leave the premises during the third-party verification process, and be disallowed to return.  </w:t>
      </w:r>
      <w:r w:rsidR="00A65011">
        <w:t>P</w:t>
      </w:r>
      <w:r w:rsidR="00654C37">
        <w:t>roposed</w:t>
      </w:r>
      <w:r w:rsidR="00AA38AD">
        <w:t xml:space="preserve"> </w:t>
      </w:r>
      <w:proofErr w:type="spellStart"/>
      <w:r w:rsidR="00C66EBA">
        <w:t>OAC</w:t>
      </w:r>
      <w:proofErr w:type="spellEnd"/>
      <w:r w:rsidR="00C66EBA">
        <w:t xml:space="preserve"> </w:t>
      </w:r>
      <w:r w:rsidR="00341582">
        <w:t>4901</w:t>
      </w:r>
      <w:r w:rsidR="0086563F">
        <w:t>:1-21-06(D)(1)(h)</w:t>
      </w:r>
      <w:r w:rsidR="00087B9F">
        <w:t>(ii)</w:t>
      </w:r>
      <w:r w:rsidR="00654C37">
        <w:t xml:space="preserve"> state</w:t>
      </w:r>
      <w:r w:rsidR="004728BC">
        <w:t>s</w:t>
      </w:r>
      <w:r w:rsidR="00087B9F">
        <w:t xml:space="preserve"> that “[t]he independent third-party verifier must confirm with the customer that the sales agent has left the property of the customer.  The sales agent is not to return before, during or after the TPV process.”</w:t>
      </w:r>
      <w:r w:rsidR="00AA38AD">
        <w:t xml:space="preserve"> </w:t>
      </w:r>
      <w:r w:rsidR="00654C37">
        <w:t xml:space="preserve"> </w:t>
      </w:r>
      <w:r w:rsidR="000C25F6">
        <w:t xml:space="preserve">This provision </w:t>
      </w:r>
      <w:r w:rsidR="00AA38AD">
        <w:t xml:space="preserve">is </w:t>
      </w:r>
      <w:r w:rsidR="008459F6">
        <w:t xml:space="preserve">overly burdensome and makes witching via door-to-door extremely difficult.  Indeed, as currently drafted, </w:t>
      </w:r>
      <w:r w:rsidR="004560B2">
        <w:t xml:space="preserve">it does not allow the </w:t>
      </w:r>
      <w:proofErr w:type="spellStart"/>
      <w:r w:rsidR="004560B2">
        <w:t>CRES</w:t>
      </w:r>
      <w:proofErr w:type="spellEnd"/>
      <w:r w:rsidR="004560B2">
        <w:t xml:space="preserve"> provider’s </w:t>
      </w:r>
      <w:r w:rsidR="00C66EBA">
        <w:t>sales person</w:t>
      </w:r>
      <w:r w:rsidR="004560B2">
        <w:t xml:space="preserve"> to ever return, even once the third-party verification is complete.</w:t>
      </w:r>
    </w:p>
    <w:p w:rsidR="004560B2" w:rsidRDefault="006F6ADE" w:rsidP="00B1303D">
      <w:pPr>
        <w:spacing w:after="0" w:line="480" w:lineRule="auto"/>
        <w:ind w:firstLine="720"/>
      </w:pPr>
      <w:r>
        <w:lastRenderedPageBreak/>
        <w:t xml:space="preserve">The requirement that the sales person </w:t>
      </w:r>
      <w:r w:rsidR="008459F6">
        <w:t xml:space="preserve">leave the property prior to completion of the TPV process </w:t>
      </w:r>
      <w:r>
        <w:t xml:space="preserve">places significant restrictions on the </w:t>
      </w:r>
      <w:proofErr w:type="spellStart"/>
      <w:r>
        <w:t>CRES</w:t>
      </w:r>
      <w:proofErr w:type="spellEnd"/>
      <w:r>
        <w:t xml:space="preserve"> providers ability to solicit new customers through door-to-door marketing and enrollment that are unnecessary in light of other requirements.  </w:t>
      </w:r>
      <w:r w:rsidR="00C66EBA">
        <w:t>Indeed, t</w:t>
      </w:r>
      <w:r w:rsidR="00F36EEB">
        <w:t xml:space="preserve">he approach that the Commission </w:t>
      </w:r>
      <w:r w:rsidR="00B1303D">
        <w:t>ha</w:t>
      </w:r>
      <w:r>
        <w:t>d</w:t>
      </w:r>
      <w:r w:rsidR="00B1303D">
        <w:t xml:space="preserve"> </w:t>
      </w:r>
      <w:r>
        <w:t xml:space="preserve">previously </w:t>
      </w:r>
      <w:r w:rsidR="00B1303D">
        <w:t xml:space="preserve">taken with respect to </w:t>
      </w:r>
      <w:r w:rsidR="004B1360">
        <w:t>third-party</w:t>
      </w:r>
      <w:r w:rsidR="00B1303D">
        <w:t xml:space="preserve"> verification in door-to-door solicitation of gas services did not require the sales person to leave during the verification process.</w:t>
      </w:r>
      <w:r w:rsidR="004B1360">
        <w:t xml:space="preserve">  </w:t>
      </w:r>
      <w:r w:rsidR="004B1360">
        <w:rPr>
          <w:i/>
        </w:rPr>
        <w:t xml:space="preserve">See </w:t>
      </w:r>
      <w:r>
        <w:t>4901:1-29-06(D)(6).</w:t>
      </w:r>
      <w:r w:rsidR="004560B2">
        <w:t xml:space="preserve">  Further, </w:t>
      </w:r>
      <w:r w:rsidR="008459F6">
        <w:t xml:space="preserve">Rule </w:t>
      </w:r>
      <w:r w:rsidR="002B3763">
        <w:t xml:space="preserve">4901:1-21-06(D)(1)(k) </w:t>
      </w:r>
      <w:r w:rsidR="008459F6">
        <w:t xml:space="preserve">already requires the sales person to leave at the request of the property owner.  And, </w:t>
      </w:r>
      <w:r w:rsidR="004560B2">
        <w:t>Rule 4901</w:t>
      </w:r>
      <w:r w:rsidR="00D44733">
        <w:t>:1-21-06</w:t>
      </w:r>
      <w:r w:rsidR="004560B2">
        <w:t xml:space="preserve">(D)(1)(e) already gives the customer seven days – </w:t>
      </w:r>
      <w:r w:rsidR="00C66EBA">
        <w:t xml:space="preserve">now </w:t>
      </w:r>
      <w:r w:rsidR="004560B2">
        <w:t xml:space="preserve">seven business days under the Proposed Rule – to rescind if he/she changes his/her mind.  </w:t>
      </w:r>
      <w:r w:rsidR="00C66EBA">
        <w:t>Third-party verification and a seven-day grace period for cancellation</w:t>
      </w:r>
      <w:r w:rsidR="004560B2">
        <w:t xml:space="preserve"> are sufficient safeguards to ensure that customers knowingly change their electric service provider, but also give </w:t>
      </w:r>
      <w:proofErr w:type="spellStart"/>
      <w:r w:rsidR="004560B2">
        <w:t>CRES</w:t>
      </w:r>
      <w:proofErr w:type="spellEnd"/>
      <w:r w:rsidR="004560B2">
        <w:t xml:space="preserve"> providers flexibility to sign up new customers through door-to-door marketing and enrollment.</w:t>
      </w:r>
      <w:r>
        <w:t xml:space="preserve">  </w:t>
      </w:r>
    </w:p>
    <w:p w:rsidR="0015758E" w:rsidRPr="004B1360" w:rsidRDefault="0015758E" w:rsidP="00B1303D">
      <w:pPr>
        <w:spacing w:after="0" w:line="480" w:lineRule="auto"/>
        <w:ind w:firstLine="720"/>
      </w:pPr>
      <w:r>
        <w:t xml:space="preserve">To address </w:t>
      </w:r>
      <w:r w:rsidR="00FF43B5">
        <w:t>this concern</w:t>
      </w:r>
      <w:r>
        <w:t xml:space="preserve">, </w:t>
      </w:r>
      <w:r w:rsidR="00AA38AD">
        <w:t>Border</w:t>
      </w:r>
      <w:r>
        <w:t xml:space="preserve"> suggests that the Commission</w:t>
      </w:r>
      <w:r w:rsidR="004E1DC1">
        <w:t xml:space="preserve"> </w:t>
      </w:r>
      <w:r w:rsidR="00B1303D">
        <w:t>exclude subsection 4901:1-21-06(D)(1)(h)(ii) from the final rule</w:t>
      </w:r>
      <w:r w:rsidR="008459F6">
        <w:t>.</w:t>
      </w:r>
      <w:r w:rsidR="006F6ADE">
        <w:t xml:space="preserve"> </w:t>
      </w:r>
      <w:r w:rsidR="008459F6">
        <w:t xml:space="preserve"> </w:t>
      </w:r>
    </w:p>
    <w:p w:rsidR="000B7875" w:rsidRDefault="0066616F" w:rsidP="00437791">
      <w:pPr>
        <w:spacing w:after="0" w:line="480" w:lineRule="auto"/>
        <w:jc w:val="center"/>
      </w:pPr>
      <w:r>
        <w:t>* * *</w:t>
      </w:r>
    </w:p>
    <w:p w:rsidR="0066616F" w:rsidRDefault="0066616F" w:rsidP="0071477A">
      <w:pPr>
        <w:spacing w:after="0" w:line="480" w:lineRule="auto"/>
      </w:pPr>
      <w:r>
        <w:tab/>
      </w:r>
      <w:r w:rsidR="00AA38AD">
        <w:t>Border</w:t>
      </w:r>
      <w:r>
        <w:t xml:space="preserve"> appreciates the opportunity to comment on the proposed amendments to the Commission’s </w:t>
      </w:r>
      <w:r w:rsidR="00AA38AD">
        <w:t>Rules for Competitive Retail Electric Service Contained in Chapter 4901:1-21 of the Ohio Administrative Code</w:t>
      </w:r>
      <w:r>
        <w:t xml:space="preserve">, and respectfully urges the Commission to adopt </w:t>
      </w:r>
      <w:r w:rsidR="00002EF5">
        <w:t xml:space="preserve">Border’s </w:t>
      </w:r>
      <w:r>
        <w:t>suggested revisions thereto.</w:t>
      </w:r>
    </w:p>
    <w:p w:rsidR="0066616F" w:rsidRDefault="0066616F" w:rsidP="0071477A">
      <w:pPr>
        <w:spacing w:after="0" w:line="480" w:lineRule="auto"/>
      </w:pPr>
      <w:r>
        <w:t>Dated:</w:t>
      </w:r>
      <w:r>
        <w:tab/>
      </w:r>
      <w:r>
        <w:tab/>
      </w:r>
      <w:r w:rsidR="004B1360">
        <w:t>January 7, 2013</w:t>
      </w:r>
      <w:r>
        <w:tab/>
      </w:r>
      <w:r>
        <w:tab/>
      </w:r>
      <w:r>
        <w:tab/>
      </w:r>
    </w:p>
    <w:p w:rsidR="0066616F" w:rsidRPr="0066616F" w:rsidRDefault="004B1360" w:rsidP="0066616F">
      <w:pPr>
        <w:spacing w:after="0" w:line="240" w:lineRule="auto"/>
        <w:ind w:left="4320"/>
        <w:rPr>
          <w:b/>
        </w:rPr>
      </w:pPr>
      <w:r>
        <w:rPr>
          <w:b/>
        </w:rPr>
        <w:t>BORDER ENERGY ELECTRIC SERVICES, INC.</w:t>
      </w:r>
    </w:p>
    <w:p w:rsidR="0066616F" w:rsidRDefault="0066616F" w:rsidP="0066616F">
      <w:pPr>
        <w:spacing w:after="0" w:line="480" w:lineRule="auto"/>
        <w:ind w:left="4320"/>
      </w:pPr>
    </w:p>
    <w:p w:rsidR="0066616F" w:rsidRPr="005E51FD" w:rsidRDefault="0066616F" w:rsidP="0066616F">
      <w:pPr>
        <w:pStyle w:val="Signature"/>
      </w:pPr>
      <w:r w:rsidRPr="005E51FD">
        <w:t>By:</w:t>
      </w:r>
      <w:r w:rsidRPr="005E51FD">
        <w:tab/>
      </w:r>
      <w:r w:rsidRPr="005E51FD">
        <w:rPr>
          <w:u w:val="single"/>
        </w:rPr>
        <w:t xml:space="preserve">/s/ </w:t>
      </w:r>
      <w:r w:rsidR="004B1360">
        <w:rPr>
          <w:u w:val="single"/>
        </w:rPr>
        <w:t>Stephanie M. Chmiel</w:t>
      </w:r>
      <w:r>
        <w:rPr>
          <w:u w:val="single"/>
        </w:rPr>
        <w:tab/>
      </w:r>
      <w:r w:rsidRPr="005E51FD">
        <w:rPr>
          <w:u w:val="single"/>
        </w:rPr>
        <w:tab/>
      </w:r>
      <w:r w:rsidRPr="004B1360">
        <w:tab/>
      </w:r>
    </w:p>
    <w:p w:rsidR="0066616F" w:rsidRPr="005E51FD" w:rsidRDefault="004B1360" w:rsidP="0066616F">
      <w:pPr>
        <w:pStyle w:val="Signature"/>
        <w:ind w:firstLine="720"/>
      </w:pPr>
      <w:r>
        <w:t>Stephanie M. Chmiel</w:t>
      </w:r>
    </w:p>
    <w:p w:rsidR="0066616F" w:rsidRPr="005E51FD" w:rsidRDefault="0066616F" w:rsidP="0066616F">
      <w:pPr>
        <w:pStyle w:val="Signature"/>
      </w:pPr>
      <w:r>
        <w:tab/>
        <w:t>T</w:t>
      </w:r>
      <w:r w:rsidRPr="005E51FD">
        <w:t>HOMPSON HINE LLP</w:t>
      </w:r>
    </w:p>
    <w:p w:rsidR="0066616F" w:rsidRPr="005E51FD" w:rsidRDefault="0066616F" w:rsidP="0066616F">
      <w:pPr>
        <w:pStyle w:val="Signature"/>
      </w:pPr>
      <w:r w:rsidRPr="005E51FD">
        <w:tab/>
        <w:t>41 South High Street, Suite 1700</w:t>
      </w:r>
    </w:p>
    <w:p w:rsidR="0066616F" w:rsidRPr="005E51FD" w:rsidRDefault="0066616F" w:rsidP="0066616F">
      <w:pPr>
        <w:pStyle w:val="Signature"/>
      </w:pPr>
      <w:r w:rsidRPr="005E51FD">
        <w:tab/>
        <w:t>Columbus, Ohio  43215-6101</w:t>
      </w:r>
    </w:p>
    <w:p w:rsidR="0066616F" w:rsidRDefault="0066616F" w:rsidP="00892976">
      <w:pPr>
        <w:pStyle w:val="Signature"/>
      </w:pPr>
      <w:r w:rsidRPr="005E51FD">
        <w:tab/>
        <w:t>(614) 469-32</w:t>
      </w:r>
      <w:r w:rsidR="004B1360">
        <w:t>47</w:t>
      </w:r>
    </w:p>
    <w:sectPr w:rsidR="0066616F" w:rsidSect="00892976">
      <w:headerReference w:type="even" r:id="rId8"/>
      <w:headerReference w:type="default" r:id="rId9"/>
      <w:footerReference w:type="even" r:id="rId10"/>
      <w:footerReference w:type="default" r:id="rId11"/>
      <w:headerReference w:type="first" r:id="rId12"/>
      <w:footerReference w:type="first" r:id="rId13"/>
      <w:pgSz w:w="12220" w:h="15840"/>
      <w:pgMar w:top="1480" w:right="1720" w:bottom="1880" w:left="1420" w:header="720" w:footer="720" w:gutter="0"/>
      <w:cols w:space="9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5E1" w:rsidRDefault="000E05E1" w:rsidP="00620B9B">
      <w:pPr>
        <w:spacing w:after="0" w:line="240" w:lineRule="auto"/>
      </w:pPr>
      <w:r>
        <w:separator/>
      </w:r>
    </w:p>
  </w:endnote>
  <w:endnote w:type="continuationSeparator" w:id="0">
    <w:p w:rsidR="000E05E1" w:rsidRDefault="000E05E1" w:rsidP="00620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45" w:rsidRDefault="00807E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65259"/>
      <w:docPartObj>
        <w:docPartGallery w:val="Page Numbers (Bottom of Page)"/>
        <w:docPartUnique/>
      </w:docPartObj>
    </w:sdtPr>
    <w:sdtEndPr/>
    <w:sdtContent>
      <w:p w:rsidR="00136E9D" w:rsidRDefault="00BB258A">
        <w:pPr>
          <w:pStyle w:val="Footer"/>
          <w:jc w:val="center"/>
        </w:pPr>
        <w:r>
          <w:fldChar w:fldCharType="begin"/>
        </w:r>
        <w:r w:rsidR="00861E03">
          <w:instrText xml:space="preserve"> PAGE   \* MERGEFORMAT </w:instrText>
        </w:r>
        <w:r>
          <w:fldChar w:fldCharType="separate"/>
        </w:r>
        <w:r w:rsidR="00FA1736">
          <w:rPr>
            <w:noProof/>
          </w:rPr>
          <w:t>1</w:t>
        </w:r>
        <w:r>
          <w:rPr>
            <w:noProof/>
          </w:rPr>
          <w:fldChar w:fldCharType="end"/>
        </w:r>
      </w:p>
    </w:sdtContent>
  </w:sdt>
  <w:p w:rsidR="00136E9D" w:rsidRDefault="00136E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45" w:rsidRDefault="00807E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5E1" w:rsidRDefault="000E05E1" w:rsidP="00620B9B">
      <w:pPr>
        <w:spacing w:after="0" w:line="240" w:lineRule="auto"/>
      </w:pPr>
      <w:r>
        <w:separator/>
      </w:r>
    </w:p>
  </w:footnote>
  <w:footnote w:type="continuationSeparator" w:id="0">
    <w:p w:rsidR="000E05E1" w:rsidRDefault="000E05E1" w:rsidP="00620B9B">
      <w:pPr>
        <w:spacing w:after="0" w:line="240" w:lineRule="auto"/>
      </w:pPr>
      <w:r>
        <w:continuationSeparator/>
      </w:r>
    </w:p>
  </w:footnote>
  <w:footnote w:id="1">
    <w:p w:rsidR="00A2470D" w:rsidRDefault="00A2470D">
      <w:pPr>
        <w:pStyle w:val="FootnoteText"/>
      </w:pPr>
      <w:r>
        <w:rPr>
          <w:rStyle w:val="FootnoteReference"/>
        </w:rPr>
        <w:footnoteRef/>
      </w:r>
      <w:r>
        <w:t xml:space="preserve"> All modifications from the </w:t>
      </w:r>
      <w:r w:rsidR="00C66EBA">
        <w:t>Commission’s</w:t>
      </w:r>
      <w:r>
        <w:t xml:space="preserve"> proposed language are underlined.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45" w:rsidRDefault="00807E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45" w:rsidRDefault="00807E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45" w:rsidRDefault="00807E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gacyDocIDRemoved" w:val="True"/>
  </w:docVars>
  <w:rsids>
    <w:rsidRoot w:val="00D95BB8"/>
    <w:rsid w:val="00002EF5"/>
    <w:rsid w:val="0001230D"/>
    <w:rsid w:val="000253F3"/>
    <w:rsid w:val="00026445"/>
    <w:rsid w:val="00034063"/>
    <w:rsid w:val="000368B6"/>
    <w:rsid w:val="00061F5E"/>
    <w:rsid w:val="000632F6"/>
    <w:rsid w:val="0008540B"/>
    <w:rsid w:val="00087B9F"/>
    <w:rsid w:val="000A4835"/>
    <w:rsid w:val="000B7875"/>
    <w:rsid w:val="000C25F6"/>
    <w:rsid w:val="000D59E5"/>
    <w:rsid w:val="000E05E1"/>
    <w:rsid w:val="000F05E1"/>
    <w:rsid w:val="0011752F"/>
    <w:rsid w:val="00136E9D"/>
    <w:rsid w:val="0015758E"/>
    <w:rsid w:val="00177230"/>
    <w:rsid w:val="001C3702"/>
    <w:rsid w:val="001E6651"/>
    <w:rsid w:val="001F6961"/>
    <w:rsid w:val="002055B2"/>
    <w:rsid w:val="00222187"/>
    <w:rsid w:val="002B3763"/>
    <w:rsid w:val="002C305B"/>
    <w:rsid w:val="002D7CAD"/>
    <w:rsid w:val="0032089B"/>
    <w:rsid w:val="00341582"/>
    <w:rsid w:val="0036305F"/>
    <w:rsid w:val="003778B0"/>
    <w:rsid w:val="003846CC"/>
    <w:rsid w:val="003D6827"/>
    <w:rsid w:val="003F06F3"/>
    <w:rsid w:val="004315F8"/>
    <w:rsid w:val="00437791"/>
    <w:rsid w:val="00441AD9"/>
    <w:rsid w:val="004560B2"/>
    <w:rsid w:val="004728BC"/>
    <w:rsid w:val="004815AC"/>
    <w:rsid w:val="004B1360"/>
    <w:rsid w:val="004E1DC1"/>
    <w:rsid w:val="0055200C"/>
    <w:rsid w:val="005A06A5"/>
    <w:rsid w:val="005F0929"/>
    <w:rsid w:val="00620B9B"/>
    <w:rsid w:val="00626674"/>
    <w:rsid w:val="0065285C"/>
    <w:rsid w:val="00654C37"/>
    <w:rsid w:val="0066616F"/>
    <w:rsid w:val="00681799"/>
    <w:rsid w:val="00685942"/>
    <w:rsid w:val="006B298D"/>
    <w:rsid w:val="006C2138"/>
    <w:rsid w:val="006F6ADE"/>
    <w:rsid w:val="00704531"/>
    <w:rsid w:val="0071477A"/>
    <w:rsid w:val="0073780B"/>
    <w:rsid w:val="00774646"/>
    <w:rsid w:val="007845B0"/>
    <w:rsid w:val="007A71C3"/>
    <w:rsid w:val="007E01C9"/>
    <w:rsid w:val="00807E45"/>
    <w:rsid w:val="0081122B"/>
    <w:rsid w:val="00837F4B"/>
    <w:rsid w:val="008459F6"/>
    <w:rsid w:val="00861E03"/>
    <w:rsid w:val="0086563F"/>
    <w:rsid w:val="008708D1"/>
    <w:rsid w:val="0089111A"/>
    <w:rsid w:val="00892976"/>
    <w:rsid w:val="008D6D92"/>
    <w:rsid w:val="009627C5"/>
    <w:rsid w:val="00983E6B"/>
    <w:rsid w:val="00996248"/>
    <w:rsid w:val="009B2F9B"/>
    <w:rsid w:val="00A2470D"/>
    <w:rsid w:val="00A65011"/>
    <w:rsid w:val="00A70C9C"/>
    <w:rsid w:val="00AA38AD"/>
    <w:rsid w:val="00AB2082"/>
    <w:rsid w:val="00AF0635"/>
    <w:rsid w:val="00B1303D"/>
    <w:rsid w:val="00B26AF6"/>
    <w:rsid w:val="00B27D5F"/>
    <w:rsid w:val="00B61BDA"/>
    <w:rsid w:val="00BB258A"/>
    <w:rsid w:val="00BB6BC3"/>
    <w:rsid w:val="00BC1EBA"/>
    <w:rsid w:val="00C57EFE"/>
    <w:rsid w:val="00C66EBA"/>
    <w:rsid w:val="00C70E60"/>
    <w:rsid w:val="00C92C5B"/>
    <w:rsid w:val="00CB556C"/>
    <w:rsid w:val="00CF2CAC"/>
    <w:rsid w:val="00D06908"/>
    <w:rsid w:val="00D1743B"/>
    <w:rsid w:val="00D25C43"/>
    <w:rsid w:val="00D44733"/>
    <w:rsid w:val="00D55D2E"/>
    <w:rsid w:val="00D6422D"/>
    <w:rsid w:val="00D86642"/>
    <w:rsid w:val="00D95BB8"/>
    <w:rsid w:val="00DB258D"/>
    <w:rsid w:val="00DD7295"/>
    <w:rsid w:val="00E17631"/>
    <w:rsid w:val="00E21DAF"/>
    <w:rsid w:val="00E24F97"/>
    <w:rsid w:val="00E3757C"/>
    <w:rsid w:val="00EB76C4"/>
    <w:rsid w:val="00ED103A"/>
    <w:rsid w:val="00F01AAB"/>
    <w:rsid w:val="00F1030C"/>
    <w:rsid w:val="00F36EEB"/>
    <w:rsid w:val="00FA1736"/>
    <w:rsid w:val="00FF4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C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20B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0B9B"/>
    <w:rPr>
      <w:sz w:val="20"/>
      <w:szCs w:val="20"/>
    </w:rPr>
  </w:style>
  <w:style w:type="character" w:styleId="FootnoteReference">
    <w:name w:val="footnote reference"/>
    <w:basedOn w:val="DefaultParagraphFont"/>
    <w:uiPriority w:val="99"/>
    <w:semiHidden/>
    <w:unhideWhenUsed/>
    <w:rsid w:val="00620B9B"/>
    <w:rPr>
      <w:vertAlign w:val="superscript"/>
    </w:rPr>
  </w:style>
  <w:style w:type="table" w:styleId="TableGrid">
    <w:name w:val="Table Grid"/>
    <w:basedOn w:val="TableNormal"/>
    <w:uiPriority w:val="59"/>
    <w:rsid w:val="00D17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1F5E"/>
    <w:pPr>
      <w:ind w:left="720"/>
      <w:contextualSpacing/>
    </w:pPr>
  </w:style>
  <w:style w:type="paragraph" w:styleId="Header">
    <w:name w:val="header"/>
    <w:basedOn w:val="Normal"/>
    <w:link w:val="HeaderChar"/>
    <w:uiPriority w:val="99"/>
    <w:unhideWhenUsed/>
    <w:rsid w:val="000B78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875"/>
  </w:style>
  <w:style w:type="paragraph" w:styleId="Footer">
    <w:name w:val="footer"/>
    <w:basedOn w:val="Normal"/>
    <w:link w:val="FooterChar"/>
    <w:uiPriority w:val="99"/>
    <w:unhideWhenUsed/>
    <w:rsid w:val="000B7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875"/>
  </w:style>
  <w:style w:type="paragraph" w:styleId="Signature">
    <w:name w:val="Signature"/>
    <w:basedOn w:val="Normal"/>
    <w:link w:val="SignatureChar"/>
    <w:uiPriority w:val="99"/>
    <w:unhideWhenUsed/>
    <w:rsid w:val="0066616F"/>
    <w:pPr>
      <w:spacing w:after="0" w:line="240" w:lineRule="auto"/>
      <w:ind w:left="4320"/>
    </w:pPr>
    <w:rPr>
      <w:szCs w:val="24"/>
    </w:rPr>
  </w:style>
  <w:style w:type="character" w:customStyle="1" w:styleId="SignatureChar">
    <w:name w:val="Signature Char"/>
    <w:basedOn w:val="DefaultParagraphFont"/>
    <w:link w:val="Signature"/>
    <w:uiPriority w:val="99"/>
    <w:rsid w:val="0066616F"/>
    <w:rPr>
      <w:szCs w:val="24"/>
    </w:rPr>
  </w:style>
  <w:style w:type="paragraph" w:styleId="BalloonText">
    <w:name w:val="Balloon Text"/>
    <w:basedOn w:val="Normal"/>
    <w:link w:val="BalloonTextChar"/>
    <w:uiPriority w:val="99"/>
    <w:semiHidden/>
    <w:unhideWhenUsed/>
    <w:rsid w:val="00025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3F3"/>
    <w:rPr>
      <w:rFonts w:ascii="Tahoma" w:hAnsi="Tahoma" w:cs="Tahoma"/>
      <w:sz w:val="16"/>
      <w:szCs w:val="16"/>
    </w:rPr>
  </w:style>
  <w:style w:type="character" w:styleId="Hyperlink">
    <w:name w:val="Hyperlink"/>
    <w:basedOn w:val="DefaultParagraphFont"/>
    <w:uiPriority w:val="99"/>
    <w:rsid w:val="00C70E60"/>
    <w:rPr>
      <w:rFonts w:cs="Times New Roman"/>
      <w:color w:val="0000FF"/>
      <w:u w:val="single"/>
    </w:rPr>
  </w:style>
  <w:style w:type="character" w:customStyle="1" w:styleId="DocID">
    <w:name w:val="DocID"/>
    <w:basedOn w:val="DefaultParagraphFont"/>
    <w:rsid w:val="0073780B"/>
    <w:rPr>
      <w:rFonts w:ascii="Times New Roman" w:hAnsi="Times New Roman" w:cs="Times New Roman"/>
      <w:b w:val="0"/>
      <w:i w:val="0"/>
      <w:vanish w:val="0"/>
      <w:color w:val="000000"/>
      <w:sz w:val="16"/>
      <w:u w:val="none"/>
    </w:rPr>
  </w:style>
  <w:style w:type="paragraph" w:customStyle="1" w:styleId="Body1default">
    <w:name w:val="Body 1 default"/>
    <w:basedOn w:val="Normal"/>
    <w:qFormat/>
    <w:rsid w:val="008708D1"/>
    <w:pPr>
      <w:spacing w:after="240" w:line="240" w:lineRule="auto"/>
    </w:pPr>
    <w:rPr>
      <w:color w:val="000000" w:themeColor="text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C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20B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0B9B"/>
    <w:rPr>
      <w:sz w:val="20"/>
      <w:szCs w:val="20"/>
    </w:rPr>
  </w:style>
  <w:style w:type="character" w:styleId="FootnoteReference">
    <w:name w:val="footnote reference"/>
    <w:basedOn w:val="DefaultParagraphFont"/>
    <w:uiPriority w:val="99"/>
    <w:semiHidden/>
    <w:unhideWhenUsed/>
    <w:rsid w:val="00620B9B"/>
    <w:rPr>
      <w:vertAlign w:val="superscript"/>
    </w:rPr>
  </w:style>
  <w:style w:type="table" w:styleId="TableGrid">
    <w:name w:val="Table Grid"/>
    <w:basedOn w:val="TableNormal"/>
    <w:uiPriority w:val="59"/>
    <w:rsid w:val="00D17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1F5E"/>
    <w:pPr>
      <w:ind w:left="720"/>
      <w:contextualSpacing/>
    </w:pPr>
  </w:style>
  <w:style w:type="paragraph" w:styleId="Header">
    <w:name w:val="header"/>
    <w:basedOn w:val="Normal"/>
    <w:link w:val="HeaderChar"/>
    <w:uiPriority w:val="99"/>
    <w:unhideWhenUsed/>
    <w:rsid w:val="000B78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875"/>
  </w:style>
  <w:style w:type="paragraph" w:styleId="Footer">
    <w:name w:val="footer"/>
    <w:basedOn w:val="Normal"/>
    <w:link w:val="FooterChar"/>
    <w:uiPriority w:val="99"/>
    <w:unhideWhenUsed/>
    <w:rsid w:val="000B7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875"/>
  </w:style>
  <w:style w:type="paragraph" w:styleId="Signature">
    <w:name w:val="Signature"/>
    <w:basedOn w:val="Normal"/>
    <w:link w:val="SignatureChar"/>
    <w:uiPriority w:val="99"/>
    <w:unhideWhenUsed/>
    <w:rsid w:val="0066616F"/>
    <w:pPr>
      <w:spacing w:after="0" w:line="240" w:lineRule="auto"/>
      <w:ind w:left="4320"/>
    </w:pPr>
    <w:rPr>
      <w:szCs w:val="24"/>
    </w:rPr>
  </w:style>
  <w:style w:type="character" w:customStyle="1" w:styleId="SignatureChar">
    <w:name w:val="Signature Char"/>
    <w:basedOn w:val="DefaultParagraphFont"/>
    <w:link w:val="Signature"/>
    <w:uiPriority w:val="99"/>
    <w:rsid w:val="0066616F"/>
    <w:rPr>
      <w:szCs w:val="24"/>
    </w:rPr>
  </w:style>
  <w:style w:type="paragraph" w:styleId="BalloonText">
    <w:name w:val="Balloon Text"/>
    <w:basedOn w:val="Normal"/>
    <w:link w:val="BalloonTextChar"/>
    <w:uiPriority w:val="99"/>
    <w:semiHidden/>
    <w:unhideWhenUsed/>
    <w:rsid w:val="00025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3F3"/>
    <w:rPr>
      <w:rFonts w:ascii="Tahoma" w:hAnsi="Tahoma" w:cs="Tahoma"/>
      <w:sz w:val="16"/>
      <w:szCs w:val="16"/>
    </w:rPr>
  </w:style>
  <w:style w:type="character" w:styleId="Hyperlink">
    <w:name w:val="Hyperlink"/>
    <w:basedOn w:val="DefaultParagraphFont"/>
    <w:uiPriority w:val="99"/>
    <w:rsid w:val="00C70E60"/>
    <w:rPr>
      <w:rFonts w:cs="Times New Roman"/>
      <w:color w:val="0000FF"/>
      <w:u w:val="single"/>
    </w:rPr>
  </w:style>
  <w:style w:type="character" w:customStyle="1" w:styleId="DocID">
    <w:name w:val="DocID"/>
    <w:basedOn w:val="DefaultParagraphFont"/>
    <w:rsid w:val="0073780B"/>
    <w:rPr>
      <w:rFonts w:ascii="Times New Roman" w:hAnsi="Times New Roman" w:cs="Times New Roman"/>
      <w:b w:val="0"/>
      <w:i w:val="0"/>
      <w:vanish w:val="0"/>
      <w:color w:val="000000"/>
      <w:sz w:val="16"/>
      <w:u w:val="none"/>
    </w:rPr>
  </w:style>
  <w:style w:type="paragraph" w:customStyle="1" w:styleId="Body1default">
    <w:name w:val="Body 1 default"/>
    <w:basedOn w:val="Normal"/>
    <w:qFormat/>
    <w:rsid w:val="008708D1"/>
    <w:pPr>
      <w:spacing w:after="240" w:line="240" w:lineRule="auto"/>
    </w:pPr>
    <w:rPr>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B85D17-E70E-47E9-8152-3CFEAF328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702</Words>
  <Characters>4290</Characters>
  <Application>Microsoft Office Word</Application>
  <DocSecurity>0</DocSecurity>
  <Lines>85</Lines>
  <Paragraphs>31</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Kuhn</dc:creator>
  <cp:lastModifiedBy>Brown, Jenny</cp:lastModifiedBy>
  <cp:revision>2</cp:revision>
  <cp:lastPrinted>2013-01-07T20:25:00Z</cp:lastPrinted>
  <dcterms:created xsi:type="dcterms:W3CDTF">2013-01-07T21:30:00Z</dcterms:created>
  <dcterms:modified xsi:type="dcterms:W3CDTF">2013-01-07T21:30:00Z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0FAA2wh0bY8CfKuVV7H0eQPqojXZEfEP5EPOVB5K7LTaSuaMkWJlq1sKtmSIvCoZ6Jv65WuyAc14p6ES
km9VmJo1+7ahAw4KiySUA0LEkZbnM9Iz0E15n2duGIFX1wzXxGLO8zeSPUnoNHvM1/7tPgz1680u
Zjhp/qwjwkUCZhzt2W+w4UnNbMvzH2tKMFrUC2JxPbKs2oQVWJ2wKY3AbDjFUpaRiPSSqC7Ff7Vk
IG2UZkEPxDCl/3iY6</vt:lpwstr>
  </property>
  <property fmtid="{D5CDD505-2E9C-101B-9397-08002B2CF9AE}" pid="3" name="MAIL_MSG_ID2">
    <vt:lpwstr>YnTQM7+T+HPQc2VLvEBiNfQqqYv7/VNwH2FZma6xO+4fMZRs6zaxUKciOUy
JdsMd0eyOOHj6gH6ZI7RJYwQCN66xEpDYqyHbTBCf0g94b1N+DBvFLLGrXE=</vt:lpwstr>
  </property>
  <property fmtid="{D5CDD505-2E9C-101B-9397-08002B2CF9AE}" pid="4" name="RESPONSE_SENDER_NAME">
    <vt:lpwstr>sAAAE9kkUq3pEoL7aGwNrbyWOX4flXxjahVkSBAAPIdWK20=</vt:lpwstr>
  </property>
  <property fmtid="{D5CDD505-2E9C-101B-9397-08002B2CF9AE}" pid="5" name="EMAIL_OWNER_ADDRESS">
    <vt:lpwstr>ABAAmJ+7jnJ2eOWw2eDA2CtIQ4A0oADLMKxsWvfRNLtl8JDMYYOUyPuljIdZArC1+7jD</vt:lpwstr>
  </property>
  <property fmtid="{D5CDD505-2E9C-101B-9397-08002B2CF9AE}" pid="6" name="DocID">
    <vt:lpwstr>725439.4</vt:lpwstr>
  </property>
</Properties>
</file>