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F336" w14:textId="77777777" w:rsidR="001D19B8" w:rsidRPr="00085080" w:rsidRDefault="001D19B8">
      <w:pPr>
        <w:jc w:val="center"/>
        <w:rPr>
          <w:rFonts w:ascii="Arial,Times New Roman" w:eastAsia="Arial,Times New Roman" w:hAnsi="Arial,Times New Roman" w:cs="Arial,Times New Roman"/>
          <w:b/>
          <w:bCs/>
          <w:sz w:val="24"/>
          <w:szCs w:val="24"/>
        </w:rPr>
      </w:pPr>
      <w:r w:rsidRPr="00085080">
        <w:rPr>
          <w:rFonts w:ascii="Arial" w:eastAsia="Arial" w:hAnsi="Arial" w:cs="Arial"/>
          <w:b/>
          <w:bCs/>
          <w:sz w:val="24"/>
          <w:szCs w:val="24"/>
        </w:rPr>
        <w:t>BEFORE</w:t>
      </w:r>
    </w:p>
    <w:p w14:paraId="7A3A5457" w14:textId="77777777" w:rsidR="001D19B8" w:rsidRPr="00085080" w:rsidRDefault="001D19B8" w:rsidP="00C038B5">
      <w:pPr>
        <w:spacing w:after="200" w:line="276" w:lineRule="auto"/>
        <w:jc w:val="center"/>
        <w:rPr>
          <w:rFonts w:ascii="Arial," w:eastAsia="Arial," w:hAnsi="Arial," w:cs="Arial,"/>
          <w:b/>
          <w:bCs/>
          <w:sz w:val="24"/>
          <w:szCs w:val="24"/>
        </w:rPr>
      </w:pPr>
      <w:r w:rsidRPr="00085080">
        <w:rPr>
          <w:rFonts w:ascii="Arial" w:eastAsia="Arial" w:hAnsi="Arial" w:cs="Arial"/>
          <w:b/>
          <w:bCs/>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1D19B8" w:rsidRPr="00525CFE" w14:paraId="656FB84A" w14:textId="77777777" w:rsidTr="1D0DCADB">
        <w:trPr>
          <w:trHeight w:val="3168"/>
          <w:jc w:val="center"/>
        </w:trPr>
        <w:tc>
          <w:tcPr>
            <w:tcW w:w="4739" w:type="dxa"/>
          </w:tcPr>
          <w:p w14:paraId="52A1F0B9" w14:textId="77777777"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In the Matter of the Application of The</w:t>
            </w:r>
          </w:p>
          <w:p w14:paraId="5B326491" w14:textId="77777777"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Dayton Power and Light Company for an</w:t>
            </w:r>
          </w:p>
          <w:p w14:paraId="1A7BEA97" w14:textId="77777777"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Increase in its Electric Distribution Rates</w:t>
            </w:r>
          </w:p>
          <w:p w14:paraId="0CBD68A5" w14:textId="180D90C0" w:rsidR="005E5B59" w:rsidRDefault="005E5B59" w:rsidP="005E5B59">
            <w:pPr>
              <w:autoSpaceDE w:val="0"/>
              <w:autoSpaceDN w:val="0"/>
              <w:adjustRightInd w:val="0"/>
              <w:spacing w:after="0"/>
              <w:rPr>
                <w:rFonts w:ascii="Arial" w:eastAsia="Arial" w:hAnsi="Arial" w:cs="Arial"/>
                <w:sz w:val="24"/>
                <w:szCs w:val="24"/>
              </w:rPr>
            </w:pPr>
          </w:p>
          <w:p w14:paraId="6C60219B" w14:textId="77777777" w:rsidR="005E5B59" w:rsidRDefault="005E5B59" w:rsidP="005E5B59">
            <w:pPr>
              <w:autoSpaceDE w:val="0"/>
              <w:autoSpaceDN w:val="0"/>
              <w:adjustRightInd w:val="0"/>
              <w:spacing w:after="0"/>
              <w:rPr>
                <w:rFonts w:ascii="Arial" w:eastAsia="Arial" w:hAnsi="Arial" w:cs="Arial"/>
                <w:sz w:val="24"/>
                <w:szCs w:val="24"/>
              </w:rPr>
            </w:pPr>
          </w:p>
          <w:p w14:paraId="4D46F175" w14:textId="06BC770C"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In the Matter of the Application of The</w:t>
            </w:r>
          </w:p>
          <w:p w14:paraId="07D3DBA9" w14:textId="77777777"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Dayton Power and Light Company for</w:t>
            </w:r>
          </w:p>
          <w:p w14:paraId="7846D83C" w14:textId="77777777"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 xml:space="preserve">Accounting Authority </w:t>
            </w:r>
          </w:p>
          <w:p w14:paraId="0A37501D" w14:textId="77777777" w:rsidR="001D19B8" w:rsidRPr="005E5B59" w:rsidRDefault="001D19B8" w:rsidP="005E5B59">
            <w:pPr>
              <w:autoSpaceDE w:val="0"/>
              <w:autoSpaceDN w:val="0"/>
              <w:adjustRightInd w:val="0"/>
              <w:spacing w:after="0"/>
              <w:rPr>
                <w:rFonts w:ascii="Arial" w:eastAsiaTheme="minorEastAsia" w:hAnsi="Arial" w:cs="Arial"/>
                <w:sz w:val="24"/>
                <w:szCs w:val="24"/>
              </w:rPr>
            </w:pPr>
          </w:p>
          <w:p w14:paraId="41CEE32B" w14:textId="77777777" w:rsidR="005E5B59" w:rsidRDefault="005E5B59" w:rsidP="005E5B59">
            <w:pPr>
              <w:autoSpaceDE w:val="0"/>
              <w:autoSpaceDN w:val="0"/>
              <w:adjustRightInd w:val="0"/>
              <w:spacing w:after="0"/>
              <w:rPr>
                <w:rFonts w:ascii="Arial" w:eastAsia="Arial" w:hAnsi="Arial" w:cs="Arial"/>
                <w:sz w:val="24"/>
                <w:szCs w:val="24"/>
              </w:rPr>
            </w:pPr>
          </w:p>
          <w:p w14:paraId="307DC0BE" w14:textId="18C616B9" w:rsidR="005E5B59" w:rsidRDefault="005E5B59" w:rsidP="005E5B59">
            <w:pPr>
              <w:autoSpaceDE w:val="0"/>
              <w:autoSpaceDN w:val="0"/>
              <w:adjustRightInd w:val="0"/>
              <w:spacing w:after="0"/>
              <w:rPr>
                <w:rFonts w:ascii="Arial" w:eastAsia="Arial" w:hAnsi="Arial" w:cs="Arial"/>
                <w:sz w:val="24"/>
                <w:szCs w:val="24"/>
              </w:rPr>
            </w:pPr>
          </w:p>
          <w:p w14:paraId="26D7B373" w14:textId="6E9DA2DC"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In the Matter of the Application of Dayton</w:t>
            </w:r>
            <w:r w:rsidRPr="005E5B59">
              <w:rPr>
                <w:rFonts w:ascii="Arial" w:eastAsia="Arial," w:hAnsi="Arial" w:cs="Arial"/>
                <w:sz w:val="24"/>
                <w:szCs w:val="24"/>
              </w:rPr>
              <w:t xml:space="preserve"> </w:t>
            </w:r>
            <w:r w:rsidRPr="005E5B59">
              <w:rPr>
                <w:rFonts w:ascii="Arial" w:eastAsia="Arial" w:hAnsi="Arial" w:cs="Arial"/>
                <w:sz w:val="24"/>
                <w:szCs w:val="24"/>
              </w:rPr>
              <w:t>Power and Light Company for Approval of Revised Tariffs</w:t>
            </w:r>
          </w:p>
        </w:tc>
        <w:tc>
          <w:tcPr>
            <w:tcW w:w="630" w:type="dxa"/>
          </w:tcPr>
          <w:p w14:paraId="2CEAEE8A"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47337C0F"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42465816"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66F6B82B"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6FCB2152"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001228B3"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3FFE75BF"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4B74C727"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r w:rsidRPr="005E5B59">
              <w:rPr>
                <w:rFonts w:ascii="Arial" w:eastAsiaTheme="minorEastAsia" w:hAnsi="Arial" w:cs="Arial"/>
                <w:sz w:val="24"/>
                <w:szCs w:val="24"/>
              </w:rPr>
              <w:br/>
            </w:r>
            <w:r w:rsidRPr="005E5B59">
              <w:rPr>
                <w:rFonts w:ascii="Arial" w:eastAsia="Arial," w:hAnsi="Arial" w:cs="Arial"/>
                <w:sz w:val="24"/>
                <w:szCs w:val="24"/>
              </w:rPr>
              <w:t>)</w:t>
            </w:r>
          </w:p>
          <w:p w14:paraId="09E72294"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3CF3AAEE"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tc>
        <w:tc>
          <w:tcPr>
            <w:tcW w:w="3928" w:type="dxa"/>
          </w:tcPr>
          <w:p w14:paraId="5DAB6C7B" w14:textId="77777777" w:rsidR="001D19B8" w:rsidRPr="005E5B59" w:rsidRDefault="001D19B8" w:rsidP="00FA7DED">
            <w:pPr>
              <w:rPr>
                <w:rFonts w:ascii="Arial" w:eastAsiaTheme="minorEastAsia" w:hAnsi="Arial" w:cs="Arial"/>
                <w:sz w:val="24"/>
                <w:szCs w:val="24"/>
              </w:rPr>
            </w:pPr>
          </w:p>
          <w:p w14:paraId="29A44C58" w14:textId="77777777" w:rsidR="001D19B8" w:rsidRPr="005E5B59" w:rsidRDefault="001D19B8">
            <w:pPr>
              <w:rPr>
                <w:rFonts w:ascii="Arial" w:eastAsia="Arial," w:hAnsi="Arial" w:cs="Arial"/>
                <w:sz w:val="24"/>
                <w:szCs w:val="24"/>
              </w:rPr>
            </w:pPr>
            <w:r w:rsidRPr="005E5B59">
              <w:rPr>
                <w:rFonts w:ascii="Arial" w:eastAsia="Arial" w:hAnsi="Arial" w:cs="Arial"/>
                <w:sz w:val="24"/>
                <w:szCs w:val="24"/>
              </w:rPr>
              <w:t>Case No. 15-1830-EL-AIR</w:t>
            </w:r>
          </w:p>
          <w:p w14:paraId="02EB378F" w14:textId="77777777" w:rsidR="001D19B8" w:rsidRPr="005E5B59" w:rsidRDefault="001D19B8" w:rsidP="00FA7DED">
            <w:pPr>
              <w:rPr>
                <w:rFonts w:ascii="Arial" w:eastAsiaTheme="minorEastAsia" w:hAnsi="Arial" w:cs="Arial"/>
                <w:sz w:val="24"/>
                <w:szCs w:val="24"/>
              </w:rPr>
            </w:pPr>
          </w:p>
          <w:p w14:paraId="5D660290" w14:textId="77777777" w:rsidR="005E5B59" w:rsidRDefault="005E5B59">
            <w:pPr>
              <w:rPr>
                <w:rFonts w:ascii="Arial" w:eastAsiaTheme="minorEastAsia" w:hAnsi="Arial" w:cs="Arial"/>
                <w:sz w:val="24"/>
                <w:szCs w:val="24"/>
              </w:rPr>
            </w:pPr>
          </w:p>
          <w:p w14:paraId="135E70BE" w14:textId="0A00D7DD" w:rsidR="001D19B8" w:rsidRPr="005E5B59" w:rsidRDefault="001D19B8">
            <w:pPr>
              <w:rPr>
                <w:rFonts w:ascii="Arial" w:eastAsia="Arial," w:hAnsi="Arial" w:cs="Arial"/>
                <w:sz w:val="24"/>
                <w:szCs w:val="24"/>
              </w:rPr>
            </w:pPr>
            <w:r w:rsidRPr="005E5B59">
              <w:rPr>
                <w:rFonts w:ascii="Arial" w:eastAsia="Arial" w:hAnsi="Arial" w:cs="Arial"/>
                <w:sz w:val="24"/>
                <w:szCs w:val="24"/>
              </w:rPr>
              <w:t>Case No. 15-1831-EL-AAM</w:t>
            </w:r>
          </w:p>
          <w:p w14:paraId="41C8F396" w14:textId="77777777" w:rsidR="001D19B8" w:rsidRPr="005E5B59" w:rsidRDefault="001D19B8" w:rsidP="00FA7DED">
            <w:pPr>
              <w:rPr>
                <w:rFonts w:ascii="Arial" w:eastAsiaTheme="minorEastAsia" w:hAnsi="Arial" w:cs="Arial"/>
                <w:sz w:val="24"/>
                <w:szCs w:val="24"/>
              </w:rPr>
            </w:pPr>
          </w:p>
          <w:p w14:paraId="72A3D3EC" w14:textId="77777777" w:rsidR="001D19B8" w:rsidRPr="005E5B59" w:rsidRDefault="001D19B8" w:rsidP="00FA7DED">
            <w:pPr>
              <w:rPr>
                <w:rFonts w:ascii="Arial" w:eastAsiaTheme="minorEastAsia" w:hAnsi="Arial" w:cs="Arial"/>
                <w:sz w:val="24"/>
                <w:szCs w:val="24"/>
              </w:rPr>
            </w:pPr>
          </w:p>
          <w:p w14:paraId="11274253" w14:textId="77777777" w:rsidR="005E5B59" w:rsidRDefault="005E5B59">
            <w:pPr>
              <w:rPr>
                <w:rFonts w:ascii="Arial" w:eastAsiaTheme="minorEastAsia" w:hAnsi="Arial" w:cs="Arial"/>
                <w:sz w:val="24"/>
                <w:szCs w:val="24"/>
              </w:rPr>
            </w:pPr>
          </w:p>
          <w:p w14:paraId="40A11318" w14:textId="5059693E" w:rsidR="001D19B8" w:rsidRPr="005E5B59" w:rsidRDefault="001D19B8">
            <w:pPr>
              <w:rPr>
                <w:rFonts w:ascii="Arial" w:eastAsia="Arial," w:hAnsi="Arial" w:cs="Arial"/>
                <w:sz w:val="24"/>
                <w:szCs w:val="24"/>
              </w:rPr>
            </w:pPr>
            <w:r w:rsidRPr="005E5B59">
              <w:rPr>
                <w:rFonts w:ascii="Arial" w:eastAsia="Arial" w:hAnsi="Arial" w:cs="Arial"/>
                <w:sz w:val="24"/>
                <w:szCs w:val="24"/>
              </w:rPr>
              <w:t>Case No. 15-1832-EL-UNC</w:t>
            </w:r>
          </w:p>
          <w:p w14:paraId="0E27B00A" w14:textId="77777777" w:rsidR="001D19B8" w:rsidRPr="005E5B59" w:rsidRDefault="001D19B8" w:rsidP="00FA7DED">
            <w:pPr>
              <w:rPr>
                <w:rFonts w:ascii="Arial" w:eastAsiaTheme="minorEastAsia" w:hAnsi="Arial" w:cs="Arial"/>
                <w:sz w:val="24"/>
                <w:szCs w:val="24"/>
              </w:rPr>
            </w:pPr>
          </w:p>
        </w:tc>
      </w:tr>
    </w:tbl>
    <w:p w14:paraId="60061E4C" w14:textId="77777777" w:rsidR="001D19B8" w:rsidRPr="00D77B42" w:rsidRDefault="001D19B8" w:rsidP="001D19B8">
      <w:pPr>
        <w:spacing w:line="200" w:lineRule="exact"/>
        <w:rPr>
          <w:rFonts w:ascii="Arial" w:hAnsi="Arial" w:cs="Arial"/>
          <w:sz w:val="24"/>
          <w:szCs w:val="24"/>
        </w:rPr>
      </w:pPr>
    </w:p>
    <w:p w14:paraId="44EAFD9C" w14:textId="77777777" w:rsidR="001D19B8" w:rsidRPr="00D77B42" w:rsidRDefault="001D19B8" w:rsidP="001D19B8">
      <w:pPr>
        <w:spacing w:line="200" w:lineRule="exact"/>
        <w:rPr>
          <w:rFonts w:ascii="Arial" w:hAnsi="Arial" w:cs="Arial"/>
          <w:sz w:val="24"/>
          <w:szCs w:val="24"/>
        </w:rPr>
      </w:pPr>
    </w:p>
    <w:p w14:paraId="4B94D5A5" w14:textId="77777777" w:rsidR="001D19B8" w:rsidRPr="00D77B42" w:rsidRDefault="001D19B8" w:rsidP="001D19B8">
      <w:pPr>
        <w:spacing w:line="200" w:lineRule="exact"/>
        <w:rPr>
          <w:rFonts w:ascii="Arial" w:hAnsi="Arial" w:cs="Arial"/>
          <w:sz w:val="24"/>
          <w:szCs w:val="24"/>
        </w:rPr>
      </w:pPr>
    </w:p>
    <w:p w14:paraId="767FDB43" w14:textId="77777777" w:rsidR="001D19B8" w:rsidRPr="00085080" w:rsidRDefault="001D19B8" w:rsidP="00085080">
      <w:pPr>
        <w:spacing w:line="268" w:lineRule="exact"/>
        <w:ind w:left="1319" w:right="942"/>
        <w:jc w:val="center"/>
        <w:rPr>
          <w:rFonts w:ascii="Arial,Times New Roman" w:eastAsia="Arial,Times New Roman" w:hAnsi="Arial,Times New Roman" w:cs="Arial,Times New Roman"/>
          <w:b/>
          <w:bCs/>
          <w:sz w:val="24"/>
          <w:szCs w:val="24"/>
        </w:rPr>
      </w:pPr>
      <w:r w:rsidRPr="00D77B42">
        <w:rPr>
          <w:rFonts w:ascii="Arial" w:hAnsi="Arial" w:cs="Arial"/>
          <w:b/>
          <w:noProof/>
          <w:sz w:val="24"/>
          <w:szCs w:val="24"/>
        </w:rPr>
        <mc:AlternateContent>
          <mc:Choice Requires="wpg">
            <w:drawing>
              <wp:anchor distT="0" distB="0" distL="114300" distR="114300" simplePos="0" relativeHeight="251657216" behindDoc="1" locked="0" layoutInCell="1" allowOverlap="1" wp14:anchorId="6DB041AC" wp14:editId="1DD4676F">
                <wp:simplePos x="0" y="0"/>
                <wp:positionH relativeFrom="page">
                  <wp:posOffset>1121410</wp:posOffset>
                </wp:positionH>
                <wp:positionV relativeFrom="paragraph">
                  <wp:posOffset>-193040</wp:posOffset>
                </wp:positionV>
                <wp:extent cx="5528945" cy="1270"/>
                <wp:effectExtent l="16510" t="16510" r="17145" b="20320"/>
                <wp:wrapNone/>
                <wp:docPr id="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1270"/>
                          <a:chOff x="1766" y="-304"/>
                          <a:chExt cx="8707" cy="2"/>
                        </a:xfrm>
                      </wpg:grpSpPr>
                      <wps:wsp>
                        <wps:cNvPr id="9" name="Freeform 37"/>
                        <wps:cNvSpPr>
                          <a:spLocks/>
                        </wps:cNvSpPr>
                        <wps:spPr bwMode="auto">
                          <a:xfrm>
                            <a:off x="1766" y="-304"/>
                            <a:ext cx="8707" cy="2"/>
                          </a:xfrm>
                          <a:custGeom>
                            <a:avLst/>
                            <a:gdLst>
                              <a:gd name="T0" fmla="+- 0 1766 1766"/>
                              <a:gd name="T1" fmla="*/ T0 w 8707"/>
                              <a:gd name="T2" fmla="+- 0 10474 1766"/>
                              <a:gd name="T3" fmla="*/ T2 w 8707"/>
                            </a:gdLst>
                            <a:ahLst/>
                            <a:cxnLst>
                              <a:cxn ang="0">
                                <a:pos x="T1" y="0"/>
                              </a:cxn>
                              <a:cxn ang="0">
                                <a:pos x="T3" y="0"/>
                              </a:cxn>
                            </a:cxnLst>
                            <a:rect l="0" t="0" r="r" b="b"/>
                            <a:pathLst>
                              <a:path w="8707">
                                <a:moveTo>
                                  <a:pt x="0" y="0"/>
                                </a:moveTo>
                                <a:lnTo>
                                  <a:pt x="8708"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09B0B2C" id="Group 36" o:spid="_x0000_s1026" style="position:absolute;margin-left:88.3pt;margin-top:-15.2pt;width:435.35pt;height:.1pt;z-index:-251659264;mso-position-horizontal-relative:page" coordorigin="1766,-304" coordsize="8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">
                <v:shape id="Freeform 37" o:spid="_x0000_s1027" style="position:absolute;left:1766;top:-304;width:8707;height:2;visibility:visible;mso-wrap-style:square;v-text-anchor:top" coordsize="8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" path="m,l8708,e" filled="f" strokeweight="1.92pt">
                  <v:path arrowok="t" o:connecttype="custom" o:connectlocs="0,0;8708,0" o:connectangles="0,0"/>
                </v:shape>
                <w10:wrap anchorx="page"/>
              </v:group>
            </w:pict>
          </mc:Fallback>
        </mc:AlternateContent>
      </w:r>
      <w:r w:rsidR="00FB5EA1" w:rsidRPr="00085080">
        <w:rPr>
          <w:rFonts w:ascii="Arial" w:eastAsia="Arial" w:hAnsi="Arial" w:cs="Arial"/>
          <w:b/>
          <w:bCs/>
          <w:color w:val="21212A"/>
          <w:w w:val="105"/>
          <w:sz w:val="24"/>
          <w:szCs w:val="24"/>
        </w:rPr>
        <w:t xml:space="preserve">INITIAL BRIEF OF </w:t>
      </w:r>
      <w:r w:rsidRPr="00085080">
        <w:rPr>
          <w:rFonts w:ascii="Arial" w:eastAsia="Arial" w:hAnsi="Arial" w:cs="Arial"/>
          <w:b/>
          <w:bCs/>
          <w:color w:val="21212A"/>
          <w:w w:val="105"/>
          <w:sz w:val="24"/>
          <w:szCs w:val="24"/>
        </w:rPr>
        <w:t xml:space="preserve">INTERSTATE GAS SUPPLY, </w:t>
      </w:r>
      <w:r w:rsidR="00FB5EA1" w:rsidRPr="00085080">
        <w:rPr>
          <w:rFonts w:ascii="Arial" w:eastAsia="Arial" w:hAnsi="Arial" w:cs="Arial"/>
          <w:b/>
          <w:bCs/>
          <w:color w:val="21212A"/>
          <w:w w:val="105"/>
          <w:sz w:val="24"/>
          <w:szCs w:val="24"/>
        </w:rPr>
        <w:t>INC</w:t>
      </w:r>
      <w:r w:rsidRPr="00D77B42">
        <w:rPr>
          <w:rFonts w:ascii="Arial" w:hAnsi="Arial" w:cs="Arial"/>
          <w:b/>
          <w:noProof/>
          <w:sz w:val="24"/>
          <w:szCs w:val="24"/>
        </w:rPr>
        <mc:AlternateContent>
          <mc:Choice Requires="wpg">
            <w:drawing>
              <wp:anchor distT="0" distB="0" distL="114300" distR="114300" simplePos="0" relativeHeight="251659264" behindDoc="1" locked="0" layoutInCell="1" allowOverlap="1" wp14:anchorId="7890E237" wp14:editId="69435077">
                <wp:simplePos x="0" y="0"/>
                <wp:positionH relativeFrom="page">
                  <wp:posOffset>1121410</wp:posOffset>
                </wp:positionH>
                <wp:positionV relativeFrom="paragraph">
                  <wp:posOffset>374650</wp:posOffset>
                </wp:positionV>
                <wp:extent cx="5528945" cy="1270"/>
                <wp:effectExtent l="16510" t="12700" r="17145" b="14605"/>
                <wp:wrapNone/>
                <wp:docPr id="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1270"/>
                          <a:chOff x="1766" y="590"/>
                          <a:chExt cx="8707" cy="2"/>
                        </a:xfrm>
                      </wpg:grpSpPr>
                      <wps:wsp>
                        <wps:cNvPr id="7" name="Freeform 35"/>
                        <wps:cNvSpPr>
                          <a:spLocks/>
                        </wps:cNvSpPr>
                        <wps:spPr bwMode="auto">
                          <a:xfrm>
                            <a:off x="1766" y="590"/>
                            <a:ext cx="8707" cy="2"/>
                          </a:xfrm>
                          <a:custGeom>
                            <a:avLst/>
                            <a:gdLst>
                              <a:gd name="T0" fmla="+- 0 1766 1766"/>
                              <a:gd name="T1" fmla="*/ T0 w 8707"/>
                              <a:gd name="T2" fmla="+- 0 10474 1766"/>
                              <a:gd name="T3" fmla="*/ T2 w 8707"/>
                            </a:gdLst>
                            <a:ahLst/>
                            <a:cxnLst>
                              <a:cxn ang="0">
                                <a:pos x="T1" y="0"/>
                              </a:cxn>
                              <a:cxn ang="0">
                                <a:pos x="T3" y="0"/>
                              </a:cxn>
                            </a:cxnLst>
                            <a:rect l="0" t="0" r="r" b="b"/>
                            <a:pathLst>
                              <a:path w="8707">
                                <a:moveTo>
                                  <a:pt x="0" y="0"/>
                                </a:moveTo>
                                <a:lnTo>
                                  <a:pt x="8708"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31D12B6" id="Group 34" o:spid="_x0000_s1026" style="position:absolute;margin-left:88.3pt;margin-top:29.5pt;width:435.35pt;height:.1pt;z-index:-251657216;mso-position-horizontal-relative:page" coordorigin="1766,590" coordsize="8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24XAMAAOQ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">
                <v:shape id="Freeform 35" o:spid="_x0000_s1027" style="position:absolute;left:1766;top:590;width:8707;height:2;visibility:visible;mso-wrap-style:square;v-text-anchor:top" coordsize="8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" path="m,l8708,e" filled="f" strokeweight="1.92pt">
                  <v:path arrowok="t" o:connecttype="custom" o:connectlocs="0,0;8708,0" o:connectangles="0,0"/>
                </v:shape>
                <w10:wrap anchorx="page"/>
              </v:group>
            </w:pict>
          </mc:Fallback>
        </mc:AlternateContent>
      </w:r>
      <w:r w:rsidR="00FB5EA1" w:rsidRPr="00085080">
        <w:rPr>
          <w:rFonts w:ascii="Arial,Times New Roman" w:eastAsia="Arial,Times New Roman" w:hAnsi="Arial,Times New Roman" w:cs="Arial,Times New Roman"/>
          <w:b/>
          <w:bCs/>
          <w:color w:val="21212A"/>
          <w:w w:val="105"/>
          <w:sz w:val="24"/>
          <w:szCs w:val="24"/>
        </w:rPr>
        <w:t>.</w:t>
      </w:r>
    </w:p>
    <w:p w14:paraId="61353B33" w14:textId="77777777" w:rsidR="003A5642" w:rsidRDefault="003A5642" w:rsidP="00262C8D">
      <w:pPr>
        <w:widowControl w:val="0"/>
        <w:spacing w:after="0" w:line="240" w:lineRule="auto"/>
        <w:jc w:val="center"/>
        <w:rPr>
          <w:rFonts w:ascii="Arial" w:hAnsi="Arial" w:cs="Arial"/>
          <w:b/>
          <w:bCs/>
          <w:sz w:val="24"/>
          <w:szCs w:val="24"/>
          <w:u w:val="single"/>
        </w:rPr>
      </w:pPr>
    </w:p>
    <w:p w14:paraId="5C45E974" w14:textId="77777777" w:rsidR="003A5642" w:rsidRDefault="003A5642" w:rsidP="003A5642">
      <w:pPr>
        <w:spacing w:after="0" w:line="240" w:lineRule="auto"/>
        <w:ind w:left="5040"/>
        <w:rPr>
          <w:rFonts w:ascii="Arial" w:hAnsi="Arial" w:cs="Arial"/>
          <w:sz w:val="24"/>
          <w:szCs w:val="24"/>
        </w:rPr>
      </w:pPr>
    </w:p>
    <w:p w14:paraId="783E3A2D" w14:textId="77777777" w:rsidR="003A5642" w:rsidRDefault="003A5642" w:rsidP="003A5642">
      <w:pPr>
        <w:spacing w:after="0" w:line="240" w:lineRule="auto"/>
        <w:ind w:left="5040"/>
        <w:rPr>
          <w:rFonts w:ascii="Arial" w:hAnsi="Arial" w:cs="Arial"/>
          <w:sz w:val="24"/>
          <w:szCs w:val="24"/>
        </w:rPr>
      </w:pPr>
    </w:p>
    <w:p w14:paraId="347A88A2" w14:textId="77777777" w:rsidR="003A5642" w:rsidRDefault="003A5642" w:rsidP="003A5642">
      <w:pPr>
        <w:spacing w:after="0" w:line="240" w:lineRule="auto"/>
        <w:ind w:left="5040"/>
        <w:rPr>
          <w:rFonts w:ascii="Arial" w:hAnsi="Arial" w:cs="Arial"/>
          <w:sz w:val="24"/>
          <w:szCs w:val="24"/>
        </w:rPr>
      </w:pPr>
    </w:p>
    <w:p w14:paraId="78AEA7DB" w14:textId="23093D1F" w:rsidR="003A5642" w:rsidRDefault="003A5642" w:rsidP="003A5642">
      <w:pPr>
        <w:spacing w:after="0" w:line="240" w:lineRule="auto"/>
        <w:ind w:left="5040"/>
        <w:rPr>
          <w:rFonts w:ascii="Arial" w:hAnsi="Arial" w:cs="Arial"/>
          <w:sz w:val="24"/>
          <w:szCs w:val="24"/>
        </w:rPr>
      </w:pPr>
      <w:r w:rsidRPr="00C51B26">
        <w:rPr>
          <w:rFonts w:ascii="Arial" w:hAnsi="Arial" w:cs="Arial"/>
          <w:sz w:val="24"/>
          <w:szCs w:val="24"/>
        </w:rPr>
        <w:t>Joseph Oliker (0086088)</w:t>
      </w:r>
    </w:p>
    <w:p w14:paraId="5F6A7F9B" w14:textId="77777777" w:rsidR="003A5642" w:rsidRPr="00C51B26" w:rsidRDefault="003A5642" w:rsidP="003A5642">
      <w:pPr>
        <w:spacing w:after="0" w:line="240" w:lineRule="auto"/>
        <w:ind w:left="5040"/>
        <w:rPr>
          <w:rFonts w:ascii="Arial" w:hAnsi="Arial" w:cs="Arial"/>
          <w:sz w:val="24"/>
          <w:szCs w:val="24"/>
        </w:rPr>
      </w:pPr>
      <w:r>
        <w:rPr>
          <w:rFonts w:ascii="Arial" w:hAnsi="Arial" w:cs="Arial"/>
          <w:sz w:val="24"/>
          <w:szCs w:val="24"/>
        </w:rPr>
        <w:t xml:space="preserve">Counsel of Record </w:t>
      </w:r>
    </w:p>
    <w:p w14:paraId="13AE51AD" w14:textId="77777777" w:rsidR="003A5642" w:rsidRPr="00C51B26" w:rsidRDefault="003A5642" w:rsidP="003A5642">
      <w:pPr>
        <w:spacing w:after="0" w:line="240" w:lineRule="auto"/>
        <w:ind w:left="5040"/>
        <w:rPr>
          <w:rStyle w:val="Hyperlink"/>
          <w:rFonts w:ascii="Arial" w:hAnsi="Arial" w:cs="Arial"/>
          <w:sz w:val="24"/>
          <w:szCs w:val="24"/>
        </w:rPr>
      </w:pPr>
      <w:r w:rsidRPr="00C51B26">
        <w:rPr>
          <w:rFonts w:ascii="Arial" w:hAnsi="Arial" w:cs="Arial"/>
          <w:sz w:val="24"/>
          <w:szCs w:val="24"/>
        </w:rPr>
        <w:t xml:space="preserve">Email: </w:t>
      </w:r>
      <w:hyperlink r:id="rId11" w:history="1">
        <w:r w:rsidRPr="00C51B26">
          <w:rPr>
            <w:rStyle w:val="Hyperlink"/>
            <w:rFonts w:ascii="Arial" w:hAnsi="Arial" w:cs="Arial"/>
            <w:sz w:val="24"/>
            <w:szCs w:val="24"/>
          </w:rPr>
          <w:t>joliker@igsenergy.com</w:t>
        </w:r>
      </w:hyperlink>
    </w:p>
    <w:p w14:paraId="1F82E720" w14:textId="77777777" w:rsidR="003A5642" w:rsidRPr="00C51B26" w:rsidRDefault="003A5642" w:rsidP="003A5642">
      <w:pPr>
        <w:spacing w:after="0" w:line="240" w:lineRule="auto"/>
        <w:ind w:left="5040"/>
        <w:rPr>
          <w:rFonts w:ascii="Arial" w:hAnsi="Arial" w:cs="Arial"/>
          <w:sz w:val="24"/>
          <w:szCs w:val="24"/>
        </w:rPr>
      </w:pPr>
      <w:r w:rsidRPr="00C51B26">
        <w:rPr>
          <w:rFonts w:ascii="Arial" w:hAnsi="Arial" w:cs="Arial"/>
          <w:sz w:val="24"/>
          <w:szCs w:val="24"/>
        </w:rPr>
        <w:t>IGS Energy</w:t>
      </w:r>
    </w:p>
    <w:p w14:paraId="7BE96F58" w14:textId="77777777" w:rsidR="003A5642" w:rsidRPr="00C51B26" w:rsidRDefault="003A5642" w:rsidP="003A5642">
      <w:pPr>
        <w:spacing w:after="0" w:line="240" w:lineRule="auto"/>
        <w:ind w:left="5040"/>
        <w:rPr>
          <w:rFonts w:ascii="Arial" w:hAnsi="Arial" w:cs="Arial"/>
          <w:sz w:val="24"/>
          <w:szCs w:val="24"/>
        </w:rPr>
      </w:pPr>
      <w:r w:rsidRPr="00C51B26">
        <w:rPr>
          <w:rFonts w:ascii="Arial" w:hAnsi="Arial" w:cs="Arial"/>
          <w:sz w:val="24"/>
          <w:szCs w:val="24"/>
        </w:rPr>
        <w:t>6100 Emerald Parkway</w:t>
      </w:r>
    </w:p>
    <w:p w14:paraId="45617010" w14:textId="77777777" w:rsidR="003A5642" w:rsidRPr="00C51B26" w:rsidRDefault="003A5642" w:rsidP="003A5642">
      <w:pPr>
        <w:spacing w:after="0" w:line="240" w:lineRule="auto"/>
        <w:ind w:left="5040"/>
        <w:rPr>
          <w:rFonts w:ascii="Arial" w:hAnsi="Arial" w:cs="Arial"/>
          <w:sz w:val="24"/>
          <w:szCs w:val="24"/>
        </w:rPr>
      </w:pPr>
      <w:r w:rsidRPr="00C51B26">
        <w:rPr>
          <w:rFonts w:ascii="Arial" w:hAnsi="Arial" w:cs="Arial"/>
          <w:sz w:val="24"/>
          <w:szCs w:val="24"/>
        </w:rPr>
        <w:t>Dublin, Ohio 43016</w:t>
      </w:r>
    </w:p>
    <w:p w14:paraId="461501A2" w14:textId="77777777" w:rsidR="003A5642" w:rsidRDefault="003A5642" w:rsidP="003A5642">
      <w:pPr>
        <w:spacing w:after="0" w:line="240" w:lineRule="auto"/>
        <w:ind w:left="5040"/>
        <w:rPr>
          <w:rFonts w:ascii="Arial" w:hAnsi="Arial" w:cs="Arial"/>
          <w:sz w:val="24"/>
          <w:szCs w:val="24"/>
        </w:rPr>
      </w:pPr>
      <w:r w:rsidRPr="00C51B26">
        <w:rPr>
          <w:rFonts w:ascii="Arial" w:hAnsi="Arial" w:cs="Arial"/>
          <w:sz w:val="24"/>
          <w:szCs w:val="24"/>
        </w:rPr>
        <w:t>Telephone:</w:t>
      </w:r>
      <w:r w:rsidRPr="00C51B26">
        <w:rPr>
          <w:rFonts w:ascii="Arial" w:hAnsi="Arial" w:cs="Arial"/>
          <w:sz w:val="24"/>
          <w:szCs w:val="24"/>
        </w:rPr>
        <w:tab/>
        <w:t>(614) 659</w:t>
      </w:r>
      <w:r>
        <w:rPr>
          <w:rFonts w:ascii="Arial" w:hAnsi="Arial" w:cs="Arial"/>
          <w:sz w:val="24"/>
          <w:szCs w:val="24"/>
        </w:rPr>
        <w:t>-5000</w:t>
      </w:r>
    </w:p>
    <w:p w14:paraId="2EEC8C4E" w14:textId="77777777" w:rsidR="003A5642" w:rsidRDefault="003A5642" w:rsidP="003A5642">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43CF47C1" w14:textId="77777777" w:rsidR="003A5642" w:rsidRDefault="003A5642" w:rsidP="003A5642">
      <w:pPr>
        <w:spacing w:after="0" w:line="240" w:lineRule="auto"/>
        <w:ind w:left="5040"/>
        <w:rPr>
          <w:rFonts w:ascii="Arial" w:hAnsi="Arial" w:cs="Arial"/>
          <w:sz w:val="24"/>
          <w:szCs w:val="24"/>
        </w:rPr>
      </w:pPr>
    </w:p>
    <w:p w14:paraId="02009288" w14:textId="75B570FB" w:rsidR="003A5642" w:rsidRDefault="003A5642" w:rsidP="003A5642">
      <w:pPr>
        <w:spacing w:after="0" w:line="240" w:lineRule="auto"/>
        <w:ind w:left="5040"/>
        <w:rPr>
          <w:rFonts w:ascii="Arial" w:hAnsi="Arial" w:cs="Arial"/>
          <w:b/>
          <w:i/>
          <w:sz w:val="24"/>
          <w:szCs w:val="24"/>
        </w:rPr>
      </w:pPr>
      <w:r>
        <w:rPr>
          <w:rFonts w:ascii="Arial" w:hAnsi="Arial" w:cs="Arial"/>
          <w:b/>
          <w:i/>
          <w:sz w:val="24"/>
          <w:szCs w:val="24"/>
        </w:rPr>
        <w:t>Attorney for IGS Energy</w:t>
      </w:r>
    </w:p>
    <w:p w14:paraId="6B020F98" w14:textId="058EF839" w:rsidR="003A5642" w:rsidRPr="006E5083" w:rsidRDefault="003A5642" w:rsidP="003A5642">
      <w:pPr>
        <w:spacing w:after="0" w:line="240" w:lineRule="auto"/>
        <w:rPr>
          <w:rFonts w:ascii="Arial" w:hAnsi="Arial" w:cs="Arial"/>
          <w:b/>
          <w:sz w:val="24"/>
          <w:szCs w:val="24"/>
        </w:rPr>
      </w:pPr>
      <w:r>
        <w:rPr>
          <w:rFonts w:ascii="Arial" w:hAnsi="Arial" w:cs="Arial"/>
          <w:b/>
          <w:sz w:val="24"/>
          <w:szCs w:val="24"/>
        </w:rPr>
        <w:t>August 17, 2018</w:t>
      </w:r>
    </w:p>
    <w:p w14:paraId="64304EB1" w14:textId="77777777" w:rsidR="003A5642" w:rsidRDefault="003A5642" w:rsidP="00262C8D">
      <w:pPr>
        <w:widowControl w:val="0"/>
        <w:spacing w:after="0" w:line="240" w:lineRule="auto"/>
        <w:jc w:val="center"/>
        <w:rPr>
          <w:rFonts w:ascii="Arial" w:hAnsi="Arial" w:cs="Arial"/>
          <w:b/>
          <w:bCs/>
          <w:sz w:val="24"/>
          <w:szCs w:val="24"/>
          <w:u w:val="single"/>
        </w:rPr>
      </w:pPr>
    </w:p>
    <w:p w14:paraId="177B57E4" w14:textId="77777777" w:rsidR="003A5642" w:rsidRDefault="003A5642" w:rsidP="00262C8D">
      <w:pPr>
        <w:widowControl w:val="0"/>
        <w:spacing w:after="0" w:line="240" w:lineRule="auto"/>
        <w:jc w:val="center"/>
        <w:rPr>
          <w:rFonts w:ascii="Arial" w:hAnsi="Arial" w:cs="Arial"/>
          <w:b/>
          <w:bCs/>
          <w:sz w:val="24"/>
          <w:szCs w:val="24"/>
          <w:u w:val="single"/>
        </w:rPr>
      </w:pPr>
    </w:p>
    <w:p w14:paraId="41B60DF2" w14:textId="77777777" w:rsidR="003A5642" w:rsidRDefault="003A5642" w:rsidP="00262C8D">
      <w:pPr>
        <w:widowControl w:val="0"/>
        <w:spacing w:after="0" w:line="240" w:lineRule="auto"/>
        <w:jc w:val="center"/>
        <w:rPr>
          <w:rFonts w:ascii="Arial" w:hAnsi="Arial" w:cs="Arial"/>
          <w:b/>
          <w:bCs/>
          <w:sz w:val="24"/>
          <w:szCs w:val="24"/>
          <w:u w:val="single"/>
        </w:rPr>
      </w:pPr>
    </w:p>
    <w:p w14:paraId="3E82D940" w14:textId="77777777" w:rsidR="003A5642" w:rsidRDefault="003A5642" w:rsidP="00262C8D">
      <w:pPr>
        <w:widowControl w:val="0"/>
        <w:spacing w:after="0" w:line="240" w:lineRule="auto"/>
        <w:jc w:val="center"/>
        <w:rPr>
          <w:rFonts w:ascii="Arial" w:hAnsi="Arial" w:cs="Arial"/>
          <w:b/>
          <w:bCs/>
          <w:sz w:val="24"/>
          <w:szCs w:val="24"/>
          <w:u w:val="single"/>
        </w:rPr>
      </w:pPr>
    </w:p>
    <w:p w14:paraId="3E4EBF98" w14:textId="5AC123AF" w:rsidR="00262C8D" w:rsidRDefault="00262C8D" w:rsidP="00262C8D">
      <w:pPr>
        <w:widowControl w:val="0"/>
        <w:spacing w:after="0" w:line="240" w:lineRule="auto"/>
        <w:jc w:val="center"/>
        <w:rPr>
          <w:rFonts w:ascii="Arial" w:hAnsi="Arial" w:cs="Arial"/>
          <w:b/>
          <w:bCs/>
          <w:sz w:val="24"/>
          <w:szCs w:val="24"/>
          <w:u w:val="single"/>
        </w:rPr>
      </w:pPr>
      <w:r w:rsidRPr="00EC2ABB">
        <w:rPr>
          <w:rFonts w:ascii="Arial" w:hAnsi="Arial" w:cs="Arial"/>
          <w:b/>
          <w:bCs/>
          <w:sz w:val="24"/>
          <w:szCs w:val="24"/>
          <w:u w:val="single"/>
        </w:rPr>
        <w:t>TABLE OF CONTENTS</w:t>
      </w:r>
    </w:p>
    <w:p w14:paraId="6E19064E" w14:textId="77777777" w:rsidR="00262C8D" w:rsidRPr="00AE7A34" w:rsidRDefault="00262C8D" w:rsidP="00262C8D">
      <w:pPr>
        <w:widowControl w:val="0"/>
        <w:spacing w:after="0" w:line="240" w:lineRule="auto"/>
        <w:jc w:val="center"/>
        <w:rPr>
          <w:rFonts w:ascii="Arial" w:hAnsi="Arial" w:cs="Arial"/>
          <w:b/>
          <w:bCs/>
          <w:sz w:val="24"/>
          <w:szCs w:val="24"/>
          <w:u w:val="single"/>
        </w:rPr>
      </w:pPr>
      <w:r>
        <w:rPr>
          <w:rFonts w:ascii="Arial" w:hAnsi="Arial" w:cs="Arial"/>
          <w:b/>
          <w:bCs/>
          <w:sz w:val="24"/>
          <w:szCs w:val="24"/>
        </w:rPr>
        <w:lastRenderedPageBreak/>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u w:val="single"/>
        </w:rPr>
        <w:t>PAGE</w:t>
      </w:r>
    </w:p>
    <w:p w14:paraId="5113C13E" w14:textId="77777777" w:rsidR="00262C8D" w:rsidRDefault="00262C8D" w:rsidP="00262C8D">
      <w:pPr>
        <w:pStyle w:val="Level1"/>
        <w:rPr>
          <w:webHidden/>
        </w:rPr>
      </w:pPr>
    </w:p>
    <w:p w14:paraId="7DE9385E" w14:textId="77777777" w:rsidR="00262C8D" w:rsidRPr="00AE7A34" w:rsidRDefault="00262C8D" w:rsidP="00262C8D">
      <w:pPr>
        <w:pStyle w:val="Level1"/>
        <w:numPr>
          <w:ilvl w:val="0"/>
          <w:numId w:val="11"/>
        </w:numPr>
        <w:rPr>
          <w:rFonts w:ascii="Arial" w:hAnsi="Arial" w:cs="Arial"/>
        </w:rPr>
      </w:pPr>
      <w:r w:rsidRPr="00AE7A34">
        <w:rPr>
          <w:rFonts w:ascii="Arial" w:hAnsi="Arial" w:cs="Arial"/>
          <w:webHidden/>
        </w:rPr>
        <w:t xml:space="preserve">introduction </w:t>
      </w:r>
      <w:r w:rsidRPr="00AE7A34">
        <w:rPr>
          <w:rFonts w:ascii="Arial" w:hAnsi="Arial" w:cs="Arial"/>
          <w:webHidden/>
        </w:rPr>
        <w:tab/>
      </w:r>
      <w:r>
        <w:rPr>
          <w:rFonts w:ascii="Arial" w:hAnsi="Arial" w:cs="Arial"/>
          <w:webHidden/>
        </w:rPr>
        <w:t>3</w:t>
      </w:r>
    </w:p>
    <w:p w14:paraId="77246DF9" w14:textId="77FBF874" w:rsidR="00262C8D" w:rsidRDefault="00262C8D" w:rsidP="00262C8D">
      <w:pPr>
        <w:pStyle w:val="Level1"/>
        <w:numPr>
          <w:ilvl w:val="0"/>
          <w:numId w:val="11"/>
        </w:numPr>
        <w:rPr>
          <w:rFonts w:ascii="Arial" w:hAnsi="Arial" w:cs="Arial"/>
          <w:webHidden/>
        </w:rPr>
      </w:pPr>
      <w:r>
        <w:rPr>
          <w:rFonts w:ascii="Arial" w:hAnsi="Arial" w:cs="Arial"/>
          <w:webHidden/>
        </w:rPr>
        <w:t>BACKGROUND</w:t>
      </w:r>
      <w:r w:rsidRPr="00AE7A34">
        <w:rPr>
          <w:rFonts w:ascii="Arial" w:hAnsi="Arial" w:cs="Arial"/>
          <w:webHidden/>
        </w:rPr>
        <w:tab/>
      </w:r>
      <w:r>
        <w:rPr>
          <w:rFonts w:ascii="Arial" w:hAnsi="Arial" w:cs="Arial"/>
          <w:webHidden/>
        </w:rPr>
        <w:t>4</w:t>
      </w:r>
    </w:p>
    <w:p w14:paraId="4B9BE52A" w14:textId="223F3728" w:rsidR="00262C8D" w:rsidRPr="00F2733B" w:rsidRDefault="00262C8D" w:rsidP="00262C8D">
      <w:pPr>
        <w:pStyle w:val="Level1"/>
        <w:numPr>
          <w:ilvl w:val="1"/>
          <w:numId w:val="11"/>
        </w:numPr>
        <w:rPr>
          <w:rFonts w:ascii="Arial" w:hAnsi="Arial" w:cs="Arial"/>
        </w:rPr>
      </w:pPr>
      <w:r w:rsidRPr="00F2733B">
        <w:rPr>
          <w:rFonts w:ascii="Arial" w:hAnsi="Arial" w:cs="Arial"/>
        </w:rPr>
        <w:t>r</w:t>
      </w:r>
      <w:r>
        <w:rPr>
          <w:rFonts w:ascii="Arial" w:hAnsi="Arial" w:cs="Arial"/>
        </w:rPr>
        <w:t>ESTRUCTURING AND UNBUNDLING</w:t>
      </w:r>
      <w:r w:rsidRPr="00F2733B">
        <w:rPr>
          <w:rFonts w:ascii="Arial" w:hAnsi="Arial" w:cs="Arial"/>
        </w:rPr>
        <w:t xml:space="preserve"> </w:t>
      </w:r>
      <w:r w:rsidRPr="00AE7A34">
        <w:rPr>
          <w:rFonts w:ascii="Arial" w:hAnsi="Arial" w:cs="Arial"/>
          <w:webHidden/>
        </w:rPr>
        <w:tab/>
      </w:r>
      <w:r>
        <w:rPr>
          <w:rFonts w:ascii="Arial" w:hAnsi="Arial" w:cs="Arial"/>
          <w:webHidden/>
        </w:rPr>
        <w:t>5</w:t>
      </w:r>
      <w:r w:rsidRPr="00F2733B">
        <w:rPr>
          <w:rFonts w:ascii="Arial" w:hAnsi="Arial" w:cs="Arial"/>
        </w:rPr>
        <w:t xml:space="preserve"> </w:t>
      </w:r>
    </w:p>
    <w:p w14:paraId="36B351E7" w14:textId="4CC39DB8" w:rsidR="00262C8D" w:rsidRPr="00AE7A34" w:rsidRDefault="00262C8D" w:rsidP="00262C8D">
      <w:pPr>
        <w:pStyle w:val="Level1"/>
        <w:numPr>
          <w:ilvl w:val="1"/>
          <w:numId w:val="11"/>
        </w:numPr>
        <w:rPr>
          <w:rFonts w:ascii="Arial" w:hAnsi="Arial" w:cs="Arial"/>
          <w:webHidden/>
        </w:rPr>
      </w:pPr>
      <w:r>
        <w:rPr>
          <w:rFonts w:ascii="Arial" w:hAnsi="Arial" w:cs="Arial"/>
          <w:webHidden/>
        </w:rPr>
        <w:t>THE APPLICATION TO INCREASE DISTRIBUTION RATES</w:t>
      </w:r>
      <w:r w:rsidRPr="00AE7A34">
        <w:rPr>
          <w:rFonts w:ascii="Arial" w:hAnsi="Arial" w:cs="Arial"/>
          <w:webHidden/>
        </w:rPr>
        <w:tab/>
      </w:r>
      <w:r>
        <w:rPr>
          <w:rFonts w:ascii="Arial" w:hAnsi="Arial" w:cs="Arial"/>
          <w:webHidden/>
        </w:rPr>
        <w:t>6</w:t>
      </w:r>
    </w:p>
    <w:p w14:paraId="1859D600" w14:textId="35543432" w:rsidR="00262C8D" w:rsidRDefault="00262C8D" w:rsidP="00262C8D">
      <w:pPr>
        <w:pStyle w:val="Level1"/>
        <w:numPr>
          <w:ilvl w:val="1"/>
          <w:numId w:val="11"/>
        </w:numPr>
        <w:rPr>
          <w:rFonts w:ascii="Arial" w:hAnsi="Arial" w:cs="Arial"/>
          <w:webHidden/>
        </w:rPr>
      </w:pPr>
      <w:r>
        <w:rPr>
          <w:rFonts w:ascii="Arial" w:hAnsi="Arial" w:cs="Arial"/>
          <w:webHidden/>
        </w:rPr>
        <w:t>t</w:t>
      </w:r>
      <w:r w:rsidR="00F26D5A">
        <w:rPr>
          <w:rFonts w:ascii="Arial" w:hAnsi="Arial" w:cs="Arial"/>
          <w:webHidden/>
        </w:rPr>
        <w:t>HE ESP CASE</w:t>
      </w:r>
      <w:r w:rsidRPr="00AE7A34">
        <w:rPr>
          <w:rFonts w:ascii="Arial" w:hAnsi="Arial" w:cs="Arial"/>
          <w:webHidden/>
        </w:rPr>
        <w:tab/>
      </w:r>
      <w:r w:rsidR="00F26D5A">
        <w:rPr>
          <w:rFonts w:ascii="Arial" w:hAnsi="Arial" w:cs="Arial"/>
          <w:webHidden/>
        </w:rPr>
        <w:t>6</w:t>
      </w:r>
    </w:p>
    <w:p w14:paraId="497371A0" w14:textId="78DD127C" w:rsidR="00262C8D" w:rsidRDefault="00F26D5A" w:rsidP="00262C8D">
      <w:pPr>
        <w:pStyle w:val="Level1"/>
        <w:numPr>
          <w:ilvl w:val="1"/>
          <w:numId w:val="11"/>
        </w:numPr>
        <w:rPr>
          <w:rFonts w:ascii="Arial" w:hAnsi="Arial" w:cs="Arial"/>
          <w:webHidden/>
        </w:rPr>
      </w:pPr>
      <w:r>
        <w:rPr>
          <w:rFonts w:ascii="Arial" w:hAnsi="Arial" w:cs="Arial"/>
        </w:rPr>
        <w:t>The Staff Report AND STIPULATION</w:t>
      </w:r>
      <w:r w:rsidR="00262C8D" w:rsidRPr="00AE7A34">
        <w:rPr>
          <w:rFonts w:ascii="Arial" w:hAnsi="Arial" w:cs="Arial"/>
          <w:webHidden/>
        </w:rPr>
        <w:tab/>
      </w:r>
      <w:r>
        <w:rPr>
          <w:rFonts w:ascii="Arial" w:hAnsi="Arial" w:cs="Arial"/>
          <w:webHidden/>
        </w:rPr>
        <w:t>8</w:t>
      </w:r>
    </w:p>
    <w:p w14:paraId="6CDAE6BB" w14:textId="316A5354" w:rsidR="00262C8D" w:rsidRDefault="000F4484" w:rsidP="00262C8D">
      <w:pPr>
        <w:pStyle w:val="Level1"/>
        <w:numPr>
          <w:ilvl w:val="1"/>
          <w:numId w:val="11"/>
        </w:numPr>
        <w:rPr>
          <w:rFonts w:ascii="Arial" w:hAnsi="Arial" w:cs="Arial"/>
          <w:webHidden/>
        </w:rPr>
      </w:pPr>
      <w:r>
        <w:rPr>
          <w:rFonts w:ascii="Arial" w:hAnsi="Arial" w:cs="Arial"/>
          <w:webHidden/>
        </w:rPr>
        <w:t xml:space="preserve">THE STAFF REPORT ERRED and THE STIPULATION SHOULD BE             MODIFIED </w:t>
      </w:r>
      <w:r w:rsidR="00262C8D" w:rsidRPr="00AE7A34">
        <w:rPr>
          <w:rFonts w:ascii="Arial" w:hAnsi="Arial" w:cs="Arial"/>
          <w:webHidden/>
        </w:rPr>
        <w:tab/>
      </w:r>
      <w:r w:rsidR="00262C8D">
        <w:rPr>
          <w:rFonts w:ascii="Arial" w:hAnsi="Arial" w:cs="Arial"/>
          <w:webHidden/>
        </w:rPr>
        <w:t>11</w:t>
      </w:r>
    </w:p>
    <w:p w14:paraId="24D28B72" w14:textId="5BE27AD9" w:rsidR="00262C8D" w:rsidRDefault="00262C8D" w:rsidP="00262C8D">
      <w:pPr>
        <w:pStyle w:val="Level1"/>
        <w:numPr>
          <w:ilvl w:val="2"/>
          <w:numId w:val="11"/>
        </w:numPr>
        <w:rPr>
          <w:rFonts w:ascii="Arial" w:hAnsi="Arial" w:cs="Arial"/>
          <w:webHidden/>
        </w:rPr>
      </w:pPr>
      <w:r>
        <w:rPr>
          <w:rFonts w:ascii="Arial" w:hAnsi="Arial" w:cs="Arial"/>
          <w:webHidden/>
        </w:rPr>
        <w:t xml:space="preserve"> </w:t>
      </w:r>
      <w:r w:rsidR="000F4484">
        <w:rPr>
          <w:rFonts w:ascii="Arial" w:hAnsi="Arial" w:cs="Arial"/>
          <w:webHidden/>
        </w:rPr>
        <w:t>U</w:t>
      </w:r>
      <w:r>
        <w:rPr>
          <w:rFonts w:ascii="Arial" w:hAnsi="Arial" w:cs="Arial"/>
          <w:webHidden/>
        </w:rPr>
        <w:t>n</w:t>
      </w:r>
      <w:r w:rsidR="000F4484">
        <w:rPr>
          <w:rFonts w:ascii="Arial" w:hAnsi="Arial" w:cs="Arial"/>
          <w:webHidden/>
        </w:rPr>
        <w:t xml:space="preserve">BUNDLING </w:t>
      </w:r>
      <w:r w:rsidRPr="00AE7A34">
        <w:rPr>
          <w:rFonts w:ascii="Arial" w:hAnsi="Arial" w:cs="Arial"/>
          <w:webHidden/>
        </w:rPr>
        <w:tab/>
      </w:r>
      <w:r>
        <w:rPr>
          <w:rFonts w:ascii="Arial" w:hAnsi="Arial" w:cs="Arial"/>
          <w:webHidden/>
        </w:rPr>
        <w:t>11</w:t>
      </w:r>
    </w:p>
    <w:p w14:paraId="1A8FCB59" w14:textId="6B87C3D6" w:rsidR="000F4484" w:rsidRDefault="000F4484" w:rsidP="000F4484">
      <w:pPr>
        <w:pStyle w:val="Level1"/>
        <w:numPr>
          <w:ilvl w:val="3"/>
          <w:numId w:val="11"/>
        </w:numPr>
        <w:rPr>
          <w:rFonts w:ascii="Arial" w:hAnsi="Arial" w:cs="Arial"/>
          <w:webHidden/>
        </w:rPr>
      </w:pPr>
      <w:r>
        <w:rPr>
          <w:rFonts w:ascii="Arial" w:hAnsi="Arial" w:cs="Arial"/>
          <w:webHidden/>
        </w:rPr>
        <w:t>the staff report’s flawed framework</w:t>
      </w:r>
      <w:r w:rsidRPr="00AE7A34">
        <w:rPr>
          <w:rFonts w:ascii="Arial" w:hAnsi="Arial" w:cs="Arial"/>
          <w:webHidden/>
        </w:rPr>
        <w:tab/>
      </w:r>
      <w:r>
        <w:rPr>
          <w:rFonts w:ascii="Arial" w:hAnsi="Arial" w:cs="Arial"/>
          <w:webHidden/>
        </w:rPr>
        <w:t>14</w:t>
      </w:r>
    </w:p>
    <w:p w14:paraId="5270D83C" w14:textId="1A375AD0" w:rsidR="000F4484" w:rsidRDefault="000F4484" w:rsidP="000F4484">
      <w:pPr>
        <w:pStyle w:val="Level1"/>
        <w:numPr>
          <w:ilvl w:val="3"/>
          <w:numId w:val="11"/>
        </w:numPr>
        <w:rPr>
          <w:rFonts w:ascii="Arial" w:hAnsi="Arial" w:cs="Arial"/>
          <w:webHidden/>
        </w:rPr>
      </w:pPr>
      <w:r>
        <w:rPr>
          <w:rFonts w:ascii="Arial" w:hAnsi="Arial" w:cs="Arial"/>
          <w:webHidden/>
        </w:rPr>
        <w:t>StaFF’S FLAWED FACT FINDING “INVESTIGATION”                   INTO SSO-RELATED COSTS</w:t>
      </w:r>
      <w:r w:rsidRPr="00AE7A34">
        <w:rPr>
          <w:rFonts w:ascii="Arial" w:hAnsi="Arial" w:cs="Arial"/>
          <w:webHidden/>
        </w:rPr>
        <w:tab/>
      </w:r>
      <w:r>
        <w:rPr>
          <w:rFonts w:ascii="Arial" w:hAnsi="Arial" w:cs="Arial"/>
          <w:webHidden/>
        </w:rPr>
        <w:t>15</w:t>
      </w:r>
    </w:p>
    <w:p w14:paraId="7897B1AA" w14:textId="23F03C60" w:rsidR="000F4484" w:rsidRDefault="000F4484" w:rsidP="000F4484">
      <w:pPr>
        <w:pStyle w:val="Level1"/>
        <w:numPr>
          <w:ilvl w:val="3"/>
          <w:numId w:val="11"/>
        </w:numPr>
        <w:rPr>
          <w:rFonts w:ascii="Arial" w:hAnsi="Arial" w:cs="Arial"/>
          <w:webHidden/>
        </w:rPr>
      </w:pPr>
      <w:r>
        <w:rPr>
          <w:rFonts w:ascii="Arial" w:hAnsi="Arial" w:cs="Arial"/>
          <w:webHidden/>
        </w:rPr>
        <w:t>STAFF’S HALF-COMPLETE UNBUNDLING OF          UNCOLLECTIBLE EXPENSES</w:t>
      </w:r>
      <w:r w:rsidRPr="00AE7A34">
        <w:rPr>
          <w:rFonts w:ascii="Arial" w:hAnsi="Arial" w:cs="Arial"/>
          <w:webHidden/>
        </w:rPr>
        <w:tab/>
      </w:r>
      <w:r>
        <w:rPr>
          <w:rFonts w:ascii="Arial" w:hAnsi="Arial" w:cs="Arial"/>
          <w:webHidden/>
        </w:rPr>
        <w:t>16</w:t>
      </w:r>
    </w:p>
    <w:p w14:paraId="5248EA11" w14:textId="1024405A" w:rsidR="000F4484" w:rsidRDefault="000F4484" w:rsidP="000F4484">
      <w:pPr>
        <w:pStyle w:val="Level1"/>
        <w:numPr>
          <w:ilvl w:val="3"/>
          <w:numId w:val="11"/>
        </w:numPr>
        <w:rPr>
          <w:rFonts w:ascii="Arial" w:hAnsi="Arial" w:cs="Arial"/>
          <w:webHidden/>
        </w:rPr>
      </w:pPr>
      <w:r>
        <w:rPr>
          <w:rFonts w:ascii="Arial" w:hAnsi="Arial" w:cs="Arial"/>
          <w:webHidden/>
        </w:rPr>
        <w:t>DISTRIBUTION RATES SUBSIDIZE SSO SERVICE</w:t>
      </w:r>
      <w:r w:rsidRPr="00AE7A34">
        <w:rPr>
          <w:rFonts w:ascii="Arial" w:hAnsi="Arial" w:cs="Arial"/>
          <w:webHidden/>
        </w:rPr>
        <w:tab/>
      </w:r>
      <w:r>
        <w:rPr>
          <w:rFonts w:ascii="Arial" w:hAnsi="Arial" w:cs="Arial"/>
          <w:webHidden/>
        </w:rPr>
        <w:t>16</w:t>
      </w:r>
    </w:p>
    <w:p w14:paraId="59C57B2F" w14:textId="4C2E44E4" w:rsidR="00CE6E22" w:rsidRDefault="00CE6E22" w:rsidP="000F4484">
      <w:pPr>
        <w:pStyle w:val="Level1"/>
        <w:numPr>
          <w:ilvl w:val="3"/>
          <w:numId w:val="11"/>
        </w:numPr>
        <w:rPr>
          <w:rFonts w:ascii="Arial" w:hAnsi="Arial" w:cs="Arial"/>
          <w:webHidden/>
        </w:rPr>
      </w:pPr>
      <w:r>
        <w:rPr>
          <w:rFonts w:ascii="Arial" w:hAnsi="Arial" w:cs="Arial"/>
          <w:webHidden/>
        </w:rPr>
        <w:t>CRES PROVIDERS BEAR COMPARABLE COSTS AND                 PAY FEES TO DP&amp;L</w:t>
      </w:r>
      <w:r w:rsidRPr="00AE7A34">
        <w:rPr>
          <w:rFonts w:ascii="Arial" w:hAnsi="Arial" w:cs="Arial"/>
          <w:webHidden/>
        </w:rPr>
        <w:tab/>
      </w:r>
      <w:r>
        <w:rPr>
          <w:rFonts w:ascii="Arial" w:hAnsi="Arial" w:cs="Arial"/>
          <w:webHidden/>
        </w:rPr>
        <w:t>18</w:t>
      </w:r>
    </w:p>
    <w:p w14:paraId="2615B06D" w14:textId="127BFA58" w:rsidR="00CE6E22" w:rsidRDefault="00CE6E22" w:rsidP="000F4484">
      <w:pPr>
        <w:pStyle w:val="Level1"/>
        <w:numPr>
          <w:ilvl w:val="3"/>
          <w:numId w:val="11"/>
        </w:numPr>
        <w:rPr>
          <w:rFonts w:ascii="Arial" w:hAnsi="Arial" w:cs="Arial"/>
          <w:webHidden/>
        </w:rPr>
      </w:pPr>
      <w:r>
        <w:rPr>
          <w:rFonts w:ascii="Arial" w:hAnsi="Arial" w:cs="Arial"/>
          <w:webHidden/>
        </w:rPr>
        <w:t>QUANTIFICATION OF THE SSO SUBSIDY</w:t>
      </w:r>
      <w:r w:rsidRPr="00AE7A34">
        <w:rPr>
          <w:rFonts w:ascii="Arial" w:hAnsi="Arial" w:cs="Arial"/>
          <w:webHidden/>
        </w:rPr>
        <w:tab/>
      </w:r>
      <w:r>
        <w:rPr>
          <w:rFonts w:ascii="Arial" w:hAnsi="Arial" w:cs="Arial"/>
          <w:webHidden/>
        </w:rPr>
        <w:t>20</w:t>
      </w:r>
    </w:p>
    <w:p w14:paraId="393FBD3D" w14:textId="039630F0" w:rsidR="000B4BB0" w:rsidRDefault="00194B51" w:rsidP="000F4484">
      <w:pPr>
        <w:pStyle w:val="Level1"/>
        <w:numPr>
          <w:ilvl w:val="3"/>
          <w:numId w:val="11"/>
        </w:numPr>
        <w:rPr>
          <w:rFonts w:ascii="Arial" w:hAnsi="Arial" w:cs="Arial"/>
          <w:webHidden/>
        </w:rPr>
      </w:pPr>
      <w:r>
        <w:rPr>
          <w:rFonts w:ascii="Arial" w:hAnsi="Arial" w:cs="Arial"/>
          <w:webHidden/>
        </w:rPr>
        <w:t>THE NON-BYPASSABLE CREDIT AND BYPASSABLE            CHARGE RIDER</w:t>
      </w:r>
      <w:r w:rsidRPr="00AE7A34">
        <w:rPr>
          <w:rFonts w:ascii="Arial" w:hAnsi="Arial" w:cs="Arial"/>
          <w:webHidden/>
        </w:rPr>
        <w:tab/>
      </w:r>
      <w:r>
        <w:rPr>
          <w:rFonts w:ascii="Arial" w:hAnsi="Arial" w:cs="Arial"/>
          <w:webHidden/>
        </w:rPr>
        <w:t>23</w:t>
      </w:r>
    </w:p>
    <w:p w14:paraId="33E00EE7" w14:textId="3600A439" w:rsidR="009D1916" w:rsidRDefault="009D1916" w:rsidP="000F4484">
      <w:pPr>
        <w:pStyle w:val="Level1"/>
        <w:numPr>
          <w:ilvl w:val="3"/>
          <w:numId w:val="11"/>
        </w:numPr>
        <w:rPr>
          <w:rFonts w:ascii="Arial" w:hAnsi="Arial" w:cs="Arial"/>
          <w:webHidden/>
        </w:rPr>
      </w:pPr>
      <w:r>
        <w:rPr>
          <w:rFonts w:ascii="Arial" w:hAnsi="Arial" w:cs="Arial"/>
          <w:webHidden/>
        </w:rPr>
        <w:t>THE STAFF’S TESTIMONY</w:t>
      </w:r>
      <w:r w:rsidRPr="00AE7A34">
        <w:rPr>
          <w:rFonts w:ascii="Arial" w:hAnsi="Arial" w:cs="Arial"/>
          <w:webHidden/>
        </w:rPr>
        <w:tab/>
      </w:r>
      <w:r>
        <w:rPr>
          <w:rFonts w:ascii="Arial" w:hAnsi="Arial" w:cs="Arial"/>
          <w:webHidden/>
        </w:rPr>
        <w:t>24</w:t>
      </w:r>
    </w:p>
    <w:p w14:paraId="3C3C6377" w14:textId="406652CF" w:rsidR="00262C8D" w:rsidRDefault="009D1916" w:rsidP="00262C8D">
      <w:pPr>
        <w:pStyle w:val="Level1"/>
        <w:numPr>
          <w:ilvl w:val="2"/>
          <w:numId w:val="11"/>
        </w:numPr>
        <w:rPr>
          <w:rFonts w:ascii="Arial" w:hAnsi="Arial" w:cs="Arial"/>
          <w:webHidden/>
        </w:rPr>
      </w:pPr>
      <w:r>
        <w:rPr>
          <w:rFonts w:ascii="Arial" w:hAnsi="Arial" w:cs="Arial"/>
          <w:webHidden/>
        </w:rPr>
        <w:t xml:space="preserve"> RATE DESIGN – USE OF NON-COINCIDENT PEAK                   DISCOURAGES DISRIBUTED GENERATION</w:t>
      </w:r>
      <w:r w:rsidR="00262C8D" w:rsidRPr="00AE7A34">
        <w:rPr>
          <w:rFonts w:ascii="Arial" w:hAnsi="Arial" w:cs="Arial"/>
          <w:webHidden/>
        </w:rPr>
        <w:tab/>
      </w:r>
      <w:r>
        <w:rPr>
          <w:rFonts w:ascii="Arial" w:hAnsi="Arial" w:cs="Arial"/>
          <w:webHidden/>
        </w:rPr>
        <w:t>29</w:t>
      </w:r>
    </w:p>
    <w:p w14:paraId="3083AF1C" w14:textId="4BEBB1C1" w:rsidR="00B53E24" w:rsidRDefault="00B53E24" w:rsidP="00262C8D">
      <w:pPr>
        <w:pStyle w:val="Level1"/>
        <w:numPr>
          <w:ilvl w:val="2"/>
          <w:numId w:val="11"/>
        </w:numPr>
        <w:rPr>
          <w:rFonts w:ascii="Arial" w:hAnsi="Arial" w:cs="Arial"/>
          <w:webHidden/>
        </w:rPr>
      </w:pPr>
      <w:r>
        <w:rPr>
          <w:rFonts w:ascii="Arial" w:hAnsi="Arial" w:cs="Arial"/>
          <w:webHidden/>
        </w:rPr>
        <w:t xml:space="preserve"> CREDIT AND COLLATERAL REQUIREMENTS</w:t>
      </w:r>
      <w:r w:rsidRPr="00AE7A34">
        <w:rPr>
          <w:rFonts w:ascii="Arial" w:hAnsi="Arial" w:cs="Arial"/>
          <w:webHidden/>
        </w:rPr>
        <w:tab/>
      </w:r>
      <w:r>
        <w:rPr>
          <w:rFonts w:ascii="Arial" w:hAnsi="Arial" w:cs="Arial"/>
          <w:webHidden/>
        </w:rPr>
        <w:t xml:space="preserve">30 </w:t>
      </w:r>
    </w:p>
    <w:p w14:paraId="3E908AA7" w14:textId="47763C0C" w:rsidR="00262C8D" w:rsidRDefault="00262C8D" w:rsidP="00262C8D">
      <w:pPr>
        <w:pStyle w:val="Level1"/>
        <w:numPr>
          <w:ilvl w:val="0"/>
          <w:numId w:val="11"/>
        </w:numPr>
        <w:rPr>
          <w:rFonts w:ascii="Arial" w:hAnsi="Arial" w:cs="Arial"/>
          <w:webHidden/>
        </w:rPr>
      </w:pPr>
      <w:r>
        <w:rPr>
          <w:rFonts w:ascii="Arial" w:hAnsi="Arial" w:cs="Arial"/>
        </w:rPr>
        <w:t>s</w:t>
      </w:r>
      <w:r w:rsidR="00985CA3">
        <w:rPr>
          <w:rFonts w:ascii="Arial" w:hAnsi="Arial" w:cs="Arial"/>
        </w:rPr>
        <w:t>ETTLEMENT EVALUATION CRITERIA</w:t>
      </w:r>
      <w:r w:rsidRPr="00AE7A34">
        <w:rPr>
          <w:rFonts w:ascii="Arial" w:hAnsi="Arial" w:cs="Arial"/>
          <w:webHidden/>
        </w:rPr>
        <w:tab/>
      </w:r>
      <w:r w:rsidR="00985CA3">
        <w:rPr>
          <w:rFonts w:ascii="Arial" w:hAnsi="Arial" w:cs="Arial"/>
          <w:webHidden/>
        </w:rPr>
        <w:t>32</w:t>
      </w:r>
    </w:p>
    <w:p w14:paraId="1DEA7785" w14:textId="33708715" w:rsidR="00985CA3" w:rsidRDefault="00985CA3" w:rsidP="00985CA3">
      <w:pPr>
        <w:pStyle w:val="Level1"/>
        <w:numPr>
          <w:ilvl w:val="1"/>
          <w:numId w:val="11"/>
        </w:numPr>
        <w:rPr>
          <w:rFonts w:ascii="Arial" w:hAnsi="Arial" w:cs="Arial"/>
          <w:webHidden/>
        </w:rPr>
      </w:pPr>
      <w:r>
        <w:rPr>
          <w:rFonts w:ascii="Arial" w:hAnsi="Arial" w:cs="Arial"/>
          <w:webHidden/>
        </w:rPr>
        <w:t>the COMMISSION LACKS AUTHORITY TO AUTHORIZE RECOVERY OF              SSO COSTS THROUGH NON-COMPETITIVE DISTRIBUTION RATES</w:t>
      </w:r>
      <w:r w:rsidRPr="00AE7A34">
        <w:rPr>
          <w:rFonts w:ascii="Arial" w:hAnsi="Arial" w:cs="Arial"/>
          <w:webHidden/>
        </w:rPr>
        <w:tab/>
      </w:r>
      <w:r>
        <w:rPr>
          <w:rFonts w:ascii="Arial" w:hAnsi="Arial" w:cs="Arial"/>
          <w:webHidden/>
        </w:rPr>
        <w:t>33</w:t>
      </w:r>
    </w:p>
    <w:p w14:paraId="7EFAEED1" w14:textId="6D26B256" w:rsidR="00985CA3" w:rsidRDefault="00985CA3" w:rsidP="00985CA3">
      <w:pPr>
        <w:pStyle w:val="Level1"/>
        <w:numPr>
          <w:ilvl w:val="1"/>
          <w:numId w:val="11"/>
        </w:numPr>
        <w:rPr>
          <w:rFonts w:ascii="Arial" w:hAnsi="Arial" w:cs="Arial"/>
          <w:webHidden/>
        </w:rPr>
      </w:pPr>
      <w:r>
        <w:rPr>
          <w:rFonts w:ascii="Arial" w:hAnsi="Arial" w:cs="Arial"/>
          <w:webHidden/>
        </w:rPr>
        <w:t>THE STIPULATION PROPOSES AN OUTCOME THAT VIOLATES STATE        POLICY AND THE PRECEDENT</w:t>
      </w:r>
      <w:r w:rsidRPr="00AE7A34">
        <w:rPr>
          <w:rFonts w:ascii="Arial" w:hAnsi="Arial" w:cs="Arial"/>
          <w:webHidden/>
        </w:rPr>
        <w:tab/>
      </w:r>
      <w:r>
        <w:rPr>
          <w:rFonts w:ascii="Arial" w:hAnsi="Arial" w:cs="Arial"/>
          <w:webHidden/>
        </w:rPr>
        <w:t>37</w:t>
      </w:r>
    </w:p>
    <w:p w14:paraId="009487C1" w14:textId="23C78214" w:rsidR="003330E2" w:rsidRDefault="003330E2" w:rsidP="00985CA3">
      <w:pPr>
        <w:pStyle w:val="Level1"/>
        <w:numPr>
          <w:ilvl w:val="1"/>
          <w:numId w:val="11"/>
        </w:numPr>
        <w:rPr>
          <w:rFonts w:ascii="Arial" w:hAnsi="Arial" w:cs="Arial"/>
          <w:webHidden/>
        </w:rPr>
      </w:pPr>
      <w:r>
        <w:rPr>
          <w:rFonts w:ascii="Arial" w:hAnsi="Arial" w:cs="Arial"/>
          <w:webHidden/>
        </w:rPr>
        <w:t xml:space="preserve">CUSTOMER BILLING DETERMINANTS SHOULD BE ASSESSED IN A </w:t>
      </w:r>
      <w:r w:rsidR="00A6196A">
        <w:rPr>
          <w:rFonts w:ascii="Arial" w:hAnsi="Arial" w:cs="Arial"/>
          <w:webHidden/>
        </w:rPr>
        <w:t xml:space="preserve">           </w:t>
      </w:r>
      <w:r>
        <w:rPr>
          <w:rFonts w:ascii="Arial" w:hAnsi="Arial" w:cs="Arial"/>
          <w:webHidden/>
        </w:rPr>
        <w:t>MANNER THAT PROMOTES DISTRIBUTED GENERATION</w:t>
      </w:r>
      <w:r w:rsidRPr="00AE7A34">
        <w:rPr>
          <w:rFonts w:ascii="Arial" w:hAnsi="Arial" w:cs="Arial"/>
          <w:webHidden/>
        </w:rPr>
        <w:tab/>
      </w:r>
      <w:r>
        <w:rPr>
          <w:rFonts w:ascii="Arial" w:hAnsi="Arial" w:cs="Arial"/>
          <w:webHidden/>
        </w:rPr>
        <w:t>39</w:t>
      </w:r>
    </w:p>
    <w:p w14:paraId="731CAAC5" w14:textId="6D0D35B0" w:rsidR="003330E2" w:rsidRDefault="003330E2" w:rsidP="003330E2">
      <w:pPr>
        <w:pStyle w:val="Level1"/>
        <w:numPr>
          <w:ilvl w:val="2"/>
          <w:numId w:val="11"/>
        </w:numPr>
        <w:rPr>
          <w:rFonts w:ascii="Arial" w:hAnsi="Arial" w:cs="Arial"/>
          <w:webHidden/>
        </w:rPr>
      </w:pPr>
      <w:r>
        <w:rPr>
          <w:rFonts w:ascii="Arial" w:hAnsi="Arial" w:cs="Arial"/>
          <w:webHidden/>
        </w:rPr>
        <w:t>THE CUSTOMER CHARGE INCREASE</w:t>
      </w:r>
      <w:r w:rsidRPr="00AE7A34">
        <w:rPr>
          <w:rFonts w:ascii="Arial" w:hAnsi="Arial" w:cs="Arial"/>
          <w:webHidden/>
        </w:rPr>
        <w:tab/>
      </w:r>
      <w:r>
        <w:rPr>
          <w:rFonts w:ascii="Arial" w:hAnsi="Arial" w:cs="Arial"/>
          <w:webHidden/>
        </w:rPr>
        <w:t>39</w:t>
      </w:r>
    </w:p>
    <w:p w14:paraId="2ED18D0F" w14:textId="37CFE3EF" w:rsidR="003330E2" w:rsidRDefault="003330E2" w:rsidP="003330E2">
      <w:pPr>
        <w:pStyle w:val="Level1"/>
        <w:numPr>
          <w:ilvl w:val="2"/>
          <w:numId w:val="11"/>
        </w:numPr>
        <w:rPr>
          <w:rFonts w:ascii="Arial" w:hAnsi="Arial" w:cs="Arial"/>
          <w:webHidden/>
        </w:rPr>
      </w:pPr>
      <w:r>
        <w:rPr>
          <w:rFonts w:ascii="Arial" w:hAnsi="Arial" w:cs="Arial"/>
          <w:webHidden/>
        </w:rPr>
        <w:t>THE DEMAND CHARGE CALCULATION</w:t>
      </w:r>
      <w:r w:rsidRPr="00AE7A34">
        <w:rPr>
          <w:rFonts w:ascii="Arial" w:hAnsi="Arial" w:cs="Arial"/>
          <w:webHidden/>
        </w:rPr>
        <w:tab/>
      </w:r>
      <w:r>
        <w:rPr>
          <w:rFonts w:ascii="Arial" w:hAnsi="Arial" w:cs="Arial"/>
          <w:webHidden/>
        </w:rPr>
        <w:t>39</w:t>
      </w:r>
    </w:p>
    <w:p w14:paraId="3D682051" w14:textId="372F7F75" w:rsidR="00824DFD" w:rsidRPr="00AE7A34" w:rsidRDefault="00824DFD" w:rsidP="00824DFD">
      <w:pPr>
        <w:pStyle w:val="Level1"/>
        <w:numPr>
          <w:ilvl w:val="0"/>
          <w:numId w:val="11"/>
        </w:numPr>
        <w:rPr>
          <w:rFonts w:ascii="Arial" w:hAnsi="Arial" w:cs="Arial"/>
        </w:rPr>
      </w:pPr>
      <w:r>
        <w:rPr>
          <w:rFonts w:ascii="Arial" w:hAnsi="Arial" w:cs="Arial"/>
          <w:webHidden/>
        </w:rPr>
        <w:t>CONCLUSION</w:t>
      </w:r>
      <w:r w:rsidRPr="00AE7A34">
        <w:rPr>
          <w:rFonts w:ascii="Arial" w:hAnsi="Arial" w:cs="Arial"/>
          <w:webHidden/>
        </w:rPr>
        <w:tab/>
      </w:r>
      <w:r>
        <w:rPr>
          <w:rFonts w:ascii="Arial" w:hAnsi="Arial" w:cs="Arial"/>
          <w:webHidden/>
        </w:rPr>
        <w:t>42</w:t>
      </w:r>
    </w:p>
    <w:p w14:paraId="1DD971F5" w14:textId="39F574B5" w:rsidR="00262C8D" w:rsidRDefault="00262C8D">
      <w:pPr>
        <w:rPr>
          <w:rFonts w:ascii="Arial" w:hAnsi="Arial" w:cs="Arial"/>
          <w:sz w:val="24"/>
          <w:szCs w:val="24"/>
        </w:rPr>
      </w:pPr>
      <w:r>
        <w:rPr>
          <w:rFonts w:ascii="Arial" w:hAnsi="Arial" w:cs="Arial"/>
          <w:sz w:val="24"/>
          <w:szCs w:val="24"/>
        </w:rPr>
        <w:br w:type="page"/>
      </w:r>
    </w:p>
    <w:p w14:paraId="2C8B4F07" w14:textId="77777777" w:rsidR="0008714F" w:rsidRPr="00085080" w:rsidRDefault="001D19B8" w:rsidP="00085080">
      <w:pPr>
        <w:pStyle w:val="ListParagraph"/>
        <w:numPr>
          <w:ilvl w:val="0"/>
          <w:numId w:val="1"/>
        </w:numPr>
        <w:spacing w:after="120" w:line="480" w:lineRule="auto"/>
        <w:jc w:val="both"/>
        <w:rPr>
          <w:rFonts w:ascii="Arial" w:eastAsia="Arial" w:hAnsi="Arial" w:cs="Arial"/>
          <w:b/>
          <w:bCs/>
          <w:sz w:val="24"/>
          <w:szCs w:val="24"/>
        </w:rPr>
      </w:pPr>
      <w:r w:rsidRPr="00085080">
        <w:rPr>
          <w:rFonts w:ascii="Arial" w:eastAsia="Arial" w:hAnsi="Arial" w:cs="Arial"/>
          <w:b/>
          <w:bCs/>
          <w:sz w:val="24"/>
          <w:szCs w:val="24"/>
        </w:rPr>
        <w:lastRenderedPageBreak/>
        <w:t>INTRODUCTION</w:t>
      </w:r>
    </w:p>
    <w:p w14:paraId="06694672" w14:textId="1D1DA35C" w:rsidR="00951C5D" w:rsidRPr="00085080" w:rsidRDefault="0008714F" w:rsidP="00085080">
      <w:pPr>
        <w:spacing w:after="120" w:line="480" w:lineRule="auto"/>
        <w:jc w:val="both"/>
        <w:rPr>
          <w:rFonts w:ascii="Arial" w:eastAsia="Arial" w:hAnsi="Arial" w:cs="Arial"/>
          <w:sz w:val="24"/>
          <w:szCs w:val="24"/>
        </w:rPr>
      </w:pPr>
      <w:r>
        <w:rPr>
          <w:rFonts w:ascii="Arial" w:hAnsi="Arial" w:cs="Arial"/>
          <w:b/>
          <w:sz w:val="24"/>
          <w:szCs w:val="24"/>
        </w:rPr>
        <w:tab/>
      </w:r>
      <w:r w:rsidR="00CD12C4" w:rsidRPr="00085080">
        <w:rPr>
          <w:rFonts w:ascii="Arial" w:eastAsia="Arial" w:hAnsi="Arial" w:cs="Arial"/>
          <w:sz w:val="24"/>
          <w:szCs w:val="24"/>
        </w:rPr>
        <w:t>The question in this case is simple</w:t>
      </w:r>
      <w:r w:rsidR="00BE36CF" w:rsidRPr="00085080">
        <w:rPr>
          <w:rFonts w:ascii="Arial" w:eastAsia="Arial" w:hAnsi="Arial" w:cs="Arial"/>
          <w:sz w:val="24"/>
          <w:szCs w:val="24"/>
        </w:rPr>
        <w:t xml:space="preserve">.  </w:t>
      </w:r>
      <w:r w:rsidR="00CA0DFE" w:rsidRPr="00085080">
        <w:rPr>
          <w:rFonts w:ascii="Arial" w:eastAsia="Arial" w:hAnsi="Arial" w:cs="Arial"/>
          <w:sz w:val="24"/>
          <w:szCs w:val="24"/>
        </w:rPr>
        <w:t xml:space="preserve">Should </w:t>
      </w:r>
      <w:r w:rsidR="00BE36CF" w:rsidRPr="00085080">
        <w:rPr>
          <w:rFonts w:ascii="Arial" w:eastAsia="Arial" w:hAnsi="Arial" w:cs="Arial"/>
          <w:sz w:val="24"/>
          <w:szCs w:val="24"/>
        </w:rPr>
        <w:t>Choice customers</w:t>
      </w:r>
      <w:r w:rsidR="00CA0DFE" w:rsidRPr="00085080">
        <w:rPr>
          <w:rFonts w:ascii="Arial" w:eastAsia="Arial" w:hAnsi="Arial" w:cs="Arial"/>
          <w:sz w:val="24"/>
          <w:szCs w:val="24"/>
        </w:rPr>
        <w:t xml:space="preserve"> be</w:t>
      </w:r>
      <w:r w:rsidR="00BE36CF" w:rsidRPr="00085080">
        <w:rPr>
          <w:rFonts w:ascii="Arial" w:eastAsia="Arial" w:hAnsi="Arial" w:cs="Arial"/>
          <w:sz w:val="24"/>
          <w:szCs w:val="24"/>
        </w:rPr>
        <w:t xml:space="preserve"> required to pay more </w:t>
      </w:r>
      <w:r w:rsidR="00010ED3" w:rsidRPr="00085080">
        <w:rPr>
          <w:rFonts w:ascii="Arial" w:eastAsia="Arial" w:hAnsi="Arial" w:cs="Arial"/>
          <w:sz w:val="24"/>
          <w:szCs w:val="24"/>
        </w:rPr>
        <w:t>because</w:t>
      </w:r>
      <w:r w:rsidR="00BE36CF" w:rsidRPr="00085080">
        <w:rPr>
          <w:rFonts w:ascii="Arial" w:eastAsia="Arial" w:hAnsi="Arial" w:cs="Arial"/>
          <w:sz w:val="24"/>
          <w:szCs w:val="24"/>
        </w:rPr>
        <w:t xml:space="preserve"> they exercise</w:t>
      </w:r>
      <w:r w:rsidR="00527764" w:rsidRPr="00085080">
        <w:rPr>
          <w:rFonts w:ascii="Arial" w:eastAsia="Arial" w:hAnsi="Arial" w:cs="Arial"/>
          <w:sz w:val="24"/>
          <w:szCs w:val="24"/>
        </w:rPr>
        <w:t xml:space="preserve"> their right to shop</w:t>
      </w:r>
      <w:r w:rsidR="00BE36CF" w:rsidRPr="00085080">
        <w:rPr>
          <w:rFonts w:ascii="Arial" w:eastAsia="Arial" w:hAnsi="Arial" w:cs="Arial"/>
          <w:sz w:val="24"/>
          <w:szCs w:val="24"/>
        </w:rPr>
        <w:t>?</w:t>
      </w:r>
      <w:r w:rsidR="002133DB" w:rsidRPr="00085080">
        <w:rPr>
          <w:rFonts w:ascii="Arial" w:eastAsia="Arial" w:hAnsi="Arial" w:cs="Arial"/>
          <w:sz w:val="24"/>
          <w:szCs w:val="24"/>
        </w:rPr>
        <w:t xml:space="preserve">  </w:t>
      </w:r>
    </w:p>
    <w:p w14:paraId="12515AC4" w14:textId="238F0CB1" w:rsidR="0008714F" w:rsidRPr="00085080" w:rsidRDefault="00527764" w:rsidP="00C038B5">
      <w:pPr>
        <w:spacing w:after="120" w:line="480" w:lineRule="auto"/>
        <w:jc w:val="both"/>
        <w:rPr>
          <w:rFonts w:ascii="Arial" w:eastAsia="Arial" w:hAnsi="Arial" w:cs="Arial"/>
          <w:sz w:val="24"/>
          <w:szCs w:val="24"/>
        </w:rPr>
      </w:pPr>
      <w:r w:rsidRPr="00085080">
        <w:rPr>
          <w:rFonts w:ascii="Arial" w:eastAsia="Arial" w:hAnsi="Arial" w:cs="Arial"/>
          <w:sz w:val="24"/>
          <w:szCs w:val="24"/>
        </w:rPr>
        <w:t xml:space="preserve"> </w:t>
      </w:r>
      <w:r w:rsidR="00C7692A">
        <w:rPr>
          <w:rFonts w:ascii="Arial" w:hAnsi="Arial" w:cs="Arial"/>
          <w:sz w:val="24"/>
          <w:szCs w:val="24"/>
        </w:rPr>
        <w:tab/>
      </w:r>
      <w:r w:rsidR="00CB7F8F" w:rsidRPr="00085080">
        <w:rPr>
          <w:rFonts w:ascii="Arial" w:eastAsia="Arial" w:hAnsi="Arial" w:cs="Arial"/>
          <w:sz w:val="24"/>
          <w:szCs w:val="24"/>
        </w:rPr>
        <w:t xml:space="preserve">Under the current construct, </w:t>
      </w:r>
      <w:r w:rsidRPr="00085080">
        <w:rPr>
          <w:rFonts w:ascii="Arial" w:eastAsia="Arial" w:hAnsi="Arial" w:cs="Arial"/>
          <w:sz w:val="24"/>
          <w:szCs w:val="24"/>
        </w:rPr>
        <w:t>Choice customers</w:t>
      </w:r>
      <w:r w:rsidR="00A961F1" w:rsidRPr="00085080">
        <w:rPr>
          <w:rFonts w:ascii="Arial" w:eastAsia="Arial" w:hAnsi="Arial" w:cs="Arial"/>
          <w:sz w:val="24"/>
          <w:szCs w:val="24"/>
        </w:rPr>
        <w:t xml:space="preserve"> must pay for their</w:t>
      </w:r>
      <w:r w:rsidR="007655CD" w:rsidRPr="00085080">
        <w:rPr>
          <w:rFonts w:ascii="Arial" w:eastAsia="Arial" w:hAnsi="Arial" w:cs="Arial"/>
          <w:sz w:val="24"/>
          <w:szCs w:val="24"/>
        </w:rPr>
        <w:t xml:space="preserve"> own</w:t>
      </w:r>
      <w:r w:rsidR="00A961F1" w:rsidRPr="00085080">
        <w:rPr>
          <w:rFonts w:ascii="Arial" w:eastAsia="Arial" w:hAnsi="Arial" w:cs="Arial"/>
          <w:sz w:val="24"/>
          <w:szCs w:val="24"/>
        </w:rPr>
        <w:t xml:space="preserve"> electric generation service, </w:t>
      </w:r>
      <w:r w:rsidR="00CB7F8F" w:rsidRPr="00085080">
        <w:rPr>
          <w:rFonts w:ascii="Arial" w:eastAsia="Arial" w:hAnsi="Arial" w:cs="Arial"/>
          <w:sz w:val="24"/>
          <w:szCs w:val="24"/>
        </w:rPr>
        <w:t xml:space="preserve">and also </w:t>
      </w:r>
      <w:r w:rsidR="00A946C6" w:rsidRPr="00085080">
        <w:rPr>
          <w:rFonts w:ascii="Arial" w:eastAsia="Arial" w:hAnsi="Arial" w:cs="Arial"/>
          <w:sz w:val="24"/>
          <w:szCs w:val="24"/>
        </w:rPr>
        <w:t>pay for costs</w:t>
      </w:r>
      <w:r w:rsidR="00F85B0A" w:rsidRPr="00085080">
        <w:rPr>
          <w:rFonts w:ascii="Arial" w:eastAsia="Arial" w:hAnsi="Arial" w:cs="Arial"/>
          <w:sz w:val="24"/>
          <w:szCs w:val="24"/>
        </w:rPr>
        <w:t xml:space="preserve"> </w:t>
      </w:r>
      <w:r w:rsidR="00C47F68" w:rsidRPr="00085080">
        <w:rPr>
          <w:rFonts w:ascii="Arial" w:eastAsia="Arial" w:hAnsi="Arial" w:cs="Arial"/>
          <w:sz w:val="24"/>
          <w:szCs w:val="24"/>
        </w:rPr>
        <w:t>to support utility</w:t>
      </w:r>
      <w:r w:rsidR="00F85B0A" w:rsidRPr="00085080">
        <w:rPr>
          <w:rFonts w:ascii="Arial" w:eastAsia="Arial" w:hAnsi="Arial" w:cs="Arial"/>
          <w:sz w:val="24"/>
          <w:szCs w:val="24"/>
        </w:rPr>
        <w:t xml:space="preserve"> </w:t>
      </w:r>
      <w:r w:rsidR="00B03304" w:rsidRPr="00085080">
        <w:rPr>
          <w:rFonts w:ascii="Arial" w:eastAsia="Arial" w:hAnsi="Arial" w:cs="Arial"/>
          <w:sz w:val="24"/>
          <w:szCs w:val="24"/>
        </w:rPr>
        <w:t>default generation</w:t>
      </w:r>
      <w:r w:rsidR="00021552" w:rsidRPr="00085080">
        <w:rPr>
          <w:rFonts w:ascii="Arial" w:eastAsia="Arial" w:hAnsi="Arial" w:cs="Arial"/>
          <w:sz w:val="24"/>
          <w:szCs w:val="24"/>
        </w:rPr>
        <w:t xml:space="preserve"> customers</w:t>
      </w:r>
      <w:r w:rsidR="00187398" w:rsidRPr="00085080">
        <w:rPr>
          <w:rFonts w:ascii="Arial" w:eastAsia="Arial" w:hAnsi="Arial" w:cs="Arial"/>
          <w:sz w:val="24"/>
          <w:szCs w:val="24"/>
        </w:rPr>
        <w:t xml:space="preserve">. </w:t>
      </w:r>
      <w:r w:rsidR="00871619" w:rsidRPr="00085080">
        <w:rPr>
          <w:rFonts w:ascii="Arial" w:eastAsia="Arial" w:hAnsi="Arial" w:cs="Arial"/>
          <w:sz w:val="24"/>
          <w:szCs w:val="24"/>
        </w:rPr>
        <w:t>T</w:t>
      </w:r>
      <w:r w:rsidR="00187398" w:rsidRPr="00085080">
        <w:rPr>
          <w:rFonts w:ascii="Arial" w:eastAsia="Arial" w:hAnsi="Arial" w:cs="Arial"/>
          <w:sz w:val="24"/>
          <w:szCs w:val="24"/>
        </w:rPr>
        <w:t xml:space="preserve">his creates an artificial penalty </w:t>
      </w:r>
      <w:r w:rsidR="00AC2BA6" w:rsidRPr="00085080">
        <w:rPr>
          <w:rFonts w:ascii="Arial" w:eastAsia="Arial" w:hAnsi="Arial" w:cs="Arial"/>
          <w:sz w:val="24"/>
          <w:szCs w:val="24"/>
        </w:rPr>
        <w:t>for shopping for electricity in Ohio.</w:t>
      </w:r>
      <w:r w:rsidR="002133DB" w:rsidRPr="00085080">
        <w:rPr>
          <w:rFonts w:ascii="Arial" w:eastAsia="Arial" w:hAnsi="Arial" w:cs="Arial"/>
          <w:sz w:val="24"/>
          <w:szCs w:val="24"/>
        </w:rPr>
        <w:t xml:space="preserve"> </w:t>
      </w:r>
    </w:p>
    <w:p w14:paraId="5945D19F" w14:textId="4333D7E2" w:rsidR="00FA0D19" w:rsidRPr="00085080" w:rsidRDefault="00FE226F" w:rsidP="00085080">
      <w:pPr>
        <w:spacing w:after="120" w:line="480" w:lineRule="auto"/>
        <w:jc w:val="both"/>
        <w:rPr>
          <w:rFonts w:ascii="Arial" w:eastAsia="Arial" w:hAnsi="Arial" w:cs="Arial"/>
          <w:sz w:val="24"/>
          <w:szCs w:val="24"/>
        </w:rPr>
      </w:pPr>
      <w:r>
        <w:rPr>
          <w:rFonts w:ascii="Arial" w:hAnsi="Arial" w:cs="Arial"/>
          <w:sz w:val="24"/>
          <w:szCs w:val="24"/>
        </w:rPr>
        <w:tab/>
      </w:r>
      <w:r w:rsidR="00DB0F73">
        <w:rPr>
          <w:rFonts w:ascii="Arial" w:eastAsia="Arial" w:hAnsi="Arial" w:cs="Arial"/>
          <w:sz w:val="24"/>
          <w:szCs w:val="24"/>
        </w:rPr>
        <w:t>Now</w:t>
      </w:r>
      <w:r w:rsidRPr="00085080">
        <w:rPr>
          <w:rFonts w:ascii="Arial" w:eastAsia="Arial" w:hAnsi="Arial" w:cs="Arial"/>
          <w:sz w:val="24"/>
          <w:szCs w:val="24"/>
        </w:rPr>
        <w:t xml:space="preserve">, the Commission must evaluate a Stipulation and Recommendation (“Stipulation”) </w:t>
      </w:r>
      <w:r w:rsidR="0081077A">
        <w:rPr>
          <w:rFonts w:ascii="Arial" w:eastAsia="Arial" w:hAnsi="Arial" w:cs="Arial"/>
          <w:sz w:val="24"/>
          <w:szCs w:val="24"/>
        </w:rPr>
        <w:t>that would</w:t>
      </w:r>
      <w:r w:rsidRPr="00085080">
        <w:rPr>
          <w:rFonts w:ascii="Arial" w:eastAsia="Arial" w:hAnsi="Arial" w:cs="Arial"/>
          <w:sz w:val="24"/>
          <w:szCs w:val="24"/>
        </w:rPr>
        <w:t xml:space="preserve"> </w:t>
      </w:r>
      <w:r w:rsidR="0079213B">
        <w:rPr>
          <w:rFonts w:ascii="Arial" w:eastAsia="Arial" w:hAnsi="Arial" w:cs="Arial"/>
          <w:sz w:val="24"/>
          <w:szCs w:val="24"/>
        </w:rPr>
        <w:t>embrace a</w:t>
      </w:r>
      <w:r w:rsidR="0081077A">
        <w:rPr>
          <w:rFonts w:ascii="Arial" w:eastAsia="Arial" w:hAnsi="Arial" w:cs="Arial"/>
          <w:sz w:val="24"/>
          <w:szCs w:val="24"/>
        </w:rPr>
        <w:t xml:space="preserve"> </w:t>
      </w:r>
      <w:r w:rsidR="002F1C31" w:rsidRPr="00085080">
        <w:rPr>
          <w:rFonts w:ascii="Arial" w:eastAsia="Arial" w:hAnsi="Arial" w:cs="Arial"/>
          <w:sz w:val="24"/>
          <w:szCs w:val="24"/>
        </w:rPr>
        <w:t>flaw</w:t>
      </w:r>
      <w:r w:rsidR="0079213B">
        <w:rPr>
          <w:rFonts w:ascii="Arial" w:eastAsia="Arial" w:hAnsi="Arial" w:cs="Arial"/>
          <w:sz w:val="24"/>
          <w:szCs w:val="24"/>
        </w:rPr>
        <w:t>ed methodology</w:t>
      </w:r>
      <w:r w:rsidR="002F1C31" w:rsidRPr="00085080">
        <w:rPr>
          <w:rFonts w:ascii="Arial" w:eastAsia="Arial" w:hAnsi="Arial" w:cs="Arial"/>
          <w:sz w:val="24"/>
          <w:szCs w:val="24"/>
        </w:rPr>
        <w:t xml:space="preserve"> </w:t>
      </w:r>
      <w:r w:rsidR="0079213B">
        <w:rPr>
          <w:rFonts w:ascii="Arial" w:eastAsia="Arial" w:hAnsi="Arial" w:cs="Arial"/>
          <w:sz w:val="24"/>
          <w:szCs w:val="24"/>
        </w:rPr>
        <w:t>to</w:t>
      </w:r>
      <w:r w:rsidR="0081077A">
        <w:rPr>
          <w:rFonts w:ascii="Arial" w:eastAsia="Arial" w:hAnsi="Arial" w:cs="Arial"/>
          <w:sz w:val="24"/>
          <w:szCs w:val="24"/>
        </w:rPr>
        <w:t xml:space="preserve"> allocate costs between</w:t>
      </w:r>
      <w:r w:rsidR="00CB7F8F" w:rsidRPr="00085080">
        <w:rPr>
          <w:rFonts w:ascii="Arial" w:eastAsia="Arial" w:hAnsi="Arial" w:cs="Arial"/>
          <w:sz w:val="24"/>
          <w:szCs w:val="24"/>
        </w:rPr>
        <w:t xml:space="preserve"> </w:t>
      </w:r>
      <w:r w:rsidR="00836ED3" w:rsidRPr="00085080">
        <w:rPr>
          <w:rFonts w:ascii="Arial" w:eastAsia="Arial" w:hAnsi="Arial" w:cs="Arial"/>
          <w:sz w:val="24"/>
          <w:szCs w:val="24"/>
        </w:rPr>
        <w:t>standard service offer (“</w:t>
      </w:r>
      <w:r w:rsidR="00CB7F8F" w:rsidRPr="00085080">
        <w:rPr>
          <w:rFonts w:ascii="Arial" w:eastAsia="Arial" w:hAnsi="Arial" w:cs="Arial"/>
          <w:sz w:val="24"/>
          <w:szCs w:val="24"/>
        </w:rPr>
        <w:t>SSO</w:t>
      </w:r>
      <w:r w:rsidR="00836ED3" w:rsidRPr="00085080">
        <w:rPr>
          <w:rFonts w:ascii="Arial" w:eastAsia="Arial" w:hAnsi="Arial" w:cs="Arial"/>
          <w:sz w:val="24"/>
          <w:szCs w:val="24"/>
        </w:rPr>
        <w:t xml:space="preserve">”) </w:t>
      </w:r>
      <w:r w:rsidR="0081077A">
        <w:rPr>
          <w:rFonts w:ascii="Arial" w:eastAsia="Arial" w:hAnsi="Arial" w:cs="Arial"/>
          <w:sz w:val="24"/>
          <w:szCs w:val="24"/>
        </w:rPr>
        <w:t>and Choice customers</w:t>
      </w:r>
      <w:r w:rsidRPr="00085080">
        <w:rPr>
          <w:rFonts w:ascii="Arial" w:eastAsia="Arial" w:hAnsi="Arial" w:cs="Arial"/>
          <w:sz w:val="24"/>
          <w:szCs w:val="24"/>
        </w:rPr>
        <w:t xml:space="preserve">.  </w:t>
      </w:r>
      <w:r w:rsidR="0038079F" w:rsidRPr="00085080">
        <w:rPr>
          <w:rFonts w:ascii="Arial" w:eastAsia="Arial" w:hAnsi="Arial" w:cs="Arial"/>
          <w:sz w:val="24"/>
          <w:szCs w:val="24"/>
        </w:rPr>
        <w:t xml:space="preserve">Specifically, the Stipulation proposes that the Commission </w:t>
      </w:r>
      <w:r w:rsidRPr="00085080">
        <w:rPr>
          <w:rFonts w:ascii="Arial" w:eastAsia="Arial" w:hAnsi="Arial" w:cs="Arial"/>
          <w:sz w:val="24"/>
          <w:szCs w:val="24"/>
        </w:rPr>
        <w:t xml:space="preserve">authorize </w:t>
      </w:r>
      <w:r w:rsidR="00BE28F7">
        <w:rPr>
          <w:rFonts w:ascii="Arial" w:eastAsia="Arial" w:hAnsi="Arial" w:cs="Arial"/>
          <w:sz w:val="24"/>
          <w:szCs w:val="24"/>
        </w:rPr>
        <w:t>Dayton Power &amp; Light (“</w:t>
      </w:r>
      <w:r w:rsidRPr="00085080">
        <w:rPr>
          <w:rFonts w:ascii="Arial" w:eastAsia="Arial" w:hAnsi="Arial" w:cs="Arial"/>
          <w:sz w:val="24"/>
          <w:szCs w:val="24"/>
        </w:rPr>
        <w:t>DP&amp;L</w:t>
      </w:r>
      <w:r w:rsidR="00BE28F7">
        <w:rPr>
          <w:rFonts w:ascii="Arial" w:eastAsia="Arial" w:hAnsi="Arial" w:cs="Arial"/>
          <w:sz w:val="24"/>
          <w:szCs w:val="24"/>
        </w:rPr>
        <w:t>”)</w:t>
      </w:r>
      <w:r w:rsidRPr="00085080">
        <w:rPr>
          <w:rFonts w:ascii="Arial" w:eastAsia="Arial" w:hAnsi="Arial" w:cs="Arial"/>
          <w:sz w:val="24"/>
          <w:szCs w:val="24"/>
        </w:rPr>
        <w:t xml:space="preserve"> to recover through its non-competitive </w:t>
      </w:r>
      <w:r w:rsidR="003F300E">
        <w:rPr>
          <w:rFonts w:ascii="Arial" w:eastAsia="Arial" w:hAnsi="Arial" w:cs="Arial"/>
          <w:sz w:val="24"/>
          <w:szCs w:val="24"/>
        </w:rPr>
        <w:t>distribution</w:t>
      </w:r>
      <w:r w:rsidRPr="00085080">
        <w:rPr>
          <w:rFonts w:ascii="Arial" w:eastAsia="Arial" w:hAnsi="Arial" w:cs="Arial"/>
          <w:sz w:val="24"/>
          <w:szCs w:val="24"/>
        </w:rPr>
        <w:t xml:space="preserve"> rates costs related to its provision of </w:t>
      </w:r>
      <w:r w:rsidR="00AD593D">
        <w:rPr>
          <w:rFonts w:ascii="Arial" w:eastAsia="Arial" w:hAnsi="Arial" w:cs="Arial"/>
          <w:sz w:val="24"/>
          <w:szCs w:val="24"/>
        </w:rPr>
        <w:t>SSO</w:t>
      </w:r>
      <w:r w:rsidR="00DA0A01">
        <w:rPr>
          <w:rFonts w:ascii="Arial" w:eastAsia="Arial" w:hAnsi="Arial" w:cs="Arial"/>
          <w:sz w:val="24"/>
          <w:szCs w:val="24"/>
        </w:rPr>
        <w:t xml:space="preserve"> service</w:t>
      </w:r>
      <w:r w:rsidRPr="00085080">
        <w:rPr>
          <w:rFonts w:ascii="Arial" w:eastAsia="Arial" w:hAnsi="Arial" w:cs="Arial"/>
          <w:sz w:val="24"/>
          <w:szCs w:val="24"/>
        </w:rPr>
        <w:t>.</w:t>
      </w:r>
      <w:r w:rsidR="00FA0D19" w:rsidRPr="00085080">
        <w:rPr>
          <w:rFonts w:ascii="Arial" w:eastAsia="Arial" w:hAnsi="Arial" w:cs="Arial"/>
          <w:sz w:val="24"/>
          <w:szCs w:val="24"/>
        </w:rPr>
        <w:t xml:space="preserve"> </w:t>
      </w:r>
      <w:r w:rsidR="00C750AF" w:rsidRPr="00085080">
        <w:rPr>
          <w:rFonts w:ascii="Arial" w:eastAsia="Arial" w:hAnsi="Arial" w:cs="Arial"/>
          <w:sz w:val="24"/>
          <w:szCs w:val="24"/>
        </w:rPr>
        <w:t xml:space="preserve"> </w:t>
      </w:r>
      <w:r w:rsidR="00FA0D19" w:rsidRPr="00085080">
        <w:rPr>
          <w:rFonts w:ascii="Arial" w:eastAsia="Arial" w:hAnsi="Arial" w:cs="Arial"/>
          <w:sz w:val="24"/>
          <w:szCs w:val="24"/>
        </w:rPr>
        <w:t>This outcome is</w:t>
      </w:r>
      <w:r w:rsidR="00DA0A01">
        <w:rPr>
          <w:rFonts w:ascii="Arial" w:eastAsia="Arial" w:hAnsi="Arial" w:cs="Arial"/>
          <w:sz w:val="24"/>
          <w:szCs w:val="24"/>
        </w:rPr>
        <w:t xml:space="preserve"> not only inequitable, but it is</w:t>
      </w:r>
      <w:r w:rsidR="00BE63F3">
        <w:rPr>
          <w:rFonts w:ascii="Arial" w:eastAsia="Arial" w:hAnsi="Arial" w:cs="Arial"/>
          <w:sz w:val="24"/>
          <w:szCs w:val="24"/>
        </w:rPr>
        <w:t xml:space="preserve"> unlawful</w:t>
      </w:r>
      <w:r w:rsidR="0079213B">
        <w:rPr>
          <w:rFonts w:ascii="Arial" w:eastAsia="Arial" w:hAnsi="Arial" w:cs="Arial"/>
          <w:sz w:val="24"/>
          <w:szCs w:val="24"/>
        </w:rPr>
        <w:t>.  U</w:t>
      </w:r>
      <w:r w:rsidR="0077799B">
        <w:rPr>
          <w:rFonts w:ascii="Arial" w:eastAsia="Arial" w:hAnsi="Arial" w:cs="Arial"/>
          <w:sz w:val="24"/>
          <w:szCs w:val="24"/>
        </w:rPr>
        <w:t>nder Ohio law</w:t>
      </w:r>
      <w:r w:rsidR="00AD593D">
        <w:rPr>
          <w:rFonts w:ascii="Arial" w:eastAsia="Arial" w:hAnsi="Arial" w:cs="Arial"/>
          <w:sz w:val="24"/>
          <w:szCs w:val="24"/>
        </w:rPr>
        <w:t>,</w:t>
      </w:r>
      <w:r w:rsidR="0077799B">
        <w:rPr>
          <w:rFonts w:ascii="Arial" w:eastAsia="Arial" w:hAnsi="Arial" w:cs="Arial"/>
          <w:sz w:val="24"/>
          <w:szCs w:val="24"/>
        </w:rPr>
        <w:t xml:space="preserve"> the Commission lacks the authority </w:t>
      </w:r>
      <w:r w:rsidR="00D46BDB">
        <w:rPr>
          <w:rFonts w:ascii="Arial" w:eastAsia="Arial" w:hAnsi="Arial" w:cs="Arial"/>
          <w:sz w:val="24"/>
          <w:szCs w:val="24"/>
        </w:rPr>
        <w:t xml:space="preserve">to allow the utility to recover costs to provide </w:t>
      </w:r>
      <w:r w:rsidR="00E46044">
        <w:rPr>
          <w:rFonts w:ascii="Arial" w:eastAsia="Arial" w:hAnsi="Arial" w:cs="Arial"/>
          <w:sz w:val="24"/>
          <w:szCs w:val="24"/>
        </w:rPr>
        <w:t>SSO generation service through distribution rates.</w:t>
      </w:r>
    </w:p>
    <w:p w14:paraId="47A7BEB5" w14:textId="3D11FC95" w:rsidR="00C750AF" w:rsidRPr="00085080" w:rsidRDefault="001D19B8" w:rsidP="00085080">
      <w:pPr>
        <w:spacing w:after="120" w:line="480" w:lineRule="auto"/>
        <w:jc w:val="both"/>
        <w:rPr>
          <w:rFonts w:ascii="Arial" w:eastAsia="Arial" w:hAnsi="Arial" w:cs="Arial"/>
          <w:sz w:val="24"/>
          <w:szCs w:val="24"/>
        </w:rPr>
      </w:pPr>
      <w:r>
        <w:rPr>
          <w:rFonts w:ascii="Arial" w:hAnsi="Arial" w:cs="Arial"/>
          <w:sz w:val="24"/>
          <w:szCs w:val="24"/>
        </w:rPr>
        <w:tab/>
      </w:r>
      <w:r w:rsidRPr="00085080">
        <w:rPr>
          <w:rFonts w:ascii="Arial" w:eastAsia="Arial" w:hAnsi="Arial" w:cs="Arial"/>
          <w:sz w:val="24"/>
          <w:szCs w:val="24"/>
        </w:rPr>
        <w:t xml:space="preserve">Making matters worse, the Stipulation would </w:t>
      </w:r>
      <w:r w:rsidR="00513148">
        <w:rPr>
          <w:rFonts w:ascii="Arial" w:eastAsia="Arial" w:hAnsi="Arial" w:cs="Arial"/>
          <w:sz w:val="24"/>
          <w:szCs w:val="24"/>
        </w:rPr>
        <w:t xml:space="preserve">allow for the continuation of </w:t>
      </w:r>
      <w:r w:rsidRPr="00085080">
        <w:rPr>
          <w:rFonts w:ascii="Arial" w:eastAsia="Arial" w:hAnsi="Arial" w:cs="Arial"/>
          <w:sz w:val="24"/>
          <w:szCs w:val="24"/>
        </w:rPr>
        <w:t>significant fees on CRES provides</w:t>
      </w:r>
      <w:r w:rsidR="0038079F" w:rsidRPr="00085080">
        <w:rPr>
          <w:rFonts w:ascii="Arial" w:eastAsia="Arial" w:hAnsi="Arial" w:cs="Arial"/>
          <w:sz w:val="24"/>
          <w:szCs w:val="24"/>
        </w:rPr>
        <w:t>.  Such fees would be required from all CRES providers</w:t>
      </w:r>
      <w:r w:rsidRPr="00085080">
        <w:rPr>
          <w:rFonts w:ascii="Arial" w:eastAsia="Arial" w:hAnsi="Arial" w:cs="Arial"/>
          <w:sz w:val="24"/>
          <w:szCs w:val="24"/>
        </w:rPr>
        <w:t xml:space="preserve"> just to be able offer competitive services in DP&amp;L’s services area.  These costs are in addition to the costs that CRES providers must incur</w:t>
      </w:r>
      <w:r w:rsidR="004F10C1">
        <w:rPr>
          <w:rFonts w:ascii="Arial" w:eastAsia="Arial" w:hAnsi="Arial" w:cs="Arial"/>
          <w:sz w:val="24"/>
          <w:szCs w:val="24"/>
        </w:rPr>
        <w:t xml:space="preserve"> to provide</w:t>
      </w:r>
      <w:r w:rsidR="00EF500F">
        <w:rPr>
          <w:rFonts w:ascii="Arial" w:eastAsia="Arial" w:hAnsi="Arial" w:cs="Arial"/>
          <w:sz w:val="24"/>
          <w:szCs w:val="24"/>
        </w:rPr>
        <w:t xml:space="preserve"> generation service to their customers</w:t>
      </w:r>
      <w:r w:rsidR="00157F53">
        <w:rPr>
          <w:rFonts w:ascii="Arial" w:eastAsia="Arial" w:hAnsi="Arial" w:cs="Arial"/>
          <w:sz w:val="24"/>
          <w:szCs w:val="24"/>
        </w:rPr>
        <w:t>, despite the fact that</w:t>
      </w:r>
      <w:r w:rsidR="00250807">
        <w:rPr>
          <w:rFonts w:ascii="Arial" w:eastAsia="Arial" w:hAnsi="Arial" w:cs="Arial"/>
          <w:sz w:val="24"/>
          <w:szCs w:val="24"/>
        </w:rPr>
        <w:t xml:space="preserve"> DP&amp;L recover</w:t>
      </w:r>
      <w:r w:rsidR="00E4448B">
        <w:rPr>
          <w:rFonts w:ascii="Arial" w:eastAsia="Arial" w:hAnsi="Arial" w:cs="Arial"/>
          <w:sz w:val="24"/>
          <w:szCs w:val="24"/>
        </w:rPr>
        <w:t>s</w:t>
      </w:r>
      <w:r w:rsidR="00250807">
        <w:rPr>
          <w:rFonts w:ascii="Arial" w:eastAsia="Arial" w:hAnsi="Arial" w:cs="Arial"/>
          <w:sz w:val="24"/>
          <w:szCs w:val="24"/>
        </w:rPr>
        <w:t xml:space="preserve"> </w:t>
      </w:r>
      <w:r w:rsidRPr="00085080">
        <w:rPr>
          <w:rFonts w:ascii="Arial" w:eastAsia="Arial" w:hAnsi="Arial" w:cs="Arial"/>
          <w:sz w:val="24"/>
          <w:szCs w:val="24"/>
        </w:rPr>
        <w:t xml:space="preserve">the same comparable cost </w:t>
      </w:r>
      <w:r w:rsidR="00E4448B">
        <w:rPr>
          <w:rFonts w:ascii="Arial" w:eastAsia="Arial" w:hAnsi="Arial" w:cs="Arial"/>
          <w:sz w:val="24"/>
          <w:szCs w:val="24"/>
        </w:rPr>
        <w:t>for SSO customers</w:t>
      </w:r>
      <w:r w:rsidR="00E4448B" w:rsidRPr="00085080">
        <w:rPr>
          <w:rFonts w:ascii="Arial" w:eastAsia="Arial" w:hAnsi="Arial" w:cs="Arial"/>
          <w:sz w:val="24"/>
          <w:szCs w:val="24"/>
        </w:rPr>
        <w:t xml:space="preserve"> </w:t>
      </w:r>
      <w:r w:rsidRPr="00085080">
        <w:rPr>
          <w:rFonts w:ascii="Arial" w:eastAsia="Arial" w:hAnsi="Arial" w:cs="Arial"/>
          <w:sz w:val="24"/>
          <w:szCs w:val="24"/>
        </w:rPr>
        <w:t>thro</w:t>
      </w:r>
      <w:r w:rsidR="00C750AF" w:rsidRPr="00085080">
        <w:rPr>
          <w:rFonts w:ascii="Arial" w:eastAsia="Arial" w:hAnsi="Arial" w:cs="Arial"/>
          <w:sz w:val="24"/>
          <w:szCs w:val="24"/>
        </w:rPr>
        <w:t>ugh distribution rates</w:t>
      </w:r>
      <w:r w:rsidR="00E4448B">
        <w:rPr>
          <w:rFonts w:ascii="Arial" w:eastAsia="Arial" w:hAnsi="Arial" w:cs="Arial"/>
          <w:sz w:val="24"/>
          <w:szCs w:val="24"/>
        </w:rPr>
        <w:t>.</w:t>
      </w:r>
      <w:r w:rsidRPr="00085080">
        <w:rPr>
          <w:rFonts w:ascii="Arial" w:eastAsia="Arial" w:hAnsi="Arial" w:cs="Arial"/>
          <w:sz w:val="24"/>
          <w:szCs w:val="24"/>
        </w:rPr>
        <w:t xml:space="preserve"> </w:t>
      </w:r>
      <w:r w:rsidR="00FF04E7">
        <w:rPr>
          <w:rFonts w:ascii="Arial" w:eastAsia="Arial" w:hAnsi="Arial" w:cs="Arial"/>
          <w:sz w:val="24"/>
          <w:szCs w:val="24"/>
        </w:rPr>
        <w:t>Therefore</w:t>
      </w:r>
      <w:r w:rsidR="0079213B">
        <w:rPr>
          <w:rFonts w:ascii="Arial" w:eastAsia="Arial" w:hAnsi="Arial" w:cs="Arial"/>
          <w:sz w:val="24"/>
          <w:szCs w:val="24"/>
        </w:rPr>
        <w:t>,</w:t>
      </w:r>
      <w:r w:rsidRPr="00085080">
        <w:rPr>
          <w:rFonts w:ascii="Arial" w:eastAsia="Arial" w:hAnsi="Arial" w:cs="Arial"/>
          <w:sz w:val="24"/>
          <w:szCs w:val="24"/>
        </w:rPr>
        <w:t xml:space="preserve"> the Stipulation results in a world where shopping customers are </w:t>
      </w:r>
      <w:r w:rsidR="0072443A">
        <w:rPr>
          <w:rFonts w:ascii="Arial" w:eastAsia="Arial" w:hAnsi="Arial" w:cs="Arial"/>
          <w:sz w:val="24"/>
          <w:szCs w:val="24"/>
        </w:rPr>
        <w:t>double charged</w:t>
      </w:r>
      <w:r w:rsidR="00BF11EE" w:rsidRPr="00085080">
        <w:rPr>
          <w:rFonts w:ascii="Arial" w:eastAsia="Arial" w:hAnsi="Arial" w:cs="Arial"/>
          <w:sz w:val="24"/>
          <w:szCs w:val="24"/>
        </w:rPr>
        <w:t xml:space="preserve"> for competitive</w:t>
      </w:r>
      <w:r w:rsidR="00C750AF" w:rsidRPr="00085080">
        <w:rPr>
          <w:rFonts w:ascii="Arial" w:eastAsia="Arial" w:hAnsi="Arial" w:cs="Arial"/>
          <w:sz w:val="24"/>
          <w:szCs w:val="24"/>
        </w:rPr>
        <w:t xml:space="preserve"> services</w:t>
      </w:r>
      <w:r w:rsidR="00BF11EE" w:rsidRPr="00085080">
        <w:rPr>
          <w:rFonts w:ascii="Arial" w:eastAsia="Arial" w:hAnsi="Arial" w:cs="Arial"/>
          <w:sz w:val="24"/>
          <w:szCs w:val="24"/>
        </w:rPr>
        <w:t>—once</w:t>
      </w:r>
      <w:r w:rsidR="00842708">
        <w:rPr>
          <w:rFonts w:ascii="Arial" w:eastAsia="Arial" w:hAnsi="Arial" w:cs="Arial"/>
          <w:sz w:val="24"/>
          <w:szCs w:val="24"/>
        </w:rPr>
        <w:t xml:space="preserve"> for the CRES service that they</w:t>
      </w:r>
      <w:r w:rsidR="009B6881">
        <w:rPr>
          <w:rFonts w:ascii="Arial" w:eastAsia="Arial" w:hAnsi="Arial" w:cs="Arial"/>
          <w:sz w:val="24"/>
          <w:szCs w:val="24"/>
        </w:rPr>
        <w:t xml:space="preserve"> actually</w:t>
      </w:r>
      <w:r w:rsidR="00842708">
        <w:rPr>
          <w:rFonts w:ascii="Arial" w:eastAsia="Arial" w:hAnsi="Arial" w:cs="Arial"/>
          <w:sz w:val="24"/>
          <w:szCs w:val="24"/>
        </w:rPr>
        <w:t xml:space="preserve"> do receive and a second time</w:t>
      </w:r>
      <w:r w:rsidR="00BF11EE" w:rsidRPr="00085080">
        <w:rPr>
          <w:rFonts w:ascii="Arial" w:eastAsia="Arial" w:hAnsi="Arial" w:cs="Arial"/>
          <w:sz w:val="24"/>
          <w:szCs w:val="24"/>
        </w:rPr>
        <w:t xml:space="preserve"> </w:t>
      </w:r>
      <w:r w:rsidR="00B75EDF">
        <w:rPr>
          <w:rFonts w:ascii="Arial" w:eastAsia="Arial" w:hAnsi="Arial" w:cs="Arial"/>
          <w:sz w:val="24"/>
          <w:szCs w:val="24"/>
        </w:rPr>
        <w:t xml:space="preserve">to support </w:t>
      </w:r>
      <w:r w:rsidR="00BF11EE" w:rsidRPr="00085080">
        <w:rPr>
          <w:rFonts w:ascii="Arial" w:eastAsia="Arial" w:hAnsi="Arial" w:cs="Arial"/>
          <w:sz w:val="24"/>
          <w:szCs w:val="24"/>
        </w:rPr>
        <w:t>SSO</w:t>
      </w:r>
      <w:r w:rsidR="00B75EDF">
        <w:rPr>
          <w:rFonts w:ascii="Arial" w:eastAsia="Arial" w:hAnsi="Arial" w:cs="Arial"/>
          <w:sz w:val="24"/>
          <w:szCs w:val="24"/>
        </w:rPr>
        <w:t xml:space="preserve"> generation service</w:t>
      </w:r>
      <w:r w:rsidR="003D365C">
        <w:rPr>
          <w:rFonts w:ascii="Arial" w:eastAsia="Arial" w:hAnsi="Arial" w:cs="Arial"/>
          <w:sz w:val="24"/>
          <w:szCs w:val="24"/>
        </w:rPr>
        <w:t xml:space="preserve"> </w:t>
      </w:r>
      <w:r w:rsidR="003D365C">
        <w:rPr>
          <w:rFonts w:ascii="Arial" w:eastAsia="Arial" w:hAnsi="Arial" w:cs="Arial"/>
          <w:sz w:val="24"/>
          <w:szCs w:val="24"/>
        </w:rPr>
        <w:lastRenderedPageBreak/>
        <w:t>which they don’t receive</w:t>
      </w:r>
      <w:r w:rsidR="00BF11EE" w:rsidRPr="00085080">
        <w:rPr>
          <w:rFonts w:ascii="Arial" w:eastAsia="Arial" w:hAnsi="Arial" w:cs="Arial"/>
          <w:sz w:val="24"/>
          <w:szCs w:val="24"/>
        </w:rPr>
        <w:t xml:space="preserve"> and, potentially a third time for any fees assessed to the customer or CRES provider</w:t>
      </w:r>
      <w:r w:rsidR="0079213B">
        <w:rPr>
          <w:rFonts w:ascii="Arial" w:eastAsia="Arial" w:hAnsi="Arial" w:cs="Arial"/>
          <w:sz w:val="24"/>
          <w:szCs w:val="24"/>
        </w:rPr>
        <w:t>s</w:t>
      </w:r>
      <w:r w:rsidR="00BF11EE" w:rsidRPr="00085080">
        <w:rPr>
          <w:rFonts w:ascii="Arial" w:eastAsia="Arial" w:hAnsi="Arial" w:cs="Arial"/>
          <w:sz w:val="24"/>
          <w:szCs w:val="24"/>
        </w:rPr>
        <w:t xml:space="preserve">.  </w:t>
      </w:r>
    </w:p>
    <w:p w14:paraId="11AAC229" w14:textId="6305C72C" w:rsidR="001D19B8" w:rsidRDefault="00C750AF" w:rsidP="00C038B5">
      <w:pPr>
        <w:spacing w:after="120" w:line="480" w:lineRule="auto"/>
        <w:ind w:firstLine="720"/>
        <w:jc w:val="both"/>
        <w:rPr>
          <w:rFonts w:ascii="Arial" w:eastAsia="Arial" w:hAnsi="Arial" w:cs="Arial"/>
          <w:sz w:val="24"/>
          <w:szCs w:val="24"/>
        </w:rPr>
      </w:pPr>
      <w:r w:rsidRPr="00085080">
        <w:rPr>
          <w:rFonts w:ascii="Arial" w:eastAsia="Arial" w:hAnsi="Arial" w:cs="Arial"/>
          <w:sz w:val="24"/>
          <w:szCs w:val="24"/>
        </w:rPr>
        <w:t>The proposal before the Commission is equivalent to heads SSO customers wins; tails</w:t>
      </w:r>
      <w:r w:rsidR="00BF11EE" w:rsidRPr="00085080">
        <w:rPr>
          <w:rFonts w:ascii="Arial" w:eastAsia="Arial" w:hAnsi="Arial" w:cs="Arial"/>
          <w:sz w:val="24"/>
          <w:szCs w:val="24"/>
        </w:rPr>
        <w:t xml:space="preserve"> choice customers lose.</w:t>
      </w:r>
      <w:r w:rsidR="001D19B8" w:rsidRPr="00085080">
        <w:rPr>
          <w:rFonts w:ascii="Arial" w:eastAsia="Arial" w:hAnsi="Arial" w:cs="Arial"/>
          <w:sz w:val="24"/>
          <w:szCs w:val="24"/>
        </w:rPr>
        <w:t xml:space="preserve">  It is unjust, unreasonable, unlawful, and fundamentally unf</w:t>
      </w:r>
      <w:r w:rsidRPr="00085080">
        <w:rPr>
          <w:rFonts w:ascii="Arial" w:eastAsia="Arial" w:hAnsi="Arial" w:cs="Arial"/>
          <w:sz w:val="24"/>
          <w:szCs w:val="24"/>
        </w:rPr>
        <w:t xml:space="preserve">air to assign costs directly to </w:t>
      </w:r>
      <w:r w:rsidR="001D19B8" w:rsidRPr="00085080">
        <w:rPr>
          <w:rFonts w:ascii="Arial" w:eastAsia="Arial" w:hAnsi="Arial" w:cs="Arial"/>
          <w:sz w:val="24"/>
          <w:szCs w:val="24"/>
        </w:rPr>
        <w:t>customers and their CRES suppliers when a customer sho</w:t>
      </w:r>
      <w:r w:rsidRPr="00085080">
        <w:rPr>
          <w:rFonts w:ascii="Arial" w:eastAsia="Arial" w:hAnsi="Arial" w:cs="Arial"/>
          <w:sz w:val="24"/>
          <w:szCs w:val="24"/>
        </w:rPr>
        <w:t xml:space="preserve">ps, and to then assign the DP&amp;L’s comparable </w:t>
      </w:r>
      <w:r w:rsidR="001D19B8" w:rsidRPr="00085080">
        <w:rPr>
          <w:rFonts w:ascii="Arial" w:eastAsia="Arial" w:hAnsi="Arial" w:cs="Arial"/>
          <w:sz w:val="24"/>
          <w:szCs w:val="24"/>
        </w:rPr>
        <w:t>cost</w:t>
      </w:r>
      <w:r w:rsidRPr="00085080">
        <w:rPr>
          <w:rFonts w:ascii="Arial" w:eastAsia="Arial" w:hAnsi="Arial" w:cs="Arial"/>
          <w:sz w:val="24"/>
          <w:szCs w:val="24"/>
        </w:rPr>
        <w:t>s</w:t>
      </w:r>
      <w:r w:rsidR="001D19B8" w:rsidRPr="00085080">
        <w:rPr>
          <w:rFonts w:ascii="Arial" w:eastAsia="Arial" w:hAnsi="Arial" w:cs="Arial"/>
          <w:sz w:val="24"/>
          <w:szCs w:val="24"/>
        </w:rPr>
        <w:t xml:space="preserve"> to non-competitive distribution service rates when a customer take the SSO. </w:t>
      </w:r>
      <w:r w:rsidR="001D19B8">
        <w:rPr>
          <w:rFonts w:ascii="Arial" w:hAnsi="Arial" w:cs="Arial"/>
          <w:sz w:val="24"/>
          <w:szCs w:val="24"/>
        </w:rPr>
        <w:tab/>
      </w:r>
      <w:r w:rsidR="001D19B8" w:rsidRPr="00085080">
        <w:rPr>
          <w:rFonts w:ascii="Arial" w:eastAsia="Arial" w:hAnsi="Arial" w:cs="Arial"/>
          <w:sz w:val="24"/>
          <w:szCs w:val="24"/>
        </w:rPr>
        <w:t>Costs associated with the SSO must be allocated to that service—not distribution rates.  To that end, Interstate Gas Supply, Inc.</w:t>
      </w:r>
      <w:r w:rsidR="00B70EB5">
        <w:rPr>
          <w:rFonts w:ascii="Arial" w:eastAsia="Arial" w:hAnsi="Arial" w:cs="Arial"/>
          <w:sz w:val="24"/>
          <w:szCs w:val="24"/>
        </w:rPr>
        <w:t xml:space="preserve"> (“IGS”)</w:t>
      </w:r>
      <w:r w:rsidR="001D19B8" w:rsidRPr="00085080">
        <w:rPr>
          <w:rFonts w:ascii="Arial" w:eastAsia="Arial" w:hAnsi="Arial" w:cs="Arial"/>
          <w:sz w:val="24"/>
          <w:szCs w:val="24"/>
        </w:rPr>
        <w:t xml:space="preserve"> and the Retail Energy Supply Association (“RESA”) have proposed a more appropriate cost allocation methodology, which refunctionalizes DP&amp;L’s SSO-related costs to the bypassable SSO rate. </w:t>
      </w:r>
      <w:r w:rsidR="00B87974">
        <w:rPr>
          <w:rFonts w:ascii="Arial" w:eastAsia="Arial" w:hAnsi="Arial" w:cs="Arial"/>
          <w:sz w:val="24"/>
          <w:szCs w:val="24"/>
        </w:rPr>
        <w:t>RESA and IGS’ proposal is net revenue neutral to all customers</w:t>
      </w:r>
      <w:r w:rsidR="00D77223">
        <w:rPr>
          <w:rFonts w:ascii="Arial" w:eastAsia="Arial" w:hAnsi="Arial" w:cs="Arial"/>
          <w:sz w:val="24"/>
          <w:szCs w:val="24"/>
        </w:rPr>
        <w:t>, is based on an actual cost analysis and woul</w:t>
      </w:r>
      <w:r w:rsidR="00530D04">
        <w:rPr>
          <w:rFonts w:ascii="Arial" w:eastAsia="Arial" w:hAnsi="Arial" w:cs="Arial"/>
          <w:sz w:val="24"/>
          <w:szCs w:val="24"/>
        </w:rPr>
        <w:t xml:space="preserve">d remedy the currently unlawful subsidy </w:t>
      </w:r>
      <w:r w:rsidR="00A13170">
        <w:rPr>
          <w:rFonts w:ascii="Arial" w:eastAsia="Arial" w:hAnsi="Arial" w:cs="Arial"/>
          <w:sz w:val="24"/>
          <w:szCs w:val="24"/>
        </w:rPr>
        <w:t>flowing from distribution rates to SSO generation service.  Further,</w:t>
      </w:r>
      <w:r w:rsidR="001D19B8" w:rsidRPr="00085080">
        <w:rPr>
          <w:rFonts w:ascii="Arial" w:eastAsia="Arial" w:hAnsi="Arial" w:cs="Arial"/>
          <w:sz w:val="24"/>
          <w:szCs w:val="24"/>
        </w:rPr>
        <w:t xml:space="preserve"> RESA’s proposed modification in consistent with Ohio law and policy and should therefore adopted.</w:t>
      </w:r>
    </w:p>
    <w:p w14:paraId="6FB6CC8E" w14:textId="5DC465A8" w:rsidR="0079213B" w:rsidRPr="00085080" w:rsidRDefault="0079213B" w:rsidP="0079213B">
      <w:pPr>
        <w:spacing w:after="120" w:line="480" w:lineRule="auto"/>
        <w:jc w:val="both"/>
        <w:rPr>
          <w:rFonts w:ascii="Arial" w:eastAsia="Arial" w:hAnsi="Arial" w:cs="Arial"/>
          <w:sz w:val="24"/>
          <w:szCs w:val="24"/>
        </w:rPr>
      </w:pPr>
      <w:r>
        <w:rPr>
          <w:rFonts w:ascii="Arial" w:eastAsia="Arial" w:hAnsi="Arial" w:cs="Arial"/>
          <w:sz w:val="24"/>
          <w:szCs w:val="24"/>
        </w:rPr>
        <w:tab/>
        <w:t>In addition to discriminating against shopping cus</w:t>
      </w:r>
      <w:r w:rsidR="00AD593D">
        <w:rPr>
          <w:rFonts w:ascii="Arial" w:eastAsia="Arial" w:hAnsi="Arial" w:cs="Arial"/>
          <w:sz w:val="24"/>
          <w:szCs w:val="24"/>
        </w:rPr>
        <w:t>tomers, the Stipulation contains other discriminatory provisions.  For example, it proposes</w:t>
      </w:r>
      <w:r>
        <w:rPr>
          <w:rFonts w:ascii="Arial" w:eastAsia="Arial" w:hAnsi="Arial" w:cs="Arial"/>
          <w:sz w:val="24"/>
          <w:szCs w:val="24"/>
        </w:rPr>
        <w:t xml:space="preserve"> rate structures that would discriminate against distributed generation customers.  Moreover, the Stipulation fails to rectify DP&amp;L’s practice of discriminating against privately held CRES providers in the assessment of collateral and credit requirements.</w:t>
      </w:r>
    </w:p>
    <w:p w14:paraId="6365D413" w14:textId="77777777" w:rsidR="00BF11EE" w:rsidRPr="00085080" w:rsidRDefault="00BF11EE" w:rsidP="00C038B5">
      <w:pPr>
        <w:spacing w:after="120" w:line="480" w:lineRule="auto"/>
        <w:jc w:val="both"/>
        <w:rPr>
          <w:rFonts w:ascii="Arial" w:eastAsia="Arial" w:hAnsi="Arial" w:cs="Arial"/>
          <w:sz w:val="24"/>
          <w:szCs w:val="24"/>
        </w:rPr>
      </w:pPr>
      <w:r>
        <w:rPr>
          <w:rFonts w:ascii="Arial" w:hAnsi="Arial" w:cs="Arial"/>
          <w:sz w:val="24"/>
          <w:szCs w:val="24"/>
        </w:rPr>
        <w:tab/>
      </w:r>
      <w:r w:rsidRPr="00085080">
        <w:rPr>
          <w:rFonts w:ascii="Arial" w:eastAsia="Arial" w:hAnsi="Arial" w:cs="Arial"/>
          <w:sz w:val="24"/>
          <w:szCs w:val="24"/>
        </w:rPr>
        <w:t>Therefore, to the extent that the Commission authorizes DP&amp;L’s application to increase rates, it should modify the Stipulation to address the errors identified herein.</w:t>
      </w:r>
    </w:p>
    <w:p w14:paraId="38A9835A" w14:textId="77777777" w:rsidR="002238CE" w:rsidRPr="00085080" w:rsidRDefault="001D19B8" w:rsidP="00C038B5">
      <w:pPr>
        <w:pStyle w:val="ListParagraph"/>
        <w:numPr>
          <w:ilvl w:val="0"/>
          <w:numId w:val="1"/>
        </w:numPr>
        <w:spacing w:after="120" w:line="480" w:lineRule="auto"/>
        <w:jc w:val="both"/>
        <w:rPr>
          <w:rFonts w:ascii="Arial" w:eastAsia="Arial" w:hAnsi="Arial" w:cs="Arial"/>
          <w:b/>
          <w:bCs/>
          <w:sz w:val="24"/>
          <w:szCs w:val="24"/>
        </w:rPr>
      </w:pPr>
      <w:r w:rsidRPr="00085080">
        <w:rPr>
          <w:rFonts w:ascii="Arial" w:eastAsia="Arial" w:hAnsi="Arial" w:cs="Arial"/>
          <w:b/>
          <w:bCs/>
          <w:sz w:val="24"/>
          <w:szCs w:val="24"/>
        </w:rPr>
        <w:t>BACKGROUND</w:t>
      </w:r>
    </w:p>
    <w:p w14:paraId="72B5B3DC" w14:textId="77777777" w:rsidR="00847DA7" w:rsidRPr="00085080" w:rsidRDefault="00847DA7" w:rsidP="00C038B5">
      <w:pPr>
        <w:pStyle w:val="ListParagraph"/>
        <w:numPr>
          <w:ilvl w:val="0"/>
          <w:numId w:val="2"/>
        </w:numPr>
        <w:spacing w:after="120" w:line="480" w:lineRule="auto"/>
        <w:jc w:val="both"/>
        <w:rPr>
          <w:rFonts w:ascii="Arial" w:eastAsia="Arial" w:hAnsi="Arial" w:cs="Arial"/>
          <w:b/>
          <w:bCs/>
          <w:sz w:val="24"/>
          <w:szCs w:val="24"/>
        </w:rPr>
      </w:pPr>
      <w:r w:rsidRPr="00085080">
        <w:rPr>
          <w:rFonts w:ascii="Arial" w:eastAsia="Arial" w:hAnsi="Arial" w:cs="Arial"/>
          <w:b/>
          <w:bCs/>
          <w:sz w:val="24"/>
          <w:szCs w:val="24"/>
        </w:rPr>
        <w:lastRenderedPageBreak/>
        <w:t>Restructuring and Unbundling</w:t>
      </w:r>
    </w:p>
    <w:p w14:paraId="1B64006D" w14:textId="77777777" w:rsidR="003E1F76" w:rsidRPr="00085080" w:rsidRDefault="003E1F76" w:rsidP="00C038B5">
      <w:pPr>
        <w:spacing w:after="0" w:line="480" w:lineRule="auto"/>
        <w:ind w:firstLine="720"/>
        <w:jc w:val="both"/>
        <w:rPr>
          <w:rFonts w:ascii="Arial" w:eastAsia="Arial" w:hAnsi="Arial" w:cs="Arial"/>
          <w:sz w:val="24"/>
          <w:szCs w:val="24"/>
        </w:rPr>
      </w:pPr>
      <w:r w:rsidRPr="00085080">
        <w:rPr>
          <w:rFonts w:ascii="Arial" w:eastAsia="Arial" w:hAnsi="Arial" w:cs="Arial"/>
          <w:sz w:val="24"/>
          <w:szCs w:val="24"/>
        </w:rPr>
        <w:t>In 1999, the Amended Substitute Senate Bill (“S.B. 3”) restructured the Ohio electric market. S.B. 3 “restructured Ohio's electric-utility industry to foster retail competition in the generation component of electric service.”</w:t>
      </w:r>
      <w:r w:rsidRPr="00085080">
        <w:rPr>
          <w:rStyle w:val="FootnoteReference"/>
          <w:rFonts w:ascii="Arial" w:eastAsia="Arial" w:hAnsi="Arial" w:cs="Arial"/>
          <w:sz w:val="24"/>
          <w:szCs w:val="24"/>
        </w:rPr>
        <w:footnoteReference w:id="2"/>
      </w:r>
      <w:r w:rsidRPr="00085080">
        <w:rPr>
          <w:rFonts w:ascii="Arial" w:eastAsia="Arial" w:hAnsi="Arial" w:cs="Arial"/>
          <w:sz w:val="24"/>
          <w:szCs w:val="24"/>
        </w:rPr>
        <w:t xml:space="preserve"> “In short, each service component was required to stand on its own.”</w:t>
      </w:r>
      <w:r w:rsidRPr="00085080">
        <w:rPr>
          <w:rStyle w:val="FootnoteReference"/>
          <w:rFonts w:ascii="Arial" w:eastAsia="Arial" w:hAnsi="Arial" w:cs="Arial"/>
          <w:sz w:val="24"/>
          <w:szCs w:val="24"/>
        </w:rPr>
        <w:footnoteReference w:id="3"/>
      </w:r>
      <w:r w:rsidRPr="00085080">
        <w:rPr>
          <w:rFonts w:ascii="Arial" w:eastAsia="Arial" w:hAnsi="Arial" w:cs="Arial"/>
          <w:i/>
          <w:iCs/>
          <w:sz w:val="24"/>
          <w:szCs w:val="24"/>
          <w:shd w:val="clear" w:color="auto" w:fill="FFFFFF"/>
        </w:rPr>
        <w:t xml:space="preserve"> </w:t>
      </w:r>
      <w:r w:rsidRPr="00085080">
        <w:rPr>
          <w:rFonts w:ascii="Arial" w:eastAsia="Arial" w:hAnsi="Arial" w:cs="Arial"/>
          <w:sz w:val="24"/>
          <w:szCs w:val="24"/>
        </w:rPr>
        <w:t>The foundation for competition was established by requiring “the three components of electric service — generation, transmission, and distribution — to be separated.”</w:t>
      </w:r>
      <w:r w:rsidRPr="00085080">
        <w:rPr>
          <w:rStyle w:val="FootnoteReference"/>
          <w:rFonts w:ascii="Arial" w:eastAsia="Arial" w:hAnsi="Arial" w:cs="Arial"/>
          <w:sz w:val="24"/>
          <w:szCs w:val="24"/>
        </w:rPr>
        <w:footnoteReference w:id="4"/>
      </w:r>
      <w:r w:rsidRPr="00085080">
        <w:rPr>
          <w:rFonts w:ascii="Arial" w:eastAsia="Arial" w:hAnsi="Arial" w:cs="Arial"/>
          <w:sz w:val="24"/>
          <w:szCs w:val="24"/>
        </w:rPr>
        <w:t xml:space="preserve">  This process was initially implemented through the electric transition plans filed by the investor owned utilities to implem</w:t>
      </w:r>
      <w:r w:rsidR="00847DA7" w:rsidRPr="00085080">
        <w:rPr>
          <w:rFonts w:ascii="Arial" w:eastAsia="Arial" w:hAnsi="Arial" w:cs="Arial"/>
          <w:sz w:val="24"/>
          <w:szCs w:val="24"/>
        </w:rPr>
        <w:t>ent</w:t>
      </w:r>
      <w:r w:rsidRPr="00085080">
        <w:rPr>
          <w:rFonts w:ascii="Arial" w:eastAsia="Arial" w:hAnsi="Arial" w:cs="Arial"/>
          <w:sz w:val="24"/>
          <w:szCs w:val="24"/>
        </w:rPr>
        <w:t xml:space="preserve"> the mandate in S.B. 3.</w:t>
      </w:r>
      <w:r w:rsidR="00FB2E91" w:rsidRPr="00085080">
        <w:rPr>
          <w:rFonts w:ascii="Arial" w:eastAsia="Arial" w:hAnsi="Arial" w:cs="Arial"/>
          <w:sz w:val="24"/>
          <w:szCs w:val="24"/>
        </w:rPr>
        <w:t xml:space="preserve">  The Commission took a hatchet to separate the existing pancaked rates into distribution, transmission, and generation.</w:t>
      </w:r>
      <w:r w:rsidRPr="00085080">
        <w:rPr>
          <w:rFonts w:ascii="Arial" w:eastAsia="Arial" w:hAnsi="Arial" w:cs="Arial"/>
          <w:sz w:val="24"/>
          <w:szCs w:val="24"/>
        </w:rPr>
        <w:t xml:space="preserve">  This first step was important as it laid the initial foundation for customers to evaluate differing competitive retail electric service options from different suppliers.</w:t>
      </w:r>
      <w:r w:rsidR="00FB2E91" w:rsidRPr="00085080">
        <w:rPr>
          <w:rFonts w:ascii="Arial" w:eastAsia="Arial" w:hAnsi="Arial" w:cs="Arial"/>
          <w:sz w:val="24"/>
          <w:szCs w:val="24"/>
        </w:rPr>
        <w:t xml:space="preserve"> </w:t>
      </w:r>
      <w:r w:rsidRPr="00085080">
        <w:rPr>
          <w:rFonts w:ascii="Arial" w:eastAsia="Arial" w:hAnsi="Arial" w:cs="Arial"/>
          <w:sz w:val="24"/>
          <w:szCs w:val="24"/>
        </w:rPr>
        <w:t xml:space="preserve">  </w:t>
      </w:r>
    </w:p>
    <w:p w14:paraId="2FFC5911" w14:textId="77777777" w:rsidR="00FB2E91" w:rsidRPr="00085080" w:rsidRDefault="0044279B" w:rsidP="00C038B5">
      <w:pPr>
        <w:spacing w:after="0" w:line="480" w:lineRule="auto"/>
        <w:ind w:firstLine="720"/>
        <w:jc w:val="both"/>
        <w:rPr>
          <w:rFonts w:ascii="Arial" w:eastAsia="Arial" w:hAnsi="Arial" w:cs="Arial"/>
          <w:sz w:val="24"/>
          <w:szCs w:val="24"/>
        </w:rPr>
      </w:pPr>
      <w:r w:rsidRPr="00085080">
        <w:rPr>
          <w:rFonts w:ascii="Arial" w:eastAsia="Arial" w:hAnsi="Arial" w:cs="Arial"/>
          <w:sz w:val="24"/>
          <w:szCs w:val="24"/>
        </w:rPr>
        <w:t>Through restructuring</w:t>
      </w:r>
      <w:r w:rsidR="003E1F76" w:rsidRPr="00085080">
        <w:rPr>
          <w:rFonts w:ascii="Arial" w:eastAsia="Arial" w:hAnsi="Arial" w:cs="Arial"/>
          <w:sz w:val="24"/>
          <w:szCs w:val="24"/>
        </w:rPr>
        <w:t xml:space="preserve">, the General Assembly eliminated the Commission’s authority over competitive </w:t>
      </w:r>
      <w:r w:rsidRPr="00085080">
        <w:rPr>
          <w:rFonts w:ascii="Arial" w:eastAsia="Arial" w:hAnsi="Arial" w:cs="Arial"/>
          <w:sz w:val="24"/>
          <w:szCs w:val="24"/>
        </w:rPr>
        <w:t xml:space="preserve">retail electric </w:t>
      </w:r>
      <w:r w:rsidR="003E1F76" w:rsidRPr="00085080">
        <w:rPr>
          <w:rFonts w:ascii="Arial" w:eastAsia="Arial" w:hAnsi="Arial" w:cs="Arial"/>
          <w:sz w:val="24"/>
          <w:szCs w:val="24"/>
        </w:rPr>
        <w:t>services, exc</w:t>
      </w:r>
      <w:r w:rsidRPr="00085080">
        <w:rPr>
          <w:rFonts w:ascii="Arial" w:eastAsia="Arial" w:hAnsi="Arial" w:cs="Arial"/>
          <w:sz w:val="24"/>
          <w:szCs w:val="24"/>
        </w:rPr>
        <w:t>ept for certain limited areas such as the standard service offer.  The Commission has no authority to regulate or provide compensation for competitive retail electric services through distribution rates. Indeed, “a competitive retail electric service supplied by an electric utility or electric services company shall not be subject to supervision and regulation . . . by the public utilities commission under Chapters 4901. to 4909., 4933., 4935., and 4963.”</w:t>
      </w:r>
      <w:r w:rsidR="00FB2E91" w:rsidRPr="00085080">
        <w:rPr>
          <w:rFonts w:ascii="Arial" w:eastAsia="Arial" w:hAnsi="Arial" w:cs="Arial"/>
          <w:sz w:val="24"/>
          <w:szCs w:val="24"/>
        </w:rPr>
        <w:t xml:space="preserve">  Since restructuring </w:t>
      </w:r>
      <w:r w:rsidR="00FB2E91" w:rsidRPr="00085080">
        <w:rPr>
          <w:rFonts w:ascii="Arial" w:eastAsia="Arial" w:hAnsi="Arial" w:cs="Arial"/>
          <w:sz w:val="24"/>
          <w:szCs w:val="24"/>
        </w:rPr>
        <w:lastRenderedPageBreak/>
        <w:t>occurred, the Commission has not exercised its traditional regulatory authority to increase DP&amp;L’s base distribution rates under Chapter 4909.18, that is until this proceeding.</w:t>
      </w:r>
    </w:p>
    <w:p w14:paraId="11C1E59F" w14:textId="77777777" w:rsidR="00550D1A" w:rsidRPr="00085080" w:rsidRDefault="00DA47F7" w:rsidP="00C038B5">
      <w:pPr>
        <w:pStyle w:val="ListParagraph"/>
        <w:numPr>
          <w:ilvl w:val="0"/>
          <w:numId w:val="2"/>
        </w:numPr>
        <w:spacing w:after="0" w:line="240" w:lineRule="auto"/>
        <w:jc w:val="both"/>
        <w:rPr>
          <w:rFonts w:ascii="Arial" w:eastAsia="Arial" w:hAnsi="Arial" w:cs="Arial"/>
          <w:b/>
          <w:bCs/>
          <w:sz w:val="24"/>
          <w:szCs w:val="24"/>
        </w:rPr>
      </w:pPr>
      <w:r w:rsidRPr="00085080">
        <w:rPr>
          <w:rFonts w:ascii="Arial" w:eastAsia="Arial" w:hAnsi="Arial" w:cs="Arial"/>
          <w:b/>
          <w:bCs/>
          <w:sz w:val="24"/>
          <w:szCs w:val="24"/>
        </w:rPr>
        <w:t>The</w:t>
      </w:r>
      <w:r w:rsidR="00DB4812" w:rsidRPr="00085080">
        <w:rPr>
          <w:rFonts w:ascii="Arial" w:eastAsia="Arial" w:hAnsi="Arial" w:cs="Arial"/>
          <w:b/>
          <w:bCs/>
          <w:sz w:val="24"/>
          <w:szCs w:val="24"/>
        </w:rPr>
        <w:t xml:space="preserve"> Application to Increase Distribution Rates</w:t>
      </w:r>
    </w:p>
    <w:p w14:paraId="049F31CB" w14:textId="77777777" w:rsidR="005C75FD" w:rsidRPr="00277CC9" w:rsidRDefault="005C75FD" w:rsidP="005C75FD">
      <w:pPr>
        <w:pStyle w:val="ListParagraph"/>
        <w:spacing w:after="0" w:line="240" w:lineRule="auto"/>
        <w:ind w:left="1440"/>
        <w:jc w:val="both"/>
        <w:rPr>
          <w:rFonts w:ascii="Arial" w:hAnsi="Arial" w:cs="Arial"/>
          <w:b/>
          <w:sz w:val="24"/>
          <w:szCs w:val="24"/>
        </w:rPr>
      </w:pPr>
    </w:p>
    <w:p w14:paraId="06C6FE9D" w14:textId="00CCC261" w:rsidR="00910316" w:rsidRPr="00085080" w:rsidRDefault="006E6FA0" w:rsidP="00085080">
      <w:pPr>
        <w:spacing w:after="0" w:line="480" w:lineRule="auto"/>
        <w:ind w:firstLine="720"/>
        <w:jc w:val="both"/>
        <w:rPr>
          <w:rFonts w:ascii="Arial" w:eastAsia="Arial" w:hAnsi="Arial" w:cs="Arial"/>
          <w:sz w:val="24"/>
          <w:szCs w:val="24"/>
        </w:rPr>
      </w:pPr>
      <w:r w:rsidRPr="00085080">
        <w:rPr>
          <w:rFonts w:ascii="Arial" w:eastAsia="Arial" w:hAnsi="Arial" w:cs="Arial"/>
          <w:sz w:val="24"/>
          <w:szCs w:val="24"/>
        </w:rPr>
        <w:t>Pursuant to R.C. 4909.18, on November 30, 2015</w:t>
      </w:r>
      <w:r w:rsidR="00B2018D" w:rsidRPr="00085080">
        <w:rPr>
          <w:rFonts w:ascii="Arial" w:eastAsia="Arial" w:hAnsi="Arial" w:cs="Arial"/>
          <w:sz w:val="24"/>
          <w:szCs w:val="24"/>
        </w:rPr>
        <w:t>, DP&amp;L filed an application to increase</w:t>
      </w:r>
      <w:r w:rsidRPr="00085080">
        <w:rPr>
          <w:rFonts w:ascii="Arial" w:eastAsia="Arial" w:hAnsi="Arial" w:cs="Arial"/>
          <w:sz w:val="24"/>
          <w:szCs w:val="24"/>
        </w:rPr>
        <w:t xml:space="preserve"> its base</w:t>
      </w:r>
      <w:r w:rsidR="00B2018D" w:rsidRPr="00085080">
        <w:rPr>
          <w:rFonts w:ascii="Arial" w:eastAsia="Arial" w:hAnsi="Arial" w:cs="Arial"/>
          <w:sz w:val="24"/>
          <w:szCs w:val="24"/>
        </w:rPr>
        <w:t xml:space="preserve"> electric distribution rates (“Application”).</w:t>
      </w:r>
      <w:r w:rsidR="00B2018D" w:rsidRPr="00085080">
        <w:rPr>
          <w:rStyle w:val="FootnoteReference"/>
          <w:rFonts w:ascii="Arial" w:eastAsia="Arial" w:hAnsi="Arial" w:cs="Arial"/>
          <w:sz w:val="24"/>
          <w:szCs w:val="24"/>
        </w:rPr>
        <w:footnoteReference w:id="5"/>
      </w:r>
      <w:r w:rsidR="00DA47F7" w:rsidRPr="00085080">
        <w:rPr>
          <w:rFonts w:ascii="Arial" w:eastAsia="Arial" w:hAnsi="Arial" w:cs="Arial"/>
          <w:sz w:val="24"/>
          <w:szCs w:val="24"/>
        </w:rPr>
        <w:t xml:space="preserve"> </w:t>
      </w:r>
      <w:r w:rsidR="00277CC9" w:rsidRPr="00085080">
        <w:rPr>
          <w:rFonts w:ascii="Arial" w:eastAsia="Arial" w:hAnsi="Arial" w:cs="Arial"/>
          <w:sz w:val="24"/>
          <w:szCs w:val="24"/>
        </w:rPr>
        <w:t>DP&amp;L’s last base</w:t>
      </w:r>
      <w:r w:rsidR="00AD593D">
        <w:rPr>
          <w:rFonts w:ascii="Arial" w:eastAsia="Arial" w:hAnsi="Arial" w:cs="Arial"/>
          <w:sz w:val="24"/>
          <w:szCs w:val="24"/>
        </w:rPr>
        <w:t xml:space="preserve"> rate case was </w:t>
      </w:r>
      <w:r w:rsidR="00FF6992" w:rsidRPr="00085080">
        <w:rPr>
          <w:rFonts w:ascii="Arial" w:eastAsia="Arial" w:hAnsi="Arial" w:cs="Arial"/>
          <w:sz w:val="24"/>
          <w:szCs w:val="24"/>
        </w:rPr>
        <w:t>in 1991</w:t>
      </w:r>
      <w:r w:rsidR="00277CC9" w:rsidRPr="00085080">
        <w:rPr>
          <w:rFonts w:ascii="Arial" w:eastAsia="Arial" w:hAnsi="Arial" w:cs="Arial"/>
          <w:sz w:val="24"/>
          <w:szCs w:val="24"/>
        </w:rPr>
        <w:t>, at a time when DP&amp;L was vertically integrated</w:t>
      </w:r>
      <w:r w:rsidR="00FF6992" w:rsidRPr="00085080">
        <w:rPr>
          <w:rFonts w:ascii="Arial" w:eastAsia="Arial" w:hAnsi="Arial" w:cs="Arial"/>
          <w:sz w:val="24"/>
          <w:szCs w:val="24"/>
        </w:rPr>
        <w:t xml:space="preserve">. </w:t>
      </w:r>
      <w:r w:rsidR="00277CC9" w:rsidRPr="00085080">
        <w:rPr>
          <w:rFonts w:ascii="Arial" w:eastAsia="Arial" w:hAnsi="Arial" w:cs="Arial"/>
          <w:sz w:val="24"/>
          <w:szCs w:val="24"/>
        </w:rPr>
        <w:t xml:space="preserve"> </w:t>
      </w:r>
      <w:r w:rsidR="00523C99" w:rsidRPr="00085080">
        <w:rPr>
          <w:rFonts w:ascii="Arial" w:eastAsia="Arial" w:hAnsi="Arial" w:cs="Arial"/>
          <w:sz w:val="24"/>
          <w:szCs w:val="24"/>
        </w:rPr>
        <w:t>The current</w:t>
      </w:r>
      <w:r w:rsidR="00FF6992" w:rsidRPr="00085080">
        <w:rPr>
          <w:rFonts w:ascii="Arial" w:eastAsia="Arial" w:hAnsi="Arial" w:cs="Arial"/>
          <w:sz w:val="24"/>
          <w:szCs w:val="24"/>
        </w:rPr>
        <w:t xml:space="preserve"> application</w:t>
      </w:r>
      <w:r w:rsidR="00DA47F7" w:rsidRPr="00085080">
        <w:rPr>
          <w:rFonts w:ascii="Arial" w:eastAsia="Arial" w:hAnsi="Arial" w:cs="Arial"/>
          <w:sz w:val="24"/>
          <w:szCs w:val="24"/>
        </w:rPr>
        <w:t xml:space="preserve"> proposed to increase its rates b</w:t>
      </w:r>
      <w:r w:rsidR="00FF6992" w:rsidRPr="00085080">
        <w:rPr>
          <w:rFonts w:ascii="Arial" w:eastAsia="Arial" w:hAnsi="Arial" w:cs="Arial"/>
          <w:sz w:val="24"/>
          <w:szCs w:val="24"/>
        </w:rPr>
        <w:t>y approximately $65.8 million.</w:t>
      </w:r>
      <w:r w:rsidR="00910316" w:rsidRPr="00085080">
        <w:rPr>
          <w:rFonts w:ascii="Arial" w:eastAsia="Arial" w:hAnsi="Arial" w:cs="Arial"/>
          <w:sz w:val="24"/>
          <w:szCs w:val="24"/>
        </w:rPr>
        <w:t xml:space="preserve">  DP&amp;L sought to collect the distribution rate increase through a combination of increased customer charges, demand charges, and volumetric charges. </w:t>
      </w:r>
    </w:p>
    <w:p w14:paraId="5CB976C8" w14:textId="6A610341" w:rsidR="00277CC9" w:rsidRPr="00C038B5" w:rsidRDefault="00DB4812" w:rsidP="00085080">
      <w:pPr>
        <w:spacing w:after="0" w:line="480" w:lineRule="auto"/>
        <w:ind w:firstLine="720"/>
        <w:jc w:val="both"/>
        <w:rPr>
          <w:rFonts w:ascii="Arial" w:eastAsia="Arial" w:hAnsi="Arial" w:cs="Arial"/>
          <w:sz w:val="24"/>
          <w:szCs w:val="24"/>
        </w:rPr>
      </w:pPr>
      <w:r w:rsidRPr="00085080">
        <w:rPr>
          <w:rFonts w:ascii="Arial" w:eastAsia="Arial" w:hAnsi="Arial" w:cs="Arial"/>
          <w:sz w:val="24"/>
          <w:szCs w:val="24"/>
        </w:rPr>
        <w:t xml:space="preserve">  As discussed further below, the application</w:t>
      </w:r>
      <w:r w:rsidR="0000183E">
        <w:rPr>
          <w:rFonts w:ascii="Arial" w:eastAsia="Arial" w:hAnsi="Arial" w:cs="Arial"/>
          <w:sz w:val="24"/>
          <w:szCs w:val="24"/>
        </w:rPr>
        <w:t xml:space="preserve"> also</w:t>
      </w:r>
      <w:r w:rsidRPr="00085080">
        <w:rPr>
          <w:rFonts w:ascii="Arial" w:eastAsia="Arial" w:hAnsi="Arial" w:cs="Arial"/>
          <w:sz w:val="24"/>
          <w:szCs w:val="24"/>
        </w:rPr>
        <w:t xml:space="preserve"> proposed to recover through distribution rates costs related to </w:t>
      </w:r>
      <w:r w:rsidR="0000183E">
        <w:rPr>
          <w:rFonts w:ascii="Arial" w:eastAsia="Arial" w:hAnsi="Arial" w:cs="Arial"/>
          <w:sz w:val="24"/>
          <w:szCs w:val="24"/>
        </w:rPr>
        <w:t>utility provided</w:t>
      </w:r>
      <w:r w:rsidR="0000183E" w:rsidRPr="00085080">
        <w:rPr>
          <w:rFonts w:ascii="Arial" w:eastAsia="Arial" w:hAnsi="Arial" w:cs="Arial"/>
          <w:sz w:val="24"/>
          <w:szCs w:val="24"/>
        </w:rPr>
        <w:t xml:space="preserve"> </w:t>
      </w:r>
      <w:r w:rsidRPr="00085080">
        <w:rPr>
          <w:rFonts w:ascii="Arial" w:eastAsia="Arial" w:hAnsi="Arial" w:cs="Arial"/>
          <w:sz w:val="24"/>
          <w:szCs w:val="24"/>
        </w:rPr>
        <w:t>SSO</w:t>
      </w:r>
      <w:r w:rsidR="0000183E">
        <w:rPr>
          <w:rFonts w:ascii="Arial" w:eastAsia="Arial" w:hAnsi="Arial" w:cs="Arial"/>
          <w:sz w:val="24"/>
          <w:szCs w:val="24"/>
        </w:rPr>
        <w:t xml:space="preserve"> generation</w:t>
      </w:r>
      <w:r w:rsidRPr="00085080">
        <w:rPr>
          <w:rFonts w:ascii="Arial" w:eastAsia="Arial" w:hAnsi="Arial" w:cs="Arial"/>
          <w:sz w:val="24"/>
          <w:szCs w:val="24"/>
        </w:rPr>
        <w:t xml:space="preserve"> service.</w:t>
      </w:r>
      <w:r w:rsidR="00FF6992" w:rsidRPr="00085080">
        <w:rPr>
          <w:rFonts w:ascii="Arial" w:eastAsia="Arial" w:hAnsi="Arial" w:cs="Arial"/>
          <w:sz w:val="24"/>
          <w:szCs w:val="24"/>
        </w:rPr>
        <w:t xml:space="preserve"> </w:t>
      </w:r>
      <w:r w:rsidR="00277CC9" w:rsidRPr="00085080">
        <w:rPr>
          <w:rFonts w:ascii="Arial" w:eastAsia="Arial" w:hAnsi="Arial" w:cs="Arial"/>
          <w:sz w:val="24"/>
          <w:szCs w:val="24"/>
        </w:rPr>
        <w:t xml:space="preserve"> While discovery ensued on the A</w:t>
      </w:r>
      <w:r w:rsidR="00FF6992" w:rsidRPr="00085080">
        <w:rPr>
          <w:rFonts w:ascii="Arial" w:eastAsia="Arial" w:hAnsi="Arial" w:cs="Arial"/>
          <w:sz w:val="24"/>
          <w:szCs w:val="24"/>
        </w:rPr>
        <w:t>pplication, little substantive activity occurred in the proceeding until the issuance of the Staff Report of Investigation</w:t>
      </w:r>
      <w:r w:rsidR="00523C99" w:rsidRPr="00085080">
        <w:rPr>
          <w:rFonts w:ascii="Arial" w:eastAsia="Arial" w:hAnsi="Arial" w:cs="Arial"/>
          <w:sz w:val="24"/>
          <w:szCs w:val="24"/>
        </w:rPr>
        <w:t xml:space="preserve"> (“Staff Report”)</w:t>
      </w:r>
      <w:r w:rsidR="00277CC9" w:rsidRPr="00085080">
        <w:rPr>
          <w:rFonts w:ascii="Arial" w:eastAsia="Arial" w:hAnsi="Arial" w:cs="Arial"/>
          <w:sz w:val="24"/>
          <w:szCs w:val="24"/>
        </w:rPr>
        <w:t xml:space="preserve"> on March 12, 2018.</w:t>
      </w:r>
    </w:p>
    <w:p w14:paraId="3A318E3E" w14:textId="77777777" w:rsidR="00550D1A" w:rsidRPr="00C038B5" w:rsidRDefault="00277CC9" w:rsidP="00085080">
      <w:pPr>
        <w:pStyle w:val="ListParagraph"/>
        <w:numPr>
          <w:ilvl w:val="0"/>
          <w:numId w:val="2"/>
        </w:numPr>
        <w:spacing w:after="0" w:line="480" w:lineRule="auto"/>
        <w:jc w:val="both"/>
        <w:rPr>
          <w:rFonts w:ascii="Arial" w:eastAsia="Arial" w:hAnsi="Arial" w:cs="Arial"/>
          <w:b/>
          <w:bCs/>
          <w:sz w:val="24"/>
          <w:szCs w:val="24"/>
        </w:rPr>
      </w:pPr>
      <w:r w:rsidRPr="00C038B5">
        <w:rPr>
          <w:rFonts w:ascii="Arial" w:eastAsia="Arial" w:hAnsi="Arial" w:cs="Arial"/>
          <w:b/>
          <w:bCs/>
          <w:sz w:val="24"/>
          <w:szCs w:val="24"/>
        </w:rPr>
        <w:t xml:space="preserve">The ESP </w:t>
      </w:r>
      <w:r w:rsidR="00523C99" w:rsidRPr="00C038B5">
        <w:rPr>
          <w:rFonts w:ascii="Arial" w:eastAsia="Arial" w:hAnsi="Arial" w:cs="Arial"/>
          <w:b/>
          <w:bCs/>
          <w:sz w:val="24"/>
          <w:szCs w:val="24"/>
        </w:rPr>
        <w:t>Case</w:t>
      </w:r>
      <w:r w:rsidRPr="00C038B5">
        <w:rPr>
          <w:rFonts w:ascii="Arial" w:eastAsia="Arial" w:hAnsi="Arial" w:cs="Arial"/>
          <w:sz w:val="24"/>
          <w:szCs w:val="24"/>
        </w:rPr>
        <w:t xml:space="preserve"> </w:t>
      </w:r>
    </w:p>
    <w:p w14:paraId="3F3DDA2C" w14:textId="72D1199D" w:rsidR="006774F1" w:rsidRPr="00BA58D6" w:rsidRDefault="1BB7B8B5" w:rsidP="1BB7B8B5">
      <w:pPr>
        <w:spacing w:after="0" w:line="480" w:lineRule="auto"/>
        <w:ind w:firstLine="720"/>
        <w:jc w:val="both"/>
        <w:rPr>
          <w:rFonts w:ascii="Arial" w:eastAsia="Arial" w:hAnsi="Arial" w:cs="Arial"/>
          <w:sz w:val="24"/>
          <w:szCs w:val="24"/>
        </w:rPr>
      </w:pPr>
      <w:r w:rsidRPr="1BB7B8B5">
        <w:rPr>
          <w:rFonts w:ascii="Arial" w:eastAsia="Arial" w:hAnsi="Arial" w:cs="Arial"/>
          <w:sz w:val="24"/>
          <w:szCs w:val="24"/>
        </w:rPr>
        <w:t xml:space="preserve">Pursuant to R.C. 4928.143, on February 22, 2016, DP&amp;L filed an application to establish a standard service offer in the form of an electric security plan (“ESP”).  </w:t>
      </w:r>
      <w:r w:rsidR="006774F1" w:rsidRPr="1BB7B8B5">
        <w:rPr>
          <w:rFonts w:ascii="Arial" w:eastAsia="Arial" w:hAnsi="Arial" w:cs="Arial"/>
          <w:sz w:val="24"/>
          <w:szCs w:val="24"/>
        </w:rPr>
        <w:t>On January 30, 2017, a diverse group of parties submitted a Stipulation and Recommendation</w:t>
      </w:r>
      <w:r w:rsidR="006774F1" w:rsidRPr="1BB7B8B5">
        <w:rPr>
          <w:rStyle w:val="FootnoteReference"/>
          <w:rFonts w:ascii="Arial" w:eastAsia="Arial" w:hAnsi="Arial" w:cs="Arial"/>
          <w:sz w:val="24"/>
          <w:szCs w:val="24"/>
        </w:rPr>
        <w:footnoteReference w:id="6"/>
      </w:r>
      <w:r w:rsidR="006774F1" w:rsidRPr="1BB7B8B5">
        <w:rPr>
          <w:rFonts w:ascii="Arial" w:eastAsia="Arial" w:hAnsi="Arial" w:cs="Arial"/>
          <w:sz w:val="24"/>
          <w:szCs w:val="24"/>
        </w:rPr>
        <w:t xml:space="preserve"> to resolve the contested issues in this proceeding.</w:t>
      </w:r>
      <w:r w:rsidR="006774F1" w:rsidRPr="1BB7B8B5">
        <w:rPr>
          <w:rStyle w:val="FootnoteReference"/>
          <w:rFonts w:ascii="Arial" w:eastAsia="Arial" w:hAnsi="Arial" w:cs="Arial"/>
          <w:sz w:val="24"/>
          <w:szCs w:val="24"/>
        </w:rPr>
        <w:footnoteReference w:id="7"/>
      </w:r>
      <w:r w:rsidR="006774F1" w:rsidRPr="1BB7B8B5">
        <w:rPr>
          <w:rFonts w:ascii="Arial" w:eastAsia="Arial" w:hAnsi="Arial" w:cs="Arial"/>
          <w:sz w:val="24"/>
          <w:szCs w:val="24"/>
        </w:rPr>
        <w:t xml:space="preserve">  As part of that </w:t>
      </w:r>
      <w:r w:rsidR="006774F1" w:rsidRPr="1BB7B8B5">
        <w:rPr>
          <w:rFonts w:ascii="Arial" w:eastAsia="Arial" w:hAnsi="Arial" w:cs="Arial"/>
          <w:sz w:val="24"/>
          <w:szCs w:val="24"/>
        </w:rPr>
        <w:lastRenderedPageBreak/>
        <w:t>settlement, DP&amp;L agreed to establish a componen</w:t>
      </w:r>
      <w:r w:rsidR="00AD593D">
        <w:rPr>
          <w:rFonts w:ascii="Arial" w:eastAsia="Arial" w:hAnsi="Arial" w:cs="Arial"/>
          <w:sz w:val="24"/>
          <w:szCs w:val="24"/>
        </w:rPr>
        <w:t xml:space="preserve">t of the SSO rate to recognize </w:t>
      </w:r>
      <w:r w:rsidR="006774F1" w:rsidRPr="1BB7B8B5">
        <w:rPr>
          <w:rFonts w:ascii="Arial" w:eastAsia="Arial" w:hAnsi="Arial" w:cs="Arial"/>
          <w:sz w:val="24"/>
          <w:szCs w:val="24"/>
        </w:rPr>
        <w:t xml:space="preserve">costs related to but avoided by default service. </w:t>
      </w:r>
    </w:p>
    <w:p w14:paraId="28AC29DE" w14:textId="2C4E941D" w:rsidR="00D708A0" w:rsidRPr="00085080" w:rsidRDefault="006774F1" w:rsidP="00085080">
      <w:pPr>
        <w:spacing w:after="0" w:line="480" w:lineRule="auto"/>
        <w:ind w:firstLine="720"/>
        <w:jc w:val="both"/>
        <w:rPr>
          <w:rFonts w:ascii="Arial" w:eastAsia="Arial" w:hAnsi="Arial" w:cs="Arial"/>
          <w:sz w:val="24"/>
          <w:szCs w:val="24"/>
        </w:rPr>
      </w:pPr>
      <w:r w:rsidRPr="00085080">
        <w:rPr>
          <w:rFonts w:ascii="Arial" w:eastAsia="Arial" w:hAnsi="Arial" w:cs="Arial"/>
          <w:sz w:val="24"/>
          <w:szCs w:val="24"/>
        </w:rPr>
        <w:t xml:space="preserve">On March 14, 2017, following additional negotiations and bargaining, the parties to the initial Stipulation, the Commission Staff, and other parties executed an Amended </w:t>
      </w:r>
      <w:r w:rsidR="00523C99" w:rsidRPr="00085080">
        <w:rPr>
          <w:rFonts w:ascii="Arial" w:eastAsia="Arial" w:hAnsi="Arial" w:cs="Arial"/>
          <w:sz w:val="24"/>
          <w:szCs w:val="24"/>
        </w:rPr>
        <w:t>Stipulation</w:t>
      </w:r>
      <w:r w:rsidR="00AD593D">
        <w:rPr>
          <w:rStyle w:val="FootnoteReference"/>
          <w:rFonts w:ascii="Arial" w:eastAsia="Arial" w:hAnsi="Arial" w:cs="Arial"/>
          <w:sz w:val="24"/>
          <w:szCs w:val="24"/>
        </w:rPr>
        <w:footnoteReference w:id="8"/>
      </w:r>
      <w:r w:rsidR="00523C99" w:rsidRPr="00085080">
        <w:rPr>
          <w:rFonts w:ascii="Arial" w:eastAsia="Arial" w:hAnsi="Arial" w:cs="Arial"/>
          <w:sz w:val="24"/>
          <w:szCs w:val="24"/>
        </w:rPr>
        <w:t xml:space="preserve"> to resolve</w:t>
      </w:r>
      <w:r w:rsidRPr="00085080">
        <w:rPr>
          <w:rFonts w:ascii="Arial" w:eastAsia="Arial" w:hAnsi="Arial" w:cs="Arial"/>
          <w:sz w:val="24"/>
          <w:szCs w:val="24"/>
        </w:rPr>
        <w:t xml:space="preserve"> the outstanding issues in this proceeding.</w:t>
      </w:r>
      <w:r w:rsidRPr="00085080">
        <w:rPr>
          <w:rStyle w:val="FootnoteReference"/>
          <w:rFonts w:ascii="Arial" w:eastAsia="Arial" w:hAnsi="Arial" w:cs="Arial"/>
          <w:sz w:val="24"/>
          <w:szCs w:val="24"/>
        </w:rPr>
        <w:footnoteReference w:id="9"/>
      </w:r>
      <w:r w:rsidR="00545603" w:rsidRPr="00085080">
        <w:rPr>
          <w:rFonts w:ascii="Arial" w:eastAsia="Arial" w:hAnsi="Arial" w:cs="Arial"/>
          <w:sz w:val="24"/>
          <w:szCs w:val="24"/>
        </w:rPr>
        <w:t xml:space="preserve"> The Amended Settlement made the R</w:t>
      </w:r>
      <w:r w:rsidR="00AD593D">
        <w:rPr>
          <w:rFonts w:ascii="Arial" w:eastAsia="Arial" w:hAnsi="Arial" w:cs="Arial"/>
          <w:sz w:val="24"/>
          <w:szCs w:val="24"/>
        </w:rPr>
        <w:t xml:space="preserve">econciliation </w:t>
      </w:r>
      <w:r w:rsidR="00545603" w:rsidRPr="00085080">
        <w:rPr>
          <w:rFonts w:ascii="Arial" w:eastAsia="Arial" w:hAnsi="Arial" w:cs="Arial"/>
          <w:sz w:val="24"/>
          <w:szCs w:val="24"/>
        </w:rPr>
        <w:t>R</w:t>
      </w:r>
      <w:r w:rsidR="00AD593D">
        <w:rPr>
          <w:rFonts w:ascii="Arial" w:eastAsia="Arial" w:hAnsi="Arial" w:cs="Arial"/>
          <w:sz w:val="24"/>
          <w:szCs w:val="24"/>
        </w:rPr>
        <w:t>ider (“RR”)</w:t>
      </w:r>
      <w:r w:rsidR="00545603" w:rsidRPr="00085080">
        <w:rPr>
          <w:rFonts w:ascii="Arial" w:eastAsia="Arial" w:hAnsi="Arial" w:cs="Arial"/>
          <w:sz w:val="24"/>
          <w:szCs w:val="24"/>
        </w:rPr>
        <w:t xml:space="preserve"> bypassable to customers served by a CRES provider.</w:t>
      </w:r>
      <w:r w:rsidR="00545603" w:rsidRPr="00085080">
        <w:rPr>
          <w:rStyle w:val="FootnoteReference"/>
          <w:rFonts w:ascii="Arial" w:eastAsia="Arial" w:hAnsi="Arial" w:cs="Arial"/>
          <w:sz w:val="24"/>
          <w:szCs w:val="24"/>
        </w:rPr>
        <w:footnoteReference w:id="10"/>
      </w:r>
      <w:r w:rsidR="00545603" w:rsidRPr="00085080">
        <w:rPr>
          <w:rFonts w:ascii="Arial" w:eastAsia="Arial" w:hAnsi="Arial" w:cs="Arial"/>
          <w:sz w:val="24"/>
          <w:szCs w:val="24"/>
        </w:rPr>
        <w:t xml:space="preserve"> Further</w:t>
      </w:r>
      <w:r w:rsidRPr="00085080">
        <w:rPr>
          <w:rFonts w:ascii="Arial" w:eastAsia="Arial" w:hAnsi="Arial" w:cs="Arial"/>
          <w:sz w:val="24"/>
          <w:szCs w:val="24"/>
        </w:rPr>
        <w:t>, the Amended Stipulation acknowledged the existence of SSO-related costs</w:t>
      </w:r>
      <w:r w:rsidR="00523C99" w:rsidRPr="00085080">
        <w:rPr>
          <w:rFonts w:ascii="Arial" w:eastAsia="Arial" w:hAnsi="Arial" w:cs="Arial"/>
          <w:sz w:val="24"/>
          <w:szCs w:val="24"/>
        </w:rPr>
        <w:t xml:space="preserve"> embedded </w:t>
      </w:r>
      <w:r w:rsidR="00D708A0" w:rsidRPr="00085080">
        <w:rPr>
          <w:rFonts w:ascii="Arial" w:eastAsia="Arial" w:hAnsi="Arial" w:cs="Arial"/>
          <w:sz w:val="24"/>
          <w:szCs w:val="24"/>
        </w:rPr>
        <w:t xml:space="preserve">in distribution rates.  While the Amended Stipulation </w:t>
      </w:r>
      <w:r w:rsidR="00FA2BAE">
        <w:rPr>
          <w:rFonts w:ascii="Arial" w:eastAsia="Arial" w:hAnsi="Arial" w:cs="Arial"/>
          <w:sz w:val="24"/>
          <w:szCs w:val="24"/>
        </w:rPr>
        <w:t xml:space="preserve">allowed for a </w:t>
      </w:r>
      <w:r w:rsidR="00290369">
        <w:rPr>
          <w:rFonts w:ascii="Arial" w:eastAsia="Arial" w:hAnsi="Arial" w:cs="Arial"/>
          <w:sz w:val="24"/>
          <w:szCs w:val="24"/>
        </w:rPr>
        <w:t>relatively</w:t>
      </w:r>
      <w:r w:rsidR="00FA2BAE">
        <w:rPr>
          <w:rFonts w:ascii="Arial" w:eastAsia="Arial" w:hAnsi="Arial" w:cs="Arial"/>
          <w:sz w:val="24"/>
          <w:szCs w:val="24"/>
        </w:rPr>
        <w:t xml:space="preserve"> small</w:t>
      </w:r>
      <w:r w:rsidR="00BD7019">
        <w:rPr>
          <w:rFonts w:ascii="Arial" w:eastAsia="Arial" w:hAnsi="Arial" w:cs="Arial"/>
          <w:sz w:val="24"/>
          <w:szCs w:val="24"/>
        </w:rPr>
        <w:t xml:space="preserve"> allocation o</w:t>
      </w:r>
      <w:r w:rsidR="00FA2BAE">
        <w:rPr>
          <w:rFonts w:ascii="Arial" w:eastAsia="Arial" w:hAnsi="Arial" w:cs="Arial"/>
          <w:sz w:val="24"/>
          <w:szCs w:val="24"/>
        </w:rPr>
        <w:t>f</w:t>
      </w:r>
      <w:r w:rsidR="00290369">
        <w:rPr>
          <w:rFonts w:ascii="Arial" w:eastAsia="Arial" w:hAnsi="Arial" w:cs="Arial"/>
          <w:sz w:val="24"/>
          <w:szCs w:val="24"/>
        </w:rPr>
        <w:t xml:space="preserve"> SSO</w:t>
      </w:r>
      <w:r w:rsidR="00523C99" w:rsidRPr="00085080">
        <w:rPr>
          <w:rFonts w:ascii="Arial" w:eastAsia="Arial" w:hAnsi="Arial" w:cs="Arial"/>
          <w:sz w:val="24"/>
          <w:szCs w:val="24"/>
        </w:rPr>
        <w:t xml:space="preserve"> </w:t>
      </w:r>
      <w:r w:rsidR="00BD7019" w:rsidRPr="00B06C27">
        <w:rPr>
          <w:rFonts w:ascii="Arial" w:eastAsia="Arial" w:hAnsi="Arial" w:cs="Arial"/>
          <w:sz w:val="24"/>
          <w:szCs w:val="24"/>
        </w:rPr>
        <w:t xml:space="preserve">uncollectible expense </w:t>
      </w:r>
      <w:r w:rsidR="00290369">
        <w:rPr>
          <w:rFonts w:ascii="Arial" w:eastAsia="Arial" w:hAnsi="Arial" w:cs="Arial"/>
          <w:sz w:val="24"/>
          <w:szCs w:val="24"/>
        </w:rPr>
        <w:t>to SSO service</w:t>
      </w:r>
      <w:r w:rsidR="00BD7019" w:rsidRPr="00B06C27">
        <w:rPr>
          <w:rFonts w:ascii="Arial" w:eastAsia="Arial" w:hAnsi="Arial" w:cs="Arial"/>
          <w:sz w:val="24"/>
          <w:szCs w:val="24"/>
        </w:rPr>
        <w:t>,</w:t>
      </w:r>
      <w:r w:rsidR="00D708A0" w:rsidRPr="00085080">
        <w:rPr>
          <w:rFonts w:ascii="Arial" w:eastAsia="Arial" w:hAnsi="Arial" w:cs="Arial"/>
          <w:sz w:val="24"/>
          <w:szCs w:val="24"/>
        </w:rPr>
        <w:t xml:space="preserve"> the lion’s share of the evaluation and reallocation </w:t>
      </w:r>
      <w:r w:rsidR="00DB4812" w:rsidRPr="00085080">
        <w:rPr>
          <w:rFonts w:ascii="Arial" w:eastAsia="Arial" w:hAnsi="Arial" w:cs="Arial"/>
          <w:sz w:val="24"/>
          <w:szCs w:val="24"/>
        </w:rPr>
        <w:t>was delegated to DP&amp;L’s pending distribution rate case.</w:t>
      </w:r>
    </w:p>
    <w:p w14:paraId="20D76E2E" w14:textId="3E77DC84" w:rsidR="00545603" w:rsidRPr="00085080" w:rsidRDefault="00523C99" w:rsidP="00AD593D">
      <w:pPr>
        <w:spacing w:after="0" w:line="480" w:lineRule="auto"/>
        <w:ind w:firstLine="720"/>
        <w:jc w:val="both"/>
        <w:rPr>
          <w:rFonts w:ascii="Arial" w:eastAsia="Arial" w:hAnsi="Arial" w:cs="Arial"/>
          <w:sz w:val="24"/>
          <w:szCs w:val="24"/>
        </w:rPr>
      </w:pPr>
      <w:r w:rsidRPr="00085080">
        <w:rPr>
          <w:rFonts w:ascii="Arial" w:eastAsia="Arial" w:hAnsi="Arial" w:cs="Arial"/>
          <w:sz w:val="24"/>
          <w:szCs w:val="24"/>
        </w:rPr>
        <w:t xml:space="preserve">Regarding the immediate allocation, the Stipulation required the removal of </w:t>
      </w:r>
      <w:r w:rsidR="00D708A0" w:rsidRPr="00085080">
        <w:rPr>
          <w:rFonts w:ascii="Arial" w:eastAsia="Arial" w:hAnsi="Arial" w:cs="Arial"/>
          <w:sz w:val="24"/>
          <w:szCs w:val="24"/>
        </w:rPr>
        <w:t>uncollectible</w:t>
      </w:r>
      <w:r w:rsidRPr="00085080">
        <w:rPr>
          <w:rFonts w:ascii="Arial" w:eastAsia="Arial" w:hAnsi="Arial" w:cs="Arial"/>
          <w:sz w:val="24"/>
          <w:szCs w:val="24"/>
        </w:rPr>
        <w:t xml:space="preserve"> </w:t>
      </w:r>
      <w:r w:rsidR="00D708A0" w:rsidRPr="00085080">
        <w:rPr>
          <w:rFonts w:ascii="Arial" w:eastAsia="Arial" w:hAnsi="Arial" w:cs="Arial"/>
          <w:sz w:val="24"/>
          <w:szCs w:val="24"/>
        </w:rPr>
        <w:t>expense</w:t>
      </w:r>
      <w:r w:rsidRPr="00085080">
        <w:rPr>
          <w:rFonts w:ascii="Arial" w:eastAsia="Arial" w:hAnsi="Arial" w:cs="Arial"/>
          <w:sz w:val="24"/>
          <w:szCs w:val="24"/>
        </w:rPr>
        <w:t xml:space="preserve"> “charge offs” associated with SSO-</w:t>
      </w:r>
      <w:r w:rsidR="00D708A0" w:rsidRPr="00085080">
        <w:rPr>
          <w:rFonts w:ascii="Arial" w:eastAsia="Arial" w:hAnsi="Arial" w:cs="Arial"/>
          <w:sz w:val="24"/>
          <w:szCs w:val="24"/>
        </w:rPr>
        <w:t>related uncollected receivables, with an additional</w:t>
      </w:r>
      <w:r w:rsidR="00085080">
        <w:rPr>
          <w:rFonts w:ascii="Arial" w:eastAsia="Arial" w:hAnsi="Arial" w:cs="Arial"/>
          <w:sz w:val="24"/>
          <w:szCs w:val="24"/>
        </w:rPr>
        <w:t xml:space="preserve"> </w:t>
      </w:r>
      <w:r w:rsidR="00D708A0" w:rsidRPr="00085080">
        <w:rPr>
          <w:rFonts w:ascii="Arial" w:eastAsia="Arial" w:hAnsi="Arial" w:cs="Arial"/>
          <w:sz w:val="24"/>
          <w:szCs w:val="24"/>
        </w:rPr>
        <w:t xml:space="preserve">allocation to occur </w:t>
      </w:r>
      <w:r w:rsidR="00DB4812" w:rsidRPr="00085080">
        <w:rPr>
          <w:rFonts w:ascii="Arial" w:eastAsia="Arial" w:hAnsi="Arial" w:cs="Arial"/>
          <w:sz w:val="24"/>
          <w:szCs w:val="24"/>
        </w:rPr>
        <w:t xml:space="preserve">in </w:t>
      </w:r>
      <w:r w:rsidR="00D708A0" w:rsidRPr="00085080">
        <w:rPr>
          <w:rFonts w:ascii="Arial" w:eastAsia="Arial" w:hAnsi="Arial" w:cs="Arial"/>
          <w:sz w:val="24"/>
          <w:szCs w:val="24"/>
        </w:rPr>
        <w:t>this proceeding to remove any additional SSO-related costs</w:t>
      </w:r>
      <w:r w:rsidR="00085080">
        <w:rPr>
          <w:rFonts w:ascii="Arial" w:eastAsia="Arial" w:hAnsi="Arial" w:cs="Arial"/>
          <w:sz w:val="24"/>
          <w:szCs w:val="24"/>
        </w:rPr>
        <w:t xml:space="preserve"> uncollectible expenses</w:t>
      </w:r>
      <w:r w:rsidR="00D708A0" w:rsidRPr="00085080">
        <w:rPr>
          <w:rFonts w:ascii="Arial" w:eastAsia="Arial" w:hAnsi="Arial" w:cs="Arial"/>
          <w:sz w:val="24"/>
          <w:szCs w:val="24"/>
        </w:rPr>
        <w:t xml:space="preserve"> embedded in distribution rates</w:t>
      </w:r>
      <w:r w:rsidR="009C5736" w:rsidRPr="00085080">
        <w:rPr>
          <w:rFonts w:ascii="Arial" w:eastAsia="Arial" w:hAnsi="Arial" w:cs="Arial"/>
          <w:sz w:val="24"/>
          <w:szCs w:val="24"/>
        </w:rPr>
        <w:t>.</w:t>
      </w:r>
      <w:r w:rsidR="009C5736" w:rsidRPr="00085080">
        <w:rPr>
          <w:rStyle w:val="FootnoteReference"/>
          <w:rFonts w:ascii="Arial" w:eastAsia="Arial" w:hAnsi="Arial" w:cs="Arial"/>
          <w:sz w:val="24"/>
          <w:szCs w:val="24"/>
        </w:rPr>
        <w:footnoteReference w:id="11"/>
      </w:r>
      <w:r w:rsidR="00AD593D">
        <w:rPr>
          <w:rFonts w:ascii="Arial" w:eastAsia="Arial" w:hAnsi="Arial" w:cs="Arial"/>
          <w:sz w:val="24"/>
          <w:szCs w:val="24"/>
        </w:rPr>
        <w:t xml:space="preserve">  T</w:t>
      </w:r>
      <w:r w:rsidR="00545603" w:rsidRPr="00085080">
        <w:rPr>
          <w:rFonts w:ascii="Arial" w:eastAsia="Arial" w:hAnsi="Arial" w:cs="Arial"/>
          <w:sz w:val="24"/>
          <w:szCs w:val="24"/>
        </w:rPr>
        <w:t xml:space="preserve">he remainder of </w:t>
      </w:r>
      <w:r w:rsidR="00545603" w:rsidRPr="00085080">
        <w:rPr>
          <w:rFonts w:ascii="Arial" w:eastAsia="Arial" w:hAnsi="Arial" w:cs="Arial"/>
          <w:sz w:val="24"/>
          <w:szCs w:val="24"/>
        </w:rPr>
        <w:lastRenderedPageBreak/>
        <w:t>the unbundling</w:t>
      </w:r>
      <w:r w:rsidR="00DB4812" w:rsidRPr="00085080">
        <w:rPr>
          <w:rFonts w:ascii="Arial" w:eastAsia="Arial" w:hAnsi="Arial" w:cs="Arial"/>
          <w:sz w:val="24"/>
          <w:szCs w:val="24"/>
        </w:rPr>
        <w:t xml:space="preserve"> evaluation and reallocation</w:t>
      </w:r>
      <w:r w:rsidR="00BD22A6">
        <w:rPr>
          <w:rFonts w:ascii="Arial" w:eastAsia="Arial" w:hAnsi="Arial" w:cs="Arial"/>
          <w:sz w:val="24"/>
          <w:szCs w:val="24"/>
        </w:rPr>
        <w:t xml:space="preserve"> of SSO related costs</w:t>
      </w:r>
      <w:r w:rsidR="00545603" w:rsidRPr="00085080">
        <w:rPr>
          <w:rFonts w:ascii="Arial" w:eastAsia="Arial" w:hAnsi="Arial" w:cs="Arial"/>
          <w:sz w:val="24"/>
          <w:szCs w:val="24"/>
        </w:rPr>
        <w:t xml:space="preserve"> was delegated to this proceeding:</w:t>
      </w:r>
    </w:p>
    <w:p w14:paraId="02377370" w14:textId="77777777" w:rsidR="00545603" w:rsidRPr="00085080" w:rsidRDefault="00545603" w:rsidP="00C038B5">
      <w:pPr>
        <w:spacing w:after="0" w:line="240" w:lineRule="auto"/>
        <w:ind w:left="720" w:right="720"/>
        <w:jc w:val="both"/>
        <w:rPr>
          <w:rFonts w:ascii="Arial" w:eastAsia="Arial" w:hAnsi="Arial" w:cs="Arial"/>
          <w:sz w:val="24"/>
          <w:szCs w:val="24"/>
        </w:rPr>
      </w:pPr>
      <w:r w:rsidRPr="00085080">
        <w:rPr>
          <w:rFonts w:ascii="Arial" w:eastAsia="Arial" w:hAnsi="Arial" w:cs="Arial"/>
          <w:i/>
          <w:iCs/>
          <w:sz w:val="24"/>
          <w:szCs w:val="24"/>
        </w:rPr>
        <w:t>In DP&amp;L's distribution rate case (Case No. 15-1830-EL-AIR), there will be an evaluation of costs contained in distribution rates that may be necessary to provide standard service offer service</w:t>
      </w:r>
      <w:r w:rsidRPr="00085080">
        <w:rPr>
          <w:rFonts w:ascii="Arial" w:eastAsia="Arial" w:hAnsi="Arial" w:cs="Arial"/>
          <w:sz w:val="24"/>
          <w:szCs w:val="24"/>
        </w:rPr>
        <w:t>. Any reallocation of costs to the standard service offer as a result of this evaluation will be revenue neutral to DP&amp;L.</w:t>
      </w:r>
      <w:r w:rsidRPr="00085080">
        <w:rPr>
          <w:rStyle w:val="FootnoteReference"/>
          <w:rFonts w:ascii="Arial" w:eastAsia="Arial" w:hAnsi="Arial" w:cs="Arial"/>
          <w:sz w:val="24"/>
          <w:szCs w:val="24"/>
        </w:rPr>
        <w:footnoteReference w:id="12"/>
      </w:r>
    </w:p>
    <w:p w14:paraId="62486C05" w14:textId="77777777" w:rsidR="00545603" w:rsidRDefault="00545603" w:rsidP="00545603">
      <w:pPr>
        <w:spacing w:after="0" w:line="240" w:lineRule="auto"/>
        <w:ind w:left="720" w:right="720"/>
        <w:jc w:val="both"/>
        <w:rPr>
          <w:rFonts w:ascii="Arial" w:hAnsi="Arial" w:cs="Arial"/>
          <w:sz w:val="24"/>
          <w:szCs w:val="24"/>
        </w:rPr>
      </w:pPr>
    </w:p>
    <w:p w14:paraId="569DB8ED" w14:textId="14BFB3B6" w:rsidR="00BA58D6" w:rsidRPr="00085080" w:rsidRDefault="00BA58D6" w:rsidP="00085080">
      <w:pPr>
        <w:spacing w:after="0" w:line="480" w:lineRule="auto"/>
        <w:ind w:firstLine="720"/>
        <w:jc w:val="both"/>
        <w:rPr>
          <w:rFonts w:ascii="Arial" w:eastAsia="Arial" w:hAnsi="Arial" w:cs="Arial"/>
          <w:sz w:val="24"/>
          <w:szCs w:val="24"/>
        </w:rPr>
      </w:pPr>
      <w:r w:rsidRPr="00085080">
        <w:rPr>
          <w:rFonts w:ascii="Arial" w:eastAsia="Arial" w:hAnsi="Arial" w:cs="Arial"/>
          <w:sz w:val="24"/>
          <w:szCs w:val="24"/>
        </w:rPr>
        <w:t xml:space="preserve">The Amended Settlement also </w:t>
      </w:r>
      <w:r w:rsidR="00904C00">
        <w:rPr>
          <w:rFonts w:ascii="Arial" w:eastAsia="Arial" w:hAnsi="Arial" w:cs="Arial"/>
          <w:sz w:val="24"/>
          <w:szCs w:val="24"/>
        </w:rPr>
        <w:t>deferred</w:t>
      </w:r>
      <w:r w:rsidR="00085080">
        <w:rPr>
          <w:rFonts w:ascii="Arial" w:eastAsia="Arial" w:hAnsi="Arial" w:cs="Arial"/>
          <w:sz w:val="24"/>
          <w:szCs w:val="24"/>
        </w:rPr>
        <w:t xml:space="preserve"> to this proceeding</w:t>
      </w:r>
      <w:r w:rsidR="00904C00" w:rsidRPr="00085080">
        <w:rPr>
          <w:rFonts w:ascii="Arial" w:eastAsia="Arial" w:hAnsi="Arial" w:cs="Arial"/>
          <w:sz w:val="24"/>
          <w:szCs w:val="24"/>
        </w:rPr>
        <w:t xml:space="preserve"> </w:t>
      </w:r>
      <w:r w:rsidRPr="00085080">
        <w:rPr>
          <w:rFonts w:ascii="Arial" w:eastAsia="Arial" w:hAnsi="Arial" w:cs="Arial"/>
          <w:sz w:val="24"/>
          <w:szCs w:val="24"/>
        </w:rPr>
        <w:t>issues related to</w:t>
      </w:r>
      <w:r w:rsidR="00EA43F6">
        <w:rPr>
          <w:rFonts w:ascii="Arial" w:eastAsia="Arial" w:hAnsi="Arial" w:cs="Arial"/>
          <w:sz w:val="24"/>
          <w:szCs w:val="24"/>
        </w:rPr>
        <w:t xml:space="preserve"> supplier fees and</w:t>
      </w:r>
      <w:r w:rsidR="00AD593D">
        <w:rPr>
          <w:rFonts w:ascii="Arial" w:eastAsia="Arial" w:hAnsi="Arial" w:cs="Arial"/>
          <w:sz w:val="24"/>
          <w:szCs w:val="24"/>
        </w:rPr>
        <w:t xml:space="preserve"> the supplier tariff.</w:t>
      </w:r>
      <w:r w:rsidR="00545603" w:rsidRPr="00085080">
        <w:rPr>
          <w:rStyle w:val="FootnoteReference"/>
          <w:rFonts w:ascii="Arial" w:eastAsia="Arial" w:hAnsi="Arial" w:cs="Arial"/>
          <w:sz w:val="24"/>
          <w:szCs w:val="24"/>
        </w:rPr>
        <w:footnoteReference w:id="13"/>
      </w:r>
      <w:r w:rsidRPr="00085080">
        <w:rPr>
          <w:rFonts w:ascii="Arial" w:eastAsia="Arial" w:hAnsi="Arial" w:cs="Arial"/>
          <w:sz w:val="24"/>
          <w:szCs w:val="24"/>
        </w:rPr>
        <w:t xml:space="preserve">  </w:t>
      </w:r>
    </w:p>
    <w:p w14:paraId="520F9934" w14:textId="7E1DC743" w:rsidR="00550D1A" w:rsidRPr="00085080" w:rsidRDefault="00950969" w:rsidP="00085080">
      <w:pPr>
        <w:spacing w:after="0" w:line="480" w:lineRule="auto"/>
        <w:ind w:firstLine="720"/>
        <w:jc w:val="both"/>
        <w:rPr>
          <w:rFonts w:ascii="Arial" w:eastAsia="Arial" w:hAnsi="Arial" w:cs="Arial"/>
          <w:sz w:val="24"/>
          <w:szCs w:val="24"/>
        </w:rPr>
      </w:pPr>
      <w:r w:rsidRPr="00085080">
        <w:rPr>
          <w:rFonts w:ascii="Arial" w:eastAsia="Arial" w:hAnsi="Arial" w:cs="Arial"/>
          <w:sz w:val="24"/>
          <w:szCs w:val="24"/>
        </w:rPr>
        <w:t xml:space="preserve">On October 20, 2017, the Commission issued an Opinion </w:t>
      </w:r>
      <w:r w:rsidR="00AD593D">
        <w:rPr>
          <w:rFonts w:ascii="Arial" w:eastAsia="Arial" w:hAnsi="Arial" w:cs="Arial"/>
          <w:sz w:val="24"/>
          <w:szCs w:val="24"/>
        </w:rPr>
        <w:t>and Order modifying and approving</w:t>
      </w:r>
      <w:r w:rsidRPr="00085080">
        <w:rPr>
          <w:rFonts w:ascii="Arial" w:eastAsia="Arial" w:hAnsi="Arial" w:cs="Arial"/>
          <w:sz w:val="24"/>
          <w:szCs w:val="24"/>
        </w:rPr>
        <w:t xml:space="preserve"> the Amended Stipulation.  While the</w:t>
      </w:r>
      <w:r w:rsidR="00DB4812" w:rsidRPr="00085080">
        <w:rPr>
          <w:rFonts w:ascii="Arial" w:eastAsia="Arial" w:hAnsi="Arial" w:cs="Arial"/>
          <w:sz w:val="24"/>
          <w:szCs w:val="24"/>
        </w:rPr>
        <w:t xml:space="preserve"> Order </w:t>
      </w:r>
      <w:r w:rsidRPr="00085080">
        <w:rPr>
          <w:rFonts w:ascii="Arial" w:eastAsia="Arial" w:hAnsi="Arial" w:cs="Arial"/>
          <w:sz w:val="24"/>
          <w:szCs w:val="24"/>
        </w:rPr>
        <w:t xml:space="preserve">authorized many aspects of the </w:t>
      </w:r>
      <w:r w:rsidR="00DB4812" w:rsidRPr="00085080">
        <w:rPr>
          <w:rFonts w:ascii="Arial" w:eastAsia="Arial" w:hAnsi="Arial" w:cs="Arial"/>
          <w:sz w:val="24"/>
          <w:szCs w:val="24"/>
        </w:rPr>
        <w:t xml:space="preserve">Amended </w:t>
      </w:r>
      <w:r w:rsidRPr="00085080">
        <w:rPr>
          <w:rFonts w:ascii="Arial" w:eastAsia="Arial" w:hAnsi="Arial" w:cs="Arial"/>
          <w:sz w:val="24"/>
          <w:szCs w:val="24"/>
        </w:rPr>
        <w:t>Stipulation—including the framework for evaluating costs “that may be necessary to provide the standa</w:t>
      </w:r>
      <w:r w:rsidR="00DB4812" w:rsidRPr="00085080">
        <w:rPr>
          <w:rFonts w:ascii="Arial" w:eastAsia="Arial" w:hAnsi="Arial" w:cs="Arial"/>
          <w:sz w:val="24"/>
          <w:szCs w:val="24"/>
        </w:rPr>
        <w:t>rd service offer”</w:t>
      </w:r>
      <w:r w:rsidR="007D45FD">
        <w:rPr>
          <w:rStyle w:val="FootnoteReference"/>
          <w:rFonts w:ascii="Arial" w:eastAsia="Arial" w:hAnsi="Arial" w:cs="Arial"/>
          <w:sz w:val="24"/>
          <w:szCs w:val="24"/>
        </w:rPr>
        <w:footnoteReference w:id="14"/>
      </w:r>
      <w:r w:rsidR="00DB4812" w:rsidRPr="00085080">
        <w:rPr>
          <w:rFonts w:ascii="Arial" w:eastAsia="Arial" w:hAnsi="Arial" w:cs="Arial"/>
          <w:sz w:val="24"/>
          <w:szCs w:val="24"/>
        </w:rPr>
        <w:t xml:space="preserve">—the Order modified the RR, making recovery of OVEC-related costs </w:t>
      </w:r>
      <w:r w:rsidRPr="00085080">
        <w:rPr>
          <w:rFonts w:ascii="Arial" w:eastAsia="Arial" w:hAnsi="Arial" w:cs="Arial"/>
          <w:sz w:val="24"/>
          <w:szCs w:val="24"/>
        </w:rPr>
        <w:t>non-bypassable.</w:t>
      </w:r>
      <w:r w:rsidR="007D45FD">
        <w:rPr>
          <w:rStyle w:val="FootnoteReference"/>
          <w:rFonts w:ascii="Arial" w:eastAsia="Arial" w:hAnsi="Arial" w:cs="Arial"/>
          <w:sz w:val="24"/>
          <w:szCs w:val="24"/>
        </w:rPr>
        <w:footnoteReference w:id="15"/>
      </w:r>
      <w:r w:rsidRPr="00085080">
        <w:rPr>
          <w:rFonts w:ascii="Arial" w:eastAsia="Arial" w:hAnsi="Arial" w:cs="Arial"/>
          <w:sz w:val="24"/>
          <w:szCs w:val="24"/>
        </w:rPr>
        <w:t xml:space="preserve">  Consequently, </w:t>
      </w:r>
      <w:r w:rsidR="00AD593D">
        <w:rPr>
          <w:rFonts w:ascii="Arial" w:eastAsia="Arial" w:hAnsi="Arial" w:cs="Arial"/>
          <w:sz w:val="24"/>
          <w:szCs w:val="24"/>
        </w:rPr>
        <w:t>IGS and serveral other entities filed</w:t>
      </w:r>
      <w:r w:rsidRPr="00085080">
        <w:rPr>
          <w:rFonts w:ascii="Arial" w:eastAsia="Arial" w:hAnsi="Arial" w:cs="Arial"/>
          <w:sz w:val="24"/>
          <w:szCs w:val="24"/>
        </w:rPr>
        <w:t xml:space="preserve"> appli</w:t>
      </w:r>
      <w:r w:rsidR="00AD593D">
        <w:rPr>
          <w:rFonts w:ascii="Arial" w:eastAsia="Arial" w:hAnsi="Arial" w:cs="Arial"/>
          <w:sz w:val="24"/>
          <w:szCs w:val="24"/>
        </w:rPr>
        <w:t>cations for rehearing</w:t>
      </w:r>
      <w:r w:rsidRPr="00085080">
        <w:rPr>
          <w:rFonts w:ascii="Arial" w:eastAsia="Arial" w:hAnsi="Arial" w:cs="Arial"/>
          <w:sz w:val="24"/>
          <w:szCs w:val="24"/>
        </w:rPr>
        <w:t>.</w:t>
      </w:r>
      <w:r w:rsidRPr="00085080">
        <w:rPr>
          <w:rStyle w:val="FootnoteReference"/>
          <w:rFonts w:ascii="Arial" w:eastAsia="Arial" w:hAnsi="Arial" w:cs="Arial"/>
          <w:sz w:val="24"/>
          <w:szCs w:val="24"/>
        </w:rPr>
        <w:footnoteReference w:id="16"/>
      </w:r>
      <w:r w:rsidRPr="00085080">
        <w:rPr>
          <w:rFonts w:ascii="Arial" w:eastAsia="Arial" w:hAnsi="Arial" w:cs="Arial"/>
          <w:sz w:val="24"/>
          <w:szCs w:val="24"/>
        </w:rPr>
        <w:t xml:space="preserve">  The Commission has yet to issue an Entry on Rehearing.  </w:t>
      </w:r>
    </w:p>
    <w:p w14:paraId="1EBEB852" w14:textId="77777777" w:rsidR="00550D1A" w:rsidRPr="00085080" w:rsidRDefault="00950969" w:rsidP="00085080">
      <w:pPr>
        <w:spacing w:after="0" w:line="480" w:lineRule="auto"/>
        <w:ind w:left="1080"/>
        <w:jc w:val="both"/>
        <w:rPr>
          <w:rFonts w:ascii="Arial" w:eastAsia="Arial" w:hAnsi="Arial" w:cs="Arial"/>
          <w:b/>
          <w:bCs/>
          <w:sz w:val="24"/>
          <w:szCs w:val="24"/>
        </w:rPr>
      </w:pPr>
      <w:r w:rsidRPr="00085080">
        <w:rPr>
          <w:rFonts w:ascii="Arial" w:eastAsia="Arial" w:hAnsi="Arial" w:cs="Arial"/>
          <w:b/>
          <w:bCs/>
          <w:sz w:val="24"/>
          <w:szCs w:val="24"/>
        </w:rPr>
        <w:t>D</w:t>
      </w:r>
      <w:r w:rsidR="00550D1A" w:rsidRPr="00085080">
        <w:rPr>
          <w:rFonts w:ascii="Arial" w:eastAsia="Arial" w:hAnsi="Arial" w:cs="Arial"/>
          <w:b/>
          <w:bCs/>
          <w:sz w:val="24"/>
          <w:szCs w:val="24"/>
        </w:rPr>
        <w:t>.</w:t>
      </w:r>
      <w:r w:rsidRPr="00085080">
        <w:rPr>
          <w:rFonts w:ascii="Arial" w:eastAsia="Arial" w:hAnsi="Arial" w:cs="Arial"/>
          <w:b/>
          <w:bCs/>
          <w:sz w:val="24"/>
          <w:szCs w:val="24"/>
        </w:rPr>
        <w:t xml:space="preserve"> </w:t>
      </w:r>
      <w:r w:rsidR="000C673F" w:rsidRPr="00085080">
        <w:rPr>
          <w:rFonts w:ascii="Arial" w:eastAsia="Arial" w:hAnsi="Arial" w:cs="Arial"/>
          <w:b/>
          <w:bCs/>
          <w:sz w:val="24"/>
          <w:szCs w:val="24"/>
        </w:rPr>
        <w:t xml:space="preserve"> The Staff Report</w:t>
      </w:r>
      <w:r w:rsidR="00F10C2E" w:rsidRPr="00085080">
        <w:rPr>
          <w:rFonts w:ascii="Arial" w:eastAsia="Arial" w:hAnsi="Arial" w:cs="Arial"/>
          <w:b/>
          <w:bCs/>
          <w:sz w:val="24"/>
          <w:szCs w:val="24"/>
        </w:rPr>
        <w:t xml:space="preserve"> and Stipulation</w:t>
      </w:r>
    </w:p>
    <w:p w14:paraId="205755DD" w14:textId="79160A6A" w:rsidR="00B157EE" w:rsidRPr="00085080" w:rsidRDefault="00847E15" w:rsidP="00085080">
      <w:pPr>
        <w:spacing w:after="0" w:line="480" w:lineRule="auto"/>
        <w:jc w:val="both"/>
        <w:rPr>
          <w:rFonts w:ascii="Arial" w:eastAsia="Arial" w:hAnsi="Arial" w:cs="Arial"/>
          <w:sz w:val="24"/>
          <w:szCs w:val="24"/>
        </w:rPr>
      </w:pPr>
      <w:r>
        <w:rPr>
          <w:rFonts w:ascii="Arial" w:hAnsi="Arial" w:cs="Arial"/>
          <w:b/>
          <w:sz w:val="24"/>
          <w:szCs w:val="24"/>
        </w:rPr>
        <w:lastRenderedPageBreak/>
        <w:tab/>
      </w:r>
      <w:r w:rsidRPr="00085080">
        <w:rPr>
          <w:rFonts w:ascii="Arial" w:eastAsia="Arial" w:hAnsi="Arial" w:cs="Arial"/>
          <w:sz w:val="24"/>
          <w:szCs w:val="24"/>
        </w:rPr>
        <w:t>On March 12, 2018, the</w:t>
      </w:r>
      <w:r w:rsidR="00B157EE" w:rsidRPr="00085080">
        <w:rPr>
          <w:rFonts w:ascii="Arial" w:eastAsia="Arial" w:hAnsi="Arial" w:cs="Arial"/>
          <w:sz w:val="24"/>
          <w:szCs w:val="24"/>
        </w:rPr>
        <w:t xml:space="preserve"> Commission Staff issued the</w:t>
      </w:r>
      <w:r w:rsidRPr="00085080">
        <w:rPr>
          <w:rFonts w:ascii="Arial" w:eastAsia="Arial" w:hAnsi="Arial" w:cs="Arial"/>
          <w:sz w:val="24"/>
          <w:szCs w:val="24"/>
        </w:rPr>
        <w:t xml:space="preserve"> Staff</w:t>
      </w:r>
      <w:r w:rsidR="00B157EE" w:rsidRPr="00085080">
        <w:rPr>
          <w:rFonts w:ascii="Arial" w:eastAsia="Arial" w:hAnsi="Arial" w:cs="Arial"/>
          <w:sz w:val="24"/>
          <w:szCs w:val="24"/>
        </w:rPr>
        <w:t xml:space="preserve"> Report detailing its investigation of DP&amp;L’s proposed rate increase.  Among other things,</w:t>
      </w:r>
      <w:r w:rsidR="00DB4812" w:rsidRPr="00085080">
        <w:rPr>
          <w:rFonts w:ascii="Arial" w:eastAsia="Arial" w:hAnsi="Arial" w:cs="Arial"/>
          <w:sz w:val="24"/>
          <w:szCs w:val="24"/>
        </w:rPr>
        <w:t xml:space="preserve"> as purportedly required by the Amended Stipulation,</w:t>
      </w:r>
      <w:r w:rsidR="00B157EE" w:rsidRPr="00085080">
        <w:rPr>
          <w:rFonts w:ascii="Arial" w:eastAsia="Arial" w:hAnsi="Arial" w:cs="Arial"/>
          <w:sz w:val="24"/>
          <w:szCs w:val="24"/>
        </w:rPr>
        <w:t xml:space="preserve"> the Staff Report </w:t>
      </w:r>
      <w:r w:rsidR="00DB4812" w:rsidRPr="00085080">
        <w:rPr>
          <w:rFonts w:ascii="Arial" w:eastAsia="Arial" w:hAnsi="Arial" w:cs="Arial"/>
          <w:sz w:val="24"/>
          <w:szCs w:val="24"/>
        </w:rPr>
        <w:t>included</w:t>
      </w:r>
      <w:r w:rsidR="00B157EE" w:rsidRPr="00085080">
        <w:rPr>
          <w:rFonts w:ascii="Arial" w:eastAsia="Arial" w:hAnsi="Arial" w:cs="Arial"/>
          <w:sz w:val="24"/>
          <w:szCs w:val="24"/>
        </w:rPr>
        <w:t xml:space="preserve"> a short section discussing the Staff’s evaluation of SSO-related costs proposed for recovery through distribution rates.  Although the A</w:t>
      </w:r>
      <w:r w:rsidR="007D45FD">
        <w:rPr>
          <w:rFonts w:ascii="Arial" w:eastAsia="Arial" w:hAnsi="Arial" w:cs="Arial"/>
          <w:sz w:val="24"/>
          <w:szCs w:val="24"/>
        </w:rPr>
        <w:t>mended Stipulation provided</w:t>
      </w:r>
      <w:r w:rsidR="00B157EE" w:rsidRPr="00085080">
        <w:rPr>
          <w:rFonts w:ascii="Arial" w:eastAsia="Arial" w:hAnsi="Arial" w:cs="Arial"/>
          <w:sz w:val="24"/>
          <w:szCs w:val="24"/>
        </w:rPr>
        <w:t xml:space="preserve"> there would be an evaluation and reallocation of costs necessary to support the SSO, the Staff Report </w:t>
      </w:r>
      <w:r w:rsidR="00DB4812" w:rsidRPr="00085080">
        <w:rPr>
          <w:rFonts w:ascii="Arial" w:eastAsia="Arial" w:hAnsi="Arial" w:cs="Arial"/>
          <w:sz w:val="24"/>
          <w:szCs w:val="24"/>
        </w:rPr>
        <w:t>reframed the required analysis and added</w:t>
      </w:r>
      <w:r w:rsidR="00F3409D" w:rsidRPr="00085080">
        <w:rPr>
          <w:rFonts w:ascii="Arial" w:eastAsia="Arial" w:hAnsi="Arial" w:cs="Arial"/>
          <w:sz w:val="24"/>
          <w:szCs w:val="24"/>
        </w:rPr>
        <w:t xml:space="preserve"> additional conditions</w:t>
      </w:r>
      <w:r w:rsidR="00B157EE" w:rsidRPr="00085080">
        <w:rPr>
          <w:rFonts w:ascii="Arial" w:eastAsia="Arial" w:hAnsi="Arial" w:cs="Arial"/>
          <w:sz w:val="24"/>
          <w:szCs w:val="24"/>
        </w:rPr>
        <w:t>:</w:t>
      </w:r>
    </w:p>
    <w:p w14:paraId="4B44F4FE" w14:textId="77777777" w:rsidR="00B157EE" w:rsidRDefault="00B157EE" w:rsidP="00F3409D">
      <w:pPr>
        <w:spacing w:after="0" w:line="240" w:lineRule="auto"/>
        <w:ind w:left="720" w:right="720"/>
        <w:jc w:val="both"/>
        <w:rPr>
          <w:rFonts w:ascii="Arial" w:hAnsi="Arial" w:cs="Arial"/>
          <w:sz w:val="24"/>
          <w:szCs w:val="24"/>
        </w:rPr>
      </w:pPr>
      <w:r w:rsidRPr="00B157EE">
        <w:rPr>
          <w:rFonts w:ascii="Arial" w:hAnsi="Arial" w:cs="Arial"/>
          <w:sz w:val="24"/>
          <w:szCs w:val="24"/>
        </w:rPr>
        <w:t>Staff</w:t>
      </w:r>
      <w:r>
        <w:rPr>
          <w:rFonts w:ascii="Arial" w:hAnsi="Arial" w:cs="Arial"/>
          <w:sz w:val="24"/>
          <w:szCs w:val="24"/>
        </w:rPr>
        <w:t xml:space="preserve"> </w:t>
      </w:r>
      <w:r w:rsidRPr="00B157EE">
        <w:rPr>
          <w:rFonts w:ascii="Arial" w:hAnsi="Arial" w:cs="Arial"/>
          <w:sz w:val="24"/>
          <w:szCs w:val="24"/>
        </w:rPr>
        <w:t>attempted to evaluate those costs contained in the distribution rate</w:t>
      </w:r>
      <w:r>
        <w:rPr>
          <w:rFonts w:ascii="Arial" w:hAnsi="Arial" w:cs="Arial"/>
          <w:sz w:val="24"/>
          <w:szCs w:val="24"/>
        </w:rPr>
        <w:t xml:space="preserve">s that are necessary to provide </w:t>
      </w:r>
      <w:r w:rsidRPr="00B157EE">
        <w:rPr>
          <w:rFonts w:ascii="Arial" w:hAnsi="Arial" w:cs="Arial"/>
          <w:sz w:val="24"/>
          <w:szCs w:val="24"/>
        </w:rPr>
        <w:t xml:space="preserve">standard service offer (SSO) service </w:t>
      </w:r>
      <w:r w:rsidRPr="00F3409D">
        <w:rPr>
          <w:rFonts w:ascii="Arial" w:hAnsi="Arial" w:cs="Arial"/>
          <w:i/>
          <w:sz w:val="24"/>
          <w:szCs w:val="24"/>
        </w:rPr>
        <w:t>and would be removed from DP&amp;L distribution expenses if SSO service was no longer a default service</w:t>
      </w:r>
      <w:r w:rsidRPr="00B157EE">
        <w:rPr>
          <w:rFonts w:ascii="Arial" w:hAnsi="Arial" w:cs="Arial"/>
          <w:sz w:val="24"/>
          <w:szCs w:val="24"/>
        </w:rPr>
        <w:t xml:space="preserve">, and those costs that are </w:t>
      </w:r>
      <w:r>
        <w:rPr>
          <w:rFonts w:ascii="Arial" w:hAnsi="Arial" w:cs="Arial"/>
          <w:sz w:val="24"/>
          <w:szCs w:val="24"/>
        </w:rPr>
        <w:t xml:space="preserve">not already recovered through a </w:t>
      </w:r>
      <w:r w:rsidRPr="00B157EE">
        <w:rPr>
          <w:rFonts w:ascii="Arial" w:hAnsi="Arial" w:cs="Arial"/>
          <w:sz w:val="24"/>
          <w:szCs w:val="24"/>
        </w:rPr>
        <w:t>bypassable charge</w:t>
      </w:r>
      <w:r>
        <w:rPr>
          <w:rFonts w:ascii="Arial" w:hAnsi="Arial" w:cs="Arial"/>
          <w:sz w:val="24"/>
          <w:szCs w:val="24"/>
        </w:rPr>
        <w:t>.</w:t>
      </w:r>
      <w:r w:rsidR="00F3409D">
        <w:rPr>
          <w:rStyle w:val="FootnoteReference"/>
          <w:rFonts w:ascii="Arial" w:hAnsi="Arial" w:cs="Arial"/>
          <w:sz w:val="24"/>
          <w:szCs w:val="24"/>
        </w:rPr>
        <w:footnoteReference w:id="17"/>
      </w:r>
    </w:p>
    <w:p w14:paraId="4101652C" w14:textId="77777777" w:rsidR="00F3409D" w:rsidRDefault="00F3409D" w:rsidP="00F3409D">
      <w:pPr>
        <w:spacing w:after="0" w:line="240" w:lineRule="auto"/>
        <w:ind w:right="720"/>
        <w:jc w:val="both"/>
        <w:rPr>
          <w:rFonts w:ascii="Arial" w:hAnsi="Arial" w:cs="Arial"/>
          <w:sz w:val="24"/>
          <w:szCs w:val="24"/>
        </w:rPr>
      </w:pPr>
    </w:p>
    <w:p w14:paraId="72612AD7" w14:textId="77777777" w:rsidR="00F3409D" w:rsidRDefault="00DB4812" w:rsidP="00DB4812">
      <w:pPr>
        <w:spacing w:after="0" w:line="480" w:lineRule="auto"/>
        <w:ind w:firstLine="720"/>
        <w:jc w:val="both"/>
        <w:rPr>
          <w:rFonts w:ascii="Arial" w:hAnsi="Arial" w:cs="Arial"/>
          <w:sz w:val="24"/>
          <w:szCs w:val="24"/>
        </w:rPr>
      </w:pPr>
      <w:r>
        <w:rPr>
          <w:rFonts w:ascii="Arial" w:hAnsi="Arial" w:cs="Arial"/>
          <w:sz w:val="24"/>
          <w:szCs w:val="24"/>
        </w:rPr>
        <w:t>In a</w:t>
      </w:r>
      <w:r w:rsidR="00F969BB">
        <w:rPr>
          <w:rFonts w:ascii="Arial" w:hAnsi="Arial" w:cs="Arial"/>
          <w:sz w:val="24"/>
          <w:szCs w:val="24"/>
        </w:rPr>
        <w:t>ddition to changing the scope of the</w:t>
      </w:r>
      <w:r>
        <w:rPr>
          <w:rFonts w:ascii="Arial" w:hAnsi="Arial" w:cs="Arial"/>
          <w:sz w:val="24"/>
          <w:szCs w:val="24"/>
        </w:rPr>
        <w:t xml:space="preserve"> evaluation</w:t>
      </w:r>
      <w:r w:rsidR="00F969BB">
        <w:rPr>
          <w:rFonts w:ascii="Arial" w:hAnsi="Arial" w:cs="Arial"/>
          <w:sz w:val="24"/>
          <w:szCs w:val="24"/>
        </w:rPr>
        <w:t xml:space="preserve"> contemplated by the Amended Stipulation</w:t>
      </w:r>
      <w:r>
        <w:rPr>
          <w:rFonts w:ascii="Arial" w:hAnsi="Arial" w:cs="Arial"/>
          <w:sz w:val="24"/>
          <w:szCs w:val="24"/>
        </w:rPr>
        <w:t xml:space="preserve">, the Staff Report delegated its evaluation  to </w:t>
      </w:r>
      <w:r w:rsidR="00F41CE9">
        <w:rPr>
          <w:rFonts w:ascii="Arial" w:hAnsi="Arial" w:cs="Arial"/>
          <w:sz w:val="24"/>
          <w:szCs w:val="24"/>
        </w:rPr>
        <w:t xml:space="preserve"> DP&amp;L, stating that “[t]he Company at this time </w:t>
      </w:r>
      <w:r w:rsidR="00F3409D">
        <w:rPr>
          <w:rFonts w:ascii="Arial" w:hAnsi="Arial" w:cs="Arial"/>
          <w:sz w:val="24"/>
          <w:szCs w:val="24"/>
        </w:rPr>
        <w:t>is unable to quantify different costs between shopping and non-shopping customers and expressed that it would be prohibitively expensive to track costs for the functions of administering the competitive retail market or providing a standard service offer.”</w:t>
      </w:r>
      <w:r w:rsidR="00F3409D">
        <w:rPr>
          <w:rStyle w:val="FootnoteReference"/>
          <w:rFonts w:ascii="Arial" w:hAnsi="Arial" w:cs="Arial"/>
          <w:sz w:val="24"/>
          <w:szCs w:val="24"/>
        </w:rPr>
        <w:footnoteReference w:id="18"/>
      </w:r>
      <w:r w:rsidR="00F3409D">
        <w:rPr>
          <w:rFonts w:ascii="Arial" w:hAnsi="Arial" w:cs="Arial"/>
          <w:sz w:val="24"/>
          <w:szCs w:val="24"/>
        </w:rPr>
        <w:t xml:space="preserve"> </w:t>
      </w:r>
      <w:r>
        <w:rPr>
          <w:rFonts w:ascii="Arial" w:hAnsi="Arial" w:cs="Arial"/>
          <w:sz w:val="24"/>
          <w:szCs w:val="24"/>
        </w:rPr>
        <w:t xml:space="preserve">Moreover, </w:t>
      </w:r>
      <w:r w:rsidR="00F3409D">
        <w:rPr>
          <w:rFonts w:ascii="Arial" w:hAnsi="Arial" w:cs="Arial"/>
          <w:sz w:val="24"/>
          <w:szCs w:val="24"/>
        </w:rPr>
        <w:t xml:space="preserve">despite </w:t>
      </w:r>
      <w:r w:rsidR="00F41CE9">
        <w:rPr>
          <w:rFonts w:ascii="Arial" w:hAnsi="Arial" w:cs="Arial"/>
          <w:sz w:val="24"/>
          <w:szCs w:val="24"/>
        </w:rPr>
        <w:t xml:space="preserve">DP&amp;L’s agreement </w:t>
      </w:r>
      <w:r w:rsidR="00F3409D">
        <w:rPr>
          <w:rFonts w:ascii="Arial" w:hAnsi="Arial" w:cs="Arial"/>
          <w:sz w:val="24"/>
          <w:szCs w:val="24"/>
        </w:rPr>
        <w:t>to refunctionalize costs to the SSO</w:t>
      </w:r>
      <w:r w:rsidR="00F41CE9">
        <w:rPr>
          <w:rFonts w:ascii="Arial" w:hAnsi="Arial" w:cs="Arial"/>
          <w:sz w:val="24"/>
          <w:szCs w:val="24"/>
        </w:rPr>
        <w:t xml:space="preserve"> in this case</w:t>
      </w:r>
      <w:r>
        <w:rPr>
          <w:rFonts w:ascii="Arial" w:hAnsi="Arial" w:cs="Arial"/>
          <w:sz w:val="24"/>
          <w:szCs w:val="24"/>
        </w:rPr>
        <w:t>, in an about-face, DP&amp;L</w:t>
      </w:r>
      <w:r w:rsidR="00F3409D">
        <w:rPr>
          <w:rFonts w:ascii="Arial" w:hAnsi="Arial" w:cs="Arial"/>
          <w:sz w:val="24"/>
          <w:szCs w:val="24"/>
        </w:rPr>
        <w:t xml:space="preserve"> claimed that all SSO-related costs (and costs related to administering the choice market) are “appropriately assigned to the </w:t>
      </w:r>
      <w:r w:rsidR="00F3409D" w:rsidRPr="00F3409D">
        <w:rPr>
          <w:rFonts w:ascii="Arial" w:hAnsi="Arial" w:cs="Arial"/>
          <w:sz w:val="24"/>
          <w:szCs w:val="24"/>
        </w:rPr>
        <w:t xml:space="preserve">distribution function of DP&amp;L because a distribution utility is required by </w:t>
      </w:r>
      <w:r w:rsidR="00F3409D">
        <w:rPr>
          <w:rFonts w:ascii="Arial" w:hAnsi="Arial" w:cs="Arial"/>
          <w:sz w:val="24"/>
          <w:szCs w:val="24"/>
        </w:rPr>
        <w:t xml:space="preserve">law to offer a standard service </w:t>
      </w:r>
      <w:r w:rsidR="00F3409D" w:rsidRPr="00F3409D">
        <w:rPr>
          <w:rFonts w:ascii="Arial" w:hAnsi="Arial" w:cs="Arial"/>
          <w:sz w:val="24"/>
          <w:szCs w:val="24"/>
        </w:rPr>
        <w:t>offer and has obligations with regard to administering aspects of the competitive market</w:t>
      </w:r>
      <w:r w:rsidR="00F3409D">
        <w:rPr>
          <w:rFonts w:ascii="Arial" w:hAnsi="Arial" w:cs="Arial"/>
          <w:sz w:val="24"/>
          <w:szCs w:val="24"/>
        </w:rPr>
        <w:t>.”</w:t>
      </w:r>
      <w:r w:rsidR="00F3409D">
        <w:rPr>
          <w:rStyle w:val="FootnoteReference"/>
          <w:rFonts w:ascii="Arial" w:hAnsi="Arial" w:cs="Arial"/>
          <w:sz w:val="24"/>
          <w:szCs w:val="24"/>
        </w:rPr>
        <w:footnoteReference w:id="19"/>
      </w:r>
    </w:p>
    <w:p w14:paraId="4EA539C4" w14:textId="77777777" w:rsidR="00F3409D" w:rsidRDefault="00F3409D" w:rsidP="00F3409D">
      <w:pPr>
        <w:spacing w:after="0" w:line="480" w:lineRule="auto"/>
        <w:jc w:val="both"/>
        <w:rPr>
          <w:rFonts w:ascii="Arial" w:hAnsi="Arial" w:cs="Arial"/>
          <w:sz w:val="24"/>
          <w:szCs w:val="24"/>
        </w:rPr>
      </w:pPr>
      <w:r>
        <w:rPr>
          <w:rFonts w:ascii="Arial" w:hAnsi="Arial" w:cs="Arial"/>
          <w:sz w:val="24"/>
          <w:szCs w:val="24"/>
        </w:rPr>
        <w:lastRenderedPageBreak/>
        <w:tab/>
      </w:r>
      <w:r w:rsidR="00F41CE9">
        <w:rPr>
          <w:rFonts w:ascii="Arial" w:hAnsi="Arial" w:cs="Arial"/>
          <w:sz w:val="24"/>
          <w:szCs w:val="24"/>
        </w:rPr>
        <w:t>T</w:t>
      </w:r>
      <w:r>
        <w:rPr>
          <w:rFonts w:ascii="Arial" w:hAnsi="Arial" w:cs="Arial"/>
          <w:sz w:val="24"/>
          <w:szCs w:val="24"/>
        </w:rPr>
        <w:t>he Staff Report</w:t>
      </w:r>
      <w:r w:rsidR="00F41CE9">
        <w:rPr>
          <w:rFonts w:ascii="Arial" w:hAnsi="Arial" w:cs="Arial"/>
          <w:sz w:val="24"/>
          <w:szCs w:val="24"/>
        </w:rPr>
        <w:t>, however,</w:t>
      </w:r>
      <w:r>
        <w:rPr>
          <w:rFonts w:ascii="Arial" w:hAnsi="Arial" w:cs="Arial"/>
          <w:sz w:val="24"/>
          <w:szCs w:val="24"/>
        </w:rPr>
        <w:t xml:space="preserve"> identified one cost proposed for recovery through distrib</w:t>
      </w:r>
      <w:r w:rsidR="00802C25">
        <w:rPr>
          <w:rFonts w:ascii="Arial" w:hAnsi="Arial" w:cs="Arial"/>
          <w:sz w:val="24"/>
          <w:szCs w:val="24"/>
        </w:rPr>
        <w:t>ution rates that was undeniably related to the SSO</w:t>
      </w:r>
      <w:r>
        <w:rPr>
          <w:rFonts w:ascii="Arial" w:hAnsi="Arial" w:cs="Arial"/>
          <w:sz w:val="24"/>
          <w:szCs w:val="24"/>
        </w:rPr>
        <w:t xml:space="preserve"> and therefore appropriate for refunctionalization to the SSO:  </w:t>
      </w:r>
    </w:p>
    <w:p w14:paraId="0182C859" w14:textId="77777777" w:rsidR="00A80671" w:rsidRDefault="00F3409D" w:rsidP="00910316">
      <w:pPr>
        <w:spacing w:after="0" w:line="240" w:lineRule="auto"/>
        <w:ind w:left="720" w:right="720"/>
        <w:jc w:val="both"/>
        <w:rPr>
          <w:rFonts w:ascii="Arial" w:hAnsi="Arial" w:cs="Arial"/>
          <w:sz w:val="24"/>
          <w:szCs w:val="24"/>
        </w:rPr>
      </w:pPr>
      <w:r>
        <w:rPr>
          <w:rFonts w:ascii="Arial" w:hAnsi="Arial" w:cs="Arial"/>
          <w:sz w:val="24"/>
          <w:szCs w:val="24"/>
        </w:rPr>
        <w:t xml:space="preserve">Nevertheless, </w:t>
      </w:r>
      <w:r w:rsidRPr="00F3409D">
        <w:rPr>
          <w:rFonts w:ascii="Arial" w:hAnsi="Arial" w:cs="Arial"/>
          <w:sz w:val="24"/>
          <w:szCs w:val="24"/>
        </w:rPr>
        <w:t>Staff has identified one potential area, the cost associate</w:t>
      </w:r>
      <w:r>
        <w:rPr>
          <w:rFonts w:ascii="Arial" w:hAnsi="Arial" w:cs="Arial"/>
          <w:sz w:val="24"/>
          <w:szCs w:val="24"/>
        </w:rPr>
        <w:t xml:space="preserve">d with Regulatory Expense (FERC </w:t>
      </w:r>
      <w:r w:rsidRPr="00F3409D">
        <w:rPr>
          <w:rFonts w:ascii="Arial" w:hAnsi="Arial" w:cs="Arial"/>
          <w:sz w:val="24"/>
          <w:szCs w:val="24"/>
        </w:rPr>
        <w:t>928), which contains the PUCO/OCC assessment expense. Staff recommends that the SSO generation</w:t>
      </w:r>
      <w:r>
        <w:rPr>
          <w:rFonts w:ascii="Arial" w:hAnsi="Arial" w:cs="Arial"/>
          <w:sz w:val="24"/>
          <w:szCs w:val="24"/>
        </w:rPr>
        <w:t xml:space="preserve"> </w:t>
      </w:r>
      <w:r w:rsidRPr="00F3409D">
        <w:rPr>
          <w:rFonts w:ascii="Arial" w:hAnsi="Arial" w:cs="Arial"/>
          <w:sz w:val="24"/>
          <w:szCs w:val="24"/>
        </w:rPr>
        <w:t>revenue percentage of the PUCO/OCC assessment expense be reco</w:t>
      </w:r>
      <w:r>
        <w:rPr>
          <w:rFonts w:ascii="Arial" w:hAnsi="Arial" w:cs="Arial"/>
          <w:sz w:val="24"/>
          <w:szCs w:val="24"/>
        </w:rPr>
        <w:t xml:space="preserve">vered through an appropriate </w:t>
      </w:r>
      <w:r w:rsidRPr="00F3409D">
        <w:rPr>
          <w:rFonts w:ascii="Arial" w:hAnsi="Arial" w:cs="Arial"/>
          <w:sz w:val="24"/>
          <w:szCs w:val="24"/>
        </w:rPr>
        <w:t>bypassable rider.</w:t>
      </w:r>
      <w:r>
        <w:rPr>
          <w:rStyle w:val="FootnoteReference"/>
          <w:rFonts w:ascii="Arial" w:hAnsi="Arial" w:cs="Arial"/>
          <w:sz w:val="24"/>
          <w:szCs w:val="24"/>
        </w:rPr>
        <w:footnoteReference w:id="20"/>
      </w:r>
    </w:p>
    <w:p w14:paraId="4B99056E" w14:textId="77777777" w:rsidR="000C673F" w:rsidRDefault="000C673F" w:rsidP="000C673F">
      <w:pPr>
        <w:spacing w:after="0" w:line="240" w:lineRule="auto"/>
        <w:ind w:right="720"/>
        <w:jc w:val="both"/>
        <w:rPr>
          <w:rFonts w:ascii="Arial" w:hAnsi="Arial" w:cs="Arial"/>
          <w:sz w:val="24"/>
          <w:szCs w:val="24"/>
        </w:rPr>
      </w:pPr>
    </w:p>
    <w:p w14:paraId="30833978" w14:textId="77777777" w:rsidR="000C673F" w:rsidRDefault="000C673F" w:rsidP="000C673F">
      <w:pPr>
        <w:spacing w:after="0" w:line="480" w:lineRule="auto"/>
        <w:jc w:val="both"/>
        <w:rPr>
          <w:rFonts w:ascii="Arial" w:hAnsi="Arial" w:cs="Arial"/>
          <w:sz w:val="24"/>
          <w:szCs w:val="24"/>
        </w:rPr>
      </w:pPr>
      <w:r>
        <w:rPr>
          <w:rFonts w:ascii="Arial" w:hAnsi="Arial" w:cs="Arial"/>
          <w:sz w:val="24"/>
          <w:szCs w:val="24"/>
        </w:rPr>
        <w:t>Adding insult to injury, the Staff Report made no recommendations regarding DP&amp;L’s proposed switching fees applicable to CRES providers and their customers with respect to switching ($5 per switch) and historical usage requests ($150 per request).</w:t>
      </w:r>
    </w:p>
    <w:p w14:paraId="1FD94C6C" w14:textId="7A8F4047" w:rsidR="000C673F" w:rsidRDefault="000C673F" w:rsidP="00F10C2E">
      <w:pPr>
        <w:spacing w:after="0" w:line="480" w:lineRule="auto"/>
        <w:ind w:firstLine="720"/>
        <w:jc w:val="both"/>
        <w:rPr>
          <w:rFonts w:ascii="Arial" w:hAnsi="Arial" w:cs="Arial"/>
          <w:sz w:val="24"/>
          <w:szCs w:val="24"/>
        </w:rPr>
      </w:pPr>
      <w:r>
        <w:rPr>
          <w:rFonts w:ascii="Arial" w:hAnsi="Arial" w:cs="Arial"/>
          <w:sz w:val="24"/>
          <w:szCs w:val="24"/>
        </w:rPr>
        <w:t>The Staff Report further recommended a reduction to the increase in the customer charges, as well as a reduction to the increase in demand charges.  But the Staff Report continued to accept DP&amp;L’s proposed methodology for calculating a customer’</w:t>
      </w:r>
      <w:r w:rsidR="007D45FD">
        <w:rPr>
          <w:rFonts w:ascii="Arial" w:hAnsi="Arial" w:cs="Arial"/>
          <w:sz w:val="24"/>
          <w:szCs w:val="24"/>
        </w:rPr>
        <w:t>s billing determinant</w:t>
      </w:r>
      <w:r w:rsidR="00AD593D">
        <w:rPr>
          <w:rFonts w:ascii="Arial" w:hAnsi="Arial" w:cs="Arial"/>
          <w:sz w:val="24"/>
          <w:szCs w:val="24"/>
        </w:rPr>
        <w:t>s</w:t>
      </w:r>
      <w:r w:rsidR="007D45FD">
        <w:rPr>
          <w:rFonts w:ascii="Arial" w:hAnsi="Arial" w:cs="Arial"/>
          <w:sz w:val="24"/>
          <w:szCs w:val="24"/>
        </w:rPr>
        <w:t>.  That methodology is based upon three separate calculations, but each calculation is focused on a customer’s non-coincident dem</w:t>
      </w:r>
      <w:r w:rsidR="00E6351B">
        <w:rPr>
          <w:rFonts w:ascii="Arial" w:hAnsi="Arial" w:cs="Arial"/>
          <w:sz w:val="24"/>
          <w:szCs w:val="24"/>
        </w:rPr>
        <w:t>and, rather than the customer’s demand when there is stress on the distribution circuit.  Therefore, th</w:t>
      </w:r>
      <w:r w:rsidR="007D45FD">
        <w:rPr>
          <w:rFonts w:ascii="Arial" w:hAnsi="Arial" w:cs="Arial"/>
          <w:sz w:val="24"/>
          <w:szCs w:val="24"/>
        </w:rPr>
        <w:t>e methodology is disconnected from principles of cost causation.</w:t>
      </w:r>
      <w:r>
        <w:rPr>
          <w:rFonts w:ascii="Arial" w:hAnsi="Arial" w:cs="Arial"/>
          <w:sz w:val="24"/>
          <w:szCs w:val="24"/>
        </w:rPr>
        <w:tab/>
      </w:r>
    </w:p>
    <w:p w14:paraId="4D974E92" w14:textId="77777777" w:rsidR="00FF1F22" w:rsidRDefault="000C673F" w:rsidP="000C673F">
      <w:pPr>
        <w:spacing w:after="0" w:line="480" w:lineRule="auto"/>
        <w:jc w:val="both"/>
        <w:rPr>
          <w:rFonts w:ascii="Arial" w:hAnsi="Arial" w:cs="Arial"/>
          <w:sz w:val="24"/>
          <w:szCs w:val="24"/>
        </w:rPr>
      </w:pPr>
      <w:r>
        <w:rPr>
          <w:rFonts w:ascii="Arial" w:hAnsi="Arial" w:cs="Arial"/>
          <w:sz w:val="24"/>
          <w:szCs w:val="24"/>
        </w:rPr>
        <w:tab/>
        <w:t>Finally, the Staff Report contained no recommendations regarding DP&amp;L’s collateral and credit requirements, even though such issues had been reserved for evaluation in this case under the Amended Stipulation.</w:t>
      </w:r>
    </w:p>
    <w:p w14:paraId="2E449067" w14:textId="77777777" w:rsidR="00F10C2E" w:rsidRDefault="00F10C2E" w:rsidP="000C673F">
      <w:pPr>
        <w:spacing w:after="0" w:line="480" w:lineRule="auto"/>
        <w:jc w:val="both"/>
        <w:rPr>
          <w:rFonts w:ascii="Arial" w:hAnsi="Arial" w:cs="Arial"/>
          <w:sz w:val="24"/>
          <w:szCs w:val="24"/>
        </w:rPr>
      </w:pPr>
      <w:r>
        <w:rPr>
          <w:rFonts w:ascii="Arial" w:hAnsi="Arial" w:cs="Arial"/>
          <w:sz w:val="24"/>
          <w:szCs w:val="24"/>
        </w:rPr>
        <w:tab/>
        <w:t>Based upon the clear and apparent infirmities in the application and the Staff Report, IGS and the Retail Energy Supply Association submitted detailed objections.</w:t>
      </w:r>
    </w:p>
    <w:p w14:paraId="665A496E" w14:textId="77777777" w:rsidR="00F10C2E" w:rsidRDefault="00F10C2E" w:rsidP="00F10C2E">
      <w:pPr>
        <w:spacing w:after="0" w:line="480" w:lineRule="auto"/>
        <w:ind w:firstLine="720"/>
        <w:jc w:val="both"/>
        <w:rPr>
          <w:rFonts w:ascii="Arial" w:hAnsi="Arial" w:cs="Arial"/>
          <w:sz w:val="24"/>
          <w:szCs w:val="24"/>
        </w:rPr>
      </w:pPr>
      <w:r>
        <w:rPr>
          <w:rFonts w:ascii="Arial" w:hAnsi="Arial" w:cs="Arial"/>
          <w:sz w:val="24"/>
          <w:szCs w:val="24"/>
        </w:rPr>
        <w:lastRenderedPageBreak/>
        <w:t>On June 18, 2018, certain intervenors entered into a Stipulation and Recommendation (“Stipulation”).  On the eve of trial, DP&amp;L and the City of Dayton entered into a Supplemental Stipulation.  Neither the Stipulation nor Supplemental Stipulation addressed any of the objections submitted by IGS or the Retail Energy Supply Assoc</w:t>
      </w:r>
      <w:r w:rsidR="00F31E77">
        <w:rPr>
          <w:rFonts w:ascii="Arial" w:hAnsi="Arial" w:cs="Arial"/>
          <w:sz w:val="24"/>
          <w:szCs w:val="24"/>
        </w:rPr>
        <w:t>iation.  Therefore, IGS will only address the Stipulation briefly</w:t>
      </w:r>
      <w:r w:rsidR="00802C25">
        <w:rPr>
          <w:rFonts w:ascii="Arial" w:hAnsi="Arial" w:cs="Arial"/>
          <w:sz w:val="24"/>
          <w:szCs w:val="24"/>
        </w:rPr>
        <w:t>.</w:t>
      </w:r>
    </w:p>
    <w:p w14:paraId="67112BA7" w14:textId="7F41D031" w:rsidR="00F31E77" w:rsidRDefault="00F31E77" w:rsidP="00F10C2E">
      <w:pPr>
        <w:spacing w:after="0" w:line="480" w:lineRule="auto"/>
        <w:ind w:firstLine="720"/>
        <w:jc w:val="both"/>
        <w:rPr>
          <w:rFonts w:ascii="Arial" w:hAnsi="Arial" w:cs="Arial"/>
          <w:sz w:val="24"/>
          <w:szCs w:val="24"/>
        </w:rPr>
      </w:pPr>
      <w:r>
        <w:rPr>
          <w:rFonts w:ascii="Arial" w:hAnsi="Arial" w:cs="Arial"/>
          <w:sz w:val="24"/>
          <w:szCs w:val="24"/>
        </w:rPr>
        <w:t>On June 26, 2018, DP&amp;L submitted the testimony of Sharon Schroder to support the Stipulation and Recommendation.  At the hearing, DP&amp;L submitted only the testimony of Ms. Schroder and witness Barry Bentley to support the reasonableness of the Stipulation.  Neither witness was presented by DP&amp;L to provide testimony to support the reasonableness of the costs that DP&amp;L proposed for recovery through distribution rates</w:t>
      </w:r>
      <w:r w:rsidR="00E6351B">
        <w:rPr>
          <w:rStyle w:val="FootnoteReference"/>
          <w:rFonts w:ascii="Arial" w:hAnsi="Arial" w:cs="Arial"/>
          <w:sz w:val="24"/>
          <w:szCs w:val="24"/>
        </w:rPr>
        <w:footnoteReference w:id="21"/>
      </w:r>
      <w:r w:rsidR="00E6351B">
        <w:rPr>
          <w:rFonts w:ascii="Arial" w:hAnsi="Arial" w:cs="Arial"/>
          <w:sz w:val="24"/>
          <w:szCs w:val="24"/>
        </w:rPr>
        <w:t xml:space="preserve"> or the cost of service study</w:t>
      </w:r>
      <w:r>
        <w:rPr>
          <w:rFonts w:ascii="Arial" w:hAnsi="Arial" w:cs="Arial"/>
          <w:sz w:val="24"/>
          <w:szCs w:val="24"/>
        </w:rPr>
        <w:t>.</w:t>
      </w:r>
      <w:r w:rsidR="00E6351B">
        <w:rPr>
          <w:rStyle w:val="FootnoteReference"/>
          <w:rFonts w:ascii="Arial" w:hAnsi="Arial" w:cs="Arial"/>
          <w:sz w:val="24"/>
          <w:szCs w:val="24"/>
        </w:rPr>
        <w:footnoteReference w:id="22"/>
      </w:r>
      <w:r>
        <w:rPr>
          <w:rFonts w:ascii="Arial" w:hAnsi="Arial" w:cs="Arial"/>
          <w:sz w:val="24"/>
          <w:szCs w:val="24"/>
        </w:rPr>
        <w:t xml:space="preserve">  Therefore, their direct testimony and the Stipulation provides little weight to resolve the issues raised in IGS and RESA’s objections.  </w:t>
      </w:r>
    </w:p>
    <w:p w14:paraId="4733A398" w14:textId="77777777" w:rsidR="00FF1F22" w:rsidRDefault="00FF1F22" w:rsidP="005848CF">
      <w:pPr>
        <w:spacing w:after="0" w:line="240" w:lineRule="auto"/>
        <w:ind w:left="720"/>
        <w:jc w:val="both"/>
        <w:rPr>
          <w:rFonts w:ascii="Arial" w:hAnsi="Arial" w:cs="Arial"/>
          <w:b/>
          <w:sz w:val="24"/>
          <w:szCs w:val="24"/>
        </w:rPr>
      </w:pPr>
      <w:r>
        <w:rPr>
          <w:rFonts w:ascii="Arial" w:hAnsi="Arial" w:cs="Arial"/>
          <w:b/>
          <w:sz w:val="24"/>
          <w:szCs w:val="24"/>
        </w:rPr>
        <w:t xml:space="preserve">E. </w:t>
      </w:r>
      <w:r w:rsidR="00802C25">
        <w:rPr>
          <w:rFonts w:ascii="Arial" w:hAnsi="Arial" w:cs="Arial"/>
          <w:b/>
          <w:sz w:val="24"/>
          <w:szCs w:val="24"/>
        </w:rPr>
        <w:t>T</w:t>
      </w:r>
      <w:r w:rsidR="005848CF">
        <w:rPr>
          <w:rFonts w:ascii="Arial" w:hAnsi="Arial" w:cs="Arial"/>
          <w:b/>
          <w:sz w:val="24"/>
          <w:szCs w:val="24"/>
        </w:rPr>
        <w:t>he Staff Report Erred and the Stipulation should be Modified</w:t>
      </w:r>
    </w:p>
    <w:p w14:paraId="1299C43A" w14:textId="77777777" w:rsidR="005848CF" w:rsidRDefault="005848CF" w:rsidP="005848CF">
      <w:pPr>
        <w:spacing w:after="0" w:line="240" w:lineRule="auto"/>
        <w:ind w:left="720"/>
        <w:jc w:val="both"/>
        <w:rPr>
          <w:rFonts w:ascii="Arial" w:hAnsi="Arial" w:cs="Arial"/>
          <w:b/>
          <w:sz w:val="24"/>
          <w:szCs w:val="24"/>
        </w:rPr>
      </w:pPr>
    </w:p>
    <w:p w14:paraId="5F99C84F" w14:textId="77777777" w:rsidR="005848CF" w:rsidRDefault="00F10C2E" w:rsidP="00F969BB">
      <w:pPr>
        <w:spacing w:after="0" w:line="480" w:lineRule="auto"/>
        <w:ind w:firstLine="720"/>
        <w:jc w:val="both"/>
        <w:rPr>
          <w:rFonts w:ascii="Arial" w:hAnsi="Arial" w:cs="Arial"/>
          <w:sz w:val="24"/>
          <w:szCs w:val="24"/>
        </w:rPr>
      </w:pPr>
      <w:r>
        <w:rPr>
          <w:rFonts w:ascii="Arial" w:hAnsi="Arial" w:cs="Arial"/>
          <w:sz w:val="24"/>
          <w:szCs w:val="24"/>
        </w:rPr>
        <w:t xml:space="preserve">As noted above, </w:t>
      </w:r>
      <w:r w:rsidR="00F969BB">
        <w:rPr>
          <w:rFonts w:ascii="Arial" w:hAnsi="Arial" w:cs="Arial"/>
          <w:sz w:val="24"/>
          <w:szCs w:val="24"/>
        </w:rPr>
        <w:t xml:space="preserve">IGS </w:t>
      </w:r>
      <w:r>
        <w:rPr>
          <w:rFonts w:ascii="Arial" w:hAnsi="Arial" w:cs="Arial"/>
          <w:sz w:val="24"/>
          <w:szCs w:val="24"/>
        </w:rPr>
        <w:t xml:space="preserve">and RESA </w:t>
      </w:r>
      <w:r w:rsidR="00F969BB">
        <w:rPr>
          <w:rFonts w:ascii="Arial" w:hAnsi="Arial" w:cs="Arial"/>
          <w:sz w:val="24"/>
          <w:szCs w:val="24"/>
        </w:rPr>
        <w:t>submitted several objections</w:t>
      </w:r>
      <w:r>
        <w:rPr>
          <w:rFonts w:ascii="Arial" w:hAnsi="Arial" w:cs="Arial"/>
          <w:sz w:val="24"/>
          <w:szCs w:val="24"/>
        </w:rPr>
        <w:t>, which were not resolved or addressed by the Stipulation</w:t>
      </w:r>
      <w:r w:rsidR="00F969BB">
        <w:rPr>
          <w:rFonts w:ascii="Arial" w:hAnsi="Arial" w:cs="Arial"/>
          <w:sz w:val="24"/>
          <w:szCs w:val="24"/>
        </w:rPr>
        <w:t xml:space="preserve">. </w:t>
      </w:r>
    </w:p>
    <w:p w14:paraId="527CF8FC" w14:textId="77777777" w:rsidR="005848CF" w:rsidRPr="00A928E4" w:rsidRDefault="005848CF" w:rsidP="005848CF">
      <w:pPr>
        <w:pStyle w:val="ListParagraph"/>
        <w:numPr>
          <w:ilvl w:val="0"/>
          <w:numId w:val="3"/>
        </w:numPr>
        <w:spacing w:after="0" w:line="480" w:lineRule="auto"/>
        <w:jc w:val="both"/>
        <w:rPr>
          <w:rFonts w:ascii="Arial" w:hAnsi="Arial" w:cs="Arial"/>
          <w:b/>
          <w:sz w:val="24"/>
          <w:szCs w:val="24"/>
        </w:rPr>
      </w:pPr>
      <w:r w:rsidRPr="00A928E4">
        <w:rPr>
          <w:rFonts w:ascii="Arial" w:hAnsi="Arial" w:cs="Arial"/>
          <w:b/>
          <w:sz w:val="24"/>
          <w:szCs w:val="24"/>
        </w:rPr>
        <w:t>Unbundling</w:t>
      </w:r>
    </w:p>
    <w:p w14:paraId="6F24402F" w14:textId="50D1D880" w:rsidR="00F969BB" w:rsidRDefault="00F969BB" w:rsidP="00F969BB">
      <w:pPr>
        <w:spacing w:after="0" w:line="480" w:lineRule="auto"/>
        <w:ind w:firstLine="720"/>
        <w:jc w:val="both"/>
        <w:rPr>
          <w:rFonts w:ascii="Arial" w:hAnsi="Arial" w:cs="Arial"/>
          <w:sz w:val="24"/>
          <w:szCs w:val="24"/>
        </w:rPr>
      </w:pPr>
      <w:r>
        <w:rPr>
          <w:rFonts w:ascii="Arial" w:hAnsi="Arial" w:cs="Arial"/>
          <w:sz w:val="24"/>
          <w:szCs w:val="24"/>
        </w:rPr>
        <w:t xml:space="preserve"> First,</w:t>
      </w:r>
      <w:r w:rsidR="000C673F">
        <w:rPr>
          <w:rFonts w:ascii="Arial" w:hAnsi="Arial" w:cs="Arial"/>
          <w:sz w:val="24"/>
          <w:szCs w:val="24"/>
        </w:rPr>
        <w:t xml:space="preserve"> </w:t>
      </w:r>
      <w:r>
        <w:rPr>
          <w:rFonts w:ascii="Arial" w:hAnsi="Arial" w:cs="Arial"/>
          <w:sz w:val="24"/>
          <w:szCs w:val="24"/>
        </w:rPr>
        <w:t xml:space="preserve">IGS objected to </w:t>
      </w:r>
      <w:r w:rsidR="000C673F">
        <w:rPr>
          <w:rFonts w:ascii="Arial" w:hAnsi="Arial" w:cs="Arial"/>
          <w:sz w:val="24"/>
          <w:szCs w:val="24"/>
        </w:rPr>
        <w:t>the Staff Report’s</w:t>
      </w:r>
      <w:r w:rsidR="00A80671">
        <w:rPr>
          <w:rFonts w:ascii="Arial" w:hAnsi="Arial" w:cs="Arial"/>
          <w:sz w:val="24"/>
          <w:szCs w:val="24"/>
        </w:rPr>
        <w:t xml:space="preserve"> incomplete, and con</w:t>
      </w:r>
      <w:r w:rsidR="00910316">
        <w:rPr>
          <w:rFonts w:ascii="Arial" w:hAnsi="Arial" w:cs="Arial"/>
          <w:sz w:val="24"/>
          <w:szCs w:val="24"/>
        </w:rPr>
        <w:t>clusory analysis</w:t>
      </w:r>
      <w:r w:rsidR="000C673F">
        <w:rPr>
          <w:rFonts w:ascii="Arial" w:hAnsi="Arial" w:cs="Arial"/>
          <w:sz w:val="24"/>
          <w:szCs w:val="24"/>
        </w:rPr>
        <w:t xml:space="preserve"> of SSO-related costs proposed for recovery through distribution rates.  </w:t>
      </w:r>
      <w:r>
        <w:rPr>
          <w:rFonts w:ascii="Arial" w:hAnsi="Arial" w:cs="Arial"/>
          <w:sz w:val="24"/>
          <w:szCs w:val="24"/>
        </w:rPr>
        <w:t>While IGS appreciated</w:t>
      </w:r>
      <w:r w:rsidRPr="00A80671">
        <w:rPr>
          <w:rFonts w:ascii="Arial" w:hAnsi="Arial" w:cs="Arial"/>
          <w:sz w:val="24"/>
          <w:szCs w:val="24"/>
        </w:rPr>
        <w:t xml:space="preserve"> the Staff Report’s identifi</w:t>
      </w:r>
      <w:r>
        <w:rPr>
          <w:rFonts w:ascii="Arial" w:hAnsi="Arial" w:cs="Arial"/>
          <w:sz w:val="24"/>
          <w:szCs w:val="24"/>
        </w:rPr>
        <w:t xml:space="preserve">cation of </w:t>
      </w:r>
      <w:r w:rsidR="008000E7">
        <w:rPr>
          <w:rFonts w:ascii="Arial" w:hAnsi="Arial" w:cs="Arial"/>
          <w:i/>
          <w:sz w:val="24"/>
          <w:szCs w:val="24"/>
        </w:rPr>
        <w:t>a minimal amount of</w:t>
      </w:r>
      <w:r w:rsidR="008000E7" w:rsidRPr="00A80671">
        <w:rPr>
          <w:rFonts w:ascii="Arial" w:hAnsi="Arial" w:cs="Arial"/>
          <w:i/>
          <w:sz w:val="24"/>
          <w:szCs w:val="24"/>
        </w:rPr>
        <w:t xml:space="preserve"> </w:t>
      </w:r>
      <w:r w:rsidRPr="00A80671">
        <w:rPr>
          <w:rFonts w:ascii="Arial" w:hAnsi="Arial" w:cs="Arial"/>
          <w:i/>
          <w:sz w:val="24"/>
          <w:szCs w:val="24"/>
        </w:rPr>
        <w:t>costs</w:t>
      </w:r>
      <w:r>
        <w:rPr>
          <w:rFonts w:ascii="Arial" w:hAnsi="Arial" w:cs="Arial"/>
          <w:sz w:val="24"/>
          <w:szCs w:val="24"/>
        </w:rPr>
        <w:t xml:space="preserve"> associated </w:t>
      </w:r>
      <w:r w:rsidRPr="00A80671">
        <w:rPr>
          <w:rFonts w:ascii="Arial" w:hAnsi="Arial" w:cs="Arial"/>
          <w:sz w:val="24"/>
          <w:szCs w:val="24"/>
        </w:rPr>
        <w:t xml:space="preserve">with default service proposed for recovery in distribution </w:t>
      </w:r>
      <w:r>
        <w:rPr>
          <w:rFonts w:ascii="Arial" w:hAnsi="Arial" w:cs="Arial"/>
          <w:sz w:val="24"/>
          <w:szCs w:val="24"/>
        </w:rPr>
        <w:t xml:space="preserve">rates, IGS objected to the Staff </w:t>
      </w:r>
      <w:r w:rsidRPr="00A80671">
        <w:rPr>
          <w:rFonts w:ascii="Arial" w:hAnsi="Arial" w:cs="Arial"/>
          <w:sz w:val="24"/>
          <w:szCs w:val="24"/>
        </w:rPr>
        <w:lastRenderedPageBreak/>
        <w:t>Report’s process for evaluation as well as the amount of</w:t>
      </w:r>
      <w:r>
        <w:rPr>
          <w:rFonts w:ascii="Arial" w:hAnsi="Arial" w:cs="Arial"/>
          <w:sz w:val="24"/>
          <w:szCs w:val="24"/>
        </w:rPr>
        <w:t xml:space="preserve"> costs identified.  Specifically, IGS objected</w:t>
      </w:r>
      <w:r w:rsidRPr="00A80671">
        <w:rPr>
          <w:rFonts w:ascii="Arial" w:hAnsi="Arial" w:cs="Arial"/>
          <w:sz w:val="24"/>
          <w:szCs w:val="24"/>
        </w:rPr>
        <w:t xml:space="preserve"> to the Staff Report’s failure to i</w:t>
      </w:r>
      <w:r>
        <w:rPr>
          <w:rFonts w:ascii="Arial" w:hAnsi="Arial" w:cs="Arial"/>
          <w:sz w:val="24"/>
          <w:szCs w:val="24"/>
        </w:rPr>
        <w:t xml:space="preserve">dentify and recommend that DP&amp;L allocate to the SSO all costs contained in </w:t>
      </w:r>
      <w:r w:rsidRPr="00A80671">
        <w:rPr>
          <w:rFonts w:ascii="Arial" w:hAnsi="Arial" w:cs="Arial"/>
          <w:sz w:val="24"/>
          <w:szCs w:val="24"/>
        </w:rPr>
        <w:t>distribution rates that may be nec</w:t>
      </w:r>
      <w:r>
        <w:rPr>
          <w:rFonts w:ascii="Arial" w:hAnsi="Arial" w:cs="Arial"/>
          <w:sz w:val="24"/>
          <w:szCs w:val="24"/>
        </w:rPr>
        <w:t>essary to provide that service.</w:t>
      </w:r>
      <w:r w:rsidR="00F370D8">
        <w:rPr>
          <w:rStyle w:val="FootnoteReference"/>
          <w:rFonts w:ascii="Arial" w:hAnsi="Arial" w:cs="Arial"/>
          <w:sz w:val="24"/>
          <w:szCs w:val="24"/>
        </w:rPr>
        <w:footnoteReference w:id="23"/>
      </w:r>
      <w:r>
        <w:rPr>
          <w:rFonts w:ascii="Arial" w:hAnsi="Arial" w:cs="Arial"/>
          <w:sz w:val="24"/>
          <w:szCs w:val="24"/>
        </w:rPr>
        <w:t xml:space="preserve">  IGS further objected to </w:t>
      </w:r>
      <w:r w:rsidRPr="00A80671">
        <w:rPr>
          <w:rFonts w:ascii="Arial" w:hAnsi="Arial" w:cs="Arial"/>
          <w:sz w:val="24"/>
          <w:szCs w:val="24"/>
        </w:rPr>
        <w:t>the Staff Report’s recommendation to unbundle distri</w:t>
      </w:r>
      <w:r>
        <w:rPr>
          <w:rFonts w:ascii="Arial" w:hAnsi="Arial" w:cs="Arial"/>
          <w:sz w:val="24"/>
          <w:szCs w:val="24"/>
        </w:rPr>
        <w:t xml:space="preserve">bution rates using a short-term </w:t>
      </w:r>
      <w:r w:rsidRPr="00A80671">
        <w:rPr>
          <w:rFonts w:ascii="Arial" w:hAnsi="Arial" w:cs="Arial"/>
          <w:sz w:val="24"/>
          <w:szCs w:val="24"/>
        </w:rPr>
        <w:t xml:space="preserve">avoided cost </w:t>
      </w:r>
      <w:r>
        <w:rPr>
          <w:rFonts w:ascii="Arial" w:hAnsi="Arial" w:cs="Arial"/>
          <w:sz w:val="24"/>
          <w:szCs w:val="24"/>
        </w:rPr>
        <w:t>analysis.</w:t>
      </w:r>
      <w:r w:rsidR="00F370D8">
        <w:rPr>
          <w:rStyle w:val="FootnoteReference"/>
          <w:rFonts w:ascii="Arial" w:hAnsi="Arial" w:cs="Arial"/>
          <w:sz w:val="24"/>
          <w:szCs w:val="24"/>
        </w:rPr>
        <w:footnoteReference w:id="24"/>
      </w:r>
      <w:r>
        <w:rPr>
          <w:rFonts w:ascii="Arial" w:hAnsi="Arial" w:cs="Arial"/>
          <w:sz w:val="24"/>
          <w:szCs w:val="24"/>
        </w:rPr>
        <w:t xml:space="preserve"> </w:t>
      </w:r>
      <w:r w:rsidRPr="001A0A2B">
        <w:rPr>
          <w:rFonts w:ascii="Arial" w:hAnsi="Arial" w:cs="Arial"/>
          <w:sz w:val="24"/>
          <w:szCs w:val="24"/>
        </w:rPr>
        <w:t xml:space="preserve">IGS </w:t>
      </w:r>
      <w:r>
        <w:rPr>
          <w:rFonts w:ascii="Arial" w:hAnsi="Arial" w:cs="Arial"/>
          <w:sz w:val="24"/>
          <w:szCs w:val="24"/>
        </w:rPr>
        <w:t>further objected</w:t>
      </w:r>
      <w:r w:rsidRPr="001A0A2B">
        <w:rPr>
          <w:rFonts w:ascii="Arial" w:hAnsi="Arial" w:cs="Arial"/>
          <w:sz w:val="24"/>
          <w:szCs w:val="24"/>
        </w:rPr>
        <w:t xml:space="preserve"> to the Staff Report’s acceptance of DP</w:t>
      </w:r>
      <w:r>
        <w:rPr>
          <w:rFonts w:ascii="Arial" w:hAnsi="Arial" w:cs="Arial"/>
          <w:sz w:val="24"/>
          <w:szCs w:val="24"/>
        </w:rPr>
        <w:t xml:space="preserve">&amp;L’s cost of service study and the failure </w:t>
      </w:r>
      <w:r w:rsidRPr="001A0A2B">
        <w:rPr>
          <w:rFonts w:ascii="Arial" w:hAnsi="Arial" w:cs="Arial"/>
          <w:sz w:val="24"/>
          <w:szCs w:val="24"/>
        </w:rPr>
        <w:t>to properly functionalize, classify, or all</w:t>
      </w:r>
      <w:r>
        <w:rPr>
          <w:rFonts w:ascii="Arial" w:hAnsi="Arial" w:cs="Arial"/>
          <w:sz w:val="24"/>
          <w:szCs w:val="24"/>
        </w:rPr>
        <w:t xml:space="preserve">ocate costs associated with the </w:t>
      </w:r>
      <w:r w:rsidRPr="001A0A2B">
        <w:rPr>
          <w:rFonts w:ascii="Arial" w:hAnsi="Arial" w:cs="Arial"/>
          <w:sz w:val="24"/>
          <w:szCs w:val="24"/>
        </w:rPr>
        <w:t>provision of the SSO</w:t>
      </w:r>
      <w:r>
        <w:rPr>
          <w:rFonts w:ascii="Arial" w:hAnsi="Arial" w:cs="Arial"/>
          <w:sz w:val="24"/>
          <w:szCs w:val="24"/>
        </w:rPr>
        <w:t xml:space="preserve"> to that service rather than distribution rates.</w:t>
      </w:r>
      <w:r w:rsidR="00F370D8">
        <w:rPr>
          <w:rStyle w:val="FootnoteReference"/>
          <w:rFonts w:ascii="Arial" w:hAnsi="Arial" w:cs="Arial"/>
          <w:sz w:val="24"/>
          <w:szCs w:val="24"/>
        </w:rPr>
        <w:footnoteReference w:id="25"/>
      </w:r>
      <w:r>
        <w:rPr>
          <w:rFonts w:ascii="Arial" w:hAnsi="Arial" w:cs="Arial"/>
          <w:sz w:val="24"/>
          <w:szCs w:val="24"/>
        </w:rPr>
        <w:t xml:space="preserve">  </w:t>
      </w:r>
    </w:p>
    <w:p w14:paraId="5E84575B" w14:textId="56C274E5" w:rsidR="00802C25" w:rsidRPr="00802C25" w:rsidRDefault="00D612FB" w:rsidP="00802C25">
      <w:pPr>
        <w:spacing w:after="0" w:line="480" w:lineRule="auto"/>
        <w:ind w:firstLine="720"/>
        <w:jc w:val="both"/>
        <w:rPr>
          <w:rFonts w:ascii="Arial" w:hAnsi="Arial" w:cs="Arial"/>
          <w:sz w:val="24"/>
          <w:szCs w:val="24"/>
        </w:rPr>
      </w:pPr>
      <w:r>
        <w:rPr>
          <w:rFonts w:ascii="Arial" w:hAnsi="Arial" w:cs="Arial"/>
          <w:sz w:val="24"/>
          <w:szCs w:val="24"/>
        </w:rPr>
        <w:t xml:space="preserve">Moreover, IGS noted that DP&amp;L’s </w:t>
      </w:r>
      <w:r w:rsidRPr="00A80671">
        <w:rPr>
          <w:rFonts w:ascii="Arial" w:hAnsi="Arial" w:cs="Arial"/>
          <w:sz w:val="24"/>
          <w:szCs w:val="24"/>
        </w:rPr>
        <w:t>difficulty</w:t>
      </w:r>
      <w:r>
        <w:rPr>
          <w:rFonts w:ascii="Arial" w:hAnsi="Arial" w:cs="Arial"/>
          <w:sz w:val="24"/>
          <w:szCs w:val="24"/>
        </w:rPr>
        <w:t xml:space="preserve"> to</w:t>
      </w:r>
      <w:r w:rsidRPr="00A80671">
        <w:rPr>
          <w:rFonts w:ascii="Arial" w:hAnsi="Arial" w:cs="Arial"/>
          <w:sz w:val="24"/>
          <w:szCs w:val="24"/>
        </w:rPr>
        <w:t xml:space="preserve"> identifying costs in distribution rates necessar</w:t>
      </w:r>
      <w:r>
        <w:rPr>
          <w:rFonts w:ascii="Arial" w:hAnsi="Arial" w:cs="Arial"/>
          <w:sz w:val="24"/>
          <w:szCs w:val="24"/>
        </w:rPr>
        <w:t xml:space="preserve">y to support default service is </w:t>
      </w:r>
      <w:r w:rsidRPr="00A80671">
        <w:rPr>
          <w:rFonts w:ascii="Arial" w:hAnsi="Arial" w:cs="Arial"/>
          <w:sz w:val="24"/>
          <w:szCs w:val="24"/>
        </w:rPr>
        <w:t>irrelevant.</w:t>
      </w:r>
      <w:r w:rsidR="00F370D8">
        <w:rPr>
          <w:rStyle w:val="FootnoteReference"/>
          <w:rFonts w:ascii="Arial" w:hAnsi="Arial" w:cs="Arial"/>
          <w:sz w:val="24"/>
          <w:szCs w:val="24"/>
        </w:rPr>
        <w:footnoteReference w:id="26"/>
      </w:r>
      <w:r w:rsidRPr="00A80671">
        <w:rPr>
          <w:rFonts w:ascii="Arial" w:hAnsi="Arial" w:cs="Arial"/>
          <w:sz w:val="24"/>
          <w:szCs w:val="24"/>
        </w:rPr>
        <w:t xml:space="preserve"> The purpose of a Staff Report is to p</w:t>
      </w:r>
      <w:r>
        <w:rPr>
          <w:rFonts w:ascii="Arial" w:hAnsi="Arial" w:cs="Arial"/>
          <w:sz w:val="24"/>
          <w:szCs w:val="24"/>
        </w:rPr>
        <w:t xml:space="preserve">erform an </w:t>
      </w:r>
      <w:r w:rsidRPr="00910316">
        <w:rPr>
          <w:rFonts w:ascii="Arial" w:hAnsi="Arial" w:cs="Arial"/>
          <w:i/>
          <w:sz w:val="24"/>
          <w:szCs w:val="24"/>
        </w:rPr>
        <w:t xml:space="preserve">independent investigation of the utility’s proposal </w:t>
      </w:r>
      <w:r w:rsidRPr="00A80671">
        <w:rPr>
          <w:rFonts w:ascii="Arial" w:hAnsi="Arial" w:cs="Arial"/>
          <w:sz w:val="24"/>
          <w:szCs w:val="24"/>
        </w:rPr>
        <w:t>to increase its rates—it is not intended to</w:t>
      </w:r>
      <w:r>
        <w:rPr>
          <w:rFonts w:ascii="Arial" w:hAnsi="Arial" w:cs="Arial"/>
          <w:sz w:val="24"/>
          <w:szCs w:val="24"/>
        </w:rPr>
        <w:t xml:space="preserve"> rely on the exclusive analysis </w:t>
      </w:r>
      <w:r w:rsidRPr="00A80671">
        <w:rPr>
          <w:rFonts w:ascii="Arial" w:hAnsi="Arial" w:cs="Arial"/>
          <w:sz w:val="24"/>
          <w:szCs w:val="24"/>
        </w:rPr>
        <w:t xml:space="preserve">of the utility. If that were </w:t>
      </w:r>
      <w:r>
        <w:rPr>
          <w:rFonts w:ascii="Arial" w:hAnsi="Arial" w:cs="Arial"/>
          <w:sz w:val="24"/>
          <w:szCs w:val="24"/>
        </w:rPr>
        <w:t xml:space="preserve">the case, there would be </w:t>
      </w:r>
      <w:r w:rsidRPr="00A80671">
        <w:rPr>
          <w:rFonts w:ascii="Arial" w:hAnsi="Arial" w:cs="Arial"/>
          <w:sz w:val="24"/>
          <w:szCs w:val="24"/>
        </w:rPr>
        <w:t xml:space="preserve">no </w:t>
      </w:r>
      <w:r>
        <w:rPr>
          <w:rFonts w:ascii="Arial" w:hAnsi="Arial" w:cs="Arial"/>
          <w:sz w:val="24"/>
          <w:szCs w:val="24"/>
        </w:rPr>
        <w:t xml:space="preserve">statutory obligation or benefit </w:t>
      </w:r>
      <w:r w:rsidRPr="00A80671">
        <w:rPr>
          <w:rFonts w:ascii="Arial" w:hAnsi="Arial" w:cs="Arial"/>
          <w:sz w:val="24"/>
          <w:szCs w:val="24"/>
        </w:rPr>
        <w:t>of a staff report.</w:t>
      </w:r>
      <w:r>
        <w:rPr>
          <w:rFonts w:ascii="Arial" w:hAnsi="Arial" w:cs="Arial"/>
          <w:sz w:val="24"/>
          <w:szCs w:val="24"/>
        </w:rPr>
        <w:t xml:space="preserve">  The utility would simply be allowed to put its desired rates into place.</w:t>
      </w:r>
      <w:r w:rsidRPr="00A80671">
        <w:rPr>
          <w:rFonts w:ascii="Arial" w:hAnsi="Arial" w:cs="Arial"/>
          <w:sz w:val="24"/>
          <w:szCs w:val="24"/>
        </w:rPr>
        <w:t xml:space="preserve"> </w:t>
      </w:r>
      <w:r>
        <w:rPr>
          <w:rFonts w:ascii="Arial" w:hAnsi="Arial" w:cs="Arial"/>
          <w:sz w:val="24"/>
          <w:szCs w:val="24"/>
        </w:rPr>
        <w:t>Moreover, the Staff’s failure to conduct a analysis of its own is not convincing, given that in other areas of the Staff Report, the Staff sought and obtained the assistance of an independent auditor when its own analysis fell short.</w:t>
      </w:r>
      <w:r>
        <w:rPr>
          <w:rStyle w:val="FootnoteReference"/>
          <w:rFonts w:ascii="Arial" w:hAnsi="Arial" w:cs="Arial"/>
          <w:sz w:val="24"/>
          <w:szCs w:val="24"/>
        </w:rPr>
        <w:footnoteReference w:id="27"/>
      </w:r>
      <w:r>
        <w:rPr>
          <w:rFonts w:ascii="Arial" w:hAnsi="Arial" w:cs="Arial"/>
          <w:sz w:val="24"/>
          <w:szCs w:val="24"/>
        </w:rPr>
        <w:t xml:space="preserve"> </w:t>
      </w:r>
      <w:r w:rsidRPr="00A80671">
        <w:rPr>
          <w:rFonts w:ascii="Arial" w:hAnsi="Arial" w:cs="Arial"/>
          <w:sz w:val="24"/>
          <w:szCs w:val="24"/>
        </w:rPr>
        <w:t>Accordingly, the Staff Report should ha</w:t>
      </w:r>
      <w:r>
        <w:rPr>
          <w:rFonts w:ascii="Arial" w:hAnsi="Arial" w:cs="Arial"/>
          <w:sz w:val="24"/>
          <w:szCs w:val="24"/>
        </w:rPr>
        <w:t xml:space="preserve">ve independently evaluated each </w:t>
      </w:r>
      <w:r w:rsidRPr="00A80671">
        <w:rPr>
          <w:rFonts w:ascii="Arial" w:hAnsi="Arial" w:cs="Arial"/>
          <w:sz w:val="24"/>
          <w:szCs w:val="24"/>
        </w:rPr>
        <w:t>category of costs and derived a methodology to identif</w:t>
      </w:r>
      <w:r>
        <w:rPr>
          <w:rFonts w:ascii="Arial" w:hAnsi="Arial" w:cs="Arial"/>
          <w:sz w:val="24"/>
          <w:szCs w:val="24"/>
        </w:rPr>
        <w:t xml:space="preserve">y and allocate costs associated </w:t>
      </w:r>
      <w:r w:rsidRPr="00A80671">
        <w:rPr>
          <w:rFonts w:ascii="Arial" w:hAnsi="Arial" w:cs="Arial"/>
          <w:sz w:val="24"/>
          <w:szCs w:val="24"/>
        </w:rPr>
        <w:t>with default service to that service.</w:t>
      </w:r>
    </w:p>
    <w:p w14:paraId="3D81031F" w14:textId="77777777" w:rsidR="005848CF" w:rsidRDefault="005848CF" w:rsidP="00D612FB">
      <w:pPr>
        <w:spacing w:after="0" w:line="480" w:lineRule="auto"/>
        <w:ind w:firstLine="720"/>
        <w:jc w:val="both"/>
        <w:rPr>
          <w:rFonts w:ascii="Arial" w:hAnsi="Arial" w:cs="Arial"/>
          <w:sz w:val="24"/>
          <w:szCs w:val="24"/>
        </w:rPr>
      </w:pPr>
      <w:r>
        <w:rPr>
          <w:rFonts w:ascii="Arial" w:hAnsi="Arial" w:cs="Arial"/>
          <w:sz w:val="24"/>
          <w:szCs w:val="24"/>
        </w:rPr>
        <w:lastRenderedPageBreak/>
        <w:t xml:space="preserve">IGS and RESA submitted the testimony of J. Edward Hess in support of its objection </w:t>
      </w:r>
      <w:r w:rsidRPr="00CB6143">
        <w:rPr>
          <w:rFonts w:ascii="Arial" w:hAnsi="Arial" w:cs="Arial"/>
          <w:sz w:val="24"/>
          <w:szCs w:val="24"/>
        </w:rPr>
        <w:t xml:space="preserve">to the Staff’s flawed evaluation of SSO-related costs proposed for recovery in distribution </w:t>
      </w:r>
      <w:r w:rsidR="00CB6143" w:rsidRPr="00CB6143">
        <w:rPr>
          <w:rFonts w:ascii="Arial" w:hAnsi="Arial" w:cs="Arial"/>
          <w:sz w:val="24"/>
          <w:szCs w:val="24"/>
        </w:rPr>
        <w:t>rates.  Mr. Hess is an esteemed former member of the Commission Staff, holding the role of Chief of the Accounting and Electricity Division of the Utilities Department</w:t>
      </w:r>
      <w:r w:rsidR="00CB6143">
        <w:rPr>
          <w:rFonts w:ascii="Arial" w:hAnsi="Arial" w:cs="Arial"/>
          <w:sz w:val="24"/>
          <w:szCs w:val="24"/>
        </w:rPr>
        <w:t>.  Mr. Hess</w:t>
      </w:r>
      <w:r w:rsidR="00CB6143" w:rsidRPr="00CB6143">
        <w:rPr>
          <w:rFonts w:ascii="Arial" w:hAnsi="Arial" w:cs="Arial"/>
          <w:sz w:val="24"/>
          <w:szCs w:val="24"/>
        </w:rPr>
        <w:t xml:space="preserve"> was intimately involved</w:t>
      </w:r>
      <w:r w:rsidR="00CB6143">
        <w:rPr>
          <w:rFonts w:ascii="Arial" w:hAnsi="Arial" w:cs="Arial"/>
          <w:sz w:val="24"/>
          <w:szCs w:val="24"/>
        </w:rPr>
        <w:t xml:space="preserve"> in both the passage of restructuring legislation and the implementation of SB 3 in its final form.  Indeed, Mr. Hess was responsible for managing the Staff’s herculean effort of simultaneously implementing transition plans for eight electric distribution utilities on an expedited.  Given Mr. Hess’ prior </w:t>
      </w:r>
      <w:r w:rsidR="00AE50ED">
        <w:rPr>
          <w:rFonts w:ascii="Arial" w:hAnsi="Arial" w:cs="Arial"/>
          <w:sz w:val="24"/>
          <w:szCs w:val="24"/>
        </w:rPr>
        <w:t>experience, his testimony supports IGS objection within the appropriate historical context, factual analysis, and policy.</w:t>
      </w:r>
    </w:p>
    <w:p w14:paraId="305F15C7" w14:textId="30DA35DE" w:rsidR="00FA18AE" w:rsidRPr="00FA18AE" w:rsidRDefault="00755F2F" w:rsidP="00755F2F">
      <w:pPr>
        <w:spacing w:after="0" w:line="480" w:lineRule="auto"/>
        <w:ind w:firstLine="720"/>
        <w:jc w:val="both"/>
        <w:rPr>
          <w:rFonts w:ascii="Arial" w:hAnsi="Arial" w:cs="Arial"/>
          <w:i/>
          <w:sz w:val="24"/>
          <w:szCs w:val="24"/>
        </w:rPr>
      </w:pPr>
      <w:r>
        <w:rPr>
          <w:rFonts w:ascii="Arial" w:hAnsi="Arial" w:cs="Arial"/>
          <w:sz w:val="24"/>
          <w:szCs w:val="24"/>
        </w:rPr>
        <w:t xml:space="preserve">Mr. Hess recommended that DP&amp;L </w:t>
      </w:r>
      <w:r w:rsidRPr="00AE50ED">
        <w:rPr>
          <w:rFonts w:ascii="Arial" w:hAnsi="Arial" w:cs="Arial"/>
          <w:sz w:val="24"/>
          <w:szCs w:val="24"/>
        </w:rPr>
        <w:t>unbundle the distribution costs required to process and administer the standard service offer (SSO) and allocate those costs to SSO customers directly rather than allocating those costs to all customers including shopping customers.</w:t>
      </w:r>
      <w:r>
        <w:rPr>
          <w:rFonts w:ascii="Arial" w:hAnsi="Arial" w:cs="Arial"/>
          <w:sz w:val="24"/>
          <w:szCs w:val="24"/>
        </w:rPr>
        <w:t xml:space="preserve">  Mr. Hess testified it is unlawful and unreasonable to consider these costs distribution related. </w:t>
      </w:r>
      <w:r w:rsidR="00744B94">
        <w:rPr>
          <w:rFonts w:ascii="Arial" w:hAnsi="Arial" w:cs="Arial"/>
          <w:sz w:val="24"/>
          <w:szCs w:val="24"/>
        </w:rPr>
        <w:t>Mr. Hess determined that “</w:t>
      </w:r>
      <w:r w:rsidR="00744B94" w:rsidRPr="00744B94">
        <w:rPr>
          <w:rFonts w:ascii="Arial" w:hAnsi="Arial" w:cs="Arial"/>
          <w:sz w:val="24"/>
          <w:szCs w:val="24"/>
        </w:rPr>
        <w:t>the SSO rate is artificially low because it is only a wholesale pass-through of commodity costs. It does not include all other additional costs incurred by Dayton necessary to process and administer SSO service.</w:t>
      </w:r>
      <w:r w:rsidR="00744B94">
        <w:rPr>
          <w:rFonts w:ascii="Arial" w:hAnsi="Arial" w:cs="Arial"/>
          <w:sz w:val="24"/>
          <w:szCs w:val="24"/>
        </w:rPr>
        <w:t>”</w:t>
      </w:r>
      <w:r w:rsidR="00744B94">
        <w:rPr>
          <w:rStyle w:val="FootnoteReference"/>
          <w:rFonts w:ascii="Arial" w:hAnsi="Arial" w:cs="Arial"/>
          <w:sz w:val="24"/>
          <w:szCs w:val="24"/>
        </w:rPr>
        <w:footnoteReference w:id="28"/>
      </w:r>
      <w:r w:rsidR="00744B94">
        <w:rPr>
          <w:rFonts w:ascii="Arial" w:hAnsi="Arial" w:cs="Arial"/>
          <w:sz w:val="24"/>
          <w:szCs w:val="24"/>
        </w:rPr>
        <w:t xml:space="preserve"> Mr. Hess determined that this has a negative impact, because “</w:t>
      </w:r>
      <w:r w:rsidR="00AD593D">
        <w:rPr>
          <w:rFonts w:ascii="Arial" w:hAnsi="Arial" w:cs="Arial"/>
          <w:sz w:val="24"/>
          <w:szCs w:val="24"/>
        </w:rPr>
        <w:t>[s]</w:t>
      </w:r>
      <w:r w:rsidR="00744B94" w:rsidRPr="00744B94">
        <w:rPr>
          <w:rFonts w:ascii="Arial" w:hAnsi="Arial" w:cs="Arial"/>
          <w:sz w:val="24"/>
          <w:szCs w:val="24"/>
        </w:rPr>
        <w:t>hopping customers are subsidizing the costs of non-shopping customers through the distribution rates</w:t>
      </w:r>
      <w:r w:rsidR="00744B94">
        <w:rPr>
          <w:rFonts w:ascii="Arial" w:hAnsi="Arial" w:cs="Arial"/>
          <w:sz w:val="24"/>
          <w:szCs w:val="24"/>
        </w:rPr>
        <w:t>.”</w:t>
      </w:r>
      <w:r w:rsidR="00AD593D">
        <w:rPr>
          <w:rStyle w:val="FootnoteReference"/>
          <w:rFonts w:ascii="Arial" w:hAnsi="Arial" w:cs="Arial"/>
          <w:sz w:val="24"/>
          <w:szCs w:val="24"/>
        </w:rPr>
        <w:footnoteReference w:id="29"/>
      </w:r>
      <w:r w:rsidR="00744B94">
        <w:rPr>
          <w:rFonts w:ascii="Arial" w:hAnsi="Arial" w:cs="Arial"/>
          <w:sz w:val="24"/>
          <w:szCs w:val="24"/>
        </w:rPr>
        <w:t xml:space="preserve"> </w:t>
      </w:r>
      <w:r w:rsidR="00FA18AE">
        <w:rPr>
          <w:rFonts w:ascii="Arial" w:hAnsi="Arial" w:cs="Arial"/>
          <w:sz w:val="24"/>
          <w:szCs w:val="24"/>
        </w:rPr>
        <w:t xml:space="preserve">  Mor</w:t>
      </w:r>
      <w:r w:rsidR="00802C25">
        <w:rPr>
          <w:rFonts w:ascii="Arial" w:hAnsi="Arial" w:cs="Arial"/>
          <w:sz w:val="24"/>
          <w:szCs w:val="24"/>
        </w:rPr>
        <w:t>eo</w:t>
      </w:r>
      <w:r w:rsidR="00FA18AE">
        <w:rPr>
          <w:rFonts w:ascii="Arial" w:hAnsi="Arial" w:cs="Arial"/>
          <w:sz w:val="24"/>
          <w:szCs w:val="24"/>
        </w:rPr>
        <w:t>ver, “</w:t>
      </w:r>
      <w:r w:rsidR="00FA18AE" w:rsidRPr="00FA18AE">
        <w:rPr>
          <w:rFonts w:ascii="Arial" w:hAnsi="Arial" w:cs="Arial"/>
          <w:sz w:val="24"/>
          <w:szCs w:val="24"/>
        </w:rPr>
        <w:t>Artificially low SSO rates have a negative effect on competition.</w:t>
      </w:r>
      <w:r w:rsidR="00FA18AE">
        <w:rPr>
          <w:rFonts w:ascii="Arial" w:hAnsi="Arial" w:cs="Arial"/>
          <w:sz w:val="24"/>
          <w:szCs w:val="24"/>
        </w:rPr>
        <w:t>”</w:t>
      </w:r>
      <w:r w:rsidR="005D2548">
        <w:rPr>
          <w:rStyle w:val="FootnoteReference"/>
          <w:rFonts w:ascii="Arial" w:hAnsi="Arial" w:cs="Arial"/>
          <w:sz w:val="24"/>
          <w:szCs w:val="24"/>
        </w:rPr>
        <w:footnoteReference w:id="30"/>
      </w:r>
      <w:r w:rsidR="00FA18AE">
        <w:rPr>
          <w:rFonts w:ascii="Arial" w:hAnsi="Arial" w:cs="Arial"/>
          <w:sz w:val="24"/>
          <w:szCs w:val="24"/>
        </w:rPr>
        <w:t xml:space="preserve"> </w:t>
      </w:r>
      <w:r w:rsidR="00101A37">
        <w:rPr>
          <w:rFonts w:ascii="Arial" w:hAnsi="Arial" w:cs="Arial"/>
          <w:sz w:val="24"/>
          <w:szCs w:val="24"/>
        </w:rPr>
        <w:t xml:space="preserve"> </w:t>
      </w:r>
      <w:r w:rsidR="00FA18AE">
        <w:rPr>
          <w:rFonts w:ascii="Arial" w:hAnsi="Arial" w:cs="Arial"/>
          <w:sz w:val="24"/>
          <w:szCs w:val="24"/>
        </w:rPr>
        <w:lastRenderedPageBreak/>
        <w:t>“</w:t>
      </w:r>
      <w:r w:rsidR="00101A37">
        <w:rPr>
          <w:rFonts w:ascii="Arial" w:hAnsi="Arial" w:cs="Arial"/>
          <w:sz w:val="24"/>
          <w:szCs w:val="24"/>
        </w:rPr>
        <w:t>[S]</w:t>
      </w:r>
      <w:r w:rsidR="00FA18AE" w:rsidRPr="00FA18AE">
        <w:rPr>
          <w:rFonts w:ascii="Arial" w:hAnsi="Arial" w:cs="Arial"/>
          <w:sz w:val="24"/>
          <w:szCs w:val="24"/>
        </w:rPr>
        <w:t>ubsidizing the SSO leads to less competition in the Dayton service territory and fewer products being available to customers.</w:t>
      </w:r>
      <w:r w:rsidR="00FA18AE">
        <w:rPr>
          <w:rFonts w:ascii="Arial" w:hAnsi="Arial" w:cs="Arial"/>
          <w:sz w:val="24"/>
          <w:szCs w:val="24"/>
        </w:rPr>
        <w:t>”</w:t>
      </w:r>
      <w:r w:rsidR="00101A37">
        <w:rPr>
          <w:rStyle w:val="FootnoteReference"/>
          <w:rFonts w:ascii="Arial" w:hAnsi="Arial" w:cs="Arial"/>
          <w:sz w:val="24"/>
          <w:szCs w:val="24"/>
        </w:rPr>
        <w:footnoteReference w:id="31"/>
      </w:r>
      <w:r w:rsidR="00FA18AE">
        <w:rPr>
          <w:rFonts w:ascii="Arial" w:hAnsi="Arial" w:cs="Arial"/>
          <w:sz w:val="24"/>
          <w:szCs w:val="24"/>
        </w:rPr>
        <w:t xml:space="preserve"> </w:t>
      </w:r>
    </w:p>
    <w:p w14:paraId="0BD5C680" w14:textId="77777777" w:rsidR="00755F2F" w:rsidRDefault="00755F2F" w:rsidP="00755F2F">
      <w:pPr>
        <w:spacing w:after="0" w:line="480" w:lineRule="auto"/>
        <w:ind w:firstLine="720"/>
        <w:jc w:val="both"/>
        <w:rPr>
          <w:rFonts w:ascii="Arial" w:hAnsi="Arial" w:cs="Arial"/>
          <w:sz w:val="24"/>
          <w:szCs w:val="24"/>
        </w:rPr>
      </w:pPr>
      <w:r>
        <w:rPr>
          <w:rFonts w:ascii="Arial" w:hAnsi="Arial" w:cs="Arial"/>
          <w:sz w:val="24"/>
          <w:szCs w:val="24"/>
        </w:rPr>
        <w:t>He further recommended that the SSO-related costs proposed for recovery in this case be refunctionalized to SSO rates as they relate to the provision of competitive service.  He proposed a non-bypassable credit and avoidable charge rider to achieve this result.</w:t>
      </w:r>
      <w:r w:rsidRPr="00A928E4">
        <w:t xml:space="preserve"> </w:t>
      </w:r>
      <w:r w:rsidRPr="00A928E4">
        <w:rPr>
          <w:rFonts w:ascii="Arial" w:hAnsi="Arial" w:cs="Arial"/>
          <w:sz w:val="24"/>
          <w:szCs w:val="24"/>
        </w:rPr>
        <w:t>T</w:t>
      </w:r>
      <w:r>
        <w:rPr>
          <w:rFonts w:ascii="Arial" w:hAnsi="Arial" w:cs="Arial"/>
          <w:sz w:val="24"/>
          <w:szCs w:val="24"/>
        </w:rPr>
        <w:t xml:space="preserve">he net impact is </w:t>
      </w:r>
      <w:r w:rsidRPr="00A928E4">
        <w:rPr>
          <w:rFonts w:ascii="Arial" w:hAnsi="Arial" w:cs="Arial"/>
          <w:sz w:val="24"/>
          <w:szCs w:val="24"/>
        </w:rPr>
        <w:t>revenue neutral</w:t>
      </w:r>
      <w:r>
        <w:rPr>
          <w:rFonts w:ascii="Arial" w:hAnsi="Arial" w:cs="Arial"/>
          <w:sz w:val="24"/>
          <w:szCs w:val="24"/>
        </w:rPr>
        <w:t xml:space="preserve"> to DP&amp;L.</w:t>
      </w:r>
    </w:p>
    <w:p w14:paraId="5633914B" w14:textId="2B981E75" w:rsidR="00755F2F" w:rsidRDefault="00755F2F" w:rsidP="00755F2F">
      <w:pPr>
        <w:spacing w:after="0" w:line="480" w:lineRule="auto"/>
        <w:ind w:firstLine="720"/>
        <w:jc w:val="both"/>
        <w:rPr>
          <w:rFonts w:ascii="Arial" w:hAnsi="Arial" w:cs="Arial"/>
          <w:sz w:val="24"/>
          <w:szCs w:val="24"/>
        </w:rPr>
      </w:pPr>
      <w:r>
        <w:rPr>
          <w:rFonts w:ascii="Arial" w:hAnsi="Arial" w:cs="Arial"/>
          <w:sz w:val="24"/>
          <w:szCs w:val="24"/>
        </w:rPr>
        <w:t xml:space="preserve">  The result of Mr. Hess’</w:t>
      </w:r>
      <w:r w:rsidRPr="00AE50ED">
        <w:rPr>
          <w:rFonts w:ascii="Arial" w:hAnsi="Arial" w:cs="Arial"/>
          <w:sz w:val="24"/>
          <w:szCs w:val="24"/>
        </w:rPr>
        <w:t xml:space="preserve"> allocation is three-fold. First, it ensures that non-shopping customers pay for all the services that they receive.</w:t>
      </w:r>
      <w:r>
        <w:rPr>
          <w:rStyle w:val="FootnoteReference"/>
          <w:rFonts w:ascii="Arial" w:hAnsi="Arial" w:cs="Arial"/>
          <w:sz w:val="24"/>
          <w:szCs w:val="24"/>
        </w:rPr>
        <w:footnoteReference w:id="32"/>
      </w:r>
      <w:r w:rsidRPr="00AE50ED">
        <w:rPr>
          <w:rFonts w:ascii="Arial" w:hAnsi="Arial" w:cs="Arial"/>
          <w:sz w:val="24"/>
          <w:szCs w:val="24"/>
        </w:rPr>
        <w:t xml:space="preserve"> Second, it ensures that shopping customers are not charged for services that they do not receive. </w:t>
      </w:r>
      <w:r>
        <w:rPr>
          <w:rFonts w:ascii="Arial" w:hAnsi="Arial" w:cs="Arial"/>
          <w:sz w:val="24"/>
          <w:szCs w:val="24"/>
        </w:rPr>
        <w:t>Third, the ultimate result of his</w:t>
      </w:r>
      <w:r w:rsidRPr="00AE50ED">
        <w:rPr>
          <w:rFonts w:ascii="Arial" w:hAnsi="Arial" w:cs="Arial"/>
          <w:sz w:val="24"/>
          <w:szCs w:val="24"/>
        </w:rPr>
        <w:t xml:space="preserve"> proposed allocation is to eliminate an existing subsidy that artificially lowers th</w:t>
      </w:r>
      <w:r>
        <w:rPr>
          <w:rFonts w:ascii="Arial" w:hAnsi="Arial" w:cs="Arial"/>
          <w:sz w:val="24"/>
          <w:szCs w:val="24"/>
        </w:rPr>
        <w:t xml:space="preserve">e price of SSO </w:t>
      </w:r>
      <w:r w:rsidRPr="00A928E4">
        <w:rPr>
          <w:rFonts w:ascii="Arial" w:hAnsi="Arial" w:cs="Arial"/>
          <w:sz w:val="24"/>
          <w:szCs w:val="24"/>
        </w:rPr>
        <w:t xml:space="preserve">service. Thus, Mr. Hess’ proposed allocation provides a more level playing field between the SSO and services available in the competitive market. </w:t>
      </w:r>
      <w:r w:rsidR="00101A37">
        <w:rPr>
          <w:rFonts w:ascii="Arial" w:hAnsi="Arial" w:cs="Arial"/>
          <w:sz w:val="24"/>
          <w:szCs w:val="24"/>
        </w:rPr>
        <w:t xml:space="preserve"> U</w:t>
      </w:r>
      <w:r w:rsidRPr="00A928E4">
        <w:rPr>
          <w:rFonts w:ascii="Arial" w:hAnsi="Arial" w:cs="Arial"/>
          <w:sz w:val="24"/>
          <w:szCs w:val="24"/>
        </w:rPr>
        <w:t>nbundling and reallocating SSO-related costs to the non-shopping customers and adding the cost to the advertised price-to-compare will continue the Commission’s long-standing practice of appropriately allocating costs to cost causers as well as eliminating barriers for customers to leave the SSO and shop for a competitive retail supplier. This is also consistent with the State’s policy to ensure the availability of unbundled and comparable retail electric service and corrects for the current problem of subsidization by the regulated utility.</w:t>
      </w:r>
      <w:r>
        <w:rPr>
          <w:rFonts w:ascii="Arial" w:hAnsi="Arial" w:cs="Arial"/>
          <w:sz w:val="24"/>
          <w:szCs w:val="24"/>
        </w:rPr>
        <w:t xml:space="preserve">  </w:t>
      </w:r>
    </w:p>
    <w:p w14:paraId="0CFF2FE5" w14:textId="1E3AC382" w:rsidR="00755F2F" w:rsidRDefault="00755F2F" w:rsidP="00403850">
      <w:pPr>
        <w:spacing w:after="0" w:line="480" w:lineRule="auto"/>
        <w:ind w:firstLine="720"/>
        <w:jc w:val="both"/>
        <w:rPr>
          <w:rFonts w:ascii="Arial" w:hAnsi="Arial" w:cs="Arial"/>
          <w:sz w:val="24"/>
          <w:szCs w:val="24"/>
        </w:rPr>
      </w:pPr>
      <w:r>
        <w:rPr>
          <w:rFonts w:ascii="Arial" w:hAnsi="Arial" w:cs="Arial"/>
          <w:sz w:val="24"/>
          <w:szCs w:val="24"/>
        </w:rPr>
        <w:t>As discussed below,</w:t>
      </w:r>
      <w:r w:rsidRPr="00755F2F">
        <w:rPr>
          <w:rFonts w:ascii="Arial" w:hAnsi="Arial" w:cs="Arial"/>
          <w:sz w:val="24"/>
          <w:szCs w:val="24"/>
        </w:rPr>
        <w:t xml:space="preserve"> Mr. Hess </w:t>
      </w:r>
      <w:r w:rsidR="00101A37">
        <w:rPr>
          <w:rFonts w:ascii="Arial" w:hAnsi="Arial" w:cs="Arial"/>
          <w:sz w:val="24"/>
          <w:szCs w:val="24"/>
        </w:rPr>
        <w:t xml:space="preserve">further </w:t>
      </w:r>
      <w:r w:rsidRPr="00755F2F">
        <w:rPr>
          <w:rFonts w:ascii="Arial" w:hAnsi="Arial" w:cs="Arial"/>
          <w:sz w:val="24"/>
          <w:szCs w:val="24"/>
        </w:rPr>
        <w:t>identified that Staff Report contained several flaws.</w:t>
      </w:r>
    </w:p>
    <w:p w14:paraId="2AE3B667" w14:textId="77777777" w:rsidR="00755F2F" w:rsidRPr="00755F2F" w:rsidRDefault="00755F2F" w:rsidP="00755F2F">
      <w:pPr>
        <w:spacing w:after="0" w:line="48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a.  </w:t>
      </w:r>
      <w:r w:rsidR="00403850">
        <w:rPr>
          <w:rFonts w:ascii="Arial" w:hAnsi="Arial" w:cs="Arial"/>
          <w:b/>
          <w:sz w:val="24"/>
          <w:szCs w:val="24"/>
        </w:rPr>
        <w:t>The Staff Report’s</w:t>
      </w:r>
      <w:r>
        <w:rPr>
          <w:rFonts w:ascii="Arial" w:hAnsi="Arial" w:cs="Arial"/>
          <w:b/>
          <w:sz w:val="24"/>
          <w:szCs w:val="24"/>
        </w:rPr>
        <w:t xml:space="preserve"> Flawed Framework</w:t>
      </w:r>
    </w:p>
    <w:p w14:paraId="09CA2B92" w14:textId="77777777" w:rsidR="00755F2F" w:rsidRDefault="00A928E4" w:rsidP="00755F2F">
      <w:pPr>
        <w:pStyle w:val="BodyText"/>
        <w:spacing w:after="0" w:line="480" w:lineRule="auto"/>
        <w:ind w:firstLine="720"/>
        <w:jc w:val="both"/>
        <w:rPr>
          <w:rFonts w:ascii="Arial" w:hAnsi="Arial" w:cs="Arial"/>
          <w:sz w:val="24"/>
          <w:szCs w:val="24"/>
        </w:rPr>
      </w:pPr>
      <w:r>
        <w:rPr>
          <w:rFonts w:ascii="Arial" w:hAnsi="Arial" w:cs="Arial"/>
          <w:sz w:val="24"/>
          <w:szCs w:val="24"/>
        </w:rPr>
        <w:lastRenderedPageBreak/>
        <w:t xml:space="preserve">  Initially, Mr. Hess identified a critical foundational flaw which flows through the entirety of the Staff’s analysis:  </w:t>
      </w:r>
    </w:p>
    <w:p w14:paraId="7933F9A5" w14:textId="6FE5F824" w:rsidR="00755F2F" w:rsidRDefault="00A928E4" w:rsidP="00755F2F">
      <w:pPr>
        <w:pStyle w:val="BodyText"/>
        <w:spacing w:after="0" w:line="240" w:lineRule="auto"/>
        <w:ind w:left="720" w:right="720"/>
        <w:jc w:val="both"/>
        <w:rPr>
          <w:rFonts w:ascii="Arial" w:hAnsi="Arial" w:cs="Arial"/>
          <w:sz w:val="24"/>
          <w:szCs w:val="24"/>
        </w:rPr>
      </w:pPr>
      <w:r w:rsidRPr="00A928E4">
        <w:rPr>
          <w:rFonts w:ascii="Arial" w:hAnsi="Arial" w:cs="Arial"/>
          <w:sz w:val="24"/>
          <w:szCs w:val="24"/>
        </w:rPr>
        <w:t xml:space="preserve">The issue that was stipulated to in the SSO case requested an evaluation of costs contained in distribution rates </w:t>
      </w:r>
      <w:r w:rsidRPr="00755F2F">
        <w:rPr>
          <w:rFonts w:ascii="Arial" w:hAnsi="Arial" w:cs="Arial"/>
          <w:sz w:val="24"/>
          <w:szCs w:val="24"/>
        </w:rPr>
        <w:t>that are necessary to provide standard service offer service. The Staff added an additional standard that the costs will also be removed from Dayton distribution expenses if SSO service w</w:t>
      </w:r>
      <w:r w:rsidR="00101A37">
        <w:rPr>
          <w:rFonts w:ascii="Arial" w:hAnsi="Arial" w:cs="Arial"/>
          <w:sz w:val="24"/>
          <w:szCs w:val="24"/>
        </w:rPr>
        <w:t>as no longer a default service.</w:t>
      </w:r>
      <w:r w:rsidR="00101A37">
        <w:rPr>
          <w:rStyle w:val="FootnoteReference"/>
          <w:rFonts w:ascii="Arial" w:hAnsi="Arial" w:cs="Arial"/>
          <w:sz w:val="24"/>
          <w:szCs w:val="24"/>
        </w:rPr>
        <w:footnoteReference w:id="33"/>
      </w:r>
    </w:p>
    <w:p w14:paraId="4DDBEF00" w14:textId="77777777" w:rsidR="00755F2F" w:rsidRDefault="00755F2F" w:rsidP="00755F2F">
      <w:pPr>
        <w:pStyle w:val="BodyText"/>
        <w:spacing w:after="0" w:line="240" w:lineRule="auto"/>
        <w:ind w:left="720" w:right="720"/>
        <w:jc w:val="both"/>
        <w:rPr>
          <w:rFonts w:ascii="Arial" w:hAnsi="Arial" w:cs="Arial"/>
          <w:sz w:val="24"/>
          <w:szCs w:val="24"/>
        </w:rPr>
      </w:pPr>
    </w:p>
    <w:p w14:paraId="46E22FFD" w14:textId="77777777" w:rsidR="00755F2F" w:rsidRDefault="00755F2F" w:rsidP="00755F2F">
      <w:pPr>
        <w:pStyle w:val="BodyText"/>
        <w:spacing w:after="0" w:line="240" w:lineRule="auto"/>
        <w:ind w:right="720"/>
        <w:jc w:val="both"/>
        <w:rPr>
          <w:rFonts w:ascii="Arial" w:hAnsi="Arial" w:cs="Arial"/>
          <w:sz w:val="24"/>
          <w:szCs w:val="24"/>
        </w:rPr>
      </w:pPr>
      <w:r w:rsidRPr="00755F2F">
        <w:rPr>
          <w:rFonts w:ascii="Arial" w:hAnsi="Arial" w:cs="Arial"/>
          <w:sz w:val="24"/>
          <w:szCs w:val="24"/>
        </w:rPr>
        <w:t>Mr. Hess further noted that the Staff’s analysis misses the mark inasmuch as</w:t>
      </w:r>
      <w:r>
        <w:rPr>
          <w:rFonts w:ascii="Arial" w:hAnsi="Arial" w:cs="Arial"/>
          <w:sz w:val="24"/>
          <w:szCs w:val="24"/>
        </w:rPr>
        <w:t>:</w:t>
      </w:r>
    </w:p>
    <w:p w14:paraId="3461D779" w14:textId="77777777" w:rsidR="00755F2F" w:rsidRDefault="00755F2F" w:rsidP="00755F2F">
      <w:pPr>
        <w:pStyle w:val="BodyText"/>
        <w:spacing w:after="0" w:line="240" w:lineRule="auto"/>
        <w:ind w:right="720"/>
        <w:jc w:val="both"/>
        <w:rPr>
          <w:rFonts w:ascii="Arial" w:hAnsi="Arial" w:cs="Arial"/>
          <w:sz w:val="24"/>
          <w:szCs w:val="24"/>
        </w:rPr>
      </w:pPr>
    </w:p>
    <w:p w14:paraId="2FF23CF5" w14:textId="6FC28BFF" w:rsidR="00A928E4" w:rsidRDefault="00755F2F" w:rsidP="00755F2F">
      <w:pPr>
        <w:pStyle w:val="BodyText"/>
        <w:spacing w:after="0" w:line="240" w:lineRule="auto"/>
        <w:ind w:left="720" w:right="720"/>
        <w:jc w:val="both"/>
        <w:rPr>
          <w:rFonts w:ascii="Arial" w:hAnsi="Arial" w:cs="Arial"/>
          <w:sz w:val="24"/>
          <w:szCs w:val="24"/>
        </w:rPr>
      </w:pPr>
      <w:r w:rsidRPr="00755F2F">
        <w:rPr>
          <w:rFonts w:ascii="Arial" w:hAnsi="Arial" w:cs="Arial"/>
          <w:sz w:val="24"/>
          <w:szCs w:val="24"/>
        </w:rPr>
        <w:t>We are not recommending that the SSO service no longer be the default service. Cost allocation is not an avoidable expense issue that reduces the revenue requirement calculation. It is a cost of service allocation issue. Costs that are necessary to provide standard service customers may not reduce the revenue requirements of the distribution company in the short term. However, these costs are necessary to administer and process the SSO portion of an SSO customer’s service and should be allocated to the SSO customer rather than socialized to all distribution customers.</w:t>
      </w:r>
      <w:r w:rsidR="00101A37">
        <w:rPr>
          <w:rStyle w:val="FootnoteReference"/>
          <w:rFonts w:ascii="Arial" w:hAnsi="Arial" w:cs="Arial"/>
          <w:sz w:val="24"/>
          <w:szCs w:val="24"/>
        </w:rPr>
        <w:footnoteReference w:id="34"/>
      </w:r>
      <w:r w:rsidRPr="00755F2F">
        <w:rPr>
          <w:rFonts w:ascii="Arial" w:hAnsi="Arial" w:cs="Arial"/>
          <w:sz w:val="24"/>
          <w:szCs w:val="24"/>
        </w:rPr>
        <w:t xml:space="preserve"> </w:t>
      </w:r>
    </w:p>
    <w:p w14:paraId="3CF2D8B6" w14:textId="77777777" w:rsidR="00755F2F" w:rsidRDefault="00755F2F" w:rsidP="00403850">
      <w:pPr>
        <w:pStyle w:val="BodyText"/>
        <w:spacing w:after="0" w:line="240" w:lineRule="auto"/>
        <w:ind w:right="720"/>
        <w:jc w:val="both"/>
        <w:rPr>
          <w:rFonts w:ascii="Arial" w:hAnsi="Arial" w:cs="Arial"/>
          <w:sz w:val="24"/>
          <w:szCs w:val="24"/>
        </w:rPr>
      </w:pPr>
    </w:p>
    <w:p w14:paraId="037B593B" w14:textId="77777777" w:rsidR="00403850" w:rsidRDefault="00403850" w:rsidP="00403850">
      <w:pPr>
        <w:pStyle w:val="BodyText"/>
        <w:spacing w:after="0" w:line="480" w:lineRule="auto"/>
        <w:jc w:val="both"/>
        <w:rPr>
          <w:rFonts w:ascii="Arial" w:hAnsi="Arial" w:cs="Arial"/>
          <w:sz w:val="24"/>
          <w:szCs w:val="24"/>
        </w:rPr>
      </w:pPr>
      <w:r>
        <w:rPr>
          <w:rFonts w:ascii="Arial" w:hAnsi="Arial" w:cs="Arial"/>
          <w:sz w:val="24"/>
          <w:szCs w:val="24"/>
        </w:rPr>
        <w:t>As discussed previously, the status of the Amended Stipulation is already on shaky ground.  The Staff Report’s modification of the agreed upon unbundling framework—in addition to being legally wrong—further erodes confidence in the settlement process.</w:t>
      </w:r>
    </w:p>
    <w:p w14:paraId="27F252DF" w14:textId="77777777" w:rsidR="00755F2F" w:rsidRDefault="00755F2F" w:rsidP="006E3097">
      <w:pPr>
        <w:pStyle w:val="BodyText"/>
        <w:spacing w:after="0" w:line="240" w:lineRule="auto"/>
        <w:ind w:left="1440" w:right="720"/>
        <w:jc w:val="both"/>
        <w:rPr>
          <w:rFonts w:ascii="Arial" w:hAnsi="Arial" w:cs="Arial"/>
          <w:b/>
          <w:sz w:val="24"/>
          <w:szCs w:val="24"/>
        </w:rPr>
      </w:pPr>
      <w:r>
        <w:rPr>
          <w:rFonts w:ascii="Arial" w:hAnsi="Arial" w:cs="Arial"/>
          <w:b/>
          <w:sz w:val="24"/>
          <w:szCs w:val="24"/>
        </w:rPr>
        <w:t>b. Staff’s flawed fact finding “investigation”</w:t>
      </w:r>
      <w:r w:rsidR="00225120">
        <w:rPr>
          <w:rFonts w:ascii="Arial" w:hAnsi="Arial" w:cs="Arial"/>
          <w:b/>
          <w:sz w:val="24"/>
          <w:szCs w:val="24"/>
        </w:rPr>
        <w:t xml:space="preserve"> into SSO-related costs</w:t>
      </w:r>
    </w:p>
    <w:p w14:paraId="0FB78278" w14:textId="77777777" w:rsidR="00755F2F" w:rsidRDefault="00755F2F" w:rsidP="00755F2F">
      <w:pPr>
        <w:pStyle w:val="BodyText"/>
        <w:spacing w:after="0" w:line="240" w:lineRule="auto"/>
        <w:ind w:right="720"/>
        <w:jc w:val="both"/>
        <w:rPr>
          <w:rFonts w:ascii="Arial" w:hAnsi="Arial" w:cs="Arial"/>
          <w:b/>
          <w:sz w:val="24"/>
          <w:szCs w:val="24"/>
        </w:rPr>
      </w:pPr>
    </w:p>
    <w:p w14:paraId="6500E4EA" w14:textId="77777777" w:rsidR="002F747C" w:rsidRDefault="00755F2F" w:rsidP="003929C5">
      <w:pPr>
        <w:pStyle w:val="BodyText"/>
        <w:spacing w:after="0" w:line="480" w:lineRule="auto"/>
        <w:ind w:firstLine="720"/>
        <w:jc w:val="both"/>
        <w:rPr>
          <w:rFonts w:ascii="Arial" w:hAnsi="Arial" w:cs="Arial"/>
          <w:sz w:val="24"/>
          <w:szCs w:val="24"/>
        </w:rPr>
      </w:pPr>
      <w:r>
        <w:rPr>
          <w:rFonts w:ascii="Arial" w:hAnsi="Arial" w:cs="Arial"/>
          <w:sz w:val="24"/>
          <w:szCs w:val="24"/>
        </w:rPr>
        <w:t>Next, Mr. Hess challenged the Staff</w:t>
      </w:r>
      <w:r w:rsidR="002F747C">
        <w:rPr>
          <w:rFonts w:ascii="Arial" w:hAnsi="Arial" w:cs="Arial"/>
          <w:sz w:val="24"/>
          <w:szCs w:val="24"/>
        </w:rPr>
        <w:t xml:space="preserve"> Report’s attempt to sidestep the unbundling issue based upon DP&amp;L’s difficulty of tracking costs by function.  As Mr. Hess testified:</w:t>
      </w:r>
    </w:p>
    <w:p w14:paraId="28D2625B" w14:textId="1581B445" w:rsidR="00755F2F" w:rsidRPr="00755F2F" w:rsidRDefault="002F747C" w:rsidP="002F747C">
      <w:pPr>
        <w:pStyle w:val="BodyText"/>
        <w:spacing w:after="0" w:line="240" w:lineRule="auto"/>
        <w:ind w:left="720" w:right="720"/>
        <w:jc w:val="both"/>
        <w:rPr>
          <w:rFonts w:ascii="Arial" w:hAnsi="Arial" w:cs="Arial"/>
          <w:sz w:val="24"/>
          <w:szCs w:val="24"/>
        </w:rPr>
      </w:pPr>
      <w:r w:rsidRPr="002F747C">
        <w:rPr>
          <w:rFonts w:ascii="Arial" w:hAnsi="Arial" w:cs="Arial"/>
          <w:sz w:val="24"/>
          <w:szCs w:val="24"/>
        </w:rPr>
        <w:t>We agree that tracking these costs individually could be expensive, although Dayton has not identified how expensive that process would be. Regardless, that is why we are recommending a cost of service allocation methodology that approximates the costs incurred by Dayton in providing this service. It is the industry’s acceptable methodology to identify costs between different types of customers when tracking costs is prohibitively expensive.</w:t>
      </w:r>
      <w:r w:rsidR="00101A37">
        <w:rPr>
          <w:rStyle w:val="FootnoteReference"/>
          <w:rFonts w:ascii="Arial" w:hAnsi="Arial" w:cs="Arial"/>
          <w:sz w:val="24"/>
          <w:szCs w:val="24"/>
        </w:rPr>
        <w:footnoteReference w:id="35"/>
      </w:r>
    </w:p>
    <w:p w14:paraId="1FC39945" w14:textId="77777777" w:rsidR="00755F2F" w:rsidRDefault="00755F2F" w:rsidP="00755F2F">
      <w:pPr>
        <w:pStyle w:val="BodyText"/>
        <w:spacing w:after="0" w:line="240" w:lineRule="auto"/>
        <w:ind w:right="720"/>
        <w:jc w:val="both"/>
        <w:rPr>
          <w:rFonts w:ascii="Arial" w:hAnsi="Arial" w:cs="Arial"/>
          <w:sz w:val="24"/>
          <w:szCs w:val="24"/>
        </w:rPr>
      </w:pPr>
    </w:p>
    <w:p w14:paraId="4E7D4F69" w14:textId="43F64F73" w:rsidR="003929C5" w:rsidRDefault="003929C5" w:rsidP="002F747C">
      <w:pPr>
        <w:spacing w:after="0" w:line="480" w:lineRule="auto"/>
        <w:jc w:val="both"/>
        <w:rPr>
          <w:rFonts w:ascii="Arial" w:hAnsi="Arial" w:cs="Arial"/>
          <w:sz w:val="24"/>
          <w:szCs w:val="24"/>
        </w:rPr>
      </w:pPr>
      <w:r>
        <w:rPr>
          <w:rFonts w:ascii="Arial" w:hAnsi="Arial" w:cs="Arial"/>
          <w:sz w:val="24"/>
          <w:szCs w:val="24"/>
        </w:rPr>
        <w:lastRenderedPageBreak/>
        <w:t>During cross-examination,</w:t>
      </w:r>
      <w:r w:rsidR="002F747C">
        <w:rPr>
          <w:rFonts w:ascii="Arial" w:hAnsi="Arial" w:cs="Arial"/>
          <w:sz w:val="24"/>
          <w:szCs w:val="24"/>
        </w:rPr>
        <w:t xml:space="preserve"> </w:t>
      </w:r>
      <w:r w:rsidR="00AB5950">
        <w:rPr>
          <w:rFonts w:ascii="Arial" w:hAnsi="Arial" w:cs="Arial"/>
          <w:sz w:val="24"/>
          <w:szCs w:val="24"/>
        </w:rPr>
        <w:t>DP</w:t>
      </w:r>
      <w:r>
        <w:rPr>
          <w:rFonts w:ascii="Arial" w:hAnsi="Arial" w:cs="Arial"/>
          <w:sz w:val="24"/>
          <w:szCs w:val="24"/>
        </w:rPr>
        <w:t>&amp;L and Staff confirmed Mr. Hess’ conclusion that</w:t>
      </w:r>
      <w:r w:rsidR="00AB5950">
        <w:rPr>
          <w:rFonts w:ascii="Arial" w:hAnsi="Arial" w:cs="Arial"/>
          <w:sz w:val="24"/>
          <w:szCs w:val="24"/>
        </w:rPr>
        <w:t xml:space="preserve"> it is common industry practice to use</w:t>
      </w:r>
      <w:r w:rsidR="002F747C">
        <w:rPr>
          <w:rFonts w:ascii="Arial" w:hAnsi="Arial" w:cs="Arial"/>
          <w:sz w:val="24"/>
          <w:szCs w:val="24"/>
        </w:rPr>
        <w:t xml:space="preserve"> </w:t>
      </w:r>
      <w:r w:rsidR="002F747C" w:rsidRPr="002F747C">
        <w:rPr>
          <w:rFonts w:ascii="Arial" w:hAnsi="Arial" w:cs="Arial"/>
          <w:sz w:val="24"/>
          <w:szCs w:val="24"/>
        </w:rPr>
        <w:t>allocation</w:t>
      </w:r>
      <w:r w:rsidR="00AB5950">
        <w:rPr>
          <w:rFonts w:ascii="Arial" w:hAnsi="Arial" w:cs="Arial"/>
          <w:sz w:val="24"/>
          <w:szCs w:val="24"/>
        </w:rPr>
        <w:t xml:space="preserve"> factors to assign costs</w:t>
      </w:r>
      <w:r w:rsidR="002F747C">
        <w:rPr>
          <w:rFonts w:ascii="Arial" w:hAnsi="Arial" w:cs="Arial"/>
          <w:sz w:val="24"/>
          <w:szCs w:val="24"/>
        </w:rPr>
        <w:t xml:space="preserve"> when it </w:t>
      </w:r>
      <w:r w:rsidR="002F747C" w:rsidRPr="002F747C">
        <w:rPr>
          <w:rFonts w:ascii="Arial" w:hAnsi="Arial" w:cs="Arial"/>
          <w:sz w:val="24"/>
          <w:szCs w:val="24"/>
        </w:rPr>
        <w:t xml:space="preserve">is determined that it </w:t>
      </w:r>
      <w:r w:rsidR="00AB5950">
        <w:rPr>
          <w:rFonts w:ascii="Arial" w:hAnsi="Arial" w:cs="Arial"/>
          <w:sz w:val="24"/>
          <w:szCs w:val="24"/>
        </w:rPr>
        <w:t>would be cost prohibitive to directly track and assign costs.</w:t>
      </w:r>
      <w:r w:rsidR="00101A37">
        <w:rPr>
          <w:rStyle w:val="FootnoteReference"/>
          <w:rFonts w:ascii="Arial" w:hAnsi="Arial" w:cs="Arial"/>
          <w:sz w:val="24"/>
          <w:szCs w:val="24"/>
        </w:rPr>
        <w:footnoteReference w:id="36"/>
      </w:r>
      <w:r w:rsidR="00101A37">
        <w:rPr>
          <w:rFonts w:ascii="Arial" w:hAnsi="Arial" w:cs="Arial"/>
          <w:sz w:val="24"/>
          <w:szCs w:val="24"/>
        </w:rPr>
        <w:t xml:space="preserve"> </w:t>
      </w:r>
      <w:r w:rsidR="00AB5950">
        <w:rPr>
          <w:rFonts w:ascii="Arial" w:hAnsi="Arial" w:cs="Arial"/>
          <w:sz w:val="24"/>
          <w:szCs w:val="24"/>
        </w:rPr>
        <w:t xml:space="preserve"> </w:t>
      </w:r>
      <w:r w:rsidR="00AE7E7B">
        <w:rPr>
          <w:rFonts w:ascii="Arial" w:hAnsi="Arial" w:cs="Arial"/>
          <w:sz w:val="24"/>
          <w:szCs w:val="24"/>
        </w:rPr>
        <w:t xml:space="preserve">Thus, the Staff Report’s claim that it would be too difficult to undertake the process that Staff and DP&amp;L agreed to in the Amended Stipulation is unsubstantiated and discredited by their own testimony.  This portion of the Staff Report should be given no weight in the Commission’s analysis of this case. </w:t>
      </w:r>
      <w:r>
        <w:rPr>
          <w:rFonts w:ascii="Arial" w:hAnsi="Arial" w:cs="Arial"/>
          <w:sz w:val="24"/>
          <w:szCs w:val="24"/>
        </w:rPr>
        <w:tab/>
      </w:r>
    </w:p>
    <w:p w14:paraId="169C9CCD" w14:textId="77777777" w:rsidR="00E85101" w:rsidRPr="00AD593D" w:rsidRDefault="00225120" w:rsidP="002F747C">
      <w:pPr>
        <w:spacing w:after="0" w:line="480" w:lineRule="auto"/>
        <w:jc w:val="both"/>
        <w:rPr>
          <w:rFonts w:ascii="Arial" w:hAnsi="Arial" w:cs="Arial"/>
          <w:b/>
          <w:sz w:val="24"/>
          <w:szCs w:val="24"/>
        </w:rPr>
      </w:pPr>
      <w:r>
        <w:rPr>
          <w:rFonts w:ascii="Arial" w:hAnsi="Arial" w:cs="Arial"/>
          <w:sz w:val="24"/>
          <w:szCs w:val="24"/>
        </w:rPr>
        <w:tab/>
      </w:r>
      <w:r w:rsidR="006E3097">
        <w:rPr>
          <w:rFonts w:ascii="Arial" w:hAnsi="Arial" w:cs="Arial"/>
          <w:sz w:val="24"/>
          <w:szCs w:val="24"/>
        </w:rPr>
        <w:tab/>
      </w:r>
      <w:r>
        <w:rPr>
          <w:rFonts w:ascii="Arial" w:hAnsi="Arial" w:cs="Arial"/>
          <w:b/>
          <w:sz w:val="24"/>
          <w:szCs w:val="24"/>
        </w:rPr>
        <w:t xml:space="preserve">c. </w:t>
      </w:r>
      <w:r w:rsidR="00E85101">
        <w:rPr>
          <w:rFonts w:ascii="Arial" w:hAnsi="Arial" w:cs="Arial"/>
          <w:b/>
          <w:sz w:val="24"/>
          <w:szCs w:val="24"/>
        </w:rPr>
        <w:t xml:space="preserve">Staff’s </w:t>
      </w:r>
      <w:r w:rsidR="00E85101" w:rsidRPr="00AD593D">
        <w:rPr>
          <w:rFonts w:ascii="Arial" w:hAnsi="Arial" w:cs="Arial"/>
          <w:b/>
          <w:sz w:val="24"/>
          <w:szCs w:val="24"/>
        </w:rPr>
        <w:t>Half-Complete Unbundling of Uncollectible Expense</w:t>
      </w:r>
      <w:r w:rsidR="00403850" w:rsidRPr="00AD593D">
        <w:rPr>
          <w:rFonts w:ascii="Arial" w:hAnsi="Arial" w:cs="Arial"/>
          <w:b/>
          <w:sz w:val="24"/>
          <w:szCs w:val="24"/>
        </w:rPr>
        <w:t>s</w:t>
      </w:r>
    </w:p>
    <w:p w14:paraId="03B91013" w14:textId="6F41D329" w:rsidR="00E85101" w:rsidRPr="00AD593D" w:rsidRDefault="00E85101" w:rsidP="00744B94">
      <w:pPr>
        <w:spacing w:after="0" w:line="480" w:lineRule="auto"/>
        <w:ind w:firstLine="720"/>
        <w:jc w:val="both"/>
        <w:rPr>
          <w:rFonts w:ascii="Arial" w:hAnsi="Arial" w:cs="Arial"/>
          <w:sz w:val="24"/>
          <w:szCs w:val="24"/>
        </w:rPr>
      </w:pPr>
      <w:r w:rsidRPr="00AD593D">
        <w:rPr>
          <w:rFonts w:ascii="Arial" w:hAnsi="Arial" w:cs="Arial"/>
          <w:sz w:val="24"/>
          <w:szCs w:val="24"/>
        </w:rPr>
        <w:t xml:space="preserve">In addition to altering the framework for its analysis, the Staff </w:t>
      </w:r>
      <w:r w:rsidR="00744B94" w:rsidRPr="00AD593D">
        <w:rPr>
          <w:rFonts w:ascii="Arial" w:hAnsi="Arial" w:cs="Arial"/>
          <w:sz w:val="24"/>
          <w:szCs w:val="24"/>
        </w:rPr>
        <w:t xml:space="preserve">Report </w:t>
      </w:r>
      <w:r w:rsidRPr="00AD593D">
        <w:rPr>
          <w:rFonts w:ascii="Arial" w:hAnsi="Arial" w:cs="Arial"/>
          <w:sz w:val="24"/>
          <w:szCs w:val="24"/>
        </w:rPr>
        <w:t>failed to complete the unbundling of uncollectible expenses agreed to in the ESP Stipulation.  As noted previously, the ESP case immediately allocated to the bypassable portion of uncollectible expense rider the “charge offs” or “bad debt” associated with uncollected SSO receivables.</w:t>
      </w:r>
      <w:r w:rsidRPr="00AD593D">
        <w:rPr>
          <w:rStyle w:val="FootnoteReference"/>
          <w:rFonts w:ascii="Arial" w:hAnsi="Arial" w:cs="Arial"/>
          <w:sz w:val="24"/>
          <w:szCs w:val="24"/>
        </w:rPr>
        <w:footnoteReference w:id="37"/>
      </w:r>
      <w:r w:rsidRPr="00AD593D">
        <w:rPr>
          <w:rFonts w:ascii="Arial" w:hAnsi="Arial" w:cs="Arial"/>
          <w:sz w:val="24"/>
          <w:szCs w:val="24"/>
        </w:rPr>
        <w:t xml:space="preserve">  The Stipulation required </w:t>
      </w:r>
      <w:r w:rsidR="00744B94" w:rsidRPr="00AD593D">
        <w:rPr>
          <w:rFonts w:ascii="Arial" w:hAnsi="Arial" w:cs="Arial"/>
          <w:sz w:val="24"/>
          <w:szCs w:val="24"/>
        </w:rPr>
        <w:t>DP&amp;L in this proceeding to remove any additional uncollectible expenses from base distribution rates.</w:t>
      </w:r>
      <w:r w:rsidR="00744B94" w:rsidRPr="00AD593D">
        <w:rPr>
          <w:rStyle w:val="FootnoteReference"/>
          <w:rFonts w:ascii="Arial" w:hAnsi="Arial" w:cs="Arial"/>
          <w:sz w:val="24"/>
          <w:szCs w:val="24"/>
        </w:rPr>
        <w:footnoteReference w:id="38"/>
      </w:r>
      <w:r w:rsidR="00744B94" w:rsidRPr="00AD593D">
        <w:rPr>
          <w:rFonts w:ascii="Arial" w:hAnsi="Arial" w:cs="Arial"/>
          <w:sz w:val="24"/>
          <w:szCs w:val="24"/>
        </w:rPr>
        <w:t xml:space="preserve">  Yet, DP&amp;L identified that there is $1.4 million in uncollectible</w:t>
      </w:r>
      <w:r w:rsidRPr="00AD593D">
        <w:rPr>
          <w:rFonts w:ascii="Arial" w:hAnsi="Arial" w:cs="Arial"/>
          <w:sz w:val="24"/>
          <w:szCs w:val="24"/>
        </w:rPr>
        <w:t xml:space="preserve"> administrative </w:t>
      </w:r>
      <w:r w:rsidR="00744B94" w:rsidRPr="00AD593D">
        <w:rPr>
          <w:rFonts w:ascii="Arial" w:hAnsi="Arial" w:cs="Arial"/>
          <w:sz w:val="24"/>
          <w:szCs w:val="24"/>
        </w:rPr>
        <w:t xml:space="preserve">overhead </w:t>
      </w:r>
      <w:r w:rsidRPr="00AD593D">
        <w:rPr>
          <w:rFonts w:ascii="Arial" w:hAnsi="Arial" w:cs="Arial"/>
          <w:sz w:val="24"/>
          <w:szCs w:val="24"/>
        </w:rPr>
        <w:t>costs</w:t>
      </w:r>
      <w:r w:rsidR="00744B94" w:rsidRPr="00AD593D">
        <w:rPr>
          <w:rFonts w:ascii="Arial" w:hAnsi="Arial" w:cs="Arial"/>
          <w:sz w:val="24"/>
          <w:szCs w:val="24"/>
        </w:rPr>
        <w:t xml:space="preserve"> proposed for recovery through base distribution rates</w:t>
      </w:r>
      <w:r w:rsidRPr="00AD593D">
        <w:rPr>
          <w:rFonts w:ascii="Arial" w:hAnsi="Arial" w:cs="Arial"/>
          <w:sz w:val="24"/>
          <w:szCs w:val="24"/>
        </w:rPr>
        <w:t>.</w:t>
      </w:r>
      <w:r w:rsidRPr="00AD593D">
        <w:rPr>
          <w:rStyle w:val="FootnoteReference"/>
          <w:rFonts w:ascii="Arial" w:hAnsi="Arial" w:cs="Arial"/>
          <w:sz w:val="24"/>
          <w:szCs w:val="24"/>
        </w:rPr>
        <w:footnoteReference w:id="39"/>
      </w:r>
      <w:r w:rsidR="00744B94" w:rsidRPr="00AD593D">
        <w:rPr>
          <w:rFonts w:ascii="Arial" w:hAnsi="Arial" w:cs="Arial"/>
          <w:sz w:val="24"/>
          <w:szCs w:val="24"/>
        </w:rPr>
        <w:t xml:space="preserve">  Mr. Hess concluded that a portion of the $1.4 million must be allocated to the SSO consistent with the Amended Stipulation.</w:t>
      </w:r>
      <w:r w:rsidR="00AD593D">
        <w:rPr>
          <w:rFonts w:ascii="Arial" w:hAnsi="Arial" w:cs="Arial"/>
          <w:sz w:val="24"/>
          <w:szCs w:val="24"/>
        </w:rPr>
        <w:t xml:space="preserve">  There should be no debate over the Staff Report’s oversight and DP&amp;L’s obligation to allocate to the SSO a portion of these uncollectible costs; therefore, IGS will not address this issue further.</w:t>
      </w:r>
    </w:p>
    <w:p w14:paraId="0ED8C659" w14:textId="77777777" w:rsidR="00225120" w:rsidRPr="00AD593D" w:rsidRDefault="00E85101" w:rsidP="00E85101">
      <w:pPr>
        <w:spacing w:after="0" w:line="480" w:lineRule="auto"/>
        <w:ind w:left="720" w:firstLine="720"/>
        <w:jc w:val="both"/>
        <w:rPr>
          <w:rFonts w:ascii="Arial" w:hAnsi="Arial" w:cs="Arial"/>
          <w:b/>
          <w:sz w:val="24"/>
          <w:szCs w:val="24"/>
        </w:rPr>
      </w:pPr>
      <w:r w:rsidRPr="00AD593D">
        <w:rPr>
          <w:rFonts w:ascii="Arial" w:hAnsi="Arial" w:cs="Arial"/>
          <w:b/>
          <w:sz w:val="24"/>
          <w:szCs w:val="24"/>
        </w:rPr>
        <w:lastRenderedPageBreak/>
        <w:t xml:space="preserve">d. </w:t>
      </w:r>
      <w:r w:rsidR="00225120" w:rsidRPr="00AD593D">
        <w:rPr>
          <w:rFonts w:ascii="Arial" w:hAnsi="Arial" w:cs="Arial"/>
          <w:b/>
          <w:sz w:val="24"/>
          <w:szCs w:val="24"/>
        </w:rPr>
        <w:t>Distri</w:t>
      </w:r>
      <w:r w:rsidR="008E359A" w:rsidRPr="00AD593D">
        <w:rPr>
          <w:rFonts w:ascii="Arial" w:hAnsi="Arial" w:cs="Arial"/>
          <w:b/>
          <w:sz w:val="24"/>
          <w:szCs w:val="24"/>
        </w:rPr>
        <w:t>bution Rates Subsidize SSO Service</w:t>
      </w:r>
    </w:p>
    <w:p w14:paraId="082CEE7E" w14:textId="77777777" w:rsidR="00AE50ED" w:rsidRPr="000D7232" w:rsidRDefault="000D7232" w:rsidP="00D612FB">
      <w:pPr>
        <w:spacing w:after="0" w:line="480" w:lineRule="auto"/>
        <w:ind w:firstLine="720"/>
        <w:jc w:val="both"/>
        <w:rPr>
          <w:rFonts w:ascii="Arial" w:hAnsi="Arial" w:cs="Arial"/>
          <w:sz w:val="24"/>
          <w:szCs w:val="24"/>
        </w:rPr>
      </w:pPr>
      <w:r w:rsidRPr="00AD593D">
        <w:rPr>
          <w:rFonts w:ascii="Arial" w:hAnsi="Arial" w:cs="Arial"/>
          <w:sz w:val="24"/>
          <w:szCs w:val="24"/>
        </w:rPr>
        <w:t>While DP&amp;L and Staff alleged that it would be difficult to directly track costs associated with the SSO that are proposed for recovery through distribution rates,</w:t>
      </w:r>
      <w:r>
        <w:rPr>
          <w:rFonts w:ascii="Arial" w:hAnsi="Arial" w:cs="Arial"/>
          <w:sz w:val="24"/>
          <w:szCs w:val="24"/>
        </w:rPr>
        <w:t xml:space="preserve"> they agreed that </w:t>
      </w:r>
      <w:r w:rsidRPr="000D7232">
        <w:rPr>
          <w:rFonts w:ascii="Arial" w:hAnsi="Arial" w:cs="Arial"/>
          <w:sz w:val="24"/>
          <w:szCs w:val="24"/>
        </w:rPr>
        <w:t>such costs do in fact exist.  Mr. Hess provided a comprehensive list of these costs:</w:t>
      </w:r>
    </w:p>
    <w:p w14:paraId="7D2FD530" w14:textId="6A8B046F" w:rsidR="000D7232" w:rsidRPr="000D7232" w:rsidRDefault="000D7232" w:rsidP="000D72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Call center infrastructure and employees to maintain appropriate customer service and customer complaints for SSO customers;</w:t>
      </w:r>
    </w:p>
    <w:p w14:paraId="3680D2A7" w14:textId="77777777" w:rsidR="000D7232" w:rsidRPr="000D7232" w:rsidRDefault="000D7232" w:rsidP="000D72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 xml:space="preserve">Printing and postage to communicate with SSO customers; </w:t>
      </w:r>
    </w:p>
    <w:p w14:paraId="02A491C0" w14:textId="72361626" w:rsidR="000D7232" w:rsidRPr="000D7232" w:rsidRDefault="000D7232" w:rsidP="000D7232">
      <w:pPr>
        <w:pStyle w:val="BodyText"/>
        <w:numPr>
          <w:ilvl w:val="1"/>
          <w:numId w:val="6"/>
        </w:numPr>
        <w:spacing w:after="240" w:line="240" w:lineRule="auto"/>
        <w:rPr>
          <w:rFonts w:ascii="Arial" w:hAnsi="Arial" w:cs="Arial"/>
          <w:sz w:val="24"/>
          <w:szCs w:val="24"/>
        </w:rPr>
      </w:pPr>
      <w:r w:rsidRPr="000D7232">
        <w:rPr>
          <w:rFonts w:ascii="Arial" w:hAnsi="Arial" w:cs="Arial"/>
          <w:sz w:val="24"/>
          <w:szCs w:val="24"/>
        </w:rPr>
        <w:t>Accounting infrastructure and employees to establish and maintain records and data sufficient to verify compliance with any Commission rules for SSO customers;</w:t>
      </w:r>
    </w:p>
    <w:p w14:paraId="094383E5" w14:textId="5307BA83" w:rsidR="000D7232" w:rsidRPr="000D7232" w:rsidRDefault="000D7232" w:rsidP="000D72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IT employees, infrastructure, and software;</w:t>
      </w:r>
    </w:p>
    <w:p w14:paraId="7B197BFA" w14:textId="77777777" w:rsidR="000D7232" w:rsidRPr="000D7232" w:rsidRDefault="000D7232" w:rsidP="000D7232">
      <w:pPr>
        <w:pStyle w:val="BodyText"/>
        <w:numPr>
          <w:ilvl w:val="1"/>
          <w:numId w:val="6"/>
        </w:numPr>
        <w:spacing w:after="240" w:line="240" w:lineRule="auto"/>
        <w:rPr>
          <w:rFonts w:ascii="Arial" w:hAnsi="Arial" w:cs="Arial"/>
          <w:sz w:val="24"/>
          <w:szCs w:val="24"/>
        </w:rPr>
      </w:pPr>
      <w:r w:rsidRPr="000D7232">
        <w:rPr>
          <w:rFonts w:ascii="Arial" w:hAnsi="Arial" w:cs="Arial"/>
          <w:sz w:val="24"/>
          <w:szCs w:val="24"/>
        </w:rPr>
        <w:t>Administrative and general salaries and infrastructure to comply with the regulatory rule requirements for the SSO service and oversee minimum standards for service quality, safety and reliability and to manage the risks of providing the service;</w:t>
      </w:r>
    </w:p>
    <w:p w14:paraId="6C161DE5" w14:textId="2C8BC0B8" w:rsidR="000D7232" w:rsidRPr="000D7232" w:rsidRDefault="000D7232" w:rsidP="000D72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Outside and inside legal, regulatory, and compliance personnel to comply with the regulatory rule requirements for the SSO;</w:t>
      </w:r>
    </w:p>
    <w:p w14:paraId="07134273" w14:textId="19855E9F" w:rsidR="000D7232" w:rsidRPr="000D7232" w:rsidRDefault="000D7232" w:rsidP="000D72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 xml:space="preserve">Administrative and processing costs for uncollectible; </w:t>
      </w:r>
    </w:p>
    <w:p w14:paraId="54037EE5" w14:textId="7B5225E9" w:rsidR="000D7232" w:rsidRPr="000D7232" w:rsidRDefault="000D7232" w:rsidP="000D72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Office space for employees to provide these services;</w:t>
      </w:r>
    </w:p>
    <w:p w14:paraId="6FA4E949" w14:textId="089C9D7B" w:rsidR="000D7232" w:rsidRPr="000D7232" w:rsidRDefault="000D7232" w:rsidP="000D72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The regulatory assessments for the PUCO and the Ohio Consumers’ Counsel (OCC) that are based on SSO generation revenue, but are recovered through distribution rates;</w:t>
      </w:r>
    </w:p>
    <w:p w14:paraId="6A7EBCDF" w14:textId="5B52C82A" w:rsidR="000D7232" w:rsidRPr="000D7232" w:rsidRDefault="000D7232" w:rsidP="000D7232">
      <w:pPr>
        <w:pStyle w:val="BodyText"/>
        <w:numPr>
          <w:ilvl w:val="1"/>
          <w:numId w:val="6"/>
        </w:numPr>
        <w:spacing w:after="240" w:line="240" w:lineRule="auto"/>
        <w:rPr>
          <w:rFonts w:ascii="Arial" w:hAnsi="Arial" w:cs="Arial"/>
          <w:sz w:val="24"/>
          <w:szCs w:val="24"/>
        </w:rPr>
      </w:pPr>
      <w:r w:rsidRPr="000D7232">
        <w:rPr>
          <w:rFonts w:ascii="Arial" w:hAnsi="Arial" w:cs="Arial"/>
          <w:w w:val="105"/>
          <w:sz w:val="24"/>
          <w:szCs w:val="24"/>
        </w:rPr>
        <w:t>Taxes Other than Income Taxes such as labor taxes, property taxes and excise taxes associated with other costs to support SSO service.</w:t>
      </w:r>
      <w:r w:rsidR="00101A37">
        <w:rPr>
          <w:rStyle w:val="FootnoteReference"/>
          <w:rFonts w:ascii="Arial" w:hAnsi="Arial" w:cs="Arial"/>
          <w:w w:val="105"/>
          <w:sz w:val="24"/>
          <w:szCs w:val="24"/>
        </w:rPr>
        <w:footnoteReference w:id="40"/>
      </w:r>
    </w:p>
    <w:p w14:paraId="44E301AF" w14:textId="168F0302" w:rsidR="000C28C4" w:rsidRPr="006E3097" w:rsidRDefault="0064725C" w:rsidP="000D7232">
      <w:pPr>
        <w:spacing w:after="0" w:line="480" w:lineRule="auto"/>
        <w:jc w:val="both"/>
        <w:rPr>
          <w:rFonts w:ascii="Arial" w:hAnsi="Arial" w:cs="Arial"/>
          <w:sz w:val="24"/>
          <w:szCs w:val="24"/>
        </w:rPr>
      </w:pPr>
      <w:r w:rsidRPr="0064725C">
        <w:rPr>
          <w:rFonts w:ascii="Arial" w:hAnsi="Arial" w:cs="Arial"/>
          <w:sz w:val="24"/>
          <w:szCs w:val="24"/>
        </w:rPr>
        <w:t xml:space="preserve">According to the FERC Uniform System of Accounts, Dayton accounts for these expenses in FERC categories Customer Accounting Expense, Customer Service and </w:t>
      </w:r>
      <w:r w:rsidRPr="0064725C">
        <w:rPr>
          <w:rFonts w:ascii="Arial" w:hAnsi="Arial" w:cs="Arial"/>
          <w:sz w:val="24"/>
          <w:szCs w:val="24"/>
        </w:rPr>
        <w:lastRenderedPageBreak/>
        <w:t>Information Expense, Sales Expense, Administrative and General Expenses and Taxes Other than Income Taxes Expense.</w:t>
      </w:r>
      <w:r>
        <w:rPr>
          <w:rFonts w:ascii="Arial" w:hAnsi="Arial" w:cs="Arial"/>
          <w:sz w:val="24"/>
          <w:szCs w:val="24"/>
        </w:rPr>
        <w:t xml:space="preserve">  </w:t>
      </w:r>
      <w:r w:rsidR="000D7232">
        <w:rPr>
          <w:rFonts w:ascii="Arial" w:hAnsi="Arial" w:cs="Arial"/>
          <w:sz w:val="24"/>
          <w:szCs w:val="24"/>
        </w:rPr>
        <w:t>At various points of the hearing, DP&amp;L and St</w:t>
      </w:r>
      <w:r w:rsidR="00AE7E7B">
        <w:rPr>
          <w:rFonts w:ascii="Arial" w:hAnsi="Arial" w:cs="Arial"/>
          <w:sz w:val="24"/>
          <w:szCs w:val="24"/>
        </w:rPr>
        <w:t xml:space="preserve">aff agreed that </w:t>
      </w:r>
      <w:r w:rsidR="00AE7E7B" w:rsidRPr="006E3097">
        <w:rPr>
          <w:rFonts w:ascii="Arial" w:hAnsi="Arial" w:cs="Arial"/>
          <w:sz w:val="24"/>
          <w:szCs w:val="24"/>
        </w:rPr>
        <w:t>many of these</w:t>
      </w:r>
      <w:r w:rsidR="000D7232" w:rsidRPr="006E3097">
        <w:rPr>
          <w:rFonts w:ascii="Arial" w:hAnsi="Arial" w:cs="Arial"/>
          <w:sz w:val="24"/>
          <w:szCs w:val="24"/>
        </w:rPr>
        <w:t xml:space="preserve"> costs must be incurred to support the SSO.</w:t>
      </w:r>
      <w:r w:rsidR="00101A37">
        <w:rPr>
          <w:rStyle w:val="FootnoteReference"/>
          <w:rFonts w:ascii="Arial" w:hAnsi="Arial" w:cs="Arial"/>
          <w:sz w:val="24"/>
          <w:szCs w:val="24"/>
        </w:rPr>
        <w:footnoteReference w:id="41"/>
      </w:r>
      <w:r w:rsidR="000C28C4">
        <w:rPr>
          <w:rFonts w:ascii="Arial" w:hAnsi="Arial" w:cs="Arial"/>
          <w:sz w:val="24"/>
          <w:szCs w:val="24"/>
        </w:rPr>
        <w:t xml:space="preserve">  These costs proposed for recovery through distribution rates are in addition to the unfunded subsidy that the Stipulation proposes that DP&amp;L provide to the SSO, for example, for $5 million in unrecovered litigation expenses related to the last SSO case.</w:t>
      </w:r>
      <w:r w:rsidR="000C28C4">
        <w:rPr>
          <w:rStyle w:val="FootnoteReference"/>
          <w:rFonts w:ascii="Arial" w:hAnsi="Arial" w:cs="Arial"/>
          <w:sz w:val="24"/>
          <w:szCs w:val="24"/>
        </w:rPr>
        <w:footnoteReference w:id="42"/>
      </w:r>
      <w:r w:rsidR="000C28C4">
        <w:rPr>
          <w:rFonts w:ascii="Arial" w:hAnsi="Arial" w:cs="Arial"/>
          <w:sz w:val="24"/>
          <w:szCs w:val="24"/>
        </w:rPr>
        <w:t xml:space="preserve"> </w:t>
      </w:r>
    </w:p>
    <w:p w14:paraId="7914DD24" w14:textId="77777777" w:rsidR="00225120" w:rsidRPr="006E3097" w:rsidRDefault="0064725C" w:rsidP="000D7232">
      <w:pPr>
        <w:spacing w:after="0" w:line="480" w:lineRule="auto"/>
        <w:jc w:val="both"/>
        <w:rPr>
          <w:rFonts w:ascii="Arial" w:hAnsi="Arial" w:cs="Arial"/>
          <w:b/>
          <w:sz w:val="24"/>
          <w:szCs w:val="24"/>
        </w:rPr>
      </w:pPr>
      <w:r w:rsidRPr="006E3097">
        <w:rPr>
          <w:rFonts w:ascii="Arial" w:hAnsi="Arial" w:cs="Arial"/>
          <w:sz w:val="24"/>
          <w:szCs w:val="24"/>
        </w:rPr>
        <w:tab/>
      </w:r>
      <w:r w:rsidR="00225120" w:rsidRPr="006E3097">
        <w:rPr>
          <w:rFonts w:ascii="Arial" w:hAnsi="Arial" w:cs="Arial"/>
          <w:b/>
          <w:sz w:val="24"/>
          <w:szCs w:val="24"/>
        </w:rPr>
        <w:tab/>
        <w:t xml:space="preserve">d. CRES </w:t>
      </w:r>
      <w:r w:rsidR="003C1AF5" w:rsidRPr="006E3097">
        <w:rPr>
          <w:rFonts w:ascii="Arial" w:hAnsi="Arial" w:cs="Arial"/>
          <w:b/>
          <w:sz w:val="24"/>
          <w:szCs w:val="24"/>
        </w:rPr>
        <w:t>Providers Bear</w:t>
      </w:r>
      <w:r w:rsidR="00225120" w:rsidRPr="006E3097">
        <w:rPr>
          <w:rFonts w:ascii="Arial" w:hAnsi="Arial" w:cs="Arial"/>
          <w:b/>
          <w:sz w:val="24"/>
          <w:szCs w:val="24"/>
        </w:rPr>
        <w:t xml:space="preserve"> </w:t>
      </w:r>
      <w:r w:rsidR="003C1AF5" w:rsidRPr="006E3097">
        <w:rPr>
          <w:rFonts w:ascii="Arial" w:hAnsi="Arial" w:cs="Arial"/>
          <w:b/>
          <w:sz w:val="24"/>
          <w:szCs w:val="24"/>
        </w:rPr>
        <w:t>Comparable</w:t>
      </w:r>
      <w:r w:rsidR="00225120" w:rsidRPr="006E3097">
        <w:rPr>
          <w:rFonts w:ascii="Arial" w:hAnsi="Arial" w:cs="Arial"/>
          <w:b/>
          <w:sz w:val="24"/>
          <w:szCs w:val="24"/>
        </w:rPr>
        <w:t xml:space="preserve"> Costs and Pay Fees</w:t>
      </w:r>
      <w:r w:rsidR="003C1AF5" w:rsidRPr="006E3097">
        <w:rPr>
          <w:rFonts w:ascii="Arial" w:hAnsi="Arial" w:cs="Arial"/>
          <w:b/>
          <w:sz w:val="24"/>
          <w:szCs w:val="24"/>
        </w:rPr>
        <w:t xml:space="preserve"> to DP&amp;L</w:t>
      </w:r>
    </w:p>
    <w:p w14:paraId="4B05EAA6" w14:textId="77777777" w:rsidR="003C1AF5" w:rsidRPr="006E3097" w:rsidRDefault="003C1AF5" w:rsidP="000D7232">
      <w:pPr>
        <w:spacing w:after="0" w:line="480" w:lineRule="auto"/>
        <w:jc w:val="both"/>
        <w:rPr>
          <w:rFonts w:ascii="Arial" w:hAnsi="Arial" w:cs="Arial"/>
          <w:sz w:val="24"/>
          <w:szCs w:val="24"/>
        </w:rPr>
      </w:pPr>
      <w:r w:rsidRPr="006E3097">
        <w:rPr>
          <w:rFonts w:ascii="Arial" w:hAnsi="Arial" w:cs="Arial"/>
          <w:b/>
          <w:sz w:val="24"/>
          <w:szCs w:val="24"/>
        </w:rPr>
        <w:tab/>
      </w:r>
      <w:r w:rsidRPr="006E3097">
        <w:rPr>
          <w:rFonts w:ascii="Arial" w:hAnsi="Arial" w:cs="Arial"/>
          <w:sz w:val="24"/>
          <w:szCs w:val="24"/>
        </w:rPr>
        <w:t>The record reflects that the costs that SSO-related costs that DP&amp;L proposes to recover through distribution rates “are like the costs that are required of the CRES providers to administer and process shopping customers generation service.”</w:t>
      </w:r>
      <w:r w:rsidRPr="006E3097">
        <w:rPr>
          <w:rStyle w:val="FootnoteReference"/>
          <w:rFonts w:ascii="Arial" w:hAnsi="Arial" w:cs="Arial"/>
          <w:sz w:val="24"/>
          <w:szCs w:val="24"/>
        </w:rPr>
        <w:footnoteReference w:id="43"/>
      </w:r>
      <w:r w:rsidRPr="006E3097">
        <w:rPr>
          <w:rFonts w:ascii="Arial" w:hAnsi="Arial" w:cs="Arial"/>
          <w:sz w:val="24"/>
          <w:szCs w:val="24"/>
        </w:rPr>
        <w:t xml:space="preserve">  Some of these costs are detailed by the Commission’s own rules.  For example, like DP&amp;L, CRES providers must have resources to investigate customer inquiries, complaints, </w:t>
      </w:r>
    </w:p>
    <w:p w14:paraId="45B3D5E2" w14:textId="77777777" w:rsidR="003C1AF5" w:rsidRPr="006E3097" w:rsidRDefault="003C1AF5" w:rsidP="003C1AF5">
      <w:pPr>
        <w:spacing w:after="0" w:line="240" w:lineRule="auto"/>
        <w:ind w:left="720" w:right="720"/>
        <w:jc w:val="both"/>
        <w:rPr>
          <w:rFonts w:ascii="Arial" w:hAnsi="Arial" w:cs="Arial"/>
          <w:sz w:val="24"/>
          <w:szCs w:val="24"/>
        </w:rPr>
      </w:pPr>
      <w:r w:rsidRPr="006E3097">
        <w:rPr>
          <w:rFonts w:ascii="Arial" w:hAnsi="Arial" w:cs="Arial"/>
          <w:sz w:val="24"/>
          <w:szCs w:val="24"/>
        </w:rPr>
        <w:t>4901:1-21-08(B) requires CRES providers to investigate customer complaints and provide a status report within three business days following receipt of the complaint. This rule requires CRES providers to staff and educate a complaint department and be prepared to respond to any complaint that a customer initiates. Similarly, OAC Section 4901:1-10-21(C) requires each electric utility investigate customer/consumer complaints and provide a status report within three business days of the date of receipt of the complaint.</w:t>
      </w:r>
      <w:r w:rsidRPr="006E3097">
        <w:rPr>
          <w:rStyle w:val="FootnoteReference"/>
          <w:rFonts w:ascii="Arial" w:hAnsi="Arial" w:cs="Arial"/>
          <w:sz w:val="24"/>
          <w:szCs w:val="24"/>
        </w:rPr>
        <w:footnoteReference w:id="44"/>
      </w:r>
      <w:r w:rsidRPr="006E3097">
        <w:rPr>
          <w:rFonts w:ascii="Arial" w:hAnsi="Arial" w:cs="Arial"/>
          <w:sz w:val="24"/>
          <w:szCs w:val="24"/>
        </w:rPr>
        <w:t xml:space="preserve"> </w:t>
      </w:r>
    </w:p>
    <w:p w14:paraId="0562CB0E" w14:textId="77777777" w:rsidR="003C1AF5" w:rsidRPr="006E3097" w:rsidRDefault="003C1AF5" w:rsidP="003C1AF5">
      <w:pPr>
        <w:spacing w:after="0" w:line="240" w:lineRule="auto"/>
        <w:ind w:right="720"/>
        <w:jc w:val="both"/>
        <w:rPr>
          <w:rFonts w:ascii="Arial" w:hAnsi="Arial" w:cs="Arial"/>
          <w:sz w:val="24"/>
          <w:szCs w:val="24"/>
        </w:rPr>
      </w:pPr>
    </w:p>
    <w:p w14:paraId="3BA01DB9" w14:textId="77777777" w:rsidR="003C1AF5" w:rsidRPr="006E3097" w:rsidRDefault="003C1AF5" w:rsidP="006E3097">
      <w:pPr>
        <w:spacing w:after="0" w:line="480" w:lineRule="auto"/>
        <w:jc w:val="both"/>
        <w:rPr>
          <w:rFonts w:ascii="Arial" w:hAnsi="Arial" w:cs="Arial"/>
          <w:sz w:val="24"/>
          <w:szCs w:val="24"/>
        </w:rPr>
      </w:pPr>
      <w:r w:rsidRPr="006E3097">
        <w:rPr>
          <w:rFonts w:ascii="Arial" w:hAnsi="Arial" w:cs="Arial"/>
          <w:sz w:val="24"/>
          <w:szCs w:val="24"/>
        </w:rPr>
        <w:lastRenderedPageBreak/>
        <w:t xml:space="preserve">Moreover, Mr. Hess identified many other costs such as </w:t>
      </w:r>
      <w:r w:rsidR="006E3097" w:rsidRPr="006E3097">
        <w:rPr>
          <w:rFonts w:ascii="Arial" w:hAnsi="Arial" w:cs="Arial"/>
          <w:sz w:val="24"/>
          <w:szCs w:val="24"/>
        </w:rPr>
        <w:t>customer education, protections against misleading practices, administration and overhead costs associated with contracts, record retention requirements, compliance with Commission rules, and customer billing:</w:t>
      </w:r>
    </w:p>
    <w:p w14:paraId="09F6DCCE" w14:textId="6643AD8B" w:rsidR="003C1AF5" w:rsidRPr="006E3097" w:rsidRDefault="003C1AF5" w:rsidP="006E3097">
      <w:pPr>
        <w:pStyle w:val="BodyText"/>
        <w:spacing w:after="0" w:line="240" w:lineRule="auto"/>
        <w:ind w:left="720" w:right="720"/>
        <w:jc w:val="both"/>
        <w:rPr>
          <w:rFonts w:ascii="Arial" w:eastAsia="Calibri" w:hAnsi="Arial" w:cs="Arial"/>
          <w:sz w:val="24"/>
          <w:szCs w:val="24"/>
        </w:rPr>
      </w:pPr>
      <w:r w:rsidRPr="006E3097">
        <w:rPr>
          <w:rFonts w:ascii="Arial" w:eastAsia="Calibri" w:hAnsi="Arial" w:cs="Arial"/>
          <w:sz w:val="24"/>
          <w:szCs w:val="24"/>
        </w:rPr>
        <w:t>Other types of costs would include providing minimum standards for customer service quality, safety, and reliability, providing consumers with sufficient information to make informed decisions about competitive retail electric service, protect consumers against misleading, deceptive, unfair, and unconscionable acts and practices in the marketing, solicitation, and sale of CRES and in the administration of any contract for that service, establish and maintain records and data sufficient to verify its compliance with the requirements of any applicable commission rules and support any investigation of customer complaints, maintain those records for no less than two years, establish reasonable and nondiscriminatory creditworthiness standards, require a deposit or other reasonable demonstration of creditworthiness from a customer as a condition of providing service, provide reasonable access to its service representatives, a customer complaint process, environmental disclosures, timely provide to the customer up to twenty-four months of the customer’s payment history, net-metering service and customer billing and payments.</w:t>
      </w:r>
      <w:r w:rsidR="00AD1BA0">
        <w:rPr>
          <w:rStyle w:val="FootnoteReference"/>
          <w:rFonts w:ascii="Arial" w:eastAsia="Calibri" w:hAnsi="Arial" w:cs="Arial"/>
          <w:sz w:val="24"/>
          <w:szCs w:val="24"/>
        </w:rPr>
        <w:footnoteReference w:id="45"/>
      </w:r>
    </w:p>
    <w:p w14:paraId="34CE0A41" w14:textId="77777777" w:rsidR="003C1AF5" w:rsidRPr="006E3097" w:rsidRDefault="003C1AF5" w:rsidP="003C1AF5">
      <w:pPr>
        <w:spacing w:after="0" w:line="240" w:lineRule="auto"/>
        <w:ind w:right="720"/>
        <w:jc w:val="both"/>
        <w:rPr>
          <w:rFonts w:ascii="Arial" w:hAnsi="Arial" w:cs="Arial"/>
          <w:sz w:val="24"/>
          <w:szCs w:val="24"/>
        </w:rPr>
      </w:pPr>
    </w:p>
    <w:p w14:paraId="4293A80B" w14:textId="069A1FDC" w:rsidR="006E3097" w:rsidRPr="008D3734" w:rsidRDefault="006E3097" w:rsidP="006E3097">
      <w:pPr>
        <w:spacing w:after="0" w:line="480" w:lineRule="auto"/>
        <w:jc w:val="both"/>
        <w:rPr>
          <w:rFonts w:ascii="Arial" w:hAnsi="Arial" w:cs="Arial"/>
          <w:i/>
          <w:sz w:val="24"/>
          <w:szCs w:val="24"/>
        </w:rPr>
      </w:pPr>
      <w:r w:rsidRPr="006E3097">
        <w:rPr>
          <w:rFonts w:ascii="Arial" w:hAnsi="Arial" w:cs="Arial"/>
          <w:i/>
          <w:sz w:val="24"/>
          <w:szCs w:val="24"/>
        </w:rPr>
        <w:t>Each of these costs are in addition to the</w:t>
      </w:r>
      <w:r>
        <w:rPr>
          <w:rFonts w:ascii="Arial" w:hAnsi="Arial" w:cs="Arial"/>
          <w:i/>
          <w:sz w:val="24"/>
          <w:szCs w:val="24"/>
        </w:rPr>
        <w:t xml:space="preserve"> millions of dollars in</w:t>
      </w:r>
      <w:r w:rsidR="008D3734">
        <w:rPr>
          <w:rFonts w:ascii="Arial" w:hAnsi="Arial" w:cs="Arial"/>
          <w:i/>
          <w:sz w:val="24"/>
          <w:szCs w:val="24"/>
        </w:rPr>
        <w:t xml:space="preserve"> switching fees</w:t>
      </w:r>
      <w:r w:rsidRPr="006E3097">
        <w:rPr>
          <w:rFonts w:ascii="Arial" w:hAnsi="Arial" w:cs="Arial"/>
          <w:i/>
          <w:sz w:val="24"/>
          <w:szCs w:val="24"/>
        </w:rPr>
        <w:t xml:space="preserve"> and interval data fees that CRES providers pay DP&amp;L just to serve customers</w:t>
      </w:r>
      <w:r>
        <w:rPr>
          <w:rFonts w:ascii="Arial" w:hAnsi="Arial" w:cs="Arial"/>
          <w:sz w:val="24"/>
          <w:szCs w:val="24"/>
        </w:rPr>
        <w:t>.</w:t>
      </w:r>
      <w:r w:rsidR="00AD1BA0">
        <w:rPr>
          <w:rStyle w:val="FootnoteReference"/>
          <w:rFonts w:ascii="Arial" w:hAnsi="Arial" w:cs="Arial"/>
          <w:sz w:val="24"/>
          <w:szCs w:val="24"/>
        </w:rPr>
        <w:footnoteReference w:id="46"/>
      </w:r>
      <w:r>
        <w:rPr>
          <w:rFonts w:ascii="Arial" w:hAnsi="Arial" w:cs="Arial"/>
          <w:sz w:val="24"/>
          <w:szCs w:val="24"/>
        </w:rPr>
        <w:t xml:space="preserve">  Indeed:</w:t>
      </w:r>
    </w:p>
    <w:p w14:paraId="262FDFFB" w14:textId="122AD046" w:rsidR="003C1AF5" w:rsidRDefault="006E3097" w:rsidP="006E3097">
      <w:pPr>
        <w:spacing w:after="0" w:line="240" w:lineRule="auto"/>
        <w:ind w:left="720" w:right="720"/>
        <w:jc w:val="both"/>
        <w:rPr>
          <w:rFonts w:ascii="Arial" w:hAnsi="Arial" w:cs="Arial"/>
          <w:sz w:val="24"/>
          <w:szCs w:val="24"/>
        </w:rPr>
      </w:pPr>
      <w:r w:rsidRPr="006E3097">
        <w:rPr>
          <w:rFonts w:ascii="Arial" w:hAnsi="Arial" w:cs="Arial"/>
          <w:sz w:val="24"/>
          <w:szCs w:val="24"/>
        </w:rPr>
        <w:t>In the test year alone, CRES suppliers and their customers paid Dayton $247,120 in switching fees.  These fees likely exceeded $1 million since 2012.  Customers are not required to pay switching fees to return to the SSO.  Moreover, Dayton charges CRES providers $150 for each interval data request. During the test year, CRES providers paid Dayton $339,300 in interval data fees.  The historical usage fees amounted to over $500,000 in 2016 alone, and approximately $2.7 million since 2012.  Each of the fees discussed above are separate and apart from internal costs that CRES providers must incur to make a competitive product available and must recover these costs through their rates.</w:t>
      </w:r>
      <w:r w:rsidR="00AD1BA0">
        <w:rPr>
          <w:rStyle w:val="FootnoteReference"/>
          <w:rFonts w:ascii="Arial" w:hAnsi="Arial" w:cs="Arial"/>
          <w:sz w:val="24"/>
          <w:szCs w:val="24"/>
        </w:rPr>
        <w:footnoteReference w:id="47"/>
      </w:r>
    </w:p>
    <w:p w14:paraId="62EBF3C5" w14:textId="77777777" w:rsidR="006E3097" w:rsidRDefault="006E3097" w:rsidP="006E3097">
      <w:pPr>
        <w:spacing w:after="0" w:line="240" w:lineRule="auto"/>
        <w:ind w:right="720"/>
        <w:jc w:val="both"/>
        <w:rPr>
          <w:rFonts w:ascii="Arial" w:hAnsi="Arial" w:cs="Arial"/>
          <w:sz w:val="24"/>
          <w:szCs w:val="24"/>
        </w:rPr>
      </w:pPr>
    </w:p>
    <w:p w14:paraId="152A19B0" w14:textId="10A37E20" w:rsidR="008D3734" w:rsidRPr="008D3734" w:rsidRDefault="008D3734" w:rsidP="00BC7F4B">
      <w:pPr>
        <w:spacing w:after="0" w:line="480" w:lineRule="auto"/>
        <w:jc w:val="both"/>
        <w:rPr>
          <w:rFonts w:ascii="Arial" w:hAnsi="Arial" w:cs="Arial"/>
          <w:sz w:val="24"/>
          <w:szCs w:val="24"/>
        </w:rPr>
      </w:pPr>
      <w:r>
        <w:rPr>
          <w:rFonts w:ascii="Arial" w:hAnsi="Arial" w:cs="Arial"/>
          <w:sz w:val="24"/>
          <w:szCs w:val="24"/>
        </w:rPr>
        <w:lastRenderedPageBreak/>
        <w:t xml:space="preserve">Incredibly, DP&amp;L has performed </w:t>
      </w:r>
      <w:r>
        <w:rPr>
          <w:rFonts w:ascii="Arial" w:hAnsi="Arial" w:cs="Arial"/>
          <w:i/>
          <w:sz w:val="24"/>
          <w:szCs w:val="24"/>
        </w:rPr>
        <w:t xml:space="preserve">zero </w:t>
      </w:r>
      <w:r>
        <w:rPr>
          <w:rFonts w:ascii="Arial" w:hAnsi="Arial" w:cs="Arial"/>
          <w:sz w:val="24"/>
          <w:szCs w:val="24"/>
        </w:rPr>
        <w:t>analysis to support the reasonableness of any of the fees that it assesses to CRES providers or customers.</w:t>
      </w:r>
      <w:r>
        <w:rPr>
          <w:rStyle w:val="FootnoteReference"/>
          <w:rFonts w:ascii="Arial" w:hAnsi="Arial" w:cs="Arial"/>
          <w:sz w:val="24"/>
          <w:szCs w:val="24"/>
        </w:rPr>
        <w:footnoteReference w:id="48"/>
      </w:r>
      <w:r>
        <w:rPr>
          <w:rFonts w:ascii="Arial" w:hAnsi="Arial" w:cs="Arial"/>
          <w:sz w:val="24"/>
          <w:szCs w:val="24"/>
        </w:rPr>
        <w:t xml:space="preserve">  </w:t>
      </w:r>
    </w:p>
    <w:p w14:paraId="7F416570" w14:textId="3EBB6B6B" w:rsidR="003C1AF5" w:rsidRPr="003C1AF5" w:rsidRDefault="008D3734" w:rsidP="008D3734">
      <w:pPr>
        <w:spacing w:after="0" w:line="480" w:lineRule="auto"/>
        <w:ind w:firstLine="720"/>
        <w:jc w:val="both"/>
        <w:rPr>
          <w:rFonts w:ascii="Arial" w:hAnsi="Arial" w:cs="Arial"/>
          <w:sz w:val="24"/>
          <w:szCs w:val="24"/>
        </w:rPr>
      </w:pPr>
      <w:r>
        <w:rPr>
          <w:rFonts w:ascii="Arial" w:hAnsi="Arial" w:cs="Arial"/>
          <w:sz w:val="24"/>
          <w:szCs w:val="24"/>
        </w:rPr>
        <w:t xml:space="preserve">After reviewing the outcome proposed by the Stipulation, </w:t>
      </w:r>
      <w:r w:rsidR="00BC7F4B">
        <w:rPr>
          <w:rFonts w:ascii="Arial" w:hAnsi="Arial" w:cs="Arial"/>
          <w:sz w:val="24"/>
          <w:szCs w:val="24"/>
        </w:rPr>
        <w:t>Mr. Hess concluded the proposed paradigm—requiring CRES customers to pay for overhead costs of their CRES providers, embedded fees, and the overhead of SSO customers through distribution rates—</w:t>
      </w:r>
      <w:r w:rsidR="00BC7F4B" w:rsidRPr="00BC7F4B">
        <w:rPr>
          <w:rFonts w:ascii="Arial" w:hAnsi="Arial" w:cs="Arial"/>
          <w:sz w:val="24"/>
          <w:szCs w:val="24"/>
        </w:rPr>
        <w:t>is fundamentally unfair</w:t>
      </w:r>
      <w:r w:rsidR="00BC7F4B">
        <w:rPr>
          <w:rFonts w:ascii="Arial" w:hAnsi="Arial" w:cs="Arial"/>
          <w:sz w:val="24"/>
          <w:szCs w:val="24"/>
        </w:rPr>
        <w:t>.  Therefore,</w:t>
      </w:r>
      <w:r w:rsidR="006E3097">
        <w:rPr>
          <w:rFonts w:ascii="Arial" w:hAnsi="Arial" w:cs="Arial"/>
          <w:sz w:val="24"/>
          <w:szCs w:val="24"/>
        </w:rPr>
        <w:t xml:space="preserve"> Mr. Hess was compelled to quantify the competitive SSO costs that the Stipulation proposes DP&amp;L be permitted to recover through its non-competitive distribution rates</w:t>
      </w:r>
      <w:r w:rsidR="00BC7F4B">
        <w:rPr>
          <w:rFonts w:ascii="Arial" w:hAnsi="Arial" w:cs="Arial"/>
          <w:sz w:val="24"/>
          <w:szCs w:val="24"/>
        </w:rPr>
        <w:t xml:space="preserve"> and to recommend a reallocation of such costs to SSO rates</w:t>
      </w:r>
      <w:r w:rsidR="006E3097">
        <w:rPr>
          <w:rFonts w:ascii="Arial" w:hAnsi="Arial" w:cs="Arial"/>
          <w:sz w:val="24"/>
          <w:szCs w:val="24"/>
        </w:rPr>
        <w:t>.</w:t>
      </w:r>
    </w:p>
    <w:p w14:paraId="31CD2658" w14:textId="77777777" w:rsidR="00225120" w:rsidRPr="00225120" w:rsidRDefault="00225120" w:rsidP="000D7232">
      <w:pPr>
        <w:spacing w:after="0" w:line="480" w:lineRule="auto"/>
        <w:jc w:val="both"/>
        <w:rPr>
          <w:rFonts w:ascii="Arial" w:hAnsi="Arial" w:cs="Arial"/>
          <w:b/>
          <w:sz w:val="24"/>
          <w:szCs w:val="24"/>
        </w:rPr>
      </w:pPr>
      <w:r>
        <w:rPr>
          <w:rFonts w:ascii="Arial" w:hAnsi="Arial" w:cs="Arial"/>
          <w:b/>
          <w:i/>
          <w:sz w:val="24"/>
          <w:szCs w:val="24"/>
        </w:rPr>
        <w:tab/>
      </w:r>
      <w:r>
        <w:rPr>
          <w:rFonts w:ascii="Arial" w:hAnsi="Arial" w:cs="Arial"/>
          <w:b/>
          <w:i/>
          <w:sz w:val="24"/>
          <w:szCs w:val="24"/>
        </w:rPr>
        <w:tab/>
      </w:r>
      <w:r>
        <w:rPr>
          <w:rFonts w:ascii="Arial" w:hAnsi="Arial" w:cs="Arial"/>
          <w:b/>
          <w:sz w:val="24"/>
          <w:szCs w:val="24"/>
        </w:rPr>
        <w:t>e. Quantification of the SSO Subsidy</w:t>
      </w:r>
    </w:p>
    <w:p w14:paraId="7D1257B8" w14:textId="77777777" w:rsidR="0064725C" w:rsidRDefault="00FA18AE" w:rsidP="000D7232">
      <w:pPr>
        <w:spacing w:after="0"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To quantify the </w:t>
      </w:r>
      <w:r w:rsidR="00BC7F4B">
        <w:rPr>
          <w:rFonts w:ascii="Arial" w:hAnsi="Arial" w:cs="Arial"/>
          <w:sz w:val="24"/>
          <w:szCs w:val="24"/>
        </w:rPr>
        <w:t xml:space="preserve">distribution rate subsidy the </w:t>
      </w:r>
      <w:r>
        <w:rPr>
          <w:rFonts w:ascii="Arial" w:hAnsi="Arial" w:cs="Arial"/>
          <w:sz w:val="24"/>
          <w:szCs w:val="24"/>
        </w:rPr>
        <w:t>Staff Report acknowledged but declined to address, Mr. Hess relied upon standard industry rat</w:t>
      </w:r>
      <w:r w:rsidR="00BC7F4B">
        <w:rPr>
          <w:rFonts w:ascii="Arial" w:hAnsi="Arial" w:cs="Arial"/>
          <w:sz w:val="24"/>
          <w:szCs w:val="24"/>
        </w:rPr>
        <w:t xml:space="preserve">emaking practices to develop a </w:t>
      </w:r>
      <w:r>
        <w:rPr>
          <w:rFonts w:ascii="Arial" w:hAnsi="Arial" w:cs="Arial"/>
          <w:sz w:val="24"/>
          <w:szCs w:val="24"/>
        </w:rPr>
        <w:t>methodology to eliminate SSO-related costs from distribution rates.</w:t>
      </w:r>
      <w:r w:rsidR="00BC7F4B">
        <w:rPr>
          <w:rFonts w:ascii="Arial" w:hAnsi="Arial" w:cs="Arial"/>
          <w:sz w:val="24"/>
          <w:szCs w:val="24"/>
        </w:rPr>
        <w:t xml:space="preserve">  Specifically, Mr. Hess evaluated each of the categories of expenses and rate base items proposed for recovery through distribution rates:</w:t>
      </w:r>
    </w:p>
    <w:p w14:paraId="04E0D325" w14:textId="61C4E75A" w:rsidR="00BC7F4B" w:rsidRPr="00BC7F4B" w:rsidRDefault="00BC7F4B" w:rsidP="00BC7F4B">
      <w:pPr>
        <w:pStyle w:val="BodyText"/>
        <w:spacing w:after="0" w:line="240" w:lineRule="auto"/>
        <w:ind w:left="720" w:right="720"/>
        <w:jc w:val="both"/>
        <w:rPr>
          <w:rFonts w:ascii="Arial" w:hAnsi="Arial" w:cs="Arial"/>
          <w:sz w:val="24"/>
          <w:szCs w:val="24"/>
        </w:rPr>
      </w:pPr>
      <w:r w:rsidRPr="00BC7F4B">
        <w:rPr>
          <w:rFonts w:ascii="Arial" w:hAnsi="Arial" w:cs="Arial"/>
          <w:sz w:val="24"/>
          <w:szCs w:val="24"/>
        </w:rPr>
        <w:t xml:space="preserve">I reviewed the Schedule C-2.1 and have identified several accounts included in distribution expenses that would include the type of expenses I discussed earlier. These accounts are included in the FERC categories Customer Accounts Expense, Customer Service and Information Expense, Sales Expense, Administrative and General Expenses and Taxes Other Than Income Taxes. I reviewed these categories by specific FERC account to identify the accounts that would include costs that should be allocated to SSO customers. These accounts include costs such as PUCO and OCC assessments, legal and regulatory expenses, payroll taxes, call center costs, accounting costs, infrastructure costs, and several other categories of costs I have identified throughout my testimony. These accounts, which I have identified, contain costs that are being incurred to process or administer to the SSO. For instance, Customer Account Expense contains costs for receiving, recording, and handling of inquiries, complaints, and requests for investigations from customers, including SSO customers. </w:t>
      </w:r>
      <w:r w:rsidRPr="00BC7F4B">
        <w:rPr>
          <w:rFonts w:ascii="Arial" w:hAnsi="Arial" w:cs="Arial"/>
          <w:sz w:val="24"/>
          <w:szCs w:val="24"/>
        </w:rPr>
        <w:lastRenderedPageBreak/>
        <w:t>Dayton also recovers items such as the PUCO and OCC assessment, legal and compliance and other costs required to support the SSO service through the General and Administrative account. These are items that directly support SSO customers. The accounts that I selected are identified on JEH-2.</w:t>
      </w:r>
      <w:r w:rsidR="008D3734">
        <w:rPr>
          <w:rStyle w:val="FootnoteReference"/>
          <w:rFonts w:ascii="Arial" w:hAnsi="Arial" w:cs="Arial"/>
          <w:sz w:val="24"/>
          <w:szCs w:val="24"/>
        </w:rPr>
        <w:footnoteReference w:id="49"/>
      </w:r>
    </w:p>
    <w:p w14:paraId="6D98A12B" w14:textId="77777777" w:rsidR="00BC7F4B" w:rsidRDefault="00BC7F4B" w:rsidP="009C7267">
      <w:pPr>
        <w:spacing w:after="0" w:line="240" w:lineRule="auto"/>
        <w:ind w:right="720"/>
        <w:jc w:val="both"/>
        <w:rPr>
          <w:rFonts w:ascii="Arial" w:hAnsi="Arial" w:cs="Arial"/>
          <w:sz w:val="24"/>
          <w:szCs w:val="24"/>
        </w:rPr>
      </w:pPr>
    </w:p>
    <w:p w14:paraId="4DAAC876" w14:textId="77777777" w:rsidR="009C7267" w:rsidRDefault="009C7267" w:rsidP="009C7267">
      <w:pPr>
        <w:spacing w:after="0" w:line="480" w:lineRule="auto"/>
        <w:jc w:val="both"/>
        <w:rPr>
          <w:rFonts w:ascii="Arial" w:hAnsi="Arial" w:cs="Arial"/>
          <w:sz w:val="24"/>
          <w:szCs w:val="24"/>
        </w:rPr>
      </w:pPr>
      <w:r>
        <w:rPr>
          <w:rFonts w:ascii="Arial" w:hAnsi="Arial" w:cs="Arial"/>
          <w:sz w:val="24"/>
          <w:szCs w:val="24"/>
        </w:rPr>
        <w:t>Mr. Hess “</w:t>
      </w:r>
      <w:r w:rsidRPr="009C7267">
        <w:rPr>
          <w:rFonts w:ascii="Arial" w:hAnsi="Arial" w:cs="Arial"/>
          <w:sz w:val="24"/>
          <w:szCs w:val="24"/>
        </w:rPr>
        <w:t>then eliminated expenses that would have been directly associated with expenses and investments outside of the five categories.</w:t>
      </w:r>
      <w:r>
        <w:rPr>
          <w:rFonts w:ascii="Arial" w:hAnsi="Arial" w:cs="Arial"/>
          <w:sz w:val="24"/>
          <w:szCs w:val="24"/>
        </w:rPr>
        <w:t>”</w:t>
      </w:r>
      <w:r>
        <w:rPr>
          <w:rStyle w:val="FootnoteReference"/>
          <w:rFonts w:ascii="Arial" w:hAnsi="Arial" w:cs="Arial"/>
          <w:sz w:val="24"/>
          <w:szCs w:val="24"/>
        </w:rPr>
        <w:footnoteReference w:id="50"/>
      </w:r>
      <w:r>
        <w:rPr>
          <w:rFonts w:ascii="Arial" w:hAnsi="Arial" w:cs="Arial"/>
          <w:sz w:val="24"/>
          <w:szCs w:val="24"/>
        </w:rPr>
        <w:t xml:space="preserve">  </w:t>
      </w:r>
    </w:p>
    <w:p w14:paraId="6B26D59C" w14:textId="52DBBE6A" w:rsidR="006B5BE6" w:rsidRPr="00802C25" w:rsidRDefault="009C7267" w:rsidP="009C7267">
      <w:pPr>
        <w:spacing w:after="0" w:line="480" w:lineRule="auto"/>
        <w:ind w:firstLine="720"/>
        <w:jc w:val="both"/>
        <w:rPr>
          <w:rFonts w:ascii="Arial" w:hAnsi="Arial" w:cs="Arial"/>
          <w:sz w:val="24"/>
          <w:szCs w:val="24"/>
        </w:rPr>
      </w:pPr>
      <w:r>
        <w:rPr>
          <w:rFonts w:ascii="Arial" w:hAnsi="Arial" w:cs="Arial"/>
          <w:sz w:val="24"/>
          <w:szCs w:val="24"/>
        </w:rPr>
        <w:t>Regarding</w:t>
      </w:r>
      <w:r w:rsidRPr="00802C25">
        <w:rPr>
          <w:rFonts w:ascii="Arial" w:hAnsi="Arial" w:cs="Arial"/>
          <w:sz w:val="24"/>
          <w:szCs w:val="24"/>
        </w:rPr>
        <w:t xml:space="preserve"> the categories of expenses Mr. Hess identified, “[t]he adjusted expenses listed in each category support both distribution service and SSO service and need to be allocated to both services.”</w:t>
      </w:r>
      <w:r w:rsidR="008D3734">
        <w:rPr>
          <w:rStyle w:val="FootnoteReference"/>
          <w:rFonts w:ascii="Arial" w:hAnsi="Arial" w:cs="Arial"/>
          <w:sz w:val="24"/>
          <w:szCs w:val="24"/>
        </w:rPr>
        <w:footnoteReference w:id="51"/>
      </w:r>
      <w:r w:rsidRPr="00802C25">
        <w:rPr>
          <w:rFonts w:ascii="Arial" w:hAnsi="Arial" w:cs="Arial"/>
          <w:sz w:val="24"/>
          <w:szCs w:val="24"/>
        </w:rPr>
        <w:t xml:space="preserve">  To allocate these expenses between distribution service and SSO service, Mr. Hess “developed an allocation factor based upon the relationship of Dayton’s SSO revenue to total Dayton revenue and an allocation factor based on a weighted customer count allocator.”</w:t>
      </w:r>
      <w:r w:rsidR="008D3734">
        <w:rPr>
          <w:rStyle w:val="FootnoteReference"/>
          <w:rFonts w:ascii="Arial" w:hAnsi="Arial" w:cs="Arial"/>
          <w:sz w:val="24"/>
          <w:szCs w:val="24"/>
        </w:rPr>
        <w:footnoteReference w:id="52"/>
      </w:r>
      <w:r w:rsidRPr="00802C25">
        <w:rPr>
          <w:rFonts w:ascii="Arial" w:hAnsi="Arial" w:cs="Arial"/>
          <w:sz w:val="24"/>
          <w:szCs w:val="24"/>
        </w:rPr>
        <w:t xml:space="preserve">  </w:t>
      </w:r>
      <w:r w:rsidR="006B5BE6" w:rsidRPr="00802C25">
        <w:rPr>
          <w:rFonts w:ascii="Arial" w:hAnsi="Arial" w:cs="Arial"/>
          <w:sz w:val="24"/>
          <w:szCs w:val="24"/>
        </w:rPr>
        <w:t>The use of allocation factors</w:t>
      </w:r>
      <w:r w:rsidRPr="00802C25">
        <w:rPr>
          <w:rFonts w:ascii="Arial" w:hAnsi="Arial" w:cs="Arial"/>
          <w:sz w:val="24"/>
          <w:szCs w:val="24"/>
        </w:rPr>
        <w:t xml:space="preserve"> is common industry practice when costs cannot easily be allocated directly to a cost causer.</w:t>
      </w:r>
      <w:r w:rsidR="006B5BE6" w:rsidRPr="00802C25">
        <w:rPr>
          <w:rFonts w:ascii="Arial" w:hAnsi="Arial" w:cs="Arial"/>
          <w:sz w:val="24"/>
          <w:szCs w:val="24"/>
        </w:rPr>
        <w:t xml:space="preserve">  As explained further by Mr. Hess, the net result of applying the allocation factors of each category of cost is to identify expenses and rate base items that should be eliminated from distribution rates recovery from shopping customers.</w:t>
      </w:r>
      <w:r w:rsidR="008D3734">
        <w:rPr>
          <w:rStyle w:val="FootnoteReference"/>
          <w:rFonts w:ascii="Arial" w:hAnsi="Arial" w:cs="Arial"/>
          <w:sz w:val="24"/>
          <w:szCs w:val="24"/>
        </w:rPr>
        <w:footnoteReference w:id="53"/>
      </w:r>
      <w:r w:rsidR="006B5BE6" w:rsidRPr="00802C25">
        <w:rPr>
          <w:rFonts w:ascii="Arial" w:hAnsi="Arial" w:cs="Arial"/>
          <w:sz w:val="24"/>
          <w:szCs w:val="24"/>
        </w:rPr>
        <w:t xml:space="preserve"> </w:t>
      </w:r>
    </w:p>
    <w:p w14:paraId="59DCC919" w14:textId="570C0673" w:rsidR="00DB2023" w:rsidRDefault="009C7267" w:rsidP="009C7267">
      <w:pPr>
        <w:spacing w:after="0" w:line="480" w:lineRule="auto"/>
        <w:ind w:firstLine="720"/>
        <w:jc w:val="both"/>
        <w:rPr>
          <w:rFonts w:ascii="Arial" w:hAnsi="Arial" w:cs="Arial"/>
          <w:sz w:val="24"/>
          <w:szCs w:val="24"/>
        </w:rPr>
      </w:pPr>
      <w:r w:rsidRPr="00802C25">
        <w:rPr>
          <w:rFonts w:ascii="Arial" w:hAnsi="Arial" w:cs="Arial"/>
          <w:sz w:val="24"/>
          <w:szCs w:val="24"/>
        </w:rPr>
        <w:t xml:space="preserve">  </w:t>
      </w:r>
      <w:r w:rsidR="006B5BE6" w:rsidRPr="00802C25">
        <w:rPr>
          <w:rFonts w:ascii="Arial" w:hAnsi="Arial" w:cs="Arial"/>
          <w:sz w:val="24"/>
          <w:szCs w:val="24"/>
        </w:rPr>
        <w:t xml:space="preserve">To calculate the revenue allocation factor, Mr. Hess “divided Dayton’s SSO revenue by Dayton’s total revenue collected from customers to get the revenue allocation </w:t>
      </w:r>
      <w:r w:rsidR="006B5BE6" w:rsidRPr="00802C25">
        <w:rPr>
          <w:rFonts w:ascii="Arial" w:hAnsi="Arial" w:cs="Arial"/>
          <w:sz w:val="24"/>
          <w:szCs w:val="24"/>
        </w:rPr>
        <w:lastRenderedPageBreak/>
        <w:t>factor.”</w:t>
      </w:r>
      <w:r w:rsidR="008D3734">
        <w:rPr>
          <w:rStyle w:val="FootnoteReference"/>
          <w:rFonts w:ascii="Arial" w:hAnsi="Arial" w:cs="Arial"/>
          <w:sz w:val="24"/>
          <w:szCs w:val="24"/>
        </w:rPr>
        <w:footnoteReference w:id="54"/>
      </w:r>
      <w:r w:rsidR="008D3734">
        <w:rPr>
          <w:rFonts w:ascii="Arial" w:hAnsi="Arial" w:cs="Arial"/>
          <w:sz w:val="24"/>
          <w:szCs w:val="24"/>
        </w:rPr>
        <w:t xml:space="preserve"> </w:t>
      </w:r>
      <w:r w:rsidR="006B5BE6" w:rsidRPr="00802C25">
        <w:rPr>
          <w:rFonts w:ascii="Arial" w:hAnsi="Arial" w:cs="Arial"/>
          <w:sz w:val="24"/>
          <w:szCs w:val="24"/>
        </w:rPr>
        <w:t xml:space="preserve"> For the weighted customer allocation factor, Mr. Hess “accounted for SSO customers as both distribution customers and generation customers and accounted for shopping customers as only distribution customers.”</w:t>
      </w:r>
      <w:r w:rsidR="008D3734">
        <w:rPr>
          <w:rStyle w:val="FootnoteReference"/>
          <w:rFonts w:ascii="Arial" w:hAnsi="Arial" w:cs="Arial"/>
          <w:sz w:val="24"/>
          <w:szCs w:val="24"/>
        </w:rPr>
        <w:footnoteReference w:id="55"/>
      </w:r>
      <w:r w:rsidR="006B5BE6" w:rsidRPr="00802C25">
        <w:rPr>
          <w:rFonts w:ascii="Arial" w:hAnsi="Arial" w:cs="Arial"/>
          <w:sz w:val="24"/>
          <w:szCs w:val="24"/>
        </w:rPr>
        <w:t xml:space="preserve">  </w:t>
      </w:r>
    </w:p>
    <w:p w14:paraId="7AFF4E3E" w14:textId="5B7C89A8" w:rsidR="0064725C" w:rsidRPr="00802C25" w:rsidRDefault="00DB2023" w:rsidP="009C7267">
      <w:pPr>
        <w:spacing w:after="0" w:line="480" w:lineRule="auto"/>
        <w:ind w:firstLine="720"/>
        <w:jc w:val="both"/>
        <w:rPr>
          <w:rFonts w:ascii="Arial" w:hAnsi="Arial" w:cs="Arial"/>
          <w:sz w:val="24"/>
          <w:szCs w:val="24"/>
        </w:rPr>
      </w:pPr>
      <w:r>
        <w:rPr>
          <w:rFonts w:ascii="Arial" w:hAnsi="Arial" w:cs="Arial"/>
          <w:sz w:val="24"/>
          <w:szCs w:val="24"/>
        </w:rPr>
        <w:t>Further, Mr. Hess’s</w:t>
      </w:r>
      <w:r w:rsidR="006B5BE6" w:rsidRPr="00802C25">
        <w:rPr>
          <w:rFonts w:ascii="Arial" w:hAnsi="Arial" w:cs="Arial"/>
          <w:sz w:val="24"/>
          <w:szCs w:val="24"/>
        </w:rPr>
        <w:t xml:space="preserve"> allocation factor is particularly conservative</w:t>
      </w:r>
      <w:r>
        <w:rPr>
          <w:rFonts w:ascii="Arial" w:hAnsi="Arial" w:cs="Arial"/>
          <w:sz w:val="24"/>
          <w:szCs w:val="24"/>
        </w:rPr>
        <w:t xml:space="preserve"> because</w:t>
      </w:r>
      <w:r w:rsidR="006B5BE6" w:rsidRPr="00802C25">
        <w:rPr>
          <w:rFonts w:ascii="Arial" w:hAnsi="Arial" w:cs="Arial"/>
          <w:sz w:val="24"/>
          <w:szCs w:val="24"/>
        </w:rPr>
        <w:t xml:space="preserve"> the numerator of the calculation considers only customers on the SSO.  But the denominator counts each SSO customer twice (once for their distribution service and again for their competitive service) in addition to counting shopping customers once in the denominator.  Consequently, although DP&amp;L has more customers on SSO service then shopping, the weighted customer allocation factor is</w:t>
      </w:r>
      <w:r w:rsidR="005E5B74">
        <w:rPr>
          <w:rFonts w:ascii="Arial" w:hAnsi="Arial" w:cs="Arial"/>
          <w:sz w:val="24"/>
          <w:szCs w:val="24"/>
        </w:rPr>
        <w:t xml:space="preserve"> only</w:t>
      </w:r>
      <w:r w:rsidR="006B5BE6" w:rsidRPr="00802C25">
        <w:rPr>
          <w:rFonts w:ascii="Arial" w:hAnsi="Arial" w:cs="Arial"/>
          <w:sz w:val="24"/>
          <w:szCs w:val="24"/>
        </w:rPr>
        <w:t xml:space="preserve"> 35%.</w:t>
      </w:r>
      <w:r w:rsidR="008D3734">
        <w:rPr>
          <w:rStyle w:val="FootnoteReference"/>
          <w:rFonts w:ascii="Arial" w:hAnsi="Arial" w:cs="Arial"/>
          <w:sz w:val="24"/>
          <w:szCs w:val="24"/>
        </w:rPr>
        <w:footnoteReference w:id="56"/>
      </w:r>
      <w:r w:rsidR="006B5BE6" w:rsidRPr="00802C25">
        <w:rPr>
          <w:rFonts w:ascii="Arial" w:hAnsi="Arial" w:cs="Arial"/>
          <w:sz w:val="24"/>
          <w:szCs w:val="24"/>
        </w:rPr>
        <w:t xml:space="preserve">  This result is conservative but gives weight to the fact that DP&amp;L</w:t>
      </w:r>
      <w:r w:rsidR="005E5B74">
        <w:rPr>
          <w:rFonts w:ascii="Arial" w:hAnsi="Arial" w:cs="Arial"/>
          <w:sz w:val="24"/>
          <w:szCs w:val="24"/>
        </w:rPr>
        <w:t xml:space="preserve"> also</w:t>
      </w:r>
      <w:r w:rsidR="006B5BE6" w:rsidRPr="00802C25">
        <w:rPr>
          <w:rFonts w:ascii="Arial" w:hAnsi="Arial" w:cs="Arial"/>
          <w:sz w:val="24"/>
          <w:szCs w:val="24"/>
        </w:rPr>
        <w:t xml:space="preserve"> provides distribution services to shopping customers in the five categories that Mr. Hess identified.</w:t>
      </w:r>
    </w:p>
    <w:p w14:paraId="40F0096C" w14:textId="77777777" w:rsidR="006B5BE6" w:rsidRPr="00802C25" w:rsidRDefault="006B5BE6" w:rsidP="009C7267">
      <w:pPr>
        <w:spacing w:after="0" w:line="480" w:lineRule="auto"/>
        <w:ind w:firstLine="720"/>
        <w:jc w:val="both"/>
        <w:rPr>
          <w:rFonts w:ascii="Arial" w:hAnsi="Arial" w:cs="Arial"/>
          <w:sz w:val="24"/>
          <w:szCs w:val="24"/>
        </w:rPr>
      </w:pPr>
      <w:r w:rsidRPr="00802C25">
        <w:rPr>
          <w:rFonts w:ascii="Arial" w:hAnsi="Arial" w:cs="Arial"/>
          <w:sz w:val="24"/>
          <w:szCs w:val="24"/>
        </w:rPr>
        <w:t>Mr. Hess further explained the instances that necessitated the use of each allocation factor:</w:t>
      </w:r>
    </w:p>
    <w:p w14:paraId="13479264" w14:textId="77777777" w:rsidR="006B5BE6" w:rsidRPr="00802C25" w:rsidRDefault="006B5BE6" w:rsidP="006B5BE6">
      <w:pPr>
        <w:spacing w:after="0" w:line="240" w:lineRule="auto"/>
        <w:ind w:left="720" w:right="720"/>
        <w:jc w:val="both"/>
        <w:rPr>
          <w:rFonts w:ascii="Arial" w:hAnsi="Arial" w:cs="Arial"/>
          <w:sz w:val="24"/>
          <w:szCs w:val="24"/>
        </w:rPr>
      </w:pPr>
      <w:r w:rsidRPr="00802C25">
        <w:rPr>
          <w:rFonts w:ascii="Arial" w:hAnsi="Arial" w:cs="Arial"/>
          <w:sz w:val="24"/>
          <w:szCs w:val="24"/>
        </w:rPr>
        <w:t>The Customer Accounts Expenses and the Customer Service and Information Expenses that I allocated are customer related expenses. These expenses vary by numbers of customers. I applied a weighted customer allocation ratio to these expenses consistent with that relationship. The ratio was weighed to account for the costs to support distribution service for CRES customers and distribution and generation service for SSO customers.</w:t>
      </w:r>
    </w:p>
    <w:p w14:paraId="2946DB82" w14:textId="77777777" w:rsidR="006B5BE6" w:rsidRPr="00802C25" w:rsidRDefault="006B5BE6" w:rsidP="006B5BE6">
      <w:pPr>
        <w:spacing w:after="0" w:line="240" w:lineRule="auto"/>
        <w:ind w:left="720" w:right="720"/>
        <w:jc w:val="both"/>
        <w:rPr>
          <w:rFonts w:ascii="Arial" w:hAnsi="Arial" w:cs="Arial"/>
          <w:sz w:val="24"/>
          <w:szCs w:val="24"/>
        </w:rPr>
      </w:pPr>
      <w:r w:rsidRPr="00802C25">
        <w:rPr>
          <w:rFonts w:ascii="Arial" w:hAnsi="Arial" w:cs="Arial"/>
          <w:sz w:val="24"/>
          <w:szCs w:val="24"/>
        </w:rPr>
        <w:tab/>
      </w:r>
      <w:r w:rsidRPr="00802C25">
        <w:rPr>
          <w:rFonts w:ascii="Arial" w:hAnsi="Arial" w:cs="Arial"/>
          <w:sz w:val="24"/>
          <w:szCs w:val="24"/>
        </w:rPr>
        <w:tab/>
      </w:r>
    </w:p>
    <w:p w14:paraId="252ACBF5" w14:textId="1FD64432" w:rsidR="005C40D1" w:rsidRPr="00802C25" w:rsidRDefault="006B5BE6" w:rsidP="005C40D1">
      <w:pPr>
        <w:spacing w:after="0" w:line="240" w:lineRule="auto"/>
        <w:ind w:left="720" w:right="720" w:firstLine="720"/>
        <w:jc w:val="both"/>
        <w:rPr>
          <w:rFonts w:ascii="Arial" w:hAnsi="Arial" w:cs="Arial"/>
          <w:sz w:val="24"/>
          <w:szCs w:val="24"/>
        </w:rPr>
      </w:pPr>
      <w:r w:rsidRPr="00802C25">
        <w:rPr>
          <w:rFonts w:ascii="Arial" w:hAnsi="Arial" w:cs="Arial"/>
          <w:sz w:val="24"/>
          <w:szCs w:val="24"/>
        </w:rPr>
        <w:t>I chose to allocate Administrative and General Expenses and Rate Base based on the amount of SSO revenue Dayton receives from customers. A utility company’s revenues provide a proxy for and generally mirror the costs that are required to provide the utility service to various customer categories.</w:t>
      </w:r>
      <w:r w:rsidR="008D3734">
        <w:rPr>
          <w:rStyle w:val="FootnoteReference"/>
          <w:rFonts w:ascii="Arial" w:hAnsi="Arial" w:cs="Arial"/>
          <w:sz w:val="24"/>
          <w:szCs w:val="24"/>
        </w:rPr>
        <w:footnoteReference w:id="57"/>
      </w:r>
    </w:p>
    <w:p w14:paraId="5997CC1D" w14:textId="77777777" w:rsidR="005C40D1" w:rsidRPr="00802C25" w:rsidRDefault="005C40D1" w:rsidP="005C40D1">
      <w:pPr>
        <w:spacing w:after="0" w:line="240" w:lineRule="auto"/>
        <w:ind w:right="720"/>
        <w:jc w:val="both"/>
        <w:rPr>
          <w:rFonts w:ascii="Arial" w:hAnsi="Arial" w:cs="Arial"/>
          <w:sz w:val="24"/>
          <w:szCs w:val="24"/>
        </w:rPr>
      </w:pPr>
    </w:p>
    <w:p w14:paraId="0EA5E37C" w14:textId="06898EAA" w:rsidR="000C28C4" w:rsidRPr="00802C25" w:rsidRDefault="005C40D1" w:rsidP="00802C25">
      <w:pPr>
        <w:spacing w:after="0" w:line="480" w:lineRule="auto"/>
        <w:jc w:val="both"/>
        <w:rPr>
          <w:rFonts w:ascii="Arial" w:hAnsi="Arial" w:cs="Arial"/>
          <w:sz w:val="24"/>
          <w:szCs w:val="24"/>
        </w:rPr>
      </w:pPr>
      <w:r w:rsidRPr="00802C25">
        <w:rPr>
          <w:rFonts w:ascii="Arial" w:hAnsi="Arial" w:cs="Arial"/>
          <w:sz w:val="24"/>
          <w:szCs w:val="24"/>
        </w:rPr>
        <w:t>In total, Mr. Hess identified $11,399,452 in unlawful SSO-related costs proposed for recovery through distribution rates</w:t>
      </w:r>
      <w:r w:rsidR="00A636C5">
        <w:rPr>
          <w:rFonts w:ascii="Arial" w:hAnsi="Arial" w:cs="Arial"/>
          <w:sz w:val="24"/>
          <w:szCs w:val="24"/>
        </w:rPr>
        <w:t>.</w:t>
      </w:r>
      <w:r w:rsidR="00A636C5">
        <w:rPr>
          <w:rStyle w:val="FootnoteReference"/>
          <w:rFonts w:ascii="Arial" w:hAnsi="Arial" w:cs="Arial"/>
          <w:sz w:val="24"/>
          <w:szCs w:val="24"/>
        </w:rPr>
        <w:footnoteReference w:id="58"/>
      </w:r>
      <w:r w:rsidR="00A636C5">
        <w:rPr>
          <w:rFonts w:ascii="Arial" w:hAnsi="Arial" w:cs="Arial"/>
          <w:sz w:val="24"/>
          <w:szCs w:val="24"/>
        </w:rPr>
        <w:t xml:space="preserve">  </w:t>
      </w:r>
      <w:r w:rsidRPr="00802C25">
        <w:rPr>
          <w:rFonts w:ascii="Arial" w:hAnsi="Arial" w:cs="Arial"/>
          <w:sz w:val="24"/>
          <w:szCs w:val="24"/>
        </w:rPr>
        <w:t xml:space="preserve">The specific categories and the resulting allocations identified by Mr. Hess are contained on </w:t>
      </w:r>
      <w:r w:rsidR="00403850" w:rsidRPr="00802C25">
        <w:rPr>
          <w:rFonts w:ascii="Arial" w:hAnsi="Arial" w:cs="Arial"/>
          <w:sz w:val="24"/>
          <w:szCs w:val="24"/>
        </w:rPr>
        <w:t xml:space="preserve">Exhibits </w:t>
      </w:r>
      <w:r w:rsidRPr="00802C25">
        <w:rPr>
          <w:rFonts w:ascii="Arial" w:hAnsi="Arial" w:cs="Arial"/>
          <w:sz w:val="24"/>
          <w:szCs w:val="24"/>
        </w:rPr>
        <w:t>JEH 2 and JEH 3.</w:t>
      </w:r>
      <w:r w:rsidRPr="00802C25">
        <w:rPr>
          <w:rStyle w:val="FootnoteReference"/>
          <w:rFonts w:ascii="Arial" w:hAnsi="Arial" w:cs="Arial"/>
          <w:sz w:val="24"/>
          <w:szCs w:val="24"/>
        </w:rPr>
        <w:footnoteReference w:id="59"/>
      </w:r>
      <w:r w:rsidRPr="00802C25">
        <w:rPr>
          <w:rFonts w:ascii="Arial" w:hAnsi="Arial" w:cs="Arial"/>
          <w:sz w:val="24"/>
          <w:szCs w:val="24"/>
        </w:rPr>
        <w:t xml:space="preserve">  </w:t>
      </w:r>
    </w:p>
    <w:p w14:paraId="7310AAD9" w14:textId="77777777" w:rsidR="006B5BE6" w:rsidRPr="00802C25" w:rsidRDefault="006B5BE6" w:rsidP="006B5BE6">
      <w:pPr>
        <w:spacing w:after="0" w:line="240" w:lineRule="auto"/>
        <w:ind w:right="720"/>
        <w:jc w:val="both"/>
        <w:rPr>
          <w:rFonts w:ascii="Arial" w:hAnsi="Arial" w:cs="Arial"/>
          <w:b/>
          <w:sz w:val="24"/>
          <w:szCs w:val="24"/>
        </w:rPr>
      </w:pPr>
      <w:r w:rsidRPr="00802C25">
        <w:rPr>
          <w:rFonts w:ascii="Arial" w:hAnsi="Arial" w:cs="Arial"/>
          <w:sz w:val="24"/>
          <w:szCs w:val="24"/>
        </w:rPr>
        <w:tab/>
      </w:r>
      <w:r w:rsidRPr="00802C25">
        <w:rPr>
          <w:rFonts w:ascii="Arial" w:hAnsi="Arial" w:cs="Arial"/>
          <w:b/>
          <w:sz w:val="24"/>
          <w:szCs w:val="24"/>
        </w:rPr>
        <w:t>f. The Non-bypassable Credit and Bypassable Charge Rider</w:t>
      </w:r>
    </w:p>
    <w:p w14:paraId="110FFD37" w14:textId="77777777" w:rsidR="006B5BE6" w:rsidRPr="00802C25" w:rsidRDefault="006B5BE6" w:rsidP="006B5BE6">
      <w:pPr>
        <w:spacing w:after="0" w:line="240" w:lineRule="auto"/>
        <w:ind w:right="720"/>
        <w:jc w:val="both"/>
        <w:rPr>
          <w:rFonts w:ascii="Arial" w:hAnsi="Arial" w:cs="Arial"/>
          <w:b/>
          <w:sz w:val="24"/>
          <w:szCs w:val="24"/>
        </w:rPr>
      </w:pPr>
    </w:p>
    <w:p w14:paraId="76BA5112" w14:textId="2CC312AC" w:rsidR="006B5BE6" w:rsidRPr="00802C25" w:rsidRDefault="00403850" w:rsidP="006B5BE6">
      <w:pPr>
        <w:spacing w:after="0" w:line="480" w:lineRule="auto"/>
        <w:ind w:firstLine="720"/>
        <w:jc w:val="both"/>
        <w:rPr>
          <w:rFonts w:ascii="Arial" w:hAnsi="Arial" w:cs="Arial"/>
          <w:sz w:val="24"/>
          <w:szCs w:val="24"/>
        </w:rPr>
      </w:pPr>
      <w:r w:rsidRPr="00802C25">
        <w:rPr>
          <w:rFonts w:ascii="Arial" w:hAnsi="Arial" w:cs="Arial"/>
          <w:sz w:val="24"/>
          <w:szCs w:val="24"/>
        </w:rPr>
        <w:t>To address the unlawful recovery of SSO-related costs, Mr. Hess recommended that the Commission authorize a rider to eliminate the recovery of those costs through distribution rates</w:t>
      </w:r>
      <w:r w:rsidR="006B5BE6" w:rsidRPr="00802C25">
        <w:rPr>
          <w:rFonts w:ascii="Arial" w:hAnsi="Arial" w:cs="Arial"/>
          <w:sz w:val="24"/>
          <w:szCs w:val="24"/>
        </w:rPr>
        <w:t xml:space="preserve">.  </w:t>
      </w:r>
      <w:r w:rsidR="00DE7A44" w:rsidRPr="00802C25">
        <w:rPr>
          <w:rFonts w:ascii="Arial" w:hAnsi="Arial" w:cs="Arial"/>
          <w:sz w:val="24"/>
          <w:szCs w:val="24"/>
        </w:rPr>
        <w:t>“</w:t>
      </w:r>
      <w:r w:rsidR="006B5BE6" w:rsidRPr="00802C25">
        <w:rPr>
          <w:rFonts w:ascii="Arial" w:hAnsi="Arial" w:cs="Arial"/>
          <w:sz w:val="24"/>
          <w:szCs w:val="24"/>
        </w:rPr>
        <w:t>The costs first need to be excluded from the Staff’s proposed rates by calculating a volumetric credit rider that will be applied to all customers.</w:t>
      </w:r>
      <w:r w:rsidR="00DE7A44" w:rsidRPr="00802C25">
        <w:rPr>
          <w:rFonts w:ascii="Arial" w:hAnsi="Arial" w:cs="Arial"/>
          <w:sz w:val="24"/>
          <w:szCs w:val="24"/>
        </w:rPr>
        <w:t>”</w:t>
      </w:r>
      <w:r w:rsidR="00A636C5">
        <w:rPr>
          <w:rStyle w:val="FootnoteReference"/>
          <w:rFonts w:ascii="Arial" w:hAnsi="Arial" w:cs="Arial"/>
          <w:sz w:val="24"/>
          <w:szCs w:val="24"/>
        </w:rPr>
        <w:footnoteReference w:id="60"/>
      </w:r>
      <w:r w:rsidR="006B5BE6" w:rsidRPr="00802C25">
        <w:rPr>
          <w:rFonts w:ascii="Arial" w:hAnsi="Arial" w:cs="Arial"/>
          <w:sz w:val="24"/>
          <w:szCs w:val="24"/>
        </w:rPr>
        <w:t xml:space="preserve"> </w:t>
      </w:r>
      <w:r w:rsidR="00DE7A44" w:rsidRPr="00802C25">
        <w:rPr>
          <w:rFonts w:ascii="Arial" w:hAnsi="Arial" w:cs="Arial"/>
          <w:sz w:val="24"/>
          <w:szCs w:val="24"/>
        </w:rPr>
        <w:t>Mr. Hess recommended that the</w:t>
      </w:r>
      <w:r w:rsidR="00A636C5">
        <w:rPr>
          <w:rFonts w:ascii="Arial" w:hAnsi="Arial" w:cs="Arial"/>
          <w:sz w:val="24"/>
          <w:szCs w:val="24"/>
        </w:rPr>
        <w:t xml:space="preserve"> rider</w:t>
      </w:r>
      <w:r w:rsidR="00DE7A44" w:rsidRPr="00802C25">
        <w:rPr>
          <w:rFonts w:ascii="Arial" w:hAnsi="Arial" w:cs="Arial"/>
          <w:sz w:val="24"/>
          <w:szCs w:val="24"/>
        </w:rPr>
        <w:t xml:space="preserve"> be </w:t>
      </w:r>
      <w:r w:rsidR="006B5BE6" w:rsidRPr="00802C25">
        <w:rPr>
          <w:rFonts w:ascii="Arial" w:hAnsi="Arial" w:cs="Arial"/>
          <w:sz w:val="24"/>
          <w:szCs w:val="24"/>
        </w:rPr>
        <w:t xml:space="preserve">calculated </w:t>
      </w:r>
      <w:r w:rsidR="00DE7A44" w:rsidRPr="00802C25">
        <w:rPr>
          <w:rFonts w:ascii="Arial" w:hAnsi="Arial" w:cs="Arial"/>
          <w:sz w:val="24"/>
          <w:szCs w:val="24"/>
        </w:rPr>
        <w:t>“</w:t>
      </w:r>
      <w:r w:rsidR="006B5BE6" w:rsidRPr="00802C25">
        <w:rPr>
          <w:rFonts w:ascii="Arial" w:hAnsi="Arial" w:cs="Arial"/>
          <w:sz w:val="24"/>
          <w:szCs w:val="24"/>
        </w:rPr>
        <w:t>by customer class by dividing the total amount per class by the total sales (shopping and non</w:t>
      </w:r>
      <w:r w:rsidR="00DE7A44" w:rsidRPr="00802C25">
        <w:rPr>
          <w:rFonts w:ascii="Arial" w:hAnsi="Arial" w:cs="Arial"/>
          <w:sz w:val="24"/>
          <w:szCs w:val="24"/>
        </w:rPr>
        <w:t>-shopping customers) per class.”</w:t>
      </w:r>
      <w:r w:rsidR="00A636C5">
        <w:rPr>
          <w:rStyle w:val="FootnoteReference"/>
          <w:rFonts w:ascii="Arial" w:hAnsi="Arial" w:cs="Arial"/>
          <w:sz w:val="24"/>
          <w:szCs w:val="24"/>
        </w:rPr>
        <w:footnoteReference w:id="61"/>
      </w:r>
    </w:p>
    <w:p w14:paraId="72D781E4" w14:textId="357B86B8" w:rsidR="006B5BE6" w:rsidRDefault="00DE7A44" w:rsidP="006B5BE6">
      <w:pPr>
        <w:spacing w:after="0" w:line="480" w:lineRule="auto"/>
        <w:jc w:val="both"/>
        <w:rPr>
          <w:rFonts w:ascii="Arial" w:hAnsi="Arial" w:cs="Arial"/>
          <w:sz w:val="24"/>
          <w:szCs w:val="24"/>
        </w:rPr>
      </w:pPr>
      <w:r w:rsidRPr="00802C25">
        <w:rPr>
          <w:rFonts w:ascii="Arial" w:hAnsi="Arial" w:cs="Arial"/>
          <w:sz w:val="24"/>
          <w:szCs w:val="24"/>
        </w:rPr>
        <w:tab/>
        <w:t>To ensure that SSO customers pay for the cost of their own service, Mr. Hess recommended that “[t]</w:t>
      </w:r>
      <w:r w:rsidR="006B5BE6" w:rsidRPr="00802C25">
        <w:rPr>
          <w:rFonts w:ascii="Arial" w:hAnsi="Arial" w:cs="Arial"/>
          <w:sz w:val="24"/>
          <w:szCs w:val="24"/>
        </w:rPr>
        <w:t>hese same costs will then be charged to the SSO customer by creating an avoidable rider by customer class. The amount per kWh would be calculated by dividing the identified costs by the SSO sales by customer class.</w:t>
      </w:r>
      <w:r w:rsidRPr="00802C25">
        <w:rPr>
          <w:rFonts w:ascii="Arial" w:hAnsi="Arial" w:cs="Arial"/>
          <w:sz w:val="24"/>
          <w:szCs w:val="24"/>
        </w:rPr>
        <w:t>”</w:t>
      </w:r>
      <w:r w:rsidR="00A636C5">
        <w:rPr>
          <w:rStyle w:val="FootnoteReference"/>
          <w:rFonts w:ascii="Arial" w:hAnsi="Arial" w:cs="Arial"/>
          <w:sz w:val="24"/>
          <w:szCs w:val="24"/>
        </w:rPr>
        <w:footnoteReference w:id="62"/>
      </w:r>
      <w:r w:rsidRPr="00802C25">
        <w:rPr>
          <w:rFonts w:ascii="Arial" w:hAnsi="Arial" w:cs="Arial"/>
          <w:sz w:val="24"/>
          <w:szCs w:val="24"/>
        </w:rPr>
        <w:t xml:space="preserve">  </w:t>
      </w:r>
    </w:p>
    <w:p w14:paraId="5EEC11C4" w14:textId="50136234" w:rsidR="00097759" w:rsidRDefault="00097759" w:rsidP="006B5BE6">
      <w:pPr>
        <w:spacing w:after="0" w:line="480" w:lineRule="auto"/>
        <w:jc w:val="both"/>
        <w:rPr>
          <w:rFonts w:ascii="Arial" w:hAnsi="Arial" w:cs="Arial"/>
          <w:sz w:val="24"/>
          <w:szCs w:val="24"/>
        </w:rPr>
      </w:pPr>
      <w:r>
        <w:rPr>
          <w:rFonts w:ascii="Arial" w:hAnsi="Arial" w:cs="Arial"/>
          <w:sz w:val="24"/>
          <w:szCs w:val="24"/>
        </w:rPr>
        <w:tab/>
        <w:t>Based upon the Staff Report, Mr. Hess’ methodology would require the following kilowatt hour charges and credits to refunctionalize costs to the SSO:</w:t>
      </w:r>
    </w:p>
    <w:p w14:paraId="64CDD02B" w14:textId="46B7EC3E" w:rsidR="00097759" w:rsidRPr="00802C25" w:rsidRDefault="00097759" w:rsidP="00097759">
      <w:pPr>
        <w:spacing w:after="0" w:line="480" w:lineRule="auto"/>
        <w:jc w:val="center"/>
        <w:rPr>
          <w:rFonts w:ascii="Arial" w:hAnsi="Arial" w:cs="Arial"/>
          <w:sz w:val="24"/>
          <w:szCs w:val="24"/>
        </w:rPr>
      </w:pPr>
      <w:r w:rsidRPr="00BE3B53">
        <w:rPr>
          <w:noProof/>
        </w:rPr>
        <w:lastRenderedPageBreak/>
        <w:drawing>
          <wp:inline distT="0" distB="0" distL="0" distR="0" wp14:anchorId="18EEF293" wp14:editId="70A4A5E0">
            <wp:extent cx="42957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1162050"/>
                    </a:xfrm>
                    <a:prstGeom prst="rect">
                      <a:avLst/>
                    </a:prstGeom>
                    <a:noFill/>
                    <a:ln>
                      <a:noFill/>
                    </a:ln>
                  </pic:spPr>
                </pic:pic>
              </a:graphicData>
            </a:graphic>
          </wp:inline>
        </w:drawing>
      </w:r>
    </w:p>
    <w:p w14:paraId="1E752CB2" w14:textId="6FCF07A9" w:rsidR="006B5BE6" w:rsidRPr="00802C25" w:rsidRDefault="00DE7A44" w:rsidP="00DE7A44">
      <w:pPr>
        <w:spacing w:after="0" w:line="480" w:lineRule="auto"/>
        <w:jc w:val="both"/>
        <w:rPr>
          <w:rFonts w:ascii="Arial" w:hAnsi="Arial" w:cs="Arial"/>
          <w:sz w:val="24"/>
          <w:szCs w:val="24"/>
        </w:rPr>
      </w:pPr>
      <w:r w:rsidRPr="00802C25">
        <w:rPr>
          <w:rFonts w:ascii="Arial" w:hAnsi="Arial" w:cs="Arial"/>
          <w:sz w:val="24"/>
          <w:szCs w:val="24"/>
        </w:rPr>
        <w:tab/>
        <w:t>The net impact of Mr. Hess’ recommendation “</w:t>
      </w:r>
      <w:r w:rsidR="006B5BE6" w:rsidRPr="00802C25">
        <w:rPr>
          <w:rFonts w:ascii="Arial" w:hAnsi="Arial" w:cs="Arial"/>
          <w:sz w:val="24"/>
          <w:szCs w:val="24"/>
        </w:rPr>
        <w:t>provides a revenue-neutral mechanism for Dayton while also allocating costs more equitably, it provides a better comparison for shopping customers furthering the Commission’s desires to provide shopping incentives to customers, and it would eliminate the subsidization that the distribution company is currently providing the SSO customers.</w:t>
      </w:r>
      <w:r w:rsidRPr="00802C25">
        <w:rPr>
          <w:rFonts w:ascii="Arial" w:hAnsi="Arial" w:cs="Arial"/>
          <w:sz w:val="24"/>
          <w:szCs w:val="24"/>
        </w:rPr>
        <w:t>”</w:t>
      </w:r>
      <w:r w:rsidR="00A636C5">
        <w:rPr>
          <w:rStyle w:val="FootnoteReference"/>
          <w:rFonts w:ascii="Arial" w:hAnsi="Arial" w:cs="Arial"/>
          <w:sz w:val="24"/>
          <w:szCs w:val="24"/>
        </w:rPr>
        <w:footnoteReference w:id="63"/>
      </w:r>
    </w:p>
    <w:p w14:paraId="3E2734D9" w14:textId="77777777" w:rsidR="00FA7DED" w:rsidRPr="00802C25" w:rsidRDefault="00656E4E" w:rsidP="00FA7DED">
      <w:pPr>
        <w:spacing w:after="0" w:line="480" w:lineRule="auto"/>
        <w:jc w:val="both"/>
        <w:rPr>
          <w:rFonts w:ascii="Arial" w:hAnsi="Arial" w:cs="Arial"/>
          <w:b/>
          <w:sz w:val="24"/>
          <w:szCs w:val="24"/>
        </w:rPr>
      </w:pPr>
      <w:r w:rsidRPr="00802C25">
        <w:rPr>
          <w:rFonts w:ascii="Arial" w:hAnsi="Arial" w:cs="Arial"/>
          <w:sz w:val="24"/>
          <w:szCs w:val="24"/>
        </w:rPr>
        <w:tab/>
      </w:r>
      <w:r w:rsidRPr="00802C25">
        <w:rPr>
          <w:rFonts w:ascii="Arial" w:hAnsi="Arial" w:cs="Arial"/>
          <w:b/>
          <w:sz w:val="24"/>
          <w:szCs w:val="24"/>
        </w:rPr>
        <w:t xml:space="preserve">g. The Staff’s Testimony </w:t>
      </w:r>
    </w:p>
    <w:p w14:paraId="38D10C28" w14:textId="13EFD8D0" w:rsidR="00FA7DED" w:rsidRPr="00802C25" w:rsidRDefault="00656E4E" w:rsidP="00FA7DED">
      <w:pPr>
        <w:spacing w:after="0" w:line="480" w:lineRule="auto"/>
        <w:ind w:left="-90" w:firstLine="810"/>
        <w:jc w:val="both"/>
        <w:rPr>
          <w:rFonts w:ascii="Arial" w:hAnsi="Arial" w:cs="Arial"/>
          <w:sz w:val="24"/>
          <w:szCs w:val="24"/>
        </w:rPr>
      </w:pPr>
      <w:r w:rsidRPr="00802C25">
        <w:rPr>
          <w:rFonts w:ascii="Arial" w:hAnsi="Arial" w:cs="Arial"/>
          <w:sz w:val="24"/>
          <w:szCs w:val="24"/>
        </w:rPr>
        <w:t xml:space="preserve">In response to IGS’ objection, the Staff </w:t>
      </w:r>
      <w:r w:rsidR="00A636C5">
        <w:rPr>
          <w:rFonts w:ascii="Arial" w:hAnsi="Arial" w:cs="Arial"/>
          <w:sz w:val="24"/>
          <w:szCs w:val="24"/>
        </w:rPr>
        <w:t xml:space="preserve">presented </w:t>
      </w:r>
      <w:r w:rsidRPr="00802C25">
        <w:rPr>
          <w:rFonts w:ascii="Arial" w:hAnsi="Arial" w:cs="Arial"/>
          <w:sz w:val="24"/>
          <w:szCs w:val="24"/>
        </w:rPr>
        <w:t>the testimony of one witness, Craig Smith.</w:t>
      </w:r>
      <w:r w:rsidR="007515A3" w:rsidRPr="00802C25">
        <w:rPr>
          <w:rFonts w:ascii="Arial" w:hAnsi="Arial" w:cs="Arial"/>
          <w:sz w:val="24"/>
          <w:szCs w:val="24"/>
        </w:rPr>
        <w:t xml:space="preserve">  </w:t>
      </w:r>
      <w:r w:rsidR="00FA7DED" w:rsidRPr="00802C25">
        <w:rPr>
          <w:rFonts w:ascii="Arial" w:hAnsi="Arial" w:cs="Arial"/>
          <w:sz w:val="24"/>
          <w:szCs w:val="24"/>
        </w:rPr>
        <w:t xml:space="preserve">Mr. Smith concedes that the Stipulation would authorize DP&amp;L to recover SSO-related </w:t>
      </w:r>
      <w:r w:rsidR="008711AC" w:rsidRPr="00802C25">
        <w:rPr>
          <w:rFonts w:ascii="Arial" w:hAnsi="Arial" w:cs="Arial"/>
          <w:sz w:val="24"/>
          <w:szCs w:val="24"/>
        </w:rPr>
        <w:t>costs through its distribution.  Staff, however, performed no quantitative analysis of the SSO-related costs proposed for recovery through distribution rates.</w:t>
      </w:r>
      <w:r w:rsidR="00FA7DED" w:rsidRPr="00802C25">
        <w:rPr>
          <w:rFonts w:ascii="Arial" w:hAnsi="Arial" w:cs="Arial"/>
          <w:sz w:val="24"/>
          <w:szCs w:val="24"/>
        </w:rPr>
        <w:t xml:space="preserve"> But Mr. Smith claims that</w:t>
      </w:r>
      <w:r w:rsidR="008711AC" w:rsidRPr="00802C25">
        <w:rPr>
          <w:rFonts w:ascii="Arial" w:hAnsi="Arial" w:cs="Arial"/>
          <w:sz w:val="24"/>
          <w:szCs w:val="24"/>
        </w:rPr>
        <w:t xml:space="preserve"> it is appropriate to permit such recovery f</w:t>
      </w:r>
      <w:r w:rsidR="00FA7DED" w:rsidRPr="00802C25">
        <w:rPr>
          <w:rFonts w:ascii="Arial" w:hAnsi="Arial" w:cs="Arial"/>
          <w:sz w:val="24"/>
          <w:szCs w:val="24"/>
        </w:rPr>
        <w:t>or two reasons.  First, based upon DP&amp;L’s discovery responses,</w:t>
      </w:r>
      <w:r w:rsidR="00802C25">
        <w:rPr>
          <w:rFonts w:ascii="Arial" w:hAnsi="Arial" w:cs="Arial"/>
          <w:sz w:val="24"/>
          <w:szCs w:val="24"/>
        </w:rPr>
        <w:t xml:space="preserve"> he reiterated the Staff Report’s conclusion that</w:t>
      </w:r>
      <w:r w:rsidR="00FA7DED" w:rsidRPr="00802C25">
        <w:rPr>
          <w:rFonts w:ascii="Arial" w:hAnsi="Arial" w:cs="Arial"/>
          <w:sz w:val="24"/>
          <w:szCs w:val="24"/>
        </w:rPr>
        <w:t xml:space="preserve"> DP&amp;L is unable to track SSO-related costs and that it would be prohibitively expensive to do so. Second,</w:t>
      </w:r>
      <w:r w:rsidR="00802C25">
        <w:rPr>
          <w:rFonts w:ascii="Arial" w:hAnsi="Arial" w:cs="Arial"/>
          <w:sz w:val="24"/>
          <w:szCs w:val="24"/>
        </w:rPr>
        <w:t xml:space="preserve"> in a slight </w:t>
      </w:r>
      <w:r w:rsidR="00802C25" w:rsidRPr="00802C25">
        <w:rPr>
          <w:rFonts w:ascii="Arial" w:hAnsi="Arial" w:cs="Arial"/>
          <w:sz w:val="24"/>
          <w:szCs w:val="24"/>
        </w:rPr>
        <w:t>twist from the Staff Report,</w:t>
      </w:r>
      <w:r w:rsidR="00FA7DED" w:rsidRPr="00802C25">
        <w:rPr>
          <w:rFonts w:ascii="Arial" w:hAnsi="Arial" w:cs="Arial"/>
          <w:sz w:val="24"/>
          <w:szCs w:val="24"/>
        </w:rPr>
        <w:t xml:space="preserve"> Mr. Smith claims that it is appropriate to recover SSO-related costs in distribution rates because there are also choice-related costs that DP&amp;L incurs and recovers through distribution rates.</w:t>
      </w:r>
      <w:r w:rsidR="00A636C5">
        <w:rPr>
          <w:rStyle w:val="FootnoteReference"/>
          <w:rFonts w:ascii="Arial" w:hAnsi="Arial" w:cs="Arial"/>
          <w:sz w:val="24"/>
          <w:szCs w:val="24"/>
        </w:rPr>
        <w:footnoteReference w:id="64"/>
      </w:r>
      <w:r w:rsidR="00FA7DED" w:rsidRPr="00802C25">
        <w:rPr>
          <w:rFonts w:ascii="Arial" w:hAnsi="Arial" w:cs="Arial"/>
          <w:sz w:val="24"/>
          <w:szCs w:val="24"/>
        </w:rPr>
        <w:t xml:space="preserve">  </w:t>
      </w:r>
      <w:r w:rsidR="003E759D" w:rsidRPr="00802C25">
        <w:rPr>
          <w:rFonts w:ascii="Arial" w:hAnsi="Arial" w:cs="Arial"/>
          <w:sz w:val="24"/>
          <w:szCs w:val="24"/>
        </w:rPr>
        <w:t>Based upon Staff’s “investigation”</w:t>
      </w:r>
      <w:r w:rsidR="00802C25">
        <w:rPr>
          <w:rFonts w:ascii="Arial" w:hAnsi="Arial" w:cs="Arial"/>
          <w:sz w:val="24"/>
          <w:szCs w:val="24"/>
        </w:rPr>
        <w:t>,</w:t>
      </w:r>
      <w:r w:rsidR="003E759D" w:rsidRPr="00802C25">
        <w:rPr>
          <w:rFonts w:ascii="Arial" w:hAnsi="Arial" w:cs="Arial"/>
          <w:sz w:val="24"/>
          <w:szCs w:val="24"/>
        </w:rPr>
        <w:t xml:space="preserve"> Mr. smith stated that “Staff determined that both SSO and non-SSO </w:t>
      </w:r>
      <w:r w:rsidR="003E759D" w:rsidRPr="00802C25">
        <w:rPr>
          <w:rFonts w:ascii="Arial" w:hAnsi="Arial" w:cs="Arial"/>
          <w:sz w:val="24"/>
          <w:szCs w:val="24"/>
        </w:rPr>
        <w:lastRenderedPageBreak/>
        <w:t>customers utilized similar services.”</w:t>
      </w:r>
      <w:r w:rsidR="00A636C5">
        <w:rPr>
          <w:rStyle w:val="FootnoteReference"/>
          <w:rFonts w:ascii="Arial" w:hAnsi="Arial" w:cs="Arial"/>
          <w:sz w:val="24"/>
          <w:szCs w:val="24"/>
        </w:rPr>
        <w:footnoteReference w:id="65"/>
      </w:r>
      <w:r w:rsidR="00DC194D" w:rsidRPr="00802C25">
        <w:rPr>
          <w:rFonts w:ascii="Arial" w:hAnsi="Arial" w:cs="Arial"/>
          <w:sz w:val="24"/>
          <w:szCs w:val="24"/>
        </w:rPr>
        <w:t xml:space="preserve">  While Mr. Smith claims that choice-related costs that DP&amp;L incurs are part of “distribution service” that justifies subsidizing the SSO, he fails to acknowledge that choice customers and CRES providers pay DP&amp;L fees for</w:t>
      </w:r>
      <w:r w:rsidR="00AD593D">
        <w:rPr>
          <w:rFonts w:ascii="Arial" w:hAnsi="Arial" w:cs="Arial"/>
          <w:sz w:val="24"/>
          <w:szCs w:val="24"/>
        </w:rPr>
        <w:t xml:space="preserve"> these</w:t>
      </w:r>
      <w:r w:rsidR="00DC194D" w:rsidRPr="00802C25">
        <w:rPr>
          <w:rFonts w:ascii="Arial" w:hAnsi="Arial" w:cs="Arial"/>
          <w:sz w:val="24"/>
          <w:szCs w:val="24"/>
        </w:rPr>
        <w:t xml:space="preserve"> services.  Mr. Smith of course does not recommend the elimination of any of these fees.</w:t>
      </w:r>
    </w:p>
    <w:p w14:paraId="115E84FE" w14:textId="5E7980D7" w:rsidR="003E759D" w:rsidRPr="00AD593D" w:rsidRDefault="00DC194D" w:rsidP="00E41C4B">
      <w:pPr>
        <w:spacing w:after="0" w:line="480" w:lineRule="auto"/>
        <w:ind w:left="-90" w:firstLine="810"/>
        <w:jc w:val="both"/>
        <w:rPr>
          <w:rFonts w:ascii="Arial" w:hAnsi="Arial" w:cs="Arial"/>
          <w:sz w:val="24"/>
          <w:szCs w:val="24"/>
        </w:rPr>
      </w:pPr>
      <w:r w:rsidRPr="00802C25">
        <w:rPr>
          <w:rFonts w:ascii="Arial" w:hAnsi="Arial" w:cs="Arial"/>
          <w:sz w:val="24"/>
          <w:szCs w:val="24"/>
        </w:rPr>
        <w:t>In any event, u</w:t>
      </w:r>
      <w:r w:rsidR="00FA7DED" w:rsidRPr="00802C25">
        <w:rPr>
          <w:rFonts w:ascii="Arial" w:hAnsi="Arial" w:cs="Arial"/>
          <w:sz w:val="24"/>
          <w:szCs w:val="24"/>
        </w:rPr>
        <w:t xml:space="preserve">nder cross-examination, the holes in Mr. Smith’s testimony </w:t>
      </w:r>
      <w:r w:rsidR="003E759D" w:rsidRPr="00802C25">
        <w:rPr>
          <w:rFonts w:ascii="Arial" w:hAnsi="Arial" w:cs="Arial"/>
          <w:sz w:val="24"/>
          <w:szCs w:val="24"/>
        </w:rPr>
        <w:t>were</w:t>
      </w:r>
      <w:r w:rsidRPr="00802C25">
        <w:rPr>
          <w:rFonts w:ascii="Arial" w:hAnsi="Arial" w:cs="Arial"/>
          <w:sz w:val="24"/>
          <w:szCs w:val="24"/>
        </w:rPr>
        <w:t xml:space="preserve"> </w:t>
      </w:r>
      <w:r w:rsidR="003E759D" w:rsidRPr="00802C25">
        <w:rPr>
          <w:rFonts w:ascii="Arial" w:hAnsi="Arial" w:cs="Arial"/>
          <w:sz w:val="24"/>
          <w:szCs w:val="24"/>
        </w:rPr>
        <w:t>apparent.  Mr. Smith admitted he is not in the rates and analysis department, which is responsible for addressing rate-related analysis.</w:t>
      </w:r>
      <w:r w:rsidR="00AD593D">
        <w:rPr>
          <w:rStyle w:val="FootnoteReference"/>
          <w:rFonts w:ascii="Arial" w:hAnsi="Arial" w:cs="Arial"/>
          <w:sz w:val="24"/>
          <w:szCs w:val="24"/>
        </w:rPr>
        <w:footnoteReference w:id="66"/>
      </w:r>
      <w:r w:rsidR="003E759D" w:rsidRPr="00802C25">
        <w:rPr>
          <w:rFonts w:ascii="Arial" w:hAnsi="Arial" w:cs="Arial"/>
          <w:sz w:val="24"/>
          <w:szCs w:val="24"/>
        </w:rPr>
        <w:t xml:space="preserve">  He did not evaluate the cost of service study</w:t>
      </w:r>
      <w:r w:rsidR="00A636C5">
        <w:rPr>
          <w:rFonts w:ascii="Arial" w:hAnsi="Arial" w:cs="Arial"/>
          <w:sz w:val="24"/>
          <w:szCs w:val="24"/>
        </w:rPr>
        <w:t xml:space="preserve"> and he could not testify to its accuracy—he simply accepted it</w:t>
      </w:r>
      <w:r w:rsidR="003E759D" w:rsidRPr="00802C25">
        <w:rPr>
          <w:rFonts w:ascii="Arial" w:hAnsi="Arial" w:cs="Arial"/>
          <w:sz w:val="24"/>
          <w:szCs w:val="24"/>
        </w:rPr>
        <w:t>.</w:t>
      </w:r>
      <w:r w:rsidR="00A636C5">
        <w:rPr>
          <w:rStyle w:val="FootnoteReference"/>
          <w:rFonts w:ascii="Arial" w:hAnsi="Arial" w:cs="Arial"/>
          <w:sz w:val="24"/>
          <w:szCs w:val="24"/>
        </w:rPr>
        <w:footnoteReference w:id="67"/>
      </w:r>
      <w:r w:rsidR="003E759D" w:rsidRPr="00802C25">
        <w:rPr>
          <w:rFonts w:ascii="Arial" w:hAnsi="Arial" w:cs="Arial"/>
          <w:sz w:val="24"/>
          <w:szCs w:val="24"/>
        </w:rPr>
        <w:t xml:space="preserve">  </w:t>
      </w:r>
      <w:r w:rsidRPr="00802C25">
        <w:rPr>
          <w:rFonts w:ascii="Arial" w:hAnsi="Arial" w:cs="Arial"/>
          <w:sz w:val="24"/>
          <w:szCs w:val="24"/>
        </w:rPr>
        <w:t>And DP&amp;L didn’t present the witness (Bruce</w:t>
      </w:r>
      <w:r w:rsidR="00A636C5">
        <w:rPr>
          <w:rFonts w:ascii="Arial" w:hAnsi="Arial" w:cs="Arial"/>
          <w:sz w:val="24"/>
          <w:szCs w:val="24"/>
        </w:rPr>
        <w:t xml:space="preserve"> Chapman</w:t>
      </w:r>
      <w:r w:rsidRPr="00802C25">
        <w:rPr>
          <w:rFonts w:ascii="Arial" w:hAnsi="Arial" w:cs="Arial"/>
          <w:sz w:val="24"/>
          <w:szCs w:val="24"/>
        </w:rPr>
        <w:t>) that sponsored the cost of service study.</w:t>
      </w:r>
      <w:r w:rsidR="003E759D" w:rsidRPr="00802C25">
        <w:rPr>
          <w:rFonts w:ascii="Arial" w:hAnsi="Arial" w:cs="Arial"/>
          <w:sz w:val="24"/>
          <w:szCs w:val="24"/>
        </w:rPr>
        <w:t xml:space="preserve">  He further conceded that he has no experience determining whether costs should be functionalized to the distribution service function.</w:t>
      </w:r>
      <w:r w:rsidR="00A636C5">
        <w:rPr>
          <w:rStyle w:val="FootnoteReference"/>
          <w:rFonts w:ascii="Arial" w:hAnsi="Arial" w:cs="Arial"/>
          <w:sz w:val="24"/>
          <w:szCs w:val="24"/>
        </w:rPr>
        <w:footnoteReference w:id="68"/>
      </w:r>
      <w:r w:rsidR="003E759D" w:rsidRPr="00802C25">
        <w:rPr>
          <w:rFonts w:ascii="Arial" w:hAnsi="Arial" w:cs="Arial"/>
          <w:sz w:val="24"/>
          <w:szCs w:val="24"/>
        </w:rPr>
        <w:t xml:space="preserve">  Despite his limited experience, he conceded that it allocation factors are typically used to overcome challenges to directly assign costs to cost causers.</w:t>
      </w:r>
      <w:r w:rsidR="00A636C5">
        <w:rPr>
          <w:rStyle w:val="FootnoteReference"/>
          <w:rFonts w:ascii="Arial" w:hAnsi="Arial" w:cs="Arial"/>
          <w:sz w:val="24"/>
          <w:szCs w:val="24"/>
        </w:rPr>
        <w:footnoteReference w:id="69"/>
      </w:r>
      <w:r w:rsidR="003E759D" w:rsidRPr="00802C25">
        <w:rPr>
          <w:rFonts w:ascii="Arial" w:hAnsi="Arial" w:cs="Arial"/>
          <w:sz w:val="24"/>
          <w:szCs w:val="24"/>
        </w:rPr>
        <w:t xml:space="preserve">  </w:t>
      </w:r>
      <w:r w:rsidR="00F160CC">
        <w:rPr>
          <w:rFonts w:ascii="Arial" w:hAnsi="Arial" w:cs="Arial"/>
          <w:sz w:val="24"/>
          <w:szCs w:val="24"/>
        </w:rPr>
        <w:t xml:space="preserve">Moreover, witness Parke—the witness that claimed it would be too difficult to directly track SSO-related costs—likewise agreed that allocation factors may be utilized to allocate costs when </w:t>
      </w:r>
      <w:r w:rsidR="00F160CC">
        <w:rPr>
          <w:rFonts w:ascii="Arial" w:hAnsi="Arial" w:cs="Arial"/>
          <w:i/>
          <w:sz w:val="24"/>
          <w:szCs w:val="24"/>
        </w:rPr>
        <w:t>it is too difficult to track them directly.</w:t>
      </w:r>
      <w:r w:rsidR="00AD593D">
        <w:rPr>
          <w:rStyle w:val="FootnoteReference"/>
          <w:rFonts w:ascii="Arial" w:hAnsi="Arial" w:cs="Arial"/>
          <w:i/>
          <w:sz w:val="24"/>
          <w:szCs w:val="24"/>
        </w:rPr>
        <w:footnoteReference w:id="70"/>
      </w:r>
    </w:p>
    <w:p w14:paraId="318657CA" w14:textId="04880E3A" w:rsidR="00F160CC" w:rsidRDefault="00F160CC" w:rsidP="008711AC">
      <w:pPr>
        <w:spacing w:after="0" w:line="480" w:lineRule="auto"/>
        <w:ind w:left="-90" w:firstLine="810"/>
        <w:jc w:val="both"/>
        <w:rPr>
          <w:rFonts w:ascii="Arial" w:hAnsi="Arial" w:cs="Arial"/>
          <w:sz w:val="24"/>
          <w:szCs w:val="24"/>
        </w:rPr>
      </w:pPr>
      <w:r>
        <w:rPr>
          <w:rFonts w:ascii="Arial" w:hAnsi="Arial" w:cs="Arial"/>
          <w:sz w:val="24"/>
          <w:szCs w:val="24"/>
        </w:rPr>
        <w:t>Moreover, Mr. Smith’s conclusions are based upon</w:t>
      </w:r>
      <w:r w:rsidR="008711AC">
        <w:rPr>
          <w:rFonts w:ascii="Arial" w:hAnsi="Arial" w:cs="Arial"/>
          <w:sz w:val="24"/>
          <w:szCs w:val="24"/>
        </w:rPr>
        <w:t xml:space="preserve"> DP&amp;L’s discovery response</w:t>
      </w:r>
      <w:r w:rsidR="00802C25">
        <w:rPr>
          <w:rFonts w:ascii="Arial" w:hAnsi="Arial" w:cs="Arial"/>
          <w:sz w:val="24"/>
          <w:szCs w:val="24"/>
        </w:rPr>
        <w:t>s</w:t>
      </w:r>
      <w:r w:rsidR="008711AC">
        <w:rPr>
          <w:rFonts w:ascii="Arial" w:hAnsi="Arial" w:cs="Arial"/>
          <w:sz w:val="24"/>
          <w:szCs w:val="24"/>
        </w:rPr>
        <w:t>.</w:t>
      </w:r>
      <w:r w:rsidR="00DC194D" w:rsidRPr="00134AA7">
        <w:rPr>
          <w:rStyle w:val="FootnoteReference"/>
          <w:rFonts w:ascii="Arial" w:hAnsi="Arial" w:cs="Arial"/>
          <w:sz w:val="24"/>
          <w:szCs w:val="24"/>
        </w:rPr>
        <w:footnoteReference w:id="71"/>
      </w:r>
      <w:r w:rsidR="00DC194D" w:rsidRPr="00134AA7">
        <w:rPr>
          <w:rFonts w:ascii="Arial" w:hAnsi="Arial" w:cs="Arial"/>
          <w:sz w:val="24"/>
          <w:szCs w:val="24"/>
        </w:rPr>
        <w:t xml:space="preserve"> </w:t>
      </w:r>
      <w:r w:rsidR="00802C25">
        <w:rPr>
          <w:rFonts w:ascii="Arial" w:hAnsi="Arial" w:cs="Arial"/>
          <w:sz w:val="24"/>
          <w:szCs w:val="24"/>
        </w:rPr>
        <w:t xml:space="preserve">  Thus, any flaws</w:t>
      </w:r>
      <w:r w:rsidR="008711AC">
        <w:rPr>
          <w:rFonts w:ascii="Arial" w:hAnsi="Arial" w:cs="Arial"/>
          <w:sz w:val="24"/>
          <w:szCs w:val="24"/>
        </w:rPr>
        <w:t xml:space="preserve"> in DP&amp;L’s discovery</w:t>
      </w:r>
      <w:r w:rsidR="00802C25">
        <w:rPr>
          <w:rFonts w:ascii="Arial" w:hAnsi="Arial" w:cs="Arial"/>
          <w:sz w:val="24"/>
          <w:szCs w:val="24"/>
        </w:rPr>
        <w:t xml:space="preserve"> responses</w:t>
      </w:r>
      <w:r w:rsidR="008711AC">
        <w:rPr>
          <w:rFonts w:ascii="Arial" w:hAnsi="Arial" w:cs="Arial"/>
          <w:sz w:val="24"/>
          <w:szCs w:val="24"/>
        </w:rPr>
        <w:t xml:space="preserve"> carries over into Staff’s conclusions.  This</w:t>
      </w:r>
      <w:r w:rsidR="00AD173C">
        <w:rPr>
          <w:rFonts w:ascii="Arial" w:hAnsi="Arial" w:cs="Arial"/>
          <w:sz w:val="24"/>
          <w:szCs w:val="24"/>
        </w:rPr>
        <w:t xml:space="preserve"> </w:t>
      </w:r>
      <w:r w:rsidR="00AD173C">
        <w:rPr>
          <w:rFonts w:ascii="Arial" w:hAnsi="Arial" w:cs="Arial"/>
          <w:sz w:val="24"/>
          <w:szCs w:val="24"/>
        </w:rPr>
        <w:lastRenderedPageBreak/>
        <w:t>reality</w:t>
      </w:r>
      <w:r w:rsidR="008711AC">
        <w:rPr>
          <w:rFonts w:ascii="Arial" w:hAnsi="Arial" w:cs="Arial"/>
          <w:sz w:val="24"/>
          <w:szCs w:val="24"/>
        </w:rPr>
        <w:t xml:space="preserve"> is evident in spades.  </w:t>
      </w:r>
      <w:r>
        <w:rPr>
          <w:rFonts w:ascii="Arial" w:hAnsi="Arial" w:cs="Arial"/>
          <w:sz w:val="24"/>
          <w:szCs w:val="24"/>
        </w:rPr>
        <w:t>For example, to support his conclusion that all default service costs are only recovered through the SSO rate, he relied upon DP&amp;L witness park’s response to discovery.  But Mr. Parke agreed that he performed no quantitative analysis and looked at no documents to reach his conclusion.</w:t>
      </w:r>
      <w:r w:rsidR="00290AFD">
        <w:rPr>
          <w:rStyle w:val="FootnoteReference"/>
          <w:rFonts w:ascii="Arial" w:hAnsi="Arial" w:cs="Arial"/>
          <w:sz w:val="24"/>
          <w:szCs w:val="24"/>
        </w:rPr>
        <w:footnoteReference w:id="72"/>
      </w:r>
      <w:r>
        <w:rPr>
          <w:rFonts w:ascii="Arial" w:hAnsi="Arial" w:cs="Arial"/>
          <w:sz w:val="24"/>
          <w:szCs w:val="24"/>
        </w:rPr>
        <w:t xml:space="preserve">  Moreover, and more importantly, both Mr. Parke and Mr. Smith conceded that there are in fact administrative and processing costs related to the provision of SSO service proposed for recovery in distribution rates</w:t>
      </w:r>
      <w:r w:rsidR="00AD173C">
        <w:rPr>
          <w:rFonts w:ascii="Arial" w:hAnsi="Arial" w:cs="Arial"/>
          <w:sz w:val="24"/>
          <w:szCs w:val="24"/>
        </w:rPr>
        <w:t>.</w:t>
      </w:r>
      <w:r w:rsidR="00AD593D">
        <w:rPr>
          <w:rStyle w:val="FootnoteReference"/>
          <w:rFonts w:ascii="Arial" w:hAnsi="Arial" w:cs="Arial"/>
          <w:sz w:val="24"/>
          <w:szCs w:val="24"/>
        </w:rPr>
        <w:footnoteReference w:id="73"/>
      </w:r>
      <w:r w:rsidR="00AD173C">
        <w:rPr>
          <w:rFonts w:ascii="Arial" w:hAnsi="Arial" w:cs="Arial"/>
          <w:sz w:val="24"/>
          <w:szCs w:val="24"/>
        </w:rPr>
        <w:t xml:space="preserve">  They just didn’t attempt to quantify them.</w:t>
      </w:r>
      <w:r>
        <w:rPr>
          <w:rFonts w:ascii="Arial" w:hAnsi="Arial" w:cs="Arial"/>
          <w:sz w:val="24"/>
          <w:szCs w:val="24"/>
        </w:rPr>
        <w:t xml:space="preserve"> </w:t>
      </w:r>
    </w:p>
    <w:p w14:paraId="54F74D02" w14:textId="3E05F83E" w:rsidR="00FA7DED" w:rsidRPr="00134AA7" w:rsidRDefault="000C76ED" w:rsidP="008711AC">
      <w:pPr>
        <w:spacing w:after="0" w:line="480" w:lineRule="auto"/>
        <w:ind w:left="-90" w:firstLine="810"/>
        <w:jc w:val="both"/>
        <w:rPr>
          <w:rFonts w:ascii="Arial" w:hAnsi="Arial" w:cs="Arial"/>
          <w:sz w:val="24"/>
          <w:szCs w:val="24"/>
        </w:rPr>
      </w:pPr>
      <w:r>
        <w:rPr>
          <w:rFonts w:ascii="Arial" w:hAnsi="Arial" w:cs="Arial"/>
          <w:sz w:val="24"/>
          <w:szCs w:val="24"/>
        </w:rPr>
        <w:t>Additionally, to support his claim that there are choice-related costs proposed for recovery in distribution rates,</w:t>
      </w:r>
      <w:r w:rsidR="00024BC4" w:rsidRPr="00134AA7">
        <w:rPr>
          <w:rFonts w:ascii="Arial" w:hAnsi="Arial" w:cs="Arial"/>
          <w:sz w:val="24"/>
          <w:szCs w:val="24"/>
        </w:rPr>
        <w:t xml:space="preserve"> Mr. Smith relied upon the fact that choice customers selected the interactive voice response (“IVR”) option labeled “electric choice.”  Although there were five IVR options,</w:t>
      </w:r>
      <w:r w:rsidR="00024BC4" w:rsidRPr="00134AA7">
        <w:rPr>
          <w:rStyle w:val="FootnoteReference"/>
          <w:rFonts w:ascii="Arial" w:hAnsi="Arial" w:cs="Arial"/>
          <w:sz w:val="24"/>
          <w:szCs w:val="24"/>
        </w:rPr>
        <w:footnoteReference w:id="74"/>
      </w:r>
      <w:r w:rsidR="00024BC4" w:rsidRPr="00134AA7">
        <w:rPr>
          <w:rFonts w:ascii="Arial" w:hAnsi="Arial" w:cs="Arial"/>
          <w:sz w:val="24"/>
          <w:szCs w:val="24"/>
        </w:rPr>
        <w:t xml:space="preserve"> </w:t>
      </w:r>
      <w:r w:rsidR="00024BC4" w:rsidRPr="00085080">
        <w:rPr>
          <w:rFonts w:ascii="Arial" w:hAnsi="Arial" w:cs="Arial"/>
          <w:i/>
          <w:sz w:val="24"/>
          <w:szCs w:val="24"/>
        </w:rPr>
        <w:t>only 1% of all customer calls resulted in a selection of</w:t>
      </w:r>
      <w:r w:rsidR="00024BC4" w:rsidRPr="00134AA7">
        <w:rPr>
          <w:rFonts w:ascii="Arial" w:hAnsi="Arial" w:cs="Arial"/>
          <w:sz w:val="24"/>
          <w:szCs w:val="24"/>
        </w:rPr>
        <w:t xml:space="preserve"> “electric choice.”</w:t>
      </w:r>
      <w:r w:rsidR="00290AFD">
        <w:rPr>
          <w:rStyle w:val="FootnoteReference"/>
          <w:rFonts w:ascii="Arial" w:hAnsi="Arial" w:cs="Arial"/>
          <w:sz w:val="24"/>
          <w:szCs w:val="24"/>
        </w:rPr>
        <w:footnoteReference w:id="75"/>
      </w:r>
      <w:r w:rsidR="00024BC4" w:rsidRPr="00134AA7">
        <w:rPr>
          <w:rFonts w:ascii="Arial" w:hAnsi="Arial" w:cs="Arial"/>
          <w:sz w:val="24"/>
          <w:szCs w:val="24"/>
        </w:rPr>
        <w:t xml:space="preserve">  Hardly evidence to suggest that choice customers are receiving comparable service</w:t>
      </w:r>
      <w:r w:rsidR="00290AFD">
        <w:rPr>
          <w:rFonts w:ascii="Arial" w:hAnsi="Arial" w:cs="Arial"/>
          <w:sz w:val="24"/>
          <w:szCs w:val="24"/>
        </w:rPr>
        <w:t xml:space="preserve"> to SSO customers</w:t>
      </w:r>
      <w:r w:rsidR="00024BC4" w:rsidRPr="00134AA7">
        <w:rPr>
          <w:rFonts w:ascii="Arial" w:hAnsi="Arial" w:cs="Arial"/>
          <w:sz w:val="24"/>
          <w:szCs w:val="24"/>
        </w:rPr>
        <w:t>.</w:t>
      </w:r>
      <w:r>
        <w:rPr>
          <w:rFonts w:ascii="Arial" w:hAnsi="Arial" w:cs="Arial"/>
          <w:sz w:val="24"/>
          <w:szCs w:val="24"/>
        </w:rPr>
        <w:t xml:space="preserve">  Moreover, when DP&amp;L has a conversation with a shopping customer, DP&amp;L is not speaking about any specific CRES product in the market and DP&amp;L has no capacity to answer questions about a specific product in the market.</w:t>
      </w:r>
      <w:r w:rsidR="00290AFD">
        <w:rPr>
          <w:rStyle w:val="FootnoteReference"/>
          <w:rFonts w:ascii="Arial" w:hAnsi="Arial" w:cs="Arial"/>
          <w:sz w:val="24"/>
          <w:szCs w:val="24"/>
        </w:rPr>
        <w:footnoteReference w:id="76"/>
      </w:r>
      <w:r>
        <w:rPr>
          <w:rFonts w:ascii="Arial" w:hAnsi="Arial" w:cs="Arial"/>
          <w:sz w:val="24"/>
          <w:szCs w:val="24"/>
        </w:rPr>
        <w:t xml:space="preserve">  DP&amp;L </w:t>
      </w:r>
      <w:r w:rsidR="00AD173C">
        <w:rPr>
          <w:rFonts w:ascii="Arial" w:hAnsi="Arial" w:cs="Arial"/>
          <w:sz w:val="24"/>
          <w:szCs w:val="24"/>
        </w:rPr>
        <w:t>does not provide</w:t>
      </w:r>
      <w:r>
        <w:rPr>
          <w:rFonts w:ascii="Arial" w:hAnsi="Arial" w:cs="Arial"/>
          <w:sz w:val="24"/>
          <w:szCs w:val="24"/>
        </w:rPr>
        <w:t xml:space="preserve"> competitive retail electric service when it is discussing choice as a general matter.  </w:t>
      </w:r>
      <w:r>
        <w:rPr>
          <w:rFonts w:ascii="Arial" w:hAnsi="Arial" w:cs="Arial"/>
          <w:sz w:val="24"/>
          <w:szCs w:val="24"/>
        </w:rPr>
        <w:lastRenderedPageBreak/>
        <w:t>But when DP&amp;L’s call center engages with SSO customers about the SSO, the call center is providing direct support to a compet</w:t>
      </w:r>
      <w:r w:rsidR="00290AFD">
        <w:rPr>
          <w:rFonts w:ascii="Arial" w:hAnsi="Arial" w:cs="Arial"/>
          <w:sz w:val="24"/>
          <w:szCs w:val="24"/>
        </w:rPr>
        <w:t>itive retail electric service provided by DP&amp;L.</w:t>
      </w:r>
    </w:p>
    <w:p w14:paraId="5DCBC289" w14:textId="232548BD" w:rsidR="00C24A30" w:rsidRDefault="00134AA7" w:rsidP="00134AA7">
      <w:pPr>
        <w:spacing w:after="0" w:line="480" w:lineRule="auto"/>
        <w:ind w:left="-90" w:firstLine="810"/>
        <w:jc w:val="both"/>
        <w:rPr>
          <w:rFonts w:ascii="Arial" w:hAnsi="Arial" w:cs="Arial"/>
          <w:sz w:val="24"/>
          <w:szCs w:val="24"/>
        </w:rPr>
      </w:pPr>
      <w:r>
        <w:rPr>
          <w:rFonts w:ascii="Arial" w:hAnsi="Arial" w:cs="Arial"/>
          <w:sz w:val="24"/>
          <w:szCs w:val="24"/>
        </w:rPr>
        <w:t xml:space="preserve">Next, Mr. Smith appears to imply that choice customers receive the same level of service as SSO customers in the disconnection and collection process.  To support his conclusion, Mr. Smith makes much of the fact that in 2016 a total of $70,000 was remitted to CRES providers in conjunction with a customer disconnection.  The DP&amp;L witness responsible for </w:t>
      </w:r>
      <w:r w:rsidR="001112EA">
        <w:rPr>
          <w:rFonts w:ascii="Arial" w:hAnsi="Arial" w:cs="Arial"/>
          <w:sz w:val="24"/>
          <w:szCs w:val="24"/>
        </w:rPr>
        <w:t>responding to Staff’s discovery regarding collections</w:t>
      </w:r>
      <w:r>
        <w:rPr>
          <w:rFonts w:ascii="Arial" w:hAnsi="Arial" w:cs="Arial"/>
          <w:sz w:val="24"/>
          <w:szCs w:val="24"/>
        </w:rPr>
        <w:t>, however, simply could not provide any information regarding the fig</w:t>
      </w:r>
      <w:r w:rsidR="008711AC">
        <w:rPr>
          <w:rFonts w:ascii="Arial" w:hAnsi="Arial" w:cs="Arial"/>
          <w:sz w:val="24"/>
          <w:szCs w:val="24"/>
        </w:rPr>
        <w:t>ures that Mr. Smith relied upon.</w:t>
      </w:r>
      <w:r w:rsidR="00290AFD">
        <w:rPr>
          <w:rStyle w:val="FootnoteReference"/>
          <w:rFonts w:ascii="Arial" w:hAnsi="Arial" w:cs="Arial"/>
          <w:sz w:val="24"/>
          <w:szCs w:val="24"/>
        </w:rPr>
        <w:footnoteReference w:id="77"/>
      </w:r>
      <w:r w:rsidR="008711AC">
        <w:rPr>
          <w:rFonts w:ascii="Arial" w:hAnsi="Arial" w:cs="Arial"/>
          <w:sz w:val="24"/>
          <w:szCs w:val="24"/>
        </w:rPr>
        <w:t xml:space="preserve">  As Mr. Bentley stated, </w:t>
      </w:r>
      <w:r>
        <w:rPr>
          <w:rFonts w:ascii="Arial" w:hAnsi="Arial" w:cs="Arial"/>
          <w:sz w:val="24"/>
          <w:szCs w:val="24"/>
        </w:rPr>
        <w:t xml:space="preserve">“I'm just not that </w:t>
      </w:r>
      <w:r w:rsidRPr="00134AA7">
        <w:rPr>
          <w:rFonts w:ascii="Arial" w:hAnsi="Arial" w:cs="Arial"/>
          <w:sz w:val="24"/>
          <w:szCs w:val="24"/>
        </w:rPr>
        <w:t>familiar with the specifics behind it.</w:t>
      </w:r>
      <w:r>
        <w:rPr>
          <w:rFonts w:ascii="Arial" w:hAnsi="Arial" w:cs="Arial"/>
          <w:sz w:val="24"/>
          <w:szCs w:val="24"/>
        </w:rPr>
        <w:t>”</w:t>
      </w:r>
      <w:r w:rsidR="00290AFD">
        <w:rPr>
          <w:rStyle w:val="FootnoteReference"/>
          <w:rFonts w:ascii="Arial" w:hAnsi="Arial" w:cs="Arial"/>
          <w:sz w:val="24"/>
          <w:szCs w:val="24"/>
        </w:rPr>
        <w:footnoteReference w:id="78"/>
      </w:r>
      <w:r w:rsidR="00290AFD">
        <w:rPr>
          <w:rFonts w:ascii="Arial" w:hAnsi="Arial" w:cs="Arial"/>
          <w:sz w:val="24"/>
          <w:szCs w:val="24"/>
        </w:rPr>
        <w:t xml:space="preserve"> </w:t>
      </w:r>
      <w:r>
        <w:rPr>
          <w:rFonts w:ascii="Arial" w:hAnsi="Arial" w:cs="Arial"/>
          <w:sz w:val="24"/>
          <w:szCs w:val="24"/>
        </w:rPr>
        <w:t xml:space="preserve"> Indeed, other than his familiarity with the payment priority, DP&amp;L witness Bentley was generally unfamiliar </w:t>
      </w:r>
      <w:r w:rsidR="00C24A30">
        <w:rPr>
          <w:rFonts w:ascii="Arial" w:hAnsi="Arial" w:cs="Arial"/>
          <w:sz w:val="24"/>
          <w:szCs w:val="24"/>
        </w:rPr>
        <w:t xml:space="preserve">with his own discovery responses.  For example, witness Bentley agreed that shopping customers received one third to one half of the disconnection notices that </w:t>
      </w:r>
      <w:r w:rsidR="004E51FE">
        <w:rPr>
          <w:rFonts w:ascii="Arial" w:hAnsi="Arial" w:cs="Arial"/>
          <w:sz w:val="24"/>
          <w:szCs w:val="24"/>
        </w:rPr>
        <w:t>SSO</w:t>
      </w:r>
      <w:r w:rsidR="00C24A30">
        <w:rPr>
          <w:rFonts w:ascii="Arial" w:hAnsi="Arial" w:cs="Arial"/>
          <w:sz w:val="24"/>
          <w:szCs w:val="24"/>
        </w:rPr>
        <w:t xml:space="preserve"> customers received—a factor that indicates services are not equal.</w:t>
      </w:r>
      <w:r w:rsidR="00290AFD">
        <w:rPr>
          <w:rStyle w:val="FootnoteReference"/>
          <w:rFonts w:ascii="Arial" w:hAnsi="Arial" w:cs="Arial"/>
          <w:sz w:val="24"/>
          <w:szCs w:val="24"/>
        </w:rPr>
        <w:footnoteReference w:id="79"/>
      </w:r>
      <w:r w:rsidR="00C24A30">
        <w:rPr>
          <w:rFonts w:ascii="Arial" w:hAnsi="Arial" w:cs="Arial"/>
          <w:sz w:val="24"/>
          <w:szCs w:val="24"/>
        </w:rPr>
        <w:t xml:space="preserve">  But Mr. Bentley could not provide any insight into whether the shopping customers would only receive a notice of disconnection for failure to pay for distribution charges whereas non-shopping customers would receive disconnection notices for failure to pay distribution and SSO charges.</w:t>
      </w:r>
      <w:r w:rsidR="00290AFD">
        <w:rPr>
          <w:rStyle w:val="FootnoteReference"/>
          <w:rFonts w:ascii="Arial" w:hAnsi="Arial" w:cs="Arial"/>
          <w:sz w:val="24"/>
          <w:szCs w:val="24"/>
        </w:rPr>
        <w:footnoteReference w:id="80"/>
      </w:r>
      <w:r w:rsidR="00C24A30">
        <w:rPr>
          <w:rFonts w:ascii="Arial" w:hAnsi="Arial" w:cs="Arial"/>
          <w:sz w:val="24"/>
          <w:szCs w:val="24"/>
        </w:rPr>
        <w:t xml:space="preserve"> </w:t>
      </w:r>
    </w:p>
    <w:p w14:paraId="2D08DF77" w14:textId="256F3650" w:rsidR="00C24A30" w:rsidRDefault="00C24A30" w:rsidP="00134AA7">
      <w:pPr>
        <w:spacing w:after="0" w:line="480" w:lineRule="auto"/>
        <w:ind w:left="-90" w:firstLine="810"/>
        <w:jc w:val="both"/>
        <w:rPr>
          <w:rFonts w:ascii="Arial" w:hAnsi="Arial" w:cs="Arial"/>
          <w:sz w:val="24"/>
          <w:szCs w:val="24"/>
        </w:rPr>
      </w:pPr>
      <w:r>
        <w:rPr>
          <w:rFonts w:ascii="Arial" w:hAnsi="Arial" w:cs="Arial"/>
          <w:sz w:val="24"/>
          <w:szCs w:val="24"/>
        </w:rPr>
        <w:t xml:space="preserve">Likewise, Mr. Bentley sponsored discovery identifying that DP&amp;L “charged off” significantly more receivables from </w:t>
      </w:r>
      <w:r w:rsidR="006543F9">
        <w:rPr>
          <w:rFonts w:ascii="Arial" w:hAnsi="Arial" w:cs="Arial"/>
          <w:sz w:val="24"/>
          <w:szCs w:val="24"/>
        </w:rPr>
        <w:t>SSO</w:t>
      </w:r>
      <w:r>
        <w:rPr>
          <w:rFonts w:ascii="Arial" w:hAnsi="Arial" w:cs="Arial"/>
          <w:sz w:val="24"/>
          <w:szCs w:val="24"/>
        </w:rPr>
        <w:t xml:space="preserve"> customers (85% to 90% more) after </w:t>
      </w:r>
      <w:r>
        <w:rPr>
          <w:rFonts w:ascii="Arial" w:hAnsi="Arial" w:cs="Arial"/>
          <w:sz w:val="24"/>
          <w:szCs w:val="24"/>
        </w:rPr>
        <w:lastRenderedPageBreak/>
        <w:t>disconnection.</w:t>
      </w:r>
      <w:r w:rsidR="009F001A">
        <w:rPr>
          <w:rStyle w:val="FootnoteReference"/>
          <w:rFonts w:ascii="Arial" w:hAnsi="Arial" w:cs="Arial"/>
          <w:sz w:val="24"/>
          <w:szCs w:val="24"/>
        </w:rPr>
        <w:footnoteReference w:id="81"/>
      </w:r>
      <w:r>
        <w:rPr>
          <w:rFonts w:ascii="Arial" w:hAnsi="Arial" w:cs="Arial"/>
          <w:sz w:val="24"/>
          <w:szCs w:val="24"/>
        </w:rPr>
        <w:t xml:space="preserve">  But he could not explain whether the identified charges were </w:t>
      </w:r>
      <w:r w:rsidR="0074795A">
        <w:rPr>
          <w:rFonts w:ascii="Arial" w:hAnsi="Arial" w:cs="Arial"/>
          <w:sz w:val="24"/>
          <w:szCs w:val="24"/>
        </w:rPr>
        <w:t>completely distribution-related, whether they included any CRES charges, or whether the “charged off” amounts are remitted to the CRES to attempt to collect themselves.</w:t>
      </w:r>
      <w:r w:rsidR="0074795A">
        <w:rPr>
          <w:rStyle w:val="FootnoteReference"/>
          <w:rFonts w:ascii="Arial" w:hAnsi="Arial" w:cs="Arial"/>
          <w:sz w:val="24"/>
          <w:szCs w:val="24"/>
        </w:rPr>
        <w:footnoteReference w:id="82"/>
      </w:r>
    </w:p>
    <w:p w14:paraId="3FAB4104" w14:textId="65826CF4" w:rsidR="008711AC" w:rsidRPr="00134AA7" w:rsidRDefault="00C24A30" w:rsidP="007515A3">
      <w:pPr>
        <w:spacing w:after="0" w:line="480" w:lineRule="auto"/>
        <w:jc w:val="both"/>
        <w:rPr>
          <w:rFonts w:ascii="Arial" w:hAnsi="Arial" w:cs="Arial"/>
          <w:sz w:val="24"/>
          <w:szCs w:val="24"/>
        </w:rPr>
      </w:pPr>
      <w:r>
        <w:rPr>
          <w:rFonts w:ascii="Arial" w:hAnsi="Arial" w:cs="Arial"/>
          <w:sz w:val="24"/>
          <w:szCs w:val="24"/>
        </w:rPr>
        <w:tab/>
        <w:t>Mr. Smith’s claim that DP&amp;L hears complaints from shopping customers is equally unavailing.  Once again, Mr. Bentley could not provide any detail behind the statistics he sponsored.  For example, he could not identify whet</w:t>
      </w:r>
      <w:r w:rsidR="0074795A">
        <w:rPr>
          <w:rFonts w:ascii="Arial" w:hAnsi="Arial" w:cs="Arial"/>
          <w:sz w:val="24"/>
          <w:szCs w:val="24"/>
        </w:rPr>
        <w:t>her the complaints related to shopping customers</w:t>
      </w:r>
      <w:r w:rsidR="00AD173C">
        <w:rPr>
          <w:rFonts w:ascii="Arial" w:hAnsi="Arial" w:cs="Arial"/>
          <w:sz w:val="24"/>
          <w:szCs w:val="24"/>
        </w:rPr>
        <w:t xml:space="preserve"> about their CRES provider</w:t>
      </w:r>
      <w:r w:rsidR="0074795A">
        <w:rPr>
          <w:rFonts w:ascii="Arial" w:hAnsi="Arial" w:cs="Arial"/>
          <w:sz w:val="24"/>
          <w:szCs w:val="24"/>
        </w:rPr>
        <w:t xml:space="preserve"> or simply complaining about power outages.</w:t>
      </w:r>
      <w:r w:rsidR="0074795A">
        <w:rPr>
          <w:rStyle w:val="FootnoteReference"/>
          <w:rFonts w:ascii="Arial" w:hAnsi="Arial" w:cs="Arial"/>
          <w:sz w:val="24"/>
          <w:szCs w:val="24"/>
        </w:rPr>
        <w:footnoteReference w:id="83"/>
      </w:r>
      <w:r w:rsidR="0074795A">
        <w:rPr>
          <w:rFonts w:ascii="Arial" w:hAnsi="Arial" w:cs="Arial"/>
          <w:sz w:val="24"/>
          <w:szCs w:val="24"/>
        </w:rPr>
        <w:t xml:space="preserve"> </w:t>
      </w:r>
      <w:r w:rsidR="005617C9">
        <w:rPr>
          <w:rFonts w:ascii="Arial" w:hAnsi="Arial" w:cs="Arial"/>
          <w:sz w:val="24"/>
          <w:szCs w:val="24"/>
        </w:rPr>
        <w:t>Furthermore, even if</w:t>
      </w:r>
      <w:r w:rsidR="0076797D">
        <w:rPr>
          <w:rFonts w:ascii="Arial" w:hAnsi="Arial" w:cs="Arial"/>
          <w:sz w:val="24"/>
          <w:szCs w:val="24"/>
        </w:rPr>
        <w:t xml:space="preserve"> DP&amp;L receives complaints about CRES providers, the appropriate response by DP&amp;L is to direct those complaints to the PUCO</w:t>
      </w:r>
      <w:r w:rsidR="0024580C">
        <w:rPr>
          <w:rFonts w:ascii="Arial" w:hAnsi="Arial" w:cs="Arial"/>
          <w:sz w:val="24"/>
          <w:szCs w:val="24"/>
        </w:rPr>
        <w:t xml:space="preserve"> </w:t>
      </w:r>
      <w:r w:rsidR="00085080">
        <w:rPr>
          <w:rFonts w:ascii="Arial" w:hAnsi="Arial" w:cs="Arial"/>
          <w:sz w:val="24"/>
          <w:szCs w:val="24"/>
        </w:rPr>
        <w:t xml:space="preserve">or the CRES provider </w:t>
      </w:r>
      <w:r w:rsidR="0024580C">
        <w:rPr>
          <w:rFonts w:ascii="Arial" w:hAnsi="Arial" w:cs="Arial"/>
          <w:sz w:val="24"/>
          <w:szCs w:val="24"/>
        </w:rPr>
        <w:t>as DP&amp;L does not have jurisdiction to adjudicate CRES complaints.  Similarly,</w:t>
      </w:r>
      <w:r w:rsidR="00A65539">
        <w:rPr>
          <w:rFonts w:ascii="Arial" w:hAnsi="Arial" w:cs="Arial"/>
          <w:sz w:val="24"/>
          <w:szCs w:val="24"/>
        </w:rPr>
        <w:t xml:space="preserve"> Mr. Smith failed to take account for the fact that</w:t>
      </w:r>
      <w:r w:rsidR="0024580C">
        <w:rPr>
          <w:rFonts w:ascii="Arial" w:hAnsi="Arial" w:cs="Arial"/>
          <w:sz w:val="24"/>
          <w:szCs w:val="24"/>
        </w:rPr>
        <w:t xml:space="preserve"> CRES suppliers</w:t>
      </w:r>
      <w:r w:rsidR="00A654AE">
        <w:rPr>
          <w:rFonts w:ascii="Arial" w:hAnsi="Arial" w:cs="Arial"/>
          <w:sz w:val="24"/>
          <w:szCs w:val="24"/>
        </w:rPr>
        <w:t xml:space="preserve"> may</w:t>
      </w:r>
      <w:r w:rsidR="0024580C">
        <w:rPr>
          <w:rFonts w:ascii="Arial" w:hAnsi="Arial" w:cs="Arial"/>
          <w:sz w:val="24"/>
          <w:szCs w:val="24"/>
        </w:rPr>
        <w:t xml:space="preserve"> </w:t>
      </w:r>
      <w:r w:rsidR="00BA1A2F">
        <w:rPr>
          <w:rFonts w:ascii="Arial" w:hAnsi="Arial" w:cs="Arial"/>
          <w:sz w:val="24"/>
          <w:szCs w:val="24"/>
        </w:rPr>
        <w:t>receive calls from customers complaining about DP&amp;L distribution service,</w:t>
      </w:r>
      <w:r w:rsidR="00663D46">
        <w:rPr>
          <w:rFonts w:ascii="Arial" w:hAnsi="Arial" w:cs="Arial"/>
          <w:sz w:val="24"/>
          <w:szCs w:val="24"/>
        </w:rPr>
        <w:t xml:space="preserve"> that</w:t>
      </w:r>
      <w:r w:rsidR="00A65539">
        <w:rPr>
          <w:rFonts w:ascii="Arial" w:hAnsi="Arial" w:cs="Arial"/>
          <w:sz w:val="24"/>
          <w:szCs w:val="24"/>
        </w:rPr>
        <w:t xml:space="preserve"> CRES suppliers refer the calls to</w:t>
      </w:r>
      <w:r w:rsidR="00A654AE">
        <w:rPr>
          <w:rFonts w:ascii="Arial" w:hAnsi="Arial" w:cs="Arial"/>
          <w:sz w:val="24"/>
          <w:szCs w:val="24"/>
        </w:rPr>
        <w:t xml:space="preserve"> DP&amp;L, but don’t seek to make DP&amp;L pay for the cost of those calls.</w:t>
      </w:r>
    </w:p>
    <w:p w14:paraId="2BED4284" w14:textId="77777777" w:rsidR="00E41C4B" w:rsidRDefault="000C76ED" w:rsidP="006865AE">
      <w:pPr>
        <w:spacing w:after="0" w:line="480" w:lineRule="auto"/>
        <w:ind w:firstLine="720"/>
        <w:jc w:val="both"/>
        <w:rPr>
          <w:rFonts w:ascii="Arial" w:hAnsi="Arial" w:cs="Arial"/>
          <w:sz w:val="24"/>
          <w:szCs w:val="24"/>
        </w:rPr>
      </w:pPr>
      <w:r>
        <w:rPr>
          <w:rFonts w:ascii="Arial" w:hAnsi="Arial" w:cs="Arial"/>
          <w:sz w:val="24"/>
          <w:szCs w:val="24"/>
        </w:rPr>
        <w:t xml:space="preserve">In summary, </w:t>
      </w:r>
      <w:r w:rsidR="00E41C4B">
        <w:rPr>
          <w:rFonts w:ascii="Arial" w:hAnsi="Arial" w:cs="Arial"/>
          <w:sz w:val="24"/>
          <w:szCs w:val="24"/>
        </w:rPr>
        <w:t>both Staff and DP&amp;L agree that there are SSO-related costs</w:t>
      </w:r>
      <w:r w:rsidR="00AD173C">
        <w:rPr>
          <w:rFonts w:ascii="Arial" w:hAnsi="Arial" w:cs="Arial"/>
          <w:sz w:val="24"/>
          <w:szCs w:val="24"/>
        </w:rPr>
        <w:t xml:space="preserve"> in distribution rates.  They did not attempt</w:t>
      </w:r>
      <w:r w:rsidR="00E41C4B">
        <w:rPr>
          <w:rFonts w:ascii="Arial" w:hAnsi="Arial" w:cs="Arial"/>
          <w:sz w:val="24"/>
          <w:szCs w:val="24"/>
        </w:rPr>
        <w:t xml:space="preserve"> to quantify them.  The</w:t>
      </w:r>
      <w:r w:rsidR="00AD173C">
        <w:rPr>
          <w:rFonts w:ascii="Arial" w:hAnsi="Arial" w:cs="Arial"/>
          <w:sz w:val="24"/>
          <w:szCs w:val="24"/>
        </w:rPr>
        <w:t>y believe that DP&amp;L’s incurrence of some level of unquantified amount of choice-related costs</w:t>
      </w:r>
      <w:r w:rsidR="00E41C4B">
        <w:rPr>
          <w:rFonts w:ascii="Arial" w:hAnsi="Arial" w:cs="Arial"/>
          <w:sz w:val="24"/>
          <w:szCs w:val="24"/>
        </w:rPr>
        <w:t xml:space="preserve"> justifies not allocating SSO costs to th</w:t>
      </w:r>
      <w:r w:rsidR="00AD173C">
        <w:rPr>
          <w:rFonts w:ascii="Arial" w:hAnsi="Arial" w:cs="Arial"/>
          <w:sz w:val="24"/>
          <w:szCs w:val="24"/>
        </w:rPr>
        <w:t xml:space="preserve">e SSO.  At the same time, </w:t>
      </w:r>
      <w:r w:rsidR="00E41C4B">
        <w:rPr>
          <w:rFonts w:ascii="Arial" w:hAnsi="Arial" w:cs="Arial"/>
          <w:sz w:val="24"/>
          <w:szCs w:val="24"/>
        </w:rPr>
        <w:t xml:space="preserve">neither Staff nor DP&amp;L </w:t>
      </w:r>
      <w:r w:rsidR="00E41C4B">
        <w:rPr>
          <w:rFonts w:ascii="Arial" w:hAnsi="Arial" w:cs="Arial"/>
          <w:sz w:val="24"/>
          <w:szCs w:val="24"/>
        </w:rPr>
        <w:lastRenderedPageBreak/>
        <w:t>recommending reducing the fees that CRES</w:t>
      </w:r>
      <w:r w:rsidR="00AD173C">
        <w:rPr>
          <w:rFonts w:ascii="Arial" w:hAnsi="Arial" w:cs="Arial"/>
          <w:sz w:val="24"/>
          <w:szCs w:val="24"/>
        </w:rPr>
        <w:t xml:space="preserve"> providers.</w:t>
      </w:r>
      <w:r w:rsidR="00E41C4B">
        <w:rPr>
          <w:rFonts w:ascii="Arial" w:hAnsi="Arial" w:cs="Arial"/>
          <w:sz w:val="24"/>
          <w:szCs w:val="24"/>
        </w:rPr>
        <w:t xml:space="preserve"> a</w:t>
      </w:r>
      <w:r w:rsidR="00AD173C">
        <w:rPr>
          <w:rFonts w:ascii="Arial" w:hAnsi="Arial" w:cs="Arial"/>
          <w:sz w:val="24"/>
          <w:szCs w:val="24"/>
        </w:rPr>
        <w:t>nd their customers pay DP&amp;L to pay for the choice-related costs that DP&amp;L incurs</w:t>
      </w:r>
      <w:r w:rsidR="00E41C4B">
        <w:rPr>
          <w:rFonts w:ascii="Arial" w:hAnsi="Arial" w:cs="Arial"/>
          <w:sz w:val="24"/>
          <w:szCs w:val="24"/>
        </w:rPr>
        <w:t xml:space="preserve">.   </w:t>
      </w:r>
    </w:p>
    <w:p w14:paraId="37366DEB" w14:textId="77777777" w:rsidR="00E41C4B" w:rsidRDefault="00AD173C" w:rsidP="002834D5">
      <w:pPr>
        <w:pStyle w:val="ListParagraph"/>
        <w:numPr>
          <w:ilvl w:val="0"/>
          <w:numId w:val="3"/>
        </w:numPr>
        <w:spacing w:after="0" w:line="240" w:lineRule="auto"/>
        <w:contextualSpacing w:val="0"/>
        <w:jc w:val="both"/>
        <w:rPr>
          <w:rFonts w:ascii="Arial" w:hAnsi="Arial" w:cs="Arial"/>
          <w:b/>
          <w:sz w:val="24"/>
          <w:szCs w:val="24"/>
        </w:rPr>
      </w:pPr>
      <w:r>
        <w:rPr>
          <w:rFonts w:ascii="Arial" w:hAnsi="Arial" w:cs="Arial"/>
          <w:b/>
          <w:sz w:val="24"/>
          <w:szCs w:val="24"/>
        </w:rPr>
        <w:t>Rate Design</w:t>
      </w:r>
      <w:r w:rsidR="002834D5">
        <w:rPr>
          <w:rFonts w:ascii="Arial" w:hAnsi="Arial" w:cs="Arial"/>
          <w:b/>
          <w:sz w:val="24"/>
          <w:szCs w:val="24"/>
        </w:rPr>
        <w:t>—Use of Non-Coincident Peak</w:t>
      </w:r>
      <w:r>
        <w:rPr>
          <w:rFonts w:ascii="Arial" w:hAnsi="Arial" w:cs="Arial"/>
          <w:b/>
          <w:sz w:val="24"/>
          <w:szCs w:val="24"/>
        </w:rPr>
        <w:t xml:space="preserve"> Discourages</w:t>
      </w:r>
      <w:r w:rsidR="00E41C4B">
        <w:rPr>
          <w:rFonts w:ascii="Arial" w:hAnsi="Arial" w:cs="Arial"/>
          <w:b/>
          <w:sz w:val="24"/>
          <w:szCs w:val="24"/>
        </w:rPr>
        <w:t xml:space="preserve"> Distributed Generation</w:t>
      </w:r>
    </w:p>
    <w:p w14:paraId="6B699379" w14:textId="77777777" w:rsidR="002834D5" w:rsidRPr="00E41C4B" w:rsidRDefault="002834D5" w:rsidP="002834D5">
      <w:pPr>
        <w:pStyle w:val="ListParagraph"/>
        <w:spacing w:after="0" w:line="240" w:lineRule="auto"/>
        <w:ind w:left="1080"/>
        <w:contextualSpacing w:val="0"/>
        <w:jc w:val="both"/>
        <w:rPr>
          <w:rFonts w:ascii="Arial" w:hAnsi="Arial" w:cs="Arial"/>
          <w:b/>
          <w:sz w:val="24"/>
          <w:szCs w:val="24"/>
        </w:rPr>
      </w:pPr>
    </w:p>
    <w:p w14:paraId="5DD116CA" w14:textId="3057EC76" w:rsidR="00E41C4B" w:rsidRDefault="00D612FB" w:rsidP="00E41C4B">
      <w:pPr>
        <w:spacing w:after="0" w:line="480" w:lineRule="auto"/>
        <w:ind w:firstLine="720"/>
        <w:jc w:val="both"/>
        <w:rPr>
          <w:rFonts w:ascii="Arial" w:hAnsi="Arial" w:cs="Arial"/>
          <w:sz w:val="24"/>
          <w:szCs w:val="24"/>
        </w:rPr>
      </w:pPr>
      <w:r>
        <w:rPr>
          <w:rFonts w:ascii="Arial" w:hAnsi="Arial" w:cs="Arial"/>
          <w:sz w:val="24"/>
          <w:szCs w:val="24"/>
        </w:rPr>
        <w:t>IGS objected to the Staff Report’s failure to recommend that DP&amp;L modify the manner in which it establishes commercial customers billing determinants.</w:t>
      </w:r>
      <w:r w:rsidR="00A65539">
        <w:rPr>
          <w:rFonts w:ascii="Arial" w:hAnsi="Arial" w:cs="Arial"/>
          <w:sz w:val="24"/>
          <w:szCs w:val="24"/>
        </w:rPr>
        <w:t xml:space="preserve"> </w:t>
      </w:r>
      <w:r w:rsidRPr="00D612FB">
        <w:rPr>
          <w:rFonts w:ascii="Arial" w:hAnsi="Arial" w:cs="Arial"/>
          <w:sz w:val="24"/>
          <w:szCs w:val="24"/>
        </w:rPr>
        <w:t xml:space="preserve"> </w:t>
      </w:r>
      <w:r w:rsidR="00A65539">
        <w:rPr>
          <w:rFonts w:ascii="Arial" w:hAnsi="Arial" w:cs="Arial"/>
          <w:sz w:val="24"/>
          <w:szCs w:val="24"/>
        </w:rPr>
        <w:t>IGS objected</w:t>
      </w:r>
      <w:r>
        <w:rPr>
          <w:rFonts w:ascii="Arial" w:hAnsi="Arial" w:cs="Arial"/>
          <w:sz w:val="24"/>
          <w:szCs w:val="24"/>
        </w:rPr>
        <w:t xml:space="preserve"> to </w:t>
      </w:r>
      <w:r w:rsidR="00A65539">
        <w:rPr>
          <w:rFonts w:ascii="Arial" w:hAnsi="Arial" w:cs="Arial"/>
          <w:sz w:val="24"/>
          <w:szCs w:val="24"/>
        </w:rPr>
        <w:t xml:space="preserve">the </w:t>
      </w:r>
      <w:r>
        <w:rPr>
          <w:rFonts w:ascii="Arial" w:hAnsi="Arial" w:cs="Arial"/>
          <w:sz w:val="24"/>
          <w:szCs w:val="24"/>
        </w:rPr>
        <w:t>Staff Report’s acceptance of DP&amp;L’s proposed methodology for determining customer demand based upon the non-coincident peak of an individual customer.</w:t>
      </w:r>
      <w:r>
        <w:rPr>
          <w:rStyle w:val="FootnoteReference"/>
          <w:rFonts w:ascii="Arial" w:hAnsi="Arial" w:cs="Arial"/>
          <w:sz w:val="24"/>
          <w:szCs w:val="24"/>
        </w:rPr>
        <w:footnoteReference w:id="84"/>
      </w:r>
      <w:r>
        <w:rPr>
          <w:rFonts w:ascii="Arial" w:hAnsi="Arial" w:cs="Arial"/>
          <w:sz w:val="24"/>
          <w:szCs w:val="24"/>
        </w:rPr>
        <w:t xml:space="preserve"> The Staff Report states “[t]he size of a distribution system does not depend on the highest coincident-peak demand on a utility’s system, but rather its size depends on the non-coincident peak of the customers it serves.”</w:t>
      </w:r>
      <w:r>
        <w:rPr>
          <w:rStyle w:val="FootnoteReference"/>
          <w:rFonts w:ascii="Arial" w:hAnsi="Arial" w:cs="Arial"/>
          <w:sz w:val="24"/>
          <w:szCs w:val="24"/>
        </w:rPr>
        <w:footnoteReference w:id="85"/>
      </w:r>
      <w:r w:rsidR="00E41C4B">
        <w:rPr>
          <w:rFonts w:ascii="Arial" w:hAnsi="Arial" w:cs="Arial"/>
          <w:sz w:val="24"/>
          <w:szCs w:val="24"/>
        </w:rPr>
        <w:t xml:space="preserve"> Under cross-examination, the Staff witness delegated to support the Staff Report could not speak to</w:t>
      </w:r>
      <w:r w:rsidR="00A65539">
        <w:rPr>
          <w:rFonts w:ascii="Arial" w:hAnsi="Arial" w:cs="Arial"/>
          <w:sz w:val="24"/>
          <w:szCs w:val="24"/>
        </w:rPr>
        <w:t xml:space="preserve"> how DP&amp;L plans its distribution grid.</w:t>
      </w:r>
      <w:r w:rsidR="00A65539">
        <w:rPr>
          <w:rStyle w:val="FootnoteReference"/>
          <w:rFonts w:ascii="Arial" w:hAnsi="Arial" w:cs="Arial"/>
          <w:sz w:val="24"/>
          <w:szCs w:val="24"/>
        </w:rPr>
        <w:footnoteReference w:id="86"/>
      </w:r>
      <w:r w:rsidR="00A65539">
        <w:rPr>
          <w:rFonts w:ascii="Arial" w:hAnsi="Arial" w:cs="Arial"/>
          <w:sz w:val="24"/>
          <w:szCs w:val="24"/>
        </w:rPr>
        <w:t xml:space="preserve">  The witness could not identify</w:t>
      </w:r>
      <w:r w:rsidR="00E41C4B">
        <w:rPr>
          <w:rFonts w:ascii="Arial" w:hAnsi="Arial" w:cs="Arial"/>
          <w:sz w:val="24"/>
          <w:szCs w:val="24"/>
        </w:rPr>
        <w:t xml:space="preserve"> whether the distribution system must be designed based upon non-coincident peak or whether each distribution circuit and feeder must be constructed to withstand the coincident peak demand on the circuit.</w:t>
      </w:r>
    </w:p>
    <w:p w14:paraId="40A4A3D1" w14:textId="78FA543F" w:rsidR="00500F07" w:rsidRDefault="00E41C4B" w:rsidP="00500F07">
      <w:pPr>
        <w:spacing w:after="0" w:line="480" w:lineRule="auto"/>
        <w:ind w:firstLine="720"/>
        <w:jc w:val="both"/>
        <w:rPr>
          <w:rFonts w:ascii="Arial" w:hAnsi="Arial" w:cs="Arial"/>
          <w:sz w:val="24"/>
          <w:szCs w:val="24"/>
        </w:rPr>
      </w:pPr>
      <w:r>
        <w:rPr>
          <w:rFonts w:ascii="Arial" w:hAnsi="Arial" w:cs="Arial"/>
          <w:sz w:val="24"/>
          <w:szCs w:val="24"/>
        </w:rPr>
        <w:t>Moreover, the Staff conceded that they did not consider the impact of utilizing non-coincident peak demand on distributed generation resources, such as solar.</w:t>
      </w:r>
      <w:r w:rsidR="00CB0409">
        <w:rPr>
          <w:rStyle w:val="FootnoteReference"/>
          <w:rFonts w:ascii="Arial" w:hAnsi="Arial" w:cs="Arial"/>
          <w:sz w:val="24"/>
          <w:szCs w:val="24"/>
        </w:rPr>
        <w:footnoteReference w:id="87"/>
      </w:r>
      <w:r>
        <w:rPr>
          <w:rFonts w:ascii="Arial" w:hAnsi="Arial" w:cs="Arial"/>
          <w:sz w:val="24"/>
          <w:szCs w:val="24"/>
        </w:rPr>
        <w:t xml:space="preserve">  Yet, distribution circuits are likely to peak between the hours of 8:00 and 6:00.</w:t>
      </w:r>
      <w:r w:rsidR="00CB0409">
        <w:rPr>
          <w:rStyle w:val="FootnoteReference"/>
          <w:rFonts w:ascii="Arial" w:hAnsi="Arial" w:cs="Arial"/>
          <w:sz w:val="24"/>
          <w:szCs w:val="24"/>
        </w:rPr>
        <w:footnoteReference w:id="88"/>
      </w:r>
      <w:r>
        <w:rPr>
          <w:rFonts w:ascii="Arial" w:hAnsi="Arial" w:cs="Arial"/>
          <w:sz w:val="24"/>
          <w:szCs w:val="24"/>
        </w:rPr>
        <w:t xml:space="preserve">  Logically, the distribution circuit is likely to peak at times when a distributed generation, such as onsite </w:t>
      </w:r>
      <w:r>
        <w:rPr>
          <w:rFonts w:ascii="Arial" w:hAnsi="Arial" w:cs="Arial"/>
          <w:sz w:val="24"/>
          <w:szCs w:val="24"/>
        </w:rPr>
        <w:lastRenderedPageBreak/>
        <w:t>solar, is producing behind the meter generation that reduces a customer’s peak.</w:t>
      </w:r>
      <w:r w:rsidR="00CB0409">
        <w:rPr>
          <w:rFonts w:ascii="Arial" w:hAnsi="Arial" w:cs="Arial"/>
          <w:sz w:val="24"/>
          <w:szCs w:val="24"/>
        </w:rPr>
        <w:t xml:space="preserve">  </w:t>
      </w:r>
      <w:r>
        <w:rPr>
          <w:rFonts w:ascii="Arial" w:hAnsi="Arial" w:cs="Arial"/>
          <w:sz w:val="24"/>
          <w:szCs w:val="24"/>
        </w:rPr>
        <w:t xml:space="preserve">Consequently, </w:t>
      </w:r>
      <w:r w:rsidR="00CB0409">
        <w:rPr>
          <w:rFonts w:ascii="Arial" w:hAnsi="Arial" w:cs="Arial"/>
          <w:sz w:val="24"/>
          <w:szCs w:val="24"/>
        </w:rPr>
        <w:t xml:space="preserve">customers with distributed generation that reduce stress on the grid </w:t>
      </w:r>
      <w:r w:rsidR="00500F07">
        <w:rPr>
          <w:rFonts w:ascii="Arial" w:hAnsi="Arial" w:cs="Arial"/>
          <w:sz w:val="24"/>
          <w:szCs w:val="24"/>
        </w:rPr>
        <w:t>should receive a more efficient price signal than proposed by the Stipulation.</w:t>
      </w:r>
      <w:r w:rsidR="00CB0409">
        <w:rPr>
          <w:rFonts w:ascii="Arial" w:hAnsi="Arial" w:cs="Arial"/>
          <w:sz w:val="24"/>
          <w:szCs w:val="24"/>
        </w:rPr>
        <w:t xml:space="preserve">  </w:t>
      </w:r>
      <w:r w:rsidR="00500F07">
        <w:rPr>
          <w:rFonts w:ascii="Arial" w:hAnsi="Arial" w:cs="Arial"/>
          <w:sz w:val="24"/>
          <w:szCs w:val="24"/>
        </w:rPr>
        <w:t xml:space="preserve"> </w:t>
      </w:r>
    </w:p>
    <w:p w14:paraId="26B7D146" w14:textId="77777777" w:rsidR="00500F07" w:rsidRPr="002834D5" w:rsidRDefault="002834D5" w:rsidP="002834D5">
      <w:pPr>
        <w:pStyle w:val="ListParagraph"/>
        <w:numPr>
          <w:ilvl w:val="0"/>
          <w:numId w:val="3"/>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Credit and Collateral Requirements</w:t>
      </w:r>
    </w:p>
    <w:p w14:paraId="08B3D6A1" w14:textId="302F9473" w:rsidR="00E66435" w:rsidRDefault="00D612FB" w:rsidP="002834D5">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IGS objected to the Staff Report’s failure to propose changes to the credit and collateral requirements contained in DP&amp;L’s Supplier Tariff.  </w:t>
      </w:r>
      <w:r w:rsidRPr="00D612FB">
        <w:rPr>
          <w:rFonts w:ascii="Arial" w:hAnsi="Arial" w:cs="Arial"/>
          <w:sz w:val="24"/>
          <w:szCs w:val="24"/>
        </w:rPr>
        <w:t xml:space="preserve">Since the authorization of the </w:t>
      </w:r>
      <w:r w:rsidR="00CB0409">
        <w:rPr>
          <w:rFonts w:ascii="Arial" w:hAnsi="Arial" w:cs="Arial"/>
          <w:sz w:val="24"/>
          <w:szCs w:val="24"/>
        </w:rPr>
        <w:t xml:space="preserve">Amended </w:t>
      </w:r>
      <w:r w:rsidRPr="00D612FB">
        <w:rPr>
          <w:rFonts w:ascii="Arial" w:hAnsi="Arial" w:cs="Arial"/>
          <w:sz w:val="24"/>
          <w:szCs w:val="24"/>
        </w:rPr>
        <w:t xml:space="preserve">Stipulation approving DP&amp;L’s </w:t>
      </w:r>
      <w:r>
        <w:rPr>
          <w:rFonts w:ascii="Arial" w:hAnsi="Arial" w:cs="Arial"/>
          <w:sz w:val="24"/>
          <w:szCs w:val="24"/>
        </w:rPr>
        <w:t>electric security plan, DP&amp;L had</w:t>
      </w:r>
      <w:r w:rsidRPr="00D612FB">
        <w:rPr>
          <w:rFonts w:ascii="Arial" w:hAnsi="Arial" w:cs="Arial"/>
          <w:sz w:val="24"/>
          <w:szCs w:val="24"/>
        </w:rPr>
        <w:t xml:space="preserve"> begun applying its Supplier Tariff inconsistent with its historical practice and to the detriment of CRES providers that are not publicly traded. </w:t>
      </w:r>
    </w:p>
    <w:p w14:paraId="0AAA9AEF" w14:textId="4EE99DEC" w:rsidR="00E66435" w:rsidRDefault="00E66435" w:rsidP="00E66435">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Prior to the authorization of DP&amp;L’s ESP, DP&amp;L typically required either a de minimus amount or zero credit from CRES providers such as IGS</w:t>
      </w:r>
      <w:r w:rsidRPr="00761984">
        <w:rPr>
          <w:rFonts w:ascii="Arial" w:hAnsi="Arial" w:cs="Arial"/>
          <w:sz w:val="24"/>
          <w:szCs w:val="24"/>
        </w:rPr>
        <w:t>.</w:t>
      </w:r>
      <w:r w:rsidR="00CB0409">
        <w:rPr>
          <w:rStyle w:val="FootnoteReference"/>
          <w:rFonts w:ascii="Arial" w:hAnsi="Arial" w:cs="Arial"/>
          <w:sz w:val="24"/>
          <w:szCs w:val="24"/>
        </w:rPr>
        <w:footnoteReference w:id="89"/>
      </w:r>
      <w:r>
        <w:rPr>
          <w:rFonts w:ascii="Arial" w:hAnsi="Arial" w:cs="Arial"/>
          <w:sz w:val="24"/>
          <w:szCs w:val="24"/>
        </w:rPr>
        <w:t xml:space="preserve">  After the Commission authorized DP&amp;L’s ESP, however, DP&amp;L “changed how it calculated the required credit amount, applying its credit requirements in a manner inconsistent with his</w:t>
      </w:r>
      <w:r w:rsidR="00CB0409">
        <w:rPr>
          <w:rFonts w:ascii="Arial" w:hAnsi="Arial" w:cs="Arial"/>
          <w:sz w:val="24"/>
          <w:szCs w:val="24"/>
        </w:rPr>
        <w:t>torical practice.”</w:t>
      </w:r>
      <w:r w:rsidR="00CB0409">
        <w:rPr>
          <w:rStyle w:val="FootnoteReference"/>
          <w:rFonts w:ascii="Arial" w:hAnsi="Arial" w:cs="Arial"/>
          <w:sz w:val="24"/>
          <w:szCs w:val="24"/>
        </w:rPr>
        <w:footnoteReference w:id="90"/>
      </w:r>
      <w:r>
        <w:rPr>
          <w:rFonts w:ascii="Arial" w:hAnsi="Arial" w:cs="Arial"/>
          <w:sz w:val="24"/>
          <w:szCs w:val="24"/>
        </w:rPr>
        <w:t xml:space="preserve">  For </w:t>
      </w:r>
      <w:r w:rsidR="00CB0409">
        <w:rPr>
          <w:rFonts w:ascii="Arial" w:hAnsi="Arial" w:cs="Arial"/>
          <w:sz w:val="24"/>
          <w:szCs w:val="24"/>
        </w:rPr>
        <w:t xml:space="preserve">CRES providers with the required </w:t>
      </w:r>
      <w:r>
        <w:rPr>
          <w:rFonts w:ascii="Arial" w:hAnsi="Arial" w:cs="Arial"/>
          <w:sz w:val="24"/>
          <w:szCs w:val="24"/>
        </w:rPr>
        <w:t>long-term credit rating, no collateral is necessary.  Bu</w:t>
      </w:r>
      <w:r w:rsidR="00CB0409">
        <w:rPr>
          <w:rFonts w:ascii="Arial" w:hAnsi="Arial" w:cs="Arial"/>
          <w:sz w:val="24"/>
          <w:szCs w:val="24"/>
        </w:rPr>
        <w:t xml:space="preserve">t, for CRES providers without the required </w:t>
      </w:r>
      <w:r>
        <w:rPr>
          <w:rFonts w:ascii="Arial" w:hAnsi="Arial" w:cs="Arial"/>
          <w:sz w:val="24"/>
          <w:szCs w:val="24"/>
        </w:rPr>
        <w:t xml:space="preserve">credit rating (mainly privately held companies), DP&amp;L’s tariff provides that DP&amp;L shall make alternative arrangements.  </w:t>
      </w:r>
      <w:r w:rsidR="00D612FB">
        <w:rPr>
          <w:rFonts w:ascii="Arial" w:hAnsi="Arial" w:cs="Arial"/>
          <w:sz w:val="24"/>
          <w:szCs w:val="24"/>
        </w:rPr>
        <w:t xml:space="preserve">The Supplier Tariff states that “[t]he amount of the security required must be and remain commensurate with the financial risks placed on the Company by that supplier, </w:t>
      </w:r>
      <w:r w:rsidR="00D612FB">
        <w:rPr>
          <w:rFonts w:ascii="Arial" w:hAnsi="Arial" w:cs="Arial"/>
          <w:i/>
          <w:sz w:val="24"/>
          <w:szCs w:val="24"/>
        </w:rPr>
        <w:t>including recognition of that supplier’s performance</w:t>
      </w:r>
      <w:r w:rsidR="00D612FB">
        <w:rPr>
          <w:rFonts w:ascii="Arial" w:hAnsi="Arial" w:cs="Arial"/>
          <w:sz w:val="24"/>
          <w:szCs w:val="24"/>
        </w:rPr>
        <w:t>.”</w:t>
      </w:r>
      <w:r w:rsidR="00D612FB">
        <w:rPr>
          <w:rStyle w:val="FootnoteReference"/>
          <w:rFonts w:ascii="Arial" w:hAnsi="Arial" w:cs="Arial"/>
          <w:sz w:val="24"/>
          <w:szCs w:val="24"/>
        </w:rPr>
        <w:footnoteReference w:id="91"/>
      </w:r>
      <w:r w:rsidR="00D612FB">
        <w:rPr>
          <w:rFonts w:ascii="Arial" w:hAnsi="Arial" w:cs="Arial"/>
          <w:sz w:val="24"/>
          <w:szCs w:val="24"/>
        </w:rPr>
        <w:t xml:space="preserve">  But DP&amp;L does not take </w:t>
      </w:r>
      <w:r w:rsidR="00D612FB">
        <w:rPr>
          <w:rFonts w:ascii="Arial" w:hAnsi="Arial" w:cs="Arial"/>
          <w:sz w:val="24"/>
          <w:szCs w:val="24"/>
        </w:rPr>
        <w:lastRenderedPageBreak/>
        <w:t>the latter factor or the general risk profile of a CRES provider into account when establishing collateral levels.</w:t>
      </w:r>
      <w:r w:rsidR="00CB0409">
        <w:rPr>
          <w:rStyle w:val="FootnoteReference"/>
          <w:rFonts w:ascii="Arial" w:hAnsi="Arial" w:cs="Arial"/>
          <w:sz w:val="24"/>
          <w:szCs w:val="24"/>
        </w:rPr>
        <w:footnoteReference w:id="92"/>
      </w:r>
      <w:r w:rsidR="00D612FB">
        <w:rPr>
          <w:rFonts w:ascii="Arial" w:hAnsi="Arial" w:cs="Arial"/>
          <w:sz w:val="24"/>
          <w:szCs w:val="24"/>
        </w:rPr>
        <w:t xml:space="preserve"> </w:t>
      </w:r>
    </w:p>
    <w:p w14:paraId="72658ED9" w14:textId="2252FC7C" w:rsidR="00E66435" w:rsidRPr="00E66435" w:rsidRDefault="00E66435" w:rsidP="00E66435">
      <w:pPr>
        <w:pStyle w:val="BodyText"/>
        <w:spacing w:line="480" w:lineRule="auto"/>
        <w:ind w:firstLine="720"/>
        <w:jc w:val="both"/>
        <w:rPr>
          <w:rFonts w:ascii="Arial" w:hAnsi="Arial" w:cs="Arial"/>
          <w:sz w:val="24"/>
          <w:szCs w:val="24"/>
        </w:rPr>
      </w:pPr>
      <w:r>
        <w:rPr>
          <w:rFonts w:ascii="Arial" w:hAnsi="Arial" w:cs="Arial"/>
          <w:sz w:val="24"/>
          <w:szCs w:val="24"/>
        </w:rPr>
        <w:t xml:space="preserve">Instead, DP&amp;L requires a CRES provider to post collateral based upon a formula without any weight to supplier performance or strength of balance sheet.  DP&amp;L “multiples 30 days of the supplier’s estimated summer usage by the highest monthly average megawatt-hour price from the prior summer’s PJM Day Ahead market and multiplies by 30 days of the supplier’s </w:t>
      </w:r>
      <w:r w:rsidRPr="004A0C52">
        <w:rPr>
          <w:rFonts w:ascii="Arial" w:hAnsi="Arial" w:cs="Arial"/>
          <w:sz w:val="24"/>
          <w:szCs w:val="24"/>
        </w:rPr>
        <w:t>capacity obligation by the final Dayton zonal capacity megawatt-day price for the upcoming delivery year.”</w:t>
      </w:r>
      <w:r w:rsidRPr="004A0C52">
        <w:rPr>
          <w:rStyle w:val="FootnoteReference"/>
          <w:rFonts w:ascii="Arial" w:hAnsi="Arial" w:cs="Arial"/>
          <w:sz w:val="24"/>
          <w:szCs w:val="24"/>
        </w:rPr>
        <w:footnoteReference w:id="93"/>
      </w:r>
      <w:r w:rsidRPr="004A0C52">
        <w:rPr>
          <w:rStyle w:val="FootnoteReference"/>
          <w:rFonts w:ascii="Arial" w:hAnsi="Arial" w:cs="Arial"/>
          <w:sz w:val="24"/>
          <w:szCs w:val="24"/>
        </w:rPr>
        <w:t xml:space="preserve"> </w:t>
      </w:r>
      <w:r w:rsidRPr="004A0C52">
        <w:rPr>
          <w:rFonts w:ascii="Arial" w:hAnsi="Arial" w:cs="Arial"/>
          <w:sz w:val="24"/>
          <w:szCs w:val="24"/>
        </w:rPr>
        <w:t xml:space="preserve"> </w:t>
      </w:r>
      <w:r w:rsidR="004A0C52" w:rsidRPr="004A0C52">
        <w:rPr>
          <w:rStyle w:val="FootnoteReference"/>
          <w:rFonts w:ascii="Arial" w:hAnsi="Arial" w:cs="Arial"/>
          <w:sz w:val="24"/>
          <w:szCs w:val="24"/>
        </w:rPr>
        <w:t>“</w:t>
      </w:r>
      <w:r w:rsidRPr="004A0C52">
        <w:rPr>
          <w:rFonts w:ascii="Arial" w:hAnsi="Arial" w:cs="Arial"/>
          <w:sz w:val="24"/>
          <w:szCs w:val="24"/>
        </w:rPr>
        <w:t xml:space="preserve">Calculating 30 days of exposure </w:t>
      </w:r>
      <w:r w:rsidRPr="004A0C52">
        <w:rPr>
          <w:rFonts w:ascii="Arial" w:hAnsi="Arial" w:cs="Arial"/>
          <w:i/>
          <w:sz w:val="24"/>
          <w:szCs w:val="24"/>
        </w:rPr>
        <w:t>and</w:t>
      </w:r>
      <w:r w:rsidRPr="004A0C52">
        <w:rPr>
          <w:rFonts w:ascii="Arial" w:hAnsi="Arial" w:cs="Arial"/>
          <w:sz w:val="24"/>
          <w:szCs w:val="24"/>
        </w:rPr>
        <w:t xml:space="preserve"> including the capacity obligation significantly increases the amount</w:t>
      </w:r>
      <w:r w:rsidRPr="00E66435">
        <w:rPr>
          <w:rFonts w:ascii="Arial" w:hAnsi="Arial" w:cs="Arial"/>
          <w:sz w:val="24"/>
          <w:szCs w:val="24"/>
        </w:rPr>
        <w:t xml:space="preserve"> that a supplier is required to post.”</w:t>
      </w:r>
      <w:r w:rsidR="00CB0409">
        <w:rPr>
          <w:rStyle w:val="FootnoteReference"/>
          <w:rFonts w:ascii="Arial" w:hAnsi="Arial" w:cs="Arial"/>
          <w:sz w:val="24"/>
          <w:szCs w:val="24"/>
        </w:rPr>
        <w:footnoteReference w:id="94"/>
      </w:r>
      <w:r w:rsidRPr="00E66435">
        <w:rPr>
          <w:rFonts w:ascii="Arial" w:hAnsi="Arial" w:cs="Arial"/>
          <w:sz w:val="24"/>
          <w:szCs w:val="24"/>
        </w:rPr>
        <w:t xml:space="preserve">  DP&amp;L requires significantly more collateral than any of other Ohio distribution utilities.  </w:t>
      </w:r>
    </w:p>
    <w:p w14:paraId="1569D920" w14:textId="19AB44D2" w:rsidR="00AA37BF" w:rsidRDefault="00AA37BF" w:rsidP="00AA37BF">
      <w:pPr>
        <w:spacing w:line="480" w:lineRule="auto"/>
        <w:ind w:firstLine="720"/>
        <w:jc w:val="both"/>
        <w:rPr>
          <w:rFonts w:ascii="Arial" w:hAnsi="Arial" w:cs="Arial"/>
          <w:sz w:val="24"/>
          <w:szCs w:val="24"/>
        </w:rPr>
      </w:pPr>
      <w:r>
        <w:rPr>
          <w:rFonts w:ascii="Arial" w:hAnsi="Arial" w:cs="Arial"/>
          <w:sz w:val="24"/>
          <w:szCs w:val="24"/>
        </w:rPr>
        <w:t>DP&amp;L’s collateral process “</w:t>
      </w:r>
      <w:r w:rsidR="00E66435" w:rsidRPr="00E66435">
        <w:rPr>
          <w:rFonts w:ascii="Arial" w:hAnsi="Arial" w:cs="Arial"/>
          <w:sz w:val="24"/>
          <w:szCs w:val="24"/>
        </w:rPr>
        <w:t>is unduly burdensome to privately held companies with strong balance sheets.</w:t>
      </w:r>
      <w:r>
        <w:rPr>
          <w:rFonts w:ascii="Arial" w:hAnsi="Arial" w:cs="Arial"/>
          <w:sz w:val="24"/>
          <w:szCs w:val="24"/>
        </w:rPr>
        <w:t>”  Moreover, “[s]</w:t>
      </w:r>
      <w:r w:rsidR="00E66435" w:rsidRPr="00E66435">
        <w:rPr>
          <w:rFonts w:ascii="Arial" w:hAnsi="Arial" w:cs="Arial"/>
          <w:sz w:val="24"/>
          <w:szCs w:val="24"/>
        </w:rPr>
        <w:t>imilar public companies with credit ratings are not required to post any collateral and yet, financially strong private companies are required to post collateral.</w:t>
      </w:r>
      <w:r>
        <w:rPr>
          <w:rFonts w:ascii="Arial" w:hAnsi="Arial" w:cs="Arial"/>
          <w:sz w:val="24"/>
          <w:szCs w:val="24"/>
        </w:rPr>
        <w:t>”</w:t>
      </w:r>
      <w:r w:rsidR="00CB0409">
        <w:rPr>
          <w:rStyle w:val="FootnoteReference"/>
          <w:rFonts w:ascii="Arial" w:hAnsi="Arial" w:cs="Arial"/>
          <w:sz w:val="24"/>
          <w:szCs w:val="24"/>
        </w:rPr>
        <w:footnoteReference w:id="95"/>
      </w:r>
      <w:r>
        <w:rPr>
          <w:rFonts w:ascii="Arial" w:hAnsi="Arial" w:cs="Arial"/>
          <w:sz w:val="24"/>
          <w:szCs w:val="24"/>
        </w:rPr>
        <w:t xml:space="preserve">  This is fundamentally unfair given that</w:t>
      </w:r>
      <w:r w:rsidR="00E66435" w:rsidRPr="00E66435">
        <w:rPr>
          <w:rFonts w:ascii="Arial" w:hAnsi="Arial" w:cs="Arial"/>
          <w:sz w:val="24"/>
          <w:szCs w:val="24"/>
        </w:rPr>
        <w:t xml:space="preserve"> </w:t>
      </w:r>
      <w:r>
        <w:rPr>
          <w:rFonts w:ascii="Arial" w:hAnsi="Arial" w:cs="Arial"/>
          <w:sz w:val="24"/>
          <w:szCs w:val="24"/>
        </w:rPr>
        <w:t>“</w:t>
      </w:r>
      <w:r w:rsidR="00E66435" w:rsidRPr="00E66435">
        <w:rPr>
          <w:rFonts w:ascii="Arial" w:hAnsi="Arial" w:cs="Arial"/>
          <w:sz w:val="24"/>
          <w:szCs w:val="24"/>
        </w:rPr>
        <w:t>privately held, unrated companies such as IGS may have little or no business reason to get a credit rating; therefore, DP&amp;L’s tariff is structured to the disadvantage of companies like IGS.</w:t>
      </w:r>
      <w:r>
        <w:rPr>
          <w:rFonts w:ascii="Arial" w:hAnsi="Arial" w:cs="Arial"/>
          <w:sz w:val="24"/>
          <w:szCs w:val="24"/>
        </w:rPr>
        <w:t>”</w:t>
      </w:r>
      <w:r w:rsidR="00CB0409">
        <w:rPr>
          <w:rStyle w:val="FootnoteReference"/>
          <w:rFonts w:ascii="Arial" w:hAnsi="Arial" w:cs="Arial"/>
          <w:sz w:val="24"/>
          <w:szCs w:val="24"/>
        </w:rPr>
        <w:footnoteReference w:id="96"/>
      </w:r>
    </w:p>
    <w:p w14:paraId="43359884" w14:textId="30D58984" w:rsidR="00E66435" w:rsidRDefault="00AA37BF" w:rsidP="00AA37BF">
      <w:pPr>
        <w:spacing w:line="480" w:lineRule="auto"/>
        <w:ind w:firstLine="720"/>
        <w:jc w:val="both"/>
        <w:rPr>
          <w:rFonts w:ascii="Arial" w:hAnsi="Arial" w:cs="Arial"/>
          <w:sz w:val="24"/>
          <w:szCs w:val="24"/>
        </w:rPr>
      </w:pPr>
      <w:r>
        <w:rPr>
          <w:rFonts w:ascii="Arial" w:hAnsi="Arial" w:cs="Arial"/>
          <w:sz w:val="24"/>
          <w:szCs w:val="24"/>
        </w:rPr>
        <w:lastRenderedPageBreak/>
        <w:t xml:space="preserve">Additionally, following the ESP case, DP&amp;L unilaterally changed the remedy timing </w:t>
      </w:r>
      <w:r w:rsidR="001D04B2">
        <w:rPr>
          <w:rFonts w:ascii="Arial" w:hAnsi="Arial" w:cs="Arial"/>
          <w:sz w:val="24"/>
          <w:szCs w:val="24"/>
        </w:rPr>
        <w:t>that it requires. Remedy timing</w:t>
      </w:r>
      <w:r>
        <w:rPr>
          <w:rFonts w:ascii="Arial" w:hAnsi="Arial" w:cs="Arial"/>
          <w:sz w:val="24"/>
          <w:szCs w:val="24"/>
        </w:rPr>
        <w:t xml:space="preserve"> </w:t>
      </w:r>
      <w:r w:rsidRPr="00AA37BF">
        <w:rPr>
          <w:rFonts w:ascii="Arial" w:hAnsi="Arial" w:cs="Arial"/>
          <w:sz w:val="24"/>
          <w:szCs w:val="24"/>
        </w:rPr>
        <w:t>is the amount of time the surety has to pay the obligee any indebtedness the principal has incurred up to the promised amount stated on the bond.</w:t>
      </w:r>
      <w:r w:rsidR="001D04B2">
        <w:rPr>
          <w:rStyle w:val="FootnoteReference"/>
          <w:rFonts w:ascii="Arial" w:hAnsi="Arial" w:cs="Arial"/>
          <w:sz w:val="24"/>
          <w:szCs w:val="24"/>
        </w:rPr>
        <w:footnoteReference w:id="97"/>
      </w:r>
      <w:r>
        <w:rPr>
          <w:rFonts w:ascii="Arial" w:hAnsi="Arial" w:cs="Arial"/>
          <w:sz w:val="24"/>
          <w:szCs w:val="24"/>
        </w:rPr>
        <w:t xml:space="preserve">  At the time IGS attempted to submit its bond form, the form indicated 30 days.  DP&amp;L unilaterally changed the timing to 5 days.</w:t>
      </w:r>
      <w:r w:rsidR="001D04B2">
        <w:rPr>
          <w:rStyle w:val="FootnoteReference"/>
          <w:rFonts w:ascii="Arial" w:hAnsi="Arial" w:cs="Arial"/>
          <w:sz w:val="24"/>
          <w:szCs w:val="24"/>
        </w:rPr>
        <w:footnoteReference w:id="98"/>
      </w:r>
      <w:r>
        <w:rPr>
          <w:rFonts w:ascii="Arial" w:hAnsi="Arial" w:cs="Arial"/>
          <w:sz w:val="24"/>
          <w:szCs w:val="24"/>
        </w:rPr>
        <w:t xml:space="preserve">  Now the current posted bond form indicates 2 days.</w:t>
      </w:r>
      <w:r w:rsidR="001D04B2">
        <w:rPr>
          <w:rStyle w:val="FootnoteReference"/>
          <w:rFonts w:ascii="Arial" w:hAnsi="Arial" w:cs="Arial"/>
          <w:sz w:val="24"/>
          <w:szCs w:val="24"/>
        </w:rPr>
        <w:footnoteReference w:id="99"/>
      </w:r>
      <w:r>
        <w:rPr>
          <w:rFonts w:ascii="Arial" w:hAnsi="Arial" w:cs="Arial"/>
          <w:sz w:val="24"/>
          <w:szCs w:val="24"/>
        </w:rPr>
        <w:t xml:space="preserve">  </w:t>
      </w:r>
    </w:p>
    <w:p w14:paraId="0B096A2B" w14:textId="06E16CA0" w:rsidR="001D04B2" w:rsidRPr="00AA37BF" w:rsidRDefault="001D04B2" w:rsidP="00AA37BF">
      <w:pPr>
        <w:spacing w:line="480" w:lineRule="auto"/>
        <w:ind w:firstLine="720"/>
        <w:jc w:val="both"/>
        <w:rPr>
          <w:rFonts w:ascii="Arial" w:hAnsi="Arial" w:cs="Arial"/>
          <w:sz w:val="24"/>
          <w:szCs w:val="24"/>
        </w:rPr>
      </w:pPr>
      <w:r>
        <w:rPr>
          <w:rFonts w:ascii="Arial" w:hAnsi="Arial" w:cs="Arial"/>
          <w:sz w:val="24"/>
          <w:szCs w:val="24"/>
        </w:rPr>
        <w:t>As discussed below, the proposed settlement is unjust, unreasonable, discriminatory, against the public interest, and would violate Ohio law; therefore, it should be modified consistent with the recommendations contained herein.</w:t>
      </w:r>
    </w:p>
    <w:p w14:paraId="467A3F95" w14:textId="77777777" w:rsidR="00500F07" w:rsidRPr="00500F07" w:rsidRDefault="00500F07" w:rsidP="00500F07">
      <w:pPr>
        <w:pStyle w:val="ListParagraph"/>
        <w:numPr>
          <w:ilvl w:val="0"/>
          <w:numId w:val="1"/>
        </w:numPr>
        <w:autoSpaceDE w:val="0"/>
        <w:autoSpaceDN w:val="0"/>
        <w:adjustRightInd w:val="0"/>
        <w:spacing w:after="120" w:line="480" w:lineRule="auto"/>
        <w:jc w:val="both"/>
        <w:rPr>
          <w:rFonts w:ascii="Arial" w:hAnsi="Arial" w:cs="Arial"/>
          <w:b/>
          <w:sz w:val="24"/>
          <w:szCs w:val="24"/>
        </w:rPr>
      </w:pPr>
      <w:r w:rsidRPr="00500F07">
        <w:rPr>
          <w:rFonts w:ascii="Arial" w:hAnsi="Arial" w:cs="Arial"/>
          <w:b/>
          <w:sz w:val="24"/>
          <w:szCs w:val="24"/>
        </w:rPr>
        <w:t>SETTLEMENT EVALUATION CRITERIA</w:t>
      </w:r>
    </w:p>
    <w:p w14:paraId="1B7F8E8D" w14:textId="77777777" w:rsidR="00500F07" w:rsidRPr="00500F07" w:rsidRDefault="00500F07" w:rsidP="00500F07">
      <w:pPr>
        <w:autoSpaceDE w:val="0"/>
        <w:autoSpaceDN w:val="0"/>
        <w:adjustRightInd w:val="0"/>
        <w:spacing w:after="120" w:line="480" w:lineRule="auto"/>
        <w:ind w:firstLine="720"/>
        <w:jc w:val="both"/>
        <w:rPr>
          <w:rFonts w:ascii="Arial" w:hAnsi="Arial" w:cs="Arial"/>
          <w:sz w:val="24"/>
          <w:szCs w:val="24"/>
        </w:rPr>
      </w:pPr>
      <w:r w:rsidRPr="00500F07">
        <w:rPr>
          <w:rFonts w:ascii="Arial" w:hAnsi="Arial" w:cs="Arial"/>
          <w:sz w:val="24"/>
          <w:szCs w:val="24"/>
        </w:rPr>
        <w:t>Before approving a contested settlement, the Commission must find that: (1) the settlement is a product of serious bargaining among capable, knowledgeable parties; (2) the settlement, as a package, benefits ratepayers and the public interest; and; (3) the settlement package does not violate any important regulatory principles or practices.</w:t>
      </w:r>
      <w:r w:rsidRPr="00500F07">
        <w:rPr>
          <w:rStyle w:val="FootnoteReference"/>
          <w:rFonts w:ascii="Arial" w:hAnsi="Arial" w:cs="Arial"/>
          <w:sz w:val="24"/>
          <w:szCs w:val="24"/>
        </w:rPr>
        <w:footnoteReference w:id="100"/>
      </w:r>
    </w:p>
    <w:p w14:paraId="6C70B0D7" w14:textId="70806E99" w:rsidR="00500F07" w:rsidRDefault="00500F07" w:rsidP="00500F07">
      <w:pPr>
        <w:autoSpaceDE w:val="0"/>
        <w:autoSpaceDN w:val="0"/>
        <w:adjustRightInd w:val="0"/>
        <w:spacing w:after="120" w:line="480" w:lineRule="auto"/>
        <w:ind w:firstLine="720"/>
        <w:jc w:val="both"/>
        <w:rPr>
          <w:rFonts w:ascii="Arial" w:hAnsi="Arial" w:cs="Arial"/>
          <w:sz w:val="24"/>
          <w:szCs w:val="24"/>
        </w:rPr>
      </w:pPr>
      <w:r w:rsidRPr="00500F07">
        <w:rPr>
          <w:rFonts w:ascii="Arial" w:hAnsi="Arial" w:cs="Arial"/>
          <w:sz w:val="24"/>
          <w:szCs w:val="24"/>
        </w:rPr>
        <w:t xml:space="preserve">A settlement is not evidence and it is not binding on the Commission. It is a recommendation by parties to a proceeding on how the Commission should address and resolve contested issues and nothing more. </w:t>
      </w:r>
      <w:r w:rsidR="001D04B2">
        <w:rPr>
          <w:rFonts w:ascii="Arial" w:hAnsi="Arial" w:cs="Arial"/>
          <w:sz w:val="24"/>
          <w:szCs w:val="24"/>
        </w:rPr>
        <w:t xml:space="preserve"> </w:t>
      </w:r>
      <w:r w:rsidRPr="00500F07">
        <w:rPr>
          <w:rFonts w:ascii="Arial" w:hAnsi="Arial" w:cs="Arial"/>
          <w:sz w:val="24"/>
          <w:szCs w:val="24"/>
        </w:rPr>
        <w:t xml:space="preserve">A settlement cannot provide </w:t>
      </w:r>
      <w:r w:rsidR="001D04B2">
        <w:rPr>
          <w:rFonts w:ascii="Arial" w:hAnsi="Arial" w:cs="Arial"/>
          <w:sz w:val="24"/>
          <w:szCs w:val="24"/>
        </w:rPr>
        <w:t>the Commission with authority.  A settlement does not allow the Commission</w:t>
      </w:r>
      <w:r w:rsidRPr="00500F07">
        <w:rPr>
          <w:rFonts w:ascii="Arial" w:hAnsi="Arial" w:cs="Arial"/>
          <w:sz w:val="24"/>
          <w:szCs w:val="24"/>
        </w:rPr>
        <w:t xml:space="preserve"> to disrespect procedural or </w:t>
      </w:r>
      <w:r w:rsidRPr="00500F07">
        <w:rPr>
          <w:rFonts w:ascii="Arial" w:hAnsi="Arial" w:cs="Arial"/>
          <w:sz w:val="24"/>
          <w:szCs w:val="24"/>
        </w:rPr>
        <w:lastRenderedPageBreak/>
        <w:t>substantive requirements established by the General Assembly or the Commission's rules. For example, Monongahela Power relied upon a settlement for its authority to end the five-year market developme</w:t>
      </w:r>
      <w:r>
        <w:rPr>
          <w:rFonts w:ascii="Arial" w:hAnsi="Arial" w:cs="Arial"/>
          <w:sz w:val="24"/>
          <w:szCs w:val="24"/>
        </w:rPr>
        <w:t>nt period early</w:t>
      </w:r>
      <w:r w:rsidRPr="00500F07">
        <w:rPr>
          <w:rFonts w:ascii="Arial" w:hAnsi="Arial" w:cs="Arial"/>
          <w:sz w:val="24"/>
          <w:szCs w:val="24"/>
        </w:rPr>
        <w:t>. The Ohio Supreme Court ("Supreme Court") rejected the claim that the settlement provided support for the early termination, stating</w:t>
      </w:r>
      <w:r>
        <w:rPr>
          <w:rFonts w:ascii="Arial" w:hAnsi="Arial" w:cs="Arial"/>
          <w:sz w:val="24"/>
          <w:szCs w:val="24"/>
        </w:rPr>
        <w:t>:</w:t>
      </w:r>
    </w:p>
    <w:p w14:paraId="0BEEFA6A" w14:textId="77777777" w:rsidR="00500F07" w:rsidRPr="00500F07" w:rsidRDefault="00500F07" w:rsidP="00500F07">
      <w:pPr>
        <w:autoSpaceDE w:val="0"/>
        <w:autoSpaceDN w:val="0"/>
        <w:adjustRightInd w:val="0"/>
        <w:spacing w:after="120" w:line="240" w:lineRule="auto"/>
        <w:ind w:left="720" w:right="720"/>
        <w:jc w:val="both"/>
        <w:rPr>
          <w:rFonts w:ascii="Arial" w:hAnsi="Arial" w:cs="Arial"/>
          <w:sz w:val="24"/>
          <w:szCs w:val="24"/>
        </w:rPr>
      </w:pPr>
      <w:r w:rsidRPr="00500F07">
        <w:rPr>
          <w:rFonts w:ascii="Arial" w:hAnsi="Arial" w:cs="Arial"/>
          <w:sz w:val="24"/>
          <w:szCs w:val="24"/>
        </w:rPr>
        <w:t xml:space="preserve">Nevertheless, to the extent that Section IV of the Stipulation approved by the commission in the ETP Order can be considered an order authorizing the early end of Mon Power's MDP, that order was premature. </w:t>
      </w:r>
      <w:r w:rsidRPr="00F31E77">
        <w:rPr>
          <w:rFonts w:ascii="Arial" w:hAnsi="Arial" w:cs="Arial"/>
          <w:i/>
          <w:sz w:val="24"/>
          <w:szCs w:val="24"/>
        </w:rPr>
        <w:t>It was based upon an optimistic assumption that the requisite levels of the switching rate or effective competition would be achieved by December 31, 2003, an assumption that proved to be unwarranted, making any such order ending the MDP unenforceable because the order exceeded the statutory authority of the commission</w:t>
      </w:r>
      <w:r w:rsidRPr="00500F07">
        <w:rPr>
          <w:rFonts w:ascii="Arial" w:hAnsi="Arial" w:cs="Arial"/>
          <w:sz w:val="24"/>
          <w:szCs w:val="24"/>
        </w:rPr>
        <w:t>.</w:t>
      </w:r>
      <w:r w:rsidR="00F31E77">
        <w:rPr>
          <w:rStyle w:val="FootnoteReference"/>
          <w:rFonts w:ascii="Arial" w:hAnsi="Arial" w:cs="Arial"/>
          <w:sz w:val="24"/>
          <w:szCs w:val="24"/>
        </w:rPr>
        <w:footnoteReference w:id="101"/>
      </w:r>
    </w:p>
    <w:p w14:paraId="54996F0D" w14:textId="144424AF" w:rsidR="0079213B" w:rsidRDefault="00F31E77" w:rsidP="00F31E77">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The Commission should heed this warning from the Court.  The Stipulation recommends that the Commission exercise its authority under Chapter 4909 to permit DP&amp;L to recover SSO-related costs through distribution rates.  The General Assembly eliminated the Commission’s authority to authorize the recovery of competitive services through non-competitive distribution rates.</w:t>
      </w:r>
      <w:r w:rsidR="0079213B">
        <w:rPr>
          <w:rFonts w:ascii="Arial" w:hAnsi="Arial" w:cs="Arial"/>
          <w:sz w:val="24"/>
          <w:szCs w:val="24"/>
        </w:rPr>
        <w:t xml:space="preserve">  Thus, the settlement violates Ohio law, discriminates against choice customers, and is contrary to the public interest. </w:t>
      </w:r>
    </w:p>
    <w:p w14:paraId="393961D7" w14:textId="047C472D" w:rsidR="00F31E77" w:rsidRDefault="0079213B" w:rsidP="0079213B">
      <w:pPr>
        <w:autoSpaceDE w:val="0"/>
        <w:autoSpaceDN w:val="0"/>
        <w:adjustRightInd w:val="0"/>
        <w:spacing w:after="120" w:line="480" w:lineRule="auto"/>
        <w:jc w:val="both"/>
        <w:rPr>
          <w:rFonts w:ascii="Arial" w:hAnsi="Arial" w:cs="Arial"/>
          <w:b/>
          <w:sz w:val="24"/>
          <w:szCs w:val="24"/>
        </w:rPr>
      </w:pPr>
      <w:r>
        <w:rPr>
          <w:rFonts w:ascii="Arial" w:hAnsi="Arial" w:cs="Arial"/>
          <w:sz w:val="24"/>
          <w:szCs w:val="24"/>
        </w:rPr>
        <w:tab/>
      </w:r>
      <w:r w:rsidR="00500F07">
        <w:rPr>
          <w:rFonts w:ascii="Arial" w:hAnsi="Arial" w:cs="Arial"/>
          <w:b/>
          <w:sz w:val="24"/>
          <w:szCs w:val="24"/>
        </w:rPr>
        <w:t>ARGUMENT</w:t>
      </w:r>
    </w:p>
    <w:p w14:paraId="07750D27" w14:textId="49EB2A54" w:rsidR="000C28C4" w:rsidRPr="000C28C4" w:rsidRDefault="000C28C4" w:rsidP="000C28C4">
      <w:pPr>
        <w:pStyle w:val="ListParagraph"/>
        <w:numPr>
          <w:ilvl w:val="0"/>
          <w:numId w:val="7"/>
        </w:numPr>
        <w:rPr>
          <w:rFonts w:ascii="Arial" w:hAnsi="Arial" w:cs="Arial"/>
          <w:b/>
          <w:sz w:val="24"/>
          <w:szCs w:val="24"/>
        </w:rPr>
      </w:pPr>
      <w:r>
        <w:rPr>
          <w:rFonts w:ascii="Arial" w:hAnsi="Arial" w:cs="Arial"/>
          <w:b/>
          <w:sz w:val="24"/>
          <w:szCs w:val="24"/>
        </w:rPr>
        <w:t>The Commission Lacks authority to Authorize Recovery of SSO costs through Non-Competitive D</w:t>
      </w:r>
      <w:r w:rsidR="00F31E77" w:rsidRPr="000C28C4">
        <w:rPr>
          <w:rFonts w:ascii="Arial" w:hAnsi="Arial" w:cs="Arial"/>
          <w:b/>
          <w:sz w:val="24"/>
          <w:szCs w:val="24"/>
        </w:rPr>
        <w:t xml:space="preserve">istribution </w:t>
      </w:r>
      <w:r>
        <w:rPr>
          <w:rFonts w:ascii="Arial" w:hAnsi="Arial" w:cs="Arial"/>
          <w:b/>
          <w:sz w:val="24"/>
          <w:szCs w:val="24"/>
        </w:rPr>
        <w:t>R</w:t>
      </w:r>
      <w:r w:rsidR="00F31E77" w:rsidRPr="000C28C4">
        <w:rPr>
          <w:rFonts w:ascii="Arial" w:hAnsi="Arial" w:cs="Arial"/>
          <w:b/>
          <w:sz w:val="24"/>
          <w:szCs w:val="24"/>
        </w:rPr>
        <w:t>ates</w:t>
      </w:r>
    </w:p>
    <w:p w14:paraId="619DB114" w14:textId="26668ABD" w:rsidR="003E1F76" w:rsidRPr="00F31E77" w:rsidRDefault="003E1F76" w:rsidP="000C28C4">
      <w:pPr>
        <w:pStyle w:val="ListParagraph"/>
        <w:autoSpaceDE w:val="0"/>
        <w:autoSpaceDN w:val="0"/>
        <w:adjustRightInd w:val="0"/>
        <w:spacing w:after="120" w:line="240" w:lineRule="auto"/>
        <w:ind w:left="1089"/>
        <w:jc w:val="both"/>
        <w:rPr>
          <w:rFonts w:ascii="Arial" w:hAnsi="Arial" w:cs="Arial"/>
          <w:b/>
          <w:sz w:val="24"/>
          <w:szCs w:val="24"/>
        </w:rPr>
      </w:pPr>
    </w:p>
    <w:p w14:paraId="338C05BD" w14:textId="1731547D" w:rsidR="00D541C3" w:rsidRDefault="00D541C3" w:rsidP="00AA37BF">
      <w:pPr>
        <w:spacing w:after="120" w:line="480" w:lineRule="auto"/>
        <w:ind w:firstLine="720"/>
        <w:jc w:val="both"/>
        <w:rPr>
          <w:rFonts w:ascii="Arial" w:hAnsi="Arial" w:cs="Arial"/>
          <w:sz w:val="24"/>
          <w:szCs w:val="24"/>
        </w:rPr>
      </w:pPr>
      <w:r w:rsidRPr="00D541C3">
        <w:rPr>
          <w:rFonts w:ascii="Arial" w:hAnsi="Arial" w:cs="Arial"/>
          <w:sz w:val="24"/>
          <w:szCs w:val="24"/>
        </w:rPr>
        <w:t xml:space="preserve">Prior to 1999, Ohioans received one bundled rate for all retail electric services.  Senate Bill 3 restructured the retail electric market, separating the distribution, transmission, and generation functions that were traditionally provided through pancaked </w:t>
      </w:r>
      <w:r w:rsidRPr="00D541C3">
        <w:rPr>
          <w:rFonts w:ascii="Arial" w:hAnsi="Arial" w:cs="Arial"/>
          <w:sz w:val="24"/>
          <w:szCs w:val="24"/>
        </w:rPr>
        <w:lastRenderedPageBreak/>
        <w:t>bundle</w:t>
      </w:r>
      <w:r w:rsidR="001D04B2">
        <w:rPr>
          <w:rFonts w:ascii="Arial" w:hAnsi="Arial" w:cs="Arial"/>
          <w:sz w:val="24"/>
          <w:szCs w:val="24"/>
        </w:rPr>
        <w:t>d rates</w:t>
      </w:r>
      <w:r w:rsidRPr="00D541C3">
        <w:rPr>
          <w:rFonts w:ascii="Arial" w:hAnsi="Arial" w:cs="Arial"/>
          <w:sz w:val="24"/>
          <w:szCs w:val="24"/>
        </w:rPr>
        <w:t xml:space="preserve">.  The purpose of unbundling was to separate the competitive and non-competitive functions so that customers could “shop” for their competitive retail electric service. Prior to restructuring, </w:t>
      </w:r>
      <w:r w:rsidR="001D04B2">
        <w:rPr>
          <w:rFonts w:ascii="Arial" w:hAnsi="Arial" w:cs="Arial"/>
          <w:sz w:val="24"/>
          <w:szCs w:val="24"/>
        </w:rPr>
        <w:t>all retail electric services were</w:t>
      </w:r>
      <w:r w:rsidRPr="00D541C3">
        <w:rPr>
          <w:rFonts w:ascii="Arial" w:hAnsi="Arial" w:cs="Arial"/>
          <w:sz w:val="24"/>
          <w:szCs w:val="24"/>
        </w:rPr>
        <w:t xml:space="preserve"> regulated under Chapter 4909.  Under this traditional form of regulation, commonly referred to as economic regulation, the Commission established retail electric rates based upon a formula.</w:t>
      </w:r>
      <w:r w:rsidR="001D04B2">
        <w:rPr>
          <w:rStyle w:val="FootnoteReference"/>
          <w:rFonts w:ascii="Arial" w:hAnsi="Arial" w:cs="Arial"/>
          <w:sz w:val="24"/>
          <w:szCs w:val="24"/>
        </w:rPr>
        <w:footnoteReference w:id="102"/>
      </w:r>
      <w:r w:rsidR="001D04B2">
        <w:rPr>
          <w:rFonts w:ascii="Arial" w:hAnsi="Arial" w:cs="Arial"/>
          <w:sz w:val="24"/>
          <w:szCs w:val="24"/>
        </w:rPr>
        <w:t xml:space="preserve">  “Stated differently, the Commission may not legislate in its own right.”</w:t>
      </w:r>
      <w:r w:rsidR="001D04B2">
        <w:rPr>
          <w:rStyle w:val="FootnoteReference"/>
          <w:rFonts w:ascii="Arial" w:hAnsi="Arial" w:cs="Arial"/>
          <w:sz w:val="24"/>
          <w:szCs w:val="24"/>
        </w:rPr>
        <w:footnoteReference w:id="103"/>
      </w:r>
      <w:r w:rsidRPr="00D541C3">
        <w:rPr>
          <w:rFonts w:ascii="Arial" w:hAnsi="Arial" w:cs="Arial"/>
          <w:sz w:val="24"/>
          <w:szCs w:val="24"/>
        </w:rPr>
        <w:t xml:space="preserve">  </w:t>
      </w:r>
    </w:p>
    <w:p w14:paraId="565AC3CC" w14:textId="572C8FD0" w:rsidR="00227AD4" w:rsidRDefault="00F31E77" w:rsidP="00F31E77">
      <w:pPr>
        <w:autoSpaceDE w:val="0"/>
        <w:autoSpaceDN w:val="0"/>
        <w:adjustRightInd w:val="0"/>
        <w:spacing w:after="120" w:line="480" w:lineRule="auto"/>
        <w:ind w:firstLine="720"/>
        <w:jc w:val="both"/>
        <w:rPr>
          <w:rFonts w:ascii="Arial" w:hAnsi="Arial" w:cs="Arial"/>
          <w:sz w:val="24"/>
          <w:szCs w:val="24"/>
        </w:rPr>
      </w:pPr>
      <w:r w:rsidRPr="00F31E77">
        <w:rPr>
          <w:rFonts w:ascii="Arial" w:hAnsi="Arial" w:cs="Arial"/>
          <w:sz w:val="24"/>
          <w:szCs w:val="24"/>
        </w:rPr>
        <w:t>The Commission has no authority to regu</w:t>
      </w:r>
      <w:r>
        <w:rPr>
          <w:rFonts w:ascii="Arial" w:hAnsi="Arial" w:cs="Arial"/>
          <w:sz w:val="24"/>
          <w:szCs w:val="24"/>
        </w:rPr>
        <w:t>late or provide compensation to support</w:t>
      </w:r>
      <w:r w:rsidRPr="00F31E77">
        <w:rPr>
          <w:rFonts w:ascii="Arial" w:hAnsi="Arial" w:cs="Arial"/>
          <w:sz w:val="24"/>
          <w:szCs w:val="24"/>
        </w:rPr>
        <w:t xml:space="preserve"> comp</w:t>
      </w:r>
      <w:r>
        <w:rPr>
          <w:rFonts w:ascii="Arial" w:hAnsi="Arial" w:cs="Arial"/>
          <w:sz w:val="24"/>
          <w:szCs w:val="24"/>
        </w:rPr>
        <w:t>etitive retail electric service</w:t>
      </w:r>
      <w:r w:rsidRPr="00F31E77">
        <w:rPr>
          <w:rFonts w:ascii="Arial" w:hAnsi="Arial" w:cs="Arial"/>
          <w:sz w:val="24"/>
          <w:szCs w:val="24"/>
        </w:rPr>
        <w:t xml:space="preserve"> through distribution rates. Indeed,</w:t>
      </w:r>
      <w:r w:rsidR="00227AD4">
        <w:rPr>
          <w:rFonts w:ascii="Arial" w:hAnsi="Arial" w:cs="Arial"/>
          <w:sz w:val="24"/>
          <w:szCs w:val="24"/>
        </w:rPr>
        <w:t xml:space="preserve"> the General Assembly specifically provided that</w:t>
      </w:r>
      <w:r w:rsidRPr="00F31E77">
        <w:rPr>
          <w:rFonts w:ascii="Arial" w:hAnsi="Arial" w:cs="Arial"/>
          <w:sz w:val="24"/>
          <w:szCs w:val="24"/>
        </w:rPr>
        <w:t xml:space="preserve"> “</w:t>
      </w:r>
      <w:r w:rsidRPr="00227AD4">
        <w:rPr>
          <w:rFonts w:ascii="Arial" w:hAnsi="Arial" w:cs="Arial"/>
          <w:i/>
          <w:sz w:val="24"/>
          <w:szCs w:val="24"/>
        </w:rPr>
        <w:t>a competitive retail electric service supplied by an electric utility or electric services company shall not be subject to supervision and regulation</w:t>
      </w:r>
      <w:r w:rsidRPr="00F31E77">
        <w:rPr>
          <w:rFonts w:ascii="Arial" w:hAnsi="Arial" w:cs="Arial"/>
          <w:sz w:val="24"/>
          <w:szCs w:val="24"/>
        </w:rPr>
        <w:t xml:space="preserve"> . . . by the public utilities commission under Chapters </w:t>
      </w:r>
      <w:r w:rsidRPr="00227AD4">
        <w:rPr>
          <w:rFonts w:ascii="Arial" w:hAnsi="Arial" w:cs="Arial"/>
          <w:b/>
          <w:i/>
          <w:sz w:val="24"/>
          <w:szCs w:val="24"/>
        </w:rPr>
        <w:t>4901. to 4909</w:t>
      </w:r>
      <w:r w:rsidRPr="00F31E77">
        <w:rPr>
          <w:rFonts w:ascii="Arial" w:hAnsi="Arial" w:cs="Arial"/>
          <w:sz w:val="24"/>
          <w:szCs w:val="24"/>
        </w:rPr>
        <w:t>., 4933., 4935., and 4963.”</w:t>
      </w:r>
      <w:r w:rsidR="00227AD4">
        <w:rPr>
          <w:rFonts w:ascii="Arial" w:hAnsi="Arial" w:cs="Arial"/>
          <w:sz w:val="24"/>
          <w:szCs w:val="24"/>
        </w:rPr>
        <w:t xml:space="preserve">  R.C. 4928.05(A)(1)</w:t>
      </w:r>
      <w:r w:rsidR="001D04B2">
        <w:rPr>
          <w:rFonts w:ascii="Arial" w:hAnsi="Arial" w:cs="Arial"/>
          <w:sz w:val="24"/>
          <w:szCs w:val="24"/>
        </w:rPr>
        <w:t xml:space="preserve"> (emphasis added).</w:t>
      </w:r>
      <w:r w:rsidR="00CA37C3">
        <w:rPr>
          <w:rFonts w:ascii="Arial" w:hAnsi="Arial" w:cs="Arial"/>
          <w:sz w:val="24"/>
          <w:szCs w:val="24"/>
        </w:rPr>
        <w:t xml:space="preserve">  </w:t>
      </w:r>
      <w:r w:rsidR="00D541C3" w:rsidRPr="00D541C3">
        <w:rPr>
          <w:rFonts w:ascii="Arial" w:hAnsi="Arial" w:cs="Arial"/>
          <w:sz w:val="24"/>
          <w:szCs w:val="24"/>
        </w:rPr>
        <w:t xml:space="preserve">SB 3 removed the Commission’s jurisdiction to regulated competitive retail electric service under Chapter 4909. </w:t>
      </w:r>
      <w:r w:rsidR="00227AD4">
        <w:rPr>
          <w:rFonts w:ascii="Arial" w:hAnsi="Arial" w:cs="Arial"/>
          <w:sz w:val="24"/>
          <w:szCs w:val="24"/>
        </w:rPr>
        <w:t xml:space="preserve">  In other words, the Commission lacks authority to authorize the recovery </w:t>
      </w:r>
      <w:r w:rsidR="001D04B2">
        <w:rPr>
          <w:rFonts w:ascii="Arial" w:hAnsi="Arial" w:cs="Arial"/>
          <w:sz w:val="24"/>
          <w:szCs w:val="24"/>
        </w:rPr>
        <w:t xml:space="preserve">of costs related to </w:t>
      </w:r>
      <w:r w:rsidR="00227AD4">
        <w:rPr>
          <w:rFonts w:ascii="Arial" w:hAnsi="Arial" w:cs="Arial"/>
          <w:sz w:val="24"/>
          <w:szCs w:val="24"/>
        </w:rPr>
        <w:t xml:space="preserve">competitive retail electric services in a distribution rate case filed under 4909.18.  </w:t>
      </w:r>
    </w:p>
    <w:p w14:paraId="3FF9C9BD" w14:textId="67D6631B" w:rsidR="00F31E77" w:rsidRDefault="00CA37C3" w:rsidP="00227AD4">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By law, the SSO is a utility</w:t>
      </w:r>
      <w:r w:rsidR="00227AD4">
        <w:rPr>
          <w:rFonts w:ascii="Arial" w:hAnsi="Arial" w:cs="Arial"/>
          <w:sz w:val="24"/>
          <w:szCs w:val="24"/>
        </w:rPr>
        <w:t xml:space="preserve"> offering of</w:t>
      </w:r>
      <w:r>
        <w:rPr>
          <w:rFonts w:ascii="Arial" w:hAnsi="Arial" w:cs="Arial"/>
          <w:sz w:val="24"/>
          <w:szCs w:val="24"/>
        </w:rPr>
        <w:t xml:space="preserve"> a</w:t>
      </w:r>
      <w:r w:rsidR="00227AD4">
        <w:rPr>
          <w:rFonts w:ascii="Arial" w:hAnsi="Arial" w:cs="Arial"/>
          <w:sz w:val="24"/>
          <w:szCs w:val="24"/>
        </w:rPr>
        <w:t xml:space="preserve"> competitive retail electric services</w:t>
      </w:r>
      <w:r w:rsidR="00800E26">
        <w:rPr>
          <w:rFonts w:ascii="Arial" w:hAnsi="Arial" w:cs="Arial"/>
          <w:sz w:val="24"/>
          <w:szCs w:val="24"/>
        </w:rPr>
        <w:t>.</w:t>
      </w:r>
      <w:r>
        <w:rPr>
          <w:rStyle w:val="FootnoteReference"/>
          <w:rFonts w:ascii="Arial" w:hAnsi="Arial" w:cs="Arial"/>
          <w:sz w:val="24"/>
          <w:szCs w:val="24"/>
        </w:rPr>
        <w:footnoteReference w:id="104"/>
      </w:r>
      <w:r w:rsidR="00227AD4">
        <w:rPr>
          <w:rFonts w:ascii="Arial" w:hAnsi="Arial" w:cs="Arial"/>
          <w:sz w:val="24"/>
          <w:szCs w:val="24"/>
        </w:rPr>
        <w:t xml:space="preserve">  The record is uncontroverted that the Stipulation would permit DP&amp;L to recover SSO-related costs through distribution rates authorized under R.C. 4909.18.</w:t>
      </w:r>
      <w:r w:rsidR="002834D5">
        <w:rPr>
          <w:rFonts w:ascii="Arial" w:hAnsi="Arial" w:cs="Arial"/>
          <w:sz w:val="24"/>
          <w:szCs w:val="24"/>
        </w:rPr>
        <w:t xml:space="preserve">  Moreover, these costs are comparable to the costs that CRES providers must incur simply to make a competitive product available.  Thus, the</w:t>
      </w:r>
      <w:r w:rsidR="00800E26">
        <w:rPr>
          <w:rFonts w:ascii="Arial" w:hAnsi="Arial" w:cs="Arial"/>
          <w:sz w:val="24"/>
          <w:szCs w:val="24"/>
        </w:rPr>
        <w:t xml:space="preserve"> Stipulation proposes recovery of competitive retail electric </w:t>
      </w:r>
      <w:r w:rsidR="00800E26">
        <w:rPr>
          <w:rFonts w:ascii="Arial" w:hAnsi="Arial" w:cs="Arial"/>
          <w:sz w:val="24"/>
          <w:szCs w:val="24"/>
        </w:rPr>
        <w:lastRenderedPageBreak/>
        <w:t xml:space="preserve">service costs </w:t>
      </w:r>
      <w:r w:rsidR="002834D5">
        <w:rPr>
          <w:rFonts w:ascii="Arial" w:hAnsi="Arial" w:cs="Arial"/>
          <w:sz w:val="24"/>
          <w:szCs w:val="24"/>
        </w:rPr>
        <w:t>through distribution rates.  T</w:t>
      </w:r>
      <w:r w:rsidR="00227AD4">
        <w:rPr>
          <w:rFonts w:ascii="Arial" w:hAnsi="Arial" w:cs="Arial"/>
          <w:sz w:val="24"/>
          <w:szCs w:val="24"/>
        </w:rPr>
        <w:t>he Stipulation</w:t>
      </w:r>
      <w:r w:rsidR="002834D5">
        <w:rPr>
          <w:rFonts w:ascii="Arial" w:hAnsi="Arial" w:cs="Arial"/>
          <w:sz w:val="24"/>
          <w:szCs w:val="24"/>
        </w:rPr>
        <w:t xml:space="preserve"> proposes an outcome outside the Commission’s jurisdiction.</w:t>
      </w:r>
    </w:p>
    <w:p w14:paraId="3B058F73" w14:textId="77777777" w:rsidR="005F1205" w:rsidRDefault="00227AD4" w:rsidP="00800E2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The Commission’s authority to supervise and regulate the SSO is limited to R.C. 4928.141-144.  “</w:t>
      </w:r>
      <w:r w:rsidRPr="00227AD4">
        <w:rPr>
          <w:rFonts w:ascii="Arial" w:hAnsi="Arial" w:cs="Arial"/>
          <w:sz w:val="24"/>
          <w:szCs w:val="24"/>
        </w:rPr>
        <w:t>Nothing in this division shall be construed to limit the commission's authority under sections 4928.141 t</w:t>
      </w:r>
      <w:r>
        <w:rPr>
          <w:rFonts w:ascii="Arial" w:hAnsi="Arial" w:cs="Arial"/>
          <w:sz w:val="24"/>
          <w:szCs w:val="24"/>
        </w:rPr>
        <w:t xml:space="preserve">o 4928.144 of the Revised Code, </w:t>
      </w:r>
      <w:r w:rsidRPr="00227AD4">
        <w:rPr>
          <w:rFonts w:ascii="Arial" w:hAnsi="Arial" w:cs="Arial"/>
          <w:sz w:val="24"/>
          <w:szCs w:val="24"/>
        </w:rPr>
        <w:t>On and after the starting date of competitive retail electric service</w:t>
      </w:r>
      <w:r>
        <w:rPr>
          <w:rFonts w:ascii="Arial" w:hAnsi="Arial" w:cs="Arial"/>
          <w:sz w:val="24"/>
          <w:szCs w:val="24"/>
        </w:rPr>
        <w:t xml:space="preserve">.”  R.C. 4928.05(A)(1).  Of those statutes, the Commission’s ability to establish rates is limited to R.C. 4928.142 and 4928.143.  </w:t>
      </w:r>
      <w:r w:rsidR="00D541C3" w:rsidRPr="00D541C3">
        <w:rPr>
          <w:rFonts w:ascii="Arial" w:hAnsi="Arial" w:cs="Arial"/>
          <w:sz w:val="24"/>
          <w:szCs w:val="24"/>
        </w:rPr>
        <w:t>Although electric security plans are typically referred to as SSOs, in fact, only the portion of the electric security plan that relates to competitive retail electric service comprises the SSO.</w:t>
      </w:r>
      <w:r w:rsidR="00D541C3">
        <w:rPr>
          <w:rFonts w:ascii="Arial" w:hAnsi="Arial" w:cs="Arial"/>
          <w:sz w:val="24"/>
          <w:szCs w:val="24"/>
        </w:rPr>
        <w:t xml:space="preserve">  </w:t>
      </w:r>
    </w:p>
    <w:p w14:paraId="30862284" w14:textId="28A2E7BB" w:rsidR="00D32CA9" w:rsidRDefault="00227AD4" w:rsidP="00085080">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Moreover, </w:t>
      </w:r>
      <w:r w:rsidR="00D541C3">
        <w:rPr>
          <w:rFonts w:ascii="Arial" w:hAnsi="Arial" w:cs="Arial"/>
          <w:sz w:val="24"/>
          <w:szCs w:val="24"/>
        </w:rPr>
        <w:t>R.C. 4928.143(</w:t>
      </w:r>
      <w:r w:rsidRPr="00227AD4">
        <w:rPr>
          <w:rFonts w:ascii="Arial" w:hAnsi="Arial" w:cs="Arial"/>
          <w:sz w:val="24"/>
          <w:szCs w:val="24"/>
        </w:rPr>
        <w:t>b)(2)(g)</w:t>
      </w:r>
      <w:r w:rsidR="00D541C3">
        <w:rPr>
          <w:rFonts w:ascii="Arial" w:hAnsi="Arial" w:cs="Arial"/>
          <w:sz w:val="24"/>
          <w:szCs w:val="24"/>
        </w:rPr>
        <w:t xml:space="preserve"> </w:t>
      </w:r>
      <w:r w:rsidR="00E16492">
        <w:rPr>
          <w:rFonts w:ascii="Arial" w:hAnsi="Arial" w:cs="Arial"/>
          <w:sz w:val="24"/>
          <w:szCs w:val="24"/>
        </w:rPr>
        <w:t>explicitly contemplates recovering all costs related to SSO</w:t>
      </w:r>
      <w:r w:rsidR="00D541C3">
        <w:rPr>
          <w:rFonts w:ascii="Arial" w:hAnsi="Arial" w:cs="Arial"/>
          <w:sz w:val="24"/>
          <w:szCs w:val="24"/>
        </w:rPr>
        <w:t xml:space="preserve"> </w:t>
      </w:r>
      <w:r w:rsidR="00E16492">
        <w:rPr>
          <w:rFonts w:ascii="Arial" w:hAnsi="Arial" w:cs="Arial"/>
          <w:sz w:val="24"/>
          <w:szCs w:val="24"/>
        </w:rPr>
        <w:t xml:space="preserve">service through </w:t>
      </w:r>
      <w:r w:rsidR="00E364A8">
        <w:rPr>
          <w:rFonts w:ascii="Arial" w:hAnsi="Arial" w:cs="Arial"/>
          <w:sz w:val="24"/>
          <w:szCs w:val="24"/>
        </w:rPr>
        <w:t>an SSO</w:t>
      </w:r>
      <w:r w:rsidR="00363433">
        <w:rPr>
          <w:rFonts w:ascii="Arial" w:hAnsi="Arial" w:cs="Arial"/>
          <w:sz w:val="24"/>
          <w:szCs w:val="24"/>
        </w:rPr>
        <w:t xml:space="preserve">. </w:t>
      </w:r>
      <w:r w:rsidR="00A3024D">
        <w:rPr>
          <w:rFonts w:ascii="Arial" w:hAnsi="Arial" w:cs="Arial"/>
          <w:sz w:val="24"/>
          <w:szCs w:val="24"/>
        </w:rPr>
        <w:t>The statute provides for SSO cost recovery for items</w:t>
      </w:r>
      <w:r w:rsidR="00363433">
        <w:rPr>
          <w:rFonts w:ascii="Arial" w:hAnsi="Arial" w:cs="Arial"/>
          <w:sz w:val="24"/>
          <w:szCs w:val="24"/>
        </w:rPr>
        <w:t xml:space="preserve"> </w:t>
      </w:r>
      <w:r w:rsidR="00085080">
        <w:rPr>
          <w:rFonts w:ascii="Arial" w:hAnsi="Arial" w:cs="Arial"/>
          <w:sz w:val="24"/>
          <w:szCs w:val="24"/>
        </w:rPr>
        <w:t>“</w:t>
      </w:r>
      <w:r w:rsidRPr="00227AD4">
        <w:rPr>
          <w:rFonts w:ascii="Arial" w:hAnsi="Arial" w:cs="Arial"/>
          <w:sz w:val="24"/>
          <w:szCs w:val="24"/>
        </w:rPr>
        <w:t xml:space="preserve">relating to transmission, ancillary, congestion, </w:t>
      </w:r>
      <w:r w:rsidRPr="00D541C3">
        <w:rPr>
          <w:rFonts w:ascii="Arial" w:hAnsi="Arial" w:cs="Arial"/>
          <w:i/>
          <w:sz w:val="24"/>
          <w:szCs w:val="24"/>
        </w:rPr>
        <w:t>or any related service required for the standard service offer</w:t>
      </w:r>
      <w:r w:rsidRPr="00227AD4">
        <w:rPr>
          <w:rFonts w:ascii="Arial" w:hAnsi="Arial" w:cs="Arial"/>
          <w:sz w:val="24"/>
          <w:szCs w:val="24"/>
        </w:rPr>
        <w:t xml:space="preserve">, </w:t>
      </w:r>
      <w:r w:rsidRPr="00D541C3">
        <w:rPr>
          <w:rFonts w:ascii="Arial" w:hAnsi="Arial" w:cs="Arial"/>
          <w:i/>
          <w:sz w:val="24"/>
          <w:szCs w:val="24"/>
        </w:rPr>
        <w:t>including provisions for the recovery of any cost of such service that the electric distribution utility incurs on or after that date pursuant to the standard service offer</w:t>
      </w:r>
      <w:r w:rsidR="00D541C3">
        <w:rPr>
          <w:rFonts w:ascii="Arial" w:hAnsi="Arial" w:cs="Arial"/>
          <w:sz w:val="24"/>
          <w:szCs w:val="24"/>
        </w:rPr>
        <w:t>.</w:t>
      </w:r>
      <w:r w:rsidRPr="00227AD4">
        <w:rPr>
          <w:rFonts w:ascii="Arial" w:hAnsi="Arial" w:cs="Arial"/>
          <w:sz w:val="24"/>
          <w:szCs w:val="24"/>
        </w:rPr>
        <w:t>”</w:t>
      </w:r>
      <w:r w:rsidR="002834D5">
        <w:rPr>
          <w:rFonts w:ascii="Arial" w:hAnsi="Arial" w:cs="Arial"/>
          <w:sz w:val="24"/>
          <w:szCs w:val="24"/>
        </w:rPr>
        <w:t xml:space="preserve">  </w:t>
      </w:r>
      <w:r w:rsidR="00503603">
        <w:rPr>
          <w:rFonts w:ascii="Arial" w:hAnsi="Arial" w:cs="Arial"/>
          <w:sz w:val="24"/>
          <w:szCs w:val="24"/>
        </w:rPr>
        <w:t>Wh</w:t>
      </w:r>
      <w:r w:rsidR="00DE2201">
        <w:rPr>
          <w:rFonts w:ascii="Arial" w:hAnsi="Arial" w:cs="Arial"/>
          <w:sz w:val="24"/>
          <w:szCs w:val="24"/>
        </w:rPr>
        <w:t xml:space="preserve">ile </w:t>
      </w:r>
      <w:r w:rsidR="00E364A8">
        <w:rPr>
          <w:rFonts w:ascii="Arial" w:hAnsi="Arial" w:cs="Arial"/>
          <w:sz w:val="24"/>
          <w:szCs w:val="24"/>
        </w:rPr>
        <w:t>Ohio law dictates recover</w:t>
      </w:r>
      <w:r w:rsidR="00085080">
        <w:rPr>
          <w:rFonts w:ascii="Arial" w:hAnsi="Arial" w:cs="Arial"/>
          <w:sz w:val="24"/>
          <w:szCs w:val="24"/>
        </w:rPr>
        <w:t>y</w:t>
      </w:r>
      <w:r w:rsidR="00E364A8">
        <w:rPr>
          <w:rFonts w:ascii="Arial" w:hAnsi="Arial" w:cs="Arial"/>
          <w:sz w:val="24"/>
          <w:szCs w:val="24"/>
        </w:rPr>
        <w:t xml:space="preserve"> </w:t>
      </w:r>
      <w:r w:rsidR="00085080">
        <w:rPr>
          <w:rFonts w:ascii="Arial" w:hAnsi="Arial" w:cs="Arial"/>
          <w:sz w:val="24"/>
          <w:szCs w:val="24"/>
        </w:rPr>
        <w:t>of</w:t>
      </w:r>
      <w:r w:rsidR="00E364A8">
        <w:rPr>
          <w:rFonts w:ascii="Arial" w:hAnsi="Arial" w:cs="Arial"/>
          <w:sz w:val="24"/>
          <w:szCs w:val="24"/>
        </w:rPr>
        <w:t xml:space="preserve"> SSO related costs through the SSO</w:t>
      </w:r>
      <w:r w:rsidR="00276D3C">
        <w:rPr>
          <w:rFonts w:ascii="Arial" w:hAnsi="Arial" w:cs="Arial"/>
          <w:sz w:val="24"/>
          <w:szCs w:val="24"/>
        </w:rPr>
        <w:t xml:space="preserve">, </w:t>
      </w:r>
      <w:r w:rsidR="00085080">
        <w:rPr>
          <w:rFonts w:ascii="Arial" w:hAnsi="Arial" w:cs="Arial"/>
          <w:sz w:val="24"/>
          <w:szCs w:val="24"/>
        </w:rPr>
        <w:t>h</w:t>
      </w:r>
      <w:r w:rsidR="00D32CA9" w:rsidRPr="00106FD5">
        <w:rPr>
          <w:rFonts w:ascii="Arial" w:hAnsi="Arial" w:cs="Arial"/>
          <w:sz w:val="24"/>
          <w:szCs w:val="24"/>
        </w:rPr>
        <w:t xml:space="preserve">ere, the Stipulation proposes that the Commission authorize the recovery of competitive retail electric service-related costs under Chapter 4909 and to recover such costs through non-competitive distribution rates.  This outcome is barred </w:t>
      </w:r>
      <w:r w:rsidR="00CA37C3">
        <w:rPr>
          <w:rFonts w:ascii="Arial" w:hAnsi="Arial" w:cs="Arial"/>
          <w:sz w:val="24"/>
          <w:szCs w:val="24"/>
        </w:rPr>
        <w:t>by statute, policy, and violates</w:t>
      </w:r>
      <w:r w:rsidR="00D32CA9" w:rsidRPr="00106FD5">
        <w:rPr>
          <w:rFonts w:ascii="Arial" w:hAnsi="Arial" w:cs="Arial"/>
          <w:sz w:val="24"/>
          <w:szCs w:val="24"/>
        </w:rPr>
        <w:t xml:space="preserve"> the public interest.  Therefore, the Commission must modify the stipulation and recommendation to properly </w:t>
      </w:r>
      <w:r w:rsidR="002834D5">
        <w:rPr>
          <w:rFonts w:ascii="Arial" w:hAnsi="Arial" w:cs="Arial"/>
          <w:sz w:val="24"/>
          <w:szCs w:val="24"/>
        </w:rPr>
        <w:t>re</w:t>
      </w:r>
      <w:r w:rsidR="00D32CA9" w:rsidRPr="00106FD5">
        <w:rPr>
          <w:rFonts w:ascii="Arial" w:hAnsi="Arial" w:cs="Arial"/>
          <w:sz w:val="24"/>
          <w:szCs w:val="24"/>
        </w:rPr>
        <w:t>allocate costs related to the SSO to that service.</w:t>
      </w:r>
    </w:p>
    <w:p w14:paraId="1169B12B" w14:textId="77777777" w:rsidR="00800E26" w:rsidRDefault="00800E26" w:rsidP="00800E26">
      <w:pPr>
        <w:spacing w:after="120" w:line="480" w:lineRule="auto"/>
        <w:ind w:firstLine="72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The Staff’s attempt to classify the SSO-related costs at issue as related to “distribution service” is not persuasive.  The Staff’s claim is based upon the assumption </w:t>
      </w:r>
      <w:r>
        <w:rPr>
          <w:rFonts w:ascii="Arial" w:hAnsi="Arial" w:cs="Arial"/>
          <w:color w:val="222222"/>
          <w:sz w:val="24"/>
          <w:szCs w:val="24"/>
          <w:shd w:val="clear" w:color="auto" w:fill="FFFFFF"/>
        </w:rPr>
        <w:lastRenderedPageBreak/>
        <w:t>that DP&amp;L incurs costs to facilitate the choice market.  The Staff presents a flawed apples to oranges comparison.</w:t>
      </w:r>
    </w:p>
    <w:p w14:paraId="6DE173F7" w14:textId="796E45B2" w:rsidR="00800E26" w:rsidRDefault="00800E26" w:rsidP="00800E26">
      <w:pPr>
        <w:spacing w:after="120" w:line="480" w:lineRule="auto"/>
        <w:ind w:firstLine="72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First, when DP&amp;L incurs cost related to the choice market, these costs relate to services that are a traditional monopoly function.  For example, when DP&amp;L provides meter data through an EDI transaction to a CRES provider, there is no other way to obtain that data to be able to bill a customer.</w:t>
      </w:r>
      <w:r w:rsidR="004A0C52">
        <w:rPr>
          <w:rStyle w:val="FootnoteReference"/>
          <w:rFonts w:ascii="Arial" w:hAnsi="Arial" w:cs="Arial"/>
          <w:color w:val="222222"/>
          <w:sz w:val="24"/>
          <w:szCs w:val="24"/>
          <w:shd w:val="clear" w:color="auto" w:fill="FFFFFF"/>
        </w:rPr>
        <w:footnoteReference w:id="105"/>
      </w:r>
      <w:r>
        <w:rPr>
          <w:rFonts w:ascii="Arial" w:hAnsi="Arial" w:cs="Arial"/>
          <w:color w:val="222222"/>
          <w:sz w:val="24"/>
          <w:szCs w:val="24"/>
          <w:shd w:val="clear" w:color="auto" w:fill="FFFFFF"/>
        </w:rPr>
        <w:t xml:space="preserve">  When DP&amp;L provides such service, it is not in fact providing a competitive retail electric service.  The provision of the CRES product is handled by the CRES, which sends an EDI transaction in the other direction to administer the product.  </w:t>
      </w:r>
    </w:p>
    <w:p w14:paraId="024A9520" w14:textId="76650879" w:rsidR="00800E26" w:rsidRDefault="00800E26" w:rsidP="00800E26">
      <w:pPr>
        <w:spacing w:after="120" w:line="480" w:lineRule="auto"/>
        <w:ind w:firstLine="72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Likewise, when DP&amp;L’s call center educates one of its customers regarding the general existence of the choice market, DP&amp;L is not in fact providing a competitive retail electric service.  It is acting as a distribution utility to facilitate choice as required by Ohio’s restructuring legislation.  Conversely, when DP&amp;L’s call center provides customer support regarding DP&amp;L’s SSO product, it is incurring cost directly related to the provision of a competitive </w:t>
      </w:r>
      <w:r w:rsidR="00F24E6E">
        <w:rPr>
          <w:rFonts w:ascii="Arial" w:hAnsi="Arial" w:cs="Arial"/>
          <w:color w:val="222222"/>
          <w:sz w:val="24"/>
          <w:szCs w:val="24"/>
          <w:shd w:val="clear" w:color="auto" w:fill="FFFFFF"/>
        </w:rPr>
        <w:t>generation</w:t>
      </w:r>
      <w:r>
        <w:rPr>
          <w:rFonts w:ascii="Arial" w:hAnsi="Arial" w:cs="Arial"/>
          <w:color w:val="222222"/>
          <w:sz w:val="24"/>
          <w:szCs w:val="24"/>
          <w:shd w:val="clear" w:color="auto" w:fill="FFFFFF"/>
        </w:rPr>
        <w:t xml:space="preserve"> service. </w:t>
      </w:r>
    </w:p>
    <w:p w14:paraId="4CF2D0F0" w14:textId="6DBD59D0" w:rsidR="00097759" w:rsidRDefault="00C038B5" w:rsidP="00097759">
      <w:pPr>
        <w:spacing w:after="120" w:line="480" w:lineRule="auto"/>
        <w:ind w:firstLine="72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Second, Staff’s argument</w:t>
      </w:r>
      <w:r w:rsidR="00800E26">
        <w:rPr>
          <w:rFonts w:ascii="Arial" w:hAnsi="Arial" w:cs="Arial"/>
          <w:color w:val="222222"/>
          <w:sz w:val="24"/>
          <w:szCs w:val="24"/>
          <w:shd w:val="clear" w:color="auto" w:fill="FFFFFF"/>
        </w:rPr>
        <w:t xml:space="preserve"> is inconsistent.  While Staff seeks to treat choice-related costs as a part of “distribution service</w:t>
      </w:r>
      <w:r w:rsidR="00CA37C3">
        <w:rPr>
          <w:rFonts w:ascii="Arial" w:hAnsi="Arial" w:cs="Arial"/>
          <w:color w:val="222222"/>
          <w:sz w:val="24"/>
          <w:szCs w:val="24"/>
          <w:shd w:val="clear" w:color="auto" w:fill="FFFFFF"/>
        </w:rPr>
        <w:t>,”</w:t>
      </w:r>
      <w:r w:rsidR="00800E26">
        <w:rPr>
          <w:rFonts w:ascii="Arial" w:hAnsi="Arial" w:cs="Arial"/>
          <w:color w:val="222222"/>
          <w:sz w:val="24"/>
          <w:szCs w:val="24"/>
          <w:shd w:val="clear" w:color="auto" w:fill="FFFFFF"/>
        </w:rPr>
        <w:t xml:space="preserve"> Staff ignores the fact that there are significant fees applicable to </w:t>
      </w:r>
      <w:r w:rsidR="00061D66">
        <w:rPr>
          <w:rFonts w:ascii="Arial" w:hAnsi="Arial" w:cs="Arial"/>
          <w:color w:val="222222"/>
          <w:sz w:val="24"/>
          <w:szCs w:val="24"/>
          <w:shd w:val="clear" w:color="auto" w:fill="FFFFFF"/>
        </w:rPr>
        <w:t>C</w:t>
      </w:r>
      <w:r w:rsidR="00800E26">
        <w:rPr>
          <w:rFonts w:ascii="Arial" w:hAnsi="Arial" w:cs="Arial"/>
          <w:color w:val="222222"/>
          <w:sz w:val="24"/>
          <w:szCs w:val="24"/>
          <w:shd w:val="clear" w:color="auto" w:fill="FFFFFF"/>
        </w:rPr>
        <w:t>hoice customers and their CRES providers to recover the cost of these services.</w:t>
      </w:r>
      <w:r w:rsidR="00097759">
        <w:rPr>
          <w:rFonts w:ascii="Arial" w:hAnsi="Arial" w:cs="Arial"/>
          <w:color w:val="222222"/>
          <w:sz w:val="24"/>
          <w:szCs w:val="24"/>
          <w:shd w:val="clear" w:color="auto" w:fill="FFFFFF"/>
        </w:rPr>
        <w:t xml:space="preserve">  N</w:t>
      </w:r>
      <w:r w:rsidR="00097759" w:rsidRPr="00097759">
        <w:rPr>
          <w:rFonts w:ascii="Arial" w:hAnsi="Arial" w:cs="Arial"/>
          <w:color w:val="222222"/>
          <w:sz w:val="24"/>
          <w:szCs w:val="24"/>
          <w:shd w:val="clear" w:color="auto" w:fill="FFFFFF"/>
        </w:rPr>
        <w:t xml:space="preserve">either Staff nor DP&amp;L </w:t>
      </w:r>
      <w:r w:rsidR="00097759">
        <w:rPr>
          <w:rFonts w:ascii="Arial" w:hAnsi="Arial" w:cs="Arial"/>
          <w:color w:val="222222"/>
          <w:sz w:val="24"/>
          <w:szCs w:val="24"/>
          <w:shd w:val="clear" w:color="auto" w:fill="FFFFFF"/>
        </w:rPr>
        <w:t>attempted to quantify whether these fees are cost justified.  Regardless, i</w:t>
      </w:r>
      <w:r w:rsidR="00800E26">
        <w:rPr>
          <w:rFonts w:ascii="Arial" w:hAnsi="Arial" w:cs="Arial"/>
          <w:color w:val="222222"/>
          <w:sz w:val="24"/>
          <w:szCs w:val="24"/>
          <w:shd w:val="clear" w:color="auto" w:fill="FFFFFF"/>
        </w:rPr>
        <w:t xml:space="preserve">f such costs were truly distribution-related, they should be recovered from all distribution customers and the fees should be eliminated.  </w:t>
      </w:r>
      <w:r w:rsidR="000C28C4" w:rsidRPr="000C28C4">
        <w:rPr>
          <w:rFonts w:ascii="Arial" w:hAnsi="Arial" w:cs="Arial"/>
          <w:color w:val="222222"/>
          <w:sz w:val="24"/>
          <w:szCs w:val="24"/>
          <w:shd w:val="clear" w:color="auto" w:fill="FFFFFF"/>
        </w:rPr>
        <w:t>Cho</w:t>
      </w:r>
      <w:r w:rsidR="000C28C4">
        <w:rPr>
          <w:rFonts w:ascii="Arial" w:hAnsi="Arial" w:cs="Arial"/>
          <w:color w:val="222222"/>
          <w:sz w:val="24"/>
          <w:szCs w:val="24"/>
          <w:shd w:val="clear" w:color="auto" w:fill="FFFFFF"/>
        </w:rPr>
        <w:t>ice-</w:t>
      </w:r>
      <w:r w:rsidR="000C28C4">
        <w:rPr>
          <w:rFonts w:ascii="Arial" w:hAnsi="Arial" w:cs="Arial"/>
          <w:color w:val="222222"/>
          <w:sz w:val="24"/>
          <w:szCs w:val="24"/>
          <w:shd w:val="clear" w:color="auto" w:fill="FFFFFF"/>
        </w:rPr>
        <w:lastRenderedPageBreak/>
        <w:t>related costs cannot be</w:t>
      </w:r>
      <w:r w:rsidR="000C28C4" w:rsidRPr="000C28C4">
        <w:rPr>
          <w:rFonts w:ascii="Arial" w:hAnsi="Arial" w:cs="Arial"/>
          <w:color w:val="222222"/>
          <w:sz w:val="24"/>
          <w:szCs w:val="24"/>
          <w:shd w:val="clear" w:color="auto" w:fill="FFFFFF"/>
        </w:rPr>
        <w:t xml:space="preserve"> distribution-related but also recovered directly from the CRES providers and their customers.  At bare minimum, the unjustified fees assessed to CRES providers and their customers should be eliminated.  </w:t>
      </w:r>
    </w:p>
    <w:p w14:paraId="33CE5675" w14:textId="61318B35" w:rsidR="00800E26" w:rsidRDefault="00D32CA9" w:rsidP="00AA37BF">
      <w:pPr>
        <w:spacing w:after="120" w:line="480" w:lineRule="auto"/>
        <w:ind w:firstLine="720"/>
        <w:jc w:val="both"/>
        <w:rPr>
          <w:rFonts w:ascii="Arial" w:hAnsi="Arial" w:cs="Arial"/>
          <w:sz w:val="24"/>
          <w:szCs w:val="24"/>
        </w:rPr>
      </w:pPr>
      <w:r w:rsidRPr="00106FD5">
        <w:rPr>
          <w:rFonts w:ascii="Arial" w:hAnsi="Arial" w:cs="Arial"/>
          <w:sz w:val="24"/>
          <w:szCs w:val="24"/>
        </w:rPr>
        <w:t xml:space="preserve">IGS recognizes that the Stipulation and recommendation authorized in DP&amp;L’s </w:t>
      </w:r>
      <w:r w:rsidR="00CA37C3">
        <w:rPr>
          <w:rFonts w:ascii="Arial" w:hAnsi="Arial" w:cs="Arial"/>
          <w:sz w:val="24"/>
          <w:szCs w:val="24"/>
        </w:rPr>
        <w:t>ESP case designated</w:t>
      </w:r>
      <w:r w:rsidRPr="00106FD5">
        <w:rPr>
          <w:rFonts w:ascii="Arial" w:hAnsi="Arial" w:cs="Arial"/>
          <w:sz w:val="24"/>
          <w:szCs w:val="24"/>
        </w:rPr>
        <w:t xml:space="preserve"> this proceeding as </w:t>
      </w:r>
      <w:r w:rsidR="00CA37C3">
        <w:rPr>
          <w:rFonts w:ascii="Arial" w:hAnsi="Arial" w:cs="Arial"/>
          <w:sz w:val="24"/>
          <w:szCs w:val="24"/>
        </w:rPr>
        <w:t>to evaluate the amount of costs that should be reallocated to SSO bypassable rates</w:t>
      </w:r>
      <w:r w:rsidRPr="00106FD5">
        <w:rPr>
          <w:rFonts w:ascii="Arial" w:hAnsi="Arial" w:cs="Arial"/>
          <w:sz w:val="24"/>
          <w:szCs w:val="24"/>
        </w:rPr>
        <w:t>.  Therefore, IGS submitted the testimony of Edward Hess in this proceeding to provide a recommendation to effectively remove SSO-related costs from distribution rates and refunctionalize those costs to SSO service.</w:t>
      </w:r>
      <w:r w:rsidR="002834D5">
        <w:rPr>
          <w:rFonts w:ascii="Arial" w:hAnsi="Arial" w:cs="Arial"/>
          <w:sz w:val="24"/>
          <w:szCs w:val="24"/>
        </w:rPr>
        <w:t xml:space="preserve">  Mr. Hess proposed a lawful and reasonable methodology to refunctionali</w:t>
      </w:r>
      <w:r w:rsidR="00BE41D9">
        <w:rPr>
          <w:rFonts w:ascii="Arial" w:hAnsi="Arial" w:cs="Arial"/>
          <w:sz w:val="24"/>
          <w:szCs w:val="24"/>
        </w:rPr>
        <w:t xml:space="preserve">ze SSO-related costs to the SSO, whereas the result proposed by the Stipulation is patently unlawful and unreasonable. </w:t>
      </w:r>
    </w:p>
    <w:p w14:paraId="3FE9F23F" w14:textId="4A0A8F1F" w:rsidR="002834D5" w:rsidRPr="00097759" w:rsidRDefault="002834D5" w:rsidP="00097759">
      <w:pPr>
        <w:pStyle w:val="ListParagraph"/>
        <w:numPr>
          <w:ilvl w:val="0"/>
          <w:numId w:val="7"/>
        </w:numPr>
        <w:spacing w:after="120" w:line="240" w:lineRule="auto"/>
        <w:ind w:left="1094" w:hanging="374"/>
        <w:jc w:val="both"/>
        <w:rPr>
          <w:rFonts w:ascii="Arial" w:hAnsi="Arial" w:cs="Arial"/>
          <w:b/>
          <w:sz w:val="24"/>
          <w:szCs w:val="24"/>
        </w:rPr>
      </w:pPr>
      <w:r>
        <w:rPr>
          <w:rFonts w:ascii="Arial" w:hAnsi="Arial" w:cs="Arial"/>
          <w:b/>
          <w:sz w:val="24"/>
          <w:szCs w:val="24"/>
        </w:rPr>
        <w:t>The Stipulation proposes and Outcome that violates State Policy and Precedent</w:t>
      </w:r>
    </w:p>
    <w:p w14:paraId="039AB7BD" w14:textId="13EBD863" w:rsidR="00800E26" w:rsidRDefault="00800E26" w:rsidP="003035D0">
      <w:pPr>
        <w:spacing w:after="120" w:line="480" w:lineRule="auto"/>
        <w:ind w:firstLine="720"/>
        <w:jc w:val="both"/>
        <w:rPr>
          <w:rFonts w:ascii="Arial" w:hAnsi="Arial" w:cs="Arial"/>
          <w:sz w:val="24"/>
          <w:szCs w:val="24"/>
        </w:rPr>
      </w:pPr>
      <w:r>
        <w:rPr>
          <w:rFonts w:ascii="Arial" w:hAnsi="Arial" w:cs="Arial"/>
          <w:sz w:val="24"/>
          <w:szCs w:val="24"/>
        </w:rPr>
        <w:t>Ohio law requires the Commission to “[e]</w:t>
      </w:r>
      <w:r w:rsidRPr="00800E26">
        <w:rPr>
          <w:rFonts w:ascii="Arial" w:hAnsi="Arial" w:cs="Arial"/>
          <w:sz w:val="24"/>
          <w:szCs w:val="24"/>
        </w:rPr>
        <w:t>nsure the availability of unbundled and comparable retail electric service</w:t>
      </w:r>
      <w:r>
        <w:rPr>
          <w:rFonts w:ascii="Arial" w:hAnsi="Arial" w:cs="Arial"/>
          <w:sz w:val="24"/>
          <w:szCs w:val="24"/>
        </w:rPr>
        <w:t>.”</w:t>
      </w:r>
      <w:r w:rsidR="00CA37C3">
        <w:rPr>
          <w:rStyle w:val="FootnoteReference"/>
          <w:rFonts w:ascii="Arial" w:hAnsi="Arial" w:cs="Arial"/>
          <w:sz w:val="24"/>
          <w:szCs w:val="24"/>
        </w:rPr>
        <w:footnoteReference w:id="106"/>
      </w:r>
      <w:r w:rsidR="00CA37C3">
        <w:rPr>
          <w:rFonts w:ascii="Arial" w:hAnsi="Arial" w:cs="Arial"/>
          <w:sz w:val="24"/>
          <w:szCs w:val="24"/>
        </w:rPr>
        <w:t xml:space="preserve">  Ohio policy further requires the Commission to ensure that customers have “nondiscriminatory, and reasonably priced retail electric service.”</w:t>
      </w:r>
      <w:r w:rsidR="00CA37C3">
        <w:rPr>
          <w:rStyle w:val="FootnoteReference"/>
          <w:rFonts w:ascii="Arial" w:hAnsi="Arial" w:cs="Arial"/>
          <w:sz w:val="24"/>
          <w:szCs w:val="24"/>
        </w:rPr>
        <w:footnoteReference w:id="107"/>
      </w:r>
      <w:r>
        <w:rPr>
          <w:rFonts w:ascii="Arial" w:hAnsi="Arial" w:cs="Arial"/>
          <w:sz w:val="24"/>
          <w:szCs w:val="24"/>
        </w:rPr>
        <w:t xml:space="preserve">  Likewise, the Commission must “[e]</w:t>
      </w:r>
      <w:r w:rsidRPr="00800E26">
        <w:rPr>
          <w:rFonts w:ascii="Arial" w:hAnsi="Arial" w:cs="Arial"/>
          <w:sz w:val="24"/>
          <w:szCs w:val="24"/>
        </w:rPr>
        <w:t xml:space="preserve">nsure effective competition in the provision of retail electric service by avoiding anticompetitive subsidies flowing from a noncompetitive retail electric service to a competitive retail electric service or to a product </w:t>
      </w:r>
      <w:r w:rsidRPr="00800E26">
        <w:rPr>
          <w:rFonts w:ascii="Arial" w:hAnsi="Arial" w:cs="Arial"/>
          <w:sz w:val="24"/>
          <w:szCs w:val="24"/>
        </w:rPr>
        <w:lastRenderedPageBreak/>
        <w:t>or service other than retail electric service, and vice versa, including by prohibiting the recovery of any generation-related costs through dis</w:t>
      </w:r>
      <w:r>
        <w:rPr>
          <w:rFonts w:ascii="Arial" w:hAnsi="Arial" w:cs="Arial"/>
          <w:sz w:val="24"/>
          <w:szCs w:val="24"/>
        </w:rPr>
        <w:t>tribution or transmission rates.”</w:t>
      </w:r>
      <w:r w:rsidR="00CA37C3">
        <w:rPr>
          <w:rStyle w:val="FootnoteReference"/>
          <w:rFonts w:ascii="Arial" w:hAnsi="Arial" w:cs="Arial"/>
          <w:sz w:val="24"/>
          <w:szCs w:val="24"/>
        </w:rPr>
        <w:footnoteReference w:id="108"/>
      </w:r>
      <w:r>
        <w:rPr>
          <w:rFonts w:ascii="Arial" w:hAnsi="Arial" w:cs="Arial"/>
          <w:sz w:val="24"/>
          <w:szCs w:val="24"/>
        </w:rPr>
        <w:t xml:space="preserve">  </w:t>
      </w:r>
    </w:p>
    <w:p w14:paraId="3943E72D" w14:textId="77777777" w:rsidR="003035D0" w:rsidRDefault="00800E26" w:rsidP="003035D0">
      <w:pPr>
        <w:spacing w:after="120" w:line="480" w:lineRule="auto"/>
        <w:ind w:firstLine="720"/>
        <w:jc w:val="both"/>
        <w:rPr>
          <w:rFonts w:ascii="Arial" w:hAnsi="Arial" w:cs="Arial"/>
          <w:sz w:val="24"/>
          <w:szCs w:val="24"/>
        </w:rPr>
      </w:pPr>
      <w:r>
        <w:rPr>
          <w:rFonts w:ascii="Arial" w:hAnsi="Arial" w:cs="Arial"/>
          <w:sz w:val="24"/>
          <w:szCs w:val="24"/>
        </w:rPr>
        <w:t xml:space="preserve">The </w:t>
      </w:r>
      <w:r w:rsidR="003035D0">
        <w:rPr>
          <w:rFonts w:ascii="Arial" w:hAnsi="Arial" w:cs="Arial"/>
          <w:sz w:val="24"/>
          <w:szCs w:val="24"/>
        </w:rPr>
        <w:t>Supreme Court has noted that the General Assembly</w:t>
      </w:r>
      <w:r w:rsidR="003035D0" w:rsidRPr="003E1F76">
        <w:rPr>
          <w:rFonts w:ascii="Arial" w:hAnsi="Arial" w:cs="Arial"/>
          <w:sz w:val="24"/>
          <w:szCs w:val="24"/>
        </w:rPr>
        <w:t xml:space="preserve"> “restructured Ohio's </w:t>
      </w:r>
      <w:r w:rsidR="003035D0" w:rsidRPr="003035D0">
        <w:rPr>
          <w:rFonts w:ascii="Arial" w:hAnsi="Arial" w:cs="Arial"/>
          <w:sz w:val="24"/>
          <w:szCs w:val="24"/>
        </w:rPr>
        <w:t>electric-utility industry to foster retail competition in the generation component of electric service.”</w:t>
      </w:r>
      <w:r w:rsidR="003035D0" w:rsidRPr="003035D0">
        <w:rPr>
          <w:rStyle w:val="FootnoteReference"/>
          <w:rFonts w:ascii="Arial" w:hAnsi="Arial" w:cs="Arial"/>
          <w:sz w:val="24"/>
          <w:szCs w:val="24"/>
        </w:rPr>
        <w:footnoteReference w:id="109"/>
      </w:r>
      <w:r w:rsidR="003035D0" w:rsidRPr="003035D0">
        <w:rPr>
          <w:rFonts w:ascii="Arial" w:hAnsi="Arial" w:cs="Arial"/>
          <w:sz w:val="24"/>
          <w:szCs w:val="24"/>
        </w:rPr>
        <w:t xml:space="preserve"> To that end, the General Assembly “</w:t>
      </w:r>
      <w:r w:rsidR="003035D0" w:rsidRPr="003035D0">
        <w:rPr>
          <w:rFonts w:ascii="Arial" w:hAnsi="Arial" w:cs="Arial"/>
          <w:color w:val="222222"/>
          <w:sz w:val="24"/>
          <w:szCs w:val="24"/>
          <w:shd w:val="clear" w:color="auto" w:fill="FFFFFF"/>
        </w:rPr>
        <w:t>required the unbundling of the three major components of electric service — generation, distribution, and transmission — and the components that make up the three major service components.</w:t>
      </w:r>
      <w:r w:rsidR="003035D0" w:rsidRPr="003035D0">
        <w:rPr>
          <w:rFonts w:ascii="Arial" w:hAnsi="Arial" w:cs="Arial"/>
          <w:sz w:val="24"/>
          <w:szCs w:val="24"/>
        </w:rPr>
        <w:t>”</w:t>
      </w:r>
      <w:r w:rsidR="003035D0" w:rsidRPr="003035D0">
        <w:rPr>
          <w:rStyle w:val="FootnoteReference"/>
          <w:rFonts w:ascii="Arial" w:hAnsi="Arial" w:cs="Arial"/>
          <w:sz w:val="24"/>
          <w:szCs w:val="24"/>
        </w:rPr>
        <w:footnoteReference w:id="110"/>
      </w:r>
      <w:r w:rsidR="003035D0" w:rsidRPr="003035D0">
        <w:rPr>
          <w:rFonts w:ascii="Arial" w:hAnsi="Arial" w:cs="Arial"/>
          <w:sz w:val="24"/>
          <w:szCs w:val="24"/>
        </w:rPr>
        <w:t xml:space="preserve"> “In short, each service component was required to stand on its own.”</w:t>
      </w:r>
      <w:r w:rsidR="003035D0" w:rsidRPr="003035D0">
        <w:rPr>
          <w:rStyle w:val="FootnoteReference"/>
          <w:rFonts w:ascii="Arial" w:hAnsi="Arial" w:cs="Arial"/>
          <w:sz w:val="24"/>
          <w:szCs w:val="24"/>
        </w:rPr>
        <w:footnoteReference w:id="111"/>
      </w:r>
      <w:r w:rsidR="003035D0" w:rsidRPr="003035D0">
        <w:rPr>
          <w:rFonts w:ascii="Arial" w:hAnsi="Arial" w:cs="Arial"/>
          <w:sz w:val="24"/>
          <w:szCs w:val="24"/>
        </w:rPr>
        <w:t xml:space="preserve">  </w:t>
      </w:r>
    </w:p>
    <w:p w14:paraId="3BE31057" w14:textId="0F39A948" w:rsidR="000C28C4" w:rsidRDefault="003035D0" w:rsidP="000C28C4">
      <w:pPr>
        <w:spacing w:after="120" w:line="480" w:lineRule="auto"/>
        <w:ind w:firstLine="720"/>
        <w:jc w:val="both"/>
        <w:rPr>
          <w:rFonts w:ascii="Arial" w:hAnsi="Arial" w:cs="Arial"/>
          <w:color w:val="222222"/>
          <w:sz w:val="24"/>
          <w:szCs w:val="24"/>
          <w:shd w:val="clear" w:color="auto" w:fill="FFFFFF"/>
        </w:rPr>
      </w:pPr>
      <w:r w:rsidRPr="003035D0">
        <w:rPr>
          <w:rFonts w:ascii="Arial" w:hAnsi="Arial" w:cs="Arial"/>
          <w:sz w:val="24"/>
          <w:szCs w:val="24"/>
        </w:rPr>
        <w:t>The Court has rebuffed prior attempts to rebundle the recovery of competitive services through non-competitive</w:t>
      </w:r>
      <w:r>
        <w:rPr>
          <w:rFonts w:ascii="Arial" w:hAnsi="Arial" w:cs="Arial"/>
          <w:sz w:val="24"/>
          <w:szCs w:val="24"/>
        </w:rPr>
        <w:t xml:space="preserve"> distribution rates.  For example, in </w:t>
      </w:r>
      <w:r>
        <w:rPr>
          <w:rFonts w:ascii="Arial" w:hAnsi="Arial" w:cs="Arial"/>
          <w:i/>
          <w:sz w:val="24"/>
          <w:szCs w:val="24"/>
        </w:rPr>
        <w:t>Elyria Foundry</w:t>
      </w:r>
      <w:r w:rsidRPr="003035D0">
        <w:rPr>
          <w:rFonts w:ascii="Arial" w:hAnsi="Arial" w:cs="Arial"/>
          <w:sz w:val="24"/>
          <w:szCs w:val="24"/>
        </w:rPr>
        <w:t>,</w:t>
      </w:r>
      <w:r w:rsidRPr="003035D0">
        <w:t xml:space="preserve"> </w:t>
      </w:r>
      <w:r w:rsidRPr="003035D0">
        <w:rPr>
          <w:rFonts w:ascii="Arial" w:hAnsi="Arial" w:cs="Arial"/>
          <w:sz w:val="24"/>
          <w:szCs w:val="24"/>
        </w:rPr>
        <w:t>14 Ohio St.3d 305 (2007), the</w:t>
      </w:r>
      <w:r>
        <w:rPr>
          <w:rFonts w:ascii="Arial" w:hAnsi="Arial" w:cs="Arial"/>
          <w:sz w:val="24"/>
          <w:szCs w:val="24"/>
        </w:rPr>
        <w:t xml:space="preserve"> Commission authorized Fir</w:t>
      </w:r>
      <w:r w:rsidR="00CA37C3">
        <w:rPr>
          <w:rFonts w:ascii="Arial" w:hAnsi="Arial" w:cs="Arial"/>
          <w:sz w:val="24"/>
          <w:szCs w:val="24"/>
        </w:rPr>
        <w:t xml:space="preserve">stEnergy </w:t>
      </w:r>
      <w:r>
        <w:rPr>
          <w:rFonts w:ascii="Arial" w:hAnsi="Arial" w:cs="Arial"/>
          <w:sz w:val="24"/>
          <w:szCs w:val="24"/>
        </w:rPr>
        <w:t xml:space="preserve">to </w:t>
      </w:r>
      <w:r w:rsidR="00CA37C3">
        <w:rPr>
          <w:rFonts w:ascii="Arial" w:hAnsi="Arial" w:cs="Arial"/>
          <w:sz w:val="24"/>
          <w:szCs w:val="24"/>
        </w:rPr>
        <w:t xml:space="preserve">recover </w:t>
      </w:r>
      <w:r>
        <w:rPr>
          <w:rFonts w:ascii="Arial" w:hAnsi="Arial" w:cs="Arial"/>
          <w:sz w:val="24"/>
          <w:szCs w:val="24"/>
        </w:rPr>
        <w:t>SSO-related fuel costs through distribution rates.  Following an appeal, the Court held that “</w:t>
      </w:r>
      <w:r w:rsidR="00CA37C3">
        <w:rPr>
          <w:rFonts w:ascii="Arial" w:hAnsi="Arial" w:cs="Arial"/>
          <w:color w:val="222222"/>
          <w:sz w:val="24"/>
          <w:szCs w:val="24"/>
          <w:shd w:val="clear" w:color="auto" w:fill="FFFFFF"/>
        </w:rPr>
        <w:t>[f]</w:t>
      </w:r>
      <w:r w:rsidR="001B7252" w:rsidRPr="003035D0">
        <w:rPr>
          <w:rFonts w:ascii="Arial" w:hAnsi="Arial" w:cs="Arial"/>
          <w:color w:val="222222"/>
          <w:sz w:val="24"/>
          <w:szCs w:val="24"/>
          <w:shd w:val="clear" w:color="auto" w:fill="FFFFFF"/>
        </w:rPr>
        <w:t>uel is an incremental cost component of generation service. Thus, by allowing that generation-cost component to be deferred and subsequently recovered in a distribution rate case, or alternatively allowing FirstEnergy to apply generation revenues to reduce distribution expenses, the commission violated R.C. 4928.02(G).</w:t>
      </w:r>
      <w:r>
        <w:rPr>
          <w:rFonts w:ascii="Arial" w:hAnsi="Arial" w:cs="Arial"/>
          <w:color w:val="222222"/>
          <w:sz w:val="24"/>
          <w:szCs w:val="24"/>
          <w:shd w:val="clear" w:color="auto" w:fill="FFFFFF"/>
        </w:rPr>
        <w:t xml:space="preserve">”  </w:t>
      </w:r>
      <w:r>
        <w:rPr>
          <w:rFonts w:ascii="Arial" w:hAnsi="Arial" w:cs="Arial"/>
          <w:i/>
          <w:color w:val="222222"/>
          <w:sz w:val="24"/>
          <w:szCs w:val="24"/>
          <w:shd w:val="clear" w:color="auto" w:fill="FFFFFF"/>
        </w:rPr>
        <w:t>Id.</w:t>
      </w:r>
      <w:r>
        <w:rPr>
          <w:rFonts w:ascii="Arial" w:hAnsi="Arial" w:cs="Arial"/>
          <w:color w:val="222222"/>
          <w:sz w:val="24"/>
          <w:szCs w:val="24"/>
          <w:shd w:val="clear" w:color="auto" w:fill="FFFFFF"/>
        </w:rPr>
        <w:t xml:space="preserve"> at 315.  Here, the record evidence shows that the Stipulation would permit DP&amp;L to recover through distribution rates costs components related to the provision of the competitive SSO.</w:t>
      </w:r>
      <w:r w:rsidR="009A6EC5">
        <w:rPr>
          <w:rFonts w:ascii="Arial" w:hAnsi="Arial" w:cs="Arial"/>
          <w:color w:val="222222"/>
          <w:sz w:val="24"/>
          <w:szCs w:val="24"/>
          <w:shd w:val="clear" w:color="auto" w:fill="FFFFFF"/>
        </w:rPr>
        <w:t xml:space="preserve">  Rather than requiring SSO service to “stand on its own”, the Stipulation would permit DP&amp;L to </w:t>
      </w:r>
      <w:r w:rsidR="004D41C5">
        <w:rPr>
          <w:rFonts w:ascii="Arial" w:hAnsi="Arial" w:cs="Arial"/>
          <w:color w:val="222222"/>
          <w:sz w:val="24"/>
          <w:szCs w:val="24"/>
          <w:shd w:val="clear" w:color="auto" w:fill="FFFFFF"/>
        </w:rPr>
        <w:t>bundl</w:t>
      </w:r>
      <w:r w:rsidR="00C038B5">
        <w:rPr>
          <w:rFonts w:ascii="Arial" w:hAnsi="Arial" w:cs="Arial"/>
          <w:color w:val="222222"/>
          <w:sz w:val="24"/>
          <w:szCs w:val="24"/>
          <w:shd w:val="clear" w:color="auto" w:fill="FFFFFF"/>
        </w:rPr>
        <w:t>e</w:t>
      </w:r>
      <w:r w:rsidR="004D41C5">
        <w:rPr>
          <w:rFonts w:ascii="Arial" w:hAnsi="Arial" w:cs="Arial"/>
          <w:color w:val="222222"/>
          <w:sz w:val="24"/>
          <w:szCs w:val="24"/>
          <w:shd w:val="clear" w:color="auto" w:fill="FFFFFF"/>
        </w:rPr>
        <w:t xml:space="preserve"> </w:t>
      </w:r>
      <w:r w:rsidR="009A6EC5">
        <w:rPr>
          <w:rFonts w:ascii="Arial" w:hAnsi="Arial" w:cs="Arial"/>
          <w:color w:val="222222"/>
          <w:sz w:val="24"/>
          <w:szCs w:val="24"/>
          <w:shd w:val="clear" w:color="auto" w:fill="FFFFFF"/>
        </w:rPr>
        <w:lastRenderedPageBreak/>
        <w:t>components of the SSO into distribution rates and therefore provide the SSO with an anticompeti</w:t>
      </w:r>
      <w:r w:rsidR="00097759">
        <w:rPr>
          <w:rFonts w:ascii="Arial" w:hAnsi="Arial" w:cs="Arial"/>
          <w:color w:val="222222"/>
          <w:sz w:val="24"/>
          <w:szCs w:val="24"/>
          <w:shd w:val="clear" w:color="auto" w:fill="FFFFFF"/>
        </w:rPr>
        <w:t>tive subsidy.  The subsidy is collected exclusively from shopping customers; therefore, it is discriminatory</w:t>
      </w:r>
      <w:r w:rsidR="009A6EC5">
        <w:rPr>
          <w:rFonts w:ascii="Arial" w:hAnsi="Arial" w:cs="Arial"/>
          <w:color w:val="222222"/>
          <w:sz w:val="24"/>
          <w:szCs w:val="24"/>
          <w:shd w:val="clear" w:color="auto" w:fill="FFFFFF"/>
        </w:rPr>
        <w:t xml:space="preserve">   T</w:t>
      </w:r>
      <w:r>
        <w:rPr>
          <w:rFonts w:ascii="Arial" w:hAnsi="Arial" w:cs="Arial"/>
          <w:color w:val="222222"/>
          <w:sz w:val="24"/>
          <w:szCs w:val="24"/>
          <w:shd w:val="clear" w:color="auto" w:fill="FFFFFF"/>
        </w:rPr>
        <w:t xml:space="preserve">he Stipulation proposes a result that violates Ohio law and Supreme Court precedent </w:t>
      </w:r>
      <w:r w:rsidR="009A6EC5">
        <w:rPr>
          <w:rFonts w:ascii="Arial" w:hAnsi="Arial" w:cs="Arial"/>
          <w:color w:val="222222"/>
          <w:sz w:val="24"/>
          <w:szCs w:val="24"/>
          <w:shd w:val="clear" w:color="auto" w:fill="FFFFFF"/>
        </w:rPr>
        <w:t>that requires unbundled rates.</w:t>
      </w:r>
    </w:p>
    <w:p w14:paraId="082F5F9D" w14:textId="56B21E65" w:rsidR="00800E26" w:rsidRDefault="00800E26" w:rsidP="000C28C4">
      <w:pPr>
        <w:pStyle w:val="ListParagraph"/>
        <w:numPr>
          <w:ilvl w:val="0"/>
          <w:numId w:val="7"/>
        </w:numPr>
        <w:spacing w:after="120" w:line="240" w:lineRule="auto"/>
        <w:ind w:left="1094" w:hanging="374"/>
        <w:jc w:val="both"/>
        <w:rPr>
          <w:rFonts w:ascii="Arial" w:hAnsi="Arial" w:cs="Arial"/>
          <w:b/>
          <w:sz w:val="24"/>
          <w:szCs w:val="24"/>
        </w:rPr>
      </w:pPr>
      <w:r>
        <w:rPr>
          <w:rFonts w:ascii="Arial" w:hAnsi="Arial" w:cs="Arial"/>
          <w:b/>
          <w:sz w:val="24"/>
          <w:szCs w:val="24"/>
        </w:rPr>
        <w:t xml:space="preserve">Customer Billing Determinants Should </w:t>
      </w:r>
      <w:r w:rsidR="000C28C4">
        <w:rPr>
          <w:rFonts w:ascii="Arial" w:hAnsi="Arial" w:cs="Arial"/>
          <w:b/>
          <w:sz w:val="24"/>
          <w:szCs w:val="24"/>
        </w:rPr>
        <w:t xml:space="preserve">be Assessed in a Manner that </w:t>
      </w:r>
      <w:r>
        <w:rPr>
          <w:rFonts w:ascii="Arial" w:hAnsi="Arial" w:cs="Arial"/>
          <w:b/>
          <w:sz w:val="24"/>
          <w:szCs w:val="24"/>
        </w:rPr>
        <w:t>Promote</w:t>
      </w:r>
      <w:r w:rsidR="000C28C4">
        <w:rPr>
          <w:rFonts w:ascii="Arial" w:hAnsi="Arial" w:cs="Arial"/>
          <w:b/>
          <w:sz w:val="24"/>
          <w:szCs w:val="24"/>
        </w:rPr>
        <w:t>s</w:t>
      </w:r>
      <w:r>
        <w:rPr>
          <w:rFonts w:ascii="Arial" w:hAnsi="Arial" w:cs="Arial"/>
          <w:b/>
          <w:sz w:val="24"/>
          <w:szCs w:val="24"/>
        </w:rPr>
        <w:t xml:space="preserve"> Distributed Generation</w:t>
      </w:r>
    </w:p>
    <w:p w14:paraId="1D05638D" w14:textId="44B652C9" w:rsidR="00800E26" w:rsidRDefault="00777363" w:rsidP="00AC7367">
      <w:pPr>
        <w:spacing w:after="120" w:line="480" w:lineRule="auto"/>
        <w:ind w:firstLine="720"/>
        <w:jc w:val="both"/>
        <w:rPr>
          <w:rFonts w:ascii="Arial" w:hAnsi="Arial" w:cs="Arial"/>
          <w:sz w:val="24"/>
          <w:szCs w:val="24"/>
        </w:rPr>
      </w:pPr>
      <w:r>
        <w:rPr>
          <w:rFonts w:ascii="Arial" w:hAnsi="Arial" w:cs="Arial"/>
          <w:sz w:val="24"/>
          <w:szCs w:val="24"/>
        </w:rPr>
        <w:t>The Stipulation proposes to increase customer charges and continue to utilize the non-coincident peak</w:t>
      </w:r>
      <w:r w:rsidR="002E09BA">
        <w:rPr>
          <w:rFonts w:ascii="Arial" w:hAnsi="Arial" w:cs="Arial"/>
          <w:sz w:val="24"/>
          <w:szCs w:val="24"/>
        </w:rPr>
        <w:t>-like method</w:t>
      </w:r>
      <w:r>
        <w:rPr>
          <w:rFonts w:ascii="Arial" w:hAnsi="Arial" w:cs="Arial"/>
          <w:sz w:val="24"/>
          <w:szCs w:val="24"/>
        </w:rPr>
        <w:t xml:space="preserve"> to establish a customer’s</w:t>
      </w:r>
      <w:r w:rsidR="00AC7367">
        <w:rPr>
          <w:rFonts w:ascii="Arial" w:hAnsi="Arial" w:cs="Arial"/>
          <w:sz w:val="24"/>
          <w:szCs w:val="24"/>
        </w:rPr>
        <w:t xml:space="preserve"> billing determinants.</w:t>
      </w:r>
      <w:r>
        <w:rPr>
          <w:rFonts w:ascii="Arial" w:hAnsi="Arial" w:cs="Arial"/>
          <w:sz w:val="24"/>
          <w:szCs w:val="24"/>
        </w:rPr>
        <w:t xml:space="preserve"> </w:t>
      </w:r>
      <w:r w:rsidR="00AC7367">
        <w:rPr>
          <w:rFonts w:ascii="Arial" w:hAnsi="Arial" w:cs="Arial"/>
          <w:sz w:val="24"/>
          <w:szCs w:val="24"/>
        </w:rPr>
        <w:t xml:space="preserve"> </w:t>
      </w:r>
      <w:r>
        <w:rPr>
          <w:rFonts w:ascii="Arial" w:hAnsi="Arial" w:cs="Arial"/>
          <w:sz w:val="24"/>
          <w:szCs w:val="24"/>
        </w:rPr>
        <w:t>It is the state policy to “[e]</w:t>
      </w:r>
      <w:r w:rsidRPr="00777363">
        <w:rPr>
          <w:rFonts w:ascii="Arial" w:hAnsi="Arial" w:cs="Arial"/>
          <w:sz w:val="24"/>
          <w:szCs w:val="24"/>
        </w:rPr>
        <w:t>ncourage implement</w:t>
      </w:r>
      <w:r>
        <w:rPr>
          <w:rFonts w:ascii="Arial" w:hAnsi="Arial" w:cs="Arial"/>
          <w:sz w:val="24"/>
          <w:szCs w:val="24"/>
        </w:rPr>
        <w:t>ation of distributed generation</w:t>
      </w:r>
      <w:r w:rsidR="00AC7367">
        <w:rPr>
          <w:rFonts w:ascii="Arial" w:hAnsi="Arial" w:cs="Arial"/>
          <w:sz w:val="24"/>
          <w:szCs w:val="24"/>
        </w:rPr>
        <w:t>.</w:t>
      </w:r>
      <w:r>
        <w:rPr>
          <w:rFonts w:ascii="Arial" w:hAnsi="Arial" w:cs="Arial"/>
          <w:sz w:val="24"/>
          <w:szCs w:val="24"/>
        </w:rPr>
        <w:t>”</w:t>
      </w:r>
      <w:r w:rsidR="00BE41D9">
        <w:rPr>
          <w:rStyle w:val="FootnoteReference"/>
          <w:rFonts w:ascii="Arial" w:hAnsi="Arial" w:cs="Arial"/>
          <w:sz w:val="24"/>
          <w:szCs w:val="24"/>
        </w:rPr>
        <w:footnoteReference w:id="112"/>
      </w:r>
      <w:r w:rsidR="00AC7367">
        <w:rPr>
          <w:rFonts w:ascii="Arial" w:hAnsi="Arial" w:cs="Arial"/>
          <w:sz w:val="24"/>
          <w:szCs w:val="24"/>
        </w:rPr>
        <w:t xml:space="preserve">  Both of the above provisions in the Stipulation would negatively impact customer’s that deploy distributed generation.</w:t>
      </w:r>
    </w:p>
    <w:p w14:paraId="59504A60" w14:textId="77777777" w:rsidR="00AC7367" w:rsidRPr="00E63424" w:rsidRDefault="00AC7367" w:rsidP="00AC7367">
      <w:pPr>
        <w:pStyle w:val="ListParagraph"/>
        <w:numPr>
          <w:ilvl w:val="0"/>
          <w:numId w:val="10"/>
        </w:numPr>
        <w:spacing w:after="120" w:line="480" w:lineRule="auto"/>
        <w:jc w:val="both"/>
        <w:rPr>
          <w:rFonts w:ascii="Arial" w:hAnsi="Arial" w:cs="Arial"/>
          <w:b/>
          <w:sz w:val="24"/>
          <w:szCs w:val="24"/>
        </w:rPr>
      </w:pPr>
      <w:r w:rsidRPr="00E63424">
        <w:rPr>
          <w:rFonts w:ascii="Arial" w:hAnsi="Arial" w:cs="Arial"/>
          <w:b/>
          <w:sz w:val="24"/>
          <w:szCs w:val="24"/>
        </w:rPr>
        <w:t xml:space="preserve"> The Customer Charge Increase</w:t>
      </w:r>
    </w:p>
    <w:p w14:paraId="712C3AAD" w14:textId="77777777" w:rsidR="00AC7367" w:rsidRPr="00E63424" w:rsidRDefault="00AC7367" w:rsidP="00AC7367">
      <w:pPr>
        <w:spacing w:after="120" w:line="480" w:lineRule="auto"/>
        <w:ind w:firstLine="720"/>
        <w:jc w:val="both"/>
        <w:rPr>
          <w:rFonts w:ascii="Arial" w:hAnsi="Arial" w:cs="Arial"/>
          <w:sz w:val="24"/>
          <w:szCs w:val="24"/>
        </w:rPr>
      </w:pPr>
      <w:r w:rsidRPr="00E63424">
        <w:rPr>
          <w:rFonts w:ascii="Arial" w:hAnsi="Arial" w:cs="Arial"/>
          <w:sz w:val="24"/>
          <w:szCs w:val="24"/>
        </w:rPr>
        <w:t>A customer charge is a fixed-unavoidable charge.  It erodes the value of net metering and fails to account for the benefits that distributed generation customers may provide to the grid.  Therefore, any increases to the customer charge negatively impact the economic value of deploying distributed generation resources.  Accordingly, the Commission should reject the increase to the customer charge and reallocate the revenue requirement to DP&amp;L’s volumetric rates.</w:t>
      </w:r>
    </w:p>
    <w:p w14:paraId="6A5FD0BC" w14:textId="77777777" w:rsidR="00AC7367" w:rsidRPr="00E63424" w:rsidRDefault="004F2437" w:rsidP="00AC7367">
      <w:pPr>
        <w:pStyle w:val="ListParagraph"/>
        <w:numPr>
          <w:ilvl w:val="0"/>
          <w:numId w:val="10"/>
        </w:numPr>
        <w:spacing w:after="120" w:line="480" w:lineRule="auto"/>
        <w:jc w:val="both"/>
        <w:rPr>
          <w:rFonts w:ascii="Arial" w:hAnsi="Arial" w:cs="Arial"/>
          <w:b/>
          <w:sz w:val="24"/>
          <w:szCs w:val="24"/>
        </w:rPr>
      </w:pPr>
      <w:r w:rsidRPr="00E63424">
        <w:rPr>
          <w:rFonts w:ascii="Arial" w:hAnsi="Arial" w:cs="Arial"/>
          <w:b/>
          <w:sz w:val="24"/>
          <w:szCs w:val="24"/>
        </w:rPr>
        <w:t>The Demand Charge Calculation</w:t>
      </w:r>
    </w:p>
    <w:p w14:paraId="52C95758" w14:textId="62D89CA9" w:rsidR="002E09BA" w:rsidRPr="00E63424" w:rsidRDefault="00800E26" w:rsidP="00500F07">
      <w:pPr>
        <w:spacing w:after="0" w:line="480" w:lineRule="auto"/>
        <w:ind w:firstLine="720"/>
        <w:jc w:val="both"/>
        <w:rPr>
          <w:rFonts w:ascii="Arial" w:hAnsi="Arial" w:cs="Arial"/>
          <w:sz w:val="24"/>
          <w:szCs w:val="24"/>
        </w:rPr>
      </w:pPr>
      <w:r w:rsidRPr="00E63424">
        <w:rPr>
          <w:rFonts w:ascii="Arial" w:hAnsi="Arial" w:cs="Arial"/>
          <w:sz w:val="24"/>
          <w:szCs w:val="24"/>
        </w:rPr>
        <w:t>The Stipulation</w:t>
      </w:r>
      <w:r w:rsidR="004F2437" w:rsidRPr="00E63424">
        <w:rPr>
          <w:rFonts w:ascii="Arial" w:hAnsi="Arial" w:cs="Arial"/>
          <w:sz w:val="24"/>
          <w:szCs w:val="24"/>
        </w:rPr>
        <w:t xml:space="preserve"> accepts DP&amp;L’s proposed methodology for assigning a customer’s billing determinants.</w:t>
      </w:r>
      <w:r w:rsidR="002E09BA" w:rsidRPr="00E63424">
        <w:rPr>
          <w:rFonts w:ascii="Arial" w:hAnsi="Arial" w:cs="Arial"/>
          <w:sz w:val="24"/>
          <w:szCs w:val="24"/>
        </w:rPr>
        <w:t xml:space="preserve">  That methodology focuses on a customer’s peak demand, </w:t>
      </w:r>
      <w:r w:rsidR="002E09BA" w:rsidRPr="00E63424">
        <w:rPr>
          <w:rFonts w:ascii="Arial" w:hAnsi="Arial" w:cs="Arial"/>
          <w:sz w:val="24"/>
          <w:szCs w:val="24"/>
        </w:rPr>
        <w:lastRenderedPageBreak/>
        <w:t>regardless of the hour in which the usage occurs.</w:t>
      </w:r>
      <w:r w:rsidR="00BE41D9">
        <w:rPr>
          <w:rStyle w:val="FootnoteReference"/>
          <w:rFonts w:ascii="Arial" w:hAnsi="Arial" w:cs="Arial"/>
          <w:sz w:val="24"/>
          <w:szCs w:val="24"/>
        </w:rPr>
        <w:footnoteReference w:id="113"/>
      </w:r>
      <w:r w:rsidR="00DD7503" w:rsidRPr="00E63424">
        <w:rPr>
          <w:rFonts w:ascii="Arial" w:hAnsi="Arial" w:cs="Arial"/>
          <w:sz w:val="24"/>
          <w:szCs w:val="24"/>
        </w:rPr>
        <w:t xml:space="preserve"> </w:t>
      </w:r>
      <w:r w:rsidR="00BE41D9">
        <w:rPr>
          <w:rFonts w:ascii="Arial" w:hAnsi="Arial" w:cs="Arial"/>
          <w:sz w:val="24"/>
          <w:szCs w:val="24"/>
        </w:rPr>
        <w:t>While t</w:t>
      </w:r>
      <w:r w:rsidR="00BE41D9" w:rsidRPr="00BE41D9">
        <w:rPr>
          <w:rFonts w:ascii="Arial" w:hAnsi="Arial" w:cs="Arial"/>
          <w:sz w:val="24"/>
          <w:szCs w:val="24"/>
        </w:rPr>
        <w:t>he Staff concedes tha</w:t>
      </w:r>
      <w:r w:rsidR="00BE41D9">
        <w:rPr>
          <w:rFonts w:ascii="Arial" w:hAnsi="Arial" w:cs="Arial"/>
          <w:sz w:val="24"/>
          <w:szCs w:val="24"/>
        </w:rPr>
        <w:t>t one of the goals of distribution ratemaking is to send an efficient price signal,</w:t>
      </w:r>
      <w:r w:rsidR="00BE41D9">
        <w:rPr>
          <w:rStyle w:val="FootnoteReference"/>
          <w:rFonts w:ascii="Arial" w:hAnsi="Arial" w:cs="Arial"/>
          <w:sz w:val="24"/>
          <w:szCs w:val="24"/>
        </w:rPr>
        <w:footnoteReference w:id="114"/>
      </w:r>
      <w:r w:rsidR="00DD7503" w:rsidRPr="00E63424">
        <w:rPr>
          <w:rFonts w:ascii="Arial" w:hAnsi="Arial" w:cs="Arial"/>
          <w:sz w:val="24"/>
          <w:szCs w:val="24"/>
        </w:rPr>
        <w:t xml:space="preserve"> DP&amp;L’s proposed process fails to</w:t>
      </w:r>
      <w:r w:rsidR="00BE41D9">
        <w:rPr>
          <w:rFonts w:ascii="Arial" w:hAnsi="Arial" w:cs="Arial"/>
          <w:sz w:val="24"/>
          <w:szCs w:val="24"/>
        </w:rPr>
        <w:t xml:space="preserve"> do so.  The proposed demand calculation will not incentivize</w:t>
      </w:r>
      <w:r w:rsidR="00DD7503" w:rsidRPr="00E63424">
        <w:rPr>
          <w:rFonts w:ascii="Arial" w:hAnsi="Arial" w:cs="Arial"/>
          <w:sz w:val="24"/>
          <w:szCs w:val="24"/>
        </w:rPr>
        <w:t xml:space="preserve"> customers to reduce their </w:t>
      </w:r>
      <w:r w:rsidR="00BE41D9">
        <w:rPr>
          <w:rFonts w:ascii="Arial" w:hAnsi="Arial" w:cs="Arial"/>
          <w:sz w:val="24"/>
          <w:szCs w:val="24"/>
        </w:rPr>
        <w:t xml:space="preserve">usage in times of system stress or otherwise behave in such a way to </w:t>
      </w:r>
      <w:r w:rsidR="00DD7503" w:rsidRPr="00E63424">
        <w:rPr>
          <w:rFonts w:ascii="Arial" w:hAnsi="Arial" w:cs="Arial"/>
          <w:sz w:val="24"/>
          <w:szCs w:val="24"/>
        </w:rPr>
        <w:t>reduce the need construct additional distribution lines in the long-term.</w:t>
      </w:r>
      <w:r w:rsidR="00BE41D9">
        <w:rPr>
          <w:rFonts w:ascii="Arial" w:hAnsi="Arial" w:cs="Arial"/>
          <w:sz w:val="24"/>
          <w:szCs w:val="24"/>
        </w:rPr>
        <w:t xml:space="preserve">  </w:t>
      </w:r>
    </w:p>
    <w:p w14:paraId="05DD2189" w14:textId="73A95FA9" w:rsidR="00500F07" w:rsidRPr="00E63424" w:rsidRDefault="00800E26" w:rsidP="00500F07">
      <w:pPr>
        <w:spacing w:after="0" w:line="480" w:lineRule="auto"/>
        <w:ind w:firstLine="720"/>
        <w:jc w:val="both"/>
        <w:rPr>
          <w:rFonts w:ascii="Arial" w:hAnsi="Arial" w:cs="Arial"/>
          <w:sz w:val="24"/>
          <w:szCs w:val="24"/>
        </w:rPr>
      </w:pPr>
      <w:r w:rsidRPr="00E63424">
        <w:rPr>
          <w:rFonts w:ascii="Arial" w:hAnsi="Arial" w:cs="Arial"/>
          <w:sz w:val="24"/>
          <w:szCs w:val="24"/>
        </w:rPr>
        <w:t xml:space="preserve"> </w:t>
      </w:r>
      <w:r w:rsidR="00500F07" w:rsidRPr="00E63424">
        <w:rPr>
          <w:rFonts w:ascii="Arial" w:hAnsi="Arial" w:cs="Arial"/>
          <w:sz w:val="24"/>
          <w:szCs w:val="24"/>
        </w:rPr>
        <w:t xml:space="preserve">A </w:t>
      </w:r>
      <w:r w:rsidR="00AC7367" w:rsidRPr="00E63424">
        <w:rPr>
          <w:rFonts w:ascii="Arial" w:hAnsi="Arial" w:cs="Arial"/>
          <w:sz w:val="24"/>
          <w:szCs w:val="24"/>
        </w:rPr>
        <w:t>more localized measurement of cu</w:t>
      </w:r>
      <w:r w:rsidR="00500F07" w:rsidRPr="00E63424">
        <w:rPr>
          <w:rFonts w:ascii="Arial" w:hAnsi="Arial" w:cs="Arial"/>
          <w:sz w:val="24"/>
          <w:szCs w:val="24"/>
        </w:rPr>
        <w:t>stomer usage at times when the local distribution system is operating near capacity or at a localized peak on the distribution circuit is a better reflection of the customer’s contribution to the cost of the distribution system.  The manner in which the Staff Report proposes to calculate demand charges may discourage customers from deploying distributed energy resources that shift customer peak demand away from hours when the localized distr</w:t>
      </w:r>
      <w:r w:rsidR="00BE41D9">
        <w:rPr>
          <w:rFonts w:ascii="Arial" w:hAnsi="Arial" w:cs="Arial"/>
          <w:sz w:val="24"/>
          <w:szCs w:val="24"/>
        </w:rPr>
        <w:t>ibution system is under stress.  This result is inconsistent with State policy and the Commission’s intent in Power Forward.</w:t>
      </w:r>
    </w:p>
    <w:p w14:paraId="3BD98A64" w14:textId="61A5A486" w:rsidR="00500F07" w:rsidRPr="00E63424" w:rsidRDefault="00500F07" w:rsidP="00500F07">
      <w:pPr>
        <w:autoSpaceDE w:val="0"/>
        <w:autoSpaceDN w:val="0"/>
        <w:adjustRightInd w:val="0"/>
        <w:spacing w:after="120" w:line="480" w:lineRule="auto"/>
        <w:ind w:firstLine="720"/>
        <w:jc w:val="both"/>
        <w:rPr>
          <w:rFonts w:ascii="Arial" w:hAnsi="Arial" w:cs="Arial"/>
          <w:sz w:val="24"/>
          <w:szCs w:val="24"/>
        </w:rPr>
      </w:pPr>
      <w:r w:rsidRPr="00E63424">
        <w:rPr>
          <w:rFonts w:ascii="Arial" w:hAnsi="Arial" w:cs="Arial"/>
          <w:sz w:val="24"/>
          <w:szCs w:val="24"/>
        </w:rPr>
        <w:t>To that end, IGS recommended that DP&amp;L calculate a customer’s demand based upon their usage at the time of the peak on that customer’s localized distribution circuit or feeder.</w:t>
      </w:r>
      <w:r w:rsidR="00BE41D9">
        <w:rPr>
          <w:rFonts w:ascii="Arial" w:hAnsi="Arial" w:cs="Arial"/>
          <w:sz w:val="24"/>
          <w:szCs w:val="24"/>
        </w:rPr>
        <w:t xml:space="preserve">  At a minimum, DP&amp;L should be directed to make available a pilot tariff through which a customer with distributed generation may have their billing determinants assessed based upon their usage during the peak on their localized distribution circuit.</w:t>
      </w:r>
      <w:r w:rsidRPr="00E63424">
        <w:rPr>
          <w:rFonts w:ascii="Arial" w:hAnsi="Arial" w:cs="Arial"/>
          <w:sz w:val="24"/>
          <w:szCs w:val="24"/>
        </w:rPr>
        <w:t xml:space="preserve">  This will ensure that distribution rates are more closely aligned with principles of cost causation.</w:t>
      </w:r>
    </w:p>
    <w:p w14:paraId="4979E11E" w14:textId="53CB42AA" w:rsidR="00DD7503" w:rsidRPr="00E63424" w:rsidRDefault="0079213B" w:rsidP="0079213B">
      <w:pPr>
        <w:pStyle w:val="ListParagraph"/>
        <w:numPr>
          <w:ilvl w:val="0"/>
          <w:numId w:val="7"/>
        </w:numPr>
        <w:autoSpaceDE w:val="0"/>
        <w:autoSpaceDN w:val="0"/>
        <w:adjustRightInd w:val="0"/>
        <w:spacing w:after="120" w:line="240" w:lineRule="auto"/>
        <w:ind w:left="1094" w:hanging="374"/>
        <w:jc w:val="both"/>
        <w:rPr>
          <w:rFonts w:ascii="Arial" w:hAnsi="Arial" w:cs="Arial"/>
          <w:b/>
          <w:sz w:val="24"/>
          <w:szCs w:val="24"/>
        </w:rPr>
      </w:pPr>
      <w:r>
        <w:rPr>
          <w:rFonts w:ascii="Arial" w:hAnsi="Arial" w:cs="Arial"/>
          <w:b/>
          <w:sz w:val="24"/>
          <w:szCs w:val="24"/>
        </w:rPr>
        <w:t xml:space="preserve">DP&amp;L’s Credit and Collateral Practices are Discriminatory and Violate its Own Tariff </w:t>
      </w:r>
    </w:p>
    <w:p w14:paraId="51974244" w14:textId="1B1C644D" w:rsidR="00DD7503" w:rsidRPr="00E63424" w:rsidRDefault="00761984" w:rsidP="00761984">
      <w:pPr>
        <w:autoSpaceDE w:val="0"/>
        <w:autoSpaceDN w:val="0"/>
        <w:adjustRightInd w:val="0"/>
        <w:spacing w:after="120" w:line="480" w:lineRule="auto"/>
        <w:ind w:firstLine="720"/>
        <w:jc w:val="both"/>
        <w:rPr>
          <w:rFonts w:ascii="Arial" w:hAnsi="Arial" w:cs="Arial"/>
          <w:sz w:val="24"/>
          <w:szCs w:val="24"/>
        </w:rPr>
      </w:pPr>
      <w:r w:rsidRPr="00E63424">
        <w:rPr>
          <w:rFonts w:ascii="Arial" w:hAnsi="Arial" w:cs="Arial"/>
          <w:sz w:val="24"/>
          <w:szCs w:val="24"/>
        </w:rPr>
        <w:lastRenderedPageBreak/>
        <w:t>While DP&amp;L did not propose any changes to its Supplier Tariff in the Application, the Amended Stipulation preserved the right of RESA and IGS to propose additional changes in this proceeding: “IGS and RESA are not prohibited from advocating for unbundling or changes to SSO rate or supplier tariffs in that proceeding or any other distribution rate case.”</w:t>
      </w:r>
      <w:r w:rsidRPr="00E63424">
        <w:rPr>
          <w:rStyle w:val="FootnoteReference"/>
          <w:rFonts w:ascii="Arial" w:hAnsi="Arial" w:cs="Arial"/>
          <w:sz w:val="24"/>
          <w:szCs w:val="24"/>
        </w:rPr>
        <w:footnoteReference w:id="115"/>
      </w:r>
      <w:r w:rsidRPr="00E63424">
        <w:rPr>
          <w:rFonts w:ascii="Arial" w:hAnsi="Arial" w:cs="Arial"/>
          <w:sz w:val="24"/>
          <w:szCs w:val="24"/>
        </w:rPr>
        <w:t xml:space="preserve">  As Mr. Crist testified, DP&amp;L has recently started applying its tariff in a manner that discriminates against privately held companies, therefore additional changes and directives from the Commission are necessary.</w:t>
      </w:r>
      <w:r w:rsidR="000D0753">
        <w:rPr>
          <w:rFonts w:ascii="Arial" w:hAnsi="Arial" w:cs="Arial"/>
          <w:sz w:val="24"/>
          <w:szCs w:val="24"/>
        </w:rPr>
        <w:t xml:space="preserve"> </w:t>
      </w:r>
      <w:r w:rsidRPr="00E63424">
        <w:rPr>
          <w:rFonts w:ascii="Arial" w:hAnsi="Arial" w:cs="Arial"/>
          <w:sz w:val="24"/>
          <w:szCs w:val="24"/>
        </w:rPr>
        <w:t xml:space="preserve"> </w:t>
      </w:r>
    </w:p>
    <w:p w14:paraId="3726F971" w14:textId="77777777" w:rsidR="00AA37BF" w:rsidRPr="00E63424" w:rsidRDefault="00AA37BF" w:rsidP="00761984">
      <w:pPr>
        <w:autoSpaceDE w:val="0"/>
        <w:autoSpaceDN w:val="0"/>
        <w:adjustRightInd w:val="0"/>
        <w:spacing w:after="120" w:line="480" w:lineRule="auto"/>
        <w:ind w:firstLine="720"/>
        <w:jc w:val="both"/>
        <w:rPr>
          <w:rFonts w:ascii="Arial" w:hAnsi="Arial" w:cs="Arial"/>
          <w:sz w:val="24"/>
          <w:szCs w:val="24"/>
        </w:rPr>
      </w:pPr>
      <w:r w:rsidRPr="00E63424">
        <w:rPr>
          <w:rFonts w:ascii="Arial" w:hAnsi="Arial" w:cs="Arial"/>
          <w:sz w:val="24"/>
          <w:szCs w:val="24"/>
        </w:rPr>
        <w:t>Companies without the bond rating specified in DP&amp;L’s tariff must make alternative credit arrangements with DP&amp;L.  In furtherance of such alternative credit arrangements the Commission should order DP&amp;L to follow its tariff and order additional changes to the tariff to ensure that DP&amp;L’s credit requirements are just, reasonable, and not discriminatory against privately held companies.</w:t>
      </w:r>
    </w:p>
    <w:p w14:paraId="39C683FF" w14:textId="73E44611" w:rsidR="00E63424" w:rsidRPr="00E63424" w:rsidRDefault="00AA37BF" w:rsidP="00E63424">
      <w:pPr>
        <w:autoSpaceDE w:val="0"/>
        <w:autoSpaceDN w:val="0"/>
        <w:adjustRightInd w:val="0"/>
        <w:spacing w:after="120" w:line="480" w:lineRule="auto"/>
        <w:ind w:firstLine="720"/>
        <w:jc w:val="both"/>
        <w:rPr>
          <w:rFonts w:ascii="Arial" w:hAnsi="Arial" w:cs="Arial"/>
          <w:sz w:val="24"/>
          <w:szCs w:val="24"/>
        </w:rPr>
      </w:pPr>
      <w:r w:rsidRPr="00E63424">
        <w:rPr>
          <w:rFonts w:ascii="Arial" w:hAnsi="Arial" w:cs="Arial"/>
          <w:sz w:val="24"/>
          <w:szCs w:val="24"/>
        </w:rPr>
        <w:t>First, DP&amp;L should be directed to follow the portion of its tariffs that requires that “[t]he amount of the security required must be and remain commensurate with the financial risks placed on the Company by that supplier, including recognition of that supplier’s performance.”</w:t>
      </w:r>
      <w:r w:rsidR="000D0753">
        <w:rPr>
          <w:rStyle w:val="FootnoteReference"/>
          <w:rFonts w:ascii="Arial" w:hAnsi="Arial" w:cs="Arial"/>
          <w:sz w:val="24"/>
          <w:szCs w:val="24"/>
        </w:rPr>
        <w:footnoteReference w:id="116"/>
      </w:r>
      <w:r w:rsidRPr="00E63424">
        <w:rPr>
          <w:rFonts w:ascii="Arial" w:hAnsi="Arial" w:cs="Arial"/>
          <w:sz w:val="24"/>
          <w:szCs w:val="24"/>
        </w:rPr>
        <w:t xml:space="preserve">  DP&amp;L’s practice is to ignore this section</w:t>
      </w:r>
      <w:r w:rsidR="00BE5E2B">
        <w:rPr>
          <w:rFonts w:ascii="Arial" w:hAnsi="Arial" w:cs="Arial"/>
          <w:sz w:val="24"/>
          <w:szCs w:val="24"/>
        </w:rPr>
        <w:t xml:space="preserve"> in</w:t>
      </w:r>
      <w:r w:rsidRPr="00E63424">
        <w:rPr>
          <w:rFonts w:ascii="Arial" w:hAnsi="Arial" w:cs="Arial"/>
          <w:sz w:val="24"/>
          <w:szCs w:val="24"/>
        </w:rPr>
        <w:t xml:space="preserve"> its tariff in its entirety—DP&amp;L gives no weight to the strength of a CRES providers balance sheet, business diversity, capital structure, or past performance.</w:t>
      </w:r>
      <w:r w:rsidR="000D0753">
        <w:rPr>
          <w:rFonts w:ascii="Arial" w:hAnsi="Arial" w:cs="Arial"/>
          <w:sz w:val="24"/>
          <w:szCs w:val="24"/>
        </w:rPr>
        <w:t xml:space="preserve">  DP&amp;L is applying its tariff in an unlawful and unreasonable fashion, discriminating against one CRES provider in the market in violation of R.C. 4905.34 and R.C. 4905.26.</w:t>
      </w:r>
    </w:p>
    <w:p w14:paraId="213E33A5" w14:textId="282F7740" w:rsidR="00E63424" w:rsidRPr="00E63424" w:rsidRDefault="00E63424" w:rsidP="00E63424">
      <w:pPr>
        <w:autoSpaceDE w:val="0"/>
        <w:autoSpaceDN w:val="0"/>
        <w:adjustRightInd w:val="0"/>
        <w:spacing w:after="120" w:line="480" w:lineRule="auto"/>
        <w:ind w:firstLine="720"/>
        <w:jc w:val="both"/>
        <w:rPr>
          <w:rFonts w:ascii="Arial" w:hAnsi="Arial" w:cs="Arial"/>
          <w:sz w:val="24"/>
          <w:szCs w:val="24"/>
        </w:rPr>
      </w:pPr>
      <w:r w:rsidRPr="00E63424">
        <w:rPr>
          <w:rFonts w:ascii="Arial" w:hAnsi="Arial" w:cs="Arial"/>
          <w:sz w:val="24"/>
          <w:szCs w:val="24"/>
        </w:rPr>
        <w:lastRenderedPageBreak/>
        <w:t>Second, DP&amp;L should be directed to modify its tariff to be more in line with other electric distribution utilities.  To that end, DP&amp;L should be directed to put in place either a standard collateral amount (such as FirstEnergy) or a calculation based on energy only based upon 15 days’ exposure (like Ohio Power Company).</w:t>
      </w:r>
      <w:r w:rsidR="000D0753">
        <w:rPr>
          <w:rStyle w:val="FootnoteReference"/>
          <w:rFonts w:ascii="Arial" w:hAnsi="Arial" w:cs="Arial"/>
          <w:sz w:val="24"/>
          <w:szCs w:val="24"/>
        </w:rPr>
        <w:footnoteReference w:id="117"/>
      </w:r>
      <w:r w:rsidRPr="00E63424">
        <w:rPr>
          <w:rFonts w:ascii="Arial" w:hAnsi="Arial" w:cs="Arial"/>
          <w:sz w:val="24"/>
          <w:szCs w:val="24"/>
        </w:rPr>
        <w:t xml:space="preserve"> </w:t>
      </w:r>
    </w:p>
    <w:p w14:paraId="02BCFC50" w14:textId="77777777" w:rsidR="00AA37BF" w:rsidRPr="00E63424" w:rsidRDefault="00E63424" w:rsidP="00E63424">
      <w:pPr>
        <w:autoSpaceDE w:val="0"/>
        <w:autoSpaceDN w:val="0"/>
        <w:adjustRightInd w:val="0"/>
        <w:spacing w:after="120" w:line="480" w:lineRule="auto"/>
        <w:ind w:firstLine="720"/>
        <w:jc w:val="both"/>
        <w:rPr>
          <w:rFonts w:ascii="Arial" w:hAnsi="Arial" w:cs="Arial"/>
          <w:sz w:val="24"/>
          <w:szCs w:val="24"/>
        </w:rPr>
      </w:pPr>
      <w:r w:rsidRPr="00E63424">
        <w:rPr>
          <w:rFonts w:ascii="Arial" w:hAnsi="Arial" w:cs="Arial"/>
          <w:sz w:val="24"/>
          <w:szCs w:val="24"/>
        </w:rPr>
        <w:t>Third, DP&amp;L should be required to submit any bond form modifications for Commission review and approval.  Such a process would eliminate DP&amp;L’s ability to unilaterally modify the bond form without due process.</w:t>
      </w:r>
    </w:p>
    <w:p w14:paraId="5982921E" w14:textId="39E4C5AC" w:rsidR="00E217B5" w:rsidRDefault="00E63424" w:rsidP="00E63424">
      <w:pPr>
        <w:pStyle w:val="ListParagraph"/>
        <w:numPr>
          <w:ilvl w:val="0"/>
          <w:numId w:val="1"/>
        </w:numPr>
        <w:rPr>
          <w:rFonts w:ascii="Arial" w:hAnsi="Arial" w:cs="Arial"/>
          <w:b/>
          <w:sz w:val="24"/>
          <w:szCs w:val="24"/>
        </w:rPr>
      </w:pPr>
      <w:r w:rsidRPr="00E63424">
        <w:rPr>
          <w:rFonts w:ascii="Arial" w:hAnsi="Arial" w:cs="Arial"/>
          <w:b/>
          <w:sz w:val="24"/>
          <w:szCs w:val="24"/>
        </w:rPr>
        <w:t>CONCLUSION</w:t>
      </w:r>
    </w:p>
    <w:p w14:paraId="1880311A" w14:textId="536F7D2B" w:rsidR="004A0C52" w:rsidRDefault="004A0C52" w:rsidP="004A0C52">
      <w:pPr>
        <w:spacing w:line="480" w:lineRule="auto"/>
        <w:ind w:firstLine="720"/>
        <w:jc w:val="both"/>
        <w:rPr>
          <w:rFonts w:ascii="Arial" w:hAnsi="Arial" w:cs="Arial"/>
          <w:sz w:val="24"/>
          <w:szCs w:val="24"/>
        </w:rPr>
      </w:pPr>
      <w:r>
        <w:rPr>
          <w:rFonts w:ascii="Arial" w:hAnsi="Arial" w:cs="Arial"/>
          <w:sz w:val="24"/>
          <w:szCs w:val="24"/>
        </w:rPr>
        <w:t xml:space="preserve">For the reasons stated herein, IGS urges the Commission to modify the Stipulation.  It is unjust, unreasonable, discriminatory on multiple fronts, contrary to the public interest, and would violate Ohio law.  The Commission should modify to the Stipulation and ensure that customers are not penalized for exercising their right to shop.  Further, the Commission should modify DP&amp;L’s backward rate design proposal and adopt a forward-thinking approach that promotes the development of distributed generation.  </w:t>
      </w:r>
    </w:p>
    <w:p w14:paraId="38FD0EB9" w14:textId="79FDF4C2" w:rsidR="005C0566" w:rsidRDefault="005C0566" w:rsidP="005C0566">
      <w:pPr>
        <w:spacing w:after="0" w:line="240" w:lineRule="auto"/>
        <w:ind w:left="5040"/>
        <w:rPr>
          <w:rFonts w:ascii="Arial" w:hAnsi="Arial" w:cs="Arial"/>
          <w:sz w:val="24"/>
          <w:szCs w:val="24"/>
        </w:rPr>
      </w:pPr>
      <w:r>
        <w:rPr>
          <w:rFonts w:ascii="Arial" w:hAnsi="Arial" w:cs="Arial"/>
          <w:sz w:val="24"/>
          <w:szCs w:val="24"/>
        </w:rPr>
        <w:t>Respectfully submitted,</w:t>
      </w:r>
    </w:p>
    <w:p w14:paraId="1EA3BF00" w14:textId="1EAAB0DE" w:rsidR="005C0566" w:rsidRDefault="005C0566" w:rsidP="005C0566">
      <w:pPr>
        <w:spacing w:after="0" w:line="240" w:lineRule="auto"/>
        <w:ind w:left="5040"/>
        <w:rPr>
          <w:rFonts w:ascii="Arial" w:hAnsi="Arial" w:cs="Arial"/>
          <w:sz w:val="24"/>
          <w:szCs w:val="24"/>
        </w:rPr>
      </w:pPr>
    </w:p>
    <w:p w14:paraId="15500A12" w14:textId="327041E8" w:rsidR="005C0566" w:rsidRPr="005C0566" w:rsidRDefault="005C0566" w:rsidP="005C0566">
      <w:pPr>
        <w:spacing w:after="0" w:line="240" w:lineRule="auto"/>
        <w:ind w:left="5040"/>
        <w:rPr>
          <w:rFonts w:ascii="Arial" w:hAnsi="Arial" w:cs="Arial"/>
          <w:sz w:val="24"/>
          <w:szCs w:val="24"/>
          <w:u w:val="single"/>
        </w:rPr>
      </w:pPr>
      <w:r>
        <w:rPr>
          <w:rFonts w:ascii="Arial" w:hAnsi="Arial" w:cs="Arial"/>
          <w:sz w:val="24"/>
          <w:szCs w:val="24"/>
          <w:u w:val="single"/>
        </w:rPr>
        <w:t>/s/Joseph Oliker</w:t>
      </w:r>
    </w:p>
    <w:p w14:paraId="65C2F42E" w14:textId="22192069" w:rsidR="005C0566" w:rsidRDefault="005C0566" w:rsidP="005C0566">
      <w:pPr>
        <w:spacing w:after="0" w:line="240" w:lineRule="auto"/>
        <w:ind w:left="5040"/>
        <w:rPr>
          <w:rFonts w:ascii="Arial" w:hAnsi="Arial" w:cs="Arial"/>
          <w:sz w:val="24"/>
          <w:szCs w:val="24"/>
        </w:rPr>
      </w:pPr>
      <w:r w:rsidRPr="00C51B26">
        <w:rPr>
          <w:rFonts w:ascii="Arial" w:hAnsi="Arial" w:cs="Arial"/>
          <w:sz w:val="24"/>
          <w:szCs w:val="24"/>
        </w:rPr>
        <w:t>Joseph Oliker (0086088)</w:t>
      </w:r>
    </w:p>
    <w:p w14:paraId="031E7F07" w14:textId="77777777" w:rsidR="005C0566" w:rsidRPr="00C51B26" w:rsidRDefault="005C0566" w:rsidP="005C0566">
      <w:pPr>
        <w:spacing w:after="0" w:line="240" w:lineRule="auto"/>
        <w:ind w:left="5040"/>
        <w:rPr>
          <w:rFonts w:ascii="Arial" w:hAnsi="Arial" w:cs="Arial"/>
          <w:sz w:val="24"/>
          <w:szCs w:val="24"/>
        </w:rPr>
      </w:pPr>
      <w:r>
        <w:rPr>
          <w:rFonts w:ascii="Arial" w:hAnsi="Arial" w:cs="Arial"/>
          <w:sz w:val="24"/>
          <w:szCs w:val="24"/>
        </w:rPr>
        <w:t xml:space="preserve">Counsel of Record </w:t>
      </w:r>
    </w:p>
    <w:p w14:paraId="43FBDBC0" w14:textId="77777777" w:rsidR="005C0566" w:rsidRPr="00C51B26" w:rsidRDefault="005C0566" w:rsidP="005C0566">
      <w:pPr>
        <w:spacing w:after="0" w:line="240" w:lineRule="auto"/>
        <w:ind w:left="5040"/>
        <w:rPr>
          <w:rStyle w:val="Hyperlink"/>
          <w:rFonts w:ascii="Arial" w:hAnsi="Arial" w:cs="Arial"/>
          <w:sz w:val="24"/>
          <w:szCs w:val="24"/>
        </w:rPr>
      </w:pPr>
      <w:r w:rsidRPr="00C51B26">
        <w:rPr>
          <w:rFonts w:ascii="Arial" w:hAnsi="Arial" w:cs="Arial"/>
          <w:sz w:val="24"/>
          <w:szCs w:val="24"/>
        </w:rPr>
        <w:t xml:space="preserve">Email: </w:t>
      </w:r>
      <w:hyperlink r:id="rId13" w:history="1">
        <w:r w:rsidRPr="00C51B26">
          <w:rPr>
            <w:rStyle w:val="Hyperlink"/>
            <w:rFonts w:ascii="Arial" w:hAnsi="Arial" w:cs="Arial"/>
            <w:sz w:val="24"/>
            <w:szCs w:val="24"/>
          </w:rPr>
          <w:t>joliker@igsenergy.com</w:t>
        </w:r>
      </w:hyperlink>
    </w:p>
    <w:p w14:paraId="302A3509" w14:textId="77777777" w:rsidR="005C0566" w:rsidRPr="00C51B26" w:rsidRDefault="005C0566" w:rsidP="005C0566">
      <w:pPr>
        <w:spacing w:after="0" w:line="240" w:lineRule="auto"/>
        <w:ind w:left="5040"/>
        <w:rPr>
          <w:rFonts w:ascii="Arial" w:hAnsi="Arial" w:cs="Arial"/>
          <w:sz w:val="24"/>
          <w:szCs w:val="24"/>
        </w:rPr>
      </w:pPr>
      <w:r w:rsidRPr="00C51B26">
        <w:rPr>
          <w:rFonts w:ascii="Arial" w:hAnsi="Arial" w:cs="Arial"/>
          <w:sz w:val="24"/>
          <w:szCs w:val="24"/>
        </w:rPr>
        <w:t>IGS Energy</w:t>
      </w:r>
    </w:p>
    <w:p w14:paraId="5E417468" w14:textId="77777777" w:rsidR="005C0566" w:rsidRPr="00C51B26" w:rsidRDefault="005C0566" w:rsidP="005C0566">
      <w:pPr>
        <w:spacing w:after="0" w:line="240" w:lineRule="auto"/>
        <w:ind w:left="5040"/>
        <w:rPr>
          <w:rFonts w:ascii="Arial" w:hAnsi="Arial" w:cs="Arial"/>
          <w:sz w:val="24"/>
          <w:szCs w:val="24"/>
        </w:rPr>
      </w:pPr>
      <w:r w:rsidRPr="00C51B26">
        <w:rPr>
          <w:rFonts w:ascii="Arial" w:hAnsi="Arial" w:cs="Arial"/>
          <w:sz w:val="24"/>
          <w:szCs w:val="24"/>
        </w:rPr>
        <w:t>6100 Emerald Parkway</w:t>
      </w:r>
    </w:p>
    <w:p w14:paraId="101BA754" w14:textId="77777777" w:rsidR="005C0566" w:rsidRPr="00C51B26" w:rsidRDefault="005C0566" w:rsidP="005C0566">
      <w:pPr>
        <w:spacing w:after="0" w:line="240" w:lineRule="auto"/>
        <w:ind w:left="5040"/>
        <w:rPr>
          <w:rFonts w:ascii="Arial" w:hAnsi="Arial" w:cs="Arial"/>
          <w:sz w:val="24"/>
          <w:szCs w:val="24"/>
        </w:rPr>
      </w:pPr>
      <w:r w:rsidRPr="00C51B26">
        <w:rPr>
          <w:rFonts w:ascii="Arial" w:hAnsi="Arial" w:cs="Arial"/>
          <w:sz w:val="24"/>
          <w:szCs w:val="24"/>
        </w:rPr>
        <w:t>Dublin, Ohio 43016</w:t>
      </w:r>
    </w:p>
    <w:p w14:paraId="0FEF0A6D" w14:textId="77777777" w:rsidR="005C0566" w:rsidRDefault="005C0566" w:rsidP="005C0566">
      <w:pPr>
        <w:spacing w:after="0" w:line="240" w:lineRule="auto"/>
        <w:ind w:left="5040"/>
        <w:rPr>
          <w:rFonts w:ascii="Arial" w:hAnsi="Arial" w:cs="Arial"/>
          <w:sz w:val="24"/>
          <w:szCs w:val="24"/>
        </w:rPr>
      </w:pPr>
      <w:r w:rsidRPr="00C51B26">
        <w:rPr>
          <w:rFonts w:ascii="Arial" w:hAnsi="Arial" w:cs="Arial"/>
          <w:sz w:val="24"/>
          <w:szCs w:val="24"/>
        </w:rPr>
        <w:t>Telephone:</w:t>
      </w:r>
      <w:r w:rsidRPr="00C51B26">
        <w:rPr>
          <w:rFonts w:ascii="Arial" w:hAnsi="Arial" w:cs="Arial"/>
          <w:sz w:val="24"/>
          <w:szCs w:val="24"/>
        </w:rPr>
        <w:tab/>
        <w:t>(614) 659</w:t>
      </w:r>
      <w:r>
        <w:rPr>
          <w:rFonts w:ascii="Arial" w:hAnsi="Arial" w:cs="Arial"/>
          <w:sz w:val="24"/>
          <w:szCs w:val="24"/>
        </w:rPr>
        <w:t>-5000</w:t>
      </w:r>
    </w:p>
    <w:p w14:paraId="606FA0F5" w14:textId="77777777" w:rsidR="005C0566" w:rsidRDefault="005C0566" w:rsidP="005C0566">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357EBB09" w14:textId="77777777" w:rsidR="005C0566" w:rsidRDefault="005C0566" w:rsidP="005C0566">
      <w:pPr>
        <w:spacing w:after="0" w:line="240" w:lineRule="auto"/>
        <w:ind w:left="5040"/>
        <w:rPr>
          <w:rFonts w:ascii="Arial" w:hAnsi="Arial" w:cs="Arial"/>
          <w:sz w:val="24"/>
          <w:szCs w:val="24"/>
        </w:rPr>
      </w:pPr>
    </w:p>
    <w:p w14:paraId="2B80FB0A" w14:textId="63FB6BEB" w:rsidR="005E5B59" w:rsidRDefault="005C0566" w:rsidP="005C0566">
      <w:pPr>
        <w:spacing w:after="0" w:line="240" w:lineRule="auto"/>
        <w:ind w:left="5040"/>
        <w:rPr>
          <w:rFonts w:ascii="Arial" w:hAnsi="Arial" w:cs="Arial"/>
          <w:b/>
          <w:i/>
          <w:sz w:val="24"/>
          <w:szCs w:val="24"/>
        </w:rPr>
      </w:pPr>
      <w:r>
        <w:rPr>
          <w:rFonts w:ascii="Arial" w:hAnsi="Arial" w:cs="Arial"/>
          <w:b/>
          <w:i/>
          <w:sz w:val="24"/>
          <w:szCs w:val="24"/>
        </w:rPr>
        <w:t>Attorney for IGS Energy</w:t>
      </w:r>
    </w:p>
    <w:p w14:paraId="064DF2E0" w14:textId="505DD63D" w:rsidR="005C0566" w:rsidRDefault="005C0566" w:rsidP="005C0566">
      <w:pPr>
        <w:spacing w:after="0" w:line="240" w:lineRule="auto"/>
        <w:ind w:left="5040"/>
        <w:rPr>
          <w:rFonts w:ascii="Arial" w:hAnsi="Arial" w:cs="Arial"/>
          <w:b/>
          <w:i/>
          <w:sz w:val="24"/>
          <w:szCs w:val="24"/>
        </w:rPr>
      </w:pPr>
    </w:p>
    <w:p w14:paraId="3AF0B40F" w14:textId="1548628F" w:rsidR="005C0566" w:rsidRDefault="005C0566" w:rsidP="005C0566">
      <w:pPr>
        <w:spacing w:after="0" w:line="240" w:lineRule="auto"/>
        <w:ind w:left="5040"/>
        <w:rPr>
          <w:rFonts w:ascii="Arial" w:hAnsi="Arial" w:cs="Arial"/>
          <w:b/>
          <w:i/>
          <w:sz w:val="24"/>
          <w:szCs w:val="24"/>
        </w:rPr>
      </w:pPr>
    </w:p>
    <w:p w14:paraId="14F9D4E7" w14:textId="77777777" w:rsidR="005C0566" w:rsidRPr="005C0566" w:rsidRDefault="005C0566" w:rsidP="005C0566">
      <w:pPr>
        <w:spacing w:after="0" w:line="240" w:lineRule="auto"/>
        <w:ind w:left="5040"/>
        <w:rPr>
          <w:rFonts w:ascii="Arial" w:hAnsi="Arial" w:cs="Arial"/>
          <w:b/>
          <w:i/>
          <w:sz w:val="24"/>
          <w:szCs w:val="24"/>
        </w:rPr>
      </w:pPr>
    </w:p>
    <w:p w14:paraId="2CFD9706" w14:textId="77777777" w:rsidR="005E5B59" w:rsidRPr="005C0566" w:rsidRDefault="005E5B59" w:rsidP="005E5B59">
      <w:pPr>
        <w:spacing w:after="0"/>
        <w:ind w:left="2160" w:firstLine="720"/>
        <w:rPr>
          <w:rFonts w:ascii="Arial" w:eastAsia="Arial" w:hAnsi="Arial" w:cs="Arial"/>
          <w:b/>
          <w:u w:val="single"/>
        </w:rPr>
      </w:pPr>
      <w:r w:rsidRPr="005C0566">
        <w:rPr>
          <w:rFonts w:ascii="Arial" w:eastAsia="Arial" w:hAnsi="Arial" w:cs="Arial"/>
          <w:b/>
          <w:u w:val="single"/>
        </w:rPr>
        <w:lastRenderedPageBreak/>
        <w:t>CERTIFICATE OF SERVICE</w:t>
      </w:r>
    </w:p>
    <w:p w14:paraId="17979195" w14:textId="77777777" w:rsidR="005E5B59" w:rsidRPr="005C0566" w:rsidRDefault="005E5B59" w:rsidP="005E5B59">
      <w:pPr>
        <w:spacing w:after="0"/>
        <w:jc w:val="center"/>
        <w:rPr>
          <w:rFonts w:ascii="Arial" w:eastAsia="Arial" w:hAnsi="Arial" w:cs="Arial"/>
          <w:b/>
          <w:u w:val="single"/>
        </w:rPr>
      </w:pPr>
    </w:p>
    <w:p w14:paraId="2CB8B0C9" w14:textId="6DCE5834" w:rsidR="005E5B59" w:rsidRPr="005C0566" w:rsidRDefault="005E5B59" w:rsidP="005E5B59">
      <w:pPr>
        <w:spacing w:after="0"/>
        <w:jc w:val="both"/>
        <w:rPr>
          <w:rFonts w:ascii="Arial" w:eastAsia="Calibri" w:hAnsi="Arial" w:cs="Arial"/>
        </w:rPr>
      </w:pPr>
      <w:r w:rsidRPr="005C0566">
        <w:rPr>
          <w:rFonts w:ascii="Arial" w:eastAsia="Arial" w:hAnsi="Arial" w:cs="Arial"/>
        </w:rPr>
        <w:tab/>
      </w:r>
      <w:r w:rsidRPr="005C0566">
        <w:rPr>
          <w:rFonts w:ascii="Arial" w:eastAsia="Calibri" w:hAnsi="Arial" w:cs="Arial"/>
        </w:rPr>
        <w:t xml:space="preserve">The undersigned hereby certifies that a copy of the foregoing </w:t>
      </w:r>
      <w:r w:rsidRPr="005C0566">
        <w:rPr>
          <w:rFonts w:ascii="Arial" w:eastAsia="Calibri" w:hAnsi="Arial" w:cs="Arial"/>
          <w:i/>
        </w:rPr>
        <w:t xml:space="preserve">Initial Brief of Interstate Gas Supply, Inc. </w:t>
      </w:r>
      <w:r w:rsidRPr="005C0566">
        <w:rPr>
          <w:rFonts w:ascii="Arial" w:eastAsia="Calibri" w:hAnsi="Arial" w:cs="Arial"/>
        </w:rPr>
        <w:t>was served this 17t</w:t>
      </w:r>
      <w:r w:rsidRPr="005C0566">
        <w:rPr>
          <w:rFonts w:ascii="Arial" w:eastAsia="Calibri" w:hAnsi="Arial" w:cs="Arial"/>
          <w:vertAlign w:val="superscript"/>
        </w:rPr>
        <w:t>h</w:t>
      </w:r>
      <w:r w:rsidRPr="005C0566">
        <w:rPr>
          <w:rFonts w:ascii="Arial" w:eastAsia="Calibri" w:hAnsi="Arial" w:cs="Arial"/>
        </w:rPr>
        <w:t xml:space="preserve"> day of August 2018 via electronic mail upon the following:</w:t>
      </w:r>
    </w:p>
    <w:p w14:paraId="4462D693" w14:textId="77777777" w:rsidR="005E5B59" w:rsidRPr="005C0566" w:rsidRDefault="005E5B59" w:rsidP="005E5B59">
      <w:pPr>
        <w:spacing w:after="0"/>
        <w:jc w:val="both"/>
        <w:rPr>
          <w:rFonts w:ascii="Arial" w:eastAsia="Calibri" w:hAnsi="Arial" w:cs="Arial"/>
        </w:rPr>
      </w:pPr>
    </w:p>
    <w:p w14:paraId="1ECEB127" w14:textId="77777777" w:rsidR="005E5B59" w:rsidRPr="005C0566" w:rsidRDefault="005E5B59" w:rsidP="005E5B59">
      <w:pPr>
        <w:spacing w:after="0"/>
        <w:jc w:val="both"/>
        <w:rPr>
          <w:rFonts w:ascii="Arial" w:eastAsia="Arial" w:hAnsi="Arial" w:cs="Arial"/>
        </w:rPr>
      </w:pPr>
    </w:p>
    <w:p w14:paraId="7A6EE048" w14:textId="77777777" w:rsidR="005E5B59" w:rsidRPr="005C0566" w:rsidRDefault="005E5B59" w:rsidP="005E5B59">
      <w:pPr>
        <w:spacing w:after="0"/>
        <w:jc w:val="both"/>
        <w:rPr>
          <w:rFonts w:ascii="Arial" w:eastAsia="Arial" w:hAnsi="Arial" w:cs="Arial"/>
        </w:rPr>
      </w:pPr>
    </w:p>
    <w:p w14:paraId="0A9F366D" w14:textId="77777777" w:rsidR="005E5B59" w:rsidRPr="005C0566" w:rsidRDefault="005E5B59" w:rsidP="005E5B59">
      <w:pPr>
        <w:spacing w:after="0"/>
        <w:ind w:left="5040" w:firstLine="720"/>
        <w:rPr>
          <w:rFonts w:ascii="Arial" w:eastAsia="Calibri" w:hAnsi="Arial" w:cs="Arial"/>
          <w:u w:val="single"/>
        </w:rPr>
      </w:pPr>
      <w:r w:rsidRPr="005C0566">
        <w:rPr>
          <w:rFonts w:ascii="Arial" w:eastAsia="Arial" w:hAnsi="Arial" w:cs="Arial"/>
          <w:i/>
          <w:u w:val="single"/>
        </w:rPr>
        <w:t>/s/ Joseph Oliker_______</w:t>
      </w:r>
    </w:p>
    <w:p w14:paraId="18F7A846" w14:textId="77777777" w:rsidR="005E5B59" w:rsidRPr="005C0566" w:rsidRDefault="005E5B59" w:rsidP="005E5B59">
      <w:pPr>
        <w:spacing w:after="0"/>
        <w:ind w:left="5040" w:firstLine="720"/>
        <w:rPr>
          <w:rFonts w:ascii="Arial" w:eastAsia="Times New Roman" w:hAnsi="Arial" w:cs="Arial"/>
        </w:rPr>
      </w:pPr>
      <w:r w:rsidRPr="005C0566">
        <w:rPr>
          <w:rFonts w:ascii="Arial" w:eastAsia="Times New Roman" w:hAnsi="Arial" w:cs="Arial"/>
        </w:rPr>
        <w:t>Joseph Oliker</w:t>
      </w:r>
    </w:p>
    <w:p w14:paraId="6FFF5381"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michael.schuler@aes.com</w:t>
      </w:r>
    </w:p>
    <w:p w14:paraId="3133600B"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jsharkey@ficlaw.com</w:t>
      </w:r>
    </w:p>
    <w:p w14:paraId="1AF85A4B"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djireland@ficlaw.com</w:t>
      </w:r>
    </w:p>
    <w:p w14:paraId="44ACAFFC"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chollon@ficlaw.com</w:t>
      </w:r>
    </w:p>
    <w:p w14:paraId="2FE82DFD" w14:textId="77777777" w:rsidR="005E5B59" w:rsidRPr="005C0566" w:rsidRDefault="005E5B59" w:rsidP="005E5B59">
      <w:pPr>
        <w:autoSpaceDE w:val="0"/>
        <w:autoSpaceDN w:val="0"/>
        <w:adjustRightInd w:val="0"/>
        <w:spacing w:after="0"/>
        <w:rPr>
          <w:rFonts w:ascii="Arial" w:hAnsi="Arial" w:cs="Arial"/>
          <w:color w:val="0000FF"/>
        </w:rPr>
      </w:pPr>
      <w:bookmarkStart w:id="0" w:name="_Hlk511210790"/>
      <w:r w:rsidRPr="005C0566">
        <w:rPr>
          <w:rFonts w:ascii="Arial" w:hAnsi="Arial" w:cs="Arial"/>
          <w:color w:val="0000FF"/>
        </w:rPr>
        <w:t>thomas.mcnamee@ohioattomeygeneral.gov</w:t>
      </w:r>
    </w:p>
    <w:bookmarkEnd w:id="0"/>
    <w:p w14:paraId="79391BC6"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christopher.healey@occ.ohio.gov</w:t>
      </w:r>
    </w:p>
    <w:p w14:paraId="1EEB651B"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terry.etter@occ.ohio.gov</w:t>
      </w:r>
    </w:p>
    <w:p w14:paraId="47927F1F"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fdarr@mwncmh.com</w:t>
      </w:r>
    </w:p>
    <w:p w14:paraId="5A239895"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mpritchard@mwncmh.com</w:t>
      </w:r>
    </w:p>
    <w:p w14:paraId="22A1818B"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sechler@carpenterlipps.com</w:t>
      </w:r>
    </w:p>
    <w:p w14:paraId="28F37D2D"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paul@carpenterlipps.com</w:t>
      </w:r>
    </w:p>
    <w:p w14:paraId="2015EC5C"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dboehm@BKLlawfirm.com</w:t>
      </w:r>
    </w:p>
    <w:p w14:paraId="04194411"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mkurtz@BKLlawfirm.com</w:t>
      </w:r>
    </w:p>
    <w:p w14:paraId="5854EDF5"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kboehm@BKLIawfirm.com</w:t>
      </w:r>
    </w:p>
    <w:p w14:paraId="4D39A92B"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jkylercohn@BKLlawfirm.com</w:t>
      </w:r>
    </w:p>
    <w:p w14:paraId="381BB64E"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bojko@carpenterlipps.com</w:t>
      </w:r>
    </w:p>
    <w:p w14:paraId="1A2DA674"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dressel@carpenterlipps.com</w:t>
      </w:r>
    </w:p>
    <w:p w14:paraId="64577AFE"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mfleisher@elpc.org</w:t>
      </w:r>
    </w:p>
    <w:p w14:paraId="0B164DB9"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kfield@elpc.org</w:t>
      </w:r>
    </w:p>
    <w:p w14:paraId="71B077D0"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thawrot@spilmanlaw.com</w:t>
      </w:r>
    </w:p>
    <w:p w14:paraId="19F15CF4"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rkelter@elpc.org</w:t>
      </w:r>
    </w:p>
    <w:p w14:paraId="5B87AFD1"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jvickers@elpc.org</w:t>
      </w:r>
    </w:p>
    <w:p w14:paraId="7F70C116"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slesser@calfee.com</w:t>
      </w:r>
    </w:p>
    <w:p w14:paraId="23AC52DE"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jlang@calfee.com</w:t>
      </w:r>
    </w:p>
    <w:p w14:paraId="24F3DB74"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talexander@calfee.com</w:t>
      </w:r>
    </w:p>
    <w:p w14:paraId="3A36AB96"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stephanie.chmiel@thompsonhine.com</w:t>
      </w:r>
    </w:p>
    <w:p w14:paraId="5E61670B"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dwilliamson@spilmanlaw.com</w:t>
      </w:r>
    </w:p>
    <w:p w14:paraId="59BAEAC2"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charris@spilmanlaw.com</w:t>
      </w:r>
    </w:p>
    <w:p w14:paraId="72CD058A"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stephen.chriss@walmart.com</w:t>
      </w:r>
    </w:p>
    <w:p w14:paraId="3E5A8302"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greg.tillman@walmart.com</w:t>
      </w:r>
    </w:p>
    <w:p w14:paraId="3160B194"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John.Degnan@us.afmil</w:t>
      </w:r>
    </w:p>
    <w:p w14:paraId="65894A0A"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Thomas.Jernigan@us.af.mil</w:t>
      </w:r>
    </w:p>
    <w:p w14:paraId="5EEA4237"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Ebony.Payton.ctr@us.af.mil</w:t>
      </w:r>
    </w:p>
    <w:p w14:paraId="5BFB16FD"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ejacobs@ablelaw.org</w:t>
      </w:r>
    </w:p>
    <w:p w14:paraId="4AADCE09"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jdoll@djflawfirm.com</w:t>
      </w:r>
    </w:p>
    <w:p w14:paraId="08C61F37"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mcrawford@djflawfirm.com</w:t>
      </w:r>
    </w:p>
    <w:p w14:paraId="33A842B2"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mjsettineri@vorys.com</w:t>
      </w:r>
    </w:p>
    <w:p w14:paraId="5913659A"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glpetrucci@vorys.com</w:t>
      </w:r>
    </w:p>
    <w:p w14:paraId="582DB4F6"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lastRenderedPageBreak/>
        <w:t>witt@whitt-sturtevanat.com</w:t>
      </w:r>
    </w:p>
    <w:p w14:paraId="6C843069"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campbell@whitt-sturtevanat.com</w:t>
      </w:r>
    </w:p>
    <w:p w14:paraId="26420D54"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glover@whitt-sturtevanat.com</w:t>
      </w:r>
    </w:p>
    <w:p w14:paraId="4F06199E"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tdougherty@theoec.org</w:t>
      </w:r>
    </w:p>
    <w:p w14:paraId="3811B4E4"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mleppla@theoec.org</w:t>
      </w:r>
    </w:p>
    <w:p w14:paraId="1A555749"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jfinnigan@edf.com</w:t>
      </w:r>
    </w:p>
    <w:p w14:paraId="570257CC"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rdove@attorneydove.com</w:t>
      </w:r>
    </w:p>
    <w:p w14:paraId="0FEF0381" w14:textId="77777777" w:rsidR="005E5B59" w:rsidRPr="005C0566" w:rsidRDefault="005E5B59" w:rsidP="005E5B59">
      <w:pPr>
        <w:autoSpaceDE w:val="0"/>
        <w:autoSpaceDN w:val="0"/>
        <w:adjustRightInd w:val="0"/>
        <w:spacing w:after="0"/>
        <w:rPr>
          <w:rFonts w:ascii="Arial" w:hAnsi="Arial" w:cs="Arial"/>
          <w:color w:val="0000FF"/>
        </w:rPr>
      </w:pPr>
      <w:r w:rsidRPr="005C0566">
        <w:rPr>
          <w:rFonts w:ascii="Arial" w:hAnsi="Arial" w:cs="Arial"/>
          <w:color w:val="0000FF"/>
        </w:rPr>
        <w:t>swilliams@nrdc.org</w:t>
      </w:r>
    </w:p>
    <w:p w14:paraId="5F662FE6" w14:textId="77777777" w:rsidR="005E5B59" w:rsidRPr="005C0566" w:rsidRDefault="005C0566" w:rsidP="005E5B59">
      <w:pPr>
        <w:autoSpaceDE w:val="0"/>
        <w:autoSpaceDN w:val="0"/>
        <w:adjustRightInd w:val="0"/>
        <w:spacing w:after="0"/>
        <w:rPr>
          <w:rFonts w:ascii="Arial" w:hAnsi="Arial" w:cs="Arial"/>
          <w:color w:val="0000FF"/>
        </w:rPr>
      </w:pPr>
      <w:hyperlink r:id="rId14" w:history="1">
        <w:r w:rsidR="005E5B59" w:rsidRPr="005C0566">
          <w:rPr>
            <w:rFonts w:ascii="Arial" w:hAnsi="Arial" w:cs="Arial"/>
            <w:color w:val="0000FF"/>
          </w:rPr>
          <w:t>cmooney@ohiopartners.org</w:t>
        </w:r>
      </w:hyperlink>
    </w:p>
    <w:p w14:paraId="6E4861B2" w14:textId="77777777" w:rsidR="005E5B59" w:rsidRPr="005C0566" w:rsidRDefault="005C0566" w:rsidP="005E5B59">
      <w:pPr>
        <w:autoSpaceDE w:val="0"/>
        <w:autoSpaceDN w:val="0"/>
        <w:adjustRightInd w:val="0"/>
        <w:spacing w:after="0"/>
        <w:rPr>
          <w:rFonts w:ascii="Arial" w:hAnsi="Arial" w:cs="Arial"/>
          <w:color w:val="0000FF"/>
        </w:rPr>
      </w:pPr>
      <w:hyperlink r:id="rId15" w:history="1">
        <w:r w:rsidR="005E5B59" w:rsidRPr="005C0566">
          <w:rPr>
            <w:rFonts w:ascii="Arial" w:hAnsi="Arial" w:cs="Arial"/>
            <w:color w:val="0000FF"/>
          </w:rPr>
          <w:t>Patricia.Schabo@puco.ohio.gov</w:t>
        </w:r>
      </w:hyperlink>
    </w:p>
    <w:p w14:paraId="69D8CD04" w14:textId="77777777" w:rsidR="005E5B59" w:rsidRPr="005C0566" w:rsidRDefault="005C0566" w:rsidP="005E5B59">
      <w:pPr>
        <w:autoSpaceDE w:val="0"/>
        <w:autoSpaceDN w:val="0"/>
        <w:adjustRightInd w:val="0"/>
        <w:spacing w:after="0"/>
        <w:rPr>
          <w:rFonts w:ascii="Arial" w:hAnsi="Arial" w:cs="Arial"/>
        </w:rPr>
      </w:pPr>
      <w:hyperlink r:id="rId16" w:history="1">
        <w:r w:rsidR="005E5B59" w:rsidRPr="005C0566">
          <w:rPr>
            <w:rFonts w:ascii="Arial" w:hAnsi="Arial" w:cs="Arial"/>
            <w:color w:val="0000FF"/>
          </w:rPr>
          <w:t>Greg.Price@puco.ohio.gov</w:t>
        </w:r>
      </w:hyperlink>
    </w:p>
    <w:p w14:paraId="653A7873" w14:textId="77777777" w:rsidR="005E5B59" w:rsidRPr="005C0566" w:rsidRDefault="005E5B59" w:rsidP="004A0C52">
      <w:pPr>
        <w:spacing w:line="480" w:lineRule="auto"/>
        <w:ind w:firstLine="720"/>
        <w:jc w:val="both"/>
        <w:rPr>
          <w:rFonts w:ascii="Arial" w:hAnsi="Arial" w:cs="Arial"/>
          <w:sz w:val="24"/>
          <w:szCs w:val="24"/>
        </w:rPr>
      </w:pPr>
      <w:bookmarkStart w:id="1" w:name="_GoBack"/>
      <w:bookmarkEnd w:id="1"/>
    </w:p>
    <w:sectPr w:rsidR="005E5B59" w:rsidRPr="005C0566" w:rsidSect="00A94B7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B206" w14:textId="77777777" w:rsidR="000B4BB0" w:rsidRDefault="000B4BB0" w:rsidP="003E1F76">
      <w:pPr>
        <w:spacing w:after="0" w:line="240" w:lineRule="auto"/>
      </w:pPr>
      <w:r>
        <w:separator/>
      </w:r>
    </w:p>
  </w:endnote>
  <w:endnote w:type="continuationSeparator" w:id="0">
    <w:p w14:paraId="6922464B" w14:textId="77777777" w:rsidR="000B4BB0" w:rsidRDefault="000B4BB0" w:rsidP="003E1F76">
      <w:pPr>
        <w:spacing w:after="0" w:line="240" w:lineRule="auto"/>
      </w:pPr>
      <w:r>
        <w:continuationSeparator/>
      </w:r>
    </w:p>
  </w:endnote>
  <w:endnote w:type="continuationNotice" w:id="1">
    <w:p w14:paraId="1FBF2A62" w14:textId="77777777" w:rsidR="000B4BB0" w:rsidRDefault="000B4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Times New Roman">
    <w:altName w:val="Times New Roman"/>
    <w:panose1 w:val="00000000000000000000"/>
    <w:charset w:val="00"/>
    <w:family w:val="roman"/>
    <w:notTrueType/>
    <w:pitch w:val="default"/>
  </w:font>
  <w:font w:name="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302932"/>
      <w:docPartObj>
        <w:docPartGallery w:val="Page Numbers (Bottom of Page)"/>
        <w:docPartUnique/>
      </w:docPartObj>
    </w:sdtPr>
    <w:sdtEndPr>
      <w:rPr>
        <w:noProof/>
      </w:rPr>
    </w:sdtEndPr>
    <w:sdtContent>
      <w:p w14:paraId="50DB6D5B" w14:textId="08839AD9" w:rsidR="000B4BB0" w:rsidRDefault="000B4BB0">
        <w:pPr>
          <w:pStyle w:val="Footer"/>
          <w:jc w:val="right"/>
        </w:pPr>
        <w:r>
          <w:fldChar w:fldCharType="begin"/>
        </w:r>
        <w:r>
          <w:instrText xml:space="preserve"> PAGE   \* MERGEFORMAT </w:instrText>
        </w:r>
        <w:r>
          <w:fldChar w:fldCharType="separate"/>
        </w:r>
        <w:r w:rsidR="005C0566">
          <w:rPr>
            <w:noProof/>
          </w:rPr>
          <w:t>2</w:t>
        </w:r>
        <w:r>
          <w:rPr>
            <w:noProof/>
          </w:rPr>
          <w:fldChar w:fldCharType="end"/>
        </w:r>
      </w:p>
    </w:sdtContent>
  </w:sdt>
  <w:p w14:paraId="1E983FB7" w14:textId="77777777" w:rsidR="000B4BB0" w:rsidRDefault="000B4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B7E3A" w14:textId="77777777" w:rsidR="000B4BB0" w:rsidRDefault="000B4BB0" w:rsidP="003E1F76">
      <w:pPr>
        <w:spacing w:after="0" w:line="240" w:lineRule="auto"/>
      </w:pPr>
      <w:r>
        <w:separator/>
      </w:r>
    </w:p>
  </w:footnote>
  <w:footnote w:type="continuationSeparator" w:id="0">
    <w:p w14:paraId="5029A1E6" w14:textId="77777777" w:rsidR="000B4BB0" w:rsidRDefault="000B4BB0" w:rsidP="003E1F76">
      <w:pPr>
        <w:spacing w:after="0" w:line="240" w:lineRule="auto"/>
      </w:pPr>
      <w:r>
        <w:continuationSeparator/>
      </w:r>
    </w:p>
  </w:footnote>
  <w:footnote w:type="continuationNotice" w:id="1">
    <w:p w14:paraId="4B749AA8" w14:textId="77777777" w:rsidR="000B4BB0" w:rsidRDefault="000B4BB0">
      <w:pPr>
        <w:spacing w:after="0" w:line="240" w:lineRule="auto"/>
      </w:pPr>
    </w:p>
  </w:footnote>
  <w:footnote w:id="2">
    <w:p w14:paraId="00DB954E"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Industrial Energy Users-Ohio v. Pub. Util. Comm’n</w:t>
      </w:r>
      <w:r w:rsidRPr="0049223B">
        <w:rPr>
          <w:rFonts w:ascii="Arial" w:hAnsi="Arial" w:cs="Arial"/>
        </w:rPr>
        <w:t>, 117 Ohio St. 3d 486, 487 (2008).</w:t>
      </w:r>
    </w:p>
    <w:p w14:paraId="23DE523C" w14:textId="77777777" w:rsidR="000B4BB0" w:rsidRPr="0049223B" w:rsidRDefault="000B4BB0" w:rsidP="0049223B">
      <w:pPr>
        <w:pStyle w:val="FootnoteText"/>
        <w:jc w:val="both"/>
        <w:rPr>
          <w:rFonts w:ascii="Arial" w:hAnsi="Arial" w:cs="Arial"/>
        </w:rPr>
      </w:pPr>
    </w:p>
  </w:footnote>
  <w:footnote w:id="3">
    <w:p w14:paraId="79A78F29" w14:textId="77777777" w:rsidR="000B4BB0" w:rsidRPr="0049223B" w:rsidRDefault="000B4BB0" w:rsidP="0049223B">
      <w:pPr>
        <w:pStyle w:val="FootnoteText"/>
        <w:jc w:val="both"/>
        <w:rPr>
          <w:rFonts w:ascii="Arial" w:hAnsi="Arial" w:cs="Arial"/>
          <w:shd w:val="clear" w:color="auto" w:fill="FFFFFF"/>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shd w:val="clear" w:color="auto" w:fill="FFFFFF"/>
        </w:rPr>
        <w:t>Migden-Ostrander v. Pub. Util. Comm’n</w:t>
      </w:r>
      <w:r w:rsidRPr="0049223B">
        <w:rPr>
          <w:rFonts w:ascii="Arial" w:hAnsi="Arial" w:cs="Arial"/>
          <w:shd w:val="clear" w:color="auto" w:fill="FFFFFF"/>
        </w:rPr>
        <w:t>, 102 Ohio St. 3d 451, 452-53 (2004).</w:t>
      </w:r>
    </w:p>
    <w:p w14:paraId="52E56223" w14:textId="77777777" w:rsidR="000B4BB0" w:rsidRPr="0049223B" w:rsidRDefault="000B4BB0" w:rsidP="0049223B">
      <w:pPr>
        <w:pStyle w:val="FootnoteText"/>
        <w:jc w:val="both"/>
        <w:rPr>
          <w:rFonts w:ascii="Arial" w:hAnsi="Arial" w:cs="Arial"/>
        </w:rPr>
      </w:pPr>
    </w:p>
  </w:footnote>
  <w:footnote w:id="4">
    <w:p w14:paraId="54F51331"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Industrial Energy Users-Ohio v. Pub. Util. Comm’n</w:t>
      </w:r>
      <w:r w:rsidRPr="0049223B">
        <w:rPr>
          <w:rFonts w:ascii="Arial" w:hAnsi="Arial" w:cs="Arial"/>
        </w:rPr>
        <w:t>, 117 Ohio St. 3d 486, 487 (2008).</w:t>
      </w:r>
    </w:p>
  </w:footnote>
  <w:footnote w:id="5">
    <w:p w14:paraId="2635C295" w14:textId="6EDF46EC" w:rsidR="000B4BB0"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Because DP&amp;L failed to mark the Application as an exhibit or to attempt to move the Application into the record, any citations to the Application refer to the Staff Report of Investigation.</w:t>
      </w:r>
    </w:p>
    <w:p w14:paraId="06B0C2CD" w14:textId="77777777" w:rsidR="00AD593D" w:rsidRPr="0049223B" w:rsidRDefault="00AD593D" w:rsidP="0049223B">
      <w:pPr>
        <w:pStyle w:val="FootnoteText"/>
        <w:jc w:val="both"/>
        <w:rPr>
          <w:rFonts w:ascii="Arial" w:hAnsi="Arial" w:cs="Arial"/>
        </w:rPr>
      </w:pPr>
    </w:p>
  </w:footnote>
  <w:footnote w:id="6">
    <w:p w14:paraId="1FCB2EE6" w14:textId="2EF4A013"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ESP Order at 2 (Oct. 20, 2017).  </w:t>
      </w:r>
    </w:p>
    <w:p w14:paraId="07547A01" w14:textId="77777777" w:rsidR="000B4BB0" w:rsidRPr="0049223B" w:rsidRDefault="000B4BB0" w:rsidP="0049223B">
      <w:pPr>
        <w:pStyle w:val="FootnoteText"/>
        <w:jc w:val="both"/>
        <w:rPr>
          <w:rFonts w:ascii="Arial" w:hAnsi="Arial" w:cs="Arial"/>
        </w:rPr>
      </w:pPr>
    </w:p>
  </w:footnote>
  <w:footnote w:id="7">
    <w:p w14:paraId="4123DD0D"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To the extent that IGS withdraws from the Amended Stipulation and Recommendation, IGS reserves the right to require parties to support the Stipulation and Recommendation executed on January 30, 2017 before the Commission or a court of competent jurisdiction.</w:t>
      </w:r>
    </w:p>
    <w:p w14:paraId="5043CB0F" w14:textId="77777777" w:rsidR="000B4BB0" w:rsidRPr="0049223B" w:rsidRDefault="000B4BB0" w:rsidP="0049223B">
      <w:pPr>
        <w:pStyle w:val="FootnoteText"/>
        <w:jc w:val="both"/>
        <w:rPr>
          <w:rFonts w:ascii="Arial" w:hAnsi="Arial" w:cs="Arial"/>
        </w:rPr>
      </w:pPr>
    </w:p>
  </w:footnote>
  <w:footnote w:id="8">
    <w:p w14:paraId="05D8FD6B" w14:textId="4CF75B48" w:rsidR="00AD593D" w:rsidRDefault="00AD593D">
      <w:pPr>
        <w:pStyle w:val="FootnoteText"/>
      </w:pPr>
      <w:r>
        <w:rPr>
          <w:rStyle w:val="FootnoteReference"/>
        </w:rPr>
        <w:footnoteRef/>
      </w:r>
      <w:r>
        <w:t xml:space="preserve"> IGS Ex. 2 (hereinafter referred to as “Amended Stipulation”).</w:t>
      </w:r>
    </w:p>
    <w:p w14:paraId="4875B9E3" w14:textId="77777777" w:rsidR="00AD593D" w:rsidRDefault="00AD593D">
      <w:pPr>
        <w:pStyle w:val="FootnoteText"/>
      </w:pPr>
    </w:p>
  </w:footnote>
  <w:footnote w:id="9">
    <w:p w14:paraId="08478344" w14:textId="025F58F5"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ESP Order at 2-3 (Oct. 20, 2017).</w:t>
      </w:r>
    </w:p>
    <w:p w14:paraId="07459315" w14:textId="77777777" w:rsidR="000B4BB0" w:rsidRPr="0049223B" w:rsidRDefault="000B4BB0" w:rsidP="0049223B">
      <w:pPr>
        <w:pStyle w:val="FootnoteText"/>
        <w:jc w:val="both"/>
        <w:rPr>
          <w:rFonts w:ascii="Arial" w:hAnsi="Arial" w:cs="Arial"/>
        </w:rPr>
      </w:pPr>
    </w:p>
  </w:footnote>
  <w:footnote w:id="10">
    <w:p w14:paraId="4B20903D" w14:textId="2B6BF204"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11.</w:t>
      </w:r>
    </w:p>
    <w:p w14:paraId="6537F28F" w14:textId="77777777" w:rsidR="000B4BB0" w:rsidRPr="0049223B" w:rsidRDefault="000B4BB0" w:rsidP="0049223B">
      <w:pPr>
        <w:pStyle w:val="FootnoteText"/>
        <w:jc w:val="both"/>
        <w:rPr>
          <w:rFonts w:ascii="Arial" w:hAnsi="Arial" w:cs="Arial"/>
        </w:rPr>
      </w:pPr>
    </w:p>
  </w:footnote>
  <w:footnote w:id="11">
    <w:p w14:paraId="77F6EEEA" w14:textId="57388051" w:rsidR="000B4BB0" w:rsidRPr="0049223B" w:rsidRDefault="000B4BB0" w:rsidP="0049223B">
      <w:pPr>
        <w:spacing w:after="0" w:line="240" w:lineRule="auto"/>
        <w:ind w:right="720"/>
        <w:jc w:val="both"/>
        <w:rPr>
          <w:rFonts w:ascii="Arial" w:hAnsi="Arial" w:cs="Arial"/>
          <w:sz w:val="20"/>
          <w:szCs w:val="20"/>
        </w:rPr>
      </w:pPr>
      <w:r w:rsidRPr="0049223B">
        <w:rPr>
          <w:rStyle w:val="FootnoteReference"/>
          <w:rFonts w:ascii="Arial" w:hAnsi="Arial" w:cs="Arial"/>
          <w:sz w:val="20"/>
          <w:szCs w:val="20"/>
        </w:rPr>
        <w:footnoteRef/>
      </w:r>
      <w:r w:rsidRPr="0049223B">
        <w:rPr>
          <w:rFonts w:ascii="Arial" w:hAnsi="Arial" w:cs="Arial"/>
          <w:sz w:val="20"/>
          <w:szCs w:val="20"/>
        </w:rPr>
        <w:t xml:space="preserve"> The Amended Stipulation provides:</w:t>
      </w:r>
    </w:p>
    <w:p w14:paraId="2D9F8043" w14:textId="77777777" w:rsidR="000B4BB0" w:rsidRPr="0049223B" w:rsidRDefault="000B4BB0" w:rsidP="0049223B">
      <w:pPr>
        <w:spacing w:after="0" w:line="240" w:lineRule="auto"/>
        <w:ind w:right="720"/>
        <w:jc w:val="both"/>
        <w:rPr>
          <w:rFonts w:ascii="Arial" w:hAnsi="Arial" w:cs="Arial"/>
          <w:sz w:val="20"/>
          <w:szCs w:val="20"/>
        </w:rPr>
      </w:pPr>
    </w:p>
    <w:p w14:paraId="77B5725D" w14:textId="58957002" w:rsidR="000B4BB0" w:rsidRPr="0049223B" w:rsidRDefault="000B4BB0" w:rsidP="0049223B">
      <w:pPr>
        <w:spacing w:after="0" w:line="240" w:lineRule="auto"/>
        <w:ind w:left="720" w:right="720"/>
        <w:jc w:val="both"/>
        <w:rPr>
          <w:rFonts w:ascii="Arial" w:hAnsi="Arial" w:cs="Arial"/>
          <w:i/>
          <w:sz w:val="20"/>
          <w:szCs w:val="20"/>
        </w:rPr>
      </w:pPr>
      <w:r w:rsidRPr="0049223B">
        <w:rPr>
          <w:rFonts w:ascii="Arial" w:hAnsi="Arial" w:cs="Arial"/>
          <w:sz w:val="20"/>
          <w:szCs w:val="20"/>
        </w:rPr>
        <w:t xml:space="preserve">As originally proposed in DP&amp;L's distribution rate case, DP&amp;L will implement an Uncollectible Rider to recover the uncollectible expense through a nonbypassable, annually filed true-up rider </w:t>
      </w:r>
      <w:r w:rsidRPr="0049223B">
        <w:rPr>
          <w:rFonts w:ascii="Arial" w:hAnsi="Arial" w:cs="Arial"/>
          <w:i/>
          <w:sz w:val="20"/>
          <w:szCs w:val="20"/>
        </w:rPr>
        <w:t>with the exception that DP&amp;L will recover uncollectible expense associated with bypassable standard service offer rates through a bypassable component of the Uncollectible Rider.</w:t>
      </w:r>
      <w:r w:rsidRPr="0049223B">
        <w:rPr>
          <w:rFonts w:ascii="Arial" w:hAnsi="Arial" w:cs="Arial"/>
          <w:sz w:val="20"/>
          <w:szCs w:val="20"/>
        </w:rPr>
        <w:t xml:space="preserve"> </w:t>
      </w:r>
      <w:r w:rsidRPr="0049223B">
        <w:rPr>
          <w:rFonts w:ascii="Arial" w:hAnsi="Arial" w:cs="Arial"/>
          <w:i/>
          <w:sz w:val="20"/>
          <w:szCs w:val="20"/>
        </w:rPr>
        <w:t>This rider will recover uncollectible expense that has historically been included in individual rate components and will track and recover actual costs.</w:t>
      </w:r>
      <w:r w:rsidRPr="0049223B">
        <w:rPr>
          <w:rFonts w:ascii="Arial" w:hAnsi="Arial" w:cs="Arial"/>
          <w:sz w:val="20"/>
          <w:szCs w:val="20"/>
        </w:rPr>
        <w:t xml:space="preserve"> </w:t>
      </w:r>
      <w:r w:rsidRPr="0049223B">
        <w:rPr>
          <w:rFonts w:ascii="Arial" w:hAnsi="Arial" w:cs="Arial"/>
          <w:i/>
          <w:sz w:val="20"/>
          <w:szCs w:val="20"/>
        </w:rPr>
        <w:t>Implementation of this rider also represents the removal of uncollectible expense from other individual rate components</w:t>
      </w:r>
      <w:r w:rsidRPr="0049223B">
        <w:rPr>
          <w:rFonts w:ascii="Arial" w:hAnsi="Arial" w:cs="Arial"/>
          <w:sz w:val="20"/>
          <w:szCs w:val="20"/>
        </w:rPr>
        <w:t xml:space="preserve"> except for the historical uncollected uncollectible Percentage of Income Payment Plan amounts up to the effective date of the rider. </w:t>
      </w:r>
      <w:r w:rsidRPr="0049223B">
        <w:rPr>
          <w:rFonts w:ascii="Arial" w:hAnsi="Arial" w:cs="Arial"/>
          <w:i/>
          <w:sz w:val="20"/>
          <w:szCs w:val="20"/>
        </w:rPr>
        <w:t>DP&amp;L will address any uncollectible expense included in base distribution rates in the</w:t>
      </w:r>
    </w:p>
    <w:p w14:paraId="6C45A6E3" w14:textId="77777777" w:rsidR="000B4BB0" w:rsidRPr="0049223B" w:rsidRDefault="000B4BB0" w:rsidP="0049223B">
      <w:pPr>
        <w:spacing w:after="0" w:line="240" w:lineRule="auto"/>
        <w:ind w:left="720" w:right="720"/>
        <w:jc w:val="both"/>
        <w:rPr>
          <w:rFonts w:ascii="Arial" w:hAnsi="Arial" w:cs="Arial"/>
          <w:i/>
          <w:sz w:val="20"/>
          <w:szCs w:val="20"/>
        </w:rPr>
      </w:pPr>
      <w:r w:rsidRPr="0049223B">
        <w:rPr>
          <w:rFonts w:ascii="Arial" w:hAnsi="Arial" w:cs="Arial"/>
          <w:i/>
          <w:sz w:val="20"/>
          <w:szCs w:val="20"/>
        </w:rPr>
        <w:t>annual true-up filing of this rider, which will include an adjustment to revenue until new base distribution rates are in place.</w:t>
      </w:r>
    </w:p>
    <w:p w14:paraId="3E9195F9" w14:textId="77777777" w:rsidR="000B4BB0" w:rsidRPr="0049223B" w:rsidRDefault="000B4BB0" w:rsidP="0049223B">
      <w:pPr>
        <w:spacing w:after="0" w:line="240" w:lineRule="auto"/>
        <w:ind w:right="720"/>
        <w:jc w:val="both"/>
        <w:rPr>
          <w:rFonts w:ascii="Arial" w:hAnsi="Arial" w:cs="Arial"/>
          <w:i/>
          <w:sz w:val="20"/>
          <w:szCs w:val="20"/>
        </w:rPr>
      </w:pPr>
    </w:p>
    <w:p w14:paraId="5BA96C0C" w14:textId="67304FBA" w:rsidR="000B4BB0" w:rsidRPr="0049223B" w:rsidRDefault="000B4BB0" w:rsidP="0049223B">
      <w:pPr>
        <w:spacing w:after="0" w:line="240" w:lineRule="auto"/>
        <w:ind w:right="720"/>
        <w:jc w:val="both"/>
        <w:rPr>
          <w:rFonts w:ascii="Arial" w:hAnsi="Arial" w:cs="Arial"/>
          <w:sz w:val="20"/>
          <w:szCs w:val="20"/>
        </w:rPr>
      </w:pPr>
      <w:r w:rsidRPr="0049223B">
        <w:rPr>
          <w:rFonts w:ascii="Arial" w:hAnsi="Arial" w:cs="Arial"/>
          <w:i/>
          <w:sz w:val="20"/>
          <w:szCs w:val="20"/>
        </w:rPr>
        <w:t xml:space="preserve"> </w:t>
      </w:r>
      <w:r w:rsidRPr="0049223B">
        <w:rPr>
          <w:rFonts w:ascii="Arial" w:hAnsi="Arial" w:cs="Arial"/>
          <w:sz w:val="20"/>
          <w:szCs w:val="20"/>
        </w:rPr>
        <w:t>ESP Amended Stipulation at 19-20 (emphasis added).</w:t>
      </w:r>
    </w:p>
    <w:p w14:paraId="436F8F53" w14:textId="77777777" w:rsidR="000B4BB0" w:rsidRPr="0049223B" w:rsidRDefault="000B4BB0" w:rsidP="0049223B">
      <w:pPr>
        <w:spacing w:after="0" w:line="240" w:lineRule="auto"/>
        <w:ind w:right="720"/>
        <w:jc w:val="both"/>
        <w:rPr>
          <w:rFonts w:ascii="Arial" w:hAnsi="Arial" w:cs="Arial"/>
          <w:sz w:val="20"/>
          <w:szCs w:val="20"/>
        </w:rPr>
      </w:pPr>
    </w:p>
  </w:footnote>
  <w:footnote w:id="12">
    <w:p w14:paraId="061AC1F0"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ESP Amended Stipulation at 9.</w:t>
      </w:r>
    </w:p>
    <w:p w14:paraId="70DF9E56" w14:textId="77777777" w:rsidR="000B4BB0" w:rsidRPr="0049223B" w:rsidRDefault="000B4BB0" w:rsidP="0049223B">
      <w:pPr>
        <w:pStyle w:val="FootnoteText"/>
        <w:jc w:val="both"/>
        <w:rPr>
          <w:rFonts w:ascii="Arial" w:hAnsi="Arial" w:cs="Arial"/>
        </w:rPr>
      </w:pPr>
    </w:p>
  </w:footnote>
  <w:footnote w:id="13">
    <w:p w14:paraId="2AE6C7F6" w14:textId="08C5E755"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eastAsia="Arial" w:hAnsi="Arial" w:cs="Arial"/>
        </w:rPr>
        <w:t>IGS and RESA are not prohibited from advocating for unbundling or changes to SSO rate or supplier tariffs in that proceeding or any other distribution rate case.”</w:t>
      </w:r>
      <w:r w:rsidRPr="0049223B">
        <w:rPr>
          <w:rFonts w:ascii="Arial" w:hAnsi="Arial" w:cs="Arial"/>
        </w:rPr>
        <w:t xml:space="preserve"> ESP Amended Stipulation at 38, FN 10.</w:t>
      </w:r>
    </w:p>
    <w:p w14:paraId="44E871BC" w14:textId="77777777" w:rsidR="000B4BB0" w:rsidRPr="0049223B" w:rsidRDefault="000B4BB0" w:rsidP="0049223B">
      <w:pPr>
        <w:pStyle w:val="FootnoteText"/>
        <w:jc w:val="both"/>
        <w:rPr>
          <w:rFonts w:ascii="Arial" w:hAnsi="Arial" w:cs="Arial"/>
        </w:rPr>
      </w:pPr>
    </w:p>
  </w:footnote>
  <w:footnote w:id="14">
    <w:p w14:paraId="2DAEBE1A" w14:textId="25119611"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9.</w:t>
      </w:r>
    </w:p>
    <w:p w14:paraId="786BFD1E" w14:textId="77777777" w:rsidR="000B4BB0" w:rsidRPr="0049223B" w:rsidRDefault="000B4BB0" w:rsidP="0049223B">
      <w:pPr>
        <w:pStyle w:val="FootnoteText"/>
        <w:jc w:val="both"/>
        <w:rPr>
          <w:rFonts w:ascii="Arial" w:hAnsi="Arial" w:cs="Arial"/>
        </w:rPr>
      </w:pPr>
    </w:p>
  </w:footnote>
  <w:footnote w:id="15">
    <w:p w14:paraId="3656C1A8" w14:textId="4F263BA5"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 xml:space="preserve">at 35. </w:t>
      </w:r>
    </w:p>
    <w:p w14:paraId="08CAF8BE" w14:textId="77777777" w:rsidR="000B4BB0" w:rsidRPr="0049223B" w:rsidRDefault="000B4BB0" w:rsidP="0049223B">
      <w:pPr>
        <w:pStyle w:val="FootnoteText"/>
        <w:jc w:val="both"/>
        <w:rPr>
          <w:rFonts w:ascii="Arial" w:hAnsi="Arial" w:cs="Arial"/>
        </w:rPr>
      </w:pPr>
    </w:p>
  </w:footnote>
  <w:footnote w:id="16">
    <w:p w14:paraId="35082D76" w14:textId="35A3D28E"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Given that the Amended Stipulation provided parties with the right to withdraw from as a signatory party in the event of a modification that is not appropriately addressed in an Entry on Rehearing (and litigate as if the Amended Stipulation was never filed), it is a distinct possibility that there will be additional litigation in the DP&amp;L ESP Case.</w:t>
      </w:r>
    </w:p>
    <w:p w14:paraId="68D154B8" w14:textId="77777777" w:rsidR="000B4BB0" w:rsidRPr="0049223B" w:rsidRDefault="000B4BB0" w:rsidP="0049223B">
      <w:pPr>
        <w:pStyle w:val="FootnoteText"/>
        <w:jc w:val="both"/>
        <w:rPr>
          <w:rFonts w:ascii="Arial" w:hAnsi="Arial" w:cs="Arial"/>
        </w:rPr>
      </w:pPr>
    </w:p>
  </w:footnote>
  <w:footnote w:id="17">
    <w:p w14:paraId="24538E6B" w14:textId="746AE14F"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Staff Report at 28 (emphasis added).  Staff’s testimony, however, did not defend its initial recommendation that any analysis should focus no costs that would be removed if there was no default service.  Staff changed its position in the testimony of Mr. Smith, claiming that no allocation should occur because there is some yet-to-be-quantified amount of choice-related costs that DP&amp;L incurs. </w:t>
      </w:r>
    </w:p>
  </w:footnote>
  <w:footnote w:id="18">
    <w:p w14:paraId="0751442A" w14:textId="77777777" w:rsidR="000B4BB0" w:rsidRPr="0049223B"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Id.</w:t>
      </w:r>
    </w:p>
  </w:footnote>
  <w:footnote w:id="19">
    <w:p w14:paraId="208A0AED" w14:textId="77777777" w:rsidR="000B4BB0" w:rsidRPr="0049223B"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p>
  </w:footnote>
  <w:footnote w:id="20">
    <w:p w14:paraId="44979101" w14:textId="77777777" w:rsidR="000B4BB0" w:rsidRPr="0049223B"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p>
  </w:footnote>
  <w:footnote w:id="21">
    <w:p w14:paraId="373ECCC1" w14:textId="1F1CB5A6" w:rsidR="000B4BB0"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 at 33 L 5-8.  As Mr. Schroder stated, “No, I wasn’t involved in the preparation of the original application.” Tr. Vol. I at 67 L 22-24.   “I don’t directly support any of the detailed support of those costs, just the costs that are – that ultimately are included as part of the Stipulation and the resulting rates and the pieces that are supported here in the Stipulation.” Tr. Vol. I at 68 L 12-20. </w:t>
      </w:r>
    </w:p>
    <w:p w14:paraId="2B716471" w14:textId="77777777" w:rsidR="00AD593D" w:rsidRPr="0049223B" w:rsidRDefault="00AD593D" w:rsidP="0049223B">
      <w:pPr>
        <w:pStyle w:val="FootnoteText"/>
        <w:jc w:val="both"/>
        <w:rPr>
          <w:rFonts w:ascii="Arial" w:hAnsi="Arial" w:cs="Arial"/>
        </w:rPr>
      </w:pPr>
    </w:p>
  </w:footnote>
  <w:footnote w:id="22">
    <w:p w14:paraId="1ADCDDF7" w14:textId="38AD8C3F"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 at 68 L21 to 69 L 12.</w:t>
      </w:r>
    </w:p>
    <w:p w14:paraId="74EA2CB8" w14:textId="77777777" w:rsidR="000B4BB0" w:rsidRPr="0049223B" w:rsidRDefault="000B4BB0" w:rsidP="0049223B">
      <w:pPr>
        <w:pStyle w:val="FootnoteText"/>
        <w:jc w:val="both"/>
        <w:rPr>
          <w:rFonts w:ascii="Arial" w:hAnsi="Arial" w:cs="Arial"/>
        </w:rPr>
      </w:pPr>
    </w:p>
  </w:footnote>
  <w:footnote w:id="23">
    <w:p w14:paraId="5055BE69" w14:textId="6D03750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Objections to Staff Report and Summary of Major Issues of Interstate Gas Supply, Inc. at 4-9.</w:t>
      </w:r>
    </w:p>
    <w:p w14:paraId="57A195FA" w14:textId="77777777" w:rsidR="000B4BB0" w:rsidRPr="0049223B" w:rsidRDefault="000B4BB0" w:rsidP="0049223B">
      <w:pPr>
        <w:pStyle w:val="FootnoteText"/>
        <w:jc w:val="both"/>
        <w:rPr>
          <w:rFonts w:ascii="Arial" w:hAnsi="Arial" w:cs="Arial"/>
        </w:rPr>
      </w:pPr>
    </w:p>
  </w:footnote>
  <w:footnote w:id="24">
    <w:p w14:paraId="722B4DB8" w14:textId="4F79CCEF" w:rsidR="000B4BB0" w:rsidRPr="0049223B"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Id.</w:t>
      </w:r>
    </w:p>
    <w:p w14:paraId="0EB7C9AA" w14:textId="77777777" w:rsidR="000B4BB0" w:rsidRPr="0049223B" w:rsidRDefault="000B4BB0" w:rsidP="0049223B">
      <w:pPr>
        <w:pStyle w:val="FootnoteText"/>
        <w:jc w:val="both"/>
        <w:rPr>
          <w:rFonts w:ascii="Arial" w:hAnsi="Arial" w:cs="Arial"/>
          <w:i/>
        </w:rPr>
      </w:pPr>
    </w:p>
  </w:footnote>
  <w:footnote w:id="25">
    <w:p w14:paraId="1D6B9373" w14:textId="7E77A820" w:rsidR="000B4BB0" w:rsidRPr="0049223B"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p>
  </w:footnote>
  <w:footnote w:id="26">
    <w:p w14:paraId="7D0B5E50" w14:textId="2BD7BEB1"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5.</w:t>
      </w:r>
    </w:p>
    <w:p w14:paraId="0EBB579B" w14:textId="77777777" w:rsidR="000B4BB0" w:rsidRPr="0049223B" w:rsidRDefault="000B4BB0" w:rsidP="0049223B">
      <w:pPr>
        <w:pStyle w:val="FootnoteText"/>
        <w:jc w:val="both"/>
        <w:rPr>
          <w:rFonts w:ascii="Arial" w:hAnsi="Arial" w:cs="Arial"/>
        </w:rPr>
      </w:pPr>
    </w:p>
  </w:footnote>
  <w:footnote w:id="27">
    <w:p w14:paraId="17250289" w14:textId="79C59823"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See </w:t>
      </w:r>
      <w:r w:rsidRPr="0049223B">
        <w:rPr>
          <w:rFonts w:ascii="Arial" w:hAnsi="Arial" w:cs="Arial"/>
        </w:rPr>
        <w:t>Staff Report, Blue Ridge Consulting Services, Inc. Audit of Plant in Service.</w:t>
      </w:r>
    </w:p>
  </w:footnote>
  <w:footnote w:id="28">
    <w:p w14:paraId="48555E97" w14:textId="0FE3F9B3" w:rsidR="000B4BB0" w:rsidRPr="00AD593D"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AD593D">
        <w:rPr>
          <w:rFonts w:ascii="Arial" w:hAnsi="Arial" w:cs="Arial"/>
        </w:rPr>
        <w:t>RESA/IGS Ex. 2 at 11.</w:t>
      </w:r>
    </w:p>
    <w:p w14:paraId="37EF0937" w14:textId="77777777" w:rsidR="00AD593D" w:rsidRPr="00AD593D" w:rsidRDefault="00AD593D" w:rsidP="0049223B">
      <w:pPr>
        <w:pStyle w:val="FootnoteText"/>
        <w:jc w:val="both"/>
        <w:rPr>
          <w:rFonts w:ascii="Arial" w:hAnsi="Arial" w:cs="Arial"/>
        </w:rPr>
      </w:pPr>
    </w:p>
  </w:footnote>
  <w:footnote w:id="29">
    <w:p w14:paraId="3E515D3D" w14:textId="747A2322" w:rsidR="00AD593D" w:rsidRPr="00AD593D" w:rsidRDefault="00AD593D">
      <w:pPr>
        <w:pStyle w:val="FootnoteText"/>
        <w:rPr>
          <w:rFonts w:ascii="Arial" w:hAnsi="Arial" w:cs="Arial"/>
        </w:rPr>
      </w:pPr>
      <w:r w:rsidRPr="00AD593D">
        <w:rPr>
          <w:rStyle w:val="FootnoteReference"/>
          <w:rFonts w:ascii="Arial" w:hAnsi="Arial" w:cs="Arial"/>
        </w:rPr>
        <w:footnoteRef/>
      </w:r>
      <w:r w:rsidRPr="00AD593D">
        <w:rPr>
          <w:rFonts w:ascii="Arial" w:hAnsi="Arial" w:cs="Arial"/>
        </w:rPr>
        <w:t xml:space="preserve"> </w:t>
      </w:r>
      <w:r w:rsidRPr="00AD593D">
        <w:rPr>
          <w:rFonts w:ascii="Arial" w:hAnsi="Arial" w:cs="Arial"/>
          <w:i/>
        </w:rPr>
        <w:t xml:space="preserve">Id. </w:t>
      </w:r>
      <w:r w:rsidRPr="00AD593D">
        <w:rPr>
          <w:rFonts w:ascii="Arial" w:hAnsi="Arial" w:cs="Arial"/>
        </w:rPr>
        <w:t>at 12.</w:t>
      </w:r>
    </w:p>
    <w:p w14:paraId="0CA2D075" w14:textId="77777777" w:rsidR="00AD593D" w:rsidRPr="00AD593D" w:rsidRDefault="00AD593D">
      <w:pPr>
        <w:pStyle w:val="FootnoteText"/>
        <w:rPr>
          <w:rFonts w:ascii="Arial" w:hAnsi="Arial" w:cs="Arial"/>
        </w:rPr>
      </w:pPr>
    </w:p>
  </w:footnote>
  <w:footnote w:id="30">
    <w:p w14:paraId="6D4E80BB" w14:textId="62DBE194" w:rsidR="000B4BB0" w:rsidRPr="0049223B" w:rsidRDefault="000B4BB0" w:rsidP="0049223B">
      <w:pPr>
        <w:pStyle w:val="FootnoteText"/>
        <w:jc w:val="both"/>
        <w:rPr>
          <w:rFonts w:ascii="Arial" w:hAnsi="Arial" w:cs="Arial"/>
        </w:rPr>
      </w:pPr>
      <w:r w:rsidRPr="00AD593D">
        <w:rPr>
          <w:rStyle w:val="FootnoteReference"/>
          <w:rFonts w:ascii="Arial" w:hAnsi="Arial" w:cs="Arial"/>
        </w:rPr>
        <w:footnoteRef/>
      </w:r>
      <w:r w:rsidRPr="00AD593D">
        <w:rPr>
          <w:rFonts w:ascii="Arial" w:hAnsi="Arial" w:cs="Arial"/>
        </w:rPr>
        <w:t xml:space="preserve"> </w:t>
      </w:r>
      <w:r w:rsidRPr="00AD593D">
        <w:rPr>
          <w:rFonts w:ascii="Arial" w:hAnsi="Arial" w:cs="Arial"/>
          <w:i/>
        </w:rPr>
        <w:t>Id.</w:t>
      </w:r>
      <w:r w:rsidRPr="00AD593D">
        <w:rPr>
          <w:rFonts w:ascii="Arial" w:hAnsi="Arial" w:cs="Arial"/>
        </w:rPr>
        <w:t xml:space="preserve"> at 12.</w:t>
      </w:r>
      <w:r w:rsidRPr="0049223B">
        <w:rPr>
          <w:rFonts w:ascii="Arial" w:hAnsi="Arial" w:cs="Arial"/>
        </w:rPr>
        <w:t xml:space="preserve">  </w:t>
      </w:r>
    </w:p>
  </w:footnote>
  <w:footnote w:id="31">
    <w:p w14:paraId="634400F0" w14:textId="45530874" w:rsidR="000B4BB0"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Id.</w:t>
      </w:r>
    </w:p>
    <w:p w14:paraId="1D78299A" w14:textId="77777777" w:rsidR="00AD593D" w:rsidRPr="0049223B" w:rsidRDefault="00AD593D" w:rsidP="0049223B">
      <w:pPr>
        <w:pStyle w:val="FootnoteText"/>
        <w:jc w:val="both"/>
        <w:rPr>
          <w:rFonts w:ascii="Arial" w:hAnsi="Arial" w:cs="Arial"/>
        </w:rPr>
      </w:pPr>
    </w:p>
  </w:footnote>
  <w:footnote w:id="32">
    <w:p w14:paraId="4C2649EE"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RESA/IGS Ex. 2. at 4-5.</w:t>
      </w:r>
    </w:p>
    <w:p w14:paraId="144A5D23" w14:textId="77777777" w:rsidR="000B4BB0" w:rsidRPr="0049223B" w:rsidRDefault="000B4BB0" w:rsidP="0049223B">
      <w:pPr>
        <w:pStyle w:val="FootnoteText"/>
        <w:jc w:val="both"/>
        <w:rPr>
          <w:rFonts w:ascii="Arial" w:hAnsi="Arial" w:cs="Arial"/>
        </w:rPr>
      </w:pPr>
    </w:p>
  </w:footnote>
  <w:footnote w:id="33">
    <w:p w14:paraId="78566E8B" w14:textId="6FB74025"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RESA/IGS Ex. 2 at 6-7.</w:t>
      </w:r>
    </w:p>
  </w:footnote>
  <w:footnote w:id="34">
    <w:p w14:paraId="6E2DD0A1" w14:textId="20DCE6FA"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7.</w:t>
      </w:r>
    </w:p>
  </w:footnote>
  <w:footnote w:id="35">
    <w:p w14:paraId="2BED6DA5" w14:textId="52C31B1F"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7.</w:t>
      </w:r>
    </w:p>
    <w:p w14:paraId="21F44DCE" w14:textId="77777777" w:rsidR="000B4BB0" w:rsidRPr="0049223B" w:rsidRDefault="000B4BB0" w:rsidP="0049223B">
      <w:pPr>
        <w:pStyle w:val="FootnoteText"/>
        <w:jc w:val="both"/>
        <w:rPr>
          <w:rFonts w:ascii="Arial" w:hAnsi="Arial" w:cs="Arial"/>
        </w:rPr>
      </w:pPr>
    </w:p>
  </w:footnote>
  <w:footnote w:id="36">
    <w:p w14:paraId="298DE403" w14:textId="49BF0F85" w:rsidR="000B4BB0"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II at 218 L 6-10; Tr. Vol. II at 326 L 25 to 327 L 3.  </w:t>
      </w:r>
    </w:p>
    <w:p w14:paraId="41C33935" w14:textId="77777777" w:rsidR="00AD593D" w:rsidRPr="0049223B" w:rsidRDefault="00AD593D" w:rsidP="0049223B">
      <w:pPr>
        <w:pStyle w:val="FootnoteText"/>
        <w:jc w:val="both"/>
        <w:rPr>
          <w:rFonts w:ascii="Arial" w:hAnsi="Arial" w:cs="Arial"/>
        </w:rPr>
      </w:pPr>
    </w:p>
  </w:footnote>
  <w:footnote w:id="37">
    <w:p w14:paraId="1687B97E"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Id</w:t>
      </w:r>
      <w:r w:rsidRPr="0049223B">
        <w:rPr>
          <w:rFonts w:ascii="Arial" w:hAnsi="Arial" w:cs="Arial"/>
        </w:rPr>
        <w:t>. at 14.</w:t>
      </w:r>
    </w:p>
    <w:p w14:paraId="738610EB" w14:textId="77777777" w:rsidR="000B4BB0" w:rsidRPr="0049223B" w:rsidRDefault="000B4BB0" w:rsidP="0049223B">
      <w:pPr>
        <w:pStyle w:val="FootnoteText"/>
        <w:jc w:val="both"/>
        <w:rPr>
          <w:rFonts w:ascii="Arial" w:hAnsi="Arial" w:cs="Arial"/>
        </w:rPr>
      </w:pPr>
    </w:p>
  </w:footnote>
  <w:footnote w:id="38">
    <w:p w14:paraId="4972E3D1"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ESP Amended Stipulation at 19-20.</w:t>
      </w:r>
    </w:p>
    <w:p w14:paraId="637805D2" w14:textId="77777777" w:rsidR="000B4BB0" w:rsidRPr="0049223B" w:rsidRDefault="000B4BB0" w:rsidP="0049223B">
      <w:pPr>
        <w:pStyle w:val="FootnoteText"/>
        <w:jc w:val="both"/>
        <w:rPr>
          <w:rFonts w:ascii="Arial" w:hAnsi="Arial" w:cs="Arial"/>
        </w:rPr>
      </w:pPr>
    </w:p>
  </w:footnote>
  <w:footnote w:id="39">
    <w:p w14:paraId="6F59621A"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RESA/IGS Ex. 2 at 10.</w:t>
      </w:r>
    </w:p>
    <w:p w14:paraId="463F29E8" w14:textId="77777777" w:rsidR="000B4BB0" w:rsidRPr="0049223B" w:rsidRDefault="000B4BB0" w:rsidP="0049223B">
      <w:pPr>
        <w:pStyle w:val="FootnoteText"/>
        <w:jc w:val="both"/>
        <w:rPr>
          <w:rFonts w:ascii="Arial" w:hAnsi="Arial" w:cs="Arial"/>
        </w:rPr>
      </w:pPr>
    </w:p>
  </w:footnote>
  <w:footnote w:id="40">
    <w:p w14:paraId="0C6C881F"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RESA/IGS Ex. 2 at 14-15.</w:t>
      </w:r>
    </w:p>
    <w:p w14:paraId="11D5E7D9" w14:textId="79F6B577" w:rsidR="000B4BB0" w:rsidRPr="0049223B" w:rsidRDefault="000B4BB0" w:rsidP="0049223B">
      <w:pPr>
        <w:pStyle w:val="FootnoteText"/>
        <w:jc w:val="both"/>
        <w:rPr>
          <w:rFonts w:ascii="Arial" w:hAnsi="Arial" w:cs="Arial"/>
        </w:rPr>
      </w:pPr>
    </w:p>
  </w:footnote>
  <w:footnote w:id="41">
    <w:p w14:paraId="3B46D67E" w14:textId="756106B9"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 at 50 L 10 to 51 L 12 (uncollectible expense overhead); Tr. Vol. I at 86 L 18-25 (call center expense); Tr. Vol. II at 220 L 9-19 (call center expense); Tr. Vol. II at 223 L 7-25 (regulatory expenses); Tr. Vol. II at 231 (unrecovered SSO litigation expenses); Tr. Vol. II at 236 (unrecovered SSO-related cash working capital requirements); Tr. Vol. II at 305 L 4-22 (SSO-related legal, regulatory, IT, and call center expenses); Tr. Vol. I at 51 L 9-12 (accounting and tracking costs). </w:t>
      </w:r>
    </w:p>
    <w:p w14:paraId="264BECA8" w14:textId="77777777" w:rsidR="000B4BB0" w:rsidRPr="0049223B" w:rsidRDefault="000B4BB0" w:rsidP="0049223B">
      <w:pPr>
        <w:pStyle w:val="FootnoteText"/>
        <w:jc w:val="both"/>
        <w:rPr>
          <w:rFonts w:ascii="Arial" w:hAnsi="Arial" w:cs="Arial"/>
        </w:rPr>
      </w:pPr>
    </w:p>
  </w:footnote>
  <w:footnote w:id="42">
    <w:p w14:paraId="077311BC" w14:textId="2F5DE4F5"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II at 231 L 18-23.</w:t>
      </w:r>
    </w:p>
    <w:p w14:paraId="40256358" w14:textId="77777777" w:rsidR="000B4BB0" w:rsidRPr="0049223B" w:rsidRDefault="000B4BB0" w:rsidP="0049223B">
      <w:pPr>
        <w:pStyle w:val="FootnoteText"/>
        <w:jc w:val="both"/>
        <w:rPr>
          <w:rFonts w:ascii="Arial" w:hAnsi="Arial" w:cs="Arial"/>
        </w:rPr>
      </w:pPr>
    </w:p>
  </w:footnote>
  <w:footnote w:id="43">
    <w:p w14:paraId="6E750B0D" w14:textId="39FF307A" w:rsidR="000B4BB0"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RESA/IGS Ex. 2 at 8.</w:t>
      </w:r>
    </w:p>
    <w:p w14:paraId="0DF39DA0" w14:textId="77777777" w:rsidR="00AD593D" w:rsidRPr="0049223B" w:rsidRDefault="00AD593D" w:rsidP="0049223B">
      <w:pPr>
        <w:pStyle w:val="FootnoteText"/>
        <w:jc w:val="both"/>
        <w:rPr>
          <w:rFonts w:ascii="Arial" w:hAnsi="Arial" w:cs="Arial"/>
        </w:rPr>
      </w:pPr>
    </w:p>
  </w:footnote>
  <w:footnote w:id="44">
    <w:p w14:paraId="32C1D500" w14:textId="790F1A31"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9.</w:t>
      </w:r>
    </w:p>
    <w:p w14:paraId="536CBFF6" w14:textId="77777777" w:rsidR="000B4BB0" w:rsidRPr="0049223B" w:rsidRDefault="000B4BB0" w:rsidP="0049223B">
      <w:pPr>
        <w:pStyle w:val="FootnoteText"/>
        <w:jc w:val="both"/>
        <w:rPr>
          <w:rFonts w:ascii="Arial" w:hAnsi="Arial" w:cs="Arial"/>
        </w:rPr>
      </w:pPr>
    </w:p>
  </w:footnote>
  <w:footnote w:id="45">
    <w:p w14:paraId="4D658F80" w14:textId="6B52F2B9" w:rsidR="000B4BB0" w:rsidRPr="0049223B"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p>
    <w:p w14:paraId="68369CD0" w14:textId="77777777" w:rsidR="000B4BB0" w:rsidRPr="0049223B" w:rsidRDefault="000B4BB0" w:rsidP="0049223B">
      <w:pPr>
        <w:pStyle w:val="FootnoteText"/>
        <w:jc w:val="both"/>
        <w:rPr>
          <w:rFonts w:ascii="Arial" w:hAnsi="Arial" w:cs="Arial"/>
          <w:i/>
        </w:rPr>
      </w:pPr>
    </w:p>
  </w:footnote>
  <w:footnote w:id="46">
    <w:p w14:paraId="2A48572F" w14:textId="345476DA" w:rsidR="000B4BB0"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 xml:space="preserve">at 10-11. </w:t>
      </w:r>
    </w:p>
    <w:p w14:paraId="27606AC1" w14:textId="77777777" w:rsidR="00AD593D" w:rsidRPr="0049223B" w:rsidRDefault="00AD593D" w:rsidP="0049223B">
      <w:pPr>
        <w:pStyle w:val="FootnoteText"/>
        <w:jc w:val="both"/>
        <w:rPr>
          <w:rFonts w:ascii="Arial" w:hAnsi="Arial" w:cs="Arial"/>
        </w:rPr>
      </w:pPr>
    </w:p>
  </w:footnote>
  <w:footnote w:id="47">
    <w:p w14:paraId="0F84D8D0" w14:textId="5F5DEC4E"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10-11.</w:t>
      </w:r>
    </w:p>
  </w:footnote>
  <w:footnote w:id="48">
    <w:p w14:paraId="6B2A3F8E" w14:textId="4D85816E"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RESA/IGS Ex. 1 at 1-3.  </w:t>
      </w:r>
    </w:p>
  </w:footnote>
  <w:footnote w:id="49">
    <w:p w14:paraId="59EC5CE2" w14:textId="2E02B836"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RESA/IGS Ex. 2 at 16.</w:t>
      </w:r>
    </w:p>
    <w:p w14:paraId="3961B53A" w14:textId="77777777" w:rsidR="000B4BB0" w:rsidRPr="0049223B" w:rsidRDefault="000B4BB0" w:rsidP="0049223B">
      <w:pPr>
        <w:pStyle w:val="FootnoteText"/>
        <w:jc w:val="both"/>
        <w:rPr>
          <w:rFonts w:ascii="Arial" w:hAnsi="Arial" w:cs="Arial"/>
        </w:rPr>
      </w:pPr>
    </w:p>
  </w:footnote>
  <w:footnote w:id="50">
    <w:p w14:paraId="69A51081" w14:textId="217E0A1C"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16. The practical consequence of this step is to accept all eliminated expenses as appropriately allocated to non-competitive distribution service.</w:t>
      </w:r>
    </w:p>
    <w:p w14:paraId="7B56AB03" w14:textId="77777777" w:rsidR="000B4BB0" w:rsidRPr="0049223B" w:rsidRDefault="000B4BB0" w:rsidP="0049223B">
      <w:pPr>
        <w:pStyle w:val="FootnoteText"/>
        <w:jc w:val="both"/>
        <w:rPr>
          <w:rFonts w:ascii="Arial" w:hAnsi="Arial" w:cs="Arial"/>
        </w:rPr>
      </w:pPr>
    </w:p>
  </w:footnote>
  <w:footnote w:id="51">
    <w:p w14:paraId="4525B69F"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17.</w:t>
      </w:r>
    </w:p>
    <w:p w14:paraId="5E5E6C42" w14:textId="7031E4DC" w:rsidR="000B4BB0" w:rsidRPr="0049223B" w:rsidRDefault="000B4BB0" w:rsidP="0049223B">
      <w:pPr>
        <w:pStyle w:val="FootnoteText"/>
        <w:jc w:val="both"/>
        <w:rPr>
          <w:rFonts w:ascii="Arial" w:hAnsi="Arial" w:cs="Arial"/>
        </w:rPr>
      </w:pPr>
      <w:r w:rsidRPr="0049223B">
        <w:rPr>
          <w:rFonts w:ascii="Arial" w:hAnsi="Arial" w:cs="Arial"/>
        </w:rPr>
        <w:t xml:space="preserve"> </w:t>
      </w:r>
    </w:p>
  </w:footnote>
  <w:footnote w:id="52">
    <w:p w14:paraId="5397D8C0" w14:textId="4D63E071" w:rsidR="000B4BB0"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p>
    <w:p w14:paraId="0BA64032" w14:textId="77777777" w:rsidR="00AD593D" w:rsidRPr="0049223B" w:rsidRDefault="00AD593D" w:rsidP="0049223B">
      <w:pPr>
        <w:pStyle w:val="FootnoteText"/>
        <w:jc w:val="both"/>
        <w:rPr>
          <w:rFonts w:ascii="Arial" w:hAnsi="Arial" w:cs="Arial"/>
          <w:i/>
        </w:rPr>
      </w:pPr>
    </w:p>
  </w:footnote>
  <w:footnote w:id="53">
    <w:p w14:paraId="5324BB61" w14:textId="2C103A85"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See Id. </w:t>
      </w:r>
      <w:r w:rsidRPr="0049223B">
        <w:rPr>
          <w:rFonts w:ascii="Arial" w:hAnsi="Arial" w:cs="Arial"/>
        </w:rPr>
        <w:t>at 5.</w:t>
      </w:r>
    </w:p>
  </w:footnote>
  <w:footnote w:id="54">
    <w:p w14:paraId="575FC438"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17.</w:t>
      </w:r>
    </w:p>
    <w:p w14:paraId="5439547D" w14:textId="3675919B" w:rsidR="000B4BB0" w:rsidRPr="0049223B" w:rsidRDefault="000B4BB0" w:rsidP="0049223B">
      <w:pPr>
        <w:pStyle w:val="FootnoteText"/>
        <w:jc w:val="both"/>
        <w:rPr>
          <w:rFonts w:ascii="Arial" w:hAnsi="Arial" w:cs="Arial"/>
        </w:rPr>
      </w:pPr>
      <w:r w:rsidRPr="0049223B">
        <w:rPr>
          <w:rFonts w:ascii="Arial" w:hAnsi="Arial" w:cs="Arial"/>
        </w:rPr>
        <w:t xml:space="preserve">  </w:t>
      </w:r>
    </w:p>
  </w:footnote>
  <w:footnote w:id="55">
    <w:p w14:paraId="036060B1" w14:textId="66DDF1D5" w:rsidR="000B4BB0"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p>
    <w:p w14:paraId="6B936A44" w14:textId="77777777" w:rsidR="00AD593D" w:rsidRPr="0049223B" w:rsidRDefault="00AD593D" w:rsidP="0049223B">
      <w:pPr>
        <w:pStyle w:val="FootnoteText"/>
        <w:jc w:val="both"/>
        <w:rPr>
          <w:rFonts w:ascii="Arial" w:hAnsi="Arial" w:cs="Arial"/>
          <w:i/>
        </w:rPr>
      </w:pPr>
    </w:p>
  </w:footnote>
  <w:footnote w:id="56">
    <w:p w14:paraId="53B9C6D9" w14:textId="19F1CB8D" w:rsidR="000B4BB0"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RESA/IGS Ex. 2 at JEH4.</w:t>
      </w:r>
    </w:p>
    <w:p w14:paraId="6C1AAC92" w14:textId="77777777" w:rsidR="00AD593D" w:rsidRPr="0049223B" w:rsidRDefault="00AD593D" w:rsidP="0049223B">
      <w:pPr>
        <w:pStyle w:val="FootnoteText"/>
        <w:jc w:val="both"/>
        <w:rPr>
          <w:rFonts w:ascii="Arial" w:hAnsi="Arial" w:cs="Arial"/>
        </w:rPr>
      </w:pPr>
    </w:p>
  </w:footnote>
  <w:footnote w:id="57">
    <w:p w14:paraId="7A02F081" w14:textId="7F3A6CC3"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17-18.</w:t>
      </w:r>
    </w:p>
    <w:p w14:paraId="7F6B6AB3" w14:textId="77777777" w:rsidR="000B4BB0" w:rsidRPr="0049223B" w:rsidRDefault="000B4BB0" w:rsidP="0049223B">
      <w:pPr>
        <w:pStyle w:val="FootnoteText"/>
        <w:jc w:val="both"/>
        <w:rPr>
          <w:rFonts w:ascii="Arial" w:hAnsi="Arial" w:cs="Arial"/>
        </w:rPr>
      </w:pPr>
    </w:p>
  </w:footnote>
  <w:footnote w:id="58">
    <w:p w14:paraId="71A3B18D" w14:textId="2B2873A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00AD593D">
        <w:rPr>
          <w:rFonts w:ascii="Arial" w:hAnsi="Arial" w:cs="Arial"/>
        </w:rPr>
        <w:t xml:space="preserve"> RESA/IGS Ex. 2, </w:t>
      </w:r>
      <w:r w:rsidRPr="0049223B">
        <w:rPr>
          <w:rFonts w:ascii="Arial" w:hAnsi="Arial" w:cs="Arial"/>
        </w:rPr>
        <w:t xml:space="preserve">JEH 1.  </w:t>
      </w:r>
    </w:p>
    <w:p w14:paraId="07295971" w14:textId="77777777" w:rsidR="000B4BB0" w:rsidRPr="0049223B" w:rsidRDefault="000B4BB0" w:rsidP="0049223B">
      <w:pPr>
        <w:pStyle w:val="FootnoteText"/>
        <w:jc w:val="both"/>
        <w:rPr>
          <w:rFonts w:ascii="Arial" w:hAnsi="Arial" w:cs="Arial"/>
        </w:rPr>
      </w:pPr>
    </w:p>
  </w:footnote>
  <w:footnote w:id="59">
    <w:p w14:paraId="264619DC" w14:textId="3911E679"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During the hearing, Mr. Hess identified a very minor miscalculation on JEH 2 whereby a revenue allocation factor was applied instead of the weighted customer allocation.  The discrepancy results in a difference on the top line of JEH 1 and JEH 2 of (11,235,576 vs. 11,234,677 or approximately $900).  The difference does not have a material impact on Mr. Hess’s recommendation.</w:t>
      </w:r>
    </w:p>
    <w:p w14:paraId="7EC38898" w14:textId="77777777" w:rsidR="000B4BB0" w:rsidRPr="0049223B" w:rsidRDefault="000B4BB0" w:rsidP="0049223B">
      <w:pPr>
        <w:pStyle w:val="FootnoteText"/>
        <w:jc w:val="both"/>
        <w:rPr>
          <w:rFonts w:ascii="Arial" w:hAnsi="Arial" w:cs="Arial"/>
        </w:rPr>
      </w:pPr>
    </w:p>
  </w:footnote>
  <w:footnote w:id="60">
    <w:p w14:paraId="121F0B40" w14:textId="777C7384"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RESA/IGS Ex. 2</w:t>
      </w:r>
      <w:r w:rsidRPr="0049223B">
        <w:rPr>
          <w:rFonts w:ascii="Arial" w:hAnsi="Arial" w:cs="Arial"/>
          <w:i/>
        </w:rPr>
        <w:t xml:space="preserve"> </w:t>
      </w:r>
      <w:r w:rsidRPr="0049223B">
        <w:rPr>
          <w:rFonts w:ascii="Arial" w:hAnsi="Arial" w:cs="Arial"/>
        </w:rPr>
        <w:t>at 18.</w:t>
      </w:r>
    </w:p>
    <w:p w14:paraId="7C687394" w14:textId="77777777" w:rsidR="000B4BB0" w:rsidRPr="0049223B" w:rsidRDefault="000B4BB0" w:rsidP="0049223B">
      <w:pPr>
        <w:pStyle w:val="FootnoteText"/>
        <w:jc w:val="both"/>
        <w:rPr>
          <w:rFonts w:ascii="Arial" w:hAnsi="Arial" w:cs="Arial"/>
          <w:u w:val="single"/>
        </w:rPr>
      </w:pPr>
    </w:p>
  </w:footnote>
  <w:footnote w:id="61">
    <w:p w14:paraId="3AB9062F" w14:textId="4E26F2DF"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 xml:space="preserve">at 18. </w:t>
      </w:r>
    </w:p>
    <w:p w14:paraId="47402376" w14:textId="77777777" w:rsidR="000B4BB0" w:rsidRPr="0049223B" w:rsidRDefault="000B4BB0" w:rsidP="0049223B">
      <w:pPr>
        <w:pStyle w:val="FootnoteText"/>
        <w:jc w:val="both"/>
        <w:rPr>
          <w:rFonts w:ascii="Arial" w:hAnsi="Arial" w:cs="Arial"/>
        </w:rPr>
      </w:pPr>
    </w:p>
  </w:footnote>
  <w:footnote w:id="62">
    <w:p w14:paraId="5B7DADE7" w14:textId="52A3C525"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Id.</w:t>
      </w:r>
      <w:r w:rsidRPr="0049223B">
        <w:rPr>
          <w:rFonts w:ascii="Arial" w:hAnsi="Arial" w:cs="Arial"/>
        </w:rPr>
        <w:t xml:space="preserve"> at 18.</w:t>
      </w:r>
    </w:p>
  </w:footnote>
  <w:footnote w:id="63">
    <w:p w14:paraId="7465DBD2" w14:textId="15D832FE"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18.</w:t>
      </w:r>
    </w:p>
    <w:p w14:paraId="22290128" w14:textId="77777777" w:rsidR="000B4BB0" w:rsidRPr="0049223B" w:rsidRDefault="000B4BB0" w:rsidP="0049223B">
      <w:pPr>
        <w:pStyle w:val="FootnoteText"/>
        <w:jc w:val="both"/>
        <w:rPr>
          <w:rFonts w:ascii="Arial" w:hAnsi="Arial" w:cs="Arial"/>
        </w:rPr>
      </w:pPr>
    </w:p>
  </w:footnote>
  <w:footnote w:id="64">
    <w:p w14:paraId="12FB1A4F"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Staff Ex. 5 at 13.</w:t>
      </w:r>
    </w:p>
    <w:p w14:paraId="00398715" w14:textId="1A1E2EEE" w:rsidR="000B4BB0" w:rsidRPr="0049223B" w:rsidRDefault="000B4BB0" w:rsidP="0049223B">
      <w:pPr>
        <w:pStyle w:val="FootnoteText"/>
        <w:jc w:val="both"/>
        <w:rPr>
          <w:rFonts w:ascii="Arial" w:hAnsi="Arial" w:cs="Arial"/>
        </w:rPr>
      </w:pPr>
      <w:r w:rsidRPr="0049223B">
        <w:rPr>
          <w:rFonts w:ascii="Arial" w:hAnsi="Arial" w:cs="Arial"/>
        </w:rPr>
        <w:tab/>
      </w:r>
    </w:p>
  </w:footnote>
  <w:footnote w:id="65">
    <w:p w14:paraId="53B56CC0" w14:textId="12AB54E9" w:rsidR="000B4BB0" w:rsidRPr="00AD593D" w:rsidRDefault="000B4BB0" w:rsidP="0049223B">
      <w:pPr>
        <w:pStyle w:val="FootnoteText"/>
        <w:jc w:val="both"/>
        <w:rPr>
          <w:rFonts w:ascii="Arial" w:hAnsi="Arial" w:cs="Arial"/>
        </w:rPr>
      </w:pPr>
      <w:r w:rsidRPr="00AD593D">
        <w:rPr>
          <w:rStyle w:val="FootnoteReference"/>
          <w:rFonts w:ascii="Arial" w:hAnsi="Arial" w:cs="Arial"/>
        </w:rPr>
        <w:footnoteRef/>
      </w:r>
      <w:r w:rsidRPr="00AD593D">
        <w:rPr>
          <w:rFonts w:ascii="Arial" w:hAnsi="Arial" w:cs="Arial"/>
        </w:rPr>
        <w:t xml:space="preserve"> </w:t>
      </w:r>
      <w:r w:rsidRPr="00AD593D">
        <w:rPr>
          <w:rFonts w:ascii="Arial" w:hAnsi="Arial" w:cs="Arial"/>
          <w:i/>
        </w:rPr>
        <w:t xml:space="preserve">Id. </w:t>
      </w:r>
      <w:r w:rsidRPr="00AD593D">
        <w:rPr>
          <w:rFonts w:ascii="Arial" w:hAnsi="Arial" w:cs="Arial"/>
        </w:rPr>
        <w:t xml:space="preserve">at 8. </w:t>
      </w:r>
    </w:p>
    <w:p w14:paraId="51E53753" w14:textId="77777777" w:rsidR="000B4BB0" w:rsidRPr="00AD593D" w:rsidRDefault="000B4BB0" w:rsidP="0049223B">
      <w:pPr>
        <w:pStyle w:val="FootnoteText"/>
        <w:jc w:val="both"/>
        <w:rPr>
          <w:rFonts w:ascii="Arial" w:hAnsi="Arial" w:cs="Arial"/>
        </w:rPr>
      </w:pPr>
    </w:p>
  </w:footnote>
  <w:footnote w:id="66">
    <w:p w14:paraId="5D0E5DF3" w14:textId="435427BB" w:rsidR="00AD593D" w:rsidRPr="00AD593D" w:rsidRDefault="00AD593D">
      <w:pPr>
        <w:pStyle w:val="FootnoteText"/>
        <w:rPr>
          <w:rFonts w:ascii="Arial" w:hAnsi="Arial" w:cs="Arial"/>
        </w:rPr>
      </w:pPr>
      <w:r w:rsidRPr="00AD593D">
        <w:rPr>
          <w:rStyle w:val="FootnoteReference"/>
          <w:rFonts w:ascii="Arial" w:hAnsi="Arial" w:cs="Arial"/>
        </w:rPr>
        <w:footnoteRef/>
      </w:r>
      <w:r w:rsidRPr="00AD593D">
        <w:rPr>
          <w:rFonts w:ascii="Arial" w:hAnsi="Arial" w:cs="Arial"/>
        </w:rPr>
        <w:t xml:space="preserve"> Tr. Vol. II at 288.</w:t>
      </w:r>
    </w:p>
    <w:p w14:paraId="0E84F80B" w14:textId="77777777" w:rsidR="00AD593D" w:rsidRDefault="00AD593D">
      <w:pPr>
        <w:pStyle w:val="FootnoteText"/>
      </w:pPr>
    </w:p>
  </w:footnote>
  <w:footnote w:id="67">
    <w:p w14:paraId="5985E13D" w14:textId="40156BD1"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II at 291 L 2-4.</w:t>
      </w:r>
    </w:p>
    <w:p w14:paraId="10D5F56A" w14:textId="77777777" w:rsidR="000B4BB0" w:rsidRPr="0049223B" w:rsidRDefault="000B4BB0" w:rsidP="0049223B">
      <w:pPr>
        <w:pStyle w:val="FootnoteText"/>
        <w:jc w:val="both"/>
        <w:rPr>
          <w:rFonts w:ascii="Arial" w:hAnsi="Arial" w:cs="Arial"/>
        </w:rPr>
      </w:pPr>
    </w:p>
  </w:footnote>
  <w:footnote w:id="68">
    <w:p w14:paraId="2BADD1ED" w14:textId="77777777" w:rsidR="000B4BB0" w:rsidRPr="00AD593D" w:rsidRDefault="000B4BB0" w:rsidP="0049223B">
      <w:pPr>
        <w:pStyle w:val="FootnoteText"/>
        <w:jc w:val="both"/>
        <w:rPr>
          <w:rFonts w:ascii="Arial" w:hAnsi="Arial" w:cs="Arial"/>
        </w:rPr>
      </w:pPr>
      <w:r w:rsidRPr="00AD593D">
        <w:rPr>
          <w:rStyle w:val="FootnoteReference"/>
          <w:rFonts w:ascii="Arial" w:hAnsi="Arial" w:cs="Arial"/>
        </w:rPr>
        <w:footnoteRef/>
      </w:r>
      <w:r w:rsidRPr="00AD593D">
        <w:rPr>
          <w:rFonts w:ascii="Arial" w:hAnsi="Arial" w:cs="Arial"/>
        </w:rPr>
        <w:t xml:space="preserve"> Tr. Vol. II at 290 L 23 to 291 L1. </w:t>
      </w:r>
    </w:p>
    <w:p w14:paraId="7A36E73A" w14:textId="7B3497BB" w:rsidR="000B4BB0" w:rsidRPr="00AD593D" w:rsidRDefault="000B4BB0" w:rsidP="0049223B">
      <w:pPr>
        <w:pStyle w:val="FootnoteText"/>
        <w:jc w:val="both"/>
        <w:rPr>
          <w:rFonts w:ascii="Arial" w:hAnsi="Arial" w:cs="Arial"/>
        </w:rPr>
      </w:pPr>
      <w:r w:rsidRPr="00AD593D">
        <w:rPr>
          <w:rFonts w:ascii="Arial" w:hAnsi="Arial" w:cs="Arial"/>
        </w:rPr>
        <w:t xml:space="preserve">   </w:t>
      </w:r>
    </w:p>
  </w:footnote>
  <w:footnote w:id="69">
    <w:p w14:paraId="21804BE2" w14:textId="465B47A4" w:rsidR="000B4BB0" w:rsidRPr="00AD593D" w:rsidRDefault="000B4BB0" w:rsidP="0049223B">
      <w:pPr>
        <w:pStyle w:val="FootnoteText"/>
        <w:jc w:val="both"/>
        <w:rPr>
          <w:rFonts w:ascii="Arial" w:hAnsi="Arial" w:cs="Arial"/>
        </w:rPr>
      </w:pPr>
      <w:r w:rsidRPr="00AD593D">
        <w:rPr>
          <w:rStyle w:val="FootnoteReference"/>
          <w:rFonts w:ascii="Arial" w:hAnsi="Arial" w:cs="Arial"/>
        </w:rPr>
        <w:footnoteRef/>
      </w:r>
      <w:r w:rsidRPr="00AD593D">
        <w:rPr>
          <w:rFonts w:ascii="Arial" w:hAnsi="Arial" w:cs="Arial"/>
        </w:rPr>
        <w:t xml:space="preserve"> Tr. Vol. II 326 L 22 to 327 L 3.  </w:t>
      </w:r>
    </w:p>
    <w:p w14:paraId="36D8308D" w14:textId="77777777" w:rsidR="000B4BB0" w:rsidRPr="00AD593D" w:rsidRDefault="000B4BB0" w:rsidP="0049223B">
      <w:pPr>
        <w:pStyle w:val="FootnoteText"/>
        <w:jc w:val="both"/>
        <w:rPr>
          <w:rFonts w:ascii="Arial" w:hAnsi="Arial" w:cs="Arial"/>
        </w:rPr>
      </w:pPr>
    </w:p>
  </w:footnote>
  <w:footnote w:id="70">
    <w:p w14:paraId="7650AC9E" w14:textId="77154FD0" w:rsidR="00AD593D" w:rsidRPr="00AD593D" w:rsidRDefault="00AD593D">
      <w:pPr>
        <w:pStyle w:val="FootnoteText"/>
        <w:rPr>
          <w:rFonts w:ascii="Arial" w:hAnsi="Arial" w:cs="Arial"/>
        </w:rPr>
      </w:pPr>
      <w:r w:rsidRPr="00AD593D">
        <w:rPr>
          <w:rStyle w:val="FootnoteReference"/>
          <w:rFonts w:ascii="Arial" w:hAnsi="Arial" w:cs="Arial"/>
        </w:rPr>
        <w:footnoteRef/>
      </w:r>
      <w:r w:rsidRPr="00AD593D">
        <w:rPr>
          <w:rFonts w:ascii="Arial" w:hAnsi="Arial" w:cs="Arial"/>
        </w:rPr>
        <w:t xml:space="preserve"> Tr. Vol. II at 218.</w:t>
      </w:r>
    </w:p>
    <w:p w14:paraId="07A3D45B" w14:textId="77777777" w:rsidR="00AD593D" w:rsidRPr="00AD593D" w:rsidRDefault="00AD593D">
      <w:pPr>
        <w:pStyle w:val="FootnoteText"/>
        <w:rPr>
          <w:rFonts w:ascii="Arial" w:hAnsi="Arial" w:cs="Arial"/>
        </w:rPr>
      </w:pPr>
    </w:p>
  </w:footnote>
  <w:footnote w:id="71">
    <w:p w14:paraId="297813EF" w14:textId="5FA36538" w:rsidR="000B4BB0" w:rsidRPr="00AD593D" w:rsidRDefault="000B4BB0" w:rsidP="0049223B">
      <w:pPr>
        <w:pStyle w:val="FootnoteText"/>
        <w:jc w:val="both"/>
        <w:rPr>
          <w:rFonts w:ascii="Arial" w:hAnsi="Arial" w:cs="Arial"/>
        </w:rPr>
      </w:pPr>
      <w:r w:rsidRPr="00AD593D">
        <w:rPr>
          <w:rStyle w:val="FootnoteReference"/>
          <w:rFonts w:ascii="Arial" w:hAnsi="Arial" w:cs="Arial"/>
        </w:rPr>
        <w:footnoteRef/>
      </w:r>
      <w:r w:rsidR="00AD593D" w:rsidRPr="00AD593D">
        <w:rPr>
          <w:rFonts w:ascii="Arial" w:hAnsi="Arial" w:cs="Arial"/>
        </w:rPr>
        <w:t xml:space="preserve"> Staff Ex. 5 </w:t>
      </w:r>
      <w:r w:rsidRPr="00AD593D">
        <w:rPr>
          <w:rFonts w:ascii="Arial" w:hAnsi="Arial" w:cs="Arial"/>
        </w:rPr>
        <w:t>at 5.</w:t>
      </w:r>
    </w:p>
    <w:p w14:paraId="7B33695D" w14:textId="77777777" w:rsidR="000B4BB0" w:rsidRPr="0049223B" w:rsidRDefault="000B4BB0" w:rsidP="0049223B">
      <w:pPr>
        <w:pStyle w:val="FootnoteText"/>
        <w:jc w:val="both"/>
        <w:rPr>
          <w:rFonts w:ascii="Arial" w:hAnsi="Arial" w:cs="Arial"/>
        </w:rPr>
      </w:pPr>
    </w:p>
  </w:footnote>
  <w:footnote w:id="72">
    <w:p w14:paraId="073E15AC" w14:textId="63430CB1" w:rsidR="000B4BB0"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II at 210 at L 10 to 211 L 1.  </w:t>
      </w:r>
    </w:p>
    <w:p w14:paraId="1E4ABFE3" w14:textId="77777777" w:rsidR="00AD593D" w:rsidRPr="0049223B" w:rsidRDefault="00AD593D" w:rsidP="0049223B">
      <w:pPr>
        <w:pStyle w:val="FootnoteText"/>
        <w:jc w:val="both"/>
        <w:rPr>
          <w:rFonts w:ascii="Arial" w:hAnsi="Arial" w:cs="Arial"/>
        </w:rPr>
      </w:pPr>
    </w:p>
  </w:footnote>
  <w:footnote w:id="73">
    <w:p w14:paraId="73ED4314" w14:textId="77777777" w:rsidR="00AD593D" w:rsidRPr="0049223B" w:rsidRDefault="00AD593D" w:rsidP="00AD593D">
      <w:pPr>
        <w:pStyle w:val="FootnoteText"/>
        <w:jc w:val="both"/>
        <w:rPr>
          <w:rFonts w:ascii="Arial" w:hAnsi="Arial" w:cs="Arial"/>
        </w:rPr>
      </w:pPr>
      <w:r>
        <w:rPr>
          <w:rStyle w:val="FootnoteReference"/>
        </w:rPr>
        <w:footnoteRef/>
      </w:r>
      <w:r>
        <w:t xml:space="preserve"> </w:t>
      </w:r>
      <w:r w:rsidRPr="0049223B">
        <w:rPr>
          <w:rFonts w:ascii="Arial" w:hAnsi="Arial" w:cs="Arial"/>
        </w:rPr>
        <w:t xml:space="preserve">Tr. Vol. I at 50 L 10 to 51 L 12 (uncollectible expense overhead); Tr. Vol. I at 86 L 18-25 (call center expense); Tr. Vol. II at 220 L 9-19 (call center expense); Tr. Vol. II at 223 L 7-25 (regulatory expenses); Tr. Vol. II at 231 (unrecovered SSO litigation expenses); Tr. Vol. II at 236 (unrecovered SSO-related cash working capital requirements); Tr. Vol. II at 305 L 4-22 (SSO-related legal, regulatory, IT, and call center expenses); Tr. Vol. I at 51 L 9-12 (accounting and tracking costs). </w:t>
      </w:r>
    </w:p>
    <w:p w14:paraId="7296675D" w14:textId="4A7E3CEF" w:rsidR="00AD593D" w:rsidRDefault="00AD593D">
      <w:pPr>
        <w:pStyle w:val="FootnoteText"/>
      </w:pPr>
    </w:p>
  </w:footnote>
  <w:footnote w:id="74">
    <w:p w14:paraId="258C31EE" w14:textId="6049493B"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Mr. Smith claimed that there are seventeen IVR options.  This is not true.  As DP&amp;L’s witness, Mr. Bentley, testified, there are five categories.  Tr. Vol. I at 26. There are seventeen different categories of internal reports that DP&amp;L may run.</w:t>
      </w:r>
    </w:p>
    <w:p w14:paraId="3B7B4B86" w14:textId="77777777" w:rsidR="000B4BB0" w:rsidRPr="0049223B" w:rsidRDefault="000B4BB0" w:rsidP="0049223B">
      <w:pPr>
        <w:pStyle w:val="FootnoteText"/>
        <w:jc w:val="both"/>
        <w:rPr>
          <w:rFonts w:ascii="Arial" w:hAnsi="Arial" w:cs="Arial"/>
        </w:rPr>
      </w:pPr>
    </w:p>
  </w:footnote>
  <w:footnote w:id="75">
    <w:p w14:paraId="78751561" w14:textId="329F1E79"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 at 34 L 14 to 35 L 9. </w:t>
      </w:r>
    </w:p>
    <w:p w14:paraId="1D60CE2B" w14:textId="77777777" w:rsidR="000B4BB0" w:rsidRPr="0049223B" w:rsidRDefault="000B4BB0" w:rsidP="0049223B">
      <w:pPr>
        <w:pStyle w:val="FootnoteText"/>
        <w:jc w:val="both"/>
        <w:rPr>
          <w:rFonts w:ascii="Arial" w:hAnsi="Arial" w:cs="Arial"/>
        </w:rPr>
      </w:pPr>
    </w:p>
  </w:footnote>
  <w:footnote w:id="76">
    <w:p w14:paraId="12F2CC89" w14:textId="288C8A3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II at 325 L 11-20. </w:t>
      </w:r>
    </w:p>
  </w:footnote>
  <w:footnote w:id="77">
    <w:p w14:paraId="5F00650D" w14:textId="7BE4E011"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 at 46 L 25 to 47 L12. </w:t>
      </w:r>
    </w:p>
    <w:p w14:paraId="1674DEBE" w14:textId="77777777" w:rsidR="000B4BB0" w:rsidRPr="0049223B" w:rsidRDefault="000B4BB0" w:rsidP="0049223B">
      <w:pPr>
        <w:pStyle w:val="FootnoteText"/>
        <w:jc w:val="both"/>
        <w:rPr>
          <w:rFonts w:ascii="Arial" w:hAnsi="Arial" w:cs="Arial"/>
        </w:rPr>
      </w:pPr>
    </w:p>
  </w:footnote>
  <w:footnote w:id="78">
    <w:p w14:paraId="3F579484" w14:textId="3097CEEF"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 at 47 L 4-10.  </w:t>
      </w:r>
    </w:p>
    <w:p w14:paraId="4AEA871B" w14:textId="77777777" w:rsidR="000B4BB0" w:rsidRPr="0049223B" w:rsidRDefault="000B4BB0" w:rsidP="0049223B">
      <w:pPr>
        <w:pStyle w:val="FootnoteText"/>
        <w:jc w:val="both"/>
        <w:rPr>
          <w:rFonts w:ascii="Arial" w:hAnsi="Arial" w:cs="Arial"/>
        </w:rPr>
      </w:pPr>
    </w:p>
  </w:footnote>
  <w:footnote w:id="79">
    <w:p w14:paraId="20071E7B" w14:textId="7FE0BB00"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 at 45 L 18 to 46 L 14.</w:t>
      </w:r>
    </w:p>
    <w:p w14:paraId="6B72DD11" w14:textId="77777777" w:rsidR="000B4BB0" w:rsidRPr="0049223B" w:rsidRDefault="000B4BB0" w:rsidP="0049223B">
      <w:pPr>
        <w:pStyle w:val="FootnoteText"/>
        <w:jc w:val="both"/>
        <w:rPr>
          <w:rFonts w:ascii="Arial" w:hAnsi="Arial" w:cs="Arial"/>
        </w:rPr>
      </w:pPr>
    </w:p>
  </w:footnote>
  <w:footnote w:id="80">
    <w:p w14:paraId="686451F3" w14:textId="0B574FD3" w:rsidR="000B4BB0" w:rsidRPr="0049223B"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p>
    <w:p w14:paraId="2F9E06ED" w14:textId="77777777" w:rsidR="000B4BB0" w:rsidRPr="0049223B" w:rsidRDefault="000B4BB0" w:rsidP="0049223B">
      <w:pPr>
        <w:pStyle w:val="FootnoteText"/>
        <w:jc w:val="both"/>
        <w:rPr>
          <w:rFonts w:ascii="Arial" w:hAnsi="Arial" w:cs="Arial"/>
          <w:i/>
        </w:rPr>
      </w:pPr>
    </w:p>
  </w:footnote>
  <w:footnote w:id="81">
    <w:p w14:paraId="36835C2D" w14:textId="4946CDFB"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For example, in 2016 approximately $567,000 in revenue from shopping customers and $4,530,00 in revenue from SSO customers. Staff Ex. 5, Attachment 3.</w:t>
      </w:r>
    </w:p>
    <w:p w14:paraId="3558F87A" w14:textId="77777777" w:rsidR="000B4BB0" w:rsidRPr="0049223B" w:rsidRDefault="000B4BB0" w:rsidP="0049223B">
      <w:pPr>
        <w:pStyle w:val="FootnoteText"/>
        <w:jc w:val="both"/>
        <w:rPr>
          <w:rFonts w:ascii="Arial" w:hAnsi="Arial" w:cs="Arial"/>
        </w:rPr>
      </w:pPr>
    </w:p>
  </w:footnote>
  <w:footnote w:id="82">
    <w:p w14:paraId="191CD620" w14:textId="224E004F"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 at 44 L 9-17.</w:t>
      </w:r>
    </w:p>
    <w:p w14:paraId="256EA6F3" w14:textId="77777777" w:rsidR="000B4BB0" w:rsidRPr="0049223B" w:rsidRDefault="000B4BB0" w:rsidP="0049223B">
      <w:pPr>
        <w:pStyle w:val="FootnoteText"/>
        <w:jc w:val="both"/>
        <w:rPr>
          <w:rFonts w:ascii="Arial" w:hAnsi="Arial" w:cs="Arial"/>
        </w:rPr>
      </w:pPr>
    </w:p>
  </w:footnote>
  <w:footnote w:id="83">
    <w:p w14:paraId="5AEB628B" w14:textId="2A9B8421" w:rsidR="000B4BB0" w:rsidRPr="0049223B" w:rsidRDefault="000B4BB0" w:rsidP="0049223B">
      <w:pPr>
        <w:pStyle w:val="FootnoteText"/>
        <w:ind w:left="270" w:hanging="270"/>
        <w:jc w:val="both"/>
        <w:rPr>
          <w:rFonts w:ascii="Arial" w:hAnsi="Arial" w:cs="Arial"/>
        </w:rPr>
      </w:pPr>
      <w:r w:rsidRPr="0049223B">
        <w:rPr>
          <w:rStyle w:val="FootnoteReference"/>
          <w:rFonts w:ascii="Arial" w:hAnsi="Arial" w:cs="Arial"/>
        </w:rPr>
        <w:footnoteRef/>
      </w:r>
      <w:r w:rsidRPr="0049223B">
        <w:rPr>
          <w:rFonts w:ascii="Arial" w:hAnsi="Arial" w:cs="Arial"/>
        </w:rPr>
        <w:t xml:space="preserve">  Q. Are a portion of the complaints identified on this table related to times when a customer that is shopping with a CRES provider has a  concern about their distribution service?</w:t>
      </w:r>
    </w:p>
    <w:p w14:paraId="2F9C2993" w14:textId="77777777" w:rsidR="000B4BB0" w:rsidRPr="0049223B" w:rsidRDefault="000B4BB0" w:rsidP="0049223B">
      <w:pPr>
        <w:pStyle w:val="FootnoteText"/>
        <w:ind w:left="270"/>
        <w:jc w:val="both"/>
        <w:rPr>
          <w:rFonts w:ascii="Arial" w:hAnsi="Arial" w:cs="Arial"/>
        </w:rPr>
      </w:pPr>
      <w:r w:rsidRPr="0049223B">
        <w:rPr>
          <w:rFonts w:ascii="Arial" w:hAnsi="Arial" w:cs="Arial"/>
        </w:rPr>
        <w:t>A. I don't know specifically the detail  behind this.</w:t>
      </w:r>
    </w:p>
    <w:p w14:paraId="47025C73" w14:textId="77777777" w:rsidR="000B4BB0" w:rsidRPr="0049223B" w:rsidRDefault="000B4BB0" w:rsidP="0049223B">
      <w:pPr>
        <w:pStyle w:val="FootnoteText"/>
        <w:ind w:left="270"/>
        <w:jc w:val="both"/>
        <w:rPr>
          <w:rFonts w:ascii="Arial" w:hAnsi="Arial" w:cs="Arial"/>
        </w:rPr>
      </w:pPr>
      <w:r w:rsidRPr="0049223B">
        <w:rPr>
          <w:rFonts w:ascii="Arial" w:hAnsi="Arial" w:cs="Arial"/>
        </w:rPr>
        <w:t xml:space="preserve">Q. And if you know, when a customer has a concern about their competitive retail electric service and they are taking service from a CRES provider, and there's a call to the DP&amp;L contact center, does DP&amp;L refer that customer to their CRES provider? </w:t>
      </w:r>
    </w:p>
    <w:p w14:paraId="75B268C4" w14:textId="77777777" w:rsidR="000B4BB0" w:rsidRPr="0049223B" w:rsidRDefault="000B4BB0" w:rsidP="0049223B">
      <w:pPr>
        <w:pStyle w:val="FootnoteText"/>
        <w:ind w:left="270"/>
        <w:jc w:val="both"/>
        <w:rPr>
          <w:rFonts w:ascii="Arial" w:hAnsi="Arial" w:cs="Arial"/>
        </w:rPr>
      </w:pPr>
      <w:r w:rsidRPr="0049223B">
        <w:rPr>
          <w:rFonts w:ascii="Arial" w:hAnsi="Arial" w:cs="Arial"/>
        </w:rPr>
        <w:t>A. I specifically -- I do not know.</w:t>
      </w:r>
    </w:p>
    <w:p w14:paraId="00E8CD92" w14:textId="7A8DBD13" w:rsidR="000B4BB0" w:rsidRPr="0049223B" w:rsidRDefault="000B4BB0" w:rsidP="0049223B">
      <w:pPr>
        <w:pStyle w:val="FootnoteText"/>
        <w:ind w:left="270"/>
        <w:jc w:val="both"/>
        <w:rPr>
          <w:rFonts w:ascii="Arial" w:hAnsi="Arial" w:cs="Arial"/>
        </w:rPr>
      </w:pPr>
      <w:r w:rsidRPr="0049223B">
        <w:rPr>
          <w:rFonts w:ascii="Arial" w:hAnsi="Arial" w:cs="Arial"/>
        </w:rPr>
        <w:t xml:space="preserve">Tr. Vol. I at 37 L5-17.  </w:t>
      </w:r>
    </w:p>
  </w:footnote>
  <w:footnote w:id="84">
    <w:p w14:paraId="7BF4A78F"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Staff Report at 38-43.  </w:t>
      </w:r>
    </w:p>
    <w:p w14:paraId="3A0FF5F2" w14:textId="77777777" w:rsidR="000B4BB0" w:rsidRPr="0049223B" w:rsidRDefault="000B4BB0" w:rsidP="0049223B">
      <w:pPr>
        <w:pStyle w:val="FootnoteText"/>
        <w:jc w:val="both"/>
        <w:rPr>
          <w:rFonts w:ascii="Arial" w:hAnsi="Arial" w:cs="Arial"/>
        </w:rPr>
      </w:pPr>
    </w:p>
  </w:footnote>
  <w:footnote w:id="85">
    <w:p w14:paraId="68518232" w14:textId="4831A92C"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Staff Report at 36.</w:t>
      </w:r>
    </w:p>
    <w:p w14:paraId="3433E656" w14:textId="77777777" w:rsidR="000B4BB0" w:rsidRPr="0049223B" w:rsidRDefault="000B4BB0" w:rsidP="0049223B">
      <w:pPr>
        <w:pStyle w:val="FootnoteText"/>
        <w:jc w:val="both"/>
        <w:rPr>
          <w:rFonts w:ascii="Arial" w:hAnsi="Arial" w:cs="Arial"/>
        </w:rPr>
      </w:pPr>
    </w:p>
  </w:footnote>
  <w:footnote w:id="86">
    <w:p w14:paraId="38173520" w14:textId="318DF41F"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II at 279 at L 4-7.</w:t>
      </w:r>
    </w:p>
    <w:p w14:paraId="2DDB2520" w14:textId="77777777" w:rsidR="000B4BB0" w:rsidRPr="0049223B" w:rsidRDefault="000B4BB0" w:rsidP="0049223B">
      <w:pPr>
        <w:pStyle w:val="FootnoteText"/>
        <w:jc w:val="both"/>
        <w:rPr>
          <w:rFonts w:ascii="Arial" w:hAnsi="Arial" w:cs="Arial"/>
        </w:rPr>
      </w:pPr>
    </w:p>
  </w:footnote>
  <w:footnote w:id="87">
    <w:p w14:paraId="297E9EE9" w14:textId="5FCE30FD"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II at 279</w:t>
      </w:r>
      <w:r w:rsidRPr="0049223B">
        <w:rPr>
          <w:rFonts w:ascii="Arial" w:hAnsi="Arial" w:cs="Arial"/>
          <w:i/>
        </w:rPr>
        <w:t xml:space="preserve"> </w:t>
      </w:r>
      <w:r w:rsidRPr="0049223B">
        <w:rPr>
          <w:rFonts w:ascii="Arial" w:hAnsi="Arial" w:cs="Arial"/>
        </w:rPr>
        <w:t>L 10-15.</w:t>
      </w:r>
    </w:p>
    <w:p w14:paraId="043A38B3" w14:textId="77777777" w:rsidR="000B4BB0" w:rsidRPr="0049223B" w:rsidRDefault="000B4BB0" w:rsidP="0049223B">
      <w:pPr>
        <w:pStyle w:val="FootnoteText"/>
        <w:jc w:val="both"/>
        <w:rPr>
          <w:rFonts w:ascii="Arial" w:hAnsi="Arial" w:cs="Arial"/>
        </w:rPr>
      </w:pPr>
    </w:p>
  </w:footnote>
  <w:footnote w:id="88">
    <w:p w14:paraId="4C0820DF" w14:textId="2955E8BC"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II at 281 L 14-22.</w:t>
      </w:r>
    </w:p>
  </w:footnote>
  <w:footnote w:id="89">
    <w:p w14:paraId="492F095A" w14:textId="5E67F1F9"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IGS Ex. 3 at 8.</w:t>
      </w:r>
    </w:p>
    <w:p w14:paraId="1797D89D" w14:textId="77777777" w:rsidR="000B4BB0" w:rsidRPr="0049223B" w:rsidRDefault="000B4BB0" w:rsidP="0049223B">
      <w:pPr>
        <w:pStyle w:val="FootnoteText"/>
        <w:jc w:val="both"/>
        <w:rPr>
          <w:rFonts w:ascii="Arial" w:hAnsi="Arial" w:cs="Arial"/>
        </w:rPr>
      </w:pPr>
    </w:p>
  </w:footnote>
  <w:footnote w:id="90">
    <w:p w14:paraId="27004312" w14:textId="12529626"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4.</w:t>
      </w:r>
    </w:p>
    <w:p w14:paraId="25B5CA55" w14:textId="77777777" w:rsidR="000B4BB0" w:rsidRPr="0049223B" w:rsidRDefault="000B4BB0" w:rsidP="0049223B">
      <w:pPr>
        <w:pStyle w:val="FootnoteText"/>
        <w:jc w:val="both"/>
        <w:rPr>
          <w:rFonts w:ascii="Arial" w:hAnsi="Arial" w:cs="Arial"/>
        </w:rPr>
      </w:pPr>
    </w:p>
  </w:footnote>
  <w:footnote w:id="91">
    <w:p w14:paraId="6AD021BB" w14:textId="2413A513"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DP&amp;L Alternative Generation Supplier Coordination Tariff, sheet G8, page 24 of 30 (emphasis added). </w:t>
      </w:r>
    </w:p>
    <w:p w14:paraId="20B09CC6" w14:textId="77777777" w:rsidR="000B4BB0" w:rsidRPr="0049223B" w:rsidRDefault="000B4BB0" w:rsidP="0049223B">
      <w:pPr>
        <w:pStyle w:val="FootnoteText"/>
        <w:jc w:val="both"/>
        <w:rPr>
          <w:rFonts w:ascii="Arial" w:hAnsi="Arial" w:cs="Arial"/>
        </w:rPr>
      </w:pPr>
    </w:p>
  </w:footnote>
  <w:footnote w:id="92">
    <w:p w14:paraId="735C4C8F" w14:textId="39233D54" w:rsidR="000B4BB0"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IGS Ex. 3 at 6.</w:t>
      </w:r>
    </w:p>
    <w:p w14:paraId="17F49FA7" w14:textId="77777777" w:rsidR="004A0C52" w:rsidRPr="0049223B" w:rsidRDefault="004A0C52" w:rsidP="0049223B">
      <w:pPr>
        <w:pStyle w:val="FootnoteText"/>
        <w:jc w:val="both"/>
        <w:rPr>
          <w:rFonts w:ascii="Arial" w:hAnsi="Arial" w:cs="Arial"/>
        </w:rPr>
      </w:pPr>
    </w:p>
  </w:footnote>
  <w:footnote w:id="93">
    <w:p w14:paraId="0F1B9B60" w14:textId="2921CF96"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DP&amp;L Alternative Generation Supplier Coordination Tariff, sheet G8, page 24 of 30.</w:t>
      </w:r>
    </w:p>
    <w:p w14:paraId="11258922" w14:textId="77777777" w:rsidR="000B4BB0" w:rsidRPr="0049223B" w:rsidRDefault="000B4BB0" w:rsidP="0049223B">
      <w:pPr>
        <w:pStyle w:val="FootnoteText"/>
        <w:jc w:val="both"/>
        <w:rPr>
          <w:rFonts w:ascii="Arial" w:hAnsi="Arial" w:cs="Arial"/>
        </w:rPr>
      </w:pPr>
    </w:p>
  </w:footnote>
  <w:footnote w:id="94">
    <w:p w14:paraId="2467D03D" w14:textId="0D97714C"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IGS Ex. 3 at 5.</w:t>
      </w:r>
    </w:p>
    <w:p w14:paraId="05E23A1E" w14:textId="77777777" w:rsidR="000B4BB0" w:rsidRPr="0049223B" w:rsidRDefault="000B4BB0" w:rsidP="0049223B">
      <w:pPr>
        <w:pStyle w:val="FootnoteText"/>
        <w:jc w:val="both"/>
        <w:rPr>
          <w:rFonts w:ascii="Arial" w:hAnsi="Arial" w:cs="Arial"/>
        </w:rPr>
      </w:pPr>
    </w:p>
  </w:footnote>
  <w:footnote w:id="95">
    <w:p w14:paraId="5A7BDAE5" w14:textId="14A6F7B2"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8.</w:t>
      </w:r>
    </w:p>
    <w:p w14:paraId="6479324A" w14:textId="77777777" w:rsidR="000B4BB0" w:rsidRPr="0049223B" w:rsidRDefault="000B4BB0" w:rsidP="0049223B">
      <w:pPr>
        <w:pStyle w:val="FootnoteText"/>
        <w:jc w:val="both"/>
        <w:rPr>
          <w:rFonts w:ascii="Arial" w:hAnsi="Arial" w:cs="Arial"/>
        </w:rPr>
      </w:pPr>
    </w:p>
  </w:footnote>
  <w:footnote w:id="96">
    <w:p w14:paraId="793A7CFC" w14:textId="52DC4BA4"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8.</w:t>
      </w:r>
    </w:p>
    <w:p w14:paraId="684EBC00" w14:textId="77777777" w:rsidR="000B4BB0" w:rsidRPr="0049223B" w:rsidRDefault="000B4BB0" w:rsidP="0049223B">
      <w:pPr>
        <w:pStyle w:val="FootnoteText"/>
        <w:jc w:val="both"/>
        <w:rPr>
          <w:rFonts w:ascii="Arial" w:hAnsi="Arial" w:cs="Arial"/>
        </w:rPr>
      </w:pPr>
    </w:p>
  </w:footnote>
  <w:footnote w:id="97">
    <w:p w14:paraId="3F558989" w14:textId="575C5E38" w:rsidR="000B4BB0" w:rsidRPr="0049223B"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p>
  </w:footnote>
  <w:footnote w:id="98">
    <w:p w14:paraId="24EFF525" w14:textId="6A74F6CC"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9.</w:t>
      </w:r>
    </w:p>
    <w:p w14:paraId="242CD7F6" w14:textId="77777777" w:rsidR="000B4BB0" w:rsidRPr="0049223B" w:rsidRDefault="000B4BB0" w:rsidP="0049223B">
      <w:pPr>
        <w:pStyle w:val="FootnoteText"/>
        <w:jc w:val="both"/>
        <w:rPr>
          <w:rFonts w:ascii="Arial" w:hAnsi="Arial" w:cs="Arial"/>
        </w:rPr>
      </w:pPr>
    </w:p>
  </w:footnote>
  <w:footnote w:id="99">
    <w:p w14:paraId="46D3DD39" w14:textId="6024953A" w:rsidR="000B4BB0" w:rsidRPr="0049223B"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p>
    <w:p w14:paraId="767DCCA6" w14:textId="77777777" w:rsidR="000B4BB0" w:rsidRPr="0049223B" w:rsidRDefault="000B4BB0" w:rsidP="0049223B">
      <w:pPr>
        <w:pStyle w:val="FootnoteText"/>
        <w:jc w:val="both"/>
        <w:rPr>
          <w:rFonts w:ascii="Arial" w:hAnsi="Arial" w:cs="Arial"/>
          <w:i/>
        </w:rPr>
      </w:pPr>
    </w:p>
  </w:footnote>
  <w:footnote w:id="100">
    <w:p w14:paraId="3F9B2CF7" w14:textId="77777777" w:rsidR="000B4BB0" w:rsidRPr="0049223B" w:rsidRDefault="000B4BB0" w:rsidP="0049223B">
      <w:pPr>
        <w:pStyle w:val="FootnoteText"/>
        <w:jc w:val="both"/>
        <w:rPr>
          <w:rFonts w:ascii="Arial" w:hAnsi="Arial" w:cs="Arial"/>
          <w:i/>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Consumers' Counsel v. Pub. Util. Comm’n</w:t>
      </w:r>
      <w:r w:rsidRPr="0049223B">
        <w:rPr>
          <w:rFonts w:ascii="Arial" w:hAnsi="Arial" w:cs="Arial"/>
        </w:rPr>
        <w:t xml:space="preserve">, 64 Ohio St.3d 123, 126 (1992). See, also, </w:t>
      </w:r>
      <w:r w:rsidRPr="0049223B">
        <w:rPr>
          <w:rFonts w:ascii="Arial" w:hAnsi="Arial" w:cs="Arial"/>
          <w:i/>
        </w:rPr>
        <w:t>AK Steel Corp. v.</w:t>
      </w:r>
    </w:p>
    <w:p w14:paraId="5BBE6A9A" w14:textId="77777777" w:rsidR="000B4BB0" w:rsidRPr="0049223B" w:rsidRDefault="000B4BB0" w:rsidP="0049223B">
      <w:pPr>
        <w:pStyle w:val="FootnoteText"/>
        <w:jc w:val="both"/>
        <w:rPr>
          <w:rFonts w:ascii="Arial" w:hAnsi="Arial" w:cs="Arial"/>
        </w:rPr>
      </w:pPr>
      <w:r w:rsidRPr="0049223B">
        <w:rPr>
          <w:rFonts w:ascii="Arial" w:hAnsi="Arial" w:cs="Arial"/>
          <w:i/>
        </w:rPr>
        <w:t>Pub. Util. Comm’n</w:t>
      </w:r>
      <w:r w:rsidRPr="0049223B">
        <w:rPr>
          <w:rFonts w:ascii="Arial" w:hAnsi="Arial" w:cs="Arial"/>
        </w:rPr>
        <w:t>, 95 Ohio St.3d 81, 82-83 (2002).</w:t>
      </w:r>
    </w:p>
    <w:p w14:paraId="5630AD66" w14:textId="77777777" w:rsidR="000B4BB0" w:rsidRPr="0049223B" w:rsidRDefault="000B4BB0" w:rsidP="0049223B">
      <w:pPr>
        <w:pStyle w:val="FootnoteText"/>
        <w:jc w:val="both"/>
        <w:rPr>
          <w:rFonts w:ascii="Arial" w:hAnsi="Arial" w:cs="Arial"/>
        </w:rPr>
      </w:pPr>
    </w:p>
  </w:footnote>
  <w:footnote w:id="101">
    <w:p w14:paraId="0725BE8F"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Monongahela Power Co. v. Pub. Util. Comm’n.,</w:t>
      </w:r>
      <w:r w:rsidRPr="0049223B">
        <w:rPr>
          <w:rFonts w:ascii="Arial" w:hAnsi="Arial" w:cs="Arial"/>
        </w:rPr>
        <w:t xml:space="preserve"> 104 Ohio St.3d 571, 2004-Ohio-6896 at 26 (2004)</w:t>
      </w:r>
    </w:p>
    <w:p w14:paraId="4BBC7726" w14:textId="77777777" w:rsidR="000B4BB0" w:rsidRPr="0049223B" w:rsidRDefault="000B4BB0" w:rsidP="0049223B">
      <w:pPr>
        <w:pStyle w:val="FootnoteText"/>
        <w:jc w:val="both"/>
        <w:rPr>
          <w:rFonts w:ascii="Arial" w:hAnsi="Arial" w:cs="Arial"/>
        </w:rPr>
      </w:pPr>
      <w:r w:rsidRPr="0049223B">
        <w:rPr>
          <w:rFonts w:ascii="Arial" w:hAnsi="Arial" w:cs="Arial"/>
        </w:rPr>
        <w:t xml:space="preserve">(emphasis added). </w:t>
      </w:r>
      <w:r w:rsidRPr="0049223B">
        <w:rPr>
          <w:rFonts w:ascii="Arial" w:hAnsi="Arial" w:cs="Arial"/>
        </w:rPr>
        <w:cr/>
      </w:r>
    </w:p>
  </w:footnote>
  <w:footnote w:id="102">
    <w:p w14:paraId="7141621E" w14:textId="69F16A42"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Office of Consumers’ Counsel v. Pub. Util. Comm’n</w:t>
      </w:r>
      <w:r w:rsidRPr="0049223B">
        <w:rPr>
          <w:rFonts w:ascii="Arial" w:hAnsi="Arial" w:cs="Arial"/>
        </w:rPr>
        <w:t>, 67 Ohio St. 2d. 153 (1981).</w:t>
      </w:r>
    </w:p>
    <w:p w14:paraId="6D866221" w14:textId="77777777" w:rsidR="000B4BB0" w:rsidRPr="0049223B" w:rsidRDefault="000B4BB0" w:rsidP="0049223B">
      <w:pPr>
        <w:pStyle w:val="FootnoteText"/>
        <w:jc w:val="both"/>
        <w:rPr>
          <w:rFonts w:ascii="Arial" w:hAnsi="Arial" w:cs="Arial"/>
        </w:rPr>
      </w:pPr>
    </w:p>
  </w:footnote>
  <w:footnote w:id="103">
    <w:p w14:paraId="5A830B9C" w14:textId="26A4F8F9"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 xml:space="preserve">Id. </w:t>
      </w:r>
      <w:r w:rsidRPr="0049223B">
        <w:rPr>
          <w:rFonts w:ascii="Arial" w:hAnsi="Arial" w:cs="Arial"/>
        </w:rPr>
        <w:t>at 166.</w:t>
      </w:r>
    </w:p>
    <w:p w14:paraId="21F02D18" w14:textId="77777777" w:rsidR="000B4BB0" w:rsidRPr="0049223B" w:rsidRDefault="000B4BB0" w:rsidP="0049223B">
      <w:pPr>
        <w:pStyle w:val="FootnoteText"/>
        <w:jc w:val="both"/>
        <w:rPr>
          <w:rFonts w:ascii="Arial" w:hAnsi="Arial" w:cs="Arial"/>
        </w:rPr>
      </w:pPr>
    </w:p>
  </w:footnote>
  <w:footnote w:id="104">
    <w:p w14:paraId="21B8A3F1" w14:textId="167EFF5F"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R.C. 4928.03; RC. 4928.141 (”a standard service offer of all competitive retail electric services necessary to maintain essential electric service to consumers.”)</w:t>
      </w:r>
    </w:p>
  </w:footnote>
  <w:footnote w:id="105">
    <w:p w14:paraId="1674ACB6" w14:textId="4A591FEC" w:rsidR="004A0C52" w:rsidRPr="004A0C52" w:rsidRDefault="004A0C52">
      <w:pPr>
        <w:pStyle w:val="FootnoteText"/>
        <w:rPr>
          <w:rFonts w:ascii="Arial" w:hAnsi="Arial" w:cs="Arial"/>
        </w:rPr>
      </w:pPr>
      <w:r w:rsidRPr="004A0C52">
        <w:rPr>
          <w:rStyle w:val="FootnoteReference"/>
          <w:rFonts w:ascii="Arial" w:hAnsi="Arial" w:cs="Arial"/>
        </w:rPr>
        <w:footnoteRef/>
      </w:r>
      <w:r w:rsidRPr="004A0C52">
        <w:rPr>
          <w:rFonts w:ascii="Arial" w:hAnsi="Arial" w:cs="Arial"/>
        </w:rPr>
        <w:t xml:space="preserve"> RESA/IGS Ex. 1 at 2.</w:t>
      </w:r>
    </w:p>
  </w:footnote>
  <w:footnote w:id="106">
    <w:p w14:paraId="2E6DA7BF" w14:textId="310433C6"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R.C. 4928.02(B); </w:t>
      </w:r>
      <w:r w:rsidRPr="0049223B">
        <w:rPr>
          <w:rFonts w:ascii="Arial" w:hAnsi="Arial" w:cs="Arial"/>
          <w:i/>
        </w:rPr>
        <w:t>see also</w:t>
      </w:r>
      <w:r w:rsidRPr="0049223B">
        <w:rPr>
          <w:rFonts w:ascii="Arial" w:hAnsi="Arial" w:cs="Arial"/>
        </w:rPr>
        <w:t xml:space="preserve"> R.C. 4928.05(A)(1) eliminating authority to apply traditional regulatory authority to unbundled competitive services. </w:t>
      </w:r>
    </w:p>
    <w:p w14:paraId="26751423" w14:textId="77777777" w:rsidR="000B4BB0" w:rsidRPr="0049223B" w:rsidRDefault="000B4BB0" w:rsidP="0049223B">
      <w:pPr>
        <w:pStyle w:val="FootnoteText"/>
        <w:jc w:val="both"/>
        <w:rPr>
          <w:rFonts w:ascii="Arial" w:hAnsi="Arial" w:cs="Arial"/>
        </w:rPr>
      </w:pPr>
    </w:p>
  </w:footnote>
  <w:footnote w:id="107">
    <w:p w14:paraId="2AF68D01" w14:textId="2901DE4B"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R.C. 4829.02(A).</w:t>
      </w:r>
    </w:p>
    <w:p w14:paraId="47B9A4A9" w14:textId="77777777" w:rsidR="000B4BB0" w:rsidRPr="0049223B" w:rsidRDefault="000B4BB0" w:rsidP="0049223B">
      <w:pPr>
        <w:pStyle w:val="FootnoteText"/>
        <w:jc w:val="both"/>
        <w:rPr>
          <w:rFonts w:ascii="Arial" w:hAnsi="Arial" w:cs="Arial"/>
        </w:rPr>
      </w:pPr>
    </w:p>
  </w:footnote>
  <w:footnote w:id="108">
    <w:p w14:paraId="59D9173E" w14:textId="613D67EF"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R.C. 4928.02(H).</w:t>
      </w:r>
    </w:p>
    <w:p w14:paraId="0BC934B0" w14:textId="77777777" w:rsidR="000B4BB0" w:rsidRPr="0049223B" w:rsidRDefault="000B4BB0" w:rsidP="0049223B">
      <w:pPr>
        <w:pStyle w:val="FootnoteText"/>
        <w:jc w:val="both"/>
        <w:rPr>
          <w:rFonts w:ascii="Arial" w:hAnsi="Arial" w:cs="Arial"/>
        </w:rPr>
      </w:pPr>
    </w:p>
  </w:footnote>
  <w:footnote w:id="109">
    <w:p w14:paraId="419B2D2D"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Industrial Energy Users-Ohio v. Pub. Util. Comm’n</w:t>
      </w:r>
      <w:r w:rsidRPr="0049223B">
        <w:rPr>
          <w:rFonts w:ascii="Arial" w:hAnsi="Arial" w:cs="Arial"/>
        </w:rPr>
        <w:t>, 117 Ohio St. 3d 486, 487 (2008).</w:t>
      </w:r>
    </w:p>
    <w:p w14:paraId="61829076" w14:textId="77777777" w:rsidR="000B4BB0" w:rsidRPr="0049223B" w:rsidRDefault="000B4BB0" w:rsidP="0049223B">
      <w:pPr>
        <w:pStyle w:val="FootnoteText"/>
        <w:jc w:val="both"/>
        <w:rPr>
          <w:rFonts w:ascii="Arial" w:hAnsi="Arial" w:cs="Arial"/>
        </w:rPr>
      </w:pPr>
    </w:p>
  </w:footnote>
  <w:footnote w:id="110">
    <w:p w14:paraId="3D1D6C86" w14:textId="77777777"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rPr>
        <w:t>Industrial Energy Users-Ohio v. Pub. Util. Comm’n</w:t>
      </w:r>
      <w:r w:rsidRPr="0049223B">
        <w:rPr>
          <w:rFonts w:ascii="Arial" w:hAnsi="Arial" w:cs="Arial"/>
        </w:rPr>
        <w:t>, 117 Ohio St. 3d 486, 487 (2008).</w:t>
      </w:r>
    </w:p>
  </w:footnote>
  <w:footnote w:id="111">
    <w:p w14:paraId="3FC38240" w14:textId="77777777" w:rsidR="000B4BB0" w:rsidRPr="0049223B" w:rsidRDefault="000B4BB0" w:rsidP="0049223B">
      <w:pPr>
        <w:pStyle w:val="FootnoteText"/>
        <w:jc w:val="both"/>
        <w:rPr>
          <w:rFonts w:ascii="Arial" w:hAnsi="Arial" w:cs="Arial"/>
          <w:shd w:val="clear" w:color="auto" w:fill="FFFFFF"/>
        </w:rPr>
      </w:pPr>
      <w:r w:rsidRPr="0049223B">
        <w:rPr>
          <w:rStyle w:val="FootnoteReference"/>
          <w:rFonts w:ascii="Arial" w:hAnsi="Arial" w:cs="Arial"/>
        </w:rPr>
        <w:footnoteRef/>
      </w:r>
      <w:r w:rsidRPr="0049223B">
        <w:rPr>
          <w:rFonts w:ascii="Arial" w:hAnsi="Arial" w:cs="Arial"/>
        </w:rPr>
        <w:t xml:space="preserve"> </w:t>
      </w:r>
      <w:r w:rsidRPr="0049223B">
        <w:rPr>
          <w:rFonts w:ascii="Arial" w:hAnsi="Arial" w:cs="Arial"/>
          <w:i/>
          <w:shd w:val="clear" w:color="auto" w:fill="FFFFFF"/>
        </w:rPr>
        <w:t>Migden-Ostrander v. Pub. Util. Comm’n</w:t>
      </w:r>
      <w:r w:rsidRPr="0049223B">
        <w:rPr>
          <w:rFonts w:ascii="Arial" w:hAnsi="Arial" w:cs="Arial"/>
          <w:shd w:val="clear" w:color="auto" w:fill="FFFFFF"/>
        </w:rPr>
        <w:t>, 102 Ohio St. 3d 451, 452-53 (2004).</w:t>
      </w:r>
    </w:p>
    <w:p w14:paraId="2BA226A1" w14:textId="77777777" w:rsidR="000B4BB0" w:rsidRPr="0049223B" w:rsidRDefault="000B4BB0" w:rsidP="0049223B">
      <w:pPr>
        <w:pStyle w:val="FootnoteText"/>
        <w:jc w:val="both"/>
        <w:rPr>
          <w:rFonts w:ascii="Arial" w:hAnsi="Arial" w:cs="Arial"/>
        </w:rPr>
      </w:pPr>
    </w:p>
  </w:footnote>
  <w:footnote w:id="112">
    <w:p w14:paraId="2192BD64" w14:textId="274408D4"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R.C. 4928.02(K).</w:t>
      </w:r>
    </w:p>
    <w:p w14:paraId="78136416" w14:textId="77777777" w:rsidR="000B4BB0" w:rsidRPr="0049223B" w:rsidRDefault="000B4BB0" w:rsidP="0049223B">
      <w:pPr>
        <w:pStyle w:val="FootnoteText"/>
        <w:jc w:val="both"/>
        <w:rPr>
          <w:rFonts w:ascii="Arial" w:hAnsi="Arial" w:cs="Arial"/>
        </w:rPr>
      </w:pPr>
    </w:p>
  </w:footnote>
  <w:footnote w:id="113">
    <w:p w14:paraId="601F5789" w14:textId="0AB227AD"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Fourteenth Revised Sheet No. D19, page 3 of 4.</w:t>
      </w:r>
    </w:p>
  </w:footnote>
  <w:footnote w:id="114">
    <w:p w14:paraId="6D00C8C5" w14:textId="50D66ED2"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Tr. Vol. II at 280 L 5-8.</w:t>
      </w:r>
    </w:p>
    <w:p w14:paraId="509D0ABD" w14:textId="77777777" w:rsidR="000B4BB0" w:rsidRPr="0049223B" w:rsidRDefault="000B4BB0" w:rsidP="0049223B">
      <w:pPr>
        <w:pStyle w:val="FootnoteText"/>
        <w:jc w:val="both"/>
        <w:rPr>
          <w:rFonts w:ascii="Arial" w:hAnsi="Arial" w:cs="Arial"/>
        </w:rPr>
      </w:pPr>
    </w:p>
  </w:footnote>
  <w:footnote w:id="115">
    <w:p w14:paraId="7BA8BE87" w14:textId="2AA58944"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Amended Stipulation at 38, FN 10.</w:t>
      </w:r>
    </w:p>
    <w:p w14:paraId="17AD93B2" w14:textId="77777777" w:rsidR="000B4BB0" w:rsidRPr="0049223B" w:rsidRDefault="000B4BB0" w:rsidP="0049223B">
      <w:pPr>
        <w:pStyle w:val="FootnoteText"/>
        <w:jc w:val="both"/>
        <w:rPr>
          <w:rFonts w:ascii="Arial" w:hAnsi="Arial" w:cs="Arial"/>
        </w:rPr>
      </w:pPr>
    </w:p>
  </w:footnote>
  <w:footnote w:id="116">
    <w:p w14:paraId="683DED41" w14:textId="1760F104" w:rsidR="000B4BB0" w:rsidRPr="0049223B" w:rsidRDefault="000B4BB0" w:rsidP="0049223B">
      <w:pPr>
        <w:pStyle w:val="FootnoteText"/>
        <w:jc w:val="both"/>
        <w:rPr>
          <w:rFonts w:ascii="Arial" w:hAnsi="Arial" w:cs="Arial"/>
        </w:rPr>
      </w:pPr>
      <w:r w:rsidRPr="0049223B">
        <w:rPr>
          <w:rStyle w:val="FootnoteReference"/>
          <w:rFonts w:ascii="Arial" w:hAnsi="Arial" w:cs="Arial"/>
        </w:rPr>
        <w:footnoteRef/>
      </w:r>
      <w:r w:rsidRPr="0049223B">
        <w:rPr>
          <w:rFonts w:ascii="Arial" w:hAnsi="Arial" w:cs="Arial"/>
        </w:rPr>
        <w:t xml:space="preserve"> DP&amp;L Alternative Generation Supplier Coordination Tariff, sheet G8, page 24 of 30.</w:t>
      </w:r>
    </w:p>
  </w:footnote>
  <w:footnote w:id="117">
    <w:p w14:paraId="3FFEACB0" w14:textId="451187F9" w:rsidR="000B4BB0" w:rsidRDefault="000B4BB0" w:rsidP="0049223B">
      <w:pPr>
        <w:pStyle w:val="FootnoteText"/>
        <w:jc w:val="both"/>
      </w:pPr>
      <w:r w:rsidRPr="0049223B">
        <w:rPr>
          <w:rStyle w:val="FootnoteReference"/>
          <w:rFonts w:ascii="Arial" w:hAnsi="Arial" w:cs="Arial"/>
        </w:rPr>
        <w:footnoteRef/>
      </w:r>
      <w:r w:rsidRPr="0049223B">
        <w:rPr>
          <w:rFonts w:ascii="Arial" w:hAnsi="Arial" w:cs="Arial"/>
        </w:rPr>
        <w:t xml:space="preserve"> IGS Ex. 3 at 8-10.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A2B"/>
    <w:multiLevelType w:val="hybridMultilevel"/>
    <w:tmpl w:val="67BCF2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6B6D"/>
    <w:multiLevelType w:val="hybridMultilevel"/>
    <w:tmpl w:val="986CCDB6"/>
    <w:lvl w:ilvl="0" w:tplc="71AC6F3E">
      <w:start w:val="1"/>
      <w:numFmt w:val="upperLetter"/>
      <w:lvlText w:val="%1."/>
      <w:lvlJc w:val="left"/>
      <w:pPr>
        <w:ind w:left="1089" w:hanging="369"/>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186D57"/>
    <w:multiLevelType w:val="hybridMultilevel"/>
    <w:tmpl w:val="8FD4573E"/>
    <w:lvl w:ilvl="0" w:tplc="7C76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89601D"/>
    <w:multiLevelType w:val="hybridMultilevel"/>
    <w:tmpl w:val="374856E6"/>
    <w:lvl w:ilvl="0" w:tplc="894247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D0F76"/>
    <w:multiLevelType w:val="hybridMultilevel"/>
    <w:tmpl w:val="7E2E4B2C"/>
    <w:lvl w:ilvl="0" w:tplc="57167B9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AC5D39"/>
    <w:multiLevelType w:val="hybridMultilevel"/>
    <w:tmpl w:val="76529BEA"/>
    <w:lvl w:ilvl="0" w:tplc="A74C88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AC81FEC"/>
    <w:multiLevelType w:val="multilevel"/>
    <w:tmpl w:val="C25A84E2"/>
    <w:name w:val="Testimony"/>
    <w:lvl w:ilvl="0">
      <w:start w:val="1"/>
      <w:numFmt w:val="none"/>
      <w:pStyle w:val="Heading1"/>
      <w:lvlText w:val="%1Q."/>
      <w:lvlJc w:val="left"/>
      <w:pPr>
        <w:tabs>
          <w:tab w:val="num" w:pos="720"/>
        </w:tabs>
        <w:ind w:left="720" w:hanging="720"/>
      </w:pPr>
      <w:rPr>
        <w:rFonts w:ascii="Times New Roman" w:hAnsi="Times New Roman" w:cs="Times New Roman" w:hint="default"/>
        <w:b/>
        <w:i w:val="0"/>
        <w:caps/>
        <w:smallCaps w:val="0"/>
        <w:color w:val="000000"/>
        <w:sz w:val="24"/>
        <w:u w:val="none"/>
      </w:rPr>
    </w:lvl>
    <w:lvl w:ilvl="1">
      <w:start w:val="1"/>
      <w:numFmt w:val="none"/>
      <w:pStyle w:val="Heading2"/>
      <w:lvlText w:val="A."/>
      <w:lvlJc w:val="left"/>
      <w:pPr>
        <w:tabs>
          <w:tab w:val="num" w:pos="720"/>
        </w:tabs>
        <w:ind w:left="720" w:hanging="720"/>
      </w:pPr>
      <w:rPr>
        <w:rFonts w:ascii="Times New Roman" w:hAnsi="Times New Roman" w:cs="Times New Roman" w:hint="default"/>
        <w:b w:val="0"/>
        <w:i w:val="0"/>
        <w:caps w:val="0"/>
        <w:color w:val="000000"/>
        <w:u w:val="none"/>
      </w:rPr>
    </w:lvl>
    <w:lvl w:ilvl="2">
      <w:start w:val="1"/>
      <w:numFmt w:val="upperRoman"/>
      <w:lvlRestart w:val="0"/>
      <w:lvlText w:val="%3."/>
      <w:lvlJc w:val="left"/>
      <w:pPr>
        <w:tabs>
          <w:tab w:val="num" w:pos="720"/>
        </w:tabs>
        <w:ind w:left="720" w:hanging="720"/>
      </w:pPr>
      <w:rPr>
        <w:rFonts w:ascii="Arial" w:hAnsi="Arial" w:cs="Arial" w:hint="default"/>
        <w:b/>
        <w:i w:val="0"/>
        <w:caps w:val="0"/>
        <w:color w:val="000000"/>
        <w:u w:val="none"/>
      </w:rPr>
    </w:lvl>
    <w:lvl w:ilvl="3">
      <w:start w:val="1"/>
      <w:numFmt w:val="upperLetter"/>
      <w:lvlRestart w:val="0"/>
      <w:pStyle w:val="Heading4"/>
      <w:lvlText w:val="(%4)"/>
      <w:lvlJc w:val="left"/>
      <w:pPr>
        <w:tabs>
          <w:tab w:val="num" w:pos="1440"/>
        </w:tabs>
        <w:ind w:left="720" w:firstLine="0"/>
      </w:pPr>
      <w:rPr>
        <w:rFonts w:hint="default"/>
        <w:b/>
        <w:i/>
        <w:caps w:val="0"/>
        <w:color w:val="000000"/>
        <w:u w:val="none"/>
      </w:rPr>
    </w:lvl>
    <w:lvl w:ilvl="4">
      <w:start w:val="1"/>
      <w:numFmt w:val="none"/>
      <w:lvlText w:val=""/>
      <w:lvlJc w:val="left"/>
      <w:pPr>
        <w:tabs>
          <w:tab w:val="num" w:pos="1800"/>
        </w:tabs>
        <w:ind w:left="0" w:firstLine="0"/>
      </w:pPr>
      <w:rPr>
        <w:rFonts w:ascii="Courier New" w:hAnsi="Courier New" w:cs="Courier New" w:hint="default"/>
        <w:b w:val="0"/>
        <w:i w:val="0"/>
        <w:caps w:val="0"/>
        <w:color w:val="000000"/>
        <w:u w:val="none"/>
      </w:rPr>
    </w:lvl>
    <w:lvl w:ilvl="5">
      <w:start w:val="1"/>
      <w:numFmt w:val="none"/>
      <w:pStyle w:val="Heading6"/>
      <w:lvlText w:val=""/>
      <w:lvlJc w:val="left"/>
      <w:pPr>
        <w:tabs>
          <w:tab w:val="num" w:pos="2160"/>
        </w:tabs>
        <w:ind w:left="0" w:firstLine="0"/>
      </w:pPr>
      <w:rPr>
        <w:rFonts w:ascii="Times New Roman" w:hAnsi="Times New Roman" w:cs="Times New Roman" w:hint="default"/>
        <w:b w:val="0"/>
        <w:i w:val="0"/>
        <w:caps w:val="0"/>
        <w:color w:val="000000"/>
        <w:u w:val="none"/>
      </w:rPr>
    </w:lvl>
    <w:lvl w:ilvl="6">
      <w:start w:val="1"/>
      <w:numFmt w:val="none"/>
      <w:pStyle w:val="Heading7"/>
      <w:lvlText w:val=""/>
      <w:lvlJc w:val="left"/>
      <w:pPr>
        <w:tabs>
          <w:tab w:val="num" w:pos="2520"/>
        </w:tabs>
        <w:ind w:left="0" w:firstLine="0"/>
      </w:pPr>
      <w:rPr>
        <w:rFonts w:ascii="Times New Roman" w:hAnsi="Times New Roman" w:cs="Times New Roman" w:hint="default"/>
        <w:b w:val="0"/>
        <w:i w:val="0"/>
        <w:caps w:val="0"/>
        <w:color w:val="000000"/>
        <w:u w:val="none"/>
      </w:rPr>
    </w:lvl>
    <w:lvl w:ilvl="7">
      <w:start w:val="1"/>
      <w:numFmt w:val="none"/>
      <w:pStyle w:val="Heading8"/>
      <w:lvlText w:val=""/>
      <w:lvlJc w:val="left"/>
      <w:pPr>
        <w:tabs>
          <w:tab w:val="num" w:pos="2880"/>
        </w:tabs>
        <w:ind w:left="0" w:firstLine="0"/>
      </w:pPr>
      <w:rPr>
        <w:rFonts w:ascii="Courier New" w:hAnsi="Courier New" w:cs="Courier New" w:hint="default"/>
        <w:b w:val="0"/>
        <w:i w:val="0"/>
        <w:caps w:val="0"/>
        <w:color w:val="000000"/>
        <w:u w:val="none"/>
      </w:rPr>
    </w:lvl>
    <w:lvl w:ilvl="8">
      <w:start w:val="1"/>
      <w:numFmt w:val="none"/>
      <w:pStyle w:val="Heading9"/>
      <w:lvlText w:val=""/>
      <w:lvlJc w:val="left"/>
      <w:pPr>
        <w:tabs>
          <w:tab w:val="num" w:pos="3240"/>
        </w:tabs>
        <w:ind w:left="0" w:firstLine="0"/>
      </w:pPr>
      <w:rPr>
        <w:rFonts w:ascii="Times New Roman" w:hAnsi="Times New Roman" w:cs="Times New Roman" w:hint="default"/>
        <w:b w:val="0"/>
        <w:i w:val="0"/>
        <w:caps w:val="0"/>
        <w:color w:val="000000"/>
        <w:u w:val="none"/>
      </w:rPr>
    </w:lvl>
  </w:abstractNum>
  <w:abstractNum w:abstractNumId="7" w15:restartNumberingAfterBreak="0">
    <w:nsid w:val="5015047C"/>
    <w:multiLevelType w:val="hybridMultilevel"/>
    <w:tmpl w:val="D6D6637A"/>
    <w:lvl w:ilvl="0" w:tplc="2B081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720B8B"/>
    <w:multiLevelType w:val="hybridMultilevel"/>
    <w:tmpl w:val="5FBAFF84"/>
    <w:lvl w:ilvl="0" w:tplc="0688D4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F57A1"/>
    <w:multiLevelType w:val="hybridMultilevel"/>
    <w:tmpl w:val="F20E91F0"/>
    <w:lvl w:ilvl="0" w:tplc="4E0C97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4466635"/>
    <w:multiLevelType w:val="hybridMultilevel"/>
    <w:tmpl w:val="50B836B8"/>
    <w:lvl w:ilvl="0" w:tplc="43545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
  </w:num>
  <w:num w:numId="4">
    <w:abstractNumId w:val="9"/>
  </w:num>
  <w:num w:numId="5">
    <w:abstractNumId w:val="6"/>
  </w:num>
  <w:num w:numId="6">
    <w:abstractNumId w:val="0"/>
  </w:num>
  <w:num w:numId="7">
    <w:abstractNumId w:val="1"/>
  </w:num>
  <w:num w:numId="8">
    <w:abstractNumId w:val="7"/>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B5"/>
    <w:rsid w:val="0000183E"/>
    <w:rsid w:val="00010ED3"/>
    <w:rsid w:val="00021552"/>
    <w:rsid w:val="00024BC4"/>
    <w:rsid w:val="00041A36"/>
    <w:rsid w:val="00061D66"/>
    <w:rsid w:val="00067D7E"/>
    <w:rsid w:val="000717C0"/>
    <w:rsid w:val="00085080"/>
    <w:rsid w:val="0008714F"/>
    <w:rsid w:val="00097759"/>
    <w:rsid w:val="000B029D"/>
    <w:rsid w:val="000B401D"/>
    <w:rsid w:val="000B41A9"/>
    <w:rsid w:val="000B4BB0"/>
    <w:rsid w:val="000C28C4"/>
    <w:rsid w:val="000C673F"/>
    <w:rsid w:val="000C76ED"/>
    <w:rsid w:val="000D0753"/>
    <w:rsid w:val="000D37C1"/>
    <w:rsid w:val="000D55CC"/>
    <w:rsid w:val="000D7232"/>
    <w:rsid w:val="000F4484"/>
    <w:rsid w:val="00101A37"/>
    <w:rsid w:val="00106FD5"/>
    <w:rsid w:val="001112EA"/>
    <w:rsid w:val="00134AA7"/>
    <w:rsid w:val="001572DB"/>
    <w:rsid w:val="00157F53"/>
    <w:rsid w:val="00187398"/>
    <w:rsid w:val="00194B51"/>
    <w:rsid w:val="001978E3"/>
    <w:rsid w:val="001A0A2B"/>
    <w:rsid w:val="001A5803"/>
    <w:rsid w:val="001B7252"/>
    <w:rsid w:val="001D04B2"/>
    <w:rsid w:val="001D19B8"/>
    <w:rsid w:val="001E5829"/>
    <w:rsid w:val="00211AC1"/>
    <w:rsid w:val="002133DB"/>
    <w:rsid w:val="00216A5B"/>
    <w:rsid w:val="002238CE"/>
    <w:rsid w:val="00225120"/>
    <w:rsid w:val="00227AD4"/>
    <w:rsid w:val="0024580C"/>
    <w:rsid w:val="00250807"/>
    <w:rsid w:val="00262C8D"/>
    <w:rsid w:val="00276D3C"/>
    <w:rsid w:val="00277CC9"/>
    <w:rsid w:val="002834D5"/>
    <w:rsid w:val="00290369"/>
    <w:rsid w:val="00290AFD"/>
    <w:rsid w:val="002B3CEE"/>
    <w:rsid w:val="002C7179"/>
    <w:rsid w:val="002E09BA"/>
    <w:rsid w:val="002E35BD"/>
    <w:rsid w:val="002F1C31"/>
    <w:rsid w:val="002F747C"/>
    <w:rsid w:val="003035D0"/>
    <w:rsid w:val="00313D2E"/>
    <w:rsid w:val="00322BD5"/>
    <w:rsid w:val="00325B4A"/>
    <w:rsid w:val="003330E2"/>
    <w:rsid w:val="00345B4A"/>
    <w:rsid w:val="00363433"/>
    <w:rsid w:val="0038079F"/>
    <w:rsid w:val="003929C5"/>
    <w:rsid w:val="00392A98"/>
    <w:rsid w:val="003A5642"/>
    <w:rsid w:val="003C1AF5"/>
    <w:rsid w:val="003D365C"/>
    <w:rsid w:val="003E1F76"/>
    <w:rsid w:val="003E759D"/>
    <w:rsid w:val="003F017A"/>
    <w:rsid w:val="003F300E"/>
    <w:rsid w:val="00403850"/>
    <w:rsid w:val="00404442"/>
    <w:rsid w:val="004161ED"/>
    <w:rsid w:val="004227C0"/>
    <w:rsid w:val="0044279B"/>
    <w:rsid w:val="00457F95"/>
    <w:rsid w:val="00471A77"/>
    <w:rsid w:val="00476CC5"/>
    <w:rsid w:val="0049223B"/>
    <w:rsid w:val="00496698"/>
    <w:rsid w:val="00497356"/>
    <w:rsid w:val="004A0C52"/>
    <w:rsid w:val="004D41C5"/>
    <w:rsid w:val="004E51FE"/>
    <w:rsid w:val="004F10C1"/>
    <w:rsid w:val="004F2437"/>
    <w:rsid w:val="004F699C"/>
    <w:rsid w:val="00500F07"/>
    <w:rsid w:val="00503603"/>
    <w:rsid w:val="00503D08"/>
    <w:rsid w:val="00513148"/>
    <w:rsid w:val="00523C99"/>
    <w:rsid w:val="00527764"/>
    <w:rsid w:val="00530D04"/>
    <w:rsid w:val="00545603"/>
    <w:rsid w:val="00550D1A"/>
    <w:rsid w:val="005617C9"/>
    <w:rsid w:val="0058270B"/>
    <w:rsid w:val="005848CF"/>
    <w:rsid w:val="005A6C48"/>
    <w:rsid w:val="005C0566"/>
    <w:rsid w:val="005C40D1"/>
    <w:rsid w:val="005C75FD"/>
    <w:rsid w:val="005D2548"/>
    <w:rsid w:val="005E3667"/>
    <w:rsid w:val="005E5B59"/>
    <w:rsid w:val="005E5B74"/>
    <w:rsid w:val="005F1205"/>
    <w:rsid w:val="0064725C"/>
    <w:rsid w:val="006543F9"/>
    <w:rsid w:val="00656E4E"/>
    <w:rsid w:val="00663D46"/>
    <w:rsid w:val="006774F1"/>
    <w:rsid w:val="006865AE"/>
    <w:rsid w:val="006A373B"/>
    <w:rsid w:val="006B5BE6"/>
    <w:rsid w:val="006D3115"/>
    <w:rsid w:val="006E3097"/>
    <w:rsid w:val="006E6FA0"/>
    <w:rsid w:val="006E782D"/>
    <w:rsid w:val="00702267"/>
    <w:rsid w:val="0072443A"/>
    <w:rsid w:val="00744B94"/>
    <w:rsid w:val="0074795A"/>
    <w:rsid w:val="007515A3"/>
    <w:rsid w:val="00755F2F"/>
    <w:rsid w:val="00761984"/>
    <w:rsid w:val="007655CD"/>
    <w:rsid w:val="0076797D"/>
    <w:rsid w:val="0077344F"/>
    <w:rsid w:val="00777363"/>
    <w:rsid w:val="0077799B"/>
    <w:rsid w:val="00777F4F"/>
    <w:rsid w:val="0079213B"/>
    <w:rsid w:val="007A5A37"/>
    <w:rsid w:val="007B50E0"/>
    <w:rsid w:val="007D45FD"/>
    <w:rsid w:val="007F5697"/>
    <w:rsid w:val="008000E7"/>
    <w:rsid w:val="00800E26"/>
    <w:rsid w:val="00802C25"/>
    <w:rsid w:val="0081077A"/>
    <w:rsid w:val="00824DFD"/>
    <w:rsid w:val="00831FD2"/>
    <w:rsid w:val="0083448D"/>
    <w:rsid w:val="00836ED3"/>
    <w:rsid w:val="00842708"/>
    <w:rsid w:val="00844B7A"/>
    <w:rsid w:val="00847DA7"/>
    <w:rsid w:val="00847E15"/>
    <w:rsid w:val="00850F1F"/>
    <w:rsid w:val="00864C04"/>
    <w:rsid w:val="00864E62"/>
    <w:rsid w:val="008711AC"/>
    <w:rsid w:val="00871619"/>
    <w:rsid w:val="00881DCE"/>
    <w:rsid w:val="008B5F66"/>
    <w:rsid w:val="008D3734"/>
    <w:rsid w:val="008E359A"/>
    <w:rsid w:val="008E4454"/>
    <w:rsid w:val="008F0ED4"/>
    <w:rsid w:val="00904C00"/>
    <w:rsid w:val="00910316"/>
    <w:rsid w:val="00950969"/>
    <w:rsid w:val="00951C5D"/>
    <w:rsid w:val="00982AE0"/>
    <w:rsid w:val="00984AB9"/>
    <w:rsid w:val="00985CA3"/>
    <w:rsid w:val="009A6EC5"/>
    <w:rsid w:val="009B6881"/>
    <w:rsid w:val="009C5736"/>
    <w:rsid w:val="009C7267"/>
    <w:rsid w:val="009D1916"/>
    <w:rsid w:val="009F001A"/>
    <w:rsid w:val="009F1CFB"/>
    <w:rsid w:val="009F205D"/>
    <w:rsid w:val="009F5ABE"/>
    <w:rsid w:val="00A11DC5"/>
    <w:rsid w:val="00A13170"/>
    <w:rsid w:val="00A27FE2"/>
    <w:rsid w:val="00A3024D"/>
    <w:rsid w:val="00A3489A"/>
    <w:rsid w:val="00A52A03"/>
    <w:rsid w:val="00A6196A"/>
    <w:rsid w:val="00A636C5"/>
    <w:rsid w:val="00A654AE"/>
    <w:rsid w:val="00A65539"/>
    <w:rsid w:val="00A80671"/>
    <w:rsid w:val="00A86EF2"/>
    <w:rsid w:val="00A928E4"/>
    <w:rsid w:val="00A946C6"/>
    <w:rsid w:val="00A94B72"/>
    <w:rsid w:val="00A961F1"/>
    <w:rsid w:val="00AA37BF"/>
    <w:rsid w:val="00AB3602"/>
    <w:rsid w:val="00AB5950"/>
    <w:rsid w:val="00AC2BA6"/>
    <w:rsid w:val="00AC7367"/>
    <w:rsid w:val="00AD173C"/>
    <w:rsid w:val="00AD1BA0"/>
    <w:rsid w:val="00AD593D"/>
    <w:rsid w:val="00AE50ED"/>
    <w:rsid w:val="00AE7E7B"/>
    <w:rsid w:val="00B03304"/>
    <w:rsid w:val="00B157EE"/>
    <w:rsid w:val="00B2018D"/>
    <w:rsid w:val="00B34572"/>
    <w:rsid w:val="00B51377"/>
    <w:rsid w:val="00B53E24"/>
    <w:rsid w:val="00B566A8"/>
    <w:rsid w:val="00B70BAF"/>
    <w:rsid w:val="00B70EB5"/>
    <w:rsid w:val="00B75EDF"/>
    <w:rsid w:val="00B87974"/>
    <w:rsid w:val="00BA1A2F"/>
    <w:rsid w:val="00BA2C30"/>
    <w:rsid w:val="00BA58D6"/>
    <w:rsid w:val="00BC7F4B"/>
    <w:rsid w:val="00BD22A6"/>
    <w:rsid w:val="00BD561F"/>
    <w:rsid w:val="00BD7019"/>
    <w:rsid w:val="00BE28F7"/>
    <w:rsid w:val="00BE36CF"/>
    <w:rsid w:val="00BE3D7F"/>
    <w:rsid w:val="00BE41D9"/>
    <w:rsid w:val="00BE5E2B"/>
    <w:rsid w:val="00BE63F3"/>
    <w:rsid w:val="00BF11EE"/>
    <w:rsid w:val="00C038B5"/>
    <w:rsid w:val="00C15579"/>
    <w:rsid w:val="00C16D5F"/>
    <w:rsid w:val="00C24A30"/>
    <w:rsid w:val="00C276E0"/>
    <w:rsid w:val="00C47F68"/>
    <w:rsid w:val="00C52AC8"/>
    <w:rsid w:val="00C750AF"/>
    <w:rsid w:val="00C7692A"/>
    <w:rsid w:val="00C80590"/>
    <w:rsid w:val="00C936F6"/>
    <w:rsid w:val="00C94BF1"/>
    <w:rsid w:val="00C95FFA"/>
    <w:rsid w:val="00CA0DFE"/>
    <w:rsid w:val="00CA37C3"/>
    <w:rsid w:val="00CB0409"/>
    <w:rsid w:val="00CB6143"/>
    <w:rsid w:val="00CB7F8F"/>
    <w:rsid w:val="00CD12C4"/>
    <w:rsid w:val="00CD68A9"/>
    <w:rsid w:val="00CE6E22"/>
    <w:rsid w:val="00CF4822"/>
    <w:rsid w:val="00CF55F4"/>
    <w:rsid w:val="00D24093"/>
    <w:rsid w:val="00D32CA9"/>
    <w:rsid w:val="00D46BDB"/>
    <w:rsid w:val="00D541C3"/>
    <w:rsid w:val="00D612FB"/>
    <w:rsid w:val="00D63FE5"/>
    <w:rsid w:val="00D708A0"/>
    <w:rsid w:val="00D7597C"/>
    <w:rsid w:val="00D77223"/>
    <w:rsid w:val="00D97EB2"/>
    <w:rsid w:val="00DA0A01"/>
    <w:rsid w:val="00DA47F7"/>
    <w:rsid w:val="00DB0F73"/>
    <w:rsid w:val="00DB2023"/>
    <w:rsid w:val="00DB4812"/>
    <w:rsid w:val="00DB5F56"/>
    <w:rsid w:val="00DC194D"/>
    <w:rsid w:val="00DC42E1"/>
    <w:rsid w:val="00DD688B"/>
    <w:rsid w:val="00DD7503"/>
    <w:rsid w:val="00DE2201"/>
    <w:rsid w:val="00DE7A44"/>
    <w:rsid w:val="00DF66F4"/>
    <w:rsid w:val="00E0286F"/>
    <w:rsid w:val="00E16492"/>
    <w:rsid w:val="00E217B5"/>
    <w:rsid w:val="00E34991"/>
    <w:rsid w:val="00E364A8"/>
    <w:rsid w:val="00E41C4B"/>
    <w:rsid w:val="00E4448B"/>
    <w:rsid w:val="00E46044"/>
    <w:rsid w:val="00E63424"/>
    <w:rsid w:val="00E6351B"/>
    <w:rsid w:val="00E66435"/>
    <w:rsid w:val="00E85101"/>
    <w:rsid w:val="00E866DB"/>
    <w:rsid w:val="00EA1F4A"/>
    <w:rsid w:val="00EA43F6"/>
    <w:rsid w:val="00EC0441"/>
    <w:rsid w:val="00EF500F"/>
    <w:rsid w:val="00F10C2E"/>
    <w:rsid w:val="00F11798"/>
    <w:rsid w:val="00F160CC"/>
    <w:rsid w:val="00F24E6E"/>
    <w:rsid w:val="00F26D5A"/>
    <w:rsid w:val="00F31E3D"/>
    <w:rsid w:val="00F31E77"/>
    <w:rsid w:val="00F3409D"/>
    <w:rsid w:val="00F370D8"/>
    <w:rsid w:val="00F41CE9"/>
    <w:rsid w:val="00F80E95"/>
    <w:rsid w:val="00F81085"/>
    <w:rsid w:val="00F85B0A"/>
    <w:rsid w:val="00F87642"/>
    <w:rsid w:val="00F969BB"/>
    <w:rsid w:val="00FA0D19"/>
    <w:rsid w:val="00FA18AE"/>
    <w:rsid w:val="00FA2BAE"/>
    <w:rsid w:val="00FA6677"/>
    <w:rsid w:val="00FA7DED"/>
    <w:rsid w:val="00FB2E91"/>
    <w:rsid w:val="00FB5EA1"/>
    <w:rsid w:val="00FB6DDB"/>
    <w:rsid w:val="00FD214F"/>
    <w:rsid w:val="00FE226F"/>
    <w:rsid w:val="00FF04E7"/>
    <w:rsid w:val="00FF1F22"/>
    <w:rsid w:val="00FF6992"/>
    <w:rsid w:val="1BB7B8B5"/>
    <w:rsid w:val="1D0DC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FE4B"/>
  <w15:chartTrackingRefBased/>
  <w15:docId w15:val="{10FB28A6-5DBC-41FD-B2DE-5918621B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0D7232"/>
    <w:pPr>
      <w:keepNext/>
      <w:numPr>
        <w:numId w:val="5"/>
      </w:numPr>
      <w:spacing w:after="240" w:line="240" w:lineRule="auto"/>
      <w:outlineLvl w:val="0"/>
    </w:pPr>
    <w:rPr>
      <w:rFonts w:ascii="Times New Roman" w:eastAsiaTheme="majorEastAsia" w:hAnsi="Times New Roman" w:cs="Times New Roman"/>
      <w:b/>
      <w:caps/>
      <w:sz w:val="24"/>
      <w:szCs w:val="28"/>
    </w:rPr>
  </w:style>
  <w:style w:type="paragraph" w:styleId="Heading2">
    <w:name w:val="heading 2"/>
    <w:basedOn w:val="Normal"/>
    <w:next w:val="BodyText"/>
    <w:link w:val="Heading2Char"/>
    <w:unhideWhenUsed/>
    <w:qFormat/>
    <w:rsid w:val="000D7232"/>
    <w:pPr>
      <w:numPr>
        <w:ilvl w:val="1"/>
        <w:numId w:val="5"/>
      </w:numPr>
      <w:spacing w:after="0" w:line="480" w:lineRule="auto"/>
      <w:outlineLvl w:val="1"/>
    </w:pPr>
    <w:rPr>
      <w:rFonts w:ascii="Times New Roman" w:eastAsiaTheme="majorEastAsia" w:hAnsi="Times New Roman" w:cs="Times New Roman"/>
      <w:bCs/>
      <w:sz w:val="24"/>
      <w:szCs w:val="26"/>
    </w:rPr>
  </w:style>
  <w:style w:type="paragraph" w:styleId="Heading4">
    <w:name w:val="heading 4"/>
    <w:basedOn w:val="Normal"/>
    <w:next w:val="BodyText"/>
    <w:link w:val="Heading4Char"/>
    <w:unhideWhenUsed/>
    <w:qFormat/>
    <w:rsid w:val="000D7232"/>
    <w:pPr>
      <w:keepNext/>
      <w:numPr>
        <w:ilvl w:val="3"/>
        <w:numId w:val="5"/>
      </w:numPr>
      <w:spacing w:after="240" w:line="240" w:lineRule="auto"/>
      <w:outlineLvl w:val="3"/>
    </w:pPr>
    <w:rPr>
      <w:rFonts w:ascii="Times New Roman" w:eastAsiaTheme="majorEastAsia" w:hAnsi="Times New Roman" w:cs="Times New Roman"/>
      <w:b/>
      <w:bCs/>
      <w:i/>
      <w:iCs/>
      <w:sz w:val="24"/>
      <w:szCs w:val="24"/>
      <w:u w:val="single"/>
    </w:rPr>
  </w:style>
  <w:style w:type="paragraph" w:styleId="Heading6">
    <w:name w:val="heading 6"/>
    <w:basedOn w:val="Normal"/>
    <w:next w:val="BodyText"/>
    <w:link w:val="Heading6Char"/>
    <w:unhideWhenUsed/>
    <w:qFormat/>
    <w:rsid w:val="000D7232"/>
    <w:pPr>
      <w:numPr>
        <w:ilvl w:val="5"/>
        <w:numId w:val="5"/>
      </w:numPr>
      <w:spacing w:after="240" w:line="240" w:lineRule="auto"/>
      <w:outlineLvl w:val="5"/>
    </w:pPr>
    <w:rPr>
      <w:rFonts w:ascii="Times New Roman" w:eastAsiaTheme="majorEastAsia" w:hAnsi="Times New Roman" w:cs="Times New Roman"/>
      <w:iCs/>
      <w:sz w:val="24"/>
      <w:szCs w:val="24"/>
    </w:rPr>
  </w:style>
  <w:style w:type="paragraph" w:styleId="Heading7">
    <w:name w:val="heading 7"/>
    <w:basedOn w:val="Normal"/>
    <w:next w:val="BodyText"/>
    <w:link w:val="Heading7Char"/>
    <w:unhideWhenUsed/>
    <w:qFormat/>
    <w:rsid w:val="000D7232"/>
    <w:pPr>
      <w:numPr>
        <w:ilvl w:val="6"/>
        <w:numId w:val="5"/>
      </w:numPr>
      <w:spacing w:after="240" w:line="240" w:lineRule="auto"/>
      <w:outlineLvl w:val="6"/>
    </w:pPr>
    <w:rPr>
      <w:rFonts w:ascii="Times New Roman" w:eastAsiaTheme="majorEastAsia" w:hAnsi="Times New Roman" w:cs="Times New Roman"/>
      <w:iCs/>
      <w:sz w:val="24"/>
      <w:szCs w:val="24"/>
    </w:rPr>
  </w:style>
  <w:style w:type="paragraph" w:styleId="Heading8">
    <w:name w:val="heading 8"/>
    <w:basedOn w:val="Normal"/>
    <w:next w:val="BodyText"/>
    <w:link w:val="Heading8Char"/>
    <w:unhideWhenUsed/>
    <w:qFormat/>
    <w:rsid w:val="000D7232"/>
    <w:pPr>
      <w:numPr>
        <w:ilvl w:val="7"/>
        <w:numId w:val="5"/>
      </w:numPr>
      <w:spacing w:after="240" w:line="240" w:lineRule="auto"/>
      <w:outlineLvl w:val="7"/>
    </w:pPr>
    <w:rPr>
      <w:rFonts w:ascii="Times New Roman" w:eastAsiaTheme="majorEastAsia" w:hAnsi="Times New Roman" w:cs="Times New Roman"/>
      <w:sz w:val="24"/>
      <w:szCs w:val="20"/>
    </w:rPr>
  </w:style>
  <w:style w:type="paragraph" w:styleId="Heading9">
    <w:name w:val="heading 9"/>
    <w:basedOn w:val="Normal"/>
    <w:next w:val="BodyText"/>
    <w:link w:val="Heading9Char"/>
    <w:unhideWhenUsed/>
    <w:qFormat/>
    <w:rsid w:val="000D7232"/>
    <w:pPr>
      <w:numPr>
        <w:ilvl w:val="8"/>
        <w:numId w:val="5"/>
      </w:numPr>
      <w:spacing w:after="240" w:line="240" w:lineRule="auto"/>
      <w:outlineLvl w:val="8"/>
    </w:pPr>
    <w:rPr>
      <w:rFonts w:ascii="Times New Roman" w:eastAsiaTheme="majorEastAsia"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1F76"/>
    <w:pPr>
      <w:spacing w:after="0" w:line="240" w:lineRule="auto"/>
    </w:pPr>
    <w:rPr>
      <w:sz w:val="20"/>
      <w:szCs w:val="20"/>
    </w:rPr>
  </w:style>
  <w:style w:type="character" w:customStyle="1" w:styleId="FootnoteTextChar">
    <w:name w:val="Footnote Text Char"/>
    <w:basedOn w:val="DefaultParagraphFont"/>
    <w:link w:val="FootnoteText"/>
    <w:uiPriority w:val="99"/>
    <w:rsid w:val="003E1F76"/>
    <w:rPr>
      <w:sz w:val="20"/>
      <w:szCs w:val="20"/>
    </w:rPr>
  </w:style>
  <w:style w:type="character" w:styleId="FootnoteReference">
    <w:name w:val="footnote reference"/>
    <w:basedOn w:val="DefaultParagraphFont"/>
    <w:uiPriority w:val="99"/>
    <w:unhideWhenUsed/>
    <w:rsid w:val="003E1F76"/>
    <w:rPr>
      <w:vertAlign w:val="superscript"/>
    </w:rPr>
  </w:style>
  <w:style w:type="paragraph" w:styleId="ListParagraph">
    <w:name w:val="List Paragraph"/>
    <w:basedOn w:val="Normal"/>
    <w:uiPriority w:val="34"/>
    <w:qFormat/>
    <w:rsid w:val="001D19B8"/>
    <w:pPr>
      <w:ind w:left="720"/>
      <w:contextualSpacing/>
    </w:pPr>
  </w:style>
  <w:style w:type="paragraph" w:styleId="BodyText">
    <w:name w:val="Body Text"/>
    <w:basedOn w:val="Normal"/>
    <w:link w:val="BodyTextChar"/>
    <w:uiPriority w:val="99"/>
    <w:unhideWhenUsed/>
    <w:rsid w:val="00755F2F"/>
    <w:pPr>
      <w:spacing w:after="120"/>
    </w:pPr>
  </w:style>
  <w:style w:type="character" w:customStyle="1" w:styleId="BodyTextChar">
    <w:name w:val="Body Text Char"/>
    <w:basedOn w:val="DefaultParagraphFont"/>
    <w:link w:val="BodyText"/>
    <w:uiPriority w:val="99"/>
    <w:rsid w:val="00755F2F"/>
  </w:style>
  <w:style w:type="character" w:customStyle="1" w:styleId="Heading1Char">
    <w:name w:val="Heading 1 Char"/>
    <w:basedOn w:val="DefaultParagraphFont"/>
    <w:link w:val="Heading1"/>
    <w:rsid w:val="000D7232"/>
    <w:rPr>
      <w:rFonts w:ascii="Times New Roman" w:eastAsiaTheme="majorEastAsia" w:hAnsi="Times New Roman" w:cs="Times New Roman"/>
      <w:b/>
      <w:caps/>
      <w:sz w:val="24"/>
      <w:szCs w:val="28"/>
    </w:rPr>
  </w:style>
  <w:style w:type="character" w:customStyle="1" w:styleId="Heading2Char">
    <w:name w:val="Heading 2 Char"/>
    <w:basedOn w:val="DefaultParagraphFont"/>
    <w:link w:val="Heading2"/>
    <w:rsid w:val="000D7232"/>
    <w:rPr>
      <w:rFonts w:ascii="Times New Roman" w:eastAsiaTheme="majorEastAsia" w:hAnsi="Times New Roman" w:cs="Times New Roman"/>
      <w:bCs/>
      <w:sz w:val="24"/>
      <w:szCs w:val="26"/>
    </w:rPr>
  </w:style>
  <w:style w:type="character" w:customStyle="1" w:styleId="Heading4Char">
    <w:name w:val="Heading 4 Char"/>
    <w:basedOn w:val="DefaultParagraphFont"/>
    <w:link w:val="Heading4"/>
    <w:rsid w:val="000D7232"/>
    <w:rPr>
      <w:rFonts w:ascii="Times New Roman" w:eastAsiaTheme="majorEastAsia" w:hAnsi="Times New Roman" w:cs="Times New Roman"/>
      <w:b/>
      <w:bCs/>
      <w:i/>
      <w:iCs/>
      <w:sz w:val="24"/>
      <w:szCs w:val="24"/>
      <w:u w:val="single"/>
    </w:rPr>
  </w:style>
  <w:style w:type="character" w:customStyle="1" w:styleId="Heading6Char">
    <w:name w:val="Heading 6 Char"/>
    <w:basedOn w:val="DefaultParagraphFont"/>
    <w:link w:val="Heading6"/>
    <w:rsid w:val="000D7232"/>
    <w:rPr>
      <w:rFonts w:ascii="Times New Roman" w:eastAsiaTheme="majorEastAsia" w:hAnsi="Times New Roman" w:cs="Times New Roman"/>
      <w:iCs/>
      <w:sz w:val="24"/>
      <w:szCs w:val="24"/>
    </w:rPr>
  </w:style>
  <w:style w:type="character" w:customStyle="1" w:styleId="Heading7Char">
    <w:name w:val="Heading 7 Char"/>
    <w:basedOn w:val="DefaultParagraphFont"/>
    <w:link w:val="Heading7"/>
    <w:rsid w:val="000D7232"/>
    <w:rPr>
      <w:rFonts w:ascii="Times New Roman" w:eastAsiaTheme="majorEastAsia" w:hAnsi="Times New Roman" w:cs="Times New Roman"/>
      <w:iCs/>
      <w:sz w:val="24"/>
      <w:szCs w:val="24"/>
    </w:rPr>
  </w:style>
  <w:style w:type="character" w:customStyle="1" w:styleId="Heading8Char">
    <w:name w:val="Heading 8 Char"/>
    <w:basedOn w:val="DefaultParagraphFont"/>
    <w:link w:val="Heading8"/>
    <w:rsid w:val="000D7232"/>
    <w:rPr>
      <w:rFonts w:ascii="Times New Roman" w:eastAsiaTheme="majorEastAsia" w:hAnsi="Times New Roman" w:cs="Times New Roman"/>
      <w:sz w:val="24"/>
      <w:szCs w:val="20"/>
    </w:rPr>
  </w:style>
  <w:style w:type="character" w:customStyle="1" w:styleId="Heading9Char">
    <w:name w:val="Heading 9 Char"/>
    <w:basedOn w:val="DefaultParagraphFont"/>
    <w:link w:val="Heading9"/>
    <w:rsid w:val="000D7232"/>
    <w:rPr>
      <w:rFonts w:ascii="Times New Roman" w:eastAsiaTheme="majorEastAsia" w:hAnsi="Times New Roman" w:cs="Times New Roman"/>
      <w:iCs/>
      <w:sz w:val="24"/>
      <w:szCs w:val="20"/>
    </w:rPr>
  </w:style>
  <w:style w:type="paragraph" w:styleId="BalloonText">
    <w:name w:val="Balloon Text"/>
    <w:basedOn w:val="Normal"/>
    <w:link w:val="BalloonTextChar"/>
    <w:uiPriority w:val="99"/>
    <w:semiHidden/>
    <w:unhideWhenUsed/>
    <w:rsid w:val="00C75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0AF"/>
    <w:rPr>
      <w:rFonts w:ascii="Segoe UI" w:hAnsi="Segoe UI" w:cs="Segoe UI"/>
      <w:sz w:val="18"/>
      <w:szCs w:val="18"/>
    </w:rPr>
  </w:style>
  <w:style w:type="paragraph" w:styleId="Header">
    <w:name w:val="header"/>
    <w:basedOn w:val="Normal"/>
    <w:link w:val="HeaderChar"/>
    <w:uiPriority w:val="99"/>
    <w:unhideWhenUsed/>
    <w:rsid w:val="00BA2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C30"/>
  </w:style>
  <w:style w:type="paragraph" w:styleId="Footer">
    <w:name w:val="footer"/>
    <w:basedOn w:val="Normal"/>
    <w:link w:val="FooterChar"/>
    <w:uiPriority w:val="99"/>
    <w:unhideWhenUsed/>
    <w:rsid w:val="00BA2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C30"/>
  </w:style>
  <w:style w:type="paragraph" w:customStyle="1" w:styleId="Level1">
    <w:name w:val="Level 1"/>
    <w:basedOn w:val="TOC1"/>
    <w:link w:val="Level1Char"/>
    <w:qFormat/>
    <w:rsid w:val="00262C8D"/>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262C8D"/>
    <w:rPr>
      <w:rFonts w:asciiTheme="majorHAnsi" w:eastAsia="Times New Roman" w:hAnsiTheme="majorHAnsi" w:cs="Times New Roman"/>
      <w:b/>
      <w:bCs/>
      <w:caps/>
      <w:sz w:val="20"/>
      <w:szCs w:val="20"/>
    </w:rPr>
  </w:style>
  <w:style w:type="paragraph" w:styleId="TOC1">
    <w:name w:val="toc 1"/>
    <w:basedOn w:val="Normal"/>
    <w:next w:val="Normal"/>
    <w:autoRedefine/>
    <w:uiPriority w:val="39"/>
    <w:semiHidden/>
    <w:unhideWhenUsed/>
    <w:rsid w:val="00262C8D"/>
    <w:pPr>
      <w:spacing w:after="100"/>
    </w:pPr>
  </w:style>
  <w:style w:type="character" w:styleId="Hyperlink">
    <w:name w:val="Hyperlink"/>
    <w:basedOn w:val="DefaultParagraphFont"/>
    <w:uiPriority w:val="99"/>
    <w:rsid w:val="003A5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343312">
      <w:bodyDiv w:val="1"/>
      <w:marLeft w:val="0"/>
      <w:marRight w:val="0"/>
      <w:marTop w:val="0"/>
      <w:marBottom w:val="0"/>
      <w:divBdr>
        <w:top w:val="none" w:sz="0" w:space="0" w:color="auto"/>
        <w:left w:val="none" w:sz="0" w:space="0" w:color="auto"/>
        <w:bottom w:val="none" w:sz="0" w:space="0" w:color="auto"/>
        <w:right w:val="none" w:sz="0" w:space="0" w:color="auto"/>
      </w:divBdr>
    </w:div>
    <w:div w:id="796487661">
      <w:bodyDiv w:val="1"/>
      <w:marLeft w:val="0"/>
      <w:marRight w:val="0"/>
      <w:marTop w:val="0"/>
      <w:marBottom w:val="0"/>
      <w:divBdr>
        <w:top w:val="none" w:sz="0" w:space="0" w:color="auto"/>
        <w:left w:val="none" w:sz="0" w:space="0" w:color="auto"/>
        <w:bottom w:val="none" w:sz="0" w:space="0" w:color="auto"/>
        <w:right w:val="none" w:sz="0" w:space="0" w:color="auto"/>
      </w:divBdr>
    </w:div>
    <w:div w:id="904022981">
      <w:bodyDiv w:val="1"/>
      <w:marLeft w:val="0"/>
      <w:marRight w:val="0"/>
      <w:marTop w:val="0"/>
      <w:marBottom w:val="0"/>
      <w:divBdr>
        <w:top w:val="none" w:sz="0" w:space="0" w:color="auto"/>
        <w:left w:val="none" w:sz="0" w:space="0" w:color="auto"/>
        <w:bottom w:val="none" w:sz="0" w:space="0" w:color="auto"/>
        <w:right w:val="none" w:sz="0" w:space="0" w:color="auto"/>
      </w:divBdr>
    </w:div>
    <w:div w:id="911693768">
      <w:bodyDiv w:val="1"/>
      <w:marLeft w:val="0"/>
      <w:marRight w:val="0"/>
      <w:marTop w:val="0"/>
      <w:marBottom w:val="0"/>
      <w:divBdr>
        <w:top w:val="none" w:sz="0" w:space="0" w:color="auto"/>
        <w:left w:val="none" w:sz="0" w:space="0" w:color="auto"/>
        <w:bottom w:val="none" w:sz="0" w:space="0" w:color="auto"/>
        <w:right w:val="none" w:sz="0" w:space="0" w:color="auto"/>
      </w:divBdr>
    </w:div>
    <w:div w:id="17992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liker@igsenerg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reg.Price@puco.ohio.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liker@igsenergy.com" TargetMode="External"/><Relationship Id="rId5" Type="http://schemas.openxmlformats.org/officeDocument/2006/relationships/numbering" Target="numbering.xml"/><Relationship Id="rId15" Type="http://schemas.openxmlformats.org/officeDocument/2006/relationships/hyperlink" Target="mailto:Patricia.Schabo@puco.ohio.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ooney@ohio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4952F9974ECA4090E456E20DC829D0" ma:contentTypeVersion="2" ma:contentTypeDescription="Create a new document." ma:contentTypeScope="" ma:versionID="6328a90c015b9cc124184dc39fcd2a79">
  <xsd:schema xmlns:xsd="http://www.w3.org/2001/XMLSchema" xmlns:xs="http://www.w3.org/2001/XMLSchema" xmlns:p="http://schemas.microsoft.com/office/2006/metadata/properties" xmlns:ns2="7b65a839-91ea-4ae8-a3e7-aa2e1fd1ecb0" targetNamespace="http://schemas.microsoft.com/office/2006/metadata/properties" ma:root="true" ma:fieldsID="1172f5901c6bc1d4ca6f0abe86fbb26b" ns2:_="">
    <xsd:import namespace="7b65a839-91ea-4ae8-a3e7-aa2e1fd1ec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a839-91ea-4ae8-a3e7-aa2e1fd1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3F7B-FD82-43AB-90C3-59E3B5C82A09}">
  <ds:schemaRefs>
    <ds:schemaRef ds:uri="http://schemas.microsoft.com/sharepoint/v3/contenttype/forms"/>
  </ds:schemaRefs>
</ds:datastoreItem>
</file>

<file path=customXml/itemProps2.xml><?xml version="1.0" encoding="utf-8"?>
<ds:datastoreItem xmlns:ds="http://schemas.openxmlformats.org/officeDocument/2006/customXml" ds:itemID="{A7BDD3F3-C3F9-43B8-9F58-494926160925}">
  <ds:schemaRefs>
    <ds:schemaRef ds:uri="http://purl.org/dc/elements/1.1/"/>
    <ds:schemaRef ds:uri="http://schemas.microsoft.com/office/2006/metadata/properties"/>
    <ds:schemaRef ds:uri="http://purl.org/dc/terms/"/>
    <ds:schemaRef ds:uri="7b65a839-91ea-4ae8-a3e7-aa2e1fd1ecb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C2F89E-C03B-402E-B447-C2C4507D0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a839-91ea-4ae8-a3e7-aa2e1fd1e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D54DF-D26F-42B8-98F5-19FE0D4C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9772</Words>
  <Characters>56971</Characters>
  <Application>Microsoft Office Word</Application>
  <DocSecurity>0</DocSecurity>
  <Lines>1017</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Oliker</dc:creator>
  <cp:keywords/>
  <dc:description/>
  <cp:lastModifiedBy>Joe Oliker</cp:lastModifiedBy>
  <cp:revision>4</cp:revision>
  <cp:lastPrinted>2018-08-17T20:14:00Z</cp:lastPrinted>
  <dcterms:created xsi:type="dcterms:W3CDTF">2018-08-17T21:04:00Z</dcterms:created>
  <dcterms:modified xsi:type="dcterms:W3CDTF">2018-08-17T21:09:00Z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0x010100134952F9974ECA4090E456E20DC829D0</vt:lpwstr>
  </property>
</Properties>
</file>