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52A74" w:rsidRPr="005365F6" w:rsidP="0015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B</w:t>
      </w:r>
      <w:r w:rsidRPr="005365F6">
        <w:rPr>
          <w:rFonts w:ascii="Times New Roman" w:eastAsia="Calibri" w:hAnsi="Times New Roman" w:cs="Times New Roman"/>
          <w:b/>
          <w:bCs/>
          <w:sz w:val="24"/>
          <w:szCs w:val="24"/>
        </w:rPr>
        <w:t>EFORE</w:t>
      </w:r>
    </w:p>
    <w:p w:rsidR="00152A74" w:rsidP="0015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PUBLIC UTILITIES COMMISSION OF OHIO</w:t>
      </w:r>
    </w:p>
    <w:p w:rsidR="00152A74" w:rsidP="0015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152A74">
        <w:tblPrEx>
          <w:tblW w:w="9092" w:type="dxa"/>
          <w:tblInd w:w="0" w:type="dxa"/>
          <w:tblCellMar>
            <w:top w:w="0" w:type="dxa"/>
            <w:left w:w="108" w:type="dxa"/>
            <w:bottom w:w="0" w:type="dxa"/>
            <w:right w:w="108" w:type="dxa"/>
          </w:tblCellMar>
          <w:tblLook w:val="01E0"/>
        </w:tblPrEx>
        <w:trPr>
          <w:trHeight w:val="342"/>
        </w:trPr>
        <w:tc>
          <w:tcPr>
            <w:tcW w:w="4332" w:type="dxa"/>
            <w:shd w:val="clear" w:color="auto" w:fill="auto"/>
          </w:tcPr>
          <w:p w:rsidR="00152A74" w:rsidRPr="00945974" w:rsidP="00152A74">
            <w:pPr>
              <w:autoSpaceDE w:val="0"/>
              <w:autoSpaceDN w:val="0"/>
              <w:adjustRightInd w:val="0"/>
              <w:rPr>
                <w:rStyle w:val="DefaultParagraphFont"/>
                <w:rFonts w:ascii="Times New Roman" w:hAnsi="Times New Roman" w:eastAsiaTheme="minorHAnsi" w:cs="Times New Roman"/>
                <w:sz w:val="22"/>
                <w:szCs w:val="22"/>
                <w:lang w:val="en-US" w:eastAsia="en-US" w:bidi="ar-SA"/>
              </w:rPr>
            </w:pPr>
            <w:r w:rsidRPr="00945974">
              <w:rPr>
                <w:rFonts w:ascii="Times New Roman" w:hAnsi="Times New Roman" w:eastAsiaTheme="minorHAnsi" w:cs="Times New Roman"/>
                <w:sz w:val="24"/>
                <w:szCs w:val="22"/>
                <w:lang w:val="en-US" w:eastAsia="en-US" w:bidi="ar-SA"/>
              </w:rPr>
              <w:t>In the Matter of the Determination of the Existence of Significantly Excessive Earnings for 2017 Under the Electric Security Plans of Ohio Edison Company, The Cleveland Electric Illuminating Company, and The Toledo Edison Company.</w:t>
            </w:r>
          </w:p>
        </w:tc>
        <w:tc>
          <w:tcPr>
            <w:tcW w:w="360" w:type="dxa"/>
            <w:shd w:val="clear" w:color="auto" w:fill="auto"/>
          </w:tcPr>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w:t>
            </w: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w:t>
            </w: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w:t>
            </w: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w:t>
            </w: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w:t>
            </w: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w:t>
            </w:r>
          </w:p>
          <w:p w:rsidR="00152A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w:t>
            </w: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Pr>
                <w:rFonts w:ascii="Times New Roman" w:eastAsia="Courier New" w:hAnsi="Times New Roman" w:cs="Times New Roman"/>
                <w:sz w:val="24"/>
                <w:szCs w:val="20"/>
                <w:lang w:val="en-US" w:eastAsia="en-US" w:bidi="ar-SA"/>
              </w:rPr>
              <w:t>)</w:t>
            </w:r>
          </w:p>
        </w:tc>
        <w:tc>
          <w:tcPr>
            <w:tcW w:w="4400" w:type="dxa"/>
            <w:shd w:val="clear" w:color="auto" w:fill="auto"/>
          </w:tcPr>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45974">
              <w:rPr>
                <w:rFonts w:ascii="Times New Roman" w:eastAsia="Courier New" w:hAnsi="Times New Roman" w:cs="Times New Roman"/>
                <w:sz w:val="24"/>
                <w:szCs w:val="20"/>
                <w:lang w:val="en-US" w:eastAsia="en-US" w:bidi="ar-SA"/>
              </w:rPr>
              <w:t>Case No. 18-</w:t>
            </w:r>
            <w:r w:rsidR="007F5DFB">
              <w:rPr>
                <w:rFonts w:ascii="Times New Roman" w:eastAsia="Courier New" w:hAnsi="Times New Roman" w:cs="Times New Roman"/>
                <w:sz w:val="24"/>
                <w:szCs w:val="20"/>
                <w:lang w:val="en-US" w:eastAsia="en-US" w:bidi="ar-SA"/>
              </w:rPr>
              <w:t>0</w:t>
            </w:r>
            <w:r w:rsidRPr="00945974">
              <w:rPr>
                <w:rFonts w:ascii="Times New Roman" w:eastAsia="Courier New" w:hAnsi="Times New Roman" w:cs="Times New Roman"/>
                <w:sz w:val="24"/>
                <w:szCs w:val="20"/>
                <w:lang w:val="en-US" w:eastAsia="en-US" w:bidi="ar-SA"/>
              </w:rPr>
              <w:t>857-EL-UNC</w:t>
            </w:r>
          </w:p>
          <w:p w:rsidR="00152A74" w:rsidRPr="00945974" w:rsidP="00152A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tc>
      </w:tr>
    </w:tbl>
    <w:p w:rsidR="00152A74" w:rsidP="00152A74">
      <w:pPr>
        <w:pBdr>
          <w:bottom w:val="single" w:sz="12" w:space="1" w:color="auto"/>
        </w:pBdr>
        <w:autoSpaceDE w:val="0"/>
        <w:autoSpaceDN w:val="0"/>
        <w:adjustRightInd w:val="0"/>
        <w:spacing w:after="0" w:line="240" w:lineRule="auto"/>
        <w:rPr>
          <w:rFonts w:ascii="Times New Roman" w:eastAsia="Calibri" w:hAnsi="Times New Roman" w:cs="Times New Roman"/>
          <w:sz w:val="20"/>
          <w:szCs w:val="24"/>
        </w:rPr>
      </w:pPr>
    </w:p>
    <w:p w:rsidR="00152A74" w:rsidRPr="005365F6" w:rsidP="00152A74">
      <w:pPr>
        <w:autoSpaceDE w:val="0"/>
        <w:autoSpaceDN w:val="0"/>
        <w:adjustRightInd w:val="0"/>
        <w:spacing w:after="0" w:line="240" w:lineRule="auto"/>
        <w:rPr>
          <w:rFonts w:ascii="Times New Roman" w:eastAsia="Calibri" w:hAnsi="Times New Roman" w:cs="Times New Roman"/>
          <w:sz w:val="20"/>
          <w:szCs w:val="24"/>
        </w:rPr>
      </w:pPr>
    </w:p>
    <w:p w:rsidR="00152A74" w:rsidRPr="005365F6" w:rsidP="00AD18D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REPLY BRIEF OF</w:t>
      </w:r>
    </w:p>
    <w:p w:rsidR="00152A74" w:rsidRPr="005365F6" w:rsidP="00152A74">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OFFICE OF THE OHIO CONSUMERS’ COUNSEL</w:t>
      </w:r>
    </w:p>
    <w:p w:rsidR="00152A74" w:rsidRPr="005365F6" w:rsidP="00152A74">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391F0E" w:rsidP="005F5D7B">
      <w:pPr>
        <w:spacing w:after="0" w:line="240" w:lineRule="auto"/>
      </w:pPr>
      <w:bookmarkStart w:id="1" w:name="_Toc534639762"/>
    </w:p>
    <w:p w:rsidR="00152A74" w:rsidRPr="005365F6" w:rsidP="00A82336">
      <w:pPr>
        <w:pStyle w:val="Heading1"/>
      </w:pPr>
      <w:r w:rsidRPr="005365F6">
        <w:t>INTRODUCTION</w:t>
      </w:r>
      <w:bookmarkEnd w:id="1"/>
      <w:r w:rsidRPr="005365F6">
        <w:t xml:space="preserve"> </w:t>
      </w:r>
    </w:p>
    <w:p w:rsidR="002D4C63" w:rsidP="005E3D2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Section 4928.143(F)</w:t>
      </w:r>
      <w:r>
        <w:rPr>
          <w:rFonts w:ascii="Times New Roman" w:hAnsi="Times New Roman" w:cs="Times New Roman"/>
          <w:b/>
          <w:sz w:val="24"/>
          <w:szCs w:val="24"/>
        </w:rPr>
        <w:t xml:space="preserve"> </w:t>
      </w:r>
      <w:r>
        <w:rPr>
          <w:rFonts w:ascii="Times New Roman" w:hAnsi="Times New Roman" w:cs="Times New Roman"/>
          <w:sz w:val="24"/>
          <w:szCs w:val="24"/>
        </w:rPr>
        <w:t>of Ohio’s 2008 electricity law (S.B. 221) favors utilities and disfavors consumers by allowing Ohio Edison Company to charge their customers “excessive” profits earned through PUCO-approved electric security plans (“ESPs”) so long as Ohio Edison can show that those profits are not “significantly excessive.”  In this case, whether Ohio Edison’s profits under its ESP for 2017 are significantly excessive is directly at issue and disputed by OCC.  OCC’s evidence not only contradicts Ohio Edison’s and PUCO Staff’s testimony that Ohio Edison’s profits were not significantly excessive, it supports a $42 million refund to Ohio Edison’s customers.</w:t>
      </w:r>
    </w:p>
    <w:p w:rsidR="00BD4E5B" w:rsidP="00195C32">
      <w:pPr>
        <w:spacing w:after="0" w:line="480" w:lineRule="auto"/>
        <w:ind w:firstLine="720"/>
        <w:rPr>
          <w:rFonts w:ascii="Times New Roman" w:hAnsi="Times New Roman" w:cs="Times New Roman"/>
          <w:sz w:val="24"/>
          <w:szCs w:val="24"/>
        </w:rPr>
        <w:sectPr w:rsidSect="00152A74">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r>
        <w:rPr>
          <w:rFonts w:ascii="Times New Roman" w:hAnsi="Times New Roman" w:cs="Times New Roman"/>
          <w:sz w:val="24"/>
          <w:szCs w:val="24"/>
        </w:rPr>
        <w:t xml:space="preserve">Ohio Edison and PUCO Staff argue that the PUCO should deny customers a refund and allow Ohio Edison to keep its $42 million in significantly excessive earned profits simply because Ohio Edison and PUCO Staff </w:t>
      </w:r>
      <w:r>
        <w:rPr>
          <w:rFonts w:ascii="Times New Roman" w:hAnsi="Times New Roman" w:cs="Times New Roman"/>
          <w:i/>
          <w:sz w:val="24"/>
          <w:szCs w:val="24"/>
        </w:rPr>
        <w:t xml:space="preserve">agreed </w:t>
      </w:r>
      <w:r>
        <w:rPr>
          <w:rFonts w:ascii="Times New Roman" w:hAnsi="Times New Roman" w:cs="Times New Roman"/>
          <w:sz w:val="24"/>
          <w:szCs w:val="24"/>
        </w:rPr>
        <w:t xml:space="preserve">in their Stipulation and </w:t>
      </w:r>
    </w:p>
    <w:p w:rsidR="00152A74" w:rsidP="00BD4E5B">
      <w:pPr>
        <w:spacing w:after="0" w:line="480" w:lineRule="auto"/>
        <w:rPr>
          <w:rFonts w:ascii="Times New Roman" w:hAnsi="Times New Roman" w:cs="Times New Roman"/>
          <w:sz w:val="24"/>
          <w:szCs w:val="24"/>
        </w:rPr>
      </w:pPr>
      <w:r>
        <w:rPr>
          <w:rFonts w:ascii="Times New Roman" w:hAnsi="Times New Roman" w:cs="Times New Roman"/>
          <w:sz w:val="24"/>
          <w:szCs w:val="24"/>
        </w:rPr>
        <w:t>Recommendations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that Ohio Edison satisfied the statutory Significantly Excessive Earnings Test (“SEET”).  But ignoring OCC’s evidence and recommendations for a customer refund based on Ohio Edison’s and PUCO Staff’s unilateral attempt to settle this case in Ohio Edison’s favor is unlawful, unreasonable, and contrary to the public interest.  In short, the Settlement fails the PUCO’s three-part test it uses to evaluate stipulations, and it should be rejected. </w:t>
      </w:r>
    </w:p>
    <w:p w:rsidR="00195C32" w:rsidP="00177C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if the Settlement satisfied the three-part test (which it does not), it should still be rejected because Ohio Edison fails to satisfy its statutory burden to demonstrate that it did not earn significantly excessive profits in 2017.  Ohio Edison’s and PUCO Staff’s conclusion that Ohio Edison had no significantly excessive earnings ignores real cash </w:t>
      </w:r>
      <w:r>
        <w:rPr>
          <w:rFonts w:ascii="Times New Roman" w:hAnsi="Times New Roman" w:cs="Times New Roman"/>
          <w:bCs/>
          <w:sz w:val="24"/>
          <w:szCs w:val="24"/>
        </w:rPr>
        <w:t>revenue it received from its customers through its so-called</w:t>
      </w:r>
      <w:r w:rsidRPr="00C84005">
        <w:rPr>
          <w:rFonts w:ascii="Times New Roman" w:hAnsi="Times New Roman" w:cs="Times New Roman"/>
          <w:bCs/>
          <w:sz w:val="24"/>
          <w:szCs w:val="24"/>
        </w:rPr>
        <w:t xml:space="preserve"> Distribution Modernization Rider (“Rider DMR</w:t>
      </w:r>
      <w:r>
        <w:rPr>
          <w:rFonts w:ascii="Times New Roman" w:hAnsi="Times New Roman" w:cs="Times New Roman"/>
          <w:bCs/>
          <w:sz w:val="24"/>
          <w:szCs w:val="24"/>
        </w:rPr>
        <w:t xml:space="preserve">”).  Consequently, customers are </w:t>
      </w:r>
      <w:r>
        <w:rPr>
          <w:rFonts w:ascii="Times New Roman" w:hAnsi="Times New Roman" w:cs="Times New Roman"/>
          <w:sz w:val="24"/>
          <w:szCs w:val="24"/>
        </w:rPr>
        <w:t xml:space="preserve">deprived of the $42 million refund to which they are entitled under R.C. 4928.143(F).  Finally, the Settlement does not adopt a specific SEET threshold, and without that, the PUCO cannot fulfill its statutory duty to review Ohio Edison’s earnings from its electric security plan.  </w:t>
      </w:r>
    </w:p>
    <w:p w:rsidR="00152A74" w:rsidRPr="005365F6" w:rsidP="00152A74">
      <w:pPr>
        <w:spacing w:after="0" w:line="240" w:lineRule="auto"/>
        <w:ind w:firstLine="720"/>
        <w:rPr>
          <w:rFonts w:ascii="Times New Roman" w:hAnsi="Times New Roman" w:cs="Times New Roman"/>
          <w:sz w:val="24"/>
          <w:szCs w:val="24"/>
        </w:rPr>
      </w:pPr>
    </w:p>
    <w:p w:rsidR="00AD18D2" w:rsidRPr="00AD18D2" w:rsidP="00A82336">
      <w:pPr>
        <w:pStyle w:val="Heading1"/>
      </w:pPr>
      <w:r>
        <w:t>THE PUCO SHOULD PROVIDE CONSUMERS THE PROTECTION THAT EXISTS UNDER THE LAW AND REJECT THE Settlement BECAUSE OHIO EDISON AND puco STAFF FAIL TO DEMONSTRATE THAT IT IS REASONABLE and benefits consumers.</w:t>
      </w:r>
    </w:p>
    <w:p w:rsidR="005F5D7B" w:rsidP="005F5D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is not legally required to adopt the Settlement, and it should not do so in this case because Ohio Edison and PUCO Staff do not, and cannot, satisfy </w:t>
      </w:r>
      <w:r w:rsidRPr="0046199B">
        <w:rPr>
          <w:rFonts w:ascii="Times New Roman" w:hAnsi="Times New Roman" w:cs="Times New Roman"/>
          <w:i/>
          <w:sz w:val="24"/>
          <w:szCs w:val="24"/>
        </w:rPr>
        <w:t>their</w:t>
      </w:r>
      <w:r>
        <w:rPr>
          <w:rFonts w:ascii="Times New Roman" w:hAnsi="Times New Roman" w:cs="Times New Roman"/>
          <w:sz w:val="24"/>
          <w:szCs w:val="24"/>
        </w:rPr>
        <w:t xml:space="preserve"> burden to show that it is reasonable and meets the three-part test the PUCO applies in evaluating </w:t>
      </w:r>
      <w:r>
        <w:rPr>
          <w:rFonts w:ascii="Times New Roman" w:hAnsi="Times New Roman" w:cs="Times New Roman"/>
          <w:sz w:val="24"/>
          <w:szCs w:val="24"/>
        </w:rPr>
        <w:t>such agreements. The three-part test, which has been affirmed by the Ohio Supreme Court, requires that the Settlement must:  i.) be a product of serious bargaining among capable and knowledgeable parties; ii.) benefit the customers and the public interest; and iii) not violate any important regulatory principle or practice.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Settlement fails on each count.</w:t>
      </w:r>
    </w:p>
    <w:p w:rsidR="001F4B10" w:rsidRPr="001F4B10" w:rsidP="00A82336">
      <w:pPr>
        <w:pStyle w:val="Heading2"/>
      </w:pPr>
      <w:r>
        <w:t>The Settlement Was Not a Product of “Serious Bargaining.”</w:t>
      </w:r>
    </w:p>
    <w:p w:rsidR="005C6900" w:rsidP="004E09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witness Daniel J. Duann, Ph. D, testified that the first he heard of the Settlement was after it was filed and made publicly available on the PUCO’s website.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Neither Ohio Edison nor PUCO Staff offer any explanation in their Initial Briefs as to why OCC was excluded from any settlement discussions.  Instead, Ohio Edison blames OCC itself for not initiating settlement negotiations.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But placing blame on OCC for not coming to the table ignores that Ohio Edison – not OCC – has the burden of demonstrating that it did not earn significantly excessive profits.  Further, even if OCC were engaged in the Settlement negotiations (and it was not) there was nothing to negotiate in the first place.  The Settlement and the Supporting Supplemental Testimony of Joanne Savage do nothing but rehash Ohio Edison’s and PUCO Staff’s established positions, which OCC opposes.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This alone demonstrates that the Settlement lacked serious bargaining by the parties.</w:t>
      </w:r>
    </w:p>
    <w:p w:rsidR="00897FD6" w:rsidP="003B17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Unable to support its position that the Settlement is reasonable and benefits customers, PUCO Staff instead muddies the issue by playing a game of semantics with the terms </w:t>
      </w:r>
      <w:r w:rsidRPr="005C6900">
        <w:rPr>
          <w:rFonts w:ascii="Times New Roman" w:hAnsi="Times New Roman" w:cs="Times New Roman"/>
          <w:sz w:val="24"/>
          <w:szCs w:val="24"/>
        </w:rPr>
        <w:t xml:space="preserve">“Settlement” </w:t>
      </w:r>
      <w:r>
        <w:rPr>
          <w:rFonts w:ascii="Times New Roman" w:hAnsi="Times New Roman" w:cs="Times New Roman"/>
          <w:sz w:val="24"/>
          <w:szCs w:val="24"/>
        </w:rPr>
        <w:t>and</w:t>
      </w:r>
      <w:r w:rsidRPr="005C6900">
        <w:rPr>
          <w:rFonts w:ascii="Times New Roman" w:hAnsi="Times New Roman" w:cs="Times New Roman"/>
          <w:sz w:val="24"/>
          <w:szCs w:val="24"/>
        </w:rPr>
        <w:t xml:space="preserve"> “Stipulation</w:t>
      </w:r>
      <w:r>
        <w:rPr>
          <w:rFonts w:ascii="Times New Roman" w:hAnsi="Times New Roman" w:cs="Times New Roman"/>
          <w:sz w:val="24"/>
          <w:szCs w:val="24"/>
        </w:rPr>
        <w:t>.</w:t>
      </w:r>
      <w:r w:rsidRPr="005C6900">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5C6900">
        <w:rPr>
          <w:rFonts w:ascii="Times New Roman" w:hAnsi="Times New Roman" w:cs="Times New Roman"/>
          <w:sz w:val="24"/>
          <w:szCs w:val="24"/>
        </w:rPr>
        <w:t xml:space="preserve"> </w:t>
      </w:r>
      <w:r>
        <w:rPr>
          <w:rFonts w:ascii="Times New Roman" w:hAnsi="Times New Roman" w:cs="Times New Roman"/>
          <w:sz w:val="24"/>
          <w:szCs w:val="24"/>
        </w:rPr>
        <w:t xml:space="preserve"> Although the terms can be used </w:t>
      </w:r>
      <w:r w:rsidRPr="005C6900">
        <w:rPr>
          <w:rFonts w:ascii="Times New Roman" w:hAnsi="Times New Roman" w:cs="Times New Roman"/>
          <w:sz w:val="24"/>
          <w:szCs w:val="24"/>
        </w:rPr>
        <w:t xml:space="preserve">interchangeably </w:t>
      </w:r>
      <w:r>
        <w:rPr>
          <w:rFonts w:ascii="Times New Roman" w:hAnsi="Times New Roman" w:cs="Times New Roman"/>
          <w:sz w:val="24"/>
          <w:szCs w:val="24"/>
        </w:rPr>
        <w:t>in the context of Rule 4901-1-39 of the Ohio Administrative Code (“OAC”),</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they have very different meanings under their traditional definitions, and more importantly, very different legal </w:t>
      </w:r>
      <w:r w:rsidRPr="00120147">
        <w:rPr>
          <w:rFonts w:ascii="Times New Roman" w:hAnsi="Times New Roman" w:cs="Times New Roman"/>
          <w:sz w:val="24"/>
          <w:szCs w:val="24"/>
        </w:rPr>
        <w:t>effects</w:t>
      </w:r>
      <w:r>
        <w:rPr>
          <w:rFonts w:ascii="Times New Roman" w:hAnsi="Times New Roman" w:cs="Times New Roman"/>
          <w:sz w:val="24"/>
          <w:szCs w:val="24"/>
        </w:rPr>
        <w:t>.  As OCC explained in its Initial Brief, a “Settlement” is an agreement that ends a dispute or a lawsuit.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 “Stipulation,” on the other hand, is typically used to refer to an agreement between parties as to an issue of fact to streamline the issues to be litigated in a case.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86090C" w:rsidP="002F5C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distinction here is important.  In this case, Ohio Edison and PUCO Staff agreed in their Settlement for purposes of this proceeding that Ohio Edison’s 2017 return on equity (“ROE”) was 11.8% and agreed that that return does not reflect significantly excessive earnings under its ESP.  As a result, the Settlement recommends that the PUCO “issue its Opinion and Order in this proceeding determining that significantly excessive earnings under Revised Code Section 4928.143(F) did not occur with respect to [Ohio Edison’s] ESP in 2017.”</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Therefore, what Ohio Edison and PUCO Staff want is to unilaterally end this proceeding.  While Ohio Edison and PUCO Staff may certainly stipulate not to litigate an issue, their settlement as to Ohio Edison’s ROE cannot lawfully have the </w:t>
      </w:r>
      <w:r w:rsidRPr="00401E4F">
        <w:rPr>
          <w:rFonts w:ascii="Times New Roman" w:hAnsi="Times New Roman" w:cs="Times New Roman"/>
          <w:sz w:val="24"/>
          <w:szCs w:val="24"/>
        </w:rPr>
        <w:t>effect</w:t>
      </w:r>
      <w:r>
        <w:rPr>
          <w:rFonts w:ascii="Times New Roman" w:hAnsi="Times New Roman" w:cs="Times New Roman"/>
          <w:sz w:val="24"/>
          <w:szCs w:val="24"/>
        </w:rPr>
        <w:t xml:space="preserve"> of settling (</w:t>
      </w:r>
      <w:r>
        <w:rPr>
          <w:rFonts w:ascii="Times New Roman" w:hAnsi="Times New Roman" w:cs="Times New Roman"/>
          <w:i/>
          <w:sz w:val="24"/>
          <w:szCs w:val="24"/>
        </w:rPr>
        <w:t xml:space="preserve">i.e. </w:t>
      </w:r>
      <w:r>
        <w:rPr>
          <w:rFonts w:ascii="Times New Roman" w:hAnsi="Times New Roman" w:cs="Times New Roman"/>
          <w:sz w:val="24"/>
          <w:szCs w:val="24"/>
        </w:rPr>
        <w:t xml:space="preserve">ending) this proceeding in Ohio Edison’s favor without the PUCO’s consideration of the OCC’s evidence contradicting the methodology used to support the Settlement.  Permitting Ohio Edison to simply end the proceeding in its favor by memorializing with PUCO Staff their aligned positions would defeat the purpose of Section 4928.143(F) and deny Ohio Edison’s customers the protections the statute affords.  </w:t>
      </w:r>
    </w:p>
    <w:p w:rsidR="005F5D7B" w:rsidRPr="005365F6" w:rsidP="005F5D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Ohio Edison chose to offer service under an ESP and subject itself to the SEET.  It could have chosen to offer service under market-based rates, but it did not.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Ohio Edison should not now be permitted to unlawfully end run the regulatory protections to customers under Section 4928.143(F) to the detriment of Ohio Edison’s customers.  Accordingly, the PUCO should reject the Settlement.</w:t>
      </w:r>
    </w:p>
    <w:p w:rsidR="00152A74" w:rsidRPr="005365F6" w:rsidP="00A82336">
      <w:pPr>
        <w:pStyle w:val="Heading2"/>
      </w:pPr>
      <w:r>
        <w:t>The Settlement Harms Customers and the Public Interest.</w:t>
      </w:r>
    </w:p>
    <w:p w:rsidR="00E27339" w:rsidP="00B90B9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represents nearly 1 million of Ohio Edison’s residential customers, who would be denied a $42 million refund if the PUCO adopts the Settlement.  That is a real financial harm.</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3524E1">
        <w:rPr>
          <w:rFonts w:ascii="Times New Roman" w:hAnsi="Times New Roman" w:cs="Times New Roman"/>
          <w:sz w:val="24"/>
          <w:szCs w:val="24"/>
        </w:rPr>
        <w:t>OCC</w:t>
      </w:r>
      <w:r>
        <w:rPr>
          <w:rFonts w:ascii="Times New Roman" w:hAnsi="Times New Roman" w:cs="Times New Roman"/>
          <w:sz w:val="24"/>
          <w:szCs w:val="24"/>
        </w:rPr>
        <w:t>’s witness Dr. Duann</w:t>
      </w:r>
      <w:r w:rsidRPr="003524E1">
        <w:rPr>
          <w:rFonts w:ascii="Times New Roman" w:hAnsi="Times New Roman" w:cs="Times New Roman"/>
          <w:sz w:val="24"/>
          <w:szCs w:val="24"/>
        </w:rPr>
        <w:t xml:space="preserve"> presented </w:t>
      </w:r>
      <w:r>
        <w:rPr>
          <w:rFonts w:ascii="Times New Roman" w:hAnsi="Times New Roman" w:cs="Times New Roman"/>
          <w:sz w:val="24"/>
          <w:szCs w:val="24"/>
        </w:rPr>
        <w:t>overwhelming</w:t>
      </w:r>
      <w:r w:rsidRPr="003524E1">
        <w:rPr>
          <w:rFonts w:ascii="Times New Roman" w:hAnsi="Times New Roman" w:cs="Times New Roman"/>
          <w:sz w:val="24"/>
          <w:szCs w:val="24"/>
        </w:rPr>
        <w:t xml:space="preserve"> evidence supporting </w:t>
      </w:r>
      <w:r>
        <w:rPr>
          <w:rFonts w:ascii="Times New Roman" w:hAnsi="Times New Roman" w:cs="Times New Roman"/>
          <w:sz w:val="24"/>
          <w:szCs w:val="24"/>
        </w:rPr>
        <w:t xml:space="preserve">a </w:t>
      </w:r>
      <w:r w:rsidRPr="003524E1">
        <w:rPr>
          <w:rFonts w:ascii="Times New Roman" w:hAnsi="Times New Roman" w:cs="Times New Roman"/>
          <w:sz w:val="24"/>
          <w:szCs w:val="24"/>
        </w:rPr>
        <w:t xml:space="preserve">$42 million customer refund, and notably, </w:t>
      </w:r>
      <w:r>
        <w:rPr>
          <w:rFonts w:ascii="Times New Roman" w:hAnsi="Times New Roman" w:cs="Times New Roman"/>
          <w:sz w:val="24"/>
          <w:szCs w:val="24"/>
        </w:rPr>
        <w:t>Ohio Edison</w:t>
      </w:r>
      <w:r w:rsidRPr="003524E1">
        <w:rPr>
          <w:rFonts w:ascii="Times New Roman" w:hAnsi="Times New Roman" w:cs="Times New Roman"/>
          <w:sz w:val="24"/>
          <w:szCs w:val="24"/>
        </w:rPr>
        <w:t xml:space="preserve"> and </w:t>
      </w:r>
      <w:r>
        <w:rPr>
          <w:rFonts w:ascii="Times New Roman" w:hAnsi="Times New Roman" w:cs="Times New Roman"/>
          <w:sz w:val="24"/>
          <w:szCs w:val="24"/>
        </w:rPr>
        <w:t xml:space="preserve">PUCO </w:t>
      </w:r>
      <w:r w:rsidRPr="003524E1">
        <w:rPr>
          <w:rFonts w:ascii="Times New Roman" w:hAnsi="Times New Roman" w:cs="Times New Roman"/>
          <w:sz w:val="24"/>
          <w:szCs w:val="24"/>
        </w:rPr>
        <w:t>Staff do not dispute</w:t>
      </w:r>
      <w:r>
        <w:rPr>
          <w:rFonts w:ascii="Times New Roman" w:hAnsi="Times New Roman" w:cs="Times New Roman"/>
          <w:sz w:val="24"/>
          <w:szCs w:val="24"/>
        </w:rPr>
        <w:t xml:space="preserve"> his calculations underlying that result</w:t>
      </w:r>
      <w:r w:rsidRPr="003524E1">
        <w:rPr>
          <w:rFonts w:ascii="Times New Roman" w:hAnsi="Times New Roman" w:cs="Times New Roman"/>
          <w:sz w:val="24"/>
          <w:szCs w:val="24"/>
        </w:rPr>
        <w:t xml:space="preserve">.  Rather, </w:t>
      </w:r>
      <w:r>
        <w:rPr>
          <w:rFonts w:ascii="Times New Roman" w:hAnsi="Times New Roman" w:cs="Times New Roman"/>
          <w:sz w:val="24"/>
          <w:szCs w:val="24"/>
        </w:rPr>
        <w:t>Ohio Edison</w:t>
      </w:r>
      <w:r w:rsidRPr="003524E1">
        <w:rPr>
          <w:rFonts w:ascii="Times New Roman" w:hAnsi="Times New Roman" w:cs="Times New Roman"/>
          <w:sz w:val="24"/>
          <w:szCs w:val="24"/>
        </w:rPr>
        <w:t xml:space="preserve"> and </w:t>
      </w:r>
      <w:r>
        <w:rPr>
          <w:rFonts w:ascii="Times New Roman" w:hAnsi="Times New Roman" w:cs="Times New Roman"/>
          <w:sz w:val="24"/>
          <w:szCs w:val="24"/>
        </w:rPr>
        <w:t xml:space="preserve">PUCO </w:t>
      </w:r>
      <w:r w:rsidRPr="003524E1">
        <w:rPr>
          <w:rFonts w:ascii="Times New Roman" w:hAnsi="Times New Roman" w:cs="Times New Roman"/>
          <w:sz w:val="24"/>
          <w:szCs w:val="24"/>
        </w:rPr>
        <w:t>Staff contest Dr. Duann’s inclusion of Rider DMR revenues in Ohio Edison’s 2017 SEET net income.</w:t>
      </w:r>
      <w:r>
        <w:rPr>
          <w:rFonts w:ascii="Times New Roman" w:hAnsi="Times New Roman" w:cs="Times New Roman"/>
          <w:sz w:val="24"/>
          <w:szCs w:val="24"/>
        </w:rPr>
        <w:t xml:space="preserve">  And whether exclusion of Rider DMR in the SEET results in Ohio Edison being allowed to keep significantly excessive earnings at its customers’ expense is not an issue that can lawfully be swept under the rug through Ohio Edison’s and PUCO Staff’s unilateral agreement to dispose of the issue and end the proceeding.  </w:t>
      </w:r>
    </w:p>
    <w:p w:rsidR="00152A74" w:rsidRPr="00E77623" w:rsidP="00E77623">
      <w:pPr>
        <w:autoSpaceDE w:val="0"/>
        <w:autoSpaceDN w:val="0"/>
        <w:adjustRightInd w:val="0"/>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The only support Ohio Edison and PUCO Staff offer for their position that the Settlement benefits customers is the testimony of Joanne Savage </w:t>
      </w:r>
      <w:r w:rsidRPr="00C10DB0">
        <w:rPr>
          <w:rFonts w:ascii="Times New Roman" w:hAnsi="Times New Roman" w:cs="Times New Roman"/>
          <w:bCs/>
          <w:sz w:val="24"/>
          <w:szCs w:val="24"/>
        </w:rPr>
        <w:t xml:space="preserve">that the Settlement would benefit customers </w:t>
      </w:r>
      <w:r>
        <w:rPr>
          <w:rFonts w:ascii="Times New Roman" w:hAnsi="Times New Roman" w:cs="Times New Roman"/>
          <w:bCs/>
          <w:sz w:val="24"/>
          <w:szCs w:val="24"/>
        </w:rPr>
        <w:t xml:space="preserve">by </w:t>
      </w:r>
      <w:r w:rsidRPr="00C10DB0">
        <w:rPr>
          <w:rFonts w:ascii="Times New Roman" w:hAnsi="Times New Roman" w:cs="Times New Roman"/>
          <w:bCs/>
          <w:sz w:val="24"/>
          <w:szCs w:val="24"/>
        </w:rPr>
        <w:t>“contribut</w:t>
      </w:r>
      <w:r>
        <w:rPr>
          <w:rFonts w:ascii="Times New Roman" w:hAnsi="Times New Roman" w:cs="Times New Roman"/>
          <w:bCs/>
          <w:sz w:val="24"/>
          <w:szCs w:val="24"/>
        </w:rPr>
        <w:t>[ing]</w:t>
      </w:r>
      <w:r w:rsidRPr="00C10DB0">
        <w:rPr>
          <w:rFonts w:ascii="Times New Roman" w:hAnsi="Times New Roman" w:cs="Times New Roman"/>
          <w:bCs/>
          <w:sz w:val="24"/>
          <w:szCs w:val="24"/>
        </w:rPr>
        <w:t xml:space="preserve"> to a timely and reasonable resolution to this case.”</w:t>
      </w:r>
      <w:r>
        <w:rPr>
          <w:rStyle w:val="FootnoteReference"/>
          <w:rFonts w:ascii="Times New Roman" w:hAnsi="Times New Roman" w:cs="Times New Roman"/>
          <w:sz w:val="24"/>
          <w:szCs w:val="24"/>
        </w:rPr>
        <w:footnoteReference w:id="14"/>
      </w:r>
      <w:r w:rsidRPr="00C10DB0">
        <w:rPr>
          <w:rFonts w:ascii="Times New Roman" w:hAnsi="Times New Roman" w:cs="Times New Roman"/>
          <w:bCs/>
          <w:sz w:val="24"/>
          <w:szCs w:val="24"/>
        </w:rPr>
        <w:t xml:space="preserve"> </w:t>
      </w:r>
      <w:r>
        <w:rPr>
          <w:rFonts w:ascii="Times New Roman" w:hAnsi="Times New Roman" w:cs="Times New Roman"/>
          <w:bCs/>
          <w:sz w:val="24"/>
          <w:szCs w:val="24"/>
        </w:rPr>
        <w:t xml:space="preserve">That contention is disingenuous and should be rejected.  To be sure, the Settlement would end this proceeding quickly.  But it would also financially harm Ohio Edison’s customers in the process, leaving them with no refund of the significantly excessive profits Ohio Edison earned.  That is not a reasonable resolution to this case.  It would also set a dangerous precedent for future SEET proceedings, effecting a continuous harm on utility customers for years to come.  </w:t>
      </w:r>
    </w:p>
    <w:p w:rsidR="00152A74" w:rsidP="00E77623">
      <w:pPr>
        <w:pStyle w:val="Heading2"/>
      </w:pPr>
      <w:bookmarkStart w:id="2" w:name="_Toc482612437"/>
      <w:bookmarkStart w:id="3" w:name="_Toc534639768"/>
      <w:r>
        <w:t>Ohio Edison And PUCO Staff Fail To Show That The Settlement Is Consistent With Ohio Law And Regulatory Principles</w:t>
      </w:r>
      <w:r w:rsidRPr="005365F6">
        <w:t>.</w:t>
      </w:r>
      <w:bookmarkEnd w:id="2"/>
      <w:bookmarkEnd w:id="3"/>
    </w:p>
    <w:p w:rsidR="00152A74" w:rsidRPr="006B0EF8" w:rsidP="006B0E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Beyond the bald assertion that the Settlement “implements the regulatory policy,”</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neither PUCO Staff nor Ohio Edison can offer any legitimate argument as to how the Settlement does not violate established Ohio regulatory law – let alone implement it.  To the contrary, rubber-stamping the Settlement and issuing an order that Ohio Edison did not earn significantly excessive profits would effectively gut the protections afforded to customers under Section 4928.143(F).  As explained above, Ohio Edison and PUCO Staff could simply end any SEET proceeding through their unilateral agreement despite credible and contradictory evidence demonstrating the existence of significantly excessive earnings.  The Settlement can and should be rejected for this reason alone.</w:t>
      </w:r>
    </w:p>
    <w:p w:rsidR="00E77623" w:rsidP="00E77623">
      <w:pPr>
        <w:spacing w:after="0" w:line="480" w:lineRule="auto"/>
        <w:ind w:firstLine="720"/>
      </w:pPr>
      <w:r>
        <w:rPr>
          <w:rFonts w:ascii="Times New Roman" w:hAnsi="Times New Roman" w:cs="Times New Roman"/>
          <w:sz w:val="24"/>
          <w:szCs w:val="24"/>
        </w:rPr>
        <w:t>But aside from that, Ohio Edison and PUCO Staff do not dispute (nor can they) that Ohio law requires utilities to charge just and reasonable rates.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And OCC presented credible evidence that Ohio Edison profited from significantly excessive earnings in 2017.  It is unjust and unreasonable to force Ohio Edison’s customers to pay rates that result in Ohio Edison collecting from customers (and retaining) $42 million that leads to significantly excessive earnings.  This result is patently unreasonable, and is at direct odds with the General Assembly’s intent when it adopted Section 4928.143(F) (</w:t>
      </w:r>
      <w:r>
        <w:rPr>
          <w:rFonts w:ascii="Times New Roman" w:hAnsi="Times New Roman" w:cs="Times New Roman"/>
          <w:i/>
          <w:sz w:val="24"/>
          <w:szCs w:val="24"/>
        </w:rPr>
        <w:t xml:space="preserve">i.e. </w:t>
      </w:r>
      <w:r>
        <w:rPr>
          <w:rFonts w:ascii="Times New Roman" w:hAnsi="Times New Roman" w:cs="Times New Roman"/>
          <w:sz w:val="24"/>
          <w:szCs w:val="24"/>
        </w:rPr>
        <w:t>that there be a necessary check on utilities’ earning under their ESPs).</w:t>
      </w:r>
      <w:bookmarkStart w:id="4" w:name="_Toc534639772"/>
      <w:r>
        <w:rPr>
          <w:rFonts w:ascii="Times New Roman" w:hAnsi="Times New Roman" w:cs="Times New Roman"/>
          <w:sz w:val="24"/>
          <w:szCs w:val="24"/>
        </w:rPr>
        <w:t xml:space="preserve">  Therefore, the Settlement should be rejected.</w:t>
      </w:r>
      <w:r>
        <w:t xml:space="preserve"> </w:t>
      </w:r>
    </w:p>
    <w:p w:rsidR="00A82336" w:rsidP="00A82336">
      <w:pPr>
        <w:spacing w:after="0" w:line="240" w:lineRule="auto"/>
        <w:ind w:firstLine="720"/>
      </w:pPr>
    </w:p>
    <w:p w:rsidR="005C6900" w:rsidRPr="00E77623" w:rsidP="00A82336">
      <w:pPr>
        <w:pStyle w:val="Heading1"/>
      </w:pPr>
      <w:r>
        <w:t xml:space="preserve">THE </w:t>
      </w:r>
      <w:bookmarkEnd w:id="4"/>
      <w:r>
        <w:t>settlement should be rejected because Signatory Parties fail to demonstrate that Ohio edison did not experience significantly excessive profits.</w:t>
      </w:r>
    </w:p>
    <w:p w:rsidR="00EF1535" w:rsidP="00EF15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if the Settlement did meet the three-part test (and it does not), Ohio Edison’s and PUCO Staff’s recommendation should be rejected because Ohio Edison fails to meet its </w:t>
      </w:r>
      <w:r w:rsidRPr="00EF1535">
        <w:rPr>
          <w:rFonts w:ascii="Times New Roman" w:hAnsi="Times New Roman" w:cs="Times New Roman"/>
          <w:sz w:val="24"/>
          <w:szCs w:val="24"/>
        </w:rPr>
        <w:t>“burden of proof for demonstrating that significantly excessive earnings did not occur.”</w:t>
      </w:r>
      <w:r>
        <w:rPr>
          <w:rStyle w:val="FootnoteReference"/>
          <w:rFonts w:ascii="Times New Roman" w:hAnsi="Times New Roman" w:cs="Times New Roman"/>
          <w:sz w:val="24"/>
          <w:szCs w:val="24"/>
        </w:rPr>
        <w:footnoteReference w:id="17"/>
      </w:r>
      <w:r w:rsidRPr="00EF1535">
        <w:rPr>
          <w:rFonts w:ascii="Times New Roman" w:hAnsi="Times New Roman" w:cs="Times New Roman"/>
          <w:sz w:val="24"/>
          <w:szCs w:val="24"/>
        </w:rPr>
        <w:t xml:space="preserve"> </w:t>
      </w:r>
      <w:r>
        <w:rPr>
          <w:rFonts w:ascii="Times New Roman" w:hAnsi="Times New Roman" w:cs="Times New Roman"/>
          <w:sz w:val="24"/>
          <w:szCs w:val="24"/>
        </w:rPr>
        <w:t xml:space="preserve"> And for the reasons explained above, </w:t>
      </w:r>
      <w:r w:rsidRPr="00EF1535">
        <w:rPr>
          <w:rFonts w:ascii="Times New Roman" w:hAnsi="Times New Roman" w:cs="Times New Roman"/>
          <w:sz w:val="24"/>
          <w:szCs w:val="24"/>
        </w:rPr>
        <w:t xml:space="preserve">Ohio Edison must satisfy </w:t>
      </w:r>
      <w:r>
        <w:rPr>
          <w:rFonts w:ascii="Times New Roman" w:hAnsi="Times New Roman" w:cs="Times New Roman"/>
          <w:sz w:val="24"/>
          <w:szCs w:val="24"/>
        </w:rPr>
        <w:t>this standard</w:t>
      </w:r>
      <w:r w:rsidRPr="00EF1535">
        <w:rPr>
          <w:rFonts w:ascii="Times New Roman" w:hAnsi="Times New Roman" w:cs="Times New Roman"/>
          <w:sz w:val="24"/>
          <w:szCs w:val="24"/>
        </w:rPr>
        <w:t xml:space="preserve"> regardless</w:t>
      </w:r>
      <w:r>
        <w:rPr>
          <w:rFonts w:ascii="Times New Roman" w:hAnsi="Times New Roman" w:cs="Times New Roman"/>
          <w:sz w:val="24"/>
          <w:szCs w:val="24"/>
        </w:rPr>
        <w:t xml:space="preserve"> of any Settlement with PUCO Staff.  However, there is significant evidence in this proceeding that Ohio Edison’s and PUCO Staff’s analyses and conclusion that Ohio Edison did not earn significantly excessive profits is flawed and should be rejected.</w:t>
      </w:r>
    </w:p>
    <w:p w:rsidR="00A55DFD" w:rsidP="006550F3">
      <w:pPr>
        <w:autoSpaceDE w:val="0"/>
        <w:autoSpaceDN w:val="0"/>
        <w:adjustRightInd w:val="0"/>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As thoroughly explained in OCC’s Initial Brief and the testimony of Dr. Duann, the Settlement’s recommendation rests on an analysis that excludes </w:t>
      </w:r>
      <w:r w:rsidRPr="00C84005">
        <w:rPr>
          <w:rFonts w:ascii="Times New Roman" w:hAnsi="Times New Roman" w:cs="Times New Roman"/>
          <w:bCs/>
          <w:sz w:val="24"/>
          <w:szCs w:val="24"/>
        </w:rPr>
        <w:t>Rider DMR</w:t>
      </w:r>
      <w:r>
        <w:rPr>
          <w:rFonts w:ascii="Times New Roman" w:hAnsi="Times New Roman" w:cs="Times New Roman"/>
          <w:bCs/>
          <w:sz w:val="24"/>
          <w:szCs w:val="24"/>
        </w:rPr>
        <w:t xml:space="preserve"> from SEET.</w:t>
      </w:r>
      <w:r>
        <w:rPr>
          <w:rStyle w:val="FootnoteReference"/>
          <w:rFonts w:ascii="Times New Roman" w:hAnsi="Times New Roman" w:cs="Times New Roman"/>
          <w:bCs/>
          <w:sz w:val="24"/>
          <w:szCs w:val="24"/>
        </w:rPr>
        <w:footnoteReference w:id="18"/>
      </w:r>
      <w:r>
        <w:rPr>
          <w:rFonts w:ascii="Times New Roman" w:hAnsi="Times New Roman" w:cs="Times New Roman"/>
          <w:bCs/>
          <w:sz w:val="24"/>
          <w:szCs w:val="24"/>
        </w:rPr>
        <w:t xml:space="preserve">  Because the Rider </w:t>
      </w:r>
      <w:r w:rsidRPr="00C84005">
        <w:rPr>
          <w:rFonts w:ascii="Times New Roman" w:hAnsi="Times New Roman" w:cs="Times New Roman"/>
          <w:bCs/>
          <w:sz w:val="24"/>
          <w:szCs w:val="24"/>
        </w:rPr>
        <w:t>was approved as part of Ohio</w:t>
      </w:r>
      <w:r>
        <w:rPr>
          <w:rFonts w:ascii="Times New Roman" w:hAnsi="Times New Roman" w:cs="Times New Roman"/>
          <w:bCs/>
          <w:sz w:val="24"/>
          <w:szCs w:val="24"/>
        </w:rPr>
        <w:t xml:space="preserve"> </w:t>
      </w:r>
      <w:r w:rsidRPr="00C84005">
        <w:rPr>
          <w:rFonts w:ascii="Times New Roman" w:hAnsi="Times New Roman" w:cs="Times New Roman"/>
          <w:bCs/>
          <w:sz w:val="24"/>
          <w:szCs w:val="24"/>
        </w:rPr>
        <w:t>Edison’s most recent ESP</w:t>
      </w:r>
      <w:r>
        <w:rPr>
          <w:rFonts w:ascii="Times New Roman" w:hAnsi="Times New Roman" w:cs="Times New Roman"/>
          <w:bCs/>
          <w:sz w:val="24"/>
          <w:szCs w:val="24"/>
        </w:rPr>
        <w:t>, OCC’s evidence demonstrates that it is unreasonable to exclude Rider DMR revenues from the significantly excessive earnings analysis.</w:t>
      </w:r>
      <w:r>
        <w:rPr>
          <w:rStyle w:val="FootnoteReference"/>
          <w:rFonts w:ascii="Times New Roman" w:hAnsi="Times New Roman" w:cs="Times New Roman"/>
          <w:bCs/>
          <w:sz w:val="24"/>
          <w:szCs w:val="24"/>
        </w:rPr>
        <w:footnoteReference w:id="19"/>
      </w:r>
      <w:r w:rsidRPr="00C84005">
        <w:rPr>
          <w:rFonts w:ascii="Times New Roman" w:hAnsi="Times New Roman" w:cs="Times New Roman"/>
          <w:bCs/>
          <w:sz w:val="24"/>
          <w:szCs w:val="24"/>
        </w:rPr>
        <w:t xml:space="preserve"> </w:t>
      </w:r>
      <w:r>
        <w:rPr>
          <w:rFonts w:ascii="Times New Roman" w:hAnsi="Times New Roman" w:cs="Times New Roman"/>
          <w:bCs/>
          <w:sz w:val="24"/>
          <w:szCs w:val="24"/>
        </w:rPr>
        <w:t xml:space="preserve"> In 2017, Ohio Edison collected more than $58 million (net of tax) real cash revenue through Rider DMR, and there is no legitimate reason to exclude it from </w:t>
      </w:r>
      <w:r w:rsidRPr="00D91234">
        <w:rPr>
          <w:rFonts w:ascii="Times New Roman" w:hAnsi="Times New Roman" w:cs="Times New Roman"/>
          <w:bCs/>
          <w:sz w:val="24"/>
          <w:szCs w:val="24"/>
        </w:rPr>
        <w:t>Ohio Edison’s net income for purposes of</w:t>
      </w:r>
      <w:r>
        <w:rPr>
          <w:rFonts w:ascii="Times New Roman" w:hAnsi="Times New Roman" w:cs="Times New Roman"/>
          <w:bCs/>
          <w:sz w:val="24"/>
          <w:szCs w:val="24"/>
        </w:rPr>
        <w:t xml:space="preserve"> conducting the SEET analysis</w:t>
      </w:r>
      <w:r w:rsidRPr="00D91234">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0"/>
      </w:r>
      <w:r>
        <w:rPr>
          <w:rFonts w:ascii="Times New Roman" w:hAnsi="Times New Roman" w:cs="Times New Roman"/>
          <w:bCs/>
          <w:sz w:val="24"/>
          <w:szCs w:val="24"/>
        </w:rPr>
        <w:t xml:space="preserve">  Excluding this revenue unreasonably reduces </w:t>
      </w:r>
      <w:r w:rsidRPr="00D91234">
        <w:rPr>
          <w:rFonts w:ascii="Times New Roman" w:hAnsi="Times New Roman" w:cs="Times New Roman"/>
          <w:bCs/>
          <w:sz w:val="24"/>
          <w:szCs w:val="24"/>
        </w:rPr>
        <w:t>Ohio Edison’s 2017 SEET-adjusted net income</w:t>
      </w:r>
      <w:r>
        <w:rPr>
          <w:rFonts w:ascii="Times New Roman" w:hAnsi="Times New Roman" w:cs="Times New Roman"/>
          <w:bCs/>
          <w:sz w:val="24"/>
          <w:szCs w:val="24"/>
        </w:rPr>
        <w:t xml:space="preserve"> </w:t>
      </w:r>
      <w:r w:rsidRPr="00D91234">
        <w:rPr>
          <w:rFonts w:ascii="Times New Roman" w:hAnsi="Times New Roman" w:cs="Times New Roman"/>
          <w:bCs/>
          <w:sz w:val="24"/>
          <w:szCs w:val="24"/>
        </w:rPr>
        <w:t xml:space="preserve">from approximately $184.8 million to $126.3 million </w:t>
      </w:r>
      <w:r>
        <w:rPr>
          <w:rFonts w:ascii="Times New Roman" w:hAnsi="Times New Roman" w:cs="Times New Roman"/>
          <w:bCs/>
          <w:sz w:val="24"/>
          <w:szCs w:val="24"/>
        </w:rPr>
        <w:t xml:space="preserve">and its </w:t>
      </w:r>
      <w:r w:rsidRPr="00D91234">
        <w:rPr>
          <w:rFonts w:ascii="Times New Roman" w:hAnsi="Times New Roman" w:cs="Times New Roman"/>
          <w:bCs/>
          <w:sz w:val="24"/>
          <w:szCs w:val="24"/>
        </w:rPr>
        <w:t>2017 SEET ROE from 17.39% to 11.80%</w:t>
      </w:r>
      <w:r>
        <w:rPr>
          <w:rFonts w:ascii="Times New Roman" w:hAnsi="Times New Roman" w:cs="Times New Roman"/>
          <w:bCs/>
          <w:sz w:val="24"/>
          <w:szCs w:val="24"/>
        </w:rPr>
        <w:t>,</w:t>
      </w:r>
      <w:r w:rsidRPr="00D91234">
        <w:rPr>
          <w:rFonts w:ascii="Times New Roman" w:hAnsi="Times New Roman" w:cs="Times New Roman"/>
          <w:bCs/>
          <w:sz w:val="24"/>
          <w:szCs w:val="24"/>
        </w:rPr>
        <w:t xml:space="preserve"> </w:t>
      </w:r>
      <w:r>
        <w:rPr>
          <w:rFonts w:ascii="Times New Roman" w:hAnsi="Times New Roman" w:cs="Times New Roman"/>
          <w:bCs/>
          <w:sz w:val="24"/>
          <w:szCs w:val="24"/>
        </w:rPr>
        <w:t>which in turn results in the elimination</w:t>
      </w:r>
      <w:r w:rsidRPr="00D91234">
        <w:rPr>
          <w:rFonts w:ascii="Times New Roman" w:hAnsi="Times New Roman" w:cs="Times New Roman"/>
          <w:bCs/>
          <w:sz w:val="24"/>
          <w:szCs w:val="24"/>
        </w:rPr>
        <w:t xml:space="preserve"> </w:t>
      </w:r>
      <w:r>
        <w:rPr>
          <w:rFonts w:ascii="Times New Roman" w:hAnsi="Times New Roman" w:cs="Times New Roman"/>
          <w:bCs/>
          <w:sz w:val="24"/>
          <w:szCs w:val="24"/>
        </w:rPr>
        <w:t xml:space="preserve">of a $42 million </w:t>
      </w:r>
      <w:r w:rsidRPr="00D91234">
        <w:rPr>
          <w:rFonts w:ascii="Times New Roman" w:hAnsi="Times New Roman" w:cs="Times New Roman"/>
          <w:bCs/>
          <w:sz w:val="24"/>
          <w:szCs w:val="24"/>
        </w:rPr>
        <w:t>refund to customers.</w:t>
      </w:r>
      <w:r>
        <w:rPr>
          <w:rStyle w:val="FootnoteReference"/>
          <w:rFonts w:ascii="Times New Roman" w:hAnsi="Times New Roman" w:cs="Times New Roman"/>
          <w:bCs/>
          <w:sz w:val="24"/>
          <w:szCs w:val="24"/>
        </w:rPr>
        <w:footnoteReference w:id="21"/>
      </w:r>
      <w:r w:rsidRPr="00D91234">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627945" w:rsidRPr="00A55DFD" w:rsidP="00A55DF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Ohio Edison and PUCO Staff argue that including revenue from Rider DMR in SEET is proper because the Rider itself was approved by the PUCO.  But that argument is beside the point, because </w:t>
      </w:r>
      <w:r>
        <w:rPr>
          <w:rFonts w:ascii="Times New Roman" w:hAnsi="Times New Roman" w:cs="Times New Roman"/>
          <w:sz w:val="24"/>
          <w:szCs w:val="24"/>
        </w:rPr>
        <w:t xml:space="preserve">the refund would not affect the amount of revenue Ohio Edison can collect under Rider DMR.  </w:t>
      </w:r>
      <w:r>
        <w:rPr>
          <w:rFonts w:ascii="Times New Roman" w:hAnsi="Times New Roman" w:cs="Times New Roman"/>
          <w:bCs/>
          <w:sz w:val="24"/>
          <w:szCs w:val="24"/>
        </w:rPr>
        <w:t>Rather, any</w:t>
      </w:r>
      <w:r w:rsidRPr="00502A46">
        <w:rPr>
          <w:rFonts w:ascii="Times New Roman" w:hAnsi="Times New Roman" w:cs="Times New Roman"/>
          <w:bCs/>
          <w:sz w:val="24"/>
          <w:szCs w:val="24"/>
        </w:rPr>
        <w:t xml:space="preserve"> </w:t>
      </w:r>
      <w:r>
        <w:rPr>
          <w:rFonts w:ascii="Times New Roman" w:hAnsi="Times New Roman" w:cs="Times New Roman"/>
          <w:bCs/>
          <w:sz w:val="24"/>
          <w:szCs w:val="24"/>
        </w:rPr>
        <w:t xml:space="preserve">customer </w:t>
      </w:r>
      <w:r w:rsidRPr="00502A46">
        <w:rPr>
          <w:rFonts w:ascii="Times New Roman" w:hAnsi="Times New Roman" w:cs="Times New Roman"/>
          <w:bCs/>
          <w:sz w:val="24"/>
          <w:szCs w:val="24"/>
        </w:rPr>
        <w:t xml:space="preserve">refund from the 2017 SEET review </w:t>
      </w:r>
      <w:r>
        <w:rPr>
          <w:rFonts w:ascii="Times New Roman" w:hAnsi="Times New Roman" w:cs="Times New Roman"/>
          <w:bCs/>
          <w:sz w:val="24"/>
          <w:szCs w:val="24"/>
        </w:rPr>
        <w:t>would be</w:t>
      </w:r>
      <w:r w:rsidRPr="00502A46">
        <w:rPr>
          <w:rFonts w:ascii="Times New Roman" w:hAnsi="Times New Roman" w:cs="Times New Roman"/>
          <w:bCs/>
          <w:sz w:val="24"/>
          <w:szCs w:val="24"/>
        </w:rPr>
        <w:t xml:space="preserve"> from </w:t>
      </w:r>
      <w:r>
        <w:rPr>
          <w:rFonts w:ascii="Times New Roman" w:hAnsi="Times New Roman" w:cs="Times New Roman"/>
          <w:bCs/>
          <w:sz w:val="24"/>
          <w:szCs w:val="24"/>
        </w:rPr>
        <w:t>the entire pool</w:t>
      </w:r>
      <w:r w:rsidRPr="00502A46">
        <w:rPr>
          <w:rFonts w:ascii="Times New Roman" w:hAnsi="Times New Roman" w:cs="Times New Roman"/>
          <w:bCs/>
          <w:sz w:val="24"/>
          <w:szCs w:val="24"/>
        </w:rPr>
        <w:t xml:space="preserve"> of significantly excessive </w:t>
      </w:r>
      <w:r>
        <w:rPr>
          <w:rFonts w:ascii="Times New Roman" w:hAnsi="Times New Roman" w:cs="Times New Roman"/>
          <w:bCs/>
          <w:sz w:val="24"/>
          <w:szCs w:val="24"/>
        </w:rPr>
        <w:t>profits</w:t>
      </w:r>
      <w:r w:rsidRPr="00502A46">
        <w:rPr>
          <w:rFonts w:ascii="Times New Roman" w:hAnsi="Times New Roman" w:cs="Times New Roman"/>
          <w:bCs/>
          <w:sz w:val="24"/>
          <w:szCs w:val="24"/>
        </w:rPr>
        <w:t xml:space="preserve"> </w:t>
      </w:r>
      <w:r>
        <w:rPr>
          <w:rFonts w:ascii="Times New Roman" w:hAnsi="Times New Roman" w:cs="Times New Roman"/>
          <w:bCs/>
          <w:sz w:val="24"/>
          <w:szCs w:val="24"/>
        </w:rPr>
        <w:t>earned by</w:t>
      </w:r>
      <w:r w:rsidRPr="00502A46">
        <w:rPr>
          <w:rFonts w:ascii="Times New Roman" w:hAnsi="Times New Roman" w:cs="Times New Roman"/>
          <w:bCs/>
          <w:sz w:val="24"/>
          <w:szCs w:val="24"/>
        </w:rPr>
        <w:t xml:space="preserve"> Ohio Edison in 2017 under </w:t>
      </w:r>
      <w:r>
        <w:rPr>
          <w:rFonts w:ascii="Times New Roman" w:hAnsi="Times New Roman" w:cs="Times New Roman"/>
          <w:bCs/>
          <w:sz w:val="24"/>
          <w:szCs w:val="24"/>
        </w:rPr>
        <w:t>its</w:t>
      </w:r>
      <w:r w:rsidRPr="00502A46">
        <w:rPr>
          <w:rFonts w:ascii="Times New Roman" w:hAnsi="Times New Roman" w:cs="Times New Roman"/>
          <w:bCs/>
          <w:sz w:val="24"/>
          <w:szCs w:val="24"/>
        </w:rPr>
        <w:t xml:space="preserve"> approved ESP.</w:t>
      </w:r>
      <w:r>
        <w:rPr>
          <w:rStyle w:val="FootnoteReference"/>
          <w:rFonts w:ascii="Times New Roman" w:hAnsi="Times New Roman" w:cs="Times New Roman"/>
          <w:bCs/>
          <w:sz w:val="24"/>
          <w:szCs w:val="24"/>
        </w:rPr>
        <w:footnoteReference w:id="22"/>
      </w:r>
      <w:r w:rsidRPr="00502A46">
        <w:rPr>
          <w:rFonts w:ascii="Times New Roman" w:hAnsi="Times New Roman" w:cs="Times New Roman"/>
          <w:bCs/>
          <w:sz w:val="24"/>
          <w:szCs w:val="24"/>
        </w:rPr>
        <w:t xml:space="preserve">  </w:t>
      </w:r>
      <w:r>
        <w:rPr>
          <w:rFonts w:ascii="Times New Roman" w:hAnsi="Times New Roman" w:cs="Times New Roman"/>
          <w:bCs/>
          <w:sz w:val="24"/>
          <w:szCs w:val="24"/>
        </w:rPr>
        <w:t>In other words, the</w:t>
      </w:r>
      <w:r w:rsidRPr="00502A46">
        <w:rPr>
          <w:rFonts w:ascii="Times New Roman" w:hAnsi="Times New Roman" w:cs="Times New Roman"/>
          <w:bCs/>
          <w:sz w:val="24"/>
          <w:szCs w:val="24"/>
        </w:rPr>
        <w:t xml:space="preserve"> </w:t>
      </w:r>
      <w:r>
        <w:rPr>
          <w:rFonts w:ascii="Times New Roman" w:hAnsi="Times New Roman" w:cs="Times New Roman"/>
          <w:bCs/>
          <w:sz w:val="24"/>
          <w:szCs w:val="24"/>
        </w:rPr>
        <w:t xml:space="preserve">current </w:t>
      </w:r>
      <w:r w:rsidRPr="00502A46">
        <w:rPr>
          <w:rFonts w:ascii="Times New Roman" w:hAnsi="Times New Roman" w:cs="Times New Roman"/>
          <w:bCs/>
          <w:sz w:val="24"/>
          <w:szCs w:val="24"/>
        </w:rPr>
        <w:t xml:space="preserve">SEET review does not </w:t>
      </w:r>
      <w:r>
        <w:rPr>
          <w:rFonts w:ascii="Times New Roman" w:hAnsi="Times New Roman" w:cs="Times New Roman"/>
          <w:bCs/>
          <w:sz w:val="24"/>
          <w:szCs w:val="24"/>
        </w:rPr>
        <w:t>review the reasonableness of Rider DMR itself, or any other particular rider for that matter.</w:t>
      </w:r>
      <w:r>
        <w:rPr>
          <w:rStyle w:val="FootnoteReference"/>
          <w:rFonts w:ascii="Times New Roman" w:hAnsi="Times New Roman" w:cs="Times New Roman"/>
          <w:bCs/>
          <w:sz w:val="24"/>
          <w:szCs w:val="24"/>
        </w:rPr>
        <w:footnoteReference w:id="23"/>
      </w:r>
      <w:r w:rsidRPr="00502A46">
        <w:rPr>
          <w:rFonts w:ascii="Times New Roman" w:hAnsi="Times New Roman" w:cs="Times New Roman"/>
          <w:bCs/>
          <w:sz w:val="24"/>
          <w:szCs w:val="24"/>
        </w:rPr>
        <w:t xml:space="preserve">  </w:t>
      </w:r>
    </w:p>
    <w:p w:rsidR="00553E4D" w:rsidRPr="00766364" w:rsidP="002C4B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Settlement should also be rejected because it fails to establish the SEET ROE threshold, which is a key issue on which PUCO Staff and Ohio Edison disagree.  As explained in OCC’s Initial Brief and evidence, </w:t>
      </w:r>
      <w:r>
        <w:rPr>
          <w:rFonts w:ascii="Times New Roman" w:hAnsi="Times New Roman" w:cs="Times New Roman"/>
          <w:bCs/>
          <w:sz w:val="24"/>
          <w:szCs w:val="24"/>
        </w:rPr>
        <w:t>the</w:t>
      </w:r>
      <w:r w:rsidRPr="00EF1535">
        <w:rPr>
          <w:rFonts w:ascii="Times New Roman" w:hAnsi="Times New Roman" w:cs="Times New Roman"/>
          <w:bCs/>
          <w:sz w:val="24"/>
          <w:szCs w:val="24"/>
        </w:rPr>
        <w:t xml:space="preserve"> SEET ROE threshold</w:t>
      </w:r>
      <w:r>
        <w:rPr>
          <w:rFonts w:ascii="Times New Roman" w:hAnsi="Times New Roman" w:cs="Times New Roman"/>
          <w:bCs/>
          <w:sz w:val="24"/>
          <w:szCs w:val="24"/>
        </w:rPr>
        <w:t xml:space="preserve"> is necessary to determine</w:t>
      </w:r>
      <w:r w:rsidRPr="00EF1535">
        <w:rPr>
          <w:rFonts w:ascii="Times New Roman" w:hAnsi="Times New Roman" w:cs="Times New Roman"/>
          <w:bCs/>
          <w:sz w:val="24"/>
          <w:szCs w:val="24"/>
        </w:rPr>
        <w:t xml:space="preserve"> </w:t>
      </w:r>
      <w:r>
        <w:rPr>
          <w:rFonts w:ascii="Times New Roman" w:hAnsi="Times New Roman" w:cs="Times New Roman"/>
          <w:bCs/>
          <w:sz w:val="24"/>
          <w:szCs w:val="24"/>
        </w:rPr>
        <w:t xml:space="preserve">whether </w:t>
      </w:r>
      <w:r w:rsidRPr="00EF1535">
        <w:rPr>
          <w:rFonts w:ascii="Times New Roman" w:hAnsi="Times New Roman" w:cs="Times New Roman"/>
          <w:bCs/>
          <w:sz w:val="24"/>
          <w:szCs w:val="24"/>
        </w:rPr>
        <w:t>Ohio Edison’s SEET-adjusted ROE was significantly excessive.</w:t>
      </w:r>
      <w:r>
        <w:rPr>
          <w:rStyle w:val="FootnoteReference"/>
          <w:rFonts w:ascii="Times New Roman" w:hAnsi="Times New Roman" w:cs="Times New Roman"/>
          <w:bCs/>
          <w:sz w:val="24"/>
          <w:szCs w:val="24"/>
        </w:rPr>
        <w:footnoteReference w:id="24"/>
      </w:r>
      <w:r w:rsidRPr="00EF1535">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A43E83" w:rsidP="00A6165D">
      <w:pPr>
        <w:spacing w:after="0" w:line="480" w:lineRule="auto"/>
        <w:ind w:firstLine="720"/>
        <w:rPr>
          <w:rFonts w:ascii="Times New Roman" w:hAnsi="Times New Roman" w:cs="Times New Roman"/>
          <w:sz w:val="24"/>
          <w:szCs w:val="24"/>
        </w:rPr>
      </w:pPr>
      <w:r w:rsidRPr="00EF1535">
        <w:rPr>
          <w:rFonts w:ascii="Times New Roman" w:hAnsi="Times New Roman" w:cs="Times New Roman"/>
          <w:bCs/>
          <w:sz w:val="24"/>
          <w:szCs w:val="24"/>
        </w:rPr>
        <w:t>Dr. Duann proposed a SEET ROE threshold of 14.91%.</w:t>
      </w:r>
      <w:r>
        <w:rPr>
          <w:rStyle w:val="FootnoteReference"/>
          <w:rFonts w:ascii="Times New Roman" w:hAnsi="Times New Roman" w:cs="Times New Roman"/>
          <w:bCs/>
          <w:sz w:val="24"/>
          <w:szCs w:val="24"/>
        </w:rPr>
        <w:footnoteReference w:id="25"/>
      </w:r>
      <w:r w:rsidRPr="00EF1535">
        <w:rPr>
          <w:rFonts w:ascii="Times New Roman" w:hAnsi="Times New Roman" w:cs="Times New Roman"/>
          <w:bCs/>
          <w:sz w:val="24"/>
          <w:szCs w:val="24"/>
        </w:rPr>
        <w:t xml:space="preserve">  This proposed SEET ROE threshold is reasonable and fair to both Ohio Edison and its customers.</w:t>
      </w:r>
      <w:r>
        <w:rPr>
          <w:rStyle w:val="FootnoteReference"/>
          <w:rFonts w:ascii="Times New Roman" w:hAnsi="Times New Roman" w:cs="Times New Roman"/>
          <w:bCs/>
          <w:sz w:val="24"/>
          <w:szCs w:val="24"/>
        </w:rPr>
        <w:footnoteReference w:id="26"/>
      </w:r>
      <w:r w:rsidRPr="00EF1535">
        <w:rPr>
          <w:rFonts w:ascii="Times New Roman" w:hAnsi="Times New Roman" w:cs="Times New Roman"/>
          <w:bCs/>
          <w:sz w:val="24"/>
          <w:szCs w:val="24"/>
        </w:rPr>
        <w:t xml:space="preserve">  It will allow Ohio Edison to earn a reasonable return on its capital investments and to maintain its ability to obtain funding from the financial markets at reasonable costs, but not a significantly excessive return.</w:t>
      </w:r>
      <w:r>
        <w:rPr>
          <w:rStyle w:val="FootnoteReference"/>
          <w:rFonts w:ascii="Times New Roman" w:hAnsi="Times New Roman" w:cs="Times New Roman"/>
          <w:bCs/>
          <w:sz w:val="24"/>
          <w:szCs w:val="24"/>
        </w:rPr>
        <w:footnoteReference w:id="27"/>
      </w:r>
      <w:r w:rsidRPr="00EF1535">
        <w:rPr>
          <w:rFonts w:ascii="Times New Roman" w:hAnsi="Times New Roman" w:cs="Times New Roman"/>
          <w:bCs/>
          <w:sz w:val="24"/>
          <w:szCs w:val="24"/>
        </w:rPr>
        <w:t xml:space="preserve"> It is also the basis for calculating the $42 million refund to be returned to Ohio Edison’s customers.</w:t>
      </w:r>
      <w:r>
        <w:rPr>
          <w:rStyle w:val="FootnoteReference"/>
          <w:rFonts w:ascii="Times New Roman" w:hAnsi="Times New Roman" w:cs="Times New Roman"/>
          <w:sz w:val="24"/>
          <w:szCs w:val="24"/>
        </w:rPr>
        <w:footnoteReference w:id="28"/>
      </w:r>
      <w:r>
        <w:rPr>
          <w:rFonts w:ascii="Times New Roman" w:hAnsi="Times New Roman" w:cs="Times New Roman"/>
          <w:bCs/>
          <w:sz w:val="24"/>
          <w:szCs w:val="24"/>
        </w:rPr>
        <w:t xml:space="preserve"> </w:t>
      </w:r>
    </w:p>
    <w:p w:rsidR="00152A74" w:rsidRPr="005365F6" w:rsidP="00152A74">
      <w:pPr>
        <w:spacing w:after="0" w:line="240" w:lineRule="auto"/>
        <w:ind w:firstLine="720"/>
        <w:rPr>
          <w:rFonts w:ascii="Times New Roman" w:hAnsi="Times New Roman" w:cs="Times New Roman"/>
          <w:sz w:val="24"/>
          <w:szCs w:val="24"/>
        </w:rPr>
      </w:pPr>
    </w:p>
    <w:p w:rsidR="00152A74" w:rsidRPr="005365F6" w:rsidP="00A82336">
      <w:pPr>
        <w:pStyle w:val="Heading1"/>
      </w:pPr>
      <w:bookmarkStart w:id="5" w:name="_Toc534639773"/>
      <w:r w:rsidRPr="005365F6">
        <w:t>CONCLUSION</w:t>
      </w:r>
      <w:bookmarkEnd w:id="5"/>
      <w:r w:rsidRPr="005365F6">
        <w:t xml:space="preserve">      </w:t>
      </w:r>
    </w:p>
    <w:p w:rsidR="00F20AC2" w:rsidP="0071006A">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The Settlement is nothing more than an</w:t>
      </w:r>
      <w:r>
        <w:rPr>
          <w:rFonts w:ascii="Times New Roman" w:hAnsi="Times New Roman" w:cs="Times New Roman"/>
          <w:sz w:val="24"/>
          <w:szCs w:val="24"/>
        </w:rPr>
        <w:t xml:space="preserve"> attempt by Ohio Edison and PUCO Staff to bypass the regulatory process required by R.C. Section 4928.143(F).  The Settlement also harms Ohio Edison’s customers by denying them millions of dollars in refunds and vital protections to which they are entitled under Ohio law.  Moreover, Ohio Edison fails to meet its burden under Section 4928.143(F) of proving that it did not earn significantly excessive profits in 2017.  For these reasons, and for the reasons set forth in OCC’s Initial Brief and testimony, the PUCO should reject the Settlement and order Ohio Edison to refund to customers $42,064,470.</w:t>
      </w:r>
      <w:r>
        <w:rPr>
          <w:rFonts w:ascii="Times New Roman" w:hAnsi="Times New Roman" w:cs="Times New Roman"/>
          <w:sz w:val="24"/>
          <w:szCs w:val="24"/>
        </w:rPr>
        <w:br w:type="page"/>
      </w:r>
    </w:p>
    <w:p w:rsidR="00152A74" w:rsidP="00152A74">
      <w:pPr>
        <w:spacing w:after="0"/>
        <w:ind w:left="3600" w:firstLine="720"/>
        <w:rPr>
          <w:rFonts w:ascii="Times New Roman" w:hAnsi="Times New Roman" w:cs="Times New Roman"/>
          <w:sz w:val="24"/>
          <w:szCs w:val="24"/>
        </w:rPr>
      </w:pPr>
      <w:r w:rsidRPr="00945974">
        <w:rPr>
          <w:rFonts w:ascii="Times New Roman" w:hAnsi="Times New Roman" w:cs="Times New Roman"/>
          <w:sz w:val="24"/>
          <w:szCs w:val="24"/>
        </w:rPr>
        <w:t>Respectfully submitted,</w:t>
      </w:r>
    </w:p>
    <w:p w:rsidR="00152A74" w:rsidRPr="00945974" w:rsidP="00152A74">
      <w:pPr>
        <w:spacing w:after="0" w:line="240" w:lineRule="auto"/>
        <w:ind w:left="4320"/>
        <w:rPr>
          <w:rFonts w:ascii="Times New Roman" w:hAnsi="Times New Roman" w:cs="Times New Roman"/>
          <w:sz w:val="24"/>
          <w:szCs w:val="24"/>
        </w:rPr>
      </w:pPr>
    </w:p>
    <w:p w:rsidR="00152A74" w:rsidRPr="00945974" w:rsidP="00152A74">
      <w:pPr>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Bruce Weston (0016973)</w:t>
      </w:r>
    </w:p>
    <w:p w:rsidR="00152A74" w:rsidRPr="00945974" w:rsidP="00152A74">
      <w:pPr>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Ohio Consumers' Counsel</w:t>
      </w:r>
    </w:p>
    <w:p w:rsidR="00152A74" w:rsidRPr="00945974" w:rsidP="00152A74">
      <w:pPr>
        <w:spacing w:after="0" w:line="240" w:lineRule="auto"/>
        <w:ind w:left="4320"/>
        <w:rPr>
          <w:rFonts w:ascii="Times New Roman" w:hAnsi="Times New Roman" w:cs="Times New Roman"/>
          <w:sz w:val="24"/>
          <w:szCs w:val="24"/>
        </w:rPr>
      </w:pPr>
    </w:p>
    <w:p w:rsidR="00152A74" w:rsidRPr="00945974" w:rsidP="00152A74">
      <w:pPr>
        <w:spacing w:after="0" w:line="240" w:lineRule="auto"/>
        <w:ind w:left="4320"/>
        <w:rPr>
          <w:rFonts w:ascii="Times New Roman" w:hAnsi="Times New Roman" w:cs="Times New Roman"/>
          <w:i/>
          <w:sz w:val="24"/>
          <w:szCs w:val="24"/>
          <w:u w:val="single"/>
        </w:rPr>
      </w:pPr>
      <w:r w:rsidRPr="00945974">
        <w:rPr>
          <w:rFonts w:ascii="Times New Roman" w:hAnsi="Times New Roman" w:cs="Times New Roman"/>
          <w:i/>
          <w:sz w:val="24"/>
          <w:szCs w:val="24"/>
          <w:u w:val="single"/>
        </w:rPr>
        <w:t xml:space="preserve">/s/ William </w:t>
      </w:r>
      <w:r>
        <w:rPr>
          <w:rFonts w:ascii="Times New Roman" w:hAnsi="Times New Roman" w:cs="Times New Roman"/>
          <w:i/>
          <w:sz w:val="24"/>
          <w:szCs w:val="24"/>
          <w:u w:val="single"/>
        </w:rPr>
        <w:t xml:space="preserve">J. </w:t>
      </w:r>
      <w:r w:rsidRPr="00945974">
        <w:rPr>
          <w:rFonts w:ascii="Times New Roman" w:hAnsi="Times New Roman" w:cs="Times New Roman"/>
          <w:i/>
          <w:sz w:val="24"/>
          <w:szCs w:val="24"/>
          <w:u w:val="single"/>
        </w:rPr>
        <w:t>Michael</w:t>
      </w:r>
    </w:p>
    <w:p w:rsidR="00152A74" w:rsidRPr="00945974" w:rsidP="00152A7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William</w:t>
      </w:r>
      <w:r w:rsidRPr="00945974">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945974">
        <w:rPr>
          <w:rFonts w:ascii="Times New Roman" w:hAnsi="Times New Roman" w:cs="Times New Roman"/>
          <w:sz w:val="24"/>
          <w:szCs w:val="24"/>
        </w:rPr>
        <w:t>Michael (0070921)</w:t>
      </w:r>
    </w:p>
    <w:p w:rsidR="00152A74" w:rsidRPr="00945974" w:rsidP="00152A74">
      <w:pPr>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Counsel of Record</w:t>
      </w:r>
    </w:p>
    <w:p w:rsidR="00152A74" w:rsidP="00152A74">
      <w:pPr>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Assistant Consumers' Counsel</w:t>
      </w:r>
    </w:p>
    <w:p w:rsidR="006774BE" w:rsidP="00152A7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Angela D. O’Brien (0097579)</w:t>
      </w:r>
    </w:p>
    <w:p w:rsidR="006774BE" w:rsidRPr="00945974" w:rsidP="00152A7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Assistant Consumers’ Counsel</w:t>
      </w:r>
    </w:p>
    <w:p w:rsidR="00152A74" w:rsidP="00152A74">
      <w:pPr>
        <w:spacing w:after="0" w:line="240" w:lineRule="auto"/>
        <w:ind w:left="4320"/>
        <w:rPr>
          <w:rFonts w:ascii="Times New Roman" w:hAnsi="Times New Roman" w:cs="Times New Roman"/>
          <w:sz w:val="24"/>
          <w:szCs w:val="24"/>
        </w:rPr>
      </w:pPr>
    </w:p>
    <w:p w:rsidR="00152A74" w:rsidRPr="00945974" w:rsidP="00152A74">
      <w:pPr>
        <w:spacing w:after="0" w:line="240" w:lineRule="auto"/>
        <w:ind w:left="4320"/>
        <w:rPr>
          <w:rFonts w:ascii="Times New Roman" w:hAnsi="Times New Roman" w:cs="Times New Roman"/>
          <w:b/>
          <w:sz w:val="24"/>
          <w:szCs w:val="24"/>
        </w:rPr>
      </w:pPr>
      <w:r w:rsidRPr="00945974">
        <w:rPr>
          <w:rFonts w:ascii="Times New Roman" w:hAnsi="Times New Roman" w:cs="Times New Roman"/>
          <w:b/>
          <w:sz w:val="24"/>
          <w:szCs w:val="24"/>
        </w:rPr>
        <w:t>Office of the Ohio Consumers’ Counsel</w:t>
      </w:r>
    </w:p>
    <w:p w:rsidR="00152A74" w:rsidRPr="00945974" w:rsidP="00152A74">
      <w:pPr>
        <w:spacing w:after="0" w:line="240" w:lineRule="auto"/>
        <w:ind w:left="4320"/>
        <w:rPr>
          <w:rFonts w:ascii="Times New Roman" w:hAnsi="Times New Roman" w:cs="Times New Roman"/>
          <w:b/>
          <w:sz w:val="24"/>
          <w:szCs w:val="24"/>
        </w:rPr>
      </w:pPr>
      <w:r w:rsidRPr="00945974">
        <w:rPr>
          <w:rFonts w:ascii="Times New Roman" w:hAnsi="Times New Roman" w:cs="Times New Roman"/>
          <w:sz w:val="24"/>
          <w:szCs w:val="24"/>
        </w:rPr>
        <w:t>65 East State Street, 7th Floor</w:t>
      </w:r>
    </w:p>
    <w:p w:rsidR="00152A74" w:rsidRPr="00945974" w:rsidP="00152A74">
      <w:pPr>
        <w:spacing w:after="0" w:line="240" w:lineRule="auto"/>
        <w:ind w:left="4320"/>
        <w:rPr>
          <w:rFonts w:ascii="Times New Roman" w:hAnsi="Times New Roman" w:cs="Times New Roman"/>
          <w:b/>
          <w:sz w:val="24"/>
          <w:szCs w:val="24"/>
        </w:rPr>
      </w:pPr>
      <w:r w:rsidRPr="00945974">
        <w:rPr>
          <w:rFonts w:ascii="Times New Roman" w:hAnsi="Times New Roman" w:cs="Times New Roman"/>
          <w:sz w:val="24"/>
          <w:szCs w:val="24"/>
        </w:rPr>
        <w:t>Columbus, Ohio 43215</w:t>
      </w:r>
      <w:r>
        <w:rPr>
          <w:rFonts w:ascii="Times New Roman" w:hAnsi="Times New Roman" w:cs="Times New Roman"/>
          <w:sz w:val="24"/>
          <w:szCs w:val="24"/>
        </w:rPr>
        <w:t>-4213</w:t>
      </w:r>
    </w:p>
    <w:p w:rsidR="00152A74" w:rsidP="00152A74">
      <w:pPr>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Telephone [Michael]: (614) 466-1291</w:t>
      </w:r>
    </w:p>
    <w:p w:rsidR="006774BE" w:rsidRPr="00945974" w:rsidP="00152A7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Telephone [O’Brien]: (614) 466-9531</w:t>
      </w:r>
    </w:p>
    <w:p w:rsidR="00152A74" w:rsidRPr="005F5D7B" w:rsidP="00152A74">
      <w:pPr>
        <w:spacing w:after="0" w:line="240" w:lineRule="auto"/>
        <w:ind w:left="4320"/>
        <w:rPr>
          <w:rStyle w:val="Hyperlink"/>
          <w:rFonts w:ascii="Times New Roman" w:hAnsi="Times New Roman" w:cs="Times New Roman"/>
          <w:color w:val="auto"/>
          <w:sz w:val="24"/>
          <w:szCs w:val="24"/>
          <w:u w:val="none"/>
        </w:rPr>
      </w:pPr>
      <w:r w:rsidRPr="005F5D7B">
        <w:rPr>
          <w:rFonts w:ascii="Times New Roman" w:hAnsi="Times New Roman" w:cs="Times New Roman"/>
          <w:sz w:val="24"/>
          <w:szCs w:val="24"/>
        </w:rPr>
        <w:t>william.michael@occ.ohio.gov</w:t>
      </w:r>
    </w:p>
    <w:p w:rsidR="006774BE" w:rsidRPr="005F5D7B" w:rsidP="00152A74">
      <w:pPr>
        <w:spacing w:after="0" w:line="240" w:lineRule="auto"/>
        <w:ind w:left="4320"/>
        <w:rPr>
          <w:rFonts w:ascii="Times New Roman" w:hAnsi="Times New Roman" w:cs="Times New Roman"/>
          <w:sz w:val="24"/>
          <w:szCs w:val="24"/>
        </w:rPr>
      </w:pPr>
      <w:r w:rsidRPr="005F5D7B">
        <w:rPr>
          <w:rFonts w:ascii="Times New Roman" w:hAnsi="Times New Roman" w:cs="Times New Roman"/>
          <w:sz w:val="24"/>
          <w:szCs w:val="24"/>
        </w:rPr>
        <w:t>angela.obrien@occ.ohio.gov</w:t>
      </w:r>
      <w:r w:rsidRPr="005F5D7B">
        <w:rPr>
          <w:rFonts w:ascii="Times New Roman" w:hAnsi="Times New Roman" w:cs="Times New Roman"/>
          <w:sz w:val="24"/>
          <w:szCs w:val="24"/>
        </w:rPr>
        <w:tab/>
      </w:r>
    </w:p>
    <w:p w:rsidR="00152A74" w:rsidRPr="00945974" w:rsidP="00152A7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(will accept service via email</w:t>
      </w:r>
      <w:r w:rsidRPr="00945974">
        <w:rPr>
          <w:rFonts w:ascii="Times New Roman" w:hAnsi="Times New Roman" w:cs="Times New Roman"/>
          <w:sz w:val="24"/>
          <w:szCs w:val="24"/>
        </w:rPr>
        <w:t>)</w:t>
      </w:r>
    </w:p>
    <w:p w:rsidR="00152A74" w:rsidRPr="005365F6" w:rsidP="00152A74">
      <w:pPr>
        <w:autoSpaceDE w:val="0"/>
        <w:autoSpaceDN w:val="0"/>
        <w:adjustRightInd w:val="0"/>
        <w:spacing w:after="0" w:line="480" w:lineRule="auto"/>
        <w:ind w:firstLine="720"/>
        <w:rPr>
          <w:rFonts w:ascii="Times New Roman" w:eastAsia="Times New Roman" w:hAnsi="Times New Roman" w:cs="Times New Roman"/>
          <w:sz w:val="24"/>
          <w:szCs w:val="24"/>
        </w:rPr>
        <w:sectPr w:rsidSect="00152A74">
          <w:footerReference w:type="default" r:id="rId11"/>
          <w:pgSz w:w="12240" w:h="15840"/>
          <w:pgMar w:top="1440" w:right="1800" w:bottom="1440" w:left="1800" w:header="720" w:footer="720" w:gutter="0"/>
          <w:pgNumType w:start="2"/>
          <w:cols w:space="720"/>
          <w:docGrid w:linePitch="360"/>
        </w:sectPr>
      </w:pPr>
      <w:r>
        <w:rPr>
          <w:rFonts w:ascii="Times New Roman" w:hAnsi="Times New Roman" w:cs="Times New Roman"/>
          <w:sz w:val="24"/>
          <w:szCs w:val="24"/>
        </w:rPr>
        <w:tab/>
      </w:r>
      <w:r>
        <w:rPr>
          <w:rFonts w:ascii="Times New Roman" w:hAnsi="Times New Roman" w:cs="Times New Roman"/>
          <w:sz w:val="24"/>
          <w:szCs w:val="24"/>
        </w:rPr>
        <w:tab/>
      </w:r>
    </w:p>
    <w:p w:rsidR="00152A74" w:rsidP="00152A74">
      <w:pPr>
        <w:spacing w:after="0" w:line="240" w:lineRule="auto"/>
        <w:jc w:val="center"/>
        <w:rPr>
          <w:rFonts w:ascii="Times New Roman" w:hAnsi="Times New Roman" w:cs="Times New Roman"/>
          <w:b/>
          <w:bCs/>
          <w:sz w:val="24"/>
          <w:szCs w:val="24"/>
          <w:u w:val="single"/>
        </w:rPr>
      </w:pPr>
      <w:r w:rsidRPr="00945974">
        <w:rPr>
          <w:rFonts w:ascii="Times New Roman" w:hAnsi="Times New Roman" w:cs="Times New Roman"/>
          <w:b/>
          <w:bCs/>
          <w:sz w:val="24"/>
          <w:szCs w:val="24"/>
          <w:u w:val="single"/>
        </w:rPr>
        <w:t>CERTIFICATE OF SERVICE</w:t>
      </w:r>
    </w:p>
    <w:p w:rsidR="00152A74" w:rsidRPr="00945974" w:rsidP="00152A74">
      <w:pPr>
        <w:spacing w:after="0" w:line="240" w:lineRule="auto"/>
        <w:jc w:val="center"/>
        <w:rPr>
          <w:rFonts w:ascii="Times New Roman" w:hAnsi="Times New Roman" w:cs="Times New Roman"/>
          <w:b/>
          <w:bCs/>
          <w:sz w:val="24"/>
          <w:szCs w:val="24"/>
          <w:u w:val="single"/>
        </w:rPr>
      </w:pPr>
    </w:p>
    <w:p w:rsidR="00152A74" w:rsidRPr="00945974" w:rsidP="00152A74">
      <w:pPr>
        <w:spacing w:after="0" w:line="480" w:lineRule="auto"/>
        <w:ind w:firstLine="720"/>
        <w:rPr>
          <w:rFonts w:ascii="Times New Roman" w:hAnsi="Times New Roman" w:cs="Times New Roman"/>
          <w:sz w:val="24"/>
          <w:szCs w:val="24"/>
        </w:rPr>
      </w:pPr>
      <w:r w:rsidRPr="00945974">
        <w:rPr>
          <w:rFonts w:ascii="Times New Roman" w:hAnsi="Times New Roman" w:cs="Times New Roman"/>
          <w:sz w:val="24"/>
          <w:szCs w:val="24"/>
        </w:rPr>
        <w:t xml:space="preserve">I hereby certify that a copy of this </w:t>
      </w:r>
      <w:r>
        <w:rPr>
          <w:rFonts w:ascii="Times New Roman" w:hAnsi="Times New Roman" w:cs="Times New Roman"/>
          <w:sz w:val="24"/>
          <w:szCs w:val="24"/>
        </w:rPr>
        <w:t>Reply</w:t>
      </w:r>
      <w:r w:rsidRPr="00945974">
        <w:rPr>
          <w:rFonts w:ascii="Times New Roman" w:hAnsi="Times New Roman" w:cs="Times New Roman"/>
          <w:sz w:val="24"/>
          <w:szCs w:val="24"/>
        </w:rPr>
        <w:t xml:space="preserve"> Brief </w:t>
      </w:r>
      <w:r>
        <w:rPr>
          <w:rFonts w:ascii="Times New Roman" w:hAnsi="Times New Roman" w:cs="Times New Roman"/>
          <w:sz w:val="24"/>
          <w:szCs w:val="24"/>
        </w:rPr>
        <w:t>of</w:t>
      </w:r>
      <w:r w:rsidRPr="00945974">
        <w:rPr>
          <w:rFonts w:ascii="Times New Roman" w:hAnsi="Times New Roman" w:cs="Times New Roman"/>
          <w:sz w:val="24"/>
          <w:szCs w:val="24"/>
        </w:rPr>
        <w:t xml:space="preserve"> the Office of the Ohio Consumers’ Counsel was served on the persons stated below via</w:t>
      </w:r>
      <w:r w:rsidRPr="00945974">
        <w:rPr>
          <w:rFonts w:ascii="Times New Roman" w:hAnsi="Times New Roman" w:cs="Times New Roman"/>
          <w:i/>
          <w:sz w:val="24"/>
          <w:szCs w:val="24"/>
        </w:rPr>
        <w:t xml:space="preserve"> </w:t>
      </w:r>
      <w:r w:rsidRPr="00945974">
        <w:rPr>
          <w:rFonts w:ascii="Times New Roman" w:hAnsi="Times New Roman" w:cs="Times New Roman"/>
          <w:sz w:val="24"/>
          <w:szCs w:val="24"/>
        </w:rPr>
        <w:t xml:space="preserve">electric transmission this </w:t>
      </w:r>
      <w:r>
        <w:rPr>
          <w:rFonts w:ascii="Times New Roman" w:hAnsi="Times New Roman" w:cs="Times New Roman"/>
          <w:sz w:val="24"/>
          <w:szCs w:val="24"/>
        </w:rPr>
        <w:t>18</w:t>
      </w:r>
      <w:r w:rsidRPr="00A8233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945974">
        <w:rPr>
          <w:rFonts w:ascii="Times New Roman" w:hAnsi="Times New Roman" w:cs="Times New Roman"/>
          <w:sz w:val="24"/>
          <w:szCs w:val="24"/>
        </w:rPr>
        <w:t>day of January 2019.</w:t>
      </w:r>
    </w:p>
    <w:p w:rsidR="00152A74" w:rsidRPr="00945974" w:rsidP="00152A74">
      <w:pPr>
        <w:spacing w:after="0" w:line="240" w:lineRule="auto"/>
        <w:rPr>
          <w:rFonts w:ascii="Times New Roman" w:hAnsi="Times New Roman" w:cs="Times New Roman"/>
          <w:sz w:val="24"/>
          <w:szCs w:val="24"/>
        </w:rPr>
      </w:pPr>
    </w:p>
    <w:p w:rsidR="00152A74" w:rsidRPr="00945974" w:rsidP="00152A74">
      <w:pPr>
        <w:autoSpaceDE w:val="0"/>
        <w:autoSpaceDN w:val="0"/>
        <w:adjustRightInd w:val="0"/>
        <w:spacing w:after="0" w:line="240" w:lineRule="auto"/>
        <w:ind w:left="4320"/>
        <w:rPr>
          <w:rFonts w:ascii="Times New Roman" w:hAnsi="Times New Roman" w:cs="Times New Roman"/>
          <w:i/>
          <w:sz w:val="24"/>
          <w:szCs w:val="24"/>
        </w:rPr>
      </w:pPr>
      <w:r w:rsidRPr="00945974">
        <w:rPr>
          <w:rFonts w:ascii="Times New Roman" w:hAnsi="Times New Roman" w:cs="Times New Roman"/>
          <w:i/>
          <w:sz w:val="24"/>
          <w:szCs w:val="24"/>
          <w:u w:val="single"/>
        </w:rPr>
        <w:t xml:space="preserve">/s/ William </w:t>
      </w:r>
      <w:r>
        <w:rPr>
          <w:rFonts w:ascii="Times New Roman" w:hAnsi="Times New Roman" w:cs="Times New Roman"/>
          <w:i/>
          <w:sz w:val="24"/>
          <w:szCs w:val="24"/>
          <w:u w:val="single"/>
        </w:rPr>
        <w:t xml:space="preserve">J. </w:t>
      </w:r>
      <w:r w:rsidRPr="00945974">
        <w:rPr>
          <w:rFonts w:ascii="Times New Roman" w:hAnsi="Times New Roman" w:cs="Times New Roman"/>
          <w:i/>
          <w:sz w:val="24"/>
          <w:szCs w:val="24"/>
          <w:u w:val="single"/>
        </w:rPr>
        <w:t>Michael</w:t>
      </w:r>
    </w:p>
    <w:p w:rsidR="00152A74" w:rsidRPr="00945974" w:rsidP="00152A74">
      <w:pPr>
        <w:tabs>
          <w:tab w:val="left" w:pos="4320"/>
        </w:tabs>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 xml:space="preserve">William </w:t>
      </w:r>
      <w:r>
        <w:rPr>
          <w:rFonts w:ascii="Times New Roman" w:hAnsi="Times New Roman" w:cs="Times New Roman"/>
          <w:sz w:val="24"/>
          <w:szCs w:val="24"/>
        </w:rPr>
        <w:t xml:space="preserve">J. </w:t>
      </w:r>
      <w:r w:rsidRPr="00945974">
        <w:rPr>
          <w:rFonts w:ascii="Times New Roman" w:hAnsi="Times New Roman" w:cs="Times New Roman"/>
          <w:sz w:val="24"/>
          <w:szCs w:val="24"/>
        </w:rPr>
        <w:t>Michael</w:t>
      </w:r>
    </w:p>
    <w:p w:rsidR="00152A74" w:rsidRPr="00945974" w:rsidP="00152A74">
      <w:pPr>
        <w:tabs>
          <w:tab w:val="left" w:pos="4320"/>
        </w:tabs>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Assistant Consumers’ Counsel</w:t>
      </w:r>
    </w:p>
    <w:p w:rsidR="00152A74" w:rsidRPr="00945974" w:rsidP="00152A74">
      <w:pPr>
        <w:pStyle w:val="CommentSubject"/>
        <w:spacing w:after="0"/>
        <w:rPr>
          <w:rFonts w:ascii="Times New Roman" w:hAnsi="Times New Roman" w:cs="Times New Roman"/>
          <w:sz w:val="24"/>
          <w:szCs w:val="24"/>
        </w:rPr>
      </w:pPr>
    </w:p>
    <w:p w:rsidR="00152A74" w:rsidRPr="00945974" w:rsidP="00152A74">
      <w:pPr>
        <w:pStyle w:val="CommentText"/>
        <w:spacing w:after="0"/>
        <w:rPr>
          <w:rFonts w:ascii="Times New Roman" w:hAnsi="Times New Roman" w:cs="Times New Roman"/>
          <w:sz w:val="24"/>
          <w:szCs w:val="24"/>
        </w:rPr>
      </w:pPr>
    </w:p>
    <w:p w:rsidR="00152A74" w:rsidRPr="00945974" w:rsidP="00152A74">
      <w:pPr>
        <w:pStyle w:val="CommentText"/>
        <w:spacing w:after="0"/>
        <w:jc w:val="center"/>
        <w:rPr>
          <w:rFonts w:ascii="Times New Roman" w:hAnsi="Times New Roman" w:cs="Times New Roman"/>
          <w:b/>
          <w:sz w:val="24"/>
          <w:szCs w:val="24"/>
          <w:u w:val="single"/>
        </w:rPr>
      </w:pPr>
      <w:r w:rsidRPr="00945974">
        <w:rPr>
          <w:rFonts w:ascii="Times New Roman" w:hAnsi="Times New Roman" w:cs="Times New Roman"/>
          <w:b/>
          <w:sz w:val="24"/>
          <w:szCs w:val="24"/>
          <w:u w:val="single"/>
        </w:rPr>
        <w:t>SERVICE LIST</w:t>
      </w:r>
    </w:p>
    <w:p w:rsidR="00152A74" w:rsidRPr="00945974" w:rsidP="00152A74">
      <w:pPr>
        <w:pStyle w:val="CommentText"/>
        <w:spacing w:after="0"/>
        <w:jc w:val="center"/>
        <w:rPr>
          <w:rFonts w:ascii="Times New Roman" w:hAnsi="Times New Roman" w:cs="Times New Roman"/>
          <w:b/>
          <w:sz w:val="24"/>
          <w:szCs w:val="24"/>
          <w:u w:val="single"/>
        </w:rPr>
      </w:pPr>
    </w:p>
    <w:p w:rsidR="00152A74" w:rsidRPr="00945974" w:rsidP="00152A74">
      <w:pPr>
        <w:pStyle w:val="CommentText"/>
        <w:spacing w:after="0"/>
        <w:jc w:val="center"/>
        <w:rPr>
          <w:rFonts w:ascii="Times New Roman" w:hAnsi="Times New Roman" w:cs="Times New Roman"/>
          <w:b/>
          <w:sz w:val="24"/>
          <w:szCs w:val="24"/>
          <w:u w:val="single"/>
        </w:rPr>
      </w:pPr>
    </w:p>
    <w:tbl>
      <w:tblPr>
        <w:tblW w:w="0" w:type="auto"/>
        <w:tblInd w:w="0" w:type="dxa"/>
        <w:tblCellMar>
          <w:top w:w="0" w:type="dxa"/>
          <w:left w:w="108" w:type="dxa"/>
          <w:bottom w:w="0" w:type="dxa"/>
          <w:right w:w="108" w:type="dxa"/>
        </w:tblCellMar>
        <w:tblLook w:val="04A0"/>
      </w:tblPr>
      <w:tblGrid>
        <w:gridCol w:w="4529"/>
        <w:gridCol w:w="4111"/>
      </w:tblGrid>
      <w:tr w:rsidTr="00152A74">
        <w:tblPrEx>
          <w:tblW w:w="0" w:type="auto"/>
          <w:tblInd w:w="0" w:type="dxa"/>
          <w:tblCellMar>
            <w:top w:w="0" w:type="dxa"/>
            <w:left w:w="108" w:type="dxa"/>
            <w:bottom w:w="0" w:type="dxa"/>
            <w:right w:w="108" w:type="dxa"/>
          </w:tblCellMar>
          <w:tblLook w:val="04A0"/>
        </w:tblPrEx>
        <w:tc>
          <w:tcPr>
            <w:tcW w:w="4428" w:type="dxa"/>
            <w:shd w:val="clear" w:color="auto" w:fill="auto"/>
          </w:tcPr>
          <w:p w:rsidR="00152A74" w:rsidRPr="005F5D7B" w:rsidP="00152A74">
            <w:pPr>
              <w:pStyle w:val="CommentText"/>
              <w:spacing w:after="0" w:line="240" w:lineRule="auto"/>
              <w:rPr>
                <w:rStyle w:val="DefaultParagraphFont"/>
                <w:rFonts w:ascii="Times New Roman" w:hAnsi="Times New Roman" w:eastAsiaTheme="minorHAnsi" w:cs="Times New Roman"/>
                <w:sz w:val="24"/>
                <w:szCs w:val="24"/>
                <w:lang w:val="en-US" w:eastAsia="en-US" w:bidi="ar-SA"/>
              </w:rPr>
            </w:pPr>
            <w:r w:rsidRPr="005F5D7B">
              <w:rPr>
                <w:rFonts w:ascii="Times New Roman" w:eastAsia="PMingLiU" w:hAnsi="Times New Roman" w:cs="Times New Roman"/>
                <w:sz w:val="24"/>
                <w:szCs w:val="24"/>
                <w:lang w:val="en-US" w:eastAsia="en-US" w:bidi="ar-SA"/>
              </w:rPr>
              <w:t>mkurtz@BKLlawfirm.com</w:t>
            </w:r>
          </w:p>
          <w:p w:rsidR="00152A74" w:rsidRPr="005F5D7B" w:rsidP="00152A74">
            <w:pPr>
              <w:pStyle w:val="CommentText"/>
              <w:spacing w:after="0" w:line="240" w:lineRule="auto"/>
              <w:rPr>
                <w:rStyle w:val="DefaultParagraphFont"/>
                <w:rFonts w:ascii="Times New Roman" w:hAnsi="Times New Roman" w:eastAsiaTheme="minorHAnsi" w:cs="Times New Roman"/>
                <w:sz w:val="24"/>
                <w:szCs w:val="24"/>
                <w:lang w:val="en-US" w:eastAsia="en-US" w:bidi="ar-SA"/>
              </w:rPr>
            </w:pPr>
            <w:r w:rsidRPr="005F5D7B">
              <w:rPr>
                <w:rFonts w:ascii="Times New Roman" w:eastAsia="PMingLiU" w:hAnsi="Times New Roman" w:cs="Times New Roman"/>
                <w:sz w:val="24"/>
                <w:szCs w:val="24"/>
                <w:lang w:val="en-US" w:eastAsia="en-US" w:bidi="ar-SA"/>
              </w:rPr>
              <w:t>Kboehm@BKLlawfirm.com</w:t>
            </w:r>
          </w:p>
          <w:p w:rsidR="00152A74" w:rsidRPr="005F5D7B" w:rsidP="00152A74">
            <w:pPr>
              <w:pStyle w:val="CommentText"/>
              <w:spacing w:after="0" w:line="240" w:lineRule="auto"/>
              <w:rPr>
                <w:rStyle w:val="DefaultParagraphFont"/>
                <w:rFonts w:ascii="Times New Roman" w:hAnsi="Times New Roman" w:eastAsiaTheme="minorHAnsi" w:cs="Times New Roman"/>
                <w:sz w:val="24"/>
                <w:szCs w:val="24"/>
                <w:lang w:val="en-US" w:eastAsia="en-US" w:bidi="ar-SA"/>
              </w:rPr>
            </w:pPr>
            <w:r w:rsidRPr="005F5D7B">
              <w:rPr>
                <w:rFonts w:ascii="Times New Roman" w:eastAsia="PMingLiU" w:hAnsi="Times New Roman" w:cs="Times New Roman"/>
                <w:sz w:val="24"/>
                <w:szCs w:val="24"/>
                <w:lang w:val="en-US" w:eastAsia="en-US" w:bidi="ar-SA"/>
              </w:rPr>
              <w:t>jkylercohn@BKLlawfirm.com</w:t>
            </w:r>
          </w:p>
          <w:p w:rsidR="00152A74" w:rsidRPr="005F5D7B" w:rsidP="00152A74">
            <w:pPr>
              <w:pStyle w:val="CommentText"/>
              <w:spacing w:after="0" w:line="240" w:lineRule="auto"/>
              <w:rPr>
                <w:rStyle w:val="DefaultParagraphFont"/>
                <w:rFonts w:ascii="Times New Roman" w:hAnsi="Times New Roman" w:eastAsiaTheme="minorHAnsi" w:cs="Times New Roman"/>
                <w:sz w:val="24"/>
                <w:szCs w:val="24"/>
                <w:lang w:val="en-US" w:eastAsia="en-US" w:bidi="ar-SA"/>
              </w:rPr>
            </w:pPr>
            <w:r w:rsidRPr="005F5D7B">
              <w:rPr>
                <w:rFonts w:ascii="Times New Roman" w:hAnsi="Times New Roman" w:eastAsiaTheme="minorHAnsi" w:cs="Times New Roman"/>
                <w:sz w:val="24"/>
                <w:szCs w:val="24"/>
                <w:lang w:val="en-US" w:eastAsia="en-US" w:bidi="ar-SA"/>
              </w:rPr>
              <w:t>Thomas.mcnamee@ohioattorneygeneral.gov</w:t>
            </w:r>
          </w:p>
          <w:p w:rsidR="00152A74" w:rsidRPr="005F5D7B" w:rsidP="00152A74">
            <w:pPr>
              <w:pStyle w:val="CommentText"/>
              <w:spacing w:after="0" w:line="240" w:lineRule="auto"/>
              <w:rPr>
                <w:rStyle w:val="DefaultParagraphFont"/>
                <w:rFonts w:ascii="Times New Roman" w:hAnsi="Times New Roman" w:eastAsiaTheme="minorHAnsi" w:cs="Times New Roman"/>
                <w:sz w:val="24"/>
                <w:szCs w:val="24"/>
                <w:lang w:val="en-US" w:eastAsia="en-US" w:bidi="ar-SA"/>
              </w:rPr>
            </w:pPr>
          </w:p>
        </w:tc>
        <w:tc>
          <w:tcPr>
            <w:tcW w:w="4428" w:type="dxa"/>
            <w:shd w:val="clear" w:color="auto" w:fill="auto"/>
          </w:tcPr>
          <w:p w:rsidR="00152A74" w:rsidRPr="005F5D7B" w:rsidP="00152A74">
            <w:pPr>
              <w:pStyle w:val="CommentText"/>
              <w:spacing w:after="0" w:line="240" w:lineRule="auto"/>
              <w:ind w:left="621"/>
              <w:rPr>
                <w:rStyle w:val="Hyperlink"/>
                <w:rFonts w:ascii="Times New Roman" w:hAnsi="Times New Roman" w:eastAsiaTheme="minorHAnsi" w:cs="Times New Roman"/>
                <w:color w:val="auto"/>
                <w:sz w:val="24"/>
                <w:szCs w:val="24"/>
                <w:u w:val="none"/>
                <w:lang w:val="en-US" w:eastAsia="en-US" w:bidi="ar-SA"/>
              </w:rPr>
            </w:pPr>
            <w:r w:rsidRPr="005F5D7B">
              <w:rPr>
                <w:rFonts w:ascii="Times New Roman" w:eastAsia="PMingLiU" w:hAnsi="Times New Roman" w:cs="Times New Roman"/>
                <w:sz w:val="24"/>
                <w:szCs w:val="24"/>
                <w:lang w:val="en-US" w:eastAsia="en-US" w:bidi="ar-SA"/>
              </w:rPr>
              <w:t>rendris@firstenergycorp.com</w:t>
            </w:r>
          </w:p>
          <w:p w:rsidR="00152A74" w:rsidRPr="005F5D7B" w:rsidP="00152A74">
            <w:pPr>
              <w:pStyle w:val="CommentText"/>
              <w:spacing w:after="0" w:line="240" w:lineRule="auto"/>
              <w:ind w:left="621"/>
              <w:rPr>
                <w:rStyle w:val="DefaultParagraphFont"/>
                <w:rFonts w:ascii="Times New Roman" w:hAnsi="Times New Roman" w:eastAsiaTheme="minorHAnsi" w:cs="Times New Roman"/>
                <w:sz w:val="24"/>
                <w:szCs w:val="24"/>
                <w:lang w:val="en-US" w:eastAsia="en-US" w:bidi="ar-SA"/>
              </w:rPr>
            </w:pPr>
            <w:r w:rsidRPr="005F5D7B">
              <w:rPr>
                <w:rFonts w:ascii="Times New Roman" w:eastAsia="PMingLiU" w:hAnsi="Times New Roman" w:cs="Times New Roman"/>
                <w:sz w:val="24"/>
                <w:szCs w:val="24"/>
                <w:lang w:val="en-US" w:eastAsia="en-US" w:bidi="ar-SA"/>
              </w:rPr>
              <w:t>fdarr@mwncmh.com</w:t>
            </w:r>
          </w:p>
          <w:p w:rsidR="00152A74" w:rsidRPr="005F5D7B" w:rsidP="00152A74">
            <w:pPr>
              <w:autoSpaceDE w:val="0"/>
              <w:autoSpaceDN w:val="0"/>
              <w:adjustRightInd w:val="0"/>
              <w:spacing w:after="0" w:line="240" w:lineRule="auto"/>
              <w:ind w:left="621"/>
              <w:rPr>
                <w:rStyle w:val="DefaultParagraphFont"/>
                <w:rFonts w:ascii="Times New Roman" w:hAnsi="Times New Roman" w:eastAsiaTheme="minorHAnsi" w:cs="Times New Roman"/>
                <w:sz w:val="24"/>
                <w:szCs w:val="24"/>
                <w:lang w:val="en-US" w:eastAsia="en-US" w:bidi="ar-SA"/>
              </w:rPr>
            </w:pPr>
            <w:r w:rsidRPr="005F5D7B">
              <w:rPr>
                <w:rFonts w:ascii="Times New Roman" w:eastAsia="PMingLiU" w:hAnsi="Times New Roman" w:cs="Times New Roman"/>
                <w:sz w:val="24"/>
                <w:szCs w:val="24"/>
                <w:lang w:val="en-US" w:eastAsia="en-US" w:bidi="ar-SA"/>
              </w:rPr>
              <w:t>mpritchard@mwncmh.com</w:t>
            </w:r>
          </w:p>
          <w:p w:rsidR="00152A74" w:rsidRPr="005F5D7B" w:rsidP="00152A74">
            <w:pPr>
              <w:autoSpaceDE w:val="0"/>
              <w:autoSpaceDN w:val="0"/>
              <w:adjustRightInd w:val="0"/>
              <w:spacing w:after="0" w:line="240" w:lineRule="auto"/>
              <w:ind w:left="1333"/>
              <w:rPr>
                <w:rStyle w:val="DefaultParagraphFont"/>
                <w:rFonts w:ascii="Times New Roman" w:hAnsi="Times New Roman" w:eastAsiaTheme="minorHAnsi" w:cs="Times New Roman"/>
                <w:sz w:val="24"/>
                <w:szCs w:val="24"/>
                <w:lang w:val="en-US" w:eastAsia="en-US" w:bidi="ar-SA"/>
              </w:rPr>
            </w:pPr>
          </w:p>
          <w:p w:rsidR="00152A74" w:rsidRPr="005F5D7B" w:rsidP="00152A74">
            <w:pPr>
              <w:pStyle w:val="CommentText"/>
              <w:spacing w:after="0" w:line="240" w:lineRule="auto"/>
              <w:ind w:left="1335"/>
              <w:rPr>
                <w:rStyle w:val="DefaultParagraphFont"/>
                <w:rFonts w:ascii="Times New Roman" w:hAnsi="Times New Roman" w:eastAsiaTheme="minorHAnsi" w:cs="Times New Roman"/>
                <w:sz w:val="24"/>
                <w:szCs w:val="24"/>
                <w:lang w:val="en-US" w:eastAsia="en-US" w:bidi="ar-SA"/>
              </w:rPr>
            </w:pPr>
          </w:p>
        </w:tc>
      </w:tr>
      <w:tr w:rsidTr="00152A74">
        <w:tblPrEx>
          <w:tblW w:w="0" w:type="auto"/>
          <w:tblInd w:w="0" w:type="dxa"/>
          <w:tblCellMar>
            <w:top w:w="0" w:type="dxa"/>
            <w:left w:w="108" w:type="dxa"/>
            <w:bottom w:w="0" w:type="dxa"/>
            <w:right w:w="108" w:type="dxa"/>
          </w:tblCellMar>
          <w:tblLook w:val="04A0"/>
        </w:tblPrEx>
        <w:tc>
          <w:tcPr>
            <w:tcW w:w="4428" w:type="dxa"/>
            <w:shd w:val="clear" w:color="auto" w:fill="auto"/>
          </w:tcPr>
          <w:p w:rsidR="00152A74" w:rsidRPr="005F5D7B" w:rsidP="00152A74">
            <w:pPr>
              <w:pStyle w:val="CommentText"/>
              <w:spacing w:after="0" w:line="240" w:lineRule="auto"/>
              <w:rPr>
                <w:rStyle w:val="Hyperlink"/>
                <w:rFonts w:ascii="Times New Roman" w:hAnsi="Times New Roman" w:eastAsiaTheme="minorHAnsi" w:cs="Times New Roman"/>
                <w:color w:val="auto"/>
                <w:sz w:val="24"/>
                <w:szCs w:val="24"/>
                <w:u w:val="none"/>
                <w:lang w:val="en-US" w:eastAsia="en-US" w:bidi="ar-SA"/>
              </w:rPr>
            </w:pPr>
            <w:r w:rsidRPr="005F5D7B">
              <w:rPr>
                <w:rStyle w:val="Hyperlink"/>
                <w:rFonts w:ascii="Times New Roman" w:eastAsia="PMingLiU" w:hAnsi="Times New Roman" w:cs="Times New Roman"/>
                <w:color w:val="auto"/>
                <w:sz w:val="24"/>
                <w:szCs w:val="24"/>
                <w:u w:val="none"/>
                <w:lang w:val="en-US" w:eastAsia="en-US" w:bidi="ar-SA"/>
              </w:rPr>
              <w:t>Attorney Examiners:</w:t>
            </w:r>
          </w:p>
          <w:p w:rsidR="00152A74" w:rsidRPr="005F5D7B" w:rsidP="00152A74">
            <w:pPr>
              <w:pStyle w:val="CommentText"/>
              <w:spacing w:after="0" w:line="240" w:lineRule="auto"/>
              <w:rPr>
                <w:rStyle w:val="Hyperlink"/>
                <w:rFonts w:ascii="Times New Roman" w:hAnsi="Times New Roman" w:eastAsiaTheme="minorHAnsi" w:cs="Times New Roman"/>
                <w:color w:val="auto"/>
                <w:sz w:val="24"/>
                <w:szCs w:val="24"/>
                <w:u w:val="none"/>
                <w:lang w:val="en-US" w:eastAsia="en-US" w:bidi="ar-SA"/>
              </w:rPr>
            </w:pPr>
            <w:r w:rsidRPr="005F5D7B">
              <w:rPr>
                <w:rFonts w:ascii="Times New Roman" w:eastAsia="PMingLiU" w:hAnsi="Times New Roman" w:cs="Times New Roman"/>
                <w:sz w:val="24"/>
                <w:szCs w:val="24"/>
                <w:lang w:val="en-US" w:eastAsia="en-US" w:bidi="ar-SA"/>
              </w:rPr>
              <w:t>Megan.addison@puc.state.oh.us</w:t>
            </w:r>
          </w:p>
          <w:p w:rsidR="00152A74" w:rsidRPr="005F5D7B" w:rsidP="00152A74">
            <w:pPr>
              <w:pStyle w:val="CommentText"/>
              <w:spacing w:after="0" w:line="240" w:lineRule="auto"/>
              <w:rPr>
                <w:rStyle w:val="Hyperlink"/>
                <w:rFonts w:ascii="Times New Roman" w:hAnsi="Times New Roman" w:eastAsiaTheme="minorHAnsi" w:cs="Times New Roman"/>
                <w:color w:val="auto"/>
                <w:sz w:val="24"/>
                <w:szCs w:val="24"/>
                <w:u w:val="none"/>
                <w:lang w:val="en-US" w:eastAsia="en-US" w:bidi="ar-SA"/>
              </w:rPr>
            </w:pPr>
            <w:r w:rsidRPr="005F5D7B">
              <w:rPr>
                <w:rFonts w:ascii="Times New Roman" w:eastAsia="PMingLiU" w:hAnsi="Times New Roman" w:cs="Times New Roman"/>
                <w:sz w:val="24"/>
                <w:szCs w:val="24"/>
                <w:lang w:val="en-US" w:eastAsia="en-US" w:bidi="ar-SA"/>
              </w:rPr>
              <w:t>Gregory.price@puc.state.oh.us</w:t>
            </w:r>
          </w:p>
          <w:p w:rsidR="00152A74" w:rsidRPr="005F5D7B" w:rsidP="00152A74">
            <w:pPr>
              <w:pStyle w:val="CommentText"/>
              <w:spacing w:after="0" w:line="240" w:lineRule="auto"/>
              <w:rPr>
                <w:rStyle w:val="Hyperlink"/>
                <w:rFonts w:ascii="Times New Roman" w:hAnsi="Times New Roman" w:eastAsiaTheme="minorHAnsi" w:cs="Times New Roman"/>
                <w:color w:val="auto"/>
                <w:sz w:val="24"/>
                <w:szCs w:val="24"/>
                <w:u w:val="none"/>
                <w:lang w:val="en-US" w:eastAsia="en-US" w:bidi="ar-SA"/>
              </w:rPr>
            </w:pPr>
          </w:p>
        </w:tc>
        <w:tc>
          <w:tcPr>
            <w:tcW w:w="4428" w:type="dxa"/>
            <w:shd w:val="clear" w:color="auto" w:fill="auto"/>
          </w:tcPr>
          <w:p w:rsidR="00152A74" w:rsidRPr="005F5D7B" w:rsidP="00152A74">
            <w:pPr>
              <w:pStyle w:val="CommentText"/>
              <w:spacing w:after="0" w:line="240" w:lineRule="auto"/>
              <w:ind w:left="1335"/>
              <w:rPr>
                <w:rStyle w:val="Hyperlink"/>
                <w:rFonts w:ascii="Times New Roman" w:hAnsi="Times New Roman" w:eastAsiaTheme="minorHAnsi" w:cs="Times New Roman"/>
                <w:color w:val="auto"/>
                <w:sz w:val="24"/>
                <w:szCs w:val="24"/>
                <w:u w:val="none"/>
                <w:lang w:val="en-US" w:eastAsia="en-US" w:bidi="ar-SA"/>
              </w:rPr>
            </w:pPr>
          </w:p>
        </w:tc>
      </w:tr>
    </w:tbl>
    <w:p w:rsidR="00152A74" w:rsidRPr="005365F6" w:rsidP="00152A74">
      <w:pPr>
        <w:spacing w:after="0" w:line="240" w:lineRule="auto"/>
        <w:jc w:val="center"/>
        <w:rPr>
          <w:rFonts w:ascii="Times New Roman" w:eastAsia="Times New Roman" w:hAnsi="Times New Roman" w:cs="Times New Roman"/>
          <w:b/>
          <w:bCs/>
          <w:sz w:val="24"/>
          <w:szCs w:val="24"/>
          <w:u w:val="single"/>
        </w:rPr>
      </w:pPr>
    </w:p>
    <w:sectPr w:rsidSect="00152A74">
      <w:footerReference w:type="default" r:id="rI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8753735"/>
      <w:docPartObj>
        <w:docPartGallery w:val="Page Numbers (Bottom of Page)"/>
        <w:docPartUnique/>
      </w:docPartObj>
    </w:sdtPr>
    <w:sdtEndPr>
      <w:rPr>
        <w:noProof/>
      </w:rPr>
    </w:sdtEndPr>
    <w:sdtContent>
      <w:p w:rsidR="00BD4E5B">
        <w:pPr>
          <w:pStyle w:val="Footer"/>
          <w:jc w:val="center"/>
        </w:pPr>
      </w:p>
    </w:sdtContent>
  </w:sdt>
  <w:p w:rsidR="00182457" w:rsidRPr="006706FC">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4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643279"/>
      <w:docPartObj>
        <w:docPartGallery w:val="Page Numbers (Bottom of Page)"/>
        <w:docPartUnique/>
      </w:docPartObj>
    </w:sdtPr>
    <w:sdtEndPr>
      <w:rPr>
        <w:rFonts w:ascii="Times New Roman" w:hAnsi="Times New Roman" w:cs="Times New Roman"/>
        <w:noProof/>
        <w:sz w:val="24"/>
        <w:szCs w:val="24"/>
      </w:rPr>
    </w:sdtEndPr>
    <w:sdtContent>
      <w:p w:rsidR="00BD4E5B" w:rsidRPr="00BD4E5B">
        <w:pPr>
          <w:pStyle w:val="Footer"/>
          <w:jc w:val="center"/>
          <w:rPr>
            <w:rFonts w:ascii="Times New Roman" w:hAnsi="Times New Roman" w:cs="Times New Roman"/>
            <w:sz w:val="24"/>
            <w:szCs w:val="24"/>
          </w:rPr>
        </w:pPr>
        <w:r w:rsidRPr="00BD4E5B">
          <w:rPr>
            <w:rFonts w:ascii="Times New Roman" w:hAnsi="Times New Roman" w:cs="Times New Roman"/>
            <w:sz w:val="24"/>
            <w:szCs w:val="24"/>
          </w:rPr>
          <w:fldChar w:fldCharType="begin"/>
        </w:r>
        <w:r w:rsidRPr="00BD4E5B">
          <w:rPr>
            <w:rFonts w:ascii="Times New Roman" w:hAnsi="Times New Roman" w:cs="Times New Roman"/>
            <w:sz w:val="24"/>
            <w:szCs w:val="24"/>
          </w:rPr>
          <w:instrText xml:space="preserve"> PAGE   \* MERGEFORMAT </w:instrText>
        </w:r>
        <w:r w:rsidRPr="00BD4E5B">
          <w:rPr>
            <w:rFonts w:ascii="Times New Roman" w:hAnsi="Times New Roman" w:cs="Times New Roman"/>
            <w:sz w:val="24"/>
            <w:szCs w:val="24"/>
          </w:rPr>
          <w:fldChar w:fldCharType="separate"/>
        </w:r>
        <w:r w:rsidRPr="00BD4E5B">
          <w:rPr>
            <w:rFonts w:ascii="Times New Roman" w:hAnsi="Times New Roman" w:cs="Times New Roman"/>
            <w:noProof/>
            <w:sz w:val="24"/>
            <w:szCs w:val="24"/>
          </w:rPr>
          <w:t>10</w:t>
        </w:r>
        <w:r w:rsidRPr="00BD4E5B">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457" w:rsidRPr="006706FC">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1D10" w:rsidP="00152A74">
      <w:pPr>
        <w:spacing w:after="0" w:line="240" w:lineRule="auto"/>
      </w:pPr>
      <w:r>
        <w:separator/>
      </w:r>
    </w:p>
  </w:footnote>
  <w:footnote w:type="continuationSeparator" w:id="1">
    <w:p w:rsidR="00231D10" w:rsidP="00152A74">
      <w:pPr>
        <w:spacing w:after="0" w:line="240" w:lineRule="auto"/>
      </w:pPr>
      <w:r>
        <w:continuationSeparator/>
      </w:r>
    </w:p>
  </w:footnote>
  <w:footnote w:id="2">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In its Initial Brief and Reply Brief, OCC refers to </w:t>
      </w:r>
      <w:r>
        <w:rPr>
          <w:rFonts w:cs="Times New Roman"/>
        </w:rPr>
        <w:t>Ohio Edison’s</w:t>
      </w:r>
      <w:r w:rsidRPr="00346BB2">
        <w:rPr>
          <w:rFonts w:cs="Times New Roman"/>
        </w:rPr>
        <w:t xml:space="preserve"> and PUCO Staff’s “Stipulation and Recommendation” as “the Settlement” because, as further explained below, the legal effect of adopting this agreement would be to end entirely this proceeding in </w:t>
      </w:r>
      <w:r>
        <w:rPr>
          <w:rFonts w:cs="Times New Roman"/>
        </w:rPr>
        <w:t>Ohio Edison’s</w:t>
      </w:r>
      <w:r w:rsidRPr="00346BB2">
        <w:rPr>
          <w:rFonts w:cs="Times New Roman"/>
        </w:rPr>
        <w:t xml:space="preserve"> favor. </w:t>
      </w:r>
    </w:p>
  </w:footnote>
  <w:footnote w:id="3">
    <w:p w:rsidR="00182457" w:rsidRPr="00346BB2" w:rsidP="00346BB2">
      <w:pPr>
        <w:pStyle w:val="EndnoteText"/>
        <w:spacing w:after="120"/>
        <w:rPr>
          <w:rFonts w:ascii="Times New Roman" w:hAnsi="Times New Roman" w:cs="Times New Roman"/>
        </w:rPr>
      </w:pPr>
      <w:r w:rsidRPr="00346BB2">
        <w:rPr>
          <w:rStyle w:val="FootnoteReference"/>
          <w:rFonts w:ascii="Times New Roman" w:hAnsi="Times New Roman" w:cs="Times New Roman"/>
        </w:rPr>
        <w:footnoteRef/>
      </w:r>
      <w:r w:rsidRPr="00346BB2">
        <w:rPr>
          <w:rFonts w:ascii="Times New Roman" w:hAnsi="Times New Roman" w:cs="Times New Roman"/>
        </w:rPr>
        <w:t xml:space="preserve"> </w:t>
      </w:r>
      <w:r w:rsidRPr="00346BB2">
        <w:rPr>
          <w:rFonts w:ascii="Times New Roman" w:hAnsi="Times New Roman" w:cs="Times New Roman"/>
          <w:i/>
        </w:rPr>
        <w:t>See Office of the Consumers’ Counsel v. Pub. Util. Comm’n</w:t>
      </w:r>
      <w:r w:rsidRPr="00346BB2">
        <w:rPr>
          <w:rFonts w:ascii="Times New Roman" w:hAnsi="Times New Roman" w:cs="Times New Roman"/>
        </w:rPr>
        <w:t>, 64 Ohio St. 3d 123, 126.</w:t>
      </w:r>
    </w:p>
  </w:footnote>
  <w:footnote w:id="4">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OCC Ex. </w:t>
      </w:r>
      <w:r>
        <w:rPr>
          <w:rFonts w:cs="Times New Roman"/>
        </w:rPr>
        <w:t>1</w:t>
      </w:r>
      <w:r w:rsidRPr="00346BB2">
        <w:rPr>
          <w:rFonts w:cs="Times New Roman"/>
        </w:rPr>
        <w:t xml:space="preserve"> at 5.</w:t>
      </w:r>
    </w:p>
  </w:footnote>
  <w:footnote w:id="5">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Pr>
          <w:rFonts w:cs="Times New Roman"/>
        </w:rPr>
        <w:t>Ohio Edison</w:t>
      </w:r>
      <w:r w:rsidRPr="00346BB2">
        <w:rPr>
          <w:rFonts w:cs="Times New Roman"/>
        </w:rPr>
        <w:t xml:space="preserve"> Init. Br. at 8.  </w:t>
      </w:r>
    </w:p>
  </w:footnote>
  <w:footnote w:id="6">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OCC Ex. </w:t>
      </w:r>
      <w:r>
        <w:rPr>
          <w:rFonts w:cs="Times New Roman"/>
        </w:rPr>
        <w:t>1</w:t>
      </w:r>
      <w:r w:rsidRPr="00346BB2">
        <w:rPr>
          <w:rFonts w:cs="Times New Roman"/>
        </w:rPr>
        <w:t xml:space="preserve"> at 3-4. </w:t>
      </w:r>
    </w:p>
    <w:p w:rsidR="00182457" w:rsidRPr="00346BB2" w:rsidP="00346BB2">
      <w:pPr>
        <w:pStyle w:val="FootnoteText"/>
        <w:spacing w:after="120"/>
        <w:rPr>
          <w:rFonts w:cs="Times New Roman"/>
        </w:rPr>
      </w:pPr>
    </w:p>
  </w:footnote>
  <w:footnote w:id="7">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PUCO Staff Init. Br. at 5-6</w:t>
      </w:r>
      <w:r>
        <w:rPr>
          <w:rFonts w:cs="Times New Roman"/>
        </w:rPr>
        <w:t>.</w:t>
      </w:r>
    </w:p>
  </w:footnote>
  <w:footnote w:id="8">
    <w:p w:rsidR="00DC20FF" w:rsidRPr="00346BB2" w:rsidP="00DC20FF">
      <w:pPr>
        <w:pStyle w:val="EndnoteText"/>
        <w:spacing w:after="120"/>
        <w:rPr>
          <w:rFonts w:cs="Times New Roman"/>
        </w:rPr>
      </w:pPr>
      <w:r w:rsidRPr="00346BB2">
        <w:rPr>
          <w:rStyle w:val="FootnoteReference"/>
          <w:rFonts w:ascii="Times New Roman" w:hAnsi="Times New Roman" w:cs="Times New Roman"/>
        </w:rPr>
        <w:footnoteRef/>
      </w:r>
      <w:r w:rsidRPr="00346BB2">
        <w:rPr>
          <w:rFonts w:ascii="Times New Roman" w:hAnsi="Times New Roman" w:cs="Times New Roman"/>
        </w:rPr>
        <w:t xml:space="preserve"> </w:t>
      </w:r>
      <w:r w:rsidRPr="00346BB2">
        <w:rPr>
          <w:rFonts w:ascii="Times New Roman" w:hAnsi="Times New Roman" w:cs="Times New Roman"/>
          <w:i/>
        </w:rPr>
        <w:t xml:space="preserve">Compare </w:t>
      </w:r>
      <w:r w:rsidRPr="00346BB2">
        <w:rPr>
          <w:rFonts w:ascii="Times New Roman" w:hAnsi="Times New Roman" w:cs="Times New Roman"/>
        </w:rPr>
        <w:t xml:space="preserve">OAC 4901-1-30 (which governs “Stipulations”) with </w:t>
      </w:r>
      <w:r w:rsidRPr="00346BB2">
        <w:rPr>
          <w:rFonts w:ascii="Times New Roman" w:hAnsi="Times New Roman" w:cs="Times New Roman"/>
          <w:i/>
        </w:rPr>
        <w:t>Office of the Consumers’ Counsel v. Pub. Util. Comm’n</w:t>
      </w:r>
      <w:r w:rsidRPr="00346BB2">
        <w:rPr>
          <w:rFonts w:ascii="Times New Roman" w:hAnsi="Times New Roman" w:cs="Times New Roman"/>
        </w:rPr>
        <w:t>, 64 Ohio St. 3d 123, 126 (using the term “Settlement” in the three-part test the PUCO uses to evaluate Stipulations under OAC 4901-1-30)</w:t>
      </w:r>
      <w:r>
        <w:rPr>
          <w:rFonts w:ascii="Times New Roman" w:hAnsi="Times New Roman" w:cs="Times New Roman"/>
        </w:rPr>
        <w:t>.</w:t>
      </w:r>
    </w:p>
  </w:footnote>
  <w:footnote w:id="9">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OCC Init. Br. at 5, quoting </w:t>
      </w:r>
      <w:r w:rsidRPr="00346BB2">
        <w:rPr>
          <w:rFonts w:cs="Times New Roman"/>
          <w:i/>
        </w:rPr>
        <w:t>Black’s Law Dictionary</w:t>
      </w:r>
      <w:r w:rsidRPr="00346BB2">
        <w:rPr>
          <w:rFonts w:cs="Times New Roman"/>
        </w:rPr>
        <w:t>, 1404-05 (8</w:t>
      </w:r>
      <w:r w:rsidRPr="00346BB2">
        <w:rPr>
          <w:rFonts w:cs="Times New Roman"/>
          <w:vertAlign w:val="superscript"/>
        </w:rPr>
        <w:t>th</w:t>
      </w:r>
      <w:r w:rsidRPr="00346BB2">
        <w:rPr>
          <w:rFonts w:cs="Times New Roman"/>
        </w:rPr>
        <w:t xml:space="preserve"> Ed. 2007). </w:t>
      </w:r>
    </w:p>
  </w:footnote>
  <w:footnote w:id="10">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sidRPr="00346BB2">
        <w:rPr>
          <w:rFonts w:cs="Times New Roman"/>
          <w:i/>
        </w:rPr>
        <w:t xml:space="preserve">See </w:t>
      </w:r>
      <w:r w:rsidRPr="00346BB2">
        <w:rPr>
          <w:rFonts w:cs="Times New Roman"/>
        </w:rPr>
        <w:t>OAC 4901-1-30(A) (“Any two or more parties may enter into a written or oral stipulation concerning issues of fact, the authenticity of documents, or the proposed resolution of some or all of the issues in a proceeding.”)</w:t>
      </w:r>
      <w:r>
        <w:rPr>
          <w:rFonts w:cs="Times New Roman"/>
        </w:rPr>
        <w:t>.</w:t>
      </w:r>
    </w:p>
  </w:footnote>
  <w:footnote w:id="11">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Settlement at 2.</w:t>
      </w:r>
    </w:p>
  </w:footnote>
  <w:footnote w:id="12">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sidRPr="00346BB2">
        <w:rPr>
          <w:rFonts w:cs="Times New Roman"/>
          <w:i/>
        </w:rPr>
        <w:t>In re Application of Columbus S. Power Co</w:t>
      </w:r>
      <w:r w:rsidRPr="00346BB2">
        <w:rPr>
          <w:rFonts w:cs="Times New Roman"/>
        </w:rPr>
        <w:t xml:space="preserve">., 134 Ohio St.3d 392, 2012-Ohio-5690 at ¶30.  Utilities “not only had notice of R.C. 4928.143(F), but chose to be subject to it. . . . Presumably, the potential reward outweighed the risk.” </w:t>
      </w:r>
    </w:p>
  </w:footnote>
  <w:footnote w:id="13">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sidRPr="00346BB2">
        <w:rPr>
          <w:rFonts w:cs="Times New Roman"/>
          <w:i/>
        </w:rPr>
        <w:t>See</w:t>
      </w:r>
      <w:r w:rsidRPr="00346BB2">
        <w:rPr>
          <w:rFonts w:cs="Times New Roman"/>
        </w:rPr>
        <w:t xml:space="preserve"> OCC</w:t>
      </w:r>
      <w:r>
        <w:rPr>
          <w:rFonts w:cs="Times New Roman"/>
        </w:rPr>
        <w:t xml:space="preserve"> Ex. 2 at 10, and OCC Init. Br. at 11</w:t>
      </w:r>
      <w:r w:rsidRPr="00346BB2">
        <w:rPr>
          <w:rFonts w:cs="Times New Roman"/>
        </w:rPr>
        <w:t xml:space="preserve">.  </w:t>
      </w:r>
    </w:p>
    <w:p w:rsidR="00182457" w:rsidRPr="00346BB2" w:rsidP="00346BB2">
      <w:pPr>
        <w:pStyle w:val="FootnoteText"/>
        <w:spacing w:after="120"/>
        <w:rPr>
          <w:rFonts w:cs="Times New Roman"/>
        </w:rPr>
      </w:pPr>
    </w:p>
  </w:footnote>
  <w:footnote w:id="14">
    <w:p w:rsidR="00182457" w:rsidRPr="00346BB2" w:rsidP="00346BB2">
      <w:pPr>
        <w:pStyle w:val="FootnoteText"/>
        <w:spacing w:after="120"/>
        <w:rPr>
          <w:rFonts w:cs="Times New Roman"/>
        </w:rPr>
      </w:pPr>
      <w:r w:rsidRPr="00346BB2">
        <w:rPr>
          <w:rStyle w:val="FootnoteReference"/>
          <w:rFonts w:cs="Times New Roman"/>
        </w:rPr>
        <w:footnoteRef/>
      </w:r>
      <w:r>
        <w:rPr>
          <w:rFonts w:cs="Times New Roman"/>
        </w:rPr>
        <w:t xml:space="preserve"> Ohio Edison</w:t>
      </w:r>
      <w:r w:rsidRPr="00346BB2">
        <w:rPr>
          <w:rFonts w:cs="Times New Roman"/>
        </w:rPr>
        <w:t xml:space="preserve"> Ex. 4 at 5.</w:t>
      </w:r>
      <w:r w:rsidRPr="00346BB2">
        <w:rPr>
          <w:rFonts w:cs="Times New Roman"/>
          <w:i/>
        </w:rPr>
        <w:t xml:space="preserve"> </w:t>
      </w:r>
      <w:r w:rsidRPr="00346BB2">
        <w:rPr>
          <w:rFonts w:cs="Times New Roman"/>
        </w:rPr>
        <w:t xml:space="preserve"> </w:t>
      </w:r>
    </w:p>
  </w:footnote>
  <w:footnote w:id="15">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PUCO Staff Init. Br. at 6.</w:t>
      </w:r>
    </w:p>
    <w:p w:rsidR="00182457" w:rsidRPr="00346BB2" w:rsidP="00346BB2">
      <w:pPr>
        <w:pStyle w:val="FootnoteText"/>
        <w:spacing w:after="120"/>
        <w:rPr>
          <w:rFonts w:cs="Times New Roman"/>
        </w:rPr>
      </w:pPr>
    </w:p>
  </w:footnote>
  <w:footnote w:id="16">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R.C. 4905.22. </w:t>
      </w:r>
    </w:p>
  </w:footnote>
  <w:footnote w:id="17">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R.C. 4928.143(F).</w:t>
      </w:r>
    </w:p>
  </w:footnote>
  <w:footnote w:id="18">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sidRPr="00346BB2">
        <w:rPr>
          <w:rFonts w:cs="Times New Roman"/>
          <w:i/>
        </w:rPr>
        <w:t xml:space="preserve">See </w:t>
      </w:r>
      <w:r w:rsidRPr="00346BB2">
        <w:rPr>
          <w:rFonts w:cs="Times New Roman"/>
        </w:rPr>
        <w:t>OCC Ex. 1 at 7.</w:t>
      </w:r>
    </w:p>
  </w:footnote>
  <w:footnote w:id="19">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OCC Ex. </w:t>
      </w:r>
      <w:r>
        <w:rPr>
          <w:rFonts w:cs="Times New Roman"/>
        </w:rPr>
        <w:t>2</w:t>
      </w:r>
      <w:r w:rsidRPr="00346BB2">
        <w:rPr>
          <w:rFonts w:cs="Times New Roman"/>
        </w:rPr>
        <w:t xml:space="preserve"> at 9-11.</w:t>
      </w:r>
    </w:p>
  </w:footnote>
  <w:footnote w:id="20">
    <w:p w:rsidR="00182457" w:rsidRPr="00EC65C0"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sidRPr="00346BB2">
        <w:rPr>
          <w:rFonts w:cs="Times New Roman"/>
          <w:i/>
        </w:rPr>
        <w:t>See id.</w:t>
      </w:r>
      <w:r>
        <w:rPr>
          <w:rFonts w:cs="Times New Roman"/>
          <w:i/>
        </w:rPr>
        <w:t xml:space="preserve"> </w:t>
      </w:r>
      <w:r>
        <w:rPr>
          <w:rFonts w:cs="Times New Roman"/>
        </w:rPr>
        <w:t>at 10.</w:t>
      </w:r>
    </w:p>
  </w:footnote>
  <w:footnote w:id="21">
    <w:p w:rsidR="00182457" w:rsidRPr="00346BB2" w:rsidP="00346BB2">
      <w:pPr>
        <w:pStyle w:val="FootnoteText"/>
        <w:spacing w:after="120"/>
        <w:rPr>
          <w:rFonts w:cs="Times New Roman"/>
          <w:i/>
        </w:rPr>
      </w:pPr>
      <w:r w:rsidRPr="00346BB2">
        <w:rPr>
          <w:rStyle w:val="FootnoteReference"/>
          <w:rFonts w:cs="Times New Roman"/>
        </w:rPr>
        <w:footnoteRef/>
      </w:r>
      <w:r w:rsidRPr="00346BB2">
        <w:rPr>
          <w:rFonts w:cs="Times New Roman"/>
        </w:rPr>
        <w:t xml:space="preserve"> </w:t>
      </w:r>
      <w:r w:rsidRPr="00346BB2">
        <w:rPr>
          <w:rFonts w:cs="Times New Roman"/>
          <w:i/>
        </w:rPr>
        <w:t>See id.</w:t>
      </w:r>
    </w:p>
  </w:footnote>
  <w:footnote w:id="22">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sidRPr="00346BB2">
        <w:rPr>
          <w:rFonts w:cs="Times New Roman"/>
          <w:i/>
        </w:rPr>
        <w:t xml:space="preserve">See id. </w:t>
      </w:r>
      <w:r w:rsidRPr="00346BB2">
        <w:rPr>
          <w:rFonts w:cs="Times New Roman"/>
        </w:rPr>
        <w:t>at 31.</w:t>
      </w:r>
    </w:p>
  </w:footnote>
  <w:footnote w:id="23">
    <w:p w:rsidR="00182457" w:rsidRPr="00346BB2" w:rsidP="00346BB2">
      <w:pPr>
        <w:pStyle w:val="FootnoteText"/>
        <w:spacing w:after="120"/>
        <w:rPr>
          <w:rFonts w:cs="Times New Roman"/>
          <w:i/>
        </w:rPr>
      </w:pPr>
      <w:r w:rsidRPr="00346BB2">
        <w:rPr>
          <w:rStyle w:val="FootnoteReference"/>
          <w:rFonts w:cs="Times New Roman"/>
        </w:rPr>
        <w:footnoteRef/>
      </w:r>
      <w:r w:rsidRPr="00346BB2">
        <w:rPr>
          <w:rFonts w:cs="Times New Roman"/>
        </w:rPr>
        <w:t xml:space="preserve"> </w:t>
      </w:r>
      <w:r w:rsidRPr="00346BB2">
        <w:rPr>
          <w:rFonts w:cs="Times New Roman"/>
          <w:i/>
        </w:rPr>
        <w:t>See id.</w:t>
      </w:r>
    </w:p>
  </w:footnote>
  <w:footnote w:id="24">
    <w:p w:rsidR="00182457" w:rsidRPr="0071006A"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Pr>
          <w:rFonts w:cs="Times New Roman"/>
        </w:rPr>
        <w:t>OCC Ex. 1 at 9.</w:t>
      </w:r>
    </w:p>
  </w:footnote>
  <w:footnote w:id="25">
    <w:p w:rsidR="00182457" w:rsidRPr="00346BB2" w:rsidP="00346BB2">
      <w:pPr>
        <w:pStyle w:val="FootnoteText"/>
        <w:spacing w:after="120"/>
        <w:rPr>
          <w:rFonts w:cs="Times New Roman"/>
          <w:i/>
        </w:rPr>
      </w:pPr>
      <w:r w:rsidRPr="00346BB2">
        <w:rPr>
          <w:rStyle w:val="FootnoteReference"/>
          <w:rFonts w:cs="Times New Roman"/>
        </w:rPr>
        <w:footnoteRef/>
      </w:r>
      <w:r w:rsidRPr="00346BB2">
        <w:rPr>
          <w:rFonts w:cs="Times New Roman"/>
        </w:rPr>
        <w:t xml:space="preserve"> </w:t>
      </w:r>
      <w:r w:rsidRPr="00346BB2">
        <w:rPr>
          <w:rFonts w:cs="Times New Roman"/>
          <w:i/>
        </w:rPr>
        <w:t>See id.</w:t>
      </w:r>
    </w:p>
  </w:footnote>
  <w:footnote w:id="26">
    <w:p w:rsidR="00182457" w:rsidRPr="00346BB2" w:rsidP="00346BB2">
      <w:pPr>
        <w:pStyle w:val="FootnoteText"/>
        <w:spacing w:after="120"/>
        <w:rPr>
          <w:rFonts w:cs="Times New Roman"/>
          <w:i/>
        </w:rPr>
      </w:pPr>
      <w:r w:rsidRPr="00346BB2">
        <w:rPr>
          <w:rStyle w:val="FootnoteReference"/>
          <w:rFonts w:cs="Times New Roman"/>
        </w:rPr>
        <w:footnoteRef/>
      </w:r>
      <w:r w:rsidRPr="00346BB2">
        <w:rPr>
          <w:rFonts w:cs="Times New Roman"/>
        </w:rPr>
        <w:t xml:space="preserve"> </w:t>
      </w:r>
      <w:r w:rsidRPr="00346BB2">
        <w:rPr>
          <w:rFonts w:cs="Times New Roman"/>
          <w:i/>
        </w:rPr>
        <w:t>See id.</w:t>
      </w:r>
    </w:p>
  </w:footnote>
  <w:footnote w:id="27">
    <w:p w:rsidR="00182457" w:rsidRPr="00346BB2" w:rsidP="00346BB2">
      <w:pPr>
        <w:pStyle w:val="FootnoteText"/>
        <w:spacing w:after="120"/>
        <w:rPr>
          <w:rFonts w:cs="Times New Roman"/>
          <w:i/>
        </w:rPr>
      </w:pPr>
      <w:r w:rsidRPr="00346BB2">
        <w:rPr>
          <w:rStyle w:val="FootnoteReference"/>
          <w:rFonts w:cs="Times New Roman"/>
        </w:rPr>
        <w:footnoteRef/>
      </w:r>
      <w:r w:rsidRPr="00346BB2">
        <w:rPr>
          <w:rFonts w:cs="Times New Roman"/>
        </w:rPr>
        <w:t xml:space="preserve"> </w:t>
      </w:r>
      <w:r w:rsidRPr="00346BB2">
        <w:rPr>
          <w:rFonts w:cs="Times New Roman"/>
          <w:i/>
        </w:rPr>
        <w:t>See id.</w:t>
      </w:r>
    </w:p>
  </w:footnote>
  <w:footnote w:id="28">
    <w:p w:rsidR="00182457" w:rsidRPr="00346BB2" w:rsidP="00346BB2">
      <w:pPr>
        <w:pStyle w:val="FootnoteText"/>
        <w:spacing w:after="120"/>
        <w:rPr>
          <w:rFonts w:cs="Times New Roman"/>
        </w:rPr>
      </w:pPr>
      <w:r w:rsidRPr="00346BB2">
        <w:rPr>
          <w:rStyle w:val="FootnoteReference"/>
          <w:rFonts w:cs="Times New Roman"/>
        </w:rPr>
        <w:footnoteRef/>
      </w:r>
      <w:r w:rsidRPr="00346BB2">
        <w:rPr>
          <w:rFonts w:cs="Times New Roman"/>
        </w:rPr>
        <w:t xml:space="preserve"> </w:t>
      </w:r>
      <w:r w:rsidRPr="00346BB2">
        <w:rPr>
          <w:rFonts w:cs="Times New Roman"/>
          <w:i/>
        </w:rPr>
        <w:t>See</w:t>
      </w:r>
      <w:r>
        <w:rPr>
          <w:rFonts w:cs="Times New Roman"/>
        </w:rPr>
        <w:t xml:space="preserve"> </w:t>
      </w:r>
      <w:r>
        <w:rPr>
          <w:rFonts w:cs="Times New Roman"/>
          <w:i/>
        </w:rPr>
        <w:t>id</w:t>
      </w:r>
      <w:r w:rsidRPr="00346BB2">
        <w:rPr>
          <w:rFonts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4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7C845E5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8D948EC"/>
    <w:multiLevelType w:val="hybridMultilevel"/>
    <w:tmpl w:val="744ACC80"/>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7030CF"/>
    <w:multiLevelType w:val="hybridMultilevel"/>
    <w:tmpl w:val="4812387A"/>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8"/>
  </w:num>
  <w:num w:numId="3">
    <w:abstractNumId w:val="0"/>
  </w:num>
  <w:num w:numId="4">
    <w:abstractNumId w:val="0"/>
    <w:lvlOverride w:ilvl="0">
      <w:startOverride w:val="1"/>
    </w:lvlOverride>
  </w:num>
  <w:num w:numId="5">
    <w:abstractNumId w:val="0"/>
    <w:lvlOverride w:ilvl="0">
      <w:startOverride w:val="1"/>
    </w:lvlOverride>
  </w:num>
  <w:num w:numId="6">
    <w:abstractNumId w:val="13"/>
  </w:num>
  <w:num w:numId="7">
    <w:abstractNumId w:val="1"/>
  </w:num>
  <w:num w:numId="8">
    <w:abstractNumId w:val="3"/>
  </w:num>
  <w:num w:numId="9">
    <w:abstractNumId w:val="6"/>
  </w:num>
  <w:num w:numId="10">
    <w:abstractNumId w:val="12"/>
  </w:num>
  <w:num w:numId="11">
    <w:abstractNumId w:val="2"/>
  </w:num>
  <w:num w:numId="12">
    <w:abstractNumId w:val="9"/>
  </w:num>
  <w:num w:numId="13">
    <w:abstractNumId w:val="9"/>
  </w:num>
  <w:num w:numId="14">
    <w:abstractNumId w:val="10"/>
  </w:num>
  <w:num w:numId="15">
    <w:abstractNumId w:val="9"/>
  </w:num>
  <w:num w:numId="16">
    <w:abstractNumId w:val="9"/>
  </w:num>
  <w:num w:numId="17">
    <w:abstractNumId w:val="4"/>
  </w:num>
  <w:num w:numId="18">
    <w:abstractNumId w:val="11"/>
  </w:num>
  <w:num w:numId="19">
    <w:abstractNumId w:val="8"/>
  </w:num>
  <w:num w:numId="20">
    <w:abstractNumId w:val="8"/>
  </w:num>
  <w:num w:numId="21">
    <w:abstractNumId w:val="8"/>
  </w:num>
  <w:num w:numId="22">
    <w:abstractNumId w:val="8"/>
  </w:num>
  <w:num w:numId="23">
    <w:abstractNumId w:val="5"/>
  </w:num>
  <w:num w:numId="24">
    <w:abstractNumId w:val="9"/>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82336"/>
    <w:pPr>
      <w:keepNext/>
      <w:keepLines/>
      <w:numPr>
        <w:numId w:val="14"/>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A82336"/>
    <w:pPr>
      <w:keepNext/>
      <w:keepLines/>
      <w:numPr>
        <w:numId w:val="2"/>
      </w:numPr>
      <w:spacing w:after="240" w:line="240" w:lineRule="auto"/>
      <w:ind w:left="1440" w:righ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A75AF6"/>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A82336"/>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2336"/>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A75AF6"/>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865D92"/>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865D92"/>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paragraph" w:styleId="Revision">
    <w:name w:val="Revision"/>
    <w:hidden/>
    <w:uiPriority w:val="99"/>
    <w:semiHidden/>
    <w:rsid w:val="00E85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OE.docx</vt:lpstr>
    </vt:vector>
  </TitlesOfParts>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2019-01-18T20:17:59Z</dcterms:created>
  <dcterms:modified xsi:type="dcterms:W3CDTF">2019-01-18T20:17:59Z</dcterms:modified>
</cp:coreProperties>
</file>