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B4F91" w:rsidRPr="003D63B1" w14:paraId="680E3C8B" w14:textId="0CCBB1DD">
      <w:pPr>
        <w:spacing w:after="0" w:line="240" w:lineRule="auto"/>
        <w:jc w:val="center"/>
        <w:rPr>
          <w:rFonts w:cs="Times New Roman"/>
          <w:b/>
          <w:szCs w:val="24"/>
        </w:rPr>
      </w:pPr>
      <w:r w:rsidRPr="003D63B1">
        <w:rPr>
          <w:rFonts w:cs="Times New Roman"/>
          <w:b/>
          <w:szCs w:val="24"/>
        </w:rPr>
        <w:t>B</w:t>
      </w:r>
      <w:r w:rsidRPr="003D63B1" w:rsidR="00E66C7A">
        <w:rPr>
          <w:rFonts w:cs="Times New Roman"/>
          <w:b/>
          <w:szCs w:val="24"/>
        </w:rPr>
        <w:t xml:space="preserve">EFORE </w:t>
      </w:r>
    </w:p>
    <w:p w:rsidR="002B4F91" w:rsidRPr="003D63B1" w14:paraId="05357FCF" w14:textId="77777777">
      <w:pPr>
        <w:spacing w:after="0" w:line="240" w:lineRule="auto"/>
        <w:jc w:val="center"/>
        <w:rPr>
          <w:rFonts w:cs="Times New Roman"/>
          <w:b/>
          <w:bCs/>
          <w:szCs w:val="24"/>
        </w:rPr>
      </w:pPr>
      <w:r w:rsidRPr="003D63B1">
        <w:rPr>
          <w:rFonts w:cs="Times New Roman"/>
          <w:b/>
          <w:bCs/>
          <w:szCs w:val="24"/>
        </w:rPr>
        <w:t>THE PUBLIC UTILITIES COMMISSION OF OHIO</w:t>
      </w:r>
    </w:p>
    <w:p w:rsidR="002B4F91" w:rsidRPr="003D63B1" w14:paraId="7074E8EF" w14:textId="77777777">
      <w:pPr>
        <w:spacing w:after="0" w:line="240" w:lineRule="auto"/>
        <w:jc w:val="center"/>
        <w:rPr>
          <w:rFonts w:cs="Times New Roman"/>
          <w:b/>
          <w:bCs/>
          <w:szCs w:val="24"/>
        </w:rPr>
      </w:pPr>
    </w:p>
    <w:tbl>
      <w:tblPr>
        <w:tblW w:w="8640" w:type="dxa"/>
        <w:tblInd w:w="108" w:type="dxa"/>
        <w:tblLook w:val="01E0"/>
      </w:tblPr>
      <w:tblGrid>
        <w:gridCol w:w="4032"/>
        <w:gridCol w:w="360"/>
        <w:gridCol w:w="4248"/>
      </w:tblGrid>
      <w:tr w14:paraId="29F117BC" w14:textId="77777777">
        <w:tblPrEx>
          <w:tblW w:w="8640" w:type="dxa"/>
          <w:tblInd w:w="108" w:type="dxa"/>
          <w:tblLook w:val="01E0"/>
        </w:tblPrEx>
        <w:trPr>
          <w:trHeight w:val="4932"/>
        </w:trPr>
        <w:tc>
          <w:tcPr>
            <w:tcW w:w="4032" w:type="dxa"/>
          </w:tcPr>
          <w:p w:rsidR="002B4F91" w:rsidRPr="003D63B1" w14:paraId="501916A1" w14:textId="77777777">
            <w:pPr>
              <w:spacing w:after="0" w:line="240" w:lineRule="auto"/>
              <w:rPr>
                <w:rFonts w:cs="Times New Roman"/>
                <w:szCs w:val="24"/>
              </w:rPr>
            </w:pPr>
            <w:r w:rsidRPr="003D63B1">
              <w:rPr>
                <w:rFonts w:cs="Times New Roman"/>
                <w:szCs w:val="24"/>
              </w:rPr>
              <w:t>In the Matter of the Application of The Dayton Power and Light Company for Approval of its Electric Security Plan.</w:t>
            </w:r>
          </w:p>
          <w:p w:rsidR="002B4F91" w:rsidRPr="003D63B1" w14:paraId="6D85F76D" w14:textId="77777777">
            <w:pPr>
              <w:spacing w:after="0" w:line="240" w:lineRule="auto"/>
              <w:rPr>
                <w:rFonts w:cs="Times New Roman"/>
                <w:szCs w:val="24"/>
              </w:rPr>
            </w:pPr>
          </w:p>
          <w:p w:rsidR="002B4F91" w:rsidRPr="003D63B1" w14:paraId="477201BD" w14:textId="77777777">
            <w:pPr>
              <w:spacing w:after="0" w:line="240" w:lineRule="auto"/>
              <w:rPr>
                <w:rFonts w:cs="Times New Roman"/>
                <w:szCs w:val="24"/>
              </w:rPr>
            </w:pPr>
            <w:r w:rsidRPr="003D63B1">
              <w:rPr>
                <w:rFonts w:cs="Times New Roman"/>
                <w:szCs w:val="24"/>
              </w:rPr>
              <w:t>In the Matter of the Application of The Dayton Power and Light Company for Approval of Revised Tariffs.</w:t>
            </w:r>
          </w:p>
          <w:p w:rsidR="002B4F91" w:rsidRPr="003D63B1" w14:paraId="7BB99449" w14:textId="77777777">
            <w:pPr>
              <w:spacing w:after="0" w:line="240" w:lineRule="auto"/>
              <w:rPr>
                <w:rFonts w:cs="Times New Roman"/>
                <w:szCs w:val="24"/>
              </w:rPr>
            </w:pPr>
          </w:p>
          <w:p w:rsidR="002B4F91" w:rsidRPr="003D63B1" w14:paraId="197AB28D" w14:textId="77777777">
            <w:pPr>
              <w:spacing w:after="0" w:line="240" w:lineRule="auto"/>
              <w:rPr>
                <w:rFonts w:cs="Times New Roman"/>
                <w:szCs w:val="24"/>
              </w:rPr>
            </w:pPr>
            <w:r w:rsidRPr="003D63B1">
              <w:rPr>
                <w:rFonts w:cs="Times New Roman"/>
                <w:szCs w:val="24"/>
              </w:rPr>
              <w:t>In the Matter of the Application of The Dayton Power and Light Company for Approval of Certain Accounting Authority Pursuant to Ohio Rev. Code Section 4905.13.</w:t>
            </w:r>
          </w:p>
          <w:p w:rsidR="002B4F91" w:rsidRPr="003D63B1" w14:paraId="132092C8" w14:textId="77777777">
            <w:pPr>
              <w:spacing w:after="0" w:line="240" w:lineRule="auto"/>
              <w:rPr>
                <w:rFonts w:cs="Times New Roman"/>
                <w:szCs w:val="24"/>
              </w:rPr>
            </w:pPr>
          </w:p>
          <w:p w:rsidR="002B4F91" w:rsidRPr="003D63B1" w14:paraId="63ABC80A" w14:textId="77777777">
            <w:pPr>
              <w:spacing w:after="0" w:line="240" w:lineRule="auto"/>
              <w:rPr>
                <w:rFonts w:cs="Times New Roman"/>
                <w:szCs w:val="24"/>
              </w:rPr>
            </w:pPr>
            <w:r w:rsidRPr="003D63B1">
              <w:rPr>
                <w:rFonts w:cs="Times New Roman"/>
                <w:szCs w:val="24"/>
              </w:rPr>
              <w:t>In the Matter of the Application of The Dayton Power and Light Company for Approval of its Amended Corporate Separation Plan.</w:t>
            </w:r>
          </w:p>
        </w:tc>
        <w:tc>
          <w:tcPr>
            <w:tcW w:w="360" w:type="dxa"/>
          </w:tcPr>
          <w:p w:rsidR="002B4F91" w:rsidRPr="003D63B1" w14:paraId="5026091D" w14:textId="77777777">
            <w:pPr>
              <w:spacing w:after="0" w:line="240" w:lineRule="auto"/>
              <w:rPr>
                <w:rFonts w:cs="Times New Roman"/>
                <w:szCs w:val="24"/>
              </w:rPr>
            </w:pPr>
            <w:r w:rsidRPr="003D63B1">
              <w:rPr>
                <w:rFonts w:cs="Times New Roman"/>
                <w:szCs w:val="24"/>
              </w:rPr>
              <w:t>)</w:t>
            </w:r>
          </w:p>
          <w:p w:rsidR="002B4F91" w:rsidRPr="003D63B1" w14:paraId="5E388370" w14:textId="77777777">
            <w:pPr>
              <w:spacing w:after="0" w:line="240" w:lineRule="auto"/>
              <w:rPr>
                <w:rFonts w:cs="Times New Roman"/>
                <w:szCs w:val="24"/>
              </w:rPr>
            </w:pPr>
            <w:r w:rsidRPr="003D63B1">
              <w:rPr>
                <w:rFonts w:cs="Times New Roman"/>
                <w:szCs w:val="24"/>
              </w:rPr>
              <w:t>)</w:t>
            </w:r>
          </w:p>
          <w:p w:rsidR="002B4F91" w:rsidRPr="003D63B1" w14:paraId="39173ABA" w14:textId="77777777">
            <w:pPr>
              <w:spacing w:after="0" w:line="240" w:lineRule="auto"/>
              <w:rPr>
                <w:rFonts w:cs="Times New Roman"/>
                <w:szCs w:val="24"/>
              </w:rPr>
            </w:pPr>
            <w:r w:rsidRPr="003D63B1">
              <w:rPr>
                <w:rFonts w:cs="Times New Roman"/>
                <w:szCs w:val="24"/>
              </w:rPr>
              <w:t>)</w:t>
            </w:r>
          </w:p>
          <w:p w:rsidR="002B4F91" w:rsidRPr="003D63B1" w14:paraId="4B34BFA5" w14:textId="77777777">
            <w:pPr>
              <w:spacing w:after="0" w:line="240" w:lineRule="auto"/>
              <w:rPr>
                <w:rFonts w:cs="Times New Roman"/>
                <w:szCs w:val="24"/>
              </w:rPr>
            </w:pPr>
          </w:p>
          <w:p w:rsidR="002B4F91" w:rsidRPr="003D63B1" w14:paraId="41A9011F" w14:textId="77777777">
            <w:pPr>
              <w:spacing w:after="0" w:line="240" w:lineRule="auto"/>
              <w:rPr>
                <w:rFonts w:cs="Times New Roman"/>
                <w:szCs w:val="24"/>
              </w:rPr>
            </w:pPr>
            <w:r w:rsidRPr="003D63B1">
              <w:rPr>
                <w:rFonts w:cs="Times New Roman"/>
                <w:szCs w:val="24"/>
              </w:rPr>
              <w:t>)</w:t>
            </w:r>
          </w:p>
          <w:p w:rsidR="002B4F91" w:rsidRPr="003D63B1" w14:paraId="0B9CD67C" w14:textId="77777777">
            <w:pPr>
              <w:spacing w:after="0" w:line="240" w:lineRule="auto"/>
              <w:rPr>
                <w:rFonts w:cs="Times New Roman"/>
                <w:szCs w:val="24"/>
              </w:rPr>
            </w:pPr>
            <w:r w:rsidRPr="003D63B1">
              <w:rPr>
                <w:rFonts w:cs="Times New Roman"/>
                <w:szCs w:val="24"/>
              </w:rPr>
              <w:t>)</w:t>
            </w:r>
          </w:p>
          <w:p w:rsidR="002B4F91" w:rsidRPr="003D63B1" w14:paraId="1ADD0CD2" w14:textId="77777777">
            <w:pPr>
              <w:spacing w:after="0" w:line="240" w:lineRule="auto"/>
              <w:rPr>
                <w:rFonts w:cs="Times New Roman"/>
                <w:szCs w:val="24"/>
              </w:rPr>
            </w:pPr>
            <w:r w:rsidRPr="003D63B1">
              <w:rPr>
                <w:rFonts w:cs="Times New Roman"/>
                <w:szCs w:val="24"/>
              </w:rPr>
              <w:t>)</w:t>
            </w:r>
          </w:p>
          <w:p w:rsidR="002B4F91" w:rsidRPr="003D63B1" w14:paraId="2D41897D" w14:textId="77777777">
            <w:pPr>
              <w:spacing w:after="0" w:line="240" w:lineRule="auto"/>
              <w:rPr>
                <w:rFonts w:cs="Times New Roman"/>
                <w:szCs w:val="24"/>
              </w:rPr>
            </w:pPr>
          </w:p>
          <w:p w:rsidR="002B4F91" w:rsidRPr="003D63B1" w14:paraId="464458E7" w14:textId="77777777">
            <w:pPr>
              <w:spacing w:after="0" w:line="240" w:lineRule="auto"/>
              <w:rPr>
                <w:rFonts w:cs="Times New Roman"/>
                <w:szCs w:val="24"/>
              </w:rPr>
            </w:pPr>
            <w:r w:rsidRPr="003D63B1">
              <w:rPr>
                <w:rFonts w:cs="Times New Roman"/>
                <w:szCs w:val="24"/>
              </w:rPr>
              <w:t>)</w:t>
            </w:r>
          </w:p>
          <w:p w:rsidR="002B4F91" w:rsidRPr="003D63B1" w14:paraId="47135D40" w14:textId="77777777">
            <w:pPr>
              <w:spacing w:after="0" w:line="240" w:lineRule="auto"/>
              <w:rPr>
                <w:rFonts w:cs="Times New Roman"/>
                <w:szCs w:val="24"/>
              </w:rPr>
            </w:pPr>
            <w:r w:rsidRPr="003D63B1">
              <w:rPr>
                <w:rFonts w:cs="Times New Roman"/>
                <w:szCs w:val="24"/>
              </w:rPr>
              <w:t>)</w:t>
            </w:r>
          </w:p>
          <w:p w:rsidR="002B4F91" w:rsidRPr="003D63B1" w14:paraId="4CED3717" w14:textId="77777777">
            <w:pPr>
              <w:spacing w:after="0" w:line="240" w:lineRule="auto"/>
              <w:rPr>
                <w:rFonts w:cs="Times New Roman"/>
                <w:szCs w:val="24"/>
              </w:rPr>
            </w:pPr>
            <w:r w:rsidRPr="003D63B1">
              <w:rPr>
                <w:rFonts w:cs="Times New Roman"/>
                <w:szCs w:val="24"/>
              </w:rPr>
              <w:t>)</w:t>
            </w:r>
          </w:p>
          <w:p w:rsidR="002B4F91" w:rsidRPr="003D63B1" w14:paraId="43675B33" w14:textId="77777777">
            <w:pPr>
              <w:spacing w:after="0" w:line="240" w:lineRule="auto"/>
              <w:rPr>
                <w:rFonts w:cs="Times New Roman"/>
                <w:szCs w:val="24"/>
              </w:rPr>
            </w:pPr>
            <w:r w:rsidRPr="003D63B1">
              <w:rPr>
                <w:rFonts w:cs="Times New Roman"/>
                <w:szCs w:val="24"/>
              </w:rPr>
              <w:t>)</w:t>
            </w:r>
          </w:p>
          <w:p w:rsidR="002B4F91" w:rsidRPr="003D63B1" w14:paraId="6F22984E" w14:textId="77777777">
            <w:pPr>
              <w:spacing w:after="0" w:line="240" w:lineRule="auto"/>
              <w:rPr>
                <w:rFonts w:cs="Times New Roman"/>
                <w:szCs w:val="24"/>
              </w:rPr>
            </w:pPr>
            <w:r w:rsidRPr="003D63B1">
              <w:rPr>
                <w:rFonts w:cs="Times New Roman"/>
                <w:szCs w:val="24"/>
              </w:rPr>
              <w:t>)</w:t>
            </w:r>
          </w:p>
          <w:p w:rsidR="002B4F91" w:rsidRPr="003D63B1" w14:paraId="1D39CDF1" w14:textId="77777777">
            <w:pPr>
              <w:spacing w:after="0" w:line="240" w:lineRule="auto"/>
              <w:rPr>
                <w:rFonts w:cs="Times New Roman"/>
                <w:szCs w:val="24"/>
              </w:rPr>
            </w:pPr>
          </w:p>
          <w:p w:rsidR="002B4F91" w:rsidRPr="003D63B1" w14:paraId="4D9E55B7" w14:textId="77777777">
            <w:pPr>
              <w:spacing w:after="0" w:line="240" w:lineRule="auto"/>
              <w:rPr>
                <w:rFonts w:cs="Times New Roman"/>
                <w:szCs w:val="24"/>
              </w:rPr>
            </w:pPr>
            <w:r w:rsidRPr="003D63B1">
              <w:rPr>
                <w:rFonts w:cs="Times New Roman"/>
                <w:szCs w:val="24"/>
              </w:rPr>
              <w:t>)</w:t>
            </w:r>
          </w:p>
          <w:p w:rsidR="002B4F91" w:rsidRPr="003D63B1" w14:paraId="4E4B2C0A" w14:textId="77777777">
            <w:pPr>
              <w:spacing w:after="0" w:line="240" w:lineRule="auto"/>
              <w:rPr>
                <w:rFonts w:cs="Times New Roman"/>
                <w:szCs w:val="24"/>
              </w:rPr>
            </w:pPr>
            <w:r w:rsidRPr="003D63B1">
              <w:rPr>
                <w:rFonts w:cs="Times New Roman"/>
                <w:szCs w:val="24"/>
              </w:rPr>
              <w:t>)</w:t>
            </w:r>
          </w:p>
          <w:p w:rsidR="002B4F91" w:rsidRPr="003D63B1" w14:paraId="34E55E50" w14:textId="77777777">
            <w:pPr>
              <w:spacing w:after="0" w:line="240" w:lineRule="auto"/>
              <w:rPr>
                <w:rFonts w:cs="Times New Roman"/>
                <w:szCs w:val="24"/>
              </w:rPr>
            </w:pPr>
            <w:r w:rsidRPr="003D63B1">
              <w:rPr>
                <w:rFonts w:cs="Times New Roman"/>
                <w:szCs w:val="24"/>
              </w:rPr>
              <w:t>)</w:t>
            </w:r>
          </w:p>
          <w:p w:rsidR="002B4F91" w:rsidRPr="003D63B1" w14:paraId="5E60055E" w14:textId="77777777">
            <w:pPr>
              <w:spacing w:after="0" w:line="240" w:lineRule="auto"/>
              <w:rPr>
                <w:rFonts w:cs="Times New Roman"/>
                <w:szCs w:val="24"/>
              </w:rPr>
            </w:pPr>
            <w:r w:rsidRPr="003D63B1">
              <w:rPr>
                <w:rFonts w:cs="Times New Roman"/>
                <w:szCs w:val="24"/>
              </w:rPr>
              <w:t>)</w:t>
            </w:r>
          </w:p>
        </w:tc>
        <w:tc>
          <w:tcPr>
            <w:tcW w:w="4248" w:type="dxa"/>
          </w:tcPr>
          <w:p w:rsidR="002B4F91" w:rsidRPr="003D63B1" w14:paraId="24BACCFA" w14:textId="77777777">
            <w:pPr>
              <w:spacing w:after="0" w:line="240" w:lineRule="auto"/>
              <w:rPr>
                <w:rFonts w:cs="Times New Roman"/>
                <w:szCs w:val="24"/>
              </w:rPr>
            </w:pPr>
          </w:p>
          <w:p w:rsidR="002B4F91" w:rsidRPr="003D63B1" w14:paraId="2D5666E4" w14:textId="77777777">
            <w:pPr>
              <w:spacing w:after="0" w:line="240" w:lineRule="auto"/>
              <w:rPr>
                <w:rFonts w:cs="Times New Roman"/>
                <w:szCs w:val="24"/>
              </w:rPr>
            </w:pPr>
            <w:r w:rsidRPr="003D63B1">
              <w:rPr>
                <w:rFonts w:cs="Times New Roman"/>
                <w:szCs w:val="24"/>
              </w:rPr>
              <w:t>Case No. 08-1094-EL-SSO</w:t>
            </w:r>
          </w:p>
          <w:p w:rsidR="002B4F91" w:rsidRPr="003D63B1" w14:paraId="66B60B06" w14:textId="77777777">
            <w:pPr>
              <w:spacing w:after="0" w:line="240" w:lineRule="auto"/>
              <w:rPr>
                <w:rFonts w:cs="Times New Roman"/>
                <w:szCs w:val="24"/>
              </w:rPr>
            </w:pPr>
          </w:p>
          <w:p w:rsidR="002B4F91" w:rsidRPr="003D63B1" w14:paraId="70D1C8FB" w14:textId="77777777">
            <w:pPr>
              <w:spacing w:after="0" w:line="240" w:lineRule="auto"/>
              <w:rPr>
                <w:rFonts w:cs="Times New Roman"/>
                <w:szCs w:val="24"/>
              </w:rPr>
            </w:pPr>
          </w:p>
          <w:p w:rsidR="002B4F91" w:rsidRPr="003D63B1" w14:paraId="3B18434A" w14:textId="77777777">
            <w:pPr>
              <w:spacing w:after="0" w:line="240" w:lineRule="auto"/>
              <w:rPr>
                <w:rFonts w:cs="Times New Roman"/>
                <w:szCs w:val="24"/>
              </w:rPr>
            </w:pPr>
          </w:p>
          <w:p w:rsidR="002B4F91" w:rsidRPr="003D63B1" w14:paraId="2CDA3C56" w14:textId="77777777">
            <w:pPr>
              <w:spacing w:after="0" w:line="240" w:lineRule="auto"/>
              <w:rPr>
                <w:rFonts w:cs="Times New Roman"/>
                <w:szCs w:val="24"/>
              </w:rPr>
            </w:pPr>
            <w:r w:rsidRPr="003D63B1">
              <w:rPr>
                <w:rFonts w:cs="Times New Roman"/>
                <w:szCs w:val="24"/>
              </w:rPr>
              <w:t>Case No. 08-1095-EL-ATA</w:t>
            </w:r>
          </w:p>
          <w:p w:rsidR="002B4F91" w:rsidRPr="003D63B1" w14:paraId="4B496989" w14:textId="77777777">
            <w:pPr>
              <w:spacing w:after="0" w:line="240" w:lineRule="auto"/>
              <w:rPr>
                <w:rFonts w:cs="Times New Roman"/>
                <w:szCs w:val="24"/>
              </w:rPr>
            </w:pPr>
          </w:p>
          <w:p w:rsidR="002B4F91" w:rsidRPr="003D63B1" w14:paraId="5A6292BF" w14:textId="77777777">
            <w:pPr>
              <w:spacing w:after="0" w:line="240" w:lineRule="auto"/>
              <w:rPr>
                <w:rFonts w:cs="Times New Roman"/>
                <w:szCs w:val="24"/>
              </w:rPr>
            </w:pPr>
          </w:p>
          <w:p w:rsidR="002B4F91" w:rsidRPr="003D63B1" w14:paraId="12A48B65" w14:textId="77777777">
            <w:pPr>
              <w:spacing w:after="0" w:line="240" w:lineRule="auto"/>
              <w:rPr>
                <w:rFonts w:cs="Times New Roman"/>
                <w:szCs w:val="24"/>
              </w:rPr>
            </w:pPr>
          </w:p>
          <w:p w:rsidR="002B4F91" w:rsidRPr="003D63B1" w14:paraId="4D846BA5" w14:textId="77777777">
            <w:pPr>
              <w:spacing w:after="0" w:line="240" w:lineRule="auto"/>
              <w:rPr>
                <w:rFonts w:cs="Times New Roman"/>
                <w:szCs w:val="24"/>
              </w:rPr>
            </w:pPr>
          </w:p>
          <w:p w:rsidR="002B4F91" w:rsidRPr="003D63B1" w14:paraId="6C227D7E" w14:textId="77777777">
            <w:pPr>
              <w:spacing w:after="0" w:line="240" w:lineRule="auto"/>
              <w:rPr>
                <w:rFonts w:cs="Times New Roman"/>
                <w:szCs w:val="24"/>
              </w:rPr>
            </w:pPr>
            <w:r w:rsidRPr="003D63B1">
              <w:rPr>
                <w:rFonts w:cs="Times New Roman"/>
                <w:szCs w:val="24"/>
              </w:rPr>
              <w:t>Case No. 08-1096-EL-AAM</w:t>
            </w:r>
          </w:p>
          <w:p w:rsidR="002B4F91" w:rsidRPr="003D63B1" w14:paraId="023541D7" w14:textId="77777777">
            <w:pPr>
              <w:spacing w:after="0" w:line="240" w:lineRule="auto"/>
              <w:rPr>
                <w:rFonts w:cs="Times New Roman"/>
                <w:szCs w:val="24"/>
              </w:rPr>
            </w:pPr>
          </w:p>
          <w:p w:rsidR="002B4F91" w:rsidRPr="003D63B1" w14:paraId="502B7A58" w14:textId="77777777">
            <w:pPr>
              <w:spacing w:after="0" w:line="240" w:lineRule="auto"/>
              <w:rPr>
                <w:rFonts w:cs="Times New Roman"/>
                <w:szCs w:val="24"/>
              </w:rPr>
            </w:pPr>
          </w:p>
          <w:p w:rsidR="002B4F91" w:rsidRPr="003D63B1" w14:paraId="2F016660" w14:textId="77777777">
            <w:pPr>
              <w:spacing w:after="0" w:line="240" w:lineRule="auto"/>
              <w:rPr>
                <w:rFonts w:cs="Times New Roman"/>
                <w:szCs w:val="24"/>
              </w:rPr>
            </w:pPr>
          </w:p>
          <w:p w:rsidR="002B4F91" w:rsidRPr="003D63B1" w14:paraId="63C14AA3" w14:textId="77777777">
            <w:pPr>
              <w:spacing w:after="0" w:line="240" w:lineRule="auto"/>
              <w:rPr>
                <w:rFonts w:cs="Times New Roman"/>
                <w:szCs w:val="24"/>
              </w:rPr>
            </w:pPr>
          </w:p>
          <w:p w:rsidR="002B4F91" w:rsidRPr="003D63B1" w14:paraId="09594049" w14:textId="77777777">
            <w:pPr>
              <w:spacing w:after="0" w:line="240" w:lineRule="auto"/>
              <w:rPr>
                <w:rFonts w:cs="Times New Roman"/>
                <w:szCs w:val="24"/>
              </w:rPr>
            </w:pPr>
            <w:r w:rsidRPr="003D63B1">
              <w:rPr>
                <w:rFonts w:cs="Times New Roman"/>
                <w:szCs w:val="24"/>
              </w:rPr>
              <w:t>Case No. 08-1097-EL-UNC</w:t>
            </w:r>
          </w:p>
          <w:p w:rsidR="002B4F91" w:rsidRPr="003D63B1" w14:paraId="4003E7AB" w14:textId="77777777">
            <w:pPr>
              <w:spacing w:after="0" w:line="240" w:lineRule="auto"/>
              <w:rPr>
                <w:rFonts w:cs="Times New Roman"/>
                <w:szCs w:val="24"/>
              </w:rPr>
            </w:pPr>
          </w:p>
          <w:p w:rsidR="002B4F91" w:rsidRPr="003D63B1" w14:paraId="70DB58F8" w14:textId="77777777">
            <w:pPr>
              <w:spacing w:after="0" w:line="240" w:lineRule="auto"/>
              <w:rPr>
                <w:rFonts w:cs="Times New Roman"/>
                <w:szCs w:val="24"/>
              </w:rPr>
            </w:pPr>
          </w:p>
        </w:tc>
      </w:tr>
    </w:tbl>
    <w:p w:rsidR="002B4F91" w:rsidRPr="003D63B1" w14:paraId="212841AB" w14:textId="77777777">
      <w:pPr>
        <w:pStyle w:val="HTMLPreformatted"/>
        <w:pBdr>
          <w:bottom w:val="single" w:sz="12" w:space="1" w:color="auto"/>
        </w:pBdr>
        <w:contextualSpacing/>
        <w:rPr>
          <w:rFonts w:ascii="Times New Roman" w:hAnsi="Times New Roman" w:cs="Times New Roman"/>
          <w:sz w:val="24"/>
          <w:szCs w:val="24"/>
        </w:rPr>
      </w:pPr>
      <w:r w:rsidRPr="003D63B1">
        <w:rPr>
          <w:rFonts w:ascii="Times New Roman" w:hAnsi="Times New Roman" w:cs="Times New Roman"/>
          <w:sz w:val="24"/>
          <w:szCs w:val="24"/>
        </w:rPr>
        <w:tab/>
      </w:r>
      <w:r w:rsidRPr="003D63B1">
        <w:rPr>
          <w:rFonts w:ascii="Times New Roman" w:hAnsi="Times New Roman" w:cs="Times New Roman"/>
          <w:sz w:val="24"/>
          <w:szCs w:val="24"/>
        </w:rPr>
        <w:tab/>
      </w:r>
    </w:p>
    <w:p w:rsidR="002B4F91" w:rsidRPr="003D63B1" w14:paraId="206C03B5" w14:textId="77777777">
      <w:pPr>
        <w:spacing w:after="0" w:line="240" w:lineRule="auto"/>
        <w:contextualSpacing/>
        <w:jc w:val="center"/>
        <w:rPr>
          <w:rFonts w:cs="Times New Roman"/>
          <w:b/>
          <w:szCs w:val="24"/>
        </w:rPr>
      </w:pPr>
    </w:p>
    <w:p w:rsidR="002B4F91" w:rsidRPr="003D63B1" w14:paraId="6AD6EE46" w14:textId="77777777">
      <w:pPr>
        <w:spacing w:after="0" w:line="240" w:lineRule="auto"/>
        <w:contextualSpacing/>
        <w:jc w:val="center"/>
        <w:rPr>
          <w:rFonts w:cs="Times New Roman"/>
          <w:b/>
          <w:szCs w:val="24"/>
        </w:rPr>
      </w:pPr>
      <w:r w:rsidRPr="003D63B1">
        <w:rPr>
          <w:rFonts w:cs="Times New Roman"/>
          <w:b/>
          <w:szCs w:val="24"/>
        </w:rPr>
        <w:t xml:space="preserve">APPLICATION FOR REHEARING </w:t>
      </w:r>
    </w:p>
    <w:p w:rsidR="002B4F91" w:rsidRPr="003D63B1" w14:paraId="527FE41F" w14:textId="77777777">
      <w:pPr>
        <w:spacing w:after="0" w:line="240" w:lineRule="auto"/>
        <w:contextualSpacing/>
        <w:jc w:val="center"/>
        <w:rPr>
          <w:rFonts w:cs="Times New Roman"/>
          <w:b/>
          <w:szCs w:val="24"/>
        </w:rPr>
      </w:pPr>
      <w:r w:rsidRPr="003D63B1">
        <w:rPr>
          <w:rFonts w:cs="Times New Roman"/>
          <w:b/>
          <w:szCs w:val="24"/>
        </w:rPr>
        <w:t>BY</w:t>
      </w:r>
    </w:p>
    <w:p w:rsidR="002B4F91" w:rsidRPr="003D63B1" w14:paraId="0F5F5A4C" w14:textId="77777777">
      <w:pPr>
        <w:pBdr>
          <w:bottom w:val="single" w:sz="12" w:space="1" w:color="auto"/>
        </w:pBdr>
        <w:spacing w:after="0" w:line="240" w:lineRule="auto"/>
        <w:contextualSpacing/>
        <w:jc w:val="center"/>
        <w:rPr>
          <w:rFonts w:cs="Times New Roman"/>
          <w:b/>
          <w:szCs w:val="24"/>
        </w:rPr>
      </w:pPr>
      <w:r w:rsidRPr="003D63B1">
        <w:rPr>
          <w:rFonts w:cs="Times New Roman"/>
          <w:b/>
          <w:szCs w:val="24"/>
        </w:rPr>
        <w:t>OFFICE OF THE OHIO CONSUMERS’ COUNSEL</w:t>
      </w:r>
    </w:p>
    <w:p w:rsidR="002B4F91" w:rsidRPr="003D63B1" w14:paraId="5817D1B3" w14:textId="77777777">
      <w:pPr>
        <w:pBdr>
          <w:bottom w:val="single" w:sz="12" w:space="1" w:color="auto"/>
        </w:pBdr>
        <w:spacing w:line="240" w:lineRule="auto"/>
        <w:contextualSpacing/>
        <w:jc w:val="center"/>
        <w:rPr>
          <w:rFonts w:cs="Times New Roman"/>
          <w:b/>
          <w:szCs w:val="24"/>
        </w:rPr>
      </w:pPr>
    </w:p>
    <w:p w:rsidR="002B4F91" w:rsidRPr="003D63B1" w14:paraId="24D4B3CB" w14:textId="77777777">
      <w:pPr>
        <w:spacing w:after="0" w:line="240" w:lineRule="auto"/>
        <w:ind w:firstLine="720"/>
        <w:rPr>
          <w:rFonts w:cs="Times New Roman"/>
          <w:szCs w:val="24"/>
        </w:rPr>
      </w:pPr>
    </w:p>
    <w:p w:rsidR="002B4F91" w:rsidRPr="003D63B1" w:rsidP="00FD7551" w14:paraId="0F023E94" w14:textId="77777777">
      <w:pPr>
        <w:tabs>
          <w:tab w:val="left" w:pos="4320"/>
        </w:tabs>
        <w:spacing w:after="0" w:line="240" w:lineRule="auto"/>
        <w:ind w:left="4320"/>
        <w:rPr>
          <w:rFonts w:cs="Times New Roman"/>
          <w:szCs w:val="24"/>
        </w:rPr>
      </w:pPr>
      <w:r w:rsidRPr="003D63B1">
        <w:rPr>
          <w:rFonts w:cs="Times New Roman"/>
          <w:szCs w:val="24"/>
        </w:rPr>
        <w:t>Bruce Weston (0016973)</w:t>
      </w:r>
    </w:p>
    <w:p w:rsidR="002B4F91" w:rsidRPr="003D63B1" w:rsidP="00FD7551" w14:paraId="64276059" w14:textId="77777777">
      <w:pPr>
        <w:tabs>
          <w:tab w:val="left" w:pos="4320"/>
        </w:tabs>
        <w:spacing w:after="0" w:line="240" w:lineRule="auto"/>
        <w:ind w:left="4320"/>
        <w:rPr>
          <w:rFonts w:cs="Times New Roman"/>
          <w:szCs w:val="24"/>
        </w:rPr>
      </w:pPr>
      <w:r w:rsidRPr="003D63B1">
        <w:rPr>
          <w:rFonts w:cs="Times New Roman"/>
          <w:szCs w:val="24"/>
        </w:rPr>
        <w:t>Ohio Consumers’ Counsel</w:t>
      </w:r>
    </w:p>
    <w:p w:rsidR="002B4F91" w:rsidRPr="003D63B1" w:rsidP="00FD7551" w14:paraId="55A81318" w14:textId="77777777">
      <w:pPr>
        <w:tabs>
          <w:tab w:val="left" w:pos="4320"/>
        </w:tabs>
        <w:spacing w:after="0" w:line="240" w:lineRule="auto"/>
        <w:ind w:left="4320"/>
        <w:rPr>
          <w:rFonts w:cs="Times New Roman"/>
          <w:szCs w:val="24"/>
        </w:rPr>
      </w:pPr>
    </w:p>
    <w:p w:rsidR="002B4F91" w:rsidRPr="003D63B1" w:rsidP="00FD7551" w14:paraId="2BF1549D" w14:textId="77777777">
      <w:pPr>
        <w:tabs>
          <w:tab w:val="left" w:pos="4320"/>
        </w:tabs>
        <w:spacing w:after="0" w:line="240" w:lineRule="auto"/>
        <w:ind w:left="4320" w:right="-180"/>
        <w:rPr>
          <w:rFonts w:cs="Times New Roman"/>
          <w:szCs w:val="24"/>
        </w:rPr>
      </w:pPr>
      <w:r w:rsidRPr="003D63B1">
        <w:rPr>
          <w:rFonts w:cs="Times New Roman"/>
          <w:szCs w:val="24"/>
        </w:rPr>
        <w:t>Maureen R. Willis (0020847)</w:t>
      </w:r>
    </w:p>
    <w:p w:rsidR="00553CCF" w:rsidRPr="003D63B1" w:rsidP="00FD7551" w14:paraId="7B2CBD73" w14:textId="77777777">
      <w:pPr>
        <w:tabs>
          <w:tab w:val="left" w:pos="4320"/>
        </w:tabs>
        <w:spacing w:after="0" w:line="240" w:lineRule="auto"/>
        <w:ind w:left="4320" w:right="-180"/>
        <w:rPr>
          <w:rFonts w:cs="Times New Roman"/>
          <w:szCs w:val="24"/>
        </w:rPr>
      </w:pPr>
      <w:r w:rsidRPr="003D63B1">
        <w:rPr>
          <w:rFonts w:cs="Times New Roman"/>
          <w:szCs w:val="24"/>
        </w:rPr>
        <w:t>Senior Counsel</w:t>
      </w:r>
    </w:p>
    <w:p w:rsidR="002B4F91" w:rsidRPr="003D63B1" w:rsidP="00FD7551" w14:paraId="6447DD28" w14:textId="7E6EC948">
      <w:pPr>
        <w:tabs>
          <w:tab w:val="left" w:pos="4320"/>
        </w:tabs>
        <w:spacing w:after="0" w:line="240" w:lineRule="auto"/>
        <w:ind w:left="4320" w:right="-180"/>
        <w:rPr>
          <w:rFonts w:cs="Times New Roman"/>
          <w:szCs w:val="24"/>
        </w:rPr>
      </w:pPr>
      <w:r w:rsidRPr="003D63B1">
        <w:rPr>
          <w:rFonts w:cs="Times New Roman"/>
          <w:szCs w:val="24"/>
        </w:rPr>
        <w:t>Counsel of Record</w:t>
      </w:r>
    </w:p>
    <w:p w:rsidR="002B4F91" w:rsidRPr="003D63B1" w:rsidP="00FD7551" w14:paraId="33FC245E" w14:textId="77777777">
      <w:pPr>
        <w:tabs>
          <w:tab w:val="left" w:pos="4320"/>
        </w:tabs>
        <w:spacing w:after="0" w:line="240" w:lineRule="auto"/>
        <w:ind w:left="4320" w:right="-180"/>
        <w:rPr>
          <w:rFonts w:cs="Times New Roman"/>
          <w:szCs w:val="24"/>
        </w:rPr>
      </w:pPr>
      <w:r w:rsidRPr="003D63B1">
        <w:rPr>
          <w:rFonts w:cs="Times New Roman"/>
          <w:szCs w:val="24"/>
        </w:rPr>
        <w:t>William J. Michael (0070921)</w:t>
      </w:r>
    </w:p>
    <w:p w:rsidR="002B4F91" w:rsidRPr="003D63B1" w:rsidP="00FD7551" w14:paraId="6B0C0602" w14:textId="77777777">
      <w:pPr>
        <w:spacing w:after="0" w:line="240" w:lineRule="auto"/>
        <w:ind w:left="3600" w:firstLine="720"/>
        <w:rPr>
          <w:rFonts w:cs="Times New Roman"/>
          <w:szCs w:val="24"/>
        </w:rPr>
      </w:pPr>
      <w:r w:rsidRPr="003D63B1">
        <w:rPr>
          <w:rFonts w:cs="Times New Roman"/>
          <w:szCs w:val="24"/>
        </w:rPr>
        <w:t xml:space="preserve">Assistant Consumers’ Counsel </w:t>
      </w:r>
    </w:p>
    <w:p w:rsidR="002B4F91" w:rsidRPr="003D63B1" w:rsidP="00FD7551" w14:paraId="474F6F17" w14:textId="77777777">
      <w:pPr>
        <w:spacing w:after="0" w:line="240" w:lineRule="auto"/>
        <w:ind w:left="3600" w:firstLine="720"/>
        <w:rPr>
          <w:rFonts w:cs="Times New Roman"/>
          <w:szCs w:val="24"/>
        </w:rPr>
      </w:pPr>
    </w:p>
    <w:p w:rsidR="002B4F91" w:rsidRPr="003D63B1" w:rsidP="00FD7551" w14:paraId="4D65A2A4" w14:textId="77777777">
      <w:pPr>
        <w:spacing w:after="0" w:line="240" w:lineRule="auto"/>
        <w:ind w:left="3600" w:firstLine="720"/>
        <w:rPr>
          <w:rFonts w:cs="Times New Roman"/>
          <w:b/>
          <w:bCs/>
          <w:szCs w:val="24"/>
        </w:rPr>
      </w:pPr>
      <w:r w:rsidRPr="003D63B1">
        <w:rPr>
          <w:rFonts w:cs="Times New Roman"/>
          <w:b/>
          <w:bCs/>
          <w:szCs w:val="24"/>
        </w:rPr>
        <w:t>Office of the Ohio Consumers’ Counsel</w:t>
      </w:r>
    </w:p>
    <w:p w:rsidR="002B4F91" w:rsidRPr="003D63B1" w:rsidP="00FD7551" w14:paraId="4F1D4CE3" w14:textId="77777777">
      <w:pPr>
        <w:pStyle w:val="PlainText"/>
        <w:ind w:left="3600" w:firstLine="720"/>
        <w:rPr>
          <w:rFonts w:ascii="Times New Roman" w:hAnsi="Times New Roman" w:cs="Times New Roman"/>
          <w:sz w:val="24"/>
          <w:szCs w:val="24"/>
        </w:rPr>
      </w:pPr>
      <w:r w:rsidRPr="003D63B1">
        <w:rPr>
          <w:rFonts w:ascii="Times New Roman" w:hAnsi="Times New Roman" w:cs="Times New Roman"/>
          <w:sz w:val="24"/>
          <w:szCs w:val="24"/>
        </w:rPr>
        <w:t>65 East State Street, Suite 700</w:t>
      </w:r>
    </w:p>
    <w:p w:rsidR="002B4F91" w:rsidRPr="003D63B1" w:rsidP="00FD7551" w14:paraId="321B7C1A" w14:textId="77777777">
      <w:pPr>
        <w:pStyle w:val="PlainText"/>
        <w:ind w:left="3600" w:firstLine="720"/>
        <w:rPr>
          <w:rFonts w:ascii="Times New Roman" w:hAnsi="Times New Roman" w:cs="Times New Roman"/>
          <w:sz w:val="24"/>
          <w:szCs w:val="24"/>
        </w:rPr>
      </w:pPr>
      <w:r w:rsidRPr="003D63B1">
        <w:rPr>
          <w:rFonts w:ascii="Times New Roman" w:hAnsi="Times New Roman" w:cs="Times New Roman"/>
          <w:sz w:val="24"/>
          <w:szCs w:val="24"/>
        </w:rPr>
        <w:t>Columbus, Ohio 43215</w:t>
      </w:r>
    </w:p>
    <w:p w:rsidR="002B4F91" w:rsidRPr="003D63B1" w:rsidP="00FD7551" w14:paraId="6374D0E7" w14:textId="77777777">
      <w:pPr>
        <w:adjustRightInd w:val="0"/>
        <w:spacing w:after="0" w:line="240" w:lineRule="auto"/>
        <w:ind w:left="4320"/>
        <w:rPr>
          <w:rFonts w:cs="Times New Roman"/>
          <w:szCs w:val="24"/>
        </w:rPr>
      </w:pPr>
      <w:r w:rsidRPr="003D63B1">
        <w:rPr>
          <w:rFonts w:cs="Times New Roman"/>
          <w:szCs w:val="24"/>
        </w:rPr>
        <w:t>Telephone: Willis (614) 466-9567</w:t>
      </w:r>
    </w:p>
    <w:p w:rsidR="002B4F91" w:rsidRPr="003D63B1" w:rsidP="00FD7551" w14:paraId="137F177F" w14:textId="77777777">
      <w:pPr>
        <w:adjustRightInd w:val="0"/>
        <w:spacing w:after="0" w:line="240" w:lineRule="auto"/>
        <w:ind w:left="4320"/>
        <w:rPr>
          <w:rFonts w:cs="Times New Roman"/>
          <w:szCs w:val="24"/>
        </w:rPr>
      </w:pPr>
      <w:r w:rsidRPr="003D63B1">
        <w:rPr>
          <w:rFonts w:cs="Times New Roman"/>
          <w:szCs w:val="24"/>
        </w:rPr>
        <w:t>Telephone: Michael (614) 466-1291</w:t>
      </w:r>
    </w:p>
    <w:p w:rsidR="002B4F91" w:rsidRPr="003D63B1" w:rsidP="00FD7551" w14:paraId="0DB513FE" w14:textId="77777777">
      <w:pPr>
        <w:spacing w:after="0" w:line="240" w:lineRule="auto"/>
        <w:ind w:left="4320"/>
        <w:rPr>
          <w:rFonts w:cs="Times New Roman"/>
          <w:szCs w:val="24"/>
        </w:rPr>
      </w:pPr>
      <w:hyperlink r:id="rId6" w:history="1">
        <w:r w:rsidRPr="003D63B1" w:rsidR="00E66C7A">
          <w:rPr>
            <w:rStyle w:val="Hyperlink"/>
            <w:rFonts w:cs="Times New Roman"/>
            <w:szCs w:val="24"/>
          </w:rPr>
          <w:t>maureen.willis@occ.ohio.gov</w:t>
        </w:r>
      </w:hyperlink>
      <w:r w:rsidRPr="003D63B1" w:rsidR="00E66C7A">
        <w:rPr>
          <w:rFonts w:cs="Times New Roman"/>
          <w:szCs w:val="24"/>
        </w:rPr>
        <w:t xml:space="preserve"> </w:t>
      </w:r>
    </w:p>
    <w:p w:rsidR="002B4F91" w:rsidRPr="003D63B1" w:rsidP="00FD7551" w14:paraId="76CCBB3B" w14:textId="77777777">
      <w:pPr>
        <w:spacing w:after="0" w:line="240" w:lineRule="auto"/>
        <w:ind w:left="4320"/>
        <w:rPr>
          <w:rStyle w:val="Hyperlink"/>
          <w:rFonts w:cs="Times New Roman"/>
          <w:szCs w:val="24"/>
        </w:rPr>
      </w:pPr>
      <w:hyperlink r:id="rId7" w:history="1">
        <w:r w:rsidRPr="003D63B1" w:rsidR="00E66C7A">
          <w:rPr>
            <w:rStyle w:val="Hyperlink"/>
            <w:rFonts w:cs="Times New Roman"/>
            <w:szCs w:val="24"/>
          </w:rPr>
          <w:t>william.michael@occ.ohio.gov</w:t>
        </w:r>
      </w:hyperlink>
    </w:p>
    <w:p w:rsidR="002B4F91" w:rsidRPr="003D63B1" w:rsidP="00FD7551" w14:paraId="2737BCF9" w14:textId="7B5D3BBA">
      <w:pPr>
        <w:spacing w:after="0" w:line="240" w:lineRule="auto"/>
        <w:rPr>
          <w:rFonts w:cs="Times New Roman"/>
          <w:szCs w:val="24"/>
        </w:rPr>
      </w:pPr>
      <w:r>
        <w:rPr>
          <w:rFonts w:cs="Times New Roman"/>
          <w:szCs w:val="24"/>
        </w:rPr>
        <w:t>November</w:t>
      </w:r>
      <w:r w:rsidRPr="003D63B1" w:rsidR="004C4298">
        <w:rPr>
          <w:rFonts w:cs="Times New Roman"/>
          <w:szCs w:val="24"/>
        </w:rPr>
        <w:t xml:space="preserve"> </w:t>
      </w:r>
      <w:r>
        <w:rPr>
          <w:rFonts w:cs="Times New Roman"/>
          <w:szCs w:val="24"/>
        </w:rPr>
        <w:t>4</w:t>
      </w:r>
      <w:r w:rsidRPr="003D63B1" w:rsidR="004C4298">
        <w:rPr>
          <w:rFonts w:cs="Times New Roman"/>
          <w:szCs w:val="24"/>
        </w:rPr>
        <w:t>, 2022</w:t>
      </w:r>
      <w:r w:rsidRPr="003D63B1" w:rsidR="004C4298">
        <w:rPr>
          <w:rFonts w:cs="Times New Roman"/>
          <w:szCs w:val="24"/>
        </w:rPr>
        <w:tab/>
      </w:r>
      <w:r w:rsidRPr="003D63B1" w:rsidR="004C4298">
        <w:rPr>
          <w:rFonts w:cs="Times New Roman"/>
          <w:szCs w:val="24"/>
        </w:rPr>
        <w:tab/>
      </w:r>
      <w:r w:rsidRPr="003D63B1" w:rsidR="004C4298">
        <w:rPr>
          <w:rFonts w:cs="Times New Roman"/>
          <w:szCs w:val="24"/>
        </w:rPr>
        <w:tab/>
      </w:r>
      <w:r w:rsidRPr="003D63B1" w:rsidR="004C4298">
        <w:rPr>
          <w:rFonts w:cs="Times New Roman"/>
          <w:szCs w:val="24"/>
        </w:rPr>
        <w:tab/>
      </w:r>
      <w:r w:rsidR="00DB454D">
        <w:rPr>
          <w:rFonts w:cs="Times New Roman"/>
          <w:szCs w:val="24"/>
        </w:rPr>
        <w:t>“</w:t>
      </w:r>
      <w:r w:rsidRPr="003D63B1" w:rsidR="004C4298">
        <w:rPr>
          <w:rFonts w:cs="Times New Roman"/>
          <w:szCs w:val="24"/>
        </w:rPr>
        <w:t>(willing to accept service by e-mail)</w:t>
      </w:r>
    </w:p>
    <w:p w:rsidR="002B4F91" w:rsidRPr="003D63B1" w14:paraId="20595DB9" w14:textId="77777777">
      <w:pPr>
        <w:spacing w:after="0" w:line="240" w:lineRule="auto"/>
        <w:ind w:left="3600" w:firstLine="720"/>
        <w:rPr>
          <w:rFonts w:cs="Times New Roman"/>
          <w:szCs w:val="24"/>
        </w:rPr>
        <w:sectPr>
          <w:footerReference w:type="default" r:id="rId8"/>
          <w:pgSz w:w="12240" w:h="15840"/>
          <w:pgMar w:top="1440" w:right="1800" w:bottom="1440" w:left="1800" w:header="720" w:footer="720" w:gutter="0"/>
          <w:pgNumType w:fmt="lowerRoman" w:start="1"/>
          <w:cols w:space="720"/>
          <w:docGrid w:linePitch="360"/>
        </w:sectPr>
      </w:pPr>
    </w:p>
    <w:p w:rsidR="002B4F91" w:rsidRPr="003D63B1" w14:paraId="1F6D3DB4" w14:textId="77777777">
      <w:pPr>
        <w:spacing w:after="0" w:line="240" w:lineRule="auto"/>
        <w:jc w:val="center"/>
        <w:rPr>
          <w:rFonts w:cs="Times New Roman"/>
          <w:b/>
          <w:bCs/>
          <w:szCs w:val="24"/>
        </w:rPr>
      </w:pPr>
      <w:r w:rsidRPr="003D63B1">
        <w:rPr>
          <w:rFonts w:cs="Times New Roman"/>
          <w:b/>
          <w:bCs/>
          <w:szCs w:val="24"/>
        </w:rPr>
        <w:t>BEFORE</w:t>
      </w:r>
    </w:p>
    <w:p w:rsidR="002B4F91" w:rsidRPr="003D63B1" w14:paraId="3CE4DE69" w14:textId="77777777">
      <w:pPr>
        <w:pStyle w:val="HTMLPreformatted"/>
        <w:jc w:val="center"/>
        <w:rPr>
          <w:rFonts w:ascii="Times New Roman" w:hAnsi="Times New Roman" w:cs="Times New Roman"/>
          <w:b/>
          <w:bCs/>
          <w:sz w:val="24"/>
          <w:szCs w:val="24"/>
        </w:rPr>
      </w:pPr>
      <w:r w:rsidRPr="003D63B1">
        <w:rPr>
          <w:rFonts w:ascii="Times New Roman" w:hAnsi="Times New Roman" w:cs="Times New Roman"/>
          <w:b/>
          <w:bCs/>
          <w:sz w:val="24"/>
          <w:szCs w:val="24"/>
        </w:rPr>
        <w:t>THE PUBLIC UTILITIES COMMISSION OF OHIO</w:t>
      </w:r>
    </w:p>
    <w:p w:rsidR="002B4F91" w:rsidRPr="003D63B1" w14:paraId="33352894" w14:textId="77777777">
      <w:pPr>
        <w:pStyle w:val="HTMLPreformatted"/>
        <w:jc w:val="center"/>
        <w:rPr>
          <w:rFonts w:ascii="Times New Roman" w:hAnsi="Times New Roman" w:cs="Times New Roman"/>
          <w:b/>
          <w:bCs/>
          <w:sz w:val="24"/>
          <w:szCs w:val="24"/>
        </w:rPr>
      </w:pPr>
    </w:p>
    <w:tbl>
      <w:tblPr>
        <w:tblW w:w="8748" w:type="dxa"/>
        <w:tblLook w:val="01E0"/>
      </w:tblPr>
      <w:tblGrid>
        <w:gridCol w:w="4230"/>
        <w:gridCol w:w="450"/>
        <w:gridCol w:w="4068"/>
      </w:tblGrid>
      <w:tr w14:paraId="1B6BE539" w14:textId="77777777" w:rsidTr="000C698E">
        <w:tblPrEx>
          <w:tblW w:w="8748" w:type="dxa"/>
          <w:tblLook w:val="01E0"/>
        </w:tblPrEx>
        <w:trPr>
          <w:trHeight w:val="4932"/>
        </w:trPr>
        <w:tc>
          <w:tcPr>
            <w:tcW w:w="4230" w:type="dxa"/>
          </w:tcPr>
          <w:p w:rsidR="002B4F91" w:rsidRPr="003D63B1" w14:paraId="196285B7" w14:textId="77777777">
            <w:pPr>
              <w:spacing w:after="0" w:line="240" w:lineRule="auto"/>
              <w:rPr>
                <w:rFonts w:cs="Times New Roman"/>
                <w:szCs w:val="24"/>
              </w:rPr>
            </w:pPr>
            <w:r w:rsidRPr="003D63B1">
              <w:rPr>
                <w:rFonts w:cs="Times New Roman"/>
                <w:szCs w:val="24"/>
              </w:rPr>
              <w:t>In the Matter of the Application of The Dayton Power and Light Company for Approval of its Electric Security Plan.</w:t>
            </w:r>
          </w:p>
          <w:p w:rsidR="002B4F91" w:rsidRPr="003D63B1" w14:paraId="73B0900C" w14:textId="77777777">
            <w:pPr>
              <w:spacing w:after="0" w:line="240" w:lineRule="auto"/>
              <w:rPr>
                <w:rFonts w:cs="Times New Roman"/>
                <w:szCs w:val="24"/>
              </w:rPr>
            </w:pPr>
          </w:p>
          <w:p w:rsidR="002B4F91" w:rsidRPr="003D63B1" w14:paraId="57932301" w14:textId="77777777">
            <w:pPr>
              <w:spacing w:after="0" w:line="240" w:lineRule="auto"/>
              <w:rPr>
                <w:rFonts w:cs="Times New Roman"/>
                <w:szCs w:val="24"/>
              </w:rPr>
            </w:pPr>
            <w:r w:rsidRPr="003D63B1">
              <w:rPr>
                <w:rFonts w:cs="Times New Roman"/>
                <w:szCs w:val="24"/>
              </w:rPr>
              <w:t>In the Matter of the Application of The Dayton Power and Light Company for Approval of Revised Tariffs.</w:t>
            </w:r>
          </w:p>
          <w:p w:rsidR="002B4F91" w:rsidRPr="003D63B1" w14:paraId="42B2C6F0" w14:textId="77777777">
            <w:pPr>
              <w:spacing w:after="0" w:line="240" w:lineRule="auto"/>
              <w:rPr>
                <w:rFonts w:cs="Times New Roman"/>
                <w:szCs w:val="24"/>
              </w:rPr>
            </w:pPr>
          </w:p>
          <w:p w:rsidR="002B4F91" w:rsidRPr="003D63B1" w14:paraId="5F86BC67" w14:textId="77777777">
            <w:pPr>
              <w:spacing w:after="0" w:line="240" w:lineRule="auto"/>
              <w:rPr>
                <w:rFonts w:cs="Times New Roman"/>
                <w:szCs w:val="24"/>
              </w:rPr>
            </w:pPr>
            <w:r w:rsidRPr="003D63B1">
              <w:rPr>
                <w:rFonts w:cs="Times New Roman"/>
                <w:szCs w:val="24"/>
              </w:rPr>
              <w:t>In the Matter of the Application of The Dayton Power and Light Company for Approval of Certain Accounting Authority Pursuant to Ohio Rev. Code Section 4905.13.</w:t>
            </w:r>
          </w:p>
          <w:p w:rsidR="002B4F91" w:rsidRPr="003D63B1" w14:paraId="4EF6A5BE" w14:textId="77777777">
            <w:pPr>
              <w:spacing w:after="0" w:line="240" w:lineRule="auto"/>
              <w:rPr>
                <w:rFonts w:cs="Times New Roman"/>
                <w:szCs w:val="24"/>
              </w:rPr>
            </w:pPr>
          </w:p>
          <w:p w:rsidR="002B4F91" w:rsidRPr="003D63B1" w14:paraId="67413A32" w14:textId="77777777">
            <w:pPr>
              <w:spacing w:after="0" w:line="240" w:lineRule="auto"/>
              <w:rPr>
                <w:rFonts w:cs="Times New Roman"/>
                <w:szCs w:val="24"/>
              </w:rPr>
            </w:pPr>
            <w:r w:rsidRPr="003D63B1">
              <w:rPr>
                <w:rFonts w:cs="Times New Roman"/>
                <w:szCs w:val="24"/>
              </w:rPr>
              <w:t>In the Matter of the Application of The Dayton Power and Light Company for Approval of its Amended Corporate Separation Plan.</w:t>
            </w:r>
          </w:p>
        </w:tc>
        <w:tc>
          <w:tcPr>
            <w:tcW w:w="450" w:type="dxa"/>
          </w:tcPr>
          <w:p w:rsidR="002B4F91" w:rsidRPr="003D63B1" w14:paraId="4C6277A4" w14:textId="77777777">
            <w:pPr>
              <w:spacing w:after="0" w:line="240" w:lineRule="auto"/>
              <w:rPr>
                <w:rFonts w:cs="Times New Roman"/>
                <w:szCs w:val="24"/>
              </w:rPr>
            </w:pPr>
            <w:r w:rsidRPr="003D63B1">
              <w:rPr>
                <w:rFonts w:cs="Times New Roman"/>
                <w:szCs w:val="24"/>
              </w:rPr>
              <w:t>)</w:t>
            </w:r>
          </w:p>
          <w:p w:rsidR="002B4F91" w:rsidRPr="003D63B1" w14:paraId="7894A27F" w14:textId="77777777">
            <w:pPr>
              <w:spacing w:after="0" w:line="240" w:lineRule="auto"/>
              <w:rPr>
                <w:rFonts w:cs="Times New Roman"/>
                <w:szCs w:val="24"/>
              </w:rPr>
            </w:pPr>
            <w:r w:rsidRPr="003D63B1">
              <w:rPr>
                <w:rFonts w:cs="Times New Roman"/>
                <w:szCs w:val="24"/>
              </w:rPr>
              <w:t>)</w:t>
            </w:r>
          </w:p>
          <w:p w:rsidR="002B4F91" w:rsidRPr="003D63B1" w14:paraId="792ACCC2" w14:textId="77777777">
            <w:pPr>
              <w:spacing w:after="0" w:line="240" w:lineRule="auto"/>
              <w:rPr>
                <w:rFonts w:cs="Times New Roman"/>
                <w:szCs w:val="24"/>
              </w:rPr>
            </w:pPr>
            <w:r w:rsidRPr="003D63B1">
              <w:rPr>
                <w:rFonts w:cs="Times New Roman"/>
                <w:szCs w:val="24"/>
              </w:rPr>
              <w:t>)</w:t>
            </w:r>
          </w:p>
          <w:p w:rsidR="002B4F91" w:rsidRPr="003D63B1" w14:paraId="79FE1A98" w14:textId="77777777">
            <w:pPr>
              <w:spacing w:after="0" w:line="240" w:lineRule="auto"/>
              <w:rPr>
                <w:rFonts w:cs="Times New Roman"/>
                <w:szCs w:val="24"/>
              </w:rPr>
            </w:pPr>
          </w:p>
          <w:p w:rsidR="002B4F91" w:rsidRPr="003D63B1" w14:paraId="244F3D9E" w14:textId="77777777">
            <w:pPr>
              <w:spacing w:after="0" w:line="240" w:lineRule="auto"/>
              <w:rPr>
                <w:rFonts w:cs="Times New Roman"/>
                <w:szCs w:val="24"/>
              </w:rPr>
            </w:pPr>
            <w:r w:rsidRPr="003D63B1">
              <w:rPr>
                <w:rFonts w:cs="Times New Roman"/>
                <w:szCs w:val="24"/>
              </w:rPr>
              <w:t>)</w:t>
            </w:r>
          </w:p>
          <w:p w:rsidR="002B4F91" w:rsidRPr="003D63B1" w14:paraId="0EFBAEBE" w14:textId="77777777">
            <w:pPr>
              <w:spacing w:after="0" w:line="240" w:lineRule="auto"/>
              <w:rPr>
                <w:rFonts w:cs="Times New Roman"/>
                <w:szCs w:val="24"/>
              </w:rPr>
            </w:pPr>
            <w:r w:rsidRPr="003D63B1">
              <w:rPr>
                <w:rFonts w:cs="Times New Roman"/>
                <w:szCs w:val="24"/>
              </w:rPr>
              <w:t>)</w:t>
            </w:r>
          </w:p>
          <w:p w:rsidR="002B4F91" w:rsidRPr="003D63B1" w14:paraId="686B686B" w14:textId="77777777">
            <w:pPr>
              <w:spacing w:after="0" w:line="240" w:lineRule="auto"/>
              <w:rPr>
                <w:rFonts w:cs="Times New Roman"/>
                <w:szCs w:val="24"/>
              </w:rPr>
            </w:pPr>
            <w:r w:rsidRPr="003D63B1">
              <w:rPr>
                <w:rFonts w:cs="Times New Roman"/>
                <w:szCs w:val="24"/>
              </w:rPr>
              <w:t>)</w:t>
            </w:r>
          </w:p>
          <w:p w:rsidR="002B4F91" w:rsidRPr="003D63B1" w14:paraId="7B91AFF4" w14:textId="77777777">
            <w:pPr>
              <w:spacing w:after="0" w:line="240" w:lineRule="auto"/>
              <w:rPr>
                <w:rFonts w:cs="Times New Roman"/>
                <w:szCs w:val="24"/>
              </w:rPr>
            </w:pPr>
          </w:p>
          <w:p w:rsidR="002B4F91" w:rsidRPr="003D63B1" w14:paraId="1F1810BD" w14:textId="77777777">
            <w:pPr>
              <w:spacing w:after="0" w:line="240" w:lineRule="auto"/>
              <w:rPr>
                <w:rFonts w:cs="Times New Roman"/>
                <w:szCs w:val="24"/>
              </w:rPr>
            </w:pPr>
            <w:r w:rsidRPr="003D63B1">
              <w:rPr>
                <w:rFonts w:cs="Times New Roman"/>
                <w:szCs w:val="24"/>
              </w:rPr>
              <w:t>)</w:t>
            </w:r>
          </w:p>
          <w:p w:rsidR="002B4F91" w:rsidRPr="003D63B1" w14:paraId="7946E81E" w14:textId="77777777">
            <w:pPr>
              <w:spacing w:after="0" w:line="240" w:lineRule="auto"/>
              <w:rPr>
                <w:rFonts w:cs="Times New Roman"/>
                <w:szCs w:val="24"/>
              </w:rPr>
            </w:pPr>
            <w:r w:rsidRPr="003D63B1">
              <w:rPr>
                <w:rFonts w:cs="Times New Roman"/>
                <w:szCs w:val="24"/>
              </w:rPr>
              <w:t>)</w:t>
            </w:r>
          </w:p>
          <w:p w:rsidR="002B4F91" w:rsidRPr="003D63B1" w14:paraId="3043AF5A" w14:textId="77777777">
            <w:pPr>
              <w:spacing w:after="0" w:line="240" w:lineRule="auto"/>
              <w:rPr>
                <w:rFonts w:cs="Times New Roman"/>
                <w:szCs w:val="24"/>
              </w:rPr>
            </w:pPr>
            <w:r w:rsidRPr="003D63B1">
              <w:rPr>
                <w:rFonts w:cs="Times New Roman"/>
                <w:szCs w:val="24"/>
              </w:rPr>
              <w:t>)</w:t>
            </w:r>
          </w:p>
          <w:p w:rsidR="002B4F91" w:rsidRPr="003D63B1" w14:paraId="2FAACB44" w14:textId="77777777">
            <w:pPr>
              <w:spacing w:after="0" w:line="240" w:lineRule="auto"/>
              <w:rPr>
                <w:rFonts w:cs="Times New Roman"/>
                <w:szCs w:val="24"/>
              </w:rPr>
            </w:pPr>
            <w:r w:rsidRPr="003D63B1">
              <w:rPr>
                <w:rFonts w:cs="Times New Roman"/>
                <w:szCs w:val="24"/>
              </w:rPr>
              <w:t>)</w:t>
            </w:r>
          </w:p>
          <w:p w:rsidR="002B4F91" w:rsidRPr="003D63B1" w14:paraId="4644B2B0" w14:textId="77777777">
            <w:pPr>
              <w:spacing w:after="0" w:line="240" w:lineRule="auto"/>
              <w:rPr>
                <w:rFonts w:cs="Times New Roman"/>
                <w:szCs w:val="24"/>
              </w:rPr>
            </w:pPr>
            <w:r w:rsidRPr="003D63B1">
              <w:rPr>
                <w:rFonts w:cs="Times New Roman"/>
                <w:szCs w:val="24"/>
              </w:rPr>
              <w:t>)</w:t>
            </w:r>
          </w:p>
          <w:p w:rsidR="002B4F91" w:rsidRPr="003D63B1" w14:paraId="5487F29D" w14:textId="77777777">
            <w:pPr>
              <w:spacing w:after="0" w:line="240" w:lineRule="auto"/>
              <w:rPr>
                <w:rFonts w:cs="Times New Roman"/>
                <w:szCs w:val="24"/>
              </w:rPr>
            </w:pPr>
          </w:p>
          <w:p w:rsidR="002B4F91" w:rsidRPr="003D63B1" w14:paraId="7E73415B" w14:textId="77777777">
            <w:pPr>
              <w:spacing w:after="0" w:line="240" w:lineRule="auto"/>
              <w:rPr>
                <w:rFonts w:cs="Times New Roman"/>
                <w:szCs w:val="24"/>
              </w:rPr>
            </w:pPr>
            <w:r w:rsidRPr="003D63B1">
              <w:rPr>
                <w:rFonts w:cs="Times New Roman"/>
                <w:szCs w:val="24"/>
              </w:rPr>
              <w:t>)</w:t>
            </w:r>
          </w:p>
          <w:p w:rsidR="002B4F91" w:rsidRPr="003D63B1" w14:paraId="269F3579" w14:textId="77777777">
            <w:pPr>
              <w:spacing w:after="0" w:line="240" w:lineRule="auto"/>
              <w:rPr>
                <w:rFonts w:cs="Times New Roman"/>
                <w:szCs w:val="24"/>
              </w:rPr>
            </w:pPr>
            <w:r w:rsidRPr="003D63B1">
              <w:rPr>
                <w:rFonts w:cs="Times New Roman"/>
                <w:szCs w:val="24"/>
              </w:rPr>
              <w:t>)</w:t>
            </w:r>
          </w:p>
          <w:p w:rsidR="002B4F91" w:rsidRPr="003D63B1" w14:paraId="44D32EB6" w14:textId="77777777">
            <w:pPr>
              <w:spacing w:after="0" w:line="240" w:lineRule="auto"/>
              <w:rPr>
                <w:rFonts w:cs="Times New Roman"/>
                <w:szCs w:val="24"/>
              </w:rPr>
            </w:pPr>
            <w:r w:rsidRPr="003D63B1">
              <w:rPr>
                <w:rFonts w:cs="Times New Roman"/>
                <w:szCs w:val="24"/>
              </w:rPr>
              <w:t>)</w:t>
            </w:r>
          </w:p>
          <w:p w:rsidR="002B4F91" w:rsidRPr="003D63B1" w14:paraId="74B3C817" w14:textId="77777777">
            <w:pPr>
              <w:spacing w:after="0" w:line="240" w:lineRule="auto"/>
              <w:rPr>
                <w:rFonts w:cs="Times New Roman"/>
                <w:szCs w:val="24"/>
              </w:rPr>
            </w:pPr>
            <w:r w:rsidRPr="003D63B1">
              <w:rPr>
                <w:rFonts w:cs="Times New Roman"/>
                <w:szCs w:val="24"/>
              </w:rPr>
              <w:t>)</w:t>
            </w:r>
          </w:p>
        </w:tc>
        <w:tc>
          <w:tcPr>
            <w:tcW w:w="4068" w:type="dxa"/>
          </w:tcPr>
          <w:p w:rsidR="002B4F91" w:rsidRPr="003D63B1" w14:paraId="3010219A" w14:textId="77777777">
            <w:pPr>
              <w:spacing w:after="0" w:line="240" w:lineRule="auto"/>
              <w:rPr>
                <w:rFonts w:cs="Times New Roman"/>
                <w:szCs w:val="24"/>
              </w:rPr>
            </w:pPr>
          </w:p>
          <w:p w:rsidR="002B4F91" w:rsidRPr="003D63B1" w14:paraId="75E5E589" w14:textId="77777777">
            <w:pPr>
              <w:spacing w:after="0" w:line="240" w:lineRule="auto"/>
              <w:rPr>
                <w:rFonts w:cs="Times New Roman"/>
                <w:szCs w:val="24"/>
              </w:rPr>
            </w:pPr>
            <w:r w:rsidRPr="003D63B1">
              <w:rPr>
                <w:rFonts w:cs="Times New Roman"/>
                <w:szCs w:val="24"/>
              </w:rPr>
              <w:t>Case No. 08-1094-EL-SSO</w:t>
            </w:r>
          </w:p>
          <w:p w:rsidR="002B4F91" w:rsidRPr="003D63B1" w14:paraId="0FA3BBBF" w14:textId="77777777">
            <w:pPr>
              <w:spacing w:after="0" w:line="240" w:lineRule="auto"/>
              <w:rPr>
                <w:rFonts w:cs="Times New Roman"/>
                <w:szCs w:val="24"/>
              </w:rPr>
            </w:pPr>
          </w:p>
          <w:p w:rsidR="002B4F91" w:rsidRPr="003D63B1" w14:paraId="17665559" w14:textId="77777777">
            <w:pPr>
              <w:spacing w:after="0" w:line="240" w:lineRule="auto"/>
              <w:rPr>
                <w:rFonts w:cs="Times New Roman"/>
                <w:szCs w:val="24"/>
              </w:rPr>
            </w:pPr>
          </w:p>
          <w:p w:rsidR="002B4F91" w:rsidRPr="003D63B1" w14:paraId="4BE4EB55" w14:textId="77777777">
            <w:pPr>
              <w:spacing w:after="0" w:line="240" w:lineRule="auto"/>
              <w:rPr>
                <w:rFonts w:cs="Times New Roman"/>
                <w:szCs w:val="24"/>
              </w:rPr>
            </w:pPr>
          </w:p>
          <w:p w:rsidR="002B4F91" w:rsidRPr="003D63B1" w14:paraId="2824F7F8" w14:textId="77777777">
            <w:pPr>
              <w:spacing w:after="0" w:line="240" w:lineRule="auto"/>
              <w:rPr>
                <w:rFonts w:cs="Times New Roman"/>
                <w:szCs w:val="24"/>
              </w:rPr>
            </w:pPr>
            <w:r w:rsidRPr="003D63B1">
              <w:rPr>
                <w:rFonts w:cs="Times New Roman"/>
                <w:szCs w:val="24"/>
              </w:rPr>
              <w:t>Case No. 08-1095-EL-ATA</w:t>
            </w:r>
          </w:p>
          <w:p w:rsidR="002B4F91" w:rsidRPr="003D63B1" w14:paraId="2D49A1A3" w14:textId="77777777">
            <w:pPr>
              <w:spacing w:after="0" w:line="240" w:lineRule="auto"/>
              <w:rPr>
                <w:rFonts w:cs="Times New Roman"/>
                <w:szCs w:val="24"/>
              </w:rPr>
            </w:pPr>
          </w:p>
          <w:p w:rsidR="002B4F91" w:rsidRPr="003D63B1" w14:paraId="7CCABB0F" w14:textId="77777777">
            <w:pPr>
              <w:spacing w:after="0" w:line="240" w:lineRule="auto"/>
              <w:rPr>
                <w:rFonts w:cs="Times New Roman"/>
                <w:szCs w:val="24"/>
              </w:rPr>
            </w:pPr>
          </w:p>
          <w:p w:rsidR="002B4F91" w:rsidRPr="003D63B1" w14:paraId="08772E48" w14:textId="77777777">
            <w:pPr>
              <w:spacing w:after="0" w:line="240" w:lineRule="auto"/>
              <w:rPr>
                <w:rFonts w:cs="Times New Roman"/>
                <w:szCs w:val="24"/>
              </w:rPr>
            </w:pPr>
          </w:p>
          <w:p w:rsidR="002B4F91" w:rsidRPr="003D63B1" w14:paraId="5F372F22" w14:textId="77777777">
            <w:pPr>
              <w:spacing w:after="0" w:line="240" w:lineRule="auto"/>
              <w:rPr>
                <w:rFonts w:cs="Times New Roman"/>
                <w:szCs w:val="24"/>
              </w:rPr>
            </w:pPr>
          </w:p>
          <w:p w:rsidR="002B4F91" w:rsidRPr="003D63B1" w14:paraId="63182748" w14:textId="77777777">
            <w:pPr>
              <w:spacing w:after="0" w:line="240" w:lineRule="auto"/>
              <w:rPr>
                <w:rFonts w:cs="Times New Roman"/>
                <w:szCs w:val="24"/>
              </w:rPr>
            </w:pPr>
            <w:r w:rsidRPr="003D63B1">
              <w:rPr>
                <w:rFonts w:cs="Times New Roman"/>
                <w:szCs w:val="24"/>
              </w:rPr>
              <w:t>Case No. 08-1096-EL-AAM</w:t>
            </w:r>
          </w:p>
          <w:p w:rsidR="002B4F91" w:rsidRPr="003D63B1" w14:paraId="30A7DFA1" w14:textId="77777777">
            <w:pPr>
              <w:spacing w:after="0" w:line="240" w:lineRule="auto"/>
              <w:rPr>
                <w:rFonts w:cs="Times New Roman"/>
                <w:szCs w:val="24"/>
              </w:rPr>
            </w:pPr>
          </w:p>
          <w:p w:rsidR="002B4F91" w:rsidRPr="003D63B1" w14:paraId="333B0199" w14:textId="77777777">
            <w:pPr>
              <w:spacing w:after="0" w:line="240" w:lineRule="auto"/>
              <w:rPr>
                <w:rFonts w:cs="Times New Roman"/>
                <w:szCs w:val="24"/>
              </w:rPr>
            </w:pPr>
          </w:p>
          <w:p w:rsidR="002B4F91" w:rsidRPr="003D63B1" w14:paraId="79B929D0" w14:textId="77777777">
            <w:pPr>
              <w:spacing w:after="0" w:line="240" w:lineRule="auto"/>
              <w:rPr>
                <w:rFonts w:cs="Times New Roman"/>
                <w:szCs w:val="24"/>
              </w:rPr>
            </w:pPr>
          </w:p>
          <w:p w:rsidR="002B4F91" w:rsidRPr="003D63B1" w14:paraId="4F860B98" w14:textId="77777777">
            <w:pPr>
              <w:spacing w:after="0" w:line="240" w:lineRule="auto"/>
              <w:rPr>
                <w:rFonts w:cs="Times New Roman"/>
                <w:szCs w:val="24"/>
              </w:rPr>
            </w:pPr>
          </w:p>
          <w:p w:rsidR="002B4F91" w:rsidRPr="003D63B1" w14:paraId="6477A9F2" w14:textId="77777777">
            <w:pPr>
              <w:spacing w:after="0" w:line="240" w:lineRule="auto"/>
              <w:rPr>
                <w:rFonts w:cs="Times New Roman"/>
                <w:szCs w:val="24"/>
              </w:rPr>
            </w:pPr>
            <w:r w:rsidRPr="003D63B1">
              <w:rPr>
                <w:rFonts w:cs="Times New Roman"/>
                <w:szCs w:val="24"/>
              </w:rPr>
              <w:t>Case No. 08-1097-EL-UNC</w:t>
            </w:r>
          </w:p>
          <w:p w:rsidR="002B4F91" w:rsidRPr="003D63B1" w14:paraId="5DBFA00C" w14:textId="77777777">
            <w:pPr>
              <w:spacing w:after="0" w:line="240" w:lineRule="auto"/>
              <w:rPr>
                <w:rFonts w:cs="Times New Roman"/>
                <w:szCs w:val="24"/>
              </w:rPr>
            </w:pPr>
          </w:p>
        </w:tc>
      </w:tr>
    </w:tbl>
    <w:p w:rsidR="002B4F91" w:rsidRPr="003D63B1" w14:paraId="15456EA9" w14:textId="77777777">
      <w:pPr>
        <w:pStyle w:val="HTMLPreformatted"/>
        <w:pBdr>
          <w:bottom w:val="single" w:sz="12" w:space="1" w:color="auto"/>
        </w:pBdr>
        <w:contextualSpacing/>
        <w:rPr>
          <w:rFonts w:ascii="Times New Roman" w:hAnsi="Times New Roman" w:cs="Times New Roman"/>
          <w:sz w:val="24"/>
          <w:szCs w:val="24"/>
        </w:rPr>
      </w:pPr>
      <w:r w:rsidRPr="003D63B1">
        <w:rPr>
          <w:rFonts w:ascii="Times New Roman" w:hAnsi="Times New Roman" w:cs="Times New Roman"/>
          <w:sz w:val="24"/>
          <w:szCs w:val="24"/>
        </w:rPr>
        <w:tab/>
      </w:r>
      <w:r w:rsidRPr="003D63B1">
        <w:rPr>
          <w:rFonts w:ascii="Times New Roman" w:hAnsi="Times New Roman" w:cs="Times New Roman"/>
          <w:sz w:val="24"/>
          <w:szCs w:val="24"/>
        </w:rPr>
        <w:tab/>
      </w:r>
    </w:p>
    <w:p w:rsidR="002B4F91" w:rsidRPr="003D63B1" w14:paraId="23B310A7" w14:textId="77777777">
      <w:pPr>
        <w:spacing w:after="0" w:line="240" w:lineRule="auto"/>
        <w:contextualSpacing/>
        <w:jc w:val="center"/>
        <w:rPr>
          <w:rFonts w:cs="Times New Roman"/>
          <w:b/>
          <w:szCs w:val="24"/>
        </w:rPr>
      </w:pPr>
    </w:p>
    <w:p w:rsidR="002B4F91" w:rsidRPr="003D63B1" w14:paraId="2792A68B" w14:textId="77777777">
      <w:pPr>
        <w:pBdr>
          <w:bottom w:val="single" w:sz="12" w:space="1" w:color="auto"/>
        </w:pBdr>
        <w:spacing w:line="240" w:lineRule="auto"/>
        <w:contextualSpacing/>
        <w:jc w:val="center"/>
        <w:rPr>
          <w:rFonts w:cs="Times New Roman"/>
          <w:b/>
          <w:szCs w:val="24"/>
        </w:rPr>
      </w:pPr>
      <w:r w:rsidRPr="003D63B1">
        <w:rPr>
          <w:rFonts w:cs="Times New Roman"/>
          <w:b/>
          <w:szCs w:val="24"/>
        </w:rPr>
        <w:t xml:space="preserve">APPLICATION FOR REHEARING </w:t>
      </w:r>
    </w:p>
    <w:p w:rsidR="002B4F91" w:rsidRPr="003D63B1" w14:paraId="400BEE19" w14:textId="77777777">
      <w:pPr>
        <w:pBdr>
          <w:bottom w:val="single" w:sz="12" w:space="1" w:color="auto"/>
        </w:pBdr>
        <w:spacing w:line="240" w:lineRule="auto"/>
        <w:contextualSpacing/>
        <w:jc w:val="center"/>
        <w:rPr>
          <w:rFonts w:cs="Times New Roman"/>
          <w:b/>
          <w:szCs w:val="24"/>
        </w:rPr>
      </w:pPr>
      <w:r w:rsidRPr="003D63B1">
        <w:rPr>
          <w:rFonts w:cs="Times New Roman"/>
          <w:b/>
          <w:szCs w:val="24"/>
        </w:rPr>
        <w:t xml:space="preserve">BY </w:t>
      </w:r>
    </w:p>
    <w:p w:rsidR="002B4F91" w:rsidRPr="003D63B1" w14:paraId="24BA197D" w14:textId="77777777">
      <w:pPr>
        <w:pBdr>
          <w:bottom w:val="single" w:sz="12" w:space="1" w:color="auto"/>
        </w:pBdr>
        <w:spacing w:after="0" w:line="240" w:lineRule="auto"/>
        <w:contextualSpacing/>
        <w:jc w:val="center"/>
        <w:rPr>
          <w:rFonts w:cs="Times New Roman"/>
          <w:b/>
          <w:szCs w:val="24"/>
        </w:rPr>
      </w:pPr>
      <w:r w:rsidRPr="003D63B1">
        <w:rPr>
          <w:rFonts w:cs="Times New Roman"/>
          <w:b/>
          <w:szCs w:val="24"/>
        </w:rPr>
        <w:t>OFFICE OF THE OHIO CONSUMERS’ COUNSEL</w:t>
      </w:r>
    </w:p>
    <w:p w:rsidR="002B4F91" w:rsidRPr="003D63B1" w:rsidP="00C13DAC" w14:paraId="03CAD2C2" w14:textId="77777777">
      <w:pPr>
        <w:pBdr>
          <w:bottom w:val="single" w:sz="12" w:space="1" w:color="auto"/>
        </w:pBdr>
        <w:spacing w:line="240" w:lineRule="auto"/>
        <w:contextualSpacing/>
        <w:rPr>
          <w:rFonts w:cs="Times New Roman"/>
          <w:b/>
          <w:szCs w:val="24"/>
        </w:rPr>
      </w:pPr>
    </w:p>
    <w:p w:rsidR="002B4F91" w:rsidRPr="003D63B1" w14:paraId="170412CD" w14:textId="77777777">
      <w:pPr>
        <w:spacing w:after="0"/>
        <w:rPr>
          <w:rFonts w:cs="Times New Roman"/>
          <w:szCs w:val="24"/>
        </w:rPr>
      </w:pPr>
    </w:p>
    <w:p w:rsidR="002B4F91" w:rsidRPr="003D63B1" w:rsidP="00AD474F" w14:paraId="12521067" w14:textId="2B81ED2C">
      <w:pPr>
        <w:spacing w:after="0" w:line="480" w:lineRule="auto"/>
        <w:rPr>
          <w:rFonts w:cs="Times New Roman"/>
          <w:szCs w:val="24"/>
        </w:rPr>
      </w:pPr>
      <w:r w:rsidRPr="003D63B1">
        <w:rPr>
          <w:rFonts w:cs="Times New Roman"/>
          <w:szCs w:val="24"/>
        </w:rPr>
        <w:tab/>
        <w:t>DP&amp;L</w:t>
      </w:r>
      <w:r w:rsidRPr="003D63B1" w:rsidR="00617501">
        <w:rPr>
          <w:rFonts w:cs="Times New Roman"/>
          <w:szCs w:val="24"/>
        </w:rPr>
        <w:t xml:space="preserve"> (now AES)</w:t>
      </w:r>
      <w:r w:rsidRPr="003D63B1">
        <w:rPr>
          <w:rFonts w:cs="Times New Roman"/>
          <w:szCs w:val="24"/>
        </w:rPr>
        <w:t xml:space="preserve"> has been charging </w:t>
      </w:r>
      <w:r w:rsidRPr="003D63B1" w:rsidR="00B7410B">
        <w:rPr>
          <w:rFonts w:cs="Times New Roman"/>
          <w:szCs w:val="24"/>
        </w:rPr>
        <w:t xml:space="preserve">Dayton-area </w:t>
      </w:r>
      <w:r w:rsidRPr="003D63B1">
        <w:rPr>
          <w:rFonts w:cs="Times New Roman"/>
          <w:szCs w:val="24"/>
        </w:rPr>
        <w:t>consumers $76 million a year for so-called “stability</w:t>
      </w:r>
      <w:r w:rsidRPr="003D63B1" w:rsidR="006865F7">
        <w:rPr>
          <w:rFonts w:cs="Times New Roman"/>
          <w:szCs w:val="24"/>
        </w:rPr>
        <w:t>,</w:t>
      </w:r>
      <w:r w:rsidRPr="003D63B1">
        <w:rPr>
          <w:rFonts w:cs="Times New Roman"/>
          <w:szCs w:val="24"/>
        </w:rPr>
        <w:t xml:space="preserve">” </w:t>
      </w:r>
      <w:r w:rsidRPr="003D63B1" w:rsidR="006865F7">
        <w:rPr>
          <w:rFonts w:cs="Times New Roman"/>
          <w:szCs w:val="24"/>
        </w:rPr>
        <w:t>under DP&amp;L’s reinstated 2009 electric security plan</w:t>
      </w:r>
      <w:r w:rsidRPr="003D63B1" w:rsidR="00250B8C">
        <w:rPr>
          <w:rFonts w:cs="Times New Roman"/>
          <w:szCs w:val="24"/>
        </w:rPr>
        <w:t>.</w:t>
      </w:r>
      <w:r w:rsidRPr="003D63B1" w:rsidR="006865F7">
        <w:rPr>
          <w:rFonts w:cs="Times New Roman"/>
          <w:szCs w:val="24"/>
        </w:rPr>
        <w:t xml:space="preserve"> </w:t>
      </w:r>
      <w:r w:rsidRPr="003D63B1">
        <w:rPr>
          <w:rFonts w:cs="Times New Roman"/>
          <w:szCs w:val="24"/>
        </w:rPr>
        <w:t>Last year, in response to OCC’s rehearing request, the PUCO</w:t>
      </w:r>
      <w:r w:rsidR="000A06FC">
        <w:rPr>
          <w:rFonts w:cs="Times New Roman"/>
          <w:szCs w:val="24"/>
        </w:rPr>
        <w:t>,</w:t>
      </w:r>
      <w:r w:rsidRPr="003D63B1">
        <w:rPr>
          <w:rFonts w:cs="Times New Roman"/>
          <w:szCs w:val="24"/>
        </w:rPr>
        <w:t xml:space="preserve"> </w:t>
      </w:r>
      <w:r w:rsidRPr="003D63B1" w:rsidR="00347130">
        <w:rPr>
          <w:rFonts w:cs="Times New Roman"/>
          <w:szCs w:val="24"/>
        </w:rPr>
        <w:t>with</w:t>
      </w:r>
      <w:r w:rsidRPr="003D63B1" w:rsidR="00F81F48">
        <w:rPr>
          <w:rFonts w:cs="Times New Roman"/>
          <w:szCs w:val="24"/>
        </w:rPr>
        <w:t xml:space="preserve"> public</w:t>
      </w:r>
      <w:r w:rsidRPr="003D63B1" w:rsidR="00347130">
        <w:rPr>
          <w:rFonts w:cs="Times New Roman"/>
          <w:szCs w:val="24"/>
        </w:rPr>
        <w:t xml:space="preserve"> fanfare,</w:t>
      </w:r>
      <w:r>
        <w:rPr>
          <w:rStyle w:val="FootnoteReference"/>
          <w:rFonts w:cs="Times New Roman"/>
          <w:szCs w:val="24"/>
        </w:rPr>
        <w:footnoteReference w:id="2"/>
      </w:r>
      <w:r w:rsidRPr="003D63B1">
        <w:rPr>
          <w:rFonts w:cs="Times New Roman"/>
          <w:szCs w:val="24"/>
        </w:rPr>
        <w:t xml:space="preserve"> ordered DP&amp;L “to file new proposed tariffs providing that the RSC [rate stability charge] shall be refundable ‘to the extent permitted by law.</w:t>
      </w:r>
      <w:r w:rsidR="00DB454D">
        <w:rPr>
          <w:rFonts w:cs="Times New Roman"/>
          <w:szCs w:val="24"/>
        </w:rPr>
        <w:t>’”</w:t>
      </w:r>
      <w:r>
        <w:rPr>
          <w:rStyle w:val="FootnoteReference"/>
          <w:rFonts w:cs="Times New Roman"/>
          <w:szCs w:val="24"/>
        </w:rPr>
        <w:footnoteReference w:id="3"/>
      </w:r>
      <w:r w:rsidRPr="003D63B1">
        <w:rPr>
          <w:rFonts w:cs="Times New Roman"/>
          <w:szCs w:val="24"/>
        </w:rPr>
        <w:t xml:space="preserve"> The refund language, ordered by the PUCO </w:t>
      </w:r>
      <w:r w:rsidRPr="003D63B1">
        <w:rPr>
          <w:rFonts w:cs="Times New Roman"/>
          <w:szCs w:val="24"/>
        </w:rPr>
        <w:t xml:space="preserve">at OCC’s request, </w:t>
      </w:r>
      <w:r w:rsidRPr="003D63B1" w:rsidR="007D1347">
        <w:rPr>
          <w:rFonts w:cs="Times New Roman"/>
          <w:szCs w:val="24"/>
        </w:rPr>
        <w:t xml:space="preserve">was intended to </w:t>
      </w:r>
      <w:r w:rsidRPr="003D63B1">
        <w:rPr>
          <w:rFonts w:cs="Times New Roman"/>
          <w:szCs w:val="24"/>
        </w:rPr>
        <w:t>allow consumer refunds</w:t>
      </w:r>
      <w:r w:rsidRPr="003D63B1" w:rsidR="00A378E1">
        <w:rPr>
          <w:rFonts w:cs="Times New Roman"/>
          <w:szCs w:val="24"/>
        </w:rPr>
        <w:t xml:space="preserve"> </w:t>
      </w:r>
      <w:r w:rsidRPr="003D63B1">
        <w:rPr>
          <w:rFonts w:cs="Times New Roman"/>
          <w:szCs w:val="24"/>
        </w:rPr>
        <w:t xml:space="preserve">if the Supreme Court finds the stability charge unlawful or unreasonable. </w:t>
      </w:r>
    </w:p>
    <w:p w:rsidR="007756BA" w:rsidP="00B44633" w14:paraId="26D31347" w14:textId="32747180">
      <w:pPr>
        <w:spacing w:after="0" w:line="480" w:lineRule="auto"/>
        <w:ind w:firstLine="720"/>
        <w:rPr>
          <w:rFonts w:cs="Times New Roman"/>
          <w:szCs w:val="24"/>
        </w:rPr>
      </w:pPr>
      <w:r>
        <w:rPr>
          <w:rFonts w:cs="Times New Roman"/>
          <w:szCs w:val="24"/>
        </w:rPr>
        <w:t>However, as the PUCO acknowledged (after OCC brough</w:t>
      </w:r>
      <w:r w:rsidR="00C050C5">
        <w:rPr>
          <w:rFonts w:cs="Times New Roman"/>
          <w:szCs w:val="24"/>
        </w:rPr>
        <w:t>t</w:t>
      </w:r>
      <w:r>
        <w:rPr>
          <w:rFonts w:cs="Times New Roman"/>
          <w:szCs w:val="24"/>
        </w:rPr>
        <w:t xml:space="preserve"> it to their attention) </w:t>
      </w:r>
      <w:r w:rsidRPr="003D63B1" w:rsidR="004C4298">
        <w:rPr>
          <w:rFonts w:cs="Times New Roman"/>
          <w:szCs w:val="24"/>
        </w:rPr>
        <w:t>DP&amp;L</w:t>
      </w:r>
      <w:r w:rsidR="00AD474F">
        <w:rPr>
          <w:rFonts w:cs="Times New Roman"/>
          <w:szCs w:val="24"/>
        </w:rPr>
        <w:t xml:space="preserve"> “did not file final tariffs as directed by the Commission.”</w:t>
      </w:r>
      <w:r>
        <w:rPr>
          <w:rStyle w:val="FootnoteReference"/>
          <w:rFonts w:cs="Times New Roman"/>
          <w:szCs w:val="24"/>
        </w:rPr>
        <w:footnoteReference w:id="4"/>
      </w:r>
      <w:r w:rsidR="00A956D0">
        <w:rPr>
          <w:rFonts w:cs="Times New Roman"/>
          <w:szCs w:val="24"/>
        </w:rPr>
        <w:t xml:space="preserve"> </w:t>
      </w:r>
      <w:r w:rsidR="00AD474F">
        <w:rPr>
          <w:rFonts w:cs="Times New Roman"/>
          <w:szCs w:val="24"/>
        </w:rPr>
        <w:t xml:space="preserve">Instead, DP&amp;L continued to charge consumers under </w:t>
      </w:r>
      <w:r>
        <w:rPr>
          <w:rFonts w:cs="Times New Roman"/>
          <w:szCs w:val="24"/>
        </w:rPr>
        <w:t xml:space="preserve">prior </w:t>
      </w:r>
      <w:r w:rsidR="00AD474F">
        <w:rPr>
          <w:rFonts w:cs="Times New Roman"/>
          <w:szCs w:val="24"/>
        </w:rPr>
        <w:t xml:space="preserve">tariffs that </w:t>
      </w:r>
      <w:r w:rsidR="00DA0E0C">
        <w:rPr>
          <w:rFonts w:cs="Times New Roman"/>
          <w:szCs w:val="24"/>
        </w:rPr>
        <w:t xml:space="preserve">lacked the refund language the PUCO had </w:t>
      </w:r>
      <w:r w:rsidR="008E777F">
        <w:rPr>
          <w:rFonts w:cs="Times New Roman"/>
          <w:szCs w:val="24"/>
        </w:rPr>
        <w:t>ordered</w:t>
      </w:r>
      <w:r w:rsidR="00DA0E0C">
        <w:rPr>
          <w:rFonts w:cs="Times New Roman"/>
          <w:szCs w:val="24"/>
        </w:rPr>
        <w:t>.</w:t>
      </w:r>
      <w:r w:rsidR="00A956D0">
        <w:rPr>
          <w:rFonts w:cs="Times New Roman"/>
          <w:szCs w:val="24"/>
        </w:rPr>
        <w:t xml:space="preserve"> </w:t>
      </w:r>
    </w:p>
    <w:p w:rsidR="00477B10" w:rsidP="000B001D" w14:paraId="09B30905" w14:textId="77777777">
      <w:pPr>
        <w:spacing w:after="0" w:line="480" w:lineRule="auto"/>
        <w:ind w:firstLine="720"/>
        <w:rPr>
          <w:rFonts w:cs="Times New Roman"/>
          <w:szCs w:val="24"/>
        </w:rPr>
      </w:pPr>
      <w:r>
        <w:rPr>
          <w:rFonts w:cs="Times New Roman"/>
          <w:szCs w:val="24"/>
        </w:rPr>
        <w:t xml:space="preserve">So for approximately </w:t>
      </w:r>
      <w:r w:rsidR="00ED6CA8">
        <w:rPr>
          <w:rFonts w:cs="Times New Roman"/>
          <w:szCs w:val="24"/>
        </w:rPr>
        <w:t>11 months, DP&amp;L</w:t>
      </w:r>
      <w:r w:rsidR="00D41489">
        <w:rPr>
          <w:rFonts w:cs="Times New Roman"/>
          <w:szCs w:val="24"/>
        </w:rPr>
        <w:t xml:space="preserve"> failed to </w:t>
      </w:r>
      <w:r w:rsidR="00ED6CA8">
        <w:rPr>
          <w:rFonts w:cs="Times New Roman"/>
          <w:szCs w:val="24"/>
        </w:rPr>
        <w:t>charg</w:t>
      </w:r>
      <w:r w:rsidR="00D41489">
        <w:rPr>
          <w:rFonts w:cs="Times New Roman"/>
          <w:szCs w:val="24"/>
        </w:rPr>
        <w:t xml:space="preserve">e </w:t>
      </w:r>
      <w:r w:rsidR="00793EDD">
        <w:rPr>
          <w:rFonts w:cs="Times New Roman"/>
          <w:szCs w:val="24"/>
        </w:rPr>
        <w:t xml:space="preserve">stability </w:t>
      </w:r>
      <w:r w:rsidR="00D41489">
        <w:rPr>
          <w:rFonts w:cs="Times New Roman"/>
          <w:szCs w:val="24"/>
        </w:rPr>
        <w:t>rates in accordance with its PUCO’s approved rate schedule</w:t>
      </w:r>
      <w:r w:rsidR="00793EDD">
        <w:rPr>
          <w:rFonts w:cs="Times New Roman"/>
          <w:szCs w:val="24"/>
        </w:rPr>
        <w:t xml:space="preserve">, i.e. rates with the PUCO-ordered refund provision </w:t>
      </w:r>
      <w:r w:rsidR="00B775E4">
        <w:rPr>
          <w:rFonts w:cs="Times New Roman"/>
          <w:szCs w:val="24"/>
        </w:rPr>
        <w:t>– “</w:t>
      </w:r>
      <w:r w:rsidR="00793EDD">
        <w:rPr>
          <w:rFonts w:cs="Times New Roman"/>
          <w:szCs w:val="24"/>
        </w:rPr>
        <w:t xml:space="preserve">refundable to the extent permitted by law.” </w:t>
      </w:r>
      <w:r w:rsidR="00D41489">
        <w:rPr>
          <w:rFonts w:cs="Times New Roman"/>
          <w:szCs w:val="24"/>
        </w:rPr>
        <w:t>During that 11-month period DP&amp;L collected about $60 million from Dayton-area consumers.</w:t>
      </w:r>
      <w:r w:rsidR="00A956D0">
        <w:rPr>
          <w:rFonts w:cs="Times New Roman"/>
          <w:szCs w:val="24"/>
        </w:rPr>
        <w:t xml:space="preserve"> </w:t>
      </w:r>
    </w:p>
    <w:p w:rsidR="00BA67B4" w:rsidRPr="003D63B1" w14:paraId="3521A8A7" w14:textId="00BDD3BC">
      <w:pPr>
        <w:spacing w:after="0" w:line="480" w:lineRule="auto"/>
        <w:ind w:firstLine="720"/>
        <w:rPr>
          <w:rFonts w:cs="Times New Roman"/>
          <w:szCs w:val="24"/>
        </w:rPr>
      </w:pPr>
      <w:r w:rsidRPr="003D63B1">
        <w:rPr>
          <w:rFonts w:cs="Times New Roman"/>
          <w:szCs w:val="24"/>
        </w:rPr>
        <w:t xml:space="preserve">Under the law, the PUCO </w:t>
      </w:r>
      <w:r w:rsidRPr="00C4498F">
        <w:rPr>
          <w:rFonts w:cs="Times New Roman"/>
          <w:i/>
          <w:iCs/>
          <w:szCs w:val="24"/>
        </w:rPr>
        <w:t>must</w:t>
      </w:r>
      <w:r w:rsidRPr="003D63B1">
        <w:rPr>
          <w:rFonts w:cs="Times New Roman"/>
          <w:szCs w:val="24"/>
        </w:rPr>
        <w:t xml:space="preserve"> recognize </w:t>
      </w:r>
      <w:r w:rsidRPr="003D63B1" w:rsidR="00795F53">
        <w:rPr>
          <w:rFonts w:cs="Times New Roman"/>
          <w:szCs w:val="24"/>
        </w:rPr>
        <w:t>i</w:t>
      </w:r>
      <w:r w:rsidRPr="003D63B1">
        <w:rPr>
          <w:rFonts w:cs="Times New Roman"/>
          <w:szCs w:val="24"/>
        </w:rPr>
        <w:t xml:space="preserve">n this rehearing that </w:t>
      </w:r>
      <w:r w:rsidRPr="003D63B1" w:rsidR="00A307E6">
        <w:rPr>
          <w:rFonts w:cs="Times New Roman"/>
          <w:szCs w:val="24"/>
        </w:rPr>
        <w:t xml:space="preserve">DP&amp;L </w:t>
      </w:r>
      <w:r w:rsidRPr="003D63B1">
        <w:rPr>
          <w:rFonts w:cs="Times New Roman"/>
          <w:szCs w:val="24"/>
        </w:rPr>
        <w:t>was collect</w:t>
      </w:r>
      <w:r w:rsidRPr="003D63B1" w:rsidR="002B7A69">
        <w:rPr>
          <w:rFonts w:cs="Times New Roman"/>
          <w:szCs w:val="24"/>
        </w:rPr>
        <w:t>ing</w:t>
      </w:r>
      <w:r w:rsidRPr="003D63B1">
        <w:rPr>
          <w:rFonts w:cs="Times New Roman"/>
          <w:szCs w:val="24"/>
        </w:rPr>
        <w:t xml:space="preserve"> its </w:t>
      </w:r>
      <w:r w:rsidRPr="003D63B1" w:rsidR="00A307E6">
        <w:rPr>
          <w:rFonts w:cs="Times New Roman"/>
          <w:szCs w:val="24"/>
        </w:rPr>
        <w:t>stability charge</w:t>
      </w:r>
      <w:r w:rsidRPr="003D63B1">
        <w:rPr>
          <w:rFonts w:cs="Times New Roman"/>
          <w:szCs w:val="24"/>
        </w:rPr>
        <w:t xml:space="preserve"> since August 11, 2021</w:t>
      </w:r>
      <w:r w:rsidRPr="003D63B1" w:rsidR="002B7A69">
        <w:rPr>
          <w:rFonts w:cs="Times New Roman"/>
          <w:szCs w:val="24"/>
        </w:rPr>
        <w:t xml:space="preserve"> in violation of the PUCO’s </w:t>
      </w:r>
      <w:r w:rsidR="00C4498F">
        <w:rPr>
          <w:rFonts w:cs="Times New Roman"/>
          <w:szCs w:val="24"/>
        </w:rPr>
        <w:t>Order</w:t>
      </w:r>
      <w:r w:rsidR="007E0FD5">
        <w:rPr>
          <w:rFonts w:cs="Times New Roman"/>
          <w:szCs w:val="24"/>
        </w:rPr>
        <w:t xml:space="preserve"> and Ohio laws (R.C. 4905.22</w:t>
      </w:r>
      <w:r w:rsidR="002A4E4C">
        <w:rPr>
          <w:rFonts w:cs="Times New Roman"/>
          <w:szCs w:val="24"/>
        </w:rPr>
        <w:t>, 4905.32 and 4905.54)</w:t>
      </w:r>
      <w:r w:rsidR="00C4498F">
        <w:rPr>
          <w:rFonts w:cs="Times New Roman"/>
          <w:szCs w:val="24"/>
        </w:rPr>
        <w:t xml:space="preserve">. </w:t>
      </w:r>
      <w:r w:rsidR="00700707">
        <w:rPr>
          <w:rFonts w:cs="Times New Roman"/>
          <w:szCs w:val="24"/>
        </w:rPr>
        <w:t>T</w:t>
      </w:r>
      <w:r w:rsidRPr="003D63B1">
        <w:rPr>
          <w:rFonts w:cs="Times New Roman"/>
          <w:szCs w:val="24"/>
        </w:rPr>
        <w:t xml:space="preserve">he PUCO should order DP&amp;L to return its illegally collected </w:t>
      </w:r>
      <w:r w:rsidRPr="003D63B1" w:rsidR="00C34B38">
        <w:rPr>
          <w:rFonts w:cs="Times New Roman"/>
          <w:szCs w:val="24"/>
        </w:rPr>
        <w:t xml:space="preserve">stability </w:t>
      </w:r>
      <w:r w:rsidRPr="003D63B1">
        <w:rPr>
          <w:rFonts w:cs="Times New Roman"/>
          <w:szCs w:val="24"/>
        </w:rPr>
        <w:t xml:space="preserve">charge </w:t>
      </w:r>
      <w:r w:rsidRPr="003D63B1" w:rsidR="00A307E6">
        <w:rPr>
          <w:rFonts w:cs="Times New Roman"/>
          <w:szCs w:val="24"/>
        </w:rPr>
        <w:t xml:space="preserve">to </w:t>
      </w:r>
      <w:r w:rsidR="00700707">
        <w:rPr>
          <w:rFonts w:cs="Times New Roman"/>
          <w:szCs w:val="24"/>
        </w:rPr>
        <w:t xml:space="preserve">its </w:t>
      </w:r>
      <w:r w:rsidRPr="003D63B1" w:rsidR="00A307E6">
        <w:rPr>
          <w:rFonts w:cs="Times New Roman"/>
          <w:szCs w:val="24"/>
        </w:rPr>
        <w:t>consumers</w:t>
      </w:r>
      <w:r w:rsidRPr="003D63B1">
        <w:rPr>
          <w:rFonts w:cs="Times New Roman"/>
          <w:szCs w:val="24"/>
        </w:rPr>
        <w:t>.</w:t>
      </w:r>
      <w:r w:rsidR="007768CE">
        <w:rPr>
          <w:rFonts w:cs="Times New Roman"/>
          <w:szCs w:val="24"/>
        </w:rPr>
        <w:t xml:space="preserve"> But it </w:t>
      </w:r>
      <w:r w:rsidR="002C174C">
        <w:rPr>
          <w:rFonts w:cs="Times New Roman"/>
          <w:szCs w:val="24"/>
        </w:rPr>
        <w:t>has</w:t>
      </w:r>
      <w:r w:rsidR="007768CE">
        <w:rPr>
          <w:rFonts w:cs="Times New Roman"/>
          <w:szCs w:val="24"/>
        </w:rPr>
        <w:t xml:space="preserve"> </w:t>
      </w:r>
      <w:r w:rsidR="00DB454D">
        <w:rPr>
          <w:rFonts w:cs="Times New Roman"/>
          <w:szCs w:val="24"/>
        </w:rPr>
        <w:t>so far refused to do</w:t>
      </w:r>
      <w:r w:rsidR="00700707">
        <w:rPr>
          <w:rFonts w:cs="Times New Roman"/>
          <w:szCs w:val="24"/>
        </w:rPr>
        <w:t xml:space="preserve"> so</w:t>
      </w:r>
      <w:r w:rsidR="007768CE">
        <w:rPr>
          <w:rFonts w:cs="Times New Roman"/>
          <w:szCs w:val="24"/>
        </w:rPr>
        <w:t>.</w:t>
      </w:r>
      <w:r>
        <w:rPr>
          <w:rStyle w:val="FootnoteReference"/>
          <w:rFonts w:cs="Times New Roman"/>
          <w:szCs w:val="24"/>
        </w:rPr>
        <w:footnoteReference w:id="5"/>
      </w:r>
      <w:r w:rsidR="00A956D0">
        <w:rPr>
          <w:rFonts w:cs="Times New Roman"/>
          <w:szCs w:val="24"/>
        </w:rPr>
        <w:t xml:space="preserve"> </w:t>
      </w:r>
    </w:p>
    <w:p w:rsidR="00570289" w:rsidP="00885A7D" w14:paraId="17EE77F0" w14:textId="33DB75CB">
      <w:pPr>
        <w:spacing w:after="0" w:line="480" w:lineRule="auto"/>
        <w:ind w:firstLine="720"/>
        <w:rPr>
          <w:rFonts w:cs="Times New Roman"/>
          <w:szCs w:val="24"/>
        </w:rPr>
      </w:pPr>
      <w:r w:rsidRPr="003D63B1">
        <w:rPr>
          <w:rFonts w:cs="Times New Roman"/>
          <w:szCs w:val="24"/>
        </w:rPr>
        <w:t xml:space="preserve">Accordingly, </w:t>
      </w:r>
      <w:r w:rsidRPr="003D63B1" w:rsidR="00795F53">
        <w:rPr>
          <w:rFonts w:cs="Times New Roman"/>
          <w:szCs w:val="24"/>
        </w:rPr>
        <w:t xml:space="preserve">under R.C. 4903.10, </w:t>
      </w:r>
      <w:r w:rsidRPr="003D63B1">
        <w:rPr>
          <w:rFonts w:cs="Times New Roman"/>
          <w:szCs w:val="24"/>
        </w:rPr>
        <w:t>OCC</w:t>
      </w:r>
      <w:r w:rsidRPr="003D63B1" w:rsidR="00E66C7A">
        <w:rPr>
          <w:rFonts w:cs="Times New Roman"/>
          <w:szCs w:val="24"/>
        </w:rPr>
        <w:t xml:space="preserve"> applies for rehearing of the PUCO’s </w:t>
      </w:r>
      <w:r w:rsidR="002C174C">
        <w:rPr>
          <w:rFonts w:cs="Times New Roman"/>
          <w:szCs w:val="24"/>
        </w:rPr>
        <w:t>October 5</w:t>
      </w:r>
      <w:r w:rsidR="00430E62">
        <w:rPr>
          <w:rFonts w:cs="Times New Roman"/>
          <w:szCs w:val="24"/>
        </w:rPr>
        <w:t xml:space="preserve">, 2022 </w:t>
      </w:r>
      <w:r w:rsidRPr="003D63B1" w:rsidR="00E66C7A">
        <w:rPr>
          <w:rFonts w:cs="Times New Roman"/>
          <w:szCs w:val="24"/>
        </w:rPr>
        <w:t>Entry</w:t>
      </w:r>
      <w:r w:rsidRPr="003D63B1" w:rsidR="00B56162">
        <w:rPr>
          <w:rFonts w:cs="Times New Roman"/>
          <w:szCs w:val="24"/>
        </w:rPr>
        <w:t>. The Entry unlawfully and</w:t>
      </w:r>
      <w:r w:rsidRPr="003D63B1" w:rsidR="00E66C7A">
        <w:rPr>
          <w:rFonts w:cs="Times New Roman"/>
          <w:szCs w:val="24"/>
        </w:rPr>
        <w:t xml:space="preserve"> unreasonably </w:t>
      </w:r>
      <w:r w:rsidR="00430E62">
        <w:rPr>
          <w:rFonts w:cs="Times New Roman"/>
          <w:szCs w:val="24"/>
        </w:rPr>
        <w:t>denied consumers a refund of charges that were collected from them under unauthorized tar</w:t>
      </w:r>
      <w:r w:rsidR="00AD474F">
        <w:rPr>
          <w:rFonts w:cs="Times New Roman"/>
          <w:szCs w:val="24"/>
        </w:rPr>
        <w:t>i</w:t>
      </w:r>
      <w:r w:rsidR="00430E62">
        <w:rPr>
          <w:rFonts w:cs="Times New Roman"/>
          <w:szCs w:val="24"/>
        </w:rPr>
        <w:t>ffs</w:t>
      </w:r>
      <w:r w:rsidRPr="003D63B1" w:rsidR="00E66C7A">
        <w:rPr>
          <w:rFonts w:cs="Times New Roman"/>
          <w:szCs w:val="24"/>
        </w:rPr>
        <w:t>.</w:t>
      </w:r>
      <w:r w:rsidRPr="003D63B1" w:rsidR="004B0CBA">
        <w:rPr>
          <w:rFonts w:cs="Times New Roman"/>
          <w:szCs w:val="24"/>
        </w:rPr>
        <w:t xml:space="preserve"> </w:t>
      </w:r>
      <w:r w:rsidRPr="003D63B1" w:rsidR="00E66C7A">
        <w:rPr>
          <w:rFonts w:cs="Times New Roman"/>
          <w:szCs w:val="24"/>
        </w:rPr>
        <w:t xml:space="preserve">The PUCO’s Entry is </w:t>
      </w:r>
      <w:r w:rsidRPr="003D63B1" w:rsidR="00E66C7A">
        <w:rPr>
          <w:rFonts w:cs="Times New Roman"/>
          <w:i/>
          <w:iCs/>
          <w:szCs w:val="24"/>
        </w:rPr>
        <w:t>unreasonable and unlawful</w:t>
      </w:r>
      <w:r w:rsidRPr="003D63B1" w:rsidR="00E66C7A">
        <w:rPr>
          <w:rFonts w:cs="Times New Roman"/>
          <w:szCs w:val="24"/>
        </w:rPr>
        <w:t xml:space="preserve"> in the following respects:</w:t>
      </w:r>
    </w:p>
    <w:p w:rsidR="00570289" w14:paraId="0542C71D" w14:textId="77777777">
      <w:pPr>
        <w:spacing w:after="160" w:line="259" w:lineRule="auto"/>
        <w:rPr>
          <w:rFonts w:cs="Times New Roman"/>
          <w:szCs w:val="24"/>
        </w:rPr>
      </w:pPr>
      <w:r>
        <w:rPr>
          <w:rFonts w:cs="Times New Roman"/>
          <w:szCs w:val="24"/>
        </w:rPr>
        <w:br w:type="page"/>
      </w:r>
    </w:p>
    <w:p w:rsidR="00477B10" w:rsidRPr="00700707" w:rsidP="00171829" w14:paraId="6EB17905" w14:textId="619C1EE2">
      <w:pPr>
        <w:spacing w:line="240" w:lineRule="auto"/>
        <w:ind w:left="720"/>
        <w:rPr>
          <w:rFonts w:cs="Times New Roman"/>
          <w:b/>
          <w:bCs/>
          <w:szCs w:val="24"/>
        </w:rPr>
      </w:pPr>
      <w:r w:rsidRPr="00171829">
        <w:rPr>
          <w:rFonts w:cs="Times New Roman"/>
          <w:b/>
          <w:bCs/>
          <w:szCs w:val="24"/>
        </w:rPr>
        <w:t>Claim of Error 1:</w:t>
      </w:r>
      <w:r w:rsidRPr="00171829">
        <w:rPr>
          <w:rFonts w:cs="Times New Roman"/>
          <w:szCs w:val="24"/>
        </w:rPr>
        <w:t xml:space="preserve"> </w:t>
      </w:r>
      <w:r w:rsidRPr="00700707">
        <w:rPr>
          <w:rFonts w:cs="Times New Roman"/>
          <w:b/>
          <w:bCs/>
          <w:szCs w:val="24"/>
        </w:rPr>
        <w:t xml:space="preserve">The PUCO erred when </w:t>
      </w:r>
      <w:r w:rsidRPr="00700707" w:rsidR="00FD6EC9">
        <w:rPr>
          <w:rFonts w:cs="Times New Roman"/>
          <w:b/>
          <w:bCs/>
          <w:szCs w:val="24"/>
        </w:rPr>
        <w:t xml:space="preserve">it </w:t>
      </w:r>
      <w:r w:rsidRPr="00700707">
        <w:rPr>
          <w:rFonts w:cs="Times New Roman"/>
          <w:b/>
          <w:bCs/>
          <w:szCs w:val="24"/>
        </w:rPr>
        <w:t xml:space="preserve">failed to order refunds for $60 million paid </w:t>
      </w:r>
      <w:r w:rsidRPr="00700707" w:rsidR="00FD6EC9">
        <w:rPr>
          <w:rFonts w:cs="Times New Roman"/>
          <w:b/>
          <w:bCs/>
          <w:szCs w:val="24"/>
        </w:rPr>
        <w:t xml:space="preserve">by consumers </w:t>
      </w:r>
      <w:r w:rsidRPr="00700707">
        <w:rPr>
          <w:rFonts w:cs="Times New Roman"/>
          <w:b/>
          <w:bCs/>
          <w:szCs w:val="24"/>
        </w:rPr>
        <w:t xml:space="preserve">under DP&amp;L’s unauthorized tariffs, after finding </w:t>
      </w:r>
      <w:r w:rsidRPr="00700707" w:rsidR="007C1111">
        <w:rPr>
          <w:rFonts w:cs="Times New Roman"/>
          <w:b/>
          <w:bCs/>
          <w:szCs w:val="24"/>
        </w:rPr>
        <w:t xml:space="preserve">that the issue is </w:t>
      </w:r>
      <w:r w:rsidR="00700707">
        <w:rPr>
          <w:rFonts w:cs="Times New Roman"/>
          <w:b/>
          <w:bCs/>
          <w:szCs w:val="24"/>
        </w:rPr>
        <w:t>“</w:t>
      </w:r>
      <w:r w:rsidRPr="00700707" w:rsidR="007C1111">
        <w:rPr>
          <w:rFonts w:cs="Times New Roman"/>
          <w:b/>
          <w:bCs/>
          <w:szCs w:val="24"/>
        </w:rPr>
        <w:t>moot</w:t>
      </w:r>
      <w:r w:rsidRPr="00700707">
        <w:rPr>
          <w:rFonts w:cs="Times New Roman"/>
          <w:b/>
          <w:bCs/>
          <w:szCs w:val="24"/>
        </w:rPr>
        <w:t>.</w:t>
      </w:r>
      <w:r w:rsidR="00700707">
        <w:rPr>
          <w:rFonts w:cs="Times New Roman"/>
          <w:b/>
          <w:bCs/>
          <w:szCs w:val="24"/>
        </w:rPr>
        <w:t>”</w:t>
      </w:r>
      <w:r w:rsidRPr="00700707">
        <w:rPr>
          <w:rFonts w:cs="Times New Roman"/>
          <w:b/>
          <w:bCs/>
          <w:szCs w:val="24"/>
        </w:rPr>
        <w:t xml:space="preserve"> Contrary to the PUCO’s conclusion, </w:t>
      </w:r>
      <w:r w:rsidRPr="00700707" w:rsidR="007C1111">
        <w:rPr>
          <w:rFonts w:cs="Times New Roman"/>
          <w:b/>
          <w:bCs/>
          <w:szCs w:val="24"/>
        </w:rPr>
        <w:t>the issue is capable of repetition while evading review and is therefore an exception to mootness</w:t>
      </w:r>
      <w:r w:rsidRPr="00700707">
        <w:rPr>
          <w:rFonts w:cs="Times New Roman"/>
          <w:b/>
          <w:bCs/>
          <w:szCs w:val="24"/>
        </w:rPr>
        <w:t>.</w:t>
      </w:r>
    </w:p>
    <w:p w:rsidR="001F0A30" w:rsidP="00452F74" w14:paraId="20C1134B" w14:textId="77777777">
      <w:pPr>
        <w:spacing w:line="240" w:lineRule="auto"/>
        <w:ind w:left="720"/>
        <w:rPr>
          <w:b/>
          <w:bCs/>
        </w:rPr>
      </w:pPr>
      <w:r w:rsidRPr="00452F74">
        <w:rPr>
          <w:b/>
          <w:bCs/>
        </w:rPr>
        <w:t xml:space="preserve">Claim of Error 2: The PUCO erred, violating R.C. 4903.09, when it unlawfully </w:t>
      </w:r>
      <w:r w:rsidRPr="00452F74" w:rsidR="00D51D23">
        <w:rPr>
          <w:b/>
          <w:bCs/>
        </w:rPr>
        <w:t xml:space="preserve">and unreasonably </w:t>
      </w:r>
      <w:r w:rsidRPr="00452F74">
        <w:rPr>
          <w:b/>
          <w:bCs/>
        </w:rPr>
        <w:t>claimed</w:t>
      </w:r>
      <w:r w:rsidRPr="00452F74" w:rsidR="00FD738D">
        <w:rPr>
          <w:b/>
          <w:bCs/>
        </w:rPr>
        <w:t xml:space="preserve">, without evidence and sound reasoning, </w:t>
      </w:r>
      <w:r w:rsidRPr="00452F74">
        <w:rPr>
          <w:b/>
          <w:bCs/>
        </w:rPr>
        <w:t>that it approved DP&amp;L’s tariffs under authority independent of the rehearing statute.</w:t>
      </w:r>
      <w:r w:rsidRPr="00452F74" w:rsidR="00700707">
        <w:rPr>
          <w:b/>
          <w:bCs/>
        </w:rPr>
        <w:t xml:space="preserve"> </w:t>
      </w:r>
    </w:p>
    <w:p w:rsidR="00700707" w:rsidRPr="00700707" w:rsidP="00452F74" w14:paraId="5A8FC55A" w14:textId="38D5FFFC">
      <w:pPr>
        <w:spacing w:line="240" w:lineRule="auto"/>
        <w:ind w:left="720"/>
        <w:rPr>
          <w:bCs/>
        </w:rPr>
      </w:pPr>
      <w:r>
        <w:rPr>
          <w:b/>
          <w:bCs/>
        </w:rPr>
        <w:t xml:space="preserve">Claim of Error 3: </w:t>
      </w:r>
      <w:r w:rsidRPr="00452F74">
        <w:rPr>
          <w:b/>
          <w:bCs/>
        </w:rPr>
        <w:t xml:space="preserve">The PUCO erred in </w:t>
      </w:r>
      <w:r w:rsidR="00DB454D">
        <w:rPr>
          <w:b/>
          <w:bCs/>
        </w:rPr>
        <w:t>stating</w:t>
      </w:r>
      <w:r w:rsidRPr="00452F74">
        <w:rPr>
          <w:b/>
          <w:bCs/>
        </w:rPr>
        <w:t xml:space="preserve"> that the plain language of R.C. 4903.10 and the case law does not limit </w:t>
      </w:r>
      <w:r w:rsidR="00DB454D">
        <w:rPr>
          <w:b/>
          <w:bCs/>
        </w:rPr>
        <w:t>its</w:t>
      </w:r>
      <w:r w:rsidRPr="00452F74">
        <w:rPr>
          <w:b/>
          <w:bCs/>
        </w:rPr>
        <w:t xml:space="preserve"> authority to address issues on rehearing.</w:t>
      </w:r>
      <w:r w:rsidRPr="00700707">
        <w:rPr>
          <w:bCs/>
        </w:rPr>
        <w:t xml:space="preserve"> </w:t>
      </w:r>
    </w:p>
    <w:p w:rsidR="002B4F91" w:rsidRPr="003D63B1" w:rsidP="00566121" w14:paraId="42B3F72C" w14:textId="1F30F460">
      <w:pPr>
        <w:spacing w:after="0" w:line="480" w:lineRule="auto"/>
        <w:ind w:firstLine="720"/>
        <w:rPr>
          <w:rFonts w:cs="Times New Roman"/>
          <w:szCs w:val="24"/>
        </w:rPr>
      </w:pPr>
      <w:r w:rsidRPr="003D63B1">
        <w:rPr>
          <w:rFonts w:cs="Times New Roman"/>
          <w:szCs w:val="24"/>
        </w:rPr>
        <w:t xml:space="preserve">The PUCO should grant rehearing and abrogate or modify its </w:t>
      </w:r>
      <w:r w:rsidR="00CD0836">
        <w:rPr>
          <w:rFonts w:cs="Times New Roman"/>
          <w:szCs w:val="24"/>
        </w:rPr>
        <w:t>October 5</w:t>
      </w:r>
      <w:r w:rsidR="00171829">
        <w:rPr>
          <w:rFonts w:cs="Times New Roman"/>
          <w:szCs w:val="24"/>
        </w:rPr>
        <w:t xml:space="preserve">, 2022 </w:t>
      </w:r>
      <w:r w:rsidR="00DB454D">
        <w:rPr>
          <w:rFonts w:cs="Times New Roman"/>
          <w:szCs w:val="24"/>
        </w:rPr>
        <w:t xml:space="preserve">Ninth </w:t>
      </w:r>
      <w:r w:rsidRPr="003D63B1">
        <w:rPr>
          <w:rFonts w:cs="Times New Roman"/>
          <w:szCs w:val="24"/>
        </w:rPr>
        <w:t>Entry</w:t>
      </w:r>
      <w:r w:rsidR="00DB454D">
        <w:rPr>
          <w:rFonts w:cs="Times New Roman"/>
          <w:szCs w:val="24"/>
        </w:rPr>
        <w:t xml:space="preserve"> on Rehearing</w:t>
      </w:r>
      <w:r w:rsidRPr="003D63B1">
        <w:rPr>
          <w:rFonts w:cs="Times New Roman"/>
          <w:szCs w:val="24"/>
        </w:rPr>
        <w:t xml:space="preserve">. The PUCO should </w:t>
      </w:r>
      <w:r w:rsidRPr="003D63B1" w:rsidR="009A75D6">
        <w:rPr>
          <w:rFonts w:cs="Times New Roman"/>
          <w:szCs w:val="24"/>
        </w:rPr>
        <w:t xml:space="preserve">order </w:t>
      </w:r>
      <w:r w:rsidRPr="003D63B1" w:rsidR="00420B5C">
        <w:rPr>
          <w:rFonts w:cs="Times New Roman"/>
          <w:szCs w:val="24"/>
        </w:rPr>
        <w:t xml:space="preserve">DP&amp;L to return to consumers the </w:t>
      </w:r>
      <w:r w:rsidRPr="003D63B1" w:rsidR="009A75D6">
        <w:rPr>
          <w:rFonts w:cs="Times New Roman"/>
          <w:szCs w:val="24"/>
        </w:rPr>
        <w:t xml:space="preserve">stability charges </w:t>
      </w:r>
      <w:r w:rsidRPr="003D63B1" w:rsidR="00420B5C">
        <w:rPr>
          <w:rFonts w:cs="Times New Roman"/>
          <w:szCs w:val="24"/>
        </w:rPr>
        <w:t xml:space="preserve">it collected </w:t>
      </w:r>
      <w:r w:rsidRPr="003D63B1" w:rsidR="009A75D6">
        <w:rPr>
          <w:rFonts w:cs="Times New Roman"/>
          <w:szCs w:val="24"/>
        </w:rPr>
        <w:t>without an authorized tariff since August 2021.</w:t>
      </w:r>
      <w:r w:rsidRPr="003D63B1" w:rsidR="00420B5C">
        <w:rPr>
          <w:rFonts w:cs="Times New Roman"/>
          <w:szCs w:val="24"/>
        </w:rPr>
        <w:t xml:space="preserve"> </w:t>
      </w:r>
    </w:p>
    <w:p w:rsidR="002B4F91" w:rsidRPr="003D63B1" w:rsidP="00BD6564" w14:paraId="0447A882" w14:textId="0523C322">
      <w:pPr>
        <w:spacing w:after="0" w:line="480" w:lineRule="auto"/>
        <w:ind w:firstLine="720"/>
        <w:rPr>
          <w:rFonts w:cs="Times New Roman"/>
          <w:szCs w:val="24"/>
        </w:rPr>
      </w:pPr>
      <w:r w:rsidRPr="003D63B1">
        <w:rPr>
          <w:rFonts w:cs="Times New Roman"/>
          <w:szCs w:val="24"/>
        </w:rPr>
        <w:t xml:space="preserve">The reasons for granting this Application for Rehearing are set forth in the attached Memorandum in Support. </w:t>
      </w:r>
    </w:p>
    <w:p w:rsidR="00195DA3" w:rsidRPr="003D63B1" w:rsidP="0062074C" w14:paraId="4A82F938" w14:textId="44EA92C9">
      <w:pPr>
        <w:tabs>
          <w:tab w:val="left" w:pos="4320"/>
        </w:tabs>
        <w:spacing w:after="0" w:line="240" w:lineRule="auto"/>
        <w:ind w:left="4320"/>
        <w:rPr>
          <w:rFonts w:cs="Times New Roman"/>
          <w:szCs w:val="24"/>
        </w:rPr>
      </w:pPr>
      <w:r w:rsidRPr="003D63B1">
        <w:rPr>
          <w:rFonts w:cs="Times New Roman"/>
          <w:szCs w:val="24"/>
        </w:rPr>
        <w:t xml:space="preserve">Respectfully </w:t>
      </w:r>
      <w:r w:rsidRPr="003D63B1" w:rsidR="00BD6564">
        <w:rPr>
          <w:rFonts w:cs="Times New Roman"/>
          <w:szCs w:val="24"/>
        </w:rPr>
        <w:t>s</w:t>
      </w:r>
      <w:r w:rsidRPr="003D63B1">
        <w:rPr>
          <w:rFonts w:cs="Times New Roman"/>
          <w:szCs w:val="24"/>
        </w:rPr>
        <w:t xml:space="preserve">ubmitted, </w:t>
      </w:r>
    </w:p>
    <w:p w:rsidR="00195DA3" w:rsidRPr="003D63B1" w:rsidP="0062074C" w14:paraId="134ADC82" w14:textId="77777777">
      <w:pPr>
        <w:tabs>
          <w:tab w:val="left" w:pos="4320"/>
        </w:tabs>
        <w:spacing w:after="0" w:line="240" w:lineRule="auto"/>
        <w:ind w:left="4320"/>
        <w:rPr>
          <w:rFonts w:cs="Times New Roman"/>
          <w:szCs w:val="24"/>
        </w:rPr>
      </w:pPr>
    </w:p>
    <w:p w:rsidR="00195DA3" w:rsidRPr="003D63B1" w:rsidP="0062074C" w14:paraId="64B93FAD" w14:textId="1D9FB762">
      <w:pPr>
        <w:tabs>
          <w:tab w:val="left" w:pos="4320"/>
        </w:tabs>
        <w:spacing w:after="0" w:line="240" w:lineRule="auto"/>
        <w:ind w:left="4320"/>
        <w:rPr>
          <w:rFonts w:cs="Times New Roman"/>
          <w:szCs w:val="24"/>
        </w:rPr>
      </w:pPr>
      <w:r w:rsidRPr="003D63B1">
        <w:rPr>
          <w:rFonts w:cs="Times New Roman"/>
          <w:szCs w:val="24"/>
        </w:rPr>
        <w:t>Bruce Weston (0016973)</w:t>
      </w:r>
    </w:p>
    <w:p w:rsidR="00195DA3" w:rsidRPr="003D63B1" w:rsidP="0062074C" w14:paraId="31CCC616" w14:textId="77777777">
      <w:pPr>
        <w:tabs>
          <w:tab w:val="left" w:pos="4320"/>
        </w:tabs>
        <w:spacing w:after="0" w:line="240" w:lineRule="auto"/>
        <w:ind w:left="4320"/>
        <w:rPr>
          <w:rFonts w:cs="Times New Roman"/>
          <w:szCs w:val="24"/>
        </w:rPr>
      </w:pPr>
      <w:r w:rsidRPr="003D63B1">
        <w:rPr>
          <w:rFonts w:cs="Times New Roman"/>
          <w:szCs w:val="24"/>
        </w:rPr>
        <w:t>Ohio Consumers’ Counsel</w:t>
      </w:r>
    </w:p>
    <w:p w:rsidR="00195DA3" w:rsidRPr="003D63B1" w:rsidP="0062074C" w14:paraId="17D80599" w14:textId="77777777">
      <w:pPr>
        <w:tabs>
          <w:tab w:val="left" w:pos="4320"/>
        </w:tabs>
        <w:spacing w:after="0" w:line="240" w:lineRule="auto"/>
        <w:ind w:left="4320"/>
        <w:rPr>
          <w:rFonts w:cs="Times New Roman"/>
          <w:szCs w:val="24"/>
        </w:rPr>
      </w:pPr>
    </w:p>
    <w:p w:rsidR="00195DA3" w:rsidRPr="003D63B1" w:rsidP="0062074C" w14:paraId="30470AFB" w14:textId="3752AE3C">
      <w:pPr>
        <w:tabs>
          <w:tab w:val="left" w:pos="4320"/>
        </w:tabs>
        <w:spacing w:after="0" w:line="240" w:lineRule="auto"/>
        <w:ind w:left="4320" w:right="-180"/>
        <w:rPr>
          <w:rFonts w:cs="Times New Roman"/>
          <w:i/>
          <w:iCs/>
          <w:szCs w:val="24"/>
          <w:u w:val="single"/>
        </w:rPr>
      </w:pPr>
      <w:r w:rsidRPr="003D63B1">
        <w:rPr>
          <w:rFonts w:cs="Times New Roman"/>
          <w:i/>
          <w:iCs/>
          <w:szCs w:val="24"/>
          <w:u w:val="single"/>
        </w:rPr>
        <w:t>/s/ Maureen R. Willis</w:t>
      </w:r>
    </w:p>
    <w:p w:rsidR="00195DA3" w:rsidRPr="003D63B1" w:rsidP="0062074C" w14:paraId="555B7C9F" w14:textId="7D473848">
      <w:pPr>
        <w:tabs>
          <w:tab w:val="left" w:pos="4320"/>
        </w:tabs>
        <w:spacing w:after="0" w:line="240" w:lineRule="auto"/>
        <w:ind w:left="4320" w:right="-180"/>
        <w:rPr>
          <w:rFonts w:cs="Times New Roman"/>
          <w:szCs w:val="24"/>
        </w:rPr>
      </w:pPr>
      <w:r w:rsidRPr="003D63B1">
        <w:rPr>
          <w:rFonts w:cs="Times New Roman"/>
          <w:szCs w:val="24"/>
        </w:rPr>
        <w:t>Maureen R. Willis (0020847)</w:t>
      </w:r>
    </w:p>
    <w:p w:rsidR="00937258" w:rsidRPr="003D63B1" w:rsidP="0062074C" w14:paraId="6DE045A1" w14:textId="77777777">
      <w:pPr>
        <w:tabs>
          <w:tab w:val="left" w:pos="4320"/>
        </w:tabs>
        <w:spacing w:after="0" w:line="240" w:lineRule="auto"/>
        <w:ind w:left="4320" w:right="-180"/>
        <w:rPr>
          <w:rFonts w:cs="Times New Roman"/>
          <w:szCs w:val="24"/>
        </w:rPr>
      </w:pPr>
      <w:r w:rsidRPr="003D63B1">
        <w:rPr>
          <w:rFonts w:cs="Times New Roman"/>
          <w:szCs w:val="24"/>
        </w:rPr>
        <w:t>Senior Counsel</w:t>
      </w:r>
    </w:p>
    <w:p w:rsidR="00195DA3" w:rsidRPr="003D63B1" w:rsidP="0062074C" w14:paraId="31C8C8E3" w14:textId="0CDF4ED7">
      <w:pPr>
        <w:tabs>
          <w:tab w:val="left" w:pos="4320"/>
        </w:tabs>
        <w:spacing w:after="0" w:line="240" w:lineRule="auto"/>
        <w:ind w:left="4320" w:right="-180"/>
        <w:rPr>
          <w:rFonts w:cs="Times New Roman"/>
          <w:szCs w:val="24"/>
        </w:rPr>
      </w:pPr>
      <w:r w:rsidRPr="003D63B1">
        <w:rPr>
          <w:rFonts w:cs="Times New Roman"/>
          <w:szCs w:val="24"/>
        </w:rPr>
        <w:t>Counsel of Record</w:t>
      </w:r>
    </w:p>
    <w:p w:rsidR="00195DA3" w:rsidRPr="003D63B1" w:rsidP="0062074C" w14:paraId="7ECF803B" w14:textId="77777777">
      <w:pPr>
        <w:tabs>
          <w:tab w:val="left" w:pos="4320"/>
        </w:tabs>
        <w:spacing w:after="0" w:line="240" w:lineRule="auto"/>
        <w:ind w:left="4320" w:right="-180"/>
        <w:rPr>
          <w:rFonts w:cs="Times New Roman"/>
          <w:szCs w:val="24"/>
        </w:rPr>
      </w:pPr>
      <w:r w:rsidRPr="003D63B1">
        <w:rPr>
          <w:rFonts w:cs="Times New Roman"/>
          <w:szCs w:val="24"/>
        </w:rPr>
        <w:t>William J. Michael (0070921)</w:t>
      </w:r>
    </w:p>
    <w:p w:rsidR="00195DA3" w:rsidRPr="003D63B1" w:rsidP="0062074C" w14:paraId="79775A7B" w14:textId="77777777">
      <w:pPr>
        <w:spacing w:after="0" w:line="240" w:lineRule="auto"/>
        <w:ind w:left="3600" w:firstLine="720"/>
        <w:rPr>
          <w:rFonts w:cs="Times New Roman"/>
          <w:szCs w:val="24"/>
        </w:rPr>
      </w:pPr>
      <w:r w:rsidRPr="003D63B1">
        <w:rPr>
          <w:rFonts w:cs="Times New Roman"/>
          <w:szCs w:val="24"/>
        </w:rPr>
        <w:t xml:space="preserve">Assistant Consumers’ Counsel </w:t>
      </w:r>
    </w:p>
    <w:p w:rsidR="00195DA3" w:rsidRPr="003D63B1" w:rsidP="0062074C" w14:paraId="72D7150B" w14:textId="77777777">
      <w:pPr>
        <w:spacing w:after="0" w:line="240" w:lineRule="auto"/>
        <w:ind w:left="3600" w:firstLine="720"/>
        <w:rPr>
          <w:rFonts w:cs="Times New Roman"/>
          <w:szCs w:val="24"/>
        </w:rPr>
      </w:pPr>
    </w:p>
    <w:p w:rsidR="00195DA3" w:rsidRPr="003D63B1" w:rsidP="0062074C" w14:paraId="404F4AA5" w14:textId="77777777">
      <w:pPr>
        <w:spacing w:after="0" w:line="240" w:lineRule="auto"/>
        <w:ind w:left="3600" w:firstLine="720"/>
        <w:rPr>
          <w:rFonts w:cs="Times New Roman"/>
          <w:b/>
          <w:bCs/>
          <w:szCs w:val="24"/>
        </w:rPr>
      </w:pPr>
      <w:r w:rsidRPr="003D63B1">
        <w:rPr>
          <w:rFonts w:cs="Times New Roman"/>
          <w:b/>
          <w:bCs/>
          <w:szCs w:val="24"/>
        </w:rPr>
        <w:t>Office of the Ohio Consumers’ Counsel</w:t>
      </w:r>
    </w:p>
    <w:p w:rsidR="00195DA3" w:rsidRPr="003D63B1" w:rsidP="0062074C" w14:paraId="3CEF7B53" w14:textId="77777777">
      <w:pPr>
        <w:pStyle w:val="PlainText"/>
        <w:ind w:left="3600" w:firstLine="720"/>
        <w:rPr>
          <w:rFonts w:ascii="Times New Roman" w:hAnsi="Times New Roman" w:cs="Times New Roman"/>
          <w:sz w:val="24"/>
          <w:szCs w:val="24"/>
        </w:rPr>
      </w:pPr>
      <w:r w:rsidRPr="003D63B1">
        <w:rPr>
          <w:rFonts w:ascii="Times New Roman" w:hAnsi="Times New Roman" w:cs="Times New Roman"/>
          <w:sz w:val="24"/>
          <w:szCs w:val="24"/>
        </w:rPr>
        <w:t>65 East State Street, Suite 700</w:t>
      </w:r>
    </w:p>
    <w:p w:rsidR="00195DA3" w:rsidRPr="003D63B1" w:rsidP="0062074C" w14:paraId="4A5B01C2" w14:textId="77777777">
      <w:pPr>
        <w:pStyle w:val="PlainText"/>
        <w:ind w:left="3600" w:firstLine="720"/>
        <w:rPr>
          <w:rFonts w:ascii="Times New Roman" w:hAnsi="Times New Roman" w:cs="Times New Roman"/>
          <w:sz w:val="24"/>
          <w:szCs w:val="24"/>
        </w:rPr>
      </w:pPr>
      <w:r w:rsidRPr="003D63B1">
        <w:rPr>
          <w:rFonts w:ascii="Times New Roman" w:hAnsi="Times New Roman" w:cs="Times New Roman"/>
          <w:sz w:val="24"/>
          <w:szCs w:val="24"/>
        </w:rPr>
        <w:t>Columbus, Ohio 43215</w:t>
      </w:r>
    </w:p>
    <w:p w:rsidR="00195DA3" w:rsidRPr="003D63B1" w:rsidP="0062074C" w14:paraId="205F4AD1" w14:textId="77777777">
      <w:pPr>
        <w:adjustRightInd w:val="0"/>
        <w:spacing w:after="0" w:line="240" w:lineRule="auto"/>
        <w:ind w:left="4320"/>
        <w:rPr>
          <w:rFonts w:cs="Times New Roman"/>
          <w:szCs w:val="24"/>
        </w:rPr>
      </w:pPr>
      <w:r w:rsidRPr="003D63B1">
        <w:rPr>
          <w:rFonts w:cs="Times New Roman"/>
          <w:szCs w:val="24"/>
        </w:rPr>
        <w:t>Telephone: Willis (614) 466-9567</w:t>
      </w:r>
    </w:p>
    <w:p w:rsidR="00195DA3" w:rsidRPr="003D63B1" w:rsidP="0062074C" w14:paraId="02C5F784" w14:textId="77777777">
      <w:pPr>
        <w:adjustRightInd w:val="0"/>
        <w:spacing w:after="0" w:line="240" w:lineRule="auto"/>
        <w:ind w:left="4320"/>
        <w:rPr>
          <w:rFonts w:cs="Times New Roman"/>
          <w:szCs w:val="24"/>
        </w:rPr>
      </w:pPr>
      <w:r w:rsidRPr="003D63B1">
        <w:rPr>
          <w:rFonts w:cs="Times New Roman"/>
          <w:szCs w:val="24"/>
        </w:rPr>
        <w:t>Telephone: Michael (614) 466-1291</w:t>
      </w:r>
    </w:p>
    <w:p w:rsidR="00195DA3" w:rsidRPr="003D63B1" w:rsidP="0062074C" w14:paraId="7FB53048" w14:textId="77777777">
      <w:pPr>
        <w:spacing w:after="0" w:line="240" w:lineRule="auto"/>
        <w:ind w:left="4320"/>
        <w:rPr>
          <w:rFonts w:cs="Times New Roman"/>
          <w:szCs w:val="24"/>
        </w:rPr>
      </w:pPr>
      <w:hyperlink r:id="rId6" w:history="1">
        <w:r w:rsidRPr="003D63B1" w:rsidR="00604367">
          <w:rPr>
            <w:rStyle w:val="Hyperlink"/>
            <w:rFonts w:cs="Times New Roman"/>
            <w:szCs w:val="24"/>
          </w:rPr>
          <w:t>maureen.willis@occ.ohio.gov</w:t>
        </w:r>
      </w:hyperlink>
      <w:r w:rsidRPr="003D63B1" w:rsidR="00604367">
        <w:rPr>
          <w:rFonts w:cs="Times New Roman"/>
          <w:szCs w:val="24"/>
        </w:rPr>
        <w:t xml:space="preserve"> </w:t>
      </w:r>
    </w:p>
    <w:p w:rsidR="00195DA3" w:rsidRPr="003D63B1" w:rsidP="0062074C" w14:paraId="650A363D" w14:textId="77777777">
      <w:pPr>
        <w:spacing w:after="0" w:line="240" w:lineRule="auto"/>
        <w:ind w:left="4320"/>
        <w:rPr>
          <w:rStyle w:val="Hyperlink"/>
          <w:rFonts w:cs="Times New Roman"/>
          <w:szCs w:val="24"/>
        </w:rPr>
      </w:pPr>
      <w:hyperlink r:id="rId7" w:history="1">
        <w:r w:rsidRPr="003D63B1" w:rsidR="00604367">
          <w:rPr>
            <w:rStyle w:val="Hyperlink"/>
            <w:rFonts w:cs="Times New Roman"/>
            <w:szCs w:val="24"/>
          </w:rPr>
          <w:t>william.michael@occ.ohio.gov</w:t>
        </w:r>
      </w:hyperlink>
    </w:p>
    <w:p w:rsidR="00195DA3" w:rsidRPr="003D63B1" w:rsidP="0062074C" w14:paraId="53CFAB49" w14:textId="4E281F6F">
      <w:pPr>
        <w:spacing w:after="0" w:line="240" w:lineRule="auto"/>
        <w:ind w:firstLine="4320"/>
        <w:rPr>
          <w:rFonts w:cs="Times New Roman"/>
          <w:szCs w:val="24"/>
        </w:rPr>
      </w:pPr>
      <w:r w:rsidRPr="003D63B1">
        <w:rPr>
          <w:rFonts w:cs="Times New Roman"/>
          <w:szCs w:val="24"/>
        </w:rPr>
        <w:t>(willing to accept service by e-mail)</w:t>
      </w:r>
    </w:p>
    <w:p w:rsidR="002B4F91" w:rsidRPr="003D63B1" w:rsidP="00195DA3" w14:paraId="5BBD9885" w14:textId="60EAE34A">
      <w:pPr>
        <w:spacing w:line="480" w:lineRule="auto"/>
        <w:ind w:firstLine="720"/>
        <w:rPr>
          <w:rFonts w:cs="Times New Roman"/>
          <w:szCs w:val="24"/>
        </w:rPr>
      </w:pPr>
    </w:p>
    <w:p w:rsidR="002B4F91" w:rsidRPr="003D63B1" w14:paraId="1390FE23" w14:textId="77777777">
      <w:pPr>
        <w:spacing w:after="0" w:line="240" w:lineRule="auto"/>
        <w:rPr>
          <w:rFonts w:cs="Times New Roman"/>
          <w:szCs w:val="24"/>
        </w:rPr>
        <w:sectPr w:rsidSect="0049630E">
          <w:footerReference w:type="default" r:id="rId9"/>
          <w:pgSz w:w="12240" w:h="15840"/>
          <w:pgMar w:top="1440" w:right="1800" w:bottom="1440" w:left="1800" w:header="720" w:footer="720" w:gutter="0"/>
          <w:pgNumType w:start="1"/>
          <w:cols w:space="720"/>
          <w:docGrid w:linePitch="360"/>
        </w:sectPr>
      </w:pPr>
    </w:p>
    <w:p w:rsidR="002B4F91" w:rsidRPr="003D63B1" w14:paraId="3C7233B2" w14:textId="77777777">
      <w:pPr>
        <w:spacing w:after="0" w:line="240" w:lineRule="auto"/>
        <w:jc w:val="center"/>
        <w:rPr>
          <w:rFonts w:cs="Times New Roman"/>
          <w:b/>
          <w:szCs w:val="24"/>
          <w:u w:val="single"/>
        </w:rPr>
      </w:pPr>
      <w:r w:rsidRPr="003D63B1">
        <w:rPr>
          <w:rFonts w:cs="Times New Roman"/>
          <w:b/>
          <w:szCs w:val="24"/>
          <w:u w:val="single"/>
        </w:rPr>
        <w:t>TABLE OF CONTENTS</w:t>
      </w:r>
    </w:p>
    <w:p w:rsidR="002B4F91" w:rsidRPr="003D63B1" w14:paraId="0436093C" w14:textId="77777777">
      <w:pPr>
        <w:spacing w:after="0" w:line="240" w:lineRule="auto"/>
        <w:jc w:val="center"/>
        <w:rPr>
          <w:rFonts w:cs="Times New Roman"/>
          <w:szCs w:val="24"/>
        </w:rPr>
      </w:pP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b/>
          <w:szCs w:val="24"/>
        </w:rPr>
        <w:t>PAGE</w:t>
      </w:r>
    </w:p>
    <w:p w:rsidR="002B4F91" w:rsidRPr="003D63B1" w14:paraId="16CED065" w14:textId="1208D985">
      <w:pPr>
        <w:tabs>
          <w:tab w:val="left" w:pos="4320"/>
        </w:tabs>
        <w:spacing w:after="0" w:line="240" w:lineRule="auto"/>
        <w:rPr>
          <w:rFonts w:cs="Times New Roman"/>
          <w:szCs w:val="24"/>
        </w:rPr>
      </w:pPr>
      <w:r w:rsidRPr="003D63B1">
        <w:rPr>
          <w:rFonts w:cs="Times New Roman"/>
          <w:szCs w:val="24"/>
        </w:rPr>
        <w:tab/>
      </w:r>
      <w:r w:rsidRPr="003D63B1">
        <w:rPr>
          <w:rFonts w:cs="Times New Roman"/>
          <w:szCs w:val="24"/>
        </w:rPr>
        <w:tab/>
      </w:r>
    </w:p>
    <w:p w:rsidR="00F42A95" w14:paraId="0603761E" w14:textId="4D541A8F">
      <w:pPr>
        <w:pStyle w:val="TOC1"/>
        <w:rPr>
          <w:rFonts w:asciiTheme="minorHAnsi" w:eastAsiaTheme="minorEastAsia" w:hAnsiTheme="minorHAnsi" w:cstheme="minorBidi"/>
          <w:sz w:val="22"/>
          <w:szCs w:val="22"/>
        </w:rPr>
      </w:pPr>
      <w:r>
        <w:rPr>
          <w:caps/>
        </w:rPr>
        <w:fldChar w:fldCharType="begin"/>
      </w:r>
      <w:r>
        <w:rPr>
          <w:caps/>
        </w:rPr>
        <w:instrText xml:space="preserve"> TOC \o "1-3" \h \z \u </w:instrText>
      </w:r>
      <w:r>
        <w:rPr>
          <w:caps/>
        </w:rPr>
        <w:fldChar w:fldCharType="separate"/>
      </w:r>
      <w:hyperlink w:anchor="_Toc117763865" w:history="1">
        <w:r w:rsidRPr="00586EDB">
          <w:rPr>
            <w:rStyle w:val="Hyperlink"/>
          </w:rPr>
          <w:t>I.</w:t>
        </w:r>
        <w:r>
          <w:rPr>
            <w:rFonts w:asciiTheme="minorHAnsi" w:eastAsiaTheme="minorEastAsia" w:hAnsiTheme="minorHAnsi" w:cstheme="minorBidi"/>
            <w:sz w:val="22"/>
            <w:szCs w:val="22"/>
          </w:rPr>
          <w:tab/>
        </w:r>
        <w:r w:rsidRPr="00586EDB">
          <w:rPr>
            <w:rStyle w:val="Hyperlink"/>
          </w:rPr>
          <w:t>INTRODUCTION</w:t>
        </w:r>
        <w:r>
          <w:rPr>
            <w:webHidden/>
          </w:rPr>
          <w:tab/>
        </w:r>
        <w:r>
          <w:rPr>
            <w:webHidden/>
          </w:rPr>
          <w:fldChar w:fldCharType="begin"/>
        </w:r>
        <w:r>
          <w:rPr>
            <w:webHidden/>
          </w:rPr>
          <w:instrText xml:space="preserve"> PAGEREF _Toc117763865 \h </w:instrText>
        </w:r>
        <w:r>
          <w:rPr>
            <w:webHidden/>
          </w:rPr>
          <w:fldChar w:fldCharType="separate"/>
        </w:r>
        <w:r>
          <w:rPr>
            <w:webHidden/>
          </w:rPr>
          <w:t>1</w:t>
        </w:r>
        <w:r>
          <w:rPr>
            <w:webHidden/>
          </w:rPr>
          <w:fldChar w:fldCharType="end"/>
        </w:r>
      </w:hyperlink>
    </w:p>
    <w:p w:rsidR="00F42A95" w14:paraId="4DD7153E" w14:textId="3A116305">
      <w:pPr>
        <w:pStyle w:val="TOC1"/>
        <w:rPr>
          <w:rFonts w:asciiTheme="minorHAnsi" w:eastAsiaTheme="minorEastAsia" w:hAnsiTheme="minorHAnsi" w:cstheme="minorBidi"/>
          <w:sz w:val="22"/>
          <w:szCs w:val="22"/>
        </w:rPr>
      </w:pPr>
      <w:hyperlink w:anchor="_Toc117763866" w:history="1">
        <w:r w:rsidRPr="00586EDB" w:rsidR="00570289">
          <w:rPr>
            <w:rStyle w:val="Hyperlink"/>
          </w:rPr>
          <w:t>II.</w:t>
        </w:r>
        <w:r w:rsidR="00570289">
          <w:rPr>
            <w:rFonts w:asciiTheme="minorHAnsi" w:eastAsiaTheme="minorEastAsia" w:hAnsiTheme="minorHAnsi" w:cstheme="minorBidi"/>
            <w:sz w:val="22"/>
            <w:szCs w:val="22"/>
          </w:rPr>
          <w:tab/>
        </w:r>
        <w:r w:rsidRPr="00586EDB" w:rsidR="00570289">
          <w:rPr>
            <w:rStyle w:val="Hyperlink"/>
          </w:rPr>
          <w:t>ARGUMENT</w:t>
        </w:r>
        <w:r w:rsidR="00570289">
          <w:rPr>
            <w:webHidden/>
          </w:rPr>
          <w:tab/>
        </w:r>
        <w:r w:rsidR="00570289">
          <w:rPr>
            <w:webHidden/>
          </w:rPr>
          <w:fldChar w:fldCharType="begin"/>
        </w:r>
        <w:r w:rsidR="00570289">
          <w:rPr>
            <w:webHidden/>
          </w:rPr>
          <w:instrText xml:space="preserve"> PAGEREF _Toc117763866 \h </w:instrText>
        </w:r>
        <w:r w:rsidR="00570289">
          <w:rPr>
            <w:webHidden/>
          </w:rPr>
          <w:fldChar w:fldCharType="separate"/>
        </w:r>
        <w:r w:rsidR="00570289">
          <w:rPr>
            <w:webHidden/>
          </w:rPr>
          <w:t>2</w:t>
        </w:r>
        <w:r w:rsidR="00570289">
          <w:rPr>
            <w:webHidden/>
          </w:rPr>
          <w:fldChar w:fldCharType="end"/>
        </w:r>
      </w:hyperlink>
    </w:p>
    <w:p w:rsidR="00F42A95" w14:paraId="4F56DC24" w14:textId="5F1F4517">
      <w:pPr>
        <w:pStyle w:val="TOC2"/>
        <w:rPr>
          <w:rFonts w:asciiTheme="minorHAnsi" w:eastAsiaTheme="minorEastAsia" w:hAnsiTheme="minorHAnsi"/>
          <w:noProof/>
          <w:sz w:val="22"/>
        </w:rPr>
      </w:pPr>
      <w:hyperlink w:anchor="_Toc117763867" w:history="1">
        <w:r w:rsidRPr="00586EDB" w:rsidR="00570289">
          <w:rPr>
            <w:rStyle w:val="Hyperlink"/>
            <w:noProof/>
          </w:rPr>
          <w:t xml:space="preserve">Claim of Error 1: The PUCO erred when it failed to order refunds for $60 </w:t>
        </w:r>
        <w:r w:rsidR="00570289">
          <w:rPr>
            <w:rStyle w:val="Hyperlink"/>
            <w:noProof/>
          </w:rPr>
          <w:br/>
        </w:r>
        <w:r w:rsidRPr="00586EDB" w:rsidR="00570289">
          <w:rPr>
            <w:rStyle w:val="Hyperlink"/>
            <w:noProof/>
          </w:rPr>
          <w:t xml:space="preserve">million paid by consumers under DP&amp;L’s unauthorized tariffs, after finding </w:t>
        </w:r>
        <w:r w:rsidR="00570289">
          <w:rPr>
            <w:rStyle w:val="Hyperlink"/>
            <w:noProof/>
          </w:rPr>
          <w:br/>
        </w:r>
        <w:r w:rsidRPr="00586EDB" w:rsidR="00570289">
          <w:rPr>
            <w:rStyle w:val="Hyperlink"/>
            <w:noProof/>
          </w:rPr>
          <w:t xml:space="preserve">that the issue is moot. Contrary to the PUCO’s conclusion, the issue is </w:t>
        </w:r>
        <w:r w:rsidR="00570289">
          <w:rPr>
            <w:rStyle w:val="Hyperlink"/>
            <w:noProof/>
          </w:rPr>
          <w:br/>
        </w:r>
        <w:r w:rsidRPr="00586EDB" w:rsidR="00570289">
          <w:rPr>
            <w:rStyle w:val="Hyperlink"/>
            <w:noProof/>
          </w:rPr>
          <w:t>capable of repetition while evading review and is therefore an exception to mootness.</w:t>
        </w:r>
        <w:r w:rsidR="00570289">
          <w:rPr>
            <w:noProof/>
            <w:webHidden/>
          </w:rPr>
          <w:tab/>
        </w:r>
        <w:r w:rsidR="00570289">
          <w:rPr>
            <w:noProof/>
            <w:webHidden/>
          </w:rPr>
          <w:fldChar w:fldCharType="begin"/>
        </w:r>
        <w:r w:rsidR="00570289">
          <w:rPr>
            <w:noProof/>
            <w:webHidden/>
          </w:rPr>
          <w:instrText xml:space="preserve"> PAGEREF _Toc117763867 \h </w:instrText>
        </w:r>
        <w:r w:rsidR="00570289">
          <w:rPr>
            <w:noProof/>
            <w:webHidden/>
          </w:rPr>
          <w:fldChar w:fldCharType="separate"/>
        </w:r>
        <w:r w:rsidR="00570289">
          <w:rPr>
            <w:noProof/>
            <w:webHidden/>
          </w:rPr>
          <w:t>2</w:t>
        </w:r>
        <w:r w:rsidR="00570289">
          <w:rPr>
            <w:noProof/>
            <w:webHidden/>
          </w:rPr>
          <w:fldChar w:fldCharType="end"/>
        </w:r>
      </w:hyperlink>
    </w:p>
    <w:p w:rsidR="00F42A95" w14:paraId="52482B24" w14:textId="1FC84AAB">
      <w:pPr>
        <w:pStyle w:val="TOC2"/>
        <w:rPr>
          <w:rFonts w:asciiTheme="minorHAnsi" w:eastAsiaTheme="minorEastAsia" w:hAnsiTheme="minorHAnsi"/>
          <w:noProof/>
          <w:sz w:val="22"/>
        </w:rPr>
      </w:pPr>
      <w:hyperlink w:anchor="_Toc117763868" w:history="1">
        <w:r w:rsidRPr="00586EDB" w:rsidR="00570289">
          <w:rPr>
            <w:rStyle w:val="Hyperlink"/>
            <w:noProof/>
          </w:rPr>
          <w:t xml:space="preserve">Claim of Error 2: The PUCO erred, violating R.C. 4903.09, when it </w:t>
        </w:r>
        <w:r w:rsidR="00570289">
          <w:rPr>
            <w:rStyle w:val="Hyperlink"/>
            <w:noProof/>
          </w:rPr>
          <w:br/>
        </w:r>
        <w:r w:rsidRPr="00586EDB" w:rsidR="00570289">
          <w:rPr>
            <w:rStyle w:val="Hyperlink"/>
            <w:noProof/>
          </w:rPr>
          <w:t xml:space="preserve">unlawfully and unreasonably claimed, without evidence and sound reasoning, </w:t>
        </w:r>
        <w:r w:rsidR="00570289">
          <w:rPr>
            <w:rStyle w:val="Hyperlink"/>
            <w:noProof/>
          </w:rPr>
          <w:br/>
        </w:r>
        <w:r w:rsidRPr="00586EDB" w:rsidR="00570289">
          <w:rPr>
            <w:rStyle w:val="Hyperlink"/>
            <w:noProof/>
          </w:rPr>
          <w:t>that it approved DP&amp;L’s tariffs under authority independent of the rehearing statute.</w:t>
        </w:r>
        <w:r w:rsidR="00570289">
          <w:rPr>
            <w:noProof/>
            <w:webHidden/>
          </w:rPr>
          <w:tab/>
        </w:r>
        <w:r w:rsidR="00570289">
          <w:rPr>
            <w:noProof/>
            <w:webHidden/>
          </w:rPr>
          <w:fldChar w:fldCharType="begin"/>
        </w:r>
        <w:r w:rsidR="00570289">
          <w:rPr>
            <w:noProof/>
            <w:webHidden/>
          </w:rPr>
          <w:instrText xml:space="preserve"> PAGEREF _Toc117763868 \h </w:instrText>
        </w:r>
        <w:r w:rsidR="00570289">
          <w:rPr>
            <w:noProof/>
            <w:webHidden/>
          </w:rPr>
          <w:fldChar w:fldCharType="separate"/>
        </w:r>
        <w:r w:rsidR="00570289">
          <w:rPr>
            <w:noProof/>
            <w:webHidden/>
          </w:rPr>
          <w:t>5</w:t>
        </w:r>
        <w:r w:rsidR="00570289">
          <w:rPr>
            <w:noProof/>
            <w:webHidden/>
          </w:rPr>
          <w:fldChar w:fldCharType="end"/>
        </w:r>
      </w:hyperlink>
    </w:p>
    <w:p w:rsidR="00F42A95" w14:paraId="35ABEAA8" w14:textId="61E54E19">
      <w:pPr>
        <w:pStyle w:val="TOC2"/>
        <w:rPr>
          <w:rFonts w:asciiTheme="minorHAnsi" w:eastAsiaTheme="minorEastAsia" w:hAnsiTheme="minorHAnsi"/>
          <w:noProof/>
          <w:sz w:val="22"/>
        </w:rPr>
      </w:pPr>
      <w:hyperlink w:anchor="_Toc117763869" w:history="1">
        <w:r w:rsidRPr="00586EDB" w:rsidR="00570289">
          <w:rPr>
            <w:rStyle w:val="Hyperlink"/>
            <w:noProof/>
          </w:rPr>
          <w:t xml:space="preserve">Claim of Error 3: The PUCO also erred in finding that the plain language of </w:t>
        </w:r>
        <w:r w:rsidR="00570289">
          <w:rPr>
            <w:rStyle w:val="Hyperlink"/>
            <w:noProof/>
          </w:rPr>
          <w:br/>
        </w:r>
        <w:r w:rsidRPr="00586EDB" w:rsidR="00570289">
          <w:rPr>
            <w:rStyle w:val="Hyperlink"/>
            <w:noProof/>
          </w:rPr>
          <w:t>R.C. 4903.10 and the case law does not limit the PUCO’s authority to address issues on rehearing.</w:t>
        </w:r>
        <w:r w:rsidR="00570289">
          <w:rPr>
            <w:noProof/>
            <w:webHidden/>
          </w:rPr>
          <w:tab/>
        </w:r>
        <w:r w:rsidR="00570289">
          <w:rPr>
            <w:noProof/>
            <w:webHidden/>
          </w:rPr>
          <w:fldChar w:fldCharType="begin"/>
        </w:r>
        <w:r w:rsidR="00570289">
          <w:rPr>
            <w:noProof/>
            <w:webHidden/>
          </w:rPr>
          <w:instrText xml:space="preserve"> PAGEREF _Toc117763869 \h </w:instrText>
        </w:r>
        <w:r w:rsidR="00570289">
          <w:rPr>
            <w:noProof/>
            <w:webHidden/>
          </w:rPr>
          <w:fldChar w:fldCharType="separate"/>
        </w:r>
        <w:r w:rsidR="00570289">
          <w:rPr>
            <w:noProof/>
            <w:webHidden/>
          </w:rPr>
          <w:t>6</w:t>
        </w:r>
        <w:r w:rsidR="00570289">
          <w:rPr>
            <w:noProof/>
            <w:webHidden/>
          </w:rPr>
          <w:fldChar w:fldCharType="end"/>
        </w:r>
      </w:hyperlink>
    </w:p>
    <w:p w:rsidR="00F42A95" w14:paraId="1F55FC0F" w14:textId="10281295">
      <w:pPr>
        <w:pStyle w:val="TOC1"/>
        <w:rPr>
          <w:rFonts w:asciiTheme="minorHAnsi" w:eastAsiaTheme="minorEastAsia" w:hAnsiTheme="minorHAnsi" w:cstheme="minorBidi"/>
          <w:sz w:val="22"/>
          <w:szCs w:val="22"/>
        </w:rPr>
      </w:pPr>
      <w:hyperlink w:anchor="_Toc117763870" w:history="1">
        <w:r w:rsidRPr="00586EDB" w:rsidR="00570289">
          <w:rPr>
            <w:rStyle w:val="Hyperlink"/>
          </w:rPr>
          <w:t>III.</w:t>
        </w:r>
        <w:r w:rsidR="00570289">
          <w:rPr>
            <w:rFonts w:asciiTheme="minorHAnsi" w:eastAsiaTheme="minorEastAsia" w:hAnsiTheme="minorHAnsi" w:cstheme="minorBidi"/>
            <w:sz w:val="22"/>
            <w:szCs w:val="22"/>
          </w:rPr>
          <w:tab/>
        </w:r>
        <w:r w:rsidRPr="00586EDB" w:rsidR="00570289">
          <w:rPr>
            <w:rStyle w:val="Hyperlink"/>
          </w:rPr>
          <w:t>CONCLUSION</w:t>
        </w:r>
        <w:r w:rsidR="00570289">
          <w:rPr>
            <w:webHidden/>
          </w:rPr>
          <w:tab/>
        </w:r>
        <w:r w:rsidR="00570289">
          <w:rPr>
            <w:webHidden/>
          </w:rPr>
          <w:fldChar w:fldCharType="begin"/>
        </w:r>
        <w:r w:rsidR="00570289">
          <w:rPr>
            <w:webHidden/>
          </w:rPr>
          <w:instrText xml:space="preserve"> PAGEREF _Toc117763870 \h </w:instrText>
        </w:r>
        <w:r w:rsidR="00570289">
          <w:rPr>
            <w:webHidden/>
          </w:rPr>
          <w:fldChar w:fldCharType="separate"/>
        </w:r>
        <w:r w:rsidR="00570289">
          <w:rPr>
            <w:webHidden/>
          </w:rPr>
          <w:t>9</w:t>
        </w:r>
        <w:r w:rsidR="00570289">
          <w:rPr>
            <w:webHidden/>
          </w:rPr>
          <w:fldChar w:fldCharType="end"/>
        </w:r>
      </w:hyperlink>
    </w:p>
    <w:p w:rsidR="003C4A78" w:rsidRPr="003D63B1" w:rsidP="00C64183" w14:paraId="200D9678" w14:textId="40B39ACC">
      <w:pPr>
        <w:tabs>
          <w:tab w:val="left" w:pos="4320"/>
        </w:tabs>
        <w:spacing w:after="0" w:line="240" w:lineRule="auto"/>
        <w:rPr>
          <w:rFonts w:cs="Times New Roman"/>
          <w:szCs w:val="24"/>
        </w:rPr>
      </w:pPr>
      <w:r>
        <w:rPr>
          <w:rFonts w:cs="Times New Roman"/>
          <w:caps/>
          <w:noProof/>
          <w:szCs w:val="24"/>
        </w:rPr>
        <w:fldChar w:fldCharType="end"/>
      </w:r>
      <w:r w:rsidRPr="003D63B1" w:rsidR="004C4298">
        <w:rPr>
          <w:rFonts w:cs="Times New Roman"/>
          <w:szCs w:val="24"/>
        </w:rPr>
        <w:tab/>
      </w:r>
    </w:p>
    <w:p w:rsidR="003C4A78" w:rsidRPr="003D63B1" w:rsidP="003C4A78" w14:paraId="0164E97D" w14:textId="445235B0">
      <w:pPr>
        <w:tabs>
          <w:tab w:val="left" w:pos="5247"/>
        </w:tabs>
        <w:rPr>
          <w:rFonts w:cs="Times New Roman"/>
          <w:szCs w:val="24"/>
        </w:rPr>
        <w:sectPr>
          <w:headerReference w:type="default" r:id="rId10"/>
          <w:pgSz w:w="12240" w:h="15840"/>
          <w:pgMar w:top="1440" w:right="1800" w:bottom="1440" w:left="1800" w:header="720" w:footer="720" w:gutter="0"/>
          <w:pgNumType w:fmt="lowerRoman" w:start="1"/>
          <w:cols w:space="720"/>
          <w:docGrid w:linePitch="360"/>
        </w:sectPr>
      </w:pPr>
      <w:r w:rsidRPr="003D63B1">
        <w:rPr>
          <w:rFonts w:cs="Times New Roman"/>
          <w:szCs w:val="24"/>
        </w:rPr>
        <w:tab/>
      </w:r>
    </w:p>
    <w:p w:rsidR="002B4F91" w:rsidRPr="003D63B1" w14:paraId="175E1769" w14:textId="77777777">
      <w:pPr>
        <w:spacing w:after="0" w:line="240" w:lineRule="auto"/>
        <w:jc w:val="center"/>
        <w:rPr>
          <w:rFonts w:cs="Times New Roman"/>
          <w:b/>
          <w:szCs w:val="24"/>
        </w:rPr>
      </w:pPr>
      <w:r w:rsidRPr="003D63B1">
        <w:rPr>
          <w:rFonts w:cs="Times New Roman"/>
          <w:b/>
          <w:szCs w:val="24"/>
        </w:rPr>
        <w:t xml:space="preserve">BEFORE </w:t>
      </w:r>
    </w:p>
    <w:p w:rsidR="002B4F91" w:rsidRPr="003D63B1" w14:paraId="0FB4D710" w14:textId="77777777">
      <w:pPr>
        <w:spacing w:after="0" w:line="240" w:lineRule="auto"/>
        <w:jc w:val="center"/>
        <w:rPr>
          <w:rFonts w:cs="Times New Roman"/>
          <w:b/>
          <w:bCs/>
          <w:szCs w:val="24"/>
        </w:rPr>
      </w:pPr>
      <w:r w:rsidRPr="003D63B1">
        <w:rPr>
          <w:rFonts w:cs="Times New Roman"/>
          <w:b/>
          <w:bCs/>
          <w:szCs w:val="24"/>
        </w:rPr>
        <w:t>THE PUBLIC UTILITIES COMMISSION OF OHIO</w:t>
      </w:r>
    </w:p>
    <w:p w:rsidR="002B4F91" w:rsidRPr="003D63B1" w14:paraId="27AB3D78" w14:textId="77777777">
      <w:pPr>
        <w:spacing w:after="0" w:line="240" w:lineRule="auto"/>
        <w:jc w:val="center"/>
        <w:rPr>
          <w:rFonts w:cs="Times New Roman"/>
          <w:b/>
          <w:bCs/>
          <w:szCs w:val="24"/>
        </w:rPr>
      </w:pPr>
    </w:p>
    <w:tbl>
      <w:tblPr>
        <w:tblW w:w="8640" w:type="dxa"/>
        <w:tblInd w:w="108" w:type="dxa"/>
        <w:tblLook w:val="01E0"/>
      </w:tblPr>
      <w:tblGrid>
        <w:gridCol w:w="4212"/>
        <w:gridCol w:w="360"/>
        <w:gridCol w:w="4068"/>
      </w:tblGrid>
      <w:tr w14:paraId="03A220B9" w14:textId="77777777">
        <w:tblPrEx>
          <w:tblW w:w="8640" w:type="dxa"/>
          <w:tblInd w:w="108" w:type="dxa"/>
          <w:tblLook w:val="01E0"/>
        </w:tblPrEx>
        <w:trPr>
          <w:trHeight w:val="4932"/>
        </w:trPr>
        <w:tc>
          <w:tcPr>
            <w:tcW w:w="4212" w:type="dxa"/>
          </w:tcPr>
          <w:p w:rsidR="002B4F91" w:rsidRPr="003D63B1" w14:paraId="6F61ECB6" w14:textId="77777777">
            <w:pPr>
              <w:spacing w:after="0" w:line="240" w:lineRule="auto"/>
              <w:rPr>
                <w:rFonts w:cs="Times New Roman"/>
                <w:szCs w:val="24"/>
              </w:rPr>
            </w:pPr>
            <w:r w:rsidRPr="003D63B1">
              <w:rPr>
                <w:rFonts w:cs="Times New Roman"/>
                <w:szCs w:val="24"/>
              </w:rPr>
              <w:t>In the Matter of the Application of The Dayton Power and Light Company for Approval of its Electric Security Plan.</w:t>
            </w:r>
          </w:p>
          <w:p w:rsidR="002B4F91" w:rsidRPr="003D63B1" w14:paraId="1AC2E896" w14:textId="77777777">
            <w:pPr>
              <w:spacing w:after="0" w:line="240" w:lineRule="auto"/>
              <w:rPr>
                <w:rFonts w:cs="Times New Roman"/>
                <w:szCs w:val="24"/>
              </w:rPr>
            </w:pPr>
          </w:p>
          <w:p w:rsidR="002B4F91" w:rsidRPr="003D63B1" w14:paraId="426171EC" w14:textId="77777777">
            <w:pPr>
              <w:spacing w:after="0" w:line="240" w:lineRule="auto"/>
              <w:rPr>
                <w:rFonts w:cs="Times New Roman"/>
                <w:szCs w:val="24"/>
              </w:rPr>
            </w:pPr>
            <w:r w:rsidRPr="003D63B1">
              <w:rPr>
                <w:rFonts w:cs="Times New Roman"/>
                <w:szCs w:val="24"/>
              </w:rPr>
              <w:t>In the Matter of the Application of The Dayton Power and Light Company for Approval of Revised Tariffs.</w:t>
            </w:r>
          </w:p>
          <w:p w:rsidR="002B4F91" w:rsidRPr="003D63B1" w14:paraId="2F5C43C0" w14:textId="77777777">
            <w:pPr>
              <w:spacing w:after="0" w:line="240" w:lineRule="auto"/>
              <w:rPr>
                <w:rFonts w:cs="Times New Roman"/>
                <w:szCs w:val="24"/>
              </w:rPr>
            </w:pPr>
          </w:p>
          <w:p w:rsidR="002B4F91" w:rsidRPr="003D63B1" w14:paraId="019FEE80" w14:textId="77777777">
            <w:pPr>
              <w:spacing w:after="0" w:line="240" w:lineRule="auto"/>
              <w:rPr>
                <w:rFonts w:cs="Times New Roman"/>
                <w:szCs w:val="24"/>
              </w:rPr>
            </w:pPr>
            <w:r w:rsidRPr="003D63B1">
              <w:rPr>
                <w:rFonts w:cs="Times New Roman"/>
                <w:szCs w:val="24"/>
              </w:rPr>
              <w:t>In the Matter of the Application of The Dayton Power and Light Company for Approval of Certain Accounting Authority Pursuant to Ohio Rev. Code Section 4905.13.</w:t>
            </w:r>
          </w:p>
          <w:p w:rsidR="002B4F91" w:rsidRPr="003D63B1" w14:paraId="6F8D5E7E" w14:textId="77777777">
            <w:pPr>
              <w:spacing w:after="0" w:line="240" w:lineRule="auto"/>
              <w:rPr>
                <w:rFonts w:cs="Times New Roman"/>
                <w:szCs w:val="24"/>
              </w:rPr>
            </w:pPr>
          </w:p>
          <w:p w:rsidR="002B4F91" w:rsidRPr="003D63B1" w14:paraId="1D6EF83F" w14:textId="77777777">
            <w:pPr>
              <w:spacing w:after="0" w:line="240" w:lineRule="auto"/>
              <w:rPr>
                <w:rFonts w:cs="Times New Roman"/>
                <w:szCs w:val="24"/>
              </w:rPr>
            </w:pPr>
            <w:r w:rsidRPr="003D63B1">
              <w:rPr>
                <w:rFonts w:cs="Times New Roman"/>
                <w:szCs w:val="24"/>
              </w:rPr>
              <w:t>In the Matter of the Application of The Dayton Power and Light Company for Approval of its Amended Corporate Separation Plan.</w:t>
            </w:r>
          </w:p>
        </w:tc>
        <w:tc>
          <w:tcPr>
            <w:tcW w:w="360" w:type="dxa"/>
          </w:tcPr>
          <w:p w:rsidR="002B4F91" w:rsidRPr="003D63B1" w14:paraId="45363A44" w14:textId="77777777">
            <w:pPr>
              <w:spacing w:after="0" w:line="240" w:lineRule="auto"/>
              <w:rPr>
                <w:rFonts w:cs="Times New Roman"/>
                <w:szCs w:val="24"/>
              </w:rPr>
            </w:pPr>
            <w:r w:rsidRPr="003D63B1">
              <w:rPr>
                <w:rFonts w:cs="Times New Roman"/>
                <w:szCs w:val="24"/>
              </w:rPr>
              <w:t>)</w:t>
            </w:r>
          </w:p>
          <w:p w:rsidR="002B4F91" w:rsidRPr="003D63B1" w14:paraId="4C661114" w14:textId="77777777">
            <w:pPr>
              <w:spacing w:after="0" w:line="240" w:lineRule="auto"/>
              <w:rPr>
                <w:rFonts w:cs="Times New Roman"/>
                <w:szCs w:val="24"/>
              </w:rPr>
            </w:pPr>
            <w:r w:rsidRPr="003D63B1">
              <w:rPr>
                <w:rFonts w:cs="Times New Roman"/>
                <w:szCs w:val="24"/>
              </w:rPr>
              <w:t>)</w:t>
            </w:r>
          </w:p>
          <w:p w:rsidR="002B4F91" w:rsidRPr="003D63B1" w14:paraId="02AA05F5" w14:textId="77777777">
            <w:pPr>
              <w:spacing w:after="0" w:line="240" w:lineRule="auto"/>
              <w:rPr>
                <w:rFonts w:cs="Times New Roman"/>
                <w:szCs w:val="24"/>
              </w:rPr>
            </w:pPr>
            <w:r w:rsidRPr="003D63B1">
              <w:rPr>
                <w:rFonts w:cs="Times New Roman"/>
                <w:szCs w:val="24"/>
              </w:rPr>
              <w:t>)</w:t>
            </w:r>
          </w:p>
          <w:p w:rsidR="002B4F91" w:rsidRPr="003D63B1" w14:paraId="4FB34BBD" w14:textId="77777777">
            <w:pPr>
              <w:spacing w:after="0" w:line="240" w:lineRule="auto"/>
              <w:rPr>
                <w:rFonts w:cs="Times New Roman"/>
                <w:szCs w:val="24"/>
              </w:rPr>
            </w:pPr>
          </w:p>
          <w:p w:rsidR="002B4F91" w:rsidRPr="003D63B1" w14:paraId="2C6D734C" w14:textId="77777777">
            <w:pPr>
              <w:spacing w:after="0" w:line="240" w:lineRule="auto"/>
              <w:rPr>
                <w:rFonts w:cs="Times New Roman"/>
                <w:szCs w:val="24"/>
              </w:rPr>
            </w:pPr>
            <w:r w:rsidRPr="003D63B1">
              <w:rPr>
                <w:rFonts w:cs="Times New Roman"/>
                <w:szCs w:val="24"/>
              </w:rPr>
              <w:t>)</w:t>
            </w:r>
          </w:p>
          <w:p w:rsidR="002B4F91" w:rsidRPr="003D63B1" w14:paraId="7DECE8B9" w14:textId="77777777">
            <w:pPr>
              <w:spacing w:after="0" w:line="240" w:lineRule="auto"/>
              <w:rPr>
                <w:rFonts w:cs="Times New Roman"/>
                <w:szCs w:val="24"/>
              </w:rPr>
            </w:pPr>
            <w:r w:rsidRPr="003D63B1">
              <w:rPr>
                <w:rFonts w:cs="Times New Roman"/>
                <w:szCs w:val="24"/>
              </w:rPr>
              <w:t>)</w:t>
            </w:r>
          </w:p>
          <w:p w:rsidR="002B4F91" w:rsidRPr="003D63B1" w14:paraId="04A8F14E" w14:textId="77777777">
            <w:pPr>
              <w:spacing w:after="0" w:line="240" w:lineRule="auto"/>
              <w:rPr>
                <w:rFonts w:cs="Times New Roman"/>
                <w:szCs w:val="24"/>
              </w:rPr>
            </w:pPr>
            <w:r w:rsidRPr="003D63B1">
              <w:rPr>
                <w:rFonts w:cs="Times New Roman"/>
                <w:szCs w:val="24"/>
              </w:rPr>
              <w:t>)</w:t>
            </w:r>
          </w:p>
          <w:p w:rsidR="002B4F91" w:rsidRPr="003D63B1" w14:paraId="603DE69F" w14:textId="77777777">
            <w:pPr>
              <w:spacing w:after="0" w:line="240" w:lineRule="auto"/>
              <w:rPr>
                <w:rFonts w:cs="Times New Roman"/>
                <w:szCs w:val="24"/>
              </w:rPr>
            </w:pPr>
          </w:p>
          <w:p w:rsidR="002B4F91" w:rsidRPr="003D63B1" w14:paraId="41C53ED3" w14:textId="77777777">
            <w:pPr>
              <w:spacing w:after="0" w:line="240" w:lineRule="auto"/>
              <w:rPr>
                <w:rFonts w:cs="Times New Roman"/>
                <w:szCs w:val="24"/>
              </w:rPr>
            </w:pPr>
            <w:r w:rsidRPr="003D63B1">
              <w:rPr>
                <w:rFonts w:cs="Times New Roman"/>
                <w:szCs w:val="24"/>
              </w:rPr>
              <w:t>)</w:t>
            </w:r>
          </w:p>
          <w:p w:rsidR="002B4F91" w:rsidRPr="003D63B1" w14:paraId="4707EF0E" w14:textId="77777777">
            <w:pPr>
              <w:spacing w:after="0" w:line="240" w:lineRule="auto"/>
              <w:rPr>
                <w:rFonts w:cs="Times New Roman"/>
                <w:szCs w:val="24"/>
              </w:rPr>
            </w:pPr>
            <w:r w:rsidRPr="003D63B1">
              <w:rPr>
                <w:rFonts w:cs="Times New Roman"/>
                <w:szCs w:val="24"/>
              </w:rPr>
              <w:t>)</w:t>
            </w:r>
          </w:p>
          <w:p w:rsidR="002B4F91" w:rsidRPr="003D63B1" w14:paraId="166AD417" w14:textId="77777777">
            <w:pPr>
              <w:spacing w:after="0" w:line="240" w:lineRule="auto"/>
              <w:rPr>
                <w:rFonts w:cs="Times New Roman"/>
                <w:szCs w:val="24"/>
              </w:rPr>
            </w:pPr>
            <w:r w:rsidRPr="003D63B1">
              <w:rPr>
                <w:rFonts w:cs="Times New Roman"/>
                <w:szCs w:val="24"/>
              </w:rPr>
              <w:t>)</w:t>
            </w:r>
          </w:p>
          <w:p w:rsidR="002B4F91" w:rsidRPr="003D63B1" w14:paraId="1B572E54" w14:textId="77777777">
            <w:pPr>
              <w:spacing w:after="0" w:line="240" w:lineRule="auto"/>
              <w:rPr>
                <w:rFonts w:cs="Times New Roman"/>
                <w:szCs w:val="24"/>
              </w:rPr>
            </w:pPr>
            <w:r w:rsidRPr="003D63B1">
              <w:rPr>
                <w:rFonts w:cs="Times New Roman"/>
                <w:szCs w:val="24"/>
              </w:rPr>
              <w:t>)</w:t>
            </w:r>
          </w:p>
          <w:p w:rsidR="002B4F91" w:rsidRPr="003D63B1" w14:paraId="7A991A4A" w14:textId="77777777">
            <w:pPr>
              <w:spacing w:after="0" w:line="240" w:lineRule="auto"/>
              <w:rPr>
                <w:rFonts w:cs="Times New Roman"/>
                <w:szCs w:val="24"/>
              </w:rPr>
            </w:pPr>
            <w:r w:rsidRPr="003D63B1">
              <w:rPr>
                <w:rFonts w:cs="Times New Roman"/>
                <w:szCs w:val="24"/>
              </w:rPr>
              <w:t>)</w:t>
            </w:r>
          </w:p>
          <w:p w:rsidR="002B4F91" w:rsidRPr="003D63B1" w14:paraId="5E92778D" w14:textId="77777777">
            <w:pPr>
              <w:spacing w:after="0" w:line="240" w:lineRule="auto"/>
              <w:rPr>
                <w:rFonts w:cs="Times New Roman"/>
                <w:szCs w:val="24"/>
              </w:rPr>
            </w:pPr>
          </w:p>
          <w:p w:rsidR="002B4F91" w:rsidRPr="003D63B1" w14:paraId="34014101" w14:textId="77777777">
            <w:pPr>
              <w:spacing w:after="0" w:line="240" w:lineRule="auto"/>
              <w:rPr>
                <w:rFonts w:cs="Times New Roman"/>
                <w:szCs w:val="24"/>
              </w:rPr>
            </w:pPr>
            <w:r w:rsidRPr="003D63B1">
              <w:rPr>
                <w:rFonts w:cs="Times New Roman"/>
                <w:szCs w:val="24"/>
              </w:rPr>
              <w:t>)</w:t>
            </w:r>
          </w:p>
          <w:p w:rsidR="002B4F91" w:rsidRPr="003D63B1" w14:paraId="2F27829B" w14:textId="77777777">
            <w:pPr>
              <w:spacing w:after="0" w:line="240" w:lineRule="auto"/>
              <w:rPr>
                <w:rFonts w:cs="Times New Roman"/>
                <w:szCs w:val="24"/>
              </w:rPr>
            </w:pPr>
            <w:r w:rsidRPr="003D63B1">
              <w:rPr>
                <w:rFonts w:cs="Times New Roman"/>
                <w:szCs w:val="24"/>
              </w:rPr>
              <w:t>)</w:t>
            </w:r>
          </w:p>
          <w:p w:rsidR="002B4F91" w:rsidRPr="003D63B1" w14:paraId="19CA337A" w14:textId="77777777">
            <w:pPr>
              <w:spacing w:after="0" w:line="240" w:lineRule="auto"/>
              <w:rPr>
                <w:rFonts w:cs="Times New Roman"/>
                <w:szCs w:val="24"/>
              </w:rPr>
            </w:pPr>
            <w:r w:rsidRPr="003D63B1">
              <w:rPr>
                <w:rFonts w:cs="Times New Roman"/>
                <w:szCs w:val="24"/>
              </w:rPr>
              <w:t>)</w:t>
            </w:r>
          </w:p>
          <w:p w:rsidR="002B4F91" w:rsidRPr="003D63B1" w14:paraId="7D258783" w14:textId="77777777">
            <w:pPr>
              <w:spacing w:after="0" w:line="240" w:lineRule="auto"/>
              <w:rPr>
                <w:rFonts w:cs="Times New Roman"/>
                <w:szCs w:val="24"/>
              </w:rPr>
            </w:pPr>
            <w:r w:rsidRPr="003D63B1">
              <w:rPr>
                <w:rFonts w:cs="Times New Roman"/>
                <w:szCs w:val="24"/>
              </w:rPr>
              <w:t>)</w:t>
            </w:r>
          </w:p>
        </w:tc>
        <w:tc>
          <w:tcPr>
            <w:tcW w:w="4068" w:type="dxa"/>
          </w:tcPr>
          <w:p w:rsidR="002B4F91" w:rsidRPr="003D63B1" w14:paraId="23CCB5A3" w14:textId="77777777">
            <w:pPr>
              <w:spacing w:after="0" w:line="240" w:lineRule="auto"/>
              <w:rPr>
                <w:rFonts w:cs="Times New Roman"/>
                <w:szCs w:val="24"/>
              </w:rPr>
            </w:pPr>
          </w:p>
          <w:p w:rsidR="002B4F91" w:rsidRPr="003D63B1" w14:paraId="7F60EA3B" w14:textId="77777777">
            <w:pPr>
              <w:spacing w:after="0" w:line="240" w:lineRule="auto"/>
              <w:rPr>
                <w:rFonts w:cs="Times New Roman"/>
                <w:szCs w:val="24"/>
              </w:rPr>
            </w:pPr>
            <w:r w:rsidRPr="003D63B1">
              <w:rPr>
                <w:rFonts w:cs="Times New Roman"/>
                <w:szCs w:val="24"/>
              </w:rPr>
              <w:t>Case No. 08-1094-EL-SSO</w:t>
            </w:r>
          </w:p>
          <w:p w:rsidR="002B4F91" w:rsidRPr="003D63B1" w14:paraId="4406C63B" w14:textId="77777777">
            <w:pPr>
              <w:spacing w:after="0" w:line="240" w:lineRule="auto"/>
              <w:rPr>
                <w:rFonts w:cs="Times New Roman"/>
                <w:szCs w:val="24"/>
              </w:rPr>
            </w:pPr>
          </w:p>
          <w:p w:rsidR="002B4F91" w:rsidRPr="003D63B1" w14:paraId="52EF9562" w14:textId="77777777">
            <w:pPr>
              <w:spacing w:after="0" w:line="240" w:lineRule="auto"/>
              <w:rPr>
                <w:rFonts w:cs="Times New Roman"/>
                <w:szCs w:val="24"/>
              </w:rPr>
            </w:pPr>
          </w:p>
          <w:p w:rsidR="002B4F91" w:rsidRPr="003D63B1" w14:paraId="4C42A32C" w14:textId="77777777">
            <w:pPr>
              <w:spacing w:after="0" w:line="240" w:lineRule="auto"/>
              <w:rPr>
                <w:rFonts w:cs="Times New Roman"/>
                <w:szCs w:val="24"/>
              </w:rPr>
            </w:pPr>
          </w:p>
          <w:p w:rsidR="002B4F91" w:rsidRPr="003D63B1" w14:paraId="337AAF45" w14:textId="77777777">
            <w:pPr>
              <w:spacing w:after="0" w:line="240" w:lineRule="auto"/>
              <w:rPr>
                <w:rFonts w:cs="Times New Roman"/>
                <w:szCs w:val="24"/>
              </w:rPr>
            </w:pPr>
            <w:r w:rsidRPr="003D63B1">
              <w:rPr>
                <w:rFonts w:cs="Times New Roman"/>
                <w:szCs w:val="24"/>
              </w:rPr>
              <w:t>Case No. 08-1095-EL-ATA</w:t>
            </w:r>
          </w:p>
          <w:p w:rsidR="002B4F91" w:rsidRPr="003D63B1" w14:paraId="04A2AD35" w14:textId="77777777">
            <w:pPr>
              <w:spacing w:after="0" w:line="240" w:lineRule="auto"/>
              <w:rPr>
                <w:rFonts w:cs="Times New Roman"/>
                <w:szCs w:val="24"/>
              </w:rPr>
            </w:pPr>
          </w:p>
          <w:p w:rsidR="002B4F91" w:rsidRPr="003D63B1" w14:paraId="6FDB7423" w14:textId="77777777">
            <w:pPr>
              <w:spacing w:after="0" w:line="240" w:lineRule="auto"/>
              <w:rPr>
                <w:rFonts w:cs="Times New Roman"/>
                <w:szCs w:val="24"/>
              </w:rPr>
            </w:pPr>
          </w:p>
          <w:p w:rsidR="002B4F91" w:rsidRPr="003D63B1" w14:paraId="51035129" w14:textId="77777777">
            <w:pPr>
              <w:spacing w:after="0" w:line="240" w:lineRule="auto"/>
              <w:rPr>
                <w:rFonts w:cs="Times New Roman"/>
                <w:szCs w:val="24"/>
              </w:rPr>
            </w:pPr>
          </w:p>
          <w:p w:rsidR="002B4F91" w:rsidRPr="003D63B1" w14:paraId="074D61D9" w14:textId="77777777">
            <w:pPr>
              <w:spacing w:after="0" w:line="240" w:lineRule="auto"/>
              <w:rPr>
                <w:rFonts w:cs="Times New Roman"/>
                <w:szCs w:val="24"/>
              </w:rPr>
            </w:pPr>
          </w:p>
          <w:p w:rsidR="002B4F91" w:rsidRPr="003D63B1" w14:paraId="3EAF6E0A" w14:textId="77777777">
            <w:pPr>
              <w:spacing w:after="0" w:line="240" w:lineRule="auto"/>
              <w:rPr>
                <w:rFonts w:cs="Times New Roman"/>
                <w:szCs w:val="24"/>
              </w:rPr>
            </w:pPr>
            <w:r w:rsidRPr="003D63B1">
              <w:rPr>
                <w:rFonts w:cs="Times New Roman"/>
                <w:szCs w:val="24"/>
              </w:rPr>
              <w:t>Case No. 08-1096-EL-AAM</w:t>
            </w:r>
          </w:p>
          <w:p w:rsidR="002B4F91" w:rsidRPr="003D63B1" w14:paraId="6B1D55EA" w14:textId="77777777">
            <w:pPr>
              <w:spacing w:after="0" w:line="240" w:lineRule="auto"/>
              <w:rPr>
                <w:rFonts w:cs="Times New Roman"/>
                <w:szCs w:val="24"/>
              </w:rPr>
            </w:pPr>
          </w:p>
          <w:p w:rsidR="002B4F91" w:rsidRPr="003D63B1" w14:paraId="5F75DB81" w14:textId="77777777">
            <w:pPr>
              <w:spacing w:after="0" w:line="240" w:lineRule="auto"/>
              <w:rPr>
                <w:rFonts w:cs="Times New Roman"/>
                <w:szCs w:val="24"/>
              </w:rPr>
            </w:pPr>
          </w:p>
          <w:p w:rsidR="002B4F91" w:rsidRPr="003D63B1" w14:paraId="4772DA7A" w14:textId="77777777">
            <w:pPr>
              <w:spacing w:after="0" w:line="240" w:lineRule="auto"/>
              <w:rPr>
                <w:rFonts w:cs="Times New Roman"/>
                <w:szCs w:val="24"/>
              </w:rPr>
            </w:pPr>
          </w:p>
          <w:p w:rsidR="002B4F91" w:rsidRPr="003D63B1" w14:paraId="1C344267" w14:textId="77777777">
            <w:pPr>
              <w:spacing w:after="0" w:line="240" w:lineRule="auto"/>
              <w:rPr>
                <w:rFonts w:cs="Times New Roman"/>
                <w:szCs w:val="24"/>
              </w:rPr>
            </w:pPr>
          </w:p>
          <w:p w:rsidR="002B4F91" w:rsidRPr="003D63B1" w14:paraId="1BE43938" w14:textId="77777777">
            <w:pPr>
              <w:spacing w:after="0" w:line="240" w:lineRule="auto"/>
              <w:rPr>
                <w:rFonts w:cs="Times New Roman"/>
                <w:szCs w:val="24"/>
              </w:rPr>
            </w:pPr>
            <w:r w:rsidRPr="003D63B1">
              <w:rPr>
                <w:rFonts w:cs="Times New Roman"/>
                <w:szCs w:val="24"/>
              </w:rPr>
              <w:t>Case No. 08-1097-EL-UNC</w:t>
            </w:r>
          </w:p>
          <w:p w:rsidR="002B4F91" w:rsidRPr="003D63B1" w14:paraId="1D73DDFB" w14:textId="77777777">
            <w:pPr>
              <w:spacing w:after="0" w:line="240" w:lineRule="auto"/>
              <w:rPr>
                <w:rFonts w:cs="Times New Roman"/>
                <w:szCs w:val="24"/>
              </w:rPr>
            </w:pPr>
          </w:p>
          <w:p w:rsidR="002B4F91" w:rsidRPr="003D63B1" w14:paraId="0117A859" w14:textId="77777777">
            <w:pPr>
              <w:spacing w:after="0" w:line="240" w:lineRule="auto"/>
              <w:rPr>
                <w:rFonts w:cs="Times New Roman"/>
                <w:szCs w:val="24"/>
              </w:rPr>
            </w:pPr>
          </w:p>
        </w:tc>
      </w:tr>
    </w:tbl>
    <w:p w:rsidR="002B4F91" w:rsidRPr="003D63B1" w14:paraId="7DCE0A22" w14:textId="77777777">
      <w:pPr>
        <w:pStyle w:val="HTMLPreformatted"/>
        <w:pBdr>
          <w:bottom w:val="single" w:sz="12" w:space="1" w:color="auto"/>
        </w:pBdr>
        <w:contextualSpacing/>
        <w:rPr>
          <w:rFonts w:ascii="Times New Roman" w:hAnsi="Times New Roman" w:cs="Times New Roman"/>
          <w:b/>
          <w:sz w:val="24"/>
          <w:szCs w:val="24"/>
        </w:rPr>
      </w:pPr>
    </w:p>
    <w:p w:rsidR="002B4F91" w:rsidRPr="003D63B1" w14:paraId="6467B723" w14:textId="77777777">
      <w:pPr>
        <w:spacing w:line="240" w:lineRule="auto"/>
        <w:contextualSpacing/>
        <w:jc w:val="center"/>
        <w:rPr>
          <w:rFonts w:cs="Times New Roman"/>
          <w:b/>
          <w:szCs w:val="24"/>
        </w:rPr>
      </w:pPr>
    </w:p>
    <w:p w:rsidR="002B4F91" w14:paraId="79E9B32C" w14:textId="1062F4DA">
      <w:pPr>
        <w:spacing w:line="240" w:lineRule="auto"/>
        <w:contextualSpacing/>
        <w:jc w:val="center"/>
        <w:rPr>
          <w:rFonts w:cs="Times New Roman"/>
          <w:b/>
          <w:szCs w:val="24"/>
        </w:rPr>
      </w:pPr>
      <w:r w:rsidRPr="003D63B1">
        <w:rPr>
          <w:rFonts w:cs="Times New Roman"/>
          <w:b/>
          <w:szCs w:val="24"/>
        </w:rPr>
        <w:t xml:space="preserve">MEMORANDUM IN SUPPORT </w:t>
      </w:r>
    </w:p>
    <w:p w:rsidR="004767F8" w14:paraId="3F581A33" w14:textId="31F1E98D">
      <w:pPr>
        <w:pBdr>
          <w:bottom w:val="single" w:sz="12" w:space="1" w:color="auto"/>
        </w:pBdr>
        <w:spacing w:line="240" w:lineRule="auto"/>
        <w:contextualSpacing/>
        <w:jc w:val="center"/>
        <w:rPr>
          <w:rFonts w:cs="Times New Roman"/>
          <w:b/>
          <w:szCs w:val="24"/>
        </w:rPr>
      </w:pPr>
    </w:p>
    <w:p w:rsidR="004767F8" w:rsidP="004A6827" w14:paraId="0A6542FC" w14:textId="34E400BE">
      <w:pPr>
        <w:spacing w:after="0" w:line="240" w:lineRule="auto"/>
        <w:contextualSpacing/>
        <w:rPr>
          <w:rFonts w:cs="Times New Roman"/>
          <w:b/>
          <w:szCs w:val="24"/>
        </w:rPr>
      </w:pPr>
    </w:p>
    <w:p w:rsidR="004767F8" w:rsidP="004A6827" w14:paraId="29FD3904" w14:textId="5A9DC75F">
      <w:pPr>
        <w:pStyle w:val="Heading1"/>
      </w:pPr>
      <w:bookmarkStart w:id="0" w:name="_Toc117763865"/>
      <w:r>
        <w:t>INTRODUCTION</w:t>
      </w:r>
      <w:bookmarkEnd w:id="0"/>
    </w:p>
    <w:p w:rsidR="0010447A" w:rsidP="004767F8" w14:paraId="548C031C" w14:textId="489E3E18">
      <w:pPr>
        <w:spacing w:after="0" w:line="480" w:lineRule="auto"/>
        <w:ind w:firstLine="720"/>
        <w:rPr>
          <w:rFonts w:cs="Times New Roman"/>
          <w:szCs w:val="24"/>
        </w:rPr>
      </w:pPr>
      <w:r w:rsidRPr="004767F8">
        <w:rPr>
          <w:rFonts w:cs="Times New Roman"/>
          <w:szCs w:val="24"/>
        </w:rPr>
        <w:t xml:space="preserve">In the name of justice for DP&amp;L consumers, OCC </w:t>
      </w:r>
      <w:r>
        <w:rPr>
          <w:rFonts w:cs="Times New Roman"/>
          <w:szCs w:val="24"/>
        </w:rPr>
        <w:t>has</w:t>
      </w:r>
      <w:r w:rsidRPr="004767F8">
        <w:rPr>
          <w:rFonts w:cs="Times New Roman"/>
          <w:szCs w:val="24"/>
        </w:rPr>
        <w:t xml:space="preserve"> sought refunds to consumers </w:t>
      </w:r>
      <w:r>
        <w:rPr>
          <w:rFonts w:cs="Times New Roman"/>
          <w:szCs w:val="24"/>
        </w:rPr>
        <w:t>in this case</w:t>
      </w:r>
      <w:r w:rsidRPr="004767F8">
        <w:rPr>
          <w:rFonts w:cs="Times New Roman"/>
          <w:szCs w:val="24"/>
        </w:rPr>
        <w:t>.</w:t>
      </w:r>
      <w:r>
        <w:rPr>
          <w:rStyle w:val="FootnoteReference"/>
          <w:rFonts w:cs="Times New Roman"/>
          <w:szCs w:val="24"/>
        </w:rPr>
        <w:footnoteReference w:id="6"/>
      </w:r>
      <w:r w:rsidRPr="004767F8">
        <w:rPr>
          <w:rFonts w:cs="Times New Roman"/>
          <w:szCs w:val="24"/>
        </w:rPr>
        <w:t xml:space="preserve"> </w:t>
      </w:r>
      <w:r>
        <w:rPr>
          <w:rFonts w:cs="Times New Roman"/>
          <w:szCs w:val="24"/>
        </w:rPr>
        <w:t>In</w:t>
      </w:r>
      <w:r w:rsidRPr="004767F8">
        <w:rPr>
          <w:rFonts w:cs="Times New Roman"/>
          <w:szCs w:val="24"/>
        </w:rPr>
        <w:t xml:space="preserve"> </w:t>
      </w:r>
      <w:r>
        <w:rPr>
          <w:rFonts w:cs="Times New Roman"/>
          <w:szCs w:val="24"/>
        </w:rPr>
        <w:t>its</w:t>
      </w:r>
      <w:r w:rsidRPr="004767F8">
        <w:rPr>
          <w:rFonts w:cs="Times New Roman"/>
          <w:szCs w:val="24"/>
        </w:rPr>
        <w:t xml:space="preserve"> October 5, 2022</w:t>
      </w:r>
      <w:r>
        <w:rPr>
          <w:rFonts w:cs="Times New Roman"/>
          <w:szCs w:val="24"/>
        </w:rPr>
        <w:t xml:space="preserve"> ruling</w:t>
      </w:r>
      <w:r w:rsidRPr="004767F8">
        <w:rPr>
          <w:rFonts w:cs="Times New Roman"/>
          <w:szCs w:val="24"/>
        </w:rPr>
        <w:t xml:space="preserve">, the PUCO </w:t>
      </w:r>
      <w:r w:rsidR="00957FB9">
        <w:rPr>
          <w:rFonts w:cs="Times New Roman"/>
          <w:szCs w:val="24"/>
        </w:rPr>
        <w:t xml:space="preserve">once again </w:t>
      </w:r>
      <w:r w:rsidRPr="004767F8">
        <w:rPr>
          <w:rFonts w:cs="Times New Roman"/>
          <w:szCs w:val="24"/>
        </w:rPr>
        <w:t xml:space="preserve">denied DP&amp;L consumers a refund of charges they paid for </w:t>
      </w:r>
      <w:r>
        <w:rPr>
          <w:rFonts w:cs="Times New Roman"/>
          <w:szCs w:val="24"/>
        </w:rPr>
        <w:t>DP&amp;L’s</w:t>
      </w:r>
      <w:r w:rsidRPr="004767F8">
        <w:rPr>
          <w:rFonts w:cs="Times New Roman"/>
          <w:szCs w:val="24"/>
        </w:rPr>
        <w:t xml:space="preserve"> stability charge because the issue was purportedly “moot.”</w:t>
      </w:r>
      <w:r>
        <w:rPr>
          <w:rStyle w:val="FootnoteReference"/>
          <w:rFonts w:cs="Times New Roman"/>
          <w:szCs w:val="24"/>
        </w:rPr>
        <w:footnoteReference w:id="7"/>
      </w:r>
      <w:r w:rsidRPr="00567AEE" w:rsidR="00567AEE">
        <w:rPr>
          <w:rFonts w:cs="Times New Roman"/>
          <w:szCs w:val="24"/>
        </w:rPr>
        <w:t xml:space="preserve"> </w:t>
      </w:r>
      <w:r w:rsidR="00D1644D">
        <w:rPr>
          <w:rFonts w:cs="Times New Roman"/>
          <w:szCs w:val="24"/>
        </w:rPr>
        <w:t xml:space="preserve">Additionally, the </w:t>
      </w:r>
      <w:r w:rsidRPr="004767F8" w:rsidR="00567AEE">
        <w:rPr>
          <w:rFonts w:cs="Times New Roman"/>
          <w:szCs w:val="24"/>
        </w:rPr>
        <w:t xml:space="preserve">PUCO </w:t>
      </w:r>
      <w:r w:rsidR="00957FB9">
        <w:rPr>
          <w:rFonts w:cs="Times New Roman"/>
          <w:szCs w:val="24"/>
        </w:rPr>
        <w:t xml:space="preserve">unlawfully </w:t>
      </w:r>
      <w:r w:rsidR="00567AEE">
        <w:rPr>
          <w:rFonts w:cs="Times New Roman"/>
          <w:szCs w:val="24"/>
        </w:rPr>
        <w:t xml:space="preserve">asserted </w:t>
      </w:r>
      <w:r w:rsidR="00957FB9">
        <w:rPr>
          <w:rFonts w:cs="Times New Roman"/>
          <w:szCs w:val="24"/>
        </w:rPr>
        <w:t xml:space="preserve">(without record support or sound reasoning) </w:t>
      </w:r>
      <w:r w:rsidR="00567AEE">
        <w:rPr>
          <w:rFonts w:cs="Times New Roman"/>
          <w:szCs w:val="24"/>
        </w:rPr>
        <w:t>that it approved DP&amp;L’s tariffs under authority independent of the rehearing statute</w:t>
      </w:r>
      <w:r w:rsidR="00957FB9">
        <w:rPr>
          <w:rFonts w:cs="Times New Roman"/>
          <w:szCs w:val="24"/>
        </w:rPr>
        <w:t>.</w:t>
      </w:r>
      <w:r w:rsidR="002F0E11">
        <w:rPr>
          <w:rFonts w:cs="Times New Roman"/>
          <w:szCs w:val="24"/>
        </w:rPr>
        <w:t xml:space="preserve"> </w:t>
      </w:r>
      <w:r w:rsidR="00D1644D">
        <w:rPr>
          <w:rFonts w:cs="Times New Roman"/>
          <w:szCs w:val="24"/>
        </w:rPr>
        <w:t>And</w:t>
      </w:r>
      <w:r w:rsidR="00957FB9">
        <w:rPr>
          <w:rFonts w:cs="Times New Roman"/>
          <w:szCs w:val="24"/>
        </w:rPr>
        <w:t xml:space="preserve"> the PUCO tried to justify its decision by misinterpreting both Ohio law (</w:t>
      </w:r>
      <w:r w:rsidRPr="004767F8" w:rsidR="00567AEE">
        <w:rPr>
          <w:rFonts w:cs="Times New Roman"/>
          <w:szCs w:val="24"/>
        </w:rPr>
        <w:t>R.C. 4903.10</w:t>
      </w:r>
      <w:r w:rsidR="00957FB9">
        <w:rPr>
          <w:rFonts w:cs="Times New Roman"/>
          <w:szCs w:val="24"/>
        </w:rPr>
        <w:t xml:space="preserve">) </w:t>
      </w:r>
      <w:r w:rsidR="00567AEE">
        <w:rPr>
          <w:rFonts w:cs="Times New Roman"/>
          <w:szCs w:val="24"/>
        </w:rPr>
        <w:t>and governing case law</w:t>
      </w:r>
      <w:r w:rsidR="00957FB9">
        <w:rPr>
          <w:rFonts w:cs="Times New Roman"/>
          <w:szCs w:val="24"/>
        </w:rPr>
        <w:t>.</w:t>
      </w:r>
      <w:r>
        <w:rPr>
          <w:rStyle w:val="FootnoteReference"/>
          <w:rFonts w:cs="Times New Roman"/>
          <w:szCs w:val="24"/>
        </w:rPr>
        <w:footnoteReference w:id="8"/>
      </w:r>
      <w:r w:rsidRPr="004767F8">
        <w:rPr>
          <w:rFonts w:cs="Times New Roman"/>
          <w:szCs w:val="24"/>
        </w:rPr>
        <w:t xml:space="preserve"> </w:t>
      </w:r>
    </w:p>
    <w:p w:rsidR="004767F8" w:rsidRPr="004767F8" w:rsidP="00BF52D7" w14:paraId="58FCFEA3" w14:textId="341BD45A">
      <w:pPr>
        <w:spacing w:after="0" w:line="480" w:lineRule="auto"/>
        <w:ind w:firstLine="720"/>
        <w:rPr>
          <w:rFonts w:cs="Times New Roman"/>
          <w:szCs w:val="24"/>
        </w:rPr>
      </w:pPr>
      <w:r>
        <w:rPr>
          <w:rFonts w:cs="Times New Roman"/>
          <w:szCs w:val="24"/>
        </w:rPr>
        <w:t>OCC requests rehearing of these PUCO findings in its October 5, 2022 Entry.</w:t>
      </w:r>
      <w:r w:rsidR="002F0E11">
        <w:rPr>
          <w:rFonts w:cs="Times New Roman"/>
          <w:szCs w:val="24"/>
        </w:rPr>
        <w:t xml:space="preserve"> </w:t>
      </w:r>
      <w:r>
        <w:rPr>
          <w:rFonts w:cs="Times New Roman"/>
          <w:szCs w:val="24"/>
        </w:rPr>
        <w:t xml:space="preserve">The </w:t>
      </w:r>
      <w:r w:rsidRPr="004767F8">
        <w:rPr>
          <w:rFonts w:cs="Times New Roman"/>
          <w:szCs w:val="24"/>
        </w:rPr>
        <w:t xml:space="preserve">PUCO should </w:t>
      </w:r>
      <w:r>
        <w:rPr>
          <w:rFonts w:cs="Times New Roman"/>
          <w:szCs w:val="24"/>
        </w:rPr>
        <w:t>grant rehearing and abrogate or modify its Entry.</w:t>
      </w:r>
      <w:r w:rsidR="002F0E11">
        <w:rPr>
          <w:rFonts w:cs="Times New Roman"/>
          <w:szCs w:val="24"/>
        </w:rPr>
        <w:t xml:space="preserve"> </w:t>
      </w:r>
      <w:r>
        <w:rPr>
          <w:rFonts w:cs="Times New Roman"/>
          <w:szCs w:val="24"/>
        </w:rPr>
        <w:t xml:space="preserve">The PUCO should </w:t>
      </w:r>
      <w:r w:rsidRPr="004767F8">
        <w:rPr>
          <w:rFonts w:cs="Times New Roman"/>
          <w:szCs w:val="24"/>
        </w:rPr>
        <w:t xml:space="preserve">order refunds to DP&amp;L consumers for the illegally collected stability charges that consumers paid from August 2021 to June 2022. </w:t>
      </w:r>
    </w:p>
    <w:p w:rsidR="004767F8" w:rsidRPr="004767F8" w:rsidP="004A6827" w14:paraId="476FD43A" w14:textId="77777777">
      <w:pPr>
        <w:spacing w:after="0" w:line="240" w:lineRule="auto"/>
        <w:rPr>
          <w:rFonts w:cs="Times New Roman"/>
          <w:b/>
          <w:szCs w:val="24"/>
        </w:rPr>
      </w:pPr>
    </w:p>
    <w:p w:rsidR="00DD2A50" w:rsidRPr="00891B21" w:rsidP="004A6827" w14:paraId="7022426D" w14:textId="245368E6">
      <w:pPr>
        <w:pStyle w:val="Heading1"/>
        <w:numPr>
          <w:ilvl w:val="0"/>
          <w:numId w:val="0"/>
        </w:numPr>
        <w:ind w:left="720" w:hanging="720"/>
      </w:pPr>
      <w:bookmarkStart w:id="1" w:name="_Toc117763866"/>
      <w:r w:rsidRPr="00891B21">
        <w:t>II</w:t>
      </w:r>
      <w:r w:rsidRPr="00891B21" w:rsidR="004C4298">
        <w:t>.</w:t>
      </w:r>
      <w:r w:rsidRPr="00891B21" w:rsidR="004C4298">
        <w:tab/>
        <w:t>ARGUMENT</w:t>
      </w:r>
      <w:bookmarkEnd w:id="1"/>
    </w:p>
    <w:p w:rsidR="00405497" w:rsidP="004A6827" w14:paraId="14A06AA7" w14:textId="13CC1CAF">
      <w:pPr>
        <w:pStyle w:val="Heading2"/>
        <w:numPr>
          <w:ilvl w:val="0"/>
          <w:numId w:val="0"/>
        </w:numPr>
        <w:ind w:left="720"/>
      </w:pPr>
      <w:bookmarkStart w:id="2" w:name="_Toc117763867"/>
      <w:r w:rsidRPr="0065446E">
        <w:rPr>
          <w:rStyle w:val="Heading2Char"/>
        </w:rPr>
        <w:t xml:space="preserve">Claim of Error 1: </w:t>
      </w:r>
      <w:r w:rsidRPr="00171829">
        <w:t xml:space="preserve">The PUCO erred when </w:t>
      </w:r>
      <w:r>
        <w:t xml:space="preserve">it </w:t>
      </w:r>
      <w:r w:rsidRPr="00171829">
        <w:t xml:space="preserve">failed to order refunds for $60 million paid </w:t>
      </w:r>
      <w:r>
        <w:t xml:space="preserve">by consumers </w:t>
      </w:r>
      <w:r w:rsidRPr="00171829">
        <w:t xml:space="preserve">under DP&amp;L’s unauthorized tariffs, after finding </w:t>
      </w:r>
      <w:r>
        <w:t>that the issue is moot</w:t>
      </w:r>
      <w:r w:rsidRPr="00171829">
        <w:t xml:space="preserve">. Contrary to the PUCO’s conclusion, </w:t>
      </w:r>
      <w:r>
        <w:t>the issue is capable of repetition while evading review and is therefore an exception to mootness</w:t>
      </w:r>
      <w:r w:rsidRPr="00171829">
        <w:t>.</w:t>
      </w:r>
      <w:bookmarkEnd w:id="2"/>
    </w:p>
    <w:p w:rsidR="00F03EBC" w:rsidP="00405497" w14:paraId="6DECE87D" w14:textId="3553B7B6">
      <w:pPr>
        <w:spacing w:after="0" w:line="480" w:lineRule="auto"/>
        <w:ind w:firstLine="720"/>
        <w:rPr>
          <w:szCs w:val="24"/>
        </w:rPr>
      </w:pPr>
      <w:r w:rsidRPr="00332000">
        <w:rPr>
          <w:rFonts w:cs="Times New Roman"/>
          <w:szCs w:val="24"/>
        </w:rPr>
        <w:t xml:space="preserve">In its </w:t>
      </w:r>
      <w:r w:rsidR="00405497">
        <w:rPr>
          <w:rFonts w:cs="Times New Roman"/>
          <w:szCs w:val="24"/>
        </w:rPr>
        <w:t>third</w:t>
      </w:r>
      <w:r w:rsidRPr="00332000">
        <w:rPr>
          <w:rFonts w:cs="Times New Roman"/>
          <w:szCs w:val="24"/>
        </w:rPr>
        <w:t xml:space="preserve"> assignment of error, OCC demonstrated that </w:t>
      </w:r>
      <w:r w:rsidRPr="00332000">
        <w:rPr>
          <w:szCs w:val="24"/>
        </w:rPr>
        <w:t xml:space="preserve">the </w:t>
      </w:r>
      <w:r>
        <w:rPr>
          <w:szCs w:val="24"/>
        </w:rPr>
        <w:t>PUCO</w:t>
      </w:r>
      <w:r w:rsidRPr="00332000">
        <w:rPr>
          <w:szCs w:val="24"/>
        </w:rPr>
        <w:t xml:space="preserve"> erred when it failed to find that </w:t>
      </w:r>
      <w:r>
        <w:rPr>
          <w:szCs w:val="24"/>
        </w:rPr>
        <w:t>DP&amp;L’s</w:t>
      </w:r>
      <w:r w:rsidRPr="00332000">
        <w:rPr>
          <w:szCs w:val="24"/>
        </w:rPr>
        <w:t xml:space="preserve"> collection of </w:t>
      </w:r>
      <w:r>
        <w:rPr>
          <w:szCs w:val="24"/>
        </w:rPr>
        <w:t xml:space="preserve">stability </w:t>
      </w:r>
      <w:r w:rsidRPr="00332000">
        <w:rPr>
          <w:szCs w:val="24"/>
        </w:rPr>
        <w:t xml:space="preserve">charges was unauthorized and in violation of law and a </w:t>
      </w:r>
      <w:r>
        <w:rPr>
          <w:szCs w:val="24"/>
        </w:rPr>
        <w:t>PUCO</w:t>
      </w:r>
      <w:r w:rsidRPr="00332000">
        <w:rPr>
          <w:szCs w:val="24"/>
        </w:rPr>
        <w:t xml:space="preserve"> order.</w:t>
      </w:r>
      <w:r>
        <w:rPr>
          <w:rStyle w:val="FootnoteReference"/>
          <w:szCs w:val="24"/>
        </w:rPr>
        <w:footnoteReference w:id="9"/>
      </w:r>
      <w:r>
        <w:rPr>
          <w:szCs w:val="24"/>
        </w:rPr>
        <w:t xml:space="preserve"> In its </w:t>
      </w:r>
      <w:r w:rsidR="00405497">
        <w:rPr>
          <w:szCs w:val="24"/>
        </w:rPr>
        <w:t>Ninth</w:t>
      </w:r>
      <w:r>
        <w:rPr>
          <w:szCs w:val="24"/>
        </w:rPr>
        <w:t xml:space="preserve"> Entry on Rehearing, the PUCO concluded that OCC had not demonstrated error because </w:t>
      </w:r>
      <w:r w:rsidR="00405497">
        <w:rPr>
          <w:szCs w:val="24"/>
        </w:rPr>
        <w:t xml:space="preserve">the issue was </w:t>
      </w:r>
      <w:r w:rsidR="00310B7F">
        <w:rPr>
          <w:szCs w:val="24"/>
        </w:rPr>
        <w:t>“</w:t>
      </w:r>
      <w:r w:rsidR="00405497">
        <w:rPr>
          <w:szCs w:val="24"/>
        </w:rPr>
        <w:t>moot</w:t>
      </w:r>
      <w:r>
        <w:rPr>
          <w:szCs w:val="24"/>
        </w:rPr>
        <w:t>.</w:t>
      </w:r>
      <w:r w:rsidR="00310B7F">
        <w:rPr>
          <w:szCs w:val="24"/>
        </w:rPr>
        <w:t>”</w:t>
      </w:r>
      <w:r>
        <w:rPr>
          <w:rStyle w:val="FootnoteReference"/>
          <w:szCs w:val="24"/>
        </w:rPr>
        <w:footnoteReference w:id="10"/>
      </w:r>
      <w:r>
        <w:rPr>
          <w:szCs w:val="24"/>
        </w:rPr>
        <w:t xml:space="preserve"> </w:t>
      </w:r>
    </w:p>
    <w:p w:rsidR="0043073F" w:rsidRPr="00946F0C" w:rsidP="00CD6C19" w14:paraId="6030A8E3" w14:textId="0E5E2715">
      <w:pPr>
        <w:spacing w:after="0" w:line="480" w:lineRule="auto"/>
        <w:ind w:firstLine="720"/>
      </w:pPr>
      <w:r>
        <w:t xml:space="preserve">But as </w:t>
      </w:r>
      <w:r w:rsidRPr="00946F0C">
        <w:t>recognized</w:t>
      </w:r>
      <w:r>
        <w:t xml:space="preserve"> by the Ohio Supreme Court,</w:t>
      </w:r>
      <w:r w:rsidRPr="00946F0C">
        <w:t xml:space="preserve"> even if a case or controversy is moot, there are exceptions where it is appropriate to nonetheless decide the issues. </w:t>
      </w:r>
      <w:r>
        <w:t>T</w:t>
      </w:r>
      <w:r w:rsidRPr="00946F0C">
        <w:t xml:space="preserve">he exception to the mootness doctrine </w:t>
      </w:r>
      <w:r>
        <w:t xml:space="preserve">applicable here </w:t>
      </w:r>
      <w:r w:rsidRPr="00946F0C">
        <w:t>is for claims that are capable of repetition, yet evading review.</w:t>
      </w:r>
      <w:r>
        <w:rPr>
          <w:rStyle w:val="FootnoteReference"/>
        </w:rPr>
        <w:footnoteReference w:id="11"/>
      </w:r>
      <w:r w:rsidRPr="00946F0C">
        <w:t xml:space="preserve"> This doctrine originated in U.S. Supreme Court cases, dating back to 1911.</w:t>
      </w:r>
      <w:r>
        <w:rPr>
          <w:rStyle w:val="FootnoteReference"/>
        </w:rPr>
        <w:footnoteReference w:id="12"/>
      </w:r>
      <w:r w:rsidR="000C698E">
        <w:t xml:space="preserve"> </w:t>
      </w:r>
    </w:p>
    <w:p w:rsidR="0043073F" w:rsidRPr="00946F0C" w:rsidP="00CD6C19" w14:paraId="45CBEF98" w14:textId="342BF7A5">
      <w:pPr>
        <w:spacing w:after="0" w:line="480" w:lineRule="auto"/>
      </w:pPr>
      <w:r w:rsidRPr="00946F0C">
        <w:tab/>
        <w:t>In applying the “capable of repetition, yet evading review” exception, two factors</w:t>
      </w:r>
      <w:r>
        <w:t xml:space="preserve"> are looked to</w:t>
      </w:r>
      <w:r w:rsidRPr="00946F0C">
        <w:t>: (1) whether the challenged action is too short in its duration to be fully litigated before its cessation or expiration; and (2) whether there is a reasonable expectation that the same complaining party will be subject to the same action again.</w:t>
      </w:r>
      <w:r>
        <w:rPr>
          <w:rStyle w:val="FootnoteReference"/>
        </w:rPr>
        <w:footnoteReference w:id="13"/>
      </w:r>
      <w:r w:rsidRPr="00946F0C">
        <w:t xml:space="preserve"> </w:t>
      </w:r>
    </w:p>
    <w:p w:rsidR="0043073F" w:rsidRPr="00946F0C" w:rsidP="00CD6C19" w14:paraId="3BB37FF9" w14:textId="4C3678E9">
      <w:pPr>
        <w:spacing w:after="0" w:line="480" w:lineRule="auto"/>
      </w:pPr>
      <w:r w:rsidRPr="00946F0C">
        <w:tab/>
        <w:t>Here the challenged action could evade review. The PUCO</w:t>
      </w:r>
      <w:r w:rsidR="00107A40">
        <w:t xml:space="preserve"> allowed </w:t>
      </w:r>
      <w:r>
        <w:t xml:space="preserve">DP&amp;L </w:t>
      </w:r>
      <w:r w:rsidR="00107A40">
        <w:t xml:space="preserve">to charge </w:t>
      </w:r>
      <w:r>
        <w:t>consumers for the stability charge</w:t>
      </w:r>
      <w:r w:rsidRPr="00946F0C">
        <w:t xml:space="preserve"> </w:t>
      </w:r>
      <w:r w:rsidR="00107A40">
        <w:t>that is in effect only until the next ESP rate plan (ESP 4) is approved.</w:t>
      </w:r>
      <w:r w:rsidRPr="00946F0C">
        <w:t xml:space="preserve"> It is expected that DP&amp;</w:t>
      </w:r>
      <w:r w:rsidR="008B6E6E">
        <w:t xml:space="preserve"> </w:t>
      </w:r>
      <w:r w:rsidR="008C7443">
        <w:t xml:space="preserve">ESP 4 </w:t>
      </w:r>
      <w:r w:rsidRPr="00946F0C">
        <w:t xml:space="preserve">will be approved </w:t>
      </w:r>
      <w:r>
        <w:t xml:space="preserve">in </w:t>
      </w:r>
      <w:r w:rsidR="008C7443">
        <w:t xml:space="preserve">2023 </w:t>
      </w:r>
      <w:r w:rsidRPr="00946F0C">
        <w:t xml:space="preserve">and new rates </w:t>
      </w:r>
      <w:r w:rsidR="008B6E6E">
        <w:t xml:space="preserve">(without the stability charge) </w:t>
      </w:r>
      <w:r w:rsidRPr="00946F0C">
        <w:t xml:space="preserve">will be charged to </w:t>
      </w:r>
      <w:r>
        <w:t>consumers</w:t>
      </w:r>
      <w:r w:rsidRPr="00946F0C">
        <w:t xml:space="preserve">. </w:t>
      </w:r>
      <w:r>
        <w:t>DP&amp;L has already applied for approval of its next electric security plan</w:t>
      </w:r>
      <w:r w:rsidR="008C7443">
        <w:t xml:space="preserve"> under an expedited schedule, seeking to have ESP 4 rates effective July 1, 2023</w:t>
      </w:r>
      <w:r>
        <w:t>.</w:t>
      </w:r>
      <w:r>
        <w:rPr>
          <w:rStyle w:val="FootnoteReference"/>
        </w:rPr>
        <w:footnoteReference w:id="14"/>
      </w:r>
      <w:r>
        <w:t xml:space="preserve"> </w:t>
      </w:r>
      <w:r w:rsidRPr="00946F0C">
        <w:t xml:space="preserve">That short time frame prevents the </w:t>
      </w:r>
      <w:r w:rsidR="00C21A38">
        <w:t>refund</w:t>
      </w:r>
      <w:r w:rsidRPr="00946F0C">
        <w:t xml:space="preserve"> issue from being fully litigated.</w:t>
      </w:r>
      <w:r>
        <w:rPr>
          <w:rStyle w:val="FootnoteReference"/>
        </w:rPr>
        <w:footnoteReference w:id="15"/>
      </w:r>
      <w:r w:rsidRPr="00946F0C">
        <w:t xml:space="preserve"> </w:t>
      </w:r>
    </w:p>
    <w:p w:rsidR="0043073F" w:rsidRPr="00946F0C" w:rsidP="00CD6C19" w14:paraId="7041408E" w14:textId="3298876E">
      <w:pPr>
        <w:spacing w:after="0" w:line="480" w:lineRule="auto"/>
      </w:pPr>
      <w:r w:rsidRPr="00946F0C">
        <w:tab/>
        <w:t>Additionally, the issue</w:t>
      </w:r>
      <w:r w:rsidR="00C21A38">
        <w:t xml:space="preserve"> is</w:t>
      </w:r>
      <w:r w:rsidRPr="00946F0C">
        <w:t xml:space="preserve"> capable of repetition. In </w:t>
      </w:r>
      <w:r w:rsidRPr="00946F0C">
        <w:rPr>
          <w:i/>
        </w:rPr>
        <w:t>P&amp;G Bankers Trust Co.,</w:t>
      </w:r>
      <w:r>
        <w:rPr>
          <w:rStyle w:val="FootnoteReference"/>
          <w:iCs/>
        </w:rPr>
        <w:footnoteReference w:id="16"/>
      </w:r>
      <w:r w:rsidRPr="00946F0C">
        <w:t xml:space="preserve"> the court explained that the “capable of repetition” requirement is satisfied when there is a reasonable expectation that the same complaint will be in issue in the future. There the Sixth Circuit Court of Appeals ruled that an appeal challenging a temporary restraining order enjoining publication of documents was not rendered moot when documents were unsealed and released into the public domain.</w:t>
      </w:r>
      <w:r>
        <w:rPr>
          <w:rStyle w:val="FootnoteReference"/>
        </w:rPr>
        <w:footnoteReference w:id="17"/>
      </w:r>
      <w:r w:rsidRPr="00946F0C">
        <w:t xml:space="preserve"> “Review must be kept alive when a judge issues a prior restraint that he can cease when challenged and then take up again at a later time, only to cease again</w:t>
      </w:r>
      <w:r w:rsidR="000C698E">
        <w:t xml:space="preserve"> </w:t>
      </w:r>
      <w:r w:rsidRPr="00946F0C">
        <w:t>just in time to prevent appellate review. The doctrine of mootness is not</w:t>
      </w:r>
      <w:r w:rsidR="000C698E">
        <w:t xml:space="preserve"> to</w:t>
      </w:r>
      <w:r w:rsidRPr="00946F0C">
        <w:t xml:space="preserve"> be used as a spoof on appellate courts.”</w:t>
      </w:r>
      <w:r>
        <w:rPr>
          <w:rStyle w:val="FootnoteReference"/>
        </w:rPr>
        <w:footnoteReference w:id="18"/>
      </w:r>
      <w:r w:rsidRPr="00946F0C">
        <w:t xml:space="preserve"> </w:t>
      </w:r>
    </w:p>
    <w:p w:rsidR="0038221E" w:rsidP="00CD6C19" w14:paraId="4EB7925B" w14:textId="3E010E20">
      <w:pPr>
        <w:spacing w:after="0" w:line="480" w:lineRule="auto"/>
        <w:rPr>
          <w:rFonts w:cs="Times New Roman"/>
          <w:szCs w:val="24"/>
        </w:rPr>
      </w:pPr>
      <w:r w:rsidRPr="00946F0C">
        <w:tab/>
      </w:r>
      <w:r w:rsidR="00C21A38">
        <w:t>Here</w:t>
      </w:r>
      <w:r w:rsidRPr="00946F0C">
        <w:t xml:space="preserve">, a utility’s right to </w:t>
      </w:r>
      <w:r w:rsidR="00C21A38">
        <w:t xml:space="preserve">charge consumers without </w:t>
      </w:r>
      <w:r w:rsidR="000C698E">
        <w:t>a</w:t>
      </w:r>
      <w:r w:rsidR="00C21A38">
        <w:t xml:space="preserve"> proper tariff is capable of repetition</w:t>
      </w:r>
      <w:r w:rsidRPr="00946F0C">
        <w:t>.</w:t>
      </w:r>
      <w:r w:rsidR="00C21A38">
        <w:t xml:space="preserve"> Utility tariffs can (and do) run into the hundreds of pages. The PUCO’s docket is full of cases that will require new tariffs, tariff updates, both, and more. It</w:t>
      </w:r>
      <w:r w:rsidRPr="00946F0C">
        <w:t xml:space="preserve"> can be reasonably expected that this issue will repeat itself. And it is expected that parties (and the PUCO) will rely upon the </w:t>
      </w:r>
      <w:r w:rsidR="00C21A38">
        <w:t>entries in this case</w:t>
      </w:r>
      <w:r w:rsidRPr="00946F0C">
        <w:t>, which may become the basis of future orders.</w:t>
      </w:r>
      <w:r>
        <w:rPr>
          <w:rStyle w:val="FootnoteReference"/>
        </w:rPr>
        <w:footnoteReference w:id="19"/>
      </w:r>
      <w:r w:rsidRPr="00946F0C">
        <w:t xml:space="preserve"> Because OCC’s </w:t>
      </w:r>
      <w:r w:rsidR="00C21A38">
        <w:t>application for rehearing raise</w:t>
      </w:r>
      <w:r w:rsidR="00DB454D">
        <w:t>s</w:t>
      </w:r>
      <w:r w:rsidRPr="00946F0C">
        <w:t xml:space="preserve"> important issues that are capable of repetition, yet evading review, </w:t>
      </w:r>
      <w:r w:rsidR="00C21A38">
        <w:t>the PUCO</w:t>
      </w:r>
      <w:r w:rsidRPr="00946F0C">
        <w:t xml:space="preserve"> should rule upon them, even if the issues would otherwise be considered moot.</w:t>
      </w:r>
      <w:r w:rsidRPr="00332000">
        <w:rPr>
          <w:rFonts w:cs="Times New Roman"/>
          <w:szCs w:val="24"/>
        </w:rPr>
        <w:t xml:space="preserve"> </w:t>
      </w:r>
    </w:p>
    <w:p w:rsidR="00452F74" w:rsidP="0038221E" w14:paraId="73768C5D" w14:textId="00D9F8D7">
      <w:pPr>
        <w:spacing w:after="0" w:line="480" w:lineRule="auto"/>
        <w:ind w:firstLine="720"/>
      </w:pPr>
      <w:r>
        <w:t xml:space="preserve">The PUCO erred. Rehearing should be granted. The PUCO should order DP&amp;L to return to consumers </w:t>
      </w:r>
      <w:r w:rsidR="003A2910">
        <w:t>all</w:t>
      </w:r>
      <w:r>
        <w:t xml:space="preserve"> illegally collected stability charge</w:t>
      </w:r>
      <w:r w:rsidR="003A2910">
        <w:t>s</w:t>
      </w:r>
      <w:r>
        <w:t xml:space="preserve"> since August 2021. </w:t>
      </w:r>
    </w:p>
    <w:p w:rsidR="00452F74" w14:paraId="452C06A7" w14:textId="77777777">
      <w:pPr>
        <w:spacing w:after="160" w:line="259" w:lineRule="auto"/>
      </w:pPr>
      <w:r>
        <w:br w:type="page"/>
      </w:r>
    </w:p>
    <w:p w:rsidR="008C7443" w:rsidP="00700707" w14:paraId="31F9B3D3" w14:textId="5EBE42A9">
      <w:pPr>
        <w:spacing w:line="240" w:lineRule="auto"/>
        <w:ind w:left="720"/>
      </w:pPr>
      <w:bookmarkStart w:id="3" w:name="_Toc117763868"/>
      <w:r w:rsidRPr="00452F74">
        <w:rPr>
          <w:rStyle w:val="Heading2Char"/>
        </w:rPr>
        <w:t>Claim of Error 2:</w:t>
      </w:r>
      <w:r w:rsidRPr="00452F74" w:rsidR="00A956D0">
        <w:rPr>
          <w:rStyle w:val="Heading2Char"/>
        </w:rPr>
        <w:t xml:space="preserve"> </w:t>
      </w:r>
      <w:bookmarkStart w:id="4" w:name="_Toc77342122"/>
      <w:r w:rsidRPr="00452F74" w:rsidR="00567AEE">
        <w:rPr>
          <w:rStyle w:val="Heading2Char"/>
        </w:rPr>
        <w:t>The PUCO erred</w:t>
      </w:r>
      <w:r w:rsidRPr="00452F74" w:rsidR="00566121">
        <w:rPr>
          <w:rStyle w:val="Heading2Char"/>
        </w:rPr>
        <w:t xml:space="preserve">, violating R.C. 4903.09, </w:t>
      </w:r>
      <w:r w:rsidRPr="00452F74" w:rsidR="00567AEE">
        <w:rPr>
          <w:rStyle w:val="Heading2Char"/>
        </w:rPr>
        <w:t>when it un</w:t>
      </w:r>
      <w:r w:rsidRPr="00452F74" w:rsidR="00C84FCE">
        <w:rPr>
          <w:rStyle w:val="Heading2Char"/>
        </w:rPr>
        <w:t xml:space="preserve">lawfully </w:t>
      </w:r>
      <w:r w:rsidRPr="00452F74" w:rsidR="00D51D23">
        <w:rPr>
          <w:rStyle w:val="Heading2Char"/>
        </w:rPr>
        <w:t xml:space="preserve">and unreasonably </w:t>
      </w:r>
      <w:r w:rsidRPr="00452F74" w:rsidR="00567AEE">
        <w:rPr>
          <w:rStyle w:val="Heading2Char"/>
        </w:rPr>
        <w:t>claimed</w:t>
      </w:r>
      <w:r w:rsidRPr="00452F74" w:rsidR="00FD738D">
        <w:rPr>
          <w:rStyle w:val="Heading2Char"/>
        </w:rPr>
        <w:t xml:space="preserve">, without evidence and sound reasoning, </w:t>
      </w:r>
      <w:r w:rsidRPr="00452F74" w:rsidR="00567AEE">
        <w:rPr>
          <w:rStyle w:val="Heading2Char"/>
        </w:rPr>
        <w:t>that it approved DP&amp;L’s tariffs under authority independent of the rehearing statute.</w:t>
      </w:r>
      <w:bookmarkEnd w:id="3"/>
      <w:r w:rsidR="002F0E11">
        <w:t xml:space="preserve"> </w:t>
      </w:r>
      <w:r>
        <w:tab/>
      </w:r>
    </w:p>
    <w:p w:rsidR="00EA3200" w:rsidP="00DB454D" w14:paraId="1F7DBEB4" w14:textId="3F6820E9">
      <w:pPr>
        <w:spacing w:after="0" w:line="480" w:lineRule="auto"/>
        <w:ind w:firstLine="720"/>
        <w:rPr>
          <w:rFonts w:cs="Times New Roman"/>
          <w:szCs w:val="24"/>
        </w:rPr>
      </w:pPr>
      <w:r>
        <w:rPr>
          <w:rFonts w:cs="Times New Roman"/>
          <w:szCs w:val="24"/>
        </w:rPr>
        <w:t xml:space="preserve">In denying OCC’s </w:t>
      </w:r>
      <w:r w:rsidR="008C7443">
        <w:rPr>
          <w:rFonts w:cs="Times New Roman"/>
          <w:szCs w:val="24"/>
        </w:rPr>
        <w:t xml:space="preserve">latest </w:t>
      </w:r>
      <w:r>
        <w:rPr>
          <w:rFonts w:cs="Times New Roman"/>
          <w:szCs w:val="24"/>
        </w:rPr>
        <w:t xml:space="preserve">application for rehearing, the PUCO </w:t>
      </w:r>
      <w:r w:rsidR="00DB454D">
        <w:rPr>
          <w:rFonts w:cs="Times New Roman"/>
          <w:szCs w:val="24"/>
        </w:rPr>
        <w:t xml:space="preserve">came up with new-found authority for its ruling – (to OCC’s knowledge) authority never relied upon or mentioned before in the context of a PUCO Rehearing Entry.  The PUCO said it approved DP&amp;L’s tariffs through the Entry on Rehearing under authority that was independent of R.C. 4903.10.  The PUCO, in a footnote explained itself:  </w:t>
      </w:r>
    </w:p>
    <w:p w:rsidR="00EA3200" w:rsidP="004A6827" w14:paraId="7E59E9C9" w14:textId="5A6AC917">
      <w:pPr>
        <w:spacing w:after="0" w:line="240" w:lineRule="auto"/>
        <w:ind w:left="720" w:right="720"/>
        <w:rPr>
          <w:rFonts w:cs="Times New Roman"/>
          <w:szCs w:val="24"/>
        </w:rPr>
      </w:pPr>
    </w:p>
    <w:p w:rsidR="00EA3200" w:rsidP="00C70EC7" w14:paraId="4DB167F9" w14:textId="02E5BDA9">
      <w:pPr>
        <w:spacing w:after="0" w:line="240" w:lineRule="auto"/>
        <w:ind w:left="1440" w:right="1440"/>
      </w:pPr>
      <w:r>
        <w:t>In determining that OCC’s assignment of error was moot, the Commission did not concede that OCC’s characterization of the Seventh Entry on Rehearing was correct. Although the order was plainly styled “Seventh Entry on Rehearing,” the order consisted of three distinct parts: (1) acceptance of the withdrawal of applications for rehearing; (2) the now-vacated approval of the proposed tariffs; and (3) granting a stay requested by OCC. Only the first part of the order was done pursuant to the Commission’s authority under R.C. 4903.10. Under the second part, the Commission proceeded with its authority to approve proposed tariffs, independent of the rehearing statute. Further, in the Sixth Entry on Rehearing, the Commission did the exact same thing. The Commission denied the applications for rehearing filed by OCC and AES Ohio, and the Commission approved AES Ohio’s proposed tariffs which included the refund language. Sixth Entry on Rehearing at ¶ 48, 51-53.</w:t>
      </w:r>
      <w:r>
        <w:rPr>
          <w:rStyle w:val="FootnoteReference"/>
        </w:rPr>
        <w:footnoteReference w:id="20"/>
      </w:r>
    </w:p>
    <w:p w:rsidR="00EE0829" w:rsidRPr="00EA3200" w:rsidP="00EA3200" w14:paraId="6E77BEF5" w14:textId="77777777">
      <w:pPr>
        <w:spacing w:after="0" w:line="240" w:lineRule="auto"/>
        <w:ind w:left="720"/>
        <w:rPr>
          <w:rFonts w:cs="Times New Roman"/>
          <w:szCs w:val="24"/>
        </w:rPr>
      </w:pPr>
    </w:p>
    <w:p w:rsidR="008C7443" w:rsidP="00BF52D7" w14:paraId="33CD7CC8" w14:textId="41E98C1C">
      <w:pPr>
        <w:spacing w:after="0" w:line="480" w:lineRule="auto"/>
      </w:pPr>
      <w:r>
        <w:t xml:space="preserve">Despite best efforts, there appears to be no authority (the PUCO does not cite any) for the proposition that an entry “plainly styled” as an entry on rehearing has been, or can be, made </w:t>
      </w:r>
      <w:r w:rsidR="002C0DD8">
        <w:t xml:space="preserve">independent of the rehearing statute – </w:t>
      </w:r>
      <w:r>
        <w:t>R.C. 4903.10. The PUCO’s</w:t>
      </w:r>
      <w:r w:rsidR="005C702D">
        <w:t xml:space="preserve"> new-found </w:t>
      </w:r>
      <w:r>
        <w:t xml:space="preserve">conclusion </w:t>
      </w:r>
      <w:r w:rsidR="00CA71D5">
        <w:t xml:space="preserve">to the contrary </w:t>
      </w:r>
      <w:r>
        <w:t xml:space="preserve">was </w:t>
      </w:r>
      <w:r w:rsidR="00C84FCE">
        <w:t xml:space="preserve">without record support </w:t>
      </w:r>
      <w:r w:rsidR="00DB454D">
        <w:t xml:space="preserve">and </w:t>
      </w:r>
      <w:r w:rsidR="00C84FCE">
        <w:t xml:space="preserve">sound reasoning, </w:t>
      </w:r>
      <w:r w:rsidR="005C702D">
        <w:t>violating R.C. 4903.09</w:t>
      </w:r>
      <w:r>
        <w:t>.</w:t>
      </w:r>
      <w:r>
        <w:rPr>
          <w:rStyle w:val="FootnoteReference"/>
        </w:rPr>
        <w:footnoteReference w:id="21"/>
      </w:r>
      <w:r>
        <w:t xml:space="preserve"> </w:t>
      </w:r>
      <w:r w:rsidR="005C702D">
        <w:rPr>
          <w:rFonts w:cs="Times New Roman"/>
          <w:szCs w:val="24"/>
        </w:rPr>
        <w:t>The PUCO must have reasoned explanations and bases for its decisions.</w:t>
      </w:r>
      <w:r>
        <w:rPr>
          <w:rStyle w:val="FootnoteReference"/>
        </w:rPr>
        <w:footnoteReference w:id="22"/>
      </w:r>
      <w:r w:rsidR="005C702D">
        <w:rPr>
          <w:rFonts w:cs="Times New Roman"/>
          <w:szCs w:val="24"/>
        </w:rPr>
        <w:t xml:space="preserve"> There are none here. </w:t>
      </w:r>
    </w:p>
    <w:p w:rsidR="002C0DD8" w:rsidP="00617935" w14:paraId="05EF336C" w14:textId="4039C8AA">
      <w:pPr>
        <w:spacing w:after="0" w:line="480" w:lineRule="auto"/>
        <w:ind w:firstLine="720"/>
      </w:pPr>
      <w:r>
        <w:rPr>
          <w:rFonts w:cs="Times New Roman"/>
          <w:szCs w:val="24"/>
        </w:rPr>
        <w:t>The PUCO as a creature of statute has no authority other than that delegated to it by the General Assembly.</w:t>
      </w:r>
      <w:r>
        <w:rPr>
          <w:rStyle w:val="FootnoteReference"/>
          <w:rFonts w:cs="Times New Roman"/>
          <w:szCs w:val="24"/>
        </w:rPr>
        <w:footnoteReference w:id="23"/>
      </w:r>
      <w:r>
        <w:rPr>
          <w:rFonts w:cs="Times New Roman"/>
          <w:szCs w:val="24"/>
        </w:rPr>
        <w:t xml:space="preserve"> The General Assembly has not delegated to the PUCO authority to </w:t>
      </w:r>
      <w:r>
        <w:t>decide matters on rehearing independent of the rehearing statute – R.C. 4903.10.</w:t>
      </w:r>
      <w:r w:rsidR="002F0E11">
        <w:t xml:space="preserve"> </w:t>
      </w:r>
      <w:r>
        <w:t>Rehearing should be granted.</w:t>
      </w:r>
    </w:p>
    <w:p w:rsidR="001F0A30" w14:paraId="26A63F7B" w14:textId="2C429B0D">
      <w:pPr>
        <w:spacing w:after="0" w:line="240" w:lineRule="auto"/>
        <w:ind w:left="720"/>
        <w:rPr>
          <w:rStyle w:val="Heading2Char"/>
        </w:rPr>
      </w:pPr>
      <w:bookmarkStart w:id="5" w:name="_Toc117763869"/>
      <w:r>
        <w:rPr>
          <w:rStyle w:val="Heading2Char"/>
        </w:rPr>
        <w:t xml:space="preserve">Claim of Error </w:t>
      </w:r>
      <w:r w:rsidR="00A842D5">
        <w:rPr>
          <w:rStyle w:val="Heading2Char"/>
        </w:rPr>
        <w:t>3:</w:t>
      </w:r>
      <w:r w:rsidRPr="00452F74" w:rsidR="00A842D5">
        <w:rPr>
          <w:rStyle w:val="Heading2Char"/>
        </w:rPr>
        <w:t xml:space="preserve"> The</w:t>
      </w:r>
      <w:r w:rsidRPr="00452F74">
        <w:rPr>
          <w:rStyle w:val="Heading2Char"/>
        </w:rPr>
        <w:t xml:space="preserve"> PUCO erred in finding that the plain language of R.C. 4903.10 and the case law does not limit </w:t>
      </w:r>
      <w:r w:rsidR="00DB454D">
        <w:rPr>
          <w:rStyle w:val="Heading2Char"/>
        </w:rPr>
        <w:t>its</w:t>
      </w:r>
      <w:r w:rsidRPr="00452F74">
        <w:rPr>
          <w:rStyle w:val="Heading2Char"/>
        </w:rPr>
        <w:t xml:space="preserve"> authority to address issues on rehearing</w:t>
      </w:r>
      <w:r w:rsidR="00F42A95">
        <w:rPr>
          <w:rStyle w:val="Heading2Char"/>
        </w:rPr>
        <w:t>.</w:t>
      </w:r>
      <w:bookmarkEnd w:id="5"/>
    </w:p>
    <w:p w:rsidR="0069152E" w:rsidP="00A842D5" w14:paraId="7B02DCBF" w14:textId="77777777">
      <w:pPr>
        <w:spacing w:after="0" w:line="240" w:lineRule="auto"/>
        <w:ind w:left="720"/>
        <w:rPr>
          <w:rFonts w:cs="Times New Roman"/>
          <w:szCs w:val="24"/>
        </w:rPr>
      </w:pPr>
    </w:p>
    <w:p w:rsidR="001F0A30" w:rsidP="001F0A30" w14:paraId="15D009B6" w14:textId="6B29759D">
      <w:pPr>
        <w:spacing w:after="0" w:line="480" w:lineRule="auto"/>
        <w:ind w:firstLine="720"/>
        <w:rPr>
          <w:rFonts w:cs="Times New Roman"/>
          <w:szCs w:val="24"/>
        </w:rPr>
      </w:pPr>
      <w:r>
        <w:rPr>
          <w:rFonts w:cs="Times New Roman"/>
          <w:szCs w:val="24"/>
        </w:rPr>
        <w:t>In its application for rehearing, OCC demonstrated that the PUCO misused the statutory process to issue a ruling on a matter upon which a party did not seek rehearing, violating R.C. 4903.10.</w:t>
      </w:r>
      <w:r>
        <w:rPr>
          <w:rStyle w:val="FootnoteReference"/>
          <w:rFonts w:cs="Times New Roman"/>
          <w:szCs w:val="24"/>
        </w:rPr>
        <w:footnoteReference w:id="24"/>
      </w:r>
      <w:r>
        <w:rPr>
          <w:rFonts w:cs="Times New Roman"/>
          <w:szCs w:val="24"/>
        </w:rPr>
        <w:t xml:space="preserve"> OCC argument </w:t>
      </w:r>
      <w:r w:rsidR="00DB454D">
        <w:rPr>
          <w:rFonts w:cs="Times New Roman"/>
          <w:szCs w:val="24"/>
        </w:rPr>
        <w:t xml:space="preserve">focused </w:t>
      </w:r>
      <w:r>
        <w:rPr>
          <w:rFonts w:cs="Times New Roman"/>
          <w:szCs w:val="24"/>
        </w:rPr>
        <w:t xml:space="preserve">on the </w:t>
      </w:r>
      <w:r w:rsidR="00DB454D">
        <w:rPr>
          <w:rFonts w:cs="Times New Roman"/>
          <w:szCs w:val="24"/>
        </w:rPr>
        <w:t xml:space="preserve">actual </w:t>
      </w:r>
      <w:r>
        <w:rPr>
          <w:rFonts w:cs="Times New Roman"/>
          <w:szCs w:val="24"/>
        </w:rPr>
        <w:t>language in R.C. 4903.10 that limits the PUCO’s authority on rehearing to addressing “the matter specified in such application[]” and governing case law.</w:t>
      </w:r>
      <w:r>
        <w:rPr>
          <w:rStyle w:val="FootnoteReference"/>
          <w:rFonts w:cs="Times New Roman"/>
          <w:szCs w:val="24"/>
        </w:rPr>
        <w:footnoteReference w:id="25"/>
      </w:r>
      <w:r>
        <w:rPr>
          <w:rFonts w:cs="Times New Roman"/>
          <w:szCs w:val="24"/>
        </w:rPr>
        <w:t xml:space="preserve"> </w:t>
      </w:r>
    </w:p>
    <w:p w:rsidR="001F0A30" w:rsidP="001F0A30" w14:paraId="6911469C" w14:textId="40245D21">
      <w:pPr>
        <w:spacing w:after="0" w:line="480" w:lineRule="auto"/>
        <w:ind w:firstLine="720"/>
        <w:rPr>
          <w:rFonts w:cs="Times New Roman"/>
          <w:szCs w:val="24"/>
        </w:rPr>
      </w:pPr>
      <w:r>
        <w:rPr>
          <w:rFonts w:cs="Times New Roman"/>
          <w:szCs w:val="24"/>
        </w:rPr>
        <w:t xml:space="preserve">The PUCO, through dicta, </w:t>
      </w:r>
      <w:r w:rsidR="00DB454D">
        <w:rPr>
          <w:rFonts w:cs="Times New Roman"/>
          <w:szCs w:val="24"/>
        </w:rPr>
        <w:t xml:space="preserve">opined </w:t>
      </w:r>
      <w:r>
        <w:rPr>
          <w:rFonts w:cs="Times New Roman"/>
          <w:szCs w:val="24"/>
        </w:rPr>
        <w:t>that “</w:t>
      </w:r>
      <w:r>
        <w:t>even if OCC’s fifth assignment of error was not both moot and improper, the Commission would deny rehearing on this assignment of error.</w:t>
      </w:r>
      <w:r>
        <w:rPr>
          <w:rFonts w:cs="Times New Roman"/>
          <w:szCs w:val="24"/>
        </w:rPr>
        <w:t>”</w:t>
      </w:r>
      <w:r>
        <w:rPr>
          <w:rStyle w:val="FootnoteReference"/>
          <w:rFonts w:cs="Times New Roman"/>
          <w:szCs w:val="24"/>
        </w:rPr>
        <w:footnoteReference w:id="26"/>
      </w:r>
      <w:r>
        <w:rPr>
          <w:rFonts w:cs="Times New Roman"/>
          <w:szCs w:val="24"/>
        </w:rPr>
        <w:t xml:space="preserve"> The PUCO </w:t>
      </w:r>
      <w:r w:rsidR="00DB454D">
        <w:rPr>
          <w:rFonts w:cs="Times New Roman"/>
          <w:szCs w:val="24"/>
        </w:rPr>
        <w:t xml:space="preserve">said </w:t>
      </w:r>
      <w:r>
        <w:rPr>
          <w:rFonts w:cs="Times New Roman"/>
          <w:szCs w:val="24"/>
        </w:rPr>
        <w:t>that the plain language of the statute does not limit the PUCO’s authority to modify the original order to “matters raised on rehearing.”</w:t>
      </w:r>
    </w:p>
    <w:p w:rsidR="008C7443" w:rsidP="0028073D" w14:paraId="0F577C9D" w14:textId="147FCB7C">
      <w:pPr>
        <w:spacing w:after="0" w:line="480" w:lineRule="auto"/>
        <w:ind w:firstLine="720"/>
        <w:rPr>
          <w:rFonts w:cs="Times New Roman"/>
          <w:szCs w:val="24"/>
        </w:rPr>
      </w:pPr>
      <w:r>
        <w:rPr>
          <w:rFonts w:cs="Times New Roman"/>
          <w:szCs w:val="24"/>
        </w:rPr>
        <w:t>The</w:t>
      </w:r>
      <w:r w:rsidR="00406353">
        <w:rPr>
          <w:rFonts w:cs="Times New Roman"/>
          <w:szCs w:val="24"/>
        </w:rPr>
        <w:t xml:space="preserve"> PUCO’s ability to abrogate its original order or any part thereof </w:t>
      </w:r>
      <w:r>
        <w:rPr>
          <w:rFonts w:cs="Times New Roman"/>
          <w:szCs w:val="24"/>
        </w:rPr>
        <w:t xml:space="preserve">under R.C. 4903.10 </w:t>
      </w:r>
      <w:r w:rsidR="00406353">
        <w:rPr>
          <w:rFonts w:cs="Times New Roman"/>
          <w:szCs w:val="24"/>
        </w:rPr>
        <w:t xml:space="preserve">is conditioned on </w:t>
      </w:r>
      <w:r w:rsidR="00DE4B99">
        <w:rPr>
          <w:rFonts w:cs="Times New Roman"/>
          <w:szCs w:val="24"/>
        </w:rPr>
        <w:t>holding rehearing “on matters specified in such application [for rehearing].”</w:t>
      </w:r>
      <w:r>
        <w:rPr>
          <w:rStyle w:val="FootnoteReference"/>
          <w:rFonts w:cs="Times New Roman"/>
          <w:szCs w:val="24"/>
        </w:rPr>
        <w:footnoteReference w:id="27"/>
      </w:r>
      <w:r w:rsidR="00CF3AD1">
        <w:rPr>
          <w:rFonts w:cs="Times New Roman"/>
          <w:szCs w:val="24"/>
        </w:rPr>
        <w:t xml:space="preserve"> </w:t>
      </w:r>
      <w:r>
        <w:rPr>
          <w:rFonts w:cs="Times New Roman"/>
          <w:szCs w:val="24"/>
        </w:rPr>
        <w:t>The PUCO cannot lawfully broaden the scope of rehearing to matters that were not raised in applications for rehearing before it.</w:t>
      </w:r>
      <w:r>
        <w:rPr>
          <w:rStyle w:val="FootnoteReference"/>
          <w:rFonts w:cs="Times New Roman"/>
          <w:szCs w:val="24"/>
        </w:rPr>
        <w:footnoteReference w:id="28"/>
      </w:r>
      <w:r>
        <w:rPr>
          <w:rFonts w:cs="Times New Roman"/>
          <w:szCs w:val="24"/>
        </w:rPr>
        <w:t xml:space="preserve"> The plain language of the statute prohibits it. And Supreme Court precedent precludes it.</w:t>
      </w:r>
    </w:p>
    <w:p w:rsidR="007E037B" w:rsidP="0028073D" w14:paraId="0799E7DF" w14:textId="4420EA0B">
      <w:pPr>
        <w:spacing w:after="0" w:line="480" w:lineRule="auto"/>
        <w:ind w:firstLine="720"/>
        <w:rPr>
          <w:rFonts w:cs="Times New Roman"/>
          <w:szCs w:val="24"/>
        </w:rPr>
      </w:pPr>
      <w:r>
        <w:rPr>
          <w:rFonts w:cs="Times New Roman"/>
          <w:szCs w:val="24"/>
        </w:rPr>
        <w:t xml:space="preserve">Under R.C. 4903.10, the PUCO “’may grant and hold such </w:t>
      </w:r>
      <w:r>
        <w:rPr>
          <w:rFonts w:cs="Times New Roman"/>
          <w:i/>
          <w:iCs/>
          <w:szCs w:val="24"/>
        </w:rPr>
        <w:t>rehearing on the matter specified in such application</w:t>
      </w:r>
      <w:r>
        <w:rPr>
          <w:rFonts w:cs="Times New Roman"/>
          <w:szCs w:val="24"/>
        </w:rPr>
        <w:t xml:space="preserve"> if in its judgement sufficient reason therefor is made to appear.” If rehearing is held, “after such rehearing,” the PUCO may abrogate or modify “the original order or any part thereof” that “is in any respect unjust or unwarranted or should be changed.”</w:t>
      </w:r>
      <w:r w:rsidRPr="007E037B">
        <w:rPr>
          <w:rFonts w:cs="Times New Roman"/>
          <w:szCs w:val="24"/>
        </w:rPr>
        <w:t xml:space="preserve"> </w:t>
      </w:r>
      <w:r w:rsidR="00B26553">
        <w:rPr>
          <w:rFonts w:cs="Times New Roman"/>
          <w:szCs w:val="24"/>
        </w:rPr>
        <w:t>T</w:t>
      </w:r>
      <w:r>
        <w:rPr>
          <w:rFonts w:cs="Times New Roman"/>
          <w:szCs w:val="24"/>
        </w:rPr>
        <w:t>he statute is unambiguous, and therefore must be applied as written, and not interpreted.</w:t>
      </w:r>
      <w:r>
        <w:rPr>
          <w:rStyle w:val="FootnoteReference"/>
          <w:rFonts w:cs="Times New Roman"/>
          <w:szCs w:val="24"/>
        </w:rPr>
        <w:footnoteReference w:id="29"/>
      </w:r>
      <w:r>
        <w:rPr>
          <w:rFonts w:cs="Times New Roman"/>
          <w:szCs w:val="24"/>
        </w:rPr>
        <w:t xml:space="preserve"> </w:t>
      </w:r>
      <w:r w:rsidR="001854AF">
        <w:rPr>
          <w:rFonts w:cs="Times New Roman"/>
          <w:szCs w:val="24"/>
        </w:rPr>
        <w:t>Further, t</w:t>
      </w:r>
      <w:r>
        <w:rPr>
          <w:rFonts w:cs="Times New Roman"/>
          <w:szCs w:val="24"/>
        </w:rPr>
        <w:t>he PUCO as a creature of statute has no authority other than that delegated to it by the General Assembly.</w:t>
      </w:r>
      <w:r>
        <w:rPr>
          <w:rStyle w:val="FootnoteReference"/>
          <w:rFonts w:cs="Times New Roman"/>
          <w:szCs w:val="24"/>
        </w:rPr>
        <w:footnoteReference w:id="30"/>
      </w:r>
      <w:r w:rsidR="00B26553">
        <w:rPr>
          <w:rFonts w:cs="Times New Roman"/>
          <w:szCs w:val="24"/>
        </w:rPr>
        <w:t xml:space="preserve"> The General Assembly has not delegated to the PUCO authority to broaden the scope of R.C. 4903.10 to include rehearing matters that were not raised in applications for rehearing.</w:t>
      </w:r>
    </w:p>
    <w:p w:rsidR="00CE1D09" w:rsidP="0028073D" w14:paraId="4B0046B9" w14:textId="6DDD5942">
      <w:pPr>
        <w:spacing w:after="0" w:line="480" w:lineRule="auto"/>
        <w:ind w:firstLine="720"/>
        <w:rPr>
          <w:rFonts w:cs="Times New Roman"/>
          <w:szCs w:val="24"/>
        </w:rPr>
      </w:pPr>
      <w:r>
        <w:rPr>
          <w:rFonts w:cs="Times New Roman"/>
          <w:szCs w:val="24"/>
        </w:rPr>
        <w:t xml:space="preserve">The PUCO </w:t>
      </w:r>
      <w:r w:rsidR="00DB454D">
        <w:rPr>
          <w:rFonts w:cs="Times New Roman"/>
          <w:szCs w:val="24"/>
        </w:rPr>
        <w:t xml:space="preserve">voiced its disagreement </w:t>
      </w:r>
      <w:r>
        <w:rPr>
          <w:rFonts w:cs="Times New Roman"/>
          <w:szCs w:val="24"/>
        </w:rPr>
        <w:t>with “OCC’s cramped interpretation of R.C. 4903.10</w:t>
      </w:r>
      <w:r w:rsidR="00DB454D">
        <w:rPr>
          <w:rFonts w:cs="Times New Roman"/>
          <w:szCs w:val="24"/>
        </w:rPr>
        <w:t>,</w:t>
      </w:r>
      <w:r>
        <w:rPr>
          <w:rFonts w:cs="Times New Roman"/>
          <w:szCs w:val="24"/>
        </w:rPr>
        <w:t>” claiming that it is not supported by the plain language of the statute or by the caselaw cited by OCC.</w:t>
      </w:r>
      <w:r>
        <w:rPr>
          <w:rStyle w:val="FootnoteReference"/>
          <w:rFonts w:cs="Times New Roman"/>
          <w:szCs w:val="24"/>
        </w:rPr>
        <w:footnoteReference w:id="31"/>
      </w:r>
      <w:r>
        <w:rPr>
          <w:rFonts w:cs="Times New Roman"/>
          <w:szCs w:val="24"/>
        </w:rPr>
        <w:t xml:space="preserve"> Cramped as it may be, OCC</w:t>
      </w:r>
      <w:r w:rsidR="00702070">
        <w:rPr>
          <w:rFonts w:cs="Times New Roman"/>
          <w:szCs w:val="24"/>
        </w:rPr>
        <w:t>’s position follows the words of the law.</w:t>
      </w:r>
      <w:r w:rsidR="002F0E11">
        <w:rPr>
          <w:rFonts w:cs="Times New Roman"/>
          <w:szCs w:val="24"/>
        </w:rPr>
        <w:t xml:space="preserve"> </w:t>
      </w:r>
      <w:r w:rsidR="00702070">
        <w:rPr>
          <w:rFonts w:cs="Times New Roman"/>
          <w:szCs w:val="24"/>
        </w:rPr>
        <w:t xml:space="preserve">The PUCO, on the other hand, </w:t>
      </w:r>
      <w:r>
        <w:rPr>
          <w:rFonts w:cs="Times New Roman"/>
          <w:szCs w:val="24"/>
        </w:rPr>
        <w:t>stretch</w:t>
      </w:r>
      <w:r w:rsidR="00702070">
        <w:rPr>
          <w:rFonts w:cs="Times New Roman"/>
          <w:szCs w:val="24"/>
        </w:rPr>
        <w:t>es</w:t>
      </w:r>
      <w:r>
        <w:rPr>
          <w:rFonts w:cs="Times New Roman"/>
          <w:szCs w:val="24"/>
        </w:rPr>
        <w:t xml:space="preserve"> the law </w:t>
      </w:r>
      <w:r w:rsidR="00702070">
        <w:rPr>
          <w:rFonts w:cs="Times New Roman"/>
          <w:szCs w:val="24"/>
        </w:rPr>
        <w:t>like silly putty --</w:t>
      </w:r>
      <w:r>
        <w:rPr>
          <w:rFonts w:cs="Times New Roman"/>
          <w:szCs w:val="24"/>
        </w:rPr>
        <w:t xml:space="preserve">to a point where it is not recognizable. </w:t>
      </w:r>
      <w:r w:rsidR="005B7863">
        <w:rPr>
          <w:rFonts w:cs="Times New Roman"/>
          <w:szCs w:val="24"/>
        </w:rPr>
        <w:t>Under the PUCO interpretation there are no limits as to what it can address on rehearing.</w:t>
      </w:r>
      <w:r w:rsidR="002F0E11">
        <w:rPr>
          <w:rFonts w:cs="Times New Roman"/>
          <w:szCs w:val="24"/>
        </w:rPr>
        <w:t xml:space="preserve"> </w:t>
      </w:r>
      <w:r w:rsidR="005B7863">
        <w:rPr>
          <w:rFonts w:cs="Times New Roman"/>
          <w:szCs w:val="24"/>
        </w:rPr>
        <w:t xml:space="preserve">Its position fundamentally conflicts with the words of the law and its intent—to </w:t>
      </w:r>
      <w:r w:rsidR="00DB454D">
        <w:rPr>
          <w:rFonts w:cs="Times New Roman"/>
          <w:szCs w:val="24"/>
        </w:rPr>
        <w:t>have the</w:t>
      </w:r>
      <w:r w:rsidR="005B7863">
        <w:rPr>
          <w:rFonts w:cs="Times New Roman"/>
          <w:szCs w:val="24"/>
        </w:rPr>
        <w:t xml:space="preserve"> PUCO review (and subsequent appellate review) matters solely raised on rehearing</w:t>
      </w:r>
      <w:r>
        <w:rPr>
          <w:rFonts w:cs="Times New Roman"/>
          <w:szCs w:val="24"/>
        </w:rPr>
        <w:t xml:space="preserve"> – those under R.C. 4903.10 that are “specified in such application[s].”</w:t>
      </w:r>
    </w:p>
    <w:p w:rsidR="00CE1D09" w:rsidP="0028073D" w14:paraId="2F8E6239" w14:textId="7CF20B4C">
      <w:pPr>
        <w:spacing w:after="0" w:line="480" w:lineRule="auto"/>
        <w:ind w:firstLine="720"/>
      </w:pPr>
      <w:r>
        <w:rPr>
          <w:rFonts w:cs="Times New Roman"/>
          <w:szCs w:val="24"/>
        </w:rPr>
        <w:t xml:space="preserve">The </w:t>
      </w:r>
      <w:r w:rsidR="001A362A">
        <w:rPr>
          <w:rFonts w:cs="Times New Roman"/>
          <w:szCs w:val="24"/>
        </w:rPr>
        <w:t>PUCO</w:t>
      </w:r>
      <w:r>
        <w:rPr>
          <w:rFonts w:cs="Times New Roman"/>
          <w:szCs w:val="24"/>
        </w:rPr>
        <w:t xml:space="preserve"> misconstrues the Ohio Supreme Court’s holding in </w:t>
      </w:r>
      <w:r w:rsidRPr="0028073D" w:rsidR="000F29C4">
        <w:rPr>
          <w:rFonts w:cs="Times New Roman"/>
          <w:i/>
          <w:iCs/>
          <w:szCs w:val="24"/>
        </w:rPr>
        <w:t>Doc Goodrich &amp; Son, Inc. v. Pub</w:t>
      </w:r>
      <w:r w:rsidR="001A362A">
        <w:rPr>
          <w:rFonts w:cs="Times New Roman"/>
          <w:i/>
          <w:iCs/>
          <w:szCs w:val="24"/>
        </w:rPr>
        <w:t xml:space="preserve">. </w:t>
      </w:r>
      <w:r w:rsidRPr="0028073D" w:rsidR="000F29C4">
        <w:rPr>
          <w:rFonts w:cs="Times New Roman"/>
          <w:i/>
          <w:iCs/>
          <w:szCs w:val="24"/>
        </w:rPr>
        <w:t>Util. C</w:t>
      </w:r>
      <w:r>
        <w:rPr>
          <w:rFonts w:cs="Times New Roman"/>
          <w:i/>
          <w:iCs/>
          <w:szCs w:val="24"/>
        </w:rPr>
        <w:t xml:space="preserve">omm., </w:t>
      </w:r>
      <w:r w:rsidRPr="00C23DD5">
        <w:rPr>
          <w:rFonts w:cs="Times New Roman"/>
          <w:szCs w:val="24"/>
        </w:rPr>
        <w:t>relying on dicta instead of the</w:t>
      </w:r>
      <w:r>
        <w:rPr>
          <w:rFonts w:cs="Times New Roman"/>
          <w:szCs w:val="24"/>
        </w:rPr>
        <w:t xml:space="preserve"> case syllabus.</w:t>
      </w:r>
      <w:r>
        <w:rPr>
          <w:rStyle w:val="FootnoteReference"/>
          <w:rFonts w:cs="Times New Roman"/>
          <w:szCs w:val="24"/>
        </w:rPr>
        <w:footnoteReference w:id="32"/>
      </w:r>
      <w:r w:rsidR="000F29C4">
        <w:rPr>
          <w:rFonts w:cs="Times New Roman"/>
          <w:szCs w:val="24"/>
        </w:rPr>
        <w:t xml:space="preserve"> </w:t>
      </w:r>
      <w:r w:rsidR="001A362A">
        <w:rPr>
          <w:rFonts w:cs="Times New Roman"/>
          <w:szCs w:val="24"/>
        </w:rPr>
        <w:t xml:space="preserve">Quoting from </w:t>
      </w:r>
      <w:r>
        <w:rPr>
          <w:rFonts w:cs="Times New Roman"/>
          <w:szCs w:val="24"/>
        </w:rPr>
        <w:t xml:space="preserve">dicta contained in the </w:t>
      </w:r>
      <w:r w:rsidR="001A362A">
        <w:rPr>
          <w:rFonts w:cs="Times New Roman"/>
          <w:szCs w:val="24"/>
        </w:rPr>
        <w:t>Court’s decision (rather than the syllabus), the PUCO asserts that “</w:t>
      </w:r>
      <w:r w:rsidR="001A362A">
        <w:t xml:space="preserve">OCC misrepresents the Supreme Court’s actual decision in </w:t>
      </w:r>
      <w:r w:rsidRPr="001A362A" w:rsidR="001A362A">
        <w:rPr>
          <w:i/>
          <w:iCs/>
        </w:rPr>
        <w:t>Doc Goodrich</w:t>
      </w:r>
      <w:r w:rsidR="001A362A">
        <w:t>. The Court expressly declined to rule on whether the Commission is limited on rehearing to the issues raised in the applications for rehearing</w:t>
      </w:r>
      <w:r w:rsidR="00DB454D">
        <w:t>***.</w:t>
      </w:r>
      <w:r w:rsidR="001A362A">
        <w:t>”</w:t>
      </w:r>
      <w:r>
        <w:rPr>
          <w:rStyle w:val="FootnoteReference"/>
        </w:rPr>
        <w:footnoteReference w:id="33"/>
      </w:r>
      <w:r w:rsidR="00115F49">
        <w:t xml:space="preserve"> </w:t>
      </w:r>
    </w:p>
    <w:p w:rsidR="001A362A" w:rsidP="0028073D" w14:paraId="3711BFE1" w14:textId="2146AE03">
      <w:pPr>
        <w:spacing w:after="0" w:line="480" w:lineRule="auto"/>
        <w:ind w:firstLine="720"/>
        <w:rPr>
          <w:rFonts w:cs="Times New Roman"/>
          <w:szCs w:val="24"/>
        </w:rPr>
      </w:pPr>
      <w:r>
        <w:t xml:space="preserve">But </w:t>
      </w:r>
      <w:r>
        <w:rPr>
          <w:rStyle w:val="ssrfcpassagedeactivated"/>
          <w:rFonts w:cs="Times New Roman"/>
          <w:color w:val="212121"/>
          <w:szCs w:val="24"/>
          <w:bdr w:val="none" w:sz="0" w:space="0" w:color="auto" w:frame="1"/>
          <w:shd w:val="clear" w:color="auto" w:fill="FFFFFF"/>
        </w:rPr>
        <w:t>“[t]</w:t>
      </w:r>
      <w:r w:rsidRPr="00115F49">
        <w:rPr>
          <w:rStyle w:val="ssrfcpassagedeactivated"/>
          <w:rFonts w:cs="Times New Roman"/>
          <w:color w:val="212121"/>
          <w:szCs w:val="24"/>
          <w:bdr w:val="none" w:sz="0" w:space="0" w:color="auto" w:frame="1"/>
          <w:shd w:val="clear" w:color="auto" w:fill="FFFFFF"/>
        </w:rPr>
        <w:t>he syllabus of an Ohio Supreme Court</w:t>
      </w:r>
      <w:r w:rsidR="004C478A">
        <w:rPr>
          <w:rStyle w:val="ssrfcpassagedeactivated"/>
          <w:rFonts w:cs="Times New Roman"/>
          <w:color w:val="212121"/>
          <w:szCs w:val="24"/>
          <w:bdr w:val="none" w:sz="0" w:space="0" w:color="auto" w:frame="1"/>
          <w:shd w:val="clear" w:color="auto" w:fill="FFFFFF"/>
        </w:rPr>
        <w:t xml:space="preserve"> decision</w:t>
      </w:r>
      <w:r w:rsidRPr="00115F49" w:rsidR="004C478A">
        <w:rPr>
          <w:rStyle w:val="ssrfcpassagedeactivated"/>
          <w:rFonts w:cs="Times New Roman"/>
          <w:color w:val="212121"/>
          <w:szCs w:val="24"/>
          <w:bdr w:val="none" w:sz="0" w:space="0" w:color="auto" w:frame="1"/>
          <w:shd w:val="clear" w:color="auto" w:fill="FFFFFF"/>
        </w:rPr>
        <w:t xml:space="preserve"> </w:t>
      </w:r>
      <w:r w:rsidRPr="00115F49">
        <w:rPr>
          <w:rStyle w:val="ssrfcpassagedeactivated"/>
          <w:rFonts w:cs="Times New Roman"/>
          <w:color w:val="212121"/>
          <w:szCs w:val="24"/>
          <w:bdr w:val="none" w:sz="0" w:space="0" w:color="auto" w:frame="1"/>
          <w:shd w:val="clear" w:color="auto" w:fill="FFFFFF"/>
        </w:rPr>
        <w:t>states the law of the case and is binding upon all lower Ohio courts. </w:t>
      </w:r>
      <w:r w:rsidRPr="00115F49">
        <w:rPr>
          <w:rStyle w:val="ssrfcsection"/>
          <w:rFonts w:cs="Times New Roman"/>
          <w:color w:val="212121"/>
          <w:szCs w:val="24"/>
          <w:bdr w:val="none" w:sz="0" w:space="0" w:color="auto" w:frame="1"/>
          <w:shd w:val="clear" w:color="auto" w:fill="FFFFFF"/>
        </w:rPr>
        <w:t>Moreover, the resolution of conflict between </w:t>
      </w:r>
      <w:r w:rsidRPr="00115F49">
        <w:rPr>
          <w:rStyle w:val="ssit"/>
          <w:rFonts w:cs="Times New Roman"/>
          <w:i/>
          <w:iCs/>
          <w:color w:val="212121"/>
          <w:szCs w:val="24"/>
          <w:bdr w:val="none" w:sz="0" w:space="0" w:color="auto" w:frame="1"/>
          <w:shd w:val="clear" w:color="auto" w:fill="FFFFFF"/>
        </w:rPr>
        <w:t>obiter dictum</w:t>
      </w:r>
      <w:r w:rsidRPr="00115F49">
        <w:rPr>
          <w:rStyle w:val="ssrfcsection"/>
          <w:rFonts w:cs="Times New Roman"/>
          <w:color w:val="212121"/>
          <w:szCs w:val="24"/>
          <w:bdr w:val="none" w:sz="0" w:space="0" w:color="auto" w:frame="1"/>
          <w:shd w:val="clear" w:color="auto" w:fill="FFFFFF"/>
        </w:rPr>
        <w:t> and syllabus law is a function reserved exclusively for the Supreme Court. </w:t>
      </w:r>
      <w:r w:rsidRPr="00115F49">
        <w:rPr>
          <w:rStyle w:val="ssrfcpassagedeactivated"/>
          <w:rFonts w:cs="Times New Roman"/>
          <w:color w:val="212121"/>
          <w:szCs w:val="24"/>
          <w:bdr w:val="none" w:sz="0" w:space="0" w:color="auto" w:frame="1"/>
          <w:shd w:val="clear" w:color="auto" w:fill="FFFFFF"/>
        </w:rPr>
        <w:t>Until the Supreme Court undertakes that resolution, the syllabus is presumed to be the law of the case and all lower courts are bound to adhere to the principles set forth therein.</w:t>
      </w:r>
      <w:r>
        <w:rPr>
          <w:rStyle w:val="ssrfcpassagedeactivated"/>
          <w:rFonts w:cs="Times New Roman"/>
          <w:color w:val="212121"/>
          <w:szCs w:val="24"/>
          <w:bdr w:val="none" w:sz="0" w:space="0" w:color="auto" w:frame="1"/>
          <w:shd w:val="clear" w:color="auto" w:fill="FFFFFF"/>
        </w:rPr>
        <w:t>”</w:t>
      </w:r>
      <w:r>
        <w:rPr>
          <w:rStyle w:val="FootnoteReference"/>
          <w:rFonts w:cs="Times New Roman"/>
          <w:color w:val="212121"/>
          <w:szCs w:val="24"/>
          <w:bdr w:val="none" w:sz="0" w:space="0" w:color="auto" w:frame="1"/>
          <w:shd w:val="clear" w:color="auto" w:fill="FFFFFF"/>
        </w:rPr>
        <w:footnoteReference w:id="34"/>
      </w:r>
      <w:r>
        <w:rPr>
          <w:rStyle w:val="ssrfcpassagedeactivated"/>
          <w:rFonts w:cs="Times New Roman"/>
          <w:color w:val="212121"/>
          <w:szCs w:val="24"/>
          <w:bdr w:val="none" w:sz="0" w:space="0" w:color="auto" w:frame="1"/>
          <w:shd w:val="clear" w:color="auto" w:fill="FFFFFF"/>
        </w:rPr>
        <w:t xml:space="preserve"> OCC cited syllabus law. The PUCO cites dicta. Syllabus law controls.</w:t>
      </w:r>
      <w:r w:rsidR="000C698E">
        <w:rPr>
          <w:rStyle w:val="ssrfcpassagedeactivated"/>
          <w:rFonts w:cs="Times New Roman"/>
          <w:color w:val="212121"/>
          <w:szCs w:val="24"/>
          <w:bdr w:val="none" w:sz="0" w:space="0" w:color="auto" w:frame="1"/>
          <w:shd w:val="clear" w:color="auto" w:fill="FFFFFF"/>
        </w:rPr>
        <w:t xml:space="preserve"> </w:t>
      </w:r>
    </w:p>
    <w:p w:rsidR="000F29C4" w:rsidP="009A1215" w14:paraId="65D60B9D" w14:textId="5236678D">
      <w:pPr>
        <w:spacing w:after="0" w:line="480" w:lineRule="auto"/>
        <w:ind w:firstLine="720"/>
        <w:rPr>
          <w:rFonts w:cs="Times New Roman"/>
          <w:szCs w:val="24"/>
        </w:rPr>
      </w:pPr>
      <w:r>
        <w:rPr>
          <w:rFonts w:cs="Times New Roman"/>
          <w:szCs w:val="24"/>
        </w:rPr>
        <w:t xml:space="preserve">Though the PUCO claims that OCC </w:t>
      </w:r>
      <w:r w:rsidR="00A85257">
        <w:rPr>
          <w:rFonts w:cs="Times New Roman"/>
          <w:szCs w:val="24"/>
        </w:rPr>
        <w:t xml:space="preserve">“misrepresents” the PUCO’s decision in </w:t>
      </w:r>
      <w:r w:rsidRPr="002A4E3C" w:rsidR="007D4278">
        <w:rPr>
          <w:rFonts w:cs="Times New Roman"/>
          <w:i/>
          <w:iCs/>
          <w:szCs w:val="24"/>
        </w:rPr>
        <w:t xml:space="preserve">In re: </w:t>
      </w:r>
      <w:r w:rsidRPr="002A4E3C" w:rsidR="009010E8">
        <w:rPr>
          <w:rFonts w:cs="Times New Roman"/>
          <w:i/>
          <w:iCs/>
          <w:szCs w:val="24"/>
        </w:rPr>
        <w:t>Complaint</w:t>
      </w:r>
      <w:r w:rsidRPr="002A4E3C" w:rsidR="007D4278">
        <w:rPr>
          <w:rFonts w:cs="Times New Roman"/>
          <w:i/>
          <w:iCs/>
          <w:szCs w:val="24"/>
        </w:rPr>
        <w:t xml:space="preserve"> of Ohio Cable </w:t>
      </w:r>
      <w:r w:rsidRPr="002A4E3C" w:rsidR="002A4E3C">
        <w:rPr>
          <w:rFonts w:cs="Times New Roman"/>
          <w:i/>
          <w:iCs/>
          <w:szCs w:val="24"/>
        </w:rPr>
        <w:t>Telecommunications</w:t>
      </w:r>
      <w:r w:rsidRPr="002A4E3C" w:rsidR="007D4278">
        <w:rPr>
          <w:rFonts w:cs="Times New Roman"/>
          <w:i/>
          <w:iCs/>
          <w:szCs w:val="24"/>
        </w:rPr>
        <w:t xml:space="preserve"> Assoc. et al,</w:t>
      </w:r>
      <w:r>
        <w:rPr>
          <w:rStyle w:val="FootnoteReference"/>
          <w:rFonts w:cs="Times New Roman"/>
          <w:szCs w:val="24"/>
        </w:rPr>
        <w:footnoteReference w:id="35"/>
      </w:r>
      <w:r w:rsidR="00A85257">
        <w:rPr>
          <w:rFonts w:cs="Times New Roman"/>
          <w:szCs w:val="24"/>
        </w:rPr>
        <w:t xml:space="preserve"> the PUCO ignores the fact that it relied on </w:t>
      </w:r>
      <w:r w:rsidRPr="00A85257" w:rsidR="00A85257">
        <w:rPr>
          <w:rFonts w:cs="Times New Roman"/>
          <w:i/>
          <w:iCs/>
          <w:szCs w:val="24"/>
        </w:rPr>
        <w:t>Doc Goodrich</w:t>
      </w:r>
      <w:r w:rsidR="00A85257">
        <w:rPr>
          <w:rFonts w:cs="Times New Roman"/>
          <w:szCs w:val="24"/>
        </w:rPr>
        <w:t xml:space="preserve"> as authority for its ruling.</w:t>
      </w:r>
      <w:r w:rsidR="002F0E11">
        <w:rPr>
          <w:rFonts w:cs="Times New Roman"/>
          <w:szCs w:val="24"/>
        </w:rPr>
        <w:t xml:space="preserve"> </w:t>
      </w:r>
      <w:r w:rsidR="00A85257">
        <w:rPr>
          <w:rFonts w:cs="Times New Roman"/>
          <w:szCs w:val="24"/>
        </w:rPr>
        <w:t xml:space="preserve">In the </w:t>
      </w:r>
      <w:r w:rsidRPr="00A85257" w:rsidR="00A85257">
        <w:rPr>
          <w:rFonts w:cs="Times New Roman"/>
          <w:i/>
          <w:iCs/>
          <w:szCs w:val="24"/>
        </w:rPr>
        <w:t xml:space="preserve">Ohio Cable Telecommunications </w:t>
      </w:r>
      <w:r w:rsidR="00A85257">
        <w:rPr>
          <w:rFonts w:cs="Times New Roman"/>
          <w:szCs w:val="24"/>
        </w:rPr>
        <w:t xml:space="preserve">case, </w:t>
      </w:r>
      <w:r w:rsidR="001625B8">
        <w:rPr>
          <w:rFonts w:cs="Times New Roman"/>
          <w:szCs w:val="24"/>
        </w:rPr>
        <w:t>the PUCO was squarely faced with the issue of whether it could decide on rehearing matters raised outside an application for rehearing.</w:t>
      </w:r>
      <w:r>
        <w:rPr>
          <w:rStyle w:val="FootnoteReference"/>
          <w:rFonts w:cs="Times New Roman"/>
          <w:szCs w:val="24"/>
        </w:rPr>
        <w:footnoteReference w:id="36"/>
      </w:r>
      <w:r w:rsidR="001625B8">
        <w:rPr>
          <w:rFonts w:cs="Times New Roman"/>
          <w:szCs w:val="24"/>
        </w:rPr>
        <w:t xml:space="preserve"> Relying on </w:t>
      </w:r>
      <w:r w:rsidRPr="0028073D" w:rsidR="002A4E3C">
        <w:rPr>
          <w:rFonts w:cs="Times New Roman"/>
          <w:i/>
          <w:iCs/>
          <w:szCs w:val="24"/>
        </w:rPr>
        <w:t>Doc Goodrich</w:t>
      </w:r>
      <w:r w:rsidR="001625B8">
        <w:rPr>
          <w:rFonts w:cs="Times New Roman"/>
          <w:szCs w:val="24"/>
        </w:rPr>
        <w:t xml:space="preserve">, the PUCO said </w:t>
      </w:r>
      <w:r w:rsidRPr="00CB48AF" w:rsidR="001625B8">
        <w:rPr>
          <w:rStyle w:val="ssrfcpassagedeactivated"/>
          <w:color w:val="212121"/>
          <w:bdr w:val="none" w:sz="0" w:space="0" w:color="auto" w:frame="1"/>
          <w:shd w:val="clear" w:color="auto" w:fill="FFFFFF"/>
        </w:rPr>
        <w:t>“</w:t>
      </w:r>
      <w:r w:rsidRPr="00CB48AF" w:rsidR="001625B8">
        <w:rPr>
          <w:rStyle w:val="ssrfcpassagedeactivated"/>
          <w:rFonts w:cs="Times New Roman"/>
          <w:szCs w:val="24"/>
          <w:bdr w:val="none" w:sz="0" w:space="0" w:color="auto" w:frame="1"/>
        </w:rPr>
        <w:t>[w]e believe our directive was within the scope of issues raised in the initial applications for rehearing and, therefore, can properly be considered by the Commission.”</w:t>
      </w:r>
      <w:r>
        <w:rPr>
          <w:rStyle w:val="ssrfcpassagedeactivated"/>
          <w:rFonts w:cs="Times New Roman"/>
          <w:szCs w:val="24"/>
          <w:bdr w:val="none" w:sz="0" w:space="0" w:color="auto" w:frame="1"/>
          <w:vertAlign w:val="superscript"/>
        </w:rPr>
        <w:footnoteReference w:id="37"/>
      </w:r>
      <w:r w:rsidRPr="00CB48AF" w:rsidR="001625B8">
        <w:rPr>
          <w:rStyle w:val="ssrfcpassagedeactivated"/>
          <w:rFonts w:cs="Times New Roman"/>
          <w:szCs w:val="24"/>
          <w:bdr w:val="none" w:sz="0" w:space="0" w:color="auto" w:frame="1"/>
        </w:rPr>
        <w:t xml:space="preserve"> The logical implication (particularly given the reliance on </w:t>
      </w:r>
      <w:r w:rsidRPr="004C478A" w:rsidR="001625B8">
        <w:rPr>
          <w:rStyle w:val="ssrfcpassagedeactivated"/>
          <w:rFonts w:cs="Times New Roman"/>
          <w:i/>
          <w:iCs/>
          <w:szCs w:val="24"/>
          <w:bdr w:val="none" w:sz="0" w:space="0" w:color="auto" w:frame="1"/>
        </w:rPr>
        <w:t>Doc Goodrich</w:t>
      </w:r>
      <w:r w:rsidRPr="00CB48AF" w:rsidR="001625B8">
        <w:rPr>
          <w:rStyle w:val="ssrfcpassagedeactivated"/>
          <w:rFonts w:cs="Times New Roman"/>
          <w:szCs w:val="24"/>
          <w:bdr w:val="none" w:sz="0" w:space="0" w:color="auto" w:frame="1"/>
        </w:rPr>
        <w:t xml:space="preserve">) is that the PUCO could not have considered the issue had it not been part of the application for rehearing. </w:t>
      </w:r>
      <w:r w:rsidR="00A85257">
        <w:rPr>
          <w:rStyle w:val="ssrfcpassagedeactivated"/>
          <w:rFonts w:cs="Times New Roman"/>
          <w:szCs w:val="24"/>
          <w:bdr w:val="none" w:sz="0" w:space="0" w:color="auto" w:frame="1"/>
        </w:rPr>
        <w:t xml:space="preserve">Yet the PUCO conveniently dismisses such logic. </w:t>
      </w:r>
    </w:p>
    <w:p w:rsidR="00BF52D7" w:rsidP="00452C18" w14:paraId="1195B8FA" w14:textId="77777777">
      <w:pPr>
        <w:spacing w:after="0" w:line="480" w:lineRule="auto"/>
        <w:ind w:firstLine="720"/>
        <w:rPr>
          <w:rFonts w:cs="Times New Roman"/>
          <w:szCs w:val="24"/>
        </w:rPr>
      </w:pPr>
      <w:r>
        <w:rPr>
          <w:rFonts w:cs="Times New Roman"/>
          <w:szCs w:val="24"/>
        </w:rPr>
        <w:t>H</w:t>
      </w:r>
      <w:r w:rsidR="00406353">
        <w:rPr>
          <w:rFonts w:cs="Times New Roman"/>
          <w:szCs w:val="24"/>
        </w:rPr>
        <w:t>ere the PUCO broaden</w:t>
      </w:r>
      <w:r>
        <w:rPr>
          <w:rFonts w:cs="Times New Roman"/>
          <w:szCs w:val="24"/>
        </w:rPr>
        <w:t>ed</w:t>
      </w:r>
      <w:r w:rsidR="00406353">
        <w:rPr>
          <w:rFonts w:cs="Times New Roman"/>
          <w:szCs w:val="24"/>
        </w:rPr>
        <w:t xml:space="preserve"> the scope of reh</w:t>
      </w:r>
      <w:r w:rsidR="00C122AC">
        <w:rPr>
          <w:rFonts w:cs="Times New Roman"/>
          <w:szCs w:val="24"/>
        </w:rPr>
        <w:t>e</w:t>
      </w:r>
      <w:r w:rsidR="00406353">
        <w:rPr>
          <w:rFonts w:cs="Times New Roman"/>
          <w:szCs w:val="24"/>
        </w:rPr>
        <w:t>aring,</w:t>
      </w:r>
      <w:r w:rsidR="00A956D0">
        <w:rPr>
          <w:rFonts w:cs="Times New Roman"/>
          <w:szCs w:val="24"/>
        </w:rPr>
        <w:t xml:space="preserve"> </w:t>
      </w:r>
      <w:r w:rsidR="00517E40">
        <w:rPr>
          <w:rFonts w:cs="Times New Roman"/>
          <w:szCs w:val="24"/>
        </w:rPr>
        <w:t xml:space="preserve">sua sponte, </w:t>
      </w:r>
      <w:r w:rsidR="00406353">
        <w:rPr>
          <w:rFonts w:cs="Times New Roman"/>
          <w:szCs w:val="24"/>
        </w:rPr>
        <w:t>contrary to the plain language of R.C. 4</w:t>
      </w:r>
      <w:r w:rsidR="00C122AC">
        <w:rPr>
          <w:rFonts w:cs="Times New Roman"/>
          <w:szCs w:val="24"/>
        </w:rPr>
        <w:t>903.10 and Ohio Sup</w:t>
      </w:r>
      <w:r w:rsidR="00095EEE">
        <w:rPr>
          <w:rFonts w:cs="Times New Roman"/>
          <w:szCs w:val="24"/>
        </w:rPr>
        <w:t>reme C</w:t>
      </w:r>
      <w:r w:rsidR="00C122AC">
        <w:rPr>
          <w:rFonts w:cs="Times New Roman"/>
          <w:szCs w:val="24"/>
        </w:rPr>
        <w:t xml:space="preserve">ourt precedent. </w:t>
      </w:r>
      <w:r w:rsidR="00095EEE">
        <w:rPr>
          <w:rFonts w:cs="Times New Roman"/>
          <w:szCs w:val="24"/>
        </w:rPr>
        <w:t xml:space="preserve">It improperly used the rehearing process to “cure an alleged deficiency” that in reality was no deficiency at all. </w:t>
      </w:r>
      <w:r w:rsidR="005255DA">
        <w:rPr>
          <w:rFonts w:cs="Times New Roman"/>
          <w:szCs w:val="24"/>
        </w:rPr>
        <w:t xml:space="preserve">That </w:t>
      </w:r>
      <w:r w:rsidRPr="003D63B1" w:rsidR="009A1215">
        <w:rPr>
          <w:rFonts w:cs="Times New Roman"/>
          <w:szCs w:val="24"/>
        </w:rPr>
        <w:t>matter was not before the PUCO for its consideration. The PUCO had no authority under law to address the matter on rehearing.</w:t>
      </w:r>
    </w:p>
    <w:p w:rsidR="00641CBC" w:rsidRPr="003D63B1" w:rsidP="00452C18" w14:paraId="001ADF1C" w14:textId="41C55CF4">
      <w:pPr>
        <w:spacing w:after="0" w:line="480" w:lineRule="auto"/>
        <w:ind w:firstLine="720"/>
        <w:rPr>
          <w:rFonts w:cs="Times New Roman"/>
          <w:szCs w:val="24"/>
        </w:rPr>
      </w:pPr>
      <w:r>
        <w:t>The PUCO erred. Rehearing should be granted. The PUCO should order DP&amp;L to return to consumers all illegally collected stability charges since August 2021.</w:t>
      </w:r>
      <w:r w:rsidR="00406353">
        <w:rPr>
          <w:rFonts w:cs="Times New Roman"/>
          <w:szCs w:val="24"/>
        </w:rPr>
        <w:tab/>
      </w:r>
      <w:r w:rsidR="00A956D0">
        <w:rPr>
          <w:rFonts w:cs="Times New Roman"/>
          <w:szCs w:val="24"/>
        </w:rPr>
        <w:t xml:space="preserve"> </w:t>
      </w:r>
    </w:p>
    <w:p w:rsidR="00B159A3" w:rsidRPr="003D63B1" w:rsidP="00F3256E" w14:paraId="04192EBA" w14:textId="77777777">
      <w:pPr>
        <w:spacing w:after="0" w:line="240" w:lineRule="auto"/>
        <w:ind w:firstLine="720"/>
        <w:rPr>
          <w:rFonts w:cs="Times New Roman"/>
          <w:szCs w:val="24"/>
        </w:rPr>
      </w:pPr>
    </w:p>
    <w:p w:rsidR="002B4F91" w:rsidRPr="003D63B1" w:rsidP="0033058A" w14:paraId="7A0ACD45" w14:textId="419B937B">
      <w:pPr>
        <w:pStyle w:val="Heading1"/>
        <w:numPr>
          <w:ilvl w:val="0"/>
          <w:numId w:val="0"/>
        </w:numPr>
        <w:ind w:left="720" w:hanging="720"/>
      </w:pPr>
      <w:bookmarkStart w:id="6" w:name="_Toc107914580"/>
      <w:bookmarkStart w:id="7" w:name="_Toc107935191"/>
      <w:bookmarkStart w:id="8" w:name="_Toc107994489"/>
      <w:bookmarkStart w:id="9" w:name="_Toc117763870"/>
      <w:r w:rsidRPr="003D63B1">
        <w:t>I</w:t>
      </w:r>
      <w:r w:rsidR="00C7165D">
        <w:t>II</w:t>
      </w:r>
      <w:r w:rsidRPr="003D63B1" w:rsidR="00495871">
        <w:t>.</w:t>
      </w:r>
      <w:r w:rsidRPr="003D63B1" w:rsidR="00495871">
        <w:tab/>
      </w:r>
      <w:r w:rsidRPr="003D63B1" w:rsidR="00E66C7A">
        <w:t>CONCLUSION</w:t>
      </w:r>
      <w:bookmarkEnd w:id="4"/>
      <w:bookmarkEnd w:id="6"/>
      <w:bookmarkEnd w:id="7"/>
      <w:bookmarkEnd w:id="8"/>
      <w:bookmarkEnd w:id="9"/>
      <w:r w:rsidRPr="003D63B1" w:rsidR="00E66C7A">
        <w:t xml:space="preserve"> </w:t>
      </w:r>
    </w:p>
    <w:p w:rsidR="00452C18" w:rsidP="00B744BA" w14:paraId="5A57757E" w14:textId="77777777">
      <w:pPr>
        <w:spacing w:after="0" w:line="480" w:lineRule="auto"/>
        <w:rPr>
          <w:rFonts w:cs="Times New Roman"/>
          <w:szCs w:val="24"/>
        </w:rPr>
      </w:pPr>
      <w:r w:rsidRPr="003D63B1">
        <w:rPr>
          <w:rFonts w:cs="Times New Roman"/>
          <w:szCs w:val="24"/>
        </w:rPr>
        <w:tab/>
      </w:r>
      <w:r w:rsidR="00BA3CC2">
        <w:rPr>
          <w:rFonts w:cs="Times New Roman"/>
          <w:szCs w:val="24"/>
        </w:rPr>
        <w:t xml:space="preserve">OCC </w:t>
      </w:r>
      <w:r w:rsidR="00033FD3">
        <w:rPr>
          <w:rFonts w:cs="Times New Roman"/>
          <w:szCs w:val="24"/>
        </w:rPr>
        <w:t>seeks justice for the 465,00</w:t>
      </w:r>
      <w:r w:rsidR="00B64E86">
        <w:rPr>
          <w:rFonts w:cs="Times New Roman"/>
          <w:szCs w:val="24"/>
        </w:rPr>
        <w:t>0</w:t>
      </w:r>
      <w:r w:rsidR="00033FD3">
        <w:rPr>
          <w:rFonts w:cs="Times New Roman"/>
          <w:szCs w:val="24"/>
        </w:rPr>
        <w:t xml:space="preserve"> residential consumers of DP&amp;L.</w:t>
      </w:r>
      <w:r w:rsidR="00891B21">
        <w:rPr>
          <w:rFonts w:cs="Times New Roman"/>
          <w:szCs w:val="24"/>
        </w:rPr>
        <w:t xml:space="preserve"> </w:t>
      </w:r>
      <w:r w:rsidR="00033FD3">
        <w:rPr>
          <w:rFonts w:cs="Times New Roman"/>
          <w:szCs w:val="24"/>
        </w:rPr>
        <w:t xml:space="preserve">In this case justice means </w:t>
      </w:r>
      <w:r w:rsidR="00717B2A">
        <w:rPr>
          <w:rFonts w:cs="Times New Roman"/>
          <w:szCs w:val="24"/>
        </w:rPr>
        <w:t xml:space="preserve">$60 million </w:t>
      </w:r>
      <w:r w:rsidR="00033FD3">
        <w:rPr>
          <w:rFonts w:cs="Times New Roman"/>
          <w:szCs w:val="24"/>
        </w:rPr>
        <w:t>refund</w:t>
      </w:r>
      <w:r w:rsidR="00717B2A">
        <w:rPr>
          <w:rFonts w:cs="Times New Roman"/>
          <w:szCs w:val="24"/>
        </w:rPr>
        <w:t>ed</w:t>
      </w:r>
      <w:r w:rsidR="00033FD3">
        <w:rPr>
          <w:rFonts w:cs="Times New Roman"/>
          <w:szCs w:val="24"/>
        </w:rPr>
        <w:t xml:space="preserve"> to consumers of </w:t>
      </w:r>
      <w:r w:rsidR="00717B2A">
        <w:rPr>
          <w:rFonts w:cs="Times New Roman"/>
          <w:szCs w:val="24"/>
        </w:rPr>
        <w:t>stability charges</w:t>
      </w:r>
      <w:r w:rsidR="00033FD3">
        <w:rPr>
          <w:rFonts w:cs="Times New Roman"/>
          <w:szCs w:val="24"/>
        </w:rPr>
        <w:t xml:space="preserve"> </w:t>
      </w:r>
      <w:r w:rsidR="00717B2A">
        <w:rPr>
          <w:rFonts w:cs="Times New Roman"/>
          <w:szCs w:val="24"/>
        </w:rPr>
        <w:t xml:space="preserve">unlawfully </w:t>
      </w:r>
      <w:r w:rsidR="00033FD3">
        <w:rPr>
          <w:rFonts w:cs="Times New Roman"/>
          <w:szCs w:val="24"/>
        </w:rPr>
        <w:t xml:space="preserve">collected from </w:t>
      </w:r>
      <w:r w:rsidR="00891B21">
        <w:rPr>
          <w:rFonts w:cs="Times New Roman"/>
          <w:szCs w:val="24"/>
        </w:rPr>
        <w:t>them</w:t>
      </w:r>
      <w:r w:rsidR="00033FD3">
        <w:rPr>
          <w:rFonts w:cs="Times New Roman"/>
          <w:szCs w:val="24"/>
        </w:rPr>
        <w:t xml:space="preserve"> under unauthorized</w:t>
      </w:r>
      <w:r w:rsidR="00717B2A">
        <w:rPr>
          <w:rFonts w:cs="Times New Roman"/>
          <w:szCs w:val="24"/>
        </w:rPr>
        <w:t xml:space="preserve"> </w:t>
      </w:r>
      <w:r w:rsidR="00033FD3">
        <w:rPr>
          <w:rFonts w:cs="Times New Roman"/>
          <w:szCs w:val="24"/>
        </w:rPr>
        <w:t>tariffs, in violation of Ohio law.</w:t>
      </w:r>
      <w:r w:rsidR="00891B21">
        <w:rPr>
          <w:rFonts w:cs="Times New Roman"/>
          <w:szCs w:val="24"/>
        </w:rPr>
        <w:t xml:space="preserve"> </w:t>
      </w:r>
      <w:r w:rsidR="00B775E4">
        <w:rPr>
          <w:rFonts w:cs="Times New Roman"/>
          <w:szCs w:val="24"/>
        </w:rPr>
        <w:t>It’s</w:t>
      </w:r>
      <w:r w:rsidR="00033FD3">
        <w:rPr>
          <w:rFonts w:cs="Times New Roman"/>
          <w:szCs w:val="24"/>
        </w:rPr>
        <w:t xml:space="preserve"> just as simple as that.</w:t>
      </w:r>
    </w:p>
    <w:p w:rsidR="00F42A95" w:rsidP="00B744BA" w14:paraId="47D0C508" w14:textId="740C31F7">
      <w:pPr>
        <w:spacing w:after="0" w:line="480" w:lineRule="auto"/>
        <w:rPr>
          <w:rFonts w:cs="Times New Roman"/>
          <w:szCs w:val="24"/>
        </w:rPr>
      </w:pPr>
      <w:r>
        <w:rPr>
          <w:rFonts w:cs="Times New Roman"/>
          <w:szCs w:val="24"/>
        </w:rPr>
        <w:t xml:space="preserve"> </w:t>
      </w:r>
    </w:p>
    <w:p w:rsidR="00F42A95" w14:paraId="12E5C971" w14:textId="77777777">
      <w:pPr>
        <w:spacing w:after="160" w:line="259" w:lineRule="auto"/>
        <w:rPr>
          <w:rFonts w:cs="Times New Roman"/>
          <w:szCs w:val="24"/>
        </w:rPr>
      </w:pPr>
      <w:r>
        <w:rPr>
          <w:rFonts w:cs="Times New Roman"/>
          <w:szCs w:val="24"/>
        </w:rPr>
        <w:br w:type="page"/>
      </w:r>
    </w:p>
    <w:p w:rsidR="002B4F91" w:rsidRPr="003D63B1" w:rsidP="0033058A" w14:paraId="5CA686E5" w14:textId="5B93ACCD">
      <w:pPr>
        <w:spacing w:after="0" w:line="480" w:lineRule="auto"/>
        <w:rPr>
          <w:rFonts w:cs="Times New Roman"/>
          <w:szCs w:val="24"/>
        </w:rPr>
      </w:pPr>
      <w:r>
        <w:rPr>
          <w:rFonts w:cs="Times New Roman"/>
          <w:szCs w:val="24"/>
        </w:rPr>
        <w:tab/>
      </w:r>
      <w:r w:rsidR="0033058A">
        <w:rPr>
          <w:rFonts w:cs="Times New Roman"/>
          <w:szCs w:val="24"/>
        </w:rPr>
        <w:tab/>
      </w:r>
      <w:r w:rsidR="0033058A">
        <w:rPr>
          <w:rFonts w:cs="Times New Roman"/>
          <w:szCs w:val="24"/>
        </w:rPr>
        <w:tab/>
      </w:r>
      <w:r w:rsidR="0033058A">
        <w:rPr>
          <w:rFonts w:cs="Times New Roman"/>
          <w:szCs w:val="24"/>
        </w:rPr>
        <w:tab/>
      </w:r>
      <w:r w:rsidR="0033058A">
        <w:rPr>
          <w:rFonts w:cs="Times New Roman"/>
          <w:szCs w:val="24"/>
        </w:rPr>
        <w:tab/>
      </w:r>
      <w:r w:rsidR="0033058A">
        <w:rPr>
          <w:rFonts w:cs="Times New Roman"/>
          <w:szCs w:val="24"/>
        </w:rPr>
        <w:tab/>
      </w:r>
      <w:r w:rsidRPr="003D63B1">
        <w:rPr>
          <w:rFonts w:cs="Times New Roman"/>
          <w:szCs w:val="24"/>
        </w:rPr>
        <w:t xml:space="preserve">Respectfully submitted, </w:t>
      </w:r>
    </w:p>
    <w:p w:rsidR="001B14B4" w:rsidRPr="003D63B1" w:rsidP="00AD006E" w14:paraId="63776E1E" w14:textId="77777777">
      <w:pPr>
        <w:spacing w:after="0" w:line="240" w:lineRule="auto"/>
        <w:ind w:left="3600" w:right="-180" w:firstLine="720"/>
        <w:rPr>
          <w:rFonts w:cs="Times New Roman"/>
          <w:szCs w:val="24"/>
        </w:rPr>
      </w:pPr>
    </w:p>
    <w:p w:rsidR="002B4F91" w:rsidRPr="003D63B1" w:rsidP="00AD006E" w14:paraId="7B91EB03" w14:textId="77777777">
      <w:pPr>
        <w:tabs>
          <w:tab w:val="left" w:pos="4320"/>
        </w:tabs>
        <w:spacing w:after="0" w:line="240" w:lineRule="auto"/>
        <w:ind w:left="4320"/>
        <w:rPr>
          <w:rFonts w:cs="Times New Roman"/>
          <w:szCs w:val="24"/>
        </w:rPr>
      </w:pPr>
      <w:r w:rsidRPr="003D63B1">
        <w:rPr>
          <w:rFonts w:cs="Times New Roman"/>
          <w:szCs w:val="24"/>
        </w:rPr>
        <w:t>Bruce Weston (0016973)</w:t>
      </w:r>
    </w:p>
    <w:p w:rsidR="002B4F91" w:rsidRPr="003D63B1" w:rsidP="00AD006E" w14:paraId="27F1BA8B" w14:textId="77777777">
      <w:pPr>
        <w:tabs>
          <w:tab w:val="left" w:pos="4320"/>
        </w:tabs>
        <w:spacing w:after="0" w:line="240" w:lineRule="auto"/>
        <w:ind w:left="4320"/>
        <w:rPr>
          <w:rFonts w:cs="Times New Roman"/>
          <w:szCs w:val="24"/>
        </w:rPr>
      </w:pPr>
      <w:r w:rsidRPr="003D63B1">
        <w:rPr>
          <w:rFonts w:cs="Times New Roman"/>
          <w:szCs w:val="24"/>
        </w:rPr>
        <w:t>Ohio Consumers’ Counsel</w:t>
      </w:r>
    </w:p>
    <w:p w:rsidR="002B4F91" w:rsidRPr="003D63B1" w:rsidP="00AD006E" w14:paraId="7F8E220F" w14:textId="77777777">
      <w:pPr>
        <w:tabs>
          <w:tab w:val="left" w:pos="4320"/>
        </w:tabs>
        <w:spacing w:after="0" w:line="240" w:lineRule="auto"/>
        <w:ind w:left="4320"/>
        <w:rPr>
          <w:rFonts w:cs="Times New Roman"/>
          <w:szCs w:val="24"/>
        </w:rPr>
      </w:pPr>
    </w:p>
    <w:p w:rsidR="002B4F91" w:rsidRPr="003D63B1" w:rsidP="00AD006E" w14:paraId="0ABDA92A" w14:textId="77777777">
      <w:pPr>
        <w:tabs>
          <w:tab w:val="left" w:pos="4320"/>
        </w:tabs>
        <w:spacing w:after="0" w:line="240" w:lineRule="auto"/>
        <w:ind w:left="4320" w:right="-180"/>
        <w:rPr>
          <w:rFonts w:cs="Times New Roman"/>
          <w:i/>
          <w:iCs/>
          <w:szCs w:val="24"/>
          <w:u w:val="single"/>
        </w:rPr>
      </w:pPr>
      <w:r w:rsidRPr="003D63B1">
        <w:rPr>
          <w:rFonts w:cs="Times New Roman"/>
          <w:i/>
          <w:iCs/>
          <w:szCs w:val="24"/>
          <w:u w:val="single"/>
        </w:rPr>
        <w:t>/s/ Maureen R. Willis</w:t>
      </w:r>
    </w:p>
    <w:p w:rsidR="002B4F91" w:rsidRPr="003D63B1" w:rsidP="00AD006E" w14:paraId="290F72B9" w14:textId="77777777">
      <w:pPr>
        <w:tabs>
          <w:tab w:val="left" w:pos="4320"/>
        </w:tabs>
        <w:spacing w:after="0" w:line="240" w:lineRule="auto"/>
        <w:ind w:left="4320" w:right="-180"/>
        <w:rPr>
          <w:rFonts w:cs="Times New Roman"/>
          <w:szCs w:val="24"/>
        </w:rPr>
      </w:pPr>
      <w:r w:rsidRPr="003D63B1">
        <w:rPr>
          <w:rFonts w:cs="Times New Roman"/>
          <w:szCs w:val="24"/>
        </w:rPr>
        <w:t>Maureen R. Willis (0020847)</w:t>
      </w:r>
    </w:p>
    <w:p w:rsidR="00FA3F7B" w:rsidRPr="003D63B1" w:rsidP="00AD006E" w14:paraId="5F4188FF" w14:textId="77777777">
      <w:pPr>
        <w:tabs>
          <w:tab w:val="left" w:pos="4320"/>
        </w:tabs>
        <w:spacing w:after="0" w:line="240" w:lineRule="auto"/>
        <w:ind w:left="4320" w:right="-180"/>
        <w:rPr>
          <w:rFonts w:cs="Times New Roman"/>
          <w:szCs w:val="24"/>
        </w:rPr>
      </w:pPr>
      <w:r w:rsidRPr="003D63B1">
        <w:rPr>
          <w:rFonts w:cs="Times New Roman"/>
          <w:szCs w:val="24"/>
        </w:rPr>
        <w:t>Senior Counsel</w:t>
      </w:r>
    </w:p>
    <w:p w:rsidR="002B4F91" w:rsidRPr="003D63B1" w:rsidP="00AD006E" w14:paraId="50B0DB1A" w14:textId="02ED28C4">
      <w:pPr>
        <w:tabs>
          <w:tab w:val="left" w:pos="4320"/>
        </w:tabs>
        <w:spacing w:after="0" w:line="240" w:lineRule="auto"/>
        <w:ind w:left="4320" w:right="-180"/>
        <w:rPr>
          <w:rFonts w:cs="Times New Roman"/>
          <w:szCs w:val="24"/>
        </w:rPr>
      </w:pPr>
      <w:r w:rsidRPr="003D63B1">
        <w:rPr>
          <w:rFonts w:cs="Times New Roman"/>
          <w:szCs w:val="24"/>
        </w:rPr>
        <w:t>Counsel of Record</w:t>
      </w:r>
    </w:p>
    <w:p w:rsidR="002B4F91" w:rsidRPr="003D63B1" w:rsidP="00AD006E" w14:paraId="2BD2619E" w14:textId="77777777">
      <w:pPr>
        <w:tabs>
          <w:tab w:val="left" w:pos="4320"/>
        </w:tabs>
        <w:spacing w:after="0" w:line="240" w:lineRule="auto"/>
        <w:ind w:left="4320" w:right="-180"/>
        <w:rPr>
          <w:rFonts w:cs="Times New Roman"/>
          <w:szCs w:val="24"/>
        </w:rPr>
      </w:pPr>
      <w:r w:rsidRPr="003D63B1">
        <w:rPr>
          <w:rFonts w:cs="Times New Roman"/>
          <w:szCs w:val="24"/>
        </w:rPr>
        <w:t>William J. Michael (0070921)</w:t>
      </w:r>
    </w:p>
    <w:p w:rsidR="002B4F91" w:rsidRPr="003D63B1" w:rsidP="00AD006E" w14:paraId="40F7B6D3" w14:textId="63902129">
      <w:pPr>
        <w:spacing w:after="0" w:line="240" w:lineRule="auto"/>
        <w:ind w:left="3600" w:firstLine="720"/>
        <w:rPr>
          <w:rFonts w:cs="Times New Roman"/>
          <w:szCs w:val="24"/>
        </w:rPr>
      </w:pPr>
      <w:r w:rsidRPr="003D63B1">
        <w:rPr>
          <w:rFonts w:cs="Times New Roman"/>
          <w:szCs w:val="24"/>
        </w:rPr>
        <w:t xml:space="preserve">Assistant Consumers’ Counsel </w:t>
      </w:r>
    </w:p>
    <w:p w:rsidR="008D5D48" w:rsidRPr="003D63B1" w:rsidP="00AD006E" w14:paraId="2B5504F4" w14:textId="77777777">
      <w:pPr>
        <w:spacing w:after="0" w:line="240" w:lineRule="auto"/>
        <w:ind w:left="3600" w:firstLine="720"/>
        <w:rPr>
          <w:rFonts w:cs="Times New Roman"/>
          <w:szCs w:val="24"/>
        </w:rPr>
      </w:pPr>
    </w:p>
    <w:p w:rsidR="002B4F91" w:rsidRPr="003D63B1" w:rsidP="00AD006E" w14:paraId="7A2DA0FA" w14:textId="77777777">
      <w:pPr>
        <w:spacing w:after="0" w:line="240" w:lineRule="auto"/>
        <w:ind w:left="3600" w:firstLine="720"/>
        <w:rPr>
          <w:rFonts w:cs="Times New Roman"/>
          <w:b/>
          <w:bCs/>
          <w:szCs w:val="24"/>
        </w:rPr>
      </w:pPr>
      <w:r w:rsidRPr="003D63B1">
        <w:rPr>
          <w:rFonts w:cs="Times New Roman"/>
          <w:b/>
          <w:bCs/>
          <w:szCs w:val="24"/>
        </w:rPr>
        <w:t>Office of the Ohio Consumers’ Counsel</w:t>
      </w:r>
    </w:p>
    <w:p w:rsidR="002B4F91" w:rsidRPr="003D63B1" w:rsidP="00AD006E" w14:paraId="43859F57" w14:textId="77777777">
      <w:pPr>
        <w:pStyle w:val="PlainText"/>
        <w:ind w:left="3600" w:firstLine="720"/>
        <w:rPr>
          <w:rFonts w:ascii="Times New Roman" w:hAnsi="Times New Roman" w:cs="Times New Roman"/>
          <w:sz w:val="24"/>
          <w:szCs w:val="24"/>
        </w:rPr>
      </w:pPr>
      <w:r w:rsidRPr="003D63B1">
        <w:rPr>
          <w:rFonts w:ascii="Times New Roman" w:hAnsi="Times New Roman" w:cs="Times New Roman"/>
          <w:sz w:val="24"/>
          <w:szCs w:val="24"/>
        </w:rPr>
        <w:t>65 East State Street, Suite 700</w:t>
      </w:r>
    </w:p>
    <w:p w:rsidR="002B4F91" w:rsidRPr="003D63B1" w:rsidP="00AD006E" w14:paraId="783EA4A5" w14:textId="77777777">
      <w:pPr>
        <w:pStyle w:val="PlainText"/>
        <w:ind w:left="3600" w:firstLine="720"/>
        <w:rPr>
          <w:rFonts w:ascii="Times New Roman" w:hAnsi="Times New Roman" w:cs="Times New Roman"/>
          <w:sz w:val="24"/>
          <w:szCs w:val="24"/>
        </w:rPr>
      </w:pPr>
      <w:r w:rsidRPr="003D63B1">
        <w:rPr>
          <w:rFonts w:ascii="Times New Roman" w:hAnsi="Times New Roman" w:cs="Times New Roman"/>
          <w:sz w:val="24"/>
          <w:szCs w:val="24"/>
        </w:rPr>
        <w:t>Columbus, Ohio 43215</w:t>
      </w:r>
    </w:p>
    <w:p w:rsidR="002B4F91" w:rsidRPr="003D63B1" w:rsidP="00AD006E" w14:paraId="163F3831" w14:textId="77777777">
      <w:pPr>
        <w:adjustRightInd w:val="0"/>
        <w:spacing w:after="0" w:line="240" w:lineRule="auto"/>
        <w:ind w:left="4320"/>
        <w:rPr>
          <w:rFonts w:cs="Times New Roman"/>
          <w:szCs w:val="24"/>
        </w:rPr>
      </w:pPr>
      <w:r w:rsidRPr="003D63B1">
        <w:rPr>
          <w:rFonts w:cs="Times New Roman"/>
          <w:szCs w:val="24"/>
        </w:rPr>
        <w:t>Telephone: Willis (614) 466-9567</w:t>
      </w:r>
    </w:p>
    <w:p w:rsidR="002B4F91" w:rsidRPr="003D63B1" w:rsidP="00AD006E" w14:paraId="125B7929" w14:textId="77777777">
      <w:pPr>
        <w:adjustRightInd w:val="0"/>
        <w:spacing w:after="0" w:line="240" w:lineRule="auto"/>
        <w:ind w:left="4320"/>
        <w:rPr>
          <w:rFonts w:cs="Times New Roman"/>
          <w:szCs w:val="24"/>
        </w:rPr>
      </w:pPr>
      <w:r w:rsidRPr="003D63B1">
        <w:rPr>
          <w:rFonts w:cs="Times New Roman"/>
          <w:szCs w:val="24"/>
        </w:rPr>
        <w:t>Telephone: Michael (614) 466-1291</w:t>
      </w:r>
    </w:p>
    <w:p w:rsidR="002B4F91" w:rsidRPr="003D63B1" w:rsidP="00AD006E" w14:paraId="5A43C6B3" w14:textId="77777777">
      <w:pPr>
        <w:spacing w:after="0" w:line="240" w:lineRule="auto"/>
        <w:ind w:left="4320"/>
        <w:rPr>
          <w:rFonts w:cs="Times New Roman"/>
          <w:szCs w:val="24"/>
        </w:rPr>
      </w:pPr>
      <w:hyperlink r:id="rId6" w:history="1">
        <w:r w:rsidRPr="003D63B1" w:rsidR="00E66C7A">
          <w:rPr>
            <w:rStyle w:val="Hyperlink"/>
            <w:rFonts w:cs="Times New Roman"/>
            <w:szCs w:val="24"/>
          </w:rPr>
          <w:t>maureen.willis@occ.ohio.gov</w:t>
        </w:r>
      </w:hyperlink>
      <w:r w:rsidRPr="003D63B1" w:rsidR="00E66C7A">
        <w:rPr>
          <w:rFonts w:cs="Times New Roman"/>
          <w:szCs w:val="24"/>
        </w:rPr>
        <w:t xml:space="preserve"> </w:t>
      </w:r>
    </w:p>
    <w:p w:rsidR="002B4F91" w:rsidRPr="003D63B1" w:rsidP="00AD006E" w14:paraId="752AB2B1" w14:textId="77777777">
      <w:pPr>
        <w:spacing w:after="0" w:line="240" w:lineRule="auto"/>
        <w:ind w:left="4320"/>
        <w:rPr>
          <w:rFonts w:cs="Times New Roman"/>
          <w:szCs w:val="24"/>
        </w:rPr>
      </w:pPr>
      <w:hyperlink r:id="rId7" w:history="1">
        <w:r w:rsidRPr="003D63B1" w:rsidR="00E66C7A">
          <w:rPr>
            <w:rStyle w:val="Hyperlink"/>
            <w:rFonts w:cs="Times New Roman"/>
            <w:szCs w:val="24"/>
          </w:rPr>
          <w:t>william.michael@occ.ohio.gov</w:t>
        </w:r>
      </w:hyperlink>
    </w:p>
    <w:p w:rsidR="002B4F91" w:rsidRPr="003D63B1" w:rsidP="00AD006E" w14:paraId="02161F33" w14:textId="77777777">
      <w:pPr>
        <w:pStyle w:val="BodyTextIndent3"/>
        <w:widowControl w:val="0"/>
        <w:spacing w:after="0" w:line="240" w:lineRule="auto"/>
        <w:ind w:left="3600" w:right="-672"/>
        <w:rPr>
          <w:rFonts w:cs="Times New Roman"/>
          <w:sz w:val="24"/>
          <w:szCs w:val="24"/>
        </w:rPr>
      </w:pPr>
      <w:r w:rsidRPr="003D63B1">
        <w:rPr>
          <w:rFonts w:cs="Times New Roman"/>
          <w:sz w:val="24"/>
          <w:szCs w:val="24"/>
        </w:rPr>
        <w:tab/>
        <w:t>(willing to accept service by e-mail)</w:t>
      </w:r>
    </w:p>
    <w:p w:rsidR="002B4F91" w:rsidRPr="003D63B1" w14:paraId="25B79469" w14:textId="77777777">
      <w:pPr>
        <w:spacing w:after="0" w:line="240" w:lineRule="auto"/>
        <w:rPr>
          <w:rFonts w:cs="Times New Roman"/>
          <w:szCs w:val="24"/>
        </w:rPr>
        <w:sectPr>
          <w:headerReference w:type="default" r:id="rId11"/>
          <w:footerReference w:type="default" r:id="rId12"/>
          <w:pgSz w:w="12240" w:h="15840"/>
          <w:pgMar w:top="1440" w:right="1800" w:bottom="1440" w:left="1800" w:header="720" w:footer="720" w:gutter="0"/>
          <w:pgNumType w:start="1"/>
          <w:cols w:space="720"/>
          <w:docGrid w:linePitch="360"/>
        </w:sectPr>
      </w:pPr>
    </w:p>
    <w:p w:rsidR="002B4F91" w:rsidRPr="003D63B1" w14:paraId="0EC5526C" w14:textId="77777777">
      <w:pPr>
        <w:jc w:val="center"/>
        <w:rPr>
          <w:rFonts w:cs="Times New Roman"/>
          <w:b/>
          <w:bCs/>
          <w:szCs w:val="24"/>
          <w:u w:val="single"/>
        </w:rPr>
      </w:pPr>
      <w:r w:rsidRPr="003D63B1">
        <w:rPr>
          <w:rFonts w:cs="Times New Roman"/>
          <w:b/>
          <w:bCs/>
          <w:szCs w:val="24"/>
          <w:u w:val="single"/>
        </w:rPr>
        <w:t>CERTIFICATE OF SERVICE</w:t>
      </w:r>
    </w:p>
    <w:p w:rsidR="002B4F91" w:rsidRPr="003D63B1" w14:paraId="42F7AE49" w14:textId="212899D5">
      <w:pPr>
        <w:spacing w:after="0" w:line="480" w:lineRule="auto"/>
        <w:ind w:firstLine="720"/>
        <w:contextualSpacing/>
        <w:rPr>
          <w:rFonts w:cs="Times New Roman"/>
          <w:szCs w:val="24"/>
        </w:rPr>
      </w:pPr>
      <w:r w:rsidRPr="003D63B1">
        <w:rPr>
          <w:rFonts w:cs="Times New Roman"/>
          <w:szCs w:val="24"/>
        </w:rPr>
        <w:t xml:space="preserve">I hereby certify that a copy of the foregoing </w:t>
      </w:r>
      <w:r w:rsidRPr="003D63B1" w:rsidR="00784DFA">
        <w:rPr>
          <w:rFonts w:cs="Times New Roman"/>
          <w:bCs/>
          <w:szCs w:val="24"/>
        </w:rPr>
        <w:t xml:space="preserve">Application for Rehearing </w:t>
      </w:r>
      <w:r w:rsidRPr="003D63B1">
        <w:rPr>
          <w:rFonts w:cs="Times New Roman"/>
          <w:szCs w:val="24"/>
        </w:rPr>
        <w:t xml:space="preserve">was electronically served via electric transmission on the persons stated below this </w:t>
      </w:r>
      <w:r w:rsidR="00CB48AF">
        <w:rPr>
          <w:rFonts w:cs="Times New Roman"/>
          <w:szCs w:val="24"/>
        </w:rPr>
        <w:t>4</w:t>
      </w:r>
      <w:r w:rsidR="009E339E">
        <w:rPr>
          <w:rFonts w:cs="Times New Roman"/>
          <w:szCs w:val="24"/>
        </w:rPr>
        <w:t>th</w:t>
      </w:r>
      <w:r w:rsidRPr="003D63B1" w:rsidR="000A1381">
        <w:rPr>
          <w:rFonts w:cs="Times New Roman"/>
          <w:szCs w:val="24"/>
        </w:rPr>
        <w:t xml:space="preserve"> </w:t>
      </w:r>
      <w:r w:rsidRPr="003D63B1">
        <w:rPr>
          <w:rFonts w:cs="Times New Roman"/>
          <w:szCs w:val="24"/>
        </w:rPr>
        <w:t xml:space="preserve">day of </w:t>
      </w:r>
      <w:r w:rsidR="00CB48AF">
        <w:rPr>
          <w:rFonts w:cs="Times New Roman"/>
          <w:szCs w:val="24"/>
        </w:rPr>
        <w:t>November</w:t>
      </w:r>
      <w:r w:rsidRPr="003D63B1">
        <w:rPr>
          <w:rFonts w:cs="Times New Roman"/>
          <w:szCs w:val="24"/>
        </w:rPr>
        <w:t xml:space="preserve"> 2022.</w:t>
      </w:r>
    </w:p>
    <w:p w:rsidR="002B4F91" w:rsidRPr="003D63B1" w14:paraId="32E5F113" w14:textId="77777777">
      <w:pPr>
        <w:tabs>
          <w:tab w:val="left" w:pos="4320"/>
        </w:tabs>
        <w:spacing w:after="0" w:line="240" w:lineRule="auto"/>
        <w:rPr>
          <w:rFonts w:cs="Times New Roman"/>
          <w:szCs w:val="24"/>
        </w:rPr>
      </w:pPr>
      <w:r w:rsidRPr="003D63B1">
        <w:rPr>
          <w:rFonts w:cs="Times New Roman"/>
          <w:szCs w:val="24"/>
        </w:rPr>
        <w:tab/>
      </w:r>
      <w:r w:rsidRPr="003D63B1">
        <w:rPr>
          <w:rFonts w:cs="Times New Roman"/>
          <w:i/>
          <w:szCs w:val="24"/>
          <w:u w:val="single"/>
        </w:rPr>
        <w:t>/s/ Maureen R. Willis</w:t>
      </w:r>
      <w:r w:rsidRPr="003D63B1">
        <w:rPr>
          <w:rFonts w:cs="Times New Roman"/>
          <w:i/>
          <w:szCs w:val="24"/>
          <w:u w:val="single"/>
        </w:rPr>
        <w:tab/>
      </w:r>
      <w:r w:rsidRPr="003D63B1">
        <w:rPr>
          <w:rFonts w:cs="Times New Roman"/>
          <w:i/>
          <w:szCs w:val="24"/>
          <w:u w:val="single"/>
        </w:rPr>
        <w:tab/>
      </w:r>
    </w:p>
    <w:p w:rsidR="002B4F91" w:rsidRPr="003D63B1" w14:paraId="3A5E357A" w14:textId="77777777">
      <w:pPr>
        <w:autoSpaceDE w:val="0"/>
        <w:autoSpaceDN w:val="0"/>
        <w:adjustRightInd w:val="0"/>
        <w:spacing w:after="0" w:line="240" w:lineRule="auto"/>
        <w:rPr>
          <w:rFonts w:cs="Times New Roman"/>
          <w:szCs w:val="24"/>
        </w:rPr>
      </w:pP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t>Maureen R. Willis</w:t>
      </w:r>
    </w:p>
    <w:p w:rsidR="002B4F91" w:rsidRPr="003D63B1" w14:paraId="4B365F6A" w14:textId="368A0797">
      <w:pPr>
        <w:autoSpaceDE w:val="0"/>
        <w:autoSpaceDN w:val="0"/>
        <w:adjustRightInd w:val="0"/>
        <w:spacing w:after="0" w:line="240" w:lineRule="auto"/>
        <w:rPr>
          <w:rFonts w:cs="Times New Roman"/>
          <w:szCs w:val="24"/>
        </w:rPr>
      </w:pP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r>
      <w:r w:rsidRPr="003D63B1">
        <w:rPr>
          <w:rFonts w:cs="Times New Roman"/>
          <w:szCs w:val="24"/>
        </w:rPr>
        <w:tab/>
      </w:r>
      <w:r w:rsidRPr="003D63B1" w:rsidR="00FA3F7B">
        <w:rPr>
          <w:rFonts w:cs="Times New Roman"/>
          <w:szCs w:val="24"/>
        </w:rPr>
        <w:t xml:space="preserve">Senior Counsel </w:t>
      </w:r>
    </w:p>
    <w:p w:rsidR="002B4F91" w:rsidRPr="003D63B1" w:rsidP="000A1381" w14:paraId="4993FE88" w14:textId="77777777">
      <w:pPr>
        <w:pStyle w:val="CommentText"/>
        <w:rPr>
          <w:b/>
          <w:sz w:val="24"/>
          <w:szCs w:val="24"/>
          <w:u w:val="single"/>
        </w:rPr>
      </w:pPr>
    </w:p>
    <w:p w:rsidR="002B4F91" w:rsidRPr="003D63B1" w14:paraId="4D988956" w14:textId="77777777">
      <w:pPr>
        <w:spacing w:after="0" w:line="240" w:lineRule="auto"/>
        <w:rPr>
          <w:rFonts w:cs="Times New Roman"/>
          <w:szCs w:val="24"/>
        </w:rPr>
      </w:pPr>
      <w:r w:rsidRPr="003D63B1">
        <w:rPr>
          <w:rFonts w:cs="Times New Roman"/>
          <w:szCs w:val="24"/>
        </w:rPr>
        <w:t>The PUCO’s e-filing system will electronically serve notice of the filing of this document on the following parties:</w:t>
      </w:r>
    </w:p>
    <w:p w:rsidR="002B4F91" w:rsidRPr="003D63B1" w14:paraId="6FD99197" w14:textId="77777777">
      <w:pPr>
        <w:pStyle w:val="CommentText"/>
        <w:jc w:val="center"/>
        <w:rPr>
          <w:b/>
          <w:sz w:val="24"/>
          <w:szCs w:val="24"/>
          <w:u w:val="single"/>
        </w:rPr>
      </w:pPr>
    </w:p>
    <w:p w:rsidR="002B4F91" w:rsidRPr="003D63B1" w14:paraId="08B33689" w14:textId="77777777">
      <w:pPr>
        <w:spacing w:after="0" w:line="240" w:lineRule="auto"/>
        <w:jc w:val="center"/>
        <w:rPr>
          <w:rFonts w:eastAsia="Times New Roman" w:cs="Times New Roman"/>
          <w:b/>
          <w:szCs w:val="24"/>
          <w:u w:val="single"/>
        </w:rPr>
      </w:pPr>
      <w:r w:rsidRPr="003D63B1">
        <w:rPr>
          <w:rFonts w:eastAsia="Times New Roman" w:cs="Times New Roman"/>
          <w:b/>
          <w:szCs w:val="24"/>
          <w:u w:val="single"/>
        </w:rPr>
        <w:t>SERVICE LIST</w:t>
      </w:r>
    </w:p>
    <w:p w:rsidR="002B4F91" w:rsidRPr="003D63B1" w14:paraId="5E3FCFCE" w14:textId="77777777">
      <w:pPr>
        <w:spacing w:after="0" w:line="240" w:lineRule="auto"/>
        <w:rPr>
          <w:rFonts w:eastAsia="Times New Roman" w:cs="Times New Roman"/>
          <w:b/>
          <w:bCs/>
          <w:szCs w:val="24"/>
        </w:rPr>
      </w:pPr>
    </w:p>
    <w:tbl>
      <w:tblPr>
        <w:tblW w:w="8876" w:type="dxa"/>
        <w:tblLook w:val="04A0"/>
      </w:tblPr>
      <w:tblGrid>
        <w:gridCol w:w="4449"/>
        <w:gridCol w:w="4427"/>
      </w:tblGrid>
      <w:tr w14:paraId="42AAA2EC" w14:textId="77777777" w:rsidTr="009A59E1">
        <w:tblPrEx>
          <w:tblW w:w="8876" w:type="dxa"/>
          <w:tblLook w:val="04A0"/>
        </w:tblPrEx>
        <w:tc>
          <w:tcPr>
            <w:tcW w:w="4449" w:type="dxa"/>
            <w:shd w:val="clear" w:color="auto" w:fill="auto"/>
          </w:tcPr>
          <w:p w:rsidR="00A771B7" w:rsidRPr="003D63B1" w:rsidP="00A771B7" w14:paraId="4909BD5B" w14:textId="77777777">
            <w:pPr>
              <w:adjustRightInd w:val="0"/>
              <w:spacing w:after="0" w:line="240" w:lineRule="auto"/>
              <w:rPr>
                <w:rFonts w:eastAsia="Times New Roman" w:cs="Times New Roman"/>
                <w:szCs w:val="24"/>
              </w:rPr>
            </w:pPr>
            <w:hyperlink r:id="rId13" w:history="1">
              <w:r w:rsidRPr="003D63B1" w:rsidR="00604367">
                <w:rPr>
                  <w:rFonts w:eastAsia="Times New Roman" w:cs="Times New Roman"/>
                  <w:color w:val="0000FF"/>
                  <w:szCs w:val="24"/>
                  <w:u w:val="single"/>
                </w:rPr>
                <w:t>thomas.lindgren@ohioAGO.gov</w:t>
              </w:r>
            </w:hyperlink>
          </w:p>
          <w:p w:rsidR="00A771B7" w:rsidRPr="003D63B1" w:rsidP="00A771B7" w14:paraId="15B21BEF" w14:textId="77777777">
            <w:pPr>
              <w:adjustRightInd w:val="0"/>
              <w:spacing w:after="0" w:line="240" w:lineRule="auto"/>
              <w:rPr>
                <w:rFonts w:eastAsia="Times New Roman" w:cs="Times New Roman"/>
                <w:szCs w:val="24"/>
              </w:rPr>
            </w:pPr>
            <w:hyperlink r:id="rId14" w:history="1">
              <w:r w:rsidRPr="003D63B1" w:rsidR="00604367">
                <w:rPr>
                  <w:rFonts w:eastAsia="Times New Roman" w:cs="Times New Roman"/>
                  <w:color w:val="0000FF"/>
                  <w:szCs w:val="24"/>
                  <w:u w:val="single"/>
                </w:rPr>
                <w:t>kyle.kern@ohioAGO.gov</w:t>
              </w:r>
            </w:hyperlink>
          </w:p>
          <w:p w:rsidR="00A771B7" w:rsidRPr="003D63B1" w:rsidP="00A771B7" w14:paraId="6CE66B6D" w14:textId="77777777">
            <w:pPr>
              <w:adjustRightInd w:val="0"/>
              <w:spacing w:after="0" w:line="240" w:lineRule="auto"/>
              <w:rPr>
                <w:rFonts w:eastAsia="Times New Roman" w:cs="Times New Roman"/>
                <w:szCs w:val="24"/>
              </w:rPr>
            </w:pPr>
            <w:hyperlink r:id="rId15" w:history="1">
              <w:r w:rsidRPr="003D63B1" w:rsidR="00604367">
                <w:rPr>
                  <w:rFonts w:eastAsia="Times New Roman" w:cs="Times New Roman"/>
                  <w:color w:val="0000FF"/>
                  <w:szCs w:val="24"/>
                  <w:u w:val="single"/>
                </w:rPr>
                <w:t>djireland@ficlaw.com</w:t>
              </w:r>
            </w:hyperlink>
          </w:p>
          <w:p w:rsidR="00A771B7" w:rsidRPr="003D63B1" w:rsidP="00A771B7" w14:paraId="5EB41900" w14:textId="77777777">
            <w:pPr>
              <w:adjustRightInd w:val="0"/>
              <w:spacing w:after="0" w:line="240" w:lineRule="auto"/>
              <w:rPr>
                <w:rFonts w:eastAsia="Times New Roman" w:cs="Times New Roman"/>
                <w:color w:val="0000FF"/>
                <w:szCs w:val="24"/>
                <w:u w:val="single"/>
              </w:rPr>
            </w:pPr>
            <w:hyperlink r:id="rId16" w:history="1">
              <w:r w:rsidRPr="003D63B1" w:rsidR="00604367">
                <w:rPr>
                  <w:rFonts w:eastAsia="Times New Roman" w:cs="Times New Roman"/>
                  <w:color w:val="0000FF"/>
                  <w:szCs w:val="24"/>
                  <w:u w:val="single"/>
                </w:rPr>
                <w:t>jsharkey@ficlaw.com</w:t>
              </w:r>
            </w:hyperlink>
          </w:p>
          <w:p w:rsidR="00A771B7" w:rsidRPr="003D63B1" w:rsidP="00A771B7" w14:paraId="3E2FFE20" w14:textId="77777777">
            <w:pPr>
              <w:adjustRightInd w:val="0"/>
              <w:spacing w:after="0" w:line="240" w:lineRule="auto"/>
              <w:rPr>
                <w:rFonts w:eastAsia="Times New Roman" w:cs="Times New Roman"/>
                <w:color w:val="0000FF"/>
                <w:szCs w:val="24"/>
                <w:u w:val="single"/>
              </w:rPr>
            </w:pPr>
            <w:hyperlink r:id="rId17" w:history="1">
              <w:r w:rsidRPr="003D63B1" w:rsidR="00604367">
                <w:rPr>
                  <w:rFonts w:eastAsia="Times New Roman" w:cs="Times New Roman"/>
                  <w:color w:val="0000FF"/>
                  <w:szCs w:val="24"/>
                  <w:u w:val="single"/>
                </w:rPr>
                <w:t>christopher.hollon@aes.com</w:t>
              </w:r>
            </w:hyperlink>
          </w:p>
          <w:p w:rsidR="00A771B7" w:rsidRPr="003D63B1" w:rsidP="00A771B7" w14:paraId="5234E565" w14:textId="77777777">
            <w:pPr>
              <w:tabs>
                <w:tab w:val="left" w:pos="4320"/>
              </w:tabs>
              <w:spacing w:after="0" w:line="240" w:lineRule="auto"/>
              <w:rPr>
                <w:rFonts w:eastAsia="Times New Roman" w:cs="Times New Roman"/>
                <w:color w:val="0000FF"/>
                <w:szCs w:val="24"/>
              </w:rPr>
            </w:pPr>
            <w:hyperlink r:id="rId18" w:history="1">
              <w:r w:rsidRPr="003D63B1" w:rsidR="00604367">
                <w:rPr>
                  <w:rFonts w:eastAsia="Times New Roman" w:cs="Times New Roman"/>
                  <w:color w:val="0000FF"/>
                  <w:szCs w:val="24"/>
                  <w:u w:val="single"/>
                </w:rPr>
                <w:t>joliker@igsenergy.com</w:t>
              </w:r>
            </w:hyperlink>
            <w:r w:rsidRPr="003D63B1" w:rsidR="00604367">
              <w:rPr>
                <w:rFonts w:eastAsia="Times New Roman" w:cs="Times New Roman"/>
                <w:color w:val="0000FF"/>
                <w:szCs w:val="24"/>
              </w:rPr>
              <w:t xml:space="preserve"> </w:t>
            </w:r>
          </w:p>
          <w:p w:rsidR="00A771B7" w:rsidRPr="003D63B1" w:rsidP="00A771B7" w14:paraId="52513060" w14:textId="77777777">
            <w:pPr>
              <w:adjustRightInd w:val="0"/>
              <w:spacing w:after="0" w:line="240" w:lineRule="auto"/>
              <w:rPr>
                <w:rFonts w:eastAsia="Times New Roman" w:cs="Times New Roman"/>
                <w:szCs w:val="24"/>
              </w:rPr>
            </w:pPr>
            <w:hyperlink r:id="rId19" w:history="1">
              <w:r w:rsidRPr="003D63B1" w:rsidR="00604367">
                <w:rPr>
                  <w:rFonts w:eastAsia="Times New Roman" w:cs="Times New Roman"/>
                  <w:color w:val="0000FF"/>
                  <w:szCs w:val="24"/>
                  <w:u w:val="single"/>
                </w:rPr>
                <w:t>Ned.Ford@fuse.net</w:t>
              </w:r>
            </w:hyperlink>
          </w:p>
          <w:p w:rsidR="00A771B7" w:rsidRPr="003D63B1" w:rsidP="00A771B7" w14:paraId="0FB9C72B" w14:textId="77777777">
            <w:pPr>
              <w:adjustRightInd w:val="0"/>
              <w:spacing w:after="0" w:line="240" w:lineRule="auto"/>
              <w:rPr>
                <w:rFonts w:eastAsia="Times New Roman" w:cs="Times New Roman"/>
                <w:color w:val="0000FF"/>
                <w:szCs w:val="24"/>
                <w:u w:val="single"/>
              </w:rPr>
            </w:pPr>
            <w:hyperlink r:id="rId20" w:history="1">
              <w:r w:rsidRPr="003D63B1" w:rsidR="00604367">
                <w:rPr>
                  <w:rFonts w:eastAsia="Times New Roman" w:cs="Times New Roman"/>
                  <w:color w:val="0000FF"/>
                  <w:szCs w:val="24"/>
                  <w:u w:val="single"/>
                </w:rPr>
                <w:t>mjsettineri@vorys.com</w:t>
              </w:r>
            </w:hyperlink>
          </w:p>
          <w:p w:rsidR="00A771B7" w:rsidRPr="003D63B1" w:rsidP="00A771B7" w14:paraId="651A6C80" w14:textId="77777777">
            <w:pPr>
              <w:adjustRightInd w:val="0"/>
              <w:spacing w:after="0" w:line="240" w:lineRule="auto"/>
              <w:rPr>
                <w:rFonts w:eastAsia="Times New Roman" w:cs="Times New Roman"/>
                <w:color w:val="0000FF"/>
                <w:szCs w:val="24"/>
              </w:rPr>
            </w:pPr>
            <w:hyperlink r:id="rId21" w:history="1">
              <w:r w:rsidRPr="003D63B1" w:rsidR="00604367">
                <w:rPr>
                  <w:rFonts w:eastAsia="Times New Roman" w:cs="Times New Roman"/>
                  <w:color w:val="0000FF"/>
                  <w:szCs w:val="24"/>
                  <w:u w:val="single"/>
                </w:rPr>
                <w:t>glpetrucci@vorys.com</w:t>
              </w:r>
            </w:hyperlink>
          </w:p>
          <w:p w:rsidR="00A771B7" w:rsidRPr="003D63B1" w:rsidP="00A771B7" w14:paraId="41C146F6" w14:textId="77777777">
            <w:pPr>
              <w:adjustRightInd w:val="0"/>
              <w:spacing w:after="0" w:line="240" w:lineRule="auto"/>
              <w:rPr>
                <w:rFonts w:eastAsia="Times New Roman" w:cs="Times New Roman"/>
                <w:szCs w:val="24"/>
              </w:rPr>
            </w:pPr>
            <w:hyperlink r:id="rId22" w:history="1">
              <w:r w:rsidRPr="003D63B1" w:rsidR="00604367">
                <w:rPr>
                  <w:rFonts w:eastAsia="Times New Roman" w:cs="Times New Roman"/>
                  <w:color w:val="0000FF"/>
                  <w:szCs w:val="24"/>
                  <w:u w:val="single"/>
                </w:rPr>
                <w:t>Bojko@carpenterlipps.com</w:t>
              </w:r>
            </w:hyperlink>
            <w:r w:rsidRPr="003D63B1" w:rsidR="00604367">
              <w:rPr>
                <w:rFonts w:eastAsia="Times New Roman" w:cs="Times New Roman"/>
                <w:szCs w:val="24"/>
              </w:rPr>
              <w:t xml:space="preserve"> </w:t>
            </w:r>
          </w:p>
          <w:p w:rsidR="00A771B7" w:rsidRPr="003D63B1" w:rsidP="00A771B7" w14:paraId="2ECC2AC1" w14:textId="77777777">
            <w:pPr>
              <w:adjustRightInd w:val="0"/>
              <w:spacing w:after="0" w:line="240" w:lineRule="auto"/>
              <w:rPr>
                <w:rFonts w:eastAsia="Times New Roman" w:cs="Times New Roman"/>
                <w:szCs w:val="24"/>
              </w:rPr>
            </w:pPr>
            <w:hyperlink r:id="rId23" w:history="1">
              <w:r w:rsidRPr="003D63B1" w:rsidR="00604367">
                <w:rPr>
                  <w:rFonts w:eastAsia="Times New Roman" w:cs="Times New Roman"/>
                  <w:color w:val="0000FF"/>
                  <w:szCs w:val="24"/>
                  <w:u w:val="single"/>
                </w:rPr>
                <w:t>paul@carpenterlipps.com</w:t>
              </w:r>
            </w:hyperlink>
          </w:p>
          <w:p w:rsidR="00A771B7" w:rsidRPr="003D63B1" w:rsidP="00A771B7" w14:paraId="6990EA5A" w14:textId="77777777">
            <w:pPr>
              <w:adjustRightInd w:val="0"/>
              <w:spacing w:after="0" w:line="240" w:lineRule="auto"/>
              <w:rPr>
                <w:rFonts w:eastAsia="Times New Roman" w:cs="Times New Roman"/>
                <w:szCs w:val="24"/>
              </w:rPr>
            </w:pPr>
            <w:hyperlink r:id="rId24" w:history="1">
              <w:r w:rsidRPr="003D63B1" w:rsidR="00604367">
                <w:rPr>
                  <w:rFonts w:eastAsia="Times New Roman" w:cs="Times New Roman"/>
                  <w:color w:val="0000FF"/>
                  <w:szCs w:val="24"/>
                  <w:u w:val="single"/>
                </w:rPr>
                <w:t>slesser@beneschlaw.com</w:t>
              </w:r>
            </w:hyperlink>
          </w:p>
          <w:p w:rsidR="00A771B7" w:rsidRPr="003D63B1" w:rsidP="00A771B7" w14:paraId="777B8065" w14:textId="77777777">
            <w:pPr>
              <w:adjustRightInd w:val="0"/>
              <w:spacing w:after="0" w:line="240" w:lineRule="auto"/>
              <w:rPr>
                <w:rFonts w:eastAsia="Times New Roman" w:cs="Times New Roman"/>
                <w:szCs w:val="24"/>
              </w:rPr>
            </w:pPr>
            <w:hyperlink r:id="rId25" w:history="1">
              <w:r w:rsidRPr="003D63B1" w:rsidR="00604367">
                <w:rPr>
                  <w:rFonts w:eastAsia="Times New Roman" w:cs="Times New Roman"/>
                  <w:color w:val="0000FF"/>
                  <w:szCs w:val="24"/>
                  <w:u w:val="single"/>
                </w:rPr>
                <w:t>mkeaney@beneschlaw.com</w:t>
              </w:r>
            </w:hyperlink>
          </w:p>
          <w:p w:rsidR="00A771B7" w:rsidRPr="003D63B1" w:rsidP="00A771B7" w14:paraId="57F98CA4" w14:textId="77777777">
            <w:pPr>
              <w:adjustRightInd w:val="0"/>
              <w:spacing w:after="0" w:line="240" w:lineRule="auto"/>
              <w:rPr>
                <w:rFonts w:eastAsia="Times New Roman" w:cs="Times New Roman"/>
                <w:color w:val="0000FF"/>
                <w:szCs w:val="24"/>
                <w:u w:val="single"/>
              </w:rPr>
            </w:pPr>
            <w:hyperlink r:id="rId26" w:history="1">
              <w:r w:rsidRPr="003D63B1" w:rsidR="00604367">
                <w:rPr>
                  <w:rFonts w:eastAsia="Times New Roman" w:cs="Times New Roman"/>
                  <w:color w:val="0000FF"/>
                  <w:szCs w:val="24"/>
                  <w:u w:val="single"/>
                </w:rPr>
                <w:t>talexander@beneschlaw.com</w:t>
              </w:r>
            </w:hyperlink>
          </w:p>
          <w:p w:rsidR="00A771B7" w:rsidRPr="003D63B1" w:rsidP="00A771B7" w14:paraId="1B95436D" w14:textId="77777777">
            <w:pPr>
              <w:adjustRightInd w:val="0"/>
              <w:spacing w:after="0" w:line="240" w:lineRule="auto"/>
              <w:rPr>
                <w:rFonts w:eastAsia="Times New Roman" w:cs="Times New Roman"/>
                <w:szCs w:val="24"/>
              </w:rPr>
            </w:pPr>
            <w:hyperlink r:id="rId27" w:history="1">
              <w:r w:rsidRPr="003D63B1" w:rsidR="00604367">
                <w:rPr>
                  <w:rFonts w:eastAsia="Times New Roman" w:cs="Times New Roman"/>
                  <w:color w:val="0000FF"/>
                  <w:szCs w:val="24"/>
                  <w:u w:val="single"/>
                </w:rPr>
                <w:t>ssiewe@beneschlaw.com</w:t>
              </w:r>
            </w:hyperlink>
          </w:p>
          <w:p w:rsidR="00A771B7" w:rsidRPr="003D63B1" w:rsidP="00A771B7" w14:paraId="484869E4" w14:textId="77777777">
            <w:pPr>
              <w:adjustRightInd w:val="0"/>
              <w:spacing w:after="0" w:line="240" w:lineRule="auto"/>
              <w:rPr>
                <w:rFonts w:eastAsia="Times New Roman" w:cs="Times New Roman"/>
                <w:szCs w:val="24"/>
              </w:rPr>
            </w:pPr>
            <w:hyperlink r:id="rId28" w:history="1">
              <w:r w:rsidRPr="003D63B1" w:rsidR="00604367">
                <w:rPr>
                  <w:rFonts w:eastAsia="Times New Roman" w:cs="Times New Roman"/>
                  <w:color w:val="0000FF"/>
                  <w:szCs w:val="24"/>
                  <w:u w:val="single"/>
                </w:rPr>
                <w:t>mswhite@igsenergy.com</w:t>
              </w:r>
            </w:hyperlink>
            <w:r w:rsidRPr="003D63B1" w:rsidR="00604367">
              <w:rPr>
                <w:rFonts w:eastAsia="Times New Roman" w:cs="Times New Roman"/>
                <w:szCs w:val="24"/>
              </w:rPr>
              <w:t xml:space="preserve"> </w:t>
            </w:r>
          </w:p>
          <w:p w:rsidR="00A771B7" w:rsidRPr="003D63B1" w:rsidP="00A771B7" w14:paraId="1D1319A3" w14:textId="77777777">
            <w:pPr>
              <w:adjustRightInd w:val="0"/>
              <w:spacing w:after="0" w:line="240" w:lineRule="auto"/>
              <w:rPr>
                <w:rFonts w:eastAsia="Times New Roman" w:cs="Times New Roman"/>
                <w:szCs w:val="24"/>
              </w:rPr>
            </w:pPr>
            <w:hyperlink r:id="rId29" w:history="1">
              <w:r w:rsidRPr="003D63B1" w:rsidR="00604367">
                <w:rPr>
                  <w:rFonts w:eastAsia="Times New Roman" w:cs="Times New Roman"/>
                  <w:color w:val="0000FF"/>
                  <w:szCs w:val="24"/>
                  <w:u w:val="single"/>
                </w:rPr>
                <w:t>dborcher@bricker.com</w:t>
              </w:r>
            </w:hyperlink>
          </w:p>
          <w:p w:rsidR="00A771B7" w:rsidRPr="003D63B1" w:rsidP="00A771B7" w14:paraId="00CB3279" w14:textId="77777777">
            <w:pPr>
              <w:adjustRightInd w:val="0"/>
              <w:spacing w:after="0" w:line="240" w:lineRule="auto"/>
              <w:rPr>
                <w:rFonts w:eastAsia="Times New Roman" w:cs="Times New Roman"/>
                <w:color w:val="0000FF"/>
                <w:szCs w:val="24"/>
                <w:u w:val="single"/>
              </w:rPr>
            </w:pPr>
            <w:hyperlink r:id="rId30" w:history="1">
              <w:r w:rsidRPr="003D63B1" w:rsidR="00604367">
                <w:rPr>
                  <w:rFonts w:eastAsia="Times New Roman" w:cs="Times New Roman"/>
                  <w:color w:val="0000FF"/>
                  <w:szCs w:val="24"/>
                  <w:u w:val="single"/>
                </w:rPr>
                <w:t>dparram@bricker.com</w:t>
              </w:r>
            </w:hyperlink>
          </w:p>
          <w:p w:rsidR="00A771B7" w:rsidRPr="003D63B1" w:rsidP="00A771B7" w14:paraId="0E5BFE89" w14:textId="77777777">
            <w:pPr>
              <w:adjustRightInd w:val="0"/>
              <w:spacing w:after="0" w:line="240" w:lineRule="auto"/>
              <w:rPr>
                <w:rFonts w:eastAsia="Times New Roman" w:cs="Times New Roman"/>
                <w:color w:val="0000FF"/>
                <w:szCs w:val="24"/>
                <w:u w:val="single"/>
              </w:rPr>
            </w:pPr>
            <w:hyperlink r:id="rId31" w:history="1">
              <w:r w:rsidRPr="003D63B1" w:rsidR="00604367">
                <w:rPr>
                  <w:rFonts w:eastAsia="Times New Roman" w:cs="Times New Roman"/>
                  <w:color w:val="0000FF"/>
                  <w:szCs w:val="24"/>
                  <w:u w:val="single"/>
                </w:rPr>
                <w:t>rmains@bricker.com</w:t>
              </w:r>
            </w:hyperlink>
          </w:p>
          <w:p w:rsidR="00A771B7" w:rsidRPr="003D63B1" w:rsidP="00A771B7" w14:paraId="7A40988C" w14:textId="77777777">
            <w:pPr>
              <w:adjustRightInd w:val="0"/>
              <w:spacing w:after="0" w:line="240" w:lineRule="auto"/>
              <w:rPr>
                <w:rFonts w:eastAsia="Times New Roman" w:cs="Times New Roman"/>
                <w:color w:val="0000FF"/>
                <w:szCs w:val="24"/>
                <w:u w:val="single"/>
              </w:rPr>
            </w:pPr>
            <w:hyperlink r:id="rId32" w:history="1">
              <w:r w:rsidRPr="003D63B1" w:rsidR="00604367">
                <w:rPr>
                  <w:rFonts w:eastAsia="Times New Roman" w:cs="Times New Roman"/>
                  <w:color w:val="0000FF"/>
                  <w:szCs w:val="24"/>
                  <w:u w:val="single"/>
                </w:rPr>
                <w:t>fdarr2019@gmail.com</w:t>
              </w:r>
            </w:hyperlink>
          </w:p>
          <w:p w:rsidR="00A771B7" w:rsidRPr="003D63B1" w:rsidP="00A771B7" w14:paraId="1B2922D8" w14:textId="77777777">
            <w:pPr>
              <w:adjustRightInd w:val="0"/>
              <w:spacing w:after="0" w:line="240" w:lineRule="auto"/>
              <w:rPr>
                <w:rFonts w:eastAsia="Times New Roman" w:cs="Times New Roman"/>
                <w:szCs w:val="24"/>
              </w:rPr>
            </w:pPr>
          </w:p>
          <w:p w:rsidR="00A771B7" w:rsidRPr="003D63B1" w:rsidP="00A771B7" w14:paraId="142A6A99" w14:textId="7C0872DA">
            <w:pPr>
              <w:adjustRightInd w:val="0"/>
              <w:spacing w:after="0" w:line="240" w:lineRule="auto"/>
              <w:rPr>
                <w:rFonts w:eastAsia="Times New Roman" w:cs="Times New Roman"/>
                <w:szCs w:val="24"/>
              </w:rPr>
            </w:pPr>
            <w:r w:rsidRPr="003D63B1">
              <w:rPr>
                <w:rFonts w:eastAsia="Times New Roman" w:cs="Times New Roman"/>
                <w:szCs w:val="24"/>
              </w:rPr>
              <w:t>Attorney Examiner</w:t>
            </w:r>
            <w:r w:rsidRPr="003D63B1" w:rsidR="00EA45BF">
              <w:rPr>
                <w:rFonts w:eastAsia="Times New Roman" w:cs="Times New Roman"/>
                <w:szCs w:val="24"/>
              </w:rPr>
              <w:t>s</w:t>
            </w:r>
            <w:r w:rsidRPr="003D63B1">
              <w:rPr>
                <w:rFonts w:eastAsia="Times New Roman" w:cs="Times New Roman"/>
                <w:szCs w:val="24"/>
              </w:rPr>
              <w:t>:</w:t>
            </w:r>
          </w:p>
          <w:p w:rsidR="00EA45BF" w:rsidRPr="003D63B1" w:rsidP="00A771B7" w14:paraId="3AD8749A" w14:textId="2FED121C">
            <w:pPr>
              <w:adjustRightInd w:val="0"/>
              <w:spacing w:after="0" w:line="240" w:lineRule="auto"/>
              <w:rPr>
                <w:rFonts w:cs="Times New Roman"/>
                <w:color w:val="0000FF"/>
                <w:szCs w:val="24"/>
              </w:rPr>
            </w:pPr>
            <w:hyperlink r:id="rId33" w:history="1">
              <w:r w:rsidRPr="003D63B1" w:rsidR="00604367">
                <w:rPr>
                  <w:rStyle w:val="Hyperlink"/>
                  <w:rFonts w:cs="Times New Roman"/>
                  <w:szCs w:val="24"/>
                </w:rPr>
                <w:t>henry.phillips.gary@puco.ohio.gov</w:t>
              </w:r>
            </w:hyperlink>
          </w:p>
          <w:p w:rsidR="00A771B7" w:rsidRPr="003D63B1" w:rsidP="00A771B7" w14:paraId="3A4836EA" w14:textId="0A427FA8">
            <w:pPr>
              <w:adjustRightInd w:val="0"/>
              <w:spacing w:after="0" w:line="240" w:lineRule="auto"/>
              <w:rPr>
                <w:rFonts w:eastAsia="Times New Roman" w:cs="Times New Roman"/>
                <w:color w:val="0000FF"/>
                <w:szCs w:val="24"/>
                <w:u w:val="single"/>
              </w:rPr>
            </w:pPr>
            <w:hyperlink r:id="rId34" w:history="1">
              <w:r w:rsidRPr="003D63B1" w:rsidR="00EA45BF">
                <w:rPr>
                  <w:rStyle w:val="Hyperlink"/>
                  <w:rFonts w:eastAsia="Times New Roman" w:cs="Times New Roman"/>
                  <w:szCs w:val="24"/>
                </w:rPr>
                <w:t>gregory.price@puco.ohio.gov</w:t>
              </w:r>
            </w:hyperlink>
          </w:p>
          <w:p w:rsidR="00A771B7" w:rsidRPr="003D63B1" w:rsidP="00A771B7" w14:paraId="7F6F85D9" w14:textId="77777777">
            <w:pPr>
              <w:adjustRightInd w:val="0"/>
              <w:spacing w:after="0" w:line="240" w:lineRule="auto"/>
              <w:rPr>
                <w:rFonts w:eastAsia="Times New Roman" w:cs="Times New Roman"/>
                <w:szCs w:val="24"/>
              </w:rPr>
            </w:pPr>
          </w:p>
        </w:tc>
        <w:tc>
          <w:tcPr>
            <w:tcW w:w="4427" w:type="dxa"/>
            <w:shd w:val="clear" w:color="auto" w:fill="auto"/>
          </w:tcPr>
          <w:p w:rsidR="00A771B7" w:rsidRPr="003D63B1" w:rsidP="00A771B7" w14:paraId="746EC3AD" w14:textId="77777777">
            <w:pPr>
              <w:adjustRightInd w:val="0"/>
              <w:spacing w:after="0" w:line="240" w:lineRule="auto"/>
              <w:rPr>
                <w:rFonts w:eastAsia="Times New Roman" w:cs="Times New Roman"/>
                <w:szCs w:val="24"/>
              </w:rPr>
            </w:pPr>
            <w:hyperlink r:id="rId35" w:history="1">
              <w:r w:rsidRPr="003D63B1" w:rsidR="00604367">
                <w:rPr>
                  <w:rFonts w:eastAsia="Times New Roman" w:cs="Times New Roman"/>
                  <w:color w:val="0000FF"/>
                  <w:szCs w:val="24"/>
                  <w:u w:val="single"/>
                </w:rPr>
                <w:t>jeanne.kingery@duke-energy.com</w:t>
              </w:r>
            </w:hyperlink>
            <w:r w:rsidRPr="003D63B1" w:rsidR="00604367">
              <w:rPr>
                <w:rFonts w:eastAsia="Times New Roman" w:cs="Times New Roman"/>
                <w:szCs w:val="24"/>
              </w:rPr>
              <w:t xml:space="preserve"> </w:t>
            </w:r>
          </w:p>
          <w:p w:rsidR="00A771B7" w:rsidRPr="003D63B1" w:rsidP="00A771B7" w14:paraId="5855A8C6" w14:textId="77777777">
            <w:pPr>
              <w:adjustRightInd w:val="0"/>
              <w:spacing w:after="0" w:line="240" w:lineRule="auto"/>
              <w:rPr>
                <w:rFonts w:eastAsia="Times New Roman" w:cs="Times New Roman"/>
                <w:szCs w:val="24"/>
              </w:rPr>
            </w:pPr>
            <w:hyperlink r:id="rId36" w:history="1">
              <w:r w:rsidRPr="003D63B1" w:rsidR="00604367">
                <w:rPr>
                  <w:rFonts w:eastAsia="Times New Roman" w:cs="Times New Roman"/>
                  <w:color w:val="0000FF"/>
                  <w:szCs w:val="24"/>
                  <w:u w:val="single"/>
                </w:rPr>
                <w:t>haydenm@firstenergycorp.com</w:t>
              </w:r>
            </w:hyperlink>
            <w:r w:rsidRPr="003D63B1" w:rsidR="00604367">
              <w:rPr>
                <w:rFonts w:eastAsia="Times New Roman" w:cs="Times New Roman"/>
                <w:szCs w:val="24"/>
              </w:rPr>
              <w:t xml:space="preserve"> </w:t>
            </w:r>
          </w:p>
          <w:p w:rsidR="00A771B7" w:rsidRPr="003D63B1" w:rsidP="00A771B7" w14:paraId="6938A78B" w14:textId="77777777">
            <w:pPr>
              <w:adjustRightInd w:val="0"/>
              <w:spacing w:after="0" w:line="240" w:lineRule="auto"/>
              <w:rPr>
                <w:rFonts w:eastAsia="Times New Roman" w:cs="Times New Roman"/>
                <w:szCs w:val="24"/>
              </w:rPr>
            </w:pPr>
            <w:hyperlink r:id="rId37" w:history="1">
              <w:r w:rsidRPr="003D63B1" w:rsidR="00604367">
                <w:rPr>
                  <w:rFonts w:eastAsia="Times New Roman" w:cs="Times New Roman"/>
                  <w:color w:val="0000FF"/>
                  <w:szCs w:val="24"/>
                  <w:u w:val="single"/>
                </w:rPr>
                <w:t>mjsatterwhite@aep.com</w:t>
              </w:r>
            </w:hyperlink>
          </w:p>
          <w:p w:rsidR="00A771B7" w:rsidRPr="003D63B1" w:rsidP="00A771B7" w14:paraId="3D8063C0" w14:textId="77777777">
            <w:pPr>
              <w:adjustRightInd w:val="0"/>
              <w:spacing w:after="0" w:line="240" w:lineRule="auto"/>
              <w:rPr>
                <w:rFonts w:eastAsia="Times New Roman" w:cs="Times New Roman"/>
                <w:szCs w:val="24"/>
              </w:rPr>
            </w:pPr>
            <w:hyperlink r:id="rId38" w:history="1">
              <w:r w:rsidRPr="003D63B1" w:rsidR="00604367">
                <w:rPr>
                  <w:rFonts w:eastAsia="Times New Roman" w:cs="Times New Roman"/>
                  <w:color w:val="0000FF"/>
                  <w:szCs w:val="24"/>
                  <w:u w:val="single"/>
                </w:rPr>
                <w:t>stnourse@aep.com</w:t>
              </w:r>
            </w:hyperlink>
            <w:r w:rsidRPr="003D63B1" w:rsidR="00604367">
              <w:rPr>
                <w:rFonts w:eastAsia="Times New Roman" w:cs="Times New Roman"/>
                <w:szCs w:val="24"/>
              </w:rPr>
              <w:t xml:space="preserve"> </w:t>
            </w:r>
          </w:p>
          <w:p w:rsidR="00A771B7" w:rsidRPr="003D63B1" w:rsidP="00A771B7" w14:paraId="017F97F1" w14:textId="77777777">
            <w:pPr>
              <w:adjustRightInd w:val="0"/>
              <w:spacing w:after="0" w:line="240" w:lineRule="auto"/>
              <w:rPr>
                <w:rFonts w:eastAsia="Times New Roman" w:cs="Times New Roman"/>
                <w:color w:val="0000FF"/>
                <w:szCs w:val="24"/>
                <w:u w:val="single"/>
                <w:lang w:val="de-DE"/>
              </w:rPr>
            </w:pPr>
            <w:hyperlink r:id="rId39" w:history="1">
              <w:r w:rsidRPr="003D63B1" w:rsidR="00604367">
                <w:rPr>
                  <w:rFonts w:eastAsia="Times New Roman" w:cs="Times New Roman"/>
                  <w:color w:val="0000FF"/>
                  <w:szCs w:val="24"/>
                  <w:u w:val="single"/>
                  <w:lang w:val="de-DE"/>
                </w:rPr>
                <w:t>henryeckhart@aol.com</w:t>
              </w:r>
            </w:hyperlink>
          </w:p>
          <w:p w:rsidR="00A771B7" w:rsidRPr="003D63B1" w:rsidP="00A771B7" w14:paraId="16F4AE34" w14:textId="77777777">
            <w:pPr>
              <w:adjustRightInd w:val="0"/>
              <w:spacing w:after="0" w:line="240" w:lineRule="auto"/>
              <w:rPr>
                <w:rFonts w:eastAsia="Times New Roman" w:cs="Times New Roman"/>
                <w:szCs w:val="24"/>
                <w:lang w:val="de-DE"/>
              </w:rPr>
            </w:pPr>
            <w:r w:rsidRPr="003D63B1">
              <w:rPr>
                <w:rFonts w:eastAsia="Times New Roman" w:cs="Times New Roman"/>
                <w:color w:val="0000FF"/>
                <w:szCs w:val="24"/>
                <w:u w:val="single"/>
                <w:lang w:val="de-DE"/>
              </w:rPr>
              <w:t>michael.nugent@igs.com</w:t>
            </w:r>
          </w:p>
          <w:p w:rsidR="00A771B7" w:rsidRPr="003D63B1" w:rsidP="00A771B7" w14:paraId="43CBB677" w14:textId="77777777">
            <w:pPr>
              <w:spacing w:after="0" w:line="240" w:lineRule="auto"/>
              <w:rPr>
                <w:rFonts w:eastAsia="Times New Roman" w:cs="Times New Roman"/>
                <w:szCs w:val="24"/>
              </w:rPr>
            </w:pPr>
            <w:hyperlink r:id="rId40" w:history="1">
              <w:r w:rsidRPr="003D63B1" w:rsidR="00604367">
                <w:rPr>
                  <w:rFonts w:eastAsia="Times New Roman" w:cs="Times New Roman"/>
                  <w:color w:val="0000FF"/>
                  <w:szCs w:val="24"/>
                  <w:u w:val="single"/>
                </w:rPr>
                <w:t>dboehm@bkllawfirm.com</w:t>
              </w:r>
            </w:hyperlink>
          </w:p>
          <w:p w:rsidR="00A771B7" w:rsidRPr="003D63B1" w:rsidP="00A771B7" w14:paraId="7923D3B3" w14:textId="77777777">
            <w:pPr>
              <w:spacing w:after="0" w:line="240" w:lineRule="auto"/>
              <w:rPr>
                <w:rFonts w:eastAsia="Times New Roman" w:cs="Times New Roman"/>
                <w:szCs w:val="24"/>
              </w:rPr>
            </w:pPr>
            <w:hyperlink r:id="rId41" w:history="1">
              <w:r w:rsidRPr="003D63B1" w:rsidR="00604367">
                <w:rPr>
                  <w:rFonts w:eastAsia="Times New Roman" w:cs="Times New Roman"/>
                  <w:color w:val="0000FF"/>
                  <w:szCs w:val="24"/>
                  <w:u w:val="single"/>
                </w:rPr>
                <w:t>mkurtz@bkllawfirm.com</w:t>
              </w:r>
            </w:hyperlink>
          </w:p>
          <w:p w:rsidR="00A771B7" w:rsidRPr="003D63B1" w:rsidP="00A771B7" w14:paraId="6E7D61BA" w14:textId="77777777">
            <w:pPr>
              <w:spacing w:after="0" w:line="240" w:lineRule="auto"/>
              <w:rPr>
                <w:rFonts w:eastAsia="Times New Roman" w:cs="Times New Roman"/>
                <w:szCs w:val="24"/>
              </w:rPr>
            </w:pPr>
            <w:hyperlink r:id="rId42" w:history="1">
              <w:r w:rsidRPr="003D63B1" w:rsidR="00604367">
                <w:rPr>
                  <w:rFonts w:eastAsia="Times New Roman" w:cs="Times New Roman"/>
                  <w:color w:val="0000FF"/>
                  <w:szCs w:val="24"/>
                  <w:u w:val="single"/>
                </w:rPr>
                <w:t>jkylercohn@bkllawfirm.com</w:t>
              </w:r>
            </w:hyperlink>
            <w:r w:rsidRPr="003D63B1" w:rsidR="00604367">
              <w:rPr>
                <w:rFonts w:eastAsia="Times New Roman" w:cs="Times New Roman"/>
                <w:szCs w:val="24"/>
              </w:rPr>
              <w:t xml:space="preserve"> </w:t>
            </w:r>
          </w:p>
          <w:p w:rsidR="00A771B7" w:rsidRPr="003D63B1" w:rsidP="00A771B7" w14:paraId="5B1B0565" w14:textId="77777777">
            <w:pPr>
              <w:spacing w:after="0" w:line="240" w:lineRule="auto"/>
              <w:rPr>
                <w:rFonts w:eastAsia="Times New Roman" w:cs="Times New Roman"/>
                <w:color w:val="0000FF"/>
                <w:szCs w:val="24"/>
                <w:u w:val="single"/>
              </w:rPr>
            </w:pPr>
            <w:hyperlink r:id="rId43" w:history="1">
              <w:r w:rsidRPr="003D63B1" w:rsidR="00604367">
                <w:rPr>
                  <w:rFonts w:eastAsia="Times New Roman" w:cs="Times New Roman"/>
                  <w:color w:val="0000FF"/>
                  <w:szCs w:val="24"/>
                  <w:u w:val="single"/>
                </w:rPr>
                <w:t>Cynthia.brady@constellation.com</w:t>
              </w:r>
            </w:hyperlink>
          </w:p>
          <w:p w:rsidR="00A771B7" w:rsidRPr="003D63B1" w:rsidP="00A771B7" w14:paraId="36AAD207" w14:textId="77777777">
            <w:pPr>
              <w:spacing w:after="0" w:line="240" w:lineRule="auto"/>
              <w:rPr>
                <w:rFonts w:eastAsia="Times New Roman" w:cs="Times New Roman"/>
                <w:szCs w:val="24"/>
              </w:rPr>
            </w:pPr>
            <w:hyperlink r:id="rId44" w:history="1">
              <w:r w:rsidRPr="003D63B1" w:rsidR="00604367">
                <w:rPr>
                  <w:rFonts w:eastAsia="Times New Roman" w:cs="Times New Roman"/>
                  <w:color w:val="0000FF"/>
                  <w:szCs w:val="24"/>
                  <w:u w:val="single"/>
                </w:rPr>
                <w:t>David.fein@constellation.com</w:t>
              </w:r>
            </w:hyperlink>
          </w:p>
          <w:p w:rsidR="00A771B7" w:rsidRPr="003D63B1" w:rsidP="00A771B7" w14:paraId="52482451" w14:textId="77777777">
            <w:pPr>
              <w:adjustRightInd w:val="0"/>
              <w:spacing w:after="0" w:line="240" w:lineRule="auto"/>
              <w:rPr>
                <w:rFonts w:eastAsia="Times New Roman" w:cs="Times New Roman"/>
                <w:szCs w:val="24"/>
              </w:rPr>
            </w:pPr>
            <w:hyperlink r:id="rId45" w:history="1">
              <w:r w:rsidRPr="003D63B1" w:rsidR="00604367">
                <w:rPr>
                  <w:rFonts w:eastAsia="Times New Roman" w:cs="Times New Roman"/>
                  <w:color w:val="0000FF"/>
                  <w:szCs w:val="24"/>
                  <w:u w:val="single"/>
                </w:rPr>
                <w:t>njohnson@theoec.org</w:t>
              </w:r>
            </w:hyperlink>
            <w:r w:rsidRPr="003D63B1" w:rsidR="00604367">
              <w:rPr>
                <w:rFonts w:eastAsia="Times New Roman" w:cs="Times New Roman"/>
                <w:szCs w:val="24"/>
              </w:rPr>
              <w:t xml:space="preserve"> </w:t>
            </w:r>
          </w:p>
          <w:p w:rsidR="00A771B7" w:rsidRPr="003D63B1" w:rsidP="00A771B7" w14:paraId="34A62619" w14:textId="77777777">
            <w:pPr>
              <w:adjustRightInd w:val="0"/>
              <w:spacing w:after="0" w:line="240" w:lineRule="auto"/>
              <w:rPr>
                <w:rFonts w:eastAsia="Times New Roman" w:cs="Times New Roman"/>
                <w:szCs w:val="24"/>
              </w:rPr>
            </w:pPr>
            <w:hyperlink r:id="rId46" w:history="1">
              <w:r w:rsidRPr="003D63B1" w:rsidR="00604367">
                <w:rPr>
                  <w:rFonts w:eastAsia="Times New Roman" w:cs="Times New Roman"/>
                  <w:color w:val="0000FF"/>
                  <w:szCs w:val="24"/>
                  <w:u w:val="single"/>
                </w:rPr>
                <w:t>Williams.toddm@gmail.com</w:t>
              </w:r>
            </w:hyperlink>
          </w:p>
          <w:p w:rsidR="00A771B7" w:rsidRPr="003D63B1" w:rsidP="00A771B7" w14:paraId="65104B6C" w14:textId="77777777">
            <w:pPr>
              <w:adjustRightInd w:val="0"/>
              <w:spacing w:after="0" w:line="240" w:lineRule="auto"/>
              <w:rPr>
                <w:rFonts w:eastAsia="Times New Roman" w:cs="Times New Roman"/>
                <w:szCs w:val="24"/>
              </w:rPr>
            </w:pPr>
            <w:hyperlink r:id="rId47" w:history="1">
              <w:r w:rsidRPr="003D63B1" w:rsidR="00604367">
                <w:rPr>
                  <w:rFonts w:eastAsia="Times New Roman" w:cs="Times New Roman"/>
                  <w:color w:val="0000FF"/>
                  <w:szCs w:val="24"/>
                  <w:u w:val="single"/>
                </w:rPr>
                <w:t>ejacobs@ablelaw.org</w:t>
              </w:r>
            </w:hyperlink>
          </w:p>
          <w:p w:rsidR="00A771B7" w:rsidRPr="003D63B1" w:rsidP="00A771B7" w14:paraId="3D2A4CDF" w14:textId="77777777">
            <w:pPr>
              <w:adjustRightInd w:val="0"/>
              <w:spacing w:after="0" w:line="240" w:lineRule="auto"/>
              <w:rPr>
                <w:rFonts w:eastAsia="Times New Roman" w:cs="Times New Roman"/>
                <w:color w:val="0000FF"/>
                <w:szCs w:val="24"/>
                <w:u w:val="single"/>
              </w:rPr>
            </w:pPr>
            <w:hyperlink r:id="rId48" w:history="1">
              <w:r w:rsidRPr="003D63B1" w:rsidR="00604367">
                <w:rPr>
                  <w:rFonts w:eastAsia="Times New Roman" w:cs="Times New Roman"/>
                  <w:color w:val="0000FF"/>
                  <w:szCs w:val="24"/>
                  <w:u w:val="single"/>
                </w:rPr>
                <w:t>stephen.chriss@wal-mart.com</w:t>
              </w:r>
            </w:hyperlink>
          </w:p>
          <w:p w:rsidR="00A771B7" w:rsidRPr="003D63B1" w:rsidP="00A771B7" w14:paraId="1AD3CA4D" w14:textId="77777777">
            <w:pPr>
              <w:adjustRightInd w:val="0"/>
              <w:spacing w:after="0" w:line="240" w:lineRule="auto"/>
              <w:rPr>
                <w:rFonts w:eastAsia="Times New Roman" w:cs="Times New Roman"/>
                <w:color w:val="0563C2"/>
                <w:szCs w:val="24"/>
              </w:rPr>
            </w:pPr>
            <w:hyperlink r:id="rId49" w:history="1">
              <w:r w:rsidRPr="003D63B1" w:rsidR="00604367">
                <w:rPr>
                  <w:rFonts w:eastAsia="Times New Roman" w:cs="Times New Roman"/>
                  <w:color w:val="0000FF"/>
                  <w:szCs w:val="24"/>
                  <w:u w:val="single"/>
                </w:rPr>
                <w:t>rdove@keglerbrown.com</w:t>
              </w:r>
            </w:hyperlink>
          </w:p>
          <w:p w:rsidR="00A771B7" w:rsidRPr="003D63B1" w:rsidP="00A771B7" w14:paraId="4A04A3CB" w14:textId="77777777">
            <w:pPr>
              <w:adjustRightInd w:val="0"/>
              <w:spacing w:after="0" w:line="240" w:lineRule="auto"/>
              <w:rPr>
                <w:rFonts w:eastAsia="Times New Roman" w:cs="Times New Roman"/>
                <w:szCs w:val="24"/>
              </w:rPr>
            </w:pPr>
            <w:hyperlink r:id="rId50" w:history="1">
              <w:r w:rsidRPr="003D63B1" w:rsidR="00604367">
                <w:rPr>
                  <w:rFonts w:eastAsia="Times New Roman" w:cs="Times New Roman"/>
                  <w:color w:val="0000FF"/>
                  <w:szCs w:val="24"/>
                  <w:u w:val="single"/>
                </w:rPr>
                <w:t>fykes@whitt-sturtevant.com</w:t>
              </w:r>
            </w:hyperlink>
            <w:r w:rsidRPr="003D63B1" w:rsidR="00604367">
              <w:rPr>
                <w:rFonts w:eastAsia="Times New Roman" w:cs="Times New Roman"/>
                <w:szCs w:val="24"/>
              </w:rPr>
              <w:t xml:space="preserve"> </w:t>
            </w:r>
          </w:p>
          <w:p w:rsidR="00A771B7" w:rsidRPr="003D63B1" w:rsidP="00A771B7" w14:paraId="2F0C88F3" w14:textId="77777777">
            <w:pPr>
              <w:adjustRightInd w:val="0"/>
              <w:spacing w:after="0" w:line="240" w:lineRule="auto"/>
              <w:rPr>
                <w:rFonts w:eastAsia="Times New Roman" w:cs="Times New Roman"/>
                <w:color w:val="0000FF"/>
                <w:szCs w:val="24"/>
                <w:u w:val="single"/>
              </w:rPr>
            </w:pPr>
            <w:hyperlink r:id="rId51" w:history="1">
              <w:r w:rsidRPr="003D63B1" w:rsidR="00604367">
                <w:rPr>
                  <w:rFonts w:eastAsia="Times New Roman" w:cs="Times New Roman"/>
                  <w:color w:val="0000FF"/>
                  <w:szCs w:val="24"/>
                  <w:u w:val="single"/>
                </w:rPr>
                <w:t>whitt@whitt-sturtevant.com</w:t>
              </w:r>
            </w:hyperlink>
          </w:p>
          <w:p w:rsidR="00A771B7" w:rsidRPr="003D63B1" w:rsidP="00A771B7" w14:paraId="0EEEA2D4" w14:textId="77777777">
            <w:pPr>
              <w:adjustRightInd w:val="0"/>
              <w:spacing w:after="0" w:line="240" w:lineRule="auto"/>
              <w:rPr>
                <w:rFonts w:eastAsia="Times New Roman" w:cs="Times New Roman"/>
                <w:color w:val="0000FF"/>
                <w:szCs w:val="24"/>
                <w:u w:val="single"/>
              </w:rPr>
            </w:pPr>
            <w:hyperlink r:id="rId52" w:history="1">
              <w:r w:rsidRPr="003D63B1" w:rsidR="00604367">
                <w:rPr>
                  <w:rFonts w:eastAsia="Times New Roman" w:cs="Times New Roman"/>
                  <w:color w:val="0000FF"/>
                  <w:szCs w:val="24"/>
                  <w:u w:val="single"/>
                </w:rPr>
                <w:t>mpritchard@mcneeslaw.com</w:t>
              </w:r>
            </w:hyperlink>
          </w:p>
          <w:p w:rsidR="00A771B7" w:rsidRPr="003D63B1" w:rsidP="00A771B7" w14:paraId="73E95C9B" w14:textId="77777777">
            <w:pPr>
              <w:adjustRightInd w:val="0"/>
              <w:spacing w:after="0" w:line="240" w:lineRule="auto"/>
              <w:rPr>
                <w:rFonts w:eastAsia="Times New Roman" w:cs="Times New Roman"/>
                <w:color w:val="0000FF"/>
                <w:szCs w:val="24"/>
                <w:u w:val="single"/>
              </w:rPr>
            </w:pPr>
            <w:hyperlink r:id="rId53" w:history="1">
              <w:r w:rsidRPr="003D63B1" w:rsidR="00604367">
                <w:rPr>
                  <w:rFonts w:eastAsia="Times New Roman" w:cs="Times New Roman"/>
                  <w:color w:val="0000FF"/>
                  <w:szCs w:val="24"/>
                  <w:u w:val="single"/>
                </w:rPr>
                <w:t>evan.betterton@igs.com</w:t>
              </w:r>
            </w:hyperlink>
          </w:p>
          <w:p w:rsidR="00A771B7" w:rsidRPr="003D63B1" w:rsidP="00A771B7" w14:paraId="5A928BFC" w14:textId="77777777">
            <w:pPr>
              <w:adjustRightInd w:val="0"/>
              <w:spacing w:after="0" w:line="240" w:lineRule="auto"/>
              <w:rPr>
                <w:rFonts w:eastAsia="Times New Roman" w:cs="Times New Roman"/>
                <w:color w:val="0000FF"/>
                <w:szCs w:val="24"/>
                <w:u w:val="single"/>
              </w:rPr>
            </w:pPr>
            <w:hyperlink r:id="rId54" w:history="1">
              <w:r w:rsidRPr="003D63B1" w:rsidR="00604367">
                <w:rPr>
                  <w:rFonts w:eastAsia="Times New Roman" w:cs="Times New Roman"/>
                  <w:color w:val="0000FF"/>
                  <w:szCs w:val="24"/>
                  <w:u w:val="single"/>
                </w:rPr>
                <w:t>michael.nugent@igs.com</w:t>
              </w:r>
            </w:hyperlink>
          </w:p>
          <w:p w:rsidR="00A771B7" w:rsidRPr="003D63B1" w:rsidP="00A771B7" w14:paraId="43112F1E" w14:textId="77777777">
            <w:pPr>
              <w:adjustRightInd w:val="0"/>
              <w:spacing w:after="0" w:line="240" w:lineRule="auto"/>
              <w:rPr>
                <w:rFonts w:eastAsia="Times New Roman" w:cs="Times New Roman"/>
                <w:color w:val="0000FF"/>
                <w:szCs w:val="24"/>
                <w:u w:val="single"/>
              </w:rPr>
            </w:pPr>
            <w:hyperlink r:id="rId55" w:history="1">
              <w:r w:rsidRPr="003D63B1" w:rsidR="00604367">
                <w:rPr>
                  <w:rFonts w:eastAsia="Times New Roman" w:cs="Times New Roman"/>
                  <w:color w:val="0000FF"/>
                  <w:szCs w:val="24"/>
                  <w:u w:val="single"/>
                </w:rPr>
                <w:t>ctavenor@theOEC.org</w:t>
              </w:r>
            </w:hyperlink>
          </w:p>
          <w:p w:rsidR="00A771B7" w:rsidRPr="003D63B1" w:rsidP="00A771B7" w14:paraId="0549734F" w14:textId="77777777">
            <w:pPr>
              <w:adjustRightInd w:val="0"/>
              <w:spacing w:after="0" w:line="240" w:lineRule="auto"/>
              <w:rPr>
                <w:rFonts w:eastAsia="Times New Roman" w:cs="Times New Roman"/>
                <w:color w:val="0000FF"/>
                <w:szCs w:val="24"/>
                <w:u w:val="single"/>
              </w:rPr>
            </w:pPr>
            <w:r w:rsidRPr="003D63B1">
              <w:rPr>
                <w:rFonts w:eastAsia="Times New Roman" w:cs="Times New Roman"/>
                <w:color w:val="0000FF"/>
                <w:szCs w:val="24"/>
                <w:u w:val="single"/>
              </w:rPr>
              <w:t>khehmeyer@beneschlaw.com</w:t>
            </w:r>
          </w:p>
          <w:p w:rsidR="00A771B7" w:rsidRPr="003D63B1" w:rsidP="00A771B7" w14:paraId="6DD95645" w14:textId="77777777">
            <w:pPr>
              <w:adjustRightInd w:val="0"/>
              <w:spacing w:after="0" w:line="240" w:lineRule="auto"/>
              <w:rPr>
                <w:rFonts w:eastAsia="Times New Roman" w:cs="Times New Roman"/>
                <w:color w:val="0000FF"/>
                <w:szCs w:val="24"/>
                <w:u w:val="single"/>
              </w:rPr>
            </w:pPr>
          </w:p>
          <w:p w:rsidR="00A771B7" w:rsidRPr="003D63B1" w:rsidP="00A771B7" w14:paraId="45CF743A" w14:textId="77777777">
            <w:pPr>
              <w:adjustRightInd w:val="0"/>
              <w:spacing w:after="0" w:line="240" w:lineRule="auto"/>
              <w:rPr>
                <w:rFonts w:eastAsia="Times New Roman" w:cs="Times New Roman"/>
                <w:szCs w:val="24"/>
              </w:rPr>
            </w:pPr>
          </w:p>
        </w:tc>
      </w:tr>
    </w:tbl>
    <w:p w:rsidR="002B4F91" w:rsidRPr="003D63B1" w14:paraId="45BCECD8" w14:textId="77777777">
      <w:pPr>
        <w:rPr>
          <w:rFonts w:cs="Times New Roman"/>
          <w:szCs w:val="24"/>
        </w:rPr>
      </w:pPr>
    </w:p>
    <w:sectPr>
      <w:headerReference w:type="default" r:id="rId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71D" w14:paraId="162DADAA"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8904879"/>
      <w:docPartObj>
        <w:docPartGallery w:val="Page Numbers (Bottom of Page)"/>
        <w:docPartUnique/>
      </w:docPartObj>
    </w:sdtPr>
    <w:sdtEndPr>
      <w:rPr>
        <w:noProof/>
      </w:rPr>
    </w:sdtEndPr>
    <w:sdtContent>
      <w:p w:rsidR="0098571D" w14:paraId="064888A2" w14:textId="70990B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6490731"/>
      <w:docPartObj>
        <w:docPartGallery w:val="Page Numbers (Bottom of Page)"/>
        <w:docPartUnique/>
      </w:docPartObj>
    </w:sdtPr>
    <w:sdtEndPr>
      <w:rPr>
        <w:noProof/>
      </w:rPr>
    </w:sdtEndPr>
    <w:sdtContent>
      <w:p w:rsidR="0098571D" w14:paraId="204D20A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4040B" w14:paraId="36B7FA96" w14:textId="77777777">
      <w:pPr>
        <w:spacing w:after="0" w:line="240" w:lineRule="auto"/>
      </w:pPr>
      <w:r>
        <w:separator/>
      </w:r>
    </w:p>
  </w:footnote>
  <w:footnote w:type="continuationSeparator" w:id="1">
    <w:p w:rsidR="00E4040B" w14:paraId="06553214" w14:textId="77777777">
      <w:pPr>
        <w:spacing w:after="0" w:line="240" w:lineRule="auto"/>
      </w:pPr>
      <w:r>
        <w:continuationSeparator/>
      </w:r>
    </w:p>
  </w:footnote>
  <w:footnote w:id="2">
    <w:p w:rsidR="0098571D" w:rsidRPr="00F3328B" w:rsidP="001C4DF0" w14:paraId="26AD373C" w14:textId="62AA9AA2">
      <w:pPr>
        <w:pStyle w:val="FootnoteText"/>
        <w:spacing w:after="120"/>
        <w:rPr>
          <w:rFonts w:ascii="Times New Roman" w:hAnsi="Times New Roman"/>
          <w:spacing w:val="0"/>
        </w:rPr>
      </w:pPr>
      <w:r w:rsidRPr="00F3328B">
        <w:rPr>
          <w:rStyle w:val="FootnoteReference"/>
          <w:rFonts w:ascii="Times New Roman" w:hAnsi="Times New Roman"/>
          <w:spacing w:val="0"/>
        </w:rPr>
        <w:footnoteRef/>
      </w:r>
      <w:r w:rsidRPr="00F3328B">
        <w:rPr>
          <w:rFonts w:ascii="Times New Roman" w:hAnsi="Times New Roman"/>
          <w:spacing w:val="0"/>
        </w:rPr>
        <w:t xml:space="preserve"> Refundability had become a very public consumer issue. Th</w:t>
      </w:r>
      <w:r w:rsidRPr="00F3328B" w:rsidR="004066FB">
        <w:rPr>
          <w:rFonts w:ascii="Times New Roman" w:hAnsi="Times New Roman"/>
          <w:spacing w:val="0"/>
        </w:rPr>
        <w:t xml:space="preserve">e topical nature of utility refunds was reflected during </w:t>
      </w:r>
      <w:r w:rsidRPr="00F3328B">
        <w:rPr>
          <w:rFonts w:ascii="Times New Roman" w:hAnsi="Times New Roman"/>
          <w:spacing w:val="0"/>
        </w:rPr>
        <w:t>the Ohio Senate’s confirmation hearing for PUCO Chair French.</w:t>
      </w:r>
    </w:p>
  </w:footnote>
  <w:footnote w:id="3">
    <w:p w:rsidR="0098571D" w:rsidRPr="00F3328B" w:rsidP="001C4DF0" w14:paraId="2435FB18" w14:textId="7E6CCD00">
      <w:pPr>
        <w:pStyle w:val="FootnoteText"/>
        <w:spacing w:after="120"/>
        <w:rPr>
          <w:rFonts w:ascii="Times New Roman" w:hAnsi="Times New Roman"/>
          <w:spacing w:val="0"/>
        </w:rPr>
      </w:pPr>
      <w:r w:rsidRPr="00F3328B">
        <w:rPr>
          <w:rStyle w:val="FootnoteReference"/>
          <w:rFonts w:ascii="Times New Roman" w:hAnsi="Times New Roman"/>
          <w:spacing w:val="0"/>
        </w:rPr>
        <w:footnoteRef/>
      </w:r>
      <w:r w:rsidRPr="00F3328B">
        <w:rPr>
          <w:rFonts w:ascii="Times New Roman" w:hAnsi="Times New Roman"/>
          <w:spacing w:val="0"/>
        </w:rPr>
        <w:t xml:space="preserve"> </w:t>
      </w:r>
      <w:r w:rsidRPr="00F3328B">
        <w:rPr>
          <w:rFonts w:ascii="Times New Roman" w:hAnsi="Times New Roman"/>
          <w:i/>
          <w:iCs/>
          <w:spacing w:val="0"/>
        </w:rPr>
        <w:t>In the Matter of the Application of the Dayton Power and Light Company to Establish a Standard Service Offer in the Form of an Electric Security Plan</w:t>
      </w:r>
      <w:r w:rsidRPr="00F3328B">
        <w:rPr>
          <w:rFonts w:ascii="Times New Roman" w:hAnsi="Times New Roman"/>
          <w:spacing w:val="0"/>
        </w:rPr>
        <w:t xml:space="preserve">, Case No. 08-1094-EL-SSO, Fifth Entry on Rehearing at ¶64 (June 16, 2021). </w:t>
      </w:r>
    </w:p>
  </w:footnote>
  <w:footnote w:id="4">
    <w:p w:rsidR="00AD474F" w:rsidRPr="00F3328B" w:rsidP="001C4DF0" w14:paraId="0E92E32E" w14:textId="61C046DE">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iCs/>
        </w:rPr>
        <w:t>Id.</w:t>
      </w:r>
      <w:r w:rsidRPr="00F3328B">
        <w:rPr>
          <w:rFonts w:ascii="Times New Roman" w:hAnsi="Times New Roman"/>
        </w:rPr>
        <w:t>, Eighth Entry on Rehearing at ¶24</w:t>
      </w:r>
      <w:r w:rsidRPr="00F3328B" w:rsidR="00BB3DB3">
        <w:rPr>
          <w:rFonts w:ascii="Times New Roman" w:hAnsi="Times New Roman"/>
        </w:rPr>
        <w:t xml:space="preserve">; </w:t>
      </w:r>
      <w:r w:rsidRPr="00F3328B" w:rsidR="000B6C85">
        <w:rPr>
          <w:rFonts w:ascii="Times New Roman" w:hAnsi="Times New Roman"/>
        </w:rPr>
        <w:t xml:space="preserve">25 </w:t>
      </w:r>
      <w:r w:rsidRPr="00F3328B" w:rsidR="00BB3DB3">
        <w:rPr>
          <w:rFonts w:ascii="Times New Roman" w:hAnsi="Times New Roman"/>
        </w:rPr>
        <w:t>“AES Ohio did mistakenly fail to timely file final tariffs in response to the approval of the proposed tariffs in the Sixth Entry on Rehearing dated August 11, 2021.”</w:t>
      </w:r>
      <w:r w:rsidRPr="00F3328B">
        <w:rPr>
          <w:rFonts w:ascii="Times New Roman" w:hAnsi="Times New Roman"/>
        </w:rPr>
        <w:t xml:space="preserve"> (Aug</w:t>
      </w:r>
      <w:r w:rsidR="00DB454D">
        <w:rPr>
          <w:rFonts w:ascii="Times New Roman" w:hAnsi="Times New Roman"/>
        </w:rPr>
        <w:t xml:space="preserve">. </w:t>
      </w:r>
      <w:r w:rsidRPr="00F3328B">
        <w:rPr>
          <w:rFonts w:ascii="Times New Roman" w:hAnsi="Times New Roman"/>
        </w:rPr>
        <w:t>10, 2022).</w:t>
      </w:r>
      <w:r w:rsidRPr="00F3328B" w:rsidR="00A956D0">
        <w:rPr>
          <w:rFonts w:ascii="Times New Roman" w:hAnsi="Times New Roman"/>
        </w:rPr>
        <w:t xml:space="preserve"> </w:t>
      </w:r>
    </w:p>
  </w:footnote>
  <w:footnote w:id="5">
    <w:p w:rsidR="002C174C" w:rsidRPr="00F3328B" w:rsidP="001C4DF0" w14:paraId="4427613A" w14:textId="43B66927">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Ninth Entry on Rehearing</w:t>
      </w:r>
      <w:r w:rsidRPr="00F3328B" w:rsidR="00F95537">
        <w:rPr>
          <w:rFonts w:ascii="Times New Roman" w:hAnsi="Times New Roman"/>
        </w:rPr>
        <w:t xml:space="preserve"> at</w:t>
      </w:r>
      <w:r w:rsidRPr="00F3328B">
        <w:rPr>
          <w:rFonts w:ascii="Times New Roman" w:hAnsi="Times New Roman"/>
        </w:rPr>
        <w:t xml:space="preserve"> ¶32</w:t>
      </w:r>
      <w:r w:rsidRPr="00F3328B" w:rsidR="00F95537">
        <w:rPr>
          <w:rFonts w:ascii="Times New Roman" w:hAnsi="Times New Roman"/>
        </w:rPr>
        <w:t xml:space="preserve"> (Oct</w:t>
      </w:r>
      <w:r w:rsidR="00DB454D">
        <w:rPr>
          <w:rFonts w:ascii="Times New Roman" w:hAnsi="Times New Roman"/>
        </w:rPr>
        <w:t>.</w:t>
      </w:r>
      <w:r w:rsidRPr="00F3328B" w:rsidR="00F95537">
        <w:rPr>
          <w:rFonts w:ascii="Times New Roman" w:hAnsi="Times New Roman"/>
        </w:rPr>
        <w:t xml:space="preserve"> 5, 2022)</w:t>
      </w:r>
      <w:r w:rsidRPr="00F3328B">
        <w:rPr>
          <w:rFonts w:ascii="Times New Roman" w:hAnsi="Times New Roman"/>
        </w:rPr>
        <w:t xml:space="preserve">. </w:t>
      </w:r>
    </w:p>
  </w:footnote>
  <w:footnote w:id="6">
    <w:p w:rsidR="004767F8" w:rsidRPr="00F3328B" w:rsidP="001C4DF0" w14:paraId="7CC19CB6" w14:textId="3A58A299">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iCs/>
        </w:rPr>
        <w:t xml:space="preserve">See, e.g., </w:t>
      </w:r>
      <w:r w:rsidRPr="00F3328B">
        <w:rPr>
          <w:rFonts w:ascii="Times New Roman" w:hAnsi="Times New Roman"/>
        </w:rPr>
        <w:t>OCC’s Application for Rehearing (Sept</w:t>
      </w:r>
      <w:r w:rsidR="00DB454D">
        <w:rPr>
          <w:rFonts w:ascii="Times New Roman" w:hAnsi="Times New Roman"/>
        </w:rPr>
        <w:t>.</w:t>
      </w:r>
      <w:r w:rsidRPr="00F3328B">
        <w:rPr>
          <w:rFonts w:ascii="Times New Roman" w:hAnsi="Times New Roman"/>
        </w:rPr>
        <w:t xml:space="preserve"> 9, 2022).</w:t>
      </w:r>
    </w:p>
  </w:footnote>
  <w:footnote w:id="7">
    <w:p w:rsidR="0010447A" w:rsidRPr="00F3328B" w:rsidP="001C4DF0" w14:paraId="5AF66E47" w14:textId="4E4E6A7A">
      <w:pPr>
        <w:pStyle w:val="FootnoteText"/>
        <w:spacing w:after="120"/>
        <w:rPr>
          <w:rFonts w:ascii="Times New Roman" w:hAnsi="Times New Roman"/>
        </w:rPr>
      </w:pPr>
      <w:r w:rsidRPr="00F3328B">
        <w:rPr>
          <w:rStyle w:val="FootnoteReference"/>
          <w:rFonts w:ascii="Times New Roman" w:hAnsi="Times New Roman"/>
          <w:szCs w:val="24"/>
        </w:rPr>
        <w:footnoteRef/>
      </w:r>
      <w:r w:rsidR="00F3328B">
        <w:rPr>
          <w:rFonts w:ascii="Times New Roman" w:hAnsi="Times New Roman"/>
        </w:rPr>
        <w:t xml:space="preserve"> </w:t>
      </w:r>
      <w:r w:rsidRPr="00F3328B">
        <w:rPr>
          <w:rFonts w:ascii="Times New Roman" w:hAnsi="Times New Roman"/>
        </w:rPr>
        <w:t>Ninth Entry on Rehearing at ¶3</w:t>
      </w:r>
      <w:r w:rsidRPr="00F3328B" w:rsidR="00B5467E">
        <w:rPr>
          <w:rFonts w:ascii="Times New Roman" w:hAnsi="Times New Roman"/>
        </w:rPr>
        <w:t>2 (</w:t>
      </w:r>
      <w:r w:rsidRPr="00F3328B">
        <w:rPr>
          <w:rFonts w:ascii="Times New Roman" w:hAnsi="Times New Roman"/>
        </w:rPr>
        <w:t>Oct</w:t>
      </w:r>
      <w:r w:rsidR="00DB454D">
        <w:rPr>
          <w:rFonts w:ascii="Times New Roman" w:hAnsi="Times New Roman"/>
        </w:rPr>
        <w:t>.</w:t>
      </w:r>
      <w:r w:rsidRPr="00F3328B">
        <w:rPr>
          <w:rFonts w:ascii="Times New Roman" w:hAnsi="Times New Roman"/>
        </w:rPr>
        <w:t xml:space="preserve"> 5, 2022). </w:t>
      </w:r>
    </w:p>
  </w:footnote>
  <w:footnote w:id="8">
    <w:p w:rsidR="00567AEE" w:rsidRPr="00F3328B" w:rsidP="001C4DF0" w14:paraId="1BB83EB6" w14:textId="77777777">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iCs/>
        </w:rPr>
        <w:t xml:space="preserve">Id. </w:t>
      </w:r>
      <w:r w:rsidRPr="00F3328B">
        <w:rPr>
          <w:rFonts w:ascii="Times New Roman" w:hAnsi="Times New Roman"/>
        </w:rPr>
        <w:t>at ¶36-39.</w:t>
      </w:r>
    </w:p>
  </w:footnote>
  <w:footnote w:id="9">
    <w:p w:rsidR="0038221E" w:rsidRPr="00F3328B" w:rsidP="001C4DF0" w14:paraId="56FE3E8A" w14:textId="161A3A86">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OCC’s Application for Rehearing </w:t>
      </w:r>
      <w:r w:rsidRPr="00F3328B" w:rsidR="00B5467E">
        <w:rPr>
          <w:rFonts w:ascii="Times New Roman" w:hAnsi="Times New Roman"/>
        </w:rPr>
        <w:t xml:space="preserve">at 9-13 </w:t>
      </w:r>
      <w:r w:rsidRPr="00F3328B">
        <w:rPr>
          <w:rFonts w:ascii="Times New Roman" w:hAnsi="Times New Roman"/>
        </w:rPr>
        <w:t>(</w:t>
      </w:r>
      <w:r w:rsidRPr="00F3328B" w:rsidR="00405497">
        <w:rPr>
          <w:rFonts w:ascii="Times New Roman" w:hAnsi="Times New Roman"/>
        </w:rPr>
        <w:t>Sep</w:t>
      </w:r>
      <w:r w:rsidRPr="00F3328B" w:rsidR="00B5467E">
        <w:rPr>
          <w:rFonts w:ascii="Times New Roman" w:hAnsi="Times New Roman"/>
        </w:rPr>
        <w:t>t</w:t>
      </w:r>
      <w:r w:rsidR="00DB454D">
        <w:rPr>
          <w:rFonts w:ascii="Times New Roman" w:hAnsi="Times New Roman"/>
        </w:rPr>
        <w:t>.</w:t>
      </w:r>
      <w:r w:rsidRPr="00F3328B" w:rsidR="00405497">
        <w:rPr>
          <w:rFonts w:ascii="Times New Roman" w:hAnsi="Times New Roman"/>
        </w:rPr>
        <w:t xml:space="preserve"> 9</w:t>
      </w:r>
      <w:r w:rsidRPr="00F3328B">
        <w:rPr>
          <w:rFonts w:ascii="Times New Roman" w:hAnsi="Times New Roman"/>
        </w:rPr>
        <w:t>, 2022).</w:t>
      </w:r>
    </w:p>
  </w:footnote>
  <w:footnote w:id="10">
    <w:p w:rsidR="0038221E" w:rsidRPr="00F3328B" w:rsidP="001C4DF0" w14:paraId="72B21743" w14:textId="74A3765F">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sidR="00405497">
        <w:rPr>
          <w:rFonts w:ascii="Times New Roman" w:hAnsi="Times New Roman"/>
        </w:rPr>
        <w:t>Ninth</w:t>
      </w:r>
      <w:r w:rsidRPr="00F3328B">
        <w:rPr>
          <w:rFonts w:ascii="Times New Roman" w:hAnsi="Times New Roman"/>
        </w:rPr>
        <w:t xml:space="preserve"> Entry on Rehearing at </w:t>
      </w:r>
      <w:r w:rsidRPr="00F3328B" w:rsidR="001D02ED">
        <w:rPr>
          <w:rFonts w:ascii="Times New Roman" w:hAnsi="Times New Roman"/>
        </w:rPr>
        <w:t>¶</w:t>
      </w:r>
      <w:r w:rsidRPr="00F3328B" w:rsidR="00405497">
        <w:rPr>
          <w:rFonts w:ascii="Times New Roman" w:hAnsi="Times New Roman"/>
        </w:rPr>
        <w:t>32</w:t>
      </w:r>
      <w:r w:rsidRPr="00F3328B" w:rsidR="00B5467E">
        <w:rPr>
          <w:rFonts w:ascii="Times New Roman" w:hAnsi="Times New Roman"/>
        </w:rPr>
        <w:t xml:space="preserve"> (Oct</w:t>
      </w:r>
      <w:r w:rsidR="00DB454D">
        <w:rPr>
          <w:rFonts w:ascii="Times New Roman" w:hAnsi="Times New Roman"/>
        </w:rPr>
        <w:t>.</w:t>
      </w:r>
      <w:r w:rsidRPr="00F3328B" w:rsidR="00B5467E">
        <w:rPr>
          <w:rFonts w:ascii="Times New Roman" w:hAnsi="Times New Roman"/>
        </w:rPr>
        <w:t xml:space="preserve"> 5, 2022)</w:t>
      </w:r>
      <w:r w:rsidRPr="00F3328B">
        <w:rPr>
          <w:rFonts w:ascii="Times New Roman" w:hAnsi="Times New Roman"/>
        </w:rPr>
        <w:t>.</w:t>
      </w:r>
    </w:p>
  </w:footnote>
  <w:footnote w:id="11">
    <w:p w:rsidR="0043073F" w:rsidRPr="00F3328B" w:rsidP="001C4DF0" w14:paraId="314FAB94" w14:textId="228B8814">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rPr>
        <w:t>State ex rel. Beacon Journal Co. v. Donaldson</w:t>
      </w:r>
      <w:r w:rsidRPr="00F3328B">
        <w:rPr>
          <w:rFonts w:ascii="Times New Roman" w:hAnsi="Times New Roman"/>
        </w:rPr>
        <w:t>, 63 Ohio St.3d 173, 175, 586 N.E.2d 101 (1992) (finding that an order closing the courtroom during one phase of a criminal proceeding could be ruled upon after the closure expired and after the trial court amended its closure rules).</w:t>
      </w:r>
    </w:p>
  </w:footnote>
  <w:footnote w:id="12">
    <w:p w:rsidR="0043073F" w:rsidRPr="00F3328B" w:rsidP="001C4DF0" w14:paraId="1400CAAA" w14:textId="6B3161C1">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rPr>
        <w:t>See</w:t>
      </w:r>
      <w:r w:rsidRPr="00F3328B">
        <w:rPr>
          <w:rFonts w:ascii="Times New Roman" w:hAnsi="Times New Roman"/>
        </w:rPr>
        <w:t xml:space="preserve"> </w:t>
      </w:r>
      <w:r w:rsidRPr="00F3328B">
        <w:rPr>
          <w:rFonts w:ascii="Times New Roman" w:hAnsi="Times New Roman"/>
          <w:i/>
        </w:rPr>
        <w:t xml:space="preserve">Southern Pacific Terminal Co. v. Interstate Commerce Com., </w:t>
      </w:r>
      <w:r w:rsidRPr="00F3328B">
        <w:rPr>
          <w:rFonts w:ascii="Times New Roman" w:hAnsi="Times New Roman"/>
        </w:rPr>
        <w:t>219 U.S. 498, 515-16, 31 S.Ct. 279, 55 L.Ed. 310 (1911) (an order of Interstate Commerce Commission (“ICC”) that was being appealed expired, but the Court did not dismiss as moot, finding the ICC order may be the basis of further proceedings).</w:t>
      </w:r>
    </w:p>
  </w:footnote>
  <w:footnote w:id="13">
    <w:p w:rsidR="0043073F" w:rsidRPr="00F3328B" w:rsidP="001C4DF0" w14:paraId="15C8542E" w14:textId="4623561C">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rPr>
        <w:t xml:space="preserve">State ex rel. Beacon Journal Co. </w:t>
      </w:r>
      <w:r w:rsidRPr="00F3328B">
        <w:rPr>
          <w:rFonts w:ascii="Times New Roman" w:hAnsi="Times New Roman"/>
        </w:rPr>
        <w:t xml:space="preserve">at 75 (citing </w:t>
      </w:r>
      <w:r w:rsidRPr="00F3328B">
        <w:rPr>
          <w:rFonts w:ascii="Times New Roman" w:hAnsi="Times New Roman"/>
          <w:i/>
        </w:rPr>
        <w:t>Weinstein v. Bradford</w:t>
      </w:r>
      <w:r w:rsidRPr="00F3328B">
        <w:rPr>
          <w:rFonts w:ascii="Times New Roman" w:hAnsi="Times New Roman"/>
        </w:rPr>
        <w:t xml:space="preserve">, </w:t>
      </w:r>
      <w:r w:rsidRPr="00F3328B" w:rsidR="00DB454D">
        <w:rPr>
          <w:rFonts w:ascii="Times New Roman" w:hAnsi="Times New Roman"/>
        </w:rPr>
        <w:t>(1975)</w:t>
      </w:r>
      <w:r w:rsidR="00DB454D">
        <w:rPr>
          <w:rFonts w:ascii="Times New Roman" w:hAnsi="Times New Roman"/>
        </w:rPr>
        <w:t xml:space="preserve">, </w:t>
      </w:r>
      <w:r w:rsidRPr="00F3328B">
        <w:rPr>
          <w:rFonts w:ascii="Times New Roman" w:hAnsi="Times New Roman"/>
        </w:rPr>
        <w:t>423 U.S. 147, 149, 96 S.Ct. 347, 46 L.Ed.2d 350</w:t>
      </w:r>
      <w:r w:rsidR="00DB454D">
        <w:rPr>
          <w:rFonts w:ascii="Times New Roman" w:hAnsi="Times New Roman"/>
        </w:rPr>
        <w:t>.</w:t>
      </w:r>
      <w:r w:rsidRPr="00F3328B">
        <w:rPr>
          <w:rFonts w:ascii="Times New Roman" w:hAnsi="Times New Roman"/>
        </w:rPr>
        <w:t xml:space="preserve"> </w:t>
      </w:r>
    </w:p>
  </w:footnote>
  <w:footnote w:id="14">
    <w:p w:rsidR="0043073F" w:rsidRPr="00F3328B" w:rsidP="001C4DF0" w14:paraId="58C3D2C6" w14:textId="5A0D7BF7">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Case No. 22-0900-EL-SSO</w:t>
      </w:r>
      <w:r w:rsidRPr="00F3328B" w:rsidR="008C7443">
        <w:rPr>
          <w:rFonts w:ascii="Times New Roman" w:hAnsi="Times New Roman"/>
        </w:rPr>
        <w:t xml:space="preserve">, Motion of the Dayton Power and Light Company to </w:t>
      </w:r>
      <w:r w:rsidRPr="00F3328B" w:rsidR="004A6827">
        <w:rPr>
          <w:rFonts w:ascii="Times New Roman" w:hAnsi="Times New Roman"/>
        </w:rPr>
        <w:t>Expedite</w:t>
      </w:r>
      <w:r w:rsidRPr="00F3328B" w:rsidR="008C7443">
        <w:rPr>
          <w:rFonts w:ascii="Times New Roman" w:hAnsi="Times New Roman"/>
        </w:rPr>
        <w:t xml:space="preserve"> Hearing Schedule (Sept</w:t>
      </w:r>
      <w:r w:rsidR="00DB454D">
        <w:rPr>
          <w:rFonts w:ascii="Times New Roman" w:hAnsi="Times New Roman"/>
        </w:rPr>
        <w:t>.</w:t>
      </w:r>
      <w:r w:rsidRPr="00F3328B" w:rsidR="008C7443">
        <w:rPr>
          <w:rFonts w:ascii="Times New Roman" w:hAnsi="Times New Roman"/>
        </w:rPr>
        <w:t xml:space="preserve"> 26, 2022).</w:t>
      </w:r>
      <w:r w:rsidRPr="00F3328B" w:rsidR="004A6827">
        <w:rPr>
          <w:rFonts w:ascii="Times New Roman" w:hAnsi="Times New Roman"/>
        </w:rPr>
        <w:t xml:space="preserve"> </w:t>
      </w:r>
    </w:p>
  </w:footnote>
  <w:footnote w:id="15">
    <w:p w:rsidR="00C21A38" w:rsidRPr="00F3328B" w:rsidP="001C4DF0" w14:paraId="36BBE512" w14:textId="41D07629">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rPr>
        <w:t>See</w:t>
      </w:r>
      <w:r w:rsidRPr="00F3328B">
        <w:rPr>
          <w:rFonts w:ascii="Times New Roman" w:hAnsi="Times New Roman"/>
        </w:rPr>
        <w:t xml:space="preserve"> </w:t>
      </w:r>
      <w:r w:rsidRPr="00F3328B">
        <w:rPr>
          <w:rFonts w:ascii="Times New Roman" w:hAnsi="Times New Roman"/>
          <w:i/>
        </w:rPr>
        <w:t>Super Tire Engineering Co. v. McCorkle</w:t>
      </w:r>
      <w:r w:rsidRPr="00F3328B">
        <w:rPr>
          <w:rFonts w:ascii="Times New Roman" w:hAnsi="Times New Roman"/>
        </w:rPr>
        <w:t>, 416 U.S. 115, 94 S.Ct. 1694, 40 L.Ed.2d 1 (1974) (a case or controversy continued to exist when petitioners appealed benefits to strikers, despite the fact that the strike had ended).</w:t>
      </w:r>
      <w:r w:rsidRPr="00F3328B" w:rsidR="000C698E">
        <w:rPr>
          <w:rFonts w:ascii="Times New Roman" w:hAnsi="Times New Roman"/>
        </w:rPr>
        <w:t xml:space="preserve"> </w:t>
      </w:r>
    </w:p>
  </w:footnote>
  <w:footnote w:id="16">
    <w:p w:rsidR="00C21A38" w:rsidRPr="00F3328B" w:rsidP="001C4DF0" w14:paraId="0C4E93F6" w14:textId="3EC9AA36">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78 F.3d 219, 223-24 (6th Cir. 1996).</w:t>
      </w:r>
    </w:p>
  </w:footnote>
  <w:footnote w:id="17">
    <w:p w:rsidR="00C21A38" w:rsidRPr="00F3328B" w:rsidP="001C4DF0" w14:paraId="7243AFDE" w14:textId="661202E4">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rPr>
        <w:t>Id.</w:t>
      </w:r>
    </w:p>
  </w:footnote>
  <w:footnote w:id="18">
    <w:p w:rsidR="00C21A38" w:rsidRPr="00F3328B" w:rsidP="001C4DF0" w14:paraId="65C585F8" w14:textId="5799C32A">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rPr>
        <w:t>Id.</w:t>
      </w:r>
      <w:r w:rsidRPr="00F3328B" w:rsidR="004A6827">
        <w:rPr>
          <w:rFonts w:ascii="Times New Roman" w:hAnsi="Times New Roman"/>
        </w:rPr>
        <w:t xml:space="preserve"> </w:t>
      </w:r>
    </w:p>
  </w:footnote>
  <w:footnote w:id="19">
    <w:p w:rsidR="00C21A38" w:rsidRPr="00F3328B" w:rsidP="001C4DF0" w14:paraId="0E8A3DE7" w14:textId="02DF0C14">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rPr>
        <w:t xml:space="preserve">See Southern Pacific Terminal Co., </w:t>
      </w:r>
      <w:r w:rsidRPr="00F3328B">
        <w:rPr>
          <w:rFonts w:ascii="Times New Roman" w:hAnsi="Times New Roman"/>
        </w:rPr>
        <w:t xml:space="preserve">219 U.S. 498, 515-16, 31 S.Ct. 279, 55 L.Ed. 310 (1911) (refusing to dismiss expired commission order, finding that commission orders are usually continuing and may be the basis for further proceedings); </w:t>
      </w:r>
      <w:r w:rsidRPr="00F3328B">
        <w:rPr>
          <w:rFonts w:ascii="Times New Roman" w:hAnsi="Times New Roman"/>
          <w:i/>
        </w:rPr>
        <w:t>Boise City Irr. &amp; Land Co. v. Clark</w:t>
      </w:r>
      <w:r w:rsidRPr="00F3328B">
        <w:rPr>
          <w:rFonts w:ascii="Times New Roman" w:hAnsi="Times New Roman"/>
        </w:rPr>
        <w:t>, 131 F. 415, 419 (9th Cir. 1904) (despite the fact that the municipal ordinance fixed rate had expired, court decided its legality, finding it had entertained such cases before and it is necessary and proper to decide some questions of law to guide the municipality when acting in the future).</w:t>
      </w:r>
    </w:p>
  </w:footnote>
  <w:footnote w:id="20">
    <w:p w:rsidR="00EE0829" w:rsidRPr="00F3328B" w:rsidP="001C4DF0" w14:paraId="42A9AB3A" w14:textId="54A7EEAF">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iCs/>
        </w:rPr>
        <w:t xml:space="preserve">Id. </w:t>
      </w:r>
      <w:r w:rsidRPr="00F3328B">
        <w:rPr>
          <w:rFonts w:ascii="Times New Roman" w:hAnsi="Times New Roman"/>
        </w:rPr>
        <w:t>at ¶36, n. 1.</w:t>
      </w:r>
    </w:p>
  </w:footnote>
  <w:footnote w:id="21">
    <w:p w:rsidR="002F3FD5" w:rsidRPr="00F3328B" w:rsidP="001C4DF0" w14:paraId="3FA85232" w14:textId="2ECB0DD0">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R.C. 4903.09; </w:t>
      </w:r>
      <w:r w:rsidRPr="00F3328B">
        <w:rPr>
          <w:rFonts w:ascii="Times New Roman" w:hAnsi="Times New Roman"/>
          <w:i/>
          <w:iCs/>
        </w:rPr>
        <w:t>see</w:t>
      </w:r>
      <w:r w:rsidRPr="00F3328B" w:rsidR="00C70EC7">
        <w:rPr>
          <w:rFonts w:ascii="Times New Roman" w:hAnsi="Times New Roman"/>
          <w:i/>
          <w:iCs/>
        </w:rPr>
        <w:t xml:space="preserve">, e.g., </w:t>
      </w:r>
      <w:r w:rsidRPr="00F3328B" w:rsidR="00B5467E">
        <w:rPr>
          <w:rFonts w:ascii="Times New Roman" w:hAnsi="Times New Roman"/>
          <w:i/>
          <w:iCs/>
        </w:rPr>
        <w:t>In re Application of Ohio Edison Co.</w:t>
      </w:r>
      <w:r w:rsidRPr="00F3328B" w:rsidR="00B5467E">
        <w:rPr>
          <w:rFonts w:ascii="Times New Roman" w:hAnsi="Times New Roman"/>
        </w:rPr>
        <w:t xml:space="preserve">, 157 Ohio St.3d 73, 2019-Ohio-2401, ¶19 (PUCO’s approval of distribution modernization rider as an incentive is both unlawful and unreasonable because it lacks evidence and sound reasoning); </w:t>
      </w:r>
      <w:r w:rsidRPr="00F3328B" w:rsidR="00C70EC7">
        <w:rPr>
          <w:rFonts w:ascii="Times New Roman" w:hAnsi="Times New Roman"/>
          <w:i/>
          <w:iCs/>
        </w:rPr>
        <w:t>I</w:t>
      </w:r>
      <w:r w:rsidRPr="00F3328B">
        <w:rPr>
          <w:rFonts w:ascii="Times New Roman" w:hAnsi="Times New Roman"/>
          <w:i/>
          <w:iCs/>
        </w:rPr>
        <w:t>n re Suvon, LLC</w:t>
      </w:r>
      <w:r w:rsidRPr="00F3328B">
        <w:rPr>
          <w:rFonts w:ascii="Times New Roman" w:hAnsi="Times New Roman"/>
        </w:rPr>
        <w:t>., 166 Ohio St.3d 519 (2021) (PUCO must provide a reasoned explanation for the basis of its decisions).</w:t>
      </w:r>
      <w:r w:rsidRPr="00F3328B" w:rsidR="00D51D23">
        <w:rPr>
          <w:rFonts w:ascii="Times New Roman" w:hAnsi="Times New Roman"/>
        </w:rPr>
        <w:t xml:space="preserve"> </w:t>
      </w:r>
    </w:p>
  </w:footnote>
  <w:footnote w:id="22">
    <w:p w:rsidR="005C702D" w:rsidRPr="00F3328B" w:rsidP="001C4DF0" w14:paraId="6CB7308C" w14:textId="40EAC2E0">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sidR="00B5467E">
        <w:rPr>
          <w:rFonts w:ascii="Times New Roman" w:hAnsi="Times New Roman"/>
          <w:i/>
          <w:iCs/>
        </w:rPr>
        <w:t>Id</w:t>
      </w:r>
      <w:r w:rsidRPr="00F3328B" w:rsidR="00B5467E">
        <w:rPr>
          <w:rFonts w:ascii="Times New Roman" w:hAnsi="Times New Roman"/>
        </w:rPr>
        <w:t>.</w:t>
      </w:r>
      <w:r w:rsidRPr="00F3328B" w:rsidR="00A842D5">
        <w:rPr>
          <w:rFonts w:ascii="Times New Roman" w:hAnsi="Times New Roman"/>
        </w:rPr>
        <w:t xml:space="preserve"> </w:t>
      </w:r>
    </w:p>
  </w:footnote>
  <w:footnote w:id="23">
    <w:p w:rsidR="002C0DD8" w:rsidRPr="00F3328B" w:rsidP="001C4DF0" w14:paraId="18331EC6" w14:textId="62434918">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sidR="00B5467E">
        <w:rPr>
          <w:rFonts w:ascii="Times New Roman" w:hAnsi="Times New Roman"/>
          <w:i/>
          <w:iCs/>
        </w:rPr>
        <w:t>See, e.g</w:t>
      </w:r>
      <w:r w:rsidRPr="00F3328B" w:rsidR="00B5467E">
        <w:rPr>
          <w:rFonts w:ascii="Times New Roman" w:hAnsi="Times New Roman"/>
        </w:rPr>
        <w:t xml:space="preserve">., </w:t>
      </w:r>
      <w:r w:rsidRPr="00F3328B">
        <w:rPr>
          <w:rFonts w:ascii="Times New Roman" w:hAnsi="Times New Roman"/>
          <w:i/>
          <w:iCs/>
        </w:rPr>
        <w:t>Time Warner AxS v. Publ. Util. Comm.,</w:t>
      </w:r>
      <w:r w:rsidRPr="00F3328B">
        <w:rPr>
          <w:rFonts w:ascii="Times New Roman" w:hAnsi="Times New Roman"/>
        </w:rPr>
        <w:t xml:space="preserve"> (1996), 75 Ohio St.3d 229, 661 N.E.2d 1097. </w:t>
      </w:r>
    </w:p>
  </w:footnote>
  <w:footnote w:id="24">
    <w:p w:rsidR="001F0A30" w:rsidRPr="00F3328B" w:rsidP="001F0A30" w14:paraId="526B2C85" w14:textId="0472EF53">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OCC Application for Rehearing at 18-22 (Sept</w:t>
      </w:r>
      <w:r w:rsidR="00DB454D">
        <w:rPr>
          <w:rFonts w:ascii="Times New Roman" w:hAnsi="Times New Roman"/>
        </w:rPr>
        <w:t>.</w:t>
      </w:r>
      <w:r w:rsidRPr="00F3328B">
        <w:rPr>
          <w:rFonts w:ascii="Times New Roman" w:hAnsi="Times New Roman"/>
        </w:rPr>
        <w:t xml:space="preserve"> 9, 2022).</w:t>
      </w:r>
    </w:p>
  </w:footnote>
  <w:footnote w:id="25">
    <w:p w:rsidR="001F0A30" w:rsidRPr="00F3328B" w:rsidP="001F0A30" w14:paraId="7497BA43" w14:textId="77777777">
      <w:pPr>
        <w:pStyle w:val="FootnoteText"/>
        <w:spacing w:after="120"/>
        <w:rPr>
          <w:rFonts w:ascii="Times New Roman" w:hAnsi="Times New Roman"/>
          <w:i/>
          <w:iCs/>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iCs/>
        </w:rPr>
        <w:t>See id.</w:t>
      </w:r>
    </w:p>
  </w:footnote>
  <w:footnote w:id="26">
    <w:p w:rsidR="001F0A30" w:rsidRPr="00F3328B" w:rsidP="001F0A30" w14:paraId="32587EDD" w14:textId="77777777">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iCs/>
        </w:rPr>
        <w:t xml:space="preserve">Id. </w:t>
      </w:r>
      <w:r w:rsidRPr="00F3328B">
        <w:rPr>
          <w:rFonts w:ascii="Times New Roman" w:hAnsi="Times New Roman"/>
        </w:rPr>
        <w:t>at ¶37.</w:t>
      </w:r>
    </w:p>
  </w:footnote>
  <w:footnote w:id="27">
    <w:p w:rsidR="007A7CDC" w:rsidRPr="00F3328B" w:rsidP="001C4DF0" w14:paraId="7CE8BDDD" w14:textId="7BF17E77">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The Ohio Supreme Court has also ruled that the PUCO may not modify an order on rehearing where it has denied and not granted rehearing.</w:t>
      </w:r>
      <w:r w:rsidRPr="00F3328B" w:rsidR="00A956D0">
        <w:rPr>
          <w:rFonts w:ascii="Times New Roman" w:hAnsi="Times New Roman"/>
        </w:rPr>
        <w:t xml:space="preserve"> </w:t>
      </w:r>
      <w:r w:rsidRPr="00F3328B">
        <w:rPr>
          <w:rFonts w:ascii="Times New Roman" w:hAnsi="Times New Roman"/>
          <w:i/>
          <w:iCs/>
        </w:rPr>
        <w:t xml:space="preserve"> Disc. Cellular, </w:t>
      </w:r>
      <w:r w:rsidRPr="00F3328B" w:rsidR="00A956D0">
        <w:rPr>
          <w:rFonts w:ascii="Times New Roman" w:hAnsi="Times New Roman"/>
          <w:i/>
          <w:iCs/>
        </w:rPr>
        <w:t>Inc.</w:t>
      </w:r>
      <w:r w:rsidRPr="00F3328B">
        <w:rPr>
          <w:rFonts w:ascii="Times New Roman" w:hAnsi="Times New Roman"/>
          <w:i/>
          <w:iCs/>
        </w:rPr>
        <w:t xml:space="preserve"> v. PUC</w:t>
      </w:r>
      <w:r w:rsidRPr="00F3328B">
        <w:rPr>
          <w:rFonts w:ascii="Times New Roman" w:hAnsi="Times New Roman"/>
        </w:rPr>
        <w:t>, 112 Ohio St</w:t>
      </w:r>
      <w:r w:rsidRPr="00F3328B" w:rsidR="00B32283">
        <w:rPr>
          <w:rFonts w:ascii="Times New Roman" w:hAnsi="Times New Roman"/>
        </w:rPr>
        <w:t>.</w:t>
      </w:r>
      <w:r w:rsidRPr="00F3328B">
        <w:rPr>
          <w:rFonts w:ascii="Times New Roman" w:hAnsi="Times New Roman"/>
        </w:rPr>
        <w:t xml:space="preserve">3d 360, 859 N.E. 2d 957, 2007 Ohio 53. </w:t>
      </w:r>
    </w:p>
  </w:footnote>
  <w:footnote w:id="28">
    <w:p w:rsidR="007E037B" w:rsidRPr="00F3328B" w:rsidP="001C4DF0" w14:paraId="51573482" w14:textId="58C87273">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The PUCO, as a creature of statute, has no authority other than that delegated to it by the General Assembly.</w:t>
      </w:r>
      <w:r w:rsidRPr="00F3328B">
        <w:rPr>
          <w:rFonts w:ascii="Times New Roman" w:hAnsi="Times New Roman"/>
          <w:i/>
          <w:iCs/>
        </w:rPr>
        <w:t xml:space="preserve"> </w:t>
      </w:r>
      <w:r w:rsidR="00DB454D">
        <w:rPr>
          <w:rFonts w:ascii="Times New Roman" w:hAnsi="Times New Roman"/>
          <w:i/>
          <w:iCs/>
        </w:rPr>
        <w:t xml:space="preserve">See, e.g., </w:t>
      </w:r>
      <w:r w:rsidRPr="00F3328B">
        <w:rPr>
          <w:rFonts w:ascii="Times New Roman" w:hAnsi="Times New Roman"/>
          <w:i/>
          <w:iCs/>
        </w:rPr>
        <w:t>Time Warner AxS v. Publ. Util. Comm.</w:t>
      </w:r>
      <w:r w:rsidRPr="00F3328B">
        <w:rPr>
          <w:rFonts w:ascii="Times New Roman" w:hAnsi="Times New Roman"/>
        </w:rPr>
        <w:t>,</w:t>
      </w:r>
      <w:r w:rsidRPr="00DB454D" w:rsidR="00DB454D">
        <w:rPr>
          <w:rFonts w:ascii="Times New Roman" w:hAnsi="Times New Roman"/>
        </w:rPr>
        <w:t xml:space="preserve"> </w:t>
      </w:r>
      <w:r w:rsidRPr="00F3328B" w:rsidR="00DB454D">
        <w:rPr>
          <w:rFonts w:ascii="Times New Roman" w:hAnsi="Times New Roman"/>
        </w:rPr>
        <w:t>(1996)</w:t>
      </w:r>
      <w:r w:rsidR="00DB454D">
        <w:rPr>
          <w:rFonts w:ascii="Times New Roman" w:hAnsi="Times New Roman"/>
        </w:rPr>
        <w:t xml:space="preserve">, </w:t>
      </w:r>
      <w:r w:rsidRPr="00F3328B">
        <w:rPr>
          <w:rFonts w:ascii="Times New Roman" w:hAnsi="Times New Roman"/>
        </w:rPr>
        <w:t>75 Ohio St.3d 229</w:t>
      </w:r>
      <w:r w:rsidR="00DB454D">
        <w:rPr>
          <w:rFonts w:ascii="Times New Roman" w:hAnsi="Times New Roman"/>
        </w:rPr>
        <w:t>.</w:t>
      </w:r>
    </w:p>
  </w:footnote>
  <w:footnote w:id="29">
    <w:p w:rsidR="007E037B" w:rsidRPr="00F3328B" w:rsidP="001C4DF0" w14:paraId="6966B071" w14:textId="69E4527E">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iCs/>
        </w:rPr>
        <w:t>See, e.g., Sears v. Weimer</w:t>
      </w:r>
      <w:r w:rsidRPr="00F3328B">
        <w:rPr>
          <w:rFonts w:ascii="Times New Roman" w:hAnsi="Times New Roman"/>
        </w:rPr>
        <w:t>, (1944), 143 Ohio St. 312, 316-317, 55 N.E.2d 413</w:t>
      </w:r>
      <w:r w:rsidR="00DB454D">
        <w:rPr>
          <w:rFonts w:ascii="Times New Roman" w:hAnsi="Times New Roman"/>
        </w:rPr>
        <w:t xml:space="preserve">. </w:t>
      </w:r>
    </w:p>
  </w:footnote>
  <w:footnote w:id="30">
    <w:p w:rsidR="007E037B" w:rsidRPr="00F3328B" w:rsidP="001C4DF0" w14:paraId="238BE074" w14:textId="7695FDAC">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iCs/>
        </w:rPr>
        <w:t>Time Warner AxS v. Publ. Util. Comm.,</w:t>
      </w:r>
      <w:r w:rsidRPr="00F3328B">
        <w:rPr>
          <w:rFonts w:ascii="Times New Roman" w:hAnsi="Times New Roman"/>
        </w:rPr>
        <w:t xml:space="preserve"> (1996), 75 Ohio St.3d 229. </w:t>
      </w:r>
    </w:p>
  </w:footnote>
  <w:footnote w:id="31">
    <w:p w:rsidR="00BC6AE0" w:rsidRPr="00F3328B" w:rsidP="001C4DF0" w14:paraId="03EAFEEE" w14:textId="798608BC">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Ninth Entry on Rehearing at ¶37. </w:t>
      </w:r>
    </w:p>
  </w:footnote>
  <w:footnote w:id="32">
    <w:p w:rsidR="001A362A" w:rsidRPr="00F3328B" w:rsidP="001C4DF0" w14:paraId="423FC21B" w14:textId="0048F30B">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53 Ohio St.2d 70 (1978).</w:t>
      </w:r>
    </w:p>
  </w:footnote>
  <w:footnote w:id="33">
    <w:p w:rsidR="001A362A" w:rsidRPr="00F3328B" w:rsidP="001C4DF0" w14:paraId="532091DB" w14:textId="455C64CC">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Ninth Entry on Rehearing at ¶39. </w:t>
      </w:r>
    </w:p>
  </w:footnote>
  <w:footnote w:id="34">
    <w:p w:rsidR="00115F49" w:rsidRPr="00F3328B" w:rsidP="001C4DF0" w14:paraId="640CE742" w14:textId="3E6900F3">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iCs/>
        </w:rPr>
        <w:t>Portage Trail Dental Bldg. v. Venarge</w:t>
      </w:r>
      <w:r w:rsidRPr="00F3328B">
        <w:rPr>
          <w:rFonts w:ascii="Times New Roman" w:hAnsi="Times New Roman"/>
        </w:rPr>
        <w:t>, 1994 Ohio App. Lexis 2417, *8 (Summit 1994) (internal quotations and citations omitted).</w:t>
      </w:r>
    </w:p>
  </w:footnote>
  <w:footnote w:id="35">
    <w:p w:rsidR="001625B8" w:rsidRPr="00F3328B" w:rsidP="001C4DF0" w14:paraId="67CCB361" w14:textId="679D2DE1">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Case No. 96-1309-EL-CSS, Entry on Rehearing (De</w:t>
      </w:r>
      <w:r w:rsidR="00DB454D">
        <w:rPr>
          <w:rFonts w:ascii="Times New Roman" w:hAnsi="Times New Roman"/>
        </w:rPr>
        <w:t xml:space="preserve">c. </w:t>
      </w:r>
      <w:r w:rsidRPr="00F3328B">
        <w:rPr>
          <w:rFonts w:ascii="Times New Roman" w:hAnsi="Times New Roman"/>
        </w:rPr>
        <w:t>4, 1997).</w:t>
      </w:r>
    </w:p>
  </w:footnote>
  <w:footnote w:id="36">
    <w:p w:rsidR="001625B8" w:rsidRPr="00F3328B" w:rsidP="001C4DF0" w14:paraId="211ABBAD" w14:textId="28538652">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iCs/>
        </w:rPr>
        <w:t xml:space="preserve">See id. </w:t>
      </w:r>
      <w:r w:rsidRPr="00F3328B">
        <w:rPr>
          <w:rFonts w:ascii="Times New Roman" w:hAnsi="Times New Roman"/>
        </w:rPr>
        <w:t>at 2 (characterizing argument: “</w:t>
      </w:r>
      <w:r w:rsidRPr="00F3328B">
        <w:rPr>
          <w:rFonts w:ascii="Times New Roman" w:hAnsi="Times New Roman"/>
          <w:color w:val="212121"/>
          <w:shd w:val="clear" w:color="auto" w:fill="FFFFFF"/>
        </w:rPr>
        <w:t>Complainants contend that the Commission lacked statutory authority to grant rehearing </w:t>
      </w:r>
      <w:r w:rsidRPr="00F3328B">
        <w:rPr>
          <w:rStyle w:val="ssit"/>
          <w:rFonts w:ascii="Times New Roman" w:hAnsi="Times New Roman" w:eastAsiaTheme="majorEastAsia"/>
          <w:i/>
          <w:iCs/>
          <w:color w:val="212121"/>
          <w:bdr w:val="none" w:sz="0" w:space="0" w:color="auto" w:frame="1"/>
          <w:shd w:val="clear" w:color="auto" w:fill="FFFFFF"/>
        </w:rPr>
        <w:t>sua sponte</w:t>
      </w:r>
      <w:r w:rsidRPr="00F3328B">
        <w:rPr>
          <w:rFonts w:ascii="Times New Roman" w:hAnsi="Times New Roman"/>
          <w:color w:val="212121"/>
          <w:shd w:val="clear" w:color="auto" w:fill="FFFFFF"/>
        </w:rPr>
        <w:t> on this issue since it was not raised in an application for rehearing.”).</w:t>
      </w:r>
    </w:p>
  </w:footnote>
  <w:footnote w:id="37">
    <w:p w:rsidR="001625B8" w:rsidRPr="00F3328B" w:rsidP="001C4DF0" w14:paraId="0D932411" w14:textId="599927C6">
      <w:pPr>
        <w:pStyle w:val="FootnoteText"/>
        <w:spacing w:after="120"/>
        <w:rPr>
          <w:rFonts w:ascii="Times New Roman" w:hAnsi="Times New Roman"/>
        </w:rPr>
      </w:pPr>
      <w:r w:rsidRPr="00F3328B">
        <w:rPr>
          <w:rStyle w:val="FootnoteReference"/>
          <w:rFonts w:ascii="Times New Roman" w:hAnsi="Times New Roman"/>
        </w:rPr>
        <w:footnoteRef/>
      </w:r>
      <w:r w:rsidRPr="00F3328B">
        <w:rPr>
          <w:rFonts w:ascii="Times New Roman" w:hAnsi="Times New Roman"/>
        </w:rPr>
        <w:t xml:space="preserve"> </w:t>
      </w:r>
      <w:r w:rsidRPr="00F3328B">
        <w:rPr>
          <w:rFonts w:ascii="Times New Roman" w:hAnsi="Times New Roman"/>
          <w:i/>
          <w:iCs/>
        </w:rPr>
        <w:t xml:space="preserve">Id. </w:t>
      </w:r>
      <w:r w:rsidRPr="00F3328B">
        <w:rPr>
          <w:rFonts w:ascii="Times New Roman" w:hAnsi="Times New Roman"/>
        </w:rPr>
        <w:t>at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71D" w14:paraId="5B6086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71D" w14:paraId="26AF17B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71D" w14:paraId="287AED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3317C"/>
    <w:multiLevelType w:val="hybridMultilevel"/>
    <w:tmpl w:val="5622CE12"/>
    <w:lvl w:ilvl="0">
      <w:start w:val="1"/>
      <w:numFmt w:val="upperLetter"/>
      <w:lvlText w:val="%1."/>
      <w:lvlJc w:val="left"/>
      <w:pPr>
        <w:ind w:left="180" w:hanging="360"/>
      </w:pPr>
      <w:rPr>
        <w:rFonts w:hint="default"/>
        <w:b/>
        <w:bCs/>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A8E2AE4"/>
    <w:multiLevelType w:val="hybridMultilevel"/>
    <w:tmpl w:val="BA560874"/>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E254E6F"/>
    <w:multiLevelType w:val="hybridMultilevel"/>
    <w:tmpl w:val="74A2D5D8"/>
    <w:lvl w:ilvl="0">
      <w:start w:val="1"/>
      <w:numFmt w:val="upperRoman"/>
      <w:lvlText w:val="%1&gt;"/>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7844DED"/>
    <w:multiLevelType w:val="hybridMultilevel"/>
    <w:tmpl w:val="9B988C86"/>
    <w:lvl w:ilvl="0">
      <w:start w:val="2"/>
      <w:numFmt w:val="upperRoman"/>
      <w:lvlText w:val="%1&gt;"/>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0E002A"/>
    <w:multiLevelType w:val="hybridMultilevel"/>
    <w:tmpl w:val="0A444E26"/>
    <w:lvl w:ilvl="0">
      <w:start w:val="1"/>
      <w:numFmt w:val="upperLetter"/>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7823D7"/>
    <w:multiLevelType w:val="hybridMultilevel"/>
    <w:tmpl w:val="45D20A90"/>
    <w:lvl w:ilvl="0">
      <w:start w:val="1"/>
      <w:numFmt w:val="upperLetter"/>
      <w:lvlText w:val="%1."/>
      <w:lvlJc w:val="left"/>
      <w:pPr>
        <w:ind w:left="1080" w:hanging="360"/>
      </w:pPr>
      <w:rPr>
        <w:rFonts w:ascii="Times New Roman Bold" w:hAnsi="Times New Roman Bold" w:eastAsiaTheme="majorEastAsia" w:cstheme="majorBidi"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F345810"/>
    <w:multiLevelType w:val="hybridMultilevel"/>
    <w:tmpl w:val="E40C351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2A267CE"/>
    <w:multiLevelType w:val="hybridMultilevel"/>
    <w:tmpl w:val="C12A070E"/>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BF53D4"/>
    <w:multiLevelType w:val="hybridMultilevel"/>
    <w:tmpl w:val="BF4EA63A"/>
    <w:lvl w:ilvl="0">
      <w:start w:val="1"/>
      <w:numFmt w:val="upperLetter"/>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BF15F28"/>
    <w:multiLevelType w:val="hybridMultilevel"/>
    <w:tmpl w:val="B516ADDE"/>
    <w:lvl w:ilvl="0">
      <w:start w:val="2"/>
      <w:numFmt w:val="upperRoman"/>
      <w:lvlText w:val="%1."/>
      <w:lvlJc w:val="left"/>
      <w:pPr>
        <w:ind w:left="1260" w:hanging="72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0">
    <w:nsid w:val="3D146D02"/>
    <w:multiLevelType w:val="hybridMultilevel"/>
    <w:tmpl w:val="52760C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0566A45"/>
    <w:multiLevelType w:val="hybridMultilevel"/>
    <w:tmpl w:val="BE7E9538"/>
    <w:lvl w:ilvl="0">
      <w:start w:val="2"/>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428E1234"/>
    <w:multiLevelType w:val="hybridMultilevel"/>
    <w:tmpl w:val="C366B6D6"/>
    <w:lvl w:ilvl="0">
      <w:start w:val="1"/>
      <w:numFmt w:val="decimal"/>
      <w:lvlText w:val="%1."/>
      <w:lvlJc w:val="left"/>
      <w:pPr>
        <w:ind w:left="1800" w:hanging="360"/>
      </w:pPr>
      <w:rPr>
        <w:rFonts w:ascii="Times New Roman Bold" w:hAnsi="Times New Roman Bold" w:eastAsiaTheme="majorEastAsia" w:cstheme="majorBidi"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42EF1D59"/>
    <w:multiLevelType w:val="hybridMultilevel"/>
    <w:tmpl w:val="56FC6B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01425F"/>
    <w:multiLevelType w:val="hybridMultilevel"/>
    <w:tmpl w:val="288CCFB4"/>
    <w:lvl w:ilvl="0">
      <w:start w:val="1"/>
      <w:numFmt w:val="upperRoman"/>
      <w:lvlText w:val="%1&gt;"/>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490134D"/>
    <w:multiLevelType w:val="hybridMultilevel"/>
    <w:tmpl w:val="922407C4"/>
    <w:lvl w:ilvl="0">
      <w:start w:val="1"/>
      <w:numFmt w:val="upperLetter"/>
      <w:lvlText w:val="%1."/>
      <w:lvlJc w:val="left"/>
      <w:pPr>
        <w:ind w:left="171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7624BC4"/>
    <w:multiLevelType w:val="hybridMultilevel"/>
    <w:tmpl w:val="995E325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AD92C82"/>
    <w:multiLevelType w:val="hybridMultilevel"/>
    <w:tmpl w:val="34AC284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C383A24"/>
    <w:multiLevelType w:val="hybridMultilevel"/>
    <w:tmpl w:val="1744C90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F3034A9"/>
    <w:multiLevelType w:val="hybridMultilevel"/>
    <w:tmpl w:val="6B226B4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25C51FC"/>
    <w:multiLevelType w:val="hybridMultilevel"/>
    <w:tmpl w:val="83D27BFE"/>
    <w:lvl w:ilvl="0">
      <w:start w:val="1"/>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538E2DDB"/>
    <w:multiLevelType w:val="hybridMultilevel"/>
    <w:tmpl w:val="0F544B88"/>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46C7D3C"/>
    <w:multiLevelType w:val="hybridMultilevel"/>
    <w:tmpl w:val="059A42EC"/>
    <w:lvl w:ilvl="0">
      <w:start w:val="1"/>
      <w:numFmt w:val="upperRoman"/>
      <w:lvlText w:val="%1&gt;"/>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9C0F60"/>
    <w:multiLevelType w:val="hybridMultilevel"/>
    <w:tmpl w:val="812CED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DB3B3B"/>
    <w:multiLevelType w:val="hybridMultilevel"/>
    <w:tmpl w:val="2E025E4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5C67355A"/>
    <w:multiLevelType w:val="hybridMultilevel"/>
    <w:tmpl w:val="91AAB22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2313F42"/>
    <w:multiLevelType w:val="hybridMultilevel"/>
    <w:tmpl w:val="A484E356"/>
    <w:lvl w:ilvl="0">
      <w:start w:val="4"/>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63F92436"/>
    <w:multiLevelType w:val="hybridMultilevel"/>
    <w:tmpl w:val="1A28B462"/>
    <w:lvl w:ilvl="0">
      <w:start w:val="1"/>
      <w:numFmt w:val="upperLetter"/>
      <w:lvlText w:val="%1."/>
      <w:lvlJc w:val="left"/>
      <w:pPr>
        <w:ind w:left="1080" w:hanging="360"/>
      </w:pPr>
      <w:rPr>
        <w:rFonts w:ascii="Times New Roman Bold" w:hAnsi="Times New Roman Bold" w:eastAsiaTheme="majorEastAsia" w:cstheme="majorBidi"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9861663"/>
    <w:multiLevelType w:val="hybridMultilevel"/>
    <w:tmpl w:val="648850A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F36DB4"/>
    <w:multiLevelType w:val="hybridMultilevel"/>
    <w:tmpl w:val="81BC84FE"/>
    <w:lvl w:ilvl="0">
      <w:start w:val="3"/>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758128CF"/>
    <w:multiLevelType w:val="hybridMultilevel"/>
    <w:tmpl w:val="7D244D60"/>
    <w:lvl w:ilvl="0">
      <w:start w:val="2"/>
      <w:numFmt w:val="upp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C435AF1"/>
    <w:multiLevelType w:val="hybridMultilevel"/>
    <w:tmpl w:val="7B50440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D3D68D0"/>
    <w:multiLevelType w:val="hybridMultilevel"/>
    <w:tmpl w:val="FDD80C0E"/>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22"/>
  </w:num>
  <w:num w:numId="3">
    <w:abstractNumId w:val="14"/>
  </w:num>
  <w:num w:numId="4">
    <w:abstractNumId w:val="18"/>
  </w:num>
  <w:num w:numId="5">
    <w:abstractNumId w:val="0"/>
  </w:num>
  <w:num w:numId="6">
    <w:abstractNumId w:val="28"/>
  </w:num>
  <w:num w:numId="7">
    <w:abstractNumId w:val="9"/>
  </w:num>
  <w:num w:numId="8">
    <w:abstractNumId w:val="3"/>
  </w:num>
  <w:num w:numId="9">
    <w:abstractNumId w:val="11"/>
  </w:num>
  <w:num w:numId="10">
    <w:abstractNumId w:val="5"/>
  </w:num>
  <w:num w:numId="11">
    <w:abstractNumId w:val="27"/>
  </w:num>
  <w:num w:numId="12">
    <w:abstractNumId w:val="12"/>
  </w:num>
  <w:num w:numId="13">
    <w:abstractNumId w:val="31"/>
  </w:num>
  <w:num w:numId="14">
    <w:abstractNumId w:val="12"/>
    <w:lvlOverride w:ilvl="0">
      <w:startOverride w:val="3"/>
    </w:lvlOverride>
  </w:num>
  <w:num w:numId="15">
    <w:abstractNumId w:val="6"/>
  </w:num>
  <w:num w:numId="16">
    <w:abstractNumId w:val="6"/>
    <w:lvlOverride w:ilvl="0">
      <w:startOverride w:val="1"/>
    </w:lvlOverride>
  </w:num>
  <w:num w:numId="17">
    <w:abstractNumId w:val="29"/>
  </w:num>
  <w:num w:numId="18">
    <w:abstractNumId w:val="19"/>
  </w:num>
  <w:num w:numId="19">
    <w:abstractNumId w:val="17"/>
  </w:num>
  <w:num w:numId="20">
    <w:abstractNumId w:val="17"/>
    <w:lvlOverride w:ilvl="0">
      <w:startOverride w:val="1"/>
    </w:lvlOverride>
  </w:num>
  <w:num w:numId="21">
    <w:abstractNumId w:val="15"/>
  </w:num>
  <w:num w:numId="22">
    <w:abstractNumId w:val="1"/>
  </w:num>
  <w:num w:numId="23">
    <w:abstractNumId w:val="26"/>
  </w:num>
  <w:num w:numId="24">
    <w:abstractNumId w:val="15"/>
    <w:lvlOverride w:ilvl="0">
      <w:startOverride w:val="1"/>
    </w:lvlOverride>
  </w:num>
  <w:num w:numId="25">
    <w:abstractNumId w:val="25"/>
  </w:num>
  <w:num w:numId="26">
    <w:abstractNumId w:val="4"/>
  </w:num>
  <w:num w:numId="27">
    <w:abstractNumId w:val="4"/>
    <w:lvlOverride w:ilvl="0">
      <w:startOverride w:val="1"/>
    </w:lvlOverride>
  </w:num>
  <w:num w:numId="28">
    <w:abstractNumId w:val="16"/>
  </w:num>
  <w:num w:numId="29">
    <w:abstractNumId w:val="13"/>
  </w:num>
  <w:num w:numId="30">
    <w:abstractNumId w:val="24"/>
  </w:num>
  <w:num w:numId="31">
    <w:abstractNumId w:val="20"/>
  </w:num>
  <w:num w:numId="32">
    <w:abstractNumId w:val="21"/>
  </w:num>
  <w:num w:numId="33">
    <w:abstractNumId w:val="10"/>
  </w:num>
  <w:num w:numId="34">
    <w:abstractNumId w:val="30"/>
  </w:num>
  <w:num w:numId="35">
    <w:abstractNumId w:val="8"/>
  </w:num>
  <w:num w:numId="36">
    <w:abstractNumId w:val="7"/>
  </w:num>
  <w:num w:numId="37">
    <w:abstractNumId w:val="2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91"/>
    <w:rsid w:val="000010B0"/>
    <w:rsid w:val="0000179C"/>
    <w:rsid w:val="00002DF1"/>
    <w:rsid w:val="00007C7E"/>
    <w:rsid w:val="00013C9C"/>
    <w:rsid w:val="0001797F"/>
    <w:rsid w:val="000201A1"/>
    <w:rsid w:val="00021F5B"/>
    <w:rsid w:val="0002471A"/>
    <w:rsid w:val="00027F2C"/>
    <w:rsid w:val="0003047F"/>
    <w:rsid w:val="00031530"/>
    <w:rsid w:val="000327F9"/>
    <w:rsid w:val="00032A24"/>
    <w:rsid w:val="00033B8B"/>
    <w:rsid w:val="00033FD3"/>
    <w:rsid w:val="0003480F"/>
    <w:rsid w:val="0004072C"/>
    <w:rsid w:val="00041AD0"/>
    <w:rsid w:val="00043337"/>
    <w:rsid w:val="000471EC"/>
    <w:rsid w:val="00051605"/>
    <w:rsid w:val="00051FF3"/>
    <w:rsid w:val="00052509"/>
    <w:rsid w:val="00055323"/>
    <w:rsid w:val="00056DD4"/>
    <w:rsid w:val="00057A6F"/>
    <w:rsid w:val="00062C36"/>
    <w:rsid w:val="00062E63"/>
    <w:rsid w:val="00063DA8"/>
    <w:rsid w:val="00063E94"/>
    <w:rsid w:val="00076DFE"/>
    <w:rsid w:val="00077E14"/>
    <w:rsid w:val="00081B30"/>
    <w:rsid w:val="00082422"/>
    <w:rsid w:val="0008400F"/>
    <w:rsid w:val="000840E5"/>
    <w:rsid w:val="000928D8"/>
    <w:rsid w:val="0009450A"/>
    <w:rsid w:val="00095B76"/>
    <w:rsid w:val="00095EEE"/>
    <w:rsid w:val="0009732C"/>
    <w:rsid w:val="000A06FC"/>
    <w:rsid w:val="000A1381"/>
    <w:rsid w:val="000A23D0"/>
    <w:rsid w:val="000A70A1"/>
    <w:rsid w:val="000B001D"/>
    <w:rsid w:val="000B349E"/>
    <w:rsid w:val="000B3FD1"/>
    <w:rsid w:val="000B65E2"/>
    <w:rsid w:val="000B6C85"/>
    <w:rsid w:val="000C1225"/>
    <w:rsid w:val="000C2A18"/>
    <w:rsid w:val="000C37F5"/>
    <w:rsid w:val="000C3A4D"/>
    <w:rsid w:val="000C49D5"/>
    <w:rsid w:val="000C52F3"/>
    <w:rsid w:val="000C688A"/>
    <w:rsid w:val="000C698E"/>
    <w:rsid w:val="000D2919"/>
    <w:rsid w:val="000D788A"/>
    <w:rsid w:val="000E0243"/>
    <w:rsid w:val="000E1ABC"/>
    <w:rsid w:val="000E1C08"/>
    <w:rsid w:val="000E1FBB"/>
    <w:rsid w:val="000E227D"/>
    <w:rsid w:val="000E3B24"/>
    <w:rsid w:val="000E7A44"/>
    <w:rsid w:val="000F29C4"/>
    <w:rsid w:val="000F5CB3"/>
    <w:rsid w:val="000F7775"/>
    <w:rsid w:val="00101558"/>
    <w:rsid w:val="0010447A"/>
    <w:rsid w:val="00104703"/>
    <w:rsid w:val="00107A40"/>
    <w:rsid w:val="001106E2"/>
    <w:rsid w:val="001122DA"/>
    <w:rsid w:val="001143B3"/>
    <w:rsid w:val="00115F49"/>
    <w:rsid w:val="00117D96"/>
    <w:rsid w:val="001209D5"/>
    <w:rsid w:val="0012425C"/>
    <w:rsid w:val="00124FD6"/>
    <w:rsid w:val="001262A7"/>
    <w:rsid w:val="0012700C"/>
    <w:rsid w:val="00131D56"/>
    <w:rsid w:val="00133635"/>
    <w:rsid w:val="00140CB0"/>
    <w:rsid w:val="00143903"/>
    <w:rsid w:val="00145073"/>
    <w:rsid w:val="00145F57"/>
    <w:rsid w:val="00146849"/>
    <w:rsid w:val="00150DA6"/>
    <w:rsid w:val="00150F53"/>
    <w:rsid w:val="001545E4"/>
    <w:rsid w:val="001606F4"/>
    <w:rsid w:val="00161473"/>
    <w:rsid w:val="001625B8"/>
    <w:rsid w:val="001654E0"/>
    <w:rsid w:val="001703F7"/>
    <w:rsid w:val="00171829"/>
    <w:rsid w:val="00172C57"/>
    <w:rsid w:val="001755FE"/>
    <w:rsid w:val="0018086D"/>
    <w:rsid w:val="001809ED"/>
    <w:rsid w:val="00183D2B"/>
    <w:rsid w:val="001854AF"/>
    <w:rsid w:val="001874AC"/>
    <w:rsid w:val="001876B3"/>
    <w:rsid w:val="00195DA3"/>
    <w:rsid w:val="001975F9"/>
    <w:rsid w:val="00197E80"/>
    <w:rsid w:val="001A2600"/>
    <w:rsid w:val="001A3265"/>
    <w:rsid w:val="001A362A"/>
    <w:rsid w:val="001A5761"/>
    <w:rsid w:val="001A693A"/>
    <w:rsid w:val="001B0464"/>
    <w:rsid w:val="001B0AC3"/>
    <w:rsid w:val="001B14B4"/>
    <w:rsid w:val="001B3D7D"/>
    <w:rsid w:val="001B4D2C"/>
    <w:rsid w:val="001B4FE1"/>
    <w:rsid w:val="001C4DF0"/>
    <w:rsid w:val="001C7A4C"/>
    <w:rsid w:val="001D02ED"/>
    <w:rsid w:val="001D2FF7"/>
    <w:rsid w:val="001E56C5"/>
    <w:rsid w:val="001F0A30"/>
    <w:rsid w:val="001F393C"/>
    <w:rsid w:val="001F5207"/>
    <w:rsid w:val="00201153"/>
    <w:rsid w:val="002059A4"/>
    <w:rsid w:val="002076DF"/>
    <w:rsid w:val="00211489"/>
    <w:rsid w:val="00214434"/>
    <w:rsid w:val="00231C23"/>
    <w:rsid w:val="00232977"/>
    <w:rsid w:val="0023318E"/>
    <w:rsid w:val="00233A11"/>
    <w:rsid w:val="00233C7E"/>
    <w:rsid w:val="00234C88"/>
    <w:rsid w:val="00235E7E"/>
    <w:rsid w:val="00240647"/>
    <w:rsid w:val="00240A0F"/>
    <w:rsid w:val="002426B9"/>
    <w:rsid w:val="00244558"/>
    <w:rsid w:val="00244F67"/>
    <w:rsid w:val="00250B8C"/>
    <w:rsid w:val="00252D3A"/>
    <w:rsid w:val="002533BF"/>
    <w:rsid w:val="00254614"/>
    <w:rsid w:val="00265609"/>
    <w:rsid w:val="002660FB"/>
    <w:rsid w:val="002731E3"/>
    <w:rsid w:val="00273371"/>
    <w:rsid w:val="00274C48"/>
    <w:rsid w:val="0028073D"/>
    <w:rsid w:val="002812FE"/>
    <w:rsid w:val="002860AB"/>
    <w:rsid w:val="0028616F"/>
    <w:rsid w:val="0028748B"/>
    <w:rsid w:val="00293760"/>
    <w:rsid w:val="002963C5"/>
    <w:rsid w:val="002A381F"/>
    <w:rsid w:val="002A3B9F"/>
    <w:rsid w:val="002A3C88"/>
    <w:rsid w:val="002A4E3C"/>
    <w:rsid w:val="002A4E4C"/>
    <w:rsid w:val="002A69F7"/>
    <w:rsid w:val="002B00B4"/>
    <w:rsid w:val="002B20C1"/>
    <w:rsid w:val="002B3F90"/>
    <w:rsid w:val="002B4F91"/>
    <w:rsid w:val="002B7A69"/>
    <w:rsid w:val="002C0DD8"/>
    <w:rsid w:val="002C15FC"/>
    <w:rsid w:val="002C174C"/>
    <w:rsid w:val="002C3C2C"/>
    <w:rsid w:val="002D3B65"/>
    <w:rsid w:val="002D3E60"/>
    <w:rsid w:val="002E1645"/>
    <w:rsid w:val="002E2F0D"/>
    <w:rsid w:val="002E7645"/>
    <w:rsid w:val="002F0E11"/>
    <w:rsid w:val="002F2E5F"/>
    <w:rsid w:val="002F3FD5"/>
    <w:rsid w:val="00307B19"/>
    <w:rsid w:val="0031023D"/>
    <w:rsid w:val="00310B7F"/>
    <w:rsid w:val="00313718"/>
    <w:rsid w:val="0031421A"/>
    <w:rsid w:val="00315A97"/>
    <w:rsid w:val="003229F0"/>
    <w:rsid w:val="0032332E"/>
    <w:rsid w:val="003257EE"/>
    <w:rsid w:val="00327CAF"/>
    <w:rsid w:val="0033058A"/>
    <w:rsid w:val="00332000"/>
    <w:rsid w:val="003325BE"/>
    <w:rsid w:val="00333EE0"/>
    <w:rsid w:val="00334466"/>
    <w:rsid w:val="00334F63"/>
    <w:rsid w:val="00343030"/>
    <w:rsid w:val="00347130"/>
    <w:rsid w:val="003540C2"/>
    <w:rsid w:val="0035477A"/>
    <w:rsid w:val="00354B50"/>
    <w:rsid w:val="003560EA"/>
    <w:rsid w:val="003577DA"/>
    <w:rsid w:val="00370728"/>
    <w:rsid w:val="0037128C"/>
    <w:rsid w:val="00374B09"/>
    <w:rsid w:val="00377F81"/>
    <w:rsid w:val="0038221E"/>
    <w:rsid w:val="0038522D"/>
    <w:rsid w:val="00393E06"/>
    <w:rsid w:val="0039567C"/>
    <w:rsid w:val="00396D80"/>
    <w:rsid w:val="00397FE1"/>
    <w:rsid w:val="003A28B0"/>
    <w:rsid w:val="003A2910"/>
    <w:rsid w:val="003A4371"/>
    <w:rsid w:val="003A5DEA"/>
    <w:rsid w:val="003A7669"/>
    <w:rsid w:val="003B0342"/>
    <w:rsid w:val="003B18B1"/>
    <w:rsid w:val="003B3CD0"/>
    <w:rsid w:val="003C027C"/>
    <w:rsid w:val="003C2ED3"/>
    <w:rsid w:val="003C4A78"/>
    <w:rsid w:val="003C55DF"/>
    <w:rsid w:val="003C59C9"/>
    <w:rsid w:val="003C7B81"/>
    <w:rsid w:val="003D1E86"/>
    <w:rsid w:val="003D1EFA"/>
    <w:rsid w:val="003D63B1"/>
    <w:rsid w:val="003D71BD"/>
    <w:rsid w:val="003E12D1"/>
    <w:rsid w:val="003E1709"/>
    <w:rsid w:val="003E7BC6"/>
    <w:rsid w:val="003F06BE"/>
    <w:rsid w:val="003F0998"/>
    <w:rsid w:val="003F1DED"/>
    <w:rsid w:val="003F2FF4"/>
    <w:rsid w:val="003F30A1"/>
    <w:rsid w:val="003F3AA0"/>
    <w:rsid w:val="003F4562"/>
    <w:rsid w:val="003F6342"/>
    <w:rsid w:val="003F698B"/>
    <w:rsid w:val="004019B2"/>
    <w:rsid w:val="00404B86"/>
    <w:rsid w:val="00405497"/>
    <w:rsid w:val="00406353"/>
    <w:rsid w:val="004066FB"/>
    <w:rsid w:val="004113BE"/>
    <w:rsid w:val="0041519C"/>
    <w:rsid w:val="00416B07"/>
    <w:rsid w:val="00416BB9"/>
    <w:rsid w:val="00420B5C"/>
    <w:rsid w:val="00421110"/>
    <w:rsid w:val="00421CC9"/>
    <w:rsid w:val="00424758"/>
    <w:rsid w:val="0042595D"/>
    <w:rsid w:val="0043073F"/>
    <w:rsid w:val="00430C4D"/>
    <w:rsid w:val="00430E62"/>
    <w:rsid w:val="00440657"/>
    <w:rsid w:val="004456C6"/>
    <w:rsid w:val="00452C18"/>
    <w:rsid w:val="00452F74"/>
    <w:rsid w:val="004535DC"/>
    <w:rsid w:val="004570D8"/>
    <w:rsid w:val="00462A99"/>
    <w:rsid w:val="004712D8"/>
    <w:rsid w:val="004716F0"/>
    <w:rsid w:val="00472A5D"/>
    <w:rsid w:val="00473912"/>
    <w:rsid w:val="00474A39"/>
    <w:rsid w:val="004767F8"/>
    <w:rsid w:val="00477B10"/>
    <w:rsid w:val="00481DAC"/>
    <w:rsid w:val="00484439"/>
    <w:rsid w:val="0048494D"/>
    <w:rsid w:val="00492765"/>
    <w:rsid w:val="0049525C"/>
    <w:rsid w:val="00495871"/>
    <w:rsid w:val="0049630E"/>
    <w:rsid w:val="004A4555"/>
    <w:rsid w:val="004A6827"/>
    <w:rsid w:val="004B0CBA"/>
    <w:rsid w:val="004B110C"/>
    <w:rsid w:val="004B1380"/>
    <w:rsid w:val="004B1AE2"/>
    <w:rsid w:val="004B6EFA"/>
    <w:rsid w:val="004C25B3"/>
    <w:rsid w:val="004C299C"/>
    <w:rsid w:val="004C4252"/>
    <w:rsid w:val="004C4298"/>
    <w:rsid w:val="004C478A"/>
    <w:rsid w:val="004C72B3"/>
    <w:rsid w:val="004C77AD"/>
    <w:rsid w:val="004D5462"/>
    <w:rsid w:val="004D661C"/>
    <w:rsid w:val="004E1510"/>
    <w:rsid w:val="004E2088"/>
    <w:rsid w:val="004E510D"/>
    <w:rsid w:val="004E6D27"/>
    <w:rsid w:val="004E78D9"/>
    <w:rsid w:val="004F405E"/>
    <w:rsid w:val="004F41A3"/>
    <w:rsid w:val="004F77AB"/>
    <w:rsid w:val="00501818"/>
    <w:rsid w:val="00503CA0"/>
    <w:rsid w:val="00505AA3"/>
    <w:rsid w:val="005065A0"/>
    <w:rsid w:val="00513766"/>
    <w:rsid w:val="00516366"/>
    <w:rsid w:val="00517E40"/>
    <w:rsid w:val="005255DA"/>
    <w:rsid w:val="00526726"/>
    <w:rsid w:val="00537E94"/>
    <w:rsid w:val="00540BFF"/>
    <w:rsid w:val="005466C7"/>
    <w:rsid w:val="005478D7"/>
    <w:rsid w:val="005479AA"/>
    <w:rsid w:val="00552E34"/>
    <w:rsid w:val="00553CCF"/>
    <w:rsid w:val="005567DB"/>
    <w:rsid w:val="00557A4B"/>
    <w:rsid w:val="00564F77"/>
    <w:rsid w:val="00565CC2"/>
    <w:rsid w:val="00566121"/>
    <w:rsid w:val="00567AEE"/>
    <w:rsid w:val="00570289"/>
    <w:rsid w:val="00571A30"/>
    <w:rsid w:val="0057468B"/>
    <w:rsid w:val="00586EDB"/>
    <w:rsid w:val="005920DD"/>
    <w:rsid w:val="005929ED"/>
    <w:rsid w:val="00594125"/>
    <w:rsid w:val="005B5FB9"/>
    <w:rsid w:val="005B7863"/>
    <w:rsid w:val="005B7AB3"/>
    <w:rsid w:val="005C3A0D"/>
    <w:rsid w:val="005C3BB3"/>
    <w:rsid w:val="005C702D"/>
    <w:rsid w:val="005D19A9"/>
    <w:rsid w:val="005D1D13"/>
    <w:rsid w:val="005D3FE3"/>
    <w:rsid w:val="005D5996"/>
    <w:rsid w:val="005D60E0"/>
    <w:rsid w:val="005E1DF5"/>
    <w:rsid w:val="005E3B00"/>
    <w:rsid w:val="005E3D18"/>
    <w:rsid w:val="005E4229"/>
    <w:rsid w:val="005F1180"/>
    <w:rsid w:val="005F2BAE"/>
    <w:rsid w:val="00603091"/>
    <w:rsid w:val="00603F6A"/>
    <w:rsid w:val="00604367"/>
    <w:rsid w:val="00612767"/>
    <w:rsid w:val="006143DE"/>
    <w:rsid w:val="00617501"/>
    <w:rsid w:val="00617935"/>
    <w:rsid w:val="0062074C"/>
    <w:rsid w:val="006222DC"/>
    <w:rsid w:val="00625337"/>
    <w:rsid w:val="0063249C"/>
    <w:rsid w:val="00641CBC"/>
    <w:rsid w:val="006445E7"/>
    <w:rsid w:val="006451D5"/>
    <w:rsid w:val="00646701"/>
    <w:rsid w:val="006502E2"/>
    <w:rsid w:val="00650A92"/>
    <w:rsid w:val="0065446E"/>
    <w:rsid w:val="00661BA4"/>
    <w:rsid w:val="00663794"/>
    <w:rsid w:val="0066580D"/>
    <w:rsid w:val="00674563"/>
    <w:rsid w:val="00674BBE"/>
    <w:rsid w:val="0067716B"/>
    <w:rsid w:val="00685EDB"/>
    <w:rsid w:val="006865F7"/>
    <w:rsid w:val="00686783"/>
    <w:rsid w:val="006877BD"/>
    <w:rsid w:val="0069152E"/>
    <w:rsid w:val="006916A2"/>
    <w:rsid w:val="006B273D"/>
    <w:rsid w:val="006B4838"/>
    <w:rsid w:val="006B6D46"/>
    <w:rsid w:val="006C11F9"/>
    <w:rsid w:val="006C51B4"/>
    <w:rsid w:val="006C7548"/>
    <w:rsid w:val="006D16AA"/>
    <w:rsid w:val="006D1F58"/>
    <w:rsid w:val="006D5135"/>
    <w:rsid w:val="006D69F3"/>
    <w:rsid w:val="006E148A"/>
    <w:rsid w:val="006E5A6F"/>
    <w:rsid w:val="006E5D77"/>
    <w:rsid w:val="006F5A28"/>
    <w:rsid w:val="006F5AF4"/>
    <w:rsid w:val="00700707"/>
    <w:rsid w:val="00702070"/>
    <w:rsid w:val="00702CE6"/>
    <w:rsid w:val="00711BB9"/>
    <w:rsid w:val="00717B2A"/>
    <w:rsid w:val="00721245"/>
    <w:rsid w:val="00722FD4"/>
    <w:rsid w:val="00726BAF"/>
    <w:rsid w:val="007274F9"/>
    <w:rsid w:val="00727696"/>
    <w:rsid w:val="00730E77"/>
    <w:rsid w:val="00740FCE"/>
    <w:rsid w:val="00744471"/>
    <w:rsid w:val="007446EA"/>
    <w:rsid w:val="00745F82"/>
    <w:rsid w:val="007503EB"/>
    <w:rsid w:val="00750741"/>
    <w:rsid w:val="007515C1"/>
    <w:rsid w:val="00753E99"/>
    <w:rsid w:val="00757E49"/>
    <w:rsid w:val="00763325"/>
    <w:rsid w:val="0077446E"/>
    <w:rsid w:val="007756BA"/>
    <w:rsid w:val="007768CE"/>
    <w:rsid w:val="007777FF"/>
    <w:rsid w:val="00784595"/>
    <w:rsid w:val="00784DFA"/>
    <w:rsid w:val="00785726"/>
    <w:rsid w:val="00787971"/>
    <w:rsid w:val="007936BA"/>
    <w:rsid w:val="00793EDD"/>
    <w:rsid w:val="00795F53"/>
    <w:rsid w:val="007A3112"/>
    <w:rsid w:val="007A60FD"/>
    <w:rsid w:val="007A73C4"/>
    <w:rsid w:val="007A7CDC"/>
    <w:rsid w:val="007B627A"/>
    <w:rsid w:val="007C1111"/>
    <w:rsid w:val="007C2A5D"/>
    <w:rsid w:val="007C3B75"/>
    <w:rsid w:val="007C5145"/>
    <w:rsid w:val="007C5163"/>
    <w:rsid w:val="007C6D92"/>
    <w:rsid w:val="007D0A1D"/>
    <w:rsid w:val="007D1347"/>
    <w:rsid w:val="007D3C9B"/>
    <w:rsid w:val="007D4278"/>
    <w:rsid w:val="007D618E"/>
    <w:rsid w:val="007D74D0"/>
    <w:rsid w:val="007E037B"/>
    <w:rsid w:val="007E0FD5"/>
    <w:rsid w:val="007E343B"/>
    <w:rsid w:val="007E5DFC"/>
    <w:rsid w:val="007E61A7"/>
    <w:rsid w:val="007F321B"/>
    <w:rsid w:val="007F40AE"/>
    <w:rsid w:val="007F4316"/>
    <w:rsid w:val="0080430A"/>
    <w:rsid w:val="00804D8B"/>
    <w:rsid w:val="00806CCC"/>
    <w:rsid w:val="008132CC"/>
    <w:rsid w:val="008134B4"/>
    <w:rsid w:val="00813560"/>
    <w:rsid w:val="008141FE"/>
    <w:rsid w:val="008155AF"/>
    <w:rsid w:val="008211AA"/>
    <w:rsid w:val="00821AE3"/>
    <w:rsid w:val="0082263D"/>
    <w:rsid w:val="00825EB9"/>
    <w:rsid w:val="008262A7"/>
    <w:rsid w:val="008313F1"/>
    <w:rsid w:val="00832CC3"/>
    <w:rsid w:val="00833C1A"/>
    <w:rsid w:val="00833DB8"/>
    <w:rsid w:val="00834225"/>
    <w:rsid w:val="00841C58"/>
    <w:rsid w:val="00850CDE"/>
    <w:rsid w:val="00851BE9"/>
    <w:rsid w:val="00852ECC"/>
    <w:rsid w:val="008558FC"/>
    <w:rsid w:val="00864EC0"/>
    <w:rsid w:val="00866BDC"/>
    <w:rsid w:val="00866E90"/>
    <w:rsid w:val="00870EC0"/>
    <w:rsid w:val="0087181F"/>
    <w:rsid w:val="0087489E"/>
    <w:rsid w:val="00882C58"/>
    <w:rsid w:val="00883DE8"/>
    <w:rsid w:val="00885784"/>
    <w:rsid w:val="00885A7D"/>
    <w:rsid w:val="00885BB4"/>
    <w:rsid w:val="00886B06"/>
    <w:rsid w:val="008910B4"/>
    <w:rsid w:val="00891B21"/>
    <w:rsid w:val="0089493B"/>
    <w:rsid w:val="0089621F"/>
    <w:rsid w:val="00897007"/>
    <w:rsid w:val="00897374"/>
    <w:rsid w:val="008A51BA"/>
    <w:rsid w:val="008A5723"/>
    <w:rsid w:val="008A5FE5"/>
    <w:rsid w:val="008A63BB"/>
    <w:rsid w:val="008B6E6E"/>
    <w:rsid w:val="008C06F0"/>
    <w:rsid w:val="008C1CAC"/>
    <w:rsid w:val="008C4044"/>
    <w:rsid w:val="008C7443"/>
    <w:rsid w:val="008D0546"/>
    <w:rsid w:val="008D0FBE"/>
    <w:rsid w:val="008D2D22"/>
    <w:rsid w:val="008D3B9C"/>
    <w:rsid w:val="008D5D48"/>
    <w:rsid w:val="008D7BE9"/>
    <w:rsid w:val="008E0AFE"/>
    <w:rsid w:val="008E1D5E"/>
    <w:rsid w:val="008E75B8"/>
    <w:rsid w:val="008E777F"/>
    <w:rsid w:val="008F062F"/>
    <w:rsid w:val="008F0D4C"/>
    <w:rsid w:val="008F1094"/>
    <w:rsid w:val="008F5BEE"/>
    <w:rsid w:val="008F6328"/>
    <w:rsid w:val="009007D9"/>
    <w:rsid w:val="0090096E"/>
    <w:rsid w:val="009010E8"/>
    <w:rsid w:val="00901939"/>
    <w:rsid w:val="0090397D"/>
    <w:rsid w:val="009040F9"/>
    <w:rsid w:val="0090560F"/>
    <w:rsid w:val="00905B1B"/>
    <w:rsid w:val="00907525"/>
    <w:rsid w:val="00907A60"/>
    <w:rsid w:val="00907AC0"/>
    <w:rsid w:val="009102CE"/>
    <w:rsid w:val="00915992"/>
    <w:rsid w:val="00921D31"/>
    <w:rsid w:val="00926FC8"/>
    <w:rsid w:val="00937258"/>
    <w:rsid w:val="0094011C"/>
    <w:rsid w:val="00946F0C"/>
    <w:rsid w:val="00952340"/>
    <w:rsid w:val="0095389F"/>
    <w:rsid w:val="00953DD4"/>
    <w:rsid w:val="00954756"/>
    <w:rsid w:val="00955A14"/>
    <w:rsid w:val="00956867"/>
    <w:rsid w:val="00956DD7"/>
    <w:rsid w:val="00957A1B"/>
    <w:rsid w:val="00957FB9"/>
    <w:rsid w:val="0096712D"/>
    <w:rsid w:val="0097615A"/>
    <w:rsid w:val="00980470"/>
    <w:rsid w:val="0098571D"/>
    <w:rsid w:val="00986074"/>
    <w:rsid w:val="00986EFC"/>
    <w:rsid w:val="00987AB0"/>
    <w:rsid w:val="00987D0A"/>
    <w:rsid w:val="009915DC"/>
    <w:rsid w:val="00991A01"/>
    <w:rsid w:val="009948DC"/>
    <w:rsid w:val="0099532A"/>
    <w:rsid w:val="00996C03"/>
    <w:rsid w:val="00997389"/>
    <w:rsid w:val="009A0340"/>
    <w:rsid w:val="009A1215"/>
    <w:rsid w:val="009A2DC0"/>
    <w:rsid w:val="009A352B"/>
    <w:rsid w:val="009A59E1"/>
    <w:rsid w:val="009A75D6"/>
    <w:rsid w:val="009B574F"/>
    <w:rsid w:val="009C255D"/>
    <w:rsid w:val="009C27BB"/>
    <w:rsid w:val="009D2E95"/>
    <w:rsid w:val="009D31C4"/>
    <w:rsid w:val="009D38B5"/>
    <w:rsid w:val="009D38E9"/>
    <w:rsid w:val="009D3D4C"/>
    <w:rsid w:val="009D5926"/>
    <w:rsid w:val="009D597D"/>
    <w:rsid w:val="009D5A03"/>
    <w:rsid w:val="009D7D6C"/>
    <w:rsid w:val="009E2594"/>
    <w:rsid w:val="009E339E"/>
    <w:rsid w:val="009E47C0"/>
    <w:rsid w:val="009E67D2"/>
    <w:rsid w:val="00A00133"/>
    <w:rsid w:val="00A035A6"/>
    <w:rsid w:val="00A04609"/>
    <w:rsid w:val="00A05AA6"/>
    <w:rsid w:val="00A149B8"/>
    <w:rsid w:val="00A15CE6"/>
    <w:rsid w:val="00A200D6"/>
    <w:rsid w:val="00A21463"/>
    <w:rsid w:val="00A25CDB"/>
    <w:rsid w:val="00A302B8"/>
    <w:rsid w:val="00A307E6"/>
    <w:rsid w:val="00A30C33"/>
    <w:rsid w:val="00A31FE5"/>
    <w:rsid w:val="00A321F2"/>
    <w:rsid w:val="00A37001"/>
    <w:rsid w:val="00A37009"/>
    <w:rsid w:val="00A378E1"/>
    <w:rsid w:val="00A37D3B"/>
    <w:rsid w:val="00A43625"/>
    <w:rsid w:val="00A45935"/>
    <w:rsid w:val="00A51AF7"/>
    <w:rsid w:val="00A52417"/>
    <w:rsid w:val="00A549F6"/>
    <w:rsid w:val="00A56C87"/>
    <w:rsid w:val="00A56E15"/>
    <w:rsid w:val="00A66121"/>
    <w:rsid w:val="00A708A4"/>
    <w:rsid w:val="00A70A56"/>
    <w:rsid w:val="00A72876"/>
    <w:rsid w:val="00A7357C"/>
    <w:rsid w:val="00A74585"/>
    <w:rsid w:val="00A771B7"/>
    <w:rsid w:val="00A81A0A"/>
    <w:rsid w:val="00A83064"/>
    <w:rsid w:val="00A838C6"/>
    <w:rsid w:val="00A842D5"/>
    <w:rsid w:val="00A85257"/>
    <w:rsid w:val="00A91223"/>
    <w:rsid w:val="00A956D0"/>
    <w:rsid w:val="00AA042A"/>
    <w:rsid w:val="00AA5980"/>
    <w:rsid w:val="00AA5BBB"/>
    <w:rsid w:val="00AA72A8"/>
    <w:rsid w:val="00AC00AB"/>
    <w:rsid w:val="00AC2431"/>
    <w:rsid w:val="00AC2AE2"/>
    <w:rsid w:val="00AC5961"/>
    <w:rsid w:val="00AD006E"/>
    <w:rsid w:val="00AD032F"/>
    <w:rsid w:val="00AD38B9"/>
    <w:rsid w:val="00AD43FB"/>
    <w:rsid w:val="00AD474F"/>
    <w:rsid w:val="00AE0049"/>
    <w:rsid w:val="00AE1898"/>
    <w:rsid w:val="00AE2CB0"/>
    <w:rsid w:val="00AE2ED6"/>
    <w:rsid w:val="00AE7D57"/>
    <w:rsid w:val="00AF1A42"/>
    <w:rsid w:val="00AF5970"/>
    <w:rsid w:val="00B01879"/>
    <w:rsid w:val="00B05110"/>
    <w:rsid w:val="00B05D77"/>
    <w:rsid w:val="00B11FEF"/>
    <w:rsid w:val="00B1349B"/>
    <w:rsid w:val="00B15629"/>
    <w:rsid w:val="00B159A3"/>
    <w:rsid w:val="00B20249"/>
    <w:rsid w:val="00B20365"/>
    <w:rsid w:val="00B23210"/>
    <w:rsid w:val="00B23B92"/>
    <w:rsid w:val="00B26553"/>
    <w:rsid w:val="00B26C47"/>
    <w:rsid w:val="00B27F12"/>
    <w:rsid w:val="00B32283"/>
    <w:rsid w:val="00B33E47"/>
    <w:rsid w:val="00B37882"/>
    <w:rsid w:val="00B42E0B"/>
    <w:rsid w:val="00B44633"/>
    <w:rsid w:val="00B455E6"/>
    <w:rsid w:val="00B50F71"/>
    <w:rsid w:val="00B5227A"/>
    <w:rsid w:val="00B54002"/>
    <w:rsid w:val="00B5467E"/>
    <w:rsid w:val="00B56162"/>
    <w:rsid w:val="00B60D0A"/>
    <w:rsid w:val="00B61E80"/>
    <w:rsid w:val="00B63ED5"/>
    <w:rsid w:val="00B64E86"/>
    <w:rsid w:val="00B7410B"/>
    <w:rsid w:val="00B744BA"/>
    <w:rsid w:val="00B7571C"/>
    <w:rsid w:val="00B775E4"/>
    <w:rsid w:val="00B808A9"/>
    <w:rsid w:val="00B80DE0"/>
    <w:rsid w:val="00B82A58"/>
    <w:rsid w:val="00B9140E"/>
    <w:rsid w:val="00B93AD5"/>
    <w:rsid w:val="00BA3CC2"/>
    <w:rsid w:val="00BA3F8B"/>
    <w:rsid w:val="00BA4D87"/>
    <w:rsid w:val="00BA67B4"/>
    <w:rsid w:val="00BB3DB3"/>
    <w:rsid w:val="00BB61CB"/>
    <w:rsid w:val="00BC1029"/>
    <w:rsid w:val="00BC2F6E"/>
    <w:rsid w:val="00BC6AE0"/>
    <w:rsid w:val="00BC7A3A"/>
    <w:rsid w:val="00BD1A23"/>
    <w:rsid w:val="00BD4996"/>
    <w:rsid w:val="00BD4B95"/>
    <w:rsid w:val="00BD522B"/>
    <w:rsid w:val="00BD6564"/>
    <w:rsid w:val="00BD687E"/>
    <w:rsid w:val="00BE18C0"/>
    <w:rsid w:val="00BE2ECA"/>
    <w:rsid w:val="00BE6F76"/>
    <w:rsid w:val="00BE7D15"/>
    <w:rsid w:val="00BF3F3B"/>
    <w:rsid w:val="00BF52D7"/>
    <w:rsid w:val="00BF751D"/>
    <w:rsid w:val="00C00455"/>
    <w:rsid w:val="00C04897"/>
    <w:rsid w:val="00C050C5"/>
    <w:rsid w:val="00C122AC"/>
    <w:rsid w:val="00C1377F"/>
    <w:rsid w:val="00C13DAC"/>
    <w:rsid w:val="00C216B1"/>
    <w:rsid w:val="00C21A38"/>
    <w:rsid w:val="00C2227B"/>
    <w:rsid w:val="00C227B0"/>
    <w:rsid w:val="00C23DD5"/>
    <w:rsid w:val="00C2790B"/>
    <w:rsid w:val="00C31147"/>
    <w:rsid w:val="00C313C9"/>
    <w:rsid w:val="00C34B38"/>
    <w:rsid w:val="00C363C0"/>
    <w:rsid w:val="00C3673F"/>
    <w:rsid w:val="00C36BBC"/>
    <w:rsid w:val="00C40751"/>
    <w:rsid w:val="00C43786"/>
    <w:rsid w:val="00C4498F"/>
    <w:rsid w:val="00C44EB4"/>
    <w:rsid w:val="00C46AF9"/>
    <w:rsid w:val="00C47C9C"/>
    <w:rsid w:val="00C50CEE"/>
    <w:rsid w:val="00C5239C"/>
    <w:rsid w:val="00C54A71"/>
    <w:rsid w:val="00C57B55"/>
    <w:rsid w:val="00C60D35"/>
    <w:rsid w:val="00C64081"/>
    <w:rsid w:val="00C64183"/>
    <w:rsid w:val="00C707B1"/>
    <w:rsid w:val="00C70EC7"/>
    <w:rsid w:val="00C7165D"/>
    <w:rsid w:val="00C75D3C"/>
    <w:rsid w:val="00C8078B"/>
    <w:rsid w:val="00C83A54"/>
    <w:rsid w:val="00C84FCE"/>
    <w:rsid w:val="00C86E5C"/>
    <w:rsid w:val="00C949B4"/>
    <w:rsid w:val="00C94D60"/>
    <w:rsid w:val="00C965EA"/>
    <w:rsid w:val="00C97761"/>
    <w:rsid w:val="00CA71D5"/>
    <w:rsid w:val="00CB046B"/>
    <w:rsid w:val="00CB131C"/>
    <w:rsid w:val="00CB141F"/>
    <w:rsid w:val="00CB1A0E"/>
    <w:rsid w:val="00CB1E3D"/>
    <w:rsid w:val="00CB48AF"/>
    <w:rsid w:val="00CC4AE9"/>
    <w:rsid w:val="00CC6150"/>
    <w:rsid w:val="00CC7061"/>
    <w:rsid w:val="00CC7582"/>
    <w:rsid w:val="00CD0836"/>
    <w:rsid w:val="00CD1A40"/>
    <w:rsid w:val="00CD4778"/>
    <w:rsid w:val="00CD54FD"/>
    <w:rsid w:val="00CD5B74"/>
    <w:rsid w:val="00CD6C19"/>
    <w:rsid w:val="00CE0407"/>
    <w:rsid w:val="00CE0F64"/>
    <w:rsid w:val="00CE1D09"/>
    <w:rsid w:val="00CE3E30"/>
    <w:rsid w:val="00CE5919"/>
    <w:rsid w:val="00CF3211"/>
    <w:rsid w:val="00CF3AD1"/>
    <w:rsid w:val="00CF4DFF"/>
    <w:rsid w:val="00CF6ABE"/>
    <w:rsid w:val="00D0028C"/>
    <w:rsid w:val="00D00516"/>
    <w:rsid w:val="00D00D21"/>
    <w:rsid w:val="00D02EFC"/>
    <w:rsid w:val="00D0727A"/>
    <w:rsid w:val="00D10D58"/>
    <w:rsid w:val="00D12BE5"/>
    <w:rsid w:val="00D14482"/>
    <w:rsid w:val="00D157E7"/>
    <w:rsid w:val="00D1644D"/>
    <w:rsid w:val="00D20C3E"/>
    <w:rsid w:val="00D23198"/>
    <w:rsid w:val="00D233A6"/>
    <w:rsid w:val="00D237E7"/>
    <w:rsid w:val="00D259F8"/>
    <w:rsid w:val="00D34918"/>
    <w:rsid w:val="00D4070E"/>
    <w:rsid w:val="00D41489"/>
    <w:rsid w:val="00D44D2C"/>
    <w:rsid w:val="00D45844"/>
    <w:rsid w:val="00D51D23"/>
    <w:rsid w:val="00D53F87"/>
    <w:rsid w:val="00D561FC"/>
    <w:rsid w:val="00D562FD"/>
    <w:rsid w:val="00D61833"/>
    <w:rsid w:val="00D619DC"/>
    <w:rsid w:val="00D62F37"/>
    <w:rsid w:val="00D64244"/>
    <w:rsid w:val="00D70452"/>
    <w:rsid w:val="00D730DD"/>
    <w:rsid w:val="00D75138"/>
    <w:rsid w:val="00D75883"/>
    <w:rsid w:val="00D75C7C"/>
    <w:rsid w:val="00D82CBF"/>
    <w:rsid w:val="00D83228"/>
    <w:rsid w:val="00D84C34"/>
    <w:rsid w:val="00D87406"/>
    <w:rsid w:val="00D9055B"/>
    <w:rsid w:val="00D943F2"/>
    <w:rsid w:val="00D95A1F"/>
    <w:rsid w:val="00DA07BF"/>
    <w:rsid w:val="00DA0E0C"/>
    <w:rsid w:val="00DA1187"/>
    <w:rsid w:val="00DA3770"/>
    <w:rsid w:val="00DA5711"/>
    <w:rsid w:val="00DB2259"/>
    <w:rsid w:val="00DB454D"/>
    <w:rsid w:val="00DB5DA2"/>
    <w:rsid w:val="00DB7AAE"/>
    <w:rsid w:val="00DC1413"/>
    <w:rsid w:val="00DC510D"/>
    <w:rsid w:val="00DD0039"/>
    <w:rsid w:val="00DD1704"/>
    <w:rsid w:val="00DD2A50"/>
    <w:rsid w:val="00DD44B3"/>
    <w:rsid w:val="00DE4B99"/>
    <w:rsid w:val="00DE66D0"/>
    <w:rsid w:val="00DE6A16"/>
    <w:rsid w:val="00DF4BF3"/>
    <w:rsid w:val="00DF4D7D"/>
    <w:rsid w:val="00E13606"/>
    <w:rsid w:val="00E13825"/>
    <w:rsid w:val="00E20554"/>
    <w:rsid w:val="00E21800"/>
    <w:rsid w:val="00E22FAB"/>
    <w:rsid w:val="00E26258"/>
    <w:rsid w:val="00E26413"/>
    <w:rsid w:val="00E3062D"/>
    <w:rsid w:val="00E30959"/>
    <w:rsid w:val="00E3225F"/>
    <w:rsid w:val="00E33C04"/>
    <w:rsid w:val="00E349BD"/>
    <w:rsid w:val="00E37E9E"/>
    <w:rsid w:val="00E4040B"/>
    <w:rsid w:val="00E42031"/>
    <w:rsid w:val="00E445AB"/>
    <w:rsid w:val="00E4566B"/>
    <w:rsid w:val="00E478B2"/>
    <w:rsid w:val="00E519B3"/>
    <w:rsid w:val="00E524C1"/>
    <w:rsid w:val="00E530A7"/>
    <w:rsid w:val="00E5360C"/>
    <w:rsid w:val="00E5503A"/>
    <w:rsid w:val="00E60389"/>
    <w:rsid w:val="00E633D7"/>
    <w:rsid w:val="00E63A86"/>
    <w:rsid w:val="00E64367"/>
    <w:rsid w:val="00E66C7A"/>
    <w:rsid w:val="00E67D1F"/>
    <w:rsid w:val="00E7086C"/>
    <w:rsid w:val="00E71782"/>
    <w:rsid w:val="00E73947"/>
    <w:rsid w:val="00E84EE4"/>
    <w:rsid w:val="00E93819"/>
    <w:rsid w:val="00E9680B"/>
    <w:rsid w:val="00EA266A"/>
    <w:rsid w:val="00EA3200"/>
    <w:rsid w:val="00EA45BF"/>
    <w:rsid w:val="00EA4A6C"/>
    <w:rsid w:val="00EA6E3A"/>
    <w:rsid w:val="00EA7AAA"/>
    <w:rsid w:val="00EA7E91"/>
    <w:rsid w:val="00EB3B0F"/>
    <w:rsid w:val="00EB418B"/>
    <w:rsid w:val="00EB4CD0"/>
    <w:rsid w:val="00EB76EF"/>
    <w:rsid w:val="00EC75EA"/>
    <w:rsid w:val="00ED2217"/>
    <w:rsid w:val="00ED3B16"/>
    <w:rsid w:val="00ED6CA8"/>
    <w:rsid w:val="00ED6D30"/>
    <w:rsid w:val="00ED77C8"/>
    <w:rsid w:val="00EE0829"/>
    <w:rsid w:val="00EE48B3"/>
    <w:rsid w:val="00EE7004"/>
    <w:rsid w:val="00EE7229"/>
    <w:rsid w:val="00EF09BB"/>
    <w:rsid w:val="00EF4CA7"/>
    <w:rsid w:val="00EF7432"/>
    <w:rsid w:val="00F0025D"/>
    <w:rsid w:val="00F00EBE"/>
    <w:rsid w:val="00F03EBC"/>
    <w:rsid w:val="00F04F41"/>
    <w:rsid w:val="00F059CC"/>
    <w:rsid w:val="00F063C8"/>
    <w:rsid w:val="00F0654F"/>
    <w:rsid w:val="00F07C0D"/>
    <w:rsid w:val="00F22716"/>
    <w:rsid w:val="00F235F0"/>
    <w:rsid w:val="00F2699F"/>
    <w:rsid w:val="00F3256E"/>
    <w:rsid w:val="00F32D22"/>
    <w:rsid w:val="00F3328B"/>
    <w:rsid w:val="00F34FE8"/>
    <w:rsid w:val="00F42A95"/>
    <w:rsid w:val="00F454E6"/>
    <w:rsid w:val="00F504A1"/>
    <w:rsid w:val="00F53E12"/>
    <w:rsid w:val="00F54BAE"/>
    <w:rsid w:val="00F57C18"/>
    <w:rsid w:val="00F60D39"/>
    <w:rsid w:val="00F6304B"/>
    <w:rsid w:val="00F632BD"/>
    <w:rsid w:val="00F64C14"/>
    <w:rsid w:val="00F65664"/>
    <w:rsid w:val="00F67ABE"/>
    <w:rsid w:val="00F74C3E"/>
    <w:rsid w:val="00F75B9F"/>
    <w:rsid w:val="00F819D0"/>
    <w:rsid w:val="00F81F48"/>
    <w:rsid w:val="00F83B8F"/>
    <w:rsid w:val="00F847AA"/>
    <w:rsid w:val="00F87B2A"/>
    <w:rsid w:val="00F92ADB"/>
    <w:rsid w:val="00F95537"/>
    <w:rsid w:val="00F978B5"/>
    <w:rsid w:val="00FA0493"/>
    <w:rsid w:val="00FA2112"/>
    <w:rsid w:val="00FA2BD2"/>
    <w:rsid w:val="00FA2DE5"/>
    <w:rsid w:val="00FA3F7B"/>
    <w:rsid w:val="00FB0590"/>
    <w:rsid w:val="00FB132B"/>
    <w:rsid w:val="00FB4428"/>
    <w:rsid w:val="00FB61E9"/>
    <w:rsid w:val="00FB6EE5"/>
    <w:rsid w:val="00FC5697"/>
    <w:rsid w:val="00FC7B67"/>
    <w:rsid w:val="00FD06E4"/>
    <w:rsid w:val="00FD5CCE"/>
    <w:rsid w:val="00FD68F0"/>
    <w:rsid w:val="00FD6EC9"/>
    <w:rsid w:val="00FD738D"/>
    <w:rsid w:val="00FD7551"/>
    <w:rsid w:val="00FD7BC8"/>
    <w:rsid w:val="00FD7F40"/>
    <w:rsid w:val="00FF1988"/>
    <w:rsid w:val="00FF24C8"/>
    <w:rsid w:val="00FF6C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39C"/>
    <w:pPr>
      <w:spacing w:after="200" w:line="276" w:lineRule="auto"/>
    </w:pPr>
    <w:rPr>
      <w:rFonts w:ascii="Times New Roman" w:hAnsi="Times New Roman"/>
      <w:sz w:val="24"/>
    </w:rPr>
  </w:style>
  <w:style w:type="paragraph" w:styleId="Heading1">
    <w:name w:val="heading 1"/>
    <w:basedOn w:val="Normal"/>
    <w:next w:val="Normal"/>
    <w:link w:val="Heading1Char"/>
    <w:autoRedefine/>
    <w:uiPriority w:val="9"/>
    <w:qFormat/>
    <w:rsid w:val="004A6827"/>
    <w:pPr>
      <w:keepNext/>
      <w:keepLines/>
      <w:numPr>
        <w:numId w:val="38"/>
      </w:numPr>
      <w:spacing w:after="240" w:line="240" w:lineRule="auto"/>
      <w:ind w:left="720"/>
      <w:outlineLvl w:val="0"/>
    </w:pPr>
    <w:rPr>
      <w:rFonts w:ascii="Times New Roman Bold" w:eastAsia="Batang" w:hAnsi="Times New Roman Bold" w:cs="Times New Roman"/>
      <w:b/>
      <w:caps/>
      <w:szCs w:val="24"/>
    </w:rPr>
  </w:style>
  <w:style w:type="paragraph" w:styleId="Heading2">
    <w:name w:val="heading 2"/>
    <w:basedOn w:val="Heading1"/>
    <w:next w:val="Normal"/>
    <w:link w:val="Heading2Char"/>
    <w:autoRedefine/>
    <w:uiPriority w:val="9"/>
    <w:unhideWhenUsed/>
    <w:qFormat/>
    <w:rsid w:val="00BA3F8B"/>
    <w:pPr>
      <w:ind w:firstLine="0"/>
      <w:outlineLvl w:val="1"/>
    </w:pPr>
    <w:rPr>
      <w:rFonts w:eastAsiaTheme="majorEastAsia"/>
      <w:caps w:val="0"/>
    </w:rPr>
  </w:style>
  <w:style w:type="paragraph" w:styleId="Heading3">
    <w:name w:val="heading 3"/>
    <w:basedOn w:val="Normal"/>
    <w:next w:val="Normal"/>
    <w:link w:val="Heading3Char"/>
    <w:uiPriority w:val="9"/>
    <w:unhideWhenUsed/>
    <w:qFormat/>
    <w:rsid w:val="00CB48AF"/>
    <w:pPr>
      <w:keepNext/>
      <w:keepLines/>
      <w:spacing w:after="240" w:line="240" w:lineRule="auto"/>
      <w:ind w:left="2160" w:hanging="720"/>
      <w:outlineLvl w:val="2"/>
    </w:pPr>
    <w:rPr>
      <w:rFonts w:ascii="Times New Roman Bold" w:hAnsi="Times New Roman Bold" w:eastAsiaTheme="majorEastAsia" w:cstheme="majorBidi"/>
      <w:b/>
      <w:szCs w:val="24"/>
    </w:rPr>
  </w:style>
  <w:style w:type="paragraph" w:styleId="Heading4">
    <w:name w:val="heading 4"/>
    <w:basedOn w:val="Normal"/>
    <w:next w:val="Normal"/>
    <w:link w:val="Heading4Char"/>
    <w:uiPriority w:val="9"/>
    <w:unhideWhenUsed/>
    <w:qFormat/>
    <w:pPr>
      <w:keepNext/>
      <w:keepLines/>
      <w:spacing w:before="100" w:beforeAutospacing="1" w:after="240" w:line="240" w:lineRule="auto"/>
      <w:ind w:left="720"/>
      <w:outlineLvl w:val="3"/>
    </w:pPr>
    <w:rPr>
      <w:rFonts w:ascii="Times New Roman Bold" w:hAnsi="Times New Roman Bold"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827"/>
    <w:rPr>
      <w:rFonts w:ascii="Times New Roman Bold" w:eastAsia="Batang" w:hAnsi="Times New Roman Bold" w:cs="Times New Roman"/>
      <w:b/>
      <w:caps/>
      <w:sz w:val="24"/>
      <w:szCs w:val="24"/>
    </w:rPr>
  </w:style>
  <w:style w:type="character" w:customStyle="1" w:styleId="Heading2Char">
    <w:name w:val="Heading 2 Char"/>
    <w:basedOn w:val="DefaultParagraphFont"/>
    <w:link w:val="Heading2"/>
    <w:uiPriority w:val="9"/>
    <w:rsid w:val="00BA3F8B"/>
    <w:rPr>
      <w:rFonts w:ascii="Times New Roman Bold" w:hAnsi="Times New Roman Bold" w:eastAsiaTheme="majorEastAsia" w:cs="Times New Roman"/>
      <w:b/>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Courier New" w:hAnsi="Courier New" w:cs="Courier New"/>
      <w:sz w:val="20"/>
      <w:szCs w:val="20"/>
    </w:rPr>
  </w:style>
  <w:style w:type="character" w:styleId="Hyperlink">
    <w:name w:val="Hyperlink"/>
    <w:uiPriority w:val="99"/>
    <w:rPr>
      <w:color w:val="0000FF"/>
      <w:u w:val="single"/>
    </w:rPr>
  </w:style>
  <w:style w:type="paragraph" w:styleId="Footer">
    <w:name w:val="footer"/>
    <w:aliases w:val="Char1"/>
    <w:basedOn w:val="Normal"/>
    <w:link w:val="FooterChar"/>
    <w:uiPriority w:val="99"/>
    <w:pPr>
      <w:tabs>
        <w:tab w:val="center" w:pos="4320"/>
        <w:tab w:val="right" w:pos="8640"/>
      </w:tabs>
      <w:spacing w:after="0" w:line="240" w:lineRule="auto"/>
    </w:pPr>
    <w:rPr>
      <w:rFonts w:eastAsia="Times New Roman" w:cs="Times New Roman"/>
      <w:szCs w:val="24"/>
    </w:rPr>
  </w:style>
  <w:style w:type="character" w:customStyle="1" w:styleId="FooterChar">
    <w:name w:val="Footer Char"/>
    <w:aliases w:val="Char1 Char"/>
    <w:basedOn w:val="DefaultParagraphFont"/>
    <w:link w:val="Footer"/>
    <w:uiPriority w:val="99"/>
    <w:rPr>
      <w:rFonts w:ascii="Times New Roman" w:eastAsia="Times New Roman" w:hAnsi="Times New Roman" w:cs="Times New Roman"/>
      <w:sz w:val="24"/>
      <w:szCs w:val="24"/>
    </w:rPr>
  </w:style>
  <w:style w:type="paragraph" w:styleId="CommentText">
    <w:name w:val="annotation text"/>
    <w:basedOn w:val="Normal"/>
    <w:link w:val="CommentTextChar"/>
    <w:uiPriority w:val="99"/>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qFormat/>
    <w:pPr>
      <w:spacing w:after="0" w:line="240" w:lineRule="auto"/>
    </w:pPr>
    <w:rPr>
      <w:rFonts w:ascii="Arial" w:eastAsia="Times New Roman" w:hAnsi="Arial" w:cs="Times New Roman"/>
      <w:spacing w:val="-5"/>
      <w:sz w:val="20"/>
      <w:szCs w:val="20"/>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uiPriority w:val="99"/>
    <w:rPr>
      <w:rFonts w:ascii="Arial" w:eastAsia="Times New Roman" w:hAnsi="Arial" w:cs="Times New Roman"/>
      <w:spacing w:val="-5"/>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BodyTextIndent3">
    <w:name w:val="Body Text Indent 3"/>
    <w:basedOn w:val="Normal"/>
    <w:link w:val="BodyTextIndent3Char"/>
    <w:uiPriority w:val="99"/>
    <w:unhideWhenUsed/>
    <w:pPr>
      <w:spacing w:after="120"/>
      <w:ind w:left="360"/>
    </w:pPr>
    <w:rPr>
      <w:sz w:val="16"/>
      <w:szCs w:val="16"/>
    </w:rPr>
  </w:style>
  <w:style w:type="character" w:customStyle="1" w:styleId="BodyTextIndent3Char">
    <w:name w:val="Body Text Indent 3 Char"/>
    <w:basedOn w:val="DefaultParagraphFont"/>
    <w:link w:val="BodyTextIndent3"/>
    <w:uiPriority w:val="99"/>
    <w:rPr>
      <w:rFonts w:ascii="Times New Roman" w:hAnsi="Times New Roman"/>
      <w:sz w:val="16"/>
      <w:szCs w:val="16"/>
    </w:rPr>
  </w:style>
  <w:style w:type="paragraph" w:styleId="PlainText">
    <w:name w:val="Plain Text"/>
    <w:basedOn w:val="Normal"/>
    <w:link w:val="PlainTextChar"/>
    <w:uiPriority w:val="99"/>
    <w:unhideWhenUse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Pr>
      <w:rFonts w:ascii="Calibri" w:hAnsi="Calibri"/>
      <w:szCs w:val="2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ssrfcpassagedeactivated">
    <w:name w:val="ss_rfcpassage_deactivated"/>
    <w:basedOn w:val="DefaultParagraphFont"/>
  </w:style>
  <w:style w:type="character" w:customStyle="1" w:styleId="ssit">
    <w:name w:val="ss_it"/>
    <w:basedOn w:val="DefaultParagraphFont"/>
  </w:style>
  <w:style w:type="character" w:customStyle="1" w:styleId="ssrptrline">
    <w:name w:val="ss_rptrline"/>
    <w:basedOn w:val="DefaultParagraphFont"/>
  </w:style>
  <w:style w:type="character" w:customStyle="1" w:styleId="ssleftalign">
    <w:name w:val="ss_leftalign"/>
    <w:basedOn w:val="DefaultParagraphFont"/>
  </w:style>
  <w:style w:type="paragraph" w:styleId="TOC1">
    <w:name w:val="toc 1"/>
    <w:basedOn w:val="Normal"/>
    <w:next w:val="Normal"/>
    <w:autoRedefine/>
    <w:uiPriority w:val="39"/>
    <w:unhideWhenUsed/>
    <w:rsid w:val="00214434"/>
    <w:pPr>
      <w:tabs>
        <w:tab w:val="decimal" w:leader="dot" w:pos="9360"/>
      </w:tabs>
      <w:spacing w:after="240" w:line="240" w:lineRule="auto"/>
      <w:ind w:left="720" w:hanging="720"/>
    </w:pPr>
    <w:rPr>
      <w:rFonts w:cs="Times New Roman"/>
      <w:noProof/>
      <w:szCs w:val="24"/>
    </w:rPr>
  </w:style>
  <w:style w:type="paragraph" w:styleId="TOC2">
    <w:name w:val="toc 2"/>
    <w:basedOn w:val="Normal"/>
    <w:next w:val="Normal"/>
    <w:autoRedefine/>
    <w:uiPriority w:val="39"/>
    <w:unhideWhenUsed/>
    <w:rsid w:val="00D4070E"/>
    <w:pPr>
      <w:tabs>
        <w:tab w:val="decimal" w:leader="dot" w:pos="9360"/>
      </w:tabs>
      <w:spacing w:after="240" w:line="240" w:lineRule="auto"/>
      <w:ind w:left="720"/>
    </w:pPr>
  </w:style>
  <w:style w:type="paragraph" w:styleId="BalloonText">
    <w:name w:val="Balloon Text"/>
    <w:basedOn w:val="Normal"/>
    <w:link w:val="BalloonTextChar"/>
    <w:uiPriority w:val="99"/>
    <w:semiHidden/>
    <w:unhideWhenUsed/>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rsid w:val="00CB48AF"/>
    <w:rPr>
      <w:rFonts w:ascii="Times New Roman Bold" w:hAnsi="Times New Roman Bold" w:eastAsiaTheme="majorEastAsia" w:cstheme="majorBidi"/>
      <w:b/>
      <w:sz w:val="24"/>
      <w:szCs w:val="24"/>
    </w:rPr>
  </w:style>
  <w:style w:type="character" w:customStyle="1" w:styleId="Heading4Char">
    <w:name w:val="Heading 4 Char"/>
    <w:basedOn w:val="DefaultParagraphFont"/>
    <w:link w:val="Heading4"/>
    <w:uiPriority w:val="9"/>
    <w:rPr>
      <w:rFonts w:ascii="Times New Roman Bold" w:hAnsi="Times New Roman Bold" w:eastAsiaTheme="majorEastAsia" w:cstheme="majorBidi"/>
      <w:b/>
      <w:iCs/>
      <w:sz w:val="24"/>
    </w:rPr>
  </w:style>
  <w:style w:type="paragraph" w:styleId="TOC3">
    <w:name w:val="toc 3"/>
    <w:basedOn w:val="Normal"/>
    <w:next w:val="Normal"/>
    <w:autoRedefine/>
    <w:uiPriority w:val="39"/>
    <w:unhideWhenUsed/>
    <w:rsid w:val="00D4070E"/>
    <w:pPr>
      <w:tabs>
        <w:tab w:val="decimal" w:leader="dot" w:pos="9360"/>
      </w:tabs>
      <w:spacing w:after="240" w:line="240" w:lineRule="auto"/>
      <w:ind w:left="2160" w:hanging="720"/>
    </w:pPr>
  </w:style>
  <w:style w:type="paragraph" w:styleId="TOC4">
    <w:name w:val="toc 4"/>
    <w:basedOn w:val="Normal"/>
    <w:next w:val="Normal"/>
    <w:autoRedefine/>
    <w:uiPriority w:val="39"/>
    <w:unhideWhenUsed/>
    <w:pPr>
      <w:spacing w:after="240" w:line="240" w:lineRule="auto"/>
      <w:ind w:left="720"/>
    </w:pPr>
  </w:style>
  <w:style w:type="character" w:styleId="PageNumber">
    <w:name w:val="page number"/>
    <w:basedOn w:val="DefaultParagraphFont"/>
    <w:uiPriority w:val="99"/>
    <w:semiHidden/>
    <w:unhideWhenUsed/>
    <w:rsid w:val="0003047F"/>
  </w:style>
  <w:style w:type="character" w:customStyle="1" w:styleId="UnresolvedMention1">
    <w:name w:val="Unresolved Mention1"/>
    <w:basedOn w:val="DefaultParagraphFont"/>
    <w:uiPriority w:val="99"/>
    <w:semiHidden/>
    <w:unhideWhenUsed/>
    <w:rsid w:val="00EA45BF"/>
    <w:rPr>
      <w:color w:val="605E5C"/>
      <w:shd w:val="clear" w:color="auto" w:fill="E1DFDD"/>
    </w:rPr>
  </w:style>
  <w:style w:type="character" w:customStyle="1" w:styleId="highlighted">
    <w:name w:val="highlighted"/>
    <w:basedOn w:val="DefaultParagraphFont"/>
    <w:rsid w:val="00866BDC"/>
  </w:style>
  <w:style w:type="character" w:customStyle="1" w:styleId="ssheadnotelink">
    <w:name w:val="ss_headnotelink"/>
    <w:basedOn w:val="DefaultParagraphFont"/>
    <w:rsid w:val="0001797F"/>
  </w:style>
  <w:style w:type="character" w:styleId="PlaceholderText">
    <w:name w:val="Placeholder Text"/>
    <w:basedOn w:val="DefaultParagraphFont"/>
    <w:uiPriority w:val="99"/>
    <w:semiHidden/>
    <w:rsid w:val="009010E8"/>
    <w:rPr>
      <w:color w:val="808080"/>
    </w:rPr>
  </w:style>
  <w:style w:type="character" w:customStyle="1" w:styleId="sssh">
    <w:name w:val="ss_sh"/>
    <w:basedOn w:val="DefaultParagraphFont"/>
    <w:rsid w:val="00115F49"/>
  </w:style>
  <w:style w:type="character" w:customStyle="1" w:styleId="ssrfcsection">
    <w:name w:val="ss_rfcsection"/>
    <w:basedOn w:val="DefaultParagraphFont"/>
    <w:rsid w:val="0011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hyperlink" Target="mailto:thomas.lindgren@ohioAGO.gov" TargetMode="External" /><Relationship Id="rId14" Type="http://schemas.openxmlformats.org/officeDocument/2006/relationships/hyperlink" Target="mailto:kyle.kern@ohioAGO.gov" TargetMode="External" /><Relationship Id="rId15" Type="http://schemas.openxmlformats.org/officeDocument/2006/relationships/hyperlink" Target="mailto:cfaruki@ficlaw.com" TargetMode="External" /><Relationship Id="rId16" Type="http://schemas.openxmlformats.org/officeDocument/2006/relationships/hyperlink" Target="mailto:jsharkey@ficlaw.com" TargetMode="External" /><Relationship Id="rId17" Type="http://schemas.openxmlformats.org/officeDocument/2006/relationships/hyperlink" Target="mailto:chollon@ficlaw.com" TargetMode="External" /><Relationship Id="rId18" Type="http://schemas.openxmlformats.org/officeDocument/2006/relationships/hyperlink" Target="mailto:joliker@igsenergy.com" TargetMode="External" /><Relationship Id="rId19" Type="http://schemas.openxmlformats.org/officeDocument/2006/relationships/hyperlink" Target="mailto:Ned.Ford@fuse.net" TargetMode="External" /><Relationship Id="rId2" Type="http://schemas.openxmlformats.org/officeDocument/2006/relationships/settings" Target="settings.xml" /><Relationship Id="rId20" Type="http://schemas.openxmlformats.org/officeDocument/2006/relationships/hyperlink" Target="mailto:mjsettineri@vorys.com" TargetMode="External" /><Relationship Id="rId21" Type="http://schemas.openxmlformats.org/officeDocument/2006/relationships/hyperlink" Target="mailto:glpetrucci@vorys.com" TargetMode="External" /><Relationship Id="rId22" Type="http://schemas.openxmlformats.org/officeDocument/2006/relationships/hyperlink" Target="mailto:bojko@carpenterlipps.com" TargetMode="External" /><Relationship Id="rId23" Type="http://schemas.openxmlformats.org/officeDocument/2006/relationships/hyperlink" Target="mailto:paul@carpenterlipps.com" TargetMode="External" /><Relationship Id="rId24" Type="http://schemas.openxmlformats.org/officeDocument/2006/relationships/hyperlink" Target="mailto:slesser@beneschlaw.com" TargetMode="External" /><Relationship Id="rId25" Type="http://schemas.openxmlformats.org/officeDocument/2006/relationships/hyperlink" Target="mailto:mkeaney@beneschlaw.com" TargetMode="External" /><Relationship Id="rId26" Type="http://schemas.openxmlformats.org/officeDocument/2006/relationships/hyperlink" Target="mailto:talexander@beneschlaw.com" TargetMode="External" /><Relationship Id="rId27" Type="http://schemas.openxmlformats.org/officeDocument/2006/relationships/hyperlink" Target="mailto:ssiewe@beneschlaw.com" TargetMode="External" /><Relationship Id="rId28" Type="http://schemas.openxmlformats.org/officeDocument/2006/relationships/hyperlink" Target="mailto:mswhite@igsenergy.com" TargetMode="External" /><Relationship Id="rId29" Type="http://schemas.openxmlformats.org/officeDocument/2006/relationships/hyperlink" Target="mailto:dborcher@bricker.com" TargetMode="External" /><Relationship Id="rId3" Type="http://schemas.openxmlformats.org/officeDocument/2006/relationships/webSettings" Target="webSettings.xml" /><Relationship Id="rId30" Type="http://schemas.openxmlformats.org/officeDocument/2006/relationships/hyperlink" Target="mailto:dparram@bricker.com" TargetMode="External" /><Relationship Id="rId31" Type="http://schemas.openxmlformats.org/officeDocument/2006/relationships/hyperlink" Target="mailto:rmains@bricker.com" TargetMode="External" /><Relationship Id="rId32" Type="http://schemas.openxmlformats.org/officeDocument/2006/relationships/hyperlink" Target="mailto:fdarr2019@gmail.com" TargetMode="External" /><Relationship Id="rId33" Type="http://schemas.openxmlformats.org/officeDocument/2006/relationships/hyperlink" Target="mailto:henry.phillips.gary@puco.ohio.gov" TargetMode="External" /><Relationship Id="rId34" Type="http://schemas.openxmlformats.org/officeDocument/2006/relationships/hyperlink" Target="mailto:gregory.price@puco.ohio.gov" TargetMode="External" /><Relationship Id="rId35" Type="http://schemas.openxmlformats.org/officeDocument/2006/relationships/hyperlink" Target="mailto:jeanne.kingery@duke-energy.com" TargetMode="External" /><Relationship Id="rId36" Type="http://schemas.openxmlformats.org/officeDocument/2006/relationships/hyperlink" Target="mailto:haydenm@firstenergycorp.com" TargetMode="External" /><Relationship Id="rId37" Type="http://schemas.openxmlformats.org/officeDocument/2006/relationships/hyperlink" Target="mailto:mjsatterwhite@aep.com" TargetMode="External" /><Relationship Id="rId38" Type="http://schemas.openxmlformats.org/officeDocument/2006/relationships/hyperlink" Target="mailto:stnourse@aep.com" TargetMode="External" /><Relationship Id="rId39" Type="http://schemas.openxmlformats.org/officeDocument/2006/relationships/hyperlink" Target="mailto:henryeckhart@aol.com" TargetMode="External" /><Relationship Id="rId4" Type="http://schemas.openxmlformats.org/officeDocument/2006/relationships/fontTable" Target="fontTable.xml" /><Relationship Id="rId40" Type="http://schemas.openxmlformats.org/officeDocument/2006/relationships/hyperlink" Target="mailto:dboehm@bkllawfirm.com" TargetMode="External" /><Relationship Id="rId41" Type="http://schemas.openxmlformats.org/officeDocument/2006/relationships/hyperlink" Target="mailto:mkurtz@bkllawfirm.com" TargetMode="External" /><Relationship Id="rId42" Type="http://schemas.openxmlformats.org/officeDocument/2006/relationships/hyperlink" Target="mailto:jkylercohn@bkllawfirm.com" TargetMode="External" /><Relationship Id="rId43" Type="http://schemas.openxmlformats.org/officeDocument/2006/relationships/hyperlink" Target="mailto:Cynthia.brady@constellation.com" TargetMode="External" /><Relationship Id="rId44" Type="http://schemas.openxmlformats.org/officeDocument/2006/relationships/hyperlink" Target="mailto:David.fein@constellation.com" TargetMode="External" /><Relationship Id="rId45" Type="http://schemas.openxmlformats.org/officeDocument/2006/relationships/hyperlink" Target="mailto:njohnson@theoec.org" TargetMode="External" /><Relationship Id="rId46" Type="http://schemas.openxmlformats.org/officeDocument/2006/relationships/hyperlink" Target="mailto:Williams.toddm@gmail.com" TargetMode="External" /><Relationship Id="rId47" Type="http://schemas.openxmlformats.org/officeDocument/2006/relationships/hyperlink" Target="mailto:ejacobs@ablelaw.org" TargetMode="External" /><Relationship Id="rId48" Type="http://schemas.openxmlformats.org/officeDocument/2006/relationships/hyperlink" Target="mailto:stephen.chriss@wal-mart.com" TargetMode="External" /><Relationship Id="rId49" Type="http://schemas.openxmlformats.org/officeDocument/2006/relationships/hyperlink" Target="mailto:rdove@keglerbrown.com" TargetMode="External" /><Relationship Id="rId5" Type="http://schemas.openxmlformats.org/officeDocument/2006/relationships/customXml" Target="../customXml/item1.xml" /><Relationship Id="rId50" Type="http://schemas.openxmlformats.org/officeDocument/2006/relationships/hyperlink" Target="mailto:fykes@whitt-sturtevant.com" TargetMode="External" /><Relationship Id="rId51" Type="http://schemas.openxmlformats.org/officeDocument/2006/relationships/hyperlink" Target="mailto:whitt@whitt-sturtevant.com" TargetMode="External" /><Relationship Id="rId52" Type="http://schemas.openxmlformats.org/officeDocument/2006/relationships/hyperlink" Target="mailto:mpritchard@mcneeslaw.com" TargetMode="External" /><Relationship Id="rId53" Type="http://schemas.openxmlformats.org/officeDocument/2006/relationships/hyperlink" Target="mailto:evan.betterton@igs.com" TargetMode="External" /><Relationship Id="rId54" Type="http://schemas.openxmlformats.org/officeDocument/2006/relationships/hyperlink" Target="mailto:michael.nugent@igs.com" TargetMode="External" /><Relationship Id="rId55" Type="http://schemas.openxmlformats.org/officeDocument/2006/relationships/hyperlink" Target="mailto:ctavenor@theOEC.org" TargetMode="External" /><Relationship Id="rId56" Type="http://schemas.openxmlformats.org/officeDocument/2006/relationships/header" Target="header3.xml" /><Relationship Id="rId57" Type="http://schemas.openxmlformats.org/officeDocument/2006/relationships/theme" Target="theme/theme1.xml" /><Relationship Id="rId58" Type="http://schemas.openxmlformats.org/officeDocument/2006/relationships/numbering" Target="numbering.xml" /><Relationship Id="rId59" Type="http://schemas.openxmlformats.org/officeDocument/2006/relationships/styles" Target="styles.xml" /><Relationship Id="rId6" Type="http://schemas.openxmlformats.org/officeDocument/2006/relationships/hyperlink" Target="mailto:maureen.willis@occ.ohio.gov" TargetMode="External" /><Relationship Id="rId7" Type="http://schemas.openxmlformats.org/officeDocument/2006/relationships/hyperlink" Target="mailto:william.michael@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DD738-46D0-48AE-89EA-F6FFC9D9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2022-10-27T17:01:13Z</dcterms:created>
  <dcterms:modified xsi:type="dcterms:W3CDTF">2022-10-27T17:01:13Z</dcterms:modified>
</cp:coreProperties>
</file>