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6A" w:rsidRPr="002D54AC" w:rsidRDefault="00663D6A" w:rsidP="00663D6A">
      <w:pPr>
        <w:jc w:val="center"/>
        <w:rPr>
          <w:b/>
          <w:sz w:val="26"/>
          <w:szCs w:val="26"/>
        </w:rPr>
      </w:pPr>
      <w:r w:rsidRPr="002D54AC">
        <w:rPr>
          <w:b/>
          <w:sz w:val="26"/>
          <w:szCs w:val="26"/>
        </w:rPr>
        <w:t>BEFORE</w:t>
      </w:r>
    </w:p>
    <w:p w:rsidR="00663D6A" w:rsidRPr="002D54AC" w:rsidRDefault="00663D6A" w:rsidP="00663D6A">
      <w:pPr>
        <w:jc w:val="center"/>
        <w:rPr>
          <w:b/>
          <w:sz w:val="26"/>
          <w:szCs w:val="26"/>
        </w:rPr>
      </w:pPr>
      <w:r w:rsidRPr="002D54AC">
        <w:rPr>
          <w:b/>
          <w:sz w:val="26"/>
          <w:szCs w:val="26"/>
        </w:rPr>
        <w:t>THE PUBLIC UTILITIES COMMISSION OF OHIO</w:t>
      </w:r>
    </w:p>
    <w:p w:rsidR="00663D6A" w:rsidRDefault="00663D6A"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688"/>
        <w:gridCol w:w="289"/>
        <w:gridCol w:w="4599"/>
      </w:tblGrid>
      <w:tr w:rsidR="00663D6A" w:rsidTr="00221496">
        <w:tc>
          <w:tcPr>
            <w:tcW w:w="4698" w:type="dxa"/>
          </w:tcPr>
          <w:p w:rsidR="001A5C2F" w:rsidRPr="00221496" w:rsidRDefault="00663D6A" w:rsidP="00977F01">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sidR="006A31D2">
              <w:rPr>
                <w:rFonts w:ascii="Times New Roman" w:hAnsi="Times New Roman"/>
                <w:sz w:val="26"/>
                <w:szCs w:val="26"/>
              </w:rPr>
              <w:t xml:space="preserve"> the Application of Duke Energy Ohio, Inc. for Recovery of Program Costs, Lost Distribution Revenue, and Performance Incentives Related to its Energy Efficiency and Demand Response Programs.</w:t>
            </w:r>
          </w:p>
        </w:tc>
        <w:tc>
          <w:tcPr>
            <w:tcW w:w="270" w:type="dxa"/>
          </w:tcPr>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1A5C2F"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A31D2" w:rsidRDefault="006A31D2"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6A31D2" w:rsidRDefault="006A31D2"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6A31D2" w:rsidRPr="00221496" w:rsidRDefault="006A31D2"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608" w:type="dxa"/>
          </w:tcPr>
          <w:p w:rsidR="006A31D2" w:rsidRDefault="006A31D2" w:rsidP="00977F01">
            <w:pPr>
              <w:pStyle w:val="Title"/>
              <w:tabs>
                <w:tab w:val="left" w:pos="1142"/>
                <w:tab w:val="left" w:pos="5130"/>
                <w:tab w:val="left" w:pos="5670"/>
              </w:tabs>
              <w:jc w:val="left"/>
              <w:rPr>
                <w:rFonts w:ascii="Times New Roman" w:hAnsi="Times New Roman"/>
                <w:sz w:val="26"/>
                <w:szCs w:val="26"/>
              </w:rPr>
            </w:pPr>
          </w:p>
          <w:p w:rsidR="001A5C2F" w:rsidRPr="00221496" w:rsidRDefault="006A31D2" w:rsidP="00977F01">
            <w:pPr>
              <w:pStyle w:val="Title"/>
              <w:tabs>
                <w:tab w:val="left" w:pos="1142"/>
                <w:tab w:val="left" w:pos="5130"/>
                <w:tab w:val="left" w:pos="5670"/>
              </w:tabs>
              <w:jc w:val="left"/>
              <w:rPr>
                <w:rFonts w:ascii="Times New Roman" w:hAnsi="Times New Roman"/>
                <w:sz w:val="26"/>
                <w:szCs w:val="26"/>
              </w:rPr>
            </w:pPr>
            <w:r>
              <w:rPr>
                <w:rFonts w:ascii="Times New Roman" w:hAnsi="Times New Roman"/>
                <w:sz w:val="26"/>
                <w:szCs w:val="26"/>
              </w:rPr>
              <w:t xml:space="preserve">Case Nos. </w:t>
            </w:r>
            <w:r>
              <w:rPr>
                <w:rFonts w:ascii="Times New Roman" w:hAnsi="Times New Roman"/>
                <w:sz w:val="26"/>
                <w:szCs w:val="26"/>
              </w:rPr>
              <w:tab/>
            </w:r>
            <w:r w:rsidR="00C37628">
              <w:rPr>
                <w:rFonts w:ascii="Times New Roman" w:hAnsi="Times New Roman"/>
                <w:sz w:val="26"/>
                <w:szCs w:val="26"/>
              </w:rPr>
              <w:t>14-457</w:t>
            </w:r>
            <w:r>
              <w:rPr>
                <w:rFonts w:ascii="Times New Roman" w:hAnsi="Times New Roman"/>
                <w:sz w:val="26"/>
                <w:szCs w:val="26"/>
              </w:rPr>
              <w:t>-EL-RDR</w:t>
            </w:r>
            <w:r>
              <w:rPr>
                <w:rFonts w:ascii="Times New Roman" w:hAnsi="Times New Roman"/>
                <w:sz w:val="26"/>
                <w:szCs w:val="26"/>
              </w:rPr>
              <w:br/>
            </w:r>
            <w:r>
              <w:rPr>
                <w:rFonts w:ascii="Times New Roman" w:hAnsi="Times New Roman"/>
                <w:sz w:val="26"/>
                <w:szCs w:val="26"/>
              </w:rPr>
              <w:tab/>
              <w:t>15-534-EL-RDR</w:t>
            </w:r>
          </w:p>
        </w:tc>
      </w:tr>
    </w:tbl>
    <w:p w:rsidR="00663D6A" w:rsidRPr="002D54AC" w:rsidRDefault="00663D6A" w:rsidP="00663D6A">
      <w:pPr>
        <w:pStyle w:val="Title"/>
        <w:tabs>
          <w:tab w:val="left" w:pos="5130"/>
          <w:tab w:val="left" w:pos="5670"/>
        </w:tabs>
        <w:rPr>
          <w:rFonts w:ascii="Times New Roman" w:hAnsi="Times New Roman"/>
          <w:sz w:val="26"/>
          <w:szCs w:val="26"/>
        </w:rPr>
      </w:pPr>
    </w:p>
    <w:p w:rsidR="00663D6A" w:rsidRDefault="00663D6A" w:rsidP="00663D6A">
      <w:pPr>
        <w:pStyle w:val="Title"/>
        <w:tabs>
          <w:tab w:val="left" w:pos="5130"/>
          <w:tab w:val="left" w:pos="5670"/>
        </w:tabs>
        <w:jc w:val="left"/>
        <w:rPr>
          <w:rFonts w:ascii="Times New Roman" w:hAnsi="Times New Roman"/>
          <w:sz w:val="26"/>
          <w:szCs w:val="26"/>
        </w:rPr>
      </w:pPr>
    </w:p>
    <w:p w:rsidR="003B12DD" w:rsidRDefault="003B12DD" w:rsidP="00663D6A">
      <w:pPr>
        <w:pStyle w:val="Title"/>
        <w:tabs>
          <w:tab w:val="left" w:pos="5130"/>
          <w:tab w:val="left" w:pos="5670"/>
        </w:tabs>
        <w:jc w:val="left"/>
        <w:rPr>
          <w:rFonts w:ascii="Times New Roman" w:hAnsi="Times New Roman"/>
          <w:sz w:val="26"/>
          <w:szCs w:val="26"/>
        </w:rPr>
      </w:pPr>
    </w:p>
    <w:p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593AB8" w:rsidP="00E10679">
      <w:pPr>
        <w:pStyle w:val="Title"/>
        <w:tabs>
          <w:tab w:val="left" w:pos="9360"/>
        </w:tabs>
        <w:rPr>
          <w:rFonts w:ascii="Times New Roman" w:hAnsi="Times New Roman"/>
          <w:b/>
          <w:sz w:val="32"/>
          <w:szCs w:val="32"/>
        </w:rPr>
      </w:pPr>
      <w:r>
        <w:rPr>
          <w:rFonts w:ascii="Times New Roman" w:hAnsi="Times New Roman"/>
          <w:b/>
          <w:sz w:val="32"/>
          <w:szCs w:val="32"/>
        </w:rPr>
        <w:t>REPLY</w:t>
      </w:r>
      <w:r w:rsidR="00E10679">
        <w:rPr>
          <w:rFonts w:ascii="Times New Roman" w:hAnsi="Times New Roman"/>
          <w:b/>
          <w:sz w:val="32"/>
          <w:szCs w:val="32"/>
        </w:rPr>
        <w:t xml:space="preserve"> BRIEF</w:t>
      </w:r>
    </w:p>
    <w:p w:rsidR="00663D6A" w:rsidRPr="006A31D2" w:rsidRDefault="00663D6A" w:rsidP="006A31D2">
      <w:pPr>
        <w:jc w:val="center"/>
        <w:rPr>
          <w:sz w:val="28"/>
          <w:szCs w:val="28"/>
        </w:rPr>
      </w:pPr>
      <w:bookmarkStart w:id="0" w:name="_Toc257632572"/>
      <w:bookmarkStart w:id="1" w:name="_Toc257632676"/>
      <w:bookmarkStart w:id="2" w:name="_Toc257637808"/>
      <w:bookmarkStart w:id="3" w:name="_Toc257798062"/>
      <w:bookmarkStart w:id="4" w:name="_Toc260124108"/>
      <w:bookmarkStart w:id="5" w:name="_Toc260125213"/>
      <w:bookmarkStart w:id="6" w:name="_Toc260212953"/>
      <w:r w:rsidRPr="006A31D2">
        <w:rPr>
          <w:sz w:val="28"/>
          <w:szCs w:val="28"/>
        </w:rPr>
        <w:t>SUBMITTED ON BEHALF OF THE STAFF OF</w:t>
      </w:r>
      <w:bookmarkEnd w:id="0"/>
      <w:bookmarkEnd w:id="1"/>
      <w:bookmarkEnd w:id="2"/>
      <w:bookmarkEnd w:id="3"/>
      <w:bookmarkEnd w:id="4"/>
      <w:bookmarkEnd w:id="5"/>
      <w:bookmarkEnd w:id="6"/>
    </w:p>
    <w:p w:rsidR="00663D6A" w:rsidRPr="006A31D2" w:rsidRDefault="00663D6A" w:rsidP="006A31D2">
      <w:pPr>
        <w:jc w:val="center"/>
        <w:rPr>
          <w:sz w:val="28"/>
          <w:szCs w:val="28"/>
        </w:rPr>
      </w:pPr>
      <w:bookmarkStart w:id="7" w:name="_Toc257632573"/>
      <w:bookmarkStart w:id="8" w:name="_Toc257632677"/>
      <w:bookmarkStart w:id="9" w:name="_Toc257637809"/>
      <w:bookmarkStart w:id="10" w:name="_Toc257798063"/>
      <w:bookmarkStart w:id="11" w:name="_Toc260124109"/>
      <w:bookmarkStart w:id="12" w:name="_Toc260125214"/>
      <w:bookmarkStart w:id="13" w:name="_Toc260212954"/>
      <w:r w:rsidRPr="006A31D2">
        <w:rPr>
          <w:sz w:val="28"/>
          <w:szCs w:val="28"/>
        </w:rPr>
        <w:t>THE PUBLIC UTILITIES COMMISSION OF OHIO</w:t>
      </w:r>
      <w:bookmarkEnd w:id="7"/>
      <w:bookmarkEnd w:id="8"/>
      <w:bookmarkEnd w:id="9"/>
      <w:bookmarkEnd w:id="10"/>
      <w:bookmarkEnd w:id="11"/>
      <w:bookmarkEnd w:id="12"/>
      <w:bookmarkEnd w:id="13"/>
    </w:p>
    <w:p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2D54AC" w:rsidRDefault="00E10679" w:rsidP="00663D6A">
      <w:pPr>
        <w:pStyle w:val="PlainText"/>
        <w:jc w:val="center"/>
        <w:outlineLvl w:val="0"/>
        <w:rPr>
          <w:rFonts w:ascii="Times New Roman" w:hAnsi="Times New Roman"/>
          <w:sz w:val="26"/>
          <w:szCs w:val="26"/>
        </w:rPr>
      </w:pPr>
    </w:p>
    <w:p w:rsidR="00663D6A" w:rsidRDefault="00E10679" w:rsidP="00E10679">
      <w:pPr>
        <w:pStyle w:val="Title"/>
        <w:tabs>
          <w:tab w:val="left" w:pos="4320"/>
        </w:tabs>
        <w:jc w:val="left"/>
        <w:rPr>
          <w:rFonts w:ascii="Times New Roman" w:hAnsi="Times New Roman"/>
          <w:b/>
          <w:sz w:val="26"/>
          <w:szCs w:val="26"/>
        </w:rPr>
      </w:pPr>
      <w:r>
        <w:rPr>
          <w:rFonts w:ascii="Times New Roman" w:hAnsi="Times New Roman"/>
          <w:sz w:val="26"/>
          <w:szCs w:val="26"/>
        </w:rPr>
        <w:tab/>
      </w:r>
      <w:r w:rsidR="00C90964">
        <w:rPr>
          <w:rFonts w:ascii="Times New Roman" w:hAnsi="Times New Roman"/>
          <w:b/>
          <w:sz w:val="26"/>
          <w:szCs w:val="26"/>
        </w:rPr>
        <w:t>Michael DeWine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Ohio </w:t>
      </w:r>
      <w:r w:rsidR="00721F2D">
        <w:rPr>
          <w:rFonts w:ascii="Times New Roman" w:hAnsi="Times New Roman"/>
          <w:sz w:val="26"/>
          <w:szCs w:val="26"/>
        </w:rPr>
        <w:t>Attorney</w:t>
      </w:r>
      <w:r>
        <w:rPr>
          <w:rFonts w:ascii="Times New Roman" w:hAnsi="Times New Roman"/>
          <w:sz w:val="26"/>
          <w:szCs w:val="26"/>
        </w:rPr>
        <w:t xml:space="preserve"> General</w:t>
      </w:r>
    </w:p>
    <w:p w:rsidR="00E10679" w:rsidRDefault="00E10679" w:rsidP="00E10679">
      <w:pPr>
        <w:pStyle w:val="Title"/>
        <w:tabs>
          <w:tab w:val="left" w:pos="4320"/>
        </w:tabs>
        <w:jc w:val="left"/>
        <w:rPr>
          <w:rFonts w:ascii="Times New Roman" w:hAnsi="Times New Roman"/>
          <w:sz w:val="26"/>
          <w:szCs w:val="26"/>
        </w:rPr>
      </w:pP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BC5B75">
        <w:rPr>
          <w:rFonts w:ascii="Times New Roman" w:hAnsi="Times New Roman"/>
          <w:b/>
          <w:sz w:val="26"/>
          <w:szCs w:val="26"/>
        </w:rPr>
        <w:t>William L. Wright</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Section Chief</w:t>
      </w:r>
    </w:p>
    <w:p w:rsidR="00E10679" w:rsidRDefault="00E10679" w:rsidP="00E10679">
      <w:pPr>
        <w:pStyle w:val="Title"/>
        <w:tabs>
          <w:tab w:val="left" w:pos="4320"/>
        </w:tabs>
        <w:jc w:val="left"/>
        <w:rPr>
          <w:rFonts w:ascii="Times New Roman" w:hAnsi="Times New Roman"/>
          <w:sz w:val="26"/>
          <w:szCs w:val="26"/>
        </w:rPr>
      </w:pPr>
    </w:p>
    <w:p w:rsidR="00E10679" w:rsidRDefault="006A31D2" w:rsidP="00E10679">
      <w:pPr>
        <w:pStyle w:val="Title"/>
        <w:tabs>
          <w:tab w:val="left" w:pos="432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John H. Jones</w:t>
      </w:r>
    </w:p>
    <w:p w:rsidR="006A31D2" w:rsidRPr="006A31D2" w:rsidRDefault="006A31D2" w:rsidP="00E10679">
      <w:pPr>
        <w:pStyle w:val="Title"/>
        <w:tabs>
          <w:tab w:val="left" w:pos="4320"/>
        </w:tabs>
        <w:jc w:val="left"/>
        <w:rPr>
          <w:rFonts w:ascii="Times New Roman" w:hAnsi="Times New Roman"/>
          <w:b/>
          <w:sz w:val="26"/>
          <w:szCs w:val="26"/>
        </w:rPr>
      </w:pPr>
      <w:r>
        <w:rPr>
          <w:rFonts w:ascii="Times New Roman" w:hAnsi="Times New Roman"/>
          <w:b/>
          <w:sz w:val="26"/>
          <w:szCs w:val="26"/>
        </w:rPr>
        <w:tab/>
        <w:t>Natalia V. Messenger</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721F2D">
        <w:rPr>
          <w:rFonts w:ascii="Times New Roman" w:hAnsi="Times New Roman"/>
          <w:sz w:val="26"/>
          <w:szCs w:val="26"/>
        </w:rPr>
        <w:t>Assistant</w:t>
      </w:r>
      <w:r>
        <w:rPr>
          <w:rFonts w:ascii="Times New Roman" w:hAnsi="Times New Roman"/>
          <w:sz w:val="26"/>
          <w:szCs w:val="26"/>
        </w:rPr>
        <w:t xml:space="preserve"> Attorneys General</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Public </w:t>
      </w:r>
      <w:r w:rsidR="00721F2D">
        <w:rPr>
          <w:rFonts w:ascii="Times New Roman" w:hAnsi="Times New Roman"/>
          <w:sz w:val="26"/>
          <w:szCs w:val="26"/>
        </w:rPr>
        <w:t>Utilities</w:t>
      </w:r>
      <w:r>
        <w:rPr>
          <w:rFonts w:ascii="Times New Roman" w:hAnsi="Times New Roman"/>
          <w:sz w:val="26"/>
          <w:szCs w:val="26"/>
        </w:rPr>
        <w:t xml:space="preserve"> Section</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8F016B">
        <w:rPr>
          <w:rFonts w:ascii="Times New Roman" w:hAnsi="Times New Roman"/>
          <w:sz w:val="26"/>
          <w:szCs w:val="26"/>
        </w:rPr>
        <w:t>3</w:t>
      </w:r>
      <w:r>
        <w:rPr>
          <w:rFonts w:ascii="Times New Roman" w:hAnsi="Times New Roman"/>
          <w:sz w:val="26"/>
          <w:szCs w:val="26"/>
        </w:rPr>
        <w:t xml:space="preserve">0 East Broad Street, </w:t>
      </w:r>
      <w:r w:rsidR="008F016B">
        <w:rPr>
          <w:rFonts w:ascii="Times New Roman" w:hAnsi="Times New Roman"/>
          <w:sz w:val="26"/>
          <w:szCs w:val="26"/>
        </w:rPr>
        <w:t>1</w:t>
      </w:r>
      <w:r>
        <w:rPr>
          <w:rFonts w:ascii="Times New Roman" w:hAnsi="Times New Roman"/>
          <w:sz w:val="26"/>
          <w:szCs w:val="26"/>
        </w:rPr>
        <w:t>6</w:t>
      </w:r>
      <w:r w:rsidRPr="00E10679">
        <w:rPr>
          <w:rFonts w:ascii="Times New Roman" w:hAnsi="Times New Roman"/>
          <w:sz w:val="26"/>
          <w:szCs w:val="26"/>
          <w:vertAlign w:val="superscript"/>
        </w:rPr>
        <w:t>th</w:t>
      </w:r>
      <w:r>
        <w:rPr>
          <w:rFonts w:ascii="Times New Roman" w:hAnsi="Times New Roman"/>
          <w:sz w:val="26"/>
          <w:szCs w:val="26"/>
        </w:rPr>
        <w:t xml:space="preserve"> Floor</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Columbus, OH  43215-</w:t>
      </w:r>
      <w:r w:rsidR="008F016B">
        <w:rPr>
          <w:rFonts w:ascii="Times New Roman" w:hAnsi="Times New Roman"/>
          <w:sz w:val="26"/>
          <w:szCs w:val="26"/>
        </w:rPr>
        <w:t>3414</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614.466.4397 (telephone)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614.644.8764 (fax)</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hyperlink r:id="rId9" w:history="1">
        <w:r w:rsidR="008F016B" w:rsidRPr="000B6E84">
          <w:rPr>
            <w:rStyle w:val="Hyperlink"/>
            <w:rFonts w:ascii="Times New Roman" w:hAnsi="Times New Roman"/>
            <w:sz w:val="26"/>
            <w:szCs w:val="26"/>
          </w:rPr>
          <w:t>john.jones@ohioattorneygeneral.gov</w:t>
        </w:r>
      </w:hyperlink>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hyperlink r:id="rId10" w:history="1">
        <w:r w:rsidR="008F016B" w:rsidRPr="000B6E84">
          <w:rPr>
            <w:rStyle w:val="Hyperlink"/>
            <w:rFonts w:ascii="Times New Roman" w:hAnsi="Times New Roman"/>
            <w:sz w:val="26"/>
            <w:szCs w:val="26"/>
          </w:rPr>
          <w:t>natalia.messenger@ohioattorneygeneral.gov</w:t>
        </w:r>
      </w:hyperlink>
    </w:p>
    <w:p w:rsidR="006A31D2" w:rsidRDefault="006A31D2" w:rsidP="00E10679">
      <w:pPr>
        <w:pStyle w:val="Title"/>
        <w:tabs>
          <w:tab w:val="left" w:pos="4320"/>
        </w:tabs>
        <w:jc w:val="left"/>
        <w:rPr>
          <w:rFonts w:ascii="Times New Roman" w:hAnsi="Times New Roman"/>
          <w:sz w:val="26"/>
          <w:szCs w:val="26"/>
        </w:rPr>
      </w:pPr>
    </w:p>
    <w:p w:rsidR="006A31D2" w:rsidRDefault="006A31D2" w:rsidP="00E10679">
      <w:pPr>
        <w:pStyle w:val="Title"/>
        <w:tabs>
          <w:tab w:val="left" w:pos="432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On behalf of the Staff of</w:t>
      </w:r>
    </w:p>
    <w:p w:rsidR="006A31D2" w:rsidRDefault="006A31D2" w:rsidP="00E10679">
      <w:pPr>
        <w:pStyle w:val="Title"/>
        <w:tabs>
          <w:tab w:val="left" w:pos="4320"/>
        </w:tabs>
        <w:jc w:val="left"/>
        <w:rPr>
          <w:rFonts w:ascii="Times New Roman" w:hAnsi="Times New Roman"/>
          <w:b/>
          <w:sz w:val="26"/>
          <w:szCs w:val="26"/>
        </w:rPr>
      </w:pPr>
      <w:r>
        <w:rPr>
          <w:rFonts w:ascii="Times New Roman" w:hAnsi="Times New Roman"/>
          <w:b/>
          <w:sz w:val="26"/>
          <w:szCs w:val="26"/>
        </w:rPr>
        <w:tab/>
        <w:t>The Public Utilities Commission of Ohio</w:t>
      </w:r>
    </w:p>
    <w:p w:rsidR="006A31D2" w:rsidRDefault="006A31D2" w:rsidP="00E10679">
      <w:pPr>
        <w:pStyle w:val="Title"/>
        <w:tabs>
          <w:tab w:val="left" w:pos="4320"/>
        </w:tabs>
        <w:jc w:val="left"/>
        <w:rPr>
          <w:rFonts w:ascii="Times New Roman" w:hAnsi="Times New Roman"/>
          <w:b/>
          <w:sz w:val="26"/>
          <w:szCs w:val="26"/>
        </w:rPr>
      </w:pPr>
    </w:p>
    <w:p w:rsidR="00663D6A" w:rsidRPr="002D54AC" w:rsidRDefault="00593AB8" w:rsidP="004B6358">
      <w:pPr>
        <w:pStyle w:val="PlainText"/>
        <w:rPr>
          <w:rFonts w:ascii="Times New Roman" w:hAnsi="Times New Roman"/>
          <w:sz w:val="26"/>
          <w:szCs w:val="26"/>
        </w:rPr>
      </w:pPr>
      <w:r>
        <w:rPr>
          <w:rFonts w:ascii="Times New Roman" w:hAnsi="Times New Roman"/>
          <w:sz w:val="26"/>
          <w:szCs w:val="26"/>
        </w:rPr>
        <w:t>May 13</w:t>
      </w:r>
      <w:r w:rsidR="006A31D2">
        <w:rPr>
          <w:rFonts w:ascii="Times New Roman" w:hAnsi="Times New Roman"/>
          <w:sz w:val="26"/>
          <w:szCs w:val="26"/>
        </w:rPr>
        <w:t>, 2016</w:t>
      </w:r>
    </w:p>
    <w:p w:rsidR="003B12DD" w:rsidRDefault="003B12DD" w:rsidP="00663D6A">
      <w:pPr>
        <w:jc w:val="center"/>
        <w:rPr>
          <w:b/>
          <w:sz w:val="26"/>
          <w:szCs w:val="26"/>
        </w:rPr>
        <w:sectPr w:rsidR="003B12DD" w:rsidSect="003B12DD">
          <w:headerReference w:type="default" r:id="rId11"/>
          <w:footerReference w:type="default" r:id="rId12"/>
          <w:pgSz w:w="12240" w:h="15840" w:code="1"/>
          <w:pgMar w:top="1440" w:right="1440" w:bottom="1440" w:left="1440" w:header="720" w:footer="720" w:gutter="0"/>
          <w:pgNumType w:fmt="lowerRoman" w:start="1"/>
          <w:cols w:space="720"/>
          <w:titlePg/>
          <w:docGrid w:linePitch="360"/>
        </w:sectPr>
      </w:pPr>
    </w:p>
    <w:p w:rsidR="00C666F4" w:rsidRDefault="00E94328">
      <w:pPr>
        <w:pStyle w:val="TOC1"/>
        <w:rPr>
          <w:rFonts w:asciiTheme="minorHAnsi" w:eastAsiaTheme="minorEastAsia" w:hAnsiTheme="minorHAnsi" w:cstheme="minorBidi"/>
          <w:noProof/>
          <w:sz w:val="22"/>
          <w:szCs w:val="22"/>
        </w:rPr>
      </w:pPr>
      <w:r>
        <w:rPr>
          <w:b/>
          <w:szCs w:val="26"/>
        </w:rPr>
        <w:lastRenderedPageBreak/>
        <w:fldChar w:fldCharType="begin"/>
      </w:r>
      <w:r>
        <w:rPr>
          <w:b/>
          <w:szCs w:val="26"/>
        </w:rPr>
        <w:instrText xml:space="preserve"> TOC \o "1-4" \u </w:instrText>
      </w:r>
      <w:r>
        <w:rPr>
          <w:b/>
          <w:szCs w:val="26"/>
        </w:rPr>
        <w:fldChar w:fldCharType="separate"/>
      </w:r>
      <w:r w:rsidR="00C666F4">
        <w:rPr>
          <w:noProof/>
        </w:rPr>
        <w:t>INTRODUCTION</w:t>
      </w:r>
      <w:r w:rsidR="00C666F4">
        <w:rPr>
          <w:noProof/>
        </w:rPr>
        <w:tab/>
      </w:r>
      <w:r w:rsidR="00C666F4">
        <w:rPr>
          <w:noProof/>
        </w:rPr>
        <w:fldChar w:fldCharType="begin"/>
      </w:r>
      <w:r w:rsidR="00C666F4">
        <w:rPr>
          <w:noProof/>
        </w:rPr>
        <w:instrText xml:space="preserve"> PAGEREF _Toc450826545 \h </w:instrText>
      </w:r>
      <w:r w:rsidR="00C666F4">
        <w:rPr>
          <w:noProof/>
        </w:rPr>
      </w:r>
      <w:r w:rsidR="00C666F4">
        <w:rPr>
          <w:noProof/>
        </w:rPr>
        <w:fldChar w:fldCharType="separate"/>
      </w:r>
      <w:r w:rsidR="004731BE">
        <w:rPr>
          <w:noProof/>
        </w:rPr>
        <w:t>1</w:t>
      </w:r>
      <w:r w:rsidR="00C666F4">
        <w:rPr>
          <w:noProof/>
        </w:rPr>
        <w:fldChar w:fldCharType="end"/>
      </w:r>
    </w:p>
    <w:p w:rsidR="00C666F4" w:rsidRDefault="00C666F4">
      <w:pPr>
        <w:pStyle w:val="TOC1"/>
        <w:rPr>
          <w:rFonts w:asciiTheme="minorHAnsi" w:eastAsiaTheme="minorEastAsia" w:hAnsiTheme="minorHAnsi" w:cstheme="minorBidi"/>
          <w:noProof/>
          <w:sz w:val="22"/>
          <w:szCs w:val="22"/>
        </w:rPr>
      </w:pPr>
      <w:r>
        <w:rPr>
          <w:noProof/>
        </w:rPr>
        <w:t>DISCUSSION</w:t>
      </w:r>
      <w:r>
        <w:rPr>
          <w:noProof/>
        </w:rPr>
        <w:tab/>
      </w:r>
      <w:r>
        <w:rPr>
          <w:noProof/>
        </w:rPr>
        <w:fldChar w:fldCharType="begin"/>
      </w:r>
      <w:r>
        <w:rPr>
          <w:noProof/>
        </w:rPr>
        <w:instrText xml:space="preserve"> PAGEREF _Toc450826546 \h </w:instrText>
      </w:r>
      <w:r>
        <w:rPr>
          <w:noProof/>
        </w:rPr>
      </w:r>
      <w:r>
        <w:rPr>
          <w:noProof/>
        </w:rPr>
        <w:fldChar w:fldCharType="separate"/>
      </w:r>
      <w:r w:rsidR="004731BE">
        <w:rPr>
          <w:noProof/>
        </w:rPr>
        <w:t>2</w:t>
      </w:r>
      <w:r>
        <w:rPr>
          <w:noProof/>
        </w:rPr>
        <w:fldChar w:fldCharType="end"/>
      </w:r>
    </w:p>
    <w:p w:rsidR="00C666F4" w:rsidRDefault="00C666F4">
      <w:pPr>
        <w:pStyle w:val="TOC2"/>
        <w:tabs>
          <w:tab w:val="left" w:pos="144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The Stipulation is the product of serious bargaining among capable, knowledgeable parties.</w:t>
      </w:r>
      <w:r>
        <w:rPr>
          <w:noProof/>
        </w:rPr>
        <w:tab/>
      </w:r>
      <w:r>
        <w:rPr>
          <w:noProof/>
        </w:rPr>
        <w:fldChar w:fldCharType="begin"/>
      </w:r>
      <w:r>
        <w:rPr>
          <w:noProof/>
        </w:rPr>
        <w:instrText xml:space="preserve"> PAGEREF _Toc450826547 \h </w:instrText>
      </w:r>
      <w:r>
        <w:rPr>
          <w:noProof/>
        </w:rPr>
      </w:r>
      <w:r>
        <w:rPr>
          <w:noProof/>
        </w:rPr>
        <w:fldChar w:fldCharType="separate"/>
      </w:r>
      <w:r w:rsidR="004731BE">
        <w:rPr>
          <w:noProof/>
        </w:rPr>
        <w:t>2</w:t>
      </w:r>
      <w:r>
        <w:rPr>
          <w:noProof/>
        </w:rPr>
        <w:fldChar w:fldCharType="end"/>
      </w:r>
    </w:p>
    <w:p w:rsidR="00C666F4" w:rsidRDefault="00C666F4">
      <w:pPr>
        <w:pStyle w:val="TOC3"/>
        <w:tabs>
          <w:tab w:val="left" w:pos="216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The signatory parties represent diverse interests.</w:t>
      </w:r>
      <w:r>
        <w:rPr>
          <w:noProof/>
        </w:rPr>
        <w:tab/>
      </w:r>
      <w:r>
        <w:rPr>
          <w:noProof/>
        </w:rPr>
        <w:fldChar w:fldCharType="begin"/>
      </w:r>
      <w:r>
        <w:rPr>
          <w:noProof/>
        </w:rPr>
        <w:instrText xml:space="preserve"> PAGEREF _Toc450826548 \h </w:instrText>
      </w:r>
      <w:r>
        <w:rPr>
          <w:noProof/>
        </w:rPr>
      </w:r>
      <w:r>
        <w:rPr>
          <w:noProof/>
        </w:rPr>
        <w:fldChar w:fldCharType="separate"/>
      </w:r>
      <w:r w:rsidR="004731BE">
        <w:rPr>
          <w:noProof/>
        </w:rPr>
        <w:t>2</w:t>
      </w:r>
      <w:r>
        <w:rPr>
          <w:noProof/>
        </w:rPr>
        <w:fldChar w:fldCharType="end"/>
      </w:r>
    </w:p>
    <w:p w:rsidR="00C666F4" w:rsidRDefault="00C666F4">
      <w:pPr>
        <w:pStyle w:val="TOC3"/>
        <w:tabs>
          <w:tab w:val="left" w:pos="216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The Stipulation was the product of lengthy negotiations between the signatory parties.</w:t>
      </w:r>
      <w:r>
        <w:rPr>
          <w:noProof/>
        </w:rPr>
        <w:tab/>
      </w:r>
      <w:r>
        <w:rPr>
          <w:noProof/>
        </w:rPr>
        <w:fldChar w:fldCharType="begin"/>
      </w:r>
      <w:r>
        <w:rPr>
          <w:noProof/>
        </w:rPr>
        <w:instrText xml:space="preserve"> PAGEREF _Toc450826549 \h </w:instrText>
      </w:r>
      <w:r>
        <w:rPr>
          <w:noProof/>
        </w:rPr>
      </w:r>
      <w:r>
        <w:rPr>
          <w:noProof/>
        </w:rPr>
        <w:fldChar w:fldCharType="separate"/>
      </w:r>
      <w:r w:rsidR="004731BE">
        <w:rPr>
          <w:noProof/>
        </w:rPr>
        <w:t>4</w:t>
      </w:r>
      <w:r>
        <w:rPr>
          <w:noProof/>
        </w:rPr>
        <w:fldChar w:fldCharType="end"/>
      </w:r>
    </w:p>
    <w:p w:rsidR="00C666F4" w:rsidRDefault="00C666F4">
      <w:pPr>
        <w:pStyle w:val="TOC3"/>
        <w:tabs>
          <w:tab w:val="left" w:pos="216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The intervening parties failed to respond and showed no interest when Staff invited them to participate in the negotiations.</w:t>
      </w:r>
      <w:r>
        <w:rPr>
          <w:noProof/>
        </w:rPr>
        <w:tab/>
      </w:r>
      <w:r>
        <w:rPr>
          <w:noProof/>
        </w:rPr>
        <w:fldChar w:fldCharType="begin"/>
      </w:r>
      <w:r>
        <w:rPr>
          <w:noProof/>
        </w:rPr>
        <w:instrText xml:space="preserve"> PAGEREF _Toc450826550 \h </w:instrText>
      </w:r>
      <w:r>
        <w:rPr>
          <w:noProof/>
        </w:rPr>
      </w:r>
      <w:r>
        <w:rPr>
          <w:noProof/>
        </w:rPr>
        <w:fldChar w:fldCharType="separate"/>
      </w:r>
      <w:r w:rsidR="004731BE">
        <w:rPr>
          <w:noProof/>
        </w:rPr>
        <w:t>5</w:t>
      </w:r>
      <w:r>
        <w:rPr>
          <w:noProof/>
        </w:rPr>
        <w:fldChar w:fldCharType="end"/>
      </w:r>
    </w:p>
    <w:p w:rsidR="00C666F4" w:rsidRDefault="00C666F4">
      <w:pPr>
        <w:pStyle w:val="TOC3"/>
        <w:tabs>
          <w:tab w:val="left" w:pos="216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The terms of the Stipulation are fair and reasonable, and represent compromises by the signatory parties.</w:t>
      </w:r>
      <w:r>
        <w:rPr>
          <w:noProof/>
        </w:rPr>
        <w:tab/>
      </w:r>
      <w:r>
        <w:rPr>
          <w:noProof/>
        </w:rPr>
        <w:fldChar w:fldCharType="begin"/>
      </w:r>
      <w:r>
        <w:rPr>
          <w:noProof/>
        </w:rPr>
        <w:instrText xml:space="preserve"> PAGEREF _Toc450826551 \h </w:instrText>
      </w:r>
      <w:r>
        <w:rPr>
          <w:noProof/>
        </w:rPr>
      </w:r>
      <w:r>
        <w:rPr>
          <w:noProof/>
        </w:rPr>
        <w:fldChar w:fldCharType="separate"/>
      </w:r>
      <w:r w:rsidR="004731BE">
        <w:rPr>
          <w:noProof/>
        </w:rPr>
        <w:t>7</w:t>
      </w:r>
      <w:r>
        <w:rPr>
          <w:noProof/>
        </w:rPr>
        <w:fldChar w:fldCharType="end"/>
      </w:r>
    </w:p>
    <w:p w:rsidR="00C666F4" w:rsidRDefault="00C666F4">
      <w:pPr>
        <w:pStyle w:val="TOC2"/>
        <w:tabs>
          <w:tab w:val="left" w:pos="144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The Stipulation benefits consumers and the public interest.</w:t>
      </w:r>
      <w:r>
        <w:rPr>
          <w:noProof/>
        </w:rPr>
        <w:tab/>
      </w:r>
      <w:r>
        <w:rPr>
          <w:noProof/>
        </w:rPr>
        <w:fldChar w:fldCharType="begin"/>
      </w:r>
      <w:r>
        <w:rPr>
          <w:noProof/>
        </w:rPr>
        <w:instrText xml:space="preserve"> PAGEREF _Toc450826552 \h </w:instrText>
      </w:r>
      <w:r>
        <w:rPr>
          <w:noProof/>
        </w:rPr>
      </w:r>
      <w:r>
        <w:rPr>
          <w:noProof/>
        </w:rPr>
        <w:fldChar w:fldCharType="separate"/>
      </w:r>
      <w:r w:rsidR="004731BE">
        <w:rPr>
          <w:noProof/>
        </w:rPr>
        <w:t>9</w:t>
      </w:r>
      <w:r>
        <w:rPr>
          <w:noProof/>
        </w:rPr>
        <w:fldChar w:fldCharType="end"/>
      </w:r>
    </w:p>
    <w:p w:rsidR="00C666F4" w:rsidRDefault="00C666F4">
      <w:pPr>
        <w:pStyle w:val="TOC2"/>
        <w:tabs>
          <w:tab w:val="left" w:pos="144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The Stipulation does not violate any important regulatory principle or practice.</w:t>
      </w:r>
      <w:r>
        <w:rPr>
          <w:noProof/>
        </w:rPr>
        <w:tab/>
      </w:r>
      <w:r>
        <w:rPr>
          <w:noProof/>
        </w:rPr>
        <w:fldChar w:fldCharType="begin"/>
      </w:r>
      <w:r>
        <w:rPr>
          <w:noProof/>
        </w:rPr>
        <w:instrText xml:space="preserve"> PAGEREF _Toc450826553 \h </w:instrText>
      </w:r>
      <w:r>
        <w:rPr>
          <w:noProof/>
        </w:rPr>
      </w:r>
      <w:r>
        <w:rPr>
          <w:noProof/>
        </w:rPr>
        <w:fldChar w:fldCharType="separate"/>
      </w:r>
      <w:r w:rsidR="004731BE">
        <w:rPr>
          <w:noProof/>
        </w:rPr>
        <w:t>11</w:t>
      </w:r>
      <w:r>
        <w:rPr>
          <w:noProof/>
        </w:rPr>
        <w:fldChar w:fldCharType="end"/>
      </w:r>
    </w:p>
    <w:p w:rsidR="00C666F4" w:rsidRDefault="00C666F4">
      <w:pPr>
        <w:pStyle w:val="TOC1"/>
        <w:rPr>
          <w:rFonts w:asciiTheme="minorHAnsi" w:eastAsiaTheme="minorEastAsia" w:hAnsiTheme="minorHAnsi" w:cstheme="minorBidi"/>
          <w:noProof/>
          <w:sz w:val="22"/>
          <w:szCs w:val="22"/>
        </w:rPr>
      </w:pPr>
      <w:r>
        <w:rPr>
          <w:noProof/>
        </w:rPr>
        <w:t>CONCLUSION</w:t>
      </w:r>
      <w:r>
        <w:rPr>
          <w:noProof/>
        </w:rPr>
        <w:tab/>
      </w:r>
      <w:r>
        <w:rPr>
          <w:noProof/>
        </w:rPr>
        <w:fldChar w:fldCharType="begin"/>
      </w:r>
      <w:r>
        <w:rPr>
          <w:noProof/>
        </w:rPr>
        <w:instrText xml:space="preserve"> PAGEREF _Toc450826554 \h </w:instrText>
      </w:r>
      <w:r>
        <w:rPr>
          <w:noProof/>
        </w:rPr>
      </w:r>
      <w:r>
        <w:rPr>
          <w:noProof/>
        </w:rPr>
        <w:fldChar w:fldCharType="separate"/>
      </w:r>
      <w:r w:rsidR="004731BE">
        <w:rPr>
          <w:noProof/>
        </w:rPr>
        <w:t>14</w:t>
      </w:r>
      <w:r>
        <w:rPr>
          <w:noProof/>
        </w:rPr>
        <w:fldChar w:fldCharType="end"/>
      </w:r>
    </w:p>
    <w:p w:rsidR="00C666F4" w:rsidRDefault="00C666F4">
      <w:pPr>
        <w:pStyle w:val="TOC1"/>
        <w:rPr>
          <w:rFonts w:asciiTheme="minorHAnsi" w:eastAsiaTheme="minorEastAsia" w:hAnsiTheme="minorHAnsi" w:cstheme="minorBidi"/>
          <w:noProof/>
          <w:sz w:val="22"/>
          <w:szCs w:val="22"/>
        </w:rPr>
      </w:pPr>
      <w:r>
        <w:rPr>
          <w:noProof/>
        </w:rPr>
        <w:t>PROOF OF SERVICE</w:t>
      </w:r>
      <w:r>
        <w:rPr>
          <w:noProof/>
        </w:rPr>
        <w:tab/>
      </w:r>
      <w:r>
        <w:rPr>
          <w:noProof/>
        </w:rPr>
        <w:fldChar w:fldCharType="begin"/>
      </w:r>
      <w:r>
        <w:rPr>
          <w:noProof/>
        </w:rPr>
        <w:instrText xml:space="preserve"> PAGEREF _Toc450826555 \h </w:instrText>
      </w:r>
      <w:r>
        <w:rPr>
          <w:noProof/>
        </w:rPr>
      </w:r>
      <w:r>
        <w:rPr>
          <w:noProof/>
        </w:rPr>
        <w:fldChar w:fldCharType="separate"/>
      </w:r>
      <w:r w:rsidR="004731BE">
        <w:rPr>
          <w:noProof/>
        </w:rPr>
        <w:t>15</w:t>
      </w:r>
      <w:r>
        <w:rPr>
          <w:noProof/>
        </w:rPr>
        <w:fldChar w:fldCharType="end"/>
      </w:r>
    </w:p>
    <w:p w:rsidR="0064436A" w:rsidRDefault="00E94328" w:rsidP="00CB5644">
      <w:pPr>
        <w:jc w:val="center"/>
        <w:rPr>
          <w:b/>
          <w:sz w:val="26"/>
          <w:szCs w:val="26"/>
        </w:rPr>
        <w:sectPr w:rsidR="0064436A" w:rsidSect="00C95499">
          <w:headerReference w:type="default" r:id="rId13"/>
          <w:footerReference w:type="default" r:id="rId14"/>
          <w:headerReference w:type="first" r:id="rId15"/>
          <w:footerReference w:type="first" r:id="rId16"/>
          <w:pgSz w:w="12240" w:h="15840" w:code="1"/>
          <w:pgMar w:top="1440" w:right="1440" w:bottom="1440" w:left="1440" w:header="720" w:footer="720" w:gutter="0"/>
          <w:pgNumType w:fmt="lowerRoman" w:start="1"/>
          <w:cols w:space="720"/>
          <w:titlePg/>
          <w:docGrid w:linePitch="360"/>
        </w:sectPr>
      </w:pPr>
      <w:r>
        <w:rPr>
          <w:b/>
          <w:sz w:val="26"/>
          <w:szCs w:val="26"/>
        </w:rPr>
        <w:fldChar w:fldCharType="end"/>
      </w:r>
    </w:p>
    <w:p w:rsidR="00CB5644" w:rsidRPr="002D54AC" w:rsidRDefault="00CB5644" w:rsidP="00CB5644">
      <w:pPr>
        <w:jc w:val="center"/>
        <w:rPr>
          <w:b/>
          <w:sz w:val="26"/>
          <w:szCs w:val="26"/>
        </w:rPr>
      </w:pPr>
      <w:r w:rsidRPr="002D54AC">
        <w:rPr>
          <w:b/>
          <w:sz w:val="26"/>
          <w:szCs w:val="26"/>
        </w:rPr>
        <w:lastRenderedPageBreak/>
        <w:t>BEFORE</w:t>
      </w:r>
    </w:p>
    <w:p w:rsidR="00CB5644" w:rsidRDefault="00CB5644" w:rsidP="00CB5644">
      <w:pPr>
        <w:jc w:val="center"/>
        <w:rPr>
          <w:b/>
          <w:sz w:val="26"/>
          <w:szCs w:val="26"/>
        </w:rPr>
      </w:pPr>
      <w:r w:rsidRPr="002D54AC">
        <w:rPr>
          <w:b/>
          <w:sz w:val="26"/>
          <w:szCs w:val="26"/>
        </w:rPr>
        <w:t>THE PUBLIC UTILITIES COMMISSION OF OHIO</w:t>
      </w:r>
    </w:p>
    <w:p w:rsidR="00E10679" w:rsidRDefault="00E10679" w:rsidP="00CB5644">
      <w:pPr>
        <w:jc w:val="center"/>
        <w:rPr>
          <w:b/>
          <w:sz w:val="26"/>
          <w:szCs w:val="26"/>
        </w:rPr>
      </w:pPr>
    </w:p>
    <w:p w:rsidR="00E94328" w:rsidRDefault="00E94328" w:rsidP="00CB5644">
      <w:pPr>
        <w:jc w:val="center"/>
        <w:rPr>
          <w:b/>
          <w:sz w:val="26"/>
          <w:szCs w:val="26"/>
        </w:rPr>
      </w:pPr>
    </w:p>
    <w:tbl>
      <w:tblPr>
        <w:tblW w:w="0" w:type="auto"/>
        <w:tblLook w:val="01E0" w:firstRow="1" w:lastRow="1" w:firstColumn="1" w:lastColumn="1" w:noHBand="0" w:noVBand="0"/>
      </w:tblPr>
      <w:tblGrid>
        <w:gridCol w:w="4688"/>
        <w:gridCol w:w="289"/>
        <w:gridCol w:w="4599"/>
      </w:tblGrid>
      <w:tr w:rsidR="006A31D2" w:rsidTr="00584E57">
        <w:tc>
          <w:tcPr>
            <w:tcW w:w="4698" w:type="dxa"/>
          </w:tcPr>
          <w:p w:rsidR="006A31D2" w:rsidRPr="00221496" w:rsidRDefault="006A31D2" w:rsidP="00584E57">
            <w:pPr>
              <w:pStyle w:val="Title"/>
              <w:tabs>
                <w:tab w:val="left" w:pos="5130"/>
                <w:tab w:val="left" w:pos="5670"/>
              </w:tabs>
              <w:jc w:val="left"/>
              <w:rPr>
                <w:rFonts w:ascii="Times New Roman" w:hAnsi="Times New Roman"/>
                <w:sz w:val="26"/>
                <w:szCs w:val="26"/>
              </w:rPr>
            </w:pPr>
            <w:bookmarkStart w:id="14" w:name="_Toc260212957"/>
            <w:r w:rsidRPr="00221496">
              <w:rPr>
                <w:rFonts w:ascii="Times New Roman" w:hAnsi="Times New Roman"/>
                <w:sz w:val="26"/>
                <w:szCs w:val="26"/>
              </w:rPr>
              <w:t>In the Matter of</w:t>
            </w:r>
            <w:r>
              <w:rPr>
                <w:rFonts w:ascii="Times New Roman" w:hAnsi="Times New Roman"/>
                <w:sz w:val="26"/>
                <w:szCs w:val="26"/>
              </w:rPr>
              <w:t xml:space="preserve"> the Application of Duke Energy Ohio, Inc. for Recovery of Program Costs, Lost Distribution Revenue, and Performance Incentives Related to its Energy Efficiency and Demand Response Programs.</w:t>
            </w:r>
          </w:p>
        </w:tc>
        <w:tc>
          <w:tcPr>
            <w:tcW w:w="270" w:type="dxa"/>
          </w:tcPr>
          <w:p w:rsidR="006A31D2" w:rsidRPr="00221496" w:rsidRDefault="006A31D2" w:rsidP="00584E57">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A31D2" w:rsidRPr="00221496" w:rsidRDefault="006A31D2" w:rsidP="00584E57">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A31D2" w:rsidRDefault="006A31D2" w:rsidP="00584E57">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A31D2" w:rsidRDefault="006A31D2" w:rsidP="00584E57">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6A31D2" w:rsidRDefault="006A31D2" w:rsidP="00584E57">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6A31D2" w:rsidRPr="00221496" w:rsidRDefault="006A31D2" w:rsidP="00584E57">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608" w:type="dxa"/>
          </w:tcPr>
          <w:p w:rsidR="006A31D2" w:rsidRDefault="006A31D2" w:rsidP="00584E57">
            <w:pPr>
              <w:pStyle w:val="Title"/>
              <w:tabs>
                <w:tab w:val="left" w:pos="1142"/>
                <w:tab w:val="left" w:pos="5130"/>
                <w:tab w:val="left" w:pos="5670"/>
              </w:tabs>
              <w:jc w:val="left"/>
              <w:rPr>
                <w:rFonts w:ascii="Times New Roman" w:hAnsi="Times New Roman"/>
                <w:sz w:val="26"/>
                <w:szCs w:val="26"/>
              </w:rPr>
            </w:pPr>
          </w:p>
          <w:p w:rsidR="006A31D2" w:rsidRPr="00221496" w:rsidRDefault="006A31D2" w:rsidP="00584E57">
            <w:pPr>
              <w:pStyle w:val="Title"/>
              <w:tabs>
                <w:tab w:val="left" w:pos="1142"/>
                <w:tab w:val="left" w:pos="5130"/>
                <w:tab w:val="left" w:pos="5670"/>
              </w:tabs>
              <w:jc w:val="left"/>
              <w:rPr>
                <w:rFonts w:ascii="Times New Roman" w:hAnsi="Times New Roman"/>
                <w:sz w:val="26"/>
                <w:szCs w:val="26"/>
              </w:rPr>
            </w:pPr>
            <w:r>
              <w:rPr>
                <w:rFonts w:ascii="Times New Roman" w:hAnsi="Times New Roman"/>
                <w:sz w:val="26"/>
                <w:szCs w:val="26"/>
              </w:rPr>
              <w:t xml:space="preserve">Case Nos. </w:t>
            </w:r>
            <w:r>
              <w:rPr>
                <w:rFonts w:ascii="Times New Roman" w:hAnsi="Times New Roman"/>
                <w:sz w:val="26"/>
                <w:szCs w:val="26"/>
              </w:rPr>
              <w:tab/>
              <w:t>14-456-EL-RDR</w:t>
            </w:r>
            <w:r>
              <w:rPr>
                <w:rFonts w:ascii="Times New Roman" w:hAnsi="Times New Roman"/>
                <w:sz w:val="26"/>
                <w:szCs w:val="26"/>
              </w:rPr>
              <w:br/>
            </w:r>
            <w:r>
              <w:rPr>
                <w:rFonts w:ascii="Times New Roman" w:hAnsi="Times New Roman"/>
                <w:sz w:val="26"/>
                <w:szCs w:val="26"/>
              </w:rPr>
              <w:tab/>
              <w:t>15-534-EL-RDR</w:t>
            </w:r>
          </w:p>
        </w:tc>
      </w:tr>
    </w:tbl>
    <w:p w:rsidR="006A31D2" w:rsidRPr="002D54AC" w:rsidRDefault="006A31D2" w:rsidP="006A31D2">
      <w:pPr>
        <w:pStyle w:val="Title"/>
        <w:tabs>
          <w:tab w:val="left" w:pos="5130"/>
          <w:tab w:val="left" w:pos="5670"/>
        </w:tabs>
        <w:rPr>
          <w:rFonts w:ascii="Times New Roman" w:hAnsi="Times New Roman"/>
          <w:sz w:val="26"/>
          <w:szCs w:val="26"/>
        </w:rPr>
      </w:pPr>
    </w:p>
    <w:p w:rsidR="006A31D2" w:rsidRDefault="006A31D2" w:rsidP="006A31D2">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6A31D2" w:rsidRPr="00E10679" w:rsidRDefault="00593AB8" w:rsidP="006A31D2">
      <w:pPr>
        <w:pStyle w:val="Title"/>
        <w:tabs>
          <w:tab w:val="left" w:pos="9360"/>
        </w:tabs>
        <w:rPr>
          <w:rFonts w:ascii="Times New Roman" w:hAnsi="Times New Roman"/>
          <w:b/>
          <w:sz w:val="32"/>
          <w:szCs w:val="32"/>
        </w:rPr>
      </w:pPr>
      <w:r>
        <w:rPr>
          <w:rFonts w:ascii="Times New Roman" w:hAnsi="Times New Roman"/>
          <w:b/>
          <w:sz w:val="32"/>
          <w:szCs w:val="32"/>
        </w:rPr>
        <w:t>REPLY</w:t>
      </w:r>
      <w:r w:rsidR="006A31D2">
        <w:rPr>
          <w:rFonts w:ascii="Times New Roman" w:hAnsi="Times New Roman"/>
          <w:b/>
          <w:sz w:val="32"/>
          <w:szCs w:val="32"/>
        </w:rPr>
        <w:t xml:space="preserve"> BRIEF</w:t>
      </w:r>
    </w:p>
    <w:p w:rsidR="006A31D2" w:rsidRPr="006A31D2" w:rsidRDefault="006A31D2" w:rsidP="006A31D2">
      <w:pPr>
        <w:jc w:val="center"/>
        <w:rPr>
          <w:sz w:val="28"/>
          <w:szCs w:val="28"/>
        </w:rPr>
      </w:pPr>
      <w:r w:rsidRPr="006A31D2">
        <w:rPr>
          <w:sz w:val="28"/>
          <w:szCs w:val="28"/>
        </w:rPr>
        <w:t>SUBMITTED ON BEHALF OF THE STAFF OF</w:t>
      </w:r>
    </w:p>
    <w:p w:rsidR="006A31D2" w:rsidRPr="006A31D2" w:rsidRDefault="006A31D2" w:rsidP="006A31D2">
      <w:pPr>
        <w:jc w:val="center"/>
        <w:rPr>
          <w:sz w:val="28"/>
          <w:szCs w:val="28"/>
        </w:rPr>
      </w:pPr>
      <w:r w:rsidRPr="006A31D2">
        <w:rPr>
          <w:sz w:val="28"/>
          <w:szCs w:val="28"/>
        </w:rPr>
        <w:t>THE PUBLIC UTILITIES COMMISSION OF OHIO</w:t>
      </w:r>
    </w:p>
    <w:p w:rsidR="006A31D2" w:rsidRDefault="006A31D2" w:rsidP="006A31D2">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CB5644" w:rsidRPr="00613023" w:rsidRDefault="00CB5644" w:rsidP="008F016B">
      <w:pPr>
        <w:pStyle w:val="Heading1"/>
      </w:pPr>
      <w:bookmarkStart w:id="15" w:name="_Toc450826545"/>
      <w:r w:rsidRPr="00613023">
        <w:t>INTRODUCTION</w:t>
      </w:r>
      <w:bookmarkEnd w:id="14"/>
      <w:bookmarkEnd w:id="15"/>
    </w:p>
    <w:p w:rsidR="006C3F59" w:rsidRDefault="0064436A" w:rsidP="00256F9D">
      <w:pPr>
        <w:pStyle w:val="textstyle0"/>
      </w:pPr>
      <w:r>
        <w:tab/>
      </w:r>
      <w:r w:rsidR="00593AB8">
        <w:t>The Stipulation presented in this matter benefits the ratepayers of Duke Energy Ohio (Duke or the Company), while resolving a contested issue between the Staff of the Public Utilities Commission of Ohio (Staff) and Duke:  Whether the Company can use banked savings to meet its annual energy efficiency mandate and, in the same year, claim a shared savings incentive achievement level.</w:t>
      </w:r>
      <w:r w:rsidR="006C3F59">
        <w:t xml:space="preserve">  Staff </w:t>
      </w:r>
      <w:r w:rsidR="002932FF">
        <w:t xml:space="preserve">generally </w:t>
      </w:r>
      <w:r w:rsidR="006C3F59">
        <w:t>agrees with the Commis</w:t>
      </w:r>
      <w:r w:rsidR="00730090">
        <w:softHyphen/>
      </w:r>
      <w:r w:rsidR="006C3F59">
        <w:t>sion’s</w:t>
      </w:r>
      <w:r w:rsidR="002932FF">
        <w:t xml:space="preserve"> earlier policy holding in this case that banked savings cannot b</w:t>
      </w:r>
      <w:r w:rsidR="008F016B">
        <w:t xml:space="preserve">e used to determine the annual </w:t>
      </w:r>
      <w:r w:rsidR="002932FF">
        <w:t>shared savings achievement level</w:t>
      </w:r>
      <w:r w:rsidR="006C3F59">
        <w:t>.  However, Staff believes that Duke’s Appli</w:t>
      </w:r>
      <w:r w:rsidR="00730090">
        <w:softHyphen/>
      </w:r>
      <w:r w:rsidR="006C3F59">
        <w:t>cation for Rehearing presents good cause for creating a limited exception in this case.</w:t>
      </w:r>
      <w:r w:rsidR="008F016B">
        <w:t xml:space="preserve"> </w:t>
      </w:r>
      <w:r w:rsidR="006C3F59">
        <w:t xml:space="preserve"> Through the Stipulation, Staff is asking the Commission to grant Duke shared savings for 2013 and 2014, and prohibit the Company from using banked savings to earn a shared savings achievement level in the future.</w:t>
      </w:r>
      <w:r w:rsidR="00593AB8">
        <w:t xml:space="preserve">  </w:t>
      </w:r>
    </w:p>
    <w:p w:rsidR="00E10679" w:rsidRDefault="008F016B" w:rsidP="008F016B">
      <w:pPr>
        <w:pStyle w:val="textstyle0"/>
      </w:pPr>
      <w:r>
        <w:lastRenderedPageBreak/>
        <w:tab/>
      </w:r>
      <w:r w:rsidR="00D17EB2">
        <w:t>The Intervenors</w:t>
      </w:r>
      <w:r w:rsidR="00593AB8">
        <w:t>,</w:t>
      </w:r>
      <w:r w:rsidR="00D17EB2">
        <w:rPr>
          <w:rStyle w:val="FootnoteReference"/>
        </w:rPr>
        <w:footnoteReference w:id="1"/>
      </w:r>
      <w:r w:rsidR="00593AB8">
        <w:t xml:space="preserve"> who chose not to respond to an invitation to negotiate, contest the Stipulation in this proceeding.  Despite their arguments to the contrary, the Stipula</w:t>
      </w:r>
      <w:r w:rsidR="00730090">
        <w:softHyphen/>
      </w:r>
      <w:r w:rsidR="00593AB8">
        <w:t>tion</w:t>
      </w:r>
      <w:r w:rsidR="00996C5C">
        <w:t xml:space="preserve"> meets the three-part test for reasonableness.  It</w:t>
      </w:r>
      <w:r w:rsidR="00593AB8">
        <w:t xml:space="preserve"> represents compromises by Duke and Staff to resolve the contested issue efficiently and mitigate the costly risk to ratepayers inherent in these proceedings.  The Commission should approve the Stipulation and give consumers certainty moving forward.</w:t>
      </w:r>
    </w:p>
    <w:p w:rsidR="00AA0C80" w:rsidRDefault="00AA0C80" w:rsidP="008F016B">
      <w:pPr>
        <w:pStyle w:val="Heading1"/>
      </w:pPr>
      <w:bookmarkStart w:id="16" w:name="_Toc450826546"/>
      <w:r>
        <w:t>DISCUSSION</w:t>
      </w:r>
      <w:bookmarkEnd w:id="16"/>
    </w:p>
    <w:p w:rsidR="00593AB8" w:rsidRDefault="00593AB8" w:rsidP="004731BE">
      <w:pPr>
        <w:pStyle w:val="Heading2"/>
      </w:pPr>
      <w:bookmarkStart w:id="17" w:name="_Toc450826547"/>
      <w:bookmarkStart w:id="18" w:name="_Toc260212963"/>
      <w:bookmarkStart w:id="19" w:name="_GoBack"/>
      <w:bookmarkEnd w:id="19"/>
      <w:r>
        <w:t>A.</w:t>
      </w:r>
      <w:r>
        <w:tab/>
      </w:r>
      <w:r w:rsidR="00D3739F">
        <w:t>The Stipulation is the product of serious bargaining among cap</w:t>
      </w:r>
      <w:r w:rsidR="00730090">
        <w:softHyphen/>
      </w:r>
      <w:r w:rsidR="00D3739F">
        <w:t>able, knowledgeable parties.</w:t>
      </w:r>
      <w:bookmarkEnd w:id="17"/>
    </w:p>
    <w:p w:rsidR="00593AB8" w:rsidRDefault="00593AB8" w:rsidP="00256F9D">
      <w:pPr>
        <w:pStyle w:val="textstyle0"/>
      </w:pPr>
      <w:r>
        <w:tab/>
        <w:t>The Stipulation is the product of serious bargaining among capable, knowledge</w:t>
      </w:r>
      <w:r w:rsidR="00256F9D">
        <w:softHyphen/>
      </w:r>
      <w:r>
        <w:t xml:space="preserve">able parties because of the diverse interests represented by the signatory parties, the open and fair negotiation process, and the compromises made by each side. </w:t>
      </w:r>
    </w:p>
    <w:p w:rsidR="00593AB8" w:rsidRDefault="00256F9D" w:rsidP="00AE087F">
      <w:pPr>
        <w:pStyle w:val="Heading3"/>
      </w:pPr>
      <w:bookmarkStart w:id="20" w:name="_Toc450826548"/>
      <w:r>
        <w:t>1.</w:t>
      </w:r>
      <w:r>
        <w:tab/>
      </w:r>
      <w:r w:rsidR="00593AB8">
        <w:t>The signatory parties represent diverse interests.</w:t>
      </w:r>
      <w:bookmarkEnd w:id="20"/>
    </w:p>
    <w:p w:rsidR="00593AB8" w:rsidRDefault="00593AB8" w:rsidP="00256F9D">
      <w:pPr>
        <w:pStyle w:val="textstyle0"/>
      </w:pPr>
      <w:r>
        <w:tab/>
        <w:t xml:space="preserve">First, Duke and Staff represent diverse interests. </w:t>
      </w:r>
      <w:r w:rsidR="00256F9D">
        <w:t xml:space="preserve"> </w:t>
      </w:r>
      <w:r w:rsidR="00894BB8">
        <w:t xml:space="preserve">As stated in Staff’s </w:t>
      </w:r>
      <w:r>
        <w:t>Post-Hearing Brief, Staff is accountable for balancing the interests of all of Ohio’s ratepayers and is concerned with ensuring reliable service and fair rates for consumers.</w:t>
      </w:r>
      <w:r w:rsidR="000760FE">
        <w:rPr>
          <w:rStyle w:val="FootnoteReference"/>
        </w:rPr>
        <w:footnoteReference w:id="2"/>
      </w:r>
      <w:r>
        <w:t xml:space="preserve"> </w:t>
      </w:r>
      <w:r w:rsidR="00256F9D">
        <w:t xml:space="preserve"> </w:t>
      </w:r>
      <w:r>
        <w:t xml:space="preserve">OEG is mistaken and mischaracterizes testimony when it states that Staff is representing the Company’s </w:t>
      </w:r>
      <w:r>
        <w:lastRenderedPageBreak/>
        <w:t>interests.</w:t>
      </w:r>
      <w:r w:rsidR="000760FE">
        <w:rPr>
          <w:rStyle w:val="FootnoteReference"/>
        </w:rPr>
        <w:footnoteReference w:id="3"/>
      </w:r>
      <w:r>
        <w:t xml:space="preserve"> </w:t>
      </w:r>
      <w:r w:rsidR="00256F9D">
        <w:t xml:space="preserve"> </w:t>
      </w:r>
      <w:r>
        <w:t>Staff is a neutral party.</w:t>
      </w:r>
      <w:r w:rsidR="00256F9D">
        <w:t xml:space="preserve"> </w:t>
      </w:r>
      <w:r>
        <w:t xml:space="preserve"> It does not represent one single customer class or party; rather, it seeks to balance the interests of all of Ohio’s energy consumers with that of the regulated industry.</w:t>
      </w:r>
      <w:r w:rsidR="000760FE">
        <w:rPr>
          <w:rStyle w:val="FootnoteReference"/>
        </w:rPr>
        <w:footnoteReference w:id="4"/>
      </w:r>
      <w:r>
        <w:t xml:space="preserve"> </w:t>
      </w:r>
    </w:p>
    <w:p w:rsidR="00593AB8" w:rsidRDefault="00593AB8" w:rsidP="00256F9D">
      <w:pPr>
        <w:pStyle w:val="textstyle0"/>
      </w:pPr>
      <w:r>
        <w:tab/>
        <w:t>OCC argues that Staff’s position on the use of banked savings is not clear, and, therefore, i</w:t>
      </w:r>
      <w:r w:rsidR="00887FCB">
        <w:t>t is unclear what compromises w</w:t>
      </w:r>
      <w:r>
        <w:t xml:space="preserve">ere made by Staff. </w:t>
      </w:r>
      <w:r w:rsidR="00256F9D">
        <w:t xml:space="preserve"> </w:t>
      </w:r>
      <w:r>
        <w:t xml:space="preserve">However, as several </w:t>
      </w:r>
      <w:r w:rsidR="000760FE">
        <w:t xml:space="preserve">intervening </w:t>
      </w:r>
      <w:r>
        <w:t>parties pointed out,</w:t>
      </w:r>
      <w:r w:rsidR="007069D8" w:rsidRPr="007069D8">
        <w:rPr>
          <w:rStyle w:val="FootnoteReference"/>
        </w:rPr>
        <w:t xml:space="preserve"> </w:t>
      </w:r>
      <w:r w:rsidR="007069D8">
        <w:rPr>
          <w:rStyle w:val="FootnoteReference"/>
        </w:rPr>
        <w:footnoteReference w:id="5"/>
      </w:r>
      <w:r>
        <w:t xml:space="preserve"> Staff made its position clear in Case No. 14-1580-EL-RDR.</w:t>
      </w:r>
      <w:r w:rsidR="007069D8">
        <w:rPr>
          <w:rStyle w:val="FootnoteReference"/>
        </w:rPr>
        <w:footnoteReference w:id="6"/>
      </w:r>
      <w:r w:rsidR="00256F9D">
        <w:t xml:space="preserve"> </w:t>
      </w:r>
      <w:r>
        <w:t>Staff again clarified its position o</w:t>
      </w:r>
      <w:r w:rsidR="007069D8">
        <w:t xml:space="preserve">n banked savings in its </w:t>
      </w:r>
      <w:r>
        <w:t>Post-Hearing Brief in this case.</w:t>
      </w:r>
      <w:r w:rsidR="007069D8">
        <w:rPr>
          <w:rStyle w:val="FootnoteReference"/>
        </w:rPr>
        <w:footnoteReference w:id="7"/>
      </w:r>
      <w:r>
        <w:t xml:space="preserve"> </w:t>
      </w:r>
      <w:r w:rsidR="00256F9D">
        <w:t xml:space="preserve"> </w:t>
      </w:r>
      <w:r>
        <w:t>Staff does not support the Company’s use of banked savings to earn a shared sav</w:t>
      </w:r>
      <w:r w:rsidR="00730090">
        <w:softHyphen/>
      </w:r>
      <w:r>
        <w:t xml:space="preserve">ings incentive. </w:t>
      </w:r>
      <w:r w:rsidR="00256F9D">
        <w:t xml:space="preserve"> </w:t>
      </w:r>
      <w:r>
        <w:t>Staf</w:t>
      </w:r>
      <w:r w:rsidR="0017452C">
        <w:t>f’s position in this case is no</w:t>
      </w:r>
      <w:r>
        <w:t xml:space="preserve"> different than previously stated; Staff is only asking for a limited exception to be created in this case to mitigate the risk created by Duke’s Application for Rehearing and to resolve Duke’s unique circumstances.</w:t>
      </w:r>
      <w:r>
        <w:rPr>
          <w:rStyle w:val="FootnoteReference"/>
        </w:rPr>
        <w:footnoteReference w:id="8"/>
      </w:r>
    </w:p>
    <w:p w:rsidR="00593AB8" w:rsidRDefault="00256F9D" w:rsidP="00AE087F">
      <w:pPr>
        <w:pStyle w:val="Heading3"/>
      </w:pPr>
      <w:bookmarkStart w:id="21" w:name="_Toc450826549"/>
      <w:r>
        <w:lastRenderedPageBreak/>
        <w:t>2.</w:t>
      </w:r>
      <w:r>
        <w:tab/>
      </w:r>
      <w:r w:rsidR="0017452C">
        <w:t>The Stipulation was the product of lengthy negotiations between the signatory parties.</w:t>
      </w:r>
      <w:bookmarkEnd w:id="21"/>
    </w:p>
    <w:p w:rsidR="00593AB8" w:rsidRDefault="00593AB8" w:rsidP="00256F9D">
      <w:pPr>
        <w:pStyle w:val="textstyle0"/>
      </w:pPr>
      <w:r>
        <w:tab/>
        <w:t>OMA argues that serious bargaining could not take place in four meetings.</w:t>
      </w:r>
      <w:r w:rsidR="007069D8">
        <w:rPr>
          <w:rStyle w:val="FootnoteReference"/>
        </w:rPr>
        <w:footnoteReference w:id="9"/>
      </w:r>
      <w:r>
        <w:t xml:space="preserve"> </w:t>
      </w:r>
      <w:r w:rsidR="00256F9D">
        <w:t xml:space="preserve"> </w:t>
      </w:r>
      <w:r>
        <w:t xml:space="preserve">This argument is flawed for many reasons. </w:t>
      </w:r>
      <w:r w:rsidR="00256F9D">
        <w:t xml:space="preserve"> </w:t>
      </w:r>
      <w:r>
        <w:t xml:space="preserve">First, there is no standard requiring a minimum number of meetings to take place in order for there to be serious bargaining. </w:t>
      </w:r>
      <w:r w:rsidR="00256F9D">
        <w:t xml:space="preserve"> </w:t>
      </w:r>
      <w:r>
        <w:t xml:space="preserve">That OMA fails to cite such a standard highlights that fact. </w:t>
      </w:r>
      <w:r w:rsidR="00256F9D">
        <w:t xml:space="preserve"> </w:t>
      </w:r>
      <w:r>
        <w:t xml:space="preserve">Second, the four meetings </w:t>
      </w:r>
      <w:r w:rsidR="007069D8">
        <w:t xml:space="preserve">mentioned in the record </w:t>
      </w:r>
      <w:r>
        <w:t>spanned from October to December.</w:t>
      </w:r>
      <w:r w:rsidR="00F729B6">
        <w:rPr>
          <w:rStyle w:val="FootnoteReference"/>
        </w:rPr>
        <w:footnoteReference w:id="10"/>
      </w:r>
      <w:r>
        <w:t xml:space="preserve"> </w:t>
      </w:r>
      <w:r w:rsidR="00256F9D">
        <w:t xml:space="preserve"> </w:t>
      </w:r>
      <w:r w:rsidR="007069D8">
        <w:t>Those</w:t>
      </w:r>
      <w:r>
        <w:t xml:space="preserve"> </w:t>
      </w:r>
      <w:r w:rsidR="00887FCB">
        <w:t xml:space="preserve">lengthy </w:t>
      </w:r>
      <w:r>
        <w:t xml:space="preserve">meetings were the </w:t>
      </w:r>
      <w:r w:rsidR="00887FCB">
        <w:t>formal</w:t>
      </w:r>
      <w:r>
        <w:t xml:space="preserve"> meetings that took place between Staff and Duke’s counsel and substantive experts;</w:t>
      </w:r>
      <w:r w:rsidR="00F729B6">
        <w:rPr>
          <w:rStyle w:val="FootnoteReference"/>
        </w:rPr>
        <w:footnoteReference w:id="11"/>
      </w:r>
      <w:r>
        <w:t xml:space="preserve"> it does not account for the informal communications </w:t>
      </w:r>
      <w:r w:rsidR="00887FCB">
        <w:t xml:space="preserve">that took place between </w:t>
      </w:r>
      <w:proofErr w:type="gramStart"/>
      <w:r w:rsidR="00887FCB">
        <w:t>counsel</w:t>
      </w:r>
      <w:proofErr w:type="gramEnd"/>
      <w:r>
        <w:t>.</w:t>
      </w:r>
      <w:r w:rsidR="008C2F08">
        <w:rPr>
          <w:rStyle w:val="FootnoteReference"/>
        </w:rPr>
        <w:footnoteReference w:id="12"/>
      </w:r>
      <w:r>
        <w:t xml:space="preserve"> </w:t>
      </w:r>
      <w:r w:rsidR="00256F9D">
        <w:t xml:space="preserve"> </w:t>
      </w:r>
      <w:r>
        <w:t>Those meetings also do not account for the time taken by each signatory party internally to contemplate and discuss the terms presented by the opposing party.</w:t>
      </w:r>
      <w:r w:rsidR="00962878">
        <w:rPr>
          <w:rStyle w:val="FootnoteReference"/>
        </w:rPr>
        <w:footnoteReference w:id="13"/>
      </w:r>
      <w:r>
        <w:t xml:space="preserve"> </w:t>
      </w:r>
      <w:r w:rsidR="00256F9D">
        <w:t xml:space="preserve"> </w:t>
      </w:r>
      <w:r>
        <w:t xml:space="preserve">Absent a clear standard to </w:t>
      </w:r>
      <w:r w:rsidR="007069D8">
        <w:t xml:space="preserve">the </w:t>
      </w:r>
      <w:r>
        <w:t>co</w:t>
      </w:r>
      <w:r w:rsidR="00F729B6">
        <w:t xml:space="preserve">ntrary, the fact that four </w:t>
      </w:r>
      <w:r>
        <w:t>formal meet</w:t>
      </w:r>
      <w:r w:rsidR="00256F9D">
        <w:softHyphen/>
      </w:r>
      <w:r>
        <w:t>ings occurred does not negate serious bargaining.</w:t>
      </w:r>
    </w:p>
    <w:p w:rsidR="00593AB8" w:rsidRDefault="00256F9D" w:rsidP="00AE087F">
      <w:pPr>
        <w:pStyle w:val="Heading3"/>
      </w:pPr>
      <w:bookmarkStart w:id="22" w:name="_Toc450826550"/>
      <w:r>
        <w:lastRenderedPageBreak/>
        <w:t>3.</w:t>
      </w:r>
      <w:r>
        <w:tab/>
      </w:r>
      <w:r w:rsidR="00D3739F">
        <w:t>T</w:t>
      </w:r>
      <w:r w:rsidR="00593AB8">
        <w:t>he intervening parties</w:t>
      </w:r>
      <w:r w:rsidR="00D3739F">
        <w:t xml:space="preserve"> failed to respond and showed no interest when Staff invited them</w:t>
      </w:r>
      <w:r w:rsidR="00593AB8">
        <w:t xml:space="preserve"> to participate in the negoti</w:t>
      </w:r>
      <w:r w:rsidR="00730090">
        <w:softHyphen/>
      </w:r>
      <w:r w:rsidR="00593AB8">
        <w:t>ations.</w:t>
      </w:r>
      <w:bookmarkEnd w:id="22"/>
    </w:p>
    <w:p w:rsidR="00996C5C" w:rsidRDefault="00593AB8" w:rsidP="00256F9D">
      <w:pPr>
        <w:pStyle w:val="textstyle0"/>
      </w:pPr>
      <w:r>
        <w:tab/>
        <w:t xml:space="preserve">A major topic covered by all of the parties is the content </w:t>
      </w:r>
      <w:r w:rsidR="007069D8">
        <w:t xml:space="preserve">of </w:t>
      </w:r>
      <w:r>
        <w:t>and intent behind the email sent by Staff’s counsel on December 30, 2015.</w:t>
      </w:r>
      <w:r w:rsidR="007069D8">
        <w:rPr>
          <w:rStyle w:val="FootnoteReference"/>
        </w:rPr>
        <w:footnoteReference w:id="14"/>
      </w:r>
      <w:r>
        <w:t xml:space="preserve"> </w:t>
      </w:r>
      <w:r w:rsidR="00256F9D">
        <w:t xml:space="preserve"> </w:t>
      </w:r>
      <w:r>
        <w:t xml:space="preserve">OCC and OEG misrepresent the evidence on the record. </w:t>
      </w:r>
      <w:r w:rsidR="00256F9D">
        <w:t xml:space="preserve"> </w:t>
      </w:r>
      <w:r>
        <w:t>The email does not contain an ultimatum</w:t>
      </w:r>
      <w:r w:rsidR="00F40FF6">
        <w:rPr>
          <w:rStyle w:val="FootnoteReference"/>
        </w:rPr>
        <w:footnoteReference w:id="15"/>
      </w:r>
      <w:r>
        <w:t xml:space="preserve"> or a caveat.</w:t>
      </w:r>
      <w:r w:rsidR="00F40FF6">
        <w:rPr>
          <w:rStyle w:val="FootnoteReference"/>
        </w:rPr>
        <w:footnoteReference w:id="16"/>
      </w:r>
      <w:r>
        <w:t xml:space="preserve"> </w:t>
      </w:r>
      <w:r w:rsidR="00256F9D">
        <w:t xml:space="preserve"> </w:t>
      </w:r>
      <w:r>
        <w:t>Parties were explicitly asked if they had an interest in becoming a signatory party.</w:t>
      </w:r>
      <w:r w:rsidR="00F40FF6">
        <w:rPr>
          <w:rStyle w:val="FootnoteReference"/>
        </w:rPr>
        <w:footnoteReference w:id="17"/>
      </w:r>
      <w:r>
        <w:t xml:space="preserve"> </w:t>
      </w:r>
      <w:r w:rsidR="00256F9D">
        <w:t xml:space="preserve"> </w:t>
      </w:r>
      <w:r>
        <w:t>The email contains no language stating or suggesting that the amount of shared savings was not open for further discussion.</w:t>
      </w:r>
      <w:r w:rsidR="00F40FF6">
        <w:rPr>
          <w:rStyle w:val="FootnoteReference"/>
        </w:rPr>
        <w:footnoteReference w:id="18"/>
      </w:r>
      <w:r w:rsidR="00E12C4C">
        <w:t xml:space="preserve">  Staff witness Donlon testified</w:t>
      </w:r>
      <w:r w:rsidR="008B5452">
        <w:t xml:space="preserve"> that “the whole document was negotiable at that point,”</w:t>
      </w:r>
      <w:r w:rsidR="00B311AA">
        <w:rPr>
          <w:rStyle w:val="FootnoteReference"/>
        </w:rPr>
        <w:footnoteReference w:id="19"/>
      </w:r>
      <w:r w:rsidR="008B5452">
        <w:t xml:space="preserve"> and</w:t>
      </w:r>
      <w:r w:rsidR="00E12C4C">
        <w:t xml:space="preserve"> that Staff’s intent was to have further negotiations if the parties so desired.</w:t>
      </w:r>
      <w:r w:rsidR="00E12C4C">
        <w:rPr>
          <w:rStyle w:val="FootnoteReference"/>
        </w:rPr>
        <w:footnoteReference w:id="20"/>
      </w:r>
      <w:r>
        <w:t xml:space="preserve"> </w:t>
      </w:r>
      <w:r w:rsidR="00256F9D">
        <w:t xml:space="preserve"> </w:t>
      </w:r>
      <w:r>
        <w:t xml:space="preserve">The Intervenors </w:t>
      </w:r>
      <w:r w:rsidR="008B5452">
        <w:t>are ignoring the evidence on the record and mis</w:t>
      </w:r>
      <w:r w:rsidR="00730090">
        <w:softHyphen/>
      </w:r>
      <w:r w:rsidR="008B5452">
        <w:t>characterizing</w:t>
      </w:r>
      <w:r>
        <w:t xml:space="preserve"> the language of the email in order to speculate about Staff’s intent. </w:t>
      </w:r>
      <w:r w:rsidR="00256F9D">
        <w:t xml:space="preserve"> </w:t>
      </w:r>
      <w:r>
        <w:t>The fact is that no intervening party inquired about whether the terms were open for discus</w:t>
      </w:r>
      <w:r w:rsidR="00730090">
        <w:softHyphen/>
      </w:r>
      <w:r>
        <w:t>sion</w:t>
      </w:r>
      <w:r w:rsidR="008B5452">
        <w:rPr>
          <w:rStyle w:val="FootnoteReference"/>
        </w:rPr>
        <w:footnoteReference w:id="21"/>
      </w:r>
      <w:r>
        <w:t xml:space="preserve"> so they must resort to speculation.</w:t>
      </w:r>
      <w:r w:rsidR="00F40FF6">
        <w:t xml:space="preserve">  </w:t>
      </w:r>
      <w:r w:rsidR="00256F9D">
        <w:t xml:space="preserve"> </w:t>
      </w:r>
    </w:p>
    <w:p w:rsidR="00593AB8" w:rsidRDefault="008F016B" w:rsidP="008F016B">
      <w:pPr>
        <w:pStyle w:val="textstyle0"/>
      </w:pPr>
      <w:r>
        <w:lastRenderedPageBreak/>
        <w:tab/>
      </w:r>
      <w:r w:rsidR="00593AB8">
        <w:t>The Intervenors also complain about the deadline given</w:t>
      </w:r>
      <w:r w:rsidR="00F33644">
        <w:t xml:space="preserve"> (</w:t>
      </w:r>
      <w:r w:rsidR="00CC570F">
        <w:t>January 6</w:t>
      </w:r>
      <w:r w:rsidR="00CC570F" w:rsidRPr="00CC570F">
        <w:rPr>
          <w:vertAlign w:val="superscript"/>
        </w:rPr>
        <w:t>th</w:t>
      </w:r>
      <w:r w:rsidR="00CC570F">
        <w:t xml:space="preserve"> at noon</w:t>
      </w:r>
      <w:r w:rsidR="00F33644">
        <w:t>)</w:t>
      </w:r>
      <w:r w:rsidR="00CC570F">
        <w:t xml:space="preserve"> to respond to the email.</w:t>
      </w:r>
      <w:r w:rsidR="00F63596">
        <w:rPr>
          <w:rStyle w:val="FootnoteReference"/>
        </w:rPr>
        <w:footnoteReference w:id="22"/>
      </w:r>
      <w:r w:rsidR="00CC570F">
        <w:t xml:space="preserve"> </w:t>
      </w:r>
      <w:r w:rsidR="00593AB8">
        <w:t xml:space="preserve"> </w:t>
      </w:r>
      <w:r w:rsidR="00CC570F">
        <w:t>B</w:t>
      </w:r>
      <w:r w:rsidR="00593AB8">
        <w:t>ut, again, no intervening party asked for an extension of the dead</w:t>
      </w:r>
      <w:r w:rsidR="00730090">
        <w:softHyphen/>
      </w:r>
      <w:r w:rsidR="00593AB8">
        <w:t>line.</w:t>
      </w:r>
      <w:r w:rsidR="00256F9D">
        <w:t xml:space="preserve"> </w:t>
      </w:r>
      <w:r>
        <w:t xml:space="preserve"> </w:t>
      </w:r>
      <w:r w:rsidR="00593AB8">
        <w:t>The importance of the email is that it shows that the Intervenors received a draft of the</w:t>
      </w:r>
      <w:r w:rsidR="00962878">
        <w:t xml:space="preserve"> “rough agreement”</w:t>
      </w:r>
      <w:r w:rsidR="00962878">
        <w:rPr>
          <w:rStyle w:val="FootnoteReference"/>
        </w:rPr>
        <w:footnoteReference w:id="23"/>
      </w:r>
      <w:r w:rsidR="00962878">
        <w:t xml:space="preserve"> between Staff and Duke</w:t>
      </w:r>
      <w:r w:rsidR="00593AB8">
        <w:t xml:space="preserve"> and were given the opportunity to review it and consult with the signatory parties if they had such an interest. </w:t>
      </w:r>
      <w:r w:rsidR="00256F9D">
        <w:t xml:space="preserve"> </w:t>
      </w:r>
      <w:r w:rsidR="00593AB8">
        <w:t>After not receiving any kind of response from any intervening party, it became clear to Staff and Duke that the Intervenors did not have an interest in the Stipulation.</w:t>
      </w:r>
      <w:r w:rsidR="005F0852">
        <w:t xml:space="preserve">  This is evident by their late responses: OCC responded at 5:45pm on January 6</w:t>
      </w:r>
      <w:r w:rsidR="005F0852" w:rsidRPr="005F0852">
        <w:rPr>
          <w:vertAlign w:val="superscript"/>
        </w:rPr>
        <w:t>th</w:t>
      </w:r>
      <w:r w:rsidR="005F0852">
        <w:t>;</w:t>
      </w:r>
      <w:r w:rsidR="005F0852">
        <w:rPr>
          <w:rStyle w:val="FootnoteReference"/>
        </w:rPr>
        <w:footnoteReference w:id="24"/>
      </w:r>
      <w:r w:rsidR="005F0852">
        <w:t xml:space="preserve"> OMA responded at 6:08pm on January 6</w:t>
      </w:r>
      <w:r w:rsidR="005F0852" w:rsidRPr="005F0852">
        <w:rPr>
          <w:vertAlign w:val="superscript"/>
        </w:rPr>
        <w:t>th</w:t>
      </w:r>
      <w:r w:rsidR="005F0852">
        <w:t>;</w:t>
      </w:r>
      <w:r w:rsidR="005F0852">
        <w:rPr>
          <w:rStyle w:val="FootnoteReference"/>
        </w:rPr>
        <w:footnoteReference w:id="25"/>
      </w:r>
      <w:r w:rsidR="005F0852">
        <w:t xml:space="preserve"> and OPAE responded at 6:41</w:t>
      </w:r>
      <w:r w:rsidR="00DD66C6">
        <w:t>pm</w:t>
      </w:r>
      <w:r w:rsidR="005F0852">
        <w:t xml:space="preserve"> that same day.</w:t>
      </w:r>
      <w:r w:rsidR="005F0852">
        <w:rPr>
          <w:rStyle w:val="FootnoteReference"/>
        </w:rPr>
        <w:footnoteReference w:id="26"/>
      </w:r>
      <w:r w:rsidR="005F0852">
        <w:t xml:space="preserve">  It is no coinci</w:t>
      </w:r>
      <w:r w:rsidR="00730090">
        <w:softHyphen/>
      </w:r>
      <w:r w:rsidR="005F0852">
        <w:t>dence that, after having a week to respond to Staff, three of the intervening parties responded</w:t>
      </w:r>
      <w:r w:rsidR="00F33644">
        <w:t xml:space="preserve"> to Staff</w:t>
      </w:r>
      <w:r w:rsidR="005F0852">
        <w:t xml:space="preserve"> within a two-hour window</w:t>
      </w:r>
      <w:r w:rsidR="00F33644">
        <w:t xml:space="preserve"> —</w:t>
      </w:r>
      <w:r w:rsidR="005F0852">
        <w:t xml:space="preserve"> after the Stipulation was filed.</w:t>
      </w:r>
      <w:r w:rsidR="00593AB8">
        <w:t xml:space="preserve"> </w:t>
      </w:r>
      <w:r w:rsidR="00256F9D">
        <w:t xml:space="preserve"> </w:t>
      </w:r>
      <w:r w:rsidR="00996C5C">
        <w:t>After waiting an extra four</w:t>
      </w:r>
      <w:r w:rsidR="00593AB8">
        <w:t xml:space="preserve"> hours</w:t>
      </w:r>
      <w:r w:rsidR="00F33644">
        <w:t xml:space="preserve"> after the </w:t>
      </w:r>
      <w:r w:rsidR="00951DC5">
        <w:t>noon deadline</w:t>
      </w:r>
      <w:r w:rsidR="00F33644">
        <w:t xml:space="preserve"> on January 6</w:t>
      </w:r>
      <w:r w:rsidR="00F33644" w:rsidRPr="00F33644">
        <w:rPr>
          <w:vertAlign w:val="superscript"/>
        </w:rPr>
        <w:t>th</w:t>
      </w:r>
      <w:r w:rsidR="00593AB8">
        <w:t>, the Stipulation was filed with only Duke and Staff as signatory parties.</w:t>
      </w:r>
      <w:r w:rsidR="00F33644" w:rsidRPr="00F33644">
        <w:rPr>
          <w:rStyle w:val="FootnoteReference"/>
        </w:rPr>
        <w:t xml:space="preserve"> </w:t>
      </w:r>
      <w:r w:rsidR="00F33644">
        <w:rPr>
          <w:rStyle w:val="FootnoteReference"/>
        </w:rPr>
        <w:footnoteReference w:id="27"/>
      </w:r>
      <w:r w:rsidR="00996C5C">
        <w:t xml:space="preserve">  </w:t>
      </w:r>
    </w:p>
    <w:p w:rsidR="00593AB8" w:rsidRDefault="00256F9D" w:rsidP="00AE087F">
      <w:pPr>
        <w:pStyle w:val="Heading3"/>
      </w:pPr>
      <w:bookmarkStart w:id="23" w:name="_Toc450826551"/>
      <w:r>
        <w:lastRenderedPageBreak/>
        <w:t>4.</w:t>
      </w:r>
      <w:r>
        <w:tab/>
      </w:r>
      <w:r w:rsidR="00593AB8">
        <w:t>The terms of the Stipulation are fair and reasonable, and rep</w:t>
      </w:r>
      <w:r w:rsidR="00730090">
        <w:softHyphen/>
      </w:r>
      <w:r w:rsidR="00593AB8">
        <w:t>resent compromises by the signatory parties.</w:t>
      </w:r>
      <w:bookmarkEnd w:id="23"/>
    </w:p>
    <w:p w:rsidR="00593AB8" w:rsidRDefault="00593AB8" w:rsidP="00256F9D">
      <w:pPr>
        <w:pStyle w:val="textstyle0"/>
      </w:pPr>
      <w:r>
        <w:tab/>
        <w:t xml:space="preserve">The Intervenors argue that some of the terms of the Stipulation are illusory. </w:t>
      </w:r>
      <w:r w:rsidR="00256F9D">
        <w:t xml:space="preserve"> </w:t>
      </w:r>
      <w:r>
        <w:t xml:space="preserve">First, and most contested, is the point at which the $19.75 million that the Stipulation provides to Duke for shared savings became final. </w:t>
      </w:r>
      <w:r w:rsidR="00256F9D">
        <w:t xml:space="preserve"> </w:t>
      </w:r>
      <w:r>
        <w:t>Kroger and OMA hang on the testimony of Company witness Duff that the amount was “determined” before he was brought into the negotiation.</w:t>
      </w:r>
      <w:r w:rsidR="00E8277E">
        <w:rPr>
          <w:rStyle w:val="FootnoteReference"/>
        </w:rPr>
        <w:footnoteReference w:id="28"/>
      </w:r>
      <w:r>
        <w:t xml:space="preserve"> </w:t>
      </w:r>
      <w:r w:rsidR="00256F9D">
        <w:t xml:space="preserve"> </w:t>
      </w:r>
      <w:r>
        <w:t>The parties conveniently overlook Staff witness Donlon’s testimony that the amount only became final when the Stipulation was filed.</w:t>
      </w:r>
      <w:r w:rsidR="009151B4">
        <w:rPr>
          <w:rStyle w:val="FootnoteReference"/>
        </w:rPr>
        <w:footnoteReference w:id="29"/>
      </w:r>
      <w:r>
        <w:t xml:space="preserve"> </w:t>
      </w:r>
      <w:r w:rsidR="00256F9D">
        <w:t xml:space="preserve"> </w:t>
      </w:r>
      <w:r>
        <w:t xml:space="preserve">The two testimonies are not mutually exclusive. </w:t>
      </w:r>
      <w:r w:rsidR="00256F9D">
        <w:t xml:space="preserve"> </w:t>
      </w:r>
      <w:r>
        <w:t>Although Staff and Duke had determined an amount that both could agree on, it was still subject to further input from the intervening parties.</w:t>
      </w:r>
      <w:r w:rsidR="009151B4">
        <w:rPr>
          <w:rStyle w:val="FootnoteReference"/>
        </w:rPr>
        <w:footnoteReference w:id="30"/>
      </w:r>
      <w:r>
        <w:t xml:space="preserve"> </w:t>
      </w:r>
      <w:r w:rsidR="00256F9D">
        <w:t xml:space="preserve"> </w:t>
      </w:r>
      <w:r>
        <w:t xml:space="preserve">Because no input was received, the terms of the Stipulation stayed as </w:t>
      </w:r>
      <w:r w:rsidR="00F33644">
        <w:t>Staff and Duke had originally agreed upon</w:t>
      </w:r>
      <w:r>
        <w:t xml:space="preserve">. </w:t>
      </w:r>
    </w:p>
    <w:p w:rsidR="00F14387" w:rsidRDefault="00593AB8" w:rsidP="00256F9D">
      <w:pPr>
        <w:pStyle w:val="textstyle0"/>
      </w:pPr>
      <w:r>
        <w:tab/>
        <w:t>Staff later held a meeting for the Company and the Intervenors to discuss the terms of the Stipulation and potential modifications.</w:t>
      </w:r>
      <w:r w:rsidR="009151B4">
        <w:rPr>
          <w:rStyle w:val="FootnoteReference"/>
        </w:rPr>
        <w:footnoteReference w:id="31"/>
      </w:r>
      <w:r>
        <w:t xml:space="preserve"> </w:t>
      </w:r>
      <w:r w:rsidR="00256F9D">
        <w:t xml:space="preserve"> </w:t>
      </w:r>
      <w:r>
        <w:t xml:space="preserve">At that meeting, the parties were told that the amount of shared savings would be “hard to move off of” </w:t>
      </w:r>
      <w:r w:rsidR="00F14387" w:rsidRPr="00132E4A">
        <w:rPr>
          <w:i/>
        </w:rPr>
        <w:t>after</w:t>
      </w:r>
      <w:r>
        <w:t xml:space="preserve"> the Stipulation was signed and filed.</w:t>
      </w:r>
      <w:r w:rsidR="009151B4">
        <w:rPr>
          <w:rStyle w:val="FootnoteReference"/>
        </w:rPr>
        <w:footnoteReference w:id="32"/>
      </w:r>
      <w:r w:rsidR="00F14387">
        <w:t xml:space="preserve"> </w:t>
      </w:r>
      <w:r w:rsidR="00F14387" w:rsidRPr="00F14387">
        <w:t xml:space="preserve"> </w:t>
      </w:r>
      <w:r w:rsidR="00F14387">
        <w:t xml:space="preserve">However, Staff witness Donlon specifically testified that all </w:t>
      </w:r>
      <w:r w:rsidR="00F14387">
        <w:lastRenderedPageBreak/>
        <w:t xml:space="preserve">terms were open for discussion </w:t>
      </w:r>
      <w:r w:rsidR="00F14387" w:rsidRPr="00132E4A">
        <w:rPr>
          <w:i/>
        </w:rPr>
        <w:t>before</w:t>
      </w:r>
      <w:r w:rsidR="00F14387">
        <w:t xml:space="preserve"> the document was filed.</w:t>
      </w:r>
      <w:r w:rsidR="00F14387">
        <w:rPr>
          <w:rStyle w:val="FootnoteReference"/>
        </w:rPr>
        <w:footnoteReference w:id="33"/>
      </w:r>
      <w:r w:rsidR="00F14387">
        <w:t xml:space="preserve">  </w:t>
      </w:r>
      <w:r>
        <w:t>The Intervenors are pur</w:t>
      </w:r>
      <w:r w:rsidR="00730090">
        <w:softHyphen/>
      </w:r>
      <w:r>
        <w:t>posefully confusing that distinction.</w:t>
      </w:r>
      <w:r w:rsidR="00B311AA">
        <w:t xml:space="preserve"> </w:t>
      </w:r>
      <w:r w:rsidR="00B311AA" w:rsidRPr="00B311AA">
        <w:t xml:space="preserve"> </w:t>
      </w:r>
    </w:p>
    <w:p w:rsidR="00593AB8" w:rsidRDefault="00353F75" w:rsidP="00353F75">
      <w:pPr>
        <w:pStyle w:val="textstyle0"/>
      </w:pPr>
      <w:r>
        <w:tab/>
      </w:r>
      <w:r w:rsidR="00F14387">
        <w:t>After the meeting, all of the parties to this case joined together to request an exten</w:t>
      </w:r>
      <w:r w:rsidR="00730090">
        <w:softHyphen/>
      </w:r>
      <w:r w:rsidR="00F14387">
        <w:t>sion of the procedural schedule in order to continue settlement discussions.</w:t>
      </w:r>
      <w:r w:rsidR="00F14387">
        <w:rPr>
          <w:rStyle w:val="FootnoteReference"/>
        </w:rPr>
        <w:footnoteReference w:id="34"/>
      </w:r>
      <w:r w:rsidR="00F14387">
        <w:t xml:space="preserve">  </w:t>
      </w:r>
      <w:r w:rsidR="00F66519">
        <w:t>T</w:t>
      </w:r>
      <w:r w:rsidR="00F14387">
        <w:t>he fact that Staff held</w:t>
      </w:r>
      <w:r w:rsidR="00593AB8">
        <w:t xml:space="preserve"> a meeting and</w:t>
      </w:r>
      <w:r w:rsidR="00F14387">
        <w:t xml:space="preserve"> joined the motion</w:t>
      </w:r>
      <w:r w:rsidR="00593AB8">
        <w:t xml:space="preserve"> shows that </w:t>
      </w:r>
      <w:r w:rsidR="00F14387">
        <w:t>Staff was</w:t>
      </w:r>
      <w:r w:rsidR="00593AB8">
        <w:t xml:space="preserve"> open to further negotiation of the terms.</w:t>
      </w:r>
      <w:r w:rsidR="00F14387">
        <w:t xml:space="preserve">  </w:t>
      </w:r>
      <w:r w:rsidR="00593AB8">
        <w:t xml:space="preserve">It further shows that, had the intervening parties responded </w:t>
      </w:r>
      <w:r w:rsidR="00E97605">
        <w:t xml:space="preserve">to Staff </w:t>
      </w:r>
      <w:r w:rsidR="00593AB8">
        <w:t>wit</w:t>
      </w:r>
      <w:r w:rsidR="00887FCB">
        <w:t>h interest by the January 6</w:t>
      </w:r>
      <w:r w:rsidR="00887FCB" w:rsidRPr="00887FCB">
        <w:rPr>
          <w:vertAlign w:val="superscript"/>
        </w:rPr>
        <w:t>th</w:t>
      </w:r>
      <w:r w:rsidR="00887FCB">
        <w:t xml:space="preserve"> deadline</w:t>
      </w:r>
      <w:r w:rsidR="00593AB8">
        <w:t xml:space="preserve">, the signatory parties </w:t>
      </w:r>
      <w:r w:rsidR="008C2F08">
        <w:t>would have continued negotiations</w:t>
      </w:r>
      <w:r w:rsidR="00593AB8">
        <w:t xml:space="preserve"> with the intervening parties. </w:t>
      </w:r>
    </w:p>
    <w:p w:rsidR="00593AB8" w:rsidRDefault="00593AB8" w:rsidP="00256F9D">
      <w:pPr>
        <w:pStyle w:val="textstyle0"/>
      </w:pPr>
      <w:r>
        <w:tab/>
        <w:t>Another term that the Intervenors o</w:t>
      </w:r>
      <w:r w:rsidR="00F66519">
        <w:t xml:space="preserve">bject to allows </w:t>
      </w:r>
      <w:r>
        <w:t>the Company to use banked sav</w:t>
      </w:r>
      <w:r w:rsidR="00730090">
        <w:softHyphen/>
      </w:r>
      <w:r>
        <w:t>ings to earn a shared savings incentive if there is a change in law, regula</w:t>
      </w:r>
      <w:r w:rsidR="00256F9D">
        <w:softHyphen/>
      </w:r>
      <w:r>
        <w:t>tion, or order.</w:t>
      </w:r>
      <w:r w:rsidR="00F66519">
        <w:rPr>
          <w:rStyle w:val="FootnoteReference"/>
        </w:rPr>
        <w:footnoteReference w:id="35"/>
      </w:r>
      <w:r>
        <w:t xml:space="preserve"> </w:t>
      </w:r>
      <w:r w:rsidR="00256F9D">
        <w:t xml:space="preserve"> </w:t>
      </w:r>
      <w:r>
        <w:t xml:space="preserve">For the sake of clarification, Case No. 14-1580-EL-RDR does not address the actual recovery of shared savings. </w:t>
      </w:r>
      <w:r w:rsidR="00256F9D">
        <w:t xml:space="preserve"> </w:t>
      </w:r>
      <w:r>
        <w:t>It only addresses an extension of the present mecha</w:t>
      </w:r>
      <w:r w:rsidR="00730090">
        <w:softHyphen/>
      </w:r>
      <w:r>
        <w:t>nism to 2016.</w:t>
      </w:r>
      <w:r w:rsidR="00F66519">
        <w:rPr>
          <w:rStyle w:val="FootnoteReference"/>
        </w:rPr>
        <w:footnoteReference w:id="36"/>
      </w:r>
      <w:r>
        <w:t xml:space="preserve"> </w:t>
      </w:r>
      <w:r w:rsidR="00256F9D">
        <w:t xml:space="preserve"> </w:t>
      </w:r>
      <w:r>
        <w:t>Duke will have to file for recovery of 2016 next year in a different case.</w:t>
      </w:r>
      <w:r w:rsidR="00256F9D">
        <w:t xml:space="preserve"> </w:t>
      </w:r>
      <w:r>
        <w:t xml:space="preserve"> For that reason, the order in Case No. 14-1580-EL-RDR cannot nullify the Stipula</w:t>
      </w:r>
      <w:r w:rsidR="00256F9D">
        <w:softHyphen/>
      </w:r>
      <w:r>
        <w:t>tion.</w:t>
      </w:r>
      <w:r w:rsidR="00256F9D">
        <w:t xml:space="preserve"> </w:t>
      </w:r>
      <w:r>
        <w:t xml:space="preserve"> Furthermore, the reason </w:t>
      </w:r>
      <w:r w:rsidR="00E97605">
        <w:t xml:space="preserve">that Staff does not support </w:t>
      </w:r>
      <w:r>
        <w:t>Duke</w:t>
      </w:r>
      <w:r w:rsidR="00E97605">
        <w:t>’s</w:t>
      </w:r>
      <w:r>
        <w:t xml:space="preserve"> use</w:t>
      </w:r>
      <w:r w:rsidR="00E97605">
        <w:t xml:space="preserve"> of</w:t>
      </w:r>
      <w:r>
        <w:t xml:space="preserve"> banked savings in the manner debated is because it is contrary to the policy set by the Commission</w:t>
      </w:r>
      <w:r w:rsidR="00132E4A">
        <w:t xml:space="preserve"> in this case</w:t>
      </w:r>
      <w:r>
        <w:t xml:space="preserve">. </w:t>
      </w:r>
      <w:r w:rsidR="00256F9D">
        <w:t xml:space="preserve"> </w:t>
      </w:r>
      <w:r>
        <w:lastRenderedPageBreak/>
        <w:t>Should there be a change in that policy, or a new statute or regulation addressing the issue, it follows that Duke should be entitled to pursue that change and alter its programs.</w:t>
      </w:r>
    </w:p>
    <w:p w:rsidR="00593AB8" w:rsidRDefault="00256F9D" w:rsidP="004731BE">
      <w:pPr>
        <w:pStyle w:val="Heading2"/>
      </w:pPr>
      <w:bookmarkStart w:id="24" w:name="_Toc450826552"/>
      <w:r>
        <w:t>B.</w:t>
      </w:r>
      <w:r>
        <w:tab/>
      </w:r>
      <w:r w:rsidR="00D3739F">
        <w:t>The Stipulation benefits consumers and the public interest.</w:t>
      </w:r>
      <w:bookmarkEnd w:id="24"/>
      <w:r w:rsidR="00593AB8">
        <w:t xml:space="preserve"> </w:t>
      </w:r>
    </w:p>
    <w:p w:rsidR="00593AB8" w:rsidRDefault="00593AB8" w:rsidP="00256F9D">
      <w:pPr>
        <w:pStyle w:val="textstyle0"/>
      </w:pPr>
      <w:r>
        <w:tab/>
        <w:t>The</w:t>
      </w:r>
      <w:r w:rsidR="000020B3">
        <w:t xml:space="preserve"> Stipulation benefits consu</w:t>
      </w:r>
      <w:r>
        <w:t>mers</w:t>
      </w:r>
      <w:r w:rsidR="00132E4A">
        <w:t xml:space="preserve"> and the public interest</w:t>
      </w:r>
      <w:r>
        <w:t xml:space="preserve"> by creating a cap that limits the amount of shared savings that Duke can earn</w:t>
      </w:r>
      <w:r w:rsidR="000020B3">
        <w:t xml:space="preserve"> for 2013, 2014, 2015, and 2016;</w:t>
      </w:r>
      <w:r>
        <w:t xml:space="preserve"> by mitigating the risk of $55 million dollars that Duke’s Application for Rehearing pre</w:t>
      </w:r>
      <w:r w:rsidR="00730090">
        <w:softHyphen/>
      </w:r>
      <w:r>
        <w:t>sents</w:t>
      </w:r>
      <w:r w:rsidR="000020B3">
        <w:t>;</w:t>
      </w:r>
      <w:r>
        <w:t xml:space="preserve"> and by incentiv</w:t>
      </w:r>
      <w:r w:rsidR="00256F9D">
        <w:softHyphen/>
      </w:r>
      <w:r>
        <w:t xml:space="preserve">izing Duke to increase energy efficiency savings. </w:t>
      </w:r>
    </w:p>
    <w:p w:rsidR="00593AB8" w:rsidRDefault="00593AB8" w:rsidP="00256F9D">
      <w:pPr>
        <w:pStyle w:val="textstyle0"/>
      </w:pPr>
      <w:r>
        <w:tab/>
      </w:r>
      <w:r w:rsidR="0094434B">
        <w:t>OPAE and OMA</w:t>
      </w:r>
      <w:r>
        <w:t xml:space="preserve"> contest the amount of risk that Duke’s Application for Rehearing actually presents.</w:t>
      </w:r>
      <w:r w:rsidR="0094434B">
        <w:rPr>
          <w:rStyle w:val="FootnoteReference"/>
        </w:rPr>
        <w:footnoteReference w:id="37"/>
      </w:r>
      <w:r>
        <w:t xml:space="preserve"> </w:t>
      </w:r>
      <w:r w:rsidR="00256F9D">
        <w:t xml:space="preserve"> </w:t>
      </w:r>
      <w:r>
        <w:t>Although the Commission has not decided whether to extend Duke’s recovery mechanism into 2016, there is a legitimate risk that the Commission will do so.</w:t>
      </w:r>
      <w:r w:rsidR="0094434B">
        <w:rPr>
          <w:rStyle w:val="FootnoteReference"/>
        </w:rPr>
        <w:footnoteReference w:id="38"/>
      </w:r>
      <w:r>
        <w:t xml:space="preserve"> </w:t>
      </w:r>
      <w:r w:rsidR="00256F9D">
        <w:t xml:space="preserve"> </w:t>
      </w:r>
      <w:r>
        <w:t xml:space="preserve">The Stipulation accounts for that risk. </w:t>
      </w:r>
      <w:r w:rsidR="00256F9D">
        <w:t xml:space="preserve"> </w:t>
      </w:r>
      <w:r>
        <w:t xml:space="preserve">Even if the Commission denies Duke’s request to extend its mechanism, the risk for years 2013, 2014, and 2015, is still </w:t>
      </w:r>
      <w:r w:rsidR="0094434B">
        <w:t xml:space="preserve">about </w:t>
      </w:r>
      <w:r w:rsidR="00080D5B">
        <w:t>$40 million,</w:t>
      </w:r>
      <w:r w:rsidR="002F74D6">
        <w:rPr>
          <w:rStyle w:val="FootnoteReference"/>
        </w:rPr>
        <w:footnoteReference w:id="39"/>
      </w:r>
      <w:r w:rsidR="00080D5B">
        <w:t xml:space="preserve"> double </w:t>
      </w:r>
      <w:r>
        <w:t xml:space="preserve">the amount of shared savings the Stipulation grants to Duke. </w:t>
      </w:r>
      <w:r w:rsidR="00256F9D">
        <w:t xml:space="preserve"> </w:t>
      </w:r>
      <w:r>
        <w:t>The Stipulation arose from the Commission’s granting Duke’s Application for Rehearing</w:t>
      </w:r>
      <w:r w:rsidR="00E97605">
        <w:t xml:space="preserve"> for further consideration of the issues raised in that application</w:t>
      </w:r>
      <w:r>
        <w:t>.</w:t>
      </w:r>
      <w:r w:rsidR="00080D5B">
        <w:rPr>
          <w:rStyle w:val="FootnoteReference"/>
        </w:rPr>
        <w:footnoteReference w:id="40"/>
      </w:r>
      <w:r>
        <w:t xml:space="preserve"> </w:t>
      </w:r>
      <w:r w:rsidR="00256F9D">
        <w:t xml:space="preserve"> </w:t>
      </w:r>
      <w:r>
        <w:t>That decision presented the risk that the Commission could modify its Order and allow Duke to use banked sav</w:t>
      </w:r>
      <w:r w:rsidR="00730090">
        <w:softHyphen/>
      </w:r>
      <w:r>
        <w:t xml:space="preserve">ings to earn a shared savings incentive. </w:t>
      </w:r>
      <w:r w:rsidR="00256F9D">
        <w:t xml:space="preserve"> </w:t>
      </w:r>
      <w:r w:rsidR="00D13FBB">
        <w:t>Should that occur</w:t>
      </w:r>
      <w:r>
        <w:t xml:space="preserve">, Duke could earn up to $55 </w:t>
      </w:r>
      <w:r>
        <w:lastRenderedPageBreak/>
        <w:t>million over the term of its portfolio plan.</w:t>
      </w:r>
      <w:r w:rsidR="00080D5B">
        <w:rPr>
          <w:rStyle w:val="FootnoteReference"/>
        </w:rPr>
        <w:footnoteReference w:id="41"/>
      </w:r>
      <w:r w:rsidR="00256F9D">
        <w:t xml:space="preserve"> </w:t>
      </w:r>
      <w:r>
        <w:t xml:space="preserve"> If the Commission did not find any valid issues to consider in the Company’s Application for Rehearing, it would have denied it. </w:t>
      </w:r>
    </w:p>
    <w:p w:rsidR="00593AB8" w:rsidRDefault="00593AB8" w:rsidP="00256F9D">
      <w:pPr>
        <w:pStyle w:val="textstyle0"/>
      </w:pPr>
      <w:r>
        <w:tab/>
        <w:t>OMA argues that Duke could have changed its programs.</w:t>
      </w:r>
      <w:r w:rsidR="00080D5B">
        <w:rPr>
          <w:rStyle w:val="FootnoteReference"/>
        </w:rPr>
        <w:footnoteReference w:id="42"/>
      </w:r>
      <w:r>
        <w:t xml:space="preserve"> </w:t>
      </w:r>
      <w:r w:rsidR="00256F9D">
        <w:t xml:space="preserve"> </w:t>
      </w:r>
      <w:r>
        <w:t>However, that was not lawfully possible.</w:t>
      </w:r>
      <w:r w:rsidR="00256F9D">
        <w:t xml:space="preserve"> </w:t>
      </w:r>
      <w:r>
        <w:t xml:space="preserve"> S</w:t>
      </w:r>
      <w:r w:rsidR="00D13FBB">
        <w:t>.</w:t>
      </w:r>
      <w:r>
        <w:t>B</w:t>
      </w:r>
      <w:r w:rsidR="00D13FBB">
        <w:t>.</w:t>
      </w:r>
      <w:r>
        <w:t xml:space="preserve"> 310 gave each utility the option to amend its portfolio plan, but it could only do so within thirty days of S</w:t>
      </w:r>
      <w:r w:rsidR="00D13FBB">
        <w:t>.</w:t>
      </w:r>
      <w:r>
        <w:t>B</w:t>
      </w:r>
      <w:r w:rsidR="00D13FBB">
        <w:t>.</w:t>
      </w:r>
      <w:r>
        <w:t xml:space="preserve"> 310’s effective date.</w:t>
      </w:r>
      <w:r w:rsidR="00080D5B">
        <w:rPr>
          <w:rStyle w:val="FootnoteReference"/>
        </w:rPr>
        <w:footnoteReference w:id="43"/>
      </w:r>
      <w:r>
        <w:t xml:space="preserve"> </w:t>
      </w:r>
      <w:r w:rsidR="00256F9D">
        <w:t xml:space="preserve"> </w:t>
      </w:r>
      <w:r>
        <w:t xml:space="preserve">Duke chose not to amend its current portfolio plan. </w:t>
      </w:r>
      <w:r w:rsidR="00256F9D">
        <w:t xml:space="preserve"> </w:t>
      </w:r>
      <w:r>
        <w:t>As a result, the Company was locked into its current portfolio plan, without the option of amending it in later years.</w:t>
      </w:r>
      <w:r w:rsidR="00256F9D">
        <w:t xml:space="preserve"> </w:t>
      </w:r>
      <w:r>
        <w:t xml:space="preserve"> The Stipulation, then</w:t>
      </w:r>
      <w:r w:rsidR="00D13FBB">
        <w:t>,</w:t>
      </w:r>
      <w:r>
        <w:t xml:space="preserve"> protects con</w:t>
      </w:r>
      <w:r w:rsidR="00256F9D">
        <w:softHyphen/>
      </w:r>
      <w:r>
        <w:t>sumers from potentially paying $55 million in shared savings if rehearing favors Duke.</w:t>
      </w:r>
    </w:p>
    <w:p w:rsidR="00593AB8" w:rsidRDefault="00593AB8" w:rsidP="00256F9D">
      <w:pPr>
        <w:pStyle w:val="textstyle0"/>
      </w:pPr>
      <w:r>
        <w:tab/>
        <w:t>OMA also argues that the 150,000 megawatt hours that Duke agrees to retire is an illusory term and of no value to consumers.</w:t>
      </w:r>
      <w:r w:rsidR="00DB721C">
        <w:rPr>
          <w:rStyle w:val="FootnoteReference"/>
        </w:rPr>
        <w:footnoteReference w:id="44"/>
      </w:r>
      <w:r>
        <w:t xml:space="preserve"> </w:t>
      </w:r>
      <w:r w:rsidR="00256F9D">
        <w:t xml:space="preserve"> </w:t>
      </w:r>
      <w:r>
        <w:t xml:space="preserve">OMA misunderstands this term. </w:t>
      </w:r>
      <w:r w:rsidR="00256F9D">
        <w:t xml:space="preserve"> </w:t>
      </w:r>
      <w:r>
        <w:t>This term is one of the compromises that Duke made in exchange for receiving $19.75 million in shared savings.</w:t>
      </w:r>
      <w:r w:rsidR="00DB721C">
        <w:rPr>
          <w:rStyle w:val="FootnoteReference"/>
        </w:rPr>
        <w:footnoteReference w:id="45"/>
      </w:r>
      <w:r>
        <w:t xml:space="preserve"> </w:t>
      </w:r>
      <w:r w:rsidR="00256F9D">
        <w:t xml:space="preserve"> </w:t>
      </w:r>
      <w:r>
        <w:t xml:space="preserve">Those megawatt hours represent the amount of banked savings that Duke would have used to meet its mandated benchmark and to earn shared savings. </w:t>
      </w:r>
      <w:r w:rsidR="00256F9D">
        <w:t xml:space="preserve"> </w:t>
      </w:r>
      <w:r>
        <w:t>Without this term, those megawatt hours could be used by Duke in the future to meet its mandated benchmark.</w:t>
      </w:r>
      <w:r w:rsidR="00256F9D">
        <w:t xml:space="preserve"> </w:t>
      </w:r>
      <w:r>
        <w:t xml:space="preserve"> Rather, Duke’s retirement of the 150,000 megawatt hours benefits </w:t>
      </w:r>
      <w:r>
        <w:lastRenderedPageBreak/>
        <w:t>the public interest by forcing Duke to increase its energy efficiency savings</w:t>
      </w:r>
      <w:r w:rsidR="00D13FBB">
        <w:t xml:space="preserve"> because it will not have the benefit of those retired savings in its bank</w:t>
      </w:r>
      <w:r>
        <w:t>.</w:t>
      </w:r>
    </w:p>
    <w:p w:rsidR="00593AB8" w:rsidRDefault="00256F9D" w:rsidP="004731BE">
      <w:pPr>
        <w:pStyle w:val="Heading2"/>
      </w:pPr>
      <w:bookmarkStart w:id="25" w:name="_Toc450826553"/>
      <w:r>
        <w:t>C.</w:t>
      </w:r>
      <w:r>
        <w:tab/>
      </w:r>
      <w:r w:rsidR="00D3739F">
        <w:t>The Stipulation d</w:t>
      </w:r>
      <w:r w:rsidR="00593AB8">
        <w:t xml:space="preserve">oes not violate </w:t>
      </w:r>
      <w:r w:rsidR="00D3739F">
        <w:t xml:space="preserve">any important </w:t>
      </w:r>
      <w:r w:rsidR="00593AB8">
        <w:t>regulatory princi</w:t>
      </w:r>
      <w:r w:rsidR="00730090">
        <w:softHyphen/>
      </w:r>
      <w:r w:rsidR="00593AB8">
        <w:t>ple or practice</w:t>
      </w:r>
      <w:r>
        <w:t>.</w:t>
      </w:r>
      <w:bookmarkEnd w:id="25"/>
    </w:p>
    <w:p w:rsidR="00593AB8" w:rsidRDefault="00256F9D" w:rsidP="00256F9D">
      <w:pPr>
        <w:pStyle w:val="textstyle0"/>
      </w:pPr>
      <w:r>
        <w:tab/>
      </w:r>
      <w:r w:rsidR="00593AB8">
        <w:t>The Stipulation does not violate any important regulatory principle or practice. In fact, the Stipulation efficiently resolves all of the issues in Case No. 14-457-EL-RDR and one issue in Case No. 15-534-EL-RDR.</w:t>
      </w:r>
      <w:r w:rsidR="00634346">
        <w:rPr>
          <w:rStyle w:val="FootnoteReference"/>
        </w:rPr>
        <w:footnoteReference w:id="46"/>
      </w:r>
      <w:r>
        <w:t xml:space="preserve"> </w:t>
      </w:r>
      <w:r w:rsidR="00593AB8">
        <w:t xml:space="preserve"> The Intervenors mistakenly lean on the May 20 Order in Case No. 14-457-EL-RDR as precedent here to argue that the Stipulation vio</w:t>
      </w:r>
      <w:r>
        <w:softHyphen/>
      </w:r>
      <w:r w:rsidR="00593AB8">
        <w:t>lates the Commission’s policy</w:t>
      </w:r>
      <w:r w:rsidR="0003631B">
        <w:t xml:space="preserve"> in this case</w:t>
      </w:r>
      <w:r w:rsidR="00593AB8">
        <w:t>.</w:t>
      </w:r>
      <w:r w:rsidR="003B7EB9">
        <w:rPr>
          <w:rStyle w:val="FootnoteReference"/>
        </w:rPr>
        <w:footnoteReference w:id="47"/>
      </w:r>
      <w:r>
        <w:t xml:space="preserve"> </w:t>
      </w:r>
      <w:r w:rsidR="00593AB8">
        <w:t xml:space="preserve"> But that Order is not final; it is subject to modification because the Commission granted rehearing. </w:t>
      </w:r>
      <w:r>
        <w:t xml:space="preserve"> </w:t>
      </w:r>
      <w:r w:rsidR="00593AB8">
        <w:t>The May 20 Order, then, can</w:t>
      </w:r>
      <w:r w:rsidR="00730090">
        <w:softHyphen/>
      </w:r>
      <w:r w:rsidR="00593AB8">
        <w:t xml:space="preserve">not be relied on as precedent when its findings and conclusions are being disputed in this proceeding. </w:t>
      </w:r>
    </w:p>
    <w:p w:rsidR="00593AB8" w:rsidRDefault="00593AB8" w:rsidP="00256F9D">
      <w:pPr>
        <w:pStyle w:val="textstyle0"/>
      </w:pPr>
      <w:r>
        <w:tab/>
        <w:t xml:space="preserve">OPAE argues that the Company’s application in Case No. 14-1580-EL-RDR is improper because the Commission did not authorize incentives for 2016. </w:t>
      </w:r>
      <w:r w:rsidR="00256F9D">
        <w:t xml:space="preserve"> </w:t>
      </w:r>
      <w:r>
        <w:t>OPAE over</w:t>
      </w:r>
      <w:r w:rsidR="00256F9D">
        <w:softHyphen/>
      </w:r>
      <w:r>
        <w:t>looks the term in the 2011 and 2013 stipulations that allows</w:t>
      </w:r>
      <w:r w:rsidR="000020B3">
        <w:t xml:space="preserve"> for</w:t>
      </w:r>
      <w:r>
        <w:t xml:space="preserve"> an extension of the recovery mechanism into 2016 if the parties agree.</w:t>
      </w:r>
      <w:r w:rsidR="002D5E3E">
        <w:rPr>
          <w:rStyle w:val="FootnoteReference"/>
        </w:rPr>
        <w:footnoteReference w:id="48"/>
      </w:r>
      <w:r>
        <w:t xml:space="preserve"> </w:t>
      </w:r>
      <w:r w:rsidR="00256F9D">
        <w:t xml:space="preserve"> </w:t>
      </w:r>
      <w:r>
        <w:t xml:space="preserve">It also provides for the present </w:t>
      </w:r>
      <w:r>
        <w:lastRenderedPageBreak/>
        <w:t>circum</w:t>
      </w:r>
      <w:r w:rsidR="00730090">
        <w:softHyphen/>
      </w:r>
      <w:r>
        <w:t>stance in which the parties did not agree on an extension by allowing Duke to file an application pursuing an extension of the mechanism.</w:t>
      </w:r>
      <w:r w:rsidR="002D5E3E">
        <w:rPr>
          <w:rStyle w:val="FootnoteReference"/>
        </w:rPr>
        <w:footnoteReference w:id="49"/>
      </w:r>
      <w:r w:rsidR="00256F9D">
        <w:t xml:space="preserve"> </w:t>
      </w:r>
      <w:r>
        <w:t xml:space="preserve"> Therefore, the risk of about $15 million pre</w:t>
      </w:r>
      <w:r w:rsidR="00256F9D">
        <w:softHyphen/>
      </w:r>
      <w:r>
        <w:t>sented by that potential extension is legitimate and addressed in the Stip</w:t>
      </w:r>
      <w:r w:rsidR="00730090">
        <w:softHyphen/>
      </w:r>
      <w:r>
        <w:t>ulation.</w:t>
      </w:r>
    </w:p>
    <w:p w:rsidR="00593AB8" w:rsidRDefault="00593AB8" w:rsidP="00256F9D">
      <w:pPr>
        <w:pStyle w:val="textstyle0"/>
      </w:pPr>
      <w:r>
        <w:tab/>
        <w:t>OPAE also argues that the Stipulation violates Commission precedent set in Case No. 12-2190-EL-POR.</w:t>
      </w:r>
      <w:r w:rsidR="002D5E3E">
        <w:rPr>
          <w:rStyle w:val="FootnoteReference"/>
        </w:rPr>
        <w:footnoteReference w:id="50"/>
      </w:r>
      <w:r>
        <w:t xml:space="preserve"> </w:t>
      </w:r>
      <w:r w:rsidR="00256F9D">
        <w:t xml:space="preserve"> </w:t>
      </w:r>
      <w:r>
        <w:t>But the Order in that case has one sentence that mentions the use of banked savings.</w:t>
      </w:r>
      <w:r w:rsidR="002D5E3E">
        <w:rPr>
          <w:rStyle w:val="FootnoteReference"/>
        </w:rPr>
        <w:footnoteReference w:id="51"/>
      </w:r>
      <w:r w:rsidR="00256F9D">
        <w:t xml:space="preserve"> </w:t>
      </w:r>
      <w:r>
        <w:t xml:space="preserve"> It does not contain any contex</w:t>
      </w:r>
      <w:r w:rsidR="00E23E70">
        <w:t>t or discussion to give meaning to</w:t>
      </w:r>
      <w:r>
        <w:t xml:space="preserve"> that language.</w:t>
      </w:r>
      <w:r w:rsidR="002D5E3E">
        <w:rPr>
          <w:rStyle w:val="FootnoteReference"/>
        </w:rPr>
        <w:footnoteReference w:id="52"/>
      </w:r>
    </w:p>
    <w:p w:rsidR="00593AB8" w:rsidRDefault="00593AB8" w:rsidP="00256F9D">
      <w:pPr>
        <w:pStyle w:val="textstyle0"/>
      </w:pPr>
      <w:r>
        <w:tab/>
        <w:t xml:space="preserve">The Intervenors all argue that the Stipulation violates policy set </w:t>
      </w:r>
      <w:r w:rsidR="002F74D6">
        <w:t xml:space="preserve">by the Supreme Court of Ohio </w:t>
      </w:r>
      <w:r>
        <w:t>that parties cannot be intentionally excluded from negotiation discus</w:t>
      </w:r>
      <w:r w:rsidR="00730090">
        <w:softHyphen/>
      </w:r>
      <w:r>
        <w:t>sions.</w:t>
      </w:r>
      <w:r w:rsidR="007B31B7">
        <w:rPr>
          <w:rStyle w:val="FootnoteReference"/>
        </w:rPr>
        <w:footnoteReference w:id="53"/>
      </w:r>
      <w:r w:rsidR="00256F9D">
        <w:t xml:space="preserve"> </w:t>
      </w:r>
      <w:r>
        <w:t xml:space="preserve"> Again, no parties here were intentionally excluded. </w:t>
      </w:r>
      <w:r w:rsidR="00256F9D">
        <w:t xml:space="preserve"> </w:t>
      </w:r>
      <w:r>
        <w:t>All inter</w:t>
      </w:r>
      <w:r w:rsidR="00256F9D">
        <w:softHyphen/>
      </w:r>
      <w:r>
        <w:t>vening parties received the email circulating the draft and asking if any parties had an interest in becoming a signatory party.</w:t>
      </w:r>
      <w:r w:rsidR="007B31B7">
        <w:rPr>
          <w:rStyle w:val="FootnoteReference"/>
        </w:rPr>
        <w:footnoteReference w:id="54"/>
      </w:r>
      <w:r>
        <w:t xml:space="preserve"> </w:t>
      </w:r>
      <w:r w:rsidR="00256F9D">
        <w:t xml:space="preserve"> </w:t>
      </w:r>
      <w:r>
        <w:t>By not responding to Staff, the intervening parties demon</w:t>
      </w:r>
      <w:r w:rsidR="00730090">
        <w:softHyphen/>
      </w:r>
      <w:r>
        <w:lastRenderedPageBreak/>
        <w:t>strated that they had no interest in representing their client’s interest in the Stipu</w:t>
      </w:r>
      <w:r w:rsidR="00256F9D">
        <w:softHyphen/>
      </w:r>
      <w:r>
        <w:t xml:space="preserve">lation and excluded themselves from any further discussions. </w:t>
      </w:r>
      <w:r w:rsidR="00256F9D">
        <w:t xml:space="preserve"> </w:t>
      </w:r>
      <w:r w:rsidR="00B36C8F">
        <w:t>In t</w:t>
      </w:r>
      <w:r>
        <w:t>he dicta cited by the Inter</w:t>
      </w:r>
      <w:r w:rsidR="00566903">
        <w:softHyphen/>
      </w:r>
      <w:r>
        <w:t>venors</w:t>
      </w:r>
      <w:r w:rsidR="00B36C8F">
        <w:t>, the Court</w:t>
      </w:r>
      <w:r>
        <w:t xml:space="preserve"> also states that </w:t>
      </w:r>
      <w:r w:rsidR="00B36C8F">
        <w:t xml:space="preserve">it “would </w:t>
      </w:r>
      <w:r>
        <w:t>not</w:t>
      </w:r>
      <w:r w:rsidR="00B36C8F">
        <w:t xml:space="preserve"> create a requirement that</w:t>
      </w:r>
      <w:r>
        <w:t xml:space="preserve"> all parties </w:t>
      </w:r>
      <w:r w:rsidR="00B36C8F">
        <w:t>par</w:t>
      </w:r>
      <w:r w:rsidR="00730090">
        <w:softHyphen/>
      </w:r>
      <w:r w:rsidR="00B36C8F">
        <w:t>ticipate in all settlement meetings</w:t>
      </w:r>
      <w:r>
        <w:t>.</w:t>
      </w:r>
      <w:r w:rsidR="002F74D6">
        <w:t>”</w:t>
      </w:r>
      <w:r w:rsidR="00B36C8F">
        <w:rPr>
          <w:rStyle w:val="FootnoteReference"/>
        </w:rPr>
        <w:footnoteReference w:id="55"/>
      </w:r>
      <w:r>
        <w:t xml:space="preserve"> </w:t>
      </w:r>
      <w:r w:rsidR="00256F9D">
        <w:t xml:space="preserve"> </w:t>
      </w:r>
      <w:r>
        <w:t>The parties here did not show an interest until after the Stipulation was signed and filed.</w:t>
      </w:r>
      <w:r w:rsidR="00256F9D">
        <w:t xml:space="preserve"> </w:t>
      </w:r>
      <w:r>
        <w:t xml:space="preserve"> It is no coincidence that it benefits the Intervenors’ litigation position to argue after-the-fact that they indeed had an interest in negotiating the Stipulation. </w:t>
      </w:r>
      <w:r w:rsidR="00256F9D">
        <w:t xml:space="preserve"> </w:t>
      </w:r>
      <w:r>
        <w:t xml:space="preserve">Staff could not assume that the intervening parties had an interest absent their communication of that to Staff. </w:t>
      </w:r>
    </w:p>
    <w:p w:rsidR="00593AB8" w:rsidRDefault="00256F9D" w:rsidP="00256F9D">
      <w:pPr>
        <w:pStyle w:val="textstyle0"/>
      </w:pPr>
      <w:r>
        <w:tab/>
      </w:r>
      <w:r w:rsidR="00593AB8">
        <w:t xml:space="preserve">Kroger and OMA argue that the Stipulation violates a regulatory principle because the amount of shared savings is not subject to the findings of Staff’s audit of Duke’s application in Case No. 14-457-EL-RDR. </w:t>
      </w:r>
      <w:r>
        <w:t xml:space="preserve"> </w:t>
      </w:r>
      <w:r w:rsidR="00593AB8">
        <w:t>However, neither Kroger nor OMA point to any evidence establishing errors with Duke’s application.</w:t>
      </w:r>
      <w:r w:rsidR="00E97605">
        <w:rPr>
          <w:rStyle w:val="FootnoteReference"/>
        </w:rPr>
        <w:footnoteReference w:id="56"/>
      </w:r>
      <w:r w:rsidR="00593AB8">
        <w:t xml:space="preserve"> </w:t>
      </w:r>
      <w:r>
        <w:t xml:space="preserve"> </w:t>
      </w:r>
      <w:r w:rsidR="00593AB8">
        <w:t>Furthermore, Staff witness Donlon testified that Staff had completed the audit at the time that Staff and Duke entered into the Stipulation.</w:t>
      </w:r>
      <w:r>
        <w:t xml:space="preserve"> </w:t>
      </w:r>
      <w:r w:rsidR="000020B3">
        <w:t xml:space="preserve"> It is unnecessary</w:t>
      </w:r>
      <w:r w:rsidR="00593AB8">
        <w:t xml:space="preserve"> to make the Stipulation subject to the audit when Staff already knew its results at the time it negotiated the Stipulation.</w:t>
      </w:r>
      <w:r>
        <w:t xml:space="preserve"> </w:t>
      </w:r>
      <w:r w:rsidR="00593AB8">
        <w:t xml:space="preserve"> Because the audit was completed beforehand, there are no surprises awaiting Staff. </w:t>
      </w:r>
    </w:p>
    <w:p w:rsidR="001A5C2F" w:rsidRDefault="001A5C2F" w:rsidP="008F016B">
      <w:pPr>
        <w:pStyle w:val="Heading1"/>
      </w:pPr>
      <w:bookmarkStart w:id="26" w:name="_Toc450826554"/>
      <w:r>
        <w:lastRenderedPageBreak/>
        <w:t>CONCLUSION</w:t>
      </w:r>
      <w:bookmarkEnd w:id="18"/>
      <w:bookmarkEnd w:id="26"/>
    </w:p>
    <w:p w:rsidR="00A1363A" w:rsidRPr="0099185A" w:rsidRDefault="001A5C2F" w:rsidP="00256F9D">
      <w:pPr>
        <w:pStyle w:val="textstyle0"/>
      </w:pPr>
      <w:r>
        <w:tab/>
      </w:r>
      <w:r w:rsidR="00A441C3">
        <w:t>The Stipulation meets all prongs of the three-part test. It is the product of serious bargaining among knowledgeable, capable parties; it benefits consumers and the public interest; and it does not violate any important regulatory principle or practice. Therefore, the Commission should approve the Stipulation in this case.</w:t>
      </w:r>
    </w:p>
    <w:p w:rsidR="00200A0A" w:rsidRPr="0064436A" w:rsidRDefault="00200A0A" w:rsidP="00A1363A">
      <w:pPr>
        <w:tabs>
          <w:tab w:val="left" w:pos="9348"/>
        </w:tabs>
        <w:spacing w:line="480" w:lineRule="auto"/>
        <w:ind w:left="4320"/>
        <w:rPr>
          <w:sz w:val="26"/>
          <w:szCs w:val="26"/>
        </w:rPr>
      </w:pPr>
      <w:r w:rsidRPr="0064436A">
        <w:rPr>
          <w:sz w:val="26"/>
          <w:szCs w:val="26"/>
        </w:rPr>
        <w:t>Respectfully submitted,</w:t>
      </w:r>
    </w:p>
    <w:p w:rsidR="00200A0A" w:rsidRPr="0064436A" w:rsidRDefault="00C90964" w:rsidP="00A1363A">
      <w:pPr>
        <w:tabs>
          <w:tab w:val="left" w:pos="9348"/>
        </w:tabs>
        <w:ind w:left="4320"/>
        <w:rPr>
          <w:sz w:val="26"/>
          <w:szCs w:val="26"/>
        </w:rPr>
      </w:pPr>
      <w:r>
        <w:rPr>
          <w:b/>
          <w:sz w:val="26"/>
          <w:szCs w:val="26"/>
        </w:rPr>
        <w:t>Michael DeWine</w:t>
      </w:r>
    </w:p>
    <w:p w:rsidR="00200A0A" w:rsidRPr="0064436A" w:rsidRDefault="00200A0A" w:rsidP="00A1363A">
      <w:pPr>
        <w:tabs>
          <w:tab w:val="left" w:pos="9348"/>
        </w:tabs>
        <w:ind w:left="4320"/>
        <w:rPr>
          <w:sz w:val="26"/>
          <w:szCs w:val="26"/>
        </w:rPr>
      </w:pPr>
      <w:r w:rsidRPr="0064436A">
        <w:rPr>
          <w:sz w:val="26"/>
          <w:szCs w:val="26"/>
        </w:rPr>
        <w:t>Ohio Attorney General</w:t>
      </w:r>
    </w:p>
    <w:p w:rsidR="00200A0A" w:rsidRPr="0064436A" w:rsidRDefault="00200A0A" w:rsidP="00A1363A">
      <w:pPr>
        <w:tabs>
          <w:tab w:val="left" w:pos="9348"/>
        </w:tabs>
        <w:ind w:left="4320"/>
        <w:rPr>
          <w:sz w:val="26"/>
          <w:szCs w:val="26"/>
        </w:rPr>
      </w:pPr>
    </w:p>
    <w:p w:rsidR="000753F8" w:rsidRDefault="00BC5B75" w:rsidP="00A1363A">
      <w:pPr>
        <w:tabs>
          <w:tab w:val="left" w:pos="9348"/>
        </w:tabs>
        <w:ind w:left="4320"/>
        <w:rPr>
          <w:b/>
          <w:sz w:val="26"/>
          <w:szCs w:val="26"/>
        </w:rPr>
      </w:pPr>
      <w:r>
        <w:rPr>
          <w:b/>
          <w:sz w:val="26"/>
          <w:szCs w:val="26"/>
        </w:rPr>
        <w:t>William L. Wright</w:t>
      </w:r>
    </w:p>
    <w:p w:rsidR="00200A0A" w:rsidRPr="0064436A" w:rsidRDefault="00200A0A" w:rsidP="00A1363A">
      <w:pPr>
        <w:tabs>
          <w:tab w:val="left" w:pos="9348"/>
        </w:tabs>
        <w:ind w:left="4320"/>
        <w:rPr>
          <w:sz w:val="26"/>
          <w:szCs w:val="26"/>
        </w:rPr>
      </w:pPr>
      <w:r w:rsidRPr="0064436A">
        <w:rPr>
          <w:sz w:val="26"/>
          <w:szCs w:val="26"/>
        </w:rPr>
        <w:t>Section Chief</w:t>
      </w:r>
    </w:p>
    <w:p w:rsidR="00200A0A" w:rsidRPr="0064436A" w:rsidRDefault="00200A0A" w:rsidP="00A1363A">
      <w:pPr>
        <w:tabs>
          <w:tab w:val="left" w:pos="9348"/>
        </w:tabs>
        <w:ind w:left="4320"/>
        <w:rPr>
          <w:sz w:val="26"/>
          <w:szCs w:val="26"/>
        </w:rPr>
      </w:pPr>
    </w:p>
    <w:p w:rsidR="00A1363A" w:rsidRPr="003674F9" w:rsidRDefault="00A1363A" w:rsidP="00A1363A">
      <w:pPr>
        <w:pStyle w:val="Title"/>
        <w:tabs>
          <w:tab w:val="left" w:pos="4320"/>
          <w:tab w:val="left" w:pos="9360"/>
        </w:tabs>
        <w:jc w:val="left"/>
        <w:rPr>
          <w:rFonts w:ascii="Lucida Calligraphy" w:hAnsi="Lucida Calligraphy"/>
          <w:sz w:val="26"/>
          <w:szCs w:val="26"/>
          <w:u w:val="single"/>
        </w:rPr>
      </w:pPr>
      <w:r>
        <w:rPr>
          <w:rFonts w:ascii="Times New Roman" w:hAnsi="Times New Roman"/>
          <w:sz w:val="26"/>
          <w:szCs w:val="26"/>
        </w:rPr>
        <w:tab/>
      </w:r>
      <w:r w:rsidR="003674F9" w:rsidRPr="003674F9">
        <w:rPr>
          <w:rFonts w:ascii="Lucida Calligraphy" w:hAnsi="Lucida Calligraphy"/>
          <w:sz w:val="26"/>
          <w:szCs w:val="26"/>
          <w:u w:val="single"/>
        </w:rPr>
        <w:t>/s/ Natalia V. Messenger</w:t>
      </w:r>
      <w:r w:rsidRPr="003674F9">
        <w:rPr>
          <w:rFonts w:ascii="Lucida Calligraphy" w:hAnsi="Lucida Calligraphy"/>
          <w:sz w:val="26"/>
          <w:szCs w:val="26"/>
          <w:u w:val="single"/>
        </w:rPr>
        <w:tab/>
      </w:r>
    </w:p>
    <w:p w:rsidR="00A1363A" w:rsidRDefault="00A1363A" w:rsidP="00A1363A">
      <w:pPr>
        <w:pStyle w:val="Title"/>
        <w:tabs>
          <w:tab w:val="left" w:pos="432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John H. Jones</w:t>
      </w:r>
    </w:p>
    <w:p w:rsidR="00A1363A" w:rsidRPr="006A31D2" w:rsidRDefault="00A1363A" w:rsidP="00A1363A">
      <w:pPr>
        <w:pStyle w:val="Title"/>
        <w:tabs>
          <w:tab w:val="left" w:pos="4320"/>
        </w:tabs>
        <w:jc w:val="left"/>
        <w:rPr>
          <w:rFonts w:ascii="Times New Roman" w:hAnsi="Times New Roman"/>
          <w:b/>
          <w:sz w:val="26"/>
          <w:szCs w:val="26"/>
        </w:rPr>
      </w:pPr>
      <w:r>
        <w:rPr>
          <w:rFonts w:ascii="Times New Roman" w:hAnsi="Times New Roman"/>
          <w:b/>
          <w:sz w:val="26"/>
          <w:szCs w:val="26"/>
        </w:rPr>
        <w:tab/>
        <w:t>Natalia V. Messenger</w:t>
      </w:r>
    </w:p>
    <w:p w:rsidR="00A1363A" w:rsidRDefault="00A1363A" w:rsidP="00A1363A">
      <w:pPr>
        <w:pStyle w:val="Title"/>
        <w:tabs>
          <w:tab w:val="left" w:pos="4320"/>
        </w:tabs>
        <w:jc w:val="left"/>
        <w:rPr>
          <w:rFonts w:ascii="Times New Roman" w:hAnsi="Times New Roman"/>
          <w:sz w:val="26"/>
          <w:szCs w:val="26"/>
        </w:rPr>
      </w:pPr>
      <w:r>
        <w:rPr>
          <w:rFonts w:ascii="Times New Roman" w:hAnsi="Times New Roman"/>
          <w:sz w:val="26"/>
          <w:szCs w:val="26"/>
        </w:rPr>
        <w:tab/>
        <w:t>Assistant Attorneys General</w:t>
      </w:r>
    </w:p>
    <w:p w:rsidR="00A1363A" w:rsidRDefault="00A1363A" w:rsidP="00A1363A">
      <w:pPr>
        <w:pStyle w:val="Title"/>
        <w:tabs>
          <w:tab w:val="left" w:pos="4320"/>
        </w:tabs>
        <w:jc w:val="left"/>
        <w:rPr>
          <w:rFonts w:ascii="Times New Roman" w:hAnsi="Times New Roman"/>
          <w:sz w:val="26"/>
          <w:szCs w:val="26"/>
        </w:rPr>
      </w:pPr>
      <w:r>
        <w:rPr>
          <w:rFonts w:ascii="Times New Roman" w:hAnsi="Times New Roman"/>
          <w:sz w:val="26"/>
          <w:szCs w:val="26"/>
        </w:rPr>
        <w:tab/>
        <w:t>Public Utilities Section</w:t>
      </w:r>
    </w:p>
    <w:p w:rsidR="00A1363A" w:rsidRDefault="00A1363A" w:rsidP="00A1363A">
      <w:pPr>
        <w:pStyle w:val="Title"/>
        <w:tabs>
          <w:tab w:val="left" w:pos="4320"/>
        </w:tabs>
        <w:jc w:val="left"/>
        <w:rPr>
          <w:rFonts w:ascii="Times New Roman" w:hAnsi="Times New Roman"/>
          <w:sz w:val="26"/>
          <w:szCs w:val="26"/>
        </w:rPr>
      </w:pPr>
      <w:r>
        <w:rPr>
          <w:rFonts w:ascii="Times New Roman" w:hAnsi="Times New Roman"/>
          <w:sz w:val="26"/>
          <w:szCs w:val="26"/>
        </w:rPr>
        <w:tab/>
      </w:r>
      <w:r w:rsidR="00353F75">
        <w:rPr>
          <w:rFonts w:ascii="Times New Roman" w:hAnsi="Times New Roman"/>
          <w:sz w:val="26"/>
          <w:szCs w:val="26"/>
        </w:rPr>
        <w:t>3</w:t>
      </w:r>
      <w:r>
        <w:rPr>
          <w:rFonts w:ascii="Times New Roman" w:hAnsi="Times New Roman"/>
          <w:sz w:val="26"/>
          <w:szCs w:val="26"/>
        </w:rPr>
        <w:t xml:space="preserve">0 East Broad Street, </w:t>
      </w:r>
      <w:r w:rsidR="00353F75">
        <w:rPr>
          <w:rFonts w:ascii="Times New Roman" w:hAnsi="Times New Roman"/>
          <w:sz w:val="26"/>
          <w:szCs w:val="26"/>
        </w:rPr>
        <w:t>1</w:t>
      </w:r>
      <w:r>
        <w:rPr>
          <w:rFonts w:ascii="Times New Roman" w:hAnsi="Times New Roman"/>
          <w:sz w:val="26"/>
          <w:szCs w:val="26"/>
        </w:rPr>
        <w:t>6</w:t>
      </w:r>
      <w:r w:rsidRPr="00E10679">
        <w:rPr>
          <w:rFonts w:ascii="Times New Roman" w:hAnsi="Times New Roman"/>
          <w:sz w:val="26"/>
          <w:szCs w:val="26"/>
          <w:vertAlign w:val="superscript"/>
        </w:rPr>
        <w:t>th</w:t>
      </w:r>
      <w:r>
        <w:rPr>
          <w:rFonts w:ascii="Times New Roman" w:hAnsi="Times New Roman"/>
          <w:sz w:val="26"/>
          <w:szCs w:val="26"/>
        </w:rPr>
        <w:t xml:space="preserve"> Floor</w:t>
      </w:r>
    </w:p>
    <w:p w:rsidR="00A1363A" w:rsidRDefault="00A1363A" w:rsidP="00A1363A">
      <w:pPr>
        <w:pStyle w:val="Title"/>
        <w:tabs>
          <w:tab w:val="left" w:pos="4320"/>
        </w:tabs>
        <w:jc w:val="left"/>
        <w:rPr>
          <w:rFonts w:ascii="Times New Roman" w:hAnsi="Times New Roman"/>
          <w:sz w:val="26"/>
          <w:szCs w:val="26"/>
        </w:rPr>
      </w:pPr>
      <w:r>
        <w:rPr>
          <w:rFonts w:ascii="Times New Roman" w:hAnsi="Times New Roman"/>
          <w:sz w:val="26"/>
          <w:szCs w:val="26"/>
        </w:rPr>
        <w:tab/>
        <w:t>Columbus, OH  43215-3793</w:t>
      </w:r>
    </w:p>
    <w:p w:rsidR="00A1363A" w:rsidRDefault="00A1363A" w:rsidP="00A1363A">
      <w:pPr>
        <w:pStyle w:val="Title"/>
        <w:tabs>
          <w:tab w:val="left" w:pos="4320"/>
        </w:tabs>
        <w:jc w:val="left"/>
        <w:rPr>
          <w:rFonts w:ascii="Times New Roman" w:hAnsi="Times New Roman"/>
          <w:sz w:val="26"/>
          <w:szCs w:val="26"/>
        </w:rPr>
      </w:pPr>
      <w:r>
        <w:rPr>
          <w:rFonts w:ascii="Times New Roman" w:hAnsi="Times New Roman"/>
          <w:sz w:val="26"/>
          <w:szCs w:val="26"/>
        </w:rPr>
        <w:tab/>
        <w:t>614.466.4397 (telephone)</w:t>
      </w:r>
    </w:p>
    <w:p w:rsidR="00A1363A" w:rsidRDefault="00A1363A" w:rsidP="00A1363A">
      <w:pPr>
        <w:pStyle w:val="Title"/>
        <w:tabs>
          <w:tab w:val="left" w:pos="4320"/>
        </w:tabs>
        <w:jc w:val="left"/>
        <w:rPr>
          <w:rFonts w:ascii="Times New Roman" w:hAnsi="Times New Roman"/>
          <w:sz w:val="26"/>
          <w:szCs w:val="26"/>
        </w:rPr>
      </w:pPr>
      <w:r>
        <w:rPr>
          <w:rFonts w:ascii="Times New Roman" w:hAnsi="Times New Roman"/>
          <w:sz w:val="26"/>
          <w:szCs w:val="26"/>
        </w:rPr>
        <w:tab/>
        <w:t>614.644.8764 (fax)</w:t>
      </w:r>
    </w:p>
    <w:p w:rsidR="00A1363A" w:rsidRDefault="00A1363A" w:rsidP="00A1363A">
      <w:pPr>
        <w:pStyle w:val="Title"/>
        <w:tabs>
          <w:tab w:val="left" w:pos="4320"/>
        </w:tabs>
        <w:jc w:val="left"/>
        <w:rPr>
          <w:rFonts w:ascii="Times New Roman" w:hAnsi="Times New Roman"/>
          <w:sz w:val="26"/>
          <w:szCs w:val="26"/>
        </w:rPr>
      </w:pPr>
      <w:r>
        <w:rPr>
          <w:rFonts w:ascii="Times New Roman" w:hAnsi="Times New Roman"/>
          <w:sz w:val="26"/>
          <w:szCs w:val="26"/>
        </w:rPr>
        <w:tab/>
      </w:r>
      <w:hyperlink r:id="rId17" w:history="1">
        <w:r w:rsidR="00353F75" w:rsidRPr="000B6E84">
          <w:rPr>
            <w:rStyle w:val="Hyperlink"/>
            <w:rFonts w:ascii="Times New Roman" w:hAnsi="Times New Roman"/>
            <w:sz w:val="26"/>
            <w:szCs w:val="26"/>
          </w:rPr>
          <w:t>john.jones@ohioattorneygeneral.gov</w:t>
        </w:r>
      </w:hyperlink>
    </w:p>
    <w:p w:rsidR="00A1363A" w:rsidRDefault="00A1363A" w:rsidP="00A1363A">
      <w:pPr>
        <w:pStyle w:val="Title"/>
        <w:tabs>
          <w:tab w:val="left" w:pos="4320"/>
        </w:tabs>
        <w:jc w:val="left"/>
        <w:rPr>
          <w:rFonts w:ascii="Times New Roman" w:hAnsi="Times New Roman"/>
          <w:sz w:val="26"/>
          <w:szCs w:val="26"/>
        </w:rPr>
      </w:pPr>
      <w:r>
        <w:rPr>
          <w:rFonts w:ascii="Times New Roman" w:hAnsi="Times New Roman"/>
          <w:sz w:val="26"/>
          <w:szCs w:val="26"/>
        </w:rPr>
        <w:tab/>
      </w:r>
      <w:hyperlink r:id="rId18" w:history="1">
        <w:r w:rsidR="00353F75" w:rsidRPr="000B6E84">
          <w:rPr>
            <w:rStyle w:val="Hyperlink"/>
            <w:rFonts w:ascii="Times New Roman" w:hAnsi="Times New Roman"/>
            <w:sz w:val="26"/>
            <w:szCs w:val="26"/>
          </w:rPr>
          <w:t>natalia.messenger@ohioattorneygeneral.gov</w:t>
        </w:r>
      </w:hyperlink>
    </w:p>
    <w:p w:rsidR="00A1363A" w:rsidRDefault="00A1363A" w:rsidP="00A1363A">
      <w:pPr>
        <w:pStyle w:val="Title"/>
        <w:tabs>
          <w:tab w:val="left" w:pos="4320"/>
        </w:tabs>
        <w:jc w:val="left"/>
        <w:rPr>
          <w:rFonts w:ascii="Times New Roman" w:hAnsi="Times New Roman"/>
          <w:sz w:val="26"/>
          <w:szCs w:val="26"/>
        </w:rPr>
      </w:pPr>
    </w:p>
    <w:p w:rsidR="00A1363A" w:rsidRDefault="00A1363A" w:rsidP="00A1363A">
      <w:pPr>
        <w:pStyle w:val="Title"/>
        <w:tabs>
          <w:tab w:val="left" w:pos="432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On behalf of the Staff of</w:t>
      </w:r>
    </w:p>
    <w:p w:rsidR="00A1363A" w:rsidRPr="00A1363A" w:rsidRDefault="00A1363A" w:rsidP="00A1363A">
      <w:pPr>
        <w:pStyle w:val="Title"/>
        <w:tabs>
          <w:tab w:val="left" w:pos="4320"/>
        </w:tabs>
        <w:jc w:val="left"/>
        <w:rPr>
          <w:rFonts w:ascii="Times New Roman" w:hAnsi="Times New Roman"/>
          <w:b/>
          <w:sz w:val="26"/>
          <w:szCs w:val="26"/>
        </w:rPr>
      </w:pPr>
      <w:r>
        <w:rPr>
          <w:rFonts w:ascii="Times New Roman" w:hAnsi="Times New Roman"/>
          <w:b/>
          <w:sz w:val="26"/>
          <w:szCs w:val="26"/>
        </w:rPr>
        <w:tab/>
        <w:t>The Public Utilities Commission of Ohio</w:t>
      </w:r>
    </w:p>
    <w:p w:rsidR="003C631B" w:rsidRDefault="003C631B">
      <w:pPr>
        <w:rPr>
          <w:rFonts w:cs="Arial"/>
          <w:b/>
          <w:bCs/>
          <w:kern w:val="32"/>
          <w:sz w:val="28"/>
          <w:szCs w:val="24"/>
        </w:rPr>
      </w:pPr>
      <w:bookmarkStart w:id="27" w:name="_Toc205862526"/>
      <w:bookmarkStart w:id="28" w:name="_Toc260212964"/>
      <w:r>
        <w:br w:type="page"/>
      </w:r>
    </w:p>
    <w:p w:rsidR="00200A0A" w:rsidRPr="00593AB8" w:rsidRDefault="00C95499" w:rsidP="008F016B">
      <w:pPr>
        <w:pStyle w:val="Heading1"/>
      </w:pPr>
      <w:bookmarkStart w:id="29" w:name="_Toc450826555"/>
      <w:r w:rsidRPr="00593AB8">
        <w:lastRenderedPageBreak/>
        <w:t>PROOF OF SERVICE</w:t>
      </w:r>
      <w:bookmarkEnd w:id="27"/>
      <w:bookmarkEnd w:id="28"/>
      <w:bookmarkEnd w:id="29"/>
    </w:p>
    <w:p w:rsidR="00200A0A" w:rsidRPr="00934B92" w:rsidRDefault="0064436A" w:rsidP="00256F9D">
      <w:pPr>
        <w:pStyle w:val="textstyle0"/>
      </w:pPr>
      <w:r>
        <w:tab/>
      </w:r>
      <w:r w:rsidR="00200A0A" w:rsidRPr="00934B92">
        <w:t xml:space="preserve">I hereby certify that a true copy of the foregoing </w:t>
      </w:r>
      <w:r w:rsidR="00721F2D">
        <w:rPr>
          <w:b/>
        </w:rPr>
        <w:t>Post-Hearing Brief</w:t>
      </w:r>
      <w:r>
        <w:rPr>
          <w:b/>
        </w:rPr>
        <w:t xml:space="preserve"> </w:t>
      </w:r>
      <w:r w:rsidR="00200A0A" w:rsidRPr="00934B92">
        <w:t>submitted on behalf of the Staff of the Public Utilities Commis</w:t>
      </w:r>
      <w:r w:rsidR="00200A0A" w:rsidRPr="00934B92">
        <w:softHyphen/>
        <w:t>sion of Ohio,</w:t>
      </w:r>
      <w:r w:rsidR="00200A0A" w:rsidRPr="00934B92">
        <w:rPr>
          <w:b/>
        </w:rPr>
        <w:t xml:space="preserve"> </w:t>
      </w:r>
      <w:r w:rsidR="00200A0A" w:rsidRPr="00934B92">
        <w:t>was served by regular U.S. mail, postage pre</w:t>
      </w:r>
      <w:r w:rsidR="00200A0A" w:rsidRPr="00934B92">
        <w:softHyphen/>
        <w:t xml:space="preserve">paid, or hand-delivered, upon </w:t>
      </w:r>
      <w:r w:rsidR="00977F01">
        <w:t>the following Parties of Record</w:t>
      </w:r>
      <w:r w:rsidR="00721F2D">
        <w:t xml:space="preserve">, </w:t>
      </w:r>
      <w:r w:rsidR="00200A0A" w:rsidRPr="00934B92">
        <w:t xml:space="preserve">this </w:t>
      </w:r>
      <w:r w:rsidR="00256F9D">
        <w:t>13</w:t>
      </w:r>
      <w:r w:rsidR="001A5C2F" w:rsidRPr="001A5C2F">
        <w:rPr>
          <w:vertAlign w:val="superscript"/>
        </w:rPr>
        <w:t>th</w:t>
      </w:r>
      <w:r w:rsidR="001A5C2F">
        <w:t xml:space="preserve"> </w:t>
      </w:r>
      <w:r w:rsidR="004B6358">
        <w:t>d</w:t>
      </w:r>
      <w:r w:rsidR="00200A0A" w:rsidRPr="00934B92">
        <w:t xml:space="preserve">ay of </w:t>
      </w:r>
      <w:r w:rsidR="00256F9D">
        <w:t>May</w:t>
      </w:r>
      <w:r w:rsidR="00A1363A">
        <w:t>, 2016</w:t>
      </w:r>
      <w:r w:rsidR="00200A0A" w:rsidRPr="00934B92">
        <w:t>.</w:t>
      </w:r>
    </w:p>
    <w:p w:rsidR="003674F9" w:rsidRDefault="003674F9" w:rsidP="003674F9">
      <w:pPr>
        <w:tabs>
          <w:tab w:val="left" w:pos="9360"/>
        </w:tabs>
        <w:ind w:left="4332"/>
        <w:jc w:val="both"/>
        <w:rPr>
          <w:b/>
          <w:sz w:val="26"/>
          <w:szCs w:val="26"/>
        </w:rPr>
      </w:pPr>
      <w:r w:rsidRPr="003674F9">
        <w:rPr>
          <w:rFonts w:ascii="Lucida Calligraphy" w:hAnsi="Lucida Calligraphy"/>
          <w:sz w:val="26"/>
          <w:szCs w:val="26"/>
          <w:u w:val="single"/>
        </w:rPr>
        <w:t>/s/ Natalia V. Messenger</w:t>
      </w:r>
      <w:r>
        <w:rPr>
          <w:rFonts w:ascii="Lucida Calligraphy" w:hAnsi="Lucida Calligraphy"/>
          <w:sz w:val="26"/>
          <w:szCs w:val="26"/>
          <w:u w:val="single"/>
        </w:rPr>
        <w:tab/>
      </w:r>
      <w:r>
        <w:rPr>
          <w:b/>
          <w:sz w:val="26"/>
          <w:szCs w:val="26"/>
        </w:rPr>
        <w:t xml:space="preserve"> </w:t>
      </w:r>
      <w:r>
        <w:rPr>
          <w:b/>
          <w:sz w:val="26"/>
          <w:szCs w:val="26"/>
        </w:rPr>
        <w:tab/>
      </w:r>
    </w:p>
    <w:p w:rsidR="00200A0A" w:rsidRPr="00DF3D54" w:rsidRDefault="00A1363A" w:rsidP="00200A0A">
      <w:pPr>
        <w:ind w:left="4332"/>
        <w:jc w:val="both"/>
        <w:rPr>
          <w:b/>
          <w:sz w:val="26"/>
          <w:szCs w:val="26"/>
        </w:rPr>
      </w:pPr>
      <w:r>
        <w:rPr>
          <w:b/>
          <w:sz w:val="26"/>
          <w:szCs w:val="26"/>
        </w:rPr>
        <w:t>Natalia V. Messenger</w:t>
      </w:r>
    </w:p>
    <w:p w:rsidR="00200A0A" w:rsidRDefault="00200A0A" w:rsidP="00200A0A">
      <w:pPr>
        <w:ind w:left="4332"/>
        <w:jc w:val="both"/>
        <w:rPr>
          <w:sz w:val="26"/>
          <w:szCs w:val="26"/>
        </w:rPr>
      </w:pPr>
      <w:r w:rsidRPr="00DF3D54">
        <w:rPr>
          <w:sz w:val="26"/>
          <w:szCs w:val="26"/>
        </w:rPr>
        <w:t>Assistant Attorney General</w:t>
      </w:r>
    </w:p>
    <w:p w:rsidR="00977F01" w:rsidRDefault="00977F01" w:rsidP="00977F01">
      <w:pPr>
        <w:rPr>
          <w:b/>
          <w:sz w:val="26"/>
          <w:szCs w:val="26"/>
        </w:rPr>
      </w:pPr>
      <w:r w:rsidRPr="00DF3D54">
        <w:rPr>
          <w:b/>
          <w:sz w:val="26"/>
          <w:szCs w:val="26"/>
        </w:rPr>
        <w:t>Parties of Record:</w:t>
      </w:r>
    </w:p>
    <w:p w:rsidR="00977F01" w:rsidRPr="00DF3D54" w:rsidRDefault="00977F01" w:rsidP="00977F01">
      <w:pPr>
        <w:rPr>
          <w:b/>
          <w:sz w:val="26"/>
          <w:szCs w:val="26"/>
        </w:rPr>
      </w:pPr>
    </w:p>
    <w:tbl>
      <w:tblPr>
        <w:tblW w:w="0" w:type="auto"/>
        <w:tblLook w:val="01E0" w:firstRow="1" w:lastRow="1" w:firstColumn="1" w:lastColumn="1" w:noHBand="0" w:noVBand="0"/>
      </w:tblPr>
      <w:tblGrid>
        <w:gridCol w:w="4788"/>
        <w:gridCol w:w="4788"/>
      </w:tblGrid>
      <w:tr w:rsidR="00584E57" w:rsidRPr="00D2703A" w:rsidTr="00584E57">
        <w:tc>
          <w:tcPr>
            <w:tcW w:w="4788" w:type="dxa"/>
          </w:tcPr>
          <w:p w:rsidR="00977F01" w:rsidRDefault="00977F01" w:rsidP="00584E57">
            <w:pPr>
              <w:rPr>
                <w:sz w:val="26"/>
                <w:szCs w:val="26"/>
              </w:rPr>
            </w:pPr>
            <w:r>
              <w:rPr>
                <w:sz w:val="26"/>
                <w:szCs w:val="26"/>
              </w:rPr>
              <w:t>Terry Etter</w:t>
            </w:r>
          </w:p>
          <w:p w:rsidR="00977F01" w:rsidRDefault="00584E57" w:rsidP="00584E57">
            <w:pPr>
              <w:rPr>
                <w:sz w:val="26"/>
                <w:szCs w:val="26"/>
              </w:rPr>
            </w:pPr>
            <w:r>
              <w:rPr>
                <w:sz w:val="26"/>
                <w:szCs w:val="26"/>
              </w:rPr>
              <w:t>Kyle L. Kern</w:t>
            </w:r>
          </w:p>
          <w:p w:rsidR="00977F01" w:rsidRDefault="00977F01" w:rsidP="00584E57">
            <w:pPr>
              <w:rPr>
                <w:sz w:val="26"/>
                <w:szCs w:val="26"/>
              </w:rPr>
            </w:pPr>
            <w:r>
              <w:rPr>
                <w:sz w:val="26"/>
                <w:szCs w:val="26"/>
              </w:rPr>
              <w:t>Assistant Consumers’ Counsel</w:t>
            </w:r>
          </w:p>
          <w:p w:rsidR="00977F01" w:rsidRDefault="00977F01" w:rsidP="00584E57">
            <w:pPr>
              <w:rPr>
                <w:sz w:val="26"/>
                <w:szCs w:val="26"/>
              </w:rPr>
            </w:pPr>
            <w:r>
              <w:rPr>
                <w:sz w:val="26"/>
                <w:szCs w:val="26"/>
              </w:rPr>
              <w:t>Office of the Ohio Consumers’ Counsel</w:t>
            </w:r>
          </w:p>
          <w:p w:rsidR="00977F01" w:rsidRDefault="00977F01" w:rsidP="00584E57">
            <w:pPr>
              <w:rPr>
                <w:sz w:val="26"/>
                <w:szCs w:val="26"/>
              </w:rPr>
            </w:pPr>
            <w:r>
              <w:rPr>
                <w:sz w:val="26"/>
                <w:szCs w:val="26"/>
              </w:rPr>
              <w:t>10 West Broad Street</w:t>
            </w:r>
          </w:p>
          <w:p w:rsidR="00977F01" w:rsidRDefault="00977F01" w:rsidP="00584E57">
            <w:pPr>
              <w:rPr>
                <w:sz w:val="26"/>
                <w:szCs w:val="26"/>
              </w:rPr>
            </w:pPr>
            <w:r>
              <w:rPr>
                <w:sz w:val="26"/>
                <w:szCs w:val="26"/>
              </w:rPr>
              <w:t>Suite 1800</w:t>
            </w:r>
          </w:p>
          <w:p w:rsidR="00977F01" w:rsidRDefault="00977F01" w:rsidP="00584E57">
            <w:pPr>
              <w:rPr>
                <w:sz w:val="26"/>
                <w:szCs w:val="26"/>
              </w:rPr>
            </w:pPr>
            <w:r>
              <w:rPr>
                <w:sz w:val="26"/>
                <w:szCs w:val="26"/>
              </w:rPr>
              <w:t>Columbus, OH  43215</w:t>
            </w:r>
          </w:p>
          <w:p w:rsidR="00977F01" w:rsidRDefault="004731BE" w:rsidP="00584E57">
            <w:pPr>
              <w:rPr>
                <w:sz w:val="26"/>
                <w:szCs w:val="26"/>
              </w:rPr>
            </w:pPr>
            <w:hyperlink r:id="rId19" w:history="1">
              <w:r w:rsidR="00584E57" w:rsidRPr="00811AFA">
                <w:rPr>
                  <w:rStyle w:val="Hyperlink"/>
                  <w:sz w:val="26"/>
                  <w:szCs w:val="26"/>
                </w:rPr>
                <w:t>terry.etter@occ.ohio.gov</w:t>
              </w:r>
            </w:hyperlink>
          </w:p>
          <w:p w:rsidR="00584E57" w:rsidRDefault="004731BE" w:rsidP="00584E57">
            <w:pPr>
              <w:rPr>
                <w:sz w:val="26"/>
                <w:szCs w:val="26"/>
              </w:rPr>
            </w:pPr>
            <w:hyperlink r:id="rId20" w:history="1">
              <w:r w:rsidR="00584E57" w:rsidRPr="00811AFA">
                <w:rPr>
                  <w:rStyle w:val="Hyperlink"/>
                  <w:sz w:val="26"/>
                  <w:szCs w:val="26"/>
                </w:rPr>
                <w:t>kyle.kern@occ.ohio.gov</w:t>
              </w:r>
            </w:hyperlink>
          </w:p>
          <w:p w:rsidR="00584E57" w:rsidRDefault="00584E57" w:rsidP="00584E57">
            <w:pPr>
              <w:rPr>
                <w:sz w:val="26"/>
                <w:szCs w:val="26"/>
              </w:rPr>
            </w:pPr>
          </w:p>
          <w:p w:rsidR="00E94328" w:rsidRDefault="00E94328" w:rsidP="00584E57">
            <w:pPr>
              <w:rPr>
                <w:sz w:val="26"/>
                <w:szCs w:val="26"/>
              </w:rPr>
            </w:pPr>
            <w:r>
              <w:rPr>
                <w:sz w:val="26"/>
                <w:szCs w:val="26"/>
              </w:rPr>
              <w:t>Kimberly W. Bojko</w:t>
            </w:r>
          </w:p>
          <w:p w:rsidR="00E94328" w:rsidRDefault="00E94328" w:rsidP="00584E57">
            <w:pPr>
              <w:rPr>
                <w:sz w:val="26"/>
                <w:szCs w:val="26"/>
              </w:rPr>
            </w:pPr>
            <w:r>
              <w:rPr>
                <w:sz w:val="26"/>
                <w:szCs w:val="26"/>
              </w:rPr>
              <w:t>Danielle M. Ghiloni</w:t>
            </w:r>
          </w:p>
          <w:p w:rsidR="00E94328" w:rsidRDefault="00E94328" w:rsidP="00E94328">
            <w:pPr>
              <w:rPr>
                <w:sz w:val="26"/>
                <w:szCs w:val="26"/>
              </w:rPr>
            </w:pPr>
            <w:r>
              <w:rPr>
                <w:sz w:val="26"/>
                <w:szCs w:val="26"/>
              </w:rPr>
              <w:t>Carpenter Lipps &amp; Leland</w:t>
            </w:r>
          </w:p>
          <w:p w:rsidR="00E94328" w:rsidRDefault="00E94328" w:rsidP="00E94328">
            <w:pPr>
              <w:rPr>
                <w:sz w:val="26"/>
                <w:szCs w:val="26"/>
              </w:rPr>
            </w:pPr>
            <w:r>
              <w:rPr>
                <w:sz w:val="26"/>
                <w:szCs w:val="26"/>
              </w:rPr>
              <w:t>280 North High Street, Suite 1300</w:t>
            </w:r>
          </w:p>
          <w:p w:rsidR="00E94328" w:rsidRDefault="00E94328" w:rsidP="00E94328">
            <w:pPr>
              <w:rPr>
                <w:sz w:val="26"/>
                <w:szCs w:val="26"/>
              </w:rPr>
            </w:pPr>
            <w:r>
              <w:rPr>
                <w:sz w:val="26"/>
                <w:szCs w:val="26"/>
              </w:rPr>
              <w:t>Columbus, OH  43215</w:t>
            </w:r>
          </w:p>
          <w:p w:rsidR="00E94328" w:rsidRDefault="004731BE" w:rsidP="00E94328">
            <w:pPr>
              <w:rPr>
                <w:sz w:val="26"/>
                <w:szCs w:val="26"/>
              </w:rPr>
            </w:pPr>
            <w:hyperlink r:id="rId21" w:history="1">
              <w:r w:rsidR="00E94328" w:rsidRPr="00811AFA">
                <w:rPr>
                  <w:rStyle w:val="Hyperlink"/>
                  <w:sz w:val="26"/>
                  <w:szCs w:val="26"/>
                </w:rPr>
                <w:t>bojko@carpenterlipps.com</w:t>
              </w:r>
            </w:hyperlink>
          </w:p>
          <w:p w:rsidR="00E94328" w:rsidRDefault="004731BE" w:rsidP="00E94328">
            <w:pPr>
              <w:rPr>
                <w:sz w:val="26"/>
                <w:szCs w:val="26"/>
              </w:rPr>
            </w:pPr>
            <w:hyperlink r:id="rId22" w:history="1">
              <w:r w:rsidR="00E94328" w:rsidRPr="00811AFA">
                <w:rPr>
                  <w:rStyle w:val="Hyperlink"/>
                  <w:sz w:val="26"/>
                  <w:szCs w:val="26"/>
                </w:rPr>
                <w:t>ghiloni@carpenterlipps.com</w:t>
              </w:r>
            </w:hyperlink>
          </w:p>
          <w:p w:rsidR="00E94328" w:rsidRDefault="00E94328" w:rsidP="00E94328">
            <w:pPr>
              <w:rPr>
                <w:sz w:val="26"/>
                <w:szCs w:val="26"/>
              </w:rPr>
            </w:pPr>
          </w:p>
          <w:p w:rsidR="00E94328" w:rsidRDefault="00E94328" w:rsidP="00E94328">
            <w:pPr>
              <w:rPr>
                <w:sz w:val="26"/>
                <w:szCs w:val="26"/>
              </w:rPr>
            </w:pPr>
            <w:r>
              <w:rPr>
                <w:sz w:val="26"/>
                <w:szCs w:val="26"/>
              </w:rPr>
              <w:t>Colleen L. Mooney</w:t>
            </w:r>
          </w:p>
          <w:p w:rsidR="00E94328" w:rsidRDefault="00E94328" w:rsidP="00E94328">
            <w:pPr>
              <w:rPr>
                <w:sz w:val="26"/>
                <w:szCs w:val="26"/>
              </w:rPr>
            </w:pPr>
            <w:r>
              <w:rPr>
                <w:sz w:val="26"/>
                <w:szCs w:val="26"/>
              </w:rPr>
              <w:t>Ohio Partners for Affordable Energy</w:t>
            </w:r>
          </w:p>
          <w:p w:rsidR="00E94328" w:rsidRDefault="00E94328" w:rsidP="00E94328">
            <w:pPr>
              <w:rPr>
                <w:sz w:val="26"/>
                <w:szCs w:val="26"/>
              </w:rPr>
            </w:pPr>
            <w:r>
              <w:rPr>
                <w:sz w:val="26"/>
                <w:szCs w:val="26"/>
              </w:rPr>
              <w:t>231 West Lima Street</w:t>
            </w:r>
          </w:p>
          <w:p w:rsidR="00E94328" w:rsidRDefault="00E94328" w:rsidP="00E94328">
            <w:pPr>
              <w:rPr>
                <w:sz w:val="26"/>
                <w:szCs w:val="26"/>
              </w:rPr>
            </w:pPr>
            <w:r>
              <w:rPr>
                <w:sz w:val="26"/>
                <w:szCs w:val="26"/>
              </w:rPr>
              <w:t>Findlay, OH  45839-1793</w:t>
            </w:r>
          </w:p>
          <w:p w:rsidR="00E94328" w:rsidRDefault="004731BE" w:rsidP="00E94328">
            <w:pPr>
              <w:rPr>
                <w:sz w:val="26"/>
                <w:szCs w:val="26"/>
              </w:rPr>
            </w:pPr>
            <w:hyperlink r:id="rId23" w:history="1">
              <w:r w:rsidR="00E94328" w:rsidRPr="00811AFA">
                <w:rPr>
                  <w:rStyle w:val="Hyperlink"/>
                  <w:sz w:val="26"/>
                  <w:szCs w:val="26"/>
                </w:rPr>
                <w:t>cmooney@ohiopartners.org</w:t>
              </w:r>
            </w:hyperlink>
          </w:p>
          <w:p w:rsidR="00E94328" w:rsidRDefault="00E94328" w:rsidP="00E94328">
            <w:pPr>
              <w:rPr>
                <w:sz w:val="26"/>
                <w:szCs w:val="26"/>
              </w:rPr>
            </w:pPr>
          </w:p>
          <w:p w:rsidR="00E94328" w:rsidRDefault="00E94328" w:rsidP="00E94328">
            <w:pPr>
              <w:rPr>
                <w:sz w:val="26"/>
                <w:szCs w:val="26"/>
              </w:rPr>
            </w:pPr>
          </w:p>
          <w:p w:rsidR="00E94328" w:rsidRPr="00221496" w:rsidRDefault="00E94328" w:rsidP="00E94328">
            <w:pPr>
              <w:rPr>
                <w:sz w:val="26"/>
                <w:szCs w:val="26"/>
              </w:rPr>
            </w:pPr>
          </w:p>
        </w:tc>
        <w:tc>
          <w:tcPr>
            <w:tcW w:w="4788" w:type="dxa"/>
          </w:tcPr>
          <w:p w:rsidR="00977F01" w:rsidRDefault="00584E57" w:rsidP="00584E57">
            <w:pPr>
              <w:ind w:left="720" w:hanging="720"/>
              <w:rPr>
                <w:sz w:val="26"/>
                <w:szCs w:val="26"/>
              </w:rPr>
            </w:pPr>
            <w:r>
              <w:rPr>
                <w:sz w:val="26"/>
                <w:szCs w:val="26"/>
              </w:rPr>
              <w:t>Amy B. Spiller</w:t>
            </w:r>
          </w:p>
          <w:p w:rsidR="00584E57" w:rsidRDefault="00584E57" w:rsidP="00584E57">
            <w:pPr>
              <w:ind w:left="720" w:hanging="720"/>
              <w:rPr>
                <w:sz w:val="26"/>
                <w:szCs w:val="26"/>
              </w:rPr>
            </w:pPr>
            <w:r>
              <w:rPr>
                <w:sz w:val="26"/>
                <w:szCs w:val="26"/>
              </w:rPr>
              <w:t>Elizabeth H. Watts</w:t>
            </w:r>
          </w:p>
          <w:p w:rsidR="00584E57" w:rsidRDefault="00584E57" w:rsidP="00584E57">
            <w:pPr>
              <w:ind w:left="720" w:hanging="720"/>
              <w:rPr>
                <w:sz w:val="26"/>
                <w:szCs w:val="26"/>
              </w:rPr>
            </w:pPr>
            <w:r>
              <w:rPr>
                <w:sz w:val="26"/>
                <w:szCs w:val="26"/>
              </w:rPr>
              <w:t>Duke Energy Ohio, Inc.</w:t>
            </w:r>
          </w:p>
          <w:p w:rsidR="00584E57" w:rsidRDefault="00584E57" w:rsidP="00584E57">
            <w:pPr>
              <w:ind w:left="720" w:hanging="720"/>
              <w:rPr>
                <w:sz w:val="26"/>
                <w:szCs w:val="26"/>
              </w:rPr>
            </w:pPr>
            <w:r>
              <w:rPr>
                <w:sz w:val="26"/>
                <w:szCs w:val="26"/>
              </w:rPr>
              <w:t>139 East Fourth Street, 1303 Main</w:t>
            </w:r>
          </w:p>
          <w:p w:rsidR="00584E57" w:rsidRDefault="00584E57" w:rsidP="00584E57">
            <w:pPr>
              <w:ind w:left="720" w:hanging="720"/>
              <w:rPr>
                <w:sz w:val="26"/>
                <w:szCs w:val="26"/>
              </w:rPr>
            </w:pPr>
            <w:r>
              <w:rPr>
                <w:sz w:val="26"/>
                <w:szCs w:val="26"/>
              </w:rPr>
              <w:t>Cincinnati, OH  45202</w:t>
            </w:r>
          </w:p>
          <w:p w:rsidR="00584E57" w:rsidRDefault="004731BE" w:rsidP="00584E57">
            <w:pPr>
              <w:ind w:left="720" w:hanging="720"/>
              <w:rPr>
                <w:sz w:val="26"/>
                <w:szCs w:val="26"/>
              </w:rPr>
            </w:pPr>
            <w:hyperlink r:id="rId24" w:history="1">
              <w:r w:rsidR="00584E57" w:rsidRPr="00811AFA">
                <w:rPr>
                  <w:rStyle w:val="Hyperlink"/>
                  <w:sz w:val="26"/>
                  <w:szCs w:val="26"/>
                </w:rPr>
                <w:t>amy.spiller@duke-energy.com</w:t>
              </w:r>
            </w:hyperlink>
          </w:p>
          <w:p w:rsidR="00584E57" w:rsidRDefault="004731BE" w:rsidP="00584E57">
            <w:pPr>
              <w:ind w:left="720" w:hanging="720"/>
              <w:rPr>
                <w:sz w:val="26"/>
                <w:szCs w:val="26"/>
              </w:rPr>
            </w:pPr>
            <w:hyperlink r:id="rId25" w:history="1">
              <w:r w:rsidR="00584E57" w:rsidRPr="00811AFA">
                <w:rPr>
                  <w:rStyle w:val="Hyperlink"/>
                  <w:sz w:val="26"/>
                  <w:szCs w:val="26"/>
                </w:rPr>
                <w:t>elizabeth.watts@duke-energy.com</w:t>
              </w:r>
            </w:hyperlink>
          </w:p>
          <w:p w:rsidR="00584E57" w:rsidRDefault="00584E57" w:rsidP="00584E57">
            <w:pPr>
              <w:ind w:left="720" w:hanging="720"/>
              <w:rPr>
                <w:sz w:val="26"/>
                <w:szCs w:val="26"/>
              </w:rPr>
            </w:pPr>
          </w:p>
          <w:p w:rsidR="00584E57" w:rsidRDefault="00584E57" w:rsidP="00584E57">
            <w:pPr>
              <w:ind w:left="720" w:hanging="720"/>
              <w:rPr>
                <w:sz w:val="26"/>
                <w:szCs w:val="26"/>
              </w:rPr>
            </w:pPr>
            <w:r>
              <w:rPr>
                <w:sz w:val="26"/>
                <w:szCs w:val="26"/>
              </w:rPr>
              <w:t>David F. Boehm</w:t>
            </w:r>
          </w:p>
          <w:p w:rsidR="00584E57" w:rsidRDefault="00584E57" w:rsidP="00584E57">
            <w:pPr>
              <w:ind w:left="720" w:hanging="720"/>
              <w:rPr>
                <w:sz w:val="26"/>
                <w:szCs w:val="26"/>
              </w:rPr>
            </w:pPr>
            <w:r>
              <w:rPr>
                <w:sz w:val="26"/>
                <w:szCs w:val="26"/>
              </w:rPr>
              <w:t>Jody Kyler Cohn</w:t>
            </w:r>
          </w:p>
          <w:p w:rsidR="00584E57" w:rsidRDefault="00584E57" w:rsidP="00584E57">
            <w:pPr>
              <w:ind w:left="720" w:hanging="720"/>
              <w:rPr>
                <w:sz w:val="26"/>
                <w:szCs w:val="26"/>
              </w:rPr>
            </w:pPr>
            <w:r>
              <w:rPr>
                <w:sz w:val="26"/>
                <w:szCs w:val="26"/>
              </w:rPr>
              <w:t>Boehm, Kurtz &amp; Lowry</w:t>
            </w:r>
          </w:p>
          <w:p w:rsidR="00584E57" w:rsidRDefault="00584E57" w:rsidP="00584E57">
            <w:pPr>
              <w:ind w:left="720" w:hanging="720"/>
              <w:rPr>
                <w:sz w:val="26"/>
                <w:szCs w:val="26"/>
              </w:rPr>
            </w:pPr>
            <w:r>
              <w:rPr>
                <w:sz w:val="26"/>
                <w:szCs w:val="26"/>
              </w:rPr>
              <w:t>36 East Seventh Street, Suite 1510</w:t>
            </w:r>
          </w:p>
          <w:p w:rsidR="00584E57" w:rsidRDefault="00584E57" w:rsidP="00584E57">
            <w:pPr>
              <w:ind w:left="720" w:hanging="720"/>
              <w:rPr>
                <w:sz w:val="26"/>
                <w:szCs w:val="26"/>
              </w:rPr>
            </w:pPr>
            <w:r>
              <w:rPr>
                <w:sz w:val="26"/>
                <w:szCs w:val="26"/>
              </w:rPr>
              <w:t>Cincinnati, OH  45202</w:t>
            </w:r>
          </w:p>
          <w:p w:rsidR="00584E57" w:rsidRDefault="004731BE" w:rsidP="00584E57">
            <w:pPr>
              <w:ind w:left="720" w:hanging="720"/>
              <w:rPr>
                <w:sz w:val="26"/>
                <w:szCs w:val="26"/>
              </w:rPr>
            </w:pPr>
            <w:hyperlink r:id="rId26" w:history="1">
              <w:r w:rsidR="00584E57" w:rsidRPr="00811AFA">
                <w:rPr>
                  <w:rStyle w:val="Hyperlink"/>
                  <w:sz w:val="26"/>
                  <w:szCs w:val="26"/>
                </w:rPr>
                <w:t>dboehm@bkllawfirm.com</w:t>
              </w:r>
            </w:hyperlink>
          </w:p>
          <w:p w:rsidR="00584E57" w:rsidRDefault="004731BE" w:rsidP="00584E57">
            <w:pPr>
              <w:ind w:left="720" w:hanging="720"/>
              <w:rPr>
                <w:sz w:val="26"/>
                <w:szCs w:val="26"/>
              </w:rPr>
            </w:pPr>
            <w:hyperlink r:id="rId27" w:history="1">
              <w:r w:rsidR="00584E57" w:rsidRPr="00811AFA">
                <w:rPr>
                  <w:rStyle w:val="Hyperlink"/>
                  <w:sz w:val="26"/>
                  <w:szCs w:val="26"/>
                </w:rPr>
                <w:t>jkyler@bkllawfirm.com</w:t>
              </w:r>
            </w:hyperlink>
          </w:p>
          <w:p w:rsidR="00584E57" w:rsidRDefault="00584E57" w:rsidP="00584E57">
            <w:pPr>
              <w:ind w:left="720" w:hanging="720"/>
              <w:rPr>
                <w:sz w:val="26"/>
                <w:szCs w:val="26"/>
              </w:rPr>
            </w:pPr>
          </w:p>
          <w:p w:rsidR="00E94328" w:rsidRDefault="00E94328" w:rsidP="00584E57">
            <w:pPr>
              <w:ind w:left="720" w:hanging="720"/>
              <w:rPr>
                <w:sz w:val="26"/>
                <w:szCs w:val="26"/>
              </w:rPr>
            </w:pPr>
            <w:r>
              <w:rPr>
                <w:sz w:val="26"/>
                <w:szCs w:val="26"/>
              </w:rPr>
              <w:t>Madeline Fleisher</w:t>
            </w:r>
          </w:p>
          <w:p w:rsidR="00E94328" w:rsidRDefault="00E94328" w:rsidP="00584E57">
            <w:pPr>
              <w:ind w:left="720" w:hanging="720"/>
              <w:rPr>
                <w:sz w:val="26"/>
                <w:szCs w:val="26"/>
              </w:rPr>
            </w:pPr>
            <w:r>
              <w:rPr>
                <w:sz w:val="26"/>
                <w:szCs w:val="26"/>
              </w:rPr>
              <w:t>Environmental Law &amp; Policy Center</w:t>
            </w:r>
          </w:p>
          <w:p w:rsidR="00E94328" w:rsidRDefault="00E94328" w:rsidP="00584E57">
            <w:pPr>
              <w:ind w:left="720" w:hanging="720"/>
              <w:rPr>
                <w:sz w:val="26"/>
                <w:szCs w:val="26"/>
              </w:rPr>
            </w:pPr>
            <w:r>
              <w:rPr>
                <w:sz w:val="26"/>
                <w:szCs w:val="26"/>
              </w:rPr>
              <w:t>21 West Broad Street, Suite 500</w:t>
            </w:r>
          </w:p>
          <w:p w:rsidR="00E94328" w:rsidRDefault="00E94328" w:rsidP="00584E57">
            <w:pPr>
              <w:ind w:left="720" w:hanging="720"/>
              <w:rPr>
                <w:sz w:val="26"/>
                <w:szCs w:val="26"/>
              </w:rPr>
            </w:pPr>
            <w:r>
              <w:rPr>
                <w:sz w:val="26"/>
                <w:szCs w:val="26"/>
              </w:rPr>
              <w:t>Columbus, OH  43215</w:t>
            </w:r>
          </w:p>
          <w:p w:rsidR="00E94328" w:rsidRDefault="004731BE" w:rsidP="00584E57">
            <w:pPr>
              <w:ind w:left="720" w:hanging="720"/>
              <w:rPr>
                <w:sz w:val="26"/>
                <w:szCs w:val="26"/>
              </w:rPr>
            </w:pPr>
            <w:hyperlink r:id="rId28" w:history="1">
              <w:r w:rsidR="00E94328" w:rsidRPr="00811AFA">
                <w:rPr>
                  <w:rStyle w:val="Hyperlink"/>
                  <w:sz w:val="26"/>
                  <w:szCs w:val="26"/>
                </w:rPr>
                <w:t>mfleisher@elpc.org</w:t>
              </w:r>
            </w:hyperlink>
          </w:p>
          <w:p w:rsidR="00E94328" w:rsidRDefault="00E94328" w:rsidP="00584E57">
            <w:pPr>
              <w:ind w:left="720" w:hanging="720"/>
              <w:rPr>
                <w:sz w:val="26"/>
                <w:szCs w:val="26"/>
              </w:rPr>
            </w:pPr>
          </w:p>
          <w:p w:rsidR="00E94328" w:rsidRDefault="00E94328" w:rsidP="00584E57">
            <w:pPr>
              <w:ind w:left="720" w:hanging="720"/>
              <w:rPr>
                <w:sz w:val="26"/>
                <w:szCs w:val="26"/>
              </w:rPr>
            </w:pPr>
            <w:r>
              <w:rPr>
                <w:sz w:val="26"/>
                <w:szCs w:val="26"/>
              </w:rPr>
              <w:t>Dane Stinson</w:t>
            </w:r>
          </w:p>
          <w:p w:rsidR="00E94328" w:rsidRDefault="00E94328" w:rsidP="00584E57">
            <w:pPr>
              <w:ind w:left="720" w:hanging="720"/>
              <w:rPr>
                <w:sz w:val="26"/>
                <w:szCs w:val="26"/>
              </w:rPr>
            </w:pPr>
            <w:r>
              <w:rPr>
                <w:sz w:val="26"/>
                <w:szCs w:val="26"/>
              </w:rPr>
              <w:t>Bricker &amp; Eckler</w:t>
            </w:r>
          </w:p>
          <w:p w:rsidR="00E94328" w:rsidRDefault="00E94328" w:rsidP="00584E57">
            <w:pPr>
              <w:ind w:left="720" w:hanging="720"/>
              <w:rPr>
                <w:sz w:val="26"/>
                <w:szCs w:val="26"/>
              </w:rPr>
            </w:pPr>
            <w:r>
              <w:rPr>
                <w:sz w:val="26"/>
                <w:szCs w:val="26"/>
              </w:rPr>
              <w:t>100 South Third Street</w:t>
            </w:r>
          </w:p>
          <w:p w:rsidR="00E94328" w:rsidRDefault="00E94328" w:rsidP="00584E57">
            <w:pPr>
              <w:ind w:left="720" w:hanging="720"/>
              <w:rPr>
                <w:sz w:val="26"/>
                <w:szCs w:val="26"/>
              </w:rPr>
            </w:pPr>
            <w:r>
              <w:rPr>
                <w:sz w:val="26"/>
                <w:szCs w:val="26"/>
              </w:rPr>
              <w:t>Columbus, OH  43215-4291</w:t>
            </w:r>
          </w:p>
          <w:p w:rsidR="00E94328" w:rsidRPr="00221496" w:rsidRDefault="004731BE" w:rsidP="00584E57">
            <w:pPr>
              <w:ind w:left="720" w:hanging="720"/>
              <w:rPr>
                <w:sz w:val="26"/>
                <w:szCs w:val="26"/>
              </w:rPr>
            </w:pPr>
            <w:hyperlink r:id="rId29" w:history="1">
              <w:r w:rsidR="00E94328" w:rsidRPr="00811AFA">
                <w:rPr>
                  <w:rStyle w:val="Hyperlink"/>
                  <w:sz w:val="26"/>
                  <w:szCs w:val="26"/>
                </w:rPr>
                <w:t>dstinson@bricker.com</w:t>
              </w:r>
            </w:hyperlink>
          </w:p>
        </w:tc>
      </w:tr>
    </w:tbl>
    <w:p w:rsidR="00977F01" w:rsidRPr="00DF3D54" w:rsidRDefault="00977F01" w:rsidP="00200A0A">
      <w:pPr>
        <w:ind w:left="4332"/>
        <w:jc w:val="both"/>
        <w:rPr>
          <w:sz w:val="26"/>
          <w:szCs w:val="26"/>
        </w:rPr>
      </w:pPr>
    </w:p>
    <w:sectPr w:rsidR="00977F01" w:rsidRPr="00DF3D54" w:rsidSect="003B12DD">
      <w:headerReference w:type="default" r:id="rId30"/>
      <w:footerReference w:type="default" r:id="rId31"/>
      <w:headerReference w:type="first" r:id="rId32"/>
      <w:footerReference w:type="first" r:id="rId3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1DF" w:rsidRDefault="007F31DF" w:rsidP="008866FC">
      <w:pPr>
        <w:pStyle w:val="Title"/>
      </w:pPr>
      <w:r>
        <w:separator/>
      </w:r>
    </w:p>
  </w:endnote>
  <w:endnote w:type="continuationSeparator" w:id="0">
    <w:p w:rsidR="007F31DF" w:rsidRDefault="007F31DF"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1C" w:rsidRDefault="00DB721C" w:rsidP="003B12DD">
    <w:pPr>
      <w:pStyle w:val="Footer"/>
      <w:jc w:val="center"/>
    </w:pPr>
    <w:r>
      <w:rPr>
        <w:rStyle w:val="PageNumber"/>
      </w:rPr>
      <w:fldChar w:fldCharType="begin"/>
    </w:r>
    <w:r>
      <w:rPr>
        <w:rStyle w:val="PageNumber"/>
      </w:rPr>
      <w:instrText xml:space="preserve"> PAGE </w:instrText>
    </w:r>
    <w:r>
      <w:rPr>
        <w:rStyle w:val="PageNumber"/>
      </w:rPr>
      <w:fldChar w:fldCharType="separate"/>
    </w:r>
    <w:r w:rsidR="008F016B">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1C" w:rsidRPr="007F5520" w:rsidRDefault="00DB721C" w:rsidP="003B12DD">
    <w:pPr>
      <w:pStyle w:val="Footer"/>
      <w:jc w:val="center"/>
      <w:rPr>
        <w:sz w:val="24"/>
        <w:szCs w:val="24"/>
      </w:rPr>
    </w:pPr>
    <w:r w:rsidRPr="007F5520">
      <w:rPr>
        <w:rStyle w:val="PageNumber"/>
        <w:sz w:val="24"/>
        <w:szCs w:val="24"/>
      </w:rPr>
      <w:fldChar w:fldCharType="begin"/>
    </w:r>
    <w:r w:rsidRPr="007F5520">
      <w:rPr>
        <w:rStyle w:val="PageNumber"/>
        <w:sz w:val="24"/>
        <w:szCs w:val="24"/>
      </w:rPr>
      <w:instrText xml:space="preserve"> PAGE </w:instrText>
    </w:r>
    <w:r w:rsidRPr="007F5520">
      <w:rPr>
        <w:rStyle w:val="PageNumber"/>
        <w:sz w:val="24"/>
        <w:szCs w:val="24"/>
      </w:rPr>
      <w:fldChar w:fldCharType="separate"/>
    </w:r>
    <w:r>
      <w:rPr>
        <w:rStyle w:val="PageNumber"/>
        <w:noProof/>
        <w:sz w:val="24"/>
        <w:szCs w:val="24"/>
      </w:rPr>
      <w:t>2</w:t>
    </w:r>
    <w:r w:rsidRPr="007F5520">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1C" w:rsidRPr="00C95499" w:rsidRDefault="00DB721C" w:rsidP="00C95499">
    <w:pPr>
      <w:pStyle w:val="Footer"/>
      <w:jc w:val="center"/>
      <w:rPr>
        <w:sz w:val="26"/>
        <w:szCs w:val="26"/>
      </w:rPr>
    </w:pPr>
    <w:r w:rsidRPr="00C95499">
      <w:rPr>
        <w:sz w:val="26"/>
        <w:szCs w:val="26"/>
      </w:rPr>
      <w:fldChar w:fldCharType="begin"/>
    </w:r>
    <w:r w:rsidRPr="00C95499">
      <w:rPr>
        <w:sz w:val="26"/>
        <w:szCs w:val="26"/>
      </w:rPr>
      <w:instrText xml:space="preserve"> PAGE   \* MERGEFORMAT </w:instrText>
    </w:r>
    <w:r w:rsidRPr="00C95499">
      <w:rPr>
        <w:sz w:val="26"/>
        <w:szCs w:val="26"/>
      </w:rPr>
      <w:fldChar w:fldCharType="separate"/>
    </w:r>
    <w:r w:rsidR="004731BE">
      <w:rPr>
        <w:noProof/>
        <w:sz w:val="26"/>
        <w:szCs w:val="26"/>
      </w:rPr>
      <w:t>i</w:t>
    </w:r>
    <w:r w:rsidRPr="00C95499">
      <w:rPr>
        <w:sz w:val="26"/>
        <w:szCs w:val="2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1C" w:rsidRPr="007F5520" w:rsidRDefault="00DB721C" w:rsidP="003B12DD">
    <w:pPr>
      <w:pStyle w:val="Footer"/>
      <w:jc w:val="center"/>
      <w:rPr>
        <w:sz w:val="24"/>
        <w:szCs w:val="24"/>
      </w:rPr>
    </w:pPr>
    <w:r w:rsidRPr="007F5520">
      <w:rPr>
        <w:rStyle w:val="PageNumber"/>
        <w:sz w:val="24"/>
        <w:szCs w:val="24"/>
      </w:rPr>
      <w:fldChar w:fldCharType="begin"/>
    </w:r>
    <w:r w:rsidRPr="007F5520">
      <w:rPr>
        <w:rStyle w:val="PageNumber"/>
        <w:sz w:val="24"/>
        <w:szCs w:val="24"/>
      </w:rPr>
      <w:instrText xml:space="preserve"> PAGE </w:instrText>
    </w:r>
    <w:r w:rsidRPr="007F5520">
      <w:rPr>
        <w:rStyle w:val="PageNumber"/>
        <w:sz w:val="24"/>
        <w:szCs w:val="24"/>
      </w:rPr>
      <w:fldChar w:fldCharType="separate"/>
    </w:r>
    <w:r w:rsidR="004731BE">
      <w:rPr>
        <w:rStyle w:val="PageNumber"/>
        <w:noProof/>
        <w:sz w:val="24"/>
        <w:szCs w:val="24"/>
      </w:rPr>
      <w:t>2</w:t>
    </w:r>
    <w:r w:rsidRPr="007F5520">
      <w:rPr>
        <w:rStyle w:val="PageNumbe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1C" w:rsidRPr="00C95499" w:rsidRDefault="00DB721C" w:rsidP="00C95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1DF" w:rsidRDefault="007F31DF" w:rsidP="00663D6A">
      <w:pPr>
        <w:pStyle w:val="Title"/>
        <w:jc w:val="left"/>
      </w:pPr>
      <w:r>
        <w:separator/>
      </w:r>
    </w:p>
  </w:footnote>
  <w:footnote w:type="continuationSeparator" w:id="0">
    <w:p w:rsidR="007F31DF" w:rsidRDefault="007F31DF" w:rsidP="008866FC">
      <w:pPr>
        <w:pStyle w:val="Title"/>
      </w:pPr>
      <w:r>
        <w:continuationSeparator/>
      </w:r>
    </w:p>
  </w:footnote>
  <w:footnote w:id="1">
    <w:p w:rsidR="00D17EB2" w:rsidRDefault="00D17EB2" w:rsidP="00353F75">
      <w:pPr>
        <w:pStyle w:val="FootnoteText"/>
      </w:pPr>
      <w:r>
        <w:rPr>
          <w:rStyle w:val="FootnoteReference"/>
        </w:rPr>
        <w:footnoteRef/>
      </w:r>
      <w:r>
        <w:t xml:space="preserve"> </w:t>
      </w:r>
      <w:r w:rsidR="008F016B">
        <w:tab/>
      </w:r>
      <w:r w:rsidR="008F016B">
        <w:tab/>
      </w:r>
      <w:r>
        <w:t>The Intervenors include: Ohio Consumers’ Counsel (OCC), Ohio Partners for Affordable Energy (OPAE), Ohio Energy Group (OEG), Kroger Company (Kroger), and Ohio Manufacturers’ Association (OMA).</w:t>
      </w:r>
    </w:p>
  </w:footnote>
  <w:footnote w:id="2">
    <w:p w:rsidR="00DB721C" w:rsidRDefault="00DB721C" w:rsidP="00353F75">
      <w:pPr>
        <w:pStyle w:val="FootnoteText"/>
      </w:pPr>
      <w:r>
        <w:rPr>
          <w:rStyle w:val="FootnoteReference"/>
        </w:rPr>
        <w:footnoteRef/>
      </w:r>
      <w:r>
        <w:t xml:space="preserve"> </w:t>
      </w:r>
      <w:r w:rsidR="008F016B">
        <w:tab/>
      </w:r>
      <w:r w:rsidR="008F016B">
        <w:tab/>
      </w:r>
      <w:r>
        <w:t>Tr. I at 246-47, 259.</w:t>
      </w:r>
    </w:p>
  </w:footnote>
  <w:footnote w:id="3">
    <w:p w:rsidR="00DB721C" w:rsidRDefault="00DB721C" w:rsidP="00353F75">
      <w:pPr>
        <w:pStyle w:val="FootnoteText"/>
      </w:pPr>
      <w:r>
        <w:rPr>
          <w:rStyle w:val="FootnoteReference"/>
        </w:rPr>
        <w:footnoteRef/>
      </w:r>
      <w:r w:rsidR="00932088">
        <w:t xml:space="preserve"> </w:t>
      </w:r>
      <w:r w:rsidR="008F016B">
        <w:tab/>
      </w:r>
      <w:r w:rsidR="008F016B">
        <w:tab/>
      </w:r>
      <w:r w:rsidR="00932088">
        <w:t>OEG Brief</w:t>
      </w:r>
      <w:r>
        <w:t xml:space="preserve"> at 4. </w:t>
      </w:r>
    </w:p>
  </w:footnote>
  <w:footnote w:id="4">
    <w:p w:rsidR="00DB721C" w:rsidRDefault="00DB721C" w:rsidP="00353F75">
      <w:pPr>
        <w:pStyle w:val="FootnoteText"/>
      </w:pPr>
      <w:r>
        <w:rPr>
          <w:rStyle w:val="FootnoteReference"/>
        </w:rPr>
        <w:footnoteRef/>
      </w:r>
      <w:r>
        <w:t xml:space="preserve"> </w:t>
      </w:r>
      <w:r w:rsidR="008F016B">
        <w:tab/>
      </w:r>
      <w:r w:rsidR="008F016B">
        <w:tab/>
      </w:r>
      <w:r>
        <w:t>Tr. I at 246-47.</w:t>
      </w:r>
    </w:p>
  </w:footnote>
  <w:footnote w:id="5">
    <w:p w:rsidR="00DB721C" w:rsidRDefault="00DB721C" w:rsidP="00353F75">
      <w:pPr>
        <w:pStyle w:val="FootnoteText"/>
      </w:pPr>
      <w:r>
        <w:rPr>
          <w:rStyle w:val="FootnoteReference"/>
        </w:rPr>
        <w:footnoteRef/>
      </w:r>
      <w:r>
        <w:t xml:space="preserve"> </w:t>
      </w:r>
      <w:r w:rsidR="008F016B">
        <w:tab/>
      </w:r>
      <w:r w:rsidR="008F016B">
        <w:tab/>
      </w:r>
      <w:r>
        <w:rPr>
          <w:i/>
        </w:rPr>
        <w:t xml:space="preserve">See </w:t>
      </w:r>
      <w:r>
        <w:t xml:space="preserve">OEG </w:t>
      </w:r>
      <w:r w:rsidR="00D17EB2">
        <w:t xml:space="preserve">Initial Brief </w:t>
      </w:r>
      <w:r>
        <w:t>at 7; OMA</w:t>
      </w:r>
      <w:r w:rsidR="00D17EB2">
        <w:t xml:space="preserve"> Initial Brief at 17; OPAE</w:t>
      </w:r>
      <w:r w:rsidR="00D17EB2" w:rsidRPr="00D17EB2">
        <w:t xml:space="preserve"> </w:t>
      </w:r>
      <w:r w:rsidR="00D17EB2">
        <w:t xml:space="preserve">Initial Brief </w:t>
      </w:r>
      <w:r>
        <w:t>at 9.</w:t>
      </w:r>
    </w:p>
  </w:footnote>
  <w:footnote w:id="6">
    <w:p w:rsidR="00DB721C" w:rsidRDefault="00DB721C" w:rsidP="00353F75">
      <w:pPr>
        <w:pStyle w:val="FootnoteText"/>
      </w:pPr>
      <w:r>
        <w:rPr>
          <w:rStyle w:val="FootnoteReference"/>
        </w:rPr>
        <w:footnoteRef/>
      </w:r>
      <w:r>
        <w:t xml:space="preserve"> </w:t>
      </w:r>
      <w:r w:rsidR="008F016B">
        <w:tab/>
      </w:r>
      <w:r w:rsidR="008F016B">
        <w:tab/>
      </w:r>
      <w:r>
        <w:t>OCC Ex. 2 at 6 (</w:t>
      </w:r>
      <w:r w:rsidR="008F016B">
        <w:rPr>
          <w:i/>
        </w:rPr>
        <w:t>In re Duke Energy Ohio, Inc.</w:t>
      </w:r>
      <w:r w:rsidR="008F016B">
        <w:t>, Case No. 14-1580-EL-RDR (</w:t>
      </w:r>
      <w:r>
        <w:t xml:space="preserve">Reply Comments </w:t>
      </w:r>
      <w:r w:rsidR="008F016B">
        <w:t xml:space="preserve">submitted on behalf </w:t>
      </w:r>
      <w:r>
        <w:t xml:space="preserve">of </w:t>
      </w:r>
      <w:r w:rsidR="008F016B">
        <w:t xml:space="preserve">the </w:t>
      </w:r>
      <w:r>
        <w:t xml:space="preserve">Staff </w:t>
      </w:r>
      <w:r w:rsidR="008F016B">
        <w:t>of the Public Utilities Commission of Ohio) (Jan. 9, 2015).</w:t>
      </w:r>
    </w:p>
  </w:footnote>
  <w:footnote w:id="7">
    <w:p w:rsidR="00DB721C" w:rsidRDefault="00DB721C" w:rsidP="00353F75">
      <w:pPr>
        <w:pStyle w:val="FootnoteText"/>
      </w:pPr>
      <w:r>
        <w:rPr>
          <w:rStyle w:val="FootnoteReference"/>
        </w:rPr>
        <w:footnoteRef/>
      </w:r>
      <w:r>
        <w:t xml:space="preserve"> </w:t>
      </w:r>
      <w:r w:rsidR="008F016B">
        <w:tab/>
      </w:r>
      <w:r w:rsidR="008F016B">
        <w:tab/>
      </w:r>
      <w:r w:rsidRPr="00D17EB2">
        <w:rPr>
          <w:i/>
        </w:rPr>
        <w:t>See</w:t>
      </w:r>
      <w:r>
        <w:t xml:space="preserve"> Staff</w:t>
      </w:r>
      <w:r w:rsidR="00D17EB2">
        <w:t xml:space="preserve"> Initial Brief</w:t>
      </w:r>
      <w:r>
        <w:t xml:space="preserve"> at 5, 10.</w:t>
      </w:r>
    </w:p>
  </w:footnote>
  <w:footnote w:id="8">
    <w:p w:rsidR="00DB721C" w:rsidRDefault="00DB721C" w:rsidP="00353F75">
      <w:pPr>
        <w:pStyle w:val="FootnoteText"/>
      </w:pPr>
      <w:r>
        <w:rPr>
          <w:rStyle w:val="FootnoteReference"/>
        </w:rPr>
        <w:footnoteRef/>
      </w:r>
      <w:r w:rsidR="00E97605">
        <w:t xml:space="preserve"> </w:t>
      </w:r>
      <w:r w:rsidR="008F016B">
        <w:tab/>
      </w:r>
      <w:r w:rsidR="008F016B">
        <w:tab/>
      </w:r>
      <w:r w:rsidR="00E97605">
        <w:t>Well after two years into Duke’s current plan, S.B. 310 became law and provided utility companies a short window to ame</w:t>
      </w:r>
      <w:r w:rsidR="00C90FF0">
        <w:t>nd their existing plans.</w:t>
      </w:r>
      <w:r w:rsidR="008F016B">
        <w:t xml:space="preserve">  </w:t>
      </w:r>
      <w:r w:rsidR="00C90FF0">
        <w:t xml:space="preserve">Duke’s flawed methodology went unnoticed until it was too late for Duke to amend its portfolio plan and implement the correct methodology. </w:t>
      </w:r>
      <w:r w:rsidR="00E97605">
        <w:t xml:space="preserve"> </w:t>
      </w:r>
    </w:p>
  </w:footnote>
  <w:footnote w:id="9">
    <w:p w:rsidR="00DB721C" w:rsidRDefault="00DB721C" w:rsidP="00353F75">
      <w:pPr>
        <w:pStyle w:val="FootnoteText"/>
      </w:pPr>
      <w:r>
        <w:rPr>
          <w:rStyle w:val="FootnoteReference"/>
        </w:rPr>
        <w:footnoteRef/>
      </w:r>
      <w:r>
        <w:t xml:space="preserve"> </w:t>
      </w:r>
      <w:r w:rsidR="008F016B">
        <w:tab/>
      </w:r>
      <w:r w:rsidR="008F016B">
        <w:tab/>
      </w:r>
      <w:r>
        <w:t>OMA</w:t>
      </w:r>
      <w:r w:rsidR="00D17EB2" w:rsidRPr="00D17EB2">
        <w:t xml:space="preserve"> </w:t>
      </w:r>
      <w:r w:rsidR="00D17EB2">
        <w:t>Initial Brief</w:t>
      </w:r>
      <w:r>
        <w:t xml:space="preserve"> at 5.</w:t>
      </w:r>
    </w:p>
  </w:footnote>
  <w:footnote w:id="10">
    <w:p w:rsidR="00F729B6" w:rsidRPr="00F729B6" w:rsidRDefault="00F729B6" w:rsidP="00353F75">
      <w:pPr>
        <w:pStyle w:val="FootnoteText"/>
      </w:pPr>
      <w:r>
        <w:rPr>
          <w:rStyle w:val="FootnoteReference"/>
        </w:rPr>
        <w:footnoteRef/>
      </w:r>
      <w:r>
        <w:t xml:space="preserve"> </w:t>
      </w:r>
      <w:r w:rsidR="008F016B">
        <w:tab/>
      </w:r>
      <w:r w:rsidR="008F016B">
        <w:tab/>
      </w:r>
      <w:r>
        <w:rPr>
          <w:i/>
        </w:rPr>
        <w:t>See</w:t>
      </w:r>
      <w:r>
        <w:t xml:space="preserve"> OMA Ex. 14</w:t>
      </w:r>
      <w:r w:rsidR="002833FA">
        <w:t xml:space="preserve"> (OCC-INT-02-010)</w:t>
      </w:r>
      <w:r>
        <w:t>.</w:t>
      </w:r>
    </w:p>
  </w:footnote>
  <w:footnote w:id="11">
    <w:p w:rsidR="00F729B6" w:rsidRPr="00F729B6" w:rsidRDefault="00F729B6" w:rsidP="00353F75">
      <w:pPr>
        <w:pStyle w:val="FootnoteText"/>
      </w:pPr>
      <w:r>
        <w:rPr>
          <w:rStyle w:val="FootnoteReference"/>
        </w:rPr>
        <w:footnoteRef/>
      </w:r>
      <w:r>
        <w:t xml:space="preserve"> </w:t>
      </w:r>
      <w:r w:rsidR="008F016B">
        <w:tab/>
      </w:r>
      <w:r w:rsidR="008F016B">
        <w:tab/>
      </w:r>
      <w:r>
        <w:rPr>
          <w:i/>
        </w:rPr>
        <w:t>See</w:t>
      </w:r>
      <w:r>
        <w:t xml:space="preserve"> OMA Ex. 18</w:t>
      </w:r>
      <w:r w:rsidR="002833FA">
        <w:t xml:space="preserve"> (OCC-INT-02-011)</w:t>
      </w:r>
      <w:r>
        <w:t>.</w:t>
      </w:r>
    </w:p>
  </w:footnote>
  <w:footnote w:id="12">
    <w:p w:rsidR="008C2F08" w:rsidRPr="008C2F08" w:rsidRDefault="008C2F08" w:rsidP="00353F75">
      <w:pPr>
        <w:pStyle w:val="FootnoteText"/>
      </w:pPr>
      <w:r>
        <w:rPr>
          <w:rStyle w:val="FootnoteReference"/>
        </w:rPr>
        <w:footnoteRef/>
      </w:r>
      <w:r>
        <w:t xml:space="preserve"> </w:t>
      </w:r>
      <w:r w:rsidR="008F016B">
        <w:tab/>
      </w:r>
      <w:r w:rsidR="008F016B">
        <w:tab/>
      </w:r>
      <w:r>
        <w:rPr>
          <w:i/>
        </w:rPr>
        <w:t>See</w:t>
      </w:r>
      <w:r>
        <w:t xml:space="preserve"> Tr. I at 290 (explaining that “there was a lot of negotiations back and forth”).</w:t>
      </w:r>
    </w:p>
  </w:footnote>
  <w:footnote w:id="13">
    <w:p w:rsidR="00962878" w:rsidRPr="00962878" w:rsidRDefault="00962878" w:rsidP="00353F75">
      <w:pPr>
        <w:pStyle w:val="FootnoteText"/>
      </w:pPr>
      <w:r>
        <w:rPr>
          <w:rStyle w:val="FootnoteReference"/>
        </w:rPr>
        <w:footnoteRef/>
      </w:r>
      <w:r>
        <w:t xml:space="preserve"> </w:t>
      </w:r>
      <w:r w:rsidR="00AE087F">
        <w:tab/>
      </w:r>
      <w:r w:rsidR="00AE087F">
        <w:tab/>
      </w:r>
      <w:r>
        <w:rPr>
          <w:i/>
        </w:rPr>
        <w:t>See</w:t>
      </w:r>
      <w:r w:rsidR="002833FA">
        <w:rPr>
          <w:i/>
        </w:rPr>
        <w:t xml:space="preserve"> id.</w:t>
      </w:r>
      <w:r>
        <w:t xml:space="preserve"> at 246.</w:t>
      </w:r>
    </w:p>
  </w:footnote>
  <w:footnote w:id="14">
    <w:p w:rsidR="00DB721C" w:rsidRPr="007069D8" w:rsidRDefault="00DB721C" w:rsidP="00353F75">
      <w:pPr>
        <w:pStyle w:val="FootnoteText"/>
      </w:pPr>
      <w:r>
        <w:rPr>
          <w:rStyle w:val="FootnoteReference"/>
        </w:rPr>
        <w:footnoteRef/>
      </w:r>
      <w:r>
        <w:t xml:space="preserve"> </w:t>
      </w:r>
      <w:r w:rsidR="008F016B">
        <w:tab/>
      </w:r>
      <w:r w:rsidR="008F016B">
        <w:tab/>
      </w:r>
      <w:r>
        <w:rPr>
          <w:i/>
        </w:rPr>
        <w:t xml:space="preserve">See </w:t>
      </w:r>
      <w:r>
        <w:t>OCC</w:t>
      </w:r>
      <w:r w:rsidR="00D17EB2" w:rsidRPr="00D17EB2">
        <w:t xml:space="preserve"> </w:t>
      </w:r>
      <w:r w:rsidR="00D17EB2">
        <w:t>Initial Brief</w:t>
      </w:r>
      <w:r>
        <w:t xml:space="preserve"> at 6-8; OPAE</w:t>
      </w:r>
      <w:r w:rsidR="00D17EB2" w:rsidRPr="00D17EB2">
        <w:t xml:space="preserve"> </w:t>
      </w:r>
      <w:r w:rsidR="00D17EB2">
        <w:t xml:space="preserve">Initial Brief </w:t>
      </w:r>
      <w:r>
        <w:t>at 2-3; Kroger</w:t>
      </w:r>
      <w:r w:rsidR="00D17EB2" w:rsidRPr="00D17EB2">
        <w:t xml:space="preserve"> </w:t>
      </w:r>
      <w:r w:rsidR="00D17EB2">
        <w:t>Initial Brief</w:t>
      </w:r>
      <w:r>
        <w:t xml:space="preserve"> at 4-5; OEG</w:t>
      </w:r>
      <w:r w:rsidR="00D17EB2" w:rsidRPr="00D17EB2">
        <w:t xml:space="preserve"> </w:t>
      </w:r>
      <w:r w:rsidR="00D17EB2">
        <w:t>Initial Brief</w:t>
      </w:r>
      <w:r>
        <w:t xml:space="preserve"> at 3; OMA</w:t>
      </w:r>
      <w:r w:rsidR="00D17EB2" w:rsidRPr="00D17EB2">
        <w:t xml:space="preserve"> </w:t>
      </w:r>
      <w:r w:rsidR="00D17EB2">
        <w:t>Initial Brief</w:t>
      </w:r>
      <w:r>
        <w:t xml:space="preserve"> at 6-7.</w:t>
      </w:r>
    </w:p>
  </w:footnote>
  <w:footnote w:id="15">
    <w:p w:rsidR="00DB721C" w:rsidRDefault="00DB721C" w:rsidP="00353F75">
      <w:pPr>
        <w:pStyle w:val="FootnoteText"/>
      </w:pPr>
      <w:r>
        <w:rPr>
          <w:rStyle w:val="FootnoteReference"/>
        </w:rPr>
        <w:footnoteRef/>
      </w:r>
      <w:r>
        <w:t xml:space="preserve"> </w:t>
      </w:r>
      <w:r w:rsidR="008F016B">
        <w:tab/>
      </w:r>
      <w:r w:rsidR="008F016B">
        <w:tab/>
      </w:r>
      <w:r>
        <w:t xml:space="preserve">OCC </w:t>
      </w:r>
      <w:r w:rsidR="00D17EB2">
        <w:t xml:space="preserve">Initial Brief </w:t>
      </w:r>
      <w:r>
        <w:t>at 7.</w:t>
      </w:r>
    </w:p>
  </w:footnote>
  <w:footnote w:id="16">
    <w:p w:rsidR="00DB721C" w:rsidRDefault="00DB721C" w:rsidP="00353F75">
      <w:pPr>
        <w:pStyle w:val="FootnoteText"/>
      </w:pPr>
      <w:r>
        <w:rPr>
          <w:rStyle w:val="FootnoteReference"/>
        </w:rPr>
        <w:footnoteRef/>
      </w:r>
      <w:r>
        <w:t xml:space="preserve"> </w:t>
      </w:r>
      <w:r w:rsidR="008F016B">
        <w:tab/>
      </w:r>
      <w:r w:rsidR="008F016B">
        <w:tab/>
      </w:r>
      <w:r>
        <w:t>OEG</w:t>
      </w:r>
      <w:r w:rsidR="00D17EB2" w:rsidRPr="00D17EB2">
        <w:t xml:space="preserve"> </w:t>
      </w:r>
      <w:r w:rsidR="00D17EB2">
        <w:t>Initial Brief</w:t>
      </w:r>
      <w:r>
        <w:t xml:space="preserve"> at 3.</w:t>
      </w:r>
    </w:p>
  </w:footnote>
  <w:footnote w:id="17">
    <w:p w:rsidR="00DB721C" w:rsidRDefault="00DB721C" w:rsidP="00353F75">
      <w:pPr>
        <w:pStyle w:val="FootnoteText"/>
      </w:pPr>
      <w:r>
        <w:rPr>
          <w:rStyle w:val="FootnoteReference"/>
        </w:rPr>
        <w:footnoteRef/>
      </w:r>
      <w:r>
        <w:t xml:space="preserve"> </w:t>
      </w:r>
      <w:r w:rsidR="008F016B">
        <w:tab/>
      </w:r>
      <w:r w:rsidR="008F016B">
        <w:tab/>
      </w:r>
      <w:r>
        <w:t>OMA Ex. 21</w:t>
      </w:r>
      <w:r w:rsidR="002833FA">
        <w:t xml:space="preserve"> (Staff’s email to Intervenors regarding the draft stipulation)</w:t>
      </w:r>
      <w:r>
        <w:t>.</w:t>
      </w:r>
    </w:p>
  </w:footnote>
  <w:footnote w:id="18">
    <w:p w:rsidR="00DB721C" w:rsidRPr="00F40FF6" w:rsidRDefault="00DB721C" w:rsidP="00353F75">
      <w:pPr>
        <w:pStyle w:val="FootnoteText"/>
      </w:pPr>
      <w:r>
        <w:rPr>
          <w:rStyle w:val="FootnoteReference"/>
        </w:rPr>
        <w:footnoteRef/>
      </w:r>
      <w:r>
        <w:t xml:space="preserve"> </w:t>
      </w:r>
      <w:r w:rsidR="008F016B">
        <w:tab/>
      </w:r>
      <w:r w:rsidR="008F016B">
        <w:tab/>
      </w:r>
      <w:r w:rsidRPr="003674F9">
        <w:rPr>
          <w:i/>
        </w:rPr>
        <w:t>See</w:t>
      </w:r>
      <w:r w:rsidR="002833FA" w:rsidRPr="003674F9">
        <w:rPr>
          <w:i/>
        </w:rPr>
        <w:t xml:space="preserve"> id</w:t>
      </w:r>
      <w:r>
        <w:t>.</w:t>
      </w:r>
    </w:p>
  </w:footnote>
  <w:footnote w:id="19">
    <w:p w:rsidR="00B311AA" w:rsidRDefault="00B311AA" w:rsidP="00353F75">
      <w:pPr>
        <w:pStyle w:val="FootnoteText"/>
      </w:pPr>
      <w:r>
        <w:rPr>
          <w:rStyle w:val="FootnoteReference"/>
        </w:rPr>
        <w:footnoteRef/>
      </w:r>
      <w:r>
        <w:t xml:space="preserve"> </w:t>
      </w:r>
      <w:r w:rsidR="008F016B">
        <w:tab/>
      </w:r>
      <w:r w:rsidR="008F016B">
        <w:tab/>
      </w:r>
      <w:r>
        <w:t>Tr. I at 250.</w:t>
      </w:r>
    </w:p>
  </w:footnote>
  <w:footnote w:id="20">
    <w:p w:rsidR="00DB721C" w:rsidRDefault="00DB721C" w:rsidP="00353F75">
      <w:pPr>
        <w:pStyle w:val="FootnoteText"/>
      </w:pPr>
      <w:r>
        <w:rPr>
          <w:rStyle w:val="FootnoteReference"/>
        </w:rPr>
        <w:footnoteRef/>
      </w:r>
      <w:r w:rsidR="002833FA">
        <w:t xml:space="preserve"> </w:t>
      </w:r>
      <w:r w:rsidR="008F016B">
        <w:tab/>
      </w:r>
      <w:r w:rsidR="008F016B">
        <w:tab/>
      </w:r>
      <w:r w:rsidR="002833FA">
        <w:rPr>
          <w:i/>
        </w:rPr>
        <w:t>Id.</w:t>
      </w:r>
      <w:r>
        <w:t xml:space="preserve"> at 275.</w:t>
      </w:r>
    </w:p>
  </w:footnote>
  <w:footnote w:id="21">
    <w:p w:rsidR="008B5452" w:rsidRDefault="008B5452" w:rsidP="00353F75">
      <w:pPr>
        <w:pStyle w:val="FootnoteText"/>
      </w:pPr>
      <w:r>
        <w:rPr>
          <w:rStyle w:val="FootnoteReference"/>
        </w:rPr>
        <w:footnoteRef/>
      </w:r>
      <w:r>
        <w:t xml:space="preserve"> </w:t>
      </w:r>
      <w:r w:rsidR="008F016B">
        <w:tab/>
      </w:r>
      <w:r w:rsidR="008F016B">
        <w:tab/>
      </w:r>
      <w:r w:rsidR="002833FA">
        <w:rPr>
          <w:i/>
        </w:rPr>
        <w:t>Id.</w:t>
      </w:r>
      <w:r w:rsidR="00962878">
        <w:t xml:space="preserve"> at 278.</w:t>
      </w:r>
    </w:p>
  </w:footnote>
  <w:footnote w:id="22">
    <w:p w:rsidR="00DB721C" w:rsidRDefault="00DB721C" w:rsidP="00353F75">
      <w:pPr>
        <w:pStyle w:val="FootnoteText"/>
      </w:pPr>
      <w:r>
        <w:rPr>
          <w:rStyle w:val="FootnoteReference"/>
        </w:rPr>
        <w:footnoteRef/>
      </w:r>
      <w:r>
        <w:t xml:space="preserve"> </w:t>
      </w:r>
      <w:r w:rsidR="008F016B">
        <w:tab/>
      </w:r>
      <w:r w:rsidR="008F016B">
        <w:tab/>
      </w:r>
      <w:r w:rsidRPr="00D17EB2">
        <w:rPr>
          <w:i/>
        </w:rPr>
        <w:t xml:space="preserve">See </w:t>
      </w:r>
      <w:r w:rsidRPr="00D17EB2">
        <w:t>OCC</w:t>
      </w:r>
      <w:r w:rsidR="00D17EB2" w:rsidRPr="00D17EB2">
        <w:t xml:space="preserve"> </w:t>
      </w:r>
      <w:r w:rsidR="00D17EB2">
        <w:t>Initial Brief</w:t>
      </w:r>
      <w:r w:rsidRPr="00D17EB2">
        <w:t xml:space="preserve"> at 6-8; OPAE</w:t>
      </w:r>
      <w:r w:rsidR="00D17EB2" w:rsidRPr="00D17EB2">
        <w:t xml:space="preserve"> </w:t>
      </w:r>
      <w:r w:rsidR="00D17EB2">
        <w:t>Initial Brief</w:t>
      </w:r>
      <w:r w:rsidRPr="00D17EB2">
        <w:t xml:space="preserve"> at 2-3; Kroger</w:t>
      </w:r>
      <w:r w:rsidR="00D17EB2" w:rsidRPr="00D17EB2">
        <w:t xml:space="preserve"> </w:t>
      </w:r>
      <w:r w:rsidR="00D17EB2">
        <w:t>Initial Brief</w:t>
      </w:r>
      <w:r w:rsidRPr="00D17EB2">
        <w:t xml:space="preserve"> at 4-5; OEG at 3; OMA </w:t>
      </w:r>
      <w:r w:rsidR="00D17EB2">
        <w:t xml:space="preserve">Initial Brief </w:t>
      </w:r>
      <w:r w:rsidRPr="00D17EB2">
        <w:t>at 6-7.</w:t>
      </w:r>
    </w:p>
  </w:footnote>
  <w:footnote w:id="23">
    <w:p w:rsidR="00962878" w:rsidRDefault="00962878" w:rsidP="00353F75">
      <w:pPr>
        <w:pStyle w:val="FootnoteText"/>
      </w:pPr>
      <w:r>
        <w:rPr>
          <w:rStyle w:val="FootnoteReference"/>
        </w:rPr>
        <w:footnoteRef/>
      </w:r>
      <w:r>
        <w:t xml:space="preserve"> </w:t>
      </w:r>
      <w:r w:rsidR="008F016B">
        <w:tab/>
      </w:r>
      <w:r w:rsidR="008F016B">
        <w:tab/>
      </w:r>
      <w:r>
        <w:t>Tr. I at 276.</w:t>
      </w:r>
    </w:p>
  </w:footnote>
  <w:footnote w:id="24">
    <w:p w:rsidR="005F0852" w:rsidRDefault="005F0852" w:rsidP="00353F75">
      <w:pPr>
        <w:pStyle w:val="FootnoteText"/>
      </w:pPr>
      <w:r>
        <w:rPr>
          <w:rStyle w:val="FootnoteReference"/>
        </w:rPr>
        <w:footnoteRef/>
      </w:r>
      <w:r w:rsidR="002833FA">
        <w:t xml:space="preserve"> </w:t>
      </w:r>
      <w:r w:rsidR="008F016B">
        <w:tab/>
      </w:r>
      <w:r w:rsidR="008F016B">
        <w:tab/>
      </w:r>
      <w:r w:rsidR="002833FA">
        <w:rPr>
          <w:i/>
        </w:rPr>
        <w:t>Id.</w:t>
      </w:r>
      <w:r>
        <w:t xml:space="preserve"> at 307.</w:t>
      </w:r>
    </w:p>
  </w:footnote>
  <w:footnote w:id="25">
    <w:p w:rsidR="005F0852" w:rsidRDefault="005F0852" w:rsidP="00353F75">
      <w:pPr>
        <w:pStyle w:val="FootnoteText"/>
      </w:pPr>
      <w:r>
        <w:rPr>
          <w:rStyle w:val="FootnoteReference"/>
        </w:rPr>
        <w:footnoteRef/>
      </w:r>
      <w:r w:rsidR="002833FA">
        <w:t xml:space="preserve"> </w:t>
      </w:r>
      <w:r w:rsidR="008F016B">
        <w:tab/>
      </w:r>
      <w:r w:rsidR="008F016B">
        <w:tab/>
      </w:r>
      <w:r w:rsidR="002833FA">
        <w:rPr>
          <w:i/>
        </w:rPr>
        <w:t>Id.</w:t>
      </w:r>
      <w:r>
        <w:t xml:space="preserve"> at 278-79.</w:t>
      </w:r>
    </w:p>
  </w:footnote>
  <w:footnote w:id="26">
    <w:p w:rsidR="005F0852" w:rsidRDefault="005F0852" w:rsidP="00353F75">
      <w:pPr>
        <w:pStyle w:val="FootnoteText"/>
      </w:pPr>
      <w:r>
        <w:rPr>
          <w:rStyle w:val="FootnoteReference"/>
        </w:rPr>
        <w:footnoteRef/>
      </w:r>
      <w:r w:rsidR="002833FA">
        <w:t xml:space="preserve"> </w:t>
      </w:r>
      <w:r w:rsidR="008F016B">
        <w:tab/>
      </w:r>
      <w:r w:rsidR="008F016B">
        <w:tab/>
      </w:r>
      <w:r w:rsidR="002833FA">
        <w:rPr>
          <w:i/>
        </w:rPr>
        <w:t>Id.</w:t>
      </w:r>
      <w:r>
        <w:t xml:space="preserve"> at 308.</w:t>
      </w:r>
    </w:p>
  </w:footnote>
  <w:footnote w:id="27">
    <w:p w:rsidR="00F33644" w:rsidRPr="00996C5C" w:rsidRDefault="00F33644" w:rsidP="00353F75">
      <w:pPr>
        <w:pStyle w:val="FootnoteText"/>
      </w:pPr>
      <w:r>
        <w:rPr>
          <w:rStyle w:val="FootnoteReference"/>
        </w:rPr>
        <w:footnoteRef/>
      </w:r>
      <w:r>
        <w:t xml:space="preserve"> </w:t>
      </w:r>
      <w:r w:rsidR="008F016B">
        <w:tab/>
      </w:r>
      <w:r w:rsidR="008F016B">
        <w:tab/>
      </w:r>
      <w:r>
        <w:rPr>
          <w:i/>
        </w:rPr>
        <w:t>See</w:t>
      </w:r>
      <w:r>
        <w:t xml:space="preserve"> </w:t>
      </w:r>
      <w:r w:rsidR="00D17EB2">
        <w:t>Joint Ex. 1 at 1 (</w:t>
      </w:r>
      <w:r>
        <w:t>Stipulation</w:t>
      </w:r>
      <w:r w:rsidR="00D17EB2">
        <w:t xml:space="preserve"> and Recommendation)</w:t>
      </w:r>
      <w:r w:rsidR="008F016B">
        <w:t xml:space="preserve"> (Jan. 6, 2016)</w:t>
      </w:r>
      <w:r>
        <w:t>.</w:t>
      </w:r>
    </w:p>
  </w:footnote>
  <w:footnote w:id="28">
    <w:p w:rsidR="00DB721C" w:rsidRPr="00E8277E" w:rsidRDefault="00DB721C" w:rsidP="00353F75">
      <w:pPr>
        <w:pStyle w:val="FootnoteText"/>
      </w:pPr>
      <w:r>
        <w:rPr>
          <w:rStyle w:val="FootnoteReference"/>
        </w:rPr>
        <w:footnoteRef/>
      </w:r>
      <w:r>
        <w:t xml:space="preserve"> </w:t>
      </w:r>
      <w:r w:rsidR="00353F75">
        <w:tab/>
      </w:r>
      <w:r w:rsidR="00353F75">
        <w:tab/>
      </w:r>
      <w:r>
        <w:rPr>
          <w:i/>
        </w:rPr>
        <w:t xml:space="preserve">See </w:t>
      </w:r>
      <w:r>
        <w:t xml:space="preserve">Kroger </w:t>
      </w:r>
      <w:r w:rsidR="00D17EB2">
        <w:t xml:space="preserve">Initial Brief </w:t>
      </w:r>
      <w:r>
        <w:t xml:space="preserve">at 5; OMA </w:t>
      </w:r>
      <w:r w:rsidR="00D17EB2">
        <w:t xml:space="preserve">Initial Brief </w:t>
      </w:r>
      <w:r>
        <w:t>at 7.</w:t>
      </w:r>
    </w:p>
  </w:footnote>
  <w:footnote w:id="29">
    <w:p w:rsidR="00DB721C" w:rsidRDefault="00DB721C" w:rsidP="00353F75">
      <w:pPr>
        <w:pStyle w:val="FootnoteText"/>
      </w:pPr>
      <w:r>
        <w:rPr>
          <w:rStyle w:val="FootnoteReference"/>
        </w:rPr>
        <w:footnoteRef/>
      </w:r>
      <w:r>
        <w:t xml:space="preserve"> </w:t>
      </w:r>
      <w:r w:rsidR="00353F75">
        <w:tab/>
      </w:r>
      <w:r w:rsidR="00353F75">
        <w:tab/>
      </w:r>
      <w:r w:rsidR="008C2F08">
        <w:t>Tr. I at 290-91.</w:t>
      </w:r>
    </w:p>
  </w:footnote>
  <w:footnote w:id="30">
    <w:p w:rsidR="00DB721C" w:rsidRPr="009151B4" w:rsidRDefault="00DB721C" w:rsidP="00353F75">
      <w:pPr>
        <w:pStyle w:val="FootnoteText"/>
      </w:pPr>
      <w:r>
        <w:rPr>
          <w:rStyle w:val="FootnoteReference"/>
        </w:rPr>
        <w:footnoteRef/>
      </w:r>
      <w:r>
        <w:t xml:space="preserve"> </w:t>
      </w:r>
      <w:r w:rsidR="00353F75">
        <w:tab/>
      </w:r>
      <w:r w:rsidR="00353F75">
        <w:tab/>
      </w:r>
      <w:r>
        <w:rPr>
          <w:i/>
        </w:rPr>
        <w:t>See</w:t>
      </w:r>
      <w:r w:rsidR="002833FA">
        <w:rPr>
          <w:i/>
        </w:rPr>
        <w:t xml:space="preserve"> id.</w:t>
      </w:r>
      <w:r>
        <w:t xml:space="preserve"> at 275.</w:t>
      </w:r>
    </w:p>
  </w:footnote>
  <w:footnote w:id="31">
    <w:p w:rsidR="00DB721C" w:rsidRDefault="00DB721C" w:rsidP="00353F75">
      <w:pPr>
        <w:pStyle w:val="FootnoteText"/>
      </w:pPr>
      <w:r>
        <w:rPr>
          <w:rStyle w:val="FootnoteReference"/>
        </w:rPr>
        <w:footnoteRef/>
      </w:r>
      <w:r>
        <w:t xml:space="preserve"> </w:t>
      </w:r>
      <w:r w:rsidR="00353F75">
        <w:tab/>
      </w:r>
      <w:r w:rsidR="00353F75">
        <w:tab/>
      </w:r>
      <w:r w:rsidR="002833FA">
        <w:rPr>
          <w:i/>
        </w:rPr>
        <w:t>Id.</w:t>
      </w:r>
      <w:r w:rsidR="008C2F08">
        <w:t xml:space="preserve"> at 308.</w:t>
      </w:r>
    </w:p>
  </w:footnote>
  <w:footnote w:id="32">
    <w:p w:rsidR="00DB721C" w:rsidRDefault="00DB721C" w:rsidP="00353F75">
      <w:pPr>
        <w:pStyle w:val="FootnoteText"/>
      </w:pPr>
      <w:r>
        <w:rPr>
          <w:rStyle w:val="FootnoteReference"/>
        </w:rPr>
        <w:footnoteRef/>
      </w:r>
      <w:r w:rsidR="002833FA">
        <w:t xml:space="preserve"> </w:t>
      </w:r>
      <w:r w:rsidR="00353F75">
        <w:tab/>
      </w:r>
      <w:r w:rsidR="00353F75">
        <w:tab/>
      </w:r>
      <w:r w:rsidR="002833FA">
        <w:rPr>
          <w:i/>
        </w:rPr>
        <w:t>Id.</w:t>
      </w:r>
      <w:r>
        <w:t xml:space="preserve"> at 309-10.</w:t>
      </w:r>
    </w:p>
  </w:footnote>
  <w:footnote w:id="33">
    <w:p w:rsidR="00F14387" w:rsidRDefault="00F14387" w:rsidP="00353F75">
      <w:pPr>
        <w:pStyle w:val="FootnoteText"/>
      </w:pPr>
      <w:r>
        <w:rPr>
          <w:rStyle w:val="FootnoteReference"/>
        </w:rPr>
        <w:footnoteRef/>
      </w:r>
      <w:r w:rsidR="002833FA">
        <w:t xml:space="preserve"> </w:t>
      </w:r>
      <w:r w:rsidR="00353F75">
        <w:tab/>
      </w:r>
      <w:r w:rsidR="00353F75">
        <w:tab/>
      </w:r>
      <w:r w:rsidR="00AE087F">
        <w:t>Tr. I</w:t>
      </w:r>
      <w:r>
        <w:t xml:space="preserve"> at 250.</w:t>
      </w:r>
    </w:p>
  </w:footnote>
  <w:footnote w:id="34">
    <w:p w:rsidR="00F14387" w:rsidRPr="00F14387" w:rsidRDefault="00F14387" w:rsidP="00353F75">
      <w:pPr>
        <w:pStyle w:val="FootnoteText"/>
      </w:pPr>
      <w:r>
        <w:rPr>
          <w:rStyle w:val="FootnoteReference"/>
        </w:rPr>
        <w:footnoteRef/>
      </w:r>
      <w:r>
        <w:t xml:space="preserve"> </w:t>
      </w:r>
      <w:r w:rsidR="00353F75">
        <w:tab/>
      </w:r>
      <w:r w:rsidR="00353F75">
        <w:tab/>
      </w:r>
      <w:r w:rsidRPr="00AE087F">
        <w:rPr>
          <w:i/>
        </w:rPr>
        <w:t>In the Matter of the Application of Duke Energy Ohio, Inc. for Recovery of Program Costs, Lost Distribution Revenue and Performance Incentives Related to its Energy Efficiency and Demand Response Programs</w:t>
      </w:r>
      <w:r>
        <w:t>, Case No. 14-457-EL-RDR (Joint Motion for Extension of Time and to Clarify Scope of Hearing on Stipulation, and Request for Expedited Treatment) (Jan. 29, 2016).</w:t>
      </w:r>
    </w:p>
  </w:footnote>
  <w:footnote w:id="35">
    <w:p w:rsidR="00F66519" w:rsidRDefault="00F66519" w:rsidP="00353F75">
      <w:pPr>
        <w:pStyle w:val="FootnoteText"/>
      </w:pPr>
      <w:r>
        <w:rPr>
          <w:rStyle w:val="FootnoteReference"/>
        </w:rPr>
        <w:footnoteRef/>
      </w:r>
      <w:r>
        <w:t xml:space="preserve"> </w:t>
      </w:r>
      <w:r w:rsidR="00353F75">
        <w:tab/>
      </w:r>
      <w:r w:rsidR="00353F75">
        <w:tab/>
      </w:r>
      <w:r w:rsidR="00D17EB2">
        <w:t>Joint Ex. 1 at 6-7 (</w:t>
      </w:r>
      <w:r>
        <w:t xml:space="preserve">Stipulation </w:t>
      </w:r>
      <w:r w:rsidR="00D17EB2">
        <w:t>and Recommendation)</w:t>
      </w:r>
      <w:r w:rsidR="00353F75">
        <w:t xml:space="preserve"> (Jan. 6, 2016)</w:t>
      </w:r>
      <w:r>
        <w:t>.</w:t>
      </w:r>
    </w:p>
  </w:footnote>
  <w:footnote w:id="36">
    <w:p w:rsidR="00F66519" w:rsidRDefault="00F66519" w:rsidP="00353F75">
      <w:pPr>
        <w:pStyle w:val="FootnoteText"/>
      </w:pPr>
      <w:r>
        <w:rPr>
          <w:rStyle w:val="FootnoteReference"/>
        </w:rPr>
        <w:footnoteRef/>
      </w:r>
      <w:r>
        <w:t xml:space="preserve"> </w:t>
      </w:r>
      <w:r w:rsidR="00353F75">
        <w:tab/>
      </w:r>
      <w:r w:rsidR="00353F75">
        <w:tab/>
      </w:r>
      <w:r>
        <w:t>Tr. I at 53.</w:t>
      </w:r>
    </w:p>
  </w:footnote>
  <w:footnote w:id="37">
    <w:p w:rsidR="00DB721C" w:rsidRPr="0094434B" w:rsidRDefault="00DB721C" w:rsidP="00353F75">
      <w:pPr>
        <w:pStyle w:val="FootnoteText"/>
      </w:pPr>
      <w:r>
        <w:rPr>
          <w:rStyle w:val="FootnoteReference"/>
        </w:rPr>
        <w:footnoteRef/>
      </w:r>
      <w:r>
        <w:t xml:space="preserve"> </w:t>
      </w:r>
      <w:r w:rsidR="00353F75">
        <w:tab/>
      </w:r>
      <w:r w:rsidR="00353F75">
        <w:tab/>
      </w:r>
      <w:r>
        <w:rPr>
          <w:i/>
        </w:rPr>
        <w:t>See</w:t>
      </w:r>
      <w:r>
        <w:t xml:space="preserve"> OPAE</w:t>
      </w:r>
      <w:r w:rsidR="00D17EB2" w:rsidRPr="00D17EB2">
        <w:t xml:space="preserve"> </w:t>
      </w:r>
      <w:r w:rsidR="00D17EB2">
        <w:t>Initial Brief</w:t>
      </w:r>
      <w:r>
        <w:t xml:space="preserve"> at 7; OMA</w:t>
      </w:r>
      <w:r w:rsidR="00D17EB2" w:rsidRPr="00D17EB2">
        <w:t xml:space="preserve"> </w:t>
      </w:r>
      <w:r w:rsidR="00D17EB2">
        <w:t>Initial Brief</w:t>
      </w:r>
      <w:r>
        <w:t xml:space="preserve"> at 10.</w:t>
      </w:r>
    </w:p>
  </w:footnote>
  <w:footnote w:id="38">
    <w:p w:rsidR="00DB721C" w:rsidRDefault="00DB721C" w:rsidP="00353F75">
      <w:pPr>
        <w:pStyle w:val="FootnoteText"/>
      </w:pPr>
      <w:r>
        <w:rPr>
          <w:rStyle w:val="FootnoteReference"/>
        </w:rPr>
        <w:footnoteRef/>
      </w:r>
      <w:r>
        <w:t xml:space="preserve"> </w:t>
      </w:r>
      <w:r w:rsidR="00353F75">
        <w:tab/>
      </w:r>
      <w:r w:rsidR="00353F75">
        <w:tab/>
      </w:r>
      <w:r w:rsidR="00F66519">
        <w:t>Tr. I at 61.</w:t>
      </w:r>
    </w:p>
  </w:footnote>
  <w:footnote w:id="39">
    <w:p w:rsidR="002F74D6" w:rsidRPr="002F74D6" w:rsidRDefault="002F74D6" w:rsidP="00353F75">
      <w:pPr>
        <w:pStyle w:val="FootnoteText"/>
      </w:pPr>
      <w:r>
        <w:rPr>
          <w:rStyle w:val="FootnoteReference"/>
        </w:rPr>
        <w:footnoteRef/>
      </w:r>
      <w:r>
        <w:t xml:space="preserve"> </w:t>
      </w:r>
      <w:r w:rsidR="00353F75">
        <w:tab/>
      </w:r>
      <w:r w:rsidR="00353F75">
        <w:tab/>
      </w:r>
      <w:r>
        <w:t xml:space="preserve">See </w:t>
      </w:r>
      <w:r w:rsidRPr="00AE087F">
        <w:rPr>
          <w:i/>
        </w:rPr>
        <w:t>id</w:t>
      </w:r>
      <w:r>
        <w:t>.</w:t>
      </w:r>
    </w:p>
  </w:footnote>
  <w:footnote w:id="40">
    <w:p w:rsidR="00DB721C" w:rsidRDefault="00DB721C" w:rsidP="00353F75">
      <w:pPr>
        <w:pStyle w:val="FootnoteText"/>
      </w:pPr>
      <w:r>
        <w:rPr>
          <w:rStyle w:val="FootnoteReference"/>
        </w:rPr>
        <w:footnoteRef/>
      </w:r>
      <w:r>
        <w:t xml:space="preserve"> </w:t>
      </w:r>
      <w:r w:rsidR="00353F75">
        <w:tab/>
      </w:r>
      <w:r w:rsidR="00353F75">
        <w:tab/>
      </w:r>
      <w:r w:rsidR="00D17EB2">
        <w:t>Joint Ex. 1 at 5 (</w:t>
      </w:r>
      <w:r w:rsidR="002F74D6">
        <w:t xml:space="preserve">Stipulation </w:t>
      </w:r>
      <w:r w:rsidR="00D17EB2">
        <w:t>and Recommendation)</w:t>
      </w:r>
      <w:r w:rsidR="00353F75">
        <w:t xml:space="preserve"> (Jan. 6, 2016)</w:t>
      </w:r>
      <w:r w:rsidR="002F74D6">
        <w:t>.</w:t>
      </w:r>
    </w:p>
  </w:footnote>
  <w:footnote w:id="41">
    <w:p w:rsidR="00DB721C" w:rsidRPr="002F74D6" w:rsidRDefault="00DB721C" w:rsidP="00353F75">
      <w:pPr>
        <w:pStyle w:val="FootnoteText"/>
      </w:pPr>
      <w:r>
        <w:rPr>
          <w:rStyle w:val="FootnoteReference"/>
        </w:rPr>
        <w:footnoteRef/>
      </w:r>
      <w:r w:rsidR="002F74D6">
        <w:t xml:space="preserve"> </w:t>
      </w:r>
      <w:r w:rsidR="00353F75">
        <w:tab/>
      </w:r>
      <w:r w:rsidR="00353F75">
        <w:tab/>
      </w:r>
      <w:r w:rsidR="00AE087F">
        <w:t>Joint Ex. 1 at 6 (Stipulation and Recommendation) (Jan. 6, 2016)</w:t>
      </w:r>
      <w:r w:rsidR="002F74D6">
        <w:t>.</w:t>
      </w:r>
    </w:p>
  </w:footnote>
  <w:footnote w:id="42">
    <w:p w:rsidR="00DB721C" w:rsidRDefault="00DB721C" w:rsidP="00353F75">
      <w:pPr>
        <w:pStyle w:val="FootnoteText"/>
      </w:pPr>
      <w:r>
        <w:rPr>
          <w:rStyle w:val="FootnoteReference"/>
        </w:rPr>
        <w:footnoteRef/>
      </w:r>
      <w:r>
        <w:t xml:space="preserve"> </w:t>
      </w:r>
      <w:r w:rsidR="00353F75">
        <w:tab/>
      </w:r>
      <w:r w:rsidR="00353F75">
        <w:tab/>
      </w:r>
      <w:r>
        <w:t xml:space="preserve">OMA </w:t>
      </w:r>
      <w:r w:rsidR="00D17EB2">
        <w:t xml:space="preserve">Initial Brief </w:t>
      </w:r>
      <w:r>
        <w:t>at 9.</w:t>
      </w:r>
    </w:p>
  </w:footnote>
  <w:footnote w:id="43">
    <w:p w:rsidR="00DB721C" w:rsidRPr="00080D5B" w:rsidRDefault="00DB721C" w:rsidP="00353F75">
      <w:pPr>
        <w:pStyle w:val="FootnoteText"/>
      </w:pPr>
      <w:r>
        <w:rPr>
          <w:rStyle w:val="FootnoteReference"/>
        </w:rPr>
        <w:footnoteRef/>
      </w:r>
      <w:r>
        <w:t xml:space="preserve"> </w:t>
      </w:r>
      <w:r w:rsidR="00353F75">
        <w:tab/>
      </w:r>
      <w:r w:rsidR="00353F75">
        <w:tab/>
      </w:r>
      <w:r>
        <w:rPr>
          <w:i/>
        </w:rPr>
        <w:t>See</w:t>
      </w:r>
      <w:r>
        <w:t xml:space="preserve"> Sub.S.B. No. 310.</w:t>
      </w:r>
    </w:p>
  </w:footnote>
  <w:footnote w:id="44">
    <w:p w:rsidR="00DB721C" w:rsidRDefault="00DB721C" w:rsidP="00353F75">
      <w:pPr>
        <w:pStyle w:val="FootnoteText"/>
      </w:pPr>
      <w:r>
        <w:rPr>
          <w:rStyle w:val="FootnoteReference"/>
        </w:rPr>
        <w:footnoteRef/>
      </w:r>
      <w:r>
        <w:t xml:space="preserve"> </w:t>
      </w:r>
      <w:r w:rsidR="00353F75">
        <w:tab/>
      </w:r>
      <w:r w:rsidR="00353F75">
        <w:tab/>
      </w:r>
      <w:r>
        <w:t>OMA</w:t>
      </w:r>
      <w:r w:rsidR="00D17EB2" w:rsidRPr="00D17EB2">
        <w:t xml:space="preserve"> </w:t>
      </w:r>
      <w:r w:rsidR="00D17EB2">
        <w:t>Initial Brief</w:t>
      </w:r>
      <w:r>
        <w:t xml:space="preserve"> at 12.</w:t>
      </w:r>
    </w:p>
  </w:footnote>
  <w:footnote w:id="45">
    <w:p w:rsidR="00DB721C" w:rsidRDefault="00DB721C" w:rsidP="00353F75">
      <w:pPr>
        <w:pStyle w:val="FootnoteText"/>
      </w:pPr>
      <w:r>
        <w:rPr>
          <w:rStyle w:val="FootnoteReference"/>
        </w:rPr>
        <w:footnoteRef/>
      </w:r>
      <w:r>
        <w:t xml:space="preserve"> </w:t>
      </w:r>
      <w:r w:rsidR="00353F75">
        <w:tab/>
      </w:r>
      <w:r w:rsidR="00353F75">
        <w:tab/>
      </w:r>
      <w:r w:rsidR="00932088">
        <w:rPr>
          <w:i/>
        </w:rPr>
        <w:t xml:space="preserve">See </w:t>
      </w:r>
      <w:r w:rsidR="00D17EB2">
        <w:t>Joint Ex. 1 at 7 (</w:t>
      </w:r>
      <w:r>
        <w:t>Stip</w:t>
      </w:r>
      <w:r w:rsidR="00D17EB2">
        <w:t>ulation and Recommendation)</w:t>
      </w:r>
      <w:r w:rsidR="00353F75">
        <w:t xml:space="preserve"> (Jan. 6, 2016)</w:t>
      </w:r>
      <w:r w:rsidR="00932088">
        <w:t>.</w:t>
      </w:r>
    </w:p>
  </w:footnote>
  <w:footnote w:id="46">
    <w:p w:rsidR="00634346" w:rsidRDefault="00634346" w:rsidP="00353F75">
      <w:pPr>
        <w:pStyle w:val="FootnoteText"/>
      </w:pPr>
      <w:r>
        <w:rPr>
          <w:rStyle w:val="FootnoteReference"/>
        </w:rPr>
        <w:footnoteRef/>
      </w:r>
      <w:r>
        <w:t xml:space="preserve"> </w:t>
      </w:r>
      <w:r w:rsidR="00353F75">
        <w:tab/>
      </w:r>
      <w:r w:rsidR="00353F75">
        <w:tab/>
      </w:r>
      <w:r w:rsidR="00730090">
        <w:t>Duke Ex. 1 at 6 (</w:t>
      </w:r>
      <w:r w:rsidR="00730090">
        <w:rPr>
          <w:i/>
        </w:rPr>
        <w:t>In re Duke Energy Ohio, Inc.</w:t>
      </w:r>
      <w:r w:rsidR="00730090">
        <w:t>, Case Nos. 14-457-EL-RDR and 14-534-EL-RDR (Supplemental Direct Testimony of Timothy J. Duff on behalf of Duke Energy Ohio) (Feb. 19, 2016</w:t>
      </w:r>
      <w:r w:rsidR="00AE087F">
        <w:t>).</w:t>
      </w:r>
    </w:p>
  </w:footnote>
  <w:footnote w:id="47">
    <w:p w:rsidR="003B7EB9" w:rsidRDefault="003B7EB9" w:rsidP="00353F75">
      <w:pPr>
        <w:pStyle w:val="FootnoteText"/>
      </w:pPr>
      <w:r>
        <w:rPr>
          <w:rStyle w:val="FootnoteReference"/>
        </w:rPr>
        <w:footnoteRef/>
      </w:r>
      <w:r>
        <w:t xml:space="preserve"> </w:t>
      </w:r>
      <w:r w:rsidR="00353F75">
        <w:tab/>
      </w:r>
      <w:r w:rsidR="00353F75">
        <w:tab/>
      </w:r>
      <w:r>
        <w:t xml:space="preserve">OCC </w:t>
      </w:r>
      <w:r w:rsidR="002833FA">
        <w:t xml:space="preserve">Initial Brief </w:t>
      </w:r>
      <w:r>
        <w:t xml:space="preserve">at 10; OPAE </w:t>
      </w:r>
      <w:r w:rsidR="002833FA">
        <w:t xml:space="preserve">Initial Brief </w:t>
      </w:r>
      <w:r>
        <w:t xml:space="preserve">at 8; Kroger </w:t>
      </w:r>
      <w:r w:rsidR="002833FA">
        <w:t xml:space="preserve">Initial Brief </w:t>
      </w:r>
      <w:r>
        <w:t>at 11; OEG</w:t>
      </w:r>
      <w:r w:rsidR="002833FA" w:rsidRPr="002833FA">
        <w:t xml:space="preserve"> </w:t>
      </w:r>
      <w:r w:rsidR="002833FA">
        <w:t>Initial Brief</w:t>
      </w:r>
      <w:r>
        <w:t xml:space="preserve"> at 6; </w:t>
      </w:r>
      <w:r w:rsidR="004C261F">
        <w:t>OMA</w:t>
      </w:r>
      <w:r w:rsidR="002833FA" w:rsidRPr="002833FA">
        <w:t xml:space="preserve"> </w:t>
      </w:r>
      <w:r w:rsidR="002833FA">
        <w:t>Initial Brief</w:t>
      </w:r>
      <w:r w:rsidR="004C261F">
        <w:t xml:space="preserve"> at 16.</w:t>
      </w:r>
    </w:p>
  </w:footnote>
  <w:footnote w:id="48">
    <w:p w:rsidR="002D5E3E" w:rsidRPr="002D5E3E" w:rsidRDefault="002D5E3E" w:rsidP="00353F75">
      <w:pPr>
        <w:pStyle w:val="FootnoteText"/>
      </w:pPr>
      <w:r>
        <w:rPr>
          <w:rStyle w:val="FootnoteReference"/>
        </w:rPr>
        <w:footnoteRef/>
      </w:r>
      <w:r>
        <w:t xml:space="preserve"> </w:t>
      </w:r>
      <w:r w:rsidR="00353F75">
        <w:tab/>
      </w:r>
      <w:r w:rsidR="00353F75">
        <w:tab/>
      </w:r>
      <w:r w:rsidRPr="00353F75">
        <w:rPr>
          <w:i/>
        </w:rPr>
        <w:t>In the Matter of the Application of Duke Energy Ohio, Inc. for Approval of its Energy Efficiency and Peak-Demand Reduction Portfolio Programs</w:t>
      </w:r>
      <w:r>
        <w:t>, Case No. 13-431-EL-POR (Opinion and Order at 6) (Dec. 4, 2013).</w:t>
      </w:r>
    </w:p>
  </w:footnote>
  <w:footnote w:id="49">
    <w:p w:rsidR="002D5E3E" w:rsidRPr="002D5E3E" w:rsidRDefault="002D5E3E" w:rsidP="00353F75">
      <w:pPr>
        <w:pStyle w:val="FootnoteText"/>
      </w:pPr>
      <w:r>
        <w:rPr>
          <w:rStyle w:val="FootnoteReference"/>
        </w:rPr>
        <w:footnoteRef/>
      </w:r>
      <w:r>
        <w:t xml:space="preserve"> </w:t>
      </w:r>
      <w:r w:rsidR="00353F75">
        <w:tab/>
      </w:r>
      <w:r w:rsidR="00353F75">
        <w:tab/>
      </w:r>
      <w:r w:rsidR="00AE087F" w:rsidRPr="00353F75">
        <w:rPr>
          <w:i/>
        </w:rPr>
        <w:t>In the Matter of the Application of Duke Energy Ohio, Inc. for Approval of its Energy Efficiency and Peak-Demand Reduction Portfolio Programs</w:t>
      </w:r>
      <w:r w:rsidR="00AE087F">
        <w:t>, Case No. 13-431-EL-POR (Opinion and Order at 6) (Dec. 4, 2013).</w:t>
      </w:r>
    </w:p>
  </w:footnote>
  <w:footnote w:id="50">
    <w:p w:rsidR="002D5E3E" w:rsidRDefault="002D5E3E" w:rsidP="00353F75">
      <w:pPr>
        <w:pStyle w:val="FootnoteText"/>
      </w:pPr>
      <w:r>
        <w:rPr>
          <w:rStyle w:val="FootnoteReference"/>
        </w:rPr>
        <w:footnoteRef/>
      </w:r>
      <w:r>
        <w:t xml:space="preserve"> </w:t>
      </w:r>
      <w:r w:rsidR="00353F75">
        <w:tab/>
      </w:r>
      <w:r w:rsidR="00353F75">
        <w:tab/>
      </w:r>
      <w:r>
        <w:t>OPAE</w:t>
      </w:r>
      <w:r w:rsidR="002833FA" w:rsidRPr="002833FA">
        <w:t xml:space="preserve"> </w:t>
      </w:r>
      <w:r w:rsidR="002833FA">
        <w:t>Initial Brief</w:t>
      </w:r>
      <w:r>
        <w:t xml:space="preserve"> at 8.</w:t>
      </w:r>
    </w:p>
  </w:footnote>
  <w:footnote w:id="51">
    <w:p w:rsidR="002D5E3E" w:rsidRPr="007B31B7" w:rsidRDefault="002D5E3E" w:rsidP="00353F75">
      <w:pPr>
        <w:pStyle w:val="FootnoteText"/>
      </w:pPr>
      <w:r>
        <w:rPr>
          <w:rStyle w:val="FootnoteReference"/>
        </w:rPr>
        <w:footnoteRef/>
      </w:r>
      <w:r>
        <w:t xml:space="preserve"> </w:t>
      </w:r>
      <w:r w:rsidR="00353F75">
        <w:tab/>
      </w:r>
      <w:r w:rsidR="00353F75">
        <w:tab/>
      </w:r>
      <w:r w:rsidR="007B31B7" w:rsidRPr="00353F75">
        <w:rPr>
          <w:i/>
        </w:rPr>
        <w:t>In the Matter of the Application of The Cleveland Electric Illuminating Company, Ohio Edison Company, and The Toledo Edison Company for Approval of Their Energy Efficiency and Peak Demand Reduction Program Plans for 2013 through 2015</w:t>
      </w:r>
      <w:r w:rsidR="007B31B7">
        <w:t>, Case No. 12-2190-EL-POR (Opinion and Order at 16) (Mar</w:t>
      </w:r>
      <w:r w:rsidR="00353F75">
        <w:t>.</w:t>
      </w:r>
      <w:r w:rsidR="007B31B7">
        <w:t xml:space="preserve"> 20, 2013).</w:t>
      </w:r>
    </w:p>
  </w:footnote>
  <w:footnote w:id="52">
    <w:p w:rsidR="002D5E3E" w:rsidRPr="007B31B7" w:rsidRDefault="002D5E3E" w:rsidP="00353F75">
      <w:pPr>
        <w:pStyle w:val="FootnoteText"/>
      </w:pPr>
      <w:r>
        <w:rPr>
          <w:rStyle w:val="FootnoteReference"/>
        </w:rPr>
        <w:footnoteRef/>
      </w:r>
      <w:r>
        <w:t xml:space="preserve"> </w:t>
      </w:r>
      <w:r w:rsidR="00353F75">
        <w:tab/>
      </w:r>
      <w:r w:rsidR="00353F75">
        <w:tab/>
      </w:r>
      <w:r w:rsidR="007B31B7" w:rsidRPr="00353F75">
        <w:rPr>
          <w:i/>
        </w:rPr>
        <w:t>See id</w:t>
      </w:r>
      <w:r w:rsidR="007B31B7">
        <w:t>.</w:t>
      </w:r>
    </w:p>
  </w:footnote>
  <w:footnote w:id="53">
    <w:p w:rsidR="007B31B7" w:rsidRDefault="007B31B7" w:rsidP="00353F75">
      <w:pPr>
        <w:pStyle w:val="FootnoteText"/>
      </w:pPr>
      <w:r>
        <w:rPr>
          <w:rStyle w:val="FootnoteReference"/>
        </w:rPr>
        <w:footnoteRef/>
      </w:r>
      <w:r>
        <w:t xml:space="preserve"> </w:t>
      </w:r>
      <w:r w:rsidR="00353F75">
        <w:tab/>
      </w:r>
      <w:r w:rsidR="00353F75">
        <w:tab/>
      </w:r>
      <w:r>
        <w:t>OCC</w:t>
      </w:r>
      <w:r w:rsidR="002833FA" w:rsidRPr="002833FA">
        <w:t xml:space="preserve"> </w:t>
      </w:r>
      <w:r w:rsidR="002833FA">
        <w:t>Initial Brief</w:t>
      </w:r>
      <w:r>
        <w:t xml:space="preserve"> at 10; OPAE</w:t>
      </w:r>
      <w:r w:rsidR="002833FA" w:rsidRPr="002833FA">
        <w:t xml:space="preserve"> </w:t>
      </w:r>
      <w:r w:rsidR="002833FA">
        <w:t>Initial Brief</w:t>
      </w:r>
      <w:r>
        <w:t xml:space="preserve"> at 10; Kroger</w:t>
      </w:r>
      <w:r w:rsidR="002833FA" w:rsidRPr="002833FA">
        <w:t xml:space="preserve"> </w:t>
      </w:r>
      <w:r w:rsidR="002833FA">
        <w:t>Initial Brief</w:t>
      </w:r>
      <w:r>
        <w:t xml:space="preserve"> at 11; OEG</w:t>
      </w:r>
      <w:r w:rsidR="002833FA" w:rsidRPr="002833FA">
        <w:t xml:space="preserve"> </w:t>
      </w:r>
      <w:r w:rsidR="002833FA">
        <w:t>Initial Brief</w:t>
      </w:r>
      <w:r>
        <w:t xml:space="preserve"> at 4; OMA</w:t>
      </w:r>
      <w:r w:rsidR="002833FA" w:rsidRPr="002833FA">
        <w:t xml:space="preserve"> </w:t>
      </w:r>
      <w:r w:rsidR="002833FA">
        <w:t>Initial Brief</w:t>
      </w:r>
      <w:r>
        <w:t xml:space="preserve"> at 15.</w:t>
      </w:r>
    </w:p>
  </w:footnote>
  <w:footnote w:id="54">
    <w:p w:rsidR="007B31B7" w:rsidRPr="007B31B7" w:rsidRDefault="007B31B7" w:rsidP="00353F75">
      <w:pPr>
        <w:pStyle w:val="FootnoteText"/>
      </w:pPr>
      <w:r>
        <w:rPr>
          <w:rStyle w:val="FootnoteReference"/>
        </w:rPr>
        <w:footnoteRef/>
      </w:r>
      <w:r>
        <w:t xml:space="preserve"> </w:t>
      </w:r>
      <w:r w:rsidR="00353F75">
        <w:tab/>
      </w:r>
      <w:r w:rsidR="00353F75">
        <w:tab/>
      </w:r>
      <w:r>
        <w:rPr>
          <w:i/>
        </w:rPr>
        <w:t xml:space="preserve">See </w:t>
      </w:r>
      <w:r>
        <w:t>OMA Ex. 21</w:t>
      </w:r>
      <w:r w:rsidR="002833FA">
        <w:t xml:space="preserve"> (Staff’s email to Intervenors regarding the draft stipulation)</w:t>
      </w:r>
      <w:r>
        <w:t>.</w:t>
      </w:r>
    </w:p>
  </w:footnote>
  <w:footnote w:id="55">
    <w:p w:rsidR="00B36C8F" w:rsidRPr="00B36C8F" w:rsidRDefault="00B36C8F" w:rsidP="00353F75">
      <w:pPr>
        <w:pStyle w:val="FootnoteText"/>
      </w:pPr>
      <w:r>
        <w:rPr>
          <w:rStyle w:val="FootnoteReference"/>
        </w:rPr>
        <w:footnoteRef/>
      </w:r>
      <w:r>
        <w:t xml:space="preserve"> </w:t>
      </w:r>
      <w:r w:rsidR="00353F75">
        <w:tab/>
      </w:r>
      <w:r w:rsidR="00353F75">
        <w:tab/>
      </w:r>
      <w:r>
        <w:rPr>
          <w:i/>
        </w:rPr>
        <w:t>Time Warner AxS v. Pub. Util. Comm.</w:t>
      </w:r>
      <w:r>
        <w:t>, 75 Ohio St. 3d 229, 233, 661 N.E.2d 1097 (1996).</w:t>
      </w:r>
    </w:p>
  </w:footnote>
  <w:footnote w:id="56">
    <w:p w:rsidR="00E97605" w:rsidRPr="00E97605" w:rsidRDefault="00E97605" w:rsidP="00353F75">
      <w:pPr>
        <w:pStyle w:val="FootnoteText"/>
      </w:pPr>
      <w:r>
        <w:rPr>
          <w:rStyle w:val="FootnoteReference"/>
        </w:rPr>
        <w:footnoteRef/>
      </w:r>
      <w:r>
        <w:t xml:space="preserve"> </w:t>
      </w:r>
      <w:r w:rsidR="00353F75">
        <w:tab/>
      </w:r>
      <w:r w:rsidR="00353F75">
        <w:tab/>
      </w:r>
      <w:r>
        <w:rPr>
          <w:i/>
        </w:rPr>
        <w:t>See</w:t>
      </w:r>
      <w:r>
        <w:t xml:space="preserve"> Tr. I at 285-86 (asking hypothetically about errors with Duke’s application, but refraining from asking whether Staff found any errors in the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1C" w:rsidRDefault="00DB721C" w:rsidP="003B12DD">
    <w:pPr>
      <w:pStyle w:val="Header"/>
      <w:jc w:val="center"/>
      <w:rPr>
        <w:b/>
        <w:color w:val="FF0000"/>
      </w:rPr>
    </w:pPr>
    <w:r>
      <w:rPr>
        <w:b/>
        <w:color w:val="FF0000"/>
      </w:rPr>
      <w:t xml:space="preserve">DRAFT - </w:t>
    </w:r>
    <w:r>
      <w:rPr>
        <w:b/>
        <w:color w:val="FF0000"/>
      </w:rPr>
      <w:fldChar w:fldCharType="begin"/>
    </w:r>
    <w:r>
      <w:rPr>
        <w:b/>
        <w:color w:val="FF0000"/>
      </w:rPr>
      <w:instrText xml:space="preserve"> DATE \@ "M/d/yyyy" </w:instrText>
    </w:r>
    <w:r>
      <w:rPr>
        <w:b/>
        <w:color w:val="FF0000"/>
      </w:rPr>
      <w:fldChar w:fldCharType="separate"/>
    </w:r>
    <w:r w:rsidR="004731BE">
      <w:rPr>
        <w:b/>
        <w:noProof/>
        <w:color w:val="FF0000"/>
      </w:rPr>
      <w:t>5/13/2016</w:t>
    </w:r>
    <w:r>
      <w:rPr>
        <w:b/>
        <w:color w:val="FF0000"/>
      </w:rPr>
      <w:fldChar w:fldCharType="end"/>
    </w:r>
    <w:r>
      <w:rPr>
        <w:b/>
        <w:color w:val="FF0000"/>
      </w:rPr>
      <w:t xml:space="preserve"> - </w:t>
    </w:r>
    <w:r>
      <w:rPr>
        <w:b/>
        <w:color w:val="FF0000"/>
      </w:rPr>
      <w:fldChar w:fldCharType="begin"/>
    </w:r>
    <w:r>
      <w:rPr>
        <w:b/>
        <w:color w:val="FF0000"/>
      </w:rPr>
      <w:instrText xml:space="preserve"> TIME \@ "h:mm:ss am/pm" </w:instrText>
    </w:r>
    <w:r>
      <w:rPr>
        <w:b/>
        <w:color w:val="FF0000"/>
      </w:rPr>
      <w:fldChar w:fldCharType="separate"/>
    </w:r>
    <w:r w:rsidR="004731BE">
      <w:rPr>
        <w:b/>
        <w:noProof/>
        <w:color w:val="FF0000"/>
      </w:rPr>
      <w:t>2:28:00 PM</w:t>
    </w:r>
    <w:r>
      <w:rPr>
        <w:b/>
        <w:color w:val="FF0000"/>
      </w:rPr>
      <w:fldChar w:fldCharType="end"/>
    </w:r>
  </w:p>
  <w:p w:rsidR="00DB721C" w:rsidRPr="003B12DD" w:rsidRDefault="00DB721C" w:rsidP="003B12DD">
    <w:pPr>
      <w:pStyle w:val="Header"/>
      <w:jc w:val="center"/>
      <w:rPr>
        <w:b/>
        <w:color w:val="FF0000"/>
      </w:rPr>
    </w:pPr>
    <w:r w:rsidRPr="003B12DD">
      <w:rPr>
        <w:b/>
        <w:color w:val="FF0000"/>
      </w:rPr>
      <w:fldChar w:fldCharType="begin"/>
    </w:r>
    <w:r w:rsidRPr="003B12DD">
      <w:rPr>
        <w:b/>
        <w:color w:val="FF0000"/>
      </w:rPr>
      <w:instrText xml:space="preserve"> FILENAME \p </w:instrText>
    </w:r>
    <w:r w:rsidRPr="003B12DD">
      <w:rPr>
        <w:b/>
        <w:color w:val="FF0000"/>
      </w:rPr>
      <w:fldChar w:fldCharType="separate"/>
    </w:r>
    <w:r w:rsidR="004731BE">
      <w:rPr>
        <w:b/>
        <w:noProof/>
        <w:color w:val="FF0000"/>
      </w:rPr>
      <w:t>F:\Public Utilities\Attorneys\Messenger\Commission Cases\Electric\14-457-EL-RDR\Reply Brief 051316.docx</w:t>
    </w:r>
    <w:r w:rsidRPr="003B12DD">
      <w:rPr>
        <w:b/>
        <w:color w:val="FF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1C" w:rsidRDefault="00DB721C" w:rsidP="003B12DD">
    <w:pPr>
      <w:pStyle w:val="Header"/>
      <w:jc w:val="center"/>
      <w:rPr>
        <w:b/>
        <w:color w:val="FF0000"/>
      </w:rPr>
    </w:pPr>
    <w:r>
      <w:rPr>
        <w:b/>
        <w:color w:val="FF0000"/>
      </w:rPr>
      <w:t xml:space="preserve">DRAFT - </w:t>
    </w:r>
    <w:r>
      <w:rPr>
        <w:b/>
        <w:color w:val="FF0000"/>
      </w:rPr>
      <w:fldChar w:fldCharType="begin"/>
    </w:r>
    <w:r>
      <w:rPr>
        <w:b/>
        <w:color w:val="FF0000"/>
      </w:rPr>
      <w:instrText xml:space="preserve"> DATE \@ "M/d/yyyy" </w:instrText>
    </w:r>
    <w:r>
      <w:rPr>
        <w:b/>
        <w:color w:val="FF0000"/>
      </w:rPr>
      <w:fldChar w:fldCharType="separate"/>
    </w:r>
    <w:r w:rsidR="004731BE">
      <w:rPr>
        <w:b/>
        <w:noProof/>
        <w:color w:val="FF0000"/>
      </w:rPr>
      <w:t>5/13/2016</w:t>
    </w:r>
    <w:r>
      <w:rPr>
        <w:b/>
        <w:color w:val="FF0000"/>
      </w:rPr>
      <w:fldChar w:fldCharType="end"/>
    </w:r>
    <w:r>
      <w:rPr>
        <w:b/>
        <w:color w:val="FF0000"/>
      </w:rPr>
      <w:t xml:space="preserve"> - </w:t>
    </w:r>
    <w:r>
      <w:rPr>
        <w:b/>
        <w:color w:val="FF0000"/>
      </w:rPr>
      <w:fldChar w:fldCharType="begin"/>
    </w:r>
    <w:r>
      <w:rPr>
        <w:b/>
        <w:color w:val="FF0000"/>
      </w:rPr>
      <w:instrText xml:space="preserve"> TIME \@ "h:mm:ss am/pm" </w:instrText>
    </w:r>
    <w:r>
      <w:rPr>
        <w:b/>
        <w:color w:val="FF0000"/>
      </w:rPr>
      <w:fldChar w:fldCharType="separate"/>
    </w:r>
    <w:r w:rsidR="004731BE">
      <w:rPr>
        <w:b/>
        <w:noProof/>
        <w:color w:val="FF0000"/>
      </w:rPr>
      <w:t>2:28:00 PM</w:t>
    </w:r>
    <w:r>
      <w:rPr>
        <w:b/>
        <w:color w:val="FF0000"/>
      </w:rPr>
      <w:fldChar w:fldCharType="end"/>
    </w:r>
  </w:p>
  <w:p w:rsidR="00DB721C" w:rsidRPr="003B12DD" w:rsidRDefault="00DB721C" w:rsidP="003B12DD">
    <w:pPr>
      <w:pStyle w:val="Header"/>
      <w:jc w:val="center"/>
      <w:rPr>
        <w:b/>
        <w:color w:val="FF0000"/>
      </w:rPr>
    </w:pPr>
    <w:r w:rsidRPr="003B12DD">
      <w:rPr>
        <w:b/>
        <w:color w:val="FF0000"/>
      </w:rPr>
      <w:fldChar w:fldCharType="begin"/>
    </w:r>
    <w:r w:rsidRPr="003B12DD">
      <w:rPr>
        <w:b/>
        <w:color w:val="FF0000"/>
      </w:rPr>
      <w:instrText xml:space="preserve"> FILENAME \p </w:instrText>
    </w:r>
    <w:r w:rsidRPr="003B12DD">
      <w:rPr>
        <w:b/>
        <w:color w:val="FF0000"/>
      </w:rPr>
      <w:fldChar w:fldCharType="separate"/>
    </w:r>
    <w:r w:rsidR="004731BE">
      <w:rPr>
        <w:b/>
        <w:noProof/>
        <w:color w:val="FF0000"/>
      </w:rPr>
      <w:t>F:\Public Utilities\Attorneys\Messenger\Commission Cases\Electric\14-457-EL-RDR\Reply Brief 051316.docx</w:t>
    </w:r>
    <w:r w:rsidRPr="003B12DD">
      <w:rPr>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1C" w:rsidRDefault="00DB721C" w:rsidP="003B12DD">
    <w:pPr>
      <w:pStyle w:val="Header"/>
      <w:jc w:val="center"/>
      <w:rPr>
        <w:b/>
        <w:sz w:val="28"/>
        <w:szCs w:val="28"/>
      </w:rPr>
    </w:pPr>
    <w:r>
      <w:rPr>
        <w:b/>
        <w:sz w:val="28"/>
        <w:szCs w:val="28"/>
      </w:rPr>
      <w:t>TABLE OF CONTENTS</w:t>
    </w:r>
  </w:p>
  <w:p w:rsidR="00DB721C" w:rsidRDefault="00DB721C" w:rsidP="00C95499">
    <w:pPr>
      <w:pStyle w:val="Header"/>
      <w:jc w:val="right"/>
      <w:rPr>
        <w:b/>
        <w:sz w:val="28"/>
        <w:szCs w:val="28"/>
      </w:rPr>
    </w:pPr>
    <w:r>
      <w:rPr>
        <w:b/>
        <w:sz w:val="28"/>
        <w:szCs w:val="28"/>
      </w:rPr>
      <w:t>Page</w:t>
    </w:r>
  </w:p>
  <w:p w:rsidR="00DB721C" w:rsidRPr="00C95499" w:rsidRDefault="00DB721C" w:rsidP="00C95499">
    <w:pPr>
      <w:pStyle w:val="Header"/>
      <w:jc w:val="right"/>
      <w:rPr>
        <w:b/>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1C" w:rsidRPr="00CA52DB" w:rsidRDefault="00DB721C" w:rsidP="00CA52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1C" w:rsidRPr="00CA52DB" w:rsidRDefault="00DB721C" w:rsidP="00CA52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0A53E0"/>
    <w:multiLevelType w:val="hybridMultilevel"/>
    <w:tmpl w:val="E40AEED2"/>
    <w:lvl w:ilvl="0" w:tplc="70028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0B461B"/>
    <w:multiLevelType w:val="hybridMultilevel"/>
    <w:tmpl w:val="AA38B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ED76F3"/>
    <w:multiLevelType w:val="hybridMultilevel"/>
    <w:tmpl w:val="560698A8"/>
    <w:lvl w:ilvl="0" w:tplc="EEEC60A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620B10"/>
    <w:multiLevelType w:val="hybridMultilevel"/>
    <w:tmpl w:val="4EB26540"/>
    <w:lvl w:ilvl="0" w:tplc="AC4686CA">
      <w:start w:val="1"/>
      <w:numFmt w:val="decimal"/>
      <w:pStyle w:val="Style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9"/>
  </w:num>
  <w:num w:numId="5">
    <w:abstractNumId w:val="2"/>
  </w:num>
  <w:num w:numId="6">
    <w:abstractNumId w:val="8"/>
  </w:num>
  <w:num w:numId="7">
    <w:abstractNumId w:val="4"/>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D2"/>
    <w:rsid w:val="0000004B"/>
    <w:rsid w:val="0000052E"/>
    <w:rsid w:val="000007BF"/>
    <w:rsid w:val="00000D4C"/>
    <w:rsid w:val="0000112F"/>
    <w:rsid w:val="000018A2"/>
    <w:rsid w:val="00001B69"/>
    <w:rsid w:val="00001FF4"/>
    <w:rsid w:val="000020B3"/>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11F7"/>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52"/>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91D"/>
    <w:rsid w:val="00032BB7"/>
    <w:rsid w:val="00032BE8"/>
    <w:rsid w:val="00032EB9"/>
    <w:rsid w:val="0003379D"/>
    <w:rsid w:val="00033DA4"/>
    <w:rsid w:val="00035E70"/>
    <w:rsid w:val="0003631B"/>
    <w:rsid w:val="00036582"/>
    <w:rsid w:val="0003682A"/>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85D"/>
    <w:rsid w:val="00045C5F"/>
    <w:rsid w:val="00046A8D"/>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676"/>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3BC"/>
    <w:rsid w:val="00073843"/>
    <w:rsid w:val="00073AD1"/>
    <w:rsid w:val="00073ADB"/>
    <w:rsid w:val="00074F17"/>
    <w:rsid w:val="000751ED"/>
    <w:rsid w:val="000753F8"/>
    <w:rsid w:val="00075649"/>
    <w:rsid w:val="000757CC"/>
    <w:rsid w:val="000759D8"/>
    <w:rsid w:val="000760FE"/>
    <w:rsid w:val="000763C7"/>
    <w:rsid w:val="00076A08"/>
    <w:rsid w:val="00076ED9"/>
    <w:rsid w:val="00080488"/>
    <w:rsid w:val="00080D5B"/>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154"/>
    <w:rsid w:val="000956F1"/>
    <w:rsid w:val="000957BC"/>
    <w:rsid w:val="000961F6"/>
    <w:rsid w:val="000962D0"/>
    <w:rsid w:val="000963CA"/>
    <w:rsid w:val="00096FE4"/>
    <w:rsid w:val="00097C21"/>
    <w:rsid w:val="00097CF3"/>
    <w:rsid w:val="00097E05"/>
    <w:rsid w:val="00097F85"/>
    <w:rsid w:val="000A002B"/>
    <w:rsid w:val="000A0399"/>
    <w:rsid w:val="000A06F0"/>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4074"/>
    <w:rsid w:val="000B45A9"/>
    <w:rsid w:val="000B51D4"/>
    <w:rsid w:val="000B5351"/>
    <w:rsid w:val="000B539F"/>
    <w:rsid w:val="000B5509"/>
    <w:rsid w:val="000B55E4"/>
    <w:rsid w:val="000B56C8"/>
    <w:rsid w:val="000B5A11"/>
    <w:rsid w:val="000B5A1B"/>
    <w:rsid w:val="000B622C"/>
    <w:rsid w:val="000B64F2"/>
    <w:rsid w:val="000B77F8"/>
    <w:rsid w:val="000B799D"/>
    <w:rsid w:val="000B7ACA"/>
    <w:rsid w:val="000B7BED"/>
    <w:rsid w:val="000C041D"/>
    <w:rsid w:val="000C07C7"/>
    <w:rsid w:val="000C0A65"/>
    <w:rsid w:val="000C1044"/>
    <w:rsid w:val="000C1A63"/>
    <w:rsid w:val="000C21C7"/>
    <w:rsid w:val="000C2400"/>
    <w:rsid w:val="000C2ADB"/>
    <w:rsid w:val="000C3AB5"/>
    <w:rsid w:val="000C3AC6"/>
    <w:rsid w:val="000C3C65"/>
    <w:rsid w:val="000C4554"/>
    <w:rsid w:val="000C45EC"/>
    <w:rsid w:val="000C4B34"/>
    <w:rsid w:val="000C4BC0"/>
    <w:rsid w:val="000C4E1D"/>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B15"/>
    <w:rsid w:val="00123C69"/>
    <w:rsid w:val="00124193"/>
    <w:rsid w:val="001241FC"/>
    <w:rsid w:val="001242C9"/>
    <w:rsid w:val="001244AA"/>
    <w:rsid w:val="00124B43"/>
    <w:rsid w:val="00124F7F"/>
    <w:rsid w:val="00125271"/>
    <w:rsid w:val="00125360"/>
    <w:rsid w:val="0012577F"/>
    <w:rsid w:val="00125BEC"/>
    <w:rsid w:val="0012658C"/>
    <w:rsid w:val="001275FB"/>
    <w:rsid w:val="001276E1"/>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2E4A"/>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DD5"/>
    <w:rsid w:val="00154E85"/>
    <w:rsid w:val="00154F9E"/>
    <w:rsid w:val="001551E8"/>
    <w:rsid w:val="0015571B"/>
    <w:rsid w:val="00155A1B"/>
    <w:rsid w:val="00155A8A"/>
    <w:rsid w:val="00156475"/>
    <w:rsid w:val="00156485"/>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52C"/>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555"/>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1DB"/>
    <w:rsid w:val="001A3711"/>
    <w:rsid w:val="001A3915"/>
    <w:rsid w:val="001A4EA7"/>
    <w:rsid w:val="001A5173"/>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7A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5B9"/>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6F9D"/>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33FA"/>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E14"/>
    <w:rsid w:val="00290F38"/>
    <w:rsid w:val="0029125D"/>
    <w:rsid w:val="002917FF"/>
    <w:rsid w:val="002919D3"/>
    <w:rsid w:val="00291F8D"/>
    <w:rsid w:val="00292283"/>
    <w:rsid w:val="00292444"/>
    <w:rsid w:val="00292AE6"/>
    <w:rsid w:val="00292DDE"/>
    <w:rsid w:val="00292ECC"/>
    <w:rsid w:val="00293223"/>
    <w:rsid w:val="00293299"/>
    <w:rsid w:val="002932FF"/>
    <w:rsid w:val="00293ECA"/>
    <w:rsid w:val="00294355"/>
    <w:rsid w:val="0029465A"/>
    <w:rsid w:val="00294899"/>
    <w:rsid w:val="002948C1"/>
    <w:rsid w:val="00294948"/>
    <w:rsid w:val="00296161"/>
    <w:rsid w:val="002962E5"/>
    <w:rsid w:val="00296336"/>
    <w:rsid w:val="0029638D"/>
    <w:rsid w:val="002965E1"/>
    <w:rsid w:val="0029661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697"/>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5E3E"/>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1D68"/>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4D6"/>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6B7"/>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83F"/>
    <w:rsid w:val="00326D8D"/>
    <w:rsid w:val="00327AAF"/>
    <w:rsid w:val="00330121"/>
    <w:rsid w:val="00330740"/>
    <w:rsid w:val="00330A41"/>
    <w:rsid w:val="00330F58"/>
    <w:rsid w:val="003314E3"/>
    <w:rsid w:val="00331B5A"/>
    <w:rsid w:val="00331E18"/>
    <w:rsid w:val="00332967"/>
    <w:rsid w:val="00332F1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5D3"/>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3F75"/>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674F9"/>
    <w:rsid w:val="00367551"/>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6D27"/>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6EB1"/>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EB9"/>
    <w:rsid w:val="003B7FD7"/>
    <w:rsid w:val="003C04F0"/>
    <w:rsid w:val="003C09E3"/>
    <w:rsid w:val="003C0B1F"/>
    <w:rsid w:val="003C0F77"/>
    <w:rsid w:val="003C1231"/>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31B"/>
    <w:rsid w:val="003C665A"/>
    <w:rsid w:val="003C681E"/>
    <w:rsid w:val="003C6A4B"/>
    <w:rsid w:val="003C6BC6"/>
    <w:rsid w:val="003C7D4B"/>
    <w:rsid w:val="003D00BF"/>
    <w:rsid w:val="003D0117"/>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BF9"/>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1D8E"/>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1BE"/>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657"/>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261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39A"/>
    <w:rsid w:val="0050096E"/>
    <w:rsid w:val="00501558"/>
    <w:rsid w:val="005017C0"/>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903"/>
    <w:rsid w:val="00566CE8"/>
    <w:rsid w:val="00566D26"/>
    <w:rsid w:val="005671B1"/>
    <w:rsid w:val="00567231"/>
    <w:rsid w:val="005674A4"/>
    <w:rsid w:val="005677BE"/>
    <w:rsid w:val="00567A2A"/>
    <w:rsid w:val="00570E64"/>
    <w:rsid w:val="00570F8A"/>
    <w:rsid w:val="005710ED"/>
    <w:rsid w:val="00571ACF"/>
    <w:rsid w:val="00571AD5"/>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4E57"/>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AB8"/>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A1"/>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B7B14"/>
    <w:rsid w:val="005C00E1"/>
    <w:rsid w:val="005C06DD"/>
    <w:rsid w:val="005C076C"/>
    <w:rsid w:val="005C08D6"/>
    <w:rsid w:val="005C0A0B"/>
    <w:rsid w:val="005C0BB1"/>
    <w:rsid w:val="005C0DD9"/>
    <w:rsid w:val="005C0FE0"/>
    <w:rsid w:val="005C1168"/>
    <w:rsid w:val="005C1759"/>
    <w:rsid w:val="005C188B"/>
    <w:rsid w:val="005C1B1E"/>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852"/>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5F56"/>
    <w:rsid w:val="006066D7"/>
    <w:rsid w:val="006073C9"/>
    <w:rsid w:val="006075FD"/>
    <w:rsid w:val="006078A1"/>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6C2"/>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346"/>
    <w:rsid w:val="00634490"/>
    <w:rsid w:val="00634A9B"/>
    <w:rsid w:val="00634B0D"/>
    <w:rsid w:val="00635810"/>
    <w:rsid w:val="00635D24"/>
    <w:rsid w:val="00636036"/>
    <w:rsid w:val="00636121"/>
    <w:rsid w:val="0063617D"/>
    <w:rsid w:val="0063622F"/>
    <w:rsid w:val="00636252"/>
    <w:rsid w:val="0063626E"/>
    <w:rsid w:val="006366D2"/>
    <w:rsid w:val="00636AA7"/>
    <w:rsid w:val="00637955"/>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A3F"/>
    <w:rsid w:val="0065014F"/>
    <w:rsid w:val="00650D85"/>
    <w:rsid w:val="006510CA"/>
    <w:rsid w:val="00651150"/>
    <w:rsid w:val="00651471"/>
    <w:rsid w:val="00651534"/>
    <w:rsid w:val="006516B7"/>
    <w:rsid w:val="00651E02"/>
    <w:rsid w:val="006523BD"/>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77FE9"/>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2"/>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3F59"/>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E7FA3"/>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D8"/>
    <w:rsid w:val="007069E2"/>
    <w:rsid w:val="00706A5E"/>
    <w:rsid w:val="00706E74"/>
    <w:rsid w:val="007076EC"/>
    <w:rsid w:val="0070771B"/>
    <w:rsid w:val="0070796D"/>
    <w:rsid w:val="00707E77"/>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090"/>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553"/>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2F69"/>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671"/>
    <w:rsid w:val="00772992"/>
    <w:rsid w:val="00772EE4"/>
    <w:rsid w:val="007733C3"/>
    <w:rsid w:val="0077353D"/>
    <w:rsid w:val="00773C89"/>
    <w:rsid w:val="00773D29"/>
    <w:rsid w:val="007740FE"/>
    <w:rsid w:val="00774261"/>
    <w:rsid w:val="0077435D"/>
    <w:rsid w:val="0077467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18C"/>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1B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0E44"/>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1DF"/>
    <w:rsid w:val="007F32B3"/>
    <w:rsid w:val="007F353E"/>
    <w:rsid w:val="007F5520"/>
    <w:rsid w:val="007F5AD4"/>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00E"/>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6391"/>
    <w:rsid w:val="0083648A"/>
    <w:rsid w:val="008374DB"/>
    <w:rsid w:val="008375BD"/>
    <w:rsid w:val="008378FB"/>
    <w:rsid w:val="00837CA7"/>
    <w:rsid w:val="00840121"/>
    <w:rsid w:val="00840C4A"/>
    <w:rsid w:val="00840E40"/>
    <w:rsid w:val="008411E4"/>
    <w:rsid w:val="00841736"/>
    <w:rsid w:val="00842511"/>
    <w:rsid w:val="00844287"/>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092"/>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4DE"/>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4CD"/>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87FCB"/>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4BB8"/>
    <w:rsid w:val="00895406"/>
    <w:rsid w:val="00895946"/>
    <w:rsid w:val="00895AF8"/>
    <w:rsid w:val="00895D43"/>
    <w:rsid w:val="0089621B"/>
    <w:rsid w:val="00896CF4"/>
    <w:rsid w:val="0089700D"/>
    <w:rsid w:val="00897F8D"/>
    <w:rsid w:val="008A02E8"/>
    <w:rsid w:val="008A0573"/>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52"/>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2F08"/>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0E35"/>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016B"/>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390B"/>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1B4"/>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0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34B"/>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1DC5"/>
    <w:rsid w:val="00951E9D"/>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6F99"/>
    <w:rsid w:val="009570B1"/>
    <w:rsid w:val="009574EC"/>
    <w:rsid w:val="0095752D"/>
    <w:rsid w:val="0096012F"/>
    <w:rsid w:val="00960834"/>
    <w:rsid w:val="009609C9"/>
    <w:rsid w:val="00960BF0"/>
    <w:rsid w:val="0096154E"/>
    <w:rsid w:val="00961AD1"/>
    <w:rsid w:val="00962155"/>
    <w:rsid w:val="00962878"/>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C5C"/>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05B"/>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B1"/>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356"/>
    <w:rsid w:val="00A1363A"/>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1C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200"/>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88"/>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0AF"/>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0C80"/>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4B16"/>
    <w:rsid w:val="00AC5276"/>
    <w:rsid w:val="00AC547A"/>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7F"/>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1AA"/>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C8F"/>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43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1B"/>
    <w:rsid w:val="00BB76BF"/>
    <w:rsid w:val="00BB7720"/>
    <w:rsid w:val="00BB7ABA"/>
    <w:rsid w:val="00BC0544"/>
    <w:rsid w:val="00BC08AA"/>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EE"/>
    <w:rsid w:val="00BC47FC"/>
    <w:rsid w:val="00BC49DB"/>
    <w:rsid w:val="00BC4E6E"/>
    <w:rsid w:val="00BC5312"/>
    <w:rsid w:val="00BC5B75"/>
    <w:rsid w:val="00BC5D31"/>
    <w:rsid w:val="00BC5D85"/>
    <w:rsid w:val="00BC5DB0"/>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0F7C"/>
    <w:rsid w:val="00BE1BD7"/>
    <w:rsid w:val="00BE274A"/>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698E"/>
    <w:rsid w:val="00C0705A"/>
    <w:rsid w:val="00C073B7"/>
    <w:rsid w:val="00C07D8C"/>
    <w:rsid w:val="00C10F38"/>
    <w:rsid w:val="00C125BC"/>
    <w:rsid w:val="00C126B3"/>
    <w:rsid w:val="00C1270D"/>
    <w:rsid w:val="00C127BA"/>
    <w:rsid w:val="00C12B3C"/>
    <w:rsid w:val="00C132E2"/>
    <w:rsid w:val="00C13394"/>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37628"/>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6F4"/>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39A"/>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64"/>
    <w:rsid w:val="00C909A5"/>
    <w:rsid w:val="00C90A96"/>
    <w:rsid w:val="00C90FF0"/>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2DB"/>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70F"/>
    <w:rsid w:val="00CC5D4E"/>
    <w:rsid w:val="00CC5D9A"/>
    <w:rsid w:val="00CC5FC6"/>
    <w:rsid w:val="00CC6272"/>
    <w:rsid w:val="00CC64A6"/>
    <w:rsid w:val="00CC694F"/>
    <w:rsid w:val="00CC6BBF"/>
    <w:rsid w:val="00CC6C83"/>
    <w:rsid w:val="00CC7521"/>
    <w:rsid w:val="00CC7A45"/>
    <w:rsid w:val="00CC7D08"/>
    <w:rsid w:val="00CC7E24"/>
    <w:rsid w:val="00CD0058"/>
    <w:rsid w:val="00CD0142"/>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6C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1C7"/>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3FBB"/>
    <w:rsid w:val="00D145E5"/>
    <w:rsid w:val="00D148B4"/>
    <w:rsid w:val="00D14FDD"/>
    <w:rsid w:val="00D15AC2"/>
    <w:rsid w:val="00D15C6E"/>
    <w:rsid w:val="00D16189"/>
    <w:rsid w:val="00D164BE"/>
    <w:rsid w:val="00D165F1"/>
    <w:rsid w:val="00D1690D"/>
    <w:rsid w:val="00D16B1C"/>
    <w:rsid w:val="00D16C7F"/>
    <w:rsid w:val="00D17B1B"/>
    <w:rsid w:val="00D17EB2"/>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39F"/>
    <w:rsid w:val="00D37CA6"/>
    <w:rsid w:val="00D37E72"/>
    <w:rsid w:val="00D4004A"/>
    <w:rsid w:val="00D4076A"/>
    <w:rsid w:val="00D40D20"/>
    <w:rsid w:val="00D40DFC"/>
    <w:rsid w:val="00D41308"/>
    <w:rsid w:val="00D41552"/>
    <w:rsid w:val="00D41C12"/>
    <w:rsid w:val="00D421F2"/>
    <w:rsid w:val="00D42222"/>
    <w:rsid w:val="00D42DB0"/>
    <w:rsid w:val="00D43007"/>
    <w:rsid w:val="00D434BD"/>
    <w:rsid w:val="00D43DFA"/>
    <w:rsid w:val="00D43EF4"/>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52A4"/>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16A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2C31"/>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21C"/>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6C6"/>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3EDA"/>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2C4C"/>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3E70"/>
    <w:rsid w:val="00E2424E"/>
    <w:rsid w:val="00E24CE1"/>
    <w:rsid w:val="00E24DCF"/>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3A89"/>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3C94"/>
    <w:rsid w:val="00E54012"/>
    <w:rsid w:val="00E541A7"/>
    <w:rsid w:val="00E54337"/>
    <w:rsid w:val="00E548C2"/>
    <w:rsid w:val="00E54D88"/>
    <w:rsid w:val="00E54F8D"/>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765"/>
    <w:rsid w:val="00E779C7"/>
    <w:rsid w:val="00E77A61"/>
    <w:rsid w:val="00E77F16"/>
    <w:rsid w:val="00E800EC"/>
    <w:rsid w:val="00E8018F"/>
    <w:rsid w:val="00E801C4"/>
    <w:rsid w:val="00E80FBC"/>
    <w:rsid w:val="00E81123"/>
    <w:rsid w:val="00E81874"/>
    <w:rsid w:val="00E81AD9"/>
    <w:rsid w:val="00E82410"/>
    <w:rsid w:val="00E8277E"/>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28"/>
    <w:rsid w:val="00E943D2"/>
    <w:rsid w:val="00E947D4"/>
    <w:rsid w:val="00E94CBC"/>
    <w:rsid w:val="00E94FF8"/>
    <w:rsid w:val="00E95049"/>
    <w:rsid w:val="00E955EF"/>
    <w:rsid w:val="00E9578D"/>
    <w:rsid w:val="00E95893"/>
    <w:rsid w:val="00E96435"/>
    <w:rsid w:val="00E96AE3"/>
    <w:rsid w:val="00E96DA3"/>
    <w:rsid w:val="00E97176"/>
    <w:rsid w:val="00E974E6"/>
    <w:rsid w:val="00E97605"/>
    <w:rsid w:val="00E97859"/>
    <w:rsid w:val="00E97CD6"/>
    <w:rsid w:val="00E97ED0"/>
    <w:rsid w:val="00EA0AFC"/>
    <w:rsid w:val="00EA0BC1"/>
    <w:rsid w:val="00EA0BDB"/>
    <w:rsid w:val="00EA0E17"/>
    <w:rsid w:val="00EA12D6"/>
    <w:rsid w:val="00EA14DD"/>
    <w:rsid w:val="00EA14DE"/>
    <w:rsid w:val="00EA206B"/>
    <w:rsid w:val="00EA227A"/>
    <w:rsid w:val="00EA2455"/>
    <w:rsid w:val="00EA2792"/>
    <w:rsid w:val="00EA2C82"/>
    <w:rsid w:val="00EA33F9"/>
    <w:rsid w:val="00EA3437"/>
    <w:rsid w:val="00EA3BF7"/>
    <w:rsid w:val="00EA3F53"/>
    <w:rsid w:val="00EA470F"/>
    <w:rsid w:val="00EA4D80"/>
    <w:rsid w:val="00EA4FFE"/>
    <w:rsid w:val="00EA502B"/>
    <w:rsid w:val="00EA5690"/>
    <w:rsid w:val="00EA58B4"/>
    <w:rsid w:val="00EA5E43"/>
    <w:rsid w:val="00EA6247"/>
    <w:rsid w:val="00EA637C"/>
    <w:rsid w:val="00EA657C"/>
    <w:rsid w:val="00EA744A"/>
    <w:rsid w:val="00EA74E9"/>
    <w:rsid w:val="00EA7713"/>
    <w:rsid w:val="00EA7EB4"/>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11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387"/>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2776D"/>
    <w:rsid w:val="00F30414"/>
    <w:rsid w:val="00F306EE"/>
    <w:rsid w:val="00F308B0"/>
    <w:rsid w:val="00F30A10"/>
    <w:rsid w:val="00F315F9"/>
    <w:rsid w:val="00F31BA8"/>
    <w:rsid w:val="00F31E62"/>
    <w:rsid w:val="00F31F9F"/>
    <w:rsid w:val="00F326FC"/>
    <w:rsid w:val="00F33349"/>
    <w:rsid w:val="00F333A0"/>
    <w:rsid w:val="00F333F4"/>
    <w:rsid w:val="00F3347A"/>
    <w:rsid w:val="00F33644"/>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0FF6"/>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3596"/>
    <w:rsid w:val="00F64332"/>
    <w:rsid w:val="00F6459B"/>
    <w:rsid w:val="00F64B31"/>
    <w:rsid w:val="00F650F1"/>
    <w:rsid w:val="00F65408"/>
    <w:rsid w:val="00F65654"/>
    <w:rsid w:val="00F65694"/>
    <w:rsid w:val="00F65707"/>
    <w:rsid w:val="00F6598D"/>
    <w:rsid w:val="00F65D82"/>
    <w:rsid w:val="00F65E10"/>
    <w:rsid w:val="00F660BD"/>
    <w:rsid w:val="00F66519"/>
    <w:rsid w:val="00F66B87"/>
    <w:rsid w:val="00F66D33"/>
    <w:rsid w:val="00F67284"/>
    <w:rsid w:val="00F676AC"/>
    <w:rsid w:val="00F7008B"/>
    <w:rsid w:val="00F70B54"/>
    <w:rsid w:val="00F715B7"/>
    <w:rsid w:val="00F71678"/>
    <w:rsid w:val="00F7184F"/>
    <w:rsid w:val="00F72786"/>
    <w:rsid w:val="00F72788"/>
    <w:rsid w:val="00F729B6"/>
    <w:rsid w:val="00F73126"/>
    <w:rsid w:val="00F740BE"/>
    <w:rsid w:val="00F74779"/>
    <w:rsid w:val="00F74788"/>
    <w:rsid w:val="00F747D4"/>
    <w:rsid w:val="00F7566A"/>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5F04"/>
    <w:rsid w:val="00F8710A"/>
    <w:rsid w:val="00F871BA"/>
    <w:rsid w:val="00F87781"/>
    <w:rsid w:val="00F905D4"/>
    <w:rsid w:val="00F907FC"/>
    <w:rsid w:val="00F91245"/>
    <w:rsid w:val="00F91469"/>
    <w:rsid w:val="00F915AD"/>
    <w:rsid w:val="00F91DCA"/>
    <w:rsid w:val="00F91DEB"/>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A16"/>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2E1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C13"/>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AB8"/>
  </w:style>
  <w:style w:type="paragraph" w:styleId="Heading1">
    <w:name w:val="heading 1"/>
    <w:basedOn w:val="Normal"/>
    <w:next w:val="Normal"/>
    <w:autoRedefine/>
    <w:qFormat/>
    <w:rsid w:val="008F016B"/>
    <w:pPr>
      <w:keepNext/>
      <w:spacing w:before="360" w:after="240"/>
      <w:jc w:val="center"/>
      <w:outlineLvl w:val="0"/>
    </w:pPr>
    <w:rPr>
      <w:rFonts w:cs="Arial"/>
      <w:b/>
      <w:bCs/>
      <w:kern w:val="32"/>
      <w:sz w:val="28"/>
      <w:szCs w:val="24"/>
    </w:rPr>
  </w:style>
  <w:style w:type="paragraph" w:styleId="Heading2">
    <w:name w:val="heading 2"/>
    <w:basedOn w:val="Normal"/>
    <w:next w:val="Normal"/>
    <w:link w:val="Heading2Char"/>
    <w:autoRedefine/>
    <w:unhideWhenUsed/>
    <w:qFormat/>
    <w:rsid w:val="004731BE"/>
    <w:pPr>
      <w:keepNext/>
      <w:spacing w:before="360" w:after="240"/>
      <w:ind w:left="1440" w:right="720" w:hanging="720"/>
      <w:outlineLvl w:val="1"/>
    </w:pPr>
    <w:rPr>
      <w:b/>
      <w:bCs/>
      <w:iCs/>
      <w:sz w:val="28"/>
      <w:szCs w:val="28"/>
    </w:rPr>
  </w:style>
  <w:style w:type="paragraph" w:styleId="Heading3">
    <w:name w:val="heading 3"/>
    <w:basedOn w:val="Normal"/>
    <w:next w:val="Normal"/>
    <w:link w:val="Heading3Char"/>
    <w:autoRedefine/>
    <w:unhideWhenUsed/>
    <w:qFormat/>
    <w:rsid w:val="00AE087F"/>
    <w:pPr>
      <w:keepNext/>
      <w:keepLines/>
      <w:spacing w:before="360" w:after="240"/>
      <w:ind w:left="2160" w:right="720" w:hanging="72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uiPriority w:val="99"/>
    <w:rsid w:val="00353F75"/>
    <w:pPr>
      <w:spacing w:before="240" w:after="240"/>
      <w:ind w:left="720" w:hanging="720"/>
    </w:pPr>
    <w:rPr>
      <w:sz w:val="24"/>
    </w:rPr>
  </w:style>
  <w:style w:type="character" w:customStyle="1" w:styleId="FootnoteTextChar">
    <w:name w:val="Footnote Text Char"/>
    <w:link w:val="FootnoteText"/>
    <w:uiPriority w:val="99"/>
    <w:locked/>
    <w:rsid w:val="00353F75"/>
    <w:rPr>
      <w:sz w:val="24"/>
    </w:rPr>
  </w:style>
  <w:style w:type="character" w:styleId="FootnoteReference">
    <w:name w:val="footnote reference"/>
    <w:uiPriority w:val="99"/>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353F75"/>
    <w:pPr>
      <w:spacing w:line="480" w:lineRule="auto"/>
      <w:contextualSpacing/>
    </w:pPr>
    <w:rPr>
      <w:sz w:val="26"/>
      <w:szCs w:val="24"/>
    </w:rPr>
  </w:style>
  <w:style w:type="character" w:customStyle="1" w:styleId="textstyleChar">
    <w:name w:val="text style Char"/>
    <w:link w:val="textstyle0"/>
    <w:rsid w:val="00353F75"/>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4731BE"/>
    <w:rPr>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paragraph" w:customStyle="1" w:styleId="normalNewRoman">
    <w:name w:val="normal New Roman"/>
    <w:aliases w:val="13 pt,Centered"/>
    <w:basedOn w:val="PlainText"/>
    <w:rsid w:val="006A31D2"/>
    <w:pPr>
      <w:jc w:val="center"/>
      <w:outlineLvl w:val="0"/>
    </w:pPr>
    <w:rPr>
      <w:rFonts w:ascii="Times New Roman" w:hAnsi="Times New Roman"/>
      <w:sz w:val="26"/>
      <w:szCs w:val="26"/>
    </w:rPr>
  </w:style>
  <w:style w:type="paragraph" w:styleId="ListParagraph">
    <w:name w:val="List Paragraph"/>
    <w:basedOn w:val="Normal"/>
    <w:uiPriority w:val="34"/>
    <w:qFormat/>
    <w:rsid w:val="00AA0C8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E43A89"/>
    <w:rPr>
      <w:sz w:val="16"/>
      <w:szCs w:val="16"/>
    </w:rPr>
  </w:style>
  <w:style w:type="paragraph" w:styleId="CommentText">
    <w:name w:val="annotation text"/>
    <w:basedOn w:val="Normal"/>
    <w:link w:val="CommentTextChar"/>
    <w:semiHidden/>
    <w:unhideWhenUsed/>
    <w:rsid w:val="00E43A89"/>
  </w:style>
  <w:style w:type="character" w:customStyle="1" w:styleId="CommentTextChar">
    <w:name w:val="Comment Text Char"/>
    <w:basedOn w:val="DefaultParagraphFont"/>
    <w:link w:val="CommentText"/>
    <w:semiHidden/>
    <w:rsid w:val="00E43A89"/>
  </w:style>
  <w:style w:type="paragraph" w:styleId="CommentSubject">
    <w:name w:val="annotation subject"/>
    <w:basedOn w:val="CommentText"/>
    <w:next w:val="CommentText"/>
    <w:link w:val="CommentSubjectChar"/>
    <w:semiHidden/>
    <w:unhideWhenUsed/>
    <w:rsid w:val="00E43A89"/>
    <w:rPr>
      <w:b/>
      <w:bCs/>
    </w:rPr>
  </w:style>
  <w:style w:type="character" w:customStyle="1" w:styleId="CommentSubjectChar">
    <w:name w:val="Comment Subject Char"/>
    <w:basedOn w:val="CommentTextChar"/>
    <w:link w:val="CommentSubject"/>
    <w:semiHidden/>
    <w:rsid w:val="00E43A89"/>
    <w:rPr>
      <w:b/>
      <w:bCs/>
    </w:rPr>
  </w:style>
  <w:style w:type="paragraph" w:styleId="Revision">
    <w:name w:val="Revision"/>
    <w:hidden/>
    <w:uiPriority w:val="99"/>
    <w:semiHidden/>
    <w:rsid w:val="00745553"/>
  </w:style>
  <w:style w:type="paragraph" w:customStyle="1" w:styleId="Style1">
    <w:name w:val="Style1"/>
    <w:basedOn w:val="Heading3"/>
    <w:qFormat/>
    <w:rsid w:val="00593AB8"/>
    <w:pPr>
      <w:numPr>
        <w:numId w:val="10"/>
      </w:numPr>
      <w:spacing w:after="0"/>
    </w:pPr>
  </w:style>
  <w:style w:type="character" w:customStyle="1" w:styleId="Heading3Char">
    <w:name w:val="Heading 3 Char"/>
    <w:basedOn w:val="DefaultParagraphFont"/>
    <w:link w:val="Heading3"/>
    <w:rsid w:val="00AE087F"/>
    <w:rPr>
      <w:rFonts w:eastAsiaTheme="majorEastAsia" w:cstheme="majorBidi"/>
      <w:b/>
      <w:bCs/>
      <w:sz w:val="28"/>
    </w:rPr>
  </w:style>
  <w:style w:type="paragraph" w:styleId="TOC3">
    <w:name w:val="toc 3"/>
    <w:basedOn w:val="Normal"/>
    <w:next w:val="Normal"/>
    <w:autoRedefine/>
    <w:uiPriority w:val="39"/>
    <w:unhideWhenUsed/>
    <w:rsid w:val="003C631B"/>
    <w:pPr>
      <w:tabs>
        <w:tab w:val="left" w:pos="1440"/>
        <w:tab w:val="right" w:leader="dot" w:pos="9350"/>
      </w:tabs>
      <w:spacing w:before="240" w:after="240"/>
      <w:ind w:left="2160" w:right="1440" w:hanging="720"/>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AB8"/>
  </w:style>
  <w:style w:type="paragraph" w:styleId="Heading1">
    <w:name w:val="heading 1"/>
    <w:basedOn w:val="Normal"/>
    <w:next w:val="Normal"/>
    <w:autoRedefine/>
    <w:qFormat/>
    <w:rsid w:val="008F016B"/>
    <w:pPr>
      <w:keepNext/>
      <w:spacing w:before="360" w:after="240"/>
      <w:jc w:val="center"/>
      <w:outlineLvl w:val="0"/>
    </w:pPr>
    <w:rPr>
      <w:rFonts w:cs="Arial"/>
      <w:b/>
      <w:bCs/>
      <w:kern w:val="32"/>
      <w:sz w:val="28"/>
      <w:szCs w:val="24"/>
    </w:rPr>
  </w:style>
  <w:style w:type="paragraph" w:styleId="Heading2">
    <w:name w:val="heading 2"/>
    <w:basedOn w:val="Normal"/>
    <w:next w:val="Normal"/>
    <w:link w:val="Heading2Char"/>
    <w:autoRedefine/>
    <w:unhideWhenUsed/>
    <w:qFormat/>
    <w:rsid w:val="004731BE"/>
    <w:pPr>
      <w:keepNext/>
      <w:spacing w:before="360" w:after="240"/>
      <w:ind w:left="1440" w:right="720" w:hanging="720"/>
      <w:outlineLvl w:val="1"/>
    </w:pPr>
    <w:rPr>
      <w:b/>
      <w:bCs/>
      <w:iCs/>
      <w:sz w:val="28"/>
      <w:szCs w:val="28"/>
    </w:rPr>
  </w:style>
  <w:style w:type="paragraph" w:styleId="Heading3">
    <w:name w:val="heading 3"/>
    <w:basedOn w:val="Normal"/>
    <w:next w:val="Normal"/>
    <w:link w:val="Heading3Char"/>
    <w:autoRedefine/>
    <w:unhideWhenUsed/>
    <w:qFormat/>
    <w:rsid w:val="00AE087F"/>
    <w:pPr>
      <w:keepNext/>
      <w:keepLines/>
      <w:spacing w:before="360" w:after="240"/>
      <w:ind w:left="2160" w:right="720" w:hanging="72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uiPriority w:val="99"/>
    <w:rsid w:val="00353F75"/>
    <w:pPr>
      <w:spacing w:before="240" w:after="240"/>
      <w:ind w:left="720" w:hanging="720"/>
    </w:pPr>
    <w:rPr>
      <w:sz w:val="24"/>
    </w:rPr>
  </w:style>
  <w:style w:type="character" w:customStyle="1" w:styleId="FootnoteTextChar">
    <w:name w:val="Footnote Text Char"/>
    <w:link w:val="FootnoteText"/>
    <w:uiPriority w:val="99"/>
    <w:locked/>
    <w:rsid w:val="00353F75"/>
    <w:rPr>
      <w:sz w:val="24"/>
    </w:rPr>
  </w:style>
  <w:style w:type="character" w:styleId="FootnoteReference">
    <w:name w:val="footnote reference"/>
    <w:uiPriority w:val="99"/>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353F75"/>
    <w:pPr>
      <w:spacing w:line="480" w:lineRule="auto"/>
      <w:contextualSpacing/>
    </w:pPr>
    <w:rPr>
      <w:sz w:val="26"/>
      <w:szCs w:val="24"/>
    </w:rPr>
  </w:style>
  <w:style w:type="character" w:customStyle="1" w:styleId="textstyleChar">
    <w:name w:val="text style Char"/>
    <w:link w:val="textstyle0"/>
    <w:rsid w:val="00353F75"/>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4731BE"/>
    <w:rPr>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paragraph" w:customStyle="1" w:styleId="normalNewRoman">
    <w:name w:val="normal New Roman"/>
    <w:aliases w:val="13 pt,Centered"/>
    <w:basedOn w:val="PlainText"/>
    <w:rsid w:val="006A31D2"/>
    <w:pPr>
      <w:jc w:val="center"/>
      <w:outlineLvl w:val="0"/>
    </w:pPr>
    <w:rPr>
      <w:rFonts w:ascii="Times New Roman" w:hAnsi="Times New Roman"/>
      <w:sz w:val="26"/>
      <w:szCs w:val="26"/>
    </w:rPr>
  </w:style>
  <w:style w:type="paragraph" w:styleId="ListParagraph">
    <w:name w:val="List Paragraph"/>
    <w:basedOn w:val="Normal"/>
    <w:uiPriority w:val="34"/>
    <w:qFormat/>
    <w:rsid w:val="00AA0C8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E43A89"/>
    <w:rPr>
      <w:sz w:val="16"/>
      <w:szCs w:val="16"/>
    </w:rPr>
  </w:style>
  <w:style w:type="paragraph" w:styleId="CommentText">
    <w:name w:val="annotation text"/>
    <w:basedOn w:val="Normal"/>
    <w:link w:val="CommentTextChar"/>
    <w:semiHidden/>
    <w:unhideWhenUsed/>
    <w:rsid w:val="00E43A89"/>
  </w:style>
  <w:style w:type="character" w:customStyle="1" w:styleId="CommentTextChar">
    <w:name w:val="Comment Text Char"/>
    <w:basedOn w:val="DefaultParagraphFont"/>
    <w:link w:val="CommentText"/>
    <w:semiHidden/>
    <w:rsid w:val="00E43A89"/>
  </w:style>
  <w:style w:type="paragraph" w:styleId="CommentSubject">
    <w:name w:val="annotation subject"/>
    <w:basedOn w:val="CommentText"/>
    <w:next w:val="CommentText"/>
    <w:link w:val="CommentSubjectChar"/>
    <w:semiHidden/>
    <w:unhideWhenUsed/>
    <w:rsid w:val="00E43A89"/>
    <w:rPr>
      <w:b/>
      <w:bCs/>
    </w:rPr>
  </w:style>
  <w:style w:type="character" w:customStyle="1" w:styleId="CommentSubjectChar">
    <w:name w:val="Comment Subject Char"/>
    <w:basedOn w:val="CommentTextChar"/>
    <w:link w:val="CommentSubject"/>
    <w:semiHidden/>
    <w:rsid w:val="00E43A89"/>
    <w:rPr>
      <w:b/>
      <w:bCs/>
    </w:rPr>
  </w:style>
  <w:style w:type="paragraph" w:styleId="Revision">
    <w:name w:val="Revision"/>
    <w:hidden/>
    <w:uiPriority w:val="99"/>
    <w:semiHidden/>
    <w:rsid w:val="00745553"/>
  </w:style>
  <w:style w:type="paragraph" w:customStyle="1" w:styleId="Style1">
    <w:name w:val="Style1"/>
    <w:basedOn w:val="Heading3"/>
    <w:qFormat/>
    <w:rsid w:val="00593AB8"/>
    <w:pPr>
      <w:numPr>
        <w:numId w:val="10"/>
      </w:numPr>
      <w:spacing w:after="0"/>
    </w:pPr>
  </w:style>
  <w:style w:type="character" w:customStyle="1" w:styleId="Heading3Char">
    <w:name w:val="Heading 3 Char"/>
    <w:basedOn w:val="DefaultParagraphFont"/>
    <w:link w:val="Heading3"/>
    <w:rsid w:val="00AE087F"/>
    <w:rPr>
      <w:rFonts w:eastAsiaTheme="majorEastAsia" w:cstheme="majorBidi"/>
      <w:b/>
      <w:bCs/>
      <w:sz w:val="28"/>
    </w:rPr>
  </w:style>
  <w:style w:type="paragraph" w:styleId="TOC3">
    <w:name w:val="toc 3"/>
    <w:basedOn w:val="Normal"/>
    <w:next w:val="Normal"/>
    <w:autoRedefine/>
    <w:uiPriority w:val="39"/>
    <w:unhideWhenUsed/>
    <w:rsid w:val="003C631B"/>
    <w:pPr>
      <w:tabs>
        <w:tab w:val="left" w:pos="1440"/>
        <w:tab w:val="right" w:leader="dot" w:pos="9350"/>
      </w:tabs>
      <w:spacing w:before="240" w:after="240"/>
      <w:ind w:left="2160" w:right="1440" w:hanging="72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natalia.messenger@ohioattorneygeneral.gov" TargetMode="External"/><Relationship Id="rId26" Type="http://schemas.openxmlformats.org/officeDocument/2006/relationships/hyperlink" Target="mailto:dboehm@bkllawfirm.com" TargetMode="External"/><Relationship Id="rId3" Type="http://schemas.openxmlformats.org/officeDocument/2006/relationships/styles" Target="styles.xml"/><Relationship Id="rId21" Type="http://schemas.openxmlformats.org/officeDocument/2006/relationships/hyperlink" Target="mailto:bojko@carpenterlipps.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john.jones@ohioattorneygeneral.gov" TargetMode="External"/><Relationship Id="rId25" Type="http://schemas.openxmlformats.org/officeDocument/2006/relationships/hyperlink" Target="mailto:elizabeth.watts@duke-energy.com"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kyle.kern@occ.ohio.gov" TargetMode="External"/><Relationship Id="rId29" Type="http://schemas.openxmlformats.org/officeDocument/2006/relationships/hyperlink" Target="mailto:dstinson@bricke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amy.spiller@duke-energy.com" TargetMode="Externa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cmooney@ohiopartners.org" TargetMode="External"/><Relationship Id="rId28" Type="http://schemas.openxmlformats.org/officeDocument/2006/relationships/hyperlink" Target="mailto:mfleisher@elpc.org" TargetMode="External"/><Relationship Id="rId10" Type="http://schemas.openxmlformats.org/officeDocument/2006/relationships/hyperlink" Target="mailto:natalia.messenger@ohioattorneygeneral.gov" TargetMode="External"/><Relationship Id="rId19" Type="http://schemas.openxmlformats.org/officeDocument/2006/relationships/hyperlink" Target="mailto:terry.etter@occ.ohio.gov"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john.jones@ohioattorneygeneral.gov" TargetMode="External"/><Relationship Id="rId14" Type="http://schemas.openxmlformats.org/officeDocument/2006/relationships/footer" Target="footer2.xml"/><Relationship Id="rId22" Type="http://schemas.openxmlformats.org/officeDocument/2006/relationships/hyperlink" Target="mailto:ghiloni@carpenterlipps.com" TargetMode="External"/><Relationship Id="rId27" Type="http://schemas.openxmlformats.org/officeDocument/2006/relationships/hyperlink" Target="mailto:jkyler@bkllawfirm.com" TargetMode="External"/><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F5D5F-E5DB-4023-B488-13372FC3E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PUCO (or OPSB) Pleading</Template>
  <TotalTime>11</TotalTime>
  <Pages>17</Pages>
  <Words>2968</Words>
  <Characters>17389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20317</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Kim Keeton</cp:lastModifiedBy>
  <cp:revision>8</cp:revision>
  <cp:lastPrinted>2016-05-12T13:06:00Z</cp:lastPrinted>
  <dcterms:created xsi:type="dcterms:W3CDTF">2016-05-12T18:22:00Z</dcterms:created>
  <dcterms:modified xsi:type="dcterms:W3CDTF">2016-05-13T18:28:00Z</dcterms:modified>
</cp:coreProperties>
</file>