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71D" w:rsidRPr="002E27B7" w:rsidRDefault="00D9271D" w:rsidP="00165502">
      <w:pPr>
        <w:pStyle w:val="Title"/>
        <w:suppressLineNumbers/>
        <w:jc w:val="right"/>
        <w:rPr>
          <w:b w:val="0"/>
          <w:color w:val="auto"/>
          <w:szCs w:val="24"/>
        </w:rPr>
      </w:pPr>
      <w:r w:rsidRPr="002E27B7">
        <w:rPr>
          <w:color w:val="auto"/>
          <w:szCs w:val="24"/>
        </w:rPr>
        <w:tab/>
      </w:r>
      <w:r w:rsidRPr="002E27B7">
        <w:rPr>
          <w:color w:val="auto"/>
          <w:szCs w:val="24"/>
        </w:rPr>
        <w:tab/>
      </w:r>
      <w:r w:rsidRPr="002E27B7">
        <w:rPr>
          <w:color w:val="auto"/>
          <w:szCs w:val="24"/>
        </w:rPr>
        <w:tab/>
      </w:r>
      <w:r w:rsidRPr="002E27B7">
        <w:rPr>
          <w:color w:val="auto"/>
          <w:szCs w:val="24"/>
        </w:rPr>
        <w:tab/>
      </w:r>
      <w:r w:rsidRPr="002E27B7">
        <w:rPr>
          <w:color w:val="auto"/>
          <w:szCs w:val="24"/>
        </w:rPr>
        <w:tab/>
      </w:r>
      <w:r w:rsidRPr="002E27B7">
        <w:rPr>
          <w:color w:val="auto"/>
          <w:szCs w:val="24"/>
        </w:rPr>
        <w:tab/>
      </w:r>
      <w:r w:rsidRPr="002E27B7">
        <w:rPr>
          <w:b w:val="0"/>
          <w:color w:val="auto"/>
          <w:szCs w:val="24"/>
        </w:rPr>
        <w:t>D</w:t>
      </w:r>
      <w:r w:rsidR="00C76029" w:rsidRPr="002E27B7">
        <w:rPr>
          <w:b w:val="0"/>
          <w:color w:val="auto"/>
          <w:szCs w:val="24"/>
        </w:rPr>
        <w:t xml:space="preserve">uke </w:t>
      </w:r>
      <w:r w:rsidRPr="002E27B7">
        <w:rPr>
          <w:b w:val="0"/>
          <w:color w:val="auto"/>
          <w:szCs w:val="24"/>
        </w:rPr>
        <w:t>E</w:t>
      </w:r>
      <w:r w:rsidR="00C76029" w:rsidRPr="002E27B7">
        <w:rPr>
          <w:b w:val="0"/>
          <w:color w:val="auto"/>
          <w:szCs w:val="24"/>
        </w:rPr>
        <w:t xml:space="preserve">nergy </w:t>
      </w:r>
      <w:r w:rsidR="00165502" w:rsidRPr="002E27B7">
        <w:rPr>
          <w:b w:val="0"/>
          <w:color w:val="auto"/>
          <w:szCs w:val="24"/>
        </w:rPr>
        <w:t>Ohio Exhibit________</w:t>
      </w:r>
    </w:p>
    <w:p w:rsidR="00D9271D" w:rsidRPr="002E27B7" w:rsidRDefault="00D9271D" w:rsidP="00D9271D">
      <w:pPr>
        <w:pStyle w:val="Title"/>
        <w:suppressLineNumbers/>
        <w:rPr>
          <w:color w:val="auto"/>
          <w:szCs w:val="24"/>
        </w:rPr>
      </w:pPr>
    </w:p>
    <w:p w:rsidR="00165502" w:rsidRPr="002E27B7" w:rsidRDefault="00165502" w:rsidP="001C6681">
      <w:pPr>
        <w:jc w:val="center"/>
        <w:rPr>
          <w:b/>
          <w:bCs/>
          <w:szCs w:val="24"/>
        </w:rPr>
      </w:pPr>
    </w:p>
    <w:p w:rsidR="00165502" w:rsidRPr="002E27B7" w:rsidRDefault="00165502" w:rsidP="001C6681">
      <w:pPr>
        <w:jc w:val="center"/>
        <w:rPr>
          <w:b/>
          <w:bCs/>
          <w:szCs w:val="24"/>
        </w:rPr>
      </w:pPr>
    </w:p>
    <w:p w:rsidR="001C6681" w:rsidRPr="002E27B7" w:rsidRDefault="001C6681" w:rsidP="001C6681">
      <w:pPr>
        <w:jc w:val="center"/>
        <w:rPr>
          <w:b/>
          <w:bCs/>
          <w:szCs w:val="24"/>
        </w:rPr>
      </w:pPr>
      <w:r w:rsidRPr="002E27B7">
        <w:rPr>
          <w:b/>
          <w:bCs/>
          <w:szCs w:val="24"/>
        </w:rPr>
        <w:t>BEFORE THE</w:t>
      </w:r>
    </w:p>
    <w:p w:rsidR="001C6681" w:rsidRPr="002E27B7" w:rsidRDefault="001C6681" w:rsidP="001C6681">
      <w:pPr>
        <w:jc w:val="center"/>
        <w:rPr>
          <w:b/>
          <w:bCs/>
          <w:szCs w:val="24"/>
        </w:rPr>
      </w:pPr>
    </w:p>
    <w:p w:rsidR="001C6681" w:rsidRPr="002E27B7" w:rsidRDefault="001C6681" w:rsidP="001C6681">
      <w:pPr>
        <w:jc w:val="center"/>
        <w:rPr>
          <w:b/>
          <w:bCs/>
          <w:szCs w:val="24"/>
        </w:rPr>
      </w:pPr>
      <w:r w:rsidRPr="002E27B7">
        <w:rPr>
          <w:b/>
          <w:bCs/>
          <w:szCs w:val="24"/>
        </w:rPr>
        <w:t>PUBLIC UTILITIES COMMISSION OF OHIO</w:t>
      </w:r>
    </w:p>
    <w:p w:rsidR="001C6681" w:rsidRPr="002E27B7" w:rsidRDefault="001C6681" w:rsidP="001C6681">
      <w:pPr>
        <w:rPr>
          <w:b/>
          <w:szCs w:val="24"/>
        </w:rPr>
      </w:pPr>
    </w:p>
    <w:p w:rsidR="001C6681" w:rsidRPr="002E27B7" w:rsidRDefault="001C6681" w:rsidP="001C6681">
      <w:pPr>
        <w:rPr>
          <w:b/>
          <w:szCs w:val="24"/>
        </w:rPr>
      </w:pPr>
    </w:p>
    <w:tbl>
      <w:tblPr>
        <w:tblW w:w="0" w:type="auto"/>
        <w:tblLook w:val="01E0"/>
      </w:tblPr>
      <w:tblGrid>
        <w:gridCol w:w="4518"/>
        <w:gridCol w:w="630"/>
        <w:gridCol w:w="3708"/>
      </w:tblGrid>
      <w:tr w:rsidR="001C6681" w:rsidRPr="002E27B7" w:rsidTr="00675786">
        <w:tc>
          <w:tcPr>
            <w:tcW w:w="4518" w:type="dxa"/>
          </w:tcPr>
          <w:p w:rsidR="001C6681" w:rsidRPr="002E27B7" w:rsidRDefault="001C6681" w:rsidP="00675786">
            <w:pPr>
              <w:pStyle w:val="BodyText2"/>
              <w:ind w:right="252"/>
              <w:jc w:val="both"/>
              <w:rPr>
                <w:rFonts w:ascii="Times New Roman" w:hAnsi="Times New Roman"/>
                <w:b w:val="0"/>
                <w:bCs/>
                <w:szCs w:val="24"/>
              </w:rPr>
            </w:pPr>
            <w:r w:rsidRPr="002E27B7">
              <w:rPr>
                <w:rFonts w:ascii="Times New Roman" w:hAnsi="Times New Roman"/>
                <w:b w:val="0"/>
                <w:bCs/>
                <w:szCs w:val="24"/>
              </w:rPr>
              <w:t>In the Matter of the Application of Duke Energy Ohio, Inc., for an Energy Efficiency Cost Recovery Mechanism and for Approval of Additional Programs for Inclusion in its Existing Portfolio.</w:t>
            </w:r>
          </w:p>
          <w:p w:rsidR="001C6681" w:rsidRPr="002E27B7" w:rsidRDefault="001C6681" w:rsidP="00675786">
            <w:pPr>
              <w:pStyle w:val="BodyText2"/>
              <w:ind w:right="252"/>
              <w:jc w:val="both"/>
              <w:rPr>
                <w:rFonts w:ascii="Times New Roman" w:hAnsi="Times New Roman"/>
                <w:b w:val="0"/>
                <w:bCs/>
                <w:szCs w:val="24"/>
              </w:rPr>
            </w:pPr>
          </w:p>
          <w:p w:rsidR="001C6681" w:rsidRPr="002E27B7" w:rsidRDefault="001C6681" w:rsidP="00675786">
            <w:pPr>
              <w:pStyle w:val="BodyText2"/>
              <w:ind w:right="252"/>
              <w:jc w:val="both"/>
              <w:rPr>
                <w:rFonts w:ascii="Times New Roman" w:hAnsi="Times New Roman"/>
                <w:b w:val="0"/>
                <w:bCs/>
                <w:szCs w:val="24"/>
              </w:rPr>
            </w:pPr>
          </w:p>
        </w:tc>
        <w:tc>
          <w:tcPr>
            <w:tcW w:w="630" w:type="dxa"/>
          </w:tcPr>
          <w:p w:rsidR="001C6681" w:rsidRPr="002E27B7" w:rsidRDefault="001C6681" w:rsidP="00675786">
            <w:pPr>
              <w:pStyle w:val="BodyText2"/>
              <w:rPr>
                <w:rFonts w:ascii="Times New Roman" w:hAnsi="Times New Roman"/>
                <w:bCs/>
                <w:szCs w:val="24"/>
              </w:rPr>
            </w:pPr>
            <w:r w:rsidRPr="002E27B7">
              <w:rPr>
                <w:rFonts w:ascii="Times New Roman" w:hAnsi="Times New Roman"/>
                <w:bCs/>
                <w:szCs w:val="24"/>
              </w:rPr>
              <w:t>)</w:t>
            </w:r>
          </w:p>
          <w:p w:rsidR="001C6681" w:rsidRPr="002E27B7" w:rsidRDefault="001C6681" w:rsidP="00675786">
            <w:pPr>
              <w:pStyle w:val="BodyText2"/>
              <w:rPr>
                <w:rFonts w:ascii="Times New Roman" w:hAnsi="Times New Roman"/>
                <w:bCs/>
                <w:szCs w:val="24"/>
              </w:rPr>
            </w:pPr>
            <w:r w:rsidRPr="002E27B7">
              <w:rPr>
                <w:rFonts w:ascii="Times New Roman" w:hAnsi="Times New Roman"/>
                <w:bCs/>
                <w:szCs w:val="24"/>
              </w:rPr>
              <w:t>)</w:t>
            </w:r>
          </w:p>
          <w:p w:rsidR="001C6681" w:rsidRPr="002E27B7" w:rsidRDefault="001C6681" w:rsidP="00675786">
            <w:pPr>
              <w:pStyle w:val="BodyText2"/>
              <w:rPr>
                <w:rFonts w:ascii="Times New Roman" w:hAnsi="Times New Roman"/>
                <w:bCs/>
                <w:szCs w:val="24"/>
              </w:rPr>
            </w:pPr>
            <w:r w:rsidRPr="002E27B7">
              <w:rPr>
                <w:rFonts w:ascii="Times New Roman" w:hAnsi="Times New Roman"/>
                <w:bCs/>
                <w:szCs w:val="24"/>
              </w:rPr>
              <w:t>)</w:t>
            </w:r>
          </w:p>
          <w:p w:rsidR="001C6681" w:rsidRPr="002E27B7" w:rsidRDefault="001C6681" w:rsidP="00675786">
            <w:pPr>
              <w:pStyle w:val="BodyText2"/>
              <w:rPr>
                <w:rFonts w:ascii="Times New Roman" w:hAnsi="Times New Roman"/>
                <w:bCs/>
                <w:szCs w:val="24"/>
              </w:rPr>
            </w:pPr>
            <w:r w:rsidRPr="002E27B7">
              <w:rPr>
                <w:rFonts w:ascii="Times New Roman" w:hAnsi="Times New Roman"/>
                <w:bCs/>
                <w:szCs w:val="24"/>
              </w:rPr>
              <w:t>)</w:t>
            </w:r>
          </w:p>
          <w:p w:rsidR="001C6681" w:rsidRPr="002E27B7" w:rsidRDefault="001C6681" w:rsidP="00675786">
            <w:pPr>
              <w:pStyle w:val="BodyText2"/>
              <w:rPr>
                <w:rFonts w:ascii="Times New Roman" w:hAnsi="Times New Roman"/>
                <w:bCs/>
                <w:szCs w:val="24"/>
              </w:rPr>
            </w:pPr>
            <w:r w:rsidRPr="002E27B7">
              <w:rPr>
                <w:rFonts w:ascii="Times New Roman" w:hAnsi="Times New Roman"/>
                <w:bCs/>
                <w:szCs w:val="24"/>
              </w:rPr>
              <w:t>)</w:t>
            </w:r>
          </w:p>
          <w:p w:rsidR="001C6681" w:rsidRPr="002E27B7" w:rsidRDefault="001C6681" w:rsidP="00675786">
            <w:pPr>
              <w:pStyle w:val="BodyText2"/>
              <w:rPr>
                <w:rFonts w:ascii="Times New Roman" w:hAnsi="Times New Roman"/>
                <w:bCs/>
                <w:szCs w:val="24"/>
              </w:rPr>
            </w:pPr>
          </w:p>
          <w:p w:rsidR="001C6681" w:rsidRPr="002E27B7" w:rsidRDefault="001C6681" w:rsidP="00675786">
            <w:pPr>
              <w:pStyle w:val="BodyText2"/>
              <w:rPr>
                <w:rFonts w:ascii="Times New Roman" w:hAnsi="Times New Roman"/>
                <w:bCs/>
                <w:szCs w:val="24"/>
              </w:rPr>
            </w:pPr>
          </w:p>
          <w:p w:rsidR="001C6681" w:rsidRPr="002E27B7" w:rsidRDefault="001C6681" w:rsidP="00675786">
            <w:pPr>
              <w:pStyle w:val="BodyText2"/>
              <w:rPr>
                <w:rFonts w:ascii="Times New Roman" w:hAnsi="Times New Roman"/>
                <w:b w:val="0"/>
                <w:bCs/>
                <w:szCs w:val="24"/>
              </w:rPr>
            </w:pPr>
          </w:p>
        </w:tc>
        <w:tc>
          <w:tcPr>
            <w:tcW w:w="3708" w:type="dxa"/>
          </w:tcPr>
          <w:p w:rsidR="001C6681" w:rsidRPr="002E27B7" w:rsidRDefault="001C6681" w:rsidP="00675786">
            <w:pPr>
              <w:pStyle w:val="BodyText2"/>
              <w:rPr>
                <w:rFonts w:ascii="Times New Roman" w:hAnsi="Times New Roman"/>
                <w:b w:val="0"/>
                <w:bCs/>
                <w:szCs w:val="24"/>
              </w:rPr>
            </w:pPr>
          </w:p>
          <w:p w:rsidR="001C6681" w:rsidRPr="002E27B7" w:rsidRDefault="001C6681" w:rsidP="00675786">
            <w:pPr>
              <w:pStyle w:val="BodyText2"/>
              <w:rPr>
                <w:rFonts w:ascii="Times New Roman" w:hAnsi="Times New Roman"/>
                <w:b w:val="0"/>
                <w:bCs/>
                <w:szCs w:val="24"/>
              </w:rPr>
            </w:pPr>
          </w:p>
          <w:p w:rsidR="001C6681" w:rsidRPr="002E27B7" w:rsidRDefault="001C6681" w:rsidP="00675786">
            <w:pPr>
              <w:pStyle w:val="BodyText2"/>
              <w:rPr>
                <w:rFonts w:ascii="Times New Roman" w:hAnsi="Times New Roman"/>
                <w:b w:val="0"/>
                <w:bCs/>
                <w:szCs w:val="24"/>
              </w:rPr>
            </w:pPr>
            <w:r w:rsidRPr="002E27B7">
              <w:rPr>
                <w:rFonts w:ascii="Times New Roman" w:hAnsi="Times New Roman"/>
                <w:b w:val="0"/>
                <w:bCs/>
                <w:szCs w:val="24"/>
              </w:rPr>
              <w:t>Case No. 11-4393-EL-RDR</w:t>
            </w:r>
          </w:p>
          <w:p w:rsidR="001C6681" w:rsidRPr="002E27B7" w:rsidRDefault="001C6681" w:rsidP="00675786">
            <w:pPr>
              <w:rPr>
                <w:szCs w:val="24"/>
              </w:rPr>
            </w:pPr>
          </w:p>
          <w:p w:rsidR="001C6681" w:rsidRPr="002E27B7" w:rsidRDefault="001C6681" w:rsidP="00675786">
            <w:pPr>
              <w:rPr>
                <w:szCs w:val="24"/>
              </w:rPr>
            </w:pPr>
          </w:p>
          <w:p w:rsidR="001C6681" w:rsidRPr="002E27B7" w:rsidRDefault="001C6681" w:rsidP="00675786">
            <w:pPr>
              <w:rPr>
                <w:szCs w:val="24"/>
              </w:rPr>
            </w:pPr>
          </w:p>
          <w:p w:rsidR="001C6681" w:rsidRPr="002E27B7" w:rsidRDefault="001C6681" w:rsidP="00675786">
            <w:pPr>
              <w:rPr>
                <w:szCs w:val="24"/>
              </w:rPr>
            </w:pPr>
          </w:p>
        </w:tc>
      </w:tr>
    </w:tbl>
    <w:p w:rsidR="00D9271D" w:rsidRPr="002E27B7" w:rsidRDefault="00D9271D" w:rsidP="00D9271D">
      <w:pPr>
        <w:suppressLineNumbers/>
        <w:tabs>
          <w:tab w:val="left" w:pos="4860"/>
          <w:tab w:val="right" w:pos="8640"/>
        </w:tabs>
        <w:ind w:left="720" w:hanging="720"/>
        <w:rPr>
          <w:szCs w:val="24"/>
        </w:rPr>
      </w:pPr>
    </w:p>
    <w:p w:rsidR="00D9271D" w:rsidRPr="002E27B7" w:rsidRDefault="00D9271D" w:rsidP="00D9271D">
      <w:pPr>
        <w:suppressLineNumbers/>
        <w:tabs>
          <w:tab w:val="left" w:pos="4860"/>
          <w:tab w:val="right" w:pos="8640"/>
        </w:tabs>
        <w:ind w:left="720" w:hanging="720"/>
        <w:rPr>
          <w:szCs w:val="24"/>
        </w:rPr>
      </w:pPr>
    </w:p>
    <w:p w:rsidR="00D9271D" w:rsidRPr="002E27B7" w:rsidRDefault="00D9271D" w:rsidP="002C5F33">
      <w:pPr>
        <w:pStyle w:val="Title"/>
        <w:suppressLineNumbers/>
        <w:pBdr>
          <w:bottom w:val="single" w:sz="4" w:space="1" w:color="auto"/>
        </w:pBdr>
        <w:tabs>
          <w:tab w:val="left" w:pos="4770"/>
        </w:tabs>
        <w:jc w:val="left"/>
        <w:rPr>
          <w:rStyle w:val="LineNumber"/>
          <w:b w:val="0"/>
          <w:color w:val="auto"/>
          <w:szCs w:val="24"/>
          <w:u w:val="single"/>
        </w:rPr>
      </w:pPr>
    </w:p>
    <w:p w:rsidR="00D9271D" w:rsidRPr="002E27B7" w:rsidRDefault="00D9271D" w:rsidP="00D9271D">
      <w:pPr>
        <w:pStyle w:val="Title"/>
        <w:suppressLineNumbers/>
        <w:rPr>
          <w:color w:val="auto"/>
          <w:szCs w:val="24"/>
        </w:rPr>
      </w:pPr>
    </w:p>
    <w:p w:rsidR="00D9271D" w:rsidRPr="002E27B7" w:rsidRDefault="001C6681" w:rsidP="00D9271D">
      <w:pPr>
        <w:pStyle w:val="Title"/>
        <w:suppressLineNumbers/>
        <w:rPr>
          <w:color w:val="auto"/>
          <w:szCs w:val="24"/>
        </w:rPr>
      </w:pPr>
      <w:r w:rsidRPr="002E27B7">
        <w:rPr>
          <w:color w:val="auto"/>
          <w:szCs w:val="24"/>
        </w:rPr>
        <w:t>SUPPLEMENTAL</w:t>
      </w:r>
      <w:r w:rsidR="00D9271D" w:rsidRPr="002E27B7">
        <w:rPr>
          <w:color w:val="auto"/>
          <w:szCs w:val="24"/>
        </w:rPr>
        <w:t xml:space="preserve"> </w:t>
      </w:r>
      <w:r w:rsidR="00596440" w:rsidRPr="002E27B7">
        <w:rPr>
          <w:color w:val="auto"/>
          <w:szCs w:val="24"/>
        </w:rPr>
        <w:t xml:space="preserve">DIRECT </w:t>
      </w:r>
      <w:r w:rsidR="00D9271D" w:rsidRPr="002E27B7">
        <w:rPr>
          <w:color w:val="auto"/>
          <w:szCs w:val="24"/>
        </w:rPr>
        <w:t>TESTIMONY OF</w:t>
      </w:r>
    </w:p>
    <w:p w:rsidR="00D9271D" w:rsidRPr="002E27B7" w:rsidRDefault="00D9271D" w:rsidP="00D9271D">
      <w:pPr>
        <w:pStyle w:val="Title"/>
        <w:suppressLineNumbers/>
        <w:rPr>
          <w:color w:val="auto"/>
          <w:szCs w:val="24"/>
        </w:rPr>
      </w:pPr>
    </w:p>
    <w:p w:rsidR="00D9271D" w:rsidRPr="002E27B7" w:rsidRDefault="00D9271D" w:rsidP="00D9271D">
      <w:pPr>
        <w:pStyle w:val="Title"/>
        <w:suppressLineNumbers/>
        <w:rPr>
          <w:color w:val="auto"/>
          <w:szCs w:val="24"/>
        </w:rPr>
      </w:pPr>
      <w:r w:rsidRPr="002E27B7">
        <w:rPr>
          <w:color w:val="auto"/>
          <w:szCs w:val="24"/>
        </w:rPr>
        <w:t>TIMOTHY J. DUFF</w:t>
      </w:r>
    </w:p>
    <w:p w:rsidR="00D9271D" w:rsidRPr="002E27B7" w:rsidRDefault="00D9271D" w:rsidP="00D9271D">
      <w:pPr>
        <w:pStyle w:val="Title"/>
        <w:suppressLineNumbers/>
        <w:rPr>
          <w:color w:val="auto"/>
          <w:szCs w:val="24"/>
        </w:rPr>
      </w:pPr>
    </w:p>
    <w:p w:rsidR="00D9271D" w:rsidRPr="002E27B7" w:rsidRDefault="00D9271D" w:rsidP="00D9271D">
      <w:pPr>
        <w:pStyle w:val="Title"/>
        <w:suppressLineNumbers/>
        <w:rPr>
          <w:color w:val="auto"/>
          <w:szCs w:val="24"/>
        </w:rPr>
      </w:pPr>
      <w:r w:rsidRPr="002E27B7">
        <w:rPr>
          <w:color w:val="auto"/>
          <w:szCs w:val="24"/>
        </w:rPr>
        <w:t>ON BEHALF OF</w:t>
      </w:r>
    </w:p>
    <w:p w:rsidR="00D9271D" w:rsidRPr="002E27B7" w:rsidRDefault="00D9271D" w:rsidP="00D9271D">
      <w:pPr>
        <w:pStyle w:val="Title"/>
        <w:suppressLineNumbers/>
        <w:rPr>
          <w:color w:val="auto"/>
          <w:szCs w:val="24"/>
        </w:rPr>
      </w:pPr>
    </w:p>
    <w:p w:rsidR="00D9271D" w:rsidRPr="002E27B7" w:rsidRDefault="00D9271D" w:rsidP="00D9271D">
      <w:pPr>
        <w:pStyle w:val="Title"/>
        <w:suppressLineNumbers/>
        <w:rPr>
          <w:color w:val="auto"/>
          <w:szCs w:val="24"/>
        </w:rPr>
      </w:pPr>
      <w:r w:rsidRPr="002E27B7">
        <w:rPr>
          <w:color w:val="auto"/>
          <w:szCs w:val="24"/>
        </w:rPr>
        <w:t>DUKE ENERGY OHIO, INC.</w:t>
      </w:r>
    </w:p>
    <w:p w:rsidR="00D9271D" w:rsidRPr="002E27B7" w:rsidRDefault="00D9271D" w:rsidP="00D9271D">
      <w:pPr>
        <w:pStyle w:val="Title"/>
        <w:suppressLineNumbers/>
        <w:tabs>
          <w:tab w:val="left" w:pos="4770"/>
        </w:tabs>
        <w:rPr>
          <w:rStyle w:val="LineNumber"/>
          <w:b w:val="0"/>
          <w:color w:val="auto"/>
          <w:szCs w:val="24"/>
          <w:u w:val="single"/>
        </w:rPr>
      </w:pPr>
    </w:p>
    <w:p w:rsidR="00D9271D" w:rsidRPr="002E27B7" w:rsidRDefault="00D9271D" w:rsidP="002C5F33">
      <w:pPr>
        <w:pStyle w:val="Title"/>
        <w:suppressLineNumbers/>
        <w:pBdr>
          <w:bottom w:val="single" w:sz="4" w:space="1" w:color="auto"/>
        </w:pBdr>
        <w:jc w:val="left"/>
        <w:rPr>
          <w:b w:val="0"/>
          <w:color w:val="auto"/>
          <w:szCs w:val="24"/>
        </w:rPr>
      </w:pPr>
    </w:p>
    <w:p w:rsidR="00D9271D" w:rsidRPr="002E27B7" w:rsidRDefault="00D9271D" w:rsidP="00D9271D">
      <w:pPr>
        <w:pStyle w:val="Title"/>
        <w:suppressLineNumbers/>
        <w:rPr>
          <w:b w:val="0"/>
          <w:color w:val="auto"/>
          <w:szCs w:val="24"/>
        </w:rPr>
      </w:pPr>
    </w:p>
    <w:p w:rsidR="00D9271D" w:rsidRPr="002E27B7" w:rsidRDefault="00D9271D" w:rsidP="00D9271D">
      <w:pPr>
        <w:pStyle w:val="Title"/>
        <w:suppressLineNumbers/>
        <w:tabs>
          <w:tab w:val="left" w:pos="540"/>
          <w:tab w:val="left" w:pos="1080"/>
        </w:tabs>
        <w:spacing w:line="480" w:lineRule="auto"/>
        <w:jc w:val="left"/>
        <w:rPr>
          <w:b w:val="0"/>
          <w:color w:val="auto"/>
          <w:szCs w:val="24"/>
        </w:rPr>
      </w:pPr>
      <w:r w:rsidRPr="002E27B7">
        <w:rPr>
          <w:b w:val="0"/>
          <w:color w:val="auto"/>
          <w:szCs w:val="24"/>
        </w:rPr>
        <w:t xml:space="preserve"> </w:t>
      </w:r>
    </w:p>
    <w:p w:rsidR="00D9271D" w:rsidRPr="002E27B7" w:rsidRDefault="00D9271D" w:rsidP="00D9271D">
      <w:pPr>
        <w:pStyle w:val="Title"/>
        <w:suppressLineNumbers/>
        <w:tabs>
          <w:tab w:val="left" w:pos="540"/>
          <w:tab w:val="left" w:pos="1080"/>
        </w:tabs>
        <w:spacing w:line="480" w:lineRule="auto"/>
        <w:jc w:val="left"/>
        <w:rPr>
          <w:b w:val="0"/>
          <w:color w:val="auto"/>
          <w:szCs w:val="24"/>
        </w:rPr>
      </w:pPr>
      <w:r w:rsidRPr="002E27B7">
        <w:rPr>
          <w:b w:val="0"/>
          <w:color w:val="auto"/>
          <w:szCs w:val="24"/>
        </w:rPr>
        <w:tab/>
      </w:r>
      <w:r w:rsidRPr="002E27B7">
        <w:rPr>
          <w:b w:val="0"/>
          <w:color w:val="auto"/>
          <w:szCs w:val="24"/>
        </w:rPr>
        <w:tab/>
      </w:r>
      <w:r w:rsidRPr="002E27B7">
        <w:rPr>
          <w:b w:val="0"/>
          <w:color w:val="auto"/>
          <w:szCs w:val="24"/>
        </w:rPr>
        <w:tab/>
      </w:r>
      <w:r w:rsidRPr="002E27B7">
        <w:rPr>
          <w:b w:val="0"/>
          <w:color w:val="auto"/>
          <w:szCs w:val="24"/>
        </w:rPr>
        <w:tab/>
      </w:r>
      <w:r w:rsidRPr="002E27B7">
        <w:rPr>
          <w:b w:val="0"/>
          <w:color w:val="auto"/>
          <w:szCs w:val="24"/>
        </w:rPr>
        <w:tab/>
      </w:r>
      <w:r w:rsidRPr="002E27B7">
        <w:rPr>
          <w:b w:val="0"/>
          <w:color w:val="auto"/>
          <w:szCs w:val="24"/>
        </w:rPr>
        <w:tab/>
      </w:r>
    </w:p>
    <w:p w:rsidR="00D9271D" w:rsidRPr="002E27B7" w:rsidRDefault="00D9271D" w:rsidP="00D9271D">
      <w:pPr>
        <w:pStyle w:val="Title"/>
        <w:suppressLineNumbers/>
        <w:tabs>
          <w:tab w:val="left" w:pos="540"/>
          <w:tab w:val="left" w:pos="1080"/>
        </w:tabs>
        <w:spacing w:line="480" w:lineRule="auto"/>
        <w:jc w:val="left"/>
        <w:rPr>
          <w:b w:val="0"/>
          <w:color w:val="auto"/>
          <w:szCs w:val="24"/>
        </w:rPr>
      </w:pPr>
      <w:r w:rsidRPr="002E27B7">
        <w:rPr>
          <w:b w:val="0"/>
          <w:color w:val="auto"/>
          <w:szCs w:val="24"/>
        </w:rPr>
        <w:tab/>
      </w:r>
      <w:r w:rsidRPr="002E27B7">
        <w:rPr>
          <w:b w:val="0"/>
          <w:color w:val="auto"/>
          <w:szCs w:val="24"/>
        </w:rPr>
        <w:tab/>
      </w:r>
      <w:r w:rsidRPr="002E27B7">
        <w:rPr>
          <w:b w:val="0"/>
          <w:color w:val="auto"/>
          <w:szCs w:val="24"/>
        </w:rPr>
        <w:tab/>
      </w:r>
      <w:r w:rsidRPr="002E27B7">
        <w:rPr>
          <w:b w:val="0"/>
          <w:color w:val="auto"/>
          <w:szCs w:val="24"/>
        </w:rPr>
        <w:tab/>
      </w:r>
      <w:r w:rsidRPr="002E27B7">
        <w:rPr>
          <w:b w:val="0"/>
          <w:color w:val="auto"/>
          <w:szCs w:val="24"/>
        </w:rPr>
        <w:tab/>
      </w:r>
      <w:r w:rsidRPr="002E27B7">
        <w:rPr>
          <w:b w:val="0"/>
          <w:color w:val="auto"/>
          <w:szCs w:val="24"/>
        </w:rPr>
        <w:tab/>
      </w:r>
      <w:r w:rsidRPr="002E27B7">
        <w:rPr>
          <w:b w:val="0"/>
          <w:color w:val="auto"/>
          <w:szCs w:val="24"/>
        </w:rPr>
        <w:tab/>
      </w:r>
    </w:p>
    <w:p w:rsidR="00D9271D" w:rsidRPr="002E27B7" w:rsidRDefault="00D9271D" w:rsidP="00D9271D">
      <w:pPr>
        <w:pStyle w:val="Title"/>
        <w:suppressLineNumbers/>
        <w:tabs>
          <w:tab w:val="left" w:pos="540"/>
          <w:tab w:val="left" w:pos="1080"/>
        </w:tabs>
        <w:spacing w:line="480" w:lineRule="auto"/>
        <w:jc w:val="left"/>
        <w:rPr>
          <w:b w:val="0"/>
          <w:color w:val="auto"/>
          <w:szCs w:val="24"/>
        </w:rPr>
      </w:pPr>
    </w:p>
    <w:p w:rsidR="00D9271D" w:rsidRPr="002E27B7" w:rsidRDefault="00D9271D" w:rsidP="00D9271D">
      <w:pPr>
        <w:pStyle w:val="Title"/>
        <w:suppressLineNumbers/>
        <w:tabs>
          <w:tab w:val="left" w:pos="540"/>
          <w:tab w:val="left" w:pos="1080"/>
        </w:tabs>
        <w:spacing w:line="480" w:lineRule="auto"/>
        <w:jc w:val="left"/>
        <w:rPr>
          <w:b w:val="0"/>
          <w:color w:val="auto"/>
          <w:szCs w:val="24"/>
        </w:rPr>
      </w:pPr>
    </w:p>
    <w:p w:rsidR="00D9271D" w:rsidRPr="002E27B7" w:rsidRDefault="00D9271D" w:rsidP="00D9271D">
      <w:pPr>
        <w:pStyle w:val="Title"/>
        <w:suppressLineNumbers/>
        <w:tabs>
          <w:tab w:val="left" w:pos="540"/>
          <w:tab w:val="left" w:pos="1080"/>
        </w:tabs>
        <w:spacing w:line="480" w:lineRule="auto"/>
        <w:jc w:val="left"/>
        <w:rPr>
          <w:b w:val="0"/>
          <w:color w:val="auto"/>
          <w:szCs w:val="24"/>
          <w:u w:val="single"/>
        </w:rPr>
        <w:sectPr w:rsidR="00D9271D" w:rsidRPr="002E27B7" w:rsidSect="00675786">
          <w:headerReference w:type="default" r:id="rId8"/>
          <w:footerReference w:type="default" r:id="rId9"/>
          <w:headerReference w:type="first" r:id="rId10"/>
          <w:pgSz w:w="12240" w:h="15840" w:code="1"/>
          <w:pgMar w:top="1440" w:right="1440" w:bottom="1440" w:left="2160" w:header="720" w:footer="720" w:gutter="0"/>
          <w:cols w:space="720"/>
          <w:titlePg/>
          <w:docGrid w:linePitch="326"/>
        </w:sectPr>
      </w:pPr>
      <w:r w:rsidRPr="002E27B7">
        <w:rPr>
          <w:b w:val="0"/>
          <w:color w:val="auto"/>
          <w:szCs w:val="24"/>
        </w:rPr>
        <w:tab/>
      </w:r>
      <w:r w:rsidRPr="002E27B7">
        <w:rPr>
          <w:b w:val="0"/>
          <w:color w:val="auto"/>
          <w:szCs w:val="24"/>
        </w:rPr>
        <w:tab/>
      </w:r>
      <w:r w:rsidRPr="002E27B7">
        <w:rPr>
          <w:b w:val="0"/>
          <w:color w:val="auto"/>
          <w:szCs w:val="24"/>
        </w:rPr>
        <w:tab/>
      </w:r>
      <w:r w:rsidRPr="002E27B7">
        <w:rPr>
          <w:b w:val="0"/>
          <w:color w:val="auto"/>
          <w:szCs w:val="24"/>
        </w:rPr>
        <w:tab/>
      </w:r>
      <w:r w:rsidRPr="002E27B7">
        <w:rPr>
          <w:b w:val="0"/>
          <w:color w:val="auto"/>
          <w:szCs w:val="24"/>
        </w:rPr>
        <w:tab/>
      </w:r>
      <w:r w:rsidRPr="002E27B7">
        <w:rPr>
          <w:b w:val="0"/>
          <w:color w:val="auto"/>
          <w:szCs w:val="24"/>
        </w:rPr>
        <w:tab/>
      </w:r>
      <w:r w:rsidRPr="002E27B7">
        <w:rPr>
          <w:b w:val="0"/>
          <w:color w:val="auto"/>
          <w:szCs w:val="24"/>
        </w:rPr>
        <w:tab/>
      </w:r>
      <w:r w:rsidRPr="002E27B7">
        <w:rPr>
          <w:b w:val="0"/>
          <w:color w:val="auto"/>
          <w:szCs w:val="24"/>
        </w:rPr>
        <w:tab/>
      </w:r>
      <w:r w:rsidRPr="002E27B7">
        <w:rPr>
          <w:b w:val="0"/>
          <w:color w:val="auto"/>
          <w:szCs w:val="24"/>
        </w:rPr>
        <w:tab/>
      </w:r>
      <w:r w:rsidRPr="002E27B7">
        <w:rPr>
          <w:b w:val="0"/>
          <w:color w:val="auto"/>
          <w:szCs w:val="24"/>
        </w:rPr>
        <w:tab/>
      </w:r>
      <w:r w:rsidRPr="002E27B7">
        <w:rPr>
          <w:b w:val="0"/>
          <w:color w:val="auto"/>
          <w:szCs w:val="24"/>
        </w:rPr>
        <w:tab/>
      </w:r>
      <w:r w:rsidR="00B07FAE" w:rsidRPr="002E27B7">
        <w:rPr>
          <w:b w:val="0"/>
          <w:color w:val="auto"/>
          <w:szCs w:val="24"/>
        </w:rPr>
        <w:t>November 22, 2011</w:t>
      </w:r>
    </w:p>
    <w:p w:rsidR="002C5F33" w:rsidRPr="002E27B7" w:rsidRDefault="00D9271D" w:rsidP="002C5F33">
      <w:pPr>
        <w:ind w:left="2160" w:firstLine="720"/>
        <w:jc w:val="center"/>
        <w:rPr>
          <w:b/>
          <w:szCs w:val="24"/>
        </w:rPr>
      </w:pPr>
      <w:r w:rsidRPr="002E27B7">
        <w:rPr>
          <w:b/>
          <w:szCs w:val="24"/>
          <w:u w:val="single"/>
        </w:rPr>
        <w:lastRenderedPageBreak/>
        <w:t>TABLE OF CONTENTS</w:t>
      </w:r>
      <w:r w:rsidR="002C5F33" w:rsidRPr="002E27B7">
        <w:rPr>
          <w:b/>
          <w:szCs w:val="24"/>
        </w:rPr>
        <w:t xml:space="preserve">        </w:t>
      </w:r>
      <w:r w:rsidR="002C5F33">
        <w:rPr>
          <w:b/>
          <w:szCs w:val="24"/>
        </w:rPr>
        <w:tab/>
      </w:r>
      <w:r w:rsidR="002C5F33">
        <w:rPr>
          <w:b/>
          <w:szCs w:val="24"/>
        </w:rPr>
        <w:tab/>
      </w:r>
      <w:r w:rsidR="002C5F33">
        <w:rPr>
          <w:b/>
          <w:szCs w:val="24"/>
        </w:rPr>
        <w:tab/>
      </w:r>
      <w:r w:rsidR="002C5F33">
        <w:rPr>
          <w:b/>
          <w:szCs w:val="24"/>
        </w:rPr>
        <w:tab/>
      </w:r>
      <w:r w:rsidR="002C5F33">
        <w:rPr>
          <w:b/>
          <w:szCs w:val="24"/>
        </w:rPr>
        <w:tab/>
      </w:r>
      <w:r w:rsidR="002C5F33">
        <w:rPr>
          <w:b/>
          <w:szCs w:val="24"/>
        </w:rPr>
        <w:tab/>
      </w:r>
      <w:r w:rsidR="002C5F33">
        <w:rPr>
          <w:b/>
          <w:szCs w:val="24"/>
        </w:rPr>
        <w:tab/>
      </w:r>
      <w:r w:rsidR="002C5F33">
        <w:rPr>
          <w:b/>
          <w:szCs w:val="24"/>
        </w:rPr>
        <w:tab/>
      </w:r>
      <w:r w:rsidR="002C5F33">
        <w:rPr>
          <w:b/>
          <w:szCs w:val="24"/>
        </w:rPr>
        <w:tab/>
      </w:r>
      <w:r w:rsidR="002C5F33">
        <w:rPr>
          <w:b/>
          <w:szCs w:val="24"/>
        </w:rPr>
        <w:tab/>
      </w:r>
      <w:r w:rsidR="002C5F33">
        <w:rPr>
          <w:b/>
          <w:szCs w:val="24"/>
        </w:rPr>
        <w:tab/>
      </w:r>
      <w:r w:rsidR="002C5F33" w:rsidRPr="002E27B7">
        <w:rPr>
          <w:b/>
          <w:szCs w:val="24"/>
        </w:rPr>
        <w:t>PAGES</w:t>
      </w:r>
    </w:p>
    <w:p w:rsidR="00D9271D" w:rsidRPr="002E27B7" w:rsidRDefault="00D9271D" w:rsidP="00D9271D">
      <w:pPr>
        <w:suppressLineNumbers/>
        <w:jc w:val="center"/>
        <w:rPr>
          <w:b/>
          <w:szCs w:val="24"/>
          <w:u w:val="single"/>
        </w:rPr>
      </w:pPr>
    </w:p>
    <w:sdt>
      <w:sdtPr>
        <w:id w:val="415671266"/>
        <w:docPartObj>
          <w:docPartGallery w:val="Table of Contents"/>
          <w:docPartUnique/>
        </w:docPartObj>
      </w:sdtPr>
      <w:sdtEndPr>
        <w:rPr>
          <w:rFonts w:ascii="Times New Roman" w:hAnsi="Times New Roman"/>
          <w:b w:val="0"/>
          <w:bCs w:val="0"/>
          <w:caps w:val="0"/>
          <w:noProof w:val="0"/>
          <w:szCs w:val="20"/>
        </w:rPr>
      </w:sdtEndPr>
      <w:sdtContent>
        <w:p w:rsidR="00016C55" w:rsidRPr="002C5F33" w:rsidRDefault="00016C55" w:rsidP="002C5F33">
          <w:pPr>
            <w:pStyle w:val="TOC1"/>
            <w:rPr>
              <w:rFonts w:ascii="Times New Roman" w:eastAsiaTheme="minorEastAsia" w:hAnsi="Times New Roman"/>
              <w:sz w:val="22"/>
              <w:szCs w:val="22"/>
            </w:rPr>
          </w:pPr>
          <w:r w:rsidRPr="002C5F33">
            <w:rPr>
              <w:rStyle w:val="Hyperlink"/>
              <w:rFonts w:ascii="Times New Roman" w:hAnsi="Times New Roman"/>
              <w:color w:val="auto"/>
              <w:u w:val="none"/>
            </w:rPr>
            <w:fldChar w:fldCharType="begin"/>
          </w:r>
          <w:r w:rsidRPr="002C5F33">
            <w:rPr>
              <w:rStyle w:val="Hyperlink"/>
              <w:rFonts w:ascii="Times New Roman" w:hAnsi="Times New Roman"/>
              <w:color w:val="auto"/>
              <w:u w:val="none"/>
            </w:rPr>
            <w:instrText xml:space="preserve"> </w:instrText>
          </w:r>
          <w:r w:rsidRPr="002C5F33">
            <w:rPr>
              <w:rFonts w:ascii="Times New Roman" w:hAnsi="Times New Roman"/>
            </w:rPr>
            <w:instrText>HYPERLINK \l "_Toc309729837"</w:instrText>
          </w:r>
          <w:r w:rsidRPr="002C5F33">
            <w:rPr>
              <w:rStyle w:val="Hyperlink"/>
              <w:rFonts w:ascii="Times New Roman" w:hAnsi="Times New Roman"/>
              <w:color w:val="auto"/>
              <w:u w:val="none"/>
            </w:rPr>
            <w:instrText xml:space="preserve"> </w:instrText>
          </w:r>
          <w:r w:rsidRPr="002C5F33">
            <w:rPr>
              <w:rStyle w:val="Hyperlink"/>
              <w:rFonts w:ascii="Times New Roman" w:hAnsi="Times New Roman"/>
              <w:color w:val="auto"/>
              <w:u w:val="none"/>
            </w:rPr>
          </w:r>
          <w:r w:rsidRPr="002C5F33">
            <w:rPr>
              <w:rStyle w:val="Hyperlink"/>
              <w:rFonts w:ascii="Times New Roman" w:hAnsi="Times New Roman"/>
              <w:color w:val="auto"/>
              <w:u w:val="none"/>
            </w:rPr>
            <w:fldChar w:fldCharType="separate"/>
          </w:r>
          <w:r w:rsidRPr="002C5F33">
            <w:rPr>
              <w:rStyle w:val="Hyperlink"/>
              <w:rFonts w:ascii="Times New Roman" w:hAnsi="Times New Roman"/>
              <w:color w:val="auto"/>
              <w:u w:val="none"/>
            </w:rPr>
            <w:t xml:space="preserve">I.  </w:t>
          </w:r>
          <w:r w:rsidR="002C5F33">
            <w:rPr>
              <w:rStyle w:val="Hyperlink"/>
              <w:rFonts w:ascii="Times New Roman" w:hAnsi="Times New Roman"/>
              <w:color w:val="auto"/>
              <w:u w:val="none"/>
            </w:rPr>
            <w:t xml:space="preserve">     </w:t>
          </w:r>
          <w:r w:rsidRPr="002C5F33">
            <w:rPr>
              <w:rStyle w:val="Hyperlink"/>
              <w:rFonts w:ascii="Times New Roman" w:hAnsi="Times New Roman"/>
              <w:color w:val="auto"/>
              <w:u w:val="none"/>
            </w:rPr>
            <w:t>I</w:t>
          </w:r>
          <w:r w:rsidRPr="002C5F33">
            <w:rPr>
              <w:rStyle w:val="Hyperlink"/>
              <w:rFonts w:ascii="Times New Roman" w:hAnsi="Times New Roman"/>
              <w:color w:val="auto"/>
              <w:u w:val="none"/>
            </w:rPr>
            <w:t>NTR</w:t>
          </w:r>
          <w:r w:rsidRPr="002C5F33">
            <w:rPr>
              <w:rStyle w:val="Hyperlink"/>
              <w:rFonts w:ascii="Times New Roman" w:hAnsi="Times New Roman"/>
              <w:color w:val="auto"/>
              <w:u w:val="none"/>
            </w:rPr>
            <w:t>O</w:t>
          </w:r>
          <w:r w:rsidRPr="002C5F33">
            <w:rPr>
              <w:rStyle w:val="Hyperlink"/>
              <w:rFonts w:ascii="Times New Roman" w:hAnsi="Times New Roman"/>
              <w:color w:val="auto"/>
              <w:u w:val="none"/>
            </w:rPr>
            <w:t>DUCTION</w:t>
          </w:r>
          <w:r w:rsidRPr="002C5F33">
            <w:rPr>
              <w:rStyle w:val="Hyperlink"/>
              <w:rFonts w:ascii="Times New Roman" w:hAnsi="Times New Roman"/>
              <w:color w:val="auto"/>
              <w:u w:val="none"/>
            </w:rPr>
            <w:t xml:space="preserve"> </w:t>
          </w:r>
          <w:r w:rsidRPr="002C5F33">
            <w:rPr>
              <w:rStyle w:val="Hyperlink"/>
              <w:rFonts w:ascii="Times New Roman" w:hAnsi="Times New Roman"/>
              <w:color w:val="auto"/>
              <w:u w:val="none"/>
            </w:rPr>
            <w:t>AND PURPOSE OF TESTIMONY</w:t>
          </w:r>
          <w:r w:rsidR="002E27B7" w:rsidRPr="002C5F33">
            <w:rPr>
              <w:rStyle w:val="Hyperlink"/>
              <w:rFonts w:ascii="Times New Roman" w:hAnsi="Times New Roman"/>
              <w:color w:val="auto"/>
              <w:u w:val="none"/>
            </w:rPr>
            <w:t>………………</w:t>
          </w:r>
          <w:r w:rsidR="002C5F33">
            <w:rPr>
              <w:rStyle w:val="Hyperlink"/>
              <w:rFonts w:ascii="Times New Roman" w:hAnsi="Times New Roman"/>
              <w:color w:val="auto"/>
              <w:u w:val="none"/>
            </w:rPr>
            <w:t>..</w:t>
          </w:r>
          <w:r w:rsidRPr="002C5F33">
            <w:rPr>
              <w:rFonts w:ascii="Times New Roman" w:hAnsi="Times New Roman"/>
              <w:webHidden/>
            </w:rPr>
            <w:tab/>
          </w:r>
          <w:r w:rsidRPr="002C5F33">
            <w:rPr>
              <w:rFonts w:ascii="Times New Roman" w:hAnsi="Times New Roman"/>
              <w:webHidden/>
            </w:rPr>
            <w:fldChar w:fldCharType="begin"/>
          </w:r>
          <w:r w:rsidRPr="002C5F33">
            <w:rPr>
              <w:rFonts w:ascii="Times New Roman" w:hAnsi="Times New Roman"/>
              <w:webHidden/>
            </w:rPr>
            <w:instrText xml:space="preserve"> PAGEREF _Toc309729837 \h </w:instrText>
          </w:r>
          <w:r w:rsidRPr="002C5F33">
            <w:rPr>
              <w:rFonts w:ascii="Times New Roman" w:hAnsi="Times New Roman"/>
              <w:webHidden/>
            </w:rPr>
          </w:r>
          <w:r w:rsidRPr="002C5F33">
            <w:rPr>
              <w:rFonts w:ascii="Times New Roman" w:hAnsi="Times New Roman"/>
              <w:webHidden/>
            </w:rPr>
            <w:fldChar w:fldCharType="separate"/>
          </w:r>
          <w:r w:rsidR="002E27B7" w:rsidRPr="002C5F33">
            <w:rPr>
              <w:rFonts w:ascii="Times New Roman" w:hAnsi="Times New Roman"/>
              <w:webHidden/>
            </w:rPr>
            <w:t>1</w:t>
          </w:r>
          <w:r w:rsidRPr="002C5F33">
            <w:rPr>
              <w:rFonts w:ascii="Times New Roman" w:hAnsi="Times New Roman"/>
              <w:webHidden/>
            </w:rPr>
            <w:fldChar w:fldCharType="end"/>
          </w:r>
          <w:r w:rsidRPr="002C5F33">
            <w:rPr>
              <w:rStyle w:val="Hyperlink"/>
              <w:rFonts w:ascii="Times New Roman" w:hAnsi="Times New Roman"/>
              <w:color w:val="auto"/>
              <w:u w:val="none"/>
            </w:rPr>
            <w:fldChar w:fldCharType="end"/>
          </w:r>
        </w:p>
        <w:p w:rsidR="00016C55" w:rsidRPr="002C5F33" w:rsidRDefault="00016C55" w:rsidP="002C5F33">
          <w:pPr>
            <w:pStyle w:val="TOC1"/>
            <w:rPr>
              <w:rFonts w:ascii="Times New Roman" w:eastAsiaTheme="minorEastAsia" w:hAnsi="Times New Roman"/>
              <w:sz w:val="22"/>
              <w:szCs w:val="22"/>
            </w:rPr>
          </w:pPr>
          <w:r w:rsidRPr="002C5F33">
            <w:rPr>
              <w:rFonts w:ascii="Times New Roman" w:hAnsi="Times New Roman"/>
            </w:rPr>
            <w:fldChar w:fldCharType="begin"/>
          </w:r>
          <w:r w:rsidRPr="002C5F33">
            <w:rPr>
              <w:rFonts w:ascii="Times New Roman" w:hAnsi="Times New Roman"/>
            </w:rPr>
            <w:instrText xml:space="preserve"> TOC \o "1-3" \h \z \u </w:instrText>
          </w:r>
          <w:r w:rsidRPr="002C5F33">
            <w:rPr>
              <w:rFonts w:ascii="Times New Roman" w:hAnsi="Times New Roman"/>
            </w:rPr>
            <w:fldChar w:fldCharType="separate"/>
          </w:r>
          <w:hyperlink w:anchor="_Toc309730176" w:history="1">
            <w:r w:rsidRPr="002C5F33">
              <w:rPr>
                <w:rStyle w:val="Hyperlink"/>
                <w:rFonts w:ascii="Times New Roman" w:hAnsi="Times New Roman"/>
                <w:smallCaps/>
                <w:color w:val="auto"/>
                <w:spacing w:val="5"/>
              </w:rPr>
              <w:t>II.</w:t>
            </w:r>
            <w:r w:rsidR="002C5F33" w:rsidRPr="002C5F33">
              <w:rPr>
                <w:rFonts w:ascii="Times New Roman" w:eastAsiaTheme="minorEastAsia" w:hAnsi="Times New Roman"/>
                <w:sz w:val="22"/>
                <w:szCs w:val="22"/>
              </w:rPr>
              <w:t xml:space="preserve">      </w:t>
            </w:r>
            <w:r w:rsidRPr="002C5F33">
              <w:rPr>
                <w:rStyle w:val="Hyperlink"/>
                <w:rFonts w:ascii="Times New Roman" w:hAnsi="Times New Roman"/>
                <w:smallCaps/>
                <w:color w:val="auto"/>
                <w:spacing w:val="5"/>
              </w:rPr>
              <w:t>OVERVIEW O</w:t>
            </w:r>
            <w:r w:rsidRPr="002C5F33">
              <w:rPr>
                <w:rStyle w:val="Hyperlink"/>
                <w:rFonts w:ascii="Times New Roman" w:hAnsi="Times New Roman"/>
                <w:smallCaps/>
                <w:color w:val="auto"/>
                <w:spacing w:val="5"/>
              </w:rPr>
              <w:t>F</w:t>
            </w:r>
            <w:r w:rsidRPr="002C5F33">
              <w:rPr>
                <w:rStyle w:val="Hyperlink"/>
                <w:rFonts w:ascii="Times New Roman" w:hAnsi="Times New Roman"/>
                <w:smallCaps/>
                <w:color w:val="auto"/>
                <w:spacing w:val="5"/>
              </w:rPr>
              <w:t xml:space="preserve"> THE STIPULATION</w:t>
            </w:r>
            <w:r w:rsidR="002E27B7" w:rsidRPr="002C5F33">
              <w:rPr>
                <w:rStyle w:val="Hyperlink"/>
                <w:rFonts w:ascii="Times New Roman" w:hAnsi="Times New Roman"/>
                <w:smallCaps/>
                <w:color w:val="auto"/>
                <w:spacing w:val="5"/>
              </w:rPr>
              <w:t>………………………………</w:t>
            </w:r>
            <w:r w:rsidR="002C5F33">
              <w:rPr>
                <w:rStyle w:val="Hyperlink"/>
                <w:rFonts w:ascii="Times New Roman" w:hAnsi="Times New Roman"/>
                <w:smallCaps/>
                <w:color w:val="auto"/>
                <w:spacing w:val="5"/>
              </w:rPr>
              <w:t>.</w:t>
            </w:r>
            <w:r w:rsidRPr="002C5F33">
              <w:rPr>
                <w:rFonts w:ascii="Times New Roman" w:hAnsi="Times New Roman"/>
                <w:webHidden/>
              </w:rPr>
              <w:tab/>
            </w:r>
            <w:r w:rsidRPr="002C5F33">
              <w:rPr>
                <w:rFonts w:ascii="Times New Roman" w:hAnsi="Times New Roman"/>
                <w:webHidden/>
              </w:rPr>
              <w:fldChar w:fldCharType="begin"/>
            </w:r>
            <w:r w:rsidRPr="002C5F33">
              <w:rPr>
                <w:rFonts w:ascii="Times New Roman" w:hAnsi="Times New Roman"/>
                <w:webHidden/>
              </w:rPr>
              <w:instrText xml:space="preserve"> PAGEREF _Toc309730176 \h </w:instrText>
            </w:r>
            <w:r w:rsidRPr="002C5F33">
              <w:rPr>
                <w:rFonts w:ascii="Times New Roman" w:hAnsi="Times New Roman"/>
                <w:webHidden/>
              </w:rPr>
            </w:r>
            <w:r w:rsidRPr="002C5F33">
              <w:rPr>
                <w:rFonts w:ascii="Times New Roman" w:hAnsi="Times New Roman"/>
                <w:webHidden/>
              </w:rPr>
              <w:fldChar w:fldCharType="separate"/>
            </w:r>
            <w:r w:rsidR="003A5C1C">
              <w:rPr>
                <w:rFonts w:ascii="Times New Roman" w:hAnsi="Times New Roman"/>
                <w:webHidden/>
              </w:rPr>
              <w:t>2</w:t>
            </w:r>
            <w:r w:rsidRPr="002C5F33">
              <w:rPr>
                <w:rFonts w:ascii="Times New Roman" w:hAnsi="Times New Roman"/>
                <w:webHidden/>
              </w:rPr>
              <w:fldChar w:fldCharType="end"/>
            </w:r>
          </w:hyperlink>
        </w:p>
        <w:p w:rsidR="00016C55" w:rsidRPr="002C5F33" w:rsidRDefault="00016C55" w:rsidP="002C5F33">
          <w:pPr>
            <w:pStyle w:val="TOC1"/>
            <w:rPr>
              <w:rFonts w:ascii="Times New Roman" w:eastAsiaTheme="minorEastAsia" w:hAnsi="Times New Roman"/>
              <w:sz w:val="22"/>
              <w:szCs w:val="22"/>
            </w:rPr>
          </w:pPr>
          <w:hyperlink w:anchor="_Toc309730177" w:history="1">
            <w:r w:rsidRPr="002C5F33">
              <w:rPr>
                <w:rStyle w:val="Hyperlink"/>
                <w:rFonts w:ascii="Times New Roman" w:hAnsi="Times New Roman"/>
                <w:smallCaps/>
                <w:color w:val="auto"/>
                <w:spacing w:val="5"/>
              </w:rPr>
              <w:t>III.</w:t>
            </w:r>
            <w:r w:rsidR="002C5F33" w:rsidRPr="002C5F33">
              <w:rPr>
                <w:rFonts w:ascii="Times New Roman" w:eastAsiaTheme="minorEastAsia" w:hAnsi="Times New Roman"/>
                <w:sz w:val="22"/>
                <w:szCs w:val="22"/>
              </w:rPr>
              <w:t xml:space="preserve">     </w:t>
            </w:r>
            <w:r w:rsidRPr="002C5F33">
              <w:rPr>
                <w:rStyle w:val="Hyperlink"/>
                <w:rFonts w:ascii="Times New Roman" w:hAnsi="Times New Roman"/>
                <w:smallCaps/>
                <w:color w:val="auto"/>
                <w:spacing w:val="5"/>
              </w:rPr>
              <w:t>CRITERIA FOR AP</w:t>
            </w:r>
            <w:r w:rsidRPr="002C5F33">
              <w:rPr>
                <w:rStyle w:val="Hyperlink"/>
                <w:rFonts w:ascii="Times New Roman" w:hAnsi="Times New Roman"/>
                <w:smallCaps/>
                <w:color w:val="auto"/>
                <w:spacing w:val="5"/>
              </w:rPr>
              <w:t>P</w:t>
            </w:r>
            <w:r w:rsidRPr="002C5F33">
              <w:rPr>
                <w:rStyle w:val="Hyperlink"/>
                <w:rFonts w:ascii="Times New Roman" w:hAnsi="Times New Roman"/>
                <w:smallCaps/>
                <w:color w:val="auto"/>
                <w:spacing w:val="5"/>
              </w:rPr>
              <w:t>RO</w:t>
            </w:r>
            <w:r w:rsidRPr="002C5F33">
              <w:rPr>
                <w:rStyle w:val="Hyperlink"/>
                <w:rFonts w:ascii="Times New Roman" w:hAnsi="Times New Roman"/>
                <w:smallCaps/>
                <w:color w:val="auto"/>
                <w:spacing w:val="5"/>
              </w:rPr>
              <w:t>V</w:t>
            </w:r>
            <w:r w:rsidRPr="002C5F33">
              <w:rPr>
                <w:rStyle w:val="Hyperlink"/>
                <w:rFonts w:ascii="Times New Roman" w:hAnsi="Times New Roman"/>
                <w:smallCaps/>
                <w:color w:val="auto"/>
                <w:spacing w:val="5"/>
              </w:rPr>
              <w:t>AL OF A STIPULATION</w:t>
            </w:r>
            <w:r w:rsidR="002E27B7" w:rsidRPr="002C5F33">
              <w:rPr>
                <w:rStyle w:val="Hyperlink"/>
                <w:rFonts w:ascii="Times New Roman" w:hAnsi="Times New Roman"/>
                <w:smallCaps/>
                <w:color w:val="auto"/>
                <w:spacing w:val="5"/>
              </w:rPr>
              <w:t>………………</w:t>
            </w:r>
            <w:r w:rsidRPr="002C5F33">
              <w:rPr>
                <w:rFonts w:ascii="Times New Roman" w:hAnsi="Times New Roman"/>
                <w:webHidden/>
              </w:rPr>
              <w:tab/>
            </w:r>
            <w:r w:rsidRPr="002C5F33">
              <w:rPr>
                <w:rFonts w:ascii="Times New Roman" w:hAnsi="Times New Roman"/>
                <w:webHidden/>
              </w:rPr>
              <w:fldChar w:fldCharType="begin"/>
            </w:r>
            <w:r w:rsidRPr="002C5F33">
              <w:rPr>
                <w:rFonts w:ascii="Times New Roman" w:hAnsi="Times New Roman"/>
                <w:webHidden/>
              </w:rPr>
              <w:instrText xml:space="preserve"> PAGEREF _Toc309730177 \h </w:instrText>
            </w:r>
            <w:r w:rsidRPr="002C5F33">
              <w:rPr>
                <w:rFonts w:ascii="Times New Roman" w:hAnsi="Times New Roman"/>
                <w:webHidden/>
              </w:rPr>
            </w:r>
            <w:r w:rsidRPr="002C5F33">
              <w:rPr>
                <w:rFonts w:ascii="Times New Roman" w:hAnsi="Times New Roman"/>
                <w:webHidden/>
              </w:rPr>
              <w:fldChar w:fldCharType="separate"/>
            </w:r>
            <w:r w:rsidR="003A5C1C">
              <w:rPr>
                <w:rFonts w:ascii="Times New Roman" w:hAnsi="Times New Roman"/>
                <w:webHidden/>
              </w:rPr>
              <w:t>4</w:t>
            </w:r>
            <w:r w:rsidRPr="002C5F33">
              <w:rPr>
                <w:rFonts w:ascii="Times New Roman" w:hAnsi="Times New Roman"/>
                <w:webHidden/>
              </w:rPr>
              <w:fldChar w:fldCharType="end"/>
            </w:r>
          </w:hyperlink>
        </w:p>
        <w:p w:rsidR="00016C55" w:rsidRPr="002C5F33" w:rsidRDefault="00016C55" w:rsidP="002C5F33">
          <w:pPr>
            <w:pStyle w:val="TOC1"/>
            <w:rPr>
              <w:rFonts w:ascii="Times New Roman" w:eastAsiaTheme="minorEastAsia" w:hAnsi="Times New Roman"/>
              <w:sz w:val="22"/>
              <w:szCs w:val="22"/>
            </w:rPr>
          </w:pPr>
          <w:hyperlink w:anchor="_Toc309730178" w:history="1">
            <w:r w:rsidRPr="002C5F33">
              <w:rPr>
                <w:rStyle w:val="Hyperlink"/>
                <w:rFonts w:ascii="Times New Roman" w:hAnsi="Times New Roman"/>
                <w:smallCaps/>
                <w:color w:val="auto"/>
                <w:spacing w:val="5"/>
              </w:rPr>
              <w:t>IV.</w:t>
            </w:r>
            <w:r w:rsidR="002C5F33" w:rsidRPr="002C5F33">
              <w:rPr>
                <w:rFonts w:ascii="Times New Roman" w:eastAsiaTheme="minorEastAsia" w:hAnsi="Times New Roman"/>
                <w:sz w:val="22"/>
                <w:szCs w:val="22"/>
              </w:rPr>
              <w:t xml:space="preserve">      </w:t>
            </w:r>
            <w:r w:rsidRPr="002C5F33">
              <w:rPr>
                <w:rStyle w:val="Hyperlink"/>
                <w:rFonts w:ascii="Times New Roman" w:hAnsi="Times New Roman"/>
                <w:smallCaps/>
                <w:color w:val="auto"/>
                <w:spacing w:val="5"/>
              </w:rPr>
              <w:t>RESPONSE TO THE OHIO ENERGY GROUP</w:t>
            </w:r>
            <w:r w:rsidR="002E27B7" w:rsidRPr="002C5F33">
              <w:rPr>
                <w:rStyle w:val="Hyperlink"/>
                <w:rFonts w:ascii="Times New Roman" w:hAnsi="Times New Roman"/>
                <w:smallCaps/>
                <w:color w:val="auto"/>
                <w:spacing w:val="5"/>
              </w:rPr>
              <w:t>……………………</w:t>
            </w:r>
            <w:r w:rsidRPr="002C5F33">
              <w:rPr>
                <w:rFonts w:ascii="Times New Roman" w:hAnsi="Times New Roman"/>
                <w:webHidden/>
              </w:rPr>
              <w:tab/>
            </w:r>
            <w:r w:rsidRPr="002C5F33">
              <w:rPr>
                <w:rFonts w:ascii="Times New Roman" w:hAnsi="Times New Roman"/>
                <w:webHidden/>
              </w:rPr>
              <w:fldChar w:fldCharType="begin"/>
            </w:r>
            <w:r w:rsidRPr="002C5F33">
              <w:rPr>
                <w:rFonts w:ascii="Times New Roman" w:hAnsi="Times New Roman"/>
                <w:webHidden/>
              </w:rPr>
              <w:instrText xml:space="preserve"> PAGEREF _Toc309730178 \h </w:instrText>
            </w:r>
            <w:r w:rsidRPr="002C5F33">
              <w:rPr>
                <w:rFonts w:ascii="Times New Roman" w:hAnsi="Times New Roman"/>
                <w:webHidden/>
              </w:rPr>
            </w:r>
            <w:r w:rsidRPr="002C5F33">
              <w:rPr>
                <w:rFonts w:ascii="Times New Roman" w:hAnsi="Times New Roman"/>
                <w:webHidden/>
              </w:rPr>
              <w:fldChar w:fldCharType="separate"/>
            </w:r>
            <w:r w:rsidR="003A5C1C">
              <w:rPr>
                <w:rFonts w:ascii="Times New Roman" w:hAnsi="Times New Roman"/>
                <w:webHidden/>
              </w:rPr>
              <w:t>6</w:t>
            </w:r>
            <w:r w:rsidRPr="002C5F33">
              <w:rPr>
                <w:rFonts w:ascii="Times New Roman" w:hAnsi="Times New Roman"/>
                <w:webHidden/>
              </w:rPr>
              <w:fldChar w:fldCharType="end"/>
            </w:r>
          </w:hyperlink>
        </w:p>
        <w:p w:rsidR="00016C55" w:rsidRPr="002E27B7" w:rsidRDefault="00016C55" w:rsidP="002E27B7">
          <w:r w:rsidRPr="002C5F33">
            <w:fldChar w:fldCharType="end"/>
          </w:r>
        </w:p>
      </w:sdtContent>
    </w:sdt>
    <w:p w:rsidR="00D9271D" w:rsidRPr="002E27B7" w:rsidRDefault="00D9271D" w:rsidP="002E27B7">
      <w:pPr>
        <w:jc w:val="center"/>
        <w:rPr>
          <w:b/>
          <w:szCs w:val="24"/>
          <w:u w:val="single"/>
        </w:rPr>
      </w:pPr>
    </w:p>
    <w:p w:rsidR="00D9271D" w:rsidRPr="002E27B7" w:rsidRDefault="00D9271D" w:rsidP="002E27B7">
      <w:pPr>
        <w:jc w:val="center"/>
        <w:rPr>
          <w:b/>
          <w:szCs w:val="24"/>
        </w:rPr>
      </w:pPr>
      <w:r w:rsidRPr="002E27B7">
        <w:rPr>
          <w:b/>
          <w:szCs w:val="24"/>
        </w:rPr>
        <w:tab/>
      </w:r>
      <w:r w:rsidRPr="002E27B7">
        <w:rPr>
          <w:b/>
          <w:szCs w:val="24"/>
        </w:rPr>
        <w:tab/>
      </w:r>
      <w:r w:rsidRPr="002E27B7">
        <w:rPr>
          <w:b/>
          <w:szCs w:val="24"/>
        </w:rPr>
        <w:tab/>
      </w:r>
      <w:r w:rsidRPr="002E27B7">
        <w:rPr>
          <w:b/>
          <w:szCs w:val="24"/>
        </w:rPr>
        <w:tab/>
      </w:r>
      <w:r w:rsidRPr="002E27B7">
        <w:rPr>
          <w:b/>
          <w:szCs w:val="24"/>
        </w:rPr>
        <w:tab/>
      </w:r>
      <w:r w:rsidRPr="002E27B7">
        <w:rPr>
          <w:b/>
          <w:szCs w:val="24"/>
        </w:rPr>
        <w:tab/>
      </w:r>
      <w:r w:rsidRPr="002E27B7">
        <w:rPr>
          <w:b/>
          <w:szCs w:val="24"/>
        </w:rPr>
        <w:tab/>
      </w:r>
      <w:r w:rsidRPr="002E27B7">
        <w:rPr>
          <w:b/>
          <w:szCs w:val="24"/>
        </w:rPr>
        <w:tab/>
      </w:r>
      <w:r w:rsidRPr="002E27B7">
        <w:rPr>
          <w:b/>
          <w:szCs w:val="24"/>
        </w:rPr>
        <w:tab/>
      </w:r>
      <w:r w:rsidRPr="002E27B7">
        <w:rPr>
          <w:b/>
          <w:szCs w:val="24"/>
        </w:rPr>
        <w:tab/>
      </w:r>
    </w:p>
    <w:p w:rsidR="00631CDF" w:rsidRPr="002E27B7" w:rsidRDefault="00631CDF" w:rsidP="002C5F33">
      <w:pPr>
        <w:pStyle w:val="TOC1"/>
        <w:rPr>
          <w:rFonts w:asciiTheme="minorHAnsi" w:eastAsiaTheme="minorEastAsia" w:hAnsiTheme="minorHAnsi" w:cstheme="minorBidi"/>
          <w:sz w:val="22"/>
          <w:szCs w:val="22"/>
        </w:rPr>
      </w:pPr>
      <w:r w:rsidRPr="002E27B7">
        <w:fldChar w:fldCharType="begin"/>
      </w:r>
      <w:r w:rsidRPr="002E27B7">
        <w:instrText xml:space="preserve"> TOC \f \h \z </w:instrText>
      </w:r>
      <w:r w:rsidRPr="002E27B7">
        <w:fldChar w:fldCharType="separate"/>
      </w:r>
    </w:p>
    <w:p w:rsidR="00D9271D" w:rsidRPr="002E27B7" w:rsidRDefault="00631CDF" w:rsidP="002E27B7">
      <w:pPr>
        <w:tabs>
          <w:tab w:val="left" w:pos="1800"/>
          <w:tab w:val="center" w:pos="4320"/>
        </w:tabs>
        <w:overflowPunct/>
        <w:autoSpaceDE/>
        <w:autoSpaceDN/>
        <w:adjustRightInd/>
        <w:spacing w:after="200" w:line="276" w:lineRule="auto"/>
        <w:ind w:left="2160"/>
        <w:textAlignment w:val="auto"/>
        <w:rPr>
          <w:szCs w:val="24"/>
        </w:rPr>
        <w:sectPr w:rsidR="00D9271D" w:rsidRPr="002E27B7" w:rsidSect="002E27B7">
          <w:footerReference w:type="first" r:id="rId11"/>
          <w:pgSz w:w="12240" w:h="15840" w:code="1"/>
          <w:pgMar w:top="1440" w:right="1440" w:bottom="1440" w:left="2160" w:header="720" w:footer="720" w:gutter="0"/>
          <w:pgNumType w:fmt="lowerRoman" w:start="1"/>
          <w:cols w:space="720"/>
          <w:titlePg/>
          <w:docGrid w:linePitch="326"/>
        </w:sectPr>
      </w:pPr>
      <w:r w:rsidRPr="002E27B7">
        <w:rPr>
          <w:rFonts w:asciiTheme="majorHAnsi" w:hAnsiTheme="majorHAnsi"/>
          <w:b/>
          <w:bCs/>
          <w:caps/>
          <w:szCs w:val="24"/>
        </w:rPr>
        <w:fldChar w:fldCharType="end"/>
      </w:r>
    </w:p>
    <w:p w:rsidR="00D9271D" w:rsidRPr="002E27B7" w:rsidRDefault="00D9271D" w:rsidP="00165502">
      <w:pPr>
        <w:pStyle w:val="ListParagraph"/>
        <w:numPr>
          <w:ilvl w:val="0"/>
          <w:numId w:val="2"/>
        </w:numPr>
        <w:suppressLineNumbers/>
        <w:tabs>
          <w:tab w:val="left" w:pos="1800"/>
          <w:tab w:val="center" w:pos="3240"/>
        </w:tabs>
        <w:overflowPunct/>
        <w:autoSpaceDE/>
        <w:autoSpaceDN/>
        <w:adjustRightInd/>
        <w:spacing w:after="200" w:line="276" w:lineRule="auto"/>
        <w:jc w:val="center"/>
        <w:textAlignment w:val="auto"/>
        <w:rPr>
          <w:rStyle w:val="IntenseReference"/>
          <w:color w:val="auto"/>
        </w:rPr>
      </w:pPr>
      <w:r w:rsidRPr="002E27B7">
        <w:rPr>
          <w:rStyle w:val="IntenseReference"/>
          <w:color w:val="auto"/>
        </w:rPr>
        <w:lastRenderedPageBreak/>
        <w:t>INTRODUCTION AND PURPOSE OF TESTIMONY</w:t>
      </w:r>
      <w:r w:rsidR="005048D2" w:rsidRPr="002E27B7">
        <w:rPr>
          <w:rStyle w:val="IntenseReference"/>
          <w:color w:val="auto"/>
        </w:rPr>
        <w:fldChar w:fldCharType="begin"/>
      </w:r>
      <w:r w:rsidRPr="002E27B7">
        <w:rPr>
          <w:rStyle w:val="IntenseReference"/>
          <w:color w:val="auto"/>
        </w:rPr>
        <w:instrText xml:space="preserve"> TC "</w:instrText>
      </w:r>
      <w:bookmarkStart w:id="0" w:name="_Toc296694799"/>
      <w:bookmarkStart w:id="1" w:name="_Toc309729837"/>
      <w:r w:rsidRPr="002E27B7">
        <w:rPr>
          <w:rStyle w:val="IntenseReference"/>
          <w:color w:val="auto"/>
        </w:rPr>
        <w:instrText>I.  INTRODUCTION AND PURPOSE OF TESTIMONY</w:instrText>
      </w:r>
      <w:bookmarkEnd w:id="0"/>
      <w:bookmarkEnd w:id="1"/>
      <w:r w:rsidRPr="002E27B7">
        <w:rPr>
          <w:rStyle w:val="IntenseReference"/>
          <w:color w:val="auto"/>
        </w:rPr>
        <w:instrText xml:space="preserve">" \f C \l "1" </w:instrText>
      </w:r>
      <w:r w:rsidR="005048D2" w:rsidRPr="002E27B7">
        <w:rPr>
          <w:rStyle w:val="IntenseReference"/>
          <w:color w:val="auto"/>
        </w:rPr>
        <w:fldChar w:fldCharType="end"/>
      </w:r>
    </w:p>
    <w:p w:rsidR="00D9271D" w:rsidRPr="002E27B7" w:rsidRDefault="00D9271D" w:rsidP="00D9271D">
      <w:pPr>
        <w:spacing w:line="480" w:lineRule="auto"/>
        <w:jc w:val="both"/>
        <w:rPr>
          <w:b/>
          <w:szCs w:val="24"/>
        </w:rPr>
      </w:pPr>
      <w:r w:rsidRPr="002E27B7">
        <w:rPr>
          <w:b/>
          <w:szCs w:val="24"/>
        </w:rPr>
        <w:t>Q.</w:t>
      </w:r>
      <w:r w:rsidRPr="002E27B7">
        <w:rPr>
          <w:b/>
          <w:szCs w:val="24"/>
        </w:rPr>
        <w:tab/>
        <w:t>PLEASE STATE YOUR NAME AND BUSINESS ADDRESS.</w:t>
      </w:r>
    </w:p>
    <w:p w:rsidR="00D9271D" w:rsidRPr="002E27B7" w:rsidRDefault="00D9271D" w:rsidP="00D9271D">
      <w:pPr>
        <w:spacing w:line="480" w:lineRule="auto"/>
        <w:ind w:left="720" w:hanging="720"/>
        <w:jc w:val="both"/>
        <w:rPr>
          <w:szCs w:val="24"/>
        </w:rPr>
      </w:pPr>
      <w:r w:rsidRPr="002E27B7">
        <w:rPr>
          <w:szCs w:val="24"/>
        </w:rPr>
        <w:t>A.</w:t>
      </w:r>
      <w:r w:rsidRPr="002E27B7">
        <w:rPr>
          <w:szCs w:val="24"/>
        </w:rPr>
        <w:tab/>
        <w:t>My name is Timothy J. Duff.  My business address is 526 South Church Street, Charlotte, North Carolina 28202.</w:t>
      </w:r>
    </w:p>
    <w:p w:rsidR="00D9271D" w:rsidRPr="002E27B7" w:rsidRDefault="00D9271D" w:rsidP="00D9271D">
      <w:pPr>
        <w:spacing w:line="480" w:lineRule="auto"/>
        <w:ind w:left="720" w:hanging="720"/>
        <w:jc w:val="both"/>
        <w:rPr>
          <w:b/>
          <w:szCs w:val="24"/>
        </w:rPr>
      </w:pPr>
      <w:r w:rsidRPr="002E27B7">
        <w:rPr>
          <w:b/>
          <w:szCs w:val="24"/>
        </w:rPr>
        <w:t>Q.</w:t>
      </w:r>
      <w:r w:rsidRPr="002E27B7">
        <w:rPr>
          <w:b/>
          <w:szCs w:val="24"/>
        </w:rPr>
        <w:tab/>
        <w:t>BY WHOM ARE YOU EMPLOYED AND IN WHAT CAPACITY?</w:t>
      </w:r>
    </w:p>
    <w:p w:rsidR="00D9271D" w:rsidRPr="002E27B7" w:rsidRDefault="00D9271D" w:rsidP="00D9271D">
      <w:pPr>
        <w:spacing w:line="480" w:lineRule="auto"/>
        <w:ind w:left="720" w:hanging="720"/>
        <w:jc w:val="both"/>
        <w:rPr>
          <w:szCs w:val="24"/>
        </w:rPr>
      </w:pPr>
      <w:r w:rsidRPr="002E27B7">
        <w:rPr>
          <w:szCs w:val="24"/>
        </w:rPr>
        <w:t>A.</w:t>
      </w:r>
      <w:r w:rsidRPr="002E27B7">
        <w:rPr>
          <w:szCs w:val="24"/>
        </w:rPr>
        <w:tab/>
        <w:t>I am employed by Duke Energy Business Services LLC, an affiliate of Duke Energy Ohio, Inc</w:t>
      </w:r>
      <w:r w:rsidR="00596440" w:rsidRPr="002E27B7">
        <w:rPr>
          <w:szCs w:val="24"/>
        </w:rPr>
        <w:t>.,</w:t>
      </w:r>
      <w:r w:rsidRPr="002E27B7">
        <w:rPr>
          <w:szCs w:val="24"/>
        </w:rPr>
        <w:t xml:space="preserve"> (Duke Energy Ohio, or Company) as General Manager, Retail Customer and Regulatory Strategy, Customer Strategy &amp; Innovation.  </w:t>
      </w:r>
    </w:p>
    <w:p w:rsidR="00D9271D" w:rsidRPr="002E27B7" w:rsidRDefault="00D9271D" w:rsidP="00D9271D">
      <w:pPr>
        <w:spacing w:line="480" w:lineRule="auto"/>
        <w:ind w:left="720" w:hanging="720"/>
        <w:jc w:val="both"/>
        <w:rPr>
          <w:b/>
          <w:szCs w:val="24"/>
        </w:rPr>
      </w:pPr>
      <w:r w:rsidRPr="002E27B7">
        <w:rPr>
          <w:b/>
          <w:szCs w:val="24"/>
        </w:rPr>
        <w:t>Q.</w:t>
      </w:r>
      <w:r w:rsidRPr="002E27B7">
        <w:rPr>
          <w:b/>
          <w:szCs w:val="24"/>
        </w:rPr>
        <w:tab/>
      </w:r>
      <w:r w:rsidR="001C6681" w:rsidRPr="002E27B7">
        <w:rPr>
          <w:b/>
          <w:szCs w:val="24"/>
        </w:rPr>
        <w:t xml:space="preserve">ARE YOU THE SAME TIMOTHY J. DUFF </w:t>
      </w:r>
      <w:r w:rsidR="00352F25" w:rsidRPr="002E27B7">
        <w:rPr>
          <w:b/>
          <w:szCs w:val="24"/>
        </w:rPr>
        <w:t>WHO FILED</w:t>
      </w:r>
      <w:r w:rsidR="001C6681" w:rsidRPr="002E27B7">
        <w:rPr>
          <w:b/>
          <w:szCs w:val="24"/>
        </w:rPr>
        <w:t xml:space="preserve"> DIRECT TESTIMONY IN THIS PROCEEDING</w:t>
      </w:r>
      <w:r w:rsidR="00352F25" w:rsidRPr="002E27B7">
        <w:rPr>
          <w:b/>
          <w:szCs w:val="24"/>
        </w:rPr>
        <w:t xml:space="preserve"> ON JULY 20, 2011</w:t>
      </w:r>
      <w:r w:rsidRPr="002E27B7">
        <w:rPr>
          <w:b/>
          <w:szCs w:val="24"/>
        </w:rPr>
        <w:t>?</w:t>
      </w:r>
    </w:p>
    <w:p w:rsidR="00D9271D" w:rsidRPr="002E27B7" w:rsidRDefault="00D9271D" w:rsidP="00D9271D">
      <w:pPr>
        <w:spacing w:line="480" w:lineRule="auto"/>
        <w:ind w:left="720" w:hanging="720"/>
        <w:jc w:val="both"/>
        <w:rPr>
          <w:szCs w:val="24"/>
        </w:rPr>
      </w:pPr>
      <w:r w:rsidRPr="002E27B7">
        <w:rPr>
          <w:szCs w:val="24"/>
        </w:rPr>
        <w:t>A.</w:t>
      </w:r>
      <w:r w:rsidRPr="002E27B7">
        <w:rPr>
          <w:szCs w:val="24"/>
        </w:rPr>
        <w:tab/>
      </w:r>
      <w:r w:rsidR="001C6681" w:rsidRPr="002E27B7">
        <w:rPr>
          <w:szCs w:val="24"/>
        </w:rPr>
        <w:t>Yes</w:t>
      </w:r>
      <w:r w:rsidRPr="002E27B7">
        <w:rPr>
          <w:szCs w:val="24"/>
        </w:rPr>
        <w:t>.</w:t>
      </w:r>
    </w:p>
    <w:p w:rsidR="00D9271D" w:rsidRPr="002E27B7" w:rsidRDefault="00D9271D" w:rsidP="00D9271D">
      <w:pPr>
        <w:spacing w:line="480" w:lineRule="auto"/>
        <w:ind w:left="720" w:hanging="720"/>
        <w:jc w:val="both"/>
        <w:rPr>
          <w:b/>
          <w:szCs w:val="24"/>
        </w:rPr>
      </w:pPr>
      <w:r w:rsidRPr="002E27B7">
        <w:rPr>
          <w:b/>
          <w:szCs w:val="24"/>
        </w:rPr>
        <w:t>Q.</w:t>
      </w:r>
      <w:r w:rsidRPr="002E27B7">
        <w:rPr>
          <w:b/>
          <w:szCs w:val="24"/>
        </w:rPr>
        <w:tab/>
        <w:t xml:space="preserve">WHAT IS THE PURPOSE OF YOUR </w:t>
      </w:r>
      <w:r w:rsidR="00352F25" w:rsidRPr="002E27B7">
        <w:rPr>
          <w:b/>
          <w:szCs w:val="24"/>
        </w:rPr>
        <w:t>SUPPLEMENTAL</w:t>
      </w:r>
      <w:r w:rsidR="00596440" w:rsidRPr="002E27B7">
        <w:rPr>
          <w:b/>
          <w:szCs w:val="24"/>
        </w:rPr>
        <w:t xml:space="preserve"> DIRECT</w:t>
      </w:r>
      <w:r w:rsidR="00352F25" w:rsidRPr="002E27B7">
        <w:rPr>
          <w:b/>
          <w:szCs w:val="24"/>
        </w:rPr>
        <w:t xml:space="preserve"> </w:t>
      </w:r>
      <w:r w:rsidRPr="002E27B7">
        <w:rPr>
          <w:b/>
          <w:szCs w:val="24"/>
        </w:rPr>
        <w:t>TESTIMONY IN THIS PROCEEDING?</w:t>
      </w:r>
    </w:p>
    <w:p w:rsidR="00352F25" w:rsidRPr="002E27B7" w:rsidRDefault="00D9271D" w:rsidP="00D9271D">
      <w:pPr>
        <w:spacing w:line="480" w:lineRule="auto"/>
        <w:ind w:left="720" w:hanging="720"/>
        <w:jc w:val="both"/>
        <w:rPr>
          <w:szCs w:val="24"/>
        </w:rPr>
      </w:pPr>
      <w:r w:rsidRPr="002E27B7">
        <w:rPr>
          <w:szCs w:val="24"/>
        </w:rPr>
        <w:t>A.</w:t>
      </w:r>
      <w:r w:rsidRPr="002E27B7">
        <w:rPr>
          <w:szCs w:val="24"/>
        </w:rPr>
        <w:tab/>
        <w:t xml:space="preserve">The purpose of my </w:t>
      </w:r>
      <w:r w:rsidR="00352F25" w:rsidRPr="002E27B7">
        <w:rPr>
          <w:szCs w:val="24"/>
        </w:rPr>
        <w:t xml:space="preserve">supplemental </w:t>
      </w:r>
      <w:r w:rsidR="00596440" w:rsidRPr="002E27B7">
        <w:rPr>
          <w:szCs w:val="24"/>
        </w:rPr>
        <w:t xml:space="preserve">direct </w:t>
      </w:r>
      <w:r w:rsidRPr="002E27B7">
        <w:rPr>
          <w:szCs w:val="24"/>
        </w:rPr>
        <w:t xml:space="preserve">testimony is to </w:t>
      </w:r>
      <w:r w:rsidR="00352F25" w:rsidRPr="002E27B7">
        <w:rPr>
          <w:szCs w:val="24"/>
        </w:rPr>
        <w:t xml:space="preserve">support the Stipulation and Recommendation (Stipulation) related to the </w:t>
      </w:r>
      <w:r w:rsidR="00596440" w:rsidRPr="002E27B7">
        <w:rPr>
          <w:szCs w:val="24"/>
        </w:rPr>
        <w:t xml:space="preserve">Company’s </w:t>
      </w:r>
      <w:r w:rsidR="00352F25" w:rsidRPr="002E27B7">
        <w:rPr>
          <w:szCs w:val="24"/>
        </w:rPr>
        <w:t>application in this proceeding</w:t>
      </w:r>
      <w:r w:rsidR="00596440" w:rsidRPr="002E27B7">
        <w:rPr>
          <w:szCs w:val="24"/>
        </w:rPr>
        <w:t>; a Stipulation filed by all but one of the parties</w:t>
      </w:r>
      <w:r w:rsidR="00C10594" w:rsidRPr="002E27B7">
        <w:rPr>
          <w:szCs w:val="24"/>
        </w:rPr>
        <w:t xml:space="preserve"> to this proceeding. </w:t>
      </w:r>
      <w:r w:rsidR="00596440" w:rsidRPr="002E27B7">
        <w:rPr>
          <w:szCs w:val="24"/>
        </w:rPr>
        <w:t xml:space="preserve"> </w:t>
      </w:r>
      <w:r w:rsidR="00352F25" w:rsidRPr="002E27B7">
        <w:rPr>
          <w:szCs w:val="24"/>
        </w:rPr>
        <w:t xml:space="preserve"> I will discuss the criteria employed by the Public Utilities Commission of Ohio (Commission) when reviewing stipulations.   My testimony will confirm that the Stipulation filed in this proceeding: (1) is the product of serious bargaining among capable, knowledgeable parties; (2) doe</w:t>
      </w:r>
      <w:r w:rsidR="00C10594" w:rsidRPr="002E27B7">
        <w:rPr>
          <w:szCs w:val="24"/>
        </w:rPr>
        <w:t>s</w:t>
      </w:r>
      <w:r w:rsidR="00352F25" w:rsidRPr="002E27B7">
        <w:rPr>
          <w:szCs w:val="24"/>
        </w:rPr>
        <w:t xml:space="preserve"> not violate any important regulatory principle or practice; and (3) as a package, benefits ratepayers and the public interest.  I will explain that the Stipulation is a fair and reasonable resolution to the issues relevant to this proceeding.   Finally, I will address issues raised by the Ohio Energy Group’s witness, Stephen Baron.  </w:t>
      </w:r>
    </w:p>
    <w:p w:rsidR="00352F25" w:rsidRPr="002E27B7" w:rsidRDefault="00352F25" w:rsidP="00165502">
      <w:pPr>
        <w:pStyle w:val="ListParagraph"/>
        <w:numPr>
          <w:ilvl w:val="0"/>
          <w:numId w:val="2"/>
        </w:numPr>
        <w:spacing w:line="480" w:lineRule="auto"/>
        <w:jc w:val="center"/>
        <w:outlineLvl w:val="0"/>
        <w:rPr>
          <w:rStyle w:val="IntenseReference"/>
          <w:color w:val="auto"/>
        </w:rPr>
      </w:pPr>
      <w:bookmarkStart w:id="2" w:name="_Toc309730176"/>
      <w:r w:rsidRPr="002E27B7">
        <w:rPr>
          <w:rStyle w:val="IntenseReference"/>
          <w:color w:val="auto"/>
        </w:rPr>
        <w:lastRenderedPageBreak/>
        <w:t>OVERVIEW OF THE STIPULATION</w:t>
      </w:r>
      <w:bookmarkEnd w:id="2"/>
    </w:p>
    <w:p w:rsidR="00366EF6" w:rsidRPr="002E27B7" w:rsidRDefault="00366EF6" w:rsidP="00D9271D">
      <w:pPr>
        <w:spacing w:line="480" w:lineRule="auto"/>
        <w:ind w:left="720" w:hanging="720"/>
        <w:jc w:val="both"/>
        <w:rPr>
          <w:szCs w:val="24"/>
        </w:rPr>
      </w:pPr>
      <w:r w:rsidRPr="002E27B7">
        <w:rPr>
          <w:b/>
          <w:szCs w:val="24"/>
        </w:rPr>
        <w:t>Q.</w:t>
      </w:r>
      <w:r w:rsidRPr="002E27B7">
        <w:rPr>
          <w:b/>
          <w:szCs w:val="24"/>
        </w:rPr>
        <w:tab/>
        <w:t>PLEASE IDENTIFY THE SIGNATORY PARTIES TO THE STIPULATION</w:t>
      </w:r>
      <w:r w:rsidRPr="002E27B7">
        <w:rPr>
          <w:szCs w:val="24"/>
        </w:rPr>
        <w:t>.</w:t>
      </w:r>
    </w:p>
    <w:p w:rsidR="00D9271D" w:rsidRPr="002E27B7" w:rsidRDefault="00366EF6" w:rsidP="00D9271D">
      <w:pPr>
        <w:spacing w:line="480" w:lineRule="auto"/>
        <w:ind w:left="720" w:hanging="720"/>
        <w:jc w:val="both"/>
        <w:rPr>
          <w:szCs w:val="24"/>
        </w:rPr>
      </w:pPr>
      <w:r w:rsidRPr="002E27B7">
        <w:rPr>
          <w:szCs w:val="24"/>
        </w:rPr>
        <w:t>A.</w:t>
      </w:r>
      <w:r w:rsidRPr="002E27B7">
        <w:rPr>
          <w:szCs w:val="24"/>
        </w:rPr>
        <w:tab/>
        <w:t xml:space="preserve">Nine parties intervened in this proceeding, and only one chose not to enter into the Stipulation.  </w:t>
      </w:r>
      <w:r w:rsidR="00D9271D" w:rsidRPr="002E27B7">
        <w:rPr>
          <w:szCs w:val="24"/>
        </w:rPr>
        <w:t xml:space="preserve"> </w:t>
      </w:r>
      <w:r w:rsidRPr="002E27B7">
        <w:rPr>
          <w:szCs w:val="24"/>
        </w:rPr>
        <w:t>The parties reflect diverse interests and represent customers in Duke Energy Ohio’s service territory.  The parties include, the Office of the Ohio Consumers’ Counsel, Ohio Partners for Affordable Energy, Vectren Retail, LLC, People Working Cooperatively, the Ohio Environmental Council, the Environmental Law &amp; Policy Center, the Natural Resources Defense Council, the Sierra Club and the Ohio Energy Group.   O</w:t>
      </w:r>
      <w:r w:rsidR="001C250D" w:rsidRPr="002E27B7">
        <w:rPr>
          <w:szCs w:val="24"/>
        </w:rPr>
        <w:t>f</w:t>
      </w:r>
      <w:r w:rsidRPr="002E27B7">
        <w:rPr>
          <w:szCs w:val="24"/>
        </w:rPr>
        <w:t xml:space="preserve"> these nine intervening parties, only one, the Ohio Energy Group chose not to support the Stipulation</w:t>
      </w:r>
    </w:p>
    <w:p w:rsidR="00366EF6" w:rsidRPr="002E27B7" w:rsidRDefault="00366EF6" w:rsidP="00D9271D">
      <w:pPr>
        <w:spacing w:line="480" w:lineRule="auto"/>
        <w:ind w:left="720" w:hanging="720"/>
        <w:jc w:val="both"/>
        <w:rPr>
          <w:b/>
          <w:szCs w:val="24"/>
        </w:rPr>
      </w:pPr>
      <w:r w:rsidRPr="002E27B7">
        <w:rPr>
          <w:b/>
          <w:szCs w:val="24"/>
        </w:rPr>
        <w:t>Q.</w:t>
      </w:r>
      <w:r w:rsidRPr="002E27B7">
        <w:rPr>
          <w:b/>
          <w:szCs w:val="24"/>
        </w:rPr>
        <w:tab/>
        <w:t>PLEASE PROVIDE AN OVERVIEW OF THE TERMS OF THE SETTLEMENT AGREEMENT AS DETAILED IN THE STIPULATION.</w:t>
      </w:r>
    </w:p>
    <w:p w:rsidR="00366EF6" w:rsidRPr="002E27B7" w:rsidRDefault="00366EF6" w:rsidP="00D9271D">
      <w:pPr>
        <w:spacing w:line="480" w:lineRule="auto"/>
        <w:ind w:left="720" w:hanging="720"/>
        <w:jc w:val="both"/>
        <w:rPr>
          <w:szCs w:val="24"/>
        </w:rPr>
      </w:pPr>
      <w:r w:rsidRPr="002E27B7">
        <w:rPr>
          <w:szCs w:val="24"/>
        </w:rPr>
        <w:t>A.</w:t>
      </w:r>
      <w:r w:rsidRPr="002E27B7">
        <w:rPr>
          <w:szCs w:val="24"/>
        </w:rPr>
        <w:tab/>
        <w:t xml:space="preserve">The Stipulation provides that the Company will be permitted to recover certain costs related to its energy efficiency and peak demand reduction programs.   Cost recovery will include program specific costs, as well as a </w:t>
      </w:r>
      <w:r w:rsidR="00E94696" w:rsidRPr="002E27B7">
        <w:rPr>
          <w:szCs w:val="24"/>
        </w:rPr>
        <w:t xml:space="preserve">shared savings </w:t>
      </w:r>
      <w:r w:rsidRPr="002E27B7">
        <w:rPr>
          <w:szCs w:val="24"/>
        </w:rPr>
        <w:t>incentive mechanism that i</w:t>
      </w:r>
      <w:r w:rsidR="001C250D" w:rsidRPr="002E27B7">
        <w:rPr>
          <w:szCs w:val="24"/>
        </w:rPr>
        <w:t xml:space="preserve">s based on </w:t>
      </w:r>
      <w:r w:rsidR="00C76029" w:rsidRPr="002E27B7">
        <w:rPr>
          <w:szCs w:val="24"/>
        </w:rPr>
        <w:t>Duke Energy Ohio</w:t>
      </w:r>
      <w:r w:rsidR="001C250D" w:rsidRPr="002E27B7">
        <w:rPr>
          <w:szCs w:val="24"/>
        </w:rPr>
        <w:t xml:space="preserve"> sharing a small percentage of the net benefits associated with energy efficiency impacts achieved through its portfolio of programs.</w:t>
      </w:r>
      <w:r w:rsidRPr="002E27B7">
        <w:rPr>
          <w:szCs w:val="24"/>
        </w:rPr>
        <w:t xml:space="preserve">  The incentive mechanism does not apply until the Company has exceeded its target for annual compliance with the Commission’s regulations for energy efficiency.  </w:t>
      </w:r>
    </w:p>
    <w:p w:rsidR="00366EF6" w:rsidRPr="002E27B7" w:rsidRDefault="00366EF6" w:rsidP="00D9271D">
      <w:pPr>
        <w:spacing w:line="480" w:lineRule="auto"/>
        <w:ind w:left="720" w:hanging="720"/>
        <w:jc w:val="both"/>
        <w:rPr>
          <w:szCs w:val="24"/>
        </w:rPr>
      </w:pPr>
      <w:r w:rsidRPr="002E27B7">
        <w:rPr>
          <w:szCs w:val="24"/>
        </w:rPr>
        <w:tab/>
      </w:r>
      <w:r w:rsidR="004A5824" w:rsidRPr="002E27B7">
        <w:rPr>
          <w:szCs w:val="24"/>
        </w:rPr>
        <w:tab/>
      </w:r>
      <w:r w:rsidRPr="002E27B7">
        <w:rPr>
          <w:szCs w:val="24"/>
        </w:rPr>
        <w:t>The Stipulation also pr</w:t>
      </w:r>
      <w:r w:rsidR="00E94696" w:rsidRPr="002E27B7">
        <w:rPr>
          <w:szCs w:val="24"/>
        </w:rPr>
        <w:t xml:space="preserve">eserves the Company’s right to request the recovery of lost distribution revenues from all customers, should the Commission not </w:t>
      </w:r>
      <w:r w:rsidR="00E94696" w:rsidRPr="002E27B7">
        <w:rPr>
          <w:szCs w:val="24"/>
        </w:rPr>
        <w:lastRenderedPageBreak/>
        <w:t xml:space="preserve">approve the </w:t>
      </w:r>
      <w:r w:rsidR="00E94696" w:rsidRPr="002E27B7">
        <w:t xml:space="preserve">distribution revenue decoupling mechanism that the Company will be filing pursuant to Section IX.H of the stipulation in </w:t>
      </w:r>
      <w:r w:rsidR="00B07FAE" w:rsidRPr="002E27B7">
        <w:t xml:space="preserve">Duke Energy Ohio’s Electric Security Plan, </w:t>
      </w:r>
      <w:r w:rsidR="00E94696" w:rsidRPr="002E27B7">
        <w:t xml:space="preserve">Case No. 11-3549-EL-SSO.  It also preserves the Company’s </w:t>
      </w:r>
      <w:r w:rsidR="00E94696" w:rsidRPr="002E27B7">
        <w:rPr>
          <w:szCs w:val="24"/>
        </w:rPr>
        <w:t xml:space="preserve"> right to request lost distribution recovery from all customers not included in the </w:t>
      </w:r>
      <w:r w:rsidR="00E94696" w:rsidRPr="002E27B7">
        <w:t xml:space="preserve">distribution revenue decoupling mechanism that the Company will be filing pursuant to Section IX.H of the stipulation in Case No. 11-3549-EL-SSO.  All </w:t>
      </w:r>
      <w:r w:rsidR="00E94696" w:rsidRPr="002E27B7">
        <w:rPr>
          <w:szCs w:val="24"/>
        </w:rPr>
        <w:t>s</w:t>
      </w:r>
      <w:r w:rsidR="004276AE" w:rsidRPr="002E27B7">
        <w:rPr>
          <w:szCs w:val="24"/>
        </w:rPr>
        <w:t xml:space="preserve">tipulating parties </w:t>
      </w:r>
      <w:r w:rsidR="00B07FAE" w:rsidRPr="002E27B7">
        <w:rPr>
          <w:szCs w:val="24"/>
        </w:rPr>
        <w:t xml:space="preserve">in this proceeding </w:t>
      </w:r>
      <w:r w:rsidR="004276AE" w:rsidRPr="002E27B7">
        <w:rPr>
          <w:szCs w:val="24"/>
        </w:rPr>
        <w:t>reserve the right to take any position with respect to such request</w:t>
      </w:r>
      <w:r w:rsidR="00E94696" w:rsidRPr="002E27B7">
        <w:rPr>
          <w:szCs w:val="24"/>
        </w:rPr>
        <w:t>s</w:t>
      </w:r>
      <w:r w:rsidR="004276AE" w:rsidRPr="002E27B7">
        <w:rPr>
          <w:szCs w:val="24"/>
        </w:rPr>
        <w:t xml:space="preserve">. </w:t>
      </w:r>
    </w:p>
    <w:p w:rsidR="004276AE" w:rsidRPr="002E27B7" w:rsidRDefault="004276AE" w:rsidP="004A5824">
      <w:pPr>
        <w:spacing w:line="480" w:lineRule="auto"/>
        <w:ind w:left="720" w:firstLine="720"/>
        <w:jc w:val="both"/>
        <w:rPr>
          <w:szCs w:val="24"/>
        </w:rPr>
      </w:pPr>
      <w:r w:rsidRPr="002E27B7">
        <w:rPr>
          <w:szCs w:val="24"/>
        </w:rPr>
        <w:t xml:space="preserve">The Stipulation </w:t>
      </w:r>
      <w:r w:rsidR="00C76029" w:rsidRPr="002E27B7">
        <w:rPr>
          <w:szCs w:val="24"/>
        </w:rPr>
        <w:t>recommends that the Commission approve th</w:t>
      </w:r>
      <w:r w:rsidR="001C250D" w:rsidRPr="002E27B7">
        <w:rPr>
          <w:szCs w:val="24"/>
        </w:rPr>
        <w:t xml:space="preserve">ree </w:t>
      </w:r>
      <w:r w:rsidRPr="002E27B7">
        <w:rPr>
          <w:szCs w:val="24"/>
        </w:rPr>
        <w:t xml:space="preserve">additional programs proposed by the Company for inclusion in its portfolio of energy efficiency and peak demand reduction programs.  </w:t>
      </w:r>
    </w:p>
    <w:p w:rsidR="00E94696" w:rsidRPr="002E27B7" w:rsidRDefault="00E94696" w:rsidP="004A5824">
      <w:pPr>
        <w:spacing w:line="480" w:lineRule="auto"/>
        <w:ind w:left="720" w:firstLine="720"/>
        <w:jc w:val="both"/>
        <w:rPr>
          <w:szCs w:val="24"/>
        </w:rPr>
      </w:pPr>
      <w:r w:rsidRPr="002E27B7">
        <w:t xml:space="preserve">The Stipulation requires the Company </w:t>
      </w:r>
      <w:r w:rsidR="00B07FAE" w:rsidRPr="002E27B7">
        <w:t xml:space="preserve">to </w:t>
      </w:r>
      <w:r w:rsidRPr="002E27B7">
        <w:t>continue to work with the Duke Energy Community Partnership Collaborative to develop a more comprehensive low</w:t>
      </w:r>
      <w:r w:rsidR="00B07FAE" w:rsidRPr="002E27B7">
        <w:t>-</w:t>
      </w:r>
      <w:r w:rsidRPr="002E27B7">
        <w:t>income program that complements both the new Low</w:t>
      </w:r>
      <w:r w:rsidR="00B07FAE" w:rsidRPr="002E27B7">
        <w:t>-</w:t>
      </w:r>
      <w:r w:rsidRPr="002E27B7">
        <w:t>Income Neighborhood Program and the existing low</w:t>
      </w:r>
      <w:r w:rsidR="00B07FAE" w:rsidRPr="002E27B7">
        <w:t>-</w:t>
      </w:r>
      <w:r w:rsidRPr="002E27B7">
        <w:t>income weatherization programs that are performed outside of the Company’s existing energy efficiency portfolio of programs.</w:t>
      </w:r>
    </w:p>
    <w:p w:rsidR="004276AE" w:rsidRPr="002E27B7" w:rsidRDefault="004276AE" w:rsidP="004A5824">
      <w:pPr>
        <w:spacing w:line="480" w:lineRule="auto"/>
        <w:ind w:left="720" w:firstLine="720"/>
        <w:jc w:val="both"/>
        <w:rPr>
          <w:szCs w:val="24"/>
        </w:rPr>
      </w:pPr>
      <w:r w:rsidRPr="002E27B7">
        <w:rPr>
          <w:szCs w:val="24"/>
        </w:rPr>
        <w:t xml:space="preserve">The Stipulation further provides that costs related to mercantile customer programs, including incentives paid to mercantile customers, will be included for calculation of the Rider EE-PDR but load associated with these customers will be excluded from the Company’s calculation of its baseline and impacts achieved will likewise be removed from calculation of portfolio impacts to determine the Company’s performance relative to its target.  </w:t>
      </w:r>
    </w:p>
    <w:p w:rsidR="00E94696" w:rsidRPr="002E27B7" w:rsidRDefault="00E94696" w:rsidP="004A5824">
      <w:pPr>
        <w:spacing w:line="480" w:lineRule="auto"/>
        <w:ind w:left="720" w:firstLine="720"/>
        <w:jc w:val="both"/>
        <w:rPr>
          <w:szCs w:val="24"/>
        </w:rPr>
      </w:pPr>
      <w:r w:rsidRPr="002E27B7">
        <w:rPr>
          <w:szCs w:val="24"/>
        </w:rPr>
        <w:lastRenderedPageBreak/>
        <w:t>The Stipulation specifies that</w:t>
      </w:r>
      <w:r w:rsidRPr="002E27B7">
        <w:t xml:space="preserve"> transmission and distribution (T&amp;D) investments that reduce line losses</w:t>
      </w:r>
      <w:r w:rsidR="00596440" w:rsidRPr="002E27B7">
        <w:t>,</w:t>
      </w:r>
      <w:r w:rsidRPr="002E27B7">
        <w:t xml:space="preserve"> shall also not be counted in annual savings used to determine the Company's degree of over-compliance with the energy efficiency benchmark, and shall not be eligible for any shared savings incentive.</w:t>
      </w:r>
    </w:p>
    <w:p w:rsidR="00D63A78" w:rsidRPr="002E27B7" w:rsidRDefault="004276AE" w:rsidP="004A5824">
      <w:pPr>
        <w:spacing w:line="480" w:lineRule="auto"/>
        <w:ind w:left="720" w:firstLine="720"/>
        <w:jc w:val="both"/>
        <w:rPr>
          <w:szCs w:val="24"/>
        </w:rPr>
      </w:pPr>
      <w:r w:rsidRPr="002E27B7">
        <w:rPr>
          <w:szCs w:val="24"/>
        </w:rPr>
        <w:t xml:space="preserve">Finally, the Stipulation has provisions to allow Vectren Products and Services, LLC, d/b/a GreenStreet Solutions to participate in the Duke Energy Ohio </w:t>
      </w:r>
      <w:r w:rsidR="00D63A78" w:rsidRPr="002E27B7">
        <w:rPr>
          <w:szCs w:val="24"/>
        </w:rPr>
        <w:t>energy efficiency collaborative</w:t>
      </w:r>
      <w:r w:rsidR="001C250D" w:rsidRPr="002E27B7">
        <w:rPr>
          <w:szCs w:val="24"/>
        </w:rPr>
        <w:t>.</w:t>
      </w:r>
      <w:r w:rsidR="00D63A78" w:rsidRPr="002E27B7">
        <w:rPr>
          <w:szCs w:val="24"/>
        </w:rPr>
        <w:t xml:space="preserve">  </w:t>
      </w:r>
    </w:p>
    <w:p w:rsidR="00D9271D" w:rsidRPr="002E27B7" w:rsidRDefault="00D63A78" w:rsidP="00165502">
      <w:pPr>
        <w:pStyle w:val="ListParagraph"/>
        <w:numPr>
          <w:ilvl w:val="0"/>
          <w:numId w:val="2"/>
        </w:numPr>
        <w:spacing w:line="480" w:lineRule="auto"/>
        <w:jc w:val="center"/>
        <w:outlineLvl w:val="0"/>
        <w:rPr>
          <w:rStyle w:val="IntenseReference"/>
          <w:color w:val="auto"/>
        </w:rPr>
      </w:pPr>
      <w:bookmarkStart w:id="3" w:name="_Toc309730177"/>
      <w:r w:rsidRPr="002E27B7">
        <w:rPr>
          <w:rStyle w:val="IntenseReference"/>
          <w:color w:val="auto"/>
        </w:rPr>
        <w:t>CRITERIA FOR APPROVAL OF A STIPULATION</w:t>
      </w:r>
      <w:bookmarkEnd w:id="3"/>
    </w:p>
    <w:p w:rsidR="00D63A78" w:rsidRPr="002E27B7" w:rsidRDefault="00D63A78" w:rsidP="00FA5158">
      <w:pPr>
        <w:spacing w:line="480" w:lineRule="auto"/>
        <w:ind w:left="720" w:hanging="720"/>
        <w:jc w:val="both"/>
      </w:pPr>
      <w:r w:rsidRPr="002E27B7">
        <w:rPr>
          <w:b/>
        </w:rPr>
        <w:t>Q.</w:t>
      </w:r>
      <w:r w:rsidRPr="002E27B7">
        <w:rPr>
          <w:b/>
        </w:rPr>
        <w:tab/>
        <w:t>PLEASE IDENTIFY THE CRITERIA USED BY THE COMMISSION IN REVIEWING A STIPULATION.</w:t>
      </w:r>
    </w:p>
    <w:p w:rsidR="00D63A78" w:rsidRPr="002E27B7" w:rsidRDefault="00D63A78" w:rsidP="00FA5158">
      <w:pPr>
        <w:spacing w:line="480" w:lineRule="auto"/>
        <w:ind w:left="720" w:hanging="720"/>
        <w:jc w:val="both"/>
      </w:pPr>
      <w:r w:rsidRPr="002E27B7">
        <w:t>A.</w:t>
      </w:r>
      <w:r w:rsidRPr="002E27B7">
        <w:tab/>
        <w:t>As I understand it, the Commission will approve a stipulation when it (1) is the product of serious bargaining among capable, knowledgeable parties; (2) does not violate any important regulatory principle or practice, and (3) as a package benefits ratepayers and the public interest.</w:t>
      </w:r>
    </w:p>
    <w:p w:rsidR="00D63A78" w:rsidRPr="002E27B7" w:rsidRDefault="00D63A78" w:rsidP="00FA5158">
      <w:pPr>
        <w:spacing w:line="480" w:lineRule="auto"/>
        <w:ind w:left="720" w:hanging="720"/>
        <w:jc w:val="both"/>
        <w:rPr>
          <w:b/>
        </w:rPr>
      </w:pPr>
      <w:r w:rsidRPr="002E27B7">
        <w:rPr>
          <w:b/>
        </w:rPr>
        <w:t>Q.</w:t>
      </w:r>
      <w:r w:rsidRPr="002E27B7">
        <w:rPr>
          <w:b/>
        </w:rPr>
        <w:tab/>
        <w:t>DOES THE STIPULATION REPRESENT THE PRODUCT OF SERIOUS BARGAINING AMONG CAPABLE, KNOWLEDGEABLE PARTIES?</w:t>
      </w:r>
    </w:p>
    <w:p w:rsidR="00D63A78" w:rsidRPr="002E27B7" w:rsidRDefault="00D63A78" w:rsidP="00FA5158">
      <w:pPr>
        <w:spacing w:line="480" w:lineRule="auto"/>
        <w:ind w:left="720" w:hanging="720"/>
        <w:jc w:val="both"/>
      </w:pPr>
      <w:r w:rsidRPr="002E27B7">
        <w:t>A.</w:t>
      </w:r>
      <w:r w:rsidRPr="002E27B7">
        <w:tab/>
        <w:t xml:space="preserve">Yes.   The capability and knowledge of the parties and their counsel is readily apparent.   The signatory parties regularly participate in rate proceedings before the Commission, are very knowledgeable in regulatory matters, and were represented by experienced competent counsel.  Furthermore, the signatory parties represent a broad range of interests. </w:t>
      </w:r>
    </w:p>
    <w:p w:rsidR="00D63A78" w:rsidRPr="002E27B7" w:rsidRDefault="00D63A78" w:rsidP="00FA5158">
      <w:pPr>
        <w:spacing w:line="480" w:lineRule="auto"/>
        <w:ind w:left="720" w:hanging="720"/>
        <w:jc w:val="both"/>
      </w:pPr>
      <w:r w:rsidRPr="002E27B7">
        <w:tab/>
      </w:r>
      <w:r w:rsidRPr="002E27B7">
        <w:tab/>
        <w:t xml:space="preserve">I personally participated in the process that resulted in the Stipulation.   I can therefore confirm that all of the issues raised by the signatory parties in the </w:t>
      </w:r>
      <w:r w:rsidRPr="002E27B7">
        <w:lastRenderedPageBreak/>
        <w:t>proceeding were thoroughly reviewed and addressed during negotiations and despite the divergent interests among them, all parties had an opportunity to express their opinions in the negotiation process.</w:t>
      </w:r>
    </w:p>
    <w:p w:rsidR="00D63A78" w:rsidRPr="002E27B7" w:rsidRDefault="00D63A78" w:rsidP="00FA5158">
      <w:pPr>
        <w:spacing w:line="480" w:lineRule="auto"/>
        <w:ind w:left="720" w:hanging="720"/>
        <w:jc w:val="both"/>
      </w:pPr>
      <w:r w:rsidRPr="002E27B7">
        <w:tab/>
      </w:r>
      <w:r w:rsidRPr="002E27B7">
        <w:tab/>
        <w:t>Further, the settlement discussions resulted in beneficial modifications and compromises, thereby confirming that serious bargaining occurred at settlement meetings.</w:t>
      </w:r>
    </w:p>
    <w:p w:rsidR="00D63A78" w:rsidRPr="002E27B7" w:rsidRDefault="00D63A78" w:rsidP="00FA5158">
      <w:pPr>
        <w:spacing w:line="480" w:lineRule="auto"/>
        <w:ind w:left="720" w:hanging="720"/>
        <w:jc w:val="both"/>
      </w:pPr>
      <w:r w:rsidRPr="002E27B7">
        <w:tab/>
      </w:r>
      <w:r w:rsidRPr="002E27B7">
        <w:tab/>
        <w:t>For all of these reasons, I believe that the Stipulation is a compromise resulting from those negotiations and, therefore, represents a product of the efforts of capable, knowledgeable parties.</w:t>
      </w:r>
    </w:p>
    <w:p w:rsidR="00D63A78" w:rsidRPr="002E27B7" w:rsidRDefault="00D63A78" w:rsidP="00FA5158">
      <w:pPr>
        <w:spacing w:line="480" w:lineRule="auto"/>
        <w:ind w:left="720" w:hanging="720"/>
        <w:jc w:val="both"/>
        <w:rPr>
          <w:b/>
        </w:rPr>
      </w:pPr>
      <w:r w:rsidRPr="002E27B7">
        <w:rPr>
          <w:b/>
        </w:rPr>
        <w:t>Q.</w:t>
      </w:r>
      <w:r w:rsidRPr="002E27B7">
        <w:rPr>
          <w:b/>
        </w:rPr>
        <w:tab/>
        <w:t>DOES THE STIPULATION VIOLATE ANY IMPORTANT REGULATORY PRINCIPLE OR PRACTICE?</w:t>
      </w:r>
    </w:p>
    <w:p w:rsidR="00D63A78" w:rsidRPr="002E27B7" w:rsidRDefault="00D63A78" w:rsidP="00FA5158">
      <w:pPr>
        <w:spacing w:line="480" w:lineRule="auto"/>
        <w:ind w:left="720" w:hanging="720"/>
        <w:jc w:val="both"/>
      </w:pPr>
      <w:r w:rsidRPr="002E27B7">
        <w:t>A.</w:t>
      </w:r>
      <w:r w:rsidRPr="002E27B7">
        <w:tab/>
      </w:r>
      <w:r w:rsidR="00BE3019" w:rsidRPr="002E27B7">
        <w:t xml:space="preserve">No.  Based upon my experience, involvement in this proceeding, and review of the Stipulation, I believe that it complies with all relevant and important principles and practices.  </w:t>
      </w:r>
      <w:r w:rsidR="00C76029" w:rsidRPr="002E27B7">
        <w:t>Significantly,</w:t>
      </w:r>
      <w:r w:rsidR="00BE3019" w:rsidRPr="002E27B7">
        <w:t xml:space="preserve"> the Stipulation furthers important regulatory principles and practices.   The Stipulation furthers important regulatory principles and practices through the advancement of energy efficiency and peak demand reduction that is consistent with Ohio energy policy.  </w:t>
      </w:r>
    </w:p>
    <w:p w:rsidR="00BE3019" w:rsidRPr="002E27B7" w:rsidRDefault="00BE3019" w:rsidP="00FA5158">
      <w:pPr>
        <w:spacing w:line="480" w:lineRule="auto"/>
        <w:ind w:left="720" w:hanging="720"/>
        <w:jc w:val="both"/>
        <w:rPr>
          <w:b/>
        </w:rPr>
      </w:pPr>
      <w:r w:rsidRPr="002E27B7">
        <w:rPr>
          <w:b/>
        </w:rPr>
        <w:t>Q.</w:t>
      </w:r>
      <w:r w:rsidRPr="002E27B7">
        <w:rPr>
          <w:b/>
        </w:rPr>
        <w:tab/>
        <w:t>DOES THE STIPULATION BENEFIT CONSUMERS AND THE PUBLIC INTEREST?</w:t>
      </w:r>
    </w:p>
    <w:p w:rsidR="00BE3019" w:rsidRPr="002E27B7" w:rsidRDefault="00BE3019" w:rsidP="00FA5158">
      <w:pPr>
        <w:spacing w:line="480" w:lineRule="auto"/>
        <w:ind w:left="720" w:hanging="720"/>
        <w:jc w:val="both"/>
      </w:pPr>
      <w:r w:rsidRPr="002E27B7">
        <w:t>A.</w:t>
      </w:r>
      <w:r w:rsidRPr="002E27B7">
        <w:tab/>
        <w:t>Yes.  As set forth</w:t>
      </w:r>
      <w:r w:rsidR="00C76029" w:rsidRPr="002E27B7">
        <w:t xml:space="preserve"> in the Stipulation,</w:t>
      </w:r>
      <w:r w:rsidRPr="002E27B7">
        <w:t xml:space="preserve"> and as agreed to by the signatory parties, the Stipulation provides benefits for all customer groups and interested stakeholders, while advancing and remaining consistent with state policy.</w:t>
      </w:r>
    </w:p>
    <w:p w:rsidR="00BE3019" w:rsidRPr="002E27B7" w:rsidRDefault="00BE3019" w:rsidP="00FA5158">
      <w:pPr>
        <w:spacing w:line="480" w:lineRule="auto"/>
        <w:ind w:left="720" w:hanging="720"/>
        <w:jc w:val="both"/>
        <w:rPr>
          <w:b/>
        </w:rPr>
      </w:pPr>
      <w:r w:rsidRPr="002E27B7">
        <w:rPr>
          <w:b/>
        </w:rPr>
        <w:lastRenderedPageBreak/>
        <w:t>Q.</w:t>
      </w:r>
      <w:r w:rsidRPr="002E27B7">
        <w:rPr>
          <w:b/>
        </w:rPr>
        <w:tab/>
        <w:t>IS THE STIPULATION A JUST AND REASONABLE RESOLUTION OF THE ISSUES IN THE PROCEEDING?</w:t>
      </w:r>
    </w:p>
    <w:p w:rsidR="00BE3019" w:rsidRPr="002E27B7" w:rsidRDefault="00BE3019" w:rsidP="00FA5158">
      <w:pPr>
        <w:spacing w:line="480" w:lineRule="auto"/>
        <w:ind w:left="720" w:hanging="720"/>
        <w:jc w:val="both"/>
      </w:pPr>
      <w:r w:rsidRPr="002E27B7">
        <w:t>A.</w:t>
      </w:r>
      <w:r w:rsidRPr="002E27B7">
        <w:tab/>
        <w:t>Yes.  As described above, the Stipulation affords benefits our customers and the public and is consistent with established regulatory policy and practice.  The Stipulation represents a timely and efficient resolution of all of the issues in this proceeding, after thoughtful deliberation and discussion by the parties.</w:t>
      </w:r>
    </w:p>
    <w:p w:rsidR="00B07FAE" w:rsidRPr="002E27B7" w:rsidRDefault="00D51DE7" w:rsidP="00165502">
      <w:pPr>
        <w:pStyle w:val="ListParagraph"/>
        <w:numPr>
          <w:ilvl w:val="0"/>
          <w:numId w:val="2"/>
        </w:numPr>
        <w:spacing w:line="480" w:lineRule="auto"/>
        <w:jc w:val="center"/>
        <w:outlineLvl w:val="0"/>
        <w:rPr>
          <w:rStyle w:val="IntenseReference"/>
          <w:color w:val="auto"/>
        </w:rPr>
      </w:pPr>
      <w:bookmarkStart w:id="4" w:name="_Toc309730178"/>
      <w:r w:rsidRPr="002E27B7">
        <w:rPr>
          <w:rStyle w:val="IntenseReference"/>
          <w:color w:val="auto"/>
        </w:rPr>
        <w:t>RESPONSE TO THE OHIO ENERGY GROUP</w:t>
      </w:r>
      <w:bookmarkEnd w:id="4"/>
    </w:p>
    <w:p w:rsidR="00BE3019" w:rsidRPr="002E27B7" w:rsidRDefault="00BE3019" w:rsidP="00FA5158">
      <w:pPr>
        <w:spacing w:line="480" w:lineRule="auto"/>
        <w:ind w:left="720" w:hanging="720"/>
        <w:jc w:val="both"/>
        <w:rPr>
          <w:b/>
        </w:rPr>
      </w:pPr>
      <w:r w:rsidRPr="002E27B7">
        <w:rPr>
          <w:b/>
        </w:rPr>
        <w:t>Q.</w:t>
      </w:r>
      <w:r w:rsidRPr="002E27B7">
        <w:rPr>
          <w:b/>
        </w:rPr>
        <w:tab/>
        <w:t>WHY IS THE OHIO ENERGY GROUP NOT A SIGNATORY TO THIS STIPULATION?</w:t>
      </w:r>
    </w:p>
    <w:p w:rsidR="00BE3019" w:rsidRPr="002E27B7" w:rsidRDefault="00BE3019" w:rsidP="00FA5158">
      <w:pPr>
        <w:spacing w:line="480" w:lineRule="auto"/>
        <w:ind w:left="720" w:hanging="720"/>
        <w:jc w:val="both"/>
      </w:pPr>
      <w:r w:rsidRPr="002E27B7">
        <w:t>A.</w:t>
      </w:r>
      <w:r w:rsidRPr="002E27B7">
        <w:tab/>
      </w:r>
      <w:r w:rsidR="00D51DE7" w:rsidRPr="002E27B7">
        <w:t xml:space="preserve">The OEG’s witness, </w:t>
      </w:r>
      <w:r w:rsidRPr="002E27B7">
        <w:t xml:space="preserve">Stephen Baron, </w:t>
      </w:r>
      <w:r w:rsidR="00D51DE7" w:rsidRPr="002E27B7">
        <w:t>testifies</w:t>
      </w:r>
      <w:r w:rsidR="00E94696" w:rsidRPr="002E27B7">
        <w:t xml:space="preserve"> that the OEG does not agree with the Company’s proposed methodology for allocating the cost of Rider EE PDR</w:t>
      </w:r>
      <w:r w:rsidR="00D51DE7" w:rsidRPr="002E27B7">
        <w:t>,</w:t>
      </w:r>
      <w:r w:rsidR="00E94696" w:rsidRPr="002E27B7">
        <w:t xml:space="preserve"> does </w:t>
      </w:r>
      <w:r w:rsidR="0035448A" w:rsidRPr="002E27B7">
        <w:t>not agree with the Company’s proposed incentive mechanism</w:t>
      </w:r>
      <w:r w:rsidR="00D51DE7" w:rsidRPr="002E27B7">
        <w:t>, and does not believe the Company should received shared savings.</w:t>
      </w:r>
    </w:p>
    <w:p w:rsidR="00BE3019" w:rsidRPr="002E27B7" w:rsidRDefault="00BE3019" w:rsidP="00FA5158">
      <w:pPr>
        <w:spacing w:line="480" w:lineRule="auto"/>
        <w:ind w:left="720" w:hanging="720"/>
        <w:jc w:val="both"/>
        <w:rPr>
          <w:b/>
        </w:rPr>
      </w:pPr>
      <w:r w:rsidRPr="002E27B7">
        <w:rPr>
          <w:b/>
        </w:rPr>
        <w:t>Q.</w:t>
      </w:r>
      <w:r w:rsidRPr="002E27B7">
        <w:rPr>
          <w:b/>
        </w:rPr>
        <w:tab/>
        <w:t xml:space="preserve">DO YOU AGREE WITH MR. BARON </w:t>
      </w:r>
      <w:r w:rsidR="0035448A" w:rsidRPr="002E27B7">
        <w:rPr>
          <w:b/>
        </w:rPr>
        <w:t xml:space="preserve">THAT RIDER EE PDR SHOULD BE ALLOCATED BASED ON DISTRIBUTION REVENUES OR THAT </w:t>
      </w:r>
      <w:r w:rsidR="00C76029" w:rsidRPr="002E27B7">
        <w:rPr>
          <w:b/>
        </w:rPr>
        <w:t>THE OEG MEMBERS</w:t>
      </w:r>
      <w:r w:rsidR="0035448A" w:rsidRPr="002E27B7">
        <w:rPr>
          <w:b/>
        </w:rPr>
        <w:t xml:space="preserve"> SHOULD BE ABLE TO AVOID PAYING THE RIDER ALL TOGETHER</w:t>
      </w:r>
      <w:r w:rsidRPr="002E27B7">
        <w:rPr>
          <w:b/>
        </w:rPr>
        <w:t>?</w:t>
      </w:r>
    </w:p>
    <w:p w:rsidR="001628B5" w:rsidRPr="002E27B7" w:rsidRDefault="00BE3019" w:rsidP="00FA5158">
      <w:pPr>
        <w:spacing w:line="480" w:lineRule="auto"/>
        <w:ind w:left="720" w:hanging="720"/>
        <w:jc w:val="both"/>
      </w:pPr>
      <w:r w:rsidRPr="002E27B7">
        <w:t>A.</w:t>
      </w:r>
      <w:r w:rsidRPr="002E27B7">
        <w:tab/>
        <w:t>No.  I do not agree</w:t>
      </w:r>
      <w:r w:rsidR="00D51DE7" w:rsidRPr="002E27B7">
        <w:t>.</w:t>
      </w:r>
      <w:r w:rsidR="0035448A" w:rsidRPr="002E27B7">
        <w:t xml:space="preserve">  </w:t>
      </w:r>
      <w:r w:rsidR="00D51DE7" w:rsidRPr="002E27B7">
        <w:t>Duke Energy Ohio</w:t>
      </w:r>
      <w:r w:rsidR="0035448A" w:rsidRPr="002E27B7">
        <w:t xml:space="preserve"> </w:t>
      </w:r>
      <w:r w:rsidR="00C76029" w:rsidRPr="002E27B7">
        <w:t>w</w:t>
      </w:r>
      <w:r w:rsidR="0035448A" w:rsidRPr="002E27B7">
        <w:t>itness J</w:t>
      </w:r>
      <w:r w:rsidR="00D51DE7" w:rsidRPr="002E27B7">
        <w:t>ames E.</w:t>
      </w:r>
      <w:r w:rsidR="0035448A" w:rsidRPr="002E27B7">
        <w:t xml:space="preserve"> Ziolkowski’s Supplemental </w:t>
      </w:r>
      <w:r w:rsidR="00C76029" w:rsidRPr="002E27B7">
        <w:t xml:space="preserve">Direct </w:t>
      </w:r>
      <w:r w:rsidR="00FA5158" w:rsidRPr="002E27B7">
        <w:t>T</w:t>
      </w:r>
      <w:r w:rsidR="0035448A" w:rsidRPr="002E27B7">
        <w:t xml:space="preserve">estimony addresses </w:t>
      </w:r>
      <w:r w:rsidR="00D51DE7" w:rsidRPr="002E27B7">
        <w:t>the OEG’s proposal</w:t>
      </w:r>
      <w:r w:rsidR="0035448A" w:rsidRPr="002E27B7">
        <w:t xml:space="preserve"> regarding allocation of the Rider amongst customer classes.  </w:t>
      </w:r>
      <w:r w:rsidRPr="002E27B7">
        <w:t xml:space="preserve"> </w:t>
      </w:r>
      <w:r w:rsidR="0035448A" w:rsidRPr="002E27B7">
        <w:t xml:space="preserve">With respect to Mr. Baron’s contention that large industrial customers should have the ability to </w:t>
      </w:r>
      <w:r w:rsidR="00D51DE7" w:rsidRPr="002E27B7">
        <w:t>o</w:t>
      </w:r>
      <w:r w:rsidR="0035448A" w:rsidRPr="002E27B7">
        <w:t>pt</w:t>
      </w:r>
      <w:r w:rsidR="00D51DE7" w:rsidRPr="002E27B7">
        <w:t xml:space="preserve"> </w:t>
      </w:r>
      <w:r w:rsidR="0035448A" w:rsidRPr="002E27B7">
        <w:t xml:space="preserve">out of paying the Rider all together, I also disagree.  Base upon my interpretation </w:t>
      </w:r>
      <w:r w:rsidR="00E77F6E" w:rsidRPr="002E27B7">
        <w:t>of Ohio</w:t>
      </w:r>
      <w:r w:rsidR="0035448A" w:rsidRPr="002E27B7">
        <w:t xml:space="preserve"> Administrative Code 4901:1-39-08, the </w:t>
      </w:r>
      <w:r w:rsidR="00D51DE7" w:rsidRPr="002E27B7">
        <w:t>S</w:t>
      </w:r>
      <w:r w:rsidR="0035448A" w:rsidRPr="002E27B7">
        <w:t xml:space="preserve">tate of Ohio has established a </w:t>
      </w:r>
      <w:r w:rsidR="0035448A" w:rsidRPr="002E27B7">
        <w:lastRenderedPageBreak/>
        <w:t>procedure for large industrial customers</w:t>
      </w:r>
      <w:r w:rsidR="00D51DE7" w:rsidRPr="002E27B7">
        <w:t xml:space="preserve"> wherein</w:t>
      </w:r>
      <w:r w:rsidR="0035448A" w:rsidRPr="002E27B7">
        <w:t xml:space="preserve"> </w:t>
      </w:r>
      <w:r w:rsidR="00D51DE7" w:rsidRPr="002E27B7">
        <w:t>such customers may</w:t>
      </w:r>
      <w:r w:rsidR="0035448A" w:rsidRPr="002E27B7">
        <w:t xml:space="preserve"> be exempted from paying </w:t>
      </w:r>
      <w:r w:rsidR="001628B5" w:rsidRPr="002E27B7">
        <w:t xml:space="preserve">Rider EE PDR.   </w:t>
      </w:r>
      <w:r w:rsidR="00E77F6E" w:rsidRPr="002E27B7">
        <w:t xml:space="preserve">This opt out provision is the appropriate mechanism for a mercantile customer to avoid paying a rider while at the same time providing assurance to the Commission that the customer has achieved the energy efficiency needed to match with the volume of load the customer represents.  </w:t>
      </w:r>
    </w:p>
    <w:p w:rsidR="001628B5" w:rsidRPr="002E27B7" w:rsidRDefault="001628B5" w:rsidP="00FA5158">
      <w:pPr>
        <w:spacing w:line="480" w:lineRule="auto"/>
        <w:ind w:left="720" w:hanging="720"/>
        <w:jc w:val="both"/>
        <w:rPr>
          <w:b/>
        </w:rPr>
      </w:pPr>
      <w:r w:rsidRPr="002E27B7">
        <w:rPr>
          <w:b/>
        </w:rPr>
        <w:t>Q.</w:t>
      </w:r>
      <w:r w:rsidRPr="002E27B7">
        <w:rPr>
          <w:b/>
        </w:rPr>
        <w:tab/>
        <w:t xml:space="preserve">DO YOU AGREE WITH </w:t>
      </w:r>
      <w:r w:rsidR="00E77F6E" w:rsidRPr="002E27B7">
        <w:rPr>
          <w:b/>
        </w:rPr>
        <w:t>THE OEG’S</w:t>
      </w:r>
      <w:r w:rsidRPr="002E27B7">
        <w:rPr>
          <w:b/>
        </w:rPr>
        <w:t xml:space="preserve"> POSITION REGARDING THE COMPANY’S PROPOSED INCENTIVE MECHANISM?</w:t>
      </w:r>
    </w:p>
    <w:p w:rsidR="00902AEC" w:rsidRPr="002E27B7" w:rsidRDefault="001628B5" w:rsidP="00FA5158">
      <w:pPr>
        <w:spacing w:line="480" w:lineRule="auto"/>
        <w:ind w:left="720" w:hanging="720"/>
        <w:jc w:val="both"/>
      </w:pPr>
      <w:r w:rsidRPr="002E27B7">
        <w:t>A.</w:t>
      </w:r>
      <w:r w:rsidRPr="002E27B7">
        <w:tab/>
        <w:t xml:space="preserve">No, I do not agree with </w:t>
      </w:r>
      <w:r w:rsidR="00E77F6E" w:rsidRPr="002E27B7">
        <w:t>the OEG</w:t>
      </w:r>
      <w:r w:rsidRPr="002E27B7">
        <w:t xml:space="preserve"> regarding the proposed incentive structure for a number of reasons.  First, </w:t>
      </w:r>
      <w:r w:rsidR="00182190" w:rsidRPr="002E27B7">
        <w:t xml:space="preserve">I disagree with </w:t>
      </w:r>
      <w:r w:rsidR="00E77F6E" w:rsidRPr="002E27B7">
        <w:t>the</w:t>
      </w:r>
      <w:r w:rsidR="00182190" w:rsidRPr="002E27B7">
        <w:t xml:space="preserve"> assertion that the Company should not include avoided cost associated with generation in the calculation of its shared savings mechanism.  Duke Energy </w:t>
      </w:r>
      <w:r w:rsidR="00E77F6E" w:rsidRPr="002E27B7">
        <w:t xml:space="preserve">Ohio’s </w:t>
      </w:r>
      <w:r w:rsidR="00182190" w:rsidRPr="002E27B7">
        <w:t xml:space="preserve">proposed incentive mechanism </w:t>
      </w:r>
      <w:r w:rsidR="00E85359" w:rsidRPr="002E27B7">
        <w:t xml:space="preserve">is based </w:t>
      </w:r>
      <w:r w:rsidR="00182190" w:rsidRPr="002E27B7">
        <w:t>on potentially sharing a small portion of the net benefit (avoided cost less program costs) from a cost-effective energy efficiency program</w:t>
      </w:r>
      <w:r w:rsidR="00E85359" w:rsidRPr="002E27B7">
        <w:t>s</w:t>
      </w:r>
      <w:r w:rsidR="00182190" w:rsidRPr="002E27B7">
        <w:t>.  The Commission’s guidelines for determining cost</w:t>
      </w:r>
      <w:r w:rsidR="00E85359" w:rsidRPr="002E27B7">
        <w:t>-</w:t>
      </w:r>
      <w:r w:rsidR="00182190" w:rsidRPr="002E27B7">
        <w:t xml:space="preserve">effectiveness </w:t>
      </w:r>
      <w:r w:rsidR="00E85359" w:rsidRPr="002E27B7">
        <w:t xml:space="preserve">of energy efficiency programs established in 4901:1-39-01, </w:t>
      </w:r>
      <w:r w:rsidR="00E77F6E" w:rsidRPr="002E27B7">
        <w:t xml:space="preserve">O.A.C., </w:t>
      </w:r>
      <w:r w:rsidR="00E85359" w:rsidRPr="002E27B7">
        <w:t xml:space="preserve">clearly recognize generation related impacts in </w:t>
      </w:r>
      <w:r w:rsidR="00E77F6E" w:rsidRPr="002E27B7">
        <w:t>the</w:t>
      </w:r>
      <w:r w:rsidR="00E85359" w:rsidRPr="002E27B7">
        <w:t xml:space="preserve"> use of the Total Resource Cost Test.  </w:t>
      </w:r>
      <w:r w:rsidR="00E77F6E" w:rsidRPr="002E27B7">
        <w:t xml:space="preserve">It is appropriate </w:t>
      </w:r>
      <w:r w:rsidR="00E85359" w:rsidRPr="002E27B7">
        <w:t xml:space="preserve">to calculate shared savings incentive based on the same avoided costs that are used to determine the cost-effectiveness of programs.  </w:t>
      </w:r>
      <w:r w:rsidR="00902AEC" w:rsidRPr="002E27B7">
        <w:t xml:space="preserve">  </w:t>
      </w:r>
    </w:p>
    <w:p w:rsidR="004F0CB3" w:rsidRPr="002E27B7" w:rsidRDefault="00902AEC" w:rsidP="00C76029">
      <w:pPr>
        <w:spacing w:line="480" w:lineRule="auto"/>
        <w:ind w:left="720" w:firstLine="720"/>
        <w:jc w:val="both"/>
      </w:pPr>
      <w:r w:rsidRPr="002E27B7">
        <w:t xml:space="preserve">I also disagree with </w:t>
      </w:r>
      <w:r w:rsidR="00E77F6E" w:rsidRPr="002E27B7">
        <w:t>the OEG’s</w:t>
      </w:r>
      <w:r w:rsidRPr="002E27B7">
        <w:t xml:space="preserve"> assertion that </w:t>
      </w:r>
      <w:r w:rsidR="00E77F6E" w:rsidRPr="002E27B7">
        <w:t>Duke Energy Ohio’s</w:t>
      </w:r>
      <w:r w:rsidRPr="002E27B7">
        <w:t xml:space="preserve"> incentive mechanism is designed to be easily met and exceeded.  </w:t>
      </w:r>
      <w:r w:rsidR="00E77F6E" w:rsidRPr="002E27B7">
        <w:t>OEG Witness Stephen Baron</w:t>
      </w:r>
      <w:r w:rsidRPr="002E27B7">
        <w:t xml:space="preserve"> </w:t>
      </w:r>
      <w:r w:rsidR="00C76029" w:rsidRPr="002E27B7">
        <w:t xml:space="preserve">sets forth no analysis in his testimony in support of his </w:t>
      </w:r>
      <w:proofErr w:type="gramStart"/>
      <w:r w:rsidR="00C76029" w:rsidRPr="002E27B7">
        <w:t xml:space="preserve">claim  </w:t>
      </w:r>
      <w:r w:rsidRPr="002E27B7">
        <w:t>and</w:t>
      </w:r>
      <w:proofErr w:type="gramEnd"/>
      <w:r w:rsidRPr="002E27B7">
        <w:t xml:space="preserve"> relies solely on the fact that the Company exceeded </w:t>
      </w:r>
      <w:r w:rsidR="00AB6A8F" w:rsidRPr="002E27B7">
        <w:t xml:space="preserve">its targets in 2009 and 2010.  </w:t>
      </w:r>
      <w:r w:rsidR="00AB6A8F" w:rsidRPr="002E27B7">
        <w:lastRenderedPageBreak/>
        <w:t>The first problem with Mr. Baron’s claim is that he fails to recognize the fact that the Company’s annual compliance targets increase over time</w:t>
      </w:r>
      <w:r w:rsidR="00E77F6E" w:rsidRPr="002E27B7">
        <w:t>,</w:t>
      </w:r>
      <w:r w:rsidR="00AB6A8F" w:rsidRPr="002E27B7">
        <w:t xml:space="preserve"> and in</w:t>
      </w:r>
      <w:r w:rsidR="00E77F6E" w:rsidRPr="002E27B7">
        <w:t xml:space="preserve"> </w:t>
      </w:r>
      <w:r w:rsidR="00AB6A8F" w:rsidRPr="002E27B7">
        <w:t>fact</w:t>
      </w:r>
      <w:r w:rsidR="00E77F6E" w:rsidRPr="002E27B7">
        <w:t>,</w:t>
      </w:r>
      <w:r w:rsidR="00AB6A8F" w:rsidRPr="002E27B7">
        <w:t xml:space="preserve"> the 2012 target is actually </w:t>
      </w:r>
      <w:r w:rsidR="00E77F6E" w:rsidRPr="002E27B7">
        <w:t>more than</w:t>
      </w:r>
      <w:r w:rsidR="00AB6A8F" w:rsidRPr="002E27B7">
        <w:t xml:space="preserve"> double the 2009 target.  Another problem with Mr. Baron’s claim is that he fails to recognize that building codes and appliance standards, as well as market conditions</w:t>
      </w:r>
      <w:r w:rsidR="00E77F6E" w:rsidRPr="002E27B7">
        <w:t>,</w:t>
      </w:r>
      <w:r w:rsidR="00AB6A8F" w:rsidRPr="002E27B7">
        <w:t xml:space="preserve"> have changed over time, which will make meeting, let alone exceeding the annual targets more challenging </w:t>
      </w:r>
      <w:r w:rsidR="00E77F6E" w:rsidRPr="002E27B7">
        <w:t>in the future</w:t>
      </w:r>
      <w:r w:rsidR="00AB6A8F" w:rsidRPr="002E27B7">
        <w:t xml:space="preserve">.   Duke Energy </w:t>
      </w:r>
      <w:r w:rsidR="00E77F6E" w:rsidRPr="002E27B7">
        <w:t xml:space="preserve">Ohio </w:t>
      </w:r>
      <w:r w:rsidR="00AB6A8F" w:rsidRPr="002E27B7">
        <w:t xml:space="preserve">also believes that </w:t>
      </w:r>
      <w:r w:rsidR="00700429" w:rsidRPr="002E27B7">
        <w:t xml:space="preserve">the </w:t>
      </w:r>
      <w:r w:rsidR="00AB6A8F" w:rsidRPr="002E27B7">
        <w:t>proposed shared saving incentive level</w:t>
      </w:r>
      <w:r w:rsidR="00700429" w:rsidRPr="002E27B7">
        <w:t>s</w:t>
      </w:r>
      <w:r w:rsidR="00AB6A8F" w:rsidRPr="002E27B7">
        <w:t xml:space="preserve"> stipulated to </w:t>
      </w:r>
      <w:r w:rsidR="00E77F6E" w:rsidRPr="002E27B7">
        <w:t>by</w:t>
      </w:r>
      <w:r w:rsidR="00AB6A8F" w:rsidRPr="002E27B7">
        <w:t xml:space="preserve"> all </w:t>
      </w:r>
      <w:r w:rsidR="00E77F6E" w:rsidRPr="002E27B7">
        <w:t xml:space="preserve">the </w:t>
      </w:r>
      <w:r w:rsidR="00AB6A8F" w:rsidRPr="002E27B7">
        <w:t xml:space="preserve">other parties </w:t>
      </w:r>
      <w:r w:rsidR="00700429" w:rsidRPr="002E27B7">
        <w:t>is</w:t>
      </w:r>
      <w:r w:rsidR="00AB6A8F" w:rsidRPr="002E27B7">
        <w:t xml:space="preserve"> consistent with what has been </w:t>
      </w:r>
      <w:r w:rsidR="00700429" w:rsidRPr="002E27B7">
        <w:t xml:space="preserve">approved by the Commission in the past and is hence reasonable.  </w:t>
      </w:r>
    </w:p>
    <w:p w:rsidR="001B69D6" w:rsidRPr="002E27B7" w:rsidRDefault="00700429" w:rsidP="00C76029">
      <w:pPr>
        <w:spacing w:line="480" w:lineRule="auto"/>
        <w:ind w:left="720" w:firstLine="720"/>
        <w:jc w:val="both"/>
      </w:pPr>
      <w:r w:rsidRPr="002E27B7">
        <w:t xml:space="preserve">Finally, </w:t>
      </w:r>
      <w:r w:rsidR="00FA5158" w:rsidRPr="002E27B7">
        <w:t>the OEG</w:t>
      </w:r>
      <w:r w:rsidRPr="002E27B7">
        <w:t xml:space="preserve"> </w:t>
      </w:r>
      <w:r w:rsidR="00FA5158" w:rsidRPr="002E27B7">
        <w:t>states</w:t>
      </w:r>
      <w:r w:rsidRPr="002E27B7">
        <w:t xml:space="preserve"> that a utility should not receive an incentive for exceeding the a</w:t>
      </w:r>
      <w:r w:rsidR="00FA5158" w:rsidRPr="002E27B7">
        <w:t>n</w:t>
      </w:r>
      <w:r w:rsidRPr="002E27B7">
        <w:t xml:space="preserve">nual compliance targets, as this will just increase the cost to customers.  Again, I disagree with </w:t>
      </w:r>
      <w:r w:rsidR="00FA5158" w:rsidRPr="002E27B7">
        <w:t>t</w:t>
      </w:r>
      <w:r w:rsidRPr="002E27B7">
        <w:t xml:space="preserve">his position.  It is in the best interest of all customers that the </w:t>
      </w:r>
      <w:r w:rsidR="00FA5158" w:rsidRPr="002E27B7">
        <w:t>C</w:t>
      </w:r>
      <w:r w:rsidRPr="002E27B7">
        <w:t xml:space="preserve">ompany promote as much energy efficiency as possible, because a cost effective energy efficiency program means that the total benefit to customers (avoided costs) are greater than the cost to customers.   Under the proposed stipulated shared </w:t>
      </w:r>
      <w:r w:rsidR="00FA5158" w:rsidRPr="002E27B7">
        <w:t>savings mechanism</w:t>
      </w:r>
      <w:r w:rsidRPr="002E27B7">
        <w:t>, at most, customers will share 13% of this benefit should the Company exceed its targets by more than 15%.</w:t>
      </w:r>
      <w:r w:rsidRPr="002E27B7" w:rsidDel="00700429">
        <w:t xml:space="preserve"> </w:t>
      </w:r>
    </w:p>
    <w:p w:rsidR="00FA5158" w:rsidRPr="002E27B7" w:rsidRDefault="00FA5158" w:rsidP="00FA5158">
      <w:pPr>
        <w:spacing w:line="480" w:lineRule="auto"/>
        <w:ind w:left="720" w:hanging="720"/>
        <w:jc w:val="both"/>
        <w:rPr>
          <w:b/>
        </w:rPr>
      </w:pPr>
      <w:r w:rsidRPr="002E27B7">
        <w:rPr>
          <w:b/>
        </w:rPr>
        <w:t>Q.</w:t>
      </w:r>
      <w:r w:rsidRPr="002E27B7">
        <w:rPr>
          <w:b/>
        </w:rPr>
        <w:tab/>
        <w:t>THE OEG ALSO ASSERTS THAT THE COMPANY SHOULD NOT RECEIVE AN INCENTIVE BASED UPON AVOIDED COSTS FOR BUILDING GENERATION AFTER THE COMPANY DIVESTS GENERATION ASSETS.  DO YOU AGREE WITH THIS?</w:t>
      </w:r>
    </w:p>
    <w:p w:rsidR="001B69D6" w:rsidRPr="002E27B7" w:rsidRDefault="00FA5158" w:rsidP="00FA5158">
      <w:pPr>
        <w:spacing w:line="480" w:lineRule="auto"/>
        <w:ind w:left="720" w:hanging="720"/>
        <w:jc w:val="both"/>
      </w:pPr>
      <w:r w:rsidRPr="002E27B7">
        <w:rPr>
          <w:b/>
        </w:rPr>
        <w:t>A.</w:t>
      </w:r>
      <w:r w:rsidRPr="002E27B7">
        <w:rPr>
          <w:b/>
        </w:rPr>
        <w:tab/>
      </w:r>
      <w:r w:rsidRPr="002E27B7">
        <w:t xml:space="preserve">No. I do not agree.   Duke Energy Ohio’s compliance targets are based upon a calculation of its distribution sales.   After Duke Energy Ohio is divested of </w:t>
      </w:r>
      <w:r w:rsidRPr="002E27B7">
        <w:lastRenderedPageBreak/>
        <w:t>generation assets, it will continue to provide distribution</w:t>
      </w:r>
      <w:r w:rsidR="00372BB9" w:rsidRPr="002E27B7">
        <w:t xml:space="preserve"> service</w:t>
      </w:r>
      <w:r w:rsidRPr="002E27B7">
        <w:t xml:space="preserve"> to its customers and will continue to have a mandate to comply with the law and regulations concerning energy efficiency and peak demand reduction.  Therefore the OEG’s position does not </w:t>
      </w:r>
      <w:r w:rsidR="00372BB9" w:rsidRPr="002E27B7">
        <w:t>logically follow</w:t>
      </w:r>
      <w:r w:rsidRPr="002E27B7">
        <w:t xml:space="preserve">.  </w:t>
      </w:r>
    </w:p>
    <w:p w:rsidR="00D9271D" w:rsidRPr="002E27B7" w:rsidRDefault="00D9271D" w:rsidP="00FA5158">
      <w:pPr>
        <w:spacing w:line="480" w:lineRule="auto"/>
        <w:ind w:left="720" w:hanging="720"/>
        <w:jc w:val="both"/>
        <w:rPr>
          <w:b/>
          <w:szCs w:val="24"/>
        </w:rPr>
      </w:pPr>
      <w:r w:rsidRPr="002E27B7">
        <w:rPr>
          <w:b/>
          <w:szCs w:val="24"/>
        </w:rPr>
        <w:t>Q.</w:t>
      </w:r>
      <w:r w:rsidRPr="002E27B7">
        <w:rPr>
          <w:b/>
          <w:szCs w:val="24"/>
        </w:rPr>
        <w:tab/>
        <w:t>DOES THIS CONCLUDE YOUR TESTIMONY?</w:t>
      </w:r>
    </w:p>
    <w:p w:rsidR="00D9271D" w:rsidRPr="002E27B7" w:rsidRDefault="00D9271D" w:rsidP="00FA5158">
      <w:pPr>
        <w:jc w:val="both"/>
        <w:rPr>
          <w:szCs w:val="24"/>
        </w:rPr>
      </w:pPr>
      <w:r w:rsidRPr="002E27B7">
        <w:rPr>
          <w:szCs w:val="24"/>
        </w:rPr>
        <w:t>A.</w:t>
      </w:r>
      <w:r w:rsidRPr="002E27B7">
        <w:rPr>
          <w:szCs w:val="24"/>
        </w:rPr>
        <w:tab/>
        <w:t>Yes, it does.</w:t>
      </w:r>
      <w:r w:rsidRPr="002E27B7">
        <w:rPr>
          <w:szCs w:val="24"/>
        </w:rPr>
        <w:tab/>
      </w:r>
    </w:p>
    <w:p w:rsidR="0000630F" w:rsidRPr="002E27B7" w:rsidRDefault="0000630F"/>
    <w:sectPr w:rsidR="0000630F" w:rsidRPr="002E27B7" w:rsidSect="00675786">
      <w:pgSz w:w="12240" w:h="15840" w:code="1"/>
      <w:pgMar w:top="1440" w:right="1440" w:bottom="1440" w:left="2160" w:header="720" w:footer="720" w:gutter="0"/>
      <w:lnNumType w:countBy="1"/>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4C4" w:rsidRPr="00BB7C89" w:rsidRDefault="008824C4" w:rsidP="001906C3">
      <w:r>
        <w:separator/>
      </w:r>
    </w:p>
  </w:endnote>
  <w:endnote w:type="continuationSeparator" w:id="0">
    <w:p w:rsidR="008824C4" w:rsidRPr="00BB7C89" w:rsidRDefault="008824C4" w:rsidP="001906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786" w:rsidRDefault="00675786" w:rsidP="00675786">
    <w:pPr>
      <w:pStyle w:val="Footer"/>
      <w:jc w:val="center"/>
      <w:rPr>
        <w:b/>
        <w:sz w:val="20"/>
      </w:rPr>
    </w:pPr>
  </w:p>
  <w:p w:rsidR="00675786" w:rsidRDefault="000508E1" w:rsidP="00675786">
    <w:pPr>
      <w:pStyle w:val="Footer"/>
      <w:jc w:val="center"/>
      <w:rPr>
        <w:b/>
        <w:sz w:val="20"/>
      </w:rPr>
    </w:pPr>
    <w:r>
      <w:rPr>
        <w:b/>
        <w:sz w:val="20"/>
      </w:rPr>
      <w:t>Timothy J. Duff Direct</w:t>
    </w:r>
  </w:p>
  <w:p w:rsidR="00675786" w:rsidRDefault="005048D2" w:rsidP="00675786">
    <w:pPr>
      <w:pStyle w:val="Footer"/>
      <w:jc w:val="center"/>
      <w:rPr>
        <w:rStyle w:val="PageNumber"/>
        <w:b/>
        <w:sz w:val="20"/>
      </w:rPr>
    </w:pPr>
    <w:r w:rsidRPr="00DA546B">
      <w:rPr>
        <w:rStyle w:val="PageNumber"/>
        <w:b/>
        <w:sz w:val="20"/>
      </w:rPr>
      <w:fldChar w:fldCharType="begin"/>
    </w:r>
    <w:r w:rsidR="000508E1" w:rsidRPr="00DA546B">
      <w:rPr>
        <w:rStyle w:val="PageNumber"/>
        <w:b/>
        <w:sz w:val="20"/>
      </w:rPr>
      <w:instrText xml:space="preserve"> PAGE   \* MERGEFORMAT </w:instrText>
    </w:r>
    <w:r w:rsidRPr="00DA546B">
      <w:rPr>
        <w:rStyle w:val="PageNumber"/>
        <w:b/>
        <w:sz w:val="20"/>
      </w:rPr>
      <w:fldChar w:fldCharType="separate"/>
    </w:r>
    <w:r w:rsidR="003A5C1C">
      <w:rPr>
        <w:rStyle w:val="PageNumber"/>
        <w:b/>
        <w:noProof/>
        <w:sz w:val="20"/>
      </w:rPr>
      <w:t>2</w:t>
    </w:r>
    <w:r w:rsidRPr="00DA546B">
      <w:rPr>
        <w:rStyle w:val="PageNumber"/>
        <w:b/>
        <w:sz w:val="20"/>
      </w:rPr>
      <w:fldChar w:fldCharType="end"/>
    </w:r>
  </w:p>
  <w:p w:rsidR="00675786" w:rsidRPr="00DA546B" w:rsidRDefault="00675786" w:rsidP="00675786">
    <w:pPr>
      <w:pStyle w:val="Footer"/>
      <w:rPr>
        <w:rStyle w:val="PageNumb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786" w:rsidRDefault="000508E1">
    <w:pPr>
      <w:pStyle w:val="Footer"/>
      <w:jc w:val="center"/>
      <w:rPr>
        <w:rStyle w:val="PageNumber"/>
        <w:b/>
        <w:sz w:val="20"/>
      </w:rPr>
    </w:pPr>
    <w:r>
      <w:rPr>
        <w:rStyle w:val="PageNumber"/>
        <w:b/>
        <w:sz w:val="20"/>
      </w:rPr>
      <w:t>Timothy J. Duff Direct</w:t>
    </w:r>
  </w:p>
  <w:p w:rsidR="00675786" w:rsidRDefault="005048D2">
    <w:pPr>
      <w:pStyle w:val="Footer"/>
      <w:jc w:val="center"/>
      <w:rPr>
        <w:rStyle w:val="PageNumber"/>
        <w:b/>
        <w:sz w:val="20"/>
      </w:rPr>
    </w:pPr>
    <w:r w:rsidRPr="00DA546B">
      <w:rPr>
        <w:rStyle w:val="PageNumber"/>
        <w:b/>
        <w:sz w:val="20"/>
      </w:rPr>
      <w:fldChar w:fldCharType="begin"/>
    </w:r>
    <w:r w:rsidR="000508E1" w:rsidRPr="00DA546B">
      <w:rPr>
        <w:rStyle w:val="PageNumber"/>
        <w:b/>
        <w:sz w:val="20"/>
      </w:rPr>
      <w:instrText xml:space="preserve"> PAGE   \* MERGEFORMAT </w:instrText>
    </w:r>
    <w:r w:rsidRPr="00DA546B">
      <w:rPr>
        <w:rStyle w:val="PageNumber"/>
        <w:b/>
        <w:sz w:val="20"/>
      </w:rPr>
      <w:fldChar w:fldCharType="separate"/>
    </w:r>
    <w:r w:rsidR="003A5C1C">
      <w:rPr>
        <w:rStyle w:val="PageNumber"/>
        <w:b/>
        <w:noProof/>
        <w:sz w:val="20"/>
      </w:rPr>
      <w:t>i</w:t>
    </w:r>
    <w:r w:rsidRPr="00DA546B">
      <w:rPr>
        <w:rStyle w:val="PageNumber"/>
        <w:b/>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4C4" w:rsidRPr="00BB7C89" w:rsidRDefault="008824C4" w:rsidP="001906C3">
      <w:r>
        <w:separator/>
      </w:r>
    </w:p>
  </w:footnote>
  <w:footnote w:type="continuationSeparator" w:id="0">
    <w:p w:rsidR="008824C4" w:rsidRPr="00BB7C89" w:rsidRDefault="008824C4" w:rsidP="001906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786" w:rsidRPr="00170A29" w:rsidRDefault="00675786" w:rsidP="00675786">
    <w:pPr>
      <w:pStyle w:val="Header"/>
      <w:rPr>
        <w:bCs/>
        <w:sz w:val="32"/>
        <w:szCs w:val="32"/>
      </w:rPr>
    </w:pPr>
  </w:p>
  <w:p w:rsidR="00675786" w:rsidRDefault="00675786" w:rsidP="00675786">
    <w:pPr>
      <w:pStyle w:val="Header"/>
      <w:rPr>
        <w:b/>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786" w:rsidRDefault="000508E1">
    <w:pPr>
      <w:pStyle w:val="Header"/>
    </w:pPr>
    <w:r>
      <w:tab/>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31486"/>
    <w:multiLevelType w:val="hybridMultilevel"/>
    <w:tmpl w:val="3AECC78A"/>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77A11F4F"/>
    <w:multiLevelType w:val="hybridMultilevel"/>
    <w:tmpl w:val="D46CEF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doNotDisplayPageBoundarie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9271D"/>
    <w:rsid w:val="0000630F"/>
    <w:rsid w:val="000107BF"/>
    <w:rsid w:val="00016C55"/>
    <w:rsid w:val="00023F84"/>
    <w:rsid w:val="00026822"/>
    <w:rsid w:val="000508E1"/>
    <w:rsid w:val="000958C4"/>
    <w:rsid w:val="000A6395"/>
    <w:rsid w:val="000B0C4E"/>
    <w:rsid w:val="000C0F67"/>
    <w:rsid w:val="000E42FE"/>
    <w:rsid w:val="000F251B"/>
    <w:rsid w:val="00143442"/>
    <w:rsid w:val="001447BB"/>
    <w:rsid w:val="0016004F"/>
    <w:rsid w:val="001628B5"/>
    <w:rsid w:val="00165502"/>
    <w:rsid w:val="00182190"/>
    <w:rsid w:val="0018615C"/>
    <w:rsid w:val="001906C3"/>
    <w:rsid w:val="00191C65"/>
    <w:rsid w:val="001B0BC3"/>
    <w:rsid w:val="001B69D6"/>
    <w:rsid w:val="001C250D"/>
    <w:rsid w:val="001C35CE"/>
    <w:rsid w:val="001C6681"/>
    <w:rsid w:val="00210C0B"/>
    <w:rsid w:val="00247647"/>
    <w:rsid w:val="00287043"/>
    <w:rsid w:val="002C5F33"/>
    <w:rsid w:val="002C698B"/>
    <w:rsid w:val="002D1F0D"/>
    <w:rsid w:val="002E27B7"/>
    <w:rsid w:val="002F013A"/>
    <w:rsid w:val="00352F25"/>
    <w:rsid w:val="0035448A"/>
    <w:rsid w:val="00356738"/>
    <w:rsid w:val="003632E2"/>
    <w:rsid w:val="003633A4"/>
    <w:rsid w:val="00366EF6"/>
    <w:rsid w:val="00372BB9"/>
    <w:rsid w:val="003766C5"/>
    <w:rsid w:val="00381EF3"/>
    <w:rsid w:val="003A5C1C"/>
    <w:rsid w:val="003C7EFC"/>
    <w:rsid w:val="004013D5"/>
    <w:rsid w:val="004276AE"/>
    <w:rsid w:val="0047291D"/>
    <w:rsid w:val="00474B99"/>
    <w:rsid w:val="00495806"/>
    <w:rsid w:val="004A1F8B"/>
    <w:rsid w:val="004A5824"/>
    <w:rsid w:val="004A73EE"/>
    <w:rsid w:val="004F0CB3"/>
    <w:rsid w:val="00500895"/>
    <w:rsid w:val="005048D2"/>
    <w:rsid w:val="005154F1"/>
    <w:rsid w:val="00563BD8"/>
    <w:rsid w:val="00596440"/>
    <w:rsid w:val="005C14D6"/>
    <w:rsid w:val="00605BAB"/>
    <w:rsid w:val="006172F7"/>
    <w:rsid w:val="006265E8"/>
    <w:rsid w:val="00631CDF"/>
    <w:rsid w:val="00634A93"/>
    <w:rsid w:val="00645A2B"/>
    <w:rsid w:val="00651B89"/>
    <w:rsid w:val="00672F66"/>
    <w:rsid w:val="00675786"/>
    <w:rsid w:val="00694930"/>
    <w:rsid w:val="006C5641"/>
    <w:rsid w:val="006C601F"/>
    <w:rsid w:val="006F1CBF"/>
    <w:rsid w:val="00700429"/>
    <w:rsid w:val="00717026"/>
    <w:rsid w:val="00744300"/>
    <w:rsid w:val="007475CD"/>
    <w:rsid w:val="007657E8"/>
    <w:rsid w:val="007804DD"/>
    <w:rsid w:val="00787D0F"/>
    <w:rsid w:val="007A3299"/>
    <w:rsid w:val="007C5DC1"/>
    <w:rsid w:val="007D5B4C"/>
    <w:rsid w:val="007E5420"/>
    <w:rsid w:val="007F2C33"/>
    <w:rsid w:val="0080360B"/>
    <w:rsid w:val="00825E7B"/>
    <w:rsid w:val="0083204F"/>
    <w:rsid w:val="00845F5B"/>
    <w:rsid w:val="00851E17"/>
    <w:rsid w:val="00853921"/>
    <w:rsid w:val="008824C4"/>
    <w:rsid w:val="008B7700"/>
    <w:rsid w:val="008D2A62"/>
    <w:rsid w:val="0090149E"/>
    <w:rsid w:val="00902AEC"/>
    <w:rsid w:val="0092183C"/>
    <w:rsid w:val="00934ED8"/>
    <w:rsid w:val="0096418C"/>
    <w:rsid w:val="009876BB"/>
    <w:rsid w:val="009C42C9"/>
    <w:rsid w:val="009F2BEF"/>
    <w:rsid w:val="00A17529"/>
    <w:rsid w:val="00A305D3"/>
    <w:rsid w:val="00A36DC7"/>
    <w:rsid w:val="00A52AA3"/>
    <w:rsid w:val="00A708BC"/>
    <w:rsid w:val="00AA5C01"/>
    <w:rsid w:val="00AB0424"/>
    <w:rsid w:val="00AB1F43"/>
    <w:rsid w:val="00AB20E7"/>
    <w:rsid w:val="00AB6880"/>
    <w:rsid w:val="00AB6A8F"/>
    <w:rsid w:val="00B052CE"/>
    <w:rsid w:val="00B07FAE"/>
    <w:rsid w:val="00B3248E"/>
    <w:rsid w:val="00B956BA"/>
    <w:rsid w:val="00BA50CE"/>
    <w:rsid w:val="00BA5BDF"/>
    <w:rsid w:val="00BB5AF2"/>
    <w:rsid w:val="00BD0B10"/>
    <w:rsid w:val="00BD46C2"/>
    <w:rsid w:val="00BE3019"/>
    <w:rsid w:val="00C10594"/>
    <w:rsid w:val="00C76029"/>
    <w:rsid w:val="00C9267E"/>
    <w:rsid w:val="00CB5572"/>
    <w:rsid w:val="00CC1C6A"/>
    <w:rsid w:val="00CC21B4"/>
    <w:rsid w:val="00CD11DE"/>
    <w:rsid w:val="00CD3382"/>
    <w:rsid w:val="00CD3A26"/>
    <w:rsid w:val="00CD4CB9"/>
    <w:rsid w:val="00CD5875"/>
    <w:rsid w:val="00CE001F"/>
    <w:rsid w:val="00CF6C93"/>
    <w:rsid w:val="00D22606"/>
    <w:rsid w:val="00D51DE7"/>
    <w:rsid w:val="00D63A78"/>
    <w:rsid w:val="00D7318B"/>
    <w:rsid w:val="00D9271D"/>
    <w:rsid w:val="00DA5B8A"/>
    <w:rsid w:val="00DA6E12"/>
    <w:rsid w:val="00DB364A"/>
    <w:rsid w:val="00DB37BA"/>
    <w:rsid w:val="00DC310C"/>
    <w:rsid w:val="00DD0DC5"/>
    <w:rsid w:val="00DD437C"/>
    <w:rsid w:val="00E1798C"/>
    <w:rsid w:val="00E43746"/>
    <w:rsid w:val="00E519F7"/>
    <w:rsid w:val="00E53E4A"/>
    <w:rsid w:val="00E61993"/>
    <w:rsid w:val="00E73B58"/>
    <w:rsid w:val="00E77F6E"/>
    <w:rsid w:val="00E85359"/>
    <w:rsid w:val="00E94696"/>
    <w:rsid w:val="00EA2BBC"/>
    <w:rsid w:val="00EB5060"/>
    <w:rsid w:val="00EC2CA4"/>
    <w:rsid w:val="00F30867"/>
    <w:rsid w:val="00F740D5"/>
    <w:rsid w:val="00F95B50"/>
    <w:rsid w:val="00FA0DD0"/>
    <w:rsid w:val="00FA5158"/>
    <w:rsid w:val="00FA7ECF"/>
    <w:rsid w:val="00FB659E"/>
    <w:rsid w:val="00FB7E29"/>
    <w:rsid w:val="00FC0A77"/>
    <w:rsid w:val="00FE23E3"/>
    <w:rsid w:val="00FF27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71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016C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9271D"/>
  </w:style>
  <w:style w:type="paragraph" w:styleId="Header">
    <w:name w:val="header"/>
    <w:basedOn w:val="Normal"/>
    <w:link w:val="HeaderChar"/>
    <w:rsid w:val="00D9271D"/>
    <w:pPr>
      <w:tabs>
        <w:tab w:val="center" w:pos="4320"/>
        <w:tab w:val="right" w:pos="8640"/>
      </w:tabs>
    </w:pPr>
  </w:style>
  <w:style w:type="character" w:customStyle="1" w:styleId="HeaderChar">
    <w:name w:val="Header Char"/>
    <w:basedOn w:val="DefaultParagraphFont"/>
    <w:link w:val="Header"/>
    <w:rsid w:val="00D9271D"/>
    <w:rPr>
      <w:rFonts w:ascii="Times New Roman" w:eastAsia="Times New Roman" w:hAnsi="Times New Roman" w:cs="Times New Roman"/>
      <w:sz w:val="24"/>
      <w:szCs w:val="20"/>
    </w:rPr>
  </w:style>
  <w:style w:type="paragraph" w:styleId="Footer">
    <w:name w:val="footer"/>
    <w:basedOn w:val="Normal"/>
    <w:link w:val="FooterChar"/>
    <w:uiPriority w:val="99"/>
    <w:rsid w:val="00D9271D"/>
    <w:pPr>
      <w:tabs>
        <w:tab w:val="center" w:pos="4320"/>
        <w:tab w:val="right" w:pos="8640"/>
      </w:tabs>
    </w:pPr>
  </w:style>
  <w:style w:type="character" w:customStyle="1" w:styleId="FooterChar">
    <w:name w:val="Footer Char"/>
    <w:basedOn w:val="DefaultParagraphFont"/>
    <w:link w:val="Footer"/>
    <w:uiPriority w:val="99"/>
    <w:rsid w:val="00D9271D"/>
    <w:rPr>
      <w:rFonts w:ascii="Times New Roman" w:eastAsia="Times New Roman" w:hAnsi="Times New Roman" w:cs="Times New Roman"/>
      <w:sz w:val="24"/>
      <w:szCs w:val="20"/>
    </w:rPr>
  </w:style>
  <w:style w:type="paragraph" w:styleId="Title">
    <w:name w:val="Title"/>
    <w:basedOn w:val="Normal"/>
    <w:link w:val="TitleChar"/>
    <w:qFormat/>
    <w:rsid w:val="00D927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color w:val="000000"/>
    </w:rPr>
  </w:style>
  <w:style w:type="character" w:customStyle="1" w:styleId="TitleChar">
    <w:name w:val="Title Char"/>
    <w:basedOn w:val="DefaultParagraphFont"/>
    <w:link w:val="Title"/>
    <w:rsid w:val="00D9271D"/>
    <w:rPr>
      <w:rFonts w:ascii="Times New Roman" w:eastAsia="Times New Roman" w:hAnsi="Times New Roman" w:cs="Times New Roman"/>
      <w:b/>
      <w:color w:val="000000"/>
      <w:sz w:val="24"/>
      <w:szCs w:val="20"/>
    </w:rPr>
  </w:style>
  <w:style w:type="character" w:styleId="LineNumber">
    <w:name w:val="line number"/>
    <w:basedOn w:val="DefaultParagraphFont"/>
    <w:rsid w:val="00D9271D"/>
  </w:style>
  <w:style w:type="paragraph" w:styleId="TOC1">
    <w:name w:val="toc 1"/>
    <w:basedOn w:val="Normal"/>
    <w:next w:val="Normal"/>
    <w:autoRedefine/>
    <w:uiPriority w:val="39"/>
    <w:rsid w:val="002C5F33"/>
    <w:pPr>
      <w:tabs>
        <w:tab w:val="right" w:pos="8630"/>
      </w:tabs>
      <w:spacing w:before="360"/>
    </w:pPr>
    <w:rPr>
      <w:rFonts w:asciiTheme="majorHAnsi" w:hAnsiTheme="majorHAnsi"/>
      <w:b/>
      <w:bCs/>
      <w:caps/>
      <w:noProof/>
      <w:szCs w:val="24"/>
    </w:rPr>
  </w:style>
  <w:style w:type="character" w:styleId="Hyperlink">
    <w:name w:val="Hyperlink"/>
    <w:basedOn w:val="DefaultParagraphFont"/>
    <w:uiPriority w:val="99"/>
    <w:unhideWhenUsed/>
    <w:rsid w:val="00D9271D"/>
    <w:rPr>
      <w:color w:val="0000FF"/>
      <w:u w:val="single"/>
    </w:rPr>
  </w:style>
  <w:style w:type="paragraph" w:styleId="BodyText2">
    <w:name w:val="Body Text 2"/>
    <w:basedOn w:val="Normal"/>
    <w:link w:val="BodyText2Char"/>
    <w:rsid w:val="001C6681"/>
    <w:pPr>
      <w:overflowPunct/>
      <w:autoSpaceDE/>
      <w:autoSpaceDN/>
      <w:adjustRightInd/>
      <w:textAlignment w:val="auto"/>
    </w:pPr>
    <w:rPr>
      <w:rFonts w:ascii="Arial" w:hAnsi="Arial"/>
      <w:b/>
    </w:rPr>
  </w:style>
  <w:style w:type="character" w:customStyle="1" w:styleId="BodyText2Char">
    <w:name w:val="Body Text 2 Char"/>
    <w:basedOn w:val="DefaultParagraphFont"/>
    <w:link w:val="BodyText2"/>
    <w:rsid w:val="001C6681"/>
    <w:rPr>
      <w:rFonts w:ascii="Arial" w:eastAsia="Times New Roman" w:hAnsi="Arial" w:cs="Times New Roman"/>
      <w:b/>
      <w:sz w:val="24"/>
      <w:szCs w:val="20"/>
    </w:rPr>
  </w:style>
  <w:style w:type="paragraph" w:styleId="ListParagraph">
    <w:name w:val="List Paragraph"/>
    <w:basedOn w:val="Normal"/>
    <w:uiPriority w:val="34"/>
    <w:qFormat/>
    <w:rsid w:val="00D63A78"/>
    <w:pPr>
      <w:ind w:left="720"/>
      <w:contextualSpacing/>
    </w:pPr>
  </w:style>
  <w:style w:type="character" w:styleId="CommentReference">
    <w:name w:val="annotation reference"/>
    <w:basedOn w:val="DefaultParagraphFont"/>
    <w:uiPriority w:val="99"/>
    <w:semiHidden/>
    <w:unhideWhenUsed/>
    <w:rsid w:val="001C250D"/>
    <w:rPr>
      <w:sz w:val="16"/>
      <w:szCs w:val="16"/>
    </w:rPr>
  </w:style>
  <w:style w:type="paragraph" w:styleId="CommentText">
    <w:name w:val="annotation text"/>
    <w:basedOn w:val="Normal"/>
    <w:link w:val="CommentTextChar"/>
    <w:uiPriority w:val="99"/>
    <w:semiHidden/>
    <w:unhideWhenUsed/>
    <w:rsid w:val="001C250D"/>
    <w:rPr>
      <w:sz w:val="20"/>
    </w:rPr>
  </w:style>
  <w:style w:type="character" w:customStyle="1" w:styleId="CommentTextChar">
    <w:name w:val="Comment Text Char"/>
    <w:basedOn w:val="DefaultParagraphFont"/>
    <w:link w:val="CommentText"/>
    <w:uiPriority w:val="99"/>
    <w:semiHidden/>
    <w:rsid w:val="001C25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250D"/>
    <w:rPr>
      <w:b/>
      <w:bCs/>
    </w:rPr>
  </w:style>
  <w:style w:type="character" w:customStyle="1" w:styleId="CommentSubjectChar">
    <w:name w:val="Comment Subject Char"/>
    <w:basedOn w:val="CommentTextChar"/>
    <w:link w:val="CommentSubject"/>
    <w:uiPriority w:val="99"/>
    <w:semiHidden/>
    <w:rsid w:val="001C250D"/>
    <w:rPr>
      <w:b/>
      <w:bCs/>
    </w:rPr>
  </w:style>
  <w:style w:type="paragraph" w:styleId="BalloonText">
    <w:name w:val="Balloon Text"/>
    <w:basedOn w:val="Normal"/>
    <w:link w:val="BalloonTextChar"/>
    <w:uiPriority w:val="99"/>
    <w:semiHidden/>
    <w:unhideWhenUsed/>
    <w:rsid w:val="001C250D"/>
    <w:rPr>
      <w:rFonts w:ascii="Tahoma" w:hAnsi="Tahoma" w:cs="Tahoma"/>
      <w:sz w:val="16"/>
      <w:szCs w:val="16"/>
    </w:rPr>
  </w:style>
  <w:style w:type="character" w:customStyle="1" w:styleId="BalloonTextChar">
    <w:name w:val="Balloon Text Char"/>
    <w:basedOn w:val="DefaultParagraphFont"/>
    <w:link w:val="BalloonText"/>
    <w:uiPriority w:val="99"/>
    <w:semiHidden/>
    <w:rsid w:val="001C250D"/>
    <w:rPr>
      <w:rFonts w:ascii="Tahoma" w:eastAsia="Times New Roman" w:hAnsi="Tahoma" w:cs="Tahoma"/>
      <w:sz w:val="16"/>
      <w:szCs w:val="16"/>
    </w:rPr>
  </w:style>
  <w:style w:type="paragraph" w:styleId="TOC2">
    <w:name w:val="toc 2"/>
    <w:basedOn w:val="Normal"/>
    <w:next w:val="Normal"/>
    <w:autoRedefine/>
    <w:uiPriority w:val="39"/>
    <w:unhideWhenUsed/>
    <w:rsid w:val="00631CDF"/>
    <w:pPr>
      <w:spacing w:before="240"/>
    </w:pPr>
    <w:rPr>
      <w:rFonts w:asciiTheme="minorHAnsi" w:hAnsiTheme="minorHAnsi"/>
      <w:b/>
      <w:bCs/>
      <w:sz w:val="20"/>
    </w:rPr>
  </w:style>
  <w:style w:type="paragraph" w:styleId="TOC3">
    <w:name w:val="toc 3"/>
    <w:basedOn w:val="Normal"/>
    <w:next w:val="Normal"/>
    <w:autoRedefine/>
    <w:uiPriority w:val="39"/>
    <w:unhideWhenUsed/>
    <w:rsid w:val="00631CDF"/>
    <w:pPr>
      <w:ind w:left="240"/>
    </w:pPr>
    <w:rPr>
      <w:rFonts w:asciiTheme="minorHAnsi" w:hAnsiTheme="minorHAnsi"/>
      <w:sz w:val="20"/>
    </w:rPr>
  </w:style>
  <w:style w:type="paragraph" w:styleId="TOC4">
    <w:name w:val="toc 4"/>
    <w:basedOn w:val="Normal"/>
    <w:next w:val="Normal"/>
    <w:autoRedefine/>
    <w:uiPriority w:val="39"/>
    <w:unhideWhenUsed/>
    <w:rsid w:val="00631CDF"/>
    <w:pPr>
      <w:ind w:left="480"/>
    </w:pPr>
    <w:rPr>
      <w:rFonts w:asciiTheme="minorHAnsi" w:hAnsiTheme="minorHAnsi"/>
      <w:sz w:val="20"/>
    </w:rPr>
  </w:style>
  <w:style w:type="paragraph" w:styleId="TOC5">
    <w:name w:val="toc 5"/>
    <w:basedOn w:val="Normal"/>
    <w:next w:val="Normal"/>
    <w:autoRedefine/>
    <w:uiPriority w:val="39"/>
    <w:unhideWhenUsed/>
    <w:rsid w:val="00631CDF"/>
    <w:pPr>
      <w:ind w:left="720"/>
    </w:pPr>
    <w:rPr>
      <w:rFonts w:asciiTheme="minorHAnsi" w:hAnsiTheme="minorHAnsi"/>
      <w:sz w:val="20"/>
    </w:rPr>
  </w:style>
  <w:style w:type="paragraph" w:styleId="TOC6">
    <w:name w:val="toc 6"/>
    <w:basedOn w:val="Normal"/>
    <w:next w:val="Normal"/>
    <w:autoRedefine/>
    <w:uiPriority w:val="39"/>
    <w:unhideWhenUsed/>
    <w:rsid w:val="00631CDF"/>
    <w:pPr>
      <w:ind w:left="960"/>
    </w:pPr>
    <w:rPr>
      <w:rFonts w:asciiTheme="minorHAnsi" w:hAnsiTheme="minorHAnsi"/>
      <w:sz w:val="20"/>
    </w:rPr>
  </w:style>
  <w:style w:type="paragraph" w:styleId="TOC7">
    <w:name w:val="toc 7"/>
    <w:basedOn w:val="Normal"/>
    <w:next w:val="Normal"/>
    <w:autoRedefine/>
    <w:uiPriority w:val="39"/>
    <w:unhideWhenUsed/>
    <w:rsid w:val="00631CDF"/>
    <w:pPr>
      <w:ind w:left="1200"/>
    </w:pPr>
    <w:rPr>
      <w:rFonts w:asciiTheme="minorHAnsi" w:hAnsiTheme="minorHAnsi"/>
      <w:sz w:val="20"/>
    </w:rPr>
  </w:style>
  <w:style w:type="paragraph" w:styleId="TOC8">
    <w:name w:val="toc 8"/>
    <w:basedOn w:val="Normal"/>
    <w:next w:val="Normal"/>
    <w:autoRedefine/>
    <w:uiPriority w:val="39"/>
    <w:unhideWhenUsed/>
    <w:rsid w:val="00631CDF"/>
    <w:pPr>
      <w:ind w:left="1440"/>
    </w:pPr>
    <w:rPr>
      <w:rFonts w:asciiTheme="minorHAnsi" w:hAnsiTheme="minorHAnsi"/>
      <w:sz w:val="20"/>
    </w:rPr>
  </w:style>
  <w:style w:type="paragraph" w:styleId="TOC9">
    <w:name w:val="toc 9"/>
    <w:basedOn w:val="Normal"/>
    <w:next w:val="Normal"/>
    <w:autoRedefine/>
    <w:uiPriority w:val="39"/>
    <w:unhideWhenUsed/>
    <w:rsid w:val="00631CDF"/>
    <w:pPr>
      <w:ind w:left="1680"/>
    </w:pPr>
    <w:rPr>
      <w:rFonts w:asciiTheme="minorHAnsi" w:hAnsiTheme="minorHAnsi"/>
      <w:sz w:val="20"/>
    </w:rPr>
  </w:style>
  <w:style w:type="character" w:styleId="IntenseReference">
    <w:name w:val="Intense Reference"/>
    <w:basedOn w:val="DefaultParagraphFont"/>
    <w:uiPriority w:val="32"/>
    <w:qFormat/>
    <w:rsid w:val="00016C55"/>
    <w:rPr>
      <w:b/>
      <w:bCs/>
      <w:smallCaps/>
      <w:color w:val="C0504D" w:themeColor="accent2"/>
      <w:spacing w:val="5"/>
      <w:u w:val="single"/>
    </w:rPr>
  </w:style>
  <w:style w:type="character" w:customStyle="1" w:styleId="Heading1Char">
    <w:name w:val="Heading 1 Char"/>
    <w:basedOn w:val="DefaultParagraphFont"/>
    <w:link w:val="Heading1"/>
    <w:uiPriority w:val="9"/>
    <w:rsid w:val="00016C5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16C55"/>
    <w:pPr>
      <w:overflowPunct/>
      <w:autoSpaceDE/>
      <w:autoSpaceDN/>
      <w:adjustRightInd/>
      <w:spacing w:line="276" w:lineRule="auto"/>
      <w:textAlignment w:val="auto"/>
      <w:outlineLvl w:val="9"/>
    </w:pPr>
  </w:style>
  <w:style w:type="character" w:styleId="FollowedHyperlink">
    <w:name w:val="FollowedHyperlink"/>
    <w:basedOn w:val="DefaultParagraphFont"/>
    <w:uiPriority w:val="99"/>
    <w:semiHidden/>
    <w:unhideWhenUsed/>
    <w:rsid w:val="00016C5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8D8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10945-CE63-4517-9E26-484564C78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2059</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Duke Energy</Company>
  <LinksUpToDate>false</LinksUpToDate>
  <CharactersWithSpaces>13769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ehwatts</dc:creator>
  <cp:keywords/>
  <dc:description/>
  <cp:lastModifiedBy>Mickey</cp:lastModifiedBy>
  <cp:revision>3</cp:revision>
  <dcterms:created xsi:type="dcterms:W3CDTF">2011-11-22T18:25:00Z</dcterms:created>
  <dcterms:modified xsi:type="dcterms:W3CDTF">2011-11-22T18:27:00Z</dcterms:modified>
</cp:coreProperties>
</file>