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A6C8A" w:rsidRPr="006F23C5" w:rsidP="008A6C8A" w14:paraId="695AAD46" w14:textId="77777777">
      <w:pPr>
        <w:pStyle w:val="HTMLPreformatted"/>
        <w:jc w:val="center"/>
        <w:rPr>
          <w:rFonts w:ascii="Times New Roman" w:hAnsi="Times New Roman" w:cs="Times New Roman"/>
          <w:b/>
          <w:bCs/>
          <w:sz w:val="24"/>
          <w:szCs w:val="24"/>
        </w:rPr>
      </w:pPr>
      <w:r w:rsidRPr="006F23C5">
        <w:rPr>
          <w:rFonts w:ascii="Times New Roman" w:hAnsi="Times New Roman" w:cs="Times New Roman"/>
          <w:b/>
          <w:bCs/>
          <w:sz w:val="24"/>
          <w:szCs w:val="24"/>
        </w:rPr>
        <w:t>BEFORE</w:t>
      </w:r>
    </w:p>
    <w:p w:rsidR="008A6C8A" w:rsidRPr="006F23C5" w:rsidP="008A6C8A" w14:paraId="56B64818" w14:textId="77777777">
      <w:pPr>
        <w:pStyle w:val="HTMLPreformatted"/>
        <w:jc w:val="center"/>
        <w:rPr>
          <w:rFonts w:ascii="Times New Roman" w:hAnsi="Times New Roman" w:cs="Times New Roman"/>
          <w:sz w:val="24"/>
          <w:szCs w:val="24"/>
        </w:rPr>
      </w:pPr>
      <w:r w:rsidRPr="006F23C5">
        <w:rPr>
          <w:rFonts w:ascii="Times New Roman" w:hAnsi="Times New Roman" w:cs="Times New Roman"/>
          <w:b/>
          <w:bCs/>
          <w:sz w:val="24"/>
          <w:szCs w:val="24"/>
        </w:rPr>
        <w:t>THE PUBLIC UTILITIES COMMISSION OF OHIO</w:t>
      </w:r>
    </w:p>
    <w:p w:rsidR="008A6C8A" w:rsidRPr="006F23C5" w:rsidP="008A6C8A" w14:paraId="29F8AF9D" w14:textId="77777777">
      <w:pPr>
        <w:pStyle w:val="HTMLPreformatted"/>
        <w:rPr>
          <w:rFonts w:ascii="Times New Roman" w:hAnsi="Times New Roman" w:cs="Times New Roman"/>
          <w:sz w:val="24"/>
          <w:szCs w:val="24"/>
        </w:rPr>
      </w:pPr>
    </w:p>
    <w:tbl>
      <w:tblPr>
        <w:tblW w:w="8730" w:type="dxa"/>
        <w:tblLook w:val="01E0"/>
      </w:tblPr>
      <w:tblGrid>
        <w:gridCol w:w="4332"/>
        <w:gridCol w:w="360"/>
        <w:gridCol w:w="4038"/>
      </w:tblGrid>
      <w:tr w14:paraId="535568FF" w14:textId="77777777" w:rsidTr="00D60047">
        <w:tblPrEx>
          <w:tblW w:w="8730" w:type="dxa"/>
          <w:tblLook w:val="01E0"/>
        </w:tblPrEx>
        <w:trPr>
          <w:trHeight w:val="807"/>
        </w:trPr>
        <w:tc>
          <w:tcPr>
            <w:tcW w:w="4332" w:type="dxa"/>
            <w:shd w:val="clear" w:color="auto" w:fill="auto"/>
          </w:tcPr>
          <w:p w:rsidR="008A6C8A" w:rsidRPr="006F23C5" w:rsidP="00D60047" w14:paraId="4475ED48" w14:textId="224F045B">
            <w:pPr>
              <w:autoSpaceDE w:val="0"/>
              <w:autoSpaceDN w:val="0"/>
              <w:adjustRightInd w:val="0"/>
              <w:rPr>
                <w:szCs w:val="24"/>
              </w:rPr>
            </w:pPr>
            <w:r w:rsidRPr="006F23C5">
              <w:rPr>
                <w:szCs w:val="24"/>
              </w:rPr>
              <w:t>In the Matter of the Application of Ohio Power Company to Revise Reliability Performance Standards Pursuant to O.A.C. 4901:1-10-10(B)(7)</w:t>
            </w:r>
            <w:r w:rsidR="00AC0E9B">
              <w:rPr>
                <w:szCs w:val="24"/>
              </w:rPr>
              <w:t>.</w:t>
            </w:r>
          </w:p>
        </w:tc>
        <w:tc>
          <w:tcPr>
            <w:tcW w:w="360" w:type="dxa"/>
            <w:shd w:val="clear" w:color="auto" w:fill="auto"/>
          </w:tcPr>
          <w:p w:rsidR="008A6C8A" w:rsidRPr="006F23C5" w:rsidP="00D60047" w14:paraId="7B1CB56D" w14:textId="77777777">
            <w:pPr>
              <w:pStyle w:val="HTMLPreformatted"/>
              <w:rPr>
                <w:rFonts w:ascii="Times New Roman" w:hAnsi="Times New Roman" w:cs="Times New Roman"/>
                <w:sz w:val="24"/>
                <w:szCs w:val="24"/>
              </w:rPr>
            </w:pPr>
            <w:r w:rsidRPr="006F23C5">
              <w:rPr>
                <w:rFonts w:ascii="Times New Roman" w:hAnsi="Times New Roman" w:cs="Times New Roman"/>
                <w:sz w:val="24"/>
                <w:szCs w:val="24"/>
              </w:rPr>
              <w:t>)</w:t>
            </w:r>
          </w:p>
          <w:p w:rsidR="008A6C8A" w:rsidRPr="006F23C5" w:rsidP="00D60047" w14:paraId="17690160" w14:textId="77777777">
            <w:pPr>
              <w:pStyle w:val="HTMLPreformatted"/>
              <w:rPr>
                <w:rFonts w:ascii="Times New Roman" w:hAnsi="Times New Roman" w:cs="Times New Roman"/>
                <w:sz w:val="24"/>
                <w:szCs w:val="24"/>
              </w:rPr>
            </w:pPr>
            <w:r w:rsidRPr="006F23C5">
              <w:rPr>
                <w:rFonts w:ascii="Times New Roman" w:hAnsi="Times New Roman" w:cs="Times New Roman"/>
                <w:sz w:val="24"/>
                <w:szCs w:val="24"/>
              </w:rPr>
              <w:t>)</w:t>
            </w:r>
          </w:p>
          <w:p w:rsidR="008A6C8A" w:rsidRPr="006F23C5" w:rsidP="00D60047" w14:paraId="32666D35" w14:textId="77777777">
            <w:pPr>
              <w:pStyle w:val="HTMLPreformatted"/>
              <w:rPr>
                <w:rFonts w:ascii="Times New Roman" w:hAnsi="Times New Roman" w:cs="Times New Roman"/>
                <w:sz w:val="24"/>
                <w:szCs w:val="24"/>
              </w:rPr>
            </w:pPr>
            <w:r w:rsidRPr="006F23C5">
              <w:rPr>
                <w:rFonts w:ascii="Times New Roman" w:hAnsi="Times New Roman" w:cs="Times New Roman"/>
                <w:sz w:val="24"/>
                <w:szCs w:val="24"/>
              </w:rPr>
              <w:t>)</w:t>
            </w:r>
          </w:p>
          <w:p w:rsidR="008A6C8A" w:rsidRPr="006F23C5" w:rsidP="00D60047" w14:paraId="1E785FF9" w14:textId="77777777">
            <w:pPr>
              <w:pStyle w:val="HTMLPreformatted"/>
              <w:rPr>
                <w:rFonts w:ascii="Times New Roman" w:hAnsi="Times New Roman" w:cs="Times New Roman"/>
                <w:sz w:val="24"/>
                <w:szCs w:val="24"/>
              </w:rPr>
            </w:pPr>
            <w:r w:rsidRPr="006F23C5">
              <w:rPr>
                <w:rFonts w:ascii="Times New Roman" w:hAnsi="Times New Roman" w:cs="Times New Roman"/>
                <w:sz w:val="24"/>
                <w:szCs w:val="24"/>
              </w:rPr>
              <w:t>)</w:t>
            </w:r>
          </w:p>
        </w:tc>
        <w:tc>
          <w:tcPr>
            <w:tcW w:w="4038" w:type="dxa"/>
            <w:shd w:val="clear" w:color="auto" w:fill="auto"/>
          </w:tcPr>
          <w:p w:rsidR="008A6C8A" w:rsidRPr="006F23C5" w:rsidP="00D60047" w14:paraId="0B06A582" w14:textId="77777777">
            <w:pPr>
              <w:pStyle w:val="HTMLPreformatted"/>
              <w:rPr>
                <w:rFonts w:ascii="Times New Roman" w:hAnsi="Times New Roman" w:cs="Times New Roman"/>
                <w:sz w:val="24"/>
                <w:szCs w:val="24"/>
              </w:rPr>
            </w:pPr>
          </w:p>
          <w:p w:rsidR="008A6C8A" w:rsidRPr="006F23C5" w:rsidP="00D60047" w14:paraId="19081BBC" w14:textId="77777777">
            <w:pPr>
              <w:pStyle w:val="HTMLPreformatted"/>
              <w:rPr>
                <w:rFonts w:ascii="Times New Roman" w:hAnsi="Times New Roman" w:cs="Times New Roman"/>
                <w:sz w:val="24"/>
                <w:szCs w:val="24"/>
              </w:rPr>
            </w:pPr>
            <w:r w:rsidRPr="006F23C5">
              <w:rPr>
                <w:rFonts w:ascii="Times New Roman" w:hAnsi="Times New Roman" w:cs="Times New Roman"/>
                <w:sz w:val="24"/>
                <w:szCs w:val="24"/>
              </w:rPr>
              <w:t>Case No. 20-1111-EL-ESS</w:t>
            </w:r>
          </w:p>
          <w:p w:rsidR="008A6C8A" w:rsidRPr="006F23C5" w:rsidP="00D60047" w14:paraId="671CB4EA" w14:textId="77777777">
            <w:pPr>
              <w:pStyle w:val="HTMLPreformatted"/>
              <w:rPr>
                <w:rFonts w:ascii="Times New Roman" w:hAnsi="Times New Roman" w:cs="Times New Roman"/>
                <w:sz w:val="24"/>
                <w:szCs w:val="24"/>
              </w:rPr>
            </w:pPr>
          </w:p>
        </w:tc>
      </w:tr>
    </w:tbl>
    <w:p w:rsidR="008A6C8A" w:rsidRPr="006F23C5" w:rsidP="008A6C8A" w14:paraId="0EA9DF5F" w14:textId="77777777">
      <w:pPr>
        <w:pStyle w:val="HTMLPreformatted"/>
        <w:rPr>
          <w:rFonts w:ascii="Times New Roman" w:hAnsi="Times New Roman" w:cs="Times New Roman"/>
          <w:sz w:val="24"/>
          <w:szCs w:val="24"/>
        </w:rPr>
      </w:pPr>
    </w:p>
    <w:p w:rsidR="008A6C8A" w:rsidRPr="006F23C5" w:rsidP="008A6C8A" w14:paraId="25EB0619" w14:textId="77777777">
      <w:pPr>
        <w:pStyle w:val="HTMLPreformatted"/>
        <w:pBdr>
          <w:top w:val="single" w:sz="12" w:space="1" w:color="auto"/>
        </w:pBdr>
        <w:rPr>
          <w:rFonts w:ascii="Times New Roman" w:hAnsi="Times New Roman" w:cs="Times New Roman"/>
          <w:sz w:val="24"/>
          <w:szCs w:val="24"/>
        </w:rPr>
      </w:pPr>
    </w:p>
    <w:p w:rsidR="008A6C8A" w:rsidRPr="006F23C5" w:rsidP="008A6C8A" w14:paraId="4455A49B" w14:textId="53B85A82">
      <w:pPr>
        <w:jc w:val="center"/>
        <w:rPr>
          <w:b/>
          <w:bCs/>
          <w:szCs w:val="24"/>
        </w:rPr>
      </w:pPr>
      <w:r w:rsidRPr="006F23C5">
        <w:rPr>
          <w:b/>
          <w:bCs/>
          <w:szCs w:val="24"/>
        </w:rPr>
        <w:t>CONSUM</w:t>
      </w:r>
      <w:r w:rsidRPr="006F23C5" w:rsidR="00782168">
        <w:rPr>
          <w:b/>
          <w:bCs/>
          <w:szCs w:val="24"/>
        </w:rPr>
        <w:t>E</w:t>
      </w:r>
      <w:r w:rsidRPr="006F23C5">
        <w:rPr>
          <w:b/>
          <w:bCs/>
          <w:szCs w:val="24"/>
        </w:rPr>
        <w:t>R PROTECTION COMMENTS</w:t>
      </w:r>
    </w:p>
    <w:p w:rsidR="008A6C8A" w:rsidRPr="006F23C5" w:rsidP="008A6C8A" w14:paraId="249898A4" w14:textId="77777777">
      <w:pPr>
        <w:jc w:val="center"/>
        <w:rPr>
          <w:b/>
          <w:bCs/>
          <w:szCs w:val="24"/>
        </w:rPr>
      </w:pPr>
      <w:r w:rsidRPr="006F23C5">
        <w:rPr>
          <w:b/>
          <w:bCs/>
          <w:szCs w:val="24"/>
        </w:rPr>
        <w:t>BY</w:t>
      </w:r>
    </w:p>
    <w:p w:rsidR="008A6C8A" w:rsidRPr="006F23C5" w:rsidP="008A6C8A" w14:paraId="0D248640" w14:textId="77777777">
      <w:pPr>
        <w:jc w:val="center"/>
        <w:rPr>
          <w:b/>
          <w:bCs/>
          <w:szCs w:val="24"/>
        </w:rPr>
      </w:pPr>
      <w:r w:rsidRPr="006F23C5">
        <w:rPr>
          <w:b/>
          <w:bCs/>
          <w:szCs w:val="24"/>
        </w:rPr>
        <w:t>OFFICE OF THE OHIO CONSUMERS’ COUNSEL</w:t>
      </w:r>
    </w:p>
    <w:p w:rsidR="008A6C8A" w:rsidRPr="006F23C5" w:rsidP="008A6C8A" w14:paraId="4D3F0158" w14:textId="77777777">
      <w:pPr>
        <w:pBdr>
          <w:bottom w:val="single" w:sz="12" w:space="1" w:color="auto"/>
        </w:pBdr>
        <w:tabs>
          <w:tab w:val="left" w:pos="4320"/>
        </w:tabs>
        <w:rPr>
          <w:szCs w:val="24"/>
        </w:rPr>
      </w:pPr>
    </w:p>
    <w:p w:rsidR="008A6C8A" w:rsidRPr="006F23C5" w14:paraId="24D4A904" w14:textId="77777777">
      <w:pPr>
        <w:pStyle w:val="HTMLPreformatted"/>
        <w:jc w:val="center"/>
        <w:rPr>
          <w:rFonts w:ascii="Times New Roman" w:hAnsi="Times New Roman" w:cs="Times New Roman"/>
          <w:b/>
          <w:bCs/>
          <w:sz w:val="24"/>
          <w:szCs w:val="24"/>
        </w:rPr>
      </w:pPr>
    </w:p>
    <w:p w:rsidR="008A6C8A" w:rsidRPr="006F23C5" w:rsidP="008A6C8A" w14:paraId="7D40F9F7" w14:textId="77777777">
      <w:pPr>
        <w:tabs>
          <w:tab w:val="left" w:pos="2866"/>
        </w:tabs>
        <w:rPr>
          <w:rFonts w:eastAsia="Courier New"/>
          <w:b/>
          <w:bCs/>
          <w:szCs w:val="24"/>
        </w:rPr>
      </w:pPr>
    </w:p>
    <w:p w:rsidR="00C81240" w:rsidRPr="006F23C5" w:rsidP="00C81240" w14:paraId="18061EEE" w14:textId="77777777">
      <w:pPr>
        <w:ind w:left="3690"/>
        <w:jc w:val="both"/>
        <w:rPr>
          <w:szCs w:val="24"/>
        </w:rPr>
      </w:pPr>
      <w:r w:rsidRPr="006F23C5">
        <w:rPr>
          <w:szCs w:val="24"/>
        </w:rPr>
        <w:t>Bruce Weston (0016973)</w:t>
      </w:r>
    </w:p>
    <w:p w:rsidR="00C81240" w:rsidRPr="006F23C5" w:rsidP="00C81240" w14:paraId="3DDD4D4E" w14:textId="77777777">
      <w:pPr>
        <w:ind w:left="3690"/>
        <w:jc w:val="both"/>
        <w:rPr>
          <w:szCs w:val="24"/>
        </w:rPr>
      </w:pPr>
      <w:r w:rsidRPr="006F23C5">
        <w:rPr>
          <w:szCs w:val="24"/>
        </w:rPr>
        <w:t>Ohio Consumers’ Counsel</w:t>
      </w:r>
    </w:p>
    <w:p w:rsidR="00C81240" w:rsidRPr="006F23C5" w:rsidP="00C81240" w14:paraId="6DEB6FB1" w14:textId="77777777">
      <w:pPr>
        <w:tabs>
          <w:tab w:val="left" w:pos="4320"/>
        </w:tabs>
        <w:ind w:left="3690"/>
        <w:jc w:val="both"/>
        <w:rPr>
          <w:szCs w:val="24"/>
        </w:rPr>
      </w:pPr>
    </w:p>
    <w:p w:rsidR="00C81240" w:rsidRPr="006F23C5" w:rsidP="00C81240" w14:paraId="7C28C8A4" w14:textId="77777777">
      <w:pPr>
        <w:ind w:left="3690"/>
        <w:rPr>
          <w:szCs w:val="24"/>
        </w:rPr>
      </w:pPr>
      <w:r w:rsidRPr="006F23C5">
        <w:rPr>
          <w:szCs w:val="24"/>
        </w:rPr>
        <w:t>William J. Michael (0070921)</w:t>
      </w:r>
    </w:p>
    <w:p w:rsidR="00C81240" w:rsidRPr="006F23C5" w:rsidP="00C81240" w14:paraId="43A638C9" w14:textId="77777777">
      <w:pPr>
        <w:ind w:left="3690"/>
        <w:rPr>
          <w:szCs w:val="24"/>
        </w:rPr>
      </w:pPr>
      <w:r w:rsidRPr="006F23C5">
        <w:rPr>
          <w:szCs w:val="24"/>
        </w:rPr>
        <w:t>Counsel of Record</w:t>
      </w:r>
    </w:p>
    <w:p w:rsidR="00C81240" w:rsidRPr="006F23C5" w:rsidP="00C81240" w14:paraId="5ADD3E93" w14:textId="77777777">
      <w:pPr>
        <w:ind w:left="3690"/>
        <w:rPr>
          <w:szCs w:val="24"/>
        </w:rPr>
      </w:pPr>
      <w:r w:rsidRPr="006F23C5">
        <w:rPr>
          <w:szCs w:val="24"/>
        </w:rPr>
        <w:t>Amy Botschner O’Brien (0074423)</w:t>
      </w:r>
    </w:p>
    <w:p w:rsidR="00C81240" w:rsidRPr="006F23C5" w:rsidP="00C81240" w14:paraId="74B67925" w14:textId="77777777">
      <w:pPr>
        <w:ind w:left="3690"/>
        <w:rPr>
          <w:szCs w:val="24"/>
        </w:rPr>
      </w:pPr>
      <w:r w:rsidRPr="006F23C5">
        <w:rPr>
          <w:szCs w:val="24"/>
        </w:rPr>
        <w:t>Assistant Consumers’ Counsel</w:t>
      </w:r>
    </w:p>
    <w:p w:rsidR="00C81240" w:rsidRPr="006F23C5" w:rsidP="00C81240" w14:paraId="1752884A" w14:textId="77777777">
      <w:pPr>
        <w:ind w:left="3690"/>
        <w:rPr>
          <w:szCs w:val="24"/>
        </w:rPr>
      </w:pPr>
    </w:p>
    <w:p w:rsidR="00C81240" w:rsidRPr="006F23C5" w:rsidP="00C81240" w14:paraId="54433E7F" w14:textId="77777777">
      <w:pPr>
        <w:ind w:left="3690"/>
        <w:rPr>
          <w:b/>
          <w:bCs/>
          <w:szCs w:val="24"/>
        </w:rPr>
      </w:pPr>
      <w:r w:rsidRPr="006F23C5">
        <w:rPr>
          <w:b/>
          <w:bCs/>
          <w:szCs w:val="24"/>
        </w:rPr>
        <w:t>Office of the Ohio Consumers’ Counsel</w:t>
      </w:r>
    </w:p>
    <w:p w:rsidR="00C81240" w:rsidRPr="006F23C5" w:rsidP="00C81240" w14:paraId="32C17025" w14:textId="77777777">
      <w:pPr>
        <w:ind w:left="3690"/>
        <w:rPr>
          <w:b/>
          <w:szCs w:val="24"/>
        </w:rPr>
      </w:pPr>
      <w:r w:rsidRPr="006F23C5">
        <w:rPr>
          <w:szCs w:val="24"/>
        </w:rPr>
        <w:t>65 East State Street, Suite 700</w:t>
      </w:r>
    </w:p>
    <w:p w:rsidR="00C81240" w:rsidRPr="006F23C5" w:rsidP="00C81240" w14:paraId="41F80565" w14:textId="77777777">
      <w:pPr>
        <w:ind w:left="3690"/>
        <w:rPr>
          <w:b/>
          <w:szCs w:val="24"/>
        </w:rPr>
      </w:pPr>
      <w:r w:rsidRPr="006F23C5">
        <w:rPr>
          <w:szCs w:val="24"/>
        </w:rPr>
        <w:t>Columbus, Ohio 43215</w:t>
      </w:r>
    </w:p>
    <w:p w:rsidR="00C81240" w:rsidRPr="006F23C5" w:rsidP="00C81240" w14:paraId="62F3D83E" w14:textId="77777777">
      <w:pPr>
        <w:ind w:left="3690"/>
        <w:rPr>
          <w:szCs w:val="24"/>
        </w:rPr>
      </w:pPr>
      <w:r w:rsidRPr="006F23C5">
        <w:rPr>
          <w:szCs w:val="24"/>
        </w:rPr>
        <w:t>Telephone [Michael]: (614) 466-1291</w:t>
      </w:r>
    </w:p>
    <w:p w:rsidR="00C81240" w:rsidRPr="006F23C5" w:rsidP="00C81240" w14:paraId="3FBBB996" w14:textId="77777777">
      <w:pPr>
        <w:tabs>
          <w:tab w:val="left" w:pos="3690"/>
        </w:tabs>
        <w:autoSpaceDE w:val="0"/>
        <w:autoSpaceDN w:val="0"/>
        <w:adjustRightInd w:val="0"/>
        <w:ind w:left="3690"/>
        <w:rPr>
          <w:szCs w:val="24"/>
        </w:rPr>
      </w:pPr>
      <w:r w:rsidRPr="006F23C5">
        <w:rPr>
          <w:szCs w:val="24"/>
        </w:rPr>
        <w:t>Telephone [Botschner O’Brien]: (614) 466-9575</w:t>
      </w:r>
    </w:p>
    <w:p w:rsidR="00C81240" w:rsidRPr="006F23C5" w:rsidP="00C81240" w14:paraId="1FCB7B06" w14:textId="77777777">
      <w:pPr>
        <w:ind w:left="3690"/>
        <w:rPr>
          <w:color w:val="0000FF"/>
          <w:szCs w:val="24"/>
          <w:u w:val="single"/>
        </w:rPr>
      </w:pPr>
      <w:hyperlink r:id="rId6" w:history="1">
        <w:r w:rsidRPr="006F23C5" w:rsidR="002A4BB7">
          <w:rPr>
            <w:color w:val="0000FF"/>
            <w:szCs w:val="24"/>
            <w:u w:val="single"/>
          </w:rPr>
          <w:t>william.michael@occ.ohio.gov</w:t>
        </w:r>
      </w:hyperlink>
    </w:p>
    <w:p w:rsidR="00C81240" w:rsidRPr="006F23C5" w:rsidP="00C81240" w14:paraId="5C3B4C40" w14:textId="77777777">
      <w:pPr>
        <w:ind w:left="3690"/>
        <w:rPr>
          <w:color w:val="0000FF"/>
          <w:szCs w:val="24"/>
          <w:u w:val="single"/>
        </w:rPr>
      </w:pPr>
      <w:hyperlink r:id="rId7" w:history="1">
        <w:r w:rsidRPr="006F23C5" w:rsidR="002A4BB7">
          <w:rPr>
            <w:color w:val="0000FF"/>
            <w:szCs w:val="24"/>
            <w:u w:val="single"/>
          </w:rPr>
          <w:t>amy.botschner.obrien@occ.ohio.gov</w:t>
        </w:r>
      </w:hyperlink>
    </w:p>
    <w:p w:rsidR="00460789" w:rsidRPr="006F23C5" w:rsidP="00A46711" w14:paraId="4D4E2994" w14:textId="77777777">
      <w:pPr>
        <w:ind w:left="3690" w:hanging="3690"/>
        <w:rPr>
          <w:szCs w:val="24"/>
        </w:rPr>
        <w:sectPr w:rsidSect="00513F9C">
          <w:footerReference w:type="default" r:id="rId8"/>
          <w:pgSz w:w="12240" w:h="15840"/>
          <w:pgMar w:top="1440" w:right="1800" w:bottom="1440" w:left="1800" w:header="720" w:footer="720" w:gutter="0"/>
          <w:pgNumType w:start="1"/>
          <w:cols w:space="720"/>
          <w:docGrid w:linePitch="326"/>
        </w:sectPr>
      </w:pPr>
      <w:r w:rsidRPr="006F23C5">
        <w:rPr>
          <w:szCs w:val="24"/>
        </w:rPr>
        <w:t>September 28, 2022</w:t>
      </w:r>
      <w:r w:rsidRPr="006F23C5">
        <w:rPr>
          <w:szCs w:val="24"/>
        </w:rPr>
        <w:tab/>
        <w:t>(willing to accept service by e-mail)</w:t>
      </w:r>
    </w:p>
    <w:p w:rsidR="00460789" w:rsidRPr="006F23C5" w:rsidP="00460789" w14:paraId="6795360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Cs w:val="24"/>
          <w:u w:val="single"/>
        </w:rPr>
      </w:pPr>
      <w:r w:rsidRPr="006F23C5">
        <w:rPr>
          <w:rFonts w:eastAsia="Courier New"/>
          <w:b/>
          <w:bCs/>
          <w:szCs w:val="24"/>
          <w:u w:val="single"/>
        </w:rPr>
        <w:t>TABLE OF CONTENTS</w:t>
      </w:r>
    </w:p>
    <w:p w:rsidR="00460789" w:rsidRPr="006F23C5" w:rsidP="00460789" w14:paraId="6247B4E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Cs w:val="24"/>
          <w:u w:val="single"/>
        </w:rPr>
      </w:pPr>
    </w:p>
    <w:p w:rsidR="00460789" w:rsidRPr="006F23C5" w:rsidP="00460789" w14:paraId="73F367B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ourier New"/>
          <w:b/>
          <w:bCs/>
          <w:szCs w:val="24"/>
        </w:rPr>
      </w:pPr>
      <w:r w:rsidRPr="006F23C5">
        <w:rPr>
          <w:rFonts w:eastAsia="Courier New"/>
          <w:b/>
          <w:bCs/>
          <w:szCs w:val="24"/>
        </w:rPr>
        <w:t>PAGE</w:t>
      </w:r>
    </w:p>
    <w:p w:rsidR="00460789" w:rsidRPr="006F23C5" w:rsidP="00460789" w14:paraId="5BDDDB7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ourier New"/>
          <w:b/>
          <w:bCs/>
          <w:szCs w:val="24"/>
        </w:rPr>
      </w:pPr>
    </w:p>
    <w:p w:rsidR="00E41DAC" w14:paraId="6EE08034" w14:textId="2A0D5FEC">
      <w:pPr>
        <w:pStyle w:val="TOC1"/>
        <w:rPr>
          <w:rFonts w:asciiTheme="minorHAnsi" w:eastAsiaTheme="minorEastAsia" w:hAnsiTheme="minorHAnsi" w:cstheme="minorBidi"/>
          <w:caps w:val="0"/>
          <w:noProof/>
          <w:sz w:val="22"/>
          <w:szCs w:val="22"/>
        </w:rPr>
      </w:pPr>
      <w:r w:rsidRPr="006F23C5">
        <w:rPr>
          <w:rFonts w:eastAsia="Courier New"/>
          <w:b/>
          <w:bCs/>
          <w:caps w:val="0"/>
          <w:szCs w:val="24"/>
        </w:rPr>
        <w:fldChar w:fldCharType="begin"/>
      </w:r>
      <w:r w:rsidRPr="006F23C5">
        <w:rPr>
          <w:rFonts w:eastAsia="Courier New"/>
          <w:b/>
          <w:bCs/>
          <w:caps w:val="0"/>
          <w:szCs w:val="24"/>
        </w:rPr>
        <w:instrText xml:space="preserve"> TOC \o "1-3" \h \z \u </w:instrText>
      </w:r>
      <w:r w:rsidRPr="006F23C5">
        <w:rPr>
          <w:rFonts w:eastAsia="Courier New"/>
          <w:b/>
          <w:bCs/>
          <w:caps w:val="0"/>
          <w:szCs w:val="24"/>
        </w:rPr>
        <w:fldChar w:fldCharType="separate"/>
      </w:r>
      <w:hyperlink w:anchor="_Toc115271109" w:history="1">
        <w:r w:rsidRPr="00C02F81">
          <w:rPr>
            <w:rStyle w:val="Hyperlink"/>
            <w:noProof/>
          </w:rPr>
          <w:t>I.</w:t>
        </w:r>
        <w:r>
          <w:rPr>
            <w:rFonts w:asciiTheme="minorHAnsi" w:eastAsiaTheme="minorEastAsia" w:hAnsiTheme="minorHAnsi" w:cstheme="minorBidi"/>
            <w:caps w:val="0"/>
            <w:noProof/>
            <w:sz w:val="22"/>
            <w:szCs w:val="22"/>
          </w:rPr>
          <w:tab/>
        </w:r>
        <w:r w:rsidRPr="00C02F81">
          <w:rPr>
            <w:rStyle w:val="Hyperlink"/>
            <w:noProof/>
          </w:rPr>
          <w:t>INTRODUCTION</w:t>
        </w:r>
        <w:r>
          <w:rPr>
            <w:noProof/>
            <w:webHidden/>
          </w:rPr>
          <w:tab/>
        </w:r>
        <w:r>
          <w:rPr>
            <w:noProof/>
            <w:webHidden/>
          </w:rPr>
          <w:fldChar w:fldCharType="begin"/>
        </w:r>
        <w:r>
          <w:rPr>
            <w:noProof/>
            <w:webHidden/>
          </w:rPr>
          <w:instrText xml:space="preserve"> PAGEREF _Toc115271109 \h </w:instrText>
        </w:r>
        <w:r>
          <w:rPr>
            <w:noProof/>
            <w:webHidden/>
          </w:rPr>
          <w:fldChar w:fldCharType="separate"/>
        </w:r>
        <w:r>
          <w:rPr>
            <w:noProof/>
            <w:webHidden/>
          </w:rPr>
          <w:t>1</w:t>
        </w:r>
        <w:r>
          <w:rPr>
            <w:noProof/>
            <w:webHidden/>
          </w:rPr>
          <w:fldChar w:fldCharType="end"/>
        </w:r>
      </w:hyperlink>
    </w:p>
    <w:p w:rsidR="00E41DAC" w14:paraId="35A343FA" w14:textId="71EAA3D2">
      <w:pPr>
        <w:pStyle w:val="TOC1"/>
        <w:rPr>
          <w:rFonts w:asciiTheme="minorHAnsi" w:eastAsiaTheme="minorEastAsia" w:hAnsiTheme="minorHAnsi" w:cstheme="minorBidi"/>
          <w:caps w:val="0"/>
          <w:noProof/>
          <w:sz w:val="22"/>
          <w:szCs w:val="22"/>
        </w:rPr>
      </w:pPr>
      <w:hyperlink w:anchor="_Toc115271110" w:history="1">
        <w:r w:rsidRPr="00C02F81" w:rsidR="002A4BB7">
          <w:rPr>
            <w:rStyle w:val="Hyperlink"/>
            <w:noProof/>
          </w:rPr>
          <w:t>II.</w:t>
        </w:r>
        <w:r w:rsidR="002A4BB7">
          <w:rPr>
            <w:rFonts w:asciiTheme="minorHAnsi" w:eastAsiaTheme="minorEastAsia" w:hAnsiTheme="minorHAnsi" w:cstheme="minorBidi"/>
            <w:caps w:val="0"/>
            <w:noProof/>
            <w:sz w:val="22"/>
            <w:szCs w:val="22"/>
          </w:rPr>
          <w:tab/>
        </w:r>
        <w:r w:rsidRPr="00C02F81" w:rsidR="002A4BB7">
          <w:rPr>
            <w:rStyle w:val="Hyperlink"/>
            <w:noProof/>
          </w:rPr>
          <w:t>BACKGROUND</w:t>
        </w:r>
        <w:r w:rsidR="002A4BB7">
          <w:rPr>
            <w:noProof/>
            <w:webHidden/>
          </w:rPr>
          <w:tab/>
        </w:r>
        <w:r w:rsidR="002A4BB7">
          <w:rPr>
            <w:noProof/>
            <w:webHidden/>
          </w:rPr>
          <w:fldChar w:fldCharType="begin"/>
        </w:r>
        <w:r w:rsidR="002A4BB7">
          <w:rPr>
            <w:noProof/>
            <w:webHidden/>
          </w:rPr>
          <w:instrText xml:space="preserve"> PAGEREF _Toc115271110 \h </w:instrText>
        </w:r>
        <w:r w:rsidR="002A4BB7">
          <w:rPr>
            <w:noProof/>
            <w:webHidden/>
          </w:rPr>
          <w:fldChar w:fldCharType="separate"/>
        </w:r>
        <w:r w:rsidR="002A4BB7">
          <w:rPr>
            <w:noProof/>
            <w:webHidden/>
          </w:rPr>
          <w:t>2</w:t>
        </w:r>
        <w:r w:rsidR="002A4BB7">
          <w:rPr>
            <w:noProof/>
            <w:webHidden/>
          </w:rPr>
          <w:fldChar w:fldCharType="end"/>
        </w:r>
      </w:hyperlink>
    </w:p>
    <w:p w:rsidR="00E41DAC" w14:paraId="537395AD" w14:textId="73422F83">
      <w:pPr>
        <w:pStyle w:val="TOC2"/>
        <w:tabs>
          <w:tab w:val="left" w:pos="1440"/>
        </w:tabs>
        <w:rPr>
          <w:rFonts w:asciiTheme="minorHAnsi" w:eastAsiaTheme="minorEastAsia" w:hAnsiTheme="minorHAnsi" w:cstheme="minorBidi"/>
          <w:noProof/>
          <w:sz w:val="22"/>
          <w:szCs w:val="22"/>
        </w:rPr>
      </w:pPr>
      <w:hyperlink w:anchor="_Toc115271111" w:history="1">
        <w:r w:rsidRPr="00C02F81" w:rsidR="002A4BB7">
          <w:rPr>
            <w:rStyle w:val="Hyperlink"/>
            <w:noProof/>
          </w:rPr>
          <w:t>A.</w:t>
        </w:r>
        <w:r w:rsidR="002A4BB7">
          <w:rPr>
            <w:rFonts w:asciiTheme="minorHAnsi" w:eastAsiaTheme="minorEastAsia" w:hAnsiTheme="minorHAnsi" w:cstheme="minorBidi"/>
            <w:noProof/>
            <w:sz w:val="22"/>
            <w:szCs w:val="22"/>
          </w:rPr>
          <w:tab/>
        </w:r>
        <w:r w:rsidRPr="00C02F81" w:rsidR="002A4BB7">
          <w:rPr>
            <w:rStyle w:val="Hyperlink"/>
            <w:noProof/>
          </w:rPr>
          <w:t>Current Reliability Performance Standards.</w:t>
        </w:r>
        <w:r w:rsidR="002A4BB7">
          <w:rPr>
            <w:noProof/>
            <w:webHidden/>
          </w:rPr>
          <w:tab/>
        </w:r>
        <w:r w:rsidR="002A4BB7">
          <w:rPr>
            <w:noProof/>
            <w:webHidden/>
          </w:rPr>
          <w:fldChar w:fldCharType="begin"/>
        </w:r>
        <w:r w:rsidR="002A4BB7">
          <w:rPr>
            <w:noProof/>
            <w:webHidden/>
          </w:rPr>
          <w:instrText xml:space="preserve"> PAGEREF _Toc115271111 \h </w:instrText>
        </w:r>
        <w:r w:rsidR="002A4BB7">
          <w:rPr>
            <w:noProof/>
            <w:webHidden/>
          </w:rPr>
          <w:fldChar w:fldCharType="separate"/>
        </w:r>
        <w:r w:rsidR="002A4BB7">
          <w:rPr>
            <w:noProof/>
            <w:webHidden/>
          </w:rPr>
          <w:t>5</w:t>
        </w:r>
        <w:r w:rsidR="002A4BB7">
          <w:rPr>
            <w:noProof/>
            <w:webHidden/>
          </w:rPr>
          <w:fldChar w:fldCharType="end"/>
        </w:r>
      </w:hyperlink>
    </w:p>
    <w:p w:rsidR="00E41DAC" w14:paraId="1441EF1C" w14:textId="6D24E330">
      <w:pPr>
        <w:pStyle w:val="TOC2"/>
        <w:tabs>
          <w:tab w:val="left" w:pos="1440"/>
        </w:tabs>
        <w:rPr>
          <w:rFonts w:asciiTheme="minorHAnsi" w:eastAsiaTheme="minorEastAsia" w:hAnsiTheme="minorHAnsi" w:cstheme="minorBidi"/>
          <w:noProof/>
          <w:sz w:val="22"/>
          <w:szCs w:val="22"/>
        </w:rPr>
      </w:pPr>
      <w:hyperlink w:anchor="_Toc115271112" w:history="1">
        <w:r w:rsidRPr="00C02F81" w:rsidR="002A4BB7">
          <w:rPr>
            <w:rStyle w:val="Hyperlink"/>
            <w:noProof/>
          </w:rPr>
          <w:t>B.</w:t>
        </w:r>
        <w:r w:rsidR="002A4BB7">
          <w:rPr>
            <w:rFonts w:asciiTheme="minorHAnsi" w:eastAsiaTheme="minorEastAsia" w:hAnsiTheme="minorHAnsi" w:cstheme="minorBidi"/>
            <w:noProof/>
            <w:sz w:val="22"/>
            <w:szCs w:val="22"/>
          </w:rPr>
          <w:tab/>
        </w:r>
        <w:r w:rsidRPr="00C02F81" w:rsidR="002A4BB7">
          <w:rPr>
            <w:rStyle w:val="Hyperlink"/>
            <w:noProof/>
          </w:rPr>
          <w:t>AEP Ohio’s Proposed Reliability Standards.</w:t>
        </w:r>
        <w:r w:rsidR="002A4BB7">
          <w:rPr>
            <w:noProof/>
            <w:webHidden/>
          </w:rPr>
          <w:tab/>
        </w:r>
        <w:r w:rsidR="002A4BB7">
          <w:rPr>
            <w:noProof/>
            <w:webHidden/>
          </w:rPr>
          <w:fldChar w:fldCharType="begin"/>
        </w:r>
        <w:r w:rsidR="002A4BB7">
          <w:rPr>
            <w:noProof/>
            <w:webHidden/>
          </w:rPr>
          <w:instrText xml:space="preserve"> PAGEREF _Toc115271112 \h </w:instrText>
        </w:r>
        <w:r w:rsidR="002A4BB7">
          <w:rPr>
            <w:noProof/>
            <w:webHidden/>
          </w:rPr>
          <w:fldChar w:fldCharType="separate"/>
        </w:r>
        <w:r w:rsidR="002A4BB7">
          <w:rPr>
            <w:noProof/>
            <w:webHidden/>
          </w:rPr>
          <w:t>8</w:t>
        </w:r>
        <w:r w:rsidR="002A4BB7">
          <w:rPr>
            <w:noProof/>
            <w:webHidden/>
          </w:rPr>
          <w:fldChar w:fldCharType="end"/>
        </w:r>
      </w:hyperlink>
    </w:p>
    <w:p w:rsidR="00E41DAC" w14:paraId="407EAFCE" w14:textId="12375AE9">
      <w:pPr>
        <w:pStyle w:val="TOC1"/>
        <w:rPr>
          <w:rFonts w:asciiTheme="minorHAnsi" w:eastAsiaTheme="minorEastAsia" w:hAnsiTheme="minorHAnsi" w:cstheme="minorBidi"/>
          <w:caps w:val="0"/>
          <w:noProof/>
          <w:sz w:val="22"/>
          <w:szCs w:val="22"/>
        </w:rPr>
      </w:pPr>
      <w:hyperlink w:anchor="_Toc115271113" w:history="1">
        <w:r w:rsidRPr="00C02F81" w:rsidR="002A4BB7">
          <w:rPr>
            <w:rStyle w:val="Hyperlink"/>
            <w:noProof/>
          </w:rPr>
          <w:t>III.</w:t>
        </w:r>
        <w:r w:rsidR="002A4BB7">
          <w:rPr>
            <w:rFonts w:asciiTheme="minorHAnsi" w:eastAsiaTheme="minorEastAsia" w:hAnsiTheme="minorHAnsi" w:cstheme="minorBidi"/>
            <w:caps w:val="0"/>
            <w:noProof/>
            <w:sz w:val="22"/>
            <w:szCs w:val="22"/>
          </w:rPr>
          <w:tab/>
        </w:r>
        <w:r w:rsidRPr="00C02F81" w:rsidR="002A4BB7">
          <w:rPr>
            <w:rStyle w:val="Hyperlink"/>
            <w:noProof/>
          </w:rPr>
          <w:t xml:space="preserve">CONSUMER PROTECTION COMMENTS AND </w:t>
        </w:r>
        <w:r w:rsidR="00395E51">
          <w:rPr>
            <w:rStyle w:val="Hyperlink"/>
            <w:noProof/>
          </w:rPr>
          <w:br/>
        </w:r>
        <w:r w:rsidRPr="00C02F81" w:rsidR="002A4BB7">
          <w:rPr>
            <w:rStyle w:val="Hyperlink"/>
            <w:noProof/>
          </w:rPr>
          <w:t>RECOMMENDATIONS</w:t>
        </w:r>
        <w:r w:rsidR="002A4BB7">
          <w:rPr>
            <w:noProof/>
            <w:webHidden/>
          </w:rPr>
          <w:tab/>
        </w:r>
        <w:r w:rsidR="002A4BB7">
          <w:rPr>
            <w:noProof/>
            <w:webHidden/>
          </w:rPr>
          <w:fldChar w:fldCharType="begin"/>
        </w:r>
        <w:r w:rsidR="002A4BB7">
          <w:rPr>
            <w:noProof/>
            <w:webHidden/>
          </w:rPr>
          <w:instrText xml:space="preserve"> PAGEREF _Toc115271113 \h </w:instrText>
        </w:r>
        <w:r w:rsidR="002A4BB7">
          <w:rPr>
            <w:noProof/>
            <w:webHidden/>
          </w:rPr>
          <w:fldChar w:fldCharType="separate"/>
        </w:r>
        <w:r w:rsidR="002A4BB7">
          <w:rPr>
            <w:noProof/>
            <w:webHidden/>
          </w:rPr>
          <w:t>10</w:t>
        </w:r>
        <w:r w:rsidR="002A4BB7">
          <w:rPr>
            <w:noProof/>
            <w:webHidden/>
          </w:rPr>
          <w:fldChar w:fldCharType="end"/>
        </w:r>
      </w:hyperlink>
    </w:p>
    <w:p w:rsidR="00E41DAC" w14:paraId="572B593C" w14:textId="16A6598E">
      <w:pPr>
        <w:pStyle w:val="TOC2"/>
        <w:tabs>
          <w:tab w:val="left" w:pos="1440"/>
        </w:tabs>
        <w:rPr>
          <w:rFonts w:asciiTheme="minorHAnsi" w:eastAsiaTheme="minorEastAsia" w:hAnsiTheme="minorHAnsi" w:cstheme="minorBidi"/>
          <w:noProof/>
          <w:sz w:val="22"/>
          <w:szCs w:val="22"/>
        </w:rPr>
      </w:pPr>
      <w:hyperlink w:anchor="_Toc115271114" w:history="1">
        <w:r w:rsidRPr="00C02F81" w:rsidR="002A4BB7">
          <w:rPr>
            <w:rStyle w:val="Hyperlink"/>
            <w:noProof/>
          </w:rPr>
          <w:t>A.</w:t>
        </w:r>
        <w:r w:rsidR="002A4BB7">
          <w:rPr>
            <w:rFonts w:asciiTheme="minorHAnsi" w:eastAsiaTheme="minorEastAsia" w:hAnsiTheme="minorHAnsi" w:cstheme="minorBidi"/>
            <w:noProof/>
            <w:sz w:val="22"/>
            <w:szCs w:val="22"/>
          </w:rPr>
          <w:tab/>
        </w:r>
        <w:r w:rsidRPr="00C02F81" w:rsidR="002A4BB7">
          <w:rPr>
            <w:rStyle w:val="Hyperlink"/>
            <w:noProof/>
          </w:rPr>
          <w:t xml:space="preserve">The two-standard deviation variance that AEP Ohio is proposing </w:t>
        </w:r>
        <w:r w:rsidR="00395E51">
          <w:rPr>
            <w:rStyle w:val="Hyperlink"/>
            <w:noProof/>
          </w:rPr>
          <w:br/>
        </w:r>
        <w:r w:rsidRPr="00C02F81" w:rsidR="002A4BB7">
          <w:rPr>
            <w:rStyle w:val="Hyperlink"/>
            <w:noProof/>
          </w:rPr>
          <w:t xml:space="preserve">to add to the five-year average CAIDI and SAIFI performance </w:t>
        </w:r>
        <w:r w:rsidR="00395E51">
          <w:rPr>
            <w:rStyle w:val="Hyperlink"/>
            <w:noProof/>
          </w:rPr>
          <w:br/>
        </w:r>
        <w:r w:rsidRPr="00C02F81" w:rsidR="002A4BB7">
          <w:rPr>
            <w:rStyle w:val="Hyperlink"/>
            <w:noProof/>
          </w:rPr>
          <w:t xml:space="preserve">for 2017 through 2021 harms consumers by failing to comply </w:t>
        </w:r>
        <w:r w:rsidR="00395E51">
          <w:rPr>
            <w:rStyle w:val="Hyperlink"/>
            <w:noProof/>
          </w:rPr>
          <w:br/>
        </w:r>
        <w:r w:rsidRPr="00C02F81" w:rsidR="002A4BB7">
          <w:rPr>
            <w:rStyle w:val="Hyperlink"/>
            <w:noProof/>
          </w:rPr>
          <w:t xml:space="preserve">with the PUCO rules for establishing new reliability standards </w:t>
        </w:r>
        <w:r w:rsidR="00395E51">
          <w:rPr>
            <w:rStyle w:val="Hyperlink"/>
            <w:noProof/>
          </w:rPr>
          <w:br/>
        </w:r>
        <w:r w:rsidRPr="00C02F81" w:rsidR="002A4BB7">
          <w:rPr>
            <w:rStyle w:val="Hyperlink"/>
            <w:noProof/>
          </w:rPr>
          <w:t>and would result in further unreasonable degradation in reliability performance over time.</w:t>
        </w:r>
        <w:r w:rsidR="002A4BB7">
          <w:rPr>
            <w:noProof/>
            <w:webHidden/>
          </w:rPr>
          <w:tab/>
        </w:r>
        <w:r w:rsidR="002A4BB7">
          <w:rPr>
            <w:noProof/>
            <w:webHidden/>
          </w:rPr>
          <w:fldChar w:fldCharType="begin"/>
        </w:r>
        <w:r w:rsidR="002A4BB7">
          <w:rPr>
            <w:noProof/>
            <w:webHidden/>
          </w:rPr>
          <w:instrText xml:space="preserve"> PAGEREF _Toc115271114 \h </w:instrText>
        </w:r>
        <w:r w:rsidR="002A4BB7">
          <w:rPr>
            <w:noProof/>
            <w:webHidden/>
          </w:rPr>
          <w:fldChar w:fldCharType="separate"/>
        </w:r>
        <w:r w:rsidR="002A4BB7">
          <w:rPr>
            <w:noProof/>
            <w:webHidden/>
          </w:rPr>
          <w:t>10</w:t>
        </w:r>
        <w:r w:rsidR="002A4BB7">
          <w:rPr>
            <w:noProof/>
            <w:webHidden/>
          </w:rPr>
          <w:fldChar w:fldCharType="end"/>
        </w:r>
      </w:hyperlink>
    </w:p>
    <w:p w:rsidR="00E41DAC" w14:paraId="350B461D" w14:textId="1B865828">
      <w:pPr>
        <w:pStyle w:val="TOC2"/>
        <w:tabs>
          <w:tab w:val="left" w:pos="1440"/>
        </w:tabs>
        <w:rPr>
          <w:rFonts w:asciiTheme="minorHAnsi" w:eastAsiaTheme="minorEastAsia" w:hAnsiTheme="minorHAnsi" w:cstheme="minorBidi"/>
          <w:noProof/>
          <w:sz w:val="22"/>
          <w:szCs w:val="22"/>
        </w:rPr>
      </w:pPr>
      <w:hyperlink w:anchor="_Toc115271115" w:history="1">
        <w:r w:rsidRPr="00C02F81" w:rsidR="002A4BB7">
          <w:rPr>
            <w:rStyle w:val="Hyperlink"/>
            <w:noProof/>
          </w:rPr>
          <w:t>B.</w:t>
        </w:r>
        <w:r w:rsidR="002A4BB7">
          <w:rPr>
            <w:rFonts w:asciiTheme="minorHAnsi" w:eastAsiaTheme="minorEastAsia" w:hAnsiTheme="minorHAnsi" w:cstheme="minorBidi"/>
            <w:noProof/>
            <w:sz w:val="22"/>
            <w:szCs w:val="22"/>
          </w:rPr>
          <w:tab/>
        </w:r>
        <w:r w:rsidRPr="00C02F81" w:rsidR="002A4BB7">
          <w:rPr>
            <w:rStyle w:val="Hyperlink"/>
            <w:noProof/>
          </w:rPr>
          <w:t xml:space="preserve">In determining the five-year average baseline SAIFI performance </w:t>
        </w:r>
        <w:r w:rsidR="00395E51">
          <w:rPr>
            <w:rStyle w:val="Hyperlink"/>
            <w:noProof/>
          </w:rPr>
          <w:br/>
        </w:r>
        <w:r w:rsidRPr="00C02F81" w:rsidR="002A4BB7">
          <w:rPr>
            <w:rStyle w:val="Hyperlink"/>
            <w:noProof/>
          </w:rPr>
          <w:t xml:space="preserve">for 2017 through 2021, the SAIFI performance for 2018 and </w:t>
        </w:r>
        <w:r w:rsidR="00395E51">
          <w:rPr>
            <w:rStyle w:val="Hyperlink"/>
            <w:noProof/>
          </w:rPr>
          <w:br/>
        </w:r>
        <w:r w:rsidRPr="00C02F81" w:rsidR="002A4BB7">
          <w:rPr>
            <w:rStyle w:val="Hyperlink"/>
            <w:noProof/>
          </w:rPr>
          <w:t xml:space="preserve">2019 should be adjusted to a level not to exceed 1.19 and 1.18 </w:t>
        </w:r>
        <w:r w:rsidR="00395E51">
          <w:rPr>
            <w:rStyle w:val="Hyperlink"/>
            <w:noProof/>
          </w:rPr>
          <w:br/>
        </w:r>
        <w:r w:rsidRPr="00C02F81" w:rsidR="002A4BB7">
          <w:rPr>
            <w:rStyle w:val="Hyperlink"/>
            <w:noProof/>
          </w:rPr>
          <w:t xml:space="preserve">respectively (the standards for those years) to protect consumers </w:t>
        </w:r>
        <w:r w:rsidR="00395E51">
          <w:rPr>
            <w:rStyle w:val="Hyperlink"/>
            <w:noProof/>
          </w:rPr>
          <w:br/>
        </w:r>
        <w:r w:rsidRPr="00C02F81" w:rsidR="002A4BB7">
          <w:rPr>
            <w:rStyle w:val="Hyperlink"/>
            <w:noProof/>
          </w:rPr>
          <w:t xml:space="preserve">and to avoid rewarding AEP Ohio for failing to meet its SAIFI </w:t>
        </w:r>
        <w:r w:rsidR="00395E51">
          <w:rPr>
            <w:rStyle w:val="Hyperlink"/>
            <w:noProof/>
          </w:rPr>
          <w:br/>
        </w:r>
        <w:r w:rsidRPr="00C02F81" w:rsidR="002A4BB7">
          <w:rPr>
            <w:rStyle w:val="Hyperlink"/>
            <w:noProof/>
          </w:rPr>
          <w:t>standard during both of those years.</w:t>
        </w:r>
        <w:r w:rsidR="002A4BB7">
          <w:rPr>
            <w:noProof/>
            <w:webHidden/>
          </w:rPr>
          <w:tab/>
        </w:r>
        <w:r w:rsidR="002A4BB7">
          <w:rPr>
            <w:noProof/>
            <w:webHidden/>
          </w:rPr>
          <w:fldChar w:fldCharType="begin"/>
        </w:r>
        <w:r w:rsidR="002A4BB7">
          <w:rPr>
            <w:noProof/>
            <w:webHidden/>
          </w:rPr>
          <w:instrText xml:space="preserve"> PAGEREF _Toc115271115 \h </w:instrText>
        </w:r>
        <w:r w:rsidR="002A4BB7">
          <w:rPr>
            <w:noProof/>
            <w:webHidden/>
          </w:rPr>
          <w:fldChar w:fldCharType="separate"/>
        </w:r>
        <w:r w:rsidR="002A4BB7">
          <w:rPr>
            <w:noProof/>
            <w:webHidden/>
          </w:rPr>
          <w:t>12</w:t>
        </w:r>
        <w:r w:rsidR="002A4BB7">
          <w:rPr>
            <w:noProof/>
            <w:webHidden/>
          </w:rPr>
          <w:fldChar w:fldCharType="end"/>
        </w:r>
      </w:hyperlink>
    </w:p>
    <w:p w:rsidR="00E41DAC" w14:paraId="0C8D8EEB" w14:textId="26908DFE">
      <w:pPr>
        <w:pStyle w:val="TOC2"/>
        <w:tabs>
          <w:tab w:val="left" w:pos="1440"/>
        </w:tabs>
        <w:rPr>
          <w:rFonts w:asciiTheme="minorHAnsi" w:eastAsiaTheme="minorEastAsia" w:hAnsiTheme="minorHAnsi" w:cstheme="minorBidi"/>
          <w:noProof/>
          <w:sz w:val="22"/>
          <w:szCs w:val="22"/>
        </w:rPr>
      </w:pPr>
      <w:hyperlink w:anchor="_Toc115271116" w:history="1">
        <w:r w:rsidRPr="00C02F81" w:rsidR="002A4BB7">
          <w:rPr>
            <w:rStyle w:val="Hyperlink"/>
            <w:noProof/>
          </w:rPr>
          <w:t>C.</w:t>
        </w:r>
        <w:r w:rsidR="002A4BB7">
          <w:rPr>
            <w:rFonts w:asciiTheme="minorHAnsi" w:eastAsiaTheme="minorEastAsia" w:hAnsiTheme="minorHAnsi" w:cstheme="minorBidi"/>
            <w:noProof/>
            <w:sz w:val="22"/>
            <w:szCs w:val="22"/>
          </w:rPr>
          <w:tab/>
        </w:r>
        <w:r w:rsidRPr="00C02F81" w:rsidR="002A4BB7">
          <w:rPr>
            <w:rStyle w:val="Hyperlink"/>
            <w:noProof/>
          </w:rPr>
          <w:t xml:space="preserve">To protect consumers, the PUCO should require AEP Ohio to </w:t>
        </w:r>
        <w:r w:rsidR="00395E51">
          <w:rPr>
            <w:rStyle w:val="Hyperlink"/>
            <w:noProof/>
          </w:rPr>
          <w:br/>
        </w:r>
        <w:r w:rsidRPr="00C02F81" w:rsidR="002A4BB7">
          <w:rPr>
            <w:rStyle w:val="Hyperlink"/>
            <w:noProof/>
          </w:rPr>
          <w:t xml:space="preserve">further adjust the SAIFI and CAIDI standards as appropriate </w:t>
        </w:r>
        <w:r w:rsidR="00395E51">
          <w:rPr>
            <w:rStyle w:val="Hyperlink"/>
            <w:noProof/>
          </w:rPr>
          <w:br/>
        </w:r>
        <w:r w:rsidRPr="00C02F81" w:rsidR="002A4BB7">
          <w:rPr>
            <w:rStyle w:val="Hyperlink"/>
            <w:noProof/>
          </w:rPr>
          <w:t xml:space="preserve">based on technological advancements that were made in its </w:t>
        </w:r>
        <w:r w:rsidR="00395E51">
          <w:rPr>
            <w:rStyle w:val="Hyperlink"/>
            <w:noProof/>
          </w:rPr>
          <w:br/>
        </w:r>
        <w:r w:rsidRPr="00C02F81" w:rsidR="002A4BB7">
          <w:rPr>
            <w:rStyle w:val="Hyperlink"/>
            <w:noProof/>
          </w:rPr>
          <w:t>gridSmart program.</w:t>
        </w:r>
        <w:r w:rsidR="002A4BB7">
          <w:rPr>
            <w:noProof/>
            <w:webHidden/>
          </w:rPr>
          <w:tab/>
        </w:r>
        <w:r w:rsidR="002A4BB7">
          <w:rPr>
            <w:noProof/>
            <w:webHidden/>
          </w:rPr>
          <w:fldChar w:fldCharType="begin"/>
        </w:r>
        <w:r w:rsidR="002A4BB7">
          <w:rPr>
            <w:noProof/>
            <w:webHidden/>
          </w:rPr>
          <w:instrText xml:space="preserve"> PAGEREF _Toc115271116 \h </w:instrText>
        </w:r>
        <w:r w:rsidR="002A4BB7">
          <w:rPr>
            <w:noProof/>
            <w:webHidden/>
          </w:rPr>
          <w:fldChar w:fldCharType="separate"/>
        </w:r>
        <w:r w:rsidR="002A4BB7">
          <w:rPr>
            <w:noProof/>
            <w:webHidden/>
          </w:rPr>
          <w:t>13</w:t>
        </w:r>
        <w:r w:rsidR="002A4BB7">
          <w:rPr>
            <w:noProof/>
            <w:webHidden/>
          </w:rPr>
          <w:fldChar w:fldCharType="end"/>
        </w:r>
      </w:hyperlink>
    </w:p>
    <w:p w:rsidR="00E41DAC" w14:paraId="2DB092AE" w14:textId="68CCAB1E">
      <w:pPr>
        <w:pStyle w:val="TOC2"/>
        <w:tabs>
          <w:tab w:val="left" w:pos="1440"/>
        </w:tabs>
        <w:rPr>
          <w:rFonts w:asciiTheme="minorHAnsi" w:eastAsiaTheme="minorEastAsia" w:hAnsiTheme="minorHAnsi" w:cstheme="minorBidi"/>
          <w:noProof/>
          <w:sz w:val="22"/>
          <w:szCs w:val="22"/>
        </w:rPr>
      </w:pPr>
      <w:hyperlink w:anchor="_Toc115271117" w:history="1">
        <w:r w:rsidRPr="00C02F81" w:rsidR="002A4BB7">
          <w:rPr>
            <w:rStyle w:val="Hyperlink"/>
            <w:noProof/>
          </w:rPr>
          <w:t>D.</w:t>
        </w:r>
        <w:r w:rsidR="002A4BB7">
          <w:rPr>
            <w:rFonts w:asciiTheme="minorHAnsi" w:eastAsiaTheme="minorEastAsia" w:hAnsiTheme="minorHAnsi" w:cstheme="minorBidi"/>
            <w:noProof/>
            <w:sz w:val="22"/>
            <w:szCs w:val="22"/>
          </w:rPr>
          <w:tab/>
        </w:r>
        <w:r w:rsidRPr="00C02F81" w:rsidR="002A4BB7">
          <w:rPr>
            <w:rStyle w:val="Hyperlink"/>
            <w:noProof/>
          </w:rPr>
          <w:t xml:space="preserve">To protect consumers, the PUCO should require AEP Ohio to </w:t>
        </w:r>
        <w:r w:rsidR="00395E51">
          <w:rPr>
            <w:rStyle w:val="Hyperlink"/>
            <w:noProof/>
          </w:rPr>
          <w:br/>
        </w:r>
        <w:r w:rsidRPr="00C02F81" w:rsidR="002A4BB7">
          <w:rPr>
            <w:rStyle w:val="Hyperlink"/>
            <w:noProof/>
          </w:rPr>
          <w:t xml:space="preserve">provide a vegetation management adjustment to the proposed </w:t>
        </w:r>
        <w:r w:rsidR="00395E51">
          <w:rPr>
            <w:rStyle w:val="Hyperlink"/>
            <w:noProof/>
          </w:rPr>
          <w:br/>
        </w:r>
        <w:r w:rsidRPr="00C02F81" w:rsidR="002A4BB7">
          <w:rPr>
            <w:rStyle w:val="Hyperlink"/>
            <w:noProof/>
          </w:rPr>
          <w:t xml:space="preserve">SAIFI and CAIDI standards beginning in 2022 and beyond to </w:t>
        </w:r>
        <w:r w:rsidR="00395E51">
          <w:rPr>
            <w:rStyle w:val="Hyperlink"/>
            <w:noProof/>
          </w:rPr>
          <w:br/>
        </w:r>
        <w:r w:rsidRPr="00C02F81" w:rsidR="002A4BB7">
          <w:rPr>
            <w:rStyle w:val="Hyperlink"/>
            <w:noProof/>
          </w:rPr>
          <w:t xml:space="preserve">reflect the reductions in tree-caused outages outside right of </w:t>
        </w:r>
        <w:r w:rsidR="00395E51">
          <w:rPr>
            <w:rStyle w:val="Hyperlink"/>
            <w:noProof/>
          </w:rPr>
          <w:br/>
        </w:r>
        <w:r w:rsidRPr="00C02F81" w:rsidR="002A4BB7">
          <w:rPr>
            <w:rStyle w:val="Hyperlink"/>
            <w:noProof/>
          </w:rPr>
          <w:t xml:space="preserve">way that is being paid for by consumers through the Enhanced </w:t>
        </w:r>
        <w:r w:rsidR="00395E51">
          <w:rPr>
            <w:rStyle w:val="Hyperlink"/>
            <w:noProof/>
          </w:rPr>
          <w:br/>
        </w:r>
        <w:r w:rsidRPr="00C02F81" w:rsidR="002A4BB7">
          <w:rPr>
            <w:rStyle w:val="Hyperlink"/>
            <w:noProof/>
          </w:rPr>
          <w:t>Service Reliability Rider (“ESRR”).</w:t>
        </w:r>
        <w:r w:rsidR="002A4BB7">
          <w:rPr>
            <w:noProof/>
            <w:webHidden/>
          </w:rPr>
          <w:tab/>
        </w:r>
        <w:r w:rsidR="002A4BB7">
          <w:rPr>
            <w:noProof/>
            <w:webHidden/>
          </w:rPr>
          <w:fldChar w:fldCharType="begin"/>
        </w:r>
        <w:r w:rsidR="002A4BB7">
          <w:rPr>
            <w:noProof/>
            <w:webHidden/>
          </w:rPr>
          <w:instrText xml:space="preserve"> PAGEREF _Toc115271117 \h </w:instrText>
        </w:r>
        <w:r w:rsidR="002A4BB7">
          <w:rPr>
            <w:noProof/>
            <w:webHidden/>
          </w:rPr>
          <w:fldChar w:fldCharType="separate"/>
        </w:r>
        <w:r w:rsidR="002A4BB7">
          <w:rPr>
            <w:noProof/>
            <w:webHidden/>
          </w:rPr>
          <w:t>14</w:t>
        </w:r>
        <w:r w:rsidR="002A4BB7">
          <w:rPr>
            <w:noProof/>
            <w:webHidden/>
          </w:rPr>
          <w:fldChar w:fldCharType="end"/>
        </w:r>
      </w:hyperlink>
    </w:p>
    <w:p w:rsidR="00E41DAC" w14:paraId="69F7F7B9" w14:textId="3B1F8FEE">
      <w:pPr>
        <w:pStyle w:val="TOC2"/>
        <w:tabs>
          <w:tab w:val="left" w:pos="1440"/>
        </w:tabs>
        <w:rPr>
          <w:rFonts w:asciiTheme="minorHAnsi" w:eastAsiaTheme="minorEastAsia" w:hAnsiTheme="minorHAnsi" w:cstheme="minorBidi"/>
          <w:noProof/>
          <w:sz w:val="22"/>
          <w:szCs w:val="22"/>
        </w:rPr>
      </w:pPr>
      <w:hyperlink w:anchor="_Toc115271118" w:history="1">
        <w:r w:rsidRPr="00C02F81" w:rsidR="002A4BB7">
          <w:rPr>
            <w:rStyle w:val="Hyperlink"/>
            <w:noProof/>
          </w:rPr>
          <w:t>E.</w:t>
        </w:r>
        <w:r w:rsidR="002A4BB7">
          <w:rPr>
            <w:rFonts w:asciiTheme="minorHAnsi" w:eastAsiaTheme="minorEastAsia" w:hAnsiTheme="minorHAnsi" w:cstheme="minorBidi"/>
            <w:noProof/>
            <w:sz w:val="22"/>
            <w:szCs w:val="22"/>
          </w:rPr>
          <w:tab/>
        </w:r>
        <w:r w:rsidRPr="00C02F81" w:rsidR="002A4BB7">
          <w:rPr>
            <w:rStyle w:val="Hyperlink"/>
            <w:noProof/>
          </w:rPr>
          <w:t xml:space="preserve">To protect consumers, the PUCO should require AEP Ohio to </w:t>
        </w:r>
        <w:r w:rsidR="00395E51">
          <w:rPr>
            <w:rStyle w:val="Hyperlink"/>
            <w:noProof/>
          </w:rPr>
          <w:br/>
        </w:r>
        <w:r w:rsidRPr="00C02F81" w:rsidR="002A4BB7">
          <w:rPr>
            <w:rStyle w:val="Hyperlink"/>
            <w:noProof/>
          </w:rPr>
          <w:t xml:space="preserve">provide a distribution investment rider (“DIR”) adjustment to </w:t>
        </w:r>
        <w:r w:rsidR="00395E51">
          <w:rPr>
            <w:rStyle w:val="Hyperlink"/>
            <w:noProof/>
          </w:rPr>
          <w:br/>
        </w:r>
        <w:r w:rsidRPr="00C02F81" w:rsidR="002A4BB7">
          <w:rPr>
            <w:rStyle w:val="Hyperlink"/>
            <w:noProof/>
          </w:rPr>
          <w:t xml:space="preserve">the proposed SAIFI and CAIDI standards beginning in 2022 </w:t>
        </w:r>
        <w:r w:rsidR="00395E51">
          <w:rPr>
            <w:rStyle w:val="Hyperlink"/>
            <w:noProof/>
          </w:rPr>
          <w:br/>
        </w:r>
        <w:r w:rsidRPr="00C02F81" w:rsidR="002A4BB7">
          <w:rPr>
            <w:rStyle w:val="Hyperlink"/>
            <w:noProof/>
          </w:rPr>
          <w:t>and beyond to reflect the impact that DIR is intended to have on reliability.</w:t>
        </w:r>
        <w:r w:rsidR="002A4BB7">
          <w:rPr>
            <w:noProof/>
            <w:webHidden/>
          </w:rPr>
          <w:tab/>
        </w:r>
        <w:r w:rsidR="002A4BB7">
          <w:rPr>
            <w:noProof/>
            <w:webHidden/>
          </w:rPr>
          <w:fldChar w:fldCharType="begin"/>
        </w:r>
        <w:r w:rsidR="002A4BB7">
          <w:rPr>
            <w:noProof/>
            <w:webHidden/>
          </w:rPr>
          <w:instrText xml:space="preserve"> PAGEREF _Toc115271118 \h </w:instrText>
        </w:r>
        <w:r w:rsidR="002A4BB7">
          <w:rPr>
            <w:noProof/>
            <w:webHidden/>
          </w:rPr>
          <w:fldChar w:fldCharType="separate"/>
        </w:r>
        <w:r w:rsidR="002A4BB7">
          <w:rPr>
            <w:noProof/>
            <w:webHidden/>
          </w:rPr>
          <w:t>16</w:t>
        </w:r>
        <w:r w:rsidR="002A4BB7">
          <w:rPr>
            <w:noProof/>
            <w:webHidden/>
          </w:rPr>
          <w:fldChar w:fldCharType="end"/>
        </w:r>
      </w:hyperlink>
    </w:p>
    <w:p w:rsidR="00E41DAC" w14:paraId="68E75E3A" w14:textId="02AB5088">
      <w:pPr>
        <w:pStyle w:val="TOC2"/>
        <w:tabs>
          <w:tab w:val="left" w:pos="1440"/>
        </w:tabs>
        <w:rPr>
          <w:rFonts w:asciiTheme="minorHAnsi" w:eastAsiaTheme="minorEastAsia" w:hAnsiTheme="minorHAnsi" w:cstheme="minorBidi"/>
          <w:noProof/>
          <w:sz w:val="22"/>
          <w:szCs w:val="22"/>
        </w:rPr>
      </w:pPr>
      <w:hyperlink w:anchor="_Toc115271119" w:history="1">
        <w:r w:rsidRPr="00C02F81" w:rsidR="002A4BB7">
          <w:rPr>
            <w:rStyle w:val="Hyperlink"/>
            <w:noProof/>
          </w:rPr>
          <w:t>F.</w:t>
        </w:r>
        <w:r w:rsidR="002A4BB7">
          <w:rPr>
            <w:rFonts w:asciiTheme="minorHAnsi" w:eastAsiaTheme="minorEastAsia" w:hAnsiTheme="minorHAnsi" w:cstheme="minorBidi"/>
            <w:noProof/>
            <w:sz w:val="22"/>
            <w:szCs w:val="22"/>
          </w:rPr>
          <w:tab/>
        </w:r>
        <w:r w:rsidRPr="00C02F81" w:rsidR="002A4BB7">
          <w:rPr>
            <w:rStyle w:val="Hyperlink"/>
            <w:noProof/>
          </w:rPr>
          <w:t xml:space="preserve">To protect consumers, the PUCO should require AEP Ohio </w:t>
        </w:r>
        <w:r w:rsidR="00395E51">
          <w:rPr>
            <w:rStyle w:val="Hyperlink"/>
            <w:noProof/>
          </w:rPr>
          <w:br/>
        </w:r>
        <w:r w:rsidRPr="00C02F81" w:rsidR="002A4BB7">
          <w:rPr>
            <w:rStyle w:val="Hyperlink"/>
            <w:noProof/>
          </w:rPr>
          <w:t xml:space="preserve">to make quantifiable adjustments to the SAIFI and CAIDI </w:t>
        </w:r>
        <w:r w:rsidR="00395E51">
          <w:rPr>
            <w:rStyle w:val="Hyperlink"/>
            <w:noProof/>
          </w:rPr>
          <w:br/>
        </w:r>
        <w:r w:rsidRPr="00C02F81" w:rsidR="002A4BB7">
          <w:rPr>
            <w:rStyle w:val="Hyperlink"/>
            <w:noProof/>
          </w:rPr>
          <w:t xml:space="preserve">standards for 2022 and beyond based on any updates that are </w:t>
        </w:r>
        <w:r w:rsidR="00395E51">
          <w:rPr>
            <w:rStyle w:val="Hyperlink"/>
            <w:noProof/>
          </w:rPr>
          <w:br/>
        </w:r>
        <w:r w:rsidRPr="00C02F81" w:rsidR="002A4BB7">
          <w:rPr>
            <w:rStyle w:val="Hyperlink"/>
            <w:noProof/>
          </w:rPr>
          <w:t xml:space="preserve">made to the AEP Ohio Inspection, Maintenance, Repair and </w:t>
        </w:r>
        <w:r w:rsidR="00395E51">
          <w:rPr>
            <w:rStyle w:val="Hyperlink"/>
            <w:noProof/>
          </w:rPr>
          <w:br/>
        </w:r>
        <w:r w:rsidRPr="00C02F81" w:rsidR="002A4BB7">
          <w:rPr>
            <w:rStyle w:val="Hyperlink"/>
            <w:noProof/>
          </w:rPr>
          <w:t xml:space="preserve">Replacement programs and policies for its distribution and </w:t>
        </w:r>
        <w:r w:rsidR="00395E51">
          <w:rPr>
            <w:rStyle w:val="Hyperlink"/>
            <w:noProof/>
          </w:rPr>
          <w:br/>
        </w:r>
        <w:r w:rsidRPr="00C02F81" w:rsidR="002A4BB7">
          <w:rPr>
            <w:rStyle w:val="Hyperlink"/>
            <w:noProof/>
          </w:rPr>
          <w:t xml:space="preserve">transmission facilities that occur as a result of the June 2022 </w:t>
        </w:r>
        <w:r w:rsidR="00395E51">
          <w:rPr>
            <w:rStyle w:val="Hyperlink"/>
            <w:noProof/>
          </w:rPr>
          <w:br/>
        </w:r>
        <w:r w:rsidRPr="00C02F81" w:rsidR="002A4BB7">
          <w:rPr>
            <w:rStyle w:val="Hyperlink"/>
            <w:noProof/>
          </w:rPr>
          <w:t>outages.</w:t>
        </w:r>
        <w:r w:rsidR="002A4BB7">
          <w:rPr>
            <w:noProof/>
            <w:webHidden/>
          </w:rPr>
          <w:tab/>
        </w:r>
        <w:r w:rsidR="002A4BB7">
          <w:rPr>
            <w:noProof/>
            <w:webHidden/>
          </w:rPr>
          <w:fldChar w:fldCharType="begin"/>
        </w:r>
        <w:r w:rsidR="002A4BB7">
          <w:rPr>
            <w:noProof/>
            <w:webHidden/>
          </w:rPr>
          <w:instrText xml:space="preserve"> PAGEREF _Toc115271119 \h </w:instrText>
        </w:r>
        <w:r w:rsidR="002A4BB7">
          <w:rPr>
            <w:noProof/>
            <w:webHidden/>
          </w:rPr>
          <w:fldChar w:fldCharType="separate"/>
        </w:r>
        <w:r w:rsidR="002A4BB7">
          <w:rPr>
            <w:noProof/>
            <w:webHidden/>
          </w:rPr>
          <w:t>18</w:t>
        </w:r>
        <w:r w:rsidR="002A4BB7">
          <w:rPr>
            <w:noProof/>
            <w:webHidden/>
          </w:rPr>
          <w:fldChar w:fldCharType="end"/>
        </w:r>
      </w:hyperlink>
    </w:p>
    <w:p w:rsidR="00E41DAC" w14:paraId="0F16D81A" w14:textId="013D361F">
      <w:pPr>
        <w:pStyle w:val="TOC2"/>
        <w:tabs>
          <w:tab w:val="left" w:pos="1440"/>
        </w:tabs>
        <w:rPr>
          <w:rFonts w:asciiTheme="minorHAnsi" w:eastAsiaTheme="minorEastAsia" w:hAnsiTheme="minorHAnsi" w:cstheme="minorBidi"/>
          <w:noProof/>
          <w:sz w:val="22"/>
          <w:szCs w:val="22"/>
        </w:rPr>
      </w:pPr>
      <w:hyperlink w:anchor="_Toc115271120" w:history="1">
        <w:r w:rsidRPr="00C02F81" w:rsidR="002A4BB7">
          <w:rPr>
            <w:rStyle w:val="Hyperlink"/>
            <w:noProof/>
          </w:rPr>
          <w:t>G.</w:t>
        </w:r>
        <w:r w:rsidR="002A4BB7">
          <w:rPr>
            <w:rFonts w:asciiTheme="minorHAnsi" w:eastAsiaTheme="minorEastAsia" w:hAnsiTheme="minorHAnsi" w:cstheme="minorBidi"/>
            <w:noProof/>
            <w:sz w:val="22"/>
            <w:szCs w:val="22"/>
          </w:rPr>
          <w:tab/>
        </w:r>
        <w:r w:rsidRPr="00C02F81" w:rsidR="002A4BB7">
          <w:rPr>
            <w:rStyle w:val="Hyperlink"/>
            <w:noProof/>
          </w:rPr>
          <w:t xml:space="preserve">OCC has been denied the opportunity to make consumer </w:t>
        </w:r>
        <w:r w:rsidR="00395E51">
          <w:rPr>
            <w:rStyle w:val="Hyperlink"/>
            <w:noProof/>
          </w:rPr>
          <w:br/>
        </w:r>
        <w:r w:rsidRPr="00C02F81" w:rsidR="002A4BB7">
          <w:rPr>
            <w:rStyle w:val="Hyperlink"/>
            <w:noProof/>
          </w:rPr>
          <w:t>protection comments specific to the June 2022 outages.</w:t>
        </w:r>
        <w:r w:rsidR="002A4BB7">
          <w:rPr>
            <w:noProof/>
            <w:webHidden/>
          </w:rPr>
          <w:tab/>
        </w:r>
        <w:r w:rsidR="002A4BB7">
          <w:rPr>
            <w:noProof/>
            <w:webHidden/>
          </w:rPr>
          <w:fldChar w:fldCharType="begin"/>
        </w:r>
        <w:r w:rsidR="002A4BB7">
          <w:rPr>
            <w:noProof/>
            <w:webHidden/>
          </w:rPr>
          <w:instrText xml:space="preserve"> PAGEREF _Toc115271120 \h </w:instrText>
        </w:r>
        <w:r w:rsidR="002A4BB7">
          <w:rPr>
            <w:noProof/>
            <w:webHidden/>
          </w:rPr>
          <w:fldChar w:fldCharType="separate"/>
        </w:r>
        <w:r w:rsidR="002A4BB7">
          <w:rPr>
            <w:noProof/>
            <w:webHidden/>
          </w:rPr>
          <w:t>19</w:t>
        </w:r>
        <w:r w:rsidR="002A4BB7">
          <w:rPr>
            <w:noProof/>
            <w:webHidden/>
          </w:rPr>
          <w:fldChar w:fldCharType="end"/>
        </w:r>
      </w:hyperlink>
    </w:p>
    <w:p w:rsidR="00E41DAC" w14:paraId="7A6D08AD" w14:textId="1DECBC59">
      <w:pPr>
        <w:pStyle w:val="TOC1"/>
        <w:rPr>
          <w:rFonts w:asciiTheme="minorHAnsi" w:eastAsiaTheme="minorEastAsia" w:hAnsiTheme="minorHAnsi" w:cstheme="minorBidi"/>
          <w:caps w:val="0"/>
          <w:noProof/>
          <w:sz w:val="22"/>
          <w:szCs w:val="22"/>
        </w:rPr>
      </w:pPr>
      <w:hyperlink w:anchor="_Toc115271121" w:history="1">
        <w:r w:rsidRPr="00C02F81" w:rsidR="002A4BB7">
          <w:rPr>
            <w:rStyle w:val="Hyperlink"/>
            <w:noProof/>
          </w:rPr>
          <w:t>IV.</w:t>
        </w:r>
        <w:r w:rsidR="002A4BB7">
          <w:rPr>
            <w:rFonts w:asciiTheme="minorHAnsi" w:eastAsiaTheme="minorEastAsia" w:hAnsiTheme="minorHAnsi" w:cstheme="minorBidi"/>
            <w:caps w:val="0"/>
            <w:noProof/>
            <w:sz w:val="22"/>
            <w:szCs w:val="22"/>
          </w:rPr>
          <w:tab/>
        </w:r>
        <w:r w:rsidRPr="00C02F81" w:rsidR="002A4BB7">
          <w:rPr>
            <w:rStyle w:val="Hyperlink"/>
            <w:noProof/>
          </w:rPr>
          <w:t>CONCLUSION</w:t>
        </w:r>
        <w:r w:rsidR="002A4BB7">
          <w:rPr>
            <w:noProof/>
            <w:webHidden/>
          </w:rPr>
          <w:tab/>
        </w:r>
        <w:r w:rsidR="002A4BB7">
          <w:rPr>
            <w:noProof/>
            <w:webHidden/>
          </w:rPr>
          <w:fldChar w:fldCharType="begin"/>
        </w:r>
        <w:r w:rsidR="002A4BB7">
          <w:rPr>
            <w:noProof/>
            <w:webHidden/>
          </w:rPr>
          <w:instrText xml:space="preserve"> PAGEREF _Toc115271121 \h </w:instrText>
        </w:r>
        <w:r w:rsidR="002A4BB7">
          <w:rPr>
            <w:noProof/>
            <w:webHidden/>
          </w:rPr>
          <w:fldChar w:fldCharType="separate"/>
        </w:r>
        <w:r w:rsidR="002A4BB7">
          <w:rPr>
            <w:noProof/>
            <w:webHidden/>
          </w:rPr>
          <w:t>20</w:t>
        </w:r>
        <w:r w:rsidR="002A4BB7">
          <w:rPr>
            <w:noProof/>
            <w:webHidden/>
          </w:rPr>
          <w:fldChar w:fldCharType="end"/>
        </w:r>
      </w:hyperlink>
    </w:p>
    <w:p w:rsidR="00C81240" w:rsidRPr="006F23C5" w:rsidP="00460789" w14:paraId="18860AD8" w14:textId="43F2CDA2">
      <w:pPr>
        <w:ind w:left="3690" w:hanging="3690"/>
        <w:rPr>
          <w:szCs w:val="24"/>
        </w:rPr>
        <w:sectPr w:rsidSect="00145118">
          <w:footerReference w:type="default" r:id="rId9"/>
          <w:pgSz w:w="12240" w:h="15840"/>
          <w:pgMar w:top="1440" w:right="1800" w:bottom="1440" w:left="1800" w:header="720" w:footer="720" w:gutter="0"/>
          <w:pgNumType w:fmt="lowerRoman" w:start="1"/>
          <w:cols w:space="720"/>
          <w:docGrid w:linePitch="326"/>
        </w:sectPr>
      </w:pPr>
      <w:r w:rsidRPr="006F23C5">
        <w:rPr>
          <w:rFonts w:eastAsia="Courier New"/>
          <w:b/>
          <w:bCs/>
          <w:caps/>
          <w:szCs w:val="24"/>
        </w:rPr>
        <w:fldChar w:fldCharType="end"/>
      </w:r>
    </w:p>
    <w:p w:rsidR="002E2195" w:rsidRPr="006F23C5" w14:paraId="46386ADF" w14:textId="5F62DE16">
      <w:pPr>
        <w:pStyle w:val="HTMLPreformatted"/>
        <w:jc w:val="center"/>
        <w:rPr>
          <w:rFonts w:ascii="Times New Roman" w:hAnsi="Times New Roman" w:cs="Times New Roman"/>
          <w:b/>
          <w:bCs/>
          <w:sz w:val="24"/>
          <w:szCs w:val="24"/>
        </w:rPr>
      </w:pPr>
      <w:r w:rsidRPr="006F23C5">
        <w:rPr>
          <w:rFonts w:ascii="Times New Roman" w:hAnsi="Times New Roman" w:cs="Times New Roman"/>
          <w:b/>
          <w:bCs/>
          <w:sz w:val="24"/>
          <w:szCs w:val="24"/>
        </w:rPr>
        <w:t>BEFORE</w:t>
      </w:r>
    </w:p>
    <w:p w:rsidR="002E2195" w:rsidRPr="006F23C5" w14:paraId="7D68D456" w14:textId="77777777">
      <w:pPr>
        <w:pStyle w:val="HTMLPreformatted"/>
        <w:jc w:val="center"/>
        <w:rPr>
          <w:rFonts w:ascii="Times New Roman" w:hAnsi="Times New Roman" w:cs="Times New Roman"/>
          <w:sz w:val="24"/>
          <w:szCs w:val="24"/>
        </w:rPr>
      </w:pPr>
      <w:r w:rsidRPr="006F23C5">
        <w:rPr>
          <w:rFonts w:ascii="Times New Roman" w:hAnsi="Times New Roman" w:cs="Times New Roman"/>
          <w:b/>
          <w:bCs/>
          <w:sz w:val="24"/>
          <w:szCs w:val="24"/>
        </w:rPr>
        <w:t>THE PUBLIC UTILITIES COMMISSION OF OHIO</w:t>
      </w:r>
    </w:p>
    <w:p w:rsidR="002E2195" w:rsidRPr="006F23C5" w14:paraId="39A6D397" w14:textId="77777777">
      <w:pPr>
        <w:pStyle w:val="HTMLPreformatted"/>
        <w:rPr>
          <w:rFonts w:ascii="Times New Roman" w:hAnsi="Times New Roman" w:cs="Times New Roman"/>
          <w:sz w:val="24"/>
          <w:szCs w:val="24"/>
        </w:rPr>
      </w:pPr>
    </w:p>
    <w:tbl>
      <w:tblPr>
        <w:tblW w:w="8730" w:type="dxa"/>
        <w:tblLook w:val="01E0"/>
      </w:tblPr>
      <w:tblGrid>
        <w:gridCol w:w="4332"/>
        <w:gridCol w:w="360"/>
        <w:gridCol w:w="4038"/>
      </w:tblGrid>
      <w:tr w14:paraId="69A228F3" w14:textId="77777777" w:rsidTr="003C5E89">
        <w:tblPrEx>
          <w:tblW w:w="8730" w:type="dxa"/>
          <w:tblLook w:val="01E0"/>
        </w:tblPrEx>
        <w:trPr>
          <w:trHeight w:val="807"/>
        </w:trPr>
        <w:tc>
          <w:tcPr>
            <w:tcW w:w="4332" w:type="dxa"/>
            <w:shd w:val="clear" w:color="auto" w:fill="auto"/>
          </w:tcPr>
          <w:p w:rsidR="002E2195" w:rsidRPr="006F23C5" w:rsidP="000274CC" w14:paraId="50101482" w14:textId="4C66D6AC">
            <w:pPr>
              <w:autoSpaceDE w:val="0"/>
              <w:autoSpaceDN w:val="0"/>
              <w:adjustRightInd w:val="0"/>
              <w:rPr>
                <w:szCs w:val="24"/>
              </w:rPr>
            </w:pPr>
            <w:r w:rsidRPr="006F23C5">
              <w:rPr>
                <w:szCs w:val="24"/>
              </w:rPr>
              <w:t xml:space="preserve">In the Matter of the Application of </w:t>
            </w:r>
            <w:r w:rsidRPr="006F23C5" w:rsidR="005F2BD0">
              <w:rPr>
                <w:szCs w:val="24"/>
              </w:rPr>
              <w:t>Ohio Power Company to Revise Reliability Performance Standards Pursuant to O.A.C. 4901:1-10-10(B)(7)</w:t>
            </w:r>
            <w:r w:rsidR="00AC0E9B">
              <w:rPr>
                <w:szCs w:val="24"/>
              </w:rPr>
              <w:t>.</w:t>
            </w:r>
          </w:p>
        </w:tc>
        <w:tc>
          <w:tcPr>
            <w:tcW w:w="360" w:type="dxa"/>
            <w:shd w:val="clear" w:color="auto" w:fill="auto"/>
          </w:tcPr>
          <w:p w:rsidR="002E2195" w:rsidRPr="006F23C5" w14:paraId="13EF921A" w14:textId="77777777">
            <w:pPr>
              <w:pStyle w:val="HTMLPreformatted"/>
              <w:rPr>
                <w:rFonts w:ascii="Times New Roman" w:hAnsi="Times New Roman" w:cs="Times New Roman"/>
                <w:sz w:val="24"/>
                <w:szCs w:val="24"/>
              </w:rPr>
            </w:pPr>
            <w:r w:rsidRPr="006F23C5">
              <w:rPr>
                <w:rFonts w:ascii="Times New Roman" w:hAnsi="Times New Roman" w:cs="Times New Roman"/>
                <w:sz w:val="24"/>
                <w:szCs w:val="24"/>
              </w:rPr>
              <w:t>)</w:t>
            </w:r>
          </w:p>
          <w:p w:rsidR="002E2195" w:rsidRPr="006F23C5" w14:paraId="68C49EDF" w14:textId="77777777">
            <w:pPr>
              <w:pStyle w:val="HTMLPreformatted"/>
              <w:rPr>
                <w:rFonts w:ascii="Times New Roman" w:hAnsi="Times New Roman" w:cs="Times New Roman"/>
                <w:sz w:val="24"/>
                <w:szCs w:val="24"/>
              </w:rPr>
            </w:pPr>
            <w:r w:rsidRPr="006F23C5">
              <w:rPr>
                <w:rFonts w:ascii="Times New Roman" w:hAnsi="Times New Roman" w:cs="Times New Roman"/>
                <w:sz w:val="24"/>
                <w:szCs w:val="24"/>
              </w:rPr>
              <w:t>)</w:t>
            </w:r>
          </w:p>
          <w:p w:rsidR="002E2195" w:rsidRPr="006F23C5" w14:paraId="5A0FD063" w14:textId="77777777">
            <w:pPr>
              <w:pStyle w:val="HTMLPreformatted"/>
              <w:rPr>
                <w:rFonts w:ascii="Times New Roman" w:hAnsi="Times New Roman" w:cs="Times New Roman"/>
                <w:sz w:val="24"/>
                <w:szCs w:val="24"/>
              </w:rPr>
            </w:pPr>
            <w:r w:rsidRPr="006F23C5">
              <w:rPr>
                <w:rFonts w:ascii="Times New Roman" w:hAnsi="Times New Roman" w:cs="Times New Roman"/>
                <w:sz w:val="24"/>
                <w:szCs w:val="24"/>
              </w:rPr>
              <w:t>)</w:t>
            </w:r>
          </w:p>
          <w:p w:rsidR="002E2195" w:rsidRPr="006F23C5" w:rsidP="00574184" w14:paraId="2BBA5E14" w14:textId="77777777">
            <w:pPr>
              <w:pStyle w:val="HTMLPreformatted"/>
              <w:rPr>
                <w:rFonts w:ascii="Times New Roman" w:hAnsi="Times New Roman" w:cs="Times New Roman"/>
                <w:sz w:val="24"/>
                <w:szCs w:val="24"/>
              </w:rPr>
            </w:pPr>
            <w:r w:rsidRPr="006F23C5">
              <w:rPr>
                <w:rFonts w:ascii="Times New Roman" w:hAnsi="Times New Roman" w:cs="Times New Roman"/>
                <w:sz w:val="24"/>
                <w:szCs w:val="24"/>
              </w:rPr>
              <w:t>)</w:t>
            </w:r>
          </w:p>
        </w:tc>
        <w:tc>
          <w:tcPr>
            <w:tcW w:w="4038" w:type="dxa"/>
            <w:shd w:val="clear" w:color="auto" w:fill="auto"/>
          </w:tcPr>
          <w:p w:rsidR="00BD435F" w:rsidRPr="006F23C5" w:rsidP="002E2195" w14:paraId="27B7DF43" w14:textId="77777777">
            <w:pPr>
              <w:pStyle w:val="HTMLPreformatted"/>
              <w:rPr>
                <w:rFonts w:ascii="Times New Roman" w:hAnsi="Times New Roman" w:cs="Times New Roman"/>
                <w:sz w:val="24"/>
                <w:szCs w:val="24"/>
              </w:rPr>
            </w:pPr>
          </w:p>
          <w:p w:rsidR="002E2195" w:rsidRPr="006F23C5" w:rsidP="002E2195" w14:paraId="53FCD771" w14:textId="3F1C732F">
            <w:pPr>
              <w:pStyle w:val="HTMLPreformatted"/>
              <w:rPr>
                <w:rFonts w:ascii="Times New Roman" w:hAnsi="Times New Roman" w:cs="Times New Roman"/>
                <w:sz w:val="24"/>
                <w:szCs w:val="24"/>
              </w:rPr>
            </w:pPr>
            <w:r w:rsidRPr="006F23C5">
              <w:rPr>
                <w:rFonts w:ascii="Times New Roman" w:hAnsi="Times New Roman" w:cs="Times New Roman"/>
                <w:sz w:val="24"/>
                <w:szCs w:val="24"/>
              </w:rPr>
              <w:t xml:space="preserve">Case No. </w:t>
            </w:r>
            <w:r w:rsidRPr="006F23C5" w:rsidR="00820839">
              <w:rPr>
                <w:rFonts w:ascii="Times New Roman" w:hAnsi="Times New Roman" w:cs="Times New Roman"/>
                <w:sz w:val="24"/>
                <w:szCs w:val="24"/>
              </w:rPr>
              <w:t>2</w:t>
            </w:r>
            <w:r w:rsidRPr="006F23C5" w:rsidR="005F2BD0">
              <w:rPr>
                <w:rFonts w:ascii="Times New Roman" w:hAnsi="Times New Roman" w:cs="Times New Roman"/>
                <w:sz w:val="24"/>
                <w:szCs w:val="24"/>
              </w:rPr>
              <w:t>0</w:t>
            </w:r>
            <w:r w:rsidRPr="006F23C5">
              <w:rPr>
                <w:rFonts w:ascii="Times New Roman" w:hAnsi="Times New Roman" w:cs="Times New Roman"/>
                <w:sz w:val="24"/>
                <w:szCs w:val="24"/>
              </w:rPr>
              <w:t>-</w:t>
            </w:r>
            <w:r w:rsidRPr="006F23C5" w:rsidR="005F2BD0">
              <w:rPr>
                <w:rFonts w:ascii="Times New Roman" w:hAnsi="Times New Roman" w:cs="Times New Roman"/>
                <w:sz w:val="24"/>
                <w:szCs w:val="24"/>
              </w:rPr>
              <w:t>1111</w:t>
            </w:r>
            <w:r w:rsidRPr="006F23C5" w:rsidR="000274CC">
              <w:rPr>
                <w:rFonts w:ascii="Times New Roman" w:hAnsi="Times New Roman" w:cs="Times New Roman"/>
                <w:sz w:val="24"/>
                <w:szCs w:val="24"/>
              </w:rPr>
              <w:t>-</w:t>
            </w:r>
            <w:r w:rsidRPr="006F23C5" w:rsidR="00555BD4">
              <w:rPr>
                <w:rFonts w:ascii="Times New Roman" w:hAnsi="Times New Roman" w:cs="Times New Roman"/>
                <w:sz w:val="24"/>
                <w:szCs w:val="24"/>
              </w:rPr>
              <w:t>EL</w:t>
            </w:r>
            <w:r w:rsidRPr="006F23C5" w:rsidR="00574184">
              <w:rPr>
                <w:rFonts w:ascii="Times New Roman" w:hAnsi="Times New Roman" w:cs="Times New Roman"/>
                <w:sz w:val="24"/>
                <w:szCs w:val="24"/>
              </w:rPr>
              <w:t>-</w:t>
            </w:r>
            <w:r w:rsidRPr="006F23C5" w:rsidR="00555BD4">
              <w:rPr>
                <w:rFonts w:ascii="Times New Roman" w:hAnsi="Times New Roman" w:cs="Times New Roman"/>
                <w:sz w:val="24"/>
                <w:szCs w:val="24"/>
              </w:rPr>
              <w:t>ESS</w:t>
            </w:r>
          </w:p>
          <w:p w:rsidR="002E2195" w:rsidRPr="006F23C5" w:rsidP="002E2195" w14:paraId="25E1FC8B" w14:textId="77777777">
            <w:pPr>
              <w:pStyle w:val="HTMLPreformatted"/>
              <w:rPr>
                <w:rFonts w:ascii="Times New Roman" w:hAnsi="Times New Roman" w:cs="Times New Roman"/>
                <w:sz w:val="24"/>
                <w:szCs w:val="24"/>
              </w:rPr>
            </w:pPr>
          </w:p>
        </w:tc>
      </w:tr>
    </w:tbl>
    <w:p w:rsidR="002E2195" w:rsidRPr="006F23C5" w14:paraId="0D09E4EC" w14:textId="77777777">
      <w:pPr>
        <w:pStyle w:val="HTMLPreformatted"/>
        <w:rPr>
          <w:rFonts w:ascii="Times New Roman" w:hAnsi="Times New Roman" w:cs="Times New Roman"/>
          <w:sz w:val="24"/>
          <w:szCs w:val="24"/>
        </w:rPr>
      </w:pPr>
    </w:p>
    <w:p w:rsidR="002E2195" w:rsidRPr="006F23C5" w14:paraId="4F9FE1C3" w14:textId="77777777">
      <w:pPr>
        <w:pStyle w:val="HTMLPreformatted"/>
        <w:pBdr>
          <w:top w:val="single" w:sz="12" w:space="1" w:color="auto"/>
        </w:pBdr>
        <w:rPr>
          <w:rFonts w:ascii="Times New Roman" w:hAnsi="Times New Roman" w:cs="Times New Roman"/>
          <w:sz w:val="24"/>
          <w:szCs w:val="24"/>
        </w:rPr>
      </w:pPr>
    </w:p>
    <w:p w:rsidR="00C2626D" w:rsidRPr="006F23C5" w:rsidP="00C2626D" w14:paraId="43A4E03D" w14:textId="627512FA">
      <w:pPr>
        <w:jc w:val="center"/>
        <w:rPr>
          <w:b/>
          <w:bCs/>
          <w:szCs w:val="24"/>
        </w:rPr>
      </w:pPr>
      <w:r w:rsidRPr="006F23C5">
        <w:rPr>
          <w:b/>
          <w:bCs/>
          <w:szCs w:val="24"/>
        </w:rPr>
        <w:t>CONSUM</w:t>
      </w:r>
      <w:r w:rsidRPr="006F23C5" w:rsidR="00782168">
        <w:rPr>
          <w:b/>
          <w:bCs/>
          <w:szCs w:val="24"/>
        </w:rPr>
        <w:t>E</w:t>
      </w:r>
      <w:r w:rsidRPr="006F23C5">
        <w:rPr>
          <w:b/>
          <w:bCs/>
          <w:szCs w:val="24"/>
        </w:rPr>
        <w:t xml:space="preserve">R PROTECTION </w:t>
      </w:r>
      <w:r w:rsidRPr="006F23C5" w:rsidR="0031635E">
        <w:rPr>
          <w:b/>
          <w:bCs/>
          <w:szCs w:val="24"/>
        </w:rPr>
        <w:t>COMMENTS</w:t>
      </w:r>
    </w:p>
    <w:p w:rsidR="00C2626D" w:rsidRPr="006F23C5" w:rsidP="00C2626D" w14:paraId="273B5B4E" w14:textId="77777777">
      <w:pPr>
        <w:jc w:val="center"/>
        <w:rPr>
          <w:b/>
          <w:bCs/>
          <w:szCs w:val="24"/>
        </w:rPr>
      </w:pPr>
      <w:r w:rsidRPr="006F23C5">
        <w:rPr>
          <w:b/>
          <w:bCs/>
          <w:szCs w:val="24"/>
        </w:rPr>
        <w:t>BY</w:t>
      </w:r>
    </w:p>
    <w:p w:rsidR="00C2626D" w:rsidRPr="006F23C5" w:rsidP="00C2626D" w14:paraId="2B2A7C54" w14:textId="77777777">
      <w:pPr>
        <w:jc w:val="center"/>
        <w:rPr>
          <w:b/>
          <w:bCs/>
          <w:szCs w:val="24"/>
        </w:rPr>
      </w:pPr>
      <w:r w:rsidRPr="006F23C5">
        <w:rPr>
          <w:b/>
          <w:bCs/>
          <w:szCs w:val="24"/>
        </w:rPr>
        <w:t>OFFICE OF THE OHIO CONSUMERS’ COUNSEL</w:t>
      </w:r>
    </w:p>
    <w:p w:rsidR="002E2195" w:rsidRPr="006F23C5" w14:paraId="17F076D0" w14:textId="77777777">
      <w:pPr>
        <w:pBdr>
          <w:bottom w:val="single" w:sz="12" w:space="1" w:color="auto"/>
        </w:pBdr>
        <w:tabs>
          <w:tab w:val="left" w:pos="4320"/>
        </w:tabs>
        <w:rPr>
          <w:szCs w:val="24"/>
        </w:rPr>
      </w:pPr>
    </w:p>
    <w:p w:rsidR="002E2195" w:rsidRPr="006F23C5" w14:paraId="7F0ACA4C" w14:textId="77777777">
      <w:pPr>
        <w:tabs>
          <w:tab w:val="left" w:pos="4320"/>
        </w:tabs>
        <w:rPr>
          <w:szCs w:val="24"/>
        </w:rPr>
      </w:pPr>
    </w:p>
    <w:p w:rsidR="0031635E" w:rsidRPr="006F23C5" w:rsidP="00737171" w14:paraId="1489408D" w14:textId="658BF9CC">
      <w:pPr>
        <w:pStyle w:val="Heading1"/>
        <w:numPr>
          <w:ilvl w:val="0"/>
          <w:numId w:val="30"/>
        </w:numPr>
        <w:ind w:left="720"/>
      </w:pPr>
      <w:bookmarkStart w:id="0" w:name="_Toc98246278"/>
      <w:bookmarkStart w:id="1" w:name="_Toc99360701"/>
      <w:bookmarkStart w:id="2" w:name="_Toc115271109"/>
      <w:r w:rsidRPr="006F23C5">
        <w:t>INTRODUCTION</w:t>
      </w:r>
      <w:bookmarkEnd w:id="0"/>
      <w:bookmarkEnd w:id="1"/>
      <w:bookmarkEnd w:id="2"/>
    </w:p>
    <w:p w:rsidR="007D26B2" w:rsidRPr="006F23C5" w:rsidP="00CB59EE" w14:paraId="32C57D61" w14:textId="1AB4D6F7">
      <w:pPr>
        <w:spacing w:line="480" w:lineRule="auto"/>
        <w:ind w:firstLine="720"/>
        <w:rPr>
          <w:szCs w:val="24"/>
        </w:rPr>
      </w:pPr>
      <w:r w:rsidRPr="006F23C5">
        <w:rPr>
          <w:szCs w:val="24"/>
        </w:rPr>
        <w:t xml:space="preserve">Ohio law and PUCO rules require that </w:t>
      </w:r>
      <w:r w:rsidRPr="006F23C5" w:rsidR="000332D1">
        <w:rPr>
          <w:szCs w:val="24"/>
        </w:rPr>
        <w:t xml:space="preserve">the health and safety of </w:t>
      </w:r>
      <w:r w:rsidRPr="006F23C5" w:rsidR="00D00B64">
        <w:rPr>
          <w:szCs w:val="24"/>
        </w:rPr>
        <w:t xml:space="preserve">Ohioans </w:t>
      </w:r>
      <w:r w:rsidRPr="006F23C5">
        <w:rPr>
          <w:szCs w:val="24"/>
        </w:rPr>
        <w:t>be protected with quality and reliable electric service.</w:t>
      </w:r>
      <w:r>
        <w:rPr>
          <w:rStyle w:val="FootnoteReference"/>
          <w:szCs w:val="24"/>
        </w:rPr>
        <w:footnoteReference w:id="2"/>
      </w:r>
      <w:r w:rsidRPr="006F23C5">
        <w:rPr>
          <w:szCs w:val="24"/>
        </w:rPr>
        <w:t xml:space="preserve"> But during the week of June 13, 2022, </w:t>
      </w:r>
      <w:r w:rsidRPr="006F23C5" w:rsidR="00D00B64">
        <w:rPr>
          <w:szCs w:val="24"/>
        </w:rPr>
        <w:t>AEP Ohio consumers</w:t>
      </w:r>
      <w:r w:rsidRPr="006F23C5" w:rsidR="00210D69">
        <w:rPr>
          <w:szCs w:val="24"/>
        </w:rPr>
        <w:t>’ electricity</w:t>
      </w:r>
      <w:r w:rsidR="006F23C5">
        <w:rPr>
          <w:szCs w:val="24"/>
        </w:rPr>
        <w:t xml:space="preserve"> </w:t>
      </w:r>
      <w:r w:rsidRPr="006F23C5" w:rsidR="00210D69">
        <w:rPr>
          <w:szCs w:val="24"/>
        </w:rPr>
        <w:t xml:space="preserve">service </w:t>
      </w:r>
      <w:r w:rsidRPr="006F23C5" w:rsidR="00D00B64">
        <w:rPr>
          <w:szCs w:val="24"/>
        </w:rPr>
        <w:t>w</w:t>
      </w:r>
      <w:r w:rsidRPr="006F23C5" w:rsidR="00BF5AA2">
        <w:rPr>
          <w:szCs w:val="24"/>
        </w:rPr>
        <w:t>as</w:t>
      </w:r>
      <w:r w:rsidRPr="006F23C5" w:rsidR="000332D1">
        <w:rPr>
          <w:szCs w:val="24"/>
        </w:rPr>
        <w:t xml:space="preserve"> disrupted for several days</w:t>
      </w:r>
      <w:r w:rsidRPr="006F23C5" w:rsidR="00122DAA">
        <w:rPr>
          <w:szCs w:val="24"/>
        </w:rPr>
        <w:t>.</w:t>
      </w:r>
      <w:r w:rsidRPr="006F23C5" w:rsidR="000332D1">
        <w:rPr>
          <w:szCs w:val="24"/>
        </w:rPr>
        <w:t xml:space="preserve"> </w:t>
      </w:r>
      <w:r w:rsidRPr="006F23C5" w:rsidR="00122DAA">
        <w:rPr>
          <w:szCs w:val="24"/>
        </w:rPr>
        <w:t>This occurred during the hottest days of the year. Consumers suffered.</w:t>
      </w:r>
      <w:r w:rsidRPr="006F23C5" w:rsidR="00564131">
        <w:rPr>
          <w:szCs w:val="24"/>
        </w:rPr>
        <w:t xml:space="preserve"> </w:t>
      </w:r>
      <w:r w:rsidRPr="006F23C5">
        <w:rPr>
          <w:szCs w:val="24"/>
        </w:rPr>
        <w:t>And</w:t>
      </w:r>
      <w:r w:rsidRPr="006F23C5" w:rsidR="00564131">
        <w:rPr>
          <w:szCs w:val="24"/>
        </w:rPr>
        <w:t xml:space="preserve"> </w:t>
      </w:r>
      <w:r w:rsidRPr="006F23C5" w:rsidR="00E6517F">
        <w:rPr>
          <w:szCs w:val="24"/>
        </w:rPr>
        <w:t xml:space="preserve">many of the </w:t>
      </w:r>
      <w:r w:rsidRPr="006F23C5" w:rsidR="00210D69">
        <w:rPr>
          <w:szCs w:val="24"/>
        </w:rPr>
        <w:t xml:space="preserve">service disruptions </w:t>
      </w:r>
      <w:r w:rsidRPr="006F23C5" w:rsidR="00E6517F">
        <w:rPr>
          <w:szCs w:val="24"/>
        </w:rPr>
        <w:t xml:space="preserve">occurred </w:t>
      </w:r>
      <w:r w:rsidRPr="006F23C5">
        <w:rPr>
          <w:szCs w:val="24"/>
        </w:rPr>
        <w:t>because</w:t>
      </w:r>
      <w:r w:rsidRPr="006F23C5" w:rsidR="00564131">
        <w:rPr>
          <w:szCs w:val="24"/>
        </w:rPr>
        <w:t xml:space="preserve"> </w:t>
      </w:r>
      <w:r w:rsidRPr="006F23C5" w:rsidR="00281740">
        <w:rPr>
          <w:szCs w:val="24"/>
        </w:rPr>
        <w:t xml:space="preserve">AEP Ohio </w:t>
      </w:r>
      <w:r w:rsidRPr="006F23C5" w:rsidR="00E118CE">
        <w:rPr>
          <w:szCs w:val="24"/>
        </w:rPr>
        <w:t xml:space="preserve">intentionally </w:t>
      </w:r>
      <w:r w:rsidRPr="006F23C5" w:rsidR="000332D1">
        <w:rPr>
          <w:szCs w:val="24"/>
        </w:rPr>
        <w:t>shut-off electricity</w:t>
      </w:r>
      <w:r w:rsidRPr="006F23C5" w:rsidR="00281740">
        <w:rPr>
          <w:szCs w:val="24"/>
        </w:rPr>
        <w:t xml:space="preserve"> </w:t>
      </w:r>
      <w:r w:rsidRPr="006F23C5" w:rsidR="00E6517F">
        <w:rPr>
          <w:szCs w:val="24"/>
        </w:rPr>
        <w:t xml:space="preserve">during </w:t>
      </w:r>
      <w:r w:rsidRPr="006F23C5" w:rsidR="00E118CE">
        <w:rPr>
          <w:szCs w:val="24"/>
        </w:rPr>
        <w:t xml:space="preserve">the </w:t>
      </w:r>
      <w:r w:rsidRPr="006F23C5" w:rsidR="00564131">
        <w:rPr>
          <w:szCs w:val="24"/>
        </w:rPr>
        <w:t xml:space="preserve">heat wave that plagued </w:t>
      </w:r>
      <w:r w:rsidRPr="006F23C5" w:rsidR="00E6517F">
        <w:rPr>
          <w:szCs w:val="24"/>
        </w:rPr>
        <w:t xml:space="preserve">Ohioans. </w:t>
      </w:r>
      <w:r w:rsidRPr="006F23C5" w:rsidR="00564131">
        <w:rPr>
          <w:szCs w:val="24"/>
        </w:rPr>
        <w:t>While the underlying cause</w:t>
      </w:r>
      <w:r w:rsidRPr="006F23C5" w:rsidR="00E6517F">
        <w:rPr>
          <w:szCs w:val="24"/>
        </w:rPr>
        <w:t xml:space="preserve"> </w:t>
      </w:r>
      <w:r w:rsidRPr="006F23C5" w:rsidR="00564131">
        <w:rPr>
          <w:szCs w:val="24"/>
        </w:rPr>
        <w:t xml:space="preserve">for these </w:t>
      </w:r>
      <w:r w:rsidRPr="006F23C5" w:rsidR="00E6517F">
        <w:rPr>
          <w:szCs w:val="24"/>
        </w:rPr>
        <w:t xml:space="preserve">specific </w:t>
      </w:r>
      <w:r w:rsidRPr="006F23C5" w:rsidR="00564131">
        <w:rPr>
          <w:szCs w:val="24"/>
        </w:rPr>
        <w:t xml:space="preserve">outages is </w:t>
      </w:r>
      <w:r w:rsidRPr="006F23C5" w:rsidR="00E6517F">
        <w:rPr>
          <w:szCs w:val="24"/>
        </w:rPr>
        <w:t xml:space="preserve">reportedly </w:t>
      </w:r>
      <w:r w:rsidRPr="006F23C5" w:rsidR="00564131">
        <w:rPr>
          <w:szCs w:val="24"/>
        </w:rPr>
        <w:t xml:space="preserve">under </w:t>
      </w:r>
      <w:r w:rsidR="00AC0E9B">
        <w:rPr>
          <w:szCs w:val="24"/>
        </w:rPr>
        <w:t>“</w:t>
      </w:r>
      <w:r w:rsidRPr="006F23C5" w:rsidR="00361D5B">
        <w:rPr>
          <w:szCs w:val="24"/>
        </w:rPr>
        <w:t>review”</w:t>
      </w:r>
      <w:r w:rsidRPr="006F23C5" w:rsidR="00564131">
        <w:rPr>
          <w:szCs w:val="24"/>
        </w:rPr>
        <w:t xml:space="preserve"> by the Pu</w:t>
      </w:r>
      <w:r w:rsidRPr="006F23C5" w:rsidR="006068A3">
        <w:rPr>
          <w:szCs w:val="24"/>
        </w:rPr>
        <w:t>blic Utility Commission of Ohio (“</w:t>
      </w:r>
      <w:r w:rsidRPr="006F23C5" w:rsidR="00852D5D">
        <w:rPr>
          <w:szCs w:val="24"/>
        </w:rPr>
        <w:t>PUCO</w:t>
      </w:r>
      <w:r w:rsidRPr="006F23C5" w:rsidR="006068A3">
        <w:rPr>
          <w:szCs w:val="24"/>
        </w:rPr>
        <w:t>”)</w:t>
      </w:r>
      <w:r w:rsidRPr="006F23C5" w:rsidR="00E6517F">
        <w:rPr>
          <w:szCs w:val="24"/>
        </w:rPr>
        <w:t xml:space="preserve">, AEP Ohio </w:t>
      </w:r>
      <w:r w:rsidRPr="006F23C5" w:rsidR="00852D5D">
        <w:rPr>
          <w:szCs w:val="24"/>
        </w:rPr>
        <w:t xml:space="preserve">has asked the PUCO to </w:t>
      </w:r>
      <w:r w:rsidRPr="006F23C5" w:rsidR="006068A3">
        <w:rPr>
          <w:szCs w:val="24"/>
        </w:rPr>
        <w:t xml:space="preserve">adopt reliability standards </w:t>
      </w:r>
      <w:r w:rsidRPr="006F23C5" w:rsidR="0032271F">
        <w:rPr>
          <w:szCs w:val="24"/>
        </w:rPr>
        <w:t xml:space="preserve">for 2022 and beyond </w:t>
      </w:r>
      <w:r w:rsidRPr="006F23C5" w:rsidR="006068A3">
        <w:rPr>
          <w:szCs w:val="24"/>
        </w:rPr>
        <w:t xml:space="preserve">that </w:t>
      </w:r>
      <w:r w:rsidRPr="006F23C5" w:rsidR="009B5261">
        <w:rPr>
          <w:szCs w:val="24"/>
        </w:rPr>
        <w:t xml:space="preserve">are less protective of consumers </w:t>
      </w:r>
      <w:r w:rsidRPr="006F23C5" w:rsidR="00852D5D">
        <w:rPr>
          <w:szCs w:val="24"/>
        </w:rPr>
        <w:t>(</w:t>
      </w:r>
      <w:r w:rsidRPr="006F23C5" w:rsidR="00210D69">
        <w:rPr>
          <w:szCs w:val="24"/>
        </w:rPr>
        <w:t xml:space="preserve">meaning </w:t>
      </w:r>
      <w:r w:rsidRPr="006F23C5" w:rsidR="00361D5B">
        <w:rPr>
          <w:szCs w:val="24"/>
        </w:rPr>
        <w:t xml:space="preserve">consumers </w:t>
      </w:r>
      <w:r w:rsidR="00DC6648">
        <w:rPr>
          <w:szCs w:val="24"/>
        </w:rPr>
        <w:t>w</w:t>
      </w:r>
      <w:r w:rsidRPr="006F23C5" w:rsidR="00361D5B">
        <w:rPr>
          <w:szCs w:val="24"/>
        </w:rPr>
        <w:t xml:space="preserve">ould </w:t>
      </w:r>
      <w:r w:rsidR="00DC6648">
        <w:rPr>
          <w:szCs w:val="24"/>
        </w:rPr>
        <w:t xml:space="preserve">be </w:t>
      </w:r>
      <w:r w:rsidRPr="006F23C5" w:rsidR="00361D5B">
        <w:rPr>
          <w:szCs w:val="24"/>
        </w:rPr>
        <w:t xml:space="preserve">subjected to </w:t>
      </w:r>
      <w:r w:rsidRPr="006F23C5" w:rsidR="00210D69">
        <w:rPr>
          <w:szCs w:val="24"/>
        </w:rPr>
        <w:t>more frequent outages for longer periods of time</w:t>
      </w:r>
      <w:r w:rsidRPr="006F23C5" w:rsidR="00852D5D">
        <w:rPr>
          <w:szCs w:val="24"/>
        </w:rPr>
        <w:t>).</w:t>
      </w:r>
      <w:r w:rsidRPr="006F23C5" w:rsidR="00737171">
        <w:rPr>
          <w:szCs w:val="24"/>
        </w:rPr>
        <w:t xml:space="preserve"> </w:t>
      </w:r>
    </w:p>
    <w:p w:rsidR="0032271F" w:rsidRPr="006F23C5" w:rsidP="00CB59EE" w14:paraId="101671FB" w14:textId="6CB9EEE0">
      <w:pPr>
        <w:spacing w:line="480" w:lineRule="auto"/>
        <w:ind w:firstLine="720"/>
        <w:rPr>
          <w:szCs w:val="24"/>
        </w:rPr>
      </w:pPr>
      <w:bookmarkStart w:id="3" w:name="_Hlk115269904"/>
      <w:r w:rsidRPr="006F23C5">
        <w:rPr>
          <w:szCs w:val="24"/>
        </w:rPr>
        <w:t>T</w:t>
      </w:r>
      <w:r w:rsidRPr="006F23C5" w:rsidR="001D6BBA">
        <w:rPr>
          <w:szCs w:val="24"/>
        </w:rPr>
        <w:t>he</w:t>
      </w:r>
      <w:r w:rsidRPr="006F23C5" w:rsidR="008511B9">
        <w:rPr>
          <w:szCs w:val="24"/>
        </w:rPr>
        <w:t xml:space="preserve"> </w:t>
      </w:r>
      <w:r w:rsidRPr="006F23C5">
        <w:rPr>
          <w:szCs w:val="24"/>
        </w:rPr>
        <w:t xml:space="preserve">PUCO should reject </w:t>
      </w:r>
      <w:r w:rsidRPr="006F23C5" w:rsidR="009B5261">
        <w:rPr>
          <w:szCs w:val="24"/>
        </w:rPr>
        <w:t xml:space="preserve">AEP Ohio’s </w:t>
      </w:r>
      <w:r w:rsidRPr="006F23C5">
        <w:rPr>
          <w:szCs w:val="24"/>
        </w:rPr>
        <w:t xml:space="preserve">request and </w:t>
      </w:r>
      <w:r w:rsidRPr="006F23C5" w:rsidR="002A723E">
        <w:rPr>
          <w:szCs w:val="24"/>
        </w:rPr>
        <w:t>set reasonable reliability standard</w:t>
      </w:r>
      <w:r w:rsidRPr="006F23C5" w:rsidR="00210D69">
        <w:rPr>
          <w:szCs w:val="24"/>
        </w:rPr>
        <w:t>s</w:t>
      </w:r>
      <w:r w:rsidRPr="006F23C5" w:rsidR="002A723E">
        <w:rPr>
          <w:szCs w:val="24"/>
        </w:rPr>
        <w:t xml:space="preserve"> that would ensure adequate </w:t>
      </w:r>
      <w:r w:rsidRPr="006F23C5" w:rsidR="00E118CE">
        <w:rPr>
          <w:szCs w:val="24"/>
        </w:rPr>
        <w:t xml:space="preserve">and reliable </w:t>
      </w:r>
      <w:r w:rsidRPr="006F23C5">
        <w:rPr>
          <w:szCs w:val="24"/>
        </w:rPr>
        <w:t xml:space="preserve">essential electric service </w:t>
      </w:r>
      <w:r w:rsidRPr="006F23C5" w:rsidR="00E118CE">
        <w:rPr>
          <w:szCs w:val="24"/>
        </w:rPr>
        <w:t>to consumers. Further,</w:t>
      </w:r>
      <w:r w:rsidRPr="006F23C5" w:rsidR="00175FD0">
        <w:rPr>
          <w:szCs w:val="24"/>
        </w:rPr>
        <w:t xml:space="preserve"> the PUCO</w:t>
      </w:r>
      <w:r w:rsidRPr="006F23C5" w:rsidR="008C318D">
        <w:rPr>
          <w:szCs w:val="24"/>
        </w:rPr>
        <w:t xml:space="preserve"> </w:t>
      </w:r>
      <w:r w:rsidRPr="006F23C5" w:rsidR="00175FD0">
        <w:rPr>
          <w:szCs w:val="24"/>
        </w:rPr>
        <w:t xml:space="preserve">should </w:t>
      </w:r>
      <w:r w:rsidRPr="006F23C5" w:rsidR="008C318D">
        <w:rPr>
          <w:szCs w:val="24"/>
        </w:rPr>
        <w:t>bring openness and transparency to any investigations</w:t>
      </w:r>
      <w:r w:rsidRPr="006F23C5" w:rsidR="00210D69">
        <w:rPr>
          <w:szCs w:val="24"/>
        </w:rPr>
        <w:t xml:space="preserve"> </w:t>
      </w:r>
      <w:r w:rsidRPr="006F23C5" w:rsidR="008C318D">
        <w:rPr>
          <w:szCs w:val="24"/>
        </w:rPr>
        <w:t xml:space="preserve">examining the underlying causes for the June 2022 outages </w:t>
      </w:r>
      <w:r w:rsidRPr="006F23C5" w:rsidR="0060371D">
        <w:rPr>
          <w:szCs w:val="24"/>
        </w:rPr>
        <w:t xml:space="preserve">and </w:t>
      </w:r>
      <w:r w:rsidRPr="006F23C5" w:rsidR="00671657">
        <w:rPr>
          <w:szCs w:val="24"/>
        </w:rPr>
        <w:t>AEP Ohio’s</w:t>
      </w:r>
      <w:r w:rsidRPr="006F23C5" w:rsidR="0060371D">
        <w:rPr>
          <w:szCs w:val="24"/>
        </w:rPr>
        <w:t xml:space="preserve"> </w:t>
      </w:r>
      <w:r w:rsidRPr="006F23C5" w:rsidR="008C318D">
        <w:rPr>
          <w:szCs w:val="24"/>
        </w:rPr>
        <w:t xml:space="preserve">response </w:t>
      </w:r>
      <w:r w:rsidRPr="006F23C5" w:rsidR="00671657">
        <w:rPr>
          <w:szCs w:val="24"/>
        </w:rPr>
        <w:t>to them</w:t>
      </w:r>
      <w:r w:rsidRPr="006F23C5" w:rsidR="0060371D">
        <w:rPr>
          <w:szCs w:val="24"/>
        </w:rPr>
        <w:t>.</w:t>
      </w:r>
      <w:r>
        <w:rPr>
          <w:rStyle w:val="FootnoteReference"/>
          <w:szCs w:val="24"/>
        </w:rPr>
        <w:footnoteReference w:id="3"/>
      </w:r>
      <w:r w:rsidRPr="006F23C5">
        <w:rPr>
          <w:szCs w:val="24"/>
        </w:rPr>
        <w:t xml:space="preserve"> </w:t>
      </w:r>
      <w:r w:rsidRPr="006F23C5" w:rsidR="00210D69">
        <w:rPr>
          <w:szCs w:val="24"/>
        </w:rPr>
        <w:t xml:space="preserve">The PUCO can do this by </w:t>
      </w:r>
      <w:r w:rsidRPr="008D123B" w:rsidR="008D123B">
        <w:rPr>
          <w:szCs w:val="24"/>
        </w:rPr>
        <w:t>granting OCC’s pending consumer protection motions</w:t>
      </w:r>
      <w:r w:rsidRPr="006F23C5" w:rsidR="00210D69">
        <w:rPr>
          <w:szCs w:val="24"/>
        </w:rPr>
        <w:t>.</w:t>
      </w:r>
      <w:r>
        <w:rPr>
          <w:rStyle w:val="FootnoteReference"/>
          <w:szCs w:val="24"/>
        </w:rPr>
        <w:footnoteReference w:id="4"/>
      </w:r>
      <w:r w:rsidR="006F23C5">
        <w:rPr>
          <w:szCs w:val="24"/>
        </w:rPr>
        <w:t xml:space="preserve"> </w:t>
      </w:r>
      <w:r w:rsidRPr="006F23C5" w:rsidR="00210D69">
        <w:rPr>
          <w:szCs w:val="24"/>
        </w:rPr>
        <w:t>It</w:t>
      </w:r>
      <w:r w:rsidR="006F23C5">
        <w:rPr>
          <w:szCs w:val="24"/>
        </w:rPr>
        <w:t xml:space="preserve"> </w:t>
      </w:r>
      <w:r w:rsidR="00DC6648">
        <w:rPr>
          <w:szCs w:val="24"/>
        </w:rPr>
        <w:t>can do this by</w:t>
      </w:r>
      <w:r w:rsidRPr="006F23C5" w:rsidR="000C0F02">
        <w:rPr>
          <w:szCs w:val="24"/>
        </w:rPr>
        <w:t xml:space="preserve"> requiring AEP Ohio to respond to important discovery requests</w:t>
      </w:r>
      <w:r w:rsidRPr="006F23C5" w:rsidR="00BF5AA2">
        <w:rPr>
          <w:szCs w:val="24"/>
        </w:rPr>
        <w:t xml:space="preserve"> related to the outages</w:t>
      </w:r>
      <w:r w:rsidRPr="006F23C5" w:rsidR="000C0F02">
        <w:rPr>
          <w:szCs w:val="24"/>
        </w:rPr>
        <w:t>.</w:t>
      </w:r>
      <w:r>
        <w:rPr>
          <w:rStyle w:val="FootnoteReference"/>
          <w:szCs w:val="24"/>
        </w:rPr>
        <w:footnoteReference w:id="5"/>
      </w:r>
      <w:r w:rsidRPr="006F23C5" w:rsidR="000C0F02">
        <w:rPr>
          <w:szCs w:val="24"/>
        </w:rPr>
        <w:t xml:space="preserve"> </w:t>
      </w:r>
      <w:r w:rsidRPr="006F23C5">
        <w:rPr>
          <w:szCs w:val="24"/>
        </w:rPr>
        <w:t xml:space="preserve">This information is crucial for </w:t>
      </w:r>
      <w:r w:rsidRPr="006F23C5" w:rsidR="005E0C43">
        <w:rPr>
          <w:szCs w:val="24"/>
        </w:rPr>
        <w:t xml:space="preserve">understanding and </w:t>
      </w:r>
      <w:r w:rsidRPr="006F23C5">
        <w:rPr>
          <w:szCs w:val="24"/>
        </w:rPr>
        <w:t xml:space="preserve">evaluating the sufficiency of AEP Ohio’s electric reliability now and into the future. </w:t>
      </w:r>
    </w:p>
    <w:bookmarkEnd w:id="3"/>
    <w:p w:rsidR="00CB59EE" w:rsidRPr="006F23C5" w:rsidP="009958C8" w14:paraId="4E3E4164" w14:textId="7F177A48">
      <w:pPr>
        <w:ind w:firstLine="720"/>
        <w:rPr>
          <w:szCs w:val="24"/>
        </w:rPr>
      </w:pPr>
      <w:r w:rsidRPr="006F23C5">
        <w:rPr>
          <w:szCs w:val="24"/>
        </w:rPr>
        <w:t xml:space="preserve"> </w:t>
      </w:r>
    </w:p>
    <w:p w:rsidR="0031635E" w:rsidRPr="006F23C5" w:rsidP="0031635E" w14:paraId="7CC78951" w14:textId="4A403065">
      <w:pPr>
        <w:pStyle w:val="Heading1"/>
      </w:pPr>
      <w:bookmarkStart w:id="4" w:name="_Toc98246279"/>
      <w:bookmarkStart w:id="5" w:name="_Toc99360702"/>
      <w:bookmarkStart w:id="6" w:name="_Toc115271110"/>
      <w:r w:rsidRPr="006F23C5">
        <w:t>II.</w:t>
      </w:r>
      <w:r w:rsidRPr="006F23C5">
        <w:tab/>
        <w:t>BACKGROUND</w:t>
      </w:r>
      <w:bookmarkEnd w:id="4"/>
      <w:bookmarkEnd w:id="5"/>
      <w:bookmarkEnd w:id="6"/>
    </w:p>
    <w:p w:rsidR="00AF4FF1" w:rsidRPr="006F23C5" w:rsidP="00CB59EE" w14:paraId="2BCC850E" w14:textId="2B9505B3">
      <w:pPr>
        <w:spacing w:line="480" w:lineRule="auto"/>
        <w:ind w:firstLine="720"/>
        <w:rPr>
          <w:szCs w:val="24"/>
        </w:rPr>
      </w:pPr>
      <w:r w:rsidRPr="006F23C5">
        <w:rPr>
          <w:szCs w:val="24"/>
        </w:rPr>
        <w:t>AE</w:t>
      </w:r>
      <w:r w:rsidRPr="006F23C5" w:rsidR="0060371D">
        <w:rPr>
          <w:szCs w:val="24"/>
        </w:rPr>
        <w:t xml:space="preserve">P Ohio </w:t>
      </w:r>
      <w:r w:rsidRPr="006F23C5">
        <w:rPr>
          <w:szCs w:val="24"/>
        </w:rPr>
        <w:t xml:space="preserve">filed an application </w:t>
      </w:r>
      <w:r w:rsidRPr="006F23C5" w:rsidR="003878C6">
        <w:rPr>
          <w:szCs w:val="24"/>
        </w:rPr>
        <w:t xml:space="preserve">in 2022 </w:t>
      </w:r>
      <w:r w:rsidRPr="006F23C5">
        <w:rPr>
          <w:szCs w:val="24"/>
        </w:rPr>
        <w:t>to establish new electric reliability performance standards</w:t>
      </w:r>
      <w:r w:rsidRPr="006F23C5" w:rsidR="00671657">
        <w:rPr>
          <w:szCs w:val="24"/>
        </w:rPr>
        <w:t>. It</w:t>
      </w:r>
      <w:r w:rsidRPr="006F23C5" w:rsidR="00CE2BC3">
        <w:rPr>
          <w:szCs w:val="24"/>
        </w:rPr>
        <w:t xml:space="preserve"> </w:t>
      </w:r>
      <w:r w:rsidRPr="006F23C5" w:rsidR="003878C6">
        <w:rPr>
          <w:szCs w:val="24"/>
        </w:rPr>
        <w:t xml:space="preserve">then </w:t>
      </w:r>
      <w:r w:rsidRPr="006F23C5" w:rsidR="00CE2BC3">
        <w:rPr>
          <w:szCs w:val="24"/>
        </w:rPr>
        <w:t xml:space="preserve">filed an amended application based on changes that were made in the PUCO electric service and safety standards in </w:t>
      </w:r>
      <w:r w:rsidRPr="006F23C5" w:rsidR="00BF5AA2">
        <w:rPr>
          <w:szCs w:val="24"/>
        </w:rPr>
        <w:t>O.A.C.</w:t>
      </w:r>
      <w:r w:rsidRPr="006F23C5" w:rsidR="00CE2BC3">
        <w:rPr>
          <w:szCs w:val="24"/>
        </w:rPr>
        <w:t xml:space="preserve"> 4901:1-10.</w:t>
      </w:r>
      <w:r>
        <w:rPr>
          <w:rStyle w:val="FootnoteReference"/>
          <w:szCs w:val="24"/>
        </w:rPr>
        <w:footnoteReference w:id="6"/>
      </w:r>
      <w:r w:rsidRPr="006F23C5" w:rsidR="00301D38">
        <w:rPr>
          <w:szCs w:val="24"/>
        </w:rPr>
        <w:t xml:space="preserve"> </w:t>
      </w:r>
      <w:r w:rsidRPr="006F23C5" w:rsidR="00671657">
        <w:rPr>
          <w:szCs w:val="24"/>
        </w:rPr>
        <w:t>AEP Ohio’s proposed</w:t>
      </w:r>
      <w:r w:rsidRPr="006F23C5" w:rsidR="00CE2BC3">
        <w:rPr>
          <w:szCs w:val="24"/>
        </w:rPr>
        <w:t xml:space="preserve"> </w:t>
      </w:r>
      <w:r w:rsidRPr="006F23C5">
        <w:rPr>
          <w:szCs w:val="24"/>
        </w:rPr>
        <w:t>standards</w:t>
      </w:r>
      <w:r w:rsidRPr="006F23C5" w:rsidR="003878C6">
        <w:rPr>
          <w:szCs w:val="24"/>
        </w:rPr>
        <w:t>, if approved</w:t>
      </w:r>
      <w:r w:rsidRPr="006F23C5" w:rsidR="00671657">
        <w:rPr>
          <w:szCs w:val="24"/>
        </w:rPr>
        <w:t>,</w:t>
      </w:r>
      <w:r w:rsidRPr="006F23C5" w:rsidR="003878C6">
        <w:rPr>
          <w:szCs w:val="24"/>
        </w:rPr>
        <w:t xml:space="preserve"> </w:t>
      </w:r>
      <w:r w:rsidRPr="006F23C5">
        <w:rPr>
          <w:szCs w:val="24"/>
        </w:rPr>
        <w:t xml:space="preserve">will govern the minimum acceptable annual </w:t>
      </w:r>
      <w:r w:rsidRPr="006F23C5" w:rsidR="003878C6">
        <w:rPr>
          <w:szCs w:val="24"/>
        </w:rPr>
        <w:t xml:space="preserve">distribution </w:t>
      </w:r>
      <w:r w:rsidRPr="006F23C5">
        <w:rPr>
          <w:szCs w:val="24"/>
        </w:rPr>
        <w:t>reliability</w:t>
      </w:r>
      <w:r w:rsidR="006F23C5">
        <w:rPr>
          <w:szCs w:val="24"/>
        </w:rPr>
        <w:t xml:space="preserve"> </w:t>
      </w:r>
      <w:r w:rsidRPr="006F23C5">
        <w:rPr>
          <w:szCs w:val="24"/>
        </w:rPr>
        <w:t xml:space="preserve">that </w:t>
      </w:r>
      <w:r w:rsidRPr="006F23C5" w:rsidR="00CE2BC3">
        <w:rPr>
          <w:szCs w:val="24"/>
        </w:rPr>
        <w:t>AEP Ohio i</w:t>
      </w:r>
      <w:r w:rsidRPr="006F23C5">
        <w:rPr>
          <w:szCs w:val="24"/>
        </w:rPr>
        <w:t>s required to provide consumers. Ohio law explicitly requires the PUCO to protect consumers through rules that specify minimum service quality, safety, and reliability requirements for retail electric service.</w:t>
      </w:r>
      <w:r>
        <w:rPr>
          <w:rStyle w:val="FootnoteReference"/>
          <w:szCs w:val="24"/>
        </w:rPr>
        <w:footnoteReference w:id="7"/>
      </w:r>
      <w:r w:rsidRPr="006F23C5">
        <w:rPr>
          <w:szCs w:val="24"/>
        </w:rPr>
        <w:t xml:space="preserve"> </w:t>
      </w:r>
    </w:p>
    <w:p w:rsidR="00CB59EE" w:rsidRPr="006F23C5" w:rsidP="00CB59EE" w14:paraId="2BFC5B63" w14:textId="4FEB1CD8">
      <w:pPr>
        <w:spacing w:line="480" w:lineRule="auto"/>
        <w:ind w:firstLine="720"/>
        <w:rPr>
          <w:szCs w:val="24"/>
        </w:rPr>
      </w:pPr>
      <w:r w:rsidRPr="006F23C5">
        <w:rPr>
          <w:szCs w:val="24"/>
        </w:rPr>
        <w:t>The PUCO has established minimum service standards for reliability through two specific indices that are subject to annual reporting</w:t>
      </w:r>
      <w:r w:rsidR="00DC6648">
        <w:rPr>
          <w:szCs w:val="24"/>
        </w:rPr>
        <w:t xml:space="preserve"> and</w:t>
      </w:r>
      <w:r w:rsidRPr="006F23C5" w:rsidR="00E9151C">
        <w:rPr>
          <w:szCs w:val="24"/>
        </w:rPr>
        <w:t xml:space="preserve"> </w:t>
      </w:r>
      <w:r w:rsidRPr="006F23C5">
        <w:rPr>
          <w:szCs w:val="24"/>
        </w:rPr>
        <w:t>enforcemen</w:t>
      </w:r>
      <w:r w:rsidR="007724AA">
        <w:rPr>
          <w:szCs w:val="24"/>
        </w:rPr>
        <w:t>t.</w:t>
      </w:r>
      <w:r>
        <w:rPr>
          <w:rStyle w:val="FootnoteReference"/>
          <w:szCs w:val="24"/>
        </w:rPr>
        <w:footnoteReference w:id="8"/>
      </w:r>
      <w:r w:rsidRPr="006F23C5" w:rsidR="00737171">
        <w:rPr>
          <w:szCs w:val="24"/>
        </w:rPr>
        <w:t xml:space="preserve"> </w:t>
      </w:r>
      <w:r w:rsidRPr="006F23C5">
        <w:rPr>
          <w:szCs w:val="24"/>
        </w:rPr>
        <w:t>These standards include a System Average Interruption Frequency Index (“SAIFI”) and a Customer Average Interruption Duration Index (“CAIDI”).</w:t>
      </w:r>
      <w:r>
        <w:rPr>
          <w:rStyle w:val="FootnoteReference"/>
          <w:szCs w:val="24"/>
        </w:rPr>
        <w:footnoteReference w:id="9"/>
      </w:r>
      <w:r w:rsidRPr="006F23C5">
        <w:rPr>
          <w:szCs w:val="24"/>
        </w:rPr>
        <w:t xml:space="preserve"> SAIFI is the system-wide average number of interruptions that consumers should experience in a year. CAIDI is the average outage duration (or time to restore services after an outage occurs) measured in minutes, for each c</w:t>
      </w:r>
      <w:r w:rsidRPr="006F23C5" w:rsidR="00AF4FF1">
        <w:rPr>
          <w:szCs w:val="24"/>
        </w:rPr>
        <w:t>onsumer</w:t>
      </w:r>
      <w:r w:rsidRPr="006F23C5">
        <w:rPr>
          <w:szCs w:val="24"/>
        </w:rPr>
        <w:t xml:space="preserve"> that experiences an interruption, </w:t>
      </w:r>
      <w:r w:rsidRPr="006F23C5" w:rsidR="003878C6">
        <w:rPr>
          <w:szCs w:val="24"/>
        </w:rPr>
        <w:t>on an annual basis</w:t>
      </w:r>
      <w:r w:rsidRPr="006F23C5">
        <w:rPr>
          <w:szCs w:val="24"/>
        </w:rPr>
        <w:t>.</w:t>
      </w:r>
    </w:p>
    <w:p w:rsidR="00CB59EE" w:rsidRPr="006F23C5" w:rsidP="00CB59EE" w14:paraId="0B4AB837" w14:textId="7D5C09A7">
      <w:pPr>
        <w:spacing w:line="480" w:lineRule="auto"/>
        <w:ind w:firstLine="720"/>
        <w:rPr>
          <w:szCs w:val="24"/>
        </w:rPr>
      </w:pPr>
      <w:r w:rsidRPr="006F23C5">
        <w:rPr>
          <w:szCs w:val="24"/>
        </w:rPr>
        <w:t xml:space="preserve">Under the PUCO rules for establishing reliability standards, “momentary interruptions” (or interruptions with durations less than five minutes), “major events” (interruptions typical during adverse weather conditions), and </w:t>
      </w:r>
      <w:r w:rsidRPr="006F23C5" w:rsidR="006068A3">
        <w:rPr>
          <w:szCs w:val="24"/>
        </w:rPr>
        <w:t>“</w:t>
      </w:r>
      <w:r w:rsidRPr="006F23C5">
        <w:rPr>
          <w:szCs w:val="24"/>
        </w:rPr>
        <w:t>transmission outages</w:t>
      </w:r>
      <w:r w:rsidRPr="006F23C5" w:rsidR="006068A3">
        <w:rPr>
          <w:szCs w:val="24"/>
        </w:rPr>
        <w:t>”</w:t>
      </w:r>
      <w:r w:rsidRPr="006F23C5">
        <w:rPr>
          <w:szCs w:val="24"/>
        </w:rPr>
        <w:t xml:space="preserve"> are excluded from the calculation of proposed standards.</w:t>
      </w:r>
      <w:r>
        <w:rPr>
          <w:rStyle w:val="FootnoteReference"/>
          <w:szCs w:val="24"/>
        </w:rPr>
        <w:footnoteReference w:id="10"/>
      </w:r>
      <w:r w:rsidRPr="006F23C5">
        <w:rPr>
          <w:szCs w:val="24"/>
        </w:rPr>
        <w:t xml:space="preserve"> Therefore, the proposed minimum reliability standards are considered “blue sky</w:t>
      </w:r>
      <w:r w:rsidRPr="006F23C5" w:rsidR="007F13A8">
        <w:rPr>
          <w:szCs w:val="24"/>
        </w:rPr>
        <w:t>.</w:t>
      </w:r>
      <w:r w:rsidRPr="006F23C5">
        <w:rPr>
          <w:szCs w:val="24"/>
        </w:rPr>
        <w:t xml:space="preserve">” </w:t>
      </w:r>
      <w:r w:rsidRPr="006F23C5" w:rsidR="007F13A8">
        <w:rPr>
          <w:szCs w:val="24"/>
        </w:rPr>
        <w:t>This means that</w:t>
      </w:r>
      <w:r w:rsidRPr="006F23C5">
        <w:rPr>
          <w:szCs w:val="24"/>
        </w:rPr>
        <w:t xml:space="preserve"> the reliability performance that the PUCO should expect a utility to provide consumers is based on normal operations of the distribution system where the utility has control over the major factors that cause interruptions</w:t>
      </w:r>
      <w:r w:rsidRPr="006F23C5" w:rsidR="00F07A51">
        <w:rPr>
          <w:szCs w:val="24"/>
        </w:rPr>
        <w:t xml:space="preserve"> to cons</w:t>
      </w:r>
      <w:r w:rsidRPr="006F23C5" w:rsidR="00990D43">
        <w:rPr>
          <w:szCs w:val="24"/>
        </w:rPr>
        <w:t>u</w:t>
      </w:r>
      <w:r w:rsidRPr="006F23C5" w:rsidR="00F07A51">
        <w:rPr>
          <w:szCs w:val="24"/>
        </w:rPr>
        <w:t>mers’ service</w:t>
      </w:r>
      <w:r w:rsidRPr="006F23C5">
        <w:rPr>
          <w:szCs w:val="24"/>
        </w:rPr>
        <w:t>.</w:t>
      </w:r>
    </w:p>
    <w:p w:rsidR="00894F54" w:rsidRPr="006F23C5" w:rsidP="00CB59EE" w14:paraId="774DDD1D" w14:textId="0F243233">
      <w:pPr>
        <w:spacing w:line="480" w:lineRule="auto"/>
        <w:ind w:firstLine="720"/>
        <w:rPr>
          <w:szCs w:val="24"/>
        </w:rPr>
      </w:pPr>
      <w:r w:rsidRPr="006F23C5">
        <w:rPr>
          <w:szCs w:val="24"/>
        </w:rPr>
        <w:t>AE</w:t>
      </w:r>
      <w:r w:rsidRPr="006F23C5" w:rsidR="00C30466">
        <w:rPr>
          <w:szCs w:val="24"/>
        </w:rPr>
        <w:t xml:space="preserve">P Ohio </w:t>
      </w:r>
      <w:r w:rsidRPr="006F23C5">
        <w:rPr>
          <w:szCs w:val="24"/>
        </w:rPr>
        <w:t xml:space="preserve">proposed in its </w:t>
      </w:r>
      <w:r w:rsidRPr="006F23C5" w:rsidR="00FB3FC1">
        <w:rPr>
          <w:szCs w:val="24"/>
        </w:rPr>
        <w:t xml:space="preserve">amended </w:t>
      </w:r>
      <w:r w:rsidRPr="006F23C5">
        <w:rPr>
          <w:szCs w:val="24"/>
        </w:rPr>
        <w:t>application a SAIFI standard of 1.</w:t>
      </w:r>
      <w:r w:rsidRPr="006F23C5" w:rsidR="00FB3FC1">
        <w:rPr>
          <w:szCs w:val="24"/>
        </w:rPr>
        <w:t>30 in 2022</w:t>
      </w:r>
      <w:r w:rsidRPr="006F23C5" w:rsidR="00C30466">
        <w:rPr>
          <w:szCs w:val="24"/>
        </w:rPr>
        <w:t xml:space="preserve"> and 1.28 in 2023 (and beyond)</w:t>
      </w:r>
      <w:r>
        <w:rPr>
          <w:rStyle w:val="FootnoteReference"/>
          <w:szCs w:val="24"/>
        </w:rPr>
        <w:footnoteReference w:id="11"/>
      </w:r>
      <w:r w:rsidRPr="006F23C5" w:rsidR="00C30466">
        <w:rPr>
          <w:szCs w:val="24"/>
        </w:rPr>
        <w:t xml:space="preserve"> </w:t>
      </w:r>
      <w:r w:rsidRPr="006F23C5">
        <w:rPr>
          <w:szCs w:val="24"/>
        </w:rPr>
        <w:t xml:space="preserve">compared to </w:t>
      </w:r>
      <w:r w:rsidRPr="006F23C5" w:rsidR="00FB3FC1">
        <w:rPr>
          <w:szCs w:val="24"/>
        </w:rPr>
        <w:t xml:space="preserve">its </w:t>
      </w:r>
      <w:r w:rsidRPr="006F23C5">
        <w:rPr>
          <w:szCs w:val="24"/>
        </w:rPr>
        <w:t xml:space="preserve">current </w:t>
      </w:r>
      <w:r w:rsidRPr="006F23C5" w:rsidR="00C30466">
        <w:rPr>
          <w:szCs w:val="24"/>
        </w:rPr>
        <w:t xml:space="preserve">SAIFI </w:t>
      </w:r>
      <w:r w:rsidRPr="006F23C5">
        <w:rPr>
          <w:szCs w:val="24"/>
        </w:rPr>
        <w:t xml:space="preserve">standard of </w:t>
      </w:r>
      <w:r w:rsidRPr="006F23C5" w:rsidR="00C30466">
        <w:rPr>
          <w:szCs w:val="24"/>
        </w:rPr>
        <w:t>1.18</w:t>
      </w:r>
      <w:r w:rsidRPr="006F23C5">
        <w:rPr>
          <w:szCs w:val="24"/>
        </w:rPr>
        <w:t>.</w:t>
      </w:r>
      <w:r>
        <w:rPr>
          <w:rStyle w:val="FootnoteReference"/>
          <w:szCs w:val="24"/>
        </w:rPr>
        <w:footnoteReference w:id="12"/>
      </w:r>
      <w:r w:rsidR="006F23C5">
        <w:rPr>
          <w:szCs w:val="24"/>
        </w:rPr>
        <w:t xml:space="preserve"> </w:t>
      </w:r>
      <w:r w:rsidRPr="006F23C5" w:rsidR="00F07A51">
        <w:rPr>
          <w:szCs w:val="24"/>
        </w:rPr>
        <w:t>In other words AEP wants to increase the number of times it can interrupt consumers without violating Ohio reliability rules.</w:t>
      </w:r>
      <w:r w:rsidR="006F23C5">
        <w:rPr>
          <w:szCs w:val="24"/>
        </w:rPr>
        <w:t xml:space="preserve"> </w:t>
      </w:r>
      <w:r w:rsidRPr="006F23C5">
        <w:rPr>
          <w:szCs w:val="24"/>
        </w:rPr>
        <w:t>AE</w:t>
      </w:r>
      <w:r w:rsidRPr="006F23C5" w:rsidR="00C30466">
        <w:rPr>
          <w:szCs w:val="24"/>
        </w:rPr>
        <w:t>P Ohio</w:t>
      </w:r>
      <w:r w:rsidRPr="006F23C5" w:rsidR="00990D43">
        <w:rPr>
          <w:szCs w:val="24"/>
        </w:rPr>
        <w:t xml:space="preserve"> </w:t>
      </w:r>
      <w:r w:rsidRPr="006F23C5" w:rsidR="00F07A51">
        <w:rPr>
          <w:szCs w:val="24"/>
        </w:rPr>
        <w:t>also</w:t>
      </w:r>
      <w:r w:rsidRPr="006F23C5" w:rsidR="00C30466">
        <w:rPr>
          <w:szCs w:val="24"/>
        </w:rPr>
        <w:t xml:space="preserve"> </w:t>
      </w:r>
      <w:r w:rsidRPr="006F23C5">
        <w:rPr>
          <w:szCs w:val="24"/>
        </w:rPr>
        <w:t xml:space="preserve">proposed in its </w:t>
      </w:r>
      <w:r w:rsidRPr="006F23C5" w:rsidR="00C30466">
        <w:rPr>
          <w:szCs w:val="24"/>
        </w:rPr>
        <w:t xml:space="preserve">amended </w:t>
      </w:r>
      <w:r w:rsidRPr="006F23C5">
        <w:rPr>
          <w:szCs w:val="24"/>
        </w:rPr>
        <w:t>application a CAIDI standard of 1</w:t>
      </w:r>
      <w:r w:rsidRPr="006F23C5" w:rsidR="00C30466">
        <w:rPr>
          <w:szCs w:val="24"/>
        </w:rPr>
        <w:t>58 minutes in 2022 (and beyond)</w:t>
      </w:r>
      <w:r>
        <w:rPr>
          <w:rStyle w:val="FootnoteReference"/>
          <w:szCs w:val="24"/>
        </w:rPr>
        <w:footnoteReference w:id="13"/>
      </w:r>
      <w:r w:rsidRPr="006F23C5" w:rsidR="00C30466">
        <w:rPr>
          <w:szCs w:val="24"/>
        </w:rPr>
        <w:t xml:space="preserve"> </w:t>
      </w:r>
      <w:r w:rsidRPr="006F23C5">
        <w:rPr>
          <w:szCs w:val="24"/>
        </w:rPr>
        <w:t>compared to the current standard of 1</w:t>
      </w:r>
      <w:r w:rsidRPr="006F23C5" w:rsidR="00C30466">
        <w:rPr>
          <w:szCs w:val="24"/>
        </w:rPr>
        <w:t>48 minutes</w:t>
      </w:r>
      <w:r w:rsidRPr="006F23C5">
        <w:rPr>
          <w:szCs w:val="24"/>
        </w:rPr>
        <w:t>.</w:t>
      </w:r>
      <w:r>
        <w:rPr>
          <w:rStyle w:val="FootnoteReference"/>
          <w:szCs w:val="24"/>
        </w:rPr>
        <w:footnoteReference w:id="14"/>
      </w:r>
      <w:r w:rsidR="006F23C5">
        <w:rPr>
          <w:szCs w:val="24"/>
        </w:rPr>
        <w:t xml:space="preserve"> </w:t>
      </w:r>
      <w:r w:rsidRPr="006F23C5" w:rsidR="00F07A51">
        <w:rPr>
          <w:szCs w:val="24"/>
        </w:rPr>
        <w:t>That means AEP Ohio wants to increase the length of outages for consumers without violating Ohio reliability rules.</w:t>
      </w:r>
      <w:r w:rsidR="006F23C5">
        <w:rPr>
          <w:szCs w:val="24"/>
        </w:rPr>
        <w:t xml:space="preserve"> </w:t>
      </w:r>
    </w:p>
    <w:p w:rsidR="00CB59EE" w:rsidRPr="006F23C5" w:rsidP="00CB59EE" w14:paraId="4C89C1E3" w14:textId="1143F655">
      <w:pPr>
        <w:spacing w:line="480" w:lineRule="auto"/>
        <w:ind w:firstLine="720"/>
        <w:rPr>
          <w:szCs w:val="24"/>
        </w:rPr>
      </w:pPr>
      <w:r w:rsidRPr="006F23C5">
        <w:rPr>
          <w:szCs w:val="24"/>
        </w:rPr>
        <w:t xml:space="preserve">If </w:t>
      </w:r>
      <w:r w:rsidRPr="006F23C5" w:rsidR="007F13A8">
        <w:rPr>
          <w:szCs w:val="24"/>
        </w:rPr>
        <w:t>AEP Ohio’s proposals</w:t>
      </w:r>
      <w:r w:rsidRPr="006F23C5">
        <w:rPr>
          <w:szCs w:val="24"/>
        </w:rPr>
        <w:t xml:space="preserve"> were approved, AE</w:t>
      </w:r>
      <w:r w:rsidRPr="006F23C5" w:rsidR="000719AA">
        <w:rPr>
          <w:szCs w:val="24"/>
        </w:rPr>
        <w:t xml:space="preserve">P Ohio </w:t>
      </w:r>
      <w:r w:rsidRPr="006F23C5">
        <w:rPr>
          <w:szCs w:val="24"/>
        </w:rPr>
        <w:t xml:space="preserve">residential consumers </w:t>
      </w:r>
      <w:r w:rsidRPr="006F23C5" w:rsidR="006068A3">
        <w:rPr>
          <w:szCs w:val="24"/>
        </w:rPr>
        <w:t xml:space="preserve">will </w:t>
      </w:r>
      <w:r w:rsidRPr="006F23C5">
        <w:rPr>
          <w:szCs w:val="24"/>
        </w:rPr>
        <w:t xml:space="preserve">be subjected to over </w:t>
      </w:r>
      <w:r w:rsidRPr="006F23C5" w:rsidR="005327D8">
        <w:rPr>
          <w:szCs w:val="24"/>
        </w:rPr>
        <w:t>10</w:t>
      </w:r>
      <w:r w:rsidRPr="006F23C5">
        <w:rPr>
          <w:szCs w:val="24"/>
        </w:rPr>
        <w:t xml:space="preserve"> percent more interruptions on average than what the PUCO currently considers acceptable. And under the AE</w:t>
      </w:r>
      <w:r w:rsidRPr="006F23C5" w:rsidR="005327D8">
        <w:rPr>
          <w:szCs w:val="24"/>
        </w:rPr>
        <w:t xml:space="preserve">P Ohio </w:t>
      </w:r>
      <w:r w:rsidRPr="006F23C5">
        <w:rPr>
          <w:szCs w:val="24"/>
        </w:rPr>
        <w:t>proposal</w:t>
      </w:r>
      <w:r w:rsidRPr="006F23C5" w:rsidR="007F13A8">
        <w:rPr>
          <w:szCs w:val="24"/>
        </w:rPr>
        <w:t>s</w:t>
      </w:r>
      <w:r w:rsidRPr="006F23C5">
        <w:rPr>
          <w:szCs w:val="24"/>
        </w:rPr>
        <w:t>, AE</w:t>
      </w:r>
      <w:r w:rsidRPr="006F23C5" w:rsidR="005327D8">
        <w:rPr>
          <w:szCs w:val="24"/>
        </w:rPr>
        <w:t>P</w:t>
      </w:r>
      <w:r w:rsidRPr="006F23C5" w:rsidR="007F13A8">
        <w:rPr>
          <w:szCs w:val="24"/>
        </w:rPr>
        <w:t xml:space="preserve"> Ohio</w:t>
      </w:r>
      <w:r w:rsidRPr="006F23C5" w:rsidR="005327D8">
        <w:rPr>
          <w:szCs w:val="24"/>
        </w:rPr>
        <w:t xml:space="preserve"> </w:t>
      </w:r>
      <w:r w:rsidRPr="006F23C5">
        <w:rPr>
          <w:szCs w:val="24"/>
        </w:rPr>
        <w:t xml:space="preserve">residential consumers </w:t>
      </w:r>
      <w:r w:rsidRPr="006F23C5" w:rsidR="006068A3">
        <w:rPr>
          <w:szCs w:val="24"/>
        </w:rPr>
        <w:t xml:space="preserve">will </w:t>
      </w:r>
      <w:r w:rsidRPr="006F23C5">
        <w:rPr>
          <w:szCs w:val="24"/>
        </w:rPr>
        <w:t>be subjected to outage durations that are 1</w:t>
      </w:r>
      <w:r w:rsidRPr="006F23C5" w:rsidR="005327D8">
        <w:rPr>
          <w:szCs w:val="24"/>
        </w:rPr>
        <w:t xml:space="preserve">0 minutes </w:t>
      </w:r>
      <w:r w:rsidRPr="006F23C5">
        <w:rPr>
          <w:szCs w:val="24"/>
        </w:rPr>
        <w:t xml:space="preserve">longer </w:t>
      </w:r>
      <w:r w:rsidRPr="006F23C5" w:rsidR="006068A3">
        <w:rPr>
          <w:szCs w:val="24"/>
        </w:rPr>
        <w:t xml:space="preserve">per interruption </w:t>
      </w:r>
      <w:r w:rsidRPr="006F23C5">
        <w:rPr>
          <w:szCs w:val="24"/>
        </w:rPr>
        <w:t xml:space="preserve">on average than what the PUCO would currently consider acceptable. </w:t>
      </w:r>
    </w:p>
    <w:p w:rsidR="00CB59EE" w:rsidRPr="006F23C5" w:rsidP="00CB59EE" w14:paraId="5BE00C3C" w14:textId="09BE7D7D">
      <w:pPr>
        <w:spacing w:line="480" w:lineRule="auto"/>
        <w:ind w:firstLine="720"/>
        <w:rPr>
          <w:szCs w:val="24"/>
        </w:rPr>
      </w:pPr>
      <w:r w:rsidRPr="006F23C5">
        <w:rPr>
          <w:szCs w:val="24"/>
        </w:rPr>
        <w:t>The</w:t>
      </w:r>
      <w:r w:rsidRPr="006F23C5" w:rsidR="00852D5D">
        <w:rPr>
          <w:szCs w:val="24"/>
        </w:rPr>
        <w:t xml:space="preserve"> PUCO should protect consumers against the </w:t>
      </w:r>
      <w:r w:rsidRPr="006F23C5" w:rsidR="003D16E5">
        <w:rPr>
          <w:szCs w:val="24"/>
        </w:rPr>
        <w:t xml:space="preserve">further </w:t>
      </w:r>
      <w:r w:rsidRPr="006F23C5" w:rsidR="00894F54">
        <w:rPr>
          <w:szCs w:val="24"/>
        </w:rPr>
        <w:t xml:space="preserve">less reliable service </w:t>
      </w:r>
      <w:r w:rsidRPr="006F23C5" w:rsidR="00852D5D">
        <w:rPr>
          <w:szCs w:val="24"/>
        </w:rPr>
        <w:t>that AE</w:t>
      </w:r>
      <w:r w:rsidRPr="006F23C5" w:rsidR="003A4118">
        <w:rPr>
          <w:szCs w:val="24"/>
        </w:rPr>
        <w:t xml:space="preserve">P Ohio </w:t>
      </w:r>
      <w:r w:rsidRPr="006F23C5" w:rsidR="00852D5D">
        <w:rPr>
          <w:szCs w:val="24"/>
        </w:rPr>
        <w:t xml:space="preserve">is seeking to provide </w:t>
      </w:r>
      <w:r w:rsidRPr="006F23C5" w:rsidR="003D16E5">
        <w:rPr>
          <w:szCs w:val="24"/>
        </w:rPr>
        <w:t>consumers</w:t>
      </w:r>
      <w:r w:rsidRPr="006F23C5" w:rsidR="008E1882">
        <w:rPr>
          <w:szCs w:val="24"/>
        </w:rPr>
        <w:t>.</w:t>
      </w:r>
      <w:r w:rsidRPr="006F23C5">
        <w:rPr>
          <w:rStyle w:val="FootnoteReference"/>
          <w:szCs w:val="24"/>
        </w:rPr>
        <w:t xml:space="preserve"> </w:t>
      </w:r>
      <w:r>
        <w:rPr>
          <w:rStyle w:val="FootnoteReference"/>
          <w:szCs w:val="24"/>
        </w:rPr>
        <w:footnoteReference w:id="15"/>
      </w:r>
      <w:r w:rsidRPr="006F23C5" w:rsidR="008E1882">
        <w:rPr>
          <w:szCs w:val="24"/>
        </w:rPr>
        <w:t xml:space="preserve"> The PUCO</w:t>
      </w:r>
      <w:r w:rsidRPr="006F23C5" w:rsidR="00852D5D">
        <w:rPr>
          <w:szCs w:val="24"/>
        </w:rPr>
        <w:t xml:space="preserve"> </w:t>
      </w:r>
      <w:r w:rsidRPr="006F23C5" w:rsidR="008E1882">
        <w:rPr>
          <w:szCs w:val="24"/>
        </w:rPr>
        <w:t xml:space="preserve">should </w:t>
      </w:r>
      <w:r w:rsidRPr="006F23C5" w:rsidR="00852D5D">
        <w:rPr>
          <w:szCs w:val="24"/>
        </w:rPr>
        <w:t xml:space="preserve">find that </w:t>
      </w:r>
      <w:r w:rsidRPr="006F23C5" w:rsidR="008E1882">
        <w:rPr>
          <w:szCs w:val="24"/>
        </w:rPr>
        <w:t xml:space="preserve">AEP Ohio’s </w:t>
      </w:r>
      <w:r w:rsidRPr="006F23C5" w:rsidR="00852D5D">
        <w:rPr>
          <w:szCs w:val="24"/>
        </w:rPr>
        <w:t>proposed SAIFI and CAIDI reliability standards are unjust and unreasonable.</w:t>
      </w:r>
      <w:r>
        <w:rPr>
          <w:rStyle w:val="FootnoteReference"/>
          <w:szCs w:val="24"/>
        </w:rPr>
        <w:footnoteReference w:id="16"/>
      </w:r>
      <w:r w:rsidRPr="006F23C5" w:rsidR="00852D5D">
        <w:rPr>
          <w:szCs w:val="24"/>
        </w:rPr>
        <w:t xml:space="preserve"> </w:t>
      </w:r>
      <w:r w:rsidRPr="006F23C5" w:rsidR="00DE0521">
        <w:rPr>
          <w:szCs w:val="24"/>
        </w:rPr>
        <w:t xml:space="preserve">Since the amended application was filed </w:t>
      </w:r>
      <w:r w:rsidRPr="006F23C5" w:rsidR="008E1882">
        <w:rPr>
          <w:szCs w:val="24"/>
        </w:rPr>
        <w:t>before</w:t>
      </w:r>
      <w:r w:rsidRPr="006F23C5" w:rsidR="00DE0521">
        <w:rPr>
          <w:szCs w:val="24"/>
        </w:rPr>
        <w:t xml:space="preserve"> the June 2022 AEP Ohio power outages, the PUCO should schedule public hearings as previously recommended by OCC and others </w:t>
      </w:r>
      <w:r w:rsidRPr="006F23C5" w:rsidR="00347E5F">
        <w:rPr>
          <w:szCs w:val="24"/>
        </w:rPr>
        <w:t xml:space="preserve">as part of its on-going investigation </w:t>
      </w:r>
      <w:r w:rsidRPr="006F23C5" w:rsidR="00DE0521">
        <w:rPr>
          <w:szCs w:val="24"/>
        </w:rPr>
        <w:t xml:space="preserve">to </w:t>
      </w:r>
      <w:r w:rsidRPr="006F23C5" w:rsidR="00347E5F">
        <w:rPr>
          <w:szCs w:val="24"/>
        </w:rPr>
        <w:t xml:space="preserve">obtain public input on the reliability standards. </w:t>
      </w:r>
      <w:r w:rsidRPr="006F23C5" w:rsidR="00874AB4">
        <w:rPr>
          <w:szCs w:val="24"/>
        </w:rPr>
        <w:t xml:space="preserve">This is extremely important because </w:t>
      </w:r>
      <w:r w:rsidRPr="006F23C5" w:rsidR="00FA1AFB">
        <w:rPr>
          <w:szCs w:val="24"/>
        </w:rPr>
        <w:t xml:space="preserve">the PUCO rules require consideration of consumer </w:t>
      </w:r>
      <w:r w:rsidRPr="006F23C5" w:rsidR="005A56F9">
        <w:rPr>
          <w:szCs w:val="24"/>
        </w:rPr>
        <w:t xml:space="preserve">perceptions </w:t>
      </w:r>
      <w:r w:rsidRPr="006F23C5" w:rsidR="00FA1AFB">
        <w:rPr>
          <w:szCs w:val="24"/>
        </w:rPr>
        <w:t>in the establishment of reliability standards</w:t>
      </w:r>
      <w:r w:rsidRPr="006F23C5">
        <w:rPr>
          <w:szCs w:val="24"/>
        </w:rPr>
        <w:t>.</w:t>
      </w:r>
      <w:r>
        <w:rPr>
          <w:rStyle w:val="FootnoteReference"/>
          <w:szCs w:val="24"/>
        </w:rPr>
        <w:footnoteReference w:id="17"/>
      </w:r>
      <w:r w:rsidRPr="006F23C5" w:rsidR="00FA1AFB">
        <w:rPr>
          <w:szCs w:val="24"/>
        </w:rPr>
        <w:t xml:space="preserve"> </w:t>
      </w:r>
      <w:r w:rsidRPr="006F23C5">
        <w:rPr>
          <w:szCs w:val="24"/>
        </w:rPr>
        <w:t>T</w:t>
      </w:r>
      <w:r w:rsidRPr="006F23C5" w:rsidR="00FA1AFB">
        <w:rPr>
          <w:szCs w:val="24"/>
        </w:rPr>
        <w:t xml:space="preserve">he timing of the AEP Ohio application, the severity of the impact that the June 2022 outages had on consumers, and the yet to be provided specific details regarding the causes </w:t>
      </w:r>
      <w:r w:rsidRPr="006F23C5" w:rsidR="00062997">
        <w:rPr>
          <w:szCs w:val="24"/>
        </w:rPr>
        <w:t xml:space="preserve">and impact </w:t>
      </w:r>
      <w:r w:rsidRPr="006F23C5" w:rsidR="00BF5AA2">
        <w:rPr>
          <w:szCs w:val="24"/>
        </w:rPr>
        <w:t>of</w:t>
      </w:r>
      <w:r w:rsidRPr="006F23C5" w:rsidR="00FA1AFB">
        <w:rPr>
          <w:szCs w:val="24"/>
        </w:rPr>
        <w:t xml:space="preserve"> the June 2022 outages </w:t>
      </w:r>
      <w:r w:rsidRPr="006F23C5" w:rsidR="00874AB4">
        <w:rPr>
          <w:szCs w:val="24"/>
        </w:rPr>
        <w:t>leave</w:t>
      </w:r>
      <w:r w:rsidRPr="006F23C5" w:rsidR="00062997">
        <w:rPr>
          <w:szCs w:val="24"/>
        </w:rPr>
        <w:t>s</w:t>
      </w:r>
      <w:r w:rsidRPr="006F23C5" w:rsidR="00874AB4">
        <w:rPr>
          <w:szCs w:val="24"/>
        </w:rPr>
        <w:t xml:space="preserve"> doubt regarding the appropriateness of the proposed 2022 standards. </w:t>
      </w:r>
      <w:r w:rsidRPr="006F23C5" w:rsidR="00347E5F">
        <w:rPr>
          <w:szCs w:val="24"/>
        </w:rPr>
        <w:t>Further, t</w:t>
      </w:r>
      <w:r w:rsidRPr="006F23C5" w:rsidR="003D16E5">
        <w:rPr>
          <w:szCs w:val="24"/>
        </w:rPr>
        <w:t xml:space="preserve">he </w:t>
      </w:r>
      <w:r w:rsidRPr="006F23C5" w:rsidR="00852D5D">
        <w:rPr>
          <w:szCs w:val="24"/>
        </w:rPr>
        <w:t>PUCO should schedule this matter for a</w:t>
      </w:r>
      <w:r w:rsidRPr="006F23C5" w:rsidR="00026CC1">
        <w:rPr>
          <w:szCs w:val="24"/>
        </w:rPr>
        <w:t xml:space="preserve"> </w:t>
      </w:r>
      <w:r w:rsidRPr="006F23C5" w:rsidR="00852D5D">
        <w:rPr>
          <w:szCs w:val="24"/>
        </w:rPr>
        <w:t>hearing</w:t>
      </w:r>
      <w:r w:rsidRPr="006F23C5" w:rsidR="006068A3">
        <w:rPr>
          <w:szCs w:val="24"/>
        </w:rPr>
        <w:t xml:space="preserve"> to </w:t>
      </w:r>
      <w:r w:rsidRPr="006F23C5" w:rsidR="00761E8A">
        <w:rPr>
          <w:szCs w:val="24"/>
        </w:rPr>
        <w:t xml:space="preserve">allow parties </w:t>
      </w:r>
      <w:r w:rsidRPr="006F23C5" w:rsidR="00347E5F">
        <w:rPr>
          <w:szCs w:val="24"/>
        </w:rPr>
        <w:t xml:space="preserve">in the proceeding </w:t>
      </w:r>
      <w:r w:rsidRPr="006F23C5" w:rsidR="00761E8A">
        <w:rPr>
          <w:szCs w:val="24"/>
        </w:rPr>
        <w:t xml:space="preserve">to submit evidence and </w:t>
      </w:r>
      <w:r w:rsidRPr="006F23C5" w:rsidR="006068A3">
        <w:rPr>
          <w:szCs w:val="24"/>
        </w:rPr>
        <w:t xml:space="preserve">develop a full </w:t>
      </w:r>
      <w:r w:rsidRPr="006F23C5" w:rsidR="0053658D">
        <w:rPr>
          <w:szCs w:val="24"/>
        </w:rPr>
        <w:t xml:space="preserve">evidentiary </w:t>
      </w:r>
      <w:r w:rsidRPr="006F23C5" w:rsidR="006068A3">
        <w:rPr>
          <w:szCs w:val="24"/>
        </w:rPr>
        <w:t>record</w:t>
      </w:r>
      <w:r w:rsidRPr="006F23C5" w:rsidR="00761E8A">
        <w:rPr>
          <w:szCs w:val="24"/>
        </w:rPr>
        <w:t xml:space="preserve"> </w:t>
      </w:r>
      <w:r w:rsidRPr="006F23C5" w:rsidR="008E1882">
        <w:rPr>
          <w:szCs w:val="24"/>
        </w:rPr>
        <w:t>i</w:t>
      </w:r>
      <w:r w:rsidRPr="006F23C5" w:rsidR="00761E8A">
        <w:rPr>
          <w:szCs w:val="24"/>
        </w:rPr>
        <w:t>n this matter of critical importan</w:t>
      </w:r>
      <w:r w:rsidRPr="006F23C5" w:rsidR="00A55F94">
        <w:rPr>
          <w:szCs w:val="24"/>
        </w:rPr>
        <w:t xml:space="preserve">ce </w:t>
      </w:r>
      <w:r w:rsidRPr="006F23C5" w:rsidR="00761E8A">
        <w:rPr>
          <w:szCs w:val="24"/>
        </w:rPr>
        <w:t xml:space="preserve">to </w:t>
      </w:r>
      <w:r w:rsidRPr="006F23C5" w:rsidR="003D16E5">
        <w:rPr>
          <w:szCs w:val="24"/>
        </w:rPr>
        <w:t xml:space="preserve">residential consumers </w:t>
      </w:r>
      <w:r w:rsidRPr="006F23C5" w:rsidR="00761E8A">
        <w:rPr>
          <w:szCs w:val="24"/>
        </w:rPr>
        <w:t>served by AE</w:t>
      </w:r>
      <w:r w:rsidRPr="006F23C5" w:rsidR="003D16E5">
        <w:rPr>
          <w:szCs w:val="24"/>
        </w:rPr>
        <w:t>P Ohio</w:t>
      </w:r>
      <w:r w:rsidRPr="006F23C5" w:rsidR="00852D5D">
        <w:rPr>
          <w:szCs w:val="24"/>
        </w:rPr>
        <w:t>.</w:t>
      </w:r>
      <w:r>
        <w:rPr>
          <w:rStyle w:val="FootnoteReference"/>
          <w:szCs w:val="24"/>
        </w:rPr>
        <w:footnoteReference w:id="18"/>
      </w:r>
      <w:r w:rsidRPr="006F23C5" w:rsidR="00301D38">
        <w:rPr>
          <w:szCs w:val="24"/>
        </w:rPr>
        <w:t xml:space="preserve"> </w:t>
      </w:r>
    </w:p>
    <w:p w:rsidR="0031635E" w:rsidRPr="006F23C5" w:rsidP="0031635E" w14:paraId="2F50AE57" w14:textId="4A2BB377">
      <w:pPr>
        <w:pStyle w:val="Heading2"/>
        <w:numPr>
          <w:ilvl w:val="0"/>
          <w:numId w:val="11"/>
        </w:numPr>
        <w:ind w:left="1440" w:hanging="720"/>
        <w:rPr>
          <w:szCs w:val="24"/>
        </w:rPr>
      </w:pPr>
      <w:bookmarkStart w:id="7" w:name="_Toc98246280"/>
      <w:bookmarkStart w:id="8" w:name="_Toc99360703"/>
      <w:bookmarkStart w:id="9" w:name="_Toc115271111"/>
      <w:r w:rsidRPr="006F23C5">
        <w:rPr>
          <w:szCs w:val="24"/>
        </w:rPr>
        <w:t>Current Reliability Performance</w:t>
      </w:r>
      <w:bookmarkEnd w:id="7"/>
      <w:r w:rsidRPr="006F23C5">
        <w:rPr>
          <w:szCs w:val="24"/>
        </w:rPr>
        <w:t xml:space="preserve"> </w:t>
      </w:r>
      <w:r w:rsidRPr="006F23C5" w:rsidR="00761E8A">
        <w:rPr>
          <w:szCs w:val="24"/>
        </w:rPr>
        <w:t>Standards</w:t>
      </w:r>
      <w:bookmarkEnd w:id="8"/>
      <w:r w:rsidRPr="006F23C5" w:rsidR="009958C8">
        <w:rPr>
          <w:szCs w:val="24"/>
        </w:rPr>
        <w:t>.</w:t>
      </w:r>
      <w:bookmarkEnd w:id="9"/>
    </w:p>
    <w:p w:rsidR="00A55F94" w:rsidRPr="006F23C5" w:rsidP="0031635E" w14:paraId="084B1540" w14:textId="77777777">
      <w:pPr>
        <w:pStyle w:val="ListParagraph"/>
        <w:spacing w:line="480" w:lineRule="auto"/>
        <w:ind w:left="0" w:firstLine="720"/>
      </w:pPr>
      <w:r w:rsidRPr="006F23C5">
        <w:t xml:space="preserve">AEP Ohio’s </w:t>
      </w:r>
      <w:r w:rsidRPr="006F23C5" w:rsidR="00852D5D">
        <w:t>current reliability standards were approved by the PUCO in 201</w:t>
      </w:r>
      <w:r w:rsidRPr="006F23C5" w:rsidR="00132D38">
        <w:t>8</w:t>
      </w:r>
      <w:r w:rsidRPr="006F23C5" w:rsidR="00852D5D">
        <w:t>.</w:t>
      </w:r>
      <w:r>
        <w:rPr>
          <w:rStyle w:val="FootnoteReference"/>
        </w:rPr>
        <w:footnoteReference w:id="19"/>
      </w:r>
      <w:r w:rsidRPr="006F23C5" w:rsidR="00852D5D">
        <w:t xml:space="preserve"> </w:t>
      </w:r>
      <w:r w:rsidRPr="006F23C5" w:rsidR="00132D38">
        <w:t xml:space="preserve">Under a settlement </w:t>
      </w:r>
      <w:r w:rsidRPr="006F23C5" w:rsidR="00540588">
        <w:t xml:space="preserve">approved in that </w:t>
      </w:r>
      <w:r w:rsidRPr="006F23C5" w:rsidR="00132D38">
        <w:t xml:space="preserve">case, </w:t>
      </w:r>
      <w:r w:rsidRPr="006F23C5" w:rsidR="00852D5D">
        <w:t>AE</w:t>
      </w:r>
      <w:r w:rsidRPr="006F23C5" w:rsidR="00132D38">
        <w:t xml:space="preserve">P Ohio </w:t>
      </w:r>
      <w:r w:rsidRPr="006F23C5" w:rsidR="00852D5D">
        <w:t xml:space="preserve">was required to file </w:t>
      </w:r>
      <w:r w:rsidRPr="006F23C5" w:rsidR="00132D38">
        <w:t>an application to establish new reliability performance standards by June 1,</w:t>
      </w:r>
      <w:r w:rsidRPr="006F23C5" w:rsidR="008E1882">
        <w:t xml:space="preserve"> </w:t>
      </w:r>
      <w:r w:rsidRPr="006F23C5" w:rsidR="00132D38">
        <w:t xml:space="preserve">2020 that would apply </w:t>
      </w:r>
      <w:r w:rsidRPr="006F23C5" w:rsidR="008E1882">
        <w:t xml:space="preserve">in </w:t>
      </w:r>
      <w:r w:rsidRPr="006F23C5" w:rsidR="00132D38">
        <w:t>2021 and beyond.</w:t>
      </w:r>
      <w:r>
        <w:rPr>
          <w:rStyle w:val="FootnoteReference"/>
        </w:rPr>
        <w:footnoteReference w:id="20"/>
      </w:r>
      <w:r w:rsidRPr="006F23C5" w:rsidR="00132D38">
        <w:t xml:space="preserve"> </w:t>
      </w:r>
      <w:r w:rsidRPr="006F23C5" w:rsidR="00325C4E">
        <w:t xml:space="preserve">The proceeding was stayed pending </w:t>
      </w:r>
      <w:r w:rsidRPr="006F23C5" w:rsidR="00852D5D">
        <w:t xml:space="preserve">changes that were </w:t>
      </w:r>
      <w:r w:rsidRPr="006F23C5" w:rsidR="002C4F3B">
        <w:t xml:space="preserve">proposed and later adopted </w:t>
      </w:r>
      <w:r w:rsidRPr="006F23C5" w:rsidR="00852D5D">
        <w:t>by the PUCO in the Electric Service and Safety Standards</w:t>
      </w:r>
      <w:r w:rsidRPr="006F23C5" w:rsidR="00761E8A">
        <w:t>.</w:t>
      </w:r>
      <w:r>
        <w:rPr>
          <w:rStyle w:val="FootnoteReference"/>
        </w:rPr>
        <w:footnoteReference w:id="21"/>
      </w:r>
    </w:p>
    <w:p w:rsidR="0031635E" w:rsidRPr="006F23C5" w:rsidP="0031635E" w14:paraId="4FECCB4A" w14:textId="46F19AFD">
      <w:pPr>
        <w:pStyle w:val="ListParagraph"/>
        <w:spacing w:line="480" w:lineRule="auto"/>
        <w:ind w:left="0" w:firstLine="720"/>
      </w:pPr>
      <w:r w:rsidRPr="006F23C5">
        <w:t xml:space="preserve"> </w:t>
      </w:r>
      <w:r w:rsidRPr="006F23C5" w:rsidR="00761E8A">
        <w:t xml:space="preserve">Specifically, the new </w:t>
      </w:r>
      <w:r w:rsidRPr="006F23C5" w:rsidR="00E35324">
        <w:t xml:space="preserve">minimum </w:t>
      </w:r>
      <w:r w:rsidRPr="006F23C5" w:rsidR="00C2437B">
        <w:t xml:space="preserve">electric </w:t>
      </w:r>
      <w:r w:rsidRPr="006F23C5" w:rsidR="00E35324">
        <w:t xml:space="preserve">service standards </w:t>
      </w:r>
      <w:r w:rsidRPr="006F23C5" w:rsidR="00852D5D">
        <w:t xml:space="preserve">redefined how the major event day (“MED”) threshold </w:t>
      </w:r>
      <w:r w:rsidRPr="006F23C5" w:rsidR="00E35324">
        <w:t xml:space="preserve">calculations </w:t>
      </w:r>
      <w:r w:rsidRPr="006F23C5" w:rsidR="00852D5D">
        <w:t xml:space="preserve">will be </w:t>
      </w:r>
      <w:r w:rsidRPr="006F23C5" w:rsidR="00E35324">
        <w:t>performed</w:t>
      </w:r>
      <w:r w:rsidRPr="006F23C5" w:rsidR="00852D5D">
        <w:t>.</w:t>
      </w:r>
      <w:r>
        <w:rPr>
          <w:rStyle w:val="FootnoteReference"/>
        </w:rPr>
        <w:footnoteReference w:id="22"/>
      </w:r>
      <w:r w:rsidRPr="006F23C5" w:rsidR="00737171">
        <w:t xml:space="preserve"> </w:t>
      </w:r>
      <w:r w:rsidRPr="006F23C5" w:rsidR="00852D5D">
        <w:t>Transmission</w:t>
      </w:r>
      <w:r w:rsidRPr="006F23C5" w:rsidR="00C2437B">
        <w:t xml:space="preserve"> related </w:t>
      </w:r>
      <w:r w:rsidRPr="006F23C5" w:rsidR="00852D5D">
        <w:t xml:space="preserve">outages that were previously </w:t>
      </w:r>
      <w:r w:rsidRPr="006F23C5" w:rsidR="00852D5D">
        <w:rPr>
          <w:i/>
          <w:iCs/>
        </w:rPr>
        <w:t>excluded</w:t>
      </w:r>
      <w:r w:rsidRPr="006F23C5" w:rsidR="00852D5D">
        <w:t xml:space="preserve"> from the calculations used in determining what constitutes the major event day are now </w:t>
      </w:r>
      <w:r w:rsidRPr="006F23C5" w:rsidR="00852D5D">
        <w:rPr>
          <w:i/>
          <w:iCs/>
        </w:rPr>
        <w:t>included</w:t>
      </w:r>
      <w:r w:rsidRPr="006F23C5" w:rsidR="00852D5D">
        <w:t>.</w:t>
      </w:r>
      <w:r>
        <w:rPr>
          <w:rStyle w:val="FootnoteReference"/>
        </w:rPr>
        <w:footnoteReference w:id="23"/>
      </w:r>
      <w:r w:rsidRPr="006F23C5" w:rsidR="00852D5D">
        <w:t xml:space="preserve"> The PUCO made th</w:t>
      </w:r>
      <w:r w:rsidRPr="006F23C5" w:rsidR="00761E8A">
        <w:t xml:space="preserve">ese </w:t>
      </w:r>
      <w:r w:rsidRPr="006F23C5" w:rsidR="00852D5D">
        <w:t>revision</w:t>
      </w:r>
      <w:r w:rsidRPr="006F23C5" w:rsidR="00761E8A">
        <w:t>s</w:t>
      </w:r>
      <w:r w:rsidRPr="006F23C5" w:rsidR="00852D5D">
        <w:t xml:space="preserve"> in the rules to better align Ohio’s definition with the definitions adopted by the Institute of Electrical and Electronic Engineers (“IEEE”). Changing the definition required </w:t>
      </w:r>
      <w:r w:rsidRPr="006F23C5" w:rsidR="00026CC1">
        <w:t xml:space="preserve">AEP Ohio to amend its application </w:t>
      </w:r>
      <w:r w:rsidRPr="006F23C5" w:rsidR="00D2121A">
        <w:t>for establishing new reliability standards for 2022 (and beyond</w:t>
      </w:r>
      <w:r w:rsidRPr="006F23C5" w:rsidR="00852D5D">
        <w:t>.</w:t>
      </w:r>
      <w:r>
        <w:rPr>
          <w:rStyle w:val="FootnoteReference"/>
        </w:rPr>
        <w:footnoteReference w:id="24"/>
      </w:r>
      <w:r w:rsidRPr="006F23C5">
        <w:t xml:space="preserve"> </w:t>
      </w:r>
    </w:p>
    <w:p w:rsidR="00FE0AA1" w:rsidRPr="006F23C5" w:rsidP="0031635E" w14:paraId="4A3FB74A" w14:textId="6BD47D9B">
      <w:pPr>
        <w:pStyle w:val="ListParagraph"/>
        <w:spacing w:line="480" w:lineRule="auto"/>
        <w:ind w:left="0" w:firstLine="720"/>
      </w:pPr>
      <w:r w:rsidRPr="006F23C5">
        <w:t xml:space="preserve">Table 1 provides a summary of </w:t>
      </w:r>
      <w:r w:rsidRPr="006F23C5" w:rsidR="008E1882">
        <w:t xml:space="preserve">AEP Ohio’s </w:t>
      </w:r>
      <w:r w:rsidRPr="006F23C5">
        <w:t xml:space="preserve">reliability performance as reported in its annual reliability reports since the SAIFI and CAIDI reliability standards were last established in 2013 </w:t>
      </w:r>
      <w:r w:rsidRPr="006F23C5" w:rsidR="00F84529">
        <w:t>(</w:t>
      </w:r>
      <w:r w:rsidRPr="006F23C5">
        <w:t>both including and excluding major events</w:t>
      </w:r>
      <w:r w:rsidRPr="006F23C5" w:rsidR="00F84529">
        <w:t>)</w:t>
      </w:r>
      <w:r w:rsidRPr="006F23C5">
        <w:t>.</w:t>
      </w:r>
      <w:r w:rsidRPr="006F23C5" w:rsidR="00737171">
        <w:t xml:space="preserve"> </w:t>
      </w:r>
      <w:r w:rsidRPr="006F23C5">
        <w:t xml:space="preserve">Performance during major events </w:t>
      </w:r>
      <w:r w:rsidRPr="006F23C5" w:rsidR="00F84529">
        <w:t>is</w:t>
      </w:r>
      <w:r w:rsidRPr="006F23C5">
        <w:t xml:space="preserve"> excluded from the calculations and reporting used to determine if </w:t>
      </w:r>
      <w:r w:rsidRPr="006F23C5" w:rsidR="008E1882">
        <w:t xml:space="preserve">AEP Ohio </w:t>
      </w:r>
      <w:r w:rsidRPr="006F23C5">
        <w:t>has complied with its minimum reliability performance standards.</w:t>
      </w:r>
      <w:r>
        <w:rPr>
          <w:rStyle w:val="FootnoteReference"/>
        </w:rPr>
        <w:footnoteReference w:id="25"/>
      </w:r>
      <w:r w:rsidRPr="006F23C5">
        <w:t xml:space="preserve"> </w:t>
      </w:r>
    </w:p>
    <w:p w:rsidR="0031635E" w:rsidRPr="006F23C5" w:rsidP="003E0E02" w14:paraId="271B2C01" w14:textId="11AB648A">
      <w:pPr>
        <w:jc w:val="center"/>
        <w:rPr>
          <w:b/>
          <w:bCs/>
          <w:szCs w:val="24"/>
        </w:rPr>
      </w:pPr>
      <w:r w:rsidRPr="006F23C5">
        <w:rPr>
          <w:szCs w:val="24"/>
        </w:rPr>
        <w:br w:type="page"/>
      </w:r>
      <w:r w:rsidRPr="006F23C5">
        <w:rPr>
          <w:b/>
          <w:bCs/>
          <w:szCs w:val="24"/>
        </w:rPr>
        <w:t>Table 1: AE</w:t>
      </w:r>
      <w:r w:rsidRPr="006F23C5" w:rsidR="00492842">
        <w:rPr>
          <w:b/>
          <w:bCs/>
          <w:szCs w:val="24"/>
        </w:rPr>
        <w:t>P Ohio</w:t>
      </w:r>
      <w:r w:rsidRPr="006F23C5">
        <w:rPr>
          <w:b/>
          <w:bCs/>
          <w:szCs w:val="24"/>
        </w:rPr>
        <w:t xml:space="preserve"> Reliability Performance Compared with Its </w:t>
      </w:r>
      <w:r w:rsidRPr="006F23C5" w:rsidR="00394EDE">
        <w:rPr>
          <w:b/>
          <w:bCs/>
          <w:szCs w:val="24"/>
        </w:rPr>
        <w:t xml:space="preserve">PUCO </w:t>
      </w:r>
      <w:r w:rsidRPr="006F23C5" w:rsidR="00B454D2">
        <w:rPr>
          <w:b/>
          <w:bCs/>
          <w:szCs w:val="24"/>
        </w:rPr>
        <w:t xml:space="preserve">Approved </w:t>
      </w:r>
      <w:r w:rsidRPr="006F23C5">
        <w:rPr>
          <w:b/>
          <w:bCs/>
          <w:szCs w:val="24"/>
        </w:rPr>
        <w:t>Standards</w:t>
      </w:r>
      <w:r w:rsidRPr="006F23C5" w:rsidR="00B454D2">
        <w:rPr>
          <w:b/>
          <w:bCs/>
          <w:szCs w:val="24"/>
        </w:rPr>
        <w:t xml:space="preserve"> </w:t>
      </w:r>
      <w:r w:rsidRPr="006F23C5">
        <w:rPr>
          <w:b/>
          <w:bCs/>
          <w:szCs w:val="24"/>
        </w:rPr>
        <w:t>(2013 -202</w:t>
      </w:r>
      <w:r w:rsidRPr="006F23C5" w:rsidR="00492842">
        <w:rPr>
          <w:b/>
          <w:bCs/>
          <w:szCs w:val="24"/>
        </w:rPr>
        <w:t>1</w:t>
      </w:r>
      <w:r w:rsidRPr="006F23C5">
        <w:rPr>
          <w:b/>
          <w:bCs/>
          <w:szCs w:val="24"/>
        </w:rPr>
        <w:t>)</w:t>
      </w:r>
    </w:p>
    <w:tbl>
      <w:tblPr>
        <w:tblStyle w:val="TableGrid"/>
        <w:tblW w:w="9488" w:type="dxa"/>
        <w:tblInd w:w="-275" w:type="dxa"/>
        <w:tblLook w:val="04A0"/>
      </w:tblPr>
      <w:tblGrid>
        <w:gridCol w:w="1443"/>
        <w:gridCol w:w="876"/>
        <w:gridCol w:w="925"/>
        <w:gridCol w:w="909"/>
        <w:gridCol w:w="909"/>
        <w:gridCol w:w="876"/>
        <w:gridCol w:w="876"/>
        <w:gridCol w:w="876"/>
        <w:gridCol w:w="922"/>
        <w:gridCol w:w="876"/>
      </w:tblGrid>
      <w:tr w14:paraId="3297228B" w14:textId="384E13B5" w:rsidTr="003E0E02">
        <w:tblPrEx>
          <w:tblW w:w="9488" w:type="dxa"/>
          <w:tblInd w:w="-275" w:type="dxa"/>
          <w:tblLook w:val="04A0"/>
        </w:tblPrEx>
        <w:trPr>
          <w:trHeight w:val="305"/>
        </w:trPr>
        <w:tc>
          <w:tcPr>
            <w:tcW w:w="1443" w:type="dxa"/>
          </w:tcPr>
          <w:p w:rsidR="008810F7" w:rsidRPr="006F23C5" w:rsidP="0031635E" w14:paraId="711E50E9" w14:textId="77777777">
            <w:pPr>
              <w:pStyle w:val="ListParagraph"/>
              <w:ind w:left="-14"/>
            </w:pPr>
            <w:r w:rsidRPr="006F23C5">
              <w:t>Year</w:t>
            </w:r>
          </w:p>
        </w:tc>
        <w:tc>
          <w:tcPr>
            <w:tcW w:w="876" w:type="dxa"/>
          </w:tcPr>
          <w:p w:rsidR="008810F7" w:rsidRPr="006F23C5" w:rsidP="00F81D1C" w14:paraId="7754096D" w14:textId="5BF83318">
            <w:pPr>
              <w:pStyle w:val="ListParagraph"/>
              <w:ind w:left="0"/>
              <w:jc w:val="center"/>
            </w:pPr>
            <w:r w:rsidRPr="006F23C5">
              <w:t>2013</w:t>
            </w:r>
            <w:r>
              <w:rPr>
                <w:rStyle w:val="FootnoteReference"/>
              </w:rPr>
              <w:footnoteReference w:id="26"/>
            </w:r>
          </w:p>
        </w:tc>
        <w:tc>
          <w:tcPr>
            <w:tcW w:w="925" w:type="dxa"/>
          </w:tcPr>
          <w:p w:rsidR="008810F7" w:rsidRPr="006F23C5" w:rsidP="00F81D1C" w14:paraId="6DFA85E4" w14:textId="1090D811">
            <w:pPr>
              <w:pStyle w:val="ListParagraph"/>
              <w:ind w:left="0"/>
              <w:jc w:val="center"/>
            </w:pPr>
            <w:r w:rsidRPr="006F23C5">
              <w:t>2014</w:t>
            </w:r>
            <w:r>
              <w:rPr>
                <w:rStyle w:val="FootnoteReference"/>
              </w:rPr>
              <w:footnoteReference w:id="27"/>
            </w:r>
          </w:p>
        </w:tc>
        <w:tc>
          <w:tcPr>
            <w:tcW w:w="909" w:type="dxa"/>
          </w:tcPr>
          <w:p w:rsidR="008810F7" w:rsidRPr="006F23C5" w:rsidP="00F81D1C" w14:paraId="3EEF803A" w14:textId="2D07BDDF">
            <w:pPr>
              <w:pStyle w:val="ListParagraph"/>
              <w:ind w:left="0"/>
              <w:jc w:val="center"/>
            </w:pPr>
            <w:r w:rsidRPr="006F23C5">
              <w:t>2015</w:t>
            </w:r>
            <w:r>
              <w:rPr>
                <w:rStyle w:val="FootnoteReference"/>
              </w:rPr>
              <w:footnoteReference w:id="28"/>
            </w:r>
          </w:p>
        </w:tc>
        <w:tc>
          <w:tcPr>
            <w:tcW w:w="909" w:type="dxa"/>
          </w:tcPr>
          <w:p w:rsidR="008810F7" w:rsidRPr="006F23C5" w:rsidP="00F81D1C" w14:paraId="0517096A" w14:textId="4E20560E">
            <w:pPr>
              <w:pStyle w:val="ListParagraph"/>
              <w:ind w:left="0"/>
              <w:jc w:val="center"/>
            </w:pPr>
            <w:r w:rsidRPr="006F23C5">
              <w:t>2016</w:t>
            </w:r>
            <w:r>
              <w:rPr>
                <w:rStyle w:val="FootnoteReference"/>
              </w:rPr>
              <w:footnoteReference w:id="29"/>
            </w:r>
          </w:p>
        </w:tc>
        <w:tc>
          <w:tcPr>
            <w:tcW w:w="876" w:type="dxa"/>
          </w:tcPr>
          <w:p w:rsidR="008810F7" w:rsidRPr="006F23C5" w:rsidP="00F81D1C" w14:paraId="5FD0E0E7" w14:textId="2A24A393">
            <w:pPr>
              <w:pStyle w:val="ListParagraph"/>
              <w:ind w:left="0"/>
              <w:jc w:val="center"/>
            </w:pPr>
            <w:r w:rsidRPr="006F23C5">
              <w:t>2017</w:t>
            </w:r>
            <w:r>
              <w:rPr>
                <w:rStyle w:val="FootnoteReference"/>
              </w:rPr>
              <w:footnoteReference w:id="30"/>
            </w:r>
          </w:p>
        </w:tc>
        <w:tc>
          <w:tcPr>
            <w:tcW w:w="876" w:type="dxa"/>
          </w:tcPr>
          <w:p w:rsidR="008810F7" w:rsidRPr="006F23C5" w:rsidP="00F81D1C" w14:paraId="6B50DD00" w14:textId="1F746B63">
            <w:pPr>
              <w:pStyle w:val="ListParagraph"/>
              <w:ind w:left="0"/>
              <w:jc w:val="center"/>
            </w:pPr>
            <w:r w:rsidRPr="006F23C5">
              <w:t>2018</w:t>
            </w:r>
            <w:r>
              <w:rPr>
                <w:rStyle w:val="FootnoteReference"/>
              </w:rPr>
              <w:footnoteReference w:id="31"/>
            </w:r>
          </w:p>
        </w:tc>
        <w:tc>
          <w:tcPr>
            <w:tcW w:w="876" w:type="dxa"/>
          </w:tcPr>
          <w:p w:rsidR="008810F7" w:rsidRPr="006F23C5" w:rsidP="00F81D1C" w14:paraId="183B3619" w14:textId="4206BBF7">
            <w:pPr>
              <w:pStyle w:val="ListParagraph"/>
              <w:ind w:left="0"/>
              <w:jc w:val="center"/>
            </w:pPr>
            <w:r w:rsidRPr="006F23C5">
              <w:t>2019</w:t>
            </w:r>
            <w:r>
              <w:rPr>
                <w:rStyle w:val="FootnoteReference"/>
              </w:rPr>
              <w:footnoteReference w:id="32"/>
            </w:r>
          </w:p>
        </w:tc>
        <w:tc>
          <w:tcPr>
            <w:tcW w:w="922" w:type="dxa"/>
          </w:tcPr>
          <w:p w:rsidR="008810F7" w:rsidRPr="006F23C5" w:rsidP="00F81D1C" w14:paraId="18998AC9" w14:textId="0973FC99">
            <w:pPr>
              <w:pStyle w:val="ListParagraph"/>
              <w:ind w:left="0"/>
              <w:jc w:val="center"/>
            </w:pPr>
            <w:r w:rsidRPr="006F23C5">
              <w:t>2020</w:t>
            </w:r>
            <w:r>
              <w:rPr>
                <w:rStyle w:val="FootnoteReference"/>
              </w:rPr>
              <w:footnoteReference w:id="33"/>
            </w:r>
          </w:p>
        </w:tc>
        <w:tc>
          <w:tcPr>
            <w:tcW w:w="876" w:type="dxa"/>
          </w:tcPr>
          <w:p w:rsidR="008810F7" w:rsidRPr="006F23C5" w:rsidP="00F81D1C" w14:paraId="2656D2A8" w14:textId="5AB79760">
            <w:pPr>
              <w:pStyle w:val="ListParagraph"/>
              <w:ind w:left="0"/>
              <w:jc w:val="center"/>
            </w:pPr>
            <w:r w:rsidRPr="006F23C5">
              <w:t>2021</w:t>
            </w:r>
            <w:r>
              <w:rPr>
                <w:rStyle w:val="FootnoteReference"/>
              </w:rPr>
              <w:footnoteReference w:id="34"/>
            </w:r>
          </w:p>
        </w:tc>
      </w:tr>
      <w:tr w14:paraId="58DCED52" w14:textId="6BDC50F1" w:rsidTr="003E0E02">
        <w:tblPrEx>
          <w:tblW w:w="9488" w:type="dxa"/>
          <w:tblInd w:w="-275" w:type="dxa"/>
          <w:tblLook w:val="04A0"/>
        </w:tblPrEx>
        <w:tc>
          <w:tcPr>
            <w:tcW w:w="1443" w:type="dxa"/>
          </w:tcPr>
          <w:p w:rsidR="008810F7" w:rsidRPr="006F23C5" w:rsidP="00F81D1C" w14:paraId="6B14F095" w14:textId="77777777">
            <w:pPr>
              <w:pStyle w:val="ListParagraph"/>
              <w:ind w:left="0"/>
            </w:pPr>
            <w:r w:rsidRPr="006F23C5">
              <w:t>CAIDI Standard (Minutes)</w:t>
            </w:r>
          </w:p>
        </w:tc>
        <w:tc>
          <w:tcPr>
            <w:tcW w:w="876" w:type="dxa"/>
          </w:tcPr>
          <w:p w:rsidR="008810F7" w:rsidRPr="006F23C5" w:rsidP="00F81D1C" w14:paraId="49787722" w14:textId="6EDA27FC">
            <w:pPr>
              <w:pStyle w:val="ListParagraph"/>
              <w:ind w:left="0"/>
              <w:jc w:val="center"/>
            </w:pPr>
            <w:r w:rsidRPr="006F23C5">
              <w:t>150.00</w:t>
            </w:r>
          </w:p>
        </w:tc>
        <w:tc>
          <w:tcPr>
            <w:tcW w:w="925" w:type="dxa"/>
          </w:tcPr>
          <w:p w:rsidR="008810F7" w:rsidRPr="006F23C5" w:rsidP="00F81D1C" w14:paraId="2D7F24E0" w14:textId="1307B569">
            <w:pPr>
              <w:pStyle w:val="ListParagraph"/>
              <w:ind w:left="0"/>
              <w:jc w:val="center"/>
            </w:pPr>
            <w:r w:rsidRPr="006F23C5">
              <w:t>150.00</w:t>
            </w:r>
          </w:p>
        </w:tc>
        <w:tc>
          <w:tcPr>
            <w:tcW w:w="909" w:type="dxa"/>
          </w:tcPr>
          <w:p w:rsidR="008810F7" w:rsidRPr="006F23C5" w:rsidP="00F81D1C" w14:paraId="01B670D5" w14:textId="53D268C8">
            <w:pPr>
              <w:pStyle w:val="ListParagraph"/>
              <w:ind w:left="0"/>
              <w:jc w:val="center"/>
            </w:pPr>
            <w:r w:rsidRPr="006F23C5">
              <w:t>150.00</w:t>
            </w:r>
          </w:p>
        </w:tc>
        <w:tc>
          <w:tcPr>
            <w:tcW w:w="909" w:type="dxa"/>
          </w:tcPr>
          <w:p w:rsidR="008810F7" w:rsidRPr="006F23C5" w:rsidP="00F81D1C" w14:paraId="4F134B7B" w14:textId="054E564C">
            <w:pPr>
              <w:pStyle w:val="ListParagraph"/>
              <w:ind w:left="0"/>
              <w:jc w:val="center"/>
            </w:pPr>
            <w:r w:rsidRPr="006F23C5">
              <w:t>150.00</w:t>
            </w:r>
          </w:p>
        </w:tc>
        <w:tc>
          <w:tcPr>
            <w:tcW w:w="876" w:type="dxa"/>
          </w:tcPr>
          <w:p w:rsidR="008810F7" w:rsidRPr="006F23C5" w:rsidP="00F81D1C" w14:paraId="32439F0E" w14:textId="78B8E996">
            <w:pPr>
              <w:pStyle w:val="ListParagraph"/>
              <w:ind w:left="0"/>
              <w:jc w:val="center"/>
            </w:pPr>
            <w:r w:rsidRPr="006F23C5">
              <w:t>150.00</w:t>
            </w:r>
          </w:p>
        </w:tc>
        <w:tc>
          <w:tcPr>
            <w:tcW w:w="876" w:type="dxa"/>
          </w:tcPr>
          <w:p w:rsidR="008810F7" w:rsidRPr="006F23C5" w:rsidP="00F81D1C" w14:paraId="67399FBE" w14:textId="61E9369A">
            <w:pPr>
              <w:pStyle w:val="ListParagraph"/>
              <w:ind w:left="0"/>
              <w:jc w:val="center"/>
            </w:pPr>
            <w:r w:rsidRPr="006F23C5">
              <w:t>149.00</w:t>
            </w:r>
          </w:p>
        </w:tc>
        <w:tc>
          <w:tcPr>
            <w:tcW w:w="876" w:type="dxa"/>
          </w:tcPr>
          <w:p w:rsidR="008810F7" w:rsidRPr="006F23C5" w:rsidP="00F81D1C" w14:paraId="28B23D0D" w14:textId="5CB0BF92">
            <w:pPr>
              <w:pStyle w:val="ListParagraph"/>
              <w:ind w:left="0"/>
              <w:jc w:val="center"/>
            </w:pPr>
            <w:r w:rsidRPr="006F23C5">
              <w:t>148.00</w:t>
            </w:r>
          </w:p>
        </w:tc>
        <w:tc>
          <w:tcPr>
            <w:tcW w:w="922" w:type="dxa"/>
          </w:tcPr>
          <w:p w:rsidR="008810F7" w:rsidRPr="006F23C5" w:rsidP="00F81D1C" w14:paraId="778E4F31" w14:textId="3E2D2E88">
            <w:pPr>
              <w:pStyle w:val="ListParagraph"/>
              <w:ind w:left="0"/>
              <w:jc w:val="center"/>
            </w:pPr>
            <w:r w:rsidRPr="006F23C5">
              <w:t>148.00</w:t>
            </w:r>
          </w:p>
        </w:tc>
        <w:tc>
          <w:tcPr>
            <w:tcW w:w="876" w:type="dxa"/>
          </w:tcPr>
          <w:p w:rsidR="008810F7" w:rsidRPr="006F23C5" w:rsidP="00F81D1C" w14:paraId="7E1A2C8D" w14:textId="2039A55A">
            <w:pPr>
              <w:pStyle w:val="ListParagraph"/>
              <w:ind w:left="0"/>
              <w:jc w:val="center"/>
            </w:pPr>
            <w:r w:rsidRPr="006F23C5">
              <w:t>148.00</w:t>
            </w:r>
          </w:p>
        </w:tc>
      </w:tr>
      <w:tr w14:paraId="3A31B721" w14:textId="4D2C18EE" w:rsidTr="003E0E02">
        <w:tblPrEx>
          <w:tblW w:w="9488" w:type="dxa"/>
          <w:tblInd w:w="-275" w:type="dxa"/>
          <w:tblLook w:val="04A0"/>
        </w:tblPrEx>
        <w:tc>
          <w:tcPr>
            <w:tcW w:w="1443" w:type="dxa"/>
          </w:tcPr>
          <w:p w:rsidR="008810F7" w:rsidRPr="006F23C5" w:rsidP="00F81D1C" w14:paraId="2E893536" w14:textId="77777777">
            <w:pPr>
              <w:pStyle w:val="ListParagraph"/>
              <w:ind w:left="0"/>
            </w:pPr>
            <w:r w:rsidRPr="006F23C5">
              <w:t>CAIDI Performance After Exclusion</w:t>
            </w:r>
          </w:p>
        </w:tc>
        <w:tc>
          <w:tcPr>
            <w:tcW w:w="876" w:type="dxa"/>
          </w:tcPr>
          <w:p w:rsidR="008810F7" w:rsidRPr="006F23C5" w:rsidP="00F81D1C" w14:paraId="6D3C111B" w14:textId="02F252C9">
            <w:pPr>
              <w:pStyle w:val="ListParagraph"/>
              <w:ind w:left="0"/>
              <w:jc w:val="center"/>
            </w:pPr>
            <w:r w:rsidRPr="006F23C5">
              <w:t>140.97</w:t>
            </w:r>
          </w:p>
        </w:tc>
        <w:tc>
          <w:tcPr>
            <w:tcW w:w="925" w:type="dxa"/>
          </w:tcPr>
          <w:p w:rsidR="008810F7" w:rsidRPr="006F23C5" w:rsidP="00F81D1C" w14:paraId="34692EAC" w14:textId="14C669AD">
            <w:pPr>
              <w:pStyle w:val="ListParagraph"/>
              <w:ind w:left="0"/>
              <w:jc w:val="center"/>
            </w:pPr>
            <w:r w:rsidRPr="006F23C5">
              <w:t>146.61</w:t>
            </w:r>
          </w:p>
        </w:tc>
        <w:tc>
          <w:tcPr>
            <w:tcW w:w="909" w:type="dxa"/>
          </w:tcPr>
          <w:p w:rsidR="008810F7" w:rsidRPr="006F23C5" w:rsidP="00F81D1C" w14:paraId="42304BAF" w14:textId="4BB4CB66">
            <w:pPr>
              <w:pStyle w:val="ListParagraph"/>
              <w:ind w:left="0"/>
              <w:jc w:val="center"/>
            </w:pPr>
            <w:r w:rsidRPr="006F23C5">
              <w:t>139.03</w:t>
            </w:r>
          </w:p>
        </w:tc>
        <w:tc>
          <w:tcPr>
            <w:tcW w:w="909" w:type="dxa"/>
          </w:tcPr>
          <w:p w:rsidR="008810F7" w:rsidRPr="006F23C5" w:rsidP="00F81D1C" w14:paraId="51D45230" w14:textId="28F96589">
            <w:pPr>
              <w:pStyle w:val="ListParagraph"/>
              <w:ind w:left="0"/>
              <w:jc w:val="center"/>
            </w:pPr>
            <w:r w:rsidRPr="006F23C5">
              <w:t>143.45</w:t>
            </w:r>
          </w:p>
        </w:tc>
        <w:tc>
          <w:tcPr>
            <w:tcW w:w="876" w:type="dxa"/>
          </w:tcPr>
          <w:p w:rsidR="008810F7" w:rsidRPr="006F23C5" w:rsidP="00F81D1C" w14:paraId="5961DE91" w14:textId="4EADA2EE">
            <w:pPr>
              <w:pStyle w:val="ListParagraph"/>
              <w:ind w:left="0"/>
              <w:jc w:val="center"/>
            </w:pPr>
            <w:r w:rsidRPr="006F23C5">
              <w:t>146.02</w:t>
            </w:r>
          </w:p>
        </w:tc>
        <w:tc>
          <w:tcPr>
            <w:tcW w:w="876" w:type="dxa"/>
          </w:tcPr>
          <w:p w:rsidR="008810F7" w:rsidRPr="006F23C5" w:rsidP="00F81D1C" w14:paraId="1AA4466E" w14:textId="3B1786D2">
            <w:pPr>
              <w:pStyle w:val="ListParagraph"/>
              <w:ind w:left="0"/>
              <w:jc w:val="center"/>
              <w:rPr>
                <w:b/>
                <w:bCs/>
              </w:rPr>
            </w:pPr>
            <w:r w:rsidRPr="006F23C5">
              <w:rPr>
                <w:b/>
                <w:bCs/>
              </w:rPr>
              <w:t>150.32</w:t>
            </w:r>
          </w:p>
        </w:tc>
        <w:tc>
          <w:tcPr>
            <w:tcW w:w="876" w:type="dxa"/>
          </w:tcPr>
          <w:p w:rsidR="008810F7" w:rsidRPr="006F23C5" w:rsidP="00F81D1C" w14:paraId="2B2EB710" w14:textId="661C272C">
            <w:pPr>
              <w:pStyle w:val="ListParagraph"/>
              <w:ind w:left="0"/>
              <w:jc w:val="center"/>
            </w:pPr>
            <w:r w:rsidRPr="006F23C5">
              <w:t>140.98</w:t>
            </w:r>
          </w:p>
        </w:tc>
        <w:tc>
          <w:tcPr>
            <w:tcW w:w="922" w:type="dxa"/>
          </w:tcPr>
          <w:p w:rsidR="008810F7" w:rsidRPr="006F23C5" w:rsidP="00F81D1C" w14:paraId="55B2A124" w14:textId="7C3ACA74">
            <w:pPr>
              <w:pStyle w:val="ListParagraph"/>
              <w:ind w:left="0"/>
              <w:jc w:val="center"/>
            </w:pPr>
            <w:r w:rsidRPr="006F23C5">
              <w:t>129.93</w:t>
            </w:r>
          </w:p>
        </w:tc>
        <w:tc>
          <w:tcPr>
            <w:tcW w:w="876" w:type="dxa"/>
          </w:tcPr>
          <w:p w:rsidR="008810F7" w:rsidRPr="006F23C5" w:rsidP="00F81D1C" w14:paraId="2FC5381B" w14:textId="7E99867A">
            <w:pPr>
              <w:pStyle w:val="ListParagraph"/>
              <w:ind w:left="0"/>
              <w:jc w:val="center"/>
            </w:pPr>
            <w:r w:rsidRPr="006F23C5">
              <w:t>132.13</w:t>
            </w:r>
          </w:p>
        </w:tc>
      </w:tr>
      <w:tr w14:paraId="70F0070B" w14:textId="3C062EE3" w:rsidTr="003E0E02">
        <w:tblPrEx>
          <w:tblW w:w="9488" w:type="dxa"/>
          <w:tblInd w:w="-275" w:type="dxa"/>
          <w:tblLook w:val="04A0"/>
        </w:tblPrEx>
        <w:tc>
          <w:tcPr>
            <w:tcW w:w="1443" w:type="dxa"/>
          </w:tcPr>
          <w:p w:rsidR="008810F7" w:rsidRPr="006F23C5" w:rsidP="00F81D1C" w14:paraId="204B506C" w14:textId="77777777">
            <w:pPr>
              <w:pStyle w:val="ListParagraph"/>
              <w:ind w:left="0"/>
            </w:pPr>
            <w:r w:rsidRPr="006F23C5">
              <w:t>CAIDI Performance Before Exclusion</w:t>
            </w:r>
          </w:p>
        </w:tc>
        <w:tc>
          <w:tcPr>
            <w:tcW w:w="876" w:type="dxa"/>
          </w:tcPr>
          <w:p w:rsidR="008810F7" w:rsidRPr="006F23C5" w:rsidP="00F81D1C" w14:paraId="639A9F54" w14:textId="35A7264C">
            <w:pPr>
              <w:pStyle w:val="ListParagraph"/>
              <w:ind w:left="0"/>
              <w:jc w:val="center"/>
            </w:pPr>
            <w:r w:rsidRPr="006F23C5">
              <w:t>246.03</w:t>
            </w:r>
          </w:p>
        </w:tc>
        <w:tc>
          <w:tcPr>
            <w:tcW w:w="925" w:type="dxa"/>
          </w:tcPr>
          <w:p w:rsidR="008810F7" w:rsidRPr="006F23C5" w:rsidP="00F81D1C" w14:paraId="3DDF57B2" w14:textId="2F96366B">
            <w:pPr>
              <w:pStyle w:val="ListParagraph"/>
              <w:ind w:left="0"/>
              <w:jc w:val="center"/>
            </w:pPr>
            <w:r w:rsidRPr="006F23C5">
              <w:t>159.09</w:t>
            </w:r>
          </w:p>
        </w:tc>
        <w:tc>
          <w:tcPr>
            <w:tcW w:w="909" w:type="dxa"/>
          </w:tcPr>
          <w:p w:rsidR="008810F7" w:rsidRPr="006F23C5" w:rsidP="00F81D1C" w14:paraId="3C341D02" w14:textId="17AE4A16">
            <w:pPr>
              <w:pStyle w:val="ListParagraph"/>
              <w:ind w:left="0"/>
              <w:jc w:val="center"/>
            </w:pPr>
            <w:r w:rsidRPr="006F23C5">
              <w:t>171.97</w:t>
            </w:r>
          </w:p>
        </w:tc>
        <w:tc>
          <w:tcPr>
            <w:tcW w:w="909" w:type="dxa"/>
          </w:tcPr>
          <w:p w:rsidR="008810F7" w:rsidRPr="006F23C5" w:rsidP="00F81D1C" w14:paraId="3649AB4C" w14:textId="029B1C9B">
            <w:pPr>
              <w:pStyle w:val="ListParagraph"/>
              <w:ind w:left="0"/>
              <w:jc w:val="center"/>
            </w:pPr>
            <w:r w:rsidRPr="006F23C5">
              <w:t>146.96</w:t>
            </w:r>
          </w:p>
        </w:tc>
        <w:tc>
          <w:tcPr>
            <w:tcW w:w="876" w:type="dxa"/>
          </w:tcPr>
          <w:p w:rsidR="008810F7" w:rsidRPr="006F23C5" w:rsidP="00F81D1C" w14:paraId="433D46B8" w14:textId="1DE77789">
            <w:pPr>
              <w:pStyle w:val="ListParagraph"/>
              <w:ind w:left="0"/>
              <w:jc w:val="center"/>
            </w:pPr>
            <w:r w:rsidRPr="006F23C5">
              <w:t>173.60</w:t>
            </w:r>
          </w:p>
        </w:tc>
        <w:tc>
          <w:tcPr>
            <w:tcW w:w="876" w:type="dxa"/>
          </w:tcPr>
          <w:p w:rsidR="008810F7" w:rsidRPr="006F23C5" w:rsidP="00F81D1C" w14:paraId="20CEDEF5" w14:textId="46712C6F">
            <w:pPr>
              <w:pStyle w:val="ListParagraph"/>
              <w:ind w:left="0"/>
              <w:jc w:val="center"/>
            </w:pPr>
            <w:r w:rsidRPr="006F23C5">
              <w:t>162.35</w:t>
            </w:r>
          </w:p>
        </w:tc>
        <w:tc>
          <w:tcPr>
            <w:tcW w:w="876" w:type="dxa"/>
          </w:tcPr>
          <w:p w:rsidR="008810F7" w:rsidRPr="006F23C5" w:rsidP="00F81D1C" w14:paraId="3B4C15E0" w14:textId="47B60B27">
            <w:pPr>
              <w:pStyle w:val="ListParagraph"/>
              <w:ind w:left="0"/>
              <w:jc w:val="center"/>
            </w:pPr>
            <w:r w:rsidRPr="006F23C5">
              <w:t>188.86</w:t>
            </w:r>
          </w:p>
        </w:tc>
        <w:tc>
          <w:tcPr>
            <w:tcW w:w="922" w:type="dxa"/>
          </w:tcPr>
          <w:p w:rsidR="008810F7" w:rsidRPr="006F23C5" w:rsidP="00F81D1C" w14:paraId="72B6EEC9" w14:textId="0B11F060">
            <w:pPr>
              <w:pStyle w:val="ListParagraph"/>
              <w:ind w:left="0"/>
              <w:jc w:val="center"/>
            </w:pPr>
            <w:r w:rsidRPr="006F23C5">
              <w:t>178.15</w:t>
            </w:r>
          </w:p>
        </w:tc>
        <w:tc>
          <w:tcPr>
            <w:tcW w:w="876" w:type="dxa"/>
          </w:tcPr>
          <w:p w:rsidR="008810F7" w:rsidRPr="006F23C5" w:rsidP="00F81D1C" w14:paraId="54419474" w14:textId="6A960023">
            <w:pPr>
              <w:pStyle w:val="ListParagraph"/>
              <w:ind w:left="0"/>
              <w:jc w:val="center"/>
            </w:pPr>
            <w:r w:rsidRPr="006F23C5">
              <w:t>169.30</w:t>
            </w:r>
          </w:p>
        </w:tc>
      </w:tr>
      <w:tr w14:paraId="14721141" w14:textId="72E905BF" w:rsidTr="003E0E02">
        <w:tblPrEx>
          <w:tblW w:w="9488" w:type="dxa"/>
          <w:tblInd w:w="-275" w:type="dxa"/>
          <w:tblLook w:val="04A0"/>
        </w:tblPrEx>
        <w:tc>
          <w:tcPr>
            <w:tcW w:w="1443" w:type="dxa"/>
          </w:tcPr>
          <w:p w:rsidR="008810F7" w:rsidRPr="006F23C5" w:rsidP="00F81D1C" w14:paraId="2D53B541" w14:textId="77777777">
            <w:pPr>
              <w:pStyle w:val="ListParagraph"/>
              <w:ind w:left="0"/>
            </w:pPr>
            <w:r w:rsidRPr="006F23C5">
              <w:t>SAIFI Standard</w:t>
            </w:r>
          </w:p>
        </w:tc>
        <w:tc>
          <w:tcPr>
            <w:tcW w:w="876" w:type="dxa"/>
          </w:tcPr>
          <w:p w:rsidR="008810F7" w:rsidRPr="006F23C5" w:rsidP="00F81D1C" w14:paraId="39709ED3" w14:textId="74A8578A">
            <w:pPr>
              <w:pStyle w:val="ListParagraph"/>
              <w:ind w:left="0"/>
              <w:jc w:val="center"/>
            </w:pPr>
            <w:r w:rsidRPr="006F23C5">
              <w:t>1.2</w:t>
            </w:r>
          </w:p>
        </w:tc>
        <w:tc>
          <w:tcPr>
            <w:tcW w:w="925" w:type="dxa"/>
          </w:tcPr>
          <w:p w:rsidR="008810F7" w:rsidRPr="006F23C5" w:rsidP="00F81D1C" w14:paraId="3089D61A" w14:textId="38364D7F">
            <w:pPr>
              <w:pStyle w:val="ListParagraph"/>
              <w:ind w:left="0"/>
              <w:jc w:val="center"/>
            </w:pPr>
            <w:r w:rsidRPr="006F23C5">
              <w:t>1.20</w:t>
            </w:r>
          </w:p>
        </w:tc>
        <w:tc>
          <w:tcPr>
            <w:tcW w:w="909" w:type="dxa"/>
          </w:tcPr>
          <w:p w:rsidR="008810F7" w:rsidRPr="006F23C5" w:rsidP="00F81D1C" w14:paraId="32E767EE" w14:textId="1B0E86B9">
            <w:pPr>
              <w:pStyle w:val="ListParagraph"/>
              <w:ind w:left="0"/>
              <w:jc w:val="center"/>
            </w:pPr>
            <w:r w:rsidRPr="006F23C5">
              <w:t>1.20</w:t>
            </w:r>
          </w:p>
        </w:tc>
        <w:tc>
          <w:tcPr>
            <w:tcW w:w="909" w:type="dxa"/>
          </w:tcPr>
          <w:p w:rsidR="008810F7" w:rsidRPr="006F23C5" w:rsidP="00F81D1C" w14:paraId="728AF00C" w14:textId="71158BB6">
            <w:pPr>
              <w:pStyle w:val="ListParagraph"/>
              <w:ind w:left="0"/>
              <w:jc w:val="center"/>
            </w:pPr>
            <w:r w:rsidRPr="006F23C5">
              <w:t>1.20</w:t>
            </w:r>
          </w:p>
        </w:tc>
        <w:tc>
          <w:tcPr>
            <w:tcW w:w="876" w:type="dxa"/>
          </w:tcPr>
          <w:p w:rsidR="008810F7" w:rsidRPr="006F23C5" w:rsidP="00F81D1C" w14:paraId="5727ED5A" w14:textId="12CE49CA">
            <w:pPr>
              <w:pStyle w:val="ListParagraph"/>
              <w:ind w:left="0"/>
              <w:jc w:val="center"/>
            </w:pPr>
            <w:r w:rsidRPr="006F23C5">
              <w:t>1.20</w:t>
            </w:r>
          </w:p>
        </w:tc>
        <w:tc>
          <w:tcPr>
            <w:tcW w:w="876" w:type="dxa"/>
          </w:tcPr>
          <w:p w:rsidR="008810F7" w:rsidRPr="006F23C5" w:rsidP="00F81D1C" w14:paraId="31C96C3D" w14:textId="4AA63630">
            <w:pPr>
              <w:pStyle w:val="ListParagraph"/>
              <w:ind w:left="0"/>
              <w:jc w:val="center"/>
            </w:pPr>
            <w:r w:rsidRPr="006F23C5">
              <w:t>1.19</w:t>
            </w:r>
          </w:p>
        </w:tc>
        <w:tc>
          <w:tcPr>
            <w:tcW w:w="876" w:type="dxa"/>
          </w:tcPr>
          <w:p w:rsidR="008810F7" w:rsidRPr="006F23C5" w:rsidP="00F81D1C" w14:paraId="174A3222" w14:textId="2EB3B57D">
            <w:pPr>
              <w:pStyle w:val="ListParagraph"/>
              <w:ind w:left="0"/>
              <w:jc w:val="center"/>
            </w:pPr>
            <w:r w:rsidRPr="006F23C5">
              <w:t>1.18</w:t>
            </w:r>
          </w:p>
        </w:tc>
        <w:tc>
          <w:tcPr>
            <w:tcW w:w="922" w:type="dxa"/>
          </w:tcPr>
          <w:p w:rsidR="008810F7" w:rsidRPr="006F23C5" w:rsidP="00F81D1C" w14:paraId="10156FE0" w14:textId="1BCF856D">
            <w:pPr>
              <w:pStyle w:val="ListParagraph"/>
              <w:ind w:left="0"/>
              <w:jc w:val="center"/>
            </w:pPr>
            <w:r w:rsidRPr="006F23C5">
              <w:t>1.18</w:t>
            </w:r>
          </w:p>
        </w:tc>
        <w:tc>
          <w:tcPr>
            <w:tcW w:w="876" w:type="dxa"/>
          </w:tcPr>
          <w:p w:rsidR="008810F7" w:rsidRPr="006F23C5" w:rsidP="00F81D1C" w14:paraId="708E67E5" w14:textId="1EF88AE9">
            <w:pPr>
              <w:pStyle w:val="ListParagraph"/>
              <w:ind w:left="0"/>
              <w:jc w:val="center"/>
            </w:pPr>
            <w:r w:rsidRPr="006F23C5">
              <w:t>1.18</w:t>
            </w:r>
          </w:p>
        </w:tc>
      </w:tr>
      <w:tr w14:paraId="441247F6" w14:textId="2234B19B" w:rsidTr="003E0E02">
        <w:tblPrEx>
          <w:tblW w:w="9488" w:type="dxa"/>
          <w:tblInd w:w="-275" w:type="dxa"/>
          <w:tblLook w:val="04A0"/>
        </w:tblPrEx>
        <w:tc>
          <w:tcPr>
            <w:tcW w:w="1443" w:type="dxa"/>
          </w:tcPr>
          <w:p w:rsidR="008810F7" w:rsidRPr="006F23C5" w:rsidP="00F81D1C" w14:paraId="770CA85A" w14:textId="77777777">
            <w:pPr>
              <w:pStyle w:val="ListParagraph"/>
              <w:ind w:left="0"/>
            </w:pPr>
            <w:r w:rsidRPr="006F23C5">
              <w:t xml:space="preserve">SAIFI Performance After Exclusion </w:t>
            </w:r>
          </w:p>
        </w:tc>
        <w:tc>
          <w:tcPr>
            <w:tcW w:w="876" w:type="dxa"/>
          </w:tcPr>
          <w:p w:rsidR="008810F7" w:rsidRPr="006F23C5" w:rsidP="00F81D1C" w14:paraId="094B5308" w14:textId="40F1B52B">
            <w:pPr>
              <w:pStyle w:val="ListParagraph"/>
              <w:ind w:left="0"/>
              <w:jc w:val="center"/>
            </w:pPr>
            <w:r w:rsidRPr="006F23C5">
              <w:t>1.03</w:t>
            </w:r>
          </w:p>
        </w:tc>
        <w:tc>
          <w:tcPr>
            <w:tcW w:w="925" w:type="dxa"/>
          </w:tcPr>
          <w:p w:rsidR="008810F7" w:rsidRPr="006F23C5" w:rsidP="00F81D1C" w14:paraId="29BD15B3" w14:textId="3993F872">
            <w:pPr>
              <w:pStyle w:val="ListParagraph"/>
              <w:ind w:left="0"/>
              <w:jc w:val="center"/>
            </w:pPr>
            <w:r w:rsidRPr="006F23C5">
              <w:t>1.13</w:t>
            </w:r>
          </w:p>
        </w:tc>
        <w:tc>
          <w:tcPr>
            <w:tcW w:w="909" w:type="dxa"/>
          </w:tcPr>
          <w:p w:rsidR="008810F7" w:rsidRPr="006F23C5" w:rsidP="00F81D1C" w14:paraId="55F64BEB" w14:textId="3734409E">
            <w:pPr>
              <w:pStyle w:val="ListParagraph"/>
              <w:ind w:left="0"/>
              <w:jc w:val="center"/>
            </w:pPr>
            <w:r w:rsidRPr="006F23C5">
              <w:t>1.13</w:t>
            </w:r>
          </w:p>
        </w:tc>
        <w:tc>
          <w:tcPr>
            <w:tcW w:w="909" w:type="dxa"/>
          </w:tcPr>
          <w:p w:rsidR="008810F7" w:rsidRPr="006F23C5" w:rsidP="00F81D1C" w14:paraId="64CB52AE" w14:textId="16DF7E85">
            <w:pPr>
              <w:pStyle w:val="ListParagraph"/>
              <w:ind w:left="0"/>
              <w:jc w:val="center"/>
            </w:pPr>
            <w:r w:rsidRPr="006F23C5">
              <w:t>1.08</w:t>
            </w:r>
          </w:p>
        </w:tc>
        <w:tc>
          <w:tcPr>
            <w:tcW w:w="876" w:type="dxa"/>
          </w:tcPr>
          <w:p w:rsidR="008810F7" w:rsidRPr="006F23C5" w:rsidP="00F81D1C" w14:paraId="672FD505" w14:textId="747CA0C3">
            <w:pPr>
              <w:pStyle w:val="ListParagraph"/>
              <w:ind w:left="0"/>
              <w:jc w:val="center"/>
            </w:pPr>
            <w:r w:rsidRPr="006F23C5">
              <w:t>1.15</w:t>
            </w:r>
          </w:p>
        </w:tc>
        <w:tc>
          <w:tcPr>
            <w:tcW w:w="876" w:type="dxa"/>
          </w:tcPr>
          <w:p w:rsidR="008810F7" w:rsidRPr="006F23C5" w:rsidP="00F81D1C" w14:paraId="310C0BAA" w14:textId="383FA277">
            <w:pPr>
              <w:pStyle w:val="ListParagraph"/>
              <w:ind w:left="0"/>
              <w:jc w:val="center"/>
              <w:rPr>
                <w:b/>
                <w:bCs/>
              </w:rPr>
            </w:pPr>
            <w:r w:rsidRPr="006F23C5">
              <w:rPr>
                <w:b/>
                <w:bCs/>
              </w:rPr>
              <w:t>1.30</w:t>
            </w:r>
          </w:p>
        </w:tc>
        <w:tc>
          <w:tcPr>
            <w:tcW w:w="876" w:type="dxa"/>
          </w:tcPr>
          <w:p w:rsidR="008810F7" w:rsidRPr="006F23C5" w:rsidP="00F81D1C" w14:paraId="36285359" w14:textId="3A43080A">
            <w:pPr>
              <w:pStyle w:val="ListParagraph"/>
              <w:ind w:left="0"/>
              <w:jc w:val="center"/>
              <w:rPr>
                <w:b/>
                <w:bCs/>
              </w:rPr>
            </w:pPr>
            <w:r w:rsidRPr="006F23C5">
              <w:rPr>
                <w:b/>
                <w:bCs/>
              </w:rPr>
              <w:t>1.20</w:t>
            </w:r>
          </w:p>
        </w:tc>
        <w:tc>
          <w:tcPr>
            <w:tcW w:w="922" w:type="dxa"/>
          </w:tcPr>
          <w:p w:rsidR="008810F7" w:rsidRPr="006F23C5" w:rsidP="00F81D1C" w14:paraId="1FE0C097" w14:textId="70FAD728">
            <w:pPr>
              <w:pStyle w:val="ListParagraph"/>
              <w:ind w:left="0"/>
              <w:jc w:val="center"/>
            </w:pPr>
            <w:r w:rsidRPr="006F23C5">
              <w:t>1.11</w:t>
            </w:r>
          </w:p>
        </w:tc>
        <w:tc>
          <w:tcPr>
            <w:tcW w:w="876" w:type="dxa"/>
          </w:tcPr>
          <w:p w:rsidR="008810F7" w:rsidRPr="006F23C5" w:rsidP="00F81D1C" w14:paraId="5A8E530F" w14:textId="60085310">
            <w:pPr>
              <w:pStyle w:val="ListParagraph"/>
              <w:ind w:left="0"/>
              <w:jc w:val="center"/>
            </w:pPr>
            <w:r w:rsidRPr="006F23C5">
              <w:t>1.17</w:t>
            </w:r>
          </w:p>
        </w:tc>
      </w:tr>
      <w:tr w14:paraId="347DE6F0" w14:textId="211558CB" w:rsidTr="003E0E02">
        <w:tblPrEx>
          <w:tblW w:w="9488" w:type="dxa"/>
          <w:tblInd w:w="-275" w:type="dxa"/>
          <w:tblLook w:val="04A0"/>
        </w:tblPrEx>
        <w:tc>
          <w:tcPr>
            <w:tcW w:w="1443" w:type="dxa"/>
          </w:tcPr>
          <w:p w:rsidR="008810F7" w:rsidRPr="006F23C5" w:rsidP="00F81D1C" w14:paraId="0C5F7EEA" w14:textId="77777777">
            <w:pPr>
              <w:pStyle w:val="ListParagraph"/>
              <w:ind w:left="0"/>
            </w:pPr>
            <w:r w:rsidRPr="006F23C5">
              <w:t xml:space="preserve">SAIFI Performance Before Exclusion </w:t>
            </w:r>
          </w:p>
        </w:tc>
        <w:tc>
          <w:tcPr>
            <w:tcW w:w="876" w:type="dxa"/>
          </w:tcPr>
          <w:p w:rsidR="008810F7" w:rsidRPr="006F23C5" w:rsidP="00F81D1C" w14:paraId="4A63B64C" w14:textId="1B16FD18">
            <w:pPr>
              <w:pStyle w:val="ListParagraph"/>
              <w:ind w:left="0"/>
              <w:jc w:val="center"/>
            </w:pPr>
            <w:r w:rsidRPr="006F23C5">
              <w:t>1.40</w:t>
            </w:r>
          </w:p>
        </w:tc>
        <w:tc>
          <w:tcPr>
            <w:tcW w:w="925" w:type="dxa"/>
          </w:tcPr>
          <w:p w:rsidR="008810F7" w:rsidRPr="006F23C5" w:rsidP="00F81D1C" w14:paraId="6E5565B6" w14:textId="3B358DE2">
            <w:pPr>
              <w:pStyle w:val="ListParagraph"/>
              <w:ind w:left="0"/>
              <w:jc w:val="center"/>
            </w:pPr>
            <w:r w:rsidRPr="006F23C5">
              <w:t>1.34</w:t>
            </w:r>
          </w:p>
        </w:tc>
        <w:tc>
          <w:tcPr>
            <w:tcW w:w="909" w:type="dxa"/>
          </w:tcPr>
          <w:p w:rsidR="008810F7" w:rsidRPr="006F23C5" w:rsidP="00F81D1C" w14:paraId="5D2BEABB" w14:textId="78213554">
            <w:pPr>
              <w:pStyle w:val="ListParagraph"/>
              <w:ind w:left="0"/>
              <w:jc w:val="center"/>
            </w:pPr>
            <w:r w:rsidRPr="006F23C5">
              <w:t>1.39</w:t>
            </w:r>
          </w:p>
        </w:tc>
        <w:tc>
          <w:tcPr>
            <w:tcW w:w="909" w:type="dxa"/>
          </w:tcPr>
          <w:p w:rsidR="008810F7" w:rsidRPr="006F23C5" w:rsidP="00F81D1C" w14:paraId="78D8EC42" w14:textId="59E20FF5">
            <w:pPr>
              <w:pStyle w:val="ListParagraph"/>
              <w:ind w:left="0"/>
              <w:jc w:val="center"/>
            </w:pPr>
            <w:r w:rsidRPr="006F23C5">
              <w:t>1.29</w:t>
            </w:r>
          </w:p>
        </w:tc>
        <w:tc>
          <w:tcPr>
            <w:tcW w:w="876" w:type="dxa"/>
          </w:tcPr>
          <w:p w:rsidR="008810F7" w:rsidRPr="006F23C5" w:rsidP="00F81D1C" w14:paraId="34ECA87F" w14:textId="150B95CC">
            <w:pPr>
              <w:pStyle w:val="ListParagraph"/>
              <w:ind w:left="0"/>
              <w:jc w:val="center"/>
            </w:pPr>
            <w:r w:rsidRPr="006F23C5">
              <w:t>1.47</w:t>
            </w:r>
          </w:p>
        </w:tc>
        <w:tc>
          <w:tcPr>
            <w:tcW w:w="876" w:type="dxa"/>
          </w:tcPr>
          <w:p w:rsidR="008810F7" w:rsidRPr="006F23C5" w:rsidP="00F81D1C" w14:paraId="7608E82D" w14:textId="07C4AED9">
            <w:pPr>
              <w:pStyle w:val="ListParagraph"/>
              <w:ind w:left="0"/>
              <w:jc w:val="center"/>
            </w:pPr>
            <w:r w:rsidRPr="006F23C5">
              <w:t>1.57</w:t>
            </w:r>
          </w:p>
        </w:tc>
        <w:tc>
          <w:tcPr>
            <w:tcW w:w="876" w:type="dxa"/>
          </w:tcPr>
          <w:p w:rsidR="008810F7" w:rsidRPr="006F23C5" w:rsidP="00F81D1C" w14:paraId="4EBFF098" w14:textId="3FCDA0DD">
            <w:pPr>
              <w:pStyle w:val="ListParagraph"/>
              <w:ind w:left="0"/>
              <w:jc w:val="center"/>
            </w:pPr>
            <w:r w:rsidRPr="006F23C5">
              <w:t>1.63</w:t>
            </w:r>
          </w:p>
        </w:tc>
        <w:tc>
          <w:tcPr>
            <w:tcW w:w="922" w:type="dxa"/>
          </w:tcPr>
          <w:p w:rsidR="008810F7" w:rsidRPr="006F23C5" w:rsidP="00F81D1C" w14:paraId="6E5DE75A" w14:textId="3087353A">
            <w:pPr>
              <w:pStyle w:val="ListParagraph"/>
              <w:ind w:left="0"/>
              <w:jc w:val="center"/>
            </w:pPr>
            <w:r w:rsidRPr="006F23C5">
              <w:t>1.43</w:t>
            </w:r>
          </w:p>
        </w:tc>
        <w:tc>
          <w:tcPr>
            <w:tcW w:w="876" w:type="dxa"/>
          </w:tcPr>
          <w:p w:rsidR="008810F7" w:rsidRPr="006F23C5" w:rsidP="00F81D1C" w14:paraId="4AFC1E44" w14:textId="0FBAC402">
            <w:pPr>
              <w:pStyle w:val="ListParagraph"/>
              <w:ind w:left="0"/>
              <w:jc w:val="center"/>
            </w:pPr>
            <w:r w:rsidRPr="006F23C5">
              <w:t>1.36</w:t>
            </w:r>
          </w:p>
        </w:tc>
      </w:tr>
    </w:tbl>
    <w:p w:rsidR="00273232" w:rsidRPr="006F23C5" w:rsidP="0023748D" w14:paraId="47090E70" w14:textId="4140F468">
      <w:pPr>
        <w:spacing w:line="480" w:lineRule="auto"/>
        <w:ind w:left="-90" w:firstLine="720"/>
        <w:rPr>
          <w:szCs w:val="24"/>
        </w:rPr>
      </w:pPr>
      <w:r w:rsidRPr="006F23C5">
        <w:rPr>
          <w:szCs w:val="24"/>
        </w:rPr>
        <w:t xml:space="preserve">As shown in Table 1, </w:t>
      </w:r>
      <w:r w:rsidRPr="006F23C5" w:rsidR="00F84529">
        <w:rPr>
          <w:szCs w:val="24"/>
        </w:rPr>
        <w:t>AE</w:t>
      </w:r>
      <w:r w:rsidRPr="006F23C5" w:rsidR="00394EDE">
        <w:rPr>
          <w:szCs w:val="24"/>
        </w:rPr>
        <w:t xml:space="preserve">P Ohio </w:t>
      </w:r>
      <w:r w:rsidRPr="006F23C5">
        <w:rPr>
          <w:szCs w:val="24"/>
        </w:rPr>
        <w:t xml:space="preserve">met its CAIDI standard </w:t>
      </w:r>
      <w:r w:rsidRPr="006F23C5" w:rsidR="00394EDE">
        <w:rPr>
          <w:szCs w:val="24"/>
        </w:rPr>
        <w:t>in each year between 2013 and 2021 with the exception of 2018</w:t>
      </w:r>
      <w:r w:rsidRPr="006F23C5">
        <w:rPr>
          <w:szCs w:val="24"/>
        </w:rPr>
        <w:t xml:space="preserve"> where it missed the CAIDI standard by 1.32 minutes</w:t>
      </w:r>
      <w:r w:rsidRPr="006F23C5" w:rsidR="00394EDE">
        <w:rPr>
          <w:szCs w:val="24"/>
        </w:rPr>
        <w:t>.</w:t>
      </w:r>
      <w:r w:rsidRPr="006F23C5">
        <w:rPr>
          <w:szCs w:val="24"/>
        </w:rPr>
        <w:t xml:space="preserve"> Table 1 also shows that AEP Ohio met its SAIFI standard in each year between 2013 and 2021 with the exception of 2018 and 2019. In those two years, AEP </w:t>
      </w:r>
      <w:r w:rsidRPr="006F23C5" w:rsidR="004270B1">
        <w:rPr>
          <w:szCs w:val="24"/>
        </w:rPr>
        <w:t xml:space="preserve">Ohio </w:t>
      </w:r>
      <w:r w:rsidRPr="006F23C5">
        <w:rPr>
          <w:szCs w:val="24"/>
        </w:rPr>
        <w:t>missed the SAIFI standard by 0.11 and 0.02</w:t>
      </w:r>
      <w:r w:rsidRPr="006F23C5" w:rsidR="004270B1">
        <w:rPr>
          <w:szCs w:val="24"/>
        </w:rPr>
        <w:t>,</w:t>
      </w:r>
      <w:r w:rsidRPr="006F23C5">
        <w:rPr>
          <w:szCs w:val="24"/>
        </w:rPr>
        <w:t xml:space="preserve"> respectively. Even</w:t>
      </w:r>
      <w:r w:rsidRPr="006F23C5" w:rsidR="00AD2D50">
        <w:rPr>
          <w:szCs w:val="24"/>
        </w:rPr>
        <w:t xml:space="preserve"> </w:t>
      </w:r>
      <w:r w:rsidRPr="006F23C5">
        <w:rPr>
          <w:szCs w:val="24"/>
        </w:rPr>
        <w:t xml:space="preserve">though the missed SAIFI standards in 2018 and 2019 would constitute a violation of </w:t>
      </w:r>
      <w:r w:rsidRPr="006F23C5" w:rsidR="00923A38">
        <w:rPr>
          <w:szCs w:val="24"/>
        </w:rPr>
        <w:t>O.A.C.</w:t>
      </w:r>
      <w:r w:rsidRPr="006F23C5">
        <w:rPr>
          <w:szCs w:val="24"/>
        </w:rPr>
        <w:t xml:space="preserve"> 4901:1-10-10(E), </w:t>
      </w:r>
      <w:r w:rsidRPr="006F23C5" w:rsidR="00AD2D50">
        <w:rPr>
          <w:szCs w:val="24"/>
        </w:rPr>
        <w:t>there were no explicit enforcement actions taken by the PUCO against AEP Ohio.</w:t>
      </w:r>
      <w:r w:rsidRPr="006F23C5" w:rsidR="00301D38">
        <w:rPr>
          <w:szCs w:val="24"/>
        </w:rPr>
        <w:t xml:space="preserve"> </w:t>
      </w:r>
    </w:p>
    <w:p w:rsidR="0031635E" w:rsidRPr="006F23C5" w:rsidP="001727E6" w14:paraId="7D778CB9" w14:textId="2BC8CCC2">
      <w:pPr>
        <w:spacing w:line="480" w:lineRule="auto"/>
        <w:ind w:left="-90" w:firstLine="720"/>
        <w:rPr>
          <w:szCs w:val="24"/>
        </w:rPr>
      </w:pPr>
      <w:r w:rsidRPr="006F23C5">
        <w:rPr>
          <w:szCs w:val="24"/>
        </w:rPr>
        <w:t xml:space="preserve">Table 1 also provides a summary of the CAIDI and SAIFI performance on an annual basis </w:t>
      </w:r>
      <w:r w:rsidRPr="006F23C5" w:rsidR="004270B1">
        <w:rPr>
          <w:szCs w:val="24"/>
        </w:rPr>
        <w:t>before</w:t>
      </w:r>
      <w:r w:rsidRPr="006F23C5">
        <w:rPr>
          <w:szCs w:val="24"/>
        </w:rPr>
        <w:t xml:space="preserve"> exclusions of outages associated with major events and transmission-caused events. This provides an </w:t>
      </w:r>
      <w:r w:rsidRPr="006F23C5" w:rsidR="005A56F9">
        <w:rPr>
          <w:szCs w:val="24"/>
        </w:rPr>
        <w:t xml:space="preserve">accurate </w:t>
      </w:r>
      <w:r w:rsidRPr="006F23C5">
        <w:rPr>
          <w:szCs w:val="24"/>
        </w:rPr>
        <w:t>indicat</w:t>
      </w:r>
      <w:r w:rsidRPr="006F23C5" w:rsidR="005A56F9">
        <w:rPr>
          <w:szCs w:val="24"/>
        </w:rPr>
        <w:t xml:space="preserve">ion </w:t>
      </w:r>
      <w:r w:rsidRPr="006F23C5">
        <w:rPr>
          <w:szCs w:val="24"/>
        </w:rPr>
        <w:t xml:space="preserve">of the actual number of interruptions and the duration of interruptions </w:t>
      </w:r>
      <w:r w:rsidRPr="006F23C5" w:rsidR="005163F5">
        <w:rPr>
          <w:szCs w:val="24"/>
        </w:rPr>
        <w:t xml:space="preserve">customers are experiencing outside of the blue-sky </w:t>
      </w:r>
      <w:r w:rsidRPr="006F23C5" w:rsidR="005A56F9">
        <w:rPr>
          <w:szCs w:val="24"/>
        </w:rPr>
        <w:t xml:space="preserve">reliability </w:t>
      </w:r>
      <w:r w:rsidRPr="006F23C5" w:rsidR="005163F5">
        <w:rPr>
          <w:szCs w:val="24"/>
        </w:rPr>
        <w:t xml:space="preserve">performance </w:t>
      </w:r>
      <w:r w:rsidRPr="006F23C5" w:rsidR="005A56F9">
        <w:rPr>
          <w:szCs w:val="24"/>
        </w:rPr>
        <w:t>standards being established in this proceeding.</w:t>
      </w:r>
      <w:r w:rsidRPr="006F23C5" w:rsidR="00301D38">
        <w:rPr>
          <w:szCs w:val="24"/>
        </w:rPr>
        <w:t xml:space="preserve"> </w:t>
      </w:r>
    </w:p>
    <w:p w:rsidR="0031635E" w:rsidRPr="006F23C5" w:rsidP="0023748D" w14:paraId="6E5E8419" w14:textId="799D5E5A">
      <w:pPr>
        <w:pStyle w:val="Heading2"/>
        <w:numPr>
          <w:ilvl w:val="0"/>
          <w:numId w:val="11"/>
        </w:numPr>
        <w:ind w:left="1440" w:hanging="720"/>
        <w:rPr>
          <w:szCs w:val="24"/>
        </w:rPr>
      </w:pPr>
      <w:bookmarkStart w:id="10" w:name="_Toc98246281"/>
      <w:bookmarkStart w:id="11" w:name="_Toc99360704"/>
      <w:bookmarkStart w:id="12" w:name="_Toc115271112"/>
      <w:r w:rsidRPr="006F23C5">
        <w:rPr>
          <w:szCs w:val="24"/>
        </w:rPr>
        <w:t>AE</w:t>
      </w:r>
      <w:r w:rsidRPr="006F23C5" w:rsidR="00AA2A51">
        <w:rPr>
          <w:szCs w:val="24"/>
        </w:rPr>
        <w:t xml:space="preserve">P Ohio’s </w:t>
      </w:r>
      <w:r w:rsidRPr="006F23C5">
        <w:rPr>
          <w:szCs w:val="24"/>
        </w:rPr>
        <w:t>Proposed Reliability Standards</w:t>
      </w:r>
      <w:bookmarkEnd w:id="10"/>
      <w:bookmarkEnd w:id="11"/>
      <w:r w:rsidR="00E271B0">
        <w:rPr>
          <w:szCs w:val="24"/>
        </w:rPr>
        <w:t>.</w:t>
      </w:r>
      <w:bookmarkEnd w:id="12"/>
    </w:p>
    <w:p w:rsidR="0031635E" w:rsidRPr="006F23C5" w:rsidP="0023748D" w14:paraId="5733D4A5" w14:textId="7CF5B008">
      <w:pPr>
        <w:spacing w:line="480" w:lineRule="auto"/>
        <w:ind w:firstLine="720"/>
        <w:rPr>
          <w:szCs w:val="24"/>
        </w:rPr>
      </w:pPr>
      <w:r w:rsidRPr="006F23C5">
        <w:rPr>
          <w:szCs w:val="24"/>
        </w:rPr>
        <w:t>O.A.C.</w:t>
      </w:r>
      <w:r w:rsidRPr="006F23C5" w:rsidR="00852D5D">
        <w:rPr>
          <w:szCs w:val="24"/>
        </w:rPr>
        <w:t xml:space="preserve"> 4901:1-10-10(B)(4)(a) requires that </w:t>
      </w:r>
      <w:r w:rsidRPr="006F23C5" w:rsidR="00AA2A51">
        <w:rPr>
          <w:szCs w:val="24"/>
        </w:rPr>
        <w:t xml:space="preserve">any application to establish or update reliability standards include </w:t>
      </w:r>
      <w:r w:rsidRPr="006F23C5" w:rsidR="00852D5D">
        <w:rPr>
          <w:szCs w:val="24"/>
        </w:rPr>
        <w:t xml:space="preserve">the justification for </w:t>
      </w:r>
      <w:r w:rsidRPr="006F23C5" w:rsidR="00AA2A51">
        <w:rPr>
          <w:szCs w:val="24"/>
        </w:rPr>
        <w:t xml:space="preserve">the proposed standards including </w:t>
      </w:r>
      <w:r w:rsidRPr="006F23C5" w:rsidR="00852D5D">
        <w:rPr>
          <w:szCs w:val="24"/>
        </w:rPr>
        <w:t>historical system performance, system design, technological advancements, service area geography, results from customer perception surveys</w:t>
      </w:r>
      <w:r w:rsidRPr="006F23C5" w:rsidR="00F84529">
        <w:rPr>
          <w:szCs w:val="24"/>
        </w:rPr>
        <w:t>,</w:t>
      </w:r>
      <w:r w:rsidRPr="006F23C5" w:rsidR="00852D5D">
        <w:rPr>
          <w:szCs w:val="24"/>
        </w:rPr>
        <w:t xml:space="preserve"> and other relevant factors. </w:t>
      </w:r>
      <w:r w:rsidRPr="006F23C5">
        <w:rPr>
          <w:szCs w:val="24"/>
        </w:rPr>
        <w:t>O.A.C.</w:t>
      </w:r>
      <w:r w:rsidRPr="006F23C5" w:rsidR="00852D5D">
        <w:rPr>
          <w:szCs w:val="24"/>
        </w:rPr>
        <w:t xml:space="preserve"> 4901:1-10-10(B)(4)(b) requires </w:t>
      </w:r>
      <w:r w:rsidRPr="006F23C5" w:rsidR="00AA2A51">
        <w:rPr>
          <w:szCs w:val="24"/>
        </w:rPr>
        <w:t xml:space="preserve">the </w:t>
      </w:r>
      <w:r w:rsidRPr="006F23C5" w:rsidR="00153D2E">
        <w:rPr>
          <w:szCs w:val="24"/>
        </w:rPr>
        <w:t xml:space="preserve">exclusion of </w:t>
      </w:r>
      <w:r w:rsidRPr="006F23C5" w:rsidR="00852D5D">
        <w:rPr>
          <w:szCs w:val="24"/>
        </w:rPr>
        <w:t>major event</w:t>
      </w:r>
      <w:r w:rsidRPr="006F23C5" w:rsidR="00AA2A51">
        <w:rPr>
          <w:szCs w:val="24"/>
        </w:rPr>
        <w:t xml:space="preserve"> day</w:t>
      </w:r>
      <w:r w:rsidRPr="006F23C5" w:rsidR="00153D2E">
        <w:rPr>
          <w:szCs w:val="24"/>
        </w:rPr>
        <w:t xml:space="preserve">s </w:t>
      </w:r>
      <w:r w:rsidRPr="006F23C5" w:rsidR="00852D5D">
        <w:rPr>
          <w:szCs w:val="24"/>
        </w:rPr>
        <w:t>and</w:t>
      </w:r>
      <w:r w:rsidRPr="006F23C5" w:rsidR="00F84529">
        <w:rPr>
          <w:szCs w:val="24"/>
        </w:rPr>
        <w:t xml:space="preserve"> </w:t>
      </w:r>
      <w:r w:rsidRPr="006F23C5" w:rsidR="00852D5D">
        <w:rPr>
          <w:szCs w:val="24"/>
        </w:rPr>
        <w:t xml:space="preserve">transmission </w:t>
      </w:r>
      <w:r w:rsidRPr="006F23C5" w:rsidR="00153D2E">
        <w:rPr>
          <w:szCs w:val="24"/>
        </w:rPr>
        <w:t xml:space="preserve">caused outages </w:t>
      </w:r>
      <w:r w:rsidRPr="006F23C5" w:rsidR="00852D5D">
        <w:rPr>
          <w:szCs w:val="24"/>
        </w:rPr>
        <w:t xml:space="preserve">from </w:t>
      </w:r>
      <w:r w:rsidRPr="006F23C5" w:rsidR="00153D2E">
        <w:rPr>
          <w:szCs w:val="24"/>
        </w:rPr>
        <w:t xml:space="preserve">being included in the </w:t>
      </w:r>
      <w:r w:rsidRPr="006F23C5" w:rsidR="00852D5D">
        <w:rPr>
          <w:szCs w:val="24"/>
        </w:rPr>
        <w:t>proposed performance standards.</w:t>
      </w:r>
      <w:r w:rsidRPr="006F23C5" w:rsidR="00301D38">
        <w:rPr>
          <w:szCs w:val="24"/>
        </w:rPr>
        <w:t xml:space="preserve"> </w:t>
      </w:r>
    </w:p>
    <w:p w:rsidR="00737171" w:rsidRPr="006F23C5" w:rsidP="004426B5" w14:paraId="38654299" w14:textId="38EB257C">
      <w:pPr>
        <w:spacing w:line="480" w:lineRule="auto"/>
        <w:ind w:firstLine="720"/>
        <w:rPr>
          <w:szCs w:val="24"/>
        </w:rPr>
      </w:pPr>
      <w:r w:rsidRPr="006F23C5">
        <w:rPr>
          <w:szCs w:val="24"/>
        </w:rPr>
        <w:t>In establishing the new standards, AE</w:t>
      </w:r>
      <w:r w:rsidRPr="006F23C5" w:rsidR="00153D2E">
        <w:rPr>
          <w:szCs w:val="24"/>
        </w:rPr>
        <w:t xml:space="preserve">P Ohio </w:t>
      </w:r>
      <w:r w:rsidRPr="006F23C5" w:rsidR="004270B1">
        <w:rPr>
          <w:szCs w:val="24"/>
        </w:rPr>
        <w:t xml:space="preserve">has </w:t>
      </w:r>
      <w:r w:rsidRPr="006F23C5">
        <w:rPr>
          <w:szCs w:val="24"/>
        </w:rPr>
        <w:t>proposed using reliability performance data from 2016 through 202</w:t>
      </w:r>
      <w:r w:rsidRPr="006F23C5" w:rsidR="00153D2E">
        <w:rPr>
          <w:szCs w:val="24"/>
        </w:rPr>
        <w:t>1</w:t>
      </w:r>
      <w:r w:rsidRPr="006F23C5">
        <w:rPr>
          <w:szCs w:val="24"/>
        </w:rPr>
        <w:t xml:space="preserve"> to establish an average historical baseline performance across those years. </w:t>
      </w:r>
      <w:r w:rsidRPr="006F23C5" w:rsidR="004270B1">
        <w:rPr>
          <w:szCs w:val="24"/>
        </w:rPr>
        <w:t xml:space="preserve">AEP Ohio </w:t>
      </w:r>
      <w:r w:rsidRPr="006F23C5" w:rsidR="00210F3F">
        <w:rPr>
          <w:szCs w:val="24"/>
        </w:rPr>
        <w:t>updated t</w:t>
      </w:r>
      <w:r w:rsidRPr="006F23C5">
        <w:rPr>
          <w:szCs w:val="24"/>
        </w:rPr>
        <w:t xml:space="preserve">he CAIDI and SAIFI performance for those years to reflect </w:t>
      </w:r>
      <w:r w:rsidRPr="006F23C5" w:rsidR="00210F3F">
        <w:rPr>
          <w:szCs w:val="24"/>
        </w:rPr>
        <w:t xml:space="preserve">what the performance would have been </w:t>
      </w:r>
      <w:r w:rsidRPr="006F23C5" w:rsidR="00D57536">
        <w:rPr>
          <w:szCs w:val="24"/>
        </w:rPr>
        <w:t xml:space="preserve">between 2017 and 2021 </w:t>
      </w:r>
      <w:r w:rsidRPr="006F23C5" w:rsidR="00210F3F">
        <w:rPr>
          <w:szCs w:val="24"/>
        </w:rPr>
        <w:t xml:space="preserve">using the </w:t>
      </w:r>
      <w:r w:rsidRPr="006F23C5">
        <w:rPr>
          <w:szCs w:val="24"/>
        </w:rPr>
        <w:t xml:space="preserve">new definition for major events and </w:t>
      </w:r>
      <w:r w:rsidRPr="006F23C5" w:rsidR="00D57536">
        <w:rPr>
          <w:szCs w:val="24"/>
        </w:rPr>
        <w:t>exclud</w:t>
      </w:r>
      <w:r w:rsidRPr="006F23C5" w:rsidR="005163F5">
        <w:rPr>
          <w:szCs w:val="24"/>
        </w:rPr>
        <w:t xml:space="preserve">ing </w:t>
      </w:r>
      <w:r w:rsidRPr="006F23C5">
        <w:rPr>
          <w:szCs w:val="24"/>
        </w:rPr>
        <w:t>transmission outages</w:t>
      </w:r>
      <w:r w:rsidRPr="006F23C5" w:rsidR="00D57536">
        <w:rPr>
          <w:szCs w:val="24"/>
        </w:rPr>
        <w:t xml:space="preserve">. </w:t>
      </w:r>
      <w:bookmarkStart w:id="13" w:name="_Hlk98744281"/>
      <w:r w:rsidRPr="006F23C5">
        <w:rPr>
          <w:szCs w:val="24"/>
        </w:rPr>
        <w:t>Table 2 provides a summary of the CAIDI and SAIFI reliability standards as proposed by AE</w:t>
      </w:r>
      <w:r w:rsidRPr="006F23C5" w:rsidR="00C146A1">
        <w:rPr>
          <w:szCs w:val="24"/>
        </w:rPr>
        <w:t>P Ohio</w:t>
      </w:r>
      <w:r w:rsidRPr="006F23C5">
        <w:rPr>
          <w:szCs w:val="24"/>
        </w:rPr>
        <w:t>.</w:t>
      </w:r>
      <w:bookmarkEnd w:id="13"/>
    </w:p>
    <w:p w:rsidR="0031635E" w:rsidRPr="006F23C5" w:rsidP="003D7D48" w14:paraId="766D9C12" w14:textId="49FA0947">
      <w:pPr>
        <w:jc w:val="center"/>
        <w:rPr>
          <w:szCs w:val="24"/>
        </w:rPr>
      </w:pPr>
      <w:r w:rsidRPr="006F23C5">
        <w:rPr>
          <w:b/>
          <w:bCs/>
          <w:szCs w:val="24"/>
        </w:rPr>
        <w:t>Table 2: AE</w:t>
      </w:r>
      <w:r w:rsidRPr="006F23C5" w:rsidR="00D57536">
        <w:rPr>
          <w:b/>
          <w:bCs/>
          <w:szCs w:val="24"/>
        </w:rPr>
        <w:t xml:space="preserve">P Ohio </w:t>
      </w:r>
      <w:r w:rsidRPr="006F23C5">
        <w:rPr>
          <w:b/>
          <w:bCs/>
          <w:szCs w:val="24"/>
        </w:rPr>
        <w:t>Proposed Standards</w:t>
      </w:r>
      <w:r w:rsidRPr="006F23C5" w:rsidR="005A56F9">
        <w:rPr>
          <w:b/>
          <w:bCs/>
          <w:szCs w:val="24"/>
        </w:rPr>
        <w:t xml:space="preserve"> (2022 and beyond)</w:t>
      </w:r>
      <w:r>
        <w:rPr>
          <w:rStyle w:val="FootnoteReference"/>
          <w:szCs w:val="24"/>
        </w:rPr>
        <w:footnoteReference w:id="35"/>
      </w:r>
      <w:r w:rsidRPr="006F23C5" w:rsidR="00737171">
        <w:rPr>
          <w:szCs w:val="24"/>
        </w:rPr>
        <w:t xml:space="preserve"> </w:t>
      </w:r>
    </w:p>
    <w:p w:rsidR="000C3F64" w:rsidRPr="006F23C5" w:rsidP="003D7D48" w14:paraId="5B64E4C5" w14:textId="77777777">
      <w:pPr>
        <w:jc w:val="center"/>
        <w:rPr>
          <w:szCs w:val="24"/>
        </w:rPr>
      </w:pPr>
    </w:p>
    <w:tbl>
      <w:tblPr>
        <w:tblStyle w:val="TableGrid"/>
        <w:tblW w:w="0" w:type="auto"/>
        <w:jc w:val="center"/>
        <w:tblLook w:val="04A0"/>
      </w:tblPr>
      <w:tblGrid>
        <w:gridCol w:w="3740"/>
        <w:gridCol w:w="1530"/>
        <w:gridCol w:w="1443"/>
      </w:tblGrid>
      <w:tr w14:paraId="3EEC7269" w14:textId="77777777" w:rsidTr="006D3B80">
        <w:tblPrEx>
          <w:tblW w:w="0" w:type="auto"/>
          <w:jc w:val="center"/>
          <w:tblLook w:val="04A0"/>
        </w:tblPrEx>
        <w:trPr>
          <w:jc w:val="center"/>
        </w:trPr>
        <w:tc>
          <w:tcPr>
            <w:tcW w:w="3740" w:type="dxa"/>
          </w:tcPr>
          <w:p w:rsidR="00E35406" w:rsidRPr="006F23C5" w:rsidP="00F81D1C" w14:paraId="66095419" w14:textId="77777777">
            <w:pPr>
              <w:pStyle w:val="ListParagraph"/>
              <w:ind w:left="0"/>
              <w:jc w:val="center"/>
            </w:pPr>
            <w:bookmarkStart w:id="14" w:name="_Hlk114553953"/>
            <w:r w:rsidRPr="006F23C5">
              <w:t>Year</w:t>
            </w:r>
          </w:p>
        </w:tc>
        <w:tc>
          <w:tcPr>
            <w:tcW w:w="1530" w:type="dxa"/>
          </w:tcPr>
          <w:p w:rsidR="00E35406" w:rsidRPr="006F23C5" w:rsidP="00F81D1C" w14:paraId="0EEC4323" w14:textId="7827E2D3">
            <w:pPr>
              <w:pStyle w:val="ListParagraph"/>
              <w:ind w:left="0"/>
              <w:jc w:val="center"/>
            </w:pPr>
            <w:r w:rsidRPr="006F23C5">
              <w:t>CAIDI Performance (Minutes)</w:t>
            </w:r>
          </w:p>
        </w:tc>
        <w:tc>
          <w:tcPr>
            <w:tcW w:w="1443" w:type="dxa"/>
          </w:tcPr>
          <w:p w:rsidR="00E35406" w:rsidRPr="006F23C5" w:rsidP="00F81D1C" w14:paraId="18D85974" w14:textId="3CADF3B6">
            <w:pPr>
              <w:pStyle w:val="ListParagraph"/>
              <w:ind w:left="0"/>
              <w:jc w:val="center"/>
            </w:pPr>
            <w:r w:rsidRPr="006F23C5">
              <w:t xml:space="preserve">SAIFI Performance </w:t>
            </w:r>
          </w:p>
        </w:tc>
      </w:tr>
      <w:tr w14:paraId="135A7CC5" w14:textId="77777777" w:rsidTr="006D3B80">
        <w:tblPrEx>
          <w:tblW w:w="0" w:type="auto"/>
          <w:jc w:val="center"/>
          <w:tblLook w:val="04A0"/>
        </w:tblPrEx>
        <w:trPr>
          <w:jc w:val="center"/>
        </w:trPr>
        <w:tc>
          <w:tcPr>
            <w:tcW w:w="3740" w:type="dxa"/>
          </w:tcPr>
          <w:p w:rsidR="00E35406" w:rsidRPr="006F23C5" w:rsidP="00F81D1C" w14:paraId="3B75DF8C" w14:textId="77777777">
            <w:pPr>
              <w:pStyle w:val="ListParagraph"/>
              <w:ind w:left="0"/>
              <w:jc w:val="center"/>
            </w:pPr>
            <w:r w:rsidRPr="006F23C5">
              <w:t>2017</w:t>
            </w:r>
          </w:p>
        </w:tc>
        <w:tc>
          <w:tcPr>
            <w:tcW w:w="1530" w:type="dxa"/>
          </w:tcPr>
          <w:p w:rsidR="00E35406" w:rsidRPr="006F23C5" w:rsidP="00F81D1C" w14:paraId="340DE1BD" w14:textId="7DB18161">
            <w:pPr>
              <w:pStyle w:val="ListParagraph"/>
              <w:ind w:left="0"/>
              <w:jc w:val="center"/>
            </w:pPr>
            <w:r w:rsidRPr="006F23C5">
              <w:t>148.00</w:t>
            </w:r>
          </w:p>
        </w:tc>
        <w:tc>
          <w:tcPr>
            <w:tcW w:w="1443" w:type="dxa"/>
          </w:tcPr>
          <w:p w:rsidR="00E35406" w:rsidRPr="006F23C5" w:rsidP="00F81D1C" w14:paraId="1399EE5F" w14:textId="491AB08A">
            <w:pPr>
              <w:pStyle w:val="ListParagraph"/>
              <w:ind w:left="0"/>
              <w:jc w:val="center"/>
            </w:pPr>
            <w:r w:rsidRPr="006F23C5">
              <w:t>1.17</w:t>
            </w:r>
          </w:p>
        </w:tc>
      </w:tr>
      <w:tr w14:paraId="214A1D6D" w14:textId="77777777" w:rsidTr="006D3B80">
        <w:tblPrEx>
          <w:tblW w:w="0" w:type="auto"/>
          <w:jc w:val="center"/>
          <w:tblLook w:val="04A0"/>
        </w:tblPrEx>
        <w:trPr>
          <w:jc w:val="center"/>
        </w:trPr>
        <w:tc>
          <w:tcPr>
            <w:tcW w:w="3740" w:type="dxa"/>
          </w:tcPr>
          <w:p w:rsidR="00E35406" w:rsidRPr="006F23C5" w:rsidP="00F81D1C" w14:paraId="11714545" w14:textId="77777777">
            <w:pPr>
              <w:pStyle w:val="ListParagraph"/>
              <w:ind w:left="0"/>
              <w:jc w:val="center"/>
            </w:pPr>
            <w:r w:rsidRPr="006F23C5">
              <w:t>2018</w:t>
            </w:r>
          </w:p>
        </w:tc>
        <w:tc>
          <w:tcPr>
            <w:tcW w:w="1530" w:type="dxa"/>
          </w:tcPr>
          <w:p w:rsidR="00E35406" w:rsidRPr="006F23C5" w:rsidP="00F81D1C" w14:paraId="417B2848" w14:textId="04358437">
            <w:pPr>
              <w:pStyle w:val="ListParagraph"/>
              <w:ind w:left="0"/>
              <w:jc w:val="center"/>
            </w:pPr>
            <w:r w:rsidRPr="006F23C5">
              <w:t>148.00</w:t>
            </w:r>
          </w:p>
        </w:tc>
        <w:tc>
          <w:tcPr>
            <w:tcW w:w="1443" w:type="dxa"/>
          </w:tcPr>
          <w:p w:rsidR="00E35406" w:rsidRPr="006F23C5" w:rsidP="00F81D1C" w14:paraId="2CC51F2F" w14:textId="5D0BBD92">
            <w:pPr>
              <w:pStyle w:val="ListParagraph"/>
              <w:ind w:left="0"/>
              <w:jc w:val="center"/>
            </w:pPr>
            <w:r w:rsidRPr="006F23C5">
              <w:t>1.28</w:t>
            </w:r>
          </w:p>
        </w:tc>
      </w:tr>
      <w:tr w14:paraId="66384313" w14:textId="77777777" w:rsidTr="006D3B80">
        <w:tblPrEx>
          <w:tblW w:w="0" w:type="auto"/>
          <w:jc w:val="center"/>
          <w:tblLook w:val="04A0"/>
        </w:tblPrEx>
        <w:trPr>
          <w:jc w:val="center"/>
        </w:trPr>
        <w:tc>
          <w:tcPr>
            <w:tcW w:w="3740" w:type="dxa"/>
          </w:tcPr>
          <w:p w:rsidR="00E35406" w:rsidRPr="006F23C5" w:rsidP="00F81D1C" w14:paraId="33579FC9" w14:textId="77777777">
            <w:pPr>
              <w:pStyle w:val="ListParagraph"/>
              <w:ind w:left="0"/>
              <w:jc w:val="center"/>
            </w:pPr>
            <w:r w:rsidRPr="006F23C5">
              <w:t>2019</w:t>
            </w:r>
          </w:p>
        </w:tc>
        <w:tc>
          <w:tcPr>
            <w:tcW w:w="1530" w:type="dxa"/>
          </w:tcPr>
          <w:p w:rsidR="00E35406" w:rsidRPr="006F23C5" w:rsidP="00F81D1C" w14:paraId="4399BCE8" w14:textId="5A68A621">
            <w:pPr>
              <w:pStyle w:val="ListParagraph"/>
              <w:ind w:left="0"/>
              <w:jc w:val="center"/>
            </w:pPr>
            <w:r w:rsidRPr="006F23C5">
              <w:t>144.00</w:t>
            </w:r>
          </w:p>
        </w:tc>
        <w:tc>
          <w:tcPr>
            <w:tcW w:w="1443" w:type="dxa"/>
          </w:tcPr>
          <w:p w:rsidR="00E35406" w:rsidRPr="006F23C5" w:rsidP="00F81D1C" w14:paraId="7BF0F6C8" w14:textId="5EA08CF0">
            <w:pPr>
              <w:pStyle w:val="ListParagraph"/>
              <w:ind w:left="0"/>
              <w:jc w:val="center"/>
            </w:pPr>
            <w:r w:rsidRPr="006F23C5">
              <w:t>1.24</w:t>
            </w:r>
          </w:p>
        </w:tc>
      </w:tr>
      <w:tr w14:paraId="5633F318" w14:textId="77777777" w:rsidTr="006D3B80">
        <w:tblPrEx>
          <w:tblW w:w="0" w:type="auto"/>
          <w:jc w:val="center"/>
          <w:tblLook w:val="04A0"/>
        </w:tblPrEx>
        <w:trPr>
          <w:jc w:val="center"/>
        </w:trPr>
        <w:tc>
          <w:tcPr>
            <w:tcW w:w="3740" w:type="dxa"/>
          </w:tcPr>
          <w:p w:rsidR="00E35406" w:rsidRPr="006F23C5" w:rsidP="00F81D1C" w14:paraId="177229D0" w14:textId="77777777">
            <w:pPr>
              <w:pStyle w:val="ListParagraph"/>
              <w:ind w:left="0"/>
              <w:jc w:val="center"/>
            </w:pPr>
            <w:r w:rsidRPr="006F23C5">
              <w:t>2020</w:t>
            </w:r>
          </w:p>
        </w:tc>
        <w:tc>
          <w:tcPr>
            <w:tcW w:w="1530" w:type="dxa"/>
          </w:tcPr>
          <w:p w:rsidR="00E35406" w:rsidRPr="006F23C5" w:rsidP="00F81D1C" w14:paraId="11BAD859" w14:textId="321556CB">
            <w:pPr>
              <w:pStyle w:val="ListParagraph"/>
              <w:ind w:left="0"/>
              <w:jc w:val="center"/>
            </w:pPr>
            <w:r w:rsidRPr="006F23C5">
              <w:t>132.00</w:t>
            </w:r>
          </w:p>
        </w:tc>
        <w:tc>
          <w:tcPr>
            <w:tcW w:w="1443" w:type="dxa"/>
          </w:tcPr>
          <w:p w:rsidR="00E35406" w:rsidRPr="006F23C5" w:rsidP="00F81D1C" w14:paraId="480A8242" w14:textId="0392A7B3">
            <w:pPr>
              <w:pStyle w:val="ListParagraph"/>
              <w:ind w:left="0"/>
              <w:jc w:val="center"/>
            </w:pPr>
            <w:r w:rsidRPr="006F23C5">
              <w:t>1.13</w:t>
            </w:r>
          </w:p>
        </w:tc>
      </w:tr>
      <w:tr w14:paraId="3408FCA0" w14:textId="77777777" w:rsidTr="006D3B80">
        <w:tblPrEx>
          <w:tblW w:w="0" w:type="auto"/>
          <w:jc w:val="center"/>
          <w:tblLook w:val="04A0"/>
        </w:tblPrEx>
        <w:trPr>
          <w:jc w:val="center"/>
        </w:trPr>
        <w:tc>
          <w:tcPr>
            <w:tcW w:w="3740" w:type="dxa"/>
          </w:tcPr>
          <w:p w:rsidR="00E35406" w:rsidRPr="006F23C5" w:rsidP="00F81D1C" w14:paraId="49C0E526" w14:textId="2A0B2EF7">
            <w:pPr>
              <w:pStyle w:val="ListParagraph"/>
              <w:ind w:left="0"/>
              <w:jc w:val="center"/>
            </w:pPr>
            <w:r w:rsidRPr="006F23C5">
              <w:t>2021</w:t>
            </w:r>
          </w:p>
        </w:tc>
        <w:tc>
          <w:tcPr>
            <w:tcW w:w="1530" w:type="dxa"/>
          </w:tcPr>
          <w:p w:rsidR="00E35406" w:rsidRPr="006F23C5" w:rsidP="00F81D1C" w14:paraId="0823B23B" w14:textId="23A85F8C">
            <w:pPr>
              <w:pStyle w:val="ListParagraph"/>
              <w:ind w:left="0"/>
              <w:jc w:val="center"/>
            </w:pPr>
            <w:r w:rsidRPr="006F23C5">
              <w:t>132.00</w:t>
            </w:r>
          </w:p>
        </w:tc>
        <w:tc>
          <w:tcPr>
            <w:tcW w:w="1443" w:type="dxa"/>
          </w:tcPr>
          <w:p w:rsidR="00E35406" w:rsidRPr="006F23C5" w:rsidP="00F81D1C" w14:paraId="5C794997" w14:textId="035FAD13">
            <w:pPr>
              <w:pStyle w:val="ListParagraph"/>
              <w:ind w:left="0"/>
              <w:jc w:val="center"/>
            </w:pPr>
            <w:r w:rsidRPr="006F23C5">
              <w:t>1.17</w:t>
            </w:r>
          </w:p>
        </w:tc>
      </w:tr>
      <w:tr w14:paraId="4281B715" w14:textId="77777777" w:rsidTr="006D3B80">
        <w:tblPrEx>
          <w:tblW w:w="0" w:type="auto"/>
          <w:jc w:val="center"/>
          <w:tblLook w:val="04A0"/>
        </w:tblPrEx>
        <w:trPr>
          <w:jc w:val="center"/>
        </w:trPr>
        <w:tc>
          <w:tcPr>
            <w:tcW w:w="3740" w:type="dxa"/>
          </w:tcPr>
          <w:p w:rsidR="00E35406" w:rsidRPr="006F23C5" w:rsidP="00F81D1C" w14:paraId="2201C6BF" w14:textId="77777777">
            <w:pPr>
              <w:pStyle w:val="ListParagraph"/>
              <w:ind w:left="0"/>
              <w:jc w:val="center"/>
            </w:pPr>
            <w:r w:rsidRPr="006F23C5">
              <w:t>Five-Year Average</w:t>
            </w:r>
          </w:p>
        </w:tc>
        <w:tc>
          <w:tcPr>
            <w:tcW w:w="1530" w:type="dxa"/>
          </w:tcPr>
          <w:p w:rsidR="00E35406" w:rsidRPr="006F23C5" w:rsidP="00F81D1C" w14:paraId="39325DDC" w14:textId="246882F3">
            <w:pPr>
              <w:pStyle w:val="ListParagraph"/>
              <w:ind w:left="0"/>
              <w:jc w:val="center"/>
            </w:pPr>
            <w:r w:rsidRPr="006F23C5">
              <w:t>141.00</w:t>
            </w:r>
          </w:p>
        </w:tc>
        <w:tc>
          <w:tcPr>
            <w:tcW w:w="1443" w:type="dxa"/>
          </w:tcPr>
          <w:p w:rsidR="00E35406" w:rsidRPr="006F23C5" w:rsidP="00F81D1C" w14:paraId="5C479DE8" w14:textId="182DA543">
            <w:pPr>
              <w:pStyle w:val="ListParagraph"/>
              <w:ind w:left="0"/>
              <w:jc w:val="center"/>
            </w:pPr>
            <w:r w:rsidRPr="006F23C5">
              <w:t>1.2</w:t>
            </w:r>
          </w:p>
        </w:tc>
      </w:tr>
      <w:bookmarkEnd w:id="14"/>
      <w:tr w14:paraId="6A3FE0EF" w14:textId="77777777" w:rsidTr="006D3B80">
        <w:tblPrEx>
          <w:tblW w:w="0" w:type="auto"/>
          <w:jc w:val="center"/>
          <w:tblLook w:val="04A0"/>
        </w:tblPrEx>
        <w:trPr>
          <w:jc w:val="center"/>
        </w:trPr>
        <w:tc>
          <w:tcPr>
            <w:tcW w:w="3740" w:type="dxa"/>
          </w:tcPr>
          <w:p w:rsidR="00E35406" w:rsidRPr="006F23C5" w:rsidP="00F81D1C" w14:paraId="3D70017A" w14:textId="4B1387EF">
            <w:pPr>
              <w:pStyle w:val="ListParagraph"/>
              <w:ind w:left="0"/>
              <w:jc w:val="center"/>
            </w:pPr>
            <w:r w:rsidRPr="006F23C5">
              <w:t>Average plus 2 Std Deviations</w:t>
            </w:r>
          </w:p>
        </w:tc>
        <w:tc>
          <w:tcPr>
            <w:tcW w:w="1530" w:type="dxa"/>
          </w:tcPr>
          <w:p w:rsidR="00E35406" w:rsidRPr="006F23C5" w:rsidP="00F81D1C" w14:paraId="0CF579C5" w14:textId="0736E0A9">
            <w:pPr>
              <w:pStyle w:val="ListParagraph"/>
              <w:ind w:left="0"/>
              <w:jc w:val="center"/>
            </w:pPr>
            <w:r w:rsidRPr="006F23C5">
              <w:t>158.00</w:t>
            </w:r>
          </w:p>
        </w:tc>
        <w:tc>
          <w:tcPr>
            <w:tcW w:w="1443" w:type="dxa"/>
          </w:tcPr>
          <w:p w:rsidR="00E35406" w:rsidRPr="006F23C5" w:rsidP="00F81D1C" w14:paraId="404D22E1" w14:textId="1C6396C1">
            <w:pPr>
              <w:pStyle w:val="ListParagraph"/>
              <w:ind w:left="0"/>
              <w:jc w:val="center"/>
            </w:pPr>
            <w:r w:rsidRPr="006F23C5">
              <w:t>1.32</w:t>
            </w:r>
          </w:p>
        </w:tc>
      </w:tr>
      <w:tr w14:paraId="2F30753C" w14:textId="77777777" w:rsidTr="006D3B80">
        <w:tblPrEx>
          <w:tblW w:w="0" w:type="auto"/>
          <w:jc w:val="center"/>
          <w:tblLook w:val="04A0"/>
        </w:tblPrEx>
        <w:trPr>
          <w:jc w:val="center"/>
        </w:trPr>
        <w:tc>
          <w:tcPr>
            <w:tcW w:w="3740" w:type="dxa"/>
          </w:tcPr>
          <w:p w:rsidR="00E35406" w:rsidRPr="006F23C5" w:rsidP="00F81D1C" w14:paraId="2FF3B2A9" w14:textId="589E3EE1">
            <w:pPr>
              <w:pStyle w:val="ListParagraph"/>
              <w:ind w:left="0"/>
              <w:jc w:val="center"/>
            </w:pPr>
            <w:r w:rsidRPr="006F23C5">
              <w:t xml:space="preserve">DACR Adjustment </w:t>
            </w:r>
          </w:p>
        </w:tc>
        <w:tc>
          <w:tcPr>
            <w:tcW w:w="1530" w:type="dxa"/>
          </w:tcPr>
          <w:p w:rsidR="00E35406" w:rsidRPr="006F23C5" w:rsidP="00F81D1C" w14:paraId="3319D86F" w14:textId="6C74B25E">
            <w:pPr>
              <w:pStyle w:val="ListParagraph"/>
              <w:ind w:left="0"/>
              <w:jc w:val="center"/>
            </w:pPr>
          </w:p>
        </w:tc>
        <w:tc>
          <w:tcPr>
            <w:tcW w:w="1443" w:type="dxa"/>
          </w:tcPr>
          <w:p w:rsidR="00E35406" w:rsidRPr="006F23C5" w:rsidP="00F81D1C" w14:paraId="0190E867" w14:textId="6462D224">
            <w:pPr>
              <w:pStyle w:val="ListParagraph"/>
              <w:ind w:left="0"/>
              <w:jc w:val="center"/>
            </w:pPr>
            <w:r w:rsidRPr="006F23C5">
              <w:t>0.02</w:t>
            </w:r>
          </w:p>
        </w:tc>
      </w:tr>
      <w:tr w14:paraId="759E6999" w14:textId="77777777" w:rsidTr="006D3B80">
        <w:tblPrEx>
          <w:tblW w:w="0" w:type="auto"/>
          <w:jc w:val="center"/>
          <w:tblLook w:val="04A0"/>
        </w:tblPrEx>
        <w:trPr>
          <w:jc w:val="center"/>
        </w:trPr>
        <w:tc>
          <w:tcPr>
            <w:tcW w:w="3740" w:type="dxa"/>
          </w:tcPr>
          <w:p w:rsidR="00E35406" w:rsidRPr="006F23C5" w:rsidP="00F81D1C" w14:paraId="05596664" w14:textId="725799D2">
            <w:pPr>
              <w:pStyle w:val="ListParagraph"/>
              <w:ind w:left="0"/>
              <w:jc w:val="center"/>
            </w:pPr>
            <w:r w:rsidRPr="006F23C5">
              <w:t>2022 Reliability Standards</w:t>
            </w:r>
          </w:p>
        </w:tc>
        <w:tc>
          <w:tcPr>
            <w:tcW w:w="1530" w:type="dxa"/>
          </w:tcPr>
          <w:p w:rsidR="00E35406" w:rsidRPr="006F23C5" w:rsidP="00F81D1C" w14:paraId="51B9C1ED" w14:textId="150E5C27">
            <w:pPr>
              <w:pStyle w:val="ListParagraph"/>
              <w:ind w:left="0"/>
              <w:jc w:val="center"/>
            </w:pPr>
            <w:r w:rsidRPr="006F23C5">
              <w:t>158.00</w:t>
            </w:r>
          </w:p>
        </w:tc>
        <w:tc>
          <w:tcPr>
            <w:tcW w:w="1443" w:type="dxa"/>
          </w:tcPr>
          <w:p w:rsidR="00E35406" w:rsidRPr="006F23C5" w:rsidP="00F81D1C" w14:paraId="5E517265" w14:textId="1E2C0870">
            <w:pPr>
              <w:pStyle w:val="ListParagraph"/>
              <w:ind w:left="0"/>
              <w:jc w:val="center"/>
            </w:pPr>
            <w:r w:rsidRPr="006F23C5">
              <w:t>1.30</w:t>
            </w:r>
          </w:p>
        </w:tc>
      </w:tr>
      <w:tr w14:paraId="4FA4DA8C" w14:textId="77777777" w:rsidTr="006D3B80">
        <w:tblPrEx>
          <w:tblW w:w="0" w:type="auto"/>
          <w:jc w:val="center"/>
          <w:tblLook w:val="04A0"/>
        </w:tblPrEx>
        <w:trPr>
          <w:jc w:val="center"/>
        </w:trPr>
        <w:tc>
          <w:tcPr>
            <w:tcW w:w="3740" w:type="dxa"/>
          </w:tcPr>
          <w:p w:rsidR="00E35406" w:rsidRPr="006F23C5" w:rsidP="00F81D1C" w14:paraId="52F4DECE" w14:textId="454ECAB6">
            <w:pPr>
              <w:pStyle w:val="ListParagraph"/>
              <w:ind w:left="0"/>
              <w:jc w:val="center"/>
            </w:pPr>
            <w:r w:rsidRPr="006F23C5">
              <w:t>Additional 2023 DACR Adjustment</w:t>
            </w:r>
          </w:p>
        </w:tc>
        <w:tc>
          <w:tcPr>
            <w:tcW w:w="1530" w:type="dxa"/>
          </w:tcPr>
          <w:p w:rsidR="00E35406" w:rsidRPr="006F23C5" w:rsidP="00F81D1C" w14:paraId="17145CBB" w14:textId="7AE981C1">
            <w:pPr>
              <w:pStyle w:val="ListParagraph"/>
              <w:ind w:left="0"/>
              <w:jc w:val="center"/>
            </w:pPr>
          </w:p>
        </w:tc>
        <w:tc>
          <w:tcPr>
            <w:tcW w:w="1443" w:type="dxa"/>
          </w:tcPr>
          <w:p w:rsidR="00E35406" w:rsidRPr="006F23C5" w:rsidP="00F81D1C" w14:paraId="033627E3" w14:textId="0126DFDD">
            <w:pPr>
              <w:pStyle w:val="ListParagraph"/>
              <w:ind w:left="0"/>
              <w:jc w:val="center"/>
            </w:pPr>
            <w:r w:rsidRPr="006F23C5">
              <w:t>0.02</w:t>
            </w:r>
          </w:p>
        </w:tc>
      </w:tr>
      <w:tr w14:paraId="34EFA3E6" w14:textId="77777777" w:rsidTr="006D3B80">
        <w:tblPrEx>
          <w:tblW w:w="0" w:type="auto"/>
          <w:jc w:val="center"/>
          <w:tblLook w:val="04A0"/>
        </w:tblPrEx>
        <w:trPr>
          <w:jc w:val="center"/>
        </w:trPr>
        <w:tc>
          <w:tcPr>
            <w:tcW w:w="3740" w:type="dxa"/>
          </w:tcPr>
          <w:p w:rsidR="00E35406" w:rsidRPr="006F23C5" w:rsidP="00F81D1C" w14:paraId="59461BC6" w14:textId="6E99804F">
            <w:pPr>
              <w:pStyle w:val="ListParagraph"/>
              <w:ind w:left="0"/>
              <w:jc w:val="center"/>
            </w:pPr>
            <w:r w:rsidRPr="006F23C5">
              <w:t>Proposed Standard 2023 and beyond</w:t>
            </w:r>
          </w:p>
        </w:tc>
        <w:tc>
          <w:tcPr>
            <w:tcW w:w="1530" w:type="dxa"/>
          </w:tcPr>
          <w:p w:rsidR="00E35406" w:rsidRPr="006F23C5" w:rsidP="00F81D1C" w14:paraId="71A46B3F" w14:textId="535443C3">
            <w:pPr>
              <w:pStyle w:val="ListParagraph"/>
              <w:ind w:left="0"/>
              <w:jc w:val="center"/>
            </w:pPr>
            <w:r w:rsidRPr="006F23C5">
              <w:t>158.00</w:t>
            </w:r>
          </w:p>
        </w:tc>
        <w:tc>
          <w:tcPr>
            <w:tcW w:w="1443" w:type="dxa"/>
          </w:tcPr>
          <w:p w:rsidR="00E35406" w:rsidRPr="006F23C5" w:rsidP="00F81D1C" w14:paraId="4BB33471" w14:textId="41E35B30">
            <w:pPr>
              <w:pStyle w:val="ListParagraph"/>
              <w:ind w:left="0"/>
              <w:jc w:val="center"/>
            </w:pPr>
            <w:r w:rsidRPr="006F23C5">
              <w:t>1.28</w:t>
            </w:r>
          </w:p>
        </w:tc>
      </w:tr>
    </w:tbl>
    <w:p w:rsidR="0031635E" w:rsidRPr="006F23C5" w:rsidP="0031635E" w14:paraId="686F8804" w14:textId="77777777">
      <w:pPr>
        <w:pStyle w:val="ListParagraph"/>
        <w:ind w:firstLine="360"/>
        <w:jc w:val="center"/>
      </w:pPr>
    </w:p>
    <w:p w:rsidR="00D87A7D" w:rsidRPr="006F23C5" w:rsidP="009B4BFC" w14:paraId="3DA890FC" w14:textId="5DB98B1F">
      <w:pPr>
        <w:pStyle w:val="ListParagraph"/>
        <w:spacing w:after="0" w:line="480" w:lineRule="auto"/>
        <w:ind w:left="0" w:firstLine="720"/>
      </w:pPr>
      <w:bookmarkStart w:id="15" w:name="_Hlk98745175"/>
      <w:r w:rsidRPr="006F23C5">
        <w:t xml:space="preserve">AEP Ohio has proposed adding two standard deviations as allowable variance to the five-year average performance for 2017 through 2021 to establish the new </w:t>
      </w:r>
      <w:r w:rsidRPr="006F23C5" w:rsidR="004521A8">
        <w:t xml:space="preserve">SAIFI and CAIDI </w:t>
      </w:r>
      <w:r w:rsidRPr="006F23C5">
        <w:t xml:space="preserve">standards. Further, AEP Ohio </w:t>
      </w:r>
      <w:r w:rsidRPr="006F23C5" w:rsidR="004270B1">
        <w:t xml:space="preserve">has </w:t>
      </w:r>
      <w:r w:rsidRPr="006F23C5">
        <w:t xml:space="preserve">proposed adjusting the SAIFI standard </w:t>
      </w:r>
      <w:r w:rsidRPr="006F23C5" w:rsidR="004521A8">
        <w:t xml:space="preserve">by (0.02) in 2022 to account for planned reductions in </w:t>
      </w:r>
      <w:r w:rsidRPr="006F23C5" w:rsidR="004270B1">
        <w:t xml:space="preserve">consumer </w:t>
      </w:r>
      <w:r w:rsidRPr="006F23C5" w:rsidR="004521A8">
        <w:t xml:space="preserve">interruptions due to the installation of distribution automation circuit reconfiguration (“DACR”). DACR is </w:t>
      </w:r>
      <w:r w:rsidRPr="006F23C5" w:rsidR="005163F5">
        <w:t xml:space="preserve">a smart grid technology </w:t>
      </w:r>
      <w:r w:rsidRPr="006F23C5" w:rsidR="004521A8">
        <w:t xml:space="preserve">being deployed on approximately 250 circuits as part of the AEP Ohio </w:t>
      </w:r>
      <w:r w:rsidRPr="006F23C5" w:rsidR="00F70923">
        <w:t xml:space="preserve">grid </w:t>
      </w:r>
      <w:r w:rsidRPr="006F23C5" w:rsidR="004521A8">
        <w:t xml:space="preserve">smart </w:t>
      </w:r>
      <w:r w:rsidRPr="006F23C5" w:rsidR="00F70923">
        <w:t xml:space="preserve">II </w:t>
      </w:r>
      <w:r w:rsidRPr="006F23C5" w:rsidR="004521A8">
        <w:t xml:space="preserve">deployment. </w:t>
      </w:r>
      <w:r w:rsidRPr="006F23C5" w:rsidR="008212D3">
        <w:t xml:space="preserve">Circuits with </w:t>
      </w:r>
      <w:r w:rsidRPr="006F23C5" w:rsidR="005163F5">
        <w:t xml:space="preserve">DACR </w:t>
      </w:r>
      <w:r w:rsidRPr="006F23C5" w:rsidR="008212D3">
        <w:t xml:space="preserve">technologies are designed to </w:t>
      </w:r>
      <w:r w:rsidRPr="006F23C5" w:rsidR="005163F5">
        <w:t xml:space="preserve">automatically reroute power </w:t>
      </w:r>
      <w:r w:rsidRPr="006F23C5" w:rsidR="008212D3">
        <w:t xml:space="preserve">around fault areas by using alternative circuits and feeders to reduce the number of </w:t>
      </w:r>
      <w:r w:rsidRPr="006F23C5" w:rsidR="004270B1">
        <w:t xml:space="preserve">consumers </w:t>
      </w:r>
      <w:r w:rsidRPr="006F23C5" w:rsidR="008212D3">
        <w:t xml:space="preserve">who otherwise would be interrupted. </w:t>
      </w:r>
      <w:r w:rsidRPr="006F23C5" w:rsidR="004521A8">
        <w:t xml:space="preserve">AEP Ohio proposed an additional SAIFI adjustment of (0.02) for 2023 and beyond </w:t>
      </w:r>
      <w:r w:rsidRPr="006F23C5" w:rsidR="00F70923">
        <w:t xml:space="preserve">as the </w:t>
      </w:r>
      <w:r w:rsidRPr="006F23C5" w:rsidR="008212D3">
        <w:t xml:space="preserve">DACR deployment as part of the </w:t>
      </w:r>
      <w:r w:rsidRPr="006F23C5" w:rsidR="00F70923">
        <w:t xml:space="preserve">grid smart II </w:t>
      </w:r>
      <w:r w:rsidRPr="006F23C5" w:rsidR="008212D3">
        <w:t xml:space="preserve">is planned for </w:t>
      </w:r>
      <w:r w:rsidRPr="006F23C5" w:rsidR="00F70923">
        <w:t>complet</w:t>
      </w:r>
      <w:r w:rsidRPr="006F23C5" w:rsidR="008212D3">
        <w:t xml:space="preserve">ion </w:t>
      </w:r>
      <w:r w:rsidRPr="006F23C5" w:rsidR="00F70923">
        <w:t xml:space="preserve">by </w:t>
      </w:r>
      <w:r w:rsidRPr="006F23C5" w:rsidR="008212D3">
        <w:t>2023.</w:t>
      </w:r>
      <w:r w:rsidRPr="006F23C5" w:rsidR="00301D38">
        <w:t xml:space="preserve"> </w:t>
      </w:r>
      <w:bookmarkEnd w:id="15"/>
    </w:p>
    <w:p w:rsidR="009B4BFC" w:rsidRPr="006F23C5" w:rsidP="009B4BFC" w14:paraId="321B073E" w14:textId="77777777">
      <w:pPr>
        <w:pStyle w:val="ListParagraph"/>
        <w:spacing w:after="0" w:line="240" w:lineRule="auto"/>
        <w:ind w:left="0" w:firstLine="720"/>
      </w:pPr>
    </w:p>
    <w:p w:rsidR="00BC5FAC" w:rsidRPr="006F23C5" w:rsidP="009B4BFC" w14:paraId="052C937F" w14:textId="30D55A8D">
      <w:pPr>
        <w:pStyle w:val="Heading1"/>
        <w:numPr>
          <w:ilvl w:val="0"/>
          <w:numId w:val="32"/>
        </w:numPr>
        <w:ind w:left="720"/>
      </w:pPr>
      <w:bookmarkStart w:id="16" w:name="_Toc98246282"/>
      <w:bookmarkStart w:id="17" w:name="_Toc99360706"/>
      <w:bookmarkStart w:id="18" w:name="_Toc115271113"/>
      <w:r w:rsidRPr="006F23C5">
        <w:t xml:space="preserve">CONSUMER PROTECTION </w:t>
      </w:r>
      <w:r w:rsidRPr="006F23C5" w:rsidR="00852D5D">
        <w:t>COMMENTS</w:t>
      </w:r>
      <w:r w:rsidRPr="006F23C5" w:rsidR="004270B1">
        <w:t xml:space="preserve"> AND</w:t>
      </w:r>
      <w:r w:rsidRPr="006F23C5" w:rsidR="00852D5D">
        <w:t xml:space="preserve"> RECOMMENDATIONS</w:t>
      </w:r>
      <w:bookmarkEnd w:id="16"/>
      <w:bookmarkEnd w:id="17"/>
      <w:bookmarkEnd w:id="18"/>
    </w:p>
    <w:p w:rsidR="0031635E" w:rsidRPr="006F23C5" w:rsidP="009B4BFC" w14:paraId="0EB856E9" w14:textId="5E5067ED">
      <w:pPr>
        <w:pStyle w:val="Heading2"/>
        <w:numPr>
          <w:ilvl w:val="0"/>
          <w:numId w:val="31"/>
        </w:numPr>
        <w:ind w:left="1440" w:hanging="720"/>
        <w:rPr>
          <w:szCs w:val="24"/>
        </w:rPr>
      </w:pPr>
      <w:bookmarkStart w:id="19" w:name="_Toc115271114"/>
      <w:bookmarkStart w:id="20" w:name="_Toc98246285"/>
      <w:bookmarkStart w:id="21" w:name="_Toc99360710"/>
      <w:r w:rsidRPr="006F23C5">
        <w:rPr>
          <w:szCs w:val="24"/>
        </w:rPr>
        <w:t xml:space="preserve">The </w:t>
      </w:r>
      <w:r w:rsidRPr="006F23C5" w:rsidR="00BC5FAC">
        <w:rPr>
          <w:szCs w:val="24"/>
        </w:rPr>
        <w:t xml:space="preserve">two-standard deviation </w:t>
      </w:r>
      <w:r w:rsidRPr="006F23C5">
        <w:rPr>
          <w:szCs w:val="24"/>
        </w:rPr>
        <w:t>variance that AE</w:t>
      </w:r>
      <w:r w:rsidRPr="006F23C5" w:rsidR="00BC5FAC">
        <w:rPr>
          <w:szCs w:val="24"/>
        </w:rPr>
        <w:t xml:space="preserve">P Ohio </w:t>
      </w:r>
      <w:r w:rsidRPr="006F23C5">
        <w:rPr>
          <w:szCs w:val="24"/>
        </w:rPr>
        <w:t>is proposing to add to the five-year average CAIDI and SAIFI performance for 201</w:t>
      </w:r>
      <w:r w:rsidRPr="006F23C5" w:rsidR="00BC5FAC">
        <w:rPr>
          <w:szCs w:val="24"/>
        </w:rPr>
        <w:t>7</w:t>
      </w:r>
      <w:r w:rsidRPr="006F23C5">
        <w:rPr>
          <w:szCs w:val="24"/>
        </w:rPr>
        <w:t xml:space="preserve"> through 202</w:t>
      </w:r>
      <w:r w:rsidRPr="006F23C5" w:rsidR="00BC5FAC">
        <w:rPr>
          <w:szCs w:val="24"/>
        </w:rPr>
        <w:t>1</w:t>
      </w:r>
      <w:r w:rsidRPr="006F23C5">
        <w:rPr>
          <w:szCs w:val="24"/>
        </w:rPr>
        <w:t xml:space="preserve"> </w:t>
      </w:r>
      <w:r w:rsidRPr="006F23C5" w:rsidR="004270B1">
        <w:rPr>
          <w:szCs w:val="24"/>
        </w:rPr>
        <w:t xml:space="preserve">harms consumers by </w:t>
      </w:r>
      <w:r w:rsidRPr="006F23C5" w:rsidR="002C47F7">
        <w:rPr>
          <w:szCs w:val="24"/>
        </w:rPr>
        <w:t>f</w:t>
      </w:r>
      <w:r w:rsidRPr="006F23C5">
        <w:rPr>
          <w:szCs w:val="24"/>
        </w:rPr>
        <w:t>ail</w:t>
      </w:r>
      <w:r w:rsidRPr="006F23C5" w:rsidR="004270B1">
        <w:rPr>
          <w:szCs w:val="24"/>
        </w:rPr>
        <w:t>ing</w:t>
      </w:r>
      <w:r w:rsidRPr="006F23C5">
        <w:rPr>
          <w:szCs w:val="24"/>
        </w:rPr>
        <w:t xml:space="preserve"> to comply with the PUCO rules for establishing new reliability standards</w:t>
      </w:r>
      <w:r w:rsidRPr="006F23C5" w:rsidR="002C47F7">
        <w:rPr>
          <w:szCs w:val="24"/>
        </w:rPr>
        <w:t xml:space="preserve"> and </w:t>
      </w:r>
      <w:r w:rsidRPr="006F23C5" w:rsidR="00574864">
        <w:rPr>
          <w:szCs w:val="24"/>
        </w:rPr>
        <w:t xml:space="preserve">would </w:t>
      </w:r>
      <w:r w:rsidRPr="006F23C5" w:rsidR="00C11B8A">
        <w:rPr>
          <w:szCs w:val="24"/>
        </w:rPr>
        <w:t xml:space="preserve">result in </w:t>
      </w:r>
      <w:r w:rsidRPr="006F23C5" w:rsidR="007F086E">
        <w:rPr>
          <w:szCs w:val="24"/>
        </w:rPr>
        <w:t xml:space="preserve">further </w:t>
      </w:r>
      <w:r w:rsidRPr="006F23C5" w:rsidR="002C47F7">
        <w:rPr>
          <w:szCs w:val="24"/>
        </w:rPr>
        <w:t>unreasonable degradation in reliability performance over time.</w:t>
      </w:r>
      <w:bookmarkEnd w:id="19"/>
      <w:r w:rsidRPr="006F23C5" w:rsidR="002C47F7">
        <w:rPr>
          <w:szCs w:val="24"/>
        </w:rPr>
        <w:t xml:space="preserve"> </w:t>
      </w:r>
      <w:bookmarkEnd w:id="20"/>
      <w:bookmarkEnd w:id="21"/>
    </w:p>
    <w:p w:rsidR="00AE6340" w:rsidRPr="006F23C5" w:rsidP="000C3F64" w14:paraId="3ECE9639" w14:textId="7D0354DA">
      <w:pPr>
        <w:spacing w:line="480" w:lineRule="auto"/>
        <w:ind w:firstLine="720"/>
        <w:rPr>
          <w:szCs w:val="24"/>
        </w:rPr>
      </w:pPr>
      <w:r w:rsidRPr="006F23C5">
        <w:rPr>
          <w:szCs w:val="24"/>
        </w:rPr>
        <w:t>AEP Ohio</w:t>
      </w:r>
      <w:r w:rsidRPr="006F23C5" w:rsidR="004270B1">
        <w:rPr>
          <w:szCs w:val="24"/>
        </w:rPr>
        <w:t>’s</w:t>
      </w:r>
      <w:r w:rsidRPr="006F23C5">
        <w:rPr>
          <w:szCs w:val="24"/>
        </w:rPr>
        <w:t xml:space="preserve"> propos</w:t>
      </w:r>
      <w:r w:rsidRPr="006F23C5" w:rsidR="00574864">
        <w:rPr>
          <w:szCs w:val="24"/>
        </w:rPr>
        <w:t xml:space="preserve">al to </w:t>
      </w:r>
      <w:r w:rsidRPr="006F23C5">
        <w:rPr>
          <w:szCs w:val="24"/>
        </w:rPr>
        <w:t>w</w:t>
      </w:r>
      <w:r w:rsidRPr="006F23C5" w:rsidR="00574864">
        <w:rPr>
          <w:szCs w:val="24"/>
        </w:rPr>
        <w:t xml:space="preserve">eaken reliability </w:t>
      </w:r>
      <w:r w:rsidRPr="006F23C5">
        <w:rPr>
          <w:szCs w:val="24"/>
        </w:rPr>
        <w:t xml:space="preserve">standards is going in the wrong direction for </w:t>
      </w:r>
      <w:r w:rsidRPr="006F23C5" w:rsidR="00574864">
        <w:rPr>
          <w:szCs w:val="24"/>
        </w:rPr>
        <w:t>consumers. Both the SAIFI and the C</w:t>
      </w:r>
      <w:r w:rsidRPr="006F23C5">
        <w:rPr>
          <w:szCs w:val="24"/>
        </w:rPr>
        <w:t>AIDI standards</w:t>
      </w:r>
      <w:r w:rsidRPr="006F23C5" w:rsidR="00574864">
        <w:rPr>
          <w:szCs w:val="24"/>
        </w:rPr>
        <w:t xml:space="preserve"> </w:t>
      </w:r>
      <w:r w:rsidRPr="006F23C5">
        <w:rPr>
          <w:szCs w:val="24"/>
        </w:rPr>
        <w:t xml:space="preserve">should reflect </w:t>
      </w:r>
      <w:r w:rsidRPr="006F23C5">
        <w:rPr>
          <w:i/>
          <w:iCs/>
          <w:szCs w:val="24"/>
        </w:rPr>
        <w:t>improvement</w:t>
      </w:r>
      <w:r w:rsidRPr="006F23C5">
        <w:rPr>
          <w:szCs w:val="24"/>
        </w:rPr>
        <w:t xml:space="preserve"> </w:t>
      </w:r>
      <w:r w:rsidRPr="006F23C5" w:rsidR="00574864">
        <w:rPr>
          <w:szCs w:val="24"/>
        </w:rPr>
        <w:t>over the current 1.18 SAIFI and 148-minute CAIDI</w:t>
      </w:r>
      <w:r w:rsidRPr="006F23C5" w:rsidR="007D4F1A">
        <w:rPr>
          <w:szCs w:val="24"/>
        </w:rPr>
        <w:t xml:space="preserve"> in light of AEP Ohio’s enormous spending on “reliability” (such as gridSmart</w:t>
      </w:r>
      <w:r w:rsidRPr="006F23C5" w:rsidR="0058709D">
        <w:rPr>
          <w:szCs w:val="24"/>
        </w:rPr>
        <w:t>)</w:t>
      </w:r>
      <w:r w:rsidRPr="006F23C5" w:rsidR="00574864">
        <w:rPr>
          <w:szCs w:val="24"/>
        </w:rPr>
        <w:t xml:space="preserve">. </w:t>
      </w:r>
      <w:r w:rsidRPr="006F23C5" w:rsidR="00852D5D">
        <w:rPr>
          <w:szCs w:val="24"/>
        </w:rPr>
        <w:t>AE</w:t>
      </w:r>
      <w:r w:rsidRPr="006F23C5" w:rsidR="002C47F7">
        <w:rPr>
          <w:szCs w:val="24"/>
        </w:rPr>
        <w:t>P Ohio</w:t>
      </w:r>
      <w:r w:rsidRPr="006F23C5" w:rsidR="00B671DE">
        <w:rPr>
          <w:szCs w:val="24"/>
        </w:rPr>
        <w:t>’s</w:t>
      </w:r>
      <w:r w:rsidRPr="006F23C5" w:rsidR="002C47F7">
        <w:rPr>
          <w:szCs w:val="24"/>
        </w:rPr>
        <w:t xml:space="preserve"> </w:t>
      </w:r>
      <w:r w:rsidRPr="006F23C5" w:rsidR="00574864">
        <w:rPr>
          <w:szCs w:val="24"/>
        </w:rPr>
        <w:t>propos</w:t>
      </w:r>
      <w:r w:rsidRPr="006F23C5" w:rsidR="005A56F9">
        <w:rPr>
          <w:szCs w:val="24"/>
        </w:rPr>
        <w:t xml:space="preserve">ed </w:t>
      </w:r>
      <w:r w:rsidRPr="006F23C5" w:rsidR="001E6A06">
        <w:rPr>
          <w:szCs w:val="24"/>
        </w:rPr>
        <w:t xml:space="preserve">weaker standards are due to </w:t>
      </w:r>
      <w:r w:rsidRPr="006F23C5" w:rsidR="00B671DE">
        <w:rPr>
          <w:szCs w:val="24"/>
        </w:rPr>
        <w:t xml:space="preserve">a </w:t>
      </w:r>
      <w:r w:rsidRPr="006F23C5" w:rsidR="002C47F7">
        <w:rPr>
          <w:szCs w:val="24"/>
        </w:rPr>
        <w:t xml:space="preserve">two-standard deviation variance </w:t>
      </w:r>
      <w:r w:rsidRPr="006F23C5" w:rsidR="001E6A06">
        <w:rPr>
          <w:szCs w:val="24"/>
        </w:rPr>
        <w:t xml:space="preserve">that AEP Ohio is seeking to add </w:t>
      </w:r>
      <w:r w:rsidRPr="006F23C5" w:rsidR="002C47F7">
        <w:rPr>
          <w:szCs w:val="24"/>
        </w:rPr>
        <w:t>t</w:t>
      </w:r>
      <w:r w:rsidRPr="006F23C5" w:rsidR="00852D5D">
        <w:rPr>
          <w:szCs w:val="24"/>
        </w:rPr>
        <w:t xml:space="preserve">o the five-year average </w:t>
      </w:r>
      <w:r w:rsidRPr="006F23C5" w:rsidR="002C47F7">
        <w:rPr>
          <w:szCs w:val="24"/>
        </w:rPr>
        <w:t xml:space="preserve">historical </w:t>
      </w:r>
      <w:r w:rsidRPr="006F23C5" w:rsidR="00852D5D">
        <w:rPr>
          <w:szCs w:val="24"/>
        </w:rPr>
        <w:t>CAIDI and SAIFI performance for 201</w:t>
      </w:r>
      <w:r w:rsidRPr="006F23C5" w:rsidR="00C03EA3">
        <w:rPr>
          <w:szCs w:val="24"/>
        </w:rPr>
        <w:t>7</w:t>
      </w:r>
      <w:r w:rsidRPr="006F23C5" w:rsidR="00852D5D">
        <w:rPr>
          <w:szCs w:val="24"/>
        </w:rPr>
        <w:t xml:space="preserve"> through 202</w:t>
      </w:r>
      <w:r w:rsidRPr="006F23C5" w:rsidR="00C03EA3">
        <w:rPr>
          <w:szCs w:val="24"/>
        </w:rPr>
        <w:t>1</w:t>
      </w:r>
      <w:r w:rsidRPr="006F23C5" w:rsidR="00852D5D">
        <w:rPr>
          <w:szCs w:val="24"/>
        </w:rPr>
        <w:t>.</w:t>
      </w:r>
      <w:r>
        <w:rPr>
          <w:rStyle w:val="FootnoteReference"/>
          <w:szCs w:val="24"/>
        </w:rPr>
        <w:footnoteReference w:id="36"/>
      </w:r>
      <w:r w:rsidRPr="006F23C5" w:rsidR="00852D5D">
        <w:rPr>
          <w:szCs w:val="24"/>
        </w:rPr>
        <w:t xml:space="preserve"> But the proposed </w:t>
      </w:r>
      <w:r w:rsidRPr="006F23C5" w:rsidR="00C11B8A">
        <w:rPr>
          <w:szCs w:val="24"/>
        </w:rPr>
        <w:t xml:space="preserve">additional </w:t>
      </w:r>
      <w:r w:rsidRPr="006F23C5" w:rsidR="00852D5D">
        <w:rPr>
          <w:szCs w:val="24"/>
        </w:rPr>
        <w:t>variance does not comply with the PUCO rules for establishing new standards.</w:t>
      </w:r>
    </w:p>
    <w:p w:rsidR="0031635E" w:rsidRPr="006F23C5" w:rsidP="000C3F64" w14:paraId="50EAEF9A" w14:textId="4AA88A4D">
      <w:pPr>
        <w:spacing w:line="480" w:lineRule="auto"/>
        <w:ind w:firstLine="720"/>
        <w:rPr>
          <w:szCs w:val="24"/>
        </w:rPr>
      </w:pPr>
      <w:r w:rsidRPr="006F23C5">
        <w:rPr>
          <w:szCs w:val="24"/>
        </w:rPr>
        <w:t xml:space="preserve"> Under the PUCO rules, reliability performance standards should be based on historical system performance, system design, technological advancements, service area geography, </w:t>
      </w:r>
      <w:r w:rsidRPr="006F23C5" w:rsidR="00B671DE">
        <w:rPr>
          <w:szCs w:val="24"/>
        </w:rPr>
        <w:t xml:space="preserve">consumer </w:t>
      </w:r>
      <w:r w:rsidRPr="006F23C5">
        <w:rPr>
          <w:szCs w:val="24"/>
        </w:rPr>
        <w:t>perception survey results, and other relevant factors</w:t>
      </w:r>
      <w:r w:rsidRPr="006F23C5" w:rsidR="00C03EA3">
        <w:rPr>
          <w:szCs w:val="24"/>
        </w:rPr>
        <w:t xml:space="preserve">, </w:t>
      </w:r>
      <w:r w:rsidRPr="006F23C5">
        <w:rPr>
          <w:szCs w:val="24"/>
        </w:rPr>
        <w:t xml:space="preserve">not some </w:t>
      </w:r>
      <w:r w:rsidRPr="006F23C5" w:rsidR="00C03EA3">
        <w:rPr>
          <w:szCs w:val="24"/>
        </w:rPr>
        <w:t xml:space="preserve">unquantifiable and unsupported </w:t>
      </w:r>
      <w:r w:rsidRPr="006F23C5">
        <w:rPr>
          <w:szCs w:val="24"/>
        </w:rPr>
        <w:t>number like AE</w:t>
      </w:r>
      <w:r w:rsidRPr="006F23C5" w:rsidR="00C03EA3">
        <w:rPr>
          <w:szCs w:val="24"/>
        </w:rPr>
        <w:t xml:space="preserve">P Ohio </w:t>
      </w:r>
      <w:r w:rsidRPr="006F23C5">
        <w:rPr>
          <w:szCs w:val="24"/>
        </w:rPr>
        <w:t>is proposing.</w:t>
      </w:r>
      <w:r>
        <w:rPr>
          <w:rStyle w:val="FootnoteReference"/>
          <w:szCs w:val="24"/>
        </w:rPr>
        <w:footnoteReference w:id="37"/>
      </w:r>
      <w:r w:rsidRPr="006F23C5">
        <w:rPr>
          <w:szCs w:val="24"/>
        </w:rPr>
        <w:t xml:space="preserve"> </w:t>
      </w:r>
    </w:p>
    <w:p w:rsidR="0031635E" w:rsidRPr="006F23C5" w:rsidP="000C3F64" w14:paraId="5FF6C14F" w14:textId="709BE7E0">
      <w:pPr>
        <w:spacing w:line="480" w:lineRule="auto"/>
        <w:ind w:firstLine="720"/>
        <w:rPr>
          <w:szCs w:val="24"/>
        </w:rPr>
      </w:pPr>
      <w:r w:rsidRPr="006F23C5">
        <w:rPr>
          <w:szCs w:val="24"/>
        </w:rPr>
        <w:t>The PUCO rules require AE</w:t>
      </w:r>
      <w:r w:rsidRPr="006F23C5" w:rsidR="00C03EA3">
        <w:rPr>
          <w:szCs w:val="24"/>
        </w:rPr>
        <w:t xml:space="preserve">P Ohio </w:t>
      </w:r>
      <w:r w:rsidRPr="006F23C5">
        <w:rPr>
          <w:szCs w:val="24"/>
        </w:rPr>
        <w:t xml:space="preserve">to </w:t>
      </w:r>
      <w:r w:rsidRPr="006F23C5" w:rsidR="00C03EA3">
        <w:rPr>
          <w:szCs w:val="24"/>
        </w:rPr>
        <w:t>establish a</w:t>
      </w:r>
      <w:r w:rsidRPr="006F23C5" w:rsidR="002417F3">
        <w:rPr>
          <w:szCs w:val="24"/>
        </w:rPr>
        <w:t xml:space="preserve"> h</w:t>
      </w:r>
      <w:r w:rsidRPr="006F23C5" w:rsidR="00C03EA3">
        <w:rPr>
          <w:szCs w:val="24"/>
        </w:rPr>
        <w:t xml:space="preserve">istorical </w:t>
      </w:r>
      <w:r w:rsidRPr="006F23C5" w:rsidR="002417F3">
        <w:rPr>
          <w:szCs w:val="24"/>
        </w:rPr>
        <w:t xml:space="preserve">average </w:t>
      </w:r>
      <w:r w:rsidRPr="006F23C5" w:rsidR="00C03EA3">
        <w:rPr>
          <w:szCs w:val="24"/>
        </w:rPr>
        <w:t xml:space="preserve">baseline performance using at least </w:t>
      </w:r>
      <w:r w:rsidRPr="006F23C5">
        <w:rPr>
          <w:szCs w:val="24"/>
        </w:rPr>
        <w:t>five-year</w:t>
      </w:r>
      <w:r w:rsidRPr="006F23C5" w:rsidR="002417F3">
        <w:rPr>
          <w:szCs w:val="24"/>
        </w:rPr>
        <w:t xml:space="preserve">s of CAIDI and SAIFI reliability data. The five-year average </w:t>
      </w:r>
      <w:r w:rsidRPr="006F23C5">
        <w:rPr>
          <w:szCs w:val="24"/>
        </w:rPr>
        <w:t xml:space="preserve">CAIDI and SAIFI </w:t>
      </w:r>
      <w:r w:rsidRPr="006F23C5" w:rsidR="002417F3">
        <w:rPr>
          <w:szCs w:val="24"/>
        </w:rPr>
        <w:t xml:space="preserve">baseline performance is then adjusted </w:t>
      </w:r>
      <w:r w:rsidRPr="006F23C5">
        <w:rPr>
          <w:szCs w:val="24"/>
        </w:rPr>
        <w:t xml:space="preserve">to reflect </w:t>
      </w:r>
      <w:r w:rsidRPr="006F23C5" w:rsidR="00C03EA3">
        <w:rPr>
          <w:szCs w:val="24"/>
        </w:rPr>
        <w:t xml:space="preserve">quantifiable </w:t>
      </w:r>
      <w:r w:rsidRPr="006F23C5">
        <w:rPr>
          <w:szCs w:val="24"/>
        </w:rPr>
        <w:t xml:space="preserve">changes in the system design, technological advancements, service area geography, and the results of periodic </w:t>
      </w:r>
      <w:r w:rsidRPr="006F23C5" w:rsidR="00B671DE">
        <w:rPr>
          <w:szCs w:val="24"/>
        </w:rPr>
        <w:t xml:space="preserve">consumer </w:t>
      </w:r>
      <w:r w:rsidRPr="006F23C5">
        <w:rPr>
          <w:szCs w:val="24"/>
        </w:rPr>
        <w:t xml:space="preserve">perception surveys. </w:t>
      </w:r>
      <w:r w:rsidRPr="006F23C5" w:rsidR="007F086E">
        <w:rPr>
          <w:szCs w:val="24"/>
        </w:rPr>
        <w:t xml:space="preserve">In other words, </w:t>
      </w:r>
      <w:r w:rsidRPr="006F23C5" w:rsidR="004D71E7">
        <w:rPr>
          <w:szCs w:val="24"/>
        </w:rPr>
        <w:t xml:space="preserve">AEP Ohio should have </w:t>
      </w:r>
      <w:r w:rsidRPr="006F23C5" w:rsidR="00E57BBF">
        <w:rPr>
          <w:szCs w:val="24"/>
        </w:rPr>
        <w:t xml:space="preserve">proposed standards </w:t>
      </w:r>
      <w:r w:rsidRPr="006F23C5" w:rsidR="004D71E7">
        <w:rPr>
          <w:szCs w:val="24"/>
        </w:rPr>
        <w:t xml:space="preserve">based on its </w:t>
      </w:r>
      <w:r w:rsidRPr="006F23C5" w:rsidR="00E57BBF">
        <w:rPr>
          <w:szCs w:val="24"/>
        </w:rPr>
        <w:t xml:space="preserve">five-year average baseline for both CAIDI (141 minutes) and SAIFI (1.20) with additional adjustments </w:t>
      </w:r>
      <w:r w:rsidRPr="006F23C5" w:rsidR="004D71E7">
        <w:rPr>
          <w:szCs w:val="24"/>
        </w:rPr>
        <w:t xml:space="preserve">as </w:t>
      </w:r>
      <w:r w:rsidRPr="006F23C5" w:rsidR="00B671DE">
        <w:rPr>
          <w:szCs w:val="24"/>
        </w:rPr>
        <w:t>appropriate</w:t>
      </w:r>
      <w:r w:rsidRPr="006F23C5" w:rsidR="002F3A88">
        <w:rPr>
          <w:szCs w:val="24"/>
        </w:rPr>
        <w:t xml:space="preserve">. </w:t>
      </w:r>
      <w:r w:rsidRPr="006F23C5">
        <w:rPr>
          <w:szCs w:val="24"/>
        </w:rPr>
        <w:t>AE</w:t>
      </w:r>
      <w:r w:rsidRPr="006F23C5" w:rsidR="00C03EA3">
        <w:rPr>
          <w:szCs w:val="24"/>
        </w:rPr>
        <w:t xml:space="preserve">P Ohio </w:t>
      </w:r>
      <w:r w:rsidRPr="006F23C5">
        <w:rPr>
          <w:szCs w:val="24"/>
        </w:rPr>
        <w:t>provided no support for adjusting the five-year average performance with any additional variance</w:t>
      </w:r>
      <w:r w:rsidRPr="006F23C5" w:rsidR="003E5870">
        <w:rPr>
          <w:szCs w:val="24"/>
        </w:rPr>
        <w:t xml:space="preserve"> – </w:t>
      </w:r>
      <w:r w:rsidRPr="006F23C5">
        <w:rPr>
          <w:szCs w:val="24"/>
        </w:rPr>
        <w:t>let alone an unreasonabl</w:t>
      </w:r>
      <w:r w:rsidRPr="006F23C5" w:rsidR="001D5B89">
        <w:rPr>
          <w:szCs w:val="24"/>
        </w:rPr>
        <w:t xml:space="preserve">e two standard deviation </w:t>
      </w:r>
      <w:r w:rsidRPr="006F23C5">
        <w:rPr>
          <w:szCs w:val="24"/>
        </w:rPr>
        <w:t xml:space="preserve">variance. After all, outages associated with major event days </w:t>
      </w:r>
      <w:r w:rsidRPr="006F23C5" w:rsidR="00C30408">
        <w:rPr>
          <w:szCs w:val="24"/>
        </w:rPr>
        <w:t xml:space="preserve">and transmission outages </w:t>
      </w:r>
      <w:r w:rsidRPr="006F23C5">
        <w:rPr>
          <w:i/>
          <w:iCs/>
          <w:szCs w:val="24"/>
        </w:rPr>
        <w:t>are already excluded</w:t>
      </w:r>
      <w:r w:rsidRPr="006F23C5">
        <w:rPr>
          <w:szCs w:val="24"/>
        </w:rPr>
        <w:t xml:space="preserve"> from the standards and the </w:t>
      </w:r>
      <w:r w:rsidRPr="006F23C5" w:rsidR="003E5870">
        <w:rPr>
          <w:szCs w:val="24"/>
        </w:rPr>
        <w:t>“</w:t>
      </w:r>
      <w:r w:rsidRPr="006F23C5" w:rsidR="00C30408">
        <w:rPr>
          <w:szCs w:val="24"/>
        </w:rPr>
        <w:t>blue sky</w:t>
      </w:r>
      <w:r w:rsidRPr="006F23C5" w:rsidR="003E5870">
        <w:rPr>
          <w:szCs w:val="24"/>
        </w:rPr>
        <w:t>”</w:t>
      </w:r>
      <w:r w:rsidRPr="006F23C5" w:rsidR="00C30408">
        <w:rPr>
          <w:szCs w:val="24"/>
        </w:rPr>
        <w:t xml:space="preserve"> </w:t>
      </w:r>
      <w:r w:rsidRPr="006F23C5">
        <w:rPr>
          <w:szCs w:val="24"/>
        </w:rPr>
        <w:t>reliability performance that AE</w:t>
      </w:r>
      <w:r w:rsidRPr="006F23C5" w:rsidR="004D71E7">
        <w:rPr>
          <w:szCs w:val="24"/>
        </w:rPr>
        <w:t xml:space="preserve">P Ohio </w:t>
      </w:r>
      <w:r w:rsidRPr="006F23C5">
        <w:rPr>
          <w:szCs w:val="24"/>
        </w:rPr>
        <w:t>is responsible for providing consumers.</w:t>
      </w:r>
    </w:p>
    <w:p w:rsidR="002F3A88" w:rsidRPr="006F23C5" w:rsidP="000C3F64" w14:paraId="5090280C" w14:textId="3C32D0FC">
      <w:pPr>
        <w:spacing w:line="480" w:lineRule="auto"/>
        <w:ind w:firstLine="720"/>
        <w:rPr>
          <w:szCs w:val="24"/>
        </w:rPr>
      </w:pPr>
      <w:r w:rsidRPr="006F23C5">
        <w:rPr>
          <w:szCs w:val="24"/>
        </w:rPr>
        <w:t>The sole rationale that AE</w:t>
      </w:r>
      <w:r w:rsidRPr="006F23C5" w:rsidR="004D71E7">
        <w:rPr>
          <w:szCs w:val="24"/>
        </w:rPr>
        <w:t xml:space="preserve">P Ohio </w:t>
      </w:r>
      <w:r w:rsidRPr="006F23C5">
        <w:rPr>
          <w:szCs w:val="24"/>
        </w:rPr>
        <w:t xml:space="preserve">provided for the </w:t>
      </w:r>
      <w:r w:rsidRPr="006F23C5" w:rsidR="004D71E7">
        <w:rPr>
          <w:szCs w:val="24"/>
        </w:rPr>
        <w:t xml:space="preserve">two standard deviation </w:t>
      </w:r>
      <w:r w:rsidRPr="006F23C5">
        <w:rPr>
          <w:szCs w:val="24"/>
        </w:rPr>
        <w:t>variance is “</w:t>
      </w:r>
      <w:r w:rsidRPr="006F23C5" w:rsidR="00EF56AF">
        <w:rPr>
          <w:szCs w:val="24"/>
        </w:rPr>
        <w:t>t</w:t>
      </w:r>
      <w:r w:rsidRPr="006F23C5">
        <w:rPr>
          <w:szCs w:val="24"/>
        </w:rPr>
        <w:t xml:space="preserve">o account for </w:t>
      </w:r>
      <w:r w:rsidRPr="006F23C5" w:rsidR="00B573BF">
        <w:rPr>
          <w:szCs w:val="24"/>
        </w:rPr>
        <w:t>normally expected annual fluctuations.”</w:t>
      </w:r>
      <w:r>
        <w:rPr>
          <w:rStyle w:val="FootnoteReference"/>
          <w:szCs w:val="24"/>
        </w:rPr>
        <w:footnoteReference w:id="38"/>
      </w:r>
      <w:r w:rsidRPr="006F23C5" w:rsidR="00301D38">
        <w:rPr>
          <w:szCs w:val="24"/>
        </w:rPr>
        <w:t xml:space="preserve"> </w:t>
      </w:r>
      <w:r w:rsidRPr="006F23C5">
        <w:rPr>
          <w:szCs w:val="24"/>
        </w:rPr>
        <w:t xml:space="preserve">While there may be annual </w:t>
      </w:r>
      <w:r w:rsidRPr="006F23C5" w:rsidR="00FE0EDF">
        <w:rPr>
          <w:szCs w:val="24"/>
        </w:rPr>
        <w:t xml:space="preserve">fluctuations </w:t>
      </w:r>
      <w:r w:rsidRPr="006F23C5">
        <w:rPr>
          <w:szCs w:val="24"/>
        </w:rPr>
        <w:t xml:space="preserve">in operating conditions, the five-year average historical performance </w:t>
      </w:r>
      <w:r w:rsidRPr="006F23C5">
        <w:rPr>
          <w:i/>
          <w:iCs/>
          <w:szCs w:val="24"/>
        </w:rPr>
        <w:t>already accounts for</w:t>
      </w:r>
      <w:r w:rsidRPr="006F23C5">
        <w:rPr>
          <w:szCs w:val="24"/>
        </w:rPr>
        <w:t xml:space="preserve"> most if not all of these conditions.</w:t>
      </w:r>
      <w:r>
        <w:rPr>
          <w:rStyle w:val="FootnoteReference"/>
          <w:szCs w:val="24"/>
        </w:rPr>
        <w:footnoteReference w:id="39"/>
      </w:r>
      <w:r w:rsidRPr="006F23C5">
        <w:rPr>
          <w:szCs w:val="24"/>
        </w:rPr>
        <w:t xml:space="preserve"> </w:t>
      </w:r>
      <w:r w:rsidRPr="006F23C5" w:rsidR="00F14DC2">
        <w:rPr>
          <w:szCs w:val="24"/>
        </w:rPr>
        <w:t xml:space="preserve">AEP Ohio complains that it is required to perform an analysis if it fails to meet a standard </w:t>
      </w:r>
      <w:r w:rsidRPr="006F23C5" w:rsidR="00681DBB">
        <w:rPr>
          <w:szCs w:val="24"/>
        </w:rPr>
        <w:t>and to develop action plans to provide at least standard service the following year.</w:t>
      </w:r>
      <w:r>
        <w:rPr>
          <w:rStyle w:val="FootnoteReference"/>
          <w:szCs w:val="24"/>
        </w:rPr>
        <w:footnoteReference w:id="40"/>
      </w:r>
      <w:r w:rsidRPr="006F23C5" w:rsidR="00681DBB">
        <w:rPr>
          <w:szCs w:val="24"/>
        </w:rPr>
        <w:t xml:space="preserve"> But proposing </w:t>
      </w:r>
      <w:r w:rsidRPr="006F23C5" w:rsidR="00B312E0">
        <w:rPr>
          <w:szCs w:val="24"/>
        </w:rPr>
        <w:t>reliability standards at a level that even AEP Ohio would have a difficult time missing defeats the purpose for establishing prescribed standards as required under Ohio law.</w:t>
      </w:r>
      <w:r>
        <w:rPr>
          <w:rStyle w:val="FootnoteReference"/>
          <w:szCs w:val="24"/>
        </w:rPr>
        <w:footnoteReference w:id="41"/>
      </w:r>
      <w:r w:rsidRPr="006F23C5" w:rsidR="00B312E0">
        <w:rPr>
          <w:szCs w:val="24"/>
        </w:rPr>
        <w:t xml:space="preserve"> </w:t>
      </w:r>
      <w:r w:rsidRPr="006F23C5">
        <w:rPr>
          <w:szCs w:val="24"/>
        </w:rPr>
        <w:t xml:space="preserve">Adding </w:t>
      </w:r>
      <w:r w:rsidRPr="006F23C5" w:rsidR="00B312E0">
        <w:rPr>
          <w:szCs w:val="24"/>
        </w:rPr>
        <w:t xml:space="preserve">two-standard deviation </w:t>
      </w:r>
      <w:r w:rsidRPr="006F23C5">
        <w:rPr>
          <w:szCs w:val="24"/>
        </w:rPr>
        <w:t xml:space="preserve">variance on the five-year average historical SAIFI </w:t>
      </w:r>
      <w:r w:rsidRPr="006F23C5" w:rsidR="00B312E0">
        <w:rPr>
          <w:szCs w:val="24"/>
        </w:rPr>
        <w:t xml:space="preserve">and CAIDI </w:t>
      </w:r>
      <w:r w:rsidRPr="006F23C5">
        <w:rPr>
          <w:szCs w:val="24"/>
        </w:rPr>
        <w:t>performance</w:t>
      </w:r>
      <w:r w:rsidRPr="006F23C5" w:rsidR="009B2B49">
        <w:rPr>
          <w:szCs w:val="24"/>
        </w:rPr>
        <w:t>, which has never been done before,</w:t>
      </w:r>
      <w:r w:rsidRPr="006F23C5">
        <w:rPr>
          <w:szCs w:val="24"/>
        </w:rPr>
        <w:t xml:space="preserve"> would serve no purpose except disincentivizing AE</w:t>
      </w:r>
      <w:r w:rsidRPr="006F23C5" w:rsidR="00B312E0">
        <w:rPr>
          <w:szCs w:val="24"/>
        </w:rPr>
        <w:t xml:space="preserve">P Ohio </w:t>
      </w:r>
      <w:r w:rsidRPr="006F23C5">
        <w:rPr>
          <w:szCs w:val="24"/>
        </w:rPr>
        <w:t xml:space="preserve">from providing consumers with the reliable service that they pay for and deserve. </w:t>
      </w:r>
    </w:p>
    <w:p w:rsidR="002F3A88" w:rsidRPr="006F23C5" w:rsidP="00152DEF" w14:paraId="7CBE4C8C" w14:textId="59821E27">
      <w:pPr>
        <w:spacing w:line="480" w:lineRule="auto"/>
        <w:ind w:firstLine="720"/>
        <w:rPr>
          <w:szCs w:val="24"/>
        </w:rPr>
      </w:pPr>
      <w:r w:rsidRPr="006F23C5">
        <w:rPr>
          <w:szCs w:val="24"/>
        </w:rPr>
        <w:t>The PUCO should require AE</w:t>
      </w:r>
      <w:r w:rsidRPr="006F23C5" w:rsidR="00B312E0">
        <w:rPr>
          <w:szCs w:val="24"/>
        </w:rPr>
        <w:t xml:space="preserve">P Ohio </w:t>
      </w:r>
      <w:r w:rsidRPr="006F23C5">
        <w:rPr>
          <w:szCs w:val="24"/>
        </w:rPr>
        <w:t>to comply with the PUCO rules for establishing new reliability standards</w:t>
      </w:r>
      <w:r w:rsidRPr="006F23C5" w:rsidR="00D302C8">
        <w:rPr>
          <w:szCs w:val="24"/>
        </w:rPr>
        <w:t>. The PUCO should</w:t>
      </w:r>
      <w:r w:rsidRPr="006F23C5">
        <w:rPr>
          <w:szCs w:val="24"/>
        </w:rPr>
        <w:t xml:space="preserve"> eliminate the </w:t>
      </w:r>
      <w:r w:rsidRPr="006F23C5" w:rsidR="00B312E0">
        <w:rPr>
          <w:szCs w:val="24"/>
        </w:rPr>
        <w:t>two standard deviation variance</w:t>
      </w:r>
      <w:r w:rsidRPr="006F23C5">
        <w:rPr>
          <w:szCs w:val="24"/>
        </w:rPr>
        <w:t xml:space="preserve"> </w:t>
      </w:r>
      <w:r w:rsidRPr="006F23C5" w:rsidR="00962426">
        <w:rPr>
          <w:szCs w:val="24"/>
        </w:rPr>
        <w:t>adders</w:t>
      </w:r>
      <w:r w:rsidRPr="006F23C5">
        <w:rPr>
          <w:szCs w:val="24"/>
        </w:rPr>
        <w:t xml:space="preserve"> on the five-year average historical performance for its CAIDI and SAIFI standards.</w:t>
      </w:r>
      <w:r w:rsidRPr="006F23C5" w:rsidR="00301D38">
        <w:rPr>
          <w:szCs w:val="24"/>
        </w:rPr>
        <w:t xml:space="preserve"> </w:t>
      </w:r>
    </w:p>
    <w:p w:rsidR="00BC5FAC" w:rsidRPr="006F23C5" w:rsidP="00152DEF" w14:paraId="1B9AE0FC" w14:textId="29B0DA52">
      <w:pPr>
        <w:pStyle w:val="Heading2"/>
        <w:rPr>
          <w:szCs w:val="24"/>
        </w:rPr>
      </w:pPr>
      <w:bookmarkStart w:id="22" w:name="_Toc115271115"/>
      <w:r w:rsidRPr="006F23C5">
        <w:rPr>
          <w:szCs w:val="24"/>
        </w:rPr>
        <w:t>B.</w:t>
      </w:r>
      <w:r w:rsidRPr="006F23C5">
        <w:rPr>
          <w:szCs w:val="24"/>
        </w:rPr>
        <w:tab/>
        <w:t xml:space="preserve">In determining the five-year average baseline </w:t>
      </w:r>
      <w:r w:rsidRPr="006F23C5" w:rsidR="00D87749">
        <w:rPr>
          <w:szCs w:val="24"/>
        </w:rPr>
        <w:t xml:space="preserve">SAIFI </w:t>
      </w:r>
      <w:r w:rsidRPr="006F23C5">
        <w:rPr>
          <w:szCs w:val="24"/>
        </w:rPr>
        <w:t>performance for 201</w:t>
      </w:r>
      <w:r w:rsidRPr="006F23C5" w:rsidR="00D87749">
        <w:rPr>
          <w:szCs w:val="24"/>
        </w:rPr>
        <w:t>7</w:t>
      </w:r>
      <w:r w:rsidRPr="006F23C5">
        <w:rPr>
          <w:szCs w:val="24"/>
        </w:rPr>
        <w:t xml:space="preserve"> through 202</w:t>
      </w:r>
      <w:r w:rsidRPr="006F23C5" w:rsidR="00D87749">
        <w:rPr>
          <w:szCs w:val="24"/>
        </w:rPr>
        <w:t>1</w:t>
      </w:r>
      <w:r w:rsidRPr="006F23C5">
        <w:rPr>
          <w:szCs w:val="24"/>
        </w:rPr>
        <w:t xml:space="preserve">, the </w:t>
      </w:r>
      <w:r w:rsidRPr="006F23C5" w:rsidR="00D87749">
        <w:rPr>
          <w:szCs w:val="24"/>
        </w:rPr>
        <w:t xml:space="preserve">SAIFI </w:t>
      </w:r>
      <w:r w:rsidRPr="006F23C5">
        <w:rPr>
          <w:szCs w:val="24"/>
        </w:rPr>
        <w:t>performance for 201</w:t>
      </w:r>
      <w:r w:rsidRPr="006F23C5" w:rsidR="00D87749">
        <w:rPr>
          <w:szCs w:val="24"/>
        </w:rPr>
        <w:t xml:space="preserve">8 and 2019 </w:t>
      </w:r>
      <w:r w:rsidRPr="006F23C5">
        <w:rPr>
          <w:szCs w:val="24"/>
        </w:rPr>
        <w:t>should be adjusted to a level not to exceed 1</w:t>
      </w:r>
      <w:r w:rsidRPr="006F23C5" w:rsidR="00D87749">
        <w:rPr>
          <w:szCs w:val="24"/>
        </w:rPr>
        <w:t>.1</w:t>
      </w:r>
      <w:r w:rsidRPr="006F23C5" w:rsidR="0066691B">
        <w:rPr>
          <w:szCs w:val="24"/>
        </w:rPr>
        <w:t xml:space="preserve">9 and 1.18 respectively </w:t>
      </w:r>
      <w:r w:rsidRPr="006F23C5">
        <w:rPr>
          <w:szCs w:val="24"/>
        </w:rPr>
        <w:t>(the standard</w:t>
      </w:r>
      <w:r w:rsidRPr="006F23C5" w:rsidR="0066691B">
        <w:rPr>
          <w:szCs w:val="24"/>
        </w:rPr>
        <w:t>s</w:t>
      </w:r>
      <w:r w:rsidRPr="006F23C5">
        <w:rPr>
          <w:szCs w:val="24"/>
        </w:rPr>
        <w:t xml:space="preserve"> for those years) to </w:t>
      </w:r>
      <w:r w:rsidRPr="006F23C5" w:rsidR="00D302C8">
        <w:rPr>
          <w:szCs w:val="24"/>
        </w:rPr>
        <w:t xml:space="preserve">protect consumers and to </w:t>
      </w:r>
      <w:r w:rsidRPr="006F23C5">
        <w:rPr>
          <w:szCs w:val="24"/>
        </w:rPr>
        <w:t>avoid rewarding AE</w:t>
      </w:r>
      <w:r w:rsidRPr="006F23C5" w:rsidR="00D87749">
        <w:rPr>
          <w:szCs w:val="24"/>
        </w:rPr>
        <w:t xml:space="preserve">P Ohio </w:t>
      </w:r>
      <w:r w:rsidRPr="006F23C5">
        <w:rPr>
          <w:szCs w:val="24"/>
        </w:rPr>
        <w:t xml:space="preserve">for failing to meet its </w:t>
      </w:r>
      <w:r w:rsidRPr="006F23C5" w:rsidR="00D87749">
        <w:rPr>
          <w:szCs w:val="24"/>
        </w:rPr>
        <w:t xml:space="preserve">SAIFI </w:t>
      </w:r>
      <w:r w:rsidRPr="006F23C5">
        <w:rPr>
          <w:szCs w:val="24"/>
        </w:rPr>
        <w:t xml:space="preserve">standard during </w:t>
      </w:r>
      <w:r w:rsidRPr="006F23C5" w:rsidR="0066691B">
        <w:rPr>
          <w:szCs w:val="24"/>
        </w:rPr>
        <w:t xml:space="preserve">both of </w:t>
      </w:r>
      <w:r w:rsidRPr="006F23C5">
        <w:rPr>
          <w:szCs w:val="24"/>
        </w:rPr>
        <w:t>those years.</w:t>
      </w:r>
      <w:bookmarkEnd w:id="22"/>
    </w:p>
    <w:p w:rsidR="00D302C8" w:rsidRPr="006F23C5" w:rsidP="000C3F64" w14:paraId="2B1BE56D" w14:textId="677FADFE">
      <w:pPr>
        <w:spacing w:line="480" w:lineRule="auto"/>
        <w:ind w:firstLine="720"/>
        <w:rPr>
          <w:szCs w:val="24"/>
        </w:rPr>
      </w:pPr>
      <w:r w:rsidRPr="006F23C5">
        <w:rPr>
          <w:szCs w:val="24"/>
        </w:rPr>
        <w:t xml:space="preserve">As shown </w:t>
      </w:r>
      <w:r w:rsidRPr="006F23C5" w:rsidR="00BC5FAC">
        <w:rPr>
          <w:szCs w:val="24"/>
        </w:rPr>
        <w:t xml:space="preserve">in Table </w:t>
      </w:r>
      <w:r w:rsidRPr="006F23C5" w:rsidR="0066691B">
        <w:rPr>
          <w:szCs w:val="24"/>
        </w:rPr>
        <w:t>2</w:t>
      </w:r>
      <w:r w:rsidRPr="006F23C5" w:rsidR="00BC5FAC">
        <w:rPr>
          <w:szCs w:val="24"/>
        </w:rPr>
        <w:t>, AE</w:t>
      </w:r>
      <w:r w:rsidRPr="006F23C5" w:rsidR="0066691B">
        <w:rPr>
          <w:szCs w:val="24"/>
        </w:rPr>
        <w:t xml:space="preserve">P Ohio </w:t>
      </w:r>
      <w:r w:rsidRPr="006F23C5">
        <w:rPr>
          <w:szCs w:val="24"/>
        </w:rPr>
        <w:t>established its five-year average historical performance using the actual SAIFI and CAIDI values for 2017 through 2021. But AEP Ohio is not adjust</w:t>
      </w:r>
      <w:r w:rsidRPr="006F23C5" w:rsidR="00B229EC">
        <w:rPr>
          <w:szCs w:val="24"/>
        </w:rPr>
        <w:t>ing</w:t>
      </w:r>
      <w:r w:rsidRPr="006F23C5">
        <w:rPr>
          <w:szCs w:val="24"/>
        </w:rPr>
        <w:t xml:space="preserve"> the historical performance baseline for those years in which it missed the SAIFI standard. It should. </w:t>
      </w:r>
    </w:p>
    <w:p w:rsidR="00A465F5" w:rsidRPr="006F23C5" w:rsidP="000C3F64" w14:paraId="5B45BB64" w14:textId="4E6CB9E8">
      <w:pPr>
        <w:spacing w:line="480" w:lineRule="auto"/>
        <w:ind w:firstLine="720"/>
        <w:rPr>
          <w:szCs w:val="24"/>
        </w:rPr>
      </w:pPr>
      <w:r w:rsidRPr="006F23C5">
        <w:rPr>
          <w:szCs w:val="24"/>
        </w:rPr>
        <w:t xml:space="preserve">AEP Ohio missed its SAIFI standard in 2018 and </w:t>
      </w:r>
      <w:r w:rsidR="00680037">
        <w:rPr>
          <w:szCs w:val="24"/>
        </w:rPr>
        <w:t>i</w:t>
      </w:r>
      <w:r w:rsidRPr="006F23C5">
        <w:rPr>
          <w:szCs w:val="24"/>
        </w:rPr>
        <w:t xml:space="preserve">n 2019. </w:t>
      </w:r>
      <w:r w:rsidRPr="006F23C5" w:rsidR="00BC5FAC">
        <w:rPr>
          <w:szCs w:val="24"/>
        </w:rPr>
        <w:t>AE</w:t>
      </w:r>
      <w:r w:rsidRPr="006F23C5" w:rsidR="00CB6344">
        <w:rPr>
          <w:szCs w:val="24"/>
        </w:rPr>
        <w:t xml:space="preserve">P Ohio is </w:t>
      </w:r>
      <w:r w:rsidRPr="006F23C5" w:rsidR="00BC5FAC">
        <w:rPr>
          <w:szCs w:val="24"/>
        </w:rPr>
        <w:t xml:space="preserve">proposing to use its poor </w:t>
      </w:r>
      <w:r w:rsidRPr="006F23C5" w:rsidR="00CB6344">
        <w:rPr>
          <w:szCs w:val="24"/>
        </w:rPr>
        <w:t xml:space="preserve">SAIFI </w:t>
      </w:r>
      <w:r w:rsidRPr="006F23C5" w:rsidR="00BC5FAC">
        <w:rPr>
          <w:szCs w:val="24"/>
        </w:rPr>
        <w:t>performance in 201</w:t>
      </w:r>
      <w:r w:rsidRPr="006F23C5" w:rsidR="00CB6344">
        <w:rPr>
          <w:szCs w:val="24"/>
        </w:rPr>
        <w:t>8 and 2019</w:t>
      </w:r>
      <w:r w:rsidRPr="006F23C5" w:rsidR="00DD7CFB">
        <w:rPr>
          <w:szCs w:val="24"/>
        </w:rPr>
        <w:t xml:space="preserve"> to calculate </w:t>
      </w:r>
      <w:r w:rsidRPr="006F23C5" w:rsidR="00BC5FAC">
        <w:rPr>
          <w:szCs w:val="24"/>
        </w:rPr>
        <w:t xml:space="preserve">its five-year average </w:t>
      </w:r>
      <w:r w:rsidRPr="006F23C5" w:rsidR="00CB6344">
        <w:rPr>
          <w:szCs w:val="24"/>
        </w:rPr>
        <w:t xml:space="preserve">SAIFI </w:t>
      </w:r>
      <w:r w:rsidRPr="006F23C5" w:rsidR="00BC5FAC">
        <w:rPr>
          <w:szCs w:val="24"/>
        </w:rPr>
        <w:t>historical performance</w:t>
      </w:r>
      <w:r w:rsidRPr="006F23C5" w:rsidR="00DD7CFB">
        <w:rPr>
          <w:szCs w:val="24"/>
        </w:rPr>
        <w:t>.</w:t>
      </w:r>
      <w:r w:rsidR="006F23C5">
        <w:rPr>
          <w:szCs w:val="24"/>
        </w:rPr>
        <w:t xml:space="preserve"> </w:t>
      </w:r>
      <w:r w:rsidRPr="006F23C5" w:rsidR="00DD7CFB">
        <w:rPr>
          <w:szCs w:val="24"/>
        </w:rPr>
        <w:t>That will then</w:t>
      </w:r>
      <w:r w:rsidR="006F23C5">
        <w:rPr>
          <w:szCs w:val="24"/>
        </w:rPr>
        <w:t xml:space="preserve"> </w:t>
      </w:r>
      <w:r w:rsidRPr="006F23C5" w:rsidR="00BC5FAC">
        <w:rPr>
          <w:szCs w:val="24"/>
        </w:rPr>
        <w:t xml:space="preserve">be used as a baseline for establishing the new standards. </w:t>
      </w:r>
      <w:r w:rsidRPr="006F23C5" w:rsidR="00DD7CFB">
        <w:rPr>
          <w:szCs w:val="24"/>
        </w:rPr>
        <w:t xml:space="preserve">But this </w:t>
      </w:r>
      <w:r w:rsidRPr="006F23C5" w:rsidR="00BC5FAC">
        <w:rPr>
          <w:szCs w:val="24"/>
        </w:rPr>
        <w:t xml:space="preserve">distorts the </w:t>
      </w:r>
      <w:r w:rsidRPr="006F23C5" w:rsidR="00CB6344">
        <w:rPr>
          <w:szCs w:val="24"/>
        </w:rPr>
        <w:t xml:space="preserve">historical </w:t>
      </w:r>
      <w:r w:rsidRPr="006F23C5" w:rsidR="00BC5FAC">
        <w:rPr>
          <w:szCs w:val="24"/>
        </w:rPr>
        <w:t>baseline and reward</w:t>
      </w:r>
      <w:r w:rsidRPr="006F23C5" w:rsidR="00D302C8">
        <w:rPr>
          <w:szCs w:val="24"/>
        </w:rPr>
        <w:t>s</w:t>
      </w:r>
      <w:r w:rsidRPr="006F23C5" w:rsidR="00BC5FAC">
        <w:rPr>
          <w:szCs w:val="24"/>
        </w:rPr>
        <w:t xml:space="preserve"> AE</w:t>
      </w:r>
      <w:r w:rsidRPr="006F23C5" w:rsidR="00CB6344">
        <w:rPr>
          <w:szCs w:val="24"/>
        </w:rPr>
        <w:t xml:space="preserve">P Ohio </w:t>
      </w:r>
      <w:r w:rsidRPr="006F23C5" w:rsidR="00BC5FAC">
        <w:rPr>
          <w:szCs w:val="24"/>
        </w:rPr>
        <w:t>for providing consumers with inadequate reliability</w:t>
      </w:r>
      <w:r w:rsidRPr="006F23C5" w:rsidR="00CB6344">
        <w:rPr>
          <w:szCs w:val="24"/>
        </w:rPr>
        <w:t xml:space="preserve"> </w:t>
      </w:r>
      <w:r w:rsidRPr="006F23C5" w:rsidR="00C76BE7">
        <w:rPr>
          <w:szCs w:val="24"/>
        </w:rPr>
        <w:t xml:space="preserve">during those years. </w:t>
      </w:r>
      <w:r w:rsidRPr="006F23C5" w:rsidR="00BC5FAC">
        <w:rPr>
          <w:szCs w:val="24"/>
        </w:rPr>
        <w:t>To avoid rewarding AE</w:t>
      </w:r>
      <w:r w:rsidRPr="006F23C5" w:rsidR="00C76BE7">
        <w:rPr>
          <w:szCs w:val="24"/>
        </w:rPr>
        <w:t xml:space="preserve">P Ohio </w:t>
      </w:r>
      <w:r w:rsidRPr="006F23C5" w:rsidR="00BC5FAC">
        <w:rPr>
          <w:szCs w:val="24"/>
        </w:rPr>
        <w:t>for its poor performance in the past by allowing it to influence the reliability performance it is required to provide in the future, the PUCO should require AE</w:t>
      </w:r>
      <w:r w:rsidRPr="006F23C5" w:rsidR="00CB6344">
        <w:rPr>
          <w:szCs w:val="24"/>
        </w:rPr>
        <w:t xml:space="preserve">P Ohio </w:t>
      </w:r>
      <w:r w:rsidRPr="006F23C5" w:rsidR="00BC5FAC">
        <w:rPr>
          <w:szCs w:val="24"/>
        </w:rPr>
        <w:t xml:space="preserve">to adjust the </w:t>
      </w:r>
      <w:r w:rsidRPr="006F23C5" w:rsidR="00C76BE7">
        <w:rPr>
          <w:szCs w:val="24"/>
        </w:rPr>
        <w:t xml:space="preserve">SAIFI historical performance baseline to account for the missed standards in </w:t>
      </w:r>
      <w:r w:rsidRPr="006F23C5" w:rsidR="00BC5FAC">
        <w:rPr>
          <w:szCs w:val="24"/>
        </w:rPr>
        <w:t>201</w:t>
      </w:r>
      <w:r w:rsidRPr="006F23C5" w:rsidR="00CB6344">
        <w:rPr>
          <w:szCs w:val="24"/>
        </w:rPr>
        <w:t xml:space="preserve">8 and </w:t>
      </w:r>
      <w:r w:rsidRPr="006F23C5" w:rsidR="00BC5FAC">
        <w:rPr>
          <w:szCs w:val="24"/>
        </w:rPr>
        <w:t>2019</w:t>
      </w:r>
      <w:r w:rsidRPr="006F23C5" w:rsidR="00CB6344">
        <w:rPr>
          <w:szCs w:val="24"/>
        </w:rPr>
        <w:t xml:space="preserve"> </w:t>
      </w:r>
      <w:r w:rsidRPr="006F23C5" w:rsidR="00C76BE7">
        <w:rPr>
          <w:szCs w:val="24"/>
        </w:rPr>
        <w:t xml:space="preserve">as shown in Table 3. </w:t>
      </w:r>
    </w:p>
    <w:p w:rsidR="00C76BE7" w:rsidRPr="006F23C5" w:rsidP="002C10D5" w14:paraId="7BF0E6D0" w14:textId="6368BFD3">
      <w:pPr>
        <w:spacing w:line="480" w:lineRule="auto"/>
        <w:jc w:val="center"/>
        <w:rPr>
          <w:b/>
          <w:bCs/>
          <w:szCs w:val="24"/>
        </w:rPr>
      </w:pPr>
      <w:r w:rsidRPr="006F23C5">
        <w:rPr>
          <w:b/>
          <w:bCs/>
          <w:szCs w:val="24"/>
        </w:rPr>
        <w:t xml:space="preserve">Table 3: Proposed </w:t>
      </w:r>
      <w:r w:rsidRPr="006F23C5" w:rsidR="001E6A06">
        <w:rPr>
          <w:b/>
          <w:bCs/>
          <w:szCs w:val="24"/>
        </w:rPr>
        <w:t xml:space="preserve">Adjustment to the </w:t>
      </w:r>
      <w:r w:rsidRPr="006F23C5">
        <w:rPr>
          <w:b/>
          <w:bCs/>
          <w:szCs w:val="24"/>
        </w:rPr>
        <w:t>AEP Ohio Historical Performance Baseline</w:t>
      </w:r>
    </w:p>
    <w:tbl>
      <w:tblPr>
        <w:tblStyle w:val="TableGrid"/>
        <w:tblW w:w="0" w:type="auto"/>
        <w:tblInd w:w="1480" w:type="dxa"/>
        <w:tblLook w:val="04A0"/>
      </w:tblPr>
      <w:tblGrid>
        <w:gridCol w:w="1826"/>
        <w:gridCol w:w="1925"/>
        <w:gridCol w:w="1925"/>
      </w:tblGrid>
      <w:tr w14:paraId="38BF06AC" w14:textId="77777777" w:rsidTr="00320DA9">
        <w:tblPrEx>
          <w:tblW w:w="0" w:type="auto"/>
          <w:tblInd w:w="1480" w:type="dxa"/>
          <w:tblLook w:val="04A0"/>
        </w:tblPrEx>
        <w:tc>
          <w:tcPr>
            <w:tcW w:w="1826" w:type="dxa"/>
          </w:tcPr>
          <w:p w:rsidR="00C76BE7" w:rsidRPr="006F23C5" w:rsidP="00320DA9" w14:paraId="6D2D9192" w14:textId="77777777">
            <w:pPr>
              <w:pStyle w:val="ListParagraph"/>
              <w:ind w:left="0"/>
              <w:jc w:val="center"/>
            </w:pPr>
            <w:r w:rsidRPr="006F23C5">
              <w:t>Year</w:t>
            </w:r>
          </w:p>
        </w:tc>
        <w:tc>
          <w:tcPr>
            <w:tcW w:w="1925" w:type="dxa"/>
          </w:tcPr>
          <w:p w:rsidR="00C76BE7" w:rsidRPr="006F23C5" w:rsidP="00320DA9" w14:paraId="08368AA6" w14:textId="77777777">
            <w:pPr>
              <w:pStyle w:val="ListParagraph"/>
              <w:ind w:left="0"/>
              <w:jc w:val="center"/>
            </w:pPr>
            <w:r w:rsidRPr="006F23C5">
              <w:t>CAIDI Performance (Minutes)</w:t>
            </w:r>
          </w:p>
        </w:tc>
        <w:tc>
          <w:tcPr>
            <w:tcW w:w="1925" w:type="dxa"/>
          </w:tcPr>
          <w:p w:rsidR="00C76BE7" w:rsidRPr="006F23C5" w:rsidP="00320DA9" w14:paraId="2F71B87B" w14:textId="6B0C7DF7">
            <w:pPr>
              <w:pStyle w:val="ListParagraph"/>
              <w:ind w:left="0"/>
              <w:jc w:val="center"/>
            </w:pPr>
            <w:r w:rsidRPr="006F23C5">
              <w:t xml:space="preserve">SAIFI Performance </w:t>
            </w:r>
            <w:r w:rsidRPr="006F23C5" w:rsidR="00B229EC">
              <w:t>Adjusted</w:t>
            </w:r>
          </w:p>
        </w:tc>
      </w:tr>
      <w:tr w14:paraId="4F7187CB" w14:textId="77777777" w:rsidTr="00320DA9">
        <w:tblPrEx>
          <w:tblW w:w="0" w:type="auto"/>
          <w:tblInd w:w="1480" w:type="dxa"/>
          <w:tblLook w:val="04A0"/>
        </w:tblPrEx>
        <w:tc>
          <w:tcPr>
            <w:tcW w:w="1826" w:type="dxa"/>
          </w:tcPr>
          <w:p w:rsidR="00C76BE7" w:rsidRPr="006F23C5" w:rsidP="00320DA9" w14:paraId="136FD2F9" w14:textId="77777777">
            <w:pPr>
              <w:pStyle w:val="ListParagraph"/>
              <w:ind w:left="0"/>
              <w:jc w:val="center"/>
            </w:pPr>
            <w:r w:rsidRPr="006F23C5">
              <w:t>2017</w:t>
            </w:r>
          </w:p>
        </w:tc>
        <w:tc>
          <w:tcPr>
            <w:tcW w:w="1925" w:type="dxa"/>
          </w:tcPr>
          <w:p w:rsidR="00C76BE7" w:rsidRPr="006F23C5" w:rsidP="00320DA9" w14:paraId="43FD4FCE" w14:textId="77777777">
            <w:pPr>
              <w:pStyle w:val="ListParagraph"/>
              <w:ind w:left="0"/>
              <w:jc w:val="center"/>
            </w:pPr>
            <w:r w:rsidRPr="006F23C5">
              <w:t>148.00</w:t>
            </w:r>
          </w:p>
        </w:tc>
        <w:tc>
          <w:tcPr>
            <w:tcW w:w="1925" w:type="dxa"/>
          </w:tcPr>
          <w:p w:rsidR="00C76BE7" w:rsidRPr="006F23C5" w:rsidP="00320DA9" w14:paraId="67EB7843" w14:textId="77777777">
            <w:pPr>
              <w:pStyle w:val="ListParagraph"/>
              <w:ind w:left="0"/>
              <w:jc w:val="center"/>
            </w:pPr>
            <w:r w:rsidRPr="006F23C5">
              <w:t>1.17</w:t>
            </w:r>
          </w:p>
        </w:tc>
      </w:tr>
      <w:tr w14:paraId="15139873" w14:textId="77777777" w:rsidTr="00320DA9">
        <w:tblPrEx>
          <w:tblW w:w="0" w:type="auto"/>
          <w:tblInd w:w="1480" w:type="dxa"/>
          <w:tblLook w:val="04A0"/>
        </w:tblPrEx>
        <w:tc>
          <w:tcPr>
            <w:tcW w:w="1826" w:type="dxa"/>
          </w:tcPr>
          <w:p w:rsidR="00C76BE7" w:rsidRPr="006F23C5" w:rsidP="00320DA9" w14:paraId="51734E56" w14:textId="77777777">
            <w:pPr>
              <w:pStyle w:val="ListParagraph"/>
              <w:ind w:left="0"/>
              <w:jc w:val="center"/>
            </w:pPr>
            <w:r w:rsidRPr="006F23C5">
              <w:t>2018</w:t>
            </w:r>
          </w:p>
        </w:tc>
        <w:tc>
          <w:tcPr>
            <w:tcW w:w="1925" w:type="dxa"/>
          </w:tcPr>
          <w:p w:rsidR="00C76BE7" w:rsidRPr="006F23C5" w:rsidP="00320DA9" w14:paraId="4F91200B" w14:textId="77777777">
            <w:pPr>
              <w:pStyle w:val="ListParagraph"/>
              <w:ind w:left="0"/>
              <w:jc w:val="center"/>
            </w:pPr>
            <w:r w:rsidRPr="006F23C5">
              <w:t>148.00</w:t>
            </w:r>
          </w:p>
        </w:tc>
        <w:tc>
          <w:tcPr>
            <w:tcW w:w="1925" w:type="dxa"/>
          </w:tcPr>
          <w:p w:rsidR="00C76BE7" w:rsidRPr="006F23C5" w:rsidP="00320DA9" w14:paraId="0D8727EE" w14:textId="518FC206">
            <w:pPr>
              <w:pStyle w:val="ListParagraph"/>
              <w:ind w:left="0"/>
              <w:jc w:val="center"/>
            </w:pPr>
            <w:r w:rsidRPr="006F23C5">
              <w:t>1.</w:t>
            </w:r>
            <w:r w:rsidRPr="006F23C5" w:rsidR="00B229EC">
              <w:t>19</w:t>
            </w:r>
          </w:p>
        </w:tc>
      </w:tr>
      <w:tr w14:paraId="236DD005" w14:textId="77777777" w:rsidTr="00320DA9">
        <w:tblPrEx>
          <w:tblW w:w="0" w:type="auto"/>
          <w:tblInd w:w="1480" w:type="dxa"/>
          <w:tblLook w:val="04A0"/>
        </w:tblPrEx>
        <w:tc>
          <w:tcPr>
            <w:tcW w:w="1826" w:type="dxa"/>
          </w:tcPr>
          <w:p w:rsidR="00C76BE7" w:rsidRPr="006F23C5" w:rsidP="00320DA9" w14:paraId="2BCC3617" w14:textId="77777777">
            <w:pPr>
              <w:pStyle w:val="ListParagraph"/>
              <w:ind w:left="0"/>
              <w:jc w:val="center"/>
            </w:pPr>
            <w:r w:rsidRPr="006F23C5">
              <w:t>2019</w:t>
            </w:r>
          </w:p>
        </w:tc>
        <w:tc>
          <w:tcPr>
            <w:tcW w:w="1925" w:type="dxa"/>
          </w:tcPr>
          <w:p w:rsidR="00C76BE7" w:rsidRPr="006F23C5" w:rsidP="00320DA9" w14:paraId="5443E0AD" w14:textId="77777777">
            <w:pPr>
              <w:pStyle w:val="ListParagraph"/>
              <w:ind w:left="0"/>
              <w:jc w:val="center"/>
            </w:pPr>
            <w:r w:rsidRPr="006F23C5">
              <w:t>144.00</w:t>
            </w:r>
          </w:p>
        </w:tc>
        <w:tc>
          <w:tcPr>
            <w:tcW w:w="1925" w:type="dxa"/>
          </w:tcPr>
          <w:p w:rsidR="00C76BE7" w:rsidRPr="006F23C5" w:rsidP="00320DA9" w14:paraId="4B0F4243" w14:textId="7A78F8BC">
            <w:pPr>
              <w:pStyle w:val="ListParagraph"/>
              <w:ind w:left="0"/>
              <w:jc w:val="center"/>
            </w:pPr>
            <w:r w:rsidRPr="006F23C5">
              <w:t>1.</w:t>
            </w:r>
            <w:r w:rsidRPr="006F23C5" w:rsidR="00B229EC">
              <w:t>18</w:t>
            </w:r>
          </w:p>
        </w:tc>
      </w:tr>
      <w:tr w14:paraId="096C3384" w14:textId="77777777" w:rsidTr="00320DA9">
        <w:tblPrEx>
          <w:tblW w:w="0" w:type="auto"/>
          <w:tblInd w:w="1480" w:type="dxa"/>
          <w:tblLook w:val="04A0"/>
        </w:tblPrEx>
        <w:tc>
          <w:tcPr>
            <w:tcW w:w="1826" w:type="dxa"/>
          </w:tcPr>
          <w:p w:rsidR="00C76BE7" w:rsidRPr="006F23C5" w:rsidP="00320DA9" w14:paraId="46D214D3" w14:textId="77777777">
            <w:pPr>
              <w:pStyle w:val="ListParagraph"/>
              <w:ind w:left="0"/>
              <w:jc w:val="center"/>
            </w:pPr>
            <w:r w:rsidRPr="006F23C5">
              <w:t>2020</w:t>
            </w:r>
          </w:p>
        </w:tc>
        <w:tc>
          <w:tcPr>
            <w:tcW w:w="1925" w:type="dxa"/>
          </w:tcPr>
          <w:p w:rsidR="00C76BE7" w:rsidRPr="006F23C5" w:rsidP="00320DA9" w14:paraId="0475C7A9" w14:textId="77777777">
            <w:pPr>
              <w:pStyle w:val="ListParagraph"/>
              <w:ind w:left="0"/>
              <w:jc w:val="center"/>
            </w:pPr>
            <w:r w:rsidRPr="006F23C5">
              <w:t>132.00</w:t>
            </w:r>
          </w:p>
        </w:tc>
        <w:tc>
          <w:tcPr>
            <w:tcW w:w="1925" w:type="dxa"/>
          </w:tcPr>
          <w:p w:rsidR="00C76BE7" w:rsidRPr="006F23C5" w:rsidP="00320DA9" w14:paraId="35794C2D" w14:textId="77777777">
            <w:pPr>
              <w:pStyle w:val="ListParagraph"/>
              <w:ind w:left="0"/>
              <w:jc w:val="center"/>
            </w:pPr>
            <w:r w:rsidRPr="006F23C5">
              <w:t>1.13</w:t>
            </w:r>
          </w:p>
        </w:tc>
      </w:tr>
      <w:tr w14:paraId="3D02A791" w14:textId="77777777" w:rsidTr="00320DA9">
        <w:tblPrEx>
          <w:tblW w:w="0" w:type="auto"/>
          <w:tblInd w:w="1480" w:type="dxa"/>
          <w:tblLook w:val="04A0"/>
        </w:tblPrEx>
        <w:tc>
          <w:tcPr>
            <w:tcW w:w="1826" w:type="dxa"/>
          </w:tcPr>
          <w:p w:rsidR="00C76BE7" w:rsidRPr="006F23C5" w:rsidP="00320DA9" w14:paraId="17010847" w14:textId="77777777">
            <w:pPr>
              <w:pStyle w:val="ListParagraph"/>
              <w:ind w:left="0"/>
              <w:jc w:val="center"/>
            </w:pPr>
            <w:r w:rsidRPr="006F23C5">
              <w:t>2021</w:t>
            </w:r>
          </w:p>
        </w:tc>
        <w:tc>
          <w:tcPr>
            <w:tcW w:w="1925" w:type="dxa"/>
          </w:tcPr>
          <w:p w:rsidR="00C76BE7" w:rsidRPr="006F23C5" w:rsidP="00320DA9" w14:paraId="1DA73D8C" w14:textId="77777777">
            <w:pPr>
              <w:pStyle w:val="ListParagraph"/>
              <w:ind w:left="0"/>
              <w:jc w:val="center"/>
            </w:pPr>
            <w:r w:rsidRPr="006F23C5">
              <w:t>132.00</w:t>
            </w:r>
          </w:p>
        </w:tc>
        <w:tc>
          <w:tcPr>
            <w:tcW w:w="1925" w:type="dxa"/>
          </w:tcPr>
          <w:p w:rsidR="00C76BE7" w:rsidRPr="006F23C5" w:rsidP="00320DA9" w14:paraId="33F0EEB7" w14:textId="77777777">
            <w:pPr>
              <w:pStyle w:val="ListParagraph"/>
              <w:ind w:left="0"/>
              <w:jc w:val="center"/>
            </w:pPr>
            <w:r w:rsidRPr="006F23C5">
              <w:t>1.17</w:t>
            </w:r>
          </w:p>
        </w:tc>
      </w:tr>
      <w:tr w14:paraId="408C026E" w14:textId="77777777" w:rsidTr="00320DA9">
        <w:tblPrEx>
          <w:tblW w:w="0" w:type="auto"/>
          <w:tblInd w:w="1480" w:type="dxa"/>
          <w:tblLook w:val="04A0"/>
        </w:tblPrEx>
        <w:tc>
          <w:tcPr>
            <w:tcW w:w="1826" w:type="dxa"/>
          </w:tcPr>
          <w:p w:rsidR="00C76BE7" w:rsidRPr="006F23C5" w:rsidP="00320DA9" w14:paraId="29E32B49" w14:textId="77777777">
            <w:pPr>
              <w:pStyle w:val="ListParagraph"/>
              <w:ind w:left="0"/>
              <w:jc w:val="center"/>
            </w:pPr>
            <w:r w:rsidRPr="006F23C5">
              <w:t>Five-Year Average</w:t>
            </w:r>
          </w:p>
        </w:tc>
        <w:tc>
          <w:tcPr>
            <w:tcW w:w="1925" w:type="dxa"/>
          </w:tcPr>
          <w:p w:rsidR="00C76BE7" w:rsidRPr="006F23C5" w:rsidP="00320DA9" w14:paraId="0B005F8C" w14:textId="77777777">
            <w:pPr>
              <w:pStyle w:val="ListParagraph"/>
              <w:ind w:left="0"/>
              <w:jc w:val="center"/>
            </w:pPr>
            <w:r w:rsidRPr="006F23C5">
              <w:t>141.00</w:t>
            </w:r>
          </w:p>
        </w:tc>
        <w:tc>
          <w:tcPr>
            <w:tcW w:w="1925" w:type="dxa"/>
          </w:tcPr>
          <w:p w:rsidR="00C76BE7" w:rsidRPr="006F23C5" w:rsidP="00320DA9" w14:paraId="285E310A" w14:textId="7EADC4CA">
            <w:pPr>
              <w:pStyle w:val="ListParagraph"/>
              <w:ind w:left="0"/>
              <w:jc w:val="center"/>
            </w:pPr>
            <w:r w:rsidRPr="006F23C5">
              <w:t>1.</w:t>
            </w:r>
            <w:r w:rsidRPr="006F23C5" w:rsidR="00B229EC">
              <w:t>17</w:t>
            </w:r>
          </w:p>
        </w:tc>
      </w:tr>
    </w:tbl>
    <w:p w:rsidR="00D302C8" w:rsidRPr="006F23C5" w:rsidP="00C468A0" w14:paraId="634A0093" w14:textId="77777777">
      <w:pPr>
        <w:pStyle w:val="Heading3"/>
        <w:ind w:left="0" w:firstLine="0"/>
        <w:rPr>
          <w:szCs w:val="24"/>
        </w:rPr>
      </w:pPr>
      <w:bookmarkStart w:id="23" w:name="_Toc98246286"/>
      <w:bookmarkStart w:id="24" w:name="_Toc99360711"/>
      <w:bookmarkStart w:id="25" w:name="_Hlk114560466"/>
    </w:p>
    <w:p w:rsidR="0031635E" w:rsidRPr="006F23C5" w:rsidP="00CB655B" w14:paraId="655D38F1" w14:textId="15A53556">
      <w:pPr>
        <w:pStyle w:val="Heading2"/>
        <w:rPr>
          <w:szCs w:val="24"/>
        </w:rPr>
      </w:pPr>
      <w:bookmarkStart w:id="26" w:name="_Toc115271116"/>
      <w:r w:rsidRPr="006F23C5">
        <w:rPr>
          <w:szCs w:val="24"/>
        </w:rPr>
        <w:t>C.</w:t>
      </w:r>
      <w:r w:rsidRPr="006F23C5">
        <w:rPr>
          <w:szCs w:val="24"/>
        </w:rPr>
        <w:tab/>
      </w:r>
      <w:r w:rsidRPr="006F23C5" w:rsidR="00852D5D">
        <w:rPr>
          <w:szCs w:val="24"/>
        </w:rPr>
        <w:t>T</w:t>
      </w:r>
      <w:r w:rsidRPr="006F23C5" w:rsidR="00EF56AF">
        <w:rPr>
          <w:szCs w:val="24"/>
        </w:rPr>
        <w:t>o protect consumers, t</w:t>
      </w:r>
      <w:r w:rsidRPr="006F23C5" w:rsidR="00852D5D">
        <w:rPr>
          <w:szCs w:val="24"/>
        </w:rPr>
        <w:t>he PUCO should require AE</w:t>
      </w:r>
      <w:r w:rsidRPr="006F23C5" w:rsidR="00257095">
        <w:rPr>
          <w:szCs w:val="24"/>
        </w:rPr>
        <w:t xml:space="preserve">P Ohio to </w:t>
      </w:r>
      <w:r w:rsidRPr="006F23C5" w:rsidR="007E38A7">
        <w:rPr>
          <w:szCs w:val="24"/>
        </w:rPr>
        <w:t xml:space="preserve">further </w:t>
      </w:r>
      <w:r w:rsidRPr="006F23C5" w:rsidR="00257095">
        <w:rPr>
          <w:szCs w:val="24"/>
        </w:rPr>
        <w:t xml:space="preserve">adjust the </w:t>
      </w:r>
      <w:r w:rsidRPr="006F23C5" w:rsidR="007E38A7">
        <w:rPr>
          <w:szCs w:val="24"/>
        </w:rPr>
        <w:t xml:space="preserve">SAIFI and CAIDI standards </w:t>
      </w:r>
      <w:r w:rsidRPr="006F23C5" w:rsidR="00566968">
        <w:rPr>
          <w:szCs w:val="24"/>
        </w:rPr>
        <w:t xml:space="preserve">as appropriate </w:t>
      </w:r>
      <w:r w:rsidRPr="006F23C5" w:rsidR="007E38A7">
        <w:rPr>
          <w:szCs w:val="24"/>
        </w:rPr>
        <w:t xml:space="preserve">based </w:t>
      </w:r>
      <w:r w:rsidRPr="006F23C5" w:rsidR="00605404">
        <w:rPr>
          <w:szCs w:val="24"/>
        </w:rPr>
        <w:t xml:space="preserve">on </w:t>
      </w:r>
      <w:r w:rsidRPr="006F23C5" w:rsidR="007E38A7">
        <w:rPr>
          <w:szCs w:val="24"/>
        </w:rPr>
        <w:t xml:space="preserve">technological advancements that </w:t>
      </w:r>
      <w:r w:rsidRPr="006F23C5" w:rsidR="00566968">
        <w:rPr>
          <w:szCs w:val="24"/>
        </w:rPr>
        <w:t xml:space="preserve">were made in its </w:t>
      </w:r>
      <w:r w:rsidRPr="006F23C5" w:rsidR="007E38A7">
        <w:rPr>
          <w:szCs w:val="24"/>
        </w:rPr>
        <w:t>gridSmart program.</w:t>
      </w:r>
      <w:bookmarkEnd w:id="23"/>
      <w:bookmarkEnd w:id="24"/>
      <w:bookmarkEnd w:id="26"/>
      <w:r w:rsidRPr="006F23C5" w:rsidR="00301D38">
        <w:rPr>
          <w:szCs w:val="24"/>
        </w:rPr>
        <w:t xml:space="preserve"> </w:t>
      </w:r>
    </w:p>
    <w:p w:rsidR="00847F65" w:rsidRPr="006F23C5" w:rsidP="00C743EB" w14:paraId="7FBB854C" w14:textId="399FBA5F">
      <w:pPr>
        <w:spacing w:line="480" w:lineRule="auto"/>
        <w:rPr>
          <w:szCs w:val="24"/>
        </w:rPr>
      </w:pPr>
      <w:bookmarkStart w:id="27" w:name="_Toc98246290"/>
      <w:bookmarkStart w:id="28" w:name="_Toc99360715"/>
      <w:bookmarkEnd w:id="25"/>
      <w:r w:rsidRPr="006F23C5">
        <w:rPr>
          <w:szCs w:val="24"/>
        </w:rPr>
        <w:tab/>
        <w:t>As shown on Table 2, AEP Ohio has proposed a DACR adjustment to the 2022</w:t>
      </w:r>
      <w:r w:rsidRPr="006F23C5" w:rsidR="00D302C8">
        <w:rPr>
          <w:szCs w:val="24"/>
        </w:rPr>
        <w:t xml:space="preserve"> (and beyond)</w:t>
      </w:r>
      <w:r w:rsidRPr="006F23C5">
        <w:rPr>
          <w:szCs w:val="24"/>
        </w:rPr>
        <w:t xml:space="preserve"> SAIFI by 0.02.</w:t>
      </w:r>
      <w:r w:rsidRPr="006F23C5" w:rsidR="00301D38">
        <w:rPr>
          <w:szCs w:val="24"/>
        </w:rPr>
        <w:t xml:space="preserve"> </w:t>
      </w:r>
      <w:r w:rsidRPr="006F23C5" w:rsidR="00385797">
        <w:rPr>
          <w:szCs w:val="24"/>
        </w:rPr>
        <w:t xml:space="preserve">While </w:t>
      </w:r>
      <w:r w:rsidRPr="006F23C5" w:rsidR="00605404">
        <w:rPr>
          <w:szCs w:val="24"/>
        </w:rPr>
        <w:t xml:space="preserve">the </w:t>
      </w:r>
      <w:r w:rsidRPr="006F23C5" w:rsidR="00385797">
        <w:rPr>
          <w:szCs w:val="24"/>
        </w:rPr>
        <w:t xml:space="preserve">DACR </w:t>
      </w:r>
      <w:r w:rsidRPr="006F23C5" w:rsidR="00605404">
        <w:rPr>
          <w:szCs w:val="24"/>
        </w:rPr>
        <w:t>is an appropriate adjustment to the five</w:t>
      </w:r>
      <w:r w:rsidRPr="006F23C5" w:rsidR="00EF325A">
        <w:rPr>
          <w:szCs w:val="24"/>
        </w:rPr>
        <w:t>-</w:t>
      </w:r>
      <w:r w:rsidRPr="006F23C5" w:rsidR="00605404">
        <w:rPr>
          <w:szCs w:val="24"/>
        </w:rPr>
        <w:t xml:space="preserve">year average performance baseline, the meager </w:t>
      </w:r>
      <w:r w:rsidRPr="006F23C5" w:rsidR="00EF325A">
        <w:rPr>
          <w:szCs w:val="24"/>
        </w:rPr>
        <w:t xml:space="preserve">level of the adjustment </w:t>
      </w:r>
      <w:r w:rsidRPr="006F23C5" w:rsidR="00B50791">
        <w:rPr>
          <w:szCs w:val="24"/>
        </w:rPr>
        <w:t xml:space="preserve">pales in comparison to the significant investment that consumers have and are paying for </w:t>
      </w:r>
      <w:r w:rsidRPr="006F23C5" w:rsidR="00D22A80">
        <w:rPr>
          <w:szCs w:val="24"/>
        </w:rPr>
        <w:t>AEP Ohio’s grid</w:t>
      </w:r>
      <w:r w:rsidRPr="006F23C5" w:rsidR="00473364">
        <w:rPr>
          <w:szCs w:val="24"/>
        </w:rPr>
        <w:t>SMART p</w:t>
      </w:r>
      <w:r w:rsidRPr="006F23C5" w:rsidR="00D22A80">
        <w:rPr>
          <w:szCs w:val="24"/>
        </w:rPr>
        <w:t>rogram. C</w:t>
      </w:r>
      <w:r w:rsidRPr="006F23C5" w:rsidR="00605404">
        <w:rPr>
          <w:szCs w:val="24"/>
        </w:rPr>
        <w:t xml:space="preserve">onsidering that the 250 circuits that were selected </w:t>
      </w:r>
      <w:r w:rsidRPr="006F23C5" w:rsidR="00EF325A">
        <w:rPr>
          <w:szCs w:val="24"/>
        </w:rPr>
        <w:t xml:space="preserve">for DACR </w:t>
      </w:r>
      <w:r w:rsidRPr="006F23C5" w:rsidR="00473364">
        <w:rPr>
          <w:szCs w:val="24"/>
        </w:rPr>
        <w:t xml:space="preserve">for </w:t>
      </w:r>
      <w:r w:rsidRPr="006F23C5" w:rsidR="00D302C8">
        <w:rPr>
          <w:szCs w:val="24"/>
        </w:rPr>
        <w:t xml:space="preserve">gridSMART </w:t>
      </w:r>
      <w:r w:rsidRPr="006F23C5" w:rsidR="00473364">
        <w:rPr>
          <w:szCs w:val="24"/>
        </w:rPr>
        <w:t xml:space="preserve">Phase 2 </w:t>
      </w:r>
      <w:r w:rsidRPr="006F23C5" w:rsidR="003E342D">
        <w:rPr>
          <w:szCs w:val="24"/>
        </w:rPr>
        <w:t xml:space="preserve">were intended to be circuits with the greatest potential for improving reliability, a more significant adjustment </w:t>
      </w:r>
      <w:r w:rsidRPr="006F23C5" w:rsidR="00D22A80">
        <w:rPr>
          <w:szCs w:val="24"/>
        </w:rPr>
        <w:t xml:space="preserve">in the five-year average historical baseline </w:t>
      </w:r>
      <w:r w:rsidRPr="006F23C5" w:rsidR="003E342D">
        <w:rPr>
          <w:szCs w:val="24"/>
        </w:rPr>
        <w:t>is appropriate.</w:t>
      </w:r>
      <w:r>
        <w:rPr>
          <w:rStyle w:val="FootnoteReference"/>
          <w:szCs w:val="24"/>
        </w:rPr>
        <w:footnoteReference w:id="42"/>
      </w:r>
      <w:r w:rsidRPr="006F23C5" w:rsidR="003E342D">
        <w:rPr>
          <w:szCs w:val="24"/>
        </w:rPr>
        <w:t xml:space="preserve"> </w:t>
      </w:r>
      <w:r w:rsidRPr="006F23C5" w:rsidR="00F251AC">
        <w:rPr>
          <w:szCs w:val="24"/>
        </w:rPr>
        <w:t xml:space="preserve">In fact, AEP Ohio agreed to a 15.8 percent improvement in SAIFI for the circuits where the DACR was to be deployed. </w:t>
      </w:r>
      <w:r w:rsidRPr="006F23C5" w:rsidR="00D302C8">
        <w:rPr>
          <w:szCs w:val="24"/>
        </w:rPr>
        <w:t>Additionally</w:t>
      </w:r>
      <w:r w:rsidRPr="006F23C5">
        <w:rPr>
          <w:szCs w:val="24"/>
        </w:rPr>
        <w:t xml:space="preserve">, AEP Ohio deployed DACR technology on 70 circuits as part of an earlier smart grid deployment </w:t>
      </w:r>
      <w:r w:rsidRPr="006F23C5" w:rsidR="00473364">
        <w:rPr>
          <w:szCs w:val="24"/>
        </w:rPr>
        <w:t>(</w:t>
      </w:r>
      <w:r w:rsidRPr="006F23C5" w:rsidR="00D302C8">
        <w:rPr>
          <w:szCs w:val="24"/>
        </w:rPr>
        <w:t>g</w:t>
      </w:r>
      <w:r w:rsidRPr="006F23C5" w:rsidR="00473364">
        <w:rPr>
          <w:szCs w:val="24"/>
        </w:rPr>
        <w:t xml:space="preserve">ridSMART Phase 1) </w:t>
      </w:r>
      <w:r w:rsidRPr="006F23C5">
        <w:rPr>
          <w:szCs w:val="24"/>
        </w:rPr>
        <w:t xml:space="preserve">that should be providing recurring </w:t>
      </w:r>
      <w:r w:rsidRPr="006F23C5" w:rsidR="00473364">
        <w:rPr>
          <w:szCs w:val="24"/>
        </w:rPr>
        <w:t xml:space="preserve">quantifiable </w:t>
      </w:r>
      <w:r w:rsidRPr="006F23C5">
        <w:rPr>
          <w:szCs w:val="24"/>
        </w:rPr>
        <w:t>reliability benefits</w:t>
      </w:r>
      <w:r w:rsidRPr="006F23C5" w:rsidR="00473364">
        <w:rPr>
          <w:szCs w:val="24"/>
        </w:rPr>
        <w:t xml:space="preserve"> for consumers</w:t>
      </w:r>
      <w:r w:rsidRPr="006F23C5">
        <w:rPr>
          <w:szCs w:val="24"/>
        </w:rPr>
        <w:t xml:space="preserve">. </w:t>
      </w:r>
    </w:p>
    <w:p w:rsidR="00847F65" w:rsidRPr="006F23C5" w:rsidP="00C743EB" w14:paraId="07BEE5F8" w14:textId="4B5F0C88">
      <w:pPr>
        <w:spacing w:line="480" w:lineRule="auto"/>
        <w:rPr>
          <w:szCs w:val="24"/>
        </w:rPr>
      </w:pPr>
      <w:r w:rsidRPr="006F23C5">
        <w:rPr>
          <w:szCs w:val="24"/>
        </w:rPr>
        <w:tab/>
      </w:r>
      <w:bookmarkStart w:id="29" w:name="_Hlk114645043"/>
      <w:r w:rsidRPr="006F23C5">
        <w:rPr>
          <w:szCs w:val="24"/>
        </w:rPr>
        <w:t xml:space="preserve">Any investigation into the June 2022 outages </w:t>
      </w:r>
      <w:r w:rsidRPr="006F23C5" w:rsidR="0071412D">
        <w:rPr>
          <w:szCs w:val="24"/>
        </w:rPr>
        <w:t xml:space="preserve">(and the establishment of the reliability standards) for 2022 </w:t>
      </w:r>
      <w:r w:rsidRPr="006F23C5">
        <w:rPr>
          <w:szCs w:val="24"/>
        </w:rPr>
        <w:t xml:space="preserve">must examine the impact that distribution automation had on reducing the number of consumers who were impacted and for how long. </w:t>
      </w:r>
      <w:r w:rsidRPr="006F23C5" w:rsidR="0071412D">
        <w:rPr>
          <w:szCs w:val="24"/>
        </w:rPr>
        <w:t>This includes evaluating if there were opportunities for distribution automation to avoid outages that did not operate as designed.</w:t>
      </w:r>
      <w:r w:rsidRPr="006F23C5" w:rsidR="00301D38">
        <w:rPr>
          <w:szCs w:val="24"/>
        </w:rPr>
        <w:t xml:space="preserve"> </w:t>
      </w:r>
    </w:p>
    <w:bookmarkEnd w:id="29"/>
    <w:p w:rsidR="007E38A7" w:rsidRPr="006F23C5" w:rsidP="001D4EB8" w14:paraId="2DA189B4" w14:textId="2A98E2BF">
      <w:pPr>
        <w:spacing w:line="480" w:lineRule="auto"/>
        <w:ind w:firstLine="720"/>
        <w:rPr>
          <w:szCs w:val="24"/>
        </w:rPr>
      </w:pPr>
      <w:r w:rsidRPr="006F23C5">
        <w:rPr>
          <w:szCs w:val="24"/>
        </w:rPr>
        <w:t xml:space="preserve">The PUCO should require AEP Ohio to quantify the DACR adjustment to the five-year average historical performance baseline based on the </w:t>
      </w:r>
      <w:r w:rsidRPr="006F23C5" w:rsidR="00847F65">
        <w:rPr>
          <w:szCs w:val="24"/>
        </w:rPr>
        <w:t xml:space="preserve">SAIFI commitments that were made for gridSMART Phase 2 and further adjustments for the 70 DACR circuits </w:t>
      </w:r>
      <w:r w:rsidRPr="006F23C5" w:rsidR="00473364">
        <w:rPr>
          <w:szCs w:val="24"/>
        </w:rPr>
        <w:t xml:space="preserve">that were </w:t>
      </w:r>
      <w:r w:rsidRPr="006F23C5" w:rsidR="00847F65">
        <w:rPr>
          <w:szCs w:val="24"/>
        </w:rPr>
        <w:t>installed as part of gridSMART Phase 1</w:t>
      </w:r>
      <w:r w:rsidRPr="006F23C5" w:rsidR="00473364">
        <w:rPr>
          <w:szCs w:val="24"/>
        </w:rPr>
        <w:t>.</w:t>
      </w:r>
      <w:r w:rsidRPr="006F23C5" w:rsidR="00301D38">
        <w:rPr>
          <w:szCs w:val="24"/>
        </w:rPr>
        <w:t xml:space="preserve"> </w:t>
      </w:r>
    </w:p>
    <w:p w:rsidR="00204F93" w:rsidRPr="006F23C5" w:rsidP="001D4EB8" w14:paraId="6CD72C93" w14:textId="3C9D5DE5">
      <w:pPr>
        <w:pStyle w:val="Heading2"/>
        <w:rPr>
          <w:szCs w:val="24"/>
        </w:rPr>
      </w:pPr>
      <w:bookmarkStart w:id="30" w:name="_Toc115271117"/>
      <w:r w:rsidRPr="006F23C5">
        <w:rPr>
          <w:szCs w:val="24"/>
        </w:rPr>
        <w:t>D.</w:t>
      </w:r>
      <w:r w:rsidRPr="006F23C5">
        <w:rPr>
          <w:szCs w:val="24"/>
        </w:rPr>
        <w:tab/>
      </w:r>
      <w:r w:rsidRPr="006F23C5" w:rsidR="00956445">
        <w:rPr>
          <w:szCs w:val="24"/>
        </w:rPr>
        <w:t xml:space="preserve">To protect consumers, the PUCO should require AEP Ohio to </w:t>
      </w:r>
      <w:r w:rsidRPr="006F23C5" w:rsidR="007A1500">
        <w:rPr>
          <w:szCs w:val="24"/>
        </w:rPr>
        <w:t xml:space="preserve">provide a vegetation management adjustment </w:t>
      </w:r>
      <w:r w:rsidRPr="006F23C5" w:rsidR="00FD676E">
        <w:rPr>
          <w:szCs w:val="24"/>
        </w:rPr>
        <w:t xml:space="preserve">to </w:t>
      </w:r>
      <w:r w:rsidRPr="006F23C5" w:rsidR="007A1500">
        <w:rPr>
          <w:szCs w:val="24"/>
        </w:rPr>
        <w:t xml:space="preserve">the proposed </w:t>
      </w:r>
      <w:r w:rsidRPr="006F23C5" w:rsidR="00956445">
        <w:rPr>
          <w:szCs w:val="24"/>
        </w:rPr>
        <w:t xml:space="preserve">SAIFI and CAIDI standards </w:t>
      </w:r>
      <w:r w:rsidRPr="006F23C5" w:rsidR="00362422">
        <w:rPr>
          <w:szCs w:val="24"/>
        </w:rPr>
        <w:t xml:space="preserve">beginning in 2022 </w:t>
      </w:r>
      <w:r w:rsidRPr="006F23C5" w:rsidR="00FD676E">
        <w:rPr>
          <w:szCs w:val="24"/>
        </w:rPr>
        <w:t xml:space="preserve">and beyond </w:t>
      </w:r>
      <w:r w:rsidRPr="006F23C5" w:rsidR="00362422">
        <w:rPr>
          <w:szCs w:val="24"/>
        </w:rPr>
        <w:t xml:space="preserve">to reflect the </w:t>
      </w:r>
      <w:r w:rsidRPr="006F23C5" w:rsidR="00FD676E">
        <w:rPr>
          <w:szCs w:val="24"/>
        </w:rPr>
        <w:t xml:space="preserve">reductions in tree-caused outages outside right of way </w:t>
      </w:r>
      <w:r w:rsidRPr="006F23C5" w:rsidR="006A611C">
        <w:rPr>
          <w:szCs w:val="24"/>
        </w:rPr>
        <w:t xml:space="preserve">that is being paid for by consumers </w:t>
      </w:r>
      <w:r w:rsidRPr="006F23C5" w:rsidR="00362422">
        <w:rPr>
          <w:szCs w:val="24"/>
        </w:rPr>
        <w:t>through the Enhanced Service Reliability Rider (“ESRR”).</w:t>
      </w:r>
      <w:bookmarkEnd w:id="30"/>
      <w:r w:rsidRPr="006F23C5" w:rsidR="00301D38">
        <w:rPr>
          <w:szCs w:val="24"/>
        </w:rPr>
        <w:t xml:space="preserve"> </w:t>
      </w:r>
    </w:p>
    <w:p w:rsidR="006A611C" w:rsidRPr="006F23C5" w:rsidP="00204F93" w14:paraId="0A82EB98" w14:textId="2B51A081">
      <w:pPr>
        <w:spacing w:line="480" w:lineRule="auto"/>
        <w:ind w:firstLine="720"/>
        <w:rPr>
          <w:szCs w:val="24"/>
        </w:rPr>
      </w:pPr>
      <w:r w:rsidRPr="006F23C5">
        <w:rPr>
          <w:szCs w:val="24"/>
        </w:rPr>
        <w:t xml:space="preserve">AEP Ohio has not proposed an adjustment to the SAIFI and CAIDI standards </w:t>
      </w:r>
      <w:r w:rsidRPr="006F23C5" w:rsidR="009D5757">
        <w:rPr>
          <w:szCs w:val="24"/>
        </w:rPr>
        <w:t xml:space="preserve">for improvements in vegetation management </w:t>
      </w:r>
      <w:r w:rsidRPr="006F23C5">
        <w:rPr>
          <w:szCs w:val="24"/>
        </w:rPr>
        <w:t>even though it is collecting upwards of $45 million annually for tree-trimming through the ESRR. The ESRR as initially approved by the PUCO was intended to fund AEP Ohio transitioning to a five-year cycle-based tree-trimming program for vegetation within the right of way</w:t>
      </w:r>
      <w:r w:rsidRPr="006F23C5" w:rsidR="00D029CC">
        <w:rPr>
          <w:szCs w:val="24"/>
        </w:rPr>
        <w:t xml:space="preserve"> (“ROW”)</w:t>
      </w:r>
      <w:r w:rsidRPr="006F23C5">
        <w:rPr>
          <w:szCs w:val="24"/>
        </w:rPr>
        <w:t xml:space="preserve">. More recently, the ESRR was approved to </w:t>
      </w:r>
      <w:r w:rsidRPr="006F23C5" w:rsidR="009D5757">
        <w:rPr>
          <w:szCs w:val="24"/>
        </w:rPr>
        <w:t xml:space="preserve">fund a danger tree removal program that is intended to reduce tree-caused outages outside the </w:t>
      </w:r>
      <w:r w:rsidRPr="006F23C5" w:rsidR="00E14987">
        <w:rPr>
          <w:szCs w:val="24"/>
        </w:rPr>
        <w:t>ROW</w:t>
      </w:r>
      <w:r w:rsidRPr="006F23C5" w:rsidR="009D5757">
        <w:rPr>
          <w:szCs w:val="24"/>
        </w:rPr>
        <w:t>.</w:t>
      </w:r>
      <w:r>
        <w:rPr>
          <w:rStyle w:val="FootnoteReference"/>
          <w:szCs w:val="24"/>
        </w:rPr>
        <w:footnoteReference w:id="43"/>
      </w:r>
      <w:r w:rsidRPr="006F23C5" w:rsidR="009D5757">
        <w:rPr>
          <w:szCs w:val="24"/>
        </w:rPr>
        <w:t xml:space="preserve"> </w:t>
      </w:r>
      <w:r w:rsidRPr="006F23C5" w:rsidR="00F26EFF">
        <w:rPr>
          <w:szCs w:val="24"/>
        </w:rPr>
        <w:t>The danger tree program end</w:t>
      </w:r>
      <w:r w:rsidRPr="006F23C5" w:rsidR="00D029CC">
        <w:rPr>
          <w:szCs w:val="24"/>
        </w:rPr>
        <w:t>s</w:t>
      </w:r>
      <w:r w:rsidRPr="006F23C5" w:rsidR="00F26EFF">
        <w:rPr>
          <w:szCs w:val="24"/>
        </w:rPr>
        <w:t xml:space="preserve"> in 2023.</w:t>
      </w:r>
      <w:r>
        <w:rPr>
          <w:rStyle w:val="FootnoteReference"/>
          <w:szCs w:val="24"/>
        </w:rPr>
        <w:footnoteReference w:id="44"/>
      </w:r>
      <w:r w:rsidRPr="006F23C5" w:rsidR="00301D38">
        <w:rPr>
          <w:szCs w:val="24"/>
        </w:rPr>
        <w:t xml:space="preserve"> </w:t>
      </w:r>
    </w:p>
    <w:p w:rsidR="00F26EFF" w:rsidRPr="006F23C5" w:rsidP="00204F93" w14:paraId="2D0361D8" w14:textId="6278C5D9">
      <w:pPr>
        <w:spacing w:line="480" w:lineRule="auto"/>
        <w:ind w:firstLine="720"/>
        <w:rPr>
          <w:szCs w:val="24"/>
        </w:rPr>
      </w:pPr>
      <w:r w:rsidRPr="006F23C5">
        <w:rPr>
          <w:szCs w:val="24"/>
        </w:rPr>
        <w:t xml:space="preserve">Table 4 provides a comparison of the number of tree-caused outages outside </w:t>
      </w:r>
      <w:r w:rsidRPr="006F23C5" w:rsidR="00D029CC">
        <w:rPr>
          <w:szCs w:val="24"/>
        </w:rPr>
        <w:t>the ROW</w:t>
      </w:r>
      <w:r w:rsidRPr="006F23C5">
        <w:rPr>
          <w:szCs w:val="24"/>
        </w:rPr>
        <w:t xml:space="preserve"> between 2017 and 2021. </w:t>
      </w:r>
      <w:r w:rsidRPr="006F23C5" w:rsidR="00D029CC">
        <w:rPr>
          <w:szCs w:val="24"/>
        </w:rPr>
        <w:t>Additionally</w:t>
      </w:r>
      <w:r w:rsidRPr="006F23C5">
        <w:rPr>
          <w:szCs w:val="24"/>
        </w:rPr>
        <w:t xml:space="preserve">, Table 4 provides a summary of the number of </w:t>
      </w:r>
      <w:r w:rsidRPr="006F23C5" w:rsidR="00D029CC">
        <w:rPr>
          <w:szCs w:val="24"/>
        </w:rPr>
        <w:t xml:space="preserve">consumers </w:t>
      </w:r>
      <w:r w:rsidRPr="006F23C5">
        <w:rPr>
          <w:szCs w:val="24"/>
        </w:rPr>
        <w:t>interrupted and customer minutes interrupted due to tree-caused outages outside ROW.</w:t>
      </w:r>
      <w:r w:rsidRPr="006F23C5" w:rsidR="00301D38">
        <w:rPr>
          <w:szCs w:val="24"/>
        </w:rPr>
        <w:t xml:space="preserve"> </w:t>
      </w:r>
    </w:p>
    <w:p w:rsidR="00825AD0" w:rsidRPr="006F23C5" w:rsidP="00204F93" w14:paraId="6703C021" w14:textId="208E10CB">
      <w:pPr>
        <w:spacing w:line="480" w:lineRule="auto"/>
        <w:ind w:firstLine="720"/>
        <w:rPr>
          <w:b/>
          <w:bCs/>
          <w:szCs w:val="24"/>
        </w:rPr>
      </w:pPr>
      <w:r w:rsidRPr="006F23C5">
        <w:rPr>
          <w:b/>
          <w:bCs/>
          <w:szCs w:val="24"/>
        </w:rPr>
        <w:t>Table 4: AEP Ohio Tree Caused Outages Outside ROW (2017 – 2021)</w:t>
      </w:r>
    </w:p>
    <w:tbl>
      <w:tblPr>
        <w:tblStyle w:val="TableGrid"/>
        <w:tblW w:w="9445" w:type="dxa"/>
        <w:tblLook w:val="04A0"/>
      </w:tblPr>
      <w:tblGrid>
        <w:gridCol w:w="1331"/>
        <w:gridCol w:w="1340"/>
        <w:gridCol w:w="1340"/>
        <w:gridCol w:w="1340"/>
        <w:gridCol w:w="1340"/>
        <w:gridCol w:w="1340"/>
        <w:gridCol w:w="1414"/>
      </w:tblGrid>
      <w:tr w14:paraId="20843E7E" w14:textId="1CA372C3" w:rsidTr="00EB260A">
        <w:tblPrEx>
          <w:tblW w:w="9445" w:type="dxa"/>
          <w:tblLook w:val="04A0"/>
        </w:tblPrEx>
        <w:tc>
          <w:tcPr>
            <w:tcW w:w="1331" w:type="dxa"/>
          </w:tcPr>
          <w:p w:rsidR="00EB260A" w:rsidRPr="006F23C5" w:rsidP="00825AD0" w14:paraId="3DC9BDA5" w14:textId="77777777">
            <w:pPr>
              <w:rPr>
                <w:szCs w:val="24"/>
              </w:rPr>
            </w:pPr>
          </w:p>
        </w:tc>
        <w:tc>
          <w:tcPr>
            <w:tcW w:w="1340" w:type="dxa"/>
          </w:tcPr>
          <w:p w:rsidR="00EB260A" w:rsidRPr="006F23C5" w:rsidP="00EB260A" w14:paraId="7F7D3D14" w14:textId="0E444AAA">
            <w:pPr>
              <w:jc w:val="center"/>
              <w:rPr>
                <w:szCs w:val="24"/>
              </w:rPr>
            </w:pPr>
            <w:r w:rsidRPr="006F23C5">
              <w:rPr>
                <w:szCs w:val="24"/>
              </w:rPr>
              <w:t>2017</w:t>
            </w:r>
          </w:p>
        </w:tc>
        <w:tc>
          <w:tcPr>
            <w:tcW w:w="1340" w:type="dxa"/>
          </w:tcPr>
          <w:p w:rsidR="00EB260A" w:rsidRPr="006F23C5" w:rsidP="00EB260A" w14:paraId="029D15D1" w14:textId="58AFFA3E">
            <w:pPr>
              <w:jc w:val="center"/>
              <w:rPr>
                <w:szCs w:val="24"/>
              </w:rPr>
            </w:pPr>
            <w:r w:rsidRPr="006F23C5">
              <w:rPr>
                <w:szCs w:val="24"/>
              </w:rPr>
              <w:t>2018</w:t>
            </w:r>
          </w:p>
        </w:tc>
        <w:tc>
          <w:tcPr>
            <w:tcW w:w="1340" w:type="dxa"/>
          </w:tcPr>
          <w:p w:rsidR="00EB260A" w:rsidRPr="006F23C5" w:rsidP="00EB260A" w14:paraId="5F5A959E" w14:textId="36EA6FDF">
            <w:pPr>
              <w:jc w:val="center"/>
              <w:rPr>
                <w:szCs w:val="24"/>
              </w:rPr>
            </w:pPr>
            <w:r w:rsidRPr="006F23C5">
              <w:rPr>
                <w:szCs w:val="24"/>
              </w:rPr>
              <w:t>2019</w:t>
            </w:r>
          </w:p>
        </w:tc>
        <w:tc>
          <w:tcPr>
            <w:tcW w:w="1340" w:type="dxa"/>
          </w:tcPr>
          <w:p w:rsidR="00EB260A" w:rsidRPr="006F23C5" w:rsidP="00EB260A" w14:paraId="312AAC10" w14:textId="6ACEE260">
            <w:pPr>
              <w:jc w:val="center"/>
              <w:rPr>
                <w:szCs w:val="24"/>
              </w:rPr>
            </w:pPr>
            <w:r w:rsidRPr="006F23C5">
              <w:rPr>
                <w:szCs w:val="24"/>
              </w:rPr>
              <w:t>2020</w:t>
            </w:r>
          </w:p>
        </w:tc>
        <w:tc>
          <w:tcPr>
            <w:tcW w:w="1340" w:type="dxa"/>
          </w:tcPr>
          <w:p w:rsidR="00EB260A" w:rsidRPr="006F23C5" w:rsidP="00EB260A" w14:paraId="4D17AE3D" w14:textId="51E084A2">
            <w:pPr>
              <w:jc w:val="center"/>
              <w:rPr>
                <w:szCs w:val="24"/>
              </w:rPr>
            </w:pPr>
            <w:r w:rsidRPr="006F23C5">
              <w:rPr>
                <w:szCs w:val="24"/>
              </w:rPr>
              <w:t>2021</w:t>
            </w:r>
          </w:p>
        </w:tc>
        <w:tc>
          <w:tcPr>
            <w:tcW w:w="1414" w:type="dxa"/>
          </w:tcPr>
          <w:p w:rsidR="00EB260A" w:rsidRPr="006F23C5" w:rsidP="00EB260A" w14:paraId="457653B1" w14:textId="65F540FE">
            <w:pPr>
              <w:jc w:val="center"/>
              <w:rPr>
                <w:szCs w:val="24"/>
              </w:rPr>
            </w:pPr>
            <w:r w:rsidRPr="006F23C5">
              <w:rPr>
                <w:szCs w:val="24"/>
              </w:rPr>
              <w:t>% Change 2017 - 2021</w:t>
            </w:r>
          </w:p>
        </w:tc>
      </w:tr>
      <w:tr w14:paraId="4BB04C7A" w14:textId="6775979F" w:rsidTr="00EB260A">
        <w:tblPrEx>
          <w:tblW w:w="9445" w:type="dxa"/>
          <w:tblLook w:val="04A0"/>
        </w:tblPrEx>
        <w:tc>
          <w:tcPr>
            <w:tcW w:w="1331" w:type="dxa"/>
          </w:tcPr>
          <w:p w:rsidR="00EB260A" w:rsidRPr="006F23C5" w:rsidP="00825AD0" w14:paraId="0C5E2392" w14:textId="6458658E">
            <w:pPr>
              <w:rPr>
                <w:szCs w:val="24"/>
              </w:rPr>
            </w:pPr>
            <w:r w:rsidRPr="006F23C5">
              <w:rPr>
                <w:szCs w:val="24"/>
              </w:rPr>
              <w:t>Number of Outage</w:t>
            </w:r>
            <w:r w:rsidRPr="006F23C5" w:rsidR="00765B92">
              <w:rPr>
                <w:szCs w:val="24"/>
              </w:rPr>
              <w:t xml:space="preserve"> Events</w:t>
            </w:r>
          </w:p>
        </w:tc>
        <w:tc>
          <w:tcPr>
            <w:tcW w:w="1340" w:type="dxa"/>
          </w:tcPr>
          <w:p w:rsidR="00EB260A" w:rsidRPr="006F23C5" w:rsidP="00825AD0" w14:paraId="12874992" w14:textId="423F1BA9">
            <w:pPr>
              <w:jc w:val="center"/>
              <w:rPr>
                <w:szCs w:val="24"/>
              </w:rPr>
            </w:pPr>
            <w:r w:rsidRPr="006F23C5">
              <w:rPr>
                <w:szCs w:val="24"/>
              </w:rPr>
              <w:t>5,955</w:t>
            </w:r>
          </w:p>
        </w:tc>
        <w:tc>
          <w:tcPr>
            <w:tcW w:w="1340" w:type="dxa"/>
          </w:tcPr>
          <w:p w:rsidR="00EB260A" w:rsidRPr="006F23C5" w:rsidP="00825AD0" w14:paraId="6B1E1BFC" w14:textId="2864E9C8">
            <w:pPr>
              <w:jc w:val="center"/>
              <w:rPr>
                <w:szCs w:val="24"/>
              </w:rPr>
            </w:pPr>
            <w:r w:rsidRPr="006F23C5">
              <w:rPr>
                <w:szCs w:val="24"/>
              </w:rPr>
              <w:t>6,821</w:t>
            </w:r>
          </w:p>
        </w:tc>
        <w:tc>
          <w:tcPr>
            <w:tcW w:w="1340" w:type="dxa"/>
          </w:tcPr>
          <w:p w:rsidR="00EB260A" w:rsidRPr="006F23C5" w:rsidP="00825AD0" w14:paraId="7D248A5B" w14:textId="38992DBC">
            <w:pPr>
              <w:jc w:val="center"/>
              <w:rPr>
                <w:szCs w:val="24"/>
              </w:rPr>
            </w:pPr>
            <w:r w:rsidRPr="006F23C5">
              <w:rPr>
                <w:szCs w:val="24"/>
              </w:rPr>
              <w:t>6,061</w:t>
            </w:r>
          </w:p>
        </w:tc>
        <w:tc>
          <w:tcPr>
            <w:tcW w:w="1340" w:type="dxa"/>
          </w:tcPr>
          <w:p w:rsidR="00EB260A" w:rsidRPr="006F23C5" w:rsidP="00825AD0" w14:paraId="7DDCAFFA" w14:textId="6155D2B2">
            <w:pPr>
              <w:jc w:val="center"/>
              <w:rPr>
                <w:szCs w:val="24"/>
              </w:rPr>
            </w:pPr>
            <w:r w:rsidRPr="006F23C5">
              <w:rPr>
                <w:szCs w:val="24"/>
              </w:rPr>
              <w:t>5,529</w:t>
            </w:r>
          </w:p>
        </w:tc>
        <w:tc>
          <w:tcPr>
            <w:tcW w:w="1340" w:type="dxa"/>
          </w:tcPr>
          <w:p w:rsidR="00EB260A" w:rsidRPr="006F23C5" w:rsidP="00825AD0" w14:paraId="165811D1" w14:textId="3C833E68">
            <w:pPr>
              <w:jc w:val="center"/>
              <w:rPr>
                <w:szCs w:val="24"/>
              </w:rPr>
            </w:pPr>
            <w:r w:rsidRPr="006F23C5">
              <w:rPr>
                <w:szCs w:val="24"/>
              </w:rPr>
              <w:t>5,391</w:t>
            </w:r>
          </w:p>
        </w:tc>
        <w:tc>
          <w:tcPr>
            <w:tcW w:w="1414" w:type="dxa"/>
          </w:tcPr>
          <w:p w:rsidR="00EB260A" w:rsidRPr="006F23C5" w:rsidP="00825AD0" w14:paraId="2546A54D" w14:textId="6D993879">
            <w:pPr>
              <w:jc w:val="center"/>
              <w:rPr>
                <w:szCs w:val="24"/>
              </w:rPr>
            </w:pPr>
            <w:r w:rsidRPr="006F23C5">
              <w:rPr>
                <w:szCs w:val="24"/>
              </w:rPr>
              <w:t>(9.5</w:t>
            </w:r>
            <w:r w:rsidRPr="006F23C5" w:rsidR="00F33722">
              <w:rPr>
                <w:szCs w:val="24"/>
              </w:rPr>
              <w:t>%</w:t>
            </w:r>
            <w:r w:rsidRPr="006F23C5">
              <w:rPr>
                <w:szCs w:val="24"/>
              </w:rPr>
              <w:t>)</w:t>
            </w:r>
          </w:p>
        </w:tc>
      </w:tr>
      <w:tr w14:paraId="2AC6E9D7" w14:textId="22403C16" w:rsidTr="00EB260A">
        <w:tblPrEx>
          <w:tblW w:w="9445" w:type="dxa"/>
          <w:tblLook w:val="04A0"/>
        </w:tblPrEx>
        <w:tc>
          <w:tcPr>
            <w:tcW w:w="1331" w:type="dxa"/>
          </w:tcPr>
          <w:p w:rsidR="00EB260A" w:rsidRPr="006F23C5" w:rsidP="00825AD0" w14:paraId="4572BE16" w14:textId="701D1352">
            <w:pPr>
              <w:rPr>
                <w:szCs w:val="24"/>
              </w:rPr>
            </w:pPr>
            <w:r w:rsidRPr="006F23C5">
              <w:rPr>
                <w:szCs w:val="24"/>
              </w:rPr>
              <w:t>Consumers Interrupted</w:t>
            </w:r>
          </w:p>
        </w:tc>
        <w:tc>
          <w:tcPr>
            <w:tcW w:w="1340" w:type="dxa"/>
          </w:tcPr>
          <w:p w:rsidR="00EB260A" w:rsidRPr="006F23C5" w:rsidP="00825AD0" w14:paraId="5DF31CB2" w14:textId="1E007C3E">
            <w:pPr>
              <w:jc w:val="center"/>
              <w:rPr>
                <w:szCs w:val="24"/>
              </w:rPr>
            </w:pPr>
            <w:r w:rsidRPr="006F23C5">
              <w:rPr>
                <w:szCs w:val="24"/>
              </w:rPr>
              <w:t>295,081</w:t>
            </w:r>
          </w:p>
        </w:tc>
        <w:tc>
          <w:tcPr>
            <w:tcW w:w="1340" w:type="dxa"/>
          </w:tcPr>
          <w:p w:rsidR="00EB260A" w:rsidRPr="006F23C5" w:rsidP="00825AD0" w14:paraId="52A0B62C" w14:textId="110017DF">
            <w:pPr>
              <w:jc w:val="center"/>
              <w:rPr>
                <w:szCs w:val="24"/>
              </w:rPr>
            </w:pPr>
            <w:r w:rsidRPr="006F23C5">
              <w:rPr>
                <w:szCs w:val="24"/>
              </w:rPr>
              <w:t>389,309</w:t>
            </w:r>
          </w:p>
        </w:tc>
        <w:tc>
          <w:tcPr>
            <w:tcW w:w="1340" w:type="dxa"/>
          </w:tcPr>
          <w:p w:rsidR="00EB260A" w:rsidRPr="006F23C5" w:rsidP="00825AD0" w14:paraId="7A79AA32" w14:textId="3B31652E">
            <w:pPr>
              <w:jc w:val="center"/>
              <w:rPr>
                <w:szCs w:val="24"/>
              </w:rPr>
            </w:pPr>
            <w:r w:rsidRPr="006F23C5">
              <w:rPr>
                <w:szCs w:val="24"/>
              </w:rPr>
              <w:t>284,155</w:t>
            </w:r>
          </w:p>
        </w:tc>
        <w:tc>
          <w:tcPr>
            <w:tcW w:w="1340" w:type="dxa"/>
          </w:tcPr>
          <w:p w:rsidR="00EB260A" w:rsidRPr="006F23C5" w:rsidP="00825AD0" w14:paraId="288335CE" w14:textId="7AED2ED7">
            <w:pPr>
              <w:jc w:val="center"/>
              <w:rPr>
                <w:szCs w:val="24"/>
              </w:rPr>
            </w:pPr>
            <w:r w:rsidRPr="006F23C5">
              <w:rPr>
                <w:szCs w:val="24"/>
              </w:rPr>
              <w:t>264,018</w:t>
            </w:r>
          </w:p>
        </w:tc>
        <w:tc>
          <w:tcPr>
            <w:tcW w:w="1340" w:type="dxa"/>
          </w:tcPr>
          <w:p w:rsidR="00EB260A" w:rsidRPr="006F23C5" w:rsidP="00825AD0" w14:paraId="4CB3DA34" w14:textId="00D1FC1A">
            <w:pPr>
              <w:jc w:val="center"/>
              <w:rPr>
                <w:szCs w:val="24"/>
              </w:rPr>
            </w:pPr>
            <w:r w:rsidRPr="006F23C5">
              <w:rPr>
                <w:szCs w:val="24"/>
              </w:rPr>
              <w:t>250,255</w:t>
            </w:r>
          </w:p>
        </w:tc>
        <w:tc>
          <w:tcPr>
            <w:tcW w:w="1414" w:type="dxa"/>
          </w:tcPr>
          <w:p w:rsidR="00EB260A" w:rsidRPr="006F23C5" w:rsidP="00825AD0" w14:paraId="154DEBEA" w14:textId="0830075A">
            <w:pPr>
              <w:jc w:val="center"/>
              <w:rPr>
                <w:szCs w:val="24"/>
              </w:rPr>
            </w:pPr>
            <w:r w:rsidRPr="006F23C5">
              <w:rPr>
                <w:szCs w:val="24"/>
              </w:rPr>
              <w:t>(15.2</w:t>
            </w:r>
            <w:r w:rsidRPr="006F23C5" w:rsidR="00F33722">
              <w:rPr>
                <w:szCs w:val="24"/>
              </w:rPr>
              <w:t>%</w:t>
            </w:r>
            <w:r w:rsidRPr="006F23C5">
              <w:rPr>
                <w:szCs w:val="24"/>
              </w:rPr>
              <w:t>)</w:t>
            </w:r>
          </w:p>
        </w:tc>
      </w:tr>
      <w:tr w14:paraId="50ED0F57" w14:textId="69603444" w:rsidTr="00EB260A">
        <w:tblPrEx>
          <w:tblW w:w="9445" w:type="dxa"/>
          <w:tblLook w:val="04A0"/>
        </w:tblPrEx>
        <w:tc>
          <w:tcPr>
            <w:tcW w:w="1331" w:type="dxa"/>
          </w:tcPr>
          <w:p w:rsidR="00EB260A" w:rsidRPr="006F23C5" w:rsidP="00825AD0" w14:paraId="2C0594A1" w14:textId="581F4D12">
            <w:pPr>
              <w:rPr>
                <w:szCs w:val="24"/>
              </w:rPr>
            </w:pPr>
            <w:r w:rsidRPr="006F23C5">
              <w:rPr>
                <w:szCs w:val="24"/>
              </w:rPr>
              <w:t>Consumer Minutes Interrupted</w:t>
            </w:r>
          </w:p>
        </w:tc>
        <w:tc>
          <w:tcPr>
            <w:tcW w:w="1340" w:type="dxa"/>
          </w:tcPr>
          <w:p w:rsidR="00EB260A" w:rsidRPr="006F23C5" w:rsidP="00825AD0" w14:paraId="6D23AED1" w14:textId="4C3CA971">
            <w:pPr>
              <w:jc w:val="center"/>
              <w:rPr>
                <w:szCs w:val="24"/>
              </w:rPr>
            </w:pPr>
            <w:r w:rsidRPr="006F23C5">
              <w:rPr>
                <w:szCs w:val="24"/>
              </w:rPr>
              <w:t>64,464,058</w:t>
            </w:r>
          </w:p>
        </w:tc>
        <w:tc>
          <w:tcPr>
            <w:tcW w:w="1340" w:type="dxa"/>
          </w:tcPr>
          <w:p w:rsidR="00EB260A" w:rsidRPr="006F23C5" w:rsidP="00825AD0" w14:paraId="0CF668F6" w14:textId="3597AF62">
            <w:pPr>
              <w:jc w:val="center"/>
              <w:rPr>
                <w:szCs w:val="24"/>
              </w:rPr>
            </w:pPr>
            <w:r w:rsidRPr="006F23C5">
              <w:rPr>
                <w:szCs w:val="24"/>
              </w:rPr>
              <w:t>93,424,121</w:t>
            </w:r>
          </w:p>
        </w:tc>
        <w:tc>
          <w:tcPr>
            <w:tcW w:w="1340" w:type="dxa"/>
          </w:tcPr>
          <w:p w:rsidR="00EB260A" w:rsidRPr="006F23C5" w:rsidP="00825AD0" w14:paraId="64256188" w14:textId="578981C1">
            <w:pPr>
              <w:jc w:val="center"/>
              <w:rPr>
                <w:szCs w:val="24"/>
              </w:rPr>
            </w:pPr>
            <w:r w:rsidRPr="006F23C5">
              <w:rPr>
                <w:szCs w:val="24"/>
              </w:rPr>
              <w:t>67,928,197</w:t>
            </w:r>
          </w:p>
        </w:tc>
        <w:tc>
          <w:tcPr>
            <w:tcW w:w="1340" w:type="dxa"/>
          </w:tcPr>
          <w:p w:rsidR="00EB260A" w:rsidRPr="006F23C5" w:rsidP="00825AD0" w14:paraId="091B9924" w14:textId="751BE307">
            <w:pPr>
              <w:jc w:val="center"/>
              <w:rPr>
                <w:szCs w:val="24"/>
              </w:rPr>
            </w:pPr>
            <w:r w:rsidRPr="006F23C5">
              <w:rPr>
                <w:szCs w:val="24"/>
              </w:rPr>
              <w:t>54,299,052</w:t>
            </w:r>
          </w:p>
        </w:tc>
        <w:tc>
          <w:tcPr>
            <w:tcW w:w="1340" w:type="dxa"/>
          </w:tcPr>
          <w:p w:rsidR="00EB260A" w:rsidRPr="006F23C5" w:rsidP="00825AD0" w14:paraId="02CEC1CA" w14:textId="126912EC">
            <w:pPr>
              <w:jc w:val="center"/>
              <w:rPr>
                <w:szCs w:val="24"/>
              </w:rPr>
            </w:pPr>
            <w:r w:rsidRPr="006F23C5">
              <w:rPr>
                <w:szCs w:val="24"/>
              </w:rPr>
              <w:t>57,587,810</w:t>
            </w:r>
          </w:p>
        </w:tc>
        <w:tc>
          <w:tcPr>
            <w:tcW w:w="1414" w:type="dxa"/>
          </w:tcPr>
          <w:p w:rsidR="00EB260A" w:rsidRPr="006F23C5" w:rsidP="00825AD0" w14:paraId="2AC200C0" w14:textId="73243251">
            <w:pPr>
              <w:jc w:val="center"/>
              <w:rPr>
                <w:szCs w:val="24"/>
              </w:rPr>
            </w:pPr>
            <w:r w:rsidRPr="006F23C5">
              <w:rPr>
                <w:szCs w:val="24"/>
              </w:rPr>
              <w:t>(10.7%)</w:t>
            </w:r>
          </w:p>
        </w:tc>
      </w:tr>
    </w:tbl>
    <w:p w:rsidR="007E38A7" w:rsidRPr="006F23C5" w:rsidP="007724AA" w14:paraId="2E4EE751" w14:textId="7B300F63">
      <w:pPr>
        <w:rPr>
          <w:szCs w:val="24"/>
        </w:rPr>
      </w:pPr>
    </w:p>
    <w:p w:rsidR="00F33722" w:rsidRPr="006F23C5" w:rsidP="00204F93" w14:paraId="7DCB4890" w14:textId="2BA5AD7C">
      <w:pPr>
        <w:spacing w:line="480" w:lineRule="auto"/>
        <w:rPr>
          <w:szCs w:val="24"/>
        </w:rPr>
      </w:pPr>
      <w:r w:rsidRPr="006F23C5">
        <w:rPr>
          <w:szCs w:val="24"/>
        </w:rPr>
        <w:tab/>
        <w:t xml:space="preserve">Table 4 shows that between 2017 and 2021, there was an approximate 9.5 percent reduction in the number of tree-caused outages outside ROW. </w:t>
      </w:r>
      <w:r w:rsidRPr="006F23C5" w:rsidR="00D029CC">
        <w:rPr>
          <w:szCs w:val="24"/>
        </w:rPr>
        <w:t>Additionally</w:t>
      </w:r>
      <w:r w:rsidRPr="006F23C5">
        <w:rPr>
          <w:szCs w:val="24"/>
        </w:rPr>
        <w:t xml:space="preserve">, there has been an approximate 15.2% reduction in the number of </w:t>
      </w:r>
      <w:r w:rsidRPr="006F23C5" w:rsidR="00D029CC">
        <w:rPr>
          <w:szCs w:val="24"/>
        </w:rPr>
        <w:t xml:space="preserve">consumers </w:t>
      </w:r>
      <w:r w:rsidRPr="006F23C5">
        <w:rPr>
          <w:szCs w:val="24"/>
        </w:rPr>
        <w:t xml:space="preserve">interrupted and an approximate 10.7% reduction in </w:t>
      </w:r>
      <w:r w:rsidRPr="006F23C5" w:rsidR="00D029CC">
        <w:rPr>
          <w:szCs w:val="24"/>
        </w:rPr>
        <w:t xml:space="preserve">consumer </w:t>
      </w:r>
      <w:r w:rsidRPr="006F23C5">
        <w:rPr>
          <w:szCs w:val="24"/>
        </w:rPr>
        <w:t>minutes interrupted due to tree caused outages outside ROW. While the five</w:t>
      </w:r>
      <w:r w:rsidRPr="006F23C5" w:rsidR="004E2247">
        <w:rPr>
          <w:szCs w:val="24"/>
        </w:rPr>
        <w:t>-</w:t>
      </w:r>
      <w:r w:rsidRPr="006F23C5">
        <w:rPr>
          <w:szCs w:val="24"/>
        </w:rPr>
        <w:t xml:space="preserve">year average historical performance as proposed by AEP Ohio reflects these reductions, the 2022 standards being established in this proceeding </w:t>
      </w:r>
      <w:r w:rsidRPr="006F23C5" w:rsidR="004E2247">
        <w:rPr>
          <w:szCs w:val="24"/>
        </w:rPr>
        <w:t xml:space="preserve">does not. </w:t>
      </w:r>
      <w:r w:rsidRPr="006F23C5" w:rsidR="001E6A06">
        <w:rPr>
          <w:szCs w:val="24"/>
        </w:rPr>
        <w:t xml:space="preserve">The trend for continuing declines in the </w:t>
      </w:r>
      <w:r w:rsidRPr="006F23C5" w:rsidR="008221FA">
        <w:rPr>
          <w:szCs w:val="24"/>
        </w:rPr>
        <w:t xml:space="preserve">tree caused outages outside ROW is continuing now and should be reflected as an adjustment in the proposed reliability standards. </w:t>
      </w:r>
      <w:r w:rsidRPr="006F23C5" w:rsidR="00D029CC">
        <w:rPr>
          <w:szCs w:val="24"/>
        </w:rPr>
        <w:t>Also</w:t>
      </w:r>
      <w:r w:rsidRPr="006F23C5" w:rsidR="004E2247">
        <w:rPr>
          <w:szCs w:val="24"/>
        </w:rPr>
        <w:t xml:space="preserve">, the danger tree removal program is intended to continue through 2023. Therefore, the reliability standards for 2023 and beyond must also be adjusted to reflect the impact that the additional </w:t>
      </w:r>
      <w:r w:rsidRPr="006F23C5" w:rsidR="00D029CC">
        <w:rPr>
          <w:szCs w:val="24"/>
        </w:rPr>
        <w:t xml:space="preserve">consumer </w:t>
      </w:r>
      <w:r w:rsidRPr="006F23C5" w:rsidR="004E2247">
        <w:rPr>
          <w:szCs w:val="24"/>
        </w:rPr>
        <w:t xml:space="preserve">funding through the ESRR </w:t>
      </w:r>
      <w:r w:rsidRPr="006F23C5" w:rsidR="008221FA">
        <w:rPr>
          <w:szCs w:val="24"/>
        </w:rPr>
        <w:t xml:space="preserve">had on </w:t>
      </w:r>
      <w:r w:rsidRPr="006F23C5" w:rsidR="00265D80">
        <w:rPr>
          <w:szCs w:val="24"/>
        </w:rPr>
        <w:t>removing</w:t>
      </w:r>
      <w:r w:rsidRPr="006F23C5" w:rsidR="008221FA">
        <w:rPr>
          <w:szCs w:val="24"/>
        </w:rPr>
        <w:t xml:space="preserve"> danger trees and the continuing impact that will </w:t>
      </w:r>
      <w:r w:rsidRPr="006F23C5" w:rsidR="004E2247">
        <w:rPr>
          <w:szCs w:val="24"/>
        </w:rPr>
        <w:t>hav</w:t>
      </w:r>
      <w:r w:rsidRPr="006F23C5" w:rsidR="008221FA">
        <w:rPr>
          <w:szCs w:val="24"/>
        </w:rPr>
        <w:t xml:space="preserve">e </w:t>
      </w:r>
      <w:r w:rsidRPr="006F23C5" w:rsidR="004E2247">
        <w:rPr>
          <w:szCs w:val="24"/>
        </w:rPr>
        <w:t>on customer reliability.</w:t>
      </w:r>
      <w:r w:rsidRPr="006F23C5" w:rsidR="00301D38">
        <w:rPr>
          <w:szCs w:val="24"/>
        </w:rPr>
        <w:t xml:space="preserve"> </w:t>
      </w:r>
    </w:p>
    <w:p w:rsidR="00F02B4C" w:rsidRPr="006F23C5" w:rsidP="007C3A00" w14:paraId="0932A4AD" w14:textId="3E7F104D">
      <w:pPr>
        <w:spacing w:line="480" w:lineRule="auto"/>
        <w:ind w:firstLine="720"/>
        <w:rPr>
          <w:szCs w:val="24"/>
        </w:rPr>
      </w:pPr>
      <w:r w:rsidRPr="006F23C5">
        <w:rPr>
          <w:szCs w:val="24"/>
        </w:rPr>
        <w:t xml:space="preserve">Any investigation into the June 2022 outages (and the establishment of the reliability standards) for 2022 must examine the impact that vegetation management for both the transmission and distribution systems had on the number of customers who were interrupted and durations of interruptions. This includes evaluating if the level of vegetation management </w:t>
      </w:r>
      <w:r w:rsidRPr="006F23C5" w:rsidR="006F6384">
        <w:rPr>
          <w:szCs w:val="24"/>
        </w:rPr>
        <w:t xml:space="preserve">(and spending) </w:t>
      </w:r>
      <w:r w:rsidRPr="006F23C5">
        <w:rPr>
          <w:szCs w:val="24"/>
        </w:rPr>
        <w:t xml:space="preserve">being performed by AEP Ohio </w:t>
      </w:r>
      <w:r w:rsidRPr="006F23C5" w:rsidR="006F6384">
        <w:rPr>
          <w:szCs w:val="24"/>
        </w:rPr>
        <w:t>is providing all of the reliability benefits that are intended.</w:t>
      </w:r>
      <w:r w:rsidRPr="006F23C5" w:rsidR="00301D38">
        <w:rPr>
          <w:szCs w:val="24"/>
        </w:rPr>
        <w:t xml:space="preserve"> </w:t>
      </w:r>
    </w:p>
    <w:p w:rsidR="00B53262" w:rsidRPr="006F23C5" w:rsidP="007C3A00" w14:paraId="736FAE33" w14:textId="2BA1353D">
      <w:pPr>
        <w:spacing w:line="480" w:lineRule="auto"/>
        <w:rPr>
          <w:szCs w:val="24"/>
        </w:rPr>
      </w:pPr>
      <w:r w:rsidRPr="006F23C5">
        <w:rPr>
          <w:szCs w:val="24"/>
        </w:rPr>
        <w:tab/>
        <w:t xml:space="preserve">The PUCO should require AEP Ohio to quantify a vegetation management adjustment </w:t>
      </w:r>
      <w:r w:rsidRPr="006F23C5" w:rsidR="00F15604">
        <w:rPr>
          <w:szCs w:val="24"/>
        </w:rPr>
        <w:t xml:space="preserve">for both SAIFI and CAIDI </w:t>
      </w:r>
      <w:r w:rsidRPr="006F23C5">
        <w:rPr>
          <w:szCs w:val="24"/>
        </w:rPr>
        <w:t xml:space="preserve">associated with </w:t>
      </w:r>
      <w:r w:rsidRPr="006F23C5" w:rsidR="00F15604">
        <w:rPr>
          <w:szCs w:val="24"/>
        </w:rPr>
        <w:t>tree-caused outages outside ROW.</w:t>
      </w:r>
      <w:bookmarkEnd w:id="27"/>
      <w:bookmarkEnd w:id="28"/>
    </w:p>
    <w:p w:rsidR="00554D97" w:rsidRPr="006F23C5" w:rsidP="007C3A00" w14:paraId="7F3E23E5" w14:textId="54CAFE5F">
      <w:pPr>
        <w:pStyle w:val="Heading2"/>
        <w:rPr>
          <w:szCs w:val="24"/>
        </w:rPr>
      </w:pPr>
      <w:bookmarkStart w:id="31" w:name="_Toc115271118"/>
      <w:r w:rsidRPr="006F23C5">
        <w:rPr>
          <w:szCs w:val="24"/>
        </w:rPr>
        <w:t>E.</w:t>
      </w:r>
      <w:r w:rsidRPr="006F23C5">
        <w:rPr>
          <w:szCs w:val="24"/>
        </w:rPr>
        <w:tab/>
        <w:t>To protect consumers, the PUCO should require AEP Ohio to provide a distribution investment rider (“DIR”) adjustment to the proposed SAIFI and CAIDI standards beginning in 2022 and beyond to reflect the impact that DIR is intended to have on reliability.</w:t>
      </w:r>
      <w:bookmarkEnd w:id="31"/>
      <w:r w:rsidRPr="006F23C5" w:rsidR="00301D38">
        <w:rPr>
          <w:szCs w:val="24"/>
        </w:rPr>
        <w:t xml:space="preserve"> </w:t>
      </w:r>
    </w:p>
    <w:p w:rsidR="00A8338A" w:rsidRPr="006F23C5" w:rsidP="00DE6569" w14:paraId="6FA8FEE0" w14:textId="4AEC48A6">
      <w:pPr>
        <w:spacing w:line="480" w:lineRule="auto"/>
        <w:ind w:firstLine="720"/>
        <w:rPr>
          <w:szCs w:val="24"/>
        </w:rPr>
      </w:pPr>
      <w:r w:rsidRPr="006F23C5">
        <w:rPr>
          <w:szCs w:val="24"/>
        </w:rPr>
        <w:t xml:space="preserve">AEP Ohio has not proposed an adjustment to the SAIFI and CAIDI standards for </w:t>
      </w:r>
      <w:r w:rsidRPr="006F23C5" w:rsidR="00F20BBE">
        <w:rPr>
          <w:szCs w:val="24"/>
        </w:rPr>
        <w:t xml:space="preserve">reliability </w:t>
      </w:r>
      <w:r w:rsidRPr="006F23C5">
        <w:rPr>
          <w:szCs w:val="24"/>
        </w:rPr>
        <w:t xml:space="preserve">improvements that are </w:t>
      </w:r>
      <w:r w:rsidRPr="006F23C5" w:rsidR="00F20BBE">
        <w:rPr>
          <w:szCs w:val="24"/>
        </w:rPr>
        <w:t xml:space="preserve">contemplated in 2022 through 2024 based on additional </w:t>
      </w:r>
      <w:r w:rsidRPr="006F23C5" w:rsidR="00C468A0">
        <w:rPr>
          <w:szCs w:val="24"/>
        </w:rPr>
        <w:t xml:space="preserve">consumer </w:t>
      </w:r>
      <w:r w:rsidRPr="006F23C5" w:rsidR="00F20BBE">
        <w:rPr>
          <w:szCs w:val="24"/>
        </w:rPr>
        <w:t xml:space="preserve">funding that is being provided through the Distribution Investment Rider (“DIR”). DIR is intended to support investments for infrastructure modernization </w:t>
      </w:r>
      <w:r w:rsidRPr="006F23C5" w:rsidR="006E2923">
        <w:rPr>
          <w:szCs w:val="24"/>
        </w:rPr>
        <w:t>and the proactive replacement of equipment leading to more avoided outages. Through a recent settlement, AEP Ohio agreed to DIR performance-based standards for 2021 through 2023 that should result in adjustments in the proposed SAIFI and CAIDI standards in 2022 and beyond.</w:t>
      </w:r>
      <w:r>
        <w:rPr>
          <w:rStyle w:val="FootnoteReference"/>
          <w:szCs w:val="24"/>
        </w:rPr>
        <w:footnoteReference w:id="45"/>
      </w:r>
      <w:r w:rsidRPr="006F23C5" w:rsidR="006E2923">
        <w:rPr>
          <w:szCs w:val="24"/>
        </w:rPr>
        <w:t xml:space="preserve"> </w:t>
      </w:r>
      <w:r w:rsidRPr="006F23C5" w:rsidR="00BB1D33">
        <w:rPr>
          <w:szCs w:val="24"/>
        </w:rPr>
        <w:t>Under that settlement, AEP Ohio intended</w:t>
      </w:r>
      <w:r w:rsidRPr="006F23C5" w:rsidR="00C468A0">
        <w:rPr>
          <w:szCs w:val="24"/>
        </w:rPr>
        <w:t>s</w:t>
      </w:r>
      <w:r w:rsidRPr="006F23C5" w:rsidR="00BB1D33">
        <w:rPr>
          <w:szCs w:val="24"/>
        </w:rPr>
        <w:t xml:space="preserve"> to improve reliability as measured through a </w:t>
      </w:r>
      <w:r w:rsidRPr="006F23C5" w:rsidR="00583D2F">
        <w:rPr>
          <w:szCs w:val="24"/>
        </w:rPr>
        <w:t xml:space="preserve">quantifiable reduction in the </w:t>
      </w:r>
      <w:r w:rsidRPr="006F23C5" w:rsidR="00BB1D33">
        <w:rPr>
          <w:szCs w:val="24"/>
        </w:rPr>
        <w:t>System Average Interruption Duration Index (“SAIDI”) standard between 2021 and 2023.</w:t>
      </w:r>
      <w:r>
        <w:rPr>
          <w:rStyle w:val="FootnoteReference"/>
          <w:szCs w:val="24"/>
        </w:rPr>
        <w:footnoteReference w:id="46"/>
      </w:r>
      <w:r w:rsidRPr="006F23C5" w:rsidR="00301D38">
        <w:rPr>
          <w:szCs w:val="24"/>
        </w:rPr>
        <w:t xml:space="preserve"> </w:t>
      </w:r>
      <w:r w:rsidRPr="006F23C5" w:rsidR="009F308D">
        <w:rPr>
          <w:szCs w:val="24"/>
        </w:rPr>
        <w:t xml:space="preserve">While SAIDI is not a specific measure used for establishing reliability performance standards in Ohio, it is often used in conjunction with SAIFI for evaluating reliability performance. </w:t>
      </w:r>
    </w:p>
    <w:p w:rsidR="00A8338A" w:rsidRPr="006F23C5" w:rsidP="00A8338A" w14:paraId="5EBD8363" w14:textId="6F139839">
      <w:pPr>
        <w:spacing w:line="480" w:lineRule="auto"/>
        <w:ind w:firstLine="720"/>
        <w:rPr>
          <w:szCs w:val="24"/>
        </w:rPr>
      </w:pPr>
      <w:r w:rsidRPr="006F23C5">
        <w:rPr>
          <w:szCs w:val="24"/>
        </w:rPr>
        <w:t xml:space="preserve">Reductions in equipment caused outages is one measure used to determine the effectiveness of the DIR. Table 5 provides a comparison of the number of equipment caused outages between 2017 and 2021. </w:t>
      </w:r>
      <w:r w:rsidRPr="006F23C5" w:rsidR="00C468A0">
        <w:rPr>
          <w:szCs w:val="24"/>
        </w:rPr>
        <w:t>Also</w:t>
      </w:r>
      <w:r w:rsidRPr="006F23C5">
        <w:rPr>
          <w:szCs w:val="24"/>
        </w:rPr>
        <w:t xml:space="preserve">, Table 5 provides a summary of the number of customers interrupted and </w:t>
      </w:r>
      <w:r w:rsidRPr="006F23C5" w:rsidR="00C468A0">
        <w:rPr>
          <w:szCs w:val="24"/>
        </w:rPr>
        <w:t xml:space="preserve">consumer </w:t>
      </w:r>
      <w:r w:rsidRPr="006F23C5">
        <w:rPr>
          <w:szCs w:val="24"/>
        </w:rPr>
        <w:t>minutes interrupted due to equipment caused outages.</w:t>
      </w:r>
      <w:r w:rsidRPr="006F23C5" w:rsidR="00301D38">
        <w:rPr>
          <w:szCs w:val="24"/>
        </w:rPr>
        <w:t xml:space="preserve"> </w:t>
      </w:r>
    </w:p>
    <w:p w:rsidR="00A8338A" w:rsidRPr="006F23C5" w:rsidP="002F27EF" w14:paraId="0B53C8FD" w14:textId="56E8B6BF">
      <w:pPr>
        <w:spacing w:line="480" w:lineRule="auto"/>
        <w:jc w:val="center"/>
        <w:rPr>
          <w:b/>
          <w:bCs/>
          <w:szCs w:val="24"/>
        </w:rPr>
      </w:pPr>
      <w:r w:rsidRPr="006F23C5">
        <w:rPr>
          <w:b/>
          <w:bCs/>
          <w:szCs w:val="24"/>
        </w:rPr>
        <w:t xml:space="preserve">Table </w:t>
      </w:r>
      <w:r w:rsidRPr="006F23C5" w:rsidR="009F308D">
        <w:rPr>
          <w:b/>
          <w:bCs/>
          <w:szCs w:val="24"/>
        </w:rPr>
        <w:t>5</w:t>
      </w:r>
      <w:r w:rsidRPr="006F23C5">
        <w:rPr>
          <w:b/>
          <w:bCs/>
          <w:szCs w:val="24"/>
        </w:rPr>
        <w:t xml:space="preserve">: AEP Ohio </w:t>
      </w:r>
      <w:r w:rsidRPr="006F23C5" w:rsidR="009F308D">
        <w:rPr>
          <w:b/>
          <w:bCs/>
          <w:szCs w:val="24"/>
        </w:rPr>
        <w:t>Equipment Caused Outages</w:t>
      </w:r>
      <w:r w:rsidRPr="006F23C5">
        <w:rPr>
          <w:b/>
          <w:bCs/>
          <w:szCs w:val="24"/>
        </w:rPr>
        <w:t xml:space="preserve"> (2017 – 2021)</w:t>
      </w:r>
    </w:p>
    <w:tbl>
      <w:tblPr>
        <w:tblStyle w:val="TableGrid"/>
        <w:tblW w:w="9445" w:type="dxa"/>
        <w:tblLook w:val="04A0"/>
      </w:tblPr>
      <w:tblGrid>
        <w:gridCol w:w="1331"/>
        <w:gridCol w:w="1340"/>
        <w:gridCol w:w="1340"/>
        <w:gridCol w:w="1340"/>
        <w:gridCol w:w="1340"/>
        <w:gridCol w:w="1340"/>
        <w:gridCol w:w="1414"/>
      </w:tblGrid>
      <w:tr w14:paraId="5834ACE3" w14:textId="77777777" w:rsidTr="00320DA9">
        <w:tblPrEx>
          <w:tblW w:w="9445" w:type="dxa"/>
          <w:tblLook w:val="04A0"/>
        </w:tblPrEx>
        <w:tc>
          <w:tcPr>
            <w:tcW w:w="1331" w:type="dxa"/>
          </w:tcPr>
          <w:p w:rsidR="00A8338A" w:rsidRPr="006F23C5" w:rsidP="00320DA9" w14:paraId="285237E7" w14:textId="77777777">
            <w:pPr>
              <w:rPr>
                <w:szCs w:val="24"/>
              </w:rPr>
            </w:pPr>
          </w:p>
        </w:tc>
        <w:tc>
          <w:tcPr>
            <w:tcW w:w="1340" w:type="dxa"/>
          </w:tcPr>
          <w:p w:rsidR="00A8338A" w:rsidRPr="006F23C5" w:rsidP="00320DA9" w14:paraId="75374FEA" w14:textId="77777777">
            <w:pPr>
              <w:jc w:val="center"/>
              <w:rPr>
                <w:szCs w:val="24"/>
              </w:rPr>
            </w:pPr>
            <w:r w:rsidRPr="006F23C5">
              <w:rPr>
                <w:szCs w:val="24"/>
              </w:rPr>
              <w:t>2017</w:t>
            </w:r>
          </w:p>
        </w:tc>
        <w:tc>
          <w:tcPr>
            <w:tcW w:w="1340" w:type="dxa"/>
          </w:tcPr>
          <w:p w:rsidR="00A8338A" w:rsidRPr="006F23C5" w:rsidP="00320DA9" w14:paraId="6601AA48" w14:textId="77777777">
            <w:pPr>
              <w:jc w:val="center"/>
              <w:rPr>
                <w:szCs w:val="24"/>
              </w:rPr>
            </w:pPr>
            <w:r w:rsidRPr="006F23C5">
              <w:rPr>
                <w:szCs w:val="24"/>
              </w:rPr>
              <w:t>2018</w:t>
            </w:r>
          </w:p>
        </w:tc>
        <w:tc>
          <w:tcPr>
            <w:tcW w:w="1340" w:type="dxa"/>
          </w:tcPr>
          <w:p w:rsidR="00A8338A" w:rsidRPr="006F23C5" w:rsidP="00320DA9" w14:paraId="68EE8A1C" w14:textId="77777777">
            <w:pPr>
              <w:jc w:val="center"/>
              <w:rPr>
                <w:szCs w:val="24"/>
              </w:rPr>
            </w:pPr>
            <w:r w:rsidRPr="006F23C5">
              <w:rPr>
                <w:szCs w:val="24"/>
              </w:rPr>
              <w:t>2019</w:t>
            </w:r>
          </w:p>
        </w:tc>
        <w:tc>
          <w:tcPr>
            <w:tcW w:w="1340" w:type="dxa"/>
          </w:tcPr>
          <w:p w:rsidR="00A8338A" w:rsidRPr="006F23C5" w:rsidP="00320DA9" w14:paraId="22353AFA" w14:textId="77777777">
            <w:pPr>
              <w:jc w:val="center"/>
              <w:rPr>
                <w:szCs w:val="24"/>
              </w:rPr>
            </w:pPr>
            <w:r w:rsidRPr="006F23C5">
              <w:rPr>
                <w:szCs w:val="24"/>
              </w:rPr>
              <w:t>2020</w:t>
            </w:r>
          </w:p>
        </w:tc>
        <w:tc>
          <w:tcPr>
            <w:tcW w:w="1340" w:type="dxa"/>
          </w:tcPr>
          <w:p w:rsidR="00A8338A" w:rsidRPr="006F23C5" w:rsidP="00320DA9" w14:paraId="6F244463" w14:textId="77777777">
            <w:pPr>
              <w:jc w:val="center"/>
              <w:rPr>
                <w:szCs w:val="24"/>
              </w:rPr>
            </w:pPr>
            <w:r w:rsidRPr="006F23C5">
              <w:rPr>
                <w:szCs w:val="24"/>
              </w:rPr>
              <w:t>2021</w:t>
            </w:r>
          </w:p>
        </w:tc>
        <w:tc>
          <w:tcPr>
            <w:tcW w:w="1414" w:type="dxa"/>
          </w:tcPr>
          <w:p w:rsidR="00A8338A" w:rsidRPr="006F23C5" w:rsidP="00320DA9" w14:paraId="5D607350" w14:textId="77777777">
            <w:pPr>
              <w:jc w:val="center"/>
              <w:rPr>
                <w:szCs w:val="24"/>
              </w:rPr>
            </w:pPr>
            <w:r w:rsidRPr="006F23C5">
              <w:rPr>
                <w:szCs w:val="24"/>
              </w:rPr>
              <w:t>% Change 2017 - 2021</w:t>
            </w:r>
          </w:p>
        </w:tc>
      </w:tr>
      <w:tr w14:paraId="7BA5C52C" w14:textId="77777777" w:rsidTr="00320DA9">
        <w:tblPrEx>
          <w:tblW w:w="9445" w:type="dxa"/>
          <w:tblLook w:val="04A0"/>
        </w:tblPrEx>
        <w:tc>
          <w:tcPr>
            <w:tcW w:w="1331" w:type="dxa"/>
          </w:tcPr>
          <w:p w:rsidR="00A8338A" w:rsidRPr="006F23C5" w:rsidP="00320DA9" w14:paraId="77D95EB9" w14:textId="21B19686">
            <w:pPr>
              <w:rPr>
                <w:szCs w:val="24"/>
              </w:rPr>
            </w:pPr>
            <w:r w:rsidRPr="006F23C5">
              <w:rPr>
                <w:szCs w:val="24"/>
              </w:rPr>
              <w:t>Number of Outage</w:t>
            </w:r>
            <w:r w:rsidRPr="006F23C5" w:rsidR="00765B92">
              <w:rPr>
                <w:szCs w:val="24"/>
              </w:rPr>
              <w:t xml:space="preserve"> Events</w:t>
            </w:r>
          </w:p>
        </w:tc>
        <w:tc>
          <w:tcPr>
            <w:tcW w:w="1340" w:type="dxa"/>
          </w:tcPr>
          <w:p w:rsidR="00A8338A" w:rsidRPr="006F23C5" w:rsidP="00320DA9" w14:paraId="6913CC60" w14:textId="740EDDDF">
            <w:pPr>
              <w:jc w:val="center"/>
              <w:rPr>
                <w:szCs w:val="24"/>
              </w:rPr>
            </w:pPr>
            <w:r w:rsidRPr="006F23C5">
              <w:rPr>
                <w:szCs w:val="24"/>
              </w:rPr>
              <w:t>8,038</w:t>
            </w:r>
          </w:p>
        </w:tc>
        <w:tc>
          <w:tcPr>
            <w:tcW w:w="1340" w:type="dxa"/>
          </w:tcPr>
          <w:p w:rsidR="00A8338A" w:rsidRPr="006F23C5" w:rsidP="00320DA9" w14:paraId="379471BE" w14:textId="2ABE71D6">
            <w:pPr>
              <w:jc w:val="center"/>
              <w:rPr>
                <w:szCs w:val="24"/>
              </w:rPr>
            </w:pPr>
            <w:r w:rsidRPr="006F23C5">
              <w:rPr>
                <w:szCs w:val="24"/>
              </w:rPr>
              <w:t>9,573</w:t>
            </w:r>
          </w:p>
        </w:tc>
        <w:tc>
          <w:tcPr>
            <w:tcW w:w="1340" w:type="dxa"/>
          </w:tcPr>
          <w:p w:rsidR="00A8338A" w:rsidRPr="006F23C5" w:rsidP="00320DA9" w14:paraId="54DC4AF5" w14:textId="3298CB31">
            <w:pPr>
              <w:jc w:val="center"/>
              <w:rPr>
                <w:szCs w:val="24"/>
              </w:rPr>
            </w:pPr>
            <w:r w:rsidRPr="006F23C5">
              <w:rPr>
                <w:szCs w:val="24"/>
              </w:rPr>
              <w:t>9,065</w:t>
            </w:r>
          </w:p>
        </w:tc>
        <w:tc>
          <w:tcPr>
            <w:tcW w:w="1340" w:type="dxa"/>
          </w:tcPr>
          <w:p w:rsidR="00A8338A" w:rsidRPr="006F23C5" w:rsidP="00320DA9" w14:paraId="2234770B" w14:textId="058E986B">
            <w:pPr>
              <w:jc w:val="center"/>
              <w:rPr>
                <w:szCs w:val="24"/>
              </w:rPr>
            </w:pPr>
            <w:r w:rsidRPr="006F23C5">
              <w:rPr>
                <w:szCs w:val="24"/>
              </w:rPr>
              <w:t>8,230</w:t>
            </w:r>
          </w:p>
        </w:tc>
        <w:tc>
          <w:tcPr>
            <w:tcW w:w="1340" w:type="dxa"/>
          </w:tcPr>
          <w:p w:rsidR="00A8338A" w:rsidRPr="006F23C5" w:rsidP="00320DA9" w14:paraId="51C792E6" w14:textId="6311C800">
            <w:pPr>
              <w:jc w:val="center"/>
              <w:rPr>
                <w:szCs w:val="24"/>
              </w:rPr>
            </w:pPr>
            <w:r w:rsidRPr="006F23C5">
              <w:rPr>
                <w:szCs w:val="24"/>
              </w:rPr>
              <w:t>8,095</w:t>
            </w:r>
          </w:p>
        </w:tc>
        <w:tc>
          <w:tcPr>
            <w:tcW w:w="1414" w:type="dxa"/>
          </w:tcPr>
          <w:p w:rsidR="00A8338A" w:rsidRPr="006F23C5" w:rsidP="00320DA9" w14:paraId="705B5A58" w14:textId="609E2475">
            <w:pPr>
              <w:jc w:val="center"/>
              <w:rPr>
                <w:szCs w:val="24"/>
              </w:rPr>
            </w:pPr>
            <w:r w:rsidRPr="006F23C5">
              <w:rPr>
                <w:szCs w:val="24"/>
              </w:rPr>
              <w:t>0.007%</w:t>
            </w:r>
          </w:p>
        </w:tc>
      </w:tr>
      <w:tr w14:paraId="44247E7E" w14:textId="77777777" w:rsidTr="00320DA9">
        <w:tblPrEx>
          <w:tblW w:w="9445" w:type="dxa"/>
          <w:tblLook w:val="04A0"/>
        </w:tblPrEx>
        <w:tc>
          <w:tcPr>
            <w:tcW w:w="1331" w:type="dxa"/>
          </w:tcPr>
          <w:p w:rsidR="00A8338A" w:rsidRPr="006F23C5" w:rsidP="00320DA9" w14:paraId="218A15B5" w14:textId="73BF3C98">
            <w:pPr>
              <w:rPr>
                <w:szCs w:val="24"/>
              </w:rPr>
            </w:pPr>
            <w:r w:rsidRPr="006F23C5">
              <w:rPr>
                <w:szCs w:val="24"/>
              </w:rPr>
              <w:t>Consumers Interrupted</w:t>
            </w:r>
          </w:p>
        </w:tc>
        <w:tc>
          <w:tcPr>
            <w:tcW w:w="1340" w:type="dxa"/>
          </w:tcPr>
          <w:p w:rsidR="00A8338A" w:rsidRPr="006F23C5" w:rsidP="00320DA9" w14:paraId="496F89CF" w14:textId="7DAC9001">
            <w:pPr>
              <w:jc w:val="center"/>
              <w:rPr>
                <w:szCs w:val="24"/>
              </w:rPr>
            </w:pPr>
            <w:r w:rsidRPr="006F23C5">
              <w:rPr>
                <w:szCs w:val="24"/>
              </w:rPr>
              <w:t>518,029</w:t>
            </w:r>
          </w:p>
        </w:tc>
        <w:tc>
          <w:tcPr>
            <w:tcW w:w="1340" w:type="dxa"/>
          </w:tcPr>
          <w:p w:rsidR="00A8338A" w:rsidRPr="006F23C5" w:rsidP="00320DA9" w14:paraId="5706A7DC" w14:textId="048536B6">
            <w:pPr>
              <w:jc w:val="center"/>
              <w:rPr>
                <w:szCs w:val="24"/>
              </w:rPr>
            </w:pPr>
            <w:r w:rsidRPr="006F23C5">
              <w:rPr>
                <w:szCs w:val="24"/>
              </w:rPr>
              <w:t>558,385</w:t>
            </w:r>
          </w:p>
        </w:tc>
        <w:tc>
          <w:tcPr>
            <w:tcW w:w="1340" w:type="dxa"/>
          </w:tcPr>
          <w:p w:rsidR="00A8338A" w:rsidRPr="006F23C5" w:rsidP="00320DA9" w14:paraId="35627EB6" w14:textId="13731DDE">
            <w:pPr>
              <w:jc w:val="center"/>
              <w:rPr>
                <w:szCs w:val="24"/>
              </w:rPr>
            </w:pPr>
            <w:r w:rsidRPr="006F23C5">
              <w:rPr>
                <w:szCs w:val="24"/>
              </w:rPr>
              <w:t>431,498</w:t>
            </w:r>
          </w:p>
        </w:tc>
        <w:tc>
          <w:tcPr>
            <w:tcW w:w="1340" w:type="dxa"/>
          </w:tcPr>
          <w:p w:rsidR="00A8338A" w:rsidRPr="006F23C5" w:rsidP="00320DA9" w14:paraId="1EA3D327" w14:textId="343A3C8C">
            <w:pPr>
              <w:jc w:val="center"/>
              <w:rPr>
                <w:szCs w:val="24"/>
              </w:rPr>
            </w:pPr>
            <w:r w:rsidRPr="006F23C5">
              <w:rPr>
                <w:szCs w:val="24"/>
              </w:rPr>
              <w:t>439,119</w:t>
            </w:r>
          </w:p>
        </w:tc>
        <w:tc>
          <w:tcPr>
            <w:tcW w:w="1340" w:type="dxa"/>
          </w:tcPr>
          <w:p w:rsidR="00A8338A" w:rsidRPr="006F23C5" w:rsidP="00320DA9" w14:paraId="0DE83A24" w14:textId="3EC01D85">
            <w:pPr>
              <w:jc w:val="center"/>
              <w:rPr>
                <w:szCs w:val="24"/>
              </w:rPr>
            </w:pPr>
            <w:r w:rsidRPr="006F23C5">
              <w:rPr>
                <w:szCs w:val="24"/>
              </w:rPr>
              <w:t>423,727</w:t>
            </w:r>
          </w:p>
        </w:tc>
        <w:tc>
          <w:tcPr>
            <w:tcW w:w="1414" w:type="dxa"/>
          </w:tcPr>
          <w:p w:rsidR="00A8338A" w:rsidRPr="006F23C5" w:rsidP="00320DA9" w14:paraId="210B28AF" w14:textId="51F44EDE">
            <w:pPr>
              <w:jc w:val="center"/>
              <w:rPr>
                <w:szCs w:val="24"/>
              </w:rPr>
            </w:pPr>
            <w:r w:rsidRPr="006F23C5">
              <w:rPr>
                <w:szCs w:val="24"/>
              </w:rPr>
              <w:t>(</w:t>
            </w:r>
            <w:r w:rsidRPr="006F23C5" w:rsidR="00B7232B">
              <w:rPr>
                <w:szCs w:val="24"/>
              </w:rPr>
              <w:t>18.2</w:t>
            </w:r>
            <w:r w:rsidRPr="006F23C5">
              <w:rPr>
                <w:szCs w:val="24"/>
              </w:rPr>
              <w:t>)</w:t>
            </w:r>
          </w:p>
        </w:tc>
      </w:tr>
      <w:tr w14:paraId="4DF97420" w14:textId="77777777" w:rsidTr="00320DA9">
        <w:tblPrEx>
          <w:tblW w:w="9445" w:type="dxa"/>
          <w:tblLook w:val="04A0"/>
        </w:tblPrEx>
        <w:tc>
          <w:tcPr>
            <w:tcW w:w="1331" w:type="dxa"/>
          </w:tcPr>
          <w:p w:rsidR="00A8338A" w:rsidRPr="006F23C5" w:rsidP="00320DA9" w14:paraId="47157519" w14:textId="4C4DFCAD">
            <w:pPr>
              <w:rPr>
                <w:szCs w:val="24"/>
              </w:rPr>
            </w:pPr>
            <w:r w:rsidRPr="006F23C5">
              <w:rPr>
                <w:szCs w:val="24"/>
              </w:rPr>
              <w:t>Consumer Minutes Interrupted</w:t>
            </w:r>
          </w:p>
        </w:tc>
        <w:tc>
          <w:tcPr>
            <w:tcW w:w="1340" w:type="dxa"/>
          </w:tcPr>
          <w:p w:rsidR="00A8338A" w:rsidRPr="006F23C5" w:rsidP="00320DA9" w14:paraId="1D3A2B4F" w14:textId="082C357C">
            <w:pPr>
              <w:jc w:val="center"/>
              <w:rPr>
                <w:szCs w:val="24"/>
              </w:rPr>
            </w:pPr>
            <w:r w:rsidRPr="006F23C5">
              <w:rPr>
                <w:szCs w:val="24"/>
              </w:rPr>
              <w:t>74,033,978</w:t>
            </w:r>
          </w:p>
        </w:tc>
        <w:tc>
          <w:tcPr>
            <w:tcW w:w="1340" w:type="dxa"/>
          </w:tcPr>
          <w:p w:rsidR="00A8338A" w:rsidRPr="006F23C5" w:rsidP="00320DA9" w14:paraId="5B9C2667" w14:textId="6C0D5B05">
            <w:pPr>
              <w:jc w:val="center"/>
              <w:rPr>
                <w:szCs w:val="24"/>
              </w:rPr>
            </w:pPr>
            <w:r w:rsidRPr="006F23C5">
              <w:rPr>
                <w:szCs w:val="24"/>
              </w:rPr>
              <w:t>75,964,835</w:t>
            </w:r>
          </w:p>
        </w:tc>
        <w:tc>
          <w:tcPr>
            <w:tcW w:w="1340" w:type="dxa"/>
          </w:tcPr>
          <w:p w:rsidR="00A8338A" w:rsidRPr="006F23C5" w:rsidP="00320DA9" w14:paraId="107A19CF" w14:textId="2CB21D02">
            <w:pPr>
              <w:jc w:val="center"/>
              <w:rPr>
                <w:szCs w:val="24"/>
              </w:rPr>
            </w:pPr>
            <w:r w:rsidRPr="006F23C5">
              <w:rPr>
                <w:szCs w:val="24"/>
              </w:rPr>
              <w:t>54,230,218</w:t>
            </w:r>
          </w:p>
        </w:tc>
        <w:tc>
          <w:tcPr>
            <w:tcW w:w="1340" w:type="dxa"/>
          </w:tcPr>
          <w:p w:rsidR="00A8338A" w:rsidRPr="006F23C5" w:rsidP="00320DA9" w14:paraId="373CCC41" w14:textId="330F9F61">
            <w:pPr>
              <w:jc w:val="center"/>
              <w:rPr>
                <w:szCs w:val="24"/>
              </w:rPr>
            </w:pPr>
            <w:r w:rsidRPr="006F23C5">
              <w:rPr>
                <w:szCs w:val="24"/>
              </w:rPr>
              <w:t>54,651,140</w:t>
            </w:r>
          </w:p>
        </w:tc>
        <w:tc>
          <w:tcPr>
            <w:tcW w:w="1340" w:type="dxa"/>
          </w:tcPr>
          <w:p w:rsidR="00A8338A" w:rsidRPr="006F23C5" w:rsidP="00320DA9" w14:paraId="327499FA" w14:textId="0F2C3859">
            <w:pPr>
              <w:jc w:val="center"/>
              <w:rPr>
                <w:szCs w:val="24"/>
              </w:rPr>
            </w:pPr>
            <w:r w:rsidRPr="006F23C5">
              <w:rPr>
                <w:szCs w:val="24"/>
              </w:rPr>
              <w:t>53,015,413</w:t>
            </w:r>
          </w:p>
        </w:tc>
        <w:tc>
          <w:tcPr>
            <w:tcW w:w="1414" w:type="dxa"/>
          </w:tcPr>
          <w:p w:rsidR="00A8338A" w:rsidRPr="006F23C5" w:rsidP="00320DA9" w14:paraId="3E43E6C9" w14:textId="3F988498">
            <w:pPr>
              <w:jc w:val="center"/>
              <w:rPr>
                <w:szCs w:val="24"/>
              </w:rPr>
            </w:pPr>
            <w:r w:rsidRPr="006F23C5">
              <w:rPr>
                <w:szCs w:val="24"/>
              </w:rPr>
              <w:t>(28.4)</w:t>
            </w:r>
          </w:p>
        </w:tc>
      </w:tr>
    </w:tbl>
    <w:p w:rsidR="00554D97" w:rsidRPr="006F23C5" w:rsidP="00A8338A" w14:paraId="1FC5E448" w14:textId="75E8D7EC">
      <w:pPr>
        <w:spacing w:line="480" w:lineRule="auto"/>
        <w:ind w:firstLine="720"/>
        <w:rPr>
          <w:szCs w:val="24"/>
        </w:rPr>
      </w:pPr>
    </w:p>
    <w:p w:rsidR="006F6384" w:rsidRPr="006F23C5" w:rsidP="00DE6569" w14:paraId="791C85E3" w14:textId="0F82466F">
      <w:pPr>
        <w:spacing w:line="480" w:lineRule="auto"/>
        <w:ind w:firstLine="720"/>
        <w:rPr>
          <w:szCs w:val="24"/>
        </w:rPr>
      </w:pPr>
      <w:r w:rsidRPr="006F23C5">
        <w:rPr>
          <w:szCs w:val="24"/>
        </w:rPr>
        <w:t xml:space="preserve">Table </w:t>
      </w:r>
      <w:r w:rsidRPr="006F23C5" w:rsidR="00765B92">
        <w:rPr>
          <w:szCs w:val="24"/>
        </w:rPr>
        <w:t>5</w:t>
      </w:r>
      <w:r w:rsidRPr="006F23C5">
        <w:rPr>
          <w:szCs w:val="24"/>
        </w:rPr>
        <w:t xml:space="preserve"> shows that between 2017 and 2021, there was an approximate </w:t>
      </w:r>
      <w:r w:rsidRPr="006F23C5" w:rsidR="000B5AA3">
        <w:rPr>
          <w:szCs w:val="24"/>
        </w:rPr>
        <w:t xml:space="preserve">0.007 percent increase in the number of events associated with equipment caused outages. </w:t>
      </w:r>
      <w:r w:rsidRPr="006F23C5" w:rsidR="00C468A0">
        <w:rPr>
          <w:szCs w:val="24"/>
        </w:rPr>
        <w:t>But there was</w:t>
      </w:r>
      <w:r w:rsidRPr="006F23C5" w:rsidR="000B5AA3">
        <w:rPr>
          <w:szCs w:val="24"/>
        </w:rPr>
        <w:t xml:space="preserve"> a</w:t>
      </w:r>
      <w:r w:rsidRPr="006F23C5">
        <w:rPr>
          <w:szCs w:val="24"/>
        </w:rPr>
        <w:t>n approximate 1</w:t>
      </w:r>
      <w:r w:rsidRPr="006F23C5" w:rsidR="000B5AA3">
        <w:rPr>
          <w:szCs w:val="24"/>
        </w:rPr>
        <w:t>8.2 percent r</w:t>
      </w:r>
      <w:r w:rsidRPr="006F23C5">
        <w:rPr>
          <w:szCs w:val="24"/>
        </w:rPr>
        <w:t xml:space="preserve">eduction in the number of </w:t>
      </w:r>
      <w:r w:rsidRPr="006F23C5" w:rsidR="00C468A0">
        <w:rPr>
          <w:szCs w:val="24"/>
        </w:rPr>
        <w:t xml:space="preserve">consumers </w:t>
      </w:r>
      <w:r w:rsidRPr="006F23C5">
        <w:rPr>
          <w:szCs w:val="24"/>
        </w:rPr>
        <w:t xml:space="preserve">interrupted and an approximate </w:t>
      </w:r>
      <w:r w:rsidRPr="006F23C5" w:rsidR="000B5AA3">
        <w:rPr>
          <w:szCs w:val="24"/>
        </w:rPr>
        <w:t xml:space="preserve">28.4 reduction in </w:t>
      </w:r>
      <w:r w:rsidRPr="006F23C5" w:rsidR="00C468A0">
        <w:rPr>
          <w:szCs w:val="24"/>
        </w:rPr>
        <w:t xml:space="preserve">consumer </w:t>
      </w:r>
      <w:r w:rsidRPr="006F23C5">
        <w:rPr>
          <w:szCs w:val="24"/>
        </w:rPr>
        <w:t xml:space="preserve">minutes interrupted due </w:t>
      </w:r>
      <w:r w:rsidRPr="006F23C5" w:rsidR="000B5AA3">
        <w:rPr>
          <w:szCs w:val="24"/>
        </w:rPr>
        <w:t xml:space="preserve">to equipment caused outages. </w:t>
      </w:r>
      <w:r w:rsidRPr="006F23C5">
        <w:rPr>
          <w:szCs w:val="24"/>
        </w:rPr>
        <w:t xml:space="preserve">While the five-year average historical performance as proposed by AEP Ohio reflects these reductions, the 2022 standards being established in this proceeding does not. </w:t>
      </w:r>
      <w:r w:rsidRPr="006F23C5" w:rsidR="00C468A0">
        <w:rPr>
          <w:szCs w:val="24"/>
        </w:rPr>
        <w:t>Further</w:t>
      </w:r>
      <w:r w:rsidRPr="006F23C5">
        <w:rPr>
          <w:szCs w:val="24"/>
        </w:rPr>
        <w:t xml:space="preserve">, the </w:t>
      </w:r>
      <w:r w:rsidRPr="006F23C5" w:rsidR="000B5AA3">
        <w:rPr>
          <w:szCs w:val="24"/>
        </w:rPr>
        <w:t xml:space="preserve">impact of the DIR will continue through at least </w:t>
      </w:r>
      <w:r w:rsidRPr="006F23C5">
        <w:rPr>
          <w:szCs w:val="24"/>
        </w:rPr>
        <w:t>202</w:t>
      </w:r>
      <w:r w:rsidRPr="006F23C5" w:rsidR="000B5AA3">
        <w:rPr>
          <w:szCs w:val="24"/>
        </w:rPr>
        <w:t>4 (the term of the most recent ESP that approved the DIR)</w:t>
      </w:r>
      <w:r w:rsidRPr="006F23C5" w:rsidR="004E6B4E">
        <w:rPr>
          <w:szCs w:val="24"/>
        </w:rPr>
        <w:t xml:space="preserve">. </w:t>
      </w:r>
      <w:r w:rsidRPr="006F23C5">
        <w:rPr>
          <w:szCs w:val="24"/>
        </w:rPr>
        <w:t>Therefore, the reliability standards for 202</w:t>
      </w:r>
      <w:r w:rsidRPr="006F23C5" w:rsidR="004E6B4E">
        <w:rPr>
          <w:szCs w:val="24"/>
        </w:rPr>
        <w:t>2</w:t>
      </w:r>
      <w:r w:rsidRPr="006F23C5">
        <w:rPr>
          <w:szCs w:val="24"/>
        </w:rPr>
        <w:t xml:space="preserve"> and beyond must also be adjusted to reflect the impact that the additional </w:t>
      </w:r>
      <w:r w:rsidRPr="006F23C5" w:rsidR="00C468A0">
        <w:rPr>
          <w:szCs w:val="24"/>
        </w:rPr>
        <w:t xml:space="preserve">consumer </w:t>
      </w:r>
      <w:r w:rsidRPr="006F23C5">
        <w:rPr>
          <w:szCs w:val="24"/>
        </w:rPr>
        <w:t xml:space="preserve">funding through the </w:t>
      </w:r>
      <w:r w:rsidRPr="006F23C5" w:rsidR="004E6B4E">
        <w:rPr>
          <w:szCs w:val="24"/>
        </w:rPr>
        <w:t xml:space="preserve">DIR </w:t>
      </w:r>
      <w:r w:rsidRPr="006F23C5">
        <w:rPr>
          <w:szCs w:val="24"/>
        </w:rPr>
        <w:t xml:space="preserve">is having on </w:t>
      </w:r>
      <w:r w:rsidRPr="006F23C5" w:rsidR="00C468A0">
        <w:rPr>
          <w:szCs w:val="24"/>
        </w:rPr>
        <w:t xml:space="preserve">consumer </w:t>
      </w:r>
      <w:r w:rsidRPr="006F23C5">
        <w:rPr>
          <w:szCs w:val="24"/>
        </w:rPr>
        <w:t>reliability.</w:t>
      </w:r>
    </w:p>
    <w:p w:rsidR="006F6384" w:rsidRPr="006F23C5" w:rsidP="00301D38" w14:paraId="574AF541" w14:textId="2AD2B637">
      <w:pPr>
        <w:spacing w:line="480" w:lineRule="auto"/>
        <w:ind w:firstLine="720"/>
        <w:rPr>
          <w:szCs w:val="24"/>
        </w:rPr>
      </w:pPr>
      <w:bookmarkStart w:id="32" w:name="_Hlk114647196"/>
      <w:r w:rsidRPr="006F23C5">
        <w:rPr>
          <w:szCs w:val="24"/>
        </w:rPr>
        <w:t xml:space="preserve">Any investigation into the June 2022 outages (and the establishment of the reliability standards) for 2022 must examine the impact that the DIR had on hardening the distribution system to help reduce the number of consumers who were interrupted and for how long. This includes evaluating </w:t>
      </w:r>
      <w:r w:rsidRPr="006F23C5" w:rsidR="00C945DA">
        <w:rPr>
          <w:szCs w:val="24"/>
        </w:rPr>
        <w:t xml:space="preserve">the programs </w:t>
      </w:r>
      <w:bookmarkEnd w:id="32"/>
      <w:r w:rsidRPr="006F23C5" w:rsidR="00C945DA">
        <w:rPr>
          <w:szCs w:val="24"/>
        </w:rPr>
        <w:t xml:space="preserve">that are being funded under the DIR and determining if priorities should be realigned within the spending caps approved by the PUCO. </w:t>
      </w:r>
    </w:p>
    <w:p w:rsidR="00C945DA" w:rsidRPr="006F23C5" w:rsidP="00DE6569" w14:paraId="40215517" w14:textId="13D4C8D3">
      <w:pPr>
        <w:spacing w:line="480" w:lineRule="auto"/>
        <w:rPr>
          <w:szCs w:val="24"/>
        </w:rPr>
      </w:pPr>
      <w:r w:rsidRPr="006F23C5">
        <w:rPr>
          <w:szCs w:val="24"/>
        </w:rPr>
        <w:tab/>
        <w:t xml:space="preserve">The PUCO should require AEP Ohio to quantify a </w:t>
      </w:r>
      <w:r w:rsidRPr="006F23C5" w:rsidR="004E6B4E">
        <w:rPr>
          <w:szCs w:val="24"/>
        </w:rPr>
        <w:t xml:space="preserve">DIR </w:t>
      </w:r>
      <w:r w:rsidRPr="006F23C5">
        <w:rPr>
          <w:szCs w:val="24"/>
        </w:rPr>
        <w:t xml:space="preserve">adjustment for both SAIFI and CAIDI associated with </w:t>
      </w:r>
      <w:r w:rsidRPr="006F23C5" w:rsidR="004E6B4E">
        <w:rPr>
          <w:szCs w:val="24"/>
        </w:rPr>
        <w:t xml:space="preserve">reductions in equipment and other types of outages. </w:t>
      </w:r>
    </w:p>
    <w:p w:rsidR="00427F1C" w:rsidRPr="006F23C5" w:rsidP="00DE6569" w14:paraId="3A20AC29" w14:textId="7BAB49F3">
      <w:pPr>
        <w:pStyle w:val="Heading2"/>
        <w:rPr>
          <w:szCs w:val="24"/>
        </w:rPr>
      </w:pPr>
      <w:bookmarkStart w:id="33" w:name="_Toc115271119"/>
      <w:r w:rsidRPr="006F23C5">
        <w:rPr>
          <w:szCs w:val="24"/>
        </w:rPr>
        <w:t>F.</w:t>
      </w:r>
      <w:r w:rsidRPr="006F23C5">
        <w:rPr>
          <w:szCs w:val="24"/>
        </w:rPr>
        <w:tab/>
        <w:t xml:space="preserve">To protect consumers, the PUCO should require </w:t>
      </w:r>
      <w:r w:rsidRPr="006F23C5" w:rsidR="0095434D">
        <w:rPr>
          <w:szCs w:val="24"/>
        </w:rPr>
        <w:t xml:space="preserve">AEP Ohio to make quantifiable </w:t>
      </w:r>
      <w:r w:rsidRPr="006F23C5">
        <w:rPr>
          <w:szCs w:val="24"/>
        </w:rPr>
        <w:t>adjustments to the SAIFI and CAIDI standards for 2022 and beyond based on any updates that are made to the AEP Ohio Inspection, Maintenance, Repair and Replacement programs and policies for its distribution and transmission facilities that occur as a result of the June 2022 outages.</w:t>
      </w:r>
      <w:bookmarkEnd w:id="33"/>
      <w:r w:rsidRPr="006F23C5">
        <w:rPr>
          <w:szCs w:val="24"/>
        </w:rPr>
        <w:t xml:space="preserve"> </w:t>
      </w:r>
    </w:p>
    <w:p w:rsidR="005D1E0E" w:rsidRPr="006F23C5" w:rsidP="007926DD" w14:paraId="3925B565" w14:textId="7774F6F8">
      <w:pPr>
        <w:spacing w:line="480" w:lineRule="auto"/>
        <w:ind w:firstLine="720"/>
        <w:rPr>
          <w:szCs w:val="24"/>
        </w:rPr>
      </w:pPr>
      <w:r w:rsidRPr="006F23C5">
        <w:rPr>
          <w:szCs w:val="24"/>
        </w:rPr>
        <w:t xml:space="preserve">The PUCO rules </w:t>
      </w:r>
      <w:r w:rsidRPr="006F23C5" w:rsidR="0095434D">
        <w:rPr>
          <w:szCs w:val="24"/>
        </w:rPr>
        <w:t>require</w:t>
      </w:r>
      <w:r w:rsidRPr="006F23C5">
        <w:rPr>
          <w:szCs w:val="24"/>
        </w:rPr>
        <w:t xml:space="preserve"> </w:t>
      </w:r>
      <w:r w:rsidRPr="006F23C5" w:rsidR="0095434D">
        <w:rPr>
          <w:szCs w:val="24"/>
        </w:rPr>
        <w:t>AEP Ohio to establish, maintain, and comply with written programs, policies, procedures</w:t>
      </w:r>
      <w:r w:rsidRPr="006F23C5">
        <w:rPr>
          <w:szCs w:val="24"/>
        </w:rPr>
        <w:t xml:space="preserve">, and schedules </w:t>
      </w:r>
      <w:r w:rsidRPr="006F23C5" w:rsidR="0095434D">
        <w:rPr>
          <w:szCs w:val="24"/>
        </w:rPr>
        <w:t xml:space="preserve">for the </w:t>
      </w:r>
      <w:r w:rsidRPr="006F23C5">
        <w:rPr>
          <w:szCs w:val="24"/>
        </w:rPr>
        <w:t>inspection, maintenance, repair, and replacement of its transmission and distribution circuits and equipment.</w:t>
      </w:r>
      <w:r>
        <w:rPr>
          <w:rStyle w:val="FootnoteReference"/>
          <w:szCs w:val="24"/>
        </w:rPr>
        <w:footnoteReference w:id="47"/>
      </w:r>
      <w:r w:rsidRPr="006F23C5">
        <w:rPr>
          <w:szCs w:val="24"/>
        </w:rPr>
        <w:t xml:space="preserve"> These programs are intended to prevent outages from </w:t>
      </w:r>
      <w:r w:rsidRPr="006F23C5" w:rsidR="00857D3C">
        <w:rPr>
          <w:szCs w:val="24"/>
        </w:rPr>
        <w:t>occurring,</w:t>
      </w:r>
      <w:r w:rsidRPr="006F23C5">
        <w:rPr>
          <w:szCs w:val="24"/>
        </w:rPr>
        <w:t xml:space="preserve"> </w:t>
      </w:r>
      <w:r w:rsidRPr="006F23C5" w:rsidR="00265D80">
        <w:rPr>
          <w:szCs w:val="24"/>
        </w:rPr>
        <w:t>so</w:t>
      </w:r>
      <w:r w:rsidRPr="006F23C5">
        <w:rPr>
          <w:szCs w:val="24"/>
        </w:rPr>
        <w:t xml:space="preserve"> consumers </w:t>
      </w:r>
      <w:r w:rsidRPr="006F23C5" w:rsidR="00265D80">
        <w:rPr>
          <w:szCs w:val="24"/>
        </w:rPr>
        <w:t>are</w:t>
      </w:r>
      <w:r w:rsidRPr="006F23C5">
        <w:rPr>
          <w:szCs w:val="24"/>
        </w:rPr>
        <w:t xml:space="preserve"> provided with safe and reliable service.</w:t>
      </w:r>
      <w:r>
        <w:rPr>
          <w:rStyle w:val="FootnoteReference"/>
          <w:szCs w:val="24"/>
        </w:rPr>
        <w:footnoteReference w:id="48"/>
      </w:r>
      <w:r w:rsidRPr="006F23C5" w:rsidR="00301D38">
        <w:rPr>
          <w:szCs w:val="24"/>
        </w:rPr>
        <w:t xml:space="preserve"> </w:t>
      </w:r>
    </w:p>
    <w:p w:rsidR="005D1E0E" w:rsidRPr="006F23C5" w:rsidP="007926DD" w14:paraId="5FB36700" w14:textId="77777777">
      <w:pPr>
        <w:spacing w:line="480" w:lineRule="auto"/>
        <w:ind w:firstLine="720"/>
        <w:rPr>
          <w:szCs w:val="24"/>
        </w:rPr>
      </w:pPr>
      <w:r w:rsidRPr="006F23C5">
        <w:rPr>
          <w:szCs w:val="24"/>
        </w:rPr>
        <w:t xml:space="preserve">While the underlying causes for the June 2022 outages remain unknown, any investigation into the June 2022 outages (and the establishment of the reliability standards) for 2022 must examine the impact that the inspection, maintenance, repair, and replacement </w:t>
      </w:r>
      <w:r w:rsidRPr="006F23C5" w:rsidR="008B0521">
        <w:rPr>
          <w:szCs w:val="24"/>
        </w:rPr>
        <w:t xml:space="preserve">programs and policies had </w:t>
      </w:r>
      <w:r w:rsidRPr="006F23C5">
        <w:rPr>
          <w:szCs w:val="24"/>
        </w:rPr>
        <w:t xml:space="preserve">on </w:t>
      </w:r>
      <w:r w:rsidRPr="006F23C5" w:rsidR="008B0521">
        <w:rPr>
          <w:szCs w:val="24"/>
        </w:rPr>
        <w:t xml:space="preserve">reducing the </w:t>
      </w:r>
      <w:r w:rsidRPr="006F23C5">
        <w:rPr>
          <w:szCs w:val="24"/>
        </w:rPr>
        <w:t xml:space="preserve">number of consumers who were interrupted and </w:t>
      </w:r>
      <w:r w:rsidRPr="006F23C5" w:rsidR="008B0521">
        <w:rPr>
          <w:szCs w:val="24"/>
        </w:rPr>
        <w:t xml:space="preserve">duration. </w:t>
      </w:r>
    </w:p>
    <w:p w:rsidR="00745A47" w:rsidRPr="006F23C5" w:rsidP="007926DD" w14:paraId="2C42E1A6" w14:textId="77777777">
      <w:pPr>
        <w:spacing w:line="480" w:lineRule="auto"/>
        <w:ind w:firstLine="720"/>
        <w:rPr>
          <w:szCs w:val="24"/>
        </w:rPr>
      </w:pPr>
      <w:r w:rsidRPr="006F23C5">
        <w:rPr>
          <w:szCs w:val="24"/>
        </w:rPr>
        <w:t xml:space="preserve">Adjustments in the 2022 reliability standards may be appropriate if </w:t>
      </w:r>
      <w:r w:rsidRPr="006F23C5" w:rsidR="0001064C">
        <w:rPr>
          <w:szCs w:val="24"/>
        </w:rPr>
        <w:t xml:space="preserve">AEP Ohio </w:t>
      </w:r>
      <w:r w:rsidRPr="006F23C5">
        <w:rPr>
          <w:szCs w:val="24"/>
        </w:rPr>
        <w:t>was not complying with its inspection, maintenance, repair, and replacement programs and policies. Further, to the extent that changes are made in these programs and policies as a result of the June 2022 outages, the reliability standards should be adjusted as appropriate to reflect the impact of the changes on consumer reliability.</w:t>
      </w:r>
    </w:p>
    <w:p w:rsidR="002673A7" w:rsidRPr="006F23C5" w:rsidP="00E271B0" w14:paraId="7F3D7C6B" w14:textId="5DA700F8">
      <w:pPr>
        <w:pStyle w:val="Heading2"/>
      </w:pPr>
      <w:bookmarkStart w:id="34" w:name="_Toc115271120"/>
      <w:r w:rsidRPr="006F23C5">
        <w:t>G.</w:t>
      </w:r>
      <w:r w:rsidRPr="006F23C5">
        <w:tab/>
        <w:t xml:space="preserve">OCC has been denied the opportunity to make </w:t>
      </w:r>
      <w:r w:rsidRPr="006F23C5" w:rsidR="00036928">
        <w:t xml:space="preserve">consumer protection </w:t>
      </w:r>
      <w:r w:rsidRPr="006F23C5">
        <w:t>comments specific to the June 2022 outages.</w:t>
      </w:r>
      <w:bookmarkEnd w:id="34"/>
    </w:p>
    <w:p w:rsidR="00943CC8" w:rsidRPr="006F23C5" w:rsidP="00050D2C" w14:paraId="4F8F5492" w14:textId="197B4415">
      <w:pPr>
        <w:spacing w:line="480" w:lineRule="auto"/>
        <w:ind w:firstLine="720"/>
        <w:rPr>
          <w:szCs w:val="24"/>
        </w:rPr>
      </w:pPr>
      <w:r w:rsidRPr="006F23C5">
        <w:rPr>
          <w:szCs w:val="24"/>
        </w:rPr>
        <w:t>The PUCO has not opened a specific docket regarding the June 2022 outages</w:t>
      </w:r>
      <w:r w:rsidRPr="006F23C5" w:rsidR="00036928">
        <w:rPr>
          <w:szCs w:val="24"/>
        </w:rPr>
        <w:t>. This has denied consumers’ advocate – OCC – from commenting specifically about the outages. OCC (along with other consumer advocates) has moved the PUCO in this case to (among other things) open an investigation (rather than the ill-defined “review” now underway) into the outages.</w:t>
      </w:r>
      <w:r>
        <w:rPr>
          <w:rStyle w:val="FootnoteReference"/>
          <w:szCs w:val="24"/>
        </w:rPr>
        <w:footnoteReference w:id="49"/>
      </w:r>
      <w:r w:rsidRPr="006F23C5" w:rsidR="00036928">
        <w:rPr>
          <w:szCs w:val="24"/>
        </w:rPr>
        <w:t xml:space="preserve"> OCC’s motions</w:t>
      </w:r>
      <w:r w:rsidRPr="006F23C5" w:rsidR="0042009E">
        <w:rPr>
          <w:szCs w:val="24"/>
        </w:rPr>
        <w:t xml:space="preserve"> (for an investigation; to hire an independent auditor; to order and publicize local hearings, virtual hearings, online comments, and other opportunities for the public to be heard</w:t>
      </w:r>
      <w:r w:rsidRPr="006F23C5" w:rsidR="00CC1B79">
        <w:rPr>
          <w:szCs w:val="24"/>
        </w:rPr>
        <w:t>; to determine if AEP was negligent and liable to consumers;</w:t>
      </w:r>
      <w:r w:rsidRPr="006F23C5" w:rsidR="0042009E">
        <w:rPr>
          <w:szCs w:val="24"/>
        </w:rPr>
        <w:t xml:space="preserve"> </w:t>
      </w:r>
      <w:r w:rsidRPr="006F23C5" w:rsidR="00CC1B79">
        <w:rPr>
          <w:szCs w:val="24"/>
        </w:rPr>
        <w:t xml:space="preserve">and for the PUCO to waive the 30-day limit in AEP’s tariffs for consumers to notify AEP of a damages claim that is based on AEP’s negligence) </w:t>
      </w:r>
      <w:r w:rsidRPr="006F23C5" w:rsidR="00036928">
        <w:rPr>
          <w:szCs w:val="24"/>
        </w:rPr>
        <w:t>have not yet been ruled on. In consumers’ interest, they should be granted with all deliberate speed.</w:t>
      </w:r>
      <w:r>
        <w:rPr>
          <w:rStyle w:val="FootnoteReference"/>
          <w:szCs w:val="24"/>
        </w:rPr>
        <w:footnoteReference w:id="50"/>
      </w:r>
      <w:r w:rsidRPr="006F23C5" w:rsidR="00036928">
        <w:rPr>
          <w:szCs w:val="24"/>
        </w:rPr>
        <w:t xml:space="preserve"> </w:t>
      </w:r>
    </w:p>
    <w:p w:rsidR="00745A47" w:rsidP="006F23C5" w14:paraId="0AEBA244" w14:textId="15328965">
      <w:pPr>
        <w:spacing w:line="480" w:lineRule="auto"/>
        <w:ind w:firstLine="720"/>
        <w:rPr>
          <w:szCs w:val="24"/>
        </w:rPr>
      </w:pPr>
      <w:r w:rsidRPr="006F23C5">
        <w:rPr>
          <w:szCs w:val="24"/>
        </w:rPr>
        <w:t>The importance</w:t>
      </w:r>
      <w:r w:rsidRPr="006F23C5" w:rsidR="00050D2C">
        <w:rPr>
          <w:szCs w:val="24"/>
        </w:rPr>
        <w:t xml:space="preserve"> of granting OCC’s motions is highlighted by AEP’s refusal to answer OCC’s consumer protection information requests about the outages. In fact, AEP has asked the PUCO to step-in and excuse AEP’s refusal to answer OCC’s information requests.</w:t>
      </w:r>
      <w:r>
        <w:rPr>
          <w:rStyle w:val="FootnoteReference"/>
          <w:szCs w:val="24"/>
        </w:rPr>
        <w:footnoteReference w:id="51"/>
      </w:r>
      <w:r w:rsidRPr="006F23C5" w:rsidR="00050D2C">
        <w:rPr>
          <w:szCs w:val="24"/>
        </w:rPr>
        <w:t xml:space="preserve"> We have explained to the PUCO why AEP’s attempt to avoid providing information about the outages should be rejected.</w:t>
      </w:r>
      <w:r>
        <w:rPr>
          <w:rStyle w:val="FootnoteReference"/>
          <w:szCs w:val="24"/>
        </w:rPr>
        <w:footnoteReference w:id="52"/>
      </w:r>
      <w:r w:rsidRPr="006F23C5" w:rsidR="00050D2C">
        <w:rPr>
          <w:szCs w:val="24"/>
        </w:rPr>
        <w:t xml:space="preserve"> The PUCO should reject AEP’s efforts and order it to respond to OCC’s consumer protection information requests with all deliberate spe</w:t>
      </w:r>
      <w:r w:rsidR="00CD4055">
        <w:rPr>
          <w:szCs w:val="24"/>
        </w:rPr>
        <w:t>e</w:t>
      </w:r>
      <w:r w:rsidRPr="006F23C5" w:rsidR="00050D2C">
        <w:rPr>
          <w:szCs w:val="24"/>
        </w:rPr>
        <w:t>d.</w:t>
      </w:r>
      <w:r w:rsidR="006F23C5">
        <w:rPr>
          <w:szCs w:val="24"/>
        </w:rPr>
        <w:t xml:space="preserve"> </w:t>
      </w:r>
    </w:p>
    <w:p w:rsidR="00CD4055" w:rsidRPr="006F23C5" w:rsidP="006F23C5" w14:paraId="6A9D83F1" w14:textId="1E8D6475">
      <w:pPr>
        <w:spacing w:line="480" w:lineRule="auto"/>
        <w:ind w:firstLine="720"/>
        <w:rPr>
          <w:szCs w:val="24"/>
        </w:rPr>
      </w:pPr>
      <w:r>
        <w:rPr>
          <w:szCs w:val="24"/>
        </w:rPr>
        <w:t>To protect consumers, the PUCO should require AEP to respond to OCC’s discovery, grant OCC’s pending motions and provide OCC the opportunity to file comments related to the June outages.</w:t>
      </w:r>
    </w:p>
    <w:p w:rsidR="00A8338A" w:rsidRPr="006F23C5" w:rsidP="007926DD" w14:paraId="62A02AE5" w14:textId="77777777">
      <w:pPr>
        <w:ind w:firstLine="720"/>
        <w:rPr>
          <w:szCs w:val="24"/>
        </w:rPr>
      </w:pPr>
    </w:p>
    <w:p w:rsidR="0031635E" w:rsidRPr="006F23C5" w:rsidP="00B53262" w14:paraId="3F029865" w14:textId="78BBA4F6">
      <w:pPr>
        <w:pStyle w:val="Heading1"/>
      </w:pPr>
      <w:bookmarkStart w:id="35" w:name="_Toc98246292"/>
      <w:bookmarkStart w:id="36" w:name="_Toc99360717"/>
      <w:bookmarkStart w:id="37" w:name="_Toc115271121"/>
      <w:r w:rsidRPr="006F23C5">
        <w:t>IV.</w:t>
      </w:r>
      <w:r w:rsidRPr="006F23C5">
        <w:tab/>
        <w:t>CONCLUSION</w:t>
      </w:r>
      <w:bookmarkEnd w:id="35"/>
      <w:bookmarkEnd w:id="36"/>
      <w:bookmarkEnd w:id="37"/>
    </w:p>
    <w:p w:rsidR="00D87A7D" w:rsidRPr="006F23C5" w:rsidP="000540D8" w14:paraId="749F2C39" w14:textId="0DE5A54F">
      <w:pPr>
        <w:spacing w:line="480" w:lineRule="auto"/>
        <w:ind w:firstLine="720"/>
        <w:rPr>
          <w:szCs w:val="24"/>
        </w:rPr>
      </w:pPr>
      <w:r w:rsidRPr="006F23C5">
        <w:rPr>
          <w:szCs w:val="24"/>
        </w:rPr>
        <w:t>For all the reasons that are addressed in these comments</w:t>
      </w:r>
      <w:r w:rsidRPr="006F23C5" w:rsidR="00C468A0">
        <w:rPr>
          <w:szCs w:val="24"/>
        </w:rPr>
        <w:t xml:space="preserve"> and recommendations</w:t>
      </w:r>
      <w:r w:rsidRPr="006F23C5">
        <w:rPr>
          <w:szCs w:val="24"/>
        </w:rPr>
        <w:t xml:space="preserve">, the PUCO should protect consumers by finding that </w:t>
      </w:r>
      <w:r w:rsidRPr="006F23C5" w:rsidR="00C468A0">
        <w:rPr>
          <w:szCs w:val="24"/>
        </w:rPr>
        <w:t xml:space="preserve">AEP Ohio’s </w:t>
      </w:r>
      <w:r w:rsidRPr="006F23C5">
        <w:rPr>
          <w:szCs w:val="24"/>
        </w:rPr>
        <w:t>proposed reliability standards are unjust and unreasonable. The PUCO should schedule this matter for hearing.</w:t>
      </w:r>
      <w:r w:rsidRPr="006F23C5" w:rsidR="00737171">
        <w:rPr>
          <w:szCs w:val="24"/>
        </w:rPr>
        <w:t xml:space="preserve"> </w:t>
      </w:r>
      <w:r w:rsidR="00051007">
        <w:rPr>
          <w:szCs w:val="24"/>
        </w:rPr>
        <w:t xml:space="preserve">In addition, </w:t>
      </w:r>
      <w:r w:rsidR="00CD4055">
        <w:rPr>
          <w:szCs w:val="24"/>
        </w:rPr>
        <w:t>OCC has been denied the opportunity to file consumer protection comments related to the June power outages.</w:t>
      </w:r>
      <w:r w:rsidR="00051007">
        <w:rPr>
          <w:szCs w:val="24"/>
        </w:rPr>
        <w:t xml:space="preserve"> </w:t>
      </w:r>
      <w:r w:rsidR="00CD4055">
        <w:rPr>
          <w:szCs w:val="24"/>
        </w:rPr>
        <w:t>That</w:t>
      </w:r>
      <w:r w:rsidR="00051007">
        <w:rPr>
          <w:szCs w:val="24"/>
        </w:rPr>
        <w:t xml:space="preserve"> opportunity to file comments should be provided to OCC after OCC’s pending motions are granted and AEP is required to respond to outstanding discovery.</w:t>
      </w:r>
      <w:r w:rsidR="00CD4055">
        <w:rPr>
          <w:szCs w:val="24"/>
        </w:rPr>
        <w:t xml:space="preserve"> </w:t>
      </w:r>
    </w:p>
    <w:p w:rsidR="006A5404" w:rsidRPr="006F23C5" w:rsidP="006A5404" w14:paraId="541F5E57" w14:textId="77777777">
      <w:pPr>
        <w:ind w:left="3150"/>
        <w:rPr>
          <w:szCs w:val="24"/>
        </w:rPr>
      </w:pPr>
      <w:r w:rsidRPr="006F23C5">
        <w:rPr>
          <w:szCs w:val="24"/>
        </w:rPr>
        <w:t>Respectfully submitted,</w:t>
      </w:r>
    </w:p>
    <w:p w:rsidR="006A5404" w:rsidRPr="006F23C5" w:rsidP="006A5404" w14:paraId="527319B4" w14:textId="77777777">
      <w:pPr>
        <w:jc w:val="center"/>
        <w:rPr>
          <w:szCs w:val="24"/>
        </w:rPr>
      </w:pPr>
    </w:p>
    <w:p w:rsidR="006A5404" w:rsidRPr="006F23C5" w:rsidP="006A5404" w14:paraId="24ADF006" w14:textId="77777777">
      <w:pPr>
        <w:ind w:left="3150"/>
        <w:jc w:val="both"/>
        <w:rPr>
          <w:szCs w:val="24"/>
        </w:rPr>
      </w:pPr>
      <w:r w:rsidRPr="006F23C5">
        <w:rPr>
          <w:szCs w:val="24"/>
        </w:rPr>
        <w:t>Bruce Weston (0016973)</w:t>
      </w:r>
    </w:p>
    <w:p w:rsidR="006A5404" w:rsidRPr="006F23C5" w:rsidP="006A5404" w14:paraId="3FDDE3A8" w14:textId="77777777">
      <w:pPr>
        <w:ind w:left="3150"/>
        <w:jc w:val="both"/>
        <w:rPr>
          <w:szCs w:val="24"/>
        </w:rPr>
      </w:pPr>
      <w:r w:rsidRPr="006F23C5">
        <w:rPr>
          <w:szCs w:val="24"/>
        </w:rPr>
        <w:t>Ohio Consumers’ Counsel</w:t>
      </w:r>
    </w:p>
    <w:p w:rsidR="006A5404" w:rsidRPr="006F23C5" w:rsidP="006A5404" w14:paraId="3E7376D4" w14:textId="77777777">
      <w:pPr>
        <w:tabs>
          <w:tab w:val="left" w:pos="4320"/>
        </w:tabs>
        <w:ind w:left="3150"/>
        <w:jc w:val="both"/>
        <w:rPr>
          <w:szCs w:val="24"/>
        </w:rPr>
      </w:pPr>
    </w:p>
    <w:p w:rsidR="006A5404" w:rsidRPr="006F23C5" w:rsidP="006A5404" w14:paraId="6EA271D6" w14:textId="77777777">
      <w:pPr>
        <w:ind w:left="3150"/>
        <w:rPr>
          <w:i/>
          <w:iCs/>
          <w:szCs w:val="24"/>
          <w:u w:val="single"/>
        </w:rPr>
      </w:pPr>
      <w:r w:rsidRPr="006F23C5">
        <w:rPr>
          <w:i/>
          <w:iCs/>
          <w:szCs w:val="24"/>
          <w:u w:val="single"/>
        </w:rPr>
        <w:t>/s/ William J. Michael</w:t>
      </w:r>
    </w:p>
    <w:p w:rsidR="006A5404" w:rsidRPr="006F23C5" w:rsidP="006A5404" w14:paraId="68F6223D" w14:textId="77777777">
      <w:pPr>
        <w:ind w:left="3150"/>
        <w:rPr>
          <w:szCs w:val="24"/>
        </w:rPr>
      </w:pPr>
      <w:r w:rsidRPr="006F23C5">
        <w:rPr>
          <w:szCs w:val="24"/>
        </w:rPr>
        <w:t>William J. Michael (0070921)</w:t>
      </w:r>
    </w:p>
    <w:p w:rsidR="006A5404" w:rsidRPr="006F23C5" w:rsidP="006A5404" w14:paraId="458C75F8" w14:textId="77777777">
      <w:pPr>
        <w:ind w:left="3150"/>
        <w:rPr>
          <w:szCs w:val="24"/>
        </w:rPr>
      </w:pPr>
      <w:r w:rsidRPr="006F23C5">
        <w:rPr>
          <w:szCs w:val="24"/>
        </w:rPr>
        <w:t>Counsel of Record</w:t>
      </w:r>
    </w:p>
    <w:p w:rsidR="006A5404" w:rsidRPr="006F23C5" w:rsidP="006A5404" w14:paraId="389695F1" w14:textId="77777777">
      <w:pPr>
        <w:ind w:left="3150"/>
        <w:rPr>
          <w:szCs w:val="24"/>
        </w:rPr>
      </w:pPr>
      <w:r w:rsidRPr="006F23C5">
        <w:rPr>
          <w:szCs w:val="24"/>
        </w:rPr>
        <w:t>Amy Botschner O’Brien (0074423)</w:t>
      </w:r>
    </w:p>
    <w:p w:rsidR="006A5404" w:rsidRPr="006F23C5" w:rsidP="006A5404" w14:paraId="04031925" w14:textId="77777777">
      <w:pPr>
        <w:ind w:left="3150"/>
        <w:rPr>
          <w:szCs w:val="24"/>
        </w:rPr>
      </w:pPr>
      <w:r w:rsidRPr="006F23C5">
        <w:rPr>
          <w:szCs w:val="24"/>
        </w:rPr>
        <w:t>Assistant Consumers’ Counsel</w:t>
      </w:r>
    </w:p>
    <w:p w:rsidR="006A5404" w:rsidRPr="006F23C5" w:rsidP="006A5404" w14:paraId="05E844B6" w14:textId="77777777">
      <w:pPr>
        <w:ind w:left="3150"/>
        <w:rPr>
          <w:szCs w:val="24"/>
        </w:rPr>
      </w:pPr>
    </w:p>
    <w:p w:rsidR="006A5404" w:rsidRPr="006F23C5" w:rsidP="006A5404" w14:paraId="3AA0AA4C" w14:textId="77777777">
      <w:pPr>
        <w:ind w:left="3150"/>
        <w:rPr>
          <w:b/>
          <w:bCs/>
          <w:szCs w:val="24"/>
        </w:rPr>
      </w:pPr>
      <w:r w:rsidRPr="006F23C5">
        <w:rPr>
          <w:b/>
          <w:bCs/>
          <w:szCs w:val="24"/>
        </w:rPr>
        <w:t>Office of the Ohio Consumers’ Counsel</w:t>
      </w:r>
    </w:p>
    <w:p w:rsidR="006A5404" w:rsidRPr="006F23C5" w:rsidP="006A5404" w14:paraId="40B1F795" w14:textId="77777777">
      <w:pPr>
        <w:ind w:left="3150"/>
        <w:rPr>
          <w:b/>
          <w:szCs w:val="24"/>
        </w:rPr>
      </w:pPr>
      <w:r w:rsidRPr="006F23C5">
        <w:rPr>
          <w:szCs w:val="24"/>
        </w:rPr>
        <w:t>65 East State Street, Suite 700</w:t>
      </w:r>
    </w:p>
    <w:p w:rsidR="006A5404" w:rsidRPr="006F23C5" w:rsidP="006A5404" w14:paraId="0673DE08" w14:textId="77777777">
      <w:pPr>
        <w:ind w:left="3150"/>
        <w:rPr>
          <w:b/>
          <w:szCs w:val="24"/>
        </w:rPr>
      </w:pPr>
      <w:r w:rsidRPr="006F23C5">
        <w:rPr>
          <w:szCs w:val="24"/>
        </w:rPr>
        <w:t>Columbus, Ohio 43215</w:t>
      </w:r>
    </w:p>
    <w:p w:rsidR="006A5404" w:rsidRPr="006F23C5" w:rsidP="006A5404" w14:paraId="261996A6" w14:textId="77777777">
      <w:pPr>
        <w:ind w:left="3150"/>
        <w:rPr>
          <w:szCs w:val="24"/>
        </w:rPr>
      </w:pPr>
      <w:r w:rsidRPr="006F23C5">
        <w:rPr>
          <w:szCs w:val="24"/>
        </w:rPr>
        <w:t>Telephone [Michael]: (614) 466-1291</w:t>
      </w:r>
    </w:p>
    <w:p w:rsidR="006A5404" w:rsidRPr="006F23C5" w:rsidP="006A5404" w14:paraId="3EB52B8E" w14:textId="77777777">
      <w:pPr>
        <w:tabs>
          <w:tab w:val="left" w:pos="3690"/>
        </w:tabs>
        <w:autoSpaceDE w:val="0"/>
        <w:autoSpaceDN w:val="0"/>
        <w:adjustRightInd w:val="0"/>
        <w:ind w:left="3150"/>
        <w:rPr>
          <w:szCs w:val="24"/>
        </w:rPr>
      </w:pPr>
      <w:r w:rsidRPr="006F23C5">
        <w:rPr>
          <w:szCs w:val="24"/>
        </w:rPr>
        <w:t>Telephone [Botschner O’Brien]: (614) 466-9575</w:t>
      </w:r>
    </w:p>
    <w:p w:rsidR="006A5404" w:rsidRPr="006F23C5" w:rsidP="006A5404" w14:paraId="4754CAD7" w14:textId="77777777">
      <w:pPr>
        <w:ind w:left="3150"/>
        <w:rPr>
          <w:color w:val="0000FF"/>
          <w:szCs w:val="24"/>
          <w:u w:val="single"/>
        </w:rPr>
      </w:pPr>
      <w:hyperlink r:id="rId6" w:history="1">
        <w:r w:rsidRPr="006F23C5" w:rsidR="002A4BB7">
          <w:rPr>
            <w:color w:val="0000FF"/>
            <w:szCs w:val="24"/>
            <w:u w:val="single"/>
          </w:rPr>
          <w:t>william.michael@occ.ohio.gov</w:t>
        </w:r>
      </w:hyperlink>
    </w:p>
    <w:p w:rsidR="006A5404" w:rsidRPr="006F23C5" w:rsidP="006A5404" w14:paraId="1AF6754C" w14:textId="77777777">
      <w:pPr>
        <w:ind w:left="3150"/>
        <w:rPr>
          <w:color w:val="0000FF"/>
          <w:szCs w:val="24"/>
          <w:u w:val="single"/>
        </w:rPr>
      </w:pPr>
      <w:hyperlink r:id="rId7" w:history="1">
        <w:r w:rsidRPr="006F23C5" w:rsidR="002A4BB7">
          <w:rPr>
            <w:color w:val="0000FF"/>
            <w:szCs w:val="24"/>
            <w:u w:val="single"/>
          </w:rPr>
          <w:t>amy.botschner.obrien@occ.ohio.gov</w:t>
        </w:r>
      </w:hyperlink>
    </w:p>
    <w:p w:rsidR="006A5404" w:rsidRPr="006F23C5" w:rsidP="006A5404" w14:paraId="7BFE9A41" w14:textId="77777777">
      <w:pPr>
        <w:ind w:left="3150"/>
        <w:rPr>
          <w:color w:val="0000FF"/>
          <w:szCs w:val="24"/>
          <w:u w:val="single"/>
        </w:rPr>
      </w:pPr>
      <w:r w:rsidRPr="006F23C5">
        <w:rPr>
          <w:szCs w:val="24"/>
        </w:rPr>
        <w:t>(willing to accept service by e-mail)</w:t>
      </w:r>
    </w:p>
    <w:p w:rsidR="006A5404" w:rsidRPr="006F23C5" w14:paraId="799EDB3E" w14:textId="77777777">
      <w:pPr>
        <w:rPr>
          <w:b/>
          <w:bCs/>
          <w:szCs w:val="24"/>
          <w:u w:val="single"/>
        </w:rPr>
      </w:pPr>
      <w:r w:rsidRPr="006F23C5">
        <w:rPr>
          <w:b/>
          <w:bCs/>
          <w:szCs w:val="24"/>
          <w:u w:val="single"/>
        </w:rPr>
        <w:br w:type="page"/>
      </w:r>
    </w:p>
    <w:p w:rsidR="002E2195" w:rsidRPr="006F23C5" w:rsidP="002E2195" w14:paraId="4960217B" w14:textId="4FFEB627">
      <w:pPr>
        <w:spacing w:line="480" w:lineRule="auto"/>
        <w:jc w:val="center"/>
        <w:rPr>
          <w:b/>
          <w:bCs/>
          <w:szCs w:val="24"/>
          <w:u w:val="single"/>
        </w:rPr>
      </w:pPr>
      <w:r w:rsidRPr="006F23C5">
        <w:rPr>
          <w:b/>
          <w:bCs/>
          <w:szCs w:val="24"/>
          <w:u w:val="single"/>
        </w:rPr>
        <w:t>CERTIFICATE OF SERVICE</w:t>
      </w:r>
    </w:p>
    <w:p w:rsidR="002E2195" w:rsidRPr="006F23C5" w:rsidP="002E2195" w14:paraId="07F138F0" w14:textId="1D043830">
      <w:pPr>
        <w:spacing w:line="480" w:lineRule="auto"/>
        <w:rPr>
          <w:szCs w:val="24"/>
        </w:rPr>
      </w:pPr>
      <w:r w:rsidRPr="006F23C5">
        <w:rPr>
          <w:szCs w:val="24"/>
        </w:rPr>
        <w:tab/>
        <w:t>I hereby certify that a copy of th</w:t>
      </w:r>
      <w:r w:rsidRPr="006F23C5" w:rsidR="0031635E">
        <w:rPr>
          <w:szCs w:val="24"/>
        </w:rPr>
        <w:t>e</w:t>
      </w:r>
      <w:r w:rsidRPr="006F23C5">
        <w:rPr>
          <w:szCs w:val="24"/>
        </w:rPr>
        <w:t xml:space="preserve"> </w:t>
      </w:r>
      <w:r w:rsidRPr="006F23C5" w:rsidR="00CF5356">
        <w:rPr>
          <w:szCs w:val="24"/>
        </w:rPr>
        <w:t xml:space="preserve">Consumer Protection </w:t>
      </w:r>
      <w:r w:rsidRPr="006F23C5" w:rsidR="0031635E">
        <w:rPr>
          <w:szCs w:val="24"/>
        </w:rPr>
        <w:t>Comments</w:t>
      </w:r>
      <w:r w:rsidRPr="006F23C5">
        <w:rPr>
          <w:szCs w:val="24"/>
        </w:rPr>
        <w:t xml:space="preserve"> was served on the persons stated below via electronic transmission, this </w:t>
      </w:r>
      <w:r w:rsidRPr="006F23C5" w:rsidR="008221FA">
        <w:rPr>
          <w:szCs w:val="24"/>
        </w:rPr>
        <w:t>28</w:t>
      </w:r>
      <w:r w:rsidRPr="006F23C5" w:rsidR="008221FA">
        <w:rPr>
          <w:szCs w:val="24"/>
          <w:vertAlign w:val="superscript"/>
        </w:rPr>
        <w:t>th</w:t>
      </w:r>
      <w:r w:rsidRPr="006F23C5" w:rsidR="008221FA">
        <w:rPr>
          <w:szCs w:val="24"/>
        </w:rPr>
        <w:t xml:space="preserve"> </w:t>
      </w:r>
      <w:r w:rsidRPr="006F23C5">
        <w:rPr>
          <w:szCs w:val="24"/>
        </w:rPr>
        <w:t xml:space="preserve">day of </w:t>
      </w:r>
      <w:r w:rsidRPr="006F23C5" w:rsidR="008221FA">
        <w:rPr>
          <w:szCs w:val="24"/>
        </w:rPr>
        <w:t xml:space="preserve">September </w:t>
      </w:r>
      <w:r w:rsidRPr="006F23C5">
        <w:rPr>
          <w:szCs w:val="24"/>
        </w:rPr>
        <w:t>20</w:t>
      </w:r>
      <w:r w:rsidRPr="006F23C5" w:rsidR="00BA364E">
        <w:rPr>
          <w:szCs w:val="24"/>
        </w:rPr>
        <w:t>2</w:t>
      </w:r>
      <w:r w:rsidRPr="006F23C5" w:rsidR="0031635E">
        <w:rPr>
          <w:szCs w:val="24"/>
        </w:rPr>
        <w:t>2</w:t>
      </w:r>
      <w:r w:rsidRPr="006F23C5">
        <w:rPr>
          <w:szCs w:val="24"/>
        </w:rPr>
        <w:t>.</w:t>
      </w:r>
    </w:p>
    <w:p w:rsidR="002E2195" w:rsidRPr="006F23C5" w14:paraId="4C220D14" w14:textId="77777777">
      <w:pPr>
        <w:tabs>
          <w:tab w:val="left" w:pos="4320"/>
        </w:tabs>
        <w:rPr>
          <w:i/>
          <w:iCs/>
          <w:szCs w:val="24"/>
          <w:u w:val="single"/>
        </w:rPr>
      </w:pPr>
      <w:r w:rsidRPr="006F23C5">
        <w:rPr>
          <w:szCs w:val="24"/>
        </w:rPr>
        <w:tab/>
      </w:r>
      <w:r w:rsidRPr="006F23C5">
        <w:rPr>
          <w:i/>
          <w:iCs/>
          <w:szCs w:val="24"/>
          <w:u w:val="single"/>
        </w:rPr>
        <w:t xml:space="preserve">/s/ </w:t>
      </w:r>
      <w:r w:rsidRPr="006F23C5" w:rsidR="00555BD4">
        <w:rPr>
          <w:i/>
          <w:iCs/>
          <w:szCs w:val="24"/>
          <w:u w:val="single"/>
        </w:rPr>
        <w:t>William J. Michael</w:t>
      </w:r>
    </w:p>
    <w:p w:rsidR="00BA364E" w:rsidRPr="006F23C5" w14:paraId="6791A527" w14:textId="4759DC06">
      <w:pPr>
        <w:tabs>
          <w:tab w:val="left" w:pos="4320"/>
        </w:tabs>
        <w:rPr>
          <w:szCs w:val="24"/>
        </w:rPr>
      </w:pPr>
      <w:r w:rsidRPr="006F23C5">
        <w:rPr>
          <w:szCs w:val="24"/>
        </w:rPr>
        <w:tab/>
      </w:r>
      <w:r w:rsidRPr="006F23C5" w:rsidR="00555BD4">
        <w:rPr>
          <w:szCs w:val="24"/>
        </w:rPr>
        <w:t>William J. Michael</w:t>
      </w:r>
    </w:p>
    <w:p w:rsidR="002E2195" w:rsidRPr="006F23C5" w14:paraId="5979A51B" w14:textId="77777777">
      <w:pPr>
        <w:tabs>
          <w:tab w:val="left" w:pos="4320"/>
        </w:tabs>
        <w:rPr>
          <w:szCs w:val="24"/>
        </w:rPr>
      </w:pPr>
      <w:r w:rsidRPr="006F23C5">
        <w:rPr>
          <w:szCs w:val="24"/>
        </w:rPr>
        <w:tab/>
        <w:t>Assistant Consumers’ Counsel</w:t>
      </w:r>
    </w:p>
    <w:p w:rsidR="001A4C26" w:rsidRPr="006F23C5" w14:paraId="2ABFD1C7" w14:textId="77777777">
      <w:pPr>
        <w:tabs>
          <w:tab w:val="left" w:pos="4320"/>
        </w:tabs>
        <w:rPr>
          <w:szCs w:val="24"/>
        </w:rPr>
      </w:pPr>
    </w:p>
    <w:p w:rsidR="001A4C26" w:rsidRPr="006F23C5" w:rsidP="001A4C26" w14:paraId="1BDF9863" w14:textId="77777777">
      <w:pPr>
        <w:pStyle w:val="CommentText"/>
      </w:pPr>
      <w:r w:rsidRPr="006F23C5">
        <w:t>The PUCO’s e-filing system will electronically serve notice of the filing of this document on the following parties:</w:t>
      </w:r>
    </w:p>
    <w:p w:rsidR="002E2195" w:rsidRPr="006F23C5" w14:paraId="680FBFA9" w14:textId="77777777">
      <w:pPr>
        <w:pStyle w:val="CommentText"/>
      </w:pPr>
    </w:p>
    <w:p w:rsidR="002E2195" w:rsidRPr="006F23C5" w14:paraId="3F38A750" w14:textId="6C26AE9F">
      <w:pPr>
        <w:pStyle w:val="CommentText"/>
        <w:jc w:val="center"/>
        <w:rPr>
          <w:b/>
          <w:u w:val="single"/>
        </w:rPr>
      </w:pPr>
      <w:r w:rsidRPr="006F23C5">
        <w:rPr>
          <w:b/>
          <w:u w:val="single"/>
        </w:rPr>
        <w:t>SERVICE LIST</w:t>
      </w:r>
    </w:p>
    <w:p w:rsidR="004C4382" w:rsidRPr="006F23C5" w14:paraId="2305E7CC" w14:textId="6BC2C120">
      <w:pPr>
        <w:pStyle w:val="CommentText"/>
        <w:jc w:val="center"/>
        <w:rPr>
          <w:b/>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04B1874C" w14:textId="77777777" w:rsidTr="00D6004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4731B9" w:rsidRPr="006F23C5" w:rsidP="00D60047" w14:paraId="6CB8FA62" w14:textId="77777777">
            <w:pPr>
              <w:rPr>
                <w:rFonts w:ascii="Times New Roman" w:eastAsia="Times New Roman" w:hAnsi="Times New Roman" w:cs="Times New Roman"/>
                <w:bCs/>
                <w:color w:val="0000FF"/>
                <w:szCs w:val="24"/>
                <w:u w:val="single"/>
              </w:rPr>
            </w:pPr>
            <w:hyperlink r:id="rId10" w:history="1">
              <w:r w:rsidRPr="006F23C5" w:rsidR="002A4BB7">
                <w:rPr>
                  <w:rStyle w:val="Hyperlink"/>
                  <w:rFonts w:ascii="Times New Roman" w:eastAsia="Times New Roman" w:hAnsi="Times New Roman" w:cs="Times New Roman"/>
                  <w:bCs/>
                  <w:szCs w:val="24"/>
                </w:rPr>
                <w:t>thomas.lindgren@ohioago.gov</w:t>
              </w:r>
            </w:hyperlink>
          </w:p>
          <w:p w:rsidR="004731B9" w:rsidRPr="006F23C5" w:rsidP="00D60047" w14:paraId="0F6A6FD3" w14:textId="77777777">
            <w:pPr>
              <w:rPr>
                <w:rFonts w:ascii="Times New Roman" w:eastAsia="Times New Roman" w:hAnsi="Times New Roman" w:cs="Times New Roman"/>
                <w:bCs/>
                <w:color w:val="0000FF"/>
                <w:szCs w:val="24"/>
                <w:u w:val="single"/>
              </w:rPr>
            </w:pPr>
            <w:r w:rsidRPr="006F23C5">
              <w:rPr>
                <w:rFonts w:ascii="Times New Roman" w:eastAsia="Times New Roman" w:hAnsi="Times New Roman" w:cs="Times New Roman"/>
                <w:bCs/>
                <w:color w:val="0000FF"/>
                <w:szCs w:val="24"/>
                <w:u w:val="single"/>
              </w:rPr>
              <w:t>rhiannon.plant@ohioago.gov</w:t>
            </w:r>
          </w:p>
          <w:p w:rsidR="004731B9" w:rsidRPr="006F23C5" w:rsidP="00D60047" w14:paraId="0150ACA0" w14:textId="77777777">
            <w:pPr>
              <w:rPr>
                <w:rStyle w:val="Hyperlink"/>
                <w:rFonts w:ascii="Times New Roman" w:eastAsia="Times New Roman" w:hAnsi="Times New Roman" w:cs="Times New Roman"/>
                <w:bCs/>
                <w:szCs w:val="24"/>
              </w:rPr>
            </w:pPr>
            <w:hyperlink r:id="rId11" w:history="1">
              <w:r w:rsidRPr="006F23C5" w:rsidR="002A4BB7">
                <w:rPr>
                  <w:rStyle w:val="Hyperlink"/>
                  <w:rFonts w:ascii="Times New Roman" w:eastAsia="Times New Roman" w:hAnsi="Times New Roman" w:cs="Times New Roman"/>
                  <w:bCs/>
                  <w:szCs w:val="24"/>
                </w:rPr>
                <w:t>sjagers@ohiopovertylaw.org</w:t>
              </w:r>
            </w:hyperlink>
          </w:p>
          <w:p w:rsidR="004731B9" w:rsidRPr="006F23C5" w:rsidP="00D60047" w14:paraId="0EFB27BB" w14:textId="77777777">
            <w:pPr>
              <w:rPr>
                <w:rFonts w:ascii="Times New Roman" w:eastAsia="Times New Roman" w:hAnsi="Times New Roman" w:cs="Times New Roman"/>
                <w:bCs/>
                <w:color w:val="0000FF"/>
                <w:szCs w:val="24"/>
                <w:u w:val="single"/>
              </w:rPr>
            </w:pPr>
            <w:r w:rsidRPr="006F23C5">
              <w:rPr>
                <w:rFonts w:ascii="Times New Roman" w:eastAsia="Times New Roman" w:hAnsi="Times New Roman" w:cs="Times New Roman"/>
                <w:bCs/>
                <w:color w:val="0000FF"/>
                <w:szCs w:val="24"/>
                <w:u w:val="single"/>
              </w:rPr>
              <w:t>mwalters@proseniors.org</w:t>
            </w:r>
          </w:p>
          <w:p w:rsidR="004731B9" w:rsidRPr="006F23C5" w:rsidP="00D60047" w14:paraId="542FEDDA" w14:textId="77777777">
            <w:pPr>
              <w:rPr>
                <w:rFonts w:ascii="Times New Roman" w:eastAsia="Times New Roman" w:hAnsi="Times New Roman" w:cs="Times New Roman"/>
                <w:bCs/>
                <w:color w:val="0000FF"/>
                <w:szCs w:val="24"/>
                <w:u w:val="single"/>
              </w:rPr>
            </w:pPr>
          </w:p>
          <w:p w:rsidR="004731B9" w:rsidRPr="006F23C5" w:rsidP="00D60047" w14:paraId="4DC49D06" w14:textId="77777777">
            <w:pPr>
              <w:rPr>
                <w:rFonts w:ascii="Times New Roman" w:eastAsia="Times New Roman" w:hAnsi="Times New Roman" w:cs="Times New Roman"/>
                <w:bCs/>
                <w:szCs w:val="24"/>
              </w:rPr>
            </w:pPr>
            <w:r w:rsidRPr="006F23C5">
              <w:rPr>
                <w:rFonts w:ascii="Times New Roman" w:eastAsia="Times New Roman" w:hAnsi="Times New Roman" w:cs="Times New Roman"/>
                <w:bCs/>
                <w:szCs w:val="24"/>
              </w:rPr>
              <w:t>Attorney Examiners:</w:t>
            </w:r>
          </w:p>
          <w:p w:rsidR="004731B9" w:rsidRPr="006F23C5" w:rsidP="00D60047" w14:paraId="0AC8C2A7" w14:textId="77777777">
            <w:pPr>
              <w:rPr>
                <w:rFonts w:ascii="Times New Roman" w:eastAsia="Times New Roman" w:hAnsi="Times New Roman" w:cs="Times New Roman"/>
                <w:bCs/>
                <w:color w:val="0000FF"/>
                <w:szCs w:val="24"/>
                <w:u w:val="single"/>
              </w:rPr>
            </w:pPr>
            <w:hyperlink r:id="rId12" w:history="1">
              <w:r w:rsidRPr="006F23C5" w:rsidR="002A4BB7">
                <w:rPr>
                  <w:rFonts w:ascii="Times New Roman" w:eastAsia="Times New Roman" w:hAnsi="Times New Roman" w:cs="Times New Roman"/>
                  <w:color w:val="0000FF"/>
                  <w:szCs w:val="24"/>
                  <w:u w:val="single"/>
                </w:rPr>
                <w:t>s</w:t>
              </w:r>
              <w:r w:rsidRPr="006F23C5" w:rsidR="002A4BB7">
                <w:rPr>
                  <w:rFonts w:ascii="Times New Roman" w:eastAsia="Times New Roman" w:hAnsi="Times New Roman" w:cs="Times New Roman"/>
                  <w:bCs/>
                  <w:color w:val="0000FF"/>
                  <w:szCs w:val="24"/>
                  <w:u w:val="single"/>
                </w:rPr>
                <w:t>arah.parrot@puco.ohio.gov</w:t>
              </w:r>
            </w:hyperlink>
          </w:p>
          <w:p w:rsidR="004731B9" w:rsidRPr="006F23C5" w:rsidP="00D60047" w14:paraId="52E0417B" w14:textId="77777777">
            <w:pPr>
              <w:rPr>
                <w:rFonts w:ascii="Times New Roman" w:eastAsia="Times New Roman" w:hAnsi="Times New Roman" w:cs="Times New Roman"/>
                <w:color w:val="0000FF"/>
                <w:szCs w:val="24"/>
                <w:u w:val="single"/>
              </w:rPr>
            </w:pPr>
            <w:hyperlink r:id="rId13" w:history="1">
              <w:r w:rsidRPr="006F23C5" w:rsidR="002A4BB7">
                <w:rPr>
                  <w:rFonts w:ascii="Times New Roman" w:eastAsia="Times New Roman" w:hAnsi="Times New Roman" w:cs="Times New Roman"/>
                  <w:color w:val="0000FF"/>
                  <w:szCs w:val="24"/>
                  <w:u w:val="single"/>
                </w:rPr>
                <w:t>greta.see@puco.ohio.gov</w:t>
              </w:r>
            </w:hyperlink>
          </w:p>
          <w:p w:rsidR="004731B9" w:rsidRPr="006F23C5" w:rsidP="00D60047" w14:paraId="003CEA19" w14:textId="77777777">
            <w:pPr>
              <w:rPr>
                <w:rFonts w:ascii="Times New Roman" w:eastAsia="Times New Roman" w:hAnsi="Times New Roman" w:cs="Times New Roman"/>
                <w:bCs/>
                <w:szCs w:val="24"/>
              </w:rPr>
            </w:pPr>
          </w:p>
          <w:p w:rsidR="004731B9" w:rsidRPr="006F23C5" w:rsidP="00D60047" w14:paraId="3BED6F77" w14:textId="77777777">
            <w:pPr>
              <w:rPr>
                <w:rFonts w:ascii="Times New Roman" w:eastAsia="Times New Roman" w:hAnsi="Times New Roman" w:cs="Times New Roman"/>
                <w:bCs/>
                <w:szCs w:val="24"/>
              </w:rPr>
            </w:pPr>
          </w:p>
        </w:tc>
        <w:tc>
          <w:tcPr>
            <w:tcW w:w="4315" w:type="dxa"/>
          </w:tcPr>
          <w:p w:rsidR="004731B9" w:rsidRPr="006F23C5" w:rsidP="00D60047" w14:paraId="1ED9EC6B" w14:textId="77777777">
            <w:pPr>
              <w:rPr>
                <w:rFonts w:ascii="Times New Roman" w:eastAsia="Times New Roman" w:hAnsi="Times New Roman" w:cs="Times New Roman"/>
                <w:bCs/>
                <w:szCs w:val="24"/>
              </w:rPr>
            </w:pPr>
            <w:hyperlink r:id="rId14" w:history="1">
              <w:r w:rsidRPr="006F23C5" w:rsidR="002A4BB7">
                <w:rPr>
                  <w:rFonts w:ascii="Times New Roman" w:eastAsia="Times New Roman" w:hAnsi="Times New Roman" w:cs="Times New Roman"/>
                  <w:bCs/>
                  <w:color w:val="0000FF"/>
                  <w:szCs w:val="24"/>
                  <w:u w:val="single"/>
                </w:rPr>
                <w:t>stnourse@aep.com</w:t>
              </w:r>
            </w:hyperlink>
          </w:p>
          <w:p w:rsidR="004731B9" w:rsidRPr="006F23C5" w:rsidP="00D60047" w14:paraId="294F91F9" w14:textId="77777777">
            <w:pPr>
              <w:rPr>
                <w:rFonts w:ascii="Times New Roman" w:eastAsia="Times New Roman" w:hAnsi="Times New Roman" w:cs="Times New Roman"/>
                <w:bCs/>
                <w:color w:val="0000FF"/>
                <w:szCs w:val="24"/>
                <w:u w:val="single"/>
              </w:rPr>
            </w:pPr>
            <w:hyperlink r:id="rId15" w:history="1">
              <w:r w:rsidRPr="006F23C5" w:rsidR="002A4BB7">
                <w:rPr>
                  <w:rFonts w:ascii="Times New Roman" w:eastAsia="Times New Roman" w:hAnsi="Times New Roman" w:cs="Times New Roman"/>
                  <w:bCs/>
                  <w:color w:val="0000FF"/>
                  <w:szCs w:val="24"/>
                  <w:u w:val="single"/>
                </w:rPr>
                <w:t>mjschuler@aep.com</w:t>
              </w:r>
            </w:hyperlink>
          </w:p>
          <w:p w:rsidR="004731B9" w:rsidRPr="006F23C5" w:rsidP="00D60047" w14:paraId="6C9FD3C6" w14:textId="77777777">
            <w:pPr>
              <w:rPr>
                <w:rFonts w:ascii="Times New Roman" w:eastAsia="Times New Roman" w:hAnsi="Times New Roman" w:cs="Times New Roman"/>
                <w:bCs/>
                <w:color w:val="0000FF"/>
                <w:szCs w:val="24"/>
                <w:u w:val="single"/>
              </w:rPr>
            </w:pPr>
            <w:r w:rsidRPr="006F23C5">
              <w:rPr>
                <w:rFonts w:ascii="Times New Roman" w:eastAsia="Times New Roman" w:hAnsi="Times New Roman" w:cs="Times New Roman"/>
                <w:bCs/>
                <w:color w:val="0000FF"/>
                <w:szCs w:val="24"/>
                <w:u w:val="single"/>
              </w:rPr>
              <w:t>bojko@carpenterlipps.com</w:t>
            </w:r>
          </w:p>
          <w:p w:rsidR="004731B9" w:rsidRPr="006F23C5" w:rsidP="00D60047" w14:paraId="4A8C365C" w14:textId="77777777">
            <w:pPr>
              <w:rPr>
                <w:rFonts w:ascii="Times New Roman" w:eastAsia="Times New Roman" w:hAnsi="Times New Roman" w:cs="Times New Roman"/>
                <w:bCs/>
                <w:color w:val="0000FF"/>
                <w:szCs w:val="24"/>
                <w:u w:val="single"/>
              </w:rPr>
            </w:pPr>
            <w:r w:rsidRPr="006F23C5">
              <w:rPr>
                <w:rFonts w:ascii="Times New Roman" w:eastAsia="Times New Roman" w:hAnsi="Times New Roman" w:cs="Times New Roman"/>
                <w:bCs/>
                <w:color w:val="0000FF"/>
                <w:szCs w:val="24"/>
                <w:u w:val="single"/>
              </w:rPr>
              <w:t>wygonski@carpenterlipps.com</w:t>
            </w:r>
          </w:p>
          <w:p w:rsidR="004731B9" w:rsidRPr="006F23C5" w:rsidP="00D60047" w14:paraId="000E42C4" w14:textId="77777777">
            <w:pPr>
              <w:rPr>
                <w:rFonts w:ascii="Times New Roman" w:eastAsia="Times New Roman" w:hAnsi="Times New Roman" w:cs="Times New Roman"/>
                <w:bCs/>
                <w:szCs w:val="24"/>
              </w:rPr>
            </w:pPr>
          </w:p>
          <w:p w:rsidR="004731B9" w:rsidRPr="006F23C5" w:rsidP="00D60047" w14:paraId="3E23F66D" w14:textId="77777777">
            <w:pPr>
              <w:rPr>
                <w:rFonts w:ascii="Times New Roman" w:eastAsia="Times New Roman" w:hAnsi="Times New Roman" w:cs="Times New Roman"/>
                <w:bCs/>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73F35304" w14:textId="77777777" w:rsidTr="00B532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4C4382" w:rsidRPr="006F23C5" w:rsidP="004C4382" w14:paraId="47226BDF" w14:textId="2AB75ABD">
            <w:pPr>
              <w:pStyle w:val="CommentText"/>
              <w:jc w:val="both"/>
              <w:rPr>
                <w:bCs/>
              </w:rPr>
            </w:pPr>
          </w:p>
        </w:tc>
        <w:tc>
          <w:tcPr>
            <w:tcW w:w="4315" w:type="dxa"/>
          </w:tcPr>
          <w:p w:rsidR="004C4382" w:rsidRPr="006F23C5" w:rsidP="004C4382" w14:paraId="0E9136E3" w14:textId="58EB53A0">
            <w:pPr>
              <w:pStyle w:val="CommentText"/>
              <w:rPr>
                <w:b/>
                <w:u w:val="single"/>
              </w:rPr>
            </w:pPr>
          </w:p>
        </w:tc>
      </w:tr>
    </w:tbl>
    <w:p w:rsidR="004C4382" w:rsidRPr="006F23C5" w14:paraId="1FCCFC8A" w14:textId="77777777">
      <w:pPr>
        <w:pStyle w:val="CommentText"/>
        <w:jc w:val="center"/>
        <w:rPr>
          <w:b/>
          <w:u w:val="single"/>
        </w:rPr>
      </w:pPr>
    </w:p>
    <w:p w:rsidR="00AE4914" w:rsidRPr="006F23C5" w:rsidP="00AE4914" w14:paraId="7B7777A2" w14:textId="77777777">
      <w:pPr>
        <w:jc w:val="center"/>
        <w:rPr>
          <w:rFonts w:eastAsia="Calibri"/>
          <w:b/>
          <w:szCs w:val="24"/>
          <w:u w:val="single"/>
        </w:rPr>
      </w:pPr>
    </w:p>
    <w:p w:rsidR="0007700A" w:rsidRPr="006F23C5" w:rsidP="0007700A" w14:paraId="3CBC75A0" w14:textId="77777777">
      <w:pPr>
        <w:pStyle w:val="CommentText"/>
        <w:rPr>
          <w:bCs/>
        </w:rPr>
      </w:pPr>
    </w:p>
    <w:p w:rsidR="0007700A" w:rsidRPr="006F23C5" w:rsidP="0007700A" w14:paraId="24F95DE2" w14:textId="77777777">
      <w:pPr>
        <w:pStyle w:val="CommentText"/>
        <w:rPr>
          <w:bCs/>
        </w:rPr>
      </w:pPr>
    </w:p>
    <w:p w:rsidR="002E2195" w:rsidRPr="006F23C5" w14:paraId="0D936A04" w14:textId="77777777">
      <w:pPr>
        <w:pStyle w:val="BodyText"/>
        <w:rPr>
          <w:bCs/>
          <w:szCs w:val="24"/>
        </w:rPr>
      </w:pPr>
    </w:p>
    <w:sectPr w:rsidSect="00381BB3">
      <w:footerReference w:type="first" r:id="rId16"/>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3F9C" w:rsidRPr="00513F9C" w14:paraId="4E41A005" w14:textId="5B361C54">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1418571"/>
      <w:docPartObj>
        <w:docPartGallery w:val="Page Numbers (Bottom of Page)"/>
        <w:docPartUnique/>
      </w:docPartObj>
    </w:sdtPr>
    <w:sdtEndPr>
      <w:rPr>
        <w:noProof/>
        <w:sz w:val="24"/>
        <w:szCs w:val="24"/>
      </w:rPr>
    </w:sdtEndPr>
    <w:sdtContent>
      <w:p w:rsidR="00145118" w:rsidRPr="00145118" w14:paraId="5BE09757" w14:textId="3F038939">
        <w:pPr>
          <w:pStyle w:val="Footer"/>
          <w:jc w:val="center"/>
          <w:rPr>
            <w:sz w:val="24"/>
            <w:szCs w:val="24"/>
          </w:rPr>
        </w:pPr>
        <w:r w:rsidRPr="00145118">
          <w:rPr>
            <w:sz w:val="24"/>
            <w:szCs w:val="24"/>
          </w:rPr>
          <w:fldChar w:fldCharType="begin"/>
        </w:r>
        <w:r w:rsidRPr="00145118">
          <w:rPr>
            <w:sz w:val="24"/>
            <w:szCs w:val="24"/>
          </w:rPr>
          <w:instrText xml:space="preserve"> PAGE   \* MERGEFORMAT </w:instrText>
        </w:r>
        <w:r w:rsidRPr="00145118">
          <w:rPr>
            <w:sz w:val="24"/>
            <w:szCs w:val="24"/>
          </w:rPr>
          <w:fldChar w:fldCharType="separate"/>
        </w:r>
        <w:r w:rsidRPr="00145118">
          <w:rPr>
            <w:noProof/>
            <w:sz w:val="24"/>
            <w:szCs w:val="24"/>
          </w:rPr>
          <w:t>2</w:t>
        </w:r>
        <w:r w:rsidRPr="00145118">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0429" w:rsidRPr="00590429" w14:paraId="4A21EC91" w14:textId="77777777">
    <w:pPr>
      <w:pStyle w:val="Footer"/>
      <w:jc w:val="center"/>
      <w:rPr>
        <w:sz w:val="24"/>
        <w:szCs w:val="24"/>
      </w:rPr>
    </w:pPr>
    <w:r w:rsidRPr="00590429">
      <w:rPr>
        <w:sz w:val="24"/>
        <w:szCs w:val="24"/>
      </w:rPr>
      <w:fldChar w:fldCharType="begin"/>
    </w:r>
    <w:r w:rsidRPr="00590429">
      <w:rPr>
        <w:sz w:val="24"/>
        <w:szCs w:val="24"/>
      </w:rPr>
      <w:instrText xml:space="preserve"> PAGE   \* MERGEFORMAT </w:instrText>
    </w:r>
    <w:r w:rsidRPr="00590429">
      <w:rPr>
        <w:sz w:val="24"/>
        <w:szCs w:val="24"/>
      </w:rPr>
      <w:fldChar w:fldCharType="separate"/>
    </w:r>
    <w:r w:rsidRPr="00590429">
      <w:rPr>
        <w:noProof/>
        <w:sz w:val="24"/>
        <w:szCs w:val="24"/>
      </w:rPr>
      <w:t>2</w:t>
    </w:r>
    <w:r w:rsidRPr="00590429">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2E96" w14:paraId="5DC18EE1" w14:textId="77777777">
      <w:r>
        <w:separator/>
      </w:r>
    </w:p>
  </w:footnote>
  <w:footnote w:type="continuationSeparator" w:id="1">
    <w:p w:rsidR="00E92E96" w14:paraId="5A875D3F" w14:textId="77777777">
      <w:r>
        <w:continuationSeparator/>
      </w:r>
    </w:p>
  </w:footnote>
  <w:footnote w:id="2">
    <w:p w:rsidR="00E9151C" w:rsidP="006F23C5" w14:paraId="43FBC6A6" w14:textId="4072B808">
      <w:pPr>
        <w:pStyle w:val="FootnoteText"/>
      </w:pPr>
      <w:r>
        <w:rPr>
          <w:rStyle w:val="FootnoteReference"/>
        </w:rPr>
        <w:footnoteRef/>
      </w:r>
      <w:r>
        <w:t xml:space="preserve"> </w:t>
      </w:r>
      <w:r w:rsidR="007D4F1A">
        <w:t>R.C.</w:t>
      </w:r>
      <w:r>
        <w:t xml:space="preserve"> 4928.02(A).</w:t>
      </w:r>
    </w:p>
  </w:footnote>
  <w:footnote w:id="3">
    <w:p w:rsidR="00EA7C76" w:rsidRPr="009D3769" w:rsidP="006F23C5" w14:paraId="34887B1D" w14:textId="12BD0270">
      <w:pPr>
        <w:pStyle w:val="FootnoteText"/>
        <w:rPr>
          <w:i/>
          <w:iCs/>
        </w:rPr>
      </w:pPr>
      <w:r>
        <w:rPr>
          <w:rStyle w:val="FootnoteReference"/>
        </w:rPr>
        <w:footnoteRef/>
      </w:r>
      <w:r>
        <w:t xml:space="preserve"> </w:t>
      </w:r>
      <w:r w:rsidRPr="00062997" w:rsidR="009D3769">
        <w:rPr>
          <w:i/>
          <w:iCs/>
        </w:rPr>
        <w:t>See</w:t>
      </w:r>
      <w:r w:rsidR="009D3769">
        <w:t xml:space="preserve"> </w:t>
      </w:r>
      <w:r w:rsidRPr="00671657" w:rsidR="009D3769">
        <w:t>M</w:t>
      </w:r>
      <w:r w:rsidRPr="00062997">
        <w:t>otion</w:t>
      </w:r>
      <w:r w:rsidRPr="00062997" w:rsidR="009D3769">
        <w:t>s</w:t>
      </w:r>
      <w:r w:rsidRPr="00062997">
        <w:t xml:space="preserve"> </w:t>
      </w:r>
      <w:r w:rsidRPr="00062997" w:rsidR="009D3769">
        <w:t xml:space="preserve">filed in Case 20-1111-EL-ESS </w:t>
      </w:r>
      <w:r w:rsidRPr="00062997">
        <w:t>for the PUCO to Order an Investigation of the AEP-Ohio Service Outages That Affected Thousands of Consumers, Their Families, and Businesses During the Week of June 12, 2022, Instead of the PUCO’s Undefined “Review” That Lacks a Formalized Process for Consumer Justice and Motion for the PUCO to Hire an Independent Auditor for an Investigation of the AEP-Ohio Service Outages During the Week of June 12, 2022 and Motion for the PUCO to Order and Publicize Local Hearings, Virtual Hearings, Online Comments, and Other Opportunities for the Public to be Heard on the Mid-June Service Outages by AEP and Any Other Ohio Electric Utilities and Motion for the PUCO to Determine if AEP</w:t>
      </w:r>
      <w:r w:rsidR="006F23C5">
        <w:t xml:space="preserve"> </w:t>
      </w:r>
      <w:r w:rsidRPr="00062997">
        <w:t>Ohio Was Negligent and Is Liable to Consumers for Perishable Food and Other Damages Regarding Its Service Outages During the Week of June 12, 2022, Pursuant to O.A.C. 4901:1-10-02(G), AEP’s Tariff No. 21 (Original Sheet No. 103- 16) and Other Authority and for the PUCO to Waive the 30-Day Limit in AEP’s Tariffs for Consumers to Notify AEP of a Damages Claim That Is Based on AEP Negligence by Office of the Ohio Consumers’ Counsel, Ohio Poverty Law Center and Pro Seniors, Inc</w:t>
      </w:r>
      <w:r w:rsidRPr="00062997" w:rsidR="009D3769">
        <w:t>.</w:t>
      </w:r>
      <w:r w:rsidR="009D3769">
        <w:rPr>
          <w:i/>
          <w:iCs/>
        </w:rPr>
        <w:t xml:space="preserve"> </w:t>
      </w:r>
      <w:r w:rsidRPr="00062997" w:rsidR="009D3769">
        <w:t>(July 11, 2022)</w:t>
      </w:r>
      <w:r w:rsidR="009D3769">
        <w:rPr>
          <w:i/>
          <w:iCs/>
        </w:rPr>
        <w:t>.</w:t>
      </w:r>
    </w:p>
  </w:footnote>
  <w:footnote w:id="4">
    <w:p w:rsidR="008D123B" w14:paraId="58164A7E" w14:textId="79FC12FB">
      <w:pPr>
        <w:pStyle w:val="FootnoteText"/>
      </w:pPr>
      <w:r>
        <w:rPr>
          <w:rStyle w:val="FootnoteReference"/>
        </w:rPr>
        <w:footnoteRef/>
      </w:r>
      <w:r>
        <w:t xml:space="preserve"> </w:t>
      </w:r>
      <w:r w:rsidRPr="008D123B">
        <w:rPr>
          <w:i/>
          <w:iCs/>
        </w:rPr>
        <w:t>Id.</w:t>
      </w:r>
    </w:p>
  </w:footnote>
  <w:footnote w:id="5">
    <w:p w:rsidR="000C0F02" w:rsidRPr="000C0F02" w:rsidP="006F23C5" w14:paraId="2010B225" w14:textId="51581B7D">
      <w:pPr>
        <w:pStyle w:val="FootnoteText"/>
      </w:pPr>
      <w:r>
        <w:rPr>
          <w:rStyle w:val="FootnoteReference"/>
        </w:rPr>
        <w:footnoteRef/>
      </w:r>
      <w:r>
        <w:t xml:space="preserve"> </w:t>
      </w:r>
      <w:r>
        <w:rPr>
          <w:i/>
          <w:iCs/>
        </w:rPr>
        <w:t xml:space="preserve">See </w:t>
      </w:r>
      <w:r>
        <w:t xml:space="preserve">AEP Ohio Motion for a Protective Order for responding to OCC discovery (September 2, 2022) and the OCC Memorandum Contra </w:t>
      </w:r>
      <w:r w:rsidR="008F20CC">
        <w:t>(September 19, 2022)</w:t>
      </w:r>
      <w:r w:rsidR="00062997">
        <w:t xml:space="preserve"> currently pending before the PUCO. </w:t>
      </w:r>
    </w:p>
  </w:footnote>
  <w:footnote w:id="6">
    <w:p w:rsidR="00CB59EE" w:rsidRPr="00402B3D" w:rsidP="006F23C5" w14:paraId="3494EE68" w14:textId="70CF8579">
      <w:pPr>
        <w:pStyle w:val="FootnoteText"/>
        <w:rPr>
          <w:i/>
          <w:iCs/>
        </w:rPr>
      </w:pPr>
      <w:r w:rsidRPr="00402B3D">
        <w:rPr>
          <w:rStyle w:val="FootnoteReference"/>
        </w:rPr>
        <w:footnoteRef/>
      </w:r>
      <w:r w:rsidRPr="00402B3D">
        <w:t xml:space="preserve"> </w:t>
      </w:r>
      <w:r w:rsidRPr="00402B3D">
        <w:rPr>
          <w:i/>
          <w:iCs/>
        </w:rPr>
        <w:t xml:space="preserve">In the Matter of </w:t>
      </w:r>
      <w:r w:rsidR="009D3769">
        <w:rPr>
          <w:i/>
          <w:iCs/>
        </w:rPr>
        <w:t>t</w:t>
      </w:r>
      <w:r w:rsidRPr="00402B3D">
        <w:rPr>
          <w:i/>
          <w:iCs/>
        </w:rPr>
        <w:t xml:space="preserve">he </w:t>
      </w:r>
      <w:r w:rsidR="009D3769">
        <w:rPr>
          <w:i/>
          <w:iCs/>
        </w:rPr>
        <w:t xml:space="preserve">Application of Ohio Power Company to Revise Reliability Performance Standards Pursuant to O.A.C. 4901:1-10—10(B)(7), </w:t>
      </w:r>
      <w:r w:rsidRPr="00DC74D6" w:rsidR="009D3769">
        <w:t>Application (June 1, 2020)</w:t>
      </w:r>
      <w:r w:rsidRPr="00DC74D6">
        <w:t>.</w:t>
      </w:r>
      <w:r w:rsidR="00CE2BC3">
        <w:t xml:space="preserve"> Also </w:t>
      </w:r>
      <w:r w:rsidRPr="00CB102B" w:rsidR="00CE2BC3">
        <w:rPr>
          <w:i/>
          <w:iCs/>
        </w:rPr>
        <w:t>see</w:t>
      </w:r>
      <w:r w:rsidR="00CE2BC3">
        <w:t xml:space="preserve"> the Amended Application (April 29, 2022).</w:t>
      </w:r>
      <w:r w:rsidRPr="00402B3D">
        <w:rPr>
          <w:i/>
          <w:iCs/>
        </w:rPr>
        <w:t xml:space="preserve"> </w:t>
      </w:r>
    </w:p>
  </w:footnote>
  <w:footnote w:id="7">
    <w:p w:rsidR="00CB59EE" w:rsidRPr="00402B3D" w:rsidP="006F23C5" w14:paraId="508AE1F3" w14:textId="24EC9FAE">
      <w:pPr>
        <w:pStyle w:val="FootnoteText"/>
      </w:pPr>
      <w:r w:rsidRPr="00402B3D">
        <w:rPr>
          <w:rStyle w:val="FootnoteReference"/>
        </w:rPr>
        <w:footnoteRef/>
      </w:r>
      <w:r w:rsidRPr="00402B3D">
        <w:t xml:space="preserve"> </w:t>
      </w:r>
      <w:r w:rsidR="00671657">
        <w:t>O.R.C.</w:t>
      </w:r>
      <w:r w:rsidRPr="00402B3D">
        <w:t xml:space="preserve"> 4928.11(A).</w:t>
      </w:r>
    </w:p>
  </w:footnote>
  <w:footnote w:id="8">
    <w:p w:rsidR="00CB59EE" w:rsidRPr="00402B3D" w:rsidP="006F23C5" w14:paraId="7B0AFCC4" w14:textId="5DE9F9F3">
      <w:pPr>
        <w:pStyle w:val="FootnoteText"/>
      </w:pPr>
      <w:r w:rsidRPr="00402B3D">
        <w:rPr>
          <w:rStyle w:val="FootnoteReference"/>
        </w:rPr>
        <w:footnoteRef/>
      </w:r>
      <w:r w:rsidRPr="00402B3D">
        <w:t xml:space="preserve"> </w:t>
      </w:r>
      <w:r w:rsidR="007F13A8">
        <w:t>O.A.C.</w:t>
      </w:r>
      <w:r w:rsidRPr="00402B3D">
        <w:t xml:space="preserve"> 4901:1-10-10(B)</w:t>
      </w:r>
      <w:r>
        <w:t>.</w:t>
      </w:r>
    </w:p>
  </w:footnote>
  <w:footnote w:id="9">
    <w:p w:rsidR="00CB59EE" w:rsidRPr="00402B3D" w:rsidP="006F23C5" w14:paraId="6F8FF512" w14:textId="77777777">
      <w:pPr>
        <w:pStyle w:val="FootnoteText"/>
      </w:pPr>
      <w:r w:rsidRPr="00402B3D">
        <w:rPr>
          <w:rStyle w:val="FootnoteReference"/>
        </w:rPr>
        <w:footnoteRef/>
      </w:r>
      <w:r w:rsidRPr="00402B3D">
        <w:t xml:space="preserve"> </w:t>
      </w:r>
      <w:r w:rsidRPr="00402B3D">
        <w:rPr>
          <w:i/>
          <w:iCs/>
        </w:rPr>
        <w:t>Id</w:t>
      </w:r>
      <w:r w:rsidRPr="00402B3D">
        <w:t xml:space="preserve">. </w:t>
      </w:r>
    </w:p>
  </w:footnote>
  <w:footnote w:id="10">
    <w:p w:rsidR="00CB59EE" w:rsidRPr="00402B3D" w:rsidP="006F23C5" w14:paraId="00B995C6" w14:textId="62C657E8">
      <w:pPr>
        <w:pStyle w:val="FootnoteText"/>
      </w:pPr>
      <w:r w:rsidRPr="00402B3D">
        <w:rPr>
          <w:rStyle w:val="FootnoteReference"/>
        </w:rPr>
        <w:footnoteRef/>
      </w:r>
      <w:r w:rsidRPr="00402B3D">
        <w:t xml:space="preserve"> </w:t>
      </w:r>
      <w:r w:rsidR="007F13A8">
        <w:t>O.A.C.</w:t>
      </w:r>
      <w:r w:rsidRPr="00402B3D">
        <w:t xml:space="preserve"> 4901:1-10-01(T) and (V)</w:t>
      </w:r>
      <w:r>
        <w:t xml:space="preserve">; </w:t>
      </w:r>
      <w:r w:rsidRPr="00402B3D">
        <w:rPr>
          <w:i/>
          <w:iCs/>
        </w:rPr>
        <w:t>see</w:t>
      </w:r>
      <w:r>
        <w:rPr>
          <w:i/>
          <w:iCs/>
        </w:rPr>
        <w:t xml:space="preserve"> also</w:t>
      </w:r>
      <w:r w:rsidRPr="00402B3D">
        <w:t xml:space="preserve"> </w:t>
      </w:r>
      <w:r w:rsidR="007F13A8">
        <w:t>O.A.C.</w:t>
      </w:r>
      <w:r w:rsidRPr="00402B3D">
        <w:t xml:space="preserve"> 4901:1-10-10(B)(4)(c). </w:t>
      </w:r>
    </w:p>
  </w:footnote>
  <w:footnote w:id="11">
    <w:p w:rsidR="000719AA" w:rsidP="006F23C5" w14:paraId="28C92598" w14:textId="7C7E821F">
      <w:pPr>
        <w:pStyle w:val="FootnoteText"/>
      </w:pPr>
      <w:r>
        <w:rPr>
          <w:rStyle w:val="FootnoteReference"/>
        </w:rPr>
        <w:footnoteRef/>
      </w:r>
      <w:r>
        <w:t xml:space="preserve"> Amended Application (April 29, 2022) at 13.</w:t>
      </w:r>
    </w:p>
  </w:footnote>
  <w:footnote w:id="12">
    <w:p w:rsidR="00CB59EE" w:rsidRPr="00402B3D" w:rsidP="006F23C5" w14:paraId="6AB38580" w14:textId="04EBA1C4">
      <w:pPr>
        <w:pStyle w:val="FootnoteText"/>
      </w:pPr>
      <w:r w:rsidRPr="00402B3D">
        <w:rPr>
          <w:rStyle w:val="FootnoteReference"/>
        </w:rPr>
        <w:footnoteRef/>
      </w:r>
      <w:r w:rsidRPr="00402B3D">
        <w:t xml:space="preserve"> </w:t>
      </w:r>
      <w:r w:rsidRPr="008F20CC" w:rsidR="00F44DDD">
        <w:rPr>
          <w:i/>
          <w:iCs/>
        </w:rPr>
        <w:t>In the Matter of the Establishment OF Minimum Reliability Performance Standards, Pursuant to Ohio Adm. Code 4901:1-10-10(B), for Ohio Power Company</w:t>
      </w:r>
      <w:r w:rsidR="00F44DDD">
        <w:t xml:space="preserve">, </w:t>
      </w:r>
      <w:r w:rsidR="000719AA">
        <w:t xml:space="preserve">Case No. 16-1511-EL-ESS, </w:t>
      </w:r>
      <w:r w:rsidR="00F44DDD">
        <w:t>Opinion and Order (February 7, 2018) at 4.</w:t>
      </w:r>
    </w:p>
  </w:footnote>
  <w:footnote w:id="13">
    <w:p w:rsidR="000719AA" w:rsidP="006F23C5" w14:paraId="3184B34A" w14:textId="1073C541">
      <w:pPr>
        <w:pStyle w:val="FootnoteText"/>
      </w:pPr>
      <w:r>
        <w:rPr>
          <w:rStyle w:val="FootnoteReference"/>
        </w:rPr>
        <w:footnoteRef/>
      </w:r>
      <w:r>
        <w:t xml:space="preserve"> Amended Application at 13. </w:t>
      </w:r>
    </w:p>
  </w:footnote>
  <w:footnote w:id="14">
    <w:p w:rsidR="00CB59EE" w:rsidRPr="00402B3D" w:rsidP="006F23C5" w14:paraId="04155EAA" w14:textId="0D14DF91">
      <w:pPr>
        <w:pStyle w:val="FootnoteText"/>
      </w:pPr>
      <w:r w:rsidRPr="00402B3D">
        <w:rPr>
          <w:rStyle w:val="FootnoteReference"/>
        </w:rPr>
        <w:footnoteRef/>
      </w:r>
      <w:r w:rsidRPr="00402B3D">
        <w:t xml:space="preserve"> </w:t>
      </w:r>
      <w:r w:rsidR="000719AA">
        <w:t>Case 16-1511-EL-ESS, Opinion and Order at 4.</w:t>
      </w:r>
    </w:p>
  </w:footnote>
  <w:footnote w:id="15">
    <w:p w:rsidR="007D4F1A" w:rsidP="006F23C5" w14:paraId="50F8C322" w14:textId="37DD6928">
      <w:pPr>
        <w:pStyle w:val="FootnoteText"/>
      </w:pPr>
      <w:r>
        <w:rPr>
          <w:rStyle w:val="FootnoteReference"/>
        </w:rPr>
        <w:footnoteRef/>
      </w:r>
      <w:r>
        <w:t xml:space="preserve"> R.C. 4928.02(A).</w:t>
      </w:r>
    </w:p>
  </w:footnote>
  <w:footnote w:id="16">
    <w:p w:rsidR="00CB59EE" w:rsidRPr="00402B3D" w:rsidP="006F23C5" w14:paraId="42DD528F" w14:textId="49D656BB">
      <w:pPr>
        <w:pStyle w:val="FootnoteText"/>
      </w:pPr>
      <w:r w:rsidRPr="00402B3D">
        <w:rPr>
          <w:rStyle w:val="FootnoteReference"/>
        </w:rPr>
        <w:footnoteRef/>
      </w:r>
      <w:r w:rsidRPr="00402B3D">
        <w:t xml:space="preserve"> </w:t>
      </w:r>
      <w:r w:rsidR="008E1882">
        <w:t>O.A.C.</w:t>
      </w:r>
      <w:r w:rsidRPr="00402B3D">
        <w:t xml:space="preserve"> 4901:1-10-10(B)(6)(e).</w:t>
      </w:r>
    </w:p>
  </w:footnote>
  <w:footnote w:id="17">
    <w:p w:rsidR="00062997" w:rsidP="006F23C5" w14:paraId="4763B56C" w14:textId="7416EBC4">
      <w:pPr>
        <w:pStyle w:val="FootnoteText"/>
      </w:pPr>
      <w:r>
        <w:rPr>
          <w:rStyle w:val="FootnoteReference"/>
        </w:rPr>
        <w:footnoteRef/>
      </w:r>
      <w:r>
        <w:t xml:space="preserve"> O.A.C. 3901:1-10-10(B)(4)(</w:t>
      </w:r>
      <w:r w:rsidR="005A56F9">
        <w:t>b)</w:t>
      </w:r>
      <w:r w:rsidR="00BF5AA2">
        <w:t>.</w:t>
      </w:r>
    </w:p>
  </w:footnote>
  <w:footnote w:id="18">
    <w:p w:rsidR="00CB59EE" w:rsidRPr="00402B3D" w:rsidP="006F23C5" w14:paraId="3FB517A2" w14:textId="77777777">
      <w:pPr>
        <w:pStyle w:val="FootnoteText"/>
      </w:pPr>
      <w:r w:rsidRPr="00402B3D">
        <w:rPr>
          <w:rStyle w:val="FootnoteReference"/>
        </w:rPr>
        <w:footnoteRef/>
      </w:r>
      <w:r w:rsidRPr="00402B3D">
        <w:t xml:space="preserve"> </w:t>
      </w:r>
      <w:r w:rsidRPr="00402B3D">
        <w:rPr>
          <w:i/>
          <w:iCs/>
        </w:rPr>
        <w:t>Id</w:t>
      </w:r>
      <w:r w:rsidRPr="00402B3D">
        <w:t>.</w:t>
      </w:r>
    </w:p>
  </w:footnote>
  <w:footnote w:id="19">
    <w:p w:rsidR="0031635E" w:rsidRPr="00402B3D" w:rsidP="006F23C5" w14:paraId="593E9D41" w14:textId="248CB92C">
      <w:pPr>
        <w:pStyle w:val="FootnoteText"/>
      </w:pPr>
      <w:r w:rsidRPr="00402B3D">
        <w:rPr>
          <w:rStyle w:val="FootnoteReference"/>
        </w:rPr>
        <w:footnoteRef/>
      </w:r>
      <w:r w:rsidRPr="00402B3D">
        <w:t xml:space="preserve"> </w:t>
      </w:r>
      <w:r w:rsidRPr="00402B3D">
        <w:rPr>
          <w:i/>
          <w:iCs/>
        </w:rPr>
        <w:t xml:space="preserve">In the Matter of the </w:t>
      </w:r>
      <w:r w:rsidR="00132D38">
        <w:rPr>
          <w:i/>
          <w:iCs/>
        </w:rPr>
        <w:t>Establishment of Minimum Reliability Performance Standards, Pursu</w:t>
      </w:r>
      <w:r w:rsidR="00540588">
        <w:rPr>
          <w:i/>
          <w:iCs/>
        </w:rPr>
        <w:t xml:space="preserve">ant </w:t>
      </w:r>
      <w:r w:rsidR="00132D38">
        <w:rPr>
          <w:i/>
          <w:iCs/>
        </w:rPr>
        <w:t xml:space="preserve">to Ohio Adm. Code 4901:1-10-10(B), </w:t>
      </w:r>
      <w:r w:rsidR="0064215B">
        <w:rPr>
          <w:i/>
          <w:iCs/>
        </w:rPr>
        <w:t>f</w:t>
      </w:r>
      <w:r w:rsidR="00132D38">
        <w:rPr>
          <w:i/>
          <w:iCs/>
        </w:rPr>
        <w:t>or Ohio Power Company</w:t>
      </w:r>
      <w:r w:rsidR="0064215B">
        <w:rPr>
          <w:i/>
          <w:iCs/>
        </w:rPr>
        <w:t>,</w:t>
      </w:r>
      <w:r w:rsidR="00132D38">
        <w:rPr>
          <w:i/>
          <w:iCs/>
        </w:rPr>
        <w:t xml:space="preserve"> </w:t>
      </w:r>
      <w:r w:rsidRPr="00874AB4" w:rsidR="00132D38">
        <w:t>Opinion and Order (February 7, 2018) at 4</w:t>
      </w:r>
      <w:r w:rsidRPr="00402B3D">
        <w:rPr>
          <w:i/>
          <w:iCs/>
        </w:rPr>
        <w:t>.</w:t>
      </w:r>
    </w:p>
  </w:footnote>
  <w:footnote w:id="20">
    <w:p w:rsidR="00132D38" w:rsidRPr="00540588" w:rsidP="006F23C5" w14:paraId="29A195B0" w14:textId="7DCBBE7F">
      <w:pPr>
        <w:pStyle w:val="FootnoteText"/>
        <w:rPr>
          <w:i/>
          <w:iCs/>
        </w:rPr>
      </w:pPr>
      <w:r>
        <w:rPr>
          <w:rStyle w:val="FootnoteReference"/>
        </w:rPr>
        <w:footnoteRef/>
      </w:r>
      <w:r>
        <w:t xml:space="preserve"> </w:t>
      </w:r>
      <w:r w:rsidR="00540588">
        <w:rPr>
          <w:i/>
          <w:iCs/>
        </w:rPr>
        <w:t>Id. at 5.</w:t>
      </w:r>
    </w:p>
  </w:footnote>
  <w:footnote w:id="21">
    <w:p w:rsidR="002C4F3B" w:rsidP="006F23C5" w14:paraId="1B96C3DA" w14:textId="1D9E225C">
      <w:pPr>
        <w:pStyle w:val="FootnoteText"/>
      </w:pPr>
      <w:r>
        <w:rPr>
          <w:rStyle w:val="FootnoteReference"/>
        </w:rPr>
        <w:footnoteRef/>
      </w:r>
      <w:r>
        <w:t xml:space="preserve"> </w:t>
      </w:r>
      <w:r w:rsidRPr="00874AB4">
        <w:rPr>
          <w:i/>
          <w:iCs/>
        </w:rPr>
        <w:t xml:space="preserve">In the Matter of the Commission’s Review of </w:t>
      </w:r>
      <w:r w:rsidR="00F336BC">
        <w:rPr>
          <w:i/>
          <w:iCs/>
        </w:rPr>
        <w:t>I</w:t>
      </w:r>
      <w:r w:rsidRPr="00874AB4">
        <w:rPr>
          <w:i/>
          <w:iCs/>
        </w:rPr>
        <w:t xml:space="preserve">ts Rules </w:t>
      </w:r>
      <w:r w:rsidRPr="00874AB4" w:rsidR="0064215B">
        <w:rPr>
          <w:i/>
          <w:iCs/>
        </w:rPr>
        <w:t>for</w:t>
      </w:r>
      <w:r w:rsidRPr="00874AB4">
        <w:rPr>
          <w:i/>
          <w:iCs/>
        </w:rPr>
        <w:t xml:space="preserve"> Electric Safety and Service Standards Contained in Chapter 4901:1-10 of the Ohio Administrative Code</w:t>
      </w:r>
      <w:r>
        <w:t>, Case No. 17-1842-EL-ORD</w:t>
      </w:r>
      <w:r w:rsidR="00E35324">
        <w:t>, Finding and Order (February 26, 2020).</w:t>
      </w:r>
    </w:p>
  </w:footnote>
  <w:footnote w:id="22">
    <w:p w:rsidR="00761E8A" w:rsidP="006F23C5" w14:paraId="495B3DE9" w14:textId="6F2C9599">
      <w:pPr>
        <w:pStyle w:val="FootnoteText"/>
      </w:pPr>
      <w:r>
        <w:rPr>
          <w:rStyle w:val="FootnoteReference"/>
        </w:rPr>
        <w:footnoteRef/>
      </w:r>
      <w:r>
        <w:t xml:space="preserve"> </w:t>
      </w:r>
      <w:r w:rsidR="008E1882">
        <w:t>O.A.C.</w:t>
      </w:r>
      <w:r w:rsidR="008511B9">
        <w:t xml:space="preserve"> 4901:1-10-01(T)</w:t>
      </w:r>
      <w:r w:rsidR="00A8478B">
        <w:t>.</w:t>
      </w:r>
    </w:p>
  </w:footnote>
  <w:footnote w:id="23">
    <w:p w:rsidR="00761E8A" w:rsidP="006F23C5" w14:paraId="209E35F0" w14:textId="1DD27517">
      <w:pPr>
        <w:pStyle w:val="FootnoteText"/>
      </w:pPr>
      <w:r>
        <w:rPr>
          <w:rStyle w:val="FootnoteReference"/>
        </w:rPr>
        <w:footnoteRef/>
      </w:r>
      <w:r>
        <w:t xml:space="preserve"> </w:t>
      </w:r>
      <w:r w:rsidRPr="00855113" w:rsidR="0053658D">
        <w:rPr>
          <w:i/>
          <w:iCs/>
        </w:rPr>
        <w:t>Id</w:t>
      </w:r>
      <w:r w:rsidR="0053658D">
        <w:t>.</w:t>
      </w:r>
    </w:p>
  </w:footnote>
  <w:footnote w:id="24">
    <w:p w:rsidR="0031635E" w:rsidRPr="00402B3D" w:rsidP="006F23C5" w14:paraId="5223ABEA" w14:textId="3612E964">
      <w:pPr>
        <w:pStyle w:val="FootnoteText"/>
      </w:pPr>
      <w:r w:rsidRPr="00402B3D">
        <w:rPr>
          <w:rStyle w:val="FootnoteReference"/>
        </w:rPr>
        <w:footnoteRef/>
      </w:r>
      <w:r w:rsidRPr="00402B3D">
        <w:t xml:space="preserve"> </w:t>
      </w:r>
      <w:r w:rsidRPr="00402B3D">
        <w:rPr>
          <w:rStyle w:val="markedcontent"/>
          <w:i/>
          <w:iCs/>
        </w:rPr>
        <w:t xml:space="preserve">In </w:t>
      </w:r>
      <w:r w:rsidR="00344BA8">
        <w:rPr>
          <w:rStyle w:val="markedcontent"/>
          <w:i/>
          <w:iCs/>
        </w:rPr>
        <w:t>t</w:t>
      </w:r>
      <w:r w:rsidRPr="00402B3D">
        <w:rPr>
          <w:rStyle w:val="markedcontent"/>
          <w:i/>
          <w:iCs/>
        </w:rPr>
        <w:t xml:space="preserve">he Matter of the Commission’s Review of </w:t>
      </w:r>
      <w:r w:rsidR="00344BA8">
        <w:rPr>
          <w:rStyle w:val="markedcontent"/>
          <w:i/>
          <w:iCs/>
        </w:rPr>
        <w:t>I</w:t>
      </w:r>
      <w:r w:rsidRPr="00402B3D">
        <w:rPr>
          <w:rStyle w:val="markedcontent"/>
          <w:i/>
          <w:iCs/>
        </w:rPr>
        <w:t>ts Rules for Electrical Safety and Service Standards Contained in Chapter 4901:1-10 of the Ohio Administrative Code</w:t>
      </w:r>
      <w:r w:rsidR="00750748">
        <w:rPr>
          <w:rStyle w:val="markedcontent"/>
        </w:rPr>
        <w:t>,</w:t>
      </w:r>
      <w:r w:rsidRPr="00402B3D">
        <w:rPr>
          <w:rStyle w:val="markedcontent"/>
        </w:rPr>
        <w:t xml:space="preserve"> Case No. 17-1842-EL-ORD, Finding and Order (February 26, 2020) at 7.</w:t>
      </w:r>
    </w:p>
  </w:footnote>
  <w:footnote w:id="25">
    <w:p w:rsidR="0031635E" w:rsidRPr="00402B3D" w:rsidP="006F23C5" w14:paraId="3D872007" w14:textId="2024C23D">
      <w:pPr>
        <w:pStyle w:val="FootnoteText"/>
      </w:pPr>
      <w:r w:rsidRPr="00402B3D">
        <w:rPr>
          <w:rStyle w:val="FootnoteReference"/>
        </w:rPr>
        <w:footnoteRef/>
      </w:r>
      <w:r w:rsidRPr="00402B3D">
        <w:t xml:space="preserve"> </w:t>
      </w:r>
      <w:r w:rsidR="008E1882">
        <w:t>O.A.C.</w:t>
      </w:r>
      <w:r w:rsidRPr="00402B3D">
        <w:t xml:space="preserve"> 4901:1-0-10(C)</w:t>
      </w:r>
      <w:r w:rsidR="00402B3D">
        <w:t>.</w:t>
      </w:r>
    </w:p>
  </w:footnote>
  <w:footnote w:id="26">
    <w:p w:rsidR="008810F7" w:rsidP="006F23C5" w14:paraId="5BCD1475" w14:textId="2296E1DD">
      <w:pPr>
        <w:pStyle w:val="FootnoteText"/>
      </w:pPr>
      <w:r>
        <w:rPr>
          <w:rStyle w:val="FootnoteReference"/>
        </w:rPr>
        <w:footnoteRef/>
      </w:r>
      <w:r>
        <w:t xml:space="preserve"> </w:t>
      </w:r>
      <w:r w:rsidRPr="008F20CC">
        <w:rPr>
          <w:i/>
          <w:iCs/>
        </w:rPr>
        <w:t>In the Matter of the Annual Report of Pursuant to Rule 10 of the Electric Service and Safety Standards, Ohio Administrative Code 4901:1-10-10</w:t>
      </w:r>
      <w:r>
        <w:t>, Case No. 14-517-EL-ESS (March 31, 2014).</w:t>
      </w:r>
    </w:p>
  </w:footnote>
  <w:footnote w:id="27">
    <w:p w:rsidR="008810F7" w:rsidP="006F23C5" w14:paraId="1FBDCA29" w14:textId="2CD264A4">
      <w:pPr>
        <w:pStyle w:val="FootnoteText"/>
      </w:pPr>
      <w:r>
        <w:rPr>
          <w:rStyle w:val="FootnoteReference"/>
        </w:rPr>
        <w:footnoteRef/>
      </w:r>
      <w:r>
        <w:t xml:space="preserve"> </w:t>
      </w:r>
      <w:r w:rsidRPr="008F20CC">
        <w:rPr>
          <w:i/>
          <w:iCs/>
        </w:rPr>
        <w:t>In the Matter of the Annual Report of Pursuant to Rule 10 of the Electric Service and Safety Standards, Ohio Administrative Code 4901:1-10-10</w:t>
      </w:r>
      <w:r>
        <w:t xml:space="preserve">, Case No. 15-627-EL-ESS (March 30, 2015). </w:t>
      </w:r>
    </w:p>
  </w:footnote>
  <w:footnote w:id="28">
    <w:p w:rsidR="008810F7" w:rsidP="006F23C5" w14:paraId="1D0BD7AD" w14:textId="57CD4191">
      <w:pPr>
        <w:pStyle w:val="FootnoteText"/>
      </w:pPr>
      <w:r>
        <w:rPr>
          <w:rStyle w:val="FootnoteReference"/>
        </w:rPr>
        <w:footnoteRef/>
      </w:r>
      <w:r>
        <w:t xml:space="preserve"> </w:t>
      </w:r>
      <w:r w:rsidRPr="008F20CC">
        <w:rPr>
          <w:i/>
          <w:iCs/>
        </w:rPr>
        <w:t>In the Matter of the Annual Report of Pursuant to Rule 10 of the Electric Service and Safety Standards, Ohio Administrative Code 4901:1-10-10</w:t>
      </w:r>
      <w:r>
        <w:t>, Case No. 16-0550-EL-ESS (March 31, 2016).</w:t>
      </w:r>
    </w:p>
  </w:footnote>
  <w:footnote w:id="29">
    <w:p w:rsidR="008810F7" w:rsidP="006F23C5" w14:paraId="49922EC0" w14:textId="3F0D9DB1">
      <w:pPr>
        <w:pStyle w:val="FootnoteText"/>
      </w:pPr>
      <w:r>
        <w:rPr>
          <w:rStyle w:val="FootnoteReference"/>
        </w:rPr>
        <w:footnoteRef/>
      </w:r>
      <w:r>
        <w:t xml:space="preserve"> </w:t>
      </w:r>
      <w:r w:rsidRPr="008F20CC">
        <w:rPr>
          <w:i/>
          <w:iCs/>
        </w:rPr>
        <w:t>In the Matter of the Annual Report of Pursuant to Rule 10 of the Electric Service and Safety Standards, Ohio Administrative Code 4901:1-10-10</w:t>
      </w:r>
      <w:r>
        <w:t>, Case No. 17-890-EL-ESS (March 31, 2017).</w:t>
      </w:r>
    </w:p>
  </w:footnote>
  <w:footnote w:id="30">
    <w:p w:rsidR="008810F7" w:rsidP="006F23C5" w14:paraId="5AA4007D" w14:textId="079475FD">
      <w:pPr>
        <w:pStyle w:val="FootnoteText"/>
      </w:pPr>
      <w:r>
        <w:rPr>
          <w:rStyle w:val="FootnoteReference"/>
        </w:rPr>
        <w:footnoteRef/>
      </w:r>
      <w:r>
        <w:t xml:space="preserve"> </w:t>
      </w:r>
      <w:r w:rsidRPr="008F20CC">
        <w:rPr>
          <w:i/>
          <w:iCs/>
        </w:rPr>
        <w:t>In the Matter of the Annual Report of Pursuant to Rule 10 of the Electric Service and Safety Standards, Ohio Administrative Code 4901:1-10-10</w:t>
      </w:r>
      <w:r>
        <w:t>, Case No. 18-992-EL-ESS (March 29, 2018).</w:t>
      </w:r>
    </w:p>
  </w:footnote>
  <w:footnote w:id="31">
    <w:p w:rsidR="008810F7" w:rsidP="006F23C5" w14:paraId="5048836A" w14:textId="0C15F25D">
      <w:pPr>
        <w:pStyle w:val="FootnoteText"/>
      </w:pPr>
      <w:r>
        <w:rPr>
          <w:rStyle w:val="FootnoteReference"/>
        </w:rPr>
        <w:footnoteRef/>
      </w:r>
      <w:r>
        <w:t xml:space="preserve"> </w:t>
      </w:r>
      <w:r w:rsidRPr="008F20CC">
        <w:rPr>
          <w:i/>
          <w:iCs/>
        </w:rPr>
        <w:t>In the Matter of the Annual Report of Pursuant to Rule 10 of the Electric Service and Safety Standards, Ohio Administrative Code 4901:1-10-10</w:t>
      </w:r>
      <w:r>
        <w:t>, Case No. 19-992-EL-ESS (March 29, 2019).</w:t>
      </w:r>
    </w:p>
  </w:footnote>
  <w:footnote w:id="32">
    <w:p w:rsidR="008810F7" w:rsidP="006F23C5" w14:paraId="1765BF16" w14:textId="689E54FB">
      <w:pPr>
        <w:pStyle w:val="FootnoteText"/>
      </w:pPr>
      <w:r>
        <w:rPr>
          <w:rStyle w:val="FootnoteReference"/>
        </w:rPr>
        <w:footnoteRef/>
      </w:r>
      <w:r>
        <w:t xml:space="preserve"> </w:t>
      </w:r>
      <w:r w:rsidRPr="008F20CC">
        <w:rPr>
          <w:i/>
          <w:iCs/>
        </w:rPr>
        <w:t>In the Matter of the Annual Report of Pursuant to Rule 10 of the Electric Service and Safety Standards, Ohio Administrative Code 4901:1-10-10</w:t>
      </w:r>
      <w:r>
        <w:t>, Case No. 20-992-EL-ESS (March 31, 2020).</w:t>
      </w:r>
    </w:p>
  </w:footnote>
  <w:footnote w:id="33">
    <w:p w:rsidR="008810F7" w:rsidP="006F23C5" w14:paraId="41AE2A36" w14:textId="56A2EF78">
      <w:pPr>
        <w:pStyle w:val="FootnoteText"/>
      </w:pPr>
      <w:r>
        <w:rPr>
          <w:rStyle w:val="FootnoteReference"/>
        </w:rPr>
        <w:footnoteRef/>
      </w:r>
      <w:r>
        <w:t xml:space="preserve"> </w:t>
      </w:r>
      <w:r w:rsidRPr="008F20CC">
        <w:rPr>
          <w:i/>
          <w:iCs/>
        </w:rPr>
        <w:t>In the Matter of the Annual Report of Pursuant to Rule 10 of the Electric Service and Safety Standards, Ohio Administrative Code 4901:1-10-10</w:t>
      </w:r>
      <w:r>
        <w:t xml:space="preserve">, Case No. 21-992-EL-ESS (March 31, 221). </w:t>
      </w:r>
    </w:p>
  </w:footnote>
  <w:footnote w:id="34">
    <w:p w:rsidR="008810F7" w:rsidP="006F23C5" w14:paraId="5037287F" w14:textId="0000C3A8">
      <w:pPr>
        <w:pStyle w:val="FootnoteText"/>
      </w:pPr>
      <w:r>
        <w:rPr>
          <w:rStyle w:val="FootnoteReference"/>
        </w:rPr>
        <w:footnoteRef/>
      </w:r>
      <w:r>
        <w:t xml:space="preserve"> </w:t>
      </w:r>
      <w:r w:rsidRPr="008F20CC">
        <w:rPr>
          <w:i/>
          <w:iCs/>
        </w:rPr>
        <w:t>In the Matter of the Annual Report of Pursuant to Rule 10 of the Electric Service and Safety Standards, Ohio Administrative Code 4901:1-10-10</w:t>
      </w:r>
      <w:r>
        <w:t>, Case No. 22-</w:t>
      </w:r>
      <w:r w:rsidR="00492842">
        <w:t>992-EL-ESS (March 30, 2022).</w:t>
      </w:r>
    </w:p>
  </w:footnote>
  <w:footnote w:id="35">
    <w:p w:rsidR="0031635E" w:rsidRPr="00402B3D" w:rsidP="006F23C5" w14:paraId="03E4753A" w14:textId="19C3ECAB">
      <w:pPr>
        <w:pStyle w:val="FootnoteText"/>
      </w:pPr>
      <w:r w:rsidRPr="00402B3D">
        <w:rPr>
          <w:rStyle w:val="FootnoteReference"/>
        </w:rPr>
        <w:footnoteRef/>
      </w:r>
      <w:r w:rsidRPr="00402B3D">
        <w:t xml:space="preserve"> </w:t>
      </w:r>
      <w:r w:rsidR="00D57536">
        <w:t xml:space="preserve">Amended </w:t>
      </w:r>
      <w:r w:rsidRPr="00402B3D">
        <w:t>Application</w:t>
      </w:r>
      <w:r w:rsidR="00D57536">
        <w:t>, Attachment 1</w:t>
      </w:r>
      <w:r w:rsidR="00402B3D">
        <w:t>.</w:t>
      </w:r>
      <w:r w:rsidR="00D57536">
        <w:t xml:space="preserve"> </w:t>
      </w:r>
    </w:p>
  </w:footnote>
  <w:footnote w:id="36">
    <w:p w:rsidR="0031635E" w:rsidRPr="00402B3D" w:rsidP="006F23C5" w14:paraId="7F56CB34" w14:textId="2B742E8E">
      <w:pPr>
        <w:pStyle w:val="FootnoteText"/>
      </w:pPr>
      <w:r w:rsidRPr="00402B3D">
        <w:rPr>
          <w:rStyle w:val="FootnoteReference"/>
        </w:rPr>
        <w:footnoteRef/>
      </w:r>
      <w:r w:rsidRPr="00402B3D">
        <w:t xml:space="preserve"> </w:t>
      </w:r>
      <w:r w:rsidR="006412A7">
        <w:t xml:space="preserve">Amended </w:t>
      </w:r>
      <w:r w:rsidRPr="00402B3D">
        <w:t xml:space="preserve">Application at </w:t>
      </w:r>
      <w:r w:rsidR="002C47F7">
        <w:t>13</w:t>
      </w:r>
      <w:r w:rsidRPr="00402B3D">
        <w:t>.</w:t>
      </w:r>
    </w:p>
  </w:footnote>
  <w:footnote w:id="37">
    <w:p w:rsidR="0031635E" w:rsidRPr="00402B3D" w:rsidP="006F23C5" w14:paraId="3FBE7C28" w14:textId="6E609071">
      <w:pPr>
        <w:pStyle w:val="FootnoteText"/>
      </w:pPr>
      <w:r w:rsidRPr="00402B3D">
        <w:rPr>
          <w:rStyle w:val="FootnoteReference"/>
        </w:rPr>
        <w:footnoteRef/>
      </w:r>
      <w:r w:rsidRPr="00402B3D">
        <w:t xml:space="preserve"> </w:t>
      </w:r>
      <w:r w:rsidR="00B671DE">
        <w:t>O.A.C.</w:t>
      </w:r>
      <w:r w:rsidRPr="00402B3D">
        <w:t xml:space="preserve"> 4901:1-10-10(B)(4)(a)</w:t>
      </w:r>
      <w:r w:rsidR="003918B2">
        <w:t>.</w:t>
      </w:r>
    </w:p>
  </w:footnote>
  <w:footnote w:id="38">
    <w:p w:rsidR="00402B3D" w:rsidRPr="00402B3D" w:rsidP="006F23C5" w14:paraId="29FE046C" w14:textId="51F5AEF1">
      <w:pPr>
        <w:spacing w:after="120"/>
        <w:rPr>
          <w:sz w:val="20"/>
        </w:rPr>
      </w:pPr>
      <w:r w:rsidRPr="00402B3D">
        <w:rPr>
          <w:rStyle w:val="FootnoteReference"/>
          <w:sz w:val="20"/>
        </w:rPr>
        <w:footnoteRef/>
      </w:r>
      <w:r w:rsidRPr="00402B3D">
        <w:rPr>
          <w:sz w:val="20"/>
        </w:rPr>
        <w:t xml:space="preserve"> </w:t>
      </w:r>
      <w:r w:rsidR="00B573BF">
        <w:rPr>
          <w:sz w:val="20"/>
        </w:rPr>
        <w:t xml:space="preserve">Amended </w:t>
      </w:r>
      <w:r w:rsidRPr="00402B3D">
        <w:rPr>
          <w:sz w:val="20"/>
        </w:rPr>
        <w:t xml:space="preserve">Application at </w:t>
      </w:r>
      <w:r w:rsidR="00B573BF">
        <w:rPr>
          <w:sz w:val="20"/>
        </w:rPr>
        <w:t>12</w:t>
      </w:r>
      <w:r w:rsidRPr="00402B3D">
        <w:rPr>
          <w:sz w:val="20"/>
        </w:rPr>
        <w:t>.</w:t>
      </w:r>
    </w:p>
  </w:footnote>
  <w:footnote w:id="39">
    <w:p w:rsidR="00A97D61" w:rsidP="006F23C5" w14:paraId="17004B43" w14:textId="2B6EB9CD">
      <w:pPr>
        <w:pStyle w:val="FootnoteText"/>
      </w:pPr>
      <w:r>
        <w:rPr>
          <w:rStyle w:val="FootnoteReference"/>
        </w:rPr>
        <w:footnoteRef/>
      </w:r>
      <w:r>
        <w:t xml:space="preserve"> O.A.C. 4901:1-10-10</w:t>
      </w:r>
      <w:r w:rsidR="009B2B49">
        <w:t>(B)(5).</w:t>
      </w:r>
    </w:p>
  </w:footnote>
  <w:footnote w:id="40">
    <w:p w:rsidR="00681DBB" w:rsidP="006F23C5" w14:paraId="5EF977A7" w14:textId="37F2BCD4">
      <w:pPr>
        <w:pStyle w:val="FootnoteText"/>
      </w:pPr>
      <w:r>
        <w:rPr>
          <w:rStyle w:val="FootnoteReference"/>
        </w:rPr>
        <w:footnoteRef/>
      </w:r>
      <w:r>
        <w:t xml:space="preserve"> </w:t>
      </w:r>
      <w:r w:rsidRPr="008F20CC">
        <w:rPr>
          <w:i/>
          <w:iCs/>
        </w:rPr>
        <w:t>Id</w:t>
      </w:r>
      <w:r>
        <w:t>.</w:t>
      </w:r>
    </w:p>
  </w:footnote>
  <w:footnote w:id="41">
    <w:p w:rsidR="00B312E0" w:rsidP="006F23C5" w14:paraId="3DBA2112" w14:textId="09284226">
      <w:pPr>
        <w:pStyle w:val="FootnoteText"/>
      </w:pPr>
      <w:r>
        <w:rPr>
          <w:rStyle w:val="FootnoteReference"/>
        </w:rPr>
        <w:footnoteRef/>
      </w:r>
      <w:r>
        <w:t xml:space="preserve"> R.C. 4928.11.</w:t>
      </w:r>
    </w:p>
  </w:footnote>
  <w:footnote w:id="42">
    <w:p w:rsidR="003E342D" w:rsidRPr="003E342D" w:rsidP="006F23C5" w14:paraId="61A26AD1" w14:textId="10E4BE9C">
      <w:pPr>
        <w:pStyle w:val="FootnoteText"/>
        <w:rPr>
          <w:i/>
          <w:iCs/>
        </w:rPr>
      </w:pPr>
      <w:r>
        <w:rPr>
          <w:rStyle w:val="FootnoteReference"/>
        </w:rPr>
        <w:footnoteRef/>
      </w:r>
      <w:r>
        <w:t xml:space="preserve"> </w:t>
      </w:r>
      <w:r>
        <w:rPr>
          <w:i/>
          <w:iCs/>
        </w:rPr>
        <w:t xml:space="preserve">In the </w:t>
      </w:r>
      <w:r w:rsidR="00301D38">
        <w:rPr>
          <w:i/>
          <w:iCs/>
        </w:rPr>
        <w:t>M</w:t>
      </w:r>
      <w:r>
        <w:rPr>
          <w:i/>
          <w:iCs/>
        </w:rPr>
        <w:t xml:space="preserve">atter of the Application of Ohio Power Company to Initiate Phase 2 of its gridSMART Project and to Establish a gridSMART Phase 2 Rider, </w:t>
      </w:r>
      <w:r>
        <w:t xml:space="preserve">Case No. 13-1939-EL-RDR, Stipulation and Recommendation (April 7, 2016) at </w:t>
      </w:r>
      <w:r w:rsidR="00D22A80">
        <w:t>6.</w:t>
      </w:r>
      <w:r>
        <w:rPr>
          <w:i/>
          <w:iCs/>
        </w:rPr>
        <w:t xml:space="preserve"> </w:t>
      </w:r>
    </w:p>
  </w:footnote>
  <w:footnote w:id="43">
    <w:p w:rsidR="009D5757" w:rsidRPr="009D5757" w:rsidP="006F23C5" w14:paraId="14FF3E53" w14:textId="7DCA6356">
      <w:pPr>
        <w:pStyle w:val="FootnoteText"/>
      </w:pPr>
      <w:r>
        <w:rPr>
          <w:rStyle w:val="FootnoteReference"/>
        </w:rPr>
        <w:footnoteRef/>
      </w:r>
      <w:r>
        <w:t xml:space="preserve"> </w:t>
      </w:r>
      <w:r w:rsidRPr="00971591">
        <w:rPr>
          <w:i/>
          <w:iCs/>
        </w:rPr>
        <w:t>In the Matter of the Application of Ohio Power Company for an Increase in Electric Distribution Rates</w:t>
      </w:r>
      <w:r w:rsidRPr="00971591">
        <w:t xml:space="preserve">, Case No. 20-585-EL-AIR, Joint Stipulation and Recommendation (May 11, 2021) at </w:t>
      </w:r>
      <w:r w:rsidRPr="00971591" w:rsidR="007325C3">
        <w:t>7</w:t>
      </w:r>
      <w:r w:rsidRPr="00971591">
        <w:t>.</w:t>
      </w:r>
    </w:p>
  </w:footnote>
  <w:footnote w:id="44">
    <w:p w:rsidR="001E6A06" w:rsidRPr="00301D38" w:rsidP="006F23C5" w14:paraId="59B13E1C" w14:textId="22667243">
      <w:pPr>
        <w:pStyle w:val="FootnoteText"/>
        <w:rPr>
          <w:i/>
          <w:iCs/>
        </w:rPr>
      </w:pPr>
      <w:r>
        <w:rPr>
          <w:rStyle w:val="FootnoteReference"/>
        </w:rPr>
        <w:footnoteRef/>
      </w:r>
      <w:r>
        <w:t xml:space="preserve"> </w:t>
      </w:r>
      <w:r>
        <w:rPr>
          <w:i/>
          <w:iCs/>
        </w:rPr>
        <w:t>Id.</w:t>
      </w:r>
    </w:p>
  </w:footnote>
  <w:footnote w:id="45">
    <w:p w:rsidR="00BB1D33" w:rsidP="006F23C5" w14:paraId="24FF99DA" w14:textId="7911B747">
      <w:pPr>
        <w:pStyle w:val="FootnoteText"/>
      </w:pPr>
      <w:r>
        <w:rPr>
          <w:rStyle w:val="FootnoteReference"/>
        </w:rPr>
        <w:footnoteRef/>
      </w:r>
      <w:r>
        <w:t xml:space="preserve"> </w:t>
      </w:r>
      <w:r w:rsidRPr="00971591">
        <w:rPr>
          <w:i/>
          <w:iCs/>
        </w:rPr>
        <w:t>Id</w:t>
      </w:r>
      <w:r>
        <w:t>. at 6</w:t>
      </w:r>
      <w:r w:rsidR="00AC0E9B">
        <w:t>.</w:t>
      </w:r>
    </w:p>
  </w:footnote>
  <w:footnote w:id="46">
    <w:p w:rsidR="00BB1D33" w:rsidP="006F23C5" w14:paraId="1F1B614C" w14:textId="318C594F">
      <w:pPr>
        <w:pStyle w:val="FootnoteText"/>
      </w:pPr>
      <w:r>
        <w:rPr>
          <w:rStyle w:val="FootnoteReference"/>
        </w:rPr>
        <w:footnoteRef/>
      </w:r>
      <w:r>
        <w:t xml:space="preserve"> </w:t>
      </w:r>
      <w:r w:rsidRPr="00971591">
        <w:rPr>
          <w:i/>
          <w:iCs/>
        </w:rPr>
        <w:t>Id</w:t>
      </w:r>
      <w:r>
        <w:t>.</w:t>
      </w:r>
    </w:p>
  </w:footnote>
  <w:footnote w:id="47">
    <w:p w:rsidR="00D65898" w:rsidP="006F23C5" w14:paraId="0104858A" w14:textId="208ED35B">
      <w:pPr>
        <w:pStyle w:val="FootnoteText"/>
      </w:pPr>
      <w:r>
        <w:rPr>
          <w:rStyle w:val="FootnoteReference"/>
        </w:rPr>
        <w:footnoteRef/>
      </w:r>
      <w:r>
        <w:t xml:space="preserve"> O.A.C. 4901:1-0-27(E)</w:t>
      </w:r>
      <w:r w:rsidR="00AC0E9B">
        <w:t>.</w:t>
      </w:r>
    </w:p>
  </w:footnote>
  <w:footnote w:id="48">
    <w:p w:rsidR="00D65898" w:rsidRPr="00301D38" w:rsidP="006F23C5" w14:paraId="1BEDD114" w14:textId="68D67727">
      <w:pPr>
        <w:pStyle w:val="FootnoteText"/>
        <w:rPr>
          <w:i/>
          <w:iCs/>
        </w:rPr>
      </w:pPr>
      <w:r>
        <w:rPr>
          <w:rStyle w:val="FootnoteReference"/>
        </w:rPr>
        <w:footnoteRef/>
      </w:r>
      <w:r>
        <w:t xml:space="preserve"> </w:t>
      </w:r>
      <w:r>
        <w:rPr>
          <w:i/>
          <w:iCs/>
        </w:rPr>
        <w:t>Id.</w:t>
      </w:r>
    </w:p>
  </w:footnote>
  <w:footnote w:id="49">
    <w:p w:rsidR="00036928" w:rsidRPr="00036928" w:rsidP="006F23C5" w14:paraId="2657CB19" w14:textId="73060A31">
      <w:pPr>
        <w:pStyle w:val="FootnoteText"/>
      </w:pPr>
      <w:r>
        <w:rPr>
          <w:rStyle w:val="FootnoteReference"/>
        </w:rPr>
        <w:footnoteRef/>
      </w:r>
      <w:r>
        <w:t xml:space="preserve"> </w:t>
      </w:r>
      <w:r>
        <w:rPr>
          <w:i/>
          <w:iCs/>
        </w:rPr>
        <w:t xml:space="preserve">See </w:t>
      </w:r>
      <w:r>
        <w:t>OCC’s Motions (</w:t>
      </w:r>
      <w:r w:rsidR="00050D2C">
        <w:t>July 11, 2022).</w:t>
      </w:r>
    </w:p>
  </w:footnote>
  <w:footnote w:id="50">
    <w:p w:rsidR="00CC1B79" w:rsidRPr="006F23C5" w:rsidP="006F23C5" w14:paraId="28EFA695" w14:textId="25FDA6BB">
      <w:pPr>
        <w:pStyle w:val="FootnoteText"/>
        <w:rPr>
          <w:i/>
          <w:iCs/>
        </w:rPr>
      </w:pPr>
      <w:r>
        <w:rPr>
          <w:rStyle w:val="FootnoteReference"/>
        </w:rPr>
        <w:footnoteRef/>
      </w:r>
      <w:r>
        <w:t xml:space="preserve"> </w:t>
      </w:r>
      <w:r>
        <w:rPr>
          <w:i/>
          <w:iCs/>
        </w:rPr>
        <w:t>See id.</w:t>
      </w:r>
    </w:p>
  </w:footnote>
  <w:footnote w:id="51">
    <w:p w:rsidR="00050D2C" w:rsidP="006F23C5" w14:paraId="0BF29B3E" w14:textId="5761791A">
      <w:pPr>
        <w:pStyle w:val="FootnoteText"/>
      </w:pPr>
      <w:r>
        <w:rPr>
          <w:rStyle w:val="FootnoteReference"/>
        </w:rPr>
        <w:footnoteRef/>
      </w:r>
      <w:r>
        <w:t xml:space="preserve"> AEP’s Motion for Protective Order (September 2, 2022).</w:t>
      </w:r>
    </w:p>
  </w:footnote>
  <w:footnote w:id="52">
    <w:p w:rsidR="00050D2C" w:rsidP="006F23C5" w14:paraId="12AEE68E" w14:textId="0140DFB6">
      <w:pPr>
        <w:pStyle w:val="FootnoteText"/>
      </w:pPr>
      <w:r>
        <w:rPr>
          <w:rStyle w:val="FootnoteReference"/>
        </w:rPr>
        <w:footnoteRef/>
      </w:r>
      <w:r>
        <w:t xml:space="preserve"> OCC’s Memorandum Contra AEP’s Motion for Protective Order (September 19,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6E071EA"/>
    <w:lvl w:ilvl="0">
      <w:start w:val="1"/>
      <w:numFmt w:val="decimal"/>
      <w:lvlText w:val="%1."/>
      <w:lvlJc w:val="left"/>
      <w:pPr>
        <w:tabs>
          <w:tab w:val="num" w:pos="1800"/>
        </w:tabs>
        <w:ind w:left="1800" w:hanging="360"/>
      </w:pPr>
    </w:lvl>
  </w:abstractNum>
  <w:abstractNum w:abstractNumId="1">
    <w:nsid w:val="FFFFFF7D"/>
    <w:multiLevelType w:val="singleLevel"/>
    <w:tmpl w:val="2548B332"/>
    <w:lvl w:ilvl="0">
      <w:start w:val="1"/>
      <w:numFmt w:val="decimal"/>
      <w:lvlText w:val="%1."/>
      <w:lvlJc w:val="left"/>
      <w:pPr>
        <w:tabs>
          <w:tab w:val="num" w:pos="1440"/>
        </w:tabs>
        <w:ind w:left="1440" w:hanging="360"/>
      </w:pPr>
    </w:lvl>
  </w:abstractNum>
  <w:abstractNum w:abstractNumId="2">
    <w:nsid w:val="FFFFFF7E"/>
    <w:multiLevelType w:val="singleLevel"/>
    <w:tmpl w:val="A6523EAE"/>
    <w:lvl w:ilvl="0">
      <w:start w:val="1"/>
      <w:numFmt w:val="decimal"/>
      <w:lvlText w:val="%1."/>
      <w:lvlJc w:val="left"/>
      <w:pPr>
        <w:tabs>
          <w:tab w:val="num" w:pos="1080"/>
        </w:tabs>
        <w:ind w:left="1080" w:hanging="360"/>
      </w:pPr>
    </w:lvl>
  </w:abstractNum>
  <w:abstractNum w:abstractNumId="3">
    <w:nsid w:val="FFFFFF7F"/>
    <w:multiLevelType w:val="singleLevel"/>
    <w:tmpl w:val="D45C43B4"/>
    <w:lvl w:ilvl="0">
      <w:start w:val="1"/>
      <w:numFmt w:val="decimal"/>
      <w:lvlText w:val="%1."/>
      <w:lvlJc w:val="left"/>
      <w:pPr>
        <w:tabs>
          <w:tab w:val="num" w:pos="720"/>
        </w:tabs>
        <w:ind w:left="720" w:hanging="360"/>
      </w:pPr>
    </w:lvl>
  </w:abstractNum>
  <w:abstractNum w:abstractNumId="4">
    <w:nsid w:val="FFFFFF80"/>
    <w:multiLevelType w:val="singleLevel"/>
    <w:tmpl w:val="EA2E87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C26B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CAED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1C98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8853CA"/>
    <w:lvl w:ilvl="0">
      <w:start w:val="1"/>
      <w:numFmt w:val="decimal"/>
      <w:lvlText w:val="%1."/>
      <w:lvlJc w:val="left"/>
      <w:pPr>
        <w:tabs>
          <w:tab w:val="num" w:pos="360"/>
        </w:tabs>
        <w:ind w:left="360" w:hanging="360"/>
      </w:pPr>
    </w:lvl>
  </w:abstractNum>
  <w:abstractNum w:abstractNumId="9">
    <w:nsid w:val="FFFFFF89"/>
    <w:multiLevelType w:val="singleLevel"/>
    <w:tmpl w:val="5B8CA098"/>
    <w:lvl w:ilvl="0">
      <w:start w:val="1"/>
      <w:numFmt w:val="bullet"/>
      <w:lvlText w:val=""/>
      <w:lvlJc w:val="left"/>
      <w:pPr>
        <w:tabs>
          <w:tab w:val="num" w:pos="360"/>
        </w:tabs>
        <w:ind w:left="360" w:hanging="360"/>
      </w:pPr>
      <w:rPr>
        <w:rFonts w:ascii="Symbol" w:hAnsi="Symbol" w:hint="default"/>
      </w:rPr>
    </w:lvl>
  </w:abstractNum>
  <w:abstractNum w:abstractNumId="1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D2273CB"/>
    <w:multiLevelType w:val="hybridMultilevel"/>
    <w:tmpl w:val="8C9A83F4"/>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2">
    <w:nsid w:val="180D589C"/>
    <w:multiLevelType w:val="hybridMultilevel"/>
    <w:tmpl w:val="5344D2C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F7E4AC1"/>
    <w:multiLevelType w:val="hybridMultilevel"/>
    <w:tmpl w:val="BCB6375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C526149"/>
    <w:multiLevelType w:val="hybridMultilevel"/>
    <w:tmpl w:val="219CC5C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5FA4591"/>
    <w:multiLevelType w:val="hybridMultilevel"/>
    <w:tmpl w:val="52F269A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A067CF8"/>
    <w:multiLevelType w:val="hybridMultilevel"/>
    <w:tmpl w:val="D5022C6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51E90C27"/>
    <w:multiLevelType w:val="hybridMultilevel"/>
    <w:tmpl w:val="8C58743C"/>
    <w:lvl w:ilvl="0">
      <w:start w:val="1"/>
      <w:numFmt w:val="decimal"/>
      <w:lvlText w:val="%1."/>
      <w:lvlJc w:val="left"/>
      <w:pPr>
        <w:ind w:left="1440" w:hanging="360"/>
      </w:pPr>
      <w:rPr>
        <w:rFonts w:ascii="Times New Roman" w:hAnsi="Times New Roman" w:eastAsiaTheme="minorHAnsi"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5196194"/>
    <w:multiLevelType w:val="hybridMultilevel"/>
    <w:tmpl w:val="3F843ECE"/>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0">
    <w:nsid w:val="58D3626F"/>
    <w:multiLevelType w:val="hybridMultilevel"/>
    <w:tmpl w:val="DC761528"/>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1">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5EBD37E9"/>
    <w:multiLevelType w:val="hybridMultilevel"/>
    <w:tmpl w:val="736A4B3C"/>
    <w:lvl w:ilvl="0">
      <w:start w:val="5"/>
      <w:numFmt w:val="lowerLetter"/>
      <w:lvlText w:val="%1."/>
      <w:lvlJc w:val="left"/>
      <w:pPr>
        <w:ind w:left="288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61096BCF"/>
    <w:multiLevelType w:val="hybridMultilevel"/>
    <w:tmpl w:val="1E3AFA10"/>
    <w:lvl w:ilvl="0">
      <w:start w:val="1"/>
      <w:numFmt w:val="lowerLetter"/>
      <w:pStyle w:val="TOC4"/>
      <w:lvlText w:val="%1."/>
      <w:lvlJc w:val="left"/>
      <w:pPr>
        <w:ind w:left="2520" w:hanging="360"/>
      </w:pPr>
      <w:rPr>
        <w:rFonts w:ascii="Times New Roman" w:hAnsi="Times New Roman" w:cs="Times New Roman" w:hint="default"/>
        <w:sz w:val="24"/>
        <w:szCs w:val="24"/>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6">
    <w:nsid w:val="6E950839"/>
    <w:multiLevelType w:val="hybridMultilevel"/>
    <w:tmpl w:val="30349AA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08D0FA9"/>
    <w:multiLevelType w:val="hybridMultilevel"/>
    <w:tmpl w:val="CAFE2A3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18E2AA7"/>
    <w:multiLevelType w:val="hybridMultilevel"/>
    <w:tmpl w:val="1A2C5104"/>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6B02132"/>
    <w:multiLevelType w:val="hybridMultilevel"/>
    <w:tmpl w:val="3F7E158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1">
    <w:nsid w:val="79D109E1"/>
    <w:multiLevelType w:val="hybridMultilevel"/>
    <w:tmpl w:val="FCDC3F2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18"/>
  </w:num>
  <w:num w:numId="3">
    <w:abstractNumId w:val="25"/>
  </w:num>
  <w:num w:numId="4">
    <w:abstractNumId w:val="23"/>
  </w:num>
  <w:num w:numId="5">
    <w:abstractNumId w:val="10"/>
  </w:num>
  <w:num w:numId="6">
    <w:abstractNumId w:val="30"/>
  </w:num>
  <w:num w:numId="7">
    <w:abstractNumId w:val="13"/>
  </w:num>
  <w:num w:numId="8">
    <w:abstractNumId w:val="29"/>
  </w:num>
  <w:num w:numId="9">
    <w:abstractNumId w:val="17"/>
  </w:num>
  <w:num w:numId="10">
    <w:abstractNumId w:val="11"/>
  </w:num>
  <w:num w:numId="11">
    <w:abstractNumId w:val="27"/>
  </w:num>
  <w:num w:numId="12">
    <w:abstractNumId w:val="14"/>
  </w:num>
  <w:num w:numId="13">
    <w:abstractNumId w:val="16"/>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20"/>
  </w:num>
  <w:num w:numId="27">
    <w:abstractNumId w:val="22"/>
  </w:num>
  <w:num w:numId="28">
    <w:abstractNumId w:val="31"/>
  </w:num>
  <w:num w:numId="29">
    <w:abstractNumId w:val="26"/>
  </w:num>
  <w:num w:numId="30">
    <w:abstractNumId w:val="15"/>
  </w:num>
  <w:num w:numId="31">
    <w:abstractNumId w:val="1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3F24" w:allStyles="0" w:alternateStyleNames="0" w:clearFormatting="1" w:customStyles="0" w:directFormattingOnNumbering="1" w:directFormattingOnParagraphs="1" w:directFormattingOnRuns="1" w:directFormattingOnTables="1" w:headingStyles="1"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02926"/>
    <w:rsid w:val="0001064C"/>
    <w:rsid w:val="000116A1"/>
    <w:rsid w:val="000146D1"/>
    <w:rsid w:val="00025F44"/>
    <w:rsid w:val="00026CC1"/>
    <w:rsid w:val="000274CC"/>
    <w:rsid w:val="000325D1"/>
    <w:rsid w:val="000332D1"/>
    <w:rsid w:val="00033649"/>
    <w:rsid w:val="00033734"/>
    <w:rsid w:val="000353B6"/>
    <w:rsid w:val="000366C7"/>
    <w:rsid w:val="00036928"/>
    <w:rsid w:val="0004062B"/>
    <w:rsid w:val="00045186"/>
    <w:rsid w:val="0005057F"/>
    <w:rsid w:val="00050D2C"/>
    <w:rsid w:val="00051007"/>
    <w:rsid w:val="00051380"/>
    <w:rsid w:val="000540D8"/>
    <w:rsid w:val="00054FCD"/>
    <w:rsid w:val="0005603E"/>
    <w:rsid w:val="00060DBD"/>
    <w:rsid w:val="00061137"/>
    <w:rsid w:val="00062997"/>
    <w:rsid w:val="000719AA"/>
    <w:rsid w:val="00074EB2"/>
    <w:rsid w:val="0007700A"/>
    <w:rsid w:val="000773AE"/>
    <w:rsid w:val="00082FAA"/>
    <w:rsid w:val="000B5AA3"/>
    <w:rsid w:val="000B68FE"/>
    <w:rsid w:val="000C0F02"/>
    <w:rsid w:val="000C3DF5"/>
    <w:rsid w:val="000C3F64"/>
    <w:rsid w:val="000C4253"/>
    <w:rsid w:val="000D24BE"/>
    <w:rsid w:val="000E5A64"/>
    <w:rsid w:val="000F03C4"/>
    <w:rsid w:val="000F0895"/>
    <w:rsid w:val="000F2BFE"/>
    <w:rsid w:val="000F3081"/>
    <w:rsid w:val="0010116C"/>
    <w:rsid w:val="00110E9A"/>
    <w:rsid w:val="00122DAA"/>
    <w:rsid w:val="00132D38"/>
    <w:rsid w:val="00140FD4"/>
    <w:rsid w:val="00144FAA"/>
    <w:rsid w:val="00145118"/>
    <w:rsid w:val="00150839"/>
    <w:rsid w:val="00152DEF"/>
    <w:rsid w:val="00153D2E"/>
    <w:rsid w:val="00157342"/>
    <w:rsid w:val="001632D5"/>
    <w:rsid w:val="00163BE3"/>
    <w:rsid w:val="001669CB"/>
    <w:rsid w:val="00171F21"/>
    <w:rsid w:val="001727E6"/>
    <w:rsid w:val="00174977"/>
    <w:rsid w:val="00175FD0"/>
    <w:rsid w:val="001871BB"/>
    <w:rsid w:val="00194544"/>
    <w:rsid w:val="00195696"/>
    <w:rsid w:val="001A247C"/>
    <w:rsid w:val="001A4C26"/>
    <w:rsid w:val="001A582D"/>
    <w:rsid w:val="001B733C"/>
    <w:rsid w:val="001C2A10"/>
    <w:rsid w:val="001C4E87"/>
    <w:rsid w:val="001C653F"/>
    <w:rsid w:val="001D3E54"/>
    <w:rsid w:val="001D4EB8"/>
    <w:rsid w:val="001D5B89"/>
    <w:rsid w:val="001D6BBA"/>
    <w:rsid w:val="001D6F81"/>
    <w:rsid w:val="001E5BA6"/>
    <w:rsid w:val="001E6A06"/>
    <w:rsid w:val="001E71E5"/>
    <w:rsid w:val="001E7E35"/>
    <w:rsid w:val="001F1CCB"/>
    <w:rsid w:val="001F6829"/>
    <w:rsid w:val="00201660"/>
    <w:rsid w:val="00204F93"/>
    <w:rsid w:val="00210D69"/>
    <w:rsid w:val="00210F3F"/>
    <w:rsid w:val="002209A6"/>
    <w:rsid w:val="00222190"/>
    <w:rsid w:val="002248BD"/>
    <w:rsid w:val="0023099F"/>
    <w:rsid w:val="00232C8A"/>
    <w:rsid w:val="002330AD"/>
    <w:rsid w:val="00236C3B"/>
    <w:rsid w:val="00236E9B"/>
    <w:rsid w:val="0023748D"/>
    <w:rsid w:val="002417F3"/>
    <w:rsid w:val="002506A4"/>
    <w:rsid w:val="00251ACD"/>
    <w:rsid w:val="00257095"/>
    <w:rsid w:val="00261AD3"/>
    <w:rsid w:val="00265D80"/>
    <w:rsid w:val="002673A7"/>
    <w:rsid w:val="00272DB3"/>
    <w:rsid w:val="00273232"/>
    <w:rsid w:val="00274189"/>
    <w:rsid w:val="0027471A"/>
    <w:rsid w:val="00281740"/>
    <w:rsid w:val="00282508"/>
    <w:rsid w:val="00282CFA"/>
    <w:rsid w:val="002865D8"/>
    <w:rsid w:val="0029151B"/>
    <w:rsid w:val="00291DDB"/>
    <w:rsid w:val="002932A1"/>
    <w:rsid w:val="002A410D"/>
    <w:rsid w:val="002A4912"/>
    <w:rsid w:val="002A4BB7"/>
    <w:rsid w:val="002A723E"/>
    <w:rsid w:val="002B304A"/>
    <w:rsid w:val="002B60BC"/>
    <w:rsid w:val="002C10D5"/>
    <w:rsid w:val="002C47F7"/>
    <w:rsid w:val="002C4F3B"/>
    <w:rsid w:val="002D54FB"/>
    <w:rsid w:val="002D564E"/>
    <w:rsid w:val="002D6564"/>
    <w:rsid w:val="002E2195"/>
    <w:rsid w:val="002F27EF"/>
    <w:rsid w:val="002F3A88"/>
    <w:rsid w:val="002F3AF7"/>
    <w:rsid w:val="002F4818"/>
    <w:rsid w:val="002F4D86"/>
    <w:rsid w:val="00301D38"/>
    <w:rsid w:val="0031635E"/>
    <w:rsid w:val="00320DA9"/>
    <w:rsid w:val="0032271F"/>
    <w:rsid w:val="00325C4E"/>
    <w:rsid w:val="00330B07"/>
    <w:rsid w:val="00334ABA"/>
    <w:rsid w:val="00344BA8"/>
    <w:rsid w:val="00345820"/>
    <w:rsid w:val="00347E5F"/>
    <w:rsid w:val="00352761"/>
    <w:rsid w:val="00353343"/>
    <w:rsid w:val="003563B5"/>
    <w:rsid w:val="00356673"/>
    <w:rsid w:val="00361D5B"/>
    <w:rsid w:val="00362422"/>
    <w:rsid w:val="003624F6"/>
    <w:rsid w:val="00363954"/>
    <w:rsid w:val="0037064B"/>
    <w:rsid w:val="00371490"/>
    <w:rsid w:val="00372DE3"/>
    <w:rsid w:val="0037390F"/>
    <w:rsid w:val="00375F15"/>
    <w:rsid w:val="00381BB3"/>
    <w:rsid w:val="0038429F"/>
    <w:rsid w:val="00385797"/>
    <w:rsid w:val="003878C6"/>
    <w:rsid w:val="00387EB3"/>
    <w:rsid w:val="003904A6"/>
    <w:rsid w:val="00390941"/>
    <w:rsid w:val="003918B2"/>
    <w:rsid w:val="00394EDE"/>
    <w:rsid w:val="00395C0B"/>
    <w:rsid w:val="00395E51"/>
    <w:rsid w:val="003A4118"/>
    <w:rsid w:val="003A4ECB"/>
    <w:rsid w:val="003A6677"/>
    <w:rsid w:val="003B12A8"/>
    <w:rsid w:val="003B4A59"/>
    <w:rsid w:val="003B5F36"/>
    <w:rsid w:val="003C31B4"/>
    <w:rsid w:val="003C5E89"/>
    <w:rsid w:val="003D16E5"/>
    <w:rsid w:val="003D50AB"/>
    <w:rsid w:val="003D5510"/>
    <w:rsid w:val="003D7D48"/>
    <w:rsid w:val="003E0E02"/>
    <w:rsid w:val="003E342D"/>
    <w:rsid w:val="003E34A5"/>
    <w:rsid w:val="003E5870"/>
    <w:rsid w:val="003F0259"/>
    <w:rsid w:val="003F0B8C"/>
    <w:rsid w:val="003F559A"/>
    <w:rsid w:val="003F575C"/>
    <w:rsid w:val="003F7E60"/>
    <w:rsid w:val="0040129A"/>
    <w:rsid w:val="00402B3D"/>
    <w:rsid w:val="0040563E"/>
    <w:rsid w:val="00415653"/>
    <w:rsid w:val="0042009E"/>
    <w:rsid w:val="004270B1"/>
    <w:rsid w:val="00427399"/>
    <w:rsid w:val="00427F1C"/>
    <w:rsid w:val="004426B5"/>
    <w:rsid w:val="0044546C"/>
    <w:rsid w:val="00446794"/>
    <w:rsid w:val="004521A8"/>
    <w:rsid w:val="00460789"/>
    <w:rsid w:val="00462554"/>
    <w:rsid w:val="00466E3A"/>
    <w:rsid w:val="004675A4"/>
    <w:rsid w:val="004720CB"/>
    <w:rsid w:val="004731B9"/>
    <w:rsid w:val="00473364"/>
    <w:rsid w:val="0048410E"/>
    <w:rsid w:val="004914F9"/>
    <w:rsid w:val="00492842"/>
    <w:rsid w:val="004B1ABC"/>
    <w:rsid w:val="004B2E4A"/>
    <w:rsid w:val="004B5A65"/>
    <w:rsid w:val="004B6A53"/>
    <w:rsid w:val="004C4382"/>
    <w:rsid w:val="004C6614"/>
    <w:rsid w:val="004D380C"/>
    <w:rsid w:val="004D4D32"/>
    <w:rsid w:val="004D71E7"/>
    <w:rsid w:val="004E0D6E"/>
    <w:rsid w:val="004E2247"/>
    <w:rsid w:val="004E6B4E"/>
    <w:rsid w:val="004F1D33"/>
    <w:rsid w:val="004F4D11"/>
    <w:rsid w:val="004F57CB"/>
    <w:rsid w:val="004F7A3B"/>
    <w:rsid w:val="0050159F"/>
    <w:rsid w:val="0050227D"/>
    <w:rsid w:val="00504A70"/>
    <w:rsid w:val="00505520"/>
    <w:rsid w:val="005106C0"/>
    <w:rsid w:val="00513F9C"/>
    <w:rsid w:val="00514776"/>
    <w:rsid w:val="005163F5"/>
    <w:rsid w:val="00516B84"/>
    <w:rsid w:val="00524C67"/>
    <w:rsid w:val="0052544B"/>
    <w:rsid w:val="005277D7"/>
    <w:rsid w:val="005327D8"/>
    <w:rsid w:val="00536159"/>
    <w:rsid w:val="0053658D"/>
    <w:rsid w:val="005369CC"/>
    <w:rsid w:val="00540588"/>
    <w:rsid w:val="005405C0"/>
    <w:rsid w:val="00551D45"/>
    <w:rsid w:val="00551FFF"/>
    <w:rsid w:val="00554D97"/>
    <w:rsid w:val="00555BD4"/>
    <w:rsid w:val="00564131"/>
    <w:rsid w:val="00566968"/>
    <w:rsid w:val="00571F3E"/>
    <w:rsid w:val="00572294"/>
    <w:rsid w:val="00574184"/>
    <w:rsid w:val="00574864"/>
    <w:rsid w:val="00576F02"/>
    <w:rsid w:val="00577D19"/>
    <w:rsid w:val="00583227"/>
    <w:rsid w:val="00583D2F"/>
    <w:rsid w:val="0058709D"/>
    <w:rsid w:val="00590429"/>
    <w:rsid w:val="00593D38"/>
    <w:rsid w:val="005A412D"/>
    <w:rsid w:val="005A4494"/>
    <w:rsid w:val="005A56F9"/>
    <w:rsid w:val="005A63D7"/>
    <w:rsid w:val="005B11DE"/>
    <w:rsid w:val="005B3F59"/>
    <w:rsid w:val="005B53F6"/>
    <w:rsid w:val="005D037C"/>
    <w:rsid w:val="005D10A7"/>
    <w:rsid w:val="005D1836"/>
    <w:rsid w:val="005D1E0E"/>
    <w:rsid w:val="005D7E26"/>
    <w:rsid w:val="005E0C43"/>
    <w:rsid w:val="005F08BB"/>
    <w:rsid w:val="005F2BD0"/>
    <w:rsid w:val="005F617D"/>
    <w:rsid w:val="005F6BFB"/>
    <w:rsid w:val="006005C0"/>
    <w:rsid w:val="00601A6F"/>
    <w:rsid w:val="0060371D"/>
    <w:rsid w:val="00605404"/>
    <w:rsid w:val="00606318"/>
    <w:rsid w:val="006068A3"/>
    <w:rsid w:val="00610888"/>
    <w:rsid w:val="00612A74"/>
    <w:rsid w:val="0061402C"/>
    <w:rsid w:val="006320AC"/>
    <w:rsid w:val="006412A7"/>
    <w:rsid w:val="0064215B"/>
    <w:rsid w:val="00645BE2"/>
    <w:rsid w:val="00646488"/>
    <w:rsid w:val="00660AEE"/>
    <w:rsid w:val="006629FC"/>
    <w:rsid w:val="0066475A"/>
    <w:rsid w:val="0066691B"/>
    <w:rsid w:val="0066695F"/>
    <w:rsid w:val="00671585"/>
    <w:rsid w:val="00671657"/>
    <w:rsid w:val="00676683"/>
    <w:rsid w:val="00680037"/>
    <w:rsid w:val="006807B9"/>
    <w:rsid w:val="00681DBB"/>
    <w:rsid w:val="00686434"/>
    <w:rsid w:val="00697B6E"/>
    <w:rsid w:val="006A111F"/>
    <w:rsid w:val="006A2E20"/>
    <w:rsid w:val="006A5404"/>
    <w:rsid w:val="006A611C"/>
    <w:rsid w:val="006B29E4"/>
    <w:rsid w:val="006B628A"/>
    <w:rsid w:val="006D3B80"/>
    <w:rsid w:val="006E2923"/>
    <w:rsid w:val="006E2AEC"/>
    <w:rsid w:val="006F23C5"/>
    <w:rsid w:val="006F2A82"/>
    <w:rsid w:val="006F5CC4"/>
    <w:rsid w:val="006F6384"/>
    <w:rsid w:val="00701430"/>
    <w:rsid w:val="007074D0"/>
    <w:rsid w:val="00710E80"/>
    <w:rsid w:val="00713017"/>
    <w:rsid w:val="0071412D"/>
    <w:rsid w:val="0071430F"/>
    <w:rsid w:val="007257FB"/>
    <w:rsid w:val="007273BA"/>
    <w:rsid w:val="00731F59"/>
    <w:rsid w:val="007325C3"/>
    <w:rsid w:val="00733CE0"/>
    <w:rsid w:val="00736FF1"/>
    <w:rsid w:val="00737171"/>
    <w:rsid w:val="00742FC0"/>
    <w:rsid w:val="00745A47"/>
    <w:rsid w:val="00746CA6"/>
    <w:rsid w:val="00747CC4"/>
    <w:rsid w:val="00750748"/>
    <w:rsid w:val="00750D50"/>
    <w:rsid w:val="00751175"/>
    <w:rsid w:val="00753167"/>
    <w:rsid w:val="007574F6"/>
    <w:rsid w:val="00761E8A"/>
    <w:rsid w:val="00765781"/>
    <w:rsid w:val="00765B92"/>
    <w:rsid w:val="007706B3"/>
    <w:rsid w:val="007724AA"/>
    <w:rsid w:val="00782168"/>
    <w:rsid w:val="0078378C"/>
    <w:rsid w:val="0079004F"/>
    <w:rsid w:val="007926DD"/>
    <w:rsid w:val="007928EE"/>
    <w:rsid w:val="007A1500"/>
    <w:rsid w:val="007A5257"/>
    <w:rsid w:val="007A5821"/>
    <w:rsid w:val="007B2644"/>
    <w:rsid w:val="007C3A00"/>
    <w:rsid w:val="007C7C04"/>
    <w:rsid w:val="007D26B2"/>
    <w:rsid w:val="007D4F1A"/>
    <w:rsid w:val="007D63A9"/>
    <w:rsid w:val="007E119C"/>
    <w:rsid w:val="007E38A7"/>
    <w:rsid w:val="007E46CA"/>
    <w:rsid w:val="007E6D00"/>
    <w:rsid w:val="007F086E"/>
    <w:rsid w:val="007F13A8"/>
    <w:rsid w:val="00805333"/>
    <w:rsid w:val="00805675"/>
    <w:rsid w:val="00807022"/>
    <w:rsid w:val="00817DB1"/>
    <w:rsid w:val="00820839"/>
    <w:rsid w:val="008212D3"/>
    <w:rsid w:val="00821BAC"/>
    <w:rsid w:val="008221FA"/>
    <w:rsid w:val="0082376E"/>
    <w:rsid w:val="00825AD0"/>
    <w:rsid w:val="0083438E"/>
    <w:rsid w:val="0084088C"/>
    <w:rsid w:val="008413E5"/>
    <w:rsid w:val="00846570"/>
    <w:rsid w:val="00847F65"/>
    <w:rsid w:val="008511B9"/>
    <w:rsid w:val="00851801"/>
    <w:rsid w:val="00851979"/>
    <w:rsid w:val="00852D5D"/>
    <w:rsid w:val="00855113"/>
    <w:rsid w:val="00857D3C"/>
    <w:rsid w:val="00862C2E"/>
    <w:rsid w:val="0087247A"/>
    <w:rsid w:val="00874AB4"/>
    <w:rsid w:val="00875A15"/>
    <w:rsid w:val="008779A1"/>
    <w:rsid w:val="008810F7"/>
    <w:rsid w:val="00894F54"/>
    <w:rsid w:val="008A27B3"/>
    <w:rsid w:val="008A6C8A"/>
    <w:rsid w:val="008A6DE3"/>
    <w:rsid w:val="008B0521"/>
    <w:rsid w:val="008B0E0E"/>
    <w:rsid w:val="008B3C05"/>
    <w:rsid w:val="008C318D"/>
    <w:rsid w:val="008D123B"/>
    <w:rsid w:val="008D2B2D"/>
    <w:rsid w:val="008D6CE5"/>
    <w:rsid w:val="008D74B3"/>
    <w:rsid w:val="008E1882"/>
    <w:rsid w:val="008E7E61"/>
    <w:rsid w:val="008F20CC"/>
    <w:rsid w:val="008F4152"/>
    <w:rsid w:val="00903114"/>
    <w:rsid w:val="00910A1F"/>
    <w:rsid w:val="009135AC"/>
    <w:rsid w:val="00916EF7"/>
    <w:rsid w:val="0092161D"/>
    <w:rsid w:val="00923A38"/>
    <w:rsid w:val="00926524"/>
    <w:rsid w:val="00930C77"/>
    <w:rsid w:val="00930E6E"/>
    <w:rsid w:val="009326E8"/>
    <w:rsid w:val="00943CC8"/>
    <w:rsid w:val="00945C91"/>
    <w:rsid w:val="00951F84"/>
    <w:rsid w:val="009535A4"/>
    <w:rsid w:val="00953BE0"/>
    <w:rsid w:val="0095434D"/>
    <w:rsid w:val="00956445"/>
    <w:rsid w:val="00960A35"/>
    <w:rsid w:val="00962426"/>
    <w:rsid w:val="00971301"/>
    <w:rsid w:val="00971591"/>
    <w:rsid w:val="00990D43"/>
    <w:rsid w:val="009958C8"/>
    <w:rsid w:val="00995F51"/>
    <w:rsid w:val="009963B0"/>
    <w:rsid w:val="00996A45"/>
    <w:rsid w:val="00996CA7"/>
    <w:rsid w:val="009A05B9"/>
    <w:rsid w:val="009B18D1"/>
    <w:rsid w:val="009B2B49"/>
    <w:rsid w:val="009B4BFC"/>
    <w:rsid w:val="009B5261"/>
    <w:rsid w:val="009B615C"/>
    <w:rsid w:val="009B7CF9"/>
    <w:rsid w:val="009C46F4"/>
    <w:rsid w:val="009D00DD"/>
    <w:rsid w:val="009D191B"/>
    <w:rsid w:val="009D3769"/>
    <w:rsid w:val="009D5757"/>
    <w:rsid w:val="009E2220"/>
    <w:rsid w:val="009E2D95"/>
    <w:rsid w:val="009E61FC"/>
    <w:rsid w:val="009E7FC2"/>
    <w:rsid w:val="009F308D"/>
    <w:rsid w:val="009F6F6B"/>
    <w:rsid w:val="00A044B5"/>
    <w:rsid w:val="00A17FF3"/>
    <w:rsid w:val="00A25EF2"/>
    <w:rsid w:val="00A323B7"/>
    <w:rsid w:val="00A32909"/>
    <w:rsid w:val="00A32FBC"/>
    <w:rsid w:val="00A33E47"/>
    <w:rsid w:val="00A465F5"/>
    <w:rsid w:val="00A46711"/>
    <w:rsid w:val="00A51233"/>
    <w:rsid w:val="00A534DB"/>
    <w:rsid w:val="00A55F94"/>
    <w:rsid w:val="00A56774"/>
    <w:rsid w:val="00A8338A"/>
    <w:rsid w:val="00A8478B"/>
    <w:rsid w:val="00A84F6A"/>
    <w:rsid w:val="00A936A9"/>
    <w:rsid w:val="00A97D61"/>
    <w:rsid w:val="00AA1925"/>
    <w:rsid w:val="00AA2A51"/>
    <w:rsid w:val="00AA5294"/>
    <w:rsid w:val="00AB0F71"/>
    <w:rsid w:val="00AB4C51"/>
    <w:rsid w:val="00AB5046"/>
    <w:rsid w:val="00AC0E9B"/>
    <w:rsid w:val="00AC1C9B"/>
    <w:rsid w:val="00AC1EE4"/>
    <w:rsid w:val="00AC3647"/>
    <w:rsid w:val="00AD2D50"/>
    <w:rsid w:val="00AD53FE"/>
    <w:rsid w:val="00AE1BCC"/>
    <w:rsid w:val="00AE4914"/>
    <w:rsid w:val="00AE6340"/>
    <w:rsid w:val="00AE72A4"/>
    <w:rsid w:val="00AF0EA0"/>
    <w:rsid w:val="00AF2FA6"/>
    <w:rsid w:val="00AF4FF1"/>
    <w:rsid w:val="00AF56E8"/>
    <w:rsid w:val="00B03C7A"/>
    <w:rsid w:val="00B120B6"/>
    <w:rsid w:val="00B1314B"/>
    <w:rsid w:val="00B229EC"/>
    <w:rsid w:val="00B312E0"/>
    <w:rsid w:val="00B41857"/>
    <w:rsid w:val="00B43080"/>
    <w:rsid w:val="00B454D2"/>
    <w:rsid w:val="00B50791"/>
    <w:rsid w:val="00B53262"/>
    <w:rsid w:val="00B573BF"/>
    <w:rsid w:val="00B62D1E"/>
    <w:rsid w:val="00B671DE"/>
    <w:rsid w:val="00B677B7"/>
    <w:rsid w:val="00B7232B"/>
    <w:rsid w:val="00B801DA"/>
    <w:rsid w:val="00B80961"/>
    <w:rsid w:val="00B83549"/>
    <w:rsid w:val="00B878E9"/>
    <w:rsid w:val="00B9114A"/>
    <w:rsid w:val="00B913E0"/>
    <w:rsid w:val="00B91844"/>
    <w:rsid w:val="00BA364E"/>
    <w:rsid w:val="00BA4E2C"/>
    <w:rsid w:val="00BA56CB"/>
    <w:rsid w:val="00BB1D33"/>
    <w:rsid w:val="00BC3466"/>
    <w:rsid w:val="00BC5FAC"/>
    <w:rsid w:val="00BD1760"/>
    <w:rsid w:val="00BD435F"/>
    <w:rsid w:val="00BE169E"/>
    <w:rsid w:val="00BE37AE"/>
    <w:rsid w:val="00BF1D98"/>
    <w:rsid w:val="00BF23EC"/>
    <w:rsid w:val="00BF436C"/>
    <w:rsid w:val="00BF4724"/>
    <w:rsid w:val="00BF5AA2"/>
    <w:rsid w:val="00BF6C9E"/>
    <w:rsid w:val="00C010EF"/>
    <w:rsid w:val="00C02BF2"/>
    <w:rsid w:val="00C02F81"/>
    <w:rsid w:val="00C03EA3"/>
    <w:rsid w:val="00C11B8A"/>
    <w:rsid w:val="00C146A1"/>
    <w:rsid w:val="00C2437B"/>
    <w:rsid w:val="00C257A0"/>
    <w:rsid w:val="00C2626D"/>
    <w:rsid w:val="00C26820"/>
    <w:rsid w:val="00C27D9E"/>
    <w:rsid w:val="00C30408"/>
    <w:rsid w:val="00C30466"/>
    <w:rsid w:val="00C468A0"/>
    <w:rsid w:val="00C54E38"/>
    <w:rsid w:val="00C6261C"/>
    <w:rsid w:val="00C64D80"/>
    <w:rsid w:val="00C65DF3"/>
    <w:rsid w:val="00C66579"/>
    <w:rsid w:val="00C743EB"/>
    <w:rsid w:val="00C76BE7"/>
    <w:rsid w:val="00C775F4"/>
    <w:rsid w:val="00C77FEC"/>
    <w:rsid w:val="00C81240"/>
    <w:rsid w:val="00C82C55"/>
    <w:rsid w:val="00C945DA"/>
    <w:rsid w:val="00CA7C9C"/>
    <w:rsid w:val="00CB0778"/>
    <w:rsid w:val="00CB102B"/>
    <w:rsid w:val="00CB1687"/>
    <w:rsid w:val="00CB3482"/>
    <w:rsid w:val="00CB59EE"/>
    <w:rsid w:val="00CB6344"/>
    <w:rsid w:val="00CB655B"/>
    <w:rsid w:val="00CC1B79"/>
    <w:rsid w:val="00CD14B8"/>
    <w:rsid w:val="00CD2486"/>
    <w:rsid w:val="00CD4055"/>
    <w:rsid w:val="00CD55D5"/>
    <w:rsid w:val="00CE2BC3"/>
    <w:rsid w:val="00CE7624"/>
    <w:rsid w:val="00CF4CB2"/>
    <w:rsid w:val="00CF5356"/>
    <w:rsid w:val="00CF63EA"/>
    <w:rsid w:val="00D00B64"/>
    <w:rsid w:val="00D015B8"/>
    <w:rsid w:val="00D029CC"/>
    <w:rsid w:val="00D12905"/>
    <w:rsid w:val="00D208CF"/>
    <w:rsid w:val="00D2121A"/>
    <w:rsid w:val="00D22A80"/>
    <w:rsid w:val="00D302C8"/>
    <w:rsid w:val="00D3696A"/>
    <w:rsid w:val="00D36EE4"/>
    <w:rsid w:val="00D416C9"/>
    <w:rsid w:val="00D45C3E"/>
    <w:rsid w:val="00D46F5E"/>
    <w:rsid w:val="00D4731B"/>
    <w:rsid w:val="00D50E87"/>
    <w:rsid w:val="00D57536"/>
    <w:rsid w:val="00D57A3B"/>
    <w:rsid w:val="00D60047"/>
    <w:rsid w:val="00D65898"/>
    <w:rsid w:val="00D67C02"/>
    <w:rsid w:val="00D77C7E"/>
    <w:rsid w:val="00D8141D"/>
    <w:rsid w:val="00D823AB"/>
    <w:rsid w:val="00D87749"/>
    <w:rsid w:val="00D87A7D"/>
    <w:rsid w:val="00D920BC"/>
    <w:rsid w:val="00D92A65"/>
    <w:rsid w:val="00DA4408"/>
    <w:rsid w:val="00DB2234"/>
    <w:rsid w:val="00DC09DE"/>
    <w:rsid w:val="00DC3FBD"/>
    <w:rsid w:val="00DC52EF"/>
    <w:rsid w:val="00DC6648"/>
    <w:rsid w:val="00DC74D6"/>
    <w:rsid w:val="00DD17CE"/>
    <w:rsid w:val="00DD2475"/>
    <w:rsid w:val="00DD55EA"/>
    <w:rsid w:val="00DD7CFB"/>
    <w:rsid w:val="00DE0521"/>
    <w:rsid w:val="00DE51F6"/>
    <w:rsid w:val="00DE57D8"/>
    <w:rsid w:val="00DE6569"/>
    <w:rsid w:val="00DE6F3D"/>
    <w:rsid w:val="00DF2890"/>
    <w:rsid w:val="00E06667"/>
    <w:rsid w:val="00E067F4"/>
    <w:rsid w:val="00E076AC"/>
    <w:rsid w:val="00E118C2"/>
    <w:rsid w:val="00E118CE"/>
    <w:rsid w:val="00E12FC1"/>
    <w:rsid w:val="00E13FAC"/>
    <w:rsid w:val="00E14987"/>
    <w:rsid w:val="00E21DED"/>
    <w:rsid w:val="00E2247E"/>
    <w:rsid w:val="00E271B0"/>
    <w:rsid w:val="00E34FC3"/>
    <w:rsid w:val="00E35324"/>
    <w:rsid w:val="00E35406"/>
    <w:rsid w:val="00E3753E"/>
    <w:rsid w:val="00E41DAC"/>
    <w:rsid w:val="00E43F53"/>
    <w:rsid w:val="00E57BBF"/>
    <w:rsid w:val="00E6517F"/>
    <w:rsid w:val="00E655D1"/>
    <w:rsid w:val="00E67543"/>
    <w:rsid w:val="00E70D1F"/>
    <w:rsid w:val="00E82460"/>
    <w:rsid w:val="00E83685"/>
    <w:rsid w:val="00E837E1"/>
    <w:rsid w:val="00E9151C"/>
    <w:rsid w:val="00E917F9"/>
    <w:rsid w:val="00E92E96"/>
    <w:rsid w:val="00E938F1"/>
    <w:rsid w:val="00E9763A"/>
    <w:rsid w:val="00E97C4F"/>
    <w:rsid w:val="00EA47F9"/>
    <w:rsid w:val="00EA7C76"/>
    <w:rsid w:val="00EB1807"/>
    <w:rsid w:val="00EB260A"/>
    <w:rsid w:val="00EC0D10"/>
    <w:rsid w:val="00EC18E2"/>
    <w:rsid w:val="00ED353F"/>
    <w:rsid w:val="00ED6044"/>
    <w:rsid w:val="00EE3EA4"/>
    <w:rsid w:val="00EF1A5D"/>
    <w:rsid w:val="00EF325A"/>
    <w:rsid w:val="00EF537C"/>
    <w:rsid w:val="00EF56AF"/>
    <w:rsid w:val="00F02B4C"/>
    <w:rsid w:val="00F07A51"/>
    <w:rsid w:val="00F14DC2"/>
    <w:rsid w:val="00F15604"/>
    <w:rsid w:val="00F16FC8"/>
    <w:rsid w:val="00F20BBE"/>
    <w:rsid w:val="00F22094"/>
    <w:rsid w:val="00F251AC"/>
    <w:rsid w:val="00F26EFF"/>
    <w:rsid w:val="00F305E8"/>
    <w:rsid w:val="00F31615"/>
    <w:rsid w:val="00F3211B"/>
    <w:rsid w:val="00F336BC"/>
    <w:rsid w:val="00F33722"/>
    <w:rsid w:val="00F36848"/>
    <w:rsid w:val="00F40B6C"/>
    <w:rsid w:val="00F44DDD"/>
    <w:rsid w:val="00F52B13"/>
    <w:rsid w:val="00F55C47"/>
    <w:rsid w:val="00F5609D"/>
    <w:rsid w:val="00F56F3B"/>
    <w:rsid w:val="00F63037"/>
    <w:rsid w:val="00F70923"/>
    <w:rsid w:val="00F72151"/>
    <w:rsid w:val="00F75BAE"/>
    <w:rsid w:val="00F779AB"/>
    <w:rsid w:val="00F81D1C"/>
    <w:rsid w:val="00F83884"/>
    <w:rsid w:val="00F84529"/>
    <w:rsid w:val="00F93349"/>
    <w:rsid w:val="00FA1AFB"/>
    <w:rsid w:val="00FB3FC1"/>
    <w:rsid w:val="00FC03FA"/>
    <w:rsid w:val="00FD63E1"/>
    <w:rsid w:val="00FD676E"/>
    <w:rsid w:val="00FE05A8"/>
    <w:rsid w:val="00FE0AA1"/>
    <w:rsid w:val="00FE0EDF"/>
    <w:rsid w:val="00FE4E72"/>
    <w:rsid w:val="00FE7394"/>
    <w:rsid w:val="00FF5ECD"/>
    <w:rsid w:val="00FF7F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E7"/>
    <w:rPr>
      <w:sz w:val="24"/>
    </w:rPr>
  </w:style>
  <w:style w:type="paragraph" w:styleId="Heading1">
    <w:name w:val="heading 1"/>
    <w:basedOn w:val="Normal"/>
    <w:next w:val="Normal"/>
    <w:link w:val="Heading1Char"/>
    <w:qFormat/>
    <w:rsid w:val="0031635E"/>
    <w:pPr>
      <w:keepNext/>
      <w:spacing w:after="240"/>
      <w:ind w:left="720" w:hanging="720"/>
      <w:outlineLvl w:val="0"/>
    </w:pPr>
    <w:rPr>
      <w:b/>
      <w:szCs w:val="24"/>
    </w:rPr>
  </w:style>
  <w:style w:type="paragraph" w:styleId="Heading2">
    <w:name w:val="heading 2"/>
    <w:basedOn w:val="Normal"/>
    <w:next w:val="Normal"/>
    <w:qFormat/>
    <w:rsid w:val="001D4EB8"/>
    <w:pPr>
      <w:keepNext/>
      <w:tabs>
        <w:tab w:val="left" w:pos="4320"/>
      </w:tabs>
      <w:spacing w:after="240"/>
      <w:ind w:left="1440" w:hanging="720"/>
      <w:outlineLvl w:val="1"/>
    </w:pPr>
    <w:rPr>
      <w:b/>
    </w:rPr>
  </w:style>
  <w:style w:type="paragraph" w:styleId="Heading3">
    <w:name w:val="heading 3"/>
    <w:basedOn w:val="Normal"/>
    <w:next w:val="Normal"/>
    <w:qFormat/>
    <w:rsid w:val="000C3F64"/>
    <w:pPr>
      <w:keepNext/>
      <w:spacing w:after="240"/>
      <w:ind w:left="2160" w:hanging="720"/>
      <w:outlineLvl w:val="2"/>
    </w:pPr>
    <w:rPr>
      <w:b/>
      <w:bCs/>
    </w:rPr>
  </w:style>
  <w:style w:type="paragraph" w:styleId="Heading4">
    <w:name w:val="heading 4"/>
    <w:basedOn w:val="Normal"/>
    <w:next w:val="Normal"/>
    <w:link w:val="Heading4Char"/>
    <w:unhideWhenUsed/>
    <w:qFormat/>
    <w:rsid w:val="00513F9C"/>
    <w:pPr>
      <w:keepNext/>
      <w:keepLines/>
      <w:spacing w:after="240"/>
      <w:ind w:left="2880" w:hanging="720"/>
      <w:outlineLvl w:val="3"/>
    </w:pPr>
    <w:rPr>
      <w:rFonts w:ascii="Times New Roman Bold" w:hAnsi="Times New Roman Bold" w:eastAsiaTheme="majorEastAsia" w:cstheme="majorBidi"/>
      <w:b/>
      <w:iCs/>
    </w:rPr>
  </w:style>
  <w:style w:type="paragraph" w:styleId="Heading5">
    <w:name w:val="heading 5"/>
    <w:basedOn w:val="Normal"/>
    <w:next w:val="Normal"/>
    <w:link w:val="Heading5Char"/>
    <w:unhideWhenUsed/>
    <w:qFormat/>
    <w:rsid w:val="00204F9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sid w:val="005E1B54"/>
    <w:pPr>
      <w:spacing w:after="120"/>
    </w:pPr>
    <w:rPr>
      <w:sz w:val="20"/>
    </w:rPr>
  </w:style>
  <w:style w:type="character" w:styleId="FootnoteReference">
    <w:name w:val="footnote reference"/>
    <w:uiPriority w:val="99"/>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styleId="Revision">
    <w:name w:val="Revision"/>
    <w:hidden/>
    <w:uiPriority w:val="99"/>
    <w:semiHidden/>
    <w:rsid w:val="00CF21CA"/>
    <w:rPr>
      <w:sz w:val="24"/>
    </w:rPr>
  </w:style>
  <w:style w:type="character" w:customStyle="1" w:styleId="BodyTextChar">
    <w:name w:val="Body Text Char"/>
    <w:link w:val="BodyText"/>
    <w:rsid w:val="005E1B54"/>
    <w:rPr>
      <w:sz w:val="24"/>
    </w:rPr>
  </w:style>
  <w:style w:type="character" w:customStyle="1" w:styleId="BodyTextIndentChar">
    <w:name w:val="Body Text Indent Char"/>
    <w:link w:val="BodyTextIndent"/>
    <w:rsid w:val="005E1B54"/>
    <w:rPr>
      <w:sz w:val="24"/>
    </w:rPr>
  </w:style>
  <w:style w:type="character" w:customStyle="1" w:styleId="UnresolvedMention1">
    <w:name w:val="Unresolved Mention1"/>
    <w:uiPriority w:val="99"/>
    <w:semiHidden/>
    <w:unhideWhenUsed/>
    <w:rsid w:val="001C4E87"/>
    <w:rPr>
      <w:color w:val="605E5C"/>
      <w:shd w:val="clear" w:color="auto" w:fill="E1DFDD"/>
    </w:rPr>
  </w:style>
  <w:style w:type="character" w:customStyle="1" w:styleId="FooterChar">
    <w:name w:val="Footer Char"/>
    <w:link w:val="Footer"/>
    <w:uiPriority w:val="99"/>
    <w:rsid w:val="009E61FC"/>
    <w:rPr>
      <w:lang w:bidi="ar-SA"/>
    </w:rPr>
  </w:style>
  <w:style w:type="character" w:customStyle="1" w:styleId="Heading1Char">
    <w:name w:val="Heading 1 Char"/>
    <w:link w:val="Heading1"/>
    <w:rsid w:val="0031635E"/>
    <w:rPr>
      <w:b/>
      <w:sz w:val="24"/>
      <w:szCs w:val="24"/>
    </w:rPr>
  </w:style>
  <w:style w:type="character" w:customStyle="1" w:styleId="BodyTextIndent3Char">
    <w:name w:val="Body Text Indent 3 Char"/>
    <w:link w:val="BodyTextIndent3"/>
    <w:rsid w:val="00462554"/>
    <w:rPr>
      <w:sz w:val="24"/>
    </w:rPr>
  </w:style>
  <w:style w:type="character" w:customStyle="1" w:styleId="CommentTextChar">
    <w:name w:val="Comment Text Char"/>
    <w:link w:val="CommentText"/>
    <w:uiPriority w:val="99"/>
    <w:semiHidden/>
    <w:rsid w:val="001A4C26"/>
    <w:rPr>
      <w:sz w:val="24"/>
      <w:szCs w:val="24"/>
    </w:rPr>
  </w:style>
  <w:style w:type="paragraph" w:styleId="ListParagraph">
    <w:name w:val="List Paragraph"/>
    <w:basedOn w:val="Normal"/>
    <w:uiPriority w:val="34"/>
    <w:qFormat/>
    <w:rsid w:val="0031635E"/>
    <w:pPr>
      <w:spacing w:after="160" w:line="259" w:lineRule="auto"/>
      <w:ind w:left="720"/>
      <w:contextualSpacing/>
    </w:pPr>
    <w:rPr>
      <w:rFonts w:eastAsiaTheme="minorHAnsi"/>
      <w:szCs w:val="24"/>
    </w:rPr>
  </w:style>
  <w:style w:type="character" w:customStyle="1" w:styleId="FootnoteTextChar">
    <w:name w:val="Footnote Text Char"/>
    <w:basedOn w:val="DefaultParagraphFont"/>
    <w:link w:val="FootnoteText"/>
    <w:uiPriority w:val="99"/>
    <w:semiHidden/>
    <w:rsid w:val="0031635E"/>
  </w:style>
  <w:style w:type="character" w:customStyle="1" w:styleId="markedcontent">
    <w:name w:val="markedcontent"/>
    <w:basedOn w:val="DefaultParagraphFont"/>
    <w:rsid w:val="0031635E"/>
  </w:style>
  <w:style w:type="character" w:customStyle="1" w:styleId="HTMLPreformattedChar">
    <w:name w:val="HTML Preformatted Char"/>
    <w:basedOn w:val="DefaultParagraphFont"/>
    <w:link w:val="HTMLPreformatted"/>
    <w:rsid w:val="0023748D"/>
    <w:rPr>
      <w:rFonts w:ascii="Courier New" w:eastAsia="Courier New" w:hAnsi="Courier New" w:cs="Courier New"/>
    </w:rPr>
  </w:style>
  <w:style w:type="character" w:customStyle="1" w:styleId="UnresolvedMention2">
    <w:name w:val="Unresolved Mention2"/>
    <w:basedOn w:val="DefaultParagraphFont"/>
    <w:rsid w:val="003D7D48"/>
    <w:rPr>
      <w:color w:val="605E5C"/>
      <w:shd w:val="clear" w:color="auto" w:fill="E1DFDD"/>
    </w:rPr>
  </w:style>
  <w:style w:type="paragraph" w:styleId="TOC4">
    <w:name w:val="toc 4"/>
    <w:basedOn w:val="Normal"/>
    <w:next w:val="Normal"/>
    <w:autoRedefine/>
    <w:uiPriority w:val="39"/>
    <w:rsid w:val="004914F9"/>
    <w:pPr>
      <w:numPr>
        <w:numId w:val="25"/>
      </w:numPr>
      <w:tabs>
        <w:tab w:val="decimal" w:leader="dot" w:pos="9360"/>
      </w:tabs>
      <w:spacing w:after="240"/>
      <w:ind w:left="2880" w:hanging="720"/>
    </w:pPr>
  </w:style>
  <w:style w:type="character" w:customStyle="1" w:styleId="Heading4Char">
    <w:name w:val="Heading 4 Char"/>
    <w:basedOn w:val="DefaultParagraphFont"/>
    <w:link w:val="Heading4"/>
    <w:rsid w:val="00513F9C"/>
    <w:rPr>
      <w:rFonts w:ascii="Times New Roman Bold" w:hAnsi="Times New Roman Bold" w:eastAsiaTheme="majorEastAsia" w:cstheme="majorBidi"/>
      <w:b/>
      <w:iCs/>
      <w:sz w:val="24"/>
    </w:rPr>
  </w:style>
  <w:style w:type="paragraph" w:styleId="TOC1">
    <w:name w:val="toc 1"/>
    <w:basedOn w:val="Normal"/>
    <w:next w:val="Normal"/>
    <w:autoRedefine/>
    <w:uiPriority w:val="39"/>
    <w:rsid w:val="00460789"/>
    <w:pPr>
      <w:tabs>
        <w:tab w:val="decimal" w:leader="dot" w:pos="9360"/>
      </w:tabs>
      <w:spacing w:after="240"/>
      <w:ind w:left="720" w:hanging="720"/>
    </w:pPr>
    <w:rPr>
      <w:caps/>
    </w:rPr>
  </w:style>
  <w:style w:type="paragraph" w:styleId="TOC2">
    <w:name w:val="toc 2"/>
    <w:basedOn w:val="Normal"/>
    <w:next w:val="Normal"/>
    <w:autoRedefine/>
    <w:uiPriority w:val="39"/>
    <w:rsid w:val="00D208CF"/>
    <w:pPr>
      <w:tabs>
        <w:tab w:val="decimal" w:leader="dot" w:pos="9360"/>
      </w:tabs>
      <w:spacing w:after="240"/>
      <w:ind w:left="1440" w:hanging="720"/>
    </w:pPr>
  </w:style>
  <w:style w:type="paragraph" w:styleId="TOC3">
    <w:name w:val="toc 3"/>
    <w:basedOn w:val="Normal"/>
    <w:next w:val="Normal"/>
    <w:autoRedefine/>
    <w:uiPriority w:val="39"/>
    <w:rsid w:val="003C5E89"/>
    <w:pPr>
      <w:tabs>
        <w:tab w:val="decimal" w:leader="dot" w:pos="9360"/>
      </w:tabs>
      <w:spacing w:after="240"/>
      <w:ind w:left="1440" w:hanging="720"/>
    </w:pPr>
  </w:style>
  <w:style w:type="character" w:customStyle="1" w:styleId="Heading5Char">
    <w:name w:val="Heading 5 Char"/>
    <w:basedOn w:val="DefaultParagraphFont"/>
    <w:link w:val="Heading5"/>
    <w:rsid w:val="00204F93"/>
    <w:rPr>
      <w:rFonts w:asciiTheme="majorHAnsi" w:eastAsiaTheme="majorEastAsia" w:hAnsiTheme="majorHAnsi" w:cstheme="majorBidi"/>
      <w:color w:val="2F5496" w:themeColor="accent1" w:themeShade="BF"/>
      <w:sz w:val="24"/>
    </w:rPr>
  </w:style>
  <w:style w:type="table" w:customStyle="1" w:styleId="TableGrid1">
    <w:name w:val="Table Grid1"/>
    <w:basedOn w:val="TableNormal"/>
    <w:next w:val="TableGrid"/>
    <w:rsid w:val="004731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lindgren@ohioago.gov" TargetMode="External" /><Relationship Id="rId11" Type="http://schemas.openxmlformats.org/officeDocument/2006/relationships/hyperlink" Target="mailto:sjagers@ohiopovertylaw.org" TargetMode="External" /><Relationship Id="rId12" Type="http://schemas.openxmlformats.org/officeDocument/2006/relationships/hyperlink" Target="mailto:sarah.parrot@puco.ohio.gov" TargetMode="External" /><Relationship Id="rId13" Type="http://schemas.openxmlformats.org/officeDocument/2006/relationships/hyperlink" Target="mailto:greta.see@puco.ohio.gov" TargetMode="External" /><Relationship Id="rId14" Type="http://schemas.openxmlformats.org/officeDocument/2006/relationships/hyperlink" Target="mailto:stnourse@aep.com" TargetMode="External" /><Relationship Id="rId15" Type="http://schemas.openxmlformats.org/officeDocument/2006/relationships/hyperlink" Target="mailto:mjschuler@aep.com" TargetMode="Externa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y.botschner.obrie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AB4FF-C67D-45E1-A404-07C73E75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5039</Words>
  <Characters>28724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2022-09-28T20:28:13Z</dcterms:created>
  <dcterms:modified xsi:type="dcterms:W3CDTF">2022-09-28T20:28:13Z</dcterms:modified>
</cp:coreProperties>
</file>