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76" w:rsidRPr="00710E80" w:rsidRDefault="007C2976" w:rsidP="007C2976">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7C2976" w:rsidRPr="00710E80" w:rsidRDefault="007C2976" w:rsidP="007C2976">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7C2976" w:rsidRPr="00710E80" w:rsidRDefault="007C2976" w:rsidP="007C2976">
      <w:pPr>
        <w:pStyle w:val="HTMLPreformatted"/>
        <w:rPr>
          <w:rFonts w:ascii="Times New Roman" w:hAnsi="Times New Roman" w:cs="Times New Roman"/>
          <w:sz w:val="24"/>
        </w:rPr>
      </w:pPr>
    </w:p>
    <w:tbl>
      <w:tblPr>
        <w:tblW w:w="9092" w:type="dxa"/>
        <w:tblLook w:val="01E0" w:firstRow="1" w:lastRow="1" w:firstColumn="1" w:lastColumn="1" w:noHBand="0" w:noVBand="0"/>
      </w:tblPr>
      <w:tblGrid>
        <w:gridCol w:w="4332"/>
        <w:gridCol w:w="360"/>
        <w:gridCol w:w="4400"/>
      </w:tblGrid>
      <w:tr w:rsidR="007C2976" w:rsidRPr="00710E80" w:rsidTr="00C30244">
        <w:trPr>
          <w:trHeight w:val="807"/>
        </w:trPr>
        <w:tc>
          <w:tcPr>
            <w:tcW w:w="4332" w:type="dxa"/>
            <w:shd w:val="clear" w:color="auto" w:fill="auto"/>
          </w:tcPr>
          <w:p w:rsidR="007C2976" w:rsidRPr="00710E80" w:rsidRDefault="007C2976" w:rsidP="002052C2">
            <w:pPr>
              <w:autoSpaceDE w:val="0"/>
              <w:autoSpaceDN w:val="0"/>
              <w:adjustRightInd w:val="0"/>
            </w:pPr>
            <w:r w:rsidRPr="00710E80">
              <w:t xml:space="preserve">In the Matter of </w:t>
            </w:r>
            <w:r w:rsidR="00A63355" w:rsidRPr="00710E80">
              <w:t xml:space="preserve">the Application of </w:t>
            </w:r>
            <w:r w:rsidR="00592BE9">
              <w:t xml:space="preserve">Duke Energy Ohio, Inc., for </w:t>
            </w:r>
            <w:r w:rsidR="002052C2">
              <w:t>Authority to Defer Environmental Investigation and Remediation Costs</w:t>
            </w:r>
            <w:r w:rsidR="00592BE9">
              <w:t>.</w:t>
            </w:r>
          </w:p>
        </w:tc>
        <w:tc>
          <w:tcPr>
            <w:tcW w:w="360" w:type="dxa"/>
            <w:shd w:val="clear" w:color="auto" w:fill="auto"/>
          </w:tcPr>
          <w:p w:rsidR="007C2976"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7C2976"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7C2976"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2052C2" w:rsidRPr="00710E80" w:rsidRDefault="002052C2" w:rsidP="00C31A75">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7C2976" w:rsidRPr="00710E80" w:rsidRDefault="007C2976" w:rsidP="00C31A75">
            <w:pPr>
              <w:pStyle w:val="HTMLPreformatted"/>
              <w:rPr>
                <w:rFonts w:ascii="Times New Roman" w:hAnsi="Times New Roman" w:cs="Times New Roman"/>
                <w:sz w:val="24"/>
              </w:rPr>
            </w:pPr>
          </w:p>
          <w:p w:rsidR="007C2976" w:rsidRPr="00710E80" w:rsidRDefault="007C2976" w:rsidP="00C31A75">
            <w:pPr>
              <w:rPr>
                <w:i/>
              </w:rPr>
            </w:pPr>
            <w:r w:rsidRPr="00710E80">
              <w:t xml:space="preserve">Case No. </w:t>
            </w:r>
            <w:r w:rsidR="002052C2">
              <w:rPr>
                <w:szCs w:val="24"/>
              </w:rPr>
              <w:t>16-1106-GA-AAM</w:t>
            </w:r>
          </w:p>
          <w:p w:rsidR="007C2976" w:rsidRPr="00710E80" w:rsidRDefault="007C2976" w:rsidP="00C31A75">
            <w:pPr>
              <w:pStyle w:val="HTMLPreformatted"/>
              <w:rPr>
                <w:rFonts w:ascii="Times New Roman" w:hAnsi="Times New Roman" w:cs="Times New Roman"/>
                <w:sz w:val="24"/>
              </w:rPr>
            </w:pPr>
          </w:p>
        </w:tc>
      </w:tr>
      <w:tr w:rsidR="00592BE9" w:rsidRPr="00710E80" w:rsidTr="00C30244">
        <w:trPr>
          <w:trHeight w:val="807"/>
        </w:trPr>
        <w:tc>
          <w:tcPr>
            <w:tcW w:w="4332" w:type="dxa"/>
            <w:shd w:val="clear" w:color="auto" w:fill="auto"/>
          </w:tcPr>
          <w:p w:rsidR="00793302" w:rsidRDefault="00793302" w:rsidP="00592BE9">
            <w:pPr>
              <w:autoSpaceDE w:val="0"/>
              <w:autoSpaceDN w:val="0"/>
              <w:adjustRightInd w:val="0"/>
            </w:pPr>
          </w:p>
          <w:p w:rsidR="00592BE9" w:rsidRPr="00710E80" w:rsidRDefault="00592BE9" w:rsidP="00592BE9">
            <w:pPr>
              <w:autoSpaceDE w:val="0"/>
              <w:autoSpaceDN w:val="0"/>
              <w:adjustRightInd w:val="0"/>
            </w:pPr>
            <w:r>
              <w:t>In the Matter of the Application of Duke Energy Ohio, Inc.</w:t>
            </w:r>
            <w:r w:rsidR="00BD03C9">
              <w:t>, for Tar</w:t>
            </w:r>
            <w:r>
              <w:t>iff Approval</w:t>
            </w:r>
          </w:p>
        </w:tc>
        <w:tc>
          <w:tcPr>
            <w:tcW w:w="360" w:type="dxa"/>
            <w:shd w:val="clear" w:color="auto" w:fill="auto"/>
          </w:tcPr>
          <w:p w:rsidR="00592BE9" w:rsidRDefault="00592BE9" w:rsidP="00C31A75">
            <w:pPr>
              <w:pStyle w:val="HTMLPreformatted"/>
              <w:rPr>
                <w:rFonts w:ascii="Times New Roman" w:hAnsi="Times New Roman" w:cs="Times New Roman"/>
                <w:sz w:val="24"/>
              </w:rPr>
            </w:pPr>
          </w:p>
          <w:p w:rsidR="00592BE9" w:rsidRDefault="00592BE9" w:rsidP="00C31A75">
            <w:pPr>
              <w:pStyle w:val="HTMLPreformatted"/>
              <w:rPr>
                <w:rFonts w:ascii="Times New Roman" w:hAnsi="Times New Roman" w:cs="Times New Roman"/>
                <w:sz w:val="24"/>
              </w:rPr>
            </w:pPr>
            <w:r>
              <w:rPr>
                <w:rFonts w:ascii="Times New Roman" w:hAnsi="Times New Roman" w:cs="Times New Roman"/>
                <w:sz w:val="24"/>
              </w:rPr>
              <w:t>)</w:t>
            </w:r>
          </w:p>
          <w:p w:rsidR="00592BE9" w:rsidRPr="00710E80" w:rsidRDefault="00592BE9" w:rsidP="00C31A75">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592BE9" w:rsidRDefault="00592BE9" w:rsidP="00C31A75">
            <w:pPr>
              <w:pStyle w:val="HTMLPreformatted"/>
              <w:rPr>
                <w:rFonts w:ascii="Times New Roman" w:hAnsi="Times New Roman" w:cs="Times New Roman"/>
                <w:sz w:val="24"/>
              </w:rPr>
            </w:pPr>
          </w:p>
          <w:p w:rsidR="00592BE9" w:rsidRDefault="002052C2" w:rsidP="00C31A75">
            <w:pPr>
              <w:pStyle w:val="HTMLPreformatted"/>
              <w:rPr>
                <w:rFonts w:ascii="Times New Roman" w:hAnsi="Times New Roman" w:cs="Times New Roman"/>
                <w:sz w:val="24"/>
              </w:rPr>
            </w:pPr>
            <w:r>
              <w:rPr>
                <w:rFonts w:ascii="Times New Roman" w:hAnsi="Times New Roman" w:cs="Times New Roman"/>
                <w:sz w:val="24"/>
              </w:rPr>
              <w:t>Case No. 16-1107</w:t>
            </w:r>
            <w:r w:rsidR="00592BE9">
              <w:rPr>
                <w:rFonts w:ascii="Times New Roman" w:hAnsi="Times New Roman" w:cs="Times New Roman"/>
                <w:sz w:val="24"/>
              </w:rPr>
              <w:t>-GA-</w:t>
            </w:r>
            <w:r>
              <w:rPr>
                <w:rFonts w:ascii="Times New Roman" w:hAnsi="Times New Roman" w:cs="Times New Roman"/>
                <w:sz w:val="24"/>
              </w:rPr>
              <w:t>UNC</w:t>
            </w:r>
          </w:p>
          <w:p w:rsidR="00592BE9" w:rsidRPr="00710E80" w:rsidRDefault="00592BE9" w:rsidP="00C31A75">
            <w:pPr>
              <w:pStyle w:val="HTMLPreformatted"/>
              <w:rPr>
                <w:rFonts w:ascii="Times New Roman" w:hAnsi="Times New Roman" w:cs="Times New Roman"/>
                <w:sz w:val="24"/>
              </w:rPr>
            </w:pPr>
          </w:p>
        </w:tc>
      </w:tr>
    </w:tbl>
    <w:p w:rsidR="007C2976" w:rsidRPr="00710E80" w:rsidRDefault="007C2976" w:rsidP="007C2976">
      <w:pPr>
        <w:pStyle w:val="HTMLPreformatted"/>
        <w:rPr>
          <w:rFonts w:ascii="Times New Roman" w:hAnsi="Times New Roman" w:cs="Times New Roman"/>
          <w:sz w:val="24"/>
        </w:rPr>
      </w:pPr>
    </w:p>
    <w:p w:rsidR="007C2976" w:rsidRPr="00710E80" w:rsidRDefault="007C2976" w:rsidP="007C2976">
      <w:pPr>
        <w:pStyle w:val="HTMLPreformatted"/>
        <w:pBdr>
          <w:top w:val="single" w:sz="12" w:space="1" w:color="auto"/>
        </w:pBdr>
        <w:rPr>
          <w:rFonts w:ascii="Times New Roman" w:hAnsi="Times New Roman" w:cs="Times New Roman"/>
          <w:sz w:val="24"/>
        </w:rPr>
      </w:pPr>
    </w:p>
    <w:p w:rsidR="007C2976" w:rsidRPr="00710E80" w:rsidRDefault="007C2976" w:rsidP="007C2976">
      <w:pPr>
        <w:jc w:val="center"/>
        <w:rPr>
          <w:b/>
          <w:bCs/>
        </w:rPr>
      </w:pPr>
      <w:r w:rsidRPr="00710E80">
        <w:rPr>
          <w:b/>
          <w:bCs/>
        </w:rPr>
        <w:t>MOTION TO INTERVENE</w:t>
      </w:r>
    </w:p>
    <w:p w:rsidR="007C2976" w:rsidRPr="00710E80" w:rsidRDefault="007C2976" w:rsidP="007C2976">
      <w:pPr>
        <w:jc w:val="center"/>
        <w:rPr>
          <w:b/>
          <w:bCs/>
        </w:rPr>
      </w:pPr>
      <w:r w:rsidRPr="00710E80">
        <w:rPr>
          <w:b/>
          <w:bCs/>
        </w:rPr>
        <w:t>BY</w:t>
      </w:r>
    </w:p>
    <w:p w:rsidR="007C2976" w:rsidRPr="00710E80" w:rsidRDefault="007C2976" w:rsidP="007C2976">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sidR="007564A2">
        <w:rPr>
          <w:b/>
          <w:bCs/>
        </w:rPr>
        <w:t>'</w:t>
      </w:r>
      <w:r w:rsidRPr="00710E80">
        <w:rPr>
          <w:b/>
          <w:bCs/>
        </w:rPr>
        <w:t xml:space="preserve"> COUNSEL</w:t>
      </w:r>
    </w:p>
    <w:p w:rsidR="007C2976" w:rsidRPr="00710E80" w:rsidRDefault="007C2976" w:rsidP="007C2976">
      <w:pPr>
        <w:pBdr>
          <w:bottom w:val="single" w:sz="12" w:space="1" w:color="auto"/>
        </w:pBdr>
        <w:tabs>
          <w:tab w:val="left" w:pos="4320"/>
        </w:tabs>
      </w:pPr>
    </w:p>
    <w:p w:rsidR="007C2976" w:rsidRPr="00710E80" w:rsidRDefault="007C2976" w:rsidP="001A5489">
      <w:pPr>
        <w:spacing w:before="240" w:line="480" w:lineRule="auto"/>
        <w:ind w:firstLine="720"/>
      </w:pPr>
      <w:r w:rsidRPr="00710E80">
        <w:t>The Office of the Ohio Consumers</w:t>
      </w:r>
      <w:r w:rsidR="007564A2">
        <w:t>'</w:t>
      </w:r>
      <w:r w:rsidRPr="00710E80">
        <w:t xml:space="preserve"> Counsel (</w:t>
      </w:r>
      <w:r w:rsidR="007564A2">
        <w:t>"</w:t>
      </w:r>
      <w:r w:rsidRPr="007D0EBE">
        <w:t>OCC</w:t>
      </w:r>
      <w:r w:rsidR="007564A2">
        <w:t>"</w:t>
      </w:r>
      <w:r w:rsidRPr="00710E80">
        <w:t>)</w:t>
      </w:r>
      <w:r w:rsidR="00E02C3F">
        <w:rPr>
          <w:rStyle w:val="FootnoteReference"/>
        </w:rPr>
        <w:footnoteReference w:id="1"/>
      </w:r>
      <w:r w:rsidRPr="00710E80">
        <w:t xml:space="preserve"> moves to intervene in th</w:t>
      </w:r>
      <w:r w:rsidR="00280E63" w:rsidRPr="00710E80">
        <w:t>i</w:t>
      </w:r>
      <w:r w:rsidR="004C1B7C" w:rsidRPr="00710E80">
        <w:t xml:space="preserve">s case </w:t>
      </w:r>
      <w:r w:rsidR="00195797" w:rsidRPr="00710E80">
        <w:t xml:space="preserve">in </w:t>
      </w:r>
      <w:r w:rsidR="004C1B7C" w:rsidRPr="00710E80">
        <w:t xml:space="preserve">which </w:t>
      </w:r>
      <w:r w:rsidR="00592BE9">
        <w:t>Duke Energy Ohio, Inc. (</w:t>
      </w:r>
      <w:r w:rsidR="007564A2">
        <w:t>"</w:t>
      </w:r>
      <w:r w:rsidR="00592BE9" w:rsidRPr="007D0EBE">
        <w:t>Duke Energy</w:t>
      </w:r>
      <w:r w:rsidR="007564A2">
        <w:t>"</w:t>
      </w:r>
      <w:r w:rsidR="00592BE9">
        <w:t xml:space="preserve">) </w:t>
      </w:r>
      <w:r w:rsidR="002052C2">
        <w:t>see</w:t>
      </w:r>
      <w:r w:rsidR="00E02C3F">
        <w:t xml:space="preserve">ks to extend its current accounting authority </w:t>
      </w:r>
      <w:r w:rsidR="006C54B2">
        <w:t xml:space="preserve">(beyond December 31, 2016) </w:t>
      </w:r>
      <w:r w:rsidR="00E02C3F">
        <w:t>t</w:t>
      </w:r>
      <w:r w:rsidR="002052C2">
        <w:t xml:space="preserve">o </w:t>
      </w:r>
      <w:r w:rsidR="006C54B2">
        <w:t xml:space="preserve">defer </w:t>
      </w:r>
      <w:r w:rsidR="00E02C3F">
        <w:t>expenses</w:t>
      </w:r>
      <w:r w:rsidR="009C5359">
        <w:t xml:space="preserve"> </w:t>
      </w:r>
      <w:r w:rsidR="00E02C3F">
        <w:t xml:space="preserve">it incurs to </w:t>
      </w:r>
      <w:r w:rsidR="007564A2">
        <w:t>clean</w:t>
      </w:r>
      <w:r w:rsidR="009244B1">
        <w:t xml:space="preserve"> </w:t>
      </w:r>
      <w:r w:rsidR="007564A2">
        <w:t xml:space="preserve">up defunct </w:t>
      </w:r>
      <w:r w:rsidR="00EF78D6">
        <w:t>manufactured gas plant ("</w:t>
      </w:r>
      <w:r w:rsidR="00EF78D6" w:rsidRPr="007D0EBE">
        <w:t>MGP</w:t>
      </w:r>
      <w:r w:rsidR="00EF78D6">
        <w:t>") sites</w:t>
      </w:r>
      <w:r w:rsidR="00E02C3F">
        <w:t>.</w:t>
      </w:r>
      <w:r w:rsidRPr="00710E80" w:rsidDel="00BB0A07">
        <w:rPr>
          <w:rStyle w:val="FootnoteReference"/>
        </w:rPr>
        <w:footnoteReference w:id="2"/>
      </w:r>
      <w:r w:rsidR="002726CD">
        <w:t xml:space="preserve">  </w:t>
      </w:r>
      <w:r w:rsidRPr="00710E80">
        <w:t>The Public</w:t>
      </w:r>
      <w:r w:rsidR="00DC77AF" w:rsidRPr="00710E80">
        <w:t xml:space="preserve"> Utilities Commission of Ohio</w:t>
      </w:r>
      <w:r w:rsidR="002729A5" w:rsidRPr="00710E80">
        <w:t xml:space="preserve"> (</w:t>
      </w:r>
      <w:r w:rsidR="00592BE9">
        <w:t xml:space="preserve">the </w:t>
      </w:r>
      <w:r w:rsidR="007564A2">
        <w:t>"</w:t>
      </w:r>
      <w:r w:rsidR="002729A5" w:rsidRPr="007D0EBE">
        <w:t>PUCO</w:t>
      </w:r>
      <w:r w:rsidR="007564A2">
        <w:t>"</w:t>
      </w:r>
      <w:r w:rsidR="002729A5" w:rsidRPr="00710E80">
        <w:t>)</w:t>
      </w:r>
      <w:r w:rsidR="00DC77AF" w:rsidRPr="00710E80">
        <w:t xml:space="preserve"> </w:t>
      </w:r>
      <w:r w:rsidR="002729A5" w:rsidRPr="00710E80">
        <w:t>should grant OCC</w:t>
      </w:r>
      <w:r w:rsidR="007564A2">
        <w:t>'</w:t>
      </w:r>
      <w:r w:rsidR="002729A5" w:rsidRPr="00710E80">
        <w:t>s m</w:t>
      </w:r>
      <w:r w:rsidRPr="00710E80">
        <w:t xml:space="preserve">otion </w:t>
      </w:r>
      <w:r w:rsidR="001A5489" w:rsidRPr="00710E80">
        <w:t>for the reasons set forth in the attached memorandum in s</w:t>
      </w:r>
      <w:r w:rsidRPr="00710E80">
        <w:t>upport.</w:t>
      </w:r>
    </w:p>
    <w:p w:rsidR="002726CD" w:rsidRDefault="002726CD">
      <w:pPr>
        <w:rPr>
          <w:szCs w:val="24"/>
        </w:rPr>
      </w:pPr>
      <w:r>
        <w:rPr>
          <w:szCs w:val="24"/>
        </w:rPr>
        <w:br w:type="page"/>
      </w:r>
    </w:p>
    <w:p w:rsidR="007C2976" w:rsidRPr="00710E80" w:rsidRDefault="007C2976" w:rsidP="00A25FE5">
      <w:pPr>
        <w:pStyle w:val="BodyTextIndent3"/>
        <w:widowControl w:val="0"/>
        <w:spacing w:line="480" w:lineRule="auto"/>
        <w:ind w:left="4320" w:firstLine="0"/>
        <w:rPr>
          <w:szCs w:val="24"/>
        </w:rPr>
      </w:pPr>
      <w:r w:rsidRPr="00710E80">
        <w:rPr>
          <w:szCs w:val="24"/>
        </w:rPr>
        <w:lastRenderedPageBreak/>
        <w:t>Respectfully submitted,</w:t>
      </w:r>
    </w:p>
    <w:p w:rsidR="007C2976" w:rsidRPr="00710E80" w:rsidRDefault="007C2976" w:rsidP="003B5047">
      <w:pPr>
        <w:ind w:left="4320"/>
      </w:pPr>
      <w:r w:rsidRPr="00710E80">
        <w:t>BRUCE J. WESTON</w:t>
      </w:r>
      <w:r w:rsidR="003B5047" w:rsidRPr="00710E80">
        <w:t xml:space="preserve"> (0016973)</w:t>
      </w:r>
    </w:p>
    <w:p w:rsidR="007C2976" w:rsidRPr="00710E80" w:rsidRDefault="003B5047" w:rsidP="007C2976">
      <w:pPr>
        <w:tabs>
          <w:tab w:val="left" w:pos="4320"/>
        </w:tabs>
        <w:ind w:left="4320"/>
        <w:rPr>
          <w:szCs w:val="24"/>
        </w:rPr>
      </w:pPr>
      <w:r w:rsidRPr="00710E80">
        <w:rPr>
          <w:szCs w:val="24"/>
        </w:rPr>
        <w:t>OHIO</w:t>
      </w:r>
      <w:r w:rsidR="007C2976" w:rsidRPr="00710E80">
        <w:rPr>
          <w:szCs w:val="24"/>
        </w:rPr>
        <w:t xml:space="preserve"> CONSUMERS</w:t>
      </w:r>
      <w:r w:rsidR="007564A2">
        <w:rPr>
          <w:szCs w:val="24"/>
        </w:rPr>
        <w:t>'</w:t>
      </w:r>
      <w:r w:rsidR="007C2976" w:rsidRPr="00710E80">
        <w:rPr>
          <w:szCs w:val="24"/>
        </w:rPr>
        <w:t xml:space="preserve"> COUNSEL</w:t>
      </w:r>
    </w:p>
    <w:p w:rsidR="007C2976" w:rsidRPr="00710E80" w:rsidRDefault="007C2976" w:rsidP="007C2976">
      <w:pPr>
        <w:tabs>
          <w:tab w:val="left" w:pos="4320"/>
        </w:tabs>
        <w:ind w:left="4320"/>
        <w:rPr>
          <w:szCs w:val="24"/>
        </w:rPr>
      </w:pPr>
    </w:p>
    <w:p w:rsidR="00C05D8D" w:rsidRPr="00710E80" w:rsidRDefault="00C05D8D" w:rsidP="00C05D8D">
      <w:pPr>
        <w:autoSpaceDE w:val="0"/>
        <w:autoSpaceDN w:val="0"/>
        <w:adjustRightInd w:val="0"/>
        <w:ind w:left="4320"/>
        <w:rPr>
          <w:i/>
        </w:rPr>
      </w:pPr>
      <w:r w:rsidRPr="00710E80">
        <w:rPr>
          <w:i/>
          <w:u w:val="single"/>
        </w:rPr>
        <w:t>/s/</w:t>
      </w:r>
      <w:r w:rsidR="004C1B7C" w:rsidRPr="00710E80">
        <w:rPr>
          <w:i/>
          <w:u w:val="single"/>
        </w:rPr>
        <w:t xml:space="preserve"> Christopher Healey</w:t>
      </w:r>
      <w:r w:rsidR="004C1B7C" w:rsidRPr="00710E80">
        <w:rPr>
          <w:i/>
          <w:u w:val="single"/>
        </w:rPr>
        <w:tab/>
      </w:r>
      <w:r w:rsidR="004C1B7C" w:rsidRPr="00710E80">
        <w:rPr>
          <w:i/>
          <w:u w:val="single"/>
        </w:rPr>
        <w:tab/>
      </w:r>
    </w:p>
    <w:p w:rsidR="007C2976" w:rsidRPr="00710E80" w:rsidRDefault="001A5489" w:rsidP="007C2976">
      <w:pPr>
        <w:tabs>
          <w:tab w:val="left" w:pos="4320"/>
        </w:tabs>
        <w:ind w:left="4320"/>
        <w:rPr>
          <w:szCs w:val="24"/>
        </w:rPr>
      </w:pPr>
      <w:r w:rsidRPr="00710E80">
        <w:rPr>
          <w:szCs w:val="24"/>
        </w:rPr>
        <w:t>Christopher Healey</w:t>
      </w:r>
      <w:r w:rsidR="003B5047" w:rsidRPr="00710E80">
        <w:rPr>
          <w:szCs w:val="24"/>
        </w:rPr>
        <w:t xml:space="preserve"> (00</w:t>
      </w:r>
      <w:r w:rsidRPr="00710E80">
        <w:rPr>
          <w:szCs w:val="24"/>
        </w:rPr>
        <w:t>86027</w:t>
      </w:r>
      <w:r w:rsidR="003B5047" w:rsidRPr="00710E80">
        <w:rPr>
          <w:szCs w:val="24"/>
        </w:rPr>
        <w:t>)</w:t>
      </w:r>
      <w:r w:rsidRPr="00710E80">
        <w:rPr>
          <w:szCs w:val="24"/>
        </w:rPr>
        <w:br/>
      </w:r>
      <w:r w:rsidR="007C2976" w:rsidRPr="00710E80">
        <w:rPr>
          <w:szCs w:val="24"/>
        </w:rPr>
        <w:t>Counsel of Record</w:t>
      </w:r>
    </w:p>
    <w:p w:rsidR="003B5047" w:rsidRPr="00710E80" w:rsidRDefault="00592BE9" w:rsidP="003B5047">
      <w:pPr>
        <w:tabs>
          <w:tab w:val="left" w:pos="4320"/>
        </w:tabs>
        <w:ind w:left="4320"/>
        <w:rPr>
          <w:szCs w:val="24"/>
        </w:rPr>
      </w:pPr>
      <w:r>
        <w:rPr>
          <w:szCs w:val="24"/>
        </w:rPr>
        <w:t>Ajay Kumar</w:t>
      </w:r>
      <w:r w:rsidR="003B5047" w:rsidRPr="00710E80">
        <w:rPr>
          <w:szCs w:val="24"/>
        </w:rPr>
        <w:t xml:space="preserve"> (</w:t>
      </w:r>
      <w:r>
        <w:rPr>
          <w:rFonts w:eastAsiaTheme="minorEastAsia"/>
          <w:szCs w:val="24"/>
        </w:rPr>
        <w:t>0092208</w:t>
      </w:r>
      <w:r w:rsidR="003B5047" w:rsidRPr="00710E80">
        <w:t>)</w:t>
      </w:r>
    </w:p>
    <w:p w:rsidR="003B5047" w:rsidRPr="00710E80" w:rsidRDefault="001A5489" w:rsidP="003B5047">
      <w:pPr>
        <w:tabs>
          <w:tab w:val="left" w:pos="4320"/>
        </w:tabs>
        <w:ind w:left="4320"/>
        <w:rPr>
          <w:szCs w:val="24"/>
        </w:rPr>
      </w:pPr>
      <w:r w:rsidRPr="00710E80">
        <w:rPr>
          <w:szCs w:val="24"/>
        </w:rPr>
        <w:t>Assistant Consumers</w:t>
      </w:r>
      <w:r w:rsidR="007564A2">
        <w:rPr>
          <w:szCs w:val="24"/>
        </w:rPr>
        <w:t>'</w:t>
      </w:r>
      <w:r w:rsidRPr="00710E80">
        <w:rPr>
          <w:szCs w:val="24"/>
        </w:rPr>
        <w:t xml:space="preserve"> Counsel</w:t>
      </w:r>
    </w:p>
    <w:p w:rsidR="007C2976" w:rsidRPr="00710E80" w:rsidRDefault="007C2976" w:rsidP="007C2976">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sidR="007564A2">
        <w:rPr>
          <w:u w:val="none"/>
        </w:rPr>
        <w:t>'</w:t>
      </w:r>
      <w:r w:rsidRPr="00710E80">
        <w:rPr>
          <w:u w:val="none"/>
        </w:rPr>
        <w:t xml:space="preserve"> Counsel</w:t>
      </w:r>
    </w:p>
    <w:p w:rsidR="007C2976" w:rsidRPr="00710E80" w:rsidRDefault="007C2976" w:rsidP="007C2976">
      <w:pPr>
        <w:pStyle w:val="Heading1"/>
        <w:ind w:left="4320"/>
        <w:rPr>
          <w:b w:val="0"/>
          <w:u w:val="none"/>
        </w:rPr>
      </w:pPr>
      <w:smartTag w:uri="urn:schemas-microsoft-com:office:smarttags" w:element="Street">
        <w:smartTag w:uri="urn:schemas-microsoft-com:office:smarttags" w:element="address">
          <w:r w:rsidRPr="00710E80">
            <w:rPr>
              <w:b w:val="0"/>
              <w:u w:val="none"/>
            </w:rPr>
            <w:t>10 West Broad Street, Suite 1800</w:t>
          </w:r>
        </w:smartTag>
      </w:smartTag>
    </w:p>
    <w:p w:rsidR="007C2976" w:rsidRPr="00710E80" w:rsidRDefault="007C2976" w:rsidP="007C2976">
      <w:pPr>
        <w:pStyle w:val="Heading1"/>
        <w:ind w:left="4320"/>
        <w:rPr>
          <w:b w:val="0"/>
          <w:u w:val="none"/>
        </w:rPr>
      </w:pPr>
      <w:smartTag w:uri="urn:schemas-microsoft-com:office:smarttags" w:element="place">
        <w:smartTag w:uri="urn:schemas-microsoft-com:office:smarttags" w:element="City">
          <w:r w:rsidRPr="00710E80">
            <w:rPr>
              <w:b w:val="0"/>
              <w:u w:val="none"/>
            </w:rPr>
            <w:t>Columbus</w:t>
          </w:r>
        </w:smartTag>
        <w:r w:rsidRPr="00710E80">
          <w:rPr>
            <w:b w:val="0"/>
            <w:u w:val="none"/>
          </w:rPr>
          <w:t xml:space="preserve">, </w:t>
        </w:r>
        <w:smartTag w:uri="urn:schemas-microsoft-com:office:smarttags" w:element="State">
          <w:r w:rsidRPr="00710E80">
            <w:rPr>
              <w:b w:val="0"/>
              <w:u w:val="none"/>
            </w:rPr>
            <w:t>Ohio</w:t>
          </w:r>
        </w:smartTag>
        <w:r w:rsidRPr="00710E80">
          <w:rPr>
            <w:b w:val="0"/>
            <w:u w:val="none"/>
          </w:rPr>
          <w:t xml:space="preserve"> </w:t>
        </w:r>
        <w:smartTag w:uri="urn:schemas-microsoft-com:office:smarttags" w:element="PostalCode">
          <w:r w:rsidRPr="00710E80">
            <w:rPr>
              <w:b w:val="0"/>
              <w:u w:val="none"/>
            </w:rPr>
            <w:t>43215-3485</w:t>
          </w:r>
        </w:smartTag>
      </w:smartTag>
    </w:p>
    <w:p w:rsidR="003B5047" w:rsidRPr="00710E80" w:rsidRDefault="001A5489" w:rsidP="003B5047">
      <w:pPr>
        <w:autoSpaceDE w:val="0"/>
        <w:autoSpaceDN w:val="0"/>
        <w:adjustRightInd w:val="0"/>
        <w:ind w:left="3600" w:firstLine="720"/>
        <w:rPr>
          <w:szCs w:val="24"/>
        </w:rPr>
      </w:pPr>
      <w:r w:rsidRPr="00710E80">
        <w:rPr>
          <w:szCs w:val="24"/>
        </w:rPr>
        <w:t xml:space="preserve">Telephone: </w:t>
      </w:r>
      <w:r w:rsidR="003B5047" w:rsidRPr="00710E80">
        <w:rPr>
          <w:szCs w:val="24"/>
        </w:rPr>
        <w:t>(614) 466-9571 (Healey direct)</w:t>
      </w:r>
    </w:p>
    <w:p w:rsidR="001A5489" w:rsidRPr="00710E80" w:rsidRDefault="001A5489" w:rsidP="001A5489">
      <w:pPr>
        <w:ind w:left="4320"/>
        <w:rPr>
          <w:szCs w:val="24"/>
        </w:rPr>
      </w:pPr>
      <w:r w:rsidRPr="00710E80">
        <w:t xml:space="preserve">Telephone: (614) </w:t>
      </w:r>
      <w:r w:rsidR="00BD03C9">
        <w:rPr>
          <w:szCs w:val="24"/>
        </w:rPr>
        <w:t>466-1292</w:t>
      </w:r>
      <w:r w:rsidRPr="00710E80">
        <w:rPr>
          <w:szCs w:val="24"/>
        </w:rPr>
        <w:t xml:space="preserve"> (</w:t>
      </w:r>
      <w:r w:rsidR="00BD03C9">
        <w:rPr>
          <w:szCs w:val="24"/>
        </w:rPr>
        <w:t>Kumar</w:t>
      </w:r>
      <w:r w:rsidRPr="00710E80">
        <w:rPr>
          <w:szCs w:val="24"/>
        </w:rPr>
        <w:t xml:space="preserve"> direct)</w:t>
      </w:r>
    </w:p>
    <w:p w:rsidR="003B5047" w:rsidRPr="00710E80" w:rsidRDefault="004D106D" w:rsidP="003B5047">
      <w:pPr>
        <w:ind w:left="4320"/>
        <w:rPr>
          <w:szCs w:val="24"/>
        </w:rPr>
      </w:pPr>
      <w:hyperlink r:id="rId8" w:history="1">
        <w:r w:rsidR="001A5489" w:rsidRPr="00710E80">
          <w:rPr>
            <w:rStyle w:val="Hyperlink"/>
            <w:szCs w:val="24"/>
          </w:rPr>
          <w:t>christopher.healey@occ.ohio.gov</w:t>
        </w:r>
      </w:hyperlink>
    </w:p>
    <w:p w:rsidR="001A5489" w:rsidRPr="00710E80" w:rsidRDefault="004D106D" w:rsidP="003B5047">
      <w:pPr>
        <w:ind w:left="4320"/>
        <w:rPr>
          <w:szCs w:val="24"/>
        </w:rPr>
      </w:pPr>
      <w:hyperlink r:id="rId9" w:history="1">
        <w:r w:rsidR="00592BE9" w:rsidRPr="00C90501">
          <w:rPr>
            <w:rStyle w:val="Hyperlink"/>
          </w:rPr>
          <w:t>ajay.kumar</w:t>
        </w:r>
        <w:r w:rsidR="00592BE9" w:rsidRPr="00C90501">
          <w:rPr>
            <w:rStyle w:val="Hyperlink"/>
            <w:szCs w:val="24"/>
          </w:rPr>
          <w:t>@occ.ohio.gov</w:t>
        </w:r>
      </w:hyperlink>
    </w:p>
    <w:p w:rsidR="00D50439" w:rsidRPr="00710E80" w:rsidRDefault="00E40815" w:rsidP="003B5047">
      <w:pPr>
        <w:ind w:left="4320"/>
        <w:rPr>
          <w:szCs w:val="24"/>
        </w:rPr>
        <w:sectPr w:rsidR="00D50439" w:rsidRPr="00710E8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r>
        <w:rPr>
          <w:szCs w:val="24"/>
        </w:rPr>
        <w:t>(A</w:t>
      </w:r>
      <w:r w:rsidR="00D0554D" w:rsidRPr="00710E80">
        <w:rPr>
          <w:szCs w:val="24"/>
        </w:rPr>
        <w:t>ll will accept service via email)</w:t>
      </w:r>
    </w:p>
    <w:p w:rsidR="00592BE9" w:rsidRPr="00710E80" w:rsidRDefault="00592BE9" w:rsidP="00592BE9">
      <w:pPr>
        <w:pStyle w:val="HTMLPreformatted"/>
        <w:jc w:val="center"/>
        <w:rPr>
          <w:rFonts w:ascii="Times New Roman" w:hAnsi="Times New Roman" w:cs="Times New Roman"/>
          <w:b/>
          <w:bCs/>
          <w:sz w:val="24"/>
        </w:rPr>
      </w:pPr>
      <w:r w:rsidRPr="00710E80">
        <w:rPr>
          <w:rFonts w:ascii="Times New Roman" w:hAnsi="Times New Roman" w:cs="Times New Roman"/>
          <w:b/>
          <w:bCs/>
          <w:sz w:val="24"/>
        </w:rPr>
        <w:lastRenderedPageBreak/>
        <w:t>BEFORE</w:t>
      </w:r>
    </w:p>
    <w:p w:rsidR="00592BE9" w:rsidRPr="00710E80" w:rsidRDefault="00592BE9" w:rsidP="00592BE9">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592BE9" w:rsidRPr="00710E80" w:rsidRDefault="00592BE9" w:rsidP="00592BE9">
      <w:pPr>
        <w:pStyle w:val="HTMLPreformatted"/>
        <w:rPr>
          <w:rFonts w:ascii="Times New Roman" w:hAnsi="Times New Roman" w:cs="Times New Roman"/>
          <w:sz w:val="24"/>
        </w:rPr>
      </w:pPr>
    </w:p>
    <w:tbl>
      <w:tblPr>
        <w:tblW w:w="9092" w:type="dxa"/>
        <w:tblLook w:val="01E0" w:firstRow="1" w:lastRow="1" w:firstColumn="1" w:lastColumn="1" w:noHBand="0" w:noVBand="0"/>
      </w:tblPr>
      <w:tblGrid>
        <w:gridCol w:w="4332"/>
        <w:gridCol w:w="360"/>
        <w:gridCol w:w="4400"/>
      </w:tblGrid>
      <w:tr w:rsidR="002052C2" w:rsidRPr="00710E80" w:rsidTr="0027276A">
        <w:trPr>
          <w:trHeight w:val="807"/>
        </w:trPr>
        <w:tc>
          <w:tcPr>
            <w:tcW w:w="4332" w:type="dxa"/>
            <w:shd w:val="clear" w:color="auto" w:fill="auto"/>
          </w:tcPr>
          <w:p w:rsidR="002052C2" w:rsidRPr="00710E80" w:rsidRDefault="002052C2" w:rsidP="0027276A">
            <w:pPr>
              <w:autoSpaceDE w:val="0"/>
              <w:autoSpaceDN w:val="0"/>
              <w:adjustRightInd w:val="0"/>
            </w:pPr>
            <w:r w:rsidRPr="00710E80">
              <w:t xml:space="preserve">In the Matter of the Application of </w:t>
            </w:r>
            <w:r>
              <w:t>Duke Energy Ohio, Inc., for Authority to Defer Environmental Investigation and Remediation Costs.</w:t>
            </w:r>
          </w:p>
        </w:tc>
        <w:tc>
          <w:tcPr>
            <w:tcW w:w="360" w:type="dxa"/>
            <w:shd w:val="clear" w:color="auto" w:fill="auto"/>
          </w:tcPr>
          <w:p w:rsidR="002052C2" w:rsidRPr="00710E80" w:rsidRDefault="002052C2" w:rsidP="0027276A">
            <w:pPr>
              <w:pStyle w:val="HTMLPreformatted"/>
              <w:rPr>
                <w:rFonts w:ascii="Times New Roman" w:hAnsi="Times New Roman" w:cs="Times New Roman"/>
                <w:sz w:val="24"/>
              </w:rPr>
            </w:pPr>
            <w:r w:rsidRPr="00710E80">
              <w:rPr>
                <w:rFonts w:ascii="Times New Roman" w:hAnsi="Times New Roman" w:cs="Times New Roman"/>
                <w:sz w:val="24"/>
              </w:rPr>
              <w:t>)</w:t>
            </w:r>
          </w:p>
          <w:p w:rsidR="002052C2" w:rsidRPr="00710E80" w:rsidRDefault="002052C2" w:rsidP="0027276A">
            <w:pPr>
              <w:pStyle w:val="HTMLPreformatted"/>
              <w:rPr>
                <w:rFonts w:ascii="Times New Roman" w:hAnsi="Times New Roman" w:cs="Times New Roman"/>
                <w:sz w:val="24"/>
              </w:rPr>
            </w:pPr>
            <w:r w:rsidRPr="00710E80">
              <w:rPr>
                <w:rFonts w:ascii="Times New Roman" w:hAnsi="Times New Roman" w:cs="Times New Roman"/>
                <w:sz w:val="24"/>
              </w:rPr>
              <w:t>)</w:t>
            </w:r>
          </w:p>
          <w:p w:rsidR="002052C2" w:rsidRDefault="002052C2" w:rsidP="0027276A">
            <w:pPr>
              <w:pStyle w:val="HTMLPreformatted"/>
              <w:rPr>
                <w:rFonts w:ascii="Times New Roman" w:hAnsi="Times New Roman" w:cs="Times New Roman"/>
                <w:sz w:val="24"/>
              </w:rPr>
            </w:pPr>
            <w:r w:rsidRPr="00710E80">
              <w:rPr>
                <w:rFonts w:ascii="Times New Roman" w:hAnsi="Times New Roman" w:cs="Times New Roman"/>
                <w:sz w:val="24"/>
              </w:rPr>
              <w:t>)</w:t>
            </w:r>
          </w:p>
          <w:p w:rsidR="002052C2" w:rsidRPr="00710E80" w:rsidRDefault="002052C2" w:rsidP="0027276A">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2052C2" w:rsidRPr="00710E80" w:rsidRDefault="002052C2" w:rsidP="0027276A">
            <w:pPr>
              <w:pStyle w:val="HTMLPreformatted"/>
              <w:rPr>
                <w:rFonts w:ascii="Times New Roman" w:hAnsi="Times New Roman" w:cs="Times New Roman"/>
                <w:sz w:val="24"/>
              </w:rPr>
            </w:pPr>
          </w:p>
          <w:p w:rsidR="002052C2" w:rsidRPr="00710E80" w:rsidRDefault="002052C2" w:rsidP="0027276A">
            <w:pPr>
              <w:rPr>
                <w:i/>
              </w:rPr>
            </w:pPr>
            <w:r w:rsidRPr="00710E80">
              <w:t xml:space="preserve">Case No. </w:t>
            </w:r>
            <w:r>
              <w:rPr>
                <w:szCs w:val="24"/>
              </w:rPr>
              <w:t>16-1106-GA-AAM</w:t>
            </w:r>
          </w:p>
          <w:p w:rsidR="002052C2" w:rsidRPr="00710E80" w:rsidRDefault="002052C2" w:rsidP="0027276A">
            <w:pPr>
              <w:pStyle w:val="HTMLPreformatted"/>
              <w:rPr>
                <w:rFonts w:ascii="Times New Roman" w:hAnsi="Times New Roman" w:cs="Times New Roman"/>
                <w:sz w:val="24"/>
              </w:rPr>
            </w:pPr>
          </w:p>
        </w:tc>
      </w:tr>
      <w:tr w:rsidR="002052C2" w:rsidRPr="00710E80" w:rsidTr="0027276A">
        <w:trPr>
          <w:trHeight w:val="807"/>
        </w:trPr>
        <w:tc>
          <w:tcPr>
            <w:tcW w:w="4332" w:type="dxa"/>
            <w:shd w:val="clear" w:color="auto" w:fill="auto"/>
          </w:tcPr>
          <w:p w:rsidR="002052C2" w:rsidRDefault="002052C2" w:rsidP="0027276A">
            <w:pPr>
              <w:autoSpaceDE w:val="0"/>
              <w:autoSpaceDN w:val="0"/>
              <w:adjustRightInd w:val="0"/>
            </w:pPr>
          </w:p>
          <w:p w:rsidR="002052C2" w:rsidRPr="00710E80" w:rsidRDefault="002052C2" w:rsidP="0027276A">
            <w:pPr>
              <w:autoSpaceDE w:val="0"/>
              <w:autoSpaceDN w:val="0"/>
              <w:adjustRightInd w:val="0"/>
            </w:pPr>
            <w:r>
              <w:t>In the Matter of the Application of Duke Energy Ohio, Inc., for Tariff Approval</w:t>
            </w:r>
          </w:p>
        </w:tc>
        <w:tc>
          <w:tcPr>
            <w:tcW w:w="360" w:type="dxa"/>
            <w:shd w:val="clear" w:color="auto" w:fill="auto"/>
          </w:tcPr>
          <w:p w:rsidR="002052C2" w:rsidRDefault="002052C2" w:rsidP="0027276A">
            <w:pPr>
              <w:pStyle w:val="HTMLPreformatted"/>
              <w:rPr>
                <w:rFonts w:ascii="Times New Roman" w:hAnsi="Times New Roman" w:cs="Times New Roman"/>
                <w:sz w:val="24"/>
              </w:rPr>
            </w:pPr>
          </w:p>
          <w:p w:rsidR="002052C2" w:rsidRDefault="002052C2" w:rsidP="0027276A">
            <w:pPr>
              <w:pStyle w:val="HTMLPreformatted"/>
              <w:rPr>
                <w:rFonts w:ascii="Times New Roman" w:hAnsi="Times New Roman" w:cs="Times New Roman"/>
                <w:sz w:val="24"/>
              </w:rPr>
            </w:pPr>
            <w:r>
              <w:rPr>
                <w:rFonts w:ascii="Times New Roman" w:hAnsi="Times New Roman" w:cs="Times New Roman"/>
                <w:sz w:val="24"/>
              </w:rPr>
              <w:t>)</w:t>
            </w:r>
          </w:p>
          <w:p w:rsidR="002052C2" w:rsidRPr="00710E80" w:rsidRDefault="002052C2" w:rsidP="0027276A">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2052C2" w:rsidRDefault="002052C2" w:rsidP="0027276A">
            <w:pPr>
              <w:pStyle w:val="HTMLPreformatted"/>
              <w:rPr>
                <w:rFonts w:ascii="Times New Roman" w:hAnsi="Times New Roman" w:cs="Times New Roman"/>
                <w:sz w:val="24"/>
              </w:rPr>
            </w:pPr>
          </w:p>
          <w:p w:rsidR="002052C2" w:rsidRDefault="002052C2" w:rsidP="0027276A">
            <w:pPr>
              <w:pStyle w:val="HTMLPreformatted"/>
              <w:rPr>
                <w:rFonts w:ascii="Times New Roman" w:hAnsi="Times New Roman" w:cs="Times New Roman"/>
                <w:sz w:val="24"/>
              </w:rPr>
            </w:pPr>
            <w:r>
              <w:rPr>
                <w:rFonts w:ascii="Times New Roman" w:hAnsi="Times New Roman" w:cs="Times New Roman"/>
                <w:sz w:val="24"/>
              </w:rPr>
              <w:t>Case No. 16-1107-GA-UNC</w:t>
            </w:r>
          </w:p>
          <w:p w:rsidR="002052C2" w:rsidRPr="00710E80" w:rsidRDefault="002052C2" w:rsidP="0027276A">
            <w:pPr>
              <w:pStyle w:val="HTMLPreformatted"/>
              <w:rPr>
                <w:rFonts w:ascii="Times New Roman" w:hAnsi="Times New Roman" w:cs="Times New Roman"/>
                <w:sz w:val="24"/>
              </w:rPr>
            </w:pPr>
          </w:p>
        </w:tc>
      </w:tr>
    </w:tbl>
    <w:p w:rsidR="002052C2" w:rsidRPr="00710E80" w:rsidRDefault="002052C2" w:rsidP="00592BE9">
      <w:pPr>
        <w:pStyle w:val="HTMLPreformatted"/>
        <w:rPr>
          <w:rFonts w:ascii="Times New Roman" w:hAnsi="Times New Roman" w:cs="Times New Roman"/>
          <w:sz w:val="24"/>
        </w:rPr>
      </w:pPr>
    </w:p>
    <w:p w:rsidR="00592BE9" w:rsidRPr="00710E80" w:rsidRDefault="00592BE9" w:rsidP="00592BE9">
      <w:pPr>
        <w:pStyle w:val="HTMLPreformatted"/>
        <w:pBdr>
          <w:top w:val="single" w:sz="12" w:space="1" w:color="auto"/>
        </w:pBdr>
        <w:rPr>
          <w:rFonts w:ascii="Times New Roman" w:hAnsi="Times New Roman" w:cs="Times New Roman"/>
          <w:sz w:val="24"/>
        </w:rPr>
      </w:pPr>
    </w:p>
    <w:p w:rsidR="00592BE9" w:rsidRPr="00710E80" w:rsidRDefault="00592BE9" w:rsidP="00592BE9">
      <w:pPr>
        <w:jc w:val="center"/>
        <w:rPr>
          <w:b/>
          <w:bCs/>
        </w:rPr>
      </w:pPr>
      <w:r>
        <w:rPr>
          <w:b/>
          <w:bCs/>
        </w:rPr>
        <w:t xml:space="preserve">MEMORANDUM IN SUPPORT OF </w:t>
      </w:r>
      <w:r w:rsidRPr="00710E80">
        <w:rPr>
          <w:b/>
          <w:bCs/>
        </w:rPr>
        <w:t>MOTION TO INTERVENE</w:t>
      </w:r>
    </w:p>
    <w:p w:rsidR="00592BE9" w:rsidRPr="00710E80" w:rsidRDefault="00592BE9" w:rsidP="00592BE9">
      <w:pPr>
        <w:jc w:val="center"/>
        <w:rPr>
          <w:b/>
          <w:bCs/>
        </w:rPr>
      </w:pPr>
      <w:r w:rsidRPr="00710E80">
        <w:rPr>
          <w:b/>
          <w:bCs/>
        </w:rPr>
        <w:t>BY</w:t>
      </w:r>
    </w:p>
    <w:p w:rsidR="00592BE9" w:rsidRPr="00710E80" w:rsidRDefault="00592BE9" w:rsidP="00592BE9">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sidR="007564A2">
        <w:rPr>
          <w:b/>
          <w:bCs/>
        </w:rPr>
        <w:t>'</w:t>
      </w:r>
      <w:r w:rsidRPr="00710E80">
        <w:rPr>
          <w:b/>
          <w:bCs/>
        </w:rPr>
        <w:t xml:space="preserve"> COUNSEL</w:t>
      </w:r>
    </w:p>
    <w:p w:rsidR="00592BE9" w:rsidRPr="00710E80" w:rsidRDefault="00592BE9" w:rsidP="00592BE9">
      <w:pPr>
        <w:pBdr>
          <w:bottom w:val="single" w:sz="12" w:space="1" w:color="auto"/>
        </w:pBdr>
        <w:tabs>
          <w:tab w:val="left" w:pos="4320"/>
        </w:tabs>
      </w:pPr>
    </w:p>
    <w:p w:rsidR="004E63F1" w:rsidRDefault="004E63F1" w:rsidP="004E63F1">
      <w:pPr>
        <w:pStyle w:val="BodyTextIndent3"/>
        <w:spacing w:before="240" w:line="480" w:lineRule="auto"/>
      </w:pPr>
      <w:r>
        <w:t xml:space="preserve">Duke Energy seeks </w:t>
      </w:r>
      <w:r w:rsidR="006C54B2">
        <w:t xml:space="preserve">permission to extend its </w:t>
      </w:r>
      <w:r w:rsidR="00E02C3F">
        <w:t>accounting authority</w:t>
      </w:r>
      <w:r w:rsidR="006C54B2">
        <w:t xml:space="preserve"> (beyond December 31, 2016). </w:t>
      </w:r>
      <w:r w:rsidR="00E02C3F">
        <w:t xml:space="preserve"> </w:t>
      </w:r>
      <w:r>
        <w:t xml:space="preserve">to </w:t>
      </w:r>
      <w:r w:rsidR="002052C2">
        <w:t>defer</w:t>
      </w:r>
      <w:r>
        <w:t xml:space="preserve"> millions of dollars </w:t>
      </w:r>
      <w:r w:rsidR="00E02C3F">
        <w:t xml:space="preserve">in expenses associated with </w:t>
      </w:r>
      <w:r>
        <w:t xml:space="preserve">clean-up costs at </w:t>
      </w:r>
      <w:r w:rsidR="00EF78D6">
        <w:t>MGP</w:t>
      </w:r>
      <w:r>
        <w:t xml:space="preserve"> sites.  </w:t>
      </w:r>
      <w:r w:rsidR="00E02C3F">
        <w:t xml:space="preserve">The deferral is the first step toward collecting these costs from customers.  </w:t>
      </w:r>
      <w:r w:rsidR="004B47A1" w:rsidRPr="00710E80">
        <w:t xml:space="preserve">Ohio law authorizes </w:t>
      </w:r>
      <w:r w:rsidR="007C2976" w:rsidRPr="00710E80">
        <w:rPr>
          <w:szCs w:val="24"/>
        </w:rPr>
        <w:t xml:space="preserve">OCC to represent </w:t>
      </w:r>
      <w:r w:rsidR="007C2976" w:rsidRPr="00710E80">
        <w:t xml:space="preserve">the interests of all </w:t>
      </w:r>
      <w:r w:rsidR="00DC77AF" w:rsidRPr="00710E80">
        <w:t xml:space="preserve">of </w:t>
      </w:r>
      <w:r w:rsidR="00592BE9">
        <w:t>Duke Energy</w:t>
      </w:r>
      <w:r w:rsidR="007564A2">
        <w:t>'</w:t>
      </w:r>
      <w:r w:rsidR="00592BE9">
        <w:t>s</w:t>
      </w:r>
      <w:r w:rsidR="00DC77AF" w:rsidRPr="00710E80">
        <w:t xml:space="preserve"> </w:t>
      </w:r>
      <w:r w:rsidR="007C2976" w:rsidRPr="00710E80">
        <w:t xml:space="preserve">approximately </w:t>
      </w:r>
      <w:r w:rsidR="00BD03C9">
        <w:t xml:space="preserve">400,000 </w:t>
      </w:r>
      <w:r w:rsidR="007C2976" w:rsidRPr="00710E80">
        <w:t>re</w:t>
      </w:r>
      <w:r w:rsidR="00A25FE5" w:rsidRPr="00710E80">
        <w:t xml:space="preserve">sidential </w:t>
      </w:r>
      <w:r w:rsidR="00592BE9">
        <w:t>natural gas</w:t>
      </w:r>
      <w:r w:rsidR="00A25FE5" w:rsidRPr="00710E80">
        <w:t xml:space="preserve"> customers</w:t>
      </w:r>
      <w:r w:rsidR="004B47A1" w:rsidRPr="00710E80">
        <w:t>.</w:t>
      </w:r>
      <w:r w:rsidR="007564A2" w:rsidRPr="00710E80" w:rsidDel="00BB0A07">
        <w:rPr>
          <w:rStyle w:val="FootnoteReference"/>
        </w:rPr>
        <w:footnoteReference w:id="3"/>
      </w:r>
      <w:r w:rsidR="00CE0972" w:rsidRPr="00710E80">
        <w:t xml:space="preserve">  </w:t>
      </w:r>
    </w:p>
    <w:p w:rsidR="007C2976" w:rsidRPr="00710E80" w:rsidRDefault="007C2976" w:rsidP="004E63F1">
      <w:pPr>
        <w:pStyle w:val="BodyTextIndent3"/>
        <w:spacing w:line="480" w:lineRule="auto"/>
      </w:pPr>
      <w:r w:rsidRPr="00710E80">
        <w:t>R.C. 4903.221 provides</w:t>
      </w:r>
      <w:r w:rsidR="00304E4D" w:rsidRPr="00710E80">
        <w:t xml:space="preserve"> </w:t>
      </w:r>
      <w:r w:rsidRPr="00710E80">
        <w:t xml:space="preserve">that any person </w:t>
      </w:r>
      <w:r w:rsidR="007564A2">
        <w:t>"</w:t>
      </w:r>
      <w:r w:rsidRPr="00710E80">
        <w:t>who may be adversely affected</w:t>
      </w:r>
      <w:r w:rsidR="007564A2">
        <w:t>"</w:t>
      </w:r>
      <w:r w:rsidRPr="00710E80">
        <w:t xml:space="preserve"> by a PUCO proceeding is entitled to interven</w:t>
      </w:r>
      <w:r w:rsidR="004004DF" w:rsidRPr="00710E80">
        <w:t>e</w:t>
      </w:r>
      <w:r w:rsidRPr="00710E80">
        <w:t xml:space="preserve"> in that proceeding.  The interests of Ohio</w:t>
      </w:r>
      <w:r w:rsidR="007564A2">
        <w:t>'</w:t>
      </w:r>
      <w:r w:rsidRPr="00710E80">
        <w:t>s residential consumers may be adversely affected by th</w:t>
      </w:r>
      <w:r w:rsidR="00CE0972" w:rsidRPr="00710E80">
        <w:t xml:space="preserve">is </w:t>
      </w:r>
      <w:r w:rsidR="006B5977" w:rsidRPr="00710E80">
        <w:t xml:space="preserve">case </w:t>
      </w:r>
      <w:r w:rsidR="00CE0972" w:rsidRPr="00710E80">
        <w:t xml:space="preserve">because </w:t>
      </w:r>
      <w:r w:rsidRPr="00710E80">
        <w:t xml:space="preserve">residential customers </w:t>
      </w:r>
      <w:r w:rsidR="00E02C3F">
        <w:t xml:space="preserve">will likely </w:t>
      </w:r>
      <w:r w:rsidR="00592BE9">
        <w:t xml:space="preserve">pay </w:t>
      </w:r>
      <w:r w:rsidR="009C5359">
        <w:t>charges</w:t>
      </w:r>
      <w:r w:rsidR="00E02C3F">
        <w:t xml:space="preserve"> for the deferred costs </w:t>
      </w:r>
      <w:r w:rsidR="009C5359">
        <w:t xml:space="preserve"> through </w:t>
      </w:r>
      <w:r w:rsidR="00592BE9">
        <w:t xml:space="preserve">Rider MGP </w:t>
      </w:r>
      <w:r w:rsidR="009C5359">
        <w:t xml:space="preserve">as part of </w:t>
      </w:r>
      <w:r w:rsidR="00CE0972" w:rsidRPr="00710E80">
        <w:t xml:space="preserve">their </w:t>
      </w:r>
      <w:r w:rsidR="00592BE9">
        <w:t>natural gas</w:t>
      </w:r>
      <w:r w:rsidR="00CE0972" w:rsidRPr="00710E80">
        <w:t xml:space="preserve"> </w:t>
      </w:r>
      <w:r w:rsidR="009C5359">
        <w:t xml:space="preserve">distribution </w:t>
      </w:r>
      <w:r w:rsidR="00CE0972" w:rsidRPr="00710E80">
        <w:t>rates</w:t>
      </w:r>
      <w:r w:rsidRPr="00710E80">
        <w:t xml:space="preserve">.  Thus, this element of the intervention standard in R.C. 4903.221 is satisfied. </w:t>
      </w:r>
    </w:p>
    <w:p w:rsidR="007C2976" w:rsidRPr="00710E80" w:rsidRDefault="007C2976" w:rsidP="00CE0972">
      <w:pPr>
        <w:keepNext/>
        <w:spacing w:line="480" w:lineRule="auto"/>
        <w:ind w:firstLine="720"/>
        <w:rPr>
          <w:szCs w:val="24"/>
        </w:rPr>
      </w:pPr>
      <w:r w:rsidRPr="00710E80">
        <w:rPr>
          <w:szCs w:val="24"/>
        </w:rPr>
        <w:lastRenderedPageBreak/>
        <w:t xml:space="preserve">R.C. 4903.221(B) requires the </w:t>
      </w:r>
      <w:r w:rsidR="00DC77AF" w:rsidRPr="00710E80">
        <w:rPr>
          <w:szCs w:val="24"/>
        </w:rPr>
        <w:t>PUCO</w:t>
      </w:r>
      <w:r w:rsidRPr="00710E80">
        <w:rPr>
          <w:szCs w:val="24"/>
        </w:rPr>
        <w:t xml:space="preserve"> to consider the following criteria in ruling on motions to intervene:</w:t>
      </w:r>
    </w:p>
    <w:p w:rsidR="007C2976" w:rsidRPr="00710E80" w:rsidRDefault="007C2976" w:rsidP="0091432F">
      <w:pPr>
        <w:spacing w:after="240"/>
        <w:ind w:left="2160" w:right="720" w:hanging="720"/>
        <w:rPr>
          <w:szCs w:val="24"/>
        </w:rPr>
      </w:pPr>
      <w:r w:rsidRPr="00710E80">
        <w:rPr>
          <w:szCs w:val="24"/>
        </w:rPr>
        <w:t>(1)</w:t>
      </w:r>
      <w:r w:rsidRPr="00710E80">
        <w:rPr>
          <w:szCs w:val="24"/>
        </w:rPr>
        <w:tab/>
        <w:t>The nature and extent of the prospective intervenor</w:t>
      </w:r>
      <w:r w:rsidR="007564A2">
        <w:rPr>
          <w:szCs w:val="24"/>
        </w:rPr>
        <w:t>'</w:t>
      </w:r>
      <w:r w:rsidRPr="00710E80">
        <w:rPr>
          <w:szCs w:val="24"/>
        </w:rPr>
        <w:t>s interest;</w:t>
      </w:r>
    </w:p>
    <w:p w:rsidR="00CE0972" w:rsidRPr="00710E80" w:rsidRDefault="007C2976" w:rsidP="0091432F">
      <w:pPr>
        <w:spacing w:after="240"/>
        <w:ind w:left="2160" w:right="720" w:hanging="720"/>
        <w:rPr>
          <w:szCs w:val="24"/>
        </w:rPr>
      </w:pPr>
      <w:r w:rsidRPr="00710E80">
        <w:rPr>
          <w:szCs w:val="24"/>
        </w:rPr>
        <w:t>(2)</w:t>
      </w:r>
      <w:r w:rsidRPr="00710E80">
        <w:rPr>
          <w:szCs w:val="24"/>
        </w:rPr>
        <w:tab/>
        <w:t>The legal position advanced by the prospective intervenor and its probable relation to the merits of the case;</w:t>
      </w:r>
    </w:p>
    <w:p w:rsidR="00CE0972" w:rsidRPr="00710E80" w:rsidRDefault="007C2976" w:rsidP="0091432F">
      <w:pPr>
        <w:spacing w:after="240"/>
        <w:ind w:left="2160" w:right="720" w:hanging="720"/>
        <w:rPr>
          <w:szCs w:val="24"/>
        </w:rPr>
      </w:pPr>
      <w:r w:rsidRPr="00710E80">
        <w:rPr>
          <w:szCs w:val="24"/>
        </w:rPr>
        <w:t>(3)</w:t>
      </w:r>
      <w:r w:rsidRPr="00710E80">
        <w:rPr>
          <w:szCs w:val="24"/>
        </w:rPr>
        <w:tab/>
        <w:t>Whether the intervention by the prospective intervenor will unduly prolong or delay the proceeding; and</w:t>
      </w:r>
    </w:p>
    <w:p w:rsidR="007C2976" w:rsidRPr="00710E80" w:rsidRDefault="007C2976" w:rsidP="0091432F">
      <w:pPr>
        <w:spacing w:after="240"/>
        <w:ind w:left="2160" w:right="720" w:hanging="720"/>
        <w:rPr>
          <w:szCs w:val="24"/>
        </w:rPr>
      </w:pPr>
      <w:r w:rsidRPr="00710E80">
        <w:rPr>
          <w:szCs w:val="24"/>
        </w:rPr>
        <w:t>(4)</w:t>
      </w:r>
      <w:r w:rsidRPr="00710E80">
        <w:rPr>
          <w:szCs w:val="24"/>
        </w:rPr>
        <w:tab/>
        <w:t>Whether the prospective intervenor will significantly contribute to the full development and equitable resolution of the factual issues.</w:t>
      </w:r>
    </w:p>
    <w:p w:rsidR="007C2976" w:rsidRPr="00710E80" w:rsidRDefault="007C2976" w:rsidP="007C2976">
      <w:pPr>
        <w:pStyle w:val="BodyTextIndent3"/>
        <w:suppressAutoHyphens/>
        <w:spacing w:line="480" w:lineRule="auto"/>
        <w:rPr>
          <w:szCs w:val="24"/>
        </w:rPr>
      </w:pPr>
      <w:r w:rsidRPr="00710E80">
        <w:t>First, the nature and extent of OCC</w:t>
      </w:r>
      <w:r w:rsidR="007564A2">
        <w:t>'</w:t>
      </w:r>
      <w:r w:rsidRPr="00710E80">
        <w:t xml:space="preserve">s interest is representing </w:t>
      </w:r>
      <w:r w:rsidR="004E63F1">
        <w:t>Duke Energy</w:t>
      </w:r>
      <w:r w:rsidR="007564A2">
        <w:t>'</w:t>
      </w:r>
      <w:r w:rsidR="004E63F1">
        <w:t>s</w:t>
      </w:r>
      <w:r w:rsidR="00DC77AF" w:rsidRPr="00710E80">
        <w:t xml:space="preserve"> </w:t>
      </w:r>
      <w:r w:rsidRPr="00710E80">
        <w:t>residential consumers</w:t>
      </w:r>
      <w:r w:rsidR="00F80B53" w:rsidRPr="00710E80">
        <w:t xml:space="preserve"> and ensuring that the rates that they pay are just and reasonable</w:t>
      </w:r>
      <w:r w:rsidRPr="00710E80">
        <w:rPr>
          <w:szCs w:val="24"/>
        </w:rPr>
        <w:t>.  This interest is different from that of any other party and especially different than that of the utility</w:t>
      </w:r>
      <w:r w:rsidR="004004DF" w:rsidRPr="00710E80">
        <w:rPr>
          <w:szCs w:val="24"/>
        </w:rPr>
        <w:t>,</w:t>
      </w:r>
      <w:r w:rsidRPr="00710E80">
        <w:rPr>
          <w:szCs w:val="24"/>
        </w:rPr>
        <w:t xml:space="preserve"> whose advocacy includes the financial interest of stockholders.</w:t>
      </w:r>
    </w:p>
    <w:p w:rsidR="007C2976" w:rsidRPr="00710E80" w:rsidRDefault="007564A2" w:rsidP="007C2976">
      <w:pPr>
        <w:pStyle w:val="Footer"/>
        <w:tabs>
          <w:tab w:val="clear" w:pos="4320"/>
          <w:tab w:val="clear" w:pos="8640"/>
        </w:tabs>
        <w:suppressAutoHyphens/>
        <w:spacing w:line="480" w:lineRule="auto"/>
        <w:ind w:firstLine="720"/>
        <w:rPr>
          <w:sz w:val="24"/>
          <w:szCs w:val="24"/>
        </w:rPr>
      </w:pPr>
      <w:r>
        <w:rPr>
          <w:sz w:val="24"/>
          <w:szCs w:val="24"/>
        </w:rPr>
        <w:t>Second, OCC'</w:t>
      </w:r>
      <w:r w:rsidR="007C2976" w:rsidRPr="00710E80">
        <w:rPr>
          <w:sz w:val="24"/>
          <w:szCs w:val="24"/>
        </w:rPr>
        <w:t xml:space="preserve">s advocacy for consumers will include, </w:t>
      </w:r>
      <w:r w:rsidR="004004DF" w:rsidRPr="00710E80">
        <w:rPr>
          <w:sz w:val="24"/>
          <w:szCs w:val="24"/>
        </w:rPr>
        <w:t>among other things</w:t>
      </w:r>
      <w:r w:rsidR="007C2976" w:rsidRPr="00710E80">
        <w:rPr>
          <w:sz w:val="24"/>
          <w:szCs w:val="24"/>
        </w:rPr>
        <w:t xml:space="preserve">, advancing the position that </w:t>
      </w:r>
      <w:r w:rsidR="00592BE9">
        <w:rPr>
          <w:sz w:val="24"/>
          <w:szCs w:val="24"/>
        </w:rPr>
        <w:t>Duke Energy</w:t>
      </w:r>
      <w:r>
        <w:rPr>
          <w:sz w:val="24"/>
          <w:szCs w:val="24"/>
        </w:rPr>
        <w:t>'</w:t>
      </w:r>
      <w:r w:rsidR="00592BE9">
        <w:rPr>
          <w:sz w:val="24"/>
          <w:szCs w:val="24"/>
        </w:rPr>
        <w:t>s</w:t>
      </w:r>
      <w:r w:rsidR="00DC77AF" w:rsidRPr="00710E80">
        <w:rPr>
          <w:sz w:val="24"/>
          <w:szCs w:val="24"/>
        </w:rPr>
        <w:t xml:space="preserve"> </w:t>
      </w:r>
      <w:r w:rsidR="007C2976" w:rsidRPr="00710E80">
        <w:rPr>
          <w:sz w:val="24"/>
          <w:szCs w:val="24"/>
        </w:rPr>
        <w:t>customers should receive adequate service at a reasonable rate under Ohio law.</w:t>
      </w:r>
      <w:r w:rsidR="007C2976" w:rsidRPr="00710E80">
        <w:rPr>
          <w:rStyle w:val="FootnoteReference"/>
          <w:sz w:val="24"/>
          <w:szCs w:val="24"/>
        </w:rPr>
        <w:footnoteReference w:id="4"/>
      </w:r>
      <w:r w:rsidR="007C2976" w:rsidRPr="00710E80">
        <w:rPr>
          <w:sz w:val="24"/>
          <w:szCs w:val="24"/>
        </w:rPr>
        <w:t xml:space="preserve">  OCC</w:t>
      </w:r>
      <w:r>
        <w:rPr>
          <w:sz w:val="24"/>
          <w:szCs w:val="24"/>
        </w:rPr>
        <w:t>'</w:t>
      </w:r>
      <w:r w:rsidR="007C2976" w:rsidRPr="00710E80">
        <w:rPr>
          <w:sz w:val="24"/>
          <w:szCs w:val="24"/>
        </w:rPr>
        <w:t>s position is therefore directly related to the merits of this case</w:t>
      </w:r>
      <w:r w:rsidR="004004DF" w:rsidRPr="00710E80">
        <w:rPr>
          <w:sz w:val="24"/>
          <w:szCs w:val="24"/>
        </w:rPr>
        <w:t>,</w:t>
      </w:r>
      <w:r w:rsidR="007C2976" w:rsidRPr="00710E80">
        <w:rPr>
          <w:sz w:val="24"/>
          <w:szCs w:val="24"/>
        </w:rPr>
        <w:t xml:space="preserve"> </w:t>
      </w:r>
      <w:r w:rsidR="004004DF" w:rsidRPr="00710E80">
        <w:rPr>
          <w:sz w:val="24"/>
          <w:szCs w:val="24"/>
        </w:rPr>
        <w:t>which</w:t>
      </w:r>
      <w:r w:rsidR="007C2976" w:rsidRPr="00710E80">
        <w:rPr>
          <w:sz w:val="24"/>
          <w:szCs w:val="24"/>
        </w:rPr>
        <w:t xml:space="preserve"> is pending before the PUCO, the authority with regulatory control of public utilities</w:t>
      </w:r>
      <w:r>
        <w:rPr>
          <w:sz w:val="24"/>
          <w:szCs w:val="24"/>
        </w:rPr>
        <w:t>'</w:t>
      </w:r>
      <w:r w:rsidR="007C2976" w:rsidRPr="00710E80">
        <w:rPr>
          <w:sz w:val="24"/>
          <w:szCs w:val="24"/>
        </w:rPr>
        <w:t xml:space="preserve"> rates and service quality in </w:t>
      </w:r>
      <w:smartTag w:uri="urn:schemas-microsoft-com:office:smarttags" w:element="place">
        <w:smartTag w:uri="urn:schemas-microsoft-com:office:smarttags" w:element="State">
          <w:r w:rsidR="007C2976" w:rsidRPr="00710E80">
            <w:rPr>
              <w:sz w:val="24"/>
              <w:szCs w:val="24"/>
            </w:rPr>
            <w:t>Ohio</w:t>
          </w:r>
        </w:smartTag>
      </w:smartTag>
      <w:r w:rsidR="007C5C7C" w:rsidRPr="00710E80">
        <w:rPr>
          <w:sz w:val="24"/>
          <w:szCs w:val="24"/>
        </w:rPr>
        <w:t>.</w:t>
      </w:r>
    </w:p>
    <w:p w:rsidR="007C2976" w:rsidRPr="00710E80" w:rsidRDefault="007C2976" w:rsidP="007C2976">
      <w:pPr>
        <w:pStyle w:val="BodyTextIndent3"/>
        <w:suppressAutoHyphens/>
        <w:spacing w:line="480" w:lineRule="auto"/>
        <w:rPr>
          <w:szCs w:val="24"/>
        </w:rPr>
      </w:pPr>
      <w:r w:rsidRPr="00710E80">
        <w:t xml:space="preserve">Third, </w:t>
      </w:r>
      <w:r w:rsidRPr="00710E80">
        <w:rPr>
          <w:szCs w:val="24"/>
        </w:rPr>
        <w:t>OCC</w:t>
      </w:r>
      <w:r w:rsidR="007564A2">
        <w:rPr>
          <w:szCs w:val="24"/>
        </w:rPr>
        <w:t>'</w:t>
      </w:r>
      <w:r w:rsidRPr="00710E80">
        <w:rPr>
          <w:szCs w:val="24"/>
        </w:rPr>
        <w:t>s intervention will not unduly prolong or delay the proceedings.  OCC, with its longstanding expertise and experience in PUCO proceedings, will duly allow for the efficient processing of the case with consideration of the public interest.</w:t>
      </w:r>
    </w:p>
    <w:p w:rsidR="007C2976" w:rsidRPr="00710E80" w:rsidRDefault="007C2976" w:rsidP="007C2976">
      <w:pPr>
        <w:pStyle w:val="Footer"/>
        <w:tabs>
          <w:tab w:val="clear" w:pos="4320"/>
          <w:tab w:val="clear" w:pos="8640"/>
        </w:tabs>
        <w:suppressAutoHyphens/>
        <w:spacing w:line="480" w:lineRule="auto"/>
        <w:ind w:firstLine="720"/>
        <w:rPr>
          <w:sz w:val="24"/>
          <w:szCs w:val="24"/>
        </w:rPr>
      </w:pPr>
      <w:r w:rsidRPr="00710E80">
        <w:rPr>
          <w:sz w:val="24"/>
          <w:szCs w:val="24"/>
        </w:rPr>
        <w:lastRenderedPageBreak/>
        <w:t>Fourth, OCC</w:t>
      </w:r>
      <w:r w:rsidR="007564A2">
        <w:rPr>
          <w:sz w:val="24"/>
          <w:szCs w:val="24"/>
        </w:rPr>
        <w:t>'</w:t>
      </w:r>
      <w:r w:rsidRPr="00710E80">
        <w:rPr>
          <w:sz w:val="24"/>
          <w:szCs w:val="24"/>
        </w:rPr>
        <w:t xml:space="preserve">s intervention will significantly contribute to the full development and equitable resolution of the factual issues.  OCC will obtain and develop information that the PUCO should consider for equitably and lawfully deciding the case in the public interest. </w:t>
      </w:r>
    </w:p>
    <w:p w:rsidR="007C2976" w:rsidRPr="00710E80" w:rsidRDefault="007C2976" w:rsidP="007C2976">
      <w:pPr>
        <w:pStyle w:val="WW-BodyTextIndent3"/>
        <w:spacing w:line="480" w:lineRule="auto"/>
        <w:rPr>
          <w:szCs w:val="24"/>
        </w:rPr>
      </w:pPr>
      <w:r w:rsidRPr="00710E80">
        <w:rPr>
          <w:szCs w:val="24"/>
        </w:rPr>
        <w:t xml:space="preserve">OCC also satisfies the intervention criteria in the Ohio Administrative Code (which are subordinate to the criteria that OCC satisfies in the Ohio Revised Code).  To intervene, a party should have a </w:t>
      </w:r>
      <w:r w:rsidR="007564A2">
        <w:rPr>
          <w:szCs w:val="24"/>
        </w:rPr>
        <w:t>"</w:t>
      </w:r>
      <w:r w:rsidRPr="00710E80">
        <w:rPr>
          <w:szCs w:val="24"/>
        </w:rPr>
        <w:t>real and substantial interest</w:t>
      </w:r>
      <w:r w:rsidR="00D0554D" w:rsidRPr="00710E80">
        <w:rPr>
          <w:szCs w:val="24"/>
        </w:rPr>
        <w:t>.</w:t>
      </w:r>
      <w:r w:rsidR="007564A2">
        <w:rPr>
          <w:szCs w:val="24"/>
        </w:rPr>
        <w:t>"</w:t>
      </w:r>
      <w:r w:rsidRPr="00710E80">
        <w:rPr>
          <w:szCs w:val="24"/>
        </w:rPr>
        <w:t xml:space="preserve"> </w:t>
      </w:r>
      <w:r w:rsidR="00D0554D" w:rsidRPr="00710E80">
        <w:rPr>
          <w:szCs w:val="24"/>
        </w:rPr>
        <w:t xml:space="preserve"> </w:t>
      </w:r>
      <w:r w:rsidR="00D0554D" w:rsidRPr="00710E80">
        <w:rPr>
          <w:i/>
          <w:szCs w:val="24"/>
        </w:rPr>
        <w:t xml:space="preserve">See </w:t>
      </w:r>
      <w:r w:rsidRPr="00710E80">
        <w:rPr>
          <w:szCs w:val="24"/>
        </w:rPr>
        <w:t>Ohio Adm. Code 4901-1-11(A)(2).  As the residential utility consumer advocate, OCC has a real and substantial int</w:t>
      </w:r>
      <w:r w:rsidR="004E63F1">
        <w:rPr>
          <w:szCs w:val="24"/>
        </w:rPr>
        <w:t xml:space="preserve">erest in this case where Duke Energy seeks to </w:t>
      </w:r>
      <w:r w:rsidR="00112404">
        <w:rPr>
          <w:szCs w:val="24"/>
        </w:rPr>
        <w:t>continue to defer expenses associated with r</w:t>
      </w:r>
      <w:r w:rsidR="004E63F1">
        <w:rPr>
          <w:szCs w:val="24"/>
        </w:rPr>
        <w:t>emediat</w:t>
      </w:r>
      <w:r w:rsidR="00112404">
        <w:rPr>
          <w:szCs w:val="24"/>
        </w:rPr>
        <w:t>ing its MG</w:t>
      </w:r>
      <w:r w:rsidR="00EF78D6">
        <w:rPr>
          <w:szCs w:val="24"/>
        </w:rPr>
        <w:t>P</w:t>
      </w:r>
      <w:r w:rsidR="004E63F1">
        <w:rPr>
          <w:szCs w:val="24"/>
        </w:rPr>
        <w:t xml:space="preserve"> facilities</w:t>
      </w:r>
      <w:r w:rsidR="009244B1">
        <w:rPr>
          <w:szCs w:val="24"/>
        </w:rPr>
        <w:t xml:space="preserve"> — </w:t>
      </w:r>
      <w:r w:rsidR="00112404">
        <w:rPr>
          <w:szCs w:val="24"/>
        </w:rPr>
        <w:t xml:space="preserve">facilities </w:t>
      </w:r>
      <w:r w:rsidR="004E63F1">
        <w:rPr>
          <w:szCs w:val="24"/>
        </w:rPr>
        <w:t>that have not been used and useful in over 50 years.</w:t>
      </w:r>
      <w:r w:rsidR="007564A2">
        <w:rPr>
          <w:rStyle w:val="FootnoteReference"/>
          <w:szCs w:val="24"/>
        </w:rPr>
        <w:footnoteReference w:id="5"/>
      </w:r>
    </w:p>
    <w:p w:rsidR="007C2976" w:rsidRPr="00710E80" w:rsidRDefault="007C2976" w:rsidP="007C2976">
      <w:pPr>
        <w:pStyle w:val="BodyTextIndent3"/>
        <w:suppressAutoHyphens/>
        <w:spacing w:line="480" w:lineRule="auto"/>
        <w:rPr>
          <w:szCs w:val="24"/>
        </w:rPr>
      </w:pPr>
      <w:r w:rsidRPr="00710E80">
        <w:rPr>
          <w:szCs w:val="24"/>
        </w:rPr>
        <w:t>In addition, OCC meets the criteria of Ohio Adm. Code 4901-1-11(B)(1)-(4).  These criteria mirror the statutory criteria in R.C. 4903.221(B)</w:t>
      </w:r>
      <w:r w:rsidR="004004DF" w:rsidRPr="00710E80">
        <w:rPr>
          <w:szCs w:val="24"/>
        </w:rPr>
        <w:t>, which</w:t>
      </w:r>
      <w:r w:rsidRPr="00710E80">
        <w:rPr>
          <w:szCs w:val="24"/>
        </w:rPr>
        <w:t xml:space="preserve"> OCC already has addressed and </w:t>
      </w:r>
      <w:r w:rsidR="004004DF" w:rsidRPr="00710E80">
        <w:rPr>
          <w:szCs w:val="24"/>
        </w:rPr>
        <w:t xml:space="preserve">which </w:t>
      </w:r>
      <w:r w:rsidRPr="00710E80">
        <w:rPr>
          <w:szCs w:val="24"/>
        </w:rPr>
        <w:t>OCC satisfies.</w:t>
      </w:r>
    </w:p>
    <w:p w:rsidR="007C2976" w:rsidRPr="00710E80" w:rsidRDefault="007C2976" w:rsidP="007C2976">
      <w:pPr>
        <w:pStyle w:val="BodyTextIndent3"/>
        <w:suppressAutoHyphens/>
        <w:spacing w:line="480" w:lineRule="auto"/>
        <w:rPr>
          <w:szCs w:val="24"/>
        </w:rPr>
      </w:pPr>
      <w:r w:rsidRPr="00710E80">
        <w:rPr>
          <w:szCs w:val="24"/>
        </w:rPr>
        <w:t xml:space="preserve">Ohio Adm. Code 4901-1-11(B)(5) states that the </w:t>
      </w:r>
      <w:r w:rsidR="00DC77AF" w:rsidRPr="00710E80">
        <w:rPr>
          <w:szCs w:val="24"/>
        </w:rPr>
        <w:t>PUCO</w:t>
      </w:r>
      <w:r w:rsidRPr="00710E80">
        <w:rPr>
          <w:szCs w:val="24"/>
        </w:rPr>
        <w:t xml:space="preserve"> shall consider the </w:t>
      </w:r>
      <w:r w:rsidR="007564A2">
        <w:rPr>
          <w:szCs w:val="24"/>
        </w:rPr>
        <w:t>"</w:t>
      </w:r>
      <w:r w:rsidRPr="00710E80">
        <w:rPr>
          <w:szCs w:val="24"/>
        </w:rPr>
        <w:t>extent to which the person</w:t>
      </w:r>
      <w:r w:rsidR="007564A2">
        <w:rPr>
          <w:szCs w:val="24"/>
        </w:rPr>
        <w:t>'</w:t>
      </w:r>
      <w:r w:rsidRPr="00710E80">
        <w:rPr>
          <w:szCs w:val="24"/>
        </w:rPr>
        <w:t>s interest is represented by existing parties.</w:t>
      </w:r>
      <w:r w:rsidR="007564A2">
        <w:rPr>
          <w:szCs w:val="24"/>
        </w:rPr>
        <w:t>"</w:t>
      </w:r>
      <w:r w:rsidRPr="00710E80">
        <w:rPr>
          <w:szCs w:val="24"/>
        </w:rPr>
        <w:t xml:space="preserve">  </w:t>
      </w:r>
      <w:r w:rsidR="00D0554D" w:rsidRPr="00710E80">
        <w:rPr>
          <w:szCs w:val="24"/>
        </w:rPr>
        <w:t>Although</w:t>
      </w:r>
      <w:r w:rsidRPr="00710E80">
        <w:rPr>
          <w:szCs w:val="24"/>
        </w:rPr>
        <w:t xml:space="preserve"> OCC does not concede </w:t>
      </w:r>
      <w:r w:rsidR="00D0554D" w:rsidRPr="00710E80">
        <w:rPr>
          <w:szCs w:val="24"/>
        </w:rPr>
        <w:t xml:space="preserve">that the PUCO </w:t>
      </w:r>
      <w:r w:rsidR="00371B6C" w:rsidRPr="00710E80">
        <w:rPr>
          <w:szCs w:val="24"/>
        </w:rPr>
        <w:t>must</w:t>
      </w:r>
      <w:r w:rsidR="00D0554D" w:rsidRPr="00710E80">
        <w:rPr>
          <w:szCs w:val="24"/>
        </w:rPr>
        <w:t xml:space="preserve"> consider this factor</w:t>
      </w:r>
      <w:r w:rsidRPr="00710E80">
        <w:rPr>
          <w:szCs w:val="24"/>
        </w:rPr>
        <w:t xml:space="preserve">, OCC satisfies </w:t>
      </w:r>
      <w:r w:rsidR="00D0554D" w:rsidRPr="00710E80">
        <w:rPr>
          <w:szCs w:val="24"/>
        </w:rPr>
        <w:t>it</w:t>
      </w:r>
      <w:r w:rsidRPr="00710E80">
        <w:rPr>
          <w:szCs w:val="24"/>
        </w:rPr>
        <w:t xml:space="preserve"> </w:t>
      </w:r>
      <w:r w:rsidR="00371B6C" w:rsidRPr="00710E80">
        <w:rPr>
          <w:szCs w:val="24"/>
        </w:rPr>
        <w:t>because</w:t>
      </w:r>
      <w:r w:rsidRPr="00710E80">
        <w:rPr>
          <w:szCs w:val="24"/>
        </w:rPr>
        <w:t xml:space="preserve"> </w:t>
      </w:r>
      <w:r w:rsidR="00D0554D" w:rsidRPr="00710E80">
        <w:rPr>
          <w:szCs w:val="24"/>
        </w:rPr>
        <w:t>OCC</w:t>
      </w:r>
      <w:r w:rsidRPr="00710E80">
        <w:rPr>
          <w:szCs w:val="24"/>
        </w:rPr>
        <w:t xml:space="preserve"> has been </w:t>
      </w:r>
      <w:r w:rsidR="00D0554D" w:rsidRPr="00710E80">
        <w:rPr>
          <w:szCs w:val="24"/>
        </w:rPr>
        <w:t xml:space="preserve">uniquely </w:t>
      </w:r>
      <w:r w:rsidRPr="00710E80">
        <w:rPr>
          <w:szCs w:val="24"/>
        </w:rPr>
        <w:t>designated as the state representative of the interests of Ohio</w:t>
      </w:r>
      <w:r w:rsidR="007564A2">
        <w:rPr>
          <w:szCs w:val="24"/>
        </w:rPr>
        <w:t>'</w:t>
      </w:r>
      <w:r w:rsidRPr="00710E80">
        <w:rPr>
          <w:szCs w:val="24"/>
        </w:rPr>
        <w:t xml:space="preserve">s residential utility consumers.  That interest is different from, and not represented by, any other entity in </w:t>
      </w:r>
      <w:smartTag w:uri="urn:schemas-microsoft-com:office:smarttags" w:element="place">
        <w:smartTag w:uri="urn:schemas-microsoft-com:office:smarttags" w:element="State">
          <w:r w:rsidRPr="00710E80">
            <w:rPr>
              <w:szCs w:val="24"/>
            </w:rPr>
            <w:t>Ohio</w:t>
          </w:r>
        </w:smartTag>
      </w:smartTag>
      <w:r w:rsidRPr="00710E80">
        <w:rPr>
          <w:szCs w:val="24"/>
        </w:rPr>
        <w:t>.</w:t>
      </w:r>
    </w:p>
    <w:p w:rsidR="0020317B" w:rsidRPr="00710E80" w:rsidRDefault="007C2976" w:rsidP="007C2976">
      <w:pPr>
        <w:pStyle w:val="WW-BodyTextIndent3"/>
        <w:spacing w:line="480" w:lineRule="auto"/>
      </w:pPr>
      <w:r w:rsidRPr="00710E80">
        <w:rPr>
          <w:szCs w:val="24"/>
        </w:rPr>
        <w:t xml:space="preserve">Moreover, </w:t>
      </w:r>
      <w:r w:rsidR="0020317B" w:rsidRPr="00710E80">
        <w:rPr>
          <w:szCs w:val="24"/>
        </w:rPr>
        <w:t>in deciding two consolidated appeals regarding OCC</w:t>
      </w:r>
      <w:r w:rsidR="007564A2">
        <w:rPr>
          <w:szCs w:val="24"/>
        </w:rPr>
        <w:t>'</w:t>
      </w:r>
      <w:r w:rsidR="0020317B" w:rsidRPr="00710E80">
        <w:rPr>
          <w:szCs w:val="24"/>
        </w:rPr>
        <w:t>s right to interven</w:t>
      </w:r>
      <w:r w:rsidR="00FC03F9" w:rsidRPr="00710E80">
        <w:rPr>
          <w:szCs w:val="24"/>
        </w:rPr>
        <w:t>e</w:t>
      </w:r>
      <w:r w:rsidR="0020317B" w:rsidRPr="00710E80">
        <w:rPr>
          <w:szCs w:val="24"/>
        </w:rPr>
        <w:t xml:space="preserve">, </w:t>
      </w:r>
      <w:r w:rsidRPr="00710E80">
        <w:rPr>
          <w:szCs w:val="24"/>
        </w:rPr>
        <w:t xml:space="preserve">the Supreme Court of Ohio </w:t>
      </w:r>
      <w:r w:rsidR="0020317B" w:rsidRPr="00710E80">
        <w:rPr>
          <w:szCs w:val="24"/>
        </w:rPr>
        <w:t xml:space="preserve">has confirmed that </w:t>
      </w:r>
      <w:r w:rsidR="007564A2">
        <w:rPr>
          <w:szCs w:val="24"/>
        </w:rPr>
        <w:t>"</w:t>
      </w:r>
      <w:r w:rsidR="0020317B" w:rsidRPr="00710E80">
        <w:rPr>
          <w:szCs w:val="24"/>
        </w:rPr>
        <w:t xml:space="preserve">intervention ought to be </w:t>
      </w:r>
      <w:r w:rsidR="0020317B" w:rsidRPr="00710E80">
        <w:rPr>
          <w:szCs w:val="24"/>
        </w:rPr>
        <w:lastRenderedPageBreak/>
        <w:t>liberally allowed.</w:t>
      </w:r>
      <w:r w:rsidR="007564A2">
        <w:rPr>
          <w:szCs w:val="24"/>
        </w:rPr>
        <w:t>"</w:t>
      </w:r>
      <w:r w:rsidR="0020317B" w:rsidRPr="00710E80">
        <w:rPr>
          <w:rStyle w:val="FootnoteReference"/>
          <w:szCs w:val="24"/>
        </w:rPr>
        <w:footnoteReference w:id="6"/>
      </w:r>
      <w:r w:rsidR="0020317B" w:rsidRPr="00710E80">
        <w:t xml:space="preserve">  </w:t>
      </w:r>
      <w:r w:rsidR="00FC03F9" w:rsidRPr="00710E80">
        <w:t xml:space="preserve">In those cases, </w:t>
      </w:r>
      <w:r w:rsidR="0020317B" w:rsidRPr="00710E80">
        <w:t>OCC explained in its motion to intervene that the proceeding could negatively impact residential consumers</w:t>
      </w:r>
      <w:r w:rsidR="00FC03F9" w:rsidRPr="00710E80">
        <w:t>,</w:t>
      </w:r>
      <w:r w:rsidR="0020317B" w:rsidRPr="00710E80">
        <w:t xml:space="preserve"> and </w:t>
      </w:r>
      <w:r w:rsidR="00FC03F9" w:rsidRPr="00710E80">
        <w:t xml:space="preserve">OCC </w:t>
      </w:r>
      <w:r w:rsidR="0020317B" w:rsidRPr="00710E80">
        <w:t>established that the interests of consumers would not be represented by existing parties.</w:t>
      </w:r>
      <w:r w:rsidR="0020317B" w:rsidRPr="00710E80">
        <w:rPr>
          <w:rStyle w:val="FootnoteReference"/>
        </w:rPr>
        <w:footnoteReference w:id="7"/>
      </w:r>
      <w:r w:rsidR="0020317B" w:rsidRPr="00710E80">
        <w:t xml:space="preserve">  Because there was no evidence disputing OCC</w:t>
      </w:r>
      <w:r w:rsidR="007564A2">
        <w:t>'</w:t>
      </w:r>
      <w:r w:rsidR="0020317B" w:rsidRPr="00710E80">
        <w:t>s position</w:t>
      </w:r>
      <w:r w:rsidR="00FC03F9" w:rsidRPr="00710E80">
        <w:t>, nor any</w:t>
      </w:r>
      <w:r w:rsidR="0020317B" w:rsidRPr="00710E80">
        <w:t xml:space="preserve"> evidence that OCC</w:t>
      </w:r>
      <w:r w:rsidR="007564A2">
        <w:t>'</w:t>
      </w:r>
      <w:r w:rsidR="0020317B" w:rsidRPr="00710E80">
        <w:t xml:space="preserve">s intervention would unduly delay the proceedings, the Supreme Court found that </w:t>
      </w:r>
      <w:r w:rsidR="00371B6C" w:rsidRPr="00710E80">
        <w:t xml:space="preserve">the PUCO could not deny </w:t>
      </w:r>
      <w:r w:rsidR="0020317B" w:rsidRPr="00710E80">
        <w:t xml:space="preserve">OCC </w:t>
      </w:r>
      <w:r w:rsidR="00371B6C" w:rsidRPr="00710E80">
        <w:t>the</w:t>
      </w:r>
      <w:r w:rsidR="0020317B" w:rsidRPr="00710E80">
        <w:t xml:space="preserve"> right to intervene.</w:t>
      </w:r>
      <w:r w:rsidR="0020317B" w:rsidRPr="00710E80">
        <w:rPr>
          <w:rStyle w:val="FootnoteReference"/>
        </w:rPr>
        <w:footnoteReference w:id="8"/>
      </w:r>
    </w:p>
    <w:p w:rsidR="007C2976" w:rsidRPr="00710E80" w:rsidRDefault="007C2976" w:rsidP="007C2976">
      <w:pPr>
        <w:suppressAutoHyphens/>
        <w:spacing w:line="480" w:lineRule="auto"/>
        <w:ind w:firstLine="720"/>
      </w:pPr>
      <w:r w:rsidRPr="00710E80">
        <w:t xml:space="preserve">OCC meets the criteria set forth in R.C. 4903.221, Ohio Adm. Code 4901-1-11, and the precedent established by the Supreme Court of Ohio for intervention.  On behalf of Ohio residential consumers, the </w:t>
      </w:r>
      <w:r w:rsidR="00DC77AF" w:rsidRPr="00710E80">
        <w:t>PUCO</w:t>
      </w:r>
      <w:r w:rsidRPr="00710E80">
        <w:t xml:space="preserve"> should grant OCC</w:t>
      </w:r>
      <w:r w:rsidR="007564A2">
        <w:t>'</w:t>
      </w:r>
      <w:r w:rsidRPr="00710E80">
        <w:t>s Motion to Intervene.</w:t>
      </w:r>
    </w:p>
    <w:p w:rsidR="00385370" w:rsidRPr="00710E80" w:rsidRDefault="00385370">
      <w:pPr>
        <w:rPr>
          <w:szCs w:val="24"/>
        </w:rPr>
      </w:pPr>
    </w:p>
    <w:p w:rsidR="00BD03C9" w:rsidRPr="00710E80" w:rsidRDefault="00BD03C9" w:rsidP="00BD03C9">
      <w:pPr>
        <w:pStyle w:val="BodyTextIndent3"/>
        <w:widowControl w:val="0"/>
        <w:spacing w:line="480" w:lineRule="auto"/>
        <w:ind w:left="4320" w:firstLine="0"/>
        <w:rPr>
          <w:szCs w:val="24"/>
        </w:rPr>
      </w:pPr>
      <w:r w:rsidRPr="00710E80">
        <w:rPr>
          <w:szCs w:val="24"/>
        </w:rPr>
        <w:t>Respectfully submitted,</w:t>
      </w:r>
    </w:p>
    <w:p w:rsidR="00BD03C9" w:rsidRPr="00710E80" w:rsidRDefault="00BD03C9" w:rsidP="00BD03C9">
      <w:pPr>
        <w:ind w:left="4320"/>
      </w:pPr>
      <w:r w:rsidRPr="00710E80">
        <w:t>BRUCE J. WESTON (0016973)</w:t>
      </w:r>
    </w:p>
    <w:p w:rsidR="00BD03C9" w:rsidRPr="00710E80" w:rsidRDefault="00BD03C9" w:rsidP="00BD03C9">
      <w:pPr>
        <w:tabs>
          <w:tab w:val="left" w:pos="4320"/>
        </w:tabs>
        <w:ind w:left="4320"/>
        <w:rPr>
          <w:szCs w:val="24"/>
        </w:rPr>
      </w:pPr>
      <w:r w:rsidRPr="00710E80">
        <w:rPr>
          <w:szCs w:val="24"/>
        </w:rPr>
        <w:t>OHIO CONSUMERS</w:t>
      </w:r>
      <w:r w:rsidR="007564A2">
        <w:rPr>
          <w:szCs w:val="24"/>
        </w:rPr>
        <w:t>'</w:t>
      </w:r>
      <w:r w:rsidRPr="00710E80">
        <w:rPr>
          <w:szCs w:val="24"/>
        </w:rPr>
        <w:t xml:space="preserve"> COUNSEL</w:t>
      </w:r>
    </w:p>
    <w:p w:rsidR="00BD03C9" w:rsidRPr="00710E80" w:rsidRDefault="00BD03C9" w:rsidP="00BD03C9">
      <w:pPr>
        <w:tabs>
          <w:tab w:val="left" w:pos="4320"/>
        </w:tabs>
        <w:ind w:left="4320"/>
        <w:rPr>
          <w:szCs w:val="24"/>
        </w:rPr>
      </w:pPr>
    </w:p>
    <w:p w:rsidR="00BD03C9" w:rsidRPr="00710E80" w:rsidRDefault="00BD03C9" w:rsidP="00BD03C9">
      <w:pPr>
        <w:autoSpaceDE w:val="0"/>
        <w:autoSpaceDN w:val="0"/>
        <w:adjustRightInd w:val="0"/>
        <w:ind w:left="4320"/>
        <w:rPr>
          <w:i/>
        </w:rPr>
      </w:pPr>
      <w:r w:rsidRPr="00710E80">
        <w:rPr>
          <w:i/>
          <w:u w:val="single"/>
        </w:rPr>
        <w:t>/s/ Christopher Healey</w:t>
      </w:r>
      <w:r w:rsidRPr="00710E80">
        <w:rPr>
          <w:i/>
          <w:u w:val="single"/>
        </w:rPr>
        <w:tab/>
      </w:r>
    </w:p>
    <w:p w:rsidR="00BD03C9" w:rsidRPr="00710E80" w:rsidRDefault="007D0EBE" w:rsidP="00BD03C9">
      <w:pPr>
        <w:tabs>
          <w:tab w:val="left" w:pos="4320"/>
        </w:tabs>
        <w:ind w:left="4320"/>
        <w:rPr>
          <w:szCs w:val="24"/>
        </w:rPr>
      </w:pPr>
      <w:r>
        <w:rPr>
          <w:szCs w:val="24"/>
        </w:rPr>
        <w:t>Christopher Healey (0086027)</w:t>
      </w:r>
      <w:r w:rsidR="00BD03C9" w:rsidRPr="00710E80">
        <w:rPr>
          <w:szCs w:val="24"/>
        </w:rPr>
        <w:br/>
        <w:t>Counsel of Record</w:t>
      </w:r>
    </w:p>
    <w:p w:rsidR="00BD03C9" w:rsidRPr="00710E80" w:rsidRDefault="00BD03C9" w:rsidP="00BD03C9">
      <w:pPr>
        <w:tabs>
          <w:tab w:val="left" w:pos="4320"/>
        </w:tabs>
        <w:ind w:left="4320"/>
        <w:rPr>
          <w:szCs w:val="24"/>
        </w:rPr>
      </w:pPr>
      <w:r>
        <w:rPr>
          <w:szCs w:val="24"/>
        </w:rPr>
        <w:t>Ajay Kumar</w:t>
      </w:r>
      <w:r w:rsidRPr="00710E80">
        <w:rPr>
          <w:szCs w:val="24"/>
        </w:rPr>
        <w:t xml:space="preserve"> (</w:t>
      </w:r>
      <w:r>
        <w:rPr>
          <w:rFonts w:eastAsiaTheme="minorEastAsia"/>
          <w:szCs w:val="24"/>
        </w:rPr>
        <w:t>0092208</w:t>
      </w:r>
      <w:r w:rsidRPr="00710E80">
        <w:t>)</w:t>
      </w:r>
    </w:p>
    <w:p w:rsidR="00BD03C9" w:rsidRPr="00710E80" w:rsidRDefault="00BD03C9" w:rsidP="00BD03C9">
      <w:pPr>
        <w:tabs>
          <w:tab w:val="left" w:pos="4320"/>
        </w:tabs>
        <w:ind w:left="4320"/>
        <w:rPr>
          <w:szCs w:val="24"/>
        </w:rPr>
      </w:pPr>
      <w:r w:rsidRPr="00710E80">
        <w:rPr>
          <w:szCs w:val="24"/>
        </w:rPr>
        <w:t>Assistant Consumers</w:t>
      </w:r>
      <w:r w:rsidR="007564A2">
        <w:rPr>
          <w:szCs w:val="24"/>
        </w:rPr>
        <w:t>'</w:t>
      </w:r>
      <w:r w:rsidRPr="00710E80">
        <w:rPr>
          <w:szCs w:val="24"/>
        </w:rPr>
        <w:t xml:space="preserve"> Counsel</w:t>
      </w:r>
    </w:p>
    <w:p w:rsidR="00BD03C9" w:rsidRPr="00710E80" w:rsidRDefault="00BD03C9" w:rsidP="00BD03C9">
      <w:pPr>
        <w:pStyle w:val="Heading1"/>
        <w:spacing w:before="120"/>
        <w:ind w:left="4320"/>
        <w:rPr>
          <w:u w:val="none"/>
        </w:rPr>
      </w:pPr>
      <w:r w:rsidRPr="00710E80">
        <w:rPr>
          <w:u w:val="none"/>
        </w:rPr>
        <w:t xml:space="preserve">Office of the </w:t>
      </w:r>
      <w:smartTag w:uri="urn:schemas-microsoft-com:office:smarttags" w:element="place">
        <w:smartTag w:uri="urn:schemas-microsoft-com:office:smarttags" w:element="State">
          <w:r w:rsidRPr="00710E80">
            <w:rPr>
              <w:u w:val="none"/>
            </w:rPr>
            <w:t>Ohio</w:t>
          </w:r>
        </w:smartTag>
      </w:smartTag>
      <w:r w:rsidRPr="00710E80">
        <w:rPr>
          <w:u w:val="none"/>
        </w:rPr>
        <w:t xml:space="preserve"> Consumers</w:t>
      </w:r>
      <w:r w:rsidR="007564A2">
        <w:rPr>
          <w:u w:val="none"/>
        </w:rPr>
        <w:t>'</w:t>
      </w:r>
      <w:r w:rsidRPr="00710E80">
        <w:rPr>
          <w:u w:val="none"/>
        </w:rPr>
        <w:t xml:space="preserve"> Counsel</w:t>
      </w:r>
    </w:p>
    <w:p w:rsidR="00BD03C9" w:rsidRPr="00710E80" w:rsidRDefault="00BD03C9" w:rsidP="00BD03C9">
      <w:pPr>
        <w:pStyle w:val="Heading1"/>
        <w:ind w:left="4320"/>
        <w:rPr>
          <w:b w:val="0"/>
          <w:u w:val="none"/>
        </w:rPr>
      </w:pPr>
      <w:smartTag w:uri="urn:schemas-microsoft-com:office:smarttags" w:element="Street">
        <w:smartTag w:uri="urn:schemas-microsoft-com:office:smarttags" w:element="address">
          <w:r w:rsidRPr="00710E80">
            <w:rPr>
              <w:b w:val="0"/>
              <w:u w:val="none"/>
            </w:rPr>
            <w:t>10 West Broad Street, Suite 1800</w:t>
          </w:r>
        </w:smartTag>
      </w:smartTag>
    </w:p>
    <w:p w:rsidR="00BD03C9" w:rsidRPr="00710E80" w:rsidRDefault="00BD03C9" w:rsidP="00BD03C9">
      <w:pPr>
        <w:pStyle w:val="Heading1"/>
        <w:ind w:left="4320"/>
        <w:rPr>
          <w:b w:val="0"/>
          <w:u w:val="none"/>
        </w:rPr>
      </w:pPr>
      <w:smartTag w:uri="urn:schemas-microsoft-com:office:smarttags" w:element="place">
        <w:smartTag w:uri="urn:schemas-microsoft-com:office:smarttags" w:element="City">
          <w:r w:rsidRPr="00710E80">
            <w:rPr>
              <w:b w:val="0"/>
              <w:u w:val="none"/>
            </w:rPr>
            <w:t>Columbus</w:t>
          </w:r>
        </w:smartTag>
        <w:r w:rsidRPr="00710E80">
          <w:rPr>
            <w:b w:val="0"/>
            <w:u w:val="none"/>
          </w:rPr>
          <w:t xml:space="preserve">, </w:t>
        </w:r>
        <w:smartTag w:uri="urn:schemas-microsoft-com:office:smarttags" w:element="State">
          <w:r w:rsidRPr="00710E80">
            <w:rPr>
              <w:b w:val="0"/>
              <w:u w:val="none"/>
            </w:rPr>
            <w:t>Ohio</w:t>
          </w:r>
        </w:smartTag>
        <w:r w:rsidRPr="00710E80">
          <w:rPr>
            <w:b w:val="0"/>
            <w:u w:val="none"/>
          </w:rPr>
          <w:t xml:space="preserve"> </w:t>
        </w:r>
        <w:smartTag w:uri="urn:schemas-microsoft-com:office:smarttags" w:element="PostalCode">
          <w:r w:rsidRPr="00710E80">
            <w:rPr>
              <w:b w:val="0"/>
              <w:u w:val="none"/>
            </w:rPr>
            <w:t>43215-3485</w:t>
          </w:r>
        </w:smartTag>
      </w:smartTag>
    </w:p>
    <w:p w:rsidR="00BD03C9" w:rsidRPr="00710E80" w:rsidRDefault="00BD03C9" w:rsidP="00BD03C9">
      <w:pPr>
        <w:autoSpaceDE w:val="0"/>
        <w:autoSpaceDN w:val="0"/>
        <w:adjustRightInd w:val="0"/>
        <w:ind w:left="3600" w:firstLine="720"/>
        <w:rPr>
          <w:szCs w:val="24"/>
        </w:rPr>
      </w:pPr>
      <w:r w:rsidRPr="00710E80">
        <w:rPr>
          <w:szCs w:val="24"/>
        </w:rPr>
        <w:t>Telephone: (614) 466-9571 (Healey direct)</w:t>
      </w:r>
    </w:p>
    <w:p w:rsidR="00BD03C9" w:rsidRPr="00710E80" w:rsidRDefault="00BD03C9" w:rsidP="00BD03C9">
      <w:pPr>
        <w:ind w:left="4320"/>
        <w:rPr>
          <w:szCs w:val="24"/>
        </w:rPr>
      </w:pPr>
      <w:r w:rsidRPr="00710E80">
        <w:t xml:space="preserve">Telephone: (614) </w:t>
      </w:r>
      <w:r>
        <w:rPr>
          <w:szCs w:val="24"/>
        </w:rPr>
        <w:t>466-1292</w:t>
      </w:r>
      <w:r w:rsidRPr="00710E80">
        <w:rPr>
          <w:szCs w:val="24"/>
        </w:rPr>
        <w:t xml:space="preserve"> (</w:t>
      </w:r>
      <w:r>
        <w:rPr>
          <w:szCs w:val="24"/>
        </w:rPr>
        <w:t>Kumar</w:t>
      </w:r>
      <w:r w:rsidRPr="00710E80">
        <w:rPr>
          <w:szCs w:val="24"/>
        </w:rPr>
        <w:t xml:space="preserve"> direct)</w:t>
      </w:r>
    </w:p>
    <w:p w:rsidR="007D0EBE" w:rsidRPr="00E40815" w:rsidRDefault="004D106D" w:rsidP="00BD03C9">
      <w:pPr>
        <w:ind w:left="4320"/>
        <w:rPr>
          <w:color w:val="0000FF"/>
          <w:szCs w:val="24"/>
          <w:u w:val="single"/>
        </w:rPr>
      </w:pPr>
      <w:hyperlink r:id="rId16" w:history="1">
        <w:r w:rsidR="00BD03C9" w:rsidRPr="00710E80">
          <w:rPr>
            <w:rStyle w:val="Hyperlink"/>
            <w:szCs w:val="24"/>
          </w:rPr>
          <w:t>christopher.healey@occ.ohio.gov</w:t>
        </w:r>
      </w:hyperlink>
    </w:p>
    <w:p w:rsidR="00BD03C9" w:rsidRPr="00710E80" w:rsidRDefault="004D106D" w:rsidP="00BD03C9">
      <w:pPr>
        <w:ind w:left="4320"/>
        <w:rPr>
          <w:szCs w:val="24"/>
        </w:rPr>
      </w:pPr>
      <w:hyperlink r:id="rId17" w:history="1">
        <w:r w:rsidR="00BD03C9" w:rsidRPr="00C90501">
          <w:rPr>
            <w:rStyle w:val="Hyperlink"/>
          </w:rPr>
          <w:t>ajay.kumar</w:t>
        </w:r>
        <w:r w:rsidR="00BD03C9" w:rsidRPr="00C90501">
          <w:rPr>
            <w:rStyle w:val="Hyperlink"/>
            <w:szCs w:val="24"/>
          </w:rPr>
          <w:t>@occ.ohio.gov</w:t>
        </w:r>
      </w:hyperlink>
    </w:p>
    <w:p w:rsidR="00304E4D" w:rsidRPr="00710E80" w:rsidRDefault="007D0EBE" w:rsidP="00BD03C9">
      <w:pPr>
        <w:ind w:left="4320"/>
        <w:rPr>
          <w:szCs w:val="24"/>
        </w:rPr>
      </w:pPr>
      <w:r>
        <w:rPr>
          <w:szCs w:val="24"/>
        </w:rPr>
        <w:t>(</w:t>
      </w:r>
      <w:r w:rsidR="00E40815">
        <w:rPr>
          <w:szCs w:val="24"/>
        </w:rPr>
        <w:t xml:space="preserve">All </w:t>
      </w:r>
      <w:r w:rsidR="00BD03C9" w:rsidRPr="00710E80">
        <w:rPr>
          <w:szCs w:val="24"/>
        </w:rPr>
        <w:t>will accept service via email)</w:t>
      </w:r>
    </w:p>
    <w:p w:rsidR="007C2976" w:rsidRPr="00710E80" w:rsidRDefault="007C2976" w:rsidP="007C2976">
      <w:pPr>
        <w:rPr>
          <w:szCs w:val="24"/>
        </w:rPr>
      </w:pPr>
    </w:p>
    <w:p w:rsidR="007C2976" w:rsidRPr="00710E80" w:rsidRDefault="007C2976" w:rsidP="007C2976">
      <w:pPr>
        <w:rPr>
          <w:szCs w:val="24"/>
        </w:rPr>
      </w:pPr>
    </w:p>
    <w:p w:rsidR="007C2976" w:rsidRPr="00710E80" w:rsidRDefault="007C2976" w:rsidP="007C2976">
      <w:pPr>
        <w:rPr>
          <w:szCs w:val="24"/>
        </w:rPr>
      </w:pPr>
      <w:r w:rsidRPr="00710E80">
        <w:rPr>
          <w:szCs w:val="24"/>
        </w:rPr>
        <w:tab/>
      </w:r>
      <w:r w:rsidRPr="00710E80">
        <w:rPr>
          <w:szCs w:val="24"/>
        </w:rPr>
        <w:tab/>
      </w:r>
      <w:r w:rsidRPr="00710E80">
        <w:rPr>
          <w:szCs w:val="24"/>
        </w:rPr>
        <w:tab/>
      </w:r>
      <w:r w:rsidRPr="00710E80">
        <w:rPr>
          <w:szCs w:val="24"/>
        </w:rPr>
        <w:tab/>
      </w:r>
      <w:r w:rsidRPr="00710E80">
        <w:rPr>
          <w:szCs w:val="24"/>
        </w:rPr>
        <w:tab/>
      </w:r>
      <w:r w:rsidRPr="00710E80">
        <w:rPr>
          <w:szCs w:val="24"/>
        </w:rPr>
        <w:tab/>
      </w:r>
    </w:p>
    <w:p w:rsidR="007C2976" w:rsidRPr="00710E80" w:rsidRDefault="007C2976" w:rsidP="007C2976">
      <w:pPr>
        <w:jc w:val="center"/>
        <w:rPr>
          <w:b/>
          <w:bCs/>
          <w:u w:val="single"/>
        </w:rPr>
      </w:pPr>
      <w:r w:rsidRPr="00710E80">
        <w:br w:type="page"/>
      </w:r>
      <w:r w:rsidRPr="00710E80">
        <w:rPr>
          <w:b/>
          <w:bCs/>
          <w:u w:val="single"/>
        </w:rPr>
        <w:lastRenderedPageBreak/>
        <w:t>CERTIFICATE OF SERVICE</w:t>
      </w:r>
    </w:p>
    <w:p w:rsidR="007C2976" w:rsidRPr="00710E80" w:rsidRDefault="007C2976" w:rsidP="00D0554D">
      <w:pPr>
        <w:spacing w:line="480" w:lineRule="atLeast"/>
        <w:ind w:firstLine="720"/>
      </w:pPr>
      <w:r w:rsidRPr="00710E80">
        <w:t xml:space="preserve">I hereby certify that a copy of this </w:t>
      </w:r>
      <w:r w:rsidR="007D0EBE">
        <w:t>M</w:t>
      </w:r>
      <w:r w:rsidRPr="00710E80">
        <w:t xml:space="preserve">otion to </w:t>
      </w:r>
      <w:r w:rsidR="007D0EBE">
        <w:t>I</w:t>
      </w:r>
      <w:r w:rsidRPr="00710E80">
        <w:t>ntervene was served on the persons stated below via</w:t>
      </w:r>
      <w:r w:rsidRPr="00710E80">
        <w:rPr>
          <w:i/>
        </w:rPr>
        <w:t xml:space="preserve"> </w:t>
      </w:r>
      <w:r w:rsidR="00D50439" w:rsidRPr="00710E80">
        <w:t>electric transmission</w:t>
      </w:r>
      <w:r w:rsidRPr="00710E80">
        <w:t xml:space="preserve"> this </w:t>
      </w:r>
      <w:r w:rsidR="009244B1">
        <w:t>3rd</w:t>
      </w:r>
      <w:r w:rsidR="00385370" w:rsidRPr="00710E80">
        <w:t xml:space="preserve"> </w:t>
      </w:r>
      <w:r w:rsidRPr="00710E80">
        <w:t xml:space="preserve">day of </w:t>
      </w:r>
      <w:r w:rsidR="009244B1">
        <w:t>June</w:t>
      </w:r>
      <w:r w:rsidRPr="00710E80">
        <w:t xml:space="preserve"> 201</w:t>
      </w:r>
      <w:r w:rsidR="00666AB5" w:rsidRPr="00710E80">
        <w:t>6</w:t>
      </w:r>
      <w:r w:rsidRPr="00710E80">
        <w:t>.</w:t>
      </w:r>
    </w:p>
    <w:p w:rsidR="007C2976" w:rsidRPr="00710E80" w:rsidRDefault="007C2976" w:rsidP="007C2976">
      <w:pPr>
        <w:spacing w:line="480" w:lineRule="atLeast"/>
      </w:pPr>
    </w:p>
    <w:p w:rsidR="00C05D8D" w:rsidRPr="00710E80" w:rsidRDefault="00C05D8D" w:rsidP="00C05D8D">
      <w:pPr>
        <w:autoSpaceDE w:val="0"/>
        <w:autoSpaceDN w:val="0"/>
        <w:adjustRightInd w:val="0"/>
        <w:ind w:left="4320"/>
        <w:rPr>
          <w:i/>
        </w:rPr>
      </w:pPr>
      <w:r w:rsidRPr="00710E80">
        <w:rPr>
          <w:i/>
          <w:u w:val="single"/>
        </w:rPr>
        <w:t>/s/ </w:t>
      </w:r>
      <w:r w:rsidR="00385370" w:rsidRPr="00710E80">
        <w:rPr>
          <w:i/>
          <w:u w:val="single"/>
        </w:rPr>
        <w:t>Christopher Healey</w:t>
      </w:r>
      <w:r w:rsidR="00385370" w:rsidRPr="00710E80">
        <w:rPr>
          <w:i/>
          <w:u w:val="single"/>
        </w:rPr>
        <w:tab/>
      </w:r>
    </w:p>
    <w:p w:rsidR="007C2976" w:rsidRPr="00710E80" w:rsidRDefault="00D0554D" w:rsidP="00C05D8D">
      <w:pPr>
        <w:tabs>
          <w:tab w:val="left" w:pos="4320"/>
        </w:tabs>
        <w:ind w:left="4320"/>
      </w:pPr>
      <w:r w:rsidRPr="00710E80">
        <w:t>Christopher Healey</w:t>
      </w:r>
      <w:r w:rsidRPr="00710E80">
        <w:br/>
      </w:r>
      <w:r w:rsidR="0091432F">
        <w:t>Assistant Consumers</w:t>
      </w:r>
      <w:r w:rsidR="007564A2">
        <w:t>'</w:t>
      </w:r>
      <w:r w:rsidR="0091432F">
        <w:t xml:space="preserve"> Counsel</w:t>
      </w:r>
    </w:p>
    <w:p w:rsidR="007C2976" w:rsidRPr="00710E80" w:rsidRDefault="007C2976" w:rsidP="007C2976">
      <w:pPr>
        <w:pStyle w:val="CommentSubject"/>
      </w:pPr>
    </w:p>
    <w:p w:rsidR="007C2976" w:rsidRPr="00710E80" w:rsidRDefault="007C2976" w:rsidP="007C2976">
      <w:pPr>
        <w:pStyle w:val="CommentText"/>
      </w:pPr>
    </w:p>
    <w:p w:rsidR="007C2976" w:rsidRDefault="007C2976" w:rsidP="00C11533">
      <w:pPr>
        <w:pStyle w:val="CommentText"/>
        <w:jc w:val="center"/>
        <w:rPr>
          <w:b/>
          <w:u w:val="single"/>
        </w:rPr>
      </w:pPr>
      <w:r w:rsidRPr="00710E80">
        <w:rPr>
          <w:b/>
          <w:u w:val="single"/>
        </w:rPr>
        <w:t>SERVICE LIST</w:t>
      </w:r>
    </w:p>
    <w:p w:rsidR="00793302" w:rsidRDefault="00793302" w:rsidP="00C11533">
      <w:pPr>
        <w:pStyle w:val="CommentText"/>
        <w:jc w:val="center"/>
        <w:rPr>
          <w:b/>
          <w:u w:val="single"/>
        </w:rPr>
      </w:pPr>
    </w:p>
    <w:tbl>
      <w:tblPr>
        <w:tblStyle w:val="TableGrid"/>
        <w:tblW w:w="0" w:type="auto"/>
        <w:tblLook w:val="04A0" w:firstRow="1" w:lastRow="0" w:firstColumn="1" w:lastColumn="0" w:noHBand="0" w:noVBand="1"/>
      </w:tblPr>
      <w:tblGrid>
        <w:gridCol w:w="4529"/>
        <w:gridCol w:w="4327"/>
      </w:tblGrid>
      <w:tr w:rsidR="00E40815" w:rsidTr="00E40815">
        <w:tc>
          <w:tcPr>
            <w:tcW w:w="4428" w:type="dxa"/>
          </w:tcPr>
          <w:p w:rsidR="00793302" w:rsidRPr="00793302" w:rsidRDefault="004D106D" w:rsidP="00E40815">
            <w:pPr>
              <w:pStyle w:val="CommentText"/>
              <w:rPr>
                <w:bCs/>
                <w:color w:val="0000FF"/>
                <w:u w:val="single"/>
              </w:rPr>
            </w:pPr>
            <w:hyperlink r:id="rId18" w:history="1">
              <w:r w:rsidR="00E40815" w:rsidRPr="00793302">
                <w:rPr>
                  <w:rStyle w:val="Hyperlink"/>
                  <w:bCs/>
                </w:rPr>
                <w:t>Thomas.mcnamee@ohioattorneygeneral.gov</w:t>
              </w:r>
            </w:hyperlink>
          </w:p>
          <w:p w:rsidR="00E40815" w:rsidRPr="00793302" w:rsidRDefault="004D106D" w:rsidP="00E40815">
            <w:pPr>
              <w:pStyle w:val="CommentText"/>
              <w:rPr>
                <w:bCs/>
              </w:rPr>
            </w:pPr>
            <w:hyperlink r:id="rId19" w:history="1">
              <w:r w:rsidR="00E40815" w:rsidRPr="00793302">
                <w:rPr>
                  <w:rStyle w:val="Hyperlink"/>
                  <w:bCs/>
                </w:rPr>
                <w:t>megan.addison@puc.state.oh.us</w:t>
              </w:r>
            </w:hyperlink>
            <w:r w:rsidR="00E40815" w:rsidRPr="00793302">
              <w:rPr>
                <w:bCs/>
              </w:rPr>
              <w:t xml:space="preserve"> </w:t>
            </w:r>
          </w:p>
        </w:tc>
        <w:tc>
          <w:tcPr>
            <w:tcW w:w="4428" w:type="dxa"/>
          </w:tcPr>
          <w:p w:rsidR="00E40815" w:rsidRPr="00793302" w:rsidRDefault="004D106D" w:rsidP="00E40815">
            <w:pPr>
              <w:pStyle w:val="CommentText"/>
              <w:rPr>
                <w:bCs/>
              </w:rPr>
            </w:pPr>
            <w:hyperlink r:id="rId20" w:history="1">
              <w:r w:rsidR="00E40815" w:rsidRPr="00793302">
                <w:rPr>
                  <w:rStyle w:val="Hyperlink"/>
                  <w:bCs/>
                </w:rPr>
                <w:t>Amy.spiller@duke-energy.com</w:t>
              </w:r>
            </w:hyperlink>
          </w:p>
          <w:p w:rsidR="00E40815" w:rsidRPr="00793302" w:rsidRDefault="004D106D" w:rsidP="00E40815">
            <w:pPr>
              <w:pStyle w:val="CommentText"/>
              <w:rPr>
                <w:bCs/>
              </w:rPr>
            </w:pPr>
            <w:hyperlink r:id="rId21" w:history="1">
              <w:r w:rsidR="00E40815" w:rsidRPr="00793302">
                <w:rPr>
                  <w:rStyle w:val="Hyperlink"/>
                  <w:bCs/>
                </w:rPr>
                <w:t>Elizabeth.watts@duke-energy.com</w:t>
              </w:r>
            </w:hyperlink>
            <w:r w:rsidR="00E40815" w:rsidRPr="00793302">
              <w:rPr>
                <w:bCs/>
              </w:rPr>
              <w:t xml:space="preserve"> </w:t>
            </w:r>
          </w:p>
        </w:tc>
      </w:tr>
    </w:tbl>
    <w:p w:rsidR="00291B2B" w:rsidRPr="00710E80" w:rsidRDefault="00291B2B" w:rsidP="00C11533">
      <w:pPr>
        <w:pStyle w:val="CommentText"/>
        <w:jc w:val="center"/>
        <w:rPr>
          <w:b/>
          <w:bCs/>
        </w:rPr>
      </w:pPr>
      <w:bookmarkStart w:id="0" w:name="_GoBack"/>
      <w:bookmarkEnd w:id="0"/>
    </w:p>
    <w:sectPr w:rsidR="00291B2B" w:rsidRPr="00710E80" w:rsidSect="00D50439">
      <w:headerReference w:type="default" r:id="rId22"/>
      <w:footerReference w:type="default" r:id="rId2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3FA" w:rsidRDefault="000343FA">
      <w:r>
        <w:separator/>
      </w:r>
    </w:p>
  </w:endnote>
  <w:endnote w:type="continuationSeparator" w:id="0">
    <w:p w:rsidR="000343FA" w:rsidRDefault="0003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2" w:rsidRDefault="00983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83AB2" w:rsidRDefault="00983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39" w:rsidRPr="00793302" w:rsidRDefault="00D50439">
    <w:pPr>
      <w:pStyle w:val="Footer"/>
      <w:jc w:val="center"/>
    </w:pPr>
  </w:p>
  <w:p w:rsidR="00D50439" w:rsidRPr="00793302" w:rsidRDefault="00D50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B6" w:rsidRDefault="007379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563745"/>
      <w:docPartObj>
        <w:docPartGallery w:val="Page Numbers (Bottom of Page)"/>
        <w:docPartUnique/>
      </w:docPartObj>
    </w:sdtPr>
    <w:sdtEndPr>
      <w:rPr>
        <w:noProof/>
        <w:sz w:val="24"/>
        <w:szCs w:val="24"/>
      </w:rPr>
    </w:sdtEndPr>
    <w:sdtContent>
      <w:p w:rsidR="00D50439" w:rsidRPr="00793302" w:rsidRDefault="00D50439">
        <w:pPr>
          <w:pStyle w:val="Footer"/>
          <w:jc w:val="center"/>
          <w:rPr>
            <w:sz w:val="24"/>
            <w:szCs w:val="24"/>
          </w:rPr>
        </w:pPr>
        <w:r w:rsidRPr="00793302">
          <w:rPr>
            <w:sz w:val="24"/>
            <w:szCs w:val="24"/>
          </w:rPr>
          <w:fldChar w:fldCharType="begin"/>
        </w:r>
        <w:r w:rsidRPr="00793302">
          <w:rPr>
            <w:sz w:val="24"/>
            <w:szCs w:val="24"/>
          </w:rPr>
          <w:instrText xml:space="preserve"> PAGE   \* MERGEFORMAT </w:instrText>
        </w:r>
        <w:r w:rsidRPr="00793302">
          <w:rPr>
            <w:sz w:val="24"/>
            <w:szCs w:val="24"/>
          </w:rPr>
          <w:fldChar w:fldCharType="separate"/>
        </w:r>
        <w:r w:rsidR="00793302">
          <w:rPr>
            <w:noProof/>
            <w:sz w:val="24"/>
            <w:szCs w:val="24"/>
          </w:rPr>
          <w:t>4</w:t>
        </w:r>
        <w:r w:rsidRPr="00793302">
          <w:rPr>
            <w:noProof/>
            <w:sz w:val="24"/>
            <w:szCs w:val="24"/>
          </w:rPr>
          <w:fldChar w:fldCharType="end"/>
        </w:r>
      </w:p>
    </w:sdtContent>
  </w:sdt>
  <w:p w:rsidR="00D50439" w:rsidRPr="00793302" w:rsidRDefault="00D50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3FA" w:rsidRDefault="000343FA">
      <w:r>
        <w:separator/>
      </w:r>
    </w:p>
  </w:footnote>
  <w:footnote w:type="continuationSeparator" w:id="0">
    <w:p w:rsidR="000343FA" w:rsidRDefault="000343FA">
      <w:r>
        <w:continuationSeparator/>
      </w:r>
    </w:p>
  </w:footnote>
  <w:footnote w:id="1">
    <w:p w:rsidR="00E02C3F" w:rsidRDefault="00E02C3F">
      <w:pPr>
        <w:pStyle w:val="FootnoteText"/>
      </w:pPr>
      <w:r>
        <w:rPr>
          <w:rStyle w:val="FootnoteReference"/>
        </w:rPr>
        <w:footnoteRef/>
      </w:r>
      <w:r>
        <w:t xml:space="preserve"> </w:t>
      </w:r>
      <w:r w:rsidRPr="00704D0E">
        <w:rPr>
          <w:i/>
        </w:rPr>
        <w:t>See</w:t>
      </w:r>
      <w:r>
        <w:t xml:space="preserve"> R.C. Chapter 4911; R.C. 4903.221;</w:t>
      </w:r>
      <w:r w:rsidRPr="00E02C3F">
        <w:t xml:space="preserve"> </w:t>
      </w:r>
      <w:r>
        <w:t xml:space="preserve">Ohio Adm. Code 4901-1-11.  </w:t>
      </w:r>
    </w:p>
  </w:footnote>
  <w:footnote w:id="2">
    <w:p w:rsidR="00983AB2" w:rsidRDefault="00983AB2" w:rsidP="00291B2B">
      <w:pPr>
        <w:pStyle w:val="FootnoteText"/>
        <w:spacing w:before="0" w:after="120"/>
      </w:pPr>
      <w:r>
        <w:rPr>
          <w:rStyle w:val="FootnoteReference"/>
        </w:rPr>
        <w:footnoteRef/>
      </w:r>
      <w:r>
        <w:t xml:space="preserve"> </w:t>
      </w:r>
      <w:r w:rsidR="00E02C3F">
        <w:t xml:space="preserve">OCC has appealed the PUCO's decision to permit Duke to charge customers for these costs.  </w:t>
      </w:r>
      <w:r w:rsidR="00E02C3F" w:rsidRPr="009244B1">
        <w:rPr>
          <w:i/>
        </w:rPr>
        <w:t>See</w:t>
      </w:r>
      <w:r w:rsidR="00E02C3F">
        <w:t xml:space="preserve"> </w:t>
      </w:r>
      <w:r w:rsidR="001117E6">
        <w:t xml:space="preserve">Merit Brief and Appendix of Joint Appellants, The Office of the Ohio Consumers' Counsel, Kroger Company, Ohio Manufacturers’ Association, and Ohio Partners for Affordable Energy at 1, </w:t>
      </w:r>
      <w:r w:rsidR="001117E6">
        <w:rPr>
          <w:i/>
        </w:rPr>
        <w:t>In the Matter of Duke Energy Ohio, Inc. for an Increase in Its Natural Gas Distribution Rates</w:t>
      </w:r>
      <w:r w:rsidR="001117E6">
        <w:t>, Case No. 2014-0328 (Ohio May 27, 2014).</w:t>
      </w:r>
    </w:p>
  </w:footnote>
  <w:footnote w:id="3">
    <w:p w:rsidR="007564A2" w:rsidRDefault="007564A2" w:rsidP="00291B2B">
      <w:pPr>
        <w:pStyle w:val="FootnoteText"/>
        <w:spacing w:before="0" w:after="120"/>
      </w:pPr>
      <w:r>
        <w:rPr>
          <w:rStyle w:val="FootnoteReference"/>
        </w:rPr>
        <w:footnoteRef/>
      </w:r>
      <w:r>
        <w:t xml:space="preserve"> </w:t>
      </w:r>
      <w:r w:rsidRPr="00704D0E">
        <w:rPr>
          <w:i/>
        </w:rPr>
        <w:t>See</w:t>
      </w:r>
      <w:r>
        <w:t xml:space="preserve"> R.C. Chapter 4911; R.C. 4903.221; Ohio Adm. Code 4901-1-11.</w:t>
      </w:r>
    </w:p>
  </w:footnote>
  <w:footnote w:id="4">
    <w:p w:rsidR="00983AB2" w:rsidRDefault="00983AB2" w:rsidP="00291B2B">
      <w:pPr>
        <w:pStyle w:val="FootnoteText"/>
        <w:spacing w:before="0" w:after="120"/>
      </w:pPr>
      <w:r>
        <w:rPr>
          <w:rStyle w:val="FootnoteReference"/>
        </w:rPr>
        <w:footnoteRef/>
      </w:r>
      <w:r>
        <w:t xml:space="preserve"> </w:t>
      </w:r>
      <w:r w:rsidR="00304E4D" w:rsidRPr="00304E4D">
        <w:rPr>
          <w:i/>
        </w:rPr>
        <w:t>See</w:t>
      </w:r>
      <w:r w:rsidR="00304E4D">
        <w:t xml:space="preserve"> </w:t>
      </w:r>
      <w:r w:rsidRPr="00304E4D">
        <w:t>R</w:t>
      </w:r>
      <w:r>
        <w:t>.C. 4905.22</w:t>
      </w:r>
      <w:r w:rsidR="006C19C3">
        <w:t xml:space="preserve"> (</w:t>
      </w:r>
      <w:r w:rsidR="007564A2">
        <w:t>"</w:t>
      </w:r>
      <w:r w:rsidR="006C19C3">
        <w:t>All charges made or demanded for any service rendered, or to be rendered, shall be just, reasonable, and not more than the charges allowed by law or by order of the public utilities commission . . .</w:t>
      </w:r>
      <w:r w:rsidR="007564A2">
        <w:t>"</w:t>
      </w:r>
      <w:r w:rsidR="006C19C3">
        <w:t>).</w:t>
      </w:r>
    </w:p>
  </w:footnote>
  <w:footnote w:id="5">
    <w:p w:rsidR="007564A2" w:rsidRPr="007564A2" w:rsidRDefault="007564A2" w:rsidP="00291B2B">
      <w:pPr>
        <w:pStyle w:val="FootnoteText"/>
        <w:spacing w:before="0" w:after="120"/>
      </w:pPr>
      <w:r>
        <w:rPr>
          <w:rStyle w:val="FootnoteReference"/>
        </w:rPr>
        <w:footnoteRef/>
      </w:r>
      <w:r>
        <w:t xml:space="preserve"> </w:t>
      </w:r>
      <w:r>
        <w:rPr>
          <w:i/>
        </w:rPr>
        <w:t>See</w:t>
      </w:r>
      <w:r>
        <w:t xml:space="preserve"> Case No. 12-1685-GA-AIR, Supplemental Direct Testimony of Andrew C. Middleton on Behalf of Duke Energy Ohio, Inc. at 4 (Feb. 25, 2013) (stating that manufacture of gas at the </w:t>
      </w:r>
      <w:r w:rsidR="00EF78D6">
        <w:t>"West End" MGP site ended in 1928 and manufacture of gas at the "East End" MGP site ended in 1963).</w:t>
      </w:r>
    </w:p>
  </w:footnote>
  <w:footnote w:id="6">
    <w:p w:rsidR="0020317B" w:rsidRDefault="0020317B" w:rsidP="00291B2B">
      <w:pPr>
        <w:pStyle w:val="FootnoteText"/>
        <w:spacing w:before="0" w:after="120"/>
      </w:pPr>
      <w:r>
        <w:rPr>
          <w:rStyle w:val="FootnoteReference"/>
        </w:rPr>
        <w:footnoteRef/>
      </w:r>
      <w:r w:rsidRPr="003F5FD3">
        <w:rPr>
          <w:i/>
        </w:rPr>
        <w:t xml:space="preserve"> </w:t>
      </w:r>
      <w:r w:rsidRPr="00304E4D">
        <w:rPr>
          <w:i/>
        </w:rPr>
        <w:t>See</w:t>
      </w:r>
      <w:r w:rsidRPr="00F5505A">
        <w:t xml:space="preserve"> </w:t>
      </w:r>
      <w:smartTag w:uri="urn:schemas-microsoft-com:office:smarttags" w:element="place">
        <w:smartTag w:uri="urn:schemas-microsoft-com:office:smarttags" w:element="State">
          <w:r w:rsidRPr="009539C3">
            <w:rPr>
              <w:i/>
            </w:rPr>
            <w:t>Ohio</w:t>
          </w:r>
        </w:smartTag>
      </w:smartTag>
      <w:r w:rsidRPr="009539C3">
        <w:rPr>
          <w:i/>
        </w:rPr>
        <w:t xml:space="preserve"> Consumers</w:t>
      </w:r>
      <w:r w:rsidR="007564A2">
        <w:rPr>
          <w:i/>
        </w:rPr>
        <w:t>'</w:t>
      </w:r>
      <w:r w:rsidRPr="009539C3">
        <w:rPr>
          <w:i/>
        </w:rPr>
        <w:t xml:space="preserve"> Counsel v. Pub. Util. Comm</w:t>
      </w:r>
      <w:r>
        <w:t>., 111 Ohio St. 3d 384, 2006-Ohio-5853, ¶ 20 (2006).</w:t>
      </w:r>
    </w:p>
  </w:footnote>
  <w:footnote w:id="7">
    <w:p w:rsidR="0020317B" w:rsidRPr="0020317B" w:rsidRDefault="0020317B" w:rsidP="00291B2B">
      <w:pPr>
        <w:pStyle w:val="FootnoteText"/>
        <w:spacing w:before="0" w:after="120"/>
      </w:pPr>
      <w:r>
        <w:rPr>
          <w:rStyle w:val="FootnoteReference"/>
        </w:rPr>
        <w:footnoteRef/>
      </w:r>
      <w:r>
        <w:t xml:space="preserve"> </w:t>
      </w:r>
      <w:r>
        <w:rPr>
          <w:i/>
        </w:rPr>
        <w:t>Id.</w:t>
      </w:r>
      <w:r>
        <w:t xml:space="preserve"> ¶¶ 18-</w:t>
      </w:r>
      <w:r w:rsidR="00FC03F9">
        <w:t>20</w:t>
      </w:r>
      <w:r>
        <w:t>.</w:t>
      </w:r>
    </w:p>
  </w:footnote>
  <w:footnote w:id="8">
    <w:p w:rsidR="0020317B" w:rsidRPr="0020317B" w:rsidRDefault="0020317B" w:rsidP="00291B2B">
      <w:pPr>
        <w:pStyle w:val="FootnoteText"/>
        <w:spacing w:before="0" w:after="120"/>
      </w:pPr>
      <w:r>
        <w:rPr>
          <w:rStyle w:val="FootnoteReference"/>
        </w:rPr>
        <w:footnoteRef/>
      </w:r>
      <w:r>
        <w:t xml:space="preserve"> </w:t>
      </w:r>
      <w:r>
        <w:rPr>
          <w:i/>
        </w:rPr>
        <w:t>Id.</w:t>
      </w:r>
      <w:r>
        <w:t xml:space="preserve"> ¶¶ </w:t>
      </w:r>
      <w:r w:rsidR="00FC03F9">
        <w:t>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B6" w:rsidRDefault="00737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B6" w:rsidRDefault="007379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B6" w:rsidRDefault="007379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39" w:rsidRDefault="00D50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76"/>
    <w:rsid w:val="00024994"/>
    <w:rsid w:val="00026EEC"/>
    <w:rsid w:val="000343FA"/>
    <w:rsid w:val="000A0880"/>
    <w:rsid w:val="001117E6"/>
    <w:rsid w:val="00112404"/>
    <w:rsid w:val="0019088A"/>
    <w:rsid w:val="00195797"/>
    <w:rsid w:val="00196DFC"/>
    <w:rsid w:val="001A5489"/>
    <w:rsid w:val="001D2CE6"/>
    <w:rsid w:val="001D62AD"/>
    <w:rsid w:val="0020317B"/>
    <w:rsid w:val="002052C2"/>
    <w:rsid w:val="00230CE6"/>
    <w:rsid w:val="002374C0"/>
    <w:rsid w:val="00241884"/>
    <w:rsid w:val="002726CD"/>
    <w:rsid w:val="002729A5"/>
    <w:rsid w:val="00280E63"/>
    <w:rsid w:val="00291B2B"/>
    <w:rsid w:val="002D0BAE"/>
    <w:rsid w:val="00304E4D"/>
    <w:rsid w:val="003175CC"/>
    <w:rsid w:val="0033340B"/>
    <w:rsid w:val="00371B6C"/>
    <w:rsid w:val="00385370"/>
    <w:rsid w:val="00394064"/>
    <w:rsid w:val="003B5047"/>
    <w:rsid w:val="003C46E9"/>
    <w:rsid w:val="004004DF"/>
    <w:rsid w:val="00482806"/>
    <w:rsid w:val="00490093"/>
    <w:rsid w:val="004B47A1"/>
    <w:rsid w:val="004C1B7C"/>
    <w:rsid w:val="004C7968"/>
    <w:rsid w:val="004D303A"/>
    <w:rsid w:val="004E63F1"/>
    <w:rsid w:val="004F297B"/>
    <w:rsid w:val="004F2AA4"/>
    <w:rsid w:val="004F2BBB"/>
    <w:rsid w:val="0053126A"/>
    <w:rsid w:val="005706D7"/>
    <w:rsid w:val="00592BE9"/>
    <w:rsid w:val="00594F47"/>
    <w:rsid w:val="005D73EF"/>
    <w:rsid w:val="005E3329"/>
    <w:rsid w:val="00647866"/>
    <w:rsid w:val="00666AB5"/>
    <w:rsid w:val="0068480B"/>
    <w:rsid w:val="00687330"/>
    <w:rsid w:val="006B5977"/>
    <w:rsid w:val="006C19C3"/>
    <w:rsid w:val="006C54B2"/>
    <w:rsid w:val="00704D0E"/>
    <w:rsid w:val="00710E80"/>
    <w:rsid w:val="007126ED"/>
    <w:rsid w:val="00716040"/>
    <w:rsid w:val="00725532"/>
    <w:rsid w:val="007379B6"/>
    <w:rsid w:val="0075172E"/>
    <w:rsid w:val="007564A2"/>
    <w:rsid w:val="0076357A"/>
    <w:rsid w:val="00793302"/>
    <w:rsid w:val="007C2976"/>
    <w:rsid w:val="007C5C7C"/>
    <w:rsid w:val="007D0EBE"/>
    <w:rsid w:val="007F1162"/>
    <w:rsid w:val="00800009"/>
    <w:rsid w:val="00837FEE"/>
    <w:rsid w:val="00843AB0"/>
    <w:rsid w:val="008951C4"/>
    <w:rsid w:val="00896208"/>
    <w:rsid w:val="008A2D58"/>
    <w:rsid w:val="008F4D44"/>
    <w:rsid w:val="0091432F"/>
    <w:rsid w:val="009244B1"/>
    <w:rsid w:val="00983AB2"/>
    <w:rsid w:val="009C5359"/>
    <w:rsid w:val="009D07C8"/>
    <w:rsid w:val="00A07D30"/>
    <w:rsid w:val="00A25FE5"/>
    <w:rsid w:val="00A40DA9"/>
    <w:rsid w:val="00A5124F"/>
    <w:rsid w:val="00A57341"/>
    <w:rsid w:val="00A63355"/>
    <w:rsid w:val="00A63F3D"/>
    <w:rsid w:val="00A8485C"/>
    <w:rsid w:val="00A96F30"/>
    <w:rsid w:val="00AC44A6"/>
    <w:rsid w:val="00B10098"/>
    <w:rsid w:val="00B204D3"/>
    <w:rsid w:val="00B27046"/>
    <w:rsid w:val="00BA3551"/>
    <w:rsid w:val="00BD03C9"/>
    <w:rsid w:val="00C05D8D"/>
    <w:rsid w:val="00C11533"/>
    <w:rsid w:val="00C14C99"/>
    <w:rsid w:val="00C16CD2"/>
    <w:rsid w:val="00C27D5C"/>
    <w:rsid w:val="00C30244"/>
    <w:rsid w:val="00C31A75"/>
    <w:rsid w:val="00C7667E"/>
    <w:rsid w:val="00C82804"/>
    <w:rsid w:val="00CE0972"/>
    <w:rsid w:val="00D040F4"/>
    <w:rsid w:val="00D0554D"/>
    <w:rsid w:val="00D109CB"/>
    <w:rsid w:val="00D50439"/>
    <w:rsid w:val="00D710A2"/>
    <w:rsid w:val="00D8639E"/>
    <w:rsid w:val="00DA25DE"/>
    <w:rsid w:val="00DA3B10"/>
    <w:rsid w:val="00DC2E8A"/>
    <w:rsid w:val="00DC77AF"/>
    <w:rsid w:val="00DD0611"/>
    <w:rsid w:val="00DD1CB9"/>
    <w:rsid w:val="00DF3058"/>
    <w:rsid w:val="00E02C3F"/>
    <w:rsid w:val="00E243A4"/>
    <w:rsid w:val="00E40815"/>
    <w:rsid w:val="00E81242"/>
    <w:rsid w:val="00E9125E"/>
    <w:rsid w:val="00EB3C0F"/>
    <w:rsid w:val="00EF33EF"/>
    <w:rsid w:val="00EF3DB3"/>
    <w:rsid w:val="00EF78D6"/>
    <w:rsid w:val="00F01A72"/>
    <w:rsid w:val="00F60641"/>
    <w:rsid w:val="00F80B53"/>
    <w:rsid w:val="00FB24B6"/>
    <w:rsid w:val="00FB3452"/>
    <w:rsid w:val="00FC03F9"/>
    <w:rsid w:val="00FD70CC"/>
    <w:rsid w:val="00FE4B8B"/>
    <w:rsid w:val="00FE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healey@occ.ohio.gov" TargetMode="External"/><Relationship Id="rId13" Type="http://schemas.openxmlformats.org/officeDocument/2006/relationships/footer" Target="footer2.xml"/><Relationship Id="rId18" Type="http://schemas.openxmlformats.org/officeDocument/2006/relationships/hyperlink" Target="mailto:Thomas.mcnamee@ohioattorneygeneral.gov" TargetMode="External"/><Relationship Id="rId3" Type="http://schemas.microsoft.com/office/2007/relationships/stylesWithEffects" Target="stylesWithEffects.xml"/><Relationship Id="rId21" Type="http://schemas.openxmlformats.org/officeDocument/2006/relationships/hyperlink" Target="mailto:Elizabeth.watts@duke-energy.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jay.kumar@occ.ohio.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hristopher.healey@occ.ohio.gov" TargetMode="External"/><Relationship Id="rId20" Type="http://schemas.openxmlformats.org/officeDocument/2006/relationships/hyperlink" Target="mailto:Amy.spiller@duke-ener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megan.addison@puc.state.oh.us" TargetMode="External"/><Relationship Id="rId4" Type="http://schemas.openxmlformats.org/officeDocument/2006/relationships/settings" Target="settings.xml"/><Relationship Id="rId9" Type="http://schemas.openxmlformats.org/officeDocument/2006/relationships/hyperlink" Target="mailto:ajay.kumar@occ.ohio.gov" TargetMode="External"/><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FA77C-2BF8-4B64-B308-B6D8542B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6135</Characters>
  <Application>Microsoft Office Word</Application>
  <DocSecurity>0</DocSecurity>
  <PresentationFormat/>
  <Lines>185</Lines>
  <Paragraphs>86</Paragraphs>
  <ScaleCrop>false</ScaleCrop>
  <HeadingPairs>
    <vt:vector size="2" baseType="variant">
      <vt:variant>
        <vt:lpstr>Title</vt:lpstr>
      </vt:variant>
      <vt:variant>
        <vt:i4>1</vt:i4>
      </vt:variant>
    </vt:vector>
  </HeadingPairs>
  <TitlesOfParts>
    <vt:vector size="1" baseType="lpstr">
      <vt:lpstr>Duke MGP Deferral 16-1106 - OCC Motion to Intervene  (00013285.DOCX;3)</vt:lpstr>
    </vt:vector>
  </TitlesOfParts>
  <Company>Office of the Ohio Consumers' Counsel</Company>
  <LinksUpToDate>false</LinksUpToDate>
  <CharactersWithSpaces>7153</CharactersWithSpaces>
  <SharedDoc>false</SharedDoc>
  <HyperlinkBase> </HyperlinkBase>
  <HLinks>
    <vt:vector size="36" baseType="variant">
      <vt:variant>
        <vt:i4>917549</vt:i4>
      </vt:variant>
      <vt:variant>
        <vt:i4>15</vt:i4>
      </vt:variant>
      <vt:variant>
        <vt:i4>0</vt:i4>
      </vt:variant>
      <vt:variant>
        <vt:i4>5</vt:i4>
      </vt:variant>
      <vt:variant>
        <vt:lpwstr>mailto:cdunn@firstenergycorp.com</vt:lpwstr>
      </vt:variant>
      <vt:variant>
        <vt:lpwstr/>
      </vt:variant>
      <vt:variant>
        <vt:i4>2293828</vt:i4>
      </vt:variant>
      <vt:variant>
        <vt:i4>12</vt:i4>
      </vt:variant>
      <vt:variant>
        <vt:i4>0</vt:i4>
      </vt:variant>
      <vt:variant>
        <vt:i4>5</vt:i4>
      </vt:variant>
      <vt:variant>
        <vt:lpwstr>mailto:William.wright@puc.state.oh.us</vt:lpwstr>
      </vt:variant>
      <vt:variant>
        <vt:lpwstr/>
      </vt:variant>
      <vt:variant>
        <vt:i4>131135</vt:i4>
      </vt:variant>
      <vt:variant>
        <vt:i4>9</vt:i4>
      </vt:variant>
      <vt:variant>
        <vt:i4>0</vt:i4>
      </vt:variant>
      <vt:variant>
        <vt:i4>5</vt:i4>
      </vt:variant>
      <vt:variant>
        <vt:lpwstr>mailto:christopher.healey@occ.ohio.gov</vt:lpwstr>
      </vt:variant>
      <vt:variant>
        <vt:lpwstr/>
      </vt:variant>
      <vt:variant>
        <vt:i4>3473423</vt:i4>
      </vt:variant>
      <vt:variant>
        <vt:i4>6</vt:i4>
      </vt:variant>
      <vt:variant>
        <vt:i4>0</vt:i4>
      </vt:variant>
      <vt:variant>
        <vt:i4>5</vt:i4>
      </vt:variant>
      <vt:variant>
        <vt:lpwstr>mailto:terry.etter@occ.ohio.gov</vt:lpwstr>
      </vt:variant>
      <vt:variant>
        <vt:lpwstr/>
      </vt:variant>
      <vt:variant>
        <vt:i4>131135</vt:i4>
      </vt:variant>
      <vt:variant>
        <vt:i4>3</vt:i4>
      </vt:variant>
      <vt:variant>
        <vt:i4>0</vt:i4>
      </vt:variant>
      <vt:variant>
        <vt:i4>5</vt:i4>
      </vt:variant>
      <vt:variant>
        <vt:lpwstr>mailto:christopher.healey@occ.ohio.gov</vt:lpwstr>
      </vt:variant>
      <vt:variant>
        <vt:lpwstr/>
      </vt:variant>
      <vt:variant>
        <vt:i4>3473423</vt:i4>
      </vt:variant>
      <vt:variant>
        <vt:i4>0</vt:i4>
      </vt:variant>
      <vt:variant>
        <vt:i4>0</vt:i4>
      </vt:variant>
      <vt:variant>
        <vt:i4>5</vt:i4>
      </vt:variant>
      <vt:variant>
        <vt:lpwstr>mailto:terry.etter@occ.ohio.gov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16-1106-GA-AAM - OCC Motion to Intervene  (00013854.DOCX;1)</dc:title>
  <dc:subject>00013854-1 /font=6</dc:subject>
  <dc:creator>_</dc:creator>
  <cp:lastModifiedBy>_</cp:lastModifiedBy>
  <cp:revision>4</cp:revision>
  <cp:lastPrinted>2016-03-31T15:50:00Z</cp:lastPrinted>
  <dcterms:created xsi:type="dcterms:W3CDTF">2016-06-03T18:12:00Z</dcterms:created>
  <dcterms:modified xsi:type="dcterms:W3CDTF">2016-06-03T18:12:00Z</dcterms:modified>
</cp:coreProperties>
</file>