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6A" w:rsidRPr="002D54AC" w:rsidRDefault="00663D6A" w:rsidP="00663D6A">
      <w:pPr>
        <w:jc w:val="center"/>
        <w:rPr>
          <w:b/>
          <w:sz w:val="26"/>
          <w:szCs w:val="26"/>
        </w:rPr>
      </w:pPr>
      <w:bookmarkStart w:id="0" w:name="_GoBack"/>
      <w:bookmarkEnd w:id="0"/>
    </w:p>
    <w:p w:rsidR="00663D6A" w:rsidRPr="002D54AC" w:rsidRDefault="00663D6A" w:rsidP="00663D6A">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663D6A" w:rsidRDefault="00663D6A"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690"/>
        <w:gridCol w:w="289"/>
        <w:gridCol w:w="4597"/>
      </w:tblGrid>
      <w:tr w:rsidR="00663D6A" w:rsidRPr="00A75F9F" w:rsidTr="00A75F9F">
        <w:tc>
          <w:tcPr>
            <w:tcW w:w="4690" w:type="dxa"/>
          </w:tcPr>
          <w:p w:rsidR="001A5C2F" w:rsidRPr="00A75F9F" w:rsidRDefault="00A75F9F" w:rsidP="00977F01">
            <w:pPr>
              <w:pStyle w:val="Title"/>
              <w:tabs>
                <w:tab w:val="left" w:pos="5130"/>
                <w:tab w:val="left" w:pos="5670"/>
              </w:tabs>
              <w:jc w:val="left"/>
              <w:rPr>
                <w:rFonts w:ascii="Times New Roman" w:hAnsi="Times New Roman"/>
                <w:sz w:val="26"/>
                <w:szCs w:val="26"/>
              </w:rPr>
            </w:pPr>
            <w:r w:rsidRPr="00A75F9F">
              <w:rPr>
                <w:rFonts w:ascii="Times New Roman" w:hAnsi="Times New Roman"/>
                <w:bCs/>
                <w:sz w:val="26"/>
                <w:szCs w:val="26"/>
              </w:rPr>
              <w:t>In the Matter of the Determination of the Existence of Significantly Excessive Earnings for 2015 Under the Electric Security Plan of  Ohio Edison Company, The Cleveland Electric Illuminating Company, and The Toledo Edison Company</w:t>
            </w:r>
            <w:r w:rsidRPr="00A75F9F">
              <w:rPr>
                <w:rFonts w:ascii="Times New Roman" w:hAnsi="Times New Roman"/>
                <w:bCs/>
                <w:sz w:val="26"/>
                <w:szCs w:val="26"/>
              </w:rPr>
              <w:t>.</w:t>
            </w:r>
          </w:p>
        </w:tc>
        <w:tc>
          <w:tcPr>
            <w:tcW w:w="289" w:type="dxa"/>
          </w:tcPr>
          <w:p w:rsidR="00663D6A" w:rsidRPr="00A75F9F" w:rsidRDefault="00663D6A" w:rsidP="00221496">
            <w:pPr>
              <w:pStyle w:val="Title"/>
              <w:tabs>
                <w:tab w:val="left" w:pos="5130"/>
                <w:tab w:val="left" w:pos="5670"/>
              </w:tabs>
              <w:rPr>
                <w:rFonts w:ascii="Times New Roman" w:hAnsi="Times New Roman"/>
                <w:sz w:val="26"/>
                <w:szCs w:val="26"/>
              </w:rPr>
            </w:pPr>
            <w:r w:rsidRPr="00A75F9F">
              <w:rPr>
                <w:rFonts w:ascii="Times New Roman" w:hAnsi="Times New Roman"/>
                <w:sz w:val="26"/>
                <w:szCs w:val="26"/>
              </w:rPr>
              <w:t>:</w:t>
            </w:r>
          </w:p>
          <w:p w:rsidR="00663D6A" w:rsidRPr="00A75F9F" w:rsidRDefault="00663D6A" w:rsidP="00221496">
            <w:pPr>
              <w:pStyle w:val="Title"/>
              <w:tabs>
                <w:tab w:val="left" w:pos="5130"/>
                <w:tab w:val="left" w:pos="5670"/>
              </w:tabs>
              <w:rPr>
                <w:rFonts w:ascii="Times New Roman" w:hAnsi="Times New Roman"/>
                <w:sz w:val="26"/>
                <w:szCs w:val="26"/>
              </w:rPr>
            </w:pPr>
            <w:r w:rsidRPr="00A75F9F">
              <w:rPr>
                <w:rFonts w:ascii="Times New Roman" w:hAnsi="Times New Roman"/>
                <w:sz w:val="26"/>
                <w:szCs w:val="26"/>
              </w:rPr>
              <w:t>:</w:t>
            </w:r>
          </w:p>
          <w:p w:rsidR="001A5C2F" w:rsidRDefault="00663D6A" w:rsidP="00221496">
            <w:pPr>
              <w:pStyle w:val="Title"/>
              <w:tabs>
                <w:tab w:val="left" w:pos="5130"/>
                <w:tab w:val="left" w:pos="5670"/>
              </w:tabs>
              <w:rPr>
                <w:rFonts w:ascii="Times New Roman" w:hAnsi="Times New Roman"/>
                <w:sz w:val="26"/>
                <w:szCs w:val="26"/>
              </w:rPr>
            </w:pPr>
            <w:r w:rsidRPr="00A75F9F">
              <w:rPr>
                <w:rFonts w:ascii="Times New Roman" w:hAnsi="Times New Roman"/>
                <w:sz w:val="26"/>
                <w:szCs w:val="26"/>
              </w:rPr>
              <w:t>:</w:t>
            </w:r>
          </w:p>
          <w:p w:rsidR="00A75F9F" w:rsidRDefault="00A75F9F"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A75F9F" w:rsidRDefault="00A75F9F"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A75F9F" w:rsidRDefault="00A75F9F"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A75F9F" w:rsidRPr="00A75F9F" w:rsidRDefault="00A75F9F"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597" w:type="dxa"/>
          </w:tcPr>
          <w:p w:rsidR="00A75F9F" w:rsidRDefault="00A75F9F" w:rsidP="00977F01">
            <w:pPr>
              <w:pStyle w:val="Title"/>
              <w:tabs>
                <w:tab w:val="left" w:pos="1142"/>
                <w:tab w:val="left" w:pos="5130"/>
                <w:tab w:val="left" w:pos="5670"/>
              </w:tabs>
              <w:jc w:val="left"/>
              <w:rPr>
                <w:rFonts w:ascii="Times New Roman" w:hAnsi="Times New Roman"/>
                <w:sz w:val="26"/>
                <w:szCs w:val="26"/>
              </w:rPr>
            </w:pPr>
          </w:p>
          <w:p w:rsidR="00A75F9F" w:rsidRDefault="00A75F9F" w:rsidP="00977F01">
            <w:pPr>
              <w:pStyle w:val="Title"/>
              <w:tabs>
                <w:tab w:val="left" w:pos="1142"/>
                <w:tab w:val="left" w:pos="5130"/>
                <w:tab w:val="left" w:pos="5670"/>
              </w:tabs>
              <w:jc w:val="left"/>
              <w:rPr>
                <w:rFonts w:ascii="Times New Roman" w:hAnsi="Times New Roman"/>
                <w:sz w:val="26"/>
                <w:szCs w:val="26"/>
              </w:rPr>
            </w:pPr>
          </w:p>
          <w:p w:rsidR="001A5C2F" w:rsidRPr="00A75F9F" w:rsidRDefault="00663D6A" w:rsidP="00977F01">
            <w:pPr>
              <w:pStyle w:val="Title"/>
              <w:tabs>
                <w:tab w:val="left" w:pos="1142"/>
                <w:tab w:val="left" w:pos="5130"/>
                <w:tab w:val="left" w:pos="5670"/>
              </w:tabs>
              <w:jc w:val="left"/>
              <w:rPr>
                <w:rFonts w:ascii="Times New Roman" w:hAnsi="Times New Roman"/>
                <w:sz w:val="26"/>
                <w:szCs w:val="26"/>
              </w:rPr>
            </w:pPr>
            <w:r w:rsidRPr="00A75F9F">
              <w:rPr>
                <w:rFonts w:ascii="Times New Roman" w:hAnsi="Times New Roman"/>
                <w:sz w:val="26"/>
                <w:szCs w:val="26"/>
              </w:rPr>
              <w:t xml:space="preserve">Case No. </w:t>
            </w:r>
            <w:r w:rsidR="00E10679" w:rsidRPr="00A75F9F">
              <w:rPr>
                <w:rFonts w:ascii="Times New Roman" w:hAnsi="Times New Roman"/>
                <w:sz w:val="26"/>
                <w:szCs w:val="26"/>
              </w:rPr>
              <w:tab/>
            </w:r>
            <w:r w:rsidR="00A75F9F" w:rsidRPr="00A75F9F">
              <w:rPr>
                <w:rFonts w:ascii="Times New Roman" w:hAnsi="Times New Roman"/>
                <w:sz w:val="26"/>
                <w:szCs w:val="26"/>
              </w:rPr>
              <w:t>16-925-EL-UNC</w:t>
            </w:r>
          </w:p>
        </w:tc>
      </w:tr>
    </w:tbl>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A75F9F" w:rsidP="00E10679">
      <w:pPr>
        <w:pStyle w:val="Title"/>
        <w:tabs>
          <w:tab w:val="left" w:pos="9360"/>
        </w:tabs>
        <w:rPr>
          <w:rFonts w:ascii="Times New Roman" w:hAnsi="Times New Roman"/>
          <w:b/>
          <w:sz w:val="32"/>
          <w:szCs w:val="32"/>
        </w:rPr>
      </w:pPr>
      <w:r>
        <w:rPr>
          <w:rFonts w:ascii="Times New Roman" w:hAnsi="Times New Roman"/>
          <w:b/>
          <w:sz w:val="32"/>
          <w:szCs w:val="32"/>
        </w:rPr>
        <w:t>STIPULATION AND RECOMMENDATION</w:t>
      </w:r>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CB5644" w:rsidRPr="00613023" w:rsidRDefault="00CB5644" w:rsidP="0064436A">
      <w:pPr>
        <w:pStyle w:val="Heading1"/>
      </w:pPr>
      <w:bookmarkStart w:id="1" w:name="_Toc260212957"/>
      <w:r w:rsidRPr="00613023">
        <w:t>INTRODUCTION</w:t>
      </w:r>
      <w:bookmarkEnd w:id="1"/>
    </w:p>
    <w:p w:rsidR="00A75F9F" w:rsidRDefault="00A75F9F" w:rsidP="00A75F9F">
      <w:pPr>
        <w:pStyle w:val="textstyle0"/>
      </w:pPr>
      <w:bookmarkStart w:id="2" w:name="_Toc260212958"/>
      <w:r>
        <w:tab/>
      </w:r>
      <w:r w:rsidRPr="00D214A4">
        <w:t>Rule 4901-1-30, Ohio Administrative Code (“O</w:t>
      </w:r>
      <w:r>
        <w:t>.</w:t>
      </w:r>
      <w:r w:rsidRPr="00D214A4">
        <w:t>A</w:t>
      </w:r>
      <w:r>
        <w:t>.</w:t>
      </w:r>
      <w:r w:rsidRPr="00D214A4">
        <w:t>C</w:t>
      </w:r>
      <w:r>
        <w:t>.</w:t>
      </w:r>
      <w:r w:rsidRPr="00D214A4">
        <w:t>”) provides that any two or more parties to a proceeding may enter into a written stipulation covering the issues pre</w:t>
      </w:r>
      <w:r>
        <w:softHyphen/>
      </w:r>
      <w:proofErr w:type="gramStart"/>
      <w:r w:rsidRPr="00D214A4">
        <w:t>sented</w:t>
      </w:r>
      <w:proofErr w:type="gramEnd"/>
      <w:r w:rsidRPr="00D214A4">
        <w:t xml:space="preserve"> in such a proceeding.  The purpose of this document is to set forth the under</w:t>
      </w:r>
      <w:r>
        <w:softHyphen/>
      </w:r>
      <w:r w:rsidRPr="00D214A4">
        <w:t>standing and agreement of the parties who have signed below (the “Signatory Parties”) and to recommend that the Public Utilities Commission of Ohio (the “Commission” or “PUCO”) approve and adopt this Stipulation and Recommendation (“Stipulation”), as part of its Opinion and Order in this proceeding, resolving all of the issues in the pro</w:t>
      </w:r>
      <w:r>
        <w:softHyphen/>
      </w:r>
      <w:r w:rsidRPr="00D214A4">
        <w:t>ceeding.</w:t>
      </w:r>
    </w:p>
    <w:p w:rsidR="00A75F9F" w:rsidRDefault="00A75F9F" w:rsidP="00A75F9F">
      <w:pPr>
        <w:pStyle w:val="textstyle0"/>
      </w:pPr>
      <w:r>
        <w:tab/>
      </w:r>
      <w:r w:rsidRPr="00D214A4">
        <w:t>This Stipulation is supported by adequate data and information; represents a just and reasonable resolution of issues in this proceeding; violates no regulatory principle or precedent; and is the product of serious bargaining among knowledgeable and capable Signatory Parties in a cooperative process and undertaken by the Signatory Parties repre</w:t>
      </w:r>
      <w:r>
        <w:softHyphen/>
      </w:r>
      <w:r w:rsidRPr="00D214A4">
        <w:t xml:space="preserve">senting a wide range of interests to resolve the aforementioned issues.  For purposes of </w:t>
      </w:r>
      <w:r w:rsidRPr="00D214A4">
        <w:lastRenderedPageBreak/>
        <w:t xml:space="preserve">resolving the issues raised by this proceeding, the Signatory Parties stipulate, agree and recommend as set forth below. </w:t>
      </w:r>
    </w:p>
    <w:p w:rsidR="00A75F9F" w:rsidRPr="00A75F9F" w:rsidRDefault="00A75F9F" w:rsidP="00A75F9F">
      <w:pPr>
        <w:pStyle w:val="Heading1"/>
      </w:pPr>
      <w:r w:rsidRPr="00A75F9F">
        <w:t>PARTIES</w:t>
      </w:r>
    </w:p>
    <w:p w:rsidR="00A75F9F" w:rsidRDefault="00A75F9F" w:rsidP="00A75F9F">
      <w:pPr>
        <w:pStyle w:val="textstyle0"/>
      </w:pPr>
      <w:r>
        <w:tab/>
      </w:r>
      <w:r w:rsidRPr="006B0B19">
        <w:t>This Stipulation is entered into by and among Ohio Edison Company, The Cleveland Electric Illuminating Company</w:t>
      </w:r>
      <w:bookmarkStart w:id="3" w:name="_DV_M4"/>
      <w:bookmarkEnd w:id="3"/>
      <w:r w:rsidRPr="006B0B19">
        <w:t xml:space="preserve">, and The Toledo Edison Company </w:t>
      </w:r>
      <w:bookmarkStart w:id="4" w:name="_DV_M5"/>
      <w:bookmarkEnd w:id="4"/>
      <w:r w:rsidRPr="006B0B19">
        <w:t xml:space="preserve">(collectively, </w:t>
      </w:r>
      <w:r>
        <w:t>“</w:t>
      </w:r>
      <w:r w:rsidRPr="006B0B19">
        <w:t>Companies</w:t>
      </w:r>
      <w:r>
        <w:t>”</w:t>
      </w:r>
      <w:r w:rsidRPr="006B0B19">
        <w:t>)</w:t>
      </w:r>
      <w:r>
        <w:t xml:space="preserve"> </w:t>
      </w:r>
      <w:r w:rsidRPr="006B0B19">
        <w:t xml:space="preserve"> </w:t>
      </w:r>
      <w:r>
        <w:t>and the Staff of the Public Utilities Commission of Ohio (“Staff”)</w:t>
      </w:r>
      <w:r w:rsidRPr="006B0B19">
        <w:t>.</w:t>
      </w:r>
      <w:r>
        <w:rPr>
          <w:rStyle w:val="FootnoteReference"/>
        </w:rPr>
        <w:footnoteReference w:id="1"/>
      </w:r>
      <w:r w:rsidRPr="006B0B19">
        <w:t xml:space="preserve">  </w:t>
      </w:r>
    </w:p>
    <w:p w:rsidR="00A75F9F" w:rsidRPr="00A75F9F" w:rsidRDefault="00A75F9F" w:rsidP="00A75F9F">
      <w:pPr>
        <w:pStyle w:val="Heading1"/>
      </w:pPr>
      <w:r w:rsidRPr="00A75F9F">
        <w:t>STIPULATION</w:t>
      </w:r>
    </w:p>
    <w:p w:rsidR="00A75F9F" w:rsidRPr="00CF778A" w:rsidRDefault="00A75F9F" w:rsidP="00A75F9F">
      <w:pPr>
        <w:pStyle w:val="textstyle0"/>
      </w:pPr>
      <w:r>
        <w:tab/>
      </w:r>
      <w:r w:rsidRPr="00CF778A">
        <w:t xml:space="preserve">The returns on equity earned in </w:t>
      </w:r>
      <w:r>
        <w:t>2015</w:t>
      </w:r>
      <w:r w:rsidRPr="00CF778A">
        <w:t xml:space="preserve"> by the Companies, as adjusted by specific items contemplated in the stipulation</w:t>
      </w:r>
      <w:r>
        <w:t>s in Case No. 12-1230-EL-SSO,</w:t>
      </w:r>
      <w:r w:rsidRPr="00CF778A">
        <w:t xml:space="preserve"> were: CEI </w:t>
      </w:r>
      <w:r>
        <w:t>5.2</w:t>
      </w:r>
      <w:r w:rsidRPr="00CF778A">
        <w:t xml:space="preserve">%, Ohio Edison </w:t>
      </w:r>
      <w:r>
        <w:t>10.8</w:t>
      </w:r>
      <w:r w:rsidRPr="00CF778A">
        <w:t xml:space="preserve">%, and Toledo Edison </w:t>
      </w:r>
      <w:r>
        <w:t>6.1</w:t>
      </w:r>
      <w:r w:rsidRPr="00CF778A">
        <w:t xml:space="preserve">%.  </w:t>
      </w:r>
      <w:r>
        <w:t>The Signatory Parties stipulate, agree and recommend that such returns do not reflect significantly excessive earnings for the Companies under their ESPs for 2015.</w:t>
      </w:r>
    </w:p>
    <w:p w:rsidR="00A75F9F" w:rsidRDefault="00A75F9F" w:rsidP="00A75F9F">
      <w:pPr>
        <w:pStyle w:val="textstyle0"/>
      </w:pPr>
      <w:r>
        <w:tab/>
      </w:r>
      <w:r w:rsidRPr="009401B0">
        <w:t>T</w:t>
      </w:r>
      <w:r w:rsidRPr="00D214A4">
        <w:t xml:space="preserve">he Signatory Parties stipulate, agree and recommend that the Commission </w:t>
      </w:r>
      <w:r>
        <w:t xml:space="preserve">admit the Companies’ Application and accompanying materials filed May 16, 2016, into the record of this proceeding and </w:t>
      </w:r>
      <w:r w:rsidRPr="00D214A4">
        <w:t xml:space="preserve">issue its Opinion and Order in </w:t>
      </w:r>
      <w:r>
        <w:t>this proceeding determining that significantly excessive earnings under Revised Code Section 4928.143(F) did not occur with respect to each of the Companies’ ESPs in 2015</w:t>
      </w:r>
      <w:r w:rsidRPr="00D214A4">
        <w:t>.</w:t>
      </w:r>
    </w:p>
    <w:p w:rsidR="00A75F9F" w:rsidRPr="00A75F9F" w:rsidRDefault="00A75F9F" w:rsidP="00A75F9F">
      <w:pPr>
        <w:pStyle w:val="Heading1"/>
      </w:pPr>
      <w:r w:rsidRPr="00A75F9F">
        <w:lastRenderedPageBreak/>
        <w:t>PROCEDURAL ISSUES</w:t>
      </w:r>
    </w:p>
    <w:p w:rsidR="00A75F9F" w:rsidRPr="00D214A4" w:rsidRDefault="00A75F9F" w:rsidP="00A75F9F">
      <w:pPr>
        <w:pStyle w:val="textstyle0"/>
      </w:pPr>
      <w:r>
        <w:tab/>
      </w:r>
      <w:r w:rsidRPr="00D214A4">
        <w:t>This Stipulation is submitted for purposes of this proceeding only, and is not deemed binding in any other proceeding, nor is it to be offered or relied upon in any other proceedings, except as necessary to enforce the terms of this Stipulation.  The agreement of the Signatory Parties reflected in this document is expressly conditioned upon its acceptance in its entirety and without alteration by the Commission.  The Signatory Parties agree that if the Commission or any court of competent jurisdiction rejects all or any material part of this Stipulation, or otherwise materially modifies its terms, any adversely affected Signatory Party shall have the right to file an application for rehearing or a motion for reconsideration.  If such application or motion is filed, and if the Com</w:t>
      </w:r>
      <w:r>
        <w:softHyphen/>
      </w:r>
      <w:r w:rsidRPr="00D214A4">
        <w:t xml:space="preserve">mission or court does not, on rehearing or reconsideration, accept the Stipulation without material modification within 45 days of the filing of such motion, then anytime thereafter the adversely affected Signatory Party may terminate its Signatory Party status without penalty or cost and regain its rights as a non-Signatory Party as if it had never executed the Stipulation by filing a notice with the Commission and the other Signatory Parties.  </w:t>
      </w:r>
    </w:p>
    <w:p w:rsidR="00A75F9F" w:rsidRPr="00D214A4" w:rsidRDefault="00A75F9F" w:rsidP="00A75F9F">
      <w:pPr>
        <w:pStyle w:val="textstyle0"/>
      </w:pPr>
      <w:r>
        <w:tab/>
      </w:r>
      <w:r w:rsidRPr="00D214A4">
        <w:t xml:space="preserve">Unless the Signatory Party exercises its right to terminate its Signatory Party status as described above, each Signatory Party agrees to and will support the reasonableness of this Stipulation before the Commission, and to cause its counsel to do the same, and in any appeal from the Commission’s adoption and/or enforcement </w:t>
      </w:r>
      <w:r>
        <w:t>of</w:t>
      </w:r>
      <w:r w:rsidRPr="00D214A4">
        <w:t xml:space="preserve"> </w:t>
      </w:r>
      <w:r>
        <w:t>this</w:t>
      </w:r>
      <w:r w:rsidRPr="00D214A4">
        <w:t xml:space="preserve"> Stipulation.  The Signatory Parties also agree to urge the Commission to accept and approve the terms hereof as promptly as possible.</w:t>
      </w:r>
    </w:p>
    <w:p w:rsidR="00A75F9F" w:rsidRPr="00D214A4" w:rsidRDefault="00A75F9F" w:rsidP="00A75F9F">
      <w:pPr>
        <w:pStyle w:val="textstyle0"/>
      </w:pPr>
      <w:r>
        <w:lastRenderedPageBreak/>
        <w:tab/>
      </w:r>
      <w:r w:rsidRPr="00D214A4">
        <w:t xml:space="preserve">IN WITNESS WHEREOF, this Stipulation has been signed by the authorized agents of the undersigned Parties as of this </w:t>
      </w:r>
      <w:r>
        <w:t>______</w:t>
      </w:r>
      <w:r w:rsidRPr="00D214A4">
        <w:t xml:space="preserve"> day of </w:t>
      </w:r>
      <w:r>
        <w:t>June,</w:t>
      </w:r>
      <w:r w:rsidRPr="00D214A4">
        <w:t xml:space="preserve"> </w:t>
      </w:r>
      <w:r>
        <w:t>2016</w:t>
      </w:r>
      <w:r w:rsidRPr="00D214A4">
        <w:t xml:space="preserve">.  The undersigned Parties respectfully request the Commission to issue its Opinion and Order </w:t>
      </w:r>
      <w:r>
        <w:t>determining that significantly excessive earnings did not occur with respect to each of the individual Companies’ ESPs in 2015</w:t>
      </w:r>
      <w:r w:rsidRPr="00D214A4">
        <w:t>.  The Stipulation will be held open for additional interveners and parties to sign on as Signatory Parties until the issuance of an Order by the Commis</w:t>
      </w:r>
      <w:r>
        <w:softHyphen/>
      </w:r>
      <w:r w:rsidRPr="00D214A4">
        <w:t>sion.</w:t>
      </w:r>
    </w:p>
    <w:tbl>
      <w:tblPr>
        <w:tblW w:w="0" w:type="auto"/>
        <w:tblLook w:val="01E0" w:firstRow="1" w:lastRow="1" w:firstColumn="1" w:lastColumn="1" w:noHBand="0" w:noVBand="0"/>
      </w:tblPr>
      <w:tblGrid>
        <w:gridCol w:w="4774"/>
        <w:gridCol w:w="4802"/>
      </w:tblGrid>
      <w:tr w:rsidR="00977F01" w:rsidRPr="00D2703A" w:rsidTr="002273AC">
        <w:tc>
          <w:tcPr>
            <w:tcW w:w="4788" w:type="dxa"/>
          </w:tcPr>
          <w:bookmarkEnd w:id="2"/>
          <w:p w:rsidR="00977F01" w:rsidRDefault="00A75F9F" w:rsidP="00A75F9F">
            <w:pPr>
              <w:tabs>
                <w:tab w:val="left" w:pos="4320"/>
              </w:tabs>
              <w:rPr>
                <w:b/>
                <w:i/>
                <w:sz w:val="26"/>
                <w:szCs w:val="26"/>
              </w:rPr>
            </w:pPr>
            <w:r>
              <w:rPr>
                <w:b/>
                <w:sz w:val="26"/>
                <w:szCs w:val="26"/>
              </w:rPr>
              <w:t xml:space="preserve">On behalf of Ohio Edison Company, </w:t>
            </w:r>
            <w:r>
              <w:rPr>
                <w:b/>
                <w:sz w:val="26"/>
                <w:szCs w:val="26"/>
              </w:rPr>
              <w:br/>
              <w:t xml:space="preserve">The Toledo Edison Company, and </w:t>
            </w:r>
            <w:r>
              <w:rPr>
                <w:b/>
                <w:sz w:val="26"/>
                <w:szCs w:val="26"/>
              </w:rPr>
              <w:br/>
              <w:t>The Cleveland Electric Illuminating Company</w:t>
            </w:r>
            <w:r>
              <w:rPr>
                <w:b/>
                <w:i/>
                <w:sz w:val="26"/>
                <w:szCs w:val="26"/>
              </w:rPr>
              <w:t>:</w:t>
            </w:r>
          </w:p>
          <w:p w:rsidR="00A75F9F" w:rsidRPr="00A75F9F" w:rsidRDefault="00A75F9F" w:rsidP="00A75F9F">
            <w:pPr>
              <w:tabs>
                <w:tab w:val="left" w:pos="4320"/>
              </w:tabs>
              <w:rPr>
                <w:b/>
                <w:i/>
                <w:sz w:val="26"/>
                <w:szCs w:val="26"/>
              </w:rPr>
            </w:pPr>
          </w:p>
          <w:p w:rsidR="00A75F9F" w:rsidRDefault="00A75F9F" w:rsidP="00A75F9F">
            <w:pPr>
              <w:tabs>
                <w:tab w:val="left" w:pos="4320"/>
              </w:tabs>
              <w:rPr>
                <w:sz w:val="26"/>
                <w:szCs w:val="26"/>
                <w:u w:val="single"/>
              </w:rPr>
            </w:pPr>
          </w:p>
          <w:p w:rsidR="00A75F9F" w:rsidRDefault="00A75F9F" w:rsidP="00A75F9F">
            <w:pPr>
              <w:tabs>
                <w:tab w:val="left" w:pos="4320"/>
              </w:tabs>
              <w:rPr>
                <w:rFonts w:ascii="Lucida Calligraphy" w:hAnsi="Lucida Calligraphy"/>
                <w:sz w:val="28"/>
                <w:szCs w:val="28"/>
                <w:u w:val="single"/>
              </w:rPr>
            </w:pPr>
            <w:r w:rsidRPr="00A75F9F">
              <w:rPr>
                <w:rFonts w:ascii="Lucida Calligraphy" w:hAnsi="Lucida Calligraphy"/>
                <w:sz w:val="28"/>
                <w:szCs w:val="28"/>
                <w:u w:val="single"/>
              </w:rPr>
              <w:t xml:space="preserve">/s/ Robert M. Endris </w:t>
            </w:r>
            <w:r>
              <w:rPr>
                <w:rFonts w:ascii="Lucida Calligraphy" w:hAnsi="Lucida Calligraphy"/>
                <w:sz w:val="28"/>
                <w:szCs w:val="28"/>
                <w:u w:val="single"/>
              </w:rPr>
              <w:tab/>
            </w:r>
          </w:p>
          <w:p w:rsidR="00A75F9F" w:rsidRPr="00A75F9F" w:rsidRDefault="00A75F9F" w:rsidP="00A75F9F">
            <w:pPr>
              <w:tabs>
                <w:tab w:val="left" w:pos="4320"/>
              </w:tabs>
              <w:rPr>
                <w:sz w:val="26"/>
                <w:szCs w:val="26"/>
              </w:rPr>
            </w:pPr>
            <w:r w:rsidRPr="00A75F9F">
              <w:rPr>
                <w:rFonts w:ascii="Lucida Calligraphy" w:hAnsi="Lucida Calligraphy"/>
                <w:sz w:val="28"/>
                <w:szCs w:val="28"/>
              </w:rPr>
              <w:t>(</w:t>
            </w:r>
            <w:r w:rsidRPr="00A75F9F">
              <w:rPr>
                <w:rFonts w:ascii="Lucida Calligraphy" w:hAnsi="Lucida Calligraphy"/>
                <w:sz w:val="16"/>
                <w:szCs w:val="16"/>
              </w:rPr>
              <w:t>per telephone authority)</w:t>
            </w:r>
          </w:p>
          <w:p w:rsidR="00A75F9F" w:rsidRPr="00A75F9F" w:rsidRDefault="00A75F9F" w:rsidP="00A75F9F">
            <w:pPr>
              <w:tabs>
                <w:tab w:val="left" w:pos="4320"/>
              </w:tabs>
              <w:rPr>
                <w:b/>
                <w:sz w:val="26"/>
                <w:szCs w:val="26"/>
              </w:rPr>
            </w:pPr>
            <w:r w:rsidRPr="00A75F9F">
              <w:rPr>
                <w:b/>
                <w:sz w:val="26"/>
                <w:szCs w:val="26"/>
              </w:rPr>
              <w:t>Robert M. Endris</w:t>
            </w:r>
          </w:p>
          <w:p w:rsidR="00A75F9F" w:rsidRDefault="00A75F9F" w:rsidP="00A75F9F">
            <w:pPr>
              <w:tabs>
                <w:tab w:val="left" w:pos="4320"/>
              </w:tabs>
              <w:rPr>
                <w:sz w:val="26"/>
                <w:szCs w:val="26"/>
              </w:rPr>
            </w:pPr>
            <w:r>
              <w:rPr>
                <w:sz w:val="26"/>
                <w:szCs w:val="26"/>
              </w:rPr>
              <w:t>FirstEnergy Service Company</w:t>
            </w:r>
          </w:p>
          <w:p w:rsidR="00A75F9F" w:rsidRDefault="00A75F9F" w:rsidP="00A75F9F">
            <w:pPr>
              <w:tabs>
                <w:tab w:val="left" w:pos="4320"/>
              </w:tabs>
              <w:rPr>
                <w:sz w:val="26"/>
                <w:szCs w:val="26"/>
              </w:rPr>
            </w:pPr>
            <w:r>
              <w:rPr>
                <w:sz w:val="26"/>
                <w:szCs w:val="26"/>
              </w:rPr>
              <w:t>76 South Main Street</w:t>
            </w:r>
          </w:p>
          <w:p w:rsidR="00A75F9F" w:rsidRDefault="00A75F9F" w:rsidP="00A75F9F">
            <w:pPr>
              <w:tabs>
                <w:tab w:val="left" w:pos="4320"/>
              </w:tabs>
              <w:rPr>
                <w:sz w:val="26"/>
                <w:szCs w:val="26"/>
              </w:rPr>
            </w:pPr>
            <w:r>
              <w:rPr>
                <w:sz w:val="26"/>
                <w:szCs w:val="26"/>
              </w:rPr>
              <w:t>Akron, OH  44308</w:t>
            </w:r>
          </w:p>
          <w:p w:rsidR="00A75F9F" w:rsidRDefault="00A75F9F" w:rsidP="00A75F9F">
            <w:pPr>
              <w:tabs>
                <w:tab w:val="left" w:pos="4320"/>
              </w:tabs>
              <w:rPr>
                <w:sz w:val="26"/>
                <w:szCs w:val="26"/>
              </w:rPr>
            </w:pPr>
            <w:r>
              <w:rPr>
                <w:sz w:val="26"/>
                <w:szCs w:val="26"/>
              </w:rPr>
              <w:t>330.761.2352 (telephone)</w:t>
            </w:r>
          </w:p>
          <w:p w:rsidR="00A75F9F" w:rsidRDefault="00A75F9F" w:rsidP="00A75F9F">
            <w:pPr>
              <w:tabs>
                <w:tab w:val="left" w:pos="4320"/>
              </w:tabs>
              <w:rPr>
                <w:sz w:val="26"/>
                <w:szCs w:val="26"/>
              </w:rPr>
            </w:pPr>
            <w:r>
              <w:rPr>
                <w:sz w:val="26"/>
                <w:szCs w:val="26"/>
              </w:rPr>
              <w:t>330.384.3875 (fax)</w:t>
            </w:r>
          </w:p>
          <w:p w:rsidR="00A75F9F" w:rsidRDefault="00A75F9F" w:rsidP="00A75F9F">
            <w:pPr>
              <w:tabs>
                <w:tab w:val="left" w:pos="4320"/>
              </w:tabs>
              <w:rPr>
                <w:sz w:val="26"/>
                <w:szCs w:val="26"/>
              </w:rPr>
            </w:pPr>
            <w:hyperlink r:id="rId8" w:history="1">
              <w:r w:rsidRPr="00C81EBD">
                <w:rPr>
                  <w:rStyle w:val="Hyperlink"/>
                  <w:sz w:val="26"/>
                  <w:szCs w:val="26"/>
                </w:rPr>
                <w:t>rendris@firstenergycorp.com</w:t>
              </w:r>
            </w:hyperlink>
          </w:p>
          <w:p w:rsidR="00A75F9F" w:rsidRDefault="00A75F9F" w:rsidP="00A75F9F">
            <w:pPr>
              <w:tabs>
                <w:tab w:val="left" w:pos="4320"/>
              </w:tabs>
              <w:rPr>
                <w:sz w:val="26"/>
                <w:szCs w:val="26"/>
              </w:rPr>
            </w:pPr>
          </w:p>
          <w:p w:rsidR="00A75F9F" w:rsidRPr="00A75F9F" w:rsidRDefault="00A75F9F" w:rsidP="00A75F9F">
            <w:pPr>
              <w:tabs>
                <w:tab w:val="left" w:pos="4320"/>
              </w:tabs>
              <w:rPr>
                <w:sz w:val="26"/>
                <w:szCs w:val="26"/>
              </w:rPr>
            </w:pPr>
          </w:p>
        </w:tc>
        <w:tc>
          <w:tcPr>
            <w:tcW w:w="4788" w:type="dxa"/>
          </w:tcPr>
          <w:p w:rsidR="00977F01" w:rsidRDefault="00A75F9F" w:rsidP="00A75F9F">
            <w:pPr>
              <w:ind w:hanging="18"/>
              <w:rPr>
                <w:b/>
                <w:sz w:val="26"/>
                <w:szCs w:val="26"/>
              </w:rPr>
            </w:pPr>
            <w:r>
              <w:rPr>
                <w:b/>
                <w:sz w:val="26"/>
                <w:szCs w:val="26"/>
              </w:rPr>
              <w:t>On behalf of the Staff of the Public Utilities Commission of Ohio:</w:t>
            </w:r>
          </w:p>
          <w:p w:rsidR="00A75F9F" w:rsidRDefault="00A75F9F" w:rsidP="00A75F9F">
            <w:pPr>
              <w:ind w:hanging="18"/>
              <w:rPr>
                <w:b/>
                <w:sz w:val="26"/>
                <w:szCs w:val="26"/>
              </w:rPr>
            </w:pPr>
          </w:p>
          <w:p w:rsidR="00A75F9F" w:rsidRDefault="00A75F9F" w:rsidP="00A75F9F">
            <w:pPr>
              <w:ind w:hanging="18"/>
              <w:rPr>
                <w:b/>
                <w:sz w:val="26"/>
                <w:szCs w:val="26"/>
              </w:rPr>
            </w:pPr>
          </w:p>
          <w:p w:rsidR="00A75F9F" w:rsidRDefault="00A75F9F" w:rsidP="00A75F9F">
            <w:pPr>
              <w:ind w:hanging="18"/>
              <w:rPr>
                <w:b/>
                <w:sz w:val="26"/>
                <w:szCs w:val="26"/>
              </w:rPr>
            </w:pPr>
          </w:p>
          <w:p w:rsidR="00A75F9F" w:rsidRDefault="00A75F9F" w:rsidP="00A75F9F">
            <w:pPr>
              <w:ind w:hanging="18"/>
              <w:rPr>
                <w:b/>
                <w:sz w:val="26"/>
                <w:szCs w:val="26"/>
              </w:rPr>
            </w:pPr>
          </w:p>
          <w:p w:rsidR="00A75F9F" w:rsidRDefault="00A75F9F" w:rsidP="00A75F9F">
            <w:pPr>
              <w:tabs>
                <w:tab w:val="left" w:pos="4320"/>
              </w:tabs>
              <w:rPr>
                <w:sz w:val="26"/>
                <w:szCs w:val="26"/>
                <w:u w:val="single"/>
              </w:rPr>
            </w:pPr>
            <w:r w:rsidRPr="00A75F9F">
              <w:rPr>
                <w:rFonts w:ascii="Lucida Calligraphy" w:hAnsi="Lucida Calligraphy"/>
                <w:sz w:val="28"/>
                <w:szCs w:val="28"/>
                <w:u w:val="single"/>
              </w:rPr>
              <w:t>/s/ Thomas W. McNamee</w:t>
            </w:r>
            <w:r>
              <w:rPr>
                <w:sz w:val="26"/>
                <w:szCs w:val="26"/>
                <w:u w:val="single"/>
              </w:rPr>
              <w:tab/>
            </w:r>
          </w:p>
          <w:p w:rsidR="00A75F9F" w:rsidRDefault="00A75F9F" w:rsidP="00A75F9F">
            <w:pPr>
              <w:tabs>
                <w:tab w:val="left" w:pos="4482"/>
              </w:tabs>
              <w:rPr>
                <w:b/>
                <w:sz w:val="26"/>
                <w:szCs w:val="26"/>
              </w:rPr>
            </w:pPr>
            <w:r>
              <w:rPr>
                <w:b/>
                <w:sz w:val="26"/>
                <w:szCs w:val="26"/>
              </w:rPr>
              <w:t>Thomas W. McNamee</w:t>
            </w:r>
          </w:p>
          <w:p w:rsidR="00A75F9F" w:rsidRDefault="00A75F9F" w:rsidP="00A75F9F">
            <w:pPr>
              <w:tabs>
                <w:tab w:val="left" w:pos="4482"/>
              </w:tabs>
              <w:rPr>
                <w:sz w:val="26"/>
                <w:szCs w:val="26"/>
              </w:rPr>
            </w:pPr>
            <w:r>
              <w:rPr>
                <w:sz w:val="26"/>
                <w:szCs w:val="26"/>
              </w:rPr>
              <w:t>Assistant Attorney General</w:t>
            </w:r>
          </w:p>
          <w:p w:rsidR="00A75F9F" w:rsidRDefault="00A75F9F" w:rsidP="00A75F9F">
            <w:pPr>
              <w:tabs>
                <w:tab w:val="left" w:pos="4482"/>
              </w:tabs>
              <w:rPr>
                <w:sz w:val="26"/>
                <w:szCs w:val="26"/>
              </w:rPr>
            </w:pPr>
            <w:r>
              <w:rPr>
                <w:sz w:val="26"/>
                <w:szCs w:val="26"/>
              </w:rPr>
              <w:t>Public Utilities Section</w:t>
            </w:r>
          </w:p>
          <w:p w:rsidR="00A75F9F" w:rsidRDefault="00A75F9F" w:rsidP="00A75F9F">
            <w:pPr>
              <w:tabs>
                <w:tab w:val="left" w:pos="4482"/>
              </w:tabs>
              <w:rPr>
                <w:sz w:val="26"/>
                <w:szCs w:val="26"/>
              </w:rPr>
            </w:pPr>
            <w:r>
              <w:rPr>
                <w:sz w:val="26"/>
                <w:szCs w:val="26"/>
              </w:rPr>
              <w:t>30 East Broad Street, 16</w:t>
            </w:r>
            <w:r w:rsidRPr="00A75F9F">
              <w:rPr>
                <w:sz w:val="26"/>
                <w:szCs w:val="26"/>
                <w:vertAlign w:val="superscript"/>
              </w:rPr>
              <w:t>th</w:t>
            </w:r>
            <w:r>
              <w:rPr>
                <w:sz w:val="26"/>
                <w:szCs w:val="26"/>
              </w:rPr>
              <w:t xml:space="preserve"> Floor</w:t>
            </w:r>
          </w:p>
          <w:p w:rsidR="00A75F9F" w:rsidRDefault="00A75F9F" w:rsidP="00A75F9F">
            <w:pPr>
              <w:tabs>
                <w:tab w:val="left" w:pos="4482"/>
              </w:tabs>
              <w:rPr>
                <w:sz w:val="26"/>
                <w:szCs w:val="26"/>
              </w:rPr>
            </w:pPr>
            <w:r>
              <w:rPr>
                <w:sz w:val="26"/>
                <w:szCs w:val="26"/>
              </w:rPr>
              <w:t>Columbus, OH  43216-3414</w:t>
            </w:r>
          </w:p>
          <w:p w:rsidR="00A75F9F" w:rsidRDefault="00A75F9F" w:rsidP="00A75F9F">
            <w:pPr>
              <w:tabs>
                <w:tab w:val="left" w:pos="4482"/>
              </w:tabs>
              <w:rPr>
                <w:sz w:val="26"/>
                <w:szCs w:val="26"/>
              </w:rPr>
            </w:pPr>
            <w:r>
              <w:rPr>
                <w:sz w:val="26"/>
                <w:szCs w:val="26"/>
              </w:rPr>
              <w:t>614.466.4397 (telephone)</w:t>
            </w:r>
          </w:p>
          <w:p w:rsidR="00A75F9F" w:rsidRDefault="00A75F9F" w:rsidP="00A75F9F">
            <w:pPr>
              <w:tabs>
                <w:tab w:val="left" w:pos="4482"/>
              </w:tabs>
              <w:rPr>
                <w:sz w:val="26"/>
                <w:szCs w:val="26"/>
              </w:rPr>
            </w:pPr>
            <w:r>
              <w:rPr>
                <w:sz w:val="26"/>
                <w:szCs w:val="26"/>
              </w:rPr>
              <w:t>614.644.8764 (fax)</w:t>
            </w:r>
          </w:p>
          <w:p w:rsidR="00A75F9F" w:rsidRDefault="00A75F9F" w:rsidP="00A75F9F">
            <w:pPr>
              <w:tabs>
                <w:tab w:val="left" w:pos="4482"/>
              </w:tabs>
              <w:rPr>
                <w:sz w:val="26"/>
                <w:szCs w:val="26"/>
              </w:rPr>
            </w:pPr>
            <w:hyperlink r:id="rId9" w:history="1">
              <w:r w:rsidRPr="00C81EBD">
                <w:rPr>
                  <w:rStyle w:val="Hyperlink"/>
                  <w:sz w:val="26"/>
                  <w:szCs w:val="26"/>
                </w:rPr>
                <w:t>thomas.mcnamee@ohioattorneygeneral.gov</w:t>
              </w:r>
            </w:hyperlink>
          </w:p>
          <w:p w:rsidR="00A75F9F" w:rsidRPr="00A75F9F" w:rsidRDefault="00A75F9F" w:rsidP="00A75F9F">
            <w:pPr>
              <w:tabs>
                <w:tab w:val="left" w:pos="4482"/>
              </w:tabs>
              <w:rPr>
                <w:sz w:val="26"/>
                <w:szCs w:val="26"/>
              </w:rPr>
            </w:pPr>
          </w:p>
          <w:p w:rsidR="00977F01" w:rsidRPr="00221496" w:rsidRDefault="00977F01" w:rsidP="00A75F9F">
            <w:pPr>
              <w:ind w:hanging="18"/>
              <w:rPr>
                <w:sz w:val="26"/>
                <w:szCs w:val="26"/>
              </w:rPr>
            </w:pPr>
          </w:p>
        </w:tc>
      </w:tr>
    </w:tbl>
    <w:p w:rsidR="00977F01" w:rsidRPr="00DF3D54" w:rsidRDefault="00977F01" w:rsidP="00200A0A">
      <w:pPr>
        <w:ind w:left="4332"/>
        <w:jc w:val="both"/>
        <w:rPr>
          <w:sz w:val="26"/>
          <w:szCs w:val="26"/>
        </w:rPr>
      </w:pPr>
    </w:p>
    <w:sectPr w:rsidR="00977F01" w:rsidRPr="00DF3D54" w:rsidSect="003B12DD">
      <w:footerReference w:type="defaul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F9F" w:rsidRDefault="00A75F9F" w:rsidP="008866FC">
      <w:pPr>
        <w:pStyle w:val="Title"/>
      </w:pPr>
      <w:r>
        <w:separator/>
      </w:r>
    </w:p>
  </w:endnote>
  <w:endnote w:type="continuationSeparator" w:id="0">
    <w:p w:rsidR="00A75F9F" w:rsidRDefault="00A75F9F"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8A" w:rsidRPr="007F5520" w:rsidRDefault="00BF0931" w:rsidP="003B12DD">
    <w:pPr>
      <w:pStyle w:val="Footer"/>
      <w:jc w:val="center"/>
      <w:rPr>
        <w:sz w:val="24"/>
        <w:szCs w:val="24"/>
      </w:rPr>
    </w:pPr>
    <w:r w:rsidRPr="007F5520">
      <w:rPr>
        <w:rStyle w:val="PageNumber"/>
        <w:sz w:val="24"/>
        <w:szCs w:val="24"/>
      </w:rPr>
      <w:fldChar w:fldCharType="begin"/>
    </w:r>
    <w:r w:rsidR="00FB4C8A" w:rsidRPr="007F5520">
      <w:rPr>
        <w:rStyle w:val="PageNumber"/>
        <w:sz w:val="24"/>
        <w:szCs w:val="24"/>
      </w:rPr>
      <w:instrText xml:space="preserve"> PAGE </w:instrText>
    </w:r>
    <w:r w:rsidRPr="007F5520">
      <w:rPr>
        <w:rStyle w:val="PageNumber"/>
        <w:sz w:val="24"/>
        <w:szCs w:val="24"/>
      </w:rPr>
      <w:fldChar w:fldCharType="separate"/>
    </w:r>
    <w:r w:rsidR="00A75F9F">
      <w:rPr>
        <w:rStyle w:val="PageNumber"/>
        <w:noProof/>
        <w:sz w:val="24"/>
        <w:szCs w:val="24"/>
      </w:rPr>
      <w:t>4</w:t>
    </w:r>
    <w:r w:rsidRPr="007F5520">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F9F" w:rsidRDefault="00A75F9F" w:rsidP="00663D6A">
      <w:pPr>
        <w:pStyle w:val="Title"/>
        <w:jc w:val="left"/>
      </w:pPr>
      <w:r>
        <w:separator/>
      </w:r>
    </w:p>
  </w:footnote>
  <w:footnote w:type="continuationSeparator" w:id="0">
    <w:p w:rsidR="00A75F9F" w:rsidRDefault="00A75F9F" w:rsidP="008866FC">
      <w:pPr>
        <w:pStyle w:val="Title"/>
      </w:pPr>
      <w:r>
        <w:continuationSeparator/>
      </w:r>
    </w:p>
  </w:footnote>
  <w:footnote w:id="1">
    <w:p w:rsidR="00A75F9F" w:rsidRDefault="00A75F9F" w:rsidP="00A75F9F">
      <w:pPr>
        <w:pStyle w:val="FootnoteText"/>
      </w:pPr>
      <w:r>
        <w:rPr>
          <w:rStyle w:val="FootnoteReference"/>
        </w:rPr>
        <w:footnoteRef/>
      </w:r>
      <w:r>
        <w:t xml:space="preserve"> </w:t>
      </w:r>
      <w:r>
        <w:tab/>
      </w:r>
      <w:r>
        <w:tab/>
      </w:r>
      <w:r>
        <w:t>The Commission Staff is a party for the purpose of entering into this Stipulation pursuant to O.A.C. 4901-1-10(C).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9F"/>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B64"/>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5F9F"/>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A3730"/>
    <w:pPr>
      <w:keepNext/>
      <w:spacing w:before="360" w:after="240"/>
      <w:ind w:lef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rsid w:val="006A3730"/>
    <w:pPr>
      <w:spacing w:before="240" w:after="240"/>
      <w:ind w:left="720" w:hanging="720"/>
    </w:pPr>
    <w:rPr>
      <w:sz w:val="24"/>
    </w:rPr>
  </w:style>
  <w:style w:type="character" w:customStyle="1" w:styleId="FootnoteTextChar">
    <w:name w:val="Footnote Text Char"/>
    <w:link w:val="FootnoteText"/>
    <w:locked/>
    <w:rsid w:val="006A3730"/>
    <w:rPr>
      <w:sz w:val="24"/>
    </w:rPr>
  </w:style>
  <w:style w:type="character" w:styleId="FootnoteReference">
    <w:name w:val="footnote reference"/>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6A3730"/>
    <w:pPr>
      <w:spacing w:line="480" w:lineRule="auto"/>
    </w:pPr>
    <w:rPr>
      <w:sz w:val="26"/>
      <w:szCs w:val="24"/>
    </w:rPr>
  </w:style>
  <w:style w:type="character" w:customStyle="1" w:styleId="textstyleChar">
    <w:name w:val="text style Char"/>
    <w:link w:val="textstyle0"/>
    <w:rsid w:val="006A3730"/>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A3730"/>
    <w:rPr>
      <w:rFonts w:eastAsia="Times New Roman" w:cs="Times New Roman"/>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paragraph" w:styleId="NormalIndent">
    <w:name w:val="Normal Indent"/>
    <w:basedOn w:val="Normal"/>
    <w:rsid w:val="00A75F9F"/>
    <w:rPr>
      <w:rFonts w:eastAsia="SimSun"/>
      <w:sz w:val="24"/>
      <w:szCs w:val="24"/>
      <w:lang w:eastAsia="zh-CN"/>
    </w:rPr>
  </w:style>
  <w:style w:type="paragraph" w:customStyle="1" w:styleId="Level2">
    <w:name w:val="Level 2"/>
    <w:basedOn w:val="Normal"/>
    <w:rsid w:val="00A75F9F"/>
    <w:rPr>
      <w:rFonts w:eastAsia="SimSu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A3730"/>
    <w:pPr>
      <w:keepNext/>
      <w:spacing w:before="360" w:after="240"/>
      <w:ind w:lef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rsid w:val="006A3730"/>
    <w:pPr>
      <w:spacing w:before="240" w:after="240"/>
      <w:ind w:left="720" w:hanging="720"/>
    </w:pPr>
    <w:rPr>
      <w:sz w:val="24"/>
    </w:rPr>
  </w:style>
  <w:style w:type="character" w:customStyle="1" w:styleId="FootnoteTextChar">
    <w:name w:val="Footnote Text Char"/>
    <w:link w:val="FootnoteText"/>
    <w:locked/>
    <w:rsid w:val="006A3730"/>
    <w:rPr>
      <w:sz w:val="24"/>
    </w:rPr>
  </w:style>
  <w:style w:type="character" w:styleId="FootnoteReference">
    <w:name w:val="footnote reference"/>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6A3730"/>
    <w:pPr>
      <w:spacing w:line="480" w:lineRule="auto"/>
    </w:pPr>
    <w:rPr>
      <w:sz w:val="26"/>
      <w:szCs w:val="24"/>
    </w:rPr>
  </w:style>
  <w:style w:type="character" w:customStyle="1" w:styleId="textstyleChar">
    <w:name w:val="text style Char"/>
    <w:link w:val="textstyle0"/>
    <w:rsid w:val="006A3730"/>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A3730"/>
    <w:rPr>
      <w:rFonts w:eastAsia="Times New Roman" w:cs="Times New Roman"/>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paragraph" w:styleId="NormalIndent">
    <w:name w:val="Normal Indent"/>
    <w:basedOn w:val="Normal"/>
    <w:rsid w:val="00A75F9F"/>
    <w:rPr>
      <w:rFonts w:eastAsia="SimSun"/>
      <w:sz w:val="24"/>
      <w:szCs w:val="24"/>
      <w:lang w:eastAsia="zh-CN"/>
    </w:rPr>
  </w:style>
  <w:style w:type="paragraph" w:customStyle="1" w:styleId="Level2">
    <w:name w:val="Level 2"/>
    <w:basedOn w:val="Normal"/>
    <w:rsid w:val="00A75F9F"/>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dris@firstenergycorp.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omas.mcnamee@ohioattorneygeneral.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eeton\Desktop\Templates\PUCO%20(or%20OPSB)%20Pleading%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PUCO (or OPSB) Pleading 2016</Template>
  <TotalTime>9</TotalTime>
  <Pages>4</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5534</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Kim Keeton</dc:creator>
  <cp:lastModifiedBy>Kim Keeton</cp:lastModifiedBy>
  <cp:revision>1</cp:revision>
  <cp:lastPrinted>2010-04-28T14:16:00Z</cp:lastPrinted>
  <dcterms:created xsi:type="dcterms:W3CDTF">2016-07-29T18:33:00Z</dcterms:created>
  <dcterms:modified xsi:type="dcterms:W3CDTF">2016-07-29T18:43:00Z</dcterms:modified>
</cp:coreProperties>
</file>