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DD" w:rsidRDefault="001447EE">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3E71DD" w:rsidRDefault="001447EE">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BB15A2" w:rsidRPr="007C6001" w:rsidRDefault="00BB15A2" w:rsidP="00BB15A2">
      <w:pPr>
        <w:jc w:val="center"/>
      </w:pPr>
    </w:p>
    <w:tbl>
      <w:tblPr>
        <w:tblW w:w="0" w:type="auto"/>
        <w:tblLayout w:type="fixed"/>
        <w:tblLook w:val="0000" w:firstRow="0" w:lastRow="0" w:firstColumn="0" w:lastColumn="0" w:noHBand="0" w:noVBand="0"/>
      </w:tblPr>
      <w:tblGrid>
        <w:gridCol w:w="4338"/>
        <w:gridCol w:w="540"/>
        <w:gridCol w:w="3978"/>
      </w:tblGrid>
      <w:tr w:rsidR="00BB15A2" w:rsidRPr="007C6001" w:rsidTr="00A0496E">
        <w:trPr>
          <w:cantSplit/>
          <w:trHeight w:val="342"/>
        </w:trPr>
        <w:tc>
          <w:tcPr>
            <w:tcW w:w="4338" w:type="dxa"/>
          </w:tcPr>
          <w:p w:rsidR="00BB15A2" w:rsidRPr="007C6001" w:rsidRDefault="00BB15A2" w:rsidP="00A0496E">
            <w:r w:rsidRPr="007C6001">
              <w:t>In the Matter of the Application of Ohio Edison Company, The Cleveland Electric Illuminating Company, and The Toledo Edison Company For Approval of Their Energy Efficiency and Peak Demand Reduction Program Portfolio Plans for 2013 through 2015.</w:t>
            </w:r>
          </w:p>
        </w:tc>
        <w:tc>
          <w:tcPr>
            <w:tcW w:w="540" w:type="dxa"/>
          </w:tcPr>
          <w:p w:rsidR="00BB15A2" w:rsidRPr="007C6001" w:rsidRDefault="00BB15A2" w:rsidP="00A0496E">
            <w:r w:rsidRPr="007C6001">
              <w:t>)</w:t>
            </w:r>
          </w:p>
          <w:p w:rsidR="00BB15A2" w:rsidRPr="007C6001" w:rsidRDefault="00BB15A2" w:rsidP="00A0496E">
            <w:r w:rsidRPr="007C6001">
              <w:t>)</w:t>
            </w:r>
          </w:p>
          <w:p w:rsidR="00BB15A2" w:rsidRPr="007C6001" w:rsidRDefault="00BB15A2" w:rsidP="00A0496E">
            <w:r w:rsidRPr="007C6001">
              <w:t>)</w:t>
            </w:r>
          </w:p>
          <w:p w:rsidR="00BB15A2" w:rsidRPr="007C6001" w:rsidRDefault="00BB15A2" w:rsidP="00A0496E">
            <w:r w:rsidRPr="007C6001">
              <w:t>)</w:t>
            </w:r>
          </w:p>
          <w:p w:rsidR="00BB15A2" w:rsidRPr="007C6001" w:rsidRDefault="00BB15A2" w:rsidP="00A0496E">
            <w:r w:rsidRPr="007C6001">
              <w:t>)</w:t>
            </w:r>
          </w:p>
          <w:p w:rsidR="00BB15A2" w:rsidRPr="007C6001" w:rsidRDefault="00BB15A2" w:rsidP="00A0496E">
            <w:r w:rsidRPr="007C6001">
              <w:t>)</w:t>
            </w:r>
          </w:p>
          <w:p w:rsidR="00BB15A2" w:rsidRPr="007C6001" w:rsidRDefault="00BB15A2" w:rsidP="00A0496E">
            <w:r w:rsidRPr="007C6001">
              <w:t>)</w:t>
            </w:r>
          </w:p>
        </w:tc>
        <w:tc>
          <w:tcPr>
            <w:tcW w:w="3978" w:type="dxa"/>
          </w:tcPr>
          <w:p w:rsidR="00BB15A2" w:rsidRPr="007C6001" w:rsidRDefault="00BB15A2" w:rsidP="00A0496E"/>
          <w:p w:rsidR="00BB15A2" w:rsidRPr="007C6001" w:rsidRDefault="00BB15A2" w:rsidP="00A0496E"/>
          <w:p w:rsidR="00BB15A2" w:rsidRPr="007C6001" w:rsidRDefault="00BB15A2" w:rsidP="00A0496E">
            <w:r w:rsidRPr="007C6001">
              <w:t>Case No. 12-2190-EL-POR</w:t>
            </w:r>
          </w:p>
          <w:p w:rsidR="00BB15A2" w:rsidRPr="007C6001" w:rsidRDefault="00BB15A2" w:rsidP="00A0496E">
            <w:r w:rsidRPr="007C6001">
              <w:t>Case No. 12-2191-EL-POR</w:t>
            </w:r>
          </w:p>
          <w:p w:rsidR="00BB15A2" w:rsidRPr="007C6001" w:rsidRDefault="00BB15A2" w:rsidP="00A0496E">
            <w:r w:rsidRPr="007C6001">
              <w:t>Case No. 12-2192-EL-POR</w:t>
            </w:r>
          </w:p>
        </w:tc>
      </w:tr>
    </w:tbl>
    <w:p w:rsidR="003E71DD" w:rsidRDefault="003E71DD">
      <w:pPr>
        <w:pStyle w:val="HTMLPreformatted"/>
        <w:pBdr>
          <w:bottom w:val="single" w:sz="12" w:space="1" w:color="auto"/>
        </w:pBdr>
        <w:rPr>
          <w:rFonts w:ascii="Times New Roman" w:hAnsi="Times New Roman"/>
          <w:sz w:val="24"/>
        </w:rPr>
      </w:pPr>
    </w:p>
    <w:p w:rsidR="003E71DD" w:rsidRDefault="003E71DD"/>
    <w:p w:rsidR="00BB15A2" w:rsidRDefault="001447EE">
      <w:pPr>
        <w:jc w:val="center"/>
        <w:rPr>
          <w:b/>
        </w:rPr>
      </w:pPr>
      <w:r>
        <w:rPr>
          <w:b/>
        </w:rPr>
        <w:t xml:space="preserve">REPLY COMMENTS </w:t>
      </w:r>
    </w:p>
    <w:p w:rsidR="003E71DD" w:rsidRDefault="001447EE">
      <w:pPr>
        <w:jc w:val="center"/>
        <w:rPr>
          <w:b/>
        </w:rPr>
      </w:pPr>
      <w:r>
        <w:rPr>
          <w:b/>
        </w:rPr>
        <w:t>BY</w:t>
      </w:r>
    </w:p>
    <w:p w:rsidR="003E71DD" w:rsidRDefault="001447EE">
      <w:pPr>
        <w:pBdr>
          <w:bottom w:val="single" w:sz="12" w:space="1" w:color="auto"/>
        </w:pBdr>
        <w:jc w:val="center"/>
        <w:rPr>
          <w:b/>
        </w:rPr>
      </w:pPr>
      <w:r>
        <w:rPr>
          <w:b/>
        </w:rPr>
        <w:t>THE OFFICE OF THE OHIO CONSUMERS’ COUNSEL</w:t>
      </w:r>
    </w:p>
    <w:p w:rsidR="003E71DD" w:rsidRDefault="003E71DD">
      <w:pPr>
        <w:pBdr>
          <w:bottom w:val="single" w:sz="12" w:space="1" w:color="auto"/>
        </w:pBdr>
        <w:jc w:val="center"/>
        <w:rPr>
          <w:b/>
        </w:rPr>
      </w:pPr>
    </w:p>
    <w:p w:rsidR="003E71DD" w:rsidRDefault="003E71DD"/>
    <w:p w:rsidR="003E71DD" w:rsidRDefault="001447EE">
      <w:pPr>
        <w:pStyle w:val="Heading1"/>
      </w:pPr>
      <w:bookmarkStart w:id="1" w:name="_Toc393206739"/>
      <w:r>
        <w:t>I.</w:t>
      </w:r>
      <w:r>
        <w:tab/>
        <w:t>INTRODUCTION</w:t>
      </w:r>
      <w:bookmarkEnd w:id="1"/>
    </w:p>
    <w:p w:rsidR="005403BE" w:rsidRPr="00047FB5" w:rsidRDefault="006B5C49" w:rsidP="005403BE">
      <w:pPr>
        <w:spacing w:line="480" w:lineRule="auto"/>
        <w:ind w:firstLine="720"/>
      </w:pPr>
      <w:r>
        <w:t>This case involves</w:t>
      </w:r>
      <w:r w:rsidR="005403BE">
        <w:t xml:space="preserve"> </w:t>
      </w:r>
      <w:r w:rsidR="00FD577E">
        <w:t>a</w:t>
      </w:r>
      <w:r>
        <w:t xml:space="preserve"> FirstEnerg</w:t>
      </w:r>
      <w:r w:rsidR="005403BE">
        <w:t>y</w:t>
      </w:r>
      <w:r w:rsidR="005403BE">
        <w:rPr>
          <w:rStyle w:val="FootnoteReference"/>
        </w:rPr>
        <w:footnoteReference w:id="1"/>
      </w:r>
      <w:r w:rsidR="005403BE" w:rsidRPr="005403BE">
        <w:rPr>
          <w:szCs w:val="24"/>
        </w:rPr>
        <w:t xml:space="preserve"> (“FirstEnergy” or “Utility”)</w:t>
      </w:r>
      <w:r w:rsidR="005403BE">
        <w:rPr>
          <w:szCs w:val="24"/>
        </w:rPr>
        <w:t xml:space="preserve"> </w:t>
      </w:r>
      <w:r w:rsidR="005403BE" w:rsidRPr="005403BE">
        <w:rPr>
          <w:szCs w:val="24"/>
        </w:rPr>
        <w:t>Application under Senate Bill 310</w:t>
      </w:r>
      <w:r w:rsidR="005403BE" w:rsidRPr="005403BE">
        <w:rPr>
          <w:szCs w:val="24"/>
          <w:vertAlign w:val="superscript"/>
        </w:rPr>
        <w:footnoteReference w:id="2"/>
      </w:r>
      <w:r w:rsidR="005403BE" w:rsidRPr="005403BE">
        <w:rPr>
          <w:szCs w:val="24"/>
        </w:rPr>
        <w:t xml:space="preserve"> </w:t>
      </w:r>
      <w:r w:rsidR="00FD577E">
        <w:rPr>
          <w:szCs w:val="24"/>
        </w:rPr>
        <w:t>for</w:t>
      </w:r>
      <w:r w:rsidR="005403BE" w:rsidRPr="005403BE">
        <w:rPr>
          <w:szCs w:val="24"/>
        </w:rPr>
        <w:t xml:space="preserve"> approval</w:t>
      </w:r>
      <w:r w:rsidR="00FD577E">
        <w:rPr>
          <w:szCs w:val="24"/>
        </w:rPr>
        <w:t xml:space="preserve"> to dismantle its energy efficiency programs that FirstEnergy itself earl</w:t>
      </w:r>
      <w:r w:rsidR="00BC2015">
        <w:rPr>
          <w:szCs w:val="24"/>
        </w:rPr>
        <w:t>ier described as having saved $</w:t>
      </w:r>
      <w:r w:rsidR="00100432">
        <w:rPr>
          <w:szCs w:val="24"/>
        </w:rPr>
        <w:t>235 million</w:t>
      </w:r>
      <w:r w:rsidR="00100432" w:rsidRPr="005403BE">
        <w:rPr>
          <w:szCs w:val="24"/>
        </w:rPr>
        <w:t xml:space="preserve"> </w:t>
      </w:r>
      <w:r w:rsidR="00FD577E">
        <w:rPr>
          <w:szCs w:val="24"/>
        </w:rPr>
        <w:t>for Ohio consumers.</w:t>
      </w:r>
      <w:r w:rsidR="00FD577E">
        <w:rPr>
          <w:rStyle w:val="FootnoteReference"/>
          <w:szCs w:val="24"/>
        </w:rPr>
        <w:footnoteReference w:id="3"/>
      </w:r>
      <w:r w:rsidR="00FD577E">
        <w:rPr>
          <w:szCs w:val="24"/>
        </w:rPr>
        <w:t xml:space="preserve">  And the Application involves FirstEnergy’s attempt to preserve various of its charges to 1.9 million residential consumers and others despite the dismantling of the programs that gave rise to the charges.  </w:t>
      </w:r>
    </w:p>
    <w:p w:rsidR="005403BE" w:rsidRDefault="005403BE" w:rsidP="0074435D">
      <w:pPr>
        <w:pStyle w:val="BodyTextIndent3"/>
        <w:widowControl w:val="0"/>
        <w:spacing w:line="480" w:lineRule="auto"/>
        <w:ind w:right="-29"/>
        <w:rPr>
          <w:szCs w:val="24"/>
        </w:rPr>
      </w:pPr>
      <w:r>
        <w:rPr>
          <w:szCs w:val="24"/>
        </w:rPr>
        <w:t>The Office of the Ohio Consumers’ Counsel (“OCC”)</w:t>
      </w:r>
      <w:r>
        <w:rPr>
          <w:rStyle w:val="FootnoteReference"/>
          <w:szCs w:val="24"/>
        </w:rPr>
        <w:footnoteReference w:id="4"/>
      </w:r>
      <w:r>
        <w:rPr>
          <w:szCs w:val="24"/>
        </w:rPr>
        <w:t xml:space="preserve"> filed initial comments on behalf of FirstEnergy’s </w:t>
      </w:r>
      <w:r w:rsidR="00FD577E">
        <w:rPr>
          <w:szCs w:val="24"/>
        </w:rPr>
        <w:t>residential</w:t>
      </w:r>
      <w:r>
        <w:rPr>
          <w:szCs w:val="24"/>
        </w:rPr>
        <w:t xml:space="preserve"> customers</w:t>
      </w:r>
      <w:r w:rsidR="00FD577E">
        <w:rPr>
          <w:szCs w:val="24"/>
        </w:rPr>
        <w:t>,</w:t>
      </w:r>
      <w:r w:rsidR="008A5DC1">
        <w:rPr>
          <w:szCs w:val="24"/>
        </w:rPr>
        <w:t xml:space="preserve"> on October 20, 2014</w:t>
      </w:r>
      <w:r w:rsidR="00C8599E">
        <w:rPr>
          <w:szCs w:val="24"/>
        </w:rPr>
        <w:t xml:space="preserve">.  </w:t>
      </w:r>
      <w:r w:rsidR="00FD577E">
        <w:rPr>
          <w:szCs w:val="24"/>
        </w:rPr>
        <w:t xml:space="preserve">There, </w:t>
      </w:r>
      <w:r w:rsidR="00C8599E">
        <w:rPr>
          <w:szCs w:val="24"/>
        </w:rPr>
        <w:t>OCC made</w:t>
      </w:r>
      <w:r>
        <w:rPr>
          <w:szCs w:val="24"/>
        </w:rPr>
        <w:t xml:space="preserve"> recommendations to the </w:t>
      </w:r>
      <w:r w:rsidR="00FD577E" w:rsidRPr="005403BE">
        <w:rPr>
          <w:szCs w:val="24"/>
        </w:rPr>
        <w:t>Public Utilities Commission of Ohio (“PUCO”)</w:t>
      </w:r>
      <w:r w:rsidR="00FD577E">
        <w:rPr>
          <w:szCs w:val="24"/>
        </w:rPr>
        <w:t xml:space="preserve">.  OCC proposed </w:t>
      </w:r>
      <w:r w:rsidR="00FD577E">
        <w:rPr>
          <w:szCs w:val="24"/>
        </w:rPr>
        <w:lastRenderedPageBreak/>
        <w:t>that the PUCO</w:t>
      </w:r>
      <w:r>
        <w:rPr>
          <w:szCs w:val="24"/>
        </w:rPr>
        <w:t xml:space="preserve"> modify FirstEnergy’s proposals</w:t>
      </w:r>
      <w:r w:rsidR="001517F2">
        <w:rPr>
          <w:szCs w:val="24"/>
        </w:rPr>
        <w:t xml:space="preserve"> so that</w:t>
      </w:r>
      <w:r>
        <w:rPr>
          <w:szCs w:val="24"/>
        </w:rPr>
        <w:t xml:space="preserve"> the</w:t>
      </w:r>
      <w:r w:rsidR="0074435D">
        <w:rPr>
          <w:szCs w:val="24"/>
        </w:rPr>
        <w:t xml:space="preserve"> </w:t>
      </w:r>
      <w:r>
        <w:rPr>
          <w:szCs w:val="24"/>
        </w:rPr>
        <w:t>benefits of</w:t>
      </w:r>
      <w:r w:rsidR="00FD577E" w:rsidRPr="00FD577E">
        <w:rPr>
          <w:szCs w:val="24"/>
        </w:rPr>
        <w:t xml:space="preserve"> </w:t>
      </w:r>
      <w:r w:rsidR="00FD577E">
        <w:rPr>
          <w:szCs w:val="24"/>
        </w:rPr>
        <w:t>FirstEnergy’s existing energy e</w:t>
      </w:r>
      <w:r w:rsidR="00FD577E" w:rsidRPr="005403BE">
        <w:rPr>
          <w:szCs w:val="24"/>
        </w:rPr>
        <w:t xml:space="preserve">fficiency </w:t>
      </w:r>
      <w:r w:rsidR="00FD577E">
        <w:rPr>
          <w:szCs w:val="24"/>
        </w:rPr>
        <w:t>and peak d</w:t>
      </w:r>
      <w:r w:rsidR="00FD577E" w:rsidRPr="005403BE">
        <w:rPr>
          <w:szCs w:val="24"/>
        </w:rPr>
        <w:t>emand</w:t>
      </w:r>
      <w:r w:rsidR="00FD577E">
        <w:rPr>
          <w:szCs w:val="24"/>
        </w:rPr>
        <w:t xml:space="preserve"> r</w:t>
      </w:r>
      <w:r w:rsidR="00FD577E" w:rsidRPr="005403BE">
        <w:rPr>
          <w:szCs w:val="24"/>
        </w:rPr>
        <w:t>eduction (“</w:t>
      </w:r>
      <w:r w:rsidR="00FD577E">
        <w:rPr>
          <w:szCs w:val="24"/>
        </w:rPr>
        <w:t>energy efficiency”) p</w:t>
      </w:r>
      <w:r w:rsidR="00FD577E" w:rsidRPr="005403BE">
        <w:rPr>
          <w:szCs w:val="24"/>
        </w:rPr>
        <w:t>ortfolio</w:t>
      </w:r>
      <w:r w:rsidR="00FD577E">
        <w:rPr>
          <w:szCs w:val="24"/>
        </w:rPr>
        <w:t xml:space="preserve"> can be preserved in some greater measure for consumers</w:t>
      </w:r>
      <w:r w:rsidR="00FD577E" w:rsidRPr="005403BE">
        <w:rPr>
          <w:szCs w:val="24"/>
        </w:rPr>
        <w:t>.</w:t>
      </w:r>
      <w:r>
        <w:rPr>
          <w:szCs w:val="24"/>
        </w:rPr>
        <w:t xml:space="preserve"> OCC submits these reply comments in accordance with the </w:t>
      </w:r>
      <w:r w:rsidR="005A37DC">
        <w:rPr>
          <w:szCs w:val="24"/>
        </w:rPr>
        <w:t>PUCO</w:t>
      </w:r>
      <w:r>
        <w:rPr>
          <w:szCs w:val="24"/>
        </w:rPr>
        <w:t>’s September 29, 2014 Entry.</w:t>
      </w:r>
    </w:p>
    <w:p w:rsidR="00C775A4" w:rsidRPr="008A5DC1" w:rsidRDefault="00C775A4" w:rsidP="00C775A4">
      <w:pPr>
        <w:pStyle w:val="BodyTextIndent3"/>
        <w:widowControl w:val="0"/>
        <w:spacing w:line="240" w:lineRule="auto"/>
        <w:ind w:right="-29"/>
        <w:rPr>
          <w:szCs w:val="24"/>
        </w:rPr>
      </w:pPr>
    </w:p>
    <w:p w:rsidR="003E71DD" w:rsidRDefault="001447EE">
      <w:pPr>
        <w:pStyle w:val="Heading1"/>
      </w:pPr>
      <w:bookmarkStart w:id="2" w:name="_Toc393206740"/>
      <w:r>
        <w:t>II.</w:t>
      </w:r>
      <w:r>
        <w:tab/>
        <w:t>REPLY COMMENTS</w:t>
      </w:r>
      <w:bookmarkEnd w:id="2"/>
    </w:p>
    <w:p w:rsidR="009811A4" w:rsidRPr="004F34AF" w:rsidRDefault="00C775A4" w:rsidP="00C775A4">
      <w:pPr>
        <w:pStyle w:val="Heading2"/>
      </w:pPr>
      <w:r>
        <w:t>A.</w:t>
      </w:r>
      <w:r>
        <w:tab/>
      </w:r>
      <w:r w:rsidRPr="004F34AF">
        <w:t xml:space="preserve">The </w:t>
      </w:r>
      <w:r w:rsidR="009811A4" w:rsidRPr="004F34AF">
        <w:t>PUCO</w:t>
      </w:r>
      <w:r w:rsidR="005A37DC">
        <w:t xml:space="preserve"> Should Adopt </w:t>
      </w:r>
      <w:r w:rsidR="003A3027">
        <w:t>the Recommendation of</w:t>
      </w:r>
      <w:r w:rsidR="005A37DC">
        <w:t xml:space="preserve"> Its Staff</w:t>
      </w:r>
      <w:r w:rsidR="005A37DC" w:rsidRPr="004F34AF">
        <w:t xml:space="preserve"> </w:t>
      </w:r>
      <w:r w:rsidRPr="004F34AF">
        <w:t>That First</w:t>
      </w:r>
      <w:r w:rsidR="0069361D">
        <w:t>E</w:t>
      </w:r>
      <w:r w:rsidRPr="004F34AF">
        <w:t xml:space="preserve">nergy, And </w:t>
      </w:r>
      <w:r w:rsidR="009811A4" w:rsidRPr="004F34AF">
        <w:t>Not Customers</w:t>
      </w:r>
      <w:r w:rsidRPr="004F34AF">
        <w:t xml:space="preserve">, </w:t>
      </w:r>
      <w:r w:rsidR="009811A4" w:rsidRPr="004F34AF">
        <w:t xml:space="preserve">Should Bear </w:t>
      </w:r>
      <w:r w:rsidRPr="004F34AF">
        <w:t xml:space="preserve">The </w:t>
      </w:r>
      <w:r w:rsidR="009811A4" w:rsidRPr="004F34AF">
        <w:t xml:space="preserve">Risk </w:t>
      </w:r>
      <w:r w:rsidRPr="004F34AF">
        <w:t xml:space="preserve">Of </w:t>
      </w:r>
      <w:r w:rsidR="009811A4" w:rsidRPr="004F34AF">
        <w:t xml:space="preserve">Any Additional Costs </w:t>
      </w:r>
      <w:r w:rsidR="00CC5418">
        <w:t>Associated W</w:t>
      </w:r>
      <w:r w:rsidR="009811A4" w:rsidRPr="004F34AF">
        <w:t xml:space="preserve">ith </w:t>
      </w:r>
      <w:r w:rsidRPr="004F34AF">
        <w:t xml:space="preserve">The </w:t>
      </w:r>
      <w:r w:rsidR="009811A4" w:rsidRPr="004F34AF">
        <w:t xml:space="preserve">Utility’s Request </w:t>
      </w:r>
      <w:r w:rsidRPr="004F34AF">
        <w:t xml:space="preserve">To </w:t>
      </w:r>
      <w:r w:rsidR="009811A4" w:rsidRPr="004F34AF">
        <w:t xml:space="preserve">Adjust Its </w:t>
      </w:r>
      <w:r w:rsidR="009811A4">
        <w:t xml:space="preserve">Energy Efficiency </w:t>
      </w:r>
      <w:r w:rsidR="009811A4" w:rsidRPr="004F34AF">
        <w:t xml:space="preserve">Program Mix During </w:t>
      </w:r>
      <w:r w:rsidRPr="004F34AF">
        <w:t xml:space="preserve">The </w:t>
      </w:r>
      <w:r w:rsidR="009811A4" w:rsidRPr="004F34AF">
        <w:t xml:space="preserve">Term </w:t>
      </w:r>
      <w:r w:rsidRPr="004F34AF">
        <w:t xml:space="preserve">Of The </w:t>
      </w:r>
      <w:r w:rsidR="009811A4" w:rsidRPr="004F34AF">
        <w:t>Amended Plan</w:t>
      </w:r>
      <w:r w:rsidRPr="004F34AF">
        <w:t>.</w:t>
      </w:r>
    </w:p>
    <w:p w:rsidR="007A66F3" w:rsidRDefault="009811A4" w:rsidP="00E3755C">
      <w:pPr>
        <w:spacing w:line="480" w:lineRule="auto"/>
        <w:ind w:firstLine="720"/>
        <w:rPr>
          <w:szCs w:val="24"/>
        </w:rPr>
      </w:pPr>
      <w:r w:rsidRPr="004F34AF">
        <w:rPr>
          <w:szCs w:val="24"/>
        </w:rPr>
        <w:t xml:space="preserve">In Comments, OCC </w:t>
      </w:r>
      <w:r w:rsidR="007A66F3">
        <w:rPr>
          <w:szCs w:val="24"/>
        </w:rPr>
        <w:t>recommended</w:t>
      </w:r>
      <w:r w:rsidR="007A66F3" w:rsidRPr="004F34AF">
        <w:rPr>
          <w:szCs w:val="24"/>
        </w:rPr>
        <w:t xml:space="preserve"> </w:t>
      </w:r>
      <w:r w:rsidRPr="004F34AF">
        <w:rPr>
          <w:szCs w:val="24"/>
        </w:rPr>
        <w:t>that the PUCO should</w:t>
      </w:r>
      <w:r w:rsidR="007A66F3">
        <w:rPr>
          <w:szCs w:val="24"/>
        </w:rPr>
        <w:t xml:space="preserve"> protect consumers from</w:t>
      </w:r>
      <w:r w:rsidRPr="004F34AF">
        <w:rPr>
          <w:szCs w:val="24"/>
        </w:rPr>
        <w:t xml:space="preserve"> FirstEnergy’s proposal </w:t>
      </w:r>
      <w:r w:rsidR="007A66F3">
        <w:rPr>
          <w:szCs w:val="24"/>
        </w:rPr>
        <w:t xml:space="preserve">that it be allowed </w:t>
      </w:r>
      <w:r w:rsidRPr="004F34AF">
        <w:rPr>
          <w:szCs w:val="24"/>
        </w:rPr>
        <w:t>to</w:t>
      </w:r>
      <w:r w:rsidR="007A66F3">
        <w:rPr>
          <w:szCs w:val="24"/>
        </w:rPr>
        <w:t xml:space="preserve"> unilaterally</w:t>
      </w:r>
      <w:r w:rsidRPr="004F34AF">
        <w:rPr>
          <w:szCs w:val="24"/>
        </w:rPr>
        <w:t xml:space="preserve"> adjust its </w:t>
      </w:r>
      <w:r>
        <w:rPr>
          <w:szCs w:val="24"/>
        </w:rPr>
        <w:t xml:space="preserve">energy efficiency </w:t>
      </w:r>
      <w:r w:rsidRPr="004F34AF">
        <w:rPr>
          <w:szCs w:val="24"/>
        </w:rPr>
        <w:t>program</w:t>
      </w:r>
      <w:r>
        <w:rPr>
          <w:szCs w:val="24"/>
        </w:rPr>
        <w:t>s</w:t>
      </w:r>
      <w:r w:rsidRPr="004F34AF">
        <w:rPr>
          <w:szCs w:val="24"/>
        </w:rPr>
        <w:t xml:space="preserve"> during the term of the Amended Plan.</w:t>
      </w:r>
      <w:r>
        <w:rPr>
          <w:rStyle w:val="FootnoteReference"/>
          <w:szCs w:val="24"/>
        </w:rPr>
        <w:footnoteReference w:id="5"/>
      </w:r>
      <w:r w:rsidRPr="004F34AF">
        <w:rPr>
          <w:szCs w:val="24"/>
        </w:rPr>
        <w:t xml:space="preserve">  </w:t>
      </w:r>
      <w:r>
        <w:rPr>
          <w:szCs w:val="24"/>
        </w:rPr>
        <w:t>OCC provided several reasons why FirstEnergy’s</w:t>
      </w:r>
      <w:r w:rsidRPr="004F34AF">
        <w:rPr>
          <w:szCs w:val="24"/>
        </w:rPr>
        <w:t xml:space="preserve"> </w:t>
      </w:r>
      <w:r w:rsidR="000F110C">
        <w:rPr>
          <w:szCs w:val="24"/>
        </w:rPr>
        <w:t>proposal</w:t>
      </w:r>
      <w:r w:rsidRPr="004F34AF">
        <w:rPr>
          <w:szCs w:val="24"/>
        </w:rPr>
        <w:t xml:space="preserve"> should be denied</w:t>
      </w:r>
      <w:r>
        <w:rPr>
          <w:szCs w:val="24"/>
        </w:rPr>
        <w:t>.</w:t>
      </w:r>
      <w:r>
        <w:rPr>
          <w:rStyle w:val="FootnoteReference"/>
          <w:szCs w:val="24"/>
        </w:rPr>
        <w:footnoteReference w:id="6"/>
      </w:r>
      <w:r>
        <w:rPr>
          <w:szCs w:val="24"/>
        </w:rPr>
        <w:t xml:space="preserve">  In this regard, OCC explained that </w:t>
      </w:r>
      <w:r w:rsidR="000F110C">
        <w:rPr>
          <w:szCs w:val="24"/>
        </w:rPr>
        <w:t>t</w:t>
      </w:r>
      <w:r w:rsidRPr="006E1035">
        <w:rPr>
          <w:szCs w:val="24"/>
        </w:rPr>
        <w:t>he</w:t>
      </w:r>
      <w:r>
        <w:rPr>
          <w:szCs w:val="24"/>
        </w:rPr>
        <w:t xml:space="preserve"> PUCO should </w:t>
      </w:r>
      <w:r w:rsidR="001517F2">
        <w:rPr>
          <w:szCs w:val="24"/>
        </w:rPr>
        <w:t>continue to have a</w:t>
      </w:r>
      <w:r w:rsidRPr="006E1035">
        <w:rPr>
          <w:szCs w:val="24"/>
        </w:rPr>
        <w:t xml:space="preserve">uthority </w:t>
      </w:r>
      <w:r w:rsidR="001517F2">
        <w:rPr>
          <w:szCs w:val="24"/>
        </w:rPr>
        <w:t xml:space="preserve">over the </w:t>
      </w:r>
      <w:r w:rsidRPr="006E1035">
        <w:rPr>
          <w:szCs w:val="24"/>
        </w:rPr>
        <w:t>program</w:t>
      </w:r>
      <w:r w:rsidR="001517F2">
        <w:rPr>
          <w:szCs w:val="24"/>
        </w:rPr>
        <w:t xml:space="preserve">s to ensure that the cost savings from the programs flow through to </w:t>
      </w:r>
      <w:r w:rsidRPr="006E1035">
        <w:rPr>
          <w:szCs w:val="24"/>
        </w:rPr>
        <w:t>customers’ electric bills.</w:t>
      </w:r>
      <w:r>
        <w:rPr>
          <w:rStyle w:val="FootnoteReference"/>
          <w:szCs w:val="24"/>
        </w:rPr>
        <w:footnoteReference w:id="7"/>
      </w:r>
      <w:r w:rsidR="001517F2">
        <w:rPr>
          <w:szCs w:val="24"/>
        </w:rPr>
        <w:t xml:space="preserve">  This would allow parties the </w:t>
      </w:r>
      <w:r w:rsidRPr="006E1035">
        <w:rPr>
          <w:szCs w:val="24"/>
        </w:rPr>
        <w:t xml:space="preserve">opportunity </w:t>
      </w:r>
      <w:r w:rsidR="001517F2">
        <w:rPr>
          <w:szCs w:val="24"/>
        </w:rPr>
        <w:t xml:space="preserve">to work in a collaborative process </w:t>
      </w:r>
      <w:r w:rsidR="0074435D" w:rsidRPr="006E1035">
        <w:rPr>
          <w:szCs w:val="24"/>
        </w:rPr>
        <w:t xml:space="preserve">and </w:t>
      </w:r>
      <w:r w:rsidR="0074435D">
        <w:rPr>
          <w:szCs w:val="24"/>
        </w:rPr>
        <w:t>provide</w:t>
      </w:r>
      <w:r w:rsidR="001517F2">
        <w:rPr>
          <w:szCs w:val="24"/>
        </w:rPr>
        <w:t xml:space="preserve"> much needed </w:t>
      </w:r>
      <w:r w:rsidRPr="006E1035">
        <w:rPr>
          <w:szCs w:val="24"/>
        </w:rPr>
        <w:t>stakeholder input</w:t>
      </w:r>
      <w:r w:rsidR="003538BE">
        <w:rPr>
          <w:szCs w:val="24"/>
        </w:rPr>
        <w:t>.</w:t>
      </w:r>
      <w:r w:rsidR="0074435D">
        <w:rPr>
          <w:szCs w:val="24"/>
        </w:rPr>
        <w:t xml:space="preserve">  </w:t>
      </w:r>
      <w:r w:rsidR="001517F2">
        <w:rPr>
          <w:szCs w:val="24"/>
        </w:rPr>
        <w:t xml:space="preserve">This approach has </w:t>
      </w:r>
      <w:r w:rsidRPr="006E1035">
        <w:rPr>
          <w:szCs w:val="24"/>
        </w:rPr>
        <w:t>been the hallmark of the PUCO’s decision-making for these programs.</w:t>
      </w:r>
      <w:r>
        <w:rPr>
          <w:rStyle w:val="FootnoteReference"/>
          <w:szCs w:val="24"/>
        </w:rPr>
        <w:footnoteReference w:id="8"/>
      </w:r>
      <w:r w:rsidR="00E3755C">
        <w:rPr>
          <w:szCs w:val="24"/>
        </w:rPr>
        <w:t xml:space="preserve">  </w:t>
      </w:r>
    </w:p>
    <w:p w:rsidR="009811A4" w:rsidRDefault="009811A4" w:rsidP="00E3755C">
      <w:pPr>
        <w:spacing w:line="480" w:lineRule="auto"/>
        <w:ind w:firstLine="720"/>
        <w:rPr>
          <w:szCs w:val="24"/>
        </w:rPr>
      </w:pPr>
      <w:r>
        <w:rPr>
          <w:szCs w:val="24"/>
        </w:rPr>
        <w:lastRenderedPageBreak/>
        <w:t xml:space="preserve">OCC </w:t>
      </w:r>
      <w:r w:rsidR="006F04D6">
        <w:rPr>
          <w:szCs w:val="24"/>
        </w:rPr>
        <w:t xml:space="preserve">also </w:t>
      </w:r>
      <w:r>
        <w:rPr>
          <w:szCs w:val="24"/>
        </w:rPr>
        <w:t>noted that FirstEnergy is asking the PUCO to approve an Application</w:t>
      </w:r>
      <w:r w:rsidR="008B5007">
        <w:rPr>
          <w:szCs w:val="24"/>
        </w:rPr>
        <w:t>,</w:t>
      </w:r>
      <w:r>
        <w:rPr>
          <w:szCs w:val="24"/>
        </w:rPr>
        <w:t xml:space="preserve"> with programs (and costs to customers) that might change, without the PUCO having the opportunity for further review.</w:t>
      </w:r>
      <w:r>
        <w:rPr>
          <w:rStyle w:val="FootnoteReference"/>
          <w:szCs w:val="24"/>
        </w:rPr>
        <w:footnoteReference w:id="9"/>
      </w:r>
      <w:r>
        <w:rPr>
          <w:szCs w:val="24"/>
        </w:rPr>
        <w:t xml:space="preserve"> </w:t>
      </w:r>
      <w:r w:rsidR="00663E9D">
        <w:rPr>
          <w:szCs w:val="24"/>
        </w:rPr>
        <w:t xml:space="preserve"> </w:t>
      </w:r>
      <w:r w:rsidR="00C8599E">
        <w:rPr>
          <w:szCs w:val="24"/>
        </w:rPr>
        <w:t>This is wrong.</w:t>
      </w:r>
      <w:r>
        <w:rPr>
          <w:szCs w:val="24"/>
        </w:rPr>
        <w:t xml:space="preserve"> </w:t>
      </w:r>
    </w:p>
    <w:p w:rsidR="009811A4" w:rsidRDefault="00C8599E" w:rsidP="009811A4">
      <w:pPr>
        <w:spacing w:line="480" w:lineRule="auto"/>
        <w:ind w:firstLine="720"/>
        <w:rPr>
          <w:szCs w:val="24"/>
        </w:rPr>
      </w:pPr>
      <w:r>
        <w:rPr>
          <w:szCs w:val="24"/>
        </w:rPr>
        <w:t>In addition</w:t>
      </w:r>
      <w:r w:rsidR="009811A4">
        <w:rPr>
          <w:szCs w:val="24"/>
        </w:rPr>
        <w:t xml:space="preserve">, OCC </w:t>
      </w:r>
      <w:r>
        <w:rPr>
          <w:szCs w:val="24"/>
        </w:rPr>
        <w:t xml:space="preserve">explained </w:t>
      </w:r>
      <w:r w:rsidR="009811A4">
        <w:rPr>
          <w:szCs w:val="24"/>
        </w:rPr>
        <w:t>that stopping and restarting energy efficiency programs could result in increased costs to customers.</w:t>
      </w:r>
      <w:r w:rsidR="009811A4">
        <w:rPr>
          <w:rStyle w:val="FootnoteReference"/>
          <w:szCs w:val="24"/>
        </w:rPr>
        <w:footnoteReference w:id="10"/>
      </w:r>
      <w:r w:rsidR="009811A4">
        <w:rPr>
          <w:szCs w:val="24"/>
        </w:rPr>
        <w:t xml:space="preserve">  This is </w:t>
      </w:r>
      <w:r w:rsidR="003A3027">
        <w:rPr>
          <w:szCs w:val="24"/>
        </w:rPr>
        <w:t>unreasonable because</w:t>
      </w:r>
      <w:r w:rsidR="009811A4">
        <w:rPr>
          <w:szCs w:val="24"/>
        </w:rPr>
        <w:t xml:space="preserve"> it goes against the fundamental principle that energy efficiency programs are supposed to save customers </w:t>
      </w:r>
      <w:r w:rsidR="00F12487">
        <w:rPr>
          <w:szCs w:val="24"/>
        </w:rPr>
        <w:t>money</w:t>
      </w:r>
      <w:r w:rsidR="00613E11">
        <w:rPr>
          <w:szCs w:val="24"/>
        </w:rPr>
        <w:t>--</w:t>
      </w:r>
      <w:r w:rsidR="009811A4">
        <w:rPr>
          <w:szCs w:val="24"/>
        </w:rPr>
        <w:t xml:space="preserve">not cost </w:t>
      </w:r>
      <w:r w:rsidR="00F12487">
        <w:rPr>
          <w:szCs w:val="24"/>
        </w:rPr>
        <w:t>customers</w:t>
      </w:r>
      <w:r w:rsidR="009811A4">
        <w:rPr>
          <w:szCs w:val="24"/>
        </w:rPr>
        <w:t xml:space="preserve"> money.  And</w:t>
      </w:r>
      <w:r w:rsidR="007A66F3">
        <w:rPr>
          <w:szCs w:val="24"/>
        </w:rPr>
        <w:t>,</w:t>
      </w:r>
      <w:r w:rsidR="009811A4">
        <w:rPr>
          <w:szCs w:val="24"/>
        </w:rPr>
        <w:t xml:space="preserve"> as the Ohio Manufacturer</w:t>
      </w:r>
      <w:r w:rsidR="00AD486D">
        <w:rPr>
          <w:szCs w:val="24"/>
        </w:rPr>
        <w:t>s</w:t>
      </w:r>
      <w:r w:rsidR="009811A4">
        <w:rPr>
          <w:szCs w:val="24"/>
        </w:rPr>
        <w:t xml:space="preserve">’ Association </w:t>
      </w:r>
      <w:r w:rsidR="00AD486D">
        <w:rPr>
          <w:szCs w:val="24"/>
        </w:rPr>
        <w:t xml:space="preserve">Energy Group </w:t>
      </w:r>
      <w:r w:rsidR="009811A4">
        <w:rPr>
          <w:szCs w:val="24"/>
        </w:rPr>
        <w:t>(“OMA</w:t>
      </w:r>
      <w:r w:rsidR="00AD486D">
        <w:rPr>
          <w:szCs w:val="24"/>
        </w:rPr>
        <w:t>EG</w:t>
      </w:r>
      <w:r w:rsidR="009811A4">
        <w:rPr>
          <w:szCs w:val="24"/>
        </w:rPr>
        <w:t>”)</w:t>
      </w:r>
      <w:r w:rsidR="000F110C">
        <w:rPr>
          <w:szCs w:val="24"/>
        </w:rPr>
        <w:t xml:space="preserve"> concluded</w:t>
      </w:r>
      <w:r>
        <w:rPr>
          <w:szCs w:val="24"/>
        </w:rPr>
        <w:t>,</w:t>
      </w:r>
      <w:r w:rsidR="000F110C">
        <w:rPr>
          <w:szCs w:val="24"/>
        </w:rPr>
        <w:t xml:space="preserve"> switching the programs could cause customer confusion.</w:t>
      </w:r>
      <w:r w:rsidR="000F110C">
        <w:rPr>
          <w:rStyle w:val="FootnoteReference"/>
          <w:szCs w:val="24"/>
        </w:rPr>
        <w:footnoteReference w:id="11"/>
      </w:r>
      <w:r w:rsidR="000F110C">
        <w:rPr>
          <w:szCs w:val="24"/>
        </w:rPr>
        <w:t xml:space="preserve">  OMA</w:t>
      </w:r>
      <w:r w:rsidR="00AD486D">
        <w:rPr>
          <w:szCs w:val="24"/>
        </w:rPr>
        <w:t>EG</w:t>
      </w:r>
      <w:r w:rsidR="000F110C">
        <w:rPr>
          <w:szCs w:val="24"/>
        </w:rPr>
        <w:t xml:space="preserve"> surmised that</w:t>
      </w:r>
      <w:r w:rsidR="009811A4">
        <w:rPr>
          <w:szCs w:val="24"/>
        </w:rPr>
        <w:t xml:space="preserve"> this customer confusion could likely lead to higher costs because FirstEnergy’s customers would require continuous education (and re-education) on whether programs are being offered, and the content of those programs that are available at any given time.</w:t>
      </w:r>
      <w:r w:rsidR="009811A4">
        <w:rPr>
          <w:rStyle w:val="FootnoteReference"/>
          <w:szCs w:val="24"/>
        </w:rPr>
        <w:footnoteReference w:id="12"/>
      </w:r>
      <w:r w:rsidR="009811A4">
        <w:rPr>
          <w:szCs w:val="24"/>
        </w:rPr>
        <w:t xml:space="preserve">  OCC agrees</w:t>
      </w:r>
      <w:r w:rsidR="004E5AF8">
        <w:rPr>
          <w:szCs w:val="24"/>
        </w:rPr>
        <w:t xml:space="preserve"> with OMA</w:t>
      </w:r>
      <w:r w:rsidR="00AD486D">
        <w:rPr>
          <w:szCs w:val="24"/>
        </w:rPr>
        <w:t>EG</w:t>
      </w:r>
      <w:r w:rsidR="009811A4">
        <w:rPr>
          <w:szCs w:val="24"/>
        </w:rPr>
        <w:t>.</w:t>
      </w:r>
    </w:p>
    <w:p w:rsidR="00C8599E" w:rsidRDefault="009811A4" w:rsidP="009811A4">
      <w:pPr>
        <w:spacing w:line="480" w:lineRule="auto"/>
        <w:ind w:firstLine="720"/>
        <w:rPr>
          <w:szCs w:val="24"/>
        </w:rPr>
      </w:pPr>
      <w:r>
        <w:rPr>
          <w:szCs w:val="24"/>
        </w:rPr>
        <w:t>But</w:t>
      </w:r>
      <w:r w:rsidRPr="004F34AF">
        <w:rPr>
          <w:szCs w:val="24"/>
        </w:rPr>
        <w:t xml:space="preserve"> if the PUCO approves FirstEnergy’s request </w:t>
      </w:r>
      <w:r>
        <w:rPr>
          <w:szCs w:val="24"/>
        </w:rPr>
        <w:t>to adjust its program mix to customers</w:t>
      </w:r>
      <w:r w:rsidR="007A66F3">
        <w:rPr>
          <w:szCs w:val="24"/>
        </w:rPr>
        <w:t xml:space="preserve"> </w:t>
      </w:r>
      <w:r w:rsidR="001517F2">
        <w:rPr>
          <w:szCs w:val="24"/>
        </w:rPr>
        <w:t xml:space="preserve">without prior approval or input from stakeholders, </w:t>
      </w:r>
      <w:r w:rsidR="007A66F3">
        <w:rPr>
          <w:szCs w:val="24"/>
        </w:rPr>
        <w:t xml:space="preserve">then </w:t>
      </w:r>
      <w:r w:rsidRPr="004F34AF">
        <w:rPr>
          <w:szCs w:val="24"/>
        </w:rPr>
        <w:t xml:space="preserve">OCC supports </w:t>
      </w:r>
      <w:r w:rsidR="007A66F3">
        <w:rPr>
          <w:szCs w:val="24"/>
        </w:rPr>
        <w:t>a related</w:t>
      </w:r>
      <w:r w:rsidR="007A66F3" w:rsidRPr="004F34AF">
        <w:rPr>
          <w:szCs w:val="24"/>
        </w:rPr>
        <w:t xml:space="preserve"> </w:t>
      </w:r>
      <w:r w:rsidRPr="004F34AF">
        <w:rPr>
          <w:szCs w:val="24"/>
        </w:rPr>
        <w:t xml:space="preserve">PUCO Staff </w:t>
      </w:r>
      <w:r w:rsidR="00C8599E">
        <w:rPr>
          <w:szCs w:val="24"/>
        </w:rPr>
        <w:t>proposal</w:t>
      </w:r>
      <w:r w:rsidR="007A66F3">
        <w:rPr>
          <w:szCs w:val="24"/>
        </w:rPr>
        <w:t>.  T</w:t>
      </w:r>
      <w:r w:rsidRPr="004F34AF">
        <w:rPr>
          <w:szCs w:val="24"/>
        </w:rPr>
        <w:t>hat</w:t>
      </w:r>
      <w:r w:rsidR="007A66F3">
        <w:rPr>
          <w:szCs w:val="24"/>
        </w:rPr>
        <w:t xml:space="preserve"> is,</w:t>
      </w:r>
      <w:r w:rsidRPr="004F34AF">
        <w:rPr>
          <w:szCs w:val="24"/>
        </w:rPr>
        <w:t xml:space="preserve"> FirstEnergy</w:t>
      </w:r>
      <w:r w:rsidR="007A66F3">
        <w:rPr>
          <w:szCs w:val="24"/>
        </w:rPr>
        <w:t>--</w:t>
      </w:r>
      <w:r>
        <w:rPr>
          <w:szCs w:val="24"/>
        </w:rPr>
        <w:t>and not customers</w:t>
      </w:r>
      <w:r w:rsidR="007A66F3">
        <w:rPr>
          <w:szCs w:val="24"/>
        </w:rPr>
        <w:t>--</w:t>
      </w:r>
      <w:r>
        <w:rPr>
          <w:szCs w:val="24"/>
        </w:rPr>
        <w:t>should bear</w:t>
      </w:r>
      <w:r w:rsidRPr="004F34AF">
        <w:rPr>
          <w:szCs w:val="24"/>
        </w:rPr>
        <w:t xml:space="preserve"> the risk of any additional costs associated with the Utility’s adjustments to its programs.</w:t>
      </w:r>
      <w:r>
        <w:rPr>
          <w:rStyle w:val="FootnoteReference"/>
          <w:szCs w:val="24"/>
        </w:rPr>
        <w:footnoteReference w:id="13"/>
      </w:r>
      <w:r w:rsidRPr="004F34AF">
        <w:rPr>
          <w:szCs w:val="24"/>
        </w:rPr>
        <w:t xml:space="preserve">  </w:t>
      </w:r>
      <w:r w:rsidR="00C8599E">
        <w:rPr>
          <w:szCs w:val="24"/>
        </w:rPr>
        <w:t xml:space="preserve">And, </w:t>
      </w:r>
      <w:r w:rsidRPr="004F34AF">
        <w:rPr>
          <w:szCs w:val="24"/>
        </w:rPr>
        <w:t xml:space="preserve">the PUCO Staff </w:t>
      </w:r>
      <w:r w:rsidR="003538BE">
        <w:rPr>
          <w:szCs w:val="24"/>
        </w:rPr>
        <w:t xml:space="preserve">recommends </w:t>
      </w:r>
      <w:r w:rsidRPr="004F34AF">
        <w:rPr>
          <w:szCs w:val="24"/>
        </w:rPr>
        <w:t>the costs and benefits of FirstEnergy’s decisions should be “reviewable by the [PUCO</w:t>
      </w:r>
      <w:r w:rsidR="00905C12">
        <w:rPr>
          <w:szCs w:val="24"/>
        </w:rPr>
        <w:t>’s] [measurement and verification]</w:t>
      </w:r>
      <w:r w:rsidRPr="004F34AF">
        <w:rPr>
          <w:szCs w:val="24"/>
        </w:rPr>
        <w:t xml:space="preserve"> consultant through the review process that is in place at the time.”</w:t>
      </w:r>
      <w:r w:rsidRPr="004F34AF">
        <w:rPr>
          <w:rStyle w:val="FootnoteReference"/>
          <w:szCs w:val="24"/>
        </w:rPr>
        <w:footnoteReference w:id="14"/>
      </w:r>
      <w:r w:rsidRPr="004F34AF">
        <w:rPr>
          <w:szCs w:val="24"/>
        </w:rPr>
        <w:t xml:space="preserve">  </w:t>
      </w:r>
      <w:r w:rsidR="00905C12">
        <w:rPr>
          <w:szCs w:val="24"/>
        </w:rPr>
        <w:t>OCC agrees.</w:t>
      </w:r>
      <w:r w:rsidR="007A66F3">
        <w:rPr>
          <w:szCs w:val="24"/>
        </w:rPr>
        <w:t xml:space="preserve">  But we emphasize that this </w:t>
      </w:r>
      <w:r w:rsidR="007A66F3">
        <w:rPr>
          <w:szCs w:val="24"/>
        </w:rPr>
        <w:lastRenderedPageBreak/>
        <w:t xml:space="preserve">proposal is secondary </w:t>
      </w:r>
      <w:r w:rsidR="00384E85">
        <w:rPr>
          <w:szCs w:val="24"/>
        </w:rPr>
        <w:t xml:space="preserve">to our primary proposal that changing the Utility’s programs must be accomplished, to be legal under </w:t>
      </w:r>
      <w:r w:rsidR="00231B51">
        <w:rPr>
          <w:szCs w:val="24"/>
        </w:rPr>
        <w:t>uncodified Section 7 of Senate Bill 310</w:t>
      </w:r>
      <w:r w:rsidR="00384E85">
        <w:rPr>
          <w:szCs w:val="24"/>
        </w:rPr>
        <w:t xml:space="preserve">, in a process that includes a PUCO decision. </w:t>
      </w:r>
      <w:r w:rsidR="00905C12">
        <w:rPr>
          <w:szCs w:val="24"/>
        </w:rPr>
        <w:t xml:space="preserve">  </w:t>
      </w:r>
    </w:p>
    <w:p w:rsidR="009811A4" w:rsidRPr="004F34AF" w:rsidRDefault="009811A4" w:rsidP="009811A4">
      <w:pPr>
        <w:spacing w:line="480" w:lineRule="auto"/>
        <w:ind w:firstLine="720"/>
        <w:rPr>
          <w:szCs w:val="24"/>
        </w:rPr>
      </w:pPr>
      <w:r>
        <w:rPr>
          <w:szCs w:val="24"/>
        </w:rPr>
        <w:t>The PUCO should protect customers from incurring unnecessary costs that are the direct result of FirstEnergy’s decisions</w:t>
      </w:r>
      <w:r w:rsidR="000F110C">
        <w:rPr>
          <w:szCs w:val="24"/>
        </w:rPr>
        <w:t xml:space="preserve"> to suspend and resurrect energy efficiency programs</w:t>
      </w:r>
      <w:r>
        <w:rPr>
          <w:szCs w:val="24"/>
        </w:rPr>
        <w:t>.</w:t>
      </w:r>
      <w:r w:rsidR="00384E85">
        <w:rPr>
          <w:szCs w:val="24"/>
        </w:rPr>
        <w:t xml:space="preserve">  But mainly the PUCO should follow the law and provide for a PUCO process for stakeholders and PUCO approval of any energy efficiency program changes.</w:t>
      </w:r>
    </w:p>
    <w:p w:rsidR="009811A4" w:rsidRDefault="00C775A4" w:rsidP="00C775A4">
      <w:pPr>
        <w:pStyle w:val="Heading2"/>
      </w:pPr>
      <w:r>
        <w:t>B.</w:t>
      </w:r>
      <w:r>
        <w:tab/>
      </w:r>
      <w:r w:rsidRPr="006E1035">
        <w:t xml:space="preserve">The </w:t>
      </w:r>
      <w:r w:rsidR="009811A4" w:rsidRPr="006E1035">
        <w:t xml:space="preserve">PUCO </w:t>
      </w:r>
      <w:r w:rsidR="00F75E83">
        <w:t xml:space="preserve">Should Adopt Its </w:t>
      </w:r>
      <w:r w:rsidR="009811A4" w:rsidRPr="006E1035">
        <w:t xml:space="preserve">Staff’s Position </w:t>
      </w:r>
      <w:r w:rsidRPr="006E1035">
        <w:t>That First</w:t>
      </w:r>
      <w:r w:rsidR="0069361D">
        <w:t>E</w:t>
      </w:r>
      <w:r w:rsidRPr="006E1035">
        <w:t xml:space="preserve">nergy </w:t>
      </w:r>
      <w:r w:rsidR="009811A4" w:rsidRPr="006E1035">
        <w:t xml:space="preserve">Should Not </w:t>
      </w:r>
      <w:r w:rsidRPr="006E1035">
        <w:t xml:space="preserve">Be </w:t>
      </w:r>
      <w:r w:rsidR="009811A4" w:rsidRPr="006E1035">
        <w:t xml:space="preserve">Financially Rewarded </w:t>
      </w:r>
      <w:r w:rsidRPr="006E1035">
        <w:t xml:space="preserve">If </w:t>
      </w:r>
      <w:r>
        <w:t xml:space="preserve">The </w:t>
      </w:r>
      <w:r w:rsidR="00B5620B">
        <w:t xml:space="preserve">Utility </w:t>
      </w:r>
      <w:r>
        <w:t>Is</w:t>
      </w:r>
      <w:r w:rsidRPr="006E1035">
        <w:t xml:space="preserve"> </w:t>
      </w:r>
      <w:r w:rsidR="009811A4" w:rsidRPr="006E1035">
        <w:t xml:space="preserve">Not Actively Influencing Customers </w:t>
      </w:r>
      <w:r w:rsidRPr="006E1035">
        <w:t xml:space="preserve">To </w:t>
      </w:r>
      <w:r w:rsidR="009811A4" w:rsidRPr="006E1035">
        <w:t xml:space="preserve">Invest In </w:t>
      </w:r>
      <w:r w:rsidRPr="006E1035">
        <w:t>A</w:t>
      </w:r>
      <w:r>
        <w:t xml:space="preserve">nd </w:t>
      </w:r>
      <w:r w:rsidR="00473B46">
        <w:t>Implement Energy Efficiency P</w:t>
      </w:r>
      <w:r w:rsidR="009811A4" w:rsidRPr="006E1035">
        <w:t>rograms</w:t>
      </w:r>
      <w:r w:rsidRPr="006E1035">
        <w:t>.</w:t>
      </w:r>
    </w:p>
    <w:p w:rsidR="009811A4" w:rsidRDefault="009811A4" w:rsidP="009811A4">
      <w:pPr>
        <w:spacing w:line="480" w:lineRule="auto"/>
        <w:ind w:firstLine="720"/>
        <w:rPr>
          <w:szCs w:val="24"/>
        </w:rPr>
      </w:pPr>
      <w:r w:rsidRPr="001D0AF9">
        <w:rPr>
          <w:szCs w:val="24"/>
        </w:rPr>
        <w:t xml:space="preserve">The PUCO Staff </w:t>
      </w:r>
      <w:r w:rsidR="000A2F3D">
        <w:rPr>
          <w:szCs w:val="24"/>
        </w:rPr>
        <w:t xml:space="preserve">described </w:t>
      </w:r>
      <w:r w:rsidR="000A2F3D" w:rsidRPr="001D0AF9">
        <w:rPr>
          <w:szCs w:val="24"/>
        </w:rPr>
        <w:t>the</w:t>
      </w:r>
      <w:r w:rsidRPr="001D0AF9">
        <w:rPr>
          <w:szCs w:val="24"/>
        </w:rPr>
        <w:t xml:space="preserve"> programs FirstEnergy proposed to retain </w:t>
      </w:r>
      <w:r w:rsidR="00C8599E" w:rsidRPr="001D0AF9">
        <w:rPr>
          <w:szCs w:val="24"/>
        </w:rPr>
        <w:t>a</w:t>
      </w:r>
      <w:r w:rsidR="00C8599E">
        <w:rPr>
          <w:szCs w:val="24"/>
        </w:rPr>
        <w:t xml:space="preserve">s </w:t>
      </w:r>
      <w:r w:rsidRPr="001D0AF9">
        <w:rPr>
          <w:szCs w:val="24"/>
        </w:rPr>
        <w:t>“passive in nature.”</w:t>
      </w:r>
      <w:r w:rsidRPr="001D0AF9">
        <w:rPr>
          <w:rStyle w:val="FootnoteReference"/>
          <w:szCs w:val="24"/>
        </w:rPr>
        <w:footnoteReference w:id="15"/>
      </w:r>
      <w:r w:rsidRPr="001D0AF9">
        <w:rPr>
          <w:szCs w:val="24"/>
        </w:rPr>
        <w:t xml:space="preserve">  </w:t>
      </w:r>
      <w:r w:rsidR="00CC5418">
        <w:rPr>
          <w:szCs w:val="24"/>
        </w:rPr>
        <w:t>A</w:t>
      </w:r>
      <w:r w:rsidRPr="001D0AF9">
        <w:rPr>
          <w:szCs w:val="24"/>
        </w:rPr>
        <w:t xml:space="preserve"> utility’s energy efficiency mechanism should reward the utility for the savings for customers that the utility actively generates through the design and implementation of its programs.</w:t>
      </w:r>
      <w:r w:rsidRPr="001D0AF9">
        <w:rPr>
          <w:rStyle w:val="FootnoteReference"/>
          <w:szCs w:val="24"/>
        </w:rPr>
        <w:footnoteReference w:id="16"/>
      </w:r>
      <w:r w:rsidRPr="001D0AF9">
        <w:rPr>
          <w:szCs w:val="24"/>
        </w:rPr>
        <w:t xml:space="preserve">  But the majority of the programs FirstEnergy proposed to retain (and the new programs FirstEnergy proposed) do not actively influence customers to implement energy efficiency.</w:t>
      </w:r>
      <w:r w:rsidRPr="001D0AF9">
        <w:rPr>
          <w:rStyle w:val="FootnoteReference"/>
          <w:szCs w:val="24"/>
        </w:rPr>
        <w:footnoteReference w:id="17"/>
      </w:r>
      <w:r w:rsidRPr="001D0AF9">
        <w:rPr>
          <w:szCs w:val="24"/>
        </w:rPr>
        <w:t xml:space="preserve">  </w:t>
      </w:r>
      <w:r>
        <w:rPr>
          <w:szCs w:val="24"/>
        </w:rPr>
        <w:t>O</w:t>
      </w:r>
      <w:r w:rsidR="00CC5418">
        <w:rPr>
          <w:szCs w:val="24"/>
        </w:rPr>
        <w:t>hio Partners f</w:t>
      </w:r>
      <w:r>
        <w:rPr>
          <w:szCs w:val="24"/>
        </w:rPr>
        <w:t xml:space="preserve">or Affordable Energy </w:t>
      </w:r>
      <w:r w:rsidR="00F75E83">
        <w:rPr>
          <w:szCs w:val="24"/>
        </w:rPr>
        <w:t xml:space="preserve">stated </w:t>
      </w:r>
      <w:r>
        <w:rPr>
          <w:szCs w:val="24"/>
        </w:rPr>
        <w:t>that “[i</w:t>
      </w:r>
      <w:r w:rsidR="00CC5418">
        <w:rPr>
          <w:szCs w:val="24"/>
        </w:rPr>
        <w:t>]</w:t>
      </w:r>
      <w:r>
        <w:rPr>
          <w:szCs w:val="24"/>
        </w:rPr>
        <w:t>t would be ironic for a revised portfolio to tax customer actions that the utility has nothing to do with.”</w:t>
      </w:r>
      <w:r>
        <w:rPr>
          <w:rStyle w:val="FootnoteReference"/>
          <w:szCs w:val="24"/>
        </w:rPr>
        <w:footnoteReference w:id="18"/>
      </w:r>
      <w:r>
        <w:rPr>
          <w:szCs w:val="24"/>
        </w:rPr>
        <w:t xml:space="preserve">  OCC agrees.</w:t>
      </w:r>
    </w:p>
    <w:p w:rsidR="009811A4" w:rsidRDefault="00F75E83" w:rsidP="009811A4">
      <w:pPr>
        <w:spacing w:line="480" w:lineRule="auto"/>
        <w:ind w:firstLine="720"/>
        <w:rPr>
          <w:szCs w:val="24"/>
        </w:rPr>
      </w:pPr>
      <w:r>
        <w:rPr>
          <w:szCs w:val="24"/>
        </w:rPr>
        <w:t>A</w:t>
      </w:r>
      <w:r w:rsidR="009811A4">
        <w:rPr>
          <w:szCs w:val="24"/>
        </w:rPr>
        <w:t xml:space="preserve"> shared savings mechanism should encourage energy efficiency and reward exemplary </w:t>
      </w:r>
      <w:r>
        <w:rPr>
          <w:szCs w:val="24"/>
        </w:rPr>
        <w:t xml:space="preserve">utility </w:t>
      </w:r>
      <w:r w:rsidR="009811A4">
        <w:rPr>
          <w:szCs w:val="24"/>
        </w:rPr>
        <w:t>performance to provide benefits to customers.</w:t>
      </w:r>
      <w:r w:rsidR="004E5AF8">
        <w:rPr>
          <w:rStyle w:val="FootnoteReference"/>
          <w:szCs w:val="24"/>
        </w:rPr>
        <w:footnoteReference w:id="19"/>
      </w:r>
      <w:r w:rsidR="009811A4">
        <w:rPr>
          <w:szCs w:val="24"/>
        </w:rPr>
        <w:t xml:space="preserve">  </w:t>
      </w:r>
      <w:r w:rsidR="009811A4" w:rsidRPr="001D0AF9">
        <w:rPr>
          <w:szCs w:val="24"/>
        </w:rPr>
        <w:t>FirstEnergy propos</w:t>
      </w:r>
      <w:r>
        <w:rPr>
          <w:szCs w:val="24"/>
        </w:rPr>
        <w:t>es</w:t>
      </w:r>
      <w:r w:rsidR="009811A4" w:rsidRPr="001D0AF9">
        <w:rPr>
          <w:szCs w:val="24"/>
        </w:rPr>
        <w:t xml:space="preserve"> to suspend the maj</w:t>
      </w:r>
      <w:r w:rsidR="009811A4">
        <w:rPr>
          <w:szCs w:val="24"/>
        </w:rPr>
        <w:t>ority of its</w:t>
      </w:r>
      <w:r>
        <w:rPr>
          <w:szCs w:val="24"/>
        </w:rPr>
        <w:t xml:space="preserve"> energy efficiency</w:t>
      </w:r>
      <w:r w:rsidR="009811A4">
        <w:rPr>
          <w:szCs w:val="24"/>
        </w:rPr>
        <w:t xml:space="preserve"> programs</w:t>
      </w:r>
      <w:r w:rsidR="009811A4" w:rsidRPr="001D0AF9">
        <w:rPr>
          <w:szCs w:val="24"/>
        </w:rPr>
        <w:t xml:space="preserve">. </w:t>
      </w:r>
      <w:r>
        <w:rPr>
          <w:szCs w:val="24"/>
        </w:rPr>
        <w:t>T</w:t>
      </w:r>
      <w:r w:rsidR="009811A4" w:rsidRPr="001D0AF9">
        <w:rPr>
          <w:szCs w:val="24"/>
        </w:rPr>
        <w:t>he</w:t>
      </w:r>
      <w:r>
        <w:rPr>
          <w:szCs w:val="24"/>
        </w:rPr>
        <w:t xml:space="preserve"> PUCO should not permit FirstEnergy to charge customers for shared savings, based on the remaining</w:t>
      </w:r>
      <w:r w:rsidR="009811A4" w:rsidRPr="001D0AF9">
        <w:rPr>
          <w:szCs w:val="24"/>
        </w:rPr>
        <w:t xml:space="preserve"> programs </w:t>
      </w:r>
      <w:r w:rsidR="004E5AF8">
        <w:rPr>
          <w:szCs w:val="24"/>
        </w:rPr>
        <w:t>the Utility has proposed in it</w:t>
      </w:r>
      <w:r w:rsidR="0069361D">
        <w:rPr>
          <w:szCs w:val="24"/>
        </w:rPr>
        <w:t>s</w:t>
      </w:r>
      <w:r w:rsidR="004E5AF8">
        <w:rPr>
          <w:szCs w:val="24"/>
        </w:rPr>
        <w:t xml:space="preserve"> </w:t>
      </w:r>
      <w:r w:rsidR="009811A4" w:rsidRPr="001D0AF9">
        <w:rPr>
          <w:szCs w:val="24"/>
        </w:rPr>
        <w:t>Application.</w:t>
      </w:r>
      <w:r w:rsidR="009811A4">
        <w:rPr>
          <w:szCs w:val="24"/>
        </w:rPr>
        <w:t xml:space="preserve">  FirstEnergy should not be financially rewarded (and customers should not be charged) for energy efficiency programs that do not actively </w:t>
      </w:r>
      <w:r w:rsidR="008B5007">
        <w:rPr>
          <w:szCs w:val="24"/>
        </w:rPr>
        <w:t xml:space="preserve">incent </w:t>
      </w:r>
      <w:r w:rsidR="009811A4">
        <w:rPr>
          <w:szCs w:val="24"/>
        </w:rPr>
        <w:t>customers to implement energy efficiency.</w:t>
      </w:r>
      <w:r w:rsidR="00CC5418">
        <w:rPr>
          <w:szCs w:val="24"/>
        </w:rPr>
        <w:t xml:space="preserve">  It would be</w:t>
      </w:r>
      <w:r>
        <w:rPr>
          <w:szCs w:val="24"/>
        </w:rPr>
        <w:t xml:space="preserve"> a bad result for 1.9 million consumers and</w:t>
      </w:r>
      <w:r w:rsidR="00CC5418">
        <w:rPr>
          <w:szCs w:val="24"/>
        </w:rPr>
        <w:t xml:space="preserve"> bad precedent </w:t>
      </w:r>
      <w:r w:rsidR="004E5AF8">
        <w:rPr>
          <w:szCs w:val="24"/>
        </w:rPr>
        <w:t xml:space="preserve">for the PUCO </w:t>
      </w:r>
      <w:r w:rsidR="00CC5418">
        <w:rPr>
          <w:szCs w:val="24"/>
        </w:rPr>
        <w:t>to allow a utility to charge customers for energy efficiency measures that the utility has little</w:t>
      </w:r>
      <w:r w:rsidR="004E5AF8">
        <w:rPr>
          <w:szCs w:val="24"/>
        </w:rPr>
        <w:t xml:space="preserve"> (or nothing)</w:t>
      </w:r>
      <w:r w:rsidR="00CC5418">
        <w:rPr>
          <w:szCs w:val="24"/>
        </w:rPr>
        <w:t xml:space="preserve"> to do with.</w:t>
      </w:r>
    </w:p>
    <w:p w:rsidR="00400660" w:rsidRDefault="00C775A4" w:rsidP="00C775A4">
      <w:pPr>
        <w:pStyle w:val="Heading2"/>
      </w:pPr>
      <w:r>
        <w:t>C.</w:t>
      </w:r>
      <w:r>
        <w:tab/>
      </w:r>
      <w:r w:rsidRPr="007F0BD5">
        <w:t>First</w:t>
      </w:r>
      <w:r w:rsidR="0069361D">
        <w:t>E</w:t>
      </w:r>
      <w:r w:rsidRPr="007F0BD5">
        <w:t xml:space="preserve">nergy </w:t>
      </w:r>
      <w:r w:rsidR="007F0BD5" w:rsidRPr="007F0BD5">
        <w:t xml:space="preserve">Should Be </w:t>
      </w:r>
      <w:r w:rsidR="00062084">
        <w:t>Prohibited From</w:t>
      </w:r>
      <w:r w:rsidRPr="007F0BD5">
        <w:t xml:space="preserve"> </w:t>
      </w:r>
      <w:r w:rsidR="007F0BD5" w:rsidRPr="007F0BD5">
        <w:t>Charg</w:t>
      </w:r>
      <w:r w:rsidR="00062084">
        <w:t>ing</w:t>
      </w:r>
      <w:r w:rsidR="007F0BD5" w:rsidRPr="007F0BD5">
        <w:t xml:space="preserve"> Customers </w:t>
      </w:r>
      <w:r w:rsidRPr="007F0BD5">
        <w:t xml:space="preserve">For </w:t>
      </w:r>
      <w:r w:rsidR="007F0BD5" w:rsidRPr="007F0BD5">
        <w:t xml:space="preserve">Shared Savings </w:t>
      </w:r>
      <w:r w:rsidRPr="007F0BD5">
        <w:t>(</w:t>
      </w:r>
      <w:r w:rsidR="007F0BD5" w:rsidRPr="007F0BD5">
        <w:t>Profits</w:t>
      </w:r>
      <w:r w:rsidRPr="007F0BD5">
        <w:t xml:space="preserve">) </w:t>
      </w:r>
      <w:r w:rsidR="007F0BD5" w:rsidRPr="007F0BD5">
        <w:t xml:space="preserve">Resulting From </w:t>
      </w:r>
      <w:r w:rsidRPr="007F0BD5">
        <w:t xml:space="preserve">The </w:t>
      </w:r>
      <w:r w:rsidR="007F0BD5" w:rsidRPr="007F0BD5">
        <w:t xml:space="preserve">Residential Low Income Program </w:t>
      </w:r>
      <w:r w:rsidRPr="007F0BD5">
        <w:t xml:space="preserve">And </w:t>
      </w:r>
      <w:r w:rsidR="00613E11">
        <w:t xml:space="preserve">The </w:t>
      </w:r>
      <w:r w:rsidR="007F0BD5" w:rsidRPr="007F0BD5">
        <w:t>Residential Direct Load Control Program</w:t>
      </w:r>
      <w:r w:rsidRPr="007F0BD5">
        <w:t>.</w:t>
      </w:r>
    </w:p>
    <w:p w:rsidR="007F0BD5" w:rsidRDefault="00400660" w:rsidP="00400660">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PUCO </w:t>
      </w:r>
      <w:r w:rsidRPr="00400660">
        <w:rPr>
          <w:rFonts w:ascii="Times New Roman" w:hAnsi="Times New Roman" w:cs="Times New Roman"/>
          <w:sz w:val="24"/>
          <w:szCs w:val="24"/>
        </w:rPr>
        <w:t>Staff recommends that “only the Residential Low Income Program and Residential Direct Load Control Program be eligible for shared savings.”</w:t>
      </w:r>
      <w:r w:rsidR="007F0BD5">
        <w:rPr>
          <w:rStyle w:val="FootnoteReference"/>
          <w:rFonts w:ascii="Times New Roman" w:hAnsi="Times New Roman" w:cs="Times New Roman"/>
          <w:sz w:val="24"/>
          <w:szCs w:val="24"/>
        </w:rPr>
        <w:footnoteReference w:id="20"/>
      </w:r>
      <w:r w:rsidRPr="00400660">
        <w:rPr>
          <w:rFonts w:ascii="Times New Roman" w:hAnsi="Times New Roman" w:cs="Times New Roman"/>
          <w:sz w:val="24"/>
          <w:szCs w:val="24"/>
        </w:rPr>
        <w:t xml:space="preserve">  OCC </w:t>
      </w:r>
      <w:r w:rsidR="00062084">
        <w:rPr>
          <w:rFonts w:ascii="Times New Roman" w:hAnsi="Times New Roman" w:cs="Times New Roman"/>
          <w:sz w:val="24"/>
          <w:szCs w:val="24"/>
        </w:rPr>
        <w:t xml:space="preserve">does </w:t>
      </w:r>
      <w:r w:rsidRPr="00400660">
        <w:rPr>
          <w:rFonts w:ascii="Times New Roman" w:hAnsi="Times New Roman" w:cs="Times New Roman"/>
          <w:sz w:val="24"/>
          <w:szCs w:val="24"/>
        </w:rPr>
        <w:t xml:space="preserve">appreciate </w:t>
      </w:r>
      <w:r w:rsidR="007F0BD5">
        <w:rPr>
          <w:rFonts w:ascii="Times New Roman" w:hAnsi="Times New Roman" w:cs="Times New Roman"/>
          <w:sz w:val="24"/>
          <w:szCs w:val="24"/>
        </w:rPr>
        <w:t xml:space="preserve">the </w:t>
      </w:r>
      <w:r w:rsidRPr="00400660">
        <w:rPr>
          <w:rFonts w:ascii="Times New Roman" w:hAnsi="Times New Roman" w:cs="Times New Roman"/>
          <w:sz w:val="24"/>
          <w:szCs w:val="24"/>
        </w:rPr>
        <w:t>Staff’s position that all of the other programs</w:t>
      </w:r>
      <w:r w:rsidR="007F0BD5">
        <w:rPr>
          <w:rFonts w:ascii="Times New Roman" w:hAnsi="Times New Roman" w:cs="Times New Roman"/>
          <w:sz w:val="24"/>
          <w:szCs w:val="24"/>
        </w:rPr>
        <w:t xml:space="preserve"> FirstEnergy included in its Amended Plan</w:t>
      </w:r>
      <w:r w:rsidRPr="00400660">
        <w:rPr>
          <w:rFonts w:ascii="Times New Roman" w:hAnsi="Times New Roman" w:cs="Times New Roman"/>
          <w:sz w:val="24"/>
          <w:szCs w:val="24"/>
        </w:rPr>
        <w:t xml:space="preserve"> should not be eligible for shared savings</w:t>
      </w:r>
      <w:r w:rsidR="00062084">
        <w:rPr>
          <w:rFonts w:ascii="Times New Roman" w:hAnsi="Times New Roman" w:cs="Times New Roman"/>
          <w:sz w:val="24"/>
          <w:szCs w:val="24"/>
        </w:rPr>
        <w:t>.</w:t>
      </w:r>
      <w:r w:rsidR="007F0BD5">
        <w:rPr>
          <w:rStyle w:val="FootnoteReference"/>
          <w:rFonts w:ascii="Times New Roman" w:hAnsi="Times New Roman" w:cs="Times New Roman"/>
          <w:sz w:val="24"/>
          <w:szCs w:val="24"/>
        </w:rPr>
        <w:footnoteReference w:id="21"/>
      </w:r>
      <w:r w:rsidRPr="00400660">
        <w:rPr>
          <w:rFonts w:ascii="Times New Roman" w:hAnsi="Times New Roman" w:cs="Times New Roman"/>
          <w:sz w:val="24"/>
          <w:szCs w:val="24"/>
        </w:rPr>
        <w:t xml:space="preserve"> </w:t>
      </w:r>
      <w:r w:rsidR="00062084">
        <w:rPr>
          <w:rFonts w:ascii="Times New Roman" w:hAnsi="Times New Roman" w:cs="Times New Roman"/>
          <w:sz w:val="24"/>
          <w:szCs w:val="24"/>
        </w:rPr>
        <w:t xml:space="preserve">But </w:t>
      </w:r>
      <w:r w:rsidRPr="00400660">
        <w:rPr>
          <w:rFonts w:ascii="Times New Roman" w:hAnsi="Times New Roman" w:cs="Times New Roman"/>
          <w:sz w:val="24"/>
          <w:szCs w:val="24"/>
        </w:rPr>
        <w:t xml:space="preserve">the </w:t>
      </w:r>
      <w:r w:rsidR="007F0BD5" w:rsidRPr="00400660">
        <w:rPr>
          <w:rFonts w:ascii="Times New Roman" w:hAnsi="Times New Roman" w:cs="Times New Roman"/>
          <w:sz w:val="24"/>
          <w:szCs w:val="24"/>
        </w:rPr>
        <w:t xml:space="preserve">Residential Low Income Program and Residential Direct Load Control Program </w:t>
      </w:r>
      <w:r w:rsidR="004F7E2D">
        <w:rPr>
          <w:rFonts w:ascii="Times New Roman" w:hAnsi="Times New Roman" w:cs="Times New Roman"/>
          <w:sz w:val="24"/>
          <w:szCs w:val="24"/>
        </w:rPr>
        <w:t xml:space="preserve">also </w:t>
      </w:r>
      <w:r w:rsidRPr="00400660">
        <w:rPr>
          <w:rFonts w:ascii="Times New Roman" w:hAnsi="Times New Roman" w:cs="Times New Roman"/>
          <w:sz w:val="24"/>
          <w:szCs w:val="24"/>
        </w:rPr>
        <w:t xml:space="preserve">should be </w:t>
      </w:r>
      <w:r w:rsidR="00062084">
        <w:rPr>
          <w:rFonts w:ascii="Times New Roman" w:hAnsi="Times New Roman" w:cs="Times New Roman"/>
          <w:sz w:val="24"/>
          <w:szCs w:val="24"/>
        </w:rPr>
        <w:t>in</w:t>
      </w:r>
      <w:r w:rsidRPr="00400660">
        <w:rPr>
          <w:rFonts w:ascii="Times New Roman" w:hAnsi="Times New Roman" w:cs="Times New Roman"/>
          <w:sz w:val="24"/>
          <w:szCs w:val="24"/>
        </w:rPr>
        <w:t>eligible</w:t>
      </w:r>
      <w:r w:rsidR="007F0BD5">
        <w:rPr>
          <w:rFonts w:ascii="Times New Roman" w:hAnsi="Times New Roman" w:cs="Times New Roman"/>
          <w:sz w:val="24"/>
          <w:szCs w:val="24"/>
        </w:rPr>
        <w:t xml:space="preserve"> for shared savings</w:t>
      </w:r>
      <w:r w:rsidRPr="00400660">
        <w:rPr>
          <w:rFonts w:ascii="Times New Roman" w:hAnsi="Times New Roman" w:cs="Times New Roman"/>
          <w:sz w:val="24"/>
          <w:szCs w:val="24"/>
        </w:rPr>
        <w:t xml:space="preserve">. </w:t>
      </w:r>
    </w:p>
    <w:p w:rsidR="00062084" w:rsidRDefault="00E3755C" w:rsidP="00400660">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First, r</w:t>
      </w:r>
      <w:r w:rsidR="00400660" w:rsidRPr="00400660">
        <w:rPr>
          <w:rFonts w:ascii="Times New Roman" w:hAnsi="Times New Roman" w:cs="Times New Roman"/>
          <w:sz w:val="24"/>
          <w:szCs w:val="24"/>
        </w:rPr>
        <w:t xml:space="preserve">esidential low income programs offered by Ohio utilities </w:t>
      </w:r>
      <w:r w:rsidR="007F0BD5">
        <w:rPr>
          <w:rFonts w:ascii="Times New Roman" w:hAnsi="Times New Roman" w:cs="Times New Roman"/>
          <w:sz w:val="24"/>
          <w:szCs w:val="24"/>
        </w:rPr>
        <w:t>have not been demonstrated</w:t>
      </w:r>
      <w:r w:rsidR="00400660" w:rsidRPr="00400660">
        <w:rPr>
          <w:rFonts w:ascii="Times New Roman" w:hAnsi="Times New Roman" w:cs="Times New Roman"/>
          <w:sz w:val="24"/>
          <w:szCs w:val="24"/>
        </w:rPr>
        <w:t xml:space="preserve"> to be cost-effective on their own.</w:t>
      </w:r>
      <w:r w:rsidR="007F0BD5">
        <w:rPr>
          <w:rStyle w:val="FootnoteReference"/>
          <w:rFonts w:ascii="Times New Roman" w:hAnsi="Times New Roman" w:cs="Times New Roman"/>
          <w:sz w:val="24"/>
          <w:szCs w:val="24"/>
        </w:rPr>
        <w:footnoteReference w:id="22"/>
      </w:r>
      <w:r w:rsidR="00400660" w:rsidRPr="00400660">
        <w:rPr>
          <w:rFonts w:ascii="Times New Roman" w:hAnsi="Times New Roman" w:cs="Times New Roman"/>
          <w:sz w:val="24"/>
          <w:szCs w:val="24"/>
        </w:rPr>
        <w:t xml:space="preserve">  </w:t>
      </w:r>
      <w:r w:rsidR="000261A3">
        <w:rPr>
          <w:rFonts w:ascii="Times New Roman" w:hAnsi="Times New Roman" w:cs="Times New Roman"/>
          <w:sz w:val="24"/>
          <w:szCs w:val="24"/>
        </w:rPr>
        <w:t>And, s</w:t>
      </w:r>
      <w:r w:rsidR="00100432">
        <w:rPr>
          <w:rFonts w:ascii="Times New Roman" w:hAnsi="Times New Roman" w:cs="Times New Roman"/>
          <w:sz w:val="24"/>
          <w:szCs w:val="24"/>
        </w:rPr>
        <w:t>econd, t</w:t>
      </w:r>
      <w:r w:rsidR="00C8599E" w:rsidRPr="00400660">
        <w:rPr>
          <w:rFonts w:ascii="Times New Roman" w:hAnsi="Times New Roman" w:cs="Times New Roman"/>
          <w:sz w:val="24"/>
          <w:szCs w:val="24"/>
        </w:rPr>
        <w:t>he</w:t>
      </w:r>
      <w:r w:rsidR="00062084">
        <w:rPr>
          <w:rFonts w:ascii="Times New Roman" w:hAnsi="Times New Roman" w:cs="Times New Roman"/>
          <w:sz w:val="24"/>
          <w:szCs w:val="24"/>
        </w:rPr>
        <w:t xml:space="preserve"> newly proposed</w:t>
      </w:r>
      <w:r w:rsidR="00C8599E" w:rsidRPr="00400660">
        <w:rPr>
          <w:rFonts w:ascii="Times New Roman" w:hAnsi="Times New Roman" w:cs="Times New Roman"/>
          <w:sz w:val="24"/>
          <w:szCs w:val="24"/>
        </w:rPr>
        <w:t xml:space="preserve"> Residential Direct Load Control Program</w:t>
      </w:r>
      <w:r w:rsidR="00062084">
        <w:rPr>
          <w:rFonts w:ascii="Times New Roman" w:hAnsi="Times New Roman" w:cs="Times New Roman"/>
          <w:sz w:val="24"/>
          <w:szCs w:val="24"/>
        </w:rPr>
        <w:t xml:space="preserve"> is a prime example of a program that does not warrant charging Ohio consumers for utility profit (in the form of shared savings). </w:t>
      </w:r>
      <w:r w:rsidR="00C8599E" w:rsidRPr="00400660">
        <w:rPr>
          <w:rFonts w:ascii="Times New Roman" w:hAnsi="Times New Roman" w:cs="Times New Roman"/>
          <w:sz w:val="24"/>
          <w:szCs w:val="24"/>
        </w:rPr>
        <w:t xml:space="preserve"> </w:t>
      </w:r>
      <w:r w:rsidR="00062084">
        <w:rPr>
          <w:rFonts w:ascii="Times New Roman" w:hAnsi="Times New Roman" w:cs="Times New Roman"/>
          <w:sz w:val="24"/>
          <w:szCs w:val="24"/>
        </w:rPr>
        <w:t>T</w:t>
      </w:r>
      <w:r w:rsidR="00C8599E" w:rsidRPr="00400660">
        <w:rPr>
          <w:rFonts w:ascii="Times New Roman" w:hAnsi="Times New Roman" w:cs="Times New Roman"/>
          <w:sz w:val="24"/>
          <w:szCs w:val="24"/>
        </w:rPr>
        <w:t>her</w:t>
      </w:r>
      <w:r w:rsidR="00C8599E">
        <w:rPr>
          <w:rFonts w:ascii="Times New Roman" w:hAnsi="Times New Roman" w:cs="Times New Roman"/>
          <w:sz w:val="24"/>
          <w:szCs w:val="24"/>
        </w:rPr>
        <w:t>e are no permanent, persistent capacity</w:t>
      </w:r>
      <w:r w:rsidR="00C8599E" w:rsidRPr="00400660">
        <w:rPr>
          <w:rFonts w:ascii="Times New Roman" w:hAnsi="Times New Roman" w:cs="Times New Roman"/>
          <w:sz w:val="24"/>
          <w:szCs w:val="24"/>
        </w:rPr>
        <w:t xml:space="preserve"> reductions</w:t>
      </w:r>
      <w:r w:rsidR="00C8599E">
        <w:rPr>
          <w:rFonts w:ascii="Times New Roman" w:hAnsi="Times New Roman" w:cs="Times New Roman"/>
          <w:sz w:val="24"/>
          <w:szCs w:val="24"/>
        </w:rPr>
        <w:t xml:space="preserve"> (savings)</w:t>
      </w:r>
      <w:r w:rsidR="00C8599E" w:rsidRPr="00400660">
        <w:rPr>
          <w:rFonts w:ascii="Times New Roman" w:hAnsi="Times New Roman" w:cs="Times New Roman"/>
          <w:sz w:val="24"/>
          <w:szCs w:val="24"/>
        </w:rPr>
        <w:t xml:space="preserve"> achieved from this program. The load control program </w:t>
      </w:r>
      <w:r w:rsidR="00C8599E">
        <w:rPr>
          <w:rFonts w:ascii="Times New Roman" w:hAnsi="Times New Roman" w:cs="Times New Roman"/>
          <w:sz w:val="24"/>
          <w:szCs w:val="24"/>
        </w:rPr>
        <w:t xml:space="preserve">does </w:t>
      </w:r>
      <w:r w:rsidR="00C8599E" w:rsidRPr="00400660">
        <w:rPr>
          <w:rFonts w:ascii="Times New Roman" w:hAnsi="Times New Roman" w:cs="Times New Roman"/>
          <w:sz w:val="24"/>
          <w:szCs w:val="24"/>
        </w:rPr>
        <w:t>result in a temporary peak demand reduct</w:t>
      </w:r>
      <w:r w:rsidR="00C8599E">
        <w:rPr>
          <w:rFonts w:ascii="Times New Roman" w:hAnsi="Times New Roman" w:cs="Times New Roman"/>
          <w:sz w:val="24"/>
          <w:szCs w:val="24"/>
        </w:rPr>
        <w:t>ion, which is a valuable customer-sited capacity resource. However, the load control is at the Utility’s discretion (</w:t>
      </w:r>
      <w:r w:rsidR="00C8599E" w:rsidRPr="00400660">
        <w:rPr>
          <w:rFonts w:ascii="Times New Roman" w:hAnsi="Times New Roman" w:cs="Times New Roman"/>
          <w:sz w:val="24"/>
          <w:szCs w:val="24"/>
        </w:rPr>
        <w:t>i.e.</w:t>
      </w:r>
      <w:r w:rsidR="00C8599E">
        <w:rPr>
          <w:rFonts w:ascii="Times New Roman" w:hAnsi="Times New Roman" w:cs="Times New Roman"/>
          <w:sz w:val="24"/>
          <w:szCs w:val="24"/>
        </w:rPr>
        <w:t>, only when the U</w:t>
      </w:r>
      <w:r w:rsidR="00C8599E" w:rsidRPr="00400660">
        <w:rPr>
          <w:rFonts w:ascii="Times New Roman" w:hAnsi="Times New Roman" w:cs="Times New Roman"/>
          <w:sz w:val="24"/>
          <w:szCs w:val="24"/>
        </w:rPr>
        <w:t>tility decides to utilize the load control mechanism</w:t>
      </w:r>
      <w:r w:rsidR="008B5007">
        <w:rPr>
          <w:rFonts w:ascii="Times New Roman" w:hAnsi="Times New Roman" w:cs="Times New Roman"/>
          <w:sz w:val="24"/>
          <w:szCs w:val="24"/>
        </w:rPr>
        <w:t>)</w:t>
      </w:r>
      <w:r w:rsidR="00C8599E" w:rsidRPr="00400660">
        <w:rPr>
          <w:rFonts w:ascii="Times New Roman" w:hAnsi="Times New Roman" w:cs="Times New Roman"/>
          <w:sz w:val="24"/>
          <w:szCs w:val="24"/>
        </w:rPr>
        <w:t xml:space="preserve">. Therefore, residential customers receive no </w:t>
      </w:r>
      <w:r w:rsidR="00C8599E">
        <w:rPr>
          <w:rFonts w:ascii="Times New Roman" w:hAnsi="Times New Roman" w:cs="Times New Roman"/>
          <w:sz w:val="24"/>
          <w:szCs w:val="24"/>
        </w:rPr>
        <w:t xml:space="preserve">permanent reduction in capacity, and no permanent energy savings, </w:t>
      </w:r>
      <w:r w:rsidR="00C8599E" w:rsidRPr="00400660">
        <w:rPr>
          <w:rFonts w:ascii="Times New Roman" w:hAnsi="Times New Roman" w:cs="Times New Roman"/>
          <w:sz w:val="24"/>
          <w:szCs w:val="24"/>
        </w:rPr>
        <w:t>from this program.</w:t>
      </w:r>
      <w:r w:rsidR="00C8599E">
        <w:rPr>
          <w:rFonts w:ascii="Times New Roman" w:hAnsi="Times New Roman" w:cs="Times New Roman"/>
          <w:sz w:val="24"/>
          <w:szCs w:val="24"/>
        </w:rPr>
        <w:t xml:space="preserve"> </w:t>
      </w:r>
    </w:p>
    <w:p w:rsidR="004F7E2D" w:rsidRDefault="00C8599E" w:rsidP="00400660">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shared savings incentive mechanism is intended to promote additional permanent energy savings and capacity reductions through energy-efficiency measures. For this reason, it is unreasonable to charge customers for shared savings (profits) for the Residential Direct Load Control Program.  </w:t>
      </w:r>
    </w:p>
    <w:p w:rsidR="00400660" w:rsidRPr="00400660" w:rsidRDefault="006B5C49" w:rsidP="00400660">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FirstEnergy should not be permitted to charge customers for </w:t>
      </w:r>
      <w:r w:rsidR="006F04D6">
        <w:rPr>
          <w:rFonts w:ascii="Times New Roman" w:hAnsi="Times New Roman" w:cs="Times New Roman"/>
          <w:sz w:val="24"/>
          <w:szCs w:val="24"/>
        </w:rPr>
        <w:t xml:space="preserve">share savings for </w:t>
      </w:r>
      <w:r>
        <w:rPr>
          <w:rFonts w:ascii="Times New Roman" w:hAnsi="Times New Roman" w:cs="Times New Roman"/>
          <w:sz w:val="24"/>
          <w:szCs w:val="24"/>
        </w:rPr>
        <w:t>either of these programs.</w:t>
      </w:r>
    </w:p>
    <w:p w:rsidR="009811A4" w:rsidRDefault="00C775A4" w:rsidP="00C775A4">
      <w:pPr>
        <w:pStyle w:val="Heading2"/>
      </w:pPr>
      <w:r>
        <w:t>D.</w:t>
      </w:r>
      <w:r>
        <w:tab/>
      </w:r>
      <w:r w:rsidRPr="00EA1A13">
        <w:t xml:space="preserve">The </w:t>
      </w:r>
      <w:r w:rsidR="009811A4" w:rsidRPr="00EA1A13">
        <w:t>PUCO</w:t>
      </w:r>
      <w:r w:rsidR="00062084">
        <w:t xml:space="preserve"> Should Adopt Its</w:t>
      </w:r>
      <w:r w:rsidR="009811A4" w:rsidRPr="00EA1A13">
        <w:t xml:space="preserve"> Staff’s Position That </w:t>
      </w:r>
      <w:r w:rsidRPr="00EA1A13">
        <w:t>First</w:t>
      </w:r>
      <w:r w:rsidR="0069361D">
        <w:t>E</w:t>
      </w:r>
      <w:r w:rsidRPr="00EA1A13">
        <w:t xml:space="preserve">nergy </w:t>
      </w:r>
      <w:r w:rsidR="009811A4" w:rsidRPr="00EA1A13">
        <w:t xml:space="preserve">Should Be </w:t>
      </w:r>
      <w:r w:rsidR="00062084">
        <w:t>Prohibited From</w:t>
      </w:r>
      <w:r w:rsidR="00062084" w:rsidRPr="00EA1A13">
        <w:t xml:space="preserve"> </w:t>
      </w:r>
      <w:r w:rsidR="009811A4" w:rsidRPr="00EA1A13">
        <w:t>Count</w:t>
      </w:r>
      <w:r w:rsidR="00062084">
        <w:t>ing</w:t>
      </w:r>
      <w:r w:rsidR="009811A4" w:rsidRPr="00EA1A13">
        <w:t xml:space="preserve"> </w:t>
      </w:r>
      <w:r w:rsidRPr="00EA1A13">
        <w:t xml:space="preserve">The </w:t>
      </w:r>
      <w:r w:rsidR="009811A4" w:rsidRPr="00EA1A13">
        <w:t xml:space="preserve">Energy Efficiency Savings </w:t>
      </w:r>
      <w:r w:rsidRPr="00EA1A13">
        <w:t xml:space="preserve">Of </w:t>
      </w:r>
      <w:r w:rsidR="009811A4" w:rsidRPr="00EA1A13">
        <w:t>Customers Who</w:t>
      </w:r>
      <w:r w:rsidR="00473B46">
        <w:t xml:space="preserve"> Choose </w:t>
      </w:r>
      <w:r>
        <w:t>To</w:t>
      </w:r>
      <w:r w:rsidRPr="00EA1A13">
        <w:t xml:space="preserve"> </w:t>
      </w:r>
      <w:r w:rsidR="009811A4" w:rsidRPr="00EA1A13">
        <w:t>Opt</w:t>
      </w:r>
      <w:r w:rsidRPr="00EA1A13">
        <w:t>-</w:t>
      </w:r>
      <w:r w:rsidR="009811A4" w:rsidRPr="00EA1A13">
        <w:t>Out</w:t>
      </w:r>
      <w:r w:rsidR="002F6412">
        <w:t xml:space="preserve"> </w:t>
      </w:r>
      <w:r>
        <w:t xml:space="preserve">Of The </w:t>
      </w:r>
      <w:r w:rsidR="002F6412">
        <w:t>Utility’s Energy Efficiency Program</w:t>
      </w:r>
      <w:r w:rsidR="009811A4" w:rsidRPr="00EA1A13">
        <w:t xml:space="preserve"> Towards Meeting </w:t>
      </w:r>
      <w:r w:rsidRPr="00EA1A13">
        <w:t xml:space="preserve">The </w:t>
      </w:r>
      <w:r w:rsidR="009811A4" w:rsidRPr="00EA1A13">
        <w:t>Statutory Benchmarks</w:t>
      </w:r>
      <w:r w:rsidRPr="00EA1A13">
        <w:t>.</w:t>
      </w:r>
    </w:p>
    <w:p w:rsidR="00062084" w:rsidRDefault="0016414C" w:rsidP="009811A4">
      <w:pPr>
        <w:spacing w:line="480" w:lineRule="auto"/>
        <w:ind w:firstLine="720"/>
        <w:rPr>
          <w:szCs w:val="24"/>
        </w:rPr>
      </w:pPr>
      <w:r>
        <w:rPr>
          <w:szCs w:val="24"/>
        </w:rPr>
        <w:t xml:space="preserve">The PUCO </w:t>
      </w:r>
      <w:r w:rsidR="003A3027">
        <w:rPr>
          <w:szCs w:val="24"/>
        </w:rPr>
        <w:t>Staff is</w:t>
      </w:r>
      <w:r>
        <w:rPr>
          <w:szCs w:val="24"/>
        </w:rPr>
        <w:t xml:space="preserve"> </w:t>
      </w:r>
      <w:r w:rsidR="002F6412">
        <w:rPr>
          <w:szCs w:val="24"/>
        </w:rPr>
        <w:t>opposed</w:t>
      </w:r>
      <w:r>
        <w:rPr>
          <w:szCs w:val="24"/>
        </w:rPr>
        <w:t xml:space="preserve"> to FirstEnergy counting energy efficiency savings of customers who opt-out </w:t>
      </w:r>
      <w:r w:rsidR="002F6412">
        <w:rPr>
          <w:szCs w:val="24"/>
        </w:rPr>
        <w:t>(from the Utility’s energy efficiency programs) towards the statutory benchmarks.</w:t>
      </w:r>
      <w:r w:rsidR="002F6412">
        <w:rPr>
          <w:rStyle w:val="FootnoteReference"/>
          <w:szCs w:val="24"/>
        </w:rPr>
        <w:footnoteReference w:id="23"/>
      </w:r>
      <w:r w:rsidR="002F6412">
        <w:rPr>
          <w:szCs w:val="24"/>
        </w:rPr>
        <w:t xml:space="preserve">  OCC agrees.  </w:t>
      </w:r>
    </w:p>
    <w:p w:rsidR="00062084" w:rsidRDefault="006B5C49">
      <w:pPr>
        <w:spacing w:line="480" w:lineRule="auto"/>
        <w:ind w:firstLine="720"/>
        <w:rPr>
          <w:szCs w:val="24"/>
        </w:rPr>
      </w:pPr>
      <w:r>
        <w:rPr>
          <w:szCs w:val="24"/>
        </w:rPr>
        <w:t xml:space="preserve">Amended </w:t>
      </w:r>
      <w:r w:rsidR="002F6412">
        <w:rPr>
          <w:szCs w:val="24"/>
        </w:rPr>
        <w:t>R.C. 4928.66(A)(2)(a) states that the energy efficiency baseline shall not include “A customer that has opted out of the utility’s portfolio plan….”</w:t>
      </w:r>
      <w:r>
        <w:rPr>
          <w:rStyle w:val="FootnoteReference"/>
          <w:szCs w:val="24"/>
        </w:rPr>
        <w:footnoteReference w:id="24"/>
      </w:r>
      <w:r w:rsidR="00062084">
        <w:rPr>
          <w:szCs w:val="24"/>
        </w:rPr>
        <w:t xml:space="preserve">  </w:t>
      </w:r>
      <w:r w:rsidR="002F6412">
        <w:rPr>
          <w:szCs w:val="24"/>
        </w:rPr>
        <w:t xml:space="preserve">The PUCO Staff correctly points out that it would be “inconsistent with the “opt out” concept created by </w:t>
      </w:r>
      <w:r w:rsidR="004F7E2D">
        <w:rPr>
          <w:szCs w:val="24"/>
        </w:rPr>
        <w:t>[</w:t>
      </w:r>
      <w:r w:rsidR="002F6412">
        <w:rPr>
          <w:szCs w:val="24"/>
        </w:rPr>
        <w:t>S</w:t>
      </w:r>
      <w:r w:rsidR="004F7E2D">
        <w:rPr>
          <w:szCs w:val="24"/>
        </w:rPr>
        <w:t xml:space="preserve">enate </w:t>
      </w:r>
      <w:r w:rsidR="002F6412">
        <w:rPr>
          <w:szCs w:val="24"/>
        </w:rPr>
        <w:t>B</w:t>
      </w:r>
      <w:r w:rsidR="004F7E2D">
        <w:rPr>
          <w:szCs w:val="24"/>
        </w:rPr>
        <w:t>ill</w:t>
      </w:r>
      <w:r w:rsidR="002F6412">
        <w:rPr>
          <w:szCs w:val="24"/>
        </w:rPr>
        <w:t xml:space="preserve"> 310</w:t>
      </w:r>
      <w:r w:rsidR="004F7E2D">
        <w:rPr>
          <w:szCs w:val="24"/>
        </w:rPr>
        <w:t>]</w:t>
      </w:r>
      <w:r w:rsidR="002F6412">
        <w:rPr>
          <w:szCs w:val="24"/>
        </w:rPr>
        <w:t xml:space="preserve"> for the [PUCO] to allow FirstEnergy to count the savings of customers that decided to completely divorce themselves from FirstEnergy’s portfolio programs.”</w:t>
      </w:r>
      <w:r w:rsidR="002F6412">
        <w:rPr>
          <w:rStyle w:val="FootnoteReference"/>
          <w:szCs w:val="24"/>
        </w:rPr>
        <w:footnoteReference w:id="25"/>
      </w:r>
      <w:r w:rsidR="002F6412">
        <w:rPr>
          <w:szCs w:val="24"/>
        </w:rPr>
        <w:t xml:space="preserve">  </w:t>
      </w:r>
    </w:p>
    <w:p w:rsidR="002F6412" w:rsidRDefault="002F6412">
      <w:pPr>
        <w:spacing w:line="480" w:lineRule="auto"/>
        <w:ind w:firstLine="720"/>
        <w:rPr>
          <w:szCs w:val="24"/>
        </w:rPr>
      </w:pPr>
      <w:r>
        <w:rPr>
          <w:szCs w:val="24"/>
        </w:rPr>
        <w:t>FirstEnergy contends that it is allowed to count the energy efficiency savings of opt-out customers under R.C. 4928.662(A).</w:t>
      </w:r>
      <w:r w:rsidR="006B5C49">
        <w:rPr>
          <w:rStyle w:val="FootnoteReference"/>
          <w:szCs w:val="24"/>
        </w:rPr>
        <w:footnoteReference w:id="26"/>
      </w:r>
      <w:r>
        <w:rPr>
          <w:szCs w:val="24"/>
        </w:rPr>
        <w:t xml:space="preserve">  </w:t>
      </w:r>
      <w:r w:rsidR="006B5C49">
        <w:rPr>
          <w:szCs w:val="24"/>
        </w:rPr>
        <w:t>But</w:t>
      </w:r>
      <w:r>
        <w:rPr>
          <w:szCs w:val="24"/>
        </w:rPr>
        <w:t xml:space="preserve"> R.C. 4928.662(A) states:</w:t>
      </w:r>
    </w:p>
    <w:p w:rsidR="002F6412" w:rsidRDefault="002F6412" w:rsidP="00C775A4">
      <w:pPr>
        <w:autoSpaceDE w:val="0"/>
        <w:autoSpaceDN w:val="0"/>
        <w:adjustRightInd w:val="0"/>
        <w:ind w:left="1440" w:right="720"/>
        <w:rPr>
          <w:szCs w:val="24"/>
        </w:rPr>
      </w:pPr>
      <w:r w:rsidRPr="002F6412">
        <w:rPr>
          <w:szCs w:val="24"/>
        </w:rPr>
        <w:t>Energy efficiency savings and peak demand reduction achieved through actions taken by customers or through electric distribution utility programs that comply with federal standards for either or both energy efficiency and peak demand reduction requirements, including resources associated with such savings or reduction that are recognized as capacity resources by the regional transmission organization operating in Ohio in compliance with section 4928.12 of the Revised</w:t>
      </w:r>
      <w:r>
        <w:rPr>
          <w:szCs w:val="24"/>
        </w:rPr>
        <w:t xml:space="preserve"> </w:t>
      </w:r>
      <w:r w:rsidRPr="002F6412">
        <w:rPr>
          <w:szCs w:val="24"/>
        </w:rPr>
        <w:t>Code, shall count toward compliance with the energy efficiency and peak demand reduction requirements.</w:t>
      </w:r>
    </w:p>
    <w:p w:rsidR="002F6412" w:rsidRDefault="002F6412" w:rsidP="002F6412">
      <w:pPr>
        <w:autoSpaceDE w:val="0"/>
        <w:autoSpaceDN w:val="0"/>
        <w:adjustRightInd w:val="0"/>
        <w:rPr>
          <w:szCs w:val="24"/>
        </w:rPr>
      </w:pPr>
    </w:p>
    <w:p w:rsidR="00062084" w:rsidRDefault="00062084" w:rsidP="002F6412">
      <w:pPr>
        <w:autoSpaceDE w:val="0"/>
        <w:autoSpaceDN w:val="0"/>
        <w:adjustRightInd w:val="0"/>
        <w:spacing w:line="480" w:lineRule="auto"/>
        <w:rPr>
          <w:szCs w:val="24"/>
        </w:rPr>
      </w:pPr>
      <w:r>
        <w:rPr>
          <w:szCs w:val="24"/>
        </w:rPr>
        <w:t>In contrast, t</w:t>
      </w:r>
      <w:r w:rsidR="002F6412">
        <w:rPr>
          <w:szCs w:val="24"/>
        </w:rPr>
        <w:t>h</w:t>
      </w:r>
      <w:r w:rsidR="006B5C49">
        <w:rPr>
          <w:szCs w:val="24"/>
        </w:rPr>
        <w:t>e Staff correctly points out that</w:t>
      </w:r>
      <w:r w:rsidR="002F6412">
        <w:rPr>
          <w:szCs w:val="24"/>
        </w:rPr>
        <w:t xml:space="preserve"> R.C. 4928.662(A) does not address a utility’s authorization to count the energy efficiency savings of opt-out customers towards the energy efficiency benchmarks.</w:t>
      </w:r>
      <w:r w:rsidR="004F7E2D">
        <w:rPr>
          <w:rStyle w:val="FootnoteReference"/>
          <w:szCs w:val="24"/>
        </w:rPr>
        <w:footnoteReference w:id="27"/>
      </w:r>
      <w:r w:rsidR="002F6412">
        <w:rPr>
          <w:szCs w:val="24"/>
        </w:rPr>
        <w:t xml:space="preserve">  </w:t>
      </w:r>
      <w:r w:rsidR="006B5C49">
        <w:rPr>
          <w:szCs w:val="24"/>
        </w:rPr>
        <w:t xml:space="preserve">Rather, </w:t>
      </w:r>
      <w:r w:rsidR="002F6412">
        <w:rPr>
          <w:szCs w:val="24"/>
        </w:rPr>
        <w:t>R.C. 4928.662(A) addresses whether an electric utility can count programs that comply with federal standards.</w:t>
      </w:r>
      <w:r w:rsidR="006B5C49">
        <w:rPr>
          <w:szCs w:val="24"/>
        </w:rPr>
        <w:t xml:space="preserve">  </w:t>
      </w:r>
    </w:p>
    <w:p w:rsidR="002F6412" w:rsidRPr="002F6412" w:rsidRDefault="006B5C49" w:rsidP="003A3027">
      <w:pPr>
        <w:autoSpaceDE w:val="0"/>
        <w:autoSpaceDN w:val="0"/>
        <w:adjustRightInd w:val="0"/>
        <w:spacing w:line="480" w:lineRule="auto"/>
        <w:ind w:firstLine="720"/>
        <w:rPr>
          <w:szCs w:val="24"/>
        </w:rPr>
      </w:pPr>
      <w:r>
        <w:rPr>
          <w:szCs w:val="24"/>
        </w:rPr>
        <w:t>FirstEnergy has incorrectly applied R.C. 4928.662(A) to support its request to have savings from opt-out customer</w:t>
      </w:r>
      <w:r w:rsidR="00062084">
        <w:rPr>
          <w:szCs w:val="24"/>
        </w:rPr>
        <w:t>s</w:t>
      </w:r>
      <w:r>
        <w:rPr>
          <w:szCs w:val="24"/>
        </w:rPr>
        <w:t xml:space="preserve"> count towards the energy efficiency baseline.  The PUCO should adopt the PUCO Staff’s recommendation</w:t>
      </w:r>
      <w:r w:rsidR="004F7E2D">
        <w:rPr>
          <w:szCs w:val="24"/>
        </w:rPr>
        <w:t xml:space="preserve"> and prohibit the Utility from using energy efficiency savings of opt-out customers towards meeting the energy efficiency benchmarks</w:t>
      </w:r>
      <w:r>
        <w:rPr>
          <w:szCs w:val="24"/>
        </w:rPr>
        <w:t>.</w:t>
      </w:r>
    </w:p>
    <w:p w:rsidR="009811A4" w:rsidRPr="005A0680" w:rsidRDefault="00C775A4" w:rsidP="00C775A4">
      <w:pPr>
        <w:pStyle w:val="Heading2"/>
      </w:pPr>
      <w:r>
        <w:t>E.</w:t>
      </w:r>
      <w:r>
        <w:tab/>
      </w:r>
      <w:r w:rsidR="00062084">
        <w:t xml:space="preserve">The PUCO Should Adopt </w:t>
      </w:r>
      <w:r w:rsidR="005A0680" w:rsidRPr="005A0680">
        <w:t>OMA</w:t>
      </w:r>
      <w:r w:rsidR="00AD486D">
        <w:t>EG</w:t>
      </w:r>
      <w:r w:rsidR="005A0680" w:rsidRPr="005A0680">
        <w:t xml:space="preserve">’s Position That </w:t>
      </w:r>
      <w:r w:rsidRPr="005A0680">
        <w:t>First</w:t>
      </w:r>
      <w:r w:rsidR="0069361D">
        <w:t>E</w:t>
      </w:r>
      <w:r w:rsidRPr="005A0680">
        <w:t xml:space="preserve">nergy </w:t>
      </w:r>
      <w:r w:rsidR="005A0680" w:rsidRPr="005A0680">
        <w:t xml:space="preserve">Should Be </w:t>
      </w:r>
      <w:r w:rsidR="00062084">
        <w:t>Prohibited From</w:t>
      </w:r>
      <w:r w:rsidR="005A0680" w:rsidRPr="005A0680">
        <w:t xml:space="preserve"> Us</w:t>
      </w:r>
      <w:r w:rsidR="00062084">
        <w:t>ing</w:t>
      </w:r>
      <w:r w:rsidR="005A0680" w:rsidRPr="005A0680">
        <w:t xml:space="preserve"> Energy Efficiency Savings From Previous Years To Charge Customers For Shared Savings In </w:t>
      </w:r>
      <w:r w:rsidRPr="005A0680">
        <w:t>2015 And 2016.</w:t>
      </w:r>
    </w:p>
    <w:p w:rsidR="00E13104" w:rsidRDefault="005A0680" w:rsidP="005A0680">
      <w:pPr>
        <w:spacing w:line="480" w:lineRule="auto"/>
        <w:ind w:firstLine="720"/>
      </w:pPr>
      <w:r>
        <w:t>Like OMA</w:t>
      </w:r>
      <w:r w:rsidR="00AD486D">
        <w:t>EG</w:t>
      </w:r>
      <w:r>
        <w:t xml:space="preserve">, OCC’s position is that </w:t>
      </w:r>
      <w:r w:rsidR="00B5620B">
        <w:t>the PUCO should protect customers against paying profits to FirstEnergy for little or no benefit to customers</w:t>
      </w:r>
      <w:r>
        <w:t>.</w:t>
      </w:r>
      <w:r>
        <w:rPr>
          <w:rStyle w:val="FootnoteReference"/>
        </w:rPr>
        <w:footnoteReference w:id="28"/>
      </w:r>
      <w:r w:rsidR="0035670D">
        <w:t xml:space="preserve">  OMA</w:t>
      </w:r>
      <w:r w:rsidR="00AD486D">
        <w:t>EG</w:t>
      </w:r>
      <w:r w:rsidR="0035670D">
        <w:t xml:space="preserve"> also </w:t>
      </w:r>
      <w:r w:rsidR="00E13104">
        <w:t xml:space="preserve">noted </w:t>
      </w:r>
      <w:r w:rsidR="0035670D">
        <w:t>that FirstEnergy is planning to exceed the cumulative benchmark of 4.2</w:t>
      </w:r>
      <w:r w:rsidR="00E13104">
        <w:t xml:space="preserve"> </w:t>
      </w:r>
      <w:r w:rsidR="008B5007">
        <w:t>percent</w:t>
      </w:r>
      <w:r w:rsidR="0035670D">
        <w:t xml:space="preserve"> entirely by using savings from previous years.</w:t>
      </w:r>
      <w:r w:rsidR="0035670D">
        <w:rPr>
          <w:rStyle w:val="FootnoteReference"/>
        </w:rPr>
        <w:footnoteReference w:id="29"/>
      </w:r>
      <w:r w:rsidR="0035670D">
        <w:t xml:space="preserve">  </w:t>
      </w:r>
      <w:r w:rsidR="000A2F3D">
        <w:t xml:space="preserve">But </w:t>
      </w:r>
      <w:r w:rsidR="0035670D">
        <w:t>OMA</w:t>
      </w:r>
      <w:r w:rsidR="00AD486D">
        <w:t>EG</w:t>
      </w:r>
      <w:r w:rsidR="0035670D">
        <w:t xml:space="preserve"> explains that the PUCO has previously found</w:t>
      </w:r>
      <w:r w:rsidR="00C860FB">
        <w:t xml:space="preserve"> in this docket</w:t>
      </w:r>
      <w:r w:rsidR="0035670D">
        <w:t xml:space="preserve"> that “banked savings shall only be counted toward shared savings in the year it is banked.”</w:t>
      </w:r>
      <w:r w:rsidR="0035670D">
        <w:rPr>
          <w:rStyle w:val="FootnoteReference"/>
        </w:rPr>
        <w:footnoteReference w:id="30"/>
      </w:r>
      <w:r w:rsidR="0035670D">
        <w:t xml:space="preserve">  </w:t>
      </w:r>
      <w:r w:rsidR="000A2F3D">
        <w:t xml:space="preserve">OMAEG is correct.  </w:t>
      </w:r>
    </w:p>
    <w:p w:rsidR="00C860FB" w:rsidRDefault="00660A21" w:rsidP="005A0680">
      <w:pPr>
        <w:spacing w:line="480" w:lineRule="auto"/>
        <w:ind w:firstLine="720"/>
      </w:pPr>
      <w:r>
        <w:t>And the PUCO has previously held with respect to Ohio Power Company that Ohio Power could</w:t>
      </w:r>
      <w:r w:rsidR="00E13104">
        <w:t>:</w:t>
      </w:r>
      <w:r>
        <w:t xml:space="preserve"> </w:t>
      </w:r>
    </w:p>
    <w:p w:rsidR="00C860FB" w:rsidRDefault="00C860FB" w:rsidP="00C775A4">
      <w:pPr>
        <w:ind w:left="1440" w:right="720"/>
      </w:pPr>
      <w:r>
        <w:t>[</w:t>
      </w:r>
      <w:r w:rsidR="00660A21">
        <w:t>o</w:t>
      </w:r>
      <w:r>
        <w:t>]</w:t>
      </w:r>
      <w:r w:rsidR="00660A21">
        <w:t>nly count savings for shared savings one time (</w:t>
      </w:r>
      <w:r w:rsidR="00660A21" w:rsidRPr="000A2F3D">
        <w:rPr>
          <w:b/>
        </w:rPr>
        <w:t>meaning there is no double counting of shared savings</w:t>
      </w:r>
      <w:r w:rsidR="00660A21">
        <w:t>) and in the year in which the savings were generated.  In a year in which previous years’ over-compliance is used to comply with the benchmarks, shared savings shall be based only on impacts generated in the current year.</w:t>
      </w:r>
      <w:r w:rsidR="00660A21">
        <w:rPr>
          <w:rStyle w:val="FootnoteReference"/>
        </w:rPr>
        <w:footnoteReference w:id="31"/>
      </w:r>
      <w:r w:rsidR="00660A21">
        <w:t xml:space="preserve"> </w:t>
      </w:r>
      <w:r w:rsidR="000A2F3D">
        <w:t>(Emphasis added).</w:t>
      </w:r>
    </w:p>
    <w:p w:rsidR="00C860FB" w:rsidRDefault="00C860FB" w:rsidP="00C860FB">
      <w:pPr>
        <w:ind w:left="720" w:right="720"/>
      </w:pPr>
    </w:p>
    <w:p w:rsidR="00CB01BE" w:rsidRDefault="0035670D" w:rsidP="005A0680">
      <w:pPr>
        <w:spacing w:line="480" w:lineRule="auto"/>
        <w:ind w:firstLine="720"/>
      </w:pPr>
      <w:r>
        <w:t>OCC supports OMA</w:t>
      </w:r>
      <w:r w:rsidR="00AD486D">
        <w:t>EG</w:t>
      </w:r>
      <w:r>
        <w:t xml:space="preserve">’s argument.  It is improper and </w:t>
      </w:r>
      <w:r w:rsidR="00C860FB">
        <w:t xml:space="preserve">directly </w:t>
      </w:r>
      <w:r>
        <w:t>against PUCO</w:t>
      </w:r>
      <w:r w:rsidR="00C860FB">
        <w:t xml:space="preserve"> Orders and</w:t>
      </w:r>
      <w:r>
        <w:t xml:space="preserve"> precedent for a utility to use “banked savings” or savings earned in previous years to charge customers for a shared savings incentive for a future year when the energy efficiency savings did not occur.</w:t>
      </w:r>
      <w:r w:rsidR="000A2F3D">
        <w:t xml:space="preserve">  The PUCO should </w:t>
      </w:r>
      <w:r w:rsidR="008B5007">
        <w:t xml:space="preserve">ensure </w:t>
      </w:r>
      <w:r w:rsidR="000A2F3D">
        <w:t>that FirstEnergy does not count energy efficiency savings twice to charge customers for shared savings.</w:t>
      </w:r>
    </w:p>
    <w:p w:rsidR="00C775A4" w:rsidRDefault="00C775A4" w:rsidP="00C775A4">
      <w:pPr>
        <w:ind w:firstLine="720"/>
      </w:pPr>
    </w:p>
    <w:p w:rsidR="003E71DD" w:rsidRDefault="001447EE">
      <w:pPr>
        <w:pStyle w:val="Heading1"/>
      </w:pPr>
      <w:bookmarkStart w:id="3" w:name="_Toc393206748"/>
      <w:r>
        <w:t>III.</w:t>
      </w:r>
      <w:r>
        <w:tab/>
        <w:t>CONCLUSION</w:t>
      </w:r>
      <w:bookmarkEnd w:id="3"/>
    </w:p>
    <w:p w:rsidR="00BB15A2" w:rsidRDefault="001447EE" w:rsidP="00BB15A2">
      <w:pPr>
        <w:spacing w:line="480" w:lineRule="auto"/>
      </w:pPr>
      <w:r>
        <w:tab/>
      </w:r>
      <w:r w:rsidR="00432B91">
        <w:t xml:space="preserve">OCC appreciates the opportunity to submit these Reply Comments.  For the reasons addressed in OCC’s Comments and Reply Comments, </w:t>
      </w:r>
      <w:r w:rsidR="00432B91">
        <w:rPr>
          <w:bCs/>
        </w:rPr>
        <w:t>FirstEnergy’s Application should be modified</w:t>
      </w:r>
      <w:r w:rsidR="00E13104">
        <w:rPr>
          <w:bCs/>
        </w:rPr>
        <w:t xml:space="preserve"> in the interest of protecting consumers</w:t>
      </w:r>
      <w:r w:rsidR="00613E11">
        <w:rPr>
          <w:bCs/>
        </w:rPr>
        <w:t xml:space="preserve">.  The modification recommended here </w:t>
      </w:r>
      <w:r w:rsidR="003A3027">
        <w:rPr>
          <w:bCs/>
        </w:rPr>
        <w:t>will protect</w:t>
      </w:r>
      <w:r w:rsidR="00432B91">
        <w:rPr>
          <w:bCs/>
        </w:rPr>
        <w:t xml:space="preserve"> </w:t>
      </w:r>
      <w:r w:rsidR="00273E60">
        <w:rPr>
          <w:bCs/>
        </w:rPr>
        <w:t xml:space="preserve">the Utility’s 1.9 million </w:t>
      </w:r>
      <w:r w:rsidR="00432B91">
        <w:rPr>
          <w:bCs/>
        </w:rPr>
        <w:t xml:space="preserve">customers from unnecessary </w:t>
      </w:r>
      <w:r w:rsidR="003A3027">
        <w:rPr>
          <w:bCs/>
        </w:rPr>
        <w:t>charges and</w:t>
      </w:r>
      <w:r w:rsidR="00613E11">
        <w:rPr>
          <w:bCs/>
        </w:rPr>
        <w:t xml:space="preserve"> will maximize </w:t>
      </w:r>
      <w:r w:rsidR="00432B91">
        <w:rPr>
          <w:bCs/>
        </w:rPr>
        <w:t>the benefits of energy efficiency for Ohioans</w:t>
      </w:r>
      <w:r w:rsidR="00613E11">
        <w:rPr>
          <w:bCs/>
        </w:rPr>
        <w:t xml:space="preserve">.  </w:t>
      </w:r>
      <w:r w:rsidR="00432B91">
        <w:rPr>
          <w:bCs/>
        </w:rPr>
        <w:t xml:space="preserve"> </w:t>
      </w:r>
    </w:p>
    <w:p w:rsidR="00BB15A2" w:rsidRPr="00BB15A2" w:rsidRDefault="00BB15A2" w:rsidP="00BB15A2">
      <w:pPr>
        <w:ind w:left="4320"/>
        <w:rPr>
          <w:caps/>
          <w:szCs w:val="24"/>
        </w:rPr>
      </w:pPr>
      <w:r w:rsidRPr="00BB15A2">
        <w:rPr>
          <w:caps/>
          <w:szCs w:val="24"/>
        </w:rPr>
        <w:t>BRUCE J. WESTON</w:t>
      </w:r>
    </w:p>
    <w:p w:rsidR="00BB15A2" w:rsidRPr="00BB15A2" w:rsidRDefault="00BB15A2" w:rsidP="00BB15A2">
      <w:pPr>
        <w:ind w:left="4320"/>
        <w:rPr>
          <w:szCs w:val="24"/>
        </w:rPr>
      </w:pPr>
      <w:r w:rsidRPr="00BB15A2">
        <w:rPr>
          <w:szCs w:val="24"/>
        </w:rPr>
        <w:t>OHIO CONSUMERS’ COUNSEL</w:t>
      </w:r>
    </w:p>
    <w:p w:rsidR="00BB15A2" w:rsidRPr="00BB15A2" w:rsidRDefault="00BB15A2" w:rsidP="00BB15A2">
      <w:pPr>
        <w:ind w:left="4320"/>
        <w:rPr>
          <w:szCs w:val="24"/>
        </w:rPr>
      </w:pPr>
    </w:p>
    <w:p w:rsidR="00BB15A2" w:rsidRPr="00C775A4" w:rsidRDefault="00C775A4" w:rsidP="00BB15A2">
      <w:pPr>
        <w:ind w:left="4320"/>
        <w:rPr>
          <w:i/>
          <w:szCs w:val="24"/>
          <w:u w:val="single"/>
        </w:rPr>
      </w:pPr>
      <w:r>
        <w:rPr>
          <w:i/>
          <w:szCs w:val="24"/>
          <w:u w:val="single"/>
        </w:rPr>
        <w:t>/s/ Kyle L. Kern</w:t>
      </w:r>
      <w:r w:rsidR="00663E9D">
        <w:rPr>
          <w:i/>
          <w:szCs w:val="24"/>
          <w:u w:val="single"/>
        </w:rPr>
        <w:tab/>
      </w:r>
      <w:r w:rsidR="00663E9D">
        <w:rPr>
          <w:i/>
          <w:szCs w:val="24"/>
          <w:u w:val="single"/>
        </w:rPr>
        <w:tab/>
      </w:r>
      <w:r w:rsidR="00663E9D">
        <w:rPr>
          <w:i/>
          <w:szCs w:val="24"/>
          <w:u w:val="single"/>
        </w:rPr>
        <w:tab/>
      </w:r>
    </w:p>
    <w:p w:rsidR="00BB15A2" w:rsidRPr="00BB15A2" w:rsidRDefault="00BB15A2" w:rsidP="00BB15A2">
      <w:pPr>
        <w:ind w:left="4320"/>
        <w:rPr>
          <w:szCs w:val="24"/>
        </w:rPr>
      </w:pPr>
      <w:r w:rsidRPr="00BB15A2">
        <w:rPr>
          <w:szCs w:val="24"/>
        </w:rPr>
        <w:t>Kyle L. Kern, Counsel of Record</w:t>
      </w:r>
    </w:p>
    <w:p w:rsidR="00BB15A2" w:rsidRPr="00BB15A2" w:rsidRDefault="00BB15A2" w:rsidP="00BB15A2">
      <w:pPr>
        <w:ind w:left="4320"/>
        <w:rPr>
          <w:szCs w:val="24"/>
        </w:rPr>
      </w:pPr>
      <w:r w:rsidRPr="00BB15A2">
        <w:rPr>
          <w:szCs w:val="24"/>
        </w:rPr>
        <w:t>Assistant Consumers’ Counsel</w:t>
      </w:r>
    </w:p>
    <w:p w:rsidR="00BB15A2" w:rsidRPr="00BB15A2" w:rsidRDefault="00BB15A2" w:rsidP="00BB15A2">
      <w:pPr>
        <w:spacing w:before="120"/>
        <w:ind w:left="4320"/>
        <w:rPr>
          <w:b/>
          <w:caps/>
          <w:szCs w:val="24"/>
        </w:rPr>
      </w:pPr>
      <w:r w:rsidRPr="00BB15A2">
        <w:rPr>
          <w:b/>
          <w:szCs w:val="24"/>
        </w:rPr>
        <w:t>Office of the Ohio Consumers’ Counsel</w:t>
      </w:r>
    </w:p>
    <w:p w:rsidR="00BB15A2" w:rsidRPr="00BB15A2" w:rsidRDefault="00BB15A2" w:rsidP="00BB15A2">
      <w:pPr>
        <w:ind w:left="4320"/>
        <w:rPr>
          <w:szCs w:val="24"/>
        </w:rPr>
      </w:pPr>
      <w:r w:rsidRPr="00BB15A2">
        <w:rPr>
          <w:szCs w:val="24"/>
        </w:rPr>
        <w:t>10 West Broad Street, Suite 1800</w:t>
      </w:r>
    </w:p>
    <w:p w:rsidR="00BB15A2" w:rsidRPr="00BB15A2" w:rsidRDefault="00BB15A2" w:rsidP="00BB15A2">
      <w:pPr>
        <w:ind w:left="4320"/>
        <w:rPr>
          <w:szCs w:val="24"/>
        </w:rPr>
      </w:pPr>
      <w:r w:rsidRPr="00BB15A2">
        <w:rPr>
          <w:szCs w:val="24"/>
        </w:rPr>
        <w:t>Columbus, Ohio 43215-3485</w:t>
      </w:r>
    </w:p>
    <w:p w:rsidR="00BB15A2" w:rsidRPr="00BB15A2" w:rsidRDefault="00BB15A2" w:rsidP="00BB15A2">
      <w:pPr>
        <w:ind w:left="4320"/>
        <w:rPr>
          <w:szCs w:val="24"/>
        </w:rPr>
      </w:pPr>
      <w:r w:rsidRPr="00BB15A2">
        <w:rPr>
          <w:szCs w:val="24"/>
        </w:rPr>
        <w:t>614-466-9585 (Kern Telephone)</w:t>
      </w:r>
    </w:p>
    <w:p w:rsidR="003E71DD" w:rsidRDefault="00BB15A2" w:rsidP="00BB15A2">
      <w:pPr>
        <w:spacing w:line="480" w:lineRule="auto"/>
      </w:pPr>
      <w:r>
        <w:rPr>
          <w:szCs w:val="24"/>
        </w:rPr>
        <w:tab/>
      </w:r>
      <w:r>
        <w:rPr>
          <w:szCs w:val="24"/>
        </w:rPr>
        <w:tab/>
      </w:r>
      <w:r w:rsidRPr="00BB15A2">
        <w:rPr>
          <w:szCs w:val="24"/>
        </w:rPr>
        <w:tab/>
      </w:r>
      <w:r w:rsidRPr="00BB15A2">
        <w:rPr>
          <w:szCs w:val="24"/>
        </w:rPr>
        <w:tab/>
      </w:r>
      <w:r w:rsidRPr="00BB15A2">
        <w:rPr>
          <w:szCs w:val="24"/>
        </w:rPr>
        <w:tab/>
      </w:r>
      <w:r w:rsidRPr="00BB15A2">
        <w:rPr>
          <w:szCs w:val="24"/>
        </w:rPr>
        <w:tab/>
      </w:r>
      <w:r w:rsidRPr="00BB15A2">
        <w:rPr>
          <w:color w:val="0000FF"/>
          <w:szCs w:val="24"/>
          <w:u w:val="single"/>
        </w:rPr>
        <w:t>Kyle.kern@occ.ohio.gov</w:t>
      </w:r>
    </w:p>
    <w:p w:rsidR="00BB15A2" w:rsidRDefault="001447EE" w:rsidP="00BB15A2">
      <w:pPr>
        <w:spacing w:line="480" w:lineRule="auto"/>
      </w:pPr>
      <w:r>
        <w:tab/>
      </w:r>
      <w:r>
        <w:tab/>
      </w:r>
      <w:r>
        <w:tab/>
      </w:r>
      <w:r>
        <w:tab/>
      </w:r>
      <w:r>
        <w:tab/>
      </w:r>
      <w:r>
        <w:tab/>
      </w:r>
    </w:p>
    <w:p w:rsidR="00BB15A2" w:rsidRDefault="00BB15A2" w:rsidP="00BB15A2">
      <w:pPr>
        <w:jc w:val="center"/>
        <w:rPr>
          <w:b/>
          <w:bCs/>
          <w:u w:val="single"/>
        </w:rPr>
      </w:pPr>
      <w:r>
        <w:br w:type="page"/>
      </w:r>
      <w:r>
        <w:rPr>
          <w:b/>
          <w:bCs/>
          <w:u w:val="single"/>
        </w:rPr>
        <w:t>CERTIFICATE OF SERVICE</w:t>
      </w:r>
    </w:p>
    <w:p w:rsidR="00BB15A2" w:rsidRDefault="00BB15A2" w:rsidP="00BB15A2">
      <w:pPr>
        <w:spacing w:line="480" w:lineRule="atLeast"/>
      </w:pPr>
      <w:r>
        <w:tab/>
        <w:t>I hereby certify that a copy of this Reply Comments were served on the persons stated below via electronic service this 27th day of October 2014.</w:t>
      </w:r>
    </w:p>
    <w:p w:rsidR="00BB15A2" w:rsidRDefault="00BB15A2" w:rsidP="00BB15A2">
      <w:pPr>
        <w:spacing w:line="480" w:lineRule="atLeast"/>
      </w:pPr>
    </w:p>
    <w:p w:rsidR="00BB15A2" w:rsidRDefault="00BB15A2" w:rsidP="00BB15A2">
      <w:pPr>
        <w:tabs>
          <w:tab w:val="left" w:pos="4320"/>
        </w:tabs>
      </w:pPr>
      <w:r>
        <w:tab/>
      </w:r>
      <w:r>
        <w:rPr>
          <w:i/>
          <w:u w:val="single"/>
        </w:rPr>
        <w:t>/s/ Kyle L. Kern</w:t>
      </w:r>
      <w:r>
        <w:t>____________________</w:t>
      </w:r>
    </w:p>
    <w:p w:rsidR="00BB15A2" w:rsidRDefault="00BB15A2" w:rsidP="00BB15A2">
      <w:pPr>
        <w:tabs>
          <w:tab w:val="left" w:pos="4320"/>
        </w:tabs>
      </w:pPr>
      <w:r>
        <w:tab/>
        <w:t>Kyle L. Kern</w:t>
      </w:r>
    </w:p>
    <w:p w:rsidR="00BB15A2" w:rsidRDefault="00BB15A2" w:rsidP="00BB15A2">
      <w:pPr>
        <w:tabs>
          <w:tab w:val="left" w:pos="4320"/>
        </w:tabs>
      </w:pPr>
      <w:r>
        <w:tab/>
        <w:t>Assistant Consumers’ Counsel</w:t>
      </w:r>
    </w:p>
    <w:p w:rsidR="00BB15A2" w:rsidRDefault="00BB15A2" w:rsidP="00BB15A2">
      <w:pPr>
        <w:rPr>
          <w:lang w:val="x-none" w:eastAsia="x-none"/>
        </w:rPr>
      </w:pPr>
    </w:p>
    <w:p w:rsidR="00BB15A2" w:rsidRDefault="00BB15A2" w:rsidP="00BB15A2">
      <w:pPr>
        <w:jc w:val="center"/>
        <w:rPr>
          <w:b/>
          <w:u w:val="single"/>
          <w:lang w:val="x-none" w:eastAsia="x-none"/>
        </w:rPr>
      </w:pPr>
      <w:r>
        <w:rPr>
          <w:b/>
          <w:u w:val="single"/>
          <w:lang w:val="x-none" w:eastAsia="x-none"/>
        </w:rPr>
        <w:t>SERVICE LIST</w:t>
      </w:r>
    </w:p>
    <w:p w:rsidR="00BB15A2" w:rsidRDefault="00BB15A2" w:rsidP="00BB15A2">
      <w:pPr>
        <w:jc w:val="center"/>
        <w:rPr>
          <w:b/>
          <w:u w:val="single"/>
          <w:lang w:val="x-none" w:eastAsia="x-none"/>
        </w:rPr>
      </w:pPr>
    </w:p>
    <w:p w:rsidR="00BB15A2" w:rsidRDefault="00BB15A2" w:rsidP="00BB15A2">
      <w:pPr>
        <w:autoSpaceDE w:val="0"/>
        <w:autoSpaceDN w:val="0"/>
        <w:adjustRightInd w:val="0"/>
        <w:rPr>
          <w:bCs/>
        </w:rPr>
      </w:pPr>
    </w:p>
    <w:tbl>
      <w:tblPr>
        <w:tblW w:w="0" w:type="auto"/>
        <w:tblLook w:val="04A0" w:firstRow="1" w:lastRow="0" w:firstColumn="1" w:lastColumn="0" w:noHBand="0" w:noVBand="1"/>
      </w:tblPr>
      <w:tblGrid>
        <w:gridCol w:w="3918"/>
        <w:gridCol w:w="4938"/>
      </w:tblGrid>
      <w:tr w:rsidR="00BB15A2" w:rsidTr="00A0496E">
        <w:tc>
          <w:tcPr>
            <w:tcW w:w="4428" w:type="dxa"/>
            <w:shd w:val="clear" w:color="auto" w:fill="auto"/>
          </w:tcPr>
          <w:p w:rsidR="00BB15A2" w:rsidRDefault="00BB15A2" w:rsidP="00A0496E">
            <w:pPr>
              <w:autoSpaceDE w:val="0"/>
              <w:autoSpaceDN w:val="0"/>
              <w:adjustRightInd w:val="0"/>
              <w:rPr>
                <w:bCs/>
              </w:rPr>
            </w:pPr>
            <w:r>
              <w:rPr>
                <w:bCs/>
                <w:color w:val="0000FF"/>
                <w:u w:val="single"/>
              </w:rPr>
              <w:t>Devin.parram@puc.state.oh.us</w:t>
            </w:r>
          </w:p>
          <w:p w:rsidR="00BB15A2" w:rsidRDefault="00BB15A2" w:rsidP="00A0496E">
            <w:pPr>
              <w:autoSpaceDE w:val="0"/>
              <w:autoSpaceDN w:val="0"/>
              <w:adjustRightInd w:val="0"/>
              <w:rPr>
                <w:color w:val="0000FF"/>
              </w:rPr>
            </w:pPr>
            <w:r>
              <w:rPr>
                <w:color w:val="0000FF"/>
                <w:u w:val="single"/>
              </w:rPr>
              <w:t>kjkolich@firstenergycorp.com</w:t>
            </w:r>
          </w:p>
          <w:p w:rsidR="00BB15A2" w:rsidRDefault="00BB15A2" w:rsidP="00A0496E">
            <w:pPr>
              <w:autoSpaceDE w:val="0"/>
              <w:autoSpaceDN w:val="0"/>
              <w:adjustRightInd w:val="0"/>
              <w:rPr>
                <w:color w:val="000000"/>
              </w:rPr>
            </w:pPr>
            <w:r>
              <w:rPr>
                <w:color w:val="0000FF"/>
                <w:u w:val="single"/>
              </w:rPr>
              <w:t>cdunn@firstenergycorp.com</w:t>
            </w:r>
          </w:p>
          <w:p w:rsidR="00BB15A2" w:rsidRDefault="00BB15A2" w:rsidP="00A0496E">
            <w:pPr>
              <w:rPr>
                <w:color w:val="0000FF"/>
              </w:rPr>
            </w:pPr>
            <w:r>
              <w:rPr>
                <w:color w:val="0000FF"/>
                <w:u w:val="single"/>
              </w:rPr>
              <w:t>toddm@wamenergylaw.com</w:t>
            </w:r>
          </w:p>
          <w:p w:rsidR="00BB15A2" w:rsidRDefault="00BB15A2" w:rsidP="00A0496E">
            <w:pPr>
              <w:rPr>
                <w:rFonts w:ascii="Arial" w:hAnsi="Arial" w:cs="Arial"/>
                <w:color w:val="0000FF"/>
              </w:rPr>
            </w:pPr>
            <w:r>
              <w:rPr>
                <w:color w:val="0000FF"/>
                <w:u w:val="single"/>
              </w:rPr>
              <w:t>cmooney2@columbus.rr.com</w:t>
            </w:r>
          </w:p>
          <w:p w:rsidR="00BB15A2" w:rsidRDefault="00BB15A2" w:rsidP="00A0496E">
            <w:pPr>
              <w:autoSpaceDE w:val="0"/>
              <w:autoSpaceDN w:val="0"/>
              <w:adjustRightInd w:val="0"/>
              <w:rPr>
                <w:iCs/>
              </w:rPr>
            </w:pPr>
            <w:r>
              <w:rPr>
                <w:iCs/>
                <w:color w:val="0000FF"/>
                <w:u w:val="single"/>
              </w:rPr>
              <w:t>Cathy@theOEC.org</w:t>
            </w:r>
          </w:p>
          <w:p w:rsidR="00BB15A2" w:rsidRDefault="00BB15A2" w:rsidP="00A0496E">
            <w:pPr>
              <w:autoSpaceDE w:val="0"/>
              <w:autoSpaceDN w:val="0"/>
              <w:adjustRightInd w:val="0"/>
              <w:rPr>
                <w:iCs/>
              </w:rPr>
            </w:pPr>
            <w:r>
              <w:rPr>
                <w:iCs/>
                <w:color w:val="0000FF"/>
                <w:u w:val="single"/>
              </w:rPr>
              <w:t>Trent@theOEC.org</w:t>
            </w:r>
          </w:p>
          <w:p w:rsidR="00591944" w:rsidRDefault="00591944" w:rsidP="00A0496E">
            <w:pPr>
              <w:autoSpaceDE w:val="0"/>
              <w:autoSpaceDN w:val="0"/>
              <w:adjustRightInd w:val="0"/>
              <w:rPr>
                <w:szCs w:val="24"/>
              </w:rPr>
            </w:pPr>
            <w:r w:rsidRPr="00E92A72">
              <w:t>callwein@wamenergylaw.com</w:t>
            </w:r>
            <w:r w:rsidRPr="00E92A72">
              <w:rPr>
                <w:szCs w:val="24"/>
              </w:rPr>
              <w:t>m</w:t>
            </w:r>
          </w:p>
          <w:p w:rsidR="00591944" w:rsidRDefault="00591944" w:rsidP="00A0496E">
            <w:pPr>
              <w:autoSpaceDE w:val="0"/>
              <w:autoSpaceDN w:val="0"/>
              <w:adjustRightInd w:val="0"/>
              <w:rPr>
                <w:szCs w:val="24"/>
              </w:rPr>
            </w:pPr>
            <w:r w:rsidRPr="00E92A72">
              <w:rPr>
                <w:szCs w:val="24"/>
              </w:rPr>
              <w:t>fleisher@elpc.org</w:t>
            </w:r>
          </w:p>
          <w:p w:rsidR="00BB15A2" w:rsidRDefault="00BB15A2" w:rsidP="00A0496E">
            <w:pPr>
              <w:autoSpaceDE w:val="0"/>
              <w:autoSpaceDN w:val="0"/>
              <w:adjustRightInd w:val="0"/>
            </w:pPr>
            <w:r>
              <w:rPr>
                <w:color w:val="0000FF"/>
                <w:u w:val="single"/>
              </w:rPr>
              <w:t>jvickers@elpc.org</w:t>
            </w:r>
          </w:p>
          <w:p w:rsidR="00BB15A2" w:rsidRDefault="00BB15A2" w:rsidP="00A0496E">
            <w:pPr>
              <w:autoSpaceDE w:val="0"/>
              <w:autoSpaceDN w:val="0"/>
              <w:adjustRightInd w:val="0"/>
            </w:pPr>
            <w:r>
              <w:rPr>
                <w:color w:val="0000FF"/>
                <w:u w:val="single"/>
              </w:rPr>
              <w:t>rkelter@elpc.org</w:t>
            </w:r>
          </w:p>
          <w:p w:rsidR="00BB15A2" w:rsidRDefault="00BB15A2" w:rsidP="00A0496E">
            <w:pPr>
              <w:autoSpaceDE w:val="0"/>
              <w:autoSpaceDN w:val="0"/>
              <w:adjustRightInd w:val="0"/>
            </w:pPr>
            <w:r>
              <w:rPr>
                <w:color w:val="0000FF"/>
                <w:u w:val="single"/>
              </w:rPr>
              <w:t>dboehm@BKLlawfirm.com</w:t>
            </w:r>
          </w:p>
          <w:p w:rsidR="00BB15A2" w:rsidRDefault="00BB15A2" w:rsidP="00A0496E">
            <w:pPr>
              <w:autoSpaceDE w:val="0"/>
              <w:autoSpaceDN w:val="0"/>
              <w:adjustRightInd w:val="0"/>
            </w:pPr>
            <w:r>
              <w:rPr>
                <w:color w:val="0000FF"/>
                <w:u w:val="single"/>
              </w:rPr>
              <w:t>mkurtz@BKLlawfirm.com</w:t>
            </w:r>
          </w:p>
          <w:p w:rsidR="00BB15A2" w:rsidRDefault="00591944" w:rsidP="00A0496E">
            <w:pPr>
              <w:autoSpaceDE w:val="0"/>
              <w:autoSpaceDN w:val="0"/>
              <w:adjustRightInd w:val="0"/>
            </w:pPr>
            <w:r w:rsidRPr="00E92A72">
              <w:t>jkylercohn@BKLlawfirm.com</w:t>
            </w:r>
          </w:p>
          <w:p w:rsidR="00591944" w:rsidRDefault="00591944" w:rsidP="00A0496E">
            <w:pPr>
              <w:autoSpaceDE w:val="0"/>
              <w:autoSpaceDN w:val="0"/>
              <w:adjustRightInd w:val="0"/>
            </w:pPr>
          </w:p>
          <w:p w:rsidR="00BB15A2" w:rsidRDefault="00BB15A2" w:rsidP="00A0496E">
            <w:pPr>
              <w:autoSpaceDE w:val="0"/>
              <w:autoSpaceDN w:val="0"/>
              <w:adjustRightInd w:val="0"/>
            </w:pPr>
            <w:r>
              <w:t>Attorney Examiners:</w:t>
            </w:r>
          </w:p>
          <w:p w:rsidR="00BB15A2" w:rsidRDefault="00BB15A2" w:rsidP="00BB15A2">
            <w:pPr>
              <w:autoSpaceDE w:val="0"/>
              <w:autoSpaceDN w:val="0"/>
              <w:adjustRightInd w:val="0"/>
            </w:pPr>
            <w:r>
              <w:rPr>
                <w:color w:val="0000FF"/>
                <w:u w:val="single"/>
              </w:rPr>
              <w:t>mandy.willey@puc.state.oh.us</w:t>
            </w:r>
          </w:p>
          <w:p w:rsidR="00BB15A2" w:rsidRDefault="00BB15A2" w:rsidP="00BB15A2">
            <w:pPr>
              <w:autoSpaceDE w:val="0"/>
              <w:autoSpaceDN w:val="0"/>
              <w:adjustRightInd w:val="0"/>
            </w:pPr>
            <w:r>
              <w:rPr>
                <w:color w:val="0000FF"/>
                <w:u w:val="single"/>
              </w:rPr>
              <w:t>Gregory.price@puc.state.oh.us</w:t>
            </w:r>
          </w:p>
          <w:p w:rsidR="00BB15A2" w:rsidRDefault="00BB15A2" w:rsidP="00A0496E">
            <w:pPr>
              <w:autoSpaceDE w:val="0"/>
              <w:autoSpaceDN w:val="0"/>
              <w:adjustRightInd w:val="0"/>
            </w:pPr>
          </w:p>
          <w:p w:rsidR="00BB15A2" w:rsidRDefault="00BB15A2" w:rsidP="00A0496E">
            <w:pPr>
              <w:autoSpaceDE w:val="0"/>
              <w:autoSpaceDN w:val="0"/>
              <w:adjustRightInd w:val="0"/>
              <w:rPr>
                <w:bCs/>
              </w:rPr>
            </w:pPr>
          </w:p>
        </w:tc>
        <w:tc>
          <w:tcPr>
            <w:tcW w:w="4428" w:type="dxa"/>
            <w:shd w:val="clear" w:color="auto" w:fill="auto"/>
          </w:tcPr>
          <w:p w:rsidR="00BB15A2" w:rsidRDefault="00BB15A2" w:rsidP="00A0496E">
            <w:pPr>
              <w:autoSpaceDE w:val="0"/>
              <w:autoSpaceDN w:val="0"/>
              <w:adjustRightInd w:val="0"/>
            </w:pPr>
            <w:r>
              <w:rPr>
                <w:color w:val="0000FF"/>
                <w:u w:val="single"/>
              </w:rPr>
              <w:t>ricks@ohanet.org</w:t>
            </w:r>
          </w:p>
          <w:p w:rsidR="00BB15A2" w:rsidRDefault="00BB15A2" w:rsidP="00A0496E">
            <w:pPr>
              <w:autoSpaceDE w:val="0"/>
              <w:autoSpaceDN w:val="0"/>
              <w:adjustRightInd w:val="0"/>
            </w:pPr>
            <w:r>
              <w:rPr>
                <w:color w:val="0000FF"/>
                <w:u w:val="single"/>
              </w:rPr>
              <w:t>tobrien@bricker.com</w:t>
            </w:r>
          </w:p>
          <w:p w:rsidR="00BB15A2" w:rsidRDefault="00BB15A2" w:rsidP="00A0496E">
            <w:pPr>
              <w:autoSpaceDE w:val="0"/>
              <w:autoSpaceDN w:val="0"/>
              <w:adjustRightInd w:val="0"/>
              <w:rPr>
                <w:color w:val="0000FF"/>
              </w:rPr>
            </w:pPr>
            <w:r>
              <w:rPr>
                <w:color w:val="0000FF"/>
                <w:u w:val="single"/>
              </w:rPr>
              <w:t>tsiwo@bricker.com</w:t>
            </w:r>
          </w:p>
          <w:p w:rsidR="00BB15A2" w:rsidRDefault="00BB15A2" w:rsidP="00A0496E">
            <w:pPr>
              <w:autoSpaceDE w:val="0"/>
              <w:autoSpaceDN w:val="0"/>
              <w:adjustRightInd w:val="0"/>
              <w:rPr>
                <w:color w:val="0000FF"/>
              </w:rPr>
            </w:pPr>
            <w:r>
              <w:rPr>
                <w:color w:val="0000FF"/>
                <w:u w:val="single"/>
              </w:rPr>
              <w:t>gpoulos@enernoc.com</w:t>
            </w:r>
          </w:p>
          <w:p w:rsidR="00BB15A2" w:rsidRDefault="00BB15A2" w:rsidP="00A0496E">
            <w:pPr>
              <w:autoSpaceDE w:val="0"/>
              <w:autoSpaceDN w:val="0"/>
              <w:adjustRightInd w:val="0"/>
            </w:pPr>
            <w:r>
              <w:rPr>
                <w:color w:val="0000FF"/>
                <w:u w:val="single"/>
              </w:rPr>
              <w:t>sam@mwncmh.com</w:t>
            </w:r>
          </w:p>
          <w:p w:rsidR="00BB15A2" w:rsidRDefault="00BB15A2" w:rsidP="00A0496E">
            <w:pPr>
              <w:autoSpaceDE w:val="0"/>
              <w:autoSpaceDN w:val="0"/>
              <w:adjustRightInd w:val="0"/>
            </w:pPr>
            <w:r>
              <w:rPr>
                <w:color w:val="0000FF"/>
                <w:u w:val="single"/>
              </w:rPr>
              <w:t>fdarr@mwncmh.com</w:t>
            </w:r>
          </w:p>
          <w:p w:rsidR="00BB15A2" w:rsidRDefault="00BB15A2" w:rsidP="00A0496E">
            <w:pPr>
              <w:autoSpaceDE w:val="0"/>
              <w:autoSpaceDN w:val="0"/>
              <w:adjustRightInd w:val="0"/>
            </w:pPr>
            <w:r>
              <w:rPr>
                <w:color w:val="0000FF"/>
                <w:u w:val="single"/>
              </w:rPr>
              <w:t>mpritchard@mwncmh.com</w:t>
            </w:r>
          </w:p>
          <w:p w:rsidR="00BB15A2" w:rsidRDefault="00BB15A2" w:rsidP="00A0496E">
            <w:pPr>
              <w:autoSpaceDE w:val="0"/>
              <w:autoSpaceDN w:val="0"/>
              <w:adjustRightInd w:val="0"/>
            </w:pPr>
            <w:r>
              <w:rPr>
                <w:color w:val="0000FF"/>
                <w:u w:val="single"/>
              </w:rPr>
              <w:t>mlavanga@bbrslaw.com</w:t>
            </w:r>
          </w:p>
          <w:p w:rsidR="00381EFA" w:rsidRDefault="00591944" w:rsidP="00A0496E">
            <w:pPr>
              <w:autoSpaceDE w:val="0"/>
              <w:autoSpaceDN w:val="0"/>
              <w:adjustRightInd w:val="0"/>
              <w:rPr>
                <w:szCs w:val="24"/>
              </w:rPr>
            </w:pPr>
            <w:r w:rsidRPr="00E92A72">
              <w:t>robinson@citizenpower.com</w:t>
            </w:r>
            <w:r w:rsidRPr="00E92A72">
              <w:rPr>
                <w:szCs w:val="24"/>
              </w:rPr>
              <w:t>swilliams@nrdc.org</w:t>
            </w:r>
          </w:p>
          <w:p w:rsidR="00381EFA" w:rsidRDefault="00591944" w:rsidP="00A0496E">
            <w:pPr>
              <w:autoSpaceDE w:val="0"/>
              <w:autoSpaceDN w:val="0"/>
              <w:adjustRightInd w:val="0"/>
              <w:rPr>
                <w:szCs w:val="24"/>
              </w:rPr>
            </w:pPr>
            <w:r w:rsidRPr="00E92A72">
              <w:rPr>
                <w:szCs w:val="24"/>
              </w:rPr>
              <w:t>rbrundrett@ohiomfg.com</w:t>
            </w:r>
          </w:p>
          <w:p w:rsidR="00381EFA" w:rsidRDefault="00591944" w:rsidP="00A0496E">
            <w:pPr>
              <w:autoSpaceDE w:val="0"/>
              <w:autoSpaceDN w:val="0"/>
              <w:adjustRightInd w:val="0"/>
              <w:rPr>
                <w:szCs w:val="24"/>
              </w:rPr>
            </w:pPr>
            <w:r w:rsidRPr="00E92A72">
              <w:rPr>
                <w:szCs w:val="24"/>
              </w:rPr>
              <w:t>hussey@carpenterlipps.com</w:t>
            </w:r>
          </w:p>
          <w:p w:rsidR="00BB15A2" w:rsidRDefault="00591944" w:rsidP="00A0496E">
            <w:pPr>
              <w:autoSpaceDE w:val="0"/>
              <w:autoSpaceDN w:val="0"/>
              <w:adjustRightInd w:val="0"/>
              <w:rPr>
                <w:szCs w:val="24"/>
              </w:rPr>
            </w:pPr>
            <w:r w:rsidRPr="00E92A72">
              <w:rPr>
                <w:szCs w:val="24"/>
              </w:rPr>
              <w:t>Bojko@carpenterlipps.com</w:t>
            </w:r>
          </w:p>
          <w:p w:rsidR="00591944" w:rsidRDefault="00591944" w:rsidP="00A0496E">
            <w:pPr>
              <w:autoSpaceDE w:val="0"/>
              <w:autoSpaceDN w:val="0"/>
              <w:adjustRightInd w:val="0"/>
              <w:rPr>
                <w:szCs w:val="24"/>
              </w:rPr>
            </w:pPr>
          </w:p>
          <w:p w:rsidR="00381EFA" w:rsidRDefault="00381EFA" w:rsidP="00A0496E">
            <w:pPr>
              <w:autoSpaceDE w:val="0"/>
              <w:autoSpaceDN w:val="0"/>
              <w:adjustRightInd w:val="0"/>
              <w:rPr>
                <w:color w:val="0000FF"/>
                <w:szCs w:val="24"/>
              </w:rPr>
            </w:pPr>
          </w:p>
          <w:p w:rsidR="00BB15A2" w:rsidRDefault="00BB15A2" w:rsidP="00A0496E">
            <w:pPr>
              <w:autoSpaceDE w:val="0"/>
              <w:autoSpaceDN w:val="0"/>
              <w:adjustRightInd w:val="0"/>
              <w:rPr>
                <w:color w:val="0000FF"/>
                <w:szCs w:val="24"/>
              </w:rPr>
            </w:pPr>
          </w:p>
          <w:p w:rsidR="00BB15A2" w:rsidRDefault="00BB15A2" w:rsidP="00A0496E">
            <w:pPr>
              <w:autoSpaceDE w:val="0"/>
              <w:autoSpaceDN w:val="0"/>
              <w:adjustRightInd w:val="0"/>
              <w:rPr>
                <w:bCs/>
              </w:rPr>
            </w:pPr>
          </w:p>
        </w:tc>
      </w:tr>
      <w:tr w:rsidR="00591944" w:rsidTr="00A0496E">
        <w:tc>
          <w:tcPr>
            <w:tcW w:w="4428" w:type="dxa"/>
            <w:shd w:val="clear" w:color="auto" w:fill="auto"/>
          </w:tcPr>
          <w:p w:rsidR="00591944" w:rsidRDefault="00591944" w:rsidP="00A0496E">
            <w:pPr>
              <w:autoSpaceDE w:val="0"/>
              <w:autoSpaceDN w:val="0"/>
              <w:adjustRightInd w:val="0"/>
              <w:rPr>
                <w:bCs/>
                <w:color w:val="0000FF"/>
                <w:u w:val="single"/>
              </w:rPr>
            </w:pPr>
          </w:p>
        </w:tc>
        <w:tc>
          <w:tcPr>
            <w:tcW w:w="4428" w:type="dxa"/>
            <w:shd w:val="clear" w:color="auto" w:fill="auto"/>
          </w:tcPr>
          <w:p w:rsidR="00591944" w:rsidRDefault="00591944" w:rsidP="00A0496E">
            <w:pPr>
              <w:autoSpaceDE w:val="0"/>
              <w:autoSpaceDN w:val="0"/>
              <w:adjustRightInd w:val="0"/>
              <w:rPr>
                <w:color w:val="0000FF"/>
                <w:u w:val="single"/>
              </w:rPr>
            </w:pPr>
          </w:p>
        </w:tc>
      </w:tr>
    </w:tbl>
    <w:p w:rsidR="00BB15A2" w:rsidRDefault="00BB15A2" w:rsidP="00BB15A2">
      <w:pPr>
        <w:spacing w:line="480" w:lineRule="auto"/>
        <w:rPr>
          <w:b/>
          <w:bCs/>
          <w:u w:val="single"/>
        </w:rPr>
      </w:pPr>
    </w:p>
    <w:sectPr w:rsidR="00BB15A2" w:rsidSect="00663E9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46" w:rsidRDefault="004B1F46">
      <w:r>
        <w:separator/>
      </w:r>
    </w:p>
    <w:p w:rsidR="004B1F46" w:rsidRDefault="004B1F46"/>
    <w:p w:rsidR="004B1F46" w:rsidRDefault="004B1F46"/>
  </w:endnote>
  <w:endnote w:type="continuationSeparator" w:id="0">
    <w:p w:rsidR="004B1F46" w:rsidRDefault="004B1F46">
      <w:r>
        <w:continuationSeparator/>
      </w:r>
    </w:p>
    <w:p w:rsidR="004B1F46" w:rsidRDefault="004B1F46"/>
    <w:p w:rsidR="004B1F46" w:rsidRDefault="004B1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72" w:rsidRDefault="00E92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11188"/>
      <w:docPartObj>
        <w:docPartGallery w:val="Page Numbers (Bottom of Page)"/>
        <w:docPartUnique/>
      </w:docPartObj>
    </w:sdtPr>
    <w:sdtEndPr>
      <w:rPr>
        <w:noProof/>
      </w:rPr>
    </w:sdtEndPr>
    <w:sdtContent>
      <w:p w:rsidR="00663E9D" w:rsidRDefault="00663E9D">
        <w:pPr>
          <w:pStyle w:val="Footer"/>
          <w:jc w:val="center"/>
        </w:pPr>
        <w:r>
          <w:fldChar w:fldCharType="begin"/>
        </w:r>
        <w:r>
          <w:instrText xml:space="preserve"> PAGE   \* MERGEFORMAT </w:instrText>
        </w:r>
        <w:r>
          <w:fldChar w:fldCharType="separate"/>
        </w:r>
        <w:r w:rsidR="004E4D01">
          <w:rPr>
            <w:noProof/>
          </w:rPr>
          <w:t>2</w:t>
        </w:r>
        <w:r>
          <w:rPr>
            <w:noProof/>
          </w:rPr>
          <w:fldChar w:fldCharType="end"/>
        </w:r>
      </w:p>
    </w:sdtContent>
  </w:sdt>
  <w:p w:rsidR="00AA087D" w:rsidRDefault="00AA08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34303"/>
      <w:docPartObj>
        <w:docPartGallery w:val="Page Numbers (Bottom of Page)"/>
        <w:docPartUnique/>
      </w:docPartObj>
    </w:sdtPr>
    <w:sdtEndPr>
      <w:rPr>
        <w:noProof/>
      </w:rPr>
    </w:sdtEndPr>
    <w:sdtContent>
      <w:p w:rsidR="00663E9D" w:rsidRDefault="00663E9D">
        <w:pPr>
          <w:pStyle w:val="Footer"/>
          <w:jc w:val="center"/>
        </w:pPr>
        <w:r>
          <w:fldChar w:fldCharType="begin"/>
        </w:r>
        <w:r>
          <w:instrText xml:space="preserve"> PAGE   \* MERGEFORMAT </w:instrText>
        </w:r>
        <w:r>
          <w:fldChar w:fldCharType="separate"/>
        </w:r>
        <w:r w:rsidR="004E4D01">
          <w:rPr>
            <w:noProof/>
          </w:rPr>
          <w:t>1</w:t>
        </w:r>
        <w:r>
          <w:rPr>
            <w:noProof/>
          </w:rPr>
          <w:fldChar w:fldCharType="end"/>
        </w:r>
      </w:p>
    </w:sdtContent>
  </w:sdt>
  <w:p w:rsidR="00C775A4" w:rsidRDefault="00C77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46" w:rsidRDefault="004B1F46">
      <w:r>
        <w:separator/>
      </w:r>
    </w:p>
  </w:footnote>
  <w:footnote w:type="continuationSeparator" w:id="0">
    <w:p w:rsidR="004B1F46" w:rsidRDefault="004B1F46">
      <w:r>
        <w:continuationSeparator/>
      </w:r>
    </w:p>
    <w:p w:rsidR="004B1F46" w:rsidRDefault="004B1F46"/>
    <w:p w:rsidR="004B1F46" w:rsidRDefault="004B1F46"/>
  </w:footnote>
  <w:footnote w:id="1">
    <w:p w:rsidR="005403BE" w:rsidRDefault="005403BE" w:rsidP="006C47CE">
      <w:pPr>
        <w:pStyle w:val="FootnoteText"/>
        <w:spacing w:after="120"/>
      </w:pPr>
      <w:r>
        <w:rPr>
          <w:rStyle w:val="FootnoteReference"/>
        </w:rPr>
        <w:footnoteRef/>
      </w:r>
      <w:r>
        <w:t xml:space="preserve"> </w:t>
      </w:r>
      <w:r w:rsidRPr="005403BE">
        <w:rPr>
          <w:szCs w:val="24"/>
        </w:rPr>
        <w:t>Ohio Edison Company, Cleveland Electric Illuminating Company, and Toledo Edison Company</w:t>
      </w:r>
      <w:r w:rsidR="0044249E">
        <w:rPr>
          <w:szCs w:val="24"/>
        </w:rPr>
        <w:t>.</w:t>
      </w:r>
    </w:p>
  </w:footnote>
  <w:footnote w:id="2">
    <w:p w:rsidR="005403BE" w:rsidRDefault="005403BE" w:rsidP="006C47CE">
      <w:pPr>
        <w:pStyle w:val="FootnoteText"/>
        <w:spacing w:after="120"/>
      </w:pPr>
      <w:r>
        <w:rPr>
          <w:rStyle w:val="FootnoteReference"/>
        </w:rPr>
        <w:footnoteRef/>
      </w:r>
      <w:r>
        <w:t xml:space="preserve"> Specifically uncodified Section 6 (A)(2) of Senate Bill 310.</w:t>
      </w:r>
    </w:p>
  </w:footnote>
  <w:footnote w:id="3">
    <w:p w:rsidR="00FD577E" w:rsidRDefault="00FD577E" w:rsidP="00663E9D">
      <w:pPr>
        <w:pStyle w:val="FootnoteText"/>
        <w:spacing w:after="120"/>
      </w:pPr>
      <w:r>
        <w:rPr>
          <w:rStyle w:val="FootnoteReference"/>
        </w:rPr>
        <w:footnoteRef/>
      </w:r>
      <w:r>
        <w:t xml:space="preserve"> </w:t>
      </w:r>
      <w:r w:rsidR="00100432">
        <w:t>Case No. 12-2190-EL-POR, Energy Efficiency and Peak Demand Reduction Portfolio at 4, (July 31, 2012). The Total Discounted Lifetime Benefits estimate is for the period of 2013 through 2015, and based upon the Utility’s Portfolio filed on July 1, 2012.</w:t>
      </w:r>
    </w:p>
  </w:footnote>
  <w:footnote w:id="4">
    <w:p w:rsidR="005403BE" w:rsidRDefault="005403BE" w:rsidP="006C47CE">
      <w:pPr>
        <w:pStyle w:val="FootnoteText"/>
        <w:spacing w:after="120"/>
      </w:pPr>
      <w:r>
        <w:rPr>
          <w:rStyle w:val="FootnoteReference"/>
        </w:rPr>
        <w:footnoteRef/>
      </w:r>
      <w:r>
        <w:t xml:space="preserve"> The Ohio Manufacturer’s Association, Ohio Partners for Affordable Energy, Environmental Advocates, PUCO Staff, Industrial Energy Users-Ohio, and Ohio Hospital Association also filed Comments in this docket on October 20, 2014.</w:t>
      </w:r>
    </w:p>
  </w:footnote>
  <w:footnote w:id="5">
    <w:p w:rsidR="009811A4" w:rsidRPr="00A70EB3" w:rsidRDefault="009811A4" w:rsidP="0044249E">
      <w:pPr>
        <w:pStyle w:val="FootnoteText"/>
        <w:spacing w:after="120"/>
      </w:pPr>
      <w:r w:rsidRPr="00A70EB3">
        <w:rPr>
          <w:rStyle w:val="FootnoteReference"/>
        </w:rPr>
        <w:footnoteRef/>
      </w:r>
      <w:r w:rsidRPr="00A70EB3">
        <w:t xml:space="preserve"> </w:t>
      </w:r>
      <w:r w:rsidR="00B5620B" w:rsidRPr="00B5620B">
        <w:rPr>
          <w:i/>
        </w:rPr>
        <w:t>In the Matter of the Application of Ohio Edison Company, The Cleveland Electric Illuminating Company, and The Toledo Edison Company For Approval of Their Energy Efficiency and Peak Demand Reduction Program Portfolio Plans for 2013 through 2015</w:t>
      </w:r>
      <w:r w:rsidR="00B5620B">
        <w:t xml:space="preserve">, Case No. 12-2190-El-POR, </w:t>
      </w:r>
      <w:r w:rsidRPr="00A70EB3">
        <w:t xml:space="preserve">OCC </w:t>
      </w:r>
      <w:r>
        <w:t xml:space="preserve">Comments </w:t>
      </w:r>
      <w:r w:rsidRPr="00A70EB3">
        <w:t xml:space="preserve">at </w:t>
      </w:r>
      <w:r w:rsidR="009B766B">
        <w:t>17</w:t>
      </w:r>
      <w:r w:rsidR="00B5620B">
        <w:t xml:space="preserve"> (October 20, 2014)</w:t>
      </w:r>
      <w:r w:rsidRPr="00A70EB3">
        <w:t>.</w:t>
      </w:r>
    </w:p>
  </w:footnote>
  <w:footnote w:id="6">
    <w:p w:rsidR="009811A4" w:rsidRPr="00A70EB3" w:rsidRDefault="009811A4" w:rsidP="0044249E">
      <w:pPr>
        <w:pStyle w:val="FootnoteText"/>
        <w:spacing w:after="120"/>
      </w:pPr>
      <w:r w:rsidRPr="00A70EB3">
        <w:rPr>
          <w:rStyle w:val="FootnoteReference"/>
        </w:rPr>
        <w:footnoteRef/>
      </w:r>
      <w:r w:rsidRPr="00A70EB3">
        <w:t xml:space="preserve"> </w:t>
      </w:r>
      <w:r w:rsidR="005403BE">
        <w:t>Id</w:t>
      </w:r>
      <w:r w:rsidRPr="00A70EB3">
        <w:t>.</w:t>
      </w:r>
    </w:p>
  </w:footnote>
  <w:footnote w:id="7">
    <w:p w:rsidR="009811A4" w:rsidRDefault="009811A4" w:rsidP="0044249E">
      <w:pPr>
        <w:pStyle w:val="FootnoteText"/>
        <w:spacing w:after="120"/>
      </w:pPr>
      <w:r>
        <w:rPr>
          <w:rStyle w:val="FootnoteReference"/>
        </w:rPr>
        <w:footnoteRef/>
      </w:r>
      <w:r>
        <w:t xml:space="preserve"> </w:t>
      </w:r>
      <w:r w:rsidR="005403BE">
        <w:t>Id</w:t>
      </w:r>
      <w:r w:rsidR="009B766B">
        <w:t>.</w:t>
      </w:r>
    </w:p>
  </w:footnote>
  <w:footnote w:id="8">
    <w:p w:rsidR="009811A4" w:rsidRPr="00A70EB3" w:rsidRDefault="009811A4" w:rsidP="0044249E">
      <w:pPr>
        <w:pStyle w:val="FootnoteText"/>
        <w:spacing w:after="120"/>
      </w:pPr>
      <w:r w:rsidRPr="00A70EB3">
        <w:rPr>
          <w:rStyle w:val="FootnoteReference"/>
        </w:rPr>
        <w:footnoteRef/>
      </w:r>
      <w:r w:rsidRPr="00A70EB3">
        <w:t xml:space="preserve"> </w:t>
      </w:r>
      <w:r w:rsidR="005403BE">
        <w:t>Id</w:t>
      </w:r>
      <w:r w:rsidRPr="00A70EB3">
        <w:t>.</w:t>
      </w:r>
    </w:p>
  </w:footnote>
  <w:footnote w:id="9">
    <w:p w:rsidR="009811A4" w:rsidRPr="00A70EB3" w:rsidRDefault="009811A4" w:rsidP="0044249E">
      <w:pPr>
        <w:pStyle w:val="FootnoteText"/>
        <w:spacing w:after="120"/>
      </w:pPr>
      <w:r w:rsidRPr="007F0BD5">
        <w:rPr>
          <w:rStyle w:val="FootnoteReference"/>
        </w:rPr>
        <w:footnoteRef/>
      </w:r>
      <w:r w:rsidRPr="007F0BD5">
        <w:t xml:space="preserve"> </w:t>
      </w:r>
      <w:r w:rsidR="005403BE">
        <w:t>Id</w:t>
      </w:r>
      <w:r w:rsidR="00F12487">
        <w:t>.</w:t>
      </w:r>
    </w:p>
  </w:footnote>
  <w:footnote w:id="10">
    <w:p w:rsidR="009811A4" w:rsidRPr="001D0AF9" w:rsidRDefault="009811A4" w:rsidP="0044249E">
      <w:pPr>
        <w:pStyle w:val="FootnoteText"/>
        <w:spacing w:after="120"/>
      </w:pPr>
      <w:r w:rsidRPr="001D0AF9">
        <w:rPr>
          <w:rStyle w:val="FootnoteReference"/>
        </w:rPr>
        <w:footnoteRef/>
      </w:r>
      <w:r w:rsidRPr="001D0AF9">
        <w:t xml:space="preserve"> </w:t>
      </w:r>
      <w:r w:rsidR="005403BE">
        <w:t>Id</w:t>
      </w:r>
      <w:r w:rsidR="00F12487">
        <w:t xml:space="preserve"> at 18.</w:t>
      </w:r>
    </w:p>
  </w:footnote>
  <w:footnote w:id="11">
    <w:p w:rsidR="000F110C" w:rsidRDefault="000F110C" w:rsidP="0044249E">
      <w:pPr>
        <w:pStyle w:val="FootnoteText"/>
        <w:spacing w:after="120"/>
      </w:pPr>
      <w:r>
        <w:rPr>
          <w:rStyle w:val="FootnoteReference"/>
        </w:rPr>
        <w:footnoteRef/>
      </w:r>
      <w:r>
        <w:t xml:space="preserve"> OMA Comments at 8.</w:t>
      </w:r>
    </w:p>
  </w:footnote>
  <w:footnote w:id="12">
    <w:p w:rsidR="009811A4" w:rsidRPr="00A70EB3" w:rsidRDefault="009811A4" w:rsidP="0044249E">
      <w:pPr>
        <w:pStyle w:val="FootnoteText"/>
        <w:spacing w:after="120"/>
      </w:pPr>
      <w:r w:rsidRPr="00A70EB3">
        <w:rPr>
          <w:rStyle w:val="FootnoteReference"/>
        </w:rPr>
        <w:footnoteRef/>
      </w:r>
      <w:r w:rsidRPr="00A70EB3">
        <w:t xml:space="preserve"> </w:t>
      </w:r>
      <w:r w:rsidR="00905C12">
        <w:t>Id</w:t>
      </w:r>
      <w:r w:rsidRPr="00A70EB3">
        <w:t xml:space="preserve"> at 8.</w:t>
      </w:r>
    </w:p>
  </w:footnote>
  <w:footnote w:id="13">
    <w:p w:rsidR="009811A4" w:rsidRPr="001D0AF9" w:rsidRDefault="009811A4" w:rsidP="0044249E">
      <w:pPr>
        <w:pStyle w:val="FootnoteText"/>
        <w:spacing w:after="120"/>
      </w:pPr>
      <w:r w:rsidRPr="001D0AF9">
        <w:rPr>
          <w:rStyle w:val="FootnoteReference"/>
        </w:rPr>
        <w:footnoteRef/>
      </w:r>
      <w:r w:rsidRPr="001D0AF9">
        <w:t xml:space="preserve"> Staff </w:t>
      </w:r>
      <w:r>
        <w:t xml:space="preserve">Comments </w:t>
      </w:r>
      <w:r w:rsidRPr="001D0AF9">
        <w:t>at</w:t>
      </w:r>
      <w:r w:rsidR="00F12487">
        <w:t xml:space="preserve"> 6</w:t>
      </w:r>
      <w:r w:rsidR="007F0BD5">
        <w:t>.</w:t>
      </w:r>
    </w:p>
  </w:footnote>
  <w:footnote w:id="14">
    <w:p w:rsidR="009811A4" w:rsidRPr="001D0AF9" w:rsidRDefault="009811A4" w:rsidP="0044249E">
      <w:pPr>
        <w:pStyle w:val="FootnoteText"/>
        <w:spacing w:after="120"/>
      </w:pPr>
      <w:r w:rsidRPr="001D0AF9">
        <w:rPr>
          <w:rStyle w:val="FootnoteReference"/>
        </w:rPr>
        <w:footnoteRef/>
      </w:r>
      <w:r w:rsidRPr="001D0AF9">
        <w:t xml:space="preserve"> </w:t>
      </w:r>
      <w:r w:rsidR="00905C12">
        <w:t>Id</w:t>
      </w:r>
      <w:r w:rsidRPr="001D0AF9">
        <w:t xml:space="preserve"> at 7.</w:t>
      </w:r>
    </w:p>
  </w:footnote>
  <w:footnote w:id="15">
    <w:p w:rsidR="009811A4" w:rsidRPr="001D0AF9" w:rsidRDefault="009811A4" w:rsidP="0044249E">
      <w:pPr>
        <w:pStyle w:val="FootnoteText"/>
        <w:spacing w:after="120"/>
      </w:pPr>
      <w:r w:rsidRPr="001D0AF9">
        <w:rPr>
          <w:rStyle w:val="FootnoteReference"/>
        </w:rPr>
        <w:footnoteRef/>
      </w:r>
      <w:r w:rsidRPr="001D0AF9">
        <w:t xml:space="preserve"> </w:t>
      </w:r>
      <w:r w:rsidR="00905C12">
        <w:t>Id</w:t>
      </w:r>
      <w:r w:rsidRPr="001D0AF9">
        <w:t xml:space="preserve"> at 2.</w:t>
      </w:r>
    </w:p>
  </w:footnote>
  <w:footnote w:id="16">
    <w:p w:rsidR="009811A4" w:rsidRPr="001D0AF9" w:rsidRDefault="009811A4" w:rsidP="0044249E">
      <w:pPr>
        <w:pStyle w:val="FootnoteText"/>
        <w:spacing w:after="120"/>
      </w:pPr>
      <w:r w:rsidRPr="001D0AF9">
        <w:rPr>
          <w:rStyle w:val="FootnoteReference"/>
        </w:rPr>
        <w:footnoteRef/>
      </w:r>
      <w:r w:rsidRPr="001D0AF9">
        <w:t xml:space="preserve"> OCC</w:t>
      </w:r>
      <w:r>
        <w:t xml:space="preserve"> Comments</w:t>
      </w:r>
      <w:r w:rsidRPr="001D0AF9">
        <w:t xml:space="preserve"> at 7.</w:t>
      </w:r>
    </w:p>
  </w:footnote>
  <w:footnote w:id="17">
    <w:p w:rsidR="009811A4" w:rsidRDefault="009811A4" w:rsidP="0044249E">
      <w:pPr>
        <w:pStyle w:val="FootnoteText"/>
        <w:spacing w:after="120"/>
      </w:pPr>
      <w:r w:rsidRPr="001D0AF9">
        <w:rPr>
          <w:rStyle w:val="FootnoteReference"/>
        </w:rPr>
        <w:footnoteRef/>
      </w:r>
      <w:r w:rsidRPr="001D0AF9">
        <w:t xml:space="preserve"> Staff</w:t>
      </w:r>
      <w:r>
        <w:t xml:space="preserve"> Comments</w:t>
      </w:r>
      <w:r w:rsidRPr="001D0AF9">
        <w:t xml:space="preserve"> at 3.</w:t>
      </w:r>
    </w:p>
  </w:footnote>
  <w:footnote w:id="18">
    <w:p w:rsidR="009811A4" w:rsidRDefault="009811A4" w:rsidP="0044249E">
      <w:pPr>
        <w:pStyle w:val="FootnoteText"/>
        <w:spacing w:after="120"/>
      </w:pPr>
      <w:r>
        <w:rPr>
          <w:rStyle w:val="FootnoteReference"/>
        </w:rPr>
        <w:footnoteRef/>
      </w:r>
      <w:r>
        <w:t xml:space="preserve"> OPAE</w:t>
      </w:r>
      <w:r w:rsidR="00F12487">
        <w:t xml:space="preserve"> Comments</w:t>
      </w:r>
      <w:r>
        <w:t xml:space="preserve"> at 5.</w:t>
      </w:r>
    </w:p>
  </w:footnote>
  <w:footnote w:id="19">
    <w:p w:rsidR="004E5AF8" w:rsidRDefault="004E5AF8" w:rsidP="0044249E">
      <w:pPr>
        <w:pStyle w:val="FootnoteText"/>
        <w:spacing w:after="120"/>
      </w:pPr>
      <w:r>
        <w:rPr>
          <w:rStyle w:val="FootnoteReference"/>
        </w:rPr>
        <w:footnoteRef/>
      </w:r>
      <w:r>
        <w:t xml:space="preserve"> OCC Comments at</w:t>
      </w:r>
      <w:r w:rsidR="003A3027">
        <w:t xml:space="preserve"> 11</w:t>
      </w:r>
      <w:r>
        <w:t>.</w:t>
      </w:r>
    </w:p>
  </w:footnote>
  <w:footnote w:id="20">
    <w:p w:rsidR="007F0BD5" w:rsidRDefault="007F0BD5" w:rsidP="0044249E">
      <w:pPr>
        <w:pStyle w:val="FootnoteText"/>
        <w:spacing w:after="120"/>
      </w:pPr>
      <w:r>
        <w:rPr>
          <w:rStyle w:val="FootnoteReference"/>
        </w:rPr>
        <w:footnoteRef/>
      </w:r>
      <w:r>
        <w:t xml:space="preserve"> Staff Comments at 3.</w:t>
      </w:r>
    </w:p>
  </w:footnote>
  <w:footnote w:id="21">
    <w:p w:rsidR="007F0BD5" w:rsidRDefault="007F0BD5" w:rsidP="0044249E">
      <w:pPr>
        <w:pStyle w:val="FootnoteText"/>
        <w:spacing w:after="120"/>
      </w:pPr>
      <w:r>
        <w:rPr>
          <w:rStyle w:val="FootnoteReference"/>
        </w:rPr>
        <w:footnoteRef/>
      </w:r>
      <w:r>
        <w:t xml:space="preserve"> </w:t>
      </w:r>
      <w:r w:rsidR="00905C12">
        <w:t>Id</w:t>
      </w:r>
      <w:r>
        <w:t>.</w:t>
      </w:r>
    </w:p>
  </w:footnote>
  <w:footnote w:id="22">
    <w:p w:rsidR="007F0BD5" w:rsidRDefault="007F0BD5" w:rsidP="0044249E">
      <w:pPr>
        <w:pStyle w:val="FootnoteText"/>
        <w:spacing w:after="120"/>
      </w:pPr>
      <w:r>
        <w:rPr>
          <w:rStyle w:val="FootnoteReference"/>
        </w:rPr>
        <w:footnoteRef/>
      </w:r>
      <w:r>
        <w:t xml:space="preserve"> FirstEnergy only report</w:t>
      </w:r>
      <w:r w:rsidR="0000324B">
        <w:t>s</w:t>
      </w:r>
      <w:r>
        <w:t xml:space="preserve"> Total Resource Cost (“TRC”)</w:t>
      </w:r>
      <w:r w:rsidR="0000324B">
        <w:t xml:space="preserve"> </w:t>
      </w:r>
      <w:r>
        <w:t>test results in the aggregate</w:t>
      </w:r>
      <w:r w:rsidR="0000324B">
        <w:t>;</w:t>
      </w:r>
      <w:r>
        <w:t xml:space="preserve"> however, other utilities do report TRC results by program type. For example, Ohio Power’s 2012-2014 Portfolio Plan reported a TRC result of 0.5 for its Community Assistance Program, AEP Ohio, </w:t>
      </w:r>
      <w:r w:rsidRPr="00F47B31">
        <w:rPr>
          <w:i/>
        </w:rPr>
        <w:t xml:space="preserve">Volume 1: 2012 </w:t>
      </w:r>
      <w:r>
        <w:rPr>
          <w:i/>
        </w:rPr>
        <w:t>t</w:t>
      </w:r>
      <w:r w:rsidRPr="00F47B31">
        <w:rPr>
          <w:i/>
        </w:rPr>
        <w:t>o 2014 Energy Efficiency/Peak Demand Reduction (E</w:t>
      </w:r>
      <w:r>
        <w:rPr>
          <w:i/>
        </w:rPr>
        <w:t>E</w:t>
      </w:r>
      <w:r w:rsidRPr="00F47B31">
        <w:rPr>
          <w:i/>
        </w:rPr>
        <w:t>/P</w:t>
      </w:r>
      <w:r>
        <w:rPr>
          <w:i/>
        </w:rPr>
        <w:t>DR</w:t>
      </w:r>
      <w:r w:rsidRPr="00F47B31">
        <w:rPr>
          <w:i/>
        </w:rPr>
        <w:t>) Action Plan</w:t>
      </w:r>
      <w:r>
        <w:t xml:space="preserve">, </w:t>
      </w:r>
      <w:r w:rsidRPr="00210690">
        <w:t>Case No. 11-5568-EL-POR</w:t>
      </w:r>
      <w:r>
        <w:t xml:space="preserve">, </w:t>
      </w:r>
      <w:r w:rsidRPr="00F47B31">
        <w:t>November 29, 2011</w:t>
      </w:r>
      <w:r>
        <w:t>, at 12.</w:t>
      </w:r>
    </w:p>
  </w:footnote>
  <w:footnote w:id="23">
    <w:p w:rsidR="002F6412" w:rsidRDefault="002F6412" w:rsidP="0044249E">
      <w:pPr>
        <w:pStyle w:val="FootnoteText"/>
        <w:spacing w:after="120"/>
      </w:pPr>
      <w:r>
        <w:rPr>
          <w:rStyle w:val="FootnoteReference"/>
        </w:rPr>
        <w:footnoteRef/>
      </w:r>
      <w:r>
        <w:t xml:space="preserve"> Staff Comments at 4.</w:t>
      </w:r>
    </w:p>
  </w:footnote>
  <w:footnote w:id="24">
    <w:p w:rsidR="006B5C49" w:rsidRDefault="006B5C49" w:rsidP="0044249E">
      <w:pPr>
        <w:pStyle w:val="FootnoteText"/>
        <w:spacing w:after="120"/>
      </w:pPr>
      <w:r>
        <w:rPr>
          <w:rStyle w:val="FootnoteReference"/>
        </w:rPr>
        <w:footnoteRef/>
      </w:r>
      <w:r>
        <w:t xml:space="preserve"> Amended by Senate Bill 310.</w:t>
      </w:r>
    </w:p>
  </w:footnote>
  <w:footnote w:id="25">
    <w:p w:rsidR="002F6412" w:rsidRDefault="002F6412" w:rsidP="0044249E">
      <w:pPr>
        <w:pStyle w:val="FootnoteText"/>
        <w:spacing w:after="120"/>
      </w:pPr>
      <w:r>
        <w:rPr>
          <w:rStyle w:val="FootnoteReference"/>
        </w:rPr>
        <w:footnoteRef/>
      </w:r>
      <w:r>
        <w:t xml:space="preserve"> Staff Comments at 4.</w:t>
      </w:r>
    </w:p>
  </w:footnote>
  <w:footnote w:id="26">
    <w:p w:rsidR="006B5C49" w:rsidRDefault="006B5C49" w:rsidP="0044249E">
      <w:pPr>
        <w:pStyle w:val="FootnoteText"/>
        <w:spacing w:after="120"/>
      </w:pPr>
      <w:r>
        <w:rPr>
          <w:rStyle w:val="FootnoteReference"/>
        </w:rPr>
        <w:footnoteRef/>
      </w:r>
      <w:r>
        <w:t xml:space="preserve"> </w:t>
      </w:r>
      <w:r w:rsidR="00B5620B">
        <w:t>FirstEnergy Application at 5</w:t>
      </w:r>
      <w:r>
        <w:t>.</w:t>
      </w:r>
    </w:p>
  </w:footnote>
  <w:footnote w:id="27">
    <w:p w:rsidR="004F7E2D" w:rsidRDefault="004F7E2D">
      <w:pPr>
        <w:pStyle w:val="FootnoteText"/>
      </w:pPr>
      <w:r>
        <w:rPr>
          <w:rStyle w:val="FootnoteReference"/>
        </w:rPr>
        <w:footnoteRef/>
      </w:r>
      <w:r>
        <w:t xml:space="preserve"> Staff Comments at 4.</w:t>
      </w:r>
    </w:p>
  </w:footnote>
  <w:footnote w:id="28">
    <w:p w:rsidR="005A0680" w:rsidRDefault="005A0680" w:rsidP="0044249E">
      <w:pPr>
        <w:pStyle w:val="FootnoteText"/>
        <w:spacing w:after="120"/>
      </w:pPr>
      <w:r>
        <w:rPr>
          <w:rStyle w:val="FootnoteReference"/>
        </w:rPr>
        <w:footnoteRef/>
      </w:r>
      <w:r>
        <w:t xml:space="preserve"> OMA Comments at 6, OCC Comments </w:t>
      </w:r>
      <w:r w:rsidR="00B5620B">
        <w:t>at 6-7</w:t>
      </w:r>
      <w:r>
        <w:t>.</w:t>
      </w:r>
    </w:p>
  </w:footnote>
  <w:footnote w:id="29">
    <w:p w:rsidR="0035670D" w:rsidRDefault="0035670D" w:rsidP="0044249E">
      <w:pPr>
        <w:pStyle w:val="FootnoteText"/>
        <w:spacing w:after="120"/>
      </w:pPr>
      <w:r>
        <w:rPr>
          <w:rStyle w:val="FootnoteReference"/>
        </w:rPr>
        <w:footnoteRef/>
      </w:r>
      <w:r>
        <w:t xml:space="preserve"> OMA Comments at 6.</w:t>
      </w:r>
    </w:p>
  </w:footnote>
  <w:footnote w:id="30">
    <w:p w:rsidR="0035670D" w:rsidRDefault="0035670D" w:rsidP="0044249E">
      <w:pPr>
        <w:pStyle w:val="FootnoteText"/>
        <w:spacing w:after="120"/>
      </w:pPr>
      <w:r>
        <w:rPr>
          <w:rStyle w:val="FootnoteReference"/>
        </w:rPr>
        <w:footnoteRef/>
      </w:r>
      <w:r>
        <w:t xml:space="preserve"> </w:t>
      </w:r>
      <w:r w:rsidR="00905C12">
        <w:t>Id.,</w:t>
      </w:r>
      <w:r w:rsidR="00660A21">
        <w:t xml:space="preserve"> 6-7</w:t>
      </w:r>
      <w:r w:rsidR="00C860FB">
        <w:t>, citing to Case No. 12-2190-</w:t>
      </w:r>
      <w:r w:rsidR="00B5620B">
        <w:t>EL-POR, Opinion and Order at 16</w:t>
      </w:r>
      <w:r w:rsidR="00660A21">
        <w:t>.</w:t>
      </w:r>
    </w:p>
  </w:footnote>
  <w:footnote w:id="31">
    <w:p w:rsidR="00660A21" w:rsidRDefault="00660A21" w:rsidP="0044249E">
      <w:pPr>
        <w:pStyle w:val="FootnoteText"/>
        <w:spacing w:after="120"/>
      </w:pPr>
      <w:r>
        <w:rPr>
          <w:rStyle w:val="FootnoteReference"/>
        </w:rPr>
        <w:footnoteRef/>
      </w:r>
      <w:r>
        <w:t xml:space="preserve"> </w:t>
      </w:r>
      <w:r w:rsidRPr="00660A21">
        <w:rPr>
          <w:i/>
        </w:rPr>
        <w:t>In the Matter of the Application of Columbus Southern Power Company for Approval of its Program Portfolio Plan and Request for Expedited Consideration</w:t>
      </w:r>
      <w:r>
        <w:t>, Case No. 11-5568-EL-POR, et al., Opinion and Order at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72" w:rsidRDefault="00E92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72" w:rsidRDefault="00E92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72" w:rsidRDefault="00E92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F65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CC4568"/>
    <w:lvl w:ilvl="0">
      <w:start w:val="1"/>
      <w:numFmt w:val="decimal"/>
      <w:lvlText w:val="%1."/>
      <w:lvlJc w:val="left"/>
      <w:pPr>
        <w:tabs>
          <w:tab w:val="num" w:pos="1800"/>
        </w:tabs>
        <w:ind w:left="1800" w:hanging="360"/>
      </w:pPr>
    </w:lvl>
  </w:abstractNum>
  <w:abstractNum w:abstractNumId="2">
    <w:nsid w:val="FFFFFF7D"/>
    <w:multiLevelType w:val="singleLevel"/>
    <w:tmpl w:val="4F98F790"/>
    <w:lvl w:ilvl="0">
      <w:start w:val="1"/>
      <w:numFmt w:val="decimal"/>
      <w:lvlText w:val="%1."/>
      <w:lvlJc w:val="left"/>
      <w:pPr>
        <w:tabs>
          <w:tab w:val="num" w:pos="1440"/>
        </w:tabs>
        <w:ind w:left="1440" w:hanging="360"/>
      </w:pPr>
    </w:lvl>
  </w:abstractNum>
  <w:abstractNum w:abstractNumId="3">
    <w:nsid w:val="FFFFFF7E"/>
    <w:multiLevelType w:val="singleLevel"/>
    <w:tmpl w:val="CFD0140C"/>
    <w:lvl w:ilvl="0">
      <w:start w:val="1"/>
      <w:numFmt w:val="decimal"/>
      <w:lvlText w:val="%1."/>
      <w:lvlJc w:val="left"/>
      <w:pPr>
        <w:tabs>
          <w:tab w:val="num" w:pos="1080"/>
        </w:tabs>
        <w:ind w:left="1080" w:hanging="360"/>
      </w:pPr>
    </w:lvl>
  </w:abstractNum>
  <w:abstractNum w:abstractNumId="4">
    <w:nsid w:val="FFFFFF7F"/>
    <w:multiLevelType w:val="singleLevel"/>
    <w:tmpl w:val="C474122E"/>
    <w:lvl w:ilvl="0">
      <w:start w:val="1"/>
      <w:numFmt w:val="decimal"/>
      <w:lvlText w:val="%1."/>
      <w:lvlJc w:val="left"/>
      <w:pPr>
        <w:tabs>
          <w:tab w:val="num" w:pos="720"/>
        </w:tabs>
        <w:ind w:left="720" w:hanging="360"/>
      </w:pPr>
    </w:lvl>
  </w:abstractNum>
  <w:abstractNum w:abstractNumId="5">
    <w:nsid w:val="FFFFFF80"/>
    <w:multiLevelType w:val="singleLevel"/>
    <w:tmpl w:val="67267BB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30E95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B104FD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3FABFB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0A87E10"/>
    <w:lvl w:ilvl="0">
      <w:start w:val="1"/>
      <w:numFmt w:val="decimal"/>
      <w:lvlText w:val="%1."/>
      <w:lvlJc w:val="left"/>
      <w:pPr>
        <w:tabs>
          <w:tab w:val="num" w:pos="360"/>
        </w:tabs>
        <w:ind w:left="360" w:hanging="360"/>
      </w:pPr>
    </w:lvl>
  </w:abstractNum>
  <w:abstractNum w:abstractNumId="10">
    <w:nsid w:val="FFFFFF89"/>
    <w:multiLevelType w:val="singleLevel"/>
    <w:tmpl w:val="019C2280"/>
    <w:lvl w:ilvl="0">
      <w:start w:val="1"/>
      <w:numFmt w:val="bullet"/>
      <w:lvlText w:val=""/>
      <w:lvlJc w:val="left"/>
      <w:pPr>
        <w:tabs>
          <w:tab w:val="num" w:pos="360"/>
        </w:tabs>
        <w:ind w:left="360" w:hanging="360"/>
      </w:pPr>
      <w:rPr>
        <w:rFonts w:ascii="Symbol" w:hAnsi="Symbol" w:hint="default"/>
      </w:rPr>
    </w:lvl>
  </w:abstractNum>
  <w:abstractNum w:abstractNumId="11">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005FA3"/>
    <w:multiLevelType w:val="hybridMultilevel"/>
    <w:tmpl w:val="792298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CA76C5"/>
    <w:multiLevelType w:val="hybridMultilevel"/>
    <w:tmpl w:val="EAAC47B0"/>
    <w:lvl w:ilvl="0" w:tplc="8AD46C82">
      <w:start w:val="1"/>
      <w:numFmt w:val="upperLetter"/>
      <w:lvlText w:val="%1."/>
      <w:lvlJc w:val="left"/>
      <w:pPr>
        <w:ind w:left="1080" w:hanging="360"/>
      </w:pPr>
      <w:rPr>
        <w:rFonts w:ascii="Times New Roman" w:hAnsi="Times New Roman" w:cs="Times New Roman"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EB0D92"/>
    <w:multiLevelType w:val="hybridMultilevel"/>
    <w:tmpl w:val="1438309C"/>
    <w:lvl w:ilvl="0" w:tplc="1F020A94">
      <w:start w:val="1"/>
      <w:numFmt w:val="upperRoman"/>
      <w:lvlText w:val="%1."/>
      <w:lvlJc w:val="left"/>
      <w:pPr>
        <w:ind w:left="1080" w:hanging="720"/>
      </w:pPr>
      <w:rPr>
        <w:rFonts w:hint="default"/>
      </w:rPr>
    </w:lvl>
    <w:lvl w:ilvl="1" w:tplc="43FA36D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BC975EE"/>
    <w:multiLevelType w:val="hybridMultilevel"/>
    <w:tmpl w:val="1D687EAC"/>
    <w:lvl w:ilvl="0" w:tplc="43FA36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963211B"/>
    <w:multiLevelType w:val="hybridMultilevel"/>
    <w:tmpl w:val="9606E4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357778"/>
    <w:multiLevelType w:val="hybridMultilevel"/>
    <w:tmpl w:val="C2BA0800"/>
    <w:lvl w:ilvl="0" w:tplc="41B87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9"/>
  </w:num>
  <w:num w:numId="4">
    <w:abstractNumId w:val="18"/>
  </w:num>
  <w:num w:numId="5">
    <w:abstractNumId w:val="11"/>
  </w:num>
  <w:num w:numId="6">
    <w:abstractNumId w:val="20"/>
  </w:num>
  <w:num w:numId="7">
    <w:abstractNumId w:val="0"/>
  </w:num>
  <w:num w:numId="8">
    <w:abstractNumId w:val="15"/>
  </w:num>
  <w:num w:numId="9">
    <w:abstractNumId w:val="12"/>
  </w:num>
  <w:num w:numId="10">
    <w:abstractNumId w:val="17"/>
  </w:num>
  <w:num w:numId="11">
    <w:abstractNumId w:val="21"/>
  </w:num>
  <w:num w:numId="12">
    <w:abstractNumId w:val="22"/>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 w:dllVersion="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
  <w:drawingGridVerticalSpacing w:val="65"/>
  <w:displayHorizont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DD"/>
    <w:rsid w:val="0000324B"/>
    <w:rsid w:val="000261A3"/>
    <w:rsid w:val="00050F08"/>
    <w:rsid w:val="00062084"/>
    <w:rsid w:val="00077C7E"/>
    <w:rsid w:val="000A0FDF"/>
    <w:rsid w:val="000A2F3D"/>
    <w:rsid w:val="000F110C"/>
    <w:rsid w:val="000F5174"/>
    <w:rsid w:val="00100432"/>
    <w:rsid w:val="00114473"/>
    <w:rsid w:val="00114E93"/>
    <w:rsid w:val="001357DA"/>
    <w:rsid w:val="001447EE"/>
    <w:rsid w:val="001517F2"/>
    <w:rsid w:val="001623B9"/>
    <w:rsid w:val="0016414C"/>
    <w:rsid w:val="001779A0"/>
    <w:rsid w:val="0018365D"/>
    <w:rsid w:val="001B2E45"/>
    <w:rsid w:val="001C1E24"/>
    <w:rsid w:val="001E521D"/>
    <w:rsid w:val="001F2930"/>
    <w:rsid w:val="00225DC7"/>
    <w:rsid w:val="00231B51"/>
    <w:rsid w:val="002571EE"/>
    <w:rsid w:val="002642BE"/>
    <w:rsid w:val="00273E60"/>
    <w:rsid w:val="0028233A"/>
    <w:rsid w:val="00292869"/>
    <w:rsid w:val="002A2B5E"/>
    <w:rsid w:val="002F6412"/>
    <w:rsid w:val="00306887"/>
    <w:rsid w:val="00320245"/>
    <w:rsid w:val="00345348"/>
    <w:rsid w:val="00353180"/>
    <w:rsid w:val="003531E1"/>
    <w:rsid w:val="003538BE"/>
    <w:rsid w:val="0035670D"/>
    <w:rsid w:val="003635AC"/>
    <w:rsid w:val="00366CDE"/>
    <w:rsid w:val="00381EFA"/>
    <w:rsid w:val="00384E85"/>
    <w:rsid w:val="00386623"/>
    <w:rsid w:val="003906B6"/>
    <w:rsid w:val="003A3027"/>
    <w:rsid w:val="003A4CA6"/>
    <w:rsid w:val="003A6C3E"/>
    <w:rsid w:val="003E71DD"/>
    <w:rsid w:val="00400660"/>
    <w:rsid w:val="004046D5"/>
    <w:rsid w:val="00415B3B"/>
    <w:rsid w:val="00432B91"/>
    <w:rsid w:val="00436395"/>
    <w:rsid w:val="0044249E"/>
    <w:rsid w:val="004433A4"/>
    <w:rsid w:val="00443807"/>
    <w:rsid w:val="00473B46"/>
    <w:rsid w:val="004A008D"/>
    <w:rsid w:val="004A2DFD"/>
    <w:rsid w:val="004B1F46"/>
    <w:rsid w:val="004E4D01"/>
    <w:rsid w:val="004E5AF8"/>
    <w:rsid w:val="004E6C80"/>
    <w:rsid w:val="004F7E2D"/>
    <w:rsid w:val="00504151"/>
    <w:rsid w:val="00522396"/>
    <w:rsid w:val="005403BE"/>
    <w:rsid w:val="00556A68"/>
    <w:rsid w:val="00561EB9"/>
    <w:rsid w:val="00561EF7"/>
    <w:rsid w:val="00562808"/>
    <w:rsid w:val="00591944"/>
    <w:rsid w:val="005A0680"/>
    <w:rsid w:val="005A37DC"/>
    <w:rsid w:val="005C5CA0"/>
    <w:rsid w:val="005E4352"/>
    <w:rsid w:val="005F1069"/>
    <w:rsid w:val="005F58C7"/>
    <w:rsid w:val="006048B2"/>
    <w:rsid w:val="00610DDC"/>
    <w:rsid w:val="00610F73"/>
    <w:rsid w:val="00613E11"/>
    <w:rsid w:val="0062545D"/>
    <w:rsid w:val="006309B1"/>
    <w:rsid w:val="006435FD"/>
    <w:rsid w:val="00660A21"/>
    <w:rsid w:val="00663E9D"/>
    <w:rsid w:val="00671685"/>
    <w:rsid w:val="006856A2"/>
    <w:rsid w:val="00686481"/>
    <w:rsid w:val="0069361D"/>
    <w:rsid w:val="00693FCA"/>
    <w:rsid w:val="006A77B0"/>
    <w:rsid w:val="006B4499"/>
    <w:rsid w:val="006B5C49"/>
    <w:rsid w:val="006B7036"/>
    <w:rsid w:val="006C47CE"/>
    <w:rsid w:val="006C5B42"/>
    <w:rsid w:val="006D6EC6"/>
    <w:rsid w:val="006F04D6"/>
    <w:rsid w:val="00703D43"/>
    <w:rsid w:val="007147CC"/>
    <w:rsid w:val="0073400F"/>
    <w:rsid w:val="0074435D"/>
    <w:rsid w:val="00761032"/>
    <w:rsid w:val="007A0661"/>
    <w:rsid w:val="007A245B"/>
    <w:rsid w:val="007A66F3"/>
    <w:rsid w:val="007B7820"/>
    <w:rsid w:val="007F0BD5"/>
    <w:rsid w:val="007F2C9C"/>
    <w:rsid w:val="00802A10"/>
    <w:rsid w:val="00806D56"/>
    <w:rsid w:val="00816FEC"/>
    <w:rsid w:val="00816FF6"/>
    <w:rsid w:val="00843630"/>
    <w:rsid w:val="0084652F"/>
    <w:rsid w:val="00852723"/>
    <w:rsid w:val="0086152D"/>
    <w:rsid w:val="008615E5"/>
    <w:rsid w:val="00864E04"/>
    <w:rsid w:val="00873B24"/>
    <w:rsid w:val="00885630"/>
    <w:rsid w:val="008A5DC1"/>
    <w:rsid w:val="008B2860"/>
    <w:rsid w:val="008B5007"/>
    <w:rsid w:val="00905C12"/>
    <w:rsid w:val="00916FA2"/>
    <w:rsid w:val="00917246"/>
    <w:rsid w:val="0094199B"/>
    <w:rsid w:val="009631D1"/>
    <w:rsid w:val="009643AB"/>
    <w:rsid w:val="009811A4"/>
    <w:rsid w:val="009953B3"/>
    <w:rsid w:val="009B766B"/>
    <w:rsid w:val="009E0B41"/>
    <w:rsid w:val="00A206E0"/>
    <w:rsid w:val="00A62B19"/>
    <w:rsid w:val="00A85209"/>
    <w:rsid w:val="00AA087D"/>
    <w:rsid w:val="00AB010E"/>
    <w:rsid w:val="00AD486D"/>
    <w:rsid w:val="00B316A0"/>
    <w:rsid w:val="00B5620B"/>
    <w:rsid w:val="00B57840"/>
    <w:rsid w:val="00B64BF5"/>
    <w:rsid w:val="00B66332"/>
    <w:rsid w:val="00BB15A2"/>
    <w:rsid w:val="00BC2015"/>
    <w:rsid w:val="00BC63AE"/>
    <w:rsid w:val="00BD03BA"/>
    <w:rsid w:val="00BE6537"/>
    <w:rsid w:val="00C0150F"/>
    <w:rsid w:val="00C02843"/>
    <w:rsid w:val="00C205F1"/>
    <w:rsid w:val="00C25092"/>
    <w:rsid w:val="00C4545A"/>
    <w:rsid w:val="00C4715A"/>
    <w:rsid w:val="00C775A4"/>
    <w:rsid w:val="00C845B9"/>
    <w:rsid w:val="00C8599E"/>
    <w:rsid w:val="00C860FB"/>
    <w:rsid w:val="00C92952"/>
    <w:rsid w:val="00C946B1"/>
    <w:rsid w:val="00CB01BE"/>
    <w:rsid w:val="00CB7F95"/>
    <w:rsid w:val="00CC5418"/>
    <w:rsid w:val="00CD0E18"/>
    <w:rsid w:val="00D51BAF"/>
    <w:rsid w:val="00D656A6"/>
    <w:rsid w:val="00D973BD"/>
    <w:rsid w:val="00DA74FD"/>
    <w:rsid w:val="00E0094D"/>
    <w:rsid w:val="00E13104"/>
    <w:rsid w:val="00E14672"/>
    <w:rsid w:val="00E334EE"/>
    <w:rsid w:val="00E3755C"/>
    <w:rsid w:val="00E92A72"/>
    <w:rsid w:val="00E949DA"/>
    <w:rsid w:val="00E9595A"/>
    <w:rsid w:val="00EB6346"/>
    <w:rsid w:val="00ED0C2F"/>
    <w:rsid w:val="00ED76D3"/>
    <w:rsid w:val="00EF0D3A"/>
    <w:rsid w:val="00EF5EB5"/>
    <w:rsid w:val="00F12487"/>
    <w:rsid w:val="00F43529"/>
    <w:rsid w:val="00F50805"/>
    <w:rsid w:val="00F63942"/>
    <w:rsid w:val="00F75E83"/>
    <w:rsid w:val="00F852A4"/>
    <w:rsid w:val="00FB7F4A"/>
    <w:rsid w:val="00FD046B"/>
    <w:rsid w:val="00FD2737"/>
    <w:rsid w:val="00FD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autoRedefine/>
    <w:qFormat/>
    <w:pPr>
      <w:keepNext/>
      <w:spacing w:after="240"/>
      <w:ind w:left="720" w:hanging="720"/>
      <w:outlineLvl w:val="0"/>
    </w:pPr>
    <w:rPr>
      <w:b/>
      <w:caps/>
      <w:szCs w:val="24"/>
    </w:rPr>
  </w:style>
  <w:style w:type="paragraph" w:styleId="Heading2">
    <w:name w:val="heading 2"/>
    <w:basedOn w:val="Normal"/>
    <w:next w:val="Normal"/>
    <w:autoRedefine/>
    <w:qFormat/>
    <w:rsid w:val="00C775A4"/>
    <w:pPr>
      <w:keepNext/>
      <w:spacing w:after="240"/>
      <w:ind w:left="1440" w:right="720" w:hanging="720"/>
      <w:outlineLvl w:val="1"/>
    </w:pPr>
    <w:rPr>
      <w:b/>
    </w:rPr>
  </w:style>
  <w:style w:type="paragraph" w:styleId="Heading3">
    <w:name w:val="heading 3"/>
    <w:basedOn w:val="Normal"/>
    <w:next w:val="Normal"/>
    <w:autoRedefine/>
    <w:qFormat/>
    <w:pPr>
      <w:keepNext/>
      <w:spacing w:after="240"/>
      <w:ind w:left="216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iPriority w:val="99"/>
    <w:rPr>
      <w:sz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MediumList2-Accent21">
    <w:name w:val="Medium List 2 - Accent 21"/>
    <w:hidden/>
    <w:uiPriority w:val="99"/>
    <w:semiHidden/>
    <w:rPr>
      <w:sz w:val="24"/>
    </w:rPr>
  </w:style>
  <w:style w:type="character" w:customStyle="1" w:styleId="HTMLPreformattedChar">
    <w:name w:val="HTML Preformatted Char"/>
    <w:link w:val="HTMLPreformatted"/>
    <w:rPr>
      <w:rFonts w:ascii="Courier New" w:eastAsia="Courier New" w:hAnsi="Courier New" w:cs="Courier New"/>
    </w:rPr>
  </w:style>
  <w:style w:type="character" w:customStyle="1" w:styleId="BodyTextChar">
    <w:name w:val="Body Text Char"/>
    <w:link w:val="BodyText"/>
    <w:rPr>
      <w:sz w:val="24"/>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semiHidden/>
    <w:locked/>
  </w:style>
  <w:style w:type="character" w:customStyle="1" w:styleId="FooterChar">
    <w:name w:val="Footer Char"/>
    <w:link w:val="Footer"/>
    <w:uiPriority w:val="99"/>
  </w:style>
  <w:style w:type="character" w:customStyle="1" w:styleId="BodyTextIndentChar">
    <w:name w:val="Body Text Indent Char"/>
    <w:link w:val="BodyTextIndent"/>
    <w:rPr>
      <w:sz w:val="24"/>
    </w:rPr>
  </w:style>
  <w:style w:type="paragraph" w:styleId="TOC1">
    <w:name w:val="toc 1"/>
    <w:basedOn w:val="Normal"/>
    <w:next w:val="Normal"/>
    <w:autoRedefine/>
    <w:uiPriority w:val="39"/>
    <w:pPr>
      <w:tabs>
        <w:tab w:val="left" w:pos="720"/>
        <w:tab w:val="decimal" w:leader="dot" w:pos="8640"/>
      </w:tabs>
      <w:spacing w:after="240"/>
      <w:ind w:left="720" w:hanging="720"/>
    </w:pPr>
    <w:rPr>
      <w:caps/>
    </w:rPr>
  </w:style>
  <w:style w:type="paragraph" w:styleId="TOC2">
    <w:name w:val="toc 2"/>
    <w:basedOn w:val="Normal"/>
    <w:next w:val="Normal"/>
    <w:autoRedefine/>
    <w:uiPriority w:val="39"/>
    <w:pPr>
      <w:tabs>
        <w:tab w:val="left" w:pos="720"/>
        <w:tab w:val="decimal" w:leader="dot" w:pos="8640"/>
      </w:tabs>
      <w:spacing w:after="240"/>
      <w:ind w:left="1440" w:hanging="720"/>
    </w:pPr>
  </w:style>
  <w:style w:type="character" w:customStyle="1" w:styleId="FootnoteTextChar1Char">
    <w:name w:val="Footnote Text Char1 Char"/>
    <w:aliases w:val="Footnote Text Char Char Char,Footnote Text Char1 Char Char1 Char,Footnote Text Char Char Char Char Char,Footnote Text Char2 Char Char Char Char1 Char,Footnote Text Char1 Char Char1 Char Char Char Char,fn Char"/>
    <w:uiPriority w:val="99"/>
    <w:locked/>
    <w:rPr>
      <w:rFonts w:eastAsia="Times New Roman" w:cs="Times New Roman"/>
      <w:sz w:val="20"/>
      <w:szCs w:val="20"/>
    </w:rPr>
  </w:style>
  <w:style w:type="paragraph" w:styleId="ListParagraph">
    <w:name w:val="List Paragraph"/>
    <w:basedOn w:val="Normal"/>
    <w:uiPriority w:val="34"/>
    <w:qFormat/>
    <w:rsid w:val="009811A4"/>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D486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autoRedefine/>
    <w:qFormat/>
    <w:pPr>
      <w:keepNext/>
      <w:spacing w:after="240"/>
      <w:ind w:left="720" w:hanging="720"/>
      <w:outlineLvl w:val="0"/>
    </w:pPr>
    <w:rPr>
      <w:b/>
      <w:caps/>
      <w:szCs w:val="24"/>
    </w:rPr>
  </w:style>
  <w:style w:type="paragraph" w:styleId="Heading2">
    <w:name w:val="heading 2"/>
    <w:basedOn w:val="Normal"/>
    <w:next w:val="Normal"/>
    <w:autoRedefine/>
    <w:qFormat/>
    <w:rsid w:val="00C775A4"/>
    <w:pPr>
      <w:keepNext/>
      <w:spacing w:after="240"/>
      <w:ind w:left="1440" w:right="720" w:hanging="720"/>
      <w:outlineLvl w:val="1"/>
    </w:pPr>
    <w:rPr>
      <w:b/>
    </w:rPr>
  </w:style>
  <w:style w:type="paragraph" w:styleId="Heading3">
    <w:name w:val="heading 3"/>
    <w:basedOn w:val="Normal"/>
    <w:next w:val="Normal"/>
    <w:autoRedefine/>
    <w:qFormat/>
    <w:pPr>
      <w:keepNext/>
      <w:spacing w:after="240"/>
      <w:ind w:left="216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iPriority w:val="99"/>
    <w:rPr>
      <w:sz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MediumList2-Accent21">
    <w:name w:val="Medium List 2 - Accent 21"/>
    <w:hidden/>
    <w:uiPriority w:val="99"/>
    <w:semiHidden/>
    <w:rPr>
      <w:sz w:val="24"/>
    </w:rPr>
  </w:style>
  <w:style w:type="character" w:customStyle="1" w:styleId="HTMLPreformattedChar">
    <w:name w:val="HTML Preformatted Char"/>
    <w:link w:val="HTMLPreformatted"/>
    <w:rPr>
      <w:rFonts w:ascii="Courier New" w:eastAsia="Courier New" w:hAnsi="Courier New" w:cs="Courier New"/>
    </w:rPr>
  </w:style>
  <w:style w:type="character" w:customStyle="1" w:styleId="BodyTextChar">
    <w:name w:val="Body Text Char"/>
    <w:link w:val="BodyText"/>
    <w:rPr>
      <w:sz w:val="24"/>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semiHidden/>
    <w:locked/>
  </w:style>
  <w:style w:type="character" w:customStyle="1" w:styleId="FooterChar">
    <w:name w:val="Footer Char"/>
    <w:link w:val="Footer"/>
    <w:uiPriority w:val="99"/>
  </w:style>
  <w:style w:type="character" w:customStyle="1" w:styleId="BodyTextIndentChar">
    <w:name w:val="Body Text Indent Char"/>
    <w:link w:val="BodyTextIndent"/>
    <w:rPr>
      <w:sz w:val="24"/>
    </w:rPr>
  </w:style>
  <w:style w:type="paragraph" w:styleId="TOC1">
    <w:name w:val="toc 1"/>
    <w:basedOn w:val="Normal"/>
    <w:next w:val="Normal"/>
    <w:autoRedefine/>
    <w:uiPriority w:val="39"/>
    <w:pPr>
      <w:tabs>
        <w:tab w:val="left" w:pos="720"/>
        <w:tab w:val="decimal" w:leader="dot" w:pos="8640"/>
      </w:tabs>
      <w:spacing w:after="240"/>
      <w:ind w:left="720" w:hanging="720"/>
    </w:pPr>
    <w:rPr>
      <w:caps/>
    </w:rPr>
  </w:style>
  <w:style w:type="paragraph" w:styleId="TOC2">
    <w:name w:val="toc 2"/>
    <w:basedOn w:val="Normal"/>
    <w:next w:val="Normal"/>
    <w:autoRedefine/>
    <w:uiPriority w:val="39"/>
    <w:pPr>
      <w:tabs>
        <w:tab w:val="left" w:pos="720"/>
        <w:tab w:val="decimal" w:leader="dot" w:pos="8640"/>
      </w:tabs>
      <w:spacing w:after="240"/>
      <w:ind w:left="1440" w:hanging="720"/>
    </w:pPr>
  </w:style>
  <w:style w:type="character" w:customStyle="1" w:styleId="FootnoteTextChar1Char">
    <w:name w:val="Footnote Text Char1 Char"/>
    <w:aliases w:val="Footnote Text Char Char Char,Footnote Text Char1 Char Char1 Char,Footnote Text Char Char Char Char Char,Footnote Text Char2 Char Char Char Char1 Char,Footnote Text Char1 Char Char1 Char Char Char Char,fn Char"/>
    <w:uiPriority w:val="99"/>
    <w:locked/>
    <w:rPr>
      <w:rFonts w:eastAsia="Times New Roman" w:cs="Times New Roman"/>
      <w:sz w:val="20"/>
      <w:szCs w:val="20"/>
    </w:rPr>
  </w:style>
  <w:style w:type="paragraph" w:styleId="ListParagraph">
    <w:name w:val="List Paragraph"/>
    <w:basedOn w:val="Normal"/>
    <w:uiPriority w:val="34"/>
    <w:qFormat/>
    <w:rsid w:val="009811A4"/>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D48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80105">
      <w:bodyDiv w:val="1"/>
      <w:marLeft w:val="0"/>
      <w:marRight w:val="0"/>
      <w:marTop w:val="0"/>
      <w:marBottom w:val="0"/>
      <w:divBdr>
        <w:top w:val="none" w:sz="0" w:space="0" w:color="auto"/>
        <w:left w:val="none" w:sz="0" w:space="0" w:color="auto"/>
        <w:bottom w:val="none" w:sz="0" w:space="0" w:color="auto"/>
        <w:right w:val="none" w:sz="0" w:space="0" w:color="auto"/>
      </w:divBdr>
      <w:divsChild>
        <w:div w:id="195000387">
          <w:marLeft w:val="0"/>
          <w:marRight w:val="0"/>
          <w:marTop w:val="0"/>
          <w:marBottom w:val="0"/>
          <w:divBdr>
            <w:top w:val="none" w:sz="0" w:space="0" w:color="auto"/>
            <w:left w:val="none" w:sz="0" w:space="0" w:color="auto"/>
            <w:bottom w:val="none" w:sz="0" w:space="0" w:color="auto"/>
            <w:right w:val="none" w:sz="0" w:space="0" w:color="auto"/>
          </w:divBdr>
        </w:div>
        <w:div w:id="378743096">
          <w:marLeft w:val="0"/>
          <w:marRight w:val="0"/>
          <w:marTop w:val="0"/>
          <w:marBottom w:val="0"/>
          <w:divBdr>
            <w:top w:val="none" w:sz="0" w:space="0" w:color="auto"/>
            <w:left w:val="none" w:sz="0" w:space="0" w:color="auto"/>
            <w:bottom w:val="none" w:sz="0" w:space="0" w:color="auto"/>
            <w:right w:val="none" w:sz="0" w:space="0" w:color="auto"/>
          </w:divBdr>
        </w:div>
        <w:div w:id="718211892">
          <w:marLeft w:val="0"/>
          <w:marRight w:val="0"/>
          <w:marTop w:val="0"/>
          <w:marBottom w:val="0"/>
          <w:divBdr>
            <w:top w:val="none" w:sz="0" w:space="0" w:color="auto"/>
            <w:left w:val="none" w:sz="0" w:space="0" w:color="auto"/>
            <w:bottom w:val="none" w:sz="0" w:space="0" w:color="auto"/>
            <w:right w:val="none" w:sz="0" w:space="0" w:color="auto"/>
          </w:divBdr>
        </w:div>
        <w:div w:id="835419299">
          <w:marLeft w:val="0"/>
          <w:marRight w:val="0"/>
          <w:marTop w:val="0"/>
          <w:marBottom w:val="0"/>
          <w:divBdr>
            <w:top w:val="none" w:sz="0" w:space="0" w:color="auto"/>
            <w:left w:val="none" w:sz="0" w:space="0" w:color="auto"/>
            <w:bottom w:val="none" w:sz="0" w:space="0" w:color="auto"/>
            <w:right w:val="none" w:sz="0" w:space="0" w:color="auto"/>
          </w:divBdr>
        </w:div>
        <w:div w:id="1011418832">
          <w:marLeft w:val="0"/>
          <w:marRight w:val="0"/>
          <w:marTop w:val="0"/>
          <w:marBottom w:val="0"/>
          <w:divBdr>
            <w:top w:val="none" w:sz="0" w:space="0" w:color="auto"/>
            <w:left w:val="none" w:sz="0" w:space="0" w:color="auto"/>
            <w:bottom w:val="none" w:sz="0" w:space="0" w:color="auto"/>
            <w:right w:val="none" w:sz="0" w:space="0" w:color="auto"/>
          </w:divBdr>
        </w:div>
        <w:div w:id="1324352946">
          <w:marLeft w:val="0"/>
          <w:marRight w:val="0"/>
          <w:marTop w:val="0"/>
          <w:marBottom w:val="0"/>
          <w:divBdr>
            <w:top w:val="none" w:sz="0" w:space="0" w:color="auto"/>
            <w:left w:val="none" w:sz="0" w:space="0" w:color="auto"/>
            <w:bottom w:val="none" w:sz="0" w:space="0" w:color="auto"/>
            <w:right w:val="none" w:sz="0" w:space="0" w:color="auto"/>
          </w:divBdr>
        </w:div>
        <w:div w:id="1477643651">
          <w:marLeft w:val="0"/>
          <w:marRight w:val="0"/>
          <w:marTop w:val="0"/>
          <w:marBottom w:val="0"/>
          <w:divBdr>
            <w:top w:val="none" w:sz="0" w:space="0" w:color="auto"/>
            <w:left w:val="none" w:sz="0" w:space="0" w:color="auto"/>
            <w:bottom w:val="none" w:sz="0" w:space="0" w:color="auto"/>
            <w:right w:val="none" w:sz="0" w:space="0" w:color="auto"/>
          </w:divBdr>
        </w:div>
        <w:div w:id="1644969525">
          <w:marLeft w:val="0"/>
          <w:marRight w:val="0"/>
          <w:marTop w:val="0"/>
          <w:marBottom w:val="0"/>
          <w:divBdr>
            <w:top w:val="none" w:sz="0" w:space="0" w:color="auto"/>
            <w:left w:val="none" w:sz="0" w:space="0" w:color="auto"/>
            <w:bottom w:val="none" w:sz="0" w:space="0" w:color="auto"/>
            <w:right w:val="none" w:sz="0" w:space="0" w:color="auto"/>
          </w:divBdr>
        </w:div>
        <w:div w:id="1664776969">
          <w:marLeft w:val="0"/>
          <w:marRight w:val="0"/>
          <w:marTop w:val="0"/>
          <w:marBottom w:val="0"/>
          <w:divBdr>
            <w:top w:val="none" w:sz="0" w:space="0" w:color="auto"/>
            <w:left w:val="none" w:sz="0" w:space="0" w:color="auto"/>
            <w:bottom w:val="none" w:sz="0" w:space="0" w:color="auto"/>
            <w:right w:val="none" w:sz="0" w:space="0" w:color="auto"/>
          </w:divBdr>
        </w:div>
        <w:div w:id="1867717119">
          <w:marLeft w:val="0"/>
          <w:marRight w:val="0"/>
          <w:marTop w:val="0"/>
          <w:marBottom w:val="0"/>
          <w:divBdr>
            <w:top w:val="none" w:sz="0" w:space="0" w:color="auto"/>
            <w:left w:val="none" w:sz="0" w:space="0" w:color="auto"/>
            <w:bottom w:val="none" w:sz="0" w:space="0" w:color="auto"/>
            <w:right w:val="none" w:sz="0" w:space="0" w:color="auto"/>
          </w:divBdr>
        </w:div>
        <w:div w:id="1944065685">
          <w:marLeft w:val="0"/>
          <w:marRight w:val="0"/>
          <w:marTop w:val="0"/>
          <w:marBottom w:val="0"/>
          <w:divBdr>
            <w:top w:val="none" w:sz="0" w:space="0" w:color="auto"/>
            <w:left w:val="none" w:sz="0" w:space="0" w:color="auto"/>
            <w:bottom w:val="none" w:sz="0" w:space="0" w:color="auto"/>
            <w:right w:val="none" w:sz="0" w:space="0" w:color="auto"/>
          </w:divBdr>
        </w:div>
      </w:divsChild>
    </w:div>
    <w:div w:id="20547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1920</Words>
  <Characters>11400</Characters>
  <Application>Microsoft Office Word</Application>
  <DocSecurity>0</DocSecurity>
  <Lines>260</Lines>
  <Paragraphs>93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13309</CharactersWithSpaces>
  <SharedDoc>false</SharedDoc>
  <HyperlinkBase> </HyperlinkBase>
  <HLinks>
    <vt:vector size="54" baseType="variant">
      <vt:variant>
        <vt:i4>1245244</vt:i4>
      </vt:variant>
      <vt:variant>
        <vt:i4>50</vt:i4>
      </vt:variant>
      <vt:variant>
        <vt:i4>0</vt:i4>
      </vt:variant>
      <vt:variant>
        <vt:i4>5</vt:i4>
      </vt:variant>
      <vt:variant>
        <vt:lpwstr/>
      </vt:variant>
      <vt:variant>
        <vt:lpwstr>_Toc384297293</vt:lpwstr>
      </vt:variant>
      <vt:variant>
        <vt:i4>1245244</vt:i4>
      </vt:variant>
      <vt:variant>
        <vt:i4>44</vt:i4>
      </vt:variant>
      <vt:variant>
        <vt:i4>0</vt:i4>
      </vt:variant>
      <vt:variant>
        <vt:i4>5</vt:i4>
      </vt:variant>
      <vt:variant>
        <vt:lpwstr/>
      </vt:variant>
      <vt:variant>
        <vt:lpwstr>_Toc384297292</vt:lpwstr>
      </vt:variant>
      <vt:variant>
        <vt:i4>1245244</vt:i4>
      </vt:variant>
      <vt:variant>
        <vt:i4>38</vt:i4>
      </vt:variant>
      <vt:variant>
        <vt:i4>0</vt:i4>
      </vt:variant>
      <vt:variant>
        <vt:i4>5</vt:i4>
      </vt:variant>
      <vt:variant>
        <vt:lpwstr/>
      </vt:variant>
      <vt:variant>
        <vt:lpwstr>_Toc384297291</vt:lpwstr>
      </vt:variant>
      <vt:variant>
        <vt:i4>1245244</vt:i4>
      </vt:variant>
      <vt:variant>
        <vt:i4>32</vt:i4>
      </vt:variant>
      <vt:variant>
        <vt:i4>0</vt:i4>
      </vt:variant>
      <vt:variant>
        <vt:i4>5</vt:i4>
      </vt:variant>
      <vt:variant>
        <vt:lpwstr/>
      </vt:variant>
      <vt:variant>
        <vt:lpwstr>_Toc384297290</vt:lpwstr>
      </vt:variant>
      <vt:variant>
        <vt:i4>1179708</vt:i4>
      </vt:variant>
      <vt:variant>
        <vt:i4>26</vt:i4>
      </vt:variant>
      <vt:variant>
        <vt:i4>0</vt:i4>
      </vt:variant>
      <vt:variant>
        <vt:i4>5</vt:i4>
      </vt:variant>
      <vt:variant>
        <vt:lpwstr/>
      </vt:variant>
      <vt:variant>
        <vt:lpwstr>_Toc384297289</vt:lpwstr>
      </vt:variant>
      <vt:variant>
        <vt:i4>1179708</vt:i4>
      </vt:variant>
      <vt:variant>
        <vt:i4>20</vt:i4>
      </vt:variant>
      <vt:variant>
        <vt:i4>0</vt:i4>
      </vt:variant>
      <vt:variant>
        <vt:i4>5</vt:i4>
      </vt:variant>
      <vt:variant>
        <vt:lpwstr/>
      </vt:variant>
      <vt:variant>
        <vt:lpwstr>_Toc384297288</vt:lpwstr>
      </vt:variant>
      <vt:variant>
        <vt:i4>1179708</vt:i4>
      </vt:variant>
      <vt:variant>
        <vt:i4>14</vt:i4>
      </vt:variant>
      <vt:variant>
        <vt:i4>0</vt:i4>
      </vt:variant>
      <vt:variant>
        <vt:i4>5</vt:i4>
      </vt:variant>
      <vt:variant>
        <vt:lpwstr/>
      </vt:variant>
      <vt:variant>
        <vt:lpwstr>_Toc384297287</vt:lpwstr>
      </vt:variant>
      <vt:variant>
        <vt:i4>1179708</vt:i4>
      </vt:variant>
      <vt:variant>
        <vt:i4>8</vt:i4>
      </vt:variant>
      <vt:variant>
        <vt:i4>0</vt:i4>
      </vt:variant>
      <vt:variant>
        <vt:i4>5</vt:i4>
      </vt:variant>
      <vt:variant>
        <vt:lpwstr/>
      </vt:variant>
      <vt:variant>
        <vt:lpwstr>_Toc384297286</vt:lpwstr>
      </vt:variant>
      <vt:variant>
        <vt:i4>1179708</vt:i4>
      </vt:variant>
      <vt:variant>
        <vt:i4>2</vt:i4>
      </vt:variant>
      <vt:variant>
        <vt:i4>0</vt:i4>
      </vt:variant>
      <vt:variant>
        <vt:i4>5</vt:i4>
      </vt:variant>
      <vt:variant>
        <vt:lpwstr/>
      </vt:variant>
      <vt:variant>
        <vt:lpwstr>_Toc384297285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2014-10-27T19:26:00Z</cp:lastPrinted>
  <dcterms:created xsi:type="dcterms:W3CDTF">2014-10-27T19:41:00Z</dcterms:created>
  <dcterms:modified xsi:type="dcterms:W3CDTF">2014-10-27T19:41:00Z</dcterms:modified>
  <cp:category> </cp:category>
  <cp:contentStatus> </cp:contentStatus>
</cp:coreProperties>
</file>