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F336" w14:textId="77777777" w:rsidR="007C48A1" w:rsidRPr="00561663" w:rsidRDefault="007C48A1" w:rsidP="007C48A1">
      <w:pPr>
        <w:pStyle w:val="Title"/>
        <w:widowControl w:val="0"/>
        <w:rPr>
          <w:rFonts w:ascii="Arial" w:hAnsi="Arial" w:cs="Arial"/>
          <w:szCs w:val="24"/>
        </w:rPr>
      </w:pPr>
      <w:bookmarkStart w:id="0" w:name="_GoBack"/>
      <w:bookmarkEnd w:id="0"/>
      <w:r w:rsidRPr="00561663">
        <w:rPr>
          <w:rFonts w:ascii="Arial" w:hAnsi="Arial" w:cs="Arial"/>
          <w:szCs w:val="24"/>
        </w:rPr>
        <w:t>BEFORE</w:t>
      </w:r>
    </w:p>
    <w:p w14:paraId="7A3A5457" w14:textId="77777777" w:rsidR="007C48A1" w:rsidRPr="00646AB2" w:rsidRDefault="007C48A1" w:rsidP="007C48A1">
      <w:pPr>
        <w:widowControl w:val="0"/>
        <w:jc w:val="center"/>
        <w:rPr>
          <w:b/>
          <w:sz w:val="24"/>
          <w:szCs w:val="24"/>
        </w:rPr>
      </w:pPr>
      <w:r w:rsidRPr="00561663">
        <w:rPr>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7C48A1" w:rsidRPr="00561663" w14:paraId="7908BE0F" w14:textId="77777777" w:rsidTr="005E0176">
        <w:trPr>
          <w:trHeight w:val="1359"/>
          <w:jc w:val="center"/>
        </w:trPr>
        <w:tc>
          <w:tcPr>
            <w:tcW w:w="4739" w:type="dxa"/>
          </w:tcPr>
          <w:p w14:paraId="2B4236C7" w14:textId="77777777" w:rsidR="004B7243" w:rsidRPr="00114B47" w:rsidRDefault="00CF3F3B" w:rsidP="001E1681">
            <w:pPr>
              <w:spacing w:after="0" w:line="240" w:lineRule="auto"/>
              <w:rPr>
                <w:sz w:val="24"/>
                <w:szCs w:val="24"/>
              </w:rPr>
            </w:pPr>
            <w:r w:rsidRPr="00114B47">
              <w:rPr>
                <w:sz w:val="24"/>
                <w:szCs w:val="24"/>
              </w:rPr>
              <w:t xml:space="preserve">In the Matter of the </w:t>
            </w:r>
            <w:r w:rsidR="001E1681">
              <w:rPr>
                <w:sz w:val="24"/>
                <w:szCs w:val="24"/>
              </w:rPr>
              <w:t>2018 Long-Term Forecast Report of Ohio Power Company and Related Matters.</w:t>
            </w:r>
          </w:p>
          <w:p w14:paraId="672A6659" w14:textId="77777777" w:rsidR="00CF3F3B" w:rsidRPr="00114B47" w:rsidRDefault="00CF3F3B" w:rsidP="00CF3F3B">
            <w:pPr>
              <w:spacing w:after="0" w:line="240" w:lineRule="auto"/>
              <w:rPr>
                <w:sz w:val="24"/>
                <w:szCs w:val="24"/>
              </w:rPr>
            </w:pPr>
          </w:p>
          <w:p w14:paraId="0E96D060" w14:textId="77777777" w:rsidR="001E1681" w:rsidRDefault="001E1681" w:rsidP="001E1681">
            <w:pPr>
              <w:spacing w:after="0" w:line="240" w:lineRule="auto"/>
              <w:rPr>
                <w:sz w:val="24"/>
                <w:szCs w:val="24"/>
              </w:rPr>
            </w:pPr>
            <w:r w:rsidRPr="005E7F59">
              <w:rPr>
                <w:sz w:val="24"/>
                <w:szCs w:val="24"/>
              </w:rPr>
              <w:t>I</w:t>
            </w:r>
            <w:r>
              <w:rPr>
                <w:sz w:val="24"/>
                <w:szCs w:val="24"/>
              </w:rPr>
              <w:t>n the Matter of the Application of Ohio Power Company for Approval to Enter into Renewable Energy Purchase Agreements for Inclusion in the Renewable Generation</w:t>
            </w:r>
            <w:r w:rsidRPr="005E7F59">
              <w:rPr>
                <w:sz w:val="24"/>
                <w:szCs w:val="24"/>
              </w:rPr>
              <w:t xml:space="preserve"> Rider.</w:t>
            </w:r>
          </w:p>
          <w:p w14:paraId="0A37501D" w14:textId="77777777" w:rsidR="00975CC3" w:rsidRDefault="00975CC3" w:rsidP="00CF3F3B">
            <w:pPr>
              <w:spacing w:after="0" w:line="240" w:lineRule="auto"/>
              <w:rPr>
                <w:sz w:val="24"/>
                <w:szCs w:val="24"/>
              </w:rPr>
            </w:pPr>
          </w:p>
          <w:p w14:paraId="61A60C31" w14:textId="77777777" w:rsidR="001E1681" w:rsidRPr="005E7F59" w:rsidRDefault="001E1681" w:rsidP="001E1681">
            <w:pPr>
              <w:spacing w:after="0" w:line="240" w:lineRule="auto"/>
              <w:rPr>
                <w:sz w:val="24"/>
                <w:szCs w:val="24"/>
              </w:rPr>
            </w:pPr>
            <w:r w:rsidRPr="005E7F59">
              <w:rPr>
                <w:sz w:val="24"/>
                <w:szCs w:val="24"/>
              </w:rPr>
              <w:t>In the Matter of the Application of Ohio</w:t>
            </w:r>
          </w:p>
          <w:p w14:paraId="422AA6D3" w14:textId="77777777" w:rsidR="00605509" w:rsidRPr="00561663" w:rsidRDefault="001E1681" w:rsidP="00CF3F3B">
            <w:pPr>
              <w:spacing w:after="0" w:line="240" w:lineRule="auto"/>
              <w:rPr>
                <w:sz w:val="24"/>
                <w:szCs w:val="24"/>
              </w:rPr>
            </w:pPr>
            <w:r>
              <w:rPr>
                <w:sz w:val="24"/>
                <w:szCs w:val="24"/>
              </w:rPr>
              <w:t>Power Company for Approval to</w:t>
            </w:r>
            <w:r w:rsidRPr="005E7F59">
              <w:rPr>
                <w:sz w:val="24"/>
                <w:szCs w:val="24"/>
              </w:rPr>
              <w:t xml:space="preserve"> Amend its Tariffs.</w:t>
            </w:r>
          </w:p>
        </w:tc>
        <w:tc>
          <w:tcPr>
            <w:tcW w:w="630" w:type="dxa"/>
          </w:tcPr>
          <w:p w14:paraId="2CEAEE8A" w14:textId="77777777" w:rsidR="007C48A1" w:rsidRPr="00561663" w:rsidRDefault="007C48A1" w:rsidP="005E0176">
            <w:pPr>
              <w:widowControl w:val="0"/>
              <w:spacing w:after="0" w:line="240" w:lineRule="auto"/>
              <w:jc w:val="center"/>
              <w:rPr>
                <w:sz w:val="24"/>
                <w:szCs w:val="24"/>
              </w:rPr>
            </w:pPr>
            <w:r w:rsidRPr="00561663">
              <w:rPr>
                <w:sz w:val="24"/>
                <w:szCs w:val="24"/>
              </w:rPr>
              <w:t>)</w:t>
            </w:r>
          </w:p>
          <w:p w14:paraId="47337C0F" w14:textId="77777777" w:rsidR="007C48A1" w:rsidRPr="00561663" w:rsidRDefault="007C48A1" w:rsidP="005E0176">
            <w:pPr>
              <w:widowControl w:val="0"/>
              <w:spacing w:after="0" w:line="240" w:lineRule="auto"/>
              <w:jc w:val="center"/>
              <w:rPr>
                <w:sz w:val="24"/>
                <w:szCs w:val="24"/>
              </w:rPr>
            </w:pPr>
            <w:r w:rsidRPr="00561663">
              <w:rPr>
                <w:sz w:val="24"/>
                <w:szCs w:val="24"/>
              </w:rPr>
              <w:t>)</w:t>
            </w:r>
          </w:p>
          <w:p w14:paraId="42465816" w14:textId="77777777" w:rsidR="007C48A1" w:rsidRPr="00561663" w:rsidRDefault="007C48A1" w:rsidP="005E0176">
            <w:pPr>
              <w:widowControl w:val="0"/>
              <w:spacing w:after="0" w:line="240" w:lineRule="auto"/>
              <w:jc w:val="center"/>
              <w:rPr>
                <w:sz w:val="24"/>
                <w:szCs w:val="24"/>
              </w:rPr>
            </w:pPr>
            <w:r w:rsidRPr="00561663">
              <w:rPr>
                <w:sz w:val="24"/>
                <w:szCs w:val="24"/>
              </w:rPr>
              <w:t>)</w:t>
            </w:r>
          </w:p>
          <w:p w14:paraId="5DAB6C7B" w14:textId="77777777" w:rsidR="004B7243" w:rsidRDefault="004B7243" w:rsidP="001E1681">
            <w:pPr>
              <w:widowControl w:val="0"/>
              <w:spacing w:after="0" w:line="240" w:lineRule="auto"/>
              <w:jc w:val="center"/>
              <w:rPr>
                <w:sz w:val="24"/>
                <w:szCs w:val="24"/>
              </w:rPr>
            </w:pPr>
          </w:p>
          <w:p w14:paraId="66F6B82B"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6FCB2152"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001228B3"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3FFE75BF"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09E72294"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02EB378F" w14:textId="77777777" w:rsidR="001E1681" w:rsidRDefault="001E1681" w:rsidP="001E1681">
            <w:pPr>
              <w:widowControl w:val="0"/>
              <w:spacing w:after="0" w:line="240" w:lineRule="auto"/>
              <w:jc w:val="center"/>
              <w:rPr>
                <w:sz w:val="24"/>
                <w:szCs w:val="24"/>
              </w:rPr>
            </w:pPr>
          </w:p>
          <w:p w14:paraId="3CF3AAEE"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58C53964"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28B60AE9" w14:textId="77777777" w:rsidR="001E1681" w:rsidRPr="00561663" w:rsidRDefault="001E1681" w:rsidP="001E1681">
            <w:pPr>
              <w:widowControl w:val="0"/>
              <w:spacing w:after="0" w:line="240" w:lineRule="auto"/>
              <w:jc w:val="center"/>
              <w:rPr>
                <w:sz w:val="24"/>
                <w:szCs w:val="24"/>
              </w:rPr>
            </w:pPr>
            <w:r w:rsidRPr="00561663">
              <w:rPr>
                <w:sz w:val="24"/>
                <w:szCs w:val="24"/>
              </w:rPr>
              <w:t>)</w:t>
            </w:r>
          </w:p>
          <w:p w14:paraId="6A05A809" w14:textId="77777777" w:rsidR="001E1681" w:rsidRPr="00561663" w:rsidRDefault="001E1681" w:rsidP="001E1681">
            <w:pPr>
              <w:widowControl w:val="0"/>
              <w:spacing w:after="0" w:line="240" w:lineRule="auto"/>
              <w:jc w:val="center"/>
              <w:rPr>
                <w:sz w:val="24"/>
                <w:szCs w:val="24"/>
              </w:rPr>
            </w:pPr>
          </w:p>
        </w:tc>
        <w:tc>
          <w:tcPr>
            <w:tcW w:w="3928" w:type="dxa"/>
          </w:tcPr>
          <w:p w14:paraId="5A39BBE3" w14:textId="77777777" w:rsidR="007C48A1" w:rsidRDefault="007C48A1" w:rsidP="005E0176">
            <w:pPr>
              <w:widowControl w:val="0"/>
              <w:spacing w:after="0" w:line="240" w:lineRule="auto"/>
              <w:rPr>
                <w:sz w:val="24"/>
                <w:szCs w:val="24"/>
              </w:rPr>
            </w:pPr>
          </w:p>
          <w:p w14:paraId="3B8209F9" w14:textId="77777777" w:rsidR="001E1681" w:rsidRPr="00561663" w:rsidRDefault="001E1681" w:rsidP="005E0176">
            <w:pPr>
              <w:widowControl w:val="0"/>
              <w:spacing w:after="0" w:line="240" w:lineRule="auto"/>
              <w:rPr>
                <w:sz w:val="24"/>
                <w:szCs w:val="24"/>
              </w:rPr>
            </w:pPr>
            <w:r>
              <w:rPr>
                <w:sz w:val="24"/>
                <w:szCs w:val="24"/>
              </w:rPr>
              <w:t>Case No. 18-501-EL-FOR</w:t>
            </w:r>
          </w:p>
          <w:p w14:paraId="41C8F396" w14:textId="77777777" w:rsidR="00114B47" w:rsidRDefault="00114B47" w:rsidP="00605509">
            <w:pPr>
              <w:widowControl w:val="0"/>
              <w:spacing w:after="0" w:line="240" w:lineRule="auto"/>
              <w:rPr>
                <w:sz w:val="24"/>
                <w:szCs w:val="24"/>
              </w:rPr>
            </w:pPr>
          </w:p>
          <w:p w14:paraId="72A3D3EC" w14:textId="77777777" w:rsidR="00975CC3" w:rsidRDefault="00975CC3" w:rsidP="00605509">
            <w:pPr>
              <w:widowControl w:val="0"/>
              <w:spacing w:after="0" w:line="240" w:lineRule="auto"/>
              <w:rPr>
                <w:sz w:val="24"/>
                <w:szCs w:val="24"/>
              </w:rPr>
            </w:pPr>
          </w:p>
          <w:p w14:paraId="0D0B940D" w14:textId="77777777" w:rsidR="00605509" w:rsidRDefault="00605509" w:rsidP="001E1681">
            <w:pPr>
              <w:widowControl w:val="0"/>
              <w:spacing w:after="0" w:line="240" w:lineRule="auto"/>
              <w:rPr>
                <w:sz w:val="24"/>
                <w:szCs w:val="24"/>
              </w:rPr>
            </w:pPr>
          </w:p>
          <w:p w14:paraId="0E27B00A" w14:textId="77777777" w:rsidR="001E1681" w:rsidRDefault="001E1681" w:rsidP="001E1681">
            <w:pPr>
              <w:widowControl w:val="0"/>
              <w:spacing w:after="0" w:line="240" w:lineRule="auto"/>
              <w:rPr>
                <w:sz w:val="24"/>
                <w:szCs w:val="24"/>
              </w:rPr>
            </w:pPr>
          </w:p>
          <w:p w14:paraId="5A0B5A35" w14:textId="77777777" w:rsidR="001E1681" w:rsidRDefault="001E1681" w:rsidP="001E1681">
            <w:pPr>
              <w:widowControl w:val="0"/>
              <w:spacing w:after="0" w:line="240" w:lineRule="auto"/>
              <w:rPr>
                <w:sz w:val="24"/>
                <w:szCs w:val="24"/>
              </w:rPr>
            </w:pPr>
            <w:r>
              <w:rPr>
                <w:sz w:val="24"/>
                <w:szCs w:val="24"/>
              </w:rPr>
              <w:t>Case No. 18-1392-EL-RDR</w:t>
            </w:r>
          </w:p>
          <w:p w14:paraId="60061E4C" w14:textId="77777777" w:rsidR="001E1681" w:rsidRDefault="001E1681" w:rsidP="001E1681">
            <w:pPr>
              <w:widowControl w:val="0"/>
              <w:spacing w:after="0" w:line="240" w:lineRule="auto"/>
              <w:rPr>
                <w:sz w:val="24"/>
                <w:szCs w:val="24"/>
              </w:rPr>
            </w:pPr>
          </w:p>
          <w:p w14:paraId="44EAFD9C" w14:textId="77777777" w:rsidR="001E1681" w:rsidRDefault="001E1681" w:rsidP="001E1681">
            <w:pPr>
              <w:widowControl w:val="0"/>
              <w:spacing w:after="0" w:line="240" w:lineRule="auto"/>
              <w:rPr>
                <w:sz w:val="24"/>
                <w:szCs w:val="24"/>
              </w:rPr>
            </w:pPr>
          </w:p>
          <w:p w14:paraId="4B94D5A5" w14:textId="77777777" w:rsidR="001E1681" w:rsidRDefault="001E1681" w:rsidP="001E1681">
            <w:pPr>
              <w:widowControl w:val="0"/>
              <w:spacing w:after="0" w:line="240" w:lineRule="auto"/>
              <w:rPr>
                <w:sz w:val="24"/>
                <w:szCs w:val="24"/>
              </w:rPr>
            </w:pPr>
          </w:p>
          <w:p w14:paraId="3DEEC669" w14:textId="77777777" w:rsidR="001E1681" w:rsidRDefault="001E1681" w:rsidP="001E1681">
            <w:pPr>
              <w:widowControl w:val="0"/>
              <w:spacing w:after="0" w:line="240" w:lineRule="auto"/>
              <w:rPr>
                <w:sz w:val="24"/>
                <w:szCs w:val="24"/>
              </w:rPr>
            </w:pPr>
          </w:p>
          <w:p w14:paraId="68E7E2E5" w14:textId="77777777" w:rsidR="001E1681" w:rsidRPr="00561663" w:rsidRDefault="001E1681" w:rsidP="001E1681">
            <w:pPr>
              <w:widowControl w:val="0"/>
              <w:spacing w:after="0" w:line="240" w:lineRule="auto"/>
              <w:rPr>
                <w:sz w:val="24"/>
                <w:szCs w:val="24"/>
              </w:rPr>
            </w:pPr>
            <w:r>
              <w:rPr>
                <w:sz w:val="24"/>
                <w:szCs w:val="24"/>
              </w:rPr>
              <w:t>Case No. 18-1393-EL-ATA</w:t>
            </w:r>
          </w:p>
        </w:tc>
      </w:tr>
    </w:tbl>
    <w:p w14:paraId="3656B9AB" w14:textId="77777777" w:rsidR="007C48A1" w:rsidRDefault="007C48A1" w:rsidP="007C48A1">
      <w:pPr>
        <w:widowControl w:val="0"/>
        <w:pBdr>
          <w:bottom w:val="single" w:sz="12" w:space="0" w:color="auto"/>
        </w:pBdr>
        <w:spacing w:after="0" w:line="240" w:lineRule="auto"/>
        <w:rPr>
          <w:sz w:val="24"/>
          <w:szCs w:val="24"/>
        </w:rPr>
      </w:pPr>
    </w:p>
    <w:p w14:paraId="45FB0818" w14:textId="77777777" w:rsidR="00342C03" w:rsidRPr="009D71F6" w:rsidRDefault="00342C03" w:rsidP="007C48A1">
      <w:pPr>
        <w:widowControl w:val="0"/>
        <w:pBdr>
          <w:bottom w:val="single" w:sz="12" w:space="0" w:color="auto"/>
        </w:pBdr>
        <w:spacing w:after="0" w:line="240" w:lineRule="auto"/>
        <w:rPr>
          <w:sz w:val="24"/>
          <w:szCs w:val="24"/>
        </w:rPr>
      </w:pPr>
    </w:p>
    <w:p w14:paraId="049F31CB" w14:textId="77777777" w:rsidR="007C48A1" w:rsidRPr="009D71F6" w:rsidRDefault="007C48A1" w:rsidP="007C48A1">
      <w:pPr>
        <w:widowControl w:val="0"/>
        <w:spacing w:after="0" w:line="240" w:lineRule="auto"/>
        <w:jc w:val="center"/>
        <w:rPr>
          <w:b/>
          <w:bCs/>
          <w:sz w:val="24"/>
          <w:szCs w:val="24"/>
        </w:rPr>
      </w:pPr>
    </w:p>
    <w:p w14:paraId="5BDEA6E1" w14:textId="646BECCC" w:rsidR="007C48A1" w:rsidRDefault="009802DD" w:rsidP="007C48A1">
      <w:pPr>
        <w:widowControl w:val="0"/>
        <w:pBdr>
          <w:bottom w:val="single" w:sz="12" w:space="1" w:color="auto"/>
        </w:pBdr>
        <w:tabs>
          <w:tab w:val="left" w:pos="6461"/>
        </w:tabs>
        <w:spacing w:after="0" w:line="240" w:lineRule="auto"/>
        <w:jc w:val="center"/>
        <w:rPr>
          <w:b/>
          <w:bCs/>
          <w:sz w:val="24"/>
          <w:szCs w:val="24"/>
        </w:rPr>
      </w:pPr>
      <w:r>
        <w:rPr>
          <w:b/>
          <w:bCs/>
          <w:sz w:val="24"/>
          <w:szCs w:val="24"/>
        </w:rPr>
        <w:t xml:space="preserve">INITIAL BRIEF OF </w:t>
      </w:r>
      <w:r w:rsidR="007C48A1">
        <w:rPr>
          <w:b/>
          <w:bCs/>
          <w:sz w:val="24"/>
          <w:szCs w:val="24"/>
        </w:rPr>
        <w:t>INT</w:t>
      </w:r>
      <w:r w:rsidR="002D3F9C">
        <w:rPr>
          <w:b/>
          <w:bCs/>
          <w:sz w:val="24"/>
          <w:szCs w:val="24"/>
        </w:rPr>
        <w:t>E</w:t>
      </w:r>
      <w:r w:rsidR="00605509">
        <w:rPr>
          <w:b/>
          <w:bCs/>
          <w:sz w:val="24"/>
          <w:szCs w:val="24"/>
        </w:rPr>
        <w:t>RSTATE GAS SUPPLY, INC.</w:t>
      </w:r>
      <w:r w:rsidR="002415A5">
        <w:rPr>
          <w:b/>
          <w:bCs/>
          <w:sz w:val="24"/>
          <w:szCs w:val="24"/>
        </w:rPr>
        <w:t xml:space="preserve"> AND IGS SOLAR, LLC</w:t>
      </w:r>
    </w:p>
    <w:p w14:paraId="53128261" w14:textId="77777777" w:rsidR="00E67F76" w:rsidRPr="009D71F6" w:rsidRDefault="00E67F76" w:rsidP="007C48A1">
      <w:pPr>
        <w:widowControl w:val="0"/>
        <w:pBdr>
          <w:bottom w:val="single" w:sz="12" w:space="1" w:color="auto"/>
        </w:pBdr>
        <w:tabs>
          <w:tab w:val="left" w:pos="6461"/>
        </w:tabs>
        <w:spacing w:after="0" w:line="240" w:lineRule="auto"/>
        <w:jc w:val="center"/>
        <w:rPr>
          <w:sz w:val="24"/>
          <w:szCs w:val="24"/>
        </w:rPr>
      </w:pPr>
    </w:p>
    <w:p w14:paraId="62486C05" w14:textId="77777777" w:rsidR="007C48A1" w:rsidRPr="009D71F6" w:rsidRDefault="007C48A1" w:rsidP="007C48A1">
      <w:pPr>
        <w:tabs>
          <w:tab w:val="left" w:pos="360"/>
        </w:tabs>
        <w:spacing w:after="0" w:line="240" w:lineRule="auto"/>
        <w:ind w:left="360" w:hanging="360"/>
        <w:jc w:val="both"/>
        <w:rPr>
          <w:sz w:val="24"/>
          <w:szCs w:val="24"/>
        </w:rPr>
      </w:pPr>
    </w:p>
    <w:p w14:paraId="4101652C" w14:textId="77777777" w:rsidR="007C48A1" w:rsidRDefault="007C48A1" w:rsidP="007C48A1">
      <w:pPr>
        <w:autoSpaceDE w:val="0"/>
        <w:autoSpaceDN w:val="0"/>
        <w:adjustRightInd w:val="0"/>
        <w:spacing w:after="120" w:line="480" w:lineRule="auto"/>
        <w:ind w:firstLine="720"/>
        <w:jc w:val="both"/>
        <w:rPr>
          <w:sz w:val="24"/>
          <w:szCs w:val="24"/>
        </w:rPr>
      </w:pPr>
    </w:p>
    <w:p w14:paraId="4B99056E" w14:textId="77777777" w:rsidR="007C48A1" w:rsidRDefault="007C48A1" w:rsidP="001E1681">
      <w:pPr>
        <w:spacing w:after="0" w:line="240" w:lineRule="auto"/>
        <w:rPr>
          <w:sz w:val="24"/>
          <w:szCs w:val="24"/>
        </w:rPr>
      </w:pPr>
    </w:p>
    <w:p w14:paraId="1299C43A" w14:textId="77777777" w:rsidR="001E1681" w:rsidRDefault="001E1681" w:rsidP="001E1681">
      <w:pPr>
        <w:spacing w:after="0" w:line="240" w:lineRule="auto"/>
        <w:rPr>
          <w:sz w:val="24"/>
          <w:szCs w:val="24"/>
        </w:rPr>
      </w:pPr>
    </w:p>
    <w:p w14:paraId="4DDBEF00" w14:textId="77777777" w:rsidR="001E1681" w:rsidRDefault="001E1681" w:rsidP="001E1681">
      <w:pPr>
        <w:spacing w:after="0" w:line="240" w:lineRule="auto"/>
        <w:rPr>
          <w:sz w:val="24"/>
          <w:szCs w:val="24"/>
        </w:rPr>
      </w:pPr>
    </w:p>
    <w:p w14:paraId="3461D779" w14:textId="77777777" w:rsidR="007C48A1" w:rsidRDefault="007C48A1" w:rsidP="007C48A1">
      <w:pPr>
        <w:spacing w:after="0" w:line="240" w:lineRule="auto"/>
        <w:ind w:left="5040"/>
        <w:rPr>
          <w:sz w:val="24"/>
          <w:szCs w:val="24"/>
        </w:rPr>
      </w:pPr>
    </w:p>
    <w:p w14:paraId="3CF2D8B6" w14:textId="77777777" w:rsidR="007C48A1" w:rsidRDefault="007C48A1" w:rsidP="007C48A1">
      <w:pPr>
        <w:spacing w:after="0" w:line="240" w:lineRule="auto"/>
        <w:ind w:left="5040"/>
        <w:rPr>
          <w:sz w:val="24"/>
          <w:szCs w:val="24"/>
        </w:rPr>
      </w:pPr>
    </w:p>
    <w:p w14:paraId="0FB78278" w14:textId="77777777" w:rsidR="007C48A1" w:rsidRDefault="007C48A1" w:rsidP="007C48A1">
      <w:pPr>
        <w:spacing w:after="0" w:line="240" w:lineRule="auto"/>
        <w:ind w:left="5040"/>
        <w:rPr>
          <w:sz w:val="24"/>
          <w:szCs w:val="24"/>
        </w:rPr>
      </w:pPr>
    </w:p>
    <w:p w14:paraId="1FC39945" w14:textId="77777777" w:rsidR="00497F39" w:rsidRDefault="00497F39" w:rsidP="00BD59B6">
      <w:pPr>
        <w:spacing w:after="0" w:line="240" w:lineRule="auto"/>
        <w:rPr>
          <w:sz w:val="24"/>
          <w:szCs w:val="24"/>
        </w:rPr>
      </w:pPr>
    </w:p>
    <w:p w14:paraId="225B3BCF" w14:textId="77777777" w:rsidR="007C48A1" w:rsidRPr="002E49D6" w:rsidRDefault="007C48A1" w:rsidP="007C48A1">
      <w:pPr>
        <w:spacing w:after="0" w:line="240" w:lineRule="auto"/>
        <w:ind w:left="5040"/>
        <w:rPr>
          <w:sz w:val="24"/>
          <w:szCs w:val="24"/>
        </w:rPr>
      </w:pPr>
      <w:r>
        <w:rPr>
          <w:sz w:val="24"/>
          <w:szCs w:val="24"/>
        </w:rPr>
        <w:t>J</w:t>
      </w:r>
      <w:r w:rsidRPr="002E49D6">
        <w:rPr>
          <w:sz w:val="24"/>
          <w:szCs w:val="24"/>
        </w:rPr>
        <w:t>oseph Oliker (0086088)</w:t>
      </w:r>
    </w:p>
    <w:p w14:paraId="3682C493" w14:textId="77777777" w:rsidR="007C48A1" w:rsidRPr="002E49D6" w:rsidRDefault="007C48A1" w:rsidP="007C48A1">
      <w:pPr>
        <w:spacing w:after="0" w:line="240" w:lineRule="auto"/>
        <w:ind w:left="5040"/>
        <w:rPr>
          <w:sz w:val="24"/>
          <w:szCs w:val="24"/>
        </w:rPr>
      </w:pPr>
      <w:r w:rsidRPr="002E49D6">
        <w:rPr>
          <w:sz w:val="24"/>
          <w:szCs w:val="24"/>
        </w:rPr>
        <w:t xml:space="preserve">Email: </w:t>
      </w:r>
      <w:hyperlink r:id="rId11" w:history="1">
        <w:r w:rsidRPr="002E49D6">
          <w:rPr>
            <w:rStyle w:val="Hyperlink"/>
            <w:color w:val="auto"/>
            <w:sz w:val="24"/>
            <w:szCs w:val="24"/>
            <w:u w:val="none"/>
          </w:rPr>
          <w:t>joliker@igsenergy.com</w:t>
        </w:r>
      </w:hyperlink>
    </w:p>
    <w:p w14:paraId="4473441E" w14:textId="77777777" w:rsidR="007C48A1" w:rsidRPr="002E49D6" w:rsidRDefault="007C48A1" w:rsidP="007C48A1">
      <w:pPr>
        <w:spacing w:after="0" w:line="240" w:lineRule="auto"/>
        <w:ind w:left="5040"/>
        <w:rPr>
          <w:sz w:val="24"/>
          <w:szCs w:val="24"/>
        </w:rPr>
      </w:pPr>
      <w:r w:rsidRPr="002E49D6">
        <w:rPr>
          <w:sz w:val="24"/>
          <w:szCs w:val="24"/>
        </w:rPr>
        <w:t>Counsel of Record</w:t>
      </w:r>
    </w:p>
    <w:p w14:paraId="25BE39EF" w14:textId="200CAA98" w:rsidR="002E49D6" w:rsidRPr="002E49D6" w:rsidRDefault="002E49D6" w:rsidP="002E49D6">
      <w:pPr>
        <w:spacing w:after="0" w:line="240" w:lineRule="auto"/>
        <w:ind w:left="5040"/>
        <w:rPr>
          <w:sz w:val="24"/>
          <w:szCs w:val="24"/>
        </w:rPr>
      </w:pPr>
      <w:r w:rsidRPr="002E49D6">
        <w:rPr>
          <w:sz w:val="24"/>
          <w:szCs w:val="24"/>
        </w:rPr>
        <w:t>Michael Nugent</w:t>
      </w:r>
      <w:r w:rsidR="00313922">
        <w:rPr>
          <w:sz w:val="24"/>
          <w:szCs w:val="24"/>
        </w:rPr>
        <w:t xml:space="preserve"> (0090408)</w:t>
      </w:r>
    </w:p>
    <w:p w14:paraId="0B8DA199" w14:textId="77777777" w:rsidR="002E49D6" w:rsidRPr="002E49D6" w:rsidRDefault="002E49D6" w:rsidP="002E49D6">
      <w:pPr>
        <w:spacing w:after="0" w:line="240" w:lineRule="auto"/>
        <w:ind w:left="5040"/>
        <w:rPr>
          <w:sz w:val="24"/>
          <w:szCs w:val="24"/>
        </w:rPr>
      </w:pPr>
      <w:r w:rsidRPr="002E49D6">
        <w:rPr>
          <w:sz w:val="24"/>
          <w:szCs w:val="24"/>
        </w:rPr>
        <w:t>Email: mnugent@igsenergy.com</w:t>
      </w:r>
    </w:p>
    <w:p w14:paraId="667895FF" w14:textId="77777777" w:rsidR="007C48A1" w:rsidRPr="002E49D6" w:rsidRDefault="007C48A1" w:rsidP="007C48A1">
      <w:pPr>
        <w:spacing w:after="0" w:line="240" w:lineRule="auto"/>
        <w:ind w:left="5040"/>
        <w:rPr>
          <w:sz w:val="24"/>
          <w:szCs w:val="24"/>
        </w:rPr>
      </w:pPr>
      <w:r w:rsidRPr="002E49D6">
        <w:rPr>
          <w:sz w:val="24"/>
          <w:szCs w:val="24"/>
        </w:rPr>
        <w:t>IGS Energy</w:t>
      </w:r>
    </w:p>
    <w:p w14:paraId="6A93D56D" w14:textId="77777777" w:rsidR="007C48A1" w:rsidRPr="002E49D6" w:rsidRDefault="007C48A1" w:rsidP="007C48A1">
      <w:pPr>
        <w:spacing w:after="0" w:line="240" w:lineRule="auto"/>
        <w:ind w:left="5040"/>
        <w:rPr>
          <w:sz w:val="24"/>
          <w:szCs w:val="24"/>
        </w:rPr>
      </w:pPr>
      <w:r w:rsidRPr="002E49D6">
        <w:rPr>
          <w:sz w:val="24"/>
          <w:szCs w:val="24"/>
        </w:rPr>
        <w:t>6100 Emerald Parkway</w:t>
      </w:r>
    </w:p>
    <w:p w14:paraId="0DF6ED11" w14:textId="77777777" w:rsidR="007C48A1" w:rsidRPr="002E49D6" w:rsidRDefault="007C48A1" w:rsidP="007C48A1">
      <w:pPr>
        <w:spacing w:after="0" w:line="240" w:lineRule="auto"/>
        <w:ind w:left="5040"/>
        <w:rPr>
          <w:sz w:val="24"/>
          <w:szCs w:val="24"/>
        </w:rPr>
      </w:pPr>
      <w:r w:rsidRPr="002E49D6">
        <w:rPr>
          <w:sz w:val="24"/>
          <w:szCs w:val="24"/>
        </w:rPr>
        <w:t>Dublin, Ohio 43016</w:t>
      </w:r>
    </w:p>
    <w:p w14:paraId="0323BFD7" w14:textId="77777777" w:rsidR="007C48A1" w:rsidRPr="002E49D6" w:rsidRDefault="007C48A1" w:rsidP="007C48A1">
      <w:pPr>
        <w:spacing w:after="0" w:line="240" w:lineRule="auto"/>
        <w:ind w:left="5040"/>
        <w:rPr>
          <w:sz w:val="24"/>
          <w:szCs w:val="24"/>
        </w:rPr>
      </w:pPr>
      <w:r w:rsidRPr="002E49D6">
        <w:rPr>
          <w:sz w:val="24"/>
          <w:szCs w:val="24"/>
        </w:rPr>
        <w:t>Telephone:</w:t>
      </w:r>
      <w:r w:rsidRPr="002E49D6">
        <w:rPr>
          <w:sz w:val="24"/>
          <w:szCs w:val="24"/>
        </w:rPr>
        <w:tab/>
        <w:t>(614) 659-5000</w:t>
      </w:r>
    </w:p>
    <w:p w14:paraId="52594991" w14:textId="77777777" w:rsidR="007C48A1" w:rsidRPr="002E49D6" w:rsidRDefault="007C48A1" w:rsidP="007C48A1">
      <w:pPr>
        <w:spacing w:after="0" w:line="240" w:lineRule="auto"/>
        <w:ind w:left="5040"/>
        <w:rPr>
          <w:sz w:val="24"/>
          <w:szCs w:val="24"/>
        </w:rPr>
      </w:pPr>
      <w:r w:rsidRPr="002E49D6">
        <w:rPr>
          <w:sz w:val="24"/>
          <w:szCs w:val="24"/>
        </w:rPr>
        <w:t>Facsimile:</w:t>
      </w:r>
      <w:r w:rsidRPr="002E49D6">
        <w:rPr>
          <w:sz w:val="24"/>
          <w:szCs w:val="24"/>
        </w:rPr>
        <w:tab/>
        <w:t>(614) 659-5073</w:t>
      </w:r>
    </w:p>
    <w:p w14:paraId="0562CB0E" w14:textId="77777777" w:rsidR="007C48A1" w:rsidRPr="002E49D6" w:rsidRDefault="007C48A1" w:rsidP="007C48A1">
      <w:pPr>
        <w:spacing w:after="0" w:line="240" w:lineRule="auto"/>
        <w:ind w:left="5040"/>
        <w:rPr>
          <w:sz w:val="24"/>
          <w:szCs w:val="24"/>
        </w:rPr>
      </w:pPr>
    </w:p>
    <w:p w14:paraId="5F525F49" w14:textId="77777777" w:rsidR="007C48A1" w:rsidRPr="002E49D6" w:rsidRDefault="007C48A1" w:rsidP="007C48A1">
      <w:pPr>
        <w:spacing w:after="0" w:line="240" w:lineRule="auto"/>
        <w:ind w:left="5040"/>
        <w:rPr>
          <w:b/>
          <w:i/>
          <w:sz w:val="24"/>
          <w:szCs w:val="24"/>
        </w:rPr>
      </w:pPr>
      <w:r w:rsidRPr="002E49D6">
        <w:rPr>
          <w:b/>
          <w:i/>
          <w:sz w:val="24"/>
          <w:szCs w:val="24"/>
        </w:rPr>
        <w:t>Attorney</w:t>
      </w:r>
      <w:r w:rsidR="002E49D6" w:rsidRPr="002E49D6">
        <w:rPr>
          <w:b/>
          <w:i/>
          <w:sz w:val="24"/>
          <w:szCs w:val="24"/>
        </w:rPr>
        <w:t>s</w:t>
      </w:r>
      <w:r w:rsidRPr="002E49D6">
        <w:rPr>
          <w:b/>
          <w:i/>
          <w:sz w:val="24"/>
          <w:szCs w:val="24"/>
        </w:rPr>
        <w:t xml:space="preserve"> for IGS Energy</w:t>
      </w:r>
    </w:p>
    <w:p w14:paraId="7DD31972" w14:textId="77777777" w:rsidR="007C48A1" w:rsidRPr="002E49D6" w:rsidRDefault="009802DD" w:rsidP="007C48A1">
      <w:pPr>
        <w:spacing w:after="0" w:line="240" w:lineRule="auto"/>
        <w:rPr>
          <w:b/>
          <w:sz w:val="24"/>
          <w:szCs w:val="24"/>
        </w:rPr>
      </w:pPr>
      <w:r>
        <w:rPr>
          <w:b/>
          <w:sz w:val="24"/>
          <w:szCs w:val="24"/>
        </w:rPr>
        <w:t>March 6</w:t>
      </w:r>
      <w:r w:rsidR="001E1681" w:rsidRPr="002E49D6">
        <w:rPr>
          <w:b/>
          <w:sz w:val="24"/>
          <w:szCs w:val="24"/>
        </w:rPr>
        <w:t>, 201</w:t>
      </w:r>
      <w:r>
        <w:rPr>
          <w:b/>
          <w:sz w:val="24"/>
          <w:szCs w:val="24"/>
        </w:rPr>
        <w:t>9</w:t>
      </w:r>
    </w:p>
    <w:p w14:paraId="34CE0A41" w14:textId="77777777" w:rsidR="00D64684" w:rsidRPr="002E49D6" w:rsidRDefault="00D64684" w:rsidP="007C48A1">
      <w:pPr>
        <w:spacing w:after="0" w:line="240" w:lineRule="auto"/>
        <w:rPr>
          <w:b/>
          <w:sz w:val="24"/>
          <w:szCs w:val="24"/>
        </w:rPr>
      </w:pPr>
    </w:p>
    <w:p w14:paraId="5729C72C" w14:textId="77777777" w:rsidR="005C648E" w:rsidRDefault="005C648E" w:rsidP="005C648E">
      <w:pPr>
        <w:widowControl w:val="0"/>
        <w:spacing w:after="0" w:line="240" w:lineRule="auto"/>
        <w:jc w:val="center"/>
        <w:rPr>
          <w:b/>
          <w:bCs/>
          <w:sz w:val="24"/>
          <w:szCs w:val="24"/>
          <w:u w:val="single"/>
        </w:rPr>
      </w:pPr>
      <w:bookmarkStart w:id="1" w:name="_Hlk524355073"/>
      <w:r w:rsidRPr="00EC2ABB">
        <w:rPr>
          <w:b/>
          <w:bCs/>
          <w:sz w:val="24"/>
          <w:szCs w:val="24"/>
          <w:u w:val="single"/>
        </w:rPr>
        <w:lastRenderedPageBreak/>
        <w:t>TABLE OF CONTENTS</w:t>
      </w:r>
    </w:p>
    <w:p w14:paraId="78CABAF2" w14:textId="77777777" w:rsidR="005C648E" w:rsidRPr="00AE7A34" w:rsidRDefault="005C648E" w:rsidP="005C648E">
      <w:pPr>
        <w:widowControl w:val="0"/>
        <w:spacing w:after="0" w:line="240" w:lineRule="auto"/>
        <w:jc w:val="center"/>
        <w:rPr>
          <w:b/>
          <w:bCs/>
          <w:sz w:val="24"/>
          <w:szCs w:val="24"/>
          <w:u w:val="single"/>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u w:val="single"/>
        </w:rPr>
        <w:t>PAGE</w:t>
      </w:r>
    </w:p>
    <w:p w14:paraId="1472DF8F" w14:textId="77777777" w:rsidR="005C648E" w:rsidRDefault="005C648E" w:rsidP="005C648E">
      <w:pPr>
        <w:pStyle w:val="Level1"/>
        <w:rPr>
          <w:webHidden/>
        </w:rPr>
      </w:pPr>
    </w:p>
    <w:p w14:paraId="15F73E5A" w14:textId="1D3F5BF1" w:rsidR="002C0AF2" w:rsidRPr="002C0AF2" w:rsidRDefault="005C648E" w:rsidP="002C0AF2">
      <w:pPr>
        <w:pStyle w:val="Level1"/>
        <w:numPr>
          <w:ilvl w:val="0"/>
          <w:numId w:val="15"/>
        </w:numPr>
        <w:rPr>
          <w:rFonts w:ascii="Arial" w:hAnsi="Arial" w:cs="Arial"/>
          <w:webHidden/>
        </w:rPr>
      </w:pPr>
      <w:r w:rsidRPr="00AE7A34">
        <w:rPr>
          <w:rFonts w:ascii="Arial" w:hAnsi="Arial" w:cs="Arial"/>
          <w:webHidden/>
        </w:rPr>
        <w:t xml:space="preserve">introduction </w:t>
      </w:r>
      <w:r w:rsidRPr="00AE7A34">
        <w:rPr>
          <w:rFonts w:ascii="Arial" w:hAnsi="Arial" w:cs="Arial"/>
          <w:webHidden/>
        </w:rPr>
        <w:tab/>
      </w:r>
      <w:r w:rsidR="00C63272">
        <w:rPr>
          <w:rFonts w:ascii="Arial" w:hAnsi="Arial" w:cs="Arial"/>
          <w:webHidden/>
        </w:rPr>
        <w:t>4</w:t>
      </w:r>
    </w:p>
    <w:p w14:paraId="36ADECA5" w14:textId="18295C73" w:rsidR="004F72C7" w:rsidRPr="00AE7A34" w:rsidRDefault="004F72C7" w:rsidP="005C648E">
      <w:pPr>
        <w:pStyle w:val="Level1"/>
        <w:numPr>
          <w:ilvl w:val="0"/>
          <w:numId w:val="15"/>
        </w:numPr>
        <w:rPr>
          <w:rFonts w:ascii="Arial" w:hAnsi="Arial" w:cs="Arial"/>
        </w:rPr>
      </w:pPr>
      <w:r>
        <w:rPr>
          <w:rFonts w:ascii="Arial" w:hAnsi="Arial" w:cs="Arial"/>
          <w:webHidden/>
        </w:rPr>
        <w:t>Background</w:t>
      </w:r>
      <w:r>
        <w:rPr>
          <w:rFonts w:ascii="Arial" w:hAnsi="Arial" w:cs="Arial"/>
          <w:webHidden/>
        </w:rPr>
        <w:tab/>
      </w:r>
      <w:r w:rsidR="00C63272">
        <w:rPr>
          <w:rFonts w:ascii="Arial" w:hAnsi="Arial" w:cs="Arial"/>
          <w:webHidden/>
        </w:rPr>
        <w:t>6</w:t>
      </w:r>
    </w:p>
    <w:p w14:paraId="491FCE86" w14:textId="1402FD78" w:rsidR="005C648E" w:rsidRDefault="00FF4C19" w:rsidP="005C648E">
      <w:pPr>
        <w:pStyle w:val="Level1"/>
        <w:numPr>
          <w:ilvl w:val="0"/>
          <w:numId w:val="15"/>
        </w:numPr>
        <w:rPr>
          <w:rFonts w:ascii="Arial" w:hAnsi="Arial" w:cs="Arial"/>
          <w:webHidden/>
        </w:rPr>
      </w:pPr>
      <w:r>
        <w:rPr>
          <w:rFonts w:ascii="Arial" w:hAnsi="Arial" w:cs="Arial"/>
          <w:webHidden/>
        </w:rPr>
        <w:t>argument</w:t>
      </w:r>
      <w:r w:rsidR="005C648E" w:rsidRPr="00AE7A34">
        <w:rPr>
          <w:rFonts w:ascii="Arial" w:hAnsi="Arial" w:cs="Arial"/>
          <w:webHidden/>
        </w:rPr>
        <w:tab/>
      </w:r>
      <w:r w:rsidR="00C63272">
        <w:rPr>
          <w:rFonts w:ascii="Arial" w:hAnsi="Arial" w:cs="Arial"/>
          <w:webHidden/>
        </w:rPr>
        <w:t>8</w:t>
      </w:r>
    </w:p>
    <w:p w14:paraId="6442BDA0" w14:textId="7381EDFA" w:rsidR="00482329" w:rsidRPr="00482329" w:rsidRDefault="005137DF" w:rsidP="00482329">
      <w:pPr>
        <w:pStyle w:val="Level1"/>
        <w:numPr>
          <w:ilvl w:val="1"/>
          <w:numId w:val="15"/>
        </w:numPr>
        <w:rPr>
          <w:rFonts w:ascii="Arial" w:hAnsi="Arial" w:cs="Arial"/>
        </w:rPr>
      </w:pPr>
      <w:r>
        <w:rPr>
          <w:rFonts w:ascii="Arial" w:hAnsi="Arial" w:cs="Arial"/>
          <w:webHidden/>
        </w:rPr>
        <w:t>“</w:t>
      </w:r>
      <w:r w:rsidR="00471CD5">
        <w:rPr>
          <w:rFonts w:ascii="Arial" w:hAnsi="Arial" w:cs="Arial"/>
          <w:webHidden/>
        </w:rPr>
        <w:t>need</w:t>
      </w:r>
      <w:r>
        <w:rPr>
          <w:rFonts w:ascii="Arial" w:hAnsi="Arial" w:cs="Arial"/>
          <w:webHidden/>
        </w:rPr>
        <w:t xml:space="preserve">” </w:t>
      </w:r>
      <w:r>
        <w:rPr>
          <w:sz w:val="24"/>
          <w:szCs w:val="24"/>
        </w:rPr>
        <w:t xml:space="preserve">under R.C. 4928.143(B)(2)(c) relates to generation and      </w:t>
      </w:r>
      <w:r w:rsidR="00E340C5">
        <w:rPr>
          <w:sz w:val="24"/>
          <w:szCs w:val="24"/>
        </w:rPr>
        <w:t xml:space="preserve"> </w:t>
      </w:r>
      <w:r>
        <w:rPr>
          <w:sz w:val="24"/>
          <w:szCs w:val="24"/>
        </w:rPr>
        <w:t xml:space="preserve">      capacity to maintain reliability</w:t>
      </w:r>
      <w:r w:rsidR="005C648E" w:rsidRPr="00AE7A34">
        <w:rPr>
          <w:rFonts w:ascii="Arial" w:hAnsi="Arial" w:cs="Arial"/>
          <w:webHidden/>
        </w:rPr>
        <w:tab/>
      </w:r>
      <w:r w:rsidR="00C63272">
        <w:rPr>
          <w:rFonts w:ascii="Arial" w:hAnsi="Arial" w:cs="Arial"/>
          <w:webHidden/>
        </w:rPr>
        <w:t>8</w:t>
      </w:r>
      <w:r w:rsidR="005C648E" w:rsidRPr="00F2733B">
        <w:rPr>
          <w:rFonts w:ascii="Arial" w:hAnsi="Arial" w:cs="Arial"/>
        </w:rPr>
        <w:t xml:space="preserve"> </w:t>
      </w:r>
    </w:p>
    <w:p w14:paraId="024374D7" w14:textId="124DF7E9" w:rsidR="00B45F62" w:rsidRPr="00B45F62" w:rsidRDefault="00634FDB" w:rsidP="00B45F62">
      <w:pPr>
        <w:pStyle w:val="Level1"/>
        <w:numPr>
          <w:ilvl w:val="2"/>
          <w:numId w:val="15"/>
        </w:numPr>
        <w:rPr>
          <w:rFonts w:ascii="Arial" w:hAnsi="Arial" w:cs="Arial"/>
        </w:rPr>
      </w:pPr>
      <w:r>
        <w:rPr>
          <w:rFonts w:ascii="Arial" w:hAnsi="Arial" w:cs="Arial"/>
        </w:rPr>
        <w:t xml:space="preserve"> </w:t>
      </w:r>
      <w:r w:rsidR="00DE2E49">
        <w:rPr>
          <w:rFonts w:ascii="Arial" w:hAnsi="Arial" w:cs="Arial"/>
        </w:rPr>
        <w:t>resource</w:t>
      </w:r>
      <w:r w:rsidR="00EA5DC7">
        <w:rPr>
          <w:rFonts w:ascii="Arial" w:hAnsi="Arial" w:cs="Arial"/>
        </w:rPr>
        <w:t xml:space="preserve"> </w:t>
      </w:r>
      <w:r w:rsidR="00EA5DC7">
        <w:rPr>
          <w:sz w:val="24"/>
          <w:szCs w:val="24"/>
        </w:rPr>
        <w:t xml:space="preserve">Planning Projections relate to capacity and    </w:t>
      </w:r>
      <w:r w:rsidR="00E340C5">
        <w:rPr>
          <w:sz w:val="24"/>
          <w:szCs w:val="24"/>
        </w:rPr>
        <w:t xml:space="preserve">   </w:t>
      </w:r>
      <w:r w:rsidR="00EA5DC7">
        <w:rPr>
          <w:sz w:val="24"/>
          <w:szCs w:val="24"/>
        </w:rPr>
        <w:t xml:space="preserve">    energy for reliability purposes—need must as well</w:t>
      </w:r>
      <w:r w:rsidR="00DE2E49">
        <w:rPr>
          <w:rFonts w:ascii="Arial" w:hAnsi="Arial" w:cs="Arial"/>
        </w:rPr>
        <w:tab/>
      </w:r>
      <w:r w:rsidR="00C63272">
        <w:rPr>
          <w:rFonts w:ascii="Arial" w:hAnsi="Arial" w:cs="Arial"/>
        </w:rPr>
        <w:t>9</w:t>
      </w:r>
    </w:p>
    <w:p w14:paraId="2124401A" w14:textId="4280CE7D" w:rsidR="00634FDB" w:rsidRPr="00F2733B" w:rsidRDefault="00634FDB" w:rsidP="00471CD5">
      <w:pPr>
        <w:pStyle w:val="Level1"/>
        <w:numPr>
          <w:ilvl w:val="2"/>
          <w:numId w:val="15"/>
        </w:numPr>
        <w:rPr>
          <w:rFonts w:ascii="Arial" w:hAnsi="Arial" w:cs="Arial"/>
        </w:rPr>
      </w:pPr>
      <w:r>
        <w:rPr>
          <w:rFonts w:ascii="Arial" w:hAnsi="Arial" w:cs="Arial"/>
        </w:rPr>
        <w:t xml:space="preserve"> Finding</w:t>
      </w:r>
      <w:r w:rsidR="0093642E">
        <w:rPr>
          <w:rFonts w:ascii="Arial" w:hAnsi="Arial" w:cs="Arial"/>
        </w:rPr>
        <w:t xml:space="preserve"> </w:t>
      </w:r>
      <w:r w:rsidR="0093642E">
        <w:rPr>
          <w:sz w:val="24"/>
          <w:szCs w:val="24"/>
        </w:rPr>
        <w:t xml:space="preserve">need for renewable energy resources would    </w:t>
      </w:r>
      <w:r w:rsidR="006E4493">
        <w:rPr>
          <w:sz w:val="24"/>
          <w:szCs w:val="24"/>
        </w:rPr>
        <w:t xml:space="preserve">   </w:t>
      </w:r>
      <w:r w:rsidR="0093642E">
        <w:rPr>
          <w:sz w:val="24"/>
          <w:szCs w:val="24"/>
        </w:rPr>
        <w:t xml:space="preserve">    conflate two statutes passed at the same time</w:t>
      </w:r>
      <w:r w:rsidR="003B65D0">
        <w:rPr>
          <w:sz w:val="24"/>
          <w:szCs w:val="24"/>
        </w:rPr>
        <w:t xml:space="preserve">:  </w:t>
      </w:r>
      <w:r w:rsidR="0093642E">
        <w:rPr>
          <w:sz w:val="24"/>
          <w:szCs w:val="24"/>
        </w:rPr>
        <w:t>t</w:t>
      </w:r>
      <w:r w:rsidR="0093642E" w:rsidRPr="00F1643C">
        <w:rPr>
          <w:sz w:val="24"/>
          <w:szCs w:val="24"/>
        </w:rPr>
        <w:t xml:space="preserve">he </w:t>
      </w:r>
      <w:r w:rsidR="0093642E">
        <w:rPr>
          <w:sz w:val="24"/>
          <w:szCs w:val="24"/>
        </w:rPr>
        <w:t xml:space="preserve">               </w:t>
      </w:r>
      <w:r w:rsidR="0093642E" w:rsidRPr="00F1643C">
        <w:rPr>
          <w:sz w:val="24"/>
          <w:szCs w:val="24"/>
        </w:rPr>
        <w:t xml:space="preserve">Electric Security Plan Statute and the Renewable </w:t>
      </w:r>
      <w:r w:rsidR="0093642E">
        <w:rPr>
          <w:sz w:val="24"/>
          <w:szCs w:val="24"/>
        </w:rPr>
        <w:t xml:space="preserve">                 </w:t>
      </w:r>
      <w:r w:rsidR="0093642E" w:rsidRPr="00F1643C">
        <w:rPr>
          <w:sz w:val="24"/>
          <w:szCs w:val="24"/>
        </w:rPr>
        <w:t>Portfolio Standards</w:t>
      </w:r>
      <w:r w:rsidR="003B65D0">
        <w:rPr>
          <w:sz w:val="24"/>
          <w:szCs w:val="24"/>
        </w:rPr>
        <w:t>--</w:t>
      </w:r>
      <w:r w:rsidR="0093642E">
        <w:rPr>
          <w:sz w:val="24"/>
          <w:szCs w:val="24"/>
        </w:rPr>
        <w:t xml:space="preserve">both of which address different      </w:t>
      </w:r>
      <w:r w:rsidR="00DF36F7">
        <w:rPr>
          <w:sz w:val="24"/>
          <w:szCs w:val="24"/>
        </w:rPr>
        <w:t xml:space="preserve"> </w:t>
      </w:r>
      <w:r w:rsidR="0093642E">
        <w:rPr>
          <w:sz w:val="24"/>
          <w:szCs w:val="24"/>
        </w:rPr>
        <w:t xml:space="preserve">      policy concerns</w:t>
      </w:r>
      <w:r>
        <w:rPr>
          <w:rFonts w:ascii="Arial" w:hAnsi="Arial" w:cs="Arial"/>
        </w:rPr>
        <w:tab/>
      </w:r>
      <w:r w:rsidR="0049345F">
        <w:rPr>
          <w:rFonts w:ascii="Arial" w:hAnsi="Arial" w:cs="Arial"/>
        </w:rPr>
        <w:t>10</w:t>
      </w:r>
    </w:p>
    <w:p w14:paraId="6F717FE2" w14:textId="2D061D95" w:rsidR="00B45F62" w:rsidRPr="00B45F62" w:rsidRDefault="00634FDB" w:rsidP="00B45F62">
      <w:pPr>
        <w:pStyle w:val="Level1"/>
        <w:numPr>
          <w:ilvl w:val="1"/>
          <w:numId w:val="15"/>
        </w:numPr>
        <w:rPr>
          <w:rFonts w:ascii="Arial" w:hAnsi="Arial" w:cs="Arial"/>
          <w:webHidden/>
        </w:rPr>
      </w:pPr>
      <w:r>
        <w:rPr>
          <w:rFonts w:ascii="Arial" w:hAnsi="Arial" w:cs="Arial"/>
          <w:webHidden/>
        </w:rPr>
        <w:t>a</w:t>
      </w:r>
      <w:r w:rsidR="005C648E">
        <w:rPr>
          <w:rFonts w:ascii="Arial" w:hAnsi="Arial" w:cs="Arial"/>
          <w:webHidden/>
        </w:rPr>
        <w:t>E</w:t>
      </w:r>
      <w:r>
        <w:rPr>
          <w:rFonts w:ascii="Arial" w:hAnsi="Arial" w:cs="Arial"/>
          <w:webHidden/>
        </w:rPr>
        <w:t>p</w:t>
      </w:r>
      <w:r w:rsidR="00AA29B1">
        <w:rPr>
          <w:rFonts w:ascii="Arial" w:hAnsi="Arial" w:cs="Arial"/>
          <w:webHidden/>
        </w:rPr>
        <w:t xml:space="preserve"> </w:t>
      </w:r>
      <w:r w:rsidR="00AA29B1">
        <w:rPr>
          <w:sz w:val="24"/>
          <w:szCs w:val="24"/>
        </w:rPr>
        <w:t>Ohio’s legal theory is neither correct nor supported by                      the evidence</w:t>
      </w:r>
      <w:r w:rsidR="005C648E" w:rsidRPr="00AE7A34">
        <w:rPr>
          <w:rFonts w:ascii="Arial" w:hAnsi="Arial" w:cs="Arial"/>
          <w:webHidden/>
        </w:rPr>
        <w:tab/>
      </w:r>
      <w:r w:rsidR="00893768">
        <w:rPr>
          <w:rFonts w:ascii="Arial" w:hAnsi="Arial" w:cs="Arial"/>
          <w:webHidden/>
        </w:rPr>
        <w:t>1</w:t>
      </w:r>
      <w:r w:rsidR="0049345F">
        <w:rPr>
          <w:rFonts w:ascii="Arial" w:hAnsi="Arial" w:cs="Arial"/>
          <w:webHidden/>
        </w:rPr>
        <w:t>6</w:t>
      </w:r>
    </w:p>
    <w:p w14:paraId="6D36F150" w14:textId="3A1A2206" w:rsidR="00137D25" w:rsidRPr="00137D25" w:rsidRDefault="00101D14" w:rsidP="00137D25">
      <w:pPr>
        <w:pStyle w:val="Level1"/>
        <w:numPr>
          <w:ilvl w:val="2"/>
          <w:numId w:val="15"/>
        </w:numPr>
        <w:rPr>
          <w:rFonts w:ascii="Arial" w:hAnsi="Arial" w:cs="Arial"/>
          <w:webHidden/>
        </w:rPr>
      </w:pPr>
      <w:r>
        <w:rPr>
          <w:rFonts w:ascii="Arial" w:hAnsi="Arial" w:cs="Arial"/>
          <w:webHidden/>
        </w:rPr>
        <w:t xml:space="preserve"> </w:t>
      </w:r>
      <w:r w:rsidR="00CF4AF3">
        <w:rPr>
          <w:rFonts w:ascii="Arial" w:hAnsi="Arial" w:cs="Arial"/>
          <w:webHidden/>
        </w:rPr>
        <w:t>the</w:t>
      </w:r>
      <w:r>
        <w:rPr>
          <w:rFonts w:ascii="Arial" w:hAnsi="Arial" w:cs="Arial"/>
          <w:webHidden/>
        </w:rPr>
        <w:t xml:space="preserve"> flawed</w:t>
      </w:r>
      <w:r w:rsidR="00CF4AF3">
        <w:rPr>
          <w:rFonts w:ascii="Arial" w:hAnsi="Arial" w:cs="Arial"/>
          <w:webHidden/>
        </w:rPr>
        <w:t xml:space="preserve"> survey</w:t>
      </w:r>
      <w:r>
        <w:rPr>
          <w:rFonts w:ascii="Arial" w:hAnsi="Arial" w:cs="Arial"/>
          <w:webHidden/>
        </w:rPr>
        <w:tab/>
        <w:t>1</w:t>
      </w:r>
      <w:r w:rsidR="0049345F">
        <w:rPr>
          <w:rFonts w:ascii="Arial" w:hAnsi="Arial" w:cs="Arial"/>
          <w:webHidden/>
        </w:rPr>
        <w:t>7</w:t>
      </w:r>
    </w:p>
    <w:p w14:paraId="6FDE15CA" w14:textId="1E3521ED" w:rsidR="00101D14" w:rsidRDefault="00101D14" w:rsidP="00893768">
      <w:pPr>
        <w:pStyle w:val="Level1"/>
        <w:numPr>
          <w:ilvl w:val="2"/>
          <w:numId w:val="15"/>
        </w:numPr>
        <w:rPr>
          <w:rFonts w:ascii="Arial" w:hAnsi="Arial" w:cs="Arial"/>
          <w:webHidden/>
        </w:rPr>
      </w:pPr>
      <w:r>
        <w:rPr>
          <w:rFonts w:ascii="Arial" w:hAnsi="Arial" w:cs="Arial"/>
          <w:webHidden/>
        </w:rPr>
        <w:t xml:space="preserve"> aep</w:t>
      </w:r>
      <w:r w:rsidR="004A27B9">
        <w:rPr>
          <w:rFonts w:ascii="Arial" w:hAnsi="Arial" w:cs="Arial"/>
          <w:webHidden/>
        </w:rPr>
        <w:t xml:space="preserve"> </w:t>
      </w:r>
      <w:r w:rsidR="004A27B9" w:rsidRPr="006B387C">
        <w:rPr>
          <w:sz w:val="24"/>
          <w:szCs w:val="24"/>
        </w:rPr>
        <w:t>failed to evaluate renewable development by the competitive market</w:t>
      </w:r>
      <w:r>
        <w:rPr>
          <w:rFonts w:ascii="Arial" w:hAnsi="Arial" w:cs="Arial"/>
          <w:webHidden/>
        </w:rPr>
        <w:tab/>
        <w:t>2</w:t>
      </w:r>
      <w:r w:rsidR="003C25CB">
        <w:rPr>
          <w:rFonts w:ascii="Arial" w:hAnsi="Arial" w:cs="Arial"/>
          <w:webHidden/>
        </w:rPr>
        <w:t>2</w:t>
      </w:r>
    </w:p>
    <w:p w14:paraId="44B7EF7B" w14:textId="251E767C" w:rsidR="00101D14" w:rsidRDefault="00101D14" w:rsidP="00893768">
      <w:pPr>
        <w:pStyle w:val="Level1"/>
        <w:numPr>
          <w:ilvl w:val="2"/>
          <w:numId w:val="15"/>
        </w:numPr>
        <w:rPr>
          <w:rFonts w:ascii="Arial" w:hAnsi="Arial" w:cs="Arial"/>
          <w:webHidden/>
        </w:rPr>
      </w:pPr>
      <w:r>
        <w:rPr>
          <w:rFonts w:ascii="Arial" w:hAnsi="Arial" w:cs="Arial"/>
          <w:webHidden/>
        </w:rPr>
        <w:t xml:space="preserve"> aep</w:t>
      </w:r>
      <w:r w:rsidR="005F291A">
        <w:rPr>
          <w:rFonts w:ascii="Arial" w:hAnsi="Arial" w:cs="Arial"/>
          <w:webHidden/>
        </w:rPr>
        <w:t xml:space="preserve"> </w:t>
      </w:r>
      <w:r w:rsidR="005F291A" w:rsidRPr="00B00E0C">
        <w:rPr>
          <w:sz w:val="24"/>
          <w:szCs w:val="24"/>
        </w:rPr>
        <w:t xml:space="preserve">Ohio’s </w:t>
      </w:r>
      <w:r w:rsidR="005F291A">
        <w:rPr>
          <w:sz w:val="24"/>
          <w:szCs w:val="24"/>
        </w:rPr>
        <w:t>Rate P</w:t>
      </w:r>
      <w:r w:rsidR="005F291A" w:rsidRPr="00B00E0C">
        <w:rPr>
          <w:sz w:val="24"/>
          <w:szCs w:val="24"/>
        </w:rPr>
        <w:t>rojections</w:t>
      </w:r>
      <w:r w:rsidR="005F291A">
        <w:rPr>
          <w:sz w:val="24"/>
          <w:szCs w:val="24"/>
        </w:rPr>
        <w:t xml:space="preserve"> are Flawed</w:t>
      </w:r>
      <w:r>
        <w:rPr>
          <w:rFonts w:ascii="Arial" w:hAnsi="Arial" w:cs="Arial"/>
          <w:webHidden/>
        </w:rPr>
        <w:tab/>
        <w:t>2</w:t>
      </w:r>
      <w:r w:rsidR="0049345F">
        <w:rPr>
          <w:rFonts w:ascii="Arial" w:hAnsi="Arial" w:cs="Arial"/>
          <w:webHidden/>
        </w:rPr>
        <w:t>2</w:t>
      </w:r>
    </w:p>
    <w:p w14:paraId="7EC63DBF" w14:textId="4A095B99" w:rsidR="007768F7" w:rsidRDefault="009E2292" w:rsidP="007768F7">
      <w:pPr>
        <w:pStyle w:val="Level1"/>
        <w:numPr>
          <w:ilvl w:val="3"/>
          <w:numId w:val="15"/>
        </w:numPr>
        <w:rPr>
          <w:rFonts w:ascii="Arial" w:hAnsi="Arial" w:cs="Arial"/>
          <w:webHidden/>
        </w:rPr>
      </w:pPr>
      <w:r>
        <w:rPr>
          <w:rFonts w:ascii="Arial" w:hAnsi="Arial" w:cs="Arial"/>
          <w:webHidden/>
        </w:rPr>
        <w:t>price</w:t>
      </w:r>
      <w:r w:rsidR="00154364">
        <w:rPr>
          <w:rFonts w:ascii="Arial" w:hAnsi="Arial" w:cs="Arial"/>
          <w:webHidden/>
        </w:rPr>
        <w:t xml:space="preserve"> </w:t>
      </w:r>
      <w:r w:rsidR="00154364" w:rsidRPr="00B428D9">
        <w:rPr>
          <w:sz w:val="24"/>
          <w:szCs w:val="24"/>
        </w:rPr>
        <w:t xml:space="preserve">Suppression impacts are illusory and </w:t>
      </w:r>
      <w:r w:rsidR="00154364">
        <w:rPr>
          <w:sz w:val="24"/>
          <w:szCs w:val="24"/>
        </w:rPr>
        <w:t xml:space="preserve">                       </w:t>
      </w:r>
      <w:r w:rsidR="00154364" w:rsidRPr="00B428D9">
        <w:rPr>
          <w:sz w:val="24"/>
          <w:szCs w:val="24"/>
        </w:rPr>
        <w:t>ignore other costs</w:t>
      </w:r>
      <w:r>
        <w:rPr>
          <w:rFonts w:ascii="Arial" w:hAnsi="Arial" w:cs="Arial"/>
          <w:webHidden/>
        </w:rPr>
        <w:tab/>
      </w:r>
      <w:r w:rsidR="00E1297B">
        <w:rPr>
          <w:rFonts w:ascii="Arial" w:hAnsi="Arial" w:cs="Arial"/>
          <w:webHidden/>
        </w:rPr>
        <w:t>2</w:t>
      </w:r>
      <w:r w:rsidR="00227EE9">
        <w:rPr>
          <w:rFonts w:ascii="Arial" w:hAnsi="Arial" w:cs="Arial"/>
          <w:webHidden/>
        </w:rPr>
        <w:t>3</w:t>
      </w:r>
    </w:p>
    <w:p w14:paraId="49295A98" w14:textId="526A0A6C" w:rsidR="0029467D" w:rsidRPr="0029467D" w:rsidRDefault="00642A6F" w:rsidP="0029467D">
      <w:pPr>
        <w:pStyle w:val="Level1"/>
        <w:numPr>
          <w:ilvl w:val="3"/>
          <w:numId w:val="15"/>
        </w:numPr>
        <w:rPr>
          <w:rFonts w:ascii="Arial" w:hAnsi="Arial" w:cs="Arial"/>
          <w:webHidden/>
        </w:rPr>
      </w:pPr>
      <w:r>
        <w:rPr>
          <w:rFonts w:ascii="Arial" w:hAnsi="Arial" w:cs="Arial"/>
          <w:webHidden/>
        </w:rPr>
        <w:t>flawed</w:t>
      </w:r>
      <w:r w:rsidR="00931ED0">
        <w:rPr>
          <w:rFonts w:ascii="Arial" w:hAnsi="Arial" w:cs="Arial"/>
          <w:webHidden/>
        </w:rPr>
        <w:t xml:space="preserve"> </w:t>
      </w:r>
      <w:r w:rsidR="00931ED0" w:rsidRPr="00B428D9">
        <w:rPr>
          <w:sz w:val="24"/>
          <w:szCs w:val="24"/>
        </w:rPr>
        <w:t>Natural Gas Projections</w:t>
      </w:r>
      <w:r>
        <w:rPr>
          <w:rFonts w:ascii="Arial" w:hAnsi="Arial" w:cs="Arial"/>
          <w:webHidden/>
        </w:rPr>
        <w:tab/>
        <w:t>2</w:t>
      </w:r>
      <w:r w:rsidR="00227EE9">
        <w:rPr>
          <w:rFonts w:ascii="Arial" w:hAnsi="Arial" w:cs="Arial"/>
          <w:webHidden/>
        </w:rPr>
        <w:t>5</w:t>
      </w:r>
    </w:p>
    <w:p w14:paraId="664B6FFB" w14:textId="0A62F651" w:rsidR="00DE4569" w:rsidRPr="00DE4569" w:rsidRDefault="0051219A" w:rsidP="00DE4569">
      <w:pPr>
        <w:pStyle w:val="Level1"/>
        <w:numPr>
          <w:ilvl w:val="3"/>
          <w:numId w:val="15"/>
        </w:numPr>
        <w:rPr>
          <w:rFonts w:ascii="Arial" w:hAnsi="Arial" w:cs="Arial"/>
          <w:webHidden/>
        </w:rPr>
      </w:pPr>
      <w:r>
        <w:rPr>
          <w:rFonts w:ascii="Arial" w:hAnsi="Arial" w:cs="Arial"/>
          <w:webHidden/>
        </w:rPr>
        <w:t>aep</w:t>
      </w:r>
      <w:r w:rsidR="00931ED0">
        <w:rPr>
          <w:sz w:val="24"/>
          <w:szCs w:val="24"/>
        </w:rPr>
        <w:t>’s flawed projection of capacity revenue</w:t>
      </w:r>
      <w:r w:rsidR="00642A6F">
        <w:rPr>
          <w:rFonts w:ascii="Arial" w:hAnsi="Arial" w:cs="Arial"/>
          <w:webHidden/>
        </w:rPr>
        <w:tab/>
      </w:r>
      <w:r w:rsidR="00931ED0">
        <w:rPr>
          <w:rFonts w:ascii="Arial" w:hAnsi="Arial" w:cs="Arial"/>
          <w:webHidden/>
        </w:rPr>
        <w:t>3</w:t>
      </w:r>
      <w:r w:rsidR="00227EE9">
        <w:rPr>
          <w:rFonts w:ascii="Arial" w:hAnsi="Arial" w:cs="Arial"/>
          <w:webHidden/>
        </w:rPr>
        <w:t>1</w:t>
      </w:r>
    </w:p>
    <w:p w14:paraId="79359B8D" w14:textId="0A9B1A8F" w:rsidR="0051219A" w:rsidRDefault="0051219A" w:rsidP="007768F7">
      <w:pPr>
        <w:pStyle w:val="Level1"/>
        <w:numPr>
          <w:ilvl w:val="3"/>
          <w:numId w:val="15"/>
        </w:numPr>
        <w:rPr>
          <w:rFonts w:ascii="Arial" w:hAnsi="Arial" w:cs="Arial"/>
          <w:webHidden/>
        </w:rPr>
      </w:pPr>
      <w:r>
        <w:rPr>
          <w:rFonts w:ascii="Arial" w:hAnsi="Arial" w:cs="Arial"/>
          <w:webHidden/>
        </w:rPr>
        <w:t>even</w:t>
      </w:r>
      <w:r w:rsidR="009D2275">
        <w:rPr>
          <w:rFonts w:ascii="Arial" w:hAnsi="Arial" w:cs="Arial"/>
          <w:webHidden/>
        </w:rPr>
        <w:t xml:space="preserve"> </w:t>
      </w:r>
      <w:r w:rsidR="009D2275">
        <w:rPr>
          <w:sz w:val="24"/>
          <w:szCs w:val="24"/>
        </w:rPr>
        <w:t xml:space="preserve">accepting AEP Ohio’s flawed rate                 projections, the ESP would flunk the MRO vs. ESP </w:t>
      </w:r>
      <w:r w:rsidR="00952284">
        <w:rPr>
          <w:sz w:val="24"/>
          <w:szCs w:val="24"/>
        </w:rPr>
        <w:t xml:space="preserve">       </w:t>
      </w:r>
      <w:r w:rsidR="009D2275">
        <w:rPr>
          <w:sz w:val="24"/>
          <w:szCs w:val="24"/>
        </w:rPr>
        <w:t xml:space="preserve"> </w:t>
      </w:r>
      <w:r w:rsidR="00952284">
        <w:rPr>
          <w:sz w:val="24"/>
          <w:szCs w:val="24"/>
        </w:rPr>
        <w:t xml:space="preserve">       </w:t>
      </w:r>
      <w:r w:rsidR="009D2275">
        <w:rPr>
          <w:sz w:val="24"/>
          <w:szCs w:val="24"/>
        </w:rPr>
        <w:t>price test</w:t>
      </w:r>
      <w:r>
        <w:rPr>
          <w:rFonts w:ascii="Arial" w:hAnsi="Arial" w:cs="Arial"/>
          <w:webHidden/>
        </w:rPr>
        <w:tab/>
        <w:t>3</w:t>
      </w:r>
      <w:r w:rsidR="00196E3A">
        <w:rPr>
          <w:rFonts w:ascii="Arial" w:hAnsi="Arial" w:cs="Arial"/>
          <w:webHidden/>
        </w:rPr>
        <w:t>2</w:t>
      </w:r>
    </w:p>
    <w:p w14:paraId="2D68ED57" w14:textId="7BDFFA0F" w:rsidR="0051219A" w:rsidRDefault="0051219A" w:rsidP="0051219A">
      <w:pPr>
        <w:pStyle w:val="Level1"/>
        <w:numPr>
          <w:ilvl w:val="2"/>
          <w:numId w:val="15"/>
        </w:numPr>
        <w:rPr>
          <w:rFonts w:ascii="Arial" w:hAnsi="Arial" w:cs="Arial"/>
          <w:webHidden/>
        </w:rPr>
      </w:pPr>
      <w:r>
        <w:rPr>
          <w:rFonts w:ascii="Arial" w:hAnsi="Arial" w:cs="Arial"/>
          <w:webHidden/>
        </w:rPr>
        <w:t xml:space="preserve"> aep</w:t>
      </w:r>
      <w:r w:rsidR="008015CA">
        <w:rPr>
          <w:rFonts w:ascii="Arial" w:hAnsi="Arial" w:cs="Arial"/>
          <w:webHidden/>
        </w:rPr>
        <w:t xml:space="preserve"> </w:t>
      </w:r>
      <w:r w:rsidR="008015CA">
        <w:rPr>
          <w:sz w:val="24"/>
          <w:szCs w:val="24"/>
        </w:rPr>
        <w:t>Ohio’s flawed Study</w:t>
      </w:r>
      <w:r>
        <w:rPr>
          <w:rFonts w:ascii="Arial" w:hAnsi="Arial" w:cs="Arial"/>
          <w:webHidden/>
        </w:rPr>
        <w:tab/>
        <w:t>3</w:t>
      </w:r>
      <w:r w:rsidR="008015CA">
        <w:rPr>
          <w:rFonts w:ascii="Arial" w:hAnsi="Arial" w:cs="Arial"/>
          <w:webHidden/>
        </w:rPr>
        <w:t>3</w:t>
      </w:r>
    </w:p>
    <w:p w14:paraId="06B5FED1" w14:textId="0DA4599F" w:rsidR="0051219A" w:rsidRDefault="00D7368F" w:rsidP="0051219A">
      <w:pPr>
        <w:pStyle w:val="Level1"/>
        <w:numPr>
          <w:ilvl w:val="3"/>
          <w:numId w:val="15"/>
        </w:numPr>
        <w:rPr>
          <w:rFonts w:ascii="Arial" w:hAnsi="Arial" w:cs="Arial"/>
          <w:webHidden/>
        </w:rPr>
      </w:pPr>
      <w:r>
        <w:rPr>
          <w:rFonts w:ascii="Arial" w:hAnsi="Arial" w:cs="Arial"/>
          <w:webHidden/>
        </w:rPr>
        <w:t xml:space="preserve">the </w:t>
      </w:r>
      <w:r w:rsidR="00A54DAF" w:rsidRPr="00B428D9">
        <w:rPr>
          <w:sz w:val="24"/>
          <w:szCs w:val="24"/>
        </w:rPr>
        <w:t xml:space="preserve">economic impact analysis (the Study) is </w:t>
      </w:r>
      <w:r w:rsidR="00A54DAF">
        <w:rPr>
          <w:sz w:val="24"/>
          <w:szCs w:val="24"/>
        </w:rPr>
        <w:t xml:space="preserve">                       </w:t>
      </w:r>
      <w:r w:rsidR="00A54DAF" w:rsidRPr="00B428D9">
        <w:rPr>
          <w:sz w:val="24"/>
          <w:szCs w:val="24"/>
        </w:rPr>
        <w:t xml:space="preserve">flawed and misleading and does not support a </w:t>
      </w:r>
      <w:r w:rsidR="00A54DAF">
        <w:rPr>
          <w:sz w:val="24"/>
          <w:szCs w:val="24"/>
        </w:rPr>
        <w:t xml:space="preserve">              </w:t>
      </w:r>
      <w:r w:rsidR="00A54DAF" w:rsidRPr="00B428D9">
        <w:rPr>
          <w:sz w:val="24"/>
          <w:szCs w:val="24"/>
        </w:rPr>
        <w:t>finding of need</w:t>
      </w:r>
      <w:r>
        <w:rPr>
          <w:rFonts w:ascii="Arial" w:hAnsi="Arial" w:cs="Arial"/>
          <w:webHidden/>
        </w:rPr>
        <w:tab/>
        <w:t>3</w:t>
      </w:r>
      <w:r w:rsidR="00A54DAF">
        <w:rPr>
          <w:rFonts w:ascii="Arial" w:hAnsi="Arial" w:cs="Arial"/>
          <w:webHidden/>
        </w:rPr>
        <w:t>5</w:t>
      </w:r>
    </w:p>
    <w:p w14:paraId="1C3D1C4F" w14:textId="1A12EA6A" w:rsidR="00AC4870" w:rsidRPr="00AC4870" w:rsidRDefault="00677C91" w:rsidP="00AC4870">
      <w:pPr>
        <w:pStyle w:val="Level1"/>
        <w:numPr>
          <w:ilvl w:val="3"/>
          <w:numId w:val="15"/>
        </w:numPr>
        <w:rPr>
          <w:rFonts w:ascii="Arial" w:hAnsi="Arial" w:cs="Arial"/>
          <w:webHidden/>
        </w:rPr>
      </w:pPr>
      <w:r>
        <w:rPr>
          <w:rFonts w:ascii="Arial" w:hAnsi="Arial" w:cs="Arial"/>
          <w:webHidden/>
        </w:rPr>
        <w:t xml:space="preserve">the </w:t>
      </w:r>
      <w:r w:rsidR="00570720">
        <w:rPr>
          <w:sz w:val="24"/>
          <w:szCs w:val="24"/>
        </w:rPr>
        <w:t>study failed to ev</w:t>
      </w:r>
      <w:r w:rsidR="00570720" w:rsidRPr="00A2620B">
        <w:rPr>
          <w:sz w:val="24"/>
          <w:szCs w:val="24"/>
        </w:rPr>
        <w:t xml:space="preserve">aluate </w:t>
      </w:r>
      <w:r w:rsidR="00570720">
        <w:rPr>
          <w:sz w:val="24"/>
          <w:szCs w:val="24"/>
        </w:rPr>
        <w:t>p</w:t>
      </w:r>
      <w:r w:rsidR="00570720" w:rsidRPr="00A2620B">
        <w:rPr>
          <w:sz w:val="24"/>
          <w:szCs w:val="24"/>
        </w:rPr>
        <w:t xml:space="preserve">otential </w:t>
      </w:r>
      <w:r w:rsidR="005E3A22">
        <w:rPr>
          <w:sz w:val="24"/>
          <w:szCs w:val="24"/>
        </w:rPr>
        <w:t xml:space="preserve">                           </w:t>
      </w:r>
      <w:proofErr w:type="gramStart"/>
      <w:r w:rsidR="00570720">
        <w:rPr>
          <w:sz w:val="24"/>
          <w:szCs w:val="24"/>
        </w:rPr>
        <w:t>e</w:t>
      </w:r>
      <w:r w:rsidR="00570720" w:rsidRPr="00A2620B">
        <w:rPr>
          <w:sz w:val="24"/>
          <w:szCs w:val="24"/>
        </w:rPr>
        <w:t xml:space="preserve">conomic </w:t>
      </w:r>
      <w:r w:rsidR="00570720">
        <w:rPr>
          <w:sz w:val="24"/>
          <w:szCs w:val="24"/>
        </w:rPr>
        <w:t xml:space="preserve"> i</w:t>
      </w:r>
      <w:r w:rsidR="00570720" w:rsidRPr="00A2620B">
        <w:rPr>
          <w:sz w:val="24"/>
          <w:szCs w:val="24"/>
        </w:rPr>
        <w:t>mpacts</w:t>
      </w:r>
      <w:proofErr w:type="gramEnd"/>
      <w:r w:rsidR="00570720" w:rsidRPr="00A2620B">
        <w:rPr>
          <w:sz w:val="24"/>
          <w:szCs w:val="24"/>
        </w:rPr>
        <w:t xml:space="preserve"> on the </w:t>
      </w:r>
      <w:r w:rsidR="00570720">
        <w:rPr>
          <w:sz w:val="24"/>
          <w:szCs w:val="24"/>
        </w:rPr>
        <w:t>c</w:t>
      </w:r>
      <w:r w:rsidR="00570720" w:rsidRPr="00A2620B">
        <w:rPr>
          <w:sz w:val="24"/>
          <w:szCs w:val="24"/>
        </w:rPr>
        <w:t xml:space="preserve">ompetitive </w:t>
      </w:r>
      <w:r w:rsidR="00570720">
        <w:rPr>
          <w:sz w:val="24"/>
          <w:szCs w:val="24"/>
        </w:rPr>
        <w:t>m</w:t>
      </w:r>
      <w:r w:rsidR="00570720" w:rsidRPr="00A2620B">
        <w:rPr>
          <w:sz w:val="24"/>
          <w:szCs w:val="24"/>
        </w:rPr>
        <w:t xml:space="preserve">arket </w:t>
      </w:r>
      <w:r w:rsidR="005E3A22">
        <w:rPr>
          <w:sz w:val="24"/>
          <w:szCs w:val="24"/>
        </w:rPr>
        <w:t xml:space="preserve">                       </w:t>
      </w:r>
      <w:r w:rsidR="00570720" w:rsidRPr="00A2620B">
        <w:rPr>
          <w:sz w:val="24"/>
          <w:szCs w:val="24"/>
        </w:rPr>
        <w:t>and</w:t>
      </w:r>
      <w:r w:rsidR="00570720">
        <w:rPr>
          <w:sz w:val="24"/>
          <w:szCs w:val="24"/>
        </w:rPr>
        <w:t xml:space="preserve"> the</w:t>
      </w:r>
      <w:r w:rsidR="00EA5FA5">
        <w:rPr>
          <w:sz w:val="24"/>
          <w:szCs w:val="24"/>
        </w:rPr>
        <w:t xml:space="preserve"> </w:t>
      </w:r>
      <w:r w:rsidR="00570720">
        <w:rPr>
          <w:sz w:val="24"/>
          <w:szCs w:val="24"/>
        </w:rPr>
        <w:t>development of</w:t>
      </w:r>
      <w:r w:rsidR="00570720" w:rsidRPr="00A2620B">
        <w:rPr>
          <w:sz w:val="24"/>
          <w:szCs w:val="24"/>
        </w:rPr>
        <w:t xml:space="preserve"> </w:t>
      </w:r>
      <w:r w:rsidR="00570720">
        <w:rPr>
          <w:sz w:val="24"/>
          <w:szCs w:val="24"/>
        </w:rPr>
        <w:t>r</w:t>
      </w:r>
      <w:r w:rsidR="00570720" w:rsidRPr="00A2620B">
        <w:rPr>
          <w:sz w:val="24"/>
          <w:szCs w:val="24"/>
        </w:rPr>
        <w:t xml:space="preserve">enewable </w:t>
      </w:r>
      <w:r w:rsidR="00570720">
        <w:rPr>
          <w:sz w:val="24"/>
          <w:szCs w:val="24"/>
        </w:rPr>
        <w:t>g</w:t>
      </w:r>
      <w:r w:rsidR="00570720" w:rsidRPr="00A2620B">
        <w:rPr>
          <w:sz w:val="24"/>
          <w:szCs w:val="24"/>
        </w:rPr>
        <w:t xml:space="preserve">eneration </w:t>
      </w:r>
      <w:r w:rsidR="006F2D5F">
        <w:rPr>
          <w:sz w:val="24"/>
          <w:szCs w:val="24"/>
        </w:rPr>
        <w:t xml:space="preserve">      </w:t>
      </w:r>
      <w:r w:rsidR="00570720" w:rsidRPr="00A2620B">
        <w:rPr>
          <w:sz w:val="24"/>
          <w:szCs w:val="24"/>
        </w:rPr>
        <w:t xml:space="preserve"> </w:t>
      </w:r>
      <w:r w:rsidR="00570720">
        <w:rPr>
          <w:sz w:val="24"/>
          <w:szCs w:val="24"/>
        </w:rPr>
        <w:t>r</w:t>
      </w:r>
      <w:r w:rsidR="00570720" w:rsidRPr="00A2620B">
        <w:rPr>
          <w:sz w:val="24"/>
          <w:szCs w:val="24"/>
        </w:rPr>
        <w:t>esources</w:t>
      </w:r>
      <w:r>
        <w:rPr>
          <w:rFonts w:ascii="Arial" w:hAnsi="Arial" w:cs="Arial"/>
          <w:webHidden/>
        </w:rPr>
        <w:tab/>
        <w:t>3</w:t>
      </w:r>
      <w:r w:rsidR="00EA5FA5">
        <w:rPr>
          <w:rFonts w:ascii="Arial" w:hAnsi="Arial" w:cs="Arial"/>
          <w:webHidden/>
        </w:rPr>
        <w:t>5</w:t>
      </w:r>
    </w:p>
    <w:p w14:paraId="79458C99" w14:textId="63C256A7" w:rsidR="00677C91" w:rsidRDefault="00677C91" w:rsidP="0051219A">
      <w:pPr>
        <w:pStyle w:val="Level1"/>
        <w:numPr>
          <w:ilvl w:val="3"/>
          <w:numId w:val="15"/>
        </w:numPr>
        <w:rPr>
          <w:rFonts w:ascii="Arial" w:hAnsi="Arial" w:cs="Arial"/>
          <w:webHidden/>
        </w:rPr>
      </w:pPr>
      <w:r>
        <w:rPr>
          <w:rFonts w:ascii="Arial" w:hAnsi="Arial" w:cs="Arial"/>
          <w:webHidden/>
        </w:rPr>
        <w:lastRenderedPageBreak/>
        <w:t>the study</w:t>
      </w:r>
      <w:r w:rsidR="00CF2ADA">
        <w:rPr>
          <w:rFonts w:ascii="Arial" w:hAnsi="Arial" w:cs="Arial"/>
          <w:webHidden/>
        </w:rPr>
        <w:t xml:space="preserve"> </w:t>
      </w:r>
      <w:r w:rsidR="00CF2ADA">
        <w:rPr>
          <w:sz w:val="24"/>
          <w:szCs w:val="24"/>
        </w:rPr>
        <w:t>f</w:t>
      </w:r>
      <w:r w:rsidR="00CF2ADA" w:rsidRPr="00B97858">
        <w:rPr>
          <w:sz w:val="24"/>
          <w:szCs w:val="24"/>
        </w:rPr>
        <w:t xml:space="preserve">ails to </w:t>
      </w:r>
      <w:r w:rsidR="00CF2ADA">
        <w:rPr>
          <w:sz w:val="24"/>
          <w:szCs w:val="24"/>
        </w:rPr>
        <w:t>e</w:t>
      </w:r>
      <w:r w:rsidR="00CF2ADA" w:rsidRPr="00B97858">
        <w:rPr>
          <w:sz w:val="24"/>
          <w:szCs w:val="24"/>
        </w:rPr>
        <w:t xml:space="preserve">valuate </w:t>
      </w:r>
      <w:r w:rsidR="00CF2ADA">
        <w:rPr>
          <w:sz w:val="24"/>
          <w:szCs w:val="24"/>
        </w:rPr>
        <w:t>p</w:t>
      </w:r>
      <w:r w:rsidR="00CF2ADA" w:rsidRPr="00B97858">
        <w:rPr>
          <w:sz w:val="24"/>
          <w:szCs w:val="24"/>
        </w:rPr>
        <w:t xml:space="preserve">otential </w:t>
      </w:r>
      <w:r w:rsidR="00CF2ADA">
        <w:rPr>
          <w:sz w:val="24"/>
          <w:szCs w:val="24"/>
        </w:rPr>
        <w:t xml:space="preserve">to crowd </w:t>
      </w:r>
      <w:r w:rsidR="00E17968">
        <w:rPr>
          <w:sz w:val="24"/>
          <w:szCs w:val="24"/>
        </w:rPr>
        <w:t xml:space="preserve">                   </w:t>
      </w:r>
      <w:r w:rsidR="00CF2ADA">
        <w:rPr>
          <w:sz w:val="24"/>
          <w:szCs w:val="24"/>
        </w:rPr>
        <w:t>out development of other</w:t>
      </w:r>
      <w:r w:rsidR="00CF2ADA" w:rsidRPr="00B97858">
        <w:rPr>
          <w:sz w:val="24"/>
          <w:szCs w:val="24"/>
        </w:rPr>
        <w:t xml:space="preserve"> </w:t>
      </w:r>
      <w:r w:rsidR="00CF2ADA">
        <w:rPr>
          <w:sz w:val="24"/>
          <w:szCs w:val="24"/>
        </w:rPr>
        <w:t>r</w:t>
      </w:r>
      <w:r w:rsidR="00CF2ADA" w:rsidRPr="00B97858">
        <w:rPr>
          <w:sz w:val="24"/>
          <w:szCs w:val="24"/>
        </w:rPr>
        <w:t xml:space="preserve">enewable </w:t>
      </w:r>
      <w:r w:rsidR="00E17968">
        <w:rPr>
          <w:sz w:val="24"/>
          <w:szCs w:val="24"/>
        </w:rPr>
        <w:t xml:space="preserve">                        </w:t>
      </w:r>
      <w:r w:rsidR="00CF2ADA">
        <w:rPr>
          <w:sz w:val="24"/>
          <w:szCs w:val="24"/>
        </w:rPr>
        <w:t>g</w:t>
      </w:r>
      <w:r w:rsidR="00CF2ADA" w:rsidRPr="00B97858">
        <w:rPr>
          <w:sz w:val="24"/>
          <w:szCs w:val="24"/>
        </w:rPr>
        <w:t xml:space="preserve">eneration </w:t>
      </w:r>
      <w:r w:rsidR="00CF2ADA">
        <w:rPr>
          <w:sz w:val="24"/>
          <w:szCs w:val="24"/>
        </w:rPr>
        <w:t>r</w:t>
      </w:r>
      <w:r w:rsidR="00CF2ADA" w:rsidRPr="00B97858">
        <w:rPr>
          <w:sz w:val="24"/>
          <w:szCs w:val="24"/>
        </w:rPr>
        <w:t>esources</w:t>
      </w:r>
      <w:r>
        <w:rPr>
          <w:rFonts w:ascii="Arial" w:hAnsi="Arial" w:cs="Arial"/>
          <w:webHidden/>
        </w:rPr>
        <w:tab/>
        <w:t>3</w:t>
      </w:r>
      <w:r w:rsidR="00E17968">
        <w:rPr>
          <w:rFonts w:ascii="Arial" w:hAnsi="Arial" w:cs="Arial"/>
          <w:webHidden/>
        </w:rPr>
        <w:t>7</w:t>
      </w:r>
    </w:p>
    <w:p w14:paraId="46EA1640" w14:textId="21C573BB" w:rsidR="00677C91" w:rsidRDefault="00677C91" w:rsidP="0051219A">
      <w:pPr>
        <w:pStyle w:val="Level1"/>
        <w:numPr>
          <w:ilvl w:val="3"/>
          <w:numId w:val="15"/>
        </w:numPr>
        <w:rPr>
          <w:rFonts w:ascii="Arial" w:hAnsi="Arial" w:cs="Arial"/>
          <w:webHidden/>
        </w:rPr>
      </w:pPr>
      <w:r>
        <w:rPr>
          <w:rFonts w:ascii="Arial" w:hAnsi="Arial" w:cs="Arial"/>
          <w:webHidden/>
        </w:rPr>
        <w:t>the study</w:t>
      </w:r>
      <w:r w:rsidR="001E5596" w:rsidRPr="00A2620B">
        <w:rPr>
          <w:sz w:val="24"/>
          <w:szCs w:val="24"/>
        </w:rPr>
        <w:t xml:space="preserve">’s Failure to Evaluate the Economic </w:t>
      </w:r>
      <w:r w:rsidR="001E5596">
        <w:rPr>
          <w:sz w:val="24"/>
          <w:szCs w:val="24"/>
        </w:rPr>
        <w:t xml:space="preserve">                  </w:t>
      </w:r>
      <w:r w:rsidR="001E5596" w:rsidRPr="00A2620B">
        <w:rPr>
          <w:sz w:val="24"/>
          <w:szCs w:val="24"/>
        </w:rPr>
        <w:t xml:space="preserve">Impact of Potential Billing Increases Associated </w:t>
      </w:r>
      <w:r w:rsidR="001E5596">
        <w:rPr>
          <w:sz w:val="24"/>
          <w:szCs w:val="24"/>
        </w:rPr>
        <w:t xml:space="preserve">                 </w:t>
      </w:r>
      <w:r w:rsidR="001E5596" w:rsidRPr="00A2620B">
        <w:rPr>
          <w:sz w:val="24"/>
          <w:szCs w:val="24"/>
        </w:rPr>
        <w:t xml:space="preserve">with AEP Ohio’s Proposal is Misleading and </w:t>
      </w:r>
      <w:r w:rsidR="001E5596">
        <w:rPr>
          <w:sz w:val="24"/>
          <w:szCs w:val="24"/>
        </w:rPr>
        <w:t xml:space="preserve">      </w:t>
      </w:r>
      <w:r w:rsidR="001E5596" w:rsidRPr="00A2620B">
        <w:rPr>
          <w:sz w:val="24"/>
          <w:szCs w:val="24"/>
        </w:rPr>
        <w:t xml:space="preserve"> </w:t>
      </w:r>
      <w:r w:rsidR="001E5596">
        <w:rPr>
          <w:sz w:val="24"/>
          <w:szCs w:val="24"/>
        </w:rPr>
        <w:t xml:space="preserve">      </w:t>
      </w:r>
      <w:r w:rsidR="001E5596" w:rsidRPr="00A2620B">
        <w:rPr>
          <w:sz w:val="24"/>
          <w:szCs w:val="24"/>
        </w:rPr>
        <w:t xml:space="preserve">Exaggerates Other Portions of </w:t>
      </w:r>
      <w:r w:rsidR="001E5596" w:rsidRPr="000370FF">
        <w:rPr>
          <w:sz w:val="24"/>
          <w:szCs w:val="24"/>
        </w:rPr>
        <w:t xml:space="preserve">the Economic </w:t>
      </w:r>
      <w:r w:rsidR="001E5596">
        <w:rPr>
          <w:sz w:val="24"/>
          <w:szCs w:val="24"/>
        </w:rPr>
        <w:t xml:space="preserve">               </w:t>
      </w:r>
      <w:r w:rsidR="001E5596" w:rsidRPr="000370FF">
        <w:rPr>
          <w:sz w:val="24"/>
          <w:szCs w:val="24"/>
        </w:rPr>
        <w:t>Analysis</w:t>
      </w:r>
      <w:r>
        <w:rPr>
          <w:rFonts w:ascii="Arial" w:hAnsi="Arial" w:cs="Arial"/>
          <w:webHidden/>
        </w:rPr>
        <w:tab/>
      </w:r>
      <w:r w:rsidR="001E5596">
        <w:rPr>
          <w:rFonts w:ascii="Arial" w:hAnsi="Arial" w:cs="Arial"/>
          <w:webHidden/>
        </w:rPr>
        <w:t>40</w:t>
      </w:r>
    </w:p>
    <w:p w14:paraId="75553798" w14:textId="2E064634" w:rsidR="00677C91" w:rsidRDefault="00677C91" w:rsidP="0051219A">
      <w:pPr>
        <w:pStyle w:val="Level1"/>
        <w:numPr>
          <w:ilvl w:val="3"/>
          <w:numId w:val="15"/>
        </w:numPr>
        <w:rPr>
          <w:rFonts w:ascii="Arial" w:hAnsi="Arial" w:cs="Arial"/>
          <w:webHidden/>
        </w:rPr>
      </w:pPr>
      <w:r>
        <w:rPr>
          <w:rFonts w:ascii="Arial" w:hAnsi="Arial" w:cs="Arial"/>
          <w:webHidden/>
        </w:rPr>
        <w:t>aep</w:t>
      </w:r>
      <w:r w:rsidR="005C5BDA">
        <w:rPr>
          <w:rFonts w:ascii="Arial" w:hAnsi="Arial" w:cs="Arial"/>
          <w:webHidden/>
        </w:rPr>
        <w:t xml:space="preserve"> </w:t>
      </w:r>
      <w:r w:rsidR="005C5BDA" w:rsidRPr="00A2620B">
        <w:rPr>
          <w:sz w:val="24"/>
          <w:szCs w:val="24"/>
        </w:rPr>
        <w:t>Ohio’s Contribution to the Study’s Projected Economic Stimulus is Exaggerated</w:t>
      </w:r>
      <w:r>
        <w:rPr>
          <w:rFonts w:ascii="Arial" w:hAnsi="Arial" w:cs="Arial"/>
          <w:webHidden/>
        </w:rPr>
        <w:tab/>
      </w:r>
      <w:r w:rsidR="005C5BDA">
        <w:rPr>
          <w:rFonts w:ascii="Arial" w:hAnsi="Arial" w:cs="Arial"/>
          <w:webHidden/>
        </w:rPr>
        <w:t>41</w:t>
      </w:r>
    </w:p>
    <w:p w14:paraId="08A13BBC" w14:textId="264D506C" w:rsidR="000952CE" w:rsidRDefault="000952CE" w:rsidP="000952CE">
      <w:pPr>
        <w:pStyle w:val="Level1"/>
        <w:numPr>
          <w:ilvl w:val="2"/>
          <w:numId w:val="15"/>
        </w:numPr>
        <w:rPr>
          <w:rFonts w:ascii="Arial" w:hAnsi="Arial" w:cs="Arial"/>
          <w:webHidden/>
        </w:rPr>
      </w:pPr>
      <w:r>
        <w:rPr>
          <w:rFonts w:ascii="Arial" w:hAnsi="Arial" w:cs="Arial"/>
          <w:webHidden/>
        </w:rPr>
        <w:t xml:space="preserve"> aep</w:t>
      </w:r>
      <w:r w:rsidR="00AB41F7">
        <w:rPr>
          <w:rFonts w:ascii="Arial" w:hAnsi="Arial" w:cs="Arial"/>
          <w:webHidden/>
        </w:rPr>
        <w:t xml:space="preserve"> </w:t>
      </w:r>
      <w:r w:rsidR="00AB41F7" w:rsidRPr="00B428D9">
        <w:rPr>
          <w:sz w:val="24"/>
          <w:szCs w:val="24"/>
        </w:rPr>
        <w:t xml:space="preserve">Ohio’s </w:t>
      </w:r>
      <w:proofErr w:type="gramStart"/>
      <w:r w:rsidR="00AB41F7" w:rsidRPr="00B428D9">
        <w:rPr>
          <w:sz w:val="24"/>
          <w:szCs w:val="24"/>
        </w:rPr>
        <w:t>third party</w:t>
      </w:r>
      <w:proofErr w:type="gramEnd"/>
      <w:r w:rsidR="00AB41F7" w:rsidRPr="00B428D9">
        <w:rPr>
          <w:sz w:val="24"/>
          <w:szCs w:val="24"/>
        </w:rPr>
        <w:t xml:space="preserve"> projections of solar costs </w:t>
      </w:r>
      <w:r w:rsidR="00AB41F7">
        <w:rPr>
          <w:sz w:val="24"/>
          <w:szCs w:val="24"/>
        </w:rPr>
        <w:t xml:space="preserve">                        </w:t>
      </w:r>
      <w:r w:rsidR="00AB41F7" w:rsidRPr="00B428D9">
        <w:rPr>
          <w:sz w:val="24"/>
          <w:szCs w:val="24"/>
        </w:rPr>
        <w:t>favor letting the market work</w:t>
      </w:r>
      <w:r>
        <w:rPr>
          <w:rFonts w:ascii="Arial" w:hAnsi="Arial" w:cs="Arial"/>
          <w:webHidden/>
        </w:rPr>
        <w:tab/>
        <w:t>4</w:t>
      </w:r>
      <w:r w:rsidR="00AB41F7">
        <w:rPr>
          <w:rFonts w:ascii="Arial" w:hAnsi="Arial" w:cs="Arial"/>
          <w:webHidden/>
        </w:rPr>
        <w:t>3</w:t>
      </w:r>
    </w:p>
    <w:p w14:paraId="7A23DEAE" w14:textId="0277C4FB" w:rsidR="00D0082C" w:rsidRPr="00D0082C" w:rsidRDefault="00F4417E" w:rsidP="00D0082C">
      <w:pPr>
        <w:pStyle w:val="Level1"/>
        <w:numPr>
          <w:ilvl w:val="2"/>
          <w:numId w:val="15"/>
        </w:numPr>
        <w:rPr>
          <w:rFonts w:ascii="Arial" w:hAnsi="Arial" w:cs="Arial"/>
          <w:webHidden/>
        </w:rPr>
      </w:pPr>
      <w:r>
        <w:rPr>
          <w:rFonts w:ascii="Arial" w:hAnsi="Arial" w:cs="Arial"/>
          <w:webHidden/>
        </w:rPr>
        <w:t xml:space="preserve"> customers</w:t>
      </w:r>
      <w:r w:rsidR="00F312D7">
        <w:rPr>
          <w:rFonts w:ascii="Arial" w:hAnsi="Arial" w:cs="Arial"/>
          <w:webHidden/>
        </w:rPr>
        <w:t xml:space="preserve"> </w:t>
      </w:r>
      <w:r w:rsidR="00F312D7">
        <w:rPr>
          <w:sz w:val="24"/>
          <w:szCs w:val="24"/>
        </w:rPr>
        <w:t xml:space="preserve">have several options to obtain renewable   </w:t>
      </w:r>
      <w:r w:rsidR="00C900E4">
        <w:rPr>
          <w:sz w:val="24"/>
          <w:szCs w:val="24"/>
        </w:rPr>
        <w:t xml:space="preserve">    </w:t>
      </w:r>
      <w:r w:rsidR="00F312D7">
        <w:rPr>
          <w:sz w:val="24"/>
          <w:szCs w:val="24"/>
        </w:rPr>
        <w:t xml:space="preserve">   energy—should they desire it</w:t>
      </w:r>
      <w:r>
        <w:rPr>
          <w:rFonts w:ascii="Arial" w:hAnsi="Arial" w:cs="Arial"/>
          <w:webHidden/>
        </w:rPr>
        <w:tab/>
        <w:t>4</w:t>
      </w:r>
      <w:r w:rsidR="00F312D7">
        <w:rPr>
          <w:rFonts w:ascii="Arial" w:hAnsi="Arial" w:cs="Arial"/>
          <w:webHidden/>
        </w:rPr>
        <w:t>6</w:t>
      </w:r>
    </w:p>
    <w:p w14:paraId="13634351" w14:textId="798EC542" w:rsidR="00F4417E" w:rsidRPr="00AE7A34" w:rsidRDefault="00F4417E" w:rsidP="000952CE">
      <w:pPr>
        <w:pStyle w:val="Level1"/>
        <w:numPr>
          <w:ilvl w:val="2"/>
          <w:numId w:val="15"/>
        </w:numPr>
        <w:rPr>
          <w:rFonts w:ascii="Arial" w:hAnsi="Arial" w:cs="Arial"/>
          <w:webHidden/>
        </w:rPr>
      </w:pPr>
      <w:r>
        <w:rPr>
          <w:rFonts w:ascii="Arial" w:hAnsi="Arial" w:cs="Arial"/>
          <w:webHidden/>
        </w:rPr>
        <w:t xml:space="preserve"> rather</w:t>
      </w:r>
      <w:r w:rsidR="00D14F96">
        <w:rPr>
          <w:rFonts w:ascii="Arial" w:hAnsi="Arial" w:cs="Arial"/>
          <w:webHidden/>
        </w:rPr>
        <w:t xml:space="preserve"> </w:t>
      </w:r>
      <w:r w:rsidR="00D14F96">
        <w:rPr>
          <w:sz w:val="24"/>
          <w:szCs w:val="24"/>
        </w:rPr>
        <w:t xml:space="preserve">than picking winners and losers, the                       Commission should focus on removing barriers to     </w:t>
      </w:r>
      <w:r w:rsidR="00C900E4">
        <w:rPr>
          <w:sz w:val="24"/>
          <w:szCs w:val="24"/>
        </w:rPr>
        <w:t xml:space="preserve">   </w:t>
      </w:r>
      <w:r w:rsidR="00D14F96">
        <w:rPr>
          <w:sz w:val="24"/>
          <w:szCs w:val="24"/>
        </w:rPr>
        <w:t xml:space="preserve">    developing renewable generation</w:t>
      </w:r>
      <w:r>
        <w:rPr>
          <w:rFonts w:ascii="Arial" w:hAnsi="Arial" w:cs="Arial"/>
          <w:webHidden/>
        </w:rPr>
        <w:tab/>
        <w:t>4</w:t>
      </w:r>
      <w:r w:rsidR="00D14F96">
        <w:rPr>
          <w:rFonts w:ascii="Arial" w:hAnsi="Arial" w:cs="Arial"/>
          <w:webHidden/>
        </w:rPr>
        <w:t>8</w:t>
      </w:r>
    </w:p>
    <w:p w14:paraId="4119E0E0" w14:textId="34C22A3D" w:rsidR="005C648E" w:rsidRPr="007A63A9" w:rsidRDefault="005C648E" w:rsidP="005C648E">
      <w:pPr>
        <w:pStyle w:val="Level1"/>
        <w:numPr>
          <w:ilvl w:val="0"/>
          <w:numId w:val="15"/>
        </w:numPr>
        <w:rPr>
          <w:rFonts w:ascii="Arial" w:hAnsi="Arial" w:cs="Arial"/>
        </w:rPr>
      </w:pPr>
      <w:r>
        <w:rPr>
          <w:rFonts w:ascii="Arial" w:hAnsi="Arial" w:cs="Arial"/>
          <w:webHidden/>
        </w:rPr>
        <w:t>CONCLUSION</w:t>
      </w:r>
      <w:r w:rsidRPr="00191EF0">
        <w:rPr>
          <w:rFonts w:ascii="Arial" w:hAnsi="Arial" w:cs="Arial"/>
          <w:webHidden/>
        </w:rPr>
        <w:tab/>
      </w:r>
      <w:r w:rsidR="006708B2">
        <w:rPr>
          <w:rFonts w:ascii="Arial" w:hAnsi="Arial" w:cs="Arial"/>
          <w:webHidden/>
        </w:rPr>
        <w:t>4</w:t>
      </w:r>
      <w:r w:rsidR="00345E25">
        <w:rPr>
          <w:rFonts w:ascii="Arial" w:hAnsi="Arial" w:cs="Arial"/>
          <w:webHidden/>
        </w:rPr>
        <w:t>8</w:t>
      </w:r>
    </w:p>
    <w:bookmarkEnd w:id="1"/>
    <w:p w14:paraId="18D4B6B0" w14:textId="77777777" w:rsidR="005C648E" w:rsidRDefault="005C648E" w:rsidP="005C648E">
      <w:pPr>
        <w:rPr>
          <w:rFonts w:eastAsia="Times New Roman"/>
          <w:b/>
          <w:sz w:val="24"/>
          <w:szCs w:val="24"/>
        </w:rPr>
      </w:pPr>
      <w:r>
        <w:rPr>
          <w:rFonts w:eastAsia="Times New Roman"/>
          <w:b/>
          <w:sz w:val="24"/>
          <w:szCs w:val="24"/>
        </w:rPr>
        <w:br w:type="page"/>
      </w:r>
    </w:p>
    <w:p w14:paraId="38FFCA42" w14:textId="77777777" w:rsidR="00F11B92" w:rsidRPr="00561663" w:rsidRDefault="00F11B92" w:rsidP="00F11B92">
      <w:pPr>
        <w:pStyle w:val="Title"/>
        <w:widowControl w:val="0"/>
        <w:rPr>
          <w:rFonts w:ascii="Arial" w:hAnsi="Arial" w:cs="Arial"/>
          <w:szCs w:val="24"/>
        </w:rPr>
      </w:pPr>
      <w:r w:rsidRPr="00561663">
        <w:rPr>
          <w:rFonts w:ascii="Arial" w:hAnsi="Arial" w:cs="Arial"/>
          <w:szCs w:val="24"/>
        </w:rPr>
        <w:lastRenderedPageBreak/>
        <w:t>BEFORE</w:t>
      </w:r>
    </w:p>
    <w:p w14:paraId="4ECE4E66" w14:textId="77777777" w:rsidR="00F11B92" w:rsidRPr="00646AB2" w:rsidRDefault="00F11B92" w:rsidP="00F11B92">
      <w:pPr>
        <w:widowControl w:val="0"/>
        <w:jc w:val="center"/>
        <w:rPr>
          <w:b/>
          <w:sz w:val="24"/>
          <w:szCs w:val="24"/>
        </w:rPr>
      </w:pPr>
      <w:r w:rsidRPr="00561663">
        <w:rPr>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F11B92" w:rsidRPr="00561663" w14:paraId="00A1FC34" w14:textId="77777777" w:rsidTr="00916543">
        <w:trPr>
          <w:trHeight w:val="1359"/>
          <w:jc w:val="center"/>
        </w:trPr>
        <w:tc>
          <w:tcPr>
            <w:tcW w:w="4739" w:type="dxa"/>
          </w:tcPr>
          <w:p w14:paraId="3C33729C" w14:textId="77777777" w:rsidR="00F11B92" w:rsidRPr="00114B47" w:rsidRDefault="00F11B92" w:rsidP="00916543">
            <w:pPr>
              <w:spacing w:after="0" w:line="240" w:lineRule="auto"/>
              <w:rPr>
                <w:sz w:val="24"/>
                <w:szCs w:val="24"/>
              </w:rPr>
            </w:pPr>
            <w:r w:rsidRPr="00114B47">
              <w:rPr>
                <w:sz w:val="24"/>
                <w:szCs w:val="24"/>
              </w:rPr>
              <w:t xml:space="preserve">In the Matter of the </w:t>
            </w:r>
            <w:r>
              <w:rPr>
                <w:sz w:val="24"/>
                <w:szCs w:val="24"/>
              </w:rPr>
              <w:t>2018 Long-Term Forecast Report of Ohio Power Company and Related Matters.</w:t>
            </w:r>
          </w:p>
          <w:p w14:paraId="62EBF3C5" w14:textId="77777777" w:rsidR="00F11B92" w:rsidRPr="00114B47" w:rsidRDefault="00F11B92" w:rsidP="00916543">
            <w:pPr>
              <w:spacing w:after="0" w:line="240" w:lineRule="auto"/>
              <w:rPr>
                <w:sz w:val="24"/>
                <w:szCs w:val="24"/>
              </w:rPr>
            </w:pPr>
          </w:p>
          <w:p w14:paraId="2E675C44" w14:textId="77777777" w:rsidR="00F11B92" w:rsidRDefault="00F11B92" w:rsidP="00916543">
            <w:pPr>
              <w:spacing w:after="0" w:line="240" w:lineRule="auto"/>
              <w:rPr>
                <w:sz w:val="24"/>
                <w:szCs w:val="24"/>
              </w:rPr>
            </w:pPr>
            <w:r w:rsidRPr="005E7F59">
              <w:rPr>
                <w:sz w:val="24"/>
                <w:szCs w:val="24"/>
              </w:rPr>
              <w:t>I</w:t>
            </w:r>
            <w:r>
              <w:rPr>
                <w:sz w:val="24"/>
                <w:szCs w:val="24"/>
              </w:rPr>
              <w:t>n the Matter of the Application of Ohio Power Company for Approval to Enter into Renewable Energy Purchase Agreements for Inclusion in the Renewable Generation</w:t>
            </w:r>
            <w:r w:rsidRPr="005E7F59">
              <w:rPr>
                <w:sz w:val="24"/>
                <w:szCs w:val="24"/>
              </w:rPr>
              <w:t xml:space="preserve"> Rider.</w:t>
            </w:r>
          </w:p>
          <w:p w14:paraId="6D98A12B" w14:textId="77777777" w:rsidR="00F11B92" w:rsidRDefault="00F11B92" w:rsidP="00916543">
            <w:pPr>
              <w:spacing w:after="0" w:line="240" w:lineRule="auto"/>
              <w:rPr>
                <w:sz w:val="24"/>
                <w:szCs w:val="24"/>
              </w:rPr>
            </w:pPr>
          </w:p>
          <w:p w14:paraId="4B4D0F35" w14:textId="77777777" w:rsidR="00F11B92" w:rsidRPr="005E7F59" w:rsidRDefault="00F11B92" w:rsidP="00916543">
            <w:pPr>
              <w:spacing w:after="0" w:line="240" w:lineRule="auto"/>
              <w:rPr>
                <w:sz w:val="24"/>
                <w:szCs w:val="24"/>
              </w:rPr>
            </w:pPr>
            <w:r w:rsidRPr="005E7F59">
              <w:rPr>
                <w:sz w:val="24"/>
                <w:szCs w:val="24"/>
              </w:rPr>
              <w:t>In the Matter of the Application of Ohio</w:t>
            </w:r>
          </w:p>
          <w:p w14:paraId="691E5244" w14:textId="77777777" w:rsidR="00F11B92" w:rsidRPr="00561663" w:rsidRDefault="00F11B92" w:rsidP="00916543">
            <w:pPr>
              <w:spacing w:after="0" w:line="240" w:lineRule="auto"/>
              <w:rPr>
                <w:sz w:val="24"/>
                <w:szCs w:val="24"/>
              </w:rPr>
            </w:pPr>
            <w:r>
              <w:rPr>
                <w:sz w:val="24"/>
                <w:szCs w:val="24"/>
              </w:rPr>
              <w:t>Power Company for Approval to</w:t>
            </w:r>
            <w:r w:rsidRPr="005E7F59">
              <w:rPr>
                <w:sz w:val="24"/>
                <w:szCs w:val="24"/>
              </w:rPr>
              <w:t xml:space="preserve"> Amend its Tariffs.</w:t>
            </w:r>
          </w:p>
        </w:tc>
        <w:tc>
          <w:tcPr>
            <w:tcW w:w="630" w:type="dxa"/>
          </w:tcPr>
          <w:p w14:paraId="778840A1"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461A9EC2"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58693026"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2946DB82" w14:textId="77777777" w:rsidR="00F11B92" w:rsidRDefault="00F11B92" w:rsidP="00916543">
            <w:pPr>
              <w:widowControl w:val="0"/>
              <w:spacing w:after="0" w:line="240" w:lineRule="auto"/>
              <w:jc w:val="center"/>
              <w:rPr>
                <w:sz w:val="24"/>
                <w:szCs w:val="24"/>
              </w:rPr>
            </w:pPr>
          </w:p>
          <w:p w14:paraId="5BFAFDA8"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686D1C19"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242B8D3C"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671F1FAC"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125F3C3F"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5997CC1D" w14:textId="77777777" w:rsidR="00F11B92" w:rsidRDefault="00F11B92" w:rsidP="00916543">
            <w:pPr>
              <w:widowControl w:val="0"/>
              <w:spacing w:after="0" w:line="240" w:lineRule="auto"/>
              <w:jc w:val="center"/>
              <w:rPr>
                <w:sz w:val="24"/>
                <w:szCs w:val="24"/>
              </w:rPr>
            </w:pPr>
          </w:p>
          <w:p w14:paraId="790B8902"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0CBA7C98"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264E1D95" w14:textId="77777777" w:rsidR="00F11B92" w:rsidRPr="00561663" w:rsidRDefault="00F11B92" w:rsidP="00916543">
            <w:pPr>
              <w:widowControl w:val="0"/>
              <w:spacing w:after="0" w:line="240" w:lineRule="auto"/>
              <w:jc w:val="center"/>
              <w:rPr>
                <w:sz w:val="24"/>
                <w:szCs w:val="24"/>
              </w:rPr>
            </w:pPr>
            <w:r w:rsidRPr="00561663">
              <w:rPr>
                <w:sz w:val="24"/>
                <w:szCs w:val="24"/>
              </w:rPr>
              <w:t>)</w:t>
            </w:r>
          </w:p>
          <w:p w14:paraId="110FFD37" w14:textId="77777777" w:rsidR="00F11B92" w:rsidRPr="00561663" w:rsidRDefault="00F11B92" w:rsidP="00916543">
            <w:pPr>
              <w:widowControl w:val="0"/>
              <w:spacing w:after="0" w:line="240" w:lineRule="auto"/>
              <w:jc w:val="center"/>
              <w:rPr>
                <w:sz w:val="24"/>
                <w:szCs w:val="24"/>
              </w:rPr>
            </w:pPr>
          </w:p>
        </w:tc>
        <w:tc>
          <w:tcPr>
            <w:tcW w:w="3928" w:type="dxa"/>
          </w:tcPr>
          <w:p w14:paraId="6B699379" w14:textId="77777777" w:rsidR="00F11B92" w:rsidRDefault="00F11B92" w:rsidP="00916543">
            <w:pPr>
              <w:widowControl w:val="0"/>
              <w:spacing w:after="0" w:line="240" w:lineRule="auto"/>
              <w:rPr>
                <w:sz w:val="24"/>
                <w:szCs w:val="24"/>
              </w:rPr>
            </w:pPr>
          </w:p>
          <w:p w14:paraId="25A7A5B4" w14:textId="77777777" w:rsidR="00F11B92" w:rsidRPr="00561663" w:rsidRDefault="00F11B92" w:rsidP="00916543">
            <w:pPr>
              <w:widowControl w:val="0"/>
              <w:spacing w:after="0" w:line="240" w:lineRule="auto"/>
              <w:rPr>
                <w:sz w:val="24"/>
                <w:szCs w:val="24"/>
              </w:rPr>
            </w:pPr>
            <w:r>
              <w:rPr>
                <w:sz w:val="24"/>
                <w:szCs w:val="24"/>
              </w:rPr>
              <w:t>Case No. 18-501-EL-FOR</w:t>
            </w:r>
          </w:p>
          <w:p w14:paraId="3FE9F23F" w14:textId="77777777" w:rsidR="00F11B92" w:rsidRDefault="00F11B92" w:rsidP="00916543">
            <w:pPr>
              <w:widowControl w:val="0"/>
              <w:spacing w:after="0" w:line="240" w:lineRule="auto"/>
              <w:rPr>
                <w:sz w:val="24"/>
                <w:szCs w:val="24"/>
              </w:rPr>
            </w:pPr>
          </w:p>
          <w:p w14:paraId="1F72F646" w14:textId="77777777" w:rsidR="00F11B92" w:rsidRDefault="00F11B92" w:rsidP="00916543">
            <w:pPr>
              <w:widowControl w:val="0"/>
              <w:spacing w:after="0" w:line="240" w:lineRule="auto"/>
              <w:rPr>
                <w:sz w:val="24"/>
                <w:szCs w:val="24"/>
              </w:rPr>
            </w:pPr>
          </w:p>
          <w:p w14:paraId="08CE6F91" w14:textId="77777777" w:rsidR="00F11B92" w:rsidRDefault="00F11B92" w:rsidP="00916543">
            <w:pPr>
              <w:widowControl w:val="0"/>
              <w:spacing w:after="0" w:line="240" w:lineRule="auto"/>
              <w:rPr>
                <w:sz w:val="24"/>
                <w:szCs w:val="24"/>
              </w:rPr>
            </w:pPr>
          </w:p>
          <w:p w14:paraId="61CDCEAD" w14:textId="77777777" w:rsidR="00F11B92" w:rsidRDefault="00F11B92" w:rsidP="00916543">
            <w:pPr>
              <w:widowControl w:val="0"/>
              <w:spacing w:after="0" w:line="240" w:lineRule="auto"/>
              <w:rPr>
                <w:sz w:val="24"/>
                <w:szCs w:val="24"/>
              </w:rPr>
            </w:pPr>
          </w:p>
          <w:p w14:paraId="1DF815BF" w14:textId="77777777" w:rsidR="00F11B92" w:rsidRDefault="00F11B92" w:rsidP="00916543">
            <w:pPr>
              <w:widowControl w:val="0"/>
              <w:spacing w:after="0" w:line="240" w:lineRule="auto"/>
              <w:rPr>
                <w:sz w:val="24"/>
                <w:szCs w:val="24"/>
              </w:rPr>
            </w:pPr>
            <w:r>
              <w:rPr>
                <w:sz w:val="24"/>
                <w:szCs w:val="24"/>
              </w:rPr>
              <w:t>Case No. 18-1392-EL-RDR</w:t>
            </w:r>
          </w:p>
          <w:p w14:paraId="6BB9E253" w14:textId="77777777" w:rsidR="00F11B92" w:rsidRDefault="00F11B92" w:rsidP="00916543">
            <w:pPr>
              <w:widowControl w:val="0"/>
              <w:spacing w:after="0" w:line="240" w:lineRule="auto"/>
              <w:rPr>
                <w:sz w:val="24"/>
                <w:szCs w:val="24"/>
              </w:rPr>
            </w:pPr>
          </w:p>
          <w:p w14:paraId="23DE523C" w14:textId="77777777" w:rsidR="00F11B92" w:rsidRDefault="00F11B92" w:rsidP="00916543">
            <w:pPr>
              <w:widowControl w:val="0"/>
              <w:spacing w:after="0" w:line="240" w:lineRule="auto"/>
              <w:rPr>
                <w:sz w:val="24"/>
                <w:szCs w:val="24"/>
              </w:rPr>
            </w:pPr>
          </w:p>
          <w:p w14:paraId="52E56223" w14:textId="77777777" w:rsidR="00F11B92" w:rsidRDefault="00F11B92" w:rsidP="00916543">
            <w:pPr>
              <w:widowControl w:val="0"/>
              <w:spacing w:after="0" w:line="240" w:lineRule="auto"/>
              <w:rPr>
                <w:sz w:val="24"/>
                <w:szCs w:val="24"/>
              </w:rPr>
            </w:pPr>
          </w:p>
          <w:p w14:paraId="07547A01" w14:textId="77777777" w:rsidR="00F11B92" w:rsidRDefault="00F11B92" w:rsidP="00916543">
            <w:pPr>
              <w:widowControl w:val="0"/>
              <w:spacing w:after="0" w:line="240" w:lineRule="auto"/>
              <w:rPr>
                <w:sz w:val="24"/>
                <w:szCs w:val="24"/>
              </w:rPr>
            </w:pPr>
          </w:p>
          <w:p w14:paraId="5870A85B" w14:textId="77777777" w:rsidR="00F11B92" w:rsidRPr="00561663" w:rsidRDefault="00F11B92" w:rsidP="00916543">
            <w:pPr>
              <w:widowControl w:val="0"/>
              <w:spacing w:after="0" w:line="240" w:lineRule="auto"/>
              <w:rPr>
                <w:sz w:val="24"/>
                <w:szCs w:val="24"/>
              </w:rPr>
            </w:pPr>
            <w:r>
              <w:rPr>
                <w:sz w:val="24"/>
                <w:szCs w:val="24"/>
              </w:rPr>
              <w:t>Case No. 18-1393-EL-ATA</w:t>
            </w:r>
          </w:p>
        </w:tc>
      </w:tr>
    </w:tbl>
    <w:p w14:paraId="5043CB0F" w14:textId="77777777" w:rsidR="00F11B92" w:rsidRDefault="00F11B92" w:rsidP="00F11B92">
      <w:pPr>
        <w:widowControl w:val="0"/>
        <w:pBdr>
          <w:bottom w:val="single" w:sz="12" w:space="0" w:color="auto"/>
        </w:pBdr>
        <w:spacing w:after="0" w:line="240" w:lineRule="auto"/>
        <w:rPr>
          <w:sz w:val="24"/>
          <w:szCs w:val="24"/>
        </w:rPr>
      </w:pPr>
    </w:p>
    <w:p w14:paraId="07459315" w14:textId="77777777" w:rsidR="00F11B92" w:rsidRPr="009D71F6" w:rsidRDefault="00F11B92" w:rsidP="00F11B92">
      <w:pPr>
        <w:widowControl w:val="0"/>
        <w:pBdr>
          <w:bottom w:val="single" w:sz="12" w:space="0" w:color="auto"/>
        </w:pBdr>
        <w:spacing w:after="0" w:line="240" w:lineRule="auto"/>
        <w:rPr>
          <w:sz w:val="24"/>
          <w:szCs w:val="24"/>
        </w:rPr>
      </w:pPr>
    </w:p>
    <w:p w14:paraId="6537F28F" w14:textId="77777777" w:rsidR="00F11B92" w:rsidRPr="009D71F6" w:rsidRDefault="00F11B92" w:rsidP="00F11B92">
      <w:pPr>
        <w:widowControl w:val="0"/>
        <w:spacing w:after="0" w:line="240" w:lineRule="auto"/>
        <w:jc w:val="center"/>
        <w:rPr>
          <w:b/>
          <w:bCs/>
          <w:sz w:val="24"/>
          <w:szCs w:val="24"/>
        </w:rPr>
      </w:pPr>
    </w:p>
    <w:p w14:paraId="7C443C1A" w14:textId="28FD4D74" w:rsidR="00F11B92" w:rsidRDefault="6AF121AF" w:rsidP="6AF121AF">
      <w:pPr>
        <w:widowControl w:val="0"/>
        <w:pBdr>
          <w:bottom w:val="single" w:sz="12" w:space="1" w:color="auto"/>
        </w:pBdr>
        <w:tabs>
          <w:tab w:val="left" w:pos="6461"/>
        </w:tabs>
        <w:spacing w:after="0" w:line="240" w:lineRule="auto"/>
        <w:jc w:val="center"/>
        <w:rPr>
          <w:b/>
          <w:bCs/>
          <w:sz w:val="24"/>
          <w:szCs w:val="24"/>
        </w:rPr>
      </w:pPr>
      <w:r w:rsidRPr="6AF121AF">
        <w:rPr>
          <w:b/>
          <w:bCs/>
          <w:sz w:val="24"/>
          <w:szCs w:val="24"/>
        </w:rPr>
        <w:t>INITIAL BRIEF OF INTERSTATE GAS SUPPLY, INC. AND IGS SOLAR, LLC</w:t>
      </w:r>
    </w:p>
    <w:p w14:paraId="6DFB9E20" w14:textId="77777777" w:rsidR="00F11B92" w:rsidRPr="009D71F6" w:rsidRDefault="00F11B92" w:rsidP="00F11B92">
      <w:pPr>
        <w:widowControl w:val="0"/>
        <w:pBdr>
          <w:bottom w:val="single" w:sz="12" w:space="1" w:color="auto"/>
        </w:pBdr>
        <w:tabs>
          <w:tab w:val="left" w:pos="6461"/>
        </w:tabs>
        <w:spacing w:after="0" w:line="240" w:lineRule="auto"/>
        <w:jc w:val="center"/>
        <w:rPr>
          <w:sz w:val="24"/>
          <w:szCs w:val="24"/>
        </w:rPr>
      </w:pPr>
    </w:p>
    <w:p w14:paraId="70DF9E56" w14:textId="77777777" w:rsidR="00F11B92" w:rsidRDefault="00F11B92" w:rsidP="00F11B92">
      <w:pPr>
        <w:autoSpaceDE w:val="0"/>
        <w:autoSpaceDN w:val="0"/>
        <w:adjustRightInd w:val="0"/>
        <w:spacing w:after="120" w:line="480" w:lineRule="auto"/>
        <w:jc w:val="both"/>
        <w:rPr>
          <w:sz w:val="24"/>
          <w:szCs w:val="24"/>
        </w:rPr>
      </w:pPr>
    </w:p>
    <w:p w14:paraId="1AFE6426" w14:textId="53117E8E" w:rsidR="006721BE" w:rsidRPr="00447C95" w:rsidRDefault="00494259" w:rsidP="00447C95">
      <w:pPr>
        <w:pStyle w:val="ListParagraph"/>
        <w:numPr>
          <w:ilvl w:val="0"/>
          <w:numId w:val="1"/>
        </w:numPr>
        <w:autoSpaceDE w:val="0"/>
        <w:autoSpaceDN w:val="0"/>
        <w:adjustRightInd w:val="0"/>
        <w:spacing w:after="120" w:line="480" w:lineRule="auto"/>
        <w:jc w:val="both"/>
        <w:rPr>
          <w:b/>
          <w:sz w:val="24"/>
          <w:szCs w:val="24"/>
        </w:rPr>
      </w:pPr>
      <w:r>
        <w:rPr>
          <w:b/>
          <w:sz w:val="24"/>
          <w:szCs w:val="24"/>
        </w:rPr>
        <w:t>INTRODUCTION</w:t>
      </w:r>
    </w:p>
    <w:p w14:paraId="0B20943D" w14:textId="0AF6B8D6" w:rsidR="00B55CFD" w:rsidRDefault="00146A0E" w:rsidP="006721BE">
      <w:pPr>
        <w:autoSpaceDE w:val="0"/>
        <w:autoSpaceDN w:val="0"/>
        <w:adjustRightInd w:val="0"/>
        <w:spacing w:after="120" w:line="480" w:lineRule="auto"/>
        <w:ind w:firstLine="720"/>
        <w:jc w:val="both"/>
        <w:rPr>
          <w:sz w:val="24"/>
          <w:szCs w:val="24"/>
        </w:rPr>
      </w:pPr>
      <w:r>
        <w:rPr>
          <w:sz w:val="24"/>
          <w:szCs w:val="24"/>
        </w:rPr>
        <w:t xml:space="preserve">In this case, Ohio Power Company (“AEP Ohio”) requests that the Public Utilities Commission of Ohio (“Commission”) find that there is a need </w:t>
      </w:r>
      <w:r w:rsidR="009B25C5">
        <w:rPr>
          <w:sz w:val="24"/>
          <w:szCs w:val="24"/>
        </w:rPr>
        <w:t>to build</w:t>
      </w:r>
      <w:r>
        <w:rPr>
          <w:sz w:val="24"/>
          <w:szCs w:val="24"/>
        </w:rPr>
        <w:t xml:space="preserve"> at least 900 megawatts of renewable energy resources.</w:t>
      </w:r>
      <w:r w:rsidR="00B55CFD">
        <w:rPr>
          <w:sz w:val="24"/>
          <w:szCs w:val="24"/>
        </w:rPr>
        <w:t xml:space="preserve">  </w:t>
      </w:r>
      <w:r w:rsidR="00003666">
        <w:rPr>
          <w:sz w:val="24"/>
          <w:szCs w:val="24"/>
        </w:rPr>
        <w:t>W</w:t>
      </w:r>
      <w:r w:rsidR="00B55CFD">
        <w:rPr>
          <w:sz w:val="24"/>
          <w:szCs w:val="24"/>
        </w:rPr>
        <w:t xml:space="preserve">hile Interstate Gas Supply, Inc. and IGS Solar, LLC (collectively “IGS”) are supportive of renewable energy and are actively working to develop such resources in Ohio, AEP Ohio’s proposal takes </w:t>
      </w:r>
      <w:r w:rsidR="00447C95">
        <w:rPr>
          <w:sz w:val="24"/>
          <w:szCs w:val="24"/>
        </w:rPr>
        <w:t>the wrong</w:t>
      </w:r>
      <w:r w:rsidR="00B55CFD">
        <w:rPr>
          <w:sz w:val="24"/>
          <w:szCs w:val="24"/>
        </w:rPr>
        <w:t xml:space="preserve"> approach to that endeavor.</w:t>
      </w:r>
      <w:r w:rsidR="00003666">
        <w:rPr>
          <w:sz w:val="24"/>
          <w:szCs w:val="24"/>
        </w:rPr>
        <w:t xml:space="preserve"> </w:t>
      </w:r>
    </w:p>
    <w:p w14:paraId="7A90379A" w14:textId="53CEBF6D" w:rsidR="00F76ECB" w:rsidRDefault="00270B7D" w:rsidP="00B55CFD">
      <w:pPr>
        <w:autoSpaceDE w:val="0"/>
        <w:autoSpaceDN w:val="0"/>
        <w:adjustRightInd w:val="0"/>
        <w:spacing w:after="120" w:line="480" w:lineRule="auto"/>
        <w:ind w:firstLine="720"/>
        <w:jc w:val="both"/>
        <w:rPr>
          <w:sz w:val="24"/>
          <w:szCs w:val="24"/>
        </w:rPr>
      </w:pPr>
      <w:r>
        <w:rPr>
          <w:sz w:val="24"/>
          <w:szCs w:val="24"/>
        </w:rPr>
        <w:t>AEP Ohio’s proposal is a throwback to a bygone era</w:t>
      </w:r>
      <w:r w:rsidR="00D7458A">
        <w:rPr>
          <w:sz w:val="24"/>
          <w:szCs w:val="24"/>
        </w:rPr>
        <w:t xml:space="preserve"> </w:t>
      </w:r>
      <w:r>
        <w:rPr>
          <w:sz w:val="24"/>
          <w:szCs w:val="24"/>
        </w:rPr>
        <w:t xml:space="preserve">when the planning and construction of generation was </w:t>
      </w:r>
      <w:r w:rsidR="00D7458A">
        <w:rPr>
          <w:sz w:val="24"/>
          <w:szCs w:val="24"/>
        </w:rPr>
        <w:t xml:space="preserve">performed by the vertically integrated utility to ensure that the lights stay on.  Yet, </w:t>
      </w:r>
      <w:r w:rsidR="00F76ECB">
        <w:rPr>
          <w:sz w:val="24"/>
          <w:szCs w:val="24"/>
        </w:rPr>
        <w:t>AEP Ohio’s request is not based upon the need to build new generation to meet a reliability concern.  Rather, t</w:t>
      </w:r>
      <w:r w:rsidR="009B25C5">
        <w:rPr>
          <w:sz w:val="24"/>
          <w:szCs w:val="24"/>
        </w:rPr>
        <w:t xml:space="preserve">he purported foundation for AEP Ohio’s </w:t>
      </w:r>
      <w:r w:rsidR="009B25C5">
        <w:rPr>
          <w:sz w:val="24"/>
          <w:szCs w:val="24"/>
        </w:rPr>
        <w:lastRenderedPageBreak/>
        <w:t>proposed finding of need is a consumer survey</w:t>
      </w:r>
      <w:r w:rsidR="00D7458A">
        <w:rPr>
          <w:sz w:val="24"/>
          <w:szCs w:val="24"/>
        </w:rPr>
        <w:t>,</w:t>
      </w:r>
      <w:r w:rsidR="00B55CFD">
        <w:rPr>
          <w:sz w:val="24"/>
          <w:szCs w:val="24"/>
        </w:rPr>
        <w:t xml:space="preserve"> a set of unreliable projections of market prices</w:t>
      </w:r>
      <w:r w:rsidR="00D7458A">
        <w:rPr>
          <w:sz w:val="24"/>
          <w:szCs w:val="24"/>
        </w:rPr>
        <w:t>, and illusory</w:t>
      </w:r>
      <w:r w:rsidR="0053692E">
        <w:rPr>
          <w:sz w:val="24"/>
          <w:szCs w:val="24"/>
        </w:rPr>
        <w:t xml:space="preserve"> promises of economic stimuli</w:t>
      </w:r>
      <w:r w:rsidR="00B55CFD">
        <w:rPr>
          <w:sz w:val="24"/>
          <w:szCs w:val="24"/>
        </w:rPr>
        <w:t>.</w:t>
      </w:r>
      <w:r w:rsidR="00CE5072">
        <w:rPr>
          <w:sz w:val="24"/>
          <w:szCs w:val="24"/>
        </w:rPr>
        <w:t xml:space="preserve">  </w:t>
      </w:r>
    </w:p>
    <w:p w14:paraId="3CA867DF" w14:textId="35D992CB" w:rsidR="0092458D" w:rsidRDefault="00CE5072" w:rsidP="0074399F">
      <w:pPr>
        <w:autoSpaceDE w:val="0"/>
        <w:autoSpaceDN w:val="0"/>
        <w:adjustRightInd w:val="0"/>
        <w:spacing w:after="120" w:line="480" w:lineRule="auto"/>
        <w:ind w:firstLine="720"/>
        <w:jc w:val="both"/>
        <w:rPr>
          <w:sz w:val="24"/>
          <w:szCs w:val="24"/>
        </w:rPr>
      </w:pPr>
      <w:r>
        <w:rPr>
          <w:sz w:val="24"/>
          <w:szCs w:val="24"/>
        </w:rPr>
        <w:t>According to AEP Ohio,</w:t>
      </w:r>
      <w:r w:rsidR="003D382F">
        <w:rPr>
          <w:sz w:val="24"/>
          <w:szCs w:val="24"/>
        </w:rPr>
        <w:t xml:space="preserve"> a portion of its</w:t>
      </w:r>
      <w:r>
        <w:rPr>
          <w:sz w:val="24"/>
          <w:szCs w:val="24"/>
        </w:rPr>
        <w:t xml:space="preserve"> customers </w:t>
      </w:r>
      <w:r>
        <w:rPr>
          <w:i/>
          <w:sz w:val="24"/>
          <w:szCs w:val="24"/>
        </w:rPr>
        <w:t>want</w:t>
      </w:r>
      <w:r>
        <w:rPr>
          <w:sz w:val="24"/>
          <w:szCs w:val="24"/>
        </w:rPr>
        <w:t xml:space="preserve"> renewable </w:t>
      </w:r>
      <w:proofErr w:type="gramStart"/>
      <w:r>
        <w:rPr>
          <w:sz w:val="24"/>
          <w:szCs w:val="24"/>
        </w:rPr>
        <w:t>generation</w:t>
      </w:r>
      <w:proofErr w:type="gramEnd"/>
      <w:r>
        <w:rPr>
          <w:sz w:val="24"/>
          <w:szCs w:val="24"/>
        </w:rPr>
        <w:t xml:space="preserve"> and this is sufficient to support a finding of </w:t>
      </w:r>
      <w:r w:rsidRPr="00B55CFD">
        <w:rPr>
          <w:i/>
          <w:sz w:val="24"/>
          <w:szCs w:val="24"/>
        </w:rPr>
        <w:t>need.</w:t>
      </w:r>
      <w:r w:rsidR="0074399F">
        <w:rPr>
          <w:i/>
          <w:sz w:val="24"/>
          <w:szCs w:val="24"/>
        </w:rPr>
        <w:t xml:space="preserve"> </w:t>
      </w:r>
      <w:r w:rsidR="003D382F">
        <w:rPr>
          <w:sz w:val="24"/>
          <w:szCs w:val="24"/>
        </w:rPr>
        <w:t xml:space="preserve">The two concepts, however, are very different. </w:t>
      </w:r>
      <w:r w:rsidR="0092458D">
        <w:rPr>
          <w:sz w:val="24"/>
          <w:szCs w:val="24"/>
        </w:rPr>
        <w:t>“</w:t>
      </w:r>
      <w:r w:rsidR="0074399F" w:rsidRPr="0074399F">
        <w:rPr>
          <w:sz w:val="24"/>
          <w:szCs w:val="24"/>
        </w:rPr>
        <w:t>A want is something you desire to have, but it is not actually needed.”</w:t>
      </w:r>
      <w:r w:rsidR="00FE33F1">
        <w:rPr>
          <w:rStyle w:val="FootnoteReference"/>
          <w:sz w:val="24"/>
          <w:szCs w:val="24"/>
        </w:rPr>
        <w:footnoteReference w:id="2"/>
      </w:r>
      <w:r w:rsidR="0074399F" w:rsidRPr="0074399F">
        <w:rPr>
          <w:sz w:val="24"/>
          <w:szCs w:val="24"/>
        </w:rPr>
        <w:t xml:space="preserve">  </w:t>
      </w:r>
      <w:r w:rsidR="006C74C7">
        <w:rPr>
          <w:sz w:val="24"/>
          <w:szCs w:val="24"/>
        </w:rPr>
        <w:t xml:space="preserve"> </w:t>
      </w:r>
      <w:r w:rsidR="00A0211C">
        <w:rPr>
          <w:sz w:val="24"/>
          <w:szCs w:val="24"/>
        </w:rPr>
        <w:t xml:space="preserve">  I</w:t>
      </w:r>
      <w:r>
        <w:rPr>
          <w:sz w:val="24"/>
          <w:szCs w:val="24"/>
        </w:rPr>
        <w:t>f the Rolling Stones have taught us anything</w:t>
      </w:r>
      <w:r w:rsidR="0092458D">
        <w:rPr>
          <w:sz w:val="24"/>
          <w:szCs w:val="24"/>
        </w:rPr>
        <w:t>,</w:t>
      </w:r>
      <w:r w:rsidR="00374B5B">
        <w:rPr>
          <w:sz w:val="24"/>
          <w:szCs w:val="24"/>
        </w:rPr>
        <w:t xml:space="preserve"> it’s</w:t>
      </w:r>
      <w:r w:rsidR="00A0211C">
        <w:rPr>
          <w:sz w:val="24"/>
          <w:szCs w:val="24"/>
        </w:rPr>
        <w:t xml:space="preserve"> </w:t>
      </w:r>
      <w:r>
        <w:rPr>
          <w:sz w:val="24"/>
          <w:szCs w:val="24"/>
        </w:rPr>
        <w:t>“you can’t always get what you want, b</w:t>
      </w:r>
      <w:r w:rsidRPr="009B25C5">
        <w:rPr>
          <w:sz w:val="24"/>
          <w:szCs w:val="24"/>
        </w:rPr>
        <w:t>ut if you try sometimes you just might find</w:t>
      </w:r>
      <w:r>
        <w:rPr>
          <w:sz w:val="24"/>
          <w:szCs w:val="24"/>
        </w:rPr>
        <w:t xml:space="preserve"> y</w:t>
      </w:r>
      <w:r w:rsidRPr="009B25C5">
        <w:rPr>
          <w:sz w:val="24"/>
          <w:szCs w:val="24"/>
        </w:rPr>
        <w:t>ou get what you need</w:t>
      </w:r>
      <w:r w:rsidRPr="00F70251">
        <w:rPr>
          <w:sz w:val="24"/>
          <w:szCs w:val="24"/>
        </w:rPr>
        <w:t>.”</w:t>
      </w:r>
      <w:r w:rsidR="00EE276C">
        <w:rPr>
          <w:rStyle w:val="FootnoteReference"/>
          <w:sz w:val="24"/>
          <w:szCs w:val="24"/>
        </w:rPr>
        <w:footnoteReference w:id="3"/>
      </w:r>
      <w:r w:rsidR="00CA1783">
        <w:rPr>
          <w:sz w:val="24"/>
          <w:szCs w:val="24"/>
        </w:rPr>
        <w:t xml:space="preserve">  Likewise, in Ohio, if you want renewable energy, nothing stops you from procuring it—there are a multitude of options available </w:t>
      </w:r>
      <w:r w:rsidR="00DA7964">
        <w:rPr>
          <w:sz w:val="24"/>
          <w:szCs w:val="24"/>
        </w:rPr>
        <w:t>to customers that so desire it.</w:t>
      </w:r>
      <w:r w:rsidR="00463378">
        <w:rPr>
          <w:rStyle w:val="FootnoteReference"/>
          <w:sz w:val="24"/>
          <w:szCs w:val="24"/>
        </w:rPr>
        <w:footnoteReference w:id="4"/>
      </w:r>
      <w:r w:rsidR="00F70251" w:rsidRPr="00F70251">
        <w:rPr>
          <w:sz w:val="24"/>
          <w:szCs w:val="24"/>
        </w:rPr>
        <w:t xml:space="preserve"> </w:t>
      </w:r>
    </w:p>
    <w:p w14:paraId="5135AB4F" w14:textId="0FF55861" w:rsidR="00F76ECB" w:rsidRDefault="00F70251" w:rsidP="0074399F">
      <w:pPr>
        <w:autoSpaceDE w:val="0"/>
        <w:autoSpaceDN w:val="0"/>
        <w:adjustRightInd w:val="0"/>
        <w:spacing w:after="120" w:line="480" w:lineRule="auto"/>
        <w:ind w:firstLine="720"/>
        <w:jc w:val="both"/>
        <w:rPr>
          <w:sz w:val="24"/>
          <w:szCs w:val="24"/>
        </w:rPr>
      </w:pPr>
      <w:r w:rsidRPr="00F70251">
        <w:rPr>
          <w:sz w:val="24"/>
          <w:szCs w:val="24"/>
        </w:rPr>
        <w:t xml:space="preserve">Therefore, AEP Ohio’s warped legal theory is disconnected from the plain language of the law, state policy, and the clear intent of the law. </w:t>
      </w:r>
      <w:r w:rsidR="00F76ECB">
        <w:rPr>
          <w:sz w:val="24"/>
          <w:szCs w:val="24"/>
        </w:rPr>
        <w:t xml:space="preserve">  </w:t>
      </w:r>
      <w:r>
        <w:rPr>
          <w:sz w:val="24"/>
          <w:szCs w:val="24"/>
        </w:rPr>
        <w:t xml:space="preserve">The Commission lacks authority to make a finding of need for renewable generation resources.  The General Assembly narrowly tailored the “need” statute as a safety valve to maintain reliability. By AEP Ohio’s own admission, its proposal has nothing to do with market failure or maintaining reliability on the electric grid. </w:t>
      </w:r>
      <w:r w:rsidR="00BD5B41">
        <w:rPr>
          <w:sz w:val="24"/>
          <w:szCs w:val="24"/>
        </w:rPr>
        <w:t xml:space="preserve"> </w:t>
      </w:r>
    </w:p>
    <w:p w14:paraId="0C8BCAE0" w14:textId="47DEBDDD" w:rsidR="00F70251" w:rsidRDefault="00F70251" w:rsidP="00F76ECB">
      <w:pPr>
        <w:autoSpaceDE w:val="0"/>
        <w:autoSpaceDN w:val="0"/>
        <w:adjustRightInd w:val="0"/>
        <w:spacing w:after="120" w:line="480" w:lineRule="auto"/>
        <w:ind w:firstLine="720"/>
        <w:jc w:val="both"/>
        <w:rPr>
          <w:sz w:val="24"/>
          <w:szCs w:val="24"/>
        </w:rPr>
      </w:pPr>
      <w:r>
        <w:rPr>
          <w:sz w:val="24"/>
          <w:szCs w:val="24"/>
        </w:rPr>
        <w:t xml:space="preserve">Indeed, AEP Ohio has not even attempted to demonstrate a shortfall in </w:t>
      </w:r>
      <w:r w:rsidR="008A5D6E">
        <w:rPr>
          <w:sz w:val="24"/>
          <w:szCs w:val="24"/>
        </w:rPr>
        <w:t xml:space="preserve">the </w:t>
      </w:r>
      <w:r>
        <w:rPr>
          <w:sz w:val="24"/>
          <w:szCs w:val="24"/>
        </w:rPr>
        <w:t xml:space="preserve">development of renewable generation by the competitive market.  </w:t>
      </w:r>
      <w:r w:rsidR="00F76ECB">
        <w:rPr>
          <w:sz w:val="24"/>
          <w:szCs w:val="24"/>
        </w:rPr>
        <w:t xml:space="preserve">Given the state policy in favor of market-based solutions, </w:t>
      </w:r>
      <w:r>
        <w:rPr>
          <w:sz w:val="24"/>
          <w:szCs w:val="24"/>
        </w:rPr>
        <w:t xml:space="preserve">AEP Ohio’s utter failure to </w:t>
      </w:r>
      <w:r w:rsidR="00F76ECB">
        <w:rPr>
          <w:sz w:val="24"/>
          <w:szCs w:val="24"/>
        </w:rPr>
        <w:t>provide evidence regarding</w:t>
      </w:r>
      <w:r w:rsidR="0067665A">
        <w:rPr>
          <w:sz w:val="24"/>
          <w:szCs w:val="24"/>
        </w:rPr>
        <w:t xml:space="preserve"> </w:t>
      </w:r>
      <w:r w:rsidR="0067665A">
        <w:rPr>
          <w:sz w:val="24"/>
          <w:szCs w:val="24"/>
        </w:rPr>
        <w:lastRenderedPageBreak/>
        <w:t xml:space="preserve">existing and potential development of market-based </w:t>
      </w:r>
      <w:r>
        <w:rPr>
          <w:sz w:val="24"/>
          <w:szCs w:val="24"/>
        </w:rPr>
        <w:t xml:space="preserve">renewable generation </w:t>
      </w:r>
      <w:r w:rsidR="00F76ECB">
        <w:rPr>
          <w:sz w:val="24"/>
          <w:szCs w:val="24"/>
        </w:rPr>
        <w:t>creates in insurmountable factual hole in</w:t>
      </w:r>
      <w:r>
        <w:rPr>
          <w:sz w:val="24"/>
          <w:szCs w:val="24"/>
        </w:rPr>
        <w:t xml:space="preserve"> AEP Ohio’s application</w:t>
      </w:r>
      <w:r w:rsidR="00F76ECB">
        <w:rPr>
          <w:sz w:val="24"/>
          <w:szCs w:val="24"/>
        </w:rPr>
        <w:t>.</w:t>
      </w:r>
      <w:r w:rsidR="0067665A">
        <w:rPr>
          <w:rStyle w:val="FootnoteReference"/>
          <w:sz w:val="24"/>
          <w:szCs w:val="24"/>
        </w:rPr>
        <w:footnoteReference w:id="5"/>
      </w:r>
      <w:r w:rsidR="00F76ECB">
        <w:rPr>
          <w:sz w:val="24"/>
          <w:szCs w:val="24"/>
        </w:rPr>
        <w:t xml:space="preserve"> </w:t>
      </w:r>
    </w:p>
    <w:p w14:paraId="763CBD64" w14:textId="1670B41B" w:rsidR="00F64A31" w:rsidRDefault="00F70251" w:rsidP="00F64A31">
      <w:pPr>
        <w:tabs>
          <w:tab w:val="left" w:pos="360"/>
        </w:tabs>
        <w:spacing w:after="0" w:line="480" w:lineRule="auto"/>
        <w:jc w:val="both"/>
        <w:rPr>
          <w:sz w:val="24"/>
          <w:szCs w:val="24"/>
        </w:rPr>
      </w:pPr>
      <w:r>
        <w:rPr>
          <w:sz w:val="24"/>
          <w:szCs w:val="24"/>
        </w:rPr>
        <w:tab/>
      </w:r>
      <w:r w:rsidR="00F64A31">
        <w:rPr>
          <w:sz w:val="24"/>
          <w:szCs w:val="24"/>
        </w:rPr>
        <w:tab/>
        <w:t>Placing the law aside for a moment, AEP Ohio has not provided any good reason to indulge its request to move backward to a traditional integrated resource planning construct</w:t>
      </w:r>
      <w:r w:rsidR="0053692E">
        <w:rPr>
          <w:sz w:val="24"/>
          <w:szCs w:val="24"/>
        </w:rPr>
        <w:t xml:space="preserve"> that Ohio wisely left behind twenty years ago</w:t>
      </w:r>
      <w:r w:rsidR="00F64A31">
        <w:rPr>
          <w:sz w:val="24"/>
          <w:szCs w:val="24"/>
        </w:rPr>
        <w:t>.  By AEP Ohio’s own projections, the cost of deploying renewable generation resources is falling like a stone</w:t>
      </w:r>
      <w:r w:rsidR="0008103B">
        <w:rPr>
          <w:sz w:val="24"/>
          <w:szCs w:val="24"/>
        </w:rPr>
        <w:t xml:space="preserve"> and competitive developers of renewable energy are actively ramping up operations in the state</w:t>
      </w:r>
      <w:r w:rsidR="003C01F4">
        <w:rPr>
          <w:sz w:val="24"/>
          <w:szCs w:val="24"/>
        </w:rPr>
        <w:t xml:space="preserve"> to meet</w:t>
      </w:r>
      <w:r w:rsidR="00452238">
        <w:rPr>
          <w:sz w:val="24"/>
          <w:szCs w:val="24"/>
        </w:rPr>
        <w:t xml:space="preserve"> consumer desires for renewable energy</w:t>
      </w:r>
      <w:r w:rsidR="00F64A31">
        <w:rPr>
          <w:sz w:val="24"/>
          <w:szCs w:val="24"/>
        </w:rPr>
        <w:t xml:space="preserve">.  There is simply no need to dictate renewable resource development—or to override the General Assembly’s renewable mandates—through a command and control paradigm when the market is well positioned to develop renewable resources without picking winners and losers and saddling all distribution customers with </w:t>
      </w:r>
      <w:r w:rsidR="00B55CFD">
        <w:rPr>
          <w:sz w:val="24"/>
          <w:szCs w:val="24"/>
        </w:rPr>
        <w:t xml:space="preserve">the </w:t>
      </w:r>
      <w:r w:rsidR="00F64A31">
        <w:rPr>
          <w:sz w:val="24"/>
          <w:szCs w:val="24"/>
        </w:rPr>
        <w:t>consequences.</w:t>
      </w:r>
    </w:p>
    <w:p w14:paraId="3063FBFD" w14:textId="6106D5E2" w:rsidR="00DC38F6" w:rsidRDefault="002E1BE2" w:rsidP="00DC38F6">
      <w:pPr>
        <w:autoSpaceDE w:val="0"/>
        <w:autoSpaceDN w:val="0"/>
        <w:adjustRightInd w:val="0"/>
        <w:spacing w:after="120" w:line="480" w:lineRule="auto"/>
        <w:ind w:firstLine="720"/>
        <w:jc w:val="both"/>
        <w:rPr>
          <w:sz w:val="24"/>
          <w:szCs w:val="24"/>
        </w:rPr>
      </w:pPr>
      <w:r>
        <w:rPr>
          <w:sz w:val="24"/>
          <w:szCs w:val="24"/>
        </w:rPr>
        <w:t>Moreover,</w:t>
      </w:r>
      <w:r w:rsidR="00F70251">
        <w:rPr>
          <w:sz w:val="24"/>
          <w:szCs w:val="24"/>
        </w:rPr>
        <w:t xml:space="preserve"> the economic impact of AEP Ohio’s proposal is based entirely on a flawed and unreliable projection of market prices.  Based upon more realistic market prices, it is apparent that AEP Ohio’s proposal would cost customers millions of dollars over the next 20 years.</w:t>
      </w:r>
    </w:p>
    <w:p w14:paraId="1B312D1E" w14:textId="257594D7" w:rsidR="00F70251" w:rsidRDefault="00F70251" w:rsidP="00A0211C">
      <w:pPr>
        <w:autoSpaceDE w:val="0"/>
        <w:autoSpaceDN w:val="0"/>
        <w:adjustRightInd w:val="0"/>
        <w:spacing w:after="120" w:line="480" w:lineRule="auto"/>
        <w:jc w:val="both"/>
        <w:rPr>
          <w:sz w:val="24"/>
          <w:szCs w:val="24"/>
        </w:rPr>
      </w:pPr>
      <w:r>
        <w:rPr>
          <w:sz w:val="24"/>
          <w:szCs w:val="24"/>
        </w:rPr>
        <w:tab/>
      </w:r>
      <w:r w:rsidR="00F76ECB">
        <w:rPr>
          <w:sz w:val="24"/>
          <w:szCs w:val="24"/>
        </w:rPr>
        <w:t>Given the numerous infirmities in AEP Ohio’s application, IGS urge</w:t>
      </w:r>
      <w:r w:rsidR="00B55CFD">
        <w:rPr>
          <w:sz w:val="24"/>
          <w:szCs w:val="24"/>
        </w:rPr>
        <w:t>s</w:t>
      </w:r>
      <w:r w:rsidR="00F76ECB">
        <w:rPr>
          <w:sz w:val="24"/>
          <w:szCs w:val="24"/>
        </w:rPr>
        <w:t xml:space="preserve"> the Commission </w:t>
      </w:r>
      <w:r w:rsidR="004A52A8">
        <w:rPr>
          <w:sz w:val="24"/>
          <w:szCs w:val="24"/>
        </w:rPr>
        <w:t xml:space="preserve">to </w:t>
      </w:r>
      <w:r w:rsidR="00F76ECB">
        <w:rPr>
          <w:sz w:val="24"/>
          <w:szCs w:val="24"/>
        </w:rPr>
        <w:t>reject AEP Ohio’s finding of need</w:t>
      </w:r>
      <w:r w:rsidR="00B55CFD">
        <w:rPr>
          <w:sz w:val="24"/>
          <w:szCs w:val="24"/>
        </w:rPr>
        <w:t>.</w:t>
      </w:r>
      <w:r w:rsidR="00DC38F6">
        <w:rPr>
          <w:sz w:val="24"/>
          <w:szCs w:val="24"/>
        </w:rPr>
        <w:t xml:space="preserve">  Rather than indulging </w:t>
      </w:r>
      <w:r w:rsidR="00A83860">
        <w:rPr>
          <w:sz w:val="24"/>
          <w:szCs w:val="24"/>
        </w:rPr>
        <w:t>AEP Ohio’s</w:t>
      </w:r>
      <w:r w:rsidR="00DC38F6">
        <w:rPr>
          <w:sz w:val="24"/>
          <w:szCs w:val="24"/>
        </w:rPr>
        <w:t xml:space="preserve"> request to pick winners and losers</w:t>
      </w:r>
      <w:r w:rsidR="007F0390">
        <w:rPr>
          <w:sz w:val="24"/>
          <w:szCs w:val="24"/>
        </w:rPr>
        <w:t xml:space="preserve">—which would ultimately harm the development of </w:t>
      </w:r>
      <w:r w:rsidR="00300D4F">
        <w:rPr>
          <w:sz w:val="24"/>
          <w:szCs w:val="24"/>
        </w:rPr>
        <w:t>the renewable energy market—</w:t>
      </w:r>
      <w:r w:rsidR="00DC38F6">
        <w:rPr>
          <w:sz w:val="24"/>
          <w:szCs w:val="24"/>
        </w:rPr>
        <w:t>the Commission should</w:t>
      </w:r>
      <w:r w:rsidR="007C6D04">
        <w:rPr>
          <w:sz w:val="24"/>
          <w:szCs w:val="24"/>
        </w:rPr>
        <w:t xml:space="preserve"> focus</w:t>
      </w:r>
      <w:r w:rsidR="00DC38F6">
        <w:rPr>
          <w:sz w:val="24"/>
          <w:szCs w:val="24"/>
        </w:rPr>
        <w:t xml:space="preserve"> </w:t>
      </w:r>
      <w:r w:rsidR="00FB3F8A">
        <w:rPr>
          <w:sz w:val="24"/>
          <w:szCs w:val="24"/>
        </w:rPr>
        <w:t xml:space="preserve">on providing </w:t>
      </w:r>
      <w:r w:rsidR="00F257A2">
        <w:rPr>
          <w:sz w:val="24"/>
          <w:szCs w:val="24"/>
        </w:rPr>
        <w:t>competitive</w:t>
      </w:r>
      <w:r w:rsidR="001F3DF6">
        <w:rPr>
          <w:sz w:val="24"/>
          <w:szCs w:val="24"/>
        </w:rPr>
        <w:t>ly</w:t>
      </w:r>
      <w:r w:rsidR="00F257A2">
        <w:rPr>
          <w:sz w:val="24"/>
          <w:szCs w:val="24"/>
        </w:rPr>
        <w:t xml:space="preserve"> </w:t>
      </w:r>
      <w:r w:rsidR="00F257A2">
        <w:rPr>
          <w:sz w:val="24"/>
          <w:szCs w:val="24"/>
        </w:rPr>
        <w:lastRenderedPageBreak/>
        <w:t>neutral incentives</w:t>
      </w:r>
      <w:r w:rsidR="001F3DF6">
        <w:rPr>
          <w:sz w:val="24"/>
          <w:szCs w:val="24"/>
        </w:rPr>
        <w:t xml:space="preserve"> for renewable energy</w:t>
      </w:r>
      <w:r w:rsidR="00FB3F8A">
        <w:rPr>
          <w:sz w:val="24"/>
          <w:szCs w:val="24"/>
        </w:rPr>
        <w:t xml:space="preserve"> </w:t>
      </w:r>
      <w:r w:rsidR="00F257A2">
        <w:rPr>
          <w:sz w:val="24"/>
          <w:szCs w:val="24"/>
        </w:rPr>
        <w:t>and</w:t>
      </w:r>
      <w:r w:rsidR="00DC38F6">
        <w:rPr>
          <w:sz w:val="24"/>
          <w:szCs w:val="24"/>
        </w:rPr>
        <w:t xml:space="preserve"> </w:t>
      </w:r>
      <w:r w:rsidR="00B51DDF">
        <w:rPr>
          <w:sz w:val="24"/>
          <w:szCs w:val="24"/>
        </w:rPr>
        <w:t xml:space="preserve">removing existing barriers to development of </w:t>
      </w:r>
      <w:r w:rsidR="001F3DF6">
        <w:rPr>
          <w:sz w:val="24"/>
          <w:szCs w:val="24"/>
        </w:rPr>
        <w:t xml:space="preserve">clean distributed energy </w:t>
      </w:r>
      <w:r w:rsidR="00B51DDF">
        <w:rPr>
          <w:sz w:val="24"/>
          <w:szCs w:val="24"/>
        </w:rPr>
        <w:t>resources.</w:t>
      </w:r>
    </w:p>
    <w:p w14:paraId="38A9835A" w14:textId="77777777" w:rsidR="00F76ECB" w:rsidRPr="00F76ECB" w:rsidRDefault="00F76ECB" w:rsidP="00F76ECB">
      <w:pPr>
        <w:pStyle w:val="ListParagraph"/>
        <w:numPr>
          <w:ilvl w:val="0"/>
          <w:numId w:val="1"/>
        </w:numPr>
        <w:autoSpaceDE w:val="0"/>
        <w:autoSpaceDN w:val="0"/>
        <w:adjustRightInd w:val="0"/>
        <w:spacing w:after="120" w:line="480" w:lineRule="auto"/>
        <w:jc w:val="both"/>
        <w:rPr>
          <w:b/>
          <w:sz w:val="24"/>
          <w:szCs w:val="24"/>
        </w:rPr>
      </w:pPr>
      <w:r>
        <w:rPr>
          <w:b/>
          <w:sz w:val="24"/>
          <w:szCs w:val="24"/>
        </w:rPr>
        <w:t>BACKGROUND</w:t>
      </w:r>
    </w:p>
    <w:p w14:paraId="2F1731A2" w14:textId="3FB6A4B8" w:rsidR="00A6507B" w:rsidRDefault="00A6507B" w:rsidP="00135466">
      <w:pPr>
        <w:tabs>
          <w:tab w:val="left" w:pos="360"/>
        </w:tabs>
        <w:spacing w:after="0" w:line="480" w:lineRule="auto"/>
        <w:jc w:val="both"/>
        <w:rPr>
          <w:sz w:val="24"/>
          <w:szCs w:val="24"/>
        </w:rPr>
      </w:pPr>
      <w:r>
        <w:rPr>
          <w:sz w:val="24"/>
          <w:szCs w:val="24"/>
        </w:rPr>
        <w:tab/>
      </w:r>
      <w:r>
        <w:rPr>
          <w:sz w:val="24"/>
          <w:szCs w:val="24"/>
        </w:rPr>
        <w:tab/>
        <w:t>On April 16, 2018, AEP Ohio filed an initial LTFR in this proceeding.  As required by Commission rule, the initial LTFR included several forms containing detailed forecasted data with respect to generation, transmission, and distribution requirements in AEP Ohio’s service territory.  The filing was completely unremarkable</w:t>
      </w:r>
      <w:r w:rsidR="00956BA2">
        <w:rPr>
          <w:sz w:val="24"/>
          <w:szCs w:val="24"/>
        </w:rPr>
        <w:t xml:space="preserve">.  It did not identify a shortfall in </w:t>
      </w:r>
      <w:r w:rsidR="00F50BE9">
        <w:rPr>
          <w:sz w:val="24"/>
          <w:szCs w:val="24"/>
        </w:rPr>
        <w:t>generation resources to meet demand</w:t>
      </w:r>
      <w:r>
        <w:rPr>
          <w:sz w:val="24"/>
          <w:szCs w:val="24"/>
        </w:rPr>
        <w:t>.</w:t>
      </w:r>
      <w:r w:rsidR="00F50BE9">
        <w:rPr>
          <w:rStyle w:val="FootnoteReference"/>
          <w:sz w:val="24"/>
          <w:szCs w:val="24"/>
        </w:rPr>
        <w:footnoteReference w:id="6"/>
      </w:r>
    </w:p>
    <w:p w14:paraId="2D40EDD0" w14:textId="76836773" w:rsidR="0067665A" w:rsidRDefault="00A6507B" w:rsidP="00135466">
      <w:pPr>
        <w:tabs>
          <w:tab w:val="left" w:pos="360"/>
        </w:tabs>
        <w:spacing w:after="0" w:line="480" w:lineRule="auto"/>
        <w:jc w:val="both"/>
        <w:rPr>
          <w:sz w:val="24"/>
          <w:szCs w:val="24"/>
        </w:rPr>
      </w:pPr>
      <w:r>
        <w:rPr>
          <w:sz w:val="24"/>
          <w:szCs w:val="24"/>
        </w:rPr>
        <w:tab/>
      </w:r>
      <w:r>
        <w:rPr>
          <w:sz w:val="24"/>
          <w:szCs w:val="24"/>
        </w:rPr>
        <w:tab/>
        <w:t xml:space="preserve">But, on June 7, 2018, AEP Ohio filed a motion for </w:t>
      </w:r>
      <w:r w:rsidR="00B81A26">
        <w:rPr>
          <w:sz w:val="24"/>
          <w:szCs w:val="24"/>
        </w:rPr>
        <w:t>waiver</w:t>
      </w:r>
      <w:r>
        <w:rPr>
          <w:sz w:val="24"/>
          <w:szCs w:val="24"/>
        </w:rPr>
        <w:t xml:space="preserve"> of certain Commission rules and </w:t>
      </w:r>
      <w:r w:rsidR="002C06B0">
        <w:rPr>
          <w:sz w:val="24"/>
          <w:szCs w:val="24"/>
        </w:rPr>
        <w:t>indicated</w:t>
      </w:r>
      <w:r>
        <w:rPr>
          <w:sz w:val="24"/>
          <w:szCs w:val="24"/>
        </w:rPr>
        <w:t xml:space="preserve"> that it “</w:t>
      </w:r>
      <w:r w:rsidRPr="00A6507B">
        <w:rPr>
          <w:sz w:val="24"/>
          <w:szCs w:val="24"/>
        </w:rPr>
        <w:t>intends to file an amendment to its 2018 LTFR later</w:t>
      </w:r>
      <w:r>
        <w:rPr>
          <w:sz w:val="24"/>
          <w:szCs w:val="24"/>
        </w:rPr>
        <w:t xml:space="preserve"> </w:t>
      </w:r>
      <w:r w:rsidRPr="00A6507B">
        <w:rPr>
          <w:sz w:val="24"/>
          <w:szCs w:val="24"/>
        </w:rPr>
        <w:t>this year to demonstrate the need for at least 900 MW of renewable energy projects in Ohio</w:t>
      </w:r>
      <w:r>
        <w:rPr>
          <w:sz w:val="24"/>
          <w:szCs w:val="24"/>
        </w:rPr>
        <w:t>.”</w:t>
      </w:r>
      <w:r w:rsidR="00FE4DA5">
        <w:rPr>
          <w:rStyle w:val="FootnoteReference"/>
          <w:sz w:val="24"/>
          <w:szCs w:val="24"/>
        </w:rPr>
        <w:footnoteReference w:id="7"/>
      </w:r>
      <w:r>
        <w:rPr>
          <w:sz w:val="24"/>
          <w:szCs w:val="24"/>
        </w:rPr>
        <w:t xml:space="preserve">  On September 19, 2018, the Commission granted AEP Ohio’s request for waivers.</w:t>
      </w:r>
      <w:r w:rsidR="00D81F99">
        <w:rPr>
          <w:rStyle w:val="FootnoteReference"/>
          <w:sz w:val="24"/>
          <w:szCs w:val="24"/>
        </w:rPr>
        <w:footnoteReference w:id="8"/>
      </w:r>
    </w:p>
    <w:p w14:paraId="5789B8B8" w14:textId="5D01310F" w:rsidR="003239F8" w:rsidRDefault="0067665A" w:rsidP="00135466">
      <w:pPr>
        <w:tabs>
          <w:tab w:val="left" w:pos="360"/>
        </w:tabs>
        <w:spacing w:after="0" w:line="480" w:lineRule="auto"/>
        <w:jc w:val="both"/>
        <w:rPr>
          <w:sz w:val="24"/>
          <w:szCs w:val="24"/>
        </w:rPr>
      </w:pPr>
      <w:r>
        <w:rPr>
          <w:sz w:val="24"/>
          <w:szCs w:val="24"/>
        </w:rPr>
        <w:tab/>
      </w:r>
      <w:r>
        <w:rPr>
          <w:sz w:val="24"/>
          <w:szCs w:val="24"/>
        </w:rPr>
        <w:tab/>
        <w:t xml:space="preserve">After </w:t>
      </w:r>
      <w:r w:rsidR="003239F8">
        <w:rPr>
          <w:sz w:val="24"/>
          <w:szCs w:val="24"/>
        </w:rPr>
        <w:t xml:space="preserve">previously giving a </w:t>
      </w:r>
      <w:r>
        <w:rPr>
          <w:sz w:val="24"/>
          <w:szCs w:val="24"/>
        </w:rPr>
        <w:t>hint of its intentions to file</w:t>
      </w:r>
      <w:r w:rsidR="003239F8">
        <w:rPr>
          <w:sz w:val="24"/>
          <w:szCs w:val="24"/>
        </w:rPr>
        <w:t xml:space="preserve"> an application to establish the need for 900 MWs of renewable generation, AEP Ohio then set about to find evidence to support its predetermined </w:t>
      </w:r>
      <w:r w:rsidR="005E7473">
        <w:rPr>
          <w:sz w:val="24"/>
          <w:szCs w:val="24"/>
        </w:rPr>
        <w:t>conclusion</w:t>
      </w:r>
      <w:r w:rsidR="003239F8">
        <w:rPr>
          <w:sz w:val="24"/>
          <w:szCs w:val="24"/>
        </w:rPr>
        <w:t>.</w:t>
      </w:r>
      <w:r w:rsidR="00A6507B">
        <w:rPr>
          <w:sz w:val="24"/>
          <w:szCs w:val="24"/>
        </w:rPr>
        <w:t xml:space="preserve"> </w:t>
      </w:r>
    </w:p>
    <w:p w14:paraId="64B25CCF" w14:textId="653409B3" w:rsidR="00757FE3" w:rsidRDefault="003239F8" w:rsidP="00135466">
      <w:pPr>
        <w:tabs>
          <w:tab w:val="left" w:pos="360"/>
        </w:tabs>
        <w:spacing w:after="0" w:line="480" w:lineRule="auto"/>
        <w:jc w:val="both"/>
        <w:rPr>
          <w:sz w:val="24"/>
          <w:szCs w:val="24"/>
        </w:rPr>
      </w:pPr>
      <w:r>
        <w:rPr>
          <w:sz w:val="24"/>
          <w:szCs w:val="24"/>
        </w:rPr>
        <w:tab/>
      </w:r>
      <w:r>
        <w:rPr>
          <w:sz w:val="24"/>
          <w:szCs w:val="24"/>
        </w:rPr>
        <w:tab/>
        <w:t xml:space="preserve">On September 19, 2018, </w:t>
      </w:r>
      <w:r w:rsidR="00A6507B">
        <w:rPr>
          <w:sz w:val="24"/>
          <w:szCs w:val="24"/>
        </w:rPr>
        <w:t>AEP Ohio filed an application to amend its LTFR (“Amended LTFR”)</w:t>
      </w:r>
      <w:r w:rsidR="00D04FB9">
        <w:rPr>
          <w:sz w:val="24"/>
          <w:szCs w:val="24"/>
        </w:rPr>
        <w:t>, requesting that the Commission find a need for at least 900 MWs of renewable generation resources.</w:t>
      </w:r>
      <w:r w:rsidR="00F50BE9">
        <w:rPr>
          <w:rStyle w:val="FootnoteReference"/>
          <w:sz w:val="24"/>
          <w:szCs w:val="24"/>
        </w:rPr>
        <w:footnoteReference w:id="9"/>
      </w:r>
      <w:r w:rsidR="0067665A">
        <w:rPr>
          <w:sz w:val="24"/>
          <w:szCs w:val="24"/>
        </w:rPr>
        <w:t xml:space="preserve">  </w:t>
      </w:r>
      <w:r w:rsidR="00D04FB9">
        <w:rPr>
          <w:sz w:val="24"/>
          <w:szCs w:val="24"/>
        </w:rPr>
        <w:t xml:space="preserve">AEP Ohio’s Amended LTFR conceded that there is no </w:t>
      </w:r>
      <w:r w:rsidR="00D04FB9">
        <w:rPr>
          <w:sz w:val="24"/>
          <w:szCs w:val="24"/>
        </w:rPr>
        <w:lastRenderedPageBreak/>
        <w:t>need to construct renewable generation to maintain reliability.</w:t>
      </w:r>
      <w:r w:rsidR="008F6107">
        <w:rPr>
          <w:rStyle w:val="FootnoteReference"/>
          <w:sz w:val="24"/>
          <w:szCs w:val="24"/>
        </w:rPr>
        <w:footnoteReference w:id="10"/>
      </w:r>
      <w:r w:rsidR="00D04FB9">
        <w:rPr>
          <w:sz w:val="24"/>
          <w:szCs w:val="24"/>
        </w:rPr>
        <w:t xml:space="preserve">  Rather, in an attempt to rewrite the ESP statute for its own pur</w:t>
      </w:r>
      <w:r w:rsidR="008F6107">
        <w:rPr>
          <w:sz w:val="24"/>
          <w:szCs w:val="24"/>
        </w:rPr>
        <w:t>pose</w:t>
      </w:r>
      <w:r w:rsidR="00D04FB9">
        <w:rPr>
          <w:sz w:val="24"/>
          <w:szCs w:val="24"/>
        </w:rPr>
        <w:t>, AEP Ohio</w:t>
      </w:r>
      <w:r w:rsidR="008F6107">
        <w:rPr>
          <w:sz w:val="24"/>
          <w:szCs w:val="24"/>
        </w:rPr>
        <w:t xml:space="preserve"> alleged that there is a need for at least 900 MWs of renewable generation</w:t>
      </w:r>
      <w:r w:rsidR="00757FE3">
        <w:rPr>
          <w:sz w:val="24"/>
          <w:szCs w:val="24"/>
        </w:rPr>
        <w:t>.</w:t>
      </w:r>
      <w:r w:rsidR="008F6107">
        <w:rPr>
          <w:sz w:val="24"/>
          <w:szCs w:val="24"/>
        </w:rPr>
        <w:t xml:space="preserve">  </w:t>
      </w:r>
    </w:p>
    <w:p w14:paraId="5F282C2F" w14:textId="2803B503" w:rsidR="00A36421" w:rsidRDefault="00757FE3" w:rsidP="00757FE3">
      <w:pPr>
        <w:tabs>
          <w:tab w:val="left" w:pos="360"/>
        </w:tabs>
        <w:spacing w:after="0" w:line="480" w:lineRule="auto"/>
        <w:jc w:val="both"/>
        <w:rPr>
          <w:sz w:val="24"/>
          <w:szCs w:val="24"/>
        </w:rPr>
      </w:pPr>
      <w:r>
        <w:rPr>
          <w:sz w:val="24"/>
          <w:szCs w:val="24"/>
        </w:rPr>
        <w:tab/>
      </w:r>
      <w:r>
        <w:rPr>
          <w:sz w:val="24"/>
          <w:szCs w:val="24"/>
        </w:rPr>
        <w:tab/>
      </w:r>
      <w:r w:rsidR="008F6107">
        <w:rPr>
          <w:sz w:val="24"/>
          <w:szCs w:val="24"/>
        </w:rPr>
        <w:t xml:space="preserve">AEP Ohio </w:t>
      </w:r>
      <w:r w:rsidR="00BC049E">
        <w:rPr>
          <w:sz w:val="24"/>
          <w:szCs w:val="24"/>
        </w:rPr>
        <w:t>alleges that need should be found because</w:t>
      </w:r>
      <w:r w:rsidR="008F6107">
        <w:rPr>
          <w:sz w:val="24"/>
          <w:szCs w:val="24"/>
        </w:rPr>
        <w:t xml:space="preserve"> a survey</w:t>
      </w:r>
      <w:r w:rsidR="00BC049E">
        <w:rPr>
          <w:sz w:val="24"/>
          <w:szCs w:val="24"/>
        </w:rPr>
        <w:t xml:space="preserve"> shows</w:t>
      </w:r>
      <w:r w:rsidR="008F6107">
        <w:rPr>
          <w:sz w:val="24"/>
          <w:szCs w:val="24"/>
        </w:rPr>
        <w:t xml:space="preserve"> </w:t>
      </w:r>
      <w:r w:rsidR="00BC049E">
        <w:rPr>
          <w:sz w:val="24"/>
          <w:szCs w:val="24"/>
        </w:rPr>
        <w:t xml:space="preserve">that </w:t>
      </w:r>
      <w:r w:rsidR="008F6107">
        <w:rPr>
          <w:sz w:val="24"/>
          <w:szCs w:val="24"/>
        </w:rPr>
        <w:t xml:space="preserve">customer’s </w:t>
      </w:r>
      <w:r w:rsidR="00CB4480">
        <w:rPr>
          <w:sz w:val="24"/>
          <w:szCs w:val="24"/>
        </w:rPr>
        <w:t xml:space="preserve">want </w:t>
      </w:r>
      <w:r w:rsidR="008F6107">
        <w:rPr>
          <w:sz w:val="24"/>
          <w:szCs w:val="24"/>
        </w:rPr>
        <w:t>AEP Ohio to develop renewable generation resources.</w:t>
      </w:r>
      <w:r w:rsidR="00A075A4">
        <w:rPr>
          <w:rStyle w:val="FootnoteReference"/>
          <w:sz w:val="24"/>
          <w:szCs w:val="24"/>
        </w:rPr>
        <w:footnoteReference w:id="11"/>
      </w:r>
      <w:r w:rsidR="00CB4480">
        <w:rPr>
          <w:sz w:val="24"/>
          <w:szCs w:val="24"/>
        </w:rPr>
        <w:t xml:space="preserve">  According to AEP Ohio, want translates to need.</w:t>
      </w:r>
      <w:r w:rsidR="00CB6C55">
        <w:rPr>
          <w:rStyle w:val="FootnoteReference"/>
          <w:sz w:val="24"/>
          <w:szCs w:val="24"/>
        </w:rPr>
        <w:footnoteReference w:id="12"/>
      </w:r>
      <w:r w:rsidR="00CB6C55">
        <w:rPr>
          <w:sz w:val="24"/>
          <w:szCs w:val="24"/>
        </w:rPr>
        <w:t xml:space="preserve"> </w:t>
      </w:r>
      <w:r>
        <w:rPr>
          <w:sz w:val="24"/>
          <w:szCs w:val="24"/>
        </w:rPr>
        <w:t xml:space="preserve"> </w:t>
      </w:r>
      <w:r w:rsidR="00CB4480">
        <w:rPr>
          <w:sz w:val="24"/>
          <w:szCs w:val="24"/>
        </w:rPr>
        <w:t xml:space="preserve">Also, </w:t>
      </w:r>
      <w:r w:rsidR="00BC049E">
        <w:rPr>
          <w:sz w:val="24"/>
          <w:szCs w:val="24"/>
        </w:rPr>
        <w:t>AEP alleges that need should be found because its proposed renewable resources would be economically beneficial</w:t>
      </w:r>
      <w:r>
        <w:rPr>
          <w:sz w:val="24"/>
          <w:szCs w:val="24"/>
        </w:rPr>
        <w:t xml:space="preserve"> because the resources would be located in Ohio and over the long-term </w:t>
      </w:r>
      <w:r w:rsidR="001A5127">
        <w:rPr>
          <w:sz w:val="24"/>
          <w:szCs w:val="24"/>
        </w:rPr>
        <w:t xml:space="preserve">the </w:t>
      </w:r>
      <w:r>
        <w:rPr>
          <w:sz w:val="24"/>
          <w:szCs w:val="24"/>
        </w:rPr>
        <w:t xml:space="preserve">renewable </w:t>
      </w:r>
      <w:r w:rsidR="001A5127">
        <w:rPr>
          <w:sz w:val="24"/>
          <w:szCs w:val="24"/>
        </w:rPr>
        <w:t xml:space="preserve">energy </w:t>
      </w:r>
      <w:r>
        <w:rPr>
          <w:sz w:val="24"/>
          <w:szCs w:val="24"/>
        </w:rPr>
        <w:t>purchase agreements</w:t>
      </w:r>
      <w:r w:rsidR="001A5127">
        <w:rPr>
          <w:sz w:val="24"/>
          <w:szCs w:val="24"/>
        </w:rPr>
        <w:t xml:space="preserve"> (“REPAs”)</w:t>
      </w:r>
      <w:r>
        <w:rPr>
          <w:sz w:val="24"/>
          <w:szCs w:val="24"/>
        </w:rPr>
        <w:t xml:space="preserve"> will result in bill credits</w:t>
      </w:r>
      <w:r w:rsidR="00A36421">
        <w:rPr>
          <w:sz w:val="24"/>
          <w:szCs w:val="24"/>
        </w:rPr>
        <w:t>.</w:t>
      </w:r>
      <w:r w:rsidR="00CD47EB">
        <w:rPr>
          <w:rStyle w:val="FootnoteReference"/>
          <w:sz w:val="24"/>
          <w:szCs w:val="24"/>
        </w:rPr>
        <w:footnoteReference w:id="13"/>
      </w:r>
      <w:r w:rsidR="00A36421">
        <w:rPr>
          <w:sz w:val="24"/>
          <w:szCs w:val="24"/>
        </w:rPr>
        <w:t xml:space="preserve"> While AEP Ohio’s factual assertions are fatally flawed, IGS will first address AEP Ohio’s incorrect legal standard.  After examining AEP Ohio’s application under the correct legal framework, it is apparent that this case should have been decided on a directed verdict or dismissed </w:t>
      </w:r>
      <w:proofErr w:type="spellStart"/>
      <w:r w:rsidR="00A36421" w:rsidRPr="0057560C">
        <w:rPr>
          <w:i/>
          <w:sz w:val="24"/>
          <w:szCs w:val="24"/>
        </w:rPr>
        <w:t>sua</w:t>
      </w:r>
      <w:proofErr w:type="spellEnd"/>
      <w:r w:rsidR="00A36421" w:rsidRPr="0057560C">
        <w:rPr>
          <w:i/>
          <w:sz w:val="24"/>
          <w:szCs w:val="24"/>
        </w:rPr>
        <w:t xml:space="preserve"> sponte</w:t>
      </w:r>
      <w:r w:rsidR="00A36421">
        <w:rPr>
          <w:sz w:val="24"/>
          <w:szCs w:val="24"/>
        </w:rPr>
        <w:t xml:space="preserve"> by the Commission.</w:t>
      </w:r>
    </w:p>
    <w:p w14:paraId="393961D7" w14:textId="77777777" w:rsidR="00A36421" w:rsidRPr="00A36421" w:rsidRDefault="00A36421" w:rsidP="00A36421">
      <w:pPr>
        <w:pStyle w:val="ListParagraph"/>
        <w:numPr>
          <w:ilvl w:val="0"/>
          <w:numId w:val="1"/>
        </w:numPr>
        <w:tabs>
          <w:tab w:val="left" w:pos="360"/>
        </w:tabs>
        <w:spacing w:after="0" w:line="480" w:lineRule="auto"/>
        <w:jc w:val="both"/>
        <w:rPr>
          <w:b/>
          <w:sz w:val="24"/>
          <w:szCs w:val="24"/>
        </w:rPr>
      </w:pPr>
      <w:r w:rsidRPr="00A36421">
        <w:rPr>
          <w:b/>
          <w:sz w:val="24"/>
          <w:szCs w:val="24"/>
        </w:rPr>
        <w:t>ARGUMENT</w:t>
      </w:r>
    </w:p>
    <w:p w14:paraId="7101AE8C" w14:textId="77777777" w:rsidR="00A36421" w:rsidRDefault="00A36421" w:rsidP="00A36421">
      <w:pPr>
        <w:pStyle w:val="ListParagraph"/>
        <w:numPr>
          <w:ilvl w:val="0"/>
          <w:numId w:val="8"/>
        </w:numPr>
        <w:tabs>
          <w:tab w:val="left" w:pos="360"/>
        </w:tabs>
        <w:spacing w:after="0" w:line="240" w:lineRule="auto"/>
        <w:jc w:val="both"/>
        <w:rPr>
          <w:b/>
          <w:sz w:val="24"/>
          <w:szCs w:val="24"/>
        </w:rPr>
      </w:pPr>
      <w:r>
        <w:rPr>
          <w:b/>
          <w:sz w:val="24"/>
          <w:szCs w:val="24"/>
        </w:rPr>
        <w:t>“Need” under R.C. 4928.143(B)(2)(c) relates to generation and capacity to maintain reliability</w:t>
      </w:r>
    </w:p>
    <w:p w14:paraId="44E871BC" w14:textId="77777777" w:rsidR="00A36421" w:rsidRPr="00A36421" w:rsidRDefault="00A36421" w:rsidP="00A36421">
      <w:pPr>
        <w:tabs>
          <w:tab w:val="left" w:pos="360"/>
        </w:tabs>
        <w:spacing w:after="0" w:line="240" w:lineRule="auto"/>
        <w:ind w:left="720"/>
        <w:jc w:val="both"/>
        <w:rPr>
          <w:b/>
          <w:sz w:val="24"/>
          <w:szCs w:val="24"/>
        </w:rPr>
      </w:pPr>
    </w:p>
    <w:p w14:paraId="00EF05BA" w14:textId="60395A4C" w:rsidR="00F1643C" w:rsidRDefault="00A36421" w:rsidP="00A36421">
      <w:pPr>
        <w:autoSpaceDE w:val="0"/>
        <w:autoSpaceDN w:val="0"/>
        <w:adjustRightInd w:val="0"/>
        <w:spacing w:after="0" w:line="480" w:lineRule="auto"/>
        <w:ind w:firstLine="720"/>
        <w:jc w:val="both"/>
        <w:rPr>
          <w:color w:val="070707"/>
          <w:sz w:val="24"/>
          <w:szCs w:val="24"/>
        </w:rPr>
      </w:pPr>
      <w:r>
        <w:rPr>
          <w:color w:val="070707"/>
          <w:sz w:val="24"/>
          <w:szCs w:val="24"/>
        </w:rPr>
        <w:t>Within the permissive sections of the ESP statute, an</w:t>
      </w:r>
      <w:r w:rsidR="007F2CE2">
        <w:rPr>
          <w:color w:val="070707"/>
          <w:sz w:val="24"/>
          <w:szCs w:val="24"/>
        </w:rPr>
        <w:t xml:space="preserve"> electric distribution utility (“</w:t>
      </w:r>
      <w:r>
        <w:rPr>
          <w:color w:val="070707"/>
          <w:sz w:val="24"/>
          <w:szCs w:val="24"/>
        </w:rPr>
        <w:t>EDU</w:t>
      </w:r>
      <w:r w:rsidR="007F2CE2">
        <w:rPr>
          <w:color w:val="070707"/>
          <w:sz w:val="24"/>
          <w:szCs w:val="24"/>
        </w:rPr>
        <w:t>”)</w:t>
      </w:r>
      <w:r>
        <w:rPr>
          <w:color w:val="070707"/>
          <w:sz w:val="24"/>
          <w:szCs w:val="24"/>
        </w:rPr>
        <w:t xml:space="preserve"> may request authority</w:t>
      </w:r>
      <w:r w:rsidR="00F1643C">
        <w:rPr>
          <w:color w:val="070707"/>
          <w:sz w:val="24"/>
          <w:szCs w:val="24"/>
        </w:rPr>
        <w:t xml:space="preserve"> to establish a non-</w:t>
      </w:r>
      <w:proofErr w:type="spellStart"/>
      <w:r w:rsidR="00F1643C">
        <w:rPr>
          <w:color w:val="070707"/>
          <w:sz w:val="24"/>
          <w:szCs w:val="24"/>
        </w:rPr>
        <w:t>bypassable</w:t>
      </w:r>
      <w:proofErr w:type="spellEnd"/>
      <w:r w:rsidR="00F1643C">
        <w:rPr>
          <w:color w:val="070707"/>
          <w:sz w:val="24"/>
          <w:szCs w:val="24"/>
        </w:rPr>
        <w:t xml:space="preserve"> surcharge related to a generating facility to the extent that certain conditions are satisfied.  Specifically, R.C. 4928.143(B)(2)(c) </w:t>
      </w:r>
      <w:r w:rsidR="008467A3">
        <w:rPr>
          <w:color w:val="070707"/>
          <w:sz w:val="24"/>
          <w:szCs w:val="24"/>
        </w:rPr>
        <w:t>permits</w:t>
      </w:r>
      <w:r w:rsidR="00F1643C">
        <w:rPr>
          <w:color w:val="070707"/>
          <w:sz w:val="24"/>
          <w:szCs w:val="24"/>
        </w:rPr>
        <w:t xml:space="preserve">: </w:t>
      </w:r>
    </w:p>
    <w:p w14:paraId="41A8AE44" w14:textId="6893AF48" w:rsidR="00F1643C" w:rsidRDefault="00F1643C" w:rsidP="00F1643C">
      <w:pPr>
        <w:autoSpaceDE w:val="0"/>
        <w:autoSpaceDN w:val="0"/>
        <w:adjustRightInd w:val="0"/>
        <w:spacing w:after="0" w:line="240" w:lineRule="auto"/>
        <w:ind w:left="720" w:right="720"/>
        <w:jc w:val="both"/>
        <w:rPr>
          <w:color w:val="000000"/>
          <w:sz w:val="24"/>
          <w:szCs w:val="24"/>
          <w:shd w:val="clear" w:color="auto" w:fill="FFFFFF"/>
        </w:rPr>
      </w:pPr>
      <w:r w:rsidRPr="00F1643C">
        <w:rPr>
          <w:color w:val="000000"/>
          <w:sz w:val="24"/>
          <w:szCs w:val="24"/>
          <w:shd w:val="clear" w:color="auto" w:fill="FFFFFF"/>
        </w:rPr>
        <w:lastRenderedPageBreak/>
        <w:t xml:space="preserve">The establishment of a </w:t>
      </w:r>
      <w:proofErr w:type="spellStart"/>
      <w:r w:rsidRPr="00F1643C">
        <w:rPr>
          <w:color w:val="000000"/>
          <w:sz w:val="24"/>
          <w:szCs w:val="24"/>
          <w:shd w:val="clear" w:color="auto" w:fill="FFFFFF"/>
        </w:rPr>
        <w:t>nonbypassable</w:t>
      </w:r>
      <w:proofErr w:type="spellEnd"/>
      <w:r w:rsidRPr="00F1643C">
        <w:rPr>
          <w:color w:val="000000"/>
          <w:sz w:val="24"/>
          <w:szCs w:val="24"/>
          <w:shd w:val="clear" w:color="auto" w:fill="FFFFFF"/>
        </w:rPr>
        <w:t xml:space="preserve"> surcharge for the life of an electric generating facility that is owned or operated by the electric distribution utility, was sourced through a competitive bid process subject to any such rules as the commission adopts under division (B)(2)(b) of this section, and is newly used and useful on or after January 1, 2009, which surcharge shall cover all costs of the utility specified in the application, excluding costs recovered through a surcharge under division (B)(2)(b) of this section. However, no surcharge shall be authorized unless the commission first determines in the proceeding that there is need for the facility based on resource planning projections submitted by the electric distribution utility. Additionally, if a surcharge is authorized for a facility pursuant to plan approval under division (C) of this section and as a condition of the continuation of the surcharge, the electric distribution utility shall dedicate to Ohio consumers the capacity and energy and the rate associated with the cost of that facility. Before the commission authorizes any surcharge pursuant to this division, it may consider, as applicable, the effects of any decommissioning, deratings, and retirements.</w:t>
      </w:r>
    </w:p>
    <w:p w14:paraId="144A5D23" w14:textId="77777777" w:rsidR="00F1643C" w:rsidRDefault="00F1643C" w:rsidP="00F1643C">
      <w:pPr>
        <w:autoSpaceDE w:val="0"/>
        <w:autoSpaceDN w:val="0"/>
        <w:adjustRightInd w:val="0"/>
        <w:spacing w:after="0" w:line="240" w:lineRule="auto"/>
        <w:ind w:right="720"/>
        <w:jc w:val="both"/>
        <w:rPr>
          <w:color w:val="000000"/>
          <w:sz w:val="24"/>
          <w:szCs w:val="24"/>
          <w:shd w:val="clear" w:color="auto" w:fill="FFFFFF"/>
        </w:rPr>
      </w:pPr>
    </w:p>
    <w:p w14:paraId="1777C9BB" w14:textId="127342AB" w:rsidR="00F1643C" w:rsidRDefault="00F1643C" w:rsidP="6AF121AF">
      <w:pPr>
        <w:spacing w:line="480" w:lineRule="auto"/>
        <w:jc w:val="both"/>
        <w:rPr>
          <w:color w:val="000000" w:themeColor="text1"/>
          <w:sz w:val="24"/>
          <w:szCs w:val="24"/>
        </w:rPr>
      </w:pPr>
      <w:r w:rsidRPr="00FC73F3">
        <w:rPr>
          <w:color w:val="000000"/>
          <w:sz w:val="24"/>
          <w:szCs w:val="24"/>
          <w:shd w:val="clear" w:color="auto" w:fill="FFFFFF"/>
        </w:rPr>
        <w:t xml:space="preserve">In interpreting a statute, </w:t>
      </w:r>
      <w:r w:rsidR="00A4758A">
        <w:rPr>
          <w:sz w:val="24"/>
          <w:szCs w:val="24"/>
        </w:rPr>
        <w:t>t</w:t>
      </w:r>
      <w:r w:rsidR="00FC73F3" w:rsidRPr="00FC73F3">
        <w:rPr>
          <w:sz w:val="24"/>
          <w:szCs w:val="24"/>
        </w:rPr>
        <w:t xml:space="preserve">he “paramount concern in construing a statute is legislative intent.” </w:t>
      </w:r>
      <w:r w:rsidR="00FC73F3" w:rsidRPr="6AF121AF">
        <w:rPr>
          <w:i/>
          <w:iCs/>
          <w:sz w:val="24"/>
          <w:szCs w:val="24"/>
        </w:rPr>
        <w:t>Ohio Neighborhood Finance, Inc. v. Scott</w:t>
      </w:r>
      <w:r w:rsidR="00FC73F3" w:rsidRPr="00FC73F3">
        <w:rPr>
          <w:sz w:val="24"/>
          <w:szCs w:val="24"/>
        </w:rPr>
        <w:t>, 139 Ohio St.3d 536</w:t>
      </w:r>
      <w:r w:rsidR="00146050">
        <w:rPr>
          <w:sz w:val="24"/>
          <w:szCs w:val="24"/>
        </w:rPr>
        <w:t xml:space="preserve"> at </w:t>
      </w:r>
      <w:r w:rsidR="00FC73F3" w:rsidRPr="00FC73F3">
        <w:rPr>
          <w:sz w:val="24"/>
          <w:szCs w:val="24"/>
        </w:rPr>
        <w:t>¶ 22</w:t>
      </w:r>
      <w:r w:rsidR="00146050">
        <w:rPr>
          <w:sz w:val="24"/>
          <w:szCs w:val="24"/>
        </w:rPr>
        <w:t xml:space="preserve"> (2014)</w:t>
      </w:r>
      <w:r w:rsidR="00FC73F3" w:rsidRPr="00FC73F3">
        <w:rPr>
          <w:sz w:val="24"/>
          <w:szCs w:val="24"/>
        </w:rPr>
        <w:t xml:space="preserve">. </w:t>
      </w:r>
      <w:r w:rsidR="00FC73F3">
        <w:rPr>
          <w:sz w:val="24"/>
          <w:szCs w:val="24"/>
        </w:rPr>
        <w:t>A</w:t>
      </w:r>
      <w:r w:rsidR="00FC73F3" w:rsidRPr="00FC73F3">
        <w:rPr>
          <w:sz w:val="24"/>
          <w:szCs w:val="24"/>
        </w:rPr>
        <w:t xml:space="preserve">ll statutes which relate to the same general subject matter must be read in </w:t>
      </w:r>
      <w:proofErr w:type="spellStart"/>
      <w:r w:rsidR="00FC73F3" w:rsidRPr="6AF121AF">
        <w:rPr>
          <w:i/>
          <w:iCs/>
          <w:sz w:val="24"/>
          <w:szCs w:val="24"/>
        </w:rPr>
        <w:t>pari</w:t>
      </w:r>
      <w:proofErr w:type="spellEnd"/>
      <w:r w:rsidR="00FC73F3" w:rsidRPr="6AF121AF">
        <w:rPr>
          <w:i/>
          <w:iCs/>
          <w:sz w:val="24"/>
          <w:szCs w:val="24"/>
        </w:rPr>
        <w:t xml:space="preserve"> </w:t>
      </w:r>
      <w:proofErr w:type="spellStart"/>
      <w:r w:rsidR="00FC73F3" w:rsidRPr="6AF121AF">
        <w:rPr>
          <w:i/>
          <w:iCs/>
          <w:sz w:val="24"/>
          <w:szCs w:val="24"/>
        </w:rPr>
        <w:t>materia</w:t>
      </w:r>
      <w:proofErr w:type="spellEnd"/>
      <w:r w:rsidR="00FC73F3" w:rsidRPr="00FC73F3">
        <w:rPr>
          <w:sz w:val="24"/>
          <w:szCs w:val="24"/>
        </w:rPr>
        <w:t xml:space="preserve">. </w:t>
      </w:r>
      <w:r w:rsidR="00FC73F3" w:rsidRPr="6AF121AF">
        <w:rPr>
          <w:i/>
          <w:iCs/>
          <w:sz w:val="24"/>
          <w:szCs w:val="24"/>
        </w:rPr>
        <w:t>See Maxfield v. Brooks</w:t>
      </w:r>
      <w:r w:rsidR="00FC73F3">
        <w:rPr>
          <w:sz w:val="24"/>
          <w:szCs w:val="24"/>
        </w:rPr>
        <w:t>,</w:t>
      </w:r>
      <w:r w:rsidR="00FC73F3" w:rsidRPr="00FC73F3">
        <w:rPr>
          <w:sz w:val="24"/>
          <w:szCs w:val="24"/>
        </w:rPr>
        <w:t xml:space="preserve"> 110 Ohio St. 566</w:t>
      </w:r>
      <w:r w:rsidR="00FC73F3">
        <w:rPr>
          <w:sz w:val="24"/>
          <w:szCs w:val="24"/>
        </w:rPr>
        <w:t xml:space="preserve"> (1924)</w:t>
      </w:r>
      <w:r w:rsidR="00FC73F3" w:rsidRPr="00FC73F3">
        <w:rPr>
          <w:sz w:val="24"/>
          <w:szCs w:val="24"/>
        </w:rPr>
        <w:t xml:space="preserve">. </w:t>
      </w:r>
      <w:r w:rsidR="00FC73F3" w:rsidRPr="00FC73F3">
        <w:rPr>
          <w:color w:val="222222"/>
          <w:sz w:val="24"/>
          <w:szCs w:val="24"/>
          <w:shd w:val="clear" w:color="auto" w:fill="FFFFFF"/>
        </w:rPr>
        <w:t>All provisions of the Revised Code bearing upon the same subject matter should be construed harmoniously</w:t>
      </w:r>
      <w:r w:rsidR="00FC73F3" w:rsidRPr="008A25EA">
        <w:rPr>
          <w:i/>
          <w:color w:val="222222"/>
          <w:sz w:val="24"/>
          <w:szCs w:val="24"/>
          <w:shd w:val="clear" w:color="auto" w:fill="FFFFFF"/>
        </w:rPr>
        <w:t>.</w:t>
      </w:r>
      <w:r w:rsidR="00E92CEC" w:rsidRPr="008A25EA">
        <w:rPr>
          <w:i/>
        </w:rPr>
        <w:t xml:space="preserve"> </w:t>
      </w:r>
      <w:proofErr w:type="spellStart"/>
      <w:r w:rsidR="00E92CEC" w:rsidRPr="008A25EA">
        <w:rPr>
          <w:i/>
          <w:color w:val="222222"/>
          <w:sz w:val="24"/>
          <w:szCs w:val="24"/>
          <w:shd w:val="clear" w:color="auto" w:fill="FFFFFF"/>
        </w:rPr>
        <w:t>Couts</w:t>
      </w:r>
      <w:proofErr w:type="spellEnd"/>
      <w:r w:rsidR="00E92CEC" w:rsidRPr="008A25EA">
        <w:rPr>
          <w:i/>
          <w:color w:val="222222"/>
          <w:sz w:val="24"/>
          <w:szCs w:val="24"/>
          <w:shd w:val="clear" w:color="auto" w:fill="FFFFFF"/>
        </w:rPr>
        <w:t xml:space="preserve"> v. Rose</w:t>
      </w:r>
      <w:r w:rsidR="00E92CEC" w:rsidRPr="00E92CEC">
        <w:rPr>
          <w:color w:val="222222"/>
          <w:sz w:val="24"/>
          <w:szCs w:val="24"/>
          <w:shd w:val="clear" w:color="auto" w:fill="FFFFFF"/>
        </w:rPr>
        <w:t>, 152 Ohio St. 458</w:t>
      </w:r>
      <w:r w:rsidR="008A25EA">
        <w:rPr>
          <w:color w:val="222222"/>
          <w:sz w:val="24"/>
          <w:szCs w:val="24"/>
          <w:shd w:val="clear" w:color="auto" w:fill="FFFFFF"/>
        </w:rPr>
        <w:t>, 461</w:t>
      </w:r>
      <w:r w:rsidR="00E92CEC">
        <w:rPr>
          <w:color w:val="222222"/>
          <w:sz w:val="24"/>
          <w:szCs w:val="24"/>
          <w:shd w:val="clear" w:color="auto" w:fill="FFFFFF"/>
        </w:rPr>
        <w:t xml:space="preserve"> (1950).</w:t>
      </w:r>
      <w:r w:rsidR="00FC73F3">
        <w:rPr>
          <w:color w:val="222222"/>
          <w:sz w:val="24"/>
          <w:szCs w:val="24"/>
          <w:shd w:val="clear" w:color="auto" w:fill="FFFFFF"/>
        </w:rPr>
        <w:t xml:space="preserve">  Finally, the Court has determined that statutory construction should seek to avoid absurd results.</w:t>
      </w:r>
      <w:r w:rsidR="009238D9" w:rsidRPr="009238D9">
        <w:t xml:space="preserve"> </w:t>
      </w:r>
      <w:r w:rsidR="009238D9" w:rsidRPr="009238D9">
        <w:rPr>
          <w:i/>
          <w:color w:val="222222"/>
          <w:sz w:val="24"/>
          <w:szCs w:val="24"/>
          <w:shd w:val="clear" w:color="auto" w:fill="FFFFFF"/>
        </w:rPr>
        <w:t xml:space="preserve">Gulf Oil Corp. v. </w:t>
      </w:r>
      <w:proofErr w:type="spellStart"/>
      <w:r w:rsidR="009238D9" w:rsidRPr="009238D9">
        <w:rPr>
          <w:i/>
          <w:color w:val="222222"/>
          <w:sz w:val="24"/>
          <w:szCs w:val="24"/>
          <w:shd w:val="clear" w:color="auto" w:fill="FFFFFF"/>
        </w:rPr>
        <w:t>Kosydar</w:t>
      </w:r>
      <w:proofErr w:type="spellEnd"/>
      <w:r w:rsidR="009238D9" w:rsidRPr="009238D9">
        <w:rPr>
          <w:color w:val="222222"/>
          <w:sz w:val="24"/>
          <w:szCs w:val="24"/>
          <w:shd w:val="clear" w:color="auto" w:fill="FFFFFF"/>
        </w:rPr>
        <w:t>, 44 Ohio St.2d 20</w:t>
      </w:r>
      <w:r w:rsidR="00624331">
        <w:rPr>
          <w:color w:val="222222"/>
          <w:sz w:val="24"/>
          <w:szCs w:val="24"/>
          <w:shd w:val="clear" w:color="auto" w:fill="FFFFFF"/>
        </w:rPr>
        <w:t>8</w:t>
      </w:r>
      <w:r w:rsidR="00576D1F">
        <w:rPr>
          <w:color w:val="222222"/>
          <w:sz w:val="24"/>
          <w:szCs w:val="24"/>
          <w:shd w:val="clear" w:color="auto" w:fill="FFFFFF"/>
        </w:rPr>
        <w:t>, 217</w:t>
      </w:r>
      <w:r w:rsidR="00624331">
        <w:rPr>
          <w:sz w:val="24"/>
          <w:szCs w:val="24"/>
        </w:rPr>
        <w:t xml:space="preserve"> (1975).</w:t>
      </w:r>
      <w:r w:rsidRPr="00FC73F3">
        <w:rPr>
          <w:color w:val="000000"/>
          <w:sz w:val="24"/>
          <w:szCs w:val="24"/>
          <w:shd w:val="clear" w:color="auto" w:fill="FFFFFF"/>
        </w:rPr>
        <w:t xml:space="preserve">     </w:t>
      </w:r>
    </w:p>
    <w:p w14:paraId="07D56E5C" w14:textId="7268D8AE" w:rsidR="00A639CF" w:rsidRDefault="00F1643C" w:rsidP="001B25AE">
      <w:pPr>
        <w:spacing w:line="480" w:lineRule="auto"/>
        <w:ind w:firstLine="720"/>
        <w:jc w:val="both"/>
        <w:rPr>
          <w:color w:val="000000"/>
          <w:sz w:val="24"/>
          <w:szCs w:val="24"/>
          <w:shd w:val="clear" w:color="auto" w:fill="FFFFFF"/>
        </w:rPr>
      </w:pPr>
      <w:r w:rsidRPr="00FC73F3">
        <w:rPr>
          <w:color w:val="000000"/>
          <w:sz w:val="24"/>
          <w:szCs w:val="24"/>
          <w:shd w:val="clear" w:color="auto" w:fill="FFFFFF"/>
        </w:rPr>
        <w:t>Based upon the plain language of the ESP statute, the balance of Chapter</w:t>
      </w:r>
      <w:r>
        <w:rPr>
          <w:color w:val="000000"/>
          <w:sz w:val="24"/>
          <w:szCs w:val="24"/>
          <w:shd w:val="clear" w:color="auto" w:fill="FFFFFF"/>
        </w:rPr>
        <w:t xml:space="preserve"> 4928, and historical context regarding the passage of SB 221, </w:t>
      </w:r>
      <w:proofErr w:type="gramStart"/>
      <w:r>
        <w:rPr>
          <w:color w:val="000000"/>
          <w:sz w:val="24"/>
          <w:szCs w:val="24"/>
          <w:shd w:val="clear" w:color="auto" w:fill="FFFFFF"/>
        </w:rPr>
        <w:t>it is clear</w:t>
      </w:r>
      <w:r w:rsidR="00896055">
        <w:rPr>
          <w:color w:val="000000"/>
          <w:sz w:val="24"/>
          <w:szCs w:val="24"/>
          <w:shd w:val="clear" w:color="auto" w:fill="FFFFFF"/>
        </w:rPr>
        <w:t xml:space="preserve"> that AEP</w:t>
      </w:r>
      <w:proofErr w:type="gramEnd"/>
      <w:r w:rsidR="00896055">
        <w:rPr>
          <w:color w:val="000000"/>
          <w:sz w:val="24"/>
          <w:szCs w:val="24"/>
          <w:shd w:val="clear" w:color="auto" w:fill="FFFFFF"/>
        </w:rPr>
        <w:t xml:space="preserve"> Ohio</w:t>
      </w:r>
      <w:r w:rsidR="00C43586">
        <w:rPr>
          <w:color w:val="000000"/>
          <w:sz w:val="24"/>
          <w:szCs w:val="24"/>
          <w:shd w:val="clear" w:color="auto" w:fill="FFFFFF"/>
        </w:rPr>
        <w:t xml:space="preserve">’s proposal is a </w:t>
      </w:r>
      <w:r w:rsidR="00A4758A">
        <w:rPr>
          <w:color w:val="000000"/>
          <w:sz w:val="24"/>
          <w:szCs w:val="24"/>
          <w:shd w:val="clear" w:color="auto" w:fill="FFFFFF"/>
        </w:rPr>
        <w:t>misguided attempt to jam a</w:t>
      </w:r>
      <w:r w:rsidR="00C43586">
        <w:rPr>
          <w:color w:val="000000"/>
          <w:sz w:val="24"/>
          <w:szCs w:val="24"/>
          <w:shd w:val="clear" w:color="auto" w:fill="FFFFFF"/>
        </w:rPr>
        <w:t xml:space="preserve"> round peg in a square hole.</w:t>
      </w:r>
      <w:r w:rsidR="004B27FF">
        <w:rPr>
          <w:color w:val="000000"/>
          <w:sz w:val="24"/>
          <w:szCs w:val="24"/>
          <w:shd w:val="clear" w:color="auto" w:fill="FFFFFF"/>
        </w:rPr>
        <w:t xml:space="preserve">  “[R]</w:t>
      </w:r>
      <w:proofErr w:type="spellStart"/>
      <w:r w:rsidR="004B27FF">
        <w:rPr>
          <w:color w:val="000000"/>
          <w:sz w:val="24"/>
          <w:szCs w:val="24"/>
          <w:shd w:val="clear" w:color="auto" w:fill="FFFFFF"/>
        </w:rPr>
        <w:t>esource</w:t>
      </w:r>
      <w:proofErr w:type="spellEnd"/>
      <w:r w:rsidR="004B27FF">
        <w:rPr>
          <w:color w:val="000000"/>
          <w:sz w:val="24"/>
          <w:szCs w:val="24"/>
          <w:shd w:val="clear" w:color="auto" w:fill="FFFFFF"/>
        </w:rPr>
        <w:t xml:space="preserve"> planning projections</w:t>
      </w:r>
      <w:r w:rsidR="00A62D32">
        <w:rPr>
          <w:color w:val="000000"/>
          <w:sz w:val="24"/>
          <w:szCs w:val="24"/>
          <w:shd w:val="clear" w:color="auto" w:fill="FFFFFF"/>
        </w:rPr>
        <w:t xml:space="preserve">” submitted pursuant to R.C. 4935.04 are required to ensure that there is no imbalance between supply and demand.  </w:t>
      </w:r>
      <w:r w:rsidR="0064431D">
        <w:rPr>
          <w:color w:val="000000"/>
          <w:sz w:val="24"/>
          <w:szCs w:val="24"/>
          <w:shd w:val="clear" w:color="auto" w:fill="FFFFFF"/>
        </w:rPr>
        <w:t>I</w:t>
      </w:r>
      <w:r w:rsidR="00A62D32">
        <w:rPr>
          <w:color w:val="000000"/>
          <w:sz w:val="24"/>
          <w:szCs w:val="24"/>
          <w:shd w:val="clear" w:color="auto" w:fill="FFFFFF"/>
        </w:rPr>
        <w:t>f an imbalance is identified</w:t>
      </w:r>
      <w:r w:rsidR="00F3401B">
        <w:rPr>
          <w:color w:val="000000"/>
          <w:sz w:val="24"/>
          <w:szCs w:val="24"/>
          <w:shd w:val="clear" w:color="auto" w:fill="FFFFFF"/>
        </w:rPr>
        <w:t>, then a utility</w:t>
      </w:r>
      <w:r w:rsidR="003678DE">
        <w:rPr>
          <w:color w:val="000000"/>
          <w:sz w:val="24"/>
          <w:szCs w:val="24"/>
          <w:shd w:val="clear" w:color="auto" w:fill="FFFFFF"/>
        </w:rPr>
        <w:t xml:space="preserve"> can request in an ESP t</w:t>
      </w:r>
      <w:r w:rsidR="00FD3236">
        <w:rPr>
          <w:color w:val="000000"/>
          <w:sz w:val="24"/>
          <w:szCs w:val="24"/>
          <w:shd w:val="clear" w:color="auto" w:fill="FFFFFF"/>
        </w:rPr>
        <w:t>hat the Commission</w:t>
      </w:r>
      <w:r w:rsidR="003678DE">
        <w:rPr>
          <w:color w:val="000000"/>
          <w:sz w:val="24"/>
          <w:szCs w:val="24"/>
          <w:shd w:val="clear" w:color="auto" w:fill="FFFFFF"/>
        </w:rPr>
        <w:t xml:space="preserve"> find</w:t>
      </w:r>
      <w:r w:rsidR="00FD3236">
        <w:rPr>
          <w:color w:val="000000"/>
          <w:sz w:val="24"/>
          <w:szCs w:val="24"/>
          <w:shd w:val="clear" w:color="auto" w:fill="FFFFFF"/>
        </w:rPr>
        <w:t xml:space="preserve"> that there is</w:t>
      </w:r>
      <w:r w:rsidR="003678DE">
        <w:rPr>
          <w:color w:val="000000"/>
          <w:sz w:val="24"/>
          <w:szCs w:val="24"/>
          <w:shd w:val="clear" w:color="auto" w:fill="FFFFFF"/>
        </w:rPr>
        <w:t xml:space="preserve"> need to</w:t>
      </w:r>
      <w:r w:rsidR="00FD3236">
        <w:rPr>
          <w:color w:val="000000"/>
          <w:sz w:val="24"/>
          <w:szCs w:val="24"/>
          <w:shd w:val="clear" w:color="auto" w:fill="FFFFFF"/>
        </w:rPr>
        <w:t xml:space="preserve"> </w:t>
      </w:r>
      <w:r w:rsidR="00E61DB1">
        <w:rPr>
          <w:color w:val="000000"/>
          <w:sz w:val="24"/>
          <w:szCs w:val="24"/>
          <w:shd w:val="clear" w:color="auto" w:fill="FFFFFF"/>
        </w:rPr>
        <w:t xml:space="preserve">construct a </w:t>
      </w:r>
      <w:r w:rsidR="00E61DB1">
        <w:rPr>
          <w:color w:val="000000"/>
          <w:sz w:val="24"/>
          <w:szCs w:val="24"/>
          <w:shd w:val="clear" w:color="auto" w:fill="FFFFFF"/>
        </w:rPr>
        <w:lastRenderedPageBreak/>
        <w:t xml:space="preserve">new generating facility.  Such a determination, however, cannot be based upon a desire for renewable energy—there is a completely different statute and policy framework in place to support the procurement and development of renewable energy.  </w:t>
      </w:r>
    </w:p>
    <w:p w14:paraId="6CE94ADF" w14:textId="447DE81E" w:rsidR="00F1643C" w:rsidRPr="00105437" w:rsidRDefault="00A639CF" w:rsidP="0057560C">
      <w:pPr>
        <w:spacing w:line="480" w:lineRule="auto"/>
        <w:ind w:firstLine="720"/>
        <w:jc w:val="both"/>
        <w:rPr>
          <w:color w:val="000000"/>
          <w:sz w:val="24"/>
          <w:szCs w:val="24"/>
          <w:shd w:val="clear" w:color="auto" w:fill="FFFFFF"/>
        </w:rPr>
      </w:pPr>
      <w:r>
        <w:rPr>
          <w:color w:val="000000"/>
          <w:sz w:val="24"/>
          <w:szCs w:val="24"/>
          <w:shd w:val="clear" w:color="auto" w:fill="FFFFFF"/>
        </w:rPr>
        <w:t>I</w:t>
      </w:r>
      <w:r w:rsidR="00105437">
        <w:rPr>
          <w:color w:val="000000"/>
          <w:sz w:val="24"/>
          <w:szCs w:val="24"/>
          <w:shd w:val="clear" w:color="auto" w:fill="FFFFFF"/>
        </w:rPr>
        <w:t>n any event,</w:t>
      </w:r>
      <w:r w:rsidR="00F1643C">
        <w:rPr>
          <w:color w:val="000000"/>
          <w:sz w:val="24"/>
          <w:szCs w:val="24"/>
          <w:shd w:val="clear" w:color="auto" w:fill="FFFFFF"/>
        </w:rPr>
        <w:t xml:space="preserve"> </w:t>
      </w:r>
      <w:r w:rsidR="00F1643C" w:rsidRPr="6AF121AF">
        <w:rPr>
          <w:i/>
          <w:iCs/>
          <w:color w:val="000000"/>
          <w:sz w:val="24"/>
          <w:szCs w:val="24"/>
          <w:shd w:val="clear" w:color="auto" w:fill="FFFFFF"/>
        </w:rPr>
        <w:t xml:space="preserve">want </w:t>
      </w:r>
      <w:r w:rsidR="00105437">
        <w:rPr>
          <w:color w:val="000000"/>
          <w:sz w:val="24"/>
          <w:szCs w:val="24"/>
          <w:shd w:val="clear" w:color="auto" w:fill="FFFFFF"/>
        </w:rPr>
        <w:t>does not translate to</w:t>
      </w:r>
      <w:r w:rsidR="00F1643C" w:rsidRPr="6AF121AF">
        <w:rPr>
          <w:color w:val="000000"/>
          <w:sz w:val="24"/>
          <w:szCs w:val="24"/>
          <w:shd w:val="clear" w:color="auto" w:fill="FFFFFF"/>
        </w:rPr>
        <w:t xml:space="preserve"> </w:t>
      </w:r>
      <w:r w:rsidR="00F1643C" w:rsidRPr="00A639CF">
        <w:rPr>
          <w:i/>
          <w:color w:val="000000"/>
          <w:sz w:val="24"/>
          <w:szCs w:val="24"/>
          <w:shd w:val="clear" w:color="auto" w:fill="FFFFFF"/>
        </w:rPr>
        <w:t>need</w:t>
      </w:r>
      <w:r w:rsidR="00F1643C" w:rsidRPr="6AF121AF">
        <w:rPr>
          <w:color w:val="000000"/>
          <w:sz w:val="24"/>
          <w:szCs w:val="24"/>
          <w:shd w:val="clear" w:color="auto" w:fill="FFFFFF"/>
        </w:rPr>
        <w:t xml:space="preserve"> </w:t>
      </w:r>
      <w:r w:rsidR="00105437">
        <w:rPr>
          <w:color w:val="000000"/>
          <w:sz w:val="24"/>
          <w:szCs w:val="24"/>
          <w:shd w:val="clear" w:color="auto" w:fill="FFFFFF"/>
        </w:rPr>
        <w:t xml:space="preserve">because they </w:t>
      </w:r>
      <w:r w:rsidR="00F1643C" w:rsidRPr="6AF121AF">
        <w:rPr>
          <w:color w:val="000000"/>
          <w:sz w:val="24"/>
          <w:szCs w:val="24"/>
          <w:shd w:val="clear" w:color="auto" w:fill="FFFFFF"/>
        </w:rPr>
        <w:t>are not the same thing.</w:t>
      </w:r>
      <w:r w:rsidR="001B25AE">
        <w:rPr>
          <w:color w:val="000000"/>
          <w:sz w:val="24"/>
          <w:szCs w:val="24"/>
          <w:shd w:val="clear" w:color="auto" w:fill="FFFFFF"/>
        </w:rPr>
        <w:t xml:space="preserve"> </w:t>
      </w:r>
      <w:r>
        <w:rPr>
          <w:color w:val="000000"/>
          <w:sz w:val="24"/>
          <w:szCs w:val="24"/>
          <w:shd w:val="clear" w:color="auto" w:fill="FFFFFF"/>
        </w:rPr>
        <w:t xml:space="preserve"> </w:t>
      </w:r>
      <w:r w:rsidR="005D3BD1">
        <w:rPr>
          <w:color w:val="000000"/>
          <w:sz w:val="24"/>
          <w:szCs w:val="24"/>
          <w:shd w:val="clear" w:color="auto" w:fill="FFFFFF"/>
        </w:rPr>
        <w:t>As</w:t>
      </w:r>
      <w:r>
        <w:rPr>
          <w:color w:val="000000"/>
          <w:sz w:val="24"/>
          <w:szCs w:val="24"/>
          <w:shd w:val="clear" w:color="auto" w:fill="FFFFFF"/>
        </w:rPr>
        <w:t xml:space="preserve"> </w:t>
      </w:r>
      <w:r w:rsidR="00243567">
        <w:rPr>
          <w:color w:val="000000"/>
          <w:sz w:val="24"/>
          <w:szCs w:val="24"/>
          <w:shd w:val="clear" w:color="auto" w:fill="FFFFFF"/>
        </w:rPr>
        <w:t>I</w:t>
      </w:r>
      <w:r w:rsidR="008F0314">
        <w:rPr>
          <w:color w:val="000000"/>
          <w:sz w:val="24"/>
          <w:szCs w:val="24"/>
          <w:shd w:val="clear" w:color="auto" w:fill="FFFFFF"/>
        </w:rPr>
        <w:t xml:space="preserve">GS witness </w:t>
      </w:r>
      <w:r w:rsidR="005D3BD1">
        <w:rPr>
          <w:color w:val="000000"/>
          <w:sz w:val="24"/>
          <w:szCs w:val="24"/>
          <w:shd w:val="clear" w:color="auto" w:fill="FFFFFF"/>
        </w:rPr>
        <w:t xml:space="preserve">White </w:t>
      </w:r>
      <w:r w:rsidR="008F0314">
        <w:rPr>
          <w:color w:val="000000"/>
          <w:sz w:val="24"/>
          <w:szCs w:val="24"/>
          <w:shd w:val="clear" w:color="auto" w:fill="FFFFFF"/>
        </w:rPr>
        <w:t>testified</w:t>
      </w:r>
      <w:r w:rsidR="005D3BD1">
        <w:rPr>
          <w:color w:val="000000"/>
          <w:sz w:val="24"/>
          <w:szCs w:val="24"/>
          <w:shd w:val="clear" w:color="auto" w:fill="FFFFFF"/>
        </w:rPr>
        <w:t xml:space="preserve">, </w:t>
      </w:r>
      <w:r w:rsidR="00DA1FE7">
        <w:rPr>
          <w:color w:val="000000"/>
          <w:sz w:val="24"/>
          <w:szCs w:val="24"/>
          <w:shd w:val="clear" w:color="auto" w:fill="FFFFFF"/>
        </w:rPr>
        <w:t>there is a</w:t>
      </w:r>
      <w:r w:rsidR="00003BA7">
        <w:rPr>
          <w:color w:val="000000"/>
          <w:sz w:val="24"/>
          <w:szCs w:val="24"/>
          <w:shd w:val="clear" w:color="auto" w:fill="FFFFFF"/>
        </w:rPr>
        <w:t xml:space="preserve"> “big</w:t>
      </w:r>
      <w:r w:rsidR="00DA1FE7">
        <w:rPr>
          <w:color w:val="000000"/>
          <w:sz w:val="24"/>
          <w:szCs w:val="24"/>
          <w:shd w:val="clear" w:color="auto" w:fill="FFFFFF"/>
        </w:rPr>
        <w:t xml:space="preserve"> difference </w:t>
      </w:r>
      <w:r w:rsidR="00003BA7">
        <w:rPr>
          <w:color w:val="000000"/>
          <w:sz w:val="24"/>
          <w:szCs w:val="24"/>
          <w:shd w:val="clear" w:color="auto" w:fill="FFFFFF"/>
        </w:rPr>
        <w:t>between a ‘want’ and a ‘need.’</w:t>
      </w:r>
      <w:r w:rsidR="00F1643C" w:rsidRPr="6AF121AF">
        <w:rPr>
          <w:color w:val="000000"/>
          <w:sz w:val="24"/>
          <w:szCs w:val="24"/>
          <w:shd w:val="clear" w:color="auto" w:fill="FFFFFF"/>
        </w:rPr>
        <w:t xml:space="preserve">  </w:t>
      </w:r>
      <w:r w:rsidR="00FF6DFE">
        <w:rPr>
          <w:color w:val="000000"/>
          <w:sz w:val="24"/>
          <w:szCs w:val="24"/>
          <w:shd w:val="clear" w:color="auto" w:fill="FFFFFF"/>
        </w:rPr>
        <w:t xml:space="preserve">A want is something you desire to </w:t>
      </w:r>
      <w:r w:rsidR="00FF6DFE" w:rsidRPr="00FF6DFE">
        <w:rPr>
          <w:color w:val="000000"/>
          <w:sz w:val="24"/>
          <w:szCs w:val="24"/>
          <w:shd w:val="clear" w:color="auto" w:fill="FFFFFF"/>
        </w:rPr>
        <w:t>have, but it is not actually needed</w:t>
      </w:r>
      <w:r w:rsidR="00FF6DFE">
        <w:rPr>
          <w:color w:val="000000"/>
          <w:sz w:val="24"/>
          <w:szCs w:val="24"/>
          <w:shd w:val="clear" w:color="auto" w:fill="FFFFFF"/>
        </w:rPr>
        <w:t>.”</w:t>
      </w:r>
      <w:r w:rsidR="0057560C">
        <w:rPr>
          <w:rStyle w:val="FootnoteReference"/>
          <w:color w:val="000000"/>
          <w:sz w:val="24"/>
          <w:szCs w:val="24"/>
          <w:shd w:val="clear" w:color="auto" w:fill="FFFFFF"/>
        </w:rPr>
        <w:footnoteReference w:id="14"/>
      </w:r>
      <w:r w:rsidR="00243567">
        <w:rPr>
          <w:color w:val="000000"/>
          <w:sz w:val="24"/>
          <w:szCs w:val="24"/>
          <w:shd w:val="clear" w:color="auto" w:fill="FFFFFF"/>
        </w:rPr>
        <w:t xml:space="preserve">  </w:t>
      </w:r>
      <w:r w:rsidR="005D3BD1">
        <w:rPr>
          <w:color w:val="000000"/>
          <w:sz w:val="24"/>
          <w:szCs w:val="24"/>
          <w:shd w:val="clear" w:color="auto" w:fill="FFFFFF"/>
        </w:rPr>
        <w:t xml:space="preserve">Thus, </w:t>
      </w:r>
      <w:r w:rsidR="008503DF">
        <w:rPr>
          <w:color w:val="000000"/>
          <w:sz w:val="24"/>
          <w:szCs w:val="24"/>
          <w:shd w:val="clear" w:color="auto" w:fill="FFFFFF"/>
        </w:rPr>
        <w:t xml:space="preserve">a finding of </w:t>
      </w:r>
      <w:r w:rsidR="00F1643C">
        <w:rPr>
          <w:color w:val="000000"/>
          <w:sz w:val="24"/>
          <w:szCs w:val="24"/>
          <w:shd w:val="clear" w:color="auto" w:fill="FFFFFF"/>
        </w:rPr>
        <w:t xml:space="preserve">“need” to construct a new generation facility under R.C. 4928.143(B)(2)(c) must be based upon the </w:t>
      </w:r>
      <w:r w:rsidR="005D3BD1">
        <w:rPr>
          <w:color w:val="000000"/>
          <w:sz w:val="24"/>
          <w:szCs w:val="24"/>
          <w:shd w:val="clear" w:color="auto" w:fill="FFFFFF"/>
        </w:rPr>
        <w:t>requirement</w:t>
      </w:r>
      <w:r w:rsidR="00F1643C">
        <w:rPr>
          <w:color w:val="000000"/>
          <w:sz w:val="24"/>
          <w:szCs w:val="24"/>
          <w:shd w:val="clear" w:color="auto" w:fill="FFFFFF"/>
        </w:rPr>
        <w:t xml:space="preserve"> for capacity and energy to maintain reliability</w:t>
      </w:r>
      <w:r w:rsidR="00FC73F3">
        <w:rPr>
          <w:color w:val="000000"/>
          <w:sz w:val="24"/>
          <w:szCs w:val="24"/>
          <w:shd w:val="clear" w:color="auto" w:fill="FFFFFF"/>
        </w:rPr>
        <w:t>—not the desire</w:t>
      </w:r>
      <w:r w:rsidR="009D380E">
        <w:rPr>
          <w:color w:val="000000"/>
          <w:sz w:val="24"/>
          <w:szCs w:val="24"/>
          <w:shd w:val="clear" w:color="auto" w:fill="FFFFFF"/>
        </w:rPr>
        <w:t>s of a few customers to</w:t>
      </w:r>
      <w:r w:rsidR="00794F0A">
        <w:rPr>
          <w:color w:val="000000"/>
          <w:sz w:val="24"/>
          <w:szCs w:val="24"/>
          <w:shd w:val="clear" w:color="auto" w:fill="FFFFFF"/>
        </w:rPr>
        <w:t xml:space="preserve"> </w:t>
      </w:r>
      <w:r w:rsidR="00AF2237">
        <w:rPr>
          <w:color w:val="000000"/>
          <w:sz w:val="24"/>
          <w:szCs w:val="24"/>
          <w:shd w:val="clear" w:color="auto" w:fill="FFFFFF"/>
        </w:rPr>
        <w:t>build</w:t>
      </w:r>
      <w:r w:rsidR="00FC73F3">
        <w:rPr>
          <w:color w:val="000000"/>
          <w:sz w:val="24"/>
          <w:szCs w:val="24"/>
          <w:shd w:val="clear" w:color="auto" w:fill="FFFFFF"/>
        </w:rPr>
        <w:t xml:space="preserve"> renewable generation</w:t>
      </w:r>
      <w:r w:rsidR="00794F0A">
        <w:rPr>
          <w:color w:val="000000"/>
          <w:sz w:val="24"/>
          <w:szCs w:val="24"/>
          <w:shd w:val="clear" w:color="auto" w:fill="FFFFFF"/>
        </w:rPr>
        <w:t xml:space="preserve">, which relates to an endeavor they may already </w:t>
      </w:r>
      <w:r w:rsidR="00AF2237">
        <w:rPr>
          <w:color w:val="000000"/>
          <w:sz w:val="24"/>
          <w:szCs w:val="24"/>
          <w:shd w:val="clear" w:color="auto" w:fill="FFFFFF"/>
        </w:rPr>
        <w:t xml:space="preserve">undertake without any </w:t>
      </w:r>
      <w:r w:rsidR="00794F0A">
        <w:rPr>
          <w:color w:val="000000"/>
          <w:sz w:val="24"/>
          <w:szCs w:val="24"/>
          <w:shd w:val="clear" w:color="auto" w:fill="FFFFFF"/>
        </w:rPr>
        <w:t>action whatsoever in this case</w:t>
      </w:r>
      <w:r w:rsidR="00F1643C">
        <w:rPr>
          <w:color w:val="000000"/>
          <w:sz w:val="24"/>
          <w:szCs w:val="24"/>
          <w:shd w:val="clear" w:color="auto" w:fill="FFFFFF"/>
        </w:rPr>
        <w:t>.</w:t>
      </w:r>
      <w:r w:rsidR="00CB4480">
        <w:rPr>
          <w:color w:val="000000"/>
          <w:sz w:val="24"/>
          <w:szCs w:val="24"/>
          <w:shd w:val="clear" w:color="auto" w:fill="FFFFFF"/>
        </w:rPr>
        <w:t xml:space="preserve"> </w:t>
      </w:r>
      <w:r w:rsidR="00F1643C">
        <w:rPr>
          <w:color w:val="000000"/>
          <w:sz w:val="24"/>
          <w:szCs w:val="24"/>
          <w:shd w:val="clear" w:color="auto" w:fill="FFFFFF"/>
        </w:rPr>
        <w:t xml:space="preserve">  </w:t>
      </w:r>
    </w:p>
    <w:p w14:paraId="72E02B10" w14:textId="77777777" w:rsidR="007B74E0" w:rsidRPr="007B74E0" w:rsidRDefault="007B74E0" w:rsidP="00F1643C">
      <w:pPr>
        <w:pStyle w:val="ListParagraph"/>
        <w:numPr>
          <w:ilvl w:val="0"/>
          <w:numId w:val="9"/>
        </w:numPr>
        <w:autoSpaceDE w:val="0"/>
        <w:autoSpaceDN w:val="0"/>
        <w:adjustRightInd w:val="0"/>
        <w:spacing w:after="120" w:line="240" w:lineRule="auto"/>
        <w:jc w:val="both"/>
        <w:rPr>
          <w:sz w:val="24"/>
          <w:szCs w:val="24"/>
        </w:rPr>
      </w:pPr>
      <w:r>
        <w:rPr>
          <w:b/>
          <w:sz w:val="24"/>
          <w:szCs w:val="24"/>
        </w:rPr>
        <w:t>Resource Planning Projections relate to capacity and energy</w:t>
      </w:r>
      <w:r w:rsidR="00997A5D">
        <w:rPr>
          <w:b/>
          <w:sz w:val="24"/>
          <w:szCs w:val="24"/>
        </w:rPr>
        <w:t xml:space="preserve"> for reliability purposes</w:t>
      </w:r>
      <w:r w:rsidR="00C87B1A">
        <w:rPr>
          <w:b/>
          <w:sz w:val="24"/>
          <w:szCs w:val="24"/>
        </w:rPr>
        <w:t>—need must as well</w:t>
      </w:r>
    </w:p>
    <w:p w14:paraId="6B23257D" w14:textId="535F3128" w:rsidR="0051194D" w:rsidRDefault="00A73F92" w:rsidP="000A2980">
      <w:pPr>
        <w:autoSpaceDE w:val="0"/>
        <w:autoSpaceDN w:val="0"/>
        <w:adjustRightInd w:val="0"/>
        <w:spacing w:after="120" w:line="480" w:lineRule="auto"/>
        <w:ind w:firstLine="720"/>
        <w:jc w:val="both"/>
        <w:rPr>
          <w:sz w:val="24"/>
          <w:szCs w:val="24"/>
        </w:rPr>
      </w:pPr>
      <w:r>
        <w:rPr>
          <w:sz w:val="24"/>
          <w:szCs w:val="24"/>
        </w:rPr>
        <w:t>A finding of need must be based upon resource planning projections submitted by the EDU.</w:t>
      </w:r>
      <w:r w:rsidR="00117F6F">
        <w:rPr>
          <w:sz w:val="24"/>
          <w:szCs w:val="24"/>
        </w:rPr>
        <w:t xml:space="preserve"> </w:t>
      </w:r>
      <w:r w:rsidR="00D15199">
        <w:rPr>
          <w:sz w:val="24"/>
          <w:szCs w:val="24"/>
        </w:rPr>
        <w:t>Such projections are submitted in accordance with R.C. 4935.04</w:t>
      </w:r>
      <w:r w:rsidR="00AA5193">
        <w:rPr>
          <w:sz w:val="24"/>
          <w:szCs w:val="24"/>
        </w:rPr>
        <w:t xml:space="preserve"> and OAC </w:t>
      </w:r>
      <w:r w:rsidR="002940B7">
        <w:rPr>
          <w:sz w:val="24"/>
          <w:szCs w:val="24"/>
        </w:rPr>
        <w:t>4901:5-5</w:t>
      </w:r>
      <w:r w:rsidR="00A35C2A">
        <w:rPr>
          <w:sz w:val="24"/>
          <w:szCs w:val="24"/>
        </w:rPr>
        <w:t xml:space="preserve">-03 </w:t>
      </w:r>
      <w:r w:rsidR="00A35C2A">
        <w:rPr>
          <w:i/>
          <w:sz w:val="24"/>
          <w:szCs w:val="24"/>
        </w:rPr>
        <w:t>et sec</w:t>
      </w:r>
      <w:r w:rsidR="00D15199">
        <w:rPr>
          <w:sz w:val="24"/>
          <w:szCs w:val="24"/>
        </w:rPr>
        <w:t>.</w:t>
      </w:r>
      <w:r w:rsidR="000A2980">
        <w:rPr>
          <w:sz w:val="24"/>
          <w:szCs w:val="24"/>
        </w:rPr>
        <w:t xml:space="preserve">  As AEP Ohio witness </w:t>
      </w:r>
      <w:proofErr w:type="spellStart"/>
      <w:r w:rsidR="000A2980">
        <w:rPr>
          <w:sz w:val="24"/>
          <w:szCs w:val="24"/>
        </w:rPr>
        <w:t>Torpey</w:t>
      </w:r>
      <w:proofErr w:type="spellEnd"/>
      <w:r w:rsidR="000A2980">
        <w:rPr>
          <w:sz w:val="24"/>
          <w:szCs w:val="24"/>
        </w:rPr>
        <w:t xml:space="preserve"> </w:t>
      </w:r>
      <w:r w:rsidR="0073614D">
        <w:rPr>
          <w:sz w:val="24"/>
          <w:szCs w:val="24"/>
        </w:rPr>
        <w:t>testified</w:t>
      </w:r>
      <w:r w:rsidR="000A2980">
        <w:rPr>
          <w:sz w:val="24"/>
          <w:szCs w:val="24"/>
        </w:rPr>
        <w:t xml:space="preserve">, an EDU </w:t>
      </w:r>
      <w:r w:rsidR="006F7466">
        <w:rPr>
          <w:sz w:val="24"/>
          <w:szCs w:val="24"/>
        </w:rPr>
        <w:t>has historically been</w:t>
      </w:r>
      <w:r w:rsidR="000A2980">
        <w:rPr>
          <w:sz w:val="24"/>
          <w:szCs w:val="24"/>
        </w:rPr>
        <w:t xml:space="preserve"> required to submit a</w:t>
      </w:r>
      <w:r w:rsidR="00302593">
        <w:rPr>
          <w:sz w:val="24"/>
          <w:szCs w:val="24"/>
        </w:rPr>
        <w:t xml:space="preserve"> long-term forecast report (“</w:t>
      </w:r>
      <w:r w:rsidR="000A2980">
        <w:rPr>
          <w:sz w:val="24"/>
          <w:szCs w:val="24"/>
        </w:rPr>
        <w:t>LTFR</w:t>
      </w:r>
      <w:r w:rsidR="00302593">
        <w:rPr>
          <w:sz w:val="24"/>
          <w:szCs w:val="24"/>
        </w:rPr>
        <w:t>”)</w:t>
      </w:r>
      <w:r w:rsidR="000A2980">
        <w:rPr>
          <w:sz w:val="24"/>
          <w:szCs w:val="24"/>
        </w:rPr>
        <w:t xml:space="preserve"> when there is a change in the load forecast</w:t>
      </w:r>
      <w:r w:rsidR="00784AC6">
        <w:rPr>
          <w:sz w:val="24"/>
          <w:szCs w:val="24"/>
        </w:rPr>
        <w:t>.</w:t>
      </w:r>
      <w:r w:rsidR="00302593">
        <w:rPr>
          <w:rStyle w:val="FootnoteReference"/>
          <w:sz w:val="24"/>
          <w:szCs w:val="24"/>
        </w:rPr>
        <w:footnoteReference w:id="15"/>
      </w:r>
      <w:r w:rsidR="00FE6F14">
        <w:rPr>
          <w:sz w:val="24"/>
          <w:szCs w:val="24"/>
        </w:rPr>
        <w:t xml:space="preserve">  </w:t>
      </w:r>
      <w:r w:rsidR="0051194D">
        <w:rPr>
          <w:sz w:val="24"/>
          <w:szCs w:val="24"/>
        </w:rPr>
        <w:t xml:space="preserve">Witness </w:t>
      </w:r>
      <w:proofErr w:type="spellStart"/>
      <w:r w:rsidR="0051194D">
        <w:rPr>
          <w:sz w:val="24"/>
          <w:szCs w:val="24"/>
        </w:rPr>
        <w:t>Torpey</w:t>
      </w:r>
      <w:proofErr w:type="spellEnd"/>
      <w:r w:rsidR="0051194D">
        <w:rPr>
          <w:sz w:val="24"/>
          <w:szCs w:val="24"/>
        </w:rPr>
        <w:t xml:space="preserve"> indicated that this approach is logical</w:t>
      </w:r>
      <w:r w:rsidR="00FE6F14">
        <w:rPr>
          <w:sz w:val="24"/>
          <w:szCs w:val="24"/>
        </w:rPr>
        <w:t xml:space="preserve">, because </w:t>
      </w:r>
      <w:r w:rsidR="00CB00EF">
        <w:rPr>
          <w:sz w:val="24"/>
          <w:szCs w:val="24"/>
        </w:rPr>
        <w:t>if there is a large jump in the load forecast, there may be a need to build new generation.</w:t>
      </w:r>
      <w:r w:rsidR="00CB00EF">
        <w:rPr>
          <w:rStyle w:val="FootnoteReference"/>
          <w:sz w:val="24"/>
          <w:szCs w:val="24"/>
        </w:rPr>
        <w:footnoteReference w:id="16"/>
      </w:r>
      <w:r w:rsidR="00D15199">
        <w:rPr>
          <w:sz w:val="24"/>
          <w:szCs w:val="24"/>
        </w:rPr>
        <w:t xml:space="preserve">  </w:t>
      </w:r>
    </w:p>
    <w:p w14:paraId="602CF346" w14:textId="2DE3E703" w:rsidR="00C57115" w:rsidRDefault="00117F6F" w:rsidP="00A052B4">
      <w:pPr>
        <w:autoSpaceDE w:val="0"/>
        <w:autoSpaceDN w:val="0"/>
        <w:adjustRightInd w:val="0"/>
        <w:spacing w:after="120" w:line="480" w:lineRule="auto"/>
        <w:ind w:firstLine="720"/>
        <w:jc w:val="both"/>
        <w:rPr>
          <w:sz w:val="24"/>
          <w:szCs w:val="24"/>
        </w:rPr>
      </w:pPr>
      <w:r>
        <w:rPr>
          <w:sz w:val="24"/>
          <w:szCs w:val="24"/>
        </w:rPr>
        <w:lastRenderedPageBreak/>
        <w:t>By</w:t>
      </w:r>
      <w:r w:rsidR="008F6CBE">
        <w:rPr>
          <w:sz w:val="24"/>
          <w:szCs w:val="24"/>
        </w:rPr>
        <w:t xml:space="preserve"> statute, </w:t>
      </w:r>
      <w:r w:rsidR="007B74E0" w:rsidRPr="007B74E0">
        <w:rPr>
          <w:sz w:val="24"/>
          <w:szCs w:val="24"/>
        </w:rPr>
        <w:t>LTFR proceedings are "limited to issues relating to forecasting"</w:t>
      </w:r>
      <w:r w:rsidR="007B74E0">
        <w:rPr>
          <w:rStyle w:val="FootnoteReference"/>
          <w:sz w:val="24"/>
          <w:szCs w:val="24"/>
        </w:rPr>
        <w:footnoteReference w:id="17"/>
      </w:r>
      <w:r w:rsidR="007B74E0" w:rsidRPr="007B74E0">
        <w:rPr>
          <w:sz w:val="24"/>
          <w:szCs w:val="24"/>
        </w:rPr>
        <w:t xml:space="preserve"> and the</w:t>
      </w:r>
      <w:r w:rsidR="007B74E0">
        <w:rPr>
          <w:sz w:val="24"/>
          <w:szCs w:val="24"/>
        </w:rPr>
        <w:t xml:space="preserve"> </w:t>
      </w:r>
      <w:r w:rsidR="007B74E0" w:rsidRPr="007B74E0">
        <w:rPr>
          <w:sz w:val="24"/>
          <w:szCs w:val="24"/>
        </w:rPr>
        <w:t>Commission's role is to determine whether the LTFR is accurate, complete, and</w:t>
      </w:r>
      <w:r w:rsidR="007B74E0">
        <w:rPr>
          <w:sz w:val="24"/>
          <w:szCs w:val="24"/>
        </w:rPr>
        <w:t xml:space="preserve"> </w:t>
      </w:r>
      <w:r w:rsidR="007B74E0" w:rsidRPr="007B74E0">
        <w:rPr>
          <w:sz w:val="24"/>
          <w:szCs w:val="24"/>
        </w:rPr>
        <w:t>reasonable.</w:t>
      </w:r>
      <w:r w:rsidR="007B74E0">
        <w:rPr>
          <w:rStyle w:val="FootnoteReference"/>
          <w:sz w:val="24"/>
          <w:szCs w:val="24"/>
        </w:rPr>
        <w:footnoteReference w:id="18"/>
      </w:r>
      <w:r w:rsidR="00C57115" w:rsidRPr="00C57115">
        <w:t xml:space="preserve"> </w:t>
      </w:r>
      <w:r w:rsidR="00C57115" w:rsidRPr="00C57115">
        <w:rPr>
          <w:sz w:val="24"/>
          <w:szCs w:val="24"/>
        </w:rPr>
        <w:t>The ultimate purpose of an LTFR is to determine whether the applicant's</w:t>
      </w:r>
      <w:r w:rsidR="000A2980">
        <w:rPr>
          <w:sz w:val="24"/>
          <w:szCs w:val="24"/>
        </w:rPr>
        <w:t xml:space="preserve"> </w:t>
      </w:r>
      <w:r w:rsidR="00C57115" w:rsidRPr="00C57115">
        <w:rPr>
          <w:sz w:val="24"/>
          <w:szCs w:val="24"/>
        </w:rPr>
        <w:t>forecast of load requirements and resources is accurate and reasonable</w:t>
      </w:r>
      <w:r w:rsidR="00C57115">
        <w:rPr>
          <w:sz w:val="24"/>
          <w:szCs w:val="24"/>
        </w:rPr>
        <w:t>—</w:t>
      </w:r>
      <w:r w:rsidR="00C57115" w:rsidRPr="00C57115">
        <w:rPr>
          <w:sz w:val="24"/>
          <w:szCs w:val="24"/>
        </w:rPr>
        <w:t>it is</w:t>
      </w:r>
      <w:r w:rsidR="00C57115">
        <w:rPr>
          <w:sz w:val="24"/>
          <w:szCs w:val="24"/>
        </w:rPr>
        <w:t xml:space="preserve"> </w:t>
      </w:r>
      <w:r w:rsidR="00C57115" w:rsidRPr="00C57115">
        <w:rPr>
          <w:sz w:val="24"/>
          <w:szCs w:val="24"/>
        </w:rPr>
        <w:t>specifically focused on the reasonableness of forecasting techniques and</w:t>
      </w:r>
      <w:r w:rsidR="00C57115">
        <w:rPr>
          <w:sz w:val="24"/>
          <w:szCs w:val="24"/>
        </w:rPr>
        <w:t xml:space="preserve"> </w:t>
      </w:r>
      <w:r w:rsidR="00C57115" w:rsidRPr="00C57115">
        <w:rPr>
          <w:sz w:val="24"/>
          <w:szCs w:val="24"/>
        </w:rPr>
        <w:t>methodologies</w:t>
      </w:r>
      <w:r w:rsidR="00C57115">
        <w:rPr>
          <w:sz w:val="24"/>
          <w:szCs w:val="24"/>
        </w:rPr>
        <w:t xml:space="preserve"> with respect to distribution, transmission, and generation requirements.  Because the purpose of an LTFR proceeding is to obtain data</w:t>
      </w:r>
      <w:r w:rsidR="00DA5C05">
        <w:rPr>
          <w:sz w:val="24"/>
          <w:szCs w:val="24"/>
        </w:rPr>
        <w:t xml:space="preserve"> related to various reliability criteria, the need to construct a generation facility </w:t>
      </w:r>
      <w:r w:rsidR="0073203F">
        <w:rPr>
          <w:sz w:val="24"/>
          <w:szCs w:val="24"/>
        </w:rPr>
        <w:t>is limited in scope to</w:t>
      </w:r>
      <w:r w:rsidR="00DA5C05">
        <w:rPr>
          <w:sz w:val="24"/>
          <w:szCs w:val="24"/>
        </w:rPr>
        <w:t xml:space="preserve"> addressing an imbalance between supply and demand</w:t>
      </w:r>
      <w:r w:rsidR="0073203F">
        <w:rPr>
          <w:sz w:val="24"/>
          <w:szCs w:val="24"/>
        </w:rPr>
        <w:t xml:space="preserve"> only</w:t>
      </w:r>
      <w:r w:rsidR="00DA5C05">
        <w:rPr>
          <w:sz w:val="24"/>
          <w:szCs w:val="24"/>
        </w:rPr>
        <w:t xml:space="preserve">. </w:t>
      </w:r>
    </w:p>
    <w:p w14:paraId="4903E93C" w14:textId="2935EDA7" w:rsidR="007B74E0" w:rsidRPr="00C57115" w:rsidRDefault="00C57115" w:rsidP="00A052B4">
      <w:pPr>
        <w:autoSpaceDE w:val="0"/>
        <w:autoSpaceDN w:val="0"/>
        <w:adjustRightInd w:val="0"/>
        <w:spacing w:after="0" w:line="480" w:lineRule="auto"/>
        <w:jc w:val="both"/>
        <w:rPr>
          <w:color w:val="070707"/>
          <w:sz w:val="24"/>
          <w:szCs w:val="24"/>
        </w:rPr>
      </w:pPr>
      <w:r>
        <w:rPr>
          <w:sz w:val="24"/>
          <w:szCs w:val="24"/>
        </w:rPr>
        <w:tab/>
      </w:r>
      <w:r w:rsidRPr="00C57115">
        <w:rPr>
          <w:color w:val="070707"/>
          <w:sz w:val="24"/>
          <w:szCs w:val="24"/>
        </w:rPr>
        <w:t xml:space="preserve">If the LTFR results project an imbalance between supply and demand, </w:t>
      </w:r>
      <w:r w:rsidR="00DA5C05">
        <w:rPr>
          <w:color w:val="070707"/>
          <w:sz w:val="24"/>
          <w:szCs w:val="24"/>
        </w:rPr>
        <w:t xml:space="preserve">however, </w:t>
      </w:r>
      <w:r w:rsidRPr="00C57115">
        <w:rPr>
          <w:color w:val="070707"/>
          <w:sz w:val="24"/>
          <w:szCs w:val="24"/>
        </w:rPr>
        <w:t>the LTFR</w:t>
      </w:r>
      <w:r w:rsidR="00DA5C05">
        <w:rPr>
          <w:color w:val="070707"/>
          <w:sz w:val="24"/>
          <w:szCs w:val="24"/>
        </w:rPr>
        <w:t xml:space="preserve"> </w:t>
      </w:r>
      <w:r w:rsidRPr="00C57115">
        <w:rPr>
          <w:color w:val="070707"/>
          <w:sz w:val="24"/>
          <w:szCs w:val="24"/>
        </w:rPr>
        <w:t>proceeding is not the place to determine whether a new generating facility</w:t>
      </w:r>
      <w:r w:rsidR="00DA5C05">
        <w:rPr>
          <w:color w:val="070707"/>
          <w:sz w:val="24"/>
          <w:szCs w:val="24"/>
        </w:rPr>
        <w:t xml:space="preserve"> </w:t>
      </w:r>
      <w:r w:rsidRPr="00C57115">
        <w:rPr>
          <w:color w:val="070707"/>
          <w:sz w:val="24"/>
          <w:szCs w:val="24"/>
        </w:rPr>
        <w:t>should be built to fill the gap</w:t>
      </w:r>
      <w:r w:rsidRPr="00C57115">
        <w:rPr>
          <w:color w:val="3E3E3E"/>
          <w:sz w:val="24"/>
          <w:szCs w:val="24"/>
        </w:rPr>
        <w:t xml:space="preserve">. </w:t>
      </w:r>
      <w:r>
        <w:rPr>
          <w:color w:val="070707"/>
          <w:sz w:val="24"/>
          <w:szCs w:val="24"/>
        </w:rPr>
        <w:t>T</w:t>
      </w:r>
      <w:r w:rsidRPr="00C57115">
        <w:rPr>
          <w:color w:val="070707"/>
          <w:sz w:val="24"/>
          <w:szCs w:val="24"/>
        </w:rPr>
        <w:t>hat is a matter for an ESP proceeding.</w:t>
      </w:r>
      <w:r w:rsidR="00A052B4">
        <w:rPr>
          <w:rStyle w:val="FootnoteReference"/>
          <w:color w:val="070707"/>
          <w:sz w:val="24"/>
          <w:szCs w:val="24"/>
        </w:rPr>
        <w:footnoteReference w:id="19"/>
      </w:r>
      <w:r>
        <w:rPr>
          <w:color w:val="070707"/>
          <w:sz w:val="24"/>
          <w:szCs w:val="24"/>
        </w:rPr>
        <w:t xml:space="preserve">  Thus, as </w:t>
      </w:r>
      <w:r w:rsidR="00DA5C05">
        <w:rPr>
          <w:color w:val="070707"/>
          <w:sz w:val="24"/>
          <w:szCs w:val="24"/>
        </w:rPr>
        <w:t>initial</w:t>
      </w:r>
      <w:r>
        <w:rPr>
          <w:color w:val="070707"/>
          <w:sz w:val="24"/>
          <w:szCs w:val="24"/>
        </w:rPr>
        <w:t xml:space="preserve"> matter, AEP Ohio’s proposed finding of need has been proposed in the wrong case</w:t>
      </w:r>
      <w:r w:rsidR="00D02D0C">
        <w:rPr>
          <w:color w:val="070707"/>
          <w:sz w:val="24"/>
          <w:szCs w:val="24"/>
        </w:rPr>
        <w:t xml:space="preserve">.  Regardless, AEP Ohio has not identified an imbalance between </w:t>
      </w:r>
      <w:r w:rsidR="001062F5">
        <w:rPr>
          <w:color w:val="070707"/>
          <w:sz w:val="24"/>
          <w:szCs w:val="24"/>
        </w:rPr>
        <w:t xml:space="preserve">supply and demand; therefore, the resource planning projections at issue cannot provide the basis for a finding of need. </w:t>
      </w:r>
    </w:p>
    <w:p w14:paraId="3F07EAB6" w14:textId="46854BC2" w:rsidR="00F1643C" w:rsidRPr="00F1643C" w:rsidRDefault="00FC73F3" w:rsidP="00F1643C">
      <w:pPr>
        <w:pStyle w:val="ListParagraph"/>
        <w:numPr>
          <w:ilvl w:val="0"/>
          <w:numId w:val="9"/>
        </w:numPr>
        <w:autoSpaceDE w:val="0"/>
        <w:autoSpaceDN w:val="0"/>
        <w:adjustRightInd w:val="0"/>
        <w:spacing w:after="120" w:line="240" w:lineRule="auto"/>
        <w:jc w:val="both"/>
        <w:rPr>
          <w:sz w:val="24"/>
          <w:szCs w:val="24"/>
        </w:rPr>
      </w:pPr>
      <w:r>
        <w:rPr>
          <w:b/>
          <w:sz w:val="24"/>
          <w:szCs w:val="24"/>
        </w:rPr>
        <w:t xml:space="preserve">Finding need for renewable energy </w:t>
      </w:r>
      <w:r w:rsidR="00B428D9">
        <w:rPr>
          <w:b/>
          <w:sz w:val="24"/>
          <w:szCs w:val="24"/>
        </w:rPr>
        <w:t xml:space="preserve">resources </w:t>
      </w:r>
      <w:r>
        <w:rPr>
          <w:b/>
          <w:sz w:val="24"/>
          <w:szCs w:val="24"/>
        </w:rPr>
        <w:t>would conflate two statutes passed at the same time</w:t>
      </w:r>
      <w:r w:rsidR="00754E9A">
        <w:rPr>
          <w:b/>
          <w:sz w:val="24"/>
          <w:szCs w:val="24"/>
        </w:rPr>
        <w:t>:</w:t>
      </w:r>
      <w:r>
        <w:rPr>
          <w:b/>
          <w:sz w:val="24"/>
          <w:szCs w:val="24"/>
        </w:rPr>
        <w:t xml:space="preserve"> </w:t>
      </w:r>
      <w:proofErr w:type="gramStart"/>
      <w:r w:rsidR="00997A5D">
        <w:rPr>
          <w:b/>
          <w:sz w:val="24"/>
          <w:szCs w:val="24"/>
        </w:rPr>
        <w:t>t</w:t>
      </w:r>
      <w:r w:rsidR="00F1643C" w:rsidRPr="00F1643C">
        <w:rPr>
          <w:b/>
          <w:sz w:val="24"/>
          <w:szCs w:val="24"/>
        </w:rPr>
        <w:t>he</w:t>
      </w:r>
      <w:proofErr w:type="gramEnd"/>
      <w:r w:rsidR="00F1643C" w:rsidRPr="00F1643C">
        <w:rPr>
          <w:b/>
          <w:sz w:val="24"/>
          <w:szCs w:val="24"/>
        </w:rPr>
        <w:t xml:space="preserve"> Electric Security Plan Statute and the Renewable Portfolio Standards</w:t>
      </w:r>
      <w:r w:rsidR="00754E9A">
        <w:rPr>
          <w:b/>
          <w:sz w:val="24"/>
          <w:szCs w:val="24"/>
        </w:rPr>
        <w:t xml:space="preserve"> Statute—</w:t>
      </w:r>
      <w:r w:rsidR="00B428D9">
        <w:rPr>
          <w:b/>
          <w:sz w:val="24"/>
          <w:szCs w:val="24"/>
        </w:rPr>
        <w:t>both of which address different policy concerns</w:t>
      </w:r>
      <w:r w:rsidR="00F1643C" w:rsidRPr="00F1643C">
        <w:rPr>
          <w:sz w:val="24"/>
          <w:szCs w:val="24"/>
        </w:rPr>
        <w:tab/>
      </w:r>
    </w:p>
    <w:p w14:paraId="3AB99ADF" w14:textId="3E08DBB0" w:rsidR="00F1643C" w:rsidRDefault="00C57115" w:rsidP="00F1643C">
      <w:pPr>
        <w:autoSpaceDE w:val="0"/>
        <w:autoSpaceDN w:val="0"/>
        <w:adjustRightInd w:val="0"/>
        <w:spacing w:after="120" w:line="480" w:lineRule="auto"/>
        <w:ind w:firstLine="720"/>
        <w:jc w:val="both"/>
        <w:rPr>
          <w:sz w:val="24"/>
          <w:szCs w:val="24"/>
        </w:rPr>
      </w:pPr>
      <w:r>
        <w:rPr>
          <w:sz w:val="24"/>
          <w:szCs w:val="24"/>
        </w:rPr>
        <w:lastRenderedPageBreak/>
        <w:t>In any event, h</w:t>
      </w:r>
      <w:r w:rsidR="00CB4480">
        <w:rPr>
          <w:sz w:val="24"/>
          <w:szCs w:val="24"/>
        </w:rPr>
        <w:t>istorical con</w:t>
      </w:r>
      <w:r>
        <w:rPr>
          <w:sz w:val="24"/>
          <w:szCs w:val="24"/>
        </w:rPr>
        <w:t>text and the statutory scheme further demonstrates</w:t>
      </w:r>
      <w:r w:rsidR="00CB4480">
        <w:rPr>
          <w:sz w:val="24"/>
          <w:szCs w:val="24"/>
        </w:rPr>
        <w:t xml:space="preserve"> th</w:t>
      </w:r>
      <w:r>
        <w:rPr>
          <w:sz w:val="24"/>
          <w:szCs w:val="24"/>
        </w:rPr>
        <w:t>at</w:t>
      </w:r>
      <w:r w:rsidR="00CB4480">
        <w:rPr>
          <w:sz w:val="24"/>
          <w:szCs w:val="24"/>
        </w:rPr>
        <w:t xml:space="preserve"> </w:t>
      </w:r>
      <w:r>
        <w:rPr>
          <w:sz w:val="24"/>
          <w:szCs w:val="24"/>
        </w:rPr>
        <w:t xml:space="preserve">the </w:t>
      </w:r>
      <w:r w:rsidR="00CB4480">
        <w:rPr>
          <w:sz w:val="24"/>
          <w:szCs w:val="24"/>
        </w:rPr>
        <w:t>General Assembly</w:t>
      </w:r>
      <w:r>
        <w:rPr>
          <w:sz w:val="24"/>
          <w:szCs w:val="24"/>
        </w:rPr>
        <w:t xml:space="preserve"> intended that </w:t>
      </w:r>
      <w:r w:rsidR="00010CCD">
        <w:rPr>
          <w:sz w:val="24"/>
          <w:szCs w:val="24"/>
        </w:rPr>
        <w:t>(</w:t>
      </w:r>
      <w:r>
        <w:rPr>
          <w:sz w:val="24"/>
          <w:szCs w:val="24"/>
        </w:rPr>
        <w:t>B</w:t>
      </w:r>
      <w:r w:rsidR="00010CCD">
        <w:rPr>
          <w:sz w:val="24"/>
          <w:szCs w:val="24"/>
        </w:rPr>
        <w:t>)</w:t>
      </w:r>
      <w:r>
        <w:rPr>
          <w:sz w:val="24"/>
          <w:szCs w:val="24"/>
        </w:rPr>
        <w:t>(2)(c) only be applied if there is a shortfall of supply to meet demand</w:t>
      </w:r>
      <w:r w:rsidR="00CB4480">
        <w:rPr>
          <w:sz w:val="24"/>
          <w:szCs w:val="24"/>
        </w:rPr>
        <w:t xml:space="preserve">. </w:t>
      </w:r>
      <w:r w:rsidR="00F1643C">
        <w:rPr>
          <w:sz w:val="24"/>
          <w:szCs w:val="24"/>
        </w:rPr>
        <w:t xml:space="preserve"> In 2008, Ohio’s energy future was at a crossroads.  Despite the restructuring that had occurred in 1999,</w:t>
      </w:r>
      <w:r w:rsidR="009F289F" w:rsidRPr="009F289F">
        <w:t xml:space="preserve"> </w:t>
      </w:r>
      <w:r w:rsidR="009F289F">
        <w:t>“</w:t>
      </w:r>
      <w:r w:rsidR="009F289F" w:rsidRPr="009F289F">
        <w:rPr>
          <w:sz w:val="24"/>
          <w:szCs w:val="24"/>
        </w:rPr>
        <w:t>Competition, however, "fail[ed] * * * to develop according to expectations.</w:t>
      </w:r>
      <w:r w:rsidR="009F289F">
        <w:rPr>
          <w:sz w:val="24"/>
          <w:szCs w:val="24"/>
        </w:rPr>
        <w:t>”</w:t>
      </w:r>
      <w:r w:rsidR="00163515">
        <w:rPr>
          <w:rStyle w:val="FootnoteReference"/>
          <w:sz w:val="24"/>
          <w:szCs w:val="24"/>
        </w:rPr>
        <w:footnoteReference w:id="20"/>
      </w:r>
      <w:r w:rsidR="009F289F">
        <w:rPr>
          <w:sz w:val="24"/>
          <w:szCs w:val="24"/>
        </w:rPr>
        <w:t xml:space="preserve"> </w:t>
      </w:r>
      <w:r w:rsidR="00F1643C">
        <w:rPr>
          <w:sz w:val="24"/>
          <w:szCs w:val="24"/>
        </w:rPr>
        <w:t xml:space="preserve"> little shopping occurred for competitive retail electric service.</w:t>
      </w:r>
      <w:r w:rsidR="00F00D76">
        <w:rPr>
          <w:rStyle w:val="FootnoteReference"/>
          <w:sz w:val="24"/>
          <w:szCs w:val="24"/>
        </w:rPr>
        <w:footnoteReference w:id="21"/>
      </w:r>
      <w:r w:rsidR="00F1643C">
        <w:rPr>
          <w:sz w:val="24"/>
          <w:szCs w:val="24"/>
        </w:rPr>
        <w:t xml:space="preserve">  T</w:t>
      </w:r>
      <w:r w:rsidR="00F1643C" w:rsidRPr="005C5BE4">
        <w:rPr>
          <w:sz w:val="24"/>
          <w:szCs w:val="24"/>
        </w:rPr>
        <w:t>he</w:t>
      </w:r>
      <w:r w:rsidR="00F1643C">
        <w:rPr>
          <w:sz w:val="24"/>
          <w:szCs w:val="24"/>
        </w:rPr>
        <w:t xml:space="preserve"> majority of customers continued to take default service under the standard service offer (“SSO”),</w:t>
      </w:r>
      <w:r w:rsidR="00D80F58">
        <w:rPr>
          <w:rStyle w:val="FootnoteReference"/>
          <w:sz w:val="24"/>
          <w:szCs w:val="24"/>
        </w:rPr>
        <w:footnoteReference w:id="22"/>
      </w:r>
      <w:r w:rsidR="00F1643C">
        <w:rPr>
          <w:sz w:val="24"/>
          <w:szCs w:val="24"/>
        </w:rPr>
        <w:t xml:space="preserve"> which was provided by the e</w:t>
      </w:r>
      <w:r w:rsidR="00F1643C" w:rsidRPr="005C5BE4">
        <w:rPr>
          <w:sz w:val="24"/>
          <w:szCs w:val="24"/>
        </w:rPr>
        <w:t xml:space="preserve">lectric </w:t>
      </w:r>
      <w:r w:rsidR="00F1643C">
        <w:rPr>
          <w:sz w:val="24"/>
          <w:szCs w:val="24"/>
        </w:rPr>
        <w:t>d</w:t>
      </w:r>
      <w:r w:rsidR="00F1643C" w:rsidRPr="005C5BE4">
        <w:rPr>
          <w:sz w:val="24"/>
          <w:szCs w:val="24"/>
        </w:rPr>
        <w:t xml:space="preserve">istribution </w:t>
      </w:r>
      <w:r w:rsidR="00F1643C">
        <w:rPr>
          <w:sz w:val="24"/>
          <w:szCs w:val="24"/>
        </w:rPr>
        <w:t>u</w:t>
      </w:r>
      <w:r w:rsidR="00F1643C" w:rsidRPr="005C5BE4">
        <w:rPr>
          <w:sz w:val="24"/>
          <w:szCs w:val="24"/>
        </w:rPr>
        <w:t>tilities</w:t>
      </w:r>
      <w:r w:rsidR="00F1643C">
        <w:rPr>
          <w:sz w:val="24"/>
          <w:szCs w:val="24"/>
        </w:rPr>
        <w:t xml:space="preserve"> (“EDUs”)</w:t>
      </w:r>
      <w:r w:rsidR="00F1643C" w:rsidRPr="005C5BE4">
        <w:rPr>
          <w:sz w:val="24"/>
          <w:szCs w:val="24"/>
        </w:rPr>
        <w:t xml:space="preserve"> through their owned or affiliate generation resources</w:t>
      </w:r>
      <w:r w:rsidR="00F1643C">
        <w:rPr>
          <w:sz w:val="24"/>
          <w:szCs w:val="24"/>
        </w:rPr>
        <w:t>.  At the same time, peak demand and electricity prices</w:t>
      </w:r>
      <w:r w:rsidR="003E659B">
        <w:rPr>
          <w:sz w:val="24"/>
          <w:szCs w:val="24"/>
        </w:rPr>
        <w:t xml:space="preserve"> </w:t>
      </w:r>
      <w:r w:rsidR="00F1643C">
        <w:rPr>
          <w:sz w:val="24"/>
          <w:szCs w:val="24"/>
        </w:rPr>
        <w:t>were rising year after year.</w:t>
      </w:r>
      <w:r w:rsidR="003E659B">
        <w:rPr>
          <w:rStyle w:val="FootnoteReference"/>
          <w:sz w:val="24"/>
          <w:szCs w:val="24"/>
        </w:rPr>
        <w:footnoteReference w:id="23"/>
      </w:r>
      <w:r w:rsidR="003E659B">
        <w:rPr>
          <w:sz w:val="24"/>
          <w:szCs w:val="24"/>
        </w:rPr>
        <w:t xml:space="preserve"> </w:t>
      </w:r>
      <w:r w:rsidR="00F1643C">
        <w:rPr>
          <w:sz w:val="24"/>
          <w:szCs w:val="24"/>
        </w:rPr>
        <w:t xml:space="preserve"> </w:t>
      </w:r>
    </w:p>
    <w:p w14:paraId="4CD709D8" w14:textId="0E8C2A7C" w:rsidR="00F1643C" w:rsidRDefault="00F1643C" w:rsidP="00F1643C">
      <w:pPr>
        <w:tabs>
          <w:tab w:val="left" w:pos="360"/>
        </w:tabs>
        <w:spacing w:after="0" w:line="480" w:lineRule="auto"/>
        <w:jc w:val="both"/>
        <w:rPr>
          <w:sz w:val="24"/>
          <w:szCs w:val="24"/>
        </w:rPr>
      </w:pPr>
      <w:r>
        <w:rPr>
          <w:sz w:val="24"/>
          <w:szCs w:val="24"/>
        </w:rPr>
        <w:tab/>
      </w:r>
      <w:r>
        <w:rPr>
          <w:sz w:val="24"/>
          <w:szCs w:val="24"/>
        </w:rPr>
        <w:tab/>
      </w:r>
      <w:proofErr w:type="gramStart"/>
      <w:r>
        <w:rPr>
          <w:sz w:val="24"/>
          <w:szCs w:val="24"/>
        </w:rPr>
        <w:t>In light of</w:t>
      </w:r>
      <w:proofErr w:type="gramEnd"/>
      <w:r>
        <w:rPr>
          <w:sz w:val="24"/>
          <w:szCs w:val="24"/>
        </w:rPr>
        <w:t xml:space="preserve"> these market dynamics, the General Assembly passed Amended Substitute Senate Bill 221 (“SB 221”).  The law established a new paradigm for authorizing the standard service offer rate, either through a market rate offer or through than electric security plan.</w:t>
      </w:r>
      <w:r w:rsidR="00A14213">
        <w:rPr>
          <w:rStyle w:val="FootnoteReference"/>
          <w:sz w:val="24"/>
          <w:szCs w:val="24"/>
        </w:rPr>
        <w:footnoteReference w:id="24"/>
      </w:r>
      <w:r>
        <w:rPr>
          <w:sz w:val="24"/>
          <w:szCs w:val="24"/>
        </w:rPr>
        <w:t xml:space="preserve">  The </w:t>
      </w:r>
      <w:r w:rsidR="00AD7770">
        <w:rPr>
          <w:sz w:val="24"/>
          <w:szCs w:val="24"/>
        </w:rPr>
        <w:t>former “</w:t>
      </w:r>
      <w:r w:rsidR="00AD7770" w:rsidRPr="00AD7770">
        <w:rPr>
          <w:sz w:val="24"/>
          <w:szCs w:val="24"/>
        </w:rPr>
        <w:t>as the name implies, sets rates using a competitive-bidding process to harness market forces</w:t>
      </w:r>
      <w:r w:rsidR="007420F7">
        <w:rPr>
          <w:sz w:val="24"/>
          <w:szCs w:val="24"/>
        </w:rPr>
        <w:t>;</w:t>
      </w:r>
      <w:r w:rsidR="007420F7">
        <w:rPr>
          <w:rStyle w:val="FootnoteReference"/>
          <w:sz w:val="24"/>
          <w:szCs w:val="24"/>
        </w:rPr>
        <w:footnoteReference w:id="25"/>
      </w:r>
      <w:r w:rsidR="00AD7770">
        <w:rPr>
          <w:sz w:val="24"/>
          <w:szCs w:val="24"/>
        </w:rPr>
        <w:t>”</w:t>
      </w:r>
      <w:r>
        <w:rPr>
          <w:sz w:val="24"/>
          <w:szCs w:val="24"/>
        </w:rPr>
        <w:t xml:space="preserve"> the latter permitted an EDU to </w:t>
      </w:r>
      <w:r>
        <w:rPr>
          <w:sz w:val="24"/>
          <w:szCs w:val="24"/>
        </w:rPr>
        <w:lastRenderedPageBreak/>
        <w:t>utilize its own generating assets to provide the SSO</w:t>
      </w:r>
      <w:r w:rsidR="00007D2C">
        <w:rPr>
          <w:sz w:val="24"/>
          <w:szCs w:val="24"/>
        </w:rPr>
        <w:t xml:space="preserve"> to the extent that such an outcome is more favorable in the aggregate than </w:t>
      </w:r>
      <w:r w:rsidR="00690537">
        <w:rPr>
          <w:sz w:val="24"/>
          <w:szCs w:val="24"/>
        </w:rPr>
        <w:t>the otherwise applicable market rate offer</w:t>
      </w:r>
      <w:r>
        <w:rPr>
          <w:sz w:val="24"/>
          <w:szCs w:val="24"/>
        </w:rPr>
        <w:t>.  Moreover, the ESP option provided a “safety valve” that would permit an EDU to retrofit or construct a new generation facility—and to recover the associated costs from all customers through a non-</w:t>
      </w:r>
      <w:proofErr w:type="spellStart"/>
      <w:r>
        <w:rPr>
          <w:sz w:val="24"/>
          <w:szCs w:val="24"/>
        </w:rPr>
        <w:t>bypassable</w:t>
      </w:r>
      <w:proofErr w:type="spellEnd"/>
      <w:r>
        <w:rPr>
          <w:sz w:val="24"/>
          <w:szCs w:val="24"/>
        </w:rPr>
        <w:t xml:space="preserve"> charge—if there is a need for the generation resource based upon resource planning projections.</w:t>
      </w:r>
      <w:r w:rsidR="00690537">
        <w:rPr>
          <w:rStyle w:val="FootnoteReference"/>
          <w:sz w:val="24"/>
          <w:szCs w:val="24"/>
        </w:rPr>
        <w:footnoteReference w:id="26"/>
      </w:r>
      <w:r>
        <w:rPr>
          <w:sz w:val="24"/>
          <w:szCs w:val="24"/>
        </w:rPr>
        <w:t xml:space="preserve">  </w:t>
      </w:r>
    </w:p>
    <w:p w14:paraId="12E01C8D" w14:textId="5974404A" w:rsidR="00F1643C" w:rsidRDefault="00F1643C" w:rsidP="00F1643C">
      <w:pPr>
        <w:tabs>
          <w:tab w:val="left" w:pos="360"/>
        </w:tabs>
        <w:spacing w:after="0" w:line="480" w:lineRule="auto"/>
        <w:jc w:val="both"/>
        <w:rPr>
          <w:sz w:val="24"/>
          <w:szCs w:val="24"/>
        </w:rPr>
      </w:pPr>
      <w:r>
        <w:rPr>
          <w:sz w:val="24"/>
          <w:szCs w:val="24"/>
        </w:rPr>
        <w:tab/>
      </w:r>
      <w:r>
        <w:rPr>
          <w:sz w:val="24"/>
          <w:szCs w:val="24"/>
        </w:rPr>
        <w:tab/>
        <w:t>In a separate section of SB 221, the General Assembly established the renewable energy portfolio standards (“RPS”) to incentivize the development of renewable energy resources.</w:t>
      </w:r>
      <w:r w:rsidR="00690537">
        <w:rPr>
          <w:rStyle w:val="FootnoteReference"/>
          <w:sz w:val="24"/>
          <w:szCs w:val="24"/>
        </w:rPr>
        <w:footnoteReference w:id="27"/>
      </w:r>
      <w:r>
        <w:rPr>
          <w:sz w:val="24"/>
          <w:szCs w:val="24"/>
        </w:rPr>
        <w:t xml:space="preserve">  The General Assembly “</w:t>
      </w:r>
      <w:r w:rsidRPr="00F6709E">
        <w:rPr>
          <w:sz w:val="24"/>
          <w:szCs w:val="24"/>
        </w:rPr>
        <w:t>established a policy that determines the amount of</w:t>
      </w:r>
      <w:r>
        <w:rPr>
          <w:sz w:val="24"/>
          <w:szCs w:val="24"/>
        </w:rPr>
        <w:t xml:space="preserve"> </w:t>
      </w:r>
      <w:r w:rsidRPr="00F6709E">
        <w:rPr>
          <w:sz w:val="24"/>
          <w:szCs w:val="24"/>
        </w:rPr>
        <w:t>renewable and solar energy that is required to meet customer’s electric needs</w:t>
      </w:r>
      <w:r>
        <w:rPr>
          <w:sz w:val="24"/>
          <w:szCs w:val="24"/>
        </w:rPr>
        <w:t>.”</w:t>
      </w:r>
      <w:r>
        <w:rPr>
          <w:rStyle w:val="FootnoteReference"/>
          <w:sz w:val="24"/>
          <w:szCs w:val="24"/>
        </w:rPr>
        <w:footnoteReference w:id="28"/>
      </w:r>
      <w:r w:rsidRPr="00F6709E">
        <w:rPr>
          <w:sz w:val="24"/>
          <w:szCs w:val="24"/>
        </w:rPr>
        <w:t xml:space="preserve"> </w:t>
      </w:r>
      <w:r>
        <w:rPr>
          <w:sz w:val="24"/>
          <w:szCs w:val="24"/>
        </w:rPr>
        <w:t>The RPS mandated that both EDUs and competitive retail electric service providers (“CRES providers” or “Suppliers”) to source a portion of their electric supply from renewable energy resources in amounts that escalated each year.</w:t>
      </w:r>
      <w:r>
        <w:rPr>
          <w:rStyle w:val="FootnoteReference"/>
          <w:sz w:val="24"/>
          <w:szCs w:val="24"/>
        </w:rPr>
        <w:footnoteReference w:id="29"/>
      </w:r>
      <w:r>
        <w:rPr>
          <w:sz w:val="24"/>
          <w:szCs w:val="24"/>
        </w:rPr>
        <w:t xml:space="preserve"> </w:t>
      </w:r>
      <w:r w:rsidRPr="00F6709E">
        <w:rPr>
          <w:sz w:val="24"/>
          <w:szCs w:val="24"/>
        </w:rPr>
        <w:t>The State, through the RPS and SRPS, has set percentage requirements that specifies the exact amount of renewable energy generation and</w:t>
      </w:r>
      <w:r>
        <w:rPr>
          <w:sz w:val="24"/>
          <w:szCs w:val="24"/>
        </w:rPr>
        <w:t xml:space="preserve"> </w:t>
      </w:r>
      <w:r w:rsidRPr="00F6709E">
        <w:rPr>
          <w:sz w:val="24"/>
          <w:szCs w:val="24"/>
        </w:rPr>
        <w:t>solar generation that the state needs for each year through 2026.</w:t>
      </w:r>
      <w:r>
        <w:rPr>
          <w:rStyle w:val="FootnoteReference"/>
          <w:sz w:val="24"/>
          <w:szCs w:val="24"/>
        </w:rPr>
        <w:footnoteReference w:id="30"/>
      </w:r>
      <w:r>
        <w:rPr>
          <w:sz w:val="24"/>
          <w:szCs w:val="24"/>
        </w:rPr>
        <w:t xml:space="preserve"> Indeed, the law specifically required a portion of the renewable resources to be physically located within the state of Ohio.</w:t>
      </w:r>
      <w:r>
        <w:rPr>
          <w:rStyle w:val="FootnoteReference"/>
          <w:sz w:val="24"/>
          <w:szCs w:val="24"/>
        </w:rPr>
        <w:footnoteReference w:id="31"/>
      </w:r>
      <w:r w:rsidR="00B428D9">
        <w:rPr>
          <w:sz w:val="24"/>
          <w:szCs w:val="24"/>
        </w:rPr>
        <w:t xml:space="preserve">  </w:t>
      </w:r>
      <w:r>
        <w:rPr>
          <w:sz w:val="24"/>
          <w:szCs w:val="24"/>
        </w:rPr>
        <w:t xml:space="preserve">  </w:t>
      </w:r>
    </w:p>
    <w:p w14:paraId="21AE3ED7" w14:textId="751EA80B" w:rsidR="00F33682" w:rsidRDefault="00F1643C" w:rsidP="00F1643C">
      <w:pPr>
        <w:tabs>
          <w:tab w:val="left" w:pos="360"/>
        </w:tabs>
        <w:spacing w:after="0" w:line="480" w:lineRule="auto"/>
        <w:jc w:val="both"/>
        <w:rPr>
          <w:sz w:val="24"/>
          <w:szCs w:val="24"/>
        </w:rPr>
      </w:pPr>
      <w:r>
        <w:rPr>
          <w:sz w:val="24"/>
          <w:szCs w:val="24"/>
        </w:rPr>
        <w:lastRenderedPageBreak/>
        <w:tab/>
      </w:r>
      <w:r>
        <w:rPr>
          <w:sz w:val="24"/>
          <w:szCs w:val="24"/>
        </w:rPr>
        <w:tab/>
        <w:t>Recognizing that retail electric generation is a competitive service</w:t>
      </w:r>
      <w:r w:rsidR="0039481B">
        <w:rPr>
          <w:rStyle w:val="FootnoteReference"/>
          <w:sz w:val="24"/>
          <w:szCs w:val="24"/>
        </w:rPr>
        <w:footnoteReference w:id="32"/>
      </w:r>
      <w:r>
        <w:rPr>
          <w:sz w:val="24"/>
          <w:szCs w:val="24"/>
        </w:rPr>
        <w:t xml:space="preserve"> and that the RPS would apply to all market participants on an equal basis,</w:t>
      </w:r>
      <w:r>
        <w:rPr>
          <w:rStyle w:val="FootnoteReference"/>
          <w:sz w:val="24"/>
          <w:szCs w:val="24"/>
        </w:rPr>
        <w:footnoteReference w:id="33"/>
      </w:r>
      <w:r>
        <w:rPr>
          <w:sz w:val="24"/>
          <w:szCs w:val="24"/>
        </w:rPr>
        <w:t xml:space="preserve"> the General Assembly specifically required</w:t>
      </w:r>
      <w:r w:rsidR="00DA6D3E">
        <w:rPr>
          <w:sz w:val="24"/>
          <w:szCs w:val="24"/>
        </w:rPr>
        <w:t xml:space="preserve"> under R.C. 4928.64(E)</w:t>
      </w:r>
      <w:r>
        <w:rPr>
          <w:sz w:val="24"/>
          <w:szCs w:val="24"/>
        </w:rPr>
        <w:t xml:space="preserve"> that all costs associated with sourcing renewable generation “s</w:t>
      </w:r>
      <w:r w:rsidRPr="00033CFB">
        <w:rPr>
          <w:sz w:val="24"/>
          <w:szCs w:val="24"/>
        </w:rPr>
        <w:t xml:space="preserve">hall be </w:t>
      </w:r>
      <w:proofErr w:type="spellStart"/>
      <w:r w:rsidRPr="00033CFB">
        <w:rPr>
          <w:sz w:val="24"/>
          <w:szCs w:val="24"/>
        </w:rPr>
        <w:t>bypassable</w:t>
      </w:r>
      <w:proofErr w:type="spellEnd"/>
      <w:r w:rsidRPr="00033CFB">
        <w:rPr>
          <w:sz w:val="24"/>
          <w:szCs w:val="24"/>
        </w:rPr>
        <w:t xml:space="preserve"> by any consumer that has exercised choice of supplier under section 4928.03 of the Revised Code.</w:t>
      </w:r>
      <w:r>
        <w:rPr>
          <w:sz w:val="24"/>
          <w:szCs w:val="24"/>
        </w:rPr>
        <w:t>”</w:t>
      </w:r>
      <w:r>
        <w:rPr>
          <w:rStyle w:val="FootnoteReference"/>
          <w:sz w:val="24"/>
          <w:szCs w:val="24"/>
        </w:rPr>
        <w:footnoteReference w:id="34"/>
      </w:r>
      <w:r>
        <w:rPr>
          <w:sz w:val="24"/>
          <w:szCs w:val="24"/>
        </w:rPr>
        <w:t xml:space="preserve">  The General Assembly ensured that this requirement was not disrespected by any provision authorized within the context of an ESP</w:t>
      </w:r>
      <w:r w:rsidR="009374D7">
        <w:rPr>
          <w:sz w:val="24"/>
          <w:szCs w:val="24"/>
        </w:rPr>
        <w:t>, stating,</w:t>
      </w:r>
      <w:r>
        <w:rPr>
          <w:sz w:val="24"/>
          <w:szCs w:val="24"/>
        </w:rPr>
        <w:t xml:space="preserve"> </w:t>
      </w:r>
      <w:r w:rsidR="00CB4480" w:rsidRPr="00CB4480">
        <w:rPr>
          <w:sz w:val="24"/>
          <w:szCs w:val="24"/>
        </w:rPr>
        <w:t>“</w:t>
      </w:r>
      <w:r w:rsidR="00CB4480" w:rsidRPr="00CB4480">
        <w:rPr>
          <w:color w:val="000000"/>
          <w:sz w:val="24"/>
          <w:szCs w:val="24"/>
          <w:shd w:val="clear" w:color="auto" w:fill="FFFFFF"/>
        </w:rPr>
        <w:t xml:space="preserve">Notwithstanding any other provision of Title XLIX of the Revised Code </w:t>
      </w:r>
      <w:r w:rsidR="00CB4480" w:rsidRPr="00DA6D3E">
        <w:rPr>
          <w:i/>
          <w:color w:val="000000"/>
          <w:sz w:val="24"/>
          <w:szCs w:val="24"/>
          <w:shd w:val="clear" w:color="auto" w:fill="FFFFFF"/>
        </w:rPr>
        <w:t>to the contrary except . . .division (E) of section </w:t>
      </w:r>
      <w:hyperlink r:id="rId12" w:history="1">
        <w:r w:rsidR="00CB4480" w:rsidRPr="00DA6D3E">
          <w:rPr>
            <w:i/>
            <w:sz w:val="24"/>
            <w:szCs w:val="24"/>
            <w:u w:val="single"/>
            <w:shd w:val="clear" w:color="auto" w:fill="FFFFFF"/>
          </w:rPr>
          <w:t>4928.64</w:t>
        </w:r>
      </w:hyperlink>
      <w:r w:rsidR="00DA6D3E">
        <w:rPr>
          <w:sz w:val="24"/>
          <w:szCs w:val="24"/>
        </w:rPr>
        <w:t xml:space="preserve"> . . . .</w:t>
      </w:r>
      <w:r w:rsidR="00DA6D3E" w:rsidRPr="00DA6D3E">
        <w:rPr>
          <w:sz w:val="24"/>
          <w:szCs w:val="24"/>
        </w:rPr>
        <w:t xml:space="preserve"> </w:t>
      </w:r>
      <w:r w:rsidR="00DA6D3E">
        <w:rPr>
          <w:sz w:val="24"/>
          <w:szCs w:val="24"/>
        </w:rPr>
        <w:t>[t]</w:t>
      </w:r>
      <w:r w:rsidR="00DA6D3E" w:rsidRPr="00DA6D3E">
        <w:rPr>
          <w:sz w:val="24"/>
          <w:szCs w:val="24"/>
        </w:rPr>
        <w:t>he plan may provide for or includ</w:t>
      </w:r>
      <w:r w:rsidR="00DA6D3E">
        <w:rPr>
          <w:sz w:val="24"/>
          <w:szCs w:val="24"/>
        </w:rPr>
        <w:t xml:space="preserve">e </w:t>
      </w:r>
      <w:proofErr w:type="gramStart"/>
      <w:r w:rsidR="00DA6D3E">
        <w:rPr>
          <w:sz w:val="24"/>
          <w:szCs w:val="24"/>
        </w:rPr>
        <w:t>. . . .</w:t>
      </w:r>
      <w:proofErr w:type="gramEnd"/>
      <w:r w:rsidR="00DA6D3E">
        <w:rPr>
          <w:sz w:val="24"/>
          <w:szCs w:val="24"/>
        </w:rPr>
        <w:t xml:space="preserve"> a non-</w:t>
      </w:r>
      <w:proofErr w:type="spellStart"/>
      <w:r w:rsidR="00DA6D3E">
        <w:rPr>
          <w:sz w:val="24"/>
          <w:szCs w:val="24"/>
        </w:rPr>
        <w:t>bypassable</w:t>
      </w:r>
      <w:proofErr w:type="spellEnd"/>
      <w:r w:rsidR="00DA6D3E">
        <w:rPr>
          <w:sz w:val="24"/>
          <w:szCs w:val="24"/>
        </w:rPr>
        <w:t xml:space="preserve"> surcharge.”</w:t>
      </w:r>
      <w:r w:rsidR="0064785A">
        <w:rPr>
          <w:rStyle w:val="FootnoteReference"/>
          <w:sz w:val="24"/>
          <w:szCs w:val="24"/>
        </w:rPr>
        <w:footnoteReference w:id="35"/>
      </w:r>
      <w:r w:rsidR="009374D7">
        <w:rPr>
          <w:sz w:val="24"/>
          <w:szCs w:val="24"/>
        </w:rPr>
        <w:t xml:space="preserve">  Thus, </w:t>
      </w:r>
      <w:r w:rsidR="001D731E">
        <w:rPr>
          <w:sz w:val="24"/>
          <w:szCs w:val="24"/>
        </w:rPr>
        <w:t xml:space="preserve">construing these statutes together, </w:t>
      </w:r>
      <w:r w:rsidR="009374D7">
        <w:rPr>
          <w:sz w:val="24"/>
          <w:szCs w:val="24"/>
        </w:rPr>
        <w:t xml:space="preserve">the General Assembly has provided that the recovery of renewable generation costs </w:t>
      </w:r>
      <w:r w:rsidR="009A6F72">
        <w:rPr>
          <w:sz w:val="24"/>
          <w:szCs w:val="24"/>
        </w:rPr>
        <w:t>is</w:t>
      </w:r>
      <w:r w:rsidR="009374D7">
        <w:rPr>
          <w:sz w:val="24"/>
          <w:szCs w:val="24"/>
        </w:rPr>
        <w:t xml:space="preserve"> not eligible for a non-</w:t>
      </w:r>
      <w:proofErr w:type="spellStart"/>
      <w:r w:rsidR="009374D7">
        <w:rPr>
          <w:sz w:val="24"/>
          <w:szCs w:val="24"/>
        </w:rPr>
        <w:t>bypassable</w:t>
      </w:r>
      <w:proofErr w:type="spellEnd"/>
      <w:r w:rsidR="009374D7">
        <w:rPr>
          <w:sz w:val="24"/>
          <w:szCs w:val="24"/>
        </w:rPr>
        <w:t xml:space="preserve"> surcharge under R.C. 4928.143(B)(2)(c).</w:t>
      </w:r>
      <w:r w:rsidR="00E439C1">
        <w:rPr>
          <w:sz w:val="24"/>
          <w:szCs w:val="24"/>
        </w:rPr>
        <w:t xml:space="preserve">  </w:t>
      </w:r>
      <w:r w:rsidR="00741854">
        <w:rPr>
          <w:sz w:val="24"/>
          <w:szCs w:val="24"/>
        </w:rPr>
        <w:t>Likewise</w:t>
      </w:r>
      <w:r w:rsidR="00376ED6">
        <w:rPr>
          <w:sz w:val="24"/>
          <w:szCs w:val="24"/>
        </w:rPr>
        <w:t xml:space="preserve">, </w:t>
      </w:r>
      <w:r w:rsidR="0042538F">
        <w:rPr>
          <w:sz w:val="24"/>
          <w:szCs w:val="24"/>
        </w:rPr>
        <w:t xml:space="preserve">interpreting the </w:t>
      </w:r>
      <w:r w:rsidR="00741854">
        <w:rPr>
          <w:sz w:val="24"/>
          <w:szCs w:val="24"/>
        </w:rPr>
        <w:t xml:space="preserve">ESP </w:t>
      </w:r>
      <w:r w:rsidR="0042538F">
        <w:rPr>
          <w:sz w:val="24"/>
          <w:szCs w:val="24"/>
        </w:rPr>
        <w:t>statute to permit</w:t>
      </w:r>
      <w:r w:rsidR="00376ED6">
        <w:rPr>
          <w:sz w:val="24"/>
          <w:szCs w:val="24"/>
        </w:rPr>
        <w:t xml:space="preserve"> non-</w:t>
      </w:r>
      <w:proofErr w:type="spellStart"/>
      <w:r w:rsidR="00376ED6">
        <w:rPr>
          <w:sz w:val="24"/>
          <w:szCs w:val="24"/>
        </w:rPr>
        <w:t>bypassable</w:t>
      </w:r>
      <w:proofErr w:type="spellEnd"/>
      <w:r w:rsidR="00376ED6">
        <w:rPr>
          <w:sz w:val="24"/>
          <w:szCs w:val="24"/>
        </w:rPr>
        <w:t xml:space="preserve"> cost recovery</w:t>
      </w:r>
      <w:r w:rsidR="0042538F">
        <w:rPr>
          <w:sz w:val="24"/>
          <w:szCs w:val="24"/>
        </w:rPr>
        <w:t xml:space="preserve"> </w:t>
      </w:r>
      <w:r w:rsidR="00741854">
        <w:rPr>
          <w:sz w:val="24"/>
          <w:szCs w:val="24"/>
        </w:rPr>
        <w:t>for</w:t>
      </w:r>
      <w:r w:rsidR="00376ED6">
        <w:rPr>
          <w:sz w:val="24"/>
          <w:szCs w:val="24"/>
        </w:rPr>
        <w:t xml:space="preserve"> renewable generation</w:t>
      </w:r>
      <w:r w:rsidR="0042538F">
        <w:rPr>
          <w:sz w:val="24"/>
          <w:szCs w:val="24"/>
        </w:rPr>
        <w:t xml:space="preserve"> development </w:t>
      </w:r>
      <w:r w:rsidR="00741854">
        <w:rPr>
          <w:sz w:val="24"/>
          <w:szCs w:val="24"/>
        </w:rPr>
        <w:t>beyond</w:t>
      </w:r>
      <w:r w:rsidR="00465D84">
        <w:rPr>
          <w:sz w:val="24"/>
          <w:szCs w:val="24"/>
        </w:rPr>
        <w:t xml:space="preserve"> the levels contemplated by the </w:t>
      </w:r>
      <w:r w:rsidR="005078F1">
        <w:rPr>
          <w:sz w:val="24"/>
          <w:szCs w:val="24"/>
        </w:rPr>
        <w:t xml:space="preserve">RPS </w:t>
      </w:r>
      <w:r w:rsidR="006059B9">
        <w:rPr>
          <w:sz w:val="24"/>
          <w:szCs w:val="24"/>
        </w:rPr>
        <w:t xml:space="preserve">would </w:t>
      </w:r>
      <w:r w:rsidR="00BD334B">
        <w:rPr>
          <w:sz w:val="24"/>
          <w:szCs w:val="24"/>
        </w:rPr>
        <w:t>lead to an absurd result that the Generally Assembly did not intend.</w:t>
      </w:r>
    </w:p>
    <w:p w14:paraId="6D170D2B" w14:textId="0829A3CD" w:rsidR="009076DF" w:rsidRDefault="001858DD" w:rsidP="001858DD">
      <w:pPr>
        <w:tabs>
          <w:tab w:val="left" w:pos="360"/>
        </w:tabs>
        <w:spacing w:after="0" w:line="480" w:lineRule="auto"/>
        <w:jc w:val="both"/>
        <w:rPr>
          <w:sz w:val="24"/>
          <w:szCs w:val="24"/>
        </w:rPr>
      </w:pPr>
      <w:r>
        <w:rPr>
          <w:sz w:val="24"/>
          <w:szCs w:val="24"/>
        </w:rPr>
        <w:tab/>
      </w:r>
      <w:r>
        <w:rPr>
          <w:sz w:val="24"/>
          <w:szCs w:val="24"/>
        </w:rPr>
        <w:tab/>
        <w:t>This legal conclusion is further reinforced by subsequent amendments to Ohio’s RPS standard.</w:t>
      </w:r>
      <w:r w:rsidR="00B33A76">
        <w:rPr>
          <w:sz w:val="24"/>
          <w:szCs w:val="24"/>
        </w:rPr>
        <w:t xml:space="preserve"> </w:t>
      </w:r>
      <w:r w:rsidR="00F1643C">
        <w:rPr>
          <w:sz w:val="24"/>
          <w:szCs w:val="24"/>
        </w:rPr>
        <w:t>Fast forward to 2013, the General Assembly passed Senate Bill 310</w:t>
      </w:r>
      <w:r w:rsidR="007862F4">
        <w:rPr>
          <w:sz w:val="24"/>
          <w:szCs w:val="24"/>
        </w:rPr>
        <w:t xml:space="preserve"> (“SB 310”)</w:t>
      </w:r>
      <w:r w:rsidR="00F1643C">
        <w:rPr>
          <w:sz w:val="24"/>
          <w:szCs w:val="24"/>
        </w:rPr>
        <w:t xml:space="preserve">.  The law placed a temporary freeze on renewable portfolio standards and energy </w:t>
      </w:r>
      <w:r w:rsidR="00F1643C">
        <w:rPr>
          <w:sz w:val="24"/>
          <w:szCs w:val="24"/>
        </w:rPr>
        <w:lastRenderedPageBreak/>
        <w:t>efficiency standards.</w:t>
      </w:r>
      <w:r w:rsidR="00F1643C">
        <w:rPr>
          <w:rStyle w:val="FootnoteReference"/>
          <w:sz w:val="24"/>
          <w:szCs w:val="24"/>
        </w:rPr>
        <w:footnoteReference w:id="36"/>
      </w:r>
      <w:r w:rsidR="00826D2D">
        <w:rPr>
          <w:sz w:val="24"/>
          <w:szCs w:val="24"/>
        </w:rPr>
        <w:t xml:space="preserve">  The law also </w:t>
      </w:r>
      <w:r w:rsidR="0001187B">
        <w:rPr>
          <w:sz w:val="24"/>
          <w:szCs w:val="24"/>
        </w:rPr>
        <w:t>specifically required EDUs and CRES providers to disclose the cost of compliance with the RPS.</w:t>
      </w:r>
      <w:r w:rsidR="0001187B">
        <w:rPr>
          <w:rStyle w:val="FootnoteReference"/>
          <w:sz w:val="24"/>
          <w:szCs w:val="24"/>
        </w:rPr>
        <w:footnoteReference w:id="37"/>
      </w:r>
      <w:r w:rsidR="00F1643C">
        <w:rPr>
          <w:sz w:val="24"/>
          <w:szCs w:val="24"/>
        </w:rPr>
        <w:t xml:space="preserve"> </w:t>
      </w:r>
    </w:p>
    <w:p w14:paraId="43BD9CF9" w14:textId="73E463CB" w:rsidR="00F1643C" w:rsidRDefault="009076DF" w:rsidP="001858DD">
      <w:pPr>
        <w:tabs>
          <w:tab w:val="left" w:pos="360"/>
        </w:tabs>
        <w:spacing w:after="0" w:line="480" w:lineRule="auto"/>
        <w:jc w:val="both"/>
        <w:rPr>
          <w:sz w:val="24"/>
          <w:szCs w:val="24"/>
        </w:rPr>
      </w:pPr>
      <w:r>
        <w:rPr>
          <w:sz w:val="24"/>
          <w:szCs w:val="24"/>
        </w:rPr>
        <w:tab/>
      </w:r>
      <w:r>
        <w:rPr>
          <w:sz w:val="24"/>
          <w:szCs w:val="24"/>
        </w:rPr>
        <w:tab/>
        <w:t xml:space="preserve">SB 310 </w:t>
      </w:r>
      <w:r w:rsidR="00F1643C">
        <w:rPr>
          <w:sz w:val="24"/>
          <w:szCs w:val="24"/>
        </w:rPr>
        <w:t>eliminated the requirement to source renewable electricity from facilities physically located in the state of Ohio.</w:t>
      </w:r>
      <w:r w:rsidR="00F1643C">
        <w:rPr>
          <w:rStyle w:val="FootnoteReference"/>
          <w:sz w:val="24"/>
          <w:szCs w:val="24"/>
        </w:rPr>
        <w:footnoteReference w:id="38"/>
      </w:r>
      <w:r w:rsidR="00F1643C">
        <w:rPr>
          <w:sz w:val="24"/>
          <w:szCs w:val="24"/>
        </w:rPr>
        <w:t xml:space="preserve">  </w:t>
      </w:r>
      <w:r w:rsidR="00401098">
        <w:rPr>
          <w:sz w:val="24"/>
          <w:szCs w:val="24"/>
        </w:rPr>
        <w:t xml:space="preserve">As IGS testified, </w:t>
      </w:r>
      <w:r w:rsidR="009D6E11">
        <w:rPr>
          <w:sz w:val="24"/>
          <w:szCs w:val="24"/>
        </w:rPr>
        <w:t>although</w:t>
      </w:r>
      <w:r w:rsidR="00401098">
        <w:rPr>
          <w:sz w:val="24"/>
          <w:szCs w:val="24"/>
        </w:rPr>
        <w:t xml:space="preserve"> in-state renewable </w:t>
      </w:r>
      <w:r w:rsidR="00621273">
        <w:rPr>
          <w:sz w:val="24"/>
          <w:szCs w:val="24"/>
        </w:rPr>
        <w:t>requirement would</w:t>
      </w:r>
      <w:r w:rsidR="00046848">
        <w:rPr>
          <w:sz w:val="24"/>
          <w:szCs w:val="24"/>
        </w:rPr>
        <w:t xml:space="preserve"> provide increased</w:t>
      </w:r>
      <w:r w:rsidR="00621273">
        <w:rPr>
          <w:sz w:val="24"/>
          <w:szCs w:val="24"/>
        </w:rPr>
        <w:t xml:space="preserve"> incentiv</w:t>
      </w:r>
      <w:r w:rsidR="00046848">
        <w:rPr>
          <w:sz w:val="24"/>
          <w:szCs w:val="24"/>
        </w:rPr>
        <w:t>es for the</w:t>
      </w:r>
      <w:r w:rsidR="00621273">
        <w:rPr>
          <w:sz w:val="24"/>
          <w:szCs w:val="24"/>
        </w:rPr>
        <w:t xml:space="preserve"> development of renewable energy resources, the General Assembly</w:t>
      </w:r>
      <w:r w:rsidR="00046848">
        <w:rPr>
          <w:sz w:val="24"/>
          <w:szCs w:val="24"/>
        </w:rPr>
        <w:t xml:space="preserve"> has chosen a different direction.</w:t>
      </w:r>
      <w:r w:rsidR="00046848">
        <w:rPr>
          <w:rStyle w:val="FootnoteReference"/>
          <w:sz w:val="24"/>
          <w:szCs w:val="24"/>
        </w:rPr>
        <w:footnoteReference w:id="39"/>
      </w:r>
      <w:r w:rsidR="00046848">
        <w:rPr>
          <w:sz w:val="24"/>
          <w:szCs w:val="24"/>
        </w:rPr>
        <w:t xml:space="preserve"> </w:t>
      </w:r>
      <w:r w:rsidR="00621273">
        <w:rPr>
          <w:sz w:val="24"/>
          <w:szCs w:val="24"/>
        </w:rPr>
        <w:t xml:space="preserve"> </w:t>
      </w:r>
      <w:r w:rsidR="00F1643C">
        <w:rPr>
          <w:sz w:val="24"/>
          <w:szCs w:val="24"/>
        </w:rPr>
        <w:t>While “</w:t>
      </w:r>
      <w:r w:rsidR="00F1643C" w:rsidRPr="00F6709E">
        <w:rPr>
          <w:sz w:val="24"/>
          <w:szCs w:val="24"/>
        </w:rPr>
        <w:t>some may not agree with the policy -</w:t>
      </w:r>
      <w:r w:rsidR="00A84873">
        <w:rPr>
          <w:sz w:val="24"/>
          <w:szCs w:val="24"/>
        </w:rPr>
        <w:t xml:space="preserve"> </w:t>
      </w:r>
      <w:r w:rsidR="00F1643C" w:rsidRPr="00F6709E">
        <w:rPr>
          <w:sz w:val="24"/>
          <w:szCs w:val="24"/>
        </w:rPr>
        <w:t>some want to increase the RPS and some want to eliminate it all together; however, we live in a democracy, and the State of Ohio has settled on a statutory construct to incent renewable energy</w:t>
      </w:r>
      <w:r w:rsidR="00F1643C">
        <w:rPr>
          <w:sz w:val="24"/>
          <w:szCs w:val="24"/>
        </w:rPr>
        <w:t xml:space="preserve"> </w:t>
      </w:r>
      <w:r w:rsidR="00F1643C" w:rsidRPr="00F6709E">
        <w:rPr>
          <w:sz w:val="24"/>
          <w:szCs w:val="24"/>
        </w:rPr>
        <w:t>generation</w:t>
      </w:r>
      <w:r w:rsidR="00F1643C">
        <w:rPr>
          <w:sz w:val="24"/>
          <w:szCs w:val="24"/>
        </w:rPr>
        <w:t>.”</w:t>
      </w:r>
      <w:r w:rsidR="00F1643C">
        <w:rPr>
          <w:rStyle w:val="FootnoteReference"/>
          <w:sz w:val="24"/>
          <w:szCs w:val="24"/>
        </w:rPr>
        <w:footnoteReference w:id="40"/>
      </w:r>
      <w:r w:rsidR="001D731E">
        <w:rPr>
          <w:sz w:val="24"/>
          <w:szCs w:val="24"/>
        </w:rPr>
        <w:t xml:space="preserve"> </w:t>
      </w:r>
      <w:r w:rsidR="00727846">
        <w:rPr>
          <w:sz w:val="24"/>
          <w:szCs w:val="24"/>
        </w:rPr>
        <w:t xml:space="preserve">Likewise, some customers may want renewable generation; others may not. </w:t>
      </w:r>
    </w:p>
    <w:p w14:paraId="7903324F" w14:textId="2ACCE390" w:rsidR="009374D7" w:rsidRDefault="00F1643C" w:rsidP="00637EFC">
      <w:pPr>
        <w:tabs>
          <w:tab w:val="left" w:pos="360"/>
        </w:tabs>
        <w:spacing w:after="0" w:line="480" w:lineRule="auto"/>
        <w:jc w:val="both"/>
        <w:rPr>
          <w:sz w:val="24"/>
          <w:szCs w:val="24"/>
        </w:rPr>
      </w:pPr>
      <w:r>
        <w:rPr>
          <w:sz w:val="24"/>
          <w:szCs w:val="24"/>
        </w:rPr>
        <w:tab/>
      </w:r>
      <w:r>
        <w:rPr>
          <w:sz w:val="24"/>
          <w:szCs w:val="24"/>
        </w:rPr>
        <w:tab/>
        <w:t>“[S]</w:t>
      </w:r>
      <w:proofErr w:type="spellStart"/>
      <w:r>
        <w:rPr>
          <w:sz w:val="24"/>
          <w:szCs w:val="24"/>
        </w:rPr>
        <w:t>i</w:t>
      </w:r>
      <w:r w:rsidRPr="00F6709E">
        <w:rPr>
          <w:sz w:val="24"/>
          <w:szCs w:val="24"/>
        </w:rPr>
        <w:t>nce</w:t>
      </w:r>
      <w:proofErr w:type="spellEnd"/>
      <w:r w:rsidRPr="00F6709E">
        <w:rPr>
          <w:sz w:val="24"/>
          <w:szCs w:val="24"/>
        </w:rPr>
        <w:t xml:space="preserve"> the enactment of SB 310 load serving</w:t>
      </w:r>
      <w:r>
        <w:rPr>
          <w:sz w:val="24"/>
          <w:szCs w:val="24"/>
        </w:rPr>
        <w:t xml:space="preserve"> </w:t>
      </w:r>
      <w:r w:rsidRPr="00F6709E">
        <w:rPr>
          <w:sz w:val="24"/>
          <w:szCs w:val="24"/>
        </w:rPr>
        <w:t>entities have had little difficulty meeting the RPS or SRPS requirements.</w:t>
      </w:r>
      <w:r>
        <w:rPr>
          <w:sz w:val="24"/>
          <w:szCs w:val="24"/>
        </w:rPr>
        <w:t>”</w:t>
      </w:r>
      <w:r>
        <w:rPr>
          <w:rStyle w:val="FootnoteReference"/>
          <w:sz w:val="24"/>
          <w:szCs w:val="24"/>
        </w:rPr>
        <w:footnoteReference w:id="41"/>
      </w:r>
      <w:r>
        <w:rPr>
          <w:sz w:val="24"/>
          <w:szCs w:val="24"/>
        </w:rPr>
        <w:t xml:space="preserve"> </w:t>
      </w:r>
      <w:r w:rsidR="00637EFC">
        <w:rPr>
          <w:sz w:val="24"/>
          <w:szCs w:val="24"/>
        </w:rPr>
        <w:t>Indeed, AEP Ohio concedes that it will have no difficulty meeting these requirements.</w:t>
      </w:r>
      <w:r w:rsidR="0047216A">
        <w:rPr>
          <w:rStyle w:val="FootnoteReference"/>
          <w:sz w:val="24"/>
          <w:szCs w:val="24"/>
        </w:rPr>
        <w:footnoteReference w:id="42"/>
      </w:r>
      <w:r w:rsidR="00637EFC">
        <w:rPr>
          <w:sz w:val="24"/>
          <w:szCs w:val="24"/>
        </w:rPr>
        <w:t xml:space="preserve">  </w:t>
      </w:r>
      <w:r>
        <w:rPr>
          <w:sz w:val="24"/>
          <w:szCs w:val="24"/>
        </w:rPr>
        <w:t>Mor</w:t>
      </w:r>
      <w:r w:rsidR="00B854E8">
        <w:rPr>
          <w:sz w:val="24"/>
          <w:szCs w:val="24"/>
        </w:rPr>
        <w:t>eo</w:t>
      </w:r>
      <w:r>
        <w:rPr>
          <w:sz w:val="24"/>
          <w:szCs w:val="24"/>
        </w:rPr>
        <w:t>ver,</w:t>
      </w:r>
      <w:r w:rsidRPr="00F6709E">
        <w:t xml:space="preserve"> </w:t>
      </w:r>
      <w:r>
        <w:t>“</w:t>
      </w:r>
      <w:r w:rsidRPr="00F6709E">
        <w:rPr>
          <w:sz w:val="24"/>
          <w:szCs w:val="24"/>
        </w:rPr>
        <w:t>Ohio law allows load serving entities to apply at the PUCO for relief of the RPS and SRPS requirements if compliance with the statute exceeds 3% of the total electric costs.</w:t>
      </w:r>
      <w:r>
        <w:rPr>
          <w:sz w:val="24"/>
          <w:szCs w:val="24"/>
        </w:rPr>
        <w:t>”</w:t>
      </w:r>
      <w:r>
        <w:rPr>
          <w:rStyle w:val="FootnoteReference"/>
          <w:sz w:val="24"/>
          <w:szCs w:val="24"/>
        </w:rPr>
        <w:footnoteReference w:id="43"/>
      </w:r>
      <w:r w:rsidR="009374D7">
        <w:rPr>
          <w:sz w:val="24"/>
          <w:szCs w:val="24"/>
        </w:rPr>
        <w:t xml:space="preserve">  </w:t>
      </w:r>
      <w:r w:rsidR="00D7626D">
        <w:rPr>
          <w:sz w:val="24"/>
          <w:szCs w:val="24"/>
        </w:rPr>
        <w:t xml:space="preserve">Further, an EDU or CRES </w:t>
      </w:r>
      <w:r w:rsidR="00D7626D">
        <w:rPr>
          <w:sz w:val="24"/>
          <w:szCs w:val="24"/>
        </w:rPr>
        <w:lastRenderedPageBreak/>
        <w:t xml:space="preserve">provider “a </w:t>
      </w:r>
      <w:r w:rsidR="00286837" w:rsidRPr="00286837">
        <w:rPr>
          <w:sz w:val="24"/>
          <w:szCs w:val="24"/>
        </w:rPr>
        <w:t>force majeure determination pursuant to this division regarding all or part of the utility's or company's compliance with any minimum benchmark under division (B)(2) of this section during the period of review occurring pursuant to division (C)(2) of this section.</w:t>
      </w:r>
      <w:r w:rsidR="00D7626D">
        <w:rPr>
          <w:sz w:val="24"/>
          <w:szCs w:val="24"/>
        </w:rPr>
        <w:t>”</w:t>
      </w:r>
      <w:r w:rsidR="00D7626D">
        <w:rPr>
          <w:rStyle w:val="FootnoteReference"/>
          <w:sz w:val="24"/>
          <w:szCs w:val="24"/>
        </w:rPr>
        <w:footnoteReference w:id="44"/>
      </w:r>
      <w:r w:rsidR="00D7626D">
        <w:rPr>
          <w:sz w:val="24"/>
          <w:szCs w:val="24"/>
        </w:rPr>
        <w:t xml:space="preserve"> </w:t>
      </w:r>
      <w:r w:rsidR="009374D7">
        <w:rPr>
          <w:sz w:val="24"/>
          <w:szCs w:val="24"/>
        </w:rPr>
        <w:t>Thus, when there is a challenge procuring reasonably priced market-based renewable generation, the General Assembly did not intend for EDUs to build new generation in response—rather, load serving entities are excused from their obligation to procure renewable energy.  In any event,</w:t>
      </w:r>
      <w:r>
        <w:rPr>
          <w:sz w:val="24"/>
          <w:szCs w:val="24"/>
        </w:rPr>
        <w:t xml:space="preserve"> </w:t>
      </w:r>
      <w:r w:rsidR="009374D7">
        <w:rPr>
          <w:sz w:val="24"/>
          <w:szCs w:val="24"/>
        </w:rPr>
        <w:t>s</w:t>
      </w:r>
      <w:r>
        <w:rPr>
          <w:sz w:val="24"/>
          <w:szCs w:val="24"/>
        </w:rPr>
        <w:t>ince the enactment of SB 310, no entity has sought to reduce its RPS or SRPS, which is an indication that entities are not having difficulty meeting the State’s need for renewable energy.</w:t>
      </w:r>
      <w:r w:rsidR="00466EB3">
        <w:rPr>
          <w:rStyle w:val="FootnoteReference"/>
          <w:sz w:val="24"/>
          <w:szCs w:val="24"/>
        </w:rPr>
        <w:footnoteReference w:id="45"/>
      </w:r>
    </w:p>
    <w:p w14:paraId="62C66340" w14:textId="4A1C87A3" w:rsidR="00F1643C" w:rsidRDefault="00C87B1A" w:rsidP="00F1643C">
      <w:pPr>
        <w:tabs>
          <w:tab w:val="left" w:pos="360"/>
        </w:tabs>
        <w:spacing w:after="0" w:line="480" w:lineRule="auto"/>
        <w:jc w:val="both"/>
        <w:rPr>
          <w:sz w:val="24"/>
          <w:szCs w:val="24"/>
        </w:rPr>
      </w:pPr>
      <w:r>
        <w:rPr>
          <w:sz w:val="24"/>
          <w:szCs w:val="24"/>
        </w:rPr>
        <w:tab/>
      </w:r>
      <w:r>
        <w:rPr>
          <w:sz w:val="24"/>
          <w:szCs w:val="24"/>
        </w:rPr>
        <w:tab/>
        <w:t>Moreover, t</w:t>
      </w:r>
      <w:r w:rsidR="00F1643C">
        <w:rPr>
          <w:sz w:val="24"/>
          <w:szCs w:val="24"/>
        </w:rPr>
        <w:t>he current RPS standard is working well. “</w:t>
      </w:r>
      <w:r w:rsidR="00F1643C" w:rsidRPr="00F6709E">
        <w:rPr>
          <w:sz w:val="24"/>
          <w:szCs w:val="24"/>
        </w:rPr>
        <w:t>Evidence that the</w:t>
      </w:r>
      <w:r w:rsidR="00F1643C">
        <w:rPr>
          <w:sz w:val="24"/>
          <w:szCs w:val="24"/>
        </w:rPr>
        <w:t xml:space="preserve"> </w:t>
      </w:r>
      <w:r w:rsidR="00F1643C" w:rsidRPr="00F6709E">
        <w:rPr>
          <w:sz w:val="24"/>
          <w:szCs w:val="24"/>
        </w:rPr>
        <w:t>RPS is working is that cost of RPS compliance has come down significantly since</w:t>
      </w:r>
      <w:r w:rsidR="00F1643C">
        <w:rPr>
          <w:sz w:val="24"/>
          <w:szCs w:val="24"/>
        </w:rPr>
        <w:t xml:space="preserve"> </w:t>
      </w:r>
      <w:r w:rsidR="00F1643C" w:rsidRPr="00F6709E">
        <w:rPr>
          <w:sz w:val="24"/>
          <w:szCs w:val="24"/>
        </w:rPr>
        <w:t>implementation of RPS requirements, while the percentage of renewable energy</w:t>
      </w:r>
      <w:r w:rsidR="00F1643C">
        <w:rPr>
          <w:sz w:val="24"/>
          <w:szCs w:val="24"/>
        </w:rPr>
        <w:t xml:space="preserve"> </w:t>
      </w:r>
      <w:r w:rsidR="00F1643C" w:rsidRPr="00F6709E">
        <w:rPr>
          <w:sz w:val="24"/>
          <w:szCs w:val="24"/>
        </w:rPr>
        <w:t>being built and supplied in Ohio continues to rise.</w:t>
      </w:r>
      <w:r w:rsidR="00F1643C">
        <w:rPr>
          <w:sz w:val="24"/>
          <w:szCs w:val="24"/>
        </w:rPr>
        <w:t>”</w:t>
      </w:r>
      <w:r w:rsidR="00F1643C">
        <w:rPr>
          <w:rStyle w:val="FootnoteReference"/>
          <w:sz w:val="24"/>
          <w:szCs w:val="24"/>
        </w:rPr>
        <w:footnoteReference w:id="46"/>
      </w:r>
      <w:r w:rsidR="003371C4">
        <w:rPr>
          <w:sz w:val="24"/>
          <w:szCs w:val="24"/>
        </w:rPr>
        <w:t xml:space="preserve"> </w:t>
      </w:r>
      <w:r w:rsidR="00F1643C">
        <w:rPr>
          <w:sz w:val="24"/>
          <w:szCs w:val="24"/>
        </w:rPr>
        <w:t xml:space="preserve"> And “i</w:t>
      </w:r>
      <w:r w:rsidR="00F1643C" w:rsidRPr="00F6709E">
        <w:rPr>
          <w:sz w:val="24"/>
          <w:szCs w:val="24"/>
        </w:rPr>
        <w:t>f it is the will of the citizens of the State of Ohio to build</w:t>
      </w:r>
      <w:r w:rsidR="00F1643C">
        <w:rPr>
          <w:sz w:val="24"/>
          <w:szCs w:val="24"/>
        </w:rPr>
        <w:t xml:space="preserve"> </w:t>
      </w:r>
      <w:r w:rsidR="00F1643C" w:rsidRPr="00F6709E">
        <w:rPr>
          <w:sz w:val="24"/>
          <w:szCs w:val="24"/>
        </w:rPr>
        <w:t>more solar or wind, the State legislature could simply increase the SRPS requirement or add an in-state procurement requirement to its SRPS</w:t>
      </w:r>
      <w:r w:rsidR="00F1643C">
        <w:rPr>
          <w:sz w:val="24"/>
          <w:szCs w:val="24"/>
        </w:rPr>
        <w:t>.”</w:t>
      </w:r>
      <w:r w:rsidR="00F1643C">
        <w:rPr>
          <w:rStyle w:val="FootnoteReference"/>
          <w:sz w:val="24"/>
          <w:szCs w:val="24"/>
        </w:rPr>
        <w:footnoteReference w:id="47"/>
      </w:r>
      <w:r w:rsidR="00F1643C">
        <w:rPr>
          <w:sz w:val="24"/>
          <w:szCs w:val="24"/>
        </w:rPr>
        <w:t xml:space="preserve">  Through such </w:t>
      </w:r>
      <w:r w:rsidR="003371C4">
        <w:rPr>
          <w:sz w:val="24"/>
          <w:szCs w:val="24"/>
        </w:rPr>
        <w:t xml:space="preserve">competitively neutral policies, </w:t>
      </w:r>
      <w:r w:rsidR="00F1643C">
        <w:rPr>
          <w:sz w:val="24"/>
          <w:szCs w:val="24"/>
        </w:rPr>
        <w:t>the States of Pennsylvania and New Jersey increased the development of in-state solar.</w:t>
      </w:r>
      <w:r w:rsidR="00F1643C">
        <w:rPr>
          <w:rStyle w:val="FootnoteReference"/>
          <w:sz w:val="24"/>
          <w:szCs w:val="24"/>
        </w:rPr>
        <w:footnoteReference w:id="48"/>
      </w:r>
      <w:r w:rsidR="00F1643C" w:rsidRPr="00F6709E">
        <w:t xml:space="preserve"> </w:t>
      </w:r>
      <w:r w:rsidR="00F1643C">
        <w:t xml:space="preserve"> </w:t>
      </w:r>
      <w:r w:rsidR="00F1643C">
        <w:rPr>
          <w:sz w:val="24"/>
          <w:szCs w:val="24"/>
        </w:rPr>
        <w:t xml:space="preserve">While IGS takes no position in this case whether there </w:t>
      </w:r>
      <w:r w:rsidR="00F1643C">
        <w:rPr>
          <w:i/>
          <w:sz w:val="24"/>
          <w:szCs w:val="24"/>
        </w:rPr>
        <w:t xml:space="preserve">should </w:t>
      </w:r>
      <w:r w:rsidR="00F1643C">
        <w:rPr>
          <w:sz w:val="24"/>
          <w:szCs w:val="24"/>
        </w:rPr>
        <w:t>be an in-state requirement “[t]he</w:t>
      </w:r>
      <w:r w:rsidR="00F1643C" w:rsidRPr="00F6709E">
        <w:rPr>
          <w:sz w:val="24"/>
          <w:szCs w:val="24"/>
        </w:rPr>
        <w:t xml:space="preserve"> fact that</w:t>
      </w:r>
      <w:r w:rsidR="00F1643C">
        <w:rPr>
          <w:sz w:val="24"/>
          <w:szCs w:val="24"/>
        </w:rPr>
        <w:t xml:space="preserve"> </w:t>
      </w:r>
      <w:r w:rsidR="00F1643C" w:rsidRPr="00F6709E">
        <w:rPr>
          <w:sz w:val="24"/>
          <w:szCs w:val="24"/>
        </w:rPr>
        <w:t xml:space="preserve">the Ohio legislature has eliminated the in-state SRPS </w:t>
      </w:r>
      <w:r w:rsidR="00F1643C" w:rsidRPr="00F6709E">
        <w:rPr>
          <w:sz w:val="24"/>
          <w:szCs w:val="24"/>
        </w:rPr>
        <w:lastRenderedPageBreak/>
        <w:t>requirements indicates the legislature does not believe there is a need to build additional resources beyond</w:t>
      </w:r>
      <w:r w:rsidR="00F1643C">
        <w:rPr>
          <w:sz w:val="24"/>
          <w:szCs w:val="24"/>
        </w:rPr>
        <w:t xml:space="preserve"> </w:t>
      </w:r>
      <w:r w:rsidR="00F1643C" w:rsidRPr="00F6709E">
        <w:rPr>
          <w:sz w:val="24"/>
          <w:szCs w:val="24"/>
        </w:rPr>
        <w:t>what the market is already building with the current available state and federal incentives</w:t>
      </w:r>
      <w:r w:rsidR="00F1643C">
        <w:rPr>
          <w:sz w:val="24"/>
          <w:szCs w:val="24"/>
        </w:rPr>
        <w:t>.”</w:t>
      </w:r>
      <w:r w:rsidR="00F1643C">
        <w:rPr>
          <w:rStyle w:val="FootnoteReference"/>
          <w:sz w:val="24"/>
          <w:szCs w:val="24"/>
        </w:rPr>
        <w:footnoteReference w:id="49"/>
      </w:r>
      <w:r w:rsidR="003621D8">
        <w:rPr>
          <w:sz w:val="24"/>
          <w:szCs w:val="24"/>
        </w:rPr>
        <w:t xml:space="preserve">  And the desire of a portion of AEP Ohio’s customers to </w:t>
      </w:r>
      <w:r w:rsidR="000823E4">
        <w:rPr>
          <w:sz w:val="24"/>
          <w:szCs w:val="24"/>
        </w:rPr>
        <w:t>develop additional renewable resources</w:t>
      </w:r>
      <w:r w:rsidR="008B3ECE">
        <w:rPr>
          <w:sz w:val="24"/>
          <w:szCs w:val="24"/>
        </w:rPr>
        <w:t xml:space="preserve"> within this state</w:t>
      </w:r>
      <w:r w:rsidR="000823E4">
        <w:rPr>
          <w:sz w:val="24"/>
          <w:szCs w:val="24"/>
        </w:rPr>
        <w:t xml:space="preserve"> does not translate to a need to do so in contravention to the General Assembly’s intent.</w:t>
      </w:r>
      <w:r w:rsidR="008A5DC0">
        <w:rPr>
          <w:sz w:val="24"/>
          <w:szCs w:val="24"/>
        </w:rPr>
        <w:t xml:space="preserve"> This is especially true given that customers that desire renewable energy are free to procure it on the competitive market</w:t>
      </w:r>
      <w:r w:rsidR="00FA01C0">
        <w:rPr>
          <w:sz w:val="24"/>
          <w:szCs w:val="24"/>
        </w:rPr>
        <w:t>.</w:t>
      </w:r>
      <w:r w:rsidR="00FA01C0">
        <w:rPr>
          <w:rStyle w:val="FootnoteReference"/>
          <w:sz w:val="24"/>
          <w:szCs w:val="24"/>
        </w:rPr>
        <w:footnoteReference w:id="50"/>
      </w:r>
      <w:r w:rsidR="000823E4">
        <w:rPr>
          <w:sz w:val="24"/>
          <w:szCs w:val="24"/>
        </w:rPr>
        <w:t xml:space="preserve">  </w:t>
      </w:r>
      <w:r w:rsidR="00F1643C">
        <w:rPr>
          <w:sz w:val="24"/>
          <w:szCs w:val="24"/>
        </w:rPr>
        <w:t xml:space="preserve"> </w:t>
      </w:r>
    </w:p>
    <w:p w14:paraId="06A2FA98" w14:textId="2321379F" w:rsidR="00FC73F3" w:rsidRPr="00FC73F3" w:rsidRDefault="00FC73F3" w:rsidP="00F1643C">
      <w:pPr>
        <w:tabs>
          <w:tab w:val="left" w:pos="360"/>
        </w:tabs>
        <w:spacing w:after="0" w:line="480" w:lineRule="auto"/>
        <w:jc w:val="both"/>
        <w:rPr>
          <w:sz w:val="24"/>
          <w:szCs w:val="24"/>
        </w:rPr>
      </w:pPr>
      <w:r>
        <w:rPr>
          <w:sz w:val="24"/>
          <w:szCs w:val="24"/>
        </w:rPr>
        <w:tab/>
      </w:r>
      <w:r>
        <w:rPr>
          <w:sz w:val="24"/>
          <w:szCs w:val="24"/>
        </w:rPr>
        <w:tab/>
        <w:t xml:space="preserve">Accordingly, IGS urges the Commission to conclude that AEP Ohio has submitted correct </w:t>
      </w:r>
      <w:r w:rsidR="00096AE7">
        <w:rPr>
          <w:sz w:val="24"/>
          <w:szCs w:val="24"/>
        </w:rPr>
        <w:t xml:space="preserve">data </w:t>
      </w:r>
      <w:r>
        <w:rPr>
          <w:sz w:val="24"/>
          <w:szCs w:val="24"/>
        </w:rPr>
        <w:t>projections</w:t>
      </w:r>
      <w:r w:rsidR="000E149D">
        <w:rPr>
          <w:sz w:val="24"/>
          <w:szCs w:val="24"/>
        </w:rPr>
        <w:t xml:space="preserve"> (AEP Ex. 1)</w:t>
      </w:r>
      <w:r>
        <w:rPr>
          <w:sz w:val="24"/>
          <w:szCs w:val="24"/>
        </w:rPr>
        <w:t xml:space="preserve"> of the future capacity requirements for the AEP Ohio service territory. But, given that AEP Ohio has not identified any imbalance between projected demand and the available supply, there is simply </w:t>
      </w:r>
      <w:r>
        <w:rPr>
          <w:i/>
          <w:sz w:val="24"/>
          <w:szCs w:val="24"/>
        </w:rPr>
        <w:t xml:space="preserve">no need </w:t>
      </w:r>
      <w:r>
        <w:rPr>
          <w:sz w:val="24"/>
          <w:szCs w:val="24"/>
        </w:rPr>
        <w:t>to construct new generation facilities</w:t>
      </w:r>
      <w:r w:rsidR="004E4748">
        <w:rPr>
          <w:sz w:val="24"/>
          <w:szCs w:val="24"/>
        </w:rPr>
        <w:t>.</w:t>
      </w:r>
    </w:p>
    <w:p w14:paraId="31DA70FB" w14:textId="77777777" w:rsidR="00FC73F3" w:rsidRPr="00FC73F3" w:rsidRDefault="00FC73F3" w:rsidP="00FC73F3">
      <w:pPr>
        <w:pStyle w:val="ListParagraph"/>
        <w:numPr>
          <w:ilvl w:val="0"/>
          <w:numId w:val="8"/>
        </w:numPr>
        <w:tabs>
          <w:tab w:val="left" w:pos="360"/>
        </w:tabs>
        <w:spacing w:after="0" w:line="480" w:lineRule="auto"/>
        <w:jc w:val="both"/>
        <w:rPr>
          <w:b/>
          <w:sz w:val="24"/>
          <w:szCs w:val="24"/>
        </w:rPr>
      </w:pPr>
      <w:r>
        <w:rPr>
          <w:b/>
          <w:sz w:val="24"/>
          <w:szCs w:val="24"/>
        </w:rPr>
        <w:t>AEP Ohio’s legal theory is neither correct nor supported by the evidence</w:t>
      </w:r>
    </w:p>
    <w:p w14:paraId="104369D5" w14:textId="45592F06" w:rsidR="004E4748" w:rsidRPr="004E4748" w:rsidRDefault="00FC73F3" w:rsidP="00A36421">
      <w:pPr>
        <w:tabs>
          <w:tab w:val="left" w:pos="360"/>
        </w:tabs>
        <w:spacing w:after="0" w:line="480" w:lineRule="auto"/>
        <w:jc w:val="both"/>
        <w:rPr>
          <w:sz w:val="24"/>
          <w:szCs w:val="24"/>
        </w:rPr>
      </w:pPr>
      <w:r>
        <w:rPr>
          <w:b/>
          <w:sz w:val="24"/>
          <w:szCs w:val="24"/>
        </w:rPr>
        <w:tab/>
      </w:r>
      <w:r w:rsidR="004E4748">
        <w:rPr>
          <w:sz w:val="24"/>
          <w:szCs w:val="24"/>
        </w:rPr>
        <w:tab/>
        <w:t>For the remainder of this brief, IGS places aside the law and focuses on AEP Ohio’s flawed, concocted theory of the case, which is based upon unsubstantiated and misleading factual assertions.  Specifically, while conceding that it does not need to construct generation for reliability purposes, AEP Ohio alleges that the Commission should find a need to construct at least 900 MWs of renewable generation because:  (1) a survey alleges that</w:t>
      </w:r>
      <w:r w:rsidR="001721DA">
        <w:rPr>
          <w:sz w:val="24"/>
          <w:szCs w:val="24"/>
        </w:rPr>
        <w:t xml:space="preserve"> a portion of its</w:t>
      </w:r>
      <w:r w:rsidR="004E4748">
        <w:rPr>
          <w:sz w:val="24"/>
          <w:szCs w:val="24"/>
        </w:rPr>
        <w:t xml:space="preserve"> customers </w:t>
      </w:r>
      <w:r w:rsidR="004E4748">
        <w:rPr>
          <w:i/>
          <w:sz w:val="24"/>
          <w:szCs w:val="24"/>
        </w:rPr>
        <w:t>want</w:t>
      </w:r>
      <w:r w:rsidR="001721DA">
        <w:rPr>
          <w:i/>
          <w:sz w:val="24"/>
          <w:szCs w:val="24"/>
        </w:rPr>
        <w:t xml:space="preserve"> </w:t>
      </w:r>
      <w:r w:rsidR="009F0BB5" w:rsidRPr="009F0BB5">
        <w:rPr>
          <w:sz w:val="24"/>
          <w:szCs w:val="24"/>
        </w:rPr>
        <w:t>additional renewable</w:t>
      </w:r>
      <w:r w:rsidR="004E4748">
        <w:rPr>
          <w:i/>
          <w:sz w:val="24"/>
          <w:szCs w:val="24"/>
        </w:rPr>
        <w:t xml:space="preserve"> </w:t>
      </w:r>
      <w:r w:rsidR="004E4748">
        <w:rPr>
          <w:sz w:val="24"/>
          <w:szCs w:val="24"/>
        </w:rPr>
        <w:t xml:space="preserve">generation; (2) in the long-term, the proposed renewable generation resources will be economically beneficial; </w:t>
      </w:r>
      <w:r w:rsidR="005B299C">
        <w:rPr>
          <w:sz w:val="24"/>
          <w:szCs w:val="24"/>
        </w:rPr>
        <w:t xml:space="preserve">and </w:t>
      </w:r>
      <w:r w:rsidR="004E4748">
        <w:rPr>
          <w:sz w:val="24"/>
          <w:szCs w:val="24"/>
        </w:rPr>
        <w:t xml:space="preserve">(3) the resources will be constructed in Ohio, which will provide localized economic benefits.  Each of these claims is incorrect or misleading; therefore, even if AEP </w:t>
      </w:r>
      <w:r w:rsidR="004E4748">
        <w:rPr>
          <w:sz w:val="24"/>
          <w:szCs w:val="24"/>
        </w:rPr>
        <w:lastRenderedPageBreak/>
        <w:t xml:space="preserve">Ohio’s proposed legal standard had any merit, AEP Ohio has not provided </w:t>
      </w:r>
      <w:proofErr w:type="gramStart"/>
      <w:r w:rsidR="004E4748">
        <w:rPr>
          <w:sz w:val="24"/>
          <w:szCs w:val="24"/>
        </w:rPr>
        <w:t>sufficient</w:t>
      </w:r>
      <w:proofErr w:type="gramEnd"/>
      <w:r w:rsidR="004E4748">
        <w:rPr>
          <w:sz w:val="24"/>
          <w:szCs w:val="24"/>
        </w:rPr>
        <w:t xml:space="preserve"> evidentiary support to establish a finding of need.</w:t>
      </w:r>
    </w:p>
    <w:p w14:paraId="4DFA73C1" w14:textId="5F066CB0" w:rsidR="00BC049E" w:rsidRPr="00A36421" w:rsidRDefault="00BC049E" w:rsidP="00F71379">
      <w:pPr>
        <w:pStyle w:val="ListParagraph"/>
        <w:numPr>
          <w:ilvl w:val="0"/>
          <w:numId w:val="3"/>
        </w:numPr>
        <w:tabs>
          <w:tab w:val="left" w:pos="360"/>
        </w:tabs>
        <w:spacing w:after="0" w:line="480" w:lineRule="auto"/>
        <w:jc w:val="both"/>
        <w:rPr>
          <w:sz w:val="24"/>
          <w:szCs w:val="24"/>
        </w:rPr>
      </w:pPr>
      <w:r w:rsidRPr="00A36421">
        <w:rPr>
          <w:b/>
          <w:sz w:val="24"/>
          <w:szCs w:val="24"/>
        </w:rPr>
        <w:t>The</w:t>
      </w:r>
      <w:r w:rsidR="00997A5D">
        <w:rPr>
          <w:b/>
          <w:sz w:val="24"/>
          <w:szCs w:val="24"/>
        </w:rPr>
        <w:t xml:space="preserve"> Flawed</w:t>
      </w:r>
      <w:r w:rsidRPr="00A36421">
        <w:rPr>
          <w:b/>
          <w:sz w:val="24"/>
          <w:szCs w:val="24"/>
        </w:rPr>
        <w:t xml:space="preserve"> Survey</w:t>
      </w:r>
    </w:p>
    <w:p w14:paraId="1B232810" w14:textId="30603750" w:rsidR="00F17341" w:rsidRDefault="00BC049E" w:rsidP="00BC049E">
      <w:pPr>
        <w:tabs>
          <w:tab w:val="left" w:pos="360"/>
        </w:tabs>
        <w:spacing w:after="0" w:line="480" w:lineRule="auto"/>
        <w:jc w:val="both"/>
        <w:rPr>
          <w:sz w:val="24"/>
          <w:szCs w:val="24"/>
        </w:rPr>
      </w:pPr>
      <w:r w:rsidRPr="00A36421">
        <w:rPr>
          <w:b/>
          <w:sz w:val="24"/>
          <w:szCs w:val="24"/>
        </w:rPr>
        <w:tab/>
      </w:r>
      <w:r w:rsidRPr="00A36421">
        <w:rPr>
          <w:b/>
          <w:sz w:val="24"/>
          <w:szCs w:val="24"/>
        </w:rPr>
        <w:tab/>
      </w:r>
      <w:r w:rsidRPr="00A36421">
        <w:rPr>
          <w:sz w:val="24"/>
          <w:szCs w:val="24"/>
        </w:rPr>
        <w:t>After AEP Ohio determined in June that it would request a finding of</w:t>
      </w:r>
      <w:r>
        <w:rPr>
          <w:sz w:val="24"/>
          <w:szCs w:val="24"/>
        </w:rPr>
        <w:t xml:space="preserve"> need for 900+ MWs of renewable generation, it then </w:t>
      </w:r>
      <w:r w:rsidR="009C05A2">
        <w:rPr>
          <w:sz w:val="24"/>
          <w:szCs w:val="24"/>
        </w:rPr>
        <w:t>looked for creative ways to justify its predetermined course of action.  In that regard, it retained Navigant to perform a survey.</w:t>
      </w:r>
      <w:r w:rsidR="00F17341">
        <w:rPr>
          <w:sz w:val="24"/>
          <w:szCs w:val="24"/>
        </w:rPr>
        <w:t xml:space="preserve"> Structurally, the survey contained infirmities.  For example, </w:t>
      </w:r>
      <w:r w:rsidR="00F71379">
        <w:rPr>
          <w:sz w:val="24"/>
          <w:szCs w:val="24"/>
        </w:rPr>
        <w:t xml:space="preserve">the </w:t>
      </w:r>
      <w:r w:rsidR="00F17341">
        <w:rPr>
          <w:sz w:val="24"/>
          <w:szCs w:val="24"/>
        </w:rPr>
        <w:t xml:space="preserve">survey </w:t>
      </w:r>
      <w:r w:rsidR="00F71379">
        <w:rPr>
          <w:sz w:val="24"/>
          <w:szCs w:val="24"/>
        </w:rPr>
        <w:t>was sent via e-mail to a</w:t>
      </w:r>
      <w:r w:rsidR="00F17341">
        <w:rPr>
          <w:sz w:val="24"/>
          <w:szCs w:val="24"/>
        </w:rPr>
        <w:t xml:space="preserve"> sample of customers</w:t>
      </w:r>
      <w:r w:rsidR="00F71379">
        <w:rPr>
          <w:sz w:val="24"/>
          <w:szCs w:val="24"/>
        </w:rPr>
        <w:t>.</w:t>
      </w:r>
      <w:r w:rsidR="00F72186">
        <w:rPr>
          <w:rStyle w:val="FootnoteReference"/>
          <w:sz w:val="24"/>
          <w:szCs w:val="24"/>
        </w:rPr>
        <w:footnoteReference w:id="51"/>
      </w:r>
      <w:r w:rsidR="0069646E">
        <w:rPr>
          <w:sz w:val="24"/>
          <w:szCs w:val="24"/>
        </w:rPr>
        <w:t xml:space="preserve">  But Navigant did no analysis whether customers with e-mail </w:t>
      </w:r>
      <w:r w:rsidR="007B455F">
        <w:rPr>
          <w:sz w:val="24"/>
          <w:szCs w:val="24"/>
        </w:rPr>
        <w:t>addresses may respond differently than customers responding to “snail mail.”</w:t>
      </w:r>
      <w:r w:rsidR="007B455F">
        <w:rPr>
          <w:rStyle w:val="FootnoteReference"/>
          <w:sz w:val="24"/>
          <w:szCs w:val="24"/>
        </w:rPr>
        <w:footnoteReference w:id="52"/>
      </w:r>
      <w:r w:rsidR="00F71379">
        <w:rPr>
          <w:sz w:val="24"/>
          <w:szCs w:val="24"/>
        </w:rPr>
        <w:t xml:space="preserve">  The sample itself was flawed, given that thousands of AEP Ohio and AEP service company employees were </w:t>
      </w:r>
      <w:r w:rsidR="00F62B3A">
        <w:rPr>
          <w:sz w:val="24"/>
          <w:szCs w:val="24"/>
        </w:rPr>
        <w:t>included in the population from which the sample was derived</w:t>
      </w:r>
      <w:r w:rsidR="00F71379">
        <w:rPr>
          <w:sz w:val="24"/>
          <w:szCs w:val="24"/>
        </w:rPr>
        <w:t>.</w:t>
      </w:r>
      <w:r w:rsidR="00892855">
        <w:rPr>
          <w:rStyle w:val="FootnoteReference"/>
          <w:sz w:val="24"/>
          <w:szCs w:val="24"/>
        </w:rPr>
        <w:footnoteReference w:id="53"/>
      </w:r>
      <w:r w:rsidR="00F71379">
        <w:rPr>
          <w:sz w:val="24"/>
          <w:szCs w:val="24"/>
        </w:rPr>
        <w:t xml:space="preserve">  The responses of these individuals cannot be considered representative or objective.  </w:t>
      </w:r>
    </w:p>
    <w:p w14:paraId="44E5AB60" w14:textId="23C4F555" w:rsidR="00E37151" w:rsidRDefault="000E77AD" w:rsidP="00BC049E">
      <w:pPr>
        <w:tabs>
          <w:tab w:val="left" w:pos="360"/>
        </w:tabs>
        <w:spacing w:after="0" w:line="480" w:lineRule="auto"/>
        <w:jc w:val="both"/>
        <w:rPr>
          <w:sz w:val="24"/>
          <w:szCs w:val="24"/>
        </w:rPr>
      </w:pPr>
      <w:r>
        <w:rPr>
          <w:sz w:val="24"/>
          <w:szCs w:val="24"/>
        </w:rPr>
        <w:tab/>
      </w:r>
      <w:r>
        <w:rPr>
          <w:sz w:val="24"/>
          <w:szCs w:val="24"/>
        </w:rPr>
        <w:tab/>
        <w:t>The sample is also flawed because the survey did not</w:t>
      </w:r>
      <w:r w:rsidR="00FF5DFE">
        <w:rPr>
          <w:sz w:val="24"/>
          <w:szCs w:val="24"/>
        </w:rPr>
        <w:t xml:space="preserve"> objectively</w:t>
      </w:r>
      <w:r>
        <w:rPr>
          <w:sz w:val="24"/>
          <w:szCs w:val="24"/>
        </w:rPr>
        <w:t xml:space="preserve"> assess the views of commercial and industrial customers</w:t>
      </w:r>
      <w:r w:rsidR="008D2679">
        <w:rPr>
          <w:sz w:val="24"/>
          <w:szCs w:val="24"/>
        </w:rPr>
        <w:t xml:space="preserve">.   In fact, </w:t>
      </w:r>
      <w:r w:rsidR="00863017">
        <w:rPr>
          <w:sz w:val="24"/>
          <w:szCs w:val="24"/>
        </w:rPr>
        <w:t>Navigant did not provide customers with usage greater than 1,000,000 kWh with an opportunity to respond to the survey.</w:t>
      </w:r>
      <w:r w:rsidR="00863017">
        <w:rPr>
          <w:rStyle w:val="FootnoteReference"/>
          <w:sz w:val="24"/>
          <w:szCs w:val="24"/>
        </w:rPr>
        <w:footnoteReference w:id="54"/>
      </w:r>
      <w:r w:rsidR="006A015E">
        <w:rPr>
          <w:sz w:val="24"/>
          <w:szCs w:val="24"/>
        </w:rPr>
        <w:t xml:space="preserve">  Indeed, the only large commercial and industrial customers that Navigant contacted were those that had already indicated support for the development of renewables.</w:t>
      </w:r>
      <w:r w:rsidR="00F068F6">
        <w:rPr>
          <w:sz w:val="24"/>
          <w:szCs w:val="24"/>
        </w:rPr>
        <w:t xml:space="preserve">  Thus, Navigant </w:t>
      </w:r>
      <w:r w:rsidR="00D233A1">
        <w:rPr>
          <w:sz w:val="24"/>
          <w:szCs w:val="24"/>
        </w:rPr>
        <w:t>gathered data based upon a biased sample.  Indeed, on cross-examination, Witness Horner conceded that</w:t>
      </w:r>
      <w:r w:rsidR="00573F0A">
        <w:rPr>
          <w:sz w:val="24"/>
          <w:szCs w:val="24"/>
        </w:rPr>
        <w:t xml:space="preserve"> the</w:t>
      </w:r>
      <w:r w:rsidR="00D233A1">
        <w:rPr>
          <w:sz w:val="24"/>
          <w:szCs w:val="24"/>
        </w:rPr>
        <w:t xml:space="preserve"> </w:t>
      </w:r>
      <w:r w:rsidR="00154236">
        <w:rPr>
          <w:sz w:val="24"/>
          <w:szCs w:val="24"/>
        </w:rPr>
        <w:t xml:space="preserve">purpose </w:t>
      </w:r>
      <w:r w:rsidR="00573F0A">
        <w:rPr>
          <w:sz w:val="24"/>
          <w:szCs w:val="24"/>
        </w:rPr>
        <w:t xml:space="preserve">of its limited commercial and industrial </w:t>
      </w:r>
      <w:r w:rsidR="00573F0A">
        <w:rPr>
          <w:sz w:val="24"/>
          <w:szCs w:val="24"/>
        </w:rPr>
        <w:lastRenderedPageBreak/>
        <w:t xml:space="preserve">outreach </w:t>
      </w:r>
      <w:r w:rsidR="00154236">
        <w:rPr>
          <w:sz w:val="24"/>
          <w:szCs w:val="24"/>
        </w:rPr>
        <w:t>“was not to look at the overall population but to quantify the interest in renewables among companies that had already identified that interest.”</w:t>
      </w:r>
      <w:r w:rsidR="0084642B">
        <w:rPr>
          <w:rStyle w:val="FootnoteReference"/>
          <w:sz w:val="24"/>
          <w:szCs w:val="24"/>
        </w:rPr>
        <w:footnoteReference w:id="55"/>
      </w:r>
      <w:r w:rsidR="00E6347A">
        <w:rPr>
          <w:sz w:val="24"/>
          <w:szCs w:val="24"/>
        </w:rPr>
        <w:t xml:space="preserve">  The survey itself states that </w:t>
      </w:r>
      <w:r w:rsidR="00F45240">
        <w:rPr>
          <w:sz w:val="24"/>
          <w:szCs w:val="24"/>
        </w:rPr>
        <w:t xml:space="preserve">“outreach should not be considered statistically representative </w:t>
      </w:r>
      <w:r w:rsidR="00D33AA3">
        <w:rPr>
          <w:sz w:val="24"/>
          <w:szCs w:val="24"/>
        </w:rPr>
        <w:t xml:space="preserve">of AEP’s C&amp;I customer base or even its largest corporate customer base due to the targeted </w:t>
      </w:r>
      <w:r w:rsidR="00F2169E">
        <w:rPr>
          <w:sz w:val="24"/>
          <w:szCs w:val="24"/>
        </w:rPr>
        <w:t>sample selection approach and limited responses.</w:t>
      </w:r>
      <w:r w:rsidR="00F45240">
        <w:rPr>
          <w:sz w:val="24"/>
          <w:szCs w:val="24"/>
        </w:rPr>
        <w:t>”</w:t>
      </w:r>
      <w:r w:rsidR="00F2169E">
        <w:rPr>
          <w:rStyle w:val="FootnoteReference"/>
          <w:sz w:val="24"/>
          <w:szCs w:val="24"/>
        </w:rPr>
        <w:footnoteReference w:id="56"/>
      </w:r>
      <w:r w:rsidR="00556655" w:rsidRPr="00556655">
        <w:rPr>
          <w:sz w:val="24"/>
          <w:szCs w:val="24"/>
        </w:rPr>
        <w:t xml:space="preserve"> </w:t>
      </w:r>
      <w:r w:rsidR="00556655">
        <w:rPr>
          <w:sz w:val="24"/>
          <w:szCs w:val="24"/>
        </w:rPr>
        <w:tab/>
      </w:r>
    </w:p>
    <w:p w14:paraId="22A92D89" w14:textId="7945D6B8" w:rsidR="00BA64A2" w:rsidRDefault="00E37151" w:rsidP="00BC049E">
      <w:pPr>
        <w:tabs>
          <w:tab w:val="left" w:pos="360"/>
        </w:tabs>
        <w:spacing w:after="0" w:line="480" w:lineRule="auto"/>
        <w:jc w:val="both"/>
        <w:rPr>
          <w:sz w:val="24"/>
          <w:szCs w:val="24"/>
        </w:rPr>
      </w:pPr>
      <w:r>
        <w:rPr>
          <w:sz w:val="24"/>
          <w:szCs w:val="24"/>
        </w:rPr>
        <w:tab/>
      </w:r>
      <w:r>
        <w:rPr>
          <w:sz w:val="24"/>
          <w:szCs w:val="24"/>
        </w:rPr>
        <w:tab/>
      </w:r>
      <w:r w:rsidR="00556655">
        <w:rPr>
          <w:sz w:val="24"/>
          <w:szCs w:val="24"/>
        </w:rPr>
        <w:t>A</w:t>
      </w:r>
      <w:r w:rsidR="00556655" w:rsidRPr="00B00E0C">
        <w:rPr>
          <w:sz w:val="24"/>
          <w:szCs w:val="24"/>
        </w:rPr>
        <w:t xml:space="preserve">lthough AEP Ohio’s testimony claimed that commercial and industrial customers support its proposal, </w:t>
      </w:r>
      <w:proofErr w:type="gramStart"/>
      <w:r w:rsidR="00556655" w:rsidRPr="00B00E0C">
        <w:rPr>
          <w:sz w:val="24"/>
          <w:szCs w:val="24"/>
        </w:rPr>
        <w:t>in reality these</w:t>
      </w:r>
      <w:proofErr w:type="gramEnd"/>
      <w:r w:rsidR="00556655" w:rsidRPr="00B00E0C">
        <w:rPr>
          <w:sz w:val="24"/>
          <w:szCs w:val="24"/>
        </w:rPr>
        <w:t xml:space="preserve"> customers simply support development of renewable resources.</w:t>
      </w:r>
      <w:r w:rsidR="00C461B0">
        <w:rPr>
          <w:rStyle w:val="FootnoteReference"/>
          <w:sz w:val="24"/>
          <w:szCs w:val="24"/>
        </w:rPr>
        <w:footnoteReference w:id="57"/>
      </w:r>
      <w:r w:rsidR="00556655" w:rsidRPr="00B00E0C">
        <w:rPr>
          <w:sz w:val="24"/>
          <w:szCs w:val="24"/>
        </w:rPr>
        <w:t xml:space="preserve">  And many of them are already undertaking or plan to undertake their own development of renewable resources through arrangements that meet their individual needs.</w:t>
      </w:r>
      <w:r w:rsidR="00556655" w:rsidRPr="00B00E0C">
        <w:rPr>
          <w:rStyle w:val="FootnoteReference"/>
          <w:sz w:val="24"/>
          <w:szCs w:val="24"/>
        </w:rPr>
        <w:footnoteReference w:id="58"/>
      </w:r>
      <w:r w:rsidR="00556655" w:rsidRPr="00B00E0C">
        <w:rPr>
          <w:sz w:val="24"/>
          <w:szCs w:val="24"/>
        </w:rPr>
        <w:t xml:space="preserve">  </w:t>
      </w:r>
    </w:p>
    <w:p w14:paraId="6BECE497" w14:textId="7AB6A55E" w:rsidR="00406B99" w:rsidRDefault="00F71379" w:rsidP="00BC049E">
      <w:pPr>
        <w:tabs>
          <w:tab w:val="left" w:pos="360"/>
        </w:tabs>
        <w:spacing w:after="0" w:line="480" w:lineRule="auto"/>
        <w:jc w:val="both"/>
        <w:rPr>
          <w:sz w:val="24"/>
          <w:szCs w:val="24"/>
        </w:rPr>
      </w:pPr>
      <w:r>
        <w:rPr>
          <w:sz w:val="24"/>
          <w:szCs w:val="24"/>
        </w:rPr>
        <w:tab/>
      </w:r>
      <w:r>
        <w:rPr>
          <w:sz w:val="24"/>
          <w:szCs w:val="24"/>
        </w:rPr>
        <w:tab/>
        <w:t xml:space="preserve">The survey </w:t>
      </w:r>
      <w:r w:rsidR="003239F8">
        <w:rPr>
          <w:sz w:val="24"/>
          <w:szCs w:val="24"/>
        </w:rPr>
        <w:t xml:space="preserve">itself </w:t>
      </w:r>
      <w:r>
        <w:rPr>
          <w:sz w:val="24"/>
          <w:szCs w:val="24"/>
        </w:rPr>
        <w:t xml:space="preserve">contains additional substantive flaws as well.  </w:t>
      </w:r>
      <w:r w:rsidR="009C05A2">
        <w:rPr>
          <w:sz w:val="24"/>
          <w:szCs w:val="24"/>
        </w:rPr>
        <w:t>As a starting point, the Survey identified the amount of renewable generation utilized to provide the SSO</w:t>
      </w:r>
      <w:r w:rsidR="00F17341">
        <w:rPr>
          <w:sz w:val="24"/>
          <w:szCs w:val="24"/>
        </w:rPr>
        <w:t>, stating “</w:t>
      </w:r>
      <w:r w:rsidR="00CF60BC" w:rsidRPr="00CF60BC">
        <w:rPr>
          <w:sz w:val="24"/>
          <w:szCs w:val="24"/>
        </w:rPr>
        <w:t>AEP Ohio currently obtains 4.5% of its electricity from renewable sources such as wind and solar.</w:t>
      </w:r>
      <w:r w:rsidR="00F17341">
        <w:rPr>
          <w:sz w:val="24"/>
          <w:szCs w:val="24"/>
        </w:rPr>
        <w:t>”</w:t>
      </w:r>
      <w:r w:rsidR="00A26F52">
        <w:rPr>
          <w:rStyle w:val="FootnoteReference"/>
          <w:sz w:val="24"/>
          <w:szCs w:val="24"/>
        </w:rPr>
        <w:footnoteReference w:id="59"/>
      </w:r>
      <w:r w:rsidR="00F17341">
        <w:rPr>
          <w:sz w:val="24"/>
          <w:szCs w:val="24"/>
        </w:rPr>
        <w:t xml:space="preserve">   The survey then asked “</w:t>
      </w:r>
      <w:r w:rsidR="009C05A2">
        <w:rPr>
          <w:sz w:val="24"/>
          <w:szCs w:val="24"/>
        </w:rPr>
        <w:t>customers whether they would support AEP Ohio increasing the amount of renewable generation it utilizes.</w:t>
      </w:r>
      <w:r w:rsidR="00F17341">
        <w:rPr>
          <w:sz w:val="24"/>
          <w:szCs w:val="24"/>
        </w:rPr>
        <w:t>”</w:t>
      </w:r>
      <w:r w:rsidR="00892855">
        <w:rPr>
          <w:rStyle w:val="FootnoteReference"/>
          <w:sz w:val="24"/>
          <w:szCs w:val="24"/>
        </w:rPr>
        <w:footnoteReference w:id="60"/>
      </w:r>
      <w:r w:rsidR="00F17341">
        <w:rPr>
          <w:sz w:val="24"/>
          <w:szCs w:val="24"/>
        </w:rPr>
        <w:t xml:space="preserve">  In other words, the survey identified how much of the SSO is supplied by renewable generation, and then it asked whether AEP Ohio should i</w:t>
      </w:r>
      <w:r w:rsidR="00892855" w:rsidRPr="00892855">
        <w:rPr>
          <w:sz w:val="24"/>
          <w:szCs w:val="24"/>
        </w:rPr>
        <w:t xml:space="preserve">ncrease the amount of renewable generation used to </w:t>
      </w:r>
      <w:r w:rsidR="00892855" w:rsidRPr="00892855">
        <w:rPr>
          <w:sz w:val="24"/>
          <w:szCs w:val="24"/>
        </w:rPr>
        <w:lastRenderedPageBreak/>
        <w:t>supply the SSO.</w:t>
      </w:r>
      <w:r w:rsidR="00892855">
        <w:rPr>
          <w:rStyle w:val="FootnoteReference"/>
          <w:sz w:val="24"/>
          <w:szCs w:val="24"/>
        </w:rPr>
        <w:footnoteReference w:id="61"/>
      </w:r>
      <w:r w:rsidR="003017D5">
        <w:rPr>
          <w:sz w:val="24"/>
          <w:szCs w:val="24"/>
        </w:rPr>
        <w:t xml:space="preserve">  T</w:t>
      </w:r>
      <w:r w:rsidR="48EE55EF" w:rsidRPr="48EE55EF">
        <w:rPr>
          <w:sz w:val="24"/>
          <w:szCs w:val="24"/>
        </w:rPr>
        <w:t>his question</w:t>
      </w:r>
      <w:r w:rsidR="003017D5">
        <w:rPr>
          <w:sz w:val="24"/>
          <w:szCs w:val="24"/>
        </w:rPr>
        <w:t>, however,</w:t>
      </w:r>
      <w:r>
        <w:rPr>
          <w:sz w:val="24"/>
          <w:szCs w:val="24"/>
        </w:rPr>
        <w:t xml:space="preserve"> is irrelevant to the proposal before the Commission, which is to develop</w:t>
      </w:r>
      <w:r w:rsidR="003239F8">
        <w:rPr>
          <w:sz w:val="24"/>
          <w:szCs w:val="24"/>
        </w:rPr>
        <w:t xml:space="preserve"> at least</w:t>
      </w:r>
      <w:r>
        <w:rPr>
          <w:sz w:val="24"/>
          <w:szCs w:val="24"/>
        </w:rPr>
        <w:t xml:space="preserve"> 900 MWs of renewable generation and to recover the cost associated with those resources from all customers—not just SSO customers.</w:t>
      </w:r>
      <w:r w:rsidR="00C461B0">
        <w:rPr>
          <w:sz w:val="24"/>
          <w:szCs w:val="24"/>
        </w:rPr>
        <w:t xml:space="preserve">  To the extent that customer desire for AEP Ohio to procure more than the statutorily required amounts for SSO customers, AEP Ohio is free to make such a proposal in its next </w:t>
      </w:r>
      <w:r w:rsidR="006902EA">
        <w:rPr>
          <w:sz w:val="24"/>
          <w:szCs w:val="24"/>
        </w:rPr>
        <w:t>SSO application</w:t>
      </w:r>
      <w:r w:rsidR="00C461B0">
        <w:rPr>
          <w:sz w:val="24"/>
          <w:szCs w:val="24"/>
        </w:rPr>
        <w:t>.</w:t>
      </w:r>
      <w:r w:rsidR="00406B99">
        <w:rPr>
          <w:sz w:val="24"/>
          <w:szCs w:val="24"/>
        </w:rPr>
        <w:t xml:space="preserve"> </w:t>
      </w:r>
    </w:p>
    <w:p w14:paraId="51C278F0" w14:textId="4B32A9F7" w:rsidR="00404D24" w:rsidRDefault="00406B99" w:rsidP="00BC049E">
      <w:pPr>
        <w:tabs>
          <w:tab w:val="left" w:pos="360"/>
        </w:tabs>
        <w:spacing w:after="0" w:line="480" w:lineRule="auto"/>
        <w:jc w:val="both"/>
        <w:rPr>
          <w:sz w:val="24"/>
          <w:szCs w:val="24"/>
        </w:rPr>
      </w:pPr>
      <w:r>
        <w:rPr>
          <w:sz w:val="24"/>
          <w:szCs w:val="24"/>
        </w:rPr>
        <w:tab/>
        <w:t xml:space="preserve"> </w:t>
      </w:r>
      <w:r>
        <w:rPr>
          <w:sz w:val="24"/>
          <w:szCs w:val="24"/>
        </w:rPr>
        <w:tab/>
      </w:r>
      <w:r w:rsidR="006902EA">
        <w:rPr>
          <w:sz w:val="24"/>
          <w:szCs w:val="24"/>
        </w:rPr>
        <w:t>T</w:t>
      </w:r>
      <w:r>
        <w:rPr>
          <w:sz w:val="24"/>
          <w:szCs w:val="24"/>
        </w:rPr>
        <w:t>he survey is</w:t>
      </w:r>
      <w:r w:rsidR="006902EA">
        <w:rPr>
          <w:sz w:val="24"/>
          <w:szCs w:val="24"/>
        </w:rPr>
        <w:t xml:space="preserve"> also</w:t>
      </w:r>
      <w:r>
        <w:rPr>
          <w:sz w:val="24"/>
          <w:szCs w:val="24"/>
        </w:rPr>
        <w:t xml:space="preserve"> </w:t>
      </w:r>
      <w:r w:rsidR="005F2671">
        <w:rPr>
          <w:sz w:val="24"/>
          <w:szCs w:val="24"/>
        </w:rPr>
        <w:t>misleading</w:t>
      </w:r>
      <w:r w:rsidR="00A8050B">
        <w:rPr>
          <w:sz w:val="24"/>
          <w:szCs w:val="24"/>
        </w:rPr>
        <w:t>.</w:t>
      </w:r>
      <w:r>
        <w:rPr>
          <w:sz w:val="24"/>
          <w:szCs w:val="24"/>
        </w:rPr>
        <w:t xml:space="preserve">  It implies that the </w:t>
      </w:r>
      <w:r w:rsidR="003E5730">
        <w:rPr>
          <w:sz w:val="24"/>
          <w:szCs w:val="24"/>
        </w:rPr>
        <w:t xml:space="preserve">renewables proposed by AEP Ohio would </w:t>
      </w:r>
      <w:proofErr w:type="gramStart"/>
      <w:r w:rsidR="003E5730">
        <w:rPr>
          <w:sz w:val="24"/>
          <w:szCs w:val="24"/>
        </w:rPr>
        <w:t>actually provide</w:t>
      </w:r>
      <w:proofErr w:type="gramEnd"/>
      <w:r w:rsidR="003E5730">
        <w:rPr>
          <w:sz w:val="24"/>
          <w:szCs w:val="24"/>
        </w:rPr>
        <w:t xml:space="preserve"> green energy to customers. But</w:t>
      </w:r>
      <w:proofErr w:type="gramStart"/>
      <w:r w:rsidR="003E5730">
        <w:rPr>
          <w:sz w:val="24"/>
          <w:szCs w:val="24"/>
        </w:rPr>
        <w:t>, in reality, AEP Ohio</w:t>
      </w:r>
      <w:proofErr w:type="gramEnd"/>
      <w:r w:rsidR="003E5730">
        <w:rPr>
          <w:sz w:val="24"/>
          <w:szCs w:val="24"/>
        </w:rPr>
        <w:t xml:space="preserve"> would not retire the renewable energy credits that the facilities produce for the benefit of customers—rather it would sell the </w:t>
      </w:r>
      <w:proofErr w:type="spellStart"/>
      <w:r w:rsidR="003E5730">
        <w:rPr>
          <w:sz w:val="24"/>
          <w:szCs w:val="24"/>
        </w:rPr>
        <w:t>RECs.</w:t>
      </w:r>
      <w:proofErr w:type="spellEnd"/>
      <w:r w:rsidR="003E5730">
        <w:rPr>
          <w:sz w:val="24"/>
          <w:szCs w:val="24"/>
        </w:rPr>
        <w:t xml:space="preserve">  </w:t>
      </w:r>
      <w:r w:rsidR="00D57F5D">
        <w:rPr>
          <w:sz w:val="24"/>
          <w:szCs w:val="24"/>
        </w:rPr>
        <w:t xml:space="preserve">Consequently, </w:t>
      </w:r>
      <w:r w:rsidR="00895099">
        <w:rPr>
          <w:sz w:val="24"/>
          <w:szCs w:val="24"/>
        </w:rPr>
        <w:t>by</w:t>
      </w:r>
      <w:r w:rsidR="00D57F5D">
        <w:rPr>
          <w:sz w:val="24"/>
          <w:szCs w:val="24"/>
        </w:rPr>
        <w:t xml:space="preserve"> law, AEP Ohio cannot claim that it is using the </w:t>
      </w:r>
      <w:r w:rsidR="005F2671">
        <w:rPr>
          <w:sz w:val="24"/>
          <w:szCs w:val="24"/>
        </w:rPr>
        <w:t xml:space="preserve">900 MWs to </w:t>
      </w:r>
      <w:r w:rsidR="0033054A">
        <w:rPr>
          <w:sz w:val="24"/>
          <w:szCs w:val="24"/>
        </w:rPr>
        <w:t>provide renewable energy, that was alleged in the survey.</w:t>
      </w:r>
      <w:r w:rsidR="006902EA">
        <w:rPr>
          <w:rStyle w:val="FootnoteReference"/>
          <w:sz w:val="24"/>
          <w:szCs w:val="24"/>
        </w:rPr>
        <w:footnoteReference w:id="62"/>
      </w:r>
      <w:r w:rsidR="005F2671">
        <w:rPr>
          <w:sz w:val="24"/>
          <w:szCs w:val="24"/>
        </w:rPr>
        <w:t xml:space="preserve"> </w:t>
      </w:r>
    </w:p>
    <w:p w14:paraId="35CFEC01" w14:textId="25F05AA7" w:rsidR="00350DDC" w:rsidRDefault="003239F8" w:rsidP="00BC049E">
      <w:pPr>
        <w:tabs>
          <w:tab w:val="left" w:pos="360"/>
        </w:tabs>
        <w:spacing w:after="0" w:line="480" w:lineRule="auto"/>
        <w:jc w:val="both"/>
        <w:rPr>
          <w:sz w:val="24"/>
          <w:szCs w:val="24"/>
        </w:rPr>
      </w:pPr>
      <w:r>
        <w:rPr>
          <w:sz w:val="24"/>
          <w:szCs w:val="24"/>
        </w:rPr>
        <w:tab/>
      </w:r>
      <w:r>
        <w:rPr>
          <w:sz w:val="24"/>
          <w:szCs w:val="24"/>
        </w:rPr>
        <w:tab/>
        <w:t xml:space="preserve">The 900 MW+ </w:t>
      </w:r>
      <w:r w:rsidR="00572B2F">
        <w:rPr>
          <w:sz w:val="24"/>
          <w:szCs w:val="24"/>
        </w:rPr>
        <w:t>proposal</w:t>
      </w:r>
      <w:r>
        <w:rPr>
          <w:sz w:val="24"/>
          <w:szCs w:val="24"/>
        </w:rPr>
        <w:t xml:space="preserve"> is an example of a solution searching for a problem.  AEP Ohio claims that </w:t>
      </w:r>
      <w:r w:rsidR="00A6124D">
        <w:rPr>
          <w:sz w:val="24"/>
          <w:szCs w:val="24"/>
        </w:rPr>
        <w:t xml:space="preserve">a portion of its </w:t>
      </w:r>
      <w:r>
        <w:rPr>
          <w:sz w:val="24"/>
          <w:szCs w:val="24"/>
        </w:rPr>
        <w:t>customers have indicated that there is an undersupply of renewable generation.  But, AEP itself concedes that it has not calculated the level of undersupply.</w:t>
      </w:r>
      <w:r>
        <w:rPr>
          <w:rStyle w:val="FootnoteReference"/>
          <w:sz w:val="24"/>
          <w:szCs w:val="24"/>
        </w:rPr>
        <w:footnoteReference w:id="63"/>
      </w:r>
      <w:r>
        <w:rPr>
          <w:sz w:val="24"/>
          <w:szCs w:val="24"/>
        </w:rPr>
        <w:t xml:space="preserve">  Thus, even if AEP Ohio’s consumer survey approach had any merit, it is of little value for purposes of determining how many megawatts of renewable generation </w:t>
      </w:r>
      <w:r w:rsidR="0037703D">
        <w:rPr>
          <w:sz w:val="24"/>
          <w:szCs w:val="24"/>
        </w:rPr>
        <w:t xml:space="preserve">the Commission should find that there is a </w:t>
      </w:r>
      <w:r w:rsidR="0031526C">
        <w:rPr>
          <w:sz w:val="24"/>
          <w:szCs w:val="24"/>
        </w:rPr>
        <w:t>“need” to</w:t>
      </w:r>
      <w:r>
        <w:rPr>
          <w:sz w:val="24"/>
          <w:szCs w:val="24"/>
        </w:rPr>
        <w:t xml:space="preserve"> develop.</w:t>
      </w:r>
    </w:p>
    <w:p w14:paraId="238645A8" w14:textId="68DB106D" w:rsidR="005C55C0" w:rsidRDefault="005C55C0" w:rsidP="00BC049E">
      <w:pPr>
        <w:tabs>
          <w:tab w:val="left" w:pos="360"/>
        </w:tabs>
        <w:spacing w:after="0" w:line="480" w:lineRule="auto"/>
        <w:jc w:val="both"/>
        <w:rPr>
          <w:sz w:val="24"/>
          <w:szCs w:val="24"/>
        </w:rPr>
      </w:pPr>
      <w:r>
        <w:rPr>
          <w:sz w:val="24"/>
          <w:szCs w:val="24"/>
        </w:rPr>
        <w:tab/>
      </w:r>
      <w:r>
        <w:rPr>
          <w:sz w:val="24"/>
          <w:szCs w:val="24"/>
        </w:rPr>
        <w:tab/>
      </w:r>
      <w:r w:rsidR="005C6B2B">
        <w:rPr>
          <w:sz w:val="24"/>
          <w:szCs w:val="24"/>
        </w:rPr>
        <w:t xml:space="preserve">One can argue that </w:t>
      </w:r>
      <w:r>
        <w:rPr>
          <w:sz w:val="24"/>
          <w:szCs w:val="24"/>
        </w:rPr>
        <w:t xml:space="preserve">the survey </w:t>
      </w:r>
      <w:r w:rsidR="005C6B2B">
        <w:rPr>
          <w:sz w:val="24"/>
          <w:szCs w:val="24"/>
        </w:rPr>
        <w:t>demonstrates</w:t>
      </w:r>
      <w:r w:rsidR="00202288">
        <w:rPr>
          <w:sz w:val="24"/>
          <w:szCs w:val="24"/>
        </w:rPr>
        <w:t xml:space="preserve"> that many customers do not support AEP Ohio’s proposal.  In the </w:t>
      </w:r>
      <w:r w:rsidR="00395B5E">
        <w:rPr>
          <w:sz w:val="24"/>
          <w:szCs w:val="24"/>
        </w:rPr>
        <w:t xml:space="preserve">willingness to pay section, small C&amp;I customers are generally </w:t>
      </w:r>
      <w:r w:rsidR="00395B5E">
        <w:rPr>
          <w:sz w:val="24"/>
          <w:szCs w:val="24"/>
        </w:rPr>
        <w:lastRenderedPageBreak/>
        <w:t xml:space="preserve">split down the middle </w:t>
      </w:r>
      <w:r w:rsidR="00A71CFF">
        <w:rPr>
          <w:sz w:val="24"/>
          <w:szCs w:val="24"/>
        </w:rPr>
        <w:t>on whether they would be willing to pay 1.25%-1.5% more</w:t>
      </w:r>
      <w:r w:rsidR="00515533">
        <w:rPr>
          <w:sz w:val="24"/>
          <w:szCs w:val="24"/>
        </w:rPr>
        <w:t>.</w:t>
      </w:r>
      <w:r w:rsidR="00D921CD">
        <w:rPr>
          <w:rStyle w:val="FootnoteReference"/>
          <w:sz w:val="24"/>
          <w:szCs w:val="24"/>
        </w:rPr>
        <w:footnoteReference w:id="64"/>
      </w:r>
      <w:r w:rsidR="00515533">
        <w:rPr>
          <w:sz w:val="24"/>
          <w:szCs w:val="24"/>
        </w:rPr>
        <w:t xml:space="preserve">  And, more than 50% of small C&amp;I customers indicated they </w:t>
      </w:r>
      <w:r w:rsidR="0084684D">
        <w:rPr>
          <w:sz w:val="24"/>
          <w:szCs w:val="24"/>
        </w:rPr>
        <w:t>are not willing or not sure if they would pay 1.5%-1.75% more</w:t>
      </w:r>
      <w:r w:rsidR="00E836C6">
        <w:rPr>
          <w:sz w:val="24"/>
          <w:szCs w:val="24"/>
        </w:rPr>
        <w:t>.</w:t>
      </w:r>
      <w:r w:rsidR="00A03836">
        <w:rPr>
          <w:rStyle w:val="FootnoteReference"/>
          <w:sz w:val="24"/>
          <w:szCs w:val="24"/>
        </w:rPr>
        <w:footnoteReference w:id="65"/>
      </w:r>
      <w:r w:rsidR="00E836C6">
        <w:rPr>
          <w:sz w:val="24"/>
          <w:szCs w:val="24"/>
        </w:rPr>
        <w:t xml:space="preserve">  Likewise, 55% of small C&amp;I customers indicated that they are not willing </w:t>
      </w:r>
      <w:r w:rsidR="009D214A">
        <w:rPr>
          <w:sz w:val="24"/>
          <w:szCs w:val="24"/>
        </w:rPr>
        <w:t>or not sure if they would pay 2.25%-2.5% more.</w:t>
      </w:r>
      <w:r w:rsidR="00D1019A">
        <w:rPr>
          <w:rStyle w:val="FootnoteReference"/>
          <w:sz w:val="24"/>
          <w:szCs w:val="24"/>
        </w:rPr>
        <w:footnoteReference w:id="66"/>
      </w:r>
      <w:r w:rsidR="001A439E">
        <w:rPr>
          <w:sz w:val="24"/>
          <w:szCs w:val="24"/>
        </w:rPr>
        <w:t xml:space="preserve">  Likewise, </w:t>
      </w:r>
      <w:r w:rsidR="009072CB">
        <w:rPr>
          <w:sz w:val="24"/>
          <w:szCs w:val="24"/>
        </w:rPr>
        <w:t xml:space="preserve">more than 50% of AEP Ohio </w:t>
      </w:r>
      <w:r w:rsidR="0092182C">
        <w:rPr>
          <w:sz w:val="24"/>
          <w:szCs w:val="24"/>
        </w:rPr>
        <w:t>PIPP and small C&amp;I customers were either neutral or agreed that maintaining the current bill amount was more important than AEP Ohio investing in wind and solar.</w:t>
      </w:r>
      <w:r w:rsidR="00931ECE">
        <w:rPr>
          <w:rStyle w:val="FootnoteReference"/>
          <w:sz w:val="24"/>
          <w:szCs w:val="24"/>
        </w:rPr>
        <w:footnoteReference w:id="67"/>
      </w:r>
      <w:r w:rsidR="0092182C">
        <w:rPr>
          <w:sz w:val="24"/>
          <w:szCs w:val="24"/>
        </w:rPr>
        <w:t xml:space="preserve">  </w:t>
      </w:r>
      <w:r w:rsidR="00732B89">
        <w:rPr>
          <w:sz w:val="24"/>
          <w:szCs w:val="24"/>
        </w:rPr>
        <w:t xml:space="preserve">And </w:t>
      </w:r>
      <w:r w:rsidR="0000356C">
        <w:rPr>
          <w:sz w:val="24"/>
          <w:szCs w:val="24"/>
        </w:rPr>
        <w:t xml:space="preserve">just over 50% of the residential class disagreed that maintaining the current bill amount was </w:t>
      </w:r>
      <w:r w:rsidR="002223E9">
        <w:rPr>
          <w:sz w:val="24"/>
          <w:szCs w:val="24"/>
        </w:rPr>
        <w:t>more important than investing in solar and wind.</w:t>
      </w:r>
      <w:r w:rsidR="007236CE">
        <w:rPr>
          <w:rStyle w:val="FootnoteReference"/>
          <w:sz w:val="24"/>
          <w:szCs w:val="24"/>
        </w:rPr>
        <w:footnoteReference w:id="68"/>
      </w:r>
      <w:r w:rsidR="00F34016">
        <w:rPr>
          <w:sz w:val="24"/>
          <w:szCs w:val="24"/>
        </w:rPr>
        <w:t xml:space="preserve">  Not exactly a landslide in favor of AEP Ohio’s</w:t>
      </w:r>
      <w:r w:rsidR="003017D5">
        <w:rPr>
          <w:sz w:val="24"/>
          <w:szCs w:val="24"/>
        </w:rPr>
        <w:t xml:space="preserve"> misleading</w:t>
      </w:r>
      <w:r w:rsidR="00F34016">
        <w:rPr>
          <w:sz w:val="24"/>
          <w:szCs w:val="24"/>
        </w:rPr>
        <w:t xml:space="preserve"> proposal.</w:t>
      </w:r>
    </w:p>
    <w:p w14:paraId="40D04855" w14:textId="6316B634" w:rsidR="00916543" w:rsidRDefault="00F71379" w:rsidP="00C00B73">
      <w:pPr>
        <w:tabs>
          <w:tab w:val="left" w:pos="360"/>
        </w:tabs>
        <w:spacing w:after="0" w:line="480" w:lineRule="auto"/>
        <w:jc w:val="both"/>
        <w:rPr>
          <w:sz w:val="24"/>
          <w:szCs w:val="24"/>
        </w:rPr>
      </w:pPr>
      <w:r>
        <w:rPr>
          <w:sz w:val="24"/>
          <w:szCs w:val="24"/>
        </w:rPr>
        <w:tab/>
      </w:r>
      <w:r>
        <w:rPr>
          <w:sz w:val="24"/>
          <w:szCs w:val="24"/>
        </w:rPr>
        <w:tab/>
        <w:t xml:space="preserve">The </w:t>
      </w:r>
      <w:r w:rsidR="006A6EDB">
        <w:rPr>
          <w:sz w:val="24"/>
          <w:szCs w:val="24"/>
        </w:rPr>
        <w:t>s</w:t>
      </w:r>
      <w:r>
        <w:rPr>
          <w:sz w:val="24"/>
          <w:szCs w:val="24"/>
        </w:rPr>
        <w:t>urvey also incorrectly classified specific customer comments</w:t>
      </w:r>
      <w:r w:rsidR="006A6EDB">
        <w:rPr>
          <w:sz w:val="24"/>
          <w:szCs w:val="24"/>
        </w:rPr>
        <w:t xml:space="preserve"> </w:t>
      </w:r>
      <w:r w:rsidR="00C03715">
        <w:rPr>
          <w:sz w:val="24"/>
          <w:szCs w:val="24"/>
        </w:rPr>
        <w:t xml:space="preserve">(AEP Ohio Ex. 7) </w:t>
      </w:r>
      <w:r w:rsidR="006A6EDB">
        <w:rPr>
          <w:sz w:val="24"/>
          <w:szCs w:val="24"/>
        </w:rPr>
        <w:t>as being “supportive”</w:t>
      </w:r>
      <w:r w:rsidR="006A6EDB">
        <w:rPr>
          <w:rStyle w:val="FootnoteReference"/>
          <w:sz w:val="24"/>
          <w:szCs w:val="24"/>
        </w:rPr>
        <w:footnoteReference w:id="69"/>
      </w:r>
      <w:r w:rsidR="006A6EDB">
        <w:rPr>
          <w:sz w:val="24"/>
          <w:szCs w:val="24"/>
        </w:rPr>
        <w:t xml:space="preserve"> and “mixed.”</w:t>
      </w:r>
      <w:r w:rsidR="003D4465">
        <w:rPr>
          <w:rStyle w:val="FootnoteReference"/>
          <w:sz w:val="24"/>
          <w:szCs w:val="24"/>
        </w:rPr>
        <w:footnoteReference w:id="70"/>
      </w:r>
      <w:r w:rsidR="00EA47C9">
        <w:rPr>
          <w:sz w:val="24"/>
          <w:szCs w:val="24"/>
        </w:rPr>
        <w:t xml:space="preserve">  Included in the “mixed” section were comments </w:t>
      </w:r>
      <w:r w:rsidR="00EA47C9">
        <w:rPr>
          <w:sz w:val="24"/>
          <w:szCs w:val="24"/>
        </w:rPr>
        <w:lastRenderedPageBreak/>
        <w:t>indicat</w:t>
      </w:r>
      <w:r w:rsidR="003017D5">
        <w:rPr>
          <w:sz w:val="24"/>
          <w:szCs w:val="24"/>
        </w:rPr>
        <w:t>ing</w:t>
      </w:r>
      <w:r w:rsidR="00EA47C9">
        <w:rPr>
          <w:sz w:val="24"/>
          <w:szCs w:val="24"/>
        </w:rPr>
        <w:t xml:space="preserve"> a preference </w:t>
      </w:r>
      <w:r w:rsidR="007F3337">
        <w:rPr>
          <w:sz w:val="24"/>
          <w:szCs w:val="24"/>
        </w:rPr>
        <w:t>for customer deployment of renewable energy resources on their side of the meter</w:t>
      </w:r>
      <w:r w:rsidR="00EA47C9">
        <w:rPr>
          <w:sz w:val="24"/>
          <w:szCs w:val="24"/>
        </w:rPr>
        <w:t>.</w:t>
      </w:r>
      <w:r w:rsidR="00AA07B3">
        <w:rPr>
          <w:rStyle w:val="FootnoteReference"/>
          <w:sz w:val="24"/>
          <w:szCs w:val="24"/>
        </w:rPr>
        <w:footnoteReference w:id="71"/>
      </w:r>
      <w:r w:rsidR="004E6003">
        <w:rPr>
          <w:sz w:val="24"/>
          <w:szCs w:val="24"/>
        </w:rPr>
        <w:t xml:space="preserve">  The mistaken</w:t>
      </w:r>
      <w:r w:rsidR="00916543">
        <w:rPr>
          <w:sz w:val="24"/>
          <w:szCs w:val="24"/>
        </w:rPr>
        <w:t xml:space="preserve"> classification</w:t>
      </w:r>
      <w:r>
        <w:rPr>
          <w:sz w:val="24"/>
          <w:szCs w:val="24"/>
        </w:rPr>
        <w:t xml:space="preserve"> tilt</w:t>
      </w:r>
      <w:r w:rsidR="00916543">
        <w:rPr>
          <w:sz w:val="24"/>
          <w:szCs w:val="24"/>
        </w:rPr>
        <w:t>s</w:t>
      </w:r>
      <w:r>
        <w:rPr>
          <w:sz w:val="24"/>
          <w:szCs w:val="24"/>
        </w:rPr>
        <w:t xml:space="preserve"> the results in AEP Ohio’s favor.</w:t>
      </w:r>
      <w:r w:rsidR="00137D25">
        <w:rPr>
          <w:sz w:val="24"/>
          <w:szCs w:val="24"/>
        </w:rPr>
        <w:t xml:space="preserve">  But om reality, the responses </w:t>
      </w:r>
      <w:r w:rsidR="00192C5C">
        <w:rPr>
          <w:sz w:val="24"/>
          <w:szCs w:val="24"/>
        </w:rPr>
        <w:t>identify</w:t>
      </w:r>
      <w:r w:rsidR="00137D25">
        <w:rPr>
          <w:sz w:val="24"/>
          <w:szCs w:val="24"/>
        </w:rPr>
        <w:t xml:space="preserve"> </w:t>
      </w:r>
      <w:r w:rsidR="00192C5C">
        <w:rPr>
          <w:sz w:val="24"/>
          <w:szCs w:val="24"/>
        </w:rPr>
        <w:t>strong support</w:t>
      </w:r>
      <w:r w:rsidR="00137D25">
        <w:rPr>
          <w:sz w:val="24"/>
          <w:szCs w:val="24"/>
        </w:rPr>
        <w:t xml:space="preserve"> for</w:t>
      </w:r>
      <w:r w:rsidR="00192C5C">
        <w:rPr>
          <w:sz w:val="24"/>
          <w:szCs w:val="24"/>
        </w:rPr>
        <w:t xml:space="preserve"> market-based deployment of</w:t>
      </w:r>
      <w:r w:rsidR="00137D25">
        <w:rPr>
          <w:sz w:val="24"/>
          <w:szCs w:val="24"/>
        </w:rPr>
        <w:t xml:space="preserve"> customer sited</w:t>
      </w:r>
      <w:r w:rsidR="00192C5C">
        <w:rPr>
          <w:sz w:val="24"/>
          <w:szCs w:val="24"/>
        </w:rPr>
        <w:t xml:space="preserve"> renewable resources.</w:t>
      </w:r>
    </w:p>
    <w:p w14:paraId="3076FFC7" w14:textId="43FAEBAE" w:rsidR="00BC049E" w:rsidRDefault="00916543" w:rsidP="009A1450">
      <w:pPr>
        <w:tabs>
          <w:tab w:val="left" w:pos="360"/>
        </w:tabs>
        <w:spacing w:after="0" w:line="480" w:lineRule="auto"/>
        <w:jc w:val="both"/>
        <w:rPr>
          <w:sz w:val="24"/>
          <w:szCs w:val="24"/>
        </w:rPr>
      </w:pPr>
      <w:r>
        <w:rPr>
          <w:sz w:val="24"/>
          <w:szCs w:val="24"/>
        </w:rPr>
        <w:tab/>
      </w:r>
      <w:r>
        <w:rPr>
          <w:sz w:val="24"/>
          <w:szCs w:val="24"/>
        </w:rPr>
        <w:tab/>
        <w:t>These comments aside, it is noteworthy that several hundred respondents submitting scathing comments in opposition to the proposed renewable projects.</w:t>
      </w:r>
      <w:r w:rsidR="00657391">
        <w:rPr>
          <w:rStyle w:val="FootnoteReference"/>
          <w:sz w:val="24"/>
          <w:szCs w:val="24"/>
        </w:rPr>
        <w:footnoteReference w:id="72"/>
      </w:r>
      <w:r>
        <w:rPr>
          <w:sz w:val="24"/>
          <w:szCs w:val="24"/>
        </w:rPr>
        <w:t xml:space="preserve">  Based upon the strong feelings of customers—some in favor but a large contingent against—it quickly becomes apparent that the construction of renewable generation resources should be driven by consumer preferences rather than involuntarily subscribing all customers to backstop renewable development through an administratively determined directive.  </w:t>
      </w:r>
    </w:p>
    <w:p w14:paraId="459A3704" w14:textId="0F93143B" w:rsidR="006B387C" w:rsidRDefault="006B387C" w:rsidP="006B387C">
      <w:pPr>
        <w:pStyle w:val="ListParagraph"/>
        <w:numPr>
          <w:ilvl w:val="0"/>
          <w:numId w:val="3"/>
        </w:numPr>
        <w:rPr>
          <w:b/>
          <w:sz w:val="24"/>
          <w:szCs w:val="24"/>
        </w:rPr>
      </w:pPr>
      <w:r w:rsidRPr="006B387C">
        <w:rPr>
          <w:b/>
          <w:sz w:val="24"/>
          <w:szCs w:val="24"/>
        </w:rPr>
        <w:t>AEP failed to evaluate renewable development by the competitive market</w:t>
      </w:r>
    </w:p>
    <w:p w14:paraId="278BD408" w14:textId="5AE29A87" w:rsidR="00023BB8" w:rsidRPr="006B387C" w:rsidRDefault="00FB0FA2" w:rsidP="00EF7376">
      <w:pPr>
        <w:spacing w:line="480" w:lineRule="auto"/>
        <w:ind w:firstLine="720"/>
        <w:jc w:val="both"/>
        <w:rPr>
          <w:sz w:val="24"/>
          <w:szCs w:val="24"/>
        </w:rPr>
      </w:pPr>
      <w:r>
        <w:rPr>
          <w:sz w:val="24"/>
          <w:szCs w:val="24"/>
        </w:rPr>
        <w:lastRenderedPageBreak/>
        <w:t xml:space="preserve">While </w:t>
      </w:r>
      <w:r w:rsidR="00D65743">
        <w:rPr>
          <w:sz w:val="24"/>
          <w:szCs w:val="24"/>
        </w:rPr>
        <w:t xml:space="preserve">the survey </w:t>
      </w:r>
      <w:r w:rsidR="00EF6606">
        <w:rPr>
          <w:sz w:val="24"/>
          <w:szCs w:val="24"/>
        </w:rPr>
        <w:t xml:space="preserve">purported to identify whether customers desire the addition of renewable energy resources, </w:t>
      </w:r>
      <w:r w:rsidR="00023BB8">
        <w:rPr>
          <w:sz w:val="24"/>
          <w:szCs w:val="24"/>
        </w:rPr>
        <w:t xml:space="preserve">neither the survey nor AEP Ohio attempted to quantify the amount of </w:t>
      </w:r>
      <w:r w:rsidR="005A5A18" w:rsidRPr="005A5A18">
        <w:rPr>
          <w:sz w:val="24"/>
          <w:szCs w:val="24"/>
        </w:rPr>
        <w:t xml:space="preserve">renewable generation </w:t>
      </w:r>
      <w:r w:rsidR="00023BB8">
        <w:rPr>
          <w:sz w:val="24"/>
          <w:szCs w:val="24"/>
        </w:rPr>
        <w:t>that will be developed by</w:t>
      </w:r>
      <w:r w:rsidR="005A5A18" w:rsidRPr="005A5A18">
        <w:rPr>
          <w:sz w:val="24"/>
          <w:szCs w:val="24"/>
        </w:rPr>
        <w:t xml:space="preserve"> the competitive market</w:t>
      </w:r>
      <w:r w:rsidR="00023BB8">
        <w:rPr>
          <w:sz w:val="24"/>
          <w:szCs w:val="24"/>
        </w:rPr>
        <w:t>.</w:t>
      </w:r>
      <w:r w:rsidR="009D178C">
        <w:rPr>
          <w:rStyle w:val="FootnoteReference"/>
          <w:sz w:val="24"/>
          <w:szCs w:val="24"/>
        </w:rPr>
        <w:footnoteReference w:id="73"/>
      </w:r>
      <w:r w:rsidR="00023BB8">
        <w:rPr>
          <w:sz w:val="24"/>
          <w:szCs w:val="24"/>
        </w:rPr>
        <w:t xml:space="preserve">  As IGS testified, the competitive market is well positioned to meet any demand for renewables.</w:t>
      </w:r>
      <w:r w:rsidR="007E0DFF">
        <w:rPr>
          <w:rStyle w:val="FootnoteReference"/>
          <w:sz w:val="24"/>
          <w:szCs w:val="24"/>
        </w:rPr>
        <w:footnoteReference w:id="74"/>
      </w:r>
      <w:r w:rsidR="00023BB8">
        <w:rPr>
          <w:sz w:val="24"/>
          <w:szCs w:val="24"/>
        </w:rPr>
        <w:t xml:space="preserve">  Indeed, </w:t>
      </w:r>
      <w:r w:rsidR="001B107C">
        <w:rPr>
          <w:sz w:val="24"/>
          <w:szCs w:val="24"/>
        </w:rPr>
        <w:t>IGS,</w:t>
      </w:r>
      <w:r w:rsidR="00023BB8">
        <w:rPr>
          <w:sz w:val="24"/>
          <w:szCs w:val="24"/>
        </w:rPr>
        <w:t xml:space="preserve"> </w:t>
      </w:r>
      <w:r w:rsidR="004670C6">
        <w:rPr>
          <w:sz w:val="24"/>
          <w:szCs w:val="24"/>
        </w:rPr>
        <w:t xml:space="preserve">a privately held company headquartered in </w:t>
      </w:r>
      <w:r w:rsidR="009146D9">
        <w:rPr>
          <w:sz w:val="24"/>
          <w:szCs w:val="24"/>
        </w:rPr>
        <w:t xml:space="preserve">AEP </w:t>
      </w:r>
      <w:r w:rsidR="004670C6">
        <w:rPr>
          <w:sz w:val="24"/>
          <w:szCs w:val="24"/>
        </w:rPr>
        <w:t>Ohio</w:t>
      </w:r>
      <w:r w:rsidR="009146D9">
        <w:rPr>
          <w:sz w:val="24"/>
          <w:szCs w:val="24"/>
        </w:rPr>
        <w:t>’s service territory</w:t>
      </w:r>
      <w:r w:rsidR="004670C6">
        <w:rPr>
          <w:sz w:val="24"/>
          <w:szCs w:val="24"/>
        </w:rPr>
        <w:t xml:space="preserve"> is rapidly expanding its renewable offerings</w:t>
      </w:r>
      <w:r w:rsidR="00897E7C">
        <w:rPr>
          <w:sz w:val="24"/>
          <w:szCs w:val="24"/>
        </w:rPr>
        <w:t>, including offerings from renewable resources located in Ohio</w:t>
      </w:r>
      <w:r w:rsidR="004670C6">
        <w:rPr>
          <w:sz w:val="24"/>
          <w:szCs w:val="24"/>
        </w:rPr>
        <w:t>.</w:t>
      </w:r>
      <w:r w:rsidR="00897E7C">
        <w:rPr>
          <w:rStyle w:val="FootnoteReference"/>
          <w:sz w:val="24"/>
          <w:szCs w:val="24"/>
        </w:rPr>
        <w:footnoteReference w:id="75"/>
      </w:r>
      <w:r w:rsidR="004670C6">
        <w:rPr>
          <w:sz w:val="24"/>
          <w:szCs w:val="24"/>
        </w:rPr>
        <w:t xml:space="preserve">  A</w:t>
      </w:r>
      <w:r w:rsidR="00BF7FAF">
        <w:rPr>
          <w:sz w:val="24"/>
          <w:szCs w:val="24"/>
        </w:rPr>
        <w:t xml:space="preserve">lthough IGS is only one of many competitors in the marketplace, </w:t>
      </w:r>
      <w:r w:rsidR="008801D0">
        <w:rPr>
          <w:sz w:val="24"/>
          <w:szCs w:val="24"/>
        </w:rPr>
        <w:t>IGS</w:t>
      </w:r>
      <w:r w:rsidR="00394CCB">
        <w:rPr>
          <w:sz w:val="24"/>
          <w:szCs w:val="24"/>
        </w:rPr>
        <w:t xml:space="preserve"> is currently</w:t>
      </w:r>
      <w:r w:rsidR="008801D0">
        <w:rPr>
          <w:sz w:val="24"/>
          <w:szCs w:val="24"/>
        </w:rPr>
        <w:t xml:space="preserve"> </w:t>
      </w:r>
      <w:r w:rsidR="00394CCB">
        <w:rPr>
          <w:sz w:val="24"/>
          <w:szCs w:val="24"/>
        </w:rPr>
        <w:t>in discussions to develop over 50 MWs of solar in Ohio.</w:t>
      </w:r>
      <w:r w:rsidR="00B97489">
        <w:rPr>
          <w:rStyle w:val="FootnoteReference"/>
          <w:sz w:val="24"/>
          <w:szCs w:val="24"/>
        </w:rPr>
        <w:footnoteReference w:id="76"/>
      </w:r>
      <w:r w:rsidR="00394CCB">
        <w:rPr>
          <w:sz w:val="24"/>
          <w:szCs w:val="24"/>
        </w:rPr>
        <w:t xml:space="preserve">  And IGS intends to </w:t>
      </w:r>
      <w:r w:rsidR="00B97489">
        <w:rPr>
          <w:sz w:val="24"/>
          <w:szCs w:val="24"/>
        </w:rPr>
        <w:t>invest in $450 million in solar projects located in Ohio and nationwide over the next three years.</w:t>
      </w:r>
      <w:r w:rsidR="006831DC">
        <w:rPr>
          <w:rStyle w:val="FootnoteReference"/>
          <w:sz w:val="24"/>
          <w:szCs w:val="24"/>
        </w:rPr>
        <w:footnoteReference w:id="77"/>
      </w:r>
    </w:p>
    <w:p w14:paraId="5962B586" w14:textId="1C54021E" w:rsidR="003C0FE1" w:rsidRPr="00B00E0C" w:rsidRDefault="003C0FE1" w:rsidP="009A1450">
      <w:pPr>
        <w:pStyle w:val="ListParagraph"/>
        <w:numPr>
          <w:ilvl w:val="0"/>
          <w:numId w:val="3"/>
        </w:numPr>
        <w:tabs>
          <w:tab w:val="left" w:pos="360"/>
        </w:tabs>
        <w:spacing w:after="0" w:line="480" w:lineRule="auto"/>
        <w:jc w:val="both"/>
        <w:rPr>
          <w:b/>
          <w:sz w:val="24"/>
          <w:szCs w:val="24"/>
        </w:rPr>
      </w:pPr>
      <w:r w:rsidRPr="00B00E0C">
        <w:rPr>
          <w:b/>
          <w:sz w:val="24"/>
          <w:szCs w:val="24"/>
        </w:rPr>
        <w:t xml:space="preserve">AEP Ohio’s </w:t>
      </w:r>
      <w:r w:rsidR="00DC38F6">
        <w:rPr>
          <w:b/>
          <w:sz w:val="24"/>
          <w:szCs w:val="24"/>
        </w:rPr>
        <w:t>Rate P</w:t>
      </w:r>
      <w:r w:rsidRPr="00B00E0C">
        <w:rPr>
          <w:b/>
          <w:sz w:val="24"/>
          <w:szCs w:val="24"/>
        </w:rPr>
        <w:t>rojections</w:t>
      </w:r>
      <w:r w:rsidR="00DC38F6">
        <w:rPr>
          <w:b/>
          <w:sz w:val="24"/>
          <w:szCs w:val="24"/>
        </w:rPr>
        <w:t xml:space="preserve"> are Flawed</w:t>
      </w:r>
    </w:p>
    <w:p w14:paraId="5868A8DC" w14:textId="20138280" w:rsidR="006E0147" w:rsidRPr="00B00E0C" w:rsidRDefault="006E0147" w:rsidP="006E0147">
      <w:pPr>
        <w:spacing w:line="480" w:lineRule="auto"/>
        <w:ind w:firstLine="720"/>
        <w:jc w:val="both"/>
        <w:rPr>
          <w:sz w:val="24"/>
          <w:szCs w:val="24"/>
        </w:rPr>
      </w:pPr>
      <w:r w:rsidRPr="00B00E0C">
        <w:rPr>
          <w:sz w:val="24"/>
          <w:szCs w:val="24"/>
        </w:rPr>
        <w:t xml:space="preserve">According to AEP Ohio, its proposal will result in a positive net present value for customers of $173 million.  This alleged benefit is broken down as follows: (1) $31 </w:t>
      </w:r>
      <w:proofErr w:type="gramStart"/>
      <w:r w:rsidRPr="00B00E0C">
        <w:rPr>
          <w:sz w:val="24"/>
          <w:szCs w:val="24"/>
        </w:rPr>
        <w:t>as a result of</w:t>
      </w:r>
      <w:proofErr w:type="gramEnd"/>
      <w:r w:rsidRPr="00B00E0C">
        <w:rPr>
          <w:sz w:val="24"/>
          <w:szCs w:val="24"/>
        </w:rPr>
        <w:t xml:space="preserve"> price suppression in the PJM market; (2) $88 million from solar resources; and (3) $54 million from wind resources.</w:t>
      </w:r>
      <w:r w:rsidR="00897E7C">
        <w:rPr>
          <w:rStyle w:val="FootnoteReference"/>
          <w:sz w:val="24"/>
          <w:szCs w:val="24"/>
        </w:rPr>
        <w:footnoteReference w:id="78"/>
      </w:r>
      <w:r w:rsidRPr="00B00E0C">
        <w:rPr>
          <w:sz w:val="24"/>
          <w:szCs w:val="24"/>
        </w:rPr>
        <w:t xml:space="preserve">  Each of these values, however, are based upon flawed or incomplete analysis.</w:t>
      </w:r>
    </w:p>
    <w:p w14:paraId="1225CA11" w14:textId="77777777" w:rsidR="006E0147" w:rsidRPr="00B428D9" w:rsidRDefault="00B428D9" w:rsidP="00377C8A">
      <w:pPr>
        <w:spacing w:after="0" w:line="480" w:lineRule="auto"/>
        <w:ind w:left="1440" w:firstLine="720"/>
        <w:jc w:val="both"/>
        <w:rPr>
          <w:sz w:val="24"/>
          <w:szCs w:val="24"/>
        </w:rPr>
      </w:pPr>
      <w:r>
        <w:rPr>
          <w:b/>
          <w:sz w:val="24"/>
          <w:szCs w:val="24"/>
        </w:rPr>
        <w:lastRenderedPageBreak/>
        <w:t xml:space="preserve">a. </w:t>
      </w:r>
      <w:r w:rsidR="006E0147" w:rsidRPr="00B428D9">
        <w:rPr>
          <w:b/>
          <w:sz w:val="24"/>
          <w:szCs w:val="24"/>
        </w:rPr>
        <w:t xml:space="preserve">Price Suppression </w:t>
      </w:r>
      <w:r w:rsidR="00584CFF" w:rsidRPr="00B428D9">
        <w:rPr>
          <w:b/>
          <w:sz w:val="24"/>
          <w:szCs w:val="24"/>
        </w:rPr>
        <w:t>impacts</w:t>
      </w:r>
      <w:r w:rsidR="006E0147" w:rsidRPr="00B428D9">
        <w:rPr>
          <w:b/>
          <w:sz w:val="24"/>
          <w:szCs w:val="24"/>
        </w:rPr>
        <w:t xml:space="preserve"> are illusory and ignore other costs</w:t>
      </w:r>
    </w:p>
    <w:p w14:paraId="71A1401B" w14:textId="550F641C" w:rsidR="00B00E0C" w:rsidRPr="00B00E0C" w:rsidRDefault="006E0147" w:rsidP="00377C8A">
      <w:pPr>
        <w:spacing w:after="0" w:line="480" w:lineRule="auto"/>
        <w:jc w:val="both"/>
        <w:rPr>
          <w:sz w:val="24"/>
          <w:szCs w:val="24"/>
        </w:rPr>
      </w:pPr>
      <w:r w:rsidRPr="00B00E0C">
        <w:rPr>
          <w:sz w:val="24"/>
          <w:szCs w:val="24"/>
        </w:rPr>
        <w:t xml:space="preserve">    </w:t>
      </w:r>
      <w:r w:rsidRPr="00B00E0C">
        <w:rPr>
          <w:sz w:val="24"/>
          <w:szCs w:val="24"/>
        </w:rPr>
        <w:tab/>
        <w:t>AEP Ohio argues that the introduction of zero dispatch costs resources will suppress locational marginal prices</w:t>
      </w:r>
      <w:r w:rsidR="00377C8A">
        <w:rPr>
          <w:sz w:val="24"/>
          <w:szCs w:val="24"/>
        </w:rPr>
        <w:t xml:space="preserve"> (“LMPs”)</w:t>
      </w:r>
      <w:r w:rsidRPr="00B00E0C">
        <w:rPr>
          <w:sz w:val="24"/>
          <w:szCs w:val="24"/>
        </w:rPr>
        <w:t xml:space="preserve"> in PJM.</w:t>
      </w:r>
      <w:r w:rsidR="000E619B">
        <w:rPr>
          <w:rStyle w:val="FootnoteReference"/>
          <w:sz w:val="24"/>
          <w:szCs w:val="24"/>
        </w:rPr>
        <w:footnoteReference w:id="79"/>
      </w:r>
      <w:r w:rsidRPr="00B00E0C">
        <w:rPr>
          <w:sz w:val="24"/>
          <w:szCs w:val="24"/>
        </w:rPr>
        <w:t xml:space="preserve">  While zero dispatch cost resources</w:t>
      </w:r>
      <w:r w:rsidR="00B77E1C">
        <w:rPr>
          <w:sz w:val="24"/>
          <w:szCs w:val="24"/>
        </w:rPr>
        <w:t xml:space="preserve"> may</w:t>
      </w:r>
      <w:r w:rsidRPr="00B00E0C">
        <w:rPr>
          <w:sz w:val="24"/>
          <w:szCs w:val="24"/>
        </w:rPr>
        <w:t xml:space="preserve"> reduce LMP prices</w:t>
      </w:r>
      <w:r w:rsidR="000E619B">
        <w:rPr>
          <w:sz w:val="24"/>
          <w:szCs w:val="24"/>
        </w:rPr>
        <w:t xml:space="preserve"> in the near term</w:t>
      </w:r>
      <w:r w:rsidRPr="00B00E0C">
        <w:rPr>
          <w:sz w:val="24"/>
          <w:szCs w:val="24"/>
        </w:rPr>
        <w:t>, they cause other external costs, which may outweigh the price suppressive impacts of the resources.</w:t>
      </w:r>
      <w:r w:rsidR="00287652">
        <w:rPr>
          <w:sz w:val="24"/>
          <w:szCs w:val="24"/>
        </w:rPr>
        <w:t xml:space="preserve">  Indeed, PJM performed a study that “</w:t>
      </w:r>
      <w:r w:rsidR="00287652" w:rsidRPr="00287652">
        <w:rPr>
          <w:sz w:val="24"/>
          <w:szCs w:val="24"/>
        </w:rPr>
        <w:t>assumed that the penetration of renewable resources would increase and investigated how</w:t>
      </w:r>
      <w:r w:rsidR="00287652">
        <w:rPr>
          <w:sz w:val="24"/>
          <w:szCs w:val="24"/>
        </w:rPr>
        <w:t xml:space="preserve"> t</w:t>
      </w:r>
      <w:r w:rsidR="00287652" w:rsidRPr="00287652">
        <w:rPr>
          <w:sz w:val="24"/>
          <w:szCs w:val="24"/>
        </w:rPr>
        <w:t>he PJM system would be affected</w:t>
      </w:r>
      <w:r w:rsidR="00287652">
        <w:rPr>
          <w:sz w:val="24"/>
          <w:szCs w:val="24"/>
        </w:rPr>
        <w:t>.”</w:t>
      </w:r>
      <w:r w:rsidR="00287652">
        <w:rPr>
          <w:rStyle w:val="FootnoteReference"/>
          <w:sz w:val="24"/>
          <w:szCs w:val="24"/>
        </w:rPr>
        <w:footnoteReference w:id="80"/>
      </w:r>
      <w:r w:rsidRPr="00B00E0C">
        <w:rPr>
          <w:sz w:val="24"/>
          <w:szCs w:val="24"/>
        </w:rPr>
        <w:t xml:space="preserve">  PJM has concluded</w:t>
      </w:r>
      <w:r w:rsidR="00287652">
        <w:t xml:space="preserve"> </w:t>
      </w:r>
      <w:r w:rsidR="00287652">
        <w:rPr>
          <w:sz w:val="24"/>
          <w:szCs w:val="24"/>
        </w:rPr>
        <w:t>“[t]he</w:t>
      </w:r>
      <w:r w:rsidR="00287652" w:rsidRPr="00287652">
        <w:rPr>
          <w:sz w:val="24"/>
          <w:szCs w:val="24"/>
        </w:rPr>
        <w:t xml:space="preserve"> impact of renewables on production cost savings was investigated, but the analysis did</w:t>
      </w:r>
      <w:r w:rsidR="00287652">
        <w:rPr>
          <w:sz w:val="24"/>
          <w:szCs w:val="24"/>
        </w:rPr>
        <w:t xml:space="preserve"> </w:t>
      </w:r>
      <w:r w:rsidR="00287652" w:rsidRPr="00287652">
        <w:rPr>
          <w:sz w:val="24"/>
          <w:szCs w:val="24"/>
        </w:rPr>
        <w:t>not include possible secondary impacts to the capacity market such as increased</w:t>
      </w:r>
      <w:r w:rsidR="00287652">
        <w:rPr>
          <w:sz w:val="24"/>
          <w:szCs w:val="24"/>
        </w:rPr>
        <w:t xml:space="preserve"> </w:t>
      </w:r>
      <w:r w:rsidR="00287652" w:rsidRPr="00287652">
        <w:rPr>
          <w:sz w:val="24"/>
          <w:szCs w:val="24"/>
        </w:rPr>
        <w:t>retirements due to non-economic performance or a possible need for generators to recover</w:t>
      </w:r>
      <w:r w:rsidR="00287652">
        <w:rPr>
          <w:sz w:val="24"/>
          <w:szCs w:val="24"/>
        </w:rPr>
        <w:t xml:space="preserve"> </w:t>
      </w:r>
      <w:r w:rsidR="00287652" w:rsidRPr="00287652">
        <w:rPr>
          <w:sz w:val="24"/>
          <w:szCs w:val="24"/>
        </w:rPr>
        <w:t>more in the capacity market because of reduced revenue in the energy market.</w:t>
      </w:r>
      <w:r w:rsidR="00287652">
        <w:rPr>
          <w:sz w:val="24"/>
          <w:szCs w:val="24"/>
        </w:rPr>
        <w:t>”</w:t>
      </w:r>
      <w:r w:rsidR="00287652">
        <w:rPr>
          <w:rStyle w:val="FootnoteReference"/>
          <w:sz w:val="24"/>
          <w:szCs w:val="24"/>
        </w:rPr>
        <w:footnoteReference w:id="81"/>
      </w:r>
      <w:r w:rsidR="00287652">
        <w:rPr>
          <w:sz w:val="24"/>
          <w:szCs w:val="24"/>
        </w:rPr>
        <w:t xml:space="preserve">  While PJM did not analyze the impact on retirements, PJM concluded that</w:t>
      </w:r>
      <w:r w:rsidRPr="00B00E0C">
        <w:rPr>
          <w:sz w:val="24"/>
          <w:szCs w:val="24"/>
        </w:rPr>
        <w:t xml:space="preserve"> [w]</w:t>
      </w:r>
      <w:proofErr w:type="spellStart"/>
      <w:r w:rsidRPr="00B00E0C">
        <w:rPr>
          <w:sz w:val="24"/>
          <w:szCs w:val="24"/>
        </w:rPr>
        <w:t>ith</w:t>
      </w:r>
      <w:proofErr w:type="spellEnd"/>
      <w:r w:rsidRPr="00B00E0C">
        <w:rPr>
          <w:sz w:val="24"/>
          <w:szCs w:val="24"/>
        </w:rPr>
        <w:t xml:space="preserve"> increasing levels of wind and solar generation, it will be necessary for PJM to carry higher levels of reserves to respond to the inherent variability and uncertainty in the output of those resources.”</w:t>
      </w:r>
      <w:r w:rsidRPr="00B00E0C">
        <w:rPr>
          <w:rStyle w:val="FootnoteReference"/>
          <w:sz w:val="24"/>
          <w:szCs w:val="24"/>
        </w:rPr>
        <w:footnoteReference w:id="82"/>
      </w:r>
      <w:r w:rsidR="00B00E0C" w:rsidRPr="00B00E0C">
        <w:rPr>
          <w:sz w:val="24"/>
          <w:szCs w:val="24"/>
        </w:rPr>
        <w:t xml:space="preserve">  Examples of such services include:</w:t>
      </w:r>
    </w:p>
    <w:p w14:paraId="356F267C" w14:textId="77777777" w:rsidR="00B00E0C" w:rsidRPr="00B00E0C" w:rsidRDefault="00B00E0C" w:rsidP="00B00E0C">
      <w:pPr>
        <w:spacing w:line="240" w:lineRule="auto"/>
        <w:ind w:left="720" w:right="720"/>
        <w:jc w:val="both"/>
        <w:rPr>
          <w:sz w:val="24"/>
          <w:szCs w:val="24"/>
        </w:rPr>
      </w:pPr>
      <w:r w:rsidRPr="00B00E0C">
        <w:rPr>
          <w:sz w:val="24"/>
          <w:szCs w:val="24"/>
        </w:rPr>
        <w:t xml:space="preserve">• Regulation, which include generating units or demand response resources that are under automatic control and respond to frequency deviations, </w:t>
      </w:r>
    </w:p>
    <w:p w14:paraId="491D92A3" w14:textId="77777777" w:rsidR="00B00E0C" w:rsidRDefault="00B00E0C" w:rsidP="00B00E0C">
      <w:pPr>
        <w:spacing w:line="240" w:lineRule="auto"/>
        <w:ind w:left="720" w:right="720"/>
        <w:jc w:val="both"/>
        <w:rPr>
          <w:sz w:val="24"/>
          <w:szCs w:val="24"/>
        </w:rPr>
      </w:pPr>
      <w:r w:rsidRPr="00B00E0C">
        <w:rPr>
          <w:sz w:val="24"/>
          <w:szCs w:val="24"/>
        </w:rPr>
        <w:t xml:space="preserve">• Reserves, which include Contingency (Primary) Reserve (combination of Synchronized and Non-Synchronized Reserves), and Secondary Reserve, </w:t>
      </w:r>
    </w:p>
    <w:p w14:paraId="7434B306" w14:textId="77777777" w:rsidR="00B00E0C" w:rsidRDefault="00B00E0C" w:rsidP="00B00E0C">
      <w:pPr>
        <w:spacing w:line="240" w:lineRule="auto"/>
        <w:ind w:left="720" w:right="720"/>
        <w:jc w:val="both"/>
        <w:rPr>
          <w:sz w:val="24"/>
          <w:szCs w:val="24"/>
        </w:rPr>
      </w:pPr>
      <w:r w:rsidRPr="00B00E0C">
        <w:rPr>
          <w:sz w:val="24"/>
          <w:szCs w:val="24"/>
        </w:rPr>
        <w:lastRenderedPageBreak/>
        <w:t xml:space="preserve">• Black Start Service, which include generating units that can start and synchronize to the system without having an outside (system) source of AC power, and </w:t>
      </w:r>
    </w:p>
    <w:p w14:paraId="356C6310" w14:textId="77777777" w:rsidR="00B00E0C" w:rsidRPr="00B00E0C" w:rsidRDefault="00B00E0C" w:rsidP="00B00E0C">
      <w:pPr>
        <w:spacing w:line="240" w:lineRule="auto"/>
        <w:ind w:left="720" w:right="720"/>
        <w:jc w:val="both"/>
        <w:rPr>
          <w:sz w:val="24"/>
          <w:szCs w:val="24"/>
        </w:rPr>
      </w:pPr>
      <w:r w:rsidRPr="00B00E0C">
        <w:rPr>
          <w:sz w:val="24"/>
          <w:szCs w:val="24"/>
        </w:rPr>
        <w:t>• Reactive Services, which help maintain transmission voltages within acceptable limits.</w:t>
      </w:r>
      <w:r>
        <w:rPr>
          <w:rStyle w:val="FootnoteReference"/>
          <w:sz w:val="24"/>
          <w:szCs w:val="24"/>
        </w:rPr>
        <w:footnoteReference w:id="83"/>
      </w:r>
    </w:p>
    <w:p w14:paraId="1C577676" w14:textId="7FD10909" w:rsidR="00C11988" w:rsidRDefault="00B00E0C" w:rsidP="006E0147">
      <w:pPr>
        <w:spacing w:line="480" w:lineRule="auto"/>
        <w:jc w:val="both"/>
        <w:rPr>
          <w:sz w:val="24"/>
          <w:szCs w:val="24"/>
        </w:rPr>
      </w:pPr>
      <w:r>
        <w:rPr>
          <w:sz w:val="24"/>
          <w:szCs w:val="24"/>
        </w:rPr>
        <w:t>For example, the sun may go behind the clouds, resulting in line sag, or conversely, the sun may then emerge from the clouds, resulting in unanticipated production of electricity.</w:t>
      </w:r>
      <w:r w:rsidR="004E40FF">
        <w:rPr>
          <w:rStyle w:val="FootnoteReference"/>
          <w:sz w:val="24"/>
          <w:szCs w:val="24"/>
        </w:rPr>
        <w:footnoteReference w:id="84"/>
      </w:r>
      <w:r>
        <w:rPr>
          <w:sz w:val="24"/>
          <w:szCs w:val="24"/>
        </w:rPr>
        <w:t xml:space="preserve">  Consequently, frequency regulation resources may have to be dispatched to ensure transmission voltage does not rise above or below 60 Hz.</w:t>
      </w:r>
      <w:r w:rsidR="00C11988">
        <w:rPr>
          <w:rStyle w:val="FootnoteReference"/>
          <w:sz w:val="24"/>
          <w:szCs w:val="24"/>
        </w:rPr>
        <w:footnoteReference w:id="85"/>
      </w:r>
      <w:r>
        <w:rPr>
          <w:sz w:val="24"/>
          <w:szCs w:val="24"/>
        </w:rPr>
        <w:t xml:space="preserve">  Alternatively, with significant changes in renewable dispatch, another generating unit may be ordered to continue to operate</w:t>
      </w:r>
      <w:r w:rsidR="00C11988">
        <w:rPr>
          <w:sz w:val="24"/>
          <w:szCs w:val="24"/>
        </w:rPr>
        <w:t xml:space="preserve"> out of the normal dispatch order</w:t>
      </w:r>
      <w:r>
        <w:rPr>
          <w:sz w:val="24"/>
          <w:szCs w:val="24"/>
        </w:rPr>
        <w:t>.</w:t>
      </w:r>
      <w:r w:rsidR="00C11988">
        <w:rPr>
          <w:rStyle w:val="FootnoteReference"/>
          <w:sz w:val="24"/>
          <w:szCs w:val="24"/>
        </w:rPr>
        <w:footnoteReference w:id="86"/>
      </w:r>
      <w:r>
        <w:rPr>
          <w:sz w:val="24"/>
          <w:szCs w:val="24"/>
        </w:rPr>
        <w:t xml:space="preserve">  To the extent that its day ahead bid into the wholesale energy market is higher than the average LMP price when it is directed to operate out of the normal dispatch order, it will result in uplift.</w:t>
      </w:r>
      <w:r w:rsidR="00C11988">
        <w:rPr>
          <w:rStyle w:val="FootnoteReference"/>
          <w:sz w:val="24"/>
          <w:szCs w:val="24"/>
        </w:rPr>
        <w:footnoteReference w:id="87"/>
      </w:r>
      <w:r>
        <w:rPr>
          <w:sz w:val="24"/>
          <w:szCs w:val="24"/>
        </w:rPr>
        <w:t xml:space="preserve">  Such costs are not collected through LMP prices, but rather assessed to load serving entities as an ancillary services line item on the PJM bill.</w:t>
      </w:r>
      <w:r w:rsidR="002D2733">
        <w:rPr>
          <w:rStyle w:val="FootnoteReference"/>
          <w:sz w:val="24"/>
          <w:szCs w:val="24"/>
        </w:rPr>
        <w:footnoteReference w:id="88"/>
      </w:r>
      <w:r>
        <w:rPr>
          <w:sz w:val="24"/>
          <w:szCs w:val="24"/>
        </w:rPr>
        <w:t xml:space="preserve">  Either way, the above scenarios may result in the imposition of additional wholesale costs for customers that AEP Ohio did not consider in its analysis. </w:t>
      </w:r>
    </w:p>
    <w:p w14:paraId="521F8554" w14:textId="77777777" w:rsidR="00B00E0C" w:rsidRPr="006E0147" w:rsidRDefault="00C11988" w:rsidP="006E0147">
      <w:pPr>
        <w:spacing w:line="480" w:lineRule="auto"/>
        <w:jc w:val="both"/>
        <w:rPr>
          <w:sz w:val="24"/>
          <w:szCs w:val="24"/>
        </w:rPr>
      </w:pPr>
      <w:r>
        <w:rPr>
          <w:sz w:val="24"/>
          <w:szCs w:val="24"/>
        </w:rPr>
        <w:tab/>
        <w:t xml:space="preserve">Moreover, AEP Ohio failed to account for the additional transmission construction that may be necessitated by the proposed 900 MWs of generation.  As PJM concluded, </w:t>
      </w:r>
      <w:r>
        <w:rPr>
          <w:sz w:val="24"/>
          <w:szCs w:val="24"/>
        </w:rPr>
        <w:lastRenderedPageBreak/>
        <w:t>the construction of additional renewable generation will require</w:t>
      </w:r>
      <w:r w:rsidR="004D3DF9">
        <w:rPr>
          <w:sz w:val="24"/>
          <w:szCs w:val="24"/>
        </w:rPr>
        <w:t xml:space="preserve"> the construction of additional </w:t>
      </w:r>
      <w:r>
        <w:rPr>
          <w:sz w:val="24"/>
          <w:szCs w:val="24"/>
        </w:rPr>
        <w:t>transmission facilities</w:t>
      </w:r>
      <w:r w:rsidR="004D3DF9">
        <w:rPr>
          <w:sz w:val="24"/>
          <w:szCs w:val="24"/>
        </w:rPr>
        <w:t>.</w:t>
      </w:r>
      <w:r w:rsidR="004D3DF9">
        <w:rPr>
          <w:rStyle w:val="FootnoteReference"/>
          <w:sz w:val="24"/>
          <w:szCs w:val="24"/>
        </w:rPr>
        <w:footnoteReference w:id="89"/>
      </w:r>
    </w:p>
    <w:p w14:paraId="6453A79B" w14:textId="107B2D7C" w:rsidR="006E0147" w:rsidRDefault="00584CFF" w:rsidP="00D619A5">
      <w:pPr>
        <w:spacing w:after="0" w:line="480" w:lineRule="auto"/>
        <w:ind w:firstLine="720"/>
        <w:jc w:val="both"/>
        <w:rPr>
          <w:sz w:val="24"/>
          <w:szCs w:val="24"/>
        </w:rPr>
      </w:pPr>
      <w:r>
        <w:rPr>
          <w:sz w:val="24"/>
          <w:szCs w:val="24"/>
        </w:rPr>
        <w:t xml:space="preserve">In addition to failing to account for these costs, AEP Ohio also failed to correctly model the locations of its projected resources, incorrectly assuming that </w:t>
      </w:r>
      <w:r w:rsidR="007F41C8">
        <w:rPr>
          <w:sz w:val="24"/>
          <w:szCs w:val="24"/>
        </w:rPr>
        <w:t>the Highland facility</w:t>
      </w:r>
      <w:r>
        <w:rPr>
          <w:sz w:val="24"/>
          <w:szCs w:val="24"/>
        </w:rPr>
        <w:t xml:space="preserve"> was located in the AEP zone of PJM when in fact the resources were proposed to be connected to the Dayton Power and Light zone.</w:t>
      </w:r>
      <w:r w:rsidR="007F41C8">
        <w:rPr>
          <w:rStyle w:val="FootnoteReference"/>
          <w:sz w:val="24"/>
          <w:szCs w:val="24"/>
        </w:rPr>
        <w:footnoteReference w:id="90"/>
      </w:r>
      <w:r w:rsidR="00A338EE">
        <w:rPr>
          <w:sz w:val="24"/>
          <w:szCs w:val="24"/>
        </w:rPr>
        <w:t xml:space="preserve">  While AEP Ohio attempted to address this incorrect assumption in rebuttal testimony, the fact remains that AEP Ohio did not </w:t>
      </w:r>
      <w:r w:rsidR="00085E2B">
        <w:rPr>
          <w:sz w:val="24"/>
          <w:szCs w:val="24"/>
        </w:rPr>
        <w:t>accurately present the modeling of the alleged LMP price suppression in its direct case.</w:t>
      </w:r>
      <w:r w:rsidR="00810D1A">
        <w:rPr>
          <w:sz w:val="24"/>
          <w:szCs w:val="24"/>
        </w:rPr>
        <w:t xml:space="preserve">  And, even though AEP Ohio </w:t>
      </w:r>
      <w:r w:rsidR="009215C6">
        <w:rPr>
          <w:sz w:val="24"/>
          <w:szCs w:val="24"/>
        </w:rPr>
        <w:t xml:space="preserve">submitted testimony to </w:t>
      </w:r>
      <w:r w:rsidR="00810D1A">
        <w:rPr>
          <w:sz w:val="24"/>
          <w:szCs w:val="24"/>
        </w:rPr>
        <w:t>rebut</w:t>
      </w:r>
      <w:r w:rsidR="009215C6">
        <w:rPr>
          <w:sz w:val="24"/>
          <w:szCs w:val="24"/>
        </w:rPr>
        <w:t xml:space="preserve"> </w:t>
      </w:r>
      <w:r w:rsidR="00810D1A">
        <w:rPr>
          <w:sz w:val="24"/>
          <w:szCs w:val="24"/>
        </w:rPr>
        <w:t xml:space="preserve">its own incorrect modeling assumption, AEP Ohio’s rebuttal testimony utterly failed to provide testimony </w:t>
      </w:r>
      <w:r w:rsidR="009215C6">
        <w:rPr>
          <w:sz w:val="24"/>
          <w:szCs w:val="24"/>
        </w:rPr>
        <w:t xml:space="preserve">to </w:t>
      </w:r>
      <w:r w:rsidR="00810D1A">
        <w:rPr>
          <w:sz w:val="24"/>
          <w:szCs w:val="24"/>
        </w:rPr>
        <w:t xml:space="preserve">rebut the additional costs that </w:t>
      </w:r>
      <w:r w:rsidR="00723DA0">
        <w:rPr>
          <w:sz w:val="24"/>
          <w:szCs w:val="24"/>
        </w:rPr>
        <w:t xml:space="preserve">PJM has identified renewables may impose on load serving entities.  AEP Ohio’s silence is deafening. </w:t>
      </w:r>
      <w:r w:rsidR="00810D1A">
        <w:rPr>
          <w:sz w:val="24"/>
          <w:szCs w:val="24"/>
        </w:rPr>
        <w:t xml:space="preserve"> </w:t>
      </w:r>
    </w:p>
    <w:p w14:paraId="39253632" w14:textId="77777777" w:rsidR="00522FF7" w:rsidRPr="00B428D9" w:rsidRDefault="00522FF7" w:rsidP="00D619A5">
      <w:pPr>
        <w:pStyle w:val="ListParagraph"/>
        <w:numPr>
          <w:ilvl w:val="0"/>
          <w:numId w:val="11"/>
        </w:numPr>
        <w:spacing w:after="0" w:line="480" w:lineRule="auto"/>
        <w:jc w:val="both"/>
        <w:rPr>
          <w:b/>
          <w:sz w:val="24"/>
          <w:szCs w:val="24"/>
        </w:rPr>
      </w:pPr>
      <w:r w:rsidRPr="00B428D9">
        <w:rPr>
          <w:b/>
          <w:sz w:val="24"/>
          <w:szCs w:val="24"/>
        </w:rPr>
        <w:t>Flawed Natural Gas Projections</w:t>
      </w:r>
    </w:p>
    <w:p w14:paraId="29694CA6" w14:textId="5DB73BC0" w:rsidR="002C2DD7" w:rsidRPr="00522FF7" w:rsidRDefault="00584CFF" w:rsidP="00522FF7">
      <w:pPr>
        <w:spacing w:line="480" w:lineRule="auto"/>
        <w:ind w:firstLine="720"/>
        <w:jc w:val="both"/>
        <w:rPr>
          <w:sz w:val="24"/>
          <w:szCs w:val="24"/>
        </w:rPr>
      </w:pPr>
      <w:r w:rsidRPr="00584CFF">
        <w:rPr>
          <w:sz w:val="24"/>
          <w:szCs w:val="24"/>
        </w:rPr>
        <w:t xml:space="preserve">AEP Ohio’s economic analysis of solar and wind the impact of its proposal largely rests on a forecast of future power prices provided by Witness </w:t>
      </w:r>
      <w:proofErr w:type="spellStart"/>
      <w:r w:rsidRPr="00584CFF">
        <w:rPr>
          <w:sz w:val="24"/>
          <w:szCs w:val="24"/>
        </w:rPr>
        <w:t>Blatzacker</w:t>
      </w:r>
      <w:proofErr w:type="spellEnd"/>
      <w:r w:rsidRPr="00584CFF">
        <w:rPr>
          <w:sz w:val="24"/>
          <w:szCs w:val="24"/>
        </w:rPr>
        <w:t>.</w:t>
      </w:r>
      <w:r w:rsidR="00287ABC">
        <w:rPr>
          <w:rStyle w:val="FootnoteReference"/>
          <w:sz w:val="24"/>
          <w:szCs w:val="24"/>
        </w:rPr>
        <w:footnoteReference w:id="91"/>
      </w:r>
      <w:r w:rsidRPr="00584CFF">
        <w:rPr>
          <w:sz w:val="24"/>
          <w:szCs w:val="24"/>
        </w:rPr>
        <w:t xml:space="preserve"> </w:t>
      </w:r>
      <w:r>
        <w:rPr>
          <w:sz w:val="24"/>
          <w:szCs w:val="24"/>
        </w:rPr>
        <w:t xml:space="preserve">The forecast </w:t>
      </w:r>
      <w:r w:rsidR="00495F6B">
        <w:rPr>
          <w:sz w:val="24"/>
          <w:szCs w:val="24"/>
        </w:rPr>
        <w:t>relies</w:t>
      </w:r>
      <w:r w:rsidR="002C2DD7">
        <w:rPr>
          <w:sz w:val="24"/>
          <w:szCs w:val="24"/>
        </w:rPr>
        <w:t xml:space="preserve"> on a projection of natural gas prices</w:t>
      </w:r>
      <w:r>
        <w:rPr>
          <w:sz w:val="24"/>
          <w:szCs w:val="24"/>
        </w:rPr>
        <w:t xml:space="preserve"> and the assumption of a carbon burden</w:t>
      </w:r>
      <w:r w:rsidR="002C2DD7">
        <w:rPr>
          <w:sz w:val="24"/>
          <w:szCs w:val="24"/>
        </w:rPr>
        <w:t>, which is completely detached from reality</w:t>
      </w:r>
      <w:r w:rsidR="00D65435">
        <w:rPr>
          <w:sz w:val="24"/>
          <w:szCs w:val="24"/>
        </w:rPr>
        <w:t>.</w:t>
      </w:r>
      <w:r w:rsidR="00522FF7">
        <w:rPr>
          <w:sz w:val="24"/>
          <w:szCs w:val="24"/>
        </w:rPr>
        <w:t xml:space="preserve">  </w:t>
      </w:r>
      <w:r w:rsidR="00D65435">
        <w:rPr>
          <w:sz w:val="24"/>
          <w:szCs w:val="24"/>
        </w:rPr>
        <w:t xml:space="preserve">As </w:t>
      </w:r>
      <w:r w:rsidR="002C2DD7">
        <w:rPr>
          <w:sz w:val="24"/>
          <w:szCs w:val="24"/>
        </w:rPr>
        <w:t>IGS Witness Leanza explained</w:t>
      </w:r>
      <w:r w:rsidR="00D65435">
        <w:rPr>
          <w:sz w:val="24"/>
          <w:szCs w:val="24"/>
        </w:rPr>
        <w:t xml:space="preserve">, </w:t>
      </w:r>
      <w:r w:rsidR="002C2DD7">
        <w:rPr>
          <w:sz w:val="24"/>
          <w:szCs w:val="24"/>
        </w:rPr>
        <w:t xml:space="preserve">AEP Ohio’s forecast is </w:t>
      </w:r>
      <w:r w:rsidR="00D65435">
        <w:rPr>
          <w:sz w:val="24"/>
          <w:szCs w:val="24"/>
        </w:rPr>
        <w:t>off base</w:t>
      </w:r>
      <w:r w:rsidR="002C2DD7">
        <w:rPr>
          <w:sz w:val="24"/>
          <w:szCs w:val="24"/>
        </w:rPr>
        <w:t xml:space="preserve"> for three reasons:</w:t>
      </w:r>
    </w:p>
    <w:p w14:paraId="6B3BCE01" w14:textId="77777777" w:rsidR="00042735" w:rsidRDefault="002C2DD7" w:rsidP="00522FF7">
      <w:pPr>
        <w:spacing w:line="240" w:lineRule="auto"/>
        <w:ind w:left="720" w:hanging="720"/>
        <w:contextualSpacing/>
        <w:jc w:val="both"/>
        <w:rPr>
          <w:sz w:val="24"/>
          <w:szCs w:val="24"/>
        </w:rPr>
      </w:pPr>
      <w:r>
        <w:rPr>
          <w:b/>
          <w:sz w:val="24"/>
          <w:szCs w:val="24"/>
        </w:rPr>
        <w:lastRenderedPageBreak/>
        <w:tab/>
      </w:r>
      <w:r>
        <w:rPr>
          <w:sz w:val="24"/>
          <w:szCs w:val="24"/>
        </w:rPr>
        <w:t>(1) AEP’s conclusions are based upon a flawed and overstated projection of natural gas prices; (2) AEP’s forecasts have been incorrect time and again; (3) AEP and its affiliates clearly have no confidence in their own forecast; therefore, the Commission should give it little credibility.</w:t>
      </w:r>
      <w:r>
        <w:rPr>
          <w:rStyle w:val="FootnoteReference"/>
          <w:sz w:val="24"/>
          <w:szCs w:val="24"/>
        </w:rPr>
        <w:footnoteReference w:id="92"/>
      </w:r>
    </w:p>
    <w:p w14:paraId="738610EB" w14:textId="77777777" w:rsidR="00522FF7" w:rsidRDefault="00522FF7" w:rsidP="00522FF7">
      <w:pPr>
        <w:spacing w:line="240" w:lineRule="auto"/>
        <w:ind w:left="720" w:hanging="720"/>
        <w:contextualSpacing/>
        <w:jc w:val="both"/>
        <w:rPr>
          <w:sz w:val="24"/>
          <w:szCs w:val="24"/>
        </w:rPr>
      </w:pPr>
    </w:p>
    <w:p w14:paraId="26F34634" w14:textId="3ED481DE" w:rsidR="004067D5" w:rsidRDefault="00042735" w:rsidP="009A1450">
      <w:pPr>
        <w:tabs>
          <w:tab w:val="left" w:pos="0"/>
        </w:tabs>
        <w:spacing w:line="480" w:lineRule="auto"/>
        <w:contextualSpacing/>
        <w:jc w:val="both"/>
        <w:rPr>
          <w:sz w:val="24"/>
          <w:szCs w:val="24"/>
        </w:rPr>
      </w:pPr>
      <w:r>
        <w:rPr>
          <w:sz w:val="24"/>
          <w:szCs w:val="24"/>
        </w:rPr>
        <w:tab/>
      </w:r>
      <w:r w:rsidR="00D65435">
        <w:rPr>
          <w:sz w:val="24"/>
          <w:szCs w:val="24"/>
        </w:rPr>
        <w:t>First, “</w:t>
      </w:r>
      <w:r w:rsidR="00D65435" w:rsidRPr="00BA73CB">
        <w:rPr>
          <w:sz w:val="24"/>
          <w:szCs w:val="24"/>
        </w:rPr>
        <w:t>AEP’s forecast is well above what the market believes gas prices are valued a</w:t>
      </w:r>
      <w:r w:rsidR="00D65435">
        <w:rPr>
          <w:sz w:val="24"/>
          <w:szCs w:val="24"/>
        </w:rPr>
        <w:t xml:space="preserve">t </w:t>
      </w:r>
      <w:r w:rsidR="00D65435" w:rsidRPr="00BA73CB">
        <w:rPr>
          <w:sz w:val="24"/>
          <w:szCs w:val="24"/>
        </w:rPr>
        <w:t>through 2030.</w:t>
      </w:r>
      <w:r w:rsidR="00D65435">
        <w:rPr>
          <w:sz w:val="24"/>
          <w:szCs w:val="24"/>
        </w:rPr>
        <w:t>”</w:t>
      </w:r>
      <w:r w:rsidR="00D65435">
        <w:rPr>
          <w:rStyle w:val="FootnoteReference"/>
          <w:sz w:val="24"/>
          <w:szCs w:val="24"/>
        </w:rPr>
        <w:footnoteReference w:id="93"/>
      </w:r>
      <w:r w:rsidR="00D65435">
        <w:rPr>
          <w:sz w:val="24"/>
          <w:szCs w:val="24"/>
        </w:rPr>
        <w:t xml:space="preserve">  For example, “</w:t>
      </w:r>
      <w:r w:rsidR="00D65435" w:rsidRPr="00D65435">
        <w:rPr>
          <w:sz w:val="24"/>
          <w:szCs w:val="24"/>
        </w:rPr>
        <w:t>by 2030, AEP’s natural gas price estimate is $6.479 while the market is valuing natural gas prices in 2030 at $3.389 or almost half of AEP’s forecasted prices.</w:t>
      </w:r>
      <w:r w:rsidR="00D65435">
        <w:rPr>
          <w:sz w:val="24"/>
          <w:szCs w:val="24"/>
        </w:rPr>
        <w:t>”</w:t>
      </w:r>
      <w:r w:rsidR="00D65435">
        <w:rPr>
          <w:rStyle w:val="FootnoteReference"/>
          <w:sz w:val="24"/>
          <w:szCs w:val="24"/>
        </w:rPr>
        <w:footnoteReference w:id="94"/>
      </w:r>
      <w:r w:rsidR="004067D5">
        <w:rPr>
          <w:sz w:val="24"/>
          <w:szCs w:val="24"/>
        </w:rPr>
        <w:t xml:space="preserve">  Part of the reason for AEP Ohio’s overstatement of natural gas prices and power prices</w:t>
      </w:r>
      <w:r w:rsidR="004067D5" w:rsidRPr="004067D5">
        <w:rPr>
          <w:sz w:val="24"/>
          <w:szCs w:val="24"/>
        </w:rPr>
        <w:t>—at least after the first seven years</w:t>
      </w:r>
      <w:r w:rsidR="00EC6F8D">
        <w:rPr>
          <w:sz w:val="24"/>
          <w:szCs w:val="24"/>
        </w:rPr>
        <w:t xml:space="preserve"> when the facilities do not break even</w:t>
      </w:r>
      <w:r w:rsidR="004067D5" w:rsidRPr="004067D5">
        <w:rPr>
          <w:sz w:val="24"/>
          <w:szCs w:val="24"/>
        </w:rPr>
        <w:t>—</w:t>
      </w:r>
      <w:r w:rsidR="004067D5">
        <w:rPr>
          <w:sz w:val="24"/>
          <w:szCs w:val="24"/>
        </w:rPr>
        <w:t>relates to the fact that it assumes that there will be a tax on carbon emissions starting in 2028.</w:t>
      </w:r>
      <w:r w:rsidR="00E02A9B">
        <w:rPr>
          <w:rStyle w:val="FootnoteReference"/>
          <w:sz w:val="24"/>
          <w:szCs w:val="24"/>
        </w:rPr>
        <w:footnoteReference w:id="95"/>
      </w:r>
      <w:r w:rsidR="00714364">
        <w:rPr>
          <w:sz w:val="24"/>
          <w:szCs w:val="24"/>
        </w:rPr>
        <w:t xml:space="preserve"> The resources that it modeled simply do not “break even”</w:t>
      </w:r>
      <w:r w:rsidR="00D90B6D">
        <w:rPr>
          <w:sz w:val="24"/>
          <w:szCs w:val="24"/>
        </w:rPr>
        <w:t xml:space="preserve"> on a net present value basis</w:t>
      </w:r>
      <w:r w:rsidR="00714364">
        <w:rPr>
          <w:sz w:val="24"/>
          <w:szCs w:val="24"/>
        </w:rPr>
        <w:t xml:space="preserve"> </w:t>
      </w:r>
      <w:r w:rsidR="00D90B6D">
        <w:rPr>
          <w:sz w:val="24"/>
          <w:szCs w:val="24"/>
        </w:rPr>
        <w:t>without</w:t>
      </w:r>
      <w:r w:rsidR="00714364">
        <w:rPr>
          <w:sz w:val="24"/>
          <w:szCs w:val="24"/>
        </w:rPr>
        <w:t xml:space="preserve"> the introduction of a carbon tax in 2028</w:t>
      </w:r>
      <w:r w:rsidR="00564029">
        <w:rPr>
          <w:sz w:val="24"/>
          <w:szCs w:val="24"/>
        </w:rPr>
        <w:t>, even assuming the resources receive capacity revenue, which they may not</w:t>
      </w:r>
      <w:r w:rsidR="00714364">
        <w:rPr>
          <w:sz w:val="24"/>
          <w:szCs w:val="24"/>
        </w:rPr>
        <w:t>.</w:t>
      </w:r>
      <w:r w:rsidR="00B76027">
        <w:rPr>
          <w:rStyle w:val="FootnoteReference"/>
          <w:sz w:val="24"/>
          <w:szCs w:val="24"/>
        </w:rPr>
        <w:footnoteReference w:id="96"/>
      </w:r>
      <w:r w:rsidR="004067D5">
        <w:rPr>
          <w:sz w:val="24"/>
          <w:szCs w:val="24"/>
        </w:rPr>
        <w:t xml:space="preserve">  As AEP Ohio conceded during trial, a carbon tax falls disproportionately on coal-fired generation, which increases the dispatch of natural gas resources, thereby increasing the demand and price for natural gas.</w:t>
      </w:r>
      <w:r w:rsidR="00564029">
        <w:rPr>
          <w:rStyle w:val="FootnoteReference"/>
          <w:sz w:val="24"/>
          <w:szCs w:val="24"/>
        </w:rPr>
        <w:footnoteReference w:id="97"/>
      </w:r>
      <w:r w:rsidR="004067D5">
        <w:rPr>
          <w:sz w:val="24"/>
          <w:szCs w:val="24"/>
        </w:rPr>
        <w:t xml:space="preserve">  No such carbon burden exists today; therefore, it would be inappropriate to plan for market dynamics that are yet to materialize.</w:t>
      </w:r>
      <w:r w:rsidR="000568BF">
        <w:rPr>
          <w:rStyle w:val="FootnoteReference"/>
          <w:sz w:val="24"/>
          <w:szCs w:val="24"/>
        </w:rPr>
        <w:footnoteReference w:id="98"/>
      </w:r>
      <w:r w:rsidR="00714364">
        <w:rPr>
          <w:sz w:val="24"/>
          <w:szCs w:val="24"/>
        </w:rPr>
        <w:t xml:space="preserve">  </w:t>
      </w:r>
    </w:p>
    <w:p w14:paraId="78398501" w14:textId="1954C6E9" w:rsidR="009A1450" w:rsidRDefault="004067D5" w:rsidP="009A1450">
      <w:pPr>
        <w:tabs>
          <w:tab w:val="left" w:pos="0"/>
        </w:tabs>
        <w:spacing w:line="480" w:lineRule="auto"/>
        <w:contextualSpacing/>
        <w:jc w:val="both"/>
        <w:rPr>
          <w:sz w:val="24"/>
          <w:szCs w:val="24"/>
        </w:rPr>
      </w:pPr>
      <w:r>
        <w:rPr>
          <w:sz w:val="24"/>
          <w:szCs w:val="24"/>
        </w:rPr>
        <w:lastRenderedPageBreak/>
        <w:tab/>
      </w:r>
      <w:r w:rsidR="00D65435">
        <w:rPr>
          <w:sz w:val="24"/>
          <w:szCs w:val="24"/>
        </w:rPr>
        <w:t xml:space="preserve"> AEP Ohio’s </w:t>
      </w:r>
      <w:r>
        <w:rPr>
          <w:sz w:val="24"/>
          <w:szCs w:val="24"/>
        </w:rPr>
        <w:t xml:space="preserve">overstatement </w:t>
      </w:r>
      <w:r w:rsidR="00D65435">
        <w:rPr>
          <w:sz w:val="24"/>
          <w:szCs w:val="24"/>
        </w:rPr>
        <w:t>of natural gas prices translates into overstated power prices.</w:t>
      </w:r>
      <w:r w:rsidR="00301FFB">
        <w:rPr>
          <w:rStyle w:val="FootnoteReference"/>
          <w:sz w:val="24"/>
          <w:szCs w:val="24"/>
        </w:rPr>
        <w:footnoteReference w:id="99"/>
      </w:r>
      <w:r w:rsidR="00D65435">
        <w:rPr>
          <w:sz w:val="24"/>
          <w:szCs w:val="24"/>
        </w:rPr>
        <w:t xml:space="preserve">  “</w:t>
      </w:r>
      <w:r w:rsidR="00D65435" w:rsidRPr="00BA73CB">
        <w:rPr>
          <w:sz w:val="24"/>
          <w:szCs w:val="24"/>
        </w:rPr>
        <w:t>Using the average Heat Rate of 9.63 from AEP’s Nominal Forecast, a $1.00 increase in the price of natural gas will increase power prices by approximately $9.63 or $1.00 times the heat rate ratio</w:t>
      </w:r>
      <w:r w:rsidR="00D65435">
        <w:rPr>
          <w:sz w:val="24"/>
          <w:szCs w:val="24"/>
        </w:rPr>
        <w:t>.”</w:t>
      </w:r>
      <w:r>
        <w:rPr>
          <w:rStyle w:val="FootnoteReference"/>
          <w:sz w:val="24"/>
          <w:szCs w:val="24"/>
        </w:rPr>
        <w:footnoteReference w:id="100"/>
      </w:r>
      <w:r w:rsidR="00D65435">
        <w:rPr>
          <w:sz w:val="24"/>
          <w:szCs w:val="24"/>
        </w:rPr>
        <w:t xml:space="preserve">  </w:t>
      </w:r>
      <w:r w:rsidR="009A1450">
        <w:rPr>
          <w:sz w:val="24"/>
          <w:szCs w:val="24"/>
        </w:rPr>
        <w:t>“[T]</w:t>
      </w:r>
      <w:r w:rsidR="00D65435" w:rsidRPr="00D65435">
        <w:rPr>
          <w:sz w:val="24"/>
          <w:szCs w:val="24"/>
        </w:rPr>
        <w:t>he price difference of $3.09 translates to an overinflated power price by approximately $29 per megawatt hour in 2030.</w:t>
      </w:r>
      <w:r>
        <w:rPr>
          <w:sz w:val="24"/>
          <w:szCs w:val="24"/>
        </w:rPr>
        <w:t>”</w:t>
      </w:r>
      <w:r>
        <w:rPr>
          <w:rStyle w:val="FootnoteReference"/>
          <w:sz w:val="24"/>
          <w:szCs w:val="24"/>
        </w:rPr>
        <w:footnoteReference w:id="101"/>
      </w:r>
      <w:r w:rsidR="009A1450">
        <w:rPr>
          <w:sz w:val="24"/>
          <w:szCs w:val="24"/>
        </w:rPr>
        <w:t xml:space="preserve">  What does this mean?  While AEP Ohio claims that the wholesale energy price in 2030 will be $60.7 per megawatt hour</w:t>
      </w:r>
      <w:r w:rsidR="00BD3126">
        <w:rPr>
          <w:sz w:val="24"/>
          <w:szCs w:val="24"/>
        </w:rPr>
        <w:t xml:space="preserve"> for solar (on peak) and $54.8 per megawatt hour for wind (off peak)</w:t>
      </w:r>
      <w:r w:rsidR="009A1450">
        <w:rPr>
          <w:sz w:val="24"/>
          <w:szCs w:val="24"/>
        </w:rPr>
        <w:t xml:space="preserve">, the market </w:t>
      </w:r>
      <w:r w:rsidR="00042735">
        <w:rPr>
          <w:sz w:val="24"/>
          <w:szCs w:val="24"/>
        </w:rPr>
        <w:t>believes that it will be closer to $32 per megawatt hour</w:t>
      </w:r>
      <w:r w:rsidR="00BD3126">
        <w:rPr>
          <w:sz w:val="24"/>
          <w:szCs w:val="24"/>
        </w:rPr>
        <w:t xml:space="preserve"> (on peak) and $26 per megawatt hour (off peak)</w:t>
      </w:r>
      <w:r w:rsidR="00042735">
        <w:rPr>
          <w:sz w:val="24"/>
          <w:szCs w:val="24"/>
        </w:rPr>
        <w:t xml:space="preserve">, which is well below the REPA purchase price.  </w:t>
      </w:r>
      <w:r w:rsidR="009A1450">
        <w:rPr>
          <w:sz w:val="24"/>
          <w:szCs w:val="24"/>
        </w:rPr>
        <w:t xml:space="preserve">  </w:t>
      </w:r>
    </w:p>
    <w:p w14:paraId="15B3DD0D" w14:textId="7E016ECC" w:rsidR="00D65435" w:rsidRDefault="00042735" w:rsidP="009A1450">
      <w:pPr>
        <w:tabs>
          <w:tab w:val="left" w:pos="0"/>
        </w:tabs>
        <w:spacing w:line="480" w:lineRule="auto"/>
        <w:contextualSpacing/>
        <w:jc w:val="both"/>
        <w:rPr>
          <w:sz w:val="24"/>
          <w:szCs w:val="24"/>
        </w:rPr>
      </w:pPr>
      <w:r>
        <w:rPr>
          <w:sz w:val="24"/>
          <w:szCs w:val="24"/>
        </w:rPr>
        <w:tab/>
        <w:t>2030</w:t>
      </w:r>
      <w:r w:rsidR="009A1450">
        <w:rPr>
          <w:sz w:val="24"/>
          <w:szCs w:val="24"/>
        </w:rPr>
        <w:t xml:space="preserve"> is not an anomaly. Throughout the forecast period, actual trades of natural gas futures contracts are being executed at significantly lower prices than AEP Ohio estimates</w:t>
      </w:r>
      <w:r>
        <w:rPr>
          <w:sz w:val="24"/>
          <w:szCs w:val="24"/>
        </w:rPr>
        <w:t>.</w:t>
      </w:r>
      <w:r w:rsidR="00A70D9B">
        <w:rPr>
          <w:sz w:val="24"/>
          <w:szCs w:val="24"/>
        </w:rPr>
        <w:t xml:space="preserve">  These figures are reflected </w:t>
      </w:r>
      <w:r w:rsidR="00444957">
        <w:rPr>
          <w:sz w:val="24"/>
          <w:szCs w:val="24"/>
        </w:rPr>
        <w:t>on p. 14,</w:t>
      </w:r>
      <w:r w:rsidR="00A70D9B">
        <w:rPr>
          <w:sz w:val="24"/>
          <w:szCs w:val="24"/>
        </w:rPr>
        <w:t xml:space="preserve"> Table 1 of the Testimony of IGS Witness Leanza</w:t>
      </w:r>
      <w:r w:rsidR="00444957">
        <w:rPr>
          <w:sz w:val="24"/>
          <w:szCs w:val="24"/>
        </w:rPr>
        <w:t>:</w:t>
      </w:r>
    </w:p>
    <w:p w14:paraId="637805D2" w14:textId="2B2AEA43" w:rsidR="009A1450" w:rsidRDefault="009A1450" w:rsidP="009671DB">
      <w:pPr>
        <w:tabs>
          <w:tab w:val="left" w:pos="0"/>
        </w:tabs>
        <w:spacing w:line="480" w:lineRule="auto"/>
        <w:contextualSpacing/>
        <w:jc w:val="center"/>
        <w:rPr>
          <w:sz w:val="24"/>
          <w:szCs w:val="24"/>
        </w:rPr>
      </w:pPr>
      <w:r>
        <w:rPr>
          <w:noProof/>
          <w:sz w:val="24"/>
          <w:szCs w:val="24"/>
        </w:rPr>
        <w:lastRenderedPageBreak/>
        <w:drawing>
          <wp:inline distT="0" distB="0" distL="0" distR="0" wp14:anchorId="1FFC6999" wp14:editId="07777777">
            <wp:extent cx="3639820" cy="2944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820" cy="2944495"/>
                    </a:xfrm>
                    <a:prstGeom prst="rect">
                      <a:avLst/>
                    </a:prstGeom>
                    <a:noFill/>
                  </pic:spPr>
                </pic:pic>
              </a:graphicData>
            </a:graphic>
          </wp:inline>
        </w:drawing>
      </w:r>
    </w:p>
    <w:p w14:paraId="6DDC4629" w14:textId="1FE32E00" w:rsidR="009A1450" w:rsidRDefault="009A1450" w:rsidP="009A1450">
      <w:pPr>
        <w:tabs>
          <w:tab w:val="left" w:pos="0"/>
        </w:tabs>
        <w:spacing w:line="480" w:lineRule="auto"/>
        <w:contextualSpacing/>
        <w:jc w:val="both"/>
        <w:rPr>
          <w:sz w:val="24"/>
          <w:szCs w:val="24"/>
        </w:rPr>
      </w:pPr>
      <w:r>
        <w:rPr>
          <w:sz w:val="24"/>
          <w:szCs w:val="24"/>
        </w:rPr>
        <w:t xml:space="preserve">Based upon AEP Ohio’s own heat rate </w:t>
      </w:r>
      <w:r w:rsidR="00042735">
        <w:rPr>
          <w:sz w:val="24"/>
          <w:szCs w:val="24"/>
        </w:rPr>
        <w:t>assumptions</w:t>
      </w:r>
      <w:r>
        <w:rPr>
          <w:sz w:val="24"/>
          <w:szCs w:val="24"/>
        </w:rPr>
        <w:t xml:space="preserve">, its forecast of </w:t>
      </w:r>
      <w:r w:rsidR="00042735">
        <w:rPr>
          <w:sz w:val="24"/>
          <w:szCs w:val="24"/>
        </w:rPr>
        <w:t>energy</w:t>
      </w:r>
      <w:r>
        <w:rPr>
          <w:sz w:val="24"/>
          <w:szCs w:val="24"/>
        </w:rPr>
        <w:t xml:space="preserve"> prices is inflated by $19-$30 per megawatt hour from 2021 through 2031.</w:t>
      </w:r>
      <w:r w:rsidR="009671DB">
        <w:rPr>
          <w:rStyle w:val="FootnoteReference"/>
          <w:sz w:val="24"/>
          <w:szCs w:val="24"/>
        </w:rPr>
        <w:footnoteReference w:id="102"/>
      </w:r>
      <w:r>
        <w:rPr>
          <w:sz w:val="24"/>
          <w:szCs w:val="24"/>
        </w:rPr>
        <w:t xml:space="preserve"> The consequence of this overstatement is to render the proposed REPA’s uneconomic</w:t>
      </w:r>
      <w:r w:rsidR="00BD3126">
        <w:rPr>
          <w:sz w:val="24"/>
          <w:szCs w:val="24"/>
        </w:rPr>
        <w:t>, given that the proposed REPA price is $45 per megawatt hour for solar and $40 per megawatt hour for wind.</w:t>
      </w:r>
    </w:p>
    <w:p w14:paraId="16B695BA" w14:textId="71B2FEEF" w:rsidR="00042735" w:rsidRDefault="00042735" w:rsidP="00E64805">
      <w:pPr>
        <w:tabs>
          <w:tab w:val="left" w:pos="0"/>
        </w:tabs>
        <w:spacing w:line="480" w:lineRule="auto"/>
        <w:contextualSpacing/>
        <w:jc w:val="both"/>
        <w:rPr>
          <w:sz w:val="24"/>
          <w:szCs w:val="24"/>
        </w:rPr>
      </w:pPr>
      <w:r>
        <w:rPr>
          <w:sz w:val="24"/>
          <w:szCs w:val="24"/>
        </w:rPr>
        <w:tab/>
      </w:r>
      <w:r w:rsidR="00522FF7">
        <w:rPr>
          <w:sz w:val="24"/>
          <w:szCs w:val="24"/>
        </w:rPr>
        <w:t>Second, a</w:t>
      </w:r>
      <w:r>
        <w:rPr>
          <w:sz w:val="24"/>
          <w:szCs w:val="24"/>
        </w:rPr>
        <w:t xml:space="preserve">s IGS Witness Leanza discussed, AEP Ohio’s projections are so aggressive that, if correct, there would simply be no need to seek regulatory approvals in this case to move forward with construction of 900 Megawatts of renewables.  If it believed its own forecast, its affiliates would simply develop the resources </w:t>
      </w:r>
      <w:r w:rsidR="00305028">
        <w:rPr>
          <w:sz w:val="24"/>
          <w:szCs w:val="24"/>
        </w:rPr>
        <w:t>themselves</w:t>
      </w:r>
      <w:r>
        <w:rPr>
          <w:sz w:val="24"/>
          <w:szCs w:val="24"/>
        </w:rPr>
        <w:t>.</w:t>
      </w:r>
      <w:r w:rsidR="00E34209">
        <w:rPr>
          <w:rStyle w:val="FootnoteReference"/>
          <w:sz w:val="24"/>
          <w:szCs w:val="24"/>
        </w:rPr>
        <w:footnoteReference w:id="103"/>
      </w:r>
      <w:r>
        <w:rPr>
          <w:sz w:val="24"/>
          <w:szCs w:val="24"/>
        </w:rPr>
        <w:t xml:space="preserve">  Or, even better, “</w:t>
      </w:r>
      <w:r w:rsidRPr="00042735">
        <w:rPr>
          <w:sz w:val="24"/>
          <w:szCs w:val="24"/>
        </w:rPr>
        <w:t>an affiliate could purchase natural gas futures at current market prices and collect all the associated profits once the natural gas price reaches their forecasted price.</w:t>
      </w:r>
      <w:r>
        <w:rPr>
          <w:sz w:val="24"/>
          <w:szCs w:val="24"/>
        </w:rPr>
        <w:t>”</w:t>
      </w:r>
      <w:r>
        <w:rPr>
          <w:rStyle w:val="FootnoteReference"/>
          <w:sz w:val="24"/>
          <w:szCs w:val="24"/>
        </w:rPr>
        <w:footnoteReference w:id="104"/>
      </w:r>
      <w:r>
        <w:rPr>
          <w:sz w:val="24"/>
          <w:szCs w:val="24"/>
        </w:rPr>
        <w:t xml:space="preserve">  Mr. </w:t>
      </w:r>
      <w:r>
        <w:rPr>
          <w:sz w:val="24"/>
          <w:szCs w:val="24"/>
        </w:rPr>
        <w:lastRenderedPageBreak/>
        <w:t>Leanza calculated that potential profit opportunity—assuming the forecast is correct—between $281 million and $535 million, which would on an annual basis, at a minimum, provide sufficient revenue for an AEP Ohio affiliate to cover any near term shortfall in revenue that would exist if they entered into the REPAs themselves.</w:t>
      </w:r>
      <w:r w:rsidR="000E1896">
        <w:rPr>
          <w:rStyle w:val="FootnoteReference"/>
          <w:sz w:val="24"/>
          <w:szCs w:val="24"/>
        </w:rPr>
        <w:footnoteReference w:id="105"/>
      </w:r>
      <w:r>
        <w:rPr>
          <w:sz w:val="24"/>
          <w:szCs w:val="24"/>
        </w:rPr>
        <w:t xml:space="preserve"> Mr. Leanza, however, further testified that he is not surprised that AEP Ohio’s affiliates have not undertaken the “profit opportunity” he described, because AEP Ohio’s forecast is completely detached from what the market expects will transpire.</w:t>
      </w:r>
      <w:r w:rsidR="000E1896">
        <w:rPr>
          <w:rStyle w:val="FootnoteReference"/>
          <w:sz w:val="24"/>
          <w:szCs w:val="24"/>
        </w:rPr>
        <w:footnoteReference w:id="106"/>
      </w:r>
      <w:r>
        <w:rPr>
          <w:sz w:val="24"/>
          <w:szCs w:val="24"/>
        </w:rPr>
        <w:t xml:space="preserve">   </w:t>
      </w:r>
    </w:p>
    <w:p w14:paraId="1EC4E3B4" w14:textId="4D1DE351" w:rsidR="00042735" w:rsidRDefault="00E64805" w:rsidP="00E64805">
      <w:pPr>
        <w:tabs>
          <w:tab w:val="left" w:pos="0"/>
        </w:tabs>
        <w:spacing w:line="480" w:lineRule="auto"/>
        <w:contextualSpacing/>
        <w:jc w:val="both"/>
        <w:rPr>
          <w:noProof/>
          <w:sz w:val="24"/>
          <w:szCs w:val="24"/>
        </w:rPr>
      </w:pPr>
      <w:r>
        <w:rPr>
          <w:sz w:val="24"/>
          <w:szCs w:val="24"/>
        </w:rPr>
        <w:tab/>
      </w:r>
      <w:r w:rsidR="00522FF7">
        <w:rPr>
          <w:sz w:val="24"/>
          <w:szCs w:val="24"/>
        </w:rPr>
        <w:t>Third</w:t>
      </w:r>
      <w:r w:rsidR="00042735">
        <w:rPr>
          <w:sz w:val="24"/>
          <w:szCs w:val="24"/>
        </w:rPr>
        <w:t xml:space="preserve">, Mr. </w:t>
      </w:r>
      <w:proofErr w:type="spellStart"/>
      <w:r w:rsidR="00042735">
        <w:rPr>
          <w:sz w:val="24"/>
          <w:szCs w:val="24"/>
        </w:rPr>
        <w:t>Bletzacker’s</w:t>
      </w:r>
      <w:proofErr w:type="spellEnd"/>
      <w:r w:rsidR="00042735">
        <w:rPr>
          <w:sz w:val="24"/>
          <w:szCs w:val="24"/>
        </w:rPr>
        <w:t xml:space="preserve"> fundamenta</w:t>
      </w:r>
      <w:r w:rsidR="00584CFF">
        <w:rPr>
          <w:sz w:val="24"/>
          <w:szCs w:val="24"/>
        </w:rPr>
        <w:t>l</w:t>
      </w:r>
      <w:r w:rsidR="00042735">
        <w:rPr>
          <w:sz w:val="24"/>
          <w:szCs w:val="24"/>
        </w:rPr>
        <w:t xml:space="preserve">s forecast track record does not instill confidence for purposes of making long-term decisions.  </w:t>
      </w:r>
      <w:r w:rsidR="00BD3126">
        <w:rPr>
          <w:sz w:val="24"/>
          <w:szCs w:val="24"/>
        </w:rPr>
        <w:t>“[E]</w:t>
      </w:r>
      <w:r w:rsidR="00BD3126" w:rsidRPr="00BD3126">
        <w:rPr>
          <w:sz w:val="24"/>
          <w:szCs w:val="24"/>
        </w:rPr>
        <w:t>ach of AEP’s fundamental forecasts since 2008 has missed the mark by a wide margin.</w:t>
      </w:r>
      <w:r w:rsidR="00BD3126">
        <w:rPr>
          <w:sz w:val="24"/>
          <w:szCs w:val="24"/>
        </w:rPr>
        <w:t>”</w:t>
      </w:r>
      <w:r w:rsidR="00BD3126">
        <w:rPr>
          <w:rStyle w:val="FootnoteReference"/>
          <w:sz w:val="24"/>
          <w:szCs w:val="24"/>
        </w:rPr>
        <w:footnoteReference w:id="107"/>
      </w:r>
      <w:r w:rsidR="00BD3126">
        <w:rPr>
          <w:sz w:val="24"/>
          <w:szCs w:val="24"/>
        </w:rPr>
        <w:t xml:space="preserve">  Mr. Leanza plotted </w:t>
      </w:r>
      <w:r w:rsidR="0083319A">
        <w:rPr>
          <w:sz w:val="24"/>
          <w:szCs w:val="24"/>
        </w:rPr>
        <w:t>these massive misses</w:t>
      </w:r>
      <w:r w:rsidR="005D387F">
        <w:rPr>
          <w:sz w:val="24"/>
          <w:szCs w:val="24"/>
        </w:rPr>
        <w:t xml:space="preserve"> on Figure 4</w:t>
      </w:r>
      <w:r w:rsidR="0083319A">
        <w:rPr>
          <w:sz w:val="24"/>
          <w:szCs w:val="24"/>
        </w:rPr>
        <w:t xml:space="preserve"> of his testimony</w:t>
      </w:r>
      <w:r w:rsidR="005D387F">
        <w:rPr>
          <w:sz w:val="24"/>
          <w:szCs w:val="24"/>
        </w:rPr>
        <w:t>.</w:t>
      </w:r>
      <w:r w:rsidR="005D387F">
        <w:rPr>
          <w:rStyle w:val="FootnoteReference"/>
          <w:sz w:val="24"/>
          <w:szCs w:val="24"/>
        </w:rPr>
        <w:footnoteReference w:id="108"/>
      </w:r>
    </w:p>
    <w:p w14:paraId="1BCF95CE" w14:textId="313D93C6" w:rsidR="0083319A" w:rsidRDefault="0083319A" w:rsidP="0083319A">
      <w:pPr>
        <w:tabs>
          <w:tab w:val="left" w:pos="0"/>
        </w:tabs>
        <w:spacing w:line="480" w:lineRule="auto"/>
        <w:contextualSpacing/>
        <w:jc w:val="center"/>
        <w:rPr>
          <w:sz w:val="24"/>
          <w:szCs w:val="24"/>
        </w:rPr>
      </w:pPr>
      <w:r>
        <w:rPr>
          <w:noProof/>
          <w:sz w:val="24"/>
          <w:szCs w:val="24"/>
        </w:rPr>
        <w:lastRenderedPageBreak/>
        <w:drawing>
          <wp:inline distT="0" distB="0" distL="0" distR="0" wp14:anchorId="59DF41B0" wp14:editId="4917CDC3">
            <wp:extent cx="4590415" cy="276161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0415" cy="2761615"/>
                    </a:xfrm>
                    <a:prstGeom prst="rect">
                      <a:avLst/>
                    </a:prstGeom>
                    <a:noFill/>
                  </pic:spPr>
                </pic:pic>
              </a:graphicData>
            </a:graphic>
          </wp:inline>
        </w:drawing>
      </w:r>
    </w:p>
    <w:p w14:paraId="735DE98B" w14:textId="77777777" w:rsidR="0083319A" w:rsidRPr="009A1450" w:rsidRDefault="0083319A" w:rsidP="00651E8F">
      <w:pPr>
        <w:tabs>
          <w:tab w:val="left" w:pos="0"/>
        </w:tabs>
        <w:spacing w:line="480" w:lineRule="auto"/>
        <w:contextualSpacing/>
        <w:rPr>
          <w:sz w:val="24"/>
          <w:szCs w:val="24"/>
        </w:rPr>
      </w:pPr>
    </w:p>
    <w:p w14:paraId="2677E988" w14:textId="77777777" w:rsidR="00305028" w:rsidRDefault="00BD3126" w:rsidP="00522FF7">
      <w:pPr>
        <w:spacing w:line="480" w:lineRule="auto"/>
        <w:contextualSpacing/>
        <w:jc w:val="both"/>
        <w:rPr>
          <w:sz w:val="24"/>
          <w:szCs w:val="24"/>
        </w:rPr>
      </w:pPr>
      <w:r>
        <w:rPr>
          <w:sz w:val="24"/>
          <w:szCs w:val="24"/>
        </w:rPr>
        <w:t>S</w:t>
      </w:r>
      <w:r w:rsidRPr="00BD3126">
        <w:rPr>
          <w:sz w:val="24"/>
          <w:szCs w:val="24"/>
        </w:rPr>
        <w:t>ometimes a picture is worth a thousand words</w:t>
      </w:r>
      <w:r>
        <w:rPr>
          <w:sz w:val="24"/>
          <w:szCs w:val="24"/>
        </w:rPr>
        <w:t>.  There are only two constants: (1</w:t>
      </w:r>
      <w:proofErr w:type="gramStart"/>
      <w:r>
        <w:rPr>
          <w:sz w:val="24"/>
          <w:szCs w:val="24"/>
        </w:rPr>
        <w:t>)  “</w:t>
      </w:r>
      <w:proofErr w:type="gramEnd"/>
      <w:r w:rsidRPr="00BD3126">
        <w:rPr>
          <w:sz w:val="24"/>
          <w:szCs w:val="24"/>
        </w:rPr>
        <w:t>AEP always manages to forecast very high Henry Hub gas prices</w:t>
      </w:r>
      <w:r>
        <w:rPr>
          <w:sz w:val="24"/>
          <w:szCs w:val="24"/>
        </w:rPr>
        <w:t>”</w:t>
      </w:r>
      <w:r>
        <w:rPr>
          <w:rStyle w:val="FootnoteReference"/>
          <w:sz w:val="24"/>
          <w:szCs w:val="24"/>
        </w:rPr>
        <w:footnoteReference w:id="109"/>
      </w:r>
      <w:r>
        <w:rPr>
          <w:sz w:val="24"/>
          <w:szCs w:val="24"/>
        </w:rPr>
        <w:t>; and (2) “</w:t>
      </w:r>
      <w:r w:rsidRPr="00BD3126">
        <w:rPr>
          <w:sz w:val="24"/>
          <w:szCs w:val="24"/>
        </w:rPr>
        <w:t>AEP can’t seem to accurately forecast 2 years out and becomes increasingly bad at forecasting the further out in time they project prices</w:t>
      </w:r>
      <w:r>
        <w:rPr>
          <w:sz w:val="24"/>
          <w:szCs w:val="24"/>
        </w:rPr>
        <w:t>.”</w:t>
      </w:r>
      <w:r>
        <w:rPr>
          <w:rStyle w:val="FootnoteReference"/>
          <w:sz w:val="24"/>
          <w:szCs w:val="24"/>
        </w:rPr>
        <w:footnoteReference w:id="110"/>
      </w:r>
      <w:r>
        <w:rPr>
          <w:sz w:val="24"/>
          <w:szCs w:val="24"/>
        </w:rPr>
        <w:t xml:space="preserve">  </w:t>
      </w:r>
    </w:p>
    <w:p w14:paraId="64333622" w14:textId="7AEB0DA8" w:rsidR="00522FF7" w:rsidRDefault="00522FF7" w:rsidP="00305028">
      <w:pPr>
        <w:spacing w:line="480" w:lineRule="auto"/>
        <w:ind w:firstLine="720"/>
        <w:contextualSpacing/>
        <w:jc w:val="both"/>
        <w:rPr>
          <w:sz w:val="24"/>
          <w:szCs w:val="24"/>
        </w:rPr>
      </w:pPr>
      <w:r>
        <w:rPr>
          <w:sz w:val="24"/>
          <w:szCs w:val="24"/>
        </w:rPr>
        <w:t>If AEP Ohio’s own track record is convincing of the risk, take AEP Ohio’s own word.  After the Amended LTFR was filed, the Chief Executive Officer of American Electric Power, Nick Akins, stated publicly “</w:t>
      </w:r>
      <w:r w:rsidRPr="00522FF7">
        <w:rPr>
          <w:sz w:val="24"/>
          <w:szCs w:val="24"/>
        </w:rPr>
        <w:t>There is nothing more risky for us to make in our industry today than a generation-related investment.”</w:t>
      </w:r>
      <w:r>
        <w:rPr>
          <w:rStyle w:val="FootnoteReference"/>
          <w:sz w:val="24"/>
          <w:szCs w:val="24"/>
        </w:rPr>
        <w:footnoteReference w:id="111"/>
      </w:r>
      <w:r>
        <w:rPr>
          <w:sz w:val="24"/>
          <w:szCs w:val="24"/>
        </w:rPr>
        <w:t xml:space="preserve">  Of course, in this case, AEP </w:t>
      </w:r>
      <w:r>
        <w:rPr>
          <w:sz w:val="24"/>
          <w:szCs w:val="24"/>
        </w:rPr>
        <w:lastRenderedPageBreak/>
        <w:t>Ohio has no issue making the investment because it does not propose to bear the risk—the risk is placed on the backs of all distribution customers.</w:t>
      </w:r>
    </w:p>
    <w:p w14:paraId="3842532B" w14:textId="77777777" w:rsidR="004067D5" w:rsidRDefault="004067D5" w:rsidP="00305028">
      <w:pPr>
        <w:pStyle w:val="ListParagraph"/>
        <w:numPr>
          <w:ilvl w:val="0"/>
          <w:numId w:val="11"/>
        </w:numPr>
        <w:spacing w:after="0" w:line="480" w:lineRule="auto"/>
        <w:jc w:val="both"/>
        <w:rPr>
          <w:b/>
          <w:sz w:val="24"/>
          <w:szCs w:val="24"/>
        </w:rPr>
      </w:pPr>
      <w:r>
        <w:rPr>
          <w:b/>
          <w:sz w:val="24"/>
          <w:szCs w:val="24"/>
        </w:rPr>
        <w:t>AEP’s flawed projection of capacity revenue</w:t>
      </w:r>
    </w:p>
    <w:p w14:paraId="061DEA8A" w14:textId="3FB4B59C" w:rsidR="007912FC" w:rsidRDefault="004067D5" w:rsidP="00305028">
      <w:pPr>
        <w:spacing w:after="0" w:line="480" w:lineRule="auto"/>
        <w:ind w:firstLine="720"/>
        <w:jc w:val="both"/>
        <w:rPr>
          <w:sz w:val="24"/>
          <w:szCs w:val="24"/>
        </w:rPr>
      </w:pPr>
      <w:r>
        <w:rPr>
          <w:sz w:val="24"/>
          <w:szCs w:val="24"/>
        </w:rPr>
        <w:t xml:space="preserve">AEP Ohio projects that the proposed solar and wind resources will receive capacity revenue through the PJM Interconnection, LLC (“PJM”) </w:t>
      </w:r>
      <w:r w:rsidR="007912FC">
        <w:rPr>
          <w:sz w:val="24"/>
          <w:szCs w:val="24"/>
        </w:rPr>
        <w:t>by clearing in the base residual auction.</w:t>
      </w:r>
      <w:r w:rsidR="00B46A45">
        <w:rPr>
          <w:rStyle w:val="FootnoteReference"/>
          <w:sz w:val="24"/>
          <w:szCs w:val="24"/>
        </w:rPr>
        <w:footnoteReference w:id="112"/>
      </w:r>
      <w:r w:rsidR="007912FC">
        <w:rPr>
          <w:sz w:val="24"/>
          <w:szCs w:val="24"/>
        </w:rPr>
        <w:t xml:space="preserve"> But, as IGS Witness Haugen testified, PJM recently proposed to change the rules for the capacity market. Specifically, “</w:t>
      </w:r>
      <w:r w:rsidR="007912FC" w:rsidRPr="007912FC">
        <w:rPr>
          <w:sz w:val="24"/>
          <w:szCs w:val="24"/>
        </w:rPr>
        <w:t>PJM has filed proposed capacity market rule changes which would only allow state subsidized resources to either submit a bid at the Minimum Offer Price Rule</w:t>
      </w:r>
      <w:r w:rsidR="007912FC">
        <w:rPr>
          <w:sz w:val="24"/>
          <w:szCs w:val="24"/>
        </w:rPr>
        <w:t xml:space="preserve"> </w:t>
      </w:r>
      <w:r w:rsidR="007912FC" w:rsidRPr="007912FC">
        <w:rPr>
          <w:sz w:val="24"/>
          <w:szCs w:val="24"/>
        </w:rPr>
        <w:t>(MOPR) or the capacity would fall under the Resource Carve-Out option.</w:t>
      </w:r>
      <w:r w:rsidR="007912FC">
        <w:rPr>
          <w:sz w:val="24"/>
          <w:szCs w:val="24"/>
        </w:rPr>
        <w:t>”</w:t>
      </w:r>
      <w:r w:rsidR="007912FC">
        <w:rPr>
          <w:rStyle w:val="FootnoteReference"/>
          <w:sz w:val="24"/>
          <w:szCs w:val="24"/>
        </w:rPr>
        <w:footnoteReference w:id="113"/>
      </w:r>
      <w:r w:rsidR="007912FC">
        <w:rPr>
          <w:sz w:val="24"/>
          <w:szCs w:val="24"/>
        </w:rPr>
        <w:t xml:space="preserve"> Under the new rule, the proposed resources “</w:t>
      </w:r>
      <w:r w:rsidR="007912FC" w:rsidRPr="007912FC">
        <w:rPr>
          <w:sz w:val="24"/>
          <w:szCs w:val="24"/>
        </w:rPr>
        <w:t>would be deemed the recipient of</w:t>
      </w:r>
      <w:r w:rsidR="007912FC">
        <w:rPr>
          <w:sz w:val="24"/>
          <w:szCs w:val="24"/>
        </w:rPr>
        <w:t xml:space="preserve"> </w:t>
      </w:r>
      <w:r w:rsidR="007912FC" w:rsidRPr="007912FC">
        <w:rPr>
          <w:sz w:val="24"/>
          <w:szCs w:val="24"/>
        </w:rPr>
        <w:t>an actionable state subsidy</w:t>
      </w:r>
      <w:r w:rsidR="007912FC">
        <w:rPr>
          <w:sz w:val="24"/>
          <w:szCs w:val="24"/>
        </w:rPr>
        <w:t>.”</w:t>
      </w:r>
      <w:r w:rsidR="007912FC">
        <w:rPr>
          <w:rStyle w:val="FootnoteReference"/>
          <w:sz w:val="24"/>
          <w:szCs w:val="24"/>
        </w:rPr>
        <w:footnoteReference w:id="114"/>
      </w:r>
      <w:r w:rsidR="007912FC">
        <w:rPr>
          <w:sz w:val="24"/>
          <w:szCs w:val="24"/>
        </w:rPr>
        <w:t xml:space="preserve"> Consequently, “</w:t>
      </w:r>
      <w:r w:rsidR="007912FC" w:rsidRPr="007912FC">
        <w:rPr>
          <w:sz w:val="24"/>
          <w:szCs w:val="24"/>
        </w:rPr>
        <w:t>it is unlikely the resource would clear at the price</w:t>
      </w:r>
      <w:r w:rsidR="007912FC">
        <w:rPr>
          <w:sz w:val="24"/>
          <w:szCs w:val="24"/>
        </w:rPr>
        <w:t xml:space="preserve"> </w:t>
      </w:r>
      <w:r w:rsidR="007912FC" w:rsidRPr="007912FC">
        <w:rPr>
          <w:sz w:val="24"/>
          <w:szCs w:val="24"/>
        </w:rPr>
        <w:t>associated with the MOPR</w:t>
      </w:r>
      <w:r w:rsidR="007912FC">
        <w:rPr>
          <w:sz w:val="24"/>
          <w:szCs w:val="24"/>
        </w:rPr>
        <w:t>.”</w:t>
      </w:r>
      <w:r w:rsidR="007912FC">
        <w:rPr>
          <w:rStyle w:val="FootnoteReference"/>
          <w:sz w:val="24"/>
          <w:szCs w:val="24"/>
        </w:rPr>
        <w:footnoteReference w:id="115"/>
      </w:r>
      <w:r w:rsidR="007912FC">
        <w:rPr>
          <w:sz w:val="24"/>
          <w:szCs w:val="24"/>
        </w:rPr>
        <w:t xml:space="preserve">  Therefore, the resources may not receive revenue from the capacity market. </w:t>
      </w:r>
    </w:p>
    <w:p w14:paraId="4B0663B8" w14:textId="77777777" w:rsidR="007912FC" w:rsidRDefault="007912FC" w:rsidP="007912FC">
      <w:pPr>
        <w:spacing w:line="480" w:lineRule="auto"/>
        <w:jc w:val="both"/>
        <w:rPr>
          <w:sz w:val="24"/>
          <w:szCs w:val="24"/>
        </w:rPr>
      </w:pPr>
      <w:r>
        <w:rPr>
          <w:sz w:val="24"/>
          <w:szCs w:val="24"/>
        </w:rPr>
        <w:tab/>
        <w:t>Even if the resources are eligible to be included as part of fixed resource requirement alternative, PJM proposed to apply an “Extended Resource Carve Out.”  Under that proposal, customers may end up paying for capacity twice:</w:t>
      </w:r>
    </w:p>
    <w:p w14:paraId="624DD8C1" w14:textId="77777777" w:rsidR="007912FC" w:rsidRDefault="007912FC" w:rsidP="007912FC">
      <w:pPr>
        <w:spacing w:line="240" w:lineRule="auto"/>
        <w:ind w:left="720" w:right="720"/>
        <w:jc w:val="both"/>
        <w:rPr>
          <w:sz w:val="24"/>
          <w:szCs w:val="24"/>
        </w:rPr>
      </w:pPr>
      <w:r w:rsidRPr="007912FC">
        <w:rPr>
          <w:sz w:val="24"/>
          <w:szCs w:val="24"/>
        </w:rPr>
        <w:t>Unde</w:t>
      </w:r>
      <w:r>
        <w:rPr>
          <w:sz w:val="24"/>
          <w:szCs w:val="24"/>
        </w:rPr>
        <w:t xml:space="preserve">r </w:t>
      </w:r>
      <w:r w:rsidRPr="007912FC">
        <w:rPr>
          <w:sz w:val="24"/>
          <w:szCs w:val="24"/>
        </w:rPr>
        <w:t>this proposal, the REPA generation resources would not only be carved out of th</w:t>
      </w:r>
      <w:r>
        <w:rPr>
          <w:sz w:val="24"/>
          <w:szCs w:val="24"/>
        </w:rPr>
        <w:t xml:space="preserve">e </w:t>
      </w:r>
      <w:r w:rsidRPr="007912FC">
        <w:rPr>
          <w:sz w:val="24"/>
          <w:szCs w:val="24"/>
        </w:rPr>
        <w:t>PJM capacity auctions, but customers who receive service in the AEP territory</w:t>
      </w:r>
      <w:r>
        <w:rPr>
          <w:sz w:val="24"/>
          <w:szCs w:val="24"/>
        </w:rPr>
        <w:t xml:space="preserve"> </w:t>
      </w:r>
      <w:r w:rsidRPr="007912FC">
        <w:rPr>
          <w:sz w:val="24"/>
          <w:szCs w:val="24"/>
        </w:rPr>
        <w:t>would still be required to buy the full amount of capacity that clears in the PJM</w:t>
      </w:r>
      <w:r>
        <w:rPr>
          <w:sz w:val="24"/>
          <w:szCs w:val="24"/>
        </w:rPr>
        <w:t xml:space="preserve"> </w:t>
      </w:r>
      <w:r w:rsidRPr="007912FC">
        <w:rPr>
          <w:sz w:val="24"/>
          <w:szCs w:val="24"/>
        </w:rPr>
        <w:t xml:space="preserve">auction and their respective load would not be carved out. Therefore, customers in the territory would be paying for generation </w:t>
      </w:r>
      <w:r w:rsidRPr="007912FC">
        <w:rPr>
          <w:sz w:val="24"/>
          <w:szCs w:val="24"/>
        </w:rPr>
        <w:lastRenderedPageBreak/>
        <w:t>that meets their reliability requirements from PJM and paying the capacity for REPA resources which are not participating in the capacity auctions.</w:t>
      </w:r>
      <w:r>
        <w:rPr>
          <w:rStyle w:val="FootnoteReference"/>
          <w:sz w:val="24"/>
          <w:szCs w:val="24"/>
        </w:rPr>
        <w:footnoteReference w:id="116"/>
      </w:r>
    </w:p>
    <w:p w14:paraId="78671B14" w14:textId="713C87AF" w:rsidR="005B2B14" w:rsidRDefault="007912FC" w:rsidP="007912FC">
      <w:pPr>
        <w:spacing w:line="480" w:lineRule="auto"/>
        <w:jc w:val="both"/>
        <w:rPr>
          <w:sz w:val="24"/>
          <w:szCs w:val="24"/>
        </w:rPr>
      </w:pPr>
      <w:r>
        <w:rPr>
          <w:sz w:val="24"/>
          <w:szCs w:val="24"/>
        </w:rPr>
        <w:t>Thus, [u]</w:t>
      </w:r>
      <w:proofErr w:type="spellStart"/>
      <w:r w:rsidRPr="007912FC">
        <w:rPr>
          <w:sz w:val="24"/>
          <w:szCs w:val="24"/>
        </w:rPr>
        <w:t>nder</w:t>
      </w:r>
      <w:proofErr w:type="spellEnd"/>
      <w:r w:rsidRPr="007912FC">
        <w:rPr>
          <w:sz w:val="24"/>
          <w:szCs w:val="24"/>
        </w:rPr>
        <w:t xml:space="preserve"> either of these options, it is unlikely that Capacity associated with the REPA</w:t>
      </w:r>
      <w:r>
        <w:rPr>
          <w:sz w:val="24"/>
          <w:szCs w:val="24"/>
        </w:rPr>
        <w:t xml:space="preserve">[s] </w:t>
      </w:r>
      <w:r w:rsidRPr="007912FC">
        <w:rPr>
          <w:sz w:val="24"/>
          <w:szCs w:val="24"/>
        </w:rPr>
        <w:t>would have any value in the PJM capacity auction and the analysis provided in support of the IRP is therefore fundamentally flawed</w:t>
      </w:r>
      <w:r>
        <w:rPr>
          <w:sz w:val="24"/>
          <w:szCs w:val="24"/>
        </w:rPr>
        <w:t>.”</w:t>
      </w:r>
      <w:r>
        <w:rPr>
          <w:rStyle w:val="FootnoteReference"/>
          <w:sz w:val="24"/>
          <w:szCs w:val="24"/>
        </w:rPr>
        <w:footnoteReference w:id="117"/>
      </w:r>
    </w:p>
    <w:p w14:paraId="524AFAE3" w14:textId="727437DF" w:rsidR="00E32F3F" w:rsidRDefault="00E32F3F" w:rsidP="00A25B26">
      <w:pPr>
        <w:pStyle w:val="ListParagraph"/>
        <w:numPr>
          <w:ilvl w:val="0"/>
          <w:numId w:val="11"/>
        </w:numPr>
        <w:spacing w:line="240" w:lineRule="auto"/>
        <w:jc w:val="both"/>
        <w:rPr>
          <w:b/>
          <w:sz w:val="24"/>
          <w:szCs w:val="24"/>
        </w:rPr>
      </w:pPr>
      <w:r>
        <w:rPr>
          <w:b/>
          <w:sz w:val="24"/>
          <w:szCs w:val="24"/>
        </w:rPr>
        <w:t xml:space="preserve">Even accepting AEP Ohio’s flawed </w:t>
      </w:r>
      <w:r w:rsidR="00407F8D">
        <w:rPr>
          <w:b/>
          <w:sz w:val="24"/>
          <w:szCs w:val="24"/>
        </w:rPr>
        <w:t>rate projections, the ESP would flunk the MRO vs. ESP price test</w:t>
      </w:r>
    </w:p>
    <w:p w14:paraId="6F904AF0" w14:textId="760E0D0B" w:rsidR="00407F8D" w:rsidRDefault="008D013B" w:rsidP="00894D72">
      <w:pPr>
        <w:spacing w:line="480" w:lineRule="auto"/>
        <w:ind w:firstLine="720"/>
        <w:jc w:val="both"/>
        <w:rPr>
          <w:sz w:val="24"/>
          <w:szCs w:val="24"/>
        </w:rPr>
      </w:pPr>
      <w:r>
        <w:rPr>
          <w:sz w:val="24"/>
          <w:szCs w:val="24"/>
        </w:rPr>
        <w:t>Under R.C. 4928.143</w:t>
      </w:r>
      <w:r w:rsidR="008F75AA">
        <w:rPr>
          <w:sz w:val="24"/>
          <w:szCs w:val="24"/>
        </w:rPr>
        <w:t xml:space="preserve">(C)(1), </w:t>
      </w:r>
      <w:r w:rsidR="00814CFC">
        <w:rPr>
          <w:sz w:val="24"/>
          <w:szCs w:val="24"/>
        </w:rPr>
        <w:t xml:space="preserve">the ESP and </w:t>
      </w:r>
      <w:proofErr w:type="gramStart"/>
      <w:r w:rsidR="00814CFC">
        <w:rPr>
          <w:sz w:val="24"/>
          <w:szCs w:val="24"/>
        </w:rPr>
        <w:t>all of</w:t>
      </w:r>
      <w:proofErr w:type="gramEnd"/>
      <w:r w:rsidR="00814CFC">
        <w:rPr>
          <w:sz w:val="24"/>
          <w:szCs w:val="24"/>
        </w:rPr>
        <w:t xml:space="preserve"> its terms must be “</w:t>
      </w:r>
      <w:r w:rsidR="008F75AA" w:rsidRPr="008F75AA">
        <w:rPr>
          <w:sz w:val="24"/>
          <w:szCs w:val="24"/>
        </w:rPr>
        <w:t>more favorable in the aggregate as compared to the expected results that would otherwise apply under section 4928.142 of the Revised Code</w:t>
      </w:r>
      <w:r w:rsidR="00814CFC">
        <w:rPr>
          <w:sz w:val="24"/>
          <w:szCs w:val="24"/>
        </w:rPr>
        <w:t>.”</w:t>
      </w:r>
      <w:r w:rsidR="00AD2977">
        <w:rPr>
          <w:sz w:val="24"/>
          <w:szCs w:val="24"/>
        </w:rPr>
        <w:t xml:space="preserve">  </w:t>
      </w:r>
      <w:r w:rsidR="0025098C">
        <w:rPr>
          <w:sz w:val="24"/>
          <w:szCs w:val="24"/>
        </w:rPr>
        <w:t xml:space="preserve"> The current electric security plan will end on May 31, 2024.</w:t>
      </w:r>
      <w:r w:rsidR="0020112B">
        <w:rPr>
          <w:rStyle w:val="FootnoteReference"/>
          <w:sz w:val="24"/>
          <w:szCs w:val="24"/>
        </w:rPr>
        <w:footnoteReference w:id="118"/>
      </w:r>
      <w:r w:rsidR="00532D86">
        <w:rPr>
          <w:sz w:val="24"/>
          <w:szCs w:val="24"/>
        </w:rPr>
        <w:t xml:space="preserve"> </w:t>
      </w:r>
      <w:r w:rsidR="00894D72">
        <w:rPr>
          <w:sz w:val="24"/>
          <w:szCs w:val="24"/>
        </w:rPr>
        <w:t>T</w:t>
      </w:r>
      <w:r w:rsidR="00532D86">
        <w:rPr>
          <w:sz w:val="24"/>
          <w:szCs w:val="24"/>
        </w:rPr>
        <w:t>he Commission</w:t>
      </w:r>
      <w:r w:rsidR="00620E76">
        <w:rPr>
          <w:sz w:val="24"/>
          <w:szCs w:val="24"/>
        </w:rPr>
        <w:t>’s order in the ESP case did not want to “speculate as to the quantitative impact”</w:t>
      </w:r>
      <w:r w:rsidR="00894D72">
        <w:rPr>
          <w:sz w:val="24"/>
          <w:szCs w:val="24"/>
        </w:rPr>
        <w:t xml:space="preserve"> of this yet to be filed application.</w:t>
      </w:r>
      <w:r w:rsidR="00894D72">
        <w:rPr>
          <w:rStyle w:val="FootnoteReference"/>
          <w:sz w:val="24"/>
          <w:szCs w:val="24"/>
        </w:rPr>
        <w:footnoteReference w:id="119"/>
      </w:r>
      <w:r w:rsidR="0025098C">
        <w:rPr>
          <w:sz w:val="24"/>
          <w:szCs w:val="24"/>
        </w:rPr>
        <w:t xml:space="preserve"> </w:t>
      </w:r>
      <w:r w:rsidR="006F2212">
        <w:rPr>
          <w:sz w:val="24"/>
          <w:szCs w:val="24"/>
        </w:rPr>
        <w:t xml:space="preserve"> </w:t>
      </w:r>
      <w:r w:rsidR="0025098C">
        <w:rPr>
          <w:sz w:val="24"/>
          <w:szCs w:val="24"/>
        </w:rPr>
        <w:t>Based upon AEP Ohio’s own rate projections,</w:t>
      </w:r>
      <w:r w:rsidR="000F3906">
        <w:rPr>
          <w:sz w:val="24"/>
          <w:szCs w:val="24"/>
        </w:rPr>
        <w:t xml:space="preserve"> however,</w:t>
      </w:r>
      <w:r w:rsidR="0025098C">
        <w:rPr>
          <w:sz w:val="24"/>
          <w:szCs w:val="24"/>
        </w:rPr>
        <w:t xml:space="preserve"> the proposal</w:t>
      </w:r>
      <w:r w:rsidR="0082004A">
        <w:rPr>
          <w:sz w:val="24"/>
          <w:szCs w:val="24"/>
        </w:rPr>
        <w:t xml:space="preserve"> backload</w:t>
      </w:r>
      <w:r w:rsidR="0025098C">
        <w:rPr>
          <w:sz w:val="24"/>
          <w:szCs w:val="24"/>
        </w:rPr>
        <w:t>s</w:t>
      </w:r>
      <w:r w:rsidR="0082004A">
        <w:rPr>
          <w:sz w:val="24"/>
          <w:szCs w:val="24"/>
        </w:rPr>
        <w:t xml:space="preserve"> the alleged benefits </w:t>
      </w:r>
      <w:r w:rsidR="0025098C">
        <w:rPr>
          <w:sz w:val="24"/>
          <w:szCs w:val="24"/>
        </w:rPr>
        <w:t xml:space="preserve">to </w:t>
      </w:r>
      <w:r w:rsidR="0082004A">
        <w:rPr>
          <w:sz w:val="24"/>
          <w:szCs w:val="24"/>
        </w:rPr>
        <w:t xml:space="preserve">a timeframe that occurs outside of the </w:t>
      </w:r>
      <w:r w:rsidR="003B5FDB">
        <w:rPr>
          <w:sz w:val="24"/>
          <w:szCs w:val="24"/>
        </w:rPr>
        <w:t xml:space="preserve">ESP </w:t>
      </w:r>
      <w:r w:rsidR="0082004A">
        <w:rPr>
          <w:sz w:val="24"/>
          <w:szCs w:val="24"/>
        </w:rPr>
        <w:t xml:space="preserve">currently in effect.  </w:t>
      </w:r>
    </w:p>
    <w:p w14:paraId="63876DF9" w14:textId="532ED5CD" w:rsidR="00791150" w:rsidRPr="00407F8D" w:rsidRDefault="00791150" w:rsidP="000F3906">
      <w:pPr>
        <w:spacing w:after="0" w:line="480" w:lineRule="auto"/>
        <w:ind w:firstLine="720"/>
        <w:jc w:val="both"/>
        <w:rPr>
          <w:sz w:val="24"/>
          <w:szCs w:val="24"/>
        </w:rPr>
      </w:pPr>
      <w:r>
        <w:rPr>
          <w:sz w:val="24"/>
          <w:szCs w:val="24"/>
        </w:rPr>
        <w:t xml:space="preserve">Specifically, AEP Ohio witness </w:t>
      </w:r>
      <w:proofErr w:type="spellStart"/>
      <w:r>
        <w:rPr>
          <w:sz w:val="24"/>
          <w:szCs w:val="24"/>
        </w:rPr>
        <w:t>Torpey</w:t>
      </w:r>
      <w:r w:rsidR="00687FE6">
        <w:rPr>
          <w:sz w:val="24"/>
          <w:szCs w:val="24"/>
        </w:rPr>
        <w:t>’s</w:t>
      </w:r>
      <w:proofErr w:type="spellEnd"/>
      <w:r w:rsidR="00687FE6">
        <w:rPr>
          <w:sz w:val="24"/>
          <w:szCs w:val="24"/>
        </w:rPr>
        <w:t xml:space="preserve"> own testimony shows that the solar REPAs will lose money through 2024 and only begin to make up for past losses starting in 2025</w:t>
      </w:r>
      <w:r w:rsidR="001750CE">
        <w:rPr>
          <w:sz w:val="24"/>
          <w:szCs w:val="24"/>
        </w:rPr>
        <w:t xml:space="preserve"> (and only barely)</w:t>
      </w:r>
      <w:r w:rsidR="00687FE6">
        <w:rPr>
          <w:sz w:val="24"/>
          <w:szCs w:val="24"/>
        </w:rPr>
        <w:t>.</w:t>
      </w:r>
      <w:r w:rsidR="00F148D2">
        <w:rPr>
          <w:rStyle w:val="FootnoteReference"/>
          <w:sz w:val="24"/>
          <w:szCs w:val="24"/>
        </w:rPr>
        <w:footnoteReference w:id="120"/>
      </w:r>
      <w:r w:rsidR="00687FE6">
        <w:rPr>
          <w:sz w:val="24"/>
          <w:szCs w:val="24"/>
        </w:rPr>
        <w:t xml:space="preserve">  Likewise, </w:t>
      </w:r>
      <w:r w:rsidR="003710BE">
        <w:rPr>
          <w:sz w:val="24"/>
          <w:szCs w:val="24"/>
        </w:rPr>
        <w:t xml:space="preserve">the wind REPAs will lose money through 2026 </w:t>
      </w:r>
      <w:r w:rsidR="003710BE">
        <w:rPr>
          <w:sz w:val="24"/>
          <w:szCs w:val="24"/>
        </w:rPr>
        <w:lastRenderedPageBreak/>
        <w:t>and only start to make up for past losses in 2027 (and only barely).</w:t>
      </w:r>
      <w:r w:rsidR="00F148D2">
        <w:rPr>
          <w:rStyle w:val="FootnoteReference"/>
          <w:sz w:val="24"/>
          <w:szCs w:val="24"/>
        </w:rPr>
        <w:footnoteReference w:id="121"/>
      </w:r>
      <w:r w:rsidR="001750CE">
        <w:rPr>
          <w:sz w:val="24"/>
          <w:szCs w:val="24"/>
        </w:rPr>
        <w:t xml:space="preserve">  Moreover, as stated above, the REPAs </w:t>
      </w:r>
      <w:r w:rsidR="00B2353B">
        <w:rPr>
          <w:sz w:val="24"/>
          <w:szCs w:val="24"/>
        </w:rPr>
        <w:t>do no actually start to make up for the mountain of earlier losses until 2028 when AEP Ohio assumes carbon regulations will be in place.</w:t>
      </w:r>
      <w:r w:rsidR="00F148D2">
        <w:rPr>
          <w:rStyle w:val="FootnoteReference"/>
          <w:sz w:val="24"/>
          <w:szCs w:val="24"/>
        </w:rPr>
        <w:footnoteReference w:id="122"/>
      </w:r>
      <w:r w:rsidR="00B2353B">
        <w:rPr>
          <w:sz w:val="24"/>
          <w:szCs w:val="24"/>
        </w:rPr>
        <w:t xml:space="preserve"> Th</w:t>
      </w:r>
      <w:r w:rsidR="0020112B">
        <w:rPr>
          <w:sz w:val="24"/>
          <w:szCs w:val="24"/>
        </w:rPr>
        <w:t>at</w:t>
      </w:r>
      <w:r w:rsidR="00B2353B">
        <w:rPr>
          <w:sz w:val="24"/>
          <w:szCs w:val="24"/>
        </w:rPr>
        <w:t xml:space="preserve"> is </w:t>
      </w:r>
      <w:r w:rsidR="00A93F1A">
        <w:rPr>
          <w:sz w:val="24"/>
          <w:szCs w:val="24"/>
        </w:rPr>
        <w:t xml:space="preserve">nearly five years after the ESP ends. </w:t>
      </w:r>
      <w:r w:rsidR="001A1EE2">
        <w:rPr>
          <w:sz w:val="24"/>
          <w:szCs w:val="24"/>
        </w:rPr>
        <w:t>Even accepting AEP Ohio’s flawed numbers as accurate,</w:t>
      </w:r>
      <w:r w:rsidR="006B3F56">
        <w:rPr>
          <w:sz w:val="24"/>
          <w:szCs w:val="24"/>
        </w:rPr>
        <w:t xml:space="preserve"> which they are not, </w:t>
      </w:r>
      <w:r w:rsidR="001A1EE2">
        <w:rPr>
          <w:sz w:val="24"/>
          <w:szCs w:val="24"/>
        </w:rPr>
        <w:t xml:space="preserve">the proposal should not be approved because it would cause the ESP to fail the ESP vs. MRO price test.  </w:t>
      </w:r>
      <w:r w:rsidR="00A93F1A">
        <w:rPr>
          <w:sz w:val="24"/>
          <w:szCs w:val="24"/>
        </w:rPr>
        <w:t xml:space="preserve"> </w:t>
      </w:r>
    </w:p>
    <w:p w14:paraId="00507B25" w14:textId="77AD0354" w:rsidR="00B428D9" w:rsidRPr="00B428D9" w:rsidRDefault="00B428D9" w:rsidP="000F3906">
      <w:pPr>
        <w:pStyle w:val="ListParagraph"/>
        <w:numPr>
          <w:ilvl w:val="0"/>
          <w:numId w:val="3"/>
        </w:numPr>
        <w:spacing w:after="0" w:line="480" w:lineRule="auto"/>
        <w:jc w:val="both"/>
        <w:rPr>
          <w:b/>
          <w:sz w:val="24"/>
          <w:szCs w:val="24"/>
        </w:rPr>
      </w:pPr>
      <w:r>
        <w:rPr>
          <w:b/>
          <w:sz w:val="24"/>
          <w:szCs w:val="24"/>
        </w:rPr>
        <w:t xml:space="preserve">AEP Ohio’s flawed </w:t>
      </w:r>
      <w:r w:rsidR="00E70E1E">
        <w:rPr>
          <w:b/>
          <w:sz w:val="24"/>
          <w:szCs w:val="24"/>
        </w:rPr>
        <w:t>s</w:t>
      </w:r>
      <w:r>
        <w:rPr>
          <w:b/>
          <w:sz w:val="24"/>
          <w:szCs w:val="24"/>
        </w:rPr>
        <w:t>tudy</w:t>
      </w:r>
    </w:p>
    <w:p w14:paraId="463F29E8" w14:textId="5927FAAC" w:rsidR="00B428D9" w:rsidRDefault="00DB5D5A" w:rsidP="001858DD">
      <w:pPr>
        <w:spacing w:line="480" w:lineRule="auto"/>
        <w:ind w:firstLine="720"/>
        <w:jc w:val="both"/>
        <w:rPr>
          <w:sz w:val="24"/>
          <w:szCs w:val="24"/>
        </w:rPr>
      </w:pPr>
      <w:r w:rsidRPr="00A2620B">
        <w:rPr>
          <w:sz w:val="24"/>
          <w:szCs w:val="24"/>
        </w:rPr>
        <w:t>In support, AEP Ohio filed an economic impact study, titled “Impacts of Solar Plant Construction and Operation on the Ohio Economy</w:t>
      </w:r>
      <w:r w:rsidR="006B3F56">
        <w:rPr>
          <w:sz w:val="24"/>
          <w:szCs w:val="24"/>
        </w:rPr>
        <w:t>,</w:t>
      </w:r>
      <w:r w:rsidRPr="00A2620B">
        <w:rPr>
          <w:rStyle w:val="FootnoteReference"/>
          <w:sz w:val="24"/>
          <w:szCs w:val="24"/>
        </w:rPr>
        <w:footnoteReference w:id="123"/>
      </w:r>
      <w:r w:rsidRPr="00A2620B">
        <w:rPr>
          <w:sz w:val="24"/>
          <w:szCs w:val="24"/>
        </w:rPr>
        <w:t xml:space="preserve">” which was summarized and discussed in the direct testimonies of its authors, Dr. Stephen A. </w:t>
      </w:r>
      <w:proofErr w:type="spellStart"/>
      <w:r w:rsidRPr="00A2620B">
        <w:rPr>
          <w:sz w:val="24"/>
          <w:szCs w:val="24"/>
        </w:rPr>
        <w:t>Buser</w:t>
      </w:r>
      <w:proofErr w:type="spellEnd"/>
      <w:r w:rsidRPr="00A2620B">
        <w:rPr>
          <w:sz w:val="24"/>
          <w:szCs w:val="24"/>
        </w:rPr>
        <w:t xml:space="preserve"> and Bill Lafayette.  The </w:t>
      </w:r>
      <w:r w:rsidR="00E70E1E">
        <w:rPr>
          <w:sz w:val="24"/>
          <w:szCs w:val="24"/>
        </w:rPr>
        <w:t>s</w:t>
      </w:r>
      <w:r w:rsidRPr="00A2620B">
        <w:rPr>
          <w:sz w:val="24"/>
          <w:szCs w:val="24"/>
        </w:rPr>
        <w:t xml:space="preserve">tudy, however, falls well short of providing any analysis or discussion of the proposal’s impact on system reliability in the AEP Ohio load zone, and should not be used by the Commission to evaluate need in this case.   </w:t>
      </w:r>
    </w:p>
    <w:p w14:paraId="24771814" w14:textId="48537F5E" w:rsidR="00DB5D5A" w:rsidRPr="00A2620B" w:rsidRDefault="00DB5D5A" w:rsidP="00DB5D5A">
      <w:pPr>
        <w:spacing w:line="480" w:lineRule="auto"/>
        <w:ind w:firstLine="720"/>
        <w:jc w:val="both"/>
        <w:rPr>
          <w:sz w:val="24"/>
          <w:szCs w:val="24"/>
        </w:rPr>
      </w:pPr>
      <w:r w:rsidRPr="00A2620B">
        <w:rPr>
          <w:sz w:val="24"/>
          <w:szCs w:val="24"/>
        </w:rPr>
        <w:t xml:space="preserve">The authors acknowledge that the primary focus of the </w:t>
      </w:r>
      <w:r w:rsidR="00E70E1E">
        <w:rPr>
          <w:sz w:val="24"/>
          <w:szCs w:val="24"/>
        </w:rPr>
        <w:t>s</w:t>
      </w:r>
      <w:r w:rsidRPr="00A2620B">
        <w:rPr>
          <w:sz w:val="24"/>
          <w:szCs w:val="24"/>
        </w:rPr>
        <w:t>tudy is the potential economic and fiscal impacts of AEP Ohio’s proposal to construct and maintain the two solar energy resources.</w:t>
      </w:r>
      <w:r w:rsidRPr="00A2620B">
        <w:rPr>
          <w:rStyle w:val="FootnoteReference"/>
          <w:sz w:val="24"/>
          <w:szCs w:val="24"/>
        </w:rPr>
        <w:footnoteReference w:id="124"/>
      </w:r>
      <w:r w:rsidRPr="00A2620B">
        <w:rPr>
          <w:sz w:val="24"/>
          <w:szCs w:val="24"/>
        </w:rPr>
        <w:t xml:space="preserve"> To that end, the </w:t>
      </w:r>
      <w:r w:rsidR="00E70E1E">
        <w:rPr>
          <w:sz w:val="24"/>
          <w:szCs w:val="24"/>
        </w:rPr>
        <w:t>s</w:t>
      </w:r>
      <w:r w:rsidRPr="00A2620B">
        <w:rPr>
          <w:sz w:val="24"/>
          <w:szCs w:val="24"/>
        </w:rPr>
        <w:t xml:space="preserve">tudy evaluated the proposal’s economic impact on the Ohio economy on the value of goods and services produced, household earnings, employment, and gross domestic production; and included an analysis on the </w:t>
      </w:r>
      <w:r w:rsidRPr="00A2620B">
        <w:rPr>
          <w:sz w:val="24"/>
          <w:szCs w:val="24"/>
        </w:rPr>
        <w:lastRenderedPageBreak/>
        <w:t>tax effects for the state of Ohio and various local communities that might be generated by the construction and maintenance of the proposed solar facilities.</w:t>
      </w:r>
      <w:r w:rsidRPr="00A2620B">
        <w:rPr>
          <w:rStyle w:val="FootnoteReference"/>
          <w:sz w:val="24"/>
          <w:szCs w:val="24"/>
        </w:rPr>
        <w:footnoteReference w:id="125"/>
      </w:r>
      <w:r w:rsidRPr="00A2620B">
        <w:rPr>
          <w:sz w:val="24"/>
          <w:szCs w:val="24"/>
        </w:rPr>
        <w:t xml:space="preserve">  An examination of the potential “social” and “public health benefits” that the Study’s authors regard as affiliated with AEP Ohio’s proposal also was included.</w:t>
      </w:r>
      <w:r w:rsidRPr="00A2620B">
        <w:rPr>
          <w:rStyle w:val="FootnoteReference"/>
          <w:sz w:val="24"/>
          <w:szCs w:val="24"/>
        </w:rPr>
        <w:footnoteReference w:id="126"/>
      </w:r>
      <w:r w:rsidRPr="00A2620B">
        <w:rPr>
          <w:sz w:val="24"/>
          <w:szCs w:val="24"/>
        </w:rPr>
        <w:t xml:space="preserve">  </w:t>
      </w:r>
    </w:p>
    <w:p w14:paraId="3A4E25EE" w14:textId="253FA922" w:rsidR="00DB5D5A" w:rsidRPr="00A2620B" w:rsidRDefault="00DB5D5A" w:rsidP="00DB5D5A">
      <w:pPr>
        <w:spacing w:line="480" w:lineRule="auto"/>
        <w:ind w:firstLine="720"/>
        <w:jc w:val="both"/>
        <w:rPr>
          <w:sz w:val="24"/>
          <w:szCs w:val="24"/>
        </w:rPr>
      </w:pPr>
      <w:r w:rsidRPr="00A2620B">
        <w:rPr>
          <w:sz w:val="24"/>
          <w:szCs w:val="24"/>
        </w:rPr>
        <w:t xml:space="preserve">Yet, the </w:t>
      </w:r>
      <w:r w:rsidR="00E70E1E">
        <w:rPr>
          <w:sz w:val="24"/>
          <w:szCs w:val="24"/>
        </w:rPr>
        <w:t>s</w:t>
      </w:r>
      <w:r w:rsidRPr="00A2620B">
        <w:rPr>
          <w:sz w:val="24"/>
          <w:szCs w:val="24"/>
        </w:rPr>
        <w:t xml:space="preserve">tudy provided no economic analysis of the relationship between the need to improve system reliability in the AEP Ohio load zone and the cost to construct the solar generation facilities.  The </w:t>
      </w:r>
      <w:r w:rsidR="00E70E1E">
        <w:rPr>
          <w:sz w:val="24"/>
          <w:szCs w:val="24"/>
        </w:rPr>
        <w:t>s</w:t>
      </w:r>
      <w:r w:rsidRPr="00A2620B">
        <w:rPr>
          <w:sz w:val="24"/>
          <w:szCs w:val="24"/>
        </w:rPr>
        <w:t>tudy merely attempted to quantify the economic stimulus that Ohioans might enjoy if AEP Ohio’s proposal is approved. Indeed, renewable project development of any scale in most any industry often can be relied upon to provide direct, indirect, and induced impacts in the region where the project is developed.</w:t>
      </w:r>
      <w:r w:rsidRPr="00A2620B">
        <w:rPr>
          <w:rStyle w:val="FootnoteReference"/>
          <w:sz w:val="24"/>
          <w:szCs w:val="24"/>
        </w:rPr>
        <w:footnoteReference w:id="127"/>
      </w:r>
      <w:r w:rsidR="002E0165">
        <w:rPr>
          <w:sz w:val="24"/>
          <w:szCs w:val="24"/>
        </w:rPr>
        <w:t xml:space="preserve">  Thus, similar benefits could be delivered by competitive development of renewable energy resources.</w:t>
      </w:r>
    </w:p>
    <w:p w14:paraId="58FCE2DF" w14:textId="6D1ED421" w:rsidR="00DB5D5A" w:rsidRPr="00A2620B" w:rsidRDefault="00DB5D5A" w:rsidP="00DB5D5A">
      <w:pPr>
        <w:spacing w:line="480" w:lineRule="auto"/>
        <w:ind w:firstLine="720"/>
        <w:jc w:val="both"/>
        <w:rPr>
          <w:sz w:val="24"/>
          <w:szCs w:val="24"/>
        </w:rPr>
      </w:pPr>
      <w:r w:rsidRPr="00A2620B">
        <w:rPr>
          <w:sz w:val="24"/>
          <w:szCs w:val="24"/>
        </w:rPr>
        <w:t xml:space="preserve">Under the regulated utility construct, however, an assessment of a potential economic stimulus is irrelevant to the Commission’s evaluation of whether the need for additional generation is </w:t>
      </w:r>
      <w:proofErr w:type="gramStart"/>
      <w:r w:rsidRPr="00A2620B">
        <w:rPr>
          <w:sz w:val="24"/>
          <w:szCs w:val="24"/>
        </w:rPr>
        <w:t>sufficient</w:t>
      </w:r>
      <w:proofErr w:type="gramEnd"/>
      <w:r w:rsidRPr="00A2620B">
        <w:rPr>
          <w:sz w:val="24"/>
          <w:szCs w:val="24"/>
        </w:rPr>
        <w:t xml:space="preserve"> to justify recovery of that facility’s costs by an EDU.  The </w:t>
      </w:r>
      <w:r w:rsidR="00E70E1E">
        <w:rPr>
          <w:sz w:val="24"/>
          <w:szCs w:val="24"/>
        </w:rPr>
        <w:t>s</w:t>
      </w:r>
      <w:r w:rsidRPr="00A2620B">
        <w:rPr>
          <w:sz w:val="24"/>
          <w:szCs w:val="24"/>
        </w:rPr>
        <w:t xml:space="preserve">tudy AEP Ohio offered in support of its proposal does not provide an economic analysis that explores the relationship between improved system reliability and the cost to construct and maintain the proposed solar facilities.  The </w:t>
      </w:r>
      <w:r w:rsidR="00E70E1E">
        <w:rPr>
          <w:sz w:val="24"/>
          <w:szCs w:val="24"/>
        </w:rPr>
        <w:t>s</w:t>
      </w:r>
      <w:r w:rsidRPr="00A2620B">
        <w:rPr>
          <w:sz w:val="24"/>
          <w:szCs w:val="24"/>
        </w:rPr>
        <w:t xml:space="preserve">tudy provides nothing more than an estimate of economic and fiscal impacts that may or may not come true.  </w:t>
      </w:r>
      <w:r w:rsidRPr="00A2620B">
        <w:rPr>
          <w:sz w:val="24"/>
          <w:szCs w:val="24"/>
        </w:rPr>
        <w:lastRenderedPageBreak/>
        <w:t>Accordingly,</w:t>
      </w:r>
      <w:r w:rsidR="003A689E">
        <w:rPr>
          <w:sz w:val="24"/>
          <w:szCs w:val="24"/>
        </w:rPr>
        <w:t xml:space="preserve"> </w:t>
      </w:r>
      <w:r w:rsidRPr="00A2620B">
        <w:rPr>
          <w:sz w:val="24"/>
          <w:szCs w:val="24"/>
        </w:rPr>
        <w:t xml:space="preserve">the </w:t>
      </w:r>
      <w:r w:rsidR="00E70E1E">
        <w:rPr>
          <w:sz w:val="24"/>
          <w:szCs w:val="24"/>
        </w:rPr>
        <w:t>s</w:t>
      </w:r>
      <w:r w:rsidRPr="00A2620B">
        <w:rPr>
          <w:sz w:val="24"/>
          <w:szCs w:val="24"/>
        </w:rPr>
        <w:t xml:space="preserve">tudy is immaterial to an evaluation of need under R.C. 4928.143(B)(2)(c) and should not be considered by the Commission in its review of this case.  </w:t>
      </w:r>
    </w:p>
    <w:p w14:paraId="536791CF" w14:textId="4362E4F7" w:rsidR="00DB5D5A" w:rsidRPr="00B428D9" w:rsidRDefault="00DB5D5A" w:rsidP="00B428D9">
      <w:pPr>
        <w:pStyle w:val="ListParagraph"/>
        <w:numPr>
          <w:ilvl w:val="0"/>
          <w:numId w:val="12"/>
        </w:numPr>
        <w:spacing w:line="240" w:lineRule="auto"/>
        <w:rPr>
          <w:b/>
          <w:sz w:val="24"/>
          <w:szCs w:val="24"/>
        </w:rPr>
      </w:pPr>
      <w:r w:rsidRPr="00B428D9">
        <w:rPr>
          <w:b/>
          <w:sz w:val="24"/>
          <w:szCs w:val="24"/>
        </w:rPr>
        <w:t xml:space="preserve">The economic impact analysis (the </w:t>
      </w:r>
      <w:r w:rsidR="00E70E1E">
        <w:rPr>
          <w:b/>
          <w:sz w:val="24"/>
          <w:szCs w:val="24"/>
        </w:rPr>
        <w:t>s</w:t>
      </w:r>
      <w:r w:rsidRPr="00B428D9">
        <w:rPr>
          <w:b/>
          <w:sz w:val="24"/>
          <w:szCs w:val="24"/>
        </w:rPr>
        <w:t>tudy) is flawed and misleading and does not support a finding of need</w:t>
      </w:r>
    </w:p>
    <w:p w14:paraId="249CF7F9" w14:textId="30909D5A" w:rsidR="00DB5D5A" w:rsidRPr="00A2620B" w:rsidRDefault="00DB5D5A" w:rsidP="00E70E1E">
      <w:pPr>
        <w:spacing w:after="0" w:line="480" w:lineRule="auto"/>
        <w:ind w:firstLine="720"/>
        <w:jc w:val="both"/>
        <w:rPr>
          <w:sz w:val="24"/>
          <w:szCs w:val="24"/>
        </w:rPr>
      </w:pPr>
      <w:r w:rsidRPr="00A2620B">
        <w:rPr>
          <w:sz w:val="24"/>
          <w:szCs w:val="24"/>
        </w:rPr>
        <w:t xml:space="preserve">The Commission should not give any weight to the </w:t>
      </w:r>
      <w:r w:rsidR="00E70E1E">
        <w:rPr>
          <w:sz w:val="24"/>
          <w:szCs w:val="24"/>
        </w:rPr>
        <w:t>s</w:t>
      </w:r>
      <w:r w:rsidRPr="00A2620B">
        <w:rPr>
          <w:sz w:val="24"/>
          <w:szCs w:val="24"/>
        </w:rPr>
        <w:t xml:space="preserve">tudy that AEP Ohio filed in support of its Application because the conclusions reached are flawed and misleading.  The </w:t>
      </w:r>
      <w:r w:rsidR="00E70E1E">
        <w:rPr>
          <w:sz w:val="24"/>
          <w:szCs w:val="24"/>
        </w:rPr>
        <w:t>s</w:t>
      </w:r>
      <w:r w:rsidRPr="00A2620B">
        <w:rPr>
          <w:sz w:val="24"/>
          <w:szCs w:val="24"/>
        </w:rPr>
        <w:t>tudy’s authors concede that their analysis failed to consider the potential negative economic or fiscal impacts that AEP Ohio’s proposal might have on the competitive market and renewable resource generators.</w:t>
      </w:r>
      <w:r w:rsidRPr="00A2620B">
        <w:rPr>
          <w:rStyle w:val="FootnoteReference"/>
          <w:sz w:val="24"/>
          <w:szCs w:val="24"/>
        </w:rPr>
        <w:footnoteReference w:id="128"/>
      </w:r>
      <w:r w:rsidRPr="00A2620B">
        <w:rPr>
          <w:sz w:val="24"/>
          <w:szCs w:val="24"/>
        </w:rPr>
        <w:t xml:space="preserve">   The authors also acknowledge that the Study failed to account for any of the potential charges that all customers in the AEP Ohio service territory would be required to pay if the proposal is approved under R.C. 4928.143(B)(2)(c).</w:t>
      </w:r>
      <w:r w:rsidRPr="00A2620B">
        <w:rPr>
          <w:rStyle w:val="FootnoteReference"/>
          <w:sz w:val="24"/>
          <w:szCs w:val="24"/>
        </w:rPr>
        <w:footnoteReference w:id="129"/>
      </w:r>
      <w:r w:rsidRPr="00A2620B">
        <w:rPr>
          <w:sz w:val="24"/>
          <w:szCs w:val="24"/>
        </w:rPr>
        <w:t xml:space="preserve">  AEP Ohio’s contribution to the </w:t>
      </w:r>
      <w:r w:rsidR="00E70E1E">
        <w:rPr>
          <w:sz w:val="24"/>
          <w:szCs w:val="24"/>
        </w:rPr>
        <w:t>s</w:t>
      </w:r>
      <w:r w:rsidRPr="00A2620B">
        <w:rPr>
          <w:sz w:val="24"/>
          <w:szCs w:val="24"/>
        </w:rPr>
        <w:t>tudy’s projected economic stimulus is also exaggerated given that its authors admit those impacts are likely to be realized absent the utility’s participation in the project’s development.</w:t>
      </w:r>
      <w:r w:rsidRPr="00A2620B">
        <w:rPr>
          <w:rStyle w:val="FootnoteReference"/>
          <w:sz w:val="24"/>
          <w:szCs w:val="24"/>
        </w:rPr>
        <w:footnoteReference w:id="130"/>
      </w:r>
      <w:r w:rsidRPr="00A2620B">
        <w:rPr>
          <w:sz w:val="24"/>
          <w:szCs w:val="24"/>
        </w:rPr>
        <w:t xml:space="preserve">  Accordingly, the Commission should not </w:t>
      </w:r>
      <w:r w:rsidR="00F36A53">
        <w:rPr>
          <w:sz w:val="24"/>
          <w:szCs w:val="24"/>
        </w:rPr>
        <w:t>rely upon</w:t>
      </w:r>
      <w:r w:rsidRPr="00A2620B">
        <w:rPr>
          <w:sz w:val="24"/>
          <w:szCs w:val="24"/>
        </w:rPr>
        <w:t xml:space="preserve"> the </w:t>
      </w:r>
      <w:r w:rsidR="00F36A53">
        <w:rPr>
          <w:sz w:val="24"/>
          <w:szCs w:val="24"/>
        </w:rPr>
        <w:t>s</w:t>
      </w:r>
      <w:r w:rsidRPr="00A2620B">
        <w:rPr>
          <w:sz w:val="24"/>
          <w:szCs w:val="24"/>
        </w:rPr>
        <w:t>tudy in its evaluation of AEP Ohio’s Application in this proceeding.</w:t>
      </w:r>
    </w:p>
    <w:p w14:paraId="3B7B4B86" w14:textId="05DDDF42" w:rsidR="00DB5D5A" w:rsidRPr="00A2620B" w:rsidRDefault="00B428D9" w:rsidP="00E70E1E">
      <w:pPr>
        <w:spacing w:after="0" w:line="240" w:lineRule="auto"/>
        <w:ind w:left="3600" w:hanging="720"/>
        <w:jc w:val="both"/>
        <w:rPr>
          <w:b/>
          <w:sz w:val="24"/>
          <w:szCs w:val="24"/>
        </w:rPr>
      </w:pPr>
      <w:r>
        <w:rPr>
          <w:b/>
          <w:sz w:val="24"/>
          <w:szCs w:val="24"/>
        </w:rPr>
        <w:t>b</w:t>
      </w:r>
      <w:r w:rsidR="00DB5D5A" w:rsidRPr="00A2620B">
        <w:rPr>
          <w:b/>
          <w:sz w:val="24"/>
          <w:szCs w:val="24"/>
        </w:rPr>
        <w:t xml:space="preserve">. </w:t>
      </w:r>
      <w:r w:rsidR="00DB5D5A">
        <w:rPr>
          <w:b/>
          <w:sz w:val="24"/>
          <w:szCs w:val="24"/>
        </w:rPr>
        <w:tab/>
      </w:r>
      <w:r w:rsidR="00DB5D5A" w:rsidRPr="00A2620B">
        <w:rPr>
          <w:b/>
          <w:sz w:val="24"/>
          <w:szCs w:val="24"/>
        </w:rPr>
        <w:t xml:space="preserve">The </w:t>
      </w:r>
      <w:r w:rsidR="00EF0DFC">
        <w:rPr>
          <w:b/>
          <w:sz w:val="24"/>
          <w:szCs w:val="24"/>
        </w:rPr>
        <w:t>s</w:t>
      </w:r>
      <w:r w:rsidR="00DB5D5A">
        <w:rPr>
          <w:b/>
          <w:sz w:val="24"/>
          <w:szCs w:val="24"/>
        </w:rPr>
        <w:t>tudy failed to ev</w:t>
      </w:r>
      <w:r w:rsidR="00DB5D5A" w:rsidRPr="00A2620B">
        <w:rPr>
          <w:b/>
          <w:sz w:val="24"/>
          <w:szCs w:val="24"/>
        </w:rPr>
        <w:t xml:space="preserve">aluate </w:t>
      </w:r>
      <w:r w:rsidR="00DB5D5A">
        <w:rPr>
          <w:b/>
          <w:sz w:val="24"/>
          <w:szCs w:val="24"/>
        </w:rPr>
        <w:t>p</w:t>
      </w:r>
      <w:r w:rsidR="00DB5D5A" w:rsidRPr="00A2620B">
        <w:rPr>
          <w:b/>
          <w:sz w:val="24"/>
          <w:szCs w:val="24"/>
        </w:rPr>
        <w:t xml:space="preserve">otential </w:t>
      </w:r>
      <w:r w:rsidR="00DB5D5A">
        <w:rPr>
          <w:b/>
          <w:sz w:val="24"/>
          <w:szCs w:val="24"/>
        </w:rPr>
        <w:t>e</w:t>
      </w:r>
      <w:r w:rsidR="00DB5D5A" w:rsidRPr="00A2620B">
        <w:rPr>
          <w:b/>
          <w:sz w:val="24"/>
          <w:szCs w:val="24"/>
        </w:rPr>
        <w:t xml:space="preserve">conomic </w:t>
      </w:r>
      <w:r w:rsidR="00DB5D5A">
        <w:rPr>
          <w:b/>
          <w:sz w:val="24"/>
          <w:szCs w:val="24"/>
        </w:rPr>
        <w:t>i</w:t>
      </w:r>
      <w:r w:rsidR="00DB5D5A" w:rsidRPr="00A2620B">
        <w:rPr>
          <w:b/>
          <w:sz w:val="24"/>
          <w:szCs w:val="24"/>
        </w:rPr>
        <w:t xml:space="preserve">mpacts on the </w:t>
      </w:r>
      <w:r w:rsidR="00DB5D5A">
        <w:rPr>
          <w:b/>
          <w:sz w:val="24"/>
          <w:szCs w:val="24"/>
        </w:rPr>
        <w:t>c</w:t>
      </w:r>
      <w:r w:rsidR="00DB5D5A" w:rsidRPr="00A2620B">
        <w:rPr>
          <w:b/>
          <w:sz w:val="24"/>
          <w:szCs w:val="24"/>
        </w:rPr>
        <w:t xml:space="preserve">ompetitive </w:t>
      </w:r>
      <w:r w:rsidR="00DB5D5A">
        <w:rPr>
          <w:b/>
          <w:sz w:val="24"/>
          <w:szCs w:val="24"/>
        </w:rPr>
        <w:t>m</w:t>
      </w:r>
      <w:r w:rsidR="00DB5D5A" w:rsidRPr="00A2620B">
        <w:rPr>
          <w:b/>
          <w:sz w:val="24"/>
          <w:szCs w:val="24"/>
        </w:rPr>
        <w:t>arket and</w:t>
      </w:r>
      <w:r w:rsidR="00DB5D5A">
        <w:rPr>
          <w:b/>
          <w:sz w:val="24"/>
          <w:szCs w:val="24"/>
        </w:rPr>
        <w:t xml:space="preserve"> the development of</w:t>
      </w:r>
      <w:r w:rsidR="00DB5D5A" w:rsidRPr="00A2620B">
        <w:rPr>
          <w:b/>
          <w:sz w:val="24"/>
          <w:szCs w:val="24"/>
        </w:rPr>
        <w:t xml:space="preserve"> </w:t>
      </w:r>
      <w:r w:rsidR="00DB5D5A">
        <w:rPr>
          <w:b/>
          <w:sz w:val="24"/>
          <w:szCs w:val="24"/>
        </w:rPr>
        <w:t>r</w:t>
      </w:r>
      <w:r w:rsidR="00DB5D5A" w:rsidRPr="00A2620B">
        <w:rPr>
          <w:b/>
          <w:sz w:val="24"/>
          <w:szCs w:val="24"/>
        </w:rPr>
        <w:t xml:space="preserve">enewable </w:t>
      </w:r>
      <w:r w:rsidR="00DB5D5A">
        <w:rPr>
          <w:b/>
          <w:sz w:val="24"/>
          <w:szCs w:val="24"/>
        </w:rPr>
        <w:t>g</w:t>
      </w:r>
      <w:r w:rsidR="00DB5D5A" w:rsidRPr="00A2620B">
        <w:rPr>
          <w:b/>
          <w:sz w:val="24"/>
          <w:szCs w:val="24"/>
        </w:rPr>
        <w:t xml:space="preserve">eneration </w:t>
      </w:r>
      <w:r w:rsidR="00DB5D5A">
        <w:rPr>
          <w:b/>
          <w:sz w:val="24"/>
          <w:szCs w:val="24"/>
        </w:rPr>
        <w:t>r</w:t>
      </w:r>
      <w:r w:rsidR="00DB5D5A" w:rsidRPr="00A2620B">
        <w:rPr>
          <w:b/>
          <w:sz w:val="24"/>
          <w:szCs w:val="24"/>
        </w:rPr>
        <w:t>esources</w:t>
      </w:r>
    </w:p>
    <w:p w14:paraId="72E920E0" w14:textId="69644D19" w:rsidR="00DB5D5A" w:rsidRPr="00A2620B" w:rsidRDefault="00DB5D5A" w:rsidP="00E70E1E">
      <w:pPr>
        <w:spacing w:after="0" w:line="480" w:lineRule="auto"/>
        <w:ind w:firstLine="720"/>
        <w:jc w:val="both"/>
        <w:rPr>
          <w:sz w:val="24"/>
          <w:szCs w:val="24"/>
        </w:rPr>
      </w:pPr>
      <w:r w:rsidRPr="00A2620B">
        <w:rPr>
          <w:sz w:val="24"/>
          <w:szCs w:val="24"/>
        </w:rPr>
        <w:lastRenderedPageBreak/>
        <w:t xml:space="preserve">The </w:t>
      </w:r>
      <w:r w:rsidR="00EF0DFC">
        <w:rPr>
          <w:sz w:val="24"/>
          <w:szCs w:val="24"/>
        </w:rPr>
        <w:t>s</w:t>
      </w:r>
      <w:r w:rsidRPr="00A2620B">
        <w:rPr>
          <w:sz w:val="24"/>
          <w:szCs w:val="24"/>
        </w:rPr>
        <w:t>tudy that AEP Ohio filed in support of its Application promises that the proposed solar facilities will provide “critical economic benefits to the state, and specifically to Appalachian Ohio,” by creating new jobs, increasing earnings for Ohio workers, growing economic output, and growing Ohio’s GDP.</w:t>
      </w:r>
      <w:r w:rsidRPr="00A2620B">
        <w:rPr>
          <w:rStyle w:val="FootnoteReference"/>
          <w:sz w:val="24"/>
          <w:szCs w:val="24"/>
        </w:rPr>
        <w:footnoteReference w:id="131"/>
      </w:r>
      <w:r w:rsidRPr="00A2620B">
        <w:rPr>
          <w:sz w:val="24"/>
          <w:szCs w:val="24"/>
        </w:rPr>
        <w:t xml:space="preserve">  The </w:t>
      </w:r>
      <w:r w:rsidR="00F36A53">
        <w:rPr>
          <w:sz w:val="24"/>
          <w:szCs w:val="24"/>
        </w:rPr>
        <w:t xml:space="preserve">study </w:t>
      </w:r>
      <w:r w:rsidRPr="00A2620B">
        <w:rPr>
          <w:sz w:val="24"/>
          <w:szCs w:val="24"/>
        </w:rPr>
        <w:t>emphasized the economic, fiscal, and social benefits that AEP Ohio’s proposal is estimated to produce, yet it failed to consider the potential negative economic and fiscal impacts that the proposal might have on the competitive market</w:t>
      </w:r>
      <w:r w:rsidR="002E46C2">
        <w:rPr>
          <w:sz w:val="24"/>
          <w:szCs w:val="24"/>
        </w:rPr>
        <w:t>.</w:t>
      </w:r>
    </w:p>
    <w:p w14:paraId="41BC38AA" w14:textId="63348904" w:rsidR="00DB5D5A" w:rsidRPr="00A2620B" w:rsidRDefault="00DB5D5A" w:rsidP="00DB5D5A">
      <w:pPr>
        <w:spacing w:line="480" w:lineRule="auto"/>
        <w:ind w:firstLine="720"/>
        <w:jc w:val="both"/>
        <w:rPr>
          <w:sz w:val="24"/>
          <w:szCs w:val="24"/>
        </w:rPr>
      </w:pPr>
      <w:r w:rsidRPr="00A2620B">
        <w:rPr>
          <w:sz w:val="24"/>
          <w:szCs w:val="24"/>
        </w:rPr>
        <w:t xml:space="preserve">Admittedly, neither of the </w:t>
      </w:r>
      <w:r w:rsidR="002E46C2">
        <w:rPr>
          <w:sz w:val="24"/>
          <w:szCs w:val="24"/>
        </w:rPr>
        <w:t>s</w:t>
      </w:r>
      <w:r w:rsidRPr="00A2620B">
        <w:rPr>
          <w:sz w:val="24"/>
          <w:szCs w:val="24"/>
        </w:rPr>
        <w:t>tudy’s authors have a background in the energy industry.</w:t>
      </w:r>
      <w:r w:rsidRPr="00A2620B">
        <w:rPr>
          <w:rStyle w:val="FootnoteReference"/>
          <w:sz w:val="24"/>
          <w:szCs w:val="24"/>
        </w:rPr>
        <w:footnoteReference w:id="132"/>
      </w:r>
      <w:r w:rsidRPr="00A2620B">
        <w:rPr>
          <w:sz w:val="24"/>
          <w:szCs w:val="24"/>
        </w:rPr>
        <w:t xml:space="preserve">  The authors also have no understanding of the operational methodology PJM uses to dispatch generation resources.</w:t>
      </w:r>
      <w:r w:rsidRPr="00A2620B">
        <w:rPr>
          <w:rStyle w:val="FootnoteReference"/>
          <w:sz w:val="24"/>
          <w:szCs w:val="24"/>
        </w:rPr>
        <w:footnoteReference w:id="133"/>
      </w:r>
      <w:r w:rsidRPr="00A2620B">
        <w:rPr>
          <w:sz w:val="24"/>
          <w:szCs w:val="24"/>
        </w:rPr>
        <w:t xml:space="preserve">  Nor does it appear that the authors received a</w:t>
      </w:r>
      <w:r w:rsidR="008E4A56">
        <w:rPr>
          <w:sz w:val="24"/>
          <w:szCs w:val="24"/>
        </w:rPr>
        <w:t xml:space="preserve">ny detailed training regarding the </w:t>
      </w:r>
      <w:r w:rsidRPr="00A2620B">
        <w:rPr>
          <w:sz w:val="24"/>
          <w:szCs w:val="24"/>
        </w:rPr>
        <w:t>generation supply mix in the AEP Ohio load zone and PJM system to assist in completing their economic analysis.</w:t>
      </w:r>
      <w:r w:rsidRPr="00A2620B">
        <w:rPr>
          <w:rStyle w:val="FootnoteReference"/>
          <w:sz w:val="24"/>
          <w:szCs w:val="24"/>
        </w:rPr>
        <w:footnoteReference w:id="134"/>
      </w:r>
      <w:r w:rsidRPr="00A2620B">
        <w:rPr>
          <w:sz w:val="24"/>
          <w:szCs w:val="24"/>
        </w:rPr>
        <w:t xml:space="preserve">  Perhaps it is for those reasons that the </w:t>
      </w:r>
      <w:r w:rsidR="00E70E1E">
        <w:rPr>
          <w:sz w:val="24"/>
          <w:szCs w:val="24"/>
        </w:rPr>
        <w:t>s</w:t>
      </w:r>
      <w:r w:rsidRPr="00A2620B">
        <w:rPr>
          <w:sz w:val="24"/>
          <w:szCs w:val="24"/>
        </w:rPr>
        <w:t xml:space="preserve">tudy failed to evaluate the potential economic impacts that AEP Ohio’s zero-cost renewable generation proposal might create for other non-subsidized marginal resources in the Ohio competitive market. </w:t>
      </w:r>
    </w:p>
    <w:p w14:paraId="2DF3A05A" w14:textId="73E5D186" w:rsidR="00DB5D5A" w:rsidRPr="00A2620B" w:rsidRDefault="00DB5D5A" w:rsidP="00B97858">
      <w:pPr>
        <w:spacing w:line="480" w:lineRule="auto"/>
        <w:ind w:firstLine="720"/>
        <w:jc w:val="both"/>
        <w:rPr>
          <w:sz w:val="24"/>
          <w:szCs w:val="24"/>
        </w:rPr>
      </w:pPr>
      <w:r w:rsidRPr="00A2620B">
        <w:rPr>
          <w:sz w:val="24"/>
          <w:szCs w:val="24"/>
        </w:rPr>
        <w:t xml:space="preserve">Indeed, </w:t>
      </w:r>
      <w:r w:rsidR="00F04FC1">
        <w:rPr>
          <w:sz w:val="24"/>
          <w:szCs w:val="24"/>
        </w:rPr>
        <w:t xml:space="preserve">in a separate part of AEP Ohio’s case, it touts that the addition of </w:t>
      </w:r>
      <w:r w:rsidRPr="00A2620B">
        <w:rPr>
          <w:sz w:val="24"/>
          <w:szCs w:val="24"/>
        </w:rPr>
        <w:t>zero-cost resource</w:t>
      </w:r>
      <w:r w:rsidR="00F04FC1">
        <w:rPr>
          <w:sz w:val="24"/>
          <w:szCs w:val="24"/>
        </w:rPr>
        <w:t>s into the wholesale market results in a</w:t>
      </w:r>
      <w:r w:rsidRPr="00A2620B">
        <w:rPr>
          <w:sz w:val="24"/>
          <w:szCs w:val="24"/>
        </w:rPr>
        <w:t xml:space="preserve"> reorganization of the PJM dispatch order</w:t>
      </w:r>
      <w:r w:rsidR="00F04FC1">
        <w:rPr>
          <w:sz w:val="24"/>
          <w:szCs w:val="24"/>
        </w:rPr>
        <w:t>.</w:t>
      </w:r>
      <w:r w:rsidR="00F04FC1">
        <w:rPr>
          <w:rStyle w:val="FootnoteReference"/>
          <w:sz w:val="24"/>
          <w:szCs w:val="24"/>
        </w:rPr>
        <w:footnoteReference w:id="135"/>
      </w:r>
      <w:r w:rsidR="00F04FC1">
        <w:rPr>
          <w:sz w:val="24"/>
          <w:szCs w:val="24"/>
        </w:rPr>
        <w:t xml:space="preserve">  Consequently, </w:t>
      </w:r>
      <w:r w:rsidRPr="00A2620B">
        <w:rPr>
          <w:sz w:val="24"/>
          <w:szCs w:val="24"/>
        </w:rPr>
        <w:t xml:space="preserve">other resources such as coal and natural gas receiving less </w:t>
      </w:r>
      <w:r w:rsidRPr="00A2620B">
        <w:rPr>
          <w:sz w:val="24"/>
          <w:szCs w:val="24"/>
        </w:rPr>
        <w:lastRenderedPageBreak/>
        <w:t>market-based revenue.</w:t>
      </w:r>
      <w:r w:rsidR="0044564E">
        <w:rPr>
          <w:rStyle w:val="FootnoteReference"/>
          <w:sz w:val="24"/>
          <w:szCs w:val="24"/>
        </w:rPr>
        <w:footnoteReference w:id="136"/>
      </w:r>
      <w:r w:rsidRPr="00A2620B">
        <w:rPr>
          <w:sz w:val="24"/>
          <w:szCs w:val="24"/>
        </w:rPr>
        <w:t xml:space="preserve">  As </w:t>
      </w:r>
      <w:r w:rsidR="007F778F">
        <w:rPr>
          <w:sz w:val="24"/>
          <w:szCs w:val="24"/>
        </w:rPr>
        <w:t xml:space="preserve">dispatch and </w:t>
      </w:r>
      <w:r w:rsidRPr="00A2620B">
        <w:rPr>
          <w:sz w:val="24"/>
          <w:szCs w:val="24"/>
        </w:rPr>
        <w:t xml:space="preserve">revenue declines, the consumption of Ohio-produced coal and natural gas </w:t>
      </w:r>
      <w:r w:rsidR="007F778F">
        <w:rPr>
          <w:sz w:val="24"/>
          <w:szCs w:val="24"/>
        </w:rPr>
        <w:t>may</w:t>
      </w:r>
      <w:r w:rsidRPr="00A2620B">
        <w:rPr>
          <w:sz w:val="24"/>
          <w:szCs w:val="24"/>
        </w:rPr>
        <w:t xml:space="preserve"> decline with it</w:t>
      </w:r>
      <w:r>
        <w:rPr>
          <w:sz w:val="24"/>
          <w:szCs w:val="24"/>
        </w:rPr>
        <w:t>.</w:t>
      </w:r>
      <w:r w:rsidR="00B97858" w:rsidRPr="00B97858">
        <w:rPr>
          <w:sz w:val="24"/>
          <w:szCs w:val="24"/>
        </w:rPr>
        <w:t xml:space="preserve"> </w:t>
      </w:r>
      <w:r w:rsidR="00B97858" w:rsidRPr="00A2620B">
        <w:rPr>
          <w:sz w:val="24"/>
          <w:szCs w:val="24"/>
        </w:rPr>
        <w:t xml:space="preserve">The </w:t>
      </w:r>
      <w:r w:rsidR="00F0166C">
        <w:rPr>
          <w:sz w:val="24"/>
          <w:szCs w:val="24"/>
        </w:rPr>
        <w:t>s</w:t>
      </w:r>
      <w:r w:rsidR="00B97858" w:rsidRPr="00A2620B">
        <w:rPr>
          <w:sz w:val="24"/>
          <w:szCs w:val="24"/>
        </w:rPr>
        <w:t>tudy failed to examine whether the proposal will produce any adverse job-related impacts on Ohio’s oil, gas, and coal mining industries.</w:t>
      </w:r>
      <w:r w:rsidR="00B97858" w:rsidRPr="00A2620B">
        <w:rPr>
          <w:rStyle w:val="FootnoteReference"/>
          <w:sz w:val="24"/>
          <w:szCs w:val="24"/>
        </w:rPr>
        <w:footnoteReference w:id="137"/>
      </w:r>
      <w:r>
        <w:rPr>
          <w:sz w:val="24"/>
          <w:szCs w:val="24"/>
        </w:rPr>
        <w:t xml:space="preserve">  Moreover, as a</w:t>
      </w:r>
      <w:r w:rsidRPr="00A2620B">
        <w:rPr>
          <w:sz w:val="24"/>
          <w:szCs w:val="24"/>
        </w:rPr>
        <w:t xml:space="preserve"> result</w:t>
      </w:r>
      <w:r>
        <w:rPr>
          <w:sz w:val="24"/>
          <w:szCs w:val="24"/>
        </w:rPr>
        <w:t xml:space="preserve"> of decreased dispatch and lower revenue, there</w:t>
      </w:r>
      <w:r w:rsidRPr="00A2620B">
        <w:rPr>
          <w:sz w:val="24"/>
          <w:szCs w:val="24"/>
        </w:rPr>
        <w:t xml:space="preserve"> is an increased likelihood that those same coal or natural gas plants are forced into retirement.</w:t>
      </w:r>
      <w:r w:rsidR="00B97858" w:rsidRPr="00A2620B">
        <w:rPr>
          <w:rStyle w:val="FootnoteReference"/>
          <w:sz w:val="24"/>
          <w:szCs w:val="24"/>
        </w:rPr>
        <w:footnoteReference w:id="138"/>
      </w:r>
      <w:r w:rsidR="00F0166C">
        <w:rPr>
          <w:sz w:val="24"/>
          <w:szCs w:val="24"/>
        </w:rPr>
        <w:t xml:space="preserve">  PJM’s own study of the impact of </w:t>
      </w:r>
      <w:r w:rsidR="003F5712">
        <w:rPr>
          <w:sz w:val="24"/>
          <w:szCs w:val="24"/>
        </w:rPr>
        <w:t>proliferation of renewable resources has</w:t>
      </w:r>
      <w:r w:rsidR="00F0166C">
        <w:rPr>
          <w:sz w:val="24"/>
          <w:szCs w:val="24"/>
        </w:rPr>
        <w:t xml:space="preserve"> indicated that this may occur.</w:t>
      </w:r>
      <w:r w:rsidR="00F0166C">
        <w:rPr>
          <w:rStyle w:val="FootnoteReference"/>
          <w:sz w:val="24"/>
          <w:szCs w:val="24"/>
        </w:rPr>
        <w:footnoteReference w:id="139"/>
      </w:r>
      <w:r w:rsidR="00B97858" w:rsidRPr="00A2620B">
        <w:rPr>
          <w:sz w:val="24"/>
          <w:szCs w:val="24"/>
        </w:rPr>
        <w:t xml:space="preserve"> </w:t>
      </w:r>
      <w:r>
        <w:rPr>
          <w:sz w:val="24"/>
          <w:szCs w:val="24"/>
        </w:rPr>
        <w:t xml:space="preserve"> Such retirements could increase energy and capacity prices, since </w:t>
      </w:r>
      <w:r w:rsidR="00B97858">
        <w:rPr>
          <w:sz w:val="24"/>
          <w:szCs w:val="24"/>
        </w:rPr>
        <w:t>renewable resources are intermittent and may not be available when the system is under stress.</w:t>
      </w:r>
      <w:r w:rsidRPr="00A2620B">
        <w:rPr>
          <w:sz w:val="24"/>
          <w:szCs w:val="24"/>
        </w:rPr>
        <w:t xml:space="preserve">   In each instance, the </w:t>
      </w:r>
      <w:r w:rsidR="00E70E1E">
        <w:rPr>
          <w:sz w:val="24"/>
          <w:szCs w:val="24"/>
        </w:rPr>
        <w:t>s</w:t>
      </w:r>
      <w:r w:rsidRPr="00A2620B">
        <w:rPr>
          <w:sz w:val="24"/>
          <w:szCs w:val="24"/>
        </w:rPr>
        <w:t>tudy’s authors relied upon assumptions and information provided directly from AEP Ohio to validate their conclusion that no adverse economic impacts can be attributed to the proposal.</w:t>
      </w:r>
      <w:r w:rsidRPr="00A2620B">
        <w:rPr>
          <w:rStyle w:val="FootnoteReference"/>
          <w:sz w:val="24"/>
          <w:szCs w:val="24"/>
        </w:rPr>
        <w:footnoteReference w:id="140"/>
      </w:r>
      <w:r w:rsidRPr="00A2620B">
        <w:rPr>
          <w:sz w:val="24"/>
          <w:szCs w:val="24"/>
        </w:rPr>
        <w:t xml:space="preserve">  </w:t>
      </w:r>
    </w:p>
    <w:p w14:paraId="600CD63D" w14:textId="76AFE674" w:rsidR="00DB5D5A" w:rsidRPr="00A2620B" w:rsidRDefault="00B428D9" w:rsidP="00B428D9">
      <w:pPr>
        <w:spacing w:line="240" w:lineRule="auto"/>
        <w:ind w:left="2610" w:hanging="450"/>
        <w:jc w:val="both"/>
        <w:rPr>
          <w:b/>
          <w:sz w:val="24"/>
          <w:szCs w:val="24"/>
        </w:rPr>
      </w:pPr>
      <w:r>
        <w:rPr>
          <w:b/>
          <w:sz w:val="24"/>
          <w:szCs w:val="24"/>
        </w:rPr>
        <w:t>c</w:t>
      </w:r>
      <w:r w:rsidR="00B97858">
        <w:rPr>
          <w:b/>
          <w:sz w:val="24"/>
          <w:szCs w:val="24"/>
        </w:rPr>
        <w:t>.</w:t>
      </w:r>
      <w:r w:rsidR="00DB5D5A" w:rsidRPr="00B97858">
        <w:rPr>
          <w:b/>
          <w:sz w:val="24"/>
          <w:szCs w:val="24"/>
        </w:rPr>
        <w:t xml:space="preserve"> The </w:t>
      </w:r>
      <w:r w:rsidR="00E70E1E">
        <w:rPr>
          <w:b/>
          <w:sz w:val="24"/>
          <w:szCs w:val="24"/>
        </w:rPr>
        <w:t>s</w:t>
      </w:r>
      <w:r w:rsidR="00DB5D5A" w:rsidRPr="00B97858">
        <w:rPr>
          <w:b/>
          <w:sz w:val="24"/>
          <w:szCs w:val="24"/>
        </w:rPr>
        <w:t xml:space="preserve">tudy </w:t>
      </w:r>
      <w:r w:rsidR="00B97858">
        <w:rPr>
          <w:b/>
          <w:sz w:val="24"/>
          <w:szCs w:val="24"/>
        </w:rPr>
        <w:t>f</w:t>
      </w:r>
      <w:r w:rsidR="00DB5D5A" w:rsidRPr="00B97858">
        <w:rPr>
          <w:b/>
          <w:sz w:val="24"/>
          <w:szCs w:val="24"/>
        </w:rPr>
        <w:t xml:space="preserve">ails to </w:t>
      </w:r>
      <w:r w:rsidR="00B97858">
        <w:rPr>
          <w:b/>
          <w:sz w:val="24"/>
          <w:szCs w:val="24"/>
        </w:rPr>
        <w:t>e</w:t>
      </w:r>
      <w:r w:rsidR="00DB5D5A" w:rsidRPr="00B97858">
        <w:rPr>
          <w:b/>
          <w:sz w:val="24"/>
          <w:szCs w:val="24"/>
        </w:rPr>
        <w:t xml:space="preserve">valuate </w:t>
      </w:r>
      <w:r w:rsidR="00B97858">
        <w:rPr>
          <w:b/>
          <w:sz w:val="24"/>
          <w:szCs w:val="24"/>
        </w:rPr>
        <w:t>p</w:t>
      </w:r>
      <w:r w:rsidR="00DB5D5A" w:rsidRPr="00B97858">
        <w:rPr>
          <w:b/>
          <w:sz w:val="24"/>
          <w:szCs w:val="24"/>
        </w:rPr>
        <w:t xml:space="preserve">otential </w:t>
      </w:r>
      <w:r w:rsidR="00B97858">
        <w:rPr>
          <w:b/>
          <w:sz w:val="24"/>
          <w:szCs w:val="24"/>
        </w:rPr>
        <w:t>to crowd out development of other</w:t>
      </w:r>
      <w:r w:rsidR="00DB5D5A" w:rsidRPr="00B97858">
        <w:rPr>
          <w:b/>
          <w:sz w:val="24"/>
          <w:szCs w:val="24"/>
        </w:rPr>
        <w:t xml:space="preserve"> </w:t>
      </w:r>
      <w:r w:rsidR="00B97858">
        <w:rPr>
          <w:b/>
          <w:sz w:val="24"/>
          <w:szCs w:val="24"/>
        </w:rPr>
        <w:t>r</w:t>
      </w:r>
      <w:r w:rsidR="00DB5D5A" w:rsidRPr="00B97858">
        <w:rPr>
          <w:b/>
          <w:sz w:val="24"/>
          <w:szCs w:val="24"/>
        </w:rPr>
        <w:t xml:space="preserve">enewable </w:t>
      </w:r>
      <w:r w:rsidR="00B97858">
        <w:rPr>
          <w:b/>
          <w:sz w:val="24"/>
          <w:szCs w:val="24"/>
        </w:rPr>
        <w:t>g</w:t>
      </w:r>
      <w:r w:rsidR="00DB5D5A" w:rsidRPr="00B97858">
        <w:rPr>
          <w:b/>
          <w:sz w:val="24"/>
          <w:szCs w:val="24"/>
        </w:rPr>
        <w:t xml:space="preserve">eneration </w:t>
      </w:r>
      <w:r w:rsidR="00B97858">
        <w:rPr>
          <w:b/>
          <w:sz w:val="24"/>
          <w:szCs w:val="24"/>
        </w:rPr>
        <w:t>r</w:t>
      </w:r>
      <w:r w:rsidR="00DB5D5A" w:rsidRPr="00B97858">
        <w:rPr>
          <w:b/>
          <w:sz w:val="24"/>
          <w:szCs w:val="24"/>
        </w:rPr>
        <w:t>esources</w:t>
      </w:r>
    </w:p>
    <w:p w14:paraId="67484CED" w14:textId="1956A7FE" w:rsidR="00DB5D5A" w:rsidRPr="00A2620B" w:rsidRDefault="00DB5D5A" w:rsidP="0085461C">
      <w:pPr>
        <w:spacing w:line="480" w:lineRule="auto"/>
        <w:jc w:val="both"/>
        <w:rPr>
          <w:sz w:val="24"/>
          <w:szCs w:val="24"/>
        </w:rPr>
      </w:pPr>
      <w:r w:rsidRPr="00A2620B">
        <w:rPr>
          <w:sz w:val="24"/>
          <w:szCs w:val="24"/>
        </w:rPr>
        <w:tab/>
        <w:t xml:space="preserve"> The </w:t>
      </w:r>
      <w:r w:rsidR="00E70E1E">
        <w:rPr>
          <w:sz w:val="24"/>
          <w:szCs w:val="24"/>
        </w:rPr>
        <w:t>s</w:t>
      </w:r>
      <w:r w:rsidRPr="00A2620B">
        <w:rPr>
          <w:sz w:val="24"/>
          <w:szCs w:val="24"/>
        </w:rPr>
        <w:t xml:space="preserve">tudy also ignores the potential economic impacts that AEP Ohio’s proposal will have on </w:t>
      </w:r>
      <w:r w:rsidR="00B97858">
        <w:rPr>
          <w:sz w:val="24"/>
          <w:szCs w:val="24"/>
        </w:rPr>
        <w:t>the development of</w:t>
      </w:r>
      <w:r w:rsidRPr="00A2620B">
        <w:rPr>
          <w:sz w:val="24"/>
          <w:szCs w:val="24"/>
        </w:rPr>
        <w:t xml:space="preserve"> competitive renewable resource</w:t>
      </w:r>
      <w:r w:rsidR="00B97858">
        <w:rPr>
          <w:sz w:val="24"/>
          <w:szCs w:val="24"/>
        </w:rPr>
        <w:t>s</w:t>
      </w:r>
      <w:r w:rsidRPr="00A2620B">
        <w:rPr>
          <w:sz w:val="24"/>
          <w:szCs w:val="24"/>
        </w:rPr>
        <w:t xml:space="preserve">.  Specifically, the </w:t>
      </w:r>
      <w:r w:rsidR="00E70E1E">
        <w:rPr>
          <w:sz w:val="24"/>
          <w:szCs w:val="24"/>
        </w:rPr>
        <w:t>s</w:t>
      </w:r>
      <w:r w:rsidRPr="00A2620B">
        <w:rPr>
          <w:sz w:val="24"/>
          <w:szCs w:val="24"/>
        </w:rPr>
        <w:t>tudy fails to consider whether AEP Ohio’s proposal could have a chilling effect on private development of renewable generation projects.</w:t>
      </w:r>
      <w:r w:rsidRPr="00A2620B">
        <w:rPr>
          <w:rStyle w:val="FootnoteReference"/>
          <w:sz w:val="24"/>
          <w:szCs w:val="24"/>
        </w:rPr>
        <w:footnoteReference w:id="141"/>
      </w:r>
      <w:r w:rsidRPr="00A2620B">
        <w:rPr>
          <w:sz w:val="24"/>
          <w:szCs w:val="24"/>
        </w:rPr>
        <w:t xml:space="preserve">  Although the </w:t>
      </w:r>
      <w:r w:rsidR="00E70E1E">
        <w:rPr>
          <w:sz w:val="24"/>
          <w:szCs w:val="24"/>
        </w:rPr>
        <w:t>s</w:t>
      </w:r>
      <w:r w:rsidRPr="00A2620B">
        <w:rPr>
          <w:sz w:val="24"/>
          <w:szCs w:val="24"/>
        </w:rPr>
        <w:t xml:space="preserve">tudy and AEP’s </w:t>
      </w:r>
      <w:r w:rsidRPr="00A2620B">
        <w:rPr>
          <w:sz w:val="24"/>
          <w:szCs w:val="24"/>
        </w:rPr>
        <w:lastRenderedPageBreak/>
        <w:t>Application tout the potential job growth associated with the proposal, an inherent risk exists that fewer Ohio jobs could be netted over the long-term as other, non-regulated renewable developers question the stability of the macro economic factors in the Ohio solar market.</w:t>
      </w:r>
      <w:r w:rsidRPr="00A2620B">
        <w:rPr>
          <w:rStyle w:val="FootnoteReference"/>
          <w:sz w:val="24"/>
          <w:szCs w:val="24"/>
        </w:rPr>
        <w:footnoteReference w:id="142"/>
      </w:r>
      <w:r w:rsidRPr="00A2620B">
        <w:rPr>
          <w:sz w:val="24"/>
          <w:szCs w:val="24"/>
        </w:rPr>
        <w:t xml:space="preserve">  Indeed, AEP Ohio’s proposal could stifle renewable project development for all customer classes (i.e. residential, commercial and industrial, utility scale, small scale, etc.) in that developers such as IGS Solar may be unwilling to bear the risks associated with renewable investments when an EDU offering the same, or similar, service is not required to do the same.</w:t>
      </w:r>
      <w:r w:rsidRPr="00A2620B">
        <w:rPr>
          <w:rStyle w:val="FootnoteReference"/>
          <w:sz w:val="24"/>
          <w:szCs w:val="24"/>
        </w:rPr>
        <w:footnoteReference w:id="143"/>
      </w:r>
      <w:r w:rsidR="00F0153F">
        <w:rPr>
          <w:sz w:val="24"/>
          <w:szCs w:val="24"/>
        </w:rPr>
        <w:t xml:space="preserve">  Likewise, the </w:t>
      </w:r>
      <w:r w:rsidR="00E70E1E">
        <w:rPr>
          <w:sz w:val="24"/>
          <w:szCs w:val="24"/>
        </w:rPr>
        <w:t>s</w:t>
      </w:r>
      <w:r w:rsidR="00F0153F">
        <w:rPr>
          <w:sz w:val="24"/>
          <w:szCs w:val="24"/>
        </w:rPr>
        <w:t xml:space="preserve">tudy failed to consider the </w:t>
      </w:r>
      <w:r w:rsidR="00F0153F" w:rsidRPr="006B3930">
        <w:rPr>
          <w:sz w:val="24"/>
          <w:szCs w:val="24"/>
        </w:rPr>
        <w:t xml:space="preserve">potential </w:t>
      </w:r>
      <w:r w:rsidR="00E544C7" w:rsidRPr="006B3930">
        <w:rPr>
          <w:sz w:val="24"/>
          <w:szCs w:val="24"/>
        </w:rPr>
        <w:t xml:space="preserve">suppression </w:t>
      </w:r>
      <w:r w:rsidR="003C7F4C" w:rsidRPr="006B3930">
        <w:rPr>
          <w:sz w:val="24"/>
          <w:szCs w:val="24"/>
        </w:rPr>
        <w:t>of the</w:t>
      </w:r>
      <w:r w:rsidR="00E544C7" w:rsidRPr="006B3930">
        <w:rPr>
          <w:sz w:val="24"/>
          <w:szCs w:val="24"/>
        </w:rPr>
        <w:t xml:space="preserve"> price</w:t>
      </w:r>
      <w:r w:rsidR="003C7F4C" w:rsidRPr="006B3930">
        <w:rPr>
          <w:sz w:val="24"/>
          <w:szCs w:val="24"/>
        </w:rPr>
        <w:t xml:space="preserve"> </w:t>
      </w:r>
      <w:r w:rsidR="00E544C7" w:rsidRPr="006B3930">
        <w:rPr>
          <w:sz w:val="24"/>
          <w:szCs w:val="24"/>
        </w:rPr>
        <w:t xml:space="preserve">for </w:t>
      </w:r>
      <w:r w:rsidR="003C7F4C" w:rsidRPr="006B3930">
        <w:rPr>
          <w:sz w:val="24"/>
          <w:szCs w:val="24"/>
        </w:rPr>
        <w:t>renewable energy credit</w:t>
      </w:r>
      <w:r w:rsidR="00E544C7" w:rsidRPr="006B3930">
        <w:rPr>
          <w:sz w:val="24"/>
          <w:szCs w:val="24"/>
        </w:rPr>
        <w:t>s</w:t>
      </w:r>
      <w:r w:rsidR="003C7F4C" w:rsidRPr="006B3930">
        <w:rPr>
          <w:sz w:val="24"/>
          <w:szCs w:val="24"/>
        </w:rPr>
        <w:t>, which</w:t>
      </w:r>
      <w:r w:rsidR="00E544C7" w:rsidRPr="006B3930">
        <w:rPr>
          <w:sz w:val="24"/>
          <w:szCs w:val="24"/>
        </w:rPr>
        <w:t xml:space="preserve">, all else being equal, </w:t>
      </w:r>
      <w:r w:rsidR="00A162F2" w:rsidRPr="006B3930">
        <w:rPr>
          <w:sz w:val="24"/>
          <w:szCs w:val="24"/>
        </w:rPr>
        <w:t>would reduce the economic viability of competitive renewable development.</w:t>
      </w:r>
      <w:r w:rsidR="00A162F2" w:rsidRPr="006B3930">
        <w:rPr>
          <w:rStyle w:val="FootnoteReference"/>
          <w:sz w:val="24"/>
          <w:szCs w:val="24"/>
        </w:rPr>
        <w:footnoteReference w:id="144"/>
      </w:r>
      <w:r w:rsidR="006B3930" w:rsidRPr="006B3930">
        <w:rPr>
          <w:sz w:val="24"/>
          <w:szCs w:val="24"/>
        </w:rPr>
        <w:t xml:space="preserve"> As IGS Witness White testified, </w:t>
      </w:r>
      <w:r w:rsidR="006B3930">
        <w:rPr>
          <w:sz w:val="24"/>
          <w:szCs w:val="24"/>
        </w:rPr>
        <w:t>“[</w:t>
      </w:r>
      <w:proofErr w:type="spellStart"/>
      <w:r w:rsidR="006B3930" w:rsidRPr="006B3930">
        <w:rPr>
          <w:sz w:val="24"/>
          <w:szCs w:val="24"/>
        </w:rPr>
        <w:t>i</w:t>
      </w:r>
      <w:proofErr w:type="spellEnd"/>
      <w:r w:rsidR="006B3930">
        <w:rPr>
          <w:sz w:val="24"/>
          <w:szCs w:val="24"/>
        </w:rPr>
        <w:t>]</w:t>
      </w:r>
      <w:r w:rsidR="006B3930" w:rsidRPr="006B3930">
        <w:rPr>
          <w:sz w:val="24"/>
          <w:szCs w:val="24"/>
        </w:rPr>
        <w:t>f AEP is allowed to build 400 MW of solar in Ohio, irrespective of cost, and irrespective of whether Ohio needs the solar to meet its SRPS requirement, the SREC market in Ohio will tank</w:t>
      </w:r>
      <w:r w:rsidR="006B3930">
        <w:rPr>
          <w:sz w:val="24"/>
          <w:szCs w:val="24"/>
        </w:rPr>
        <w:t>.”</w:t>
      </w:r>
      <w:r w:rsidR="00833144">
        <w:rPr>
          <w:rStyle w:val="FootnoteReference"/>
          <w:sz w:val="24"/>
          <w:szCs w:val="24"/>
        </w:rPr>
        <w:footnoteReference w:id="145"/>
      </w:r>
      <w:r w:rsidR="0085461C">
        <w:rPr>
          <w:sz w:val="24"/>
          <w:szCs w:val="24"/>
        </w:rPr>
        <w:t xml:space="preserve">  Reducing the REC price in Ohio</w:t>
      </w:r>
      <w:r w:rsidR="00833144">
        <w:rPr>
          <w:sz w:val="24"/>
          <w:szCs w:val="24"/>
        </w:rPr>
        <w:t xml:space="preserve"> would result in “</w:t>
      </w:r>
      <w:r w:rsidR="0085461C" w:rsidRPr="0085461C">
        <w:rPr>
          <w:sz w:val="24"/>
          <w:szCs w:val="24"/>
        </w:rPr>
        <w:t>lowering the incentive for those developers to build solar in Ohio</w:t>
      </w:r>
      <w:r w:rsidR="00833144">
        <w:rPr>
          <w:sz w:val="24"/>
          <w:szCs w:val="24"/>
        </w:rPr>
        <w:t>.”</w:t>
      </w:r>
      <w:r w:rsidR="00833144">
        <w:rPr>
          <w:rStyle w:val="FootnoteReference"/>
          <w:sz w:val="24"/>
          <w:szCs w:val="24"/>
        </w:rPr>
        <w:footnoteReference w:id="146"/>
      </w:r>
    </w:p>
    <w:p w14:paraId="2440039E" w14:textId="2CA2EA4B" w:rsidR="00DB5D5A" w:rsidRPr="00A2620B" w:rsidRDefault="00DB5D5A" w:rsidP="00DB5D5A">
      <w:pPr>
        <w:spacing w:line="480" w:lineRule="auto"/>
        <w:jc w:val="both"/>
        <w:rPr>
          <w:sz w:val="24"/>
          <w:szCs w:val="24"/>
        </w:rPr>
      </w:pPr>
      <w:r w:rsidRPr="00A2620B">
        <w:rPr>
          <w:sz w:val="24"/>
          <w:szCs w:val="24"/>
        </w:rPr>
        <w:tab/>
        <w:t xml:space="preserve">The </w:t>
      </w:r>
      <w:r w:rsidR="00E70E1E">
        <w:rPr>
          <w:sz w:val="24"/>
          <w:szCs w:val="24"/>
        </w:rPr>
        <w:t>s</w:t>
      </w:r>
      <w:r w:rsidRPr="00A2620B">
        <w:rPr>
          <w:sz w:val="24"/>
          <w:szCs w:val="24"/>
        </w:rPr>
        <w:t xml:space="preserve">tudy also failed to consider the potential economic impact of AEP Ohio’s proposal on renewable land lease rates.  Here again, the </w:t>
      </w:r>
      <w:r w:rsidR="00E70E1E">
        <w:rPr>
          <w:sz w:val="24"/>
          <w:szCs w:val="24"/>
        </w:rPr>
        <w:t>s</w:t>
      </w:r>
      <w:r w:rsidRPr="00A2620B">
        <w:rPr>
          <w:sz w:val="24"/>
          <w:szCs w:val="24"/>
        </w:rPr>
        <w:t xml:space="preserve">tudy turned a blind eye to the fact that participation by a regulated entity in a competitive market often distorts market </w:t>
      </w:r>
      <w:r w:rsidRPr="00A2620B">
        <w:rPr>
          <w:sz w:val="24"/>
          <w:szCs w:val="24"/>
        </w:rPr>
        <w:lastRenderedPageBreak/>
        <w:t>pricing.</w:t>
      </w:r>
      <w:r w:rsidR="00B97858">
        <w:rPr>
          <w:rStyle w:val="FootnoteReference"/>
          <w:sz w:val="24"/>
          <w:szCs w:val="24"/>
        </w:rPr>
        <w:footnoteReference w:id="147"/>
      </w:r>
      <w:r w:rsidRPr="00A2620B">
        <w:rPr>
          <w:sz w:val="24"/>
          <w:szCs w:val="24"/>
        </w:rPr>
        <w:t xml:space="preserve">  In the case of renewable land leases, recent regulation in the New Jersey competitive market has demonstrated that</w:t>
      </w:r>
      <w:r w:rsidR="004D7995">
        <w:rPr>
          <w:sz w:val="24"/>
          <w:szCs w:val="24"/>
        </w:rPr>
        <w:t xml:space="preserve"> permitting </w:t>
      </w:r>
      <w:r w:rsidRPr="00A2620B">
        <w:rPr>
          <w:sz w:val="24"/>
          <w:szCs w:val="24"/>
        </w:rPr>
        <w:t>EDU</w:t>
      </w:r>
      <w:r w:rsidR="004D7995">
        <w:rPr>
          <w:sz w:val="24"/>
          <w:szCs w:val="24"/>
        </w:rPr>
        <w:t>s</w:t>
      </w:r>
      <w:r w:rsidRPr="00A2620B">
        <w:rPr>
          <w:sz w:val="24"/>
          <w:szCs w:val="24"/>
        </w:rPr>
        <w:t xml:space="preserve"> to recover</w:t>
      </w:r>
      <w:r w:rsidR="004D7995">
        <w:rPr>
          <w:sz w:val="24"/>
          <w:szCs w:val="24"/>
        </w:rPr>
        <w:t xml:space="preserve"> the even a small amount</w:t>
      </w:r>
      <w:r w:rsidRPr="00A2620B">
        <w:rPr>
          <w:sz w:val="24"/>
          <w:szCs w:val="24"/>
        </w:rPr>
        <w:t xml:space="preserve"> solar generation costs tends to artificially inflate land lease prices, because the rate recovery mechanism permits the EDU to offer a higher land lease rate than the market otherwise expects.</w:t>
      </w:r>
      <w:r w:rsidRPr="00A2620B">
        <w:rPr>
          <w:rStyle w:val="FootnoteReference"/>
          <w:sz w:val="24"/>
          <w:szCs w:val="24"/>
        </w:rPr>
        <w:footnoteReference w:id="148"/>
      </w:r>
      <w:r w:rsidRPr="00A2620B">
        <w:rPr>
          <w:sz w:val="24"/>
          <w:szCs w:val="24"/>
        </w:rPr>
        <w:t xml:space="preserve">  </w:t>
      </w:r>
    </w:p>
    <w:p w14:paraId="09680A22" w14:textId="147F0D88" w:rsidR="00DB5D5A" w:rsidRPr="00A2620B" w:rsidRDefault="00DB5D5A" w:rsidP="00E70E1E">
      <w:pPr>
        <w:spacing w:after="0" w:line="480" w:lineRule="auto"/>
        <w:jc w:val="both"/>
        <w:rPr>
          <w:sz w:val="24"/>
          <w:szCs w:val="24"/>
        </w:rPr>
      </w:pPr>
      <w:r w:rsidRPr="00A2620B">
        <w:rPr>
          <w:sz w:val="24"/>
          <w:szCs w:val="24"/>
        </w:rPr>
        <w:tab/>
        <w:t xml:space="preserve">Flaws in the </w:t>
      </w:r>
      <w:r w:rsidR="004D7995">
        <w:rPr>
          <w:sz w:val="24"/>
          <w:szCs w:val="24"/>
        </w:rPr>
        <w:t>s</w:t>
      </w:r>
      <w:r w:rsidRPr="00A2620B">
        <w:rPr>
          <w:sz w:val="24"/>
          <w:szCs w:val="24"/>
        </w:rPr>
        <w:t>tudy are further evidenced in the authors’ acknowledgement that in performing their analysis, no inquiry was made concerning the development of solar facilities by entities other than AEP Ohio.</w:t>
      </w:r>
      <w:r w:rsidRPr="00A2620B">
        <w:rPr>
          <w:rStyle w:val="FootnoteReference"/>
          <w:sz w:val="24"/>
          <w:szCs w:val="24"/>
        </w:rPr>
        <w:footnoteReference w:id="149"/>
      </w:r>
      <w:r w:rsidRPr="00A2620B">
        <w:rPr>
          <w:sz w:val="24"/>
          <w:szCs w:val="24"/>
        </w:rPr>
        <w:t xml:space="preserve">  The </w:t>
      </w:r>
      <w:r w:rsidR="00E70E1E">
        <w:rPr>
          <w:sz w:val="24"/>
          <w:szCs w:val="24"/>
        </w:rPr>
        <w:t>s</w:t>
      </w:r>
      <w:r w:rsidRPr="00A2620B">
        <w:rPr>
          <w:sz w:val="24"/>
          <w:szCs w:val="24"/>
        </w:rPr>
        <w:t xml:space="preserve">tudy failed to undertake an evaluation of whether the Ohio competitive market can provide the same, or similar, services identified in AEP Ohio’s proposal without the need to recover any economic shortfalls through </w:t>
      </w:r>
      <w:proofErr w:type="spellStart"/>
      <w:r w:rsidRPr="00A2620B">
        <w:rPr>
          <w:sz w:val="24"/>
          <w:szCs w:val="24"/>
        </w:rPr>
        <w:t>nonbypassable</w:t>
      </w:r>
      <w:proofErr w:type="spellEnd"/>
      <w:r w:rsidRPr="00A2620B">
        <w:rPr>
          <w:sz w:val="24"/>
          <w:szCs w:val="24"/>
        </w:rPr>
        <w:t xml:space="preserve"> rates.</w:t>
      </w:r>
      <w:r w:rsidRPr="00A2620B">
        <w:rPr>
          <w:rStyle w:val="FootnoteReference"/>
          <w:sz w:val="24"/>
          <w:szCs w:val="24"/>
        </w:rPr>
        <w:footnoteReference w:id="150"/>
      </w:r>
      <w:r w:rsidRPr="00A2620B">
        <w:rPr>
          <w:sz w:val="24"/>
          <w:szCs w:val="24"/>
        </w:rPr>
        <w:t xml:space="preserve">  For example, IGS Solar recently developed and installed a 4 megawatt utility-scale solar facility in Cuyahoga County, Ohio</w:t>
      </w:r>
      <w:r w:rsidR="00E70E1E">
        <w:rPr>
          <w:sz w:val="24"/>
          <w:szCs w:val="24"/>
        </w:rPr>
        <w:t xml:space="preserve"> and has plans to invest $450 million in solar development in Ohio and nationwide in the next three years</w:t>
      </w:r>
      <w:r w:rsidRPr="00A2620B">
        <w:rPr>
          <w:sz w:val="24"/>
          <w:szCs w:val="24"/>
        </w:rPr>
        <w:t>.</w:t>
      </w:r>
      <w:r w:rsidRPr="00A2620B">
        <w:rPr>
          <w:rStyle w:val="FootnoteReference"/>
          <w:sz w:val="24"/>
          <w:szCs w:val="24"/>
        </w:rPr>
        <w:footnoteReference w:id="151"/>
      </w:r>
      <w:r w:rsidRPr="00A2620B">
        <w:rPr>
          <w:sz w:val="24"/>
          <w:szCs w:val="24"/>
        </w:rPr>
        <w:t xml:space="preserve"> Corporate entities also entered into 6.4 gigawatts of virtual PPA offtake agreements</w:t>
      </w:r>
      <w:r w:rsidRPr="00A2620B">
        <w:rPr>
          <w:rStyle w:val="FootnoteReference"/>
          <w:sz w:val="24"/>
          <w:szCs w:val="24"/>
        </w:rPr>
        <w:footnoteReference w:id="152"/>
      </w:r>
      <w:r w:rsidRPr="00A2620B">
        <w:rPr>
          <w:sz w:val="24"/>
          <w:szCs w:val="24"/>
        </w:rPr>
        <w:t xml:space="preserve"> during 2018.  Both cases demonstrate that the competitive market is well-situated to meet customer preferences and provide renewable generation of all scales, </w:t>
      </w:r>
      <w:r w:rsidRPr="00A2620B">
        <w:rPr>
          <w:sz w:val="24"/>
          <w:szCs w:val="24"/>
        </w:rPr>
        <w:lastRenderedPageBreak/>
        <w:t xml:space="preserve">yet an analysis of renewable activity in the Ohio competitive market appears to have played no role in the Study’s economic evaluation. </w:t>
      </w:r>
    </w:p>
    <w:p w14:paraId="2FB39F10" w14:textId="5D982E4D" w:rsidR="00DB5D5A" w:rsidRDefault="00B428D9" w:rsidP="00E70E1E">
      <w:pPr>
        <w:spacing w:after="0" w:line="240" w:lineRule="auto"/>
        <w:ind w:left="2610" w:hanging="450"/>
        <w:jc w:val="both"/>
        <w:rPr>
          <w:b/>
          <w:sz w:val="24"/>
          <w:szCs w:val="24"/>
        </w:rPr>
      </w:pPr>
      <w:r>
        <w:rPr>
          <w:b/>
          <w:sz w:val="24"/>
          <w:szCs w:val="24"/>
        </w:rPr>
        <w:t>d</w:t>
      </w:r>
      <w:r w:rsidR="00B97858">
        <w:rPr>
          <w:b/>
          <w:sz w:val="24"/>
          <w:szCs w:val="24"/>
        </w:rPr>
        <w:t xml:space="preserve">. </w:t>
      </w:r>
      <w:r w:rsidR="00DB5D5A" w:rsidRPr="00A2620B">
        <w:rPr>
          <w:b/>
          <w:sz w:val="24"/>
          <w:szCs w:val="24"/>
        </w:rPr>
        <w:t xml:space="preserve"> The Study’s Failure to Evaluate the Economic Impact of Potential Billing Increases Associated with AEP Ohio’s Proposal is Misleading and Exaggerates Other Portions of </w:t>
      </w:r>
      <w:r w:rsidR="00DB5D5A" w:rsidRPr="000370FF">
        <w:rPr>
          <w:b/>
          <w:sz w:val="24"/>
          <w:szCs w:val="24"/>
        </w:rPr>
        <w:t>the Economic Analysis</w:t>
      </w:r>
    </w:p>
    <w:p w14:paraId="3235383C" w14:textId="77777777" w:rsidR="00E70E1E" w:rsidRPr="000370FF" w:rsidRDefault="00E70E1E" w:rsidP="00E70E1E">
      <w:pPr>
        <w:spacing w:after="0" w:line="240" w:lineRule="auto"/>
        <w:ind w:left="2610" w:hanging="450"/>
        <w:jc w:val="both"/>
        <w:rPr>
          <w:b/>
          <w:sz w:val="24"/>
          <w:szCs w:val="24"/>
        </w:rPr>
      </w:pPr>
    </w:p>
    <w:p w14:paraId="6160AE7A" w14:textId="00841E66" w:rsidR="00DB5D5A" w:rsidRPr="00A2620B" w:rsidRDefault="00DB5D5A" w:rsidP="00DB5D5A">
      <w:pPr>
        <w:spacing w:line="480" w:lineRule="auto"/>
        <w:ind w:firstLine="720"/>
        <w:jc w:val="both"/>
        <w:rPr>
          <w:sz w:val="24"/>
          <w:szCs w:val="24"/>
        </w:rPr>
      </w:pPr>
      <w:r w:rsidRPr="000370FF">
        <w:rPr>
          <w:sz w:val="24"/>
          <w:szCs w:val="24"/>
        </w:rPr>
        <w:t xml:space="preserve">The failure of the </w:t>
      </w:r>
      <w:r w:rsidR="00046E33" w:rsidRPr="000370FF">
        <w:rPr>
          <w:sz w:val="24"/>
          <w:szCs w:val="24"/>
        </w:rPr>
        <w:t>s</w:t>
      </w:r>
      <w:r w:rsidRPr="000370FF">
        <w:rPr>
          <w:sz w:val="24"/>
          <w:szCs w:val="24"/>
        </w:rPr>
        <w:t xml:space="preserve">tudy to account for any of the potential charges that all customers in the AEP Ohio service territory would be required to pay if </w:t>
      </w:r>
      <w:r w:rsidR="00046E33" w:rsidRPr="000370FF">
        <w:rPr>
          <w:sz w:val="24"/>
          <w:szCs w:val="24"/>
        </w:rPr>
        <w:t xml:space="preserve">AEP Ohio’s proposal moves forward is </w:t>
      </w:r>
      <w:r w:rsidRPr="000370FF">
        <w:rPr>
          <w:sz w:val="24"/>
          <w:szCs w:val="24"/>
        </w:rPr>
        <w:t>not only misleading, but also exaggerates other portions of the economic analysis.</w:t>
      </w:r>
      <w:r w:rsidRPr="000370FF">
        <w:rPr>
          <w:rStyle w:val="FootnoteReference"/>
          <w:sz w:val="24"/>
          <w:szCs w:val="24"/>
        </w:rPr>
        <w:footnoteReference w:id="153"/>
      </w:r>
      <w:r w:rsidRPr="000370FF">
        <w:rPr>
          <w:sz w:val="24"/>
          <w:szCs w:val="24"/>
        </w:rPr>
        <w:t xml:space="preserve">  Indeed, the </w:t>
      </w:r>
      <w:r w:rsidR="00046E33" w:rsidRPr="000370FF">
        <w:rPr>
          <w:sz w:val="24"/>
          <w:szCs w:val="24"/>
        </w:rPr>
        <w:t>s</w:t>
      </w:r>
      <w:r w:rsidRPr="000370FF">
        <w:rPr>
          <w:sz w:val="24"/>
          <w:szCs w:val="24"/>
        </w:rPr>
        <w:t xml:space="preserve">tudy’s failure to account for any potential </w:t>
      </w:r>
      <w:r w:rsidR="005B603D" w:rsidRPr="000370FF">
        <w:rPr>
          <w:sz w:val="24"/>
          <w:szCs w:val="24"/>
        </w:rPr>
        <w:t>rate</w:t>
      </w:r>
      <w:r w:rsidRPr="000370FF">
        <w:rPr>
          <w:sz w:val="24"/>
          <w:szCs w:val="24"/>
        </w:rPr>
        <w:t xml:space="preserve"> increases is based on the flawed assumption that</w:t>
      </w:r>
      <w:r w:rsidR="00796627" w:rsidRPr="000370FF">
        <w:rPr>
          <w:sz w:val="24"/>
          <w:szCs w:val="24"/>
        </w:rPr>
        <w:t xml:space="preserve"> the </w:t>
      </w:r>
      <w:r w:rsidR="00C26BDF" w:rsidRPr="000370FF">
        <w:rPr>
          <w:sz w:val="24"/>
          <w:szCs w:val="24"/>
        </w:rPr>
        <w:t>REPAs will be economic over time</w:t>
      </w:r>
      <w:r w:rsidRPr="000370FF">
        <w:rPr>
          <w:sz w:val="24"/>
          <w:szCs w:val="24"/>
        </w:rPr>
        <w:t>.</w:t>
      </w:r>
      <w:r w:rsidR="00C26BDF" w:rsidRPr="000370FF">
        <w:rPr>
          <w:rStyle w:val="FootnoteReference"/>
          <w:sz w:val="24"/>
          <w:szCs w:val="24"/>
        </w:rPr>
        <w:footnoteReference w:id="154"/>
      </w:r>
      <w:r w:rsidRPr="000370FF">
        <w:rPr>
          <w:sz w:val="24"/>
          <w:szCs w:val="24"/>
        </w:rPr>
        <w:t xml:space="preserve">  In preparing that portion of the economic analysis, the </w:t>
      </w:r>
      <w:r w:rsidR="006018CD">
        <w:rPr>
          <w:sz w:val="24"/>
          <w:szCs w:val="24"/>
        </w:rPr>
        <w:t>s</w:t>
      </w:r>
      <w:r w:rsidRPr="000370FF">
        <w:rPr>
          <w:sz w:val="24"/>
          <w:szCs w:val="24"/>
        </w:rPr>
        <w:t xml:space="preserve">tudy’s authors relied upon information provided exclusively by AEP Ohio, and in doing so, made no attempt to evaluate whether </w:t>
      </w:r>
      <w:r w:rsidR="000370FF">
        <w:rPr>
          <w:sz w:val="24"/>
          <w:szCs w:val="24"/>
        </w:rPr>
        <w:t xml:space="preserve">customers would in fact </w:t>
      </w:r>
      <w:r w:rsidR="006018CD">
        <w:rPr>
          <w:sz w:val="24"/>
          <w:szCs w:val="24"/>
        </w:rPr>
        <w:t>break even as AEP Ohio suggests</w:t>
      </w:r>
      <w:r w:rsidRPr="000370FF">
        <w:rPr>
          <w:sz w:val="24"/>
          <w:szCs w:val="24"/>
        </w:rPr>
        <w:t>.</w:t>
      </w:r>
      <w:r w:rsidRPr="000370FF">
        <w:rPr>
          <w:rStyle w:val="FootnoteReference"/>
          <w:sz w:val="24"/>
          <w:szCs w:val="24"/>
        </w:rPr>
        <w:footnoteReference w:id="155"/>
      </w:r>
      <w:r w:rsidRPr="000370FF">
        <w:rPr>
          <w:sz w:val="24"/>
          <w:szCs w:val="24"/>
        </w:rPr>
        <w:t xml:space="preserve">  The </w:t>
      </w:r>
      <w:r w:rsidR="006018CD">
        <w:rPr>
          <w:sz w:val="24"/>
          <w:szCs w:val="24"/>
        </w:rPr>
        <w:t>s</w:t>
      </w:r>
      <w:r w:rsidRPr="000370FF">
        <w:rPr>
          <w:sz w:val="24"/>
          <w:szCs w:val="24"/>
        </w:rPr>
        <w:t>tudy simply assumed that the proposal would have no adverse economic impact on household income, and therefore ignored the possible ripple effect that any rate increases might have on the fiscal impacts cited in support of AEP Ohio’s proposal.</w:t>
      </w:r>
    </w:p>
    <w:p w14:paraId="1FDDFB06" w14:textId="2038DCEF" w:rsidR="00DB5D5A" w:rsidRPr="00A2620B" w:rsidRDefault="00DB5D5A" w:rsidP="00DB5D5A">
      <w:pPr>
        <w:spacing w:line="480" w:lineRule="auto"/>
        <w:ind w:firstLine="720"/>
        <w:jc w:val="both"/>
        <w:rPr>
          <w:sz w:val="24"/>
          <w:szCs w:val="24"/>
        </w:rPr>
      </w:pPr>
      <w:r w:rsidRPr="00A2620B">
        <w:rPr>
          <w:sz w:val="24"/>
          <w:szCs w:val="24"/>
        </w:rPr>
        <w:t xml:space="preserve">The </w:t>
      </w:r>
      <w:r w:rsidR="005B7DA3">
        <w:rPr>
          <w:sz w:val="24"/>
          <w:szCs w:val="24"/>
        </w:rPr>
        <w:t>s</w:t>
      </w:r>
      <w:r w:rsidRPr="00A2620B">
        <w:rPr>
          <w:sz w:val="24"/>
          <w:szCs w:val="24"/>
        </w:rPr>
        <w:t>tudy evaluated certain economic and fiscal impacts and concluded that AEP Ohio’s proposal will increase earnings for Ohio workers, grow economic output, and grow Ohio’s GDP.</w:t>
      </w:r>
      <w:r w:rsidRPr="00A2620B">
        <w:rPr>
          <w:rStyle w:val="FootnoteReference"/>
          <w:sz w:val="24"/>
          <w:szCs w:val="24"/>
        </w:rPr>
        <w:footnoteReference w:id="156"/>
      </w:r>
      <w:r w:rsidRPr="00A2620B">
        <w:rPr>
          <w:sz w:val="24"/>
          <w:szCs w:val="24"/>
        </w:rPr>
        <w:t xml:space="preserve">  To arrive at that conclusion, the authors evaluated revenue generated </w:t>
      </w:r>
      <w:r w:rsidRPr="00A2620B">
        <w:rPr>
          <w:sz w:val="24"/>
          <w:szCs w:val="24"/>
        </w:rPr>
        <w:lastRenderedPageBreak/>
        <w:t>from state and county sales and use taxes paid on purchases made from the direct, indirect, and induced wages associated with AEP Ohio’s proposal.</w:t>
      </w:r>
      <w:r w:rsidRPr="00A2620B">
        <w:rPr>
          <w:rStyle w:val="FootnoteReference"/>
          <w:sz w:val="24"/>
          <w:szCs w:val="24"/>
        </w:rPr>
        <w:footnoteReference w:id="157"/>
      </w:r>
      <w:r w:rsidRPr="00A2620B">
        <w:rPr>
          <w:sz w:val="24"/>
          <w:szCs w:val="24"/>
        </w:rPr>
        <w:t xml:space="preserve">  To project the state and county sales and use taxes paid, the </w:t>
      </w:r>
      <w:r w:rsidR="005B7DA3">
        <w:rPr>
          <w:sz w:val="24"/>
          <w:szCs w:val="24"/>
        </w:rPr>
        <w:t>s</w:t>
      </w:r>
      <w:r w:rsidRPr="00A2620B">
        <w:rPr>
          <w:sz w:val="24"/>
          <w:szCs w:val="24"/>
        </w:rPr>
        <w:t>tudy estimated the share of household earnings spent on taxable income.</w:t>
      </w:r>
      <w:r w:rsidR="005B184F">
        <w:rPr>
          <w:rStyle w:val="FootnoteReference"/>
          <w:sz w:val="24"/>
          <w:szCs w:val="24"/>
        </w:rPr>
        <w:footnoteReference w:id="158"/>
      </w:r>
      <w:r w:rsidRPr="00A2620B">
        <w:rPr>
          <w:sz w:val="24"/>
          <w:szCs w:val="24"/>
        </w:rPr>
        <w:t xml:space="preserve">  </w:t>
      </w:r>
    </w:p>
    <w:p w14:paraId="4BD04BBD" w14:textId="1F93EFC5" w:rsidR="00DB5D5A" w:rsidRPr="00A2620B" w:rsidRDefault="005B184F" w:rsidP="00DB5D5A">
      <w:pPr>
        <w:spacing w:line="480" w:lineRule="auto"/>
        <w:ind w:firstLine="720"/>
        <w:jc w:val="both"/>
        <w:rPr>
          <w:sz w:val="24"/>
          <w:szCs w:val="24"/>
        </w:rPr>
      </w:pPr>
      <w:r>
        <w:rPr>
          <w:sz w:val="24"/>
          <w:szCs w:val="24"/>
        </w:rPr>
        <w:t>S</w:t>
      </w:r>
      <w:r w:rsidR="00DB5D5A" w:rsidRPr="00A2620B">
        <w:rPr>
          <w:sz w:val="24"/>
          <w:szCs w:val="24"/>
        </w:rPr>
        <w:t xml:space="preserve">ince the authors did not consider the potential rate increases that AEP Ohio’s customers would be required to pay, it </w:t>
      </w:r>
      <w:r w:rsidR="0049178B">
        <w:rPr>
          <w:sz w:val="24"/>
          <w:szCs w:val="24"/>
        </w:rPr>
        <w:t xml:space="preserve">only </w:t>
      </w:r>
      <w:r w:rsidR="00DB5D5A" w:rsidRPr="00A2620B">
        <w:rPr>
          <w:sz w:val="24"/>
          <w:szCs w:val="24"/>
        </w:rPr>
        <w:t xml:space="preserve">seems reasonable to conclude that the state and county sales and use tax benefits identified in the Study are exaggerated.  The </w:t>
      </w:r>
      <w:r>
        <w:rPr>
          <w:sz w:val="24"/>
          <w:szCs w:val="24"/>
        </w:rPr>
        <w:t>s</w:t>
      </w:r>
      <w:r w:rsidR="00DB5D5A" w:rsidRPr="00A2620B">
        <w:rPr>
          <w:sz w:val="24"/>
          <w:szCs w:val="24"/>
        </w:rPr>
        <w:t xml:space="preserve">tudy failed to consider that as AEP Ohio’s billing rates increase, that portion of income that Ohioans might otherwise be able spend on goods and services similarly declines.  As spending declines, so too will the amount of sales and use tax revenue paid on purchases made from the direct, indirect, and induced impacts associated with AEP’s proposal.  Yet, the </w:t>
      </w:r>
      <w:r w:rsidR="005B7DA3">
        <w:rPr>
          <w:sz w:val="24"/>
          <w:szCs w:val="24"/>
        </w:rPr>
        <w:t>s</w:t>
      </w:r>
      <w:r w:rsidR="00DB5D5A" w:rsidRPr="00A2620B">
        <w:rPr>
          <w:sz w:val="24"/>
          <w:szCs w:val="24"/>
        </w:rPr>
        <w:t>tudy failed to account for that reduction in tax revenues in its analysis.</w:t>
      </w:r>
      <w:r w:rsidR="00DB5D5A" w:rsidRPr="00A2620B">
        <w:rPr>
          <w:rStyle w:val="FootnoteReference"/>
          <w:sz w:val="24"/>
          <w:szCs w:val="24"/>
        </w:rPr>
        <w:footnoteReference w:id="159"/>
      </w:r>
      <w:r w:rsidR="00DB5D5A" w:rsidRPr="00A2620B">
        <w:rPr>
          <w:sz w:val="24"/>
          <w:szCs w:val="24"/>
        </w:rPr>
        <w:t xml:space="preserve"> </w:t>
      </w:r>
    </w:p>
    <w:p w14:paraId="59EAF840" w14:textId="0E16EBDF" w:rsidR="00DB5D5A" w:rsidRPr="00B97858" w:rsidRDefault="00B428D9" w:rsidP="00B428D9">
      <w:pPr>
        <w:spacing w:line="240" w:lineRule="auto"/>
        <w:ind w:left="2430" w:hanging="270"/>
        <w:jc w:val="both"/>
        <w:rPr>
          <w:b/>
          <w:sz w:val="24"/>
          <w:szCs w:val="24"/>
        </w:rPr>
      </w:pPr>
      <w:r>
        <w:rPr>
          <w:b/>
          <w:sz w:val="24"/>
          <w:szCs w:val="24"/>
        </w:rPr>
        <w:t>e</w:t>
      </w:r>
      <w:r w:rsidR="00DB5D5A" w:rsidRPr="00A2620B">
        <w:rPr>
          <w:b/>
          <w:sz w:val="24"/>
          <w:szCs w:val="24"/>
        </w:rPr>
        <w:t xml:space="preserve">. AEP Ohio’s </w:t>
      </w:r>
      <w:r w:rsidR="005B7DA3">
        <w:rPr>
          <w:b/>
          <w:sz w:val="24"/>
          <w:szCs w:val="24"/>
        </w:rPr>
        <w:t>c</w:t>
      </w:r>
      <w:r w:rsidR="00DB5D5A" w:rsidRPr="00A2620B">
        <w:rPr>
          <w:b/>
          <w:sz w:val="24"/>
          <w:szCs w:val="24"/>
        </w:rPr>
        <w:t xml:space="preserve">ontribution to the </w:t>
      </w:r>
      <w:r w:rsidR="005B7DA3">
        <w:rPr>
          <w:b/>
          <w:sz w:val="24"/>
          <w:szCs w:val="24"/>
        </w:rPr>
        <w:t>s</w:t>
      </w:r>
      <w:r w:rsidR="00DB5D5A" w:rsidRPr="00A2620B">
        <w:rPr>
          <w:b/>
          <w:sz w:val="24"/>
          <w:szCs w:val="24"/>
        </w:rPr>
        <w:t xml:space="preserve">tudy’s </w:t>
      </w:r>
      <w:r w:rsidR="005B7DA3">
        <w:rPr>
          <w:b/>
          <w:sz w:val="24"/>
          <w:szCs w:val="24"/>
        </w:rPr>
        <w:t>p</w:t>
      </w:r>
      <w:r w:rsidR="00DB5D5A" w:rsidRPr="00A2620B">
        <w:rPr>
          <w:b/>
          <w:sz w:val="24"/>
          <w:szCs w:val="24"/>
        </w:rPr>
        <w:t xml:space="preserve">rojected </w:t>
      </w:r>
      <w:r w:rsidR="005B7DA3">
        <w:rPr>
          <w:b/>
          <w:sz w:val="24"/>
          <w:szCs w:val="24"/>
        </w:rPr>
        <w:t>e</w:t>
      </w:r>
      <w:r w:rsidR="00DB5D5A" w:rsidRPr="00A2620B">
        <w:rPr>
          <w:b/>
          <w:sz w:val="24"/>
          <w:szCs w:val="24"/>
        </w:rPr>
        <w:t xml:space="preserve">conomic </w:t>
      </w:r>
      <w:r w:rsidR="005B7DA3">
        <w:rPr>
          <w:b/>
          <w:sz w:val="24"/>
          <w:szCs w:val="24"/>
        </w:rPr>
        <w:t>s</w:t>
      </w:r>
      <w:r w:rsidR="00DB5D5A" w:rsidRPr="00A2620B">
        <w:rPr>
          <w:b/>
          <w:sz w:val="24"/>
          <w:szCs w:val="24"/>
        </w:rPr>
        <w:t xml:space="preserve">timulus is </w:t>
      </w:r>
      <w:r w:rsidR="005B7DA3">
        <w:rPr>
          <w:b/>
          <w:sz w:val="24"/>
          <w:szCs w:val="24"/>
        </w:rPr>
        <w:t>e</w:t>
      </w:r>
      <w:r w:rsidR="00DB5D5A" w:rsidRPr="00A2620B">
        <w:rPr>
          <w:b/>
          <w:sz w:val="24"/>
          <w:szCs w:val="24"/>
        </w:rPr>
        <w:t>xaggerated</w:t>
      </w:r>
    </w:p>
    <w:p w14:paraId="23A10201" w14:textId="253945EB" w:rsidR="00DB5D5A" w:rsidRPr="00A2620B" w:rsidRDefault="00DB5D5A" w:rsidP="00DB5D5A">
      <w:pPr>
        <w:spacing w:line="480" w:lineRule="auto"/>
        <w:ind w:firstLine="720"/>
        <w:jc w:val="both"/>
        <w:rPr>
          <w:sz w:val="24"/>
          <w:szCs w:val="24"/>
        </w:rPr>
      </w:pPr>
      <w:r w:rsidRPr="00A2620B">
        <w:rPr>
          <w:sz w:val="24"/>
          <w:szCs w:val="24"/>
        </w:rPr>
        <w:t xml:space="preserve">AEP Ohio’s contribution to the </w:t>
      </w:r>
      <w:r w:rsidR="005B7DA3">
        <w:rPr>
          <w:sz w:val="24"/>
          <w:szCs w:val="24"/>
        </w:rPr>
        <w:t>s</w:t>
      </w:r>
      <w:r w:rsidRPr="00A2620B">
        <w:rPr>
          <w:sz w:val="24"/>
          <w:szCs w:val="24"/>
        </w:rPr>
        <w:t>tudy’s projected economic stimulus is also exaggerated given that its authors admit those impacts are likely to be realized absent the utility’s participation in the project’s development.</w:t>
      </w:r>
      <w:r w:rsidRPr="00A2620B">
        <w:rPr>
          <w:rStyle w:val="FootnoteReference"/>
          <w:sz w:val="24"/>
          <w:szCs w:val="24"/>
        </w:rPr>
        <w:footnoteReference w:id="160"/>
      </w:r>
      <w:r w:rsidRPr="00A2620B">
        <w:rPr>
          <w:sz w:val="24"/>
          <w:szCs w:val="24"/>
        </w:rPr>
        <w:t xml:space="preserve">  The foundation for AEP Ohio’s proposal is the 20-year REPAs it executed to acquire the energy, capacity, and </w:t>
      </w:r>
      <w:r w:rsidRPr="00A2620B">
        <w:rPr>
          <w:sz w:val="24"/>
          <w:szCs w:val="24"/>
        </w:rPr>
        <w:lastRenderedPageBreak/>
        <w:t>environmental attributes produced by two solar facilities.</w:t>
      </w:r>
      <w:r w:rsidRPr="00A2620B">
        <w:rPr>
          <w:rStyle w:val="FootnoteReference"/>
          <w:sz w:val="24"/>
          <w:szCs w:val="24"/>
        </w:rPr>
        <w:footnoteReference w:id="161"/>
      </w:r>
      <w:r w:rsidRPr="00A2620B">
        <w:rPr>
          <w:sz w:val="24"/>
          <w:szCs w:val="24"/>
        </w:rPr>
        <w:t xml:space="preserve">  The proposed facilities will operate on AEP Ohio’s behalf</w:t>
      </w:r>
      <w:r w:rsidR="00B97858">
        <w:rPr>
          <w:sz w:val="24"/>
          <w:szCs w:val="24"/>
        </w:rPr>
        <w:t>,</w:t>
      </w:r>
      <w:r w:rsidRPr="00A2620B">
        <w:rPr>
          <w:rStyle w:val="FootnoteReference"/>
          <w:sz w:val="24"/>
          <w:szCs w:val="24"/>
        </w:rPr>
        <w:footnoteReference w:id="162"/>
      </w:r>
      <w:r w:rsidR="00B97858">
        <w:rPr>
          <w:sz w:val="24"/>
          <w:szCs w:val="24"/>
        </w:rPr>
        <w:t xml:space="preserve"> </w:t>
      </w:r>
      <w:r w:rsidRPr="00A2620B">
        <w:rPr>
          <w:sz w:val="24"/>
          <w:szCs w:val="24"/>
        </w:rPr>
        <w:t xml:space="preserve">but the construction and maintenance associated with those renewable generation resources shall be performed by third-party solar developers. </w:t>
      </w:r>
    </w:p>
    <w:p w14:paraId="6C5A95F0" w14:textId="77777777" w:rsidR="00DB5D5A" w:rsidRPr="00A2620B" w:rsidRDefault="00DB5D5A" w:rsidP="00DB5D5A">
      <w:pPr>
        <w:spacing w:line="480" w:lineRule="auto"/>
        <w:ind w:firstLine="720"/>
        <w:jc w:val="both"/>
        <w:rPr>
          <w:sz w:val="24"/>
          <w:szCs w:val="24"/>
        </w:rPr>
      </w:pPr>
      <w:r w:rsidRPr="00A2620B">
        <w:rPr>
          <w:sz w:val="24"/>
          <w:szCs w:val="24"/>
        </w:rPr>
        <w:t>It should come as no surprise then that the authors admit the construction jobs that AEP Ohio’s proposal is expected to produce will be realized regardless of whether the utility participates as an is an investor.</w:t>
      </w:r>
      <w:r w:rsidRPr="00A2620B">
        <w:rPr>
          <w:rStyle w:val="FootnoteReference"/>
          <w:sz w:val="24"/>
          <w:szCs w:val="24"/>
        </w:rPr>
        <w:footnoteReference w:id="163"/>
      </w:r>
      <w:r w:rsidRPr="00A2620B">
        <w:rPr>
          <w:sz w:val="24"/>
          <w:szCs w:val="24"/>
        </w:rPr>
        <w:t xml:space="preserve">  The authors also concede that the projected earnings generated from those construction jobs are similarly unrelated to AEP Ohio’s involvement in the development of the solar generation resources.</w:t>
      </w:r>
      <w:r w:rsidRPr="00A2620B">
        <w:rPr>
          <w:rStyle w:val="FootnoteReference"/>
          <w:sz w:val="24"/>
          <w:szCs w:val="24"/>
        </w:rPr>
        <w:footnoteReference w:id="164"/>
      </w:r>
      <w:r w:rsidRPr="00A2620B">
        <w:rPr>
          <w:sz w:val="24"/>
          <w:szCs w:val="24"/>
        </w:rPr>
        <w:t xml:space="preserve">  Likewise, the authors confirm that the tax benefits and permanent employment impacts identified in the Study shall inure to the benefit of Ohioans absent AEP Ohio’s participation.</w:t>
      </w:r>
      <w:r w:rsidRPr="00A2620B">
        <w:rPr>
          <w:rStyle w:val="FootnoteReference"/>
          <w:sz w:val="24"/>
          <w:szCs w:val="24"/>
        </w:rPr>
        <w:footnoteReference w:id="165"/>
      </w:r>
      <w:r w:rsidRPr="00A2620B">
        <w:rPr>
          <w:sz w:val="24"/>
          <w:szCs w:val="24"/>
        </w:rPr>
        <w:t xml:space="preserve">  In short, any perceived benefits that AEP Ohio might offer Ohioans through the development of the solar facilities are illusory and exaggerated.  </w:t>
      </w:r>
    </w:p>
    <w:p w14:paraId="05C8348D" w14:textId="6CB70E2D" w:rsidR="00DB5D5A" w:rsidRPr="007912FC" w:rsidRDefault="00DB5D5A" w:rsidP="00AB43AC">
      <w:pPr>
        <w:spacing w:after="0" w:line="480" w:lineRule="auto"/>
        <w:ind w:firstLine="720"/>
        <w:jc w:val="both"/>
        <w:rPr>
          <w:sz w:val="24"/>
          <w:szCs w:val="24"/>
        </w:rPr>
      </w:pPr>
      <w:r w:rsidRPr="00A2620B">
        <w:rPr>
          <w:sz w:val="24"/>
          <w:szCs w:val="24"/>
        </w:rPr>
        <w:t>AEP Ohio’s Amended LTFR filing concedes that “PJM wholesale markets are adequately supplying capacity and energy to the AEP Ohio load zone.”</w:t>
      </w:r>
      <w:r w:rsidRPr="00A2620B">
        <w:rPr>
          <w:rStyle w:val="FootnoteReference"/>
          <w:sz w:val="24"/>
          <w:szCs w:val="24"/>
        </w:rPr>
        <w:footnoteReference w:id="166"/>
      </w:r>
      <w:r w:rsidRPr="00A2620B">
        <w:rPr>
          <w:sz w:val="24"/>
          <w:szCs w:val="24"/>
        </w:rPr>
        <w:t xml:space="preserve">  To that end, similarly situated competitive markets have encouraged EDUs to develop solar through its unregulated affiliate(s) after finding insufficient need exists to justify the development </w:t>
      </w:r>
      <w:r w:rsidRPr="00A2620B">
        <w:rPr>
          <w:sz w:val="24"/>
          <w:szCs w:val="24"/>
        </w:rPr>
        <w:lastRenderedPageBreak/>
        <w:t>of additional generation facilities using ratepayer dollars.</w:t>
      </w:r>
      <w:r w:rsidRPr="00A2620B">
        <w:rPr>
          <w:rStyle w:val="FootnoteReference"/>
          <w:sz w:val="24"/>
          <w:szCs w:val="24"/>
        </w:rPr>
        <w:footnoteReference w:id="167"/>
      </w:r>
      <w:r w:rsidRPr="00A2620B">
        <w:rPr>
          <w:sz w:val="24"/>
          <w:szCs w:val="24"/>
        </w:rPr>
        <w:t xml:space="preserve">  The results of the </w:t>
      </w:r>
      <w:r w:rsidR="005B7DA3">
        <w:rPr>
          <w:sz w:val="24"/>
          <w:szCs w:val="24"/>
        </w:rPr>
        <w:t>s</w:t>
      </w:r>
      <w:r w:rsidRPr="00A2620B">
        <w:rPr>
          <w:sz w:val="24"/>
          <w:szCs w:val="24"/>
        </w:rPr>
        <w:t xml:space="preserve">tudy make clear that certain deregulated AEP Ohio affiliates such as AEP Energy Partners, AEP </w:t>
      </w:r>
      <w:proofErr w:type="spellStart"/>
      <w:r w:rsidRPr="00A2620B">
        <w:rPr>
          <w:sz w:val="24"/>
          <w:szCs w:val="24"/>
        </w:rPr>
        <w:t>OnSite</w:t>
      </w:r>
      <w:proofErr w:type="spellEnd"/>
      <w:r w:rsidRPr="00A2620B">
        <w:rPr>
          <w:sz w:val="24"/>
          <w:szCs w:val="24"/>
        </w:rPr>
        <w:t xml:space="preserve"> Partners, AEP Renewables</w:t>
      </w:r>
      <w:r w:rsidR="00864ED2">
        <w:rPr>
          <w:sz w:val="24"/>
          <w:szCs w:val="24"/>
        </w:rPr>
        <w:t>, or another unaffiliated entity</w:t>
      </w:r>
      <w:r w:rsidRPr="00A2620B">
        <w:rPr>
          <w:sz w:val="24"/>
          <w:szCs w:val="24"/>
        </w:rPr>
        <w:t xml:space="preserve"> can provide the same, or similar, economic and fiscal benefits through renewable development absent the use of ratepayer dollars to subsidize generation development costs.  Accordingly, AEP Ohio’s contribution to the </w:t>
      </w:r>
      <w:r w:rsidR="00637991">
        <w:rPr>
          <w:sz w:val="24"/>
          <w:szCs w:val="24"/>
        </w:rPr>
        <w:t>s</w:t>
      </w:r>
      <w:r w:rsidRPr="00A2620B">
        <w:rPr>
          <w:sz w:val="24"/>
          <w:szCs w:val="24"/>
        </w:rPr>
        <w:t xml:space="preserve">tudy’s projected economic stimulus should </w:t>
      </w:r>
      <w:r w:rsidR="00AB43AC">
        <w:rPr>
          <w:sz w:val="24"/>
          <w:szCs w:val="24"/>
        </w:rPr>
        <w:t>be given no weight</w:t>
      </w:r>
      <w:r w:rsidR="00637991">
        <w:rPr>
          <w:sz w:val="24"/>
          <w:szCs w:val="24"/>
        </w:rPr>
        <w:t>.</w:t>
      </w:r>
    </w:p>
    <w:p w14:paraId="21F96230" w14:textId="77777777" w:rsidR="003C0FE1" w:rsidRPr="00637991" w:rsidRDefault="0070286C" w:rsidP="00AB43AC">
      <w:pPr>
        <w:pStyle w:val="ListParagraph"/>
        <w:numPr>
          <w:ilvl w:val="0"/>
          <w:numId w:val="3"/>
        </w:numPr>
        <w:tabs>
          <w:tab w:val="left" w:pos="360"/>
        </w:tabs>
        <w:spacing w:after="0" w:line="240" w:lineRule="auto"/>
        <w:jc w:val="both"/>
        <w:rPr>
          <w:sz w:val="24"/>
          <w:szCs w:val="24"/>
        </w:rPr>
      </w:pPr>
      <w:r w:rsidRPr="00B428D9">
        <w:rPr>
          <w:b/>
          <w:sz w:val="24"/>
          <w:szCs w:val="24"/>
        </w:rPr>
        <w:t xml:space="preserve">AEP Ohio’s </w:t>
      </w:r>
      <w:proofErr w:type="gramStart"/>
      <w:r w:rsidRPr="00B428D9">
        <w:rPr>
          <w:b/>
          <w:sz w:val="24"/>
          <w:szCs w:val="24"/>
        </w:rPr>
        <w:t>third party</w:t>
      </w:r>
      <w:proofErr w:type="gramEnd"/>
      <w:r w:rsidRPr="00B428D9">
        <w:rPr>
          <w:b/>
          <w:sz w:val="24"/>
          <w:szCs w:val="24"/>
        </w:rPr>
        <w:t xml:space="preserve"> projections of solar costs favor letting the market work</w:t>
      </w:r>
    </w:p>
    <w:p w14:paraId="1D08E3F4" w14:textId="77777777" w:rsidR="00637991" w:rsidRPr="00B428D9" w:rsidRDefault="00637991" w:rsidP="00AB43AC">
      <w:pPr>
        <w:pStyle w:val="ListParagraph"/>
        <w:tabs>
          <w:tab w:val="left" w:pos="360"/>
        </w:tabs>
        <w:spacing w:after="0" w:line="240" w:lineRule="auto"/>
        <w:ind w:left="1800"/>
        <w:jc w:val="both"/>
        <w:rPr>
          <w:sz w:val="24"/>
          <w:szCs w:val="24"/>
        </w:rPr>
      </w:pPr>
    </w:p>
    <w:p w14:paraId="569035A3" w14:textId="792B024B" w:rsidR="0070286C" w:rsidRDefault="0070286C" w:rsidP="00AB43AC">
      <w:pPr>
        <w:tabs>
          <w:tab w:val="left" w:pos="360"/>
        </w:tabs>
        <w:spacing w:after="0" w:line="480" w:lineRule="auto"/>
        <w:jc w:val="both"/>
        <w:rPr>
          <w:sz w:val="24"/>
          <w:szCs w:val="24"/>
        </w:rPr>
      </w:pPr>
      <w:r>
        <w:rPr>
          <w:b/>
          <w:sz w:val="24"/>
          <w:szCs w:val="24"/>
        </w:rPr>
        <w:tab/>
      </w:r>
      <w:r>
        <w:rPr>
          <w:b/>
          <w:sz w:val="24"/>
          <w:szCs w:val="24"/>
        </w:rPr>
        <w:tab/>
      </w:r>
      <w:r>
        <w:rPr>
          <w:sz w:val="24"/>
          <w:szCs w:val="24"/>
        </w:rPr>
        <w:t>AEP Ohio concedes that, even under its own optimistic forecast of power prices, its proposal will cost customers money for several years.</w:t>
      </w:r>
      <w:r w:rsidR="007E678B">
        <w:rPr>
          <w:rStyle w:val="FootnoteReference"/>
          <w:sz w:val="24"/>
          <w:szCs w:val="24"/>
        </w:rPr>
        <w:footnoteReference w:id="168"/>
      </w:r>
      <w:r>
        <w:rPr>
          <w:sz w:val="24"/>
          <w:szCs w:val="24"/>
        </w:rPr>
        <w:t xml:space="preserve">  But AEP Ohio urges the Commission to rush to authorize its request because the Investment Tax Credit and  Production Tax Credit are being phased out over time.</w:t>
      </w:r>
      <w:r w:rsidR="007E678B">
        <w:rPr>
          <w:rStyle w:val="FootnoteReference"/>
          <w:sz w:val="24"/>
          <w:szCs w:val="24"/>
        </w:rPr>
        <w:footnoteReference w:id="169"/>
      </w:r>
      <w:r>
        <w:rPr>
          <w:sz w:val="24"/>
          <w:szCs w:val="24"/>
        </w:rPr>
        <w:t xml:space="preserve">  As a result, AEP Ohio claims that the cost of construction of renewable energy resources will only go up; therefore, the Commission must act now.  The Commission should not fall for AEP Ohio’s fear mongering, given that its argument is contradicted by evidence that it presented in its own direct case. </w:t>
      </w:r>
    </w:p>
    <w:p w14:paraId="5F3F09C4" w14:textId="27E674D4" w:rsidR="0070286C" w:rsidRPr="0070286C" w:rsidRDefault="0070286C" w:rsidP="0070286C">
      <w:pPr>
        <w:tabs>
          <w:tab w:val="left" w:pos="360"/>
        </w:tabs>
        <w:spacing w:after="0" w:line="480" w:lineRule="auto"/>
        <w:jc w:val="both"/>
        <w:rPr>
          <w:sz w:val="24"/>
          <w:szCs w:val="24"/>
        </w:rPr>
      </w:pPr>
      <w:r>
        <w:rPr>
          <w:sz w:val="24"/>
          <w:szCs w:val="24"/>
        </w:rPr>
        <w:tab/>
      </w:r>
      <w:r w:rsidR="00E47911">
        <w:rPr>
          <w:sz w:val="24"/>
          <w:szCs w:val="24"/>
        </w:rPr>
        <w:tab/>
      </w:r>
      <w:r>
        <w:rPr>
          <w:sz w:val="24"/>
          <w:szCs w:val="24"/>
        </w:rPr>
        <w:t xml:space="preserve">Specifically, AEP Ohio witness </w:t>
      </w:r>
      <w:proofErr w:type="spellStart"/>
      <w:r>
        <w:rPr>
          <w:sz w:val="24"/>
          <w:szCs w:val="24"/>
        </w:rPr>
        <w:t>Torpey</w:t>
      </w:r>
      <w:proofErr w:type="spellEnd"/>
      <w:r>
        <w:rPr>
          <w:sz w:val="24"/>
          <w:szCs w:val="24"/>
        </w:rPr>
        <w:t xml:space="preserve"> identified that</w:t>
      </w:r>
      <w:r w:rsidR="00E47911">
        <w:rPr>
          <w:sz w:val="24"/>
          <w:szCs w:val="24"/>
        </w:rPr>
        <w:t xml:space="preserve"> solar prices are falling like a stone</w:t>
      </w:r>
      <w:r w:rsidR="00AF0226">
        <w:rPr>
          <w:sz w:val="24"/>
          <w:szCs w:val="24"/>
        </w:rPr>
        <w:t xml:space="preserve"> and that trend is expected to continue. R</w:t>
      </w:r>
      <w:r>
        <w:rPr>
          <w:sz w:val="24"/>
          <w:szCs w:val="24"/>
        </w:rPr>
        <w:t xml:space="preserve">esidential solar photovoltaic costs are projected to be </w:t>
      </w:r>
      <w:r>
        <w:rPr>
          <w:b/>
          <w:sz w:val="24"/>
          <w:szCs w:val="24"/>
          <w:u w:val="single"/>
        </w:rPr>
        <w:t xml:space="preserve">half of what they are today around the </w:t>
      </w:r>
      <w:proofErr w:type="gramStart"/>
      <w:r>
        <w:rPr>
          <w:b/>
          <w:sz w:val="24"/>
          <w:szCs w:val="24"/>
          <w:u w:val="single"/>
        </w:rPr>
        <w:t>2021/2022 time</w:t>
      </w:r>
      <w:proofErr w:type="gramEnd"/>
      <w:r>
        <w:rPr>
          <w:b/>
          <w:sz w:val="24"/>
          <w:szCs w:val="24"/>
          <w:u w:val="single"/>
        </w:rPr>
        <w:t xml:space="preserve"> frame</w:t>
      </w:r>
      <w:r w:rsidRPr="00F01355">
        <w:rPr>
          <w:sz w:val="24"/>
          <w:szCs w:val="24"/>
        </w:rPr>
        <w:t>.</w:t>
      </w:r>
      <w:r w:rsidR="00AF0226">
        <w:rPr>
          <w:rStyle w:val="FootnoteReference"/>
          <w:sz w:val="24"/>
          <w:szCs w:val="24"/>
        </w:rPr>
        <w:footnoteReference w:id="170"/>
      </w:r>
      <w:r w:rsidRPr="00F01355">
        <w:rPr>
          <w:sz w:val="24"/>
          <w:szCs w:val="24"/>
        </w:rPr>
        <w:t xml:space="preserve"> </w:t>
      </w:r>
    </w:p>
    <w:p w14:paraId="67EC1194" w14:textId="37AD04E6" w:rsidR="00CB36C9" w:rsidRDefault="00BC049E" w:rsidP="00A0211C">
      <w:pPr>
        <w:tabs>
          <w:tab w:val="left" w:pos="360"/>
        </w:tabs>
        <w:spacing w:after="0" w:line="480" w:lineRule="auto"/>
        <w:jc w:val="both"/>
        <w:rPr>
          <w:sz w:val="24"/>
          <w:szCs w:val="24"/>
        </w:rPr>
      </w:pPr>
      <w:r>
        <w:rPr>
          <w:sz w:val="24"/>
          <w:szCs w:val="24"/>
        </w:rPr>
        <w:lastRenderedPageBreak/>
        <w:tab/>
      </w:r>
      <w:r w:rsidR="005D3719" w:rsidRPr="005D3719">
        <w:rPr>
          <w:noProof/>
          <w:sz w:val="24"/>
          <w:szCs w:val="24"/>
        </w:rPr>
        <w:drawing>
          <wp:inline distT="0" distB="0" distL="0" distR="0" wp14:anchorId="4F1EF885" wp14:editId="07777777">
            <wp:extent cx="5553075" cy="3695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3695700"/>
                    </a:xfrm>
                    <a:prstGeom prst="rect">
                      <a:avLst/>
                    </a:prstGeom>
                    <a:noFill/>
                    <a:ln>
                      <a:noFill/>
                    </a:ln>
                  </pic:spPr>
                </pic:pic>
              </a:graphicData>
            </a:graphic>
          </wp:inline>
        </w:drawing>
      </w:r>
    </w:p>
    <w:p w14:paraId="4B0F6643" w14:textId="03A1B97C" w:rsidR="00D67D86" w:rsidRDefault="00CB36C9" w:rsidP="00A0211C">
      <w:pPr>
        <w:tabs>
          <w:tab w:val="left" w:pos="360"/>
        </w:tabs>
        <w:spacing w:after="0" w:line="480" w:lineRule="auto"/>
        <w:jc w:val="both"/>
        <w:rPr>
          <w:sz w:val="24"/>
          <w:szCs w:val="24"/>
        </w:rPr>
      </w:pPr>
      <w:r>
        <w:rPr>
          <w:sz w:val="24"/>
          <w:szCs w:val="24"/>
        </w:rPr>
        <w:t>More recent projections of solar prices</w:t>
      </w:r>
      <w:r w:rsidR="00D47B1D">
        <w:rPr>
          <w:sz w:val="24"/>
          <w:szCs w:val="24"/>
        </w:rPr>
        <w:t xml:space="preserve"> provided by AEP Ohio in another state</w:t>
      </w:r>
      <w:r w:rsidR="002946EF">
        <w:rPr>
          <w:sz w:val="24"/>
          <w:szCs w:val="24"/>
        </w:rPr>
        <w:t xml:space="preserve"> projects</w:t>
      </w:r>
      <w:r w:rsidR="00D47B1D">
        <w:rPr>
          <w:sz w:val="24"/>
          <w:szCs w:val="24"/>
        </w:rPr>
        <w:t xml:space="preserve"> that </w:t>
      </w:r>
      <w:r w:rsidR="002946EF">
        <w:rPr>
          <w:sz w:val="24"/>
          <w:szCs w:val="24"/>
        </w:rPr>
        <w:t xml:space="preserve">residential solar installed costs in 2022 will be $1.50 per watt, which is </w:t>
      </w:r>
      <w:r w:rsidR="00F7797A">
        <w:rPr>
          <w:sz w:val="24"/>
          <w:szCs w:val="24"/>
        </w:rPr>
        <w:t>even cheaper</w:t>
      </w:r>
      <w:r w:rsidR="002946EF">
        <w:rPr>
          <w:sz w:val="24"/>
          <w:szCs w:val="24"/>
        </w:rPr>
        <w:t xml:space="preserve"> than the </w:t>
      </w:r>
      <w:r w:rsidR="00F7797A">
        <w:rPr>
          <w:sz w:val="24"/>
          <w:szCs w:val="24"/>
        </w:rPr>
        <w:t xml:space="preserve">large scale solar projections </w:t>
      </w:r>
      <w:r w:rsidR="00651E93">
        <w:rPr>
          <w:sz w:val="24"/>
          <w:szCs w:val="24"/>
        </w:rPr>
        <w:t>identified above.</w:t>
      </w:r>
      <w:r w:rsidR="00A96E37">
        <w:rPr>
          <w:rStyle w:val="FootnoteReference"/>
          <w:sz w:val="24"/>
          <w:szCs w:val="24"/>
        </w:rPr>
        <w:footnoteReference w:id="171"/>
      </w:r>
      <w:r w:rsidR="00651E93">
        <w:rPr>
          <w:sz w:val="24"/>
          <w:szCs w:val="24"/>
        </w:rPr>
        <w:t xml:space="preserve">  Given the declining </w:t>
      </w:r>
      <w:r w:rsidR="002A52ED">
        <w:rPr>
          <w:sz w:val="24"/>
          <w:szCs w:val="24"/>
        </w:rPr>
        <w:t>price of solar,</w:t>
      </w:r>
      <w:r w:rsidR="00D67D86">
        <w:rPr>
          <w:sz w:val="24"/>
          <w:szCs w:val="24"/>
        </w:rPr>
        <w:t xml:space="preserve"> on cross-examination, AEP Ohio co</w:t>
      </w:r>
      <w:r w:rsidR="00593E3B">
        <w:rPr>
          <w:sz w:val="24"/>
          <w:szCs w:val="24"/>
        </w:rPr>
        <w:t xml:space="preserve">nceded that </w:t>
      </w:r>
      <w:r w:rsidR="00937A29">
        <w:rPr>
          <w:sz w:val="24"/>
          <w:szCs w:val="24"/>
        </w:rPr>
        <w:t>it</w:t>
      </w:r>
      <w:r w:rsidR="00D67D86">
        <w:rPr>
          <w:sz w:val="24"/>
          <w:szCs w:val="24"/>
        </w:rPr>
        <w:t xml:space="preserve"> could</w:t>
      </w:r>
      <w:r w:rsidR="002A52ED">
        <w:rPr>
          <w:sz w:val="24"/>
          <w:szCs w:val="24"/>
        </w:rPr>
        <w:t xml:space="preserve"> provide</w:t>
      </w:r>
      <w:r w:rsidR="00D67D86">
        <w:rPr>
          <w:sz w:val="24"/>
          <w:szCs w:val="24"/>
        </w:rPr>
        <w:t xml:space="preserve"> </w:t>
      </w:r>
      <w:r w:rsidR="0040488D">
        <w:rPr>
          <w:sz w:val="24"/>
          <w:szCs w:val="24"/>
        </w:rPr>
        <w:t>higher present value savings for</w:t>
      </w:r>
      <w:r w:rsidR="00D67D86">
        <w:rPr>
          <w:sz w:val="24"/>
          <w:szCs w:val="24"/>
        </w:rPr>
        <w:t xml:space="preserve"> </w:t>
      </w:r>
      <w:r w:rsidR="0040488D">
        <w:rPr>
          <w:sz w:val="24"/>
          <w:szCs w:val="24"/>
        </w:rPr>
        <w:t>customers</w:t>
      </w:r>
      <w:r w:rsidR="00A96E37" w:rsidRPr="00A96E37">
        <w:t xml:space="preserve"> </w:t>
      </w:r>
      <w:r w:rsidR="00A96E37">
        <w:rPr>
          <w:sz w:val="24"/>
          <w:szCs w:val="24"/>
        </w:rPr>
        <w:t xml:space="preserve">if it </w:t>
      </w:r>
      <w:r w:rsidR="00A96E37" w:rsidRPr="00A96E37">
        <w:rPr>
          <w:sz w:val="24"/>
          <w:szCs w:val="24"/>
        </w:rPr>
        <w:t>wait</w:t>
      </w:r>
      <w:r w:rsidR="00A96E37">
        <w:rPr>
          <w:sz w:val="24"/>
          <w:szCs w:val="24"/>
        </w:rPr>
        <w:t>ed to execute</w:t>
      </w:r>
      <w:r w:rsidR="00AB44D7">
        <w:rPr>
          <w:sz w:val="24"/>
          <w:szCs w:val="24"/>
        </w:rPr>
        <w:t xml:space="preserve"> </w:t>
      </w:r>
      <w:r w:rsidR="00A96E37">
        <w:rPr>
          <w:sz w:val="24"/>
          <w:szCs w:val="24"/>
        </w:rPr>
        <w:t xml:space="preserve">the </w:t>
      </w:r>
      <w:r w:rsidR="00AB44D7">
        <w:rPr>
          <w:sz w:val="24"/>
          <w:szCs w:val="24"/>
        </w:rPr>
        <w:t>REPA</w:t>
      </w:r>
      <w:r w:rsidR="00A96E37">
        <w:rPr>
          <w:sz w:val="24"/>
          <w:szCs w:val="24"/>
        </w:rPr>
        <w:t>s u</w:t>
      </w:r>
      <w:r w:rsidR="00B5092B">
        <w:rPr>
          <w:sz w:val="24"/>
          <w:szCs w:val="24"/>
        </w:rPr>
        <w:t>ntil power prices do</w:t>
      </w:r>
      <w:r w:rsidR="007153B7">
        <w:rPr>
          <w:sz w:val="24"/>
          <w:szCs w:val="24"/>
        </w:rPr>
        <w:t xml:space="preserve"> in fact</w:t>
      </w:r>
      <w:r w:rsidR="00A96E37">
        <w:rPr>
          <w:sz w:val="24"/>
          <w:szCs w:val="24"/>
        </w:rPr>
        <w:t xml:space="preserve"> increase</w:t>
      </w:r>
      <w:r w:rsidR="00AB44D7">
        <w:rPr>
          <w:sz w:val="24"/>
          <w:szCs w:val="24"/>
        </w:rPr>
        <w:t>.</w:t>
      </w:r>
      <w:r w:rsidR="00E603BC">
        <w:rPr>
          <w:rStyle w:val="FootnoteReference"/>
          <w:sz w:val="24"/>
          <w:szCs w:val="24"/>
        </w:rPr>
        <w:footnoteReference w:id="172"/>
      </w:r>
      <w:r w:rsidR="002A52ED">
        <w:rPr>
          <w:sz w:val="24"/>
          <w:szCs w:val="24"/>
        </w:rPr>
        <w:t xml:space="preserve"> </w:t>
      </w:r>
    </w:p>
    <w:p w14:paraId="35C096D8" w14:textId="1012300F" w:rsidR="005D3719" w:rsidRDefault="00E603BC" w:rsidP="00A0211C">
      <w:pPr>
        <w:tabs>
          <w:tab w:val="left" w:pos="360"/>
        </w:tabs>
        <w:spacing w:after="0" w:line="480" w:lineRule="auto"/>
        <w:jc w:val="both"/>
        <w:rPr>
          <w:sz w:val="24"/>
          <w:szCs w:val="24"/>
        </w:rPr>
      </w:pPr>
      <w:r>
        <w:rPr>
          <w:sz w:val="24"/>
          <w:szCs w:val="24"/>
        </w:rPr>
        <w:tab/>
      </w:r>
      <w:r>
        <w:rPr>
          <w:sz w:val="24"/>
          <w:szCs w:val="24"/>
        </w:rPr>
        <w:tab/>
      </w:r>
      <w:r w:rsidR="00E47911">
        <w:rPr>
          <w:sz w:val="24"/>
          <w:szCs w:val="24"/>
        </w:rPr>
        <w:t>A</w:t>
      </w:r>
      <w:r w:rsidR="00F01355">
        <w:rPr>
          <w:sz w:val="24"/>
          <w:szCs w:val="24"/>
        </w:rPr>
        <w:t>lthough a large portion of AEP Ohio’s case focuses on the advantages of economies of scale and its proposal, the cost difference between constructing large-scale solar and residential rooftop solar is projected to compress significantly</w:t>
      </w:r>
      <w:r w:rsidR="00B5092B">
        <w:rPr>
          <w:sz w:val="24"/>
          <w:szCs w:val="24"/>
        </w:rPr>
        <w:t xml:space="preserve">—and even more </w:t>
      </w:r>
      <w:r w:rsidR="00B5092B">
        <w:rPr>
          <w:sz w:val="24"/>
          <w:szCs w:val="24"/>
        </w:rPr>
        <w:lastRenderedPageBreak/>
        <w:t>so in AEP Ohio’s most recent analysis.</w:t>
      </w:r>
      <w:r w:rsidR="00B5092B">
        <w:rPr>
          <w:rStyle w:val="FootnoteReference"/>
          <w:sz w:val="24"/>
          <w:szCs w:val="24"/>
        </w:rPr>
        <w:footnoteReference w:id="173"/>
      </w:r>
      <w:r w:rsidR="00930579">
        <w:rPr>
          <w:sz w:val="24"/>
          <w:szCs w:val="24"/>
        </w:rPr>
        <w:t xml:space="preserve"> Generally, smaller solar projects result in more jobs per MW installed.</w:t>
      </w:r>
      <w:r w:rsidR="00930579">
        <w:rPr>
          <w:rStyle w:val="FootnoteReference"/>
          <w:sz w:val="24"/>
          <w:szCs w:val="24"/>
        </w:rPr>
        <w:footnoteReference w:id="174"/>
      </w:r>
      <w:r w:rsidR="00D9358D">
        <w:rPr>
          <w:sz w:val="24"/>
          <w:szCs w:val="24"/>
        </w:rPr>
        <w:t xml:space="preserve">  </w:t>
      </w:r>
    </w:p>
    <w:p w14:paraId="56ED65F7" w14:textId="28B4299B" w:rsidR="00BF5097" w:rsidRDefault="005D3719" w:rsidP="005D3719">
      <w:pPr>
        <w:tabs>
          <w:tab w:val="left" w:pos="360"/>
        </w:tabs>
        <w:spacing w:after="0" w:line="480" w:lineRule="auto"/>
        <w:jc w:val="both"/>
        <w:rPr>
          <w:sz w:val="24"/>
          <w:szCs w:val="24"/>
        </w:rPr>
      </w:pPr>
      <w:r>
        <w:rPr>
          <w:sz w:val="24"/>
          <w:szCs w:val="24"/>
        </w:rPr>
        <w:tab/>
      </w:r>
      <w:r>
        <w:rPr>
          <w:sz w:val="24"/>
          <w:szCs w:val="24"/>
        </w:rPr>
        <w:tab/>
        <w:t xml:space="preserve">Moreover, there are economic advantages to behind the meter generation that are wholly absent from large scale generation. </w:t>
      </w:r>
      <w:r w:rsidR="00F01355">
        <w:rPr>
          <w:sz w:val="24"/>
          <w:szCs w:val="24"/>
        </w:rPr>
        <w:t xml:space="preserve"> </w:t>
      </w:r>
      <w:r>
        <w:rPr>
          <w:sz w:val="24"/>
          <w:szCs w:val="24"/>
        </w:rPr>
        <w:t>As IGS witness Rever testified,</w:t>
      </w:r>
      <w:r w:rsidR="00F01355">
        <w:rPr>
          <w:sz w:val="24"/>
          <w:szCs w:val="24"/>
        </w:rPr>
        <w:t xml:space="preserve"> </w:t>
      </w:r>
      <w:r>
        <w:rPr>
          <w:sz w:val="24"/>
          <w:szCs w:val="24"/>
        </w:rPr>
        <w:t>“</w:t>
      </w:r>
      <w:r w:rsidRPr="005D3719">
        <w:rPr>
          <w:sz w:val="24"/>
          <w:szCs w:val="24"/>
        </w:rPr>
        <w:t>customer-sited behind the meter solar is both connected to the</w:t>
      </w:r>
      <w:r>
        <w:rPr>
          <w:sz w:val="24"/>
          <w:szCs w:val="24"/>
        </w:rPr>
        <w:t xml:space="preserve"> </w:t>
      </w:r>
      <w:r w:rsidRPr="005D3719">
        <w:rPr>
          <w:sz w:val="24"/>
          <w:szCs w:val="24"/>
        </w:rPr>
        <w:t>distribution system and co-located with load, it provides certain benefits that</w:t>
      </w:r>
      <w:r>
        <w:rPr>
          <w:sz w:val="24"/>
          <w:szCs w:val="24"/>
        </w:rPr>
        <w:t xml:space="preserve"> </w:t>
      </w:r>
      <w:r w:rsidRPr="005D3719">
        <w:rPr>
          <w:sz w:val="24"/>
          <w:szCs w:val="24"/>
        </w:rPr>
        <w:t>transmission-sited solar does not bring, particularly in the area of avoided</w:t>
      </w:r>
      <w:r>
        <w:rPr>
          <w:sz w:val="24"/>
          <w:szCs w:val="24"/>
        </w:rPr>
        <w:t xml:space="preserve"> </w:t>
      </w:r>
      <w:r w:rsidRPr="005D3719">
        <w:rPr>
          <w:sz w:val="24"/>
          <w:szCs w:val="24"/>
        </w:rPr>
        <w:t>distribution expenses.</w:t>
      </w:r>
      <w:r>
        <w:rPr>
          <w:sz w:val="24"/>
          <w:szCs w:val="24"/>
        </w:rPr>
        <w:t>”</w:t>
      </w:r>
      <w:r>
        <w:rPr>
          <w:rStyle w:val="FootnoteReference"/>
          <w:sz w:val="24"/>
          <w:szCs w:val="24"/>
        </w:rPr>
        <w:footnoteReference w:id="175"/>
      </w:r>
      <w:r w:rsidR="00BF5097">
        <w:rPr>
          <w:sz w:val="24"/>
          <w:szCs w:val="24"/>
        </w:rPr>
        <w:t xml:space="preserve">  Moreover, behind the meter generation enables a customer to indirectly obtain value from the PJM capacity market.  If behind the meter generation is operating during the 5 PJM coincident peak hours, it will reduce a customer’s peak load contribution on a one to one basis.</w:t>
      </w:r>
      <w:r w:rsidR="00B5092B">
        <w:rPr>
          <w:rStyle w:val="FootnoteReference"/>
          <w:sz w:val="24"/>
          <w:szCs w:val="24"/>
        </w:rPr>
        <w:footnoteReference w:id="176"/>
      </w:r>
      <w:r w:rsidR="00BF5097">
        <w:rPr>
          <w:sz w:val="24"/>
          <w:szCs w:val="24"/>
        </w:rPr>
        <w:t xml:space="preserve">  On the other hand, </w:t>
      </w:r>
      <w:proofErr w:type="gramStart"/>
      <w:r w:rsidR="00BF5097">
        <w:rPr>
          <w:sz w:val="24"/>
          <w:szCs w:val="24"/>
        </w:rPr>
        <w:t>in order to</w:t>
      </w:r>
      <w:proofErr w:type="gramEnd"/>
      <w:r w:rsidR="00BF5097">
        <w:rPr>
          <w:sz w:val="24"/>
          <w:szCs w:val="24"/>
        </w:rPr>
        <w:t xml:space="preserve"> directly participate in the PJM capacity market, a renewable generation resource must significantly </w:t>
      </w:r>
      <w:proofErr w:type="spellStart"/>
      <w:r w:rsidR="00BF5097">
        <w:rPr>
          <w:sz w:val="24"/>
          <w:szCs w:val="24"/>
        </w:rPr>
        <w:t>derate</w:t>
      </w:r>
      <w:proofErr w:type="spellEnd"/>
      <w:r w:rsidR="00BF5097">
        <w:rPr>
          <w:sz w:val="24"/>
          <w:szCs w:val="24"/>
        </w:rPr>
        <w:t xml:space="preserve"> their biddable capacity to mitigate the risk associated with capacity performance penalties.  Thus, while AEP Ohio assumes that solar may only bid 19% of nameplate capacity into the capacity auction and 5% of wind nameplate capacity, behind the meter generation may reduce a customer’s peak load contribution by up to 100% of nameplate capacity.</w:t>
      </w:r>
      <w:r w:rsidR="00F849FD">
        <w:rPr>
          <w:rStyle w:val="FootnoteReference"/>
          <w:sz w:val="24"/>
          <w:szCs w:val="24"/>
        </w:rPr>
        <w:footnoteReference w:id="177"/>
      </w:r>
      <w:r w:rsidR="00BF5097">
        <w:rPr>
          <w:sz w:val="24"/>
          <w:szCs w:val="24"/>
        </w:rPr>
        <w:t xml:space="preserve">  Consequently, behind the meter generation provides customer benefits from a capacity perspective that are otherwise unavailable from in front of the meter large scale generation.</w:t>
      </w:r>
      <w:r w:rsidR="00472269">
        <w:rPr>
          <w:rStyle w:val="FootnoteReference"/>
          <w:sz w:val="24"/>
          <w:szCs w:val="24"/>
        </w:rPr>
        <w:footnoteReference w:id="178"/>
      </w:r>
      <w:r w:rsidR="00BF5097">
        <w:rPr>
          <w:sz w:val="24"/>
          <w:szCs w:val="24"/>
        </w:rPr>
        <w:t xml:space="preserve">  </w:t>
      </w:r>
    </w:p>
    <w:p w14:paraId="4D0E12D4" w14:textId="55094A47" w:rsidR="00426ED3" w:rsidRDefault="00426ED3" w:rsidP="005D3719">
      <w:pPr>
        <w:tabs>
          <w:tab w:val="left" w:pos="360"/>
        </w:tabs>
        <w:spacing w:after="0" w:line="480" w:lineRule="auto"/>
        <w:jc w:val="both"/>
        <w:rPr>
          <w:sz w:val="24"/>
          <w:szCs w:val="24"/>
        </w:rPr>
      </w:pPr>
      <w:r>
        <w:rPr>
          <w:sz w:val="24"/>
          <w:szCs w:val="24"/>
        </w:rPr>
        <w:lastRenderedPageBreak/>
        <w:tab/>
      </w:r>
      <w:r>
        <w:rPr>
          <w:sz w:val="24"/>
          <w:szCs w:val="24"/>
        </w:rPr>
        <w:tab/>
        <w:t xml:space="preserve">Moreover, the evidence suggest that </w:t>
      </w:r>
      <w:r w:rsidR="00874F5A">
        <w:rPr>
          <w:sz w:val="24"/>
          <w:szCs w:val="24"/>
        </w:rPr>
        <w:t xml:space="preserve">the competitive development of renewable energy will bring many jobs to Ohio.  Indeed, competition has been highly successful in that respect.  IGS alone employs </w:t>
      </w:r>
      <w:r w:rsidR="000925C4">
        <w:rPr>
          <w:sz w:val="24"/>
          <w:szCs w:val="24"/>
        </w:rPr>
        <w:t>over</w:t>
      </w:r>
      <w:r w:rsidR="00874F5A">
        <w:rPr>
          <w:sz w:val="24"/>
          <w:szCs w:val="24"/>
        </w:rPr>
        <w:t xml:space="preserve"> </w:t>
      </w:r>
      <w:r w:rsidR="001052B7">
        <w:rPr>
          <w:sz w:val="24"/>
          <w:szCs w:val="24"/>
        </w:rPr>
        <w:t>7</w:t>
      </w:r>
      <w:r w:rsidR="00874F5A">
        <w:rPr>
          <w:sz w:val="24"/>
          <w:szCs w:val="24"/>
        </w:rPr>
        <w:t xml:space="preserve">00 individuals </w:t>
      </w:r>
      <w:r w:rsidR="001052B7">
        <w:rPr>
          <w:sz w:val="24"/>
          <w:szCs w:val="24"/>
        </w:rPr>
        <w:t>in Ohio</w:t>
      </w:r>
      <w:r w:rsidR="000935F3">
        <w:rPr>
          <w:sz w:val="24"/>
          <w:szCs w:val="24"/>
        </w:rPr>
        <w:t>.</w:t>
      </w:r>
      <w:r w:rsidR="000925C4">
        <w:rPr>
          <w:rStyle w:val="FootnoteReference"/>
          <w:sz w:val="24"/>
          <w:szCs w:val="24"/>
        </w:rPr>
        <w:footnoteReference w:id="179"/>
      </w:r>
      <w:r w:rsidR="000935F3">
        <w:rPr>
          <w:sz w:val="24"/>
          <w:szCs w:val="24"/>
        </w:rPr>
        <w:t xml:space="preserve">  IGS had achieved this success and undoubted economic stimulus within the AEP service territory without saddling AEP Ohio’s customers with</w:t>
      </w:r>
      <w:r w:rsidR="00CC06A4">
        <w:rPr>
          <w:sz w:val="24"/>
          <w:szCs w:val="24"/>
        </w:rPr>
        <w:t xml:space="preserve"> non-</w:t>
      </w:r>
      <w:proofErr w:type="spellStart"/>
      <w:r w:rsidR="00CC06A4">
        <w:rPr>
          <w:sz w:val="24"/>
          <w:szCs w:val="24"/>
        </w:rPr>
        <w:t>bypassable</w:t>
      </w:r>
      <w:proofErr w:type="spellEnd"/>
      <w:r w:rsidR="00CC06A4">
        <w:rPr>
          <w:sz w:val="24"/>
          <w:szCs w:val="24"/>
        </w:rPr>
        <w:t xml:space="preserve"> charges. </w:t>
      </w:r>
    </w:p>
    <w:p w14:paraId="78CA0756" w14:textId="747154A6" w:rsidR="00CC06A4" w:rsidRDefault="00CC06A4" w:rsidP="005D3719">
      <w:pPr>
        <w:tabs>
          <w:tab w:val="left" w:pos="360"/>
        </w:tabs>
        <w:spacing w:after="0" w:line="480" w:lineRule="auto"/>
        <w:jc w:val="both"/>
        <w:rPr>
          <w:sz w:val="24"/>
          <w:szCs w:val="24"/>
        </w:rPr>
      </w:pPr>
      <w:r>
        <w:rPr>
          <w:sz w:val="24"/>
          <w:szCs w:val="24"/>
        </w:rPr>
        <w:tab/>
      </w:r>
      <w:r>
        <w:rPr>
          <w:sz w:val="24"/>
          <w:szCs w:val="24"/>
        </w:rPr>
        <w:tab/>
        <w:t xml:space="preserve">IGS, moreover, is rapidly expanding IGS Solar’s operations and is on pace to </w:t>
      </w:r>
      <w:r w:rsidR="00AF058F">
        <w:rPr>
          <w:sz w:val="24"/>
          <w:szCs w:val="24"/>
        </w:rPr>
        <w:t>invest</w:t>
      </w:r>
      <w:r w:rsidR="00014D29">
        <w:rPr>
          <w:sz w:val="24"/>
          <w:szCs w:val="24"/>
        </w:rPr>
        <w:t xml:space="preserve"> several hundred million dollars over the next three years.</w:t>
      </w:r>
      <w:r w:rsidR="00AF058F">
        <w:rPr>
          <w:rStyle w:val="FootnoteReference"/>
          <w:sz w:val="24"/>
          <w:szCs w:val="24"/>
        </w:rPr>
        <w:footnoteReference w:id="180"/>
      </w:r>
      <w:r w:rsidR="00014D29">
        <w:rPr>
          <w:sz w:val="24"/>
          <w:szCs w:val="24"/>
        </w:rPr>
        <w:t xml:space="preserve">  IGS </w:t>
      </w:r>
      <w:r w:rsidR="00C27B24">
        <w:rPr>
          <w:sz w:val="24"/>
          <w:szCs w:val="24"/>
        </w:rPr>
        <w:t>Solar is hopeful that it will develop significant renewable resources in Ohio</w:t>
      </w:r>
      <w:r w:rsidR="00BF0CB3">
        <w:rPr>
          <w:sz w:val="24"/>
          <w:szCs w:val="24"/>
        </w:rPr>
        <w:t>.  But</w:t>
      </w:r>
      <w:r w:rsidR="00C27B24">
        <w:rPr>
          <w:sz w:val="24"/>
          <w:szCs w:val="24"/>
        </w:rPr>
        <w:t xml:space="preserve"> AEP Ohio’s proposal </w:t>
      </w:r>
      <w:r w:rsidR="00BF0CB3">
        <w:rPr>
          <w:sz w:val="24"/>
          <w:szCs w:val="24"/>
        </w:rPr>
        <w:t xml:space="preserve">would </w:t>
      </w:r>
      <w:r w:rsidR="00C27B24">
        <w:rPr>
          <w:sz w:val="24"/>
          <w:szCs w:val="24"/>
        </w:rPr>
        <w:t xml:space="preserve">create additional barriers to </w:t>
      </w:r>
      <w:r w:rsidR="003360FA">
        <w:rPr>
          <w:sz w:val="24"/>
          <w:szCs w:val="24"/>
        </w:rPr>
        <w:t>investment in the state</w:t>
      </w:r>
      <w:r w:rsidR="00BF0CB3">
        <w:rPr>
          <w:sz w:val="24"/>
          <w:szCs w:val="24"/>
        </w:rPr>
        <w:t xml:space="preserve"> through the </w:t>
      </w:r>
      <w:r w:rsidR="00386F88">
        <w:rPr>
          <w:sz w:val="24"/>
          <w:szCs w:val="24"/>
        </w:rPr>
        <w:t>combination punch of (1)</w:t>
      </w:r>
      <w:r w:rsidR="00BF0CB3">
        <w:rPr>
          <w:sz w:val="24"/>
          <w:szCs w:val="24"/>
        </w:rPr>
        <w:t xml:space="preserve"> </w:t>
      </w:r>
      <w:r w:rsidR="003360FA">
        <w:rPr>
          <w:sz w:val="24"/>
          <w:szCs w:val="24"/>
        </w:rPr>
        <w:t>depressing the price for renewable energy credits</w:t>
      </w:r>
      <w:r w:rsidR="00386F88">
        <w:rPr>
          <w:sz w:val="24"/>
          <w:szCs w:val="24"/>
        </w:rPr>
        <w:t>,</w:t>
      </w:r>
      <w:r w:rsidR="00083EBF">
        <w:rPr>
          <w:sz w:val="24"/>
          <w:szCs w:val="24"/>
        </w:rPr>
        <w:t xml:space="preserve"> which </w:t>
      </w:r>
      <w:r w:rsidR="00386F88">
        <w:rPr>
          <w:sz w:val="24"/>
          <w:szCs w:val="24"/>
        </w:rPr>
        <w:t>would harm the economics of other renewable projects</w:t>
      </w:r>
      <w:r w:rsidR="00FB3A30">
        <w:rPr>
          <w:sz w:val="24"/>
          <w:szCs w:val="24"/>
        </w:rPr>
        <w:t>,</w:t>
      </w:r>
      <w:r w:rsidR="000D492E">
        <w:rPr>
          <w:rStyle w:val="FootnoteReference"/>
          <w:sz w:val="24"/>
          <w:szCs w:val="24"/>
        </w:rPr>
        <w:footnoteReference w:id="181"/>
      </w:r>
      <w:r w:rsidR="00386F88">
        <w:rPr>
          <w:sz w:val="24"/>
          <w:szCs w:val="24"/>
        </w:rPr>
        <w:t xml:space="preserve"> and (2)</w:t>
      </w:r>
      <w:r w:rsidR="001D2F6E">
        <w:rPr>
          <w:sz w:val="24"/>
          <w:szCs w:val="24"/>
        </w:rPr>
        <w:t xml:space="preserve"> reducing the</w:t>
      </w:r>
      <w:r w:rsidR="003360FA">
        <w:rPr>
          <w:sz w:val="24"/>
          <w:szCs w:val="24"/>
        </w:rPr>
        <w:t xml:space="preserve"> demand for renewables that would otherwise exist absent </w:t>
      </w:r>
      <w:r w:rsidR="00083EBF">
        <w:rPr>
          <w:sz w:val="24"/>
          <w:szCs w:val="24"/>
        </w:rPr>
        <w:t>AEP Ohio’s proposal moving forward</w:t>
      </w:r>
      <w:r w:rsidR="001D2F6E">
        <w:rPr>
          <w:sz w:val="24"/>
          <w:szCs w:val="24"/>
        </w:rPr>
        <w:t>, thereby red</w:t>
      </w:r>
      <w:r w:rsidR="005A2127">
        <w:rPr>
          <w:sz w:val="24"/>
          <w:szCs w:val="24"/>
        </w:rPr>
        <w:t>ucing and distorting</w:t>
      </w:r>
      <w:r w:rsidR="001D2F6E">
        <w:rPr>
          <w:sz w:val="24"/>
          <w:szCs w:val="24"/>
        </w:rPr>
        <w:t xml:space="preserve"> the pool of willing buyers of renewable energy in the market.</w:t>
      </w:r>
      <w:r w:rsidR="00E8530E">
        <w:rPr>
          <w:rStyle w:val="FootnoteReference"/>
          <w:sz w:val="24"/>
          <w:szCs w:val="24"/>
        </w:rPr>
        <w:footnoteReference w:id="182"/>
      </w:r>
    </w:p>
    <w:p w14:paraId="0A4C89DE" w14:textId="77777777" w:rsidR="004C5DE8" w:rsidRDefault="007919A4" w:rsidP="00B428D9">
      <w:pPr>
        <w:pStyle w:val="ListParagraph"/>
        <w:numPr>
          <w:ilvl w:val="0"/>
          <w:numId w:val="3"/>
        </w:numPr>
        <w:tabs>
          <w:tab w:val="left" w:pos="360"/>
        </w:tabs>
        <w:spacing w:after="0" w:line="240" w:lineRule="auto"/>
        <w:jc w:val="both"/>
        <w:rPr>
          <w:b/>
          <w:sz w:val="24"/>
          <w:szCs w:val="24"/>
        </w:rPr>
      </w:pPr>
      <w:r>
        <w:rPr>
          <w:b/>
          <w:sz w:val="24"/>
          <w:szCs w:val="24"/>
        </w:rPr>
        <w:t>Customers have several options to obtain renewable energy—should they desire it.</w:t>
      </w:r>
    </w:p>
    <w:p w14:paraId="5630AD66" w14:textId="77777777" w:rsidR="00287652" w:rsidRPr="00287652" w:rsidRDefault="00287652" w:rsidP="00287652">
      <w:pPr>
        <w:pStyle w:val="ListParagraph"/>
        <w:tabs>
          <w:tab w:val="left" w:pos="360"/>
        </w:tabs>
        <w:spacing w:after="0" w:line="240" w:lineRule="auto"/>
        <w:ind w:left="1080"/>
        <w:jc w:val="both"/>
        <w:rPr>
          <w:b/>
          <w:sz w:val="24"/>
          <w:szCs w:val="24"/>
        </w:rPr>
      </w:pPr>
    </w:p>
    <w:p w14:paraId="3B8419F9" w14:textId="5681D74F" w:rsidR="00287652" w:rsidRDefault="004C5DE8" w:rsidP="00DE5B40">
      <w:pPr>
        <w:spacing w:line="480" w:lineRule="auto"/>
        <w:ind w:firstLine="720"/>
        <w:jc w:val="both"/>
        <w:rPr>
          <w:sz w:val="24"/>
          <w:szCs w:val="24"/>
        </w:rPr>
      </w:pPr>
      <w:r>
        <w:rPr>
          <w:sz w:val="24"/>
          <w:szCs w:val="24"/>
        </w:rPr>
        <w:t xml:space="preserve">Setting aside the litigation of this proceeding for a moment, it is important to note that distribution customers of AEP Ohio already have several options to procure renewable electricity—to the extent they desire it.  There are currently </w:t>
      </w:r>
      <w:r w:rsidR="00F76906">
        <w:rPr>
          <w:sz w:val="24"/>
          <w:szCs w:val="24"/>
        </w:rPr>
        <w:t xml:space="preserve">36 </w:t>
      </w:r>
      <w:r>
        <w:rPr>
          <w:sz w:val="24"/>
          <w:szCs w:val="24"/>
        </w:rPr>
        <w:t xml:space="preserve">residential renewable electricity offers posted on the apples to apples website, including offers for </w:t>
      </w:r>
      <w:r>
        <w:rPr>
          <w:sz w:val="24"/>
          <w:szCs w:val="24"/>
        </w:rPr>
        <w:lastRenderedPageBreak/>
        <w:t>renewable electricity produced by resources physically located in Ohio.</w:t>
      </w:r>
      <w:r w:rsidR="00F76906">
        <w:rPr>
          <w:rStyle w:val="FootnoteReference"/>
          <w:sz w:val="24"/>
          <w:szCs w:val="24"/>
        </w:rPr>
        <w:footnoteReference w:id="183"/>
      </w:r>
      <w:r w:rsidR="00F76906">
        <w:rPr>
          <w:sz w:val="24"/>
          <w:szCs w:val="24"/>
        </w:rPr>
        <w:t xml:space="preserve"> </w:t>
      </w:r>
      <w:r w:rsidR="00B55CFD" w:rsidRPr="00B55CFD">
        <w:rPr>
          <w:sz w:val="24"/>
          <w:szCs w:val="24"/>
        </w:rPr>
        <w:t xml:space="preserve"> In</w:t>
      </w:r>
      <w:r w:rsidR="004732CF">
        <w:rPr>
          <w:sz w:val="24"/>
          <w:szCs w:val="24"/>
        </w:rPr>
        <w:t xml:space="preserve"> </w:t>
      </w:r>
      <w:r w:rsidR="00B55CFD" w:rsidRPr="00B55CFD">
        <w:rPr>
          <w:sz w:val="24"/>
          <w:szCs w:val="24"/>
        </w:rPr>
        <w:t>fact</w:t>
      </w:r>
      <w:r w:rsidR="004732CF">
        <w:rPr>
          <w:sz w:val="24"/>
          <w:szCs w:val="24"/>
        </w:rPr>
        <w:t>,</w:t>
      </w:r>
      <w:r w:rsidR="00B55CFD" w:rsidRPr="00B55CFD">
        <w:rPr>
          <w:sz w:val="24"/>
          <w:szCs w:val="24"/>
        </w:rPr>
        <w:t xml:space="preserve"> IGS makes available a competitive renewable electric product that is sourced from all-Ohio electric generation resources.</w:t>
      </w:r>
      <w:r w:rsidR="00B55CFD">
        <w:rPr>
          <w:rStyle w:val="FootnoteReference"/>
          <w:sz w:val="24"/>
          <w:szCs w:val="24"/>
        </w:rPr>
        <w:footnoteReference w:id="184"/>
      </w:r>
      <w:r>
        <w:rPr>
          <w:sz w:val="24"/>
          <w:szCs w:val="24"/>
        </w:rPr>
        <w:t xml:space="preserve">  Moreover, customers may purchase their own renewable generation resources or enter into a purchase power agreement with a developer of such resources.</w:t>
      </w:r>
      <w:r w:rsidR="00B55CFD">
        <w:rPr>
          <w:rStyle w:val="FootnoteReference"/>
          <w:sz w:val="24"/>
          <w:szCs w:val="24"/>
        </w:rPr>
        <w:footnoteReference w:id="185"/>
      </w:r>
      <w:r>
        <w:rPr>
          <w:sz w:val="24"/>
          <w:szCs w:val="24"/>
        </w:rPr>
        <w:t xml:space="preserve"> </w:t>
      </w:r>
      <w:r w:rsidR="00B55CFD">
        <w:rPr>
          <w:sz w:val="24"/>
          <w:szCs w:val="24"/>
        </w:rPr>
        <w:t xml:space="preserve">  Through such PPAs, </w:t>
      </w:r>
      <w:r w:rsidR="00DE5B40">
        <w:rPr>
          <w:sz w:val="24"/>
          <w:szCs w:val="24"/>
        </w:rPr>
        <w:t>customers may install solar with “</w:t>
      </w:r>
      <w:r w:rsidR="00DE5B40" w:rsidRPr="00DE5B40">
        <w:rPr>
          <w:sz w:val="24"/>
          <w:szCs w:val="24"/>
        </w:rPr>
        <w:t>no up-front cost to th</w:t>
      </w:r>
      <w:r w:rsidR="00DE5B40">
        <w:rPr>
          <w:sz w:val="24"/>
          <w:szCs w:val="24"/>
        </w:rPr>
        <w:t>e</w:t>
      </w:r>
      <w:r w:rsidR="00DE5B40" w:rsidRPr="00DE5B40">
        <w:rPr>
          <w:sz w:val="24"/>
          <w:szCs w:val="24"/>
        </w:rPr>
        <w:t xml:space="preserve"> customer so that a customer can meet all, or a portion of, its electric needs through</w:t>
      </w:r>
      <w:r w:rsidR="00DE5B40">
        <w:rPr>
          <w:sz w:val="24"/>
          <w:szCs w:val="24"/>
        </w:rPr>
        <w:t xml:space="preserve"> </w:t>
      </w:r>
      <w:r w:rsidR="00DE5B40" w:rsidRPr="00DE5B40">
        <w:rPr>
          <w:sz w:val="24"/>
          <w:szCs w:val="24"/>
        </w:rPr>
        <w:t>solar power.</w:t>
      </w:r>
      <w:r w:rsidR="00DE5B40">
        <w:rPr>
          <w:sz w:val="24"/>
          <w:szCs w:val="24"/>
        </w:rPr>
        <w:t>”</w:t>
      </w:r>
      <w:r w:rsidR="00E803D0">
        <w:rPr>
          <w:rStyle w:val="FootnoteReference"/>
          <w:sz w:val="24"/>
          <w:szCs w:val="24"/>
        </w:rPr>
        <w:footnoteReference w:id="186"/>
      </w:r>
      <w:r w:rsidR="00DE5B40" w:rsidRPr="00DE5B40">
        <w:rPr>
          <w:sz w:val="24"/>
          <w:szCs w:val="24"/>
        </w:rPr>
        <w:t xml:space="preserve"> </w:t>
      </w:r>
      <w:r w:rsidR="004732CF">
        <w:rPr>
          <w:sz w:val="24"/>
          <w:szCs w:val="24"/>
        </w:rPr>
        <w:t xml:space="preserve"> </w:t>
      </w:r>
      <w:r>
        <w:rPr>
          <w:sz w:val="24"/>
          <w:szCs w:val="24"/>
        </w:rPr>
        <w:t>Indeed, even percentage of income payment pla</w:t>
      </w:r>
      <w:r w:rsidR="004732CF">
        <w:rPr>
          <w:sz w:val="24"/>
          <w:szCs w:val="24"/>
        </w:rPr>
        <w:t>n</w:t>
      </w:r>
      <w:r>
        <w:rPr>
          <w:sz w:val="24"/>
          <w:szCs w:val="24"/>
        </w:rPr>
        <w:t xml:space="preserve"> customers have the ability to purchase renewable energy credits.</w:t>
      </w:r>
      <w:r w:rsidR="00DE5B40">
        <w:rPr>
          <w:rStyle w:val="FootnoteReference"/>
          <w:sz w:val="24"/>
          <w:szCs w:val="24"/>
        </w:rPr>
        <w:footnoteReference w:id="187"/>
      </w:r>
    </w:p>
    <w:p w14:paraId="4AFBB508" w14:textId="77777777" w:rsidR="00DE5B40" w:rsidRDefault="00DE5B40" w:rsidP="00DE5B40">
      <w:pPr>
        <w:spacing w:line="480" w:lineRule="auto"/>
        <w:ind w:firstLine="720"/>
        <w:jc w:val="both"/>
        <w:rPr>
          <w:sz w:val="24"/>
          <w:szCs w:val="24"/>
        </w:rPr>
      </w:pPr>
      <w:r>
        <w:rPr>
          <w:sz w:val="24"/>
          <w:szCs w:val="24"/>
        </w:rPr>
        <w:t xml:space="preserve">Market-based approaches are also more favorable than AEP Ohio’s proposal, given that they </w:t>
      </w:r>
      <w:proofErr w:type="gramStart"/>
      <w:r>
        <w:rPr>
          <w:sz w:val="24"/>
          <w:szCs w:val="24"/>
        </w:rPr>
        <w:t>actually result</w:t>
      </w:r>
      <w:proofErr w:type="gramEnd"/>
      <w:r>
        <w:rPr>
          <w:sz w:val="24"/>
          <w:szCs w:val="24"/>
        </w:rPr>
        <w:t xml:space="preserve"> in the delivery of a renewable product to customers.  Indeed, “</w:t>
      </w:r>
      <w:r w:rsidRPr="00DE5B40">
        <w:rPr>
          <w:sz w:val="24"/>
          <w:szCs w:val="24"/>
        </w:rPr>
        <w:t>AEP would not be retiring SRECs or RECs on customer’s behalf but rather would sell the RECs generated by the generation</w:t>
      </w:r>
      <w:r>
        <w:rPr>
          <w:sz w:val="24"/>
          <w:szCs w:val="24"/>
        </w:rPr>
        <w:t xml:space="preserve"> </w:t>
      </w:r>
      <w:r w:rsidRPr="00DE5B40">
        <w:rPr>
          <w:sz w:val="24"/>
          <w:szCs w:val="24"/>
        </w:rPr>
        <w:t>facilities into the wholesale REC market</w:t>
      </w:r>
      <w:r>
        <w:rPr>
          <w:sz w:val="24"/>
          <w:szCs w:val="24"/>
        </w:rPr>
        <w:t>.”</w:t>
      </w:r>
      <w:r>
        <w:rPr>
          <w:rStyle w:val="FootnoteReference"/>
          <w:sz w:val="24"/>
          <w:szCs w:val="24"/>
        </w:rPr>
        <w:footnoteReference w:id="188"/>
      </w:r>
      <w:r>
        <w:rPr>
          <w:sz w:val="24"/>
          <w:szCs w:val="24"/>
        </w:rPr>
        <w:t xml:space="preserve"> “</w:t>
      </w:r>
      <w:r w:rsidRPr="00DE5B40">
        <w:rPr>
          <w:sz w:val="24"/>
          <w:szCs w:val="24"/>
        </w:rPr>
        <w:t>By law, a customer is not being supplied by renewable generation unless the REC or SREC from the facility is retired by the</w:t>
      </w:r>
      <w:r>
        <w:rPr>
          <w:sz w:val="24"/>
          <w:szCs w:val="24"/>
        </w:rPr>
        <w:t xml:space="preserve"> </w:t>
      </w:r>
      <w:r w:rsidRPr="00DE5B40">
        <w:rPr>
          <w:sz w:val="24"/>
          <w:szCs w:val="24"/>
        </w:rPr>
        <w:t>customer, or an entity acting on the customer’s behalf</w:t>
      </w:r>
      <w:r>
        <w:rPr>
          <w:sz w:val="24"/>
          <w:szCs w:val="24"/>
        </w:rPr>
        <w:t>.”</w:t>
      </w:r>
      <w:r>
        <w:rPr>
          <w:rStyle w:val="FootnoteReference"/>
          <w:sz w:val="24"/>
          <w:szCs w:val="24"/>
        </w:rPr>
        <w:footnoteReference w:id="189"/>
      </w:r>
      <w:r>
        <w:rPr>
          <w:sz w:val="24"/>
          <w:szCs w:val="24"/>
        </w:rPr>
        <w:t xml:space="preserve">  Thus, AEP Ohio’s proposal does not even achieve the purpose for which it is intended, </w:t>
      </w:r>
      <w:r>
        <w:rPr>
          <w:sz w:val="24"/>
          <w:szCs w:val="24"/>
        </w:rPr>
        <w:lastRenderedPageBreak/>
        <w:t>since “</w:t>
      </w:r>
      <w:r w:rsidRPr="00DE5B40">
        <w:rPr>
          <w:sz w:val="24"/>
          <w:szCs w:val="24"/>
        </w:rPr>
        <w:t>AEP’s customers would not actually be supplied electricity by the renewable</w:t>
      </w:r>
      <w:r>
        <w:rPr>
          <w:sz w:val="24"/>
          <w:szCs w:val="24"/>
        </w:rPr>
        <w:t xml:space="preserve"> </w:t>
      </w:r>
      <w:r w:rsidRPr="00DE5B40">
        <w:rPr>
          <w:sz w:val="24"/>
          <w:szCs w:val="24"/>
        </w:rPr>
        <w:t xml:space="preserve"> generation facilities</w:t>
      </w:r>
      <w:r>
        <w:rPr>
          <w:sz w:val="24"/>
          <w:szCs w:val="24"/>
        </w:rPr>
        <w:t>.”</w:t>
      </w:r>
      <w:r>
        <w:rPr>
          <w:rStyle w:val="FootnoteReference"/>
          <w:sz w:val="24"/>
          <w:szCs w:val="24"/>
        </w:rPr>
        <w:footnoteReference w:id="190"/>
      </w:r>
    </w:p>
    <w:p w14:paraId="64D8F496" w14:textId="77777777" w:rsidR="00B428D9" w:rsidRPr="00B428D9" w:rsidRDefault="00B428D9" w:rsidP="00B428D9">
      <w:pPr>
        <w:pStyle w:val="ListParagraph"/>
        <w:numPr>
          <w:ilvl w:val="0"/>
          <w:numId w:val="3"/>
        </w:numPr>
        <w:spacing w:line="240" w:lineRule="auto"/>
        <w:jc w:val="both"/>
        <w:rPr>
          <w:b/>
          <w:sz w:val="24"/>
          <w:szCs w:val="24"/>
        </w:rPr>
      </w:pPr>
      <w:r>
        <w:rPr>
          <w:b/>
          <w:sz w:val="24"/>
          <w:szCs w:val="24"/>
        </w:rPr>
        <w:t>Rather than picking winners and losers, the Commission should focus on removing barriers to developing renewable generation</w:t>
      </w:r>
    </w:p>
    <w:p w14:paraId="51A11CAD" w14:textId="6BDC5EFE" w:rsidR="00287652" w:rsidRDefault="00287652" w:rsidP="00287652">
      <w:pPr>
        <w:spacing w:line="480" w:lineRule="auto"/>
        <w:ind w:firstLine="720"/>
        <w:jc w:val="both"/>
        <w:rPr>
          <w:sz w:val="24"/>
          <w:szCs w:val="24"/>
        </w:rPr>
      </w:pPr>
      <w:r>
        <w:rPr>
          <w:sz w:val="24"/>
          <w:szCs w:val="24"/>
        </w:rPr>
        <w:t xml:space="preserve">Rather </w:t>
      </w:r>
      <w:r w:rsidRPr="00287652">
        <w:rPr>
          <w:sz w:val="24"/>
          <w:szCs w:val="24"/>
        </w:rPr>
        <w:t>put the risk and cost of</w:t>
      </w:r>
      <w:r>
        <w:rPr>
          <w:sz w:val="24"/>
          <w:szCs w:val="24"/>
        </w:rPr>
        <w:t xml:space="preserve"> wind and</w:t>
      </w:r>
      <w:r w:rsidRPr="00287652">
        <w:rPr>
          <w:sz w:val="24"/>
          <w:szCs w:val="24"/>
        </w:rPr>
        <w:t xml:space="preserve"> solar development on all customers,</w:t>
      </w:r>
      <w:r>
        <w:rPr>
          <w:sz w:val="24"/>
          <w:szCs w:val="24"/>
        </w:rPr>
        <w:t xml:space="preserve"> IGS </w:t>
      </w:r>
      <w:r w:rsidRPr="00287652">
        <w:rPr>
          <w:sz w:val="24"/>
          <w:szCs w:val="24"/>
        </w:rPr>
        <w:t>recommend</w:t>
      </w:r>
      <w:r>
        <w:rPr>
          <w:sz w:val="24"/>
          <w:szCs w:val="24"/>
        </w:rPr>
        <w:t>s</w:t>
      </w:r>
      <w:r w:rsidRPr="00287652">
        <w:rPr>
          <w:sz w:val="24"/>
          <w:szCs w:val="24"/>
        </w:rPr>
        <w:t xml:space="preserve"> that the Commission’s</w:t>
      </w:r>
      <w:r>
        <w:rPr>
          <w:sz w:val="24"/>
          <w:szCs w:val="24"/>
        </w:rPr>
        <w:t xml:space="preserve"> </w:t>
      </w:r>
      <w:r w:rsidRPr="00287652">
        <w:rPr>
          <w:sz w:val="24"/>
          <w:szCs w:val="24"/>
        </w:rPr>
        <w:t xml:space="preserve">focus </w:t>
      </w:r>
      <w:r w:rsidR="00D527B8">
        <w:rPr>
          <w:sz w:val="24"/>
          <w:szCs w:val="24"/>
        </w:rPr>
        <w:t>on establishing competitive neutral incentives and reducing</w:t>
      </w:r>
      <w:r w:rsidRPr="00287652">
        <w:rPr>
          <w:sz w:val="24"/>
          <w:szCs w:val="24"/>
        </w:rPr>
        <w:t xml:space="preserve"> barriers to customer sited generati</w:t>
      </w:r>
      <w:r>
        <w:rPr>
          <w:sz w:val="24"/>
          <w:szCs w:val="24"/>
        </w:rPr>
        <w:t xml:space="preserve">on. </w:t>
      </w:r>
      <w:r w:rsidR="00714364">
        <w:rPr>
          <w:sz w:val="24"/>
          <w:szCs w:val="24"/>
        </w:rPr>
        <w:t xml:space="preserve">  IGS Witness Rever identified three ways the Commission could remove barriers to deploying behind the meter generation:</w:t>
      </w:r>
    </w:p>
    <w:p w14:paraId="6792B78A" w14:textId="77777777" w:rsidR="00714364" w:rsidRPr="00714364" w:rsidRDefault="00714364" w:rsidP="00714364">
      <w:pPr>
        <w:spacing w:line="240" w:lineRule="auto"/>
        <w:ind w:left="720" w:right="720"/>
        <w:jc w:val="both"/>
        <w:rPr>
          <w:sz w:val="24"/>
          <w:szCs w:val="24"/>
        </w:rPr>
      </w:pPr>
      <w:r w:rsidRPr="00714364">
        <w:rPr>
          <w:sz w:val="24"/>
          <w:szCs w:val="24"/>
        </w:rPr>
        <w:t xml:space="preserve">1) Improve net metering, specifically by adopting an annual netting period for net metering, rather than the current structure that only allows for monthly netting.  </w:t>
      </w:r>
    </w:p>
    <w:p w14:paraId="56D7C232" w14:textId="77777777" w:rsidR="00714364" w:rsidRPr="00714364" w:rsidRDefault="00714364" w:rsidP="00714364">
      <w:pPr>
        <w:spacing w:line="240" w:lineRule="auto"/>
        <w:ind w:left="720" w:right="720"/>
        <w:jc w:val="both"/>
        <w:rPr>
          <w:sz w:val="24"/>
          <w:szCs w:val="24"/>
        </w:rPr>
      </w:pPr>
      <w:r w:rsidRPr="00714364">
        <w:rPr>
          <w:sz w:val="24"/>
          <w:szCs w:val="24"/>
        </w:rPr>
        <w:t>2) Establish distribution rate design for commercial customers that acknowledges the role that solar plays in reducing distribution system peak demand; and</w:t>
      </w:r>
    </w:p>
    <w:p w14:paraId="1B2AC0BB" w14:textId="77777777" w:rsidR="00714364" w:rsidRPr="00714364" w:rsidRDefault="00714364" w:rsidP="00714364">
      <w:pPr>
        <w:spacing w:line="240" w:lineRule="auto"/>
        <w:ind w:left="720" w:right="720"/>
        <w:jc w:val="both"/>
        <w:rPr>
          <w:sz w:val="24"/>
          <w:szCs w:val="24"/>
        </w:rPr>
      </w:pPr>
      <w:r w:rsidRPr="00714364">
        <w:rPr>
          <w:sz w:val="24"/>
          <w:szCs w:val="24"/>
        </w:rPr>
        <w:t xml:space="preserve">3) Continue to transform the </w:t>
      </w:r>
      <w:proofErr w:type="gramStart"/>
      <w:r w:rsidRPr="00714364">
        <w:rPr>
          <w:sz w:val="24"/>
          <w:szCs w:val="24"/>
        </w:rPr>
        <w:t>manner in which</w:t>
      </w:r>
      <w:proofErr w:type="gramEnd"/>
      <w:r w:rsidRPr="00714364">
        <w:rPr>
          <w:sz w:val="24"/>
          <w:szCs w:val="24"/>
        </w:rPr>
        <w:t xml:space="preserve"> it performs wholesale settlements.</w:t>
      </w:r>
      <w:r>
        <w:rPr>
          <w:rStyle w:val="FootnoteReference"/>
          <w:sz w:val="24"/>
          <w:szCs w:val="24"/>
        </w:rPr>
        <w:footnoteReference w:id="191"/>
      </w:r>
    </w:p>
    <w:p w14:paraId="7DF588ED" w14:textId="0BE710C7" w:rsidR="008609FB" w:rsidRDefault="008609FB" w:rsidP="008609FB">
      <w:pPr>
        <w:spacing w:line="480" w:lineRule="auto"/>
        <w:jc w:val="both"/>
        <w:rPr>
          <w:sz w:val="24"/>
          <w:szCs w:val="24"/>
        </w:rPr>
      </w:pPr>
      <w:r>
        <w:rPr>
          <w:sz w:val="24"/>
          <w:szCs w:val="24"/>
        </w:rPr>
        <w:t xml:space="preserve">These are just a few competitively neutral policies that the Commission </w:t>
      </w:r>
      <w:r w:rsidR="006A0849">
        <w:rPr>
          <w:sz w:val="24"/>
          <w:szCs w:val="24"/>
        </w:rPr>
        <w:t xml:space="preserve">can </w:t>
      </w:r>
      <w:r w:rsidR="00882E48">
        <w:rPr>
          <w:sz w:val="24"/>
          <w:szCs w:val="24"/>
        </w:rPr>
        <w:t>put in place to</w:t>
      </w:r>
      <w:r w:rsidR="00703A05">
        <w:rPr>
          <w:sz w:val="24"/>
          <w:szCs w:val="24"/>
        </w:rPr>
        <w:t xml:space="preserve"> empower customers</w:t>
      </w:r>
      <w:r w:rsidR="00882E48">
        <w:rPr>
          <w:sz w:val="24"/>
          <w:szCs w:val="24"/>
        </w:rPr>
        <w:t xml:space="preserve"> </w:t>
      </w:r>
      <w:r w:rsidR="00703A05">
        <w:rPr>
          <w:sz w:val="24"/>
          <w:szCs w:val="24"/>
        </w:rPr>
        <w:t>to construct distributed</w:t>
      </w:r>
      <w:r w:rsidR="00882E48">
        <w:rPr>
          <w:sz w:val="24"/>
          <w:szCs w:val="24"/>
        </w:rPr>
        <w:t xml:space="preserve"> generation</w:t>
      </w:r>
      <w:r w:rsidR="00703A05">
        <w:rPr>
          <w:sz w:val="24"/>
          <w:szCs w:val="24"/>
        </w:rPr>
        <w:t xml:space="preserve"> resources that meet their </w:t>
      </w:r>
      <w:proofErr w:type="gramStart"/>
      <w:r w:rsidR="00703A05">
        <w:rPr>
          <w:sz w:val="24"/>
          <w:szCs w:val="24"/>
        </w:rPr>
        <w:t>individuals</w:t>
      </w:r>
      <w:proofErr w:type="gramEnd"/>
      <w:r w:rsidR="00703A05">
        <w:rPr>
          <w:sz w:val="24"/>
          <w:szCs w:val="24"/>
        </w:rPr>
        <w:t xml:space="preserve"> preferences.</w:t>
      </w:r>
    </w:p>
    <w:p w14:paraId="40571209" w14:textId="63C8A74B" w:rsidR="00870F2D" w:rsidRPr="00870F2D" w:rsidRDefault="00F03591" w:rsidP="00844AC7">
      <w:pPr>
        <w:tabs>
          <w:tab w:val="left" w:pos="360"/>
        </w:tabs>
        <w:spacing w:after="0" w:line="480" w:lineRule="auto"/>
        <w:jc w:val="both"/>
        <w:rPr>
          <w:sz w:val="24"/>
          <w:szCs w:val="24"/>
        </w:rPr>
      </w:pPr>
      <w:r>
        <w:rPr>
          <w:b/>
          <w:sz w:val="24"/>
          <w:szCs w:val="24"/>
        </w:rPr>
        <w:t>I</w:t>
      </w:r>
      <w:r w:rsidR="00B428D9">
        <w:rPr>
          <w:b/>
          <w:sz w:val="24"/>
          <w:szCs w:val="24"/>
        </w:rPr>
        <w:t>V.  CONCLUSION</w:t>
      </w:r>
      <w:r w:rsidR="00870F2D">
        <w:rPr>
          <w:sz w:val="24"/>
          <w:szCs w:val="24"/>
        </w:rPr>
        <w:t xml:space="preserve"> </w:t>
      </w:r>
    </w:p>
    <w:p w14:paraId="7A735E4F" w14:textId="2D1CB102" w:rsidR="00B57386" w:rsidRDefault="00167A7B" w:rsidP="00B57386">
      <w:pPr>
        <w:tabs>
          <w:tab w:val="left" w:pos="360"/>
        </w:tabs>
        <w:spacing w:after="0" w:line="480" w:lineRule="auto"/>
        <w:jc w:val="both"/>
        <w:rPr>
          <w:color w:val="000000" w:themeColor="text1"/>
          <w:sz w:val="24"/>
          <w:szCs w:val="24"/>
        </w:rPr>
      </w:pPr>
      <w:r>
        <w:rPr>
          <w:color w:val="000000"/>
          <w:sz w:val="24"/>
          <w:szCs w:val="24"/>
          <w:shd w:val="clear" w:color="auto" w:fill="FFFFFF"/>
        </w:rPr>
        <w:tab/>
      </w:r>
      <w:r>
        <w:rPr>
          <w:color w:val="000000"/>
          <w:sz w:val="24"/>
          <w:szCs w:val="24"/>
          <w:shd w:val="clear" w:color="auto" w:fill="FFFFFF"/>
        </w:rPr>
        <w:tab/>
      </w:r>
      <w:r w:rsidR="006447A5">
        <w:rPr>
          <w:color w:val="000000"/>
          <w:sz w:val="24"/>
          <w:szCs w:val="24"/>
          <w:shd w:val="clear" w:color="auto" w:fill="FFFFFF"/>
        </w:rPr>
        <w:t>AEP Ohio’</w:t>
      </w:r>
      <w:r w:rsidR="00501CF9">
        <w:rPr>
          <w:color w:val="000000"/>
          <w:sz w:val="24"/>
          <w:szCs w:val="24"/>
          <w:shd w:val="clear" w:color="auto" w:fill="FFFFFF"/>
        </w:rPr>
        <w:t xml:space="preserve">s </w:t>
      </w:r>
      <w:r w:rsidR="00191820">
        <w:rPr>
          <w:color w:val="000000"/>
          <w:sz w:val="24"/>
          <w:szCs w:val="24"/>
          <w:shd w:val="clear" w:color="auto" w:fill="FFFFFF"/>
        </w:rPr>
        <w:t xml:space="preserve">Amended LTFR </w:t>
      </w:r>
      <w:r w:rsidR="00501CF9">
        <w:rPr>
          <w:color w:val="000000"/>
          <w:sz w:val="24"/>
          <w:szCs w:val="24"/>
          <w:shd w:val="clear" w:color="auto" w:fill="FFFFFF"/>
        </w:rPr>
        <w:t>application concedes that it does not need to construct generation to satisfy a reliability concern. Given this fact, b</w:t>
      </w:r>
      <w:r w:rsidR="002E1BE2" w:rsidRPr="00FC73F3">
        <w:rPr>
          <w:color w:val="000000"/>
          <w:sz w:val="24"/>
          <w:szCs w:val="24"/>
          <w:shd w:val="clear" w:color="auto" w:fill="FFFFFF"/>
        </w:rPr>
        <w:t>ased upon the plain language of the ESP statute, the balance of Chapter</w:t>
      </w:r>
      <w:r w:rsidR="002E1BE2">
        <w:rPr>
          <w:color w:val="000000"/>
          <w:sz w:val="24"/>
          <w:szCs w:val="24"/>
          <w:shd w:val="clear" w:color="auto" w:fill="FFFFFF"/>
        </w:rPr>
        <w:t xml:space="preserve"> 4928, and historical context regarding the passage of SB 221, </w:t>
      </w:r>
      <w:proofErr w:type="gramStart"/>
      <w:r w:rsidR="002E1BE2">
        <w:rPr>
          <w:color w:val="000000"/>
          <w:sz w:val="24"/>
          <w:szCs w:val="24"/>
          <w:shd w:val="clear" w:color="auto" w:fill="FFFFFF"/>
        </w:rPr>
        <w:t>it is clear that AEP</w:t>
      </w:r>
      <w:proofErr w:type="gramEnd"/>
      <w:r w:rsidR="002E1BE2">
        <w:rPr>
          <w:color w:val="000000"/>
          <w:sz w:val="24"/>
          <w:szCs w:val="24"/>
          <w:shd w:val="clear" w:color="auto" w:fill="FFFFFF"/>
        </w:rPr>
        <w:t xml:space="preserve"> Ohio’s proposal</w:t>
      </w:r>
      <w:r w:rsidR="00501CF9">
        <w:rPr>
          <w:color w:val="000000"/>
          <w:sz w:val="24"/>
          <w:szCs w:val="24"/>
          <w:shd w:val="clear" w:color="auto" w:fill="FFFFFF"/>
        </w:rPr>
        <w:t xml:space="preserve"> to c</w:t>
      </w:r>
      <w:r w:rsidR="001658C2">
        <w:rPr>
          <w:color w:val="000000"/>
          <w:sz w:val="24"/>
          <w:szCs w:val="24"/>
          <w:shd w:val="clear" w:color="auto" w:fill="FFFFFF"/>
        </w:rPr>
        <w:t>onstruct</w:t>
      </w:r>
      <w:r w:rsidR="00501CF9">
        <w:rPr>
          <w:color w:val="000000"/>
          <w:sz w:val="24"/>
          <w:szCs w:val="24"/>
          <w:shd w:val="clear" w:color="auto" w:fill="FFFFFF"/>
        </w:rPr>
        <w:t xml:space="preserve"> 900 </w:t>
      </w:r>
      <w:r w:rsidR="00501CF9">
        <w:rPr>
          <w:color w:val="000000"/>
          <w:sz w:val="24"/>
          <w:szCs w:val="24"/>
          <w:shd w:val="clear" w:color="auto" w:fill="FFFFFF"/>
        </w:rPr>
        <w:lastRenderedPageBreak/>
        <w:t>MWs of renewable generation</w:t>
      </w:r>
      <w:r w:rsidR="002E1BE2">
        <w:rPr>
          <w:color w:val="000000"/>
          <w:sz w:val="24"/>
          <w:szCs w:val="24"/>
          <w:shd w:val="clear" w:color="auto" w:fill="FFFFFF"/>
        </w:rPr>
        <w:t xml:space="preserve"> </w:t>
      </w:r>
      <w:r w:rsidR="004377A9">
        <w:rPr>
          <w:color w:val="000000"/>
          <w:sz w:val="24"/>
          <w:szCs w:val="24"/>
          <w:shd w:val="clear" w:color="auto" w:fill="FFFFFF"/>
        </w:rPr>
        <w:t>lacks merit</w:t>
      </w:r>
      <w:r w:rsidR="00C06387">
        <w:rPr>
          <w:color w:val="000000"/>
          <w:sz w:val="24"/>
          <w:szCs w:val="24"/>
          <w:shd w:val="clear" w:color="auto" w:fill="FFFFFF"/>
        </w:rPr>
        <w:t xml:space="preserve">.  The purported </w:t>
      </w:r>
      <w:r w:rsidR="00C06387" w:rsidRPr="00C06387">
        <w:rPr>
          <w:color w:val="000000"/>
          <w:sz w:val="24"/>
          <w:szCs w:val="24"/>
          <w:shd w:val="clear" w:color="auto" w:fill="FFFFFF"/>
        </w:rPr>
        <w:t>desire of a portion of AEP Ohio’s customers to develop additional renewable resources within this state does not translate to a need to do so in contravention to the General Assembly’s</w:t>
      </w:r>
      <w:r>
        <w:rPr>
          <w:color w:val="000000"/>
          <w:sz w:val="24"/>
          <w:szCs w:val="24"/>
          <w:shd w:val="clear" w:color="auto" w:fill="FFFFFF"/>
        </w:rPr>
        <w:t xml:space="preserve"> policy framework</w:t>
      </w:r>
      <w:r w:rsidR="00C06387" w:rsidRPr="00C06387">
        <w:rPr>
          <w:color w:val="000000"/>
          <w:sz w:val="24"/>
          <w:szCs w:val="24"/>
          <w:shd w:val="clear" w:color="auto" w:fill="FFFFFF"/>
        </w:rPr>
        <w:t xml:space="preserve">. </w:t>
      </w:r>
      <w:r>
        <w:rPr>
          <w:color w:val="000000"/>
          <w:sz w:val="24"/>
          <w:szCs w:val="24"/>
          <w:shd w:val="clear" w:color="auto" w:fill="FFFFFF"/>
        </w:rPr>
        <w:t xml:space="preserve"> </w:t>
      </w:r>
      <w:r w:rsidR="00C06387" w:rsidRPr="00C06387">
        <w:rPr>
          <w:color w:val="000000"/>
          <w:sz w:val="24"/>
          <w:szCs w:val="24"/>
          <w:shd w:val="clear" w:color="auto" w:fill="FFFFFF"/>
        </w:rPr>
        <w:t xml:space="preserve">This is especially true given that </w:t>
      </w:r>
      <w:r w:rsidR="00DB27C2">
        <w:rPr>
          <w:color w:val="000000"/>
          <w:sz w:val="24"/>
          <w:szCs w:val="24"/>
          <w:shd w:val="clear" w:color="auto" w:fill="FFFFFF"/>
        </w:rPr>
        <w:t xml:space="preserve">customers </w:t>
      </w:r>
      <w:r w:rsidR="00C03842">
        <w:rPr>
          <w:color w:val="000000"/>
          <w:sz w:val="24"/>
          <w:szCs w:val="24"/>
          <w:shd w:val="clear" w:color="auto" w:fill="FFFFFF"/>
        </w:rPr>
        <w:t>have access to</w:t>
      </w:r>
      <w:r w:rsidR="003D34B2">
        <w:rPr>
          <w:color w:val="000000"/>
          <w:sz w:val="24"/>
          <w:szCs w:val="24"/>
          <w:shd w:val="clear" w:color="auto" w:fill="FFFFFF"/>
        </w:rPr>
        <w:t xml:space="preserve"> </w:t>
      </w:r>
      <w:r w:rsidR="00C03842">
        <w:rPr>
          <w:color w:val="000000"/>
          <w:sz w:val="24"/>
          <w:szCs w:val="24"/>
          <w:shd w:val="clear" w:color="auto" w:fill="FFFFFF"/>
        </w:rPr>
        <w:t>s</w:t>
      </w:r>
      <w:r w:rsidR="003D34B2">
        <w:rPr>
          <w:color w:val="000000"/>
          <w:sz w:val="24"/>
          <w:szCs w:val="24"/>
          <w:shd w:val="clear" w:color="auto" w:fill="FFFFFF"/>
        </w:rPr>
        <w:t>everal different renewable energy products thr</w:t>
      </w:r>
      <w:r w:rsidR="00C03842">
        <w:rPr>
          <w:color w:val="000000"/>
          <w:sz w:val="24"/>
          <w:szCs w:val="24"/>
          <w:shd w:val="clear" w:color="auto" w:fill="FFFFFF"/>
        </w:rPr>
        <w:t>ough</w:t>
      </w:r>
      <w:r w:rsidR="00C06387" w:rsidRPr="00C06387">
        <w:rPr>
          <w:color w:val="000000"/>
          <w:sz w:val="24"/>
          <w:szCs w:val="24"/>
          <w:shd w:val="clear" w:color="auto" w:fill="FFFFFF"/>
        </w:rPr>
        <w:t xml:space="preserve"> the competitive market</w:t>
      </w:r>
      <w:r w:rsidR="00C03842">
        <w:rPr>
          <w:color w:val="000000"/>
          <w:sz w:val="24"/>
          <w:szCs w:val="24"/>
          <w:shd w:val="clear" w:color="auto" w:fill="FFFFFF"/>
        </w:rPr>
        <w:t>.</w:t>
      </w:r>
      <w:r w:rsidR="004377A9">
        <w:rPr>
          <w:color w:val="000000"/>
          <w:sz w:val="24"/>
          <w:szCs w:val="24"/>
          <w:shd w:val="clear" w:color="auto" w:fill="FFFFFF"/>
        </w:rPr>
        <w:t xml:space="preserve">  </w:t>
      </w:r>
    </w:p>
    <w:p w14:paraId="6B62F1B3" w14:textId="0EBAE6C0" w:rsidR="00F11B92" w:rsidRDefault="00703A05" w:rsidP="00694919">
      <w:pPr>
        <w:spacing w:line="480" w:lineRule="auto"/>
        <w:ind w:firstLine="720"/>
        <w:jc w:val="both"/>
        <w:rPr>
          <w:sz w:val="24"/>
          <w:szCs w:val="24"/>
        </w:rPr>
      </w:pPr>
      <w:r>
        <w:rPr>
          <w:sz w:val="24"/>
          <w:szCs w:val="24"/>
        </w:rPr>
        <w:t xml:space="preserve">Rather than indulging AEP Ohio’s request to return to a bygone era, the Commission should </w:t>
      </w:r>
      <w:r w:rsidR="00F5226C">
        <w:rPr>
          <w:sz w:val="24"/>
          <w:szCs w:val="24"/>
        </w:rPr>
        <w:t>focus its efforts on eliminating barriers to</w:t>
      </w:r>
      <w:r w:rsidR="00792395">
        <w:rPr>
          <w:sz w:val="24"/>
          <w:szCs w:val="24"/>
        </w:rPr>
        <w:t xml:space="preserve"> deployment of</w:t>
      </w:r>
      <w:r w:rsidR="00F5226C">
        <w:rPr>
          <w:sz w:val="24"/>
          <w:szCs w:val="24"/>
        </w:rPr>
        <w:t xml:space="preserve"> customer sited generation</w:t>
      </w:r>
      <w:r w:rsidR="00792395">
        <w:rPr>
          <w:sz w:val="24"/>
          <w:szCs w:val="24"/>
        </w:rPr>
        <w:t>.</w:t>
      </w:r>
      <w:r>
        <w:rPr>
          <w:sz w:val="24"/>
          <w:szCs w:val="24"/>
        </w:rPr>
        <w:t xml:space="preserve">  </w:t>
      </w:r>
      <w:r w:rsidRPr="00287652">
        <w:rPr>
          <w:sz w:val="24"/>
          <w:szCs w:val="24"/>
        </w:rPr>
        <w:t>In doing so,</w:t>
      </w:r>
      <w:r>
        <w:rPr>
          <w:sz w:val="24"/>
          <w:szCs w:val="24"/>
        </w:rPr>
        <w:t xml:space="preserve"> the Commission</w:t>
      </w:r>
      <w:r w:rsidRPr="00287652">
        <w:rPr>
          <w:sz w:val="24"/>
          <w:szCs w:val="24"/>
        </w:rPr>
        <w:t xml:space="preserve"> can empower individual customers to deploy</w:t>
      </w:r>
      <w:r w:rsidR="003F3FF9">
        <w:rPr>
          <w:sz w:val="24"/>
          <w:szCs w:val="24"/>
        </w:rPr>
        <w:t xml:space="preserve"> clean</w:t>
      </w:r>
      <w:r w:rsidRPr="00287652">
        <w:rPr>
          <w:sz w:val="24"/>
          <w:szCs w:val="24"/>
        </w:rPr>
        <w:t xml:space="preserve"> </w:t>
      </w:r>
      <w:r>
        <w:rPr>
          <w:sz w:val="24"/>
          <w:szCs w:val="24"/>
        </w:rPr>
        <w:t>renewable resources</w:t>
      </w:r>
      <w:r w:rsidRPr="00287652">
        <w:rPr>
          <w:sz w:val="24"/>
          <w:szCs w:val="24"/>
        </w:rPr>
        <w:t xml:space="preserve"> to meet actual </w:t>
      </w:r>
      <w:r w:rsidR="00792395">
        <w:rPr>
          <w:sz w:val="24"/>
          <w:szCs w:val="24"/>
        </w:rPr>
        <w:t>consumer preference</w:t>
      </w:r>
      <w:r>
        <w:rPr>
          <w:sz w:val="24"/>
          <w:szCs w:val="24"/>
        </w:rPr>
        <w:t xml:space="preserve">, </w:t>
      </w:r>
      <w:r w:rsidRPr="00714364">
        <w:rPr>
          <w:sz w:val="24"/>
          <w:szCs w:val="24"/>
        </w:rPr>
        <w:t>whether it is greater than or less than what AEP is proposing</w:t>
      </w:r>
      <w:r w:rsidR="00FD1440">
        <w:rPr>
          <w:sz w:val="24"/>
          <w:szCs w:val="24"/>
        </w:rPr>
        <w:t xml:space="preserve"> in this case</w:t>
      </w:r>
      <w:r>
        <w:rPr>
          <w:sz w:val="24"/>
          <w:szCs w:val="24"/>
        </w:rPr>
        <w:t>.</w:t>
      </w:r>
    </w:p>
    <w:p w14:paraId="02F2C34E" w14:textId="0335F71D" w:rsidR="00F11B92" w:rsidRPr="00694919" w:rsidRDefault="00694919" w:rsidP="00694919">
      <w:pPr>
        <w:spacing w:line="48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Respectfully submitted,</w:t>
      </w:r>
    </w:p>
    <w:p w14:paraId="769A11AD" w14:textId="77777777" w:rsidR="002E49D6" w:rsidRPr="00DB0D3A" w:rsidRDefault="00DB0D3A" w:rsidP="00055553">
      <w:pPr>
        <w:tabs>
          <w:tab w:val="left" w:pos="360"/>
        </w:tabs>
        <w:spacing w:after="0" w:line="360" w:lineRule="auto"/>
        <w:rPr>
          <w:i/>
          <w:sz w:val="24"/>
          <w:szCs w:val="24"/>
          <w:u w:val="single"/>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DB0D3A">
        <w:rPr>
          <w:sz w:val="24"/>
          <w:szCs w:val="24"/>
        </w:rPr>
        <w:tab/>
      </w:r>
      <w:r w:rsidRPr="00DB0D3A">
        <w:rPr>
          <w:i/>
          <w:sz w:val="24"/>
          <w:szCs w:val="24"/>
          <w:u w:val="single"/>
        </w:rPr>
        <w:t>/s/ Joseph Oliker</w:t>
      </w:r>
    </w:p>
    <w:p w14:paraId="144E302B" w14:textId="77777777" w:rsidR="00DB0D3A" w:rsidRPr="002E49D6" w:rsidRDefault="00DB0D3A" w:rsidP="00DB0D3A">
      <w:pPr>
        <w:spacing w:after="0" w:line="240" w:lineRule="auto"/>
        <w:ind w:left="5040"/>
        <w:rPr>
          <w:sz w:val="24"/>
          <w:szCs w:val="24"/>
        </w:rPr>
      </w:pPr>
      <w:r>
        <w:rPr>
          <w:sz w:val="24"/>
          <w:szCs w:val="24"/>
        </w:rPr>
        <w:t>J</w:t>
      </w:r>
      <w:r w:rsidRPr="002E49D6">
        <w:rPr>
          <w:sz w:val="24"/>
          <w:szCs w:val="24"/>
        </w:rPr>
        <w:t>oseph Oliker (0086088)</w:t>
      </w:r>
    </w:p>
    <w:p w14:paraId="5F45BB03" w14:textId="77777777" w:rsidR="00DB0D3A" w:rsidRPr="002E49D6" w:rsidRDefault="00DB0D3A" w:rsidP="00DB0D3A">
      <w:pPr>
        <w:spacing w:after="0" w:line="240" w:lineRule="auto"/>
        <w:ind w:left="5040"/>
        <w:rPr>
          <w:sz w:val="24"/>
          <w:szCs w:val="24"/>
        </w:rPr>
      </w:pPr>
      <w:r w:rsidRPr="002E49D6">
        <w:rPr>
          <w:sz w:val="24"/>
          <w:szCs w:val="24"/>
        </w:rPr>
        <w:t xml:space="preserve">Email: </w:t>
      </w:r>
      <w:hyperlink r:id="rId16" w:history="1">
        <w:r w:rsidRPr="002E49D6">
          <w:rPr>
            <w:rStyle w:val="Hyperlink"/>
            <w:color w:val="auto"/>
            <w:sz w:val="24"/>
            <w:szCs w:val="24"/>
            <w:u w:val="none"/>
          </w:rPr>
          <w:t>joliker@igsenergy.com</w:t>
        </w:r>
      </w:hyperlink>
    </w:p>
    <w:p w14:paraId="696F92E1" w14:textId="77777777" w:rsidR="00DB0D3A" w:rsidRPr="002E49D6" w:rsidRDefault="00DB0D3A" w:rsidP="00DB0D3A">
      <w:pPr>
        <w:spacing w:after="0" w:line="240" w:lineRule="auto"/>
        <w:ind w:left="5040"/>
        <w:rPr>
          <w:sz w:val="24"/>
          <w:szCs w:val="24"/>
        </w:rPr>
      </w:pPr>
      <w:r w:rsidRPr="002E49D6">
        <w:rPr>
          <w:sz w:val="24"/>
          <w:szCs w:val="24"/>
        </w:rPr>
        <w:t>Counsel of Record</w:t>
      </w:r>
    </w:p>
    <w:p w14:paraId="3BFC7C03" w14:textId="77777777" w:rsidR="00DB0D3A" w:rsidRPr="002E49D6" w:rsidRDefault="00DB0D3A" w:rsidP="00DB0D3A">
      <w:pPr>
        <w:spacing w:after="0" w:line="240" w:lineRule="auto"/>
        <w:ind w:left="5040"/>
        <w:rPr>
          <w:sz w:val="24"/>
          <w:szCs w:val="24"/>
        </w:rPr>
      </w:pPr>
      <w:r w:rsidRPr="002E49D6">
        <w:rPr>
          <w:sz w:val="24"/>
          <w:szCs w:val="24"/>
        </w:rPr>
        <w:t>Michael Nugent</w:t>
      </w:r>
    </w:p>
    <w:p w14:paraId="509D8C03" w14:textId="77777777" w:rsidR="00DB0D3A" w:rsidRPr="002E49D6" w:rsidRDefault="00DB0D3A" w:rsidP="00DB0D3A">
      <w:pPr>
        <w:spacing w:after="0" w:line="240" w:lineRule="auto"/>
        <w:ind w:left="5040"/>
        <w:rPr>
          <w:sz w:val="24"/>
          <w:szCs w:val="24"/>
        </w:rPr>
      </w:pPr>
      <w:r w:rsidRPr="002E49D6">
        <w:rPr>
          <w:sz w:val="24"/>
          <w:szCs w:val="24"/>
        </w:rPr>
        <w:t>Email: mnugent@igsenergy.com</w:t>
      </w:r>
    </w:p>
    <w:p w14:paraId="5E07CCCF" w14:textId="77777777" w:rsidR="00DB0D3A" w:rsidRPr="002E49D6" w:rsidRDefault="00DB0D3A" w:rsidP="00DB0D3A">
      <w:pPr>
        <w:spacing w:after="0" w:line="240" w:lineRule="auto"/>
        <w:ind w:left="5040"/>
        <w:rPr>
          <w:sz w:val="24"/>
          <w:szCs w:val="24"/>
        </w:rPr>
      </w:pPr>
      <w:r w:rsidRPr="002E49D6">
        <w:rPr>
          <w:sz w:val="24"/>
          <w:szCs w:val="24"/>
        </w:rPr>
        <w:t>IGS Energy</w:t>
      </w:r>
    </w:p>
    <w:p w14:paraId="687C9EC9" w14:textId="77777777" w:rsidR="00DB0D3A" w:rsidRPr="002E49D6" w:rsidRDefault="00DB0D3A" w:rsidP="00DB0D3A">
      <w:pPr>
        <w:spacing w:after="0" w:line="240" w:lineRule="auto"/>
        <w:ind w:left="5040"/>
        <w:rPr>
          <w:sz w:val="24"/>
          <w:szCs w:val="24"/>
        </w:rPr>
      </w:pPr>
      <w:r w:rsidRPr="002E49D6">
        <w:rPr>
          <w:sz w:val="24"/>
          <w:szCs w:val="24"/>
        </w:rPr>
        <w:t>6100 Emerald Parkway</w:t>
      </w:r>
    </w:p>
    <w:p w14:paraId="76F82882" w14:textId="77777777" w:rsidR="00DB0D3A" w:rsidRPr="002E49D6" w:rsidRDefault="00DB0D3A" w:rsidP="00DB0D3A">
      <w:pPr>
        <w:spacing w:after="0" w:line="240" w:lineRule="auto"/>
        <w:ind w:left="5040"/>
        <w:rPr>
          <w:sz w:val="24"/>
          <w:szCs w:val="24"/>
        </w:rPr>
      </w:pPr>
      <w:r w:rsidRPr="002E49D6">
        <w:rPr>
          <w:sz w:val="24"/>
          <w:szCs w:val="24"/>
        </w:rPr>
        <w:t>Dublin, Ohio 43016</w:t>
      </w:r>
    </w:p>
    <w:p w14:paraId="405D1CF7" w14:textId="77777777" w:rsidR="00DB0D3A" w:rsidRPr="002E49D6" w:rsidRDefault="00DB0D3A" w:rsidP="00DB0D3A">
      <w:pPr>
        <w:spacing w:after="0" w:line="240" w:lineRule="auto"/>
        <w:ind w:left="5040"/>
        <w:rPr>
          <w:sz w:val="24"/>
          <w:szCs w:val="24"/>
        </w:rPr>
      </w:pPr>
      <w:r w:rsidRPr="002E49D6">
        <w:rPr>
          <w:sz w:val="24"/>
          <w:szCs w:val="24"/>
        </w:rPr>
        <w:t>Telephone:</w:t>
      </w:r>
      <w:r w:rsidRPr="002E49D6">
        <w:rPr>
          <w:sz w:val="24"/>
          <w:szCs w:val="24"/>
        </w:rPr>
        <w:tab/>
        <w:t>(614) 659-5000</w:t>
      </w:r>
    </w:p>
    <w:p w14:paraId="31C5F4E0" w14:textId="77777777" w:rsidR="00DB0D3A" w:rsidRPr="002E49D6" w:rsidRDefault="00DB0D3A" w:rsidP="00DB0D3A">
      <w:pPr>
        <w:spacing w:after="0" w:line="240" w:lineRule="auto"/>
        <w:ind w:left="5040"/>
        <w:rPr>
          <w:sz w:val="24"/>
          <w:szCs w:val="24"/>
        </w:rPr>
      </w:pPr>
      <w:r w:rsidRPr="002E49D6">
        <w:rPr>
          <w:sz w:val="24"/>
          <w:szCs w:val="24"/>
        </w:rPr>
        <w:t>Facsimile:</w:t>
      </w:r>
      <w:r w:rsidRPr="002E49D6">
        <w:rPr>
          <w:sz w:val="24"/>
          <w:szCs w:val="24"/>
        </w:rPr>
        <w:tab/>
        <w:t>(614) 659-5073</w:t>
      </w:r>
    </w:p>
    <w:p w14:paraId="680A4E5D" w14:textId="77777777" w:rsidR="00DB0D3A" w:rsidRPr="002E49D6" w:rsidRDefault="00DB0D3A" w:rsidP="00DB0D3A">
      <w:pPr>
        <w:spacing w:after="0" w:line="240" w:lineRule="auto"/>
        <w:ind w:left="5040"/>
        <w:rPr>
          <w:sz w:val="24"/>
          <w:szCs w:val="24"/>
        </w:rPr>
      </w:pPr>
    </w:p>
    <w:p w14:paraId="4BFC68F9" w14:textId="77777777" w:rsidR="00DB0D3A" w:rsidRPr="002E49D6" w:rsidRDefault="00DB0D3A" w:rsidP="00DB0D3A">
      <w:pPr>
        <w:spacing w:after="0" w:line="240" w:lineRule="auto"/>
        <w:ind w:left="5040"/>
        <w:rPr>
          <w:b/>
          <w:i/>
          <w:sz w:val="24"/>
          <w:szCs w:val="24"/>
        </w:rPr>
      </w:pPr>
      <w:r w:rsidRPr="002E49D6">
        <w:rPr>
          <w:b/>
          <w:i/>
          <w:sz w:val="24"/>
          <w:szCs w:val="24"/>
        </w:rPr>
        <w:t>Attorneys for IGS Energy</w:t>
      </w:r>
    </w:p>
    <w:p w14:paraId="19219836" w14:textId="77777777" w:rsidR="002E49D6" w:rsidRDefault="002E49D6" w:rsidP="00055553">
      <w:pPr>
        <w:tabs>
          <w:tab w:val="left" w:pos="360"/>
        </w:tabs>
        <w:spacing w:after="0" w:line="360" w:lineRule="auto"/>
        <w:rPr>
          <w:b/>
          <w:sz w:val="24"/>
          <w:szCs w:val="24"/>
          <w:u w:val="single"/>
        </w:rPr>
      </w:pPr>
    </w:p>
    <w:p w14:paraId="296FEF7D" w14:textId="77777777" w:rsidR="002E49D6" w:rsidRDefault="002E49D6" w:rsidP="00055553">
      <w:pPr>
        <w:tabs>
          <w:tab w:val="left" w:pos="360"/>
        </w:tabs>
        <w:spacing w:after="0" w:line="360" w:lineRule="auto"/>
        <w:rPr>
          <w:b/>
          <w:sz w:val="24"/>
          <w:szCs w:val="24"/>
          <w:u w:val="single"/>
        </w:rPr>
      </w:pPr>
    </w:p>
    <w:p w14:paraId="7194DBDC" w14:textId="77777777" w:rsidR="002E49D6" w:rsidRDefault="002E49D6" w:rsidP="00055553">
      <w:pPr>
        <w:tabs>
          <w:tab w:val="left" w:pos="360"/>
        </w:tabs>
        <w:spacing w:after="0" w:line="360" w:lineRule="auto"/>
        <w:rPr>
          <w:b/>
          <w:sz w:val="24"/>
          <w:szCs w:val="24"/>
          <w:u w:val="single"/>
        </w:rPr>
      </w:pPr>
    </w:p>
    <w:p w14:paraId="769D0D3C" w14:textId="77777777" w:rsidR="002E49D6" w:rsidRDefault="002E49D6" w:rsidP="00055553">
      <w:pPr>
        <w:tabs>
          <w:tab w:val="left" w:pos="360"/>
        </w:tabs>
        <w:spacing w:after="0" w:line="360" w:lineRule="auto"/>
        <w:rPr>
          <w:b/>
          <w:sz w:val="24"/>
          <w:szCs w:val="24"/>
          <w:u w:val="single"/>
        </w:rPr>
      </w:pPr>
    </w:p>
    <w:p w14:paraId="6BD18F9B" w14:textId="5422BF71" w:rsidR="00D136F1" w:rsidRDefault="00D136F1" w:rsidP="6AF121AF">
      <w:pPr>
        <w:tabs>
          <w:tab w:val="left" w:pos="360"/>
        </w:tabs>
        <w:spacing w:after="0" w:line="360" w:lineRule="auto"/>
        <w:rPr>
          <w:b/>
          <w:bCs/>
          <w:sz w:val="24"/>
          <w:szCs w:val="24"/>
          <w:u w:val="single"/>
        </w:rPr>
      </w:pPr>
    </w:p>
    <w:p w14:paraId="1E75A79E" w14:textId="77777777" w:rsidR="00694919" w:rsidRDefault="00694919" w:rsidP="6AF121AF">
      <w:pPr>
        <w:tabs>
          <w:tab w:val="left" w:pos="360"/>
        </w:tabs>
        <w:spacing w:after="0" w:line="360" w:lineRule="auto"/>
        <w:rPr>
          <w:b/>
          <w:bCs/>
          <w:sz w:val="24"/>
          <w:szCs w:val="24"/>
          <w:u w:val="single"/>
        </w:rPr>
      </w:pPr>
    </w:p>
    <w:p w14:paraId="238601FE" w14:textId="77777777" w:rsidR="00E67F76" w:rsidRDefault="00E67F76" w:rsidP="00CF2021">
      <w:pPr>
        <w:spacing w:after="0" w:line="240" w:lineRule="auto"/>
        <w:rPr>
          <w:rFonts w:eastAsia="Arial"/>
          <w:b/>
          <w:sz w:val="24"/>
          <w:szCs w:val="24"/>
          <w:u w:val="single"/>
        </w:rPr>
      </w:pPr>
    </w:p>
    <w:p w14:paraId="0B21468E" w14:textId="77777777" w:rsidR="007C48A1" w:rsidRPr="00D136F1" w:rsidRDefault="007C48A1" w:rsidP="007C48A1">
      <w:pPr>
        <w:spacing w:after="0" w:line="240" w:lineRule="auto"/>
        <w:ind w:left="2160" w:firstLine="720"/>
        <w:rPr>
          <w:rFonts w:eastAsia="Arial"/>
          <w:b/>
          <w:color w:val="FF0000"/>
          <w:sz w:val="24"/>
          <w:szCs w:val="24"/>
          <w:u w:val="single"/>
        </w:rPr>
      </w:pPr>
      <w:r w:rsidRPr="00D136F1">
        <w:rPr>
          <w:rFonts w:eastAsia="Arial"/>
          <w:b/>
          <w:sz w:val="24"/>
          <w:szCs w:val="24"/>
          <w:u w:val="single"/>
        </w:rPr>
        <w:lastRenderedPageBreak/>
        <w:t>CERTIFICATE OF SERVICE</w:t>
      </w:r>
    </w:p>
    <w:p w14:paraId="0F3CABC7" w14:textId="77777777" w:rsidR="007C48A1" w:rsidRPr="009D71F6" w:rsidRDefault="007C48A1" w:rsidP="007C48A1">
      <w:pPr>
        <w:spacing w:after="0" w:line="240" w:lineRule="auto"/>
        <w:jc w:val="center"/>
        <w:rPr>
          <w:rFonts w:eastAsia="Arial"/>
          <w:b/>
          <w:sz w:val="24"/>
          <w:szCs w:val="24"/>
          <w:u w:val="single"/>
        </w:rPr>
      </w:pPr>
    </w:p>
    <w:p w14:paraId="40C6BAFB" w14:textId="33827F49" w:rsidR="007C48A1" w:rsidRPr="009D71F6" w:rsidRDefault="007C48A1" w:rsidP="6AF121AF">
      <w:pPr>
        <w:spacing w:after="0" w:line="240" w:lineRule="auto"/>
        <w:jc w:val="both"/>
        <w:rPr>
          <w:rFonts w:eastAsia="Calibri"/>
          <w:sz w:val="24"/>
          <w:szCs w:val="24"/>
        </w:rPr>
      </w:pPr>
      <w:r w:rsidRPr="009D71F6">
        <w:rPr>
          <w:rFonts w:eastAsia="Arial"/>
          <w:sz w:val="24"/>
          <w:szCs w:val="24"/>
        </w:rPr>
        <w:tab/>
      </w:r>
      <w:r w:rsidRPr="009D71F6">
        <w:rPr>
          <w:rFonts w:eastAsia="Calibri"/>
          <w:sz w:val="24"/>
          <w:szCs w:val="24"/>
        </w:rPr>
        <w:t xml:space="preserve">The undersigned hereby certifies that a copy of the foregoing </w:t>
      </w:r>
      <w:r w:rsidRPr="6AF121AF">
        <w:rPr>
          <w:rFonts w:eastAsia="Calibri"/>
          <w:i/>
          <w:iCs/>
          <w:sz w:val="24"/>
          <w:szCs w:val="24"/>
        </w:rPr>
        <w:t>Initial Brief of</w:t>
      </w:r>
      <w:r w:rsidRPr="009D71F6">
        <w:rPr>
          <w:rFonts w:eastAsia="Calibri"/>
          <w:sz w:val="24"/>
          <w:szCs w:val="24"/>
        </w:rPr>
        <w:t xml:space="preserve"> </w:t>
      </w:r>
      <w:r w:rsidRPr="6AF121AF">
        <w:rPr>
          <w:rFonts w:eastAsia="Calibri"/>
          <w:i/>
          <w:iCs/>
          <w:sz w:val="24"/>
          <w:szCs w:val="24"/>
        </w:rPr>
        <w:t>Int</w:t>
      </w:r>
      <w:r w:rsidR="00AE6B35" w:rsidRPr="6AF121AF">
        <w:rPr>
          <w:rFonts w:eastAsia="Calibri"/>
          <w:i/>
          <w:iCs/>
          <w:sz w:val="24"/>
          <w:szCs w:val="24"/>
        </w:rPr>
        <w:t>e</w:t>
      </w:r>
      <w:r w:rsidR="00605509" w:rsidRPr="6AF121AF">
        <w:rPr>
          <w:rFonts w:eastAsia="Calibri"/>
          <w:i/>
          <w:iCs/>
          <w:sz w:val="24"/>
          <w:szCs w:val="24"/>
        </w:rPr>
        <w:t xml:space="preserve">rstate Gas Supply, Inc. </w:t>
      </w:r>
      <w:r w:rsidR="002415A5" w:rsidRPr="6AF121AF">
        <w:rPr>
          <w:rFonts w:eastAsia="Calibri"/>
          <w:i/>
          <w:iCs/>
          <w:sz w:val="24"/>
          <w:szCs w:val="24"/>
        </w:rPr>
        <w:t>and IGS Solar, LLC</w:t>
      </w:r>
      <w:r w:rsidR="00605509" w:rsidRPr="6AF121AF">
        <w:rPr>
          <w:rFonts w:eastAsia="Calibri"/>
          <w:i/>
          <w:iCs/>
          <w:sz w:val="24"/>
          <w:szCs w:val="24"/>
        </w:rPr>
        <w:t>,</w:t>
      </w:r>
      <w:r w:rsidRPr="6AF121AF">
        <w:rPr>
          <w:rFonts w:eastAsia="Calibri"/>
          <w:i/>
          <w:iCs/>
          <w:sz w:val="24"/>
          <w:szCs w:val="24"/>
        </w:rPr>
        <w:t xml:space="preserve"> </w:t>
      </w:r>
      <w:r w:rsidRPr="009D71F6">
        <w:rPr>
          <w:rFonts w:eastAsia="Calibri"/>
          <w:sz w:val="24"/>
          <w:szCs w:val="24"/>
        </w:rPr>
        <w:t xml:space="preserve">was served this </w:t>
      </w:r>
      <w:r w:rsidR="008D4A36">
        <w:rPr>
          <w:rFonts w:eastAsia="Calibri"/>
          <w:sz w:val="24"/>
          <w:szCs w:val="24"/>
        </w:rPr>
        <w:t>6</w:t>
      </w:r>
      <w:r w:rsidR="00E67F76">
        <w:rPr>
          <w:rFonts w:eastAsia="Calibri"/>
          <w:sz w:val="24"/>
          <w:szCs w:val="24"/>
        </w:rPr>
        <w:t>th</w:t>
      </w:r>
      <w:r w:rsidRPr="009D71F6">
        <w:rPr>
          <w:rFonts w:eastAsia="Calibri"/>
          <w:sz w:val="24"/>
          <w:szCs w:val="24"/>
        </w:rPr>
        <w:t xml:space="preserve"> day of March</w:t>
      </w:r>
      <w:r w:rsidR="001E1681">
        <w:rPr>
          <w:rFonts w:eastAsia="Calibri"/>
          <w:sz w:val="24"/>
          <w:szCs w:val="24"/>
        </w:rPr>
        <w:t xml:space="preserve"> 2019</w:t>
      </w:r>
      <w:r w:rsidRPr="009D71F6">
        <w:rPr>
          <w:rFonts w:eastAsia="Calibri"/>
          <w:sz w:val="24"/>
          <w:szCs w:val="24"/>
        </w:rPr>
        <w:t xml:space="preserve"> via electronic mail upon the following:</w:t>
      </w:r>
    </w:p>
    <w:p w14:paraId="5B08B5D1" w14:textId="77777777" w:rsidR="007C48A1" w:rsidRPr="009D71F6" w:rsidRDefault="007C48A1" w:rsidP="007C48A1">
      <w:pPr>
        <w:spacing w:after="0" w:line="240" w:lineRule="auto"/>
        <w:jc w:val="both"/>
        <w:rPr>
          <w:rFonts w:eastAsia="Arial"/>
          <w:sz w:val="24"/>
          <w:szCs w:val="24"/>
        </w:rPr>
      </w:pPr>
    </w:p>
    <w:p w14:paraId="16DEB4AB" w14:textId="77777777" w:rsidR="007C48A1" w:rsidRPr="0079455C" w:rsidRDefault="007C48A1" w:rsidP="007C48A1">
      <w:pPr>
        <w:spacing w:after="0" w:line="240" w:lineRule="auto"/>
        <w:rPr>
          <w:sz w:val="16"/>
          <w:szCs w:val="16"/>
        </w:rPr>
      </w:pPr>
    </w:p>
    <w:tbl>
      <w:tblPr>
        <w:tblStyle w:val="TableGrid"/>
        <w:tblW w:w="0" w:type="auto"/>
        <w:tblLook w:val="04A0" w:firstRow="1" w:lastRow="0" w:firstColumn="1" w:lastColumn="0" w:noHBand="0" w:noVBand="1"/>
      </w:tblPr>
      <w:tblGrid>
        <w:gridCol w:w="5023"/>
        <w:gridCol w:w="4327"/>
      </w:tblGrid>
      <w:tr w:rsidR="004E62FB" w:rsidRPr="0079455C" w14:paraId="014BA242" w14:textId="77777777" w:rsidTr="005E0176">
        <w:trPr>
          <w:trHeight w:val="2357"/>
        </w:trPr>
        <w:tc>
          <w:tcPr>
            <w:tcW w:w="4610" w:type="dxa"/>
          </w:tcPr>
          <w:p w14:paraId="2FA9D225" w14:textId="77777777" w:rsidR="004E62FB" w:rsidRPr="004E62FB" w:rsidRDefault="007F4432" w:rsidP="004E62FB">
            <w:pPr>
              <w:pStyle w:val="BodyText"/>
              <w:spacing w:line="240" w:lineRule="auto"/>
              <w:rPr>
                <w:rFonts w:ascii="Arial" w:hAnsi="Arial" w:cs="Arial"/>
                <w:bCs/>
              </w:rPr>
            </w:pPr>
            <w:hyperlink r:id="rId17" w:history="1">
              <w:r w:rsidR="004E62FB" w:rsidRPr="004E62FB">
                <w:rPr>
                  <w:rStyle w:val="Hyperlink"/>
                  <w:rFonts w:ascii="Arial" w:hAnsi="Arial" w:cs="Arial"/>
                  <w:color w:val="auto"/>
                  <w:u w:val="none"/>
                </w:rPr>
                <w:t>Thomas.mcnamee@ohioattorneygeneral.gov</w:t>
              </w:r>
            </w:hyperlink>
          </w:p>
          <w:p w14:paraId="0CEC64F8" w14:textId="77777777" w:rsidR="004E62FB" w:rsidRPr="004E62FB" w:rsidRDefault="007F4432" w:rsidP="004E62FB">
            <w:pPr>
              <w:pStyle w:val="BodyText"/>
              <w:spacing w:line="240" w:lineRule="auto"/>
              <w:rPr>
                <w:rFonts w:ascii="Arial" w:hAnsi="Arial" w:cs="Arial"/>
                <w:bCs/>
              </w:rPr>
            </w:pPr>
            <w:hyperlink r:id="rId18" w:history="1">
              <w:r w:rsidR="004E62FB" w:rsidRPr="004E62FB">
                <w:rPr>
                  <w:rStyle w:val="Hyperlink"/>
                  <w:rFonts w:ascii="Arial" w:hAnsi="Arial" w:cs="Arial"/>
                  <w:color w:val="auto"/>
                  <w:u w:val="none"/>
                </w:rPr>
                <w:t>kboehm@BKLlawfirm.com</w:t>
              </w:r>
            </w:hyperlink>
          </w:p>
          <w:p w14:paraId="1E43A8CE" w14:textId="77777777" w:rsidR="004E62FB" w:rsidRPr="004E62FB" w:rsidRDefault="007F4432" w:rsidP="004E62FB">
            <w:pPr>
              <w:pStyle w:val="BodyText"/>
              <w:spacing w:line="240" w:lineRule="auto"/>
              <w:rPr>
                <w:rFonts w:ascii="Arial" w:hAnsi="Arial" w:cs="Arial"/>
                <w:bCs/>
              </w:rPr>
            </w:pPr>
            <w:hyperlink r:id="rId19" w:history="1">
              <w:r w:rsidR="004E62FB" w:rsidRPr="004E62FB">
                <w:rPr>
                  <w:rStyle w:val="Hyperlink"/>
                  <w:rFonts w:ascii="Arial" w:hAnsi="Arial" w:cs="Arial"/>
                  <w:color w:val="auto"/>
                  <w:u w:val="none"/>
                </w:rPr>
                <w:t>jkylercohn@BKLlawfirm.com</w:t>
              </w:r>
            </w:hyperlink>
          </w:p>
          <w:p w14:paraId="26F2486E" w14:textId="77777777" w:rsidR="004E62FB" w:rsidRPr="004E62FB" w:rsidRDefault="007F4432" w:rsidP="004E62FB">
            <w:pPr>
              <w:autoSpaceDE w:val="0"/>
              <w:autoSpaceDN w:val="0"/>
              <w:adjustRightInd w:val="0"/>
              <w:spacing w:after="0" w:line="240" w:lineRule="auto"/>
              <w:jc w:val="both"/>
              <w:rPr>
                <w:sz w:val="24"/>
                <w:szCs w:val="24"/>
              </w:rPr>
            </w:pPr>
            <w:hyperlink r:id="rId20" w:history="1">
              <w:r w:rsidR="004E62FB" w:rsidRPr="004E62FB">
                <w:rPr>
                  <w:rStyle w:val="Hyperlink"/>
                  <w:color w:val="auto"/>
                  <w:sz w:val="24"/>
                  <w:szCs w:val="24"/>
                  <w:u w:val="none"/>
                </w:rPr>
                <w:t>mpritchard@mwncmh.com</w:t>
              </w:r>
            </w:hyperlink>
          </w:p>
          <w:p w14:paraId="151053A8" w14:textId="77777777" w:rsidR="004E62FB" w:rsidRPr="004E62FB" w:rsidRDefault="007F4432" w:rsidP="004E62FB">
            <w:pPr>
              <w:autoSpaceDE w:val="0"/>
              <w:autoSpaceDN w:val="0"/>
              <w:adjustRightInd w:val="0"/>
              <w:spacing w:after="0" w:line="240" w:lineRule="auto"/>
              <w:jc w:val="both"/>
              <w:rPr>
                <w:rStyle w:val="Hyperlink"/>
                <w:color w:val="auto"/>
                <w:sz w:val="24"/>
                <w:szCs w:val="24"/>
                <w:u w:val="none"/>
              </w:rPr>
            </w:pPr>
            <w:hyperlink r:id="rId21" w:history="1">
              <w:r w:rsidR="004E62FB" w:rsidRPr="004E62FB">
                <w:rPr>
                  <w:rStyle w:val="Hyperlink"/>
                  <w:color w:val="auto"/>
                  <w:sz w:val="24"/>
                  <w:szCs w:val="24"/>
                  <w:u w:val="none"/>
                </w:rPr>
                <w:t>fdarr@mwncmh.com</w:t>
              </w:r>
            </w:hyperlink>
          </w:p>
          <w:p w14:paraId="172B369B" w14:textId="77777777" w:rsidR="004E62FB" w:rsidRPr="004E62FB" w:rsidRDefault="007F4432" w:rsidP="004E62FB">
            <w:pPr>
              <w:autoSpaceDE w:val="0"/>
              <w:autoSpaceDN w:val="0"/>
              <w:adjustRightInd w:val="0"/>
              <w:spacing w:after="0" w:line="240" w:lineRule="auto"/>
              <w:jc w:val="both"/>
              <w:rPr>
                <w:sz w:val="24"/>
                <w:szCs w:val="24"/>
              </w:rPr>
            </w:pPr>
            <w:hyperlink r:id="rId22" w:history="1">
              <w:r w:rsidR="004E62FB" w:rsidRPr="004E62FB">
                <w:rPr>
                  <w:rStyle w:val="Hyperlink"/>
                  <w:rFonts w:eastAsia="Calibri"/>
                  <w:color w:val="auto"/>
                  <w:sz w:val="24"/>
                  <w:szCs w:val="24"/>
                  <w:u w:val="none"/>
                </w:rPr>
                <w:t>mleppla@theOEC.org</w:t>
              </w:r>
            </w:hyperlink>
          </w:p>
          <w:p w14:paraId="712DC490" w14:textId="77777777" w:rsidR="004E62FB" w:rsidRPr="004E62FB" w:rsidRDefault="007F4432" w:rsidP="004E62FB">
            <w:pPr>
              <w:autoSpaceDE w:val="0"/>
              <w:autoSpaceDN w:val="0"/>
              <w:adjustRightInd w:val="0"/>
              <w:spacing w:after="0" w:line="240" w:lineRule="auto"/>
              <w:jc w:val="both"/>
              <w:rPr>
                <w:sz w:val="24"/>
                <w:szCs w:val="24"/>
              </w:rPr>
            </w:pPr>
            <w:hyperlink r:id="rId23" w:history="1">
              <w:r w:rsidR="004E62FB" w:rsidRPr="004E62FB">
                <w:rPr>
                  <w:rStyle w:val="Hyperlink"/>
                  <w:color w:val="auto"/>
                  <w:sz w:val="24"/>
                  <w:szCs w:val="24"/>
                  <w:u w:val="none"/>
                </w:rPr>
                <w:t>dparram@bricker.com</w:t>
              </w:r>
            </w:hyperlink>
          </w:p>
          <w:p w14:paraId="25AB8E7C" w14:textId="77777777" w:rsidR="004E62FB" w:rsidRPr="004E62FB" w:rsidRDefault="007F4432" w:rsidP="004E62FB">
            <w:pPr>
              <w:autoSpaceDE w:val="0"/>
              <w:autoSpaceDN w:val="0"/>
              <w:adjustRightInd w:val="0"/>
              <w:spacing w:after="0" w:line="240" w:lineRule="auto"/>
              <w:jc w:val="both"/>
              <w:rPr>
                <w:rFonts w:eastAsia="Calibri"/>
                <w:sz w:val="24"/>
                <w:szCs w:val="24"/>
              </w:rPr>
            </w:pPr>
            <w:hyperlink r:id="rId24" w:history="1">
              <w:r w:rsidR="004E62FB" w:rsidRPr="004E62FB">
                <w:rPr>
                  <w:rStyle w:val="Hyperlink"/>
                  <w:rFonts w:eastAsia="Calibri"/>
                  <w:color w:val="auto"/>
                  <w:sz w:val="24"/>
                  <w:szCs w:val="24"/>
                  <w:u w:val="none"/>
                </w:rPr>
                <w:t>jstock@beneschlaw.com</w:t>
              </w:r>
            </w:hyperlink>
          </w:p>
          <w:p w14:paraId="1224D1B0" w14:textId="77777777" w:rsidR="004E62FB" w:rsidRPr="004E62FB" w:rsidRDefault="007F4432" w:rsidP="004E62FB">
            <w:pPr>
              <w:autoSpaceDE w:val="0"/>
              <w:autoSpaceDN w:val="0"/>
              <w:adjustRightInd w:val="0"/>
              <w:spacing w:after="0" w:line="240" w:lineRule="auto"/>
              <w:jc w:val="both"/>
              <w:rPr>
                <w:rStyle w:val="Hyperlink"/>
                <w:color w:val="auto"/>
                <w:sz w:val="24"/>
                <w:szCs w:val="24"/>
                <w:u w:val="none"/>
              </w:rPr>
            </w:pPr>
            <w:hyperlink r:id="rId25" w:history="1">
              <w:r w:rsidR="004E62FB" w:rsidRPr="004E62FB">
                <w:rPr>
                  <w:rStyle w:val="Hyperlink"/>
                  <w:rFonts w:eastAsia="Calibri"/>
                  <w:color w:val="auto"/>
                  <w:sz w:val="24"/>
                  <w:szCs w:val="24"/>
                  <w:u w:val="none"/>
                </w:rPr>
                <w:t>jrego@beneschlaw.com</w:t>
              </w:r>
            </w:hyperlink>
          </w:p>
          <w:p w14:paraId="2C915C42" w14:textId="77777777" w:rsidR="004E62FB" w:rsidRPr="004E62FB" w:rsidRDefault="007F4432" w:rsidP="004E62FB">
            <w:pPr>
              <w:autoSpaceDE w:val="0"/>
              <w:autoSpaceDN w:val="0"/>
              <w:adjustRightInd w:val="0"/>
              <w:spacing w:after="0" w:line="240" w:lineRule="auto"/>
              <w:jc w:val="both"/>
              <w:rPr>
                <w:rFonts w:eastAsiaTheme="minorHAnsi"/>
                <w:sz w:val="24"/>
                <w:szCs w:val="24"/>
              </w:rPr>
            </w:pPr>
            <w:hyperlink r:id="rId26" w:history="1">
              <w:r w:rsidR="004E62FB" w:rsidRPr="004E62FB">
                <w:rPr>
                  <w:rStyle w:val="Hyperlink"/>
                  <w:rFonts w:eastAsiaTheme="minorHAnsi"/>
                  <w:color w:val="auto"/>
                  <w:sz w:val="24"/>
                  <w:szCs w:val="24"/>
                  <w:u w:val="none"/>
                </w:rPr>
                <w:t>cpirik@dickinsonwright.com</w:t>
              </w:r>
            </w:hyperlink>
          </w:p>
          <w:p w14:paraId="3281586B" w14:textId="77777777" w:rsidR="004E62FB" w:rsidRPr="004E62FB" w:rsidRDefault="004E62FB" w:rsidP="004E62FB">
            <w:pPr>
              <w:autoSpaceDE w:val="0"/>
              <w:autoSpaceDN w:val="0"/>
              <w:adjustRightInd w:val="0"/>
              <w:spacing w:after="0" w:line="240" w:lineRule="auto"/>
              <w:jc w:val="both"/>
              <w:rPr>
                <w:rFonts w:eastAsiaTheme="minorHAnsi"/>
                <w:sz w:val="24"/>
                <w:szCs w:val="24"/>
              </w:rPr>
            </w:pPr>
            <w:r w:rsidRPr="004E62FB">
              <w:rPr>
                <w:rFonts w:eastAsiaTheme="minorHAnsi"/>
                <w:sz w:val="24"/>
                <w:szCs w:val="24"/>
              </w:rPr>
              <w:t>todonnell@dickinsonwright.com</w:t>
            </w:r>
          </w:p>
          <w:p w14:paraId="29285CE5" w14:textId="77777777" w:rsidR="004E62FB" w:rsidRPr="004E62FB" w:rsidRDefault="007F4432" w:rsidP="004E62FB">
            <w:pPr>
              <w:autoSpaceDE w:val="0"/>
              <w:autoSpaceDN w:val="0"/>
              <w:adjustRightInd w:val="0"/>
              <w:spacing w:after="0" w:line="240" w:lineRule="auto"/>
              <w:jc w:val="both"/>
              <w:rPr>
                <w:rStyle w:val="Hyperlink"/>
                <w:color w:val="auto"/>
                <w:sz w:val="24"/>
                <w:szCs w:val="24"/>
                <w:u w:val="none"/>
              </w:rPr>
            </w:pPr>
            <w:hyperlink r:id="rId27" w:history="1">
              <w:r w:rsidR="004E62FB" w:rsidRPr="004E62FB">
                <w:rPr>
                  <w:rStyle w:val="Hyperlink"/>
                  <w:rFonts w:eastAsiaTheme="minorHAnsi"/>
                  <w:color w:val="auto"/>
                  <w:sz w:val="24"/>
                  <w:szCs w:val="24"/>
                  <w:u w:val="none"/>
                </w:rPr>
                <w:t>wvorys@dickinsonwright.com</w:t>
              </w:r>
            </w:hyperlink>
          </w:p>
          <w:p w14:paraId="13210003" w14:textId="77777777" w:rsidR="004E62FB" w:rsidRPr="004E62FB" w:rsidRDefault="007F4432" w:rsidP="004E62FB">
            <w:pPr>
              <w:pStyle w:val="BodyText"/>
              <w:spacing w:line="240" w:lineRule="auto"/>
              <w:rPr>
                <w:rFonts w:ascii="Arial" w:eastAsiaTheme="minorHAnsi" w:hAnsi="Arial" w:cs="Arial"/>
              </w:rPr>
            </w:pPr>
            <w:hyperlink r:id="rId28" w:history="1">
              <w:r w:rsidR="004E62FB" w:rsidRPr="004E62FB">
                <w:rPr>
                  <w:rStyle w:val="Hyperlink"/>
                  <w:rFonts w:ascii="Arial" w:eastAsiaTheme="minorHAnsi" w:hAnsi="Arial" w:cs="Arial"/>
                  <w:color w:val="auto"/>
                  <w:u w:val="none"/>
                </w:rPr>
                <w:t>mjsettineri@vorys.com</w:t>
              </w:r>
            </w:hyperlink>
          </w:p>
          <w:p w14:paraId="5A248962" w14:textId="77777777" w:rsidR="004E62FB" w:rsidRPr="004E62FB" w:rsidRDefault="007F4432" w:rsidP="004E62FB">
            <w:pPr>
              <w:autoSpaceDE w:val="0"/>
              <w:autoSpaceDN w:val="0"/>
              <w:adjustRightInd w:val="0"/>
              <w:spacing w:after="0" w:line="240" w:lineRule="auto"/>
              <w:jc w:val="both"/>
              <w:rPr>
                <w:rFonts w:eastAsiaTheme="minorHAnsi"/>
                <w:sz w:val="24"/>
                <w:szCs w:val="24"/>
              </w:rPr>
            </w:pPr>
            <w:hyperlink r:id="rId29" w:history="1">
              <w:r w:rsidR="004E62FB" w:rsidRPr="004E62FB">
                <w:rPr>
                  <w:rStyle w:val="Hyperlink"/>
                  <w:rFonts w:eastAsiaTheme="minorHAnsi"/>
                  <w:color w:val="auto"/>
                  <w:sz w:val="24"/>
                  <w:szCs w:val="24"/>
                  <w:u w:val="none"/>
                </w:rPr>
                <w:t>glpetrucci@vorys.com</w:t>
              </w:r>
            </w:hyperlink>
          </w:p>
          <w:p w14:paraId="0AD9C6F4" w14:textId="77777777" w:rsidR="004E62FB" w:rsidRPr="004E62FB" w:rsidRDefault="004E62FB" w:rsidP="004E62FB">
            <w:pPr>
              <w:autoSpaceDE w:val="0"/>
              <w:autoSpaceDN w:val="0"/>
              <w:adjustRightInd w:val="0"/>
              <w:spacing w:after="0" w:line="240" w:lineRule="auto"/>
              <w:jc w:val="both"/>
              <w:rPr>
                <w:rFonts w:eastAsia="Times New Roman"/>
                <w:sz w:val="24"/>
                <w:szCs w:val="24"/>
              </w:rPr>
            </w:pPr>
          </w:p>
          <w:p w14:paraId="4B1F511A" w14:textId="77777777" w:rsidR="004E62FB" w:rsidRPr="004E62FB" w:rsidRDefault="004E62FB" w:rsidP="004E62FB">
            <w:pPr>
              <w:autoSpaceDE w:val="0"/>
              <w:autoSpaceDN w:val="0"/>
              <w:adjustRightInd w:val="0"/>
              <w:spacing w:after="0" w:line="240" w:lineRule="auto"/>
              <w:jc w:val="both"/>
              <w:rPr>
                <w:rFonts w:eastAsia="Calibri"/>
                <w:sz w:val="24"/>
                <w:szCs w:val="24"/>
              </w:rPr>
            </w:pPr>
          </w:p>
          <w:p w14:paraId="65F9C3DC" w14:textId="77777777" w:rsidR="004E62FB" w:rsidRPr="004E62FB" w:rsidRDefault="004E62FB" w:rsidP="004E62FB">
            <w:pPr>
              <w:autoSpaceDE w:val="0"/>
              <w:autoSpaceDN w:val="0"/>
              <w:adjustRightInd w:val="0"/>
              <w:spacing w:after="0" w:line="240" w:lineRule="auto"/>
              <w:jc w:val="both"/>
              <w:rPr>
                <w:rFonts w:eastAsia="Calibri"/>
                <w:sz w:val="24"/>
                <w:szCs w:val="24"/>
              </w:rPr>
            </w:pPr>
          </w:p>
          <w:p w14:paraId="5023141B" w14:textId="77777777" w:rsidR="004E62FB" w:rsidRPr="004E62FB" w:rsidRDefault="004E62FB" w:rsidP="004E62FB">
            <w:pPr>
              <w:pStyle w:val="BodyText"/>
              <w:spacing w:line="240" w:lineRule="auto"/>
              <w:rPr>
                <w:rFonts w:ascii="Arial" w:hAnsi="Arial" w:cs="Arial"/>
                <w:bCs/>
              </w:rPr>
            </w:pPr>
          </w:p>
        </w:tc>
        <w:tc>
          <w:tcPr>
            <w:tcW w:w="4740" w:type="dxa"/>
          </w:tcPr>
          <w:p w14:paraId="105864E6" w14:textId="77777777" w:rsidR="004E62FB" w:rsidRPr="004E62FB" w:rsidRDefault="007F4432" w:rsidP="004E62FB">
            <w:pPr>
              <w:pStyle w:val="BodyText"/>
              <w:spacing w:line="240" w:lineRule="auto"/>
              <w:rPr>
                <w:rFonts w:ascii="Arial" w:hAnsi="Arial" w:cs="Arial"/>
                <w:bCs/>
              </w:rPr>
            </w:pPr>
            <w:hyperlink r:id="rId30" w:history="1">
              <w:r w:rsidR="004E62FB" w:rsidRPr="004E62FB">
                <w:rPr>
                  <w:rStyle w:val="Hyperlink"/>
                  <w:rFonts w:ascii="Arial" w:hAnsi="Arial" w:cs="Arial"/>
                  <w:color w:val="auto"/>
                  <w:u w:val="none"/>
                </w:rPr>
                <w:t>stnourse@aep.com</w:t>
              </w:r>
            </w:hyperlink>
          </w:p>
          <w:p w14:paraId="3B8232E6" w14:textId="77777777" w:rsidR="004E62FB" w:rsidRPr="004E62FB" w:rsidRDefault="007F4432" w:rsidP="004E62FB">
            <w:pPr>
              <w:pStyle w:val="BodyText"/>
              <w:spacing w:line="240" w:lineRule="auto"/>
              <w:rPr>
                <w:rFonts w:ascii="Arial" w:hAnsi="Arial" w:cs="Arial"/>
                <w:bCs/>
              </w:rPr>
            </w:pPr>
            <w:hyperlink r:id="rId31" w:history="1">
              <w:r w:rsidR="004E62FB" w:rsidRPr="004E62FB">
                <w:rPr>
                  <w:rStyle w:val="Hyperlink"/>
                  <w:rFonts w:ascii="Arial" w:hAnsi="Arial" w:cs="Arial"/>
                  <w:color w:val="auto"/>
                  <w:u w:val="none"/>
                </w:rPr>
                <w:t>cmblend@aep.com</w:t>
              </w:r>
            </w:hyperlink>
          </w:p>
          <w:p w14:paraId="1150BECB" w14:textId="77777777" w:rsidR="004E62FB" w:rsidRPr="004E62FB" w:rsidRDefault="007F4432" w:rsidP="004E62FB">
            <w:pPr>
              <w:pStyle w:val="BodyText"/>
              <w:spacing w:line="240" w:lineRule="auto"/>
              <w:rPr>
                <w:rFonts w:ascii="Arial" w:hAnsi="Arial" w:cs="Arial"/>
              </w:rPr>
            </w:pPr>
            <w:hyperlink r:id="rId32" w:history="1">
              <w:r w:rsidR="004E62FB" w:rsidRPr="004E62FB">
                <w:rPr>
                  <w:rStyle w:val="Hyperlink"/>
                  <w:rFonts w:ascii="Arial" w:hAnsi="Arial" w:cs="Arial"/>
                  <w:color w:val="auto"/>
                  <w:u w:val="none"/>
                </w:rPr>
                <w:t>tony.mendoza@sierraclub.org</w:t>
              </w:r>
            </w:hyperlink>
          </w:p>
          <w:p w14:paraId="549DCF46" w14:textId="77777777" w:rsidR="004E62FB" w:rsidRPr="004E62FB" w:rsidRDefault="007F4432" w:rsidP="004E62FB">
            <w:pPr>
              <w:pStyle w:val="BodyText"/>
              <w:spacing w:line="240" w:lineRule="auto"/>
              <w:rPr>
                <w:rFonts w:ascii="Arial" w:hAnsi="Arial" w:cs="Arial"/>
              </w:rPr>
            </w:pPr>
            <w:hyperlink r:id="rId33" w:history="1">
              <w:r w:rsidR="004E62FB" w:rsidRPr="004E62FB">
                <w:rPr>
                  <w:rStyle w:val="Hyperlink"/>
                  <w:rFonts w:ascii="Arial" w:hAnsi="Arial" w:cs="Arial"/>
                  <w:color w:val="auto"/>
                  <w:u w:val="none"/>
                </w:rPr>
                <w:t>rsahli@columbus.rr.com</w:t>
              </w:r>
            </w:hyperlink>
          </w:p>
          <w:p w14:paraId="3C3FD322" w14:textId="77777777" w:rsidR="004E62FB" w:rsidRPr="004E62FB" w:rsidRDefault="007F4432" w:rsidP="004E62FB">
            <w:pPr>
              <w:pStyle w:val="BodyText"/>
              <w:spacing w:line="240" w:lineRule="auto"/>
              <w:rPr>
                <w:rStyle w:val="Hyperlink"/>
                <w:rFonts w:ascii="Arial" w:hAnsi="Arial" w:cs="Arial"/>
                <w:color w:val="auto"/>
                <w:u w:val="none"/>
              </w:rPr>
            </w:pPr>
            <w:hyperlink r:id="rId34" w:history="1">
              <w:r w:rsidR="004E62FB" w:rsidRPr="004E62FB">
                <w:rPr>
                  <w:rStyle w:val="Hyperlink"/>
                  <w:rFonts w:ascii="Arial" w:hAnsi="Arial" w:cs="Arial"/>
                  <w:color w:val="auto"/>
                  <w:u w:val="none"/>
                </w:rPr>
                <w:t>cmooney@ohiopartners.org</w:t>
              </w:r>
            </w:hyperlink>
          </w:p>
          <w:p w14:paraId="03E7EBD8" w14:textId="77777777" w:rsidR="004E62FB" w:rsidRPr="004E62FB" w:rsidRDefault="007F4432" w:rsidP="004E62FB">
            <w:pPr>
              <w:pStyle w:val="BodyText"/>
              <w:spacing w:line="240" w:lineRule="auto"/>
              <w:rPr>
                <w:rFonts w:ascii="Arial" w:eastAsia="Calibri" w:hAnsi="Arial" w:cs="Arial"/>
              </w:rPr>
            </w:pPr>
            <w:hyperlink r:id="rId35" w:history="1">
              <w:r w:rsidR="004E62FB" w:rsidRPr="004E62FB">
                <w:rPr>
                  <w:rStyle w:val="Hyperlink"/>
                  <w:rFonts w:ascii="Arial" w:eastAsia="Calibri" w:hAnsi="Arial" w:cs="Arial"/>
                  <w:color w:val="auto"/>
                  <w:u w:val="none"/>
                </w:rPr>
                <w:t>mnugent@igsenergy.com</w:t>
              </w:r>
            </w:hyperlink>
          </w:p>
          <w:p w14:paraId="5FCC08DE" w14:textId="77777777" w:rsidR="004E62FB" w:rsidRPr="004E62FB" w:rsidRDefault="007F4432" w:rsidP="004E62FB">
            <w:pPr>
              <w:pStyle w:val="BodyText"/>
              <w:spacing w:line="240" w:lineRule="auto"/>
              <w:rPr>
                <w:rStyle w:val="Hyperlink"/>
                <w:rFonts w:ascii="Arial" w:eastAsia="Calibri" w:hAnsi="Arial" w:cs="Arial"/>
                <w:color w:val="auto"/>
                <w:u w:val="none"/>
              </w:rPr>
            </w:pPr>
            <w:hyperlink r:id="rId36" w:history="1">
              <w:r w:rsidR="004E62FB" w:rsidRPr="004E62FB">
                <w:rPr>
                  <w:rStyle w:val="Hyperlink"/>
                  <w:rFonts w:ascii="Arial" w:eastAsia="Calibri" w:hAnsi="Arial" w:cs="Arial"/>
                  <w:color w:val="auto"/>
                  <w:u w:val="none"/>
                </w:rPr>
                <w:t>joliker@igsenergy.com</w:t>
              </w:r>
            </w:hyperlink>
          </w:p>
          <w:p w14:paraId="67FB4081" w14:textId="77777777" w:rsidR="004E62FB" w:rsidRPr="004E62FB" w:rsidRDefault="007F4432" w:rsidP="004E62FB">
            <w:pPr>
              <w:autoSpaceDE w:val="0"/>
              <w:autoSpaceDN w:val="0"/>
              <w:adjustRightInd w:val="0"/>
              <w:spacing w:after="0" w:line="240" w:lineRule="auto"/>
              <w:jc w:val="both"/>
              <w:rPr>
                <w:sz w:val="24"/>
                <w:szCs w:val="24"/>
              </w:rPr>
            </w:pPr>
            <w:hyperlink r:id="rId37" w:history="1">
              <w:r w:rsidR="004E62FB" w:rsidRPr="004E62FB">
                <w:rPr>
                  <w:rStyle w:val="Hyperlink"/>
                  <w:rFonts w:eastAsia="Calibri"/>
                  <w:color w:val="auto"/>
                  <w:sz w:val="24"/>
                  <w:szCs w:val="24"/>
                  <w:u w:val="none"/>
                </w:rPr>
                <w:t>whitt@whitt-sturtevant.com</w:t>
              </w:r>
            </w:hyperlink>
          </w:p>
          <w:p w14:paraId="403C1F7D" w14:textId="77777777" w:rsidR="004E62FB" w:rsidRPr="004E62FB" w:rsidRDefault="007F4432" w:rsidP="004E62FB">
            <w:pPr>
              <w:pStyle w:val="BodyText"/>
              <w:spacing w:line="240" w:lineRule="auto"/>
              <w:rPr>
                <w:rFonts w:ascii="Arial" w:hAnsi="Arial" w:cs="Arial"/>
              </w:rPr>
            </w:pPr>
            <w:hyperlink r:id="rId38" w:history="1">
              <w:r w:rsidR="004E62FB" w:rsidRPr="004E62FB">
                <w:rPr>
                  <w:rStyle w:val="Hyperlink"/>
                  <w:rFonts w:ascii="Arial" w:eastAsia="Calibri" w:hAnsi="Arial" w:cs="Arial"/>
                  <w:color w:val="auto"/>
                  <w:u w:val="none"/>
                </w:rPr>
                <w:t>glover@whitt-sturtevant.com</w:t>
              </w:r>
            </w:hyperlink>
          </w:p>
          <w:p w14:paraId="5957631E" w14:textId="77777777" w:rsidR="004E62FB" w:rsidRPr="004E62FB" w:rsidRDefault="007F4432" w:rsidP="004E62FB">
            <w:pPr>
              <w:pStyle w:val="BodyText"/>
              <w:spacing w:line="240" w:lineRule="auto"/>
              <w:rPr>
                <w:rFonts w:ascii="Arial" w:hAnsi="Arial" w:cs="Arial"/>
              </w:rPr>
            </w:pPr>
            <w:hyperlink r:id="rId39" w:history="1">
              <w:r w:rsidR="004E62FB" w:rsidRPr="004E62FB">
                <w:rPr>
                  <w:rStyle w:val="Hyperlink"/>
                  <w:rFonts w:ascii="Arial" w:hAnsi="Arial" w:cs="Arial"/>
                  <w:color w:val="auto"/>
                  <w:u w:val="none"/>
                </w:rPr>
                <w:t>ktreadway@oneenergyllc.com</w:t>
              </w:r>
            </w:hyperlink>
          </w:p>
          <w:p w14:paraId="0FB2BF34" w14:textId="77777777" w:rsidR="004E62FB" w:rsidRPr="004E62FB" w:rsidRDefault="007F4432" w:rsidP="004E62FB">
            <w:pPr>
              <w:pStyle w:val="BodyText"/>
              <w:spacing w:line="240" w:lineRule="auto"/>
              <w:rPr>
                <w:rStyle w:val="Hyperlink"/>
                <w:rFonts w:ascii="Arial" w:eastAsia="Calibri" w:hAnsi="Arial" w:cs="Arial"/>
                <w:color w:val="auto"/>
                <w:u w:val="none"/>
              </w:rPr>
            </w:pPr>
            <w:hyperlink r:id="rId40" w:history="1">
              <w:r w:rsidR="004E62FB" w:rsidRPr="004E62FB">
                <w:rPr>
                  <w:rStyle w:val="Hyperlink"/>
                  <w:rFonts w:ascii="Arial" w:eastAsia="Calibri" w:hAnsi="Arial" w:cs="Arial"/>
                  <w:color w:val="auto"/>
                  <w:u w:val="none"/>
                </w:rPr>
                <w:t>callwein@opae.org</w:t>
              </w:r>
            </w:hyperlink>
          </w:p>
          <w:p w14:paraId="0E9A34D8" w14:textId="77777777" w:rsidR="004E62FB" w:rsidRPr="004E62FB" w:rsidRDefault="007F4432" w:rsidP="004E62FB">
            <w:pPr>
              <w:pStyle w:val="BodyText"/>
              <w:spacing w:line="240" w:lineRule="auto"/>
              <w:rPr>
                <w:rFonts w:ascii="Arial" w:eastAsiaTheme="minorHAnsi" w:hAnsi="Arial" w:cs="Arial"/>
              </w:rPr>
            </w:pPr>
            <w:hyperlink r:id="rId41" w:history="1">
              <w:r w:rsidR="004E62FB" w:rsidRPr="004E62FB">
                <w:rPr>
                  <w:rStyle w:val="Hyperlink"/>
                  <w:rFonts w:ascii="Arial" w:eastAsiaTheme="minorHAnsi" w:hAnsi="Arial" w:cs="Arial"/>
                  <w:color w:val="auto"/>
                  <w:u w:val="none"/>
                </w:rPr>
                <w:t>mdortch@kravitzllc.com</w:t>
              </w:r>
            </w:hyperlink>
          </w:p>
          <w:p w14:paraId="17D311B7" w14:textId="77777777" w:rsidR="004E62FB" w:rsidRPr="004E62FB" w:rsidRDefault="007F4432" w:rsidP="004E62FB">
            <w:pPr>
              <w:pStyle w:val="BodyText"/>
              <w:spacing w:line="240" w:lineRule="auto"/>
              <w:rPr>
                <w:rStyle w:val="Hyperlink"/>
                <w:rFonts w:ascii="Arial" w:hAnsi="Arial" w:cs="Arial"/>
                <w:color w:val="auto"/>
                <w:u w:val="none"/>
              </w:rPr>
            </w:pPr>
            <w:hyperlink r:id="rId42" w:history="1">
              <w:r w:rsidR="004E62FB" w:rsidRPr="004E62FB">
                <w:rPr>
                  <w:rStyle w:val="Hyperlink"/>
                  <w:rFonts w:ascii="Arial" w:hAnsi="Arial" w:cs="Arial"/>
                  <w:color w:val="auto"/>
                  <w:u w:val="none"/>
                </w:rPr>
                <w:t>rdove@keglerbrown.com</w:t>
              </w:r>
            </w:hyperlink>
          </w:p>
          <w:p w14:paraId="1F3B1409" w14:textId="77777777" w:rsidR="004E62FB" w:rsidRPr="004E62FB" w:rsidRDefault="004E62FB" w:rsidP="004E62FB">
            <w:pPr>
              <w:pStyle w:val="BodyText"/>
              <w:spacing w:line="240" w:lineRule="auto"/>
              <w:rPr>
                <w:rFonts w:ascii="Arial" w:hAnsi="Arial" w:cs="Arial"/>
              </w:rPr>
            </w:pPr>
          </w:p>
          <w:p w14:paraId="562C75D1" w14:textId="77777777" w:rsidR="004E62FB" w:rsidRPr="004E62FB" w:rsidRDefault="004E62FB" w:rsidP="004E62FB">
            <w:pPr>
              <w:pStyle w:val="BodyText"/>
              <w:spacing w:line="240" w:lineRule="auto"/>
              <w:rPr>
                <w:rFonts w:ascii="Arial" w:hAnsi="Arial" w:cs="Arial"/>
              </w:rPr>
            </w:pPr>
          </w:p>
          <w:p w14:paraId="664355AD" w14:textId="77777777" w:rsidR="004E62FB" w:rsidRPr="004E62FB" w:rsidRDefault="004E62FB" w:rsidP="004E62FB">
            <w:pPr>
              <w:pStyle w:val="BodyText"/>
              <w:spacing w:line="240" w:lineRule="auto"/>
              <w:rPr>
                <w:rFonts w:ascii="Arial" w:eastAsia="Calibri" w:hAnsi="Arial" w:cs="Arial"/>
              </w:rPr>
            </w:pPr>
          </w:p>
          <w:p w14:paraId="1A965116" w14:textId="77777777" w:rsidR="004E62FB" w:rsidRPr="004E62FB" w:rsidRDefault="004E62FB" w:rsidP="004E62FB">
            <w:pPr>
              <w:pStyle w:val="BodyText"/>
              <w:spacing w:line="240" w:lineRule="auto"/>
              <w:rPr>
                <w:rFonts w:ascii="Arial" w:eastAsia="Calibri" w:hAnsi="Arial" w:cs="Arial"/>
              </w:rPr>
            </w:pPr>
          </w:p>
          <w:p w14:paraId="7DF4E37C" w14:textId="77777777" w:rsidR="004E62FB" w:rsidRPr="004E62FB" w:rsidRDefault="004E62FB" w:rsidP="004E62FB">
            <w:pPr>
              <w:pStyle w:val="BodyText"/>
              <w:spacing w:line="240" w:lineRule="auto"/>
              <w:rPr>
                <w:rFonts w:ascii="Arial" w:eastAsia="Calibri" w:hAnsi="Arial" w:cs="Arial"/>
              </w:rPr>
            </w:pPr>
          </w:p>
          <w:p w14:paraId="44FB30F8" w14:textId="77777777" w:rsidR="004E62FB" w:rsidRPr="004E62FB" w:rsidRDefault="004E62FB" w:rsidP="004E62FB">
            <w:pPr>
              <w:pStyle w:val="BodyText"/>
              <w:spacing w:line="240" w:lineRule="auto"/>
              <w:rPr>
                <w:rFonts w:ascii="Arial" w:hAnsi="Arial" w:cs="Arial"/>
              </w:rPr>
            </w:pPr>
          </w:p>
          <w:p w14:paraId="1DA6542E" w14:textId="77777777" w:rsidR="004E62FB" w:rsidRPr="004E62FB" w:rsidRDefault="004E62FB" w:rsidP="004E62FB">
            <w:pPr>
              <w:autoSpaceDE w:val="0"/>
              <w:autoSpaceDN w:val="0"/>
              <w:adjustRightInd w:val="0"/>
              <w:spacing w:after="0" w:line="240" w:lineRule="auto"/>
              <w:jc w:val="both"/>
              <w:rPr>
                <w:sz w:val="24"/>
                <w:szCs w:val="24"/>
              </w:rPr>
            </w:pPr>
          </w:p>
          <w:p w14:paraId="3041E394" w14:textId="77777777" w:rsidR="004E62FB" w:rsidRPr="004E62FB" w:rsidRDefault="004E62FB" w:rsidP="004E62FB">
            <w:pPr>
              <w:pStyle w:val="BodyText"/>
              <w:spacing w:line="240" w:lineRule="auto"/>
              <w:rPr>
                <w:rFonts w:ascii="Arial" w:hAnsi="Arial" w:cs="Arial"/>
              </w:rPr>
            </w:pPr>
          </w:p>
          <w:p w14:paraId="722B00AE" w14:textId="77777777" w:rsidR="004E62FB" w:rsidRPr="004E62FB" w:rsidRDefault="004E62FB" w:rsidP="004E62FB">
            <w:pPr>
              <w:pStyle w:val="BodyText"/>
              <w:spacing w:line="240" w:lineRule="auto"/>
              <w:rPr>
                <w:rFonts w:ascii="Arial" w:hAnsi="Arial" w:cs="Arial"/>
                <w:bCs/>
              </w:rPr>
            </w:pPr>
          </w:p>
        </w:tc>
      </w:tr>
    </w:tbl>
    <w:p w14:paraId="42C6D796" w14:textId="77777777" w:rsidR="007C48A1" w:rsidRDefault="007C48A1" w:rsidP="007C48A1">
      <w:pPr>
        <w:spacing w:after="0" w:line="240" w:lineRule="auto"/>
        <w:ind w:left="5040" w:firstLine="720"/>
        <w:rPr>
          <w:rFonts w:eastAsia="Arial"/>
          <w:i/>
          <w:sz w:val="24"/>
          <w:szCs w:val="24"/>
          <w:u w:val="single"/>
        </w:rPr>
      </w:pPr>
    </w:p>
    <w:p w14:paraId="23C54FB1" w14:textId="77777777" w:rsidR="007C48A1" w:rsidRPr="0079455C" w:rsidRDefault="007C48A1" w:rsidP="007C48A1">
      <w:pPr>
        <w:spacing w:after="0" w:line="240" w:lineRule="auto"/>
        <w:ind w:left="5040" w:firstLine="720"/>
        <w:rPr>
          <w:rFonts w:eastAsia="Calibri"/>
          <w:sz w:val="24"/>
          <w:szCs w:val="24"/>
        </w:rPr>
      </w:pPr>
      <w:r w:rsidRPr="0079455C">
        <w:rPr>
          <w:rFonts w:eastAsia="Arial"/>
          <w:i/>
          <w:sz w:val="24"/>
          <w:szCs w:val="24"/>
          <w:u w:val="single"/>
        </w:rPr>
        <w:t>/s/ Joseph Oliker</w:t>
      </w:r>
      <w:r w:rsidRPr="0079455C">
        <w:rPr>
          <w:rFonts w:eastAsia="Arial"/>
          <w:i/>
          <w:sz w:val="24"/>
          <w:szCs w:val="24"/>
        </w:rPr>
        <w:t>_______</w:t>
      </w:r>
    </w:p>
    <w:p w14:paraId="7EC0BA84" w14:textId="77777777" w:rsidR="007C48A1" w:rsidRDefault="007C48A1" w:rsidP="00600A66">
      <w:pPr>
        <w:spacing w:after="0" w:line="240" w:lineRule="auto"/>
        <w:ind w:left="5040" w:firstLine="720"/>
        <w:rPr>
          <w:sz w:val="24"/>
          <w:szCs w:val="24"/>
        </w:rPr>
      </w:pPr>
      <w:r w:rsidRPr="0079455C">
        <w:rPr>
          <w:sz w:val="24"/>
          <w:szCs w:val="24"/>
        </w:rPr>
        <w:t>Joseph Oliker</w:t>
      </w:r>
    </w:p>
    <w:p w14:paraId="6E1831B3" w14:textId="77777777" w:rsidR="00E52966" w:rsidRDefault="00E52966" w:rsidP="00600A66">
      <w:pPr>
        <w:spacing w:after="0" w:line="240" w:lineRule="auto"/>
        <w:ind w:left="5040" w:firstLine="720"/>
        <w:rPr>
          <w:sz w:val="24"/>
          <w:szCs w:val="24"/>
        </w:rPr>
      </w:pPr>
    </w:p>
    <w:sectPr w:rsidR="00E52966">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7F338" w14:textId="77777777" w:rsidR="00DF6321" w:rsidRDefault="00DF6321" w:rsidP="00214B03">
      <w:pPr>
        <w:spacing w:after="0" w:line="240" w:lineRule="auto"/>
      </w:pPr>
      <w:r>
        <w:separator/>
      </w:r>
    </w:p>
  </w:endnote>
  <w:endnote w:type="continuationSeparator" w:id="0">
    <w:p w14:paraId="7A7BCE72" w14:textId="77777777" w:rsidR="00DF6321" w:rsidRDefault="00DF6321" w:rsidP="00214B03">
      <w:pPr>
        <w:spacing w:after="0" w:line="240" w:lineRule="auto"/>
      </w:pPr>
      <w:r>
        <w:continuationSeparator/>
      </w:r>
    </w:p>
  </w:endnote>
  <w:endnote w:type="continuationNotice" w:id="1">
    <w:p w14:paraId="306F5EAA" w14:textId="77777777" w:rsidR="00DF6321" w:rsidRDefault="00DF63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626866"/>
      <w:docPartObj>
        <w:docPartGallery w:val="Page Numbers (Bottom of Page)"/>
        <w:docPartUnique/>
      </w:docPartObj>
    </w:sdtPr>
    <w:sdtEndPr>
      <w:rPr>
        <w:noProof/>
      </w:rPr>
    </w:sdtEndPr>
    <w:sdtContent>
      <w:p w14:paraId="2903CBC8" w14:textId="447817F0" w:rsidR="004E4748" w:rsidRPr="00AD0FE2" w:rsidRDefault="004E4748">
        <w:pPr>
          <w:pStyle w:val="Footer"/>
          <w:jc w:val="center"/>
        </w:pPr>
        <w:r w:rsidRPr="00AD0FE2">
          <w:fldChar w:fldCharType="begin"/>
        </w:r>
        <w:r w:rsidRPr="00AD0FE2">
          <w:instrText xml:space="preserve"> PAGE   \* MERGEFORMAT </w:instrText>
        </w:r>
        <w:r w:rsidRPr="00AD0FE2">
          <w:fldChar w:fldCharType="separate"/>
        </w:r>
        <w:r w:rsidRPr="00AD0FE2">
          <w:rPr>
            <w:noProof/>
          </w:rPr>
          <w:t>2</w:t>
        </w:r>
        <w:r w:rsidRPr="00AD0FE2">
          <w:rPr>
            <w:noProof/>
          </w:rPr>
          <w:fldChar w:fldCharType="end"/>
        </w:r>
      </w:p>
    </w:sdtContent>
  </w:sdt>
  <w:p w14:paraId="308D56CC" w14:textId="77777777" w:rsidR="004E4748" w:rsidRPr="00AD0FE2" w:rsidRDefault="004E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DC23F" w14:textId="77777777" w:rsidR="00DF6321" w:rsidRDefault="00DF6321" w:rsidP="00214B03">
      <w:pPr>
        <w:spacing w:after="0" w:line="240" w:lineRule="auto"/>
      </w:pPr>
      <w:r>
        <w:separator/>
      </w:r>
    </w:p>
  </w:footnote>
  <w:footnote w:type="continuationSeparator" w:id="0">
    <w:p w14:paraId="1EB0BBBF" w14:textId="77777777" w:rsidR="00DF6321" w:rsidRDefault="00DF6321" w:rsidP="00214B03">
      <w:pPr>
        <w:spacing w:after="0" w:line="240" w:lineRule="auto"/>
      </w:pPr>
      <w:r>
        <w:continuationSeparator/>
      </w:r>
    </w:p>
  </w:footnote>
  <w:footnote w:type="continuationNotice" w:id="1">
    <w:p w14:paraId="3716DFF4" w14:textId="77777777" w:rsidR="00DF6321" w:rsidRDefault="00DF6321">
      <w:pPr>
        <w:spacing w:after="0" w:line="240" w:lineRule="auto"/>
      </w:pPr>
    </w:p>
  </w:footnote>
  <w:footnote w:id="2">
    <w:p w14:paraId="1EA9EA65" w14:textId="39B7BD71" w:rsidR="00A1631F" w:rsidRDefault="00FE33F1">
      <w:pPr>
        <w:pStyle w:val="FootnoteText"/>
      </w:pPr>
      <w:r>
        <w:rPr>
          <w:rStyle w:val="FootnoteReference"/>
        </w:rPr>
        <w:footnoteRef/>
      </w:r>
      <w:r>
        <w:t xml:space="preserve"> IGS Ex. 11 at </w:t>
      </w:r>
      <w:r w:rsidR="00E835F9">
        <w:t>14.</w:t>
      </w:r>
    </w:p>
    <w:p w14:paraId="76C9E900" w14:textId="77777777" w:rsidR="00E835F9" w:rsidRDefault="00E835F9">
      <w:pPr>
        <w:pStyle w:val="FootnoteText"/>
      </w:pPr>
    </w:p>
  </w:footnote>
  <w:footnote w:id="3">
    <w:p w14:paraId="45B194E5" w14:textId="11E2AED4" w:rsidR="00EE276C" w:rsidRDefault="00EE276C">
      <w:pPr>
        <w:pStyle w:val="FootnoteText"/>
      </w:pPr>
      <w:r>
        <w:rPr>
          <w:rStyle w:val="FootnoteReference"/>
        </w:rPr>
        <w:footnoteRef/>
      </w:r>
      <w:r>
        <w:t xml:space="preserve"> T</w:t>
      </w:r>
      <w:r w:rsidR="004C11BE">
        <w:t>HE ROLLING STONES</w:t>
      </w:r>
      <w:r>
        <w:t xml:space="preserve">, </w:t>
      </w:r>
      <w:r w:rsidRPr="004C11BE">
        <w:rPr>
          <w:i/>
        </w:rPr>
        <w:t>You Can’t Always Get What You Want</w:t>
      </w:r>
      <w:r w:rsidR="009112EA">
        <w:rPr>
          <w:i/>
        </w:rPr>
        <w:t xml:space="preserve">, On </w:t>
      </w:r>
      <w:r w:rsidR="00323C47">
        <w:t>LET IT BLEED</w:t>
      </w:r>
      <w:r w:rsidR="008E37D2">
        <w:t xml:space="preserve"> (</w:t>
      </w:r>
      <w:r w:rsidR="00016E21">
        <w:t xml:space="preserve">Decca Record </w:t>
      </w:r>
      <w:r w:rsidR="008E37D2">
        <w:t>1969).</w:t>
      </w:r>
    </w:p>
    <w:p w14:paraId="7C2AB309" w14:textId="77777777" w:rsidR="008E37D2" w:rsidRPr="00EE276C" w:rsidRDefault="008E37D2">
      <w:pPr>
        <w:pStyle w:val="FootnoteText"/>
      </w:pPr>
    </w:p>
  </w:footnote>
  <w:footnote w:id="4">
    <w:p w14:paraId="57E03693" w14:textId="79D1626C" w:rsidR="00463378" w:rsidRPr="00744C5A" w:rsidRDefault="00463378">
      <w:pPr>
        <w:pStyle w:val="FootnoteText"/>
      </w:pPr>
      <w:r w:rsidRPr="00744C5A">
        <w:rPr>
          <w:rStyle w:val="FootnoteReference"/>
        </w:rPr>
        <w:footnoteRef/>
      </w:r>
      <w:r w:rsidRPr="00744C5A">
        <w:t xml:space="preserve"> </w:t>
      </w:r>
      <w:r w:rsidR="002E7DBF" w:rsidRPr="00744C5A">
        <w:t>I</w:t>
      </w:r>
      <w:r w:rsidR="00010112">
        <w:t>nterstate Gas Supply, Inc. and IGS Solar, LLC</w:t>
      </w:r>
      <w:r w:rsidR="002E7DBF" w:rsidRPr="00744C5A">
        <w:t xml:space="preserve"> Ex. 11 at </w:t>
      </w:r>
      <w:r w:rsidR="00744C5A" w:rsidRPr="00744C5A">
        <w:t>14</w:t>
      </w:r>
      <w:r w:rsidR="005F4F31">
        <w:t>.  H</w:t>
      </w:r>
      <w:r w:rsidR="00193CF8">
        <w:t>ereinafter</w:t>
      </w:r>
      <w:r w:rsidR="005F4F31">
        <w:t>, the exhibits of Interstate Gas Supply, LLC and IGS Solar, LLC will be referred to as</w:t>
      </w:r>
      <w:r w:rsidR="00193CF8">
        <w:t xml:space="preserve"> “IGS Ex.</w:t>
      </w:r>
      <w:r w:rsidR="00627742">
        <w:t>”</w:t>
      </w:r>
      <w:r w:rsidR="00193CF8">
        <w:t xml:space="preserve">  </w:t>
      </w:r>
      <w:r w:rsidR="00744C5A" w:rsidRPr="00744C5A">
        <w:t xml:space="preserve"> </w:t>
      </w:r>
    </w:p>
    <w:p w14:paraId="28D6CD79" w14:textId="7FE65C26" w:rsidR="00744C5A" w:rsidRDefault="00744C5A">
      <w:pPr>
        <w:pStyle w:val="FootnoteText"/>
      </w:pPr>
    </w:p>
  </w:footnote>
  <w:footnote w:id="5">
    <w:p w14:paraId="608A40D6" w14:textId="67C2F13A" w:rsidR="004E4748" w:rsidRPr="001858DD" w:rsidRDefault="004E4748">
      <w:pPr>
        <w:pStyle w:val="FootnoteText"/>
      </w:pPr>
      <w:r w:rsidRPr="001858DD">
        <w:rPr>
          <w:rStyle w:val="FootnoteReference"/>
        </w:rPr>
        <w:footnoteRef/>
      </w:r>
      <w:r w:rsidRPr="001858DD">
        <w:t xml:space="preserve"> Tr. Vol. I at 86.</w:t>
      </w:r>
    </w:p>
  </w:footnote>
  <w:footnote w:id="6">
    <w:p w14:paraId="5CD9ECE6" w14:textId="04E5BBC6" w:rsidR="00F50BE9" w:rsidRDefault="00F50BE9">
      <w:pPr>
        <w:pStyle w:val="FootnoteText"/>
      </w:pPr>
      <w:r>
        <w:rPr>
          <w:rStyle w:val="FootnoteReference"/>
        </w:rPr>
        <w:footnoteRef/>
      </w:r>
      <w:r>
        <w:t xml:space="preserve"> </w:t>
      </w:r>
      <w:r w:rsidR="007C27C7">
        <w:rPr>
          <w:i/>
        </w:rPr>
        <w:t xml:space="preserve">See </w:t>
      </w:r>
      <w:r>
        <w:t>AEP Ohio Ex. 1</w:t>
      </w:r>
      <w:r w:rsidR="007C27C7">
        <w:t xml:space="preserve">; </w:t>
      </w:r>
      <w:r w:rsidR="00FE4DA5">
        <w:t>AEP Ohio Ex. 3 at 8.</w:t>
      </w:r>
    </w:p>
    <w:p w14:paraId="0B7A12E8" w14:textId="77777777" w:rsidR="00F50BE9" w:rsidRDefault="00F50BE9">
      <w:pPr>
        <w:pStyle w:val="FootnoteText"/>
      </w:pPr>
    </w:p>
  </w:footnote>
  <w:footnote w:id="7">
    <w:p w14:paraId="3D544E95" w14:textId="03A5424F" w:rsidR="00FE4DA5" w:rsidRDefault="00FE4DA5">
      <w:pPr>
        <w:pStyle w:val="FootnoteText"/>
      </w:pPr>
      <w:r>
        <w:rPr>
          <w:rStyle w:val="FootnoteReference"/>
        </w:rPr>
        <w:footnoteRef/>
      </w:r>
      <w:r>
        <w:t xml:space="preserve"> Motion </w:t>
      </w:r>
      <w:r w:rsidR="0023671F">
        <w:t>of Ohio Power Company for Waivers and Request for Expedited Treatment at 1 (Jun. 7, 2018).</w:t>
      </w:r>
    </w:p>
    <w:p w14:paraId="75ED71BD" w14:textId="77777777" w:rsidR="00D81F99" w:rsidRDefault="00D81F99">
      <w:pPr>
        <w:pStyle w:val="FootnoteText"/>
      </w:pPr>
    </w:p>
  </w:footnote>
  <w:footnote w:id="8">
    <w:p w14:paraId="2A24AA34" w14:textId="313163D6" w:rsidR="00D81F99" w:rsidRDefault="00D81F99">
      <w:pPr>
        <w:pStyle w:val="FootnoteText"/>
      </w:pPr>
      <w:r>
        <w:rPr>
          <w:rStyle w:val="FootnoteReference"/>
        </w:rPr>
        <w:footnoteRef/>
      </w:r>
      <w:r>
        <w:t xml:space="preserve"> Entry (Sep. 19, 2018).</w:t>
      </w:r>
    </w:p>
    <w:p w14:paraId="4ECFCC1A" w14:textId="77777777" w:rsidR="00D81F99" w:rsidRDefault="00D81F99">
      <w:pPr>
        <w:pStyle w:val="FootnoteText"/>
      </w:pPr>
    </w:p>
  </w:footnote>
  <w:footnote w:id="9">
    <w:p w14:paraId="1864F371" w14:textId="3FC72465" w:rsidR="00F50BE9" w:rsidRDefault="00F50BE9">
      <w:pPr>
        <w:pStyle w:val="FootnoteText"/>
      </w:pPr>
      <w:r>
        <w:rPr>
          <w:rStyle w:val="FootnoteReference"/>
        </w:rPr>
        <w:footnoteRef/>
      </w:r>
      <w:r>
        <w:t xml:space="preserve"> AEP Ohio Ex. 2.</w:t>
      </w:r>
    </w:p>
    <w:p w14:paraId="55CC1AB8" w14:textId="77777777" w:rsidR="00F50BE9" w:rsidRDefault="00F50BE9">
      <w:pPr>
        <w:pStyle w:val="FootnoteText"/>
      </w:pPr>
    </w:p>
  </w:footnote>
  <w:footnote w:id="10">
    <w:p w14:paraId="745D6F59" w14:textId="77777777" w:rsidR="004E4748" w:rsidRPr="001858DD" w:rsidRDefault="004E4748">
      <w:pPr>
        <w:pStyle w:val="FootnoteText"/>
      </w:pPr>
      <w:r w:rsidRPr="001858DD">
        <w:rPr>
          <w:rStyle w:val="FootnoteReference"/>
        </w:rPr>
        <w:footnoteRef/>
      </w:r>
      <w:r w:rsidRPr="001858DD">
        <w:t xml:space="preserve"> AEP Ohio Ex. 3 at 8.</w:t>
      </w:r>
    </w:p>
    <w:p w14:paraId="49E398E2" w14:textId="77777777" w:rsidR="004E4748" w:rsidRPr="001858DD" w:rsidRDefault="004E4748">
      <w:pPr>
        <w:pStyle w:val="FootnoteText"/>
      </w:pPr>
    </w:p>
  </w:footnote>
  <w:footnote w:id="11">
    <w:p w14:paraId="66A405D0" w14:textId="730BD6E2" w:rsidR="00A075A4" w:rsidRDefault="00A075A4">
      <w:pPr>
        <w:pStyle w:val="FootnoteText"/>
      </w:pPr>
      <w:r>
        <w:rPr>
          <w:rStyle w:val="FootnoteReference"/>
        </w:rPr>
        <w:footnoteRef/>
      </w:r>
      <w:r>
        <w:t xml:space="preserve"> AEP Ohio Ex. 2 at </w:t>
      </w:r>
      <w:r w:rsidR="00CB6C55">
        <w:t>7.</w:t>
      </w:r>
    </w:p>
    <w:p w14:paraId="283F9650" w14:textId="77777777" w:rsidR="00CD47EB" w:rsidRDefault="00CD47EB">
      <w:pPr>
        <w:pStyle w:val="FootnoteText"/>
      </w:pPr>
    </w:p>
  </w:footnote>
  <w:footnote w:id="12">
    <w:p w14:paraId="692B9C7B" w14:textId="47438EAC" w:rsidR="00CB6C55" w:rsidRDefault="00CB6C55">
      <w:pPr>
        <w:pStyle w:val="FootnoteText"/>
      </w:pPr>
      <w:r>
        <w:rPr>
          <w:rStyle w:val="FootnoteReference"/>
        </w:rPr>
        <w:footnoteRef/>
      </w:r>
      <w:r>
        <w:t xml:space="preserve"> </w:t>
      </w:r>
      <w:r>
        <w:rPr>
          <w:i/>
        </w:rPr>
        <w:t>Id.</w:t>
      </w:r>
      <w:r>
        <w:t xml:space="preserve">; AEP Ohio Ex. 3 at </w:t>
      </w:r>
      <w:r w:rsidR="00CD47EB">
        <w:t>7-8</w:t>
      </w:r>
      <w:r w:rsidR="00E246E1">
        <w:t xml:space="preserve">, 11. </w:t>
      </w:r>
    </w:p>
    <w:p w14:paraId="05C52CF6" w14:textId="77777777" w:rsidR="0057560C" w:rsidRPr="00CB6C55" w:rsidRDefault="0057560C">
      <w:pPr>
        <w:pStyle w:val="FootnoteText"/>
      </w:pPr>
    </w:p>
  </w:footnote>
  <w:footnote w:id="13">
    <w:p w14:paraId="145FA4BD" w14:textId="79C5B59B" w:rsidR="00CD47EB" w:rsidRDefault="00CD47EB">
      <w:pPr>
        <w:pStyle w:val="FootnoteText"/>
      </w:pPr>
      <w:r>
        <w:rPr>
          <w:rStyle w:val="FootnoteReference"/>
        </w:rPr>
        <w:footnoteRef/>
      </w:r>
      <w:r>
        <w:t xml:space="preserve"> AEP Ohio Ex. 3 at </w:t>
      </w:r>
      <w:r w:rsidR="00042C46">
        <w:t>9</w:t>
      </w:r>
      <w:r w:rsidR="0057560C">
        <w:t xml:space="preserve">; </w:t>
      </w:r>
      <w:r w:rsidR="0057560C">
        <w:rPr>
          <w:i/>
        </w:rPr>
        <w:t xml:space="preserve">see generally </w:t>
      </w:r>
      <w:r w:rsidR="0057560C">
        <w:t>AEP Ohio Ex. 14</w:t>
      </w:r>
      <w:r w:rsidR="00042C46">
        <w:t>.</w:t>
      </w:r>
    </w:p>
  </w:footnote>
  <w:footnote w:id="14">
    <w:p w14:paraId="2D3E9098" w14:textId="4CEFE055" w:rsidR="0057560C" w:rsidRDefault="0057560C">
      <w:pPr>
        <w:pStyle w:val="FootnoteText"/>
      </w:pPr>
      <w:r>
        <w:rPr>
          <w:rStyle w:val="FootnoteReference"/>
        </w:rPr>
        <w:footnoteRef/>
      </w:r>
      <w:r>
        <w:t xml:space="preserve"> </w:t>
      </w:r>
      <w:r w:rsidR="003B0416">
        <w:t>IGS Ex. 11 at 13-14.</w:t>
      </w:r>
    </w:p>
    <w:p w14:paraId="297DE988" w14:textId="77777777" w:rsidR="003B0416" w:rsidRDefault="003B0416">
      <w:pPr>
        <w:pStyle w:val="FootnoteText"/>
      </w:pPr>
    </w:p>
  </w:footnote>
  <w:footnote w:id="15">
    <w:p w14:paraId="31735508" w14:textId="17EBBC9A" w:rsidR="00302593" w:rsidRDefault="00302593">
      <w:pPr>
        <w:pStyle w:val="FootnoteText"/>
      </w:pPr>
      <w:r>
        <w:rPr>
          <w:rStyle w:val="FootnoteReference"/>
        </w:rPr>
        <w:footnoteRef/>
      </w:r>
      <w:r>
        <w:t xml:space="preserve"> Tr. Vol. V at 1303. </w:t>
      </w:r>
    </w:p>
    <w:p w14:paraId="49AF2840" w14:textId="77777777" w:rsidR="00302593" w:rsidRDefault="00302593">
      <w:pPr>
        <w:pStyle w:val="FootnoteText"/>
      </w:pPr>
    </w:p>
  </w:footnote>
  <w:footnote w:id="16">
    <w:p w14:paraId="7CC6F25E" w14:textId="71A7C521" w:rsidR="00CB00EF" w:rsidRPr="001858DD" w:rsidRDefault="00CB00EF">
      <w:pPr>
        <w:pStyle w:val="FootnoteText"/>
      </w:pPr>
      <w:r w:rsidRPr="001858DD">
        <w:rPr>
          <w:rStyle w:val="FootnoteReference"/>
        </w:rPr>
        <w:footnoteRef/>
      </w:r>
      <w:r w:rsidRPr="001858DD">
        <w:t xml:space="preserve"> Tr. Vol. V at 1303</w:t>
      </w:r>
      <w:r w:rsidR="0064753E" w:rsidRPr="001858DD">
        <w:t xml:space="preserve"> (</w:t>
      </w:r>
      <w:r w:rsidR="009A57AA" w:rsidRPr="001858DD">
        <w:t>“</w:t>
      </w:r>
      <w:r w:rsidR="0064753E" w:rsidRPr="001858DD">
        <w:t>Q</w:t>
      </w:r>
      <w:r w:rsidR="00DD6B6F" w:rsidRPr="001858DD">
        <w:t>.</w:t>
      </w:r>
      <w:r w:rsidR="0064753E" w:rsidRPr="001858DD">
        <w:t xml:space="preserve">  And </w:t>
      </w:r>
      <w:r w:rsidR="00E21F07" w:rsidRPr="001858DD">
        <w:t xml:space="preserve">the reason, logically, why that would be is this </w:t>
      </w:r>
      <w:r w:rsidR="00DD6B6F" w:rsidRPr="001858DD">
        <w:t>is a large jump in the load forecast there may be a need to build new generation. A. Well, right.”</w:t>
      </w:r>
      <w:r w:rsidR="009A57AA" w:rsidRPr="001858DD">
        <w:t>)</w:t>
      </w:r>
      <w:r w:rsidR="00DD6B6F" w:rsidRPr="001858DD">
        <w:t xml:space="preserve">  </w:t>
      </w:r>
    </w:p>
    <w:p w14:paraId="78179685" w14:textId="77777777" w:rsidR="00CB00EF" w:rsidRPr="001858DD" w:rsidRDefault="00CB00EF">
      <w:pPr>
        <w:pStyle w:val="FootnoteText"/>
      </w:pPr>
    </w:p>
  </w:footnote>
  <w:footnote w:id="17">
    <w:p w14:paraId="74182ABB" w14:textId="568C07FE" w:rsidR="004E4748" w:rsidRPr="001858DD" w:rsidRDefault="004E4748">
      <w:pPr>
        <w:pStyle w:val="FootnoteText"/>
      </w:pPr>
      <w:r w:rsidRPr="001858DD">
        <w:rPr>
          <w:rStyle w:val="FootnoteReference"/>
        </w:rPr>
        <w:footnoteRef/>
      </w:r>
      <w:r w:rsidRPr="001858DD">
        <w:t xml:space="preserve"> Section 4935.04(E)(1), Revised Code.</w:t>
      </w:r>
    </w:p>
    <w:p w14:paraId="551B7051" w14:textId="77777777" w:rsidR="001858DD" w:rsidRPr="001858DD" w:rsidRDefault="001858DD">
      <w:pPr>
        <w:pStyle w:val="FootnoteText"/>
      </w:pPr>
    </w:p>
  </w:footnote>
  <w:footnote w:id="18">
    <w:p w14:paraId="46ED42A4" w14:textId="156CB3F9" w:rsidR="004E4748" w:rsidRDefault="004E4748">
      <w:pPr>
        <w:pStyle w:val="FootnoteText"/>
      </w:pPr>
      <w:r w:rsidRPr="001858DD">
        <w:rPr>
          <w:rStyle w:val="FootnoteReference"/>
        </w:rPr>
        <w:footnoteRef/>
      </w:r>
      <w:r w:rsidRPr="001858DD">
        <w:t xml:space="preserve"> Section 4935.04(F), Revised Code.</w:t>
      </w:r>
    </w:p>
    <w:p w14:paraId="06411415" w14:textId="77777777" w:rsidR="00917422" w:rsidRPr="001858DD" w:rsidRDefault="00917422">
      <w:pPr>
        <w:pStyle w:val="FootnoteText"/>
      </w:pPr>
    </w:p>
  </w:footnote>
  <w:footnote w:id="19">
    <w:p w14:paraId="14EAFB02" w14:textId="6623C2AD" w:rsidR="00A052B4" w:rsidRDefault="00A052B4">
      <w:pPr>
        <w:pStyle w:val="FootnoteText"/>
      </w:pPr>
      <w:r>
        <w:rPr>
          <w:rStyle w:val="FootnoteReference"/>
        </w:rPr>
        <w:footnoteRef/>
      </w:r>
      <w:r>
        <w:t xml:space="preserve"> </w:t>
      </w:r>
      <w:r w:rsidR="00E5606F">
        <w:t>R.C. 4928.143(B)(2)(c) states that a “</w:t>
      </w:r>
      <w:r w:rsidR="00917422">
        <w:t xml:space="preserve">no </w:t>
      </w:r>
      <w:r w:rsidR="00E5606F" w:rsidRPr="00E5606F">
        <w:t xml:space="preserve">surcharge shall be authorized unless the commission first </w:t>
      </w:r>
      <w:r w:rsidR="00E5606F" w:rsidRPr="00917422">
        <w:rPr>
          <w:i/>
        </w:rPr>
        <w:t>determines in the proceeding</w:t>
      </w:r>
      <w:r w:rsidR="00E5606F" w:rsidRPr="00E5606F">
        <w:t xml:space="preserve"> that there is need for the facility</w:t>
      </w:r>
      <w:r w:rsidR="00917422">
        <w:t>.”</w:t>
      </w:r>
      <w:r w:rsidR="00754E9A">
        <w:t xml:space="preserve"> (emphasis added).</w:t>
      </w:r>
    </w:p>
  </w:footnote>
  <w:footnote w:id="20">
    <w:p w14:paraId="4B9F8B94" w14:textId="788D54C4" w:rsidR="00163515" w:rsidRPr="001858DD" w:rsidRDefault="00163515" w:rsidP="0011575F">
      <w:pPr>
        <w:pStyle w:val="FootnoteText"/>
        <w:jc w:val="both"/>
      </w:pPr>
      <w:r w:rsidRPr="001858DD">
        <w:rPr>
          <w:rStyle w:val="FootnoteReference"/>
        </w:rPr>
        <w:footnoteRef/>
      </w:r>
      <w:r w:rsidRPr="001858DD">
        <w:t xml:space="preserve"> </w:t>
      </w:r>
      <w:r w:rsidRPr="001858DD">
        <w:rPr>
          <w:i/>
        </w:rPr>
        <w:t>OCC v. Pub. Util. Comm.</w:t>
      </w:r>
      <w:r w:rsidRPr="001858DD">
        <w:t xml:space="preserve">, 114 Ohio St. 3d 340 at </w:t>
      </w:r>
      <w:r w:rsidR="0094379E" w:rsidRPr="001858DD">
        <w:t>¶</w:t>
      </w:r>
      <w:r w:rsidR="00D80F58" w:rsidRPr="001858DD">
        <w:t xml:space="preserve"> (2007</w:t>
      </w:r>
      <w:r w:rsidR="00686357" w:rsidRPr="001858DD">
        <w:t>)</w:t>
      </w:r>
      <w:r w:rsidR="00D80F58" w:rsidRPr="001858DD">
        <w:t xml:space="preserve">.  </w:t>
      </w:r>
    </w:p>
    <w:p w14:paraId="60F9E80D" w14:textId="77777777" w:rsidR="00421846" w:rsidRPr="001858DD" w:rsidRDefault="00421846" w:rsidP="0011575F">
      <w:pPr>
        <w:pStyle w:val="FootnoteText"/>
        <w:jc w:val="both"/>
      </w:pPr>
    </w:p>
  </w:footnote>
  <w:footnote w:id="21">
    <w:p w14:paraId="735311FB" w14:textId="2D4DBBE0" w:rsidR="00F00D76" w:rsidRPr="001858DD" w:rsidRDefault="00F00D76" w:rsidP="0011575F">
      <w:pPr>
        <w:pStyle w:val="FootnoteText"/>
        <w:jc w:val="both"/>
      </w:pPr>
      <w:r w:rsidRPr="001858DD">
        <w:rPr>
          <w:rStyle w:val="FootnoteReference"/>
        </w:rPr>
        <w:footnoteRef/>
      </w:r>
      <w:r w:rsidR="00393DCE" w:rsidRPr="001858DD">
        <w:t xml:space="preserve"> </w:t>
      </w:r>
      <w:bookmarkStart w:id="2" w:name="_Hlk2688335"/>
      <w:r w:rsidR="00393DCE" w:rsidRPr="001858DD">
        <w:rPr>
          <w:i/>
        </w:rPr>
        <w:t>In re Application of Columbus Southern Power Co.</w:t>
      </w:r>
      <w:r w:rsidR="000360F0" w:rsidRPr="001858DD">
        <w:t>, 128 Ohio St. 3d. 512 at ¶ 28</w:t>
      </w:r>
      <w:r w:rsidR="00600679" w:rsidRPr="001858DD">
        <w:t xml:space="preserve"> (2011)</w:t>
      </w:r>
      <w:r w:rsidR="000360F0" w:rsidRPr="001858DD">
        <w:t xml:space="preserve"> </w:t>
      </w:r>
      <w:bookmarkEnd w:id="2"/>
      <w:r w:rsidR="000360F0" w:rsidRPr="001858DD">
        <w:t>(“</w:t>
      </w:r>
      <w:r w:rsidR="00393DCE" w:rsidRPr="001858DD">
        <w:t xml:space="preserve">The record showed that AEP has had </w:t>
      </w:r>
      <w:r w:rsidR="000360F0" w:rsidRPr="001858DD">
        <w:t>‘</w:t>
      </w:r>
      <w:r w:rsidR="00393DCE" w:rsidRPr="001858DD">
        <w:t>virtually no</w:t>
      </w:r>
      <w:r w:rsidR="000360F0" w:rsidRPr="001858DD">
        <w:t>’</w:t>
      </w:r>
      <w:r w:rsidR="00393DCE" w:rsidRPr="001858DD">
        <w:t xml:space="preserve"> shopping in the last eight years, including no residential shoppers.</w:t>
      </w:r>
      <w:r w:rsidR="000360F0" w:rsidRPr="001858DD">
        <w:t xml:space="preserve">”) </w:t>
      </w:r>
      <w:r w:rsidR="000360F0" w:rsidRPr="001858DD">
        <w:rPr>
          <w:i/>
        </w:rPr>
        <w:t>see also</w:t>
      </w:r>
      <w:r w:rsidR="00393DCE" w:rsidRPr="001858DD">
        <w:t xml:space="preserve"> </w:t>
      </w:r>
      <w:r w:rsidRPr="001858DD">
        <w:t xml:space="preserve"> </w:t>
      </w:r>
      <w:r w:rsidR="0025647C" w:rsidRPr="001858DD">
        <w:rPr>
          <w:i/>
        </w:rPr>
        <w:t xml:space="preserve">In the Matter of the Application of Columbus Southern Power Company and Ohio Power Company for Approval of a Post-Market Development </w:t>
      </w:r>
      <w:r w:rsidR="007E6240" w:rsidRPr="001858DD">
        <w:rPr>
          <w:i/>
        </w:rPr>
        <w:t>Period Rate Stabilization Plan</w:t>
      </w:r>
      <w:r w:rsidR="007E6240" w:rsidRPr="001858DD">
        <w:t>, Case No. 04-169-EL-UNC, Opinion and Order</w:t>
      </w:r>
      <w:r w:rsidR="002C34AC" w:rsidRPr="001858DD">
        <w:t xml:space="preserve"> at 5</w:t>
      </w:r>
      <w:r w:rsidR="007E6240" w:rsidRPr="001858DD">
        <w:t xml:space="preserve"> </w:t>
      </w:r>
      <w:r w:rsidR="002C34AC" w:rsidRPr="001858DD">
        <w:t>(Jan. 26, 2005)</w:t>
      </w:r>
      <w:r w:rsidR="000F1417" w:rsidRPr="001858DD">
        <w:t xml:space="preserve">; </w:t>
      </w:r>
      <w:r w:rsidR="000F1417" w:rsidRPr="001858DD">
        <w:rPr>
          <w:i/>
        </w:rPr>
        <w:t>see In the Matter of the Application of Columbus Southern Power Company for Approval of an Electric Security Plan</w:t>
      </w:r>
      <w:r w:rsidR="000675F0" w:rsidRPr="001858DD">
        <w:rPr>
          <w:i/>
        </w:rPr>
        <w:t>; an Amendment to its Co</w:t>
      </w:r>
      <w:r w:rsidR="00C71751" w:rsidRPr="001858DD">
        <w:rPr>
          <w:i/>
        </w:rPr>
        <w:t>rporate Separation Plan</w:t>
      </w:r>
      <w:r w:rsidR="00EB7C28" w:rsidRPr="001858DD">
        <w:rPr>
          <w:i/>
        </w:rPr>
        <w:t>; and the Sale or Transfer of Certain Generating Assets</w:t>
      </w:r>
      <w:r w:rsidR="00EB7C28" w:rsidRPr="001858DD">
        <w:t xml:space="preserve">, Case Nos. 08-917-EL-SSO, </w:t>
      </w:r>
      <w:r w:rsidR="00EB7C28" w:rsidRPr="001858DD">
        <w:rPr>
          <w:i/>
        </w:rPr>
        <w:t>et al.</w:t>
      </w:r>
      <w:r w:rsidR="00EB7C28" w:rsidRPr="001858DD">
        <w:t>, Entry on Rehearing at 25 (Jul. 23, 2009)</w:t>
      </w:r>
      <w:r w:rsidR="000360F0" w:rsidRPr="001858DD">
        <w:t>.</w:t>
      </w:r>
    </w:p>
    <w:p w14:paraId="7025DDC4" w14:textId="77777777" w:rsidR="000360F0" w:rsidRPr="001858DD" w:rsidRDefault="000360F0" w:rsidP="0011575F">
      <w:pPr>
        <w:pStyle w:val="FootnoteText"/>
        <w:jc w:val="both"/>
      </w:pPr>
    </w:p>
  </w:footnote>
  <w:footnote w:id="22">
    <w:p w14:paraId="13B7525C" w14:textId="645A6617" w:rsidR="00D80F58" w:rsidRPr="001858DD" w:rsidRDefault="00D80F58" w:rsidP="0011575F">
      <w:pPr>
        <w:pStyle w:val="FootnoteText"/>
        <w:jc w:val="both"/>
      </w:pPr>
      <w:r w:rsidRPr="001858DD">
        <w:rPr>
          <w:rStyle w:val="FootnoteReference"/>
        </w:rPr>
        <w:footnoteRef/>
      </w:r>
      <w:r w:rsidRPr="001858DD">
        <w:t xml:space="preserve"> </w:t>
      </w:r>
      <w:bookmarkStart w:id="3" w:name="_Hlk2688540"/>
      <w:r w:rsidR="000360F0" w:rsidRPr="001858DD">
        <w:rPr>
          <w:i/>
        </w:rPr>
        <w:t>In re Application of Columbus Southern Power Co.</w:t>
      </w:r>
      <w:r w:rsidR="000360F0" w:rsidRPr="001858DD">
        <w:t>, 128 Ohio St. 3d. 512 at ¶ 28 (2011</w:t>
      </w:r>
      <w:bookmarkEnd w:id="3"/>
      <w:r w:rsidR="000360F0" w:rsidRPr="001858DD">
        <w:t xml:space="preserve">); </w:t>
      </w:r>
      <w:r w:rsidR="00686357" w:rsidRPr="001858DD">
        <w:rPr>
          <w:i/>
        </w:rPr>
        <w:t>OCC v. Pub. Util. Comm.</w:t>
      </w:r>
      <w:r w:rsidR="00686357" w:rsidRPr="001858DD">
        <w:t>, 114 Ohio St. 3d 340 at ¶</w:t>
      </w:r>
      <w:r w:rsidR="0034467E" w:rsidRPr="001858DD">
        <w:t xml:space="preserve"> 14.</w:t>
      </w:r>
    </w:p>
  </w:footnote>
  <w:footnote w:id="23">
    <w:p w14:paraId="3128D3E8" w14:textId="77777777" w:rsidR="003E659B" w:rsidRPr="001858DD" w:rsidRDefault="003E659B" w:rsidP="0011575F">
      <w:pPr>
        <w:pStyle w:val="FootnoteText"/>
        <w:jc w:val="both"/>
      </w:pPr>
    </w:p>
    <w:p w14:paraId="06562EDF" w14:textId="7937A6CB" w:rsidR="003E659B" w:rsidRPr="001858DD" w:rsidRDefault="003E659B" w:rsidP="0011575F">
      <w:pPr>
        <w:pStyle w:val="FootnoteText"/>
        <w:jc w:val="both"/>
      </w:pPr>
      <w:r w:rsidRPr="001858DD">
        <w:rPr>
          <w:rStyle w:val="FootnoteReference"/>
        </w:rPr>
        <w:footnoteRef/>
      </w:r>
      <w:r w:rsidRPr="001858DD">
        <w:t xml:space="preserve"> Tr. Vol. I at 73</w:t>
      </w:r>
      <w:r w:rsidR="00600679" w:rsidRPr="001858DD">
        <w:t xml:space="preserve">; </w:t>
      </w:r>
      <w:r w:rsidR="00600679" w:rsidRPr="001858DD">
        <w:rPr>
          <w:i/>
        </w:rPr>
        <w:t>In re Application of Columbus Southern Power Co.</w:t>
      </w:r>
      <w:r w:rsidR="00600679" w:rsidRPr="001858DD">
        <w:t xml:space="preserve">, 128 Ohio St. 3d. 512 at ¶ </w:t>
      </w:r>
      <w:r w:rsidR="00AC7261" w:rsidRPr="001858DD">
        <w:t>4</w:t>
      </w:r>
      <w:r w:rsidR="00600679" w:rsidRPr="001858DD">
        <w:t xml:space="preserve"> (2011</w:t>
      </w:r>
      <w:r w:rsidR="00AC7261" w:rsidRPr="001858DD">
        <w:t>)</w:t>
      </w:r>
    </w:p>
    <w:p w14:paraId="3350CE58" w14:textId="77777777" w:rsidR="003E659B" w:rsidRPr="001858DD" w:rsidRDefault="003E659B" w:rsidP="003E659B">
      <w:pPr>
        <w:pStyle w:val="FootnoteText"/>
      </w:pPr>
    </w:p>
  </w:footnote>
  <w:footnote w:id="24">
    <w:p w14:paraId="5AF155F1" w14:textId="3EB000D0" w:rsidR="00A14213" w:rsidRDefault="00A14213">
      <w:pPr>
        <w:pStyle w:val="FootnoteText"/>
      </w:pPr>
      <w:r w:rsidRPr="001858DD">
        <w:rPr>
          <w:rStyle w:val="FootnoteReference"/>
        </w:rPr>
        <w:footnoteRef/>
      </w:r>
      <w:r w:rsidRPr="001858DD">
        <w:t xml:space="preserve"> </w:t>
      </w:r>
      <w:r w:rsidRPr="001858DD">
        <w:rPr>
          <w:i/>
        </w:rPr>
        <w:t xml:space="preserve">Id. </w:t>
      </w:r>
      <w:r w:rsidRPr="001858DD">
        <w:t xml:space="preserve">at ¶ 5. </w:t>
      </w:r>
    </w:p>
    <w:p w14:paraId="011BF838" w14:textId="77777777" w:rsidR="00D03BA7" w:rsidRPr="001858DD" w:rsidRDefault="00D03BA7">
      <w:pPr>
        <w:pStyle w:val="FootnoteText"/>
      </w:pPr>
    </w:p>
  </w:footnote>
  <w:footnote w:id="25">
    <w:p w14:paraId="65727E21" w14:textId="78710AB6" w:rsidR="007420F7" w:rsidRDefault="007420F7">
      <w:pPr>
        <w:pStyle w:val="FootnoteText"/>
        <w:rPr>
          <w:i/>
        </w:rPr>
      </w:pPr>
      <w:r w:rsidRPr="001858DD">
        <w:rPr>
          <w:rStyle w:val="FootnoteReference"/>
        </w:rPr>
        <w:footnoteRef/>
      </w:r>
      <w:r w:rsidRPr="001858DD">
        <w:t xml:space="preserve"> </w:t>
      </w:r>
      <w:r w:rsidRPr="001858DD">
        <w:rPr>
          <w:i/>
        </w:rPr>
        <w:t xml:space="preserve">Id. </w:t>
      </w:r>
    </w:p>
    <w:p w14:paraId="23B4D2AB" w14:textId="77777777" w:rsidR="00B33A76" w:rsidRPr="001858DD" w:rsidRDefault="00B33A76">
      <w:pPr>
        <w:pStyle w:val="FootnoteText"/>
        <w:rPr>
          <w:i/>
        </w:rPr>
      </w:pPr>
    </w:p>
  </w:footnote>
  <w:footnote w:id="26">
    <w:p w14:paraId="32468235" w14:textId="54166695" w:rsidR="00690537" w:rsidRPr="001858DD" w:rsidRDefault="00690537">
      <w:pPr>
        <w:pStyle w:val="FootnoteText"/>
      </w:pPr>
      <w:r w:rsidRPr="001858DD">
        <w:rPr>
          <w:rStyle w:val="FootnoteReference"/>
        </w:rPr>
        <w:footnoteRef/>
      </w:r>
      <w:r w:rsidRPr="001858DD">
        <w:t xml:space="preserve"> R.C. 4928.143(B)(2)(b) and (c).</w:t>
      </w:r>
    </w:p>
    <w:p w14:paraId="7A6A4209" w14:textId="77777777" w:rsidR="00690537" w:rsidRPr="001858DD" w:rsidRDefault="00690537">
      <w:pPr>
        <w:pStyle w:val="FootnoteText"/>
      </w:pPr>
    </w:p>
  </w:footnote>
  <w:footnote w:id="27">
    <w:p w14:paraId="5BD33BCF" w14:textId="35C3C0BF" w:rsidR="00690537" w:rsidRPr="001858DD" w:rsidRDefault="00690537">
      <w:pPr>
        <w:pStyle w:val="FootnoteText"/>
      </w:pPr>
      <w:r w:rsidRPr="001858DD">
        <w:rPr>
          <w:rStyle w:val="FootnoteReference"/>
        </w:rPr>
        <w:footnoteRef/>
      </w:r>
      <w:r w:rsidRPr="001858DD">
        <w:t xml:space="preserve"> R.C. 4928.64</w:t>
      </w:r>
      <w:r w:rsidR="006B4306" w:rsidRPr="001858DD">
        <w:t>.</w:t>
      </w:r>
    </w:p>
    <w:p w14:paraId="31C63122" w14:textId="77777777" w:rsidR="006B4306" w:rsidRPr="001858DD" w:rsidRDefault="006B4306">
      <w:pPr>
        <w:pStyle w:val="FootnoteText"/>
      </w:pPr>
    </w:p>
  </w:footnote>
  <w:footnote w:id="28">
    <w:p w14:paraId="6B7D21C8" w14:textId="77777777" w:rsidR="004E4748" w:rsidRPr="001858DD" w:rsidRDefault="004E4748" w:rsidP="00F1643C">
      <w:pPr>
        <w:pStyle w:val="FootnoteText"/>
      </w:pPr>
      <w:r w:rsidRPr="001858DD">
        <w:rPr>
          <w:rStyle w:val="FootnoteReference"/>
        </w:rPr>
        <w:footnoteRef/>
      </w:r>
      <w:r w:rsidRPr="001858DD">
        <w:t xml:space="preserve"> IGS Ex. 11 at 8.</w:t>
      </w:r>
    </w:p>
    <w:p w14:paraId="5BE93A62" w14:textId="77777777" w:rsidR="004E4748" w:rsidRPr="001858DD" w:rsidRDefault="004E4748" w:rsidP="00F1643C">
      <w:pPr>
        <w:pStyle w:val="FootnoteText"/>
      </w:pPr>
    </w:p>
  </w:footnote>
  <w:footnote w:id="29">
    <w:p w14:paraId="4C838D64" w14:textId="0B644BFE" w:rsidR="004E4748" w:rsidRPr="001858DD" w:rsidRDefault="004E4748" w:rsidP="00F1643C">
      <w:pPr>
        <w:pStyle w:val="FootnoteText"/>
      </w:pPr>
      <w:r w:rsidRPr="001858DD">
        <w:rPr>
          <w:rStyle w:val="FootnoteReference"/>
        </w:rPr>
        <w:footnoteRef/>
      </w:r>
      <w:r w:rsidRPr="001858DD">
        <w:t xml:space="preserve"> Tr. Vol. I at 75</w:t>
      </w:r>
      <w:r w:rsidR="009037F5" w:rsidRPr="001858DD">
        <w:t>;</w:t>
      </w:r>
      <w:r w:rsidRPr="001858DD">
        <w:t xml:space="preserve"> R.C. 4928.64</w:t>
      </w:r>
      <w:r w:rsidR="009037F5" w:rsidRPr="001858DD">
        <w:t>(B).</w:t>
      </w:r>
    </w:p>
    <w:p w14:paraId="384BA73E" w14:textId="77777777" w:rsidR="004E4748" w:rsidRPr="001858DD" w:rsidRDefault="004E4748" w:rsidP="00F1643C">
      <w:pPr>
        <w:pStyle w:val="FootnoteText"/>
      </w:pPr>
    </w:p>
  </w:footnote>
  <w:footnote w:id="30">
    <w:p w14:paraId="641E845F" w14:textId="77777777" w:rsidR="004E4748" w:rsidRPr="001858DD" w:rsidRDefault="004E4748" w:rsidP="00F1643C">
      <w:pPr>
        <w:pStyle w:val="FootnoteText"/>
      </w:pPr>
      <w:r w:rsidRPr="001858DD">
        <w:rPr>
          <w:rStyle w:val="FootnoteReference"/>
        </w:rPr>
        <w:footnoteRef/>
      </w:r>
      <w:r w:rsidRPr="001858DD">
        <w:t xml:space="preserve"> IGS Ex. 11 at 8.</w:t>
      </w:r>
    </w:p>
    <w:p w14:paraId="34B3F2EB" w14:textId="77777777" w:rsidR="004E4748" w:rsidRPr="001858DD" w:rsidRDefault="004E4748" w:rsidP="00F1643C">
      <w:pPr>
        <w:pStyle w:val="FootnoteText"/>
      </w:pPr>
    </w:p>
  </w:footnote>
  <w:footnote w:id="31">
    <w:p w14:paraId="1838098D" w14:textId="20CAB9D9" w:rsidR="005F2EFC" w:rsidRPr="001858DD" w:rsidRDefault="004E4748" w:rsidP="00EC2271">
      <w:pPr>
        <w:pStyle w:val="FootnoteText"/>
        <w:jc w:val="both"/>
      </w:pPr>
      <w:r w:rsidRPr="001858DD">
        <w:rPr>
          <w:rStyle w:val="FootnoteReference"/>
        </w:rPr>
        <w:footnoteRef/>
      </w:r>
      <w:r w:rsidRPr="001858DD">
        <w:t xml:space="preserve"> Tr. Vol. I at 76.</w:t>
      </w:r>
      <w:r w:rsidR="00AC5327" w:rsidRPr="001858DD">
        <w:t xml:space="preserve"> </w:t>
      </w:r>
      <w:r w:rsidR="00AC5327" w:rsidRPr="001858DD">
        <w:rPr>
          <w:i/>
        </w:rPr>
        <w:t xml:space="preserve">See also </w:t>
      </w:r>
      <w:r w:rsidR="00AC5327" w:rsidRPr="001858DD">
        <w:rPr>
          <w:i/>
        </w:rPr>
        <w:t>In re Review of the Alternative Energy Rider Contained in the Tariffs of Ohio Edison Co.</w:t>
      </w:r>
      <w:r w:rsidR="00AC5327" w:rsidRPr="001858DD">
        <w:t>, 153 Ohio St. 3d</w:t>
      </w:r>
      <w:r w:rsidR="005F2EFC" w:rsidRPr="001858DD">
        <w:t xml:space="preserve"> 289 at ¶ 5 (2018) (</w:t>
      </w:r>
      <w:r w:rsidR="00AC5327" w:rsidRPr="001858DD">
        <w:t>“Under an earlier version of the statute, electric utilities were required to purchase at least half of their renewable energy from in-state suppliers.”</w:t>
      </w:r>
      <w:r w:rsidR="005F2EFC" w:rsidRPr="001858DD">
        <w:t>).</w:t>
      </w:r>
    </w:p>
    <w:p w14:paraId="7D34F5C7" w14:textId="77777777" w:rsidR="004E4748" w:rsidRPr="001858DD" w:rsidRDefault="004E4748" w:rsidP="00EC2271">
      <w:pPr>
        <w:pStyle w:val="FootnoteText"/>
        <w:jc w:val="both"/>
      </w:pPr>
    </w:p>
  </w:footnote>
  <w:footnote w:id="32">
    <w:p w14:paraId="573993AD" w14:textId="0FF2247F" w:rsidR="0039481B" w:rsidRDefault="0039481B">
      <w:pPr>
        <w:pStyle w:val="FootnoteText"/>
      </w:pPr>
      <w:r>
        <w:rPr>
          <w:rStyle w:val="FootnoteReference"/>
        </w:rPr>
        <w:footnoteRef/>
      </w:r>
      <w:r>
        <w:t xml:space="preserve"> R.C. 4928.03.</w:t>
      </w:r>
    </w:p>
    <w:p w14:paraId="576ECAE4" w14:textId="77777777" w:rsidR="0039481B" w:rsidRDefault="0039481B">
      <w:pPr>
        <w:pStyle w:val="FootnoteText"/>
      </w:pPr>
    </w:p>
  </w:footnote>
  <w:footnote w:id="33">
    <w:p w14:paraId="208A0AED" w14:textId="77777777" w:rsidR="004E4748" w:rsidRPr="001858DD" w:rsidRDefault="004E4748" w:rsidP="00EC2271">
      <w:pPr>
        <w:pStyle w:val="FootnoteText"/>
        <w:jc w:val="both"/>
        <w:rPr>
          <w:i/>
        </w:rPr>
      </w:pPr>
      <w:r w:rsidRPr="001858DD">
        <w:rPr>
          <w:rStyle w:val="FootnoteReference"/>
        </w:rPr>
        <w:footnoteRef/>
      </w:r>
      <w:r w:rsidRPr="001858DD">
        <w:t xml:space="preserve"> </w:t>
      </w:r>
      <w:r w:rsidRPr="001858DD">
        <w:rPr>
          <w:i/>
        </w:rPr>
        <w:t xml:space="preserve">Id. </w:t>
      </w:r>
    </w:p>
    <w:p w14:paraId="0B4020A7" w14:textId="77777777" w:rsidR="004E4748" w:rsidRPr="001858DD" w:rsidRDefault="004E4748" w:rsidP="00EC2271">
      <w:pPr>
        <w:pStyle w:val="FootnoteText"/>
        <w:jc w:val="both"/>
        <w:rPr>
          <w:i/>
        </w:rPr>
      </w:pPr>
    </w:p>
  </w:footnote>
  <w:footnote w:id="34">
    <w:p w14:paraId="5F3338B6" w14:textId="77777777" w:rsidR="004E4748" w:rsidRPr="001858DD" w:rsidRDefault="004E4748" w:rsidP="00EC2271">
      <w:pPr>
        <w:pStyle w:val="FootnoteText"/>
        <w:jc w:val="both"/>
      </w:pPr>
      <w:r w:rsidRPr="001858DD">
        <w:rPr>
          <w:rStyle w:val="FootnoteReference"/>
        </w:rPr>
        <w:footnoteRef/>
      </w:r>
      <w:r w:rsidRPr="001858DD">
        <w:t xml:space="preserve"> R.C. 4928.64(E).</w:t>
      </w:r>
    </w:p>
    <w:p w14:paraId="1D7B270A" w14:textId="77777777" w:rsidR="004E4748" w:rsidRPr="001858DD" w:rsidRDefault="004E4748" w:rsidP="00F1643C">
      <w:pPr>
        <w:pStyle w:val="FootnoteText"/>
      </w:pPr>
    </w:p>
  </w:footnote>
  <w:footnote w:id="35">
    <w:p w14:paraId="004D98EF" w14:textId="03BBBFB2" w:rsidR="0064785A" w:rsidRDefault="0064785A">
      <w:pPr>
        <w:pStyle w:val="FootnoteText"/>
      </w:pPr>
      <w:r>
        <w:rPr>
          <w:rStyle w:val="FootnoteReference"/>
        </w:rPr>
        <w:footnoteRef/>
      </w:r>
      <w:r>
        <w:t xml:space="preserve"> R.C. 4928.143(B)</w:t>
      </w:r>
      <w:r w:rsidR="00FC50CF">
        <w:t xml:space="preserve"> and R.C. 4928.143(B)(2)</w:t>
      </w:r>
      <w:r w:rsidR="004B7888">
        <w:t xml:space="preserve"> (emphasis added)</w:t>
      </w:r>
      <w:r w:rsidR="00FC50CF">
        <w:t>.</w:t>
      </w:r>
    </w:p>
  </w:footnote>
  <w:footnote w:id="36">
    <w:p w14:paraId="676B3694" w14:textId="77777777" w:rsidR="004E4748" w:rsidRPr="001858DD" w:rsidRDefault="004E4748" w:rsidP="00F1643C">
      <w:pPr>
        <w:pStyle w:val="FootnoteText"/>
      </w:pPr>
      <w:r w:rsidRPr="001858DD">
        <w:rPr>
          <w:rStyle w:val="FootnoteReference"/>
        </w:rPr>
        <w:footnoteRef/>
      </w:r>
      <w:r w:rsidRPr="001858DD">
        <w:t xml:space="preserve"> Tr. Vol. I at 77.</w:t>
      </w:r>
    </w:p>
    <w:p w14:paraId="4F904CB7" w14:textId="77777777" w:rsidR="004E4748" w:rsidRPr="001858DD" w:rsidRDefault="004E4748" w:rsidP="00F1643C">
      <w:pPr>
        <w:pStyle w:val="FootnoteText"/>
      </w:pPr>
    </w:p>
  </w:footnote>
  <w:footnote w:id="37">
    <w:p w14:paraId="2F64B4E0" w14:textId="26A98577" w:rsidR="0001187B" w:rsidRPr="001858DD" w:rsidRDefault="0001187B">
      <w:pPr>
        <w:pStyle w:val="FootnoteText"/>
      </w:pPr>
      <w:r w:rsidRPr="001858DD">
        <w:rPr>
          <w:rStyle w:val="FootnoteReference"/>
        </w:rPr>
        <w:footnoteRef/>
      </w:r>
      <w:r w:rsidRPr="001858DD">
        <w:t xml:space="preserve"> R.C. 4928.65(</w:t>
      </w:r>
      <w:r w:rsidR="00E74320" w:rsidRPr="001858DD">
        <w:t>A)(1)(a).</w:t>
      </w:r>
    </w:p>
    <w:p w14:paraId="5071ED43" w14:textId="77777777" w:rsidR="00E74320" w:rsidRPr="001858DD" w:rsidRDefault="00E74320">
      <w:pPr>
        <w:pStyle w:val="FootnoteText"/>
      </w:pPr>
    </w:p>
  </w:footnote>
  <w:footnote w:id="38">
    <w:p w14:paraId="1A94B9BA" w14:textId="77777777" w:rsidR="004E4748" w:rsidRPr="001858DD" w:rsidRDefault="004E4748" w:rsidP="00F1643C">
      <w:pPr>
        <w:pStyle w:val="FootnoteText"/>
      </w:pPr>
      <w:r w:rsidRPr="001858DD">
        <w:rPr>
          <w:rStyle w:val="FootnoteReference"/>
        </w:rPr>
        <w:footnoteRef/>
      </w:r>
      <w:r w:rsidRPr="001858DD">
        <w:t xml:space="preserve"> Tr. Vol. I at 76-77.</w:t>
      </w:r>
    </w:p>
    <w:p w14:paraId="06971CD3" w14:textId="77777777" w:rsidR="004E4748" w:rsidRPr="001858DD" w:rsidRDefault="004E4748" w:rsidP="00F1643C">
      <w:pPr>
        <w:pStyle w:val="FootnoteText"/>
      </w:pPr>
    </w:p>
  </w:footnote>
  <w:footnote w:id="39">
    <w:p w14:paraId="1B39D646" w14:textId="5646C86A" w:rsidR="00046848" w:rsidRDefault="00046848">
      <w:pPr>
        <w:pStyle w:val="FootnoteText"/>
      </w:pPr>
      <w:r>
        <w:rPr>
          <w:rStyle w:val="FootnoteReference"/>
        </w:rPr>
        <w:footnoteRef/>
      </w:r>
      <w:r>
        <w:t xml:space="preserve"> </w:t>
      </w:r>
      <w:r w:rsidR="009D6E11">
        <w:t xml:space="preserve">IGS Ex. 11 at 17-18. </w:t>
      </w:r>
    </w:p>
    <w:p w14:paraId="7059F43E" w14:textId="77777777" w:rsidR="009D6E11" w:rsidRDefault="009D6E11">
      <w:pPr>
        <w:pStyle w:val="FootnoteText"/>
      </w:pPr>
    </w:p>
  </w:footnote>
  <w:footnote w:id="40">
    <w:p w14:paraId="5C068C83" w14:textId="77777777" w:rsidR="004E4748" w:rsidRPr="001858DD" w:rsidRDefault="004E4748" w:rsidP="00F1643C">
      <w:pPr>
        <w:pStyle w:val="FootnoteText"/>
      </w:pPr>
      <w:r w:rsidRPr="001858DD">
        <w:rPr>
          <w:rStyle w:val="FootnoteReference"/>
        </w:rPr>
        <w:footnoteRef/>
      </w:r>
      <w:r w:rsidRPr="001858DD">
        <w:t xml:space="preserve"> IGS Ex. 11 at 8. </w:t>
      </w:r>
    </w:p>
    <w:p w14:paraId="2A1F701D" w14:textId="77777777" w:rsidR="004E4748" w:rsidRPr="001858DD" w:rsidRDefault="004E4748" w:rsidP="00F1643C">
      <w:pPr>
        <w:pStyle w:val="FootnoteText"/>
      </w:pPr>
    </w:p>
  </w:footnote>
  <w:footnote w:id="41">
    <w:p w14:paraId="32C1D500" w14:textId="77777777" w:rsidR="004E4748" w:rsidRPr="001858DD" w:rsidRDefault="004E4748" w:rsidP="00F1643C">
      <w:pPr>
        <w:pStyle w:val="FootnoteText"/>
      </w:pPr>
      <w:r w:rsidRPr="001858DD">
        <w:rPr>
          <w:rStyle w:val="FootnoteReference"/>
        </w:rPr>
        <w:footnoteRef/>
      </w:r>
      <w:r w:rsidRPr="001858DD">
        <w:t xml:space="preserve"> </w:t>
      </w:r>
      <w:r w:rsidRPr="001858DD">
        <w:rPr>
          <w:i/>
        </w:rPr>
        <w:t xml:space="preserve">Id. </w:t>
      </w:r>
      <w:r w:rsidRPr="001858DD">
        <w:t>at 9.</w:t>
      </w:r>
    </w:p>
    <w:p w14:paraId="5F96A722" w14:textId="77777777" w:rsidR="004E4748" w:rsidRPr="001858DD" w:rsidRDefault="004E4748" w:rsidP="00F1643C">
      <w:pPr>
        <w:pStyle w:val="FootnoteText"/>
      </w:pPr>
    </w:p>
  </w:footnote>
  <w:footnote w:id="42">
    <w:p w14:paraId="1142C336" w14:textId="3603F9AA" w:rsidR="0047216A" w:rsidRDefault="0047216A">
      <w:pPr>
        <w:pStyle w:val="FootnoteText"/>
      </w:pPr>
      <w:r>
        <w:rPr>
          <w:rStyle w:val="FootnoteReference"/>
        </w:rPr>
        <w:footnoteRef/>
      </w:r>
      <w:r>
        <w:t xml:space="preserve"> </w:t>
      </w:r>
      <w:r w:rsidR="00156CA1">
        <w:t>AEP Ohio Ex. 3 at 13; Staff Ex. 1</w:t>
      </w:r>
      <w:r w:rsidR="001B3CFD">
        <w:t xml:space="preserve"> at 2-4.</w:t>
      </w:r>
    </w:p>
    <w:p w14:paraId="518DC945" w14:textId="77777777" w:rsidR="001B3CFD" w:rsidRDefault="001B3CFD">
      <w:pPr>
        <w:pStyle w:val="FootnoteText"/>
      </w:pPr>
    </w:p>
  </w:footnote>
  <w:footnote w:id="43">
    <w:p w14:paraId="44979101" w14:textId="0B3E0682" w:rsidR="004E4748" w:rsidRDefault="004E4748" w:rsidP="00F1643C">
      <w:pPr>
        <w:pStyle w:val="FootnoteText"/>
      </w:pPr>
      <w:r w:rsidRPr="001858DD">
        <w:rPr>
          <w:rStyle w:val="FootnoteReference"/>
        </w:rPr>
        <w:footnoteRef/>
      </w:r>
      <w:r w:rsidRPr="001858DD">
        <w:t xml:space="preserve"> </w:t>
      </w:r>
      <w:r w:rsidRPr="001858DD">
        <w:rPr>
          <w:i/>
        </w:rPr>
        <w:t>Id</w:t>
      </w:r>
      <w:r w:rsidR="009272FA" w:rsidRPr="001858DD">
        <w:rPr>
          <w:i/>
        </w:rPr>
        <w:t>.</w:t>
      </w:r>
      <w:r w:rsidR="009272FA" w:rsidRPr="001858DD">
        <w:t xml:space="preserve"> </w:t>
      </w:r>
      <w:r w:rsidR="009272FA" w:rsidRPr="001858DD">
        <w:rPr>
          <w:i/>
        </w:rPr>
        <w:t xml:space="preserve">See also </w:t>
      </w:r>
      <w:r w:rsidR="009272FA" w:rsidRPr="001858DD">
        <w:t>R.C. 4928.64(C)(3</w:t>
      </w:r>
      <w:r w:rsidR="00DB391A" w:rsidRPr="001858DD">
        <w:t xml:space="preserve">). </w:t>
      </w:r>
    </w:p>
    <w:p w14:paraId="658C6B29" w14:textId="77777777" w:rsidR="001858DD" w:rsidRPr="001858DD" w:rsidRDefault="001858DD" w:rsidP="00F1643C">
      <w:pPr>
        <w:pStyle w:val="FootnoteText"/>
      </w:pPr>
    </w:p>
  </w:footnote>
  <w:footnote w:id="44">
    <w:p w14:paraId="5DA1E398" w14:textId="51C31537" w:rsidR="00D7626D" w:rsidRDefault="00D7626D">
      <w:pPr>
        <w:pStyle w:val="FootnoteText"/>
      </w:pPr>
      <w:r w:rsidRPr="001858DD">
        <w:rPr>
          <w:rStyle w:val="FootnoteReference"/>
        </w:rPr>
        <w:footnoteRef/>
      </w:r>
      <w:r w:rsidRPr="001858DD">
        <w:t xml:space="preserve"> R.C. 4928.64(C)(4)(a). </w:t>
      </w:r>
    </w:p>
    <w:p w14:paraId="433F1DEA" w14:textId="77777777" w:rsidR="00EC2271" w:rsidRPr="001858DD" w:rsidRDefault="00EC2271">
      <w:pPr>
        <w:pStyle w:val="FootnoteText"/>
      </w:pPr>
    </w:p>
  </w:footnote>
  <w:footnote w:id="45">
    <w:p w14:paraId="2322F1A1" w14:textId="0A04CA0C" w:rsidR="00466EB3" w:rsidRDefault="00466EB3">
      <w:pPr>
        <w:pStyle w:val="FootnoteText"/>
      </w:pPr>
      <w:r>
        <w:rPr>
          <w:rStyle w:val="FootnoteReference"/>
        </w:rPr>
        <w:footnoteRef/>
      </w:r>
      <w:r>
        <w:t xml:space="preserve"> </w:t>
      </w:r>
      <w:r w:rsidR="002473CE">
        <w:t>IGS Ex. 11 at 8.</w:t>
      </w:r>
    </w:p>
    <w:p w14:paraId="74C7EB0C" w14:textId="77777777" w:rsidR="002473CE" w:rsidRDefault="002473CE">
      <w:pPr>
        <w:pStyle w:val="FootnoteText"/>
      </w:pPr>
    </w:p>
  </w:footnote>
  <w:footnote w:id="46">
    <w:p w14:paraId="75E14F6B" w14:textId="26199482" w:rsidR="004E4748" w:rsidRPr="001858DD" w:rsidRDefault="004E4748" w:rsidP="00F1643C">
      <w:pPr>
        <w:pStyle w:val="FootnoteText"/>
      </w:pPr>
      <w:r w:rsidRPr="001858DD">
        <w:rPr>
          <w:rStyle w:val="FootnoteReference"/>
        </w:rPr>
        <w:footnoteRef/>
      </w:r>
      <w:r w:rsidRPr="001858DD">
        <w:t xml:space="preserve"> </w:t>
      </w:r>
      <w:r w:rsidR="00FA01C0" w:rsidRPr="001858DD">
        <w:t>IGS Ex. 11</w:t>
      </w:r>
      <w:r w:rsidRPr="001858DD">
        <w:rPr>
          <w:i/>
        </w:rPr>
        <w:t xml:space="preserve"> </w:t>
      </w:r>
      <w:r w:rsidRPr="001858DD">
        <w:t>at 9.</w:t>
      </w:r>
    </w:p>
    <w:p w14:paraId="3E630D14" w14:textId="77777777" w:rsidR="00FA01C0" w:rsidRPr="001858DD" w:rsidRDefault="00FA01C0" w:rsidP="00F1643C">
      <w:pPr>
        <w:pStyle w:val="FootnoteText"/>
      </w:pPr>
    </w:p>
  </w:footnote>
  <w:footnote w:id="47">
    <w:p w14:paraId="3B3900C4" w14:textId="78F98789" w:rsidR="004E4748" w:rsidRPr="001858DD" w:rsidRDefault="004E4748" w:rsidP="00F1643C">
      <w:pPr>
        <w:pStyle w:val="FootnoteText"/>
      </w:pPr>
      <w:r w:rsidRPr="001858DD">
        <w:rPr>
          <w:rStyle w:val="FootnoteReference"/>
        </w:rPr>
        <w:footnoteRef/>
      </w:r>
      <w:r w:rsidRPr="001858DD">
        <w:t xml:space="preserve"> </w:t>
      </w:r>
      <w:r w:rsidRPr="001858DD">
        <w:rPr>
          <w:i/>
        </w:rPr>
        <w:t xml:space="preserve">Id. </w:t>
      </w:r>
      <w:r w:rsidRPr="001858DD">
        <w:t>at 10.</w:t>
      </w:r>
    </w:p>
    <w:p w14:paraId="17D199B8" w14:textId="77777777" w:rsidR="00FA01C0" w:rsidRPr="001858DD" w:rsidRDefault="00FA01C0" w:rsidP="00F1643C">
      <w:pPr>
        <w:pStyle w:val="FootnoteText"/>
      </w:pPr>
    </w:p>
  </w:footnote>
  <w:footnote w:id="48">
    <w:p w14:paraId="15130151" w14:textId="5F02E090" w:rsidR="004E4748" w:rsidRPr="001858DD" w:rsidRDefault="004E4748" w:rsidP="00F1643C">
      <w:pPr>
        <w:pStyle w:val="FootnoteText"/>
      </w:pPr>
      <w:r w:rsidRPr="001858DD">
        <w:rPr>
          <w:rStyle w:val="FootnoteReference"/>
        </w:rPr>
        <w:footnoteRef/>
      </w:r>
      <w:r w:rsidRPr="001858DD">
        <w:t xml:space="preserve"> </w:t>
      </w:r>
      <w:r w:rsidRPr="001858DD">
        <w:rPr>
          <w:i/>
        </w:rPr>
        <w:t xml:space="preserve">Id. </w:t>
      </w:r>
      <w:r w:rsidRPr="001858DD">
        <w:t>at 12.</w:t>
      </w:r>
    </w:p>
    <w:p w14:paraId="0C6DE169" w14:textId="77777777" w:rsidR="00FA01C0" w:rsidRPr="001858DD" w:rsidRDefault="00FA01C0" w:rsidP="00F1643C">
      <w:pPr>
        <w:pStyle w:val="FootnoteText"/>
      </w:pPr>
    </w:p>
  </w:footnote>
  <w:footnote w:id="49">
    <w:p w14:paraId="5AD6D84A" w14:textId="77777777" w:rsidR="004E592D" w:rsidRPr="001858DD" w:rsidRDefault="004E4748" w:rsidP="00F1643C">
      <w:pPr>
        <w:pStyle w:val="FootnoteText"/>
        <w:rPr>
          <w:i/>
        </w:rPr>
      </w:pPr>
      <w:r w:rsidRPr="001858DD">
        <w:rPr>
          <w:rStyle w:val="FootnoteReference"/>
        </w:rPr>
        <w:footnoteRef/>
      </w:r>
      <w:r w:rsidRPr="001858DD">
        <w:t xml:space="preserve"> </w:t>
      </w:r>
      <w:r w:rsidRPr="001858DD">
        <w:rPr>
          <w:i/>
        </w:rPr>
        <w:t>Id.</w:t>
      </w:r>
    </w:p>
    <w:p w14:paraId="7A7ADD68" w14:textId="0FA57DC6" w:rsidR="004E4748" w:rsidRPr="001858DD" w:rsidRDefault="004E4748" w:rsidP="00F1643C">
      <w:pPr>
        <w:pStyle w:val="FootnoteText"/>
        <w:rPr>
          <w:i/>
        </w:rPr>
      </w:pPr>
      <w:r w:rsidRPr="001858DD">
        <w:rPr>
          <w:i/>
        </w:rPr>
        <w:t xml:space="preserve"> </w:t>
      </w:r>
    </w:p>
  </w:footnote>
  <w:footnote w:id="50">
    <w:p w14:paraId="70078265" w14:textId="59B4F2C2" w:rsidR="00FA01C0" w:rsidRPr="001858DD" w:rsidRDefault="00FA01C0">
      <w:pPr>
        <w:pStyle w:val="FootnoteText"/>
      </w:pPr>
      <w:r w:rsidRPr="001858DD">
        <w:rPr>
          <w:rStyle w:val="FootnoteReference"/>
        </w:rPr>
        <w:footnoteRef/>
      </w:r>
      <w:r w:rsidRPr="001858DD">
        <w:t xml:space="preserve"> </w:t>
      </w:r>
      <w:r w:rsidR="004E592D" w:rsidRPr="001858DD">
        <w:rPr>
          <w:i/>
        </w:rPr>
        <w:t xml:space="preserve">Id. </w:t>
      </w:r>
      <w:r w:rsidR="004E592D" w:rsidRPr="001858DD">
        <w:t xml:space="preserve">at 15; </w:t>
      </w:r>
      <w:r w:rsidR="004E592D" w:rsidRPr="001858DD">
        <w:rPr>
          <w:i/>
        </w:rPr>
        <w:t xml:space="preserve">see also </w:t>
      </w:r>
      <w:r w:rsidR="001D1C6C" w:rsidRPr="001858DD">
        <w:t>Tr. Vol. VII at 1982-</w:t>
      </w:r>
      <w:r w:rsidR="000F71BA" w:rsidRPr="001858DD">
        <w:t>86</w:t>
      </w:r>
      <w:r w:rsidR="008C6273" w:rsidRPr="001858DD">
        <w:t>, 2008-</w:t>
      </w:r>
      <w:r w:rsidR="00EC55A4" w:rsidRPr="001858DD">
        <w:t>10.</w:t>
      </w:r>
    </w:p>
  </w:footnote>
  <w:footnote w:id="51">
    <w:p w14:paraId="75BC8C4C" w14:textId="0837B564" w:rsidR="00F72186" w:rsidRDefault="00F72186">
      <w:pPr>
        <w:pStyle w:val="FootnoteText"/>
      </w:pPr>
      <w:r w:rsidRPr="00B66FAC">
        <w:rPr>
          <w:rStyle w:val="FootnoteReference"/>
        </w:rPr>
        <w:footnoteRef/>
      </w:r>
      <w:r w:rsidRPr="00B66FAC">
        <w:t xml:space="preserve"> </w:t>
      </w:r>
      <w:r w:rsidR="0088733D" w:rsidRPr="00B66FAC">
        <w:t>AEP Ohio Ex. 6 at TH-1 p. 15</w:t>
      </w:r>
      <w:r w:rsidR="0069646E" w:rsidRPr="00B66FAC">
        <w:t xml:space="preserve"> of 41</w:t>
      </w:r>
      <w:r w:rsidR="003C5D14">
        <w:t>.</w:t>
      </w:r>
    </w:p>
    <w:p w14:paraId="1E602C62" w14:textId="77777777" w:rsidR="00B66FAC" w:rsidRPr="00B66FAC" w:rsidRDefault="00B66FAC">
      <w:pPr>
        <w:pStyle w:val="FootnoteText"/>
      </w:pPr>
    </w:p>
  </w:footnote>
  <w:footnote w:id="52">
    <w:p w14:paraId="6CA8C1C6" w14:textId="6A936A2A" w:rsidR="007B455F" w:rsidRDefault="007B455F">
      <w:pPr>
        <w:pStyle w:val="FootnoteText"/>
      </w:pPr>
      <w:r w:rsidRPr="00B66FAC">
        <w:rPr>
          <w:rStyle w:val="FootnoteReference"/>
        </w:rPr>
        <w:footnoteRef/>
      </w:r>
      <w:r w:rsidRPr="00B66FAC">
        <w:t xml:space="preserve"> Tr. Vol. III at 583</w:t>
      </w:r>
      <w:r w:rsidR="008F42D0" w:rsidRPr="00B66FAC">
        <w:t>-84</w:t>
      </w:r>
      <w:r w:rsidRPr="00B66FAC">
        <w:t>.</w:t>
      </w:r>
    </w:p>
    <w:p w14:paraId="345CC0CC" w14:textId="77777777" w:rsidR="00B66FAC" w:rsidRPr="00B66FAC" w:rsidRDefault="00B66FAC">
      <w:pPr>
        <w:pStyle w:val="FootnoteText"/>
      </w:pPr>
    </w:p>
  </w:footnote>
  <w:footnote w:id="53">
    <w:p w14:paraId="288201A4" w14:textId="5E2CFADA" w:rsidR="004E4748" w:rsidRPr="00B66FAC" w:rsidRDefault="004E4748">
      <w:pPr>
        <w:pStyle w:val="FootnoteText"/>
      </w:pPr>
      <w:r w:rsidRPr="00B66FAC">
        <w:rPr>
          <w:rStyle w:val="FootnoteReference"/>
        </w:rPr>
        <w:footnoteRef/>
      </w:r>
      <w:r w:rsidRPr="00B66FAC">
        <w:t xml:space="preserve"> Tr. Vol. I at 109.</w:t>
      </w:r>
    </w:p>
    <w:p w14:paraId="7EA06139" w14:textId="77777777" w:rsidR="002F2060" w:rsidRPr="00B66FAC" w:rsidRDefault="002F2060">
      <w:pPr>
        <w:pStyle w:val="FootnoteText"/>
      </w:pPr>
    </w:p>
  </w:footnote>
  <w:footnote w:id="54">
    <w:p w14:paraId="1ED6CE6B" w14:textId="103BB04E" w:rsidR="00863017" w:rsidRPr="00B66FAC" w:rsidRDefault="00863017">
      <w:pPr>
        <w:pStyle w:val="FootnoteText"/>
      </w:pPr>
      <w:r w:rsidRPr="00B66FAC">
        <w:rPr>
          <w:rStyle w:val="FootnoteReference"/>
        </w:rPr>
        <w:footnoteRef/>
      </w:r>
      <w:r w:rsidRPr="00B66FAC">
        <w:t xml:space="preserve"> </w:t>
      </w:r>
      <w:r w:rsidR="002F2060" w:rsidRPr="00B66FAC">
        <w:t>Tr. Vol. II at 568-69.</w:t>
      </w:r>
    </w:p>
    <w:p w14:paraId="5CE75D8D" w14:textId="77777777" w:rsidR="0084642B" w:rsidRPr="00B66FAC" w:rsidRDefault="0084642B">
      <w:pPr>
        <w:pStyle w:val="FootnoteText"/>
      </w:pPr>
    </w:p>
  </w:footnote>
  <w:footnote w:id="55">
    <w:p w14:paraId="6B08609B" w14:textId="32FCD36C" w:rsidR="0084642B" w:rsidRPr="00B66FAC" w:rsidRDefault="0084642B">
      <w:pPr>
        <w:pStyle w:val="FootnoteText"/>
      </w:pPr>
      <w:r w:rsidRPr="00B66FAC">
        <w:rPr>
          <w:rStyle w:val="FootnoteReference"/>
        </w:rPr>
        <w:footnoteRef/>
      </w:r>
      <w:r w:rsidRPr="00B66FAC">
        <w:t xml:space="preserve"> </w:t>
      </w:r>
      <w:r w:rsidRPr="00B66FAC">
        <w:rPr>
          <w:i/>
        </w:rPr>
        <w:t xml:space="preserve">Id. </w:t>
      </w:r>
      <w:r w:rsidRPr="00B66FAC">
        <w:t>at 575.</w:t>
      </w:r>
    </w:p>
    <w:p w14:paraId="2847B0F9" w14:textId="77777777" w:rsidR="0084642B" w:rsidRPr="00B66FAC" w:rsidRDefault="0084642B">
      <w:pPr>
        <w:pStyle w:val="FootnoteText"/>
      </w:pPr>
    </w:p>
  </w:footnote>
  <w:footnote w:id="56">
    <w:p w14:paraId="7B68A32D" w14:textId="1BB2E366" w:rsidR="00F2169E" w:rsidRPr="00B66FAC" w:rsidRDefault="00F2169E">
      <w:pPr>
        <w:pStyle w:val="FootnoteText"/>
      </w:pPr>
      <w:r w:rsidRPr="00B66FAC">
        <w:rPr>
          <w:rStyle w:val="FootnoteReference"/>
        </w:rPr>
        <w:footnoteRef/>
      </w:r>
      <w:r w:rsidRPr="00B66FAC">
        <w:t xml:space="preserve"> AEP Ohio Ex. </w:t>
      </w:r>
      <w:r w:rsidR="00B66FAC" w:rsidRPr="00B66FAC">
        <w:t>6 a</w:t>
      </w:r>
      <w:r w:rsidRPr="00B66FAC">
        <w:t xml:space="preserve">t </w:t>
      </w:r>
      <w:r w:rsidR="00B66FAC" w:rsidRPr="00B66FAC">
        <w:t xml:space="preserve">TH-1 p. </w:t>
      </w:r>
      <w:r w:rsidRPr="00B66FAC">
        <w:t>14</w:t>
      </w:r>
      <w:r w:rsidR="00B66FAC" w:rsidRPr="00B66FAC">
        <w:t xml:space="preserve"> of 41</w:t>
      </w:r>
      <w:r w:rsidR="001858DD" w:rsidRPr="00B66FAC">
        <w:t>.</w:t>
      </w:r>
    </w:p>
    <w:p w14:paraId="2D82BA9E" w14:textId="77777777" w:rsidR="001858DD" w:rsidRPr="001858DD" w:rsidRDefault="001858DD">
      <w:pPr>
        <w:pStyle w:val="FootnoteText"/>
      </w:pPr>
    </w:p>
  </w:footnote>
  <w:footnote w:id="57">
    <w:p w14:paraId="074B54DF" w14:textId="5BCB2084" w:rsidR="00C461B0" w:rsidRDefault="00C461B0">
      <w:pPr>
        <w:pStyle w:val="FootnoteText"/>
        <w:rPr>
          <w:i/>
        </w:rPr>
      </w:pPr>
      <w:r>
        <w:rPr>
          <w:rStyle w:val="FootnoteReference"/>
        </w:rPr>
        <w:footnoteRef/>
      </w:r>
      <w:r>
        <w:t xml:space="preserve"> </w:t>
      </w:r>
      <w:r>
        <w:rPr>
          <w:i/>
        </w:rPr>
        <w:t>Id.</w:t>
      </w:r>
    </w:p>
    <w:p w14:paraId="1AAB4085" w14:textId="77777777" w:rsidR="00C461B0" w:rsidRPr="00C461B0" w:rsidRDefault="00C461B0">
      <w:pPr>
        <w:pStyle w:val="FootnoteText"/>
        <w:rPr>
          <w:i/>
        </w:rPr>
      </w:pPr>
    </w:p>
  </w:footnote>
  <w:footnote w:id="58">
    <w:p w14:paraId="0DBBC280" w14:textId="36D6FC9E" w:rsidR="00556655" w:rsidRDefault="00556655" w:rsidP="00556655">
      <w:pPr>
        <w:pStyle w:val="FootnoteText"/>
      </w:pPr>
      <w:r w:rsidRPr="001858DD">
        <w:rPr>
          <w:rStyle w:val="FootnoteReference"/>
        </w:rPr>
        <w:footnoteRef/>
      </w:r>
      <w:r w:rsidRPr="001858DD">
        <w:t xml:space="preserve"> Tr. Vol. I at 147-50.</w:t>
      </w:r>
    </w:p>
    <w:p w14:paraId="70A60C1E" w14:textId="77777777" w:rsidR="00C461B0" w:rsidRPr="001858DD" w:rsidRDefault="00C461B0" w:rsidP="00556655">
      <w:pPr>
        <w:pStyle w:val="FootnoteText"/>
      </w:pPr>
    </w:p>
  </w:footnote>
  <w:footnote w:id="59">
    <w:p w14:paraId="2DC5DA52" w14:textId="2894ABA0" w:rsidR="004E4748" w:rsidRDefault="004E4748">
      <w:pPr>
        <w:pStyle w:val="FootnoteText"/>
      </w:pPr>
      <w:r w:rsidRPr="001858DD">
        <w:rPr>
          <w:rStyle w:val="FootnoteReference"/>
        </w:rPr>
        <w:footnoteRef/>
      </w:r>
      <w:r w:rsidRPr="001858DD">
        <w:t xml:space="preserve"> AEP Ohio Ex. </w:t>
      </w:r>
      <w:r w:rsidR="00C461B0">
        <w:t xml:space="preserve">6 at </w:t>
      </w:r>
      <w:r w:rsidRPr="001858DD">
        <w:t>TH-1 p. 17 of 41</w:t>
      </w:r>
      <w:r w:rsidR="001858DD">
        <w:t>.</w:t>
      </w:r>
    </w:p>
    <w:p w14:paraId="1A26A8D8" w14:textId="77777777" w:rsidR="001858DD" w:rsidRPr="001858DD" w:rsidRDefault="001858DD">
      <w:pPr>
        <w:pStyle w:val="FootnoteText"/>
      </w:pPr>
    </w:p>
  </w:footnote>
  <w:footnote w:id="60">
    <w:p w14:paraId="0751442A" w14:textId="5828172C" w:rsidR="004E4748" w:rsidRDefault="004E4748">
      <w:pPr>
        <w:pStyle w:val="FootnoteText"/>
        <w:rPr>
          <w:i/>
        </w:rPr>
      </w:pPr>
      <w:r w:rsidRPr="001858DD">
        <w:rPr>
          <w:rStyle w:val="FootnoteReference"/>
        </w:rPr>
        <w:footnoteRef/>
      </w:r>
      <w:r w:rsidRPr="001858DD">
        <w:t xml:space="preserve"> </w:t>
      </w:r>
      <w:r w:rsidRPr="001858DD">
        <w:rPr>
          <w:i/>
        </w:rPr>
        <w:t>Id.</w:t>
      </w:r>
    </w:p>
    <w:p w14:paraId="150DCF60" w14:textId="77777777" w:rsidR="001858DD" w:rsidRPr="001858DD" w:rsidRDefault="001858DD">
      <w:pPr>
        <w:pStyle w:val="FootnoteText"/>
        <w:rPr>
          <w:i/>
        </w:rPr>
      </w:pPr>
    </w:p>
  </w:footnote>
  <w:footnote w:id="61">
    <w:p w14:paraId="20A983C5" w14:textId="77777777" w:rsidR="004E4748" w:rsidRPr="001858DD" w:rsidRDefault="004E4748">
      <w:pPr>
        <w:pStyle w:val="FootnoteText"/>
      </w:pPr>
      <w:r w:rsidRPr="001858DD">
        <w:rPr>
          <w:rStyle w:val="FootnoteReference"/>
        </w:rPr>
        <w:footnoteRef/>
      </w:r>
      <w:r w:rsidRPr="001858DD">
        <w:t xml:space="preserve"> Tr. Vol. I at 108-09</w:t>
      </w:r>
    </w:p>
    <w:p w14:paraId="5B95CD12" w14:textId="77777777" w:rsidR="004E4748" w:rsidRPr="001858DD" w:rsidRDefault="004E4748">
      <w:pPr>
        <w:pStyle w:val="FootnoteText"/>
      </w:pPr>
    </w:p>
  </w:footnote>
  <w:footnote w:id="62">
    <w:p w14:paraId="5D95DDF0" w14:textId="7630EB2F" w:rsidR="006902EA" w:rsidRPr="00627742" w:rsidRDefault="006902EA">
      <w:pPr>
        <w:pStyle w:val="FootnoteText"/>
      </w:pPr>
      <w:r w:rsidRPr="00627742">
        <w:rPr>
          <w:rStyle w:val="FootnoteReference"/>
        </w:rPr>
        <w:footnoteRef/>
      </w:r>
      <w:r w:rsidRPr="00627742">
        <w:t xml:space="preserve"> </w:t>
      </w:r>
      <w:r w:rsidR="00895099" w:rsidRPr="00627742">
        <w:t xml:space="preserve">IGS Ex. 11 at </w:t>
      </w:r>
      <w:r w:rsidR="00572B2F" w:rsidRPr="00627742">
        <w:t>16.</w:t>
      </w:r>
    </w:p>
    <w:p w14:paraId="4DBB566C" w14:textId="77777777" w:rsidR="00572B2F" w:rsidRPr="00627742" w:rsidRDefault="00572B2F">
      <w:pPr>
        <w:pStyle w:val="FootnoteText"/>
      </w:pPr>
    </w:p>
  </w:footnote>
  <w:footnote w:id="63">
    <w:p w14:paraId="68128E55" w14:textId="4366F890" w:rsidR="004E4748" w:rsidRPr="00627742" w:rsidRDefault="004E4748">
      <w:pPr>
        <w:pStyle w:val="FootnoteText"/>
      </w:pPr>
      <w:r w:rsidRPr="00627742">
        <w:rPr>
          <w:rStyle w:val="FootnoteReference"/>
        </w:rPr>
        <w:footnoteRef/>
      </w:r>
      <w:r w:rsidRPr="00627742">
        <w:t xml:space="preserve"> Tr. Vol. I at 87</w:t>
      </w:r>
      <w:r w:rsidR="00156A5E" w:rsidRPr="00627742">
        <w:t>; IGS Ex. 11 at MW</w:t>
      </w:r>
      <w:r w:rsidR="00A03836">
        <w:t xml:space="preserve"> </w:t>
      </w:r>
      <w:r w:rsidR="00156A5E" w:rsidRPr="00627742">
        <w:t>-1</w:t>
      </w:r>
      <w:r w:rsidR="0031526C" w:rsidRPr="00627742">
        <w:t xml:space="preserve"> (containing AEP Ohio’s Response to Direct-INT-01-008).</w:t>
      </w:r>
    </w:p>
    <w:p w14:paraId="0A1EDD79" w14:textId="77777777" w:rsidR="00D1019A" w:rsidRPr="00627742" w:rsidRDefault="00D1019A">
      <w:pPr>
        <w:pStyle w:val="FootnoteText"/>
      </w:pPr>
    </w:p>
  </w:footnote>
  <w:footnote w:id="64">
    <w:p w14:paraId="576C11C9" w14:textId="452D6C6A" w:rsidR="00D921CD" w:rsidRPr="00A03836" w:rsidRDefault="00D921CD">
      <w:pPr>
        <w:pStyle w:val="FootnoteText"/>
      </w:pPr>
      <w:r w:rsidRPr="00A03836">
        <w:rPr>
          <w:rStyle w:val="FootnoteReference"/>
        </w:rPr>
        <w:footnoteRef/>
      </w:r>
      <w:r w:rsidRPr="00A03836">
        <w:t xml:space="preserve"> AEP Ohio Ex. 6 at TH-</w:t>
      </w:r>
      <w:r w:rsidR="00931ECE" w:rsidRPr="00A03836">
        <w:t xml:space="preserve">1 p. </w:t>
      </w:r>
      <w:r w:rsidR="00D1019A" w:rsidRPr="00A03836">
        <w:t>21 of 41.</w:t>
      </w:r>
    </w:p>
    <w:p w14:paraId="2631070F" w14:textId="77777777" w:rsidR="00D1019A" w:rsidRPr="00A03836" w:rsidRDefault="00D1019A">
      <w:pPr>
        <w:pStyle w:val="FootnoteText"/>
      </w:pPr>
    </w:p>
  </w:footnote>
  <w:footnote w:id="65">
    <w:p w14:paraId="26D6925C" w14:textId="7BCC9E79" w:rsidR="00A03836" w:rsidRDefault="00A03836">
      <w:pPr>
        <w:pStyle w:val="FootnoteText"/>
        <w:rPr>
          <w:i/>
        </w:rPr>
      </w:pPr>
      <w:r w:rsidRPr="00A03836">
        <w:rPr>
          <w:rStyle w:val="FootnoteReference"/>
        </w:rPr>
        <w:footnoteRef/>
      </w:r>
      <w:r w:rsidRPr="00A03836">
        <w:t xml:space="preserve"> </w:t>
      </w:r>
      <w:r w:rsidRPr="00A03836">
        <w:rPr>
          <w:i/>
        </w:rPr>
        <w:t>Id.</w:t>
      </w:r>
    </w:p>
    <w:p w14:paraId="5711F3BB" w14:textId="77777777" w:rsidR="00BF55A7" w:rsidRPr="00A03836" w:rsidRDefault="00BF55A7">
      <w:pPr>
        <w:pStyle w:val="FootnoteText"/>
        <w:rPr>
          <w:i/>
        </w:rPr>
      </w:pPr>
    </w:p>
  </w:footnote>
  <w:footnote w:id="66">
    <w:p w14:paraId="07C9740F" w14:textId="6B772E16" w:rsidR="00D1019A" w:rsidRDefault="00D1019A">
      <w:pPr>
        <w:pStyle w:val="FootnoteText"/>
        <w:rPr>
          <w:i/>
        </w:rPr>
      </w:pPr>
      <w:r w:rsidRPr="00A03836">
        <w:rPr>
          <w:rStyle w:val="FootnoteReference"/>
        </w:rPr>
        <w:footnoteRef/>
      </w:r>
      <w:r w:rsidRPr="00A03836">
        <w:t xml:space="preserve"> </w:t>
      </w:r>
      <w:r w:rsidRPr="00A03836">
        <w:rPr>
          <w:i/>
        </w:rPr>
        <w:t>Id.</w:t>
      </w:r>
      <w:r w:rsidRPr="00627742">
        <w:rPr>
          <w:i/>
        </w:rPr>
        <w:t xml:space="preserve"> </w:t>
      </w:r>
    </w:p>
    <w:p w14:paraId="0719DBD7" w14:textId="77777777" w:rsidR="00FA424F" w:rsidRPr="00627742" w:rsidRDefault="00FA424F">
      <w:pPr>
        <w:pStyle w:val="FootnoteText"/>
        <w:rPr>
          <w:i/>
        </w:rPr>
      </w:pPr>
    </w:p>
  </w:footnote>
  <w:footnote w:id="67">
    <w:p w14:paraId="39151C15" w14:textId="0664D9ED" w:rsidR="00931ECE" w:rsidRPr="00627742" w:rsidRDefault="00931ECE">
      <w:pPr>
        <w:pStyle w:val="FootnoteText"/>
      </w:pPr>
      <w:r w:rsidRPr="00627742">
        <w:rPr>
          <w:rStyle w:val="FootnoteReference"/>
        </w:rPr>
        <w:footnoteRef/>
      </w:r>
      <w:r w:rsidRPr="00627742">
        <w:t xml:space="preserve"> </w:t>
      </w:r>
      <w:r w:rsidRPr="00627742">
        <w:rPr>
          <w:i/>
        </w:rPr>
        <w:t xml:space="preserve">Id. </w:t>
      </w:r>
      <w:r w:rsidRPr="00627742">
        <w:t>at TH-1 at p. 24 of 41.</w:t>
      </w:r>
    </w:p>
    <w:p w14:paraId="6609053A" w14:textId="77777777" w:rsidR="009D178C" w:rsidRPr="00627742" w:rsidRDefault="009D178C">
      <w:pPr>
        <w:pStyle w:val="FootnoteText"/>
      </w:pPr>
    </w:p>
  </w:footnote>
  <w:footnote w:id="68">
    <w:p w14:paraId="523B95BE" w14:textId="031A81C1" w:rsidR="007236CE" w:rsidRPr="006A6EDB" w:rsidRDefault="007236CE">
      <w:pPr>
        <w:pStyle w:val="FootnoteText"/>
      </w:pPr>
      <w:r w:rsidRPr="006A6EDB">
        <w:rPr>
          <w:rStyle w:val="FootnoteReference"/>
        </w:rPr>
        <w:footnoteRef/>
      </w:r>
      <w:r w:rsidRPr="006A6EDB">
        <w:t xml:space="preserve"> </w:t>
      </w:r>
      <w:r w:rsidRPr="006A6EDB">
        <w:rPr>
          <w:i/>
        </w:rPr>
        <w:t xml:space="preserve">Id. </w:t>
      </w:r>
      <w:r w:rsidRPr="006A6EDB">
        <w:t xml:space="preserve">at TH-1 at p. 25. </w:t>
      </w:r>
    </w:p>
    <w:p w14:paraId="2AF06A02" w14:textId="77777777" w:rsidR="009D178C" w:rsidRPr="006A6EDB" w:rsidRDefault="009D178C">
      <w:pPr>
        <w:pStyle w:val="FootnoteText"/>
      </w:pPr>
    </w:p>
  </w:footnote>
  <w:footnote w:id="69">
    <w:p w14:paraId="1B302D64" w14:textId="77777777" w:rsidR="00C00B73" w:rsidRPr="00C00B73" w:rsidRDefault="006A6EDB" w:rsidP="00C00B73">
      <w:pPr>
        <w:pStyle w:val="NoSpacing"/>
        <w:rPr>
          <w:rFonts w:ascii="Arial" w:hAnsi="Arial" w:cs="Arial"/>
          <w:sz w:val="20"/>
          <w:szCs w:val="20"/>
        </w:rPr>
      </w:pPr>
      <w:r w:rsidRPr="00C00B73">
        <w:rPr>
          <w:rStyle w:val="FootnoteReference"/>
          <w:rFonts w:ascii="Arial" w:hAnsi="Arial" w:cs="Arial"/>
          <w:sz w:val="20"/>
          <w:szCs w:val="20"/>
        </w:rPr>
        <w:footnoteRef/>
      </w:r>
      <w:r w:rsidRPr="00C00B73">
        <w:rPr>
          <w:rFonts w:ascii="Arial" w:hAnsi="Arial" w:cs="Arial"/>
          <w:sz w:val="20"/>
          <w:szCs w:val="20"/>
        </w:rPr>
        <w:t xml:space="preserve"> </w:t>
      </w:r>
      <w:r w:rsidR="00C00B73" w:rsidRPr="00C00B73">
        <w:rPr>
          <w:rFonts w:ascii="Arial" w:hAnsi="Arial" w:cs="Arial"/>
          <w:sz w:val="20"/>
          <w:szCs w:val="20"/>
        </w:rPr>
        <w:t>For example, the following responses were categorized as “supportive”:</w:t>
      </w:r>
    </w:p>
    <w:p w14:paraId="224A2248" w14:textId="77777777" w:rsidR="00C00B73" w:rsidRPr="00C00B73" w:rsidRDefault="00C00B73" w:rsidP="00C00B73">
      <w:pPr>
        <w:pStyle w:val="NoSpacing"/>
        <w:numPr>
          <w:ilvl w:val="0"/>
          <w:numId w:val="13"/>
        </w:numPr>
        <w:rPr>
          <w:rFonts w:ascii="Arial" w:hAnsi="Arial" w:cs="Arial"/>
          <w:color w:val="000000"/>
          <w:sz w:val="20"/>
          <w:szCs w:val="20"/>
        </w:rPr>
      </w:pPr>
      <w:r w:rsidRPr="00C00B73">
        <w:rPr>
          <w:rFonts w:ascii="Arial" w:hAnsi="Arial" w:cs="Arial"/>
          <w:sz w:val="20"/>
          <w:szCs w:val="20"/>
        </w:rPr>
        <w:t xml:space="preserve">“Anything’s better than you </w:t>
      </w:r>
      <w:r w:rsidRPr="00C00B73">
        <w:rPr>
          <w:rFonts w:ascii="Arial" w:hAnsi="Arial" w:cs="Arial"/>
          <w:sz w:val="20"/>
          <w:szCs w:val="20"/>
        </w:rPr>
        <w:t>messing up my driveway and lawn with your trucks then refusing the fix any of it.”</w:t>
      </w:r>
    </w:p>
    <w:p w14:paraId="1111EC8A" w14:textId="77777777" w:rsidR="00C00B73" w:rsidRPr="00C00B73" w:rsidRDefault="00C00B73" w:rsidP="00C00B73">
      <w:pPr>
        <w:pStyle w:val="NoSpacing"/>
        <w:numPr>
          <w:ilvl w:val="0"/>
          <w:numId w:val="13"/>
        </w:numPr>
        <w:rPr>
          <w:rFonts w:ascii="Arial" w:hAnsi="Arial" w:cs="Arial"/>
          <w:color w:val="000000"/>
          <w:sz w:val="20"/>
          <w:szCs w:val="20"/>
        </w:rPr>
      </w:pPr>
      <w:r w:rsidRPr="00C00B73">
        <w:rPr>
          <w:rFonts w:ascii="Arial" w:hAnsi="Arial" w:cs="Arial"/>
          <w:sz w:val="20"/>
          <w:szCs w:val="20"/>
        </w:rPr>
        <w:t>“I’m sure it will cost me money, everything AEP does cost the customer money.”</w:t>
      </w:r>
    </w:p>
    <w:p w14:paraId="77AC2F70" w14:textId="77777777" w:rsidR="00C00B73" w:rsidRPr="00C00B73" w:rsidRDefault="00C00B73" w:rsidP="00C00B73">
      <w:pPr>
        <w:pStyle w:val="NoSpacing"/>
        <w:numPr>
          <w:ilvl w:val="0"/>
          <w:numId w:val="13"/>
        </w:numPr>
        <w:rPr>
          <w:rFonts w:ascii="Arial" w:hAnsi="Arial" w:cs="Arial"/>
          <w:color w:val="000000"/>
          <w:sz w:val="20"/>
          <w:szCs w:val="20"/>
        </w:rPr>
      </w:pPr>
      <w:r w:rsidRPr="00C00B73">
        <w:rPr>
          <w:rFonts w:ascii="Arial" w:hAnsi="Arial" w:cs="Arial"/>
          <w:sz w:val="20"/>
          <w:szCs w:val="20"/>
        </w:rPr>
        <w:t>“Would AEP have any input in putting in an electric high speed rail from rural communities to larger cities? Country people need the same healthcare as city people but it's harder to achieve due to distances.”</w:t>
      </w:r>
    </w:p>
    <w:p w14:paraId="23A4DC91" w14:textId="77777777" w:rsidR="00C00B73" w:rsidRPr="003D4465" w:rsidRDefault="00C00B73" w:rsidP="00C00B73">
      <w:pPr>
        <w:pStyle w:val="NoSpacing"/>
        <w:numPr>
          <w:ilvl w:val="0"/>
          <w:numId w:val="13"/>
        </w:numPr>
        <w:rPr>
          <w:rFonts w:ascii="Arial" w:hAnsi="Arial" w:cs="Arial"/>
          <w:color w:val="000000"/>
          <w:sz w:val="20"/>
          <w:szCs w:val="20"/>
        </w:rPr>
      </w:pPr>
      <w:r w:rsidRPr="003D4465">
        <w:rPr>
          <w:rFonts w:ascii="Arial" w:hAnsi="Arial" w:cs="Arial"/>
          <w:sz w:val="20"/>
          <w:szCs w:val="20"/>
        </w:rPr>
        <w:t xml:space="preserve">“Have no clue on what renewable energy initiatives </w:t>
      </w:r>
      <w:r w:rsidRPr="003D4465">
        <w:rPr>
          <w:rFonts w:ascii="Arial" w:hAnsi="Arial" w:cs="Arial"/>
          <w:sz w:val="20"/>
          <w:szCs w:val="20"/>
        </w:rPr>
        <w:t>aep is a part of.”</w:t>
      </w:r>
    </w:p>
    <w:p w14:paraId="19D1B7A8" w14:textId="77777777" w:rsidR="006A6EDB" w:rsidRPr="003D4465" w:rsidRDefault="006A6EDB">
      <w:pPr>
        <w:pStyle w:val="FootnoteText"/>
      </w:pPr>
    </w:p>
  </w:footnote>
  <w:footnote w:id="70">
    <w:p w14:paraId="7DF80288" w14:textId="349E0349" w:rsidR="003D4465" w:rsidRPr="003D4465" w:rsidRDefault="003D4465" w:rsidP="003D4465">
      <w:pPr>
        <w:pStyle w:val="NoSpacing"/>
        <w:rPr>
          <w:rFonts w:ascii="Arial" w:hAnsi="Arial" w:cs="Arial"/>
          <w:color w:val="000000"/>
          <w:sz w:val="20"/>
          <w:szCs w:val="20"/>
        </w:rPr>
      </w:pPr>
      <w:r w:rsidRPr="003D4465">
        <w:rPr>
          <w:rStyle w:val="FootnoteReference"/>
          <w:rFonts w:ascii="Arial" w:hAnsi="Arial" w:cs="Arial"/>
          <w:sz w:val="20"/>
          <w:szCs w:val="20"/>
        </w:rPr>
        <w:footnoteRef/>
      </w:r>
      <w:r w:rsidRPr="003D4465">
        <w:rPr>
          <w:rFonts w:ascii="Arial" w:hAnsi="Arial" w:cs="Arial"/>
          <w:sz w:val="20"/>
          <w:szCs w:val="20"/>
        </w:rPr>
        <w:t xml:space="preserve"> </w:t>
      </w:r>
      <w:r w:rsidRPr="003D4465">
        <w:rPr>
          <w:rFonts w:ascii="Arial" w:hAnsi="Arial" w:cs="Arial"/>
          <w:color w:val="000000"/>
          <w:sz w:val="20"/>
          <w:szCs w:val="20"/>
        </w:rPr>
        <w:t>Below are examples of comments labeled “mixed”:</w:t>
      </w:r>
    </w:p>
    <w:p w14:paraId="2E860847" w14:textId="77777777" w:rsidR="003D4465" w:rsidRPr="003D4465" w:rsidRDefault="003D4465" w:rsidP="003D4465">
      <w:pPr>
        <w:pStyle w:val="NoSpacing"/>
        <w:numPr>
          <w:ilvl w:val="0"/>
          <w:numId w:val="14"/>
        </w:numPr>
        <w:rPr>
          <w:rFonts w:ascii="Arial" w:hAnsi="Arial" w:cs="Arial"/>
          <w:color w:val="000000"/>
          <w:sz w:val="20"/>
          <w:szCs w:val="20"/>
        </w:rPr>
      </w:pPr>
      <w:r w:rsidRPr="003D4465">
        <w:rPr>
          <w:rFonts w:ascii="Arial" w:hAnsi="Arial" w:cs="Arial"/>
          <w:sz w:val="20"/>
          <w:szCs w:val="20"/>
        </w:rPr>
        <w:t xml:space="preserve">“Please stop. The windmills are ugly, they kill birds and bats, and they are a giant waste of money (literally). If you </w:t>
      </w:r>
      <w:r w:rsidRPr="003D4465">
        <w:rPr>
          <w:rFonts w:ascii="Arial" w:hAnsi="Arial" w:cs="Arial"/>
          <w:sz w:val="20"/>
          <w:szCs w:val="20"/>
        </w:rPr>
        <w:t>have to use renewables, then give more credits for homeowners to purchase their own solar panels.”</w:t>
      </w:r>
    </w:p>
    <w:p w14:paraId="66F862C8" w14:textId="5D5ED9DA" w:rsidR="003D4465" w:rsidRPr="003D4465" w:rsidRDefault="003D4465" w:rsidP="003D4465">
      <w:pPr>
        <w:pStyle w:val="NoSpacing"/>
        <w:numPr>
          <w:ilvl w:val="0"/>
          <w:numId w:val="14"/>
        </w:numPr>
        <w:rPr>
          <w:rFonts w:ascii="Arial" w:hAnsi="Arial" w:cs="Arial"/>
          <w:color w:val="000000"/>
          <w:sz w:val="20"/>
          <w:szCs w:val="20"/>
        </w:rPr>
      </w:pPr>
      <w:r w:rsidRPr="003D4465">
        <w:rPr>
          <w:rFonts w:ascii="Arial" w:hAnsi="Arial" w:cs="Arial"/>
          <w:sz w:val="20"/>
          <w:szCs w:val="20"/>
        </w:rPr>
        <w:t>“Sounds good</w:t>
      </w:r>
      <w:r>
        <w:rPr>
          <w:rFonts w:ascii="Arial" w:hAnsi="Arial" w:cs="Arial"/>
          <w:sz w:val="20"/>
          <w:szCs w:val="20"/>
        </w:rPr>
        <w:t>,</w:t>
      </w:r>
      <w:r w:rsidRPr="003D4465">
        <w:rPr>
          <w:rFonts w:ascii="Arial" w:hAnsi="Arial" w:cs="Arial"/>
          <w:sz w:val="20"/>
          <w:szCs w:val="20"/>
        </w:rPr>
        <w:t xml:space="preserve"> but it's not wise. without a strong nuke component to any renewable plan, it's doomed to failure.”</w:t>
      </w:r>
    </w:p>
    <w:p w14:paraId="314F3B3A" w14:textId="18FD711B" w:rsidR="003D4465" w:rsidRPr="003D4465" w:rsidRDefault="003D4465" w:rsidP="003D4465">
      <w:pPr>
        <w:pStyle w:val="NoSpacing"/>
        <w:numPr>
          <w:ilvl w:val="0"/>
          <w:numId w:val="14"/>
        </w:numPr>
        <w:rPr>
          <w:rFonts w:ascii="Arial" w:hAnsi="Arial" w:cs="Arial"/>
          <w:color w:val="000000"/>
          <w:sz w:val="20"/>
          <w:szCs w:val="20"/>
        </w:rPr>
      </w:pPr>
      <w:r w:rsidRPr="003D4465">
        <w:rPr>
          <w:rFonts w:ascii="Arial" w:hAnsi="Arial" w:cs="Arial"/>
          <w:sz w:val="20"/>
          <w:szCs w:val="20"/>
        </w:rPr>
        <w:t>“Generation should be on the lowest cost basis. AEP should lobby the government to remove incentives for all types of generation and allow the market to choose.”</w:t>
      </w:r>
    </w:p>
    <w:p w14:paraId="03CCBD1D" w14:textId="1B75E69D" w:rsidR="003D4465" w:rsidRDefault="003D4465">
      <w:pPr>
        <w:pStyle w:val="FootnoteText"/>
      </w:pPr>
    </w:p>
  </w:footnote>
  <w:footnote w:id="71">
    <w:p w14:paraId="0600CBB1" w14:textId="74A6C0CF" w:rsidR="00AA07B3" w:rsidRPr="00F71F77" w:rsidRDefault="00AA07B3">
      <w:pPr>
        <w:pStyle w:val="FootnoteText"/>
      </w:pPr>
      <w:r w:rsidRPr="00F71F77">
        <w:rPr>
          <w:rStyle w:val="FootnoteReference"/>
        </w:rPr>
        <w:footnoteRef/>
      </w:r>
      <w:r w:rsidRPr="00F71F77">
        <w:t xml:space="preserve"> </w:t>
      </w:r>
      <w:r w:rsidR="00F71F77" w:rsidRPr="00F71F77">
        <w:t>For example:</w:t>
      </w:r>
    </w:p>
    <w:p w14:paraId="62E3FFF2" w14:textId="1A78330A" w:rsidR="00F71F77" w:rsidRPr="00F71F77" w:rsidRDefault="00F71F77" w:rsidP="00F71F77">
      <w:pPr>
        <w:pStyle w:val="ListParagraph"/>
        <w:numPr>
          <w:ilvl w:val="0"/>
          <w:numId w:val="17"/>
        </w:numPr>
        <w:autoSpaceDE w:val="0"/>
        <w:autoSpaceDN w:val="0"/>
        <w:spacing w:after="0" w:line="240" w:lineRule="auto"/>
        <w:contextualSpacing w:val="0"/>
        <w:rPr>
          <w:rFonts w:eastAsia="Times New Roman"/>
          <w:color w:val="000000"/>
        </w:rPr>
      </w:pPr>
      <w:r>
        <w:rPr>
          <w:rFonts w:eastAsia="Times New Roman"/>
          <w:color w:val="000000"/>
        </w:rPr>
        <w:t>“</w:t>
      </w:r>
      <w:r w:rsidRPr="00F71F77">
        <w:rPr>
          <w:rFonts w:eastAsia="Times New Roman"/>
          <w:color w:val="000000"/>
        </w:rPr>
        <w:t>AEP should support customer generated renewable energy production as it would be the most efficient and secure source for the future</w:t>
      </w:r>
      <w:r>
        <w:rPr>
          <w:rFonts w:eastAsia="Times New Roman"/>
          <w:color w:val="000000"/>
        </w:rPr>
        <w:t>.”</w:t>
      </w:r>
    </w:p>
    <w:p w14:paraId="5FDEDC8D" w14:textId="77FF0F6A" w:rsidR="00F71F77" w:rsidRPr="00F71F77" w:rsidRDefault="00F71F77" w:rsidP="00F71F77">
      <w:pPr>
        <w:pStyle w:val="ListParagraph"/>
        <w:numPr>
          <w:ilvl w:val="0"/>
          <w:numId w:val="17"/>
        </w:numPr>
        <w:autoSpaceDE w:val="0"/>
        <w:autoSpaceDN w:val="0"/>
        <w:spacing w:after="0" w:line="240" w:lineRule="auto"/>
        <w:contextualSpacing w:val="0"/>
        <w:rPr>
          <w:rFonts w:eastAsia="Times New Roman"/>
          <w:color w:val="000000"/>
        </w:rPr>
      </w:pPr>
      <w:r>
        <w:rPr>
          <w:rFonts w:eastAsia="Times New Roman"/>
          <w:color w:val="000000"/>
        </w:rPr>
        <w:t>“</w:t>
      </w:r>
      <w:r w:rsidRPr="00F71F77">
        <w:rPr>
          <w:rFonts w:eastAsia="Times New Roman"/>
          <w:color w:val="000000"/>
        </w:rPr>
        <w:t>I would like to see more ideas around solar panels on customers roofs/property to cover their own energy needs and to be able to supply AEP with extra power.</w:t>
      </w:r>
      <w:r>
        <w:rPr>
          <w:rFonts w:eastAsia="Times New Roman"/>
          <w:color w:val="000000"/>
        </w:rPr>
        <w:t>”</w:t>
      </w:r>
    </w:p>
    <w:p w14:paraId="03BFEDCF" w14:textId="721493D4" w:rsidR="00F71F77" w:rsidRPr="00F71F77" w:rsidRDefault="00F71F77" w:rsidP="00F71F77">
      <w:pPr>
        <w:pStyle w:val="ListParagraph"/>
        <w:numPr>
          <w:ilvl w:val="0"/>
          <w:numId w:val="17"/>
        </w:numPr>
        <w:autoSpaceDE w:val="0"/>
        <w:autoSpaceDN w:val="0"/>
        <w:spacing w:after="0" w:line="240" w:lineRule="auto"/>
        <w:contextualSpacing w:val="0"/>
        <w:rPr>
          <w:rFonts w:eastAsia="Times New Roman"/>
          <w:color w:val="000000"/>
        </w:rPr>
      </w:pPr>
      <w:r>
        <w:rPr>
          <w:rFonts w:eastAsia="Times New Roman"/>
          <w:color w:val="000000"/>
        </w:rPr>
        <w:t>“</w:t>
      </w:r>
      <w:r w:rsidRPr="00F71F77">
        <w:rPr>
          <w:rFonts w:eastAsia="Times New Roman"/>
          <w:color w:val="000000"/>
        </w:rPr>
        <w:t>A shared generation model could be implemented, so customers could sell their surplus to the network.</w:t>
      </w:r>
      <w:r>
        <w:rPr>
          <w:rFonts w:eastAsia="Times New Roman"/>
          <w:color w:val="000000"/>
        </w:rPr>
        <w:t>”</w:t>
      </w:r>
    </w:p>
    <w:p w14:paraId="7512D6D8" w14:textId="514FA9FC"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AEP's support for the installation of solar systems on individual or group residences would be deeply appreciated.</w:t>
      </w:r>
      <w:r>
        <w:rPr>
          <w:rFonts w:ascii="Arial" w:eastAsia="Times New Roman" w:hAnsi="Arial" w:cs="Arial"/>
          <w:sz w:val="20"/>
          <w:szCs w:val="20"/>
        </w:rPr>
        <w:t>”</w:t>
      </w:r>
    </w:p>
    <w:p w14:paraId="6EC90298" w14:textId="7FF2426F" w:rsidR="00F71F77" w:rsidRPr="00F71F77" w:rsidRDefault="00F71F77" w:rsidP="00F71F77">
      <w:pPr>
        <w:pStyle w:val="ListParagraph"/>
        <w:numPr>
          <w:ilvl w:val="0"/>
          <w:numId w:val="17"/>
        </w:numPr>
        <w:autoSpaceDE w:val="0"/>
        <w:autoSpaceDN w:val="0"/>
        <w:spacing w:after="0" w:line="240" w:lineRule="auto"/>
        <w:contextualSpacing w:val="0"/>
        <w:rPr>
          <w:rFonts w:eastAsia="Times New Roman"/>
          <w:color w:val="000000"/>
        </w:rPr>
      </w:pPr>
      <w:r>
        <w:rPr>
          <w:rFonts w:eastAsia="Times New Roman"/>
          <w:color w:val="000000"/>
        </w:rPr>
        <w:t>“</w:t>
      </w:r>
      <w:r w:rsidRPr="00F71F77">
        <w:rPr>
          <w:rFonts w:eastAsia="Times New Roman"/>
          <w:color w:val="000000"/>
        </w:rPr>
        <w:t>[S]</w:t>
      </w:r>
      <w:r w:rsidRPr="00F71F77">
        <w:rPr>
          <w:rFonts w:eastAsia="Times New Roman"/>
          <w:color w:val="000000"/>
        </w:rPr>
        <w:t>olar installations on private residences is not supported adequately; that should be changed to benefit homeowners, ratepayers and the public</w:t>
      </w:r>
      <w:r>
        <w:rPr>
          <w:rFonts w:eastAsia="Times New Roman"/>
          <w:color w:val="000000"/>
        </w:rPr>
        <w:t>.”</w:t>
      </w:r>
    </w:p>
    <w:p w14:paraId="3075713D" w14:textId="13DC2B81"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Offer programs to help get solar on the roofs of homes.</w:t>
      </w:r>
      <w:r>
        <w:rPr>
          <w:rFonts w:ascii="Arial" w:eastAsia="Times New Roman" w:hAnsi="Arial" w:cs="Arial"/>
          <w:sz w:val="20"/>
          <w:szCs w:val="20"/>
        </w:rPr>
        <w:t>”</w:t>
      </w:r>
      <w:r w:rsidRPr="00F71F77">
        <w:rPr>
          <w:rFonts w:ascii="Arial" w:eastAsia="Times New Roman" w:hAnsi="Arial" w:cs="Arial"/>
          <w:sz w:val="20"/>
          <w:szCs w:val="20"/>
        </w:rPr>
        <w:t xml:space="preserve"> </w:t>
      </w:r>
    </w:p>
    <w:p w14:paraId="2485F9EB" w14:textId="3B72A031" w:rsidR="00F71F77" w:rsidRPr="00F71F77" w:rsidRDefault="00F71F77" w:rsidP="00F71F77">
      <w:pPr>
        <w:pStyle w:val="ListParagraph"/>
        <w:numPr>
          <w:ilvl w:val="0"/>
          <w:numId w:val="17"/>
        </w:numPr>
        <w:autoSpaceDE w:val="0"/>
        <w:autoSpaceDN w:val="0"/>
        <w:spacing w:after="0" w:line="240" w:lineRule="auto"/>
        <w:contextualSpacing w:val="0"/>
        <w:rPr>
          <w:rFonts w:eastAsia="Times New Roman"/>
          <w:color w:val="000000"/>
        </w:rPr>
      </w:pPr>
      <w:r>
        <w:rPr>
          <w:rFonts w:eastAsia="Times New Roman"/>
          <w:color w:val="000000"/>
        </w:rPr>
        <w:t>“</w:t>
      </w:r>
      <w:r w:rsidRPr="00F71F77">
        <w:rPr>
          <w:rFonts w:eastAsia="Times New Roman"/>
          <w:color w:val="000000"/>
        </w:rPr>
        <w:t>Is AEP looking at incentive programs for residents to add solar/wind generation so excess can go back into the grid?</w:t>
      </w:r>
      <w:r>
        <w:rPr>
          <w:rFonts w:eastAsia="Times New Roman"/>
          <w:color w:val="000000"/>
        </w:rPr>
        <w:t>”</w:t>
      </w:r>
    </w:p>
    <w:p w14:paraId="42D16E29" w14:textId="218458BF"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I would be interested in solar panels if they were more affordable</w:t>
      </w:r>
      <w:r>
        <w:rPr>
          <w:rFonts w:ascii="Arial" w:eastAsia="Times New Roman" w:hAnsi="Arial" w:cs="Arial"/>
          <w:sz w:val="20"/>
          <w:szCs w:val="20"/>
        </w:rPr>
        <w:t>.”</w:t>
      </w:r>
    </w:p>
    <w:p w14:paraId="777BE0CD" w14:textId="36BDB92D"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I would like to see incentives placed on Home energy solar systems to help reduce demand on the grid.</w:t>
      </w:r>
      <w:r>
        <w:rPr>
          <w:rFonts w:ascii="Arial" w:eastAsia="Times New Roman" w:hAnsi="Arial" w:cs="Arial"/>
          <w:sz w:val="20"/>
          <w:szCs w:val="20"/>
        </w:rPr>
        <w:t>”</w:t>
      </w:r>
      <w:r w:rsidRPr="00F71F77">
        <w:rPr>
          <w:rFonts w:ascii="Arial" w:eastAsia="Times New Roman" w:hAnsi="Arial" w:cs="Arial"/>
          <w:sz w:val="20"/>
          <w:szCs w:val="20"/>
        </w:rPr>
        <w:t xml:space="preserve"> </w:t>
      </w:r>
    </w:p>
    <w:p w14:paraId="666C045E" w14:textId="52E976B0"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Any chance for incentives for people that are willing to install solar panels?</w:t>
      </w:r>
      <w:r>
        <w:rPr>
          <w:rFonts w:ascii="Arial" w:eastAsia="Times New Roman" w:hAnsi="Arial" w:cs="Arial"/>
          <w:sz w:val="20"/>
          <w:szCs w:val="20"/>
        </w:rPr>
        <w:t>”</w:t>
      </w:r>
    </w:p>
    <w:p w14:paraId="58F07991" w14:textId="1E24708F" w:rsidR="00F71F77" w:rsidRPr="00F71F77" w:rsidRDefault="00F71F77" w:rsidP="00F71F77">
      <w:pPr>
        <w:pStyle w:val="Default"/>
        <w:numPr>
          <w:ilvl w:val="0"/>
          <w:numId w:val="17"/>
        </w:numPr>
        <w:rPr>
          <w:rFonts w:ascii="Arial" w:eastAsia="Times New Roman" w:hAnsi="Arial" w:cs="Arial"/>
          <w:sz w:val="20"/>
          <w:szCs w:val="20"/>
        </w:rPr>
      </w:pPr>
      <w:r>
        <w:rPr>
          <w:rFonts w:ascii="Arial" w:eastAsia="Times New Roman" w:hAnsi="Arial" w:cs="Arial"/>
          <w:sz w:val="20"/>
          <w:szCs w:val="20"/>
        </w:rPr>
        <w:t>“</w:t>
      </w:r>
      <w:r w:rsidRPr="00F71F77">
        <w:rPr>
          <w:rFonts w:ascii="Arial" w:eastAsia="Times New Roman" w:hAnsi="Arial" w:cs="Arial"/>
          <w:sz w:val="20"/>
          <w:szCs w:val="20"/>
        </w:rPr>
        <w:t xml:space="preserve">If we get more help with solar roofs and rebates to promote such </w:t>
      </w:r>
      <w:r w:rsidRPr="00F71F77">
        <w:rPr>
          <w:rFonts w:ascii="Arial" w:eastAsia="Times New Roman" w:hAnsi="Arial" w:cs="Arial"/>
          <w:sz w:val="20"/>
          <w:szCs w:val="20"/>
        </w:rPr>
        <w:t>investments , that would help</w:t>
      </w:r>
      <w:r>
        <w:rPr>
          <w:rFonts w:ascii="Arial" w:eastAsia="Times New Roman" w:hAnsi="Arial" w:cs="Arial"/>
          <w:sz w:val="20"/>
          <w:szCs w:val="20"/>
        </w:rPr>
        <w:t>.”</w:t>
      </w:r>
    </w:p>
    <w:p w14:paraId="741D8267" w14:textId="77777777" w:rsidR="00F71F77" w:rsidRDefault="00F71F77">
      <w:pPr>
        <w:pStyle w:val="FootnoteText"/>
      </w:pPr>
    </w:p>
  </w:footnote>
  <w:footnote w:id="72">
    <w:p w14:paraId="0C30593E" w14:textId="39009536" w:rsidR="00657391" w:rsidRPr="00627742" w:rsidRDefault="00657391">
      <w:pPr>
        <w:pStyle w:val="FootnoteText"/>
      </w:pPr>
      <w:r w:rsidRPr="00627742">
        <w:rPr>
          <w:rStyle w:val="FootnoteReference"/>
        </w:rPr>
        <w:footnoteRef/>
      </w:r>
      <w:r w:rsidRPr="00627742">
        <w:t xml:space="preserve"> IGS Ex. </w:t>
      </w:r>
      <w:r w:rsidR="00985589" w:rsidRPr="00627742">
        <w:t xml:space="preserve">11 </w:t>
      </w:r>
      <w:r w:rsidR="00A71A0B" w:rsidRPr="00627742">
        <w:t>At MW-2</w:t>
      </w:r>
      <w:r w:rsidR="00925DE9" w:rsidRPr="00627742">
        <w:t>; IGS Ex. 3.</w:t>
      </w:r>
    </w:p>
    <w:p w14:paraId="66691441" w14:textId="77777777" w:rsidR="00925DE9" w:rsidRPr="001858DD" w:rsidRDefault="00925DE9">
      <w:pPr>
        <w:pStyle w:val="FootnoteText"/>
      </w:pPr>
    </w:p>
  </w:footnote>
  <w:footnote w:id="73">
    <w:p w14:paraId="2C145C8D" w14:textId="08E0587B" w:rsidR="009D178C" w:rsidRPr="00627742" w:rsidRDefault="009D178C">
      <w:pPr>
        <w:pStyle w:val="FootnoteText"/>
      </w:pPr>
      <w:r w:rsidRPr="00627742">
        <w:rPr>
          <w:rStyle w:val="FootnoteReference"/>
        </w:rPr>
        <w:footnoteRef/>
      </w:r>
      <w:r w:rsidRPr="00627742">
        <w:t xml:space="preserve"> </w:t>
      </w:r>
      <w:r w:rsidR="006831DC" w:rsidRPr="00627742">
        <w:t xml:space="preserve">Tr. Vol. I at 86. </w:t>
      </w:r>
    </w:p>
    <w:p w14:paraId="21AF0EB3" w14:textId="77777777" w:rsidR="006831DC" w:rsidRPr="00627742" w:rsidRDefault="006831DC">
      <w:pPr>
        <w:pStyle w:val="FootnoteText"/>
      </w:pPr>
    </w:p>
  </w:footnote>
  <w:footnote w:id="74">
    <w:p w14:paraId="1D4E5465" w14:textId="04B19E02" w:rsidR="007E0DFF" w:rsidRPr="00627742" w:rsidRDefault="007E0DFF">
      <w:pPr>
        <w:pStyle w:val="FootnoteText"/>
      </w:pPr>
      <w:r w:rsidRPr="00627742">
        <w:rPr>
          <w:rStyle w:val="FootnoteReference"/>
        </w:rPr>
        <w:footnoteRef/>
      </w:r>
      <w:r w:rsidRPr="00627742">
        <w:t xml:space="preserve"> </w:t>
      </w:r>
      <w:r w:rsidRPr="00627742">
        <w:rPr>
          <w:i/>
        </w:rPr>
        <w:t xml:space="preserve">See </w:t>
      </w:r>
      <w:r w:rsidRPr="00627742">
        <w:t xml:space="preserve">IGS Ex. 11 at </w:t>
      </w:r>
      <w:r w:rsidR="00A966C0" w:rsidRPr="00627742">
        <w:t>15.</w:t>
      </w:r>
      <w:r w:rsidR="00897E7C" w:rsidRPr="00627742">
        <w:t xml:space="preserve"> Tr. Vol. VII at 1982-86, 2008-10.</w:t>
      </w:r>
    </w:p>
    <w:p w14:paraId="630A2340" w14:textId="77777777" w:rsidR="00A966C0" w:rsidRPr="00627742" w:rsidRDefault="00A966C0">
      <w:pPr>
        <w:pStyle w:val="FootnoteText"/>
      </w:pPr>
    </w:p>
  </w:footnote>
  <w:footnote w:id="75">
    <w:p w14:paraId="0E44FD73" w14:textId="7324FCE5" w:rsidR="00897E7C" w:rsidRPr="00627742" w:rsidRDefault="00897E7C">
      <w:pPr>
        <w:pStyle w:val="FootnoteText"/>
        <w:rPr>
          <w:i/>
        </w:rPr>
      </w:pPr>
      <w:r w:rsidRPr="00627742">
        <w:rPr>
          <w:rStyle w:val="FootnoteReference"/>
        </w:rPr>
        <w:footnoteRef/>
      </w:r>
      <w:r w:rsidRPr="00627742">
        <w:t xml:space="preserve"> </w:t>
      </w:r>
      <w:r w:rsidRPr="00627742">
        <w:rPr>
          <w:i/>
        </w:rPr>
        <w:t>Id.</w:t>
      </w:r>
    </w:p>
    <w:p w14:paraId="6D06DCCB" w14:textId="77777777" w:rsidR="00897E7C" w:rsidRPr="00627742" w:rsidRDefault="00897E7C">
      <w:pPr>
        <w:pStyle w:val="FootnoteText"/>
        <w:rPr>
          <w:i/>
        </w:rPr>
      </w:pPr>
    </w:p>
  </w:footnote>
  <w:footnote w:id="76">
    <w:p w14:paraId="60D90E17" w14:textId="62F14D59" w:rsidR="00B97489" w:rsidRPr="00627742" w:rsidRDefault="00B97489">
      <w:pPr>
        <w:pStyle w:val="FootnoteText"/>
      </w:pPr>
      <w:r w:rsidRPr="00627742">
        <w:rPr>
          <w:rStyle w:val="FootnoteReference"/>
        </w:rPr>
        <w:footnoteRef/>
      </w:r>
      <w:r w:rsidRPr="00627742">
        <w:t xml:space="preserve"> Tr. Vol. IX at 2600.</w:t>
      </w:r>
    </w:p>
    <w:p w14:paraId="5E313036" w14:textId="77777777" w:rsidR="00897E7C" w:rsidRPr="00627742" w:rsidRDefault="00897E7C">
      <w:pPr>
        <w:pStyle w:val="FootnoteText"/>
      </w:pPr>
    </w:p>
  </w:footnote>
  <w:footnote w:id="77">
    <w:p w14:paraId="782212CA" w14:textId="61995082" w:rsidR="006831DC" w:rsidRDefault="006831DC">
      <w:pPr>
        <w:pStyle w:val="FootnoteText"/>
        <w:rPr>
          <w:i/>
        </w:rPr>
      </w:pPr>
      <w:r w:rsidRPr="00627742">
        <w:rPr>
          <w:rStyle w:val="FootnoteReference"/>
        </w:rPr>
        <w:footnoteRef/>
      </w:r>
      <w:r w:rsidRPr="00627742">
        <w:t xml:space="preserve"> </w:t>
      </w:r>
      <w:r w:rsidRPr="00627742">
        <w:rPr>
          <w:i/>
        </w:rPr>
        <w:t xml:space="preserve">Id. </w:t>
      </w:r>
    </w:p>
    <w:p w14:paraId="758800FE" w14:textId="77777777" w:rsidR="00BF55A7" w:rsidRPr="00627742" w:rsidRDefault="00BF55A7">
      <w:pPr>
        <w:pStyle w:val="FootnoteText"/>
        <w:rPr>
          <w:i/>
        </w:rPr>
      </w:pPr>
    </w:p>
  </w:footnote>
  <w:footnote w:id="78">
    <w:p w14:paraId="27823E25" w14:textId="67EC9ECA" w:rsidR="00897E7C" w:rsidRDefault="00897E7C">
      <w:pPr>
        <w:pStyle w:val="FootnoteText"/>
      </w:pPr>
      <w:r w:rsidRPr="00627742">
        <w:rPr>
          <w:rStyle w:val="FootnoteReference"/>
        </w:rPr>
        <w:footnoteRef/>
      </w:r>
      <w:r w:rsidRPr="00627742">
        <w:t xml:space="preserve"> </w:t>
      </w:r>
      <w:r w:rsidR="007052ED" w:rsidRPr="00627742">
        <w:t>AEP Ohio Ex. 14</w:t>
      </w:r>
      <w:r w:rsidR="00B77E1C" w:rsidRPr="00627742">
        <w:t xml:space="preserve"> at JFT-1 p. 19.</w:t>
      </w:r>
    </w:p>
    <w:p w14:paraId="41DC5E2B" w14:textId="77777777" w:rsidR="00BF55A7" w:rsidRPr="00627742" w:rsidRDefault="00BF55A7">
      <w:pPr>
        <w:pStyle w:val="FootnoteText"/>
      </w:pPr>
    </w:p>
  </w:footnote>
  <w:footnote w:id="79">
    <w:p w14:paraId="6AD40DB2" w14:textId="09CC5079" w:rsidR="000E619B" w:rsidRPr="00627742" w:rsidRDefault="000E619B">
      <w:pPr>
        <w:pStyle w:val="FootnoteText"/>
      </w:pPr>
      <w:r w:rsidRPr="00627742">
        <w:rPr>
          <w:rStyle w:val="FootnoteReference"/>
        </w:rPr>
        <w:footnoteRef/>
      </w:r>
      <w:r w:rsidRPr="00627742">
        <w:t xml:space="preserve"> </w:t>
      </w:r>
      <w:r w:rsidRPr="00627742">
        <w:rPr>
          <w:i/>
        </w:rPr>
        <w:t xml:space="preserve">Id. </w:t>
      </w:r>
      <w:r w:rsidRPr="00627742">
        <w:t xml:space="preserve">at JFT-1 p. 19-20. </w:t>
      </w:r>
    </w:p>
    <w:p w14:paraId="7E37D77E" w14:textId="77777777" w:rsidR="000E619B" w:rsidRPr="00627742" w:rsidRDefault="000E619B">
      <w:pPr>
        <w:pStyle w:val="FootnoteText"/>
      </w:pPr>
    </w:p>
  </w:footnote>
  <w:footnote w:id="80">
    <w:p w14:paraId="333BEAC0" w14:textId="77777777" w:rsidR="004E4748" w:rsidRPr="00627742" w:rsidRDefault="004E4748">
      <w:pPr>
        <w:pStyle w:val="FootnoteText"/>
      </w:pPr>
      <w:r w:rsidRPr="00627742">
        <w:rPr>
          <w:rStyle w:val="FootnoteReference"/>
        </w:rPr>
        <w:footnoteRef/>
      </w:r>
      <w:r w:rsidRPr="00627742">
        <w:t xml:space="preserve"> IGS Ex. </w:t>
      </w:r>
      <w:r w:rsidR="004E40FF" w:rsidRPr="00627742">
        <w:t>2</w:t>
      </w:r>
      <w:r w:rsidRPr="00627742">
        <w:t xml:space="preserve"> at 1.</w:t>
      </w:r>
    </w:p>
    <w:p w14:paraId="5220BBB2" w14:textId="77777777" w:rsidR="004E40FF" w:rsidRPr="00627742" w:rsidRDefault="004E40FF">
      <w:pPr>
        <w:pStyle w:val="FootnoteText"/>
      </w:pPr>
    </w:p>
  </w:footnote>
  <w:footnote w:id="81">
    <w:p w14:paraId="6D48079D" w14:textId="77777777" w:rsidR="004E4748" w:rsidRPr="00627742" w:rsidRDefault="004E4748">
      <w:pPr>
        <w:pStyle w:val="FootnoteText"/>
        <w:rPr>
          <w:i/>
        </w:rPr>
      </w:pPr>
      <w:r w:rsidRPr="00627742">
        <w:rPr>
          <w:rStyle w:val="FootnoteReference"/>
        </w:rPr>
        <w:footnoteRef/>
      </w:r>
      <w:r w:rsidRPr="00627742">
        <w:t xml:space="preserve"> </w:t>
      </w:r>
      <w:r w:rsidR="004E40FF" w:rsidRPr="00627742">
        <w:rPr>
          <w:i/>
        </w:rPr>
        <w:t>Id.</w:t>
      </w:r>
    </w:p>
    <w:p w14:paraId="13CB595B" w14:textId="77777777" w:rsidR="004E40FF" w:rsidRPr="00627742" w:rsidRDefault="004E40FF">
      <w:pPr>
        <w:pStyle w:val="FootnoteText"/>
        <w:rPr>
          <w:i/>
        </w:rPr>
      </w:pPr>
    </w:p>
  </w:footnote>
  <w:footnote w:id="82">
    <w:p w14:paraId="7462B5AE" w14:textId="77777777" w:rsidR="004E4748" w:rsidRPr="00627742" w:rsidRDefault="004E4748">
      <w:pPr>
        <w:pStyle w:val="FootnoteText"/>
      </w:pPr>
      <w:r w:rsidRPr="00627742">
        <w:rPr>
          <w:rStyle w:val="FootnoteReference"/>
        </w:rPr>
        <w:footnoteRef/>
      </w:r>
      <w:r w:rsidRPr="00627742">
        <w:t xml:space="preserve"> </w:t>
      </w:r>
      <w:r w:rsidR="004E40FF" w:rsidRPr="00627742">
        <w:rPr>
          <w:i/>
        </w:rPr>
        <w:t xml:space="preserve">Id. </w:t>
      </w:r>
      <w:r w:rsidR="004E40FF" w:rsidRPr="00627742">
        <w:t>at 14.</w:t>
      </w:r>
    </w:p>
    <w:p w14:paraId="6D9C8D39" w14:textId="77777777" w:rsidR="004E40FF" w:rsidRPr="00627742" w:rsidRDefault="004E40FF">
      <w:pPr>
        <w:pStyle w:val="FootnoteText"/>
        <w:rPr>
          <w:i/>
        </w:rPr>
      </w:pPr>
    </w:p>
  </w:footnote>
  <w:footnote w:id="83">
    <w:p w14:paraId="395E8D97" w14:textId="77777777" w:rsidR="004E4748" w:rsidRDefault="004E4748">
      <w:pPr>
        <w:pStyle w:val="FootnoteText"/>
        <w:rPr>
          <w:i/>
        </w:rPr>
      </w:pPr>
      <w:r w:rsidRPr="00627742">
        <w:rPr>
          <w:rStyle w:val="FootnoteReference"/>
        </w:rPr>
        <w:footnoteRef/>
      </w:r>
      <w:r w:rsidRPr="00627742">
        <w:t xml:space="preserve"> </w:t>
      </w:r>
      <w:r w:rsidRPr="00627742">
        <w:rPr>
          <w:i/>
        </w:rPr>
        <w:t>Id.</w:t>
      </w:r>
    </w:p>
    <w:p w14:paraId="3B6AC3B0" w14:textId="77777777" w:rsidR="00C05CC3" w:rsidRPr="00627742" w:rsidRDefault="00C05CC3">
      <w:pPr>
        <w:pStyle w:val="FootnoteText"/>
      </w:pPr>
    </w:p>
  </w:footnote>
  <w:footnote w:id="84">
    <w:p w14:paraId="632CC4B7" w14:textId="67A11D63" w:rsidR="004E40FF" w:rsidRPr="00627742" w:rsidRDefault="004E40FF">
      <w:pPr>
        <w:pStyle w:val="FootnoteText"/>
      </w:pPr>
      <w:r w:rsidRPr="00627742">
        <w:rPr>
          <w:rStyle w:val="FootnoteReference"/>
        </w:rPr>
        <w:footnoteRef/>
      </w:r>
      <w:r w:rsidRPr="00627742">
        <w:t xml:space="preserve"> Tr. Vol. II at </w:t>
      </w:r>
      <w:r w:rsidR="00C11988" w:rsidRPr="00627742">
        <w:t>450; Tr. Vol. II at 446-455.</w:t>
      </w:r>
    </w:p>
    <w:p w14:paraId="2AF14B3D" w14:textId="77777777" w:rsidR="001858DD" w:rsidRPr="00627742" w:rsidRDefault="001858DD">
      <w:pPr>
        <w:pStyle w:val="FootnoteText"/>
      </w:pPr>
    </w:p>
  </w:footnote>
  <w:footnote w:id="85">
    <w:p w14:paraId="15618FB4" w14:textId="05E028B3" w:rsidR="00C11988" w:rsidRPr="00627742" w:rsidRDefault="00C11988">
      <w:pPr>
        <w:pStyle w:val="FootnoteText"/>
      </w:pPr>
      <w:r w:rsidRPr="00627742">
        <w:rPr>
          <w:rStyle w:val="FootnoteReference"/>
        </w:rPr>
        <w:footnoteRef/>
      </w:r>
      <w:r w:rsidRPr="00627742">
        <w:t xml:space="preserve"> Tr. Vol. II at 446.</w:t>
      </w:r>
    </w:p>
    <w:p w14:paraId="0385FDB9" w14:textId="77777777" w:rsidR="001858DD" w:rsidRPr="00627742" w:rsidRDefault="001858DD">
      <w:pPr>
        <w:pStyle w:val="FootnoteText"/>
      </w:pPr>
    </w:p>
  </w:footnote>
  <w:footnote w:id="86">
    <w:p w14:paraId="2DC01720" w14:textId="6C6D85A6" w:rsidR="00C11988" w:rsidRPr="00627742" w:rsidRDefault="00C11988">
      <w:pPr>
        <w:pStyle w:val="FootnoteText"/>
      </w:pPr>
      <w:r w:rsidRPr="00627742">
        <w:rPr>
          <w:rStyle w:val="FootnoteReference"/>
        </w:rPr>
        <w:footnoteRef/>
      </w:r>
      <w:r w:rsidRPr="00627742">
        <w:t xml:space="preserve"> </w:t>
      </w:r>
      <w:r w:rsidRPr="00627742">
        <w:rPr>
          <w:i/>
        </w:rPr>
        <w:t xml:space="preserve">Id. </w:t>
      </w:r>
      <w:r w:rsidRPr="00627742">
        <w:t>at 451-53</w:t>
      </w:r>
      <w:r w:rsidR="001858DD" w:rsidRPr="00627742">
        <w:t>.</w:t>
      </w:r>
    </w:p>
    <w:p w14:paraId="40AD1EB3" w14:textId="77777777" w:rsidR="001858DD" w:rsidRPr="00627742" w:rsidRDefault="001858DD">
      <w:pPr>
        <w:pStyle w:val="FootnoteText"/>
      </w:pPr>
    </w:p>
  </w:footnote>
  <w:footnote w:id="87">
    <w:p w14:paraId="6C140FAB" w14:textId="4C7F9A5C" w:rsidR="00C11988" w:rsidRPr="00627742" w:rsidRDefault="00C11988">
      <w:pPr>
        <w:pStyle w:val="FootnoteText"/>
      </w:pPr>
      <w:r w:rsidRPr="00627742">
        <w:rPr>
          <w:rStyle w:val="FootnoteReference"/>
        </w:rPr>
        <w:footnoteRef/>
      </w:r>
      <w:r w:rsidRPr="00627742">
        <w:t xml:space="preserve"> </w:t>
      </w:r>
      <w:r w:rsidRPr="00627742">
        <w:rPr>
          <w:i/>
        </w:rPr>
        <w:t xml:space="preserve">Id. </w:t>
      </w:r>
      <w:r w:rsidRPr="00627742">
        <w:t>at 453-455.</w:t>
      </w:r>
    </w:p>
    <w:p w14:paraId="56519363" w14:textId="77777777" w:rsidR="001858DD" w:rsidRPr="00627742" w:rsidRDefault="001858DD">
      <w:pPr>
        <w:pStyle w:val="FootnoteText"/>
      </w:pPr>
    </w:p>
  </w:footnote>
  <w:footnote w:id="88">
    <w:p w14:paraId="115490C3" w14:textId="09E1F85B" w:rsidR="002D2733" w:rsidRPr="00627742" w:rsidRDefault="002D2733">
      <w:pPr>
        <w:pStyle w:val="FootnoteText"/>
      </w:pPr>
      <w:r w:rsidRPr="00627742">
        <w:rPr>
          <w:rStyle w:val="FootnoteReference"/>
        </w:rPr>
        <w:footnoteRef/>
      </w:r>
      <w:r w:rsidRPr="00627742">
        <w:t xml:space="preserve"> </w:t>
      </w:r>
      <w:r w:rsidR="00FA19F4" w:rsidRPr="00627742">
        <w:t xml:space="preserve">Tr. Vol. II at </w:t>
      </w:r>
      <w:r w:rsidR="00AF5184" w:rsidRPr="00627742">
        <w:t xml:space="preserve">446, </w:t>
      </w:r>
      <w:r w:rsidR="00FA19F4" w:rsidRPr="00627742">
        <w:t>455.</w:t>
      </w:r>
      <w:r w:rsidR="00C05CC3">
        <w:t xml:space="preserve"> </w:t>
      </w:r>
    </w:p>
    <w:p w14:paraId="50B01ED0" w14:textId="77777777" w:rsidR="00FA19F4" w:rsidRPr="00627742" w:rsidRDefault="00FA19F4">
      <w:pPr>
        <w:pStyle w:val="FootnoteText"/>
      </w:pPr>
    </w:p>
  </w:footnote>
  <w:footnote w:id="89">
    <w:p w14:paraId="7B687F01" w14:textId="57A47139" w:rsidR="004D3DF9" w:rsidRPr="00627742" w:rsidRDefault="004D3DF9">
      <w:pPr>
        <w:pStyle w:val="FootnoteText"/>
      </w:pPr>
      <w:r w:rsidRPr="00627742">
        <w:rPr>
          <w:rStyle w:val="FootnoteReference"/>
        </w:rPr>
        <w:footnoteRef/>
      </w:r>
      <w:r w:rsidRPr="00627742">
        <w:t xml:space="preserve"> IGS Ex. 2. at </w:t>
      </w:r>
      <w:r w:rsidR="00C73835">
        <w:t>17-18.</w:t>
      </w:r>
    </w:p>
    <w:p w14:paraId="50C3B3DA" w14:textId="77777777" w:rsidR="00AF5184" w:rsidRPr="00627742" w:rsidRDefault="00AF5184">
      <w:pPr>
        <w:pStyle w:val="FootnoteText"/>
      </w:pPr>
    </w:p>
  </w:footnote>
  <w:footnote w:id="90">
    <w:p w14:paraId="0BEF6094" w14:textId="6E8A7336" w:rsidR="007F41C8" w:rsidRDefault="007F41C8">
      <w:pPr>
        <w:pStyle w:val="FootnoteText"/>
      </w:pPr>
      <w:r>
        <w:rPr>
          <w:rStyle w:val="FootnoteReference"/>
        </w:rPr>
        <w:footnoteRef/>
      </w:r>
      <w:r>
        <w:t xml:space="preserve"> Tr. Vol. VIII at 2048</w:t>
      </w:r>
      <w:r w:rsidR="004B4413">
        <w:t xml:space="preserve">, 2062-63; </w:t>
      </w:r>
      <w:r w:rsidR="004B4413">
        <w:rPr>
          <w:i/>
        </w:rPr>
        <w:t xml:space="preserve">see also generally </w:t>
      </w:r>
      <w:r w:rsidR="004B4413">
        <w:t>OCA Ex. 1.</w:t>
      </w:r>
    </w:p>
    <w:p w14:paraId="5C409CF5" w14:textId="77777777" w:rsidR="004B4413" w:rsidRPr="004B4413" w:rsidRDefault="004B4413">
      <w:pPr>
        <w:pStyle w:val="FootnoteText"/>
      </w:pPr>
    </w:p>
  </w:footnote>
  <w:footnote w:id="91">
    <w:p w14:paraId="597C1721" w14:textId="4BA48422" w:rsidR="00287ABC" w:rsidRDefault="00287ABC" w:rsidP="00D619A5">
      <w:pPr>
        <w:pStyle w:val="FootnoteText"/>
        <w:jc w:val="both"/>
      </w:pPr>
      <w:r>
        <w:rPr>
          <w:rStyle w:val="FootnoteReference"/>
        </w:rPr>
        <w:footnoteRef/>
      </w:r>
      <w:r>
        <w:t xml:space="preserve"> AEP Ohio Ex. </w:t>
      </w:r>
      <w:r w:rsidR="00E57B1B">
        <w:t xml:space="preserve">11 </w:t>
      </w:r>
      <w:r w:rsidR="001F7A9A">
        <w:t xml:space="preserve">at 3-4. Although Mr. </w:t>
      </w:r>
      <w:r w:rsidR="001F7A9A">
        <w:t>Bletzacker</w:t>
      </w:r>
      <w:r w:rsidR="00874144">
        <w:t>’s testimony references a Lower Band, Upper Band, Status Quo, and the Base Fundamentals forecast, only the Base Fundamentals Forecast was relied upon in this case.</w:t>
      </w:r>
      <w:r w:rsidR="00376620">
        <w:t xml:space="preserve"> </w:t>
      </w:r>
      <w:r w:rsidR="00AB54E0">
        <w:t>Tr. Vol. V at 1310.</w:t>
      </w:r>
    </w:p>
    <w:p w14:paraId="6F880A81" w14:textId="77777777" w:rsidR="00E720B2" w:rsidRDefault="00E720B2">
      <w:pPr>
        <w:pStyle w:val="FootnoteText"/>
      </w:pPr>
    </w:p>
  </w:footnote>
  <w:footnote w:id="92">
    <w:p w14:paraId="7026BEE1" w14:textId="3B838A89" w:rsidR="004E4748" w:rsidRPr="00627742" w:rsidRDefault="004E4748">
      <w:pPr>
        <w:pStyle w:val="FootnoteText"/>
      </w:pPr>
      <w:r w:rsidRPr="00627742">
        <w:rPr>
          <w:rStyle w:val="FootnoteReference"/>
        </w:rPr>
        <w:footnoteRef/>
      </w:r>
      <w:r w:rsidRPr="00627742">
        <w:t xml:space="preserve"> IGS Exhibit 13 at 3.</w:t>
      </w:r>
    </w:p>
    <w:p w14:paraId="406671C7" w14:textId="77777777" w:rsidR="001858DD" w:rsidRPr="00627742" w:rsidRDefault="001858DD">
      <w:pPr>
        <w:pStyle w:val="FootnoteText"/>
      </w:pPr>
    </w:p>
  </w:footnote>
  <w:footnote w:id="93">
    <w:p w14:paraId="70E66C80" w14:textId="3527A820" w:rsidR="004E4748" w:rsidRPr="00627742" w:rsidRDefault="004E4748">
      <w:pPr>
        <w:pStyle w:val="FootnoteText"/>
      </w:pPr>
      <w:r w:rsidRPr="00627742">
        <w:rPr>
          <w:rStyle w:val="FootnoteReference"/>
        </w:rPr>
        <w:footnoteRef/>
      </w:r>
      <w:r w:rsidRPr="00627742">
        <w:t xml:space="preserve"> </w:t>
      </w:r>
      <w:r w:rsidRPr="00627742">
        <w:rPr>
          <w:i/>
        </w:rPr>
        <w:t xml:space="preserve">Id. </w:t>
      </w:r>
      <w:r w:rsidRPr="00627742">
        <w:t>at 5.</w:t>
      </w:r>
    </w:p>
    <w:p w14:paraId="4D699C61" w14:textId="77777777" w:rsidR="001858DD" w:rsidRPr="00627742" w:rsidRDefault="001858DD">
      <w:pPr>
        <w:pStyle w:val="FootnoteText"/>
      </w:pPr>
    </w:p>
  </w:footnote>
  <w:footnote w:id="94">
    <w:p w14:paraId="66BB0F48" w14:textId="77777777" w:rsidR="004E4748" w:rsidRDefault="004E4748">
      <w:pPr>
        <w:pStyle w:val="FootnoteText"/>
        <w:rPr>
          <w:i/>
        </w:rPr>
      </w:pPr>
      <w:r w:rsidRPr="00627742">
        <w:rPr>
          <w:rStyle w:val="FootnoteReference"/>
        </w:rPr>
        <w:footnoteRef/>
      </w:r>
      <w:r w:rsidRPr="00627742">
        <w:t xml:space="preserve"> </w:t>
      </w:r>
      <w:r w:rsidRPr="00627742">
        <w:rPr>
          <w:i/>
        </w:rPr>
        <w:t xml:space="preserve">Id. </w:t>
      </w:r>
    </w:p>
    <w:p w14:paraId="18892885" w14:textId="77777777" w:rsidR="00E02A9B" w:rsidRPr="00627742" w:rsidRDefault="00E02A9B">
      <w:pPr>
        <w:pStyle w:val="FootnoteText"/>
        <w:rPr>
          <w:i/>
        </w:rPr>
      </w:pPr>
    </w:p>
  </w:footnote>
  <w:footnote w:id="95">
    <w:p w14:paraId="2FBED8E8" w14:textId="0045908A" w:rsidR="00E02A9B" w:rsidRDefault="00E02A9B">
      <w:pPr>
        <w:pStyle w:val="FootnoteText"/>
      </w:pPr>
      <w:r>
        <w:rPr>
          <w:rStyle w:val="FootnoteReference"/>
        </w:rPr>
        <w:footnoteRef/>
      </w:r>
      <w:r>
        <w:t xml:space="preserve"> </w:t>
      </w:r>
      <w:r w:rsidR="00C766C9">
        <w:t xml:space="preserve">Tr. Vol. III at </w:t>
      </w:r>
      <w:r w:rsidR="00B76027">
        <w:t>832.</w:t>
      </w:r>
    </w:p>
    <w:p w14:paraId="6D8434BD" w14:textId="77777777" w:rsidR="00B76027" w:rsidRDefault="00B76027">
      <w:pPr>
        <w:pStyle w:val="FootnoteText"/>
      </w:pPr>
    </w:p>
  </w:footnote>
  <w:footnote w:id="96">
    <w:p w14:paraId="7BFDCF81" w14:textId="11A51C04" w:rsidR="00B76027" w:rsidRDefault="00B76027">
      <w:pPr>
        <w:pStyle w:val="FootnoteText"/>
      </w:pPr>
      <w:r>
        <w:rPr>
          <w:rStyle w:val="FootnoteReference"/>
        </w:rPr>
        <w:footnoteRef/>
      </w:r>
      <w:r>
        <w:t xml:space="preserve"> </w:t>
      </w:r>
      <w:r>
        <w:rPr>
          <w:i/>
        </w:rPr>
        <w:t xml:space="preserve">See </w:t>
      </w:r>
      <w:r>
        <w:t>AEP Ohio Ex.</w:t>
      </w:r>
      <w:r w:rsidR="00E55D7B">
        <w:t xml:space="preserve"> 14 at JFT-1 at </w:t>
      </w:r>
      <w:r w:rsidR="0067320B">
        <w:t>p. 2</w:t>
      </w:r>
      <w:r w:rsidR="00D90B6D">
        <w:t>1-22.</w:t>
      </w:r>
    </w:p>
    <w:p w14:paraId="1E3863B8" w14:textId="77777777" w:rsidR="00020D5A" w:rsidRPr="00B76027" w:rsidRDefault="00020D5A">
      <w:pPr>
        <w:pStyle w:val="FootnoteText"/>
      </w:pPr>
    </w:p>
  </w:footnote>
  <w:footnote w:id="97">
    <w:p w14:paraId="1E4F735C" w14:textId="74364CA1" w:rsidR="00564029" w:rsidRDefault="00564029">
      <w:pPr>
        <w:pStyle w:val="FootnoteText"/>
      </w:pPr>
      <w:r>
        <w:rPr>
          <w:rStyle w:val="FootnoteReference"/>
        </w:rPr>
        <w:footnoteRef/>
      </w:r>
      <w:r>
        <w:t xml:space="preserve"> </w:t>
      </w:r>
      <w:r w:rsidR="00FB641E">
        <w:t>Tr. Vol. III at 828.</w:t>
      </w:r>
    </w:p>
    <w:p w14:paraId="3003F3DF" w14:textId="77777777" w:rsidR="00A909BD" w:rsidRDefault="00A909BD">
      <w:pPr>
        <w:pStyle w:val="FootnoteText"/>
      </w:pPr>
    </w:p>
  </w:footnote>
  <w:footnote w:id="98">
    <w:p w14:paraId="5609836D" w14:textId="286AD45D" w:rsidR="000568BF" w:rsidRDefault="000568BF">
      <w:pPr>
        <w:pStyle w:val="FootnoteText"/>
      </w:pPr>
      <w:r>
        <w:rPr>
          <w:rStyle w:val="FootnoteReference"/>
        </w:rPr>
        <w:footnoteRef/>
      </w:r>
      <w:r>
        <w:t xml:space="preserve"> IGS Ex. </w:t>
      </w:r>
      <w:r w:rsidR="0078305E">
        <w:t xml:space="preserve">10 at </w:t>
      </w:r>
      <w:r w:rsidR="00A909BD">
        <w:t>6-7.</w:t>
      </w:r>
    </w:p>
    <w:p w14:paraId="37A42FAF" w14:textId="77777777" w:rsidR="00E720B2" w:rsidRDefault="00E720B2">
      <w:pPr>
        <w:pStyle w:val="FootnoteText"/>
      </w:pPr>
    </w:p>
  </w:footnote>
  <w:footnote w:id="99">
    <w:p w14:paraId="100FA291" w14:textId="79B6C91B" w:rsidR="00531047" w:rsidRDefault="00301FFB">
      <w:pPr>
        <w:pStyle w:val="FootnoteText"/>
      </w:pPr>
      <w:r>
        <w:rPr>
          <w:rStyle w:val="FootnoteReference"/>
        </w:rPr>
        <w:footnoteRef/>
      </w:r>
      <w:r>
        <w:t xml:space="preserve"> </w:t>
      </w:r>
      <w:r w:rsidR="00531047">
        <w:t>IGS Ex. 13 at</w:t>
      </w:r>
      <w:r w:rsidR="00CA6115">
        <w:t xml:space="preserve"> 6. </w:t>
      </w:r>
    </w:p>
    <w:p w14:paraId="6F1552AF" w14:textId="77777777" w:rsidR="00CA6115" w:rsidRDefault="00CA6115">
      <w:pPr>
        <w:pStyle w:val="FootnoteText"/>
      </w:pPr>
    </w:p>
  </w:footnote>
  <w:footnote w:id="100">
    <w:p w14:paraId="74A405DD" w14:textId="1B70D38C" w:rsidR="004E4748" w:rsidRPr="00627742" w:rsidRDefault="004E4748">
      <w:pPr>
        <w:pStyle w:val="FootnoteText"/>
      </w:pPr>
      <w:r w:rsidRPr="00627742">
        <w:rPr>
          <w:rStyle w:val="FootnoteReference"/>
        </w:rPr>
        <w:footnoteRef/>
      </w:r>
      <w:r w:rsidRPr="00627742">
        <w:t xml:space="preserve"> </w:t>
      </w:r>
      <w:r w:rsidRPr="00627742">
        <w:rPr>
          <w:i/>
        </w:rPr>
        <w:t xml:space="preserve">Id. </w:t>
      </w:r>
      <w:r w:rsidRPr="00627742">
        <w:t xml:space="preserve">at 6. </w:t>
      </w:r>
    </w:p>
    <w:p w14:paraId="52705BEE" w14:textId="77777777" w:rsidR="001858DD" w:rsidRPr="00627742" w:rsidRDefault="001858DD">
      <w:pPr>
        <w:pStyle w:val="FootnoteText"/>
      </w:pPr>
    </w:p>
  </w:footnote>
  <w:footnote w:id="101">
    <w:p w14:paraId="55408CF5" w14:textId="77777777" w:rsidR="004E4748" w:rsidRPr="00627742" w:rsidRDefault="004E4748">
      <w:pPr>
        <w:pStyle w:val="FootnoteText"/>
        <w:rPr>
          <w:i/>
        </w:rPr>
      </w:pPr>
      <w:r w:rsidRPr="00627742">
        <w:rPr>
          <w:rStyle w:val="FootnoteReference"/>
        </w:rPr>
        <w:footnoteRef/>
      </w:r>
      <w:r w:rsidRPr="00627742">
        <w:t xml:space="preserve"> </w:t>
      </w:r>
      <w:r w:rsidRPr="00627742">
        <w:rPr>
          <w:i/>
        </w:rPr>
        <w:t>Id.</w:t>
      </w:r>
    </w:p>
  </w:footnote>
  <w:footnote w:id="102">
    <w:p w14:paraId="69688665" w14:textId="5E26F311" w:rsidR="009671DB" w:rsidRDefault="009671DB">
      <w:pPr>
        <w:pStyle w:val="FootnoteText"/>
      </w:pPr>
      <w:r>
        <w:rPr>
          <w:rStyle w:val="FootnoteReference"/>
        </w:rPr>
        <w:footnoteRef/>
      </w:r>
      <w:r>
        <w:t xml:space="preserve"> These figures are calculated by multiplying the </w:t>
      </w:r>
      <w:r w:rsidR="003F5C54">
        <w:t xml:space="preserve">natural gas </w:t>
      </w:r>
      <w:r>
        <w:t xml:space="preserve">price difference by the heat rate of </w:t>
      </w:r>
      <w:r w:rsidR="003F5C54">
        <w:t xml:space="preserve">9.63.  </w:t>
      </w:r>
      <w:r w:rsidR="003F5C54">
        <w:rPr>
          <w:i/>
        </w:rPr>
        <w:t xml:space="preserve">See </w:t>
      </w:r>
      <w:r w:rsidR="003F5C54">
        <w:t xml:space="preserve">IGS Ex. 13 at 6. </w:t>
      </w:r>
    </w:p>
    <w:p w14:paraId="21E7221A" w14:textId="77777777" w:rsidR="003F5C54" w:rsidRPr="003F5C54" w:rsidRDefault="003F5C54">
      <w:pPr>
        <w:pStyle w:val="FootnoteText"/>
      </w:pPr>
    </w:p>
  </w:footnote>
  <w:footnote w:id="103">
    <w:p w14:paraId="380AC108" w14:textId="584916C0" w:rsidR="00E34209" w:rsidRDefault="00E34209">
      <w:pPr>
        <w:pStyle w:val="FootnoteText"/>
      </w:pPr>
      <w:r>
        <w:rPr>
          <w:rStyle w:val="FootnoteReference"/>
        </w:rPr>
        <w:footnoteRef/>
      </w:r>
      <w:r>
        <w:t xml:space="preserve"> </w:t>
      </w:r>
      <w:r w:rsidR="00252816">
        <w:rPr>
          <w:i/>
        </w:rPr>
        <w:t xml:space="preserve">Id. </w:t>
      </w:r>
      <w:r w:rsidR="00252816">
        <w:t>at 14-1</w:t>
      </w:r>
      <w:r w:rsidR="000E1896">
        <w:t>8.</w:t>
      </w:r>
    </w:p>
    <w:p w14:paraId="56AD84D6" w14:textId="77777777" w:rsidR="000E1896" w:rsidRPr="00252816" w:rsidRDefault="000E1896">
      <w:pPr>
        <w:pStyle w:val="FootnoteText"/>
      </w:pPr>
    </w:p>
  </w:footnote>
  <w:footnote w:id="104">
    <w:p w14:paraId="195666BC" w14:textId="77777777" w:rsidR="004E4748" w:rsidRDefault="004E4748">
      <w:pPr>
        <w:pStyle w:val="FootnoteText"/>
      </w:pPr>
      <w:r w:rsidRPr="00627742">
        <w:rPr>
          <w:rStyle w:val="FootnoteReference"/>
        </w:rPr>
        <w:footnoteRef/>
      </w:r>
      <w:r w:rsidRPr="00627742">
        <w:t xml:space="preserve"> </w:t>
      </w:r>
      <w:r w:rsidRPr="00627742">
        <w:rPr>
          <w:i/>
        </w:rPr>
        <w:t xml:space="preserve">Id. </w:t>
      </w:r>
      <w:r w:rsidRPr="00627742">
        <w:t>at 14.</w:t>
      </w:r>
    </w:p>
    <w:p w14:paraId="3D2C9D23" w14:textId="77777777" w:rsidR="00E720B2" w:rsidRPr="00627742" w:rsidRDefault="00E720B2">
      <w:pPr>
        <w:pStyle w:val="FootnoteText"/>
      </w:pPr>
    </w:p>
  </w:footnote>
  <w:footnote w:id="105">
    <w:p w14:paraId="4E2EB8F3" w14:textId="6D4F47E7" w:rsidR="000E1896" w:rsidRDefault="000E1896">
      <w:pPr>
        <w:pStyle w:val="FootnoteText"/>
      </w:pPr>
      <w:r>
        <w:rPr>
          <w:rStyle w:val="FootnoteReference"/>
        </w:rPr>
        <w:footnoteRef/>
      </w:r>
      <w:r>
        <w:t xml:space="preserve"> </w:t>
      </w:r>
      <w:r>
        <w:rPr>
          <w:i/>
        </w:rPr>
        <w:t xml:space="preserve">Id. </w:t>
      </w:r>
      <w:r>
        <w:t>at 16-17.</w:t>
      </w:r>
    </w:p>
    <w:p w14:paraId="5F3C8A4A" w14:textId="77777777" w:rsidR="000E1896" w:rsidRPr="000E1896" w:rsidRDefault="000E1896">
      <w:pPr>
        <w:pStyle w:val="FootnoteText"/>
      </w:pPr>
    </w:p>
  </w:footnote>
  <w:footnote w:id="106">
    <w:p w14:paraId="6E63BAB2" w14:textId="3182CA0C" w:rsidR="000E1896" w:rsidRDefault="000E1896">
      <w:pPr>
        <w:pStyle w:val="FootnoteText"/>
      </w:pPr>
      <w:r>
        <w:rPr>
          <w:rStyle w:val="FootnoteReference"/>
        </w:rPr>
        <w:footnoteRef/>
      </w:r>
      <w:r>
        <w:t xml:space="preserve"> </w:t>
      </w:r>
      <w:r w:rsidR="00604A1E">
        <w:rPr>
          <w:i/>
        </w:rPr>
        <w:t xml:space="preserve">Id. </w:t>
      </w:r>
      <w:r w:rsidR="00604A1E">
        <w:t>at 13.</w:t>
      </w:r>
    </w:p>
    <w:p w14:paraId="3C8D8FDC" w14:textId="77777777" w:rsidR="00604A1E" w:rsidRPr="00604A1E" w:rsidRDefault="00604A1E">
      <w:pPr>
        <w:pStyle w:val="FootnoteText"/>
      </w:pPr>
    </w:p>
  </w:footnote>
  <w:footnote w:id="107">
    <w:p w14:paraId="59872CB8" w14:textId="7D52D3A8" w:rsidR="004E4748" w:rsidRPr="00627742" w:rsidRDefault="004E4748">
      <w:pPr>
        <w:pStyle w:val="FootnoteText"/>
        <w:rPr>
          <w:i/>
        </w:rPr>
      </w:pPr>
      <w:r w:rsidRPr="00627742">
        <w:rPr>
          <w:rStyle w:val="FootnoteReference"/>
        </w:rPr>
        <w:footnoteRef/>
      </w:r>
      <w:r w:rsidRPr="00627742">
        <w:t xml:space="preserve"> </w:t>
      </w:r>
      <w:r w:rsidRPr="00627742">
        <w:rPr>
          <w:i/>
        </w:rPr>
        <w:t>Id.</w:t>
      </w:r>
      <w:r w:rsidRPr="00627742">
        <w:t>at 10.</w:t>
      </w:r>
      <w:r w:rsidRPr="00627742">
        <w:rPr>
          <w:i/>
        </w:rPr>
        <w:t xml:space="preserve"> </w:t>
      </w:r>
    </w:p>
    <w:p w14:paraId="6D8ED43B" w14:textId="77777777" w:rsidR="001858DD" w:rsidRPr="00627742" w:rsidRDefault="001858DD">
      <w:pPr>
        <w:pStyle w:val="FootnoteText"/>
        <w:rPr>
          <w:i/>
        </w:rPr>
      </w:pPr>
    </w:p>
  </w:footnote>
  <w:footnote w:id="108">
    <w:p w14:paraId="634C866C" w14:textId="7983E153" w:rsidR="005D387F" w:rsidRPr="005D387F" w:rsidRDefault="005D387F">
      <w:pPr>
        <w:pStyle w:val="FootnoteText"/>
      </w:pPr>
      <w:r>
        <w:rPr>
          <w:rStyle w:val="FootnoteReference"/>
        </w:rPr>
        <w:footnoteRef/>
      </w:r>
      <w:r>
        <w:t xml:space="preserve"> IGS Ex. </w:t>
      </w:r>
      <w:r w:rsidR="00F04B28">
        <w:t>13 at 11.</w:t>
      </w:r>
    </w:p>
  </w:footnote>
  <w:footnote w:id="109">
    <w:p w14:paraId="525BD4F9" w14:textId="0A7A77FF" w:rsidR="004E4748" w:rsidRPr="00B46A45" w:rsidRDefault="004E4748" w:rsidP="00BD3126">
      <w:pPr>
        <w:pStyle w:val="FootnoteText"/>
      </w:pPr>
      <w:r w:rsidRPr="00627742">
        <w:rPr>
          <w:rStyle w:val="FootnoteReference"/>
        </w:rPr>
        <w:footnoteRef/>
      </w:r>
      <w:r w:rsidRPr="00627742">
        <w:t xml:space="preserve"> </w:t>
      </w:r>
      <w:r w:rsidRPr="00627742">
        <w:rPr>
          <w:i/>
        </w:rPr>
        <w:t>Id.</w:t>
      </w:r>
      <w:r w:rsidR="00B46A45">
        <w:rPr>
          <w:i/>
        </w:rPr>
        <w:t xml:space="preserve"> </w:t>
      </w:r>
      <w:r w:rsidR="00B46A45">
        <w:t>at 10.</w:t>
      </w:r>
    </w:p>
    <w:p w14:paraId="74A240F2" w14:textId="77777777" w:rsidR="0083319A" w:rsidRPr="00627742" w:rsidRDefault="0083319A" w:rsidP="00BD3126">
      <w:pPr>
        <w:pStyle w:val="FootnoteText"/>
        <w:rPr>
          <w:i/>
        </w:rPr>
      </w:pPr>
    </w:p>
  </w:footnote>
  <w:footnote w:id="110">
    <w:p w14:paraId="596191F8" w14:textId="77777777" w:rsidR="004E4748" w:rsidRPr="00627742" w:rsidRDefault="004E4748" w:rsidP="00BD3126">
      <w:pPr>
        <w:pStyle w:val="FootnoteText"/>
        <w:rPr>
          <w:i/>
        </w:rPr>
      </w:pPr>
      <w:r w:rsidRPr="00627742">
        <w:rPr>
          <w:rStyle w:val="FootnoteReference"/>
        </w:rPr>
        <w:footnoteRef/>
      </w:r>
      <w:r w:rsidRPr="00627742">
        <w:t xml:space="preserve"> </w:t>
      </w:r>
      <w:r w:rsidRPr="00627742">
        <w:rPr>
          <w:i/>
        </w:rPr>
        <w:t xml:space="preserve">Id. </w:t>
      </w:r>
    </w:p>
    <w:p w14:paraId="675E05EE" w14:textId="77777777" w:rsidR="004E4748" w:rsidRPr="00627742" w:rsidRDefault="004E4748" w:rsidP="00BD3126">
      <w:pPr>
        <w:pStyle w:val="FootnoteText"/>
        <w:rPr>
          <w:i/>
        </w:rPr>
      </w:pPr>
    </w:p>
  </w:footnote>
  <w:footnote w:id="111">
    <w:p w14:paraId="23A4CBD2" w14:textId="3B1C1740" w:rsidR="004E4748" w:rsidRPr="00627742" w:rsidRDefault="004E4748">
      <w:pPr>
        <w:pStyle w:val="FootnoteText"/>
      </w:pPr>
      <w:r w:rsidRPr="00627742">
        <w:rPr>
          <w:rStyle w:val="FootnoteReference"/>
        </w:rPr>
        <w:footnoteRef/>
      </w:r>
      <w:r w:rsidRPr="00627742">
        <w:t xml:space="preserve"> </w:t>
      </w:r>
      <w:r w:rsidRPr="00627742">
        <w:rPr>
          <w:i/>
        </w:rPr>
        <w:t xml:space="preserve">Id. </w:t>
      </w:r>
      <w:r w:rsidRPr="00627742">
        <w:t>at</w:t>
      </w:r>
      <w:r w:rsidR="00B46A45">
        <w:t xml:space="preserve"> E</w:t>
      </w:r>
      <w:r w:rsidRPr="00627742">
        <w:t>x. PL-3 “AEP Chief Sees Market Rule Changes Falling Behind Investment Shifts” (Dec. 6, 2018).</w:t>
      </w:r>
    </w:p>
    <w:p w14:paraId="1C356647" w14:textId="77777777" w:rsidR="001858DD" w:rsidRPr="00627742" w:rsidRDefault="001858DD">
      <w:pPr>
        <w:pStyle w:val="FootnoteText"/>
      </w:pPr>
    </w:p>
  </w:footnote>
  <w:footnote w:id="112">
    <w:p w14:paraId="12A806D4" w14:textId="6E5D45D2" w:rsidR="00B46A45" w:rsidRDefault="00B46A45">
      <w:pPr>
        <w:pStyle w:val="FootnoteText"/>
      </w:pPr>
      <w:r>
        <w:rPr>
          <w:rStyle w:val="FootnoteReference"/>
        </w:rPr>
        <w:footnoteRef/>
      </w:r>
      <w:r>
        <w:t xml:space="preserve"> </w:t>
      </w:r>
      <w:r>
        <w:rPr>
          <w:i/>
        </w:rPr>
        <w:t xml:space="preserve">See </w:t>
      </w:r>
      <w:r>
        <w:t>AEP Ohio Ex. 14 at JFT-1 p. 21-22.</w:t>
      </w:r>
    </w:p>
    <w:p w14:paraId="12D8F1CC" w14:textId="77777777" w:rsidR="00B46A45" w:rsidRPr="00B46A45" w:rsidRDefault="00B46A45">
      <w:pPr>
        <w:pStyle w:val="FootnoteText"/>
      </w:pPr>
    </w:p>
  </w:footnote>
  <w:footnote w:id="113">
    <w:p w14:paraId="2E6ADD1D" w14:textId="22E1911E" w:rsidR="001858DD" w:rsidRPr="00627742" w:rsidRDefault="004E4748">
      <w:pPr>
        <w:pStyle w:val="FootnoteText"/>
      </w:pPr>
      <w:r w:rsidRPr="00627742">
        <w:rPr>
          <w:rStyle w:val="FootnoteReference"/>
        </w:rPr>
        <w:footnoteRef/>
      </w:r>
      <w:r w:rsidRPr="00627742">
        <w:t xml:space="preserve"> IGS Ex. 10 at 5.</w:t>
      </w:r>
    </w:p>
    <w:p w14:paraId="07EF3021" w14:textId="77777777" w:rsidR="001858DD" w:rsidRPr="00627742" w:rsidRDefault="001858DD">
      <w:pPr>
        <w:pStyle w:val="FootnoteText"/>
      </w:pPr>
    </w:p>
  </w:footnote>
  <w:footnote w:id="114">
    <w:p w14:paraId="2C39178C" w14:textId="47A16797" w:rsidR="004E4748" w:rsidRPr="00627742" w:rsidRDefault="004E4748">
      <w:pPr>
        <w:pStyle w:val="FootnoteText"/>
        <w:rPr>
          <w:i/>
        </w:rPr>
      </w:pPr>
      <w:r w:rsidRPr="00627742">
        <w:rPr>
          <w:rStyle w:val="FootnoteReference"/>
        </w:rPr>
        <w:footnoteRef/>
      </w:r>
      <w:r w:rsidRPr="00627742">
        <w:t xml:space="preserve"> </w:t>
      </w:r>
      <w:r w:rsidRPr="00627742">
        <w:rPr>
          <w:i/>
        </w:rPr>
        <w:t>Id.</w:t>
      </w:r>
    </w:p>
    <w:p w14:paraId="160FF5BB" w14:textId="77777777" w:rsidR="001858DD" w:rsidRPr="00627742" w:rsidRDefault="001858DD">
      <w:pPr>
        <w:pStyle w:val="FootnoteText"/>
        <w:rPr>
          <w:i/>
        </w:rPr>
      </w:pPr>
    </w:p>
  </w:footnote>
  <w:footnote w:id="115">
    <w:p w14:paraId="38114C24" w14:textId="77777777" w:rsidR="004E4748" w:rsidRDefault="004E4748">
      <w:pPr>
        <w:pStyle w:val="FootnoteText"/>
        <w:rPr>
          <w:i/>
        </w:rPr>
      </w:pPr>
      <w:r w:rsidRPr="00627742">
        <w:rPr>
          <w:rStyle w:val="FootnoteReference"/>
        </w:rPr>
        <w:footnoteRef/>
      </w:r>
      <w:r w:rsidRPr="00627742">
        <w:t xml:space="preserve"> </w:t>
      </w:r>
      <w:r w:rsidRPr="00627742">
        <w:rPr>
          <w:i/>
        </w:rPr>
        <w:t xml:space="preserve">Id. </w:t>
      </w:r>
    </w:p>
    <w:p w14:paraId="269B140D" w14:textId="77777777" w:rsidR="00AD2977" w:rsidRPr="00627742" w:rsidRDefault="00AD2977">
      <w:pPr>
        <w:pStyle w:val="FootnoteText"/>
        <w:rPr>
          <w:i/>
        </w:rPr>
      </w:pPr>
    </w:p>
  </w:footnote>
  <w:footnote w:id="116">
    <w:p w14:paraId="62BF5345" w14:textId="77777777" w:rsidR="004E4748" w:rsidRDefault="004E4748">
      <w:pPr>
        <w:pStyle w:val="FootnoteText"/>
      </w:pPr>
      <w:r w:rsidRPr="00627742">
        <w:rPr>
          <w:rStyle w:val="FootnoteReference"/>
        </w:rPr>
        <w:footnoteRef/>
      </w:r>
      <w:r w:rsidRPr="00627742">
        <w:t xml:space="preserve"> </w:t>
      </w:r>
      <w:r w:rsidRPr="00627742">
        <w:rPr>
          <w:i/>
        </w:rPr>
        <w:t xml:space="preserve">Id. </w:t>
      </w:r>
      <w:r w:rsidRPr="00627742">
        <w:t>at 6.</w:t>
      </w:r>
    </w:p>
    <w:p w14:paraId="7E236718" w14:textId="77777777" w:rsidR="00627742" w:rsidRPr="00627742" w:rsidRDefault="00627742">
      <w:pPr>
        <w:pStyle w:val="FootnoteText"/>
      </w:pPr>
    </w:p>
  </w:footnote>
  <w:footnote w:id="117">
    <w:p w14:paraId="3C84FDF0" w14:textId="77777777" w:rsidR="004E4748" w:rsidRDefault="004E4748">
      <w:pPr>
        <w:pStyle w:val="FootnoteText"/>
        <w:rPr>
          <w:i/>
        </w:rPr>
      </w:pPr>
      <w:r w:rsidRPr="00627742">
        <w:rPr>
          <w:rStyle w:val="FootnoteReference"/>
        </w:rPr>
        <w:footnoteRef/>
      </w:r>
      <w:r w:rsidRPr="00627742">
        <w:t xml:space="preserve"> </w:t>
      </w:r>
      <w:r w:rsidRPr="00627742">
        <w:rPr>
          <w:i/>
        </w:rPr>
        <w:t xml:space="preserve">Id. </w:t>
      </w:r>
    </w:p>
    <w:p w14:paraId="3A0D0394" w14:textId="77777777" w:rsidR="00E720B2" w:rsidRPr="00627742" w:rsidRDefault="00E720B2">
      <w:pPr>
        <w:pStyle w:val="FootnoteText"/>
        <w:rPr>
          <w:i/>
        </w:rPr>
      </w:pPr>
    </w:p>
  </w:footnote>
  <w:footnote w:id="118">
    <w:p w14:paraId="010604CB" w14:textId="6B8B6F0A" w:rsidR="0020112B" w:rsidRDefault="0020112B">
      <w:pPr>
        <w:pStyle w:val="FootnoteText"/>
      </w:pPr>
      <w:r>
        <w:rPr>
          <w:rStyle w:val="FootnoteReference"/>
        </w:rPr>
        <w:footnoteRef/>
      </w:r>
      <w:r>
        <w:t xml:space="preserve"> </w:t>
      </w:r>
      <w:r w:rsidR="009041CF">
        <w:rPr>
          <w:i/>
        </w:rPr>
        <w:t>In the Matter of the Application of Ohio Power Company for Authority to Establish a Standard Service Offer Pursuant to R.C. 4928.143, in the Form of an Electric Security Plan</w:t>
      </w:r>
      <w:r w:rsidR="009041CF">
        <w:t xml:space="preserve">, Case Nos. 16-1852-EL-SSO, </w:t>
      </w:r>
      <w:r w:rsidR="009041CF">
        <w:rPr>
          <w:i/>
        </w:rPr>
        <w:t>et al.</w:t>
      </w:r>
      <w:r w:rsidR="009041CF">
        <w:t>, Opinion and Order at</w:t>
      </w:r>
      <w:r w:rsidR="00B54568">
        <w:t xml:space="preserve"> 5</w:t>
      </w:r>
      <w:r w:rsidR="009041CF">
        <w:t xml:space="preserve"> (Apr. 25, 2018)</w:t>
      </w:r>
      <w:r w:rsidR="00B54568">
        <w:t>.</w:t>
      </w:r>
    </w:p>
    <w:p w14:paraId="69DCC33D" w14:textId="77777777" w:rsidR="009041CF" w:rsidRPr="009041CF" w:rsidRDefault="009041CF">
      <w:pPr>
        <w:pStyle w:val="FootnoteText"/>
      </w:pPr>
    </w:p>
  </w:footnote>
  <w:footnote w:id="119">
    <w:p w14:paraId="4250CEAD" w14:textId="11AB3709" w:rsidR="00894D72" w:rsidRDefault="00894D72">
      <w:pPr>
        <w:pStyle w:val="FootnoteText"/>
      </w:pPr>
      <w:r>
        <w:rPr>
          <w:rStyle w:val="FootnoteReference"/>
        </w:rPr>
        <w:footnoteRef/>
      </w:r>
      <w:r>
        <w:t xml:space="preserve"> </w:t>
      </w:r>
      <w:r>
        <w:rPr>
          <w:i/>
        </w:rPr>
        <w:t xml:space="preserve">Id. </w:t>
      </w:r>
      <w:r>
        <w:t xml:space="preserve">at </w:t>
      </w:r>
      <w:r w:rsidR="006F2212">
        <w:t>123.</w:t>
      </w:r>
    </w:p>
    <w:p w14:paraId="55AD5534" w14:textId="77777777" w:rsidR="006F2212" w:rsidRPr="00894D72" w:rsidRDefault="006F2212">
      <w:pPr>
        <w:pStyle w:val="FootnoteText"/>
      </w:pPr>
    </w:p>
  </w:footnote>
  <w:footnote w:id="120">
    <w:p w14:paraId="65AD6115" w14:textId="426C48B8" w:rsidR="00F148D2" w:rsidRDefault="00F148D2">
      <w:pPr>
        <w:pStyle w:val="FootnoteText"/>
      </w:pPr>
      <w:r>
        <w:rPr>
          <w:rStyle w:val="FootnoteReference"/>
        </w:rPr>
        <w:footnoteRef/>
      </w:r>
      <w:r>
        <w:t xml:space="preserve"> AEP Ohio Ex. 14 at JFT-1 p. 21-22.</w:t>
      </w:r>
    </w:p>
    <w:p w14:paraId="462250BE" w14:textId="77777777" w:rsidR="00F148D2" w:rsidRDefault="00F148D2">
      <w:pPr>
        <w:pStyle w:val="FootnoteText"/>
      </w:pPr>
    </w:p>
  </w:footnote>
  <w:footnote w:id="121">
    <w:p w14:paraId="3046B681" w14:textId="168CD6DE" w:rsidR="00F148D2" w:rsidRDefault="00F148D2">
      <w:pPr>
        <w:pStyle w:val="FootnoteText"/>
        <w:rPr>
          <w:i/>
        </w:rPr>
      </w:pPr>
      <w:r>
        <w:rPr>
          <w:rStyle w:val="FootnoteReference"/>
        </w:rPr>
        <w:footnoteRef/>
      </w:r>
      <w:r>
        <w:t xml:space="preserve"> </w:t>
      </w:r>
      <w:r>
        <w:rPr>
          <w:i/>
        </w:rPr>
        <w:t xml:space="preserve">Id. </w:t>
      </w:r>
    </w:p>
    <w:p w14:paraId="27C4A8AD" w14:textId="77777777" w:rsidR="00F148D2" w:rsidRPr="00F148D2" w:rsidRDefault="00F148D2">
      <w:pPr>
        <w:pStyle w:val="FootnoteText"/>
        <w:rPr>
          <w:i/>
        </w:rPr>
      </w:pPr>
    </w:p>
  </w:footnote>
  <w:footnote w:id="122">
    <w:p w14:paraId="784DE76C" w14:textId="5C795EEA" w:rsidR="00F148D2" w:rsidRDefault="00F148D2">
      <w:pPr>
        <w:pStyle w:val="FootnoteText"/>
        <w:rPr>
          <w:i/>
        </w:rPr>
      </w:pPr>
      <w:r>
        <w:rPr>
          <w:rStyle w:val="FootnoteReference"/>
        </w:rPr>
        <w:footnoteRef/>
      </w:r>
      <w:r>
        <w:t xml:space="preserve"> </w:t>
      </w:r>
      <w:r w:rsidR="0020112B">
        <w:rPr>
          <w:i/>
        </w:rPr>
        <w:t xml:space="preserve">Id. </w:t>
      </w:r>
    </w:p>
    <w:p w14:paraId="6FA34AC5" w14:textId="77777777" w:rsidR="0020112B" w:rsidRPr="0020112B" w:rsidRDefault="0020112B">
      <w:pPr>
        <w:pStyle w:val="FootnoteText"/>
        <w:rPr>
          <w:i/>
        </w:rPr>
      </w:pPr>
    </w:p>
  </w:footnote>
  <w:footnote w:id="123">
    <w:p w14:paraId="212B4371" w14:textId="0D15679F" w:rsidR="00DB5D5A" w:rsidRPr="00627742" w:rsidRDefault="00DB5D5A" w:rsidP="00DB5D5A">
      <w:pPr>
        <w:pStyle w:val="FootnoteText"/>
      </w:pPr>
      <w:r w:rsidRPr="00627742">
        <w:rPr>
          <w:rStyle w:val="FootnoteReference"/>
        </w:rPr>
        <w:footnoteRef/>
      </w:r>
      <w:r w:rsidR="00556FF4" w:rsidRPr="00627742">
        <w:t xml:space="preserve"> </w:t>
      </w:r>
      <w:r w:rsidR="00556FF4">
        <w:t>AEP Ohio Ex. 12</w:t>
      </w:r>
      <w:r w:rsidRPr="00627742">
        <w:t xml:space="preserve"> at Ex. SB/BL-1.</w:t>
      </w:r>
    </w:p>
    <w:p w14:paraId="2FC17F8B" w14:textId="77777777" w:rsidR="00DB5D5A" w:rsidRPr="00627742" w:rsidRDefault="00DB5D5A" w:rsidP="00DB5D5A">
      <w:pPr>
        <w:pStyle w:val="FootnoteText"/>
      </w:pPr>
    </w:p>
  </w:footnote>
  <w:footnote w:id="124">
    <w:p w14:paraId="3FB5C7FC" w14:textId="017CCA25" w:rsidR="00DB5D5A" w:rsidRPr="00627742" w:rsidRDefault="00DB5D5A" w:rsidP="00DB5D5A">
      <w:pPr>
        <w:pStyle w:val="FootnoteText"/>
      </w:pPr>
      <w:r w:rsidRPr="00627742">
        <w:rPr>
          <w:rStyle w:val="FootnoteReference"/>
        </w:rPr>
        <w:footnoteRef/>
      </w:r>
      <w:r w:rsidR="00556FF4" w:rsidRPr="00627742">
        <w:t xml:space="preserve"> </w:t>
      </w:r>
      <w:r w:rsidR="00556FF4">
        <w:t>AEP Ohio Ex. 12</w:t>
      </w:r>
      <w:r w:rsidRPr="00627742">
        <w:t xml:space="preserve"> at 2-3.   </w:t>
      </w:r>
    </w:p>
    <w:p w14:paraId="0A4F7224" w14:textId="77777777" w:rsidR="00DB5D5A" w:rsidRPr="00627742" w:rsidRDefault="00DB5D5A" w:rsidP="00DB5D5A">
      <w:pPr>
        <w:pStyle w:val="FootnoteText"/>
      </w:pPr>
    </w:p>
  </w:footnote>
  <w:footnote w:id="125">
    <w:p w14:paraId="11EBAB71" w14:textId="77777777" w:rsidR="00DB5D5A" w:rsidRPr="00627742" w:rsidRDefault="00DB5D5A" w:rsidP="00DB5D5A">
      <w:pPr>
        <w:pStyle w:val="FootnoteText"/>
      </w:pPr>
      <w:r w:rsidRPr="00627742">
        <w:rPr>
          <w:rStyle w:val="FootnoteReference"/>
        </w:rPr>
        <w:footnoteRef/>
      </w:r>
      <w:r w:rsidRPr="00627742">
        <w:t xml:space="preserve"> </w:t>
      </w:r>
      <w:r w:rsidRPr="00627742">
        <w:rPr>
          <w:i/>
        </w:rPr>
        <w:t>Id</w:t>
      </w:r>
      <w:r w:rsidRPr="00627742">
        <w:t xml:space="preserve">. at 3-5. </w:t>
      </w:r>
    </w:p>
    <w:p w14:paraId="5AE48A43" w14:textId="77777777" w:rsidR="00DB5D5A" w:rsidRPr="00627742" w:rsidRDefault="00DB5D5A" w:rsidP="00DB5D5A">
      <w:pPr>
        <w:pStyle w:val="FootnoteText"/>
      </w:pPr>
    </w:p>
  </w:footnote>
  <w:footnote w:id="126">
    <w:p w14:paraId="70126987" w14:textId="4B2EEBEA" w:rsidR="00DB5D5A" w:rsidRPr="00627742" w:rsidRDefault="00DB5D5A" w:rsidP="00DB5D5A">
      <w:pPr>
        <w:pStyle w:val="FootnoteText"/>
      </w:pPr>
      <w:r w:rsidRPr="00627742">
        <w:rPr>
          <w:rStyle w:val="FootnoteReference"/>
        </w:rPr>
        <w:footnoteRef/>
      </w:r>
      <w:r w:rsidR="00556FF4" w:rsidRPr="00627742">
        <w:t xml:space="preserve"> </w:t>
      </w:r>
      <w:r w:rsidR="00556FF4">
        <w:t>AEP Ohio Ex. 12</w:t>
      </w:r>
      <w:r w:rsidRPr="00627742">
        <w:t xml:space="preserve"> at Ex. SB/BL-1, 14-21.</w:t>
      </w:r>
    </w:p>
    <w:p w14:paraId="67C00D47" w14:textId="77777777" w:rsidR="001858DD" w:rsidRPr="00627742" w:rsidRDefault="001858DD" w:rsidP="00DB5D5A">
      <w:pPr>
        <w:pStyle w:val="FootnoteText"/>
      </w:pPr>
    </w:p>
  </w:footnote>
  <w:footnote w:id="127">
    <w:p w14:paraId="53125CF9" w14:textId="3299B9C5" w:rsidR="00DB5D5A" w:rsidRPr="00627742" w:rsidRDefault="00DB5D5A" w:rsidP="00DB5D5A">
      <w:pPr>
        <w:pStyle w:val="FootnoteText"/>
      </w:pPr>
      <w:r w:rsidRPr="00627742">
        <w:rPr>
          <w:rStyle w:val="FootnoteReference"/>
        </w:rPr>
        <w:footnoteRef/>
      </w:r>
      <w:r w:rsidRPr="00627742">
        <w:t xml:space="preserve"> Tr. Vol</w:t>
      </w:r>
      <w:r w:rsidR="00EF0DFC">
        <w:t>.</w:t>
      </w:r>
      <w:r w:rsidRPr="00627742">
        <w:t xml:space="preserve"> I</w:t>
      </w:r>
      <w:r w:rsidR="00EF0DFC">
        <w:t xml:space="preserve"> at</w:t>
      </w:r>
      <w:r w:rsidRPr="00627742">
        <w:t xml:space="preserve"> 105.  </w:t>
      </w:r>
    </w:p>
    <w:p w14:paraId="50F40DEB" w14:textId="77777777" w:rsidR="00DB5D5A" w:rsidRPr="00627742" w:rsidRDefault="00DB5D5A" w:rsidP="00DB5D5A">
      <w:pPr>
        <w:pStyle w:val="FootnoteText"/>
      </w:pPr>
    </w:p>
  </w:footnote>
  <w:footnote w:id="128">
    <w:p w14:paraId="473FDE2A" w14:textId="3981F6A7" w:rsidR="00DB5D5A" w:rsidRPr="00627742" w:rsidRDefault="00DB5D5A" w:rsidP="00DB5D5A">
      <w:pPr>
        <w:pStyle w:val="FootnoteText"/>
      </w:pPr>
      <w:r w:rsidRPr="00627742">
        <w:rPr>
          <w:rStyle w:val="FootnoteReference"/>
        </w:rPr>
        <w:footnoteRef/>
      </w:r>
      <w:r w:rsidRPr="00627742">
        <w:t xml:space="preserve"> Tr.</w:t>
      </w:r>
      <w:r w:rsidR="00EF0DFC">
        <w:t xml:space="preserve"> </w:t>
      </w:r>
      <w:r w:rsidRPr="00627742">
        <w:t>Vol</w:t>
      </w:r>
      <w:r w:rsidR="00EF0DFC">
        <w:t xml:space="preserve">. </w:t>
      </w:r>
      <w:r w:rsidRPr="00627742">
        <w:t>IV</w:t>
      </w:r>
      <w:r w:rsidR="00EF0DFC">
        <w:t xml:space="preserve"> at </w:t>
      </w:r>
      <w:r w:rsidRPr="00627742">
        <w:t>1100.</w:t>
      </w:r>
    </w:p>
    <w:p w14:paraId="77A52294" w14:textId="77777777" w:rsidR="00DB5D5A" w:rsidRPr="001858DD" w:rsidRDefault="00DB5D5A" w:rsidP="00DB5D5A">
      <w:pPr>
        <w:pStyle w:val="FootnoteText"/>
      </w:pPr>
    </w:p>
  </w:footnote>
  <w:footnote w:id="129">
    <w:p w14:paraId="4B4C3433"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1141.</w:t>
      </w:r>
    </w:p>
    <w:p w14:paraId="007DCDA8" w14:textId="77777777" w:rsidR="00DB5D5A" w:rsidRPr="001858DD" w:rsidRDefault="00DB5D5A" w:rsidP="00DB5D5A">
      <w:pPr>
        <w:pStyle w:val="FootnoteText"/>
      </w:pPr>
    </w:p>
  </w:footnote>
  <w:footnote w:id="130">
    <w:p w14:paraId="7954B61B"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1087-1088.</w:t>
      </w:r>
    </w:p>
    <w:p w14:paraId="450EA2D7" w14:textId="77777777" w:rsidR="00DB5D5A" w:rsidRPr="001858DD" w:rsidRDefault="00DB5D5A" w:rsidP="00DB5D5A">
      <w:pPr>
        <w:pStyle w:val="FootnoteText"/>
      </w:pPr>
    </w:p>
  </w:footnote>
  <w:footnote w:id="131">
    <w:p w14:paraId="47A6A7C0" w14:textId="422DBC4D" w:rsidR="00DB5D5A" w:rsidRPr="001858DD" w:rsidRDefault="00DB5D5A" w:rsidP="00DB5D5A">
      <w:pPr>
        <w:pStyle w:val="FootnoteText"/>
      </w:pPr>
      <w:r w:rsidRPr="001858DD">
        <w:rPr>
          <w:rStyle w:val="FootnoteReference"/>
        </w:rPr>
        <w:footnoteRef/>
      </w:r>
      <w:r w:rsidRPr="001858DD">
        <w:t xml:space="preserve"> </w:t>
      </w:r>
      <w:r w:rsidR="00030C29">
        <w:t xml:space="preserve">AEP Ohio Ex. </w:t>
      </w:r>
      <w:r w:rsidR="00A256D6">
        <w:t>1</w:t>
      </w:r>
      <w:r w:rsidRPr="001858DD">
        <w:t xml:space="preserve"> at 3.  </w:t>
      </w:r>
    </w:p>
    <w:p w14:paraId="3DD355C9" w14:textId="77777777" w:rsidR="00DB5D5A" w:rsidRPr="001858DD" w:rsidRDefault="00DB5D5A" w:rsidP="00DB5D5A">
      <w:pPr>
        <w:pStyle w:val="FootnoteText"/>
      </w:pPr>
    </w:p>
  </w:footnote>
  <w:footnote w:id="132">
    <w:p w14:paraId="744B1B72" w14:textId="0020672E" w:rsidR="00DB5D5A" w:rsidRPr="001858DD" w:rsidRDefault="00DB5D5A" w:rsidP="00DB5D5A">
      <w:pPr>
        <w:pStyle w:val="FootnoteText"/>
      </w:pPr>
      <w:r w:rsidRPr="001858DD">
        <w:rPr>
          <w:rStyle w:val="FootnoteReference"/>
        </w:rPr>
        <w:footnoteRef/>
      </w:r>
      <w:r w:rsidRPr="001858DD">
        <w:t xml:space="preserve">  Tr. Vol</w:t>
      </w:r>
      <w:r w:rsidR="00B93266">
        <w:t>.</w:t>
      </w:r>
      <w:r w:rsidRPr="001858DD">
        <w:t xml:space="preserve"> IV</w:t>
      </w:r>
      <w:r w:rsidR="00B93266">
        <w:t xml:space="preserve"> at</w:t>
      </w:r>
      <w:r w:rsidRPr="001858DD">
        <w:t xml:space="preserve"> 1098</w:t>
      </w:r>
      <w:r w:rsidR="00B93266">
        <w:t>,</w:t>
      </w:r>
      <w:r w:rsidRPr="001858DD">
        <w:t xml:space="preserve"> 1143.</w:t>
      </w:r>
    </w:p>
    <w:p w14:paraId="1A81F0B1" w14:textId="77777777" w:rsidR="00DB5D5A" w:rsidRPr="001858DD" w:rsidRDefault="00DB5D5A" w:rsidP="00DB5D5A">
      <w:pPr>
        <w:pStyle w:val="FootnoteText"/>
      </w:pPr>
    </w:p>
  </w:footnote>
  <w:footnote w:id="133">
    <w:p w14:paraId="1220F50A" w14:textId="37834285"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1102</w:t>
      </w:r>
      <w:r w:rsidR="00B93266">
        <w:t>,</w:t>
      </w:r>
      <w:r w:rsidRPr="001858DD">
        <w:t xml:space="preserve"> 1143.</w:t>
      </w:r>
    </w:p>
    <w:p w14:paraId="717AAFBA" w14:textId="77777777" w:rsidR="00DB5D5A" w:rsidRPr="001858DD" w:rsidRDefault="00DB5D5A" w:rsidP="00DB5D5A">
      <w:pPr>
        <w:pStyle w:val="FootnoteText"/>
      </w:pPr>
    </w:p>
  </w:footnote>
  <w:footnote w:id="134">
    <w:p w14:paraId="50E6C188"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1118.</w:t>
      </w:r>
    </w:p>
    <w:p w14:paraId="56EE48EE" w14:textId="77777777" w:rsidR="00DB5D5A" w:rsidRPr="001858DD" w:rsidRDefault="00DB5D5A" w:rsidP="00DB5D5A">
      <w:pPr>
        <w:pStyle w:val="FootnoteText"/>
      </w:pPr>
    </w:p>
  </w:footnote>
  <w:footnote w:id="135">
    <w:p w14:paraId="3B502FE8" w14:textId="35B37E70" w:rsidR="00F04FC1" w:rsidRDefault="00F04FC1">
      <w:pPr>
        <w:pStyle w:val="FootnoteText"/>
      </w:pPr>
      <w:r>
        <w:rPr>
          <w:rStyle w:val="FootnoteReference"/>
        </w:rPr>
        <w:footnoteRef/>
      </w:r>
      <w:r>
        <w:t xml:space="preserve"> </w:t>
      </w:r>
      <w:r>
        <w:rPr>
          <w:i/>
        </w:rPr>
        <w:t xml:space="preserve">See </w:t>
      </w:r>
      <w:r>
        <w:t xml:space="preserve">AEP Ohio </w:t>
      </w:r>
      <w:r>
        <w:t xml:space="preserve">Exs. </w:t>
      </w:r>
      <w:r w:rsidR="0044564E">
        <w:t>5 and 14 (regarding the alleged LMP price suppression benefits).</w:t>
      </w:r>
    </w:p>
    <w:p w14:paraId="6D4B379B" w14:textId="77777777" w:rsidR="0044564E" w:rsidRPr="00F04FC1" w:rsidRDefault="0044564E">
      <w:pPr>
        <w:pStyle w:val="FootnoteText"/>
      </w:pPr>
    </w:p>
  </w:footnote>
  <w:footnote w:id="136">
    <w:p w14:paraId="0710A0D2" w14:textId="1E2C730A" w:rsidR="0044564E" w:rsidRDefault="0044564E">
      <w:pPr>
        <w:pStyle w:val="FootnoteText"/>
      </w:pPr>
      <w:r>
        <w:rPr>
          <w:rStyle w:val="FootnoteReference"/>
        </w:rPr>
        <w:footnoteRef/>
      </w:r>
      <w:r>
        <w:t xml:space="preserve"> </w:t>
      </w:r>
      <w:r w:rsidR="00DF2B2E">
        <w:t xml:space="preserve">Tr. Vol. V at </w:t>
      </w:r>
      <w:r w:rsidR="00734F7E">
        <w:t>13</w:t>
      </w:r>
      <w:r w:rsidR="00DF2B2E">
        <w:t xml:space="preserve">14. </w:t>
      </w:r>
    </w:p>
    <w:p w14:paraId="00D14005" w14:textId="77777777" w:rsidR="00DF2B2E" w:rsidRDefault="00DF2B2E">
      <w:pPr>
        <w:pStyle w:val="FootnoteText"/>
      </w:pPr>
    </w:p>
  </w:footnote>
  <w:footnote w:id="137">
    <w:p w14:paraId="09480077" w14:textId="59AFD4CF" w:rsidR="00B97858" w:rsidRPr="001858DD" w:rsidRDefault="00B97858" w:rsidP="00B97858">
      <w:pPr>
        <w:pStyle w:val="FootnoteText"/>
      </w:pPr>
      <w:r w:rsidRPr="001858DD">
        <w:rPr>
          <w:rStyle w:val="FootnoteReference"/>
        </w:rPr>
        <w:footnoteRef/>
      </w:r>
      <w:r w:rsidRPr="001858DD">
        <w:t xml:space="preserve"> </w:t>
      </w:r>
      <w:r w:rsidR="003947A9">
        <w:t xml:space="preserve">Tr. Vol. </w:t>
      </w:r>
      <w:r w:rsidR="00734F7E">
        <w:t>I</w:t>
      </w:r>
      <w:r w:rsidR="003947A9">
        <w:t>V</w:t>
      </w:r>
      <w:r w:rsidRPr="001858DD">
        <w:t xml:space="preserve"> at 1091. </w:t>
      </w:r>
    </w:p>
    <w:p w14:paraId="2908EB2C" w14:textId="77777777" w:rsidR="00B97858" w:rsidRPr="001858DD" w:rsidRDefault="00B97858" w:rsidP="00B97858">
      <w:pPr>
        <w:pStyle w:val="FootnoteText"/>
      </w:pPr>
    </w:p>
  </w:footnote>
  <w:footnote w:id="138">
    <w:p w14:paraId="1A6C9332" w14:textId="5D1BF51C" w:rsidR="00B97858" w:rsidRPr="001858DD" w:rsidRDefault="00B97858" w:rsidP="00B97858">
      <w:pPr>
        <w:pStyle w:val="FootnoteText"/>
      </w:pPr>
      <w:r w:rsidRPr="001858DD">
        <w:rPr>
          <w:rStyle w:val="FootnoteReference"/>
        </w:rPr>
        <w:footnoteRef/>
      </w:r>
      <w:r w:rsidRPr="001858DD">
        <w:t xml:space="preserve"> </w:t>
      </w:r>
      <w:r w:rsidRPr="001858DD">
        <w:rPr>
          <w:i/>
        </w:rPr>
        <w:t>Id</w:t>
      </w:r>
      <w:r w:rsidRPr="001858DD">
        <w:t>. at 1146;</w:t>
      </w:r>
      <w:r w:rsidR="00EF0DFC">
        <w:t xml:space="preserve"> </w:t>
      </w:r>
      <w:r w:rsidR="00EF0DFC">
        <w:rPr>
          <w:i/>
        </w:rPr>
        <w:t xml:space="preserve">see id. </w:t>
      </w:r>
      <w:r w:rsidR="00EF0DFC">
        <w:t xml:space="preserve">at </w:t>
      </w:r>
      <w:r w:rsidRPr="001858DD">
        <w:t>1102</w:t>
      </w:r>
      <w:r w:rsidR="00EF0DFC">
        <w:t>,</w:t>
      </w:r>
      <w:r w:rsidRPr="001858DD">
        <w:t xml:space="preserve"> 1143</w:t>
      </w:r>
    </w:p>
    <w:p w14:paraId="121FD38A" w14:textId="77777777" w:rsidR="00B97858" w:rsidRPr="001858DD" w:rsidRDefault="00B97858" w:rsidP="00B97858">
      <w:pPr>
        <w:pStyle w:val="FootnoteText"/>
      </w:pPr>
    </w:p>
  </w:footnote>
  <w:footnote w:id="139">
    <w:p w14:paraId="015E06A5" w14:textId="0EF08CC5" w:rsidR="00F0166C" w:rsidRDefault="00F0166C">
      <w:pPr>
        <w:pStyle w:val="FootnoteText"/>
      </w:pPr>
      <w:r>
        <w:rPr>
          <w:rStyle w:val="FootnoteReference"/>
        </w:rPr>
        <w:footnoteRef/>
      </w:r>
      <w:r>
        <w:t xml:space="preserve"> IGS Ex. 2 at</w:t>
      </w:r>
      <w:r w:rsidR="007B04A7">
        <w:t xml:space="preserve"> 1,7, 21-22, </w:t>
      </w:r>
      <w:r w:rsidR="00CC4BA0">
        <w:t xml:space="preserve">and 48. </w:t>
      </w:r>
    </w:p>
    <w:p w14:paraId="035A4114" w14:textId="77777777" w:rsidR="00CC4BA0" w:rsidRDefault="00CC4BA0">
      <w:pPr>
        <w:pStyle w:val="FootnoteText"/>
      </w:pPr>
    </w:p>
  </w:footnote>
  <w:footnote w:id="140">
    <w:p w14:paraId="764A0F65" w14:textId="61B3D118" w:rsidR="00DB5D5A" w:rsidRPr="001858DD" w:rsidRDefault="00DB5D5A" w:rsidP="00DB5D5A">
      <w:pPr>
        <w:pStyle w:val="FootnoteText"/>
      </w:pPr>
      <w:r w:rsidRPr="001858DD">
        <w:rPr>
          <w:rStyle w:val="FootnoteReference"/>
        </w:rPr>
        <w:footnoteRef/>
      </w:r>
      <w:r w:rsidRPr="001858DD">
        <w:t xml:space="preserve"> </w:t>
      </w:r>
      <w:r w:rsidR="00734F7E">
        <w:t xml:space="preserve">Tr. Vol. IV </w:t>
      </w:r>
      <w:r w:rsidRPr="001858DD">
        <w:t>at 1096</w:t>
      </w:r>
      <w:r w:rsidR="00B93266">
        <w:t>,</w:t>
      </w:r>
      <w:r w:rsidRPr="001858DD">
        <w:t xml:space="preserve"> 1102</w:t>
      </w:r>
      <w:r w:rsidR="00B93266">
        <w:t>,</w:t>
      </w:r>
      <w:r w:rsidRPr="001858DD">
        <w:t xml:space="preserve"> 1143</w:t>
      </w:r>
      <w:r w:rsidR="00B93266">
        <w:t>,</w:t>
      </w:r>
      <w:r w:rsidRPr="001858DD">
        <w:t xml:space="preserve"> 1146. </w:t>
      </w:r>
    </w:p>
    <w:p w14:paraId="1FE2DD96" w14:textId="77777777" w:rsidR="00DB5D5A" w:rsidRPr="001858DD" w:rsidRDefault="00DB5D5A" w:rsidP="00DB5D5A">
      <w:pPr>
        <w:pStyle w:val="FootnoteText"/>
      </w:pPr>
    </w:p>
  </w:footnote>
  <w:footnote w:id="141">
    <w:p w14:paraId="3F193CE3"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1100.</w:t>
      </w:r>
    </w:p>
    <w:p w14:paraId="27357532" w14:textId="77777777" w:rsidR="00DB5D5A" w:rsidRPr="001858DD" w:rsidRDefault="00DB5D5A" w:rsidP="00DB5D5A">
      <w:pPr>
        <w:pStyle w:val="FootnoteText"/>
      </w:pPr>
    </w:p>
  </w:footnote>
  <w:footnote w:id="142">
    <w:p w14:paraId="685445D4" w14:textId="0A6F1C06" w:rsidR="00DB5D5A" w:rsidRPr="001858DD" w:rsidRDefault="00DB5D5A" w:rsidP="00DB5D5A">
      <w:pPr>
        <w:pStyle w:val="FootnoteText"/>
      </w:pPr>
      <w:r w:rsidRPr="001858DD">
        <w:rPr>
          <w:rStyle w:val="FootnoteReference"/>
        </w:rPr>
        <w:footnoteRef/>
      </w:r>
      <w:r w:rsidRPr="001858DD">
        <w:t xml:space="preserve"> Tr. Vol</w:t>
      </w:r>
      <w:r w:rsidR="00E82C7D">
        <w:t>.</w:t>
      </w:r>
      <w:r w:rsidRPr="001858DD">
        <w:t xml:space="preserve"> IX</w:t>
      </w:r>
      <w:r w:rsidR="00E82C7D">
        <w:t xml:space="preserve"> at</w:t>
      </w:r>
      <w:r w:rsidRPr="001858DD">
        <w:t xml:space="preserve"> 2591.</w:t>
      </w:r>
    </w:p>
    <w:p w14:paraId="07F023C8" w14:textId="77777777" w:rsidR="00DB5D5A" w:rsidRPr="001858DD" w:rsidRDefault="00DB5D5A" w:rsidP="00DB5D5A">
      <w:pPr>
        <w:pStyle w:val="FootnoteText"/>
      </w:pPr>
    </w:p>
  </w:footnote>
  <w:footnote w:id="143">
    <w:p w14:paraId="78EA25FD"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2584.</w:t>
      </w:r>
    </w:p>
    <w:p w14:paraId="4BDB5498" w14:textId="77777777" w:rsidR="00DB5D5A" w:rsidRPr="001858DD" w:rsidRDefault="00DB5D5A" w:rsidP="00DB5D5A">
      <w:pPr>
        <w:pStyle w:val="FootnoteText"/>
      </w:pPr>
    </w:p>
  </w:footnote>
  <w:footnote w:id="144">
    <w:p w14:paraId="360133DE" w14:textId="498B29F7" w:rsidR="00A162F2" w:rsidRDefault="00A162F2" w:rsidP="006B3930">
      <w:pPr>
        <w:pStyle w:val="FootnoteText"/>
      </w:pPr>
      <w:r>
        <w:rPr>
          <w:rStyle w:val="FootnoteReference"/>
        </w:rPr>
        <w:footnoteRef/>
      </w:r>
      <w:r>
        <w:t xml:space="preserve"> </w:t>
      </w:r>
      <w:r w:rsidR="006B3930">
        <w:t>“If AEP is allowed to build 400 MW of solar in Ohio, irrespective of cost, and irrespective of whether Ohio needs the solar to meet its SRPS requirement, the SREC market in Ohio will tank.”  IGS Ex. 11 at 20.</w:t>
      </w:r>
    </w:p>
    <w:p w14:paraId="76CF7E9D" w14:textId="77777777" w:rsidR="006B3930" w:rsidRDefault="006B3930" w:rsidP="006B3930">
      <w:pPr>
        <w:pStyle w:val="FootnoteText"/>
      </w:pPr>
    </w:p>
  </w:footnote>
  <w:footnote w:id="145">
    <w:p w14:paraId="0E084B6E" w14:textId="71758947" w:rsidR="00833144" w:rsidRDefault="00833144">
      <w:pPr>
        <w:pStyle w:val="FootnoteText"/>
      </w:pPr>
      <w:r>
        <w:rPr>
          <w:rStyle w:val="FootnoteReference"/>
        </w:rPr>
        <w:footnoteRef/>
      </w:r>
      <w:r>
        <w:t xml:space="preserve"> IGS Ex. 11 at 20.</w:t>
      </w:r>
    </w:p>
    <w:p w14:paraId="318DE0E1" w14:textId="77777777" w:rsidR="00833144" w:rsidRDefault="00833144">
      <w:pPr>
        <w:pStyle w:val="FootnoteText"/>
      </w:pPr>
    </w:p>
  </w:footnote>
  <w:footnote w:id="146">
    <w:p w14:paraId="03AE7B53" w14:textId="4DCDB926" w:rsidR="00833144" w:rsidRDefault="00833144">
      <w:pPr>
        <w:pStyle w:val="FootnoteText"/>
        <w:rPr>
          <w:i/>
        </w:rPr>
      </w:pPr>
      <w:r>
        <w:rPr>
          <w:rStyle w:val="FootnoteReference"/>
        </w:rPr>
        <w:footnoteRef/>
      </w:r>
      <w:r>
        <w:t xml:space="preserve"> </w:t>
      </w:r>
      <w:r>
        <w:rPr>
          <w:i/>
        </w:rPr>
        <w:t xml:space="preserve">Id. </w:t>
      </w:r>
    </w:p>
    <w:p w14:paraId="2BC2E7A7" w14:textId="77777777" w:rsidR="00833144" w:rsidRPr="00833144" w:rsidRDefault="00833144">
      <w:pPr>
        <w:pStyle w:val="FootnoteText"/>
        <w:rPr>
          <w:i/>
        </w:rPr>
      </w:pPr>
    </w:p>
  </w:footnote>
  <w:footnote w:id="147">
    <w:p w14:paraId="29D6B04F" w14:textId="71F343B1" w:rsidR="00DC78FC" w:rsidRDefault="00B97858">
      <w:pPr>
        <w:pStyle w:val="FootnoteText"/>
      </w:pPr>
      <w:r w:rsidRPr="001858DD">
        <w:rPr>
          <w:rStyle w:val="FootnoteReference"/>
        </w:rPr>
        <w:footnoteRef/>
      </w:r>
      <w:r w:rsidR="00DC78FC" w:rsidRPr="001858DD">
        <w:t xml:space="preserve"> </w:t>
      </w:r>
      <w:r w:rsidR="00E008E6" w:rsidRPr="001858DD">
        <w:t>Tr. Vol</w:t>
      </w:r>
      <w:r w:rsidR="00833144">
        <w:t>.</w:t>
      </w:r>
      <w:r w:rsidR="00E008E6" w:rsidRPr="001858DD">
        <w:t xml:space="preserve"> VI</w:t>
      </w:r>
      <w:r w:rsidR="00833144">
        <w:t xml:space="preserve"> at</w:t>
      </w:r>
      <w:r w:rsidR="00E008E6" w:rsidRPr="001858DD">
        <w:t xml:space="preserve"> 17</w:t>
      </w:r>
      <w:r w:rsidR="00E008E6">
        <w:t>82.</w:t>
      </w:r>
    </w:p>
    <w:p w14:paraId="68C00FA2" w14:textId="77777777" w:rsidR="00B97858" w:rsidRPr="001858DD" w:rsidRDefault="00B97858">
      <w:pPr>
        <w:pStyle w:val="FootnoteText"/>
      </w:pPr>
    </w:p>
  </w:footnote>
  <w:footnote w:id="148">
    <w:p w14:paraId="1B9C76B7" w14:textId="4CE8EF2E" w:rsidR="00DB5D5A" w:rsidRPr="001858DD" w:rsidRDefault="00DB5D5A" w:rsidP="00DB5D5A">
      <w:pPr>
        <w:pStyle w:val="FootnoteText"/>
      </w:pPr>
      <w:r w:rsidRPr="001858DD">
        <w:rPr>
          <w:rStyle w:val="FootnoteReference"/>
        </w:rPr>
        <w:footnoteRef/>
      </w:r>
      <w:r w:rsidR="00DC78FC" w:rsidRPr="001858DD">
        <w:t xml:space="preserve"> </w:t>
      </w:r>
      <w:r w:rsidR="00E008E6">
        <w:rPr>
          <w:i/>
        </w:rPr>
        <w:t>Id</w:t>
      </w:r>
      <w:r w:rsidR="00E008E6">
        <w:t>. at 1790.</w:t>
      </w:r>
    </w:p>
    <w:p w14:paraId="2916C19D" w14:textId="77777777" w:rsidR="00DB5D5A" w:rsidRPr="001858DD" w:rsidRDefault="00DB5D5A" w:rsidP="00DB5D5A">
      <w:pPr>
        <w:pStyle w:val="FootnoteText"/>
      </w:pPr>
    </w:p>
  </w:footnote>
  <w:footnote w:id="149">
    <w:p w14:paraId="35F72E62" w14:textId="1367AE36" w:rsidR="00DB5D5A" w:rsidRPr="001858DD" w:rsidRDefault="00DB5D5A" w:rsidP="00DB5D5A">
      <w:pPr>
        <w:pStyle w:val="FootnoteText"/>
      </w:pPr>
      <w:r w:rsidRPr="001858DD">
        <w:rPr>
          <w:rStyle w:val="FootnoteReference"/>
        </w:rPr>
        <w:footnoteRef/>
      </w:r>
      <w:r w:rsidRPr="001858DD">
        <w:t xml:space="preserve"> Tr. Vol</w:t>
      </w:r>
      <w:r w:rsidR="000A48EA">
        <w:t>.</w:t>
      </w:r>
      <w:r w:rsidRPr="001858DD">
        <w:t xml:space="preserve"> IV</w:t>
      </w:r>
      <w:r w:rsidR="000A48EA">
        <w:t xml:space="preserve"> at</w:t>
      </w:r>
      <w:r w:rsidRPr="001858DD">
        <w:t xml:space="preserve"> 1119. </w:t>
      </w:r>
    </w:p>
    <w:p w14:paraId="74869460" w14:textId="77777777" w:rsidR="00DB5D5A" w:rsidRPr="001858DD" w:rsidRDefault="00DB5D5A" w:rsidP="00DB5D5A">
      <w:pPr>
        <w:pStyle w:val="FootnoteText"/>
      </w:pPr>
    </w:p>
  </w:footnote>
  <w:footnote w:id="150">
    <w:p w14:paraId="18CB9B2A" w14:textId="7D50C408" w:rsidR="00DB5D5A" w:rsidRPr="001858DD" w:rsidRDefault="00DB5D5A" w:rsidP="00DB5D5A">
      <w:pPr>
        <w:pStyle w:val="FootnoteText"/>
      </w:pPr>
      <w:r w:rsidRPr="001858DD">
        <w:rPr>
          <w:rStyle w:val="FootnoteReference"/>
        </w:rPr>
        <w:footnoteRef/>
      </w:r>
      <w:r w:rsidRPr="001858DD">
        <w:t xml:space="preserve"> Tr. Vol</w:t>
      </w:r>
      <w:r w:rsidR="000A48EA">
        <w:t>.</w:t>
      </w:r>
      <w:r w:rsidRPr="001858DD">
        <w:t xml:space="preserve"> VI</w:t>
      </w:r>
      <w:r w:rsidR="000A48EA">
        <w:t xml:space="preserve"> at</w:t>
      </w:r>
      <w:r w:rsidRPr="001858DD">
        <w:t xml:space="preserve"> 1804.  </w:t>
      </w:r>
    </w:p>
    <w:p w14:paraId="187F57B8" w14:textId="77777777" w:rsidR="00DB5D5A" w:rsidRPr="001858DD" w:rsidRDefault="00DB5D5A" w:rsidP="00DB5D5A">
      <w:pPr>
        <w:pStyle w:val="FootnoteText"/>
      </w:pPr>
    </w:p>
  </w:footnote>
  <w:footnote w:id="151">
    <w:p w14:paraId="13344B50" w14:textId="17E7F0EA" w:rsidR="00DB5D5A" w:rsidRPr="001858DD" w:rsidRDefault="00DB5D5A" w:rsidP="00DB5D5A">
      <w:pPr>
        <w:pStyle w:val="FootnoteText"/>
      </w:pPr>
      <w:r w:rsidRPr="001858DD">
        <w:rPr>
          <w:rStyle w:val="FootnoteReference"/>
        </w:rPr>
        <w:footnoteRef/>
      </w:r>
      <w:r w:rsidRPr="001858DD">
        <w:t xml:space="preserve"> Tr.</w:t>
      </w:r>
      <w:r w:rsidR="000A48EA">
        <w:t xml:space="preserve"> </w:t>
      </w:r>
      <w:r w:rsidRPr="001858DD">
        <w:t>Vol</w:t>
      </w:r>
      <w:r w:rsidR="000A48EA">
        <w:t>.</w:t>
      </w:r>
      <w:r w:rsidRPr="001858DD">
        <w:t xml:space="preserve"> IV</w:t>
      </w:r>
      <w:r w:rsidR="000A48EA">
        <w:t xml:space="preserve"> at </w:t>
      </w:r>
      <w:r w:rsidRPr="001858DD">
        <w:t xml:space="preserve">2572. </w:t>
      </w:r>
    </w:p>
    <w:p w14:paraId="54738AF4" w14:textId="77777777" w:rsidR="00DB5D5A" w:rsidRPr="001858DD" w:rsidRDefault="00DB5D5A" w:rsidP="00DB5D5A">
      <w:pPr>
        <w:pStyle w:val="FootnoteText"/>
      </w:pPr>
    </w:p>
  </w:footnote>
  <w:footnote w:id="152">
    <w:p w14:paraId="038D3CCD" w14:textId="2936DDEF" w:rsidR="00DB5D5A" w:rsidRPr="001858DD" w:rsidRDefault="00DB5D5A" w:rsidP="00DB5D5A">
      <w:pPr>
        <w:pStyle w:val="FootnoteText"/>
      </w:pPr>
      <w:r w:rsidRPr="001858DD">
        <w:rPr>
          <w:rStyle w:val="FootnoteReference"/>
        </w:rPr>
        <w:footnoteRef/>
      </w:r>
      <w:r w:rsidRPr="001858DD">
        <w:t xml:space="preserve"> Tr. Vol</w:t>
      </w:r>
      <w:r w:rsidR="000A48EA">
        <w:t>.</w:t>
      </w:r>
      <w:r w:rsidRPr="001858DD">
        <w:t xml:space="preserve"> VI</w:t>
      </w:r>
      <w:r w:rsidR="000A48EA">
        <w:t xml:space="preserve"> at</w:t>
      </w:r>
      <w:r w:rsidRPr="001858DD">
        <w:t xml:space="preserve"> 1793.  </w:t>
      </w:r>
    </w:p>
    <w:p w14:paraId="46ABBD8F" w14:textId="77777777" w:rsidR="00DB5D5A" w:rsidRPr="001858DD" w:rsidRDefault="00DB5D5A" w:rsidP="00DB5D5A">
      <w:pPr>
        <w:pStyle w:val="FootnoteText"/>
      </w:pPr>
    </w:p>
  </w:footnote>
  <w:footnote w:id="153">
    <w:p w14:paraId="3172B76B" w14:textId="511AB000" w:rsidR="00DB5D5A" w:rsidRPr="001858DD" w:rsidRDefault="00DB5D5A" w:rsidP="00DB5D5A">
      <w:pPr>
        <w:pStyle w:val="FootnoteText"/>
      </w:pPr>
      <w:r w:rsidRPr="001858DD">
        <w:rPr>
          <w:rStyle w:val="FootnoteReference"/>
        </w:rPr>
        <w:footnoteRef/>
      </w:r>
      <w:r w:rsidRPr="001858DD">
        <w:t xml:space="preserve"> Tr. Vol</w:t>
      </w:r>
      <w:r w:rsidR="000A48EA">
        <w:t>.</w:t>
      </w:r>
      <w:r w:rsidRPr="001858DD">
        <w:t xml:space="preserve"> IV at 1141.</w:t>
      </w:r>
    </w:p>
    <w:p w14:paraId="06BBA33E" w14:textId="77777777" w:rsidR="00DB5D5A" w:rsidRPr="005B184F" w:rsidRDefault="00DB5D5A" w:rsidP="00DB5D5A">
      <w:pPr>
        <w:pStyle w:val="FootnoteText"/>
      </w:pPr>
    </w:p>
  </w:footnote>
  <w:footnote w:id="154">
    <w:p w14:paraId="21239C5D" w14:textId="0DAB8316" w:rsidR="00C26BDF" w:rsidRDefault="00C26BDF">
      <w:pPr>
        <w:pStyle w:val="FootnoteText"/>
      </w:pPr>
      <w:r>
        <w:rPr>
          <w:rStyle w:val="FootnoteReference"/>
        </w:rPr>
        <w:footnoteRef/>
      </w:r>
      <w:r>
        <w:t xml:space="preserve"> </w:t>
      </w:r>
      <w:r w:rsidR="004973DA">
        <w:t xml:space="preserve">AEP Ohio Ex. 14 at JFT-1 p. 21-22; </w:t>
      </w:r>
      <w:bookmarkStart w:id="4" w:name="_Hlk2768579"/>
      <w:r w:rsidR="004973DA">
        <w:t>Tr. Vol. IV</w:t>
      </w:r>
      <w:r w:rsidR="000370FF">
        <w:t xml:space="preserve"> at 1141.</w:t>
      </w:r>
    </w:p>
    <w:bookmarkEnd w:id="4"/>
    <w:p w14:paraId="464FCBC1" w14:textId="77777777" w:rsidR="004973DA" w:rsidRDefault="004973DA">
      <w:pPr>
        <w:pStyle w:val="FootnoteText"/>
      </w:pPr>
    </w:p>
  </w:footnote>
  <w:footnote w:id="155">
    <w:p w14:paraId="1F5641CD" w14:textId="5D798E6D" w:rsidR="00DB5D5A" w:rsidRPr="000370FF" w:rsidRDefault="00DB5D5A" w:rsidP="00DB5D5A">
      <w:pPr>
        <w:pStyle w:val="FootnoteText"/>
      </w:pPr>
      <w:r w:rsidRPr="000370FF">
        <w:rPr>
          <w:rStyle w:val="FootnoteReference"/>
        </w:rPr>
        <w:footnoteRef/>
      </w:r>
      <w:r w:rsidRPr="000370FF">
        <w:t xml:space="preserve"> </w:t>
      </w:r>
      <w:r w:rsidR="000370FF" w:rsidRPr="000370FF">
        <w:t>Tr. Vol. IV at 1141.</w:t>
      </w:r>
    </w:p>
    <w:p w14:paraId="5C8C6B09" w14:textId="77777777" w:rsidR="00DB5D5A" w:rsidRPr="005B184F" w:rsidRDefault="00DB5D5A" w:rsidP="00DB5D5A">
      <w:pPr>
        <w:pStyle w:val="FootnoteText"/>
      </w:pPr>
    </w:p>
  </w:footnote>
  <w:footnote w:id="156">
    <w:p w14:paraId="0BBF2B5F" w14:textId="50CCE939" w:rsidR="00DB5D5A" w:rsidRPr="005B184F" w:rsidRDefault="00DB5D5A" w:rsidP="00DB5D5A">
      <w:pPr>
        <w:pStyle w:val="FootnoteText"/>
      </w:pPr>
      <w:r w:rsidRPr="005B184F">
        <w:rPr>
          <w:rStyle w:val="FootnoteReference"/>
        </w:rPr>
        <w:footnoteRef/>
      </w:r>
      <w:r w:rsidR="00AA6B3C" w:rsidRPr="005B184F">
        <w:t xml:space="preserve"> AEP Ohio Ex. 12</w:t>
      </w:r>
      <w:r w:rsidRPr="005B184F">
        <w:t xml:space="preserve"> at Ex. SB/BL-1</w:t>
      </w:r>
    </w:p>
    <w:p w14:paraId="3382A365" w14:textId="77777777" w:rsidR="00DB5D5A" w:rsidRPr="005B184F" w:rsidRDefault="00DB5D5A" w:rsidP="00DB5D5A">
      <w:pPr>
        <w:pStyle w:val="FootnoteText"/>
      </w:pPr>
    </w:p>
  </w:footnote>
  <w:footnote w:id="157">
    <w:p w14:paraId="09F3C467" w14:textId="77777777" w:rsidR="00DB5D5A" w:rsidRPr="005B184F" w:rsidRDefault="00DB5D5A" w:rsidP="00DB5D5A">
      <w:pPr>
        <w:pStyle w:val="FootnoteText"/>
      </w:pPr>
      <w:r w:rsidRPr="005B184F">
        <w:rPr>
          <w:rStyle w:val="FootnoteReference"/>
        </w:rPr>
        <w:footnoteRef/>
      </w:r>
      <w:r w:rsidRPr="005B184F">
        <w:t xml:space="preserve"> </w:t>
      </w:r>
      <w:r w:rsidRPr="005B184F">
        <w:rPr>
          <w:i/>
        </w:rPr>
        <w:t>Id</w:t>
      </w:r>
      <w:r w:rsidRPr="005B184F">
        <w:t xml:space="preserve">. at Ex. SB/BL-1, 13. </w:t>
      </w:r>
    </w:p>
    <w:p w14:paraId="5C71F136" w14:textId="77777777" w:rsidR="00DB5D5A" w:rsidRPr="005B184F" w:rsidRDefault="00DB5D5A" w:rsidP="00DB5D5A">
      <w:pPr>
        <w:pStyle w:val="FootnoteText"/>
      </w:pPr>
    </w:p>
  </w:footnote>
  <w:footnote w:id="158">
    <w:p w14:paraId="5A684611" w14:textId="213C115A" w:rsidR="005B184F" w:rsidRDefault="005B184F">
      <w:pPr>
        <w:pStyle w:val="FootnoteText"/>
        <w:rPr>
          <w:sz w:val="24"/>
          <w:szCs w:val="24"/>
        </w:rPr>
      </w:pPr>
      <w:r w:rsidRPr="005B184F">
        <w:rPr>
          <w:rStyle w:val="FootnoteReference"/>
        </w:rPr>
        <w:footnoteRef/>
      </w:r>
      <w:r w:rsidRPr="005B184F">
        <w:t xml:space="preserve"> </w:t>
      </w:r>
      <w:r w:rsidRPr="005B184F">
        <w:rPr>
          <w:i/>
        </w:rPr>
        <w:t>Id</w:t>
      </w:r>
      <w:r w:rsidRPr="005B184F">
        <w:t>.</w:t>
      </w:r>
      <w:r w:rsidRPr="00A2620B">
        <w:rPr>
          <w:sz w:val="24"/>
          <w:szCs w:val="24"/>
        </w:rPr>
        <w:t xml:space="preserve">  </w:t>
      </w:r>
    </w:p>
    <w:p w14:paraId="18728064" w14:textId="77777777" w:rsidR="005B7DA3" w:rsidRDefault="005B7DA3">
      <w:pPr>
        <w:pStyle w:val="FootnoteText"/>
      </w:pPr>
    </w:p>
  </w:footnote>
  <w:footnote w:id="159">
    <w:p w14:paraId="7E205BB9" w14:textId="2ECDA6FE" w:rsidR="00DB5D5A" w:rsidRPr="001858DD" w:rsidRDefault="00DB5D5A" w:rsidP="00DB5D5A">
      <w:pPr>
        <w:pStyle w:val="FootnoteText"/>
      </w:pPr>
      <w:r w:rsidRPr="001858DD">
        <w:rPr>
          <w:rStyle w:val="FootnoteReference"/>
        </w:rPr>
        <w:footnoteRef/>
      </w:r>
      <w:r w:rsidRPr="001858DD">
        <w:t xml:space="preserve"> Tr. Vol</w:t>
      </w:r>
      <w:r w:rsidR="005B7DA3">
        <w:t>.</w:t>
      </w:r>
      <w:r w:rsidRPr="001858DD">
        <w:t xml:space="preserve"> IV at 1142.</w:t>
      </w:r>
    </w:p>
    <w:p w14:paraId="62199465" w14:textId="77777777" w:rsidR="00DB5D5A" w:rsidRPr="001858DD" w:rsidRDefault="00DB5D5A" w:rsidP="00DB5D5A">
      <w:pPr>
        <w:pStyle w:val="FootnoteText"/>
      </w:pPr>
    </w:p>
  </w:footnote>
  <w:footnote w:id="160">
    <w:p w14:paraId="2C2E465A" w14:textId="161DC590" w:rsidR="00DB5D5A" w:rsidRPr="001858DD" w:rsidRDefault="00DB5D5A" w:rsidP="00DB5D5A">
      <w:pPr>
        <w:pStyle w:val="FootnoteText"/>
      </w:pPr>
      <w:r w:rsidRPr="001858DD">
        <w:rPr>
          <w:rStyle w:val="FootnoteReference"/>
        </w:rPr>
        <w:footnoteRef/>
      </w:r>
      <w:r w:rsidRPr="001858DD">
        <w:t xml:space="preserve">  Tr. Vol</w:t>
      </w:r>
      <w:r w:rsidR="005B7DA3">
        <w:t>.</w:t>
      </w:r>
      <w:r w:rsidRPr="001858DD">
        <w:t xml:space="preserve"> IV</w:t>
      </w:r>
      <w:r w:rsidR="005B7DA3">
        <w:t xml:space="preserve"> at</w:t>
      </w:r>
      <w:r w:rsidRPr="001858DD">
        <w:t>1087</w:t>
      </w:r>
      <w:r w:rsidR="005B7DA3">
        <w:t>-8</w:t>
      </w:r>
      <w:r w:rsidRPr="001858DD">
        <w:t>8.</w:t>
      </w:r>
    </w:p>
    <w:p w14:paraId="0DA123B1" w14:textId="77777777" w:rsidR="00DB5D5A" w:rsidRPr="001858DD" w:rsidRDefault="00DB5D5A" w:rsidP="00DB5D5A">
      <w:pPr>
        <w:pStyle w:val="FootnoteText"/>
      </w:pPr>
    </w:p>
  </w:footnote>
  <w:footnote w:id="161">
    <w:p w14:paraId="7868246A" w14:textId="6220F149" w:rsidR="00DB5D5A" w:rsidRPr="001858DD" w:rsidRDefault="00DB5D5A" w:rsidP="00DB5D5A">
      <w:pPr>
        <w:pStyle w:val="FootnoteText"/>
      </w:pPr>
      <w:r w:rsidRPr="001858DD">
        <w:rPr>
          <w:rStyle w:val="FootnoteReference"/>
        </w:rPr>
        <w:footnoteRef/>
      </w:r>
      <w:r w:rsidRPr="001858DD">
        <w:t xml:space="preserve"> </w:t>
      </w:r>
      <w:r w:rsidR="00FA2346">
        <w:t xml:space="preserve">AEP Ohio Ex. </w:t>
      </w:r>
      <w:r w:rsidR="00A256D6">
        <w:t>1</w:t>
      </w:r>
      <w:r w:rsidRPr="001858DD">
        <w:t xml:space="preserve"> at 2.  </w:t>
      </w:r>
    </w:p>
    <w:p w14:paraId="4C4CEA3D" w14:textId="77777777" w:rsidR="00DB5D5A" w:rsidRPr="001858DD" w:rsidRDefault="00DB5D5A" w:rsidP="00DB5D5A">
      <w:pPr>
        <w:pStyle w:val="FootnoteText"/>
      </w:pPr>
    </w:p>
  </w:footnote>
  <w:footnote w:id="162">
    <w:p w14:paraId="27C33C67"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xml:space="preserve">. </w:t>
      </w:r>
    </w:p>
    <w:p w14:paraId="50895670" w14:textId="77777777" w:rsidR="00DB5D5A" w:rsidRPr="001858DD" w:rsidRDefault="00DB5D5A" w:rsidP="00DB5D5A">
      <w:pPr>
        <w:pStyle w:val="FootnoteText"/>
      </w:pPr>
    </w:p>
  </w:footnote>
  <w:footnote w:id="163">
    <w:p w14:paraId="4B36E7BF" w14:textId="78287235" w:rsidR="00DB5D5A" w:rsidRPr="001858DD" w:rsidRDefault="00DB5D5A" w:rsidP="00DB5D5A">
      <w:pPr>
        <w:pStyle w:val="FootnoteText"/>
      </w:pPr>
      <w:r w:rsidRPr="001858DD">
        <w:rPr>
          <w:rStyle w:val="FootnoteReference"/>
        </w:rPr>
        <w:footnoteRef/>
      </w:r>
      <w:r w:rsidRPr="001858DD">
        <w:t xml:space="preserve"> Tr. Vol</w:t>
      </w:r>
      <w:r w:rsidR="00694919">
        <w:t>.</w:t>
      </w:r>
      <w:r w:rsidRPr="001858DD">
        <w:t xml:space="preserve"> IV</w:t>
      </w:r>
      <w:r w:rsidR="00694919">
        <w:t xml:space="preserve"> at</w:t>
      </w:r>
      <w:r w:rsidRPr="001858DD">
        <w:t xml:space="preserve"> 1149.</w:t>
      </w:r>
    </w:p>
    <w:p w14:paraId="38C1F859" w14:textId="77777777" w:rsidR="00DB5D5A" w:rsidRPr="001858DD" w:rsidRDefault="00DB5D5A" w:rsidP="00DB5D5A">
      <w:pPr>
        <w:pStyle w:val="FootnoteText"/>
      </w:pPr>
    </w:p>
  </w:footnote>
  <w:footnote w:id="164">
    <w:p w14:paraId="3083C9C5"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xml:space="preserve">. </w:t>
      </w:r>
    </w:p>
    <w:p w14:paraId="0C8FE7CE" w14:textId="77777777" w:rsidR="00DB5D5A" w:rsidRPr="001858DD" w:rsidRDefault="00DB5D5A" w:rsidP="00DB5D5A">
      <w:pPr>
        <w:pStyle w:val="FootnoteText"/>
      </w:pPr>
    </w:p>
  </w:footnote>
  <w:footnote w:id="165">
    <w:p w14:paraId="77CA485C" w14:textId="77777777" w:rsidR="00DB5D5A" w:rsidRPr="001858DD" w:rsidRDefault="00DB5D5A" w:rsidP="00DB5D5A">
      <w:pPr>
        <w:pStyle w:val="FootnoteText"/>
      </w:pPr>
      <w:r w:rsidRPr="001858DD">
        <w:rPr>
          <w:rStyle w:val="FootnoteReference"/>
        </w:rPr>
        <w:footnoteRef/>
      </w:r>
      <w:r w:rsidRPr="001858DD">
        <w:t xml:space="preserve"> </w:t>
      </w:r>
      <w:r w:rsidRPr="001858DD">
        <w:rPr>
          <w:i/>
        </w:rPr>
        <w:t>Id</w:t>
      </w:r>
      <w:r w:rsidRPr="001858DD">
        <w:t>. at 1149-1150</w:t>
      </w:r>
    </w:p>
    <w:p w14:paraId="41004F19" w14:textId="77777777" w:rsidR="00DB5D5A" w:rsidRPr="001858DD" w:rsidRDefault="00DB5D5A" w:rsidP="00DB5D5A">
      <w:pPr>
        <w:pStyle w:val="FootnoteText"/>
      </w:pPr>
    </w:p>
  </w:footnote>
  <w:footnote w:id="166">
    <w:p w14:paraId="0091E090" w14:textId="40D35F69" w:rsidR="00DB5D5A" w:rsidRPr="001858DD" w:rsidRDefault="00DB5D5A" w:rsidP="00DB5D5A">
      <w:pPr>
        <w:pStyle w:val="FootnoteText"/>
      </w:pPr>
      <w:r w:rsidRPr="001858DD">
        <w:rPr>
          <w:rStyle w:val="FootnoteReference"/>
        </w:rPr>
        <w:footnoteRef/>
      </w:r>
      <w:r w:rsidRPr="001858DD">
        <w:t xml:space="preserve"> </w:t>
      </w:r>
      <w:r w:rsidR="00A256D6">
        <w:t>AEP Ohio Ex. 2</w:t>
      </w:r>
      <w:r w:rsidRPr="001858DD">
        <w:t xml:space="preserve"> at 3.   </w:t>
      </w:r>
    </w:p>
    <w:p w14:paraId="67C0C651" w14:textId="77777777" w:rsidR="00DB5D5A" w:rsidRPr="001858DD" w:rsidRDefault="00DB5D5A" w:rsidP="00DB5D5A">
      <w:pPr>
        <w:pStyle w:val="FootnoteText"/>
      </w:pPr>
    </w:p>
  </w:footnote>
  <w:footnote w:id="167">
    <w:p w14:paraId="60DA0B41" w14:textId="64472DE2" w:rsidR="00DB5D5A" w:rsidRDefault="00DB5D5A" w:rsidP="00DB5D5A">
      <w:pPr>
        <w:pStyle w:val="FootnoteText"/>
      </w:pPr>
      <w:r w:rsidRPr="001858DD">
        <w:rPr>
          <w:rStyle w:val="FootnoteReference"/>
        </w:rPr>
        <w:footnoteRef/>
      </w:r>
      <w:r w:rsidRPr="001858DD">
        <w:t xml:space="preserve"> Tr. Vol</w:t>
      </w:r>
      <w:r w:rsidR="00694919">
        <w:t>.</w:t>
      </w:r>
      <w:r w:rsidRPr="001858DD">
        <w:t xml:space="preserve"> VI</w:t>
      </w:r>
      <w:r w:rsidR="00694919">
        <w:t xml:space="preserve"> at</w:t>
      </w:r>
      <w:r w:rsidRPr="001858DD">
        <w:t xml:space="preserve"> 1782.</w:t>
      </w:r>
    </w:p>
    <w:p w14:paraId="19B81B82" w14:textId="77777777" w:rsidR="00EB34FF" w:rsidRPr="001858DD" w:rsidRDefault="00EB34FF" w:rsidP="00DB5D5A">
      <w:pPr>
        <w:pStyle w:val="FootnoteText"/>
      </w:pPr>
    </w:p>
  </w:footnote>
  <w:footnote w:id="168">
    <w:p w14:paraId="659FB0A5" w14:textId="0E51F4DA" w:rsidR="007E678B" w:rsidRDefault="007E678B">
      <w:pPr>
        <w:pStyle w:val="FootnoteText"/>
      </w:pPr>
      <w:r>
        <w:rPr>
          <w:rStyle w:val="FootnoteReference"/>
        </w:rPr>
        <w:footnoteRef/>
      </w:r>
      <w:r>
        <w:t xml:space="preserve"> AEP Ohio Ex. 14 at JFT-1 p. 21-22.</w:t>
      </w:r>
    </w:p>
    <w:p w14:paraId="16A66E5D" w14:textId="77777777" w:rsidR="00E720B2" w:rsidRDefault="00E720B2">
      <w:pPr>
        <w:pStyle w:val="FootnoteText"/>
      </w:pPr>
    </w:p>
  </w:footnote>
  <w:footnote w:id="169">
    <w:p w14:paraId="0203F2CF" w14:textId="10819C0B" w:rsidR="007E678B" w:rsidRDefault="007E678B">
      <w:pPr>
        <w:pStyle w:val="FootnoteText"/>
      </w:pPr>
      <w:r>
        <w:rPr>
          <w:rStyle w:val="FootnoteReference"/>
        </w:rPr>
        <w:footnoteRef/>
      </w:r>
      <w:r>
        <w:t xml:space="preserve"> AEP Ohio Ex. 3 at </w:t>
      </w:r>
      <w:r w:rsidR="00A53A94">
        <w:t>15.</w:t>
      </w:r>
    </w:p>
    <w:p w14:paraId="3538185F" w14:textId="77777777" w:rsidR="00E603BC" w:rsidRDefault="00E603BC">
      <w:pPr>
        <w:pStyle w:val="FootnoteText"/>
      </w:pPr>
    </w:p>
  </w:footnote>
  <w:footnote w:id="170">
    <w:p w14:paraId="4F1CC2DB" w14:textId="5023F911" w:rsidR="00AF0226" w:rsidRDefault="00AF0226">
      <w:pPr>
        <w:pStyle w:val="FootnoteText"/>
      </w:pPr>
      <w:r>
        <w:rPr>
          <w:rStyle w:val="FootnoteReference"/>
        </w:rPr>
        <w:footnoteRef/>
      </w:r>
      <w:r>
        <w:t xml:space="preserve"> AEP Ohio Ex. </w:t>
      </w:r>
      <w:r w:rsidR="00CB36C9">
        <w:t xml:space="preserve">14 at JFT-1 p. 13. </w:t>
      </w:r>
    </w:p>
  </w:footnote>
  <w:footnote w:id="171">
    <w:p w14:paraId="3ACD1980" w14:textId="31B9D713" w:rsidR="00A96E37" w:rsidRDefault="00A96E37">
      <w:pPr>
        <w:pStyle w:val="FootnoteText"/>
      </w:pPr>
      <w:r>
        <w:rPr>
          <w:rStyle w:val="FootnoteReference"/>
        </w:rPr>
        <w:footnoteRef/>
      </w:r>
      <w:r>
        <w:t xml:space="preserve"> </w:t>
      </w:r>
      <w:r w:rsidR="002550B8">
        <w:t xml:space="preserve">IGS Ex. 8. </w:t>
      </w:r>
    </w:p>
    <w:p w14:paraId="67EE71BC" w14:textId="77777777" w:rsidR="002550B8" w:rsidRDefault="002550B8">
      <w:pPr>
        <w:pStyle w:val="FootnoteText"/>
      </w:pPr>
    </w:p>
  </w:footnote>
  <w:footnote w:id="172">
    <w:p w14:paraId="32D04B5D" w14:textId="13D324CC" w:rsidR="00E603BC" w:rsidRDefault="00E603BC">
      <w:pPr>
        <w:pStyle w:val="FootnoteText"/>
      </w:pPr>
      <w:r>
        <w:rPr>
          <w:rStyle w:val="FootnoteReference"/>
        </w:rPr>
        <w:footnoteRef/>
      </w:r>
      <w:r>
        <w:t xml:space="preserve"> Tr. Vol. V at 1331.</w:t>
      </w:r>
    </w:p>
    <w:p w14:paraId="03D42821" w14:textId="77777777" w:rsidR="002550B8" w:rsidRDefault="002550B8">
      <w:pPr>
        <w:pStyle w:val="FootnoteText"/>
      </w:pPr>
    </w:p>
  </w:footnote>
  <w:footnote w:id="173">
    <w:p w14:paraId="24CA6121" w14:textId="35100151" w:rsidR="00B5092B" w:rsidRDefault="00B5092B">
      <w:pPr>
        <w:pStyle w:val="FootnoteText"/>
      </w:pPr>
      <w:r>
        <w:rPr>
          <w:rStyle w:val="FootnoteReference"/>
        </w:rPr>
        <w:footnoteRef/>
      </w:r>
      <w:r>
        <w:t xml:space="preserve"> IGS Ex. 8. </w:t>
      </w:r>
    </w:p>
    <w:p w14:paraId="60A80427" w14:textId="77777777" w:rsidR="00B5092B" w:rsidRDefault="00B5092B">
      <w:pPr>
        <w:pStyle w:val="FootnoteText"/>
      </w:pPr>
    </w:p>
  </w:footnote>
  <w:footnote w:id="174">
    <w:p w14:paraId="0F2C259C" w14:textId="3EDF538F" w:rsidR="00930579" w:rsidRDefault="00930579">
      <w:pPr>
        <w:pStyle w:val="FootnoteText"/>
      </w:pPr>
      <w:r w:rsidRPr="001858DD">
        <w:rPr>
          <w:rStyle w:val="FootnoteReference"/>
        </w:rPr>
        <w:footnoteRef/>
      </w:r>
      <w:r w:rsidRPr="001858DD">
        <w:t xml:space="preserve"> Tr. Vol. IX at 2599.</w:t>
      </w:r>
    </w:p>
    <w:p w14:paraId="18955D1C" w14:textId="77777777" w:rsidR="001858DD" w:rsidRPr="001858DD" w:rsidRDefault="001858DD">
      <w:pPr>
        <w:pStyle w:val="FootnoteText"/>
      </w:pPr>
    </w:p>
  </w:footnote>
  <w:footnote w:id="175">
    <w:p w14:paraId="20A34FC3" w14:textId="6B955608" w:rsidR="004E4748" w:rsidRDefault="004E4748">
      <w:pPr>
        <w:pStyle w:val="FootnoteText"/>
      </w:pPr>
      <w:r w:rsidRPr="001858DD">
        <w:rPr>
          <w:rStyle w:val="FootnoteReference"/>
        </w:rPr>
        <w:footnoteRef/>
      </w:r>
      <w:r w:rsidRPr="001858DD">
        <w:t xml:space="preserve"> IGS Ex. 9 at 12; </w:t>
      </w:r>
      <w:r w:rsidRPr="001858DD">
        <w:rPr>
          <w:i/>
        </w:rPr>
        <w:t xml:space="preserve">see also </w:t>
      </w:r>
      <w:r w:rsidRPr="001858DD">
        <w:t>Tr. Vol. V at 1271; Tr. Vol. V at 1356-57</w:t>
      </w:r>
      <w:r w:rsidR="00694919">
        <w:t>.</w:t>
      </w:r>
    </w:p>
    <w:p w14:paraId="6E140AB5" w14:textId="77777777" w:rsidR="00694919" w:rsidRPr="001858DD" w:rsidRDefault="00694919">
      <w:pPr>
        <w:pStyle w:val="FootnoteText"/>
      </w:pPr>
    </w:p>
  </w:footnote>
  <w:footnote w:id="176">
    <w:p w14:paraId="22ACE631" w14:textId="7CBB1A37" w:rsidR="00B5092B" w:rsidRDefault="00B5092B">
      <w:pPr>
        <w:pStyle w:val="FootnoteText"/>
      </w:pPr>
      <w:r>
        <w:rPr>
          <w:rStyle w:val="FootnoteReference"/>
        </w:rPr>
        <w:footnoteRef/>
      </w:r>
      <w:r>
        <w:t xml:space="preserve"> </w:t>
      </w:r>
      <w:r w:rsidR="00610BDE">
        <w:t>Tr. Vol. V at 1348.</w:t>
      </w:r>
    </w:p>
    <w:p w14:paraId="0F9A5284" w14:textId="77777777" w:rsidR="00610BDE" w:rsidRDefault="00610BDE">
      <w:pPr>
        <w:pStyle w:val="FootnoteText"/>
      </w:pPr>
    </w:p>
  </w:footnote>
  <w:footnote w:id="177">
    <w:p w14:paraId="2AC0E104" w14:textId="14877A4E" w:rsidR="004E4748" w:rsidRDefault="004E4748">
      <w:pPr>
        <w:pStyle w:val="FootnoteText"/>
      </w:pPr>
      <w:r w:rsidRPr="001858DD">
        <w:rPr>
          <w:rStyle w:val="FootnoteReference"/>
        </w:rPr>
        <w:footnoteRef/>
      </w:r>
      <w:r w:rsidRPr="001858DD">
        <w:t xml:space="preserve"> Tr. Vol. I at 69.</w:t>
      </w:r>
    </w:p>
    <w:p w14:paraId="2C6BCE8A" w14:textId="77777777" w:rsidR="001858DD" w:rsidRPr="001858DD" w:rsidRDefault="001858DD">
      <w:pPr>
        <w:pStyle w:val="FootnoteText"/>
      </w:pPr>
    </w:p>
  </w:footnote>
  <w:footnote w:id="178">
    <w:p w14:paraId="18BD85A0" w14:textId="77777777" w:rsidR="004E4748" w:rsidRDefault="004E4748">
      <w:pPr>
        <w:pStyle w:val="FootnoteText"/>
      </w:pPr>
      <w:r w:rsidRPr="001858DD">
        <w:rPr>
          <w:rStyle w:val="FootnoteReference"/>
        </w:rPr>
        <w:footnoteRef/>
      </w:r>
      <w:r w:rsidRPr="001858DD">
        <w:t xml:space="preserve"> Tr. Vol. V at 1360.</w:t>
      </w:r>
    </w:p>
    <w:p w14:paraId="433E76DB" w14:textId="77777777" w:rsidR="00AF058F" w:rsidRPr="001858DD" w:rsidRDefault="00AF058F">
      <w:pPr>
        <w:pStyle w:val="FootnoteText"/>
      </w:pPr>
    </w:p>
  </w:footnote>
  <w:footnote w:id="179">
    <w:p w14:paraId="60736DA4" w14:textId="6B7A4B92" w:rsidR="000925C4" w:rsidRDefault="000925C4">
      <w:pPr>
        <w:pStyle w:val="FootnoteText"/>
      </w:pPr>
      <w:r>
        <w:rPr>
          <w:rStyle w:val="FootnoteReference"/>
        </w:rPr>
        <w:footnoteRef/>
      </w:r>
      <w:r>
        <w:t xml:space="preserve"> IGS Ex. </w:t>
      </w:r>
      <w:r w:rsidR="00AF058F">
        <w:t>11 at 3.</w:t>
      </w:r>
    </w:p>
    <w:p w14:paraId="15387C09" w14:textId="77777777" w:rsidR="000D492E" w:rsidRDefault="000D492E">
      <w:pPr>
        <w:pStyle w:val="FootnoteText"/>
      </w:pPr>
    </w:p>
  </w:footnote>
  <w:footnote w:id="180">
    <w:p w14:paraId="459E5A62" w14:textId="712801B7" w:rsidR="00AF058F" w:rsidRDefault="00AF058F">
      <w:pPr>
        <w:pStyle w:val="FootnoteText"/>
      </w:pPr>
      <w:r>
        <w:rPr>
          <w:rStyle w:val="FootnoteReference"/>
        </w:rPr>
        <w:footnoteRef/>
      </w:r>
      <w:r>
        <w:t xml:space="preserve"> </w:t>
      </w:r>
      <w:r w:rsidR="000D492E">
        <w:t>Tr. Vol. IX at 2600.</w:t>
      </w:r>
    </w:p>
    <w:p w14:paraId="6906F8DE" w14:textId="77777777" w:rsidR="00694919" w:rsidRDefault="00694919">
      <w:pPr>
        <w:pStyle w:val="FootnoteText"/>
      </w:pPr>
    </w:p>
  </w:footnote>
  <w:footnote w:id="181">
    <w:p w14:paraId="68B1695F" w14:textId="430416FF" w:rsidR="000D492E" w:rsidRDefault="000D492E">
      <w:pPr>
        <w:pStyle w:val="FootnoteText"/>
      </w:pPr>
      <w:r>
        <w:rPr>
          <w:rStyle w:val="FootnoteReference"/>
        </w:rPr>
        <w:footnoteRef/>
      </w:r>
      <w:r>
        <w:t xml:space="preserve"> IGS Ex. 11 at 20; </w:t>
      </w:r>
      <w:r w:rsidR="00C623A7">
        <w:t>IGS Ex. 12</w:t>
      </w:r>
      <w:r w:rsidR="003931DE">
        <w:t xml:space="preserve"> at 3-4.</w:t>
      </w:r>
    </w:p>
    <w:p w14:paraId="7EF51D82" w14:textId="77777777" w:rsidR="000D492E" w:rsidRDefault="000D492E">
      <w:pPr>
        <w:pStyle w:val="FootnoteText"/>
      </w:pPr>
    </w:p>
  </w:footnote>
  <w:footnote w:id="182">
    <w:p w14:paraId="3D0191C3" w14:textId="11B814D7" w:rsidR="00E8530E" w:rsidRPr="001858DD" w:rsidRDefault="00E8530E">
      <w:pPr>
        <w:pStyle w:val="FootnoteText"/>
      </w:pPr>
      <w:r w:rsidRPr="001858DD">
        <w:rPr>
          <w:rStyle w:val="FootnoteReference"/>
        </w:rPr>
        <w:footnoteRef/>
      </w:r>
      <w:r w:rsidRPr="001858DD">
        <w:t xml:space="preserve"> Tr. Vol. VI at </w:t>
      </w:r>
      <w:r w:rsidR="0077679B" w:rsidRPr="001858DD">
        <w:t>1817.</w:t>
      </w:r>
    </w:p>
    <w:p w14:paraId="5E042B62" w14:textId="77777777" w:rsidR="00D37BD0" w:rsidRPr="001858DD" w:rsidRDefault="00D37BD0">
      <w:pPr>
        <w:pStyle w:val="FootnoteText"/>
      </w:pPr>
    </w:p>
  </w:footnote>
  <w:footnote w:id="183">
    <w:p w14:paraId="1F18B688" w14:textId="537392C4" w:rsidR="00F76906" w:rsidRDefault="00F76906">
      <w:pPr>
        <w:pStyle w:val="FootnoteText"/>
      </w:pPr>
      <w:r>
        <w:rPr>
          <w:rStyle w:val="FootnoteReference"/>
        </w:rPr>
        <w:footnoteRef/>
      </w:r>
      <w:r>
        <w:t xml:space="preserve"> Tr. Vol. II at 305-06; IGS Ex. 11 at 15.</w:t>
      </w:r>
    </w:p>
    <w:p w14:paraId="0600BC0D" w14:textId="77777777" w:rsidR="00F76906" w:rsidRDefault="00F76906">
      <w:pPr>
        <w:pStyle w:val="FootnoteText"/>
      </w:pPr>
    </w:p>
  </w:footnote>
  <w:footnote w:id="184">
    <w:p w14:paraId="4E84BBDC" w14:textId="075DC000" w:rsidR="004E4748" w:rsidRPr="001858DD" w:rsidRDefault="004E4748">
      <w:pPr>
        <w:pStyle w:val="FootnoteText"/>
      </w:pPr>
      <w:r w:rsidRPr="001858DD">
        <w:rPr>
          <w:rStyle w:val="FootnoteReference"/>
        </w:rPr>
        <w:footnoteRef/>
      </w:r>
      <w:r w:rsidRPr="001858DD">
        <w:t xml:space="preserve"> IGS Ex. 11 at 15.</w:t>
      </w:r>
    </w:p>
    <w:p w14:paraId="329B7A85" w14:textId="77777777" w:rsidR="00D37BD0" w:rsidRPr="001858DD" w:rsidRDefault="00D37BD0">
      <w:pPr>
        <w:pStyle w:val="FootnoteText"/>
      </w:pPr>
    </w:p>
  </w:footnote>
  <w:footnote w:id="185">
    <w:p w14:paraId="0ECE944B" w14:textId="67F455A7" w:rsidR="004E4748" w:rsidRPr="001858DD" w:rsidRDefault="004E4748">
      <w:pPr>
        <w:pStyle w:val="FootnoteText"/>
      </w:pPr>
      <w:r w:rsidRPr="001858DD">
        <w:rPr>
          <w:rStyle w:val="FootnoteReference"/>
        </w:rPr>
        <w:footnoteRef/>
      </w:r>
      <w:r w:rsidRPr="001858DD">
        <w:t xml:space="preserve"> </w:t>
      </w:r>
      <w:r w:rsidRPr="001858DD">
        <w:rPr>
          <w:i/>
        </w:rPr>
        <w:t xml:space="preserve">Id. </w:t>
      </w:r>
      <w:r w:rsidRPr="001858DD">
        <w:t>at 15.</w:t>
      </w:r>
    </w:p>
    <w:p w14:paraId="2386D9C9" w14:textId="77777777" w:rsidR="00D37BD0" w:rsidRPr="001858DD" w:rsidRDefault="00D37BD0">
      <w:pPr>
        <w:pStyle w:val="FootnoteText"/>
      </w:pPr>
    </w:p>
  </w:footnote>
  <w:footnote w:id="186">
    <w:p w14:paraId="68CE9876" w14:textId="07AD5EA9" w:rsidR="00E803D0" w:rsidRDefault="00E803D0">
      <w:pPr>
        <w:pStyle w:val="FootnoteText"/>
        <w:rPr>
          <w:i/>
        </w:rPr>
      </w:pPr>
      <w:r>
        <w:rPr>
          <w:rStyle w:val="FootnoteReference"/>
        </w:rPr>
        <w:footnoteRef/>
      </w:r>
      <w:r>
        <w:t xml:space="preserve"> </w:t>
      </w:r>
      <w:r>
        <w:rPr>
          <w:i/>
        </w:rPr>
        <w:t xml:space="preserve">Id. </w:t>
      </w:r>
    </w:p>
    <w:p w14:paraId="44BD74CE" w14:textId="77777777" w:rsidR="00E803D0" w:rsidRPr="00E803D0" w:rsidRDefault="00E803D0">
      <w:pPr>
        <w:pStyle w:val="FootnoteText"/>
        <w:rPr>
          <w:i/>
        </w:rPr>
      </w:pPr>
    </w:p>
  </w:footnote>
  <w:footnote w:id="187">
    <w:p w14:paraId="54E0BF7C" w14:textId="2B2C9246" w:rsidR="004E4748" w:rsidRDefault="004E4748">
      <w:pPr>
        <w:pStyle w:val="FootnoteText"/>
      </w:pPr>
      <w:r w:rsidRPr="001858DD">
        <w:rPr>
          <w:rStyle w:val="FootnoteReference"/>
        </w:rPr>
        <w:footnoteRef/>
      </w:r>
      <w:r w:rsidRPr="001858DD">
        <w:t xml:space="preserve"> Tr. Vol. </w:t>
      </w:r>
      <w:r w:rsidR="00D37BD0" w:rsidRPr="001858DD">
        <w:t>VII</w:t>
      </w:r>
      <w:r w:rsidRPr="001858DD">
        <w:t xml:space="preserve"> at </w:t>
      </w:r>
      <w:r w:rsidR="00314CF3" w:rsidRPr="001858DD">
        <w:t>1982-84.</w:t>
      </w:r>
    </w:p>
    <w:p w14:paraId="7D9D6F60" w14:textId="77777777" w:rsidR="00292715" w:rsidRPr="001858DD" w:rsidRDefault="00292715">
      <w:pPr>
        <w:pStyle w:val="FootnoteText"/>
      </w:pPr>
    </w:p>
  </w:footnote>
  <w:footnote w:id="188">
    <w:p w14:paraId="0B3992F6" w14:textId="5AA2AB87" w:rsidR="004E4748" w:rsidRDefault="004E4748">
      <w:pPr>
        <w:pStyle w:val="FootnoteText"/>
      </w:pPr>
      <w:r w:rsidRPr="001858DD">
        <w:rPr>
          <w:rStyle w:val="FootnoteReference"/>
        </w:rPr>
        <w:footnoteRef/>
      </w:r>
      <w:r w:rsidRPr="001858DD">
        <w:t xml:space="preserve"> IGS Ex. 11 at 16. </w:t>
      </w:r>
    </w:p>
    <w:p w14:paraId="2D9B4A83" w14:textId="77777777" w:rsidR="001858DD" w:rsidRPr="001858DD" w:rsidRDefault="001858DD">
      <w:pPr>
        <w:pStyle w:val="FootnoteText"/>
      </w:pPr>
    </w:p>
  </w:footnote>
  <w:footnote w:id="189">
    <w:p w14:paraId="1E9A37D6" w14:textId="39865B2F" w:rsidR="004E4748" w:rsidRDefault="004E4748">
      <w:pPr>
        <w:pStyle w:val="FootnoteText"/>
        <w:rPr>
          <w:i/>
        </w:rPr>
      </w:pPr>
      <w:r w:rsidRPr="001858DD">
        <w:rPr>
          <w:rStyle w:val="FootnoteReference"/>
        </w:rPr>
        <w:footnoteRef/>
      </w:r>
      <w:r w:rsidRPr="001858DD">
        <w:t xml:space="preserve"> </w:t>
      </w:r>
      <w:r w:rsidRPr="001858DD">
        <w:rPr>
          <w:i/>
        </w:rPr>
        <w:t xml:space="preserve">Id. </w:t>
      </w:r>
    </w:p>
    <w:p w14:paraId="7264DA83" w14:textId="77777777" w:rsidR="001858DD" w:rsidRPr="001858DD" w:rsidRDefault="001858DD">
      <w:pPr>
        <w:pStyle w:val="FootnoteText"/>
        <w:rPr>
          <w:i/>
        </w:rPr>
      </w:pPr>
    </w:p>
  </w:footnote>
  <w:footnote w:id="190">
    <w:p w14:paraId="026C26C2" w14:textId="221FB586" w:rsidR="004E4748" w:rsidRDefault="004E4748">
      <w:pPr>
        <w:pStyle w:val="FootnoteText"/>
        <w:rPr>
          <w:i/>
        </w:rPr>
      </w:pPr>
      <w:r w:rsidRPr="001858DD">
        <w:rPr>
          <w:rStyle w:val="FootnoteReference"/>
        </w:rPr>
        <w:footnoteRef/>
      </w:r>
      <w:r w:rsidRPr="001858DD">
        <w:t xml:space="preserve"> </w:t>
      </w:r>
      <w:r w:rsidRPr="001858DD">
        <w:rPr>
          <w:i/>
        </w:rPr>
        <w:t xml:space="preserve">Id. </w:t>
      </w:r>
    </w:p>
    <w:p w14:paraId="358398BE" w14:textId="77777777" w:rsidR="001858DD" w:rsidRPr="001858DD" w:rsidRDefault="001858DD">
      <w:pPr>
        <w:pStyle w:val="FootnoteText"/>
        <w:rPr>
          <w:i/>
        </w:rPr>
      </w:pPr>
    </w:p>
  </w:footnote>
  <w:footnote w:id="191">
    <w:p w14:paraId="50076142" w14:textId="4114917B" w:rsidR="004E4748" w:rsidRPr="001858DD" w:rsidRDefault="004E4748">
      <w:pPr>
        <w:pStyle w:val="FootnoteText"/>
      </w:pPr>
      <w:r w:rsidRPr="001858DD">
        <w:rPr>
          <w:rStyle w:val="FootnoteReference"/>
        </w:rPr>
        <w:footnoteRef/>
      </w:r>
      <w:r w:rsidRPr="001858DD">
        <w:t xml:space="preserve"> IGS Ex. </w:t>
      </w:r>
      <w:r w:rsidR="00E64805">
        <w:t xml:space="preserve">9 </w:t>
      </w:r>
      <w:r w:rsidR="00F8767F">
        <w:t>a</w:t>
      </w:r>
      <w:r w:rsidRPr="001858DD">
        <w:t xml:space="preserve">t 6.  </w:t>
      </w:r>
      <w:r w:rsidRPr="001858DD">
        <w:rPr>
          <w:i/>
        </w:rPr>
        <w:t xml:space="preserve">See also id. </w:t>
      </w:r>
      <w:r w:rsidRPr="001858DD">
        <w:t>at 7-11.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1F65"/>
    <w:multiLevelType w:val="hybridMultilevel"/>
    <w:tmpl w:val="42426F42"/>
    <w:lvl w:ilvl="0" w:tplc="19B21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5010"/>
    <w:multiLevelType w:val="hybridMultilevel"/>
    <w:tmpl w:val="DA1C14D0"/>
    <w:lvl w:ilvl="0" w:tplc="B3EE470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9601D"/>
    <w:multiLevelType w:val="hybridMultilevel"/>
    <w:tmpl w:val="F04E7752"/>
    <w:lvl w:ilvl="0" w:tplc="894247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E04E5"/>
    <w:multiLevelType w:val="hybridMultilevel"/>
    <w:tmpl w:val="776835E4"/>
    <w:lvl w:ilvl="0" w:tplc="5EC6247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87B37B7"/>
    <w:multiLevelType w:val="hybridMultilevel"/>
    <w:tmpl w:val="660A2E74"/>
    <w:lvl w:ilvl="0" w:tplc="CC486C04">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261E25"/>
    <w:multiLevelType w:val="hybridMultilevel"/>
    <w:tmpl w:val="4764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635F5"/>
    <w:multiLevelType w:val="hybridMultilevel"/>
    <w:tmpl w:val="742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520B0"/>
    <w:multiLevelType w:val="hybridMultilevel"/>
    <w:tmpl w:val="E2D0CC54"/>
    <w:lvl w:ilvl="0" w:tplc="5F28E640">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466F97"/>
    <w:multiLevelType w:val="hybridMultilevel"/>
    <w:tmpl w:val="323EE418"/>
    <w:lvl w:ilvl="0" w:tplc="E1BA46D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6206F2E"/>
    <w:multiLevelType w:val="hybridMultilevel"/>
    <w:tmpl w:val="F6B87CCA"/>
    <w:lvl w:ilvl="0" w:tplc="250224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42D66C8"/>
    <w:multiLevelType w:val="hybridMultilevel"/>
    <w:tmpl w:val="2BBE681E"/>
    <w:lvl w:ilvl="0" w:tplc="0C14B88A">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4A3F90"/>
    <w:multiLevelType w:val="hybridMultilevel"/>
    <w:tmpl w:val="5B16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D46E23"/>
    <w:multiLevelType w:val="hybridMultilevel"/>
    <w:tmpl w:val="043262AA"/>
    <w:lvl w:ilvl="0" w:tplc="99A278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A32968"/>
    <w:multiLevelType w:val="hybridMultilevel"/>
    <w:tmpl w:val="1E6A3CC2"/>
    <w:lvl w:ilvl="0" w:tplc="9F5E6FA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3F42E8"/>
    <w:multiLevelType w:val="hybridMultilevel"/>
    <w:tmpl w:val="536A986C"/>
    <w:lvl w:ilvl="0" w:tplc="A4A62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FD0524"/>
    <w:multiLevelType w:val="hybridMultilevel"/>
    <w:tmpl w:val="FFA28886"/>
    <w:lvl w:ilvl="0" w:tplc="C302AD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2"/>
  </w:num>
  <w:num w:numId="3">
    <w:abstractNumId w:val="7"/>
  </w:num>
  <w:num w:numId="4">
    <w:abstractNumId w:val="9"/>
  </w:num>
  <w:num w:numId="5">
    <w:abstractNumId w:val="15"/>
  </w:num>
  <w:num w:numId="6">
    <w:abstractNumId w:val="13"/>
  </w:num>
  <w:num w:numId="7">
    <w:abstractNumId w:val="10"/>
  </w:num>
  <w:num w:numId="8">
    <w:abstractNumId w:val="14"/>
  </w:num>
  <w:num w:numId="9">
    <w:abstractNumId w:val="1"/>
  </w:num>
  <w:num w:numId="10">
    <w:abstractNumId w:val="8"/>
  </w:num>
  <w:num w:numId="11">
    <w:abstractNumId w:val="4"/>
  </w:num>
  <w:num w:numId="12">
    <w:abstractNumId w:val="3"/>
  </w:num>
  <w:num w:numId="13">
    <w:abstractNumId w:val="5"/>
  </w:num>
  <w:num w:numId="14">
    <w:abstractNumId w:val="6"/>
  </w:num>
  <w:num w:numId="15">
    <w:abstractNumId w:val="2"/>
  </w:num>
  <w:num w:numId="16">
    <w:abstractNumId w:val="11"/>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32"/>
    <w:rsid w:val="00000F4A"/>
    <w:rsid w:val="0000356C"/>
    <w:rsid w:val="00003666"/>
    <w:rsid w:val="00003BA7"/>
    <w:rsid w:val="000043B2"/>
    <w:rsid w:val="000067C2"/>
    <w:rsid w:val="00007D2C"/>
    <w:rsid w:val="00010112"/>
    <w:rsid w:val="00010CCD"/>
    <w:rsid w:val="00011535"/>
    <w:rsid w:val="0001187B"/>
    <w:rsid w:val="0001416E"/>
    <w:rsid w:val="00014D29"/>
    <w:rsid w:val="00014DEE"/>
    <w:rsid w:val="000156B6"/>
    <w:rsid w:val="000168CC"/>
    <w:rsid w:val="00016E21"/>
    <w:rsid w:val="00016E46"/>
    <w:rsid w:val="00020D5A"/>
    <w:rsid w:val="000228BC"/>
    <w:rsid w:val="00023BB8"/>
    <w:rsid w:val="00023F2B"/>
    <w:rsid w:val="000259C5"/>
    <w:rsid w:val="000260C1"/>
    <w:rsid w:val="00026563"/>
    <w:rsid w:val="00030C29"/>
    <w:rsid w:val="00031815"/>
    <w:rsid w:val="00032409"/>
    <w:rsid w:val="00033CFB"/>
    <w:rsid w:val="000360F0"/>
    <w:rsid w:val="00036D6D"/>
    <w:rsid w:val="000370FF"/>
    <w:rsid w:val="000403DF"/>
    <w:rsid w:val="00040820"/>
    <w:rsid w:val="00042735"/>
    <w:rsid w:val="00042C46"/>
    <w:rsid w:val="00042C51"/>
    <w:rsid w:val="00043EF2"/>
    <w:rsid w:val="00046848"/>
    <w:rsid w:val="00046E33"/>
    <w:rsid w:val="00046F3D"/>
    <w:rsid w:val="000536DD"/>
    <w:rsid w:val="0005415A"/>
    <w:rsid w:val="0005524F"/>
    <w:rsid w:val="00055553"/>
    <w:rsid w:val="00055A7E"/>
    <w:rsid w:val="000568BF"/>
    <w:rsid w:val="00057C24"/>
    <w:rsid w:val="00062A3E"/>
    <w:rsid w:val="00063128"/>
    <w:rsid w:val="0006416B"/>
    <w:rsid w:val="000645BD"/>
    <w:rsid w:val="000650E8"/>
    <w:rsid w:val="0006554E"/>
    <w:rsid w:val="00066A59"/>
    <w:rsid w:val="00066EF1"/>
    <w:rsid w:val="000675F0"/>
    <w:rsid w:val="00070870"/>
    <w:rsid w:val="000735BF"/>
    <w:rsid w:val="00074278"/>
    <w:rsid w:val="0008103B"/>
    <w:rsid w:val="00081A64"/>
    <w:rsid w:val="000820F7"/>
    <w:rsid w:val="000823E4"/>
    <w:rsid w:val="00083EBF"/>
    <w:rsid w:val="00085E2B"/>
    <w:rsid w:val="00091A22"/>
    <w:rsid w:val="000924CC"/>
    <w:rsid w:val="000925C4"/>
    <w:rsid w:val="000935F3"/>
    <w:rsid w:val="00094F52"/>
    <w:rsid w:val="000952CE"/>
    <w:rsid w:val="00096AE7"/>
    <w:rsid w:val="000973CA"/>
    <w:rsid w:val="000975A0"/>
    <w:rsid w:val="000A2980"/>
    <w:rsid w:val="000A2CB2"/>
    <w:rsid w:val="000A48EA"/>
    <w:rsid w:val="000A49EF"/>
    <w:rsid w:val="000A6855"/>
    <w:rsid w:val="000A7179"/>
    <w:rsid w:val="000B09CC"/>
    <w:rsid w:val="000B1085"/>
    <w:rsid w:val="000B2311"/>
    <w:rsid w:val="000B3317"/>
    <w:rsid w:val="000B4EB8"/>
    <w:rsid w:val="000B5218"/>
    <w:rsid w:val="000B6664"/>
    <w:rsid w:val="000C70A7"/>
    <w:rsid w:val="000D0C72"/>
    <w:rsid w:val="000D2F8F"/>
    <w:rsid w:val="000D492E"/>
    <w:rsid w:val="000D4952"/>
    <w:rsid w:val="000D58EE"/>
    <w:rsid w:val="000E149D"/>
    <w:rsid w:val="000E1896"/>
    <w:rsid w:val="000E2195"/>
    <w:rsid w:val="000E3C50"/>
    <w:rsid w:val="000E3C95"/>
    <w:rsid w:val="000E3DC4"/>
    <w:rsid w:val="000E45FC"/>
    <w:rsid w:val="000E5876"/>
    <w:rsid w:val="000E619B"/>
    <w:rsid w:val="000E77AD"/>
    <w:rsid w:val="000F1417"/>
    <w:rsid w:val="000F3906"/>
    <w:rsid w:val="000F3EEE"/>
    <w:rsid w:val="000F71BA"/>
    <w:rsid w:val="00100D0D"/>
    <w:rsid w:val="00101B3E"/>
    <w:rsid w:val="00101C00"/>
    <w:rsid w:val="00101D14"/>
    <w:rsid w:val="001035AF"/>
    <w:rsid w:val="001052B7"/>
    <w:rsid w:val="00105437"/>
    <w:rsid w:val="001062F5"/>
    <w:rsid w:val="00114B47"/>
    <w:rsid w:val="0011575F"/>
    <w:rsid w:val="00117244"/>
    <w:rsid w:val="00117F6F"/>
    <w:rsid w:val="00124F00"/>
    <w:rsid w:val="00132F79"/>
    <w:rsid w:val="00133073"/>
    <w:rsid w:val="00135466"/>
    <w:rsid w:val="0013550C"/>
    <w:rsid w:val="00135D8F"/>
    <w:rsid w:val="00137D25"/>
    <w:rsid w:val="00141C1A"/>
    <w:rsid w:val="0014213F"/>
    <w:rsid w:val="00143505"/>
    <w:rsid w:val="001436FC"/>
    <w:rsid w:val="0014506A"/>
    <w:rsid w:val="00146050"/>
    <w:rsid w:val="00146568"/>
    <w:rsid w:val="00146A0E"/>
    <w:rsid w:val="00154236"/>
    <w:rsid w:val="00154341"/>
    <w:rsid w:val="00154364"/>
    <w:rsid w:val="0015497F"/>
    <w:rsid w:val="00156A5E"/>
    <w:rsid w:val="00156CA1"/>
    <w:rsid w:val="00161E44"/>
    <w:rsid w:val="00163515"/>
    <w:rsid w:val="001635AF"/>
    <w:rsid w:val="001658C2"/>
    <w:rsid w:val="001659A9"/>
    <w:rsid w:val="00166244"/>
    <w:rsid w:val="001667C5"/>
    <w:rsid w:val="00167A7B"/>
    <w:rsid w:val="00170BF8"/>
    <w:rsid w:val="00171B60"/>
    <w:rsid w:val="001721DA"/>
    <w:rsid w:val="00172512"/>
    <w:rsid w:val="0017383D"/>
    <w:rsid w:val="001750CE"/>
    <w:rsid w:val="00176A77"/>
    <w:rsid w:val="001809A3"/>
    <w:rsid w:val="001836C3"/>
    <w:rsid w:val="00184486"/>
    <w:rsid w:val="0018529F"/>
    <w:rsid w:val="001858DD"/>
    <w:rsid w:val="00186AED"/>
    <w:rsid w:val="0018760A"/>
    <w:rsid w:val="0019002A"/>
    <w:rsid w:val="00191820"/>
    <w:rsid w:val="00192C5C"/>
    <w:rsid w:val="00192C78"/>
    <w:rsid w:val="00193AB0"/>
    <w:rsid w:val="00193CF8"/>
    <w:rsid w:val="00195B78"/>
    <w:rsid w:val="001967EF"/>
    <w:rsid w:val="00196B4A"/>
    <w:rsid w:val="00196E3A"/>
    <w:rsid w:val="00197CFF"/>
    <w:rsid w:val="001A1EE2"/>
    <w:rsid w:val="001A439E"/>
    <w:rsid w:val="001A5127"/>
    <w:rsid w:val="001B03FA"/>
    <w:rsid w:val="001B107C"/>
    <w:rsid w:val="001B25AE"/>
    <w:rsid w:val="001B38CA"/>
    <w:rsid w:val="001B3CFD"/>
    <w:rsid w:val="001B3DE2"/>
    <w:rsid w:val="001B5251"/>
    <w:rsid w:val="001B70BB"/>
    <w:rsid w:val="001C0E06"/>
    <w:rsid w:val="001C1A2C"/>
    <w:rsid w:val="001C3062"/>
    <w:rsid w:val="001C4184"/>
    <w:rsid w:val="001C4BF0"/>
    <w:rsid w:val="001C7E9E"/>
    <w:rsid w:val="001C7FDF"/>
    <w:rsid w:val="001D1C6C"/>
    <w:rsid w:val="001D2F6E"/>
    <w:rsid w:val="001D3C6A"/>
    <w:rsid w:val="001D5836"/>
    <w:rsid w:val="001D66E5"/>
    <w:rsid w:val="001D731E"/>
    <w:rsid w:val="001E1681"/>
    <w:rsid w:val="001E1B77"/>
    <w:rsid w:val="001E239D"/>
    <w:rsid w:val="001E445A"/>
    <w:rsid w:val="001E5596"/>
    <w:rsid w:val="001E612A"/>
    <w:rsid w:val="001F0E4B"/>
    <w:rsid w:val="001F2203"/>
    <w:rsid w:val="001F3451"/>
    <w:rsid w:val="001F3DF6"/>
    <w:rsid w:val="001F53A4"/>
    <w:rsid w:val="001F7A9A"/>
    <w:rsid w:val="0020112B"/>
    <w:rsid w:val="00202288"/>
    <w:rsid w:val="0020266B"/>
    <w:rsid w:val="002077E2"/>
    <w:rsid w:val="00210FFA"/>
    <w:rsid w:val="00212C5E"/>
    <w:rsid w:val="002146B3"/>
    <w:rsid w:val="00214B03"/>
    <w:rsid w:val="00214BA4"/>
    <w:rsid w:val="0021769F"/>
    <w:rsid w:val="0022034B"/>
    <w:rsid w:val="00220A1E"/>
    <w:rsid w:val="002210DB"/>
    <w:rsid w:val="0022196B"/>
    <w:rsid w:val="002223E9"/>
    <w:rsid w:val="0022262A"/>
    <w:rsid w:val="00222893"/>
    <w:rsid w:val="00222DE9"/>
    <w:rsid w:val="00226B81"/>
    <w:rsid w:val="00227B70"/>
    <w:rsid w:val="00227EE9"/>
    <w:rsid w:val="00232E15"/>
    <w:rsid w:val="00235DA6"/>
    <w:rsid w:val="0023671F"/>
    <w:rsid w:val="00236EC0"/>
    <w:rsid w:val="0024117D"/>
    <w:rsid w:val="002415A5"/>
    <w:rsid w:val="0024165F"/>
    <w:rsid w:val="00243567"/>
    <w:rsid w:val="00245BE8"/>
    <w:rsid w:val="00245F77"/>
    <w:rsid w:val="002473CE"/>
    <w:rsid w:val="00247E9D"/>
    <w:rsid w:val="00250088"/>
    <w:rsid w:val="002502CD"/>
    <w:rsid w:val="0025098C"/>
    <w:rsid w:val="00250E25"/>
    <w:rsid w:val="00252816"/>
    <w:rsid w:val="00252D90"/>
    <w:rsid w:val="002550B8"/>
    <w:rsid w:val="00255F63"/>
    <w:rsid w:val="0025647C"/>
    <w:rsid w:val="00256922"/>
    <w:rsid w:val="00256D5A"/>
    <w:rsid w:val="00260BDA"/>
    <w:rsid w:val="002634DA"/>
    <w:rsid w:val="002668C1"/>
    <w:rsid w:val="00267E65"/>
    <w:rsid w:val="00270983"/>
    <w:rsid w:val="00270B7D"/>
    <w:rsid w:val="00271125"/>
    <w:rsid w:val="00271CA9"/>
    <w:rsid w:val="002726EB"/>
    <w:rsid w:val="00273570"/>
    <w:rsid w:val="00275A6F"/>
    <w:rsid w:val="0027765C"/>
    <w:rsid w:val="00277FDB"/>
    <w:rsid w:val="00283096"/>
    <w:rsid w:val="00284242"/>
    <w:rsid w:val="0028456E"/>
    <w:rsid w:val="0028555A"/>
    <w:rsid w:val="00286837"/>
    <w:rsid w:val="00287652"/>
    <w:rsid w:val="00287ABC"/>
    <w:rsid w:val="00291329"/>
    <w:rsid w:val="002921F3"/>
    <w:rsid w:val="00292715"/>
    <w:rsid w:val="002934F2"/>
    <w:rsid w:val="002940B7"/>
    <w:rsid w:val="0029467D"/>
    <w:rsid w:val="002946EF"/>
    <w:rsid w:val="00294F49"/>
    <w:rsid w:val="00297027"/>
    <w:rsid w:val="002975BD"/>
    <w:rsid w:val="00297FC4"/>
    <w:rsid w:val="002A0987"/>
    <w:rsid w:val="002A0ACE"/>
    <w:rsid w:val="002A13E2"/>
    <w:rsid w:val="002A274D"/>
    <w:rsid w:val="002A3901"/>
    <w:rsid w:val="002A52ED"/>
    <w:rsid w:val="002A6088"/>
    <w:rsid w:val="002A785B"/>
    <w:rsid w:val="002B14F5"/>
    <w:rsid w:val="002B1664"/>
    <w:rsid w:val="002B2875"/>
    <w:rsid w:val="002B7841"/>
    <w:rsid w:val="002C06B0"/>
    <w:rsid w:val="002C0AF2"/>
    <w:rsid w:val="002C2DD7"/>
    <w:rsid w:val="002C34AC"/>
    <w:rsid w:val="002C514E"/>
    <w:rsid w:val="002C6B4F"/>
    <w:rsid w:val="002C70AF"/>
    <w:rsid w:val="002D07FE"/>
    <w:rsid w:val="002D116C"/>
    <w:rsid w:val="002D1E5A"/>
    <w:rsid w:val="002D2733"/>
    <w:rsid w:val="002D3F9C"/>
    <w:rsid w:val="002D4A46"/>
    <w:rsid w:val="002D7649"/>
    <w:rsid w:val="002E0165"/>
    <w:rsid w:val="002E0361"/>
    <w:rsid w:val="002E1BE2"/>
    <w:rsid w:val="002E1BF9"/>
    <w:rsid w:val="002E46C2"/>
    <w:rsid w:val="002E49D6"/>
    <w:rsid w:val="002E6283"/>
    <w:rsid w:val="002E7DBF"/>
    <w:rsid w:val="002F08A1"/>
    <w:rsid w:val="002F0F9B"/>
    <w:rsid w:val="002F1F52"/>
    <w:rsid w:val="002F2060"/>
    <w:rsid w:val="002F4754"/>
    <w:rsid w:val="002F48EA"/>
    <w:rsid w:val="002F6F5A"/>
    <w:rsid w:val="002F6F8F"/>
    <w:rsid w:val="00300D4F"/>
    <w:rsid w:val="0030131F"/>
    <w:rsid w:val="003017D5"/>
    <w:rsid w:val="00301FFB"/>
    <w:rsid w:val="00302593"/>
    <w:rsid w:val="00303AB6"/>
    <w:rsid w:val="00305028"/>
    <w:rsid w:val="003053F0"/>
    <w:rsid w:val="0031210F"/>
    <w:rsid w:val="00312276"/>
    <w:rsid w:val="00313922"/>
    <w:rsid w:val="00314CF3"/>
    <w:rsid w:val="0031526C"/>
    <w:rsid w:val="00315964"/>
    <w:rsid w:val="00316608"/>
    <w:rsid w:val="0032008A"/>
    <w:rsid w:val="0032058C"/>
    <w:rsid w:val="003212AD"/>
    <w:rsid w:val="003239F8"/>
    <w:rsid w:val="00323C47"/>
    <w:rsid w:val="00324348"/>
    <w:rsid w:val="0033054A"/>
    <w:rsid w:val="00331791"/>
    <w:rsid w:val="00331EEC"/>
    <w:rsid w:val="003353F0"/>
    <w:rsid w:val="00335F0C"/>
    <w:rsid w:val="003360FA"/>
    <w:rsid w:val="00336E8B"/>
    <w:rsid w:val="003371C4"/>
    <w:rsid w:val="003376F6"/>
    <w:rsid w:val="00337AE7"/>
    <w:rsid w:val="003409D3"/>
    <w:rsid w:val="003414AE"/>
    <w:rsid w:val="00342C03"/>
    <w:rsid w:val="0034340B"/>
    <w:rsid w:val="0034467E"/>
    <w:rsid w:val="003451F7"/>
    <w:rsid w:val="00345506"/>
    <w:rsid w:val="00345E25"/>
    <w:rsid w:val="00350562"/>
    <w:rsid w:val="00350DDC"/>
    <w:rsid w:val="00354206"/>
    <w:rsid w:val="00355506"/>
    <w:rsid w:val="0035599C"/>
    <w:rsid w:val="00355A90"/>
    <w:rsid w:val="00361281"/>
    <w:rsid w:val="003621D8"/>
    <w:rsid w:val="003670ED"/>
    <w:rsid w:val="003678DE"/>
    <w:rsid w:val="00367C32"/>
    <w:rsid w:val="00371004"/>
    <w:rsid w:val="003710BE"/>
    <w:rsid w:val="0037178D"/>
    <w:rsid w:val="0037392E"/>
    <w:rsid w:val="00374271"/>
    <w:rsid w:val="00374B5B"/>
    <w:rsid w:val="00374C7A"/>
    <w:rsid w:val="00376620"/>
    <w:rsid w:val="00376ED6"/>
    <w:rsid w:val="0037703D"/>
    <w:rsid w:val="00377C8A"/>
    <w:rsid w:val="00386F88"/>
    <w:rsid w:val="00390DD7"/>
    <w:rsid w:val="00392106"/>
    <w:rsid w:val="003931DE"/>
    <w:rsid w:val="0039340D"/>
    <w:rsid w:val="00393DCE"/>
    <w:rsid w:val="0039404F"/>
    <w:rsid w:val="003947A9"/>
    <w:rsid w:val="003947BF"/>
    <w:rsid w:val="0039481B"/>
    <w:rsid w:val="00394CCB"/>
    <w:rsid w:val="00395B5E"/>
    <w:rsid w:val="003963CD"/>
    <w:rsid w:val="00396635"/>
    <w:rsid w:val="00396E24"/>
    <w:rsid w:val="003A0A92"/>
    <w:rsid w:val="003A183F"/>
    <w:rsid w:val="003A2F62"/>
    <w:rsid w:val="003A5230"/>
    <w:rsid w:val="003A689E"/>
    <w:rsid w:val="003A79E1"/>
    <w:rsid w:val="003B0416"/>
    <w:rsid w:val="003B5FDB"/>
    <w:rsid w:val="003B65D0"/>
    <w:rsid w:val="003B76A4"/>
    <w:rsid w:val="003C01F4"/>
    <w:rsid w:val="003C0E30"/>
    <w:rsid w:val="003C0FE1"/>
    <w:rsid w:val="003C1C1A"/>
    <w:rsid w:val="003C25CB"/>
    <w:rsid w:val="003C2D01"/>
    <w:rsid w:val="003C3C16"/>
    <w:rsid w:val="003C47E4"/>
    <w:rsid w:val="003C5D14"/>
    <w:rsid w:val="003C7D20"/>
    <w:rsid w:val="003C7F4C"/>
    <w:rsid w:val="003D120F"/>
    <w:rsid w:val="003D29F0"/>
    <w:rsid w:val="003D34B2"/>
    <w:rsid w:val="003D382F"/>
    <w:rsid w:val="003D4465"/>
    <w:rsid w:val="003D5406"/>
    <w:rsid w:val="003D55C1"/>
    <w:rsid w:val="003D6886"/>
    <w:rsid w:val="003E1528"/>
    <w:rsid w:val="003E25FA"/>
    <w:rsid w:val="003E5542"/>
    <w:rsid w:val="003E5691"/>
    <w:rsid w:val="003E5730"/>
    <w:rsid w:val="003E659B"/>
    <w:rsid w:val="003E71FE"/>
    <w:rsid w:val="003E78A5"/>
    <w:rsid w:val="003F01F2"/>
    <w:rsid w:val="003F055C"/>
    <w:rsid w:val="003F0CCE"/>
    <w:rsid w:val="003F15A1"/>
    <w:rsid w:val="003F194B"/>
    <w:rsid w:val="003F3FF9"/>
    <w:rsid w:val="003F40F7"/>
    <w:rsid w:val="003F5024"/>
    <w:rsid w:val="003F5712"/>
    <w:rsid w:val="003F5C54"/>
    <w:rsid w:val="003F760B"/>
    <w:rsid w:val="00401098"/>
    <w:rsid w:val="00401D74"/>
    <w:rsid w:val="0040488D"/>
    <w:rsid w:val="004049D0"/>
    <w:rsid w:val="00404D24"/>
    <w:rsid w:val="00406181"/>
    <w:rsid w:val="004067D5"/>
    <w:rsid w:val="00406B99"/>
    <w:rsid w:val="00407F8D"/>
    <w:rsid w:val="00412F51"/>
    <w:rsid w:val="00413DF0"/>
    <w:rsid w:val="0041416B"/>
    <w:rsid w:val="004152BB"/>
    <w:rsid w:val="0042037C"/>
    <w:rsid w:val="0042085A"/>
    <w:rsid w:val="004215A5"/>
    <w:rsid w:val="00421846"/>
    <w:rsid w:val="0042538F"/>
    <w:rsid w:val="00426506"/>
    <w:rsid w:val="00426ED3"/>
    <w:rsid w:val="00427C3E"/>
    <w:rsid w:val="004304FE"/>
    <w:rsid w:val="00431C40"/>
    <w:rsid w:val="00431F29"/>
    <w:rsid w:val="004342F8"/>
    <w:rsid w:val="004377A9"/>
    <w:rsid w:val="00444307"/>
    <w:rsid w:val="00444957"/>
    <w:rsid w:val="00444A37"/>
    <w:rsid w:val="0044564E"/>
    <w:rsid w:val="004461E1"/>
    <w:rsid w:val="004478FD"/>
    <w:rsid w:val="00447C95"/>
    <w:rsid w:val="00447DEC"/>
    <w:rsid w:val="00452238"/>
    <w:rsid w:val="00456955"/>
    <w:rsid w:val="00457636"/>
    <w:rsid w:val="00460392"/>
    <w:rsid w:val="00461F7C"/>
    <w:rsid w:val="00462BB0"/>
    <w:rsid w:val="00463378"/>
    <w:rsid w:val="004636CF"/>
    <w:rsid w:val="00465A39"/>
    <w:rsid w:val="00465D84"/>
    <w:rsid w:val="00466ADA"/>
    <w:rsid w:val="00466EB3"/>
    <w:rsid w:val="004670C6"/>
    <w:rsid w:val="004719E0"/>
    <w:rsid w:val="00471CD5"/>
    <w:rsid w:val="0047216A"/>
    <w:rsid w:val="00472269"/>
    <w:rsid w:val="00472530"/>
    <w:rsid w:val="004732CF"/>
    <w:rsid w:val="00473BD5"/>
    <w:rsid w:val="004756DD"/>
    <w:rsid w:val="00476E3A"/>
    <w:rsid w:val="00477F85"/>
    <w:rsid w:val="00482329"/>
    <w:rsid w:val="00483BAC"/>
    <w:rsid w:val="00484587"/>
    <w:rsid w:val="00484F9D"/>
    <w:rsid w:val="00485713"/>
    <w:rsid w:val="0049178B"/>
    <w:rsid w:val="004920BC"/>
    <w:rsid w:val="0049345F"/>
    <w:rsid w:val="00493607"/>
    <w:rsid w:val="00494259"/>
    <w:rsid w:val="0049435A"/>
    <w:rsid w:val="00495F6B"/>
    <w:rsid w:val="00496B04"/>
    <w:rsid w:val="004973DA"/>
    <w:rsid w:val="00497F39"/>
    <w:rsid w:val="004A25FC"/>
    <w:rsid w:val="004A27B9"/>
    <w:rsid w:val="004A2877"/>
    <w:rsid w:val="004A4CB5"/>
    <w:rsid w:val="004A52A8"/>
    <w:rsid w:val="004A5DAB"/>
    <w:rsid w:val="004A704E"/>
    <w:rsid w:val="004A7B96"/>
    <w:rsid w:val="004B0A68"/>
    <w:rsid w:val="004B27FF"/>
    <w:rsid w:val="004B4413"/>
    <w:rsid w:val="004B5046"/>
    <w:rsid w:val="004B557F"/>
    <w:rsid w:val="004B7243"/>
    <w:rsid w:val="004B7888"/>
    <w:rsid w:val="004C0424"/>
    <w:rsid w:val="004C11BE"/>
    <w:rsid w:val="004C21C3"/>
    <w:rsid w:val="004C2DD9"/>
    <w:rsid w:val="004C5AC7"/>
    <w:rsid w:val="004C5DE8"/>
    <w:rsid w:val="004D00FA"/>
    <w:rsid w:val="004D1954"/>
    <w:rsid w:val="004D2C1E"/>
    <w:rsid w:val="004D3DC7"/>
    <w:rsid w:val="004D3DF9"/>
    <w:rsid w:val="004D4119"/>
    <w:rsid w:val="004D5083"/>
    <w:rsid w:val="004D51FB"/>
    <w:rsid w:val="004D7715"/>
    <w:rsid w:val="004D7995"/>
    <w:rsid w:val="004E0F63"/>
    <w:rsid w:val="004E1BDD"/>
    <w:rsid w:val="004E2FF0"/>
    <w:rsid w:val="004E40FF"/>
    <w:rsid w:val="004E4748"/>
    <w:rsid w:val="004E592D"/>
    <w:rsid w:val="004E6003"/>
    <w:rsid w:val="004E62FB"/>
    <w:rsid w:val="004E66C9"/>
    <w:rsid w:val="004E6AF2"/>
    <w:rsid w:val="004E737B"/>
    <w:rsid w:val="004F0377"/>
    <w:rsid w:val="004F0F15"/>
    <w:rsid w:val="004F4D99"/>
    <w:rsid w:val="004F4E9A"/>
    <w:rsid w:val="004F72C7"/>
    <w:rsid w:val="00501551"/>
    <w:rsid w:val="00501B3E"/>
    <w:rsid w:val="00501CF9"/>
    <w:rsid w:val="00507653"/>
    <w:rsid w:val="005078F1"/>
    <w:rsid w:val="00507EE2"/>
    <w:rsid w:val="00510E6C"/>
    <w:rsid w:val="0051194D"/>
    <w:rsid w:val="0051219A"/>
    <w:rsid w:val="005137DF"/>
    <w:rsid w:val="00515533"/>
    <w:rsid w:val="00521CB0"/>
    <w:rsid w:val="00522FF7"/>
    <w:rsid w:val="005248A5"/>
    <w:rsid w:val="00525306"/>
    <w:rsid w:val="00526058"/>
    <w:rsid w:val="005264B0"/>
    <w:rsid w:val="00527AC7"/>
    <w:rsid w:val="00531047"/>
    <w:rsid w:val="005310DD"/>
    <w:rsid w:val="00532099"/>
    <w:rsid w:val="00532D86"/>
    <w:rsid w:val="005342A7"/>
    <w:rsid w:val="00534EB9"/>
    <w:rsid w:val="0053692E"/>
    <w:rsid w:val="005417BD"/>
    <w:rsid w:val="00542A30"/>
    <w:rsid w:val="0054349E"/>
    <w:rsid w:val="00544F5E"/>
    <w:rsid w:val="0054643B"/>
    <w:rsid w:val="005551DE"/>
    <w:rsid w:val="00555D34"/>
    <w:rsid w:val="00555FC6"/>
    <w:rsid w:val="00556655"/>
    <w:rsid w:val="00556E00"/>
    <w:rsid w:val="00556FF4"/>
    <w:rsid w:val="005626B3"/>
    <w:rsid w:val="00564029"/>
    <w:rsid w:val="00565F32"/>
    <w:rsid w:val="0056715D"/>
    <w:rsid w:val="00567675"/>
    <w:rsid w:val="00570720"/>
    <w:rsid w:val="00571B43"/>
    <w:rsid w:val="005722D8"/>
    <w:rsid w:val="00572B2F"/>
    <w:rsid w:val="00573A9D"/>
    <w:rsid w:val="00573F0A"/>
    <w:rsid w:val="0057560C"/>
    <w:rsid w:val="00576486"/>
    <w:rsid w:val="0057696E"/>
    <w:rsid w:val="00576D1F"/>
    <w:rsid w:val="00580E51"/>
    <w:rsid w:val="00584CFF"/>
    <w:rsid w:val="0058618E"/>
    <w:rsid w:val="00590C7E"/>
    <w:rsid w:val="00592FD3"/>
    <w:rsid w:val="00593E3B"/>
    <w:rsid w:val="00593E4E"/>
    <w:rsid w:val="00595DB0"/>
    <w:rsid w:val="00595E77"/>
    <w:rsid w:val="005964E2"/>
    <w:rsid w:val="0059655C"/>
    <w:rsid w:val="0059709A"/>
    <w:rsid w:val="00597701"/>
    <w:rsid w:val="005A034C"/>
    <w:rsid w:val="005A2127"/>
    <w:rsid w:val="005A2D5C"/>
    <w:rsid w:val="005A5A18"/>
    <w:rsid w:val="005A7940"/>
    <w:rsid w:val="005A7BC4"/>
    <w:rsid w:val="005B184F"/>
    <w:rsid w:val="005B1921"/>
    <w:rsid w:val="005B299C"/>
    <w:rsid w:val="005B2B14"/>
    <w:rsid w:val="005B3336"/>
    <w:rsid w:val="005B603D"/>
    <w:rsid w:val="005B7DA3"/>
    <w:rsid w:val="005C0C85"/>
    <w:rsid w:val="005C0DC2"/>
    <w:rsid w:val="005C1617"/>
    <w:rsid w:val="005C3BBA"/>
    <w:rsid w:val="005C4516"/>
    <w:rsid w:val="005C55C0"/>
    <w:rsid w:val="005C5BDA"/>
    <w:rsid w:val="005C5BE4"/>
    <w:rsid w:val="005C648E"/>
    <w:rsid w:val="005C6B2B"/>
    <w:rsid w:val="005C796A"/>
    <w:rsid w:val="005D04FF"/>
    <w:rsid w:val="005D09B5"/>
    <w:rsid w:val="005D0A1E"/>
    <w:rsid w:val="005D3719"/>
    <w:rsid w:val="005D387F"/>
    <w:rsid w:val="005D3BD1"/>
    <w:rsid w:val="005D58E1"/>
    <w:rsid w:val="005D6B27"/>
    <w:rsid w:val="005E0176"/>
    <w:rsid w:val="005E21D7"/>
    <w:rsid w:val="005E2EAD"/>
    <w:rsid w:val="005E3A22"/>
    <w:rsid w:val="005E3CF7"/>
    <w:rsid w:val="005E7473"/>
    <w:rsid w:val="005F07E5"/>
    <w:rsid w:val="005F2671"/>
    <w:rsid w:val="005F291A"/>
    <w:rsid w:val="005F2BCE"/>
    <w:rsid w:val="005F2EFC"/>
    <w:rsid w:val="005F47C9"/>
    <w:rsid w:val="005F4F31"/>
    <w:rsid w:val="005F6782"/>
    <w:rsid w:val="005F71F7"/>
    <w:rsid w:val="00600679"/>
    <w:rsid w:val="00600A66"/>
    <w:rsid w:val="00600EB8"/>
    <w:rsid w:val="006018CD"/>
    <w:rsid w:val="00604A1E"/>
    <w:rsid w:val="00605509"/>
    <w:rsid w:val="006059B9"/>
    <w:rsid w:val="00607016"/>
    <w:rsid w:val="00610BDE"/>
    <w:rsid w:val="00612585"/>
    <w:rsid w:val="0061421E"/>
    <w:rsid w:val="00614A81"/>
    <w:rsid w:val="00615327"/>
    <w:rsid w:val="00620CA8"/>
    <w:rsid w:val="00620E76"/>
    <w:rsid w:val="00621273"/>
    <w:rsid w:val="00621530"/>
    <w:rsid w:val="00621F2B"/>
    <w:rsid w:val="00624331"/>
    <w:rsid w:val="00627051"/>
    <w:rsid w:val="00627742"/>
    <w:rsid w:val="006304B2"/>
    <w:rsid w:val="00632CF9"/>
    <w:rsid w:val="006336B8"/>
    <w:rsid w:val="00633BDF"/>
    <w:rsid w:val="006348E4"/>
    <w:rsid w:val="00634FDB"/>
    <w:rsid w:val="00636580"/>
    <w:rsid w:val="0063754F"/>
    <w:rsid w:val="00637991"/>
    <w:rsid w:val="00637EFC"/>
    <w:rsid w:val="00642A6F"/>
    <w:rsid w:val="00644232"/>
    <w:rsid w:val="0064431D"/>
    <w:rsid w:val="006447A5"/>
    <w:rsid w:val="006461FB"/>
    <w:rsid w:val="0064753E"/>
    <w:rsid w:val="0064785A"/>
    <w:rsid w:val="006508A0"/>
    <w:rsid w:val="00650E2B"/>
    <w:rsid w:val="00651E8F"/>
    <w:rsid w:val="00651E93"/>
    <w:rsid w:val="00654244"/>
    <w:rsid w:val="00656AAA"/>
    <w:rsid w:val="00657391"/>
    <w:rsid w:val="006576E8"/>
    <w:rsid w:val="0066216C"/>
    <w:rsid w:val="00663ACF"/>
    <w:rsid w:val="0066472F"/>
    <w:rsid w:val="00664BE7"/>
    <w:rsid w:val="006662E0"/>
    <w:rsid w:val="006667FF"/>
    <w:rsid w:val="006708B2"/>
    <w:rsid w:val="006717E8"/>
    <w:rsid w:val="006721BE"/>
    <w:rsid w:val="0067320B"/>
    <w:rsid w:val="006732A8"/>
    <w:rsid w:val="00675942"/>
    <w:rsid w:val="0067665A"/>
    <w:rsid w:val="00677C91"/>
    <w:rsid w:val="006831DC"/>
    <w:rsid w:val="00684B0C"/>
    <w:rsid w:val="0068505C"/>
    <w:rsid w:val="0068612A"/>
    <w:rsid w:val="00686357"/>
    <w:rsid w:val="00687FE6"/>
    <w:rsid w:val="006902EA"/>
    <w:rsid w:val="00690537"/>
    <w:rsid w:val="00691C05"/>
    <w:rsid w:val="00693401"/>
    <w:rsid w:val="00694919"/>
    <w:rsid w:val="00695421"/>
    <w:rsid w:val="0069629F"/>
    <w:rsid w:val="0069646E"/>
    <w:rsid w:val="00697A30"/>
    <w:rsid w:val="006A015E"/>
    <w:rsid w:val="006A0562"/>
    <w:rsid w:val="006A0849"/>
    <w:rsid w:val="006A241E"/>
    <w:rsid w:val="006A4A41"/>
    <w:rsid w:val="006A6EDB"/>
    <w:rsid w:val="006A7644"/>
    <w:rsid w:val="006B0004"/>
    <w:rsid w:val="006B0192"/>
    <w:rsid w:val="006B12F6"/>
    <w:rsid w:val="006B1756"/>
    <w:rsid w:val="006B2B72"/>
    <w:rsid w:val="006B387C"/>
    <w:rsid w:val="006B3930"/>
    <w:rsid w:val="006B3F56"/>
    <w:rsid w:val="006B4306"/>
    <w:rsid w:val="006C0AB4"/>
    <w:rsid w:val="006C4412"/>
    <w:rsid w:val="006C45B6"/>
    <w:rsid w:val="006C5E7C"/>
    <w:rsid w:val="006C6E84"/>
    <w:rsid w:val="006C74C7"/>
    <w:rsid w:val="006D647C"/>
    <w:rsid w:val="006E0147"/>
    <w:rsid w:val="006E21A0"/>
    <w:rsid w:val="006E4493"/>
    <w:rsid w:val="006E5C23"/>
    <w:rsid w:val="006F2212"/>
    <w:rsid w:val="006F28A5"/>
    <w:rsid w:val="006F2D49"/>
    <w:rsid w:val="006F2D5F"/>
    <w:rsid w:val="006F3086"/>
    <w:rsid w:val="006F4A5E"/>
    <w:rsid w:val="006F54FC"/>
    <w:rsid w:val="006F7466"/>
    <w:rsid w:val="007017F2"/>
    <w:rsid w:val="007018EB"/>
    <w:rsid w:val="00701E23"/>
    <w:rsid w:val="0070286C"/>
    <w:rsid w:val="007036EC"/>
    <w:rsid w:val="00703A05"/>
    <w:rsid w:val="007052ED"/>
    <w:rsid w:val="007059FF"/>
    <w:rsid w:val="007075ED"/>
    <w:rsid w:val="00710931"/>
    <w:rsid w:val="0071325C"/>
    <w:rsid w:val="00713CF4"/>
    <w:rsid w:val="007141EB"/>
    <w:rsid w:val="00714364"/>
    <w:rsid w:val="007152D4"/>
    <w:rsid w:val="007153B7"/>
    <w:rsid w:val="00716088"/>
    <w:rsid w:val="00720500"/>
    <w:rsid w:val="00720A05"/>
    <w:rsid w:val="007236CE"/>
    <w:rsid w:val="00723DA0"/>
    <w:rsid w:val="00725691"/>
    <w:rsid w:val="00727846"/>
    <w:rsid w:val="0073203F"/>
    <w:rsid w:val="00732B89"/>
    <w:rsid w:val="00734F7E"/>
    <w:rsid w:val="00735C46"/>
    <w:rsid w:val="0073614D"/>
    <w:rsid w:val="00736F71"/>
    <w:rsid w:val="007377A3"/>
    <w:rsid w:val="00741854"/>
    <w:rsid w:val="007419F7"/>
    <w:rsid w:val="00742087"/>
    <w:rsid w:val="007420F7"/>
    <w:rsid w:val="00742979"/>
    <w:rsid w:val="0074399F"/>
    <w:rsid w:val="00743C36"/>
    <w:rsid w:val="00744C5A"/>
    <w:rsid w:val="0074704C"/>
    <w:rsid w:val="00753E34"/>
    <w:rsid w:val="00754E9A"/>
    <w:rsid w:val="00757FE3"/>
    <w:rsid w:val="00760E69"/>
    <w:rsid w:val="00762C72"/>
    <w:rsid w:val="007637C9"/>
    <w:rsid w:val="007677B8"/>
    <w:rsid w:val="00767C3D"/>
    <w:rsid w:val="0077103D"/>
    <w:rsid w:val="00774EA0"/>
    <w:rsid w:val="0077679B"/>
    <w:rsid w:val="007768F7"/>
    <w:rsid w:val="00777DFA"/>
    <w:rsid w:val="0078189C"/>
    <w:rsid w:val="007828BC"/>
    <w:rsid w:val="0078305E"/>
    <w:rsid w:val="00783E8C"/>
    <w:rsid w:val="00784AC6"/>
    <w:rsid w:val="00784C55"/>
    <w:rsid w:val="00785A23"/>
    <w:rsid w:val="007862F4"/>
    <w:rsid w:val="0078661A"/>
    <w:rsid w:val="00786C3C"/>
    <w:rsid w:val="00791150"/>
    <w:rsid w:val="007912FC"/>
    <w:rsid w:val="007919A4"/>
    <w:rsid w:val="00792395"/>
    <w:rsid w:val="0079296A"/>
    <w:rsid w:val="00792CDE"/>
    <w:rsid w:val="007931A9"/>
    <w:rsid w:val="00794F0A"/>
    <w:rsid w:val="00796627"/>
    <w:rsid w:val="00797E44"/>
    <w:rsid w:val="007A4FBA"/>
    <w:rsid w:val="007A78E5"/>
    <w:rsid w:val="007B04A7"/>
    <w:rsid w:val="007B3DC6"/>
    <w:rsid w:val="007B455F"/>
    <w:rsid w:val="007B4840"/>
    <w:rsid w:val="007B4DAF"/>
    <w:rsid w:val="007B5209"/>
    <w:rsid w:val="007B74E0"/>
    <w:rsid w:val="007C26C0"/>
    <w:rsid w:val="007C27C7"/>
    <w:rsid w:val="007C48A1"/>
    <w:rsid w:val="007C6395"/>
    <w:rsid w:val="007C642C"/>
    <w:rsid w:val="007C6D04"/>
    <w:rsid w:val="007D178D"/>
    <w:rsid w:val="007D1BED"/>
    <w:rsid w:val="007D2200"/>
    <w:rsid w:val="007D267D"/>
    <w:rsid w:val="007D4DC7"/>
    <w:rsid w:val="007D5084"/>
    <w:rsid w:val="007D58D2"/>
    <w:rsid w:val="007D65E5"/>
    <w:rsid w:val="007D78E0"/>
    <w:rsid w:val="007D7C37"/>
    <w:rsid w:val="007E036A"/>
    <w:rsid w:val="007E0DFF"/>
    <w:rsid w:val="007E2CAD"/>
    <w:rsid w:val="007E6240"/>
    <w:rsid w:val="007E652C"/>
    <w:rsid w:val="007E662A"/>
    <w:rsid w:val="007E678B"/>
    <w:rsid w:val="007F0390"/>
    <w:rsid w:val="007F0CC5"/>
    <w:rsid w:val="007F2CE2"/>
    <w:rsid w:val="007F3337"/>
    <w:rsid w:val="007F3703"/>
    <w:rsid w:val="007F41C8"/>
    <w:rsid w:val="007F4432"/>
    <w:rsid w:val="007F6BB6"/>
    <w:rsid w:val="007F72B7"/>
    <w:rsid w:val="007F778F"/>
    <w:rsid w:val="00800B70"/>
    <w:rsid w:val="008015CA"/>
    <w:rsid w:val="00803761"/>
    <w:rsid w:val="00810D1A"/>
    <w:rsid w:val="0081193E"/>
    <w:rsid w:val="00812EEA"/>
    <w:rsid w:val="00814CFC"/>
    <w:rsid w:val="00816625"/>
    <w:rsid w:val="0082004A"/>
    <w:rsid w:val="008233E2"/>
    <w:rsid w:val="008249BD"/>
    <w:rsid w:val="00825A6C"/>
    <w:rsid w:val="00826D2D"/>
    <w:rsid w:val="00827E87"/>
    <w:rsid w:val="008302BE"/>
    <w:rsid w:val="00833144"/>
    <w:rsid w:val="0083319A"/>
    <w:rsid w:val="00834098"/>
    <w:rsid w:val="00837532"/>
    <w:rsid w:val="008414D3"/>
    <w:rsid w:val="00843A4F"/>
    <w:rsid w:val="00844AC7"/>
    <w:rsid w:val="0084514D"/>
    <w:rsid w:val="0084642B"/>
    <w:rsid w:val="008467A3"/>
    <w:rsid w:val="0084684D"/>
    <w:rsid w:val="00847A13"/>
    <w:rsid w:val="008503DF"/>
    <w:rsid w:val="00854551"/>
    <w:rsid w:val="0085461C"/>
    <w:rsid w:val="00854DD3"/>
    <w:rsid w:val="008603DD"/>
    <w:rsid w:val="008608A8"/>
    <w:rsid w:val="008609FB"/>
    <w:rsid w:val="00861719"/>
    <w:rsid w:val="00863017"/>
    <w:rsid w:val="00863EBA"/>
    <w:rsid w:val="00864ED2"/>
    <w:rsid w:val="0087089E"/>
    <w:rsid w:val="00870F2D"/>
    <w:rsid w:val="00872EE8"/>
    <w:rsid w:val="00874144"/>
    <w:rsid w:val="00874F5A"/>
    <w:rsid w:val="00875A5A"/>
    <w:rsid w:val="0087659D"/>
    <w:rsid w:val="00876862"/>
    <w:rsid w:val="008769EE"/>
    <w:rsid w:val="008801D0"/>
    <w:rsid w:val="00880D3A"/>
    <w:rsid w:val="00881BF9"/>
    <w:rsid w:val="00882E48"/>
    <w:rsid w:val="00882F8B"/>
    <w:rsid w:val="0088557E"/>
    <w:rsid w:val="0088733D"/>
    <w:rsid w:val="00887C23"/>
    <w:rsid w:val="00887F38"/>
    <w:rsid w:val="00892855"/>
    <w:rsid w:val="00893768"/>
    <w:rsid w:val="00893AAE"/>
    <w:rsid w:val="00894965"/>
    <w:rsid w:val="00894D72"/>
    <w:rsid w:val="00895099"/>
    <w:rsid w:val="00896055"/>
    <w:rsid w:val="00896BDA"/>
    <w:rsid w:val="00897E7C"/>
    <w:rsid w:val="008A25EA"/>
    <w:rsid w:val="008A3001"/>
    <w:rsid w:val="008A4721"/>
    <w:rsid w:val="008A5D6E"/>
    <w:rsid w:val="008A5DC0"/>
    <w:rsid w:val="008B011E"/>
    <w:rsid w:val="008B2FA6"/>
    <w:rsid w:val="008B3ECE"/>
    <w:rsid w:val="008B6CDF"/>
    <w:rsid w:val="008B7506"/>
    <w:rsid w:val="008C1505"/>
    <w:rsid w:val="008C1CE9"/>
    <w:rsid w:val="008C1F63"/>
    <w:rsid w:val="008C6273"/>
    <w:rsid w:val="008D013B"/>
    <w:rsid w:val="008D20B2"/>
    <w:rsid w:val="008D243F"/>
    <w:rsid w:val="008D2679"/>
    <w:rsid w:val="008D390B"/>
    <w:rsid w:val="008D4A36"/>
    <w:rsid w:val="008D5CEA"/>
    <w:rsid w:val="008D5ED7"/>
    <w:rsid w:val="008D715E"/>
    <w:rsid w:val="008D7BFA"/>
    <w:rsid w:val="008D7D86"/>
    <w:rsid w:val="008E0148"/>
    <w:rsid w:val="008E35E3"/>
    <w:rsid w:val="008E37D2"/>
    <w:rsid w:val="008E4A56"/>
    <w:rsid w:val="008E5870"/>
    <w:rsid w:val="008E7187"/>
    <w:rsid w:val="008F0314"/>
    <w:rsid w:val="008F2DBC"/>
    <w:rsid w:val="008F42D0"/>
    <w:rsid w:val="008F6107"/>
    <w:rsid w:val="008F6CBE"/>
    <w:rsid w:val="008F74C9"/>
    <w:rsid w:val="008F75AA"/>
    <w:rsid w:val="00901E9C"/>
    <w:rsid w:val="009037F5"/>
    <w:rsid w:val="009041CF"/>
    <w:rsid w:val="009041DD"/>
    <w:rsid w:val="00905042"/>
    <w:rsid w:val="00906C9C"/>
    <w:rsid w:val="009072CB"/>
    <w:rsid w:val="009076DF"/>
    <w:rsid w:val="00907DB6"/>
    <w:rsid w:val="009112EA"/>
    <w:rsid w:val="00912533"/>
    <w:rsid w:val="00914237"/>
    <w:rsid w:val="009146D9"/>
    <w:rsid w:val="00914A00"/>
    <w:rsid w:val="00916543"/>
    <w:rsid w:val="00917422"/>
    <w:rsid w:val="00920491"/>
    <w:rsid w:val="009205CC"/>
    <w:rsid w:val="009215C6"/>
    <w:rsid w:val="0092182C"/>
    <w:rsid w:val="00922D2A"/>
    <w:rsid w:val="009238D9"/>
    <w:rsid w:val="0092458D"/>
    <w:rsid w:val="009247D5"/>
    <w:rsid w:val="00924FF2"/>
    <w:rsid w:val="0092581B"/>
    <w:rsid w:val="00925DE9"/>
    <w:rsid w:val="00926D47"/>
    <w:rsid w:val="009272FA"/>
    <w:rsid w:val="00930579"/>
    <w:rsid w:val="00930AAB"/>
    <w:rsid w:val="00930F71"/>
    <w:rsid w:val="0093182D"/>
    <w:rsid w:val="00931867"/>
    <w:rsid w:val="00931ECE"/>
    <w:rsid w:val="00931ED0"/>
    <w:rsid w:val="00932CC3"/>
    <w:rsid w:val="009350E2"/>
    <w:rsid w:val="009355FE"/>
    <w:rsid w:val="00935D2F"/>
    <w:rsid w:val="0093642E"/>
    <w:rsid w:val="0093698D"/>
    <w:rsid w:val="009374D7"/>
    <w:rsid w:val="00937668"/>
    <w:rsid w:val="00937A29"/>
    <w:rsid w:val="00940A30"/>
    <w:rsid w:val="009413D0"/>
    <w:rsid w:val="0094379E"/>
    <w:rsid w:val="00943909"/>
    <w:rsid w:val="00943F9D"/>
    <w:rsid w:val="00944529"/>
    <w:rsid w:val="00944947"/>
    <w:rsid w:val="0094719D"/>
    <w:rsid w:val="00947644"/>
    <w:rsid w:val="0094784E"/>
    <w:rsid w:val="0095009D"/>
    <w:rsid w:val="00950834"/>
    <w:rsid w:val="00952284"/>
    <w:rsid w:val="009544A0"/>
    <w:rsid w:val="00954747"/>
    <w:rsid w:val="009567A6"/>
    <w:rsid w:val="00956896"/>
    <w:rsid w:val="00956BA2"/>
    <w:rsid w:val="009573D4"/>
    <w:rsid w:val="00957F0F"/>
    <w:rsid w:val="0096067C"/>
    <w:rsid w:val="00962251"/>
    <w:rsid w:val="00964929"/>
    <w:rsid w:val="009671DB"/>
    <w:rsid w:val="00967FB9"/>
    <w:rsid w:val="0097007D"/>
    <w:rsid w:val="00971DF4"/>
    <w:rsid w:val="00974635"/>
    <w:rsid w:val="0097508A"/>
    <w:rsid w:val="00975CC3"/>
    <w:rsid w:val="009802DD"/>
    <w:rsid w:val="009803CD"/>
    <w:rsid w:val="00980FE1"/>
    <w:rsid w:val="00981310"/>
    <w:rsid w:val="00985589"/>
    <w:rsid w:val="00986540"/>
    <w:rsid w:val="009907B9"/>
    <w:rsid w:val="00990E92"/>
    <w:rsid w:val="0099287E"/>
    <w:rsid w:val="00992B97"/>
    <w:rsid w:val="009978A5"/>
    <w:rsid w:val="00997A5D"/>
    <w:rsid w:val="009A1450"/>
    <w:rsid w:val="009A173A"/>
    <w:rsid w:val="009A499F"/>
    <w:rsid w:val="009A57AA"/>
    <w:rsid w:val="009A6F72"/>
    <w:rsid w:val="009A72B3"/>
    <w:rsid w:val="009B25C5"/>
    <w:rsid w:val="009B393A"/>
    <w:rsid w:val="009B5052"/>
    <w:rsid w:val="009B6E8D"/>
    <w:rsid w:val="009B6FF6"/>
    <w:rsid w:val="009C05A2"/>
    <w:rsid w:val="009C2358"/>
    <w:rsid w:val="009C3774"/>
    <w:rsid w:val="009C43AA"/>
    <w:rsid w:val="009C5C35"/>
    <w:rsid w:val="009C6814"/>
    <w:rsid w:val="009C750B"/>
    <w:rsid w:val="009D178C"/>
    <w:rsid w:val="009D1D79"/>
    <w:rsid w:val="009D214A"/>
    <w:rsid w:val="009D2275"/>
    <w:rsid w:val="009D380E"/>
    <w:rsid w:val="009D3BB4"/>
    <w:rsid w:val="009D44DF"/>
    <w:rsid w:val="009D5498"/>
    <w:rsid w:val="009D5BAE"/>
    <w:rsid w:val="009D5C02"/>
    <w:rsid w:val="009D6165"/>
    <w:rsid w:val="009D6E11"/>
    <w:rsid w:val="009E0219"/>
    <w:rsid w:val="009E06B3"/>
    <w:rsid w:val="009E2052"/>
    <w:rsid w:val="009E2292"/>
    <w:rsid w:val="009E397F"/>
    <w:rsid w:val="009E3FB2"/>
    <w:rsid w:val="009E49E0"/>
    <w:rsid w:val="009E511C"/>
    <w:rsid w:val="009E6DC6"/>
    <w:rsid w:val="009F0BB5"/>
    <w:rsid w:val="009F289F"/>
    <w:rsid w:val="009F4095"/>
    <w:rsid w:val="009F5949"/>
    <w:rsid w:val="009F7229"/>
    <w:rsid w:val="009F7896"/>
    <w:rsid w:val="00A00FA0"/>
    <w:rsid w:val="00A0191C"/>
    <w:rsid w:val="00A0211C"/>
    <w:rsid w:val="00A035D4"/>
    <w:rsid w:val="00A03836"/>
    <w:rsid w:val="00A052B4"/>
    <w:rsid w:val="00A054AC"/>
    <w:rsid w:val="00A05753"/>
    <w:rsid w:val="00A075A4"/>
    <w:rsid w:val="00A11656"/>
    <w:rsid w:val="00A14213"/>
    <w:rsid w:val="00A14EA7"/>
    <w:rsid w:val="00A154AB"/>
    <w:rsid w:val="00A1587F"/>
    <w:rsid w:val="00A162F2"/>
    <w:rsid w:val="00A1631F"/>
    <w:rsid w:val="00A168D4"/>
    <w:rsid w:val="00A221A6"/>
    <w:rsid w:val="00A22E1C"/>
    <w:rsid w:val="00A24564"/>
    <w:rsid w:val="00A256D6"/>
    <w:rsid w:val="00A25926"/>
    <w:rsid w:val="00A25B26"/>
    <w:rsid w:val="00A269D3"/>
    <w:rsid w:val="00A26F52"/>
    <w:rsid w:val="00A2759E"/>
    <w:rsid w:val="00A313C9"/>
    <w:rsid w:val="00A338EE"/>
    <w:rsid w:val="00A35C2A"/>
    <w:rsid w:val="00A36421"/>
    <w:rsid w:val="00A41AB9"/>
    <w:rsid w:val="00A41E81"/>
    <w:rsid w:val="00A434AA"/>
    <w:rsid w:val="00A44490"/>
    <w:rsid w:val="00A44E28"/>
    <w:rsid w:val="00A44E6D"/>
    <w:rsid w:val="00A4758A"/>
    <w:rsid w:val="00A47C76"/>
    <w:rsid w:val="00A505B3"/>
    <w:rsid w:val="00A5128B"/>
    <w:rsid w:val="00A53A94"/>
    <w:rsid w:val="00A53D50"/>
    <w:rsid w:val="00A54C79"/>
    <w:rsid w:val="00A54DAF"/>
    <w:rsid w:val="00A55E21"/>
    <w:rsid w:val="00A6124D"/>
    <w:rsid w:val="00A612D1"/>
    <w:rsid w:val="00A62D32"/>
    <w:rsid w:val="00A639CF"/>
    <w:rsid w:val="00A6507B"/>
    <w:rsid w:val="00A70D9B"/>
    <w:rsid w:val="00A70F20"/>
    <w:rsid w:val="00A71A0B"/>
    <w:rsid w:val="00A71CFF"/>
    <w:rsid w:val="00A71D67"/>
    <w:rsid w:val="00A72388"/>
    <w:rsid w:val="00A7336F"/>
    <w:rsid w:val="00A73F92"/>
    <w:rsid w:val="00A76D35"/>
    <w:rsid w:val="00A8050B"/>
    <w:rsid w:val="00A82522"/>
    <w:rsid w:val="00A836FA"/>
    <w:rsid w:val="00A83860"/>
    <w:rsid w:val="00A83999"/>
    <w:rsid w:val="00A83C40"/>
    <w:rsid w:val="00A84873"/>
    <w:rsid w:val="00A85F9E"/>
    <w:rsid w:val="00A85FFD"/>
    <w:rsid w:val="00A878FC"/>
    <w:rsid w:val="00A909BD"/>
    <w:rsid w:val="00A93EC1"/>
    <w:rsid w:val="00A93F1A"/>
    <w:rsid w:val="00A94373"/>
    <w:rsid w:val="00A95001"/>
    <w:rsid w:val="00A95D84"/>
    <w:rsid w:val="00A966C0"/>
    <w:rsid w:val="00A96A56"/>
    <w:rsid w:val="00A96E37"/>
    <w:rsid w:val="00AA07B3"/>
    <w:rsid w:val="00AA2973"/>
    <w:rsid w:val="00AA29B1"/>
    <w:rsid w:val="00AA2EA8"/>
    <w:rsid w:val="00AA3859"/>
    <w:rsid w:val="00AA5193"/>
    <w:rsid w:val="00AA52D4"/>
    <w:rsid w:val="00AA6A88"/>
    <w:rsid w:val="00AA6B3C"/>
    <w:rsid w:val="00AA6FFD"/>
    <w:rsid w:val="00AB0DC3"/>
    <w:rsid w:val="00AB1430"/>
    <w:rsid w:val="00AB41F7"/>
    <w:rsid w:val="00AB43AC"/>
    <w:rsid w:val="00AB44D7"/>
    <w:rsid w:val="00AB54E0"/>
    <w:rsid w:val="00AB732C"/>
    <w:rsid w:val="00AC04DC"/>
    <w:rsid w:val="00AC1C73"/>
    <w:rsid w:val="00AC1DC9"/>
    <w:rsid w:val="00AC2D49"/>
    <w:rsid w:val="00AC4870"/>
    <w:rsid w:val="00AC5327"/>
    <w:rsid w:val="00AC5BD7"/>
    <w:rsid w:val="00AC5C62"/>
    <w:rsid w:val="00AC6175"/>
    <w:rsid w:val="00AC7261"/>
    <w:rsid w:val="00AD0A4B"/>
    <w:rsid w:val="00AD0FE2"/>
    <w:rsid w:val="00AD103D"/>
    <w:rsid w:val="00AD2977"/>
    <w:rsid w:val="00AD2C05"/>
    <w:rsid w:val="00AD7770"/>
    <w:rsid w:val="00AE4188"/>
    <w:rsid w:val="00AE4CD4"/>
    <w:rsid w:val="00AE621B"/>
    <w:rsid w:val="00AE6613"/>
    <w:rsid w:val="00AE6B35"/>
    <w:rsid w:val="00AF0226"/>
    <w:rsid w:val="00AF058F"/>
    <w:rsid w:val="00AF0739"/>
    <w:rsid w:val="00AF2237"/>
    <w:rsid w:val="00AF2A3A"/>
    <w:rsid w:val="00AF5184"/>
    <w:rsid w:val="00AF56A8"/>
    <w:rsid w:val="00AF6FF6"/>
    <w:rsid w:val="00AF762A"/>
    <w:rsid w:val="00AF7FE6"/>
    <w:rsid w:val="00B00B27"/>
    <w:rsid w:val="00B00E0C"/>
    <w:rsid w:val="00B01EBE"/>
    <w:rsid w:val="00B04B52"/>
    <w:rsid w:val="00B06FE9"/>
    <w:rsid w:val="00B10F71"/>
    <w:rsid w:val="00B11473"/>
    <w:rsid w:val="00B22F8A"/>
    <w:rsid w:val="00B2353B"/>
    <w:rsid w:val="00B244F0"/>
    <w:rsid w:val="00B32BDA"/>
    <w:rsid w:val="00B336EE"/>
    <w:rsid w:val="00B33A76"/>
    <w:rsid w:val="00B33F80"/>
    <w:rsid w:val="00B34F94"/>
    <w:rsid w:val="00B3766E"/>
    <w:rsid w:val="00B41304"/>
    <w:rsid w:val="00B42507"/>
    <w:rsid w:val="00B428D9"/>
    <w:rsid w:val="00B44C56"/>
    <w:rsid w:val="00B4594F"/>
    <w:rsid w:val="00B45F62"/>
    <w:rsid w:val="00B466EC"/>
    <w:rsid w:val="00B46A45"/>
    <w:rsid w:val="00B471F7"/>
    <w:rsid w:val="00B47C53"/>
    <w:rsid w:val="00B50698"/>
    <w:rsid w:val="00B5092B"/>
    <w:rsid w:val="00B51DDF"/>
    <w:rsid w:val="00B535C9"/>
    <w:rsid w:val="00B54568"/>
    <w:rsid w:val="00B55938"/>
    <w:rsid w:val="00B55CFD"/>
    <w:rsid w:val="00B57386"/>
    <w:rsid w:val="00B61BFC"/>
    <w:rsid w:val="00B62CB2"/>
    <w:rsid w:val="00B6309A"/>
    <w:rsid w:val="00B658AF"/>
    <w:rsid w:val="00B66FAC"/>
    <w:rsid w:val="00B676EF"/>
    <w:rsid w:val="00B70C4D"/>
    <w:rsid w:val="00B70E20"/>
    <w:rsid w:val="00B7271C"/>
    <w:rsid w:val="00B72D12"/>
    <w:rsid w:val="00B76027"/>
    <w:rsid w:val="00B765A7"/>
    <w:rsid w:val="00B76D0D"/>
    <w:rsid w:val="00B77E1C"/>
    <w:rsid w:val="00B80B00"/>
    <w:rsid w:val="00B80DFC"/>
    <w:rsid w:val="00B81A26"/>
    <w:rsid w:val="00B854E8"/>
    <w:rsid w:val="00B85B9E"/>
    <w:rsid w:val="00B86E2E"/>
    <w:rsid w:val="00B86EE9"/>
    <w:rsid w:val="00B90EFF"/>
    <w:rsid w:val="00B91067"/>
    <w:rsid w:val="00B910CC"/>
    <w:rsid w:val="00B93266"/>
    <w:rsid w:val="00B94545"/>
    <w:rsid w:val="00B9738D"/>
    <w:rsid w:val="00B97489"/>
    <w:rsid w:val="00B9776D"/>
    <w:rsid w:val="00B97858"/>
    <w:rsid w:val="00BA09EA"/>
    <w:rsid w:val="00BA2777"/>
    <w:rsid w:val="00BA382D"/>
    <w:rsid w:val="00BA625A"/>
    <w:rsid w:val="00BA64A2"/>
    <w:rsid w:val="00BB04C8"/>
    <w:rsid w:val="00BB3C6E"/>
    <w:rsid w:val="00BC049E"/>
    <w:rsid w:val="00BC4017"/>
    <w:rsid w:val="00BC4215"/>
    <w:rsid w:val="00BD029C"/>
    <w:rsid w:val="00BD3126"/>
    <w:rsid w:val="00BD334B"/>
    <w:rsid w:val="00BD59B6"/>
    <w:rsid w:val="00BD5B41"/>
    <w:rsid w:val="00BD618D"/>
    <w:rsid w:val="00BD73D0"/>
    <w:rsid w:val="00BF0653"/>
    <w:rsid w:val="00BF0A49"/>
    <w:rsid w:val="00BF0CB3"/>
    <w:rsid w:val="00BF3F75"/>
    <w:rsid w:val="00BF5097"/>
    <w:rsid w:val="00BF55A7"/>
    <w:rsid w:val="00BF6D26"/>
    <w:rsid w:val="00BF7FAF"/>
    <w:rsid w:val="00C004B4"/>
    <w:rsid w:val="00C00B73"/>
    <w:rsid w:val="00C03715"/>
    <w:rsid w:val="00C03842"/>
    <w:rsid w:val="00C051B8"/>
    <w:rsid w:val="00C05CC3"/>
    <w:rsid w:val="00C06387"/>
    <w:rsid w:val="00C104CE"/>
    <w:rsid w:val="00C10AFF"/>
    <w:rsid w:val="00C10B7F"/>
    <w:rsid w:val="00C11820"/>
    <w:rsid w:val="00C11988"/>
    <w:rsid w:val="00C15C33"/>
    <w:rsid w:val="00C2160C"/>
    <w:rsid w:val="00C243E1"/>
    <w:rsid w:val="00C26BDF"/>
    <w:rsid w:val="00C26CA2"/>
    <w:rsid w:val="00C27B24"/>
    <w:rsid w:val="00C33B15"/>
    <w:rsid w:val="00C374FF"/>
    <w:rsid w:val="00C37737"/>
    <w:rsid w:val="00C43586"/>
    <w:rsid w:val="00C461B0"/>
    <w:rsid w:val="00C538F7"/>
    <w:rsid w:val="00C53D29"/>
    <w:rsid w:val="00C57115"/>
    <w:rsid w:val="00C606C7"/>
    <w:rsid w:val="00C623A7"/>
    <w:rsid w:val="00C63272"/>
    <w:rsid w:val="00C646C2"/>
    <w:rsid w:val="00C7011E"/>
    <w:rsid w:val="00C71361"/>
    <w:rsid w:val="00C71751"/>
    <w:rsid w:val="00C73835"/>
    <w:rsid w:val="00C73F2A"/>
    <w:rsid w:val="00C766C9"/>
    <w:rsid w:val="00C772C5"/>
    <w:rsid w:val="00C7789B"/>
    <w:rsid w:val="00C77C91"/>
    <w:rsid w:val="00C831C2"/>
    <w:rsid w:val="00C83395"/>
    <w:rsid w:val="00C85ECB"/>
    <w:rsid w:val="00C86DF2"/>
    <w:rsid w:val="00C87238"/>
    <w:rsid w:val="00C87B1A"/>
    <w:rsid w:val="00C900E4"/>
    <w:rsid w:val="00C91A3F"/>
    <w:rsid w:val="00C922E9"/>
    <w:rsid w:val="00C930DC"/>
    <w:rsid w:val="00C9510D"/>
    <w:rsid w:val="00C96FD4"/>
    <w:rsid w:val="00CA08FD"/>
    <w:rsid w:val="00CA149B"/>
    <w:rsid w:val="00CA1783"/>
    <w:rsid w:val="00CA3E7B"/>
    <w:rsid w:val="00CA5F36"/>
    <w:rsid w:val="00CA6115"/>
    <w:rsid w:val="00CB00EF"/>
    <w:rsid w:val="00CB1354"/>
    <w:rsid w:val="00CB1408"/>
    <w:rsid w:val="00CB219A"/>
    <w:rsid w:val="00CB23FC"/>
    <w:rsid w:val="00CB36C9"/>
    <w:rsid w:val="00CB4480"/>
    <w:rsid w:val="00CB6707"/>
    <w:rsid w:val="00CB6873"/>
    <w:rsid w:val="00CB6C55"/>
    <w:rsid w:val="00CB7359"/>
    <w:rsid w:val="00CC06A4"/>
    <w:rsid w:val="00CC28F3"/>
    <w:rsid w:val="00CC3058"/>
    <w:rsid w:val="00CC363F"/>
    <w:rsid w:val="00CC43CC"/>
    <w:rsid w:val="00CC4BA0"/>
    <w:rsid w:val="00CC7516"/>
    <w:rsid w:val="00CD156A"/>
    <w:rsid w:val="00CD1BD2"/>
    <w:rsid w:val="00CD2543"/>
    <w:rsid w:val="00CD2EFB"/>
    <w:rsid w:val="00CD47EB"/>
    <w:rsid w:val="00CD6240"/>
    <w:rsid w:val="00CD6847"/>
    <w:rsid w:val="00CE0023"/>
    <w:rsid w:val="00CE115E"/>
    <w:rsid w:val="00CE1FD7"/>
    <w:rsid w:val="00CE3F6D"/>
    <w:rsid w:val="00CE5072"/>
    <w:rsid w:val="00CE5122"/>
    <w:rsid w:val="00CE6E5A"/>
    <w:rsid w:val="00CF2021"/>
    <w:rsid w:val="00CF2ADA"/>
    <w:rsid w:val="00CF3401"/>
    <w:rsid w:val="00CF3BEA"/>
    <w:rsid w:val="00CF3CEE"/>
    <w:rsid w:val="00CF3E85"/>
    <w:rsid w:val="00CF3F3B"/>
    <w:rsid w:val="00CF4AF3"/>
    <w:rsid w:val="00CF5362"/>
    <w:rsid w:val="00CF60BC"/>
    <w:rsid w:val="00CF7235"/>
    <w:rsid w:val="00D005E5"/>
    <w:rsid w:val="00D00743"/>
    <w:rsid w:val="00D0082C"/>
    <w:rsid w:val="00D01955"/>
    <w:rsid w:val="00D0195E"/>
    <w:rsid w:val="00D01DA4"/>
    <w:rsid w:val="00D01FA9"/>
    <w:rsid w:val="00D02B3A"/>
    <w:rsid w:val="00D02D0C"/>
    <w:rsid w:val="00D03BA7"/>
    <w:rsid w:val="00D04FB9"/>
    <w:rsid w:val="00D05A21"/>
    <w:rsid w:val="00D06129"/>
    <w:rsid w:val="00D070E0"/>
    <w:rsid w:val="00D10181"/>
    <w:rsid w:val="00D1019A"/>
    <w:rsid w:val="00D10DB2"/>
    <w:rsid w:val="00D117FC"/>
    <w:rsid w:val="00D136F1"/>
    <w:rsid w:val="00D14F96"/>
    <w:rsid w:val="00D14FC0"/>
    <w:rsid w:val="00D15199"/>
    <w:rsid w:val="00D2118B"/>
    <w:rsid w:val="00D21552"/>
    <w:rsid w:val="00D233A1"/>
    <w:rsid w:val="00D23E11"/>
    <w:rsid w:val="00D25921"/>
    <w:rsid w:val="00D25E2B"/>
    <w:rsid w:val="00D27127"/>
    <w:rsid w:val="00D27523"/>
    <w:rsid w:val="00D277CE"/>
    <w:rsid w:val="00D33AA3"/>
    <w:rsid w:val="00D35FF4"/>
    <w:rsid w:val="00D371FC"/>
    <w:rsid w:val="00D37546"/>
    <w:rsid w:val="00D37BD0"/>
    <w:rsid w:val="00D4058E"/>
    <w:rsid w:val="00D40EEA"/>
    <w:rsid w:val="00D43237"/>
    <w:rsid w:val="00D4371F"/>
    <w:rsid w:val="00D43F6D"/>
    <w:rsid w:val="00D4426E"/>
    <w:rsid w:val="00D446EE"/>
    <w:rsid w:val="00D44BC6"/>
    <w:rsid w:val="00D454F8"/>
    <w:rsid w:val="00D47B1D"/>
    <w:rsid w:val="00D5116F"/>
    <w:rsid w:val="00D527B8"/>
    <w:rsid w:val="00D56E34"/>
    <w:rsid w:val="00D5785C"/>
    <w:rsid w:val="00D57974"/>
    <w:rsid w:val="00D57F5D"/>
    <w:rsid w:val="00D619A5"/>
    <w:rsid w:val="00D64684"/>
    <w:rsid w:val="00D65435"/>
    <w:rsid w:val="00D655ED"/>
    <w:rsid w:val="00D65743"/>
    <w:rsid w:val="00D67D86"/>
    <w:rsid w:val="00D67E42"/>
    <w:rsid w:val="00D701E9"/>
    <w:rsid w:val="00D7368F"/>
    <w:rsid w:val="00D7458A"/>
    <w:rsid w:val="00D75D7A"/>
    <w:rsid w:val="00D7626D"/>
    <w:rsid w:val="00D80F58"/>
    <w:rsid w:val="00D81713"/>
    <w:rsid w:val="00D81F99"/>
    <w:rsid w:val="00D83290"/>
    <w:rsid w:val="00D8414A"/>
    <w:rsid w:val="00D85784"/>
    <w:rsid w:val="00D8579B"/>
    <w:rsid w:val="00D879A7"/>
    <w:rsid w:val="00D90B6D"/>
    <w:rsid w:val="00D921CD"/>
    <w:rsid w:val="00D927D7"/>
    <w:rsid w:val="00D9358D"/>
    <w:rsid w:val="00D93A96"/>
    <w:rsid w:val="00D95674"/>
    <w:rsid w:val="00D961FD"/>
    <w:rsid w:val="00DA1FE7"/>
    <w:rsid w:val="00DA595A"/>
    <w:rsid w:val="00DA5C05"/>
    <w:rsid w:val="00DA6D3E"/>
    <w:rsid w:val="00DA7964"/>
    <w:rsid w:val="00DB0716"/>
    <w:rsid w:val="00DB0D3A"/>
    <w:rsid w:val="00DB0EB9"/>
    <w:rsid w:val="00DB27C2"/>
    <w:rsid w:val="00DB2D7C"/>
    <w:rsid w:val="00DB391A"/>
    <w:rsid w:val="00DB49F2"/>
    <w:rsid w:val="00DB5D5A"/>
    <w:rsid w:val="00DB7C06"/>
    <w:rsid w:val="00DC19ED"/>
    <w:rsid w:val="00DC2133"/>
    <w:rsid w:val="00DC38F6"/>
    <w:rsid w:val="00DC4E52"/>
    <w:rsid w:val="00DC56DF"/>
    <w:rsid w:val="00DC5DF3"/>
    <w:rsid w:val="00DC5FFD"/>
    <w:rsid w:val="00DC662C"/>
    <w:rsid w:val="00DC66C2"/>
    <w:rsid w:val="00DC78FC"/>
    <w:rsid w:val="00DD1C9B"/>
    <w:rsid w:val="00DD2AFF"/>
    <w:rsid w:val="00DD2ED0"/>
    <w:rsid w:val="00DD351F"/>
    <w:rsid w:val="00DD35E8"/>
    <w:rsid w:val="00DD40C6"/>
    <w:rsid w:val="00DD448A"/>
    <w:rsid w:val="00DD4DA0"/>
    <w:rsid w:val="00DD6B6F"/>
    <w:rsid w:val="00DE1926"/>
    <w:rsid w:val="00DE253B"/>
    <w:rsid w:val="00DE2E49"/>
    <w:rsid w:val="00DE36C5"/>
    <w:rsid w:val="00DE4569"/>
    <w:rsid w:val="00DE4A25"/>
    <w:rsid w:val="00DE5920"/>
    <w:rsid w:val="00DE5B40"/>
    <w:rsid w:val="00DF102F"/>
    <w:rsid w:val="00DF2064"/>
    <w:rsid w:val="00DF2238"/>
    <w:rsid w:val="00DF2B2E"/>
    <w:rsid w:val="00DF36F7"/>
    <w:rsid w:val="00DF3BE6"/>
    <w:rsid w:val="00DF6321"/>
    <w:rsid w:val="00DF7261"/>
    <w:rsid w:val="00DF7F8C"/>
    <w:rsid w:val="00E008E6"/>
    <w:rsid w:val="00E02A9B"/>
    <w:rsid w:val="00E1297B"/>
    <w:rsid w:val="00E12D02"/>
    <w:rsid w:val="00E13B7F"/>
    <w:rsid w:val="00E144ED"/>
    <w:rsid w:val="00E14AF8"/>
    <w:rsid w:val="00E17968"/>
    <w:rsid w:val="00E20020"/>
    <w:rsid w:val="00E213FC"/>
    <w:rsid w:val="00E21F07"/>
    <w:rsid w:val="00E246E1"/>
    <w:rsid w:val="00E25EF9"/>
    <w:rsid w:val="00E26B11"/>
    <w:rsid w:val="00E32F3F"/>
    <w:rsid w:val="00E340C5"/>
    <w:rsid w:val="00E34209"/>
    <w:rsid w:val="00E3520C"/>
    <w:rsid w:val="00E37151"/>
    <w:rsid w:val="00E41096"/>
    <w:rsid w:val="00E42CFC"/>
    <w:rsid w:val="00E439C1"/>
    <w:rsid w:val="00E46BC5"/>
    <w:rsid w:val="00E46F30"/>
    <w:rsid w:val="00E47911"/>
    <w:rsid w:val="00E52966"/>
    <w:rsid w:val="00E5445A"/>
    <w:rsid w:val="00E544C7"/>
    <w:rsid w:val="00E55D7B"/>
    <w:rsid w:val="00E5606F"/>
    <w:rsid w:val="00E564E0"/>
    <w:rsid w:val="00E56990"/>
    <w:rsid w:val="00E57B1B"/>
    <w:rsid w:val="00E57B7E"/>
    <w:rsid w:val="00E603BC"/>
    <w:rsid w:val="00E610E1"/>
    <w:rsid w:val="00E6137E"/>
    <w:rsid w:val="00E61DB1"/>
    <w:rsid w:val="00E6347A"/>
    <w:rsid w:val="00E64805"/>
    <w:rsid w:val="00E666DE"/>
    <w:rsid w:val="00E66C17"/>
    <w:rsid w:val="00E67913"/>
    <w:rsid w:val="00E67F76"/>
    <w:rsid w:val="00E70E1E"/>
    <w:rsid w:val="00E720B2"/>
    <w:rsid w:val="00E74320"/>
    <w:rsid w:val="00E74DEB"/>
    <w:rsid w:val="00E7582E"/>
    <w:rsid w:val="00E76915"/>
    <w:rsid w:val="00E803D0"/>
    <w:rsid w:val="00E81EB9"/>
    <w:rsid w:val="00E82C7D"/>
    <w:rsid w:val="00E83015"/>
    <w:rsid w:val="00E835F9"/>
    <w:rsid w:val="00E836C6"/>
    <w:rsid w:val="00E8530E"/>
    <w:rsid w:val="00E92CEC"/>
    <w:rsid w:val="00E95B49"/>
    <w:rsid w:val="00E960C2"/>
    <w:rsid w:val="00E96102"/>
    <w:rsid w:val="00E97175"/>
    <w:rsid w:val="00EA1702"/>
    <w:rsid w:val="00EA1EA3"/>
    <w:rsid w:val="00EA34EF"/>
    <w:rsid w:val="00EA47C9"/>
    <w:rsid w:val="00EA57B0"/>
    <w:rsid w:val="00EA5DC7"/>
    <w:rsid w:val="00EA5FA5"/>
    <w:rsid w:val="00EA7C71"/>
    <w:rsid w:val="00EB1635"/>
    <w:rsid w:val="00EB289B"/>
    <w:rsid w:val="00EB34FF"/>
    <w:rsid w:val="00EB5003"/>
    <w:rsid w:val="00EB52DB"/>
    <w:rsid w:val="00EB67E3"/>
    <w:rsid w:val="00EB7C28"/>
    <w:rsid w:val="00EC1A87"/>
    <w:rsid w:val="00EC2271"/>
    <w:rsid w:val="00EC3FA9"/>
    <w:rsid w:val="00EC55A4"/>
    <w:rsid w:val="00EC6F8D"/>
    <w:rsid w:val="00ED13F4"/>
    <w:rsid w:val="00ED7CB3"/>
    <w:rsid w:val="00EE0B92"/>
    <w:rsid w:val="00EE0D7A"/>
    <w:rsid w:val="00EE1A8E"/>
    <w:rsid w:val="00EE276C"/>
    <w:rsid w:val="00EE35F8"/>
    <w:rsid w:val="00EE4073"/>
    <w:rsid w:val="00EE5EB7"/>
    <w:rsid w:val="00EE6D6C"/>
    <w:rsid w:val="00EE7480"/>
    <w:rsid w:val="00EF0333"/>
    <w:rsid w:val="00EF0572"/>
    <w:rsid w:val="00EF0DFC"/>
    <w:rsid w:val="00EF3607"/>
    <w:rsid w:val="00EF4683"/>
    <w:rsid w:val="00EF5B91"/>
    <w:rsid w:val="00EF652A"/>
    <w:rsid w:val="00EF6606"/>
    <w:rsid w:val="00EF6DA9"/>
    <w:rsid w:val="00EF7082"/>
    <w:rsid w:val="00EF7376"/>
    <w:rsid w:val="00F00D76"/>
    <w:rsid w:val="00F01355"/>
    <w:rsid w:val="00F0153F"/>
    <w:rsid w:val="00F0166C"/>
    <w:rsid w:val="00F01A76"/>
    <w:rsid w:val="00F01E8F"/>
    <w:rsid w:val="00F025EE"/>
    <w:rsid w:val="00F03591"/>
    <w:rsid w:val="00F03A81"/>
    <w:rsid w:val="00F04B28"/>
    <w:rsid w:val="00F04FC1"/>
    <w:rsid w:val="00F068F6"/>
    <w:rsid w:val="00F076D0"/>
    <w:rsid w:val="00F10D5F"/>
    <w:rsid w:val="00F11B92"/>
    <w:rsid w:val="00F120A9"/>
    <w:rsid w:val="00F120BC"/>
    <w:rsid w:val="00F148D2"/>
    <w:rsid w:val="00F1643C"/>
    <w:rsid w:val="00F165FD"/>
    <w:rsid w:val="00F16BD0"/>
    <w:rsid w:val="00F17341"/>
    <w:rsid w:val="00F17D5C"/>
    <w:rsid w:val="00F209A2"/>
    <w:rsid w:val="00F2169E"/>
    <w:rsid w:val="00F23066"/>
    <w:rsid w:val="00F2313C"/>
    <w:rsid w:val="00F236E7"/>
    <w:rsid w:val="00F23870"/>
    <w:rsid w:val="00F257A2"/>
    <w:rsid w:val="00F25EB9"/>
    <w:rsid w:val="00F262A2"/>
    <w:rsid w:val="00F27606"/>
    <w:rsid w:val="00F312D7"/>
    <w:rsid w:val="00F31C15"/>
    <w:rsid w:val="00F3244F"/>
    <w:rsid w:val="00F32C82"/>
    <w:rsid w:val="00F33682"/>
    <w:rsid w:val="00F34016"/>
    <w:rsid w:val="00F3401B"/>
    <w:rsid w:val="00F36A53"/>
    <w:rsid w:val="00F37B75"/>
    <w:rsid w:val="00F402F8"/>
    <w:rsid w:val="00F409C9"/>
    <w:rsid w:val="00F41EC1"/>
    <w:rsid w:val="00F43AEB"/>
    <w:rsid w:val="00F4417E"/>
    <w:rsid w:val="00F44B23"/>
    <w:rsid w:val="00F45240"/>
    <w:rsid w:val="00F4552C"/>
    <w:rsid w:val="00F50BE9"/>
    <w:rsid w:val="00F50FE8"/>
    <w:rsid w:val="00F514F7"/>
    <w:rsid w:val="00F5226C"/>
    <w:rsid w:val="00F53DDE"/>
    <w:rsid w:val="00F55F21"/>
    <w:rsid w:val="00F55F52"/>
    <w:rsid w:val="00F56A23"/>
    <w:rsid w:val="00F570A6"/>
    <w:rsid w:val="00F61387"/>
    <w:rsid w:val="00F625D6"/>
    <w:rsid w:val="00F62B3A"/>
    <w:rsid w:val="00F6353D"/>
    <w:rsid w:val="00F64356"/>
    <w:rsid w:val="00F64A31"/>
    <w:rsid w:val="00F650A5"/>
    <w:rsid w:val="00F656C1"/>
    <w:rsid w:val="00F6709E"/>
    <w:rsid w:val="00F70251"/>
    <w:rsid w:val="00F7067C"/>
    <w:rsid w:val="00F71379"/>
    <w:rsid w:val="00F71968"/>
    <w:rsid w:val="00F71F77"/>
    <w:rsid w:val="00F72186"/>
    <w:rsid w:val="00F72B0D"/>
    <w:rsid w:val="00F73EA6"/>
    <w:rsid w:val="00F743D8"/>
    <w:rsid w:val="00F7642C"/>
    <w:rsid w:val="00F76906"/>
    <w:rsid w:val="00F76ECB"/>
    <w:rsid w:val="00F7797A"/>
    <w:rsid w:val="00F77D3F"/>
    <w:rsid w:val="00F812DF"/>
    <w:rsid w:val="00F825F1"/>
    <w:rsid w:val="00F849FD"/>
    <w:rsid w:val="00F853A5"/>
    <w:rsid w:val="00F8560D"/>
    <w:rsid w:val="00F85A72"/>
    <w:rsid w:val="00F85DC3"/>
    <w:rsid w:val="00F8670A"/>
    <w:rsid w:val="00F8767F"/>
    <w:rsid w:val="00F878CB"/>
    <w:rsid w:val="00F92EC7"/>
    <w:rsid w:val="00F9448E"/>
    <w:rsid w:val="00F948E6"/>
    <w:rsid w:val="00FA01C0"/>
    <w:rsid w:val="00FA19F4"/>
    <w:rsid w:val="00FA2346"/>
    <w:rsid w:val="00FA424F"/>
    <w:rsid w:val="00FA4879"/>
    <w:rsid w:val="00FA5C3D"/>
    <w:rsid w:val="00FA6BCE"/>
    <w:rsid w:val="00FA733B"/>
    <w:rsid w:val="00FB0FA2"/>
    <w:rsid w:val="00FB0FE7"/>
    <w:rsid w:val="00FB11F3"/>
    <w:rsid w:val="00FB16B4"/>
    <w:rsid w:val="00FB22BF"/>
    <w:rsid w:val="00FB2608"/>
    <w:rsid w:val="00FB3554"/>
    <w:rsid w:val="00FB3A30"/>
    <w:rsid w:val="00FB3BD4"/>
    <w:rsid w:val="00FB3F8A"/>
    <w:rsid w:val="00FB406A"/>
    <w:rsid w:val="00FB4E12"/>
    <w:rsid w:val="00FB4FEC"/>
    <w:rsid w:val="00FB641E"/>
    <w:rsid w:val="00FB7B4A"/>
    <w:rsid w:val="00FC0777"/>
    <w:rsid w:val="00FC0DE3"/>
    <w:rsid w:val="00FC12DA"/>
    <w:rsid w:val="00FC3AF7"/>
    <w:rsid w:val="00FC467B"/>
    <w:rsid w:val="00FC4E87"/>
    <w:rsid w:val="00FC4EE8"/>
    <w:rsid w:val="00FC50CF"/>
    <w:rsid w:val="00FC5F9F"/>
    <w:rsid w:val="00FC73F3"/>
    <w:rsid w:val="00FD1440"/>
    <w:rsid w:val="00FD3236"/>
    <w:rsid w:val="00FD43CF"/>
    <w:rsid w:val="00FD6AAD"/>
    <w:rsid w:val="00FE1107"/>
    <w:rsid w:val="00FE234D"/>
    <w:rsid w:val="00FE33F1"/>
    <w:rsid w:val="00FE4B81"/>
    <w:rsid w:val="00FE4DA5"/>
    <w:rsid w:val="00FE4DC1"/>
    <w:rsid w:val="00FE5B1E"/>
    <w:rsid w:val="00FE6F14"/>
    <w:rsid w:val="00FE7265"/>
    <w:rsid w:val="00FF01A7"/>
    <w:rsid w:val="00FF412B"/>
    <w:rsid w:val="00FF4142"/>
    <w:rsid w:val="00FF4C19"/>
    <w:rsid w:val="00FF5DFE"/>
    <w:rsid w:val="00FF6DFE"/>
    <w:rsid w:val="05C2D32C"/>
    <w:rsid w:val="17475028"/>
    <w:rsid w:val="18774E1E"/>
    <w:rsid w:val="1F9AEAF0"/>
    <w:rsid w:val="231E68D1"/>
    <w:rsid w:val="2A276453"/>
    <w:rsid w:val="2E610A09"/>
    <w:rsid w:val="2FCE36A4"/>
    <w:rsid w:val="35566F8E"/>
    <w:rsid w:val="421A930F"/>
    <w:rsid w:val="48EE55EF"/>
    <w:rsid w:val="4B9218A4"/>
    <w:rsid w:val="53153CE5"/>
    <w:rsid w:val="589F1D01"/>
    <w:rsid w:val="58FA1D40"/>
    <w:rsid w:val="5A15825C"/>
    <w:rsid w:val="6A2CA7A0"/>
    <w:rsid w:val="6AF121AF"/>
    <w:rsid w:val="7B44DAB3"/>
    <w:rsid w:val="7B97A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27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8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F32"/>
    <w:pPr>
      <w:ind w:left="720"/>
      <w:contextualSpacing/>
    </w:pPr>
  </w:style>
  <w:style w:type="paragraph" w:styleId="BalloonText">
    <w:name w:val="Balloon Text"/>
    <w:basedOn w:val="Normal"/>
    <w:link w:val="BalloonTextChar"/>
    <w:uiPriority w:val="99"/>
    <w:semiHidden/>
    <w:unhideWhenUsed/>
    <w:rsid w:val="008D39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0B"/>
    <w:rPr>
      <w:rFonts w:ascii="Segoe UI" w:eastAsiaTheme="minorEastAsia" w:hAnsi="Segoe UI" w:cs="Segoe UI"/>
      <w:sz w:val="18"/>
      <w:szCs w:val="18"/>
    </w:rPr>
  </w:style>
  <w:style w:type="paragraph" w:styleId="Title">
    <w:name w:val="Title"/>
    <w:basedOn w:val="Normal"/>
    <w:link w:val="TitleChar"/>
    <w:qFormat/>
    <w:rsid w:val="007C48A1"/>
    <w:pPr>
      <w:spacing w:after="0" w:line="240" w:lineRule="auto"/>
      <w:jc w:val="center"/>
    </w:pPr>
    <w:rPr>
      <w:rFonts w:ascii="Times New Roman" w:eastAsia="Times New Roman" w:hAnsi="Times New Roman" w:cs="Times New Roman"/>
      <w:b/>
      <w:sz w:val="24"/>
    </w:rPr>
  </w:style>
  <w:style w:type="character" w:customStyle="1" w:styleId="TitleChar">
    <w:name w:val="Title Char"/>
    <w:basedOn w:val="DefaultParagraphFont"/>
    <w:link w:val="Title"/>
    <w:rsid w:val="007C48A1"/>
    <w:rPr>
      <w:rFonts w:ascii="Times New Roman" w:eastAsia="Times New Roman" w:hAnsi="Times New Roman" w:cs="Times New Roman"/>
      <w:b/>
      <w:sz w:val="24"/>
    </w:rPr>
  </w:style>
  <w:style w:type="character" w:styleId="Hyperlink">
    <w:name w:val="Hyperlink"/>
    <w:basedOn w:val="DefaultParagraphFont"/>
    <w:rsid w:val="007C48A1"/>
    <w:rPr>
      <w:color w:val="0000FF"/>
      <w:u w:val="single"/>
    </w:rPr>
  </w:style>
  <w:style w:type="table" w:styleId="TableGrid">
    <w:name w:val="Table Grid"/>
    <w:basedOn w:val="TableNormal"/>
    <w:uiPriority w:val="59"/>
    <w:rsid w:val="007C48A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4E62FB"/>
    <w:pPr>
      <w:tabs>
        <w:tab w:val="left" w:pos="-720"/>
      </w:tabs>
      <w:suppressAutoHyphens/>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4E62F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B03"/>
    <w:rPr>
      <w:rFonts w:eastAsiaTheme="minorEastAsia"/>
    </w:rPr>
  </w:style>
  <w:style w:type="paragraph" w:styleId="Footer">
    <w:name w:val="footer"/>
    <w:basedOn w:val="Normal"/>
    <w:link w:val="FooterChar"/>
    <w:uiPriority w:val="99"/>
    <w:unhideWhenUsed/>
    <w:rsid w:val="0021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B03"/>
    <w:rPr>
      <w:rFonts w:eastAsiaTheme="minorEastAsia"/>
    </w:rPr>
  </w:style>
  <w:style w:type="paragraph" w:styleId="FootnoteText">
    <w:name w:val="footnote text"/>
    <w:basedOn w:val="Normal"/>
    <w:link w:val="FootnoteTextChar"/>
    <w:uiPriority w:val="99"/>
    <w:semiHidden/>
    <w:unhideWhenUsed/>
    <w:rsid w:val="00033CFB"/>
    <w:pPr>
      <w:spacing w:after="0" w:line="240" w:lineRule="auto"/>
    </w:pPr>
  </w:style>
  <w:style w:type="character" w:customStyle="1" w:styleId="FootnoteTextChar">
    <w:name w:val="Footnote Text Char"/>
    <w:basedOn w:val="DefaultParagraphFont"/>
    <w:link w:val="FootnoteText"/>
    <w:uiPriority w:val="99"/>
    <w:semiHidden/>
    <w:rsid w:val="00033CFB"/>
  </w:style>
  <w:style w:type="character" w:styleId="FootnoteReference">
    <w:name w:val="footnote reference"/>
    <w:basedOn w:val="DefaultParagraphFont"/>
    <w:uiPriority w:val="99"/>
    <w:semiHidden/>
    <w:unhideWhenUsed/>
    <w:rsid w:val="00033CFB"/>
    <w:rPr>
      <w:vertAlign w:val="superscript"/>
    </w:rPr>
  </w:style>
  <w:style w:type="character" w:styleId="CommentReference">
    <w:name w:val="annotation reference"/>
    <w:basedOn w:val="DefaultParagraphFont"/>
    <w:uiPriority w:val="99"/>
    <w:semiHidden/>
    <w:unhideWhenUsed/>
    <w:rsid w:val="00BB3C6E"/>
    <w:rPr>
      <w:sz w:val="16"/>
      <w:szCs w:val="16"/>
    </w:rPr>
  </w:style>
  <w:style w:type="paragraph" w:styleId="CommentText">
    <w:name w:val="annotation text"/>
    <w:basedOn w:val="Normal"/>
    <w:link w:val="CommentTextChar"/>
    <w:uiPriority w:val="99"/>
    <w:semiHidden/>
    <w:unhideWhenUsed/>
    <w:rsid w:val="00BB3C6E"/>
    <w:pPr>
      <w:spacing w:line="240" w:lineRule="auto"/>
    </w:pPr>
  </w:style>
  <w:style w:type="character" w:customStyle="1" w:styleId="CommentTextChar">
    <w:name w:val="Comment Text Char"/>
    <w:basedOn w:val="DefaultParagraphFont"/>
    <w:link w:val="CommentText"/>
    <w:uiPriority w:val="99"/>
    <w:semiHidden/>
    <w:rsid w:val="00BB3C6E"/>
  </w:style>
  <w:style w:type="paragraph" w:styleId="CommentSubject">
    <w:name w:val="annotation subject"/>
    <w:basedOn w:val="CommentText"/>
    <w:next w:val="CommentText"/>
    <w:link w:val="CommentSubjectChar"/>
    <w:uiPriority w:val="99"/>
    <w:semiHidden/>
    <w:unhideWhenUsed/>
    <w:rsid w:val="00BB3C6E"/>
    <w:rPr>
      <w:b/>
      <w:bCs/>
    </w:rPr>
  </w:style>
  <w:style w:type="character" w:customStyle="1" w:styleId="CommentSubjectChar">
    <w:name w:val="Comment Subject Char"/>
    <w:basedOn w:val="CommentTextChar"/>
    <w:link w:val="CommentSubject"/>
    <w:uiPriority w:val="99"/>
    <w:semiHidden/>
    <w:rsid w:val="00BB3C6E"/>
    <w:rPr>
      <w:rFonts w:eastAsiaTheme="minorEastAsia"/>
      <w:b/>
      <w:bCs/>
      <w:sz w:val="20"/>
      <w:szCs w:val="20"/>
    </w:rPr>
  </w:style>
  <w:style w:type="paragraph" w:styleId="Revision">
    <w:name w:val="Revision"/>
    <w:hidden/>
    <w:uiPriority w:val="99"/>
    <w:semiHidden/>
    <w:rsid w:val="00297FC4"/>
    <w:pPr>
      <w:spacing w:after="0" w:line="240" w:lineRule="auto"/>
    </w:pPr>
  </w:style>
  <w:style w:type="paragraph" w:styleId="NoSpacing">
    <w:name w:val="No Spacing"/>
    <w:uiPriority w:val="1"/>
    <w:qFormat/>
    <w:rsid w:val="00C00B73"/>
    <w:pPr>
      <w:spacing w:after="0" w:line="240" w:lineRule="auto"/>
    </w:pPr>
    <w:rPr>
      <w:rFonts w:asciiTheme="minorHAnsi" w:hAnsiTheme="minorHAnsi" w:cstheme="minorBidi"/>
      <w:sz w:val="22"/>
      <w:szCs w:val="22"/>
    </w:rPr>
  </w:style>
  <w:style w:type="paragraph" w:customStyle="1" w:styleId="Level1">
    <w:name w:val="Level 1"/>
    <w:basedOn w:val="TOC1"/>
    <w:link w:val="Level1Char"/>
    <w:qFormat/>
    <w:rsid w:val="00FE4DC1"/>
    <w:pPr>
      <w:tabs>
        <w:tab w:val="right" w:leader="dot" w:pos="8630"/>
      </w:tabs>
      <w:spacing w:before="120" w:after="120" w:line="240" w:lineRule="auto"/>
    </w:pPr>
    <w:rPr>
      <w:rFonts w:asciiTheme="majorHAnsi" w:eastAsia="Times New Roman" w:hAnsiTheme="majorHAnsi" w:cs="Times New Roman"/>
      <w:b/>
      <w:bCs/>
      <w:caps/>
    </w:rPr>
  </w:style>
  <w:style w:type="character" w:customStyle="1" w:styleId="Level1Char">
    <w:name w:val="Level 1 Char"/>
    <w:basedOn w:val="DefaultParagraphFont"/>
    <w:link w:val="Level1"/>
    <w:rsid w:val="00FE4DC1"/>
    <w:rPr>
      <w:rFonts w:asciiTheme="majorHAnsi" w:eastAsia="Times New Roman" w:hAnsiTheme="majorHAnsi" w:cs="Times New Roman"/>
      <w:b/>
      <w:bCs/>
      <w:caps/>
    </w:rPr>
  </w:style>
  <w:style w:type="paragraph" w:styleId="TOC1">
    <w:name w:val="toc 1"/>
    <w:basedOn w:val="Normal"/>
    <w:next w:val="Normal"/>
    <w:autoRedefine/>
    <w:uiPriority w:val="39"/>
    <w:semiHidden/>
    <w:unhideWhenUsed/>
    <w:rsid w:val="00FE4DC1"/>
    <w:pPr>
      <w:spacing w:after="100"/>
    </w:pPr>
  </w:style>
  <w:style w:type="paragraph" w:customStyle="1" w:styleId="Default">
    <w:name w:val="Default"/>
    <w:basedOn w:val="Normal"/>
    <w:rsid w:val="00F71F77"/>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91752">
      <w:bodyDiv w:val="1"/>
      <w:marLeft w:val="0"/>
      <w:marRight w:val="0"/>
      <w:marTop w:val="0"/>
      <w:marBottom w:val="0"/>
      <w:divBdr>
        <w:top w:val="none" w:sz="0" w:space="0" w:color="auto"/>
        <w:left w:val="none" w:sz="0" w:space="0" w:color="auto"/>
        <w:bottom w:val="none" w:sz="0" w:space="0" w:color="auto"/>
        <w:right w:val="none" w:sz="0" w:space="0" w:color="auto"/>
      </w:divBdr>
    </w:div>
    <w:div w:id="8212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kboehm@BKLlawfirm.com" TargetMode="External"/><Relationship Id="rId26" Type="http://schemas.openxmlformats.org/officeDocument/2006/relationships/hyperlink" Target="mailto:cpirik@dickinsonwright.com" TargetMode="External"/><Relationship Id="rId39" Type="http://schemas.openxmlformats.org/officeDocument/2006/relationships/hyperlink" Target="mailto:ktreadway@oneenergyllc.com" TargetMode="External"/><Relationship Id="rId3" Type="http://schemas.openxmlformats.org/officeDocument/2006/relationships/customXml" Target="../customXml/item3.xml"/><Relationship Id="rId21" Type="http://schemas.openxmlformats.org/officeDocument/2006/relationships/hyperlink" Target="mailto:fdarr@mwncmh.com" TargetMode="External"/><Relationship Id="rId34" Type="http://schemas.openxmlformats.org/officeDocument/2006/relationships/hyperlink" Target="mailto:cmooney@ohiopartners.org" TargetMode="External"/><Relationship Id="rId42" Type="http://schemas.openxmlformats.org/officeDocument/2006/relationships/hyperlink" Target="mailto:rdove@keglerbrown.com" TargetMode="External"/><Relationship Id="rId7" Type="http://schemas.openxmlformats.org/officeDocument/2006/relationships/settings" Target="settings.xml"/><Relationship Id="rId12" Type="http://schemas.openxmlformats.org/officeDocument/2006/relationships/hyperlink" Target="http://codes.ohio.gov/orc/4928.64" TargetMode="External"/><Relationship Id="rId17" Type="http://schemas.openxmlformats.org/officeDocument/2006/relationships/hyperlink" Target="mailto:Thomas.mcnamee@ohioattorneygeneral.gov" TargetMode="External"/><Relationship Id="rId25" Type="http://schemas.openxmlformats.org/officeDocument/2006/relationships/hyperlink" Target="mailto:jrego@beneschlaw.com" TargetMode="External"/><Relationship Id="rId33" Type="http://schemas.openxmlformats.org/officeDocument/2006/relationships/hyperlink" Target="mailto:rsahli@columbus.rr.com" TargetMode="External"/><Relationship Id="rId38" Type="http://schemas.openxmlformats.org/officeDocument/2006/relationships/hyperlink" Target="mailto:glover@whitt-sturtevant.com" TargetMode="External"/><Relationship Id="rId2" Type="http://schemas.openxmlformats.org/officeDocument/2006/relationships/customXml" Target="../customXml/item2.xml"/><Relationship Id="rId16" Type="http://schemas.openxmlformats.org/officeDocument/2006/relationships/hyperlink" Target="mailto:joliker@igsenergy.com" TargetMode="External"/><Relationship Id="rId20" Type="http://schemas.openxmlformats.org/officeDocument/2006/relationships/hyperlink" Target="mailto:mpritchard@mwncmh.com" TargetMode="External"/><Relationship Id="rId29" Type="http://schemas.openxmlformats.org/officeDocument/2006/relationships/hyperlink" Target="mailto:glpetrucci@vorys.com" TargetMode="External"/><Relationship Id="rId41" Type="http://schemas.openxmlformats.org/officeDocument/2006/relationships/hyperlink" Target="mailto:mdortch@kravitzll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liker@igsenergy.com" TargetMode="External"/><Relationship Id="rId24" Type="http://schemas.openxmlformats.org/officeDocument/2006/relationships/hyperlink" Target="mailto:jstock@beneschlaw.com" TargetMode="External"/><Relationship Id="rId32" Type="http://schemas.openxmlformats.org/officeDocument/2006/relationships/hyperlink" Target="mailto:tony.mendoza@sierraclub.org" TargetMode="External"/><Relationship Id="rId37" Type="http://schemas.openxmlformats.org/officeDocument/2006/relationships/hyperlink" Target="mailto:whitt@whitt-sturtevant.com" TargetMode="External"/><Relationship Id="rId40" Type="http://schemas.openxmlformats.org/officeDocument/2006/relationships/hyperlink" Target="mailto:callwein@opae.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mailto:dparram@bricker.com" TargetMode="External"/><Relationship Id="rId28" Type="http://schemas.openxmlformats.org/officeDocument/2006/relationships/hyperlink" Target="mailto:mjsettineri@vorys.com" TargetMode="External"/><Relationship Id="rId36" Type="http://schemas.openxmlformats.org/officeDocument/2006/relationships/hyperlink" Target="mailto:joliker@igsenergy.com" TargetMode="External"/><Relationship Id="rId10" Type="http://schemas.openxmlformats.org/officeDocument/2006/relationships/endnotes" Target="endnotes.xml"/><Relationship Id="rId19" Type="http://schemas.openxmlformats.org/officeDocument/2006/relationships/hyperlink" Target="mailto:jkylercohn@BKLlawfirm.com" TargetMode="External"/><Relationship Id="rId31" Type="http://schemas.openxmlformats.org/officeDocument/2006/relationships/hyperlink" Target="mailto:cmblend@aep.co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leppla@theOEC.org" TargetMode="External"/><Relationship Id="rId27" Type="http://schemas.openxmlformats.org/officeDocument/2006/relationships/hyperlink" Target="mailto:wvorys@dickinsonwright.com" TargetMode="External"/><Relationship Id="rId30" Type="http://schemas.openxmlformats.org/officeDocument/2006/relationships/hyperlink" Target="mailto:stnourse@aep.com" TargetMode="External"/><Relationship Id="rId35" Type="http://schemas.openxmlformats.org/officeDocument/2006/relationships/hyperlink" Target="mailto:mnugent@igsenergy.com"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4" ma:contentTypeDescription="Create a new document." ma:contentTypeScope="" ma:versionID="d918d5c27cec337b8aa5c8d3e9b6675c">
  <xsd:schema xmlns:xsd="http://www.w3.org/2001/XMLSchema" xmlns:xs="http://www.w3.org/2001/XMLSchema" xmlns:p="http://schemas.microsoft.com/office/2006/metadata/properties" xmlns:ns2="7b65a839-91ea-4ae8-a3e7-aa2e1fd1ecb0" targetNamespace="http://schemas.microsoft.com/office/2006/metadata/properties" ma:root="true" ma:fieldsID="6e25d13ed8ab8316a9153911676548a6" ns2:_="">
    <xsd:import namespace="7b65a839-91ea-4ae8-a3e7-aa2e1fd1ecb0"/>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A3DD-DF36-4D89-BE30-9A026C10F40C}">
  <ds:schemaRefs>
    <ds:schemaRef ds:uri="http://purl.org/dc/terms/"/>
    <ds:schemaRef ds:uri="7b65a839-91ea-4ae8-a3e7-aa2e1fd1ecb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218900-2A5A-47D0-A2A2-E063B0046861}">
  <ds:schemaRefs>
    <ds:schemaRef ds:uri="http://schemas.microsoft.com/sharepoint/v3/contenttype/forms"/>
  </ds:schemaRefs>
</ds:datastoreItem>
</file>

<file path=customXml/itemProps3.xml><?xml version="1.0" encoding="utf-8"?>
<ds:datastoreItem xmlns:ds="http://schemas.openxmlformats.org/officeDocument/2006/customXml" ds:itemID="{275DD264-2F95-472E-96C4-9105EB98A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0D4AB7-5745-45A7-9E35-51B4050E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10618</Words>
  <Characters>58193</Characters>
  <Application>Microsoft Office Word</Application>
  <DocSecurity>0</DocSecurity>
  <Lines>1077</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2019-03-06T22:18:00Z</dcterms:created>
  <dcterms:modified xsi:type="dcterms:W3CDTF">2019-03-06T22:18:00Z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89600">
    <vt:lpwstr>15</vt:lpwstr>
  </property>
  <property fmtid="{D5CDD505-2E9C-101B-9397-08002B2CF9AE}" pid="3" name="ContentTypeId">
    <vt:lpwstr>0x010100134952F9974ECA4090E456E20DC829D0</vt:lpwstr>
  </property>
</Properties>
</file>