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67" w:rsidRDefault="00D27267" w:rsidP="00D27267">
      <w:pPr>
        <w:pStyle w:val="SingleSpace"/>
        <w:jc w:val="center"/>
        <w:rPr>
          <w:b/>
        </w:rPr>
      </w:pPr>
      <w:r>
        <w:rPr>
          <w:b/>
        </w:rPr>
        <w:t xml:space="preserve">BEFORE </w:t>
      </w:r>
    </w:p>
    <w:p w:rsidR="00D27267" w:rsidRDefault="00D27267" w:rsidP="00D27267">
      <w:pPr>
        <w:pStyle w:val="SingleSpace"/>
        <w:jc w:val="center"/>
        <w:rPr>
          <w:b/>
        </w:rPr>
      </w:pPr>
      <w:r>
        <w:rPr>
          <w:b/>
        </w:rPr>
        <w:t>THE PUBLIC UTILITIES COMMISSION OF OHIO</w:t>
      </w:r>
    </w:p>
    <w:p w:rsidR="00D27267" w:rsidRDefault="00D27267" w:rsidP="00D27267">
      <w:pPr>
        <w:pStyle w:val="SingleSpace"/>
        <w:jc w:val="center"/>
      </w:pPr>
    </w:p>
    <w:p w:rsidR="00D27267" w:rsidRDefault="00D27267" w:rsidP="00D27267">
      <w:pPr>
        <w:pStyle w:val="SingleSpace"/>
        <w:jc w:val="center"/>
      </w:pPr>
    </w:p>
    <w:tbl>
      <w:tblPr>
        <w:tblStyle w:val="TableGrid"/>
        <w:tblW w:w="0" w:type="auto"/>
        <w:tblLook w:val="04A0"/>
      </w:tblPr>
      <w:tblGrid>
        <w:gridCol w:w="4788"/>
        <w:gridCol w:w="4788"/>
      </w:tblGrid>
      <w:tr w:rsidR="00D27267" w:rsidTr="00DB429D">
        <w:tc>
          <w:tcPr>
            <w:tcW w:w="4788" w:type="dxa"/>
            <w:tcBorders>
              <w:top w:val="nil"/>
              <w:left w:val="nil"/>
              <w:bottom w:val="nil"/>
            </w:tcBorders>
          </w:tcPr>
          <w:p w:rsidR="00D27267" w:rsidRDefault="00D27267" w:rsidP="00DB429D">
            <w:pPr>
              <w:pStyle w:val="SingleSpace"/>
            </w:pPr>
            <w:r>
              <w:t>GRANITE TELECOMMUNICATIONS, LLC,</w:t>
            </w:r>
          </w:p>
          <w:p w:rsidR="00D27267" w:rsidRDefault="00D27267" w:rsidP="00DB429D">
            <w:pPr>
              <w:pStyle w:val="SingleSpace"/>
            </w:pPr>
          </w:p>
          <w:p w:rsidR="00D27267" w:rsidRDefault="00D27267" w:rsidP="00DB429D">
            <w:pPr>
              <w:pStyle w:val="SingleSpace"/>
              <w:ind w:left="2160"/>
            </w:pPr>
            <w:r>
              <w:t>Complainant,</w:t>
            </w:r>
          </w:p>
          <w:p w:rsidR="00D27267" w:rsidRDefault="00D27267" w:rsidP="00DB429D">
            <w:pPr>
              <w:pStyle w:val="SingleSpace"/>
            </w:pPr>
          </w:p>
          <w:p w:rsidR="00D27267" w:rsidRDefault="00D27267" w:rsidP="00DB429D">
            <w:pPr>
              <w:pStyle w:val="SingleSpace"/>
            </w:pPr>
            <w:r>
              <w:t>v.</w:t>
            </w:r>
          </w:p>
          <w:p w:rsidR="00D27267" w:rsidRDefault="00D27267" w:rsidP="00DB429D">
            <w:pPr>
              <w:pStyle w:val="SingleSpace"/>
            </w:pPr>
          </w:p>
          <w:p w:rsidR="00D27267" w:rsidRDefault="00D27267" w:rsidP="00DB429D">
            <w:pPr>
              <w:pStyle w:val="SingleSpace"/>
            </w:pPr>
            <w:r>
              <w:rPr>
                <w:caps/>
              </w:rPr>
              <w:t>OHIO Bell Telephone Company D/B/A AT&amp;T OHIO</w:t>
            </w:r>
            <w:r>
              <w:t xml:space="preserve"> </w:t>
            </w:r>
          </w:p>
          <w:p w:rsidR="00D27267" w:rsidRDefault="00D27267" w:rsidP="00DB429D">
            <w:pPr>
              <w:pStyle w:val="SingleSpace"/>
            </w:pPr>
            <w:r>
              <w:t xml:space="preserve"> </w:t>
            </w:r>
          </w:p>
          <w:p w:rsidR="00D27267" w:rsidRDefault="00D27267" w:rsidP="00DB429D">
            <w:pPr>
              <w:pStyle w:val="SingleSpace"/>
              <w:ind w:left="2160"/>
            </w:pPr>
            <w:r>
              <w:t>Defendant.</w:t>
            </w:r>
          </w:p>
          <w:p w:rsidR="00D27267" w:rsidRDefault="00D27267" w:rsidP="00DB429D">
            <w:pPr>
              <w:pStyle w:val="SingleSpace"/>
              <w:ind w:left="2160"/>
            </w:pPr>
          </w:p>
        </w:tc>
        <w:tc>
          <w:tcPr>
            <w:tcW w:w="4788" w:type="dxa"/>
            <w:tcBorders>
              <w:top w:val="nil"/>
              <w:bottom w:val="nil"/>
              <w:right w:val="nil"/>
            </w:tcBorders>
          </w:tcPr>
          <w:p w:rsidR="00D27267" w:rsidRDefault="00D27267" w:rsidP="00DB429D">
            <w:pPr>
              <w:pStyle w:val="SingleSpace"/>
            </w:pPr>
          </w:p>
          <w:p w:rsidR="00D27267" w:rsidRDefault="00D27267" w:rsidP="00DB429D">
            <w:pPr>
              <w:pStyle w:val="SingleSpace"/>
            </w:pPr>
          </w:p>
          <w:p w:rsidR="00D27267" w:rsidRPr="00AA4603" w:rsidRDefault="00D27267" w:rsidP="00ED2C2B">
            <w:pPr>
              <w:pStyle w:val="SingleSpace"/>
              <w:rPr>
                <w:u w:val="single"/>
              </w:rPr>
            </w:pPr>
            <w:r>
              <w:t>Case No. 17-</w:t>
            </w:r>
            <w:r w:rsidR="00ED2C2B">
              <w:t>1713</w:t>
            </w:r>
            <w:r>
              <w:t>-</w:t>
            </w:r>
            <w:proofErr w:type="spellStart"/>
            <w:r>
              <w:t>TP-CSS</w:t>
            </w:r>
            <w:proofErr w:type="spellEnd"/>
          </w:p>
        </w:tc>
      </w:tr>
      <w:tr w:rsidR="00D27267" w:rsidTr="00DB429D">
        <w:tc>
          <w:tcPr>
            <w:tcW w:w="4788" w:type="dxa"/>
            <w:tcBorders>
              <w:top w:val="nil"/>
              <w:left w:val="nil"/>
            </w:tcBorders>
          </w:tcPr>
          <w:p w:rsidR="00D27267" w:rsidRDefault="00D27267" w:rsidP="00DB429D">
            <w:pPr>
              <w:pStyle w:val="SingleSpace"/>
            </w:pPr>
          </w:p>
        </w:tc>
        <w:tc>
          <w:tcPr>
            <w:tcW w:w="4788" w:type="dxa"/>
            <w:tcBorders>
              <w:top w:val="nil"/>
              <w:bottom w:val="nil"/>
              <w:right w:val="nil"/>
            </w:tcBorders>
          </w:tcPr>
          <w:p w:rsidR="00D27267" w:rsidRDefault="00D27267" w:rsidP="00DB429D">
            <w:pPr>
              <w:pStyle w:val="SingleSpace"/>
            </w:pPr>
          </w:p>
        </w:tc>
      </w:tr>
    </w:tbl>
    <w:p w:rsidR="00D27267" w:rsidRDefault="00D27267" w:rsidP="00D27267">
      <w:pPr>
        <w:pStyle w:val="SingleSpace"/>
      </w:pPr>
    </w:p>
    <w:p w:rsidR="00DA70E4" w:rsidRPr="001A3B21" w:rsidRDefault="00DA70E4" w:rsidP="00D27267">
      <w:pPr>
        <w:pStyle w:val="SingleSpace"/>
        <w:jc w:val="center"/>
        <w:rPr>
          <w:b/>
        </w:rPr>
      </w:pPr>
      <w:r w:rsidRPr="001A3B21">
        <w:rPr>
          <w:b/>
        </w:rPr>
        <w:t xml:space="preserve">MOTION FOR LEAVE TO FILE </w:t>
      </w:r>
    </w:p>
    <w:p w:rsidR="00D27267" w:rsidRPr="001A3B21" w:rsidRDefault="00904639" w:rsidP="00D27267">
      <w:pPr>
        <w:pStyle w:val="SingleSpace"/>
        <w:jc w:val="center"/>
        <w:rPr>
          <w:b/>
        </w:rPr>
      </w:pPr>
      <w:r w:rsidRPr="001A3B21">
        <w:rPr>
          <w:b/>
        </w:rPr>
        <w:t xml:space="preserve">AMENDED </w:t>
      </w:r>
      <w:r w:rsidR="00D27267" w:rsidRPr="001A3B21">
        <w:rPr>
          <w:b/>
        </w:rPr>
        <w:t>COMPLAINT OF GRANITE TELECOMMUNICATIONS, LLC</w:t>
      </w:r>
    </w:p>
    <w:p w:rsidR="00D27267" w:rsidRPr="001A3B21" w:rsidRDefault="00D27267" w:rsidP="00D27267">
      <w:pPr>
        <w:pStyle w:val="SingleSpace"/>
        <w:rPr>
          <w:b/>
        </w:rPr>
      </w:pPr>
    </w:p>
    <w:p w:rsidR="00973CDB" w:rsidRPr="001A3B21" w:rsidRDefault="00D27267" w:rsidP="00D27267">
      <w:pPr>
        <w:pStyle w:val="SingleSpace"/>
        <w:spacing w:line="480" w:lineRule="auto"/>
      </w:pPr>
      <w:r w:rsidRPr="001A3B21">
        <w:rPr>
          <w:b/>
        </w:rPr>
        <w:tab/>
      </w:r>
      <w:r w:rsidRPr="001A3B21">
        <w:t xml:space="preserve">Pursuant to Ohio </w:t>
      </w:r>
      <w:r w:rsidR="00E01DF0">
        <w:t xml:space="preserve">Admin. </w:t>
      </w:r>
      <w:r w:rsidRPr="001A3B21">
        <w:t>Code</w:t>
      </w:r>
      <w:r w:rsidR="00904639" w:rsidRPr="001A3B21">
        <w:t xml:space="preserve"> </w:t>
      </w:r>
      <w:r w:rsidRPr="001A3B21">
        <w:t>Section</w:t>
      </w:r>
      <w:r w:rsidR="00973CDB" w:rsidRPr="001A3B21">
        <w:t xml:space="preserve"> </w:t>
      </w:r>
      <w:r w:rsidR="001A3B21">
        <w:t>4901-1-06</w:t>
      </w:r>
      <w:r w:rsidRPr="001A3B21">
        <w:t xml:space="preserve">, Granite Telecommunications, LLC, </w:t>
      </w:r>
      <w:r w:rsidR="00E633B9" w:rsidRPr="001A3B21">
        <w:t xml:space="preserve">(“Granite”) </w:t>
      </w:r>
      <w:r w:rsidRPr="001A3B21">
        <w:t xml:space="preserve">by and through its undersigned counsel, respectfully submits this </w:t>
      </w:r>
      <w:r w:rsidR="00973CDB" w:rsidRPr="001A3B21">
        <w:t xml:space="preserve">Motion for Leave to File </w:t>
      </w:r>
      <w:r w:rsidR="00904639" w:rsidRPr="001A3B21">
        <w:t xml:space="preserve">Amended </w:t>
      </w:r>
      <w:r w:rsidRPr="001A3B21">
        <w:t xml:space="preserve">Complaint against Ohio Bell Telephone Company d/b/a AT&amp;T Ohio </w:t>
      </w:r>
      <w:r w:rsidR="00E633B9" w:rsidRPr="001A3B21">
        <w:t>(“A</w:t>
      </w:r>
      <w:r w:rsidR="00437174" w:rsidRPr="001A3B21">
        <w:t>mended Complaint</w:t>
      </w:r>
      <w:r w:rsidR="00E633B9" w:rsidRPr="001A3B21">
        <w:t>”)</w:t>
      </w:r>
      <w:r w:rsidR="00437174" w:rsidRPr="001A3B21">
        <w:rPr>
          <w:rStyle w:val="FootnoteReference"/>
        </w:rPr>
        <w:footnoteReference w:id="1"/>
      </w:r>
      <w:r w:rsidR="00E633B9" w:rsidRPr="001A3B21">
        <w:t xml:space="preserve"> </w:t>
      </w:r>
      <w:r w:rsidRPr="001A3B21">
        <w:t xml:space="preserve">seeking resolution of a dispute between Complainant and Defendant arising out of the Defendant’s unjust, unreasonable and discriminatory pricing practices in the provision of wholesale voice services, which harm competition and consumers in Ohio and across the nation.  </w:t>
      </w:r>
    </w:p>
    <w:p w:rsidR="00D27267" w:rsidRPr="005A3D3C" w:rsidRDefault="00973CDB" w:rsidP="00D27267">
      <w:pPr>
        <w:pStyle w:val="Heading1"/>
        <w:keepNext/>
        <w:numPr>
          <w:ilvl w:val="0"/>
          <w:numId w:val="12"/>
        </w:numPr>
        <w:ind w:hanging="540"/>
        <w:rPr>
          <w:rFonts w:cs="Times New Roman"/>
          <w:b/>
          <w:szCs w:val="24"/>
        </w:rPr>
      </w:pPr>
      <w:r w:rsidRPr="005A3D3C">
        <w:rPr>
          <w:rFonts w:cs="Times New Roman"/>
          <w:b/>
          <w:szCs w:val="24"/>
        </w:rPr>
        <w:t xml:space="preserve">BACKGROUND </w:t>
      </w:r>
    </w:p>
    <w:p w:rsidR="00D27267" w:rsidRPr="001A3B21" w:rsidRDefault="00D27267" w:rsidP="00D27267">
      <w:pPr>
        <w:pStyle w:val="SingleSpace"/>
        <w:keepNext/>
        <w:rPr>
          <w:b/>
        </w:rPr>
      </w:pPr>
    </w:p>
    <w:p w:rsidR="007203D2" w:rsidRPr="001A3B21" w:rsidRDefault="00B7654E" w:rsidP="007203D2">
      <w:pPr>
        <w:pStyle w:val="DoubleSpace"/>
      </w:pPr>
      <w:r>
        <w:t>On August 1, 2017</w:t>
      </w:r>
      <w:r w:rsidR="00E633B9" w:rsidRPr="001A3B21">
        <w:t xml:space="preserve">, </w:t>
      </w:r>
      <w:r w:rsidR="00D27267" w:rsidRPr="001A3B21">
        <w:t xml:space="preserve">Granite Telecommunications, LLC (“Granite”) </w:t>
      </w:r>
      <w:r w:rsidR="00E633B9" w:rsidRPr="001A3B21">
        <w:t xml:space="preserve">filed a complaint (“Complaint”) against </w:t>
      </w:r>
      <w:r w:rsidR="00437174" w:rsidRPr="001A3B21">
        <w:t>Ohio Bell Telephone Company d/b/a AT&amp;T Ohio (“</w:t>
      </w:r>
      <w:r w:rsidR="00E633B9" w:rsidRPr="001A3B21">
        <w:t>AT&amp;T</w:t>
      </w:r>
      <w:r w:rsidR="00437174" w:rsidRPr="001A3B21">
        <w:t>”)</w:t>
      </w:r>
      <w:r w:rsidR="00E633B9" w:rsidRPr="001A3B21">
        <w:t xml:space="preserve"> in the above-referenced proceeding.  In its Complaint, Granite explained that AT&amp;T has been exploiting its status as a monopoly provider of wholesale voice services in </w:t>
      </w:r>
      <w:r w:rsidR="00E633B9" w:rsidRPr="001A3B21">
        <w:lastRenderedPageBreak/>
        <w:t xml:space="preserve">multiple locations in Ohio to eliminate Granite as a competitive threat in the provision of communications platforms to businesses that operate in Ohio and whose business AT&amp;T would like to obtain for itself.  </w:t>
      </w:r>
      <w:r w:rsidR="00C07B56" w:rsidRPr="001A3B21">
        <w:rPr>
          <w:i/>
        </w:rPr>
        <w:t>See</w:t>
      </w:r>
      <w:r w:rsidR="00C07B56" w:rsidRPr="001A3B21">
        <w:t xml:space="preserve"> Complaint </w:t>
      </w:r>
      <w:r w:rsidR="00E12A11" w:rsidRPr="001A3B21">
        <w:t>¶¶ 5-23</w:t>
      </w:r>
      <w:r w:rsidR="00C07B56" w:rsidRPr="001A3B21">
        <w:t xml:space="preserve">.  </w:t>
      </w:r>
      <w:r w:rsidR="007203D2" w:rsidRPr="001A3B21">
        <w:t>Granite explained that this conduct violates the prohibition</w:t>
      </w:r>
      <w:r w:rsidR="00850054" w:rsidRPr="001A3B21">
        <w:t>s</w:t>
      </w:r>
      <w:r w:rsidR="007203D2" w:rsidRPr="001A3B21">
        <w:t xml:space="preserve"> against unjust, unreasonable, unreasonably discriminatory, and unreasonably preferential charges and practices </w:t>
      </w:r>
      <w:r w:rsidR="00850054" w:rsidRPr="001A3B21">
        <w:t xml:space="preserve">set forth in </w:t>
      </w:r>
      <w:r w:rsidR="00E97303" w:rsidRPr="001A3B21">
        <w:t>Ohio Public Utilities Code Sections 4905.02, 4905.04, 4905.26, 4905.31, 4905.32, and 4927.21 and Sections 201 and 202 of the Communications Act of 1934</w:t>
      </w:r>
      <w:r w:rsidR="00DC2752" w:rsidRPr="001A3B21">
        <w:t>, as amended</w:t>
      </w:r>
      <w:r w:rsidR="00E97303" w:rsidRPr="001A3B21">
        <w:t>.</w:t>
      </w:r>
      <w:r w:rsidR="00C07B56" w:rsidRPr="001A3B21">
        <w:t xml:space="preserve">  </w:t>
      </w:r>
      <w:r w:rsidR="00C07B56" w:rsidRPr="001A3B21">
        <w:rPr>
          <w:i/>
        </w:rPr>
        <w:t>See id</w:t>
      </w:r>
      <w:r w:rsidR="00C07B56" w:rsidRPr="001A3B21">
        <w:t xml:space="preserve">. </w:t>
      </w:r>
      <w:r w:rsidR="00E12A11" w:rsidRPr="001A3B21">
        <w:t>¶¶ 24-43</w:t>
      </w:r>
      <w:r w:rsidR="00C07B56" w:rsidRPr="001A3B21">
        <w:t xml:space="preserve">.  </w:t>
      </w:r>
    </w:p>
    <w:p w:rsidR="00557EEB" w:rsidRPr="001A3B21" w:rsidRDefault="00E97303" w:rsidP="007203D2">
      <w:pPr>
        <w:pStyle w:val="DoubleSpace"/>
      </w:pPr>
      <w:r w:rsidRPr="001A3B21">
        <w:t xml:space="preserve">On August 21, 2017, AT&amp;T filed an Answer to Complaint, Motion to Dismiss Complaint, and a </w:t>
      </w:r>
      <w:r w:rsidR="00557EEB" w:rsidRPr="001A3B21">
        <w:t xml:space="preserve">Memorandum in Support of its Motion to Dismiss Complaint.  Granite is filing a Memorandum Contra AT&amp;T’s Motion to Dismiss (“Granite Memorandum”) on the same day </w:t>
      </w:r>
      <w:r w:rsidR="00C07B56" w:rsidRPr="001A3B21">
        <w:t xml:space="preserve">it is filing </w:t>
      </w:r>
      <w:r w:rsidR="00557EEB" w:rsidRPr="001A3B21">
        <w:t xml:space="preserve">this Motion.  </w:t>
      </w:r>
    </w:p>
    <w:p w:rsidR="00D27267" w:rsidRPr="001A3B21" w:rsidRDefault="00557EEB" w:rsidP="007203D2">
      <w:pPr>
        <w:pStyle w:val="DoubleSpace"/>
      </w:pPr>
      <w:r w:rsidRPr="001A3B21">
        <w:t xml:space="preserve">In its Memorandum, Granite explains that </w:t>
      </w:r>
      <w:r w:rsidR="004E78C7" w:rsidRPr="001A3B21">
        <w:t xml:space="preserve">AT&amp;T’s arguments in support of its Motion to Dismiss Complaint are without merit.  Among other things, Granite explains that AT&amp;T is incorrect in asserting that </w:t>
      </w:r>
      <w:r w:rsidR="0008491B" w:rsidRPr="001A3B21">
        <w:t xml:space="preserve">the terms of O.R.C. § 4927.03(C) deprive the Commission of jurisdiction to rule on claims that Granite brought under O.R.C. §§ 4905.04, 4905.22, 4905.26, 4905.31, 4905.32, 4905.33, and 4905.35.  </w:t>
      </w:r>
      <w:r w:rsidR="00C07B56" w:rsidRPr="001A3B21">
        <w:rPr>
          <w:i/>
        </w:rPr>
        <w:t>See</w:t>
      </w:r>
      <w:r w:rsidR="00C07B56" w:rsidRPr="001A3B21">
        <w:t xml:space="preserve"> Granite Memorandum at 9-11. </w:t>
      </w:r>
      <w:r w:rsidR="0008491B" w:rsidRPr="001A3B21">
        <w:t xml:space="preserve"> But Granite also explai</w:t>
      </w:r>
      <w:r w:rsidR="00DB1E15" w:rsidRPr="001A3B21">
        <w:t xml:space="preserve">ns </w:t>
      </w:r>
      <w:r w:rsidR="00C07B56" w:rsidRPr="001A3B21">
        <w:t xml:space="preserve">that, </w:t>
      </w:r>
      <w:r w:rsidR="00DB1E15" w:rsidRPr="001A3B21">
        <w:t xml:space="preserve">if the Commission determines that it does not have the authority to consider Granite’s claims alleging violations of §§ 4905.04, 4905.22, 4905.26, 4905.31, 4905.32, 4905.33, and 4905.35, the Commission may still apply those provisions in considering the Granite Complaint under O.R.C. § 4927.21.  </w:t>
      </w:r>
      <w:r w:rsidR="00C07B56" w:rsidRPr="001A3B21">
        <w:rPr>
          <w:i/>
        </w:rPr>
        <w:t>See id</w:t>
      </w:r>
      <w:r w:rsidR="00C07B56" w:rsidRPr="001A3B21">
        <w:t>. at 11</w:t>
      </w:r>
      <w:r w:rsidR="0056396E">
        <w:t>.</w:t>
      </w:r>
    </w:p>
    <w:p w:rsidR="000736D0" w:rsidRPr="001A3B21" w:rsidRDefault="0008491B" w:rsidP="000736D0">
      <w:pPr>
        <w:pStyle w:val="DoubleSpace"/>
      </w:pPr>
      <w:r w:rsidRPr="001A3B21">
        <w:lastRenderedPageBreak/>
        <w:t>In addition, Granite</w:t>
      </w:r>
      <w:r w:rsidR="00DB1E15" w:rsidRPr="001A3B21">
        <w:t xml:space="preserve"> explains</w:t>
      </w:r>
      <w:r w:rsidR="00C07B56" w:rsidRPr="001A3B21">
        <w:t xml:space="preserve"> in its Memorandum</w:t>
      </w:r>
      <w:r w:rsidR="00DB1E15" w:rsidRPr="001A3B21">
        <w:t xml:space="preserve"> that </w:t>
      </w:r>
      <w:r w:rsidR="000736D0" w:rsidRPr="001A3B21">
        <w:t>it has both an interconnection agreement with AT&amp;T, which is governed by Sections 251 and 252 of the Communications Act, a</w:t>
      </w:r>
      <w:r w:rsidR="00C07B56" w:rsidRPr="001A3B21">
        <w:t>s well as a</w:t>
      </w:r>
      <w:r w:rsidR="000736D0" w:rsidRPr="001A3B21">
        <w:t xml:space="preserve"> </w:t>
      </w:r>
      <w:r w:rsidR="00DB1E15" w:rsidRPr="001A3B21">
        <w:t>Local Wholesale Complete (“LWC”) Agreement</w:t>
      </w:r>
      <w:r w:rsidR="000736D0" w:rsidRPr="001A3B21">
        <w:t xml:space="preserve">, which is not governed by Sections 251 and 252 or any other federal or FCC rule or policy.  </w:t>
      </w:r>
      <w:r w:rsidR="00C07B56" w:rsidRPr="001A3B21">
        <w:rPr>
          <w:i/>
        </w:rPr>
        <w:t>See id</w:t>
      </w:r>
      <w:r w:rsidR="00C07B56" w:rsidRPr="001A3B21">
        <w:t xml:space="preserve">. at </w:t>
      </w:r>
      <w:r w:rsidR="00437174" w:rsidRPr="001A3B21">
        <w:t xml:space="preserve">12.  </w:t>
      </w:r>
      <w:r w:rsidR="000736D0" w:rsidRPr="001A3B21">
        <w:t xml:space="preserve">Granite clarifies that its Complaint is based on its LWC Agreement with AT&amp;T, not its interconnection with AT&amp;T. </w:t>
      </w:r>
      <w:r w:rsidR="00437174" w:rsidRPr="001A3B21">
        <w:t xml:space="preserve"> </w:t>
      </w:r>
      <w:r w:rsidR="00437174" w:rsidRPr="001A3B21">
        <w:rPr>
          <w:i/>
        </w:rPr>
        <w:t>See id.</w:t>
      </w:r>
      <w:r w:rsidR="000736D0" w:rsidRPr="001A3B21">
        <w:t xml:space="preserve"> </w:t>
      </w:r>
      <w:r w:rsidR="0056396E">
        <w:t xml:space="preserve"> </w:t>
      </w:r>
      <w:r w:rsidR="000736D0" w:rsidRPr="001A3B21">
        <w:t>Nevertheless, the Fourth Claim in Granite’s Complaint alleges violations of Section 251(c)(4) and Ohio Administrate Code 4901:1-7(E), which implements Section 251(c)(4).</w:t>
      </w:r>
      <w:r w:rsidR="00437174" w:rsidRPr="001A3B21">
        <w:t xml:space="preserve">  </w:t>
      </w:r>
      <w:r w:rsidR="00437174" w:rsidRPr="001A3B21">
        <w:rPr>
          <w:i/>
        </w:rPr>
        <w:t>See</w:t>
      </w:r>
      <w:r w:rsidR="00437174" w:rsidRPr="001A3B21">
        <w:t xml:space="preserve"> Complaint </w:t>
      </w:r>
      <w:r w:rsidR="00E12A11" w:rsidRPr="001A3B21">
        <w:t>¶¶ 34-37</w:t>
      </w:r>
      <w:r w:rsidR="00437174" w:rsidRPr="001A3B21">
        <w:t>.</w:t>
      </w:r>
    </w:p>
    <w:p w:rsidR="00DB1E15" w:rsidRPr="001A3B21" w:rsidRDefault="000736D0" w:rsidP="000526EB">
      <w:pPr>
        <w:pStyle w:val="DoubleSpace"/>
      </w:pPr>
      <w:r w:rsidRPr="001A3B21">
        <w:t xml:space="preserve">Finally, Granite explains in its Memorandum that AT&amp;T is incorrect in asserting that Granite failed to allege the facts necessary to assert a violation of O.R.C. §§ 4905.33 and 4905.35.  </w:t>
      </w:r>
      <w:r w:rsidR="00850054" w:rsidRPr="001A3B21">
        <w:rPr>
          <w:i/>
        </w:rPr>
        <w:t>See</w:t>
      </w:r>
      <w:r w:rsidR="00850054" w:rsidRPr="001A3B21">
        <w:t xml:space="preserve"> </w:t>
      </w:r>
      <w:r w:rsidR="00437174" w:rsidRPr="001A3B21">
        <w:t>Granite Memorandum at 24-27.</w:t>
      </w:r>
    </w:p>
    <w:p w:rsidR="00D27267" w:rsidRPr="005A3D3C" w:rsidRDefault="00973CDB" w:rsidP="00D27267">
      <w:pPr>
        <w:pStyle w:val="Heading1"/>
        <w:keepNext/>
        <w:numPr>
          <w:ilvl w:val="0"/>
          <w:numId w:val="12"/>
        </w:numPr>
        <w:ind w:hanging="450"/>
        <w:rPr>
          <w:rFonts w:cs="Times New Roman"/>
          <w:b/>
          <w:szCs w:val="24"/>
        </w:rPr>
      </w:pPr>
      <w:r w:rsidRPr="005A3D3C">
        <w:rPr>
          <w:rFonts w:cs="Times New Roman"/>
          <w:b/>
          <w:szCs w:val="24"/>
        </w:rPr>
        <w:t xml:space="preserve">ARGUMENT </w:t>
      </w:r>
    </w:p>
    <w:p w:rsidR="00D27267" w:rsidRPr="001A3B21" w:rsidRDefault="00D27267" w:rsidP="00D27267">
      <w:pPr>
        <w:pStyle w:val="SingleSpace"/>
        <w:keepNext/>
      </w:pPr>
    </w:p>
    <w:p w:rsidR="001A3B21" w:rsidRPr="001A3B21" w:rsidRDefault="001A3B21" w:rsidP="00D27267">
      <w:pPr>
        <w:pStyle w:val="DoubleSpace"/>
      </w:pPr>
      <w:r w:rsidRPr="001A3B21">
        <w:t xml:space="preserve">Granite’s original Complaint demonstrated reasonable grounds for its claims.  Nevertheless, </w:t>
      </w:r>
      <w:r w:rsidR="000526EB" w:rsidRPr="001A3B21">
        <w:t>Granite</w:t>
      </w:r>
      <w:r w:rsidRPr="001A3B21">
        <w:t xml:space="preserve"> seeks leave to amend its Complaint in order address a number of AT&amp;T objections to its original Complaint by clarifying the specific bases and theories upon which its Complaint is founded.</w:t>
      </w:r>
    </w:p>
    <w:p w:rsidR="000526EB" w:rsidRPr="001A3B21" w:rsidRDefault="001A3B21" w:rsidP="00D27267">
      <w:pPr>
        <w:pStyle w:val="DoubleSpace"/>
      </w:pPr>
      <w:r w:rsidRPr="001A3B21">
        <w:t>The</w:t>
      </w:r>
      <w:r w:rsidR="000526EB" w:rsidRPr="001A3B21">
        <w:t xml:space="preserve"> A</w:t>
      </w:r>
      <w:r w:rsidR="009059E0" w:rsidRPr="001A3B21">
        <w:t xml:space="preserve">mended Complaint contains four </w:t>
      </w:r>
      <w:r w:rsidR="003C791E" w:rsidRPr="001A3B21">
        <w:t xml:space="preserve">primary </w:t>
      </w:r>
      <w:r w:rsidR="000526EB" w:rsidRPr="001A3B21">
        <w:t xml:space="preserve">changes to Granite’s original Complaint in this proceeding.  First, Granite has added a claim alleging </w:t>
      </w:r>
      <w:r w:rsidR="00146361" w:rsidRPr="001A3B21">
        <w:t xml:space="preserve">that AT&amp;T’s existing and proposed </w:t>
      </w:r>
      <w:r w:rsidR="000526EB" w:rsidRPr="001A3B21">
        <w:t>rate</w:t>
      </w:r>
      <w:r w:rsidR="00146361" w:rsidRPr="001A3B21">
        <w:t xml:space="preserve">s and </w:t>
      </w:r>
      <w:r w:rsidR="000526EB" w:rsidRPr="001A3B21">
        <w:t>practice</w:t>
      </w:r>
      <w:r w:rsidR="00146361" w:rsidRPr="001A3B21">
        <w:t xml:space="preserve">s under the existing and proposed LWC Agreements are </w:t>
      </w:r>
      <w:r w:rsidR="000526EB" w:rsidRPr="001A3B21">
        <w:t xml:space="preserve">unjust, unreasonable, </w:t>
      </w:r>
      <w:r w:rsidR="00146361" w:rsidRPr="001A3B21">
        <w:t xml:space="preserve">and </w:t>
      </w:r>
      <w:r w:rsidR="000526EB" w:rsidRPr="001A3B21">
        <w:t>unjustly discriminatory</w:t>
      </w:r>
      <w:r w:rsidR="00146361" w:rsidRPr="001A3B21">
        <w:t xml:space="preserve"> under O.R.C. §</w:t>
      </w:r>
      <w:r w:rsidR="0056396E">
        <w:t> </w:t>
      </w:r>
      <w:r w:rsidR="00146361" w:rsidRPr="001A3B21">
        <w:t>4927.03(C).</w:t>
      </w:r>
      <w:r w:rsidR="00437174" w:rsidRPr="001A3B21">
        <w:t xml:space="preserve">  </w:t>
      </w:r>
      <w:r w:rsidR="00437174" w:rsidRPr="001A3B21">
        <w:rPr>
          <w:i/>
        </w:rPr>
        <w:t>See</w:t>
      </w:r>
      <w:r w:rsidR="00437174" w:rsidRPr="001A3B21">
        <w:t xml:space="preserve"> Amended Complaint </w:t>
      </w:r>
      <w:r w:rsidR="00E12A11" w:rsidRPr="001A3B21">
        <w:t>¶¶ 4</w:t>
      </w:r>
      <w:r w:rsidR="00437174" w:rsidRPr="001A3B21">
        <w:t>1</w:t>
      </w:r>
      <w:r w:rsidR="00E12A11" w:rsidRPr="001A3B21">
        <w:t>-42</w:t>
      </w:r>
      <w:r w:rsidR="00437174" w:rsidRPr="001A3B21">
        <w:t>.</w:t>
      </w:r>
    </w:p>
    <w:p w:rsidR="00146361" w:rsidRPr="001A3B21" w:rsidRDefault="00146361" w:rsidP="00D27267">
      <w:pPr>
        <w:pStyle w:val="DoubleSpace"/>
      </w:pPr>
      <w:r w:rsidRPr="001A3B21">
        <w:lastRenderedPageBreak/>
        <w:t>Second, Granite has added language clarifying that, while Granite and AT&amp;T have an interconnection agreement in Ohio and an LWC Agreement, Granite’s complaint pertains only to the LWC Agreement.</w:t>
      </w:r>
      <w:r w:rsidR="00437174" w:rsidRPr="001A3B21">
        <w:t xml:space="preserve">  </w:t>
      </w:r>
      <w:r w:rsidR="00437174" w:rsidRPr="001A3B21">
        <w:rPr>
          <w:i/>
        </w:rPr>
        <w:t>See</w:t>
      </w:r>
      <w:r w:rsidR="00437174" w:rsidRPr="001A3B21">
        <w:t xml:space="preserve"> </w:t>
      </w:r>
      <w:r w:rsidR="00FC4CA2" w:rsidRPr="001A3B21">
        <w:rPr>
          <w:i/>
        </w:rPr>
        <w:t>id.</w:t>
      </w:r>
      <w:r w:rsidR="00437174" w:rsidRPr="001A3B21">
        <w:t xml:space="preserve"> </w:t>
      </w:r>
      <w:r w:rsidR="00E12A11" w:rsidRPr="001A3B21">
        <w:t>¶ 14</w:t>
      </w:r>
      <w:r w:rsidR="00FC4CA2" w:rsidRPr="001A3B21">
        <w:t xml:space="preserve">. </w:t>
      </w:r>
      <w:r w:rsidRPr="001A3B21">
        <w:t xml:space="preserve"> As such, Granite’s claims are not based on a violation of Sections 251 and 252 of the Communications Act or Commission rules implementing that those provisions.  </w:t>
      </w:r>
      <w:r w:rsidR="00FC4CA2" w:rsidRPr="001A3B21">
        <w:rPr>
          <w:i/>
        </w:rPr>
        <w:t>See id</w:t>
      </w:r>
      <w:r w:rsidR="00FC4CA2" w:rsidRPr="001A3B21">
        <w:t xml:space="preserve">. </w:t>
      </w:r>
      <w:r w:rsidR="00E12A11" w:rsidRPr="001A3B21">
        <w:t>¶ 14</w:t>
      </w:r>
      <w:r w:rsidR="00FC4CA2" w:rsidRPr="001A3B21">
        <w:t xml:space="preserve"> n.3.  </w:t>
      </w:r>
      <w:r w:rsidRPr="001A3B21">
        <w:t xml:space="preserve">Consistent with that approach, Granite has removed from the Amended Complaint the Fourth Claim in the original Complaint because that claim alleged a violation of Section 251(c)(4) and </w:t>
      </w:r>
      <w:r w:rsidR="004044FE" w:rsidRPr="001A3B21">
        <w:t>Ohio Administrate Code 4901:1-7(E), which implements Section 251(c)(4).</w:t>
      </w:r>
    </w:p>
    <w:p w:rsidR="004044FE" w:rsidRPr="001A3B21" w:rsidRDefault="004044FE" w:rsidP="00D27267">
      <w:pPr>
        <w:pStyle w:val="DoubleSpace"/>
      </w:pPr>
      <w:r w:rsidRPr="001A3B21">
        <w:t xml:space="preserve">Third, </w:t>
      </w:r>
      <w:r w:rsidR="009B671E" w:rsidRPr="001A3B21">
        <w:t xml:space="preserve">Granite has provided a more detailed explanation of the manner in which AT&amp;T’s prices and practices violate the prohibitions against discrimination and preferences in O.R.C. §§ 4905.33 and 4905.35.  </w:t>
      </w:r>
      <w:r w:rsidR="00FC4CA2" w:rsidRPr="001A3B21">
        <w:rPr>
          <w:i/>
        </w:rPr>
        <w:t>See id</w:t>
      </w:r>
      <w:r w:rsidR="00FC4CA2" w:rsidRPr="001A3B21">
        <w:t xml:space="preserve">. </w:t>
      </w:r>
      <w:r w:rsidR="00E12A11" w:rsidRPr="001A3B21">
        <w:t>¶¶ 20, 36-39</w:t>
      </w:r>
      <w:r w:rsidR="00FC4CA2" w:rsidRPr="001A3B21">
        <w:t>.</w:t>
      </w:r>
    </w:p>
    <w:p w:rsidR="009059E0" w:rsidRPr="001A3B21" w:rsidRDefault="009059E0" w:rsidP="00D27267">
      <w:pPr>
        <w:pStyle w:val="DoubleSpace"/>
      </w:pPr>
      <w:r w:rsidRPr="001A3B21">
        <w:t>Fourth, Granite added a prayer for relief asking that the Commission mandate changes to the wholesale prices that AT&amp;T charges Granite under the existing and future LWC Agreements, as needed, to ensure that those rates are just, reasonable, not unjustly or unreasonably discriminatory or preferential</w:t>
      </w:r>
      <w:r w:rsidR="00E12A11" w:rsidRPr="001A3B21">
        <w:t xml:space="preserve">.  </w:t>
      </w:r>
      <w:r w:rsidR="00E12A11" w:rsidRPr="001A3B21">
        <w:rPr>
          <w:i/>
        </w:rPr>
        <w:t>See id.</w:t>
      </w:r>
      <w:r w:rsidR="00E12A11" w:rsidRPr="001A3B21">
        <w:t xml:space="preserve"> at 22.</w:t>
      </w:r>
    </w:p>
    <w:p w:rsidR="001A3B21" w:rsidRPr="001A3B21" w:rsidRDefault="001A3B21" w:rsidP="001A3B21">
      <w:pPr>
        <w:pStyle w:val="DoubleSpace"/>
      </w:pPr>
      <w:r w:rsidRPr="001A3B21">
        <w:t>There is ample basis under Ohio law to permit these amendments.  Ohio Admin. Code section 4901-01-06 provides that this Commission, its legal director or the attorney examiner may, upon their o</w:t>
      </w:r>
      <w:r w:rsidR="008E07A8">
        <w:t>wn motion or upon motion of any</w:t>
      </w:r>
      <w:r w:rsidRPr="001A3B21">
        <w:t xml:space="preserve"> party, for good cause shown, authorize the amendment of any complaint or other pleading.  Commission precedent and Ohio public policy suggest that, upon a demonstration of good cause, leave to amend will be liberally granted. </w:t>
      </w:r>
      <w:r w:rsidR="0056396E">
        <w:t xml:space="preserve"> </w:t>
      </w:r>
      <w:r w:rsidRPr="001A3B21">
        <w:rPr>
          <w:i/>
        </w:rPr>
        <w:t>See</w:t>
      </w:r>
      <w:r w:rsidR="0056396E">
        <w:rPr>
          <w:i/>
        </w:rPr>
        <w:t>,</w:t>
      </w:r>
      <w:r w:rsidRPr="001A3B21">
        <w:rPr>
          <w:i/>
        </w:rPr>
        <w:t xml:space="preserve"> e.g.</w:t>
      </w:r>
      <w:r w:rsidRPr="005A3D3C">
        <w:t>,</w:t>
      </w:r>
      <w:r w:rsidRPr="001A3B21">
        <w:rPr>
          <w:i/>
        </w:rPr>
        <w:t xml:space="preserve"> Rooms, Inc. et al. v. Ameritech Ohio, Inc.</w:t>
      </w:r>
      <w:r w:rsidRPr="005A3D3C">
        <w:t>,</w:t>
      </w:r>
      <w:r w:rsidRPr="001A3B21">
        <w:rPr>
          <w:i/>
        </w:rPr>
        <w:t xml:space="preserve"> </w:t>
      </w:r>
      <w:r w:rsidR="0043329C">
        <w:t xml:space="preserve">No. 95-316-TP-CSS, </w:t>
      </w:r>
      <w:hyperlink r:id="rId7" w:history="1">
        <w:r w:rsidRPr="001A3B21">
          <w:rPr>
            <w:bdr w:val="none" w:sz="0" w:space="0" w:color="auto" w:frame="1"/>
            <w:shd w:val="clear" w:color="auto" w:fill="FFFFFF"/>
          </w:rPr>
          <w:t>1995 Ohio PUC LEXIS 388</w:t>
        </w:r>
      </w:hyperlink>
      <w:r w:rsidRPr="001A3B21">
        <w:t>,</w:t>
      </w:r>
      <w:r w:rsidR="0043329C">
        <w:t xml:space="preserve"> Opinion at </w:t>
      </w:r>
      <w:r w:rsidR="0043329C">
        <w:lastRenderedPageBreak/>
        <w:t>*3 (Ohio P.U.C. May 12, 1995)</w:t>
      </w:r>
      <w:r w:rsidRPr="001A3B21">
        <w:t xml:space="preserve"> (motion to strike amended pleading denied even though leave to amend had not expressly been sought.)</w:t>
      </w:r>
      <w:r w:rsidR="00E01DF0">
        <w:t>;</w:t>
      </w:r>
      <w:r w:rsidRPr="001A3B21">
        <w:t xml:space="preserve"> </w:t>
      </w:r>
      <w:r w:rsidRPr="001A3B21">
        <w:rPr>
          <w:i/>
        </w:rPr>
        <w:t>Stancourt v. Worthington City Sch. Dist. Bd. of Educ.</w:t>
      </w:r>
      <w:r w:rsidRPr="005A3D3C">
        <w:t>,</w:t>
      </w:r>
      <w:r w:rsidRPr="001A3B21">
        <w:rPr>
          <w:i/>
        </w:rPr>
        <w:t xml:space="preserve"> </w:t>
      </w:r>
      <w:r w:rsidRPr="001A3B21">
        <w:t xml:space="preserve">164 Ohio App. 3d 184, </w:t>
      </w:r>
      <w:r w:rsidR="0043329C">
        <w:t xml:space="preserve">204, </w:t>
      </w:r>
      <w:r w:rsidRPr="001A3B21">
        <w:t xml:space="preserve">841 N.E.2d 812, </w:t>
      </w:r>
      <w:r w:rsidR="0043329C">
        <w:t xml:space="preserve">831 </w:t>
      </w:r>
      <w:r w:rsidRPr="001A3B21">
        <w:t>(2005) (Ohio law favors the disposition of cases on their merits, and a hearing officer should dismiss a case with prejudice only where the</w:t>
      </w:r>
      <w:r w:rsidR="00E01DF0">
        <w:t xml:space="preserve"> conduct of a party is</w:t>
      </w:r>
      <w:r w:rsidRPr="001A3B21">
        <w:t xml:space="preserve"> negligent, irresponsible, contumacious or dilatory so a</w:t>
      </w:r>
      <w:r w:rsidR="00E01DF0">
        <w:t>s</w:t>
      </w:r>
      <w:r w:rsidRPr="001A3B21">
        <w:t xml:space="preserve"> to provide substantial grounds for dismissal with prejudice.).</w:t>
      </w:r>
    </w:p>
    <w:p w:rsidR="001D132A" w:rsidRPr="001A3B21" w:rsidRDefault="001A3B21" w:rsidP="001A3B21">
      <w:pPr>
        <w:pStyle w:val="DoubleSpace"/>
      </w:pPr>
      <w:r w:rsidRPr="001A3B21">
        <w:t>Granite’s proposed amendments meet th</w:t>
      </w:r>
      <w:r w:rsidR="00E01DF0">
        <w:t xml:space="preserve">e good cause </w:t>
      </w:r>
      <w:r w:rsidRPr="001A3B21">
        <w:t xml:space="preserve">standard for approval.  </w:t>
      </w:r>
      <w:r w:rsidR="006A461F" w:rsidRPr="001A3B21">
        <w:t>Refining and clarifying the claims in the Complaint will help ensure that the appropriate legal principles appl</w:t>
      </w:r>
      <w:r w:rsidR="00850054" w:rsidRPr="001A3B21">
        <w:t>y</w:t>
      </w:r>
      <w:r w:rsidR="006A461F" w:rsidRPr="001A3B21">
        <w:t xml:space="preserve"> to the dispute between Granite and AT&amp;T.  </w:t>
      </w:r>
      <w:r w:rsidR="00FC4CA2" w:rsidRPr="001A3B21">
        <w:t xml:space="preserve">It is therefore more likely that this proceeding will produce a just result.  </w:t>
      </w:r>
      <w:r w:rsidR="006A461F" w:rsidRPr="001A3B21">
        <w:t xml:space="preserve">Such clarification will </w:t>
      </w:r>
      <w:r w:rsidR="00E01DF0">
        <w:t xml:space="preserve">also </w:t>
      </w:r>
      <w:r w:rsidR="006A461F" w:rsidRPr="001A3B21">
        <w:t xml:space="preserve">make it more efficient for the parties and the Commission to review Granite’s claims because attention and resources will not be expended </w:t>
      </w:r>
      <w:r w:rsidR="00FC4CA2" w:rsidRPr="001A3B21">
        <w:t xml:space="preserve">unnecessarily </w:t>
      </w:r>
      <w:r w:rsidR="006A461F" w:rsidRPr="001A3B21">
        <w:t>on clarifying Granite’s claims and the relevant legal standards.</w:t>
      </w:r>
      <w:r w:rsidRPr="001A3B21">
        <w:t xml:space="preserve">  </w:t>
      </w:r>
    </w:p>
    <w:p w:rsidR="009B671E" w:rsidRPr="001A3B21" w:rsidRDefault="009B671E" w:rsidP="00DA70E4">
      <w:pPr>
        <w:pStyle w:val="DoubleSpace"/>
      </w:pPr>
      <w:r w:rsidRPr="001A3B21">
        <w:t>Moreover,</w:t>
      </w:r>
      <w:r w:rsidR="009776C8">
        <w:t xml:space="preserve"> allowing Granite to amend its C</w:t>
      </w:r>
      <w:r w:rsidRPr="001A3B21">
        <w:t>omplaint at this stage in the proceeding will not harm AT&amp;T</w:t>
      </w:r>
      <w:r w:rsidR="00E01DF0">
        <w:t xml:space="preserve"> or the Commission</w:t>
      </w:r>
      <w:r w:rsidRPr="001A3B21">
        <w:t xml:space="preserve">.  </w:t>
      </w:r>
      <w:r w:rsidR="006A461F" w:rsidRPr="001A3B21">
        <w:t xml:space="preserve">To begin with, Granite has eliminated the Fourth Claim in Granite’s original Complaint (alleging violation of Section 251(c)(4) and Ohio Administrate Code 4901:1-7(E)), thus obviating </w:t>
      </w:r>
      <w:r w:rsidR="009776C8">
        <w:t xml:space="preserve">the need for AT&amp;T to address that </w:t>
      </w:r>
      <w:r w:rsidR="006A461F" w:rsidRPr="001A3B21">
        <w:t>issue.</w:t>
      </w:r>
      <w:r w:rsidR="001A3B21" w:rsidRPr="001A3B21">
        <w:t xml:space="preserve">  Moreover, the Amended Complaint will render moot AT&amp;T’s motion to dismiss, conserving the resources of the parties and this Commission, and permitting this matter to proceed to an expeditious determination o</w:t>
      </w:r>
      <w:r w:rsidR="009776C8">
        <w:t>f</w:t>
      </w:r>
      <w:r w:rsidR="001A3B21" w:rsidRPr="001A3B21">
        <w:t xml:space="preserve"> the merits.  </w:t>
      </w:r>
      <w:r w:rsidR="001A3B21" w:rsidRPr="001A3B21">
        <w:rPr>
          <w:i/>
        </w:rPr>
        <w:t>See</w:t>
      </w:r>
      <w:r w:rsidR="001A3B21" w:rsidRPr="001A3B21">
        <w:t xml:space="preserve"> </w:t>
      </w:r>
      <w:r w:rsidR="001A3B21" w:rsidRPr="001A3B21">
        <w:rPr>
          <w:i/>
        </w:rPr>
        <w:t>Complaint of Sprint Communications Company, L</w:t>
      </w:r>
      <w:r w:rsidR="0043329C">
        <w:rPr>
          <w:i/>
        </w:rPr>
        <w:t>.</w:t>
      </w:r>
      <w:r w:rsidR="001A3B21" w:rsidRPr="001A3B21">
        <w:rPr>
          <w:i/>
        </w:rPr>
        <w:t xml:space="preserve">P. </w:t>
      </w:r>
      <w:r w:rsidR="0056396E">
        <w:rPr>
          <w:i/>
        </w:rPr>
        <w:t>v</w:t>
      </w:r>
      <w:r w:rsidR="001A3B21" w:rsidRPr="001A3B21">
        <w:rPr>
          <w:i/>
        </w:rPr>
        <w:t>. Ameritech Ohio</w:t>
      </w:r>
      <w:r w:rsidR="0043329C">
        <w:t>,</w:t>
      </w:r>
      <w:r w:rsidR="001A3B21" w:rsidRPr="001A3B21">
        <w:t xml:space="preserve"> </w:t>
      </w:r>
      <w:r w:rsidR="0043329C">
        <w:t xml:space="preserve">No. 96-142-TP-CSS, </w:t>
      </w:r>
      <w:hyperlink r:id="rId8" w:history="1">
        <w:r w:rsidR="001A3B21" w:rsidRPr="001A3B21">
          <w:rPr>
            <w:bdr w:val="none" w:sz="0" w:space="0" w:color="auto" w:frame="1"/>
            <w:shd w:val="clear" w:color="auto" w:fill="FFFFFF"/>
          </w:rPr>
          <w:t>1996 Ohio PUC LEXIS 179</w:t>
        </w:r>
      </w:hyperlink>
      <w:r w:rsidR="0043329C">
        <w:rPr>
          <w:bdr w:val="none" w:sz="0" w:space="0" w:color="auto" w:frame="1"/>
          <w:shd w:val="clear" w:color="auto" w:fill="FFFFFF"/>
        </w:rPr>
        <w:t>, at *2</w:t>
      </w:r>
      <w:r w:rsidR="001A3B21" w:rsidRPr="001A3B21">
        <w:t xml:space="preserve"> </w:t>
      </w:r>
      <w:r w:rsidR="001A3B21" w:rsidRPr="001A3B21">
        <w:rPr>
          <w:bdr w:val="none" w:sz="0" w:space="0" w:color="auto" w:frame="1"/>
          <w:shd w:val="clear" w:color="auto" w:fill="FFFFFF"/>
        </w:rPr>
        <w:t xml:space="preserve">(Motion to dismiss rendered moot by </w:t>
      </w:r>
      <w:r w:rsidR="001A3B21" w:rsidRPr="001A3B21">
        <w:rPr>
          <w:bdr w:val="none" w:sz="0" w:space="0" w:color="auto" w:frame="1"/>
          <w:shd w:val="clear" w:color="auto" w:fill="FFFFFF"/>
        </w:rPr>
        <w:lastRenderedPageBreak/>
        <w:t>Amended Complaint)</w:t>
      </w:r>
      <w:r w:rsidR="00E01DF0">
        <w:rPr>
          <w:bdr w:val="none" w:sz="0" w:space="0" w:color="auto" w:frame="1"/>
          <w:shd w:val="clear" w:color="auto" w:fill="FFFFFF"/>
        </w:rPr>
        <w:t xml:space="preserve">; </w:t>
      </w:r>
      <w:r w:rsidR="001A3B21" w:rsidRPr="001A3B21">
        <w:rPr>
          <w:i/>
        </w:rPr>
        <w:t>Kemper v. German Body Shop</w:t>
      </w:r>
      <w:r w:rsidR="0043329C">
        <w:t xml:space="preserve">, No. 09CVH-15514, </w:t>
      </w:r>
      <w:hyperlink r:id="rId9" w:history="1">
        <w:r w:rsidR="001A3B21" w:rsidRPr="001A3B21">
          <w:rPr>
            <w:bdr w:val="none" w:sz="0" w:space="0" w:color="auto" w:frame="1"/>
            <w:shd w:val="clear" w:color="auto" w:fill="FFFFFF"/>
          </w:rPr>
          <w:t>2009 Ohio Misc. LEXIS 9170</w:t>
        </w:r>
        <w:r w:rsidR="0043329C">
          <w:rPr>
            <w:bdr w:val="none" w:sz="0" w:space="0" w:color="auto" w:frame="1"/>
            <w:shd w:val="clear" w:color="auto" w:fill="FFFFFF"/>
          </w:rPr>
          <w:t>, at *5</w:t>
        </w:r>
        <w:r w:rsidR="001A3B21" w:rsidRPr="001A3B21">
          <w:rPr>
            <w:bdr w:val="none" w:sz="0" w:space="0" w:color="auto" w:frame="1"/>
            <w:shd w:val="clear" w:color="auto" w:fill="FFFFFF"/>
          </w:rPr>
          <w:t xml:space="preserve"> (</w:t>
        </w:r>
        <w:r w:rsidR="0043329C">
          <w:rPr>
            <w:bdr w:val="none" w:sz="0" w:space="0" w:color="auto" w:frame="1"/>
            <w:shd w:val="clear" w:color="auto" w:fill="FFFFFF"/>
          </w:rPr>
          <w:t xml:space="preserve">Franklin </w:t>
        </w:r>
        <w:proofErr w:type="spellStart"/>
        <w:r w:rsidR="0043329C">
          <w:rPr>
            <w:bdr w:val="none" w:sz="0" w:space="0" w:color="auto" w:frame="1"/>
            <w:shd w:val="clear" w:color="auto" w:fill="FFFFFF"/>
          </w:rPr>
          <w:t>Cty</w:t>
        </w:r>
        <w:proofErr w:type="spellEnd"/>
        <w:r w:rsidR="0043329C">
          <w:rPr>
            <w:bdr w:val="none" w:sz="0" w:space="0" w:color="auto" w:frame="1"/>
            <w:shd w:val="clear" w:color="auto" w:fill="FFFFFF"/>
          </w:rPr>
          <w:t xml:space="preserve">. </w:t>
        </w:r>
        <w:r w:rsidR="001A3B21" w:rsidRPr="001A3B21">
          <w:rPr>
            <w:bdr w:val="none" w:sz="0" w:space="0" w:color="auto" w:frame="1"/>
            <w:shd w:val="clear" w:color="auto" w:fill="FFFFFF"/>
          </w:rPr>
          <w:t>C.P. 2009)</w:t>
        </w:r>
      </w:hyperlink>
      <w:r w:rsidR="001A3B21" w:rsidRPr="001A3B21">
        <w:t xml:space="preserve"> (Amended complaint rendered motion to dismiss first complaint moot).</w:t>
      </w:r>
      <w:r w:rsidR="006A461F" w:rsidRPr="001A3B21">
        <w:t xml:space="preserve">  </w:t>
      </w:r>
      <w:r w:rsidR="009776C8">
        <w:t xml:space="preserve">Finally, </w:t>
      </w:r>
      <w:bookmarkStart w:id="0" w:name="_GoBack"/>
      <w:bookmarkEnd w:id="0"/>
      <w:r w:rsidR="006A461F" w:rsidRPr="001A3B21">
        <w:t xml:space="preserve">Granite has sought to amend its Complaint </w:t>
      </w:r>
      <w:r w:rsidR="00FC4CA2" w:rsidRPr="001A3B21">
        <w:t xml:space="preserve">at an </w:t>
      </w:r>
      <w:r w:rsidR="006A461F" w:rsidRPr="001A3B21">
        <w:t>early</w:t>
      </w:r>
      <w:r w:rsidR="00FC4CA2" w:rsidRPr="001A3B21">
        <w:t xml:space="preserve"> stage in this proceeding</w:t>
      </w:r>
      <w:r w:rsidR="006A461F" w:rsidRPr="001A3B21">
        <w:t xml:space="preserve">.  By filing this Motion on the same day as Granite’s Memorandum, the Commission may rule on the Motion before the deadline for AT&amp;T’s response to Granite’s Memorandum. </w:t>
      </w:r>
      <w:r w:rsidR="0056396E">
        <w:t xml:space="preserve"> </w:t>
      </w:r>
      <w:r w:rsidR="006A461F" w:rsidRPr="001A3B21">
        <w:t xml:space="preserve">This minimizes the resources that AT&amp;T must expend in addressing the original Complaint. </w:t>
      </w:r>
    </w:p>
    <w:p w:rsidR="00D27267" w:rsidRPr="005A3D3C" w:rsidRDefault="00D27267" w:rsidP="00D27267">
      <w:pPr>
        <w:pStyle w:val="Heading1"/>
        <w:keepNext/>
        <w:numPr>
          <w:ilvl w:val="0"/>
          <w:numId w:val="12"/>
        </w:numPr>
        <w:rPr>
          <w:rFonts w:cs="Times New Roman"/>
          <w:b/>
          <w:szCs w:val="24"/>
        </w:rPr>
      </w:pPr>
      <w:r w:rsidRPr="005A3D3C">
        <w:rPr>
          <w:rFonts w:cs="Times New Roman"/>
          <w:b/>
          <w:szCs w:val="24"/>
        </w:rPr>
        <w:t>PRAYER FOR RELIEF</w:t>
      </w:r>
    </w:p>
    <w:p w:rsidR="00D27267" w:rsidRPr="001A3B21" w:rsidRDefault="00D27267" w:rsidP="00D27267">
      <w:pPr>
        <w:pStyle w:val="SingleSpace"/>
        <w:keepNext/>
        <w:rPr>
          <w:b/>
        </w:rPr>
      </w:pPr>
    </w:p>
    <w:p w:rsidR="00C07B56" w:rsidRPr="001A3B21" w:rsidRDefault="00D27267" w:rsidP="003B5A5A">
      <w:pPr>
        <w:pStyle w:val="SingleSpace"/>
        <w:keepNext/>
        <w:spacing w:line="480" w:lineRule="auto"/>
        <w:ind w:firstLine="720"/>
      </w:pPr>
      <w:r w:rsidRPr="001A3B21">
        <w:t>WHEREFORE, Granite respectfully requests th</w:t>
      </w:r>
      <w:r w:rsidR="00C07B56" w:rsidRPr="001A3B21">
        <w:t xml:space="preserve">at the Commission grant Granite’s request for leave to file the Amended Complaint.  </w:t>
      </w:r>
    </w:p>
    <w:p w:rsidR="00A2339F" w:rsidRDefault="00A2339F" w:rsidP="00A2339F">
      <w:pPr>
        <w:spacing w:line="480" w:lineRule="auto"/>
        <w:ind w:left="3600" w:right="720" w:firstLine="720"/>
        <w:rPr>
          <w:b/>
          <w:u w:val="single"/>
        </w:rPr>
      </w:pPr>
      <w:r>
        <w:t>Respectfully Submitted,</w:t>
      </w:r>
    </w:p>
    <w:tbl>
      <w:tblPr>
        <w:tblW w:w="0" w:type="auto"/>
        <w:tblLook w:val="04A0"/>
      </w:tblPr>
      <w:tblGrid>
        <w:gridCol w:w="4338"/>
        <w:gridCol w:w="450"/>
        <w:gridCol w:w="4788"/>
      </w:tblGrid>
      <w:tr w:rsidR="00A2339F" w:rsidRPr="009F3557" w:rsidTr="004032CC">
        <w:tc>
          <w:tcPr>
            <w:tcW w:w="4338" w:type="dxa"/>
            <w:shd w:val="clear" w:color="auto" w:fill="auto"/>
          </w:tcPr>
          <w:p w:rsidR="00A2339F" w:rsidRPr="009F3557" w:rsidRDefault="00A2339F" w:rsidP="004032CC">
            <w:pPr>
              <w:widowControl w:val="0"/>
              <w:autoSpaceDE w:val="0"/>
              <w:autoSpaceDN w:val="0"/>
              <w:rPr>
                <w:b/>
                <w:u w:val="single"/>
              </w:rPr>
            </w:pPr>
          </w:p>
          <w:p w:rsidR="00A2339F" w:rsidRPr="009F3557" w:rsidRDefault="00A2339F" w:rsidP="004032CC">
            <w:pPr>
              <w:widowControl w:val="0"/>
              <w:autoSpaceDE w:val="0"/>
              <w:autoSpaceDN w:val="0"/>
              <w:rPr>
                <w:b/>
                <w:u w:val="single"/>
              </w:rPr>
            </w:pPr>
          </w:p>
        </w:tc>
        <w:tc>
          <w:tcPr>
            <w:tcW w:w="5238" w:type="dxa"/>
            <w:gridSpan w:val="2"/>
            <w:shd w:val="clear" w:color="auto" w:fill="auto"/>
          </w:tcPr>
          <w:p w:rsidR="00A2339F" w:rsidRPr="009F3557" w:rsidRDefault="00A2339F" w:rsidP="004032CC">
            <w:pPr>
              <w:widowControl w:val="0"/>
              <w:autoSpaceDE w:val="0"/>
              <w:autoSpaceDN w:val="0"/>
            </w:pPr>
          </w:p>
          <w:p w:rsidR="00A2339F" w:rsidRPr="00E86FA9" w:rsidRDefault="00A2339F" w:rsidP="004032CC">
            <w:pPr>
              <w:widowControl w:val="0"/>
              <w:autoSpaceDE w:val="0"/>
              <w:autoSpaceDN w:val="0"/>
              <w:rPr>
                <w:u w:val="single"/>
              </w:rPr>
            </w:pPr>
            <w:r w:rsidRPr="00E86FA9">
              <w:rPr>
                <w:u w:val="single"/>
              </w:rPr>
              <w:t xml:space="preserve">/s/ </w:t>
            </w:r>
            <w:r>
              <w:rPr>
                <w:u w:val="single"/>
              </w:rPr>
              <w:t xml:space="preserve">Michael D. Dortch                    </w:t>
            </w:r>
            <w:r w:rsidRPr="00E86FA9">
              <w:rPr>
                <w:color w:val="FFFFFF"/>
                <w:u w:val="single"/>
              </w:rPr>
              <w:t>s</w:t>
            </w:r>
          </w:p>
          <w:p w:rsidR="00A2339F" w:rsidRDefault="00A2339F" w:rsidP="004032CC">
            <w:pPr>
              <w:widowControl w:val="0"/>
              <w:autoSpaceDE w:val="0"/>
              <w:autoSpaceDN w:val="0"/>
            </w:pPr>
            <w:r w:rsidRPr="009F3557">
              <w:t>Michael D. Dortch (0043897)</w:t>
            </w:r>
          </w:p>
          <w:p w:rsidR="00A2339F" w:rsidRDefault="00A2339F" w:rsidP="004032CC">
            <w:pPr>
              <w:widowControl w:val="0"/>
              <w:autoSpaceDE w:val="0"/>
              <w:autoSpaceDN w:val="0"/>
            </w:pPr>
            <w:r>
              <w:t>Richard R. Parsons (0082270)</w:t>
            </w:r>
          </w:p>
          <w:p w:rsidR="00A2339F" w:rsidRPr="00F474A8" w:rsidRDefault="00A2339F" w:rsidP="004032CC">
            <w:r w:rsidRPr="00F474A8">
              <w:t>Justin M. Dortch (0090048)</w:t>
            </w:r>
          </w:p>
          <w:p w:rsidR="00A2339F" w:rsidRPr="009F3557" w:rsidRDefault="00A2339F" w:rsidP="004032CC">
            <w:pPr>
              <w:widowControl w:val="0"/>
              <w:autoSpaceDE w:val="0"/>
              <w:autoSpaceDN w:val="0"/>
            </w:pPr>
            <w:r w:rsidRPr="009F3557">
              <w:t>KRAVITZ, BROWN &amp; DORTCH, LLC</w:t>
            </w:r>
          </w:p>
          <w:p w:rsidR="00A2339F" w:rsidRPr="009F3557" w:rsidRDefault="00A2339F" w:rsidP="004032CC">
            <w:pPr>
              <w:widowControl w:val="0"/>
              <w:autoSpaceDE w:val="0"/>
              <w:autoSpaceDN w:val="0"/>
            </w:pPr>
            <w:r w:rsidRPr="009F3557">
              <w:t>65 East State Street, Suite 200</w:t>
            </w:r>
          </w:p>
          <w:p w:rsidR="00A2339F" w:rsidRPr="009F3557" w:rsidRDefault="00A2339F" w:rsidP="004032CC">
            <w:pPr>
              <w:widowControl w:val="0"/>
              <w:autoSpaceDE w:val="0"/>
              <w:autoSpaceDN w:val="0"/>
            </w:pPr>
            <w:r w:rsidRPr="009F3557">
              <w:t>Columbus, Ohio  43215</w:t>
            </w:r>
          </w:p>
          <w:p w:rsidR="00A2339F" w:rsidRPr="009F3557" w:rsidRDefault="00A2339F" w:rsidP="004032CC">
            <w:pPr>
              <w:widowControl w:val="0"/>
              <w:autoSpaceDE w:val="0"/>
              <w:autoSpaceDN w:val="0"/>
            </w:pPr>
            <w:r w:rsidRPr="009F3557">
              <w:t>Tel: 614-464-2000</w:t>
            </w:r>
          </w:p>
          <w:p w:rsidR="00A2339F" w:rsidRPr="009F3557" w:rsidRDefault="00A2339F" w:rsidP="004032CC">
            <w:pPr>
              <w:widowControl w:val="0"/>
              <w:autoSpaceDE w:val="0"/>
              <w:autoSpaceDN w:val="0"/>
            </w:pPr>
            <w:r w:rsidRPr="009F3557">
              <w:t xml:space="preserve">Fax: </w:t>
            </w:r>
            <w:smartTag w:uri="urn:schemas-microsoft-com:office:smarttags" w:element="phone">
              <w:smartTagPr>
                <w:attr w:uri="urn:schemas-microsoft-com:office:office" w:name="ls" w:val="trans"/>
                <w:attr w:name="phonenumber" w:val="$6464$$$"/>
              </w:smartTagPr>
              <w:r w:rsidRPr="009F3557">
                <w:t>614-464-2002</w:t>
              </w:r>
            </w:smartTag>
          </w:p>
          <w:p w:rsidR="00A2339F" w:rsidRPr="009F3557" w:rsidRDefault="00A2339F" w:rsidP="004032CC">
            <w:pPr>
              <w:widowControl w:val="0"/>
              <w:autoSpaceDE w:val="0"/>
              <w:autoSpaceDN w:val="0"/>
            </w:pPr>
            <w:r w:rsidRPr="009F3557">
              <w:t xml:space="preserve">E-mail: </w:t>
            </w:r>
            <w:hyperlink r:id="rId10" w:history="1">
              <w:r w:rsidRPr="009F3557">
                <w:rPr>
                  <w:rStyle w:val="Hyperlink"/>
                  <w:rFonts w:eastAsiaTheme="majorEastAsia"/>
                </w:rPr>
                <w:t>mdortch@kravitzllc.com</w:t>
              </w:r>
            </w:hyperlink>
          </w:p>
          <w:p w:rsidR="00A2339F" w:rsidRPr="00484ADA" w:rsidRDefault="00A2339F" w:rsidP="004032CC">
            <w:pPr>
              <w:widowControl w:val="0"/>
              <w:autoSpaceDE w:val="0"/>
              <w:autoSpaceDN w:val="0"/>
              <w:rPr>
                <w:i/>
              </w:rPr>
            </w:pPr>
            <w:r w:rsidRPr="00484ADA">
              <w:rPr>
                <w:i/>
              </w:rPr>
              <w:t>Counsel for Granite Telecommunications, LLC</w:t>
            </w:r>
          </w:p>
          <w:p w:rsidR="00A2339F" w:rsidRPr="009F3557" w:rsidRDefault="00A2339F" w:rsidP="004032CC">
            <w:pPr>
              <w:widowControl w:val="0"/>
              <w:autoSpaceDE w:val="0"/>
              <w:autoSpaceDN w:val="0"/>
              <w:rPr>
                <w:b/>
                <w:u w:val="single"/>
              </w:rPr>
            </w:pPr>
          </w:p>
        </w:tc>
      </w:tr>
      <w:tr w:rsidR="00586641" w:rsidRPr="009F3557" w:rsidTr="00DB429D">
        <w:tc>
          <w:tcPr>
            <w:tcW w:w="4788" w:type="dxa"/>
            <w:gridSpan w:val="2"/>
            <w:shd w:val="clear" w:color="auto" w:fill="auto"/>
          </w:tcPr>
          <w:p w:rsidR="00586641" w:rsidRPr="009F3557" w:rsidRDefault="00586641" w:rsidP="00A2339F">
            <w:pPr>
              <w:spacing w:after="160" w:line="259" w:lineRule="auto"/>
              <w:rPr>
                <w:b/>
                <w:u w:val="single"/>
              </w:rPr>
            </w:pPr>
          </w:p>
        </w:tc>
        <w:tc>
          <w:tcPr>
            <w:tcW w:w="4788" w:type="dxa"/>
            <w:shd w:val="clear" w:color="auto" w:fill="auto"/>
          </w:tcPr>
          <w:p w:rsidR="00586641" w:rsidRPr="009F3557" w:rsidRDefault="00586641" w:rsidP="00DB429D">
            <w:pPr>
              <w:widowControl w:val="0"/>
              <w:autoSpaceDE w:val="0"/>
              <w:autoSpaceDN w:val="0"/>
            </w:pPr>
          </w:p>
        </w:tc>
      </w:tr>
      <w:tr w:rsidR="00586641" w:rsidRPr="009F3557" w:rsidTr="00DB429D">
        <w:tc>
          <w:tcPr>
            <w:tcW w:w="4788" w:type="dxa"/>
            <w:gridSpan w:val="2"/>
            <w:shd w:val="clear" w:color="auto" w:fill="auto"/>
          </w:tcPr>
          <w:p w:rsidR="00586641" w:rsidRPr="009F3557" w:rsidRDefault="00586641" w:rsidP="00DB429D">
            <w:pPr>
              <w:widowControl w:val="0"/>
              <w:autoSpaceDE w:val="0"/>
              <w:autoSpaceDN w:val="0"/>
              <w:rPr>
                <w:b/>
                <w:u w:val="single"/>
              </w:rPr>
            </w:pPr>
          </w:p>
        </w:tc>
        <w:tc>
          <w:tcPr>
            <w:tcW w:w="4788" w:type="dxa"/>
            <w:shd w:val="clear" w:color="auto" w:fill="auto"/>
          </w:tcPr>
          <w:p w:rsidR="00586641" w:rsidRPr="009F3557" w:rsidRDefault="00586641" w:rsidP="00DB429D">
            <w:pPr>
              <w:widowControl w:val="0"/>
              <w:autoSpaceDE w:val="0"/>
              <w:autoSpaceDN w:val="0"/>
            </w:pPr>
          </w:p>
        </w:tc>
      </w:tr>
    </w:tbl>
    <w:p w:rsidR="00BE6BA7" w:rsidRDefault="00BE6BA7" w:rsidP="000F1648">
      <w:pPr>
        <w:jc w:val="center"/>
        <w:rPr>
          <w:b/>
          <w:u w:val="single"/>
        </w:rPr>
      </w:pPr>
    </w:p>
    <w:p w:rsidR="00BE6BA7" w:rsidRDefault="00BE6BA7" w:rsidP="000F1648">
      <w:pPr>
        <w:jc w:val="center"/>
        <w:rPr>
          <w:b/>
          <w:u w:val="single"/>
        </w:rPr>
      </w:pPr>
    </w:p>
    <w:p w:rsidR="00BE6BA7" w:rsidRDefault="00BE6BA7" w:rsidP="000F1648">
      <w:pPr>
        <w:jc w:val="center"/>
        <w:rPr>
          <w:b/>
          <w:u w:val="single"/>
        </w:rPr>
      </w:pPr>
    </w:p>
    <w:p w:rsidR="00BE6BA7" w:rsidRDefault="00BE6BA7" w:rsidP="000F1648">
      <w:pPr>
        <w:jc w:val="center"/>
        <w:rPr>
          <w:b/>
          <w:u w:val="single"/>
        </w:rPr>
      </w:pPr>
    </w:p>
    <w:p w:rsidR="00BE6BA7" w:rsidRDefault="00BE6BA7" w:rsidP="000F1648">
      <w:pPr>
        <w:jc w:val="center"/>
        <w:rPr>
          <w:b/>
          <w:u w:val="single"/>
        </w:rPr>
      </w:pPr>
    </w:p>
    <w:p w:rsidR="00BE6BA7" w:rsidRDefault="00BE6BA7" w:rsidP="000F1648">
      <w:pPr>
        <w:jc w:val="center"/>
        <w:rPr>
          <w:b/>
          <w:u w:val="single"/>
        </w:rPr>
      </w:pPr>
    </w:p>
    <w:p w:rsidR="00BE6BA7" w:rsidRDefault="00BE6BA7" w:rsidP="000F1648">
      <w:pPr>
        <w:jc w:val="center"/>
        <w:rPr>
          <w:b/>
          <w:u w:val="single"/>
        </w:rPr>
      </w:pPr>
    </w:p>
    <w:p w:rsidR="00BE6BA7" w:rsidRDefault="00BE6BA7" w:rsidP="000F1648">
      <w:pPr>
        <w:jc w:val="center"/>
        <w:rPr>
          <w:b/>
          <w:u w:val="single"/>
        </w:rPr>
      </w:pPr>
    </w:p>
    <w:p w:rsidR="00BE6BA7" w:rsidRDefault="00BE6BA7" w:rsidP="000F1648">
      <w:pPr>
        <w:jc w:val="center"/>
        <w:rPr>
          <w:b/>
          <w:u w:val="single"/>
        </w:rPr>
      </w:pPr>
    </w:p>
    <w:p w:rsidR="000F1648" w:rsidRPr="00A41B87" w:rsidRDefault="000F1648" w:rsidP="000F1648">
      <w:pPr>
        <w:jc w:val="center"/>
        <w:rPr>
          <w:b/>
          <w:u w:val="single"/>
        </w:rPr>
      </w:pPr>
      <w:r w:rsidRPr="00A41B87">
        <w:rPr>
          <w:b/>
          <w:u w:val="single"/>
        </w:rPr>
        <w:lastRenderedPageBreak/>
        <w:t>CERTIFICATE OF SERVICE</w:t>
      </w:r>
    </w:p>
    <w:p w:rsidR="000F1648" w:rsidRPr="00A41B87" w:rsidRDefault="000F1648" w:rsidP="000F1648">
      <w:pPr>
        <w:ind w:firstLine="720"/>
      </w:pPr>
    </w:p>
    <w:p w:rsidR="000F1648" w:rsidRPr="00A41B87" w:rsidRDefault="000F1648" w:rsidP="000F1648">
      <w:pPr>
        <w:ind w:firstLine="720"/>
      </w:pPr>
      <w:r w:rsidRPr="00A41B87">
        <w:t xml:space="preserve">The </w:t>
      </w:r>
      <w:proofErr w:type="spellStart"/>
      <w:r w:rsidRPr="00A41B87">
        <w:t>PUCO’s</w:t>
      </w:r>
      <w:proofErr w:type="spellEnd"/>
      <w:r w:rsidRPr="00A41B87">
        <w:t xml:space="preserve"> e-filing system will serve notice of this filing upon </w:t>
      </w:r>
      <w:r>
        <w:t xml:space="preserve">all parties of record registered with the </w:t>
      </w:r>
      <w:proofErr w:type="spellStart"/>
      <w:r w:rsidRPr="00A41B87">
        <w:t>PUCO’s</w:t>
      </w:r>
      <w:proofErr w:type="spellEnd"/>
      <w:r w:rsidRPr="00A41B87">
        <w:t xml:space="preserve"> e-filing system.  </w:t>
      </w:r>
    </w:p>
    <w:p w:rsidR="000F1648" w:rsidRPr="00A41B87" w:rsidRDefault="000F1648" w:rsidP="000F1648">
      <w:pPr>
        <w:ind w:firstLine="720"/>
      </w:pPr>
    </w:p>
    <w:p w:rsidR="000F1648" w:rsidRPr="00A41B87" w:rsidRDefault="000F1648" w:rsidP="000F1648">
      <w:pPr>
        <w:ind w:firstLine="720"/>
      </w:pPr>
      <w:r w:rsidRPr="00A41B87">
        <w:t xml:space="preserve">Further, I hereby certify that a true and accurate copy of the foregoing was served upon </w:t>
      </w:r>
      <w:r>
        <w:t xml:space="preserve">the following counsel for AT&amp;T on </w:t>
      </w:r>
      <w:r>
        <w:fldChar w:fldCharType="begin"/>
      </w:r>
      <w:r>
        <w:instrText xml:space="preserve"> DATE \@ "dddd, MMMM dd, yyyy" </w:instrText>
      </w:r>
      <w:r>
        <w:fldChar w:fldCharType="separate"/>
      </w:r>
      <w:r>
        <w:rPr>
          <w:noProof/>
        </w:rPr>
        <w:t>Thursday, September 07, 2017</w:t>
      </w:r>
      <w:r>
        <w:fldChar w:fldCharType="end"/>
      </w:r>
      <w:r>
        <w:t xml:space="preserve">, </w:t>
      </w:r>
      <w:r w:rsidRPr="00A41B87">
        <w:t>by electronic mail:</w:t>
      </w:r>
    </w:p>
    <w:p w:rsidR="000F1648" w:rsidRPr="00A41B87" w:rsidRDefault="000F1648" w:rsidP="000F1648">
      <w:pPr>
        <w:ind w:firstLine="720"/>
      </w:pPr>
    </w:p>
    <w:p w:rsidR="000F1648" w:rsidRDefault="000F1648" w:rsidP="000F1648">
      <w:pPr>
        <w:autoSpaceDE w:val="0"/>
        <w:autoSpaceDN w:val="0"/>
        <w:adjustRightInd w:val="0"/>
        <w:rPr>
          <w:color w:val="000000"/>
        </w:rPr>
      </w:pPr>
      <w:r>
        <w:rPr>
          <w:color w:val="000000"/>
        </w:rPr>
        <w:t xml:space="preserve">Mark R. </w:t>
      </w:r>
      <w:proofErr w:type="spellStart"/>
      <w:r>
        <w:rPr>
          <w:color w:val="000000"/>
        </w:rPr>
        <w:t>Ortlieb</w:t>
      </w:r>
      <w:proofErr w:type="spellEnd"/>
      <w:r>
        <w:rPr>
          <w:color w:val="000000"/>
        </w:rPr>
        <w:tab/>
      </w:r>
      <w:r>
        <w:rPr>
          <w:color w:val="000000"/>
        </w:rPr>
        <w:tab/>
      </w:r>
      <w:r>
        <w:rPr>
          <w:color w:val="000000"/>
        </w:rPr>
        <w:tab/>
      </w:r>
      <w:r>
        <w:rPr>
          <w:color w:val="000000"/>
        </w:rPr>
        <w:tab/>
      </w:r>
      <w:r>
        <w:rPr>
          <w:color w:val="000000"/>
        </w:rPr>
        <w:tab/>
        <w:t>J. Tyson Covey</w:t>
      </w:r>
    </w:p>
    <w:p w:rsidR="000F1648" w:rsidRPr="0054515D" w:rsidRDefault="000F1648" w:rsidP="000F1648">
      <w:pPr>
        <w:autoSpaceDE w:val="0"/>
        <w:autoSpaceDN w:val="0"/>
        <w:adjustRightInd w:val="0"/>
        <w:rPr>
          <w:color w:val="000000"/>
        </w:rPr>
      </w:pPr>
      <w:r w:rsidRPr="0054515D">
        <w:rPr>
          <w:color w:val="000000"/>
        </w:rPr>
        <w:t>AT&amp;T Services, Inc.</w:t>
      </w:r>
      <w:r>
        <w:rPr>
          <w:color w:val="000000"/>
        </w:rPr>
        <w:tab/>
      </w:r>
      <w:r>
        <w:rPr>
          <w:color w:val="000000"/>
        </w:rPr>
        <w:tab/>
      </w:r>
      <w:r>
        <w:rPr>
          <w:color w:val="000000"/>
        </w:rPr>
        <w:tab/>
      </w:r>
      <w:r>
        <w:rPr>
          <w:color w:val="000000"/>
        </w:rPr>
        <w:tab/>
      </w:r>
      <w:r>
        <w:rPr>
          <w:color w:val="000000"/>
        </w:rPr>
        <w:tab/>
        <w:t>Mayer Brown LLP</w:t>
      </w:r>
    </w:p>
    <w:p w:rsidR="000F1648" w:rsidRPr="0054515D" w:rsidRDefault="000F1648" w:rsidP="000F1648">
      <w:pPr>
        <w:autoSpaceDE w:val="0"/>
        <w:autoSpaceDN w:val="0"/>
        <w:adjustRightInd w:val="0"/>
      </w:pPr>
      <w:hyperlink r:id="rId11" w:history="1">
        <w:r w:rsidRPr="0054515D">
          <w:t>mo2753@att.com</w:t>
        </w:r>
      </w:hyperlink>
      <w:r>
        <w:tab/>
      </w:r>
      <w:r>
        <w:tab/>
      </w:r>
      <w:r>
        <w:tab/>
      </w:r>
      <w:r>
        <w:tab/>
      </w:r>
      <w:r>
        <w:tab/>
        <w:t>jcovey@mayerbrown.com</w:t>
      </w:r>
    </w:p>
    <w:p w:rsidR="000F1648" w:rsidRPr="0054515D" w:rsidRDefault="000F1648" w:rsidP="000F1648">
      <w:pPr>
        <w:autoSpaceDE w:val="0"/>
        <w:autoSpaceDN w:val="0"/>
        <w:adjustRightInd w:val="0"/>
      </w:pPr>
    </w:p>
    <w:p w:rsidR="000F1648" w:rsidRPr="0054515D" w:rsidRDefault="000F1648" w:rsidP="000F1648"/>
    <w:p w:rsidR="000F1648" w:rsidRPr="0054515D" w:rsidRDefault="000F1648" w:rsidP="000F1648">
      <w:pPr>
        <w:spacing w:line="480" w:lineRule="auto"/>
      </w:pPr>
      <w:r w:rsidRPr="0054515D">
        <w:tab/>
      </w:r>
      <w:r w:rsidRPr="0054515D">
        <w:tab/>
      </w:r>
      <w:r w:rsidRPr="0054515D">
        <w:tab/>
      </w:r>
      <w:r w:rsidRPr="0054515D">
        <w:tab/>
      </w:r>
      <w:r w:rsidRPr="0054515D">
        <w:tab/>
      </w:r>
      <w:r w:rsidRPr="0054515D">
        <w:tab/>
      </w:r>
      <w:r w:rsidRPr="0054515D">
        <w:tab/>
      </w:r>
      <w:r w:rsidRPr="0054515D">
        <w:tab/>
      </w:r>
    </w:p>
    <w:p w:rsidR="000F1648" w:rsidRPr="0054515D" w:rsidRDefault="000F1648" w:rsidP="000F1648">
      <w:pPr>
        <w:rPr>
          <w:u w:val="single"/>
        </w:rPr>
      </w:pPr>
      <w:r w:rsidRPr="0054515D">
        <w:tab/>
      </w:r>
      <w:r w:rsidRPr="0054515D">
        <w:tab/>
      </w:r>
      <w:r w:rsidRPr="0054515D">
        <w:tab/>
      </w:r>
      <w:r w:rsidRPr="0054515D">
        <w:tab/>
      </w:r>
      <w:r w:rsidRPr="0054515D">
        <w:tab/>
      </w:r>
      <w:r w:rsidRPr="0054515D">
        <w:tab/>
      </w:r>
      <w:r w:rsidRPr="0054515D">
        <w:rPr>
          <w:u w:val="single"/>
        </w:rPr>
        <w:t xml:space="preserve"> /s/ </w:t>
      </w:r>
      <w:r>
        <w:rPr>
          <w:u w:val="single"/>
        </w:rPr>
        <w:t>Michael D. Dortch</w:t>
      </w:r>
      <w:r w:rsidRPr="0054515D">
        <w:rPr>
          <w:u w:val="single"/>
        </w:rPr>
        <w:tab/>
      </w:r>
      <w:r w:rsidRPr="0054515D">
        <w:rPr>
          <w:u w:val="single"/>
        </w:rPr>
        <w:tab/>
      </w:r>
    </w:p>
    <w:p w:rsidR="000F1648" w:rsidRPr="00A41B87" w:rsidRDefault="000F1648" w:rsidP="000F1648">
      <w:pPr>
        <w:spacing w:line="480" w:lineRule="auto"/>
      </w:pPr>
      <w:r w:rsidRPr="00A41B87">
        <w:tab/>
      </w:r>
      <w:r w:rsidRPr="00A41B87">
        <w:tab/>
      </w:r>
      <w:r w:rsidRPr="00A41B87">
        <w:tab/>
      </w:r>
      <w:r w:rsidRPr="00A41B87">
        <w:tab/>
      </w:r>
      <w:r w:rsidRPr="00A41B87">
        <w:tab/>
      </w:r>
      <w:r w:rsidRPr="00A41B87">
        <w:tab/>
      </w:r>
      <w:r>
        <w:t>Michael D. Dortch</w:t>
      </w:r>
    </w:p>
    <w:p w:rsidR="000F1648" w:rsidRDefault="000F1648" w:rsidP="000F1648">
      <w:pPr>
        <w:pStyle w:val="BodyText"/>
        <w:ind w:firstLine="0"/>
      </w:pPr>
    </w:p>
    <w:p w:rsidR="000F1648" w:rsidRDefault="000F1648" w:rsidP="000F1648">
      <w:pPr>
        <w:pStyle w:val="BodyText"/>
        <w:ind w:firstLine="0"/>
      </w:pPr>
    </w:p>
    <w:p w:rsidR="000D2601" w:rsidRDefault="000D2601" w:rsidP="00D27267">
      <w:pPr>
        <w:pStyle w:val="BodyText"/>
        <w:ind w:firstLine="0"/>
      </w:pPr>
    </w:p>
    <w:sectPr w:rsidR="000D2601" w:rsidSect="00D31A1E">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267" w:rsidRDefault="00D27267" w:rsidP="00087A84">
      <w:r>
        <w:separator/>
      </w:r>
    </w:p>
  </w:endnote>
  <w:endnote w:type="continuationSeparator" w:id="0">
    <w:p w:rsidR="00D27267" w:rsidRDefault="00D27267" w:rsidP="00087A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67" w:rsidRPr="00D364A7" w:rsidRDefault="00327D26" w:rsidP="00D27267">
    <w:pPr>
      <w:pStyle w:val="Footer"/>
      <w:jc w:val="center"/>
      <w:rPr>
        <w:rStyle w:val="PageNumber"/>
        <w:sz w:val="24"/>
      </w:rPr>
    </w:pPr>
    <w:r w:rsidRPr="00D364A7">
      <w:rPr>
        <w:rStyle w:val="PageNumber"/>
        <w:sz w:val="24"/>
      </w:rPr>
      <w:fldChar w:fldCharType="begin"/>
    </w:r>
    <w:r w:rsidR="00D27267" w:rsidRPr="00D364A7">
      <w:rPr>
        <w:rStyle w:val="PageNumber"/>
        <w:sz w:val="24"/>
      </w:rPr>
      <w:instrText xml:space="preserve"> PAGE \* ArabicDash \* MERGEFORMAT </w:instrText>
    </w:r>
    <w:r w:rsidRPr="00D364A7">
      <w:rPr>
        <w:rStyle w:val="PageNumber"/>
        <w:sz w:val="24"/>
      </w:rPr>
      <w:fldChar w:fldCharType="separate"/>
    </w:r>
    <w:r w:rsidR="00BE6BA7">
      <w:rPr>
        <w:rStyle w:val="PageNumber"/>
        <w:noProof/>
        <w:sz w:val="24"/>
      </w:rPr>
      <w:t>- 7 -</w:t>
    </w:r>
    <w:r w:rsidRPr="00D364A7">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267" w:rsidRDefault="00D27267" w:rsidP="00087A84">
      <w:r>
        <w:separator/>
      </w:r>
    </w:p>
  </w:footnote>
  <w:footnote w:type="continuationSeparator" w:id="0">
    <w:p w:rsidR="00D27267" w:rsidRDefault="00D27267" w:rsidP="00087A84">
      <w:r>
        <w:continuationSeparator/>
      </w:r>
    </w:p>
  </w:footnote>
  <w:footnote w:id="1">
    <w:p w:rsidR="00437174" w:rsidRDefault="00437174">
      <w:pPr>
        <w:pStyle w:val="FootnoteText"/>
      </w:pPr>
      <w:r>
        <w:rPr>
          <w:rStyle w:val="FootnoteReference"/>
        </w:rPr>
        <w:footnoteRef/>
      </w:r>
      <w:r>
        <w:t xml:space="preserve"> The Amended Complaint is attached hereto as an Appendix.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982C375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0EB0C176"/>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06C0756C"/>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E24C02C8"/>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B322B576"/>
    <w:lvl w:ilvl="0">
      <w:start w:val="1"/>
      <w:numFmt w:val="decimal"/>
      <w:pStyle w:val="ListNumber"/>
      <w:lvlText w:val="%1."/>
      <w:lvlJc w:val="left"/>
      <w:pPr>
        <w:tabs>
          <w:tab w:val="num" w:pos="360"/>
        </w:tabs>
        <w:ind w:left="360" w:hanging="360"/>
      </w:pPr>
    </w:lvl>
  </w:abstractNum>
  <w:abstractNum w:abstractNumId="5">
    <w:nsid w:val="FFFFFF89"/>
    <w:multiLevelType w:val="singleLevel"/>
    <w:tmpl w:val="E0D62D0E"/>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99A69C0"/>
    <w:multiLevelType w:val="hybridMultilevel"/>
    <w:tmpl w:val="6BB6B09A"/>
    <w:lvl w:ilvl="0" w:tplc="16A04102">
      <w:numFmt w:val="bullet"/>
      <w:lvlText w:val="-"/>
      <w:lvlJc w:val="left"/>
      <w:pPr>
        <w:ind w:left="5235" w:hanging="360"/>
      </w:pPr>
      <w:rPr>
        <w:rFonts w:ascii="Times New Roman" w:eastAsiaTheme="minorHAnsi" w:hAnsi="Times New Roman" w:cs="Times New Roman" w:hint="default"/>
      </w:rPr>
    </w:lvl>
    <w:lvl w:ilvl="1" w:tplc="04090003" w:tentative="1">
      <w:start w:val="1"/>
      <w:numFmt w:val="bullet"/>
      <w:lvlText w:val="o"/>
      <w:lvlJc w:val="left"/>
      <w:pPr>
        <w:ind w:left="5955" w:hanging="360"/>
      </w:pPr>
      <w:rPr>
        <w:rFonts w:ascii="Courier New" w:hAnsi="Courier New" w:cs="Courier New" w:hint="default"/>
      </w:rPr>
    </w:lvl>
    <w:lvl w:ilvl="2" w:tplc="04090005" w:tentative="1">
      <w:start w:val="1"/>
      <w:numFmt w:val="bullet"/>
      <w:lvlText w:val=""/>
      <w:lvlJc w:val="left"/>
      <w:pPr>
        <w:ind w:left="6675" w:hanging="360"/>
      </w:pPr>
      <w:rPr>
        <w:rFonts w:ascii="Wingdings" w:hAnsi="Wingdings" w:hint="default"/>
      </w:rPr>
    </w:lvl>
    <w:lvl w:ilvl="3" w:tplc="04090001" w:tentative="1">
      <w:start w:val="1"/>
      <w:numFmt w:val="bullet"/>
      <w:lvlText w:val=""/>
      <w:lvlJc w:val="left"/>
      <w:pPr>
        <w:ind w:left="7395" w:hanging="360"/>
      </w:pPr>
      <w:rPr>
        <w:rFonts w:ascii="Symbol" w:hAnsi="Symbol" w:hint="default"/>
      </w:rPr>
    </w:lvl>
    <w:lvl w:ilvl="4" w:tplc="04090003" w:tentative="1">
      <w:start w:val="1"/>
      <w:numFmt w:val="bullet"/>
      <w:lvlText w:val="o"/>
      <w:lvlJc w:val="left"/>
      <w:pPr>
        <w:ind w:left="8115" w:hanging="360"/>
      </w:pPr>
      <w:rPr>
        <w:rFonts w:ascii="Courier New" w:hAnsi="Courier New" w:cs="Courier New" w:hint="default"/>
      </w:rPr>
    </w:lvl>
    <w:lvl w:ilvl="5" w:tplc="04090005" w:tentative="1">
      <w:start w:val="1"/>
      <w:numFmt w:val="bullet"/>
      <w:lvlText w:val=""/>
      <w:lvlJc w:val="left"/>
      <w:pPr>
        <w:ind w:left="8835" w:hanging="360"/>
      </w:pPr>
      <w:rPr>
        <w:rFonts w:ascii="Wingdings" w:hAnsi="Wingdings" w:hint="default"/>
      </w:rPr>
    </w:lvl>
    <w:lvl w:ilvl="6" w:tplc="04090001" w:tentative="1">
      <w:start w:val="1"/>
      <w:numFmt w:val="bullet"/>
      <w:lvlText w:val=""/>
      <w:lvlJc w:val="left"/>
      <w:pPr>
        <w:ind w:left="9555" w:hanging="360"/>
      </w:pPr>
      <w:rPr>
        <w:rFonts w:ascii="Symbol" w:hAnsi="Symbol" w:hint="default"/>
      </w:rPr>
    </w:lvl>
    <w:lvl w:ilvl="7" w:tplc="04090003" w:tentative="1">
      <w:start w:val="1"/>
      <w:numFmt w:val="bullet"/>
      <w:lvlText w:val="o"/>
      <w:lvlJc w:val="left"/>
      <w:pPr>
        <w:ind w:left="10275" w:hanging="360"/>
      </w:pPr>
      <w:rPr>
        <w:rFonts w:ascii="Courier New" w:hAnsi="Courier New" w:cs="Courier New" w:hint="default"/>
      </w:rPr>
    </w:lvl>
    <w:lvl w:ilvl="8" w:tplc="04090005" w:tentative="1">
      <w:start w:val="1"/>
      <w:numFmt w:val="bullet"/>
      <w:lvlText w:val=""/>
      <w:lvlJc w:val="left"/>
      <w:pPr>
        <w:ind w:left="10995" w:hanging="360"/>
      </w:pPr>
      <w:rPr>
        <w:rFonts w:ascii="Wingdings" w:hAnsi="Wingdings" w:hint="default"/>
      </w:rPr>
    </w:lvl>
  </w:abstractNum>
  <w:abstractNum w:abstractNumId="7">
    <w:nsid w:val="1F715A95"/>
    <w:multiLevelType w:val="hybridMultilevel"/>
    <w:tmpl w:val="57641EB2"/>
    <w:lvl w:ilvl="0" w:tplc="FBE8A8A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15672"/>
    <w:multiLevelType w:val="hybridMultilevel"/>
    <w:tmpl w:val="82B24AC0"/>
    <w:lvl w:ilvl="0" w:tplc="931ADA5C">
      <w:numFmt w:val="bullet"/>
      <w:lvlText w:val="-"/>
      <w:lvlJc w:val="left"/>
      <w:pPr>
        <w:ind w:left="4875" w:hanging="360"/>
      </w:pPr>
      <w:rPr>
        <w:rFonts w:ascii="Times New Roman" w:eastAsiaTheme="minorHAnsi" w:hAnsi="Times New Roman" w:cs="Times New Roman" w:hint="default"/>
      </w:rPr>
    </w:lvl>
    <w:lvl w:ilvl="1" w:tplc="04090003" w:tentative="1">
      <w:start w:val="1"/>
      <w:numFmt w:val="bullet"/>
      <w:lvlText w:val="o"/>
      <w:lvlJc w:val="left"/>
      <w:pPr>
        <w:ind w:left="5595" w:hanging="360"/>
      </w:pPr>
      <w:rPr>
        <w:rFonts w:ascii="Courier New" w:hAnsi="Courier New" w:cs="Courier New" w:hint="default"/>
      </w:rPr>
    </w:lvl>
    <w:lvl w:ilvl="2" w:tplc="04090005" w:tentative="1">
      <w:start w:val="1"/>
      <w:numFmt w:val="bullet"/>
      <w:lvlText w:val=""/>
      <w:lvlJc w:val="left"/>
      <w:pPr>
        <w:ind w:left="6315" w:hanging="360"/>
      </w:pPr>
      <w:rPr>
        <w:rFonts w:ascii="Wingdings" w:hAnsi="Wingdings" w:hint="default"/>
      </w:rPr>
    </w:lvl>
    <w:lvl w:ilvl="3" w:tplc="04090001" w:tentative="1">
      <w:start w:val="1"/>
      <w:numFmt w:val="bullet"/>
      <w:lvlText w:val=""/>
      <w:lvlJc w:val="left"/>
      <w:pPr>
        <w:ind w:left="7035" w:hanging="360"/>
      </w:pPr>
      <w:rPr>
        <w:rFonts w:ascii="Symbol" w:hAnsi="Symbol" w:hint="default"/>
      </w:rPr>
    </w:lvl>
    <w:lvl w:ilvl="4" w:tplc="04090003" w:tentative="1">
      <w:start w:val="1"/>
      <w:numFmt w:val="bullet"/>
      <w:lvlText w:val="o"/>
      <w:lvlJc w:val="left"/>
      <w:pPr>
        <w:ind w:left="7755" w:hanging="360"/>
      </w:pPr>
      <w:rPr>
        <w:rFonts w:ascii="Courier New" w:hAnsi="Courier New" w:cs="Courier New" w:hint="default"/>
      </w:rPr>
    </w:lvl>
    <w:lvl w:ilvl="5" w:tplc="04090005" w:tentative="1">
      <w:start w:val="1"/>
      <w:numFmt w:val="bullet"/>
      <w:lvlText w:val=""/>
      <w:lvlJc w:val="left"/>
      <w:pPr>
        <w:ind w:left="8475" w:hanging="360"/>
      </w:pPr>
      <w:rPr>
        <w:rFonts w:ascii="Wingdings" w:hAnsi="Wingdings" w:hint="default"/>
      </w:rPr>
    </w:lvl>
    <w:lvl w:ilvl="6" w:tplc="04090001" w:tentative="1">
      <w:start w:val="1"/>
      <w:numFmt w:val="bullet"/>
      <w:lvlText w:val=""/>
      <w:lvlJc w:val="left"/>
      <w:pPr>
        <w:ind w:left="9195" w:hanging="360"/>
      </w:pPr>
      <w:rPr>
        <w:rFonts w:ascii="Symbol" w:hAnsi="Symbol" w:hint="default"/>
      </w:rPr>
    </w:lvl>
    <w:lvl w:ilvl="7" w:tplc="04090003" w:tentative="1">
      <w:start w:val="1"/>
      <w:numFmt w:val="bullet"/>
      <w:lvlText w:val="o"/>
      <w:lvlJc w:val="left"/>
      <w:pPr>
        <w:ind w:left="9915" w:hanging="360"/>
      </w:pPr>
      <w:rPr>
        <w:rFonts w:ascii="Courier New" w:hAnsi="Courier New" w:cs="Courier New" w:hint="default"/>
      </w:rPr>
    </w:lvl>
    <w:lvl w:ilvl="8" w:tplc="04090005" w:tentative="1">
      <w:start w:val="1"/>
      <w:numFmt w:val="bullet"/>
      <w:lvlText w:val=""/>
      <w:lvlJc w:val="left"/>
      <w:pPr>
        <w:ind w:left="10635" w:hanging="360"/>
      </w:pPr>
      <w:rPr>
        <w:rFonts w:ascii="Wingdings" w:hAnsi="Wingdings" w:hint="default"/>
      </w:rPr>
    </w:lvl>
  </w:abstractNum>
  <w:abstractNum w:abstractNumId="9">
    <w:nsid w:val="706B0F92"/>
    <w:multiLevelType w:val="hybridMultilevel"/>
    <w:tmpl w:val="A1C0F5BA"/>
    <w:lvl w:ilvl="0" w:tplc="E2F681CC">
      <w:start w:val="1"/>
      <w:numFmt w:val="decimal"/>
      <w:pStyle w:val="DoubleSpace"/>
      <w:lvlText w:val="%1."/>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9132C8F"/>
    <w:multiLevelType w:val="hybridMultilevel"/>
    <w:tmpl w:val="7F0426AE"/>
    <w:lvl w:ilvl="0" w:tplc="01B872B2">
      <w:numFmt w:val="bullet"/>
      <w:lvlText w:val="-"/>
      <w:lvlJc w:val="left"/>
      <w:pPr>
        <w:ind w:left="5010" w:hanging="360"/>
      </w:pPr>
      <w:rPr>
        <w:rFonts w:ascii="Times New Roman" w:eastAsiaTheme="minorHAnsi" w:hAnsi="Times New Roman" w:cs="Times New Roman"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3"/>
  </w:num>
  <w:num w:numId="6">
    <w:abstractNumId w:val="2"/>
  </w:num>
  <w:num w:numId="7">
    <w:abstractNumId w:val="1"/>
  </w:num>
  <w:num w:numId="8">
    <w:abstractNumId w:val="0"/>
  </w:num>
  <w:num w:numId="9">
    <w:abstractNumId w:val="4"/>
  </w:num>
  <w:num w:numId="10">
    <w:abstractNumId w:val="9"/>
  </w:num>
  <w:num w:numId="11">
    <w:abstractNumId w:val="9"/>
    <w:lvlOverride w:ilvl="0">
      <w:startOverride w:val="1"/>
    </w:lvlOverride>
  </w:num>
  <w:num w:numId="12">
    <w:abstractNumId w:val="7"/>
  </w:num>
  <w:num w:numId="13">
    <w:abstractNumId w:val="9"/>
  </w:num>
  <w:num w:numId="14">
    <w:abstractNumId w:val="9"/>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721"/>
  <w:defaultTabStop w:val="720"/>
  <w:characterSpacingControl w:val="doNotCompress"/>
  <w:hdrShapeDefaults>
    <o:shapedefaults v:ext="edit" spidmax="20481"/>
  </w:hdrShapeDefaults>
  <w:footnotePr>
    <w:footnote w:id="-1"/>
    <w:footnote w:id="0"/>
  </w:footnotePr>
  <w:endnotePr>
    <w:endnote w:id="-1"/>
    <w:endnote w:id="0"/>
  </w:endnotePr>
  <w:compat/>
  <w:rsids>
    <w:rsidRoot w:val="00D27267"/>
    <w:rsid w:val="000030D6"/>
    <w:rsid w:val="000526EB"/>
    <w:rsid w:val="000736D0"/>
    <w:rsid w:val="0008491B"/>
    <w:rsid w:val="00087A84"/>
    <w:rsid w:val="000B774D"/>
    <w:rsid w:val="000D2601"/>
    <w:rsid w:val="000F1648"/>
    <w:rsid w:val="000F659C"/>
    <w:rsid w:val="00146361"/>
    <w:rsid w:val="00151C61"/>
    <w:rsid w:val="001A3B21"/>
    <w:rsid w:val="001C5709"/>
    <w:rsid w:val="001D132A"/>
    <w:rsid w:val="00233CB8"/>
    <w:rsid w:val="00234A61"/>
    <w:rsid w:val="002737B5"/>
    <w:rsid w:val="00291814"/>
    <w:rsid w:val="002D3F61"/>
    <w:rsid w:val="002E0A85"/>
    <w:rsid w:val="003028D9"/>
    <w:rsid w:val="00327D26"/>
    <w:rsid w:val="00396CA1"/>
    <w:rsid w:val="003B5A5A"/>
    <w:rsid w:val="003C67D0"/>
    <w:rsid w:val="003C791E"/>
    <w:rsid w:val="003D3E3D"/>
    <w:rsid w:val="004044FE"/>
    <w:rsid w:val="0043329C"/>
    <w:rsid w:val="00437174"/>
    <w:rsid w:val="00475E0E"/>
    <w:rsid w:val="004E22CE"/>
    <w:rsid w:val="004E4B69"/>
    <w:rsid w:val="004E78C7"/>
    <w:rsid w:val="0052294C"/>
    <w:rsid w:val="00557EEB"/>
    <w:rsid w:val="0056396E"/>
    <w:rsid w:val="00584670"/>
    <w:rsid w:val="00586641"/>
    <w:rsid w:val="005A3D3C"/>
    <w:rsid w:val="00640B9F"/>
    <w:rsid w:val="00693AA1"/>
    <w:rsid w:val="006A461F"/>
    <w:rsid w:val="007203D2"/>
    <w:rsid w:val="00750D9F"/>
    <w:rsid w:val="0078799B"/>
    <w:rsid w:val="007F2A30"/>
    <w:rsid w:val="008405E1"/>
    <w:rsid w:val="00850054"/>
    <w:rsid w:val="00894152"/>
    <w:rsid w:val="008C1904"/>
    <w:rsid w:val="008E07A8"/>
    <w:rsid w:val="008E2C7F"/>
    <w:rsid w:val="00901106"/>
    <w:rsid w:val="00904639"/>
    <w:rsid w:val="009059E0"/>
    <w:rsid w:val="00952F6B"/>
    <w:rsid w:val="00973CDB"/>
    <w:rsid w:val="009776C8"/>
    <w:rsid w:val="00991E09"/>
    <w:rsid w:val="009B671E"/>
    <w:rsid w:val="00A02C1B"/>
    <w:rsid w:val="00A2339F"/>
    <w:rsid w:val="00A36F5C"/>
    <w:rsid w:val="00B7654E"/>
    <w:rsid w:val="00BC3C50"/>
    <w:rsid w:val="00BD713F"/>
    <w:rsid w:val="00BE6BA7"/>
    <w:rsid w:val="00C07B56"/>
    <w:rsid w:val="00C32BCB"/>
    <w:rsid w:val="00C57CCF"/>
    <w:rsid w:val="00D27267"/>
    <w:rsid w:val="00D31A1E"/>
    <w:rsid w:val="00D364A7"/>
    <w:rsid w:val="00DA70E4"/>
    <w:rsid w:val="00DB1E15"/>
    <w:rsid w:val="00DC2752"/>
    <w:rsid w:val="00DE0880"/>
    <w:rsid w:val="00E01DF0"/>
    <w:rsid w:val="00E12A11"/>
    <w:rsid w:val="00E23551"/>
    <w:rsid w:val="00E633B9"/>
    <w:rsid w:val="00E97303"/>
    <w:rsid w:val="00EC76B9"/>
    <w:rsid w:val="00ED2C2B"/>
    <w:rsid w:val="00F040DF"/>
    <w:rsid w:val="00F06A2C"/>
    <w:rsid w:val="00F25E1E"/>
    <w:rsid w:val="00FC4CA2"/>
    <w:rsid w:val="00FF6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unhideWhenUsed="0"/>
    <w:lsdException w:name="index 2" w:unhideWhenUsed="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semiHidden="0" w:unhideWhenUsed="0"/>
    <w:lsdException w:name="caption" w:uiPriority="35" w:qFormat="1"/>
    <w:lsdException w:name="page number" w:semiHidden="0" w:uiPriority="0" w:unhideWhenUsed="0"/>
    <w:lsdException w:name="List Bullet" w:semiHidden="0" w:uiPriority="0" w:unhideWhenUsed="0"/>
    <w:lsdException w:name="List Number"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Title" w:semiHidden="0" w:uiPriority="0" w:unhideWhenUsed="0" w:qFormat="1"/>
    <w:lsdException w:name="Signature" w:semiHidden="0" w:uiPriority="0" w:unhideWhenUsed="0"/>
    <w:lsdException w:name="Default Paragraph Font" w:uiPriority="1"/>
    <w:lsdException w:name="Body Text" w:qFormat="1"/>
    <w:lsdException w:name="List Continue" w:semiHidden="0" w:uiPriority="0" w:unhideWhenUsed="0"/>
    <w:lsdException w:name="List Continue 4" w:semiHidden="0" w:uiPriority="0" w:unhideWhenUsed="0"/>
    <w:lsdException w:name="Subtitle" w:semiHidden="0" w:uiPriority="0" w:unhideWhenUsed="0" w:qFormat="1"/>
    <w:lsdException w:name="Body Text 2" w:semiHidden="0" w:uiPriority="0" w:unhideWhenUsed="0" w:qFormat="1"/>
    <w:lsdException w:name="Block Text" w:semiHidden="0" w:uiPriority="0" w:unhideWhenUsed="0" w:qFormat="1"/>
    <w:lsdException w:name="Strong" w:uiPriority="22" w:qFormat="1"/>
    <w:lsdException w:name="Emphasis" w:semiHidden="0" w:uiPriority="20" w:unhideWhenUsed="0" w:qFormat="1"/>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27267"/>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2294C"/>
    <w:pPr>
      <w:outlineLvl w:val="0"/>
    </w:pPr>
    <w:rPr>
      <w:rFonts w:eastAsiaTheme="majorEastAsia" w:cstheme="majorBidi"/>
      <w:szCs w:val="32"/>
    </w:rPr>
  </w:style>
  <w:style w:type="paragraph" w:styleId="Heading2">
    <w:name w:val="heading 2"/>
    <w:basedOn w:val="Normal"/>
    <w:next w:val="BodyText"/>
    <w:link w:val="Heading2Char"/>
    <w:rsid w:val="0052294C"/>
    <w:pPr>
      <w:outlineLvl w:val="1"/>
    </w:pPr>
    <w:rPr>
      <w:rFonts w:eastAsiaTheme="majorEastAsia" w:cstheme="majorBidi"/>
      <w:szCs w:val="26"/>
    </w:rPr>
  </w:style>
  <w:style w:type="paragraph" w:styleId="Heading3">
    <w:name w:val="heading 3"/>
    <w:basedOn w:val="Normal"/>
    <w:next w:val="BodyText"/>
    <w:link w:val="Heading3Char"/>
    <w:rsid w:val="0052294C"/>
    <w:pPr>
      <w:outlineLvl w:val="2"/>
    </w:pPr>
    <w:rPr>
      <w:rFonts w:eastAsiaTheme="majorEastAsia" w:cstheme="majorBidi"/>
    </w:rPr>
  </w:style>
  <w:style w:type="paragraph" w:styleId="Heading4">
    <w:name w:val="heading 4"/>
    <w:basedOn w:val="Normal"/>
    <w:next w:val="BodyText"/>
    <w:link w:val="Heading4Char"/>
    <w:rsid w:val="0052294C"/>
    <w:pPr>
      <w:outlineLvl w:val="3"/>
    </w:pPr>
    <w:rPr>
      <w:rFonts w:eastAsiaTheme="majorEastAsia" w:cstheme="majorBidi"/>
      <w:iCs/>
    </w:rPr>
  </w:style>
  <w:style w:type="paragraph" w:styleId="Heading5">
    <w:name w:val="heading 5"/>
    <w:basedOn w:val="Normal"/>
    <w:next w:val="BodyText"/>
    <w:link w:val="Heading5Char"/>
    <w:rsid w:val="0052294C"/>
    <w:pPr>
      <w:outlineLvl w:val="4"/>
    </w:pPr>
    <w:rPr>
      <w:rFonts w:eastAsiaTheme="majorEastAsia" w:cstheme="majorBidi"/>
    </w:rPr>
  </w:style>
  <w:style w:type="paragraph" w:styleId="Heading6">
    <w:name w:val="heading 6"/>
    <w:basedOn w:val="Normal"/>
    <w:next w:val="BodyText"/>
    <w:link w:val="Heading6Char"/>
    <w:rsid w:val="0052294C"/>
    <w:pPr>
      <w:outlineLvl w:val="5"/>
    </w:pPr>
    <w:rPr>
      <w:rFonts w:eastAsiaTheme="majorEastAsia" w:cstheme="majorBidi"/>
    </w:rPr>
  </w:style>
  <w:style w:type="paragraph" w:styleId="Heading7">
    <w:name w:val="heading 7"/>
    <w:basedOn w:val="Normal"/>
    <w:next w:val="BodyText"/>
    <w:link w:val="Heading7Char"/>
    <w:rsid w:val="0052294C"/>
    <w:pPr>
      <w:outlineLvl w:val="6"/>
    </w:pPr>
    <w:rPr>
      <w:rFonts w:eastAsiaTheme="majorEastAsia" w:cstheme="majorBidi"/>
      <w:iCs/>
    </w:rPr>
  </w:style>
  <w:style w:type="paragraph" w:styleId="Heading8">
    <w:name w:val="heading 8"/>
    <w:basedOn w:val="Normal"/>
    <w:next w:val="BodyText"/>
    <w:link w:val="Heading8Char"/>
    <w:rsid w:val="0052294C"/>
    <w:pPr>
      <w:outlineLvl w:val="7"/>
    </w:pPr>
    <w:rPr>
      <w:rFonts w:eastAsiaTheme="majorEastAsia" w:cstheme="majorBidi"/>
      <w:szCs w:val="21"/>
    </w:rPr>
  </w:style>
  <w:style w:type="paragraph" w:styleId="Heading9">
    <w:name w:val="heading 9"/>
    <w:basedOn w:val="Normal"/>
    <w:next w:val="BodyText"/>
    <w:link w:val="Heading9Char"/>
    <w:rsid w:val="0052294C"/>
    <w:pPr>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294C"/>
    <w:pPr>
      <w:tabs>
        <w:tab w:val="center" w:pos="4680"/>
        <w:tab w:val="right" w:pos="9360"/>
      </w:tabs>
    </w:pPr>
  </w:style>
  <w:style w:type="character" w:customStyle="1" w:styleId="HeaderChar">
    <w:name w:val="Header Char"/>
    <w:basedOn w:val="DefaultParagraphFont"/>
    <w:link w:val="Header"/>
    <w:rsid w:val="0052294C"/>
    <w:rPr>
      <w:rFonts w:ascii="Times New Roman" w:hAnsi="Times New Roman"/>
      <w:sz w:val="24"/>
    </w:rPr>
  </w:style>
  <w:style w:type="paragraph" w:styleId="Footer">
    <w:name w:val="footer"/>
    <w:basedOn w:val="Normal"/>
    <w:link w:val="FooterChar"/>
    <w:rsid w:val="00952F6B"/>
    <w:pPr>
      <w:tabs>
        <w:tab w:val="center" w:pos="4680"/>
        <w:tab w:val="right" w:pos="9360"/>
      </w:tabs>
    </w:pPr>
  </w:style>
  <w:style w:type="character" w:customStyle="1" w:styleId="FooterChar">
    <w:name w:val="Footer Char"/>
    <w:basedOn w:val="DefaultParagraphFont"/>
    <w:link w:val="Footer"/>
    <w:rsid w:val="00952F6B"/>
    <w:rPr>
      <w:rFonts w:ascii="Times New Roman" w:hAnsi="Times New Roman"/>
      <w:sz w:val="24"/>
    </w:rPr>
  </w:style>
  <w:style w:type="character" w:customStyle="1" w:styleId="Heading1Char">
    <w:name w:val="Heading 1 Char"/>
    <w:basedOn w:val="DefaultParagraphFont"/>
    <w:link w:val="Heading1"/>
    <w:rsid w:val="0052294C"/>
    <w:rPr>
      <w:rFonts w:ascii="Times New Roman" w:eastAsiaTheme="majorEastAsia" w:hAnsi="Times New Roman" w:cstheme="majorBidi"/>
      <w:sz w:val="24"/>
      <w:szCs w:val="32"/>
    </w:rPr>
  </w:style>
  <w:style w:type="paragraph" w:styleId="BodyText2">
    <w:name w:val="Body Text 2"/>
    <w:aliases w:val="b2-Body Text 2"/>
    <w:basedOn w:val="Normal"/>
    <w:link w:val="BodyText2Char"/>
    <w:qFormat/>
    <w:rsid w:val="00901106"/>
  </w:style>
  <w:style w:type="character" w:customStyle="1" w:styleId="Heading2Char">
    <w:name w:val="Heading 2 Char"/>
    <w:basedOn w:val="DefaultParagraphFont"/>
    <w:link w:val="Heading2"/>
    <w:rsid w:val="0052294C"/>
    <w:rPr>
      <w:rFonts w:ascii="Times New Roman" w:eastAsiaTheme="majorEastAsia" w:hAnsi="Times New Roman" w:cstheme="majorBidi"/>
      <w:sz w:val="24"/>
      <w:szCs w:val="26"/>
    </w:rPr>
  </w:style>
  <w:style w:type="paragraph" w:styleId="BodyText">
    <w:name w:val="Body Text"/>
    <w:aliases w:val="b-Body Text"/>
    <w:basedOn w:val="Normal"/>
    <w:link w:val="BodyTextChar"/>
    <w:qFormat/>
    <w:rsid w:val="002E0A85"/>
    <w:pPr>
      <w:ind w:firstLine="1440"/>
    </w:pPr>
  </w:style>
  <w:style w:type="character" w:customStyle="1" w:styleId="BodyTextChar">
    <w:name w:val="Body Text Char"/>
    <w:aliases w:val="b-Body Text Char"/>
    <w:basedOn w:val="DefaultParagraphFont"/>
    <w:link w:val="BodyText"/>
    <w:rsid w:val="00901106"/>
    <w:rPr>
      <w:rFonts w:ascii="Times New Roman" w:hAnsi="Times New Roman"/>
      <w:sz w:val="24"/>
    </w:rPr>
  </w:style>
  <w:style w:type="character" w:customStyle="1" w:styleId="BodyText2Char">
    <w:name w:val="Body Text 2 Char"/>
    <w:aliases w:val="b2-Body Text 2 Char"/>
    <w:basedOn w:val="DefaultParagraphFont"/>
    <w:link w:val="BodyText2"/>
    <w:rsid w:val="00901106"/>
    <w:rPr>
      <w:rFonts w:ascii="Times New Roman" w:hAnsi="Times New Roman"/>
      <w:sz w:val="24"/>
    </w:rPr>
  </w:style>
  <w:style w:type="paragraph" w:styleId="BlockText">
    <w:name w:val="Block Text"/>
    <w:aliases w:val="bl-Block Text"/>
    <w:basedOn w:val="Normal"/>
    <w:qFormat/>
    <w:rsid w:val="00233CB8"/>
    <w:pPr>
      <w:ind w:left="1440" w:right="1440"/>
    </w:pPr>
    <w:rPr>
      <w:rFonts w:eastAsiaTheme="minorEastAsia"/>
      <w:iCs/>
    </w:rPr>
  </w:style>
  <w:style w:type="character" w:customStyle="1" w:styleId="Heading3Char">
    <w:name w:val="Heading 3 Char"/>
    <w:basedOn w:val="DefaultParagraphFont"/>
    <w:link w:val="Heading3"/>
    <w:rsid w:val="0052294C"/>
    <w:rPr>
      <w:rFonts w:ascii="Times New Roman" w:eastAsiaTheme="majorEastAsia" w:hAnsi="Times New Roman" w:cstheme="majorBidi"/>
      <w:sz w:val="24"/>
      <w:szCs w:val="24"/>
    </w:rPr>
  </w:style>
  <w:style w:type="character" w:customStyle="1" w:styleId="Heading4Char">
    <w:name w:val="Heading 4 Char"/>
    <w:basedOn w:val="DefaultParagraphFont"/>
    <w:link w:val="Heading4"/>
    <w:rsid w:val="0052294C"/>
    <w:rPr>
      <w:rFonts w:ascii="Times New Roman" w:eastAsiaTheme="majorEastAsia" w:hAnsi="Times New Roman" w:cstheme="majorBidi"/>
      <w:iCs/>
      <w:sz w:val="24"/>
    </w:rPr>
  </w:style>
  <w:style w:type="character" w:customStyle="1" w:styleId="Heading5Char">
    <w:name w:val="Heading 5 Char"/>
    <w:basedOn w:val="DefaultParagraphFont"/>
    <w:link w:val="Heading5"/>
    <w:rsid w:val="0052294C"/>
    <w:rPr>
      <w:rFonts w:ascii="Times New Roman" w:eastAsiaTheme="majorEastAsia" w:hAnsi="Times New Roman" w:cstheme="majorBidi"/>
      <w:sz w:val="24"/>
    </w:rPr>
  </w:style>
  <w:style w:type="character" w:customStyle="1" w:styleId="Heading6Char">
    <w:name w:val="Heading 6 Char"/>
    <w:basedOn w:val="DefaultParagraphFont"/>
    <w:link w:val="Heading6"/>
    <w:rsid w:val="0052294C"/>
    <w:rPr>
      <w:rFonts w:ascii="Times New Roman" w:eastAsiaTheme="majorEastAsia" w:hAnsi="Times New Roman" w:cstheme="majorBidi"/>
      <w:sz w:val="24"/>
    </w:rPr>
  </w:style>
  <w:style w:type="character" w:customStyle="1" w:styleId="Heading7Char">
    <w:name w:val="Heading 7 Char"/>
    <w:basedOn w:val="DefaultParagraphFont"/>
    <w:link w:val="Heading7"/>
    <w:rsid w:val="0052294C"/>
    <w:rPr>
      <w:rFonts w:ascii="Times New Roman" w:eastAsiaTheme="majorEastAsia" w:hAnsi="Times New Roman" w:cstheme="majorBidi"/>
      <w:iCs/>
      <w:sz w:val="24"/>
    </w:rPr>
  </w:style>
  <w:style w:type="character" w:customStyle="1" w:styleId="Heading8Char">
    <w:name w:val="Heading 8 Char"/>
    <w:basedOn w:val="DefaultParagraphFont"/>
    <w:link w:val="Heading8"/>
    <w:rsid w:val="0052294C"/>
    <w:rPr>
      <w:rFonts w:ascii="Times New Roman" w:eastAsiaTheme="majorEastAsia" w:hAnsi="Times New Roman" w:cstheme="majorBidi"/>
      <w:sz w:val="24"/>
      <w:szCs w:val="21"/>
    </w:rPr>
  </w:style>
  <w:style w:type="character" w:customStyle="1" w:styleId="Heading9Char">
    <w:name w:val="Heading 9 Char"/>
    <w:basedOn w:val="DefaultParagraphFont"/>
    <w:link w:val="Heading9"/>
    <w:rsid w:val="0052294C"/>
    <w:rPr>
      <w:rFonts w:ascii="Times New Roman" w:eastAsiaTheme="majorEastAsia" w:hAnsi="Times New Roman" w:cstheme="majorBidi"/>
      <w:iCs/>
      <w:sz w:val="24"/>
      <w:szCs w:val="21"/>
    </w:rPr>
  </w:style>
  <w:style w:type="character" w:styleId="PageNumber">
    <w:name w:val="page number"/>
    <w:basedOn w:val="DefaultParagraphFont"/>
    <w:rsid w:val="00233CB8"/>
    <w:rPr>
      <w:rFonts w:ascii="Times New Roman" w:hAnsi="Times New Roman"/>
      <w:sz w:val="20"/>
    </w:rPr>
  </w:style>
  <w:style w:type="paragraph" w:styleId="Signature">
    <w:name w:val="Signature"/>
    <w:aliases w:val="si-Signature"/>
    <w:basedOn w:val="Normal"/>
    <w:link w:val="SignatureChar"/>
    <w:rsid w:val="00233CB8"/>
    <w:pPr>
      <w:ind w:left="4320"/>
    </w:pPr>
  </w:style>
  <w:style w:type="character" w:customStyle="1" w:styleId="SignatureChar">
    <w:name w:val="Signature Char"/>
    <w:aliases w:val="si-Signature Char"/>
    <w:basedOn w:val="DefaultParagraphFont"/>
    <w:link w:val="Signature"/>
    <w:rsid w:val="00233CB8"/>
    <w:rPr>
      <w:rFonts w:ascii="Times New Roman" w:hAnsi="Times New Roman"/>
      <w:sz w:val="24"/>
    </w:rPr>
  </w:style>
  <w:style w:type="paragraph" w:styleId="Subtitle">
    <w:name w:val="Subtitle"/>
    <w:aliases w:val="su-Subtitle"/>
    <w:basedOn w:val="Normal"/>
    <w:next w:val="BodyText"/>
    <w:link w:val="SubtitleChar"/>
    <w:qFormat/>
    <w:rsid w:val="00F040DF"/>
    <w:pPr>
      <w:numPr>
        <w:ilvl w:val="1"/>
      </w:numPr>
      <w:jc w:val="center"/>
    </w:pPr>
    <w:rPr>
      <w:rFonts w:eastAsiaTheme="minorEastAsia"/>
      <w:spacing w:val="15"/>
    </w:rPr>
  </w:style>
  <w:style w:type="character" w:customStyle="1" w:styleId="SubtitleChar">
    <w:name w:val="Subtitle Char"/>
    <w:aliases w:val="su-Subtitle Char"/>
    <w:basedOn w:val="DefaultParagraphFont"/>
    <w:link w:val="Subtitle"/>
    <w:rsid w:val="00F040DF"/>
    <w:rPr>
      <w:rFonts w:ascii="Times New Roman" w:eastAsiaTheme="minorEastAsia" w:hAnsi="Times New Roman"/>
      <w:spacing w:val="15"/>
      <w:sz w:val="24"/>
    </w:rPr>
  </w:style>
  <w:style w:type="paragraph" w:styleId="Title">
    <w:name w:val="Title"/>
    <w:aliases w:val="t-Title"/>
    <w:basedOn w:val="Normal"/>
    <w:next w:val="BodyText"/>
    <w:link w:val="TitleChar"/>
    <w:qFormat/>
    <w:rsid w:val="00F040DF"/>
    <w:pPr>
      <w:keepNext/>
      <w:jc w:val="center"/>
    </w:pPr>
    <w:rPr>
      <w:rFonts w:eastAsiaTheme="majorEastAsia" w:cstheme="majorBidi"/>
      <w:szCs w:val="56"/>
    </w:rPr>
  </w:style>
  <w:style w:type="character" w:customStyle="1" w:styleId="TitleChar">
    <w:name w:val="Title Char"/>
    <w:aliases w:val="t-Title Char"/>
    <w:basedOn w:val="DefaultParagraphFont"/>
    <w:link w:val="Title"/>
    <w:rsid w:val="00F040DF"/>
    <w:rPr>
      <w:rFonts w:ascii="Times New Roman" w:eastAsiaTheme="majorEastAsia" w:hAnsi="Times New Roman" w:cstheme="majorBidi"/>
      <w:sz w:val="24"/>
      <w:szCs w:val="56"/>
    </w:rPr>
  </w:style>
  <w:style w:type="paragraph" w:styleId="ListBullet">
    <w:name w:val="List Bullet"/>
    <w:basedOn w:val="Normal"/>
    <w:rsid w:val="008405E1"/>
    <w:pPr>
      <w:numPr>
        <w:numId w:val="4"/>
      </w:numPr>
    </w:pPr>
  </w:style>
  <w:style w:type="paragraph" w:customStyle="1" w:styleId="Address">
    <w:name w:val="Address"/>
    <w:basedOn w:val="Normal"/>
    <w:qFormat/>
    <w:rsid w:val="0052294C"/>
  </w:style>
  <w:style w:type="paragraph" w:styleId="ListBullet2">
    <w:name w:val="List Bullet 2"/>
    <w:basedOn w:val="Normal"/>
    <w:rsid w:val="008405E1"/>
    <w:pPr>
      <w:numPr>
        <w:numId w:val="5"/>
      </w:numPr>
    </w:pPr>
  </w:style>
  <w:style w:type="paragraph" w:styleId="ListBullet3">
    <w:name w:val="List Bullet 3"/>
    <w:basedOn w:val="Normal"/>
    <w:rsid w:val="008405E1"/>
    <w:pPr>
      <w:numPr>
        <w:numId w:val="6"/>
      </w:numPr>
    </w:pPr>
  </w:style>
  <w:style w:type="paragraph" w:styleId="ListBullet4">
    <w:name w:val="List Bullet 4"/>
    <w:basedOn w:val="Normal"/>
    <w:rsid w:val="008405E1"/>
    <w:pPr>
      <w:numPr>
        <w:numId w:val="7"/>
      </w:numPr>
    </w:pPr>
  </w:style>
  <w:style w:type="paragraph" w:styleId="ListBullet5">
    <w:name w:val="List Bullet 5"/>
    <w:basedOn w:val="Normal"/>
    <w:rsid w:val="008405E1"/>
    <w:pPr>
      <w:numPr>
        <w:numId w:val="8"/>
      </w:numPr>
    </w:pPr>
  </w:style>
  <w:style w:type="paragraph" w:styleId="ListContinue">
    <w:name w:val="List Continue"/>
    <w:aliases w:val="lc-List Continue"/>
    <w:basedOn w:val="Normal"/>
    <w:rsid w:val="008405E1"/>
    <w:pPr>
      <w:ind w:left="720"/>
    </w:pPr>
  </w:style>
  <w:style w:type="paragraph" w:styleId="ListContinue4">
    <w:name w:val="List Continue 4"/>
    <w:basedOn w:val="Normal"/>
    <w:rsid w:val="008405E1"/>
    <w:pPr>
      <w:ind w:left="1440"/>
    </w:pPr>
  </w:style>
  <w:style w:type="paragraph" w:styleId="ListNumber">
    <w:name w:val="List Number"/>
    <w:aliases w:val="ln-List Number"/>
    <w:basedOn w:val="Normal"/>
    <w:rsid w:val="001C5709"/>
    <w:pPr>
      <w:numPr>
        <w:numId w:val="9"/>
      </w:numPr>
      <w:tabs>
        <w:tab w:val="clear" w:pos="360"/>
        <w:tab w:val="left" w:pos="720"/>
      </w:tabs>
      <w:ind w:left="720" w:hanging="720"/>
    </w:pPr>
  </w:style>
  <w:style w:type="paragraph" w:styleId="ListParagraph">
    <w:name w:val="List Paragraph"/>
    <w:basedOn w:val="Normal"/>
    <w:uiPriority w:val="34"/>
    <w:semiHidden/>
    <w:rsid w:val="00396CA1"/>
    <w:pPr>
      <w:ind w:left="720"/>
      <w:contextualSpacing/>
    </w:pPr>
  </w:style>
  <w:style w:type="paragraph" w:customStyle="1" w:styleId="Table">
    <w:name w:val="Table"/>
    <w:aliases w:val="ta-Table"/>
    <w:basedOn w:val="Normal"/>
    <w:rsid w:val="00F040DF"/>
  </w:style>
  <w:style w:type="character" w:styleId="Emphasis">
    <w:name w:val="Emphasis"/>
    <w:basedOn w:val="DefaultParagraphFont"/>
    <w:uiPriority w:val="20"/>
    <w:semiHidden/>
    <w:qFormat/>
    <w:rsid w:val="00396CA1"/>
    <w:rPr>
      <w:i/>
      <w:iCs/>
    </w:rPr>
  </w:style>
  <w:style w:type="paragraph" w:customStyle="1" w:styleId="SingleSpace">
    <w:name w:val="Single Space"/>
    <w:basedOn w:val="Normal"/>
    <w:link w:val="SingleSpaceChar"/>
    <w:rsid w:val="00D27267"/>
  </w:style>
  <w:style w:type="character" w:customStyle="1" w:styleId="SingleSpaceChar">
    <w:name w:val="Single Space Char"/>
    <w:basedOn w:val="DefaultParagraphFont"/>
    <w:link w:val="SingleSpace"/>
    <w:rsid w:val="00D27267"/>
    <w:rPr>
      <w:rFonts w:ascii="Times New Roman" w:eastAsia="Times New Roman" w:hAnsi="Times New Roman" w:cs="Times New Roman"/>
      <w:sz w:val="24"/>
      <w:szCs w:val="24"/>
    </w:rPr>
  </w:style>
  <w:style w:type="paragraph" w:customStyle="1" w:styleId="DoubleSpace">
    <w:name w:val="Double Space"/>
    <w:basedOn w:val="SingleSpace"/>
    <w:link w:val="DoubleSpaceChar"/>
    <w:qFormat/>
    <w:rsid w:val="00D27267"/>
    <w:pPr>
      <w:numPr>
        <w:numId w:val="10"/>
      </w:numPr>
      <w:spacing w:line="480" w:lineRule="auto"/>
      <w:contextualSpacing/>
    </w:pPr>
  </w:style>
  <w:style w:type="character" w:customStyle="1" w:styleId="DoubleSpaceChar">
    <w:name w:val="Double Space Char"/>
    <w:basedOn w:val="SingleSpaceChar"/>
    <w:link w:val="DoubleSpace"/>
    <w:rsid w:val="00D27267"/>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27267"/>
    <w:pPr>
      <w:spacing w:after="120"/>
    </w:pPr>
    <w:rPr>
      <w:szCs w:val="20"/>
    </w:rPr>
  </w:style>
  <w:style w:type="character" w:customStyle="1" w:styleId="FootnoteTextChar">
    <w:name w:val="Footnote Text Char"/>
    <w:basedOn w:val="DefaultParagraphFont"/>
    <w:link w:val="FootnoteText"/>
    <w:uiPriority w:val="99"/>
    <w:rsid w:val="00D27267"/>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sid w:val="00D27267"/>
    <w:rPr>
      <w:vertAlign w:val="superscript"/>
    </w:rPr>
  </w:style>
  <w:style w:type="table" w:styleId="TableGrid">
    <w:name w:val="Table Grid"/>
    <w:basedOn w:val="TableNormal"/>
    <w:rsid w:val="00D272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27267"/>
    <w:rPr>
      <w:color w:val="0563C1" w:themeColor="hyperlink"/>
      <w:u w:val="single"/>
    </w:rPr>
  </w:style>
  <w:style w:type="paragraph" w:styleId="NormalWeb">
    <w:name w:val="Normal (Web)"/>
    <w:basedOn w:val="Normal"/>
    <w:uiPriority w:val="99"/>
    <w:semiHidden/>
    <w:unhideWhenUsed/>
    <w:rsid w:val="00D27267"/>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1D13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32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04639"/>
    <w:rPr>
      <w:sz w:val="16"/>
      <w:szCs w:val="16"/>
    </w:rPr>
  </w:style>
  <w:style w:type="paragraph" w:styleId="CommentText">
    <w:name w:val="annotation text"/>
    <w:basedOn w:val="Normal"/>
    <w:link w:val="CommentTextChar"/>
    <w:uiPriority w:val="99"/>
    <w:semiHidden/>
    <w:unhideWhenUsed/>
    <w:rsid w:val="00904639"/>
    <w:rPr>
      <w:sz w:val="20"/>
      <w:szCs w:val="20"/>
    </w:rPr>
  </w:style>
  <w:style w:type="character" w:customStyle="1" w:styleId="CommentTextChar">
    <w:name w:val="Comment Text Char"/>
    <w:basedOn w:val="DefaultParagraphFont"/>
    <w:link w:val="CommentText"/>
    <w:uiPriority w:val="99"/>
    <w:semiHidden/>
    <w:rsid w:val="00904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639"/>
    <w:rPr>
      <w:b/>
      <w:bCs/>
    </w:rPr>
  </w:style>
  <w:style w:type="character" w:customStyle="1" w:styleId="CommentSubjectChar">
    <w:name w:val="Comment Subject Char"/>
    <w:basedOn w:val="CommentTextChar"/>
    <w:link w:val="CommentSubject"/>
    <w:uiPriority w:val="99"/>
    <w:semiHidden/>
    <w:rsid w:val="0090463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api/document/collection/administrative-materials/id/3SF5-PXY0-000G-82FT-00000-00?cite=1996%20Ohio%20PUC%20LEXIS%20179&amp;context=10005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vance.lexis.com/api/document/collection/administrative-materials/id/3SF5-R0T0-000G-83DT-00000-00?cite=1995%20Ohio%20PUC%20LEXIS%20388&amp;context=100051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2753@att.com" TargetMode="External"/><Relationship Id="rId5" Type="http://schemas.openxmlformats.org/officeDocument/2006/relationships/footnotes" Target="footnotes.xml"/><Relationship Id="rId10" Type="http://schemas.openxmlformats.org/officeDocument/2006/relationships/hyperlink" Target="mailto:mdortch@kravitzllc.com" TargetMode="External"/><Relationship Id="rId4" Type="http://schemas.openxmlformats.org/officeDocument/2006/relationships/webSettings" Target="webSettings.xml"/><Relationship Id="rId9" Type="http://schemas.openxmlformats.org/officeDocument/2006/relationships/hyperlink" Target="https://advance.lexis.com/api/document/collection/cases/id/5HPG-FNV1-F04J-80MM-00000-00?cite=2009%20Ohio%20Misc.%20LEXIS%209170&amp;context=10005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1458</Words>
  <Characters>8647</Characters>
  <Application>Microsoft Office Word</Application>
  <DocSecurity>0</DocSecurity>
  <Lines>617</Lines>
  <Paragraphs>206</Paragraphs>
  <ScaleCrop>false</ScaleCrop>
  <Company/>
  <LinksUpToDate>false</LinksUpToDate>
  <CharactersWithSpaces>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Richard Parsons</cp:lastModifiedBy>
  <cp:revision>9</cp:revision>
  <dcterms:created xsi:type="dcterms:W3CDTF">2017-09-07T18:48:00Z</dcterms:created>
  <dcterms:modified xsi:type="dcterms:W3CDTF">2017-09-07T18:52:00Z</dcterms:modified>
</cp:coreProperties>
</file>