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6D2B6" w14:textId="77777777" w:rsidR="00545F29" w:rsidRPr="009D71F6" w:rsidRDefault="0056270F">
      <w:pPr>
        <w:pStyle w:val="Title"/>
        <w:widowControl w:val="0"/>
        <w:rPr>
          <w:rFonts w:ascii="Arial" w:hAnsi="Arial" w:cs="Arial"/>
          <w:szCs w:val="24"/>
        </w:rPr>
      </w:pPr>
      <w:r w:rsidRPr="009D71F6">
        <w:rPr>
          <w:rFonts w:ascii="Arial" w:hAnsi="Arial" w:cs="Arial"/>
          <w:szCs w:val="24"/>
        </w:rPr>
        <w:t>BEFORE</w:t>
      </w:r>
    </w:p>
    <w:p w14:paraId="7176D2B7" w14:textId="77777777" w:rsidR="00545F29" w:rsidRPr="009D71F6" w:rsidRDefault="0056270F">
      <w:pPr>
        <w:widowControl w:val="0"/>
        <w:jc w:val="center"/>
        <w:rPr>
          <w:rFonts w:ascii="Arial" w:hAnsi="Arial" w:cs="Arial"/>
          <w:b/>
          <w:sz w:val="24"/>
          <w:szCs w:val="24"/>
        </w:rPr>
      </w:pPr>
      <w:r w:rsidRPr="009D71F6">
        <w:rPr>
          <w:rFonts w:ascii="Arial" w:hAnsi="Arial" w:cs="Arial"/>
          <w:b/>
          <w:sz w:val="24"/>
          <w:szCs w:val="24"/>
        </w:rPr>
        <w:t>THE PUBLIC UTILITIES COMMISSION OF OHIO</w:t>
      </w:r>
    </w:p>
    <w:tbl>
      <w:tblPr>
        <w:tblW w:w="0" w:type="auto"/>
        <w:jc w:val="center"/>
        <w:tblLook w:val="01E0" w:firstRow="1" w:lastRow="1" w:firstColumn="1" w:lastColumn="1" w:noHBand="0" w:noVBand="0"/>
      </w:tblPr>
      <w:tblGrid>
        <w:gridCol w:w="4739"/>
        <w:gridCol w:w="630"/>
        <w:gridCol w:w="3928"/>
      </w:tblGrid>
      <w:tr w:rsidR="00355B90" w:rsidRPr="009D71F6" w14:paraId="7176D2C6" w14:textId="77777777">
        <w:trPr>
          <w:trHeight w:val="873"/>
          <w:jc w:val="center"/>
        </w:trPr>
        <w:tc>
          <w:tcPr>
            <w:tcW w:w="4739" w:type="dxa"/>
          </w:tcPr>
          <w:p w14:paraId="1E00DAEC" w14:textId="0D6CDD16" w:rsidR="00D57E21" w:rsidRPr="00D57E21" w:rsidRDefault="00D57E21" w:rsidP="00D57E21">
            <w:pPr>
              <w:widowControl w:val="0"/>
              <w:spacing w:after="0" w:line="240" w:lineRule="auto"/>
              <w:jc w:val="both"/>
              <w:rPr>
                <w:rFonts w:ascii="Arial" w:hAnsi="Arial" w:cs="Arial"/>
                <w:sz w:val="24"/>
                <w:szCs w:val="24"/>
              </w:rPr>
            </w:pPr>
            <w:r w:rsidRPr="00D57E21">
              <w:rPr>
                <w:rFonts w:ascii="Arial" w:hAnsi="Arial" w:cs="Arial"/>
                <w:sz w:val="24"/>
                <w:szCs w:val="24"/>
              </w:rPr>
              <w:t>In the Mat</w:t>
            </w:r>
            <w:r>
              <w:rPr>
                <w:rFonts w:ascii="Arial" w:hAnsi="Arial" w:cs="Arial"/>
                <w:sz w:val="24"/>
                <w:szCs w:val="24"/>
              </w:rPr>
              <w:t xml:space="preserve">ter of the Application of Duke  </w:t>
            </w:r>
            <w:r w:rsidRPr="00D57E21">
              <w:rPr>
                <w:rFonts w:ascii="Arial" w:hAnsi="Arial" w:cs="Arial"/>
                <w:sz w:val="24"/>
                <w:szCs w:val="24"/>
              </w:rPr>
              <w:t>Energy O</w:t>
            </w:r>
            <w:r>
              <w:rPr>
                <w:rFonts w:ascii="Arial" w:hAnsi="Arial" w:cs="Arial"/>
                <w:sz w:val="24"/>
                <w:szCs w:val="24"/>
              </w:rPr>
              <w:t xml:space="preserve">hio for Approval of the Fourth </w:t>
            </w:r>
          </w:p>
          <w:p w14:paraId="17369525" w14:textId="77777777" w:rsidR="00D57E21" w:rsidRDefault="00D57E21" w:rsidP="00D57E21">
            <w:pPr>
              <w:widowControl w:val="0"/>
              <w:spacing w:after="0" w:line="240" w:lineRule="auto"/>
              <w:jc w:val="both"/>
              <w:rPr>
                <w:rFonts w:ascii="Arial" w:hAnsi="Arial" w:cs="Arial"/>
                <w:sz w:val="24"/>
                <w:szCs w:val="24"/>
              </w:rPr>
            </w:pPr>
            <w:r w:rsidRPr="00D57E21">
              <w:rPr>
                <w:rFonts w:ascii="Arial" w:hAnsi="Arial" w:cs="Arial"/>
                <w:sz w:val="24"/>
                <w:szCs w:val="24"/>
              </w:rPr>
              <w:t>Amended C</w:t>
            </w:r>
            <w:r>
              <w:rPr>
                <w:rFonts w:ascii="Arial" w:hAnsi="Arial" w:cs="Arial"/>
                <w:sz w:val="24"/>
                <w:szCs w:val="24"/>
              </w:rPr>
              <w:t xml:space="preserve">orporate Separation Plan under </w:t>
            </w:r>
            <w:r w:rsidRPr="00D57E21">
              <w:rPr>
                <w:rFonts w:ascii="Arial" w:hAnsi="Arial" w:cs="Arial"/>
                <w:sz w:val="24"/>
                <w:szCs w:val="24"/>
              </w:rPr>
              <w:t>Section 4928</w:t>
            </w:r>
            <w:r>
              <w:rPr>
                <w:rFonts w:ascii="Arial" w:hAnsi="Arial" w:cs="Arial"/>
                <w:sz w:val="24"/>
                <w:szCs w:val="24"/>
              </w:rPr>
              <w:t xml:space="preserve">.17, Revised Code, and Chapter </w:t>
            </w:r>
            <w:r w:rsidRPr="00D57E21">
              <w:rPr>
                <w:rFonts w:ascii="Arial" w:hAnsi="Arial" w:cs="Arial"/>
                <w:sz w:val="24"/>
                <w:szCs w:val="24"/>
              </w:rPr>
              <w:t>4901:1-37, Ohio Administrative Code.</w:t>
            </w:r>
          </w:p>
          <w:p w14:paraId="7176D2BA" w14:textId="5750A700" w:rsidR="00545F29" w:rsidRDefault="00545F29" w:rsidP="00D57E21">
            <w:pPr>
              <w:widowControl w:val="0"/>
              <w:spacing w:after="0" w:line="240" w:lineRule="auto"/>
              <w:jc w:val="both"/>
              <w:rPr>
                <w:rFonts w:ascii="Arial" w:hAnsi="Arial" w:cs="Arial"/>
                <w:sz w:val="24"/>
                <w:szCs w:val="24"/>
              </w:rPr>
            </w:pPr>
          </w:p>
          <w:p w14:paraId="4C237D1F" w14:textId="12546C7D" w:rsidR="00D57E21" w:rsidRDefault="00D57E21" w:rsidP="00D57E21">
            <w:pPr>
              <w:widowControl w:val="0"/>
              <w:spacing w:after="0" w:line="240" w:lineRule="auto"/>
              <w:jc w:val="both"/>
              <w:rPr>
                <w:rFonts w:ascii="Arial" w:hAnsi="Arial" w:cs="Arial"/>
                <w:sz w:val="24"/>
                <w:szCs w:val="24"/>
              </w:rPr>
            </w:pPr>
            <w:r w:rsidRPr="00D57E21">
              <w:rPr>
                <w:rFonts w:ascii="Arial" w:hAnsi="Arial" w:cs="Arial"/>
                <w:sz w:val="24"/>
                <w:szCs w:val="24"/>
              </w:rPr>
              <w:t>In the Mat</w:t>
            </w:r>
            <w:r>
              <w:rPr>
                <w:rFonts w:ascii="Arial" w:hAnsi="Arial" w:cs="Arial"/>
                <w:sz w:val="24"/>
                <w:szCs w:val="24"/>
              </w:rPr>
              <w:t>ter of the Application of Duke</w:t>
            </w:r>
            <w:r w:rsidR="00613140">
              <w:rPr>
                <w:rFonts w:ascii="Arial" w:hAnsi="Arial" w:cs="Arial"/>
                <w:sz w:val="24"/>
                <w:szCs w:val="24"/>
              </w:rPr>
              <w:t xml:space="preserve">    </w:t>
            </w:r>
            <w:r>
              <w:rPr>
                <w:rFonts w:ascii="Arial" w:hAnsi="Arial" w:cs="Arial"/>
                <w:sz w:val="24"/>
                <w:szCs w:val="24"/>
              </w:rPr>
              <w:t xml:space="preserve">  </w:t>
            </w:r>
            <w:r w:rsidRPr="00D57E21">
              <w:rPr>
                <w:rFonts w:ascii="Arial" w:hAnsi="Arial" w:cs="Arial"/>
                <w:sz w:val="24"/>
                <w:szCs w:val="24"/>
              </w:rPr>
              <w:t>Energy Ohio for</w:t>
            </w:r>
            <w:r w:rsidR="00613140">
              <w:rPr>
                <w:rFonts w:ascii="Arial" w:hAnsi="Arial" w:cs="Arial"/>
                <w:sz w:val="24"/>
                <w:szCs w:val="24"/>
              </w:rPr>
              <w:t xml:space="preserve"> Authority to Amend its Retail </w:t>
            </w:r>
            <w:r w:rsidRPr="00D57E21">
              <w:rPr>
                <w:rFonts w:ascii="Arial" w:hAnsi="Arial" w:cs="Arial"/>
                <w:sz w:val="24"/>
                <w:szCs w:val="24"/>
              </w:rPr>
              <w:t>Tariff, P.U.C.O. No. 19.</w:t>
            </w:r>
          </w:p>
          <w:p w14:paraId="35F15466" w14:textId="77777777" w:rsidR="00D57E21" w:rsidRPr="009D71F6" w:rsidRDefault="00D57E21" w:rsidP="00D57E21">
            <w:pPr>
              <w:widowControl w:val="0"/>
              <w:spacing w:after="0" w:line="240" w:lineRule="auto"/>
              <w:rPr>
                <w:rFonts w:ascii="Arial" w:hAnsi="Arial" w:cs="Arial"/>
                <w:sz w:val="24"/>
                <w:szCs w:val="24"/>
              </w:rPr>
            </w:pPr>
          </w:p>
          <w:p w14:paraId="7176D2BB" w14:textId="77777777" w:rsidR="00545F29" w:rsidRPr="009D71F6" w:rsidRDefault="00545F29">
            <w:pPr>
              <w:widowControl w:val="0"/>
              <w:spacing w:after="0" w:line="240" w:lineRule="auto"/>
              <w:rPr>
                <w:rFonts w:ascii="Arial" w:hAnsi="Arial" w:cs="Arial"/>
                <w:sz w:val="24"/>
                <w:szCs w:val="24"/>
              </w:rPr>
            </w:pPr>
          </w:p>
        </w:tc>
        <w:tc>
          <w:tcPr>
            <w:tcW w:w="630" w:type="dxa"/>
          </w:tcPr>
          <w:p w14:paraId="7176D2BC" w14:textId="77777777" w:rsidR="00545F29" w:rsidRPr="009D71F6" w:rsidRDefault="0056270F">
            <w:pPr>
              <w:widowControl w:val="0"/>
              <w:spacing w:after="0" w:line="240" w:lineRule="auto"/>
              <w:jc w:val="center"/>
              <w:rPr>
                <w:rFonts w:ascii="Arial" w:hAnsi="Arial" w:cs="Arial"/>
                <w:sz w:val="24"/>
                <w:szCs w:val="24"/>
              </w:rPr>
            </w:pPr>
            <w:r w:rsidRPr="009D71F6">
              <w:rPr>
                <w:rFonts w:ascii="Arial" w:hAnsi="Arial" w:cs="Arial"/>
                <w:sz w:val="24"/>
                <w:szCs w:val="24"/>
              </w:rPr>
              <w:t>)</w:t>
            </w:r>
          </w:p>
          <w:p w14:paraId="7176D2BD" w14:textId="77777777" w:rsidR="00545F29" w:rsidRPr="009D71F6" w:rsidRDefault="0056270F">
            <w:pPr>
              <w:widowControl w:val="0"/>
              <w:spacing w:after="0" w:line="240" w:lineRule="auto"/>
              <w:jc w:val="center"/>
              <w:rPr>
                <w:rFonts w:ascii="Arial" w:hAnsi="Arial" w:cs="Arial"/>
                <w:sz w:val="24"/>
                <w:szCs w:val="24"/>
              </w:rPr>
            </w:pPr>
            <w:r w:rsidRPr="009D71F6">
              <w:rPr>
                <w:rFonts w:ascii="Arial" w:hAnsi="Arial" w:cs="Arial"/>
                <w:sz w:val="24"/>
                <w:szCs w:val="24"/>
              </w:rPr>
              <w:t>)</w:t>
            </w:r>
          </w:p>
          <w:p w14:paraId="7176D2BE" w14:textId="77777777" w:rsidR="00545F29" w:rsidRPr="009D71F6" w:rsidRDefault="0056270F">
            <w:pPr>
              <w:widowControl w:val="0"/>
              <w:spacing w:after="0" w:line="240" w:lineRule="auto"/>
              <w:jc w:val="center"/>
              <w:rPr>
                <w:rFonts w:ascii="Arial" w:hAnsi="Arial" w:cs="Arial"/>
                <w:sz w:val="24"/>
                <w:szCs w:val="24"/>
              </w:rPr>
            </w:pPr>
            <w:r w:rsidRPr="009D71F6">
              <w:rPr>
                <w:rFonts w:ascii="Arial" w:hAnsi="Arial" w:cs="Arial"/>
                <w:sz w:val="24"/>
                <w:szCs w:val="24"/>
              </w:rPr>
              <w:t>)</w:t>
            </w:r>
          </w:p>
          <w:p w14:paraId="7176D2BF" w14:textId="77777777" w:rsidR="00545F29" w:rsidRPr="009D71F6" w:rsidRDefault="0056270F" w:rsidP="002F05DC">
            <w:pPr>
              <w:widowControl w:val="0"/>
              <w:spacing w:after="0" w:line="240" w:lineRule="auto"/>
              <w:jc w:val="center"/>
              <w:rPr>
                <w:rFonts w:ascii="Arial" w:hAnsi="Arial" w:cs="Arial"/>
                <w:sz w:val="24"/>
                <w:szCs w:val="24"/>
              </w:rPr>
            </w:pPr>
            <w:r w:rsidRPr="009D71F6">
              <w:rPr>
                <w:rFonts w:ascii="Arial" w:hAnsi="Arial" w:cs="Arial"/>
                <w:sz w:val="24"/>
                <w:szCs w:val="24"/>
              </w:rPr>
              <w:t>)</w:t>
            </w:r>
          </w:p>
          <w:p w14:paraId="568BA02A" w14:textId="77777777" w:rsidR="00545F29" w:rsidRDefault="002F05DC" w:rsidP="002F05DC">
            <w:pPr>
              <w:widowControl w:val="0"/>
              <w:spacing w:after="0" w:line="240" w:lineRule="auto"/>
              <w:jc w:val="center"/>
              <w:rPr>
                <w:rFonts w:ascii="Arial" w:hAnsi="Arial" w:cs="Arial"/>
                <w:sz w:val="24"/>
                <w:szCs w:val="24"/>
              </w:rPr>
            </w:pPr>
            <w:r w:rsidRPr="009D71F6">
              <w:rPr>
                <w:rFonts w:ascii="Arial" w:hAnsi="Arial" w:cs="Arial"/>
                <w:sz w:val="24"/>
                <w:szCs w:val="24"/>
              </w:rPr>
              <w:t>)</w:t>
            </w:r>
          </w:p>
          <w:p w14:paraId="323516E4" w14:textId="77777777" w:rsidR="006178F0" w:rsidRDefault="006178F0" w:rsidP="002F05DC">
            <w:pPr>
              <w:widowControl w:val="0"/>
              <w:spacing w:after="0" w:line="240" w:lineRule="auto"/>
              <w:jc w:val="center"/>
              <w:rPr>
                <w:rFonts w:ascii="Arial" w:hAnsi="Arial" w:cs="Arial"/>
                <w:sz w:val="24"/>
                <w:szCs w:val="24"/>
              </w:rPr>
            </w:pPr>
            <w:r>
              <w:rPr>
                <w:rFonts w:ascii="Arial" w:hAnsi="Arial" w:cs="Arial"/>
                <w:sz w:val="24"/>
                <w:szCs w:val="24"/>
              </w:rPr>
              <w:t>)</w:t>
            </w:r>
          </w:p>
          <w:p w14:paraId="7C8B6E1E" w14:textId="77777777" w:rsidR="006178F0" w:rsidRDefault="006178F0" w:rsidP="002F05DC">
            <w:pPr>
              <w:widowControl w:val="0"/>
              <w:spacing w:after="0" w:line="240" w:lineRule="auto"/>
              <w:jc w:val="center"/>
              <w:rPr>
                <w:rFonts w:ascii="Arial" w:hAnsi="Arial" w:cs="Arial"/>
                <w:sz w:val="24"/>
                <w:szCs w:val="24"/>
              </w:rPr>
            </w:pPr>
            <w:r>
              <w:rPr>
                <w:rFonts w:ascii="Arial" w:hAnsi="Arial" w:cs="Arial"/>
                <w:sz w:val="24"/>
                <w:szCs w:val="24"/>
              </w:rPr>
              <w:t>)</w:t>
            </w:r>
          </w:p>
          <w:p w14:paraId="54823D5D" w14:textId="77777777" w:rsidR="006178F0" w:rsidRDefault="006178F0" w:rsidP="002F05DC">
            <w:pPr>
              <w:widowControl w:val="0"/>
              <w:spacing w:after="0" w:line="240" w:lineRule="auto"/>
              <w:jc w:val="center"/>
              <w:rPr>
                <w:rFonts w:ascii="Arial" w:hAnsi="Arial" w:cs="Arial"/>
                <w:sz w:val="24"/>
                <w:szCs w:val="24"/>
              </w:rPr>
            </w:pPr>
            <w:r>
              <w:rPr>
                <w:rFonts w:ascii="Arial" w:hAnsi="Arial" w:cs="Arial"/>
                <w:sz w:val="24"/>
                <w:szCs w:val="24"/>
              </w:rPr>
              <w:t>)</w:t>
            </w:r>
          </w:p>
          <w:p w14:paraId="74AFB6E3" w14:textId="77777777" w:rsidR="006178F0" w:rsidRDefault="006178F0" w:rsidP="002F05DC">
            <w:pPr>
              <w:widowControl w:val="0"/>
              <w:spacing w:after="0" w:line="240" w:lineRule="auto"/>
              <w:jc w:val="center"/>
              <w:rPr>
                <w:rFonts w:ascii="Arial" w:hAnsi="Arial" w:cs="Arial"/>
                <w:sz w:val="24"/>
                <w:szCs w:val="24"/>
              </w:rPr>
            </w:pPr>
            <w:r>
              <w:rPr>
                <w:rFonts w:ascii="Arial" w:hAnsi="Arial" w:cs="Arial"/>
                <w:sz w:val="24"/>
                <w:szCs w:val="24"/>
              </w:rPr>
              <w:t>)</w:t>
            </w:r>
          </w:p>
          <w:p w14:paraId="7176D2C0" w14:textId="1408085F" w:rsidR="006178F0" w:rsidRPr="009D71F6" w:rsidRDefault="006178F0" w:rsidP="002F05DC">
            <w:pPr>
              <w:widowControl w:val="0"/>
              <w:spacing w:after="0" w:line="240" w:lineRule="auto"/>
              <w:jc w:val="center"/>
              <w:rPr>
                <w:rFonts w:ascii="Arial" w:hAnsi="Arial" w:cs="Arial"/>
                <w:sz w:val="24"/>
                <w:szCs w:val="24"/>
              </w:rPr>
            </w:pPr>
            <w:r>
              <w:rPr>
                <w:rFonts w:ascii="Arial" w:hAnsi="Arial" w:cs="Arial"/>
                <w:sz w:val="24"/>
                <w:szCs w:val="24"/>
              </w:rPr>
              <w:t>)</w:t>
            </w:r>
          </w:p>
        </w:tc>
        <w:tc>
          <w:tcPr>
            <w:tcW w:w="3928" w:type="dxa"/>
          </w:tcPr>
          <w:p w14:paraId="7176D2C1" w14:textId="77777777" w:rsidR="00545F29" w:rsidRPr="009D71F6" w:rsidRDefault="00545F29">
            <w:pPr>
              <w:widowControl w:val="0"/>
              <w:spacing w:after="0" w:line="240" w:lineRule="auto"/>
              <w:rPr>
                <w:rFonts w:ascii="Arial" w:hAnsi="Arial" w:cs="Arial"/>
                <w:sz w:val="24"/>
                <w:szCs w:val="24"/>
              </w:rPr>
            </w:pPr>
          </w:p>
          <w:p w14:paraId="7176D2C2" w14:textId="77777777" w:rsidR="00545F29" w:rsidRPr="009D71F6" w:rsidRDefault="00545F29">
            <w:pPr>
              <w:widowControl w:val="0"/>
              <w:spacing w:after="0" w:line="240" w:lineRule="auto"/>
              <w:rPr>
                <w:rFonts w:ascii="Arial" w:hAnsi="Arial" w:cs="Arial"/>
                <w:sz w:val="24"/>
                <w:szCs w:val="24"/>
              </w:rPr>
            </w:pPr>
          </w:p>
          <w:p w14:paraId="7176D2C3" w14:textId="25DDDD1D" w:rsidR="00545F29" w:rsidRPr="009D71F6" w:rsidRDefault="00613140">
            <w:pPr>
              <w:widowControl w:val="0"/>
              <w:spacing w:after="0" w:line="240" w:lineRule="auto"/>
              <w:rPr>
                <w:rFonts w:ascii="Arial" w:hAnsi="Arial" w:cs="Arial"/>
                <w:sz w:val="24"/>
                <w:szCs w:val="24"/>
              </w:rPr>
            </w:pPr>
            <w:r>
              <w:rPr>
                <w:rFonts w:ascii="Arial" w:hAnsi="Arial" w:cs="Arial"/>
                <w:sz w:val="24"/>
                <w:szCs w:val="24"/>
              </w:rPr>
              <w:t>Case No. 14-0689</w:t>
            </w:r>
            <w:r w:rsidR="005E5B1F">
              <w:rPr>
                <w:rFonts w:ascii="Arial" w:hAnsi="Arial" w:cs="Arial"/>
                <w:sz w:val="24"/>
                <w:szCs w:val="24"/>
              </w:rPr>
              <w:t>-EL-UNC</w:t>
            </w:r>
          </w:p>
          <w:p w14:paraId="7176D2C4" w14:textId="77777777" w:rsidR="00545F29" w:rsidRPr="009D71F6" w:rsidRDefault="00545F29">
            <w:pPr>
              <w:widowControl w:val="0"/>
              <w:spacing w:after="0" w:line="240" w:lineRule="auto"/>
              <w:rPr>
                <w:rFonts w:ascii="Arial" w:hAnsi="Arial" w:cs="Arial"/>
                <w:sz w:val="24"/>
                <w:szCs w:val="24"/>
              </w:rPr>
            </w:pPr>
          </w:p>
          <w:p w14:paraId="325D121B" w14:textId="77777777" w:rsidR="00545F29" w:rsidRDefault="00545F29">
            <w:pPr>
              <w:widowControl w:val="0"/>
              <w:spacing w:after="0" w:line="240" w:lineRule="auto"/>
              <w:rPr>
                <w:rFonts w:ascii="Arial" w:hAnsi="Arial" w:cs="Arial"/>
                <w:sz w:val="24"/>
                <w:szCs w:val="24"/>
              </w:rPr>
            </w:pPr>
          </w:p>
          <w:p w14:paraId="378C5952" w14:textId="77777777" w:rsidR="00613140" w:rsidRDefault="00613140">
            <w:pPr>
              <w:widowControl w:val="0"/>
              <w:spacing w:after="0" w:line="240" w:lineRule="auto"/>
              <w:rPr>
                <w:rFonts w:ascii="Arial" w:hAnsi="Arial" w:cs="Arial"/>
                <w:sz w:val="24"/>
                <w:szCs w:val="24"/>
              </w:rPr>
            </w:pPr>
          </w:p>
          <w:p w14:paraId="2E275791" w14:textId="77777777" w:rsidR="00613140" w:rsidRDefault="00613140">
            <w:pPr>
              <w:widowControl w:val="0"/>
              <w:spacing w:after="0" w:line="240" w:lineRule="auto"/>
              <w:rPr>
                <w:rFonts w:ascii="Arial" w:hAnsi="Arial" w:cs="Arial"/>
                <w:sz w:val="24"/>
                <w:szCs w:val="24"/>
              </w:rPr>
            </w:pPr>
          </w:p>
          <w:p w14:paraId="7176D2C5" w14:textId="3DC9961F" w:rsidR="00613140" w:rsidRPr="009D71F6" w:rsidRDefault="00613140">
            <w:pPr>
              <w:widowControl w:val="0"/>
              <w:spacing w:after="0" w:line="240" w:lineRule="auto"/>
              <w:rPr>
                <w:rFonts w:ascii="Arial" w:hAnsi="Arial" w:cs="Arial"/>
                <w:sz w:val="24"/>
                <w:szCs w:val="24"/>
              </w:rPr>
            </w:pPr>
            <w:r>
              <w:rPr>
                <w:rFonts w:ascii="Arial" w:hAnsi="Arial" w:cs="Arial"/>
                <w:sz w:val="24"/>
                <w:szCs w:val="24"/>
              </w:rPr>
              <w:t>Case No. 14-0690-EL-ATA</w:t>
            </w:r>
          </w:p>
        </w:tc>
      </w:tr>
    </w:tbl>
    <w:p w14:paraId="7176D2C7" w14:textId="77777777" w:rsidR="00545F29" w:rsidRPr="009D71F6" w:rsidRDefault="00545F29">
      <w:pPr>
        <w:widowControl w:val="0"/>
        <w:pBdr>
          <w:bottom w:val="single" w:sz="12" w:space="0" w:color="auto"/>
        </w:pBdr>
        <w:spacing w:after="0" w:line="240" w:lineRule="auto"/>
        <w:rPr>
          <w:rFonts w:ascii="Arial" w:hAnsi="Arial" w:cs="Arial"/>
          <w:sz w:val="24"/>
          <w:szCs w:val="24"/>
        </w:rPr>
      </w:pPr>
    </w:p>
    <w:p w14:paraId="7176D2C8" w14:textId="77777777" w:rsidR="00545F29" w:rsidRPr="009D71F6" w:rsidRDefault="00545F29">
      <w:pPr>
        <w:widowControl w:val="0"/>
        <w:spacing w:after="0" w:line="240" w:lineRule="auto"/>
        <w:jc w:val="center"/>
        <w:rPr>
          <w:rFonts w:ascii="Arial" w:hAnsi="Arial" w:cs="Arial"/>
          <w:b/>
          <w:bCs/>
          <w:sz w:val="24"/>
          <w:szCs w:val="24"/>
        </w:rPr>
      </w:pPr>
    </w:p>
    <w:p w14:paraId="7176D2CA" w14:textId="62F66584" w:rsidR="00545F29" w:rsidRPr="009D71F6" w:rsidRDefault="00D97DB7" w:rsidP="003A4246">
      <w:pPr>
        <w:widowControl w:val="0"/>
        <w:spacing w:after="0" w:line="240" w:lineRule="auto"/>
        <w:jc w:val="center"/>
        <w:rPr>
          <w:rFonts w:ascii="Arial" w:hAnsi="Arial" w:cs="Arial"/>
          <w:b/>
          <w:bCs/>
          <w:sz w:val="24"/>
          <w:szCs w:val="24"/>
        </w:rPr>
      </w:pPr>
      <w:r>
        <w:rPr>
          <w:rFonts w:ascii="Arial" w:hAnsi="Arial" w:cs="Arial"/>
          <w:b/>
          <w:bCs/>
          <w:sz w:val="24"/>
          <w:szCs w:val="24"/>
        </w:rPr>
        <w:t xml:space="preserve">JOINT </w:t>
      </w:r>
      <w:r w:rsidR="00C05958">
        <w:rPr>
          <w:rFonts w:ascii="Arial" w:hAnsi="Arial" w:cs="Arial"/>
          <w:b/>
          <w:bCs/>
          <w:sz w:val="24"/>
          <w:szCs w:val="24"/>
        </w:rPr>
        <w:t>MEMORANDUM CONTRA OF INTERSTATE GAS SUPPLY, INC.</w:t>
      </w:r>
      <w:r w:rsidR="00626A61">
        <w:rPr>
          <w:rFonts w:ascii="Arial" w:hAnsi="Arial" w:cs="Arial"/>
          <w:b/>
          <w:bCs/>
          <w:sz w:val="24"/>
          <w:szCs w:val="24"/>
        </w:rPr>
        <w:t>,</w:t>
      </w:r>
      <w:r>
        <w:rPr>
          <w:rFonts w:ascii="Arial" w:hAnsi="Arial" w:cs="Arial"/>
          <w:b/>
          <w:bCs/>
          <w:sz w:val="24"/>
          <w:szCs w:val="24"/>
        </w:rPr>
        <w:t xml:space="preserve"> DIRECT ENERGY SERVICES, LLC</w:t>
      </w:r>
      <w:r w:rsidR="00626A61">
        <w:rPr>
          <w:rFonts w:ascii="Arial" w:hAnsi="Arial" w:cs="Arial"/>
          <w:b/>
          <w:bCs/>
          <w:sz w:val="24"/>
          <w:szCs w:val="24"/>
        </w:rPr>
        <w:t>,</w:t>
      </w:r>
      <w:r>
        <w:rPr>
          <w:rFonts w:ascii="Arial" w:hAnsi="Arial" w:cs="Arial"/>
          <w:b/>
          <w:bCs/>
          <w:sz w:val="24"/>
          <w:szCs w:val="24"/>
        </w:rPr>
        <w:t xml:space="preserve"> AND DIRECT ENERGY BUSINESS, LLC</w:t>
      </w:r>
    </w:p>
    <w:p w14:paraId="7176D2CB" w14:textId="77777777" w:rsidR="00545F29" w:rsidRPr="009D71F6" w:rsidRDefault="00545F29">
      <w:pPr>
        <w:widowControl w:val="0"/>
        <w:pBdr>
          <w:bottom w:val="single" w:sz="12" w:space="1" w:color="auto"/>
        </w:pBdr>
        <w:tabs>
          <w:tab w:val="left" w:pos="6461"/>
        </w:tabs>
        <w:spacing w:after="0" w:line="240" w:lineRule="auto"/>
        <w:jc w:val="center"/>
        <w:rPr>
          <w:rFonts w:ascii="Arial" w:hAnsi="Arial" w:cs="Arial"/>
          <w:sz w:val="24"/>
          <w:szCs w:val="24"/>
        </w:rPr>
      </w:pPr>
    </w:p>
    <w:p w14:paraId="7176D2CC" w14:textId="77777777" w:rsidR="00545F29" w:rsidRPr="009D71F6" w:rsidRDefault="00545F29">
      <w:pPr>
        <w:tabs>
          <w:tab w:val="left" w:pos="360"/>
        </w:tabs>
        <w:spacing w:after="0" w:line="240" w:lineRule="auto"/>
        <w:ind w:left="360" w:hanging="360"/>
        <w:jc w:val="both"/>
        <w:rPr>
          <w:rFonts w:ascii="Arial" w:hAnsi="Arial" w:cs="Arial"/>
          <w:sz w:val="24"/>
          <w:szCs w:val="24"/>
        </w:rPr>
      </w:pPr>
    </w:p>
    <w:p w14:paraId="204FE648" w14:textId="6BCBC466" w:rsidR="0094465D" w:rsidRPr="0094465D" w:rsidRDefault="0094465D" w:rsidP="0094465D">
      <w:pPr>
        <w:pStyle w:val="ListParagraph"/>
        <w:numPr>
          <w:ilvl w:val="0"/>
          <w:numId w:val="8"/>
        </w:numPr>
        <w:autoSpaceDE w:val="0"/>
        <w:autoSpaceDN w:val="0"/>
        <w:adjustRightInd w:val="0"/>
        <w:spacing w:after="120" w:line="480" w:lineRule="auto"/>
        <w:jc w:val="both"/>
        <w:rPr>
          <w:rFonts w:ascii="Arial" w:hAnsi="Arial" w:cs="Arial"/>
          <w:b/>
          <w:sz w:val="24"/>
          <w:szCs w:val="24"/>
        </w:rPr>
      </w:pPr>
      <w:r>
        <w:rPr>
          <w:rFonts w:ascii="Arial" w:hAnsi="Arial" w:cs="Arial"/>
          <w:b/>
          <w:sz w:val="24"/>
          <w:szCs w:val="24"/>
        </w:rPr>
        <w:t>INTRODUCTION</w:t>
      </w:r>
    </w:p>
    <w:p w14:paraId="4A90B3DC" w14:textId="58ECD3F6" w:rsidR="005978BC" w:rsidRDefault="005978BC" w:rsidP="00E079BD">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O</w:t>
      </w:r>
      <w:r w:rsidRPr="00FB45E6">
        <w:rPr>
          <w:rFonts w:ascii="Arial" w:hAnsi="Arial" w:cs="Arial"/>
          <w:sz w:val="24"/>
          <w:szCs w:val="24"/>
        </w:rPr>
        <w:t>n June 11, 2014, the Commission issued a Finding and Order (“Order”) authorizing Duke Energy Ohio (“Duke”), an EDU, to amend its corporate separation plan to provide unregulated products and services other than retail electric service</w:t>
      </w:r>
      <w:r>
        <w:rPr>
          <w:rFonts w:ascii="Arial" w:hAnsi="Arial" w:cs="Arial"/>
          <w:sz w:val="24"/>
          <w:szCs w:val="24"/>
        </w:rPr>
        <w:t xml:space="preserve"> (“non-electric services”)</w:t>
      </w:r>
      <w:r w:rsidRPr="00FB45E6">
        <w:rPr>
          <w:rFonts w:ascii="Arial" w:hAnsi="Arial" w:cs="Arial"/>
          <w:sz w:val="24"/>
          <w:szCs w:val="24"/>
        </w:rPr>
        <w:t>.</w:t>
      </w:r>
      <w:r>
        <w:rPr>
          <w:rFonts w:ascii="Arial" w:hAnsi="Arial" w:cs="Arial"/>
          <w:sz w:val="24"/>
          <w:szCs w:val="24"/>
        </w:rPr>
        <w:t xml:space="preserve">  Following an appeal, the Supreme Court of Ohio determined that the Order failed to comport with R.C. 4928.17(A), and the Commission did not sufficiently address or discuss whether an exception to the general rule applies under sections (C) or (D). </w:t>
      </w:r>
    </w:p>
    <w:p w14:paraId="3B7AC8C1" w14:textId="4B9FA01B" w:rsidR="00E079BD" w:rsidRDefault="005978BC" w:rsidP="00E079BD">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The</w:t>
      </w:r>
      <w:r w:rsidR="00FB0008">
        <w:rPr>
          <w:rFonts w:ascii="Arial" w:hAnsi="Arial" w:cs="Arial"/>
          <w:sz w:val="24"/>
          <w:szCs w:val="24"/>
        </w:rPr>
        <w:t xml:space="preserve"> Commission issued an Order on Remand addressing IGS’s statutory arguments and resolving the outstanding le</w:t>
      </w:r>
      <w:r w:rsidR="00B15B29">
        <w:rPr>
          <w:rFonts w:ascii="Arial" w:hAnsi="Arial" w:cs="Arial"/>
          <w:sz w:val="24"/>
          <w:szCs w:val="24"/>
        </w:rPr>
        <w:t>gal questions related to the corporate separation statute (R.C. 4928.17</w:t>
      </w:r>
      <w:r w:rsidR="00FB0008">
        <w:rPr>
          <w:rFonts w:ascii="Arial" w:hAnsi="Arial" w:cs="Arial"/>
          <w:sz w:val="24"/>
          <w:szCs w:val="24"/>
        </w:rPr>
        <w:t xml:space="preserve"> (C) and (D)</w:t>
      </w:r>
      <w:r w:rsidR="00B15B29">
        <w:rPr>
          <w:rFonts w:ascii="Arial" w:hAnsi="Arial" w:cs="Arial"/>
          <w:sz w:val="24"/>
          <w:szCs w:val="24"/>
        </w:rPr>
        <w:t>)</w:t>
      </w:r>
      <w:r w:rsidR="00DB04D6">
        <w:rPr>
          <w:rFonts w:ascii="Arial" w:hAnsi="Arial" w:cs="Arial"/>
          <w:sz w:val="24"/>
          <w:szCs w:val="24"/>
        </w:rPr>
        <w:t>.  Based upon the a</w:t>
      </w:r>
      <w:r w:rsidR="005920BD">
        <w:rPr>
          <w:rFonts w:ascii="Arial" w:hAnsi="Arial" w:cs="Arial"/>
          <w:sz w:val="24"/>
          <w:szCs w:val="24"/>
        </w:rPr>
        <w:t>pplication and the Commission’s interpretation of these sections, t</w:t>
      </w:r>
      <w:r w:rsidR="00FB0008">
        <w:rPr>
          <w:rFonts w:ascii="Arial" w:hAnsi="Arial" w:cs="Arial"/>
          <w:sz w:val="24"/>
          <w:szCs w:val="24"/>
        </w:rPr>
        <w:t xml:space="preserve">he Commission ultimately concluded that </w:t>
      </w:r>
      <w:r w:rsidR="00FB0008">
        <w:rPr>
          <w:rFonts w:ascii="Arial" w:hAnsi="Arial" w:cs="Arial"/>
          <w:sz w:val="24"/>
          <w:szCs w:val="24"/>
        </w:rPr>
        <w:lastRenderedPageBreak/>
        <w:t>Duke’s Application does not comport with R.C. 4928.17 and therefore should be denied and th</w:t>
      </w:r>
      <w:r w:rsidR="00E079BD">
        <w:rPr>
          <w:rFonts w:ascii="Arial" w:hAnsi="Arial" w:cs="Arial"/>
          <w:sz w:val="24"/>
          <w:szCs w:val="24"/>
        </w:rPr>
        <w:t>e proposed amendment withdrawn.</w:t>
      </w:r>
      <w:r w:rsidR="005920BD">
        <w:rPr>
          <w:rFonts w:ascii="Arial" w:hAnsi="Arial" w:cs="Arial"/>
          <w:sz w:val="24"/>
          <w:szCs w:val="24"/>
        </w:rPr>
        <w:t xml:space="preserve">  </w:t>
      </w:r>
    </w:p>
    <w:p w14:paraId="084A0D82" w14:textId="13346DF2" w:rsidR="00E079BD" w:rsidRDefault="00E56845" w:rsidP="00FB0008">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Not satisfied with the Commission’s decision, </w:t>
      </w:r>
      <w:r w:rsidR="00FB0008">
        <w:rPr>
          <w:rFonts w:ascii="Arial" w:hAnsi="Arial" w:cs="Arial"/>
          <w:sz w:val="24"/>
          <w:szCs w:val="24"/>
        </w:rPr>
        <w:t xml:space="preserve">Duke seeks rehearing </w:t>
      </w:r>
      <w:r w:rsidR="00E079BD">
        <w:rPr>
          <w:rFonts w:ascii="Arial" w:hAnsi="Arial" w:cs="Arial"/>
          <w:sz w:val="24"/>
          <w:szCs w:val="24"/>
        </w:rPr>
        <w:t>on four grounds.</w:t>
      </w:r>
      <w:r>
        <w:rPr>
          <w:rFonts w:ascii="Arial" w:hAnsi="Arial" w:cs="Arial"/>
          <w:sz w:val="24"/>
          <w:szCs w:val="24"/>
        </w:rPr>
        <w:t xml:space="preserve">  Duke alleges that the Order on Remand exceeded the scope of the Court’s instruction on remand,</w:t>
      </w:r>
      <w:r w:rsidR="00356287">
        <w:rPr>
          <w:rFonts w:ascii="Arial" w:hAnsi="Arial" w:cs="Arial"/>
          <w:sz w:val="24"/>
          <w:szCs w:val="24"/>
        </w:rPr>
        <w:t xml:space="preserve"> followed the direction of a concurrence as controlling law,</w:t>
      </w:r>
      <w:r>
        <w:rPr>
          <w:rFonts w:ascii="Arial" w:hAnsi="Arial" w:cs="Arial"/>
          <w:sz w:val="24"/>
          <w:szCs w:val="24"/>
        </w:rPr>
        <w:t xml:space="preserve"> that the Commission failed to hold a hearing, and that the Order on Remand is not supported by the record evidence.</w:t>
      </w:r>
      <w:r w:rsidR="00E079BD">
        <w:rPr>
          <w:rFonts w:ascii="Arial" w:hAnsi="Arial" w:cs="Arial"/>
          <w:sz w:val="24"/>
          <w:szCs w:val="24"/>
        </w:rPr>
        <w:t xml:space="preserve">  As discussed below, each</w:t>
      </w:r>
      <w:r>
        <w:rPr>
          <w:rFonts w:ascii="Arial" w:hAnsi="Arial" w:cs="Arial"/>
          <w:sz w:val="24"/>
          <w:szCs w:val="24"/>
        </w:rPr>
        <w:t xml:space="preserve"> of Duke’s arguments lacks merit.  Therefore,</w:t>
      </w:r>
      <w:r w:rsidR="00B15B29">
        <w:rPr>
          <w:rFonts w:ascii="Arial" w:hAnsi="Arial" w:cs="Arial"/>
          <w:sz w:val="24"/>
          <w:szCs w:val="24"/>
        </w:rPr>
        <w:t xml:space="preserve"> the Commission should issue an</w:t>
      </w:r>
      <w:r>
        <w:rPr>
          <w:rFonts w:ascii="Arial" w:hAnsi="Arial" w:cs="Arial"/>
          <w:sz w:val="24"/>
          <w:szCs w:val="24"/>
        </w:rPr>
        <w:t xml:space="preserve"> Entry on Rehearing denying Duke’s Application for Rehearing.</w:t>
      </w:r>
    </w:p>
    <w:p w14:paraId="0B66B9AF" w14:textId="282F88D0" w:rsidR="005920BD" w:rsidRPr="005920BD" w:rsidRDefault="005920BD" w:rsidP="005920BD">
      <w:pPr>
        <w:pStyle w:val="ListParagraph"/>
        <w:numPr>
          <w:ilvl w:val="0"/>
          <w:numId w:val="8"/>
        </w:numPr>
        <w:autoSpaceDE w:val="0"/>
        <w:autoSpaceDN w:val="0"/>
        <w:adjustRightInd w:val="0"/>
        <w:spacing w:after="120" w:line="480" w:lineRule="auto"/>
        <w:jc w:val="both"/>
        <w:rPr>
          <w:rFonts w:ascii="Arial" w:hAnsi="Arial" w:cs="Arial"/>
          <w:b/>
          <w:sz w:val="24"/>
          <w:szCs w:val="24"/>
        </w:rPr>
      </w:pPr>
      <w:r w:rsidRPr="005920BD">
        <w:rPr>
          <w:rFonts w:ascii="Arial" w:hAnsi="Arial" w:cs="Arial"/>
          <w:b/>
          <w:sz w:val="24"/>
          <w:szCs w:val="24"/>
        </w:rPr>
        <w:t>BACKGROUND</w:t>
      </w:r>
    </w:p>
    <w:p w14:paraId="3D581DDE" w14:textId="0EEDB421" w:rsidR="005920BD" w:rsidRPr="005920BD" w:rsidRDefault="005920BD" w:rsidP="005920BD">
      <w:pPr>
        <w:autoSpaceDE w:val="0"/>
        <w:autoSpaceDN w:val="0"/>
        <w:adjustRightInd w:val="0"/>
        <w:spacing w:after="0" w:line="480" w:lineRule="auto"/>
        <w:ind w:firstLine="720"/>
        <w:jc w:val="both"/>
        <w:rPr>
          <w:rFonts w:ascii="Arial" w:hAnsi="Arial" w:cs="Arial"/>
          <w:sz w:val="24"/>
          <w:szCs w:val="24"/>
        </w:rPr>
      </w:pPr>
      <w:r>
        <w:rPr>
          <w:rFonts w:ascii="Arial" w:hAnsi="Arial" w:cs="Arial"/>
          <w:sz w:val="24"/>
          <w:szCs w:val="24"/>
        </w:rPr>
        <w:t>As discusse</w:t>
      </w:r>
      <w:r w:rsidR="00897090">
        <w:rPr>
          <w:rFonts w:ascii="Arial" w:hAnsi="Arial" w:cs="Arial"/>
          <w:sz w:val="24"/>
          <w:szCs w:val="24"/>
        </w:rPr>
        <w:t>d at length in the Court’s opinion</w:t>
      </w:r>
      <w:r>
        <w:rPr>
          <w:rFonts w:ascii="Arial" w:hAnsi="Arial" w:cs="Arial"/>
          <w:sz w:val="24"/>
          <w:szCs w:val="24"/>
        </w:rPr>
        <w:t>, t</w:t>
      </w:r>
      <w:r w:rsidRPr="005920BD">
        <w:rPr>
          <w:rFonts w:ascii="Arial" w:hAnsi="Arial" w:cs="Arial"/>
          <w:sz w:val="24"/>
          <w:szCs w:val="24"/>
        </w:rPr>
        <w:t>he factual and legal background of this case began in 1999 when the General Assembly passed Amended Substitute Senate Bill No. 3, (“S.B. 3”)</w:t>
      </w:r>
      <w:r>
        <w:rPr>
          <w:rFonts w:ascii="Arial" w:hAnsi="Arial" w:cs="Arial"/>
          <w:sz w:val="24"/>
          <w:szCs w:val="24"/>
        </w:rPr>
        <w:t xml:space="preserve">. </w:t>
      </w:r>
      <w:r w:rsidRPr="005920BD">
        <w:rPr>
          <w:rFonts w:ascii="Arial" w:hAnsi="Arial" w:cs="Arial"/>
          <w:sz w:val="24"/>
          <w:szCs w:val="24"/>
        </w:rPr>
        <w:t xml:space="preserve"> S.B. 3 “restructured Ohio's electric-utility industry to foster retail competition in the generation component of electric service.  As we have repeatedly recognized, S.B. 3 altered the traditional rate-based regulation of electric utilities by requiring the three components of electric service — generation, transmission, and distribution — to be separated.”   </w:t>
      </w:r>
      <w:r w:rsidRPr="005920BD">
        <w:rPr>
          <w:rFonts w:ascii="Arial" w:hAnsi="Arial" w:cs="Arial"/>
          <w:i/>
          <w:sz w:val="24"/>
          <w:szCs w:val="24"/>
        </w:rPr>
        <w:t xml:space="preserve">Industrial Energy Users-Ohio v. Pub Util. </w:t>
      </w:r>
      <w:proofErr w:type="spellStart"/>
      <w:r w:rsidRPr="005920BD">
        <w:rPr>
          <w:rFonts w:ascii="Arial" w:hAnsi="Arial" w:cs="Arial"/>
          <w:i/>
          <w:sz w:val="24"/>
          <w:szCs w:val="24"/>
        </w:rPr>
        <w:t>Comm’n</w:t>
      </w:r>
      <w:proofErr w:type="spellEnd"/>
      <w:r w:rsidRPr="005920BD">
        <w:rPr>
          <w:rFonts w:ascii="Arial" w:hAnsi="Arial" w:cs="Arial"/>
          <w:sz w:val="24"/>
          <w:szCs w:val="24"/>
        </w:rPr>
        <w:t>, 2008-Ohio-990 at ¶</w:t>
      </w:r>
      <w:r w:rsidR="00886AE2">
        <w:rPr>
          <w:rFonts w:ascii="Arial" w:hAnsi="Arial" w:cs="Arial"/>
          <w:sz w:val="24"/>
          <w:szCs w:val="24"/>
        </w:rPr>
        <w:t xml:space="preserve"> </w:t>
      </w:r>
      <w:bookmarkStart w:id="0" w:name="_GoBack"/>
      <w:bookmarkEnd w:id="0"/>
      <w:r w:rsidRPr="005920BD">
        <w:rPr>
          <w:rFonts w:ascii="Arial" w:hAnsi="Arial" w:cs="Arial"/>
          <w:sz w:val="24"/>
          <w:szCs w:val="24"/>
        </w:rPr>
        <w:t>5.  S.B. 3 determined that “[p]</w:t>
      </w:r>
      <w:proofErr w:type="spellStart"/>
      <w:r w:rsidRPr="005920BD">
        <w:rPr>
          <w:rFonts w:ascii="Arial" w:hAnsi="Arial" w:cs="Arial"/>
          <w:sz w:val="24"/>
          <w:szCs w:val="24"/>
        </w:rPr>
        <w:t>ursuant</w:t>
      </w:r>
      <w:proofErr w:type="spellEnd"/>
      <w:r w:rsidRPr="005920BD">
        <w:rPr>
          <w:rFonts w:ascii="Arial" w:hAnsi="Arial" w:cs="Arial"/>
          <w:sz w:val="24"/>
          <w:szCs w:val="24"/>
        </w:rPr>
        <w:t xml:space="preserve"> to R.C. 4928.03 and 4928.05, electric generation is an unregulated, competitive retail electric service, while electric distribution remains a regulated, noncompetitive service pursuant to R.C. 4928.15(A).” </w:t>
      </w:r>
      <w:r w:rsidRPr="005920BD">
        <w:rPr>
          <w:rFonts w:ascii="Arial" w:hAnsi="Arial" w:cs="Arial"/>
          <w:i/>
          <w:sz w:val="24"/>
          <w:szCs w:val="24"/>
        </w:rPr>
        <w:t xml:space="preserve">Id. </w:t>
      </w:r>
      <w:r w:rsidR="00E56845">
        <w:rPr>
          <w:rFonts w:ascii="Arial" w:hAnsi="Arial" w:cs="Arial"/>
          <w:sz w:val="24"/>
          <w:szCs w:val="24"/>
        </w:rPr>
        <w:t>at ¶</w:t>
      </w:r>
      <w:r w:rsidR="00897090">
        <w:rPr>
          <w:rFonts w:ascii="Arial" w:hAnsi="Arial" w:cs="Arial"/>
          <w:sz w:val="24"/>
          <w:szCs w:val="24"/>
        </w:rPr>
        <w:t xml:space="preserve"> </w:t>
      </w:r>
      <w:r w:rsidR="00E56845">
        <w:rPr>
          <w:rFonts w:ascii="Arial" w:hAnsi="Arial" w:cs="Arial"/>
          <w:sz w:val="24"/>
          <w:szCs w:val="24"/>
        </w:rPr>
        <w:t xml:space="preserve">6.  </w:t>
      </w:r>
      <w:r w:rsidRPr="005920BD">
        <w:rPr>
          <w:rFonts w:ascii="Arial" w:hAnsi="Arial" w:cs="Arial"/>
          <w:sz w:val="24"/>
          <w:szCs w:val="24"/>
        </w:rPr>
        <w:t xml:space="preserve">Unbundling regulated and unregulated services “ensured that distribution service would not subsidize the generation portion of the business. In short, each service component </w:t>
      </w:r>
      <w:r w:rsidRPr="005920BD">
        <w:rPr>
          <w:rFonts w:ascii="Arial" w:hAnsi="Arial" w:cs="Arial"/>
          <w:sz w:val="24"/>
          <w:szCs w:val="24"/>
        </w:rPr>
        <w:lastRenderedPageBreak/>
        <w:t xml:space="preserve">was required to stand on its own.”  </w:t>
      </w:r>
      <w:proofErr w:type="spellStart"/>
      <w:r w:rsidRPr="005920BD">
        <w:rPr>
          <w:rFonts w:ascii="Arial" w:hAnsi="Arial" w:cs="Arial"/>
          <w:i/>
          <w:sz w:val="24"/>
          <w:szCs w:val="24"/>
        </w:rPr>
        <w:t>Migden</w:t>
      </w:r>
      <w:proofErr w:type="spellEnd"/>
      <w:r w:rsidRPr="005920BD">
        <w:rPr>
          <w:rFonts w:ascii="Arial" w:hAnsi="Arial" w:cs="Arial"/>
          <w:i/>
          <w:sz w:val="24"/>
          <w:szCs w:val="24"/>
        </w:rPr>
        <w:t xml:space="preserve">-Ostrander v. Pub. Util. </w:t>
      </w:r>
      <w:proofErr w:type="spellStart"/>
      <w:r w:rsidRPr="005920BD">
        <w:rPr>
          <w:rFonts w:ascii="Arial" w:hAnsi="Arial" w:cs="Arial"/>
          <w:i/>
          <w:sz w:val="24"/>
          <w:szCs w:val="24"/>
        </w:rPr>
        <w:t>Comm’n</w:t>
      </w:r>
      <w:proofErr w:type="spellEnd"/>
      <w:r w:rsidRPr="005920BD">
        <w:rPr>
          <w:rFonts w:ascii="Arial" w:hAnsi="Arial" w:cs="Arial"/>
          <w:sz w:val="24"/>
          <w:szCs w:val="24"/>
        </w:rPr>
        <w:t>,</w:t>
      </w:r>
      <w:r w:rsidRPr="005920BD">
        <w:rPr>
          <w:rFonts w:ascii="Arial" w:hAnsi="Arial" w:cs="Arial"/>
          <w:i/>
          <w:sz w:val="24"/>
          <w:szCs w:val="24"/>
        </w:rPr>
        <w:t xml:space="preserve"> </w:t>
      </w:r>
      <w:r w:rsidR="00897090">
        <w:rPr>
          <w:rFonts w:ascii="Arial" w:hAnsi="Arial" w:cs="Arial"/>
          <w:sz w:val="24"/>
          <w:szCs w:val="24"/>
        </w:rPr>
        <w:t>102 Ohio St.3d 451,</w:t>
      </w:r>
      <w:r w:rsidRPr="005920BD">
        <w:rPr>
          <w:rFonts w:ascii="Arial" w:hAnsi="Arial" w:cs="Arial"/>
          <w:sz w:val="24"/>
          <w:szCs w:val="24"/>
        </w:rPr>
        <w:t xml:space="preserve"> 453 (2004).</w:t>
      </w:r>
    </w:p>
    <w:p w14:paraId="787E96C6" w14:textId="2EB4F6D1" w:rsidR="005920BD" w:rsidRPr="005920BD" w:rsidRDefault="005920BD" w:rsidP="005920BD">
      <w:pPr>
        <w:autoSpaceDE w:val="0"/>
        <w:autoSpaceDN w:val="0"/>
        <w:adjustRightInd w:val="0"/>
        <w:spacing w:after="0" w:line="480" w:lineRule="auto"/>
        <w:jc w:val="both"/>
        <w:rPr>
          <w:rFonts w:ascii="Arial" w:hAnsi="Arial" w:cs="Arial"/>
          <w:sz w:val="24"/>
          <w:szCs w:val="24"/>
        </w:rPr>
      </w:pPr>
      <w:r w:rsidRPr="005920BD">
        <w:rPr>
          <w:rFonts w:ascii="Arial" w:hAnsi="Arial" w:cs="Arial"/>
          <w:sz w:val="24"/>
          <w:szCs w:val="24"/>
        </w:rPr>
        <w:tab/>
        <w:t>In addition to unbundling regulated and unregulated services, S.B. 3 required EDUs to provide all unregulated services through an affiliate.  Specifically, R.C. 4928.17(A</w:t>
      </w:r>
      <w:proofErr w:type="gramStart"/>
      <w:r w:rsidRPr="005920BD">
        <w:rPr>
          <w:rFonts w:ascii="Arial" w:hAnsi="Arial" w:cs="Arial"/>
          <w:sz w:val="24"/>
          <w:szCs w:val="24"/>
        </w:rPr>
        <w:t>)(</w:t>
      </w:r>
      <w:proofErr w:type="gramEnd"/>
      <w:r w:rsidRPr="005920BD">
        <w:rPr>
          <w:rFonts w:ascii="Arial" w:hAnsi="Arial" w:cs="Arial"/>
          <w:sz w:val="24"/>
          <w:szCs w:val="24"/>
        </w:rPr>
        <w:t>1) required “at minimum, for the provision of the competitive retail electric service or the nonelectric product or service through a fully separated aff</w:t>
      </w:r>
      <w:r w:rsidR="00E56845">
        <w:rPr>
          <w:rFonts w:ascii="Arial" w:hAnsi="Arial" w:cs="Arial"/>
          <w:sz w:val="24"/>
          <w:szCs w:val="24"/>
        </w:rPr>
        <w:t>iliate of the utility . . . .”</w:t>
      </w:r>
      <w:r w:rsidRPr="005920BD">
        <w:rPr>
          <w:rFonts w:ascii="Arial" w:hAnsi="Arial" w:cs="Arial"/>
          <w:sz w:val="24"/>
          <w:szCs w:val="24"/>
        </w:rPr>
        <w:t xml:space="preserve">  Thus, the clear purpose of R.C. 4928.17 was to require an EDU to be solely in the business of supplying regulated, non-competitive distribution service. </w:t>
      </w:r>
    </w:p>
    <w:p w14:paraId="2B6B34EC" w14:textId="3F448B3F" w:rsidR="005920BD" w:rsidRPr="005920BD" w:rsidRDefault="005920BD" w:rsidP="005920BD">
      <w:pPr>
        <w:autoSpaceDE w:val="0"/>
        <w:autoSpaceDN w:val="0"/>
        <w:adjustRightInd w:val="0"/>
        <w:spacing w:after="0" w:line="480" w:lineRule="auto"/>
        <w:ind w:firstLine="720"/>
        <w:jc w:val="both"/>
        <w:rPr>
          <w:rFonts w:ascii="Arial" w:hAnsi="Arial" w:cs="Arial"/>
          <w:sz w:val="24"/>
          <w:szCs w:val="24"/>
        </w:rPr>
      </w:pPr>
      <w:r w:rsidRPr="005920BD">
        <w:rPr>
          <w:rFonts w:ascii="Arial" w:hAnsi="Arial" w:cs="Arial"/>
          <w:sz w:val="24"/>
          <w:szCs w:val="24"/>
        </w:rPr>
        <w:t>At the time of restructuring EDUs were vertically integrated, meaning EDUs provided distribution service, generation service, and potentially products and services other than retail</w:t>
      </w:r>
      <w:r w:rsidR="00DB04D6">
        <w:rPr>
          <w:rFonts w:ascii="Arial" w:hAnsi="Arial" w:cs="Arial"/>
          <w:sz w:val="24"/>
          <w:szCs w:val="24"/>
        </w:rPr>
        <w:t xml:space="preserve"> electric service (non-electric</w:t>
      </w:r>
      <w:r w:rsidRPr="005920BD">
        <w:rPr>
          <w:rFonts w:ascii="Arial" w:hAnsi="Arial" w:cs="Arial"/>
          <w:sz w:val="24"/>
          <w:szCs w:val="24"/>
        </w:rPr>
        <w:t xml:space="preserve"> services).  Recognizing that EDUs could not immediately separate the unregulated services overnight, R.C. 4928.17(C) provided that, </w:t>
      </w:r>
      <w:r w:rsidRPr="006178F0">
        <w:rPr>
          <w:rFonts w:ascii="Arial" w:hAnsi="Arial" w:cs="Arial"/>
          <w:i/>
          <w:sz w:val="24"/>
          <w:szCs w:val="24"/>
        </w:rPr>
        <w:t>for good cause shown</w:t>
      </w:r>
      <w:r w:rsidRPr="005920BD">
        <w:rPr>
          <w:rFonts w:ascii="Arial" w:hAnsi="Arial" w:cs="Arial"/>
          <w:sz w:val="24"/>
          <w:szCs w:val="24"/>
        </w:rPr>
        <w:t>, the C</w:t>
      </w:r>
      <w:r w:rsidR="006178F0">
        <w:rPr>
          <w:rFonts w:ascii="Arial" w:hAnsi="Arial" w:cs="Arial"/>
          <w:sz w:val="24"/>
          <w:szCs w:val="24"/>
        </w:rPr>
        <w:t>ommission may authorize a corporate separation plan that does not comply with</w:t>
      </w:r>
      <w:r w:rsidRPr="005920BD">
        <w:rPr>
          <w:rFonts w:ascii="Arial" w:hAnsi="Arial" w:cs="Arial"/>
          <w:sz w:val="24"/>
          <w:szCs w:val="24"/>
        </w:rPr>
        <w:t xml:space="preserve"> the full corporate separation requirement set forth in R.C. 4928.17(A)(1) but </w:t>
      </w:r>
      <w:r w:rsidRPr="006178F0">
        <w:rPr>
          <w:rFonts w:ascii="Arial" w:hAnsi="Arial" w:cs="Arial"/>
          <w:i/>
          <w:sz w:val="24"/>
          <w:szCs w:val="24"/>
        </w:rPr>
        <w:t>only for an “interim period prescribed in the order</w:t>
      </w:r>
      <w:r w:rsidRPr="005920BD">
        <w:rPr>
          <w:rFonts w:ascii="Arial" w:hAnsi="Arial" w:cs="Arial"/>
          <w:sz w:val="24"/>
          <w:szCs w:val="24"/>
        </w:rPr>
        <w:t>.” (</w:t>
      </w:r>
      <w:proofErr w:type="gramStart"/>
      <w:r w:rsidRPr="005920BD">
        <w:rPr>
          <w:rFonts w:ascii="Arial" w:hAnsi="Arial" w:cs="Arial"/>
          <w:sz w:val="24"/>
          <w:szCs w:val="24"/>
        </w:rPr>
        <w:t>e</w:t>
      </w:r>
      <w:r w:rsidR="006178F0">
        <w:rPr>
          <w:rFonts w:ascii="Arial" w:hAnsi="Arial" w:cs="Arial"/>
          <w:sz w:val="24"/>
          <w:szCs w:val="24"/>
        </w:rPr>
        <w:t>mphasis</w:t>
      </w:r>
      <w:proofErr w:type="gramEnd"/>
      <w:r w:rsidR="006178F0">
        <w:rPr>
          <w:rFonts w:ascii="Arial" w:hAnsi="Arial" w:cs="Arial"/>
          <w:sz w:val="24"/>
          <w:szCs w:val="24"/>
        </w:rPr>
        <w:t xml:space="preserve"> added).</w:t>
      </w:r>
      <w:r w:rsidR="00462A33">
        <w:rPr>
          <w:rStyle w:val="FootnoteReference"/>
          <w:rFonts w:ascii="Arial" w:hAnsi="Arial" w:cs="Arial"/>
          <w:sz w:val="24"/>
          <w:szCs w:val="24"/>
        </w:rPr>
        <w:footnoteReference w:id="1"/>
      </w:r>
      <w:r w:rsidR="006178F0">
        <w:rPr>
          <w:rFonts w:ascii="Arial" w:hAnsi="Arial" w:cs="Arial"/>
          <w:sz w:val="24"/>
          <w:szCs w:val="24"/>
        </w:rPr>
        <w:t xml:space="preserve">  The exception or waiver </w:t>
      </w:r>
      <w:r w:rsidR="00D97DB7">
        <w:rPr>
          <w:rFonts w:ascii="Arial" w:hAnsi="Arial" w:cs="Arial"/>
          <w:sz w:val="24"/>
          <w:szCs w:val="24"/>
        </w:rPr>
        <w:t xml:space="preserve">to </w:t>
      </w:r>
      <w:r w:rsidR="006178F0">
        <w:rPr>
          <w:rFonts w:ascii="Arial" w:hAnsi="Arial" w:cs="Arial"/>
          <w:sz w:val="24"/>
          <w:szCs w:val="24"/>
        </w:rPr>
        <w:t xml:space="preserve">the full separation requirement </w:t>
      </w:r>
      <w:r w:rsidRPr="005920BD">
        <w:rPr>
          <w:rFonts w:ascii="Arial" w:hAnsi="Arial" w:cs="Arial"/>
          <w:sz w:val="24"/>
          <w:szCs w:val="24"/>
        </w:rPr>
        <w:t>allowed EDUs to “functionally separate” their unregulated electric generation services and other non-commodity services for an interim period of time until the EDUs were able to transfer these unregulated services to a fully separated corporate entity.</w:t>
      </w:r>
    </w:p>
    <w:p w14:paraId="4ADA197A" w14:textId="2EFE4082" w:rsidR="005920BD" w:rsidRPr="005920BD" w:rsidRDefault="005920BD" w:rsidP="005920BD">
      <w:pPr>
        <w:autoSpaceDE w:val="0"/>
        <w:autoSpaceDN w:val="0"/>
        <w:adjustRightInd w:val="0"/>
        <w:spacing w:after="0" w:line="480" w:lineRule="auto"/>
        <w:ind w:firstLine="720"/>
        <w:jc w:val="both"/>
        <w:rPr>
          <w:rFonts w:ascii="Arial" w:hAnsi="Arial" w:cs="Arial"/>
          <w:sz w:val="24"/>
          <w:szCs w:val="24"/>
        </w:rPr>
      </w:pPr>
      <w:r w:rsidRPr="005920BD">
        <w:rPr>
          <w:rFonts w:ascii="Arial" w:hAnsi="Arial" w:cs="Arial"/>
          <w:sz w:val="24"/>
          <w:szCs w:val="24"/>
        </w:rPr>
        <w:lastRenderedPageBreak/>
        <w:t>After the passage of S.B. 3, Duke operated pursuant to a corporate separation waiver that allowed it to offer competitive retail elect</w:t>
      </w:r>
      <w:r w:rsidR="006178F0">
        <w:rPr>
          <w:rFonts w:ascii="Arial" w:hAnsi="Arial" w:cs="Arial"/>
          <w:sz w:val="24"/>
          <w:szCs w:val="24"/>
        </w:rPr>
        <w:t>ric service.</w:t>
      </w:r>
      <w:r w:rsidR="00897090">
        <w:rPr>
          <w:rStyle w:val="FootnoteReference"/>
          <w:rFonts w:ascii="Arial" w:hAnsi="Arial" w:cs="Arial"/>
          <w:sz w:val="24"/>
          <w:szCs w:val="24"/>
        </w:rPr>
        <w:footnoteReference w:id="2"/>
      </w:r>
      <w:r w:rsidR="006178F0">
        <w:rPr>
          <w:rFonts w:ascii="Arial" w:hAnsi="Arial" w:cs="Arial"/>
          <w:sz w:val="24"/>
          <w:szCs w:val="24"/>
        </w:rPr>
        <w:t xml:space="preserve"> </w:t>
      </w:r>
      <w:r w:rsidR="00897090">
        <w:rPr>
          <w:rFonts w:ascii="Arial" w:hAnsi="Arial" w:cs="Arial"/>
          <w:sz w:val="24"/>
          <w:szCs w:val="24"/>
        </w:rPr>
        <w:t xml:space="preserve"> </w:t>
      </w:r>
      <w:r w:rsidRPr="005920BD">
        <w:rPr>
          <w:rFonts w:ascii="Arial" w:hAnsi="Arial" w:cs="Arial"/>
          <w:sz w:val="24"/>
          <w:szCs w:val="24"/>
        </w:rPr>
        <w:t xml:space="preserve">But Duke has never received a waiver that would authorize it to offer products </w:t>
      </w:r>
      <w:r w:rsidRPr="005920BD">
        <w:rPr>
          <w:rFonts w:ascii="Arial" w:hAnsi="Arial" w:cs="Arial"/>
          <w:i/>
          <w:sz w:val="24"/>
          <w:szCs w:val="24"/>
        </w:rPr>
        <w:t>other than retail electric service</w:t>
      </w:r>
      <w:r w:rsidRPr="005920BD">
        <w:rPr>
          <w:rFonts w:ascii="Arial" w:hAnsi="Arial" w:cs="Arial"/>
          <w:sz w:val="24"/>
          <w:szCs w:val="24"/>
        </w:rPr>
        <w:t>.</w:t>
      </w:r>
      <w:r w:rsidRPr="005920BD">
        <w:rPr>
          <w:rFonts w:ascii="Arial" w:hAnsi="Arial" w:cs="Arial"/>
          <w:sz w:val="24"/>
          <w:szCs w:val="24"/>
          <w:vertAlign w:val="superscript"/>
        </w:rPr>
        <w:footnoteReference w:id="3"/>
      </w:r>
      <w:r w:rsidRPr="005920BD">
        <w:rPr>
          <w:rFonts w:ascii="Arial" w:hAnsi="Arial" w:cs="Arial"/>
          <w:sz w:val="24"/>
          <w:szCs w:val="24"/>
        </w:rPr>
        <w:t xml:space="preserve">  </w:t>
      </w:r>
    </w:p>
    <w:p w14:paraId="2C102BB2" w14:textId="77777777" w:rsidR="005920BD" w:rsidRPr="005920BD" w:rsidRDefault="005920BD" w:rsidP="005920BD">
      <w:pPr>
        <w:autoSpaceDE w:val="0"/>
        <w:autoSpaceDN w:val="0"/>
        <w:adjustRightInd w:val="0"/>
        <w:spacing w:after="0" w:line="480" w:lineRule="auto"/>
        <w:ind w:firstLine="720"/>
        <w:jc w:val="both"/>
        <w:rPr>
          <w:rFonts w:ascii="Arial" w:hAnsi="Arial" w:cs="Arial"/>
          <w:sz w:val="24"/>
          <w:szCs w:val="24"/>
        </w:rPr>
      </w:pPr>
      <w:r w:rsidRPr="005920BD">
        <w:rPr>
          <w:rFonts w:ascii="Arial" w:hAnsi="Arial" w:cs="Arial"/>
          <w:sz w:val="24"/>
          <w:szCs w:val="24"/>
        </w:rPr>
        <w:t>In Duke’s last electric security plan (“ESP”) case, the Commission approved an amendment to Duke’s corporate separation plan in which Duke agreed to no longer operate pursuant to functional separation.  The Commission stated that approval of the stipulation would bring about full legal separation as contemplated by R.C. 4928.17(A):</w:t>
      </w:r>
    </w:p>
    <w:p w14:paraId="0369255B" w14:textId="77777777" w:rsidR="005920BD" w:rsidRPr="005920BD" w:rsidRDefault="005920BD" w:rsidP="005920BD">
      <w:pPr>
        <w:autoSpaceDE w:val="0"/>
        <w:autoSpaceDN w:val="0"/>
        <w:adjustRightInd w:val="0"/>
        <w:spacing w:after="0" w:line="240" w:lineRule="auto"/>
        <w:ind w:left="720" w:right="720" w:firstLine="720"/>
        <w:jc w:val="both"/>
        <w:rPr>
          <w:rFonts w:ascii="Arial" w:hAnsi="Arial" w:cs="Arial"/>
          <w:sz w:val="24"/>
          <w:szCs w:val="24"/>
        </w:rPr>
      </w:pPr>
      <w:r w:rsidRPr="005920BD">
        <w:rPr>
          <w:rFonts w:ascii="Arial" w:hAnsi="Arial" w:cs="Arial"/>
          <w:sz w:val="24"/>
          <w:szCs w:val="24"/>
        </w:rPr>
        <w:t>The stipulation provides that the Commission’s approval of the stipulation will constitute approval of Duke’s Third Amended CSP and full legal corporate separation, as contemplated by Section 4928.17(A), Revised Code, such that the transmission and distribution assets of Duke will continue to be held by the distribution utility and all of Duke's generation assets will be transferred to an affiliate.</w:t>
      </w:r>
      <w:r w:rsidRPr="005920BD">
        <w:rPr>
          <w:rFonts w:ascii="Arial" w:hAnsi="Arial" w:cs="Arial"/>
          <w:sz w:val="24"/>
          <w:szCs w:val="24"/>
          <w:vertAlign w:val="superscript"/>
        </w:rPr>
        <w:footnoteReference w:id="4"/>
      </w:r>
      <w:r w:rsidRPr="005920BD">
        <w:rPr>
          <w:rFonts w:ascii="Arial" w:hAnsi="Arial" w:cs="Arial"/>
          <w:sz w:val="24"/>
          <w:szCs w:val="24"/>
        </w:rPr>
        <w:t xml:space="preserve"> </w:t>
      </w:r>
    </w:p>
    <w:p w14:paraId="73CAD7CA" w14:textId="77777777" w:rsidR="005920BD" w:rsidRPr="005920BD" w:rsidRDefault="005920BD" w:rsidP="005920BD">
      <w:pPr>
        <w:autoSpaceDE w:val="0"/>
        <w:autoSpaceDN w:val="0"/>
        <w:adjustRightInd w:val="0"/>
        <w:spacing w:after="0" w:line="240" w:lineRule="auto"/>
        <w:ind w:right="720"/>
        <w:jc w:val="both"/>
        <w:rPr>
          <w:rFonts w:ascii="Arial" w:hAnsi="Arial" w:cs="Arial"/>
          <w:sz w:val="24"/>
          <w:szCs w:val="24"/>
        </w:rPr>
      </w:pPr>
    </w:p>
    <w:p w14:paraId="47C56861" w14:textId="2B56BCB7" w:rsidR="005920BD" w:rsidRPr="005920BD" w:rsidRDefault="005920BD" w:rsidP="005920BD">
      <w:pPr>
        <w:autoSpaceDE w:val="0"/>
        <w:autoSpaceDN w:val="0"/>
        <w:adjustRightInd w:val="0"/>
        <w:spacing w:after="120" w:line="480" w:lineRule="auto"/>
        <w:ind w:firstLine="720"/>
        <w:jc w:val="both"/>
        <w:rPr>
          <w:rFonts w:ascii="Arial" w:hAnsi="Arial" w:cs="Arial"/>
          <w:sz w:val="24"/>
          <w:szCs w:val="24"/>
        </w:rPr>
      </w:pPr>
      <w:r w:rsidRPr="005920BD">
        <w:rPr>
          <w:rFonts w:ascii="Arial" w:hAnsi="Arial" w:cs="Arial"/>
          <w:sz w:val="24"/>
          <w:szCs w:val="24"/>
        </w:rPr>
        <w:t>Under the terms of the stipulation approv</w:t>
      </w:r>
      <w:r>
        <w:rPr>
          <w:rFonts w:ascii="Arial" w:hAnsi="Arial" w:cs="Arial"/>
          <w:sz w:val="24"/>
          <w:szCs w:val="24"/>
        </w:rPr>
        <w:t xml:space="preserve">ed by the Commission, Duke </w:t>
      </w:r>
      <w:r w:rsidRPr="005920BD">
        <w:rPr>
          <w:rFonts w:ascii="Arial" w:hAnsi="Arial" w:cs="Arial"/>
          <w:sz w:val="24"/>
          <w:szCs w:val="24"/>
        </w:rPr>
        <w:t>transfer</w:t>
      </w:r>
      <w:r>
        <w:rPr>
          <w:rFonts w:ascii="Arial" w:hAnsi="Arial" w:cs="Arial"/>
          <w:sz w:val="24"/>
          <w:szCs w:val="24"/>
        </w:rPr>
        <w:t>red its generating assets before</w:t>
      </w:r>
      <w:r w:rsidRPr="005920BD">
        <w:rPr>
          <w:rFonts w:ascii="Arial" w:hAnsi="Arial" w:cs="Arial"/>
          <w:sz w:val="24"/>
          <w:szCs w:val="24"/>
        </w:rPr>
        <w:t xml:space="preserve"> D</w:t>
      </w:r>
      <w:r w:rsidR="00DB04D6">
        <w:rPr>
          <w:rFonts w:ascii="Arial" w:hAnsi="Arial" w:cs="Arial"/>
          <w:sz w:val="24"/>
          <w:szCs w:val="24"/>
        </w:rPr>
        <w:t>ecember 31, 2014</w:t>
      </w:r>
      <w:r w:rsidRPr="005920BD">
        <w:rPr>
          <w:rFonts w:ascii="Arial" w:hAnsi="Arial" w:cs="Arial"/>
          <w:sz w:val="24"/>
          <w:szCs w:val="24"/>
        </w:rPr>
        <w:t>.</w:t>
      </w:r>
      <w:r w:rsidR="00DB04D6">
        <w:rPr>
          <w:rStyle w:val="FootnoteReference"/>
          <w:rFonts w:ascii="Arial" w:hAnsi="Arial" w:cs="Arial"/>
          <w:sz w:val="24"/>
          <w:szCs w:val="24"/>
        </w:rPr>
        <w:footnoteReference w:id="5"/>
      </w:r>
      <w:r w:rsidRPr="005920BD">
        <w:rPr>
          <w:rFonts w:ascii="Arial" w:hAnsi="Arial" w:cs="Arial"/>
          <w:sz w:val="24"/>
          <w:szCs w:val="24"/>
        </w:rPr>
        <w:t xml:space="preserve">  Thus, with the transfer of its generating assets, Duke’s corporate separation plan required it to provide only non-competitive services (e.g. electric distribution service).  The approval of the Stipulation provided an end date to Duke’s functional separation and thus an end to its temporary waiver of R.C. 4928.17(A)(1).</w:t>
      </w:r>
    </w:p>
    <w:p w14:paraId="7B421EC9" w14:textId="7571C591" w:rsidR="005920BD" w:rsidRPr="005920BD" w:rsidRDefault="005920BD" w:rsidP="005920BD">
      <w:pPr>
        <w:autoSpaceDE w:val="0"/>
        <w:autoSpaceDN w:val="0"/>
        <w:adjustRightInd w:val="0"/>
        <w:spacing w:after="120" w:line="480" w:lineRule="auto"/>
        <w:ind w:firstLine="720"/>
        <w:jc w:val="both"/>
        <w:rPr>
          <w:rFonts w:ascii="Arial" w:hAnsi="Arial" w:cs="Arial"/>
          <w:sz w:val="24"/>
          <w:szCs w:val="24"/>
        </w:rPr>
      </w:pPr>
      <w:r w:rsidRPr="005920BD">
        <w:rPr>
          <w:rFonts w:ascii="Arial" w:hAnsi="Arial" w:cs="Arial"/>
          <w:sz w:val="24"/>
          <w:szCs w:val="24"/>
        </w:rPr>
        <w:lastRenderedPageBreak/>
        <w:t>Shortly before Duke was set to finally leave the competitive retail electric service business, it filed an application t</w:t>
      </w:r>
      <w:r w:rsidR="00800BB2">
        <w:rPr>
          <w:rFonts w:ascii="Arial" w:hAnsi="Arial" w:cs="Arial"/>
          <w:sz w:val="24"/>
          <w:szCs w:val="24"/>
        </w:rPr>
        <w:t>o open the door to offer new non-electric services</w:t>
      </w:r>
      <w:r w:rsidRPr="005920BD">
        <w:rPr>
          <w:rFonts w:ascii="Arial" w:hAnsi="Arial" w:cs="Arial"/>
          <w:sz w:val="24"/>
          <w:szCs w:val="24"/>
        </w:rPr>
        <w:t xml:space="preserve">.  Specifically, on April 16, 2014, Duke filed an application seeking approval to amend its corporate separation plan and authority to amend its Retail Tariff, P.U.C.O. No. 19, </w:t>
      </w:r>
      <w:proofErr w:type="gramStart"/>
      <w:r w:rsidRPr="005920BD">
        <w:rPr>
          <w:rFonts w:ascii="Arial" w:hAnsi="Arial" w:cs="Arial"/>
          <w:sz w:val="24"/>
          <w:szCs w:val="24"/>
        </w:rPr>
        <w:t>Sheet</w:t>
      </w:r>
      <w:proofErr w:type="gramEnd"/>
      <w:r w:rsidRPr="005920BD">
        <w:rPr>
          <w:rFonts w:ascii="Arial" w:hAnsi="Arial" w:cs="Arial"/>
          <w:sz w:val="24"/>
          <w:szCs w:val="24"/>
        </w:rPr>
        <w:t xml:space="preserve"> 23, to correspond with changes in the corporate separation pla</w:t>
      </w:r>
      <w:r w:rsidR="00E56845">
        <w:rPr>
          <w:rFonts w:ascii="Arial" w:hAnsi="Arial" w:cs="Arial"/>
          <w:sz w:val="24"/>
          <w:szCs w:val="24"/>
        </w:rPr>
        <w:t>n</w:t>
      </w:r>
      <w:r w:rsidR="00897090">
        <w:rPr>
          <w:rFonts w:ascii="Arial" w:hAnsi="Arial" w:cs="Arial"/>
          <w:sz w:val="24"/>
          <w:szCs w:val="24"/>
        </w:rPr>
        <w:t>.</w:t>
      </w:r>
      <w:r w:rsidR="00E56845">
        <w:rPr>
          <w:rFonts w:ascii="Arial" w:hAnsi="Arial" w:cs="Arial"/>
          <w:sz w:val="24"/>
          <w:szCs w:val="24"/>
        </w:rPr>
        <w:t xml:space="preserve"> </w:t>
      </w:r>
      <w:r w:rsidR="00897090">
        <w:rPr>
          <w:rFonts w:ascii="Arial" w:hAnsi="Arial" w:cs="Arial"/>
          <w:sz w:val="24"/>
          <w:szCs w:val="24"/>
        </w:rPr>
        <w:t xml:space="preserve"> </w:t>
      </w:r>
      <w:r w:rsidR="00800BB2">
        <w:rPr>
          <w:rFonts w:ascii="Arial" w:hAnsi="Arial" w:cs="Arial"/>
          <w:sz w:val="24"/>
          <w:szCs w:val="24"/>
        </w:rPr>
        <w:t xml:space="preserve">Specifically, </w:t>
      </w:r>
      <w:r w:rsidRPr="005920BD">
        <w:rPr>
          <w:rFonts w:ascii="Arial" w:hAnsi="Arial" w:cs="Arial"/>
          <w:sz w:val="24"/>
          <w:szCs w:val="24"/>
        </w:rPr>
        <w:t xml:space="preserve">Duke proposed that: </w:t>
      </w:r>
    </w:p>
    <w:p w14:paraId="32A40526" w14:textId="77777777" w:rsidR="005920BD" w:rsidRPr="005920BD" w:rsidRDefault="005920BD" w:rsidP="005920BD">
      <w:pPr>
        <w:autoSpaceDE w:val="0"/>
        <w:autoSpaceDN w:val="0"/>
        <w:adjustRightInd w:val="0"/>
        <w:spacing w:after="0" w:line="240" w:lineRule="auto"/>
        <w:ind w:left="720" w:right="720" w:firstLine="720"/>
        <w:jc w:val="both"/>
        <w:rPr>
          <w:rFonts w:ascii="Arial" w:hAnsi="Arial" w:cs="Arial"/>
          <w:color w:val="282526"/>
          <w:sz w:val="24"/>
          <w:szCs w:val="24"/>
        </w:rPr>
      </w:pPr>
      <w:r w:rsidRPr="005920BD">
        <w:rPr>
          <w:rFonts w:ascii="Arial" w:hAnsi="Arial" w:cs="Arial"/>
          <w:color w:val="282526"/>
          <w:sz w:val="24"/>
          <w:szCs w:val="24"/>
        </w:rPr>
        <w:t xml:space="preserve">Duke Energy Ohio </w:t>
      </w:r>
      <w:r w:rsidRPr="005920BD">
        <w:rPr>
          <w:rFonts w:ascii="Arial" w:hAnsi="Arial" w:cs="Arial"/>
          <w:b/>
          <w:i/>
          <w:color w:val="282526"/>
          <w:sz w:val="24"/>
          <w:szCs w:val="24"/>
        </w:rPr>
        <w:t>may also offer products and services other than retail electric service</w:t>
      </w:r>
      <w:r w:rsidRPr="005920BD">
        <w:rPr>
          <w:rFonts w:ascii="Arial" w:hAnsi="Arial" w:cs="Arial"/>
          <w:color w:val="282526"/>
          <w:sz w:val="24"/>
          <w:szCs w:val="24"/>
        </w:rPr>
        <w:t>, consistent with Ohio policy. Such services will allow additional service options for residential and non-residential customers and will help to ensure customers the ability for an expeditious return from service interruptions, among other benefits. Upon customer request, Duke Energy Ohio may use contractors or employees to provide other utility-related services, programs, maintenance, and repairs related to customer-owned property, equipment, and facilities. In addition, Duke Energy Ohio may provide products and services other than tariffed retail electric service in an effort to advance the State's interests in energy efficiency and peak demand reduction and to comply with the benchmarks set forth in RC. 4928.66. These programs give the Company the opportunity to serve customers more completely and to assist in meeting statutory requirements.</w:t>
      </w:r>
      <w:r w:rsidRPr="005920BD">
        <w:rPr>
          <w:rFonts w:ascii="Arial" w:hAnsi="Arial" w:cs="Arial"/>
          <w:color w:val="282526"/>
          <w:sz w:val="24"/>
          <w:szCs w:val="24"/>
          <w:vertAlign w:val="superscript"/>
        </w:rPr>
        <w:footnoteReference w:id="6"/>
      </w:r>
    </w:p>
    <w:p w14:paraId="59664DA8" w14:textId="77777777" w:rsidR="005920BD" w:rsidRPr="005920BD" w:rsidRDefault="005920BD" w:rsidP="005920BD">
      <w:pPr>
        <w:autoSpaceDE w:val="0"/>
        <w:autoSpaceDN w:val="0"/>
        <w:adjustRightInd w:val="0"/>
        <w:spacing w:after="0" w:line="240" w:lineRule="auto"/>
        <w:ind w:left="720" w:right="720" w:firstLine="720"/>
        <w:jc w:val="both"/>
        <w:rPr>
          <w:rFonts w:ascii="Arial" w:hAnsi="Arial" w:cs="Arial"/>
          <w:color w:val="282526"/>
          <w:sz w:val="24"/>
          <w:szCs w:val="24"/>
        </w:rPr>
      </w:pPr>
    </w:p>
    <w:p w14:paraId="44BE117A" w14:textId="49CB4385" w:rsidR="005920BD" w:rsidRPr="005920BD" w:rsidRDefault="005920BD" w:rsidP="005920BD">
      <w:pPr>
        <w:autoSpaceDE w:val="0"/>
        <w:autoSpaceDN w:val="0"/>
        <w:adjustRightInd w:val="0"/>
        <w:spacing w:after="120" w:line="480" w:lineRule="auto"/>
        <w:jc w:val="both"/>
        <w:rPr>
          <w:rFonts w:ascii="Arial" w:hAnsi="Arial" w:cs="Arial"/>
          <w:sz w:val="24"/>
          <w:szCs w:val="24"/>
        </w:rPr>
      </w:pPr>
      <w:r w:rsidRPr="005920BD">
        <w:rPr>
          <w:rFonts w:ascii="Arial" w:hAnsi="Arial" w:cs="Arial"/>
          <w:sz w:val="24"/>
          <w:szCs w:val="24"/>
        </w:rPr>
        <w:t>Moreover, Duke requested authority to amend its filed tariffs to allow it to offer unregulated “Special Customer Services,” which are classified as products other than retail electric service</w:t>
      </w:r>
      <w:r w:rsidR="00DB04D6">
        <w:rPr>
          <w:rFonts w:ascii="Arial" w:hAnsi="Arial" w:cs="Arial"/>
          <w:sz w:val="24"/>
          <w:szCs w:val="24"/>
        </w:rPr>
        <w:t xml:space="preserve"> (non-electric services)</w:t>
      </w:r>
      <w:r w:rsidRPr="005920BD">
        <w:rPr>
          <w:rFonts w:ascii="Arial" w:hAnsi="Arial" w:cs="Arial"/>
          <w:sz w:val="24"/>
          <w:szCs w:val="24"/>
        </w:rPr>
        <w:t>:</w:t>
      </w:r>
    </w:p>
    <w:p w14:paraId="4AB1614B" w14:textId="77777777" w:rsidR="005920BD" w:rsidRPr="005920BD" w:rsidRDefault="005920BD" w:rsidP="005920BD">
      <w:pPr>
        <w:autoSpaceDE w:val="0"/>
        <w:autoSpaceDN w:val="0"/>
        <w:adjustRightInd w:val="0"/>
        <w:spacing w:after="0" w:line="240" w:lineRule="auto"/>
        <w:ind w:left="720" w:right="720"/>
        <w:jc w:val="both"/>
        <w:rPr>
          <w:rFonts w:ascii="Arial" w:hAnsi="Arial" w:cs="Arial"/>
          <w:b/>
          <w:color w:val="272425"/>
          <w:sz w:val="24"/>
          <w:szCs w:val="24"/>
        </w:rPr>
      </w:pPr>
      <w:r w:rsidRPr="005920BD">
        <w:rPr>
          <w:rFonts w:ascii="Arial" w:hAnsi="Arial" w:cs="Arial"/>
          <w:b/>
          <w:color w:val="272425"/>
          <w:sz w:val="24"/>
          <w:szCs w:val="24"/>
        </w:rPr>
        <w:t>Special Customer Services</w:t>
      </w:r>
    </w:p>
    <w:p w14:paraId="11EE4A46" w14:textId="77777777" w:rsidR="005920BD" w:rsidRPr="005920BD" w:rsidRDefault="005920BD" w:rsidP="005920BD">
      <w:pPr>
        <w:autoSpaceDE w:val="0"/>
        <w:autoSpaceDN w:val="0"/>
        <w:adjustRightInd w:val="0"/>
        <w:spacing w:after="0" w:line="240" w:lineRule="auto"/>
        <w:ind w:left="720" w:right="720"/>
        <w:jc w:val="both"/>
        <w:rPr>
          <w:rFonts w:ascii="Arial" w:hAnsi="Arial" w:cs="Arial"/>
          <w:b/>
          <w:color w:val="272425"/>
          <w:sz w:val="24"/>
          <w:szCs w:val="24"/>
        </w:rPr>
      </w:pPr>
    </w:p>
    <w:p w14:paraId="7DA4129A" w14:textId="77777777" w:rsidR="005920BD" w:rsidRPr="005920BD" w:rsidRDefault="005920BD" w:rsidP="005920BD">
      <w:pPr>
        <w:autoSpaceDE w:val="0"/>
        <w:autoSpaceDN w:val="0"/>
        <w:adjustRightInd w:val="0"/>
        <w:spacing w:after="0" w:line="240" w:lineRule="auto"/>
        <w:ind w:left="720" w:right="720"/>
        <w:jc w:val="both"/>
        <w:rPr>
          <w:rFonts w:ascii="Arial" w:hAnsi="Arial" w:cs="Arial"/>
          <w:color w:val="272425"/>
          <w:sz w:val="24"/>
          <w:szCs w:val="24"/>
        </w:rPr>
      </w:pPr>
      <w:r w:rsidRPr="005920BD">
        <w:rPr>
          <w:rFonts w:ascii="Arial" w:hAnsi="Arial" w:cs="Arial"/>
          <w:color w:val="272425"/>
          <w:sz w:val="24"/>
          <w:szCs w:val="24"/>
        </w:rPr>
        <w:t>The Company may, but is not obligated to, furnish residential or nonresidential customers special customer services as identified in this section. No such special customer service shall be provided except where the Company has informed the customer that</w:t>
      </w:r>
      <w:r w:rsidRPr="005920BD">
        <w:rPr>
          <w:rFonts w:ascii="Arial" w:hAnsi="Arial" w:cs="Arial"/>
          <w:b/>
          <w:i/>
          <w:color w:val="272425"/>
          <w:sz w:val="24"/>
          <w:szCs w:val="24"/>
        </w:rPr>
        <w:t xml:space="preserve"> such service is available from and may be obtained from other suppliers.</w:t>
      </w:r>
      <w:r w:rsidRPr="005920BD">
        <w:rPr>
          <w:rFonts w:ascii="Arial" w:hAnsi="Arial" w:cs="Arial"/>
          <w:color w:val="272425"/>
          <w:sz w:val="24"/>
          <w:szCs w:val="24"/>
        </w:rPr>
        <w:t xml:space="preserve"> A customer's decision to receive or not receive special customer services from the Company will not influence the delivery of competitive or non-competitive retail electric service to that customer by the Company. </w:t>
      </w:r>
      <w:r w:rsidRPr="005920BD">
        <w:rPr>
          <w:rFonts w:ascii="Arial" w:hAnsi="Arial" w:cs="Arial"/>
          <w:b/>
          <w:i/>
          <w:color w:val="272425"/>
          <w:sz w:val="24"/>
          <w:szCs w:val="24"/>
        </w:rPr>
        <w:t xml:space="preserve">Such special customer </w:t>
      </w:r>
      <w:r w:rsidRPr="005920BD">
        <w:rPr>
          <w:rFonts w:ascii="Arial" w:hAnsi="Arial" w:cs="Arial"/>
          <w:b/>
          <w:i/>
          <w:color w:val="272425"/>
          <w:sz w:val="24"/>
          <w:szCs w:val="24"/>
        </w:rPr>
        <w:lastRenderedPageBreak/>
        <w:t>services shall be provided at a rate negotiated with the customer</w:t>
      </w:r>
      <w:r w:rsidRPr="005920BD">
        <w:rPr>
          <w:rFonts w:ascii="Arial" w:hAnsi="Arial" w:cs="Arial"/>
          <w:color w:val="272425"/>
          <w:sz w:val="24"/>
          <w:szCs w:val="24"/>
        </w:rPr>
        <w:t xml:space="preserve">, but in no case at less than the Company's fully allocated cost. Such special customer services shall only be provided when their provision does not unduly interfere with the Company's ability to supply electric service under the Schedule of Rates, Classifications, Rules and Regulations for Retail Electric Service. Such special customer services may include, but are not limited to: design, construction and maintenance of customer-owned substations; resolving power quality problems on customer equipment; providing training programs for construction, operation, and maintenance of electric facilities; performing customer equipment maintenance, repair, or installation; providing service entrance cable repair; providing restorative temporary underground service; providing upgrades or increases to an existing service connection at customer request; performing outage or voltage problem assessment; disconnecting a customer-owned transformer at customer request; loosening and refastening customer owned equipment; determining the location of underground cables on customer premises; covering up lines for protection at customer request; making a generator available to customer during construction to avoid outage; providing pole-hold for customer to perform some activity; providing a "service saver" device to provide temporary service during an outage; resetting a customer-owned </w:t>
      </w:r>
      <w:proofErr w:type="spellStart"/>
      <w:r w:rsidRPr="005920BD">
        <w:rPr>
          <w:rFonts w:ascii="Arial" w:hAnsi="Arial" w:cs="Arial"/>
          <w:color w:val="272425"/>
          <w:sz w:val="24"/>
          <w:szCs w:val="24"/>
        </w:rPr>
        <w:t>reclosure</w:t>
      </w:r>
      <w:proofErr w:type="spellEnd"/>
      <w:r w:rsidRPr="005920BD">
        <w:rPr>
          <w:rFonts w:ascii="Arial" w:hAnsi="Arial" w:cs="Arial"/>
          <w:color w:val="272425"/>
          <w:sz w:val="24"/>
          <w:szCs w:val="24"/>
        </w:rPr>
        <w:t xml:space="preserve"> device; providing phase rotation of customer equipment at customer request; conducting an evaluation at customer request to ensure that customer equipment meets standards; upgrading the customer to three-phase service; </w:t>
      </w:r>
      <w:r w:rsidRPr="005920BD">
        <w:rPr>
          <w:rFonts w:ascii="Arial" w:hAnsi="Arial" w:cs="Arial"/>
          <w:b/>
          <w:i/>
          <w:color w:val="272425"/>
          <w:sz w:val="24"/>
          <w:szCs w:val="24"/>
        </w:rPr>
        <w:t>providing whole-house surge protection, and providing energy consumption analysis services, tools and reports</w:t>
      </w:r>
      <w:r w:rsidRPr="005920BD">
        <w:rPr>
          <w:rFonts w:ascii="Arial" w:hAnsi="Arial" w:cs="Arial"/>
          <w:color w:val="272425"/>
          <w:sz w:val="24"/>
          <w:szCs w:val="24"/>
        </w:rPr>
        <w:t>.</w:t>
      </w:r>
      <w:r w:rsidRPr="005920BD">
        <w:rPr>
          <w:rFonts w:ascii="Arial" w:hAnsi="Arial" w:cs="Arial"/>
          <w:color w:val="272425"/>
          <w:sz w:val="24"/>
          <w:szCs w:val="24"/>
          <w:vertAlign w:val="superscript"/>
        </w:rPr>
        <w:footnoteReference w:id="7"/>
      </w:r>
    </w:p>
    <w:p w14:paraId="1A6AA079" w14:textId="77777777" w:rsidR="005920BD" w:rsidRPr="005920BD" w:rsidRDefault="005920BD" w:rsidP="005920BD">
      <w:pPr>
        <w:autoSpaceDE w:val="0"/>
        <w:autoSpaceDN w:val="0"/>
        <w:adjustRightInd w:val="0"/>
        <w:spacing w:after="0" w:line="240" w:lineRule="auto"/>
        <w:ind w:left="720" w:right="720"/>
        <w:jc w:val="both"/>
        <w:rPr>
          <w:rFonts w:ascii="Arial" w:hAnsi="Arial" w:cs="Arial"/>
          <w:color w:val="272425"/>
          <w:sz w:val="24"/>
          <w:szCs w:val="24"/>
        </w:rPr>
      </w:pPr>
    </w:p>
    <w:p w14:paraId="079B059F" w14:textId="6858D43E" w:rsidR="005920BD" w:rsidRPr="005920BD" w:rsidRDefault="005920BD" w:rsidP="005920BD">
      <w:pPr>
        <w:autoSpaceDE w:val="0"/>
        <w:autoSpaceDN w:val="0"/>
        <w:adjustRightInd w:val="0"/>
        <w:spacing w:after="120" w:line="480" w:lineRule="auto"/>
        <w:jc w:val="both"/>
        <w:rPr>
          <w:rFonts w:ascii="Arial" w:hAnsi="Arial" w:cs="Arial"/>
          <w:sz w:val="24"/>
          <w:szCs w:val="24"/>
        </w:rPr>
      </w:pPr>
      <w:r w:rsidRPr="005920BD">
        <w:rPr>
          <w:rFonts w:ascii="Arial" w:hAnsi="Arial" w:cs="Arial"/>
          <w:sz w:val="24"/>
          <w:szCs w:val="24"/>
        </w:rPr>
        <w:t>These services are related to the provision of unre</w:t>
      </w:r>
      <w:r w:rsidR="00897090">
        <w:rPr>
          <w:rFonts w:ascii="Arial" w:hAnsi="Arial" w:cs="Arial"/>
          <w:sz w:val="24"/>
          <w:szCs w:val="24"/>
        </w:rPr>
        <w:t>gulated non-electric services</w:t>
      </w:r>
      <w:r w:rsidRPr="005920BD">
        <w:rPr>
          <w:rFonts w:ascii="Arial" w:hAnsi="Arial" w:cs="Arial"/>
          <w:sz w:val="24"/>
          <w:szCs w:val="24"/>
        </w:rPr>
        <w:t xml:space="preserve">.  </w:t>
      </w:r>
    </w:p>
    <w:p w14:paraId="6133590F" w14:textId="26EAA59B" w:rsidR="005920BD" w:rsidRPr="005920BD" w:rsidRDefault="005920BD" w:rsidP="005920BD">
      <w:pPr>
        <w:autoSpaceDE w:val="0"/>
        <w:autoSpaceDN w:val="0"/>
        <w:adjustRightInd w:val="0"/>
        <w:spacing w:after="120" w:line="480" w:lineRule="auto"/>
        <w:jc w:val="both"/>
        <w:rPr>
          <w:rFonts w:ascii="Arial" w:hAnsi="Arial" w:cs="Arial"/>
          <w:sz w:val="24"/>
          <w:szCs w:val="24"/>
        </w:rPr>
      </w:pPr>
      <w:r w:rsidRPr="005920BD">
        <w:rPr>
          <w:rFonts w:ascii="Arial" w:hAnsi="Arial" w:cs="Arial"/>
          <w:sz w:val="24"/>
          <w:szCs w:val="24"/>
        </w:rPr>
        <w:tab/>
        <w:t>The Application, h</w:t>
      </w:r>
      <w:r>
        <w:rPr>
          <w:rFonts w:ascii="Arial" w:hAnsi="Arial" w:cs="Arial"/>
          <w:sz w:val="24"/>
          <w:szCs w:val="24"/>
        </w:rPr>
        <w:t>owever, did not request that the Commission grant an exception</w:t>
      </w:r>
      <w:r w:rsidRPr="005920BD">
        <w:rPr>
          <w:rFonts w:ascii="Arial" w:hAnsi="Arial" w:cs="Arial"/>
          <w:sz w:val="24"/>
          <w:szCs w:val="24"/>
        </w:rPr>
        <w:t xml:space="preserve"> of the R.C. 4928.17(A)(1) requirement to provide unregulated </w:t>
      </w:r>
      <w:r w:rsidR="00897090">
        <w:rPr>
          <w:rFonts w:ascii="Arial" w:hAnsi="Arial" w:cs="Arial"/>
          <w:sz w:val="24"/>
          <w:szCs w:val="24"/>
        </w:rPr>
        <w:t xml:space="preserve">non-electric services </w:t>
      </w:r>
      <w:r w:rsidRPr="005920BD">
        <w:rPr>
          <w:rFonts w:ascii="Arial" w:hAnsi="Arial" w:cs="Arial"/>
          <w:sz w:val="24"/>
          <w:szCs w:val="24"/>
        </w:rPr>
        <w:t xml:space="preserve">through a separate affiliate.  And the Application did not identify </w:t>
      </w:r>
      <w:r w:rsidR="00897090">
        <w:rPr>
          <w:rFonts w:ascii="Arial" w:hAnsi="Arial" w:cs="Arial"/>
          <w:sz w:val="24"/>
          <w:szCs w:val="24"/>
        </w:rPr>
        <w:t xml:space="preserve">good cause for granting Duke an exception to the requirement of full </w:t>
      </w:r>
      <w:r w:rsidRPr="005920BD">
        <w:rPr>
          <w:rFonts w:ascii="Arial" w:hAnsi="Arial" w:cs="Arial"/>
          <w:sz w:val="24"/>
          <w:szCs w:val="24"/>
        </w:rPr>
        <w:t>corporate separati</w:t>
      </w:r>
      <w:r w:rsidR="00897090">
        <w:rPr>
          <w:rFonts w:ascii="Arial" w:hAnsi="Arial" w:cs="Arial"/>
          <w:sz w:val="24"/>
          <w:szCs w:val="24"/>
        </w:rPr>
        <w:t>on</w:t>
      </w:r>
      <w:r w:rsidRPr="005920BD">
        <w:rPr>
          <w:rFonts w:ascii="Arial" w:hAnsi="Arial" w:cs="Arial"/>
          <w:sz w:val="24"/>
          <w:szCs w:val="24"/>
        </w:rPr>
        <w:t>.</w:t>
      </w:r>
    </w:p>
    <w:p w14:paraId="09EC8C6A" w14:textId="080E4717" w:rsidR="005920BD" w:rsidRPr="005920BD" w:rsidRDefault="00DB04D6" w:rsidP="005920BD">
      <w:pPr>
        <w:autoSpaceDE w:val="0"/>
        <w:autoSpaceDN w:val="0"/>
        <w:adjustRightInd w:val="0"/>
        <w:spacing w:after="120" w:line="480" w:lineRule="auto"/>
        <w:ind w:firstLine="720"/>
        <w:jc w:val="both"/>
        <w:rPr>
          <w:rFonts w:ascii="Arial" w:hAnsi="Arial" w:cs="Arial"/>
          <w:bCs/>
          <w:sz w:val="24"/>
          <w:szCs w:val="24"/>
        </w:rPr>
      </w:pPr>
      <w:r>
        <w:rPr>
          <w:rFonts w:ascii="Arial" w:hAnsi="Arial" w:cs="Arial"/>
          <w:sz w:val="24"/>
          <w:szCs w:val="24"/>
        </w:rPr>
        <w:t>Over IGS</w:t>
      </w:r>
      <w:r w:rsidR="006B22A2">
        <w:rPr>
          <w:rFonts w:ascii="Arial" w:hAnsi="Arial" w:cs="Arial"/>
          <w:sz w:val="24"/>
          <w:szCs w:val="24"/>
        </w:rPr>
        <w:t>’</w:t>
      </w:r>
      <w:r w:rsidR="005920BD" w:rsidRPr="005920BD">
        <w:rPr>
          <w:rFonts w:ascii="Arial" w:hAnsi="Arial" w:cs="Arial"/>
          <w:sz w:val="24"/>
          <w:szCs w:val="24"/>
        </w:rPr>
        <w:t xml:space="preserve"> </w:t>
      </w:r>
      <w:r w:rsidR="00D97DB7">
        <w:rPr>
          <w:rFonts w:ascii="Arial" w:hAnsi="Arial" w:cs="Arial"/>
          <w:sz w:val="24"/>
          <w:szCs w:val="24"/>
        </w:rPr>
        <w:t>and Direct Energy</w:t>
      </w:r>
      <w:r w:rsidR="006B22A2">
        <w:rPr>
          <w:rFonts w:ascii="Arial" w:hAnsi="Arial" w:cs="Arial"/>
          <w:sz w:val="24"/>
          <w:szCs w:val="24"/>
        </w:rPr>
        <w:t>’s</w:t>
      </w:r>
      <w:r w:rsidR="00D97DB7">
        <w:rPr>
          <w:rFonts w:ascii="Arial" w:hAnsi="Arial" w:cs="Arial"/>
          <w:sz w:val="24"/>
          <w:szCs w:val="24"/>
        </w:rPr>
        <w:t xml:space="preserve"> </w:t>
      </w:r>
      <w:r w:rsidR="005920BD" w:rsidRPr="005920BD">
        <w:rPr>
          <w:rFonts w:ascii="Arial" w:hAnsi="Arial" w:cs="Arial"/>
          <w:sz w:val="24"/>
          <w:szCs w:val="24"/>
        </w:rPr>
        <w:t xml:space="preserve">objections, on June 11, 2014, the Commission issued an Order modifying and approving Duke’s Application, stating that “we find no substantiated reason, at this time, to find that the proposed revisions to the plan are not </w:t>
      </w:r>
      <w:r w:rsidR="005920BD" w:rsidRPr="005920BD">
        <w:rPr>
          <w:rFonts w:ascii="Arial" w:hAnsi="Arial" w:cs="Arial"/>
          <w:sz w:val="24"/>
          <w:szCs w:val="24"/>
        </w:rPr>
        <w:lastRenderedPageBreak/>
        <w:t>incompliance with state policy or the Commission’</w:t>
      </w:r>
      <w:r w:rsidR="00E56845">
        <w:rPr>
          <w:rFonts w:ascii="Arial" w:hAnsi="Arial" w:cs="Arial"/>
          <w:sz w:val="24"/>
          <w:szCs w:val="24"/>
        </w:rPr>
        <w:t>s corporate separation rules.”</w:t>
      </w:r>
      <w:r w:rsidR="00462A33">
        <w:rPr>
          <w:rStyle w:val="FootnoteReference"/>
          <w:rFonts w:ascii="Arial" w:hAnsi="Arial" w:cs="Arial"/>
          <w:sz w:val="24"/>
          <w:szCs w:val="24"/>
        </w:rPr>
        <w:footnoteReference w:id="8"/>
      </w:r>
      <w:r w:rsidR="00E56845">
        <w:rPr>
          <w:rFonts w:ascii="Arial" w:hAnsi="Arial" w:cs="Arial"/>
          <w:sz w:val="24"/>
          <w:szCs w:val="24"/>
        </w:rPr>
        <w:t xml:space="preserve">  </w:t>
      </w:r>
      <w:r w:rsidR="005920BD" w:rsidRPr="005920BD">
        <w:rPr>
          <w:rFonts w:ascii="Arial" w:hAnsi="Arial" w:cs="Arial"/>
          <w:sz w:val="24"/>
          <w:szCs w:val="24"/>
        </w:rPr>
        <w:t>The Order, howe</w:t>
      </w:r>
      <w:r w:rsidR="00462A33">
        <w:rPr>
          <w:rFonts w:ascii="Arial" w:hAnsi="Arial" w:cs="Arial"/>
          <w:sz w:val="24"/>
          <w:szCs w:val="24"/>
        </w:rPr>
        <w:t>ver, did not grant Duke a temporary exception to the requirements</w:t>
      </w:r>
      <w:r w:rsidR="005920BD" w:rsidRPr="005920BD">
        <w:rPr>
          <w:rFonts w:ascii="Arial" w:hAnsi="Arial" w:cs="Arial"/>
          <w:sz w:val="24"/>
          <w:szCs w:val="24"/>
        </w:rPr>
        <w:t xml:space="preserve"> of R.C. 4928.17(A)(1) or identify good cause for doing so.  The Orde</w:t>
      </w:r>
      <w:r w:rsidR="005920BD">
        <w:rPr>
          <w:rFonts w:ascii="Arial" w:hAnsi="Arial" w:cs="Arial"/>
          <w:sz w:val="24"/>
          <w:szCs w:val="24"/>
        </w:rPr>
        <w:t xml:space="preserve">r also did not limit any exception of the general rule </w:t>
      </w:r>
      <w:r w:rsidR="005920BD" w:rsidRPr="005920BD">
        <w:rPr>
          <w:rFonts w:ascii="Arial" w:hAnsi="Arial" w:cs="Arial"/>
          <w:sz w:val="24"/>
          <w:szCs w:val="24"/>
        </w:rPr>
        <w:t>to an interim period prescribed in the Order.</w:t>
      </w:r>
    </w:p>
    <w:p w14:paraId="4B6D1B7B" w14:textId="371635C9" w:rsidR="00D97DB7" w:rsidRDefault="00D97DB7" w:rsidP="008A6B04">
      <w:pPr>
        <w:autoSpaceDE w:val="0"/>
        <w:autoSpaceDN w:val="0"/>
        <w:adjustRightInd w:val="0"/>
        <w:spacing w:after="120" w:line="480" w:lineRule="auto"/>
        <w:ind w:firstLine="720"/>
        <w:jc w:val="both"/>
        <w:rPr>
          <w:rFonts w:ascii="Arial" w:hAnsi="Arial" w:cs="Arial"/>
          <w:bCs/>
          <w:sz w:val="24"/>
          <w:szCs w:val="24"/>
        </w:rPr>
      </w:pPr>
      <w:r>
        <w:rPr>
          <w:rFonts w:ascii="Arial" w:hAnsi="Arial" w:cs="Arial"/>
          <w:bCs/>
          <w:sz w:val="24"/>
          <w:szCs w:val="24"/>
        </w:rPr>
        <w:t>On July 8, 2014, Direct Energy filed an Application for Rehearing alleging that the Order was unreasonable inasmuch as it approved Duke’s request to offer products and services other than retail electric service, and because it did not provide an adequate venue for submission of concerns raised about Duke’s implementation of the future tariff to be approved in the case.</w:t>
      </w:r>
      <w:r w:rsidR="00BF1FEF">
        <w:rPr>
          <w:rStyle w:val="FootnoteReference"/>
          <w:rFonts w:ascii="Arial" w:hAnsi="Arial" w:cs="Arial"/>
          <w:bCs/>
          <w:sz w:val="24"/>
          <w:szCs w:val="24"/>
        </w:rPr>
        <w:footnoteReference w:id="9"/>
      </w:r>
      <w:r>
        <w:rPr>
          <w:rFonts w:ascii="Arial" w:hAnsi="Arial" w:cs="Arial"/>
          <w:bCs/>
          <w:sz w:val="24"/>
          <w:szCs w:val="24"/>
        </w:rPr>
        <w:t xml:space="preserve"> Direct Energy identified a number of questions left unanswered by the Order, specifically how Duke planned to bill and collect charges for these other products and services; how Duke defined “fully allocated costs,” undefined in Duke’s tariff filing; and whether Duke would undertake a cost-of-service study to prove the actual costs for services provided, among others. Direct Energy requested that the Commission leave the docket open and provide an opportunity to ask and answer these questions before </w:t>
      </w:r>
      <w:r w:rsidR="00BF1FEF">
        <w:rPr>
          <w:rFonts w:ascii="Arial" w:hAnsi="Arial" w:cs="Arial"/>
          <w:bCs/>
          <w:sz w:val="24"/>
          <w:szCs w:val="24"/>
        </w:rPr>
        <w:t>finalizing its decision.</w:t>
      </w:r>
    </w:p>
    <w:p w14:paraId="13AC0F06" w14:textId="135F16B4" w:rsidR="005920BD" w:rsidRPr="005920BD" w:rsidRDefault="005920BD" w:rsidP="008A6B04">
      <w:pPr>
        <w:autoSpaceDE w:val="0"/>
        <w:autoSpaceDN w:val="0"/>
        <w:adjustRightInd w:val="0"/>
        <w:spacing w:after="120" w:line="480" w:lineRule="auto"/>
        <w:ind w:firstLine="720"/>
        <w:jc w:val="both"/>
        <w:rPr>
          <w:rFonts w:ascii="Arial" w:hAnsi="Arial" w:cs="Arial"/>
          <w:bCs/>
          <w:sz w:val="24"/>
          <w:szCs w:val="24"/>
        </w:rPr>
      </w:pPr>
      <w:r w:rsidRPr="005920BD">
        <w:rPr>
          <w:rFonts w:ascii="Arial" w:hAnsi="Arial" w:cs="Arial"/>
          <w:bCs/>
          <w:sz w:val="24"/>
          <w:szCs w:val="24"/>
        </w:rPr>
        <w:t>On July 11, 2014, IGS filed an Application for Rehearing identifying that the</w:t>
      </w:r>
      <w:r w:rsidR="008A6B04">
        <w:rPr>
          <w:rFonts w:ascii="Arial" w:hAnsi="Arial" w:cs="Arial"/>
          <w:bCs/>
          <w:sz w:val="24"/>
          <w:szCs w:val="24"/>
        </w:rPr>
        <w:t xml:space="preserve"> </w:t>
      </w:r>
      <w:r w:rsidRPr="005920BD">
        <w:rPr>
          <w:rFonts w:ascii="Arial" w:hAnsi="Arial" w:cs="Arial"/>
          <w:bCs/>
          <w:sz w:val="24"/>
          <w:szCs w:val="24"/>
        </w:rPr>
        <w:t xml:space="preserve">Order is unlawful because it authorized Duke to provide unregulated </w:t>
      </w:r>
      <w:r w:rsidR="0035393A">
        <w:rPr>
          <w:rFonts w:ascii="Arial" w:hAnsi="Arial" w:cs="Arial"/>
          <w:bCs/>
          <w:sz w:val="24"/>
          <w:szCs w:val="24"/>
        </w:rPr>
        <w:t>non-electric services withou</w:t>
      </w:r>
      <w:r>
        <w:rPr>
          <w:rFonts w:ascii="Arial" w:hAnsi="Arial" w:cs="Arial"/>
          <w:bCs/>
          <w:sz w:val="24"/>
          <w:szCs w:val="24"/>
        </w:rPr>
        <w:t>t:  (1) granting Duke an exception to the requirements in</w:t>
      </w:r>
      <w:r w:rsidRPr="005920BD">
        <w:rPr>
          <w:rFonts w:ascii="Arial" w:hAnsi="Arial" w:cs="Arial"/>
          <w:bCs/>
          <w:sz w:val="24"/>
          <w:szCs w:val="24"/>
        </w:rPr>
        <w:t xml:space="preserve"> R.C. 4928.17(A</w:t>
      </w:r>
      <w:proofErr w:type="gramStart"/>
      <w:r w:rsidRPr="005920BD">
        <w:rPr>
          <w:rFonts w:ascii="Arial" w:hAnsi="Arial" w:cs="Arial"/>
          <w:bCs/>
          <w:sz w:val="24"/>
          <w:szCs w:val="24"/>
        </w:rPr>
        <w:t>)(</w:t>
      </w:r>
      <w:proofErr w:type="gramEnd"/>
      <w:r w:rsidRPr="005920BD">
        <w:rPr>
          <w:rFonts w:ascii="Arial" w:hAnsi="Arial" w:cs="Arial"/>
          <w:bCs/>
          <w:sz w:val="24"/>
          <w:szCs w:val="24"/>
        </w:rPr>
        <w:t>1); (2) identifying that good cause exists to authorize Duke to provide these services</w:t>
      </w:r>
      <w:r w:rsidR="0035393A">
        <w:rPr>
          <w:rFonts w:ascii="Arial" w:hAnsi="Arial" w:cs="Arial"/>
          <w:bCs/>
          <w:sz w:val="24"/>
          <w:szCs w:val="24"/>
        </w:rPr>
        <w:t xml:space="preserve"> through any entity other than an affiliate</w:t>
      </w:r>
      <w:r w:rsidRPr="005920BD">
        <w:rPr>
          <w:rFonts w:ascii="Arial" w:hAnsi="Arial" w:cs="Arial"/>
          <w:bCs/>
          <w:sz w:val="24"/>
          <w:szCs w:val="24"/>
        </w:rPr>
        <w:t xml:space="preserve">; or (3) setting a time period by which Duke must be in </w:t>
      </w:r>
      <w:r w:rsidRPr="005920BD">
        <w:rPr>
          <w:rFonts w:ascii="Arial" w:hAnsi="Arial" w:cs="Arial"/>
          <w:bCs/>
          <w:sz w:val="24"/>
          <w:szCs w:val="24"/>
        </w:rPr>
        <w:lastRenderedPageBreak/>
        <w:t>compliance with R.C.</w:t>
      </w:r>
      <w:r w:rsidR="00462A33">
        <w:rPr>
          <w:rFonts w:ascii="Arial" w:hAnsi="Arial" w:cs="Arial"/>
          <w:bCs/>
          <w:sz w:val="24"/>
          <w:szCs w:val="24"/>
        </w:rPr>
        <w:t xml:space="preserve"> 4928.17(A)(1).</w:t>
      </w:r>
      <w:r w:rsidR="00462A33">
        <w:rPr>
          <w:rStyle w:val="FootnoteReference"/>
          <w:rFonts w:ascii="Arial" w:hAnsi="Arial" w:cs="Arial"/>
          <w:bCs/>
          <w:sz w:val="24"/>
          <w:szCs w:val="24"/>
        </w:rPr>
        <w:footnoteReference w:id="10"/>
      </w:r>
      <w:r w:rsidR="00462A33">
        <w:rPr>
          <w:rFonts w:ascii="Arial" w:hAnsi="Arial" w:cs="Arial"/>
          <w:bCs/>
          <w:sz w:val="24"/>
          <w:szCs w:val="24"/>
        </w:rPr>
        <w:t xml:space="preserve">  </w:t>
      </w:r>
      <w:r w:rsidR="00800BB2">
        <w:rPr>
          <w:rFonts w:ascii="Arial" w:hAnsi="Arial" w:cs="Arial"/>
          <w:bCs/>
          <w:sz w:val="24"/>
          <w:szCs w:val="24"/>
        </w:rPr>
        <w:t>Moreover, IGS further argued that it would be an impermissible interpretation of R.C. 4928.17(C) to permit a utility to move backward in the restructuring process when the statute was intended to provide a glide path for vertically integrated utilities to divest themselves from unregulated businesses in compliance with Ohio’s goal of deregulation.</w:t>
      </w:r>
      <w:r w:rsidRPr="005920BD">
        <w:rPr>
          <w:rFonts w:ascii="Arial" w:hAnsi="Arial" w:cs="Arial"/>
          <w:bCs/>
          <w:sz w:val="24"/>
          <w:szCs w:val="24"/>
        </w:rPr>
        <w:t xml:space="preserve"> Further, IGS’s Application for Rehearing asserted that the Order violated R.C. 4903.09 because the Commission failed to address contested arguments and it failed to identify findings of fact to </w:t>
      </w:r>
      <w:r w:rsidR="00462A33">
        <w:rPr>
          <w:rFonts w:ascii="Arial" w:hAnsi="Arial" w:cs="Arial"/>
          <w:bCs/>
          <w:sz w:val="24"/>
          <w:szCs w:val="24"/>
        </w:rPr>
        <w:t>support the Order</w:t>
      </w:r>
      <w:r w:rsidRPr="005920BD">
        <w:rPr>
          <w:rFonts w:ascii="Arial" w:hAnsi="Arial" w:cs="Arial"/>
          <w:bCs/>
          <w:sz w:val="24"/>
          <w:szCs w:val="24"/>
        </w:rPr>
        <w:t>.</w:t>
      </w:r>
      <w:r w:rsidR="00462A33">
        <w:rPr>
          <w:rStyle w:val="FootnoteReference"/>
          <w:rFonts w:ascii="Arial" w:hAnsi="Arial" w:cs="Arial"/>
          <w:bCs/>
          <w:sz w:val="24"/>
          <w:szCs w:val="24"/>
        </w:rPr>
        <w:footnoteReference w:id="11"/>
      </w:r>
      <w:r w:rsidRPr="005920BD">
        <w:rPr>
          <w:rFonts w:ascii="Arial" w:hAnsi="Arial" w:cs="Arial"/>
          <w:bCs/>
          <w:sz w:val="24"/>
          <w:szCs w:val="24"/>
        </w:rPr>
        <w:t xml:space="preserve">  </w:t>
      </w:r>
    </w:p>
    <w:p w14:paraId="4AC9248F" w14:textId="6112D355" w:rsidR="005920BD" w:rsidRPr="005920BD" w:rsidRDefault="005920BD" w:rsidP="008A6B04">
      <w:pPr>
        <w:autoSpaceDE w:val="0"/>
        <w:autoSpaceDN w:val="0"/>
        <w:adjustRightInd w:val="0"/>
        <w:spacing w:after="120" w:line="480" w:lineRule="auto"/>
        <w:ind w:firstLine="720"/>
        <w:jc w:val="both"/>
        <w:rPr>
          <w:rFonts w:ascii="Arial" w:hAnsi="Arial" w:cs="Arial"/>
          <w:bCs/>
          <w:sz w:val="24"/>
          <w:szCs w:val="24"/>
        </w:rPr>
      </w:pPr>
      <w:r w:rsidRPr="005920BD">
        <w:rPr>
          <w:rFonts w:ascii="Arial" w:hAnsi="Arial" w:cs="Arial"/>
          <w:bCs/>
          <w:sz w:val="24"/>
          <w:szCs w:val="24"/>
        </w:rPr>
        <w:t>On August 6, 2014, the Commission issued an Entry on Rehearing affirming i</w:t>
      </w:r>
      <w:r w:rsidR="00462A33">
        <w:rPr>
          <w:rFonts w:ascii="Arial" w:hAnsi="Arial" w:cs="Arial"/>
          <w:bCs/>
          <w:sz w:val="24"/>
          <w:szCs w:val="24"/>
        </w:rPr>
        <w:t>ts prior order.</w:t>
      </w:r>
      <w:r w:rsidR="00462A33">
        <w:rPr>
          <w:rStyle w:val="FootnoteReference"/>
          <w:rFonts w:ascii="Arial" w:hAnsi="Arial" w:cs="Arial"/>
          <w:bCs/>
          <w:sz w:val="24"/>
          <w:szCs w:val="24"/>
        </w:rPr>
        <w:footnoteReference w:id="12"/>
      </w:r>
      <w:r w:rsidR="00462A33">
        <w:rPr>
          <w:rFonts w:ascii="Arial" w:hAnsi="Arial" w:cs="Arial"/>
          <w:bCs/>
          <w:sz w:val="24"/>
          <w:szCs w:val="24"/>
        </w:rPr>
        <w:t xml:space="preserve">  </w:t>
      </w:r>
      <w:r w:rsidRPr="005920BD">
        <w:rPr>
          <w:rFonts w:ascii="Arial" w:hAnsi="Arial" w:cs="Arial"/>
          <w:bCs/>
          <w:sz w:val="24"/>
          <w:szCs w:val="24"/>
        </w:rPr>
        <w:t xml:space="preserve">The Entry on Rehearing, however, </w:t>
      </w:r>
      <w:r w:rsidR="0096008A">
        <w:rPr>
          <w:rFonts w:ascii="Arial" w:hAnsi="Arial" w:cs="Arial"/>
          <w:bCs/>
          <w:sz w:val="24"/>
          <w:szCs w:val="24"/>
        </w:rPr>
        <w:t>did not grant Duke an exception to the</w:t>
      </w:r>
      <w:r w:rsidRPr="005920BD">
        <w:rPr>
          <w:rFonts w:ascii="Arial" w:hAnsi="Arial" w:cs="Arial"/>
          <w:bCs/>
          <w:sz w:val="24"/>
          <w:szCs w:val="24"/>
        </w:rPr>
        <w:t xml:space="preserve"> </w:t>
      </w:r>
      <w:r w:rsidR="0096008A">
        <w:rPr>
          <w:rFonts w:ascii="Arial" w:hAnsi="Arial" w:cs="Arial"/>
          <w:bCs/>
          <w:sz w:val="24"/>
          <w:szCs w:val="24"/>
        </w:rPr>
        <w:t xml:space="preserve">separation requirement in </w:t>
      </w:r>
      <w:r w:rsidRPr="005920BD">
        <w:rPr>
          <w:rFonts w:ascii="Arial" w:hAnsi="Arial" w:cs="Arial"/>
          <w:bCs/>
          <w:sz w:val="24"/>
          <w:szCs w:val="24"/>
        </w:rPr>
        <w:t xml:space="preserve">R.C. 4928.17(A)(1), it did not identify good cause for allowing Duke to enter into a new business otherwise prohibited by statute, and the Commission did not confine its approval to an interim period of time prescribed in the Order as required by R.C. 4928.17(C). </w:t>
      </w:r>
      <w:r w:rsidR="0096008A">
        <w:rPr>
          <w:rFonts w:ascii="Arial" w:hAnsi="Arial" w:cs="Arial"/>
          <w:bCs/>
          <w:sz w:val="24"/>
          <w:szCs w:val="24"/>
        </w:rPr>
        <w:t>IGS appealed.</w:t>
      </w:r>
    </w:p>
    <w:p w14:paraId="699669ED" w14:textId="41F6BDD3" w:rsidR="00CE0AE0" w:rsidRDefault="0096008A" w:rsidP="00CE0AE0">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On November 1, 2016, the Court reversed and remanded the Order.</w:t>
      </w:r>
      <w:r w:rsidR="0035393A">
        <w:rPr>
          <w:rStyle w:val="FootnoteReference"/>
          <w:rFonts w:ascii="Arial" w:hAnsi="Arial" w:cs="Arial"/>
          <w:sz w:val="24"/>
          <w:szCs w:val="24"/>
        </w:rPr>
        <w:footnoteReference w:id="13"/>
      </w:r>
      <w:r>
        <w:rPr>
          <w:rFonts w:ascii="Arial" w:hAnsi="Arial" w:cs="Arial"/>
          <w:sz w:val="24"/>
          <w:szCs w:val="24"/>
        </w:rPr>
        <w:t xml:space="preserve">  The Court held that the Order failed to comport with R.C</w:t>
      </w:r>
      <w:r w:rsidR="00462A33">
        <w:rPr>
          <w:rFonts w:ascii="Arial" w:hAnsi="Arial" w:cs="Arial"/>
          <w:sz w:val="24"/>
          <w:szCs w:val="24"/>
        </w:rPr>
        <w:t>. 4928.17(A)</w:t>
      </w:r>
      <w:r w:rsidR="0018214F">
        <w:rPr>
          <w:rFonts w:ascii="Arial" w:hAnsi="Arial" w:cs="Arial"/>
          <w:sz w:val="24"/>
          <w:szCs w:val="24"/>
        </w:rPr>
        <w:t>(1)</w:t>
      </w:r>
      <w:r w:rsidR="00462A33">
        <w:rPr>
          <w:rFonts w:ascii="Arial" w:hAnsi="Arial" w:cs="Arial"/>
          <w:sz w:val="24"/>
          <w:szCs w:val="24"/>
        </w:rPr>
        <w:t>, and the Order violated R.C. 4903.09 as it</w:t>
      </w:r>
      <w:r>
        <w:rPr>
          <w:rFonts w:ascii="Arial" w:hAnsi="Arial" w:cs="Arial"/>
          <w:sz w:val="24"/>
          <w:szCs w:val="24"/>
        </w:rPr>
        <w:t xml:space="preserve"> did not sufficiently address or discuss whether a narrow except</w:t>
      </w:r>
      <w:r w:rsidR="0018214F">
        <w:rPr>
          <w:rFonts w:ascii="Arial" w:hAnsi="Arial" w:cs="Arial"/>
          <w:sz w:val="24"/>
          <w:szCs w:val="24"/>
        </w:rPr>
        <w:t xml:space="preserve">ion to this general rule was properly authorized under sections (C) or (D).  Moreover, the Court held </w:t>
      </w:r>
      <w:r w:rsidR="0018214F">
        <w:rPr>
          <w:rFonts w:ascii="Arial" w:hAnsi="Arial" w:cs="Arial"/>
          <w:sz w:val="24"/>
          <w:szCs w:val="24"/>
        </w:rPr>
        <w:lastRenderedPageBreak/>
        <w:t>that any exception under Section (C) must be temporary in nature under the plain language of the law</w:t>
      </w:r>
      <w:r w:rsidR="00C7616D">
        <w:rPr>
          <w:rFonts w:ascii="Arial" w:hAnsi="Arial" w:cs="Arial"/>
          <w:sz w:val="24"/>
          <w:szCs w:val="24"/>
        </w:rPr>
        <w:t>:</w:t>
      </w:r>
    </w:p>
    <w:p w14:paraId="072F8640" w14:textId="345C852A" w:rsidR="00C7616D" w:rsidRDefault="00C7616D" w:rsidP="00C7616D">
      <w:pPr>
        <w:autoSpaceDE w:val="0"/>
        <w:autoSpaceDN w:val="0"/>
        <w:adjustRightInd w:val="0"/>
        <w:spacing w:after="120" w:line="240" w:lineRule="auto"/>
        <w:ind w:left="720" w:right="720"/>
        <w:jc w:val="both"/>
        <w:rPr>
          <w:rFonts w:ascii="Arial" w:hAnsi="Arial" w:cs="Arial"/>
          <w:sz w:val="24"/>
          <w:szCs w:val="24"/>
        </w:rPr>
      </w:pPr>
      <w:r>
        <w:rPr>
          <w:rFonts w:ascii="Arial" w:hAnsi="Arial" w:cs="Arial"/>
          <w:sz w:val="24"/>
          <w:szCs w:val="24"/>
        </w:rPr>
        <w:t xml:space="preserve">The </w:t>
      </w:r>
      <w:r w:rsidRPr="00C7616D">
        <w:rPr>
          <w:rFonts w:ascii="Arial" w:hAnsi="Arial" w:cs="Arial"/>
          <w:sz w:val="24"/>
          <w:szCs w:val="24"/>
        </w:rPr>
        <w:t>word “interim” is defined as “a time interveni</w:t>
      </w:r>
      <w:r>
        <w:rPr>
          <w:rFonts w:ascii="Arial" w:hAnsi="Arial" w:cs="Arial"/>
          <w:sz w:val="24"/>
          <w:szCs w:val="24"/>
        </w:rPr>
        <w:t xml:space="preserve">ng,” “a provisional decision or </w:t>
      </w:r>
      <w:r w:rsidRPr="00C7616D">
        <w:rPr>
          <w:rFonts w:ascii="Arial" w:hAnsi="Arial" w:cs="Arial"/>
          <w:sz w:val="24"/>
          <w:szCs w:val="24"/>
        </w:rPr>
        <w:t xml:space="preserve">arrangement,” or “in the meantime.” </w:t>
      </w:r>
      <w:r w:rsidRPr="00C7616D">
        <w:rPr>
          <w:rFonts w:ascii="Arial" w:hAnsi="Arial" w:cs="Arial"/>
          <w:i/>
          <w:sz w:val="24"/>
          <w:szCs w:val="24"/>
        </w:rPr>
        <w:t>Webster’s Third New International Dictionary 1179 (1993)</w:t>
      </w:r>
      <w:r w:rsidRPr="00C7616D">
        <w:rPr>
          <w:rFonts w:ascii="Arial" w:hAnsi="Arial" w:cs="Arial"/>
          <w:sz w:val="24"/>
          <w:szCs w:val="24"/>
        </w:rPr>
        <w:t>.</w:t>
      </w:r>
      <w:r>
        <w:rPr>
          <w:rFonts w:ascii="Arial" w:hAnsi="Arial" w:cs="Arial"/>
          <w:sz w:val="24"/>
          <w:szCs w:val="24"/>
        </w:rPr>
        <w:t xml:space="preserve"> </w:t>
      </w:r>
      <w:r w:rsidRPr="00C7616D">
        <w:rPr>
          <w:rFonts w:ascii="Arial" w:hAnsi="Arial" w:cs="Arial"/>
          <w:sz w:val="24"/>
          <w:szCs w:val="24"/>
        </w:rPr>
        <w:t>The commission’s order</w:t>
      </w:r>
      <w:r>
        <w:rPr>
          <w:rFonts w:ascii="Arial" w:hAnsi="Arial" w:cs="Arial"/>
          <w:sz w:val="24"/>
          <w:szCs w:val="24"/>
        </w:rPr>
        <w:t xml:space="preserve">s essentially authorize Duke to </w:t>
      </w:r>
      <w:r w:rsidRPr="00C7616D">
        <w:rPr>
          <w:rFonts w:ascii="Arial" w:hAnsi="Arial" w:cs="Arial"/>
          <w:sz w:val="24"/>
          <w:szCs w:val="24"/>
        </w:rPr>
        <w:t>sell nonelectric products and services indefinitely, as long as Duke complies</w:t>
      </w:r>
      <w:r>
        <w:rPr>
          <w:rFonts w:ascii="Arial" w:hAnsi="Arial" w:cs="Arial"/>
          <w:sz w:val="24"/>
          <w:szCs w:val="24"/>
        </w:rPr>
        <w:t xml:space="preserve"> with </w:t>
      </w:r>
      <w:r w:rsidRPr="00C7616D">
        <w:rPr>
          <w:rFonts w:ascii="Arial" w:hAnsi="Arial" w:cs="Arial"/>
          <w:sz w:val="24"/>
          <w:szCs w:val="24"/>
        </w:rPr>
        <w:t>the conditions imposed in the commission’s orders</w:t>
      </w:r>
      <w:r>
        <w:rPr>
          <w:rFonts w:ascii="Arial" w:hAnsi="Arial" w:cs="Arial"/>
          <w:sz w:val="24"/>
          <w:szCs w:val="24"/>
        </w:rPr>
        <w:t xml:space="preserve">. Under any definition, that is </w:t>
      </w:r>
      <w:r w:rsidRPr="00C7616D">
        <w:rPr>
          <w:rFonts w:ascii="Arial" w:hAnsi="Arial" w:cs="Arial"/>
          <w:sz w:val="24"/>
          <w:szCs w:val="24"/>
        </w:rPr>
        <w:t>not an “interim” corporate separation plan.</w:t>
      </w:r>
      <w:r>
        <w:rPr>
          <w:rFonts w:ascii="Arial" w:hAnsi="Arial" w:cs="Arial"/>
          <w:sz w:val="24"/>
          <w:szCs w:val="24"/>
        </w:rPr>
        <w:t xml:space="preserve"> . . . . </w:t>
      </w:r>
      <w:r w:rsidR="00CE0AE0" w:rsidRPr="00CE0AE0">
        <w:rPr>
          <w:rFonts w:ascii="Arial" w:hAnsi="Arial" w:cs="Arial"/>
          <w:sz w:val="24"/>
          <w:szCs w:val="24"/>
        </w:rPr>
        <w:t>If the commission approved Duke’s amen</w:t>
      </w:r>
      <w:r w:rsidR="00CE0AE0">
        <w:rPr>
          <w:rFonts w:ascii="Arial" w:hAnsi="Arial" w:cs="Arial"/>
          <w:sz w:val="24"/>
          <w:szCs w:val="24"/>
        </w:rPr>
        <w:t xml:space="preserve">ded plan under R.C. 4928.17(C), </w:t>
      </w:r>
      <w:r w:rsidR="00CE0AE0" w:rsidRPr="00CE0AE0">
        <w:rPr>
          <w:rFonts w:ascii="Arial" w:hAnsi="Arial" w:cs="Arial"/>
          <w:sz w:val="24"/>
          <w:szCs w:val="24"/>
        </w:rPr>
        <w:t>the commission should have made the nece</w:t>
      </w:r>
      <w:r w:rsidR="00CE0AE0">
        <w:rPr>
          <w:rFonts w:ascii="Arial" w:hAnsi="Arial" w:cs="Arial"/>
          <w:sz w:val="24"/>
          <w:szCs w:val="24"/>
        </w:rPr>
        <w:t>ssary findings required by that provision.”</w:t>
      </w:r>
      <w:r>
        <w:rPr>
          <w:rStyle w:val="FootnoteReference"/>
          <w:rFonts w:ascii="Arial" w:hAnsi="Arial" w:cs="Arial"/>
          <w:sz w:val="24"/>
          <w:szCs w:val="24"/>
        </w:rPr>
        <w:footnoteReference w:id="14"/>
      </w:r>
    </w:p>
    <w:p w14:paraId="393A0563" w14:textId="141FF1A7" w:rsidR="00CE0AE0" w:rsidRPr="00C7616D" w:rsidRDefault="00281F35" w:rsidP="00C7616D">
      <w:pPr>
        <w:autoSpaceDE w:val="0"/>
        <w:autoSpaceDN w:val="0"/>
        <w:adjustRightInd w:val="0"/>
        <w:spacing w:after="120" w:line="480" w:lineRule="auto"/>
        <w:jc w:val="both"/>
        <w:rPr>
          <w:rFonts w:ascii="Arial" w:hAnsi="Arial" w:cs="Arial"/>
          <w:sz w:val="24"/>
          <w:szCs w:val="24"/>
        </w:rPr>
      </w:pPr>
      <w:r>
        <w:rPr>
          <w:rFonts w:ascii="Arial" w:hAnsi="Arial" w:cs="Arial"/>
          <w:sz w:val="24"/>
          <w:szCs w:val="24"/>
        </w:rPr>
        <w:t>Thus, a</w:t>
      </w:r>
      <w:r w:rsidR="00E108E5">
        <w:rPr>
          <w:rFonts w:ascii="Arial" w:hAnsi="Arial" w:cs="Arial"/>
          <w:sz w:val="24"/>
          <w:szCs w:val="24"/>
        </w:rPr>
        <w:t xml:space="preserve">n exception to a corporate separation plan that continues indefinitely, “is </w:t>
      </w:r>
      <w:r w:rsidR="00E108E5" w:rsidRPr="00E108E5">
        <w:rPr>
          <w:rFonts w:ascii="Arial" w:hAnsi="Arial" w:cs="Arial"/>
          <w:sz w:val="24"/>
          <w:szCs w:val="24"/>
        </w:rPr>
        <w:t>not an “interim” corporate separation plan</w:t>
      </w:r>
      <w:r w:rsidR="00E108E5">
        <w:rPr>
          <w:rFonts w:ascii="Arial" w:hAnsi="Arial" w:cs="Arial"/>
          <w:sz w:val="24"/>
          <w:szCs w:val="24"/>
        </w:rPr>
        <w:t xml:space="preserve">.”  </w:t>
      </w:r>
      <w:r w:rsidR="00E108E5">
        <w:rPr>
          <w:rFonts w:ascii="Arial" w:hAnsi="Arial" w:cs="Arial"/>
          <w:i/>
          <w:sz w:val="24"/>
          <w:szCs w:val="24"/>
        </w:rPr>
        <w:t xml:space="preserve">Id.   </w:t>
      </w:r>
    </w:p>
    <w:p w14:paraId="3E15F5FF" w14:textId="3E356E9B" w:rsidR="005920BD" w:rsidRDefault="008F45C0" w:rsidP="00281F35">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Although the Court</w:t>
      </w:r>
      <w:r w:rsidRPr="00900767">
        <w:rPr>
          <w:rFonts w:ascii="Arial" w:hAnsi="Arial" w:cs="Arial"/>
          <w:sz w:val="24"/>
          <w:szCs w:val="24"/>
        </w:rPr>
        <w:t xml:space="preserve"> indicated that it was “admittedly skeptical as to how the commission could approve Duke’s amended plan under R.C. 4928.17(C) or (D</w:t>
      </w:r>
      <w:r>
        <w:rPr>
          <w:rFonts w:ascii="Arial" w:hAnsi="Arial" w:cs="Arial"/>
          <w:sz w:val="24"/>
          <w:szCs w:val="24"/>
        </w:rPr>
        <w:t>) based on the record . . . .”</w:t>
      </w:r>
      <w:r w:rsidR="0035393A">
        <w:rPr>
          <w:rStyle w:val="FootnoteReference"/>
          <w:rFonts w:ascii="Arial" w:hAnsi="Arial" w:cs="Arial"/>
          <w:sz w:val="24"/>
          <w:szCs w:val="24"/>
        </w:rPr>
        <w:footnoteReference w:id="15"/>
      </w:r>
      <w:proofErr w:type="gramStart"/>
      <w:r>
        <w:rPr>
          <w:rFonts w:ascii="Arial" w:hAnsi="Arial" w:cs="Arial"/>
          <w:sz w:val="24"/>
          <w:szCs w:val="24"/>
        </w:rPr>
        <w:t>,</w:t>
      </w:r>
      <w:proofErr w:type="gramEnd"/>
      <w:r>
        <w:rPr>
          <w:rFonts w:ascii="Arial" w:hAnsi="Arial" w:cs="Arial"/>
          <w:sz w:val="24"/>
          <w:szCs w:val="24"/>
        </w:rPr>
        <w:t xml:space="preserve"> the Court remanded the case to “resolve the meaning of </w:t>
      </w:r>
      <w:r w:rsidRPr="008F45C0">
        <w:rPr>
          <w:rFonts w:ascii="Arial" w:hAnsi="Arial" w:cs="Arial"/>
          <w:sz w:val="24"/>
          <w:szCs w:val="24"/>
        </w:rPr>
        <w:t>disputed language in R.C. 4928.17(C) or (D).”</w:t>
      </w:r>
      <w:r w:rsidR="0035393A">
        <w:rPr>
          <w:rStyle w:val="FootnoteReference"/>
          <w:rFonts w:ascii="Arial" w:hAnsi="Arial" w:cs="Arial"/>
          <w:sz w:val="24"/>
          <w:szCs w:val="24"/>
        </w:rPr>
        <w:footnoteReference w:id="16"/>
      </w:r>
      <w:r>
        <w:rPr>
          <w:rFonts w:ascii="Arial" w:hAnsi="Arial" w:cs="Arial"/>
          <w:sz w:val="24"/>
          <w:szCs w:val="24"/>
        </w:rPr>
        <w:t xml:space="preserve">  The Court determined that it was “reluctant to resolve the meaning of the disputed language in R.C. 4928.17(C) or (D) or to make findings under those provisions when the provisions were not first addressed by the commission in the proceedings below . . . .”</w:t>
      </w:r>
      <w:r w:rsidR="0035393A">
        <w:rPr>
          <w:rStyle w:val="FootnoteReference"/>
          <w:rFonts w:ascii="Arial" w:hAnsi="Arial" w:cs="Arial"/>
          <w:sz w:val="24"/>
          <w:szCs w:val="24"/>
        </w:rPr>
        <w:footnoteReference w:id="17"/>
      </w:r>
      <w:r w:rsidRPr="008F45C0">
        <w:rPr>
          <w:rFonts w:ascii="Arial" w:hAnsi="Arial" w:cs="Arial"/>
          <w:sz w:val="24"/>
          <w:szCs w:val="24"/>
        </w:rPr>
        <w:t xml:space="preserve">  </w:t>
      </w:r>
      <w:r>
        <w:rPr>
          <w:rFonts w:ascii="Arial" w:hAnsi="Arial" w:cs="Arial"/>
          <w:sz w:val="24"/>
          <w:szCs w:val="24"/>
        </w:rPr>
        <w:t>In the remand, the</w:t>
      </w:r>
      <w:r w:rsidRPr="008F45C0">
        <w:rPr>
          <w:rFonts w:ascii="Arial" w:hAnsi="Arial" w:cs="Arial"/>
          <w:sz w:val="24"/>
          <w:szCs w:val="24"/>
        </w:rPr>
        <w:t xml:space="preserve"> Court provided </w:t>
      </w:r>
      <w:r w:rsidR="007E6B59">
        <w:rPr>
          <w:rFonts w:ascii="Arial" w:hAnsi="Arial" w:cs="Arial"/>
          <w:sz w:val="24"/>
          <w:szCs w:val="24"/>
        </w:rPr>
        <w:t xml:space="preserve">the Commission with </w:t>
      </w:r>
      <w:r w:rsidRPr="008F45C0">
        <w:rPr>
          <w:rFonts w:ascii="Arial" w:hAnsi="Arial" w:cs="Arial"/>
          <w:sz w:val="24"/>
          <w:szCs w:val="24"/>
        </w:rPr>
        <w:t xml:space="preserve">specific “instructions to fully address IGS’s statutory arguments, to issue </w:t>
      </w:r>
      <w:r w:rsidRPr="008F45C0">
        <w:rPr>
          <w:rFonts w:ascii="Arial" w:hAnsi="Arial" w:cs="Arial"/>
          <w:sz w:val="24"/>
          <w:szCs w:val="24"/>
        </w:rPr>
        <w:lastRenderedPageBreak/>
        <w:t>findings that thoroughly explain how—if at all—Duke’s application complies with the specific relevant provisions in R.C. 4928.17.”</w:t>
      </w:r>
      <w:r w:rsidR="00C7616D">
        <w:rPr>
          <w:rStyle w:val="FootnoteReference"/>
          <w:rFonts w:ascii="Arial" w:hAnsi="Arial" w:cs="Arial"/>
          <w:sz w:val="24"/>
          <w:szCs w:val="24"/>
        </w:rPr>
        <w:footnoteReference w:id="18"/>
      </w:r>
      <w:r w:rsidRPr="008F45C0">
        <w:rPr>
          <w:rFonts w:ascii="Arial" w:hAnsi="Arial" w:cs="Arial"/>
          <w:sz w:val="24"/>
          <w:szCs w:val="24"/>
        </w:rPr>
        <w:t xml:space="preserve">  </w:t>
      </w:r>
    </w:p>
    <w:p w14:paraId="682BB308" w14:textId="17C13F05" w:rsidR="00CE0AE0" w:rsidRDefault="007E6B59" w:rsidP="007E6B59">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Although the Court did not specifically interpret Sections (C)</w:t>
      </w:r>
      <w:r w:rsidR="00E108E5">
        <w:rPr>
          <w:rStyle w:val="FootnoteReference"/>
          <w:rFonts w:ascii="Arial" w:hAnsi="Arial" w:cs="Arial"/>
          <w:sz w:val="24"/>
          <w:szCs w:val="24"/>
        </w:rPr>
        <w:footnoteReference w:id="19"/>
      </w:r>
      <w:r>
        <w:rPr>
          <w:rFonts w:ascii="Arial" w:hAnsi="Arial" w:cs="Arial"/>
          <w:sz w:val="24"/>
          <w:szCs w:val="24"/>
        </w:rPr>
        <w:t xml:space="preserve"> and (D)—prior to giving the Commission an opportunity</w:t>
      </w:r>
      <w:r w:rsidR="00E108E5">
        <w:rPr>
          <w:rFonts w:ascii="Arial" w:hAnsi="Arial" w:cs="Arial"/>
          <w:sz w:val="24"/>
          <w:szCs w:val="24"/>
        </w:rPr>
        <w:t xml:space="preserve"> to do so</w:t>
      </w:r>
      <w:r>
        <w:rPr>
          <w:rFonts w:ascii="Arial" w:hAnsi="Arial" w:cs="Arial"/>
          <w:sz w:val="24"/>
          <w:szCs w:val="24"/>
        </w:rPr>
        <w:t>—Justice Kennedy provided an interpretation of those sections separately in an opinion concurring in part and dissenting in part, which was joined by Justice Pfeiffer.</w:t>
      </w:r>
      <w:r>
        <w:rPr>
          <w:rStyle w:val="FootnoteReference"/>
          <w:rFonts w:ascii="Arial" w:hAnsi="Arial" w:cs="Arial"/>
          <w:sz w:val="24"/>
          <w:szCs w:val="24"/>
        </w:rPr>
        <w:footnoteReference w:id="20"/>
      </w:r>
      <w:r>
        <w:rPr>
          <w:rFonts w:ascii="Arial" w:hAnsi="Arial" w:cs="Arial"/>
          <w:sz w:val="24"/>
          <w:szCs w:val="24"/>
        </w:rPr>
        <w:t xml:space="preserve">  Interpreting the statute, Justice Kennedy stated</w:t>
      </w:r>
      <w:r w:rsidR="006B71D7">
        <w:rPr>
          <w:rFonts w:ascii="Arial" w:hAnsi="Arial" w:cs="Arial"/>
          <w:sz w:val="24"/>
          <w:szCs w:val="24"/>
        </w:rPr>
        <w:t xml:space="preserve"> that the General Assembly clearly did not intend fo</w:t>
      </w:r>
      <w:r w:rsidR="006B7A58">
        <w:rPr>
          <w:rFonts w:ascii="Arial" w:hAnsi="Arial" w:cs="Arial"/>
          <w:sz w:val="24"/>
          <w:szCs w:val="24"/>
        </w:rPr>
        <w:t>r EDUs to offer new competitive or non-electric services after restructuring—the exception was intended to provide a glide path toward deregulation:</w:t>
      </w:r>
    </w:p>
    <w:p w14:paraId="2214846B" w14:textId="5593213A" w:rsidR="00E108E5" w:rsidRDefault="007E6B59" w:rsidP="006B71D7">
      <w:pPr>
        <w:autoSpaceDE w:val="0"/>
        <w:autoSpaceDN w:val="0"/>
        <w:adjustRightInd w:val="0"/>
        <w:spacing w:after="0" w:line="240" w:lineRule="auto"/>
        <w:ind w:left="720" w:right="720"/>
        <w:jc w:val="both"/>
        <w:rPr>
          <w:rFonts w:ascii="Arial" w:hAnsi="Arial" w:cs="Arial"/>
          <w:sz w:val="24"/>
          <w:szCs w:val="24"/>
        </w:rPr>
      </w:pPr>
      <w:r w:rsidRPr="007E6B59">
        <w:rPr>
          <w:rFonts w:ascii="Arial" w:hAnsi="Arial" w:cs="Arial"/>
          <w:sz w:val="24"/>
          <w:szCs w:val="24"/>
        </w:rPr>
        <w:t>The wording of R.C. 4928.17(C) ma</w:t>
      </w:r>
      <w:r>
        <w:rPr>
          <w:rFonts w:ascii="Arial" w:hAnsi="Arial" w:cs="Arial"/>
          <w:sz w:val="24"/>
          <w:szCs w:val="24"/>
        </w:rPr>
        <w:t xml:space="preserve">kes clear that the intention of </w:t>
      </w:r>
      <w:r w:rsidRPr="007E6B59">
        <w:rPr>
          <w:rFonts w:ascii="Arial" w:hAnsi="Arial" w:cs="Arial"/>
          <w:sz w:val="24"/>
          <w:szCs w:val="24"/>
        </w:rPr>
        <w:t>the General Assembly, as codified in the statutes at</w:t>
      </w:r>
      <w:r>
        <w:rPr>
          <w:rFonts w:ascii="Arial" w:hAnsi="Arial" w:cs="Arial"/>
          <w:sz w:val="24"/>
          <w:szCs w:val="24"/>
        </w:rPr>
        <w:t xml:space="preserve"> issue in this case, was to aid </w:t>
      </w:r>
      <w:r w:rsidRPr="007E6B59">
        <w:rPr>
          <w:rFonts w:ascii="Arial" w:hAnsi="Arial" w:cs="Arial"/>
          <w:sz w:val="24"/>
          <w:szCs w:val="24"/>
        </w:rPr>
        <w:t>an incumbent electric utility in phasing in the requirements of electricity</w:t>
      </w:r>
      <w:r>
        <w:rPr>
          <w:rFonts w:ascii="Arial" w:hAnsi="Arial" w:cs="Arial"/>
          <w:sz w:val="24"/>
          <w:szCs w:val="24"/>
        </w:rPr>
        <w:t xml:space="preserve"> </w:t>
      </w:r>
      <w:r w:rsidRPr="007E6B59">
        <w:rPr>
          <w:rFonts w:ascii="Arial" w:hAnsi="Arial" w:cs="Arial"/>
          <w:sz w:val="24"/>
          <w:szCs w:val="24"/>
        </w:rPr>
        <w:t>deregulation by providing a process</w:t>
      </w:r>
      <w:r>
        <w:rPr>
          <w:rFonts w:ascii="Arial" w:hAnsi="Arial" w:cs="Arial"/>
          <w:sz w:val="24"/>
          <w:szCs w:val="24"/>
        </w:rPr>
        <w:t xml:space="preserve"> for unbundling competitive and </w:t>
      </w:r>
      <w:r w:rsidRPr="007E6B59">
        <w:rPr>
          <w:rFonts w:ascii="Arial" w:hAnsi="Arial" w:cs="Arial"/>
          <w:sz w:val="24"/>
          <w:szCs w:val="24"/>
        </w:rPr>
        <w:t>noncompetitive retail electric services over a period of time.</w:t>
      </w:r>
      <w:r w:rsidR="00CE0AE0" w:rsidRPr="00CE0AE0">
        <w:t xml:space="preserve"> </w:t>
      </w:r>
      <w:r w:rsidR="00CE0AE0">
        <w:rPr>
          <w:rFonts w:ascii="Arial" w:hAnsi="Arial" w:cs="Arial"/>
          <w:sz w:val="24"/>
          <w:szCs w:val="24"/>
        </w:rPr>
        <w:t xml:space="preserve">It was not the </w:t>
      </w:r>
      <w:r w:rsidR="00CE0AE0" w:rsidRPr="00CE0AE0">
        <w:rPr>
          <w:rFonts w:ascii="Arial" w:hAnsi="Arial" w:cs="Arial"/>
          <w:sz w:val="24"/>
          <w:szCs w:val="24"/>
        </w:rPr>
        <w:t xml:space="preserve">intention of the General Assembly to </w:t>
      </w:r>
      <w:r w:rsidR="00CE0AE0">
        <w:rPr>
          <w:rFonts w:ascii="Arial" w:hAnsi="Arial" w:cs="Arial"/>
          <w:sz w:val="24"/>
          <w:szCs w:val="24"/>
        </w:rPr>
        <w:t xml:space="preserve">permit a business that supplies </w:t>
      </w:r>
      <w:r w:rsidR="00CE0AE0" w:rsidRPr="00CE0AE0">
        <w:rPr>
          <w:rFonts w:ascii="Arial" w:hAnsi="Arial" w:cs="Arial"/>
          <w:sz w:val="24"/>
          <w:szCs w:val="24"/>
        </w:rPr>
        <w:t>noncompetitive retail electric services to, in effect,</w:t>
      </w:r>
      <w:r w:rsidR="00CE0AE0">
        <w:rPr>
          <w:rFonts w:ascii="Arial" w:hAnsi="Arial" w:cs="Arial"/>
          <w:sz w:val="24"/>
          <w:szCs w:val="24"/>
        </w:rPr>
        <w:t xml:space="preserve"> “</w:t>
      </w:r>
      <w:proofErr w:type="spellStart"/>
      <w:r w:rsidR="00CE0AE0">
        <w:rPr>
          <w:rFonts w:ascii="Arial" w:hAnsi="Arial" w:cs="Arial"/>
          <w:sz w:val="24"/>
          <w:szCs w:val="24"/>
        </w:rPr>
        <w:t>rebundle</w:t>
      </w:r>
      <w:proofErr w:type="spellEnd"/>
      <w:r w:rsidR="00CE0AE0">
        <w:rPr>
          <w:rFonts w:ascii="Arial" w:hAnsi="Arial" w:cs="Arial"/>
          <w:sz w:val="24"/>
          <w:szCs w:val="24"/>
        </w:rPr>
        <w:t xml:space="preserve">” in order to provide </w:t>
      </w:r>
      <w:r w:rsidR="00CE0AE0" w:rsidRPr="00CE0AE0">
        <w:rPr>
          <w:rFonts w:ascii="Arial" w:hAnsi="Arial" w:cs="Arial"/>
          <w:sz w:val="24"/>
          <w:szCs w:val="24"/>
        </w:rPr>
        <w:t>new nonelectric products and services that are r</w:t>
      </w:r>
      <w:r w:rsidR="00CE0AE0">
        <w:rPr>
          <w:rFonts w:ascii="Arial" w:hAnsi="Arial" w:cs="Arial"/>
          <w:sz w:val="24"/>
          <w:szCs w:val="24"/>
        </w:rPr>
        <w:t xml:space="preserve">equired to be offered through a </w:t>
      </w:r>
      <w:r w:rsidR="00CE0AE0" w:rsidRPr="00CE0AE0">
        <w:rPr>
          <w:rFonts w:ascii="Arial" w:hAnsi="Arial" w:cs="Arial"/>
          <w:sz w:val="24"/>
          <w:szCs w:val="24"/>
        </w:rPr>
        <w:t>fully separate affiliate.</w:t>
      </w:r>
      <w:r w:rsidR="0035393A">
        <w:rPr>
          <w:rStyle w:val="FootnoteReference"/>
          <w:rFonts w:ascii="Arial" w:hAnsi="Arial" w:cs="Arial"/>
          <w:sz w:val="24"/>
          <w:szCs w:val="24"/>
        </w:rPr>
        <w:footnoteReference w:id="21"/>
      </w:r>
    </w:p>
    <w:p w14:paraId="7207FB91" w14:textId="77777777" w:rsidR="006B71D7" w:rsidRDefault="006B71D7" w:rsidP="006B71D7">
      <w:pPr>
        <w:autoSpaceDE w:val="0"/>
        <w:autoSpaceDN w:val="0"/>
        <w:adjustRightInd w:val="0"/>
        <w:spacing w:after="0" w:line="240" w:lineRule="auto"/>
        <w:ind w:left="720" w:right="720"/>
        <w:jc w:val="both"/>
        <w:rPr>
          <w:rFonts w:ascii="Arial" w:hAnsi="Arial" w:cs="Arial"/>
          <w:sz w:val="24"/>
          <w:szCs w:val="24"/>
        </w:rPr>
      </w:pPr>
    </w:p>
    <w:p w14:paraId="1326794E" w14:textId="55239E2C" w:rsidR="00AE23F0" w:rsidRDefault="00AE23F0" w:rsidP="00AE23F0">
      <w:pPr>
        <w:autoSpaceDE w:val="0"/>
        <w:autoSpaceDN w:val="0"/>
        <w:adjustRightInd w:val="0"/>
        <w:spacing w:after="120" w:line="480" w:lineRule="auto"/>
        <w:jc w:val="both"/>
        <w:rPr>
          <w:rFonts w:ascii="Arial" w:hAnsi="Arial" w:cs="Arial"/>
          <w:sz w:val="24"/>
          <w:szCs w:val="24"/>
        </w:rPr>
      </w:pPr>
      <w:r>
        <w:rPr>
          <w:rFonts w:ascii="Arial" w:hAnsi="Arial" w:cs="Arial"/>
          <w:sz w:val="24"/>
          <w:szCs w:val="24"/>
        </w:rPr>
        <w:t>Given the temporary and nature of the exception in section (C), Justice Kennedy averred that the provision cannot be utilized to move backward in the restructuring and unbundling process:</w:t>
      </w:r>
    </w:p>
    <w:p w14:paraId="59E1D3DC" w14:textId="65C68582" w:rsidR="00AE23F0" w:rsidRDefault="00AE23F0" w:rsidP="00281F35">
      <w:pPr>
        <w:autoSpaceDE w:val="0"/>
        <w:autoSpaceDN w:val="0"/>
        <w:adjustRightInd w:val="0"/>
        <w:spacing w:after="120" w:line="240" w:lineRule="auto"/>
        <w:ind w:left="720" w:right="720"/>
        <w:jc w:val="both"/>
        <w:rPr>
          <w:rFonts w:ascii="Arial" w:hAnsi="Arial" w:cs="Arial"/>
          <w:sz w:val="24"/>
          <w:szCs w:val="24"/>
        </w:rPr>
      </w:pPr>
      <w:r w:rsidRPr="00AE23F0">
        <w:rPr>
          <w:rFonts w:ascii="Arial" w:hAnsi="Arial" w:cs="Arial"/>
          <w:sz w:val="24"/>
          <w:szCs w:val="24"/>
        </w:rPr>
        <w:lastRenderedPageBreak/>
        <w:t>Accordingly, R.C. 4928.17(C) does not permit a utility supplying a</w:t>
      </w:r>
      <w:r>
        <w:rPr>
          <w:rFonts w:ascii="Arial" w:hAnsi="Arial" w:cs="Arial"/>
          <w:sz w:val="24"/>
          <w:szCs w:val="24"/>
        </w:rPr>
        <w:t xml:space="preserve"> </w:t>
      </w:r>
      <w:r w:rsidRPr="00AE23F0">
        <w:rPr>
          <w:rFonts w:ascii="Arial" w:hAnsi="Arial" w:cs="Arial"/>
          <w:sz w:val="24"/>
          <w:szCs w:val="24"/>
        </w:rPr>
        <w:t>noncompetitive retail electric service to modi</w:t>
      </w:r>
      <w:r>
        <w:rPr>
          <w:rFonts w:ascii="Arial" w:hAnsi="Arial" w:cs="Arial"/>
          <w:sz w:val="24"/>
          <w:szCs w:val="24"/>
        </w:rPr>
        <w:t xml:space="preserve">fy an approved plan in order to </w:t>
      </w:r>
      <w:r w:rsidRPr="00AE23F0">
        <w:rPr>
          <w:rFonts w:ascii="Arial" w:hAnsi="Arial" w:cs="Arial"/>
          <w:sz w:val="24"/>
          <w:szCs w:val="24"/>
        </w:rPr>
        <w:t>provide new nonelectric products and services wit</w:t>
      </w:r>
      <w:r>
        <w:rPr>
          <w:rFonts w:ascii="Arial" w:hAnsi="Arial" w:cs="Arial"/>
          <w:sz w:val="24"/>
          <w:szCs w:val="24"/>
        </w:rPr>
        <w:t xml:space="preserve">h no intention of supplying the </w:t>
      </w:r>
      <w:r w:rsidRPr="00AE23F0">
        <w:rPr>
          <w:rFonts w:ascii="Arial" w:hAnsi="Arial" w:cs="Arial"/>
          <w:sz w:val="24"/>
          <w:szCs w:val="24"/>
        </w:rPr>
        <w:t>products and services through a fully separated aff</w:t>
      </w:r>
      <w:r>
        <w:rPr>
          <w:rFonts w:ascii="Arial" w:hAnsi="Arial" w:cs="Arial"/>
          <w:sz w:val="24"/>
          <w:szCs w:val="24"/>
        </w:rPr>
        <w:t xml:space="preserve">iliate of the utility. To find </w:t>
      </w:r>
      <w:r w:rsidRPr="00AE23F0">
        <w:rPr>
          <w:rFonts w:ascii="Arial" w:hAnsi="Arial" w:cs="Arial"/>
          <w:sz w:val="24"/>
          <w:szCs w:val="24"/>
        </w:rPr>
        <w:t>otherwise fails to give effect to the Genera</w:t>
      </w:r>
      <w:r>
        <w:rPr>
          <w:rFonts w:ascii="Arial" w:hAnsi="Arial" w:cs="Arial"/>
          <w:sz w:val="24"/>
          <w:szCs w:val="24"/>
        </w:rPr>
        <w:t xml:space="preserve">l Assembly’s choice of the word </w:t>
      </w:r>
      <w:r w:rsidRPr="00AE23F0">
        <w:rPr>
          <w:rFonts w:ascii="Arial" w:hAnsi="Arial" w:cs="Arial"/>
          <w:sz w:val="24"/>
          <w:szCs w:val="24"/>
        </w:rPr>
        <w:t>“interim” in R.C. 4928.17(C) and allows th</w:t>
      </w:r>
      <w:r>
        <w:rPr>
          <w:rFonts w:ascii="Arial" w:hAnsi="Arial" w:cs="Arial"/>
          <w:sz w:val="24"/>
          <w:szCs w:val="24"/>
        </w:rPr>
        <w:t xml:space="preserve">e temporary reprieve permitting </w:t>
      </w:r>
      <w:r w:rsidRPr="00AE23F0">
        <w:rPr>
          <w:rFonts w:ascii="Arial" w:hAnsi="Arial" w:cs="Arial"/>
          <w:sz w:val="24"/>
          <w:szCs w:val="24"/>
        </w:rPr>
        <w:t>noncompliance to become so large that it swallows the rule set forth in R.C.</w:t>
      </w:r>
      <w:r>
        <w:rPr>
          <w:rFonts w:ascii="Arial" w:hAnsi="Arial" w:cs="Arial"/>
          <w:sz w:val="24"/>
          <w:szCs w:val="24"/>
        </w:rPr>
        <w:t xml:space="preserve"> </w:t>
      </w:r>
      <w:r w:rsidRPr="00AE23F0">
        <w:rPr>
          <w:rFonts w:ascii="Arial" w:hAnsi="Arial" w:cs="Arial"/>
          <w:sz w:val="24"/>
          <w:szCs w:val="24"/>
        </w:rPr>
        <w:t>4928.17(A).</w:t>
      </w:r>
      <w:r w:rsidR="00D222E8">
        <w:rPr>
          <w:rStyle w:val="FootnoteReference"/>
          <w:rFonts w:ascii="Arial" w:hAnsi="Arial" w:cs="Arial"/>
          <w:sz w:val="24"/>
          <w:szCs w:val="24"/>
        </w:rPr>
        <w:footnoteReference w:id="22"/>
      </w:r>
    </w:p>
    <w:p w14:paraId="099DAFB1" w14:textId="336B0D9A" w:rsidR="00AE23F0" w:rsidRPr="008F45C0" w:rsidRDefault="00AE23F0" w:rsidP="006B7A58">
      <w:pPr>
        <w:autoSpaceDE w:val="0"/>
        <w:autoSpaceDN w:val="0"/>
        <w:adjustRightInd w:val="0"/>
        <w:spacing w:after="120" w:line="480" w:lineRule="auto"/>
        <w:jc w:val="both"/>
        <w:rPr>
          <w:rFonts w:ascii="Arial" w:hAnsi="Arial" w:cs="Arial"/>
          <w:sz w:val="24"/>
          <w:szCs w:val="24"/>
        </w:rPr>
      </w:pPr>
      <w:r>
        <w:rPr>
          <w:rFonts w:ascii="Arial" w:hAnsi="Arial" w:cs="Arial"/>
          <w:sz w:val="24"/>
          <w:szCs w:val="24"/>
        </w:rPr>
        <w:t>This conclusion, she determined, is consistent with the State Policy in R.C. 4928.02, which requires the Commission to “[e]</w:t>
      </w:r>
      <w:proofErr w:type="spellStart"/>
      <w:r>
        <w:rPr>
          <w:rFonts w:ascii="Arial" w:hAnsi="Arial" w:cs="Arial"/>
          <w:sz w:val="24"/>
          <w:szCs w:val="24"/>
        </w:rPr>
        <w:t>nsure</w:t>
      </w:r>
      <w:proofErr w:type="spellEnd"/>
      <w:r>
        <w:rPr>
          <w:rFonts w:ascii="Arial" w:hAnsi="Arial" w:cs="Arial"/>
          <w:sz w:val="24"/>
          <w:szCs w:val="24"/>
        </w:rPr>
        <w:t xml:space="preserve"> the availability of unbundled and comp</w:t>
      </w:r>
      <w:r w:rsidR="0035393A">
        <w:rPr>
          <w:rFonts w:ascii="Arial" w:hAnsi="Arial" w:cs="Arial"/>
          <w:sz w:val="24"/>
          <w:szCs w:val="24"/>
        </w:rPr>
        <w:t>arable retail electric services”</w:t>
      </w:r>
      <w:r>
        <w:rPr>
          <w:rFonts w:ascii="Arial" w:hAnsi="Arial" w:cs="Arial"/>
          <w:sz w:val="24"/>
          <w:szCs w:val="24"/>
        </w:rPr>
        <w:t xml:space="preserve"> as well as </w:t>
      </w:r>
      <w:r w:rsidR="006B71D7">
        <w:rPr>
          <w:rFonts w:ascii="Arial" w:hAnsi="Arial" w:cs="Arial"/>
          <w:sz w:val="24"/>
          <w:szCs w:val="24"/>
        </w:rPr>
        <w:t>“effective competition in the provision of retail electric service by avoiding anticompetitive subsidies flowing from a noncompetitive retail electric service . . . to a product or service other than retail electric service . . . .”</w:t>
      </w:r>
      <w:r w:rsidR="00D222E8">
        <w:rPr>
          <w:rStyle w:val="FootnoteReference"/>
          <w:rFonts w:ascii="Arial" w:hAnsi="Arial" w:cs="Arial"/>
          <w:sz w:val="24"/>
          <w:szCs w:val="24"/>
        </w:rPr>
        <w:footnoteReference w:id="23"/>
      </w:r>
      <w:r w:rsidR="00D222E8">
        <w:rPr>
          <w:rFonts w:ascii="Arial" w:hAnsi="Arial" w:cs="Arial"/>
          <w:sz w:val="24"/>
          <w:szCs w:val="24"/>
        </w:rPr>
        <w:t xml:space="preserve"> </w:t>
      </w:r>
      <w:r w:rsidR="006B71D7">
        <w:rPr>
          <w:rFonts w:ascii="Arial" w:hAnsi="Arial" w:cs="Arial"/>
          <w:sz w:val="24"/>
          <w:szCs w:val="24"/>
        </w:rPr>
        <w:t xml:space="preserve"> In conclusion, Justice Kennedy determined that “</w:t>
      </w:r>
      <w:r w:rsidR="006B71D7" w:rsidRPr="006B71D7">
        <w:rPr>
          <w:rFonts w:ascii="Arial" w:hAnsi="Arial" w:cs="Arial"/>
          <w:sz w:val="24"/>
          <w:szCs w:val="24"/>
        </w:rPr>
        <w:t>Therefore, any order issued pursuan</w:t>
      </w:r>
      <w:r w:rsidR="006B71D7">
        <w:rPr>
          <w:rFonts w:ascii="Arial" w:hAnsi="Arial" w:cs="Arial"/>
          <w:sz w:val="24"/>
          <w:szCs w:val="24"/>
        </w:rPr>
        <w:t xml:space="preserve">t to R.C. 4928.17(C) must be in </w:t>
      </w:r>
      <w:r w:rsidR="006B71D7" w:rsidRPr="006B71D7">
        <w:rPr>
          <w:rFonts w:ascii="Arial" w:hAnsi="Arial" w:cs="Arial"/>
          <w:sz w:val="24"/>
          <w:szCs w:val="24"/>
        </w:rPr>
        <w:t>harmony with these policies, working toward the ultimate goal of deregulation.</w:t>
      </w:r>
      <w:r w:rsidR="006B71D7">
        <w:rPr>
          <w:rFonts w:ascii="Arial" w:hAnsi="Arial" w:cs="Arial"/>
          <w:sz w:val="24"/>
          <w:szCs w:val="24"/>
        </w:rPr>
        <w:t>”</w:t>
      </w:r>
      <w:r w:rsidR="00D222E8">
        <w:rPr>
          <w:rStyle w:val="FootnoteReference"/>
          <w:rFonts w:ascii="Arial" w:hAnsi="Arial" w:cs="Arial"/>
          <w:sz w:val="24"/>
          <w:szCs w:val="24"/>
        </w:rPr>
        <w:footnoteReference w:id="24"/>
      </w:r>
    </w:p>
    <w:p w14:paraId="64F1FCF1" w14:textId="0FB477FE" w:rsidR="006B7A58" w:rsidRDefault="0096008A" w:rsidP="006B7A58">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On June 14, 2017, the Commission issued its Order on Remand resolving the outstandi</w:t>
      </w:r>
      <w:r w:rsidR="006B71D7">
        <w:rPr>
          <w:rFonts w:ascii="Arial" w:hAnsi="Arial" w:cs="Arial"/>
          <w:sz w:val="24"/>
          <w:szCs w:val="24"/>
        </w:rPr>
        <w:t>ng issues remanded by the Court related to sections (C) and (D).  The Order on Remand stated, based</w:t>
      </w:r>
      <w:r>
        <w:rPr>
          <w:rFonts w:ascii="Arial" w:hAnsi="Arial" w:cs="Arial"/>
          <w:sz w:val="24"/>
          <w:szCs w:val="24"/>
        </w:rPr>
        <w:t xml:space="preserve"> “</w:t>
      </w:r>
      <w:r w:rsidR="006B71D7">
        <w:rPr>
          <w:rFonts w:ascii="Arial" w:hAnsi="Arial" w:cs="Arial"/>
          <w:sz w:val="24"/>
          <w:szCs w:val="24"/>
        </w:rPr>
        <w:t>[u]</w:t>
      </w:r>
      <w:proofErr w:type="spellStart"/>
      <w:r>
        <w:rPr>
          <w:rFonts w:ascii="Arial" w:hAnsi="Arial" w:cs="Arial"/>
          <w:sz w:val="24"/>
          <w:szCs w:val="24"/>
        </w:rPr>
        <w:t>pon</w:t>
      </w:r>
      <w:proofErr w:type="spellEnd"/>
      <w:r>
        <w:rPr>
          <w:rFonts w:ascii="Arial" w:hAnsi="Arial" w:cs="Arial"/>
          <w:sz w:val="24"/>
          <w:szCs w:val="24"/>
        </w:rPr>
        <w:t xml:space="preserve"> a reexamination of the record in this case, and in light of the Supreme Court’s decision in the matter, the Commission finds that Duke’s proposed amended plan does not comply with R.C. 4928.17.”</w:t>
      </w:r>
      <w:r w:rsidR="00D222E8">
        <w:rPr>
          <w:rStyle w:val="FootnoteReference"/>
          <w:rFonts w:ascii="Arial" w:hAnsi="Arial" w:cs="Arial"/>
          <w:sz w:val="24"/>
          <w:szCs w:val="24"/>
        </w:rPr>
        <w:footnoteReference w:id="25"/>
      </w:r>
      <w:r>
        <w:rPr>
          <w:rFonts w:ascii="Arial" w:hAnsi="Arial" w:cs="Arial"/>
          <w:sz w:val="24"/>
          <w:szCs w:val="24"/>
        </w:rPr>
        <w:t xml:space="preserve">  </w:t>
      </w:r>
      <w:r w:rsidR="006B7A58">
        <w:rPr>
          <w:rFonts w:ascii="Arial" w:hAnsi="Arial" w:cs="Arial"/>
          <w:sz w:val="24"/>
          <w:szCs w:val="24"/>
        </w:rPr>
        <w:t>In considering the Court</w:t>
      </w:r>
      <w:r w:rsidR="00E56845">
        <w:rPr>
          <w:rFonts w:ascii="Arial" w:hAnsi="Arial" w:cs="Arial"/>
          <w:sz w:val="24"/>
          <w:szCs w:val="24"/>
        </w:rPr>
        <w:t>’s instruction</w:t>
      </w:r>
      <w:r w:rsidR="006B7A58">
        <w:rPr>
          <w:rFonts w:ascii="Arial" w:hAnsi="Arial" w:cs="Arial"/>
          <w:sz w:val="24"/>
          <w:szCs w:val="24"/>
        </w:rPr>
        <w:t xml:space="preserve"> “</w:t>
      </w:r>
      <w:r w:rsidR="006B7A58" w:rsidRPr="006B7A58">
        <w:rPr>
          <w:rFonts w:ascii="Arial" w:hAnsi="Arial" w:cs="Arial"/>
          <w:sz w:val="24"/>
          <w:szCs w:val="24"/>
        </w:rPr>
        <w:t xml:space="preserve">to issue findings that thoroughly explain how—if at all—Duke’s application </w:t>
      </w:r>
      <w:r w:rsidR="006B7A58" w:rsidRPr="006B7A58">
        <w:rPr>
          <w:rFonts w:ascii="Arial" w:hAnsi="Arial" w:cs="Arial"/>
          <w:sz w:val="24"/>
          <w:szCs w:val="24"/>
        </w:rPr>
        <w:lastRenderedPageBreak/>
        <w:t>complies with the specific rele</w:t>
      </w:r>
      <w:r w:rsidR="006B7A58">
        <w:rPr>
          <w:rFonts w:ascii="Arial" w:hAnsi="Arial" w:cs="Arial"/>
          <w:sz w:val="24"/>
          <w:szCs w:val="24"/>
        </w:rPr>
        <w:t>vant provisions in R.C. 4928.17,</w:t>
      </w:r>
      <w:r w:rsidR="006B7A58" w:rsidRPr="006B7A58">
        <w:rPr>
          <w:rFonts w:ascii="Arial" w:hAnsi="Arial" w:cs="Arial"/>
          <w:sz w:val="24"/>
          <w:szCs w:val="24"/>
        </w:rPr>
        <w:t>”</w:t>
      </w:r>
      <w:r w:rsidR="00D222E8">
        <w:rPr>
          <w:rStyle w:val="FootnoteReference"/>
          <w:rFonts w:ascii="Arial" w:hAnsi="Arial" w:cs="Arial"/>
          <w:sz w:val="24"/>
          <w:szCs w:val="24"/>
        </w:rPr>
        <w:footnoteReference w:id="26"/>
      </w:r>
      <w:r w:rsidR="006B7A58">
        <w:rPr>
          <w:rFonts w:ascii="Arial" w:hAnsi="Arial" w:cs="Arial"/>
          <w:sz w:val="24"/>
          <w:szCs w:val="24"/>
        </w:rPr>
        <w:t xml:space="preserve"> the Commission found that Justice Kennedy’s interpretation of R.C. 4928.17(C) and (D) had merit.  The Order on Remand stated, “</w:t>
      </w:r>
      <w:r w:rsidR="00105DE7">
        <w:rPr>
          <w:rFonts w:ascii="Arial" w:hAnsi="Arial" w:cs="Arial"/>
          <w:sz w:val="24"/>
          <w:szCs w:val="24"/>
        </w:rPr>
        <w:t>Justice Kenn</w:t>
      </w:r>
      <w:r w:rsidR="006B7A58" w:rsidRPr="006B7A58">
        <w:rPr>
          <w:rFonts w:ascii="Arial" w:hAnsi="Arial" w:cs="Arial"/>
          <w:sz w:val="24"/>
          <w:szCs w:val="24"/>
        </w:rPr>
        <w:t>edy avers Duke's proposal sho</w:t>
      </w:r>
      <w:r w:rsidR="006B7A58">
        <w:rPr>
          <w:rFonts w:ascii="Arial" w:hAnsi="Arial" w:cs="Arial"/>
          <w:sz w:val="24"/>
          <w:szCs w:val="24"/>
        </w:rPr>
        <w:t xml:space="preserve">uld not be permitted as it runs </w:t>
      </w:r>
      <w:r w:rsidR="006B7A58" w:rsidRPr="006B7A58">
        <w:rPr>
          <w:rFonts w:ascii="Arial" w:hAnsi="Arial" w:cs="Arial"/>
          <w:sz w:val="24"/>
          <w:szCs w:val="24"/>
        </w:rPr>
        <w:t>counter to the state's ultimate goal of deregulation. According to Justice Kennedy, Duke's</w:t>
      </w:r>
      <w:r w:rsidR="006B7A58">
        <w:rPr>
          <w:rFonts w:ascii="Arial" w:hAnsi="Arial" w:cs="Arial"/>
          <w:sz w:val="24"/>
          <w:szCs w:val="24"/>
        </w:rPr>
        <w:t xml:space="preserve"> </w:t>
      </w:r>
      <w:r w:rsidR="006B7A58" w:rsidRPr="006B7A58">
        <w:rPr>
          <w:rFonts w:ascii="Arial" w:hAnsi="Arial" w:cs="Arial"/>
          <w:sz w:val="24"/>
          <w:szCs w:val="24"/>
        </w:rPr>
        <w:t xml:space="preserve">request is an attempt to </w:t>
      </w:r>
      <w:proofErr w:type="spellStart"/>
      <w:r w:rsidR="006B7A58" w:rsidRPr="006B7A58">
        <w:rPr>
          <w:rFonts w:ascii="Arial" w:hAnsi="Arial" w:cs="Arial"/>
          <w:sz w:val="24"/>
          <w:szCs w:val="24"/>
        </w:rPr>
        <w:t>rebundle</w:t>
      </w:r>
      <w:proofErr w:type="spellEnd"/>
      <w:r w:rsidR="006B7A58" w:rsidRPr="006B7A58">
        <w:rPr>
          <w:rFonts w:ascii="Arial" w:hAnsi="Arial" w:cs="Arial"/>
          <w:sz w:val="24"/>
          <w:szCs w:val="24"/>
        </w:rPr>
        <w:t xml:space="preserve"> services and is the inverse of what the General Assembly</w:t>
      </w:r>
      <w:r w:rsidR="006B7A58">
        <w:rPr>
          <w:rFonts w:ascii="Arial" w:hAnsi="Arial" w:cs="Arial"/>
          <w:sz w:val="24"/>
          <w:szCs w:val="24"/>
        </w:rPr>
        <w:t xml:space="preserve"> </w:t>
      </w:r>
      <w:r w:rsidR="006B7A58" w:rsidRPr="006B7A58">
        <w:rPr>
          <w:rFonts w:ascii="Arial" w:hAnsi="Arial" w:cs="Arial"/>
          <w:sz w:val="24"/>
          <w:szCs w:val="24"/>
        </w:rPr>
        <w:t>intended with R.C.</w:t>
      </w:r>
      <w:r w:rsidR="00105DE7">
        <w:rPr>
          <w:rFonts w:ascii="Arial" w:hAnsi="Arial" w:cs="Arial"/>
          <w:sz w:val="24"/>
          <w:szCs w:val="24"/>
        </w:rPr>
        <w:t xml:space="preserve"> 4928.17(C). (Duke Opinion at </w:t>
      </w:r>
      <w:r w:rsidR="006B7A58" w:rsidRPr="006B7A58">
        <w:rPr>
          <w:rFonts w:ascii="Arial" w:hAnsi="Arial" w:cs="Arial"/>
          <w:sz w:val="24"/>
          <w:szCs w:val="24"/>
        </w:rPr>
        <w:t xml:space="preserve">34, 46-50.) </w:t>
      </w:r>
      <w:r w:rsidR="006B7A58" w:rsidRPr="006B7A58">
        <w:rPr>
          <w:rFonts w:ascii="Arial" w:hAnsi="Arial" w:cs="Arial"/>
          <w:b/>
          <w:i/>
          <w:sz w:val="24"/>
          <w:szCs w:val="24"/>
        </w:rPr>
        <w:t>In retrospect, we agree</w:t>
      </w:r>
      <w:r w:rsidR="006B7A58" w:rsidRPr="006B7A58">
        <w:rPr>
          <w:rFonts w:ascii="Arial" w:hAnsi="Arial" w:cs="Arial"/>
          <w:sz w:val="24"/>
          <w:szCs w:val="24"/>
        </w:rPr>
        <w:t>.</w:t>
      </w:r>
      <w:r w:rsidR="006B7A58">
        <w:rPr>
          <w:rFonts w:ascii="Arial" w:hAnsi="Arial" w:cs="Arial"/>
          <w:sz w:val="24"/>
          <w:szCs w:val="24"/>
        </w:rPr>
        <w:t>”</w:t>
      </w:r>
      <w:r w:rsidR="00D222E8">
        <w:rPr>
          <w:rStyle w:val="FootnoteReference"/>
          <w:rFonts w:ascii="Arial" w:hAnsi="Arial" w:cs="Arial"/>
          <w:sz w:val="24"/>
          <w:szCs w:val="24"/>
        </w:rPr>
        <w:footnoteReference w:id="27"/>
      </w:r>
      <w:r w:rsidR="00DC4485">
        <w:rPr>
          <w:rFonts w:ascii="Arial" w:hAnsi="Arial" w:cs="Arial"/>
          <w:sz w:val="24"/>
          <w:szCs w:val="24"/>
        </w:rPr>
        <w:t xml:space="preserve">  </w:t>
      </w:r>
    </w:p>
    <w:p w14:paraId="05D0A601" w14:textId="584DB51E" w:rsidR="006B7A58" w:rsidRDefault="006B7A58" w:rsidP="006B7A58">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Indeed, the Order on Remand </w:t>
      </w:r>
      <w:r w:rsidR="008A0972">
        <w:rPr>
          <w:rFonts w:ascii="Arial" w:hAnsi="Arial" w:cs="Arial"/>
          <w:sz w:val="24"/>
          <w:szCs w:val="24"/>
        </w:rPr>
        <w:t>specifically states that the Commission accept</w:t>
      </w:r>
      <w:r w:rsidR="00BF1FEF">
        <w:rPr>
          <w:rFonts w:ascii="Arial" w:hAnsi="Arial" w:cs="Arial"/>
          <w:sz w:val="24"/>
          <w:szCs w:val="24"/>
        </w:rPr>
        <w:t>ed</w:t>
      </w:r>
      <w:r w:rsidR="008A0972">
        <w:rPr>
          <w:rFonts w:ascii="Arial" w:hAnsi="Arial" w:cs="Arial"/>
          <w:sz w:val="24"/>
          <w:szCs w:val="24"/>
        </w:rPr>
        <w:t xml:space="preserve"> Justice Kennedy’s opinion as its own, and based upon citations to the record evidence, Duke’s Application cannot be authorized under R.C. 4928.17(C):</w:t>
      </w:r>
    </w:p>
    <w:p w14:paraId="5CD25C95" w14:textId="5CC8E8E3" w:rsidR="00DC7237" w:rsidRDefault="008A0972" w:rsidP="00D61953">
      <w:pPr>
        <w:autoSpaceDE w:val="0"/>
        <w:autoSpaceDN w:val="0"/>
        <w:adjustRightInd w:val="0"/>
        <w:spacing w:after="120" w:line="240" w:lineRule="auto"/>
        <w:ind w:left="720" w:right="720" w:firstLine="720"/>
        <w:jc w:val="both"/>
        <w:rPr>
          <w:rFonts w:ascii="Arial" w:hAnsi="Arial" w:cs="Arial"/>
          <w:sz w:val="24"/>
          <w:szCs w:val="24"/>
        </w:rPr>
      </w:pPr>
      <w:r w:rsidRPr="008A0972">
        <w:rPr>
          <w:rFonts w:ascii="Arial" w:hAnsi="Arial" w:cs="Arial"/>
          <w:sz w:val="24"/>
          <w:szCs w:val="24"/>
        </w:rPr>
        <w:t>Initially, we note that Duke's request does no</w:t>
      </w:r>
      <w:r>
        <w:rPr>
          <w:rFonts w:ascii="Arial" w:hAnsi="Arial" w:cs="Arial"/>
          <w:sz w:val="24"/>
          <w:szCs w:val="24"/>
        </w:rPr>
        <w:t xml:space="preserve">t comply with 4928.17(A) as the </w:t>
      </w:r>
      <w:r w:rsidRPr="008A0972">
        <w:rPr>
          <w:rFonts w:ascii="Arial" w:hAnsi="Arial" w:cs="Arial"/>
          <w:sz w:val="24"/>
          <w:szCs w:val="24"/>
        </w:rPr>
        <w:t>Company admittedly is not seeking to offer nonelectric products through an affiliate (Duke</w:t>
      </w:r>
      <w:r>
        <w:rPr>
          <w:rFonts w:ascii="Arial" w:hAnsi="Arial" w:cs="Arial"/>
          <w:sz w:val="24"/>
          <w:szCs w:val="24"/>
        </w:rPr>
        <w:t xml:space="preserve"> </w:t>
      </w:r>
      <w:r w:rsidRPr="008A0972">
        <w:rPr>
          <w:rFonts w:ascii="Arial" w:hAnsi="Arial" w:cs="Arial"/>
          <w:sz w:val="24"/>
          <w:szCs w:val="24"/>
        </w:rPr>
        <w:t xml:space="preserve">reply comments </w:t>
      </w:r>
      <w:r>
        <w:rPr>
          <w:rFonts w:ascii="Arial" w:hAnsi="Arial" w:cs="Arial"/>
          <w:sz w:val="24"/>
          <w:szCs w:val="24"/>
        </w:rPr>
        <w:t>at 5). In accepting Justice Kenn</w:t>
      </w:r>
      <w:r w:rsidRPr="008A0972">
        <w:rPr>
          <w:rFonts w:ascii="Arial" w:hAnsi="Arial" w:cs="Arial"/>
          <w:sz w:val="24"/>
          <w:szCs w:val="24"/>
        </w:rPr>
        <w:t>edy's opinion, we concur that Duke's</w:t>
      </w:r>
      <w:r>
        <w:rPr>
          <w:rFonts w:ascii="Arial" w:hAnsi="Arial" w:cs="Arial"/>
          <w:sz w:val="24"/>
          <w:szCs w:val="24"/>
        </w:rPr>
        <w:t xml:space="preserve"> </w:t>
      </w:r>
      <w:r w:rsidRPr="008A0972">
        <w:rPr>
          <w:rFonts w:ascii="Arial" w:hAnsi="Arial" w:cs="Arial"/>
          <w:sz w:val="24"/>
          <w:szCs w:val="24"/>
        </w:rPr>
        <w:t>proposed plan is not compliant with R.C. 4928.17(C). In Duke's request, the Company is</w:t>
      </w:r>
      <w:r>
        <w:rPr>
          <w:rFonts w:ascii="Arial" w:hAnsi="Arial" w:cs="Arial"/>
          <w:sz w:val="24"/>
          <w:szCs w:val="24"/>
        </w:rPr>
        <w:t xml:space="preserve"> </w:t>
      </w:r>
      <w:r w:rsidRPr="008A0972">
        <w:rPr>
          <w:rFonts w:ascii="Arial" w:hAnsi="Arial" w:cs="Arial"/>
          <w:sz w:val="24"/>
          <w:szCs w:val="24"/>
        </w:rPr>
        <w:t xml:space="preserve">not seeking to transition away from nonelectric services or eventually offer the services through an affiliate. Instead, Duke is seeking authorization to offer nonelectric products and services on an indefinite, ongoing basis. (Duke </w:t>
      </w:r>
      <w:proofErr w:type="gramStart"/>
      <w:r w:rsidRPr="008A0972">
        <w:rPr>
          <w:rFonts w:ascii="Arial" w:hAnsi="Arial" w:cs="Arial"/>
          <w:sz w:val="24"/>
          <w:szCs w:val="24"/>
        </w:rPr>
        <w:t>application</w:t>
      </w:r>
      <w:proofErr w:type="gramEnd"/>
      <w:r w:rsidRPr="008A0972">
        <w:rPr>
          <w:rFonts w:ascii="Arial" w:hAnsi="Arial" w:cs="Arial"/>
          <w:sz w:val="24"/>
          <w:szCs w:val="24"/>
        </w:rPr>
        <w:t xml:space="preserve"> at 3.).   First, this does not comply with R.C. 4928.17(C)'s requirement that permission only be granted for an interim</w:t>
      </w:r>
      <w:r>
        <w:rPr>
          <w:rFonts w:ascii="Arial" w:hAnsi="Arial" w:cs="Arial"/>
          <w:sz w:val="24"/>
          <w:szCs w:val="24"/>
        </w:rPr>
        <w:t xml:space="preserve"> </w:t>
      </w:r>
      <w:r w:rsidRPr="008A0972">
        <w:rPr>
          <w:rFonts w:ascii="Arial" w:hAnsi="Arial" w:cs="Arial"/>
          <w:sz w:val="24"/>
          <w:szCs w:val="24"/>
        </w:rPr>
        <w:t>period. Further, the Company's request to provide nonele</w:t>
      </w:r>
      <w:r>
        <w:rPr>
          <w:rFonts w:ascii="Arial" w:hAnsi="Arial" w:cs="Arial"/>
          <w:sz w:val="24"/>
          <w:szCs w:val="24"/>
        </w:rPr>
        <w:t xml:space="preserve">ctric products goes against the </w:t>
      </w:r>
      <w:r w:rsidRPr="008A0972">
        <w:rPr>
          <w:rFonts w:ascii="Arial" w:hAnsi="Arial" w:cs="Arial"/>
          <w:sz w:val="24"/>
          <w:szCs w:val="24"/>
        </w:rPr>
        <w:t>state's policies outlined in R.C 4928.02, as permit</w:t>
      </w:r>
      <w:r>
        <w:rPr>
          <w:rFonts w:ascii="Arial" w:hAnsi="Arial" w:cs="Arial"/>
          <w:sz w:val="24"/>
          <w:szCs w:val="24"/>
        </w:rPr>
        <w:t xml:space="preserve">ting Duke to begin offering new </w:t>
      </w:r>
      <w:r w:rsidRPr="008A0972">
        <w:rPr>
          <w:rFonts w:ascii="Arial" w:hAnsi="Arial" w:cs="Arial"/>
          <w:sz w:val="24"/>
          <w:szCs w:val="24"/>
        </w:rPr>
        <w:t>nonelectric products and services does not advance the state's overarching g</w:t>
      </w:r>
      <w:r>
        <w:rPr>
          <w:rFonts w:ascii="Arial" w:hAnsi="Arial" w:cs="Arial"/>
          <w:sz w:val="24"/>
          <w:szCs w:val="24"/>
        </w:rPr>
        <w:t xml:space="preserve">oal of </w:t>
      </w:r>
      <w:r w:rsidRPr="008A0972">
        <w:rPr>
          <w:rFonts w:ascii="Arial" w:hAnsi="Arial" w:cs="Arial"/>
          <w:sz w:val="24"/>
          <w:szCs w:val="24"/>
        </w:rPr>
        <w:t xml:space="preserve">deregulation. Specifically, for example, by not offering the </w:t>
      </w:r>
      <w:r>
        <w:rPr>
          <w:rFonts w:ascii="Arial" w:hAnsi="Arial" w:cs="Arial"/>
          <w:sz w:val="24"/>
          <w:szCs w:val="24"/>
        </w:rPr>
        <w:t xml:space="preserve">nonelectric services through an </w:t>
      </w:r>
      <w:r w:rsidRPr="008A0972">
        <w:rPr>
          <w:rFonts w:ascii="Arial" w:hAnsi="Arial" w:cs="Arial"/>
          <w:sz w:val="24"/>
          <w:szCs w:val="24"/>
        </w:rPr>
        <w:t>affiliate. Duke's plan disregards the state policy in R.C.</w:t>
      </w:r>
      <w:r>
        <w:rPr>
          <w:rFonts w:ascii="Arial" w:hAnsi="Arial" w:cs="Arial"/>
          <w:sz w:val="24"/>
          <w:szCs w:val="24"/>
        </w:rPr>
        <w:t xml:space="preserve"> 4928.02(H) to ensure effective </w:t>
      </w:r>
      <w:r w:rsidRPr="008A0972">
        <w:rPr>
          <w:rFonts w:ascii="Arial" w:hAnsi="Arial" w:cs="Arial"/>
          <w:sz w:val="24"/>
          <w:szCs w:val="24"/>
        </w:rPr>
        <w:t>competiti</w:t>
      </w:r>
      <w:r>
        <w:rPr>
          <w:rFonts w:ascii="Arial" w:hAnsi="Arial" w:cs="Arial"/>
          <w:sz w:val="24"/>
          <w:szCs w:val="24"/>
        </w:rPr>
        <w:t>on. As discussed by Justice Kenn</w:t>
      </w:r>
      <w:r w:rsidRPr="008A0972">
        <w:rPr>
          <w:rFonts w:ascii="Arial" w:hAnsi="Arial" w:cs="Arial"/>
          <w:sz w:val="24"/>
          <w:szCs w:val="24"/>
        </w:rPr>
        <w:t>edy, instead of separatin</w:t>
      </w:r>
      <w:r>
        <w:rPr>
          <w:rFonts w:ascii="Arial" w:hAnsi="Arial" w:cs="Arial"/>
          <w:sz w:val="24"/>
          <w:szCs w:val="24"/>
        </w:rPr>
        <w:t xml:space="preserve">g electric and nonelectric </w:t>
      </w:r>
      <w:r w:rsidRPr="008A0972">
        <w:rPr>
          <w:rFonts w:ascii="Arial" w:hAnsi="Arial" w:cs="Arial"/>
          <w:sz w:val="24"/>
          <w:szCs w:val="24"/>
        </w:rPr>
        <w:t xml:space="preserve">services, the Company's proposal seeks to package services </w:t>
      </w:r>
      <w:r>
        <w:rPr>
          <w:rFonts w:ascii="Arial" w:hAnsi="Arial" w:cs="Arial"/>
          <w:sz w:val="24"/>
          <w:szCs w:val="24"/>
        </w:rPr>
        <w:t xml:space="preserve">that are required to be offered </w:t>
      </w:r>
      <w:r w:rsidRPr="008A0972">
        <w:rPr>
          <w:rFonts w:ascii="Arial" w:hAnsi="Arial" w:cs="Arial"/>
          <w:sz w:val="24"/>
          <w:szCs w:val="24"/>
        </w:rPr>
        <w:t>through a fully separated affiliate (Duke Opinion at 1150</w:t>
      </w:r>
      <w:r>
        <w:rPr>
          <w:rFonts w:ascii="Arial" w:hAnsi="Arial" w:cs="Arial"/>
          <w:sz w:val="24"/>
          <w:szCs w:val="24"/>
        </w:rPr>
        <w:t xml:space="preserve">). Consequently, we find Duke's </w:t>
      </w:r>
      <w:r w:rsidRPr="008A0972">
        <w:rPr>
          <w:rFonts w:ascii="Arial" w:hAnsi="Arial" w:cs="Arial"/>
          <w:sz w:val="24"/>
          <w:szCs w:val="24"/>
        </w:rPr>
        <w:t>request, as filed, is impermissible under R.C. 4928.17(C). F</w:t>
      </w:r>
      <w:r>
        <w:rPr>
          <w:rFonts w:ascii="Arial" w:hAnsi="Arial" w:cs="Arial"/>
          <w:sz w:val="24"/>
          <w:szCs w:val="24"/>
        </w:rPr>
        <w:t xml:space="preserve">inally, though not specifically </w:t>
      </w:r>
      <w:r w:rsidRPr="008A0972">
        <w:rPr>
          <w:rFonts w:ascii="Arial" w:hAnsi="Arial" w:cs="Arial"/>
          <w:sz w:val="24"/>
          <w:szCs w:val="24"/>
        </w:rPr>
        <w:lastRenderedPageBreak/>
        <w:t>addressed by the Court, we find Duke's plan is also not</w:t>
      </w:r>
      <w:r>
        <w:rPr>
          <w:rFonts w:ascii="Arial" w:hAnsi="Arial" w:cs="Arial"/>
          <w:sz w:val="24"/>
          <w:szCs w:val="24"/>
        </w:rPr>
        <w:t xml:space="preserve"> authorized by R.C. 4928.17(D).  </w:t>
      </w:r>
      <w:r w:rsidRPr="008A0972">
        <w:rPr>
          <w:rFonts w:ascii="Arial" w:hAnsi="Arial" w:cs="Arial"/>
          <w:sz w:val="24"/>
          <w:szCs w:val="24"/>
        </w:rPr>
        <w:t>While R.C. 4928.17(D) permits the Commission to ap</w:t>
      </w:r>
      <w:r>
        <w:rPr>
          <w:rFonts w:ascii="Arial" w:hAnsi="Arial" w:cs="Arial"/>
          <w:sz w:val="24"/>
          <w:szCs w:val="24"/>
        </w:rPr>
        <w:t xml:space="preserve">prove amendments to a corporate </w:t>
      </w:r>
      <w:r w:rsidRPr="008A0972">
        <w:rPr>
          <w:rFonts w:ascii="Arial" w:hAnsi="Arial" w:cs="Arial"/>
          <w:sz w:val="24"/>
          <w:szCs w:val="24"/>
        </w:rPr>
        <w:t>separation plan, the resulting plan must still comply with ei</w:t>
      </w:r>
      <w:r>
        <w:rPr>
          <w:rFonts w:ascii="Arial" w:hAnsi="Arial" w:cs="Arial"/>
          <w:sz w:val="24"/>
          <w:szCs w:val="24"/>
        </w:rPr>
        <w:t xml:space="preserve">ther R.C. 4928.17(A) or (C). To </w:t>
      </w:r>
      <w:r w:rsidRPr="008A0972">
        <w:rPr>
          <w:rFonts w:ascii="Arial" w:hAnsi="Arial" w:cs="Arial"/>
          <w:sz w:val="24"/>
          <w:szCs w:val="24"/>
        </w:rPr>
        <w:t>find otherwise would avoid the restrictions included in R.C</w:t>
      </w:r>
      <w:r>
        <w:rPr>
          <w:rFonts w:ascii="Arial" w:hAnsi="Arial" w:cs="Arial"/>
          <w:sz w:val="24"/>
          <w:szCs w:val="24"/>
        </w:rPr>
        <w:t xml:space="preserve">. 4928.17(A) and (C) and negate </w:t>
      </w:r>
      <w:r w:rsidRPr="008A0972">
        <w:rPr>
          <w:rFonts w:ascii="Arial" w:hAnsi="Arial" w:cs="Arial"/>
          <w:sz w:val="24"/>
          <w:szCs w:val="24"/>
        </w:rPr>
        <w:t xml:space="preserve">the intent of the statute. Therefore, as the proposal does </w:t>
      </w:r>
      <w:r>
        <w:rPr>
          <w:rFonts w:ascii="Arial" w:hAnsi="Arial" w:cs="Arial"/>
          <w:sz w:val="24"/>
          <w:szCs w:val="24"/>
        </w:rPr>
        <w:t xml:space="preserve">not comply with R.C. 4928.17(A) </w:t>
      </w:r>
      <w:r w:rsidRPr="008A0972">
        <w:rPr>
          <w:rFonts w:ascii="Arial" w:hAnsi="Arial" w:cs="Arial"/>
          <w:sz w:val="24"/>
          <w:szCs w:val="24"/>
        </w:rPr>
        <w:t>or (C), R.C. 4928.17(D) is inapplicable.</w:t>
      </w:r>
      <w:r w:rsidR="00D222E8">
        <w:rPr>
          <w:rStyle w:val="FootnoteReference"/>
          <w:rFonts w:ascii="Arial" w:hAnsi="Arial" w:cs="Arial"/>
          <w:sz w:val="24"/>
          <w:szCs w:val="24"/>
        </w:rPr>
        <w:footnoteReference w:id="28"/>
      </w:r>
    </w:p>
    <w:p w14:paraId="7EEE2F9C" w14:textId="22D7DFB6" w:rsidR="005920BD" w:rsidRPr="00BB7C0C" w:rsidRDefault="00800BB2" w:rsidP="00BB7C0C">
      <w:pPr>
        <w:autoSpaceDE w:val="0"/>
        <w:autoSpaceDN w:val="0"/>
        <w:adjustRightInd w:val="0"/>
        <w:spacing w:after="120" w:line="480" w:lineRule="auto"/>
        <w:jc w:val="both"/>
        <w:rPr>
          <w:rFonts w:ascii="Arial" w:hAnsi="Arial" w:cs="Arial"/>
          <w:sz w:val="24"/>
          <w:szCs w:val="24"/>
        </w:rPr>
      </w:pPr>
      <w:r>
        <w:rPr>
          <w:rFonts w:ascii="Arial" w:hAnsi="Arial" w:cs="Arial"/>
          <w:sz w:val="24"/>
          <w:szCs w:val="24"/>
        </w:rPr>
        <w:tab/>
        <w:t xml:space="preserve">On July </w:t>
      </w:r>
      <w:r w:rsidR="00DC7237">
        <w:rPr>
          <w:rFonts w:ascii="Arial" w:hAnsi="Arial" w:cs="Arial"/>
          <w:sz w:val="24"/>
          <w:szCs w:val="24"/>
        </w:rPr>
        <w:t>14, 2017, Duke sought rehearing based upon four assignments of error.  First, Duke alleges that the ultimate determination in the Order on Remand was not mandated by the Court.</w:t>
      </w:r>
      <w:r w:rsidR="0030014B">
        <w:rPr>
          <w:rStyle w:val="FootnoteReference"/>
          <w:rFonts w:ascii="Arial" w:hAnsi="Arial" w:cs="Arial"/>
          <w:sz w:val="24"/>
          <w:szCs w:val="24"/>
        </w:rPr>
        <w:footnoteReference w:id="29"/>
      </w:r>
      <w:r w:rsidR="00DC7237">
        <w:rPr>
          <w:rFonts w:ascii="Arial" w:hAnsi="Arial" w:cs="Arial"/>
          <w:sz w:val="24"/>
          <w:szCs w:val="24"/>
        </w:rPr>
        <w:t xml:space="preserve">  Second, Duke alleges that the Commission violated R.C. 4903.09 by failing to hold evidentiary hearings and additional briefing prior to issuing its Order on Remand.</w:t>
      </w:r>
      <w:r w:rsidR="0030014B">
        <w:rPr>
          <w:rStyle w:val="FootnoteReference"/>
          <w:rFonts w:ascii="Arial" w:hAnsi="Arial" w:cs="Arial"/>
          <w:sz w:val="24"/>
          <w:szCs w:val="24"/>
        </w:rPr>
        <w:footnoteReference w:id="30"/>
      </w:r>
      <w:r w:rsidR="00DC7237">
        <w:rPr>
          <w:rFonts w:ascii="Arial" w:hAnsi="Arial" w:cs="Arial"/>
          <w:sz w:val="24"/>
          <w:szCs w:val="24"/>
        </w:rPr>
        <w:t xml:space="preserve">  Third, Duke alleges that the Commission inappropriately followed a concurring opinion as controlling in issuing the Order on Remand and that the determination is not supported by Ohio law.</w:t>
      </w:r>
      <w:r w:rsidR="0030014B">
        <w:rPr>
          <w:rStyle w:val="FootnoteReference"/>
          <w:rFonts w:ascii="Arial" w:hAnsi="Arial" w:cs="Arial"/>
          <w:sz w:val="24"/>
          <w:szCs w:val="24"/>
        </w:rPr>
        <w:footnoteReference w:id="31"/>
      </w:r>
      <w:r w:rsidR="00DC7237">
        <w:rPr>
          <w:rFonts w:ascii="Arial" w:hAnsi="Arial" w:cs="Arial"/>
          <w:sz w:val="24"/>
          <w:szCs w:val="24"/>
        </w:rPr>
        <w:t xml:space="preserve">  Fourth, Duke alleges that Ohio law does not prohibit approval of Duke’s proposed corporate separation plan amendment and that the Commission considered no evidence to base its decision.</w:t>
      </w:r>
      <w:r w:rsidR="0030014B">
        <w:rPr>
          <w:rStyle w:val="FootnoteReference"/>
          <w:rFonts w:ascii="Arial" w:hAnsi="Arial" w:cs="Arial"/>
          <w:sz w:val="24"/>
          <w:szCs w:val="24"/>
        </w:rPr>
        <w:footnoteReference w:id="32"/>
      </w:r>
      <w:r w:rsidR="00DC7237">
        <w:rPr>
          <w:rFonts w:ascii="Arial" w:hAnsi="Arial" w:cs="Arial"/>
          <w:sz w:val="24"/>
          <w:szCs w:val="24"/>
        </w:rPr>
        <w:t xml:space="preserve">  As discussed below, each of these arguments lacks merit.</w:t>
      </w:r>
    </w:p>
    <w:p w14:paraId="2F9754A4" w14:textId="45AD6A97" w:rsidR="00E079BD" w:rsidRPr="00E079BD" w:rsidRDefault="00E079BD" w:rsidP="00E079BD">
      <w:pPr>
        <w:pStyle w:val="ListParagraph"/>
        <w:numPr>
          <w:ilvl w:val="0"/>
          <w:numId w:val="8"/>
        </w:numPr>
        <w:autoSpaceDE w:val="0"/>
        <w:autoSpaceDN w:val="0"/>
        <w:adjustRightInd w:val="0"/>
        <w:spacing w:after="120" w:line="480" w:lineRule="auto"/>
        <w:jc w:val="both"/>
        <w:rPr>
          <w:rFonts w:ascii="Arial" w:hAnsi="Arial" w:cs="Arial"/>
          <w:b/>
          <w:sz w:val="24"/>
          <w:szCs w:val="24"/>
        </w:rPr>
      </w:pPr>
      <w:r w:rsidRPr="00E079BD">
        <w:rPr>
          <w:rFonts w:ascii="Arial" w:hAnsi="Arial" w:cs="Arial"/>
          <w:b/>
          <w:sz w:val="24"/>
          <w:szCs w:val="24"/>
        </w:rPr>
        <w:t>ARGUMENT</w:t>
      </w:r>
    </w:p>
    <w:p w14:paraId="4005960B" w14:textId="2594EA73" w:rsidR="00FB0008" w:rsidRDefault="00E079BD" w:rsidP="008A6B04">
      <w:pPr>
        <w:pStyle w:val="ListParagraph"/>
        <w:numPr>
          <w:ilvl w:val="0"/>
          <w:numId w:val="11"/>
        </w:numPr>
        <w:autoSpaceDE w:val="0"/>
        <w:autoSpaceDN w:val="0"/>
        <w:adjustRightInd w:val="0"/>
        <w:spacing w:after="120" w:line="240" w:lineRule="auto"/>
        <w:jc w:val="both"/>
        <w:rPr>
          <w:rFonts w:ascii="Arial" w:hAnsi="Arial" w:cs="Arial"/>
          <w:b/>
          <w:sz w:val="24"/>
          <w:szCs w:val="24"/>
        </w:rPr>
      </w:pPr>
      <w:r>
        <w:rPr>
          <w:rFonts w:ascii="Arial" w:hAnsi="Arial" w:cs="Arial"/>
          <w:b/>
          <w:sz w:val="24"/>
          <w:szCs w:val="24"/>
        </w:rPr>
        <w:t>The Commission appropriately interpreted 4928.17(C) and (D)</w:t>
      </w:r>
      <w:r w:rsidR="00AA2341">
        <w:rPr>
          <w:rFonts w:ascii="Arial" w:hAnsi="Arial" w:cs="Arial"/>
          <w:b/>
          <w:sz w:val="24"/>
          <w:szCs w:val="24"/>
        </w:rPr>
        <w:t xml:space="preserve"> as directed by the Court.  The Commission’s reliance on Justice Kennedy’s reasoning to issue its Order on Remand was permissible. </w:t>
      </w:r>
    </w:p>
    <w:p w14:paraId="650B0845" w14:textId="3DB40C31" w:rsidR="005920BD" w:rsidRDefault="008A6B04" w:rsidP="008A6B04">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lastRenderedPageBreak/>
        <w:t>In Duke’s first assignment of error, it alleges that the Order on Remand exceeded the directive of the Court.</w:t>
      </w:r>
      <w:r w:rsidR="00281F35">
        <w:rPr>
          <w:rStyle w:val="FootnoteReference"/>
          <w:rFonts w:ascii="Arial" w:hAnsi="Arial" w:cs="Arial"/>
          <w:sz w:val="24"/>
          <w:szCs w:val="24"/>
        </w:rPr>
        <w:footnoteReference w:id="33"/>
      </w:r>
      <w:r>
        <w:rPr>
          <w:rFonts w:ascii="Arial" w:hAnsi="Arial" w:cs="Arial"/>
          <w:sz w:val="24"/>
          <w:szCs w:val="24"/>
        </w:rPr>
        <w:t xml:space="preserve">  Duke </w:t>
      </w:r>
      <w:r w:rsidR="00BB7C0C">
        <w:rPr>
          <w:rFonts w:ascii="Arial" w:hAnsi="Arial" w:cs="Arial"/>
          <w:sz w:val="24"/>
          <w:szCs w:val="24"/>
        </w:rPr>
        <w:t>alleges</w:t>
      </w:r>
      <w:r>
        <w:rPr>
          <w:rFonts w:ascii="Arial" w:hAnsi="Arial" w:cs="Arial"/>
          <w:sz w:val="24"/>
          <w:szCs w:val="24"/>
        </w:rPr>
        <w:t xml:space="preserve"> the Court’s reversal was purely on procedural grounds (regarding R.C. 4903.09) and that the Order on Remand inappropriately took direction from the Court on Substantive issues.</w:t>
      </w:r>
      <w:r w:rsidR="00281F35">
        <w:rPr>
          <w:rStyle w:val="FootnoteReference"/>
          <w:rFonts w:ascii="Arial" w:hAnsi="Arial" w:cs="Arial"/>
          <w:sz w:val="24"/>
          <w:szCs w:val="24"/>
        </w:rPr>
        <w:footnoteReference w:id="34"/>
      </w:r>
      <w:r>
        <w:rPr>
          <w:rFonts w:ascii="Arial" w:hAnsi="Arial" w:cs="Arial"/>
          <w:sz w:val="24"/>
          <w:szCs w:val="24"/>
        </w:rPr>
        <w:t xml:space="preserve">  Similarly, in Duke’s third assignment of error, Duke alleges that the Order on Remand’</w:t>
      </w:r>
      <w:r w:rsidR="00AB4136">
        <w:rPr>
          <w:rFonts w:ascii="Arial" w:hAnsi="Arial" w:cs="Arial"/>
          <w:sz w:val="24"/>
          <w:szCs w:val="24"/>
        </w:rPr>
        <w:t xml:space="preserve">s substantive outcome is </w:t>
      </w:r>
      <w:r>
        <w:rPr>
          <w:rFonts w:ascii="Arial" w:hAnsi="Arial" w:cs="Arial"/>
          <w:sz w:val="24"/>
          <w:szCs w:val="24"/>
        </w:rPr>
        <w:t>based</w:t>
      </w:r>
      <w:r w:rsidR="00AB4136">
        <w:rPr>
          <w:rFonts w:ascii="Arial" w:hAnsi="Arial" w:cs="Arial"/>
          <w:sz w:val="24"/>
          <w:szCs w:val="24"/>
        </w:rPr>
        <w:t xml:space="preserve"> wholly</w:t>
      </w:r>
      <w:r>
        <w:rPr>
          <w:rFonts w:ascii="Arial" w:hAnsi="Arial" w:cs="Arial"/>
          <w:sz w:val="24"/>
          <w:szCs w:val="24"/>
        </w:rPr>
        <w:t xml:space="preserve"> upon dictum contained in the concurring and dissenting opinion of Justice Kennedy</w:t>
      </w:r>
      <w:r w:rsidR="00AB4136">
        <w:rPr>
          <w:rFonts w:ascii="Arial" w:hAnsi="Arial" w:cs="Arial"/>
          <w:sz w:val="24"/>
          <w:szCs w:val="24"/>
        </w:rPr>
        <w:t xml:space="preserve"> that Duke alleges the Commission followed as controlling law</w:t>
      </w:r>
      <w:r>
        <w:rPr>
          <w:rFonts w:ascii="Arial" w:hAnsi="Arial" w:cs="Arial"/>
          <w:sz w:val="24"/>
          <w:szCs w:val="24"/>
        </w:rPr>
        <w:t>.</w:t>
      </w:r>
      <w:r w:rsidR="00281F35">
        <w:rPr>
          <w:rStyle w:val="FootnoteReference"/>
          <w:rFonts w:ascii="Arial" w:hAnsi="Arial" w:cs="Arial"/>
          <w:sz w:val="24"/>
          <w:szCs w:val="24"/>
        </w:rPr>
        <w:footnoteReference w:id="35"/>
      </w:r>
      <w:r>
        <w:rPr>
          <w:rFonts w:ascii="Arial" w:hAnsi="Arial" w:cs="Arial"/>
          <w:sz w:val="24"/>
          <w:szCs w:val="24"/>
        </w:rPr>
        <w:t xml:space="preserve">  Given the overlapping nature of these meritless arguments, </w:t>
      </w:r>
      <w:r w:rsidR="006B22A2">
        <w:rPr>
          <w:rFonts w:ascii="Arial" w:hAnsi="Arial" w:cs="Arial"/>
          <w:sz w:val="24"/>
          <w:szCs w:val="24"/>
        </w:rPr>
        <w:t xml:space="preserve">this memo </w:t>
      </w:r>
      <w:proofErr w:type="spellStart"/>
      <w:r w:rsidR="006B22A2">
        <w:rPr>
          <w:rFonts w:ascii="Arial" w:hAnsi="Arial" w:cs="Arial"/>
          <w:sz w:val="24"/>
          <w:szCs w:val="24"/>
        </w:rPr>
        <w:t>contra</w:t>
      </w:r>
      <w:r w:rsidR="00BF1FEF">
        <w:rPr>
          <w:rFonts w:ascii="Arial" w:hAnsi="Arial" w:cs="Arial"/>
          <w:sz w:val="24"/>
          <w:szCs w:val="24"/>
        </w:rPr>
        <w:t>we</w:t>
      </w:r>
      <w:proofErr w:type="spellEnd"/>
      <w:r w:rsidR="00BF1FEF">
        <w:rPr>
          <w:rFonts w:ascii="Arial" w:hAnsi="Arial" w:cs="Arial"/>
          <w:sz w:val="24"/>
          <w:szCs w:val="24"/>
        </w:rPr>
        <w:t xml:space="preserve"> </w:t>
      </w:r>
      <w:r>
        <w:rPr>
          <w:rFonts w:ascii="Arial" w:hAnsi="Arial" w:cs="Arial"/>
          <w:sz w:val="24"/>
          <w:szCs w:val="24"/>
        </w:rPr>
        <w:t xml:space="preserve">will address them together.  </w:t>
      </w:r>
    </w:p>
    <w:p w14:paraId="31E5B04C" w14:textId="5DFD4B8D" w:rsidR="00105DE7" w:rsidRDefault="008A6B04" w:rsidP="008A6B04">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While the majority</w:t>
      </w:r>
      <w:r w:rsidR="00351A5A">
        <w:rPr>
          <w:rFonts w:ascii="Arial" w:hAnsi="Arial" w:cs="Arial"/>
          <w:sz w:val="24"/>
          <w:szCs w:val="24"/>
        </w:rPr>
        <w:t xml:space="preserve"> opinion</w:t>
      </w:r>
      <w:r>
        <w:rPr>
          <w:rFonts w:ascii="Arial" w:hAnsi="Arial" w:cs="Arial"/>
          <w:sz w:val="24"/>
          <w:szCs w:val="24"/>
        </w:rPr>
        <w:t xml:space="preserve"> did not definitely rule on the meaning of R.C. 4928.17(C)</w:t>
      </w:r>
      <w:r w:rsidR="00351A5A">
        <w:rPr>
          <w:rFonts w:ascii="Arial" w:hAnsi="Arial" w:cs="Arial"/>
          <w:sz w:val="24"/>
          <w:szCs w:val="24"/>
        </w:rPr>
        <w:t xml:space="preserve"> and (D),</w:t>
      </w:r>
      <w:r w:rsidR="00351A5A">
        <w:rPr>
          <w:rStyle w:val="FootnoteReference"/>
          <w:rFonts w:ascii="Arial" w:hAnsi="Arial" w:cs="Arial"/>
          <w:sz w:val="24"/>
          <w:szCs w:val="24"/>
        </w:rPr>
        <w:footnoteReference w:id="36"/>
      </w:r>
      <w:r w:rsidR="00351A5A">
        <w:rPr>
          <w:rFonts w:ascii="Arial" w:hAnsi="Arial" w:cs="Arial"/>
          <w:sz w:val="24"/>
          <w:szCs w:val="24"/>
        </w:rPr>
        <w:t xml:space="preserve"> </w:t>
      </w:r>
      <w:r>
        <w:rPr>
          <w:rFonts w:ascii="Arial" w:hAnsi="Arial" w:cs="Arial"/>
          <w:sz w:val="24"/>
          <w:szCs w:val="24"/>
        </w:rPr>
        <w:t>the Court</w:t>
      </w:r>
      <w:r w:rsidR="00351A5A">
        <w:rPr>
          <w:rFonts w:ascii="Arial" w:hAnsi="Arial" w:cs="Arial"/>
          <w:sz w:val="24"/>
          <w:szCs w:val="24"/>
        </w:rPr>
        <w:t xml:space="preserve"> reversed and</w:t>
      </w:r>
      <w:r>
        <w:rPr>
          <w:rFonts w:ascii="Arial" w:hAnsi="Arial" w:cs="Arial"/>
          <w:sz w:val="24"/>
          <w:szCs w:val="24"/>
        </w:rPr>
        <w:t xml:space="preserve"> remanded the case to “resolve the meaning of </w:t>
      </w:r>
      <w:r w:rsidRPr="00FB0008">
        <w:rPr>
          <w:rFonts w:ascii="Arial" w:hAnsi="Arial" w:cs="Arial"/>
          <w:sz w:val="24"/>
          <w:szCs w:val="24"/>
        </w:rPr>
        <w:t>disputed language in R.C. 4928.</w:t>
      </w:r>
      <w:r w:rsidRPr="008A6B04">
        <w:rPr>
          <w:rFonts w:ascii="Arial" w:hAnsi="Arial" w:cs="Arial"/>
          <w:sz w:val="24"/>
          <w:szCs w:val="24"/>
        </w:rPr>
        <w:t>17(C) or (D).”</w:t>
      </w:r>
      <w:r w:rsidR="00D222E8">
        <w:rPr>
          <w:rStyle w:val="FootnoteReference"/>
          <w:rFonts w:ascii="Arial" w:hAnsi="Arial" w:cs="Arial"/>
          <w:sz w:val="24"/>
          <w:szCs w:val="24"/>
        </w:rPr>
        <w:footnoteReference w:id="37"/>
      </w:r>
      <w:r w:rsidRPr="008A6B04">
        <w:rPr>
          <w:rFonts w:ascii="Arial" w:hAnsi="Arial" w:cs="Arial"/>
          <w:sz w:val="24"/>
          <w:szCs w:val="24"/>
        </w:rPr>
        <w:t xml:space="preserve">  The Court provided specific “instructions to fully address IGS’s statutory arguments, to issue findings that thoroughly explain how—if at all—Duke’s application complies with the specific relevant provisions in R.C. 4928.17.”</w:t>
      </w:r>
      <w:r w:rsidR="0030014B">
        <w:rPr>
          <w:rStyle w:val="FootnoteReference"/>
          <w:rFonts w:ascii="Arial" w:hAnsi="Arial" w:cs="Arial"/>
          <w:sz w:val="24"/>
          <w:szCs w:val="24"/>
        </w:rPr>
        <w:footnoteReference w:id="38"/>
      </w:r>
      <w:r w:rsidR="00351A5A">
        <w:rPr>
          <w:rFonts w:ascii="Arial" w:hAnsi="Arial" w:cs="Arial"/>
          <w:sz w:val="24"/>
          <w:szCs w:val="24"/>
        </w:rPr>
        <w:t xml:space="preserve"> </w:t>
      </w:r>
      <w:r w:rsidR="00351A5A" w:rsidRPr="00351A5A">
        <w:rPr>
          <w:rFonts w:ascii="Arial" w:hAnsi="Arial" w:cs="Arial"/>
          <w:sz w:val="24"/>
          <w:szCs w:val="24"/>
        </w:rPr>
        <w:t xml:space="preserve">  </w:t>
      </w:r>
      <w:r w:rsidR="00351A5A">
        <w:rPr>
          <w:rFonts w:ascii="Arial" w:hAnsi="Arial" w:cs="Arial"/>
          <w:sz w:val="24"/>
          <w:szCs w:val="24"/>
        </w:rPr>
        <w:t>Moreover, the Court indicated that it was</w:t>
      </w:r>
      <w:r w:rsidR="00351A5A" w:rsidRPr="00351A5A">
        <w:rPr>
          <w:rFonts w:ascii="Arial" w:hAnsi="Arial" w:cs="Arial"/>
          <w:sz w:val="24"/>
          <w:szCs w:val="24"/>
        </w:rPr>
        <w:t xml:space="preserve"> “admittedly skeptical as to how the commission could approve Duke’s amended plan under R.C. 4928.17(C) or (D) based on the record . . . .”</w:t>
      </w:r>
      <w:r w:rsidR="0030014B">
        <w:rPr>
          <w:rStyle w:val="FootnoteReference"/>
          <w:rFonts w:ascii="Arial" w:hAnsi="Arial" w:cs="Arial"/>
          <w:sz w:val="24"/>
          <w:szCs w:val="24"/>
        </w:rPr>
        <w:footnoteReference w:id="39"/>
      </w:r>
      <w:r w:rsidR="00351A5A">
        <w:rPr>
          <w:rFonts w:ascii="Arial" w:hAnsi="Arial" w:cs="Arial"/>
          <w:sz w:val="24"/>
          <w:szCs w:val="24"/>
        </w:rPr>
        <w:t xml:space="preserve">  </w:t>
      </w:r>
    </w:p>
    <w:p w14:paraId="28984E10" w14:textId="72A97118" w:rsidR="00105DE7" w:rsidRDefault="00351A5A" w:rsidP="00105DE7">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lastRenderedPageBreak/>
        <w:t>On remand, the Commission did exactly as directed by the Court—it “resolved the meaning of the disputed language in R.C. 4928.17(C) and (D)</w:t>
      </w:r>
      <w:r w:rsidR="0030014B">
        <w:rPr>
          <w:rFonts w:ascii="Arial" w:hAnsi="Arial" w:cs="Arial"/>
          <w:sz w:val="24"/>
          <w:szCs w:val="24"/>
        </w:rPr>
        <w:t xml:space="preserve"> </w:t>
      </w:r>
      <w:r>
        <w:rPr>
          <w:rFonts w:ascii="Arial" w:hAnsi="Arial" w:cs="Arial"/>
          <w:sz w:val="24"/>
          <w:szCs w:val="24"/>
        </w:rPr>
        <w:t>.</w:t>
      </w:r>
      <w:r w:rsidR="0030014B">
        <w:rPr>
          <w:rFonts w:ascii="Arial" w:hAnsi="Arial" w:cs="Arial"/>
          <w:sz w:val="24"/>
          <w:szCs w:val="24"/>
        </w:rPr>
        <w:t xml:space="preserve"> . . .</w:t>
      </w:r>
      <w:r>
        <w:rPr>
          <w:rFonts w:ascii="Arial" w:hAnsi="Arial" w:cs="Arial"/>
          <w:sz w:val="24"/>
          <w:szCs w:val="24"/>
        </w:rPr>
        <w:t>”</w:t>
      </w:r>
      <w:r w:rsidR="00281F35">
        <w:rPr>
          <w:rStyle w:val="FootnoteReference"/>
          <w:rFonts w:ascii="Arial" w:hAnsi="Arial" w:cs="Arial"/>
          <w:sz w:val="24"/>
          <w:szCs w:val="24"/>
        </w:rPr>
        <w:footnoteReference w:id="40"/>
      </w:r>
      <w:r w:rsidR="00105DE7">
        <w:rPr>
          <w:rFonts w:ascii="Arial" w:hAnsi="Arial" w:cs="Arial"/>
          <w:sz w:val="24"/>
          <w:szCs w:val="24"/>
        </w:rPr>
        <w:t xml:space="preserve">  The Commission ultimately determined that the statutory exception</w:t>
      </w:r>
      <w:r w:rsidR="00800BB2">
        <w:rPr>
          <w:rFonts w:ascii="Arial" w:hAnsi="Arial" w:cs="Arial"/>
          <w:sz w:val="24"/>
          <w:szCs w:val="24"/>
        </w:rPr>
        <w:t xml:space="preserve"> under (C)</w:t>
      </w:r>
      <w:r w:rsidR="00105DE7">
        <w:rPr>
          <w:rFonts w:ascii="Arial" w:hAnsi="Arial" w:cs="Arial"/>
          <w:sz w:val="24"/>
          <w:szCs w:val="24"/>
        </w:rPr>
        <w:t xml:space="preserve"> to the requirements of 4928.17(A) is not available to Duke to move backward in the restructuring process.</w:t>
      </w:r>
      <w:r w:rsidR="0030014B">
        <w:rPr>
          <w:rStyle w:val="FootnoteReference"/>
          <w:rFonts w:ascii="Arial" w:hAnsi="Arial" w:cs="Arial"/>
          <w:sz w:val="24"/>
          <w:szCs w:val="24"/>
        </w:rPr>
        <w:footnoteReference w:id="41"/>
      </w:r>
      <w:r w:rsidR="00105DE7">
        <w:rPr>
          <w:rFonts w:ascii="Arial" w:hAnsi="Arial" w:cs="Arial"/>
          <w:sz w:val="24"/>
          <w:szCs w:val="24"/>
        </w:rPr>
        <w:t xml:space="preserve">  </w:t>
      </w:r>
      <w:r w:rsidR="0084231C">
        <w:rPr>
          <w:rFonts w:ascii="Arial" w:hAnsi="Arial" w:cs="Arial"/>
          <w:sz w:val="24"/>
          <w:szCs w:val="24"/>
        </w:rPr>
        <w:t xml:space="preserve">While the Commission relied </w:t>
      </w:r>
      <w:r w:rsidR="00105DE7">
        <w:rPr>
          <w:rFonts w:ascii="Arial" w:hAnsi="Arial" w:cs="Arial"/>
          <w:sz w:val="24"/>
          <w:szCs w:val="24"/>
        </w:rPr>
        <w:t>upon</w:t>
      </w:r>
      <w:r w:rsidR="0084231C">
        <w:rPr>
          <w:rFonts w:ascii="Arial" w:hAnsi="Arial" w:cs="Arial"/>
          <w:sz w:val="24"/>
          <w:szCs w:val="24"/>
        </w:rPr>
        <w:t xml:space="preserve"> and agreed with the</w:t>
      </w:r>
      <w:r w:rsidR="00105DE7">
        <w:rPr>
          <w:rFonts w:ascii="Arial" w:hAnsi="Arial" w:cs="Arial"/>
          <w:sz w:val="24"/>
          <w:szCs w:val="24"/>
        </w:rPr>
        <w:t xml:space="preserve"> reasoning contained in the concurring and dissenting opinion of Justice Kennedy</w:t>
      </w:r>
      <w:r w:rsidR="0084231C">
        <w:rPr>
          <w:rFonts w:ascii="Arial" w:hAnsi="Arial" w:cs="Arial"/>
          <w:sz w:val="24"/>
          <w:szCs w:val="24"/>
        </w:rPr>
        <w:t xml:space="preserve">, the Commission was well within its discretion </w:t>
      </w:r>
      <w:r w:rsidR="00800BB2">
        <w:rPr>
          <w:rFonts w:ascii="Arial" w:hAnsi="Arial" w:cs="Arial"/>
          <w:sz w:val="24"/>
          <w:szCs w:val="24"/>
        </w:rPr>
        <w:t xml:space="preserve">to rely upon this reasoning </w:t>
      </w:r>
      <w:r w:rsidR="0084231C">
        <w:rPr>
          <w:rFonts w:ascii="Arial" w:hAnsi="Arial" w:cs="Arial"/>
          <w:sz w:val="24"/>
          <w:szCs w:val="24"/>
        </w:rPr>
        <w:t>in</w:t>
      </w:r>
      <w:r w:rsidR="00800BB2">
        <w:rPr>
          <w:rFonts w:ascii="Arial" w:hAnsi="Arial" w:cs="Arial"/>
          <w:sz w:val="24"/>
          <w:szCs w:val="24"/>
        </w:rPr>
        <w:t xml:space="preserve"> reaching</w:t>
      </w:r>
      <w:r w:rsidR="0084231C">
        <w:rPr>
          <w:rFonts w:ascii="Arial" w:hAnsi="Arial" w:cs="Arial"/>
          <w:sz w:val="24"/>
          <w:szCs w:val="24"/>
        </w:rPr>
        <w:t xml:space="preserve"> its ultimate conclusion.  </w:t>
      </w:r>
    </w:p>
    <w:p w14:paraId="07C9A324" w14:textId="3C4051BD" w:rsidR="00A77FC7" w:rsidRDefault="0084231C" w:rsidP="0084231C">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Contrary to Duke’s claim, the Commission did not </w:t>
      </w:r>
      <w:r w:rsidR="00A77FC7">
        <w:rPr>
          <w:rFonts w:ascii="Arial" w:hAnsi="Arial" w:cs="Arial"/>
          <w:sz w:val="24"/>
          <w:szCs w:val="24"/>
        </w:rPr>
        <w:t xml:space="preserve">blindly </w:t>
      </w:r>
      <w:r>
        <w:rPr>
          <w:rFonts w:ascii="Arial" w:hAnsi="Arial" w:cs="Arial"/>
          <w:sz w:val="24"/>
          <w:szCs w:val="24"/>
        </w:rPr>
        <w:t>follow Justice Kennedy’</w:t>
      </w:r>
      <w:r w:rsidR="00A77FC7">
        <w:rPr>
          <w:rFonts w:ascii="Arial" w:hAnsi="Arial" w:cs="Arial"/>
          <w:sz w:val="24"/>
          <w:szCs w:val="24"/>
        </w:rPr>
        <w:t>s interpretation of</w:t>
      </w:r>
      <w:r>
        <w:rPr>
          <w:rFonts w:ascii="Arial" w:hAnsi="Arial" w:cs="Arial"/>
          <w:sz w:val="24"/>
          <w:szCs w:val="24"/>
        </w:rPr>
        <w:t xml:space="preserve"> sections (C) and (D) as </w:t>
      </w:r>
      <w:r w:rsidRPr="00A77FC7">
        <w:rPr>
          <w:rFonts w:ascii="Arial" w:hAnsi="Arial" w:cs="Arial"/>
          <w:sz w:val="24"/>
          <w:szCs w:val="24"/>
        </w:rPr>
        <w:t>controlling authority</w:t>
      </w:r>
      <w:r>
        <w:rPr>
          <w:rFonts w:ascii="Arial" w:hAnsi="Arial" w:cs="Arial"/>
          <w:sz w:val="24"/>
          <w:szCs w:val="24"/>
        </w:rPr>
        <w:t>.  Rather, the Commission relied upon Justice Kennedy’s reasoning because it was pers</w:t>
      </w:r>
      <w:r w:rsidR="00A77FC7">
        <w:rPr>
          <w:rFonts w:ascii="Arial" w:hAnsi="Arial" w:cs="Arial"/>
          <w:sz w:val="24"/>
          <w:szCs w:val="24"/>
        </w:rPr>
        <w:t>uasive for purposes of implementing</w:t>
      </w:r>
      <w:r>
        <w:rPr>
          <w:rFonts w:ascii="Arial" w:hAnsi="Arial" w:cs="Arial"/>
          <w:sz w:val="24"/>
          <w:szCs w:val="24"/>
        </w:rPr>
        <w:t xml:space="preserve"> the Court’s directive on remand.  Indeed, the Order on Remand is quite clear that the Commission adopted Justice Kennedy’s reasoning—not because the Commission was required to—but because the Commission found it had merit</w:t>
      </w:r>
      <w:r w:rsidR="00A77FC7">
        <w:rPr>
          <w:rFonts w:ascii="Arial" w:hAnsi="Arial" w:cs="Arial"/>
          <w:sz w:val="24"/>
          <w:szCs w:val="24"/>
        </w:rPr>
        <w:t>:  The Commission stated,</w:t>
      </w:r>
      <w:r w:rsidR="00105DE7">
        <w:rPr>
          <w:rFonts w:ascii="Arial" w:hAnsi="Arial" w:cs="Arial"/>
          <w:sz w:val="24"/>
          <w:szCs w:val="24"/>
        </w:rPr>
        <w:t xml:space="preserve"> “</w:t>
      </w:r>
      <w:r w:rsidR="00105DE7" w:rsidRPr="00A77FC7">
        <w:rPr>
          <w:rFonts w:ascii="Arial" w:hAnsi="Arial" w:cs="Arial"/>
          <w:i/>
          <w:sz w:val="24"/>
          <w:szCs w:val="24"/>
        </w:rPr>
        <w:t>In retrospect, we agree</w:t>
      </w:r>
      <w:r w:rsidR="00A77FC7">
        <w:rPr>
          <w:rFonts w:ascii="Arial" w:hAnsi="Arial" w:cs="Arial"/>
          <w:sz w:val="24"/>
          <w:szCs w:val="24"/>
        </w:rPr>
        <w:t>.”</w:t>
      </w:r>
      <w:r w:rsidR="00D222E8">
        <w:rPr>
          <w:rStyle w:val="FootnoteReference"/>
          <w:rFonts w:ascii="Arial" w:hAnsi="Arial" w:cs="Arial"/>
          <w:sz w:val="24"/>
          <w:szCs w:val="24"/>
        </w:rPr>
        <w:footnoteReference w:id="42"/>
      </w:r>
      <w:r w:rsidR="00A77FC7">
        <w:rPr>
          <w:rFonts w:ascii="Arial" w:hAnsi="Arial" w:cs="Arial"/>
          <w:sz w:val="24"/>
          <w:szCs w:val="24"/>
        </w:rPr>
        <w:t xml:space="preserve">  And,</w:t>
      </w:r>
      <w:r w:rsidR="00105DE7">
        <w:rPr>
          <w:rFonts w:ascii="Arial" w:hAnsi="Arial" w:cs="Arial"/>
          <w:sz w:val="24"/>
          <w:szCs w:val="24"/>
        </w:rPr>
        <w:t xml:space="preserve"> “</w:t>
      </w:r>
      <w:r w:rsidR="00105DE7" w:rsidRPr="00A77FC7">
        <w:rPr>
          <w:rFonts w:ascii="Arial" w:hAnsi="Arial" w:cs="Arial"/>
          <w:i/>
          <w:sz w:val="24"/>
          <w:szCs w:val="24"/>
        </w:rPr>
        <w:t>In accepting Justice Kennedy's opinion</w:t>
      </w:r>
      <w:r w:rsidR="00105DE7" w:rsidRPr="00105DE7">
        <w:rPr>
          <w:rFonts w:ascii="Arial" w:hAnsi="Arial" w:cs="Arial"/>
          <w:sz w:val="24"/>
          <w:szCs w:val="24"/>
        </w:rPr>
        <w:t xml:space="preserve">, we concur that Duke's proposed plan is not </w:t>
      </w:r>
      <w:r w:rsidR="00105DE7">
        <w:rPr>
          <w:rFonts w:ascii="Arial" w:hAnsi="Arial" w:cs="Arial"/>
          <w:sz w:val="24"/>
          <w:szCs w:val="24"/>
        </w:rPr>
        <w:t>compliant with R.C. 4928.17(C).”</w:t>
      </w:r>
      <w:r w:rsidR="00D222E8">
        <w:rPr>
          <w:rStyle w:val="FootnoteReference"/>
          <w:rFonts w:ascii="Arial" w:hAnsi="Arial" w:cs="Arial"/>
          <w:sz w:val="24"/>
          <w:szCs w:val="24"/>
        </w:rPr>
        <w:footnoteReference w:id="43"/>
      </w:r>
      <w:r>
        <w:rPr>
          <w:rFonts w:ascii="Arial" w:hAnsi="Arial" w:cs="Arial"/>
          <w:sz w:val="24"/>
          <w:szCs w:val="24"/>
        </w:rPr>
        <w:t xml:space="preserve">  Had the Commission followed Justice Kennedy’s interpretation of the law solely on the basis that her opinion was controlling authority, the Commission would not have had the luxury to choose to agree or disagree with her reasoning.</w:t>
      </w:r>
    </w:p>
    <w:p w14:paraId="6F9F074B" w14:textId="57AAE279" w:rsidR="00EE46BA" w:rsidRDefault="00A77FC7" w:rsidP="00EE46BA">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lastRenderedPageBreak/>
        <w:t xml:space="preserve">Duke further claims that the Commission improperly “refers to legislative </w:t>
      </w:r>
      <w:r w:rsidR="00DB4E0F">
        <w:rPr>
          <w:rFonts w:ascii="Arial" w:hAnsi="Arial" w:cs="Arial"/>
          <w:sz w:val="24"/>
          <w:szCs w:val="24"/>
        </w:rPr>
        <w:t xml:space="preserve">intent </w:t>
      </w:r>
      <w:r>
        <w:rPr>
          <w:rFonts w:ascii="Arial" w:hAnsi="Arial" w:cs="Arial"/>
          <w:sz w:val="24"/>
          <w:szCs w:val="24"/>
        </w:rPr>
        <w:t>that has since been altered through significant changes to Ohio’s regulatory framework”</w:t>
      </w:r>
      <w:r w:rsidR="0030014B">
        <w:rPr>
          <w:rStyle w:val="FootnoteReference"/>
          <w:rFonts w:ascii="Arial" w:hAnsi="Arial" w:cs="Arial"/>
          <w:sz w:val="24"/>
          <w:szCs w:val="24"/>
        </w:rPr>
        <w:footnoteReference w:id="44"/>
      </w:r>
      <w:r>
        <w:rPr>
          <w:rFonts w:ascii="Arial" w:hAnsi="Arial" w:cs="Arial"/>
          <w:sz w:val="24"/>
          <w:szCs w:val="24"/>
        </w:rPr>
        <w:t xml:space="preserve"> “by the later passage of S.B. 221.”</w:t>
      </w:r>
      <w:r w:rsidR="00D222E8">
        <w:rPr>
          <w:rStyle w:val="FootnoteReference"/>
          <w:rFonts w:ascii="Arial" w:hAnsi="Arial" w:cs="Arial"/>
          <w:sz w:val="24"/>
          <w:szCs w:val="24"/>
        </w:rPr>
        <w:footnoteReference w:id="45"/>
      </w:r>
      <w:r w:rsidR="00D222E8">
        <w:rPr>
          <w:rFonts w:ascii="Arial" w:hAnsi="Arial" w:cs="Arial"/>
          <w:sz w:val="24"/>
          <w:szCs w:val="24"/>
        </w:rPr>
        <w:t xml:space="preserve"> </w:t>
      </w:r>
      <w:r>
        <w:rPr>
          <w:rFonts w:ascii="Arial" w:hAnsi="Arial" w:cs="Arial"/>
          <w:sz w:val="24"/>
          <w:szCs w:val="24"/>
        </w:rPr>
        <w:t xml:space="preserve"> Duke’s claim is incorrect.  Although S.B. 221 modified to some extent the manner in which default service prices are established, that law did not modify the substantive provisions within R.C. 4928.17(A) through (D).</w:t>
      </w:r>
      <w:r w:rsidR="00EE46BA" w:rsidRPr="00EE46BA">
        <w:rPr>
          <w:rFonts w:ascii="Arial" w:hAnsi="Arial" w:cs="Arial"/>
          <w:sz w:val="24"/>
          <w:szCs w:val="24"/>
        </w:rPr>
        <w:t xml:space="preserve"> </w:t>
      </w:r>
      <w:r w:rsidR="00EE46BA">
        <w:rPr>
          <w:rFonts w:ascii="Arial" w:hAnsi="Arial" w:cs="Arial"/>
          <w:sz w:val="24"/>
          <w:szCs w:val="24"/>
        </w:rPr>
        <w:t xml:space="preserve">The interim and good cause language contained in Section (C) </w:t>
      </w:r>
      <w:r w:rsidR="006B22A2">
        <w:rPr>
          <w:rFonts w:ascii="Arial" w:hAnsi="Arial" w:cs="Arial"/>
          <w:sz w:val="24"/>
          <w:szCs w:val="24"/>
        </w:rPr>
        <w:t xml:space="preserve">was not eliminated or modified.  </w:t>
      </w:r>
      <w:r w:rsidR="00EE46BA">
        <w:rPr>
          <w:rFonts w:ascii="Arial" w:hAnsi="Arial" w:cs="Arial"/>
          <w:sz w:val="24"/>
          <w:szCs w:val="24"/>
        </w:rPr>
        <w:t xml:space="preserve">And the statute </w:t>
      </w:r>
      <w:r w:rsidR="00D47316">
        <w:rPr>
          <w:rFonts w:ascii="Arial" w:hAnsi="Arial" w:cs="Arial"/>
          <w:sz w:val="24"/>
          <w:szCs w:val="24"/>
        </w:rPr>
        <w:t>continued to require utilities to provide competitive retail electric services and non-electric services through separate affiliates, but for narrow exceptions authorized und</w:t>
      </w:r>
      <w:r w:rsidR="00EE46BA">
        <w:rPr>
          <w:rFonts w:ascii="Arial" w:hAnsi="Arial" w:cs="Arial"/>
          <w:sz w:val="24"/>
          <w:szCs w:val="24"/>
        </w:rPr>
        <w:t xml:space="preserve">er an electric security plan.  Likewise, there is nothing in the balance of Chapter 4928 that supports Duke’s contention that R.C. 4928.17(C) can be utilized to move backward in the restructuring process.   </w:t>
      </w:r>
    </w:p>
    <w:p w14:paraId="259F3A9A" w14:textId="42D747F6" w:rsidR="005920BD" w:rsidRPr="00EE46BA" w:rsidRDefault="00EE46BA" w:rsidP="00EE46BA">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Accordingly, the Commission should reject assignments of error 1 and 3. </w:t>
      </w:r>
    </w:p>
    <w:p w14:paraId="016E242E" w14:textId="40F15D78" w:rsidR="00AA2341" w:rsidRPr="00EE46BA" w:rsidRDefault="00E079BD" w:rsidP="00EE46BA">
      <w:pPr>
        <w:pStyle w:val="ListParagraph"/>
        <w:numPr>
          <w:ilvl w:val="0"/>
          <w:numId w:val="11"/>
        </w:numPr>
        <w:autoSpaceDE w:val="0"/>
        <w:autoSpaceDN w:val="0"/>
        <w:adjustRightInd w:val="0"/>
        <w:spacing w:after="120" w:line="240" w:lineRule="auto"/>
        <w:jc w:val="both"/>
        <w:rPr>
          <w:rFonts w:ascii="Arial" w:hAnsi="Arial" w:cs="Arial"/>
          <w:b/>
          <w:sz w:val="24"/>
          <w:szCs w:val="24"/>
        </w:rPr>
      </w:pPr>
      <w:r>
        <w:rPr>
          <w:rFonts w:ascii="Arial" w:hAnsi="Arial" w:cs="Arial"/>
          <w:b/>
          <w:sz w:val="24"/>
          <w:szCs w:val="24"/>
        </w:rPr>
        <w:t>The Commission was not required to hold a hearing, given that it had sufficient evidence to render a reasoned decision addressing the outsta</w:t>
      </w:r>
      <w:r w:rsidR="00EE46BA">
        <w:rPr>
          <w:rFonts w:ascii="Arial" w:hAnsi="Arial" w:cs="Arial"/>
          <w:b/>
          <w:sz w:val="24"/>
          <w:szCs w:val="24"/>
        </w:rPr>
        <w:t>nding legal and factual issues—a</w:t>
      </w:r>
      <w:r>
        <w:rPr>
          <w:rFonts w:ascii="Arial" w:hAnsi="Arial" w:cs="Arial"/>
          <w:b/>
          <w:sz w:val="24"/>
          <w:szCs w:val="24"/>
        </w:rPr>
        <w:t xml:space="preserve"> hearing would </w:t>
      </w:r>
      <w:r w:rsidR="0077380A">
        <w:rPr>
          <w:rFonts w:ascii="Arial" w:hAnsi="Arial" w:cs="Arial"/>
          <w:b/>
          <w:sz w:val="24"/>
          <w:szCs w:val="24"/>
        </w:rPr>
        <w:t>have added no additional value</w:t>
      </w:r>
      <w:r w:rsidR="00AA2341" w:rsidRPr="00EE46BA">
        <w:rPr>
          <w:rFonts w:ascii="Arial" w:hAnsi="Arial" w:cs="Arial"/>
          <w:b/>
          <w:sz w:val="24"/>
          <w:szCs w:val="24"/>
        </w:rPr>
        <w:t>.</w:t>
      </w:r>
    </w:p>
    <w:p w14:paraId="69D56E2E" w14:textId="79CD52C3" w:rsidR="00ED3DFC" w:rsidRDefault="00EE46BA" w:rsidP="00ED3DFC">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In its second assignment of error, Duke alleges that the</w:t>
      </w:r>
      <w:r w:rsidR="005963B4">
        <w:rPr>
          <w:rFonts w:ascii="Arial" w:hAnsi="Arial" w:cs="Arial"/>
          <w:sz w:val="24"/>
          <w:szCs w:val="24"/>
        </w:rPr>
        <w:t xml:space="preserve"> Order on Remand violated the</w:t>
      </w:r>
      <w:r>
        <w:rPr>
          <w:rFonts w:ascii="Arial" w:hAnsi="Arial" w:cs="Arial"/>
          <w:sz w:val="24"/>
          <w:szCs w:val="24"/>
        </w:rPr>
        <w:t xml:space="preserve"> Court</w:t>
      </w:r>
      <w:r w:rsidR="005963B4">
        <w:rPr>
          <w:rFonts w:ascii="Arial" w:hAnsi="Arial" w:cs="Arial"/>
          <w:sz w:val="24"/>
          <w:szCs w:val="24"/>
        </w:rPr>
        <w:t>’s</w:t>
      </w:r>
      <w:r>
        <w:rPr>
          <w:rFonts w:ascii="Arial" w:hAnsi="Arial" w:cs="Arial"/>
          <w:sz w:val="24"/>
          <w:szCs w:val="24"/>
        </w:rPr>
        <w:t xml:space="preserve"> </w:t>
      </w:r>
      <w:r w:rsidR="005963B4">
        <w:rPr>
          <w:rFonts w:ascii="Arial" w:hAnsi="Arial" w:cs="Arial"/>
          <w:sz w:val="24"/>
          <w:szCs w:val="24"/>
        </w:rPr>
        <w:t>instruction</w:t>
      </w:r>
      <w:r w:rsidR="00485145">
        <w:rPr>
          <w:rFonts w:ascii="Arial" w:hAnsi="Arial" w:cs="Arial"/>
          <w:sz w:val="24"/>
          <w:szCs w:val="24"/>
        </w:rPr>
        <w:t xml:space="preserve"> to hold additional proceedings, take additional arguments, and hold hearings to take additional eviden</w:t>
      </w:r>
      <w:r w:rsidR="005963B4">
        <w:rPr>
          <w:rFonts w:ascii="Arial" w:hAnsi="Arial" w:cs="Arial"/>
          <w:sz w:val="24"/>
          <w:szCs w:val="24"/>
        </w:rPr>
        <w:t>ce, as the Commission has historically done when its orders are remanded.</w:t>
      </w:r>
      <w:r w:rsidR="00281F35">
        <w:rPr>
          <w:rStyle w:val="FootnoteReference"/>
          <w:rFonts w:ascii="Arial" w:hAnsi="Arial" w:cs="Arial"/>
          <w:sz w:val="24"/>
          <w:szCs w:val="24"/>
        </w:rPr>
        <w:footnoteReference w:id="46"/>
      </w:r>
      <w:r w:rsidR="00DA776B">
        <w:rPr>
          <w:rFonts w:ascii="Arial" w:hAnsi="Arial" w:cs="Arial"/>
          <w:sz w:val="24"/>
          <w:szCs w:val="24"/>
        </w:rPr>
        <w:t xml:space="preserve">  Duke, therefore, avers that the Order on Remand violated R.C. 4903.09.</w:t>
      </w:r>
      <w:r w:rsidR="00281F35">
        <w:rPr>
          <w:rStyle w:val="FootnoteReference"/>
          <w:rFonts w:ascii="Arial" w:hAnsi="Arial" w:cs="Arial"/>
          <w:sz w:val="24"/>
          <w:szCs w:val="24"/>
        </w:rPr>
        <w:footnoteReference w:id="47"/>
      </w:r>
      <w:r w:rsidR="005963B4">
        <w:rPr>
          <w:rFonts w:ascii="Arial" w:hAnsi="Arial" w:cs="Arial"/>
          <w:sz w:val="24"/>
          <w:szCs w:val="24"/>
        </w:rPr>
        <w:t xml:space="preserve">  This argument lacks merit.  </w:t>
      </w:r>
    </w:p>
    <w:p w14:paraId="135C7294" w14:textId="559B9FB4" w:rsidR="00DA776B" w:rsidRDefault="00DA776B" w:rsidP="00DA776B">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lastRenderedPageBreak/>
        <w:t>Initially, the Court did not instruct the Commission to hold hearings and take additional arguments.  Rather, the Court instructed the Commission to address IGS’ statutory arguments and to ensure that its decision—either approving or rejecting Duke’s proposal—is based upon findings of fact contained in the record.</w:t>
      </w:r>
      <w:r w:rsidR="00281F35">
        <w:rPr>
          <w:rStyle w:val="FootnoteReference"/>
          <w:rFonts w:ascii="Arial" w:hAnsi="Arial" w:cs="Arial"/>
          <w:sz w:val="24"/>
          <w:szCs w:val="24"/>
        </w:rPr>
        <w:footnoteReference w:id="48"/>
      </w:r>
      <w:r>
        <w:rPr>
          <w:rFonts w:ascii="Arial" w:hAnsi="Arial" w:cs="Arial"/>
          <w:sz w:val="24"/>
          <w:szCs w:val="24"/>
        </w:rPr>
        <w:t xml:space="preserve">  While Duke would like to submit additional argument and</w:t>
      </w:r>
      <w:r w:rsidR="0030014B">
        <w:rPr>
          <w:rFonts w:ascii="Arial" w:hAnsi="Arial" w:cs="Arial"/>
          <w:sz w:val="24"/>
          <w:szCs w:val="24"/>
        </w:rPr>
        <w:t xml:space="preserve"> hold</w:t>
      </w:r>
      <w:r>
        <w:rPr>
          <w:rFonts w:ascii="Arial" w:hAnsi="Arial" w:cs="Arial"/>
          <w:sz w:val="24"/>
          <w:szCs w:val="24"/>
        </w:rPr>
        <w:t xml:space="preserve"> </w:t>
      </w:r>
      <w:r w:rsidR="0030014B">
        <w:rPr>
          <w:rFonts w:ascii="Arial" w:hAnsi="Arial" w:cs="Arial"/>
          <w:sz w:val="24"/>
          <w:szCs w:val="24"/>
        </w:rPr>
        <w:t xml:space="preserve">a </w:t>
      </w:r>
      <w:proofErr w:type="gramStart"/>
      <w:r>
        <w:rPr>
          <w:rFonts w:ascii="Arial" w:hAnsi="Arial" w:cs="Arial"/>
          <w:sz w:val="24"/>
          <w:szCs w:val="24"/>
        </w:rPr>
        <w:t>hearing, that</w:t>
      </w:r>
      <w:proofErr w:type="gramEnd"/>
      <w:r>
        <w:rPr>
          <w:rFonts w:ascii="Arial" w:hAnsi="Arial" w:cs="Arial"/>
          <w:sz w:val="24"/>
          <w:szCs w:val="24"/>
        </w:rPr>
        <w:t xml:space="preserve"> would be a waste of time for one simple reason</w:t>
      </w:r>
      <w:r w:rsidR="00800BB2">
        <w:rPr>
          <w:rFonts w:ascii="Arial" w:hAnsi="Arial" w:cs="Arial"/>
          <w:sz w:val="24"/>
          <w:szCs w:val="24"/>
        </w:rPr>
        <w:t>:</w:t>
      </w:r>
      <w:r>
        <w:rPr>
          <w:rFonts w:ascii="Arial" w:hAnsi="Arial" w:cs="Arial"/>
          <w:sz w:val="24"/>
          <w:szCs w:val="24"/>
        </w:rPr>
        <w:t xml:space="preserve">  No amount </w:t>
      </w:r>
      <w:r w:rsidR="0030014B">
        <w:rPr>
          <w:rFonts w:ascii="Arial" w:hAnsi="Arial" w:cs="Arial"/>
          <w:sz w:val="24"/>
          <w:szCs w:val="24"/>
        </w:rPr>
        <w:t xml:space="preserve">of </w:t>
      </w:r>
      <w:r>
        <w:rPr>
          <w:rFonts w:ascii="Arial" w:hAnsi="Arial" w:cs="Arial"/>
          <w:sz w:val="24"/>
          <w:szCs w:val="24"/>
        </w:rPr>
        <w:t>hearings, additional evidence, or argument can change the nature of Duke’s Application</w:t>
      </w:r>
      <w:r w:rsidR="00800BB2">
        <w:rPr>
          <w:rFonts w:ascii="Arial" w:hAnsi="Arial" w:cs="Arial"/>
          <w:sz w:val="24"/>
          <w:szCs w:val="24"/>
        </w:rPr>
        <w:t>.  T</w:t>
      </w:r>
      <w:r>
        <w:rPr>
          <w:rFonts w:ascii="Arial" w:hAnsi="Arial" w:cs="Arial"/>
          <w:sz w:val="24"/>
          <w:szCs w:val="24"/>
        </w:rPr>
        <w:t xml:space="preserve">he fact that Duke sought to offer new non-electric services through an EDU indefinitely is completely uncontroverted.  The Commission needed no new evidence to reach its conclusion that the Application fails to comport with R.C. 4928.17(A) and </w:t>
      </w:r>
      <w:r w:rsidR="00800BB2">
        <w:rPr>
          <w:rFonts w:ascii="Arial" w:hAnsi="Arial" w:cs="Arial"/>
          <w:sz w:val="24"/>
          <w:szCs w:val="24"/>
        </w:rPr>
        <w:t xml:space="preserve">is </w:t>
      </w:r>
      <w:r>
        <w:rPr>
          <w:rFonts w:ascii="Arial" w:hAnsi="Arial" w:cs="Arial"/>
          <w:sz w:val="24"/>
          <w:szCs w:val="24"/>
        </w:rPr>
        <w:t>not entitled to an ex</w:t>
      </w:r>
      <w:r w:rsidR="00672163">
        <w:rPr>
          <w:rFonts w:ascii="Arial" w:hAnsi="Arial" w:cs="Arial"/>
          <w:sz w:val="24"/>
          <w:szCs w:val="24"/>
        </w:rPr>
        <w:t xml:space="preserve">ception under section (C). </w:t>
      </w:r>
    </w:p>
    <w:p w14:paraId="09547FC3" w14:textId="1603F8A1" w:rsidR="00DA776B" w:rsidRDefault="00DA776B" w:rsidP="00672163">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Even under the Supreme Court of Ohio precedent cited by Duke, additional proceedings would not be necessary.  </w:t>
      </w:r>
      <w:r w:rsidR="00672163">
        <w:rPr>
          <w:rFonts w:ascii="Arial" w:hAnsi="Arial" w:cs="Arial"/>
          <w:sz w:val="24"/>
          <w:szCs w:val="24"/>
        </w:rPr>
        <w:t>Such proceedings are only necessary “if the record before it was not sufficient to enable it to intelligibly exercise such judgment . . . .”</w:t>
      </w:r>
      <w:r w:rsidR="0030014B">
        <w:rPr>
          <w:rStyle w:val="FootnoteReference"/>
          <w:rFonts w:ascii="Arial" w:hAnsi="Arial" w:cs="Arial"/>
          <w:sz w:val="24"/>
          <w:szCs w:val="24"/>
        </w:rPr>
        <w:footnoteReference w:id="49"/>
      </w:r>
      <w:r w:rsidR="00672163">
        <w:rPr>
          <w:rFonts w:ascii="Arial" w:hAnsi="Arial" w:cs="Arial"/>
          <w:sz w:val="24"/>
          <w:szCs w:val="24"/>
        </w:rPr>
        <w:t xml:space="preserve">  As discussed above, the uncontroverted record evidence was sufficient for the Commission to address IGS’ statutory arguments and to render an informed decision in the proceeding.  And the Commission explained its statutory analysis and the factual basis to support its conclusion. </w:t>
      </w:r>
    </w:p>
    <w:p w14:paraId="3EAC9417" w14:textId="0292384D" w:rsidR="00672163" w:rsidRDefault="00672163" w:rsidP="00672163">
      <w:pPr>
        <w:autoSpaceDE w:val="0"/>
        <w:autoSpaceDN w:val="0"/>
        <w:adjustRightInd w:val="0"/>
        <w:spacing w:after="120" w:line="480" w:lineRule="auto"/>
        <w:jc w:val="both"/>
        <w:rPr>
          <w:rFonts w:ascii="Arial" w:hAnsi="Arial" w:cs="Arial"/>
          <w:sz w:val="24"/>
          <w:szCs w:val="24"/>
        </w:rPr>
      </w:pPr>
      <w:r>
        <w:rPr>
          <w:rFonts w:ascii="Arial" w:hAnsi="Arial" w:cs="Arial"/>
          <w:sz w:val="24"/>
          <w:szCs w:val="24"/>
        </w:rPr>
        <w:tab/>
        <w:t xml:space="preserve">Because the Order on Remand providing reasoning for its statutory interpretation </w:t>
      </w:r>
      <w:r w:rsidRPr="00672163">
        <w:rPr>
          <w:rFonts w:ascii="Arial" w:hAnsi="Arial" w:cs="Arial"/>
          <w:sz w:val="24"/>
          <w:szCs w:val="24"/>
        </w:rPr>
        <w:t xml:space="preserve">based upon evidence in the record, Duke’s R.C. 4903.09 claim falls flat.  </w:t>
      </w:r>
      <w:r>
        <w:rPr>
          <w:rFonts w:ascii="Arial" w:hAnsi="Arial" w:cs="Arial"/>
          <w:sz w:val="24"/>
          <w:szCs w:val="24"/>
        </w:rPr>
        <w:t>R.C. 4903.09 requires the Commission to provide “</w:t>
      </w:r>
      <w:r w:rsidRPr="00672163">
        <w:rPr>
          <w:rFonts w:ascii="Arial" w:hAnsi="Arial" w:cs="Arial"/>
          <w:sz w:val="24"/>
          <w:szCs w:val="24"/>
        </w:rPr>
        <w:t>findings of fact and</w:t>
      </w:r>
      <w:r>
        <w:rPr>
          <w:rFonts w:ascii="Arial" w:hAnsi="Arial" w:cs="Arial"/>
          <w:sz w:val="24"/>
          <w:szCs w:val="24"/>
        </w:rPr>
        <w:t xml:space="preserve"> written opinions setting forth </w:t>
      </w:r>
      <w:r w:rsidRPr="00672163">
        <w:rPr>
          <w:rFonts w:ascii="Arial" w:hAnsi="Arial" w:cs="Arial"/>
          <w:sz w:val="24"/>
          <w:szCs w:val="24"/>
        </w:rPr>
        <w:t xml:space="preserve">the </w:t>
      </w:r>
      <w:r w:rsidRPr="00672163">
        <w:rPr>
          <w:rFonts w:ascii="Arial" w:hAnsi="Arial" w:cs="Arial"/>
          <w:sz w:val="24"/>
          <w:szCs w:val="24"/>
        </w:rPr>
        <w:lastRenderedPageBreak/>
        <w:t>reasons prompting the decisions arrived at, based upon said findings of fact</w:t>
      </w:r>
      <w:r>
        <w:rPr>
          <w:rFonts w:ascii="Arial" w:hAnsi="Arial" w:cs="Arial"/>
          <w:sz w:val="24"/>
          <w:szCs w:val="24"/>
        </w:rPr>
        <w:t xml:space="preserve">.”  </w:t>
      </w:r>
      <w:r w:rsidRPr="00672163">
        <w:rPr>
          <w:rFonts w:ascii="Arial" w:hAnsi="Arial" w:cs="Arial"/>
          <w:sz w:val="24"/>
          <w:szCs w:val="24"/>
        </w:rPr>
        <w:t xml:space="preserve">As the Court has stated, “[t]he purpose of R.C. 4903.09 is to provide the court with sufficient details to enable it to determine how the commission reached its decision.” </w:t>
      </w:r>
      <w:proofErr w:type="spellStart"/>
      <w:r w:rsidRPr="00672163">
        <w:rPr>
          <w:rFonts w:ascii="Arial" w:hAnsi="Arial" w:cs="Arial"/>
          <w:i/>
          <w:sz w:val="24"/>
          <w:szCs w:val="24"/>
        </w:rPr>
        <w:t>Allnet</w:t>
      </w:r>
      <w:proofErr w:type="spellEnd"/>
      <w:r w:rsidRPr="00672163">
        <w:rPr>
          <w:rFonts w:ascii="Arial" w:hAnsi="Arial" w:cs="Arial"/>
          <w:i/>
          <w:sz w:val="24"/>
          <w:szCs w:val="24"/>
        </w:rPr>
        <w:t xml:space="preserve"> Communications </w:t>
      </w:r>
      <w:proofErr w:type="spellStart"/>
      <w:proofErr w:type="gramStart"/>
      <w:r w:rsidR="00373A88">
        <w:rPr>
          <w:rFonts w:ascii="Arial" w:hAnsi="Arial" w:cs="Arial"/>
          <w:i/>
          <w:sz w:val="24"/>
          <w:szCs w:val="24"/>
        </w:rPr>
        <w:t>Servs</w:t>
      </w:r>
      <w:proofErr w:type="spellEnd"/>
      <w:r w:rsidR="00373A88">
        <w:rPr>
          <w:rFonts w:ascii="Arial" w:hAnsi="Arial" w:cs="Arial"/>
          <w:i/>
          <w:sz w:val="24"/>
          <w:szCs w:val="24"/>
        </w:rPr>
        <w:t>.,</w:t>
      </w:r>
      <w:proofErr w:type="gramEnd"/>
      <w:r w:rsidR="00373A88">
        <w:rPr>
          <w:rFonts w:ascii="Arial" w:hAnsi="Arial" w:cs="Arial"/>
          <w:i/>
          <w:sz w:val="24"/>
          <w:szCs w:val="24"/>
        </w:rPr>
        <w:t xml:space="preserve"> Inc. v. Pub. Util. </w:t>
      </w:r>
      <w:proofErr w:type="spellStart"/>
      <w:r w:rsidR="00373A88">
        <w:rPr>
          <w:rFonts w:ascii="Arial" w:hAnsi="Arial" w:cs="Arial"/>
          <w:i/>
          <w:sz w:val="24"/>
          <w:szCs w:val="24"/>
        </w:rPr>
        <w:t>Comm’n</w:t>
      </w:r>
      <w:proofErr w:type="spellEnd"/>
      <w:r w:rsidRPr="00672163">
        <w:rPr>
          <w:rFonts w:ascii="Arial" w:hAnsi="Arial" w:cs="Arial"/>
          <w:i/>
          <w:sz w:val="24"/>
          <w:szCs w:val="24"/>
        </w:rPr>
        <w:t xml:space="preserve">, </w:t>
      </w:r>
      <w:r w:rsidRPr="00672163">
        <w:rPr>
          <w:rFonts w:ascii="Arial" w:hAnsi="Arial" w:cs="Arial"/>
          <w:sz w:val="24"/>
          <w:szCs w:val="24"/>
        </w:rPr>
        <w:t>70 Ohio St.3d 202, 209, 638 N.E.2d 516 (1994).</w:t>
      </w:r>
      <w:r>
        <w:rPr>
          <w:rFonts w:ascii="Arial" w:hAnsi="Arial" w:cs="Arial"/>
          <w:sz w:val="24"/>
          <w:szCs w:val="24"/>
        </w:rPr>
        <w:t xml:space="preserve">  Here, the Commission went to great lengths to explain its interpretation of R.C. 4928.17(C) and (D)</w:t>
      </w:r>
      <w:r w:rsidR="0077380A">
        <w:rPr>
          <w:rFonts w:ascii="Arial" w:hAnsi="Arial" w:cs="Arial"/>
          <w:sz w:val="24"/>
          <w:szCs w:val="24"/>
        </w:rPr>
        <w:t>, and</w:t>
      </w:r>
      <w:r>
        <w:rPr>
          <w:rFonts w:ascii="Arial" w:hAnsi="Arial" w:cs="Arial"/>
          <w:sz w:val="24"/>
          <w:szCs w:val="24"/>
        </w:rPr>
        <w:t xml:space="preserve"> </w:t>
      </w:r>
      <w:r w:rsidR="0077380A">
        <w:rPr>
          <w:rFonts w:ascii="Arial" w:hAnsi="Arial" w:cs="Arial"/>
          <w:sz w:val="24"/>
          <w:szCs w:val="24"/>
        </w:rPr>
        <w:t>applied that interpretation to the facts in this case to reach the determination that the Application does not pass muster.</w:t>
      </w:r>
      <w:r w:rsidR="00281F35">
        <w:rPr>
          <w:rStyle w:val="FootnoteReference"/>
          <w:rFonts w:ascii="Arial" w:hAnsi="Arial" w:cs="Arial"/>
          <w:sz w:val="24"/>
          <w:szCs w:val="24"/>
        </w:rPr>
        <w:footnoteReference w:id="50"/>
      </w:r>
      <w:r w:rsidR="0077380A">
        <w:rPr>
          <w:rFonts w:ascii="Arial" w:hAnsi="Arial" w:cs="Arial"/>
          <w:sz w:val="24"/>
          <w:szCs w:val="24"/>
        </w:rPr>
        <w:t xml:space="preserve"> </w:t>
      </w:r>
      <w:r w:rsidR="002D4D28">
        <w:rPr>
          <w:rFonts w:ascii="Arial" w:hAnsi="Arial" w:cs="Arial"/>
          <w:sz w:val="24"/>
          <w:szCs w:val="24"/>
        </w:rPr>
        <w:t xml:space="preserve"> </w:t>
      </w:r>
      <w:r w:rsidR="0077380A">
        <w:rPr>
          <w:rFonts w:ascii="Arial" w:hAnsi="Arial" w:cs="Arial"/>
          <w:sz w:val="24"/>
          <w:szCs w:val="24"/>
        </w:rPr>
        <w:t>While Duke may not like that result, the Order on Remand makes quite clear the basis for its conclusion within the context of the law and facts.</w:t>
      </w:r>
      <w:r w:rsidR="00E4257B">
        <w:rPr>
          <w:rFonts w:ascii="Arial" w:hAnsi="Arial" w:cs="Arial"/>
          <w:sz w:val="24"/>
          <w:szCs w:val="24"/>
        </w:rPr>
        <w:t xml:space="preserve">  Therefore, the Commission shou</w:t>
      </w:r>
      <w:r w:rsidR="00D222E8">
        <w:rPr>
          <w:rFonts w:ascii="Arial" w:hAnsi="Arial" w:cs="Arial"/>
          <w:sz w:val="24"/>
          <w:szCs w:val="24"/>
        </w:rPr>
        <w:t>ld reject assignment of error 2.</w:t>
      </w:r>
    </w:p>
    <w:p w14:paraId="069B89FB" w14:textId="09F39045" w:rsidR="0077380A" w:rsidRPr="0077380A" w:rsidRDefault="0077380A" w:rsidP="0077380A">
      <w:pPr>
        <w:pStyle w:val="ListParagraph"/>
        <w:numPr>
          <w:ilvl w:val="0"/>
          <w:numId w:val="11"/>
        </w:numPr>
        <w:autoSpaceDE w:val="0"/>
        <w:autoSpaceDN w:val="0"/>
        <w:adjustRightInd w:val="0"/>
        <w:spacing w:after="120" w:line="240" w:lineRule="auto"/>
        <w:jc w:val="both"/>
        <w:rPr>
          <w:rFonts w:ascii="Arial" w:hAnsi="Arial" w:cs="Arial"/>
          <w:sz w:val="24"/>
          <w:szCs w:val="24"/>
        </w:rPr>
      </w:pPr>
      <w:r w:rsidRPr="0077380A">
        <w:rPr>
          <w:rFonts w:ascii="Arial" w:hAnsi="Arial" w:cs="Arial"/>
          <w:b/>
          <w:sz w:val="24"/>
          <w:szCs w:val="24"/>
        </w:rPr>
        <w:t>Duke</w:t>
      </w:r>
      <w:r>
        <w:rPr>
          <w:rFonts w:ascii="Arial" w:hAnsi="Arial" w:cs="Arial"/>
          <w:b/>
          <w:sz w:val="24"/>
          <w:szCs w:val="24"/>
        </w:rPr>
        <w:t xml:space="preserve"> incorrectly</w:t>
      </w:r>
      <w:r w:rsidRPr="0077380A">
        <w:rPr>
          <w:rFonts w:ascii="Arial" w:hAnsi="Arial" w:cs="Arial"/>
          <w:b/>
          <w:sz w:val="24"/>
          <w:szCs w:val="24"/>
        </w:rPr>
        <w:t xml:space="preserve"> claim</w:t>
      </w:r>
      <w:r>
        <w:rPr>
          <w:rFonts w:ascii="Arial" w:hAnsi="Arial" w:cs="Arial"/>
          <w:b/>
          <w:sz w:val="24"/>
          <w:szCs w:val="24"/>
        </w:rPr>
        <w:t>s that Ohio law permits its proposed corporate separation plan and</w:t>
      </w:r>
      <w:r w:rsidRPr="0077380A">
        <w:rPr>
          <w:rFonts w:ascii="Arial" w:hAnsi="Arial" w:cs="Arial"/>
          <w:b/>
          <w:sz w:val="24"/>
          <w:szCs w:val="24"/>
        </w:rPr>
        <w:t xml:space="preserve"> that the Commi</w:t>
      </w:r>
      <w:r>
        <w:rPr>
          <w:rFonts w:ascii="Arial" w:hAnsi="Arial" w:cs="Arial"/>
          <w:b/>
          <w:sz w:val="24"/>
          <w:szCs w:val="24"/>
        </w:rPr>
        <w:t>ssion considered no evidence in reaching its determination</w:t>
      </w:r>
    </w:p>
    <w:p w14:paraId="33770232" w14:textId="129D2D5C" w:rsidR="00EE46BA" w:rsidRDefault="0077380A" w:rsidP="00ED3DFC">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I</w:t>
      </w:r>
      <w:r w:rsidR="0051332E">
        <w:rPr>
          <w:rFonts w:ascii="Arial" w:hAnsi="Arial" w:cs="Arial"/>
          <w:sz w:val="24"/>
          <w:szCs w:val="24"/>
        </w:rPr>
        <w:t>n its</w:t>
      </w:r>
      <w:r w:rsidR="00485145">
        <w:rPr>
          <w:rFonts w:ascii="Arial" w:hAnsi="Arial" w:cs="Arial"/>
          <w:sz w:val="24"/>
          <w:szCs w:val="24"/>
        </w:rPr>
        <w:t xml:space="preserve"> </w:t>
      </w:r>
      <w:r>
        <w:rPr>
          <w:rFonts w:ascii="Arial" w:hAnsi="Arial" w:cs="Arial"/>
          <w:sz w:val="24"/>
          <w:szCs w:val="24"/>
        </w:rPr>
        <w:t>fourth assignment of error</w:t>
      </w:r>
      <w:r w:rsidR="00485145">
        <w:rPr>
          <w:rFonts w:ascii="Arial" w:hAnsi="Arial" w:cs="Arial"/>
          <w:sz w:val="24"/>
          <w:szCs w:val="24"/>
        </w:rPr>
        <w:t>, Duke alleges</w:t>
      </w:r>
      <w:r w:rsidR="00ED3DFC">
        <w:rPr>
          <w:rFonts w:ascii="Arial" w:hAnsi="Arial" w:cs="Arial"/>
          <w:sz w:val="24"/>
          <w:szCs w:val="24"/>
        </w:rPr>
        <w:t xml:space="preserve"> that the Ohio law does not prohibit Duke’s proposed corporate separation plan </w:t>
      </w:r>
      <w:r>
        <w:rPr>
          <w:rFonts w:ascii="Arial" w:hAnsi="Arial" w:cs="Arial"/>
          <w:sz w:val="24"/>
          <w:szCs w:val="24"/>
        </w:rPr>
        <w:t xml:space="preserve">and that the Order on Remand </w:t>
      </w:r>
      <w:r w:rsidR="00ED3DFC">
        <w:rPr>
          <w:rFonts w:ascii="Arial" w:hAnsi="Arial" w:cs="Arial"/>
          <w:sz w:val="24"/>
          <w:szCs w:val="24"/>
        </w:rPr>
        <w:t>considered no evidence or arguments on which to base its decision that the proposed plan is not compliant with R.C. 4928.17(C) because it was not</w:t>
      </w:r>
      <w:r>
        <w:rPr>
          <w:rFonts w:ascii="Arial" w:hAnsi="Arial" w:cs="Arial"/>
          <w:sz w:val="24"/>
          <w:szCs w:val="24"/>
        </w:rPr>
        <w:t xml:space="preserve"> designed for an interim period.</w:t>
      </w:r>
      <w:r w:rsidR="00373A88">
        <w:rPr>
          <w:rStyle w:val="FootnoteReference"/>
          <w:rFonts w:ascii="Arial" w:hAnsi="Arial" w:cs="Arial"/>
          <w:sz w:val="24"/>
          <w:szCs w:val="24"/>
        </w:rPr>
        <w:footnoteReference w:id="51"/>
      </w:r>
      <w:r>
        <w:rPr>
          <w:rFonts w:ascii="Arial" w:hAnsi="Arial" w:cs="Arial"/>
          <w:sz w:val="24"/>
          <w:szCs w:val="24"/>
        </w:rPr>
        <w:t xml:space="preserve">  Duke claims that the Order on Remand’s determinati</w:t>
      </w:r>
      <w:r w:rsidR="0051332E">
        <w:rPr>
          <w:rFonts w:ascii="Arial" w:hAnsi="Arial" w:cs="Arial"/>
          <w:sz w:val="24"/>
          <w:szCs w:val="24"/>
        </w:rPr>
        <w:t>ons with respect to state policy are</w:t>
      </w:r>
      <w:r>
        <w:rPr>
          <w:rFonts w:ascii="Arial" w:hAnsi="Arial" w:cs="Arial"/>
          <w:sz w:val="24"/>
          <w:szCs w:val="24"/>
        </w:rPr>
        <w:t xml:space="preserve"> not substantiated.</w:t>
      </w:r>
      <w:r w:rsidR="00373A88">
        <w:rPr>
          <w:rStyle w:val="FootnoteReference"/>
          <w:rFonts w:ascii="Arial" w:hAnsi="Arial" w:cs="Arial"/>
          <w:sz w:val="24"/>
          <w:szCs w:val="24"/>
        </w:rPr>
        <w:footnoteReference w:id="52"/>
      </w:r>
      <w:r>
        <w:rPr>
          <w:rFonts w:ascii="Arial" w:hAnsi="Arial" w:cs="Arial"/>
          <w:sz w:val="24"/>
          <w:szCs w:val="24"/>
        </w:rPr>
        <w:t xml:space="preserve">  Duke further argues that it was not its obligation to propose an interim time period and that it was the Commission’s obligation to provide one in an order appro</w:t>
      </w:r>
      <w:r w:rsidR="0051332E">
        <w:rPr>
          <w:rFonts w:ascii="Arial" w:hAnsi="Arial" w:cs="Arial"/>
          <w:sz w:val="24"/>
          <w:szCs w:val="24"/>
        </w:rPr>
        <w:t xml:space="preserve">ving the Application.  </w:t>
      </w:r>
    </w:p>
    <w:p w14:paraId="5E9BEEC6" w14:textId="51BF333E" w:rsidR="00EB2346" w:rsidRDefault="0051332E" w:rsidP="00ED3DFC">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lastRenderedPageBreak/>
        <w:t>First, Duke claims that if a plan does not comply with R.C. 4928.17(A</w:t>
      </w:r>
      <w:proofErr w:type="gramStart"/>
      <w:r>
        <w:rPr>
          <w:rFonts w:ascii="Arial" w:hAnsi="Arial" w:cs="Arial"/>
          <w:sz w:val="24"/>
          <w:szCs w:val="24"/>
        </w:rPr>
        <w:t>)(</w:t>
      </w:r>
      <w:proofErr w:type="gramEnd"/>
      <w:r>
        <w:rPr>
          <w:rFonts w:ascii="Arial" w:hAnsi="Arial" w:cs="Arial"/>
          <w:sz w:val="24"/>
          <w:szCs w:val="24"/>
        </w:rPr>
        <w:t>1), it “</w:t>
      </w:r>
      <w:r w:rsidRPr="00825830">
        <w:rPr>
          <w:rFonts w:ascii="Arial" w:hAnsi="Arial" w:cs="Arial"/>
          <w:b/>
          <w:sz w:val="24"/>
          <w:szCs w:val="24"/>
        </w:rPr>
        <w:t xml:space="preserve">shall </w:t>
      </w:r>
      <w:r>
        <w:rPr>
          <w:rFonts w:ascii="Arial" w:hAnsi="Arial" w:cs="Arial"/>
          <w:sz w:val="24"/>
          <w:szCs w:val="24"/>
        </w:rPr>
        <w:t>nevertheless be approved” if it</w:t>
      </w:r>
      <w:r w:rsidR="00E53096">
        <w:rPr>
          <w:rFonts w:ascii="Arial" w:hAnsi="Arial" w:cs="Arial"/>
          <w:sz w:val="24"/>
          <w:szCs w:val="24"/>
        </w:rPr>
        <w:t xml:space="preserve"> 1)</w:t>
      </w:r>
      <w:r>
        <w:rPr>
          <w:rFonts w:ascii="Arial" w:hAnsi="Arial" w:cs="Arial"/>
          <w:sz w:val="24"/>
          <w:szCs w:val="24"/>
        </w:rPr>
        <w:t xml:space="preserve"> </w:t>
      </w:r>
      <w:r w:rsidR="00800BB2">
        <w:rPr>
          <w:rFonts w:ascii="Arial" w:hAnsi="Arial" w:cs="Arial"/>
          <w:sz w:val="24"/>
          <w:szCs w:val="24"/>
        </w:rPr>
        <w:t>com</w:t>
      </w:r>
      <w:r>
        <w:rPr>
          <w:rFonts w:ascii="Arial" w:hAnsi="Arial" w:cs="Arial"/>
          <w:sz w:val="24"/>
          <w:szCs w:val="24"/>
        </w:rPr>
        <w:t>plies with the Commission’s requirements,</w:t>
      </w:r>
      <w:r w:rsidR="00626A61">
        <w:rPr>
          <w:rFonts w:ascii="Arial" w:hAnsi="Arial" w:cs="Arial"/>
          <w:sz w:val="24"/>
          <w:szCs w:val="24"/>
        </w:rPr>
        <w:t xml:space="preserve"> </w:t>
      </w:r>
      <w:r w:rsidR="00E53096">
        <w:rPr>
          <w:rFonts w:ascii="Arial" w:hAnsi="Arial" w:cs="Arial"/>
          <w:sz w:val="24"/>
          <w:szCs w:val="24"/>
        </w:rPr>
        <w:t xml:space="preserve">2) </w:t>
      </w:r>
      <w:r>
        <w:rPr>
          <w:rFonts w:ascii="Arial" w:hAnsi="Arial" w:cs="Arial"/>
          <w:sz w:val="24"/>
          <w:szCs w:val="24"/>
        </w:rPr>
        <w:t xml:space="preserve">is for an interim period, and </w:t>
      </w:r>
      <w:r w:rsidR="00E53096">
        <w:rPr>
          <w:rFonts w:ascii="Arial" w:hAnsi="Arial" w:cs="Arial"/>
          <w:sz w:val="24"/>
          <w:szCs w:val="24"/>
        </w:rPr>
        <w:t xml:space="preserve">3) </w:t>
      </w:r>
      <w:r>
        <w:rPr>
          <w:rFonts w:ascii="Arial" w:hAnsi="Arial" w:cs="Arial"/>
          <w:sz w:val="24"/>
          <w:szCs w:val="24"/>
        </w:rPr>
        <w:t>will provide for ongoing compliance with state policy.</w:t>
      </w:r>
      <w:r w:rsidR="002D4D28">
        <w:rPr>
          <w:rStyle w:val="FootnoteReference"/>
          <w:rFonts w:ascii="Arial" w:hAnsi="Arial" w:cs="Arial"/>
          <w:sz w:val="24"/>
          <w:szCs w:val="24"/>
        </w:rPr>
        <w:footnoteReference w:id="53"/>
      </w:r>
      <w:r w:rsidR="00825830">
        <w:rPr>
          <w:rFonts w:ascii="Arial" w:hAnsi="Arial" w:cs="Arial"/>
          <w:sz w:val="24"/>
          <w:szCs w:val="24"/>
        </w:rPr>
        <w:t xml:space="preserve">  This statement completely misstates the unambiguous letter of the law and is in conflict with the correct interpretation of Section (C) provided in the Order on Remand.  While Duke alleges that the Commission “shall” approve an interim functional separation plan that otherwise complies with state policy and the balance of 4928.17, the language of the statue states otherwise—the Commission “may” do so based upon a finding of good cause.  Such an exception, however, has </w:t>
      </w:r>
      <w:r w:rsidR="00626A61">
        <w:rPr>
          <w:rFonts w:ascii="Arial" w:hAnsi="Arial" w:cs="Arial"/>
          <w:sz w:val="24"/>
          <w:szCs w:val="24"/>
        </w:rPr>
        <w:t xml:space="preserve">been </w:t>
      </w:r>
      <w:r w:rsidR="00825830">
        <w:rPr>
          <w:rFonts w:ascii="Arial" w:hAnsi="Arial" w:cs="Arial"/>
          <w:sz w:val="24"/>
          <w:szCs w:val="24"/>
        </w:rPr>
        <w:t>determined to be unavailable for an EDU to move backwards in the restructuring proce</w:t>
      </w:r>
      <w:r w:rsidR="00EB2346">
        <w:rPr>
          <w:rFonts w:ascii="Arial" w:hAnsi="Arial" w:cs="Arial"/>
          <w:sz w:val="24"/>
          <w:szCs w:val="24"/>
        </w:rPr>
        <w:t xml:space="preserve">ss in contravention of state policy in favor of unbundled rates and anti-subsidization. </w:t>
      </w:r>
    </w:p>
    <w:p w14:paraId="40FBF76D" w14:textId="2D8ED703" w:rsidR="00EB2346" w:rsidRDefault="00EB2346" w:rsidP="00EB2346">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Second, Duke claims that nowhere in the Application did Duke seek approval to offer non-</w:t>
      </w:r>
      <w:r w:rsidR="00373A88">
        <w:rPr>
          <w:rFonts w:ascii="Arial" w:hAnsi="Arial" w:cs="Arial"/>
          <w:sz w:val="24"/>
          <w:szCs w:val="24"/>
        </w:rPr>
        <w:t>electric services indefinitely</w:t>
      </w:r>
      <w:r>
        <w:rPr>
          <w:rFonts w:ascii="Arial" w:hAnsi="Arial" w:cs="Arial"/>
          <w:sz w:val="24"/>
          <w:szCs w:val="24"/>
        </w:rPr>
        <w:t xml:space="preserve"> and it was the Commission’s obligation to impose an interim period.</w:t>
      </w:r>
      <w:r w:rsidR="002D4D28">
        <w:rPr>
          <w:rStyle w:val="FootnoteReference"/>
          <w:rFonts w:ascii="Arial" w:hAnsi="Arial" w:cs="Arial"/>
          <w:sz w:val="24"/>
          <w:szCs w:val="24"/>
        </w:rPr>
        <w:footnoteReference w:id="54"/>
      </w:r>
      <w:r>
        <w:rPr>
          <w:rFonts w:ascii="Arial" w:hAnsi="Arial" w:cs="Arial"/>
          <w:sz w:val="24"/>
          <w:szCs w:val="24"/>
        </w:rPr>
        <w:t xml:space="preserve">  This argument is unavailing. </w:t>
      </w:r>
    </w:p>
    <w:p w14:paraId="1B0A5D15" w14:textId="479A8BA0" w:rsidR="00EB2346" w:rsidRDefault="00EB2346" w:rsidP="00EB2346">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While the Commission is required to limit any exception to R.C. 4928.17(A)(1) to an interim period, the Comm</w:t>
      </w:r>
      <w:r w:rsidR="00373A88">
        <w:rPr>
          <w:rFonts w:ascii="Arial" w:hAnsi="Arial" w:cs="Arial"/>
          <w:sz w:val="24"/>
          <w:szCs w:val="24"/>
        </w:rPr>
        <w:t>ission is not obligated to provide an exception</w:t>
      </w:r>
      <w:r>
        <w:rPr>
          <w:rFonts w:ascii="Arial" w:hAnsi="Arial" w:cs="Arial"/>
          <w:sz w:val="24"/>
          <w:szCs w:val="24"/>
        </w:rPr>
        <w:t>.  In the present Order on Remand, the Commission appropriately determined that Duke’s Application should be rejected in its entirety, given that it seeks to move backward in the restructuring process.</w:t>
      </w:r>
      <w:r w:rsidR="00800BB2">
        <w:rPr>
          <w:rFonts w:ascii="Arial" w:hAnsi="Arial" w:cs="Arial"/>
          <w:sz w:val="24"/>
          <w:szCs w:val="24"/>
        </w:rPr>
        <w:t xml:space="preserve"> Moving backward for a finite period </w:t>
      </w:r>
      <w:r w:rsidR="00DB4E0F">
        <w:rPr>
          <w:rFonts w:ascii="Arial" w:hAnsi="Arial" w:cs="Arial"/>
          <w:sz w:val="24"/>
          <w:szCs w:val="24"/>
        </w:rPr>
        <w:t>would change the fact that Duke’s proposal</w:t>
      </w:r>
      <w:r w:rsidR="00373A88">
        <w:rPr>
          <w:rFonts w:ascii="Arial" w:hAnsi="Arial" w:cs="Arial"/>
          <w:sz w:val="24"/>
          <w:szCs w:val="24"/>
        </w:rPr>
        <w:t xml:space="preserve"> </w:t>
      </w:r>
      <w:r w:rsidR="00E53096">
        <w:rPr>
          <w:rFonts w:ascii="Arial" w:hAnsi="Arial" w:cs="Arial"/>
          <w:sz w:val="24"/>
          <w:szCs w:val="24"/>
        </w:rPr>
        <w:t>contravenes State policy</w:t>
      </w:r>
      <w:r w:rsidR="00800BB2">
        <w:rPr>
          <w:rFonts w:ascii="Arial" w:hAnsi="Arial" w:cs="Arial"/>
          <w:sz w:val="24"/>
          <w:szCs w:val="24"/>
        </w:rPr>
        <w:t>.</w:t>
      </w:r>
    </w:p>
    <w:p w14:paraId="4114DC94" w14:textId="4545A45B" w:rsidR="00EB2346" w:rsidRDefault="00EB2346" w:rsidP="00EB2346">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lastRenderedPageBreak/>
        <w:t>Finally, Duke alleges that the Order on Remand did not determine that the Application contravenes state policy based upon the record ev</w:t>
      </w:r>
      <w:r w:rsidR="00297B16">
        <w:rPr>
          <w:rFonts w:ascii="Arial" w:hAnsi="Arial" w:cs="Arial"/>
          <w:sz w:val="24"/>
          <w:szCs w:val="24"/>
        </w:rPr>
        <w:t>idence.  And “without such evidence and arguments, the Commission has no basis on which to conclude that effective competition will be harmed.”</w:t>
      </w:r>
      <w:r w:rsidR="00D222E8">
        <w:rPr>
          <w:rStyle w:val="FootnoteReference"/>
          <w:rFonts w:ascii="Arial" w:hAnsi="Arial" w:cs="Arial"/>
          <w:sz w:val="24"/>
          <w:szCs w:val="24"/>
        </w:rPr>
        <w:footnoteReference w:id="55"/>
      </w:r>
      <w:r w:rsidR="00297B16">
        <w:rPr>
          <w:rFonts w:ascii="Arial" w:hAnsi="Arial" w:cs="Arial"/>
          <w:sz w:val="24"/>
          <w:szCs w:val="24"/>
        </w:rPr>
        <w:t xml:space="preserve">  These alleged flaws in the Order on Remand are not substantiated. </w:t>
      </w:r>
      <w:r>
        <w:rPr>
          <w:rFonts w:ascii="Arial" w:hAnsi="Arial" w:cs="Arial"/>
          <w:sz w:val="24"/>
          <w:szCs w:val="24"/>
        </w:rPr>
        <w:t xml:space="preserve"> </w:t>
      </w:r>
    </w:p>
    <w:p w14:paraId="2FD2F269" w14:textId="0ADDDF0C" w:rsidR="00297B16" w:rsidRDefault="00297B16" w:rsidP="00EB2346">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The Commission’s determination that Duke’s Application contravenes state policy is fully supported by the record.  Based upon the fact that Duke proposed to offer new non-electric services through the EDU—services already offered by its affiliate</w:t>
      </w:r>
      <w:r w:rsidR="0019116C">
        <w:rPr>
          <w:rStyle w:val="FootnoteReference"/>
          <w:rFonts w:ascii="Arial" w:hAnsi="Arial" w:cs="Arial"/>
          <w:sz w:val="24"/>
          <w:szCs w:val="24"/>
        </w:rPr>
        <w:footnoteReference w:id="56"/>
      </w:r>
      <w:r>
        <w:rPr>
          <w:rFonts w:ascii="Arial" w:hAnsi="Arial" w:cs="Arial"/>
          <w:sz w:val="24"/>
          <w:szCs w:val="24"/>
        </w:rPr>
        <w:t>—the Commission correctly determined that the application violated several provisions of state policy.  First, Duke proposed to move backward in the restructuring process, despite the “overarching goal of deregulation” strewn throughout R.C. 4928.02 and the balance of Chapter 4928.</w:t>
      </w:r>
      <w:r w:rsidR="008A64E0">
        <w:rPr>
          <w:rStyle w:val="FootnoteReference"/>
          <w:rFonts w:ascii="Arial" w:hAnsi="Arial" w:cs="Arial"/>
          <w:sz w:val="24"/>
          <w:szCs w:val="24"/>
        </w:rPr>
        <w:footnoteReference w:id="57"/>
      </w:r>
      <w:r>
        <w:rPr>
          <w:rFonts w:ascii="Arial" w:hAnsi="Arial" w:cs="Arial"/>
          <w:sz w:val="24"/>
          <w:szCs w:val="24"/>
        </w:rPr>
        <w:t xml:space="preserve">  Further, the Order on Remand determined that Duke’s proposal would contravene the requirement to provide unbundled services, “instead of separating electric and nonelectric services, the Company’s proposal seeks to package services that are required to be offered through a fully separated affiliate.”</w:t>
      </w:r>
      <w:r w:rsidR="008A64E0">
        <w:rPr>
          <w:rStyle w:val="FootnoteReference"/>
          <w:rFonts w:ascii="Arial" w:hAnsi="Arial" w:cs="Arial"/>
          <w:sz w:val="24"/>
          <w:szCs w:val="24"/>
        </w:rPr>
        <w:footnoteReference w:id="58"/>
      </w:r>
      <w:r>
        <w:rPr>
          <w:rFonts w:ascii="Arial" w:hAnsi="Arial" w:cs="Arial"/>
          <w:sz w:val="24"/>
          <w:szCs w:val="24"/>
        </w:rPr>
        <w:t xml:space="preserve">  Finally,</w:t>
      </w:r>
      <w:r w:rsidR="002D4D28">
        <w:rPr>
          <w:rFonts w:ascii="Arial" w:hAnsi="Arial" w:cs="Arial"/>
          <w:sz w:val="24"/>
          <w:szCs w:val="24"/>
        </w:rPr>
        <w:t xml:space="preserve"> </w:t>
      </w:r>
      <w:r w:rsidR="00800BB2">
        <w:rPr>
          <w:rFonts w:ascii="Arial" w:hAnsi="Arial" w:cs="Arial"/>
          <w:sz w:val="24"/>
          <w:szCs w:val="24"/>
        </w:rPr>
        <w:t>t</w:t>
      </w:r>
      <w:r>
        <w:rPr>
          <w:rFonts w:ascii="Arial" w:hAnsi="Arial" w:cs="Arial"/>
          <w:sz w:val="24"/>
          <w:szCs w:val="24"/>
        </w:rPr>
        <w:t xml:space="preserve">he Order on remand </w:t>
      </w:r>
      <w:r w:rsidR="00800BB2">
        <w:rPr>
          <w:rFonts w:ascii="Arial" w:hAnsi="Arial" w:cs="Arial"/>
          <w:sz w:val="24"/>
          <w:szCs w:val="24"/>
        </w:rPr>
        <w:t xml:space="preserve">correctly determined that the Application contravenes </w:t>
      </w:r>
      <w:r>
        <w:rPr>
          <w:rFonts w:ascii="Arial" w:hAnsi="Arial" w:cs="Arial"/>
          <w:sz w:val="24"/>
          <w:szCs w:val="24"/>
        </w:rPr>
        <w:t>R.C. 4928.02(H).</w:t>
      </w:r>
      <w:r w:rsidR="008A64E0">
        <w:rPr>
          <w:rStyle w:val="FootnoteReference"/>
          <w:rFonts w:ascii="Arial" w:hAnsi="Arial" w:cs="Arial"/>
          <w:sz w:val="24"/>
          <w:szCs w:val="24"/>
        </w:rPr>
        <w:footnoteReference w:id="59"/>
      </w:r>
      <w:r>
        <w:rPr>
          <w:rFonts w:ascii="Arial" w:hAnsi="Arial" w:cs="Arial"/>
          <w:sz w:val="24"/>
          <w:szCs w:val="24"/>
        </w:rPr>
        <w:t xml:space="preserve">  Regarding this violation, it is apparent that offering nonelectric products and services through an EDU may allow that entity to subsidize nonelectric product offerings through the utilization of </w:t>
      </w:r>
      <w:r>
        <w:rPr>
          <w:rFonts w:ascii="Arial" w:hAnsi="Arial" w:cs="Arial"/>
          <w:sz w:val="24"/>
          <w:szCs w:val="24"/>
        </w:rPr>
        <w:lastRenderedPageBreak/>
        <w:t>dist</w:t>
      </w:r>
      <w:r w:rsidR="00E4257B">
        <w:rPr>
          <w:rFonts w:ascii="Arial" w:hAnsi="Arial" w:cs="Arial"/>
          <w:sz w:val="24"/>
          <w:szCs w:val="24"/>
        </w:rPr>
        <w:t xml:space="preserve">ribution revenues and assets. The Commission appropriately determined that the more prudent course of action is to require such services to be provided exclusively through affiliated entities. </w:t>
      </w:r>
    </w:p>
    <w:p w14:paraId="4100A58B" w14:textId="667EA7E2" w:rsidR="002D4D28" w:rsidRDefault="002D4D28" w:rsidP="00EB2346">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Lastly, Duke alleges that the Order on Remand changed course without justifying its new direction.</w:t>
      </w:r>
      <w:r w:rsidR="0019116C">
        <w:rPr>
          <w:rStyle w:val="FootnoteReference"/>
          <w:rFonts w:ascii="Arial" w:hAnsi="Arial" w:cs="Arial"/>
          <w:sz w:val="24"/>
          <w:szCs w:val="24"/>
        </w:rPr>
        <w:footnoteReference w:id="60"/>
      </w:r>
      <w:r>
        <w:rPr>
          <w:rFonts w:ascii="Arial" w:hAnsi="Arial" w:cs="Arial"/>
          <w:sz w:val="24"/>
          <w:szCs w:val="24"/>
        </w:rPr>
        <w:t xml:space="preserve">  This argument is flawed because the order in the case below had not resolved the substantive meaning of Sections (C) and (D); therefore, the Order on Remand did not deviate from a concrete legal determination.  As the instruction on remand stated, the Commission was required to issue substantive determinations regarding the meaning of R.C. 4928.17(C) and (D) because the Commission did not do so in its prior order. </w:t>
      </w:r>
    </w:p>
    <w:p w14:paraId="734BE4A4" w14:textId="1C483C8C" w:rsidR="002D4D28" w:rsidRDefault="002D4D28" w:rsidP="00EB2346">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Regardless, the Order on Remand correctly interpreted R.C. 4928.17(C), given the Court’s substantive holding that any exception under R.C. 4928.17(C) must be i</w:t>
      </w:r>
      <w:r w:rsidR="008D3B41">
        <w:rPr>
          <w:rFonts w:ascii="Arial" w:hAnsi="Arial" w:cs="Arial"/>
          <w:sz w:val="24"/>
          <w:szCs w:val="24"/>
        </w:rPr>
        <w:t>nterim in nature.  This guidance provides sufficient justification for the Commission’s ultimate conclusion that an “interim” exception cannot be used to allow an EDU to move backward in the restructuring process nearly twenty years after the General Assembly restructured and unbundled the market.</w:t>
      </w:r>
    </w:p>
    <w:p w14:paraId="34036BFB" w14:textId="1A4785E0" w:rsidR="00E4257B" w:rsidRDefault="00E4257B" w:rsidP="00EB2346">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Accordingly, the Commission should reject assignment error 4.</w:t>
      </w:r>
    </w:p>
    <w:p w14:paraId="0FC90C7E" w14:textId="0B70014A" w:rsidR="00EB2346" w:rsidRDefault="00E4257B" w:rsidP="00E4257B">
      <w:pPr>
        <w:pStyle w:val="ListParagraph"/>
        <w:numPr>
          <w:ilvl w:val="0"/>
          <w:numId w:val="8"/>
        </w:numPr>
        <w:autoSpaceDE w:val="0"/>
        <w:autoSpaceDN w:val="0"/>
        <w:adjustRightInd w:val="0"/>
        <w:spacing w:after="120" w:line="480" w:lineRule="auto"/>
        <w:jc w:val="both"/>
        <w:rPr>
          <w:rFonts w:ascii="Arial" w:hAnsi="Arial" w:cs="Arial"/>
          <w:b/>
          <w:sz w:val="24"/>
          <w:szCs w:val="24"/>
        </w:rPr>
      </w:pPr>
      <w:r>
        <w:rPr>
          <w:rFonts w:ascii="Arial" w:hAnsi="Arial" w:cs="Arial"/>
          <w:b/>
          <w:sz w:val="24"/>
          <w:szCs w:val="24"/>
        </w:rPr>
        <w:t>CONCLUSION</w:t>
      </w:r>
    </w:p>
    <w:p w14:paraId="556BEA01" w14:textId="21E3AD98" w:rsidR="00F5720A" w:rsidRPr="009D71F6" w:rsidRDefault="009B360A" w:rsidP="001637C0">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The</w:t>
      </w:r>
      <w:r w:rsidRPr="003963A8">
        <w:rPr>
          <w:rFonts w:ascii="Arial" w:hAnsi="Arial" w:cs="Arial"/>
          <w:sz w:val="24"/>
          <w:szCs w:val="24"/>
        </w:rPr>
        <w:t xml:space="preserve"> General Assembly restruct</w:t>
      </w:r>
      <w:r>
        <w:rPr>
          <w:rFonts w:ascii="Arial" w:hAnsi="Arial" w:cs="Arial"/>
          <w:sz w:val="24"/>
          <w:szCs w:val="24"/>
        </w:rPr>
        <w:t xml:space="preserve">ured and unbundled the market nearly twenty years ago.  </w:t>
      </w:r>
      <w:r w:rsidR="003963A8">
        <w:rPr>
          <w:rFonts w:ascii="Arial" w:hAnsi="Arial" w:cs="Arial"/>
          <w:sz w:val="24"/>
          <w:szCs w:val="24"/>
        </w:rPr>
        <w:t xml:space="preserve">To assist EDUs in the restructuring process, Ohio’s corporate separation statute provided a </w:t>
      </w:r>
      <w:r>
        <w:rPr>
          <w:rFonts w:ascii="Arial" w:hAnsi="Arial" w:cs="Arial"/>
          <w:sz w:val="24"/>
          <w:szCs w:val="24"/>
        </w:rPr>
        <w:t xml:space="preserve">glide path—a </w:t>
      </w:r>
      <w:r w:rsidR="009A6890">
        <w:rPr>
          <w:rFonts w:ascii="Arial" w:hAnsi="Arial" w:cs="Arial"/>
          <w:sz w:val="24"/>
          <w:szCs w:val="24"/>
        </w:rPr>
        <w:t xml:space="preserve">temporary </w:t>
      </w:r>
      <w:r w:rsidR="007B5EFA">
        <w:rPr>
          <w:rFonts w:ascii="Arial" w:hAnsi="Arial" w:cs="Arial"/>
          <w:sz w:val="24"/>
          <w:szCs w:val="24"/>
        </w:rPr>
        <w:t>exception</w:t>
      </w:r>
      <w:r>
        <w:rPr>
          <w:rFonts w:ascii="Arial" w:hAnsi="Arial" w:cs="Arial"/>
          <w:sz w:val="24"/>
          <w:szCs w:val="24"/>
        </w:rPr>
        <w:t>—</w:t>
      </w:r>
      <w:r w:rsidR="003963A8">
        <w:rPr>
          <w:rFonts w:ascii="Arial" w:hAnsi="Arial" w:cs="Arial"/>
          <w:sz w:val="24"/>
          <w:szCs w:val="24"/>
        </w:rPr>
        <w:t>to</w:t>
      </w:r>
      <w:r>
        <w:rPr>
          <w:rFonts w:ascii="Arial" w:hAnsi="Arial" w:cs="Arial"/>
          <w:sz w:val="24"/>
          <w:szCs w:val="24"/>
        </w:rPr>
        <w:t xml:space="preserve"> allow EDUs to</w:t>
      </w:r>
      <w:r w:rsidR="003963A8">
        <w:rPr>
          <w:rFonts w:ascii="Arial" w:hAnsi="Arial" w:cs="Arial"/>
          <w:sz w:val="24"/>
          <w:szCs w:val="24"/>
        </w:rPr>
        <w:t xml:space="preserve"> transition to full legal </w:t>
      </w:r>
      <w:r w:rsidR="003963A8">
        <w:rPr>
          <w:rFonts w:ascii="Arial" w:hAnsi="Arial" w:cs="Arial"/>
          <w:sz w:val="24"/>
          <w:szCs w:val="24"/>
        </w:rPr>
        <w:lastRenderedPageBreak/>
        <w:t>separation of regulated and unregulated services.</w:t>
      </w:r>
      <w:r>
        <w:rPr>
          <w:rFonts w:ascii="Arial" w:hAnsi="Arial" w:cs="Arial"/>
          <w:sz w:val="24"/>
          <w:szCs w:val="24"/>
        </w:rPr>
        <w:t xml:space="preserve">  As t</w:t>
      </w:r>
      <w:r w:rsidR="003963A8">
        <w:rPr>
          <w:rFonts w:ascii="Arial" w:hAnsi="Arial" w:cs="Arial"/>
          <w:sz w:val="24"/>
          <w:szCs w:val="24"/>
        </w:rPr>
        <w:t>he Order on Remand</w:t>
      </w:r>
      <w:r>
        <w:rPr>
          <w:rFonts w:ascii="Arial" w:hAnsi="Arial" w:cs="Arial"/>
          <w:sz w:val="24"/>
          <w:szCs w:val="24"/>
        </w:rPr>
        <w:t xml:space="preserve"> determined, the exception cannot be utilized to allow an EDU to</w:t>
      </w:r>
      <w:r w:rsidR="003963A8">
        <w:rPr>
          <w:rFonts w:ascii="Arial" w:hAnsi="Arial" w:cs="Arial"/>
          <w:sz w:val="24"/>
          <w:szCs w:val="24"/>
        </w:rPr>
        <w:t xml:space="preserve"> backslide in the restructuring process.</w:t>
      </w:r>
      <w:r>
        <w:rPr>
          <w:rFonts w:ascii="Arial" w:hAnsi="Arial" w:cs="Arial"/>
          <w:sz w:val="24"/>
          <w:szCs w:val="24"/>
        </w:rPr>
        <w:t xml:space="preserve">  The Commission’s interpretation of the law is supported by Ohio law, policy, and the facts.  </w:t>
      </w:r>
      <w:r w:rsidR="003963A8">
        <w:rPr>
          <w:rFonts w:ascii="Arial" w:hAnsi="Arial" w:cs="Arial"/>
          <w:sz w:val="24"/>
          <w:szCs w:val="24"/>
        </w:rPr>
        <w:t>Accordingly, Duke’s Application for Rehearing lacks merit and therefore the Commission should reject it.</w:t>
      </w:r>
      <w:r w:rsidR="00F5720A">
        <w:rPr>
          <w:rFonts w:ascii="Arial" w:hAnsi="Arial" w:cs="Arial"/>
          <w:sz w:val="24"/>
          <w:szCs w:val="24"/>
        </w:rPr>
        <w:t xml:space="preserve"> </w:t>
      </w:r>
    </w:p>
    <w:p w14:paraId="7176D2D0" w14:textId="77777777" w:rsidR="00545F29" w:rsidRPr="006B22A2" w:rsidRDefault="0056270F">
      <w:pPr>
        <w:spacing w:after="0" w:line="240" w:lineRule="auto"/>
        <w:ind w:left="5040"/>
        <w:rPr>
          <w:rFonts w:ascii="Arial" w:eastAsia="Calibri" w:hAnsi="Arial" w:cs="Arial"/>
          <w:sz w:val="24"/>
          <w:szCs w:val="24"/>
        </w:rPr>
      </w:pPr>
      <w:r w:rsidRPr="006B22A2">
        <w:rPr>
          <w:rFonts w:ascii="Arial" w:eastAsia="Calibri" w:hAnsi="Arial" w:cs="Arial"/>
          <w:sz w:val="24"/>
          <w:szCs w:val="24"/>
        </w:rPr>
        <w:t>Respectfully submitted,</w:t>
      </w:r>
    </w:p>
    <w:p w14:paraId="7176D2D3" w14:textId="77777777" w:rsidR="00545F29" w:rsidRPr="006B22A2" w:rsidRDefault="00545F29" w:rsidP="002E3064">
      <w:pPr>
        <w:spacing w:after="0" w:line="240" w:lineRule="auto"/>
        <w:rPr>
          <w:rFonts w:ascii="Arial" w:eastAsia="Calibri" w:hAnsi="Arial" w:cs="Arial"/>
          <w:sz w:val="24"/>
          <w:szCs w:val="24"/>
          <w:u w:val="single"/>
        </w:rPr>
      </w:pPr>
    </w:p>
    <w:p w14:paraId="7176D2D4" w14:textId="71202B1E" w:rsidR="00F10F9B" w:rsidRPr="006B22A2" w:rsidRDefault="00F5720A">
      <w:pPr>
        <w:spacing w:after="0" w:line="240" w:lineRule="auto"/>
        <w:ind w:left="5040"/>
        <w:rPr>
          <w:rFonts w:ascii="Arial" w:eastAsia="Arial" w:hAnsi="Arial" w:cs="Arial"/>
          <w:i/>
          <w:sz w:val="24"/>
          <w:szCs w:val="24"/>
          <w:u w:val="single"/>
        </w:rPr>
      </w:pPr>
      <w:r w:rsidRPr="006B22A2">
        <w:rPr>
          <w:rFonts w:ascii="Arial" w:eastAsia="Arial" w:hAnsi="Arial" w:cs="Arial"/>
          <w:i/>
          <w:sz w:val="24"/>
          <w:szCs w:val="24"/>
          <w:u w:val="single"/>
        </w:rPr>
        <w:t>/s/ Joseph Oliker</w:t>
      </w:r>
    </w:p>
    <w:p w14:paraId="0181F1A6" w14:textId="584ED71F" w:rsidR="00F5720A" w:rsidRPr="006B22A2" w:rsidRDefault="00F5720A">
      <w:pPr>
        <w:spacing w:after="0" w:line="240" w:lineRule="auto"/>
        <w:ind w:left="5040"/>
        <w:rPr>
          <w:rFonts w:ascii="Arial" w:eastAsia="Arial" w:hAnsi="Arial" w:cs="Arial"/>
          <w:sz w:val="24"/>
          <w:szCs w:val="24"/>
        </w:rPr>
      </w:pPr>
      <w:r w:rsidRPr="006B22A2">
        <w:rPr>
          <w:rFonts w:ascii="Arial" w:eastAsia="Arial" w:hAnsi="Arial" w:cs="Arial"/>
          <w:sz w:val="24"/>
          <w:szCs w:val="24"/>
        </w:rPr>
        <w:t>Joseph Oliker</w:t>
      </w:r>
    </w:p>
    <w:p w14:paraId="4878AB42" w14:textId="5D55136F" w:rsidR="00F5720A" w:rsidRPr="006B22A2" w:rsidRDefault="00F5720A">
      <w:pPr>
        <w:spacing w:after="0" w:line="240" w:lineRule="auto"/>
        <w:ind w:left="5040"/>
        <w:rPr>
          <w:rFonts w:ascii="Arial" w:eastAsia="Calibri" w:hAnsi="Arial" w:cs="Arial"/>
          <w:sz w:val="24"/>
          <w:szCs w:val="24"/>
          <w:u w:val="single"/>
        </w:rPr>
      </w:pPr>
      <w:r w:rsidRPr="006B22A2">
        <w:rPr>
          <w:rFonts w:ascii="Arial" w:eastAsia="Arial" w:hAnsi="Arial" w:cs="Arial"/>
          <w:sz w:val="24"/>
          <w:szCs w:val="24"/>
        </w:rPr>
        <w:t xml:space="preserve">Counsel of Record </w:t>
      </w:r>
    </w:p>
    <w:p w14:paraId="7176D2D6" w14:textId="54340D04" w:rsidR="00545F29" w:rsidRPr="006B22A2" w:rsidRDefault="00F5720A" w:rsidP="00F5720A">
      <w:pPr>
        <w:spacing w:after="0" w:line="240" w:lineRule="auto"/>
        <w:ind w:left="5040"/>
        <w:rPr>
          <w:rFonts w:ascii="Arial" w:hAnsi="Arial" w:cs="Arial"/>
          <w:sz w:val="24"/>
          <w:szCs w:val="24"/>
        </w:rPr>
      </w:pPr>
      <w:r w:rsidRPr="006B22A2">
        <w:rPr>
          <w:rFonts w:ascii="Arial" w:hAnsi="Arial" w:cs="Arial"/>
          <w:sz w:val="24"/>
          <w:szCs w:val="24"/>
        </w:rPr>
        <w:t>Email:  joliker</w:t>
      </w:r>
      <w:r w:rsidR="0056270F" w:rsidRPr="006B22A2">
        <w:rPr>
          <w:rFonts w:ascii="Arial" w:hAnsi="Arial" w:cs="Arial"/>
          <w:sz w:val="24"/>
          <w:szCs w:val="24"/>
        </w:rPr>
        <w:t>@igsenergy.com</w:t>
      </w:r>
    </w:p>
    <w:p w14:paraId="7176D2D8" w14:textId="4A669D18" w:rsidR="002F05DC" w:rsidRPr="006B22A2" w:rsidRDefault="0056270F" w:rsidP="00F5720A">
      <w:pPr>
        <w:spacing w:after="0" w:line="240" w:lineRule="auto"/>
        <w:ind w:left="5040"/>
        <w:rPr>
          <w:rFonts w:ascii="Arial" w:hAnsi="Arial" w:cs="Arial"/>
          <w:sz w:val="24"/>
          <w:szCs w:val="24"/>
        </w:rPr>
      </w:pPr>
      <w:r w:rsidRPr="006B22A2">
        <w:rPr>
          <w:rFonts w:ascii="Arial" w:hAnsi="Arial" w:cs="Arial"/>
          <w:sz w:val="24"/>
          <w:szCs w:val="24"/>
        </w:rPr>
        <w:t>Matthew White (0082859)</w:t>
      </w:r>
    </w:p>
    <w:p w14:paraId="7176D2D9" w14:textId="77777777" w:rsidR="00545F29" w:rsidRPr="006B22A2" w:rsidRDefault="0056270F">
      <w:pPr>
        <w:spacing w:after="0" w:line="240" w:lineRule="auto"/>
        <w:ind w:left="5040"/>
        <w:rPr>
          <w:rFonts w:ascii="Arial" w:hAnsi="Arial" w:cs="Arial"/>
          <w:sz w:val="24"/>
          <w:szCs w:val="24"/>
        </w:rPr>
      </w:pPr>
      <w:r w:rsidRPr="006B22A2">
        <w:rPr>
          <w:rFonts w:ascii="Arial" w:hAnsi="Arial" w:cs="Arial"/>
          <w:sz w:val="24"/>
          <w:szCs w:val="24"/>
        </w:rPr>
        <w:t>Email: mswhite@igsenergy.com</w:t>
      </w:r>
    </w:p>
    <w:p w14:paraId="7176D2DA" w14:textId="7754BC4B" w:rsidR="00545F29" w:rsidRPr="006B22A2" w:rsidRDefault="00DA324F">
      <w:pPr>
        <w:spacing w:after="0" w:line="240" w:lineRule="auto"/>
        <w:ind w:left="5040"/>
        <w:rPr>
          <w:rFonts w:ascii="Arial" w:hAnsi="Arial" w:cs="Arial"/>
          <w:sz w:val="24"/>
          <w:szCs w:val="24"/>
        </w:rPr>
      </w:pPr>
      <w:r w:rsidRPr="006B22A2">
        <w:rPr>
          <w:rFonts w:ascii="Arial" w:hAnsi="Arial" w:cs="Arial"/>
          <w:sz w:val="24"/>
          <w:szCs w:val="24"/>
        </w:rPr>
        <w:t>IGS Energy</w:t>
      </w:r>
    </w:p>
    <w:p w14:paraId="7176D2DB" w14:textId="77777777" w:rsidR="00545F29" w:rsidRPr="006B22A2" w:rsidRDefault="0056270F">
      <w:pPr>
        <w:spacing w:after="0" w:line="240" w:lineRule="auto"/>
        <w:ind w:left="5040"/>
        <w:rPr>
          <w:rFonts w:ascii="Arial" w:hAnsi="Arial" w:cs="Arial"/>
          <w:sz w:val="24"/>
          <w:szCs w:val="24"/>
        </w:rPr>
      </w:pPr>
      <w:r w:rsidRPr="006B22A2">
        <w:rPr>
          <w:rFonts w:ascii="Arial" w:hAnsi="Arial" w:cs="Arial"/>
          <w:sz w:val="24"/>
          <w:szCs w:val="24"/>
        </w:rPr>
        <w:t>6100 Emerald Parkway</w:t>
      </w:r>
    </w:p>
    <w:p w14:paraId="7176D2DC" w14:textId="77777777" w:rsidR="00545F29" w:rsidRPr="006B22A2" w:rsidRDefault="0056270F">
      <w:pPr>
        <w:spacing w:after="0" w:line="240" w:lineRule="auto"/>
        <w:ind w:left="5040"/>
        <w:rPr>
          <w:rFonts w:ascii="Arial" w:hAnsi="Arial" w:cs="Arial"/>
          <w:sz w:val="24"/>
          <w:szCs w:val="24"/>
        </w:rPr>
      </w:pPr>
      <w:r w:rsidRPr="006B22A2">
        <w:rPr>
          <w:rFonts w:ascii="Arial" w:hAnsi="Arial" w:cs="Arial"/>
          <w:sz w:val="24"/>
          <w:szCs w:val="24"/>
        </w:rPr>
        <w:t>Dublin, Ohio 43016</w:t>
      </w:r>
    </w:p>
    <w:p w14:paraId="7176D2DD" w14:textId="77777777" w:rsidR="00545F29" w:rsidRPr="006B22A2" w:rsidRDefault="0056270F">
      <w:pPr>
        <w:spacing w:after="0" w:line="240" w:lineRule="auto"/>
        <w:ind w:left="5040"/>
        <w:rPr>
          <w:rFonts w:ascii="Arial" w:hAnsi="Arial" w:cs="Arial"/>
          <w:sz w:val="24"/>
          <w:szCs w:val="24"/>
        </w:rPr>
      </w:pPr>
      <w:r w:rsidRPr="006B22A2">
        <w:rPr>
          <w:rFonts w:ascii="Arial" w:hAnsi="Arial" w:cs="Arial"/>
          <w:sz w:val="24"/>
          <w:szCs w:val="24"/>
        </w:rPr>
        <w:t>Telephone:</w:t>
      </w:r>
      <w:r w:rsidRPr="006B22A2">
        <w:rPr>
          <w:rFonts w:ascii="Arial" w:hAnsi="Arial" w:cs="Arial"/>
          <w:sz w:val="24"/>
          <w:szCs w:val="24"/>
        </w:rPr>
        <w:tab/>
        <w:t>(614) 659-5000</w:t>
      </w:r>
    </w:p>
    <w:p w14:paraId="7176D2DE" w14:textId="77777777" w:rsidR="00545F29" w:rsidRPr="006B22A2" w:rsidRDefault="0056270F">
      <w:pPr>
        <w:spacing w:after="0" w:line="240" w:lineRule="auto"/>
        <w:ind w:left="5040"/>
        <w:rPr>
          <w:rFonts w:ascii="Arial" w:hAnsi="Arial" w:cs="Arial"/>
          <w:sz w:val="24"/>
          <w:szCs w:val="24"/>
        </w:rPr>
      </w:pPr>
      <w:r w:rsidRPr="006B22A2">
        <w:rPr>
          <w:rFonts w:ascii="Arial" w:hAnsi="Arial" w:cs="Arial"/>
          <w:sz w:val="24"/>
          <w:szCs w:val="24"/>
        </w:rPr>
        <w:t>Facsimile:</w:t>
      </w:r>
      <w:r w:rsidRPr="006B22A2">
        <w:rPr>
          <w:rFonts w:ascii="Arial" w:hAnsi="Arial" w:cs="Arial"/>
          <w:sz w:val="24"/>
          <w:szCs w:val="24"/>
        </w:rPr>
        <w:tab/>
        <w:t>(614) 659-5073</w:t>
      </w:r>
    </w:p>
    <w:p w14:paraId="7176D2DF" w14:textId="77777777" w:rsidR="00545F29" w:rsidRPr="006B22A2" w:rsidRDefault="00545F29">
      <w:pPr>
        <w:spacing w:after="0" w:line="240" w:lineRule="auto"/>
        <w:ind w:left="5040"/>
        <w:rPr>
          <w:rFonts w:ascii="Arial" w:hAnsi="Arial" w:cs="Arial"/>
          <w:sz w:val="24"/>
          <w:szCs w:val="24"/>
        </w:rPr>
      </w:pPr>
    </w:p>
    <w:p w14:paraId="5F6E707E" w14:textId="77777777" w:rsidR="00626A61" w:rsidRPr="006B22A2" w:rsidRDefault="00DA324F" w:rsidP="00626A61">
      <w:pPr>
        <w:spacing w:after="0" w:line="240" w:lineRule="auto"/>
        <w:ind w:left="5040"/>
        <w:rPr>
          <w:rFonts w:ascii="Arial" w:hAnsi="Arial" w:cs="Arial"/>
          <w:b/>
          <w:i/>
          <w:sz w:val="24"/>
          <w:szCs w:val="24"/>
        </w:rPr>
      </w:pPr>
      <w:r w:rsidRPr="006B22A2">
        <w:rPr>
          <w:rFonts w:ascii="Arial" w:hAnsi="Arial" w:cs="Arial"/>
          <w:b/>
          <w:i/>
          <w:sz w:val="24"/>
          <w:szCs w:val="24"/>
        </w:rPr>
        <w:t>Attorneys for IGS Energy</w:t>
      </w:r>
    </w:p>
    <w:p w14:paraId="2ADE8CCF" w14:textId="77777777" w:rsidR="00626A61" w:rsidRPr="006B22A2" w:rsidRDefault="00626A61" w:rsidP="00626A61">
      <w:pPr>
        <w:spacing w:after="0" w:line="240" w:lineRule="auto"/>
        <w:ind w:left="5040"/>
        <w:rPr>
          <w:rFonts w:ascii="Arial" w:hAnsi="Arial" w:cs="Arial"/>
          <w:b/>
          <w:i/>
          <w:sz w:val="24"/>
          <w:szCs w:val="24"/>
        </w:rPr>
      </w:pPr>
    </w:p>
    <w:p w14:paraId="36CC9E6B" w14:textId="778170BD" w:rsidR="00626A61" w:rsidRPr="006B22A2" w:rsidRDefault="00626A61" w:rsidP="00626A61">
      <w:pPr>
        <w:spacing w:after="0" w:line="240" w:lineRule="auto"/>
        <w:ind w:left="5040"/>
        <w:rPr>
          <w:rFonts w:ascii="Arial" w:hAnsi="Arial" w:cs="Arial"/>
          <w:i/>
          <w:sz w:val="24"/>
          <w:szCs w:val="24"/>
          <w:u w:val="single"/>
        </w:rPr>
      </w:pPr>
      <w:r w:rsidRPr="006B22A2">
        <w:rPr>
          <w:rFonts w:ascii="Arial" w:hAnsi="Arial" w:cs="Arial"/>
          <w:i/>
          <w:sz w:val="24"/>
          <w:szCs w:val="24"/>
          <w:u w:val="single"/>
        </w:rPr>
        <w:t>/s/ Rebekah J. Glover</w:t>
      </w:r>
      <w:r w:rsidR="006B22A2">
        <w:rPr>
          <w:rFonts w:ascii="Arial" w:hAnsi="Arial" w:cs="Arial"/>
          <w:i/>
          <w:sz w:val="24"/>
          <w:szCs w:val="24"/>
          <w:u w:val="single"/>
        </w:rPr>
        <w:tab/>
      </w:r>
    </w:p>
    <w:p w14:paraId="62E631B5" w14:textId="77777777" w:rsidR="00626A61" w:rsidRPr="006B22A2" w:rsidRDefault="00626A61" w:rsidP="00626A61">
      <w:pPr>
        <w:spacing w:after="0" w:line="240" w:lineRule="auto"/>
        <w:ind w:left="5040"/>
        <w:rPr>
          <w:rFonts w:ascii="Arial" w:hAnsi="Arial" w:cs="Arial"/>
          <w:sz w:val="24"/>
          <w:szCs w:val="24"/>
        </w:rPr>
      </w:pPr>
      <w:r w:rsidRPr="006B22A2">
        <w:rPr>
          <w:rFonts w:ascii="Arial" w:hAnsi="Arial" w:cs="Arial"/>
          <w:sz w:val="24"/>
          <w:szCs w:val="24"/>
        </w:rPr>
        <w:t>Mark A. Whitt (0067996)</w:t>
      </w:r>
    </w:p>
    <w:p w14:paraId="340DC77E" w14:textId="77777777" w:rsidR="00626A61" w:rsidRPr="006B22A2" w:rsidRDefault="00626A61" w:rsidP="00626A61">
      <w:pPr>
        <w:spacing w:after="0" w:line="240" w:lineRule="auto"/>
        <w:ind w:left="5040"/>
        <w:rPr>
          <w:rFonts w:ascii="Arial" w:hAnsi="Arial" w:cs="Arial"/>
          <w:sz w:val="24"/>
          <w:szCs w:val="24"/>
        </w:rPr>
      </w:pPr>
      <w:r w:rsidRPr="006B22A2">
        <w:rPr>
          <w:rFonts w:ascii="Arial" w:hAnsi="Arial" w:cs="Arial"/>
          <w:sz w:val="24"/>
          <w:szCs w:val="24"/>
        </w:rPr>
        <w:t>Andrew J. Campbell (0081485)</w:t>
      </w:r>
    </w:p>
    <w:p w14:paraId="0FAB0558" w14:textId="77777777" w:rsidR="00626A61" w:rsidRPr="006B22A2" w:rsidRDefault="00626A61" w:rsidP="00626A61">
      <w:pPr>
        <w:spacing w:after="0" w:line="240" w:lineRule="auto"/>
        <w:ind w:left="5040"/>
        <w:rPr>
          <w:rFonts w:ascii="Arial" w:hAnsi="Arial" w:cs="Arial"/>
          <w:sz w:val="24"/>
          <w:szCs w:val="24"/>
        </w:rPr>
      </w:pPr>
      <w:r w:rsidRPr="006B22A2">
        <w:rPr>
          <w:rFonts w:ascii="Arial" w:hAnsi="Arial" w:cs="Arial"/>
          <w:sz w:val="24"/>
          <w:szCs w:val="24"/>
        </w:rPr>
        <w:t>Rebekah J. Glover (0088798)</w:t>
      </w:r>
    </w:p>
    <w:p w14:paraId="2EF8A8E8" w14:textId="77777777" w:rsidR="00626A61" w:rsidRPr="006B22A2" w:rsidRDefault="00626A61" w:rsidP="00626A61">
      <w:pPr>
        <w:spacing w:after="0" w:line="240" w:lineRule="auto"/>
        <w:ind w:left="5040"/>
        <w:rPr>
          <w:rFonts w:ascii="Arial" w:hAnsi="Arial" w:cs="Arial"/>
          <w:sz w:val="24"/>
          <w:szCs w:val="24"/>
        </w:rPr>
      </w:pPr>
      <w:r w:rsidRPr="006B22A2">
        <w:rPr>
          <w:rFonts w:ascii="Arial" w:hAnsi="Arial" w:cs="Arial"/>
          <w:sz w:val="24"/>
          <w:szCs w:val="24"/>
        </w:rPr>
        <w:t>WHITT STURTEVANT LLP</w:t>
      </w:r>
    </w:p>
    <w:p w14:paraId="14749F01" w14:textId="77777777" w:rsidR="00626A61" w:rsidRPr="006B22A2" w:rsidRDefault="00626A61" w:rsidP="00626A61">
      <w:pPr>
        <w:spacing w:after="0" w:line="240" w:lineRule="auto"/>
        <w:ind w:left="5040"/>
        <w:rPr>
          <w:rFonts w:ascii="Arial" w:hAnsi="Arial" w:cs="Arial"/>
          <w:sz w:val="24"/>
          <w:szCs w:val="24"/>
        </w:rPr>
      </w:pPr>
      <w:r w:rsidRPr="006B22A2">
        <w:rPr>
          <w:rFonts w:ascii="Arial" w:hAnsi="Arial" w:cs="Arial"/>
          <w:sz w:val="24"/>
          <w:szCs w:val="24"/>
        </w:rPr>
        <w:t>The KeyBank Building, Suite 1590</w:t>
      </w:r>
    </w:p>
    <w:p w14:paraId="5904B138" w14:textId="77777777" w:rsidR="00626A61" w:rsidRPr="006B22A2" w:rsidRDefault="00626A61" w:rsidP="00626A61">
      <w:pPr>
        <w:spacing w:after="0" w:line="240" w:lineRule="auto"/>
        <w:ind w:left="5040"/>
        <w:rPr>
          <w:rFonts w:ascii="Arial" w:hAnsi="Arial" w:cs="Arial"/>
          <w:sz w:val="24"/>
          <w:szCs w:val="24"/>
        </w:rPr>
      </w:pPr>
      <w:r w:rsidRPr="006B22A2">
        <w:rPr>
          <w:rFonts w:ascii="Arial" w:hAnsi="Arial" w:cs="Arial"/>
          <w:sz w:val="24"/>
          <w:szCs w:val="24"/>
        </w:rPr>
        <w:t>88 East Broad Street</w:t>
      </w:r>
    </w:p>
    <w:p w14:paraId="240F929A" w14:textId="77777777" w:rsidR="00626A61" w:rsidRPr="006B22A2" w:rsidRDefault="00626A61" w:rsidP="00626A61">
      <w:pPr>
        <w:spacing w:after="0" w:line="240" w:lineRule="auto"/>
        <w:ind w:left="5040"/>
        <w:rPr>
          <w:rFonts w:ascii="Arial" w:hAnsi="Arial" w:cs="Arial"/>
          <w:sz w:val="24"/>
          <w:szCs w:val="24"/>
        </w:rPr>
      </w:pPr>
      <w:r w:rsidRPr="006B22A2">
        <w:rPr>
          <w:rFonts w:ascii="Arial" w:hAnsi="Arial" w:cs="Arial"/>
          <w:sz w:val="24"/>
          <w:szCs w:val="24"/>
        </w:rPr>
        <w:t>Columbus, Ohio 43215</w:t>
      </w:r>
    </w:p>
    <w:p w14:paraId="0477EEF2" w14:textId="77777777" w:rsidR="00626A61" w:rsidRPr="006B22A2" w:rsidRDefault="00626A61" w:rsidP="00626A61">
      <w:pPr>
        <w:spacing w:after="0" w:line="240" w:lineRule="auto"/>
        <w:ind w:left="5040"/>
        <w:rPr>
          <w:rFonts w:ascii="Arial" w:hAnsi="Arial" w:cs="Arial"/>
          <w:sz w:val="24"/>
          <w:szCs w:val="24"/>
        </w:rPr>
      </w:pPr>
      <w:r w:rsidRPr="006B22A2">
        <w:rPr>
          <w:rFonts w:ascii="Arial" w:hAnsi="Arial" w:cs="Arial"/>
          <w:sz w:val="24"/>
          <w:szCs w:val="24"/>
        </w:rPr>
        <w:t>Telephone: (614) 224-3946</w:t>
      </w:r>
    </w:p>
    <w:p w14:paraId="08167AF5" w14:textId="77777777" w:rsidR="00626A61" w:rsidRPr="006B22A2" w:rsidRDefault="00626A61" w:rsidP="00626A61">
      <w:pPr>
        <w:spacing w:after="0" w:line="240" w:lineRule="auto"/>
        <w:ind w:left="5040"/>
        <w:rPr>
          <w:rFonts w:ascii="Arial" w:hAnsi="Arial" w:cs="Arial"/>
          <w:sz w:val="24"/>
          <w:szCs w:val="24"/>
        </w:rPr>
      </w:pPr>
      <w:r w:rsidRPr="006B22A2">
        <w:rPr>
          <w:rFonts w:ascii="Arial" w:hAnsi="Arial" w:cs="Arial"/>
          <w:sz w:val="24"/>
          <w:szCs w:val="24"/>
        </w:rPr>
        <w:t>Facsimile:  (614) 224-3960</w:t>
      </w:r>
    </w:p>
    <w:p w14:paraId="6177AF97" w14:textId="77777777" w:rsidR="00626A61" w:rsidRPr="006B22A2" w:rsidRDefault="00626A61" w:rsidP="00626A61">
      <w:pPr>
        <w:spacing w:after="0" w:line="240" w:lineRule="auto"/>
        <w:ind w:left="5040"/>
        <w:rPr>
          <w:rFonts w:ascii="Arial" w:hAnsi="Arial" w:cs="Arial"/>
          <w:sz w:val="24"/>
          <w:szCs w:val="24"/>
        </w:rPr>
      </w:pPr>
      <w:r w:rsidRPr="006B22A2">
        <w:rPr>
          <w:rFonts w:ascii="Arial" w:hAnsi="Arial" w:cs="Arial"/>
          <w:sz w:val="24"/>
          <w:szCs w:val="24"/>
        </w:rPr>
        <w:t>whitt@whitt-sturtevant.com</w:t>
      </w:r>
    </w:p>
    <w:p w14:paraId="47982299" w14:textId="77777777" w:rsidR="00626A61" w:rsidRPr="006B22A2" w:rsidRDefault="00626A61" w:rsidP="00626A61">
      <w:pPr>
        <w:spacing w:after="0" w:line="240" w:lineRule="auto"/>
        <w:ind w:left="5040"/>
        <w:rPr>
          <w:rFonts w:ascii="Arial" w:hAnsi="Arial" w:cs="Arial"/>
          <w:sz w:val="24"/>
          <w:szCs w:val="24"/>
        </w:rPr>
      </w:pPr>
      <w:r w:rsidRPr="006B22A2">
        <w:rPr>
          <w:rFonts w:ascii="Arial" w:hAnsi="Arial" w:cs="Arial"/>
          <w:sz w:val="24"/>
          <w:szCs w:val="24"/>
        </w:rPr>
        <w:t>campbell@whitt-sturtevant.com</w:t>
      </w:r>
    </w:p>
    <w:p w14:paraId="40B9F8A6" w14:textId="405CF2C3" w:rsidR="00626A61" w:rsidRPr="006B22A2" w:rsidRDefault="00886AE2" w:rsidP="00626A61">
      <w:pPr>
        <w:spacing w:after="0" w:line="240" w:lineRule="auto"/>
        <w:ind w:left="5040"/>
        <w:rPr>
          <w:rFonts w:ascii="Arial" w:hAnsi="Arial" w:cs="Arial"/>
          <w:sz w:val="24"/>
          <w:szCs w:val="24"/>
        </w:rPr>
      </w:pPr>
      <w:hyperlink r:id="rId8" w:history="1">
        <w:r w:rsidR="00626A61" w:rsidRPr="006B22A2">
          <w:rPr>
            <w:rStyle w:val="Hyperlink"/>
            <w:rFonts w:ascii="Arial" w:hAnsi="Arial" w:cs="Arial"/>
            <w:color w:val="auto"/>
            <w:sz w:val="24"/>
            <w:szCs w:val="24"/>
            <w:u w:val="none"/>
          </w:rPr>
          <w:t>glover@whitt-sturtevant.com</w:t>
        </w:r>
      </w:hyperlink>
    </w:p>
    <w:p w14:paraId="6FC36E14" w14:textId="77777777" w:rsidR="00626A61" w:rsidRPr="006B22A2" w:rsidRDefault="00626A61" w:rsidP="00626A61">
      <w:pPr>
        <w:spacing w:after="0" w:line="240" w:lineRule="auto"/>
        <w:ind w:left="5040"/>
        <w:rPr>
          <w:rFonts w:ascii="Arial" w:hAnsi="Arial" w:cs="Arial"/>
          <w:b/>
          <w:sz w:val="24"/>
          <w:szCs w:val="24"/>
        </w:rPr>
      </w:pPr>
    </w:p>
    <w:p w14:paraId="7176D309" w14:textId="237ABC2F" w:rsidR="00545F29" w:rsidRPr="003043FB" w:rsidRDefault="00626A61" w:rsidP="003043FB">
      <w:pPr>
        <w:spacing w:after="0" w:line="240" w:lineRule="auto"/>
        <w:ind w:left="5040"/>
        <w:rPr>
          <w:rFonts w:ascii="Arial" w:hAnsi="Arial" w:cs="Arial"/>
          <w:b/>
          <w:i/>
          <w:sz w:val="24"/>
          <w:szCs w:val="24"/>
        </w:rPr>
      </w:pPr>
      <w:r w:rsidRPr="006B22A2">
        <w:rPr>
          <w:rFonts w:ascii="Arial" w:hAnsi="Arial" w:cs="Arial"/>
          <w:b/>
          <w:i/>
          <w:sz w:val="24"/>
          <w:szCs w:val="24"/>
        </w:rPr>
        <w:t>Attorneys for Direct Energy Services, LLC and Direct Energy Business, LLC</w:t>
      </w:r>
      <w:r w:rsidR="0056270F">
        <w:rPr>
          <w:rFonts w:ascii="Arial" w:hAnsi="Arial" w:cs="Arial"/>
          <w:b/>
          <w:szCs w:val="24"/>
          <w:u w:val="single"/>
        </w:rPr>
        <w:br w:type="page"/>
      </w:r>
    </w:p>
    <w:p w14:paraId="7176D30A" w14:textId="77777777" w:rsidR="00545F29" w:rsidRPr="009D71F6" w:rsidRDefault="0056270F">
      <w:pPr>
        <w:spacing w:after="0" w:line="240" w:lineRule="auto"/>
        <w:jc w:val="center"/>
        <w:rPr>
          <w:rFonts w:ascii="Arial" w:eastAsia="Arial" w:hAnsi="Arial" w:cs="Arial"/>
          <w:b/>
          <w:sz w:val="24"/>
          <w:szCs w:val="24"/>
          <w:u w:val="single"/>
        </w:rPr>
      </w:pPr>
      <w:r w:rsidRPr="009D71F6">
        <w:rPr>
          <w:rFonts w:ascii="Arial" w:eastAsia="Arial" w:hAnsi="Arial" w:cs="Arial"/>
          <w:b/>
          <w:sz w:val="24"/>
          <w:szCs w:val="24"/>
          <w:u w:val="single"/>
        </w:rPr>
        <w:lastRenderedPageBreak/>
        <w:t>CERTIFICATE OF SERVICE</w:t>
      </w:r>
    </w:p>
    <w:p w14:paraId="7176D30B" w14:textId="77777777" w:rsidR="00545F29" w:rsidRPr="006B22A2" w:rsidRDefault="00545F29">
      <w:pPr>
        <w:spacing w:after="0" w:line="240" w:lineRule="auto"/>
        <w:jc w:val="center"/>
        <w:rPr>
          <w:rFonts w:ascii="Arial" w:eastAsia="Arial" w:hAnsi="Arial" w:cs="Arial"/>
          <w:b/>
          <w:sz w:val="24"/>
          <w:szCs w:val="24"/>
          <w:u w:val="single"/>
        </w:rPr>
      </w:pPr>
    </w:p>
    <w:p w14:paraId="7176D30C" w14:textId="1F298CAD" w:rsidR="00545F29" w:rsidRPr="006B22A2" w:rsidRDefault="0056270F">
      <w:pPr>
        <w:spacing w:after="0" w:line="240" w:lineRule="auto"/>
        <w:jc w:val="both"/>
        <w:rPr>
          <w:rFonts w:ascii="Arial" w:eastAsia="Calibri" w:hAnsi="Arial" w:cs="Arial"/>
          <w:sz w:val="24"/>
          <w:szCs w:val="24"/>
        </w:rPr>
      </w:pPr>
      <w:r w:rsidRPr="006B22A2">
        <w:rPr>
          <w:rFonts w:ascii="Arial" w:eastAsia="Arial" w:hAnsi="Arial" w:cs="Arial"/>
          <w:sz w:val="24"/>
          <w:szCs w:val="24"/>
        </w:rPr>
        <w:tab/>
      </w:r>
      <w:r w:rsidRPr="006B22A2">
        <w:rPr>
          <w:rFonts w:ascii="Arial" w:eastAsia="Calibri" w:hAnsi="Arial" w:cs="Arial"/>
          <w:sz w:val="24"/>
          <w:szCs w:val="24"/>
        </w:rPr>
        <w:t>The undersigned hereby certifi</w:t>
      </w:r>
      <w:r w:rsidR="002E3064" w:rsidRPr="006B22A2">
        <w:rPr>
          <w:rFonts w:ascii="Arial" w:eastAsia="Calibri" w:hAnsi="Arial" w:cs="Arial"/>
          <w:sz w:val="24"/>
          <w:szCs w:val="24"/>
        </w:rPr>
        <w:t>es that a copy of the foregoing</w:t>
      </w:r>
      <w:r w:rsidR="00DA324F" w:rsidRPr="006B22A2">
        <w:rPr>
          <w:rFonts w:ascii="Arial" w:eastAsia="Calibri" w:hAnsi="Arial" w:cs="Arial"/>
          <w:i/>
          <w:sz w:val="24"/>
          <w:szCs w:val="24"/>
        </w:rPr>
        <w:t xml:space="preserve"> </w:t>
      </w:r>
      <w:r w:rsidR="00626A61" w:rsidRPr="006B22A2">
        <w:rPr>
          <w:rFonts w:ascii="Arial" w:eastAsia="Calibri" w:hAnsi="Arial" w:cs="Arial"/>
          <w:i/>
          <w:sz w:val="24"/>
          <w:szCs w:val="24"/>
        </w:rPr>
        <w:t xml:space="preserve">Joint </w:t>
      </w:r>
      <w:r w:rsidR="00E4257B" w:rsidRPr="006B22A2">
        <w:rPr>
          <w:rFonts w:ascii="Arial" w:eastAsia="Calibri" w:hAnsi="Arial" w:cs="Arial"/>
          <w:i/>
          <w:sz w:val="24"/>
          <w:szCs w:val="24"/>
        </w:rPr>
        <w:t>Memorandum Contra of Interstate Gas Supply, Inc.</w:t>
      </w:r>
      <w:r w:rsidR="00626A61" w:rsidRPr="006B22A2">
        <w:rPr>
          <w:rFonts w:ascii="Arial" w:eastAsia="Calibri" w:hAnsi="Arial" w:cs="Arial"/>
          <w:i/>
          <w:sz w:val="24"/>
          <w:szCs w:val="24"/>
        </w:rPr>
        <w:t>, Direct Energy Services, LLC and Direct Energy Business, LLC</w:t>
      </w:r>
      <w:r w:rsidR="00E4257B" w:rsidRPr="006B22A2">
        <w:rPr>
          <w:rFonts w:ascii="Arial" w:eastAsia="Calibri" w:hAnsi="Arial" w:cs="Arial"/>
          <w:i/>
          <w:sz w:val="24"/>
          <w:szCs w:val="24"/>
        </w:rPr>
        <w:t xml:space="preserve"> </w:t>
      </w:r>
      <w:r w:rsidRPr="006B22A2">
        <w:rPr>
          <w:rFonts w:ascii="Arial" w:eastAsia="Calibri" w:hAnsi="Arial" w:cs="Arial"/>
          <w:sz w:val="24"/>
          <w:szCs w:val="24"/>
        </w:rPr>
        <w:t xml:space="preserve">was served this </w:t>
      </w:r>
      <w:r w:rsidR="00E4257B" w:rsidRPr="006B22A2">
        <w:rPr>
          <w:rFonts w:ascii="Arial" w:eastAsia="Calibri" w:hAnsi="Arial" w:cs="Arial"/>
          <w:sz w:val="24"/>
          <w:szCs w:val="24"/>
        </w:rPr>
        <w:t>24</w:t>
      </w:r>
      <w:r w:rsidR="00DA324F" w:rsidRPr="006B22A2">
        <w:rPr>
          <w:rFonts w:ascii="Arial" w:eastAsia="Calibri" w:hAnsi="Arial" w:cs="Arial"/>
          <w:sz w:val="24"/>
          <w:szCs w:val="24"/>
        </w:rPr>
        <w:t>th</w:t>
      </w:r>
      <w:r w:rsidRPr="006B22A2">
        <w:rPr>
          <w:rFonts w:ascii="Arial" w:eastAsia="Calibri" w:hAnsi="Arial" w:cs="Arial"/>
          <w:sz w:val="24"/>
          <w:szCs w:val="24"/>
        </w:rPr>
        <w:t xml:space="preserve"> day of </w:t>
      </w:r>
      <w:r w:rsidR="00E4257B" w:rsidRPr="006B22A2">
        <w:rPr>
          <w:rFonts w:ascii="Arial" w:eastAsia="Calibri" w:hAnsi="Arial" w:cs="Arial"/>
          <w:sz w:val="24"/>
          <w:szCs w:val="24"/>
        </w:rPr>
        <w:t>July 2017</w:t>
      </w:r>
      <w:r w:rsidRPr="006B22A2">
        <w:rPr>
          <w:rFonts w:ascii="Arial" w:eastAsia="Calibri" w:hAnsi="Arial" w:cs="Arial"/>
          <w:sz w:val="24"/>
          <w:szCs w:val="24"/>
        </w:rPr>
        <w:t xml:space="preserve"> via electronic mail upon the following:</w:t>
      </w:r>
    </w:p>
    <w:p w14:paraId="7176D30D" w14:textId="77777777" w:rsidR="00545F29" w:rsidRPr="006B22A2" w:rsidRDefault="00545F29">
      <w:pPr>
        <w:spacing w:after="0" w:line="240" w:lineRule="auto"/>
        <w:jc w:val="both"/>
        <w:rPr>
          <w:rFonts w:ascii="Arial" w:eastAsia="Calibri" w:hAnsi="Arial" w:cs="Arial"/>
          <w:sz w:val="24"/>
          <w:szCs w:val="24"/>
        </w:rPr>
      </w:pPr>
    </w:p>
    <w:p w14:paraId="7176D30E" w14:textId="77777777" w:rsidR="00545F29" w:rsidRPr="006B22A2" w:rsidRDefault="00545F29">
      <w:pPr>
        <w:spacing w:after="0" w:line="240" w:lineRule="auto"/>
        <w:jc w:val="both"/>
        <w:rPr>
          <w:rFonts w:ascii="Arial" w:eastAsia="Arial" w:hAnsi="Arial" w:cs="Arial"/>
          <w:sz w:val="24"/>
          <w:szCs w:val="24"/>
        </w:rPr>
      </w:pPr>
    </w:p>
    <w:p w14:paraId="7176D30F" w14:textId="77777777" w:rsidR="00545F29" w:rsidRPr="006B22A2" w:rsidRDefault="00545F29">
      <w:pPr>
        <w:spacing w:after="0" w:line="240" w:lineRule="auto"/>
        <w:jc w:val="both"/>
        <w:rPr>
          <w:rFonts w:ascii="Arial" w:eastAsia="Arial" w:hAnsi="Arial" w:cs="Arial"/>
          <w:sz w:val="24"/>
          <w:szCs w:val="24"/>
        </w:rPr>
      </w:pPr>
    </w:p>
    <w:p w14:paraId="7176D310" w14:textId="376F0A8A" w:rsidR="009D71F6" w:rsidRPr="006B22A2" w:rsidRDefault="009D71F6" w:rsidP="009D71F6">
      <w:pPr>
        <w:spacing w:after="0" w:line="240" w:lineRule="auto"/>
        <w:ind w:left="5040"/>
        <w:rPr>
          <w:rFonts w:ascii="Arial" w:eastAsia="Calibri" w:hAnsi="Arial" w:cs="Arial"/>
          <w:sz w:val="24"/>
          <w:szCs w:val="24"/>
          <w:u w:val="single"/>
        </w:rPr>
      </w:pPr>
      <w:r w:rsidRPr="006B22A2">
        <w:rPr>
          <w:rFonts w:ascii="Arial" w:eastAsia="Arial" w:hAnsi="Arial" w:cs="Arial"/>
          <w:i/>
          <w:sz w:val="24"/>
          <w:szCs w:val="24"/>
          <w:u w:val="single"/>
        </w:rPr>
        <w:t xml:space="preserve">/s/ </w:t>
      </w:r>
      <w:r w:rsidR="00DA324F" w:rsidRPr="006B22A2">
        <w:rPr>
          <w:rFonts w:ascii="Arial" w:eastAsia="Arial" w:hAnsi="Arial" w:cs="Arial"/>
          <w:i/>
          <w:sz w:val="24"/>
          <w:szCs w:val="24"/>
          <w:u w:val="single"/>
        </w:rPr>
        <w:t>Joseph Oliker</w:t>
      </w:r>
    </w:p>
    <w:p w14:paraId="7176D311" w14:textId="13F1DA75" w:rsidR="00FE2DE0" w:rsidRPr="006B22A2" w:rsidRDefault="00DA324F" w:rsidP="00FE2DE0">
      <w:pPr>
        <w:spacing w:after="0" w:line="240" w:lineRule="auto"/>
        <w:ind w:left="4320" w:firstLine="720"/>
        <w:rPr>
          <w:rFonts w:ascii="Arial" w:hAnsi="Arial" w:cs="Arial"/>
          <w:sz w:val="24"/>
          <w:szCs w:val="24"/>
        </w:rPr>
      </w:pPr>
      <w:r w:rsidRPr="006B22A2">
        <w:rPr>
          <w:rFonts w:ascii="Arial" w:hAnsi="Arial" w:cs="Arial"/>
          <w:sz w:val="24"/>
          <w:szCs w:val="24"/>
        </w:rPr>
        <w:t>Joseph Oliker</w:t>
      </w:r>
    </w:p>
    <w:p w14:paraId="7176D312" w14:textId="77777777" w:rsidR="00545F29" w:rsidRPr="006B22A2" w:rsidRDefault="00545F29">
      <w:pPr>
        <w:spacing w:after="0" w:line="240" w:lineRule="auto"/>
        <w:rPr>
          <w:rFonts w:ascii="Arial" w:hAnsi="Arial" w:cs="Arial"/>
          <w:sz w:val="24"/>
          <w:szCs w:val="24"/>
        </w:rPr>
      </w:pPr>
    </w:p>
    <w:p w14:paraId="62445F8D" w14:textId="757DE186" w:rsidR="00BF184A" w:rsidRPr="006B22A2" w:rsidRDefault="00886AE2">
      <w:pPr>
        <w:spacing w:after="0" w:line="240" w:lineRule="auto"/>
        <w:rPr>
          <w:rFonts w:ascii="Arial" w:hAnsi="Arial" w:cs="Arial"/>
          <w:sz w:val="24"/>
          <w:szCs w:val="24"/>
        </w:rPr>
      </w:pPr>
      <w:hyperlink r:id="rId9" w:history="1">
        <w:r w:rsidR="00BF184A" w:rsidRPr="006B22A2">
          <w:rPr>
            <w:rStyle w:val="Hyperlink"/>
            <w:rFonts w:ascii="Arial" w:hAnsi="Arial" w:cs="Arial"/>
            <w:color w:val="auto"/>
            <w:sz w:val="24"/>
            <w:szCs w:val="24"/>
            <w:u w:val="none"/>
          </w:rPr>
          <w:t>Amy.Spiller@duke-energy.com</w:t>
        </w:r>
      </w:hyperlink>
    </w:p>
    <w:p w14:paraId="7FA2C74A" w14:textId="650FD858" w:rsidR="00BF184A" w:rsidRPr="006B22A2" w:rsidRDefault="00886AE2">
      <w:pPr>
        <w:spacing w:after="0" w:line="240" w:lineRule="auto"/>
        <w:rPr>
          <w:rFonts w:ascii="Arial" w:hAnsi="Arial" w:cs="Arial"/>
          <w:sz w:val="24"/>
          <w:szCs w:val="24"/>
        </w:rPr>
      </w:pPr>
      <w:hyperlink r:id="rId10" w:history="1">
        <w:r w:rsidR="00BF184A" w:rsidRPr="006B22A2">
          <w:rPr>
            <w:rStyle w:val="Hyperlink"/>
            <w:rFonts w:ascii="Arial" w:hAnsi="Arial" w:cs="Arial"/>
            <w:color w:val="auto"/>
            <w:sz w:val="24"/>
            <w:szCs w:val="24"/>
            <w:u w:val="none"/>
          </w:rPr>
          <w:t>Jeanne.kingery@duke-energy.com</w:t>
        </w:r>
      </w:hyperlink>
    </w:p>
    <w:p w14:paraId="232BEFD7" w14:textId="26CB7C7E" w:rsidR="00626A61" w:rsidRPr="006B22A2" w:rsidRDefault="00886AE2">
      <w:pPr>
        <w:spacing w:after="0" w:line="240" w:lineRule="auto"/>
        <w:rPr>
          <w:rFonts w:ascii="Arial" w:hAnsi="Arial" w:cs="Arial"/>
          <w:sz w:val="24"/>
          <w:szCs w:val="24"/>
        </w:rPr>
      </w:pPr>
      <w:hyperlink r:id="rId11" w:history="1">
        <w:r w:rsidR="00626A61" w:rsidRPr="006B22A2">
          <w:rPr>
            <w:rStyle w:val="Hyperlink"/>
            <w:rFonts w:ascii="Arial" w:hAnsi="Arial" w:cs="Arial"/>
            <w:color w:val="auto"/>
            <w:sz w:val="24"/>
            <w:szCs w:val="24"/>
            <w:u w:val="none"/>
          </w:rPr>
          <w:t>William.wright@ohioattorneygeneral.gov</w:t>
        </w:r>
      </w:hyperlink>
    </w:p>
    <w:p w14:paraId="5987D303" w14:textId="3BCF0C74" w:rsidR="00BF184A" w:rsidRPr="006B22A2" w:rsidRDefault="00626A61">
      <w:pPr>
        <w:spacing w:after="0" w:line="240" w:lineRule="auto"/>
        <w:rPr>
          <w:rFonts w:ascii="Arial" w:hAnsi="Arial" w:cs="Arial"/>
          <w:sz w:val="24"/>
          <w:szCs w:val="24"/>
        </w:rPr>
      </w:pPr>
      <w:r w:rsidRPr="006B22A2">
        <w:rPr>
          <w:rFonts w:ascii="Arial" w:hAnsi="Arial" w:cs="Arial"/>
          <w:sz w:val="24"/>
          <w:szCs w:val="24"/>
        </w:rPr>
        <w:t>Thomas.mcnamee@ohioattorneygeneral.gov</w:t>
      </w:r>
    </w:p>
    <w:p w14:paraId="49539F43" w14:textId="77777777" w:rsidR="00BF184A" w:rsidRDefault="00BF184A">
      <w:pPr>
        <w:spacing w:after="0" w:line="240" w:lineRule="auto"/>
        <w:rPr>
          <w:rFonts w:ascii="Arial" w:hAnsi="Arial" w:cs="Arial"/>
          <w:sz w:val="16"/>
          <w:szCs w:val="16"/>
        </w:rPr>
      </w:pPr>
    </w:p>
    <w:sectPr w:rsidR="00BF184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828FF" w14:textId="77777777" w:rsidR="00BF1FEF" w:rsidRDefault="00BF1FEF">
      <w:pPr>
        <w:spacing w:after="0" w:line="240" w:lineRule="auto"/>
      </w:pPr>
      <w:r>
        <w:separator/>
      </w:r>
    </w:p>
  </w:endnote>
  <w:endnote w:type="continuationSeparator" w:id="0">
    <w:p w14:paraId="32F0447D" w14:textId="77777777" w:rsidR="00BF1FEF" w:rsidRDefault="00BF1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24A3B" w14:textId="77777777" w:rsidR="007E5F2E" w:rsidRDefault="007E5F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5860"/>
      <w:docPartObj>
        <w:docPartGallery w:val="Page Numbers (Bottom of Page)"/>
        <w:docPartUnique/>
      </w:docPartObj>
    </w:sdtPr>
    <w:sdtEndPr/>
    <w:sdtContent>
      <w:p w14:paraId="7176D32E" w14:textId="62398348" w:rsidR="00BF1FEF" w:rsidRDefault="00BF1FEF">
        <w:pPr>
          <w:pStyle w:val="Footer"/>
          <w:jc w:val="center"/>
        </w:pPr>
        <w:r>
          <w:fldChar w:fldCharType="begin"/>
        </w:r>
        <w:r>
          <w:instrText xml:space="preserve"> PAGE   \* MERGEFORMAT </w:instrText>
        </w:r>
        <w:r>
          <w:fldChar w:fldCharType="separate"/>
        </w:r>
        <w:r w:rsidR="00886AE2">
          <w:rPr>
            <w:noProof/>
          </w:rPr>
          <w:t>23</w:t>
        </w:r>
        <w:r>
          <w:rPr>
            <w:noProof/>
          </w:rPr>
          <w:fldChar w:fldCharType="end"/>
        </w:r>
      </w:p>
    </w:sdtContent>
  </w:sdt>
  <w:p w14:paraId="7176D32F" w14:textId="77777777" w:rsidR="00BF1FEF" w:rsidRDefault="00BF1F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B57AC" w14:textId="77777777" w:rsidR="007E5F2E" w:rsidRDefault="007E5F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81A35" w14:textId="77777777" w:rsidR="00BF1FEF" w:rsidRDefault="00BF1FEF">
      <w:pPr>
        <w:spacing w:after="0" w:line="240" w:lineRule="auto"/>
      </w:pPr>
      <w:r>
        <w:separator/>
      </w:r>
    </w:p>
  </w:footnote>
  <w:footnote w:type="continuationSeparator" w:id="0">
    <w:p w14:paraId="59B20031" w14:textId="77777777" w:rsidR="00BF1FEF" w:rsidRDefault="00BF1FEF">
      <w:pPr>
        <w:spacing w:after="0" w:line="240" w:lineRule="auto"/>
      </w:pPr>
      <w:r>
        <w:continuationSeparator/>
      </w:r>
    </w:p>
  </w:footnote>
  <w:footnote w:id="1">
    <w:p w14:paraId="2197704B" w14:textId="7482537D" w:rsidR="00BF1FEF" w:rsidRDefault="00BF1FEF" w:rsidP="00897090">
      <w:pPr>
        <w:pStyle w:val="FootnoteText"/>
        <w:jc w:val="both"/>
        <w:rPr>
          <w:rFonts w:ascii="Arial" w:hAnsi="Arial" w:cs="Arial"/>
        </w:rPr>
      </w:pPr>
      <w:r w:rsidRPr="00462A33">
        <w:rPr>
          <w:rStyle w:val="FootnoteReference"/>
          <w:rFonts w:ascii="Arial" w:hAnsi="Arial" w:cs="Arial"/>
        </w:rPr>
        <w:footnoteRef/>
      </w:r>
      <w:r w:rsidRPr="00462A33">
        <w:rPr>
          <w:rFonts w:ascii="Arial" w:hAnsi="Arial" w:cs="Arial"/>
        </w:rPr>
        <w:t xml:space="preserve"> Throughout this pleading IGS</w:t>
      </w:r>
      <w:r w:rsidR="001637C0">
        <w:rPr>
          <w:rFonts w:ascii="Arial" w:hAnsi="Arial" w:cs="Arial"/>
        </w:rPr>
        <w:t xml:space="preserve"> and Direct refer</w:t>
      </w:r>
      <w:r w:rsidRPr="00462A33">
        <w:rPr>
          <w:rFonts w:ascii="Arial" w:hAnsi="Arial" w:cs="Arial"/>
        </w:rPr>
        <w:t xml:space="preserve"> to a functional separation plan authorized under Section (C) as </w:t>
      </w:r>
      <w:r w:rsidRPr="00897090">
        <w:rPr>
          <w:rFonts w:ascii="Arial" w:hAnsi="Arial" w:cs="Arial"/>
        </w:rPr>
        <w:t xml:space="preserve">either a “waiver” or “exception” to the full legal separation requirement of R.C. 4928.17(A)(1). </w:t>
      </w:r>
    </w:p>
    <w:p w14:paraId="52CA9B16" w14:textId="77777777" w:rsidR="00BF1FEF" w:rsidRPr="00897090" w:rsidRDefault="00BF1FEF" w:rsidP="00897090">
      <w:pPr>
        <w:pStyle w:val="FootnoteText"/>
        <w:jc w:val="both"/>
        <w:rPr>
          <w:rFonts w:ascii="Arial" w:hAnsi="Arial" w:cs="Arial"/>
        </w:rPr>
      </w:pPr>
    </w:p>
  </w:footnote>
  <w:footnote w:id="2">
    <w:p w14:paraId="48106550" w14:textId="1DA71C88" w:rsidR="00BF1FEF" w:rsidRDefault="00BF1FEF" w:rsidP="00897090">
      <w:pPr>
        <w:pStyle w:val="FootnoteText"/>
        <w:jc w:val="both"/>
        <w:rPr>
          <w:rFonts w:ascii="Arial" w:hAnsi="Arial" w:cs="Arial"/>
        </w:rPr>
      </w:pPr>
      <w:r w:rsidRPr="00897090">
        <w:rPr>
          <w:rStyle w:val="FootnoteReference"/>
          <w:rFonts w:ascii="Arial" w:hAnsi="Arial" w:cs="Arial"/>
        </w:rPr>
        <w:footnoteRef/>
      </w:r>
      <w:r>
        <w:rPr>
          <w:rFonts w:ascii="Arial" w:hAnsi="Arial" w:cs="Arial"/>
          <w:i/>
        </w:rPr>
        <w:t xml:space="preserve">  </w:t>
      </w:r>
      <w:r>
        <w:rPr>
          <w:rFonts w:ascii="Arial" w:hAnsi="Arial" w:cs="Arial"/>
        </w:rPr>
        <w:t xml:space="preserve">Application for Approval of an Amendment to Corporate Separation Plan and for </w:t>
      </w:r>
      <w:r w:rsidRPr="00897090">
        <w:rPr>
          <w:rFonts w:ascii="Arial" w:hAnsi="Arial" w:cs="Arial"/>
        </w:rPr>
        <w:t>Authority to Amend its Retail Tariff, P.U.C.O. No. 19</w:t>
      </w:r>
      <w:r>
        <w:rPr>
          <w:rFonts w:ascii="Arial" w:hAnsi="Arial" w:cs="Arial"/>
        </w:rPr>
        <w:t xml:space="preserve"> at 2</w:t>
      </w:r>
      <w:r w:rsidRPr="00897090">
        <w:rPr>
          <w:rFonts w:ascii="Arial" w:hAnsi="Arial" w:cs="Arial"/>
          <w:i/>
        </w:rPr>
        <w:t xml:space="preserve"> </w:t>
      </w:r>
      <w:r w:rsidRPr="00897090">
        <w:rPr>
          <w:rFonts w:ascii="Arial" w:hAnsi="Arial" w:cs="Arial"/>
        </w:rPr>
        <w:t>(hereinafter “Application”)</w:t>
      </w:r>
      <w:r>
        <w:rPr>
          <w:rFonts w:ascii="Arial" w:hAnsi="Arial" w:cs="Arial"/>
        </w:rPr>
        <w:t>.</w:t>
      </w:r>
    </w:p>
    <w:p w14:paraId="44FA5219" w14:textId="77777777" w:rsidR="000F2B57" w:rsidRPr="00897090" w:rsidRDefault="000F2B57" w:rsidP="00897090">
      <w:pPr>
        <w:pStyle w:val="FootnoteText"/>
        <w:jc w:val="both"/>
        <w:rPr>
          <w:rFonts w:ascii="Arial" w:hAnsi="Arial" w:cs="Arial"/>
          <w:i/>
        </w:rPr>
      </w:pPr>
    </w:p>
  </w:footnote>
  <w:footnote w:id="3">
    <w:p w14:paraId="1F1D77E7" w14:textId="2800AFB3" w:rsidR="00BF1FEF" w:rsidRPr="006B22A2" w:rsidRDefault="00BF1FEF" w:rsidP="00DB04D6">
      <w:pPr>
        <w:pStyle w:val="FootnoteText"/>
        <w:jc w:val="both"/>
        <w:rPr>
          <w:rFonts w:ascii="Arial" w:hAnsi="Arial" w:cs="Arial"/>
        </w:rPr>
      </w:pPr>
      <w:r w:rsidRPr="006B22A2">
        <w:rPr>
          <w:rStyle w:val="FootnoteReference"/>
          <w:rFonts w:ascii="Arial" w:hAnsi="Arial" w:cs="Arial"/>
        </w:rPr>
        <w:footnoteRef/>
      </w:r>
      <w:r w:rsidRPr="006B22A2">
        <w:rPr>
          <w:rFonts w:ascii="Arial" w:hAnsi="Arial" w:cs="Arial"/>
        </w:rPr>
        <w:t xml:space="preserve"> For example, Duke never received an exception or waiver from the legal requirement to provide unregulated maintenance service inside a customer’s home, which does not in fact relate to the delivery of the electric commodity. Application at 2-3; </w:t>
      </w:r>
      <w:r w:rsidRPr="006B22A2">
        <w:rPr>
          <w:rFonts w:ascii="Arial" w:hAnsi="Arial" w:cs="Arial"/>
          <w:i/>
        </w:rPr>
        <w:t xml:space="preserve">id. </w:t>
      </w:r>
      <w:proofErr w:type="gramStart"/>
      <w:r w:rsidRPr="006B22A2">
        <w:rPr>
          <w:rFonts w:ascii="Arial" w:hAnsi="Arial" w:cs="Arial"/>
        </w:rPr>
        <w:t>at</w:t>
      </w:r>
      <w:proofErr w:type="gramEnd"/>
      <w:r w:rsidRPr="006B22A2">
        <w:rPr>
          <w:rFonts w:ascii="Arial" w:hAnsi="Arial" w:cs="Arial"/>
        </w:rPr>
        <w:t xml:space="preserve"> Exhibit C p. 3 of 3. </w:t>
      </w:r>
    </w:p>
    <w:p w14:paraId="488DAB90" w14:textId="77777777" w:rsidR="00BF1FEF" w:rsidRPr="006B22A2" w:rsidRDefault="00BF1FEF" w:rsidP="00DB04D6">
      <w:pPr>
        <w:pStyle w:val="FootnoteText"/>
        <w:jc w:val="both"/>
        <w:rPr>
          <w:rFonts w:ascii="Arial" w:hAnsi="Arial" w:cs="Arial"/>
        </w:rPr>
      </w:pPr>
      <w:r w:rsidRPr="006B22A2">
        <w:rPr>
          <w:rFonts w:ascii="Arial" w:hAnsi="Arial" w:cs="Arial"/>
        </w:rPr>
        <w:t xml:space="preserve">   </w:t>
      </w:r>
    </w:p>
  </w:footnote>
  <w:footnote w:id="4">
    <w:p w14:paraId="7DFB9A8F" w14:textId="1464D913" w:rsidR="00BF1FEF" w:rsidRPr="006B22A2" w:rsidRDefault="00BF1FEF" w:rsidP="00DB04D6">
      <w:pPr>
        <w:pStyle w:val="FootnoteText"/>
        <w:spacing w:after="120"/>
        <w:jc w:val="both"/>
        <w:rPr>
          <w:rFonts w:ascii="Arial" w:hAnsi="Arial" w:cs="Arial"/>
        </w:rPr>
      </w:pPr>
      <w:r w:rsidRPr="006B22A2">
        <w:rPr>
          <w:rStyle w:val="FootnoteReference"/>
          <w:rFonts w:ascii="Arial" w:hAnsi="Arial" w:cs="Arial"/>
        </w:rPr>
        <w:footnoteRef/>
      </w:r>
      <w:r w:rsidRPr="006B22A2">
        <w:rPr>
          <w:rFonts w:ascii="Arial" w:hAnsi="Arial" w:cs="Arial"/>
        </w:rPr>
        <w:t xml:space="preserve"> </w:t>
      </w:r>
      <w:r w:rsidRPr="006B22A2">
        <w:rPr>
          <w:rFonts w:ascii="Arial" w:hAnsi="Arial" w:cs="Arial"/>
          <w:i/>
        </w:rPr>
        <w:t>In the Matter of Application of Duke Energy Ohio, Inc. for Authority to Establish a Standard Service Offer Pursuant to Section 4928.143, Revised Code, in the Form of an Electric Security Plan, Accounting Modifications, and Tariffs for Generation Service</w:t>
      </w:r>
      <w:r w:rsidRPr="006B22A2">
        <w:rPr>
          <w:rFonts w:ascii="Arial" w:hAnsi="Arial" w:cs="Arial"/>
        </w:rPr>
        <w:t xml:space="preserve">, Case Nos. 11-3549-EL-SSO, </w:t>
      </w:r>
      <w:r w:rsidRPr="006B22A2">
        <w:rPr>
          <w:rFonts w:ascii="Arial" w:hAnsi="Arial" w:cs="Arial"/>
          <w:i/>
        </w:rPr>
        <w:t>et al.</w:t>
      </w:r>
      <w:r w:rsidRPr="006B22A2">
        <w:rPr>
          <w:rFonts w:ascii="Arial" w:hAnsi="Arial" w:cs="Arial"/>
        </w:rPr>
        <w:t xml:space="preserve">, Opinion and Order at 29, 45 (Nov. 22, 2011). </w:t>
      </w:r>
    </w:p>
  </w:footnote>
  <w:footnote w:id="5">
    <w:p w14:paraId="399291A5" w14:textId="77191488" w:rsidR="00BF1FEF" w:rsidRPr="006B22A2" w:rsidRDefault="00BF1FEF">
      <w:pPr>
        <w:pStyle w:val="FootnoteText"/>
        <w:rPr>
          <w:rFonts w:ascii="Arial" w:hAnsi="Arial" w:cs="Arial"/>
          <w:i/>
        </w:rPr>
      </w:pPr>
      <w:r w:rsidRPr="006B22A2">
        <w:rPr>
          <w:rStyle w:val="FootnoteReference"/>
          <w:rFonts w:ascii="Arial" w:hAnsi="Arial" w:cs="Arial"/>
        </w:rPr>
        <w:footnoteRef/>
      </w:r>
      <w:r w:rsidRPr="006B22A2">
        <w:rPr>
          <w:rFonts w:ascii="Arial" w:hAnsi="Arial" w:cs="Arial"/>
        </w:rPr>
        <w:t xml:space="preserve"> </w:t>
      </w:r>
      <w:r w:rsidRPr="006B22A2">
        <w:rPr>
          <w:rFonts w:ascii="Arial" w:hAnsi="Arial" w:cs="Arial"/>
          <w:i/>
        </w:rPr>
        <w:t>Id.</w:t>
      </w:r>
    </w:p>
  </w:footnote>
  <w:footnote w:id="6">
    <w:p w14:paraId="38656BB1" w14:textId="4AB1B093" w:rsidR="00BF1FEF" w:rsidRPr="006B22A2" w:rsidRDefault="00BF1FEF" w:rsidP="005920BD">
      <w:pPr>
        <w:pStyle w:val="FootnoteText"/>
        <w:spacing w:after="120"/>
        <w:jc w:val="both"/>
        <w:rPr>
          <w:rFonts w:ascii="Arial" w:hAnsi="Arial" w:cs="Arial"/>
        </w:rPr>
      </w:pPr>
      <w:r w:rsidRPr="006B22A2">
        <w:rPr>
          <w:rStyle w:val="FootnoteReference"/>
          <w:rFonts w:ascii="Arial" w:hAnsi="Arial" w:cs="Arial"/>
        </w:rPr>
        <w:footnoteRef/>
      </w:r>
      <w:r w:rsidRPr="006B22A2">
        <w:rPr>
          <w:rFonts w:ascii="Arial" w:hAnsi="Arial" w:cs="Arial"/>
        </w:rPr>
        <w:t xml:space="preserve"> Application, Exhibit A at 84 (emphasis added).</w:t>
      </w:r>
    </w:p>
  </w:footnote>
  <w:footnote w:id="7">
    <w:p w14:paraId="25E13600" w14:textId="2AE158BB" w:rsidR="00BF1FEF" w:rsidRPr="006B22A2" w:rsidRDefault="00BF1FEF" w:rsidP="005920BD">
      <w:pPr>
        <w:pStyle w:val="FootnoteText"/>
        <w:spacing w:after="120"/>
        <w:jc w:val="both"/>
        <w:rPr>
          <w:rFonts w:ascii="Arial" w:hAnsi="Arial" w:cs="Arial"/>
        </w:rPr>
      </w:pPr>
      <w:r w:rsidRPr="006B22A2">
        <w:rPr>
          <w:rStyle w:val="FootnoteReference"/>
          <w:rFonts w:ascii="Arial" w:hAnsi="Arial" w:cs="Arial"/>
        </w:rPr>
        <w:footnoteRef/>
      </w:r>
      <w:r w:rsidRPr="006B22A2">
        <w:rPr>
          <w:rFonts w:ascii="Arial" w:hAnsi="Arial" w:cs="Arial"/>
        </w:rPr>
        <w:t xml:space="preserve"> Application, Exhibit C at 3 of 3 (containing proposed tariff language) (emphasis added).</w:t>
      </w:r>
    </w:p>
  </w:footnote>
  <w:footnote w:id="8">
    <w:p w14:paraId="522C6219" w14:textId="77777777" w:rsidR="000F2B57" w:rsidRDefault="00BF1FEF">
      <w:pPr>
        <w:pStyle w:val="FootnoteText"/>
        <w:rPr>
          <w:rFonts w:ascii="Arial" w:hAnsi="Arial" w:cs="Arial"/>
        </w:rPr>
      </w:pPr>
      <w:r w:rsidRPr="006B22A2">
        <w:rPr>
          <w:rStyle w:val="FootnoteReference"/>
          <w:rFonts w:ascii="Arial" w:hAnsi="Arial" w:cs="Arial"/>
        </w:rPr>
        <w:footnoteRef/>
      </w:r>
      <w:r w:rsidRPr="006B22A2">
        <w:rPr>
          <w:rFonts w:ascii="Arial" w:hAnsi="Arial" w:cs="Arial"/>
        </w:rPr>
        <w:t xml:space="preserve"> Finding and Order at 6. </w:t>
      </w:r>
    </w:p>
    <w:p w14:paraId="009D08E7" w14:textId="0BBC2AD5" w:rsidR="00BF1FEF" w:rsidRPr="006B22A2" w:rsidRDefault="00BF1FEF">
      <w:pPr>
        <w:pStyle w:val="FootnoteText"/>
        <w:rPr>
          <w:rFonts w:ascii="Arial" w:hAnsi="Arial" w:cs="Arial"/>
        </w:rPr>
      </w:pPr>
      <w:r w:rsidRPr="006B22A2">
        <w:rPr>
          <w:rFonts w:ascii="Arial" w:hAnsi="Arial" w:cs="Arial"/>
        </w:rPr>
        <w:t xml:space="preserve"> </w:t>
      </w:r>
    </w:p>
  </w:footnote>
  <w:footnote w:id="9">
    <w:p w14:paraId="6A1A380F" w14:textId="07E16E25" w:rsidR="00BF1FEF" w:rsidRPr="006B22A2" w:rsidRDefault="00BF1FEF">
      <w:pPr>
        <w:pStyle w:val="FootnoteText"/>
        <w:rPr>
          <w:rFonts w:ascii="Arial" w:hAnsi="Arial" w:cs="Arial"/>
        </w:rPr>
      </w:pPr>
      <w:r w:rsidRPr="006B22A2">
        <w:rPr>
          <w:rStyle w:val="FootnoteReference"/>
          <w:rFonts w:ascii="Arial" w:hAnsi="Arial" w:cs="Arial"/>
        </w:rPr>
        <w:footnoteRef/>
      </w:r>
      <w:r w:rsidRPr="006B22A2">
        <w:rPr>
          <w:rFonts w:ascii="Arial" w:hAnsi="Arial" w:cs="Arial"/>
        </w:rPr>
        <w:t xml:space="preserve"> Direct Energy Application for Rehearing at 3-9.</w:t>
      </w:r>
    </w:p>
    <w:p w14:paraId="6E4B42C7" w14:textId="77777777" w:rsidR="006B22A2" w:rsidRPr="006B22A2" w:rsidRDefault="006B22A2">
      <w:pPr>
        <w:pStyle w:val="FootnoteText"/>
        <w:rPr>
          <w:rFonts w:ascii="Arial" w:hAnsi="Arial" w:cs="Arial"/>
        </w:rPr>
      </w:pPr>
    </w:p>
  </w:footnote>
  <w:footnote w:id="10">
    <w:p w14:paraId="492088D0" w14:textId="0C06F52C" w:rsidR="00BF1FEF" w:rsidRPr="006B22A2" w:rsidRDefault="00BF1FEF">
      <w:pPr>
        <w:pStyle w:val="FootnoteText"/>
        <w:rPr>
          <w:rFonts w:ascii="Arial" w:hAnsi="Arial" w:cs="Arial"/>
          <w:bCs/>
        </w:rPr>
      </w:pPr>
      <w:r w:rsidRPr="006B22A2">
        <w:rPr>
          <w:rStyle w:val="FootnoteReference"/>
          <w:rFonts w:ascii="Arial" w:hAnsi="Arial" w:cs="Arial"/>
        </w:rPr>
        <w:footnoteRef/>
      </w:r>
      <w:r w:rsidRPr="006B22A2">
        <w:rPr>
          <w:rFonts w:ascii="Arial" w:hAnsi="Arial" w:cs="Arial"/>
        </w:rPr>
        <w:t xml:space="preserve"> IGS </w:t>
      </w:r>
      <w:r w:rsidRPr="006B22A2">
        <w:rPr>
          <w:rFonts w:ascii="Arial" w:hAnsi="Arial" w:cs="Arial"/>
          <w:bCs/>
        </w:rPr>
        <w:t xml:space="preserve">Application for Rehearing at 3-14.  </w:t>
      </w:r>
    </w:p>
    <w:p w14:paraId="10D49225" w14:textId="77777777" w:rsidR="00BF1FEF" w:rsidRPr="006B22A2" w:rsidRDefault="00BF1FEF">
      <w:pPr>
        <w:pStyle w:val="FootnoteText"/>
        <w:rPr>
          <w:rFonts w:ascii="Arial" w:hAnsi="Arial" w:cs="Arial"/>
        </w:rPr>
      </w:pPr>
    </w:p>
  </w:footnote>
  <w:footnote w:id="11">
    <w:p w14:paraId="32E05EE9" w14:textId="36D29C77" w:rsidR="00BF1FEF" w:rsidRPr="006B22A2" w:rsidRDefault="00BF1FEF">
      <w:pPr>
        <w:pStyle w:val="FootnoteText"/>
        <w:rPr>
          <w:rFonts w:ascii="Arial" w:hAnsi="Arial" w:cs="Arial"/>
        </w:rPr>
      </w:pPr>
      <w:r w:rsidRPr="006B22A2">
        <w:rPr>
          <w:rStyle w:val="FootnoteReference"/>
          <w:rFonts w:ascii="Arial" w:hAnsi="Arial" w:cs="Arial"/>
        </w:rPr>
        <w:footnoteRef/>
      </w:r>
      <w:r w:rsidRPr="006B22A2">
        <w:rPr>
          <w:rFonts w:ascii="Arial" w:hAnsi="Arial" w:cs="Arial"/>
        </w:rPr>
        <w:t xml:space="preserve"> </w:t>
      </w:r>
      <w:r w:rsidRPr="006B22A2">
        <w:rPr>
          <w:rFonts w:ascii="Arial" w:hAnsi="Arial" w:cs="Arial"/>
          <w:i/>
        </w:rPr>
        <w:t xml:space="preserve">Id. </w:t>
      </w:r>
      <w:r w:rsidRPr="006B22A2">
        <w:rPr>
          <w:rFonts w:ascii="Arial" w:hAnsi="Arial" w:cs="Arial"/>
        </w:rPr>
        <w:t>at 14.</w:t>
      </w:r>
    </w:p>
    <w:p w14:paraId="45F74865" w14:textId="77777777" w:rsidR="00BF1FEF" w:rsidRPr="006B22A2" w:rsidRDefault="00BF1FEF">
      <w:pPr>
        <w:pStyle w:val="FootnoteText"/>
        <w:rPr>
          <w:rFonts w:ascii="Arial" w:hAnsi="Arial" w:cs="Arial"/>
        </w:rPr>
      </w:pPr>
    </w:p>
  </w:footnote>
  <w:footnote w:id="12">
    <w:p w14:paraId="2A4256AC" w14:textId="30A93495" w:rsidR="00BF1FEF" w:rsidRDefault="00BF1FEF">
      <w:pPr>
        <w:pStyle w:val="FootnoteText"/>
        <w:rPr>
          <w:rFonts w:ascii="Arial" w:hAnsi="Arial" w:cs="Arial"/>
        </w:rPr>
      </w:pPr>
      <w:r w:rsidRPr="006B22A2">
        <w:rPr>
          <w:rStyle w:val="FootnoteReference"/>
          <w:rFonts w:ascii="Arial" w:hAnsi="Arial" w:cs="Arial"/>
        </w:rPr>
        <w:footnoteRef/>
      </w:r>
      <w:r w:rsidRPr="006B22A2">
        <w:rPr>
          <w:rFonts w:ascii="Arial" w:hAnsi="Arial" w:cs="Arial"/>
        </w:rPr>
        <w:t xml:space="preserve"> Entry on Rehearing at 1-9.  </w:t>
      </w:r>
    </w:p>
    <w:p w14:paraId="5A01ED93" w14:textId="77777777" w:rsidR="006B22A2" w:rsidRPr="006B22A2" w:rsidRDefault="006B22A2">
      <w:pPr>
        <w:pStyle w:val="FootnoteText"/>
        <w:rPr>
          <w:rFonts w:ascii="Arial" w:hAnsi="Arial" w:cs="Arial"/>
        </w:rPr>
      </w:pPr>
    </w:p>
  </w:footnote>
  <w:footnote w:id="13">
    <w:p w14:paraId="31DD179A" w14:textId="2932F437" w:rsidR="00BF1FEF" w:rsidRPr="006B22A2" w:rsidRDefault="00BF1FEF" w:rsidP="0035393A">
      <w:pPr>
        <w:pStyle w:val="FootnoteText"/>
        <w:jc w:val="both"/>
        <w:rPr>
          <w:rFonts w:ascii="Arial" w:hAnsi="Arial" w:cs="Arial"/>
        </w:rPr>
      </w:pPr>
      <w:r w:rsidRPr="006B22A2">
        <w:rPr>
          <w:rStyle w:val="FootnoteReference"/>
          <w:rFonts w:ascii="Arial" w:hAnsi="Arial" w:cs="Arial"/>
        </w:rPr>
        <w:footnoteRef/>
      </w:r>
      <w:r w:rsidRPr="006B22A2">
        <w:rPr>
          <w:rFonts w:ascii="Arial" w:hAnsi="Arial" w:cs="Arial"/>
        </w:rPr>
        <w:t xml:space="preserve"> </w:t>
      </w:r>
      <w:r w:rsidRPr="006B22A2">
        <w:rPr>
          <w:rFonts w:ascii="Arial" w:hAnsi="Arial" w:cs="Arial"/>
          <w:i/>
        </w:rPr>
        <w:t>In re Application of Duke Energy Ohio, Inc., for Approval of its Fourth Amended Corporate Separation Plan</w:t>
      </w:r>
      <w:r w:rsidRPr="006B22A2">
        <w:rPr>
          <w:rFonts w:ascii="Arial" w:hAnsi="Arial" w:cs="Arial"/>
        </w:rPr>
        <w:t>, 148 Ohio St.3d 510 (2016) (hereinafter “</w:t>
      </w:r>
      <w:r w:rsidRPr="006B22A2">
        <w:rPr>
          <w:rFonts w:ascii="Arial" w:hAnsi="Arial" w:cs="Arial"/>
          <w:i/>
        </w:rPr>
        <w:t>Duke Opinion</w:t>
      </w:r>
      <w:r w:rsidRPr="006B22A2">
        <w:rPr>
          <w:rFonts w:ascii="Arial" w:hAnsi="Arial" w:cs="Arial"/>
        </w:rPr>
        <w:t>”).</w:t>
      </w:r>
    </w:p>
    <w:p w14:paraId="568E751E" w14:textId="77777777" w:rsidR="00BF1FEF" w:rsidRPr="006B22A2" w:rsidRDefault="00BF1FEF" w:rsidP="0035393A">
      <w:pPr>
        <w:pStyle w:val="FootnoteText"/>
        <w:rPr>
          <w:rFonts w:ascii="Arial" w:hAnsi="Arial" w:cs="Arial"/>
        </w:rPr>
      </w:pPr>
    </w:p>
  </w:footnote>
  <w:footnote w:id="14">
    <w:p w14:paraId="456B4B8C" w14:textId="77777777" w:rsidR="00BF1FEF" w:rsidRPr="006B22A2" w:rsidRDefault="00BF1FEF" w:rsidP="0018214F">
      <w:pPr>
        <w:pStyle w:val="FootnoteText"/>
        <w:tabs>
          <w:tab w:val="left" w:pos="2217"/>
        </w:tabs>
        <w:rPr>
          <w:rFonts w:ascii="Arial" w:hAnsi="Arial" w:cs="Arial"/>
        </w:rPr>
      </w:pPr>
      <w:r w:rsidRPr="006B22A2">
        <w:rPr>
          <w:rStyle w:val="FootnoteReference"/>
          <w:rFonts w:ascii="Arial" w:hAnsi="Arial" w:cs="Arial"/>
        </w:rPr>
        <w:footnoteRef/>
      </w:r>
      <w:r w:rsidRPr="006B22A2">
        <w:rPr>
          <w:rFonts w:ascii="Arial" w:hAnsi="Arial" w:cs="Arial"/>
        </w:rPr>
        <w:t xml:space="preserve"> </w:t>
      </w:r>
      <w:r w:rsidRPr="006B22A2">
        <w:rPr>
          <w:rFonts w:ascii="Arial" w:hAnsi="Arial" w:cs="Arial"/>
          <w:i/>
        </w:rPr>
        <w:t xml:space="preserve">Duke Opinion </w:t>
      </w:r>
      <w:r w:rsidRPr="006B22A2">
        <w:rPr>
          <w:rFonts w:ascii="Arial" w:hAnsi="Arial" w:cs="Arial"/>
        </w:rPr>
        <w:t>at ¶ 26.</w:t>
      </w:r>
    </w:p>
    <w:p w14:paraId="37C99CE7" w14:textId="403E13A0" w:rsidR="00BF1FEF" w:rsidRPr="006B22A2" w:rsidRDefault="00BF1FEF" w:rsidP="0018214F">
      <w:pPr>
        <w:pStyle w:val="FootnoteText"/>
        <w:tabs>
          <w:tab w:val="left" w:pos="2217"/>
        </w:tabs>
        <w:rPr>
          <w:rFonts w:ascii="Arial" w:hAnsi="Arial" w:cs="Arial"/>
        </w:rPr>
      </w:pPr>
      <w:r w:rsidRPr="006B22A2">
        <w:rPr>
          <w:rFonts w:ascii="Arial" w:hAnsi="Arial" w:cs="Arial"/>
        </w:rPr>
        <w:tab/>
      </w:r>
    </w:p>
  </w:footnote>
  <w:footnote w:id="15">
    <w:p w14:paraId="008C5B2C" w14:textId="77777777" w:rsidR="00BF1FEF" w:rsidRPr="006B22A2" w:rsidRDefault="00BF1FEF">
      <w:pPr>
        <w:pStyle w:val="FootnoteText"/>
        <w:rPr>
          <w:rFonts w:ascii="Arial" w:hAnsi="Arial" w:cs="Arial"/>
        </w:rPr>
      </w:pPr>
      <w:r w:rsidRPr="006B22A2">
        <w:rPr>
          <w:rStyle w:val="FootnoteReference"/>
          <w:rFonts w:ascii="Arial" w:hAnsi="Arial" w:cs="Arial"/>
        </w:rPr>
        <w:footnoteRef/>
      </w:r>
      <w:r w:rsidRPr="006B22A2">
        <w:rPr>
          <w:rFonts w:ascii="Arial" w:hAnsi="Arial" w:cs="Arial"/>
        </w:rPr>
        <w:t xml:space="preserve"> </w:t>
      </w:r>
      <w:r w:rsidRPr="006B22A2">
        <w:rPr>
          <w:rFonts w:ascii="Arial" w:hAnsi="Arial" w:cs="Arial"/>
          <w:i/>
        </w:rPr>
        <w:t xml:space="preserve">Id. </w:t>
      </w:r>
      <w:r w:rsidRPr="006B22A2">
        <w:rPr>
          <w:rFonts w:ascii="Arial" w:hAnsi="Arial" w:cs="Arial"/>
        </w:rPr>
        <w:t>at 27.</w:t>
      </w:r>
    </w:p>
    <w:p w14:paraId="1299A4AD" w14:textId="23924A34" w:rsidR="00BF1FEF" w:rsidRPr="006B22A2" w:rsidRDefault="00BF1FEF">
      <w:pPr>
        <w:pStyle w:val="FootnoteText"/>
        <w:rPr>
          <w:rFonts w:ascii="Arial" w:hAnsi="Arial" w:cs="Arial"/>
        </w:rPr>
      </w:pPr>
      <w:r w:rsidRPr="006B22A2">
        <w:rPr>
          <w:rFonts w:ascii="Arial" w:hAnsi="Arial" w:cs="Arial"/>
        </w:rPr>
        <w:t xml:space="preserve"> </w:t>
      </w:r>
    </w:p>
  </w:footnote>
  <w:footnote w:id="16">
    <w:p w14:paraId="5E63C186" w14:textId="46CEA492" w:rsidR="00BF1FEF" w:rsidRDefault="00BF1FEF">
      <w:pPr>
        <w:pStyle w:val="FootnoteText"/>
        <w:rPr>
          <w:rFonts w:ascii="Arial" w:hAnsi="Arial" w:cs="Arial"/>
        </w:rPr>
      </w:pPr>
      <w:r w:rsidRPr="006B22A2">
        <w:rPr>
          <w:rStyle w:val="FootnoteReference"/>
          <w:rFonts w:ascii="Arial" w:hAnsi="Arial" w:cs="Arial"/>
        </w:rPr>
        <w:footnoteRef/>
      </w:r>
      <w:r w:rsidRPr="006B22A2">
        <w:rPr>
          <w:rFonts w:ascii="Arial" w:hAnsi="Arial" w:cs="Arial"/>
        </w:rPr>
        <w:t xml:space="preserve"> </w:t>
      </w:r>
      <w:r w:rsidRPr="006B22A2">
        <w:rPr>
          <w:rFonts w:ascii="Arial" w:hAnsi="Arial" w:cs="Arial"/>
          <w:i/>
        </w:rPr>
        <w:t xml:space="preserve">Id. </w:t>
      </w:r>
      <w:r w:rsidRPr="006B22A2">
        <w:rPr>
          <w:rFonts w:ascii="Arial" w:hAnsi="Arial" w:cs="Arial"/>
        </w:rPr>
        <w:t>at 28.</w:t>
      </w:r>
    </w:p>
    <w:p w14:paraId="4CC3E75F" w14:textId="77777777" w:rsidR="000F2B57" w:rsidRPr="006B22A2" w:rsidRDefault="000F2B57">
      <w:pPr>
        <w:pStyle w:val="FootnoteText"/>
        <w:rPr>
          <w:rFonts w:ascii="Arial" w:hAnsi="Arial" w:cs="Arial"/>
        </w:rPr>
      </w:pPr>
    </w:p>
  </w:footnote>
  <w:footnote w:id="17">
    <w:p w14:paraId="22E0FAC0" w14:textId="791FD74A" w:rsidR="00BF1FEF" w:rsidRPr="006B22A2" w:rsidRDefault="00BF1FEF">
      <w:pPr>
        <w:pStyle w:val="FootnoteText"/>
        <w:rPr>
          <w:rFonts w:ascii="Arial" w:hAnsi="Arial" w:cs="Arial"/>
          <w:i/>
        </w:rPr>
      </w:pPr>
      <w:r w:rsidRPr="006B22A2">
        <w:rPr>
          <w:rStyle w:val="FootnoteReference"/>
          <w:rFonts w:ascii="Arial" w:hAnsi="Arial" w:cs="Arial"/>
        </w:rPr>
        <w:footnoteRef/>
      </w:r>
      <w:r w:rsidRPr="006B22A2">
        <w:rPr>
          <w:rFonts w:ascii="Arial" w:hAnsi="Arial" w:cs="Arial"/>
        </w:rPr>
        <w:t xml:space="preserve"> </w:t>
      </w:r>
      <w:r w:rsidRPr="006B22A2">
        <w:rPr>
          <w:rFonts w:ascii="Arial" w:hAnsi="Arial" w:cs="Arial"/>
          <w:i/>
        </w:rPr>
        <w:t>Id.</w:t>
      </w:r>
    </w:p>
    <w:p w14:paraId="5CEC87BA" w14:textId="77777777" w:rsidR="00BF1FEF" w:rsidRPr="006B22A2" w:rsidRDefault="00BF1FEF">
      <w:pPr>
        <w:pStyle w:val="FootnoteText"/>
        <w:rPr>
          <w:rFonts w:ascii="Arial" w:hAnsi="Arial" w:cs="Arial"/>
          <w:i/>
        </w:rPr>
      </w:pPr>
    </w:p>
  </w:footnote>
  <w:footnote w:id="18">
    <w:p w14:paraId="46F0F055" w14:textId="5CA99AAC" w:rsidR="00BF1FEF" w:rsidRPr="006B22A2" w:rsidRDefault="00BF1FEF">
      <w:pPr>
        <w:pStyle w:val="FootnoteText"/>
        <w:rPr>
          <w:rFonts w:ascii="Arial" w:hAnsi="Arial" w:cs="Arial"/>
        </w:rPr>
      </w:pPr>
      <w:r w:rsidRPr="006B22A2">
        <w:rPr>
          <w:rStyle w:val="FootnoteReference"/>
          <w:rFonts w:ascii="Arial" w:hAnsi="Arial" w:cs="Arial"/>
        </w:rPr>
        <w:footnoteRef/>
      </w:r>
      <w:r w:rsidRPr="006B22A2">
        <w:rPr>
          <w:rFonts w:ascii="Arial" w:hAnsi="Arial" w:cs="Arial"/>
        </w:rPr>
        <w:t xml:space="preserve"> </w:t>
      </w:r>
      <w:r w:rsidRPr="006B22A2">
        <w:rPr>
          <w:rFonts w:ascii="Arial" w:hAnsi="Arial" w:cs="Arial"/>
          <w:i/>
        </w:rPr>
        <w:t xml:space="preserve">Duke Opinion </w:t>
      </w:r>
      <w:r w:rsidRPr="006B22A2">
        <w:rPr>
          <w:rFonts w:ascii="Arial" w:hAnsi="Arial" w:cs="Arial"/>
        </w:rPr>
        <w:t>at ¶ 29.</w:t>
      </w:r>
    </w:p>
    <w:p w14:paraId="09288CAC" w14:textId="77777777" w:rsidR="00BF1FEF" w:rsidRPr="006B22A2" w:rsidRDefault="00BF1FEF" w:rsidP="00D222E8">
      <w:pPr>
        <w:pStyle w:val="FootnoteText"/>
        <w:jc w:val="both"/>
        <w:rPr>
          <w:rFonts w:ascii="Arial" w:hAnsi="Arial" w:cs="Arial"/>
        </w:rPr>
      </w:pPr>
    </w:p>
  </w:footnote>
  <w:footnote w:id="19">
    <w:p w14:paraId="2B32FF56" w14:textId="0A232AF7" w:rsidR="00BF1FEF" w:rsidRPr="006B22A2" w:rsidRDefault="00BF1FEF" w:rsidP="00D222E8">
      <w:pPr>
        <w:pStyle w:val="FootnoteText"/>
        <w:jc w:val="both"/>
        <w:rPr>
          <w:rFonts w:ascii="Arial" w:hAnsi="Arial" w:cs="Arial"/>
        </w:rPr>
      </w:pPr>
      <w:r w:rsidRPr="006B22A2">
        <w:rPr>
          <w:rStyle w:val="FootnoteReference"/>
          <w:rFonts w:ascii="Arial" w:hAnsi="Arial" w:cs="Arial"/>
        </w:rPr>
        <w:footnoteRef/>
      </w:r>
      <w:r w:rsidRPr="006B22A2">
        <w:rPr>
          <w:rFonts w:ascii="Arial" w:hAnsi="Arial" w:cs="Arial"/>
        </w:rPr>
        <w:t xml:space="preserve"> The Court, however, specifically determined that R.C. 4928.17(C) requires a functional corporate separation plan to be for an “interim period” and only for “good cause.”</w:t>
      </w:r>
    </w:p>
    <w:p w14:paraId="1A7E2A77" w14:textId="77777777" w:rsidR="00BF1FEF" w:rsidRPr="006B22A2" w:rsidRDefault="00BF1FEF" w:rsidP="00D222E8">
      <w:pPr>
        <w:pStyle w:val="FootnoteText"/>
        <w:jc w:val="both"/>
        <w:rPr>
          <w:rFonts w:ascii="Arial" w:hAnsi="Arial" w:cs="Arial"/>
        </w:rPr>
      </w:pPr>
    </w:p>
  </w:footnote>
  <w:footnote w:id="20">
    <w:p w14:paraId="3953B161" w14:textId="78A0B837" w:rsidR="00BF1FEF" w:rsidRPr="006B22A2" w:rsidRDefault="00BF1FEF" w:rsidP="00D222E8">
      <w:pPr>
        <w:pStyle w:val="FootnoteText"/>
        <w:jc w:val="both"/>
        <w:rPr>
          <w:rFonts w:ascii="Arial" w:hAnsi="Arial" w:cs="Arial"/>
        </w:rPr>
      </w:pPr>
      <w:r w:rsidRPr="006B22A2">
        <w:rPr>
          <w:rStyle w:val="FootnoteReference"/>
          <w:rFonts w:ascii="Arial" w:hAnsi="Arial" w:cs="Arial"/>
        </w:rPr>
        <w:footnoteRef/>
      </w:r>
      <w:r w:rsidRPr="006B22A2">
        <w:rPr>
          <w:rFonts w:ascii="Arial" w:hAnsi="Arial" w:cs="Arial"/>
        </w:rPr>
        <w:t xml:space="preserve"> Justice O’Donnell issued a concurrence and dissent, which stated that “in accordance with the statute, I would issue an order directing Duke to amend its corporate separation plan to require that it provide nonelectric products or services to its customers through a fully separated affiliate of the utility.” </w:t>
      </w:r>
      <w:proofErr w:type="gramStart"/>
      <w:r w:rsidRPr="006B22A2">
        <w:rPr>
          <w:rFonts w:ascii="Arial" w:hAnsi="Arial" w:cs="Arial"/>
          <w:i/>
        </w:rPr>
        <w:t>Duke  Opinion</w:t>
      </w:r>
      <w:proofErr w:type="gramEnd"/>
      <w:r w:rsidRPr="006B22A2">
        <w:rPr>
          <w:rFonts w:ascii="Arial" w:hAnsi="Arial" w:cs="Arial"/>
        </w:rPr>
        <w:t xml:space="preserve"> at ¶ 32.</w:t>
      </w:r>
    </w:p>
    <w:p w14:paraId="3183B4A1" w14:textId="77777777" w:rsidR="00BF1FEF" w:rsidRPr="006B22A2" w:rsidRDefault="00BF1FEF" w:rsidP="00D222E8">
      <w:pPr>
        <w:pStyle w:val="FootnoteText"/>
        <w:jc w:val="both"/>
        <w:rPr>
          <w:rFonts w:ascii="Arial" w:hAnsi="Arial" w:cs="Arial"/>
        </w:rPr>
      </w:pPr>
    </w:p>
  </w:footnote>
  <w:footnote w:id="21">
    <w:p w14:paraId="086E84EA" w14:textId="42D7CF30" w:rsidR="00BF1FEF" w:rsidRDefault="00BF1FEF">
      <w:pPr>
        <w:pStyle w:val="FootnoteText"/>
        <w:rPr>
          <w:rFonts w:ascii="Arial" w:hAnsi="Arial" w:cs="Arial"/>
        </w:rPr>
      </w:pPr>
      <w:r w:rsidRPr="006B22A2">
        <w:rPr>
          <w:rStyle w:val="FootnoteReference"/>
          <w:rFonts w:ascii="Arial" w:hAnsi="Arial" w:cs="Arial"/>
        </w:rPr>
        <w:footnoteRef/>
      </w:r>
      <w:r w:rsidRPr="006B22A2">
        <w:rPr>
          <w:rFonts w:ascii="Arial" w:hAnsi="Arial" w:cs="Arial"/>
        </w:rPr>
        <w:t xml:space="preserve"> </w:t>
      </w:r>
      <w:r w:rsidRPr="006B22A2">
        <w:rPr>
          <w:rFonts w:ascii="Arial" w:hAnsi="Arial" w:cs="Arial"/>
          <w:i/>
        </w:rPr>
        <w:t xml:space="preserve">Duke Opinion </w:t>
      </w:r>
      <w:r w:rsidRPr="006B22A2">
        <w:rPr>
          <w:rFonts w:ascii="Arial" w:hAnsi="Arial" w:cs="Arial"/>
        </w:rPr>
        <w:t xml:space="preserve">at ¶ 34.  </w:t>
      </w:r>
      <w:r w:rsidRPr="006B22A2">
        <w:rPr>
          <w:rFonts w:ascii="Arial" w:hAnsi="Arial" w:cs="Arial"/>
          <w:i/>
        </w:rPr>
        <w:t>See also</w:t>
      </w:r>
      <w:r w:rsidRPr="006B22A2">
        <w:rPr>
          <w:rFonts w:ascii="Arial" w:hAnsi="Arial" w:cs="Arial"/>
        </w:rPr>
        <w:t xml:space="preserve"> </w:t>
      </w:r>
      <w:r w:rsidRPr="006B22A2">
        <w:rPr>
          <w:rFonts w:ascii="Arial" w:hAnsi="Arial" w:cs="Arial"/>
          <w:i/>
        </w:rPr>
        <w:t>id.</w:t>
      </w:r>
      <w:r w:rsidRPr="006B22A2">
        <w:rPr>
          <w:rFonts w:ascii="Arial" w:hAnsi="Arial" w:cs="Arial"/>
        </w:rPr>
        <w:t xml:space="preserve"> </w:t>
      </w:r>
      <w:proofErr w:type="gramStart"/>
      <w:r w:rsidRPr="006B22A2">
        <w:rPr>
          <w:rFonts w:ascii="Arial" w:hAnsi="Arial" w:cs="Arial"/>
        </w:rPr>
        <w:t>at</w:t>
      </w:r>
      <w:proofErr w:type="gramEnd"/>
      <w:r w:rsidRPr="006B22A2">
        <w:rPr>
          <w:rFonts w:ascii="Arial" w:hAnsi="Arial" w:cs="Arial"/>
        </w:rPr>
        <w:t xml:space="preserve"> ¶ 50. </w:t>
      </w:r>
    </w:p>
    <w:p w14:paraId="59A99690" w14:textId="77777777" w:rsidR="006B22A2" w:rsidRPr="006B22A2" w:rsidRDefault="006B22A2">
      <w:pPr>
        <w:pStyle w:val="FootnoteText"/>
        <w:rPr>
          <w:rFonts w:ascii="Arial" w:hAnsi="Arial" w:cs="Arial"/>
        </w:rPr>
      </w:pPr>
    </w:p>
  </w:footnote>
  <w:footnote w:id="22">
    <w:p w14:paraId="15AE3E6F" w14:textId="71BBF6A7" w:rsidR="00BF1FEF" w:rsidRPr="006B22A2" w:rsidRDefault="00BF1FEF">
      <w:pPr>
        <w:pStyle w:val="FootnoteText"/>
        <w:rPr>
          <w:rFonts w:ascii="Arial" w:hAnsi="Arial" w:cs="Arial"/>
        </w:rPr>
      </w:pPr>
      <w:r w:rsidRPr="006B22A2">
        <w:rPr>
          <w:rStyle w:val="FootnoteReference"/>
          <w:rFonts w:ascii="Arial" w:hAnsi="Arial" w:cs="Arial"/>
        </w:rPr>
        <w:footnoteRef/>
      </w:r>
      <w:r w:rsidRPr="006B22A2">
        <w:rPr>
          <w:rFonts w:ascii="Arial" w:hAnsi="Arial" w:cs="Arial"/>
        </w:rPr>
        <w:t xml:space="preserve"> </w:t>
      </w:r>
      <w:r w:rsidRPr="006B22A2">
        <w:rPr>
          <w:rFonts w:ascii="Arial" w:hAnsi="Arial" w:cs="Arial"/>
          <w:i/>
        </w:rPr>
        <w:t xml:space="preserve">Duke Opinion </w:t>
      </w:r>
      <w:r w:rsidRPr="006B22A2">
        <w:rPr>
          <w:rFonts w:ascii="Arial" w:hAnsi="Arial" w:cs="Arial"/>
        </w:rPr>
        <w:t>at ¶ 46.</w:t>
      </w:r>
    </w:p>
    <w:p w14:paraId="19BF7755" w14:textId="77777777" w:rsidR="00BF1FEF" w:rsidRPr="006B22A2" w:rsidRDefault="00BF1FEF">
      <w:pPr>
        <w:pStyle w:val="FootnoteText"/>
        <w:rPr>
          <w:rFonts w:ascii="Arial" w:hAnsi="Arial" w:cs="Arial"/>
          <w:i/>
        </w:rPr>
      </w:pPr>
    </w:p>
  </w:footnote>
  <w:footnote w:id="23">
    <w:p w14:paraId="12232890" w14:textId="756A9DBE" w:rsidR="00BF1FEF" w:rsidRPr="006B22A2" w:rsidRDefault="00BF1FEF">
      <w:pPr>
        <w:pStyle w:val="FootnoteText"/>
        <w:rPr>
          <w:rFonts w:ascii="Arial" w:hAnsi="Arial" w:cs="Arial"/>
        </w:rPr>
      </w:pPr>
      <w:r w:rsidRPr="006B22A2">
        <w:rPr>
          <w:rStyle w:val="FootnoteReference"/>
          <w:rFonts w:ascii="Arial" w:hAnsi="Arial" w:cs="Arial"/>
        </w:rPr>
        <w:footnoteRef/>
      </w:r>
      <w:r w:rsidRPr="006B22A2">
        <w:rPr>
          <w:rFonts w:ascii="Arial" w:hAnsi="Arial" w:cs="Arial"/>
        </w:rPr>
        <w:t xml:space="preserve"> </w:t>
      </w:r>
      <w:r w:rsidRPr="006B22A2">
        <w:rPr>
          <w:rFonts w:ascii="Arial" w:hAnsi="Arial" w:cs="Arial"/>
          <w:i/>
        </w:rPr>
        <w:t xml:space="preserve">Id. </w:t>
      </w:r>
      <w:r w:rsidRPr="006B22A2">
        <w:rPr>
          <w:rFonts w:ascii="Arial" w:hAnsi="Arial" w:cs="Arial"/>
        </w:rPr>
        <w:t>at ¶ 47 (citing and quoting R.C. 4928.02).</w:t>
      </w:r>
    </w:p>
    <w:p w14:paraId="6151C115" w14:textId="77777777" w:rsidR="00BF1FEF" w:rsidRPr="006B22A2" w:rsidRDefault="00BF1FEF">
      <w:pPr>
        <w:pStyle w:val="FootnoteText"/>
        <w:rPr>
          <w:rFonts w:ascii="Arial" w:hAnsi="Arial" w:cs="Arial"/>
        </w:rPr>
      </w:pPr>
    </w:p>
  </w:footnote>
  <w:footnote w:id="24">
    <w:p w14:paraId="2D5AC171" w14:textId="77777777" w:rsidR="00BF1FEF" w:rsidRPr="006B22A2" w:rsidRDefault="00BF1FEF">
      <w:pPr>
        <w:pStyle w:val="FootnoteText"/>
        <w:rPr>
          <w:rFonts w:ascii="Arial" w:hAnsi="Arial" w:cs="Arial"/>
        </w:rPr>
      </w:pPr>
      <w:r w:rsidRPr="006B22A2">
        <w:rPr>
          <w:rStyle w:val="FootnoteReference"/>
          <w:rFonts w:ascii="Arial" w:hAnsi="Arial" w:cs="Arial"/>
        </w:rPr>
        <w:footnoteRef/>
      </w:r>
      <w:r w:rsidRPr="006B22A2">
        <w:rPr>
          <w:rFonts w:ascii="Arial" w:hAnsi="Arial" w:cs="Arial"/>
        </w:rPr>
        <w:t xml:space="preserve"> </w:t>
      </w:r>
      <w:r w:rsidRPr="006B22A2">
        <w:rPr>
          <w:rFonts w:ascii="Arial" w:hAnsi="Arial" w:cs="Arial"/>
          <w:i/>
        </w:rPr>
        <w:t>Id</w:t>
      </w:r>
      <w:r w:rsidRPr="006B22A2">
        <w:rPr>
          <w:rFonts w:ascii="Arial" w:hAnsi="Arial" w:cs="Arial"/>
        </w:rPr>
        <w:t>. at ¶ 48.</w:t>
      </w:r>
    </w:p>
    <w:p w14:paraId="1306CA01" w14:textId="77777777" w:rsidR="00BF1FEF" w:rsidRPr="006B22A2" w:rsidRDefault="00BF1FEF">
      <w:pPr>
        <w:pStyle w:val="FootnoteText"/>
        <w:rPr>
          <w:rFonts w:ascii="Arial" w:hAnsi="Arial" w:cs="Arial"/>
        </w:rPr>
      </w:pPr>
    </w:p>
  </w:footnote>
  <w:footnote w:id="25">
    <w:p w14:paraId="46C9C2DD" w14:textId="3321261A" w:rsidR="00BF1FEF" w:rsidRPr="006B22A2" w:rsidRDefault="00BF1FEF">
      <w:pPr>
        <w:pStyle w:val="FootnoteText"/>
        <w:rPr>
          <w:rFonts w:ascii="Arial" w:hAnsi="Arial" w:cs="Arial"/>
        </w:rPr>
      </w:pPr>
      <w:r w:rsidRPr="006B22A2">
        <w:rPr>
          <w:rStyle w:val="FootnoteReference"/>
          <w:rFonts w:ascii="Arial" w:hAnsi="Arial" w:cs="Arial"/>
        </w:rPr>
        <w:footnoteRef/>
      </w:r>
      <w:r w:rsidRPr="006B22A2">
        <w:rPr>
          <w:rFonts w:ascii="Arial" w:hAnsi="Arial" w:cs="Arial"/>
        </w:rPr>
        <w:t xml:space="preserve"> Order on Remand at 3.  </w:t>
      </w:r>
    </w:p>
    <w:p w14:paraId="7913F7BF" w14:textId="77777777" w:rsidR="00BF1FEF" w:rsidRPr="006B22A2" w:rsidRDefault="00BF1FEF">
      <w:pPr>
        <w:pStyle w:val="FootnoteText"/>
        <w:rPr>
          <w:rFonts w:ascii="Arial" w:hAnsi="Arial" w:cs="Arial"/>
        </w:rPr>
      </w:pPr>
    </w:p>
  </w:footnote>
  <w:footnote w:id="26">
    <w:p w14:paraId="7FCF60EC" w14:textId="08CBDB9B" w:rsidR="00BF1FEF" w:rsidRPr="006B22A2" w:rsidRDefault="00BF1FEF">
      <w:pPr>
        <w:pStyle w:val="FootnoteText"/>
        <w:rPr>
          <w:rFonts w:ascii="Arial" w:hAnsi="Arial" w:cs="Arial"/>
        </w:rPr>
      </w:pPr>
      <w:r w:rsidRPr="006B22A2">
        <w:rPr>
          <w:rStyle w:val="FootnoteReference"/>
          <w:rFonts w:ascii="Arial" w:hAnsi="Arial" w:cs="Arial"/>
        </w:rPr>
        <w:footnoteRef/>
      </w:r>
      <w:r w:rsidRPr="006B22A2">
        <w:rPr>
          <w:rFonts w:ascii="Arial" w:hAnsi="Arial" w:cs="Arial"/>
        </w:rPr>
        <w:t xml:space="preserve"> </w:t>
      </w:r>
      <w:r w:rsidRPr="006B22A2">
        <w:rPr>
          <w:rFonts w:ascii="Arial" w:hAnsi="Arial" w:cs="Arial"/>
          <w:i/>
        </w:rPr>
        <w:t xml:space="preserve">Duke Opinion </w:t>
      </w:r>
      <w:r w:rsidRPr="006B22A2">
        <w:rPr>
          <w:rFonts w:ascii="Arial" w:hAnsi="Arial" w:cs="Arial"/>
        </w:rPr>
        <w:t>at ¶ 29.</w:t>
      </w:r>
    </w:p>
    <w:p w14:paraId="56586B76" w14:textId="77777777" w:rsidR="00BF1FEF" w:rsidRPr="006B22A2" w:rsidRDefault="00BF1FEF">
      <w:pPr>
        <w:pStyle w:val="FootnoteText"/>
        <w:rPr>
          <w:rFonts w:ascii="Arial" w:hAnsi="Arial" w:cs="Arial"/>
        </w:rPr>
      </w:pPr>
    </w:p>
  </w:footnote>
  <w:footnote w:id="27">
    <w:p w14:paraId="196C04F9" w14:textId="1EF9CC9C" w:rsidR="00BF1FEF" w:rsidRDefault="00BF1FEF">
      <w:pPr>
        <w:pStyle w:val="FootnoteText"/>
        <w:rPr>
          <w:rFonts w:ascii="Arial" w:hAnsi="Arial" w:cs="Arial"/>
        </w:rPr>
      </w:pPr>
      <w:r w:rsidRPr="006B22A2">
        <w:rPr>
          <w:rStyle w:val="FootnoteReference"/>
          <w:rFonts w:ascii="Arial" w:hAnsi="Arial" w:cs="Arial"/>
        </w:rPr>
        <w:footnoteRef/>
      </w:r>
      <w:r w:rsidRPr="006B22A2">
        <w:rPr>
          <w:rFonts w:ascii="Arial" w:hAnsi="Arial" w:cs="Arial"/>
        </w:rPr>
        <w:t xml:space="preserve"> Order on Remand at 3 (emphasis added).  </w:t>
      </w:r>
    </w:p>
    <w:p w14:paraId="323E709B" w14:textId="77777777" w:rsidR="001637C0" w:rsidRPr="006B22A2" w:rsidRDefault="001637C0">
      <w:pPr>
        <w:pStyle w:val="FootnoteText"/>
        <w:rPr>
          <w:rFonts w:ascii="Arial" w:hAnsi="Arial" w:cs="Arial"/>
        </w:rPr>
      </w:pPr>
    </w:p>
  </w:footnote>
  <w:footnote w:id="28">
    <w:p w14:paraId="280DA2F4" w14:textId="3B6BC10E" w:rsidR="00BF1FEF" w:rsidRPr="006B22A2" w:rsidRDefault="00BF1FEF">
      <w:pPr>
        <w:pStyle w:val="FootnoteText"/>
        <w:rPr>
          <w:rFonts w:ascii="Arial" w:hAnsi="Arial" w:cs="Arial"/>
        </w:rPr>
      </w:pPr>
      <w:r w:rsidRPr="006B22A2">
        <w:rPr>
          <w:rStyle w:val="FootnoteReference"/>
          <w:rFonts w:ascii="Arial" w:hAnsi="Arial" w:cs="Arial"/>
        </w:rPr>
        <w:footnoteRef/>
      </w:r>
      <w:r w:rsidRPr="006B22A2">
        <w:rPr>
          <w:rFonts w:ascii="Arial" w:hAnsi="Arial" w:cs="Arial"/>
        </w:rPr>
        <w:t xml:space="preserve"> Order on Remand at 3-4.</w:t>
      </w:r>
    </w:p>
    <w:p w14:paraId="1BAA073C" w14:textId="77777777" w:rsidR="00BF1FEF" w:rsidRPr="006B22A2" w:rsidRDefault="00BF1FEF">
      <w:pPr>
        <w:pStyle w:val="FootnoteText"/>
        <w:rPr>
          <w:rFonts w:ascii="Arial" w:hAnsi="Arial" w:cs="Arial"/>
        </w:rPr>
      </w:pPr>
    </w:p>
  </w:footnote>
  <w:footnote w:id="29">
    <w:p w14:paraId="55410CDE" w14:textId="105B5A75" w:rsidR="00BF1FEF" w:rsidRPr="006B22A2" w:rsidRDefault="00BF1FEF">
      <w:pPr>
        <w:pStyle w:val="FootnoteText"/>
        <w:rPr>
          <w:rFonts w:ascii="Arial" w:hAnsi="Arial" w:cs="Arial"/>
        </w:rPr>
      </w:pPr>
      <w:r w:rsidRPr="006B22A2">
        <w:rPr>
          <w:rStyle w:val="FootnoteReference"/>
          <w:rFonts w:ascii="Arial" w:hAnsi="Arial" w:cs="Arial"/>
        </w:rPr>
        <w:footnoteRef/>
      </w:r>
      <w:r w:rsidRPr="006B22A2">
        <w:rPr>
          <w:rFonts w:ascii="Arial" w:hAnsi="Arial" w:cs="Arial"/>
        </w:rPr>
        <w:t xml:space="preserve"> Application for Rehearing at 2-3.</w:t>
      </w:r>
    </w:p>
    <w:p w14:paraId="0F73CB16" w14:textId="77777777" w:rsidR="00BF1FEF" w:rsidRPr="006B22A2" w:rsidRDefault="00BF1FEF">
      <w:pPr>
        <w:pStyle w:val="FootnoteText"/>
        <w:rPr>
          <w:rFonts w:ascii="Arial" w:hAnsi="Arial" w:cs="Arial"/>
        </w:rPr>
      </w:pPr>
    </w:p>
  </w:footnote>
  <w:footnote w:id="30">
    <w:p w14:paraId="22E91B1B" w14:textId="1E7F29D0" w:rsidR="00BF1FEF" w:rsidRPr="006B22A2" w:rsidRDefault="00BF1FEF">
      <w:pPr>
        <w:pStyle w:val="FootnoteText"/>
        <w:rPr>
          <w:rFonts w:ascii="Arial" w:hAnsi="Arial" w:cs="Arial"/>
        </w:rPr>
      </w:pPr>
      <w:r w:rsidRPr="006B22A2">
        <w:rPr>
          <w:rStyle w:val="FootnoteReference"/>
          <w:rFonts w:ascii="Arial" w:hAnsi="Arial" w:cs="Arial"/>
        </w:rPr>
        <w:footnoteRef/>
      </w:r>
      <w:r w:rsidRPr="006B22A2">
        <w:rPr>
          <w:rFonts w:ascii="Arial" w:hAnsi="Arial" w:cs="Arial"/>
        </w:rPr>
        <w:t xml:space="preserve"> </w:t>
      </w:r>
      <w:r w:rsidRPr="006B22A2">
        <w:rPr>
          <w:rFonts w:ascii="Arial" w:hAnsi="Arial" w:cs="Arial"/>
          <w:i/>
        </w:rPr>
        <w:t xml:space="preserve">Id. </w:t>
      </w:r>
      <w:r w:rsidRPr="006B22A2">
        <w:rPr>
          <w:rFonts w:ascii="Arial" w:hAnsi="Arial" w:cs="Arial"/>
        </w:rPr>
        <w:t>at 3-5.</w:t>
      </w:r>
    </w:p>
    <w:p w14:paraId="06AFD700" w14:textId="77777777" w:rsidR="00BF1FEF" w:rsidRPr="006B22A2" w:rsidRDefault="00BF1FEF">
      <w:pPr>
        <w:pStyle w:val="FootnoteText"/>
        <w:rPr>
          <w:rFonts w:ascii="Arial" w:hAnsi="Arial" w:cs="Arial"/>
        </w:rPr>
      </w:pPr>
    </w:p>
  </w:footnote>
  <w:footnote w:id="31">
    <w:p w14:paraId="62C5BC72" w14:textId="4039DBBE" w:rsidR="00BF1FEF" w:rsidRPr="006B22A2" w:rsidRDefault="00BF1FEF">
      <w:pPr>
        <w:pStyle w:val="FootnoteText"/>
        <w:rPr>
          <w:rFonts w:ascii="Arial" w:hAnsi="Arial" w:cs="Arial"/>
        </w:rPr>
      </w:pPr>
      <w:r w:rsidRPr="006B22A2">
        <w:rPr>
          <w:rStyle w:val="FootnoteReference"/>
          <w:rFonts w:ascii="Arial" w:hAnsi="Arial" w:cs="Arial"/>
        </w:rPr>
        <w:footnoteRef/>
      </w:r>
      <w:r w:rsidRPr="006B22A2">
        <w:rPr>
          <w:rFonts w:ascii="Arial" w:hAnsi="Arial" w:cs="Arial"/>
        </w:rPr>
        <w:t xml:space="preserve"> </w:t>
      </w:r>
      <w:r w:rsidRPr="006B22A2">
        <w:rPr>
          <w:rFonts w:ascii="Arial" w:hAnsi="Arial" w:cs="Arial"/>
          <w:i/>
        </w:rPr>
        <w:t xml:space="preserve">Id. </w:t>
      </w:r>
      <w:r w:rsidRPr="006B22A2">
        <w:rPr>
          <w:rFonts w:ascii="Arial" w:hAnsi="Arial" w:cs="Arial"/>
        </w:rPr>
        <w:t>at 5-6.</w:t>
      </w:r>
    </w:p>
    <w:p w14:paraId="7CB2D58D" w14:textId="77777777" w:rsidR="00BF1FEF" w:rsidRPr="006B22A2" w:rsidRDefault="00BF1FEF">
      <w:pPr>
        <w:pStyle w:val="FootnoteText"/>
        <w:rPr>
          <w:rFonts w:ascii="Arial" w:hAnsi="Arial" w:cs="Arial"/>
        </w:rPr>
      </w:pPr>
    </w:p>
  </w:footnote>
  <w:footnote w:id="32">
    <w:p w14:paraId="4EAE123F" w14:textId="7793D081" w:rsidR="00BF1FEF" w:rsidRDefault="00BF1FEF">
      <w:pPr>
        <w:pStyle w:val="FootnoteText"/>
        <w:rPr>
          <w:rFonts w:ascii="Arial" w:hAnsi="Arial" w:cs="Arial"/>
        </w:rPr>
      </w:pPr>
      <w:r w:rsidRPr="006B22A2">
        <w:rPr>
          <w:rStyle w:val="FootnoteReference"/>
          <w:rFonts w:ascii="Arial" w:hAnsi="Arial" w:cs="Arial"/>
        </w:rPr>
        <w:footnoteRef/>
      </w:r>
      <w:r w:rsidRPr="006B22A2">
        <w:rPr>
          <w:rFonts w:ascii="Arial" w:hAnsi="Arial" w:cs="Arial"/>
        </w:rPr>
        <w:t xml:space="preserve"> </w:t>
      </w:r>
      <w:r w:rsidRPr="006B22A2">
        <w:rPr>
          <w:rFonts w:ascii="Arial" w:hAnsi="Arial" w:cs="Arial"/>
          <w:i/>
        </w:rPr>
        <w:t xml:space="preserve">Id. </w:t>
      </w:r>
      <w:r w:rsidRPr="006B22A2">
        <w:rPr>
          <w:rFonts w:ascii="Arial" w:hAnsi="Arial" w:cs="Arial"/>
        </w:rPr>
        <w:t>at 6-10.</w:t>
      </w:r>
    </w:p>
    <w:p w14:paraId="297DC98B" w14:textId="77777777" w:rsidR="006B22A2" w:rsidRPr="006B22A2" w:rsidRDefault="006B22A2">
      <w:pPr>
        <w:pStyle w:val="FootnoteText"/>
        <w:rPr>
          <w:rFonts w:ascii="Arial" w:hAnsi="Arial" w:cs="Arial"/>
        </w:rPr>
      </w:pPr>
    </w:p>
  </w:footnote>
  <w:footnote w:id="33">
    <w:p w14:paraId="111C0EC1" w14:textId="3F51346D" w:rsidR="00BF1FEF" w:rsidRPr="006B22A2" w:rsidRDefault="00BF1FEF">
      <w:pPr>
        <w:pStyle w:val="FootnoteText"/>
        <w:rPr>
          <w:rFonts w:ascii="Arial" w:hAnsi="Arial" w:cs="Arial"/>
        </w:rPr>
      </w:pPr>
      <w:r w:rsidRPr="006B22A2">
        <w:rPr>
          <w:rStyle w:val="FootnoteReference"/>
          <w:rFonts w:ascii="Arial" w:hAnsi="Arial" w:cs="Arial"/>
        </w:rPr>
        <w:footnoteRef/>
      </w:r>
      <w:r w:rsidRPr="006B22A2">
        <w:rPr>
          <w:rFonts w:ascii="Arial" w:hAnsi="Arial" w:cs="Arial"/>
        </w:rPr>
        <w:t xml:space="preserve"> Application for Rehearing at 2-3.</w:t>
      </w:r>
    </w:p>
    <w:p w14:paraId="2955105E" w14:textId="77777777" w:rsidR="00BF1FEF" w:rsidRPr="006B22A2" w:rsidRDefault="00BF1FEF">
      <w:pPr>
        <w:pStyle w:val="FootnoteText"/>
        <w:rPr>
          <w:rFonts w:ascii="Arial" w:hAnsi="Arial" w:cs="Arial"/>
        </w:rPr>
      </w:pPr>
    </w:p>
  </w:footnote>
  <w:footnote w:id="34">
    <w:p w14:paraId="0637A8F1" w14:textId="5A1D4479" w:rsidR="00BF1FEF" w:rsidRPr="006B22A2" w:rsidRDefault="00BF1FEF">
      <w:pPr>
        <w:pStyle w:val="FootnoteText"/>
        <w:rPr>
          <w:rFonts w:ascii="Arial" w:hAnsi="Arial" w:cs="Arial"/>
          <w:i/>
        </w:rPr>
      </w:pPr>
      <w:r w:rsidRPr="006B22A2">
        <w:rPr>
          <w:rStyle w:val="FootnoteReference"/>
          <w:rFonts w:ascii="Arial" w:hAnsi="Arial" w:cs="Arial"/>
        </w:rPr>
        <w:footnoteRef/>
      </w:r>
      <w:r w:rsidRPr="006B22A2">
        <w:rPr>
          <w:rFonts w:ascii="Arial" w:hAnsi="Arial" w:cs="Arial"/>
        </w:rPr>
        <w:t xml:space="preserve"> </w:t>
      </w:r>
      <w:r w:rsidRPr="006B22A2">
        <w:rPr>
          <w:rFonts w:ascii="Arial" w:hAnsi="Arial" w:cs="Arial"/>
          <w:i/>
        </w:rPr>
        <w:t xml:space="preserve">Id. </w:t>
      </w:r>
    </w:p>
    <w:p w14:paraId="2001B03A" w14:textId="77777777" w:rsidR="00BF1FEF" w:rsidRPr="006B22A2" w:rsidRDefault="00BF1FEF">
      <w:pPr>
        <w:pStyle w:val="FootnoteText"/>
        <w:rPr>
          <w:rFonts w:ascii="Arial" w:hAnsi="Arial" w:cs="Arial"/>
        </w:rPr>
      </w:pPr>
    </w:p>
  </w:footnote>
  <w:footnote w:id="35">
    <w:p w14:paraId="0D2D0C9C" w14:textId="2167A3C0" w:rsidR="00BF1FEF" w:rsidRPr="006B22A2" w:rsidRDefault="00BF1FEF">
      <w:pPr>
        <w:pStyle w:val="FootnoteText"/>
        <w:rPr>
          <w:rFonts w:ascii="Arial" w:hAnsi="Arial" w:cs="Arial"/>
        </w:rPr>
      </w:pPr>
      <w:r w:rsidRPr="006B22A2">
        <w:rPr>
          <w:rStyle w:val="FootnoteReference"/>
          <w:rFonts w:ascii="Arial" w:hAnsi="Arial" w:cs="Arial"/>
        </w:rPr>
        <w:footnoteRef/>
      </w:r>
      <w:r w:rsidRPr="006B22A2">
        <w:rPr>
          <w:rFonts w:ascii="Arial" w:hAnsi="Arial" w:cs="Arial"/>
        </w:rPr>
        <w:t xml:space="preserve"> </w:t>
      </w:r>
      <w:r w:rsidRPr="006B22A2">
        <w:rPr>
          <w:rFonts w:ascii="Arial" w:hAnsi="Arial" w:cs="Arial"/>
          <w:i/>
        </w:rPr>
        <w:t>Id.</w:t>
      </w:r>
      <w:r w:rsidRPr="006B22A2">
        <w:rPr>
          <w:rFonts w:ascii="Arial" w:hAnsi="Arial" w:cs="Arial"/>
        </w:rPr>
        <w:t xml:space="preserve"> at 5-6.</w:t>
      </w:r>
    </w:p>
    <w:p w14:paraId="1D316060" w14:textId="77777777" w:rsidR="00BF1FEF" w:rsidRPr="006B22A2" w:rsidRDefault="00BF1FEF" w:rsidP="00281F35">
      <w:pPr>
        <w:pStyle w:val="FootnoteText"/>
        <w:jc w:val="both"/>
        <w:rPr>
          <w:rFonts w:ascii="Arial" w:hAnsi="Arial" w:cs="Arial"/>
        </w:rPr>
      </w:pPr>
    </w:p>
  </w:footnote>
  <w:footnote w:id="36">
    <w:p w14:paraId="4A442356" w14:textId="7453044A" w:rsidR="00BF1FEF" w:rsidRPr="006B22A2" w:rsidRDefault="00BF1FEF" w:rsidP="00281F35">
      <w:pPr>
        <w:pStyle w:val="FootnoteText"/>
        <w:jc w:val="both"/>
        <w:rPr>
          <w:rFonts w:ascii="Arial" w:hAnsi="Arial" w:cs="Arial"/>
        </w:rPr>
      </w:pPr>
      <w:r w:rsidRPr="006B22A2">
        <w:rPr>
          <w:rStyle w:val="FootnoteReference"/>
          <w:rFonts w:ascii="Arial" w:hAnsi="Arial" w:cs="Arial"/>
        </w:rPr>
        <w:footnoteRef/>
      </w:r>
      <w:r w:rsidRPr="006B22A2">
        <w:rPr>
          <w:rFonts w:ascii="Arial" w:hAnsi="Arial" w:cs="Arial"/>
        </w:rPr>
        <w:t xml:space="preserve"> The majority opinion, however, specifically determined that R.C. 4928.17(C) requires a functional corporate separation plan to be for an “interim period” and only for “good cause.”</w:t>
      </w:r>
    </w:p>
    <w:p w14:paraId="506D2E84" w14:textId="77777777" w:rsidR="00BF1FEF" w:rsidRPr="006B22A2" w:rsidRDefault="00BF1FEF" w:rsidP="00281F35">
      <w:pPr>
        <w:pStyle w:val="FootnoteText"/>
        <w:jc w:val="both"/>
        <w:rPr>
          <w:rFonts w:ascii="Arial" w:hAnsi="Arial" w:cs="Arial"/>
        </w:rPr>
      </w:pPr>
    </w:p>
  </w:footnote>
  <w:footnote w:id="37">
    <w:p w14:paraId="0FD54944" w14:textId="5EA8D46A" w:rsidR="00BF1FEF" w:rsidRPr="006B22A2" w:rsidRDefault="00BF1FEF">
      <w:pPr>
        <w:pStyle w:val="FootnoteText"/>
        <w:rPr>
          <w:rFonts w:ascii="Arial" w:hAnsi="Arial" w:cs="Arial"/>
        </w:rPr>
      </w:pPr>
      <w:r w:rsidRPr="006B22A2">
        <w:rPr>
          <w:rStyle w:val="FootnoteReference"/>
          <w:rFonts w:ascii="Arial" w:hAnsi="Arial" w:cs="Arial"/>
        </w:rPr>
        <w:footnoteRef/>
      </w:r>
      <w:r w:rsidRPr="006B22A2">
        <w:rPr>
          <w:rFonts w:ascii="Arial" w:hAnsi="Arial" w:cs="Arial"/>
        </w:rPr>
        <w:t xml:space="preserve"> </w:t>
      </w:r>
      <w:r w:rsidRPr="006B22A2">
        <w:rPr>
          <w:rFonts w:ascii="Arial" w:hAnsi="Arial" w:cs="Arial"/>
          <w:i/>
        </w:rPr>
        <w:t xml:space="preserve">Duke Opinion </w:t>
      </w:r>
      <w:r w:rsidRPr="006B22A2">
        <w:rPr>
          <w:rFonts w:ascii="Arial" w:hAnsi="Arial" w:cs="Arial"/>
        </w:rPr>
        <w:t>at ¶ 28.</w:t>
      </w:r>
    </w:p>
    <w:p w14:paraId="079E6715" w14:textId="77777777" w:rsidR="00BF1FEF" w:rsidRPr="006B22A2" w:rsidRDefault="00BF1FEF">
      <w:pPr>
        <w:pStyle w:val="FootnoteText"/>
        <w:rPr>
          <w:rFonts w:ascii="Arial" w:hAnsi="Arial" w:cs="Arial"/>
        </w:rPr>
      </w:pPr>
    </w:p>
  </w:footnote>
  <w:footnote w:id="38">
    <w:p w14:paraId="3196F1E4" w14:textId="0DE9D0D6" w:rsidR="00BF1FEF" w:rsidRPr="006B22A2" w:rsidRDefault="00BF1FEF">
      <w:pPr>
        <w:pStyle w:val="FootnoteText"/>
        <w:rPr>
          <w:rFonts w:ascii="Arial" w:hAnsi="Arial" w:cs="Arial"/>
        </w:rPr>
      </w:pPr>
      <w:r w:rsidRPr="006B22A2">
        <w:rPr>
          <w:rStyle w:val="FootnoteReference"/>
          <w:rFonts w:ascii="Arial" w:hAnsi="Arial" w:cs="Arial"/>
        </w:rPr>
        <w:footnoteRef/>
      </w:r>
      <w:r w:rsidRPr="006B22A2">
        <w:rPr>
          <w:rFonts w:ascii="Arial" w:hAnsi="Arial" w:cs="Arial"/>
        </w:rPr>
        <w:t xml:space="preserve"> </w:t>
      </w:r>
      <w:r w:rsidRPr="006B22A2">
        <w:rPr>
          <w:rFonts w:ascii="Arial" w:hAnsi="Arial" w:cs="Arial"/>
          <w:i/>
        </w:rPr>
        <w:t>Id.</w:t>
      </w:r>
      <w:r w:rsidRPr="006B22A2">
        <w:rPr>
          <w:rFonts w:ascii="Arial" w:hAnsi="Arial" w:cs="Arial"/>
        </w:rPr>
        <w:t xml:space="preserve"> at ¶ 29.</w:t>
      </w:r>
    </w:p>
    <w:p w14:paraId="7E212FC9" w14:textId="77777777" w:rsidR="00BF1FEF" w:rsidRPr="006B22A2" w:rsidRDefault="00BF1FEF">
      <w:pPr>
        <w:pStyle w:val="FootnoteText"/>
        <w:rPr>
          <w:rFonts w:ascii="Arial" w:hAnsi="Arial" w:cs="Arial"/>
        </w:rPr>
      </w:pPr>
    </w:p>
  </w:footnote>
  <w:footnote w:id="39">
    <w:p w14:paraId="594847B3" w14:textId="0F7106DE" w:rsidR="00BF1FEF" w:rsidRDefault="00BF1FEF">
      <w:pPr>
        <w:pStyle w:val="FootnoteText"/>
        <w:rPr>
          <w:rFonts w:ascii="Arial" w:hAnsi="Arial" w:cs="Arial"/>
        </w:rPr>
      </w:pPr>
      <w:r w:rsidRPr="006B22A2">
        <w:rPr>
          <w:rStyle w:val="FootnoteReference"/>
          <w:rFonts w:ascii="Arial" w:hAnsi="Arial" w:cs="Arial"/>
        </w:rPr>
        <w:footnoteRef/>
      </w:r>
      <w:r w:rsidRPr="006B22A2">
        <w:rPr>
          <w:rFonts w:ascii="Arial" w:hAnsi="Arial" w:cs="Arial"/>
        </w:rPr>
        <w:t xml:space="preserve"> </w:t>
      </w:r>
      <w:r w:rsidRPr="006B22A2">
        <w:rPr>
          <w:rFonts w:ascii="Arial" w:hAnsi="Arial" w:cs="Arial"/>
          <w:i/>
        </w:rPr>
        <w:t xml:space="preserve">Id. </w:t>
      </w:r>
      <w:r w:rsidRPr="006B22A2">
        <w:rPr>
          <w:rFonts w:ascii="Arial" w:hAnsi="Arial" w:cs="Arial"/>
        </w:rPr>
        <w:t>at ¶ 27.</w:t>
      </w:r>
    </w:p>
    <w:p w14:paraId="1429FA8E" w14:textId="77777777" w:rsidR="006B22A2" w:rsidRPr="006B22A2" w:rsidRDefault="006B22A2">
      <w:pPr>
        <w:pStyle w:val="FootnoteText"/>
        <w:rPr>
          <w:rFonts w:ascii="Arial" w:hAnsi="Arial" w:cs="Arial"/>
        </w:rPr>
      </w:pPr>
    </w:p>
  </w:footnote>
  <w:footnote w:id="40">
    <w:p w14:paraId="064657FB" w14:textId="582EF9C8" w:rsidR="00BF1FEF" w:rsidRPr="006B22A2" w:rsidRDefault="00BF1FEF">
      <w:pPr>
        <w:pStyle w:val="FootnoteText"/>
        <w:rPr>
          <w:rFonts w:ascii="Arial" w:hAnsi="Arial" w:cs="Arial"/>
          <w:i/>
        </w:rPr>
      </w:pPr>
      <w:r w:rsidRPr="006B22A2">
        <w:rPr>
          <w:rStyle w:val="FootnoteReference"/>
          <w:rFonts w:ascii="Arial" w:hAnsi="Arial" w:cs="Arial"/>
        </w:rPr>
        <w:footnoteRef/>
      </w:r>
      <w:r w:rsidRPr="006B22A2">
        <w:rPr>
          <w:rFonts w:ascii="Arial" w:hAnsi="Arial" w:cs="Arial"/>
        </w:rPr>
        <w:t xml:space="preserve"> </w:t>
      </w:r>
      <w:r w:rsidRPr="006B22A2">
        <w:rPr>
          <w:rFonts w:ascii="Arial" w:hAnsi="Arial" w:cs="Arial"/>
          <w:i/>
        </w:rPr>
        <w:t>Id.</w:t>
      </w:r>
    </w:p>
    <w:p w14:paraId="65E5E9BB" w14:textId="77777777" w:rsidR="00BF1FEF" w:rsidRPr="006B22A2" w:rsidRDefault="00BF1FEF">
      <w:pPr>
        <w:pStyle w:val="FootnoteText"/>
        <w:rPr>
          <w:rFonts w:ascii="Arial" w:hAnsi="Arial" w:cs="Arial"/>
        </w:rPr>
      </w:pPr>
    </w:p>
  </w:footnote>
  <w:footnote w:id="41">
    <w:p w14:paraId="6964974F" w14:textId="713DAB6A" w:rsidR="00BF1FEF" w:rsidRPr="006B22A2" w:rsidRDefault="00BF1FEF">
      <w:pPr>
        <w:pStyle w:val="FootnoteText"/>
        <w:rPr>
          <w:rFonts w:ascii="Arial" w:hAnsi="Arial" w:cs="Arial"/>
        </w:rPr>
      </w:pPr>
      <w:r w:rsidRPr="006B22A2">
        <w:rPr>
          <w:rStyle w:val="FootnoteReference"/>
          <w:rFonts w:ascii="Arial" w:hAnsi="Arial" w:cs="Arial"/>
        </w:rPr>
        <w:footnoteRef/>
      </w:r>
      <w:r w:rsidRPr="006B22A2">
        <w:rPr>
          <w:rFonts w:ascii="Arial" w:hAnsi="Arial" w:cs="Arial"/>
        </w:rPr>
        <w:t xml:space="preserve"> Order on Remand at 3-4.</w:t>
      </w:r>
    </w:p>
    <w:p w14:paraId="5527C1AB" w14:textId="77777777" w:rsidR="00BF1FEF" w:rsidRPr="006B22A2" w:rsidRDefault="00BF1FEF">
      <w:pPr>
        <w:pStyle w:val="FootnoteText"/>
        <w:rPr>
          <w:rFonts w:ascii="Arial" w:hAnsi="Arial" w:cs="Arial"/>
        </w:rPr>
      </w:pPr>
    </w:p>
  </w:footnote>
  <w:footnote w:id="42">
    <w:p w14:paraId="2D85A375" w14:textId="1002D260" w:rsidR="00BF1FEF" w:rsidRPr="006B22A2" w:rsidRDefault="00BF1FEF">
      <w:pPr>
        <w:pStyle w:val="FootnoteText"/>
        <w:rPr>
          <w:rFonts w:ascii="Arial" w:hAnsi="Arial" w:cs="Arial"/>
        </w:rPr>
      </w:pPr>
      <w:r w:rsidRPr="006B22A2">
        <w:rPr>
          <w:rStyle w:val="FootnoteReference"/>
          <w:rFonts w:ascii="Arial" w:hAnsi="Arial" w:cs="Arial"/>
        </w:rPr>
        <w:footnoteRef/>
      </w:r>
      <w:r w:rsidRPr="006B22A2">
        <w:rPr>
          <w:rFonts w:ascii="Arial" w:hAnsi="Arial" w:cs="Arial"/>
        </w:rPr>
        <w:t xml:space="preserve"> Order on Remand at 3.</w:t>
      </w:r>
    </w:p>
    <w:p w14:paraId="6B0F1777" w14:textId="77777777" w:rsidR="00BF1FEF" w:rsidRPr="006B22A2" w:rsidRDefault="00BF1FEF">
      <w:pPr>
        <w:pStyle w:val="FootnoteText"/>
        <w:rPr>
          <w:rFonts w:ascii="Arial" w:hAnsi="Arial" w:cs="Arial"/>
        </w:rPr>
      </w:pPr>
    </w:p>
  </w:footnote>
  <w:footnote w:id="43">
    <w:p w14:paraId="0A8C8619" w14:textId="39C94D72" w:rsidR="00BF1FEF" w:rsidRPr="006B22A2" w:rsidRDefault="00BF1FEF">
      <w:pPr>
        <w:pStyle w:val="FootnoteText"/>
        <w:rPr>
          <w:rFonts w:ascii="Arial" w:hAnsi="Arial" w:cs="Arial"/>
        </w:rPr>
      </w:pPr>
      <w:r w:rsidRPr="006B22A2">
        <w:rPr>
          <w:rStyle w:val="FootnoteReference"/>
          <w:rFonts w:ascii="Arial" w:hAnsi="Arial" w:cs="Arial"/>
        </w:rPr>
        <w:footnoteRef/>
      </w:r>
      <w:r w:rsidRPr="006B22A2">
        <w:rPr>
          <w:rFonts w:ascii="Arial" w:hAnsi="Arial" w:cs="Arial"/>
        </w:rPr>
        <w:t xml:space="preserve"> </w:t>
      </w:r>
      <w:r w:rsidRPr="006B22A2">
        <w:rPr>
          <w:rFonts w:ascii="Arial" w:hAnsi="Arial" w:cs="Arial"/>
          <w:i/>
        </w:rPr>
        <w:t>Id</w:t>
      </w:r>
      <w:r w:rsidRPr="006B22A2">
        <w:rPr>
          <w:rFonts w:ascii="Arial" w:hAnsi="Arial" w:cs="Arial"/>
        </w:rPr>
        <w:t>.</w:t>
      </w:r>
    </w:p>
    <w:p w14:paraId="63449558" w14:textId="77777777" w:rsidR="00BF1FEF" w:rsidRPr="006B22A2" w:rsidRDefault="00BF1FEF">
      <w:pPr>
        <w:pStyle w:val="FootnoteText"/>
        <w:rPr>
          <w:rFonts w:ascii="Arial" w:hAnsi="Arial" w:cs="Arial"/>
        </w:rPr>
      </w:pPr>
    </w:p>
  </w:footnote>
  <w:footnote w:id="44">
    <w:p w14:paraId="37CB0869" w14:textId="20A2ADE4" w:rsidR="00BF1FEF" w:rsidRPr="006B22A2" w:rsidRDefault="00BF1FEF">
      <w:pPr>
        <w:pStyle w:val="FootnoteText"/>
        <w:rPr>
          <w:rFonts w:ascii="Arial" w:hAnsi="Arial" w:cs="Arial"/>
        </w:rPr>
      </w:pPr>
      <w:r w:rsidRPr="006B22A2">
        <w:rPr>
          <w:rStyle w:val="FootnoteReference"/>
          <w:rFonts w:ascii="Arial" w:hAnsi="Arial" w:cs="Arial"/>
        </w:rPr>
        <w:footnoteRef/>
      </w:r>
      <w:r w:rsidRPr="006B22A2">
        <w:rPr>
          <w:rFonts w:ascii="Arial" w:hAnsi="Arial" w:cs="Arial"/>
        </w:rPr>
        <w:t xml:space="preserve"> Application for Rehearing at 5-6. </w:t>
      </w:r>
    </w:p>
    <w:p w14:paraId="15C39C20" w14:textId="77777777" w:rsidR="00BF1FEF" w:rsidRPr="006B22A2" w:rsidRDefault="00BF1FEF">
      <w:pPr>
        <w:pStyle w:val="FootnoteText"/>
        <w:rPr>
          <w:rFonts w:ascii="Arial" w:hAnsi="Arial" w:cs="Arial"/>
        </w:rPr>
      </w:pPr>
    </w:p>
  </w:footnote>
  <w:footnote w:id="45">
    <w:p w14:paraId="16AAC7E9" w14:textId="747C8ACB" w:rsidR="00BF1FEF" w:rsidRPr="006B22A2" w:rsidRDefault="00BF1FEF">
      <w:pPr>
        <w:pStyle w:val="FootnoteText"/>
        <w:rPr>
          <w:rFonts w:ascii="Arial" w:hAnsi="Arial" w:cs="Arial"/>
        </w:rPr>
      </w:pPr>
      <w:r w:rsidRPr="006B22A2">
        <w:rPr>
          <w:rStyle w:val="FootnoteReference"/>
          <w:rFonts w:ascii="Arial" w:hAnsi="Arial" w:cs="Arial"/>
        </w:rPr>
        <w:footnoteRef/>
      </w:r>
      <w:r w:rsidRPr="006B22A2">
        <w:rPr>
          <w:rFonts w:ascii="Arial" w:hAnsi="Arial" w:cs="Arial"/>
        </w:rPr>
        <w:t xml:space="preserve"> </w:t>
      </w:r>
      <w:r w:rsidRPr="006B22A2">
        <w:rPr>
          <w:rFonts w:ascii="Arial" w:hAnsi="Arial" w:cs="Arial"/>
          <w:i/>
        </w:rPr>
        <w:t xml:space="preserve">Id. </w:t>
      </w:r>
      <w:r w:rsidRPr="006B22A2">
        <w:rPr>
          <w:rFonts w:ascii="Arial" w:hAnsi="Arial" w:cs="Arial"/>
        </w:rPr>
        <w:t xml:space="preserve">at 6. </w:t>
      </w:r>
    </w:p>
    <w:p w14:paraId="0C492808" w14:textId="77777777" w:rsidR="00BF1FEF" w:rsidRPr="006B22A2" w:rsidRDefault="00BF1FEF">
      <w:pPr>
        <w:pStyle w:val="FootnoteText"/>
        <w:rPr>
          <w:rFonts w:ascii="Arial" w:hAnsi="Arial" w:cs="Arial"/>
        </w:rPr>
      </w:pPr>
    </w:p>
  </w:footnote>
  <w:footnote w:id="46">
    <w:p w14:paraId="57708A9C" w14:textId="070EBED3" w:rsidR="00BF1FEF" w:rsidRPr="006B22A2" w:rsidRDefault="00BF1FEF">
      <w:pPr>
        <w:pStyle w:val="FootnoteText"/>
        <w:rPr>
          <w:rFonts w:ascii="Arial" w:hAnsi="Arial" w:cs="Arial"/>
        </w:rPr>
      </w:pPr>
      <w:r w:rsidRPr="006B22A2">
        <w:rPr>
          <w:rStyle w:val="FootnoteReference"/>
          <w:rFonts w:ascii="Arial" w:hAnsi="Arial" w:cs="Arial"/>
        </w:rPr>
        <w:footnoteRef/>
      </w:r>
      <w:r w:rsidRPr="006B22A2">
        <w:rPr>
          <w:rFonts w:ascii="Arial" w:hAnsi="Arial" w:cs="Arial"/>
        </w:rPr>
        <w:t xml:space="preserve"> </w:t>
      </w:r>
      <w:r w:rsidRPr="006B22A2">
        <w:rPr>
          <w:rFonts w:ascii="Arial" w:hAnsi="Arial" w:cs="Arial"/>
          <w:i/>
        </w:rPr>
        <w:t xml:space="preserve">Id. </w:t>
      </w:r>
      <w:r w:rsidRPr="006B22A2">
        <w:rPr>
          <w:rFonts w:ascii="Arial" w:hAnsi="Arial" w:cs="Arial"/>
        </w:rPr>
        <w:t>at 3-5.</w:t>
      </w:r>
    </w:p>
    <w:p w14:paraId="7E752E3A" w14:textId="77777777" w:rsidR="00BF1FEF" w:rsidRPr="006B22A2" w:rsidRDefault="00BF1FEF">
      <w:pPr>
        <w:pStyle w:val="FootnoteText"/>
        <w:rPr>
          <w:rFonts w:ascii="Arial" w:hAnsi="Arial" w:cs="Arial"/>
        </w:rPr>
      </w:pPr>
    </w:p>
  </w:footnote>
  <w:footnote w:id="47">
    <w:p w14:paraId="3D4E4335" w14:textId="63D0EBBE" w:rsidR="00BF1FEF" w:rsidRDefault="00BF1FEF">
      <w:pPr>
        <w:pStyle w:val="FootnoteText"/>
        <w:rPr>
          <w:rFonts w:ascii="Arial" w:hAnsi="Arial" w:cs="Arial"/>
          <w:i/>
        </w:rPr>
      </w:pPr>
      <w:r w:rsidRPr="006B22A2">
        <w:rPr>
          <w:rStyle w:val="FootnoteReference"/>
          <w:rFonts w:ascii="Arial" w:hAnsi="Arial" w:cs="Arial"/>
        </w:rPr>
        <w:footnoteRef/>
      </w:r>
      <w:r w:rsidRPr="006B22A2">
        <w:rPr>
          <w:rFonts w:ascii="Arial" w:hAnsi="Arial" w:cs="Arial"/>
        </w:rPr>
        <w:t xml:space="preserve"> </w:t>
      </w:r>
      <w:r w:rsidRPr="006B22A2">
        <w:rPr>
          <w:rFonts w:ascii="Arial" w:hAnsi="Arial" w:cs="Arial"/>
          <w:i/>
        </w:rPr>
        <w:t>Id.</w:t>
      </w:r>
    </w:p>
    <w:p w14:paraId="543BC60E" w14:textId="77777777" w:rsidR="006B22A2" w:rsidRPr="006B22A2" w:rsidRDefault="006B22A2">
      <w:pPr>
        <w:pStyle w:val="FootnoteText"/>
        <w:rPr>
          <w:rFonts w:ascii="Arial" w:hAnsi="Arial" w:cs="Arial"/>
        </w:rPr>
      </w:pPr>
    </w:p>
  </w:footnote>
  <w:footnote w:id="48">
    <w:p w14:paraId="3C1A6DE0" w14:textId="23F8ACA5" w:rsidR="00BF1FEF" w:rsidRPr="006B22A2" w:rsidRDefault="00BF1FEF">
      <w:pPr>
        <w:pStyle w:val="FootnoteText"/>
        <w:rPr>
          <w:rFonts w:ascii="Arial" w:hAnsi="Arial" w:cs="Arial"/>
        </w:rPr>
      </w:pPr>
      <w:r w:rsidRPr="006B22A2">
        <w:rPr>
          <w:rStyle w:val="FootnoteReference"/>
          <w:rFonts w:ascii="Arial" w:hAnsi="Arial" w:cs="Arial"/>
        </w:rPr>
        <w:footnoteRef/>
      </w:r>
      <w:r w:rsidRPr="006B22A2">
        <w:rPr>
          <w:rFonts w:ascii="Arial" w:hAnsi="Arial" w:cs="Arial"/>
        </w:rPr>
        <w:t xml:space="preserve"> </w:t>
      </w:r>
      <w:r w:rsidRPr="006B22A2">
        <w:rPr>
          <w:rFonts w:ascii="Arial" w:hAnsi="Arial" w:cs="Arial"/>
          <w:i/>
        </w:rPr>
        <w:t xml:space="preserve">Duke Opinion </w:t>
      </w:r>
      <w:r w:rsidRPr="006B22A2">
        <w:rPr>
          <w:rFonts w:ascii="Arial" w:hAnsi="Arial" w:cs="Arial"/>
        </w:rPr>
        <w:t>at ¶ 28-29.</w:t>
      </w:r>
    </w:p>
    <w:p w14:paraId="0892C8E1" w14:textId="77777777" w:rsidR="00BF1FEF" w:rsidRPr="006B22A2" w:rsidRDefault="00BF1FEF">
      <w:pPr>
        <w:pStyle w:val="FootnoteText"/>
        <w:rPr>
          <w:rFonts w:ascii="Arial" w:hAnsi="Arial" w:cs="Arial"/>
        </w:rPr>
      </w:pPr>
    </w:p>
  </w:footnote>
  <w:footnote w:id="49">
    <w:p w14:paraId="3166054A" w14:textId="4AE6DC8C" w:rsidR="00BF1FEF" w:rsidRDefault="00BF1FEF">
      <w:pPr>
        <w:pStyle w:val="FootnoteText"/>
        <w:rPr>
          <w:rFonts w:ascii="Arial" w:hAnsi="Arial" w:cs="Arial"/>
        </w:rPr>
      </w:pPr>
      <w:r w:rsidRPr="006B22A2">
        <w:rPr>
          <w:rStyle w:val="FootnoteReference"/>
          <w:rFonts w:ascii="Arial" w:hAnsi="Arial" w:cs="Arial"/>
        </w:rPr>
        <w:footnoteRef/>
      </w:r>
      <w:r w:rsidRPr="006B22A2">
        <w:rPr>
          <w:rFonts w:ascii="Arial" w:hAnsi="Arial" w:cs="Arial"/>
        </w:rPr>
        <w:t xml:space="preserve"> </w:t>
      </w:r>
      <w:r w:rsidRPr="006B22A2">
        <w:rPr>
          <w:rFonts w:ascii="Arial" w:hAnsi="Arial" w:cs="Arial"/>
          <w:i/>
        </w:rPr>
        <w:t xml:space="preserve">Cincinnati &amp; Suburban Bell Tel. Co. v. Pub. Util. </w:t>
      </w:r>
      <w:proofErr w:type="spellStart"/>
      <w:r w:rsidRPr="006B22A2">
        <w:rPr>
          <w:rFonts w:ascii="Arial" w:hAnsi="Arial" w:cs="Arial"/>
          <w:i/>
        </w:rPr>
        <w:t>Comm’n</w:t>
      </w:r>
      <w:proofErr w:type="spellEnd"/>
      <w:r w:rsidRPr="006B22A2">
        <w:rPr>
          <w:rFonts w:ascii="Arial" w:hAnsi="Arial" w:cs="Arial"/>
        </w:rPr>
        <w:t>, 107 Ohio St. 370, 374 (1923).</w:t>
      </w:r>
    </w:p>
    <w:p w14:paraId="200E00A7" w14:textId="77777777" w:rsidR="006B22A2" w:rsidRPr="006B22A2" w:rsidRDefault="006B22A2">
      <w:pPr>
        <w:pStyle w:val="FootnoteText"/>
        <w:rPr>
          <w:rFonts w:ascii="Arial" w:hAnsi="Arial" w:cs="Arial"/>
        </w:rPr>
      </w:pPr>
    </w:p>
  </w:footnote>
  <w:footnote w:id="50">
    <w:p w14:paraId="048E8894" w14:textId="4CA00722" w:rsidR="00BF1FEF" w:rsidRDefault="00BF1FEF">
      <w:pPr>
        <w:pStyle w:val="FootnoteText"/>
        <w:rPr>
          <w:rFonts w:ascii="Arial" w:hAnsi="Arial" w:cs="Arial"/>
        </w:rPr>
      </w:pPr>
      <w:r w:rsidRPr="006B22A2">
        <w:rPr>
          <w:rStyle w:val="FootnoteReference"/>
          <w:rFonts w:ascii="Arial" w:hAnsi="Arial" w:cs="Arial"/>
        </w:rPr>
        <w:footnoteRef/>
      </w:r>
      <w:r w:rsidRPr="006B22A2">
        <w:rPr>
          <w:rFonts w:ascii="Arial" w:hAnsi="Arial" w:cs="Arial"/>
        </w:rPr>
        <w:t xml:space="preserve"> </w:t>
      </w:r>
      <w:r w:rsidRPr="006B22A2">
        <w:rPr>
          <w:rFonts w:ascii="Arial" w:hAnsi="Arial" w:cs="Arial"/>
          <w:i/>
        </w:rPr>
        <w:t xml:space="preserve">See </w:t>
      </w:r>
      <w:r w:rsidRPr="006B22A2">
        <w:rPr>
          <w:rFonts w:ascii="Arial" w:hAnsi="Arial" w:cs="Arial"/>
        </w:rPr>
        <w:t>Order on Remand at 3-4.</w:t>
      </w:r>
    </w:p>
    <w:p w14:paraId="129017FB" w14:textId="77777777" w:rsidR="000F2B57" w:rsidRPr="006B22A2" w:rsidRDefault="000F2B57">
      <w:pPr>
        <w:pStyle w:val="FootnoteText"/>
        <w:rPr>
          <w:rFonts w:ascii="Arial" w:hAnsi="Arial" w:cs="Arial"/>
        </w:rPr>
      </w:pPr>
    </w:p>
  </w:footnote>
  <w:footnote w:id="51">
    <w:p w14:paraId="614D510A" w14:textId="743085EB" w:rsidR="00BF1FEF" w:rsidRPr="006B22A2" w:rsidRDefault="00BF1FEF">
      <w:pPr>
        <w:pStyle w:val="FootnoteText"/>
        <w:rPr>
          <w:rFonts w:ascii="Arial" w:hAnsi="Arial" w:cs="Arial"/>
        </w:rPr>
      </w:pPr>
      <w:r w:rsidRPr="006B22A2">
        <w:rPr>
          <w:rStyle w:val="FootnoteReference"/>
          <w:rFonts w:ascii="Arial" w:hAnsi="Arial" w:cs="Arial"/>
        </w:rPr>
        <w:footnoteRef/>
      </w:r>
      <w:r w:rsidRPr="006B22A2">
        <w:rPr>
          <w:rFonts w:ascii="Arial" w:hAnsi="Arial" w:cs="Arial"/>
        </w:rPr>
        <w:t xml:space="preserve"> Application for Rehearing at 6-10.</w:t>
      </w:r>
    </w:p>
    <w:p w14:paraId="5AF496AF" w14:textId="77777777" w:rsidR="00BF1FEF" w:rsidRPr="006B22A2" w:rsidRDefault="00BF1FEF">
      <w:pPr>
        <w:pStyle w:val="FootnoteText"/>
        <w:rPr>
          <w:rFonts w:ascii="Arial" w:hAnsi="Arial" w:cs="Arial"/>
        </w:rPr>
      </w:pPr>
    </w:p>
  </w:footnote>
  <w:footnote w:id="52">
    <w:p w14:paraId="32E1E39C" w14:textId="047D6E14" w:rsidR="00BF1FEF" w:rsidRDefault="00BF1FEF">
      <w:pPr>
        <w:pStyle w:val="FootnoteText"/>
        <w:rPr>
          <w:rFonts w:ascii="Arial" w:hAnsi="Arial" w:cs="Arial"/>
        </w:rPr>
      </w:pPr>
      <w:r w:rsidRPr="006B22A2">
        <w:rPr>
          <w:rStyle w:val="FootnoteReference"/>
          <w:rFonts w:ascii="Arial" w:hAnsi="Arial" w:cs="Arial"/>
        </w:rPr>
        <w:footnoteRef/>
      </w:r>
      <w:r w:rsidRPr="006B22A2">
        <w:rPr>
          <w:rFonts w:ascii="Arial" w:hAnsi="Arial" w:cs="Arial"/>
        </w:rPr>
        <w:t xml:space="preserve"> </w:t>
      </w:r>
      <w:r w:rsidRPr="006B22A2">
        <w:rPr>
          <w:rFonts w:ascii="Arial" w:hAnsi="Arial" w:cs="Arial"/>
          <w:i/>
        </w:rPr>
        <w:t xml:space="preserve">Id. </w:t>
      </w:r>
      <w:r w:rsidRPr="006B22A2">
        <w:rPr>
          <w:rFonts w:ascii="Arial" w:hAnsi="Arial" w:cs="Arial"/>
        </w:rPr>
        <w:t>at 8.</w:t>
      </w:r>
    </w:p>
    <w:p w14:paraId="09602D11" w14:textId="77777777" w:rsidR="006B22A2" w:rsidRPr="006B22A2" w:rsidRDefault="006B22A2">
      <w:pPr>
        <w:pStyle w:val="FootnoteText"/>
        <w:rPr>
          <w:rFonts w:ascii="Arial" w:hAnsi="Arial" w:cs="Arial"/>
        </w:rPr>
      </w:pPr>
    </w:p>
  </w:footnote>
  <w:footnote w:id="53">
    <w:p w14:paraId="29DAFB2E" w14:textId="7AE47721" w:rsidR="00BF1FEF" w:rsidRPr="006B22A2" w:rsidRDefault="00BF1FEF">
      <w:pPr>
        <w:pStyle w:val="FootnoteText"/>
        <w:rPr>
          <w:rFonts w:ascii="Arial" w:hAnsi="Arial" w:cs="Arial"/>
        </w:rPr>
      </w:pPr>
      <w:r w:rsidRPr="006B22A2">
        <w:rPr>
          <w:rStyle w:val="FootnoteReference"/>
          <w:rFonts w:ascii="Arial" w:hAnsi="Arial" w:cs="Arial"/>
        </w:rPr>
        <w:footnoteRef/>
      </w:r>
      <w:r w:rsidRPr="006B22A2">
        <w:rPr>
          <w:rFonts w:ascii="Arial" w:hAnsi="Arial" w:cs="Arial"/>
        </w:rPr>
        <w:t xml:space="preserve"> Application for Rehearing at 7 (emphasis added).</w:t>
      </w:r>
    </w:p>
    <w:p w14:paraId="29BB1DFC" w14:textId="77777777" w:rsidR="00BF1FEF" w:rsidRPr="006B22A2" w:rsidRDefault="00BF1FEF">
      <w:pPr>
        <w:pStyle w:val="FootnoteText"/>
        <w:rPr>
          <w:rFonts w:ascii="Arial" w:hAnsi="Arial" w:cs="Arial"/>
        </w:rPr>
      </w:pPr>
    </w:p>
  </w:footnote>
  <w:footnote w:id="54">
    <w:p w14:paraId="4E3210BD" w14:textId="6D0C6F28" w:rsidR="00BF1FEF" w:rsidRDefault="00BF1FEF">
      <w:pPr>
        <w:pStyle w:val="FootnoteText"/>
        <w:rPr>
          <w:rFonts w:ascii="Arial" w:hAnsi="Arial" w:cs="Arial"/>
        </w:rPr>
      </w:pPr>
      <w:r w:rsidRPr="006B22A2">
        <w:rPr>
          <w:rStyle w:val="FootnoteReference"/>
          <w:rFonts w:ascii="Arial" w:hAnsi="Arial" w:cs="Arial"/>
        </w:rPr>
        <w:footnoteRef/>
      </w:r>
      <w:r w:rsidRPr="006B22A2">
        <w:rPr>
          <w:rFonts w:ascii="Arial" w:hAnsi="Arial" w:cs="Arial"/>
        </w:rPr>
        <w:t xml:space="preserve"> </w:t>
      </w:r>
      <w:r w:rsidRPr="006B22A2">
        <w:rPr>
          <w:rFonts w:ascii="Arial" w:hAnsi="Arial" w:cs="Arial"/>
          <w:i/>
        </w:rPr>
        <w:t xml:space="preserve">Id. </w:t>
      </w:r>
      <w:r w:rsidRPr="006B22A2">
        <w:rPr>
          <w:rFonts w:ascii="Arial" w:hAnsi="Arial" w:cs="Arial"/>
        </w:rPr>
        <w:t>at 7-8.</w:t>
      </w:r>
    </w:p>
    <w:p w14:paraId="26223536" w14:textId="77777777" w:rsidR="006B22A2" w:rsidRPr="006B22A2" w:rsidRDefault="006B22A2">
      <w:pPr>
        <w:pStyle w:val="FootnoteText"/>
        <w:rPr>
          <w:rFonts w:ascii="Arial" w:hAnsi="Arial" w:cs="Arial"/>
        </w:rPr>
      </w:pPr>
    </w:p>
  </w:footnote>
  <w:footnote w:id="55">
    <w:p w14:paraId="1BBF1133" w14:textId="5DF584A8" w:rsidR="00BF1FEF" w:rsidRPr="006B22A2" w:rsidRDefault="00BF1FEF">
      <w:pPr>
        <w:pStyle w:val="FootnoteText"/>
        <w:rPr>
          <w:rFonts w:ascii="Arial" w:hAnsi="Arial" w:cs="Arial"/>
        </w:rPr>
      </w:pPr>
      <w:r w:rsidRPr="006B22A2">
        <w:rPr>
          <w:rStyle w:val="FootnoteReference"/>
          <w:rFonts w:ascii="Arial" w:hAnsi="Arial" w:cs="Arial"/>
        </w:rPr>
        <w:footnoteRef/>
      </w:r>
      <w:r w:rsidRPr="006B22A2">
        <w:rPr>
          <w:rFonts w:ascii="Arial" w:hAnsi="Arial" w:cs="Arial"/>
        </w:rPr>
        <w:t xml:space="preserve"> </w:t>
      </w:r>
      <w:r w:rsidRPr="006B22A2">
        <w:rPr>
          <w:rFonts w:ascii="Arial" w:hAnsi="Arial" w:cs="Arial"/>
          <w:i/>
        </w:rPr>
        <w:t>Id</w:t>
      </w:r>
      <w:r w:rsidRPr="006B22A2">
        <w:rPr>
          <w:rFonts w:ascii="Arial" w:hAnsi="Arial" w:cs="Arial"/>
        </w:rPr>
        <w:t xml:space="preserve">. at 9. </w:t>
      </w:r>
    </w:p>
    <w:p w14:paraId="2EEEFCD2" w14:textId="77777777" w:rsidR="00BF1FEF" w:rsidRPr="006B22A2" w:rsidRDefault="00BF1FEF">
      <w:pPr>
        <w:pStyle w:val="FootnoteText"/>
        <w:rPr>
          <w:rFonts w:ascii="Arial" w:hAnsi="Arial" w:cs="Arial"/>
        </w:rPr>
      </w:pPr>
    </w:p>
  </w:footnote>
  <w:footnote w:id="56">
    <w:p w14:paraId="7CC28BAC" w14:textId="21A87EF4" w:rsidR="00BF1FEF" w:rsidRPr="006B22A2" w:rsidRDefault="00BF1FEF">
      <w:pPr>
        <w:pStyle w:val="FootnoteText"/>
        <w:rPr>
          <w:rFonts w:ascii="Arial" w:hAnsi="Arial" w:cs="Arial"/>
        </w:rPr>
      </w:pPr>
      <w:r w:rsidRPr="006B22A2">
        <w:rPr>
          <w:rStyle w:val="FootnoteReference"/>
          <w:rFonts w:ascii="Arial" w:hAnsi="Arial" w:cs="Arial"/>
        </w:rPr>
        <w:footnoteRef/>
      </w:r>
      <w:r w:rsidRPr="006B22A2">
        <w:rPr>
          <w:rFonts w:ascii="Arial" w:hAnsi="Arial" w:cs="Arial"/>
        </w:rPr>
        <w:t xml:space="preserve"> Application, Exhibit A at 29. </w:t>
      </w:r>
    </w:p>
    <w:p w14:paraId="1FBFF1B5" w14:textId="77777777" w:rsidR="00BF1FEF" w:rsidRPr="006B22A2" w:rsidRDefault="00BF1FEF">
      <w:pPr>
        <w:pStyle w:val="FootnoteText"/>
        <w:rPr>
          <w:rFonts w:ascii="Arial" w:hAnsi="Arial" w:cs="Arial"/>
        </w:rPr>
      </w:pPr>
    </w:p>
  </w:footnote>
  <w:footnote w:id="57">
    <w:p w14:paraId="33F29525" w14:textId="390D22B3" w:rsidR="00BF1FEF" w:rsidRPr="006B22A2" w:rsidRDefault="00BF1FEF">
      <w:pPr>
        <w:pStyle w:val="FootnoteText"/>
        <w:rPr>
          <w:rFonts w:ascii="Arial" w:hAnsi="Arial" w:cs="Arial"/>
        </w:rPr>
      </w:pPr>
      <w:r w:rsidRPr="006B22A2">
        <w:rPr>
          <w:rStyle w:val="FootnoteReference"/>
          <w:rFonts w:ascii="Arial" w:hAnsi="Arial" w:cs="Arial"/>
        </w:rPr>
        <w:footnoteRef/>
      </w:r>
      <w:r w:rsidRPr="006B22A2">
        <w:rPr>
          <w:rFonts w:ascii="Arial" w:hAnsi="Arial" w:cs="Arial"/>
        </w:rPr>
        <w:t xml:space="preserve"> Order on Remand at 4.</w:t>
      </w:r>
    </w:p>
    <w:p w14:paraId="1737C12A" w14:textId="77777777" w:rsidR="00BF1FEF" w:rsidRPr="006B22A2" w:rsidRDefault="00BF1FEF">
      <w:pPr>
        <w:pStyle w:val="FootnoteText"/>
        <w:rPr>
          <w:rFonts w:ascii="Arial" w:hAnsi="Arial" w:cs="Arial"/>
        </w:rPr>
      </w:pPr>
    </w:p>
  </w:footnote>
  <w:footnote w:id="58">
    <w:p w14:paraId="1B11F1DD" w14:textId="77777777" w:rsidR="00BF1FEF" w:rsidRPr="006B22A2" w:rsidRDefault="00BF1FEF">
      <w:pPr>
        <w:pStyle w:val="FootnoteText"/>
        <w:rPr>
          <w:rFonts w:ascii="Arial" w:hAnsi="Arial" w:cs="Arial"/>
          <w:i/>
        </w:rPr>
      </w:pPr>
      <w:r w:rsidRPr="006B22A2">
        <w:rPr>
          <w:rStyle w:val="FootnoteReference"/>
          <w:rFonts w:ascii="Arial" w:hAnsi="Arial" w:cs="Arial"/>
        </w:rPr>
        <w:footnoteRef/>
      </w:r>
      <w:r w:rsidRPr="006B22A2">
        <w:rPr>
          <w:rFonts w:ascii="Arial" w:hAnsi="Arial" w:cs="Arial"/>
        </w:rPr>
        <w:t xml:space="preserve"> </w:t>
      </w:r>
      <w:r w:rsidRPr="006B22A2">
        <w:rPr>
          <w:rFonts w:ascii="Arial" w:hAnsi="Arial" w:cs="Arial"/>
          <w:i/>
        </w:rPr>
        <w:t>Id.</w:t>
      </w:r>
    </w:p>
    <w:p w14:paraId="37F0BFAA" w14:textId="1A787145" w:rsidR="00BF1FEF" w:rsidRPr="006B22A2" w:rsidRDefault="00BF1FEF">
      <w:pPr>
        <w:pStyle w:val="FootnoteText"/>
        <w:rPr>
          <w:rFonts w:ascii="Arial" w:hAnsi="Arial" w:cs="Arial"/>
          <w:i/>
        </w:rPr>
      </w:pPr>
      <w:r w:rsidRPr="006B22A2">
        <w:rPr>
          <w:rFonts w:ascii="Arial" w:hAnsi="Arial" w:cs="Arial"/>
          <w:i/>
        </w:rPr>
        <w:t xml:space="preserve"> </w:t>
      </w:r>
    </w:p>
  </w:footnote>
  <w:footnote w:id="59">
    <w:p w14:paraId="25B090DA" w14:textId="0C545A1E" w:rsidR="00BF1FEF" w:rsidRPr="006B22A2" w:rsidRDefault="00BF1FEF">
      <w:pPr>
        <w:pStyle w:val="FootnoteText"/>
        <w:rPr>
          <w:rFonts w:ascii="Arial" w:hAnsi="Arial" w:cs="Arial"/>
          <w:i/>
        </w:rPr>
      </w:pPr>
      <w:r w:rsidRPr="006B22A2">
        <w:rPr>
          <w:rStyle w:val="FootnoteReference"/>
          <w:rFonts w:ascii="Arial" w:hAnsi="Arial" w:cs="Arial"/>
        </w:rPr>
        <w:footnoteRef/>
      </w:r>
      <w:r w:rsidRPr="006B22A2">
        <w:rPr>
          <w:rFonts w:ascii="Arial" w:hAnsi="Arial" w:cs="Arial"/>
        </w:rPr>
        <w:t xml:space="preserve"> </w:t>
      </w:r>
      <w:r w:rsidRPr="006B22A2">
        <w:rPr>
          <w:rFonts w:ascii="Arial" w:hAnsi="Arial" w:cs="Arial"/>
          <w:i/>
        </w:rPr>
        <w:t xml:space="preserve">Id. </w:t>
      </w:r>
    </w:p>
    <w:p w14:paraId="3BE04775" w14:textId="77777777" w:rsidR="006B22A2" w:rsidRPr="006B22A2" w:rsidRDefault="006B22A2">
      <w:pPr>
        <w:pStyle w:val="FootnoteText"/>
        <w:rPr>
          <w:rFonts w:ascii="Arial" w:hAnsi="Arial" w:cs="Arial"/>
          <w:i/>
        </w:rPr>
      </w:pPr>
    </w:p>
  </w:footnote>
  <w:footnote w:id="60">
    <w:p w14:paraId="23FB8928" w14:textId="5A0D39B7" w:rsidR="00BF1FEF" w:rsidRPr="006B22A2" w:rsidRDefault="00BF1FEF">
      <w:pPr>
        <w:pStyle w:val="FootnoteText"/>
        <w:rPr>
          <w:rFonts w:ascii="Arial" w:hAnsi="Arial" w:cs="Arial"/>
        </w:rPr>
      </w:pPr>
      <w:r w:rsidRPr="006B22A2">
        <w:rPr>
          <w:rStyle w:val="FootnoteReference"/>
          <w:rFonts w:ascii="Arial" w:hAnsi="Arial" w:cs="Arial"/>
        </w:rPr>
        <w:footnoteRef/>
      </w:r>
      <w:r w:rsidRPr="006B22A2">
        <w:rPr>
          <w:rFonts w:ascii="Arial" w:hAnsi="Arial" w:cs="Arial"/>
        </w:rPr>
        <w:t xml:space="preserve"> Application for Rehearing at 10.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43519" w14:textId="77777777" w:rsidR="007E5F2E" w:rsidRDefault="007E5F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9E170" w14:textId="77777777" w:rsidR="007E5F2E" w:rsidRDefault="007E5F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6D330" w14:textId="77777777" w:rsidR="00BF1FEF" w:rsidRDefault="00BF1FEF">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3191"/>
    <w:multiLevelType w:val="hybridMultilevel"/>
    <w:tmpl w:val="C9F2E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00231"/>
    <w:multiLevelType w:val="hybridMultilevel"/>
    <w:tmpl w:val="F2740ACC"/>
    <w:lvl w:ilvl="0" w:tplc="B9CC38BC">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C22BD"/>
    <w:multiLevelType w:val="hybridMultilevel"/>
    <w:tmpl w:val="37041BBA"/>
    <w:lvl w:ilvl="0" w:tplc="3CAC176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22564D"/>
    <w:multiLevelType w:val="hybridMultilevel"/>
    <w:tmpl w:val="56020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13193B"/>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A37690"/>
    <w:multiLevelType w:val="hybridMultilevel"/>
    <w:tmpl w:val="EC5C1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99290A"/>
    <w:multiLevelType w:val="hybridMultilevel"/>
    <w:tmpl w:val="126890AC"/>
    <w:lvl w:ilvl="0" w:tplc="8CC846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F50537"/>
    <w:multiLevelType w:val="hybridMultilevel"/>
    <w:tmpl w:val="55ACFFCC"/>
    <w:lvl w:ilvl="0" w:tplc="1BF4DA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DA3273"/>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054B54"/>
    <w:multiLevelType w:val="hybridMultilevel"/>
    <w:tmpl w:val="84B8EE60"/>
    <w:lvl w:ilvl="0" w:tplc="F0C6619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344629"/>
    <w:multiLevelType w:val="hybridMultilevel"/>
    <w:tmpl w:val="E1807AA0"/>
    <w:lvl w:ilvl="0" w:tplc="C3564B0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8"/>
  </w:num>
  <w:num w:numId="4">
    <w:abstractNumId w:val="4"/>
  </w:num>
  <w:num w:numId="5">
    <w:abstractNumId w:val="3"/>
  </w:num>
  <w:num w:numId="6">
    <w:abstractNumId w:val="5"/>
  </w:num>
  <w:num w:numId="7">
    <w:abstractNumId w:val="1"/>
  </w:num>
  <w:num w:numId="8">
    <w:abstractNumId w:val="2"/>
  </w:num>
  <w:num w:numId="9">
    <w:abstractNumId w:val="9"/>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29"/>
    <w:rsid w:val="000F2B57"/>
    <w:rsid w:val="001040CC"/>
    <w:rsid w:val="00105DE7"/>
    <w:rsid w:val="00147661"/>
    <w:rsid w:val="001637C0"/>
    <w:rsid w:val="0018214F"/>
    <w:rsid w:val="0019116C"/>
    <w:rsid w:val="001B2E02"/>
    <w:rsid w:val="00201DC0"/>
    <w:rsid w:val="00231B62"/>
    <w:rsid w:val="00250C8A"/>
    <w:rsid w:val="0025490F"/>
    <w:rsid w:val="00281F35"/>
    <w:rsid w:val="00297B16"/>
    <w:rsid w:val="002D4D28"/>
    <w:rsid w:val="002E3064"/>
    <w:rsid w:val="002F05DC"/>
    <w:rsid w:val="002F7900"/>
    <w:rsid w:val="0030014B"/>
    <w:rsid w:val="003043FB"/>
    <w:rsid w:val="00351A5A"/>
    <w:rsid w:val="0035393A"/>
    <w:rsid w:val="00353B8E"/>
    <w:rsid w:val="00355B90"/>
    <w:rsid w:val="00356287"/>
    <w:rsid w:val="00373A88"/>
    <w:rsid w:val="003742A4"/>
    <w:rsid w:val="003963A8"/>
    <w:rsid w:val="00397ED7"/>
    <w:rsid w:val="003A1040"/>
    <w:rsid w:val="003A4246"/>
    <w:rsid w:val="003A53FB"/>
    <w:rsid w:val="003D18F9"/>
    <w:rsid w:val="00431741"/>
    <w:rsid w:val="00462A33"/>
    <w:rsid w:val="00485145"/>
    <w:rsid w:val="00492AD6"/>
    <w:rsid w:val="004C2491"/>
    <w:rsid w:val="0051332E"/>
    <w:rsid w:val="0054131E"/>
    <w:rsid w:val="00545F29"/>
    <w:rsid w:val="0056270F"/>
    <w:rsid w:val="005920BD"/>
    <w:rsid w:val="005963B4"/>
    <w:rsid w:val="005978BC"/>
    <w:rsid w:val="005E2AA0"/>
    <w:rsid w:val="005E5B1F"/>
    <w:rsid w:val="005F49D3"/>
    <w:rsid w:val="00613140"/>
    <w:rsid w:val="006178F0"/>
    <w:rsid w:val="00626A61"/>
    <w:rsid w:val="00663003"/>
    <w:rsid w:val="00672163"/>
    <w:rsid w:val="006734A0"/>
    <w:rsid w:val="006B22A2"/>
    <w:rsid w:val="006B71D7"/>
    <w:rsid w:val="006B7A58"/>
    <w:rsid w:val="00740214"/>
    <w:rsid w:val="00744E26"/>
    <w:rsid w:val="0077380A"/>
    <w:rsid w:val="00780593"/>
    <w:rsid w:val="00784A11"/>
    <w:rsid w:val="007B0B69"/>
    <w:rsid w:val="007B5EFA"/>
    <w:rsid w:val="007B744A"/>
    <w:rsid w:val="007D2210"/>
    <w:rsid w:val="007E5F2E"/>
    <w:rsid w:val="007E6B59"/>
    <w:rsid w:val="007F25E3"/>
    <w:rsid w:val="00800BB2"/>
    <w:rsid w:val="0082173D"/>
    <w:rsid w:val="00825830"/>
    <w:rsid w:val="0084231C"/>
    <w:rsid w:val="008432E3"/>
    <w:rsid w:val="00886AE2"/>
    <w:rsid w:val="00897090"/>
    <w:rsid w:val="008A0972"/>
    <w:rsid w:val="008A64E0"/>
    <w:rsid w:val="008A6B04"/>
    <w:rsid w:val="008D3B41"/>
    <w:rsid w:val="008F45C0"/>
    <w:rsid w:val="00900767"/>
    <w:rsid w:val="00900CC7"/>
    <w:rsid w:val="009372A9"/>
    <w:rsid w:val="0094465D"/>
    <w:rsid w:val="0096008A"/>
    <w:rsid w:val="0098338B"/>
    <w:rsid w:val="009A6890"/>
    <w:rsid w:val="009B360A"/>
    <w:rsid w:val="009D71F6"/>
    <w:rsid w:val="009E569A"/>
    <w:rsid w:val="009F4E62"/>
    <w:rsid w:val="009F6674"/>
    <w:rsid w:val="00A23BC6"/>
    <w:rsid w:val="00A27342"/>
    <w:rsid w:val="00A308E0"/>
    <w:rsid w:val="00A71E20"/>
    <w:rsid w:val="00A77FC7"/>
    <w:rsid w:val="00A940AD"/>
    <w:rsid w:val="00AA2341"/>
    <w:rsid w:val="00AB4136"/>
    <w:rsid w:val="00AD5E1E"/>
    <w:rsid w:val="00AE23F0"/>
    <w:rsid w:val="00B15B29"/>
    <w:rsid w:val="00B35C34"/>
    <w:rsid w:val="00B92A76"/>
    <w:rsid w:val="00BA7A17"/>
    <w:rsid w:val="00BB7C0C"/>
    <w:rsid w:val="00BF184A"/>
    <w:rsid w:val="00BF1FEF"/>
    <w:rsid w:val="00C05958"/>
    <w:rsid w:val="00C35661"/>
    <w:rsid w:val="00C7616D"/>
    <w:rsid w:val="00CE0AE0"/>
    <w:rsid w:val="00CE50E0"/>
    <w:rsid w:val="00CF19DB"/>
    <w:rsid w:val="00D049E1"/>
    <w:rsid w:val="00D222E8"/>
    <w:rsid w:val="00D47316"/>
    <w:rsid w:val="00D57E21"/>
    <w:rsid w:val="00D61953"/>
    <w:rsid w:val="00D667AE"/>
    <w:rsid w:val="00D97DB7"/>
    <w:rsid w:val="00DA324F"/>
    <w:rsid w:val="00DA776B"/>
    <w:rsid w:val="00DB04D6"/>
    <w:rsid w:val="00DB4E0F"/>
    <w:rsid w:val="00DC4485"/>
    <w:rsid w:val="00DC7237"/>
    <w:rsid w:val="00DE3AB9"/>
    <w:rsid w:val="00E052B9"/>
    <w:rsid w:val="00E079BD"/>
    <w:rsid w:val="00E108E5"/>
    <w:rsid w:val="00E110A0"/>
    <w:rsid w:val="00E1329D"/>
    <w:rsid w:val="00E4257B"/>
    <w:rsid w:val="00E53096"/>
    <w:rsid w:val="00E56845"/>
    <w:rsid w:val="00E82DAE"/>
    <w:rsid w:val="00E96046"/>
    <w:rsid w:val="00EB2346"/>
    <w:rsid w:val="00ED3DFC"/>
    <w:rsid w:val="00EE46BA"/>
    <w:rsid w:val="00EF2D57"/>
    <w:rsid w:val="00F10F9B"/>
    <w:rsid w:val="00F1191D"/>
    <w:rsid w:val="00F13488"/>
    <w:rsid w:val="00F5720A"/>
    <w:rsid w:val="00FB0008"/>
    <w:rsid w:val="00FB45E6"/>
    <w:rsid w:val="00FE2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176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unhideWhenUsed/>
    <w:rPr>
      <w:vertAlign w:val="superscript"/>
    </w:rPr>
  </w:style>
  <w:style w:type="character" w:customStyle="1" w:styleId="apple-style-span">
    <w:name w:val="apple-style-span"/>
    <w:basedOn w:val="DefaultParagraphFont"/>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groupheading5">
    <w:name w:val="groupheading5"/>
    <w:basedOn w:val="DefaultParagraphFont"/>
    <w:rPr>
      <w:rFonts w:ascii="Verdana" w:hAnsi="Verdana" w:hint="default"/>
      <w:b/>
      <w:bCs/>
      <w:sz w:val="19"/>
      <w:szCs w:val="19"/>
    </w:rPr>
  </w:style>
  <w:style w:type="character" w:customStyle="1" w:styleId="informationalsmall4">
    <w:name w:val="informationalsmall4"/>
    <w:basedOn w:val="DefaultParagraphFont"/>
    <w:rPr>
      <w:rFonts w:ascii="Verdana" w:hAnsi="Verdana" w:hint="default"/>
      <w:sz w:val="14"/>
      <w:szCs w:val="14"/>
    </w:rPr>
  </w:style>
  <w:style w:type="paragraph" w:styleId="BodyTextIndent">
    <w:name w:val="Body Text Indent"/>
    <w:basedOn w:val="Normal"/>
    <w:link w:val="BodyTextIndentChar"/>
    <w:pPr>
      <w:spacing w:after="0" w:line="48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26483">
      <w:bodyDiv w:val="1"/>
      <w:marLeft w:val="0"/>
      <w:marRight w:val="0"/>
      <w:marTop w:val="0"/>
      <w:marBottom w:val="0"/>
      <w:divBdr>
        <w:top w:val="none" w:sz="0" w:space="0" w:color="auto"/>
        <w:left w:val="none" w:sz="0" w:space="0" w:color="auto"/>
        <w:bottom w:val="none" w:sz="0" w:space="0" w:color="auto"/>
        <w:right w:val="none" w:sz="0" w:space="0" w:color="auto"/>
      </w:divBdr>
    </w:div>
    <w:div w:id="664666755">
      <w:bodyDiv w:val="1"/>
      <w:marLeft w:val="30"/>
      <w:marRight w:val="30"/>
      <w:marTop w:val="30"/>
      <w:marBottom w:val="30"/>
      <w:divBdr>
        <w:top w:val="none" w:sz="0" w:space="0" w:color="auto"/>
        <w:left w:val="none" w:sz="0" w:space="0" w:color="auto"/>
        <w:bottom w:val="none" w:sz="0" w:space="0" w:color="auto"/>
        <w:right w:val="none" w:sz="0" w:space="0" w:color="auto"/>
      </w:divBdr>
      <w:divsChild>
        <w:div w:id="328758408">
          <w:marLeft w:val="0"/>
          <w:marRight w:val="0"/>
          <w:marTop w:val="0"/>
          <w:marBottom w:val="0"/>
          <w:divBdr>
            <w:top w:val="none" w:sz="0" w:space="0" w:color="auto"/>
            <w:left w:val="none" w:sz="0" w:space="0" w:color="auto"/>
            <w:bottom w:val="none" w:sz="0" w:space="0" w:color="auto"/>
            <w:right w:val="none" w:sz="0" w:space="0" w:color="auto"/>
          </w:divBdr>
          <w:divsChild>
            <w:div w:id="1073889298">
              <w:marLeft w:val="45"/>
              <w:marRight w:val="45"/>
              <w:marTop w:val="45"/>
              <w:marBottom w:val="45"/>
              <w:divBdr>
                <w:top w:val="none" w:sz="0" w:space="0" w:color="auto"/>
                <w:left w:val="none" w:sz="0" w:space="0" w:color="auto"/>
                <w:bottom w:val="none" w:sz="0" w:space="0" w:color="auto"/>
                <w:right w:val="none" w:sz="0" w:space="0" w:color="auto"/>
              </w:divBdr>
              <w:divsChild>
                <w:div w:id="710110451">
                  <w:marLeft w:val="0"/>
                  <w:marRight w:val="0"/>
                  <w:marTop w:val="0"/>
                  <w:marBottom w:val="0"/>
                  <w:divBdr>
                    <w:top w:val="none" w:sz="0" w:space="0" w:color="auto"/>
                    <w:left w:val="none" w:sz="0" w:space="0" w:color="auto"/>
                    <w:bottom w:val="none" w:sz="0" w:space="0" w:color="auto"/>
                    <w:right w:val="none" w:sz="0" w:space="0" w:color="auto"/>
                  </w:divBdr>
                  <w:divsChild>
                    <w:div w:id="1796750528">
                      <w:marLeft w:val="0"/>
                      <w:marRight w:val="0"/>
                      <w:marTop w:val="0"/>
                      <w:marBottom w:val="0"/>
                      <w:divBdr>
                        <w:top w:val="none" w:sz="0" w:space="0" w:color="auto"/>
                        <w:left w:val="none" w:sz="0" w:space="0" w:color="auto"/>
                        <w:bottom w:val="none" w:sz="0" w:space="0" w:color="auto"/>
                        <w:right w:val="none" w:sz="0" w:space="0" w:color="auto"/>
                      </w:divBdr>
                      <w:divsChild>
                        <w:div w:id="343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601664">
      <w:bodyDiv w:val="1"/>
      <w:marLeft w:val="0"/>
      <w:marRight w:val="0"/>
      <w:marTop w:val="0"/>
      <w:marBottom w:val="0"/>
      <w:divBdr>
        <w:top w:val="none" w:sz="0" w:space="0" w:color="auto"/>
        <w:left w:val="none" w:sz="0" w:space="0" w:color="auto"/>
        <w:bottom w:val="none" w:sz="0" w:space="0" w:color="auto"/>
        <w:right w:val="none" w:sz="0" w:space="0" w:color="auto"/>
      </w:divBdr>
    </w:div>
    <w:div w:id="13625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lover@whitt-sturtevant.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lliam.wright@ohioattorneygeneral.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eanne.kingery@duke-energy.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my.Spiller@duke-energy.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F5A16-E219-46CE-A30B-F2DE2D0A3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5427</Words>
  <Characters>30832</Characters>
  <Application>Microsoft Office Word</Application>
  <DocSecurity>0</DocSecurity>
  <Lines>550</Lines>
  <Paragraphs>134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2017-07-24T21:05:00Z</dcterms:created>
  <dcterms:modified xsi:type="dcterms:W3CDTF">2017-07-24T21:14:00Z</dcterms:modified>
</cp:coreProperties>
</file>