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E602A" w:rsidRPr="002504EB" w:rsidP="00042B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2504EB">
        <w:rPr>
          <w:rFonts w:ascii="Times New Roman" w:hAnsi="Times New Roman" w:cs="Times New Roman"/>
          <w:b/>
          <w:bCs/>
          <w:sz w:val="24"/>
          <w:szCs w:val="24"/>
        </w:rPr>
        <w:t>BEFORE</w:t>
      </w:r>
    </w:p>
    <w:p w:rsidR="009E602A" w:rsidRPr="002504EB" w:rsidP="0018274B">
      <w:pPr>
        <w:pStyle w:val="HTMLPreformatted"/>
        <w:jc w:val="center"/>
        <w:rPr>
          <w:rFonts w:ascii="Times New Roman" w:hAnsi="Times New Roman" w:cs="Times New Roman"/>
          <w:sz w:val="24"/>
          <w:szCs w:val="24"/>
        </w:rPr>
      </w:pPr>
      <w:r w:rsidRPr="002504EB">
        <w:rPr>
          <w:rFonts w:ascii="Times New Roman" w:hAnsi="Times New Roman" w:cs="Times New Roman"/>
          <w:b/>
          <w:bCs/>
          <w:sz w:val="24"/>
          <w:szCs w:val="24"/>
        </w:rPr>
        <w:t>THE PUBLIC UTILITIES COMMISSION OF OHIO</w:t>
      </w:r>
    </w:p>
    <w:p w:rsidR="009E602A" w:rsidRPr="002504EB" w:rsidP="0018274B">
      <w:pPr>
        <w:pStyle w:val="HTMLPreformatted"/>
        <w:rPr>
          <w:rFonts w:ascii="Times New Roman" w:hAnsi="Times New Roman" w:cs="Times New Roman"/>
          <w:sz w:val="24"/>
          <w:szCs w:val="24"/>
        </w:rPr>
      </w:pPr>
    </w:p>
    <w:tbl>
      <w:tblPr>
        <w:tblW w:w="9092" w:type="dxa"/>
        <w:tblLook w:val="01E0"/>
      </w:tblPr>
      <w:tblGrid>
        <w:gridCol w:w="4332"/>
        <w:gridCol w:w="360"/>
        <w:gridCol w:w="4400"/>
      </w:tblGrid>
      <w:tr w:rsidTr="00C75C3F">
        <w:tblPrEx>
          <w:tblW w:w="9092" w:type="dxa"/>
          <w:tblLook w:val="01E0"/>
        </w:tblPrEx>
        <w:trPr>
          <w:trHeight w:val="807"/>
        </w:trPr>
        <w:tc>
          <w:tcPr>
            <w:tcW w:w="4332" w:type="dxa"/>
            <w:shd w:val="clear" w:color="auto" w:fill="auto"/>
          </w:tcPr>
          <w:p w:rsidR="009E602A" w:rsidRPr="002504EB" w:rsidP="0018274B">
            <w:pPr>
              <w:pStyle w:val="HTMLPreformatted"/>
              <w:rPr>
                <w:rFonts w:ascii="Times New Roman" w:hAnsi="Times New Roman" w:cs="Times New Roman"/>
                <w:sz w:val="24"/>
                <w:szCs w:val="24"/>
              </w:rPr>
            </w:pPr>
            <w:r w:rsidRPr="002504EB">
              <w:rPr>
                <w:rFonts w:ascii="Times New Roman" w:hAnsi="Times New Roman" w:cs="Times New Roman"/>
                <w:sz w:val="24"/>
                <w:szCs w:val="24"/>
              </w:rPr>
              <w:t>In the Matter of the Commission’s Investigation into Electric Vehicle Charging Service in this State.</w:t>
            </w:r>
          </w:p>
        </w:tc>
        <w:tc>
          <w:tcPr>
            <w:tcW w:w="360" w:type="dxa"/>
            <w:shd w:val="clear" w:color="auto" w:fill="auto"/>
          </w:tcPr>
          <w:p w:rsidR="009E602A" w:rsidRPr="002504EB" w:rsidP="0018274B">
            <w:pPr>
              <w:pStyle w:val="HTMLPreformatted"/>
              <w:rPr>
                <w:rFonts w:ascii="Times New Roman" w:hAnsi="Times New Roman" w:cs="Times New Roman"/>
                <w:sz w:val="24"/>
                <w:szCs w:val="24"/>
              </w:rPr>
            </w:pPr>
            <w:r w:rsidRPr="002504EB">
              <w:rPr>
                <w:rFonts w:ascii="Times New Roman" w:hAnsi="Times New Roman" w:cs="Times New Roman"/>
                <w:sz w:val="24"/>
                <w:szCs w:val="24"/>
              </w:rPr>
              <w:t>)</w:t>
            </w:r>
          </w:p>
          <w:p w:rsidR="009E602A" w:rsidRPr="002504EB" w:rsidP="0018274B">
            <w:pPr>
              <w:pStyle w:val="HTMLPreformatted"/>
              <w:rPr>
                <w:rFonts w:ascii="Times New Roman" w:hAnsi="Times New Roman" w:cs="Times New Roman"/>
                <w:sz w:val="24"/>
                <w:szCs w:val="24"/>
              </w:rPr>
            </w:pPr>
            <w:r w:rsidRPr="002504EB">
              <w:rPr>
                <w:rFonts w:ascii="Times New Roman" w:hAnsi="Times New Roman" w:cs="Times New Roman"/>
                <w:sz w:val="24"/>
                <w:szCs w:val="24"/>
              </w:rPr>
              <w:t>)</w:t>
            </w:r>
          </w:p>
          <w:p w:rsidR="009E602A" w:rsidRPr="002504EB" w:rsidP="0018274B">
            <w:pPr>
              <w:pStyle w:val="HTMLPreformatted"/>
              <w:rPr>
                <w:rFonts w:ascii="Times New Roman" w:hAnsi="Times New Roman" w:cs="Times New Roman"/>
                <w:sz w:val="24"/>
                <w:szCs w:val="24"/>
              </w:rPr>
            </w:pPr>
            <w:r w:rsidRPr="002504EB">
              <w:rPr>
                <w:rFonts w:ascii="Times New Roman" w:hAnsi="Times New Roman" w:cs="Times New Roman"/>
                <w:sz w:val="24"/>
                <w:szCs w:val="24"/>
              </w:rPr>
              <w:t>)</w:t>
            </w:r>
          </w:p>
        </w:tc>
        <w:tc>
          <w:tcPr>
            <w:tcW w:w="4400" w:type="dxa"/>
            <w:shd w:val="clear" w:color="auto" w:fill="auto"/>
          </w:tcPr>
          <w:p w:rsidR="009E602A" w:rsidRPr="002504EB" w:rsidP="0018274B">
            <w:pPr>
              <w:pStyle w:val="HTMLPreformatted"/>
              <w:rPr>
                <w:rFonts w:ascii="Times New Roman" w:hAnsi="Times New Roman" w:cs="Times New Roman"/>
                <w:sz w:val="24"/>
                <w:szCs w:val="24"/>
              </w:rPr>
            </w:pPr>
          </w:p>
          <w:p w:rsidR="009E602A" w:rsidRPr="002504EB" w:rsidP="0018274B">
            <w:pPr>
              <w:pStyle w:val="HTMLPreformatted"/>
              <w:rPr>
                <w:rFonts w:ascii="Times New Roman" w:hAnsi="Times New Roman" w:cs="Times New Roman"/>
                <w:sz w:val="24"/>
                <w:szCs w:val="24"/>
              </w:rPr>
            </w:pPr>
            <w:r w:rsidRPr="002504EB">
              <w:rPr>
                <w:rFonts w:ascii="Times New Roman" w:hAnsi="Times New Roman" w:cs="Times New Roman"/>
                <w:sz w:val="24"/>
                <w:szCs w:val="24"/>
              </w:rPr>
              <w:t>Case No. 20-434-EL-COI</w:t>
            </w:r>
          </w:p>
          <w:p w:rsidR="009E602A" w:rsidRPr="002504EB" w:rsidP="0018274B">
            <w:pPr>
              <w:pStyle w:val="HTMLPreformatted"/>
              <w:rPr>
                <w:rFonts w:ascii="Times New Roman" w:hAnsi="Times New Roman" w:cs="Times New Roman"/>
                <w:sz w:val="24"/>
                <w:szCs w:val="24"/>
              </w:rPr>
            </w:pPr>
          </w:p>
        </w:tc>
      </w:tr>
    </w:tbl>
    <w:p w:rsidR="009E602A" w:rsidRPr="002504EB" w:rsidP="0018274B">
      <w:pPr>
        <w:pStyle w:val="HTMLPreformatted"/>
        <w:rPr>
          <w:rFonts w:ascii="Times New Roman" w:hAnsi="Times New Roman" w:cs="Times New Roman"/>
          <w:sz w:val="24"/>
          <w:szCs w:val="24"/>
        </w:rPr>
      </w:pPr>
    </w:p>
    <w:p w:rsidR="009E602A" w:rsidRPr="002504EB" w:rsidP="0018274B">
      <w:pPr>
        <w:pStyle w:val="HTMLPreformatted"/>
        <w:pBdr>
          <w:top w:val="single" w:sz="12" w:space="1" w:color="auto"/>
        </w:pBdr>
        <w:rPr>
          <w:rFonts w:ascii="Times New Roman" w:hAnsi="Times New Roman" w:cs="Times New Roman"/>
          <w:sz w:val="24"/>
          <w:szCs w:val="24"/>
        </w:rPr>
      </w:pPr>
    </w:p>
    <w:p w:rsidR="009E602A" w:rsidRPr="002504EB" w:rsidP="0018274B">
      <w:pPr>
        <w:jc w:val="center"/>
        <w:rPr>
          <w:b/>
          <w:bCs/>
          <w:szCs w:val="24"/>
        </w:rPr>
      </w:pPr>
      <w:r>
        <w:rPr>
          <w:b/>
          <w:bCs/>
          <w:szCs w:val="24"/>
        </w:rPr>
        <w:t xml:space="preserve">REPLY </w:t>
      </w:r>
      <w:r w:rsidRPr="002504EB" w:rsidR="00C75C3F">
        <w:rPr>
          <w:b/>
          <w:bCs/>
          <w:szCs w:val="24"/>
        </w:rPr>
        <w:t>COMMENTS</w:t>
      </w:r>
    </w:p>
    <w:p w:rsidR="009E602A" w:rsidRPr="002504EB" w:rsidP="0018274B">
      <w:pPr>
        <w:jc w:val="center"/>
        <w:rPr>
          <w:b/>
          <w:bCs/>
          <w:szCs w:val="24"/>
        </w:rPr>
      </w:pPr>
      <w:r w:rsidRPr="002504EB">
        <w:rPr>
          <w:b/>
          <w:bCs/>
          <w:szCs w:val="24"/>
        </w:rPr>
        <w:t>BY</w:t>
      </w:r>
    </w:p>
    <w:p w:rsidR="009E602A" w:rsidRPr="002504EB" w:rsidP="0018274B">
      <w:pPr>
        <w:jc w:val="center"/>
        <w:rPr>
          <w:b/>
          <w:bCs/>
          <w:szCs w:val="24"/>
        </w:rPr>
      </w:pPr>
      <w:r w:rsidRPr="002504EB">
        <w:rPr>
          <w:b/>
          <w:bCs/>
          <w:szCs w:val="24"/>
        </w:rPr>
        <w:t>THE OFFICE OF THE OHIO CONSUMERS’ COUNSEL</w:t>
      </w:r>
    </w:p>
    <w:p w:rsidR="009E602A" w:rsidRPr="002504EB" w:rsidP="0018274B">
      <w:pPr>
        <w:pBdr>
          <w:bottom w:val="single" w:sz="12" w:space="1" w:color="auto"/>
        </w:pBdr>
        <w:tabs>
          <w:tab w:val="left" w:pos="4320"/>
        </w:tabs>
        <w:rPr>
          <w:szCs w:val="24"/>
        </w:rPr>
      </w:pPr>
    </w:p>
    <w:p w:rsidR="009E602A" w:rsidRPr="002504EB" w:rsidP="0018274B">
      <w:pPr>
        <w:tabs>
          <w:tab w:val="left" w:pos="4320"/>
        </w:tabs>
        <w:rPr>
          <w:szCs w:val="24"/>
        </w:rPr>
      </w:pPr>
    </w:p>
    <w:p w:rsidR="003436AA" w:rsidP="00A14104">
      <w:pPr>
        <w:pStyle w:val="BodyTextIndent3"/>
        <w:spacing w:line="480" w:lineRule="auto"/>
        <w:rPr>
          <w:szCs w:val="24"/>
        </w:rPr>
      </w:pPr>
      <w:r>
        <w:rPr>
          <w:szCs w:val="24"/>
        </w:rPr>
        <w:t>In initial comments, the vast majority of parties</w:t>
      </w:r>
      <w:r w:rsidR="00DF4EF2">
        <w:rPr>
          <w:szCs w:val="24"/>
        </w:rPr>
        <w:t>,</w:t>
      </w:r>
      <w:r>
        <w:rPr>
          <w:szCs w:val="24"/>
        </w:rPr>
        <w:t xml:space="preserve"> including the Office of the Ohio Consumers’ Counsel</w:t>
      </w:r>
      <w:r w:rsidR="00785B60">
        <w:rPr>
          <w:szCs w:val="24"/>
        </w:rPr>
        <w:t xml:space="preserve"> (“OCC”)</w:t>
      </w:r>
      <w:r>
        <w:rPr>
          <w:szCs w:val="24"/>
        </w:rPr>
        <w:t xml:space="preserve"> agreed that entities do not become utilities under Ohio law solely by virtue of owning or operating an electric vehicle charging station. </w:t>
      </w:r>
      <w:r w:rsidR="00301D16">
        <w:rPr>
          <w:szCs w:val="24"/>
        </w:rPr>
        <w:t>The electric distribution utilities (AEP Ohio, FirstEnergy, and Duke) generally agreed with this</w:t>
      </w:r>
      <w:r w:rsidR="006B674A">
        <w:rPr>
          <w:szCs w:val="24"/>
        </w:rPr>
        <w:t>. But</w:t>
      </w:r>
      <w:r w:rsidR="00301D16">
        <w:rPr>
          <w:szCs w:val="24"/>
        </w:rPr>
        <w:t xml:space="preserve"> </w:t>
      </w:r>
      <w:r w:rsidR="006B674A">
        <w:rPr>
          <w:szCs w:val="24"/>
        </w:rPr>
        <w:t>utilities</w:t>
      </w:r>
      <w:r w:rsidR="00532123">
        <w:rPr>
          <w:szCs w:val="24"/>
        </w:rPr>
        <w:t xml:space="preserve"> </w:t>
      </w:r>
      <w:r w:rsidR="00301D16">
        <w:rPr>
          <w:szCs w:val="24"/>
        </w:rPr>
        <w:t xml:space="preserve">argued that </w:t>
      </w:r>
      <w:r w:rsidR="001C7266">
        <w:rPr>
          <w:szCs w:val="24"/>
        </w:rPr>
        <w:t xml:space="preserve">they </w:t>
      </w:r>
      <w:r w:rsidR="00301D16">
        <w:rPr>
          <w:szCs w:val="24"/>
        </w:rPr>
        <w:t>should also be allowed to own charging stations.</w:t>
      </w:r>
      <w:r>
        <w:rPr>
          <w:rStyle w:val="FootnoteReference"/>
          <w:szCs w:val="24"/>
        </w:rPr>
        <w:footnoteReference w:id="2"/>
      </w:r>
      <w:r w:rsidR="00532123">
        <w:rPr>
          <w:szCs w:val="24"/>
        </w:rPr>
        <w:t xml:space="preserve"> The utilities are wrong</w:t>
      </w:r>
      <w:r w:rsidR="007618ED">
        <w:rPr>
          <w:szCs w:val="24"/>
        </w:rPr>
        <w:t xml:space="preserve"> both by law and reason</w:t>
      </w:r>
      <w:r w:rsidR="00532123">
        <w:rPr>
          <w:szCs w:val="24"/>
        </w:rPr>
        <w:t>.</w:t>
      </w:r>
      <w:r w:rsidR="00BB04D4">
        <w:rPr>
          <w:szCs w:val="24"/>
        </w:rPr>
        <w:t xml:space="preserve"> Electric vehicle charging is not a utility service under Ohio law.</w:t>
      </w:r>
      <w:r>
        <w:rPr>
          <w:rStyle w:val="FootnoteReference"/>
          <w:szCs w:val="24"/>
        </w:rPr>
        <w:footnoteReference w:id="3"/>
      </w:r>
    </w:p>
    <w:p w:rsidR="00E21A41" w:rsidP="00A14104">
      <w:pPr>
        <w:pStyle w:val="BodyTextIndent3"/>
        <w:spacing w:line="480" w:lineRule="auto"/>
        <w:rPr>
          <w:szCs w:val="24"/>
        </w:rPr>
        <w:sectPr w:rsidSect="00DE646C">
          <w:footerReference w:type="default" r:id="rId6"/>
          <w:footerReference w:type="first" r:id="rId7"/>
          <w:pgSz w:w="12240" w:h="15840"/>
          <w:pgMar w:top="1440" w:right="1440" w:bottom="1440" w:left="1440" w:header="720" w:footer="720" w:gutter="0"/>
          <w:pgNumType w:start="2"/>
          <w:cols w:space="720"/>
          <w:docGrid w:linePitch="326"/>
        </w:sectPr>
      </w:pPr>
      <w:r>
        <w:rPr>
          <w:szCs w:val="24"/>
        </w:rPr>
        <w:t xml:space="preserve">Utilities should not own and charge their monopoly customers </w:t>
      </w:r>
      <w:r w:rsidR="009B02EB">
        <w:rPr>
          <w:szCs w:val="24"/>
        </w:rPr>
        <w:t xml:space="preserve">money </w:t>
      </w:r>
      <w:r>
        <w:rPr>
          <w:szCs w:val="24"/>
        </w:rPr>
        <w:t xml:space="preserve">for electric vehicle charging stations. Utility ownership of charging stations is bad for customers because it increases their distribution utility bills and turns </w:t>
      </w:r>
      <w:r w:rsidR="00E32313">
        <w:rPr>
          <w:szCs w:val="24"/>
        </w:rPr>
        <w:t>them</w:t>
      </w:r>
      <w:r w:rsidR="001341B1">
        <w:rPr>
          <w:szCs w:val="24"/>
        </w:rPr>
        <w:t xml:space="preserve"> </w:t>
      </w:r>
      <w:r>
        <w:rPr>
          <w:szCs w:val="24"/>
        </w:rPr>
        <w:t>into</w:t>
      </w:r>
      <w:r w:rsidR="00A97E97">
        <w:rPr>
          <w:szCs w:val="24"/>
        </w:rPr>
        <w:t xml:space="preserve"> </w:t>
      </w:r>
      <w:r>
        <w:rPr>
          <w:szCs w:val="24"/>
        </w:rPr>
        <w:t>investors</w:t>
      </w:r>
      <w:r w:rsidR="00E32313">
        <w:rPr>
          <w:szCs w:val="24"/>
        </w:rPr>
        <w:t xml:space="preserve"> (which </w:t>
      </w:r>
      <w:r w:rsidR="0073100D">
        <w:rPr>
          <w:szCs w:val="24"/>
        </w:rPr>
        <w:t>customers</w:t>
      </w:r>
      <w:r w:rsidR="00E32313">
        <w:rPr>
          <w:szCs w:val="24"/>
        </w:rPr>
        <w:t xml:space="preserve"> are not)</w:t>
      </w:r>
      <w:r w:rsidR="0087266D">
        <w:rPr>
          <w:szCs w:val="24"/>
        </w:rPr>
        <w:t>.</w:t>
      </w:r>
      <w:r>
        <w:rPr>
          <w:szCs w:val="24"/>
        </w:rPr>
        <w:t xml:space="preserve"> It is also bad for the market because it allows utilities </w:t>
      </w:r>
      <w:r w:rsidR="009B02EB">
        <w:rPr>
          <w:szCs w:val="24"/>
        </w:rPr>
        <w:t xml:space="preserve">to subsidize such operations with </w:t>
      </w:r>
      <w:r w:rsidR="0044231E">
        <w:rPr>
          <w:szCs w:val="24"/>
        </w:rPr>
        <w:t xml:space="preserve">the </w:t>
      </w:r>
      <w:r w:rsidR="009B02EB">
        <w:rPr>
          <w:szCs w:val="24"/>
        </w:rPr>
        <w:t>monopoly utility customers’ money</w:t>
      </w:r>
      <w:r w:rsidR="0044231E">
        <w:rPr>
          <w:szCs w:val="24"/>
        </w:rPr>
        <w:t xml:space="preserve"> that they take</w:t>
      </w:r>
      <w:r w:rsidR="009B02EB">
        <w:rPr>
          <w:szCs w:val="24"/>
        </w:rPr>
        <w:t xml:space="preserve"> while</w:t>
      </w:r>
      <w:r>
        <w:rPr>
          <w:szCs w:val="24"/>
        </w:rPr>
        <w:t xml:space="preserve"> compet</w:t>
      </w:r>
      <w:r w:rsidR="009B02EB">
        <w:rPr>
          <w:szCs w:val="24"/>
        </w:rPr>
        <w:t>ing</w:t>
      </w:r>
      <w:r>
        <w:rPr>
          <w:szCs w:val="24"/>
        </w:rPr>
        <w:t xml:space="preserve"> </w:t>
      </w:r>
      <w:r w:rsidR="001C7266">
        <w:rPr>
          <w:szCs w:val="24"/>
        </w:rPr>
        <w:t xml:space="preserve">against </w:t>
      </w:r>
      <w:r>
        <w:rPr>
          <w:szCs w:val="24"/>
        </w:rPr>
        <w:t xml:space="preserve">other businesses </w:t>
      </w:r>
      <w:r w:rsidR="0087266D">
        <w:rPr>
          <w:szCs w:val="24"/>
        </w:rPr>
        <w:t>that</w:t>
      </w:r>
      <w:r>
        <w:rPr>
          <w:szCs w:val="24"/>
        </w:rPr>
        <w:t xml:space="preserve"> don’t have the benefit of such subsidies.</w:t>
      </w:r>
      <w:r w:rsidR="006B674A">
        <w:rPr>
          <w:szCs w:val="24"/>
        </w:rPr>
        <w:t xml:space="preserve"> It is also unlawful</w:t>
      </w:r>
      <w:r w:rsidR="0001117F">
        <w:rPr>
          <w:szCs w:val="24"/>
        </w:rPr>
        <w:t xml:space="preserve"> because the service is not a utility service</w:t>
      </w:r>
      <w:r w:rsidR="006B674A">
        <w:rPr>
          <w:szCs w:val="24"/>
        </w:rPr>
        <w:t>.</w:t>
      </w:r>
      <w:r w:rsidR="00CD7E23">
        <w:rPr>
          <w:szCs w:val="24"/>
        </w:rPr>
        <w:t xml:space="preserve"> </w:t>
      </w:r>
      <w:r w:rsidR="00B61AA0">
        <w:rPr>
          <w:szCs w:val="24"/>
        </w:rPr>
        <w:t xml:space="preserve">Further, </w:t>
      </w:r>
      <w:r w:rsidR="00CD7E23">
        <w:rPr>
          <w:szCs w:val="24"/>
        </w:rPr>
        <w:t xml:space="preserve">a transfer of business </w:t>
      </w:r>
      <w:r w:rsidR="001C7266">
        <w:rPr>
          <w:szCs w:val="24"/>
        </w:rPr>
        <w:t xml:space="preserve">risk and </w:t>
      </w:r>
      <w:r w:rsidR="009B02EB">
        <w:rPr>
          <w:szCs w:val="24"/>
        </w:rPr>
        <w:t xml:space="preserve">the ability to subsidize </w:t>
      </w:r>
      <w:r w:rsidR="001C7266">
        <w:rPr>
          <w:szCs w:val="24"/>
        </w:rPr>
        <w:t xml:space="preserve">costs </w:t>
      </w:r>
      <w:r w:rsidR="009B02EB">
        <w:rPr>
          <w:szCs w:val="24"/>
        </w:rPr>
        <w:t>from</w:t>
      </w:r>
      <w:r w:rsidR="00CD7E23">
        <w:rPr>
          <w:szCs w:val="24"/>
        </w:rPr>
        <w:t xml:space="preserve"> monopoly customers </w:t>
      </w:r>
      <w:r w:rsidR="00B61AA0">
        <w:rPr>
          <w:szCs w:val="24"/>
        </w:rPr>
        <w:t>is</w:t>
      </w:r>
      <w:r w:rsidR="00CD7E23">
        <w:rPr>
          <w:szCs w:val="24"/>
        </w:rPr>
        <w:t xml:space="preserve"> </w:t>
      </w:r>
      <w:r w:rsidR="001C7266">
        <w:rPr>
          <w:szCs w:val="24"/>
        </w:rPr>
        <w:t>unreasonable and contrary to Ohio law</w:t>
      </w:r>
      <w:r w:rsidR="00F5194A">
        <w:rPr>
          <w:szCs w:val="24"/>
        </w:rPr>
        <w:t xml:space="preserve"> (4928.02(H))</w:t>
      </w:r>
      <w:r w:rsidR="00274C2D">
        <w:rPr>
          <w:szCs w:val="24"/>
        </w:rPr>
        <w:t>.</w:t>
      </w:r>
    </w:p>
    <w:p w:rsidR="00532123" w:rsidP="00103C50">
      <w:pPr>
        <w:pStyle w:val="BodyTextIndent3"/>
        <w:spacing w:line="480" w:lineRule="auto"/>
        <w:rPr>
          <w:szCs w:val="24"/>
        </w:rPr>
      </w:pPr>
      <w:r>
        <w:rPr>
          <w:szCs w:val="24"/>
        </w:rPr>
        <w:t>T</w:t>
      </w:r>
      <w:r>
        <w:rPr>
          <w:szCs w:val="24"/>
        </w:rPr>
        <w:t xml:space="preserve">he </w:t>
      </w:r>
      <w:r>
        <w:rPr>
          <w:szCs w:val="24"/>
        </w:rPr>
        <w:t>Public Utilities Commission of Ohio (</w:t>
      </w:r>
      <w:r>
        <w:rPr>
          <w:szCs w:val="24"/>
        </w:rPr>
        <w:t>PUCO</w:t>
      </w:r>
      <w:r>
        <w:rPr>
          <w:szCs w:val="24"/>
        </w:rPr>
        <w:t>)</w:t>
      </w:r>
      <w:r>
        <w:rPr>
          <w:szCs w:val="24"/>
        </w:rPr>
        <w:t xml:space="preserve"> </w:t>
      </w:r>
      <w:r>
        <w:rPr>
          <w:szCs w:val="24"/>
        </w:rPr>
        <w:t xml:space="preserve">should conclude that </w:t>
      </w:r>
      <w:r>
        <w:rPr>
          <w:szCs w:val="24"/>
        </w:rPr>
        <w:t xml:space="preserve">utility ownership of charging stations </w:t>
      </w:r>
      <w:r w:rsidR="0070201A">
        <w:rPr>
          <w:szCs w:val="24"/>
        </w:rPr>
        <w:t>would be unlawful</w:t>
      </w:r>
      <w:r w:rsidR="00562D8C">
        <w:rPr>
          <w:szCs w:val="24"/>
        </w:rPr>
        <w:t xml:space="preserve">. And it should conclude </w:t>
      </w:r>
      <w:r>
        <w:rPr>
          <w:szCs w:val="24"/>
        </w:rPr>
        <w:t xml:space="preserve">that </w:t>
      </w:r>
      <w:r w:rsidR="009B02EB">
        <w:rPr>
          <w:szCs w:val="24"/>
        </w:rPr>
        <w:t>consumers</w:t>
      </w:r>
      <w:r w:rsidR="00F5194A">
        <w:rPr>
          <w:szCs w:val="24"/>
        </w:rPr>
        <w:t>’</w:t>
      </w:r>
      <w:r w:rsidR="009B02EB">
        <w:rPr>
          <w:szCs w:val="24"/>
        </w:rPr>
        <w:t xml:space="preserve"> demand for electric vehicle </w:t>
      </w:r>
      <w:r>
        <w:rPr>
          <w:szCs w:val="24"/>
        </w:rPr>
        <w:t>charging station</w:t>
      </w:r>
      <w:r w:rsidR="009B02EB">
        <w:rPr>
          <w:szCs w:val="24"/>
        </w:rPr>
        <w:t>s</w:t>
      </w:r>
      <w:r>
        <w:rPr>
          <w:szCs w:val="24"/>
        </w:rPr>
        <w:t xml:space="preserve"> </w:t>
      </w:r>
      <w:r w:rsidR="000260B2">
        <w:rPr>
          <w:szCs w:val="24"/>
        </w:rPr>
        <w:t>must</w:t>
      </w:r>
      <w:r>
        <w:rPr>
          <w:szCs w:val="24"/>
        </w:rPr>
        <w:t xml:space="preserve"> be exclusively</w:t>
      </w:r>
      <w:r w:rsidR="009B02EB">
        <w:rPr>
          <w:szCs w:val="24"/>
        </w:rPr>
        <w:t xml:space="preserve"> met</w:t>
      </w:r>
      <w:r>
        <w:rPr>
          <w:szCs w:val="24"/>
        </w:rPr>
        <w:t xml:space="preserve"> through the competitive market</w:t>
      </w:r>
      <w:r w:rsidR="0044231E">
        <w:rPr>
          <w:szCs w:val="24"/>
        </w:rPr>
        <w:t xml:space="preserve"> (subject to the potential for very light-touch </w:t>
      </w:r>
      <w:r w:rsidR="00344267">
        <w:rPr>
          <w:szCs w:val="24"/>
        </w:rPr>
        <w:t>oversight</w:t>
      </w:r>
      <w:r w:rsidR="0044231E">
        <w:rPr>
          <w:szCs w:val="24"/>
        </w:rPr>
        <w:t xml:space="preserve"> for any essential consumer protections</w:t>
      </w:r>
      <w:r w:rsidR="00480365">
        <w:rPr>
          <w:szCs w:val="24"/>
        </w:rPr>
        <w:t xml:space="preserve"> that are needed</w:t>
      </w:r>
      <w:r w:rsidR="00344267">
        <w:rPr>
          <w:szCs w:val="24"/>
        </w:rPr>
        <w:t xml:space="preserve"> to prevent any abuses of consumers)</w:t>
      </w:r>
      <w:r w:rsidR="00274C2D">
        <w:rPr>
          <w:szCs w:val="24"/>
        </w:rPr>
        <w:t>.</w:t>
      </w:r>
    </w:p>
    <w:p w:rsidR="00E21A41" w:rsidP="00E21A41">
      <w:pPr>
        <w:pStyle w:val="BodyTextIndent3"/>
        <w:spacing w:line="240" w:lineRule="auto"/>
        <w:rPr>
          <w:szCs w:val="24"/>
        </w:rPr>
      </w:pPr>
    </w:p>
    <w:p w:rsidR="00D2315F" w:rsidRPr="002504EB" w:rsidP="0018274B">
      <w:pPr>
        <w:pStyle w:val="Heading1"/>
      </w:pPr>
      <w:bookmarkStart w:id="1" w:name="_Toc35873423"/>
      <w:r w:rsidRPr="002504EB">
        <w:t>I.</w:t>
      </w:r>
      <w:r w:rsidRPr="002504EB">
        <w:tab/>
      </w:r>
      <w:bookmarkEnd w:id="1"/>
      <w:r w:rsidR="003436AA">
        <w:t>REPLY COMMENTS</w:t>
      </w:r>
    </w:p>
    <w:p w:rsidR="009B409D" w:rsidP="009B409D">
      <w:pPr>
        <w:pStyle w:val="Heading2"/>
      </w:pPr>
      <w:bookmarkStart w:id="2" w:name="_Toc35873424"/>
      <w:r w:rsidRPr="002504EB">
        <w:t>A.</w:t>
      </w:r>
      <w:r w:rsidRPr="002504EB">
        <w:tab/>
      </w:r>
      <w:bookmarkEnd w:id="2"/>
      <w:r w:rsidR="009B02EB">
        <w:t>To protect consumers</w:t>
      </w:r>
      <w:r w:rsidR="00151533">
        <w:t xml:space="preserve"> and comply with law</w:t>
      </w:r>
      <w:r w:rsidR="009B02EB">
        <w:t>, distribution</w:t>
      </w:r>
      <w:r>
        <w:t xml:space="preserve"> utilities</w:t>
      </w:r>
      <w:r w:rsidR="009B02EB">
        <w:t xml:space="preserve"> regulated by the PUCO</w:t>
      </w:r>
      <w:r>
        <w:t xml:space="preserve"> should not own electric vehicle charging stations.</w:t>
      </w:r>
    </w:p>
    <w:p w:rsidR="001C7266" w:rsidP="0018274B">
      <w:pPr>
        <w:pStyle w:val="BodyTextIndent3"/>
        <w:spacing w:line="480" w:lineRule="auto"/>
        <w:rPr>
          <w:szCs w:val="24"/>
        </w:rPr>
      </w:pPr>
      <w:r>
        <w:rPr>
          <w:szCs w:val="24"/>
        </w:rPr>
        <w:t xml:space="preserve">A recurring theme in the electric utilities’ initial comments (among other parties) is that </w:t>
      </w:r>
      <w:r w:rsidR="009623DB">
        <w:rPr>
          <w:szCs w:val="24"/>
        </w:rPr>
        <w:t>distribution</w:t>
      </w:r>
      <w:r>
        <w:rPr>
          <w:szCs w:val="24"/>
        </w:rPr>
        <w:t xml:space="preserve"> utilities</w:t>
      </w:r>
      <w:r w:rsidR="009623DB">
        <w:rPr>
          <w:szCs w:val="24"/>
        </w:rPr>
        <w:t xml:space="preserve"> regulated by the PUCO</w:t>
      </w:r>
      <w:r>
        <w:rPr>
          <w:szCs w:val="24"/>
        </w:rPr>
        <w:t xml:space="preserve"> should be allowed to </w:t>
      </w:r>
      <w:r w:rsidR="00B04AD6">
        <w:rPr>
          <w:szCs w:val="24"/>
        </w:rPr>
        <w:t xml:space="preserve">own </w:t>
      </w:r>
      <w:r w:rsidR="009B409D">
        <w:rPr>
          <w:szCs w:val="24"/>
        </w:rPr>
        <w:t xml:space="preserve">electric vehicle </w:t>
      </w:r>
      <w:r w:rsidR="00B04AD6">
        <w:rPr>
          <w:szCs w:val="24"/>
        </w:rPr>
        <w:t>charging stations. FirstEnergy, for example, stated that “the Commission must recognize EDUs’ right to own and operate EV charging stations.”</w:t>
      </w:r>
      <w:r>
        <w:rPr>
          <w:rStyle w:val="FootnoteReference"/>
          <w:szCs w:val="24"/>
        </w:rPr>
        <w:footnoteReference w:id="4"/>
      </w:r>
      <w:r w:rsidR="00C75C3F">
        <w:rPr>
          <w:szCs w:val="24"/>
        </w:rPr>
        <w:t xml:space="preserve"> AEP Ohio similarly stated that the “outcome of this proceeding, and any further action by the Commission regarding this topic, should expressly recognize and authorize ownership of EV charging infrastructure by Ohio EDUs.”</w:t>
      </w:r>
      <w:r>
        <w:rPr>
          <w:rStyle w:val="FootnoteReference"/>
          <w:szCs w:val="24"/>
        </w:rPr>
        <w:footnoteReference w:id="5"/>
      </w:r>
      <w:r w:rsidR="009B409D">
        <w:rPr>
          <w:szCs w:val="24"/>
        </w:rPr>
        <w:t xml:space="preserve"> </w:t>
      </w:r>
      <w:r w:rsidR="0001429F">
        <w:rPr>
          <w:szCs w:val="24"/>
        </w:rPr>
        <w:t>Duke Energy recommended that “the Commission remain open to the development of a marketplace for [electric vehicle charging stations] that may be owned and maintained by the utility.”</w:t>
      </w:r>
      <w:r>
        <w:rPr>
          <w:rStyle w:val="FootnoteReference"/>
          <w:szCs w:val="24"/>
        </w:rPr>
        <w:footnoteReference w:id="6"/>
      </w:r>
      <w:r w:rsidR="0001429F">
        <w:rPr>
          <w:szCs w:val="24"/>
        </w:rPr>
        <w:t xml:space="preserve"> </w:t>
      </w:r>
      <w:r w:rsidR="00F06E61">
        <w:rPr>
          <w:szCs w:val="24"/>
        </w:rPr>
        <w:t xml:space="preserve">(Dayton Power and Light </w:t>
      </w:r>
      <w:r w:rsidR="00DE646C">
        <w:rPr>
          <w:szCs w:val="24"/>
        </w:rPr>
        <w:t>did not file initial comments.)</w:t>
      </w:r>
    </w:p>
    <w:p w:rsidR="003436AA" w:rsidP="0018274B">
      <w:pPr>
        <w:pStyle w:val="BodyTextIndent3"/>
        <w:spacing w:line="480" w:lineRule="auto"/>
        <w:rPr>
          <w:szCs w:val="24"/>
        </w:rPr>
      </w:pPr>
      <w:r>
        <w:rPr>
          <w:szCs w:val="24"/>
        </w:rPr>
        <w:t xml:space="preserve">But allowing </w:t>
      </w:r>
      <w:r w:rsidR="009623DB">
        <w:rPr>
          <w:szCs w:val="24"/>
        </w:rPr>
        <w:t xml:space="preserve">distribution </w:t>
      </w:r>
      <w:r>
        <w:rPr>
          <w:szCs w:val="24"/>
        </w:rPr>
        <w:t>utility ownership of electric vehicle charging station</w:t>
      </w:r>
      <w:r w:rsidR="0087266D">
        <w:rPr>
          <w:szCs w:val="24"/>
        </w:rPr>
        <w:t>s</w:t>
      </w:r>
      <w:r>
        <w:rPr>
          <w:szCs w:val="24"/>
        </w:rPr>
        <w:t xml:space="preserve"> is misguided because it </w:t>
      </w:r>
      <w:r w:rsidR="00C93E50">
        <w:rPr>
          <w:szCs w:val="24"/>
        </w:rPr>
        <w:t>c</w:t>
      </w:r>
      <w:r>
        <w:rPr>
          <w:szCs w:val="24"/>
        </w:rPr>
        <w:t xml:space="preserve">ould harm customers and would negatively impact the competitive market for such services. </w:t>
      </w:r>
      <w:r w:rsidR="00274C2D">
        <w:rPr>
          <w:szCs w:val="24"/>
        </w:rPr>
        <w:t xml:space="preserve">It is also inconsistent with the law, including R.C. 4928.02(H), which provides that it is state policy to avoid anticompetitive subsidies. </w:t>
      </w:r>
      <w:r>
        <w:rPr>
          <w:szCs w:val="24"/>
        </w:rPr>
        <w:t xml:space="preserve">The PUCO should reject any attempt by </w:t>
      </w:r>
      <w:r>
        <w:rPr>
          <w:szCs w:val="24"/>
        </w:rPr>
        <w:t>regulated utilities to own charging stations</w:t>
      </w:r>
      <w:r w:rsidR="004F270C">
        <w:rPr>
          <w:szCs w:val="24"/>
        </w:rPr>
        <w:t xml:space="preserve">, which </w:t>
      </w:r>
      <w:r w:rsidR="00C93E50">
        <w:rPr>
          <w:szCs w:val="24"/>
        </w:rPr>
        <w:t>c</w:t>
      </w:r>
      <w:r w:rsidR="004F270C">
        <w:rPr>
          <w:szCs w:val="24"/>
        </w:rPr>
        <w:t>ould</w:t>
      </w:r>
      <w:r w:rsidR="00CD7E23">
        <w:rPr>
          <w:szCs w:val="24"/>
        </w:rPr>
        <w:t xml:space="preserve"> unfairly transfe</w:t>
      </w:r>
      <w:r w:rsidR="004F270C">
        <w:rPr>
          <w:szCs w:val="24"/>
        </w:rPr>
        <w:t>r</w:t>
      </w:r>
      <w:r w:rsidR="00CD7E23">
        <w:rPr>
          <w:szCs w:val="24"/>
        </w:rPr>
        <w:t xml:space="preserve"> business risk </w:t>
      </w:r>
      <w:r w:rsidR="004F270C">
        <w:rPr>
          <w:szCs w:val="24"/>
        </w:rPr>
        <w:t xml:space="preserve">and </w:t>
      </w:r>
      <w:r w:rsidR="009623DB">
        <w:rPr>
          <w:szCs w:val="24"/>
        </w:rPr>
        <w:t>increase</w:t>
      </w:r>
      <w:r w:rsidR="004F270C">
        <w:rPr>
          <w:szCs w:val="24"/>
        </w:rPr>
        <w:t xml:space="preserve"> costs </w:t>
      </w:r>
      <w:r w:rsidR="00CD7E23">
        <w:rPr>
          <w:szCs w:val="24"/>
        </w:rPr>
        <w:t>to their distribution customers</w:t>
      </w:r>
      <w:r>
        <w:rPr>
          <w:szCs w:val="24"/>
        </w:rPr>
        <w:t>.</w:t>
      </w:r>
      <w:r w:rsidR="004F270C">
        <w:rPr>
          <w:szCs w:val="24"/>
        </w:rPr>
        <w:t xml:space="preserve"> Moreover, customers that cannot afford an electric vehicle should not </w:t>
      </w:r>
      <w:r w:rsidR="00F5194A">
        <w:rPr>
          <w:szCs w:val="24"/>
        </w:rPr>
        <w:t>pay subsidies to benefit</w:t>
      </w:r>
      <w:r w:rsidR="004F270C">
        <w:rPr>
          <w:szCs w:val="24"/>
        </w:rPr>
        <w:t xml:space="preserve"> those who can.</w:t>
      </w:r>
    </w:p>
    <w:p w:rsidR="009B409D" w:rsidP="009B409D">
      <w:pPr>
        <w:pStyle w:val="BodyTextIndent3"/>
        <w:keepNext/>
        <w:keepLines/>
        <w:spacing w:after="240" w:line="240" w:lineRule="auto"/>
        <w:ind w:left="2160" w:hanging="720"/>
        <w:rPr>
          <w:szCs w:val="24"/>
        </w:rPr>
      </w:pPr>
      <w:r>
        <w:rPr>
          <w:b/>
          <w:szCs w:val="24"/>
        </w:rPr>
        <w:t>1.</w:t>
      </w:r>
      <w:r>
        <w:rPr>
          <w:b/>
          <w:szCs w:val="24"/>
        </w:rPr>
        <w:tab/>
        <w:t xml:space="preserve">Allowing </w:t>
      </w:r>
      <w:r w:rsidR="009623DB">
        <w:rPr>
          <w:b/>
          <w:szCs w:val="24"/>
        </w:rPr>
        <w:t>distribution</w:t>
      </w:r>
      <w:r>
        <w:rPr>
          <w:b/>
          <w:szCs w:val="24"/>
        </w:rPr>
        <w:t xml:space="preserve"> utilities </w:t>
      </w:r>
      <w:r w:rsidR="009623DB">
        <w:rPr>
          <w:b/>
          <w:szCs w:val="24"/>
        </w:rPr>
        <w:t xml:space="preserve">regulated by the PUCO </w:t>
      </w:r>
      <w:r>
        <w:rPr>
          <w:b/>
          <w:szCs w:val="24"/>
        </w:rPr>
        <w:t xml:space="preserve">to own charging stations and charge </w:t>
      </w:r>
      <w:r w:rsidR="009623DB">
        <w:rPr>
          <w:b/>
          <w:szCs w:val="24"/>
        </w:rPr>
        <w:t>monopoly</w:t>
      </w:r>
      <w:r>
        <w:rPr>
          <w:b/>
          <w:szCs w:val="24"/>
        </w:rPr>
        <w:t xml:space="preserve"> customers for them is bad for </w:t>
      </w:r>
      <w:r w:rsidR="0001429F">
        <w:rPr>
          <w:b/>
          <w:szCs w:val="24"/>
        </w:rPr>
        <w:t>consumers and competitive markets</w:t>
      </w:r>
      <w:r>
        <w:rPr>
          <w:b/>
          <w:szCs w:val="24"/>
        </w:rPr>
        <w:t>.</w:t>
      </w:r>
    </w:p>
    <w:p w:rsidR="003E634E" w:rsidP="0018274B">
      <w:pPr>
        <w:pStyle w:val="BodyTextIndent3"/>
        <w:spacing w:line="480" w:lineRule="auto"/>
        <w:rPr>
          <w:szCs w:val="24"/>
        </w:rPr>
      </w:pPr>
      <w:r>
        <w:rPr>
          <w:szCs w:val="24"/>
        </w:rPr>
        <w:t>Ohio’s 1999 energy law (Senate Bill 3) deregulated Ohio’s energy markets. The law recognized that customers are best served by competitive markets, where businesses competing with each other will provide the best prices and the greatest innovation for consumers.</w:t>
      </w:r>
      <w:r w:rsidR="00830767">
        <w:rPr>
          <w:szCs w:val="24"/>
        </w:rPr>
        <w:t xml:space="preserve"> </w:t>
      </w:r>
      <w:r w:rsidR="00F5194A">
        <w:rPr>
          <w:szCs w:val="24"/>
        </w:rPr>
        <w:t xml:space="preserve">This policy is reflected in R.C. 4928.02(H), which provides that it is state policy to “avoid[] anticompetitive subsidies flowing from a noncompetitive retail electric service to a competitive retail electric service or to a product or service other than retail electric service, and vice versa.” </w:t>
      </w:r>
      <w:r w:rsidR="00830767">
        <w:rPr>
          <w:szCs w:val="24"/>
        </w:rPr>
        <w:t xml:space="preserve">Regulated monopolies, </w:t>
      </w:r>
      <w:r w:rsidR="00F5194A">
        <w:rPr>
          <w:szCs w:val="24"/>
        </w:rPr>
        <w:t>unlike business operating in the competitive market</w:t>
      </w:r>
      <w:r w:rsidR="00830767">
        <w:rPr>
          <w:szCs w:val="24"/>
        </w:rPr>
        <w:t>, are suited only to those limited situations where the competitive market fails.</w:t>
      </w:r>
    </w:p>
    <w:p w:rsidR="00830767" w:rsidP="0018274B">
      <w:pPr>
        <w:pStyle w:val="BodyTextIndent3"/>
        <w:spacing w:line="480" w:lineRule="auto"/>
        <w:rPr>
          <w:szCs w:val="24"/>
        </w:rPr>
      </w:pPr>
      <w:r>
        <w:rPr>
          <w:szCs w:val="24"/>
        </w:rPr>
        <w:t xml:space="preserve">Under Ohio law, the distribution of electricity is provided by regulated </w:t>
      </w:r>
      <w:r w:rsidR="009623DB">
        <w:rPr>
          <w:szCs w:val="24"/>
        </w:rPr>
        <w:t>distribution utilities</w:t>
      </w:r>
      <w:r>
        <w:rPr>
          <w:szCs w:val="24"/>
        </w:rPr>
        <w:t xml:space="preserve"> because the logistics of providing that service (an elaborate distribution system of poles and wires covering vast geographic areas) does not allow for effective competition. In contrast, the 1999 law recognized that the generation of electricity can be provided through markets </w:t>
      </w:r>
      <w:r w:rsidR="00BC6F20">
        <w:rPr>
          <w:szCs w:val="24"/>
        </w:rPr>
        <w:t xml:space="preserve">(instead of monopoly utilities) </w:t>
      </w:r>
      <w:r>
        <w:rPr>
          <w:szCs w:val="24"/>
        </w:rPr>
        <w:t xml:space="preserve">where power plants compete with each other to provide the lowest prices </w:t>
      </w:r>
      <w:r w:rsidR="00BC6F20">
        <w:rPr>
          <w:szCs w:val="24"/>
        </w:rPr>
        <w:t xml:space="preserve">and greater innovation </w:t>
      </w:r>
      <w:r>
        <w:rPr>
          <w:szCs w:val="24"/>
        </w:rPr>
        <w:t>to consumers. Electric vehicle charging stations are no different.</w:t>
      </w:r>
    </w:p>
    <w:p w:rsidR="00830767" w:rsidP="0018274B">
      <w:pPr>
        <w:pStyle w:val="BodyTextIndent3"/>
        <w:spacing w:line="480" w:lineRule="auto"/>
        <w:rPr>
          <w:szCs w:val="24"/>
        </w:rPr>
      </w:pPr>
      <w:r>
        <w:rPr>
          <w:szCs w:val="24"/>
        </w:rPr>
        <w:t xml:space="preserve">There is nothing about the market for electric vehicle charging stations that requires regulated monopolies to be involved. Businesses that want to enter the market for electric vehicle charging stations </w:t>
      </w:r>
      <w:r w:rsidR="0001429F">
        <w:rPr>
          <w:szCs w:val="24"/>
        </w:rPr>
        <w:t>can</w:t>
      </w:r>
      <w:r>
        <w:rPr>
          <w:szCs w:val="24"/>
        </w:rPr>
        <w:t xml:space="preserve"> do so and compete with each other. They can compete freely by choosing the best locations, developing the best technology, marketing their products</w:t>
      </w:r>
      <w:r w:rsidR="009623DB">
        <w:rPr>
          <w:szCs w:val="24"/>
        </w:rPr>
        <w:t xml:space="preserve"> to customers demanding their product</w:t>
      </w:r>
      <w:r>
        <w:rPr>
          <w:szCs w:val="24"/>
        </w:rPr>
        <w:t xml:space="preserve">, and competing on price. In short, there is no </w:t>
      </w:r>
      <w:r w:rsidR="00BC6F20">
        <w:rPr>
          <w:szCs w:val="24"/>
        </w:rPr>
        <w:t xml:space="preserve">evidence of a </w:t>
      </w:r>
      <w:r>
        <w:rPr>
          <w:szCs w:val="24"/>
        </w:rPr>
        <w:t xml:space="preserve">market failure and no reason for the government to step in and interfere with the development of </w:t>
      </w:r>
      <w:r w:rsidR="004F270C">
        <w:rPr>
          <w:szCs w:val="24"/>
        </w:rPr>
        <w:t xml:space="preserve">a competitive </w:t>
      </w:r>
      <w:r>
        <w:rPr>
          <w:szCs w:val="24"/>
        </w:rPr>
        <w:t>market by introducing customer-funded monopoly subsidies.</w:t>
      </w:r>
    </w:p>
    <w:p w:rsidR="00BD6840" w:rsidP="0001429F">
      <w:pPr>
        <w:pStyle w:val="BodyTextIndent3"/>
        <w:spacing w:line="480" w:lineRule="auto"/>
        <w:rPr>
          <w:szCs w:val="24"/>
        </w:rPr>
      </w:pPr>
      <w:r>
        <w:rPr>
          <w:szCs w:val="24"/>
        </w:rPr>
        <w:t>When monopolies are allowed to use their captive customers’ funds to enter otherwise competitive markets, the competitive market is harmed, and th</w:t>
      </w:r>
      <w:r w:rsidR="0001429F">
        <w:rPr>
          <w:szCs w:val="24"/>
        </w:rPr>
        <w:t xml:space="preserve">e captive customers are harmed. </w:t>
      </w:r>
      <w:r>
        <w:rPr>
          <w:szCs w:val="24"/>
        </w:rPr>
        <w:t xml:space="preserve">The competitive market is harmed because non-monopolies now have a competitor whose investment in electric vehicle charging stations is being subsidized. The monopoly can undercut the competition because it is virtually guaranteed a return on its investment through rate of return regulation, whereas market actors </w:t>
      </w:r>
      <w:r w:rsidR="00BC6F20">
        <w:rPr>
          <w:szCs w:val="24"/>
        </w:rPr>
        <w:t xml:space="preserve">have no such guarantee. </w:t>
      </w:r>
      <w:r>
        <w:rPr>
          <w:szCs w:val="24"/>
        </w:rPr>
        <w:t>Ultimately, the monopoly</w:t>
      </w:r>
      <w:r w:rsidR="00BC6F20">
        <w:rPr>
          <w:szCs w:val="24"/>
        </w:rPr>
        <w:t xml:space="preserve"> utilities</w:t>
      </w:r>
      <w:r>
        <w:rPr>
          <w:szCs w:val="24"/>
        </w:rPr>
        <w:t xml:space="preserve"> could drive non-monopoly competitors out of business</w:t>
      </w:r>
      <w:r w:rsidR="00BC6F20">
        <w:rPr>
          <w:szCs w:val="24"/>
        </w:rPr>
        <w:t>. Under that scenario, the monopoly utilities could then exert market power to</w:t>
      </w:r>
      <w:r>
        <w:rPr>
          <w:szCs w:val="24"/>
        </w:rPr>
        <w:t xml:space="preserve"> artificially increase the price for electric vehicle charging. Or even worse, if competitors know that monopoly utilities have entered the market for electric vehicle charging stations, those competitors won’t enter the market in the first place. This means fewer options for customers, less competition, </w:t>
      </w:r>
      <w:r w:rsidR="004F270C">
        <w:rPr>
          <w:szCs w:val="24"/>
        </w:rPr>
        <w:t>reduced</w:t>
      </w:r>
      <w:r w:rsidR="002E3B0A">
        <w:rPr>
          <w:szCs w:val="24"/>
        </w:rPr>
        <w:t xml:space="preserve"> </w:t>
      </w:r>
      <w:r w:rsidR="004F270C">
        <w:rPr>
          <w:szCs w:val="24"/>
        </w:rPr>
        <w:t xml:space="preserve">innovation, </w:t>
      </w:r>
      <w:r>
        <w:rPr>
          <w:szCs w:val="24"/>
        </w:rPr>
        <w:t>and higher prices. No one wins, other than the monopoly utility</w:t>
      </w:r>
      <w:r w:rsidR="00BC6F20">
        <w:rPr>
          <w:szCs w:val="24"/>
        </w:rPr>
        <w:t xml:space="preserve"> </w:t>
      </w:r>
      <w:r w:rsidR="00F5194A">
        <w:rPr>
          <w:szCs w:val="24"/>
        </w:rPr>
        <w:t>that</w:t>
      </w:r>
      <w:r w:rsidR="00BC6F20">
        <w:rPr>
          <w:szCs w:val="24"/>
        </w:rPr>
        <w:t xml:space="preserve"> profits on its investment (with the profit set at the latest PUCO</w:t>
      </w:r>
      <w:r w:rsidR="00274C2D">
        <w:rPr>
          <w:szCs w:val="24"/>
        </w:rPr>
        <w:t>-</w:t>
      </w:r>
      <w:r w:rsidR="00BC6F20">
        <w:rPr>
          <w:szCs w:val="24"/>
        </w:rPr>
        <w:t>authorized rate of return)</w:t>
      </w:r>
      <w:r>
        <w:rPr>
          <w:szCs w:val="24"/>
        </w:rPr>
        <w:t>.</w:t>
      </w:r>
    </w:p>
    <w:p w:rsidR="00BD6840" w:rsidP="0018274B">
      <w:pPr>
        <w:pStyle w:val="BodyTextIndent3"/>
        <w:spacing w:line="480" w:lineRule="auto"/>
        <w:rPr>
          <w:szCs w:val="24"/>
        </w:rPr>
      </w:pPr>
      <w:r>
        <w:rPr>
          <w:szCs w:val="24"/>
        </w:rPr>
        <w:t xml:space="preserve">Allowing monopoly utility ownership of electric vehicle charging stations also unfairly </w:t>
      </w:r>
      <w:r w:rsidR="005758CE">
        <w:rPr>
          <w:szCs w:val="24"/>
        </w:rPr>
        <w:t xml:space="preserve">shifts the risk of economic success to captive customers. In a competitive market, businesses invest and assume the risk and the reward of that investment. If the business is successful, they </w:t>
      </w:r>
      <w:r w:rsidR="00AB4D6F">
        <w:rPr>
          <w:szCs w:val="24"/>
        </w:rPr>
        <w:t xml:space="preserve">profit from </w:t>
      </w:r>
      <w:r w:rsidR="005758CE">
        <w:rPr>
          <w:szCs w:val="24"/>
        </w:rPr>
        <w:t xml:space="preserve">their investment. If </w:t>
      </w:r>
      <w:r w:rsidR="00AB4D6F">
        <w:rPr>
          <w:szCs w:val="24"/>
        </w:rPr>
        <w:t>the business fails, profits are not earned.</w:t>
      </w:r>
      <w:r w:rsidR="005758CE">
        <w:rPr>
          <w:szCs w:val="24"/>
        </w:rPr>
        <w:t xml:space="preserve"> When monopolies </w:t>
      </w:r>
      <w:r w:rsidR="00AB4D6F">
        <w:rPr>
          <w:szCs w:val="24"/>
        </w:rPr>
        <w:t xml:space="preserve">have access to </w:t>
      </w:r>
      <w:r w:rsidR="005758CE">
        <w:rPr>
          <w:szCs w:val="24"/>
        </w:rPr>
        <w:t xml:space="preserve">captive customer funds, the </w:t>
      </w:r>
      <w:r w:rsidR="00AB4D6F">
        <w:rPr>
          <w:szCs w:val="24"/>
        </w:rPr>
        <w:t>risks are largely borne by c</w:t>
      </w:r>
      <w:r w:rsidR="005758CE">
        <w:rPr>
          <w:szCs w:val="24"/>
        </w:rPr>
        <w:t>ustomers</w:t>
      </w:r>
      <w:r w:rsidR="00377442">
        <w:rPr>
          <w:szCs w:val="24"/>
        </w:rPr>
        <w:t>,</w:t>
      </w:r>
      <w:r w:rsidR="005758CE">
        <w:rPr>
          <w:szCs w:val="24"/>
        </w:rPr>
        <w:t xml:space="preserve"> </w:t>
      </w:r>
      <w:r w:rsidR="00AB4D6F">
        <w:rPr>
          <w:szCs w:val="24"/>
        </w:rPr>
        <w:t>who pay the utility for a return on and of the utility investment. In other words, customers take on the risk</w:t>
      </w:r>
      <w:r w:rsidR="00377442">
        <w:rPr>
          <w:szCs w:val="24"/>
        </w:rPr>
        <w:t>,</w:t>
      </w:r>
      <w:r w:rsidR="00AB4D6F">
        <w:rPr>
          <w:szCs w:val="24"/>
        </w:rPr>
        <w:t xml:space="preserve"> </w:t>
      </w:r>
      <w:r w:rsidR="00377442">
        <w:rPr>
          <w:szCs w:val="24"/>
        </w:rPr>
        <w:t>but</w:t>
      </w:r>
      <w:r w:rsidR="00AB4D6F">
        <w:rPr>
          <w:szCs w:val="24"/>
        </w:rPr>
        <w:t xml:space="preserve"> the utility profits. </w:t>
      </w:r>
      <w:r w:rsidR="005758CE">
        <w:rPr>
          <w:szCs w:val="24"/>
        </w:rPr>
        <w:t>It’s a lose-lose situation for captive customers.</w:t>
      </w:r>
    </w:p>
    <w:p w:rsidR="005758CE" w:rsidP="0018274B">
      <w:pPr>
        <w:pStyle w:val="BodyTextIndent3"/>
        <w:spacing w:line="480" w:lineRule="auto"/>
        <w:rPr>
          <w:szCs w:val="24"/>
        </w:rPr>
      </w:pPr>
      <w:r>
        <w:rPr>
          <w:szCs w:val="24"/>
        </w:rPr>
        <w:t xml:space="preserve">Markets </w:t>
      </w:r>
      <w:r w:rsidR="004F270C">
        <w:rPr>
          <w:szCs w:val="24"/>
        </w:rPr>
        <w:t xml:space="preserve">will serve customers well and </w:t>
      </w:r>
      <w:r>
        <w:rPr>
          <w:szCs w:val="24"/>
        </w:rPr>
        <w:t xml:space="preserve">are preferred over monopolies for </w:t>
      </w:r>
      <w:r w:rsidR="00DE646C">
        <w:rPr>
          <w:szCs w:val="24"/>
        </w:rPr>
        <w:t xml:space="preserve">competitive </w:t>
      </w:r>
      <w:r>
        <w:rPr>
          <w:szCs w:val="24"/>
        </w:rPr>
        <w:t>electric vehicle charging stations. Monopoly distribution utilities should not be allowed to own them.</w:t>
      </w:r>
    </w:p>
    <w:p w:rsidR="00B55B2D" w:rsidRPr="00B55B2D" w:rsidP="00B55B2D">
      <w:pPr>
        <w:pStyle w:val="BodyTextIndent3"/>
        <w:keepNext/>
        <w:keepLines/>
        <w:spacing w:after="240" w:line="240" w:lineRule="auto"/>
        <w:ind w:left="2160" w:hanging="720"/>
        <w:rPr>
          <w:b/>
          <w:szCs w:val="24"/>
        </w:rPr>
      </w:pPr>
      <w:r>
        <w:rPr>
          <w:b/>
          <w:szCs w:val="24"/>
        </w:rPr>
        <w:t>2</w:t>
      </w:r>
      <w:r>
        <w:rPr>
          <w:b/>
          <w:szCs w:val="24"/>
        </w:rPr>
        <w:t>.</w:t>
      </w:r>
      <w:r>
        <w:rPr>
          <w:b/>
          <w:szCs w:val="24"/>
        </w:rPr>
        <w:tab/>
        <w:t>The transportation industry, and not utilities, should bear the foremost responsibility for developing the market for electric vehicle charging stations.</w:t>
      </w:r>
    </w:p>
    <w:p w:rsidR="00B55B2D" w:rsidP="0018274B">
      <w:pPr>
        <w:pStyle w:val="BodyTextIndent3"/>
        <w:spacing w:line="480" w:lineRule="auto"/>
        <w:rPr>
          <w:szCs w:val="24"/>
        </w:rPr>
      </w:pPr>
      <w:r>
        <w:rPr>
          <w:szCs w:val="24"/>
        </w:rPr>
        <w:t xml:space="preserve">A common refrain among those advocating for utility ownership of electric vehicle charging stations is the “chicken and egg” argument. The argument goes like this: </w:t>
      </w:r>
      <w:r w:rsidR="00377442">
        <w:rPr>
          <w:szCs w:val="24"/>
        </w:rPr>
        <w:t xml:space="preserve">the </w:t>
      </w:r>
      <w:r>
        <w:rPr>
          <w:szCs w:val="24"/>
        </w:rPr>
        <w:t xml:space="preserve">electric vehicle </w:t>
      </w:r>
      <w:r w:rsidR="00FA5993">
        <w:rPr>
          <w:szCs w:val="24"/>
        </w:rPr>
        <w:t>market</w:t>
      </w:r>
      <w:r>
        <w:rPr>
          <w:szCs w:val="24"/>
        </w:rPr>
        <w:t xml:space="preserve"> won’t take off until there are enough charging stations, but no one will build charging stations until there are enough electric vehicles on the road</w:t>
      </w:r>
      <w:r w:rsidR="00B94A80">
        <w:rPr>
          <w:szCs w:val="24"/>
        </w:rPr>
        <w:t xml:space="preserve"> to use them</w:t>
      </w:r>
      <w:r>
        <w:rPr>
          <w:szCs w:val="24"/>
        </w:rPr>
        <w:t>. So</w:t>
      </w:r>
      <w:r w:rsidR="00403768">
        <w:rPr>
          <w:szCs w:val="24"/>
        </w:rPr>
        <w:t>, according to this argument,</w:t>
      </w:r>
      <w:r>
        <w:rPr>
          <w:szCs w:val="24"/>
        </w:rPr>
        <w:t xml:space="preserve"> we need the government to step in and allow </w:t>
      </w:r>
      <w:r w:rsidR="00FA5993">
        <w:rPr>
          <w:szCs w:val="24"/>
        </w:rPr>
        <w:t>distribution</w:t>
      </w:r>
      <w:r>
        <w:rPr>
          <w:szCs w:val="24"/>
        </w:rPr>
        <w:t xml:space="preserve"> utilities</w:t>
      </w:r>
      <w:r w:rsidR="00FA5993">
        <w:rPr>
          <w:szCs w:val="24"/>
        </w:rPr>
        <w:t xml:space="preserve"> regulated by the PUCO</w:t>
      </w:r>
      <w:r>
        <w:rPr>
          <w:szCs w:val="24"/>
        </w:rPr>
        <w:t xml:space="preserve"> to be the ones developing a network of charging stations that will ultimately drive electric vehicle sales.</w:t>
      </w:r>
    </w:p>
    <w:p w:rsidR="00B55B2D" w:rsidP="0018274B">
      <w:pPr>
        <w:pStyle w:val="BodyTextIndent3"/>
        <w:spacing w:line="480" w:lineRule="auto"/>
        <w:rPr>
          <w:szCs w:val="24"/>
        </w:rPr>
      </w:pPr>
      <w:r>
        <w:rPr>
          <w:szCs w:val="24"/>
        </w:rPr>
        <w:t>Various parties made some form of this argument in their initial comments.</w:t>
      </w:r>
      <w:r w:rsidR="008F284E">
        <w:rPr>
          <w:szCs w:val="24"/>
        </w:rPr>
        <w:t xml:space="preserve"> Duke Energy, for example, commented that </w:t>
      </w:r>
      <w:r w:rsidR="002002F6">
        <w:rPr>
          <w:szCs w:val="24"/>
        </w:rPr>
        <w:t xml:space="preserve">electric utilities must be involved because </w:t>
      </w:r>
      <w:r w:rsidR="008F284E">
        <w:rPr>
          <w:szCs w:val="24"/>
        </w:rPr>
        <w:t xml:space="preserve">“the electric vehicle market will have difficulty developing to its full </w:t>
      </w:r>
      <w:r w:rsidR="002002F6">
        <w:rPr>
          <w:szCs w:val="24"/>
        </w:rPr>
        <w:t>potential until there is a solid foundation of charging infrastructure.”</w:t>
      </w:r>
      <w:r>
        <w:rPr>
          <w:rStyle w:val="FootnoteReference"/>
          <w:szCs w:val="24"/>
        </w:rPr>
        <w:footnoteReference w:id="7"/>
      </w:r>
      <w:r w:rsidR="00403768">
        <w:rPr>
          <w:szCs w:val="24"/>
        </w:rPr>
        <w:t xml:space="preserve"> The environmental parties, citing the PUCO’s PowerForward report, noted that “lack of charging infrastructure is a critical barrier to EV adoption.”</w:t>
      </w:r>
      <w:r>
        <w:rPr>
          <w:rStyle w:val="FootnoteReference"/>
          <w:szCs w:val="24"/>
        </w:rPr>
        <w:footnoteReference w:id="8"/>
      </w:r>
    </w:p>
    <w:p w:rsidR="00AB4D6F" w:rsidP="0018274B">
      <w:pPr>
        <w:pStyle w:val="BodyTextIndent3"/>
        <w:spacing w:line="480" w:lineRule="auto"/>
        <w:rPr>
          <w:szCs w:val="24"/>
        </w:rPr>
      </w:pPr>
      <w:r>
        <w:rPr>
          <w:szCs w:val="24"/>
        </w:rPr>
        <w:t xml:space="preserve">This argument </w:t>
      </w:r>
      <w:r w:rsidR="00B94A80">
        <w:rPr>
          <w:szCs w:val="24"/>
        </w:rPr>
        <w:t>does not withstand</w:t>
      </w:r>
      <w:r>
        <w:rPr>
          <w:szCs w:val="24"/>
        </w:rPr>
        <w:t xml:space="preserve"> scrutiny. I</w:t>
      </w:r>
      <w:r w:rsidR="00403768">
        <w:rPr>
          <w:szCs w:val="24"/>
        </w:rPr>
        <w:t xml:space="preserve">f there </w:t>
      </w:r>
      <w:r>
        <w:rPr>
          <w:szCs w:val="24"/>
        </w:rPr>
        <w:t>is</w:t>
      </w:r>
      <w:r w:rsidR="00403768">
        <w:rPr>
          <w:szCs w:val="24"/>
        </w:rPr>
        <w:t xml:space="preserve"> a chicken and egg problem, customer-funded monopoly utility ownership of charging stations is not t</w:t>
      </w:r>
      <w:r w:rsidR="00CF6CA4">
        <w:rPr>
          <w:szCs w:val="24"/>
        </w:rPr>
        <w:t>he solution. To the contrary, the solution lies in the private market</w:t>
      </w:r>
      <w:r w:rsidR="00B94A80">
        <w:rPr>
          <w:szCs w:val="24"/>
        </w:rPr>
        <w:t xml:space="preserve">, including </w:t>
      </w:r>
      <w:r w:rsidR="00CF6CA4">
        <w:rPr>
          <w:szCs w:val="24"/>
        </w:rPr>
        <w:t xml:space="preserve">automobile manufacturers. </w:t>
      </w:r>
    </w:p>
    <w:p w:rsidR="00403768" w:rsidP="0018274B">
      <w:pPr>
        <w:pStyle w:val="BodyTextIndent3"/>
        <w:spacing w:line="480" w:lineRule="auto"/>
        <w:rPr>
          <w:szCs w:val="24"/>
        </w:rPr>
      </w:pPr>
      <w:r>
        <w:rPr>
          <w:szCs w:val="24"/>
        </w:rPr>
        <w:t>There is little doubt that automobile manufacturers will be one of the primary beneficiaries of the growing market for electric vehicles. It is in their interest to sell more vehicles, so it is also in their interest to see that electric vehicle charging stations are built and placed in locations that will maximize electric vehicle sales. To be sure, some manufacturers are proactive in building out a network of charging stations. As Tesla explained in its comments in this case, it has “made significant investments in charging stations to support the transition to electric transportation” and it “owns and operates an extensive Supercharger network of direct current fast chargers.”</w:t>
      </w:r>
      <w:r>
        <w:rPr>
          <w:rStyle w:val="FootnoteReference"/>
          <w:szCs w:val="24"/>
        </w:rPr>
        <w:footnoteReference w:id="9"/>
      </w:r>
      <w:r>
        <w:rPr>
          <w:szCs w:val="24"/>
        </w:rPr>
        <w:t xml:space="preserve"> </w:t>
      </w:r>
      <w:r w:rsidR="000660EC">
        <w:rPr>
          <w:szCs w:val="24"/>
        </w:rPr>
        <w:t>I</w:t>
      </w:r>
      <w:r>
        <w:rPr>
          <w:szCs w:val="24"/>
        </w:rPr>
        <w:t xml:space="preserve">f there is a perceived or actual dearth of well-placed charging stations, then it is up to the market to fill that gap. </w:t>
      </w:r>
      <w:r w:rsidR="00FA5993">
        <w:rPr>
          <w:szCs w:val="24"/>
        </w:rPr>
        <w:t>Electric vehicle a</w:t>
      </w:r>
      <w:r w:rsidR="00CD1487">
        <w:rPr>
          <w:szCs w:val="24"/>
        </w:rPr>
        <w:t xml:space="preserve">utomobile </w:t>
      </w:r>
      <w:r w:rsidR="00FA5993">
        <w:rPr>
          <w:szCs w:val="24"/>
        </w:rPr>
        <w:t xml:space="preserve">owners </w:t>
      </w:r>
      <w:r w:rsidR="00CD1487">
        <w:rPr>
          <w:szCs w:val="24"/>
        </w:rPr>
        <w:t>and other manufacturers looking to sell more vehicles should be the ones stepping up. M</w:t>
      </w:r>
      <w:r>
        <w:rPr>
          <w:szCs w:val="24"/>
        </w:rPr>
        <w:t>onopoly utility customers should not subsidiz</w:t>
      </w:r>
      <w:r w:rsidR="00CD1487">
        <w:rPr>
          <w:szCs w:val="24"/>
        </w:rPr>
        <w:t>e</w:t>
      </w:r>
      <w:r>
        <w:rPr>
          <w:szCs w:val="24"/>
        </w:rPr>
        <w:t xml:space="preserve"> the development of the transportation industry.</w:t>
      </w:r>
    </w:p>
    <w:p w:rsidR="0033637E" w:rsidP="0033637E">
      <w:pPr>
        <w:pStyle w:val="BodyTextIndent3"/>
        <w:spacing w:line="480" w:lineRule="auto"/>
        <w:rPr>
          <w:szCs w:val="24"/>
        </w:rPr>
      </w:pPr>
      <w:r>
        <w:rPr>
          <w:szCs w:val="24"/>
        </w:rPr>
        <w:t xml:space="preserve">If the utilities want to be in the electric vehicle charging business, they should be required do so through a separate shareholder-funded </w:t>
      </w:r>
      <w:r w:rsidR="00FA5993">
        <w:rPr>
          <w:szCs w:val="24"/>
        </w:rPr>
        <w:t xml:space="preserve">unregulated </w:t>
      </w:r>
      <w:r>
        <w:rPr>
          <w:szCs w:val="24"/>
        </w:rPr>
        <w:t>company that would compete on a level playing field against other providers.</w:t>
      </w:r>
      <w:r w:rsidR="000660EC">
        <w:rPr>
          <w:szCs w:val="24"/>
        </w:rPr>
        <w:t xml:space="preserve"> The separate unregulated entity would not receive monopoly customer funding and would be subject to corporate separation law and rules in Ohio. </w:t>
      </w:r>
    </w:p>
    <w:p w:rsidR="00B55B2D" w:rsidRPr="00B55B2D" w:rsidP="00B55B2D">
      <w:pPr>
        <w:pStyle w:val="BodyTextIndent3"/>
        <w:keepNext/>
        <w:keepLines/>
        <w:spacing w:after="240" w:line="240" w:lineRule="auto"/>
        <w:ind w:left="2160" w:hanging="720"/>
        <w:rPr>
          <w:b/>
          <w:szCs w:val="24"/>
        </w:rPr>
      </w:pPr>
      <w:r>
        <w:rPr>
          <w:b/>
          <w:szCs w:val="24"/>
        </w:rPr>
        <w:t>3</w:t>
      </w:r>
      <w:r>
        <w:rPr>
          <w:b/>
          <w:szCs w:val="24"/>
        </w:rPr>
        <w:t>.</w:t>
      </w:r>
      <w:r>
        <w:rPr>
          <w:b/>
          <w:szCs w:val="24"/>
        </w:rPr>
        <w:tab/>
        <w:t>Utilities have an incentive to build charging stations in suboptimal locations that require distribution upgrades so that the</w:t>
      </w:r>
      <w:r w:rsidR="00CD1487">
        <w:rPr>
          <w:b/>
          <w:szCs w:val="24"/>
        </w:rPr>
        <w:t>y</w:t>
      </w:r>
      <w:r>
        <w:rPr>
          <w:b/>
          <w:szCs w:val="24"/>
        </w:rPr>
        <w:t xml:space="preserve"> can increase </w:t>
      </w:r>
      <w:r w:rsidR="00CD1487">
        <w:rPr>
          <w:b/>
          <w:szCs w:val="24"/>
        </w:rPr>
        <w:t>their</w:t>
      </w:r>
      <w:r>
        <w:rPr>
          <w:b/>
          <w:szCs w:val="24"/>
        </w:rPr>
        <w:t xml:space="preserve"> rate base and</w:t>
      </w:r>
      <w:r w:rsidR="00CD1487">
        <w:rPr>
          <w:b/>
          <w:szCs w:val="24"/>
        </w:rPr>
        <w:t xml:space="preserve"> the amount they charge their customers.</w:t>
      </w:r>
      <w:r w:rsidR="004A3A8C">
        <w:rPr>
          <w:b/>
          <w:szCs w:val="24"/>
        </w:rPr>
        <w:t xml:space="preserve"> This unwelcome result would be a form of utility “gold-plating” that improperly saddles consumers with higher charges related to projects that are not “used and useful” for them under R.C. 4909.15(A)(4).</w:t>
      </w:r>
    </w:p>
    <w:p w:rsidR="00B55B2D" w:rsidP="0018274B">
      <w:pPr>
        <w:pStyle w:val="BodyTextIndent3"/>
        <w:spacing w:line="480" w:lineRule="auto"/>
        <w:rPr>
          <w:szCs w:val="24"/>
        </w:rPr>
      </w:pPr>
      <w:r>
        <w:rPr>
          <w:szCs w:val="24"/>
        </w:rPr>
        <w:t>In its initial comments, AEP Ohio states that utilities are “uniquely positioned to choose appropriate charging locations.”</w:t>
      </w:r>
      <w:r>
        <w:rPr>
          <w:rStyle w:val="FootnoteReference"/>
          <w:szCs w:val="24"/>
        </w:rPr>
        <w:footnoteReference w:id="10"/>
      </w:r>
      <w:r>
        <w:rPr>
          <w:szCs w:val="24"/>
        </w:rPr>
        <w:t xml:space="preserve"> It may be true that utilities are uniquely positioned to choose charging locations that best serve the </w:t>
      </w:r>
      <w:r>
        <w:rPr>
          <w:i/>
          <w:szCs w:val="24"/>
        </w:rPr>
        <w:t>utility’s</w:t>
      </w:r>
      <w:r>
        <w:rPr>
          <w:szCs w:val="24"/>
        </w:rPr>
        <w:t xml:space="preserve"> interests, but they are not best positioned to choose charging locations that best serve the public interest.</w:t>
      </w:r>
    </w:p>
    <w:p w:rsidR="00B55B2D" w:rsidP="0018274B">
      <w:pPr>
        <w:pStyle w:val="BodyTextIndent3"/>
        <w:spacing w:line="480" w:lineRule="auto"/>
        <w:rPr>
          <w:szCs w:val="24"/>
        </w:rPr>
      </w:pPr>
      <w:r>
        <w:rPr>
          <w:szCs w:val="24"/>
        </w:rPr>
        <w:t>As AEP itself notes, an electric vehicle charging station might “require significant distribution system planning and upgrades depending on the location and the availability of delivery facilities that are already at that location.”</w:t>
      </w:r>
      <w:r>
        <w:rPr>
          <w:rStyle w:val="FootnoteReference"/>
          <w:szCs w:val="24"/>
        </w:rPr>
        <w:footnoteReference w:id="11"/>
      </w:r>
      <w:r>
        <w:rPr>
          <w:szCs w:val="24"/>
        </w:rPr>
        <w:t xml:space="preserve"> This shows precisely why utilities should </w:t>
      </w:r>
      <w:r>
        <w:rPr>
          <w:i/>
          <w:szCs w:val="24"/>
        </w:rPr>
        <w:t>not</w:t>
      </w:r>
      <w:r>
        <w:rPr>
          <w:szCs w:val="24"/>
        </w:rPr>
        <w:t xml:space="preserve"> be in charge of deciding on the location of charging stations. Utilities have an incentive to place charging stations in locations that require </w:t>
      </w:r>
      <w:r w:rsidR="000660EC">
        <w:rPr>
          <w:szCs w:val="24"/>
        </w:rPr>
        <w:t xml:space="preserve">the most </w:t>
      </w:r>
      <w:r>
        <w:rPr>
          <w:szCs w:val="24"/>
        </w:rPr>
        <w:t>distribution system upgrades.</w:t>
      </w:r>
      <w:r w:rsidR="00550E36">
        <w:rPr>
          <w:szCs w:val="24"/>
        </w:rPr>
        <w:t xml:space="preserve"> That is a form of </w:t>
      </w:r>
      <w:r w:rsidR="009B2FE3">
        <w:rPr>
          <w:szCs w:val="24"/>
        </w:rPr>
        <w:t xml:space="preserve">utility gold-plating, which costs Ohioans money for projects that are not </w:t>
      </w:r>
      <w:r w:rsidR="00111AA2">
        <w:rPr>
          <w:szCs w:val="24"/>
        </w:rPr>
        <w:t>“</w:t>
      </w:r>
      <w:r w:rsidR="009B2FE3">
        <w:rPr>
          <w:szCs w:val="24"/>
        </w:rPr>
        <w:t>used and useful</w:t>
      </w:r>
      <w:r w:rsidR="00111AA2">
        <w:rPr>
          <w:szCs w:val="24"/>
        </w:rPr>
        <w:t>”</w:t>
      </w:r>
      <w:r w:rsidR="009B2FE3">
        <w:rPr>
          <w:szCs w:val="24"/>
        </w:rPr>
        <w:t xml:space="preserve"> to them</w:t>
      </w:r>
      <w:r w:rsidR="00111AA2">
        <w:rPr>
          <w:szCs w:val="24"/>
        </w:rPr>
        <w:t xml:space="preserve"> under R.C. 4909.15(A)(4)</w:t>
      </w:r>
      <w:r w:rsidR="009B2FE3">
        <w:rPr>
          <w:szCs w:val="24"/>
        </w:rPr>
        <w:t>.</w:t>
      </w:r>
      <w:r>
        <w:rPr>
          <w:szCs w:val="24"/>
        </w:rPr>
        <w:t xml:space="preserve"> After all, </w:t>
      </w:r>
      <w:r w:rsidR="000035B2">
        <w:rPr>
          <w:szCs w:val="24"/>
        </w:rPr>
        <w:t>when</w:t>
      </w:r>
      <w:r>
        <w:rPr>
          <w:szCs w:val="24"/>
        </w:rPr>
        <w:t xml:space="preserve"> the utility upgrade</w:t>
      </w:r>
      <w:r w:rsidR="000035B2">
        <w:rPr>
          <w:szCs w:val="24"/>
        </w:rPr>
        <w:t>s</w:t>
      </w:r>
      <w:r>
        <w:rPr>
          <w:szCs w:val="24"/>
        </w:rPr>
        <w:t xml:space="preserve"> its distribution system to accommodate a charging station</w:t>
      </w:r>
      <w:r w:rsidR="000035B2">
        <w:rPr>
          <w:szCs w:val="24"/>
        </w:rPr>
        <w:t xml:space="preserve"> (even if not warranted by the competitive market)</w:t>
      </w:r>
      <w:r>
        <w:rPr>
          <w:szCs w:val="24"/>
        </w:rPr>
        <w:t xml:space="preserve">, the utility </w:t>
      </w:r>
      <w:r w:rsidR="00EC4ADD">
        <w:rPr>
          <w:szCs w:val="24"/>
        </w:rPr>
        <w:t>is making</w:t>
      </w:r>
      <w:r>
        <w:rPr>
          <w:szCs w:val="24"/>
        </w:rPr>
        <w:t xml:space="preserve"> a ca</w:t>
      </w:r>
      <w:r w:rsidR="00EC4ADD">
        <w:rPr>
          <w:szCs w:val="24"/>
        </w:rPr>
        <w:t>pital investment and then charging</w:t>
      </w:r>
      <w:r>
        <w:rPr>
          <w:szCs w:val="24"/>
        </w:rPr>
        <w:t xml:space="preserve"> customers for a return on and of that investment.</w:t>
      </w:r>
      <w:r w:rsidR="00F97928">
        <w:rPr>
          <w:szCs w:val="24"/>
        </w:rPr>
        <w:t xml:space="preserve"> In contrast, it is in customers’ interests to build charging stations in locations that would not require substantial distribution upgrades (for example, locations where there is already excess local capacity).</w:t>
      </w:r>
    </w:p>
    <w:p w:rsidR="00E21A41" w:rsidP="00E21A41">
      <w:pPr>
        <w:pStyle w:val="BodyTextIndent3"/>
        <w:spacing w:line="240" w:lineRule="auto"/>
        <w:rPr>
          <w:szCs w:val="24"/>
        </w:rPr>
      </w:pPr>
    </w:p>
    <w:p w:rsidR="00B81FFD" w:rsidRPr="002504EB" w:rsidP="0018274B">
      <w:pPr>
        <w:pStyle w:val="Heading1"/>
      </w:pPr>
      <w:bookmarkStart w:id="3" w:name="_Toc35873432"/>
      <w:r w:rsidRPr="002504EB">
        <w:t>II.</w:t>
      </w:r>
      <w:r w:rsidRPr="002504EB">
        <w:tab/>
        <w:t>CONCLUSION</w:t>
      </w:r>
      <w:bookmarkEnd w:id="3"/>
    </w:p>
    <w:p w:rsidR="00B81FFD" w:rsidRPr="002504EB" w:rsidP="0018274B">
      <w:pPr>
        <w:pStyle w:val="BodyTextIndent3"/>
        <w:spacing w:line="480" w:lineRule="auto"/>
        <w:rPr>
          <w:szCs w:val="24"/>
        </w:rPr>
      </w:pPr>
      <w:r>
        <w:rPr>
          <w:szCs w:val="24"/>
        </w:rPr>
        <w:t>Competitive markets will best serve customers for electric vehicle charging stations. Competitive businesses should be allowed to use their own money</w:t>
      </w:r>
      <w:r w:rsidR="000941FD">
        <w:rPr>
          <w:szCs w:val="24"/>
        </w:rPr>
        <w:t xml:space="preserve"> (not consumers’ money)</w:t>
      </w:r>
      <w:r>
        <w:rPr>
          <w:szCs w:val="24"/>
        </w:rPr>
        <w:t xml:space="preserve"> to </w:t>
      </w:r>
      <w:r w:rsidR="000941FD">
        <w:rPr>
          <w:szCs w:val="24"/>
        </w:rPr>
        <w:t xml:space="preserve">invest in </w:t>
      </w:r>
      <w:r>
        <w:rPr>
          <w:szCs w:val="24"/>
        </w:rPr>
        <w:t>the market for electric vehicle charging stations without PUCO regulation</w:t>
      </w:r>
      <w:r w:rsidR="000941FD">
        <w:rPr>
          <w:szCs w:val="24"/>
        </w:rPr>
        <w:t xml:space="preserve"> (other than very light touch oversight to protect against any abuse of consumers)</w:t>
      </w:r>
      <w:r>
        <w:rPr>
          <w:szCs w:val="24"/>
        </w:rPr>
        <w:t xml:space="preserve">. </w:t>
      </w:r>
      <w:r w:rsidR="00DE646C">
        <w:rPr>
          <w:szCs w:val="24"/>
        </w:rPr>
        <w:t>Electric vehicle charging is not a utility service under Ohio law.</w:t>
      </w:r>
      <w:r w:rsidR="00DE646C">
        <w:rPr>
          <w:rStyle w:val="CommentReference"/>
          <w:szCs w:val="24"/>
        </w:rPr>
        <w:t xml:space="preserve"> </w:t>
      </w:r>
    </w:p>
    <w:p w:rsidR="00B94A80" w:rsidP="00370440">
      <w:pPr>
        <w:pStyle w:val="BodyTextIndent3"/>
        <w:spacing w:line="240" w:lineRule="auto"/>
        <w:ind w:left="3600" w:firstLine="0"/>
        <w:rPr>
          <w:szCs w:val="24"/>
        </w:rPr>
      </w:pPr>
    </w:p>
    <w:p w:rsidR="00DE646C">
      <w:pPr>
        <w:rPr>
          <w:szCs w:val="24"/>
        </w:rPr>
      </w:pPr>
      <w:r>
        <w:rPr>
          <w:szCs w:val="24"/>
        </w:rPr>
        <w:br w:type="page"/>
      </w:r>
    </w:p>
    <w:p w:rsidR="00F66530" w:rsidRPr="002504EB" w:rsidP="00370440">
      <w:pPr>
        <w:pStyle w:val="BodyTextIndent3"/>
        <w:spacing w:line="240" w:lineRule="auto"/>
        <w:ind w:left="3600" w:firstLine="0"/>
        <w:rPr>
          <w:szCs w:val="24"/>
        </w:rPr>
      </w:pPr>
      <w:r w:rsidRPr="002504EB">
        <w:rPr>
          <w:szCs w:val="24"/>
        </w:rPr>
        <w:t>Respectfully submitted,</w:t>
      </w:r>
    </w:p>
    <w:p w:rsidR="00370440" w:rsidRPr="002504EB" w:rsidP="00370440">
      <w:pPr>
        <w:pStyle w:val="BodyTextIndent3"/>
        <w:spacing w:line="240" w:lineRule="auto"/>
        <w:ind w:left="3600" w:firstLine="0"/>
        <w:rPr>
          <w:szCs w:val="24"/>
        </w:rPr>
      </w:pPr>
    </w:p>
    <w:p w:rsidR="00F66530" w:rsidRPr="002504EB" w:rsidP="00370440">
      <w:pPr>
        <w:pStyle w:val="Footer"/>
        <w:tabs>
          <w:tab w:val="clear" w:pos="4320"/>
          <w:tab w:val="clear" w:pos="8640"/>
        </w:tabs>
        <w:ind w:left="3600"/>
        <w:rPr>
          <w:sz w:val="24"/>
          <w:szCs w:val="24"/>
        </w:rPr>
      </w:pPr>
      <w:r w:rsidRPr="002504EB">
        <w:rPr>
          <w:sz w:val="24"/>
          <w:szCs w:val="24"/>
        </w:rPr>
        <w:t>Bruce Weston (0016973)</w:t>
      </w:r>
    </w:p>
    <w:p w:rsidR="00F66530" w:rsidRPr="002504EB" w:rsidP="00370440">
      <w:pPr>
        <w:ind w:left="3600"/>
        <w:rPr>
          <w:szCs w:val="24"/>
        </w:rPr>
      </w:pPr>
      <w:r w:rsidRPr="002504EB">
        <w:rPr>
          <w:szCs w:val="24"/>
        </w:rPr>
        <w:t>Ohio Consumers’ Counsel</w:t>
      </w:r>
    </w:p>
    <w:p w:rsidR="00F66530" w:rsidRPr="002504EB" w:rsidP="00370440">
      <w:pPr>
        <w:ind w:left="3600"/>
        <w:rPr>
          <w:szCs w:val="24"/>
        </w:rPr>
      </w:pPr>
    </w:p>
    <w:p w:rsidR="00F66530" w:rsidRPr="002504EB" w:rsidP="00370440">
      <w:pPr>
        <w:tabs>
          <w:tab w:val="left" w:pos="4320"/>
        </w:tabs>
        <w:ind w:left="3600"/>
        <w:rPr>
          <w:i/>
          <w:iCs/>
          <w:szCs w:val="24"/>
          <w:u w:val="single"/>
        </w:rPr>
      </w:pPr>
      <w:r w:rsidRPr="002504EB">
        <w:rPr>
          <w:i/>
          <w:iCs/>
          <w:szCs w:val="24"/>
          <w:u w:val="single"/>
        </w:rPr>
        <w:t>/s/ Christopher Healey</w:t>
      </w:r>
      <w:r w:rsidRPr="002504EB">
        <w:rPr>
          <w:i/>
          <w:iCs/>
          <w:szCs w:val="24"/>
          <w:u w:val="single"/>
        </w:rPr>
        <w:tab/>
      </w:r>
      <w:r w:rsidRPr="002504EB">
        <w:rPr>
          <w:i/>
          <w:iCs/>
          <w:szCs w:val="24"/>
          <w:u w:val="single"/>
        </w:rPr>
        <w:tab/>
      </w:r>
      <w:r w:rsidRPr="002504EB">
        <w:rPr>
          <w:i/>
          <w:iCs/>
          <w:szCs w:val="24"/>
          <w:u w:val="single"/>
        </w:rPr>
        <w:tab/>
      </w:r>
    </w:p>
    <w:p w:rsidR="00F66530" w:rsidRPr="002504EB" w:rsidP="00370440">
      <w:pPr>
        <w:tabs>
          <w:tab w:val="left" w:pos="4320"/>
        </w:tabs>
        <w:ind w:left="3600"/>
        <w:rPr>
          <w:szCs w:val="24"/>
        </w:rPr>
      </w:pPr>
      <w:r w:rsidRPr="002504EB">
        <w:rPr>
          <w:szCs w:val="24"/>
        </w:rPr>
        <w:t>Christopher Healey (0086027)</w:t>
      </w:r>
    </w:p>
    <w:p w:rsidR="00F66530" w:rsidRPr="002504EB" w:rsidP="00370440">
      <w:pPr>
        <w:tabs>
          <w:tab w:val="left" w:pos="4320"/>
        </w:tabs>
        <w:ind w:left="3600"/>
        <w:rPr>
          <w:szCs w:val="24"/>
        </w:rPr>
      </w:pPr>
      <w:r w:rsidRPr="002504EB">
        <w:rPr>
          <w:szCs w:val="24"/>
        </w:rPr>
        <w:t>Counsel of Record</w:t>
      </w:r>
    </w:p>
    <w:p w:rsidR="00F66530" w:rsidRPr="002504EB" w:rsidP="00370440">
      <w:pPr>
        <w:tabs>
          <w:tab w:val="left" w:pos="4320"/>
        </w:tabs>
        <w:ind w:left="3600"/>
        <w:rPr>
          <w:szCs w:val="24"/>
        </w:rPr>
      </w:pPr>
      <w:r w:rsidRPr="002504EB">
        <w:rPr>
          <w:szCs w:val="24"/>
        </w:rPr>
        <w:t>Amy Botschner O’Brien (0074423)</w:t>
      </w:r>
    </w:p>
    <w:p w:rsidR="00F66530" w:rsidRPr="002504EB" w:rsidP="00370440">
      <w:pPr>
        <w:tabs>
          <w:tab w:val="left" w:pos="4320"/>
        </w:tabs>
        <w:ind w:left="3600"/>
        <w:rPr>
          <w:szCs w:val="24"/>
        </w:rPr>
      </w:pPr>
      <w:r w:rsidRPr="002504EB">
        <w:rPr>
          <w:szCs w:val="24"/>
        </w:rPr>
        <w:t>Assistant Consumers’ Counsel</w:t>
      </w:r>
    </w:p>
    <w:p w:rsidR="00370440" w:rsidRPr="002504EB" w:rsidP="00370440">
      <w:pPr>
        <w:ind w:left="3600"/>
        <w:rPr>
          <w:szCs w:val="24"/>
        </w:rPr>
      </w:pPr>
    </w:p>
    <w:p w:rsidR="00F66530" w:rsidRPr="002504EB" w:rsidP="00370440">
      <w:pPr>
        <w:ind w:left="3600"/>
        <w:rPr>
          <w:b/>
          <w:bCs/>
          <w:szCs w:val="24"/>
        </w:rPr>
      </w:pPr>
      <w:r w:rsidRPr="002504EB">
        <w:rPr>
          <w:b/>
          <w:bCs/>
          <w:szCs w:val="24"/>
        </w:rPr>
        <w:t>Office of the Ohio Consumers’ Counsel</w:t>
      </w:r>
    </w:p>
    <w:p w:rsidR="00F66530" w:rsidRPr="002504EB" w:rsidP="00370440">
      <w:pPr>
        <w:ind w:left="3600"/>
        <w:rPr>
          <w:b/>
          <w:szCs w:val="24"/>
        </w:rPr>
      </w:pPr>
      <w:r w:rsidRPr="002504EB">
        <w:rPr>
          <w:szCs w:val="24"/>
        </w:rPr>
        <w:t>65 East State Street, 7th Floor</w:t>
      </w:r>
    </w:p>
    <w:p w:rsidR="00F66530" w:rsidRPr="002504EB" w:rsidP="00370440">
      <w:pPr>
        <w:ind w:left="3600"/>
        <w:rPr>
          <w:b/>
          <w:szCs w:val="24"/>
        </w:rPr>
      </w:pPr>
      <w:r w:rsidRPr="002504EB">
        <w:rPr>
          <w:szCs w:val="24"/>
        </w:rPr>
        <w:t>Columbus, Ohio 43215</w:t>
      </w:r>
    </w:p>
    <w:p w:rsidR="00F66530" w:rsidRPr="002504EB" w:rsidP="00370440">
      <w:pPr>
        <w:ind w:left="3600"/>
        <w:rPr>
          <w:szCs w:val="24"/>
        </w:rPr>
      </w:pPr>
      <w:r w:rsidRPr="002504EB">
        <w:rPr>
          <w:szCs w:val="24"/>
        </w:rPr>
        <w:t>Telephone [Healey]: (614) 466-9571</w:t>
      </w:r>
    </w:p>
    <w:p w:rsidR="00F66530" w:rsidRPr="002504EB" w:rsidP="00370440">
      <w:pPr>
        <w:ind w:left="3600"/>
        <w:rPr>
          <w:szCs w:val="24"/>
        </w:rPr>
      </w:pPr>
      <w:r w:rsidRPr="002504EB">
        <w:rPr>
          <w:szCs w:val="24"/>
        </w:rPr>
        <w:t>Telephone [Botschner O’Brien]: (614) 466-9575</w:t>
      </w:r>
    </w:p>
    <w:p w:rsidR="00F66530" w:rsidRPr="002504EB" w:rsidP="00370440">
      <w:pPr>
        <w:ind w:left="3600"/>
        <w:rPr>
          <w:szCs w:val="24"/>
        </w:rPr>
      </w:pPr>
      <w:hyperlink r:id="rId8" w:history="1">
        <w:r w:rsidRPr="002504EB" w:rsidR="00C75C3F">
          <w:rPr>
            <w:rStyle w:val="Hyperlink"/>
            <w:szCs w:val="24"/>
          </w:rPr>
          <w:t>christopher.healey@occ.ohio.gov</w:t>
        </w:r>
      </w:hyperlink>
      <w:r w:rsidRPr="002504EB" w:rsidR="00C75C3F">
        <w:rPr>
          <w:szCs w:val="24"/>
        </w:rPr>
        <w:t xml:space="preserve"> </w:t>
      </w:r>
    </w:p>
    <w:p w:rsidR="00F66530" w:rsidRPr="002504EB" w:rsidP="00370440">
      <w:pPr>
        <w:ind w:left="3600"/>
        <w:rPr>
          <w:szCs w:val="24"/>
        </w:rPr>
      </w:pPr>
      <w:hyperlink r:id="rId9" w:history="1">
        <w:r w:rsidRPr="002504EB" w:rsidR="00C75C3F">
          <w:rPr>
            <w:rStyle w:val="Hyperlink"/>
            <w:szCs w:val="24"/>
          </w:rPr>
          <w:t>amy.botschner.obrien@occ.ohio.gov</w:t>
        </w:r>
      </w:hyperlink>
      <w:r w:rsidRPr="002504EB" w:rsidR="00C75C3F">
        <w:rPr>
          <w:szCs w:val="24"/>
        </w:rPr>
        <w:t xml:space="preserve"> </w:t>
      </w:r>
    </w:p>
    <w:p w:rsidR="00CA3F81" w:rsidRPr="002504EB" w:rsidP="00370440">
      <w:pPr>
        <w:ind w:left="3600"/>
        <w:rPr>
          <w:szCs w:val="24"/>
        </w:rPr>
      </w:pPr>
      <w:r w:rsidRPr="002504EB">
        <w:rPr>
          <w:szCs w:val="24"/>
        </w:rPr>
        <w:t>(willing to accept service by e-mail)</w:t>
      </w:r>
    </w:p>
    <w:p w:rsidR="00A044B5" w:rsidRPr="002504EB" w:rsidP="0018274B">
      <w:pPr>
        <w:ind w:left="3600"/>
        <w:rPr>
          <w:szCs w:val="24"/>
        </w:rPr>
      </w:pPr>
      <w:r w:rsidRPr="002504EB">
        <w:rPr>
          <w:szCs w:val="24"/>
        </w:rPr>
        <w:tab/>
      </w:r>
      <w:r w:rsidRPr="002504EB">
        <w:rPr>
          <w:szCs w:val="24"/>
        </w:rPr>
        <w:tab/>
      </w:r>
      <w:r w:rsidRPr="002504EB">
        <w:rPr>
          <w:szCs w:val="24"/>
        </w:rPr>
        <w:tab/>
      </w:r>
      <w:r w:rsidRPr="002504EB">
        <w:rPr>
          <w:szCs w:val="24"/>
        </w:rPr>
        <w:tab/>
      </w:r>
      <w:r w:rsidRPr="002504EB">
        <w:rPr>
          <w:szCs w:val="24"/>
        </w:rPr>
        <w:tab/>
      </w:r>
      <w:r w:rsidRPr="002504EB">
        <w:rPr>
          <w:szCs w:val="24"/>
        </w:rPr>
        <w:tab/>
      </w:r>
    </w:p>
    <w:p w:rsidR="00A044B5" w:rsidRPr="002504EB" w:rsidP="0018274B">
      <w:pPr>
        <w:rPr>
          <w:szCs w:val="24"/>
        </w:rPr>
      </w:pPr>
    </w:p>
    <w:p w:rsidR="00A044B5" w:rsidRPr="002504EB" w:rsidP="0018274B">
      <w:pPr>
        <w:rPr>
          <w:szCs w:val="24"/>
        </w:rPr>
      </w:pPr>
    </w:p>
    <w:p w:rsidR="00A044B5" w:rsidRPr="002504EB" w:rsidP="0018274B">
      <w:pPr>
        <w:rPr>
          <w:szCs w:val="24"/>
        </w:rPr>
      </w:pPr>
    </w:p>
    <w:p w:rsidR="00A044B5" w:rsidRPr="002504EB" w:rsidP="0018274B">
      <w:pPr>
        <w:ind w:left="4320" w:firstLine="720"/>
        <w:jc w:val="both"/>
        <w:rPr>
          <w:szCs w:val="24"/>
        </w:rPr>
      </w:pPr>
    </w:p>
    <w:p w:rsidR="00E564A7" w:rsidRPr="002504EB" w:rsidP="0018274B">
      <w:pPr>
        <w:rPr>
          <w:b/>
          <w:bCs/>
          <w:szCs w:val="24"/>
          <w:u w:val="single"/>
        </w:rPr>
      </w:pPr>
      <w:r w:rsidRPr="002504EB">
        <w:rPr>
          <w:b/>
          <w:bCs/>
          <w:szCs w:val="24"/>
          <w:u w:val="single"/>
        </w:rPr>
        <w:br w:type="page"/>
      </w:r>
    </w:p>
    <w:p w:rsidR="00A044B5" w:rsidRPr="002504EB" w:rsidP="0018274B">
      <w:pPr>
        <w:jc w:val="center"/>
        <w:rPr>
          <w:b/>
          <w:bCs/>
          <w:szCs w:val="24"/>
          <w:u w:val="single"/>
        </w:rPr>
      </w:pPr>
      <w:r w:rsidRPr="002504EB">
        <w:rPr>
          <w:b/>
          <w:bCs/>
          <w:szCs w:val="24"/>
          <w:u w:val="single"/>
        </w:rPr>
        <w:t>CERTIFICATE OF SERVICE</w:t>
      </w:r>
    </w:p>
    <w:p w:rsidR="00A044B5" w:rsidRPr="002504EB" w:rsidP="0018274B">
      <w:pPr>
        <w:spacing w:line="480" w:lineRule="atLeast"/>
        <w:rPr>
          <w:szCs w:val="24"/>
        </w:rPr>
      </w:pPr>
      <w:r w:rsidRPr="002504EB">
        <w:rPr>
          <w:szCs w:val="24"/>
        </w:rPr>
        <w:tab/>
        <w:t>I hereby certify that a copy of th</w:t>
      </w:r>
      <w:r w:rsidRPr="002504EB" w:rsidR="00E564A7">
        <w:rPr>
          <w:szCs w:val="24"/>
        </w:rPr>
        <w:t xml:space="preserve">ese </w:t>
      </w:r>
      <w:r w:rsidR="00B94A80">
        <w:rPr>
          <w:szCs w:val="24"/>
        </w:rPr>
        <w:t xml:space="preserve">Reply </w:t>
      </w:r>
      <w:r w:rsidRPr="002504EB" w:rsidR="00E564A7">
        <w:rPr>
          <w:szCs w:val="24"/>
        </w:rPr>
        <w:t xml:space="preserve">Comments </w:t>
      </w:r>
      <w:r w:rsidRPr="002504EB">
        <w:rPr>
          <w:szCs w:val="24"/>
        </w:rPr>
        <w:t xml:space="preserve">was served on the persons stated below </w:t>
      </w:r>
      <w:r w:rsidRPr="002504EB">
        <w:rPr>
          <w:iCs/>
          <w:szCs w:val="24"/>
        </w:rPr>
        <w:t>via</w:t>
      </w:r>
      <w:r w:rsidRPr="002504EB" w:rsidR="002A4912">
        <w:rPr>
          <w:szCs w:val="24"/>
        </w:rPr>
        <w:t xml:space="preserve"> electronic transmission</w:t>
      </w:r>
      <w:r w:rsidRPr="002504EB">
        <w:rPr>
          <w:szCs w:val="24"/>
        </w:rPr>
        <w:t xml:space="preserve">, this </w:t>
      </w:r>
      <w:r w:rsidR="00B94A80">
        <w:rPr>
          <w:szCs w:val="24"/>
        </w:rPr>
        <w:t xml:space="preserve">7th </w:t>
      </w:r>
      <w:r w:rsidRPr="002504EB">
        <w:rPr>
          <w:szCs w:val="24"/>
        </w:rPr>
        <w:t xml:space="preserve">day of </w:t>
      </w:r>
      <w:r w:rsidR="00B94A80">
        <w:rPr>
          <w:szCs w:val="24"/>
        </w:rPr>
        <w:t>April</w:t>
      </w:r>
      <w:r w:rsidRPr="002504EB">
        <w:rPr>
          <w:szCs w:val="24"/>
        </w:rPr>
        <w:t xml:space="preserve"> 20</w:t>
      </w:r>
      <w:r w:rsidRPr="002504EB" w:rsidR="00B63D4B">
        <w:rPr>
          <w:szCs w:val="24"/>
        </w:rPr>
        <w:t>20</w:t>
      </w:r>
      <w:r w:rsidRPr="002504EB">
        <w:rPr>
          <w:szCs w:val="24"/>
        </w:rPr>
        <w:t>.</w:t>
      </w:r>
    </w:p>
    <w:p w:rsidR="00A044B5" w:rsidRPr="002504EB" w:rsidP="0018274B">
      <w:pPr>
        <w:spacing w:line="480" w:lineRule="atLeast"/>
        <w:rPr>
          <w:szCs w:val="24"/>
        </w:rPr>
      </w:pPr>
    </w:p>
    <w:p w:rsidR="00A044B5" w:rsidRPr="002504EB" w:rsidP="0018274B">
      <w:pPr>
        <w:tabs>
          <w:tab w:val="left" w:pos="4320"/>
        </w:tabs>
        <w:rPr>
          <w:i/>
          <w:iCs/>
          <w:szCs w:val="24"/>
          <w:u w:val="single"/>
        </w:rPr>
      </w:pPr>
      <w:r w:rsidRPr="002504EB">
        <w:rPr>
          <w:szCs w:val="24"/>
        </w:rPr>
        <w:tab/>
      </w:r>
      <w:r w:rsidRPr="002504EB" w:rsidR="00B63D4B">
        <w:rPr>
          <w:i/>
          <w:iCs/>
          <w:szCs w:val="24"/>
          <w:u w:val="single"/>
        </w:rPr>
        <w:t>/s/ Christopher Healey</w:t>
      </w:r>
      <w:r w:rsidRPr="002504EB" w:rsidR="00B63D4B">
        <w:rPr>
          <w:i/>
          <w:iCs/>
          <w:szCs w:val="24"/>
          <w:u w:val="single"/>
        </w:rPr>
        <w:tab/>
      </w:r>
      <w:r w:rsidRPr="002504EB" w:rsidR="00B63D4B">
        <w:rPr>
          <w:i/>
          <w:iCs/>
          <w:szCs w:val="24"/>
          <w:u w:val="single"/>
        </w:rPr>
        <w:tab/>
      </w:r>
    </w:p>
    <w:p w:rsidR="00A044B5" w:rsidRPr="002504EB" w:rsidP="0018274B">
      <w:pPr>
        <w:tabs>
          <w:tab w:val="left" w:pos="4320"/>
        </w:tabs>
        <w:rPr>
          <w:szCs w:val="24"/>
        </w:rPr>
      </w:pPr>
      <w:r w:rsidRPr="002504EB">
        <w:rPr>
          <w:szCs w:val="24"/>
        </w:rPr>
        <w:tab/>
      </w:r>
      <w:r w:rsidRPr="002504EB" w:rsidR="00B63D4B">
        <w:rPr>
          <w:szCs w:val="24"/>
        </w:rPr>
        <w:t>Christopher Healey</w:t>
      </w:r>
    </w:p>
    <w:p w:rsidR="00A044B5" w:rsidP="0018274B">
      <w:pPr>
        <w:tabs>
          <w:tab w:val="left" w:pos="4320"/>
        </w:tabs>
        <w:rPr>
          <w:szCs w:val="24"/>
        </w:rPr>
      </w:pPr>
      <w:r w:rsidRPr="002504EB">
        <w:rPr>
          <w:szCs w:val="24"/>
        </w:rPr>
        <w:tab/>
        <w:t>Assistant Consumers’ Counsel</w:t>
      </w:r>
    </w:p>
    <w:p w:rsidR="00042BAB" w:rsidP="0018274B">
      <w:pPr>
        <w:tabs>
          <w:tab w:val="left" w:pos="4320"/>
        </w:tabs>
        <w:rPr>
          <w:szCs w:val="24"/>
        </w:rPr>
      </w:pPr>
    </w:p>
    <w:p w:rsidR="00042BAB" w:rsidRPr="00DC09DE" w:rsidP="00042BAB">
      <w:pPr>
        <w:pStyle w:val="CommentText"/>
      </w:pPr>
      <w:r w:rsidRPr="00DC09DE">
        <w:t>The PUCO’s e-filing system will electronically serve notice of the filing of this document on the following parties:</w:t>
      </w:r>
    </w:p>
    <w:p w:rsidR="00042BAB" w:rsidRPr="002504EB" w:rsidP="0018274B">
      <w:pPr>
        <w:tabs>
          <w:tab w:val="left" w:pos="4320"/>
        </w:tabs>
        <w:rPr>
          <w:szCs w:val="24"/>
        </w:rPr>
      </w:pPr>
    </w:p>
    <w:p w:rsidR="00A044B5" w:rsidRPr="002504EB" w:rsidP="0018274B">
      <w:pPr>
        <w:pStyle w:val="CommentSubject"/>
        <w:rPr>
          <w:szCs w:val="24"/>
        </w:rPr>
      </w:pPr>
    </w:p>
    <w:p w:rsidR="00A044B5" w:rsidRPr="002504EB" w:rsidP="0018274B">
      <w:pPr>
        <w:pStyle w:val="CommentText"/>
      </w:pPr>
    </w:p>
    <w:p w:rsidR="00A044B5" w:rsidRPr="002504EB" w:rsidP="0018274B">
      <w:pPr>
        <w:pStyle w:val="CommentText"/>
        <w:jc w:val="center"/>
        <w:rPr>
          <w:b/>
          <w:u w:val="single"/>
        </w:rPr>
      </w:pPr>
      <w:r w:rsidRPr="002504EB">
        <w:rPr>
          <w:b/>
          <w:u w:val="single"/>
        </w:rPr>
        <w:t>SERVICE LIST</w:t>
      </w:r>
    </w:p>
    <w:p w:rsidR="00370440" w:rsidRPr="002504EB" w:rsidP="0018274B">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Tr="0037044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370440" w:rsidRPr="002504EB" w:rsidP="00370440">
            <w:pPr>
              <w:pStyle w:val="CommentText"/>
              <w:rPr>
                <w:rStyle w:val="Hyperlink"/>
                <w:bCs/>
              </w:rPr>
            </w:pPr>
            <w:hyperlink r:id="rId10" w:history="1">
              <w:r w:rsidRPr="002504EB" w:rsidR="00C75C3F">
                <w:rPr>
                  <w:rStyle w:val="Hyperlink"/>
                  <w:bCs/>
                </w:rPr>
                <w:t>Steven.beeler@ohioattorneygeneral.gov</w:t>
              </w:r>
            </w:hyperlink>
          </w:p>
          <w:p w:rsidR="00735E2D" w:rsidRPr="002504EB" w:rsidP="00735E2D">
            <w:pPr>
              <w:rPr>
                <w:szCs w:val="24"/>
              </w:rPr>
            </w:pPr>
            <w:hyperlink r:id="rId11" w:history="1">
              <w:r w:rsidRPr="002504EB" w:rsidR="00C75C3F">
                <w:rPr>
                  <w:rStyle w:val="Hyperlink"/>
                  <w:szCs w:val="24"/>
                </w:rPr>
                <w:t>sam@cleanfuelsohio.org</w:t>
              </w:r>
            </w:hyperlink>
          </w:p>
          <w:p w:rsidR="00735E2D" w:rsidRPr="002504EB" w:rsidP="00735E2D">
            <w:pPr>
              <w:rPr>
                <w:szCs w:val="24"/>
              </w:rPr>
            </w:pPr>
            <w:hyperlink r:id="rId12" w:history="1">
              <w:r w:rsidRPr="002504EB" w:rsidR="00C75C3F">
                <w:rPr>
                  <w:rStyle w:val="Hyperlink"/>
                  <w:szCs w:val="24"/>
                </w:rPr>
                <w:t>mpritchard@mcneeslaw.com</w:t>
              </w:r>
            </w:hyperlink>
          </w:p>
          <w:p w:rsidR="00735E2D" w:rsidRPr="002504EB" w:rsidP="00735E2D">
            <w:pPr>
              <w:rPr>
                <w:szCs w:val="24"/>
              </w:rPr>
            </w:pPr>
            <w:hyperlink r:id="rId13" w:history="1">
              <w:r w:rsidRPr="002504EB" w:rsidR="00C75C3F">
                <w:rPr>
                  <w:rStyle w:val="Hyperlink"/>
                  <w:szCs w:val="24"/>
                </w:rPr>
                <w:t>rglover@mcneeslaw.com</w:t>
              </w:r>
            </w:hyperlink>
          </w:p>
          <w:p w:rsidR="00735E2D" w:rsidRPr="002504EB" w:rsidP="00735E2D">
            <w:pPr>
              <w:rPr>
                <w:szCs w:val="24"/>
              </w:rPr>
            </w:pPr>
            <w:hyperlink r:id="rId14" w:history="1">
              <w:r w:rsidRPr="002504EB" w:rsidR="00C75C3F">
                <w:rPr>
                  <w:rStyle w:val="Hyperlink"/>
                  <w:szCs w:val="24"/>
                </w:rPr>
                <w:t>Rocco.Dascenzo@duke-energy.com</w:t>
              </w:r>
            </w:hyperlink>
          </w:p>
          <w:p w:rsidR="00735E2D" w:rsidP="00735E2D">
            <w:pPr>
              <w:rPr>
                <w:rStyle w:val="Hyperlink"/>
                <w:szCs w:val="24"/>
              </w:rPr>
            </w:pPr>
            <w:hyperlink r:id="rId15" w:history="1">
              <w:r w:rsidRPr="002504EB" w:rsidR="00C75C3F">
                <w:rPr>
                  <w:rStyle w:val="Hyperlink"/>
                  <w:szCs w:val="24"/>
                </w:rPr>
                <w:t>Jeanne.kingery@duke-energy.com</w:t>
              </w:r>
            </w:hyperlink>
          </w:p>
          <w:p w:rsidR="007F4131" w:rsidP="00735E2D">
            <w:pPr>
              <w:rPr>
                <w:szCs w:val="24"/>
              </w:rPr>
            </w:pPr>
            <w:hyperlink r:id="rId16" w:history="1">
              <w:r w:rsidRPr="00177D2E">
                <w:rPr>
                  <w:rStyle w:val="Hyperlink"/>
                  <w:szCs w:val="24"/>
                </w:rPr>
                <w:t>jcohen@greenlots.com</w:t>
              </w:r>
            </w:hyperlink>
          </w:p>
          <w:p w:rsidR="007F4131" w:rsidP="00735E2D">
            <w:pPr>
              <w:rPr>
                <w:color w:val="0563C2"/>
                <w:szCs w:val="24"/>
              </w:rPr>
            </w:pPr>
            <w:hyperlink r:id="rId17" w:history="1">
              <w:r w:rsidRPr="00177D2E">
                <w:rPr>
                  <w:rStyle w:val="Hyperlink"/>
                  <w:szCs w:val="24"/>
                </w:rPr>
                <w:t>dborchers@bricker.com</w:t>
              </w:r>
            </w:hyperlink>
          </w:p>
          <w:p w:rsidR="00735E2D" w:rsidP="007F4131">
            <w:pPr>
              <w:pStyle w:val="CommentText"/>
              <w:rPr>
                <w:color w:val="0563C2"/>
              </w:rPr>
            </w:pPr>
            <w:hyperlink r:id="rId18" w:history="1">
              <w:r w:rsidRPr="00177D2E" w:rsidR="007F4131">
                <w:rPr>
                  <w:rStyle w:val="Hyperlink"/>
                </w:rPr>
                <w:t>kherrnstein@bricker.com</w:t>
              </w:r>
            </w:hyperlink>
          </w:p>
          <w:p w:rsidR="007F4131" w:rsidP="007F4131">
            <w:pPr>
              <w:pStyle w:val="CommentText"/>
              <w:rPr>
                <w:rFonts w:ascii="TimesNewRomanPSMT" w:hAnsi="TimesNewRomanPSMT" w:cs="TimesNewRomanPSMT"/>
                <w:color w:val="0000FF"/>
              </w:rPr>
            </w:pPr>
            <w:hyperlink r:id="rId19" w:history="1">
              <w:r w:rsidRPr="00177D2E">
                <w:rPr>
                  <w:rStyle w:val="Hyperlink"/>
                  <w:rFonts w:ascii="TimesNewRomanPSMT" w:hAnsi="TimesNewRomanPSMT" w:cs="TimesNewRomanPSMT"/>
                </w:rPr>
                <w:t>edanford@firstenergycorp.com</w:t>
              </w:r>
            </w:hyperlink>
          </w:p>
          <w:p w:rsidR="007F4131" w:rsidP="007F4131">
            <w:pPr>
              <w:pStyle w:val="CommentText"/>
            </w:pPr>
            <w:hyperlink r:id="rId20" w:history="1">
              <w:r w:rsidRPr="00177D2E">
                <w:rPr>
                  <w:rStyle w:val="Hyperlink"/>
                </w:rPr>
                <w:t>rdove@keglerbrown.com</w:t>
              </w:r>
            </w:hyperlink>
          </w:p>
          <w:p w:rsidR="007F4131" w:rsidP="007F4131">
            <w:pPr>
              <w:pStyle w:val="CommentText"/>
              <w:rPr>
                <w:color w:val="0000FF"/>
              </w:rPr>
            </w:pPr>
            <w:hyperlink r:id="rId21" w:history="1">
              <w:r w:rsidRPr="00177D2E">
                <w:rPr>
                  <w:rStyle w:val="Hyperlink"/>
                </w:rPr>
                <w:t>khelfrich@ohioec.org</w:t>
              </w:r>
            </w:hyperlink>
          </w:p>
          <w:p w:rsidR="007F4131" w:rsidP="007F4131">
            <w:pPr>
              <w:pStyle w:val="CommentText"/>
              <w:rPr>
                <w:color w:val="0000FF"/>
              </w:rPr>
            </w:pPr>
            <w:hyperlink r:id="rId22" w:history="1">
              <w:r w:rsidRPr="00177D2E" w:rsidR="00042BAB">
                <w:rPr>
                  <w:rStyle w:val="Hyperlink"/>
                </w:rPr>
                <w:t>lkaleps@ohioec.org</w:t>
              </w:r>
            </w:hyperlink>
          </w:p>
          <w:p w:rsidR="00042BAB" w:rsidP="007F4131">
            <w:pPr>
              <w:pStyle w:val="CommentText"/>
              <w:rPr>
                <w:rFonts w:ascii="TimesNewRomanPSMT" w:hAnsi="TimesNewRomanPSMT" w:cs="TimesNewRomanPSMT"/>
                <w:color w:val="0000FF"/>
              </w:rPr>
            </w:pPr>
          </w:p>
          <w:p w:rsidR="007F4131" w:rsidRPr="002504EB" w:rsidP="007F4131">
            <w:pPr>
              <w:pStyle w:val="CommentText"/>
              <w:rPr>
                <w:bCs/>
              </w:rPr>
            </w:pPr>
          </w:p>
          <w:p w:rsidR="00735E2D" w:rsidRPr="002504EB" w:rsidP="00370440">
            <w:pPr>
              <w:pStyle w:val="CommentText"/>
              <w:rPr>
                <w:bCs/>
              </w:rPr>
            </w:pPr>
          </w:p>
          <w:p w:rsidR="00370440" w:rsidRPr="002504EB" w:rsidP="00370440">
            <w:pPr>
              <w:pStyle w:val="CommentText"/>
              <w:rPr>
                <w:bCs/>
              </w:rPr>
            </w:pPr>
          </w:p>
          <w:p w:rsidR="00370440" w:rsidRPr="002504EB" w:rsidP="00370440">
            <w:pPr>
              <w:pStyle w:val="CommentText"/>
              <w:rPr>
                <w:bCs/>
              </w:rPr>
            </w:pPr>
            <w:r w:rsidRPr="002504EB">
              <w:rPr>
                <w:bCs/>
              </w:rPr>
              <w:t>Attorney Examiner:</w:t>
            </w:r>
          </w:p>
          <w:p w:rsidR="00370440" w:rsidRPr="002504EB" w:rsidP="00370440">
            <w:pPr>
              <w:pStyle w:val="CommentText"/>
              <w:rPr>
                <w:bCs/>
              </w:rPr>
            </w:pPr>
          </w:p>
          <w:p w:rsidR="00370440" w:rsidP="00370440">
            <w:pPr>
              <w:pStyle w:val="CommentText"/>
              <w:rPr>
                <w:rStyle w:val="Hyperlink"/>
                <w:bCs/>
              </w:rPr>
            </w:pPr>
            <w:hyperlink r:id="rId23" w:history="1">
              <w:r w:rsidRPr="002504EB" w:rsidR="00C75C3F">
                <w:rPr>
                  <w:rStyle w:val="Hyperlink"/>
                  <w:bCs/>
                </w:rPr>
                <w:t>David.hicks@puco.ohio.gov</w:t>
              </w:r>
            </w:hyperlink>
          </w:p>
          <w:p w:rsidR="00042BAB" w:rsidP="00370440">
            <w:pPr>
              <w:pStyle w:val="CommentText"/>
              <w:rPr>
                <w:rStyle w:val="Hyperlink"/>
                <w:bCs/>
              </w:rPr>
            </w:pPr>
            <w:hyperlink r:id="rId24" w:history="1">
              <w:r w:rsidRPr="00177D2E">
                <w:rPr>
                  <w:rStyle w:val="Hyperlink"/>
                  <w:bCs/>
                </w:rPr>
                <w:t>Matthew.sandor@puco.ohio.gov</w:t>
              </w:r>
            </w:hyperlink>
          </w:p>
          <w:p w:rsidR="00042BAB" w:rsidRPr="002504EB" w:rsidP="00370440">
            <w:pPr>
              <w:pStyle w:val="CommentText"/>
              <w:rPr>
                <w:bCs/>
              </w:rPr>
            </w:pPr>
          </w:p>
          <w:p w:rsidR="00370440" w:rsidRPr="002504EB" w:rsidP="00370440">
            <w:pPr>
              <w:pStyle w:val="CommentText"/>
              <w:rPr>
                <w:bCs/>
              </w:rPr>
            </w:pPr>
          </w:p>
        </w:tc>
        <w:tc>
          <w:tcPr>
            <w:tcW w:w="4428" w:type="dxa"/>
          </w:tcPr>
          <w:p w:rsidR="00370440" w:rsidRPr="002504EB" w:rsidP="007F4131">
            <w:pPr>
              <w:pStyle w:val="CommentText"/>
              <w:ind w:left="1247"/>
              <w:rPr>
                <w:rStyle w:val="Hyperlink"/>
                <w:bCs/>
              </w:rPr>
            </w:pPr>
            <w:hyperlink r:id="rId25" w:history="1">
              <w:r w:rsidRPr="002504EB" w:rsidR="00C75C3F">
                <w:rPr>
                  <w:rStyle w:val="Hyperlink"/>
                  <w:bCs/>
                </w:rPr>
                <w:t>Gibbs+@chemgroup.com</w:t>
              </w:r>
            </w:hyperlink>
          </w:p>
          <w:p w:rsidR="00735E2D" w:rsidRPr="002504EB" w:rsidP="007F4131">
            <w:pPr>
              <w:ind w:left="1247"/>
              <w:rPr>
                <w:szCs w:val="24"/>
              </w:rPr>
            </w:pPr>
            <w:hyperlink r:id="rId26" w:history="1">
              <w:r w:rsidRPr="002504EB" w:rsidR="00C75C3F">
                <w:rPr>
                  <w:rStyle w:val="Hyperlink"/>
                  <w:szCs w:val="24"/>
                </w:rPr>
                <w:t>stnourse@aep.com</w:t>
              </w:r>
            </w:hyperlink>
          </w:p>
          <w:p w:rsidR="00735E2D" w:rsidRPr="002504EB" w:rsidP="007F4131">
            <w:pPr>
              <w:ind w:left="1247"/>
              <w:rPr>
                <w:szCs w:val="24"/>
              </w:rPr>
            </w:pPr>
            <w:hyperlink r:id="rId27" w:history="1">
              <w:r w:rsidRPr="002504EB" w:rsidR="00C75C3F">
                <w:rPr>
                  <w:rStyle w:val="Hyperlink"/>
                  <w:szCs w:val="24"/>
                </w:rPr>
                <w:t>cmblend@aep.com</w:t>
              </w:r>
            </w:hyperlink>
          </w:p>
          <w:p w:rsidR="00735E2D" w:rsidRPr="002504EB" w:rsidP="007F4131">
            <w:pPr>
              <w:ind w:left="1247"/>
              <w:rPr>
                <w:szCs w:val="24"/>
              </w:rPr>
            </w:pPr>
            <w:hyperlink r:id="rId28" w:history="1">
              <w:r w:rsidRPr="002504EB" w:rsidR="00C75C3F">
                <w:rPr>
                  <w:rStyle w:val="Hyperlink"/>
                  <w:szCs w:val="24"/>
                </w:rPr>
                <w:t>joe.oliker@igsenergy.com</w:t>
              </w:r>
            </w:hyperlink>
          </w:p>
          <w:p w:rsidR="00735E2D" w:rsidRPr="002504EB" w:rsidP="007F4131">
            <w:pPr>
              <w:ind w:left="1247"/>
              <w:rPr>
                <w:szCs w:val="24"/>
              </w:rPr>
            </w:pPr>
            <w:hyperlink r:id="rId29" w:history="1">
              <w:r w:rsidRPr="002504EB" w:rsidR="00C75C3F">
                <w:rPr>
                  <w:rStyle w:val="Hyperlink"/>
                  <w:szCs w:val="24"/>
                </w:rPr>
                <w:t>bethany.allen@igs.com</w:t>
              </w:r>
            </w:hyperlink>
          </w:p>
          <w:p w:rsidR="00735E2D" w:rsidP="007F4131">
            <w:pPr>
              <w:ind w:left="1247"/>
              <w:rPr>
                <w:rStyle w:val="Hyperlink"/>
                <w:szCs w:val="24"/>
              </w:rPr>
            </w:pPr>
            <w:hyperlink r:id="rId30" w:history="1">
              <w:r w:rsidRPr="002504EB" w:rsidR="00C75C3F">
                <w:rPr>
                  <w:rStyle w:val="Hyperlink"/>
                  <w:szCs w:val="24"/>
                </w:rPr>
                <w:t>fdarr2019@gmail.com</w:t>
              </w:r>
            </w:hyperlink>
          </w:p>
          <w:p w:rsidR="007F4131" w:rsidP="007F4131">
            <w:pPr>
              <w:ind w:left="1247"/>
              <w:rPr>
                <w:szCs w:val="24"/>
              </w:rPr>
            </w:pPr>
            <w:hyperlink r:id="rId31" w:history="1">
              <w:r w:rsidRPr="00177D2E">
                <w:rPr>
                  <w:rStyle w:val="Hyperlink"/>
                  <w:szCs w:val="24"/>
                </w:rPr>
                <w:t>bgstewart@kmklaw.com</w:t>
              </w:r>
            </w:hyperlink>
          </w:p>
          <w:p w:rsidR="007F4131" w:rsidP="007F4131">
            <w:pPr>
              <w:autoSpaceDE w:val="0"/>
              <w:autoSpaceDN w:val="0"/>
              <w:adjustRightInd w:val="0"/>
              <w:ind w:left="1247"/>
              <w:rPr>
                <w:szCs w:val="24"/>
              </w:rPr>
            </w:pPr>
            <w:hyperlink r:id="rId32" w:history="1">
              <w:r w:rsidRPr="00177D2E">
                <w:rPr>
                  <w:rStyle w:val="Hyperlink"/>
                  <w:szCs w:val="24"/>
                </w:rPr>
                <w:t>kauerbacher@tesla.com</w:t>
              </w:r>
            </w:hyperlink>
          </w:p>
          <w:p w:rsidR="007F4131" w:rsidP="007F4131">
            <w:pPr>
              <w:autoSpaceDE w:val="0"/>
              <w:autoSpaceDN w:val="0"/>
              <w:adjustRightInd w:val="0"/>
              <w:ind w:left="1247"/>
              <w:rPr>
                <w:szCs w:val="24"/>
              </w:rPr>
            </w:pPr>
            <w:hyperlink r:id="rId33" w:history="1">
              <w:r w:rsidRPr="00177D2E">
                <w:rPr>
                  <w:rStyle w:val="Hyperlink"/>
                  <w:szCs w:val="24"/>
                </w:rPr>
                <w:t>wehrlich@tesla.com</w:t>
              </w:r>
            </w:hyperlink>
          </w:p>
          <w:p w:rsidR="007F4131" w:rsidP="007F4131">
            <w:pPr>
              <w:autoSpaceDE w:val="0"/>
              <w:autoSpaceDN w:val="0"/>
              <w:adjustRightInd w:val="0"/>
              <w:ind w:left="1247"/>
              <w:rPr>
                <w:rFonts w:ascii="TimesNewRomanPSMT" w:hAnsi="TimesNewRomanPSMT" w:cs="TimesNewRomanPSMT"/>
                <w:color w:val="0000FF"/>
                <w:szCs w:val="24"/>
              </w:rPr>
            </w:pPr>
            <w:hyperlink r:id="rId34" w:history="1">
              <w:r w:rsidRPr="00177D2E">
                <w:rPr>
                  <w:rStyle w:val="Hyperlink"/>
                  <w:rFonts w:ascii="TimesNewRomanPSMT" w:hAnsi="TimesNewRomanPSMT" w:cs="TimesNewRomanPSMT"/>
                  <w:szCs w:val="24"/>
                </w:rPr>
                <w:t>ccox@elpc.org</w:t>
              </w:r>
            </w:hyperlink>
          </w:p>
          <w:p w:rsidR="007F4131" w:rsidP="007F4131">
            <w:pPr>
              <w:autoSpaceDE w:val="0"/>
              <w:autoSpaceDN w:val="0"/>
              <w:adjustRightInd w:val="0"/>
              <w:ind w:left="1247"/>
              <w:rPr>
                <w:rFonts w:ascii="TimesNewRomanPSMT" w:hAnsi="TimesNewRomanPSMT" w:cs="TimesNewRomanPSMT"/>
                <w:color w:val="0000FF"/>
                <w:szCs w:val="24"/>
              </w:rPr>
            </w:pPr>
            <w:hyperlink r:id="rId35" w:history="1">
              <w:r w:rsidRPr="00177D2E">
                <w:rPr>
                  <w:rStyle w:val="Hyperlink"/>
                  <w:rFonts w:ascii="TimesNewRomanPSMT" w:hAnsi="TimesNewRomanPSMT" w:cs="TimesNewRomanPSMT"/>
                  <w:szCs w:val="24"/>
                </w:rPr>
                <w:t>mleppla@theoec.org</w:t>
              </w:r>
            </w:hyperlink>
          </w:p>
          <w:p w:rsidR="007F4131" w:rsidP="007F4131">
            <w:pPr>
              <w:autoSpaceDE w:val="0"/>
              <w:autoSpaceDN w:val="0"/>
              <w:adjustRightInd w:val="0"/>
              <w:ind w:left="1247"/>
              <w:rPr>
                <w:rFonts w:ascii="TimesNewRomanPSMT" w:hAnsi="TimesNewRomanPSMT" w:cs="TimesNewRomanPSMT"/>
                <w:color w:val="000000"/>
                <w:szCs w:val="24"/>
              </w:rPr>
            </w:pPr>
            <w:hyperlink r:id="rId36" w:history="1">
              <w:r w:rsidRPr="00177D2E">
                <w:rPr>
                  <w:rStyle w:val="Hyperlink"/>
                  <w:rFonts w:ascii="TimesNewRomanPSMT" w:hAnsi="TimesNewRomanPSMT" w:cs="TimesNewRomanPSMT"/>
                  <w:szCs w:val="24"/>
                </w:rPr>
                <w:t>ctavenor@theoec.org</w:t>
              </w:r>
            </w:hyperlink>
          </w:p>
          <w:p w:rsidR="007F4131" w:rsidP="007F4131">
            <w:pPr>
              <w:autoSpaceDE w:val="0"/>
              <w:autoSpaceDN w:val="0"/>
              <w:adjustRightInd w:val="0"/>
              <w:ind w:left="1247"/>
              <w:rPr>
                <w:rFonts w:ascii="TimesNewRomanPSMT" w:hAnsi="TimesNewRomanPSMT" w:cs="TimesNewRomanPSMT"/>
                <w:color w:val="0000FF"/>
                <w:szCs w:val="24"/>
              </w:rPr>
            </w:pPr>
          </w:p>
          <w:p w:rsidR="007F4131" w:rsidP="007F4131">
            <w:pPr>
              <w:autoSpaceDE w:val="0"/>
              <w:autoSpaceDN w:val="0"/>
              <w:adjustRightInd w:val="0"/>
              <w:ind w:left="1247"/>
              <w:rPr>
                <w:szCs w:val="24"/>
              </w:rPr>
            </w:pPr>
          </w:p>
          <w:p w:rsidR="007F4131" w:rsidP="007F4131">
            <w:pPr>
              <w:autoSpaceDE w:val="0"/>
              <w:autoSpaceDN w:val="0"/>
              <w:adjustRightInd w:val="0"/>
              <w:ind w:left="1247"/>
              <w:jc w:val="center"/>
              <w:rPr>
                <w:szCs w:val="24"/>
              </w:rPr>
            </w:pPr>
          </w:p>
          <w:p w:rsidR="007F4131" w:rsidP="007F4131">
            <w:pPr>
              <w:ind w:left="1247"/>
              <w:jc w:val="center"/>
              <w:rPr>
                <w:b/>
                <w:bCs/>
                <w:i/>
                <w:iCs/>
                <w:szCs w:val="24"/>
              </w:rPr>
            </w:pPr>
          </w:p>
          <w:p w:rsidR="007F4131" w:rsidRPr="002504EB" w:rsidP="007F4131">
            <w:pPr>
              <w:ind w:left="1247"/>
              <w:jc w:val="center"/>
              <w:rPr>
                <w:szCs w:val="24"/>
              </w:rPr>
            </w:pPr>
          </w:p>
          <w:p w:rsidR="00735E2D" w:rsidRPr="002504EB" w:rsidP="007F4131">
            <w:pPr>
              <w:pStyle w:val="CommentText"/>
              <w:ind w:left="1335"/>
              <w:jc w:val="center"/>
              <w:rPr>
                <w:bCs/>
              </w:rPr>
            </w:pPr>
          </w:p>
          <w:p w:rsidR="00370440" w:rsidRPr="002504EB" w:rsidP="007F4131">
            <w:pPr>
              <w:pStyle w:val="CommentText"/>
              <w:jc w:val="center"/>
              <w:rPr>
                <w:bCs/>
              </w:rPr>
            </w:pPr>
          </w:p>
        </w:tc>
      </w:tr>
      <w:tr w:rsidTr="00370440">
        <w:tblPrEx>
          <w:tblW w:w="0" w:type="auto"/>
          <w:tblLook w:val="04A0"/>
        </w:tblPrEx>
        <w:tc>
          <w:tcPr>
            <w:tcW w:w="4428" w:type="dxa"/>
          </w:tcPr>
          <w:p w:rsidR="007F4131" w:rsidP="00370440">
            <w:pPr>
              <w:pStyle w:val="CommentText"/>
            </w:pPr>
          </w:p>
        </w:tc>
        <w:tc>
          <w:tcPr>
            <w:tcW w:w="4428" w:type="dxa"/>
          </w:tcPr>
          <w:p w:rsidR="007F4131" w:rsidP="007F4131">
            <w:pPr>
              <w:pStyle w:val="CommentText"/>
              <w:ind w:left="1247"/>
            </w:pPr>
          </w:p>
        </w:tc>
      </w:tr>
    </w:tbl>
    <w:p w:rsidR="00370440" w:rsidRPr="002504EB" w:rsidP="0018274B">
      <w:pPr>
        <w:pStyle w:val="CommentText"/>
        <w:jc w:val="center"/>
        <w:rPr>
          <w:b/>
          <w:u w:val="single"/>
        </w:rPr>
      </w:pPr>
    </w:p>
    <w:p w:rsidR="00A044B5" w:rsidRPr="002504EB" w:rsidP="0018274B">
      <w:pPr>
        <w:pStyle w:val="BodyText"/>
        <w:rPr>
          <w:b/>
          <w:bCs/>
          <w:szCs w:val="24"/>
        </w:rPr>
      </w:pPr>
    </w:p>
    <w:tbl>
      <w:tblPr>
        <w:tblW w:w="0" w:type="auto"/>
        <w:tblLook w:val="01E0"/>
      </w:tblPr>
      <w:tblGrid>
        <w:gridCol w:w="4428"/>
        <w:gridCol w:w="4428"/>
      </w:tblGrid>
      <w:tr w:rsidTr="00A044B5">
        <w:tblPrEx>
          <w:tblW w:w="0" w:type="auto"/>
          <w:tblLook w:val="01E0"/>
        </w:tblPrEx>
        <w:tc>
          <w:tcPr>
            <w:tcW w:w="4428" w:type="dxa"/>
            <w:shd w:val="clear" w:color="auto" w:fill="auto"/>
          </w:tcPr>
          <w:p w:rsidR="00A044B5" w:rsidRPr="002504EB" w:rsidP="0018274B">
            <w:pPr>
              <w:autoSpaceDE w:val="0"/>
              <w:autoSpaceDN w:val="0"/>
              <w:adjustRightInd w:val="0"/>
              <w:rPr>
                <w:bCs/>
                <w:szCs w:val="24"/>
              </w:rPr>
            </w:pPr>
          </w:p>
        </w:tc>
        <w:tc>
          <w:tcPr>
            <w:tcW w:w="4428" w:type="dxa"/>
            <w:shd w:val="clear" w:color="auto" w:fill="auto"/>
          </w:tcPr>
          <w:p w:rsidR="00A044B5" w:rsidRPr="002504EB" w:rsidP="0018274B">
            <w:pPr>
              <w:pStyle w:val="BodyText"/>
              <w:rPr>
                <w:bCs/>
                <w:szCs w:val="24"/>
              </w:rPr>
            </w:pPr>
          </w:p>
        </w:tc>
      </w:tr>
      <w:tr w:rsidTr="00A044B5">
        <w:tblPrEx>
          <w:tblW w:w="0" w:type="auto"/>
          <w:tblLook w:val="01E0"/>
        </w:tblPrEx>
        <w:tc>
          <w:tcPr>
            <w:tcW w:w="4428" w:type="dxa"/>
            <w:shd w:val="clear" w:color="auto" w:fill="auto"/>
          </w:tcPr>
          <w:p w:rsidR="00A044B5" w:rsidRPr="002504EB" w:rsidP="0018274B">
            <w:pPr>
              <w:rPr>
                <w:szCs w:val="24"/>
              </w:rPr>
            </w:pPr>
          </w:p>
        </w:tc>
        <w:tc>
          <w:tcPr>
            <w:tcW w:w="4428" w:type="dxa"/>
            <w:shd w:val="clear" w:color="auto" w:fill="auto"/>
          </w:tcPr>
          <w:p w:rsidR="00A044B5" w:rsidRPr="002504EB" w:rsidP="0018274B">
            <w:pPr>
              <w:rPr>
                <w:bCs/>
                <w:szCs w:val="24"/>
              </w:rPr>
            </w:pPr>
          </w:p>
        </w:tc>
      </w:tr>
    </w:tbl>
    <w:p w:rsidR="00A044B5" w:rsidRPr="002504EB" w:rsidP="0018274B">
      <w:pPr>
        <w:pStyle w:val="BodyText"/>
        <w:rPr>
          <w:b/>
          <w:bCs/>
          <w:szCs w:val="24"/>
        </w:rPr>
      </w:pPr>
    </w:p>
    <w:sectPr w:rsidSect="00DE646C">
      <w:footerReference w:type="default" r:id="rId37"/>
      <w:pgSz w:w="12240" w:h="15840"/>
      <w:pgMar w:top="1440" w:right="1440" w:bottom="1440" w:left="1440" w:header="720" w:footer="720" w:gutter="0"/>
      <w:pgNumType w:start="2"/>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3000000"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1A41">
    <w:pPr>
      <w:pStyle w:val="Footer"/>
      <w:jc w:val="center"/>
    </w:pPr>
  </w:p>
  <w:p w:rsidR="00DE6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6361767"/>
      <w:docPartObj>
        <w:docPartGallery w:val="Page Numbers (Bottom of Page)"/>
        <w:docPartUnique/>
      </w:docPartObj>
    </w:sdtPr>
    <w:sdtContent>
      <w:p w:rsidR="00DE64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00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1816624"/>
      <w:docPartObj>
        <w:docPartGallery w:val="Page Numbers (Bottom of Page)"/>
        <w:docPartUnique/>
      </w:docPartObj>
    </w:sdtPr>
    <w:sdtEndPr>
      <w:rPr>
        <w:noProof/>
      </w:rPr>
    </w:sdtEndPr>
    <w:sdtContent>
      <w:p w:rsidR="00E21A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2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1B0C">
      <w:r>
        <w:separator/>
      </w:r>
    </w:p>
  </w:footnote>
  <w:footnote w:type="continuationSeparator" w:id="1">
    <w:p w:rsidR="00E11B0C">
      <w:r>
        <w:continuationSeparator/>
      </w:r>
    </w:p>
  </w:footnote>
  <w:footnote w:id="2">
    <w:p w:rsidR="0001429F" w:rsidP="00DE646C">
      <w:pPr>
        <w:pStyle w:val="FootnoteText"/>
        <w:spacing w:after="120"/>
      </w:pPr>
      <w:r>
        <w:rPr>
          <w:rStyle w:val="FootnoteReference"/>
        </w:rPr>
        <w:footnoteRef/>
      </w:r>
      <w:r>
        <w:t xml:space="preserve"> Comments of Ohio Edison Company, the Cleveland Electric Illuminating Company, and the Toledo Edison Company (Mar. 23, 2020) (the “FirstEnergy Comments”); Comments of Duke Energy Ohio, Inc. (Mar. 23, 2020) (the “Duke Comments”); Initial Comments of Ohio Power Company at 2 (Mar. 23, 2020) (the “AEP Comments”). Dayton Power and Light did not file initial comments.</w:t>
      </w:r>
    </w:p>
  </w:footnote>
  <w:footnote w:id="3">
    <w:p w:rsidR="00BB04D4" w:rsidP="00DE646C">
      <w:pPr>
        <w:pStyle w:val="FootnoteText"/>
        <w:spacing w:after="120"/>
      </w:pPr>
      <w:r>
        <w:rPr>
          <w:rStyle w:val="FootnoteReference"/>
        </w:rPr>
        <w:footnoteRef/>
      </w:r>
      <w:r>
        <w:t xml:space="preserve"> </w:t>
      </w:r>
      <w:r w:rsidR="00274C2D">
        <w:t>R.C. 4905.02, 4905.03.</w:t>
      </w:r>
    </w:p>
  </w:footnote>
  <w:footnote w:id="4">
    <w:p w:rsidR="0001429F" w:rsidP="00DE646C">
      <w:pPr>
        <w:pStyle w:val="FootnoteText"/>
        <w:spacing w:after="120"/>
      </w:pPr>
      <w:r>
        <w:rPr>
          <w:rStyle w:val="FootnoteReference"/>
        </w:rPr>
        <w:footnoteRef/>
      </w:r>
      <w:r>
        <w:t xml:space="preserve"> FirstEnergy Comments at 2.</w:t>
      </w:r>
    </w:p>
  </w:footnote>
  <w:footnote w:id="5">
    <w:p w:rsidR="0001429F" w:rsidP="00DE646C">
      <w:pPr>
        <w:pStyle w:val="FootnoteText"/>
        <w:spacing w:after="120"/>
      </w:pPr>
      <w:r>
        <w:rPr>
          <w:rStyle w:val="FootnoteReference"/>
        </w:rPr>
        <w:footnoteRef/>
      </w:r>
      <w:r>
        <w:t xml:space="preserve"> AEP Comments at 2.</w:t>
      </w:r>
    </w:p>
  </w:footnote>
  <w:footnote w:id="6">
    <w:p w:rsidR="0001429F" w:rsidP="00DE646C">
      <w:pPr>
        <w:pStyle w:val="FootnoteText"/>
        <w:spacing w:after="120"/>
      </w:pPr>
      <w:r>
        <w:rPr>
          <w:rStyle w:val="FootnoteReference"/>
        </w:rPr>
        <w:footnoteRef/>
      </w:r>
      <w:r>
        <w:t xml:space="preserve"> Duke Comments at 2.</w:t>
      </w:r>
    </w:p>
  </w:footnote>
  <w:footnote w:id="7">
    <w:p w:rsidR="0001429F" w:rsidP="00DE646C">
      <w:pPr>
        <w:pStyle w:val="FootnoteText"/>
        <w:spacing w:after="120"/>
      </w:pPr>
      <w:r>
        <w:rPr>
          <w:rStyle w:val="FootnoteReference"/>
        </w:rPr>
        <w:footnoteRef/>
      </w:r>
      <w:r>
        <w:t xml:space="preserve"> Duke Energy Comments at 3.</w:t>
      </w:r>
    </w:p>
  </w:footnote>
  <w:footnote w:id="8">
    <w:p w:rsidR="0001429F" w:rsidP="00DE646C">
      <w:pPr>
        <w:pStyle w:val="FootnoteText"/>
        <w:spacing w:after="120"/>
      </w:pPr>
      <w:r>
        <w:rPr>
          <w:rStyle w:val="FootnoteReference"/>
        </w:rPr>
        <w:footnoteRef/>
      </w:r>
      <w:r>
        <w:t xml:space="preserve"> Environmental Comments at 12 (quoting the PUCO as saying “[C]orridor route charging stations present a chicken and egg conundrum. The private market will not invest in corridor charging until EV traffic merits the investment, yet the development of EV traffic may be suppressed until investment in corridor charging stations occurs.”).</w:t>
      </w:r>
    </w:p>
  </w:footnote>
  <w:footnote w:id="9">
    <w:p w:rsidR="0001429F" w:rsidP="00DE646C">
      <w:pPr>
        <w:pStyle w:val="FootnoteText"/>
        <w:spacing w:after="120"/>
      </w:pPr>
      <w:r>
        <w:rPr>
          <w:rStyle w:val="FootnoteReference"/>
        </w:rPr>
        <w:footnoteRef/>
      </w:r>
      <w:r>
        <w:t xml:space="preserve"> Initial Written Comments of Tesla, Inc. at 2 (Mar. 24, 2020) (the “Tesla Comments”).</w:t>
      </w:r>
    </w:p>
  </w:footnote>
  <w:footnote w:id="10">
    <w:p w:rsidR="0001429F" w:rsidP="00DE646C">
      <w:pPr>
        <w:pStyle w:val="FootnoteText"/>
        <w:spacing w:after="120"/>
      </w:pPr>
      <w:r>
        <w:rPr>
          <w:rStyle w:val="FootnoteReference"/>
        </w:rPr>
        <w:footnoteRef/>
      </w:r>
      <w:r>
        <w:t xml:space="preserve"> AEP Comments at 4.</w:t>
      </w:r>
    </w:p>
  </w:footnote>
  <w:footnote w:id="11">
    <w:p w:rsidR="0001429F" w:rsidP="00DE646C">
      <w:pPr>
        <w:pStyle w:val="FootnoteText"/>
        <w:spacing w:after="120"/>
      </w:pPr>
      <w:r>
        <w:rPr>
          <w:rStyle w:val="FootnoteReference"/>
        </w:rPr>
        <w:footnoteRef/>
      </w:r>
      <w:r>
        <w:t xml:space="preserve"> AEP Comments at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E6C5FE6"/>
    <w:lvl w:ilvl="0">
      <w:start w:val="1"/>
      <w:numFmt w:val="decimal"/>
      <w:lvlText w:val="%1."/>
      <w:lvlJc w:val="left"/>
      <w:pPr>
        <w:tabs>
          <w:tab w:val="num" w:pos="1800"/>
        </w:tabs>
        <w:ind w:left="1800" w:hanging="360"/>
      </w:pPr>
    </w:lvl>
  </w:abstractNum>
  <w:abstractNum w:abstractNumId="1">
    <w:nsid w:val="FFFFFF7D"/>
    <w:multiLevelType w:val="singleLevel"/>
    <w:tmpl w:val="91FCE468"/>
    <w:lvl w:ilvl="0">
      <w:start w:val="1"/>
      <w:numFmt w:val="decimal"/>
      <w:lvlText w:val="%1."/>
      <w:lvlJc w:val="left"/>
      <w:pPr>
        <w:tabs>
          <w:tab w:val="num" w:pos="1440"/>
        </w:tabs>
        <w:ind w:left="1440" w:hanging="360"/>
      </w:pPr>
    </w:lvl>
  </w:abstractNum>
  <w:abstractNum w:abstractNumId="2">
    <w:nsid w:val="FFFFFF7E"/>
    <w:multiLevelType w:val="singleLevel"/>
    <w:tmpl w:val="9C3E762A"/>
    <w:lvl w:ilvl="0">
      <w:start w:val="1"/>
      <w:numFmt w:val="decimal"/>
      <w:lvlText w:val="%1."/>
      <w:lvlJc w:val="left"/>
      <w:pPr>
        <w:tabs>
          <w:tab w:val="num" w:pos="1080"/>
        </w:tabs>
        <w:ind w:left="1080" w:hanging="360"/>
      </w:pPr>
    </w:lvl>
  </w:abstractNum>
  <w:abstractNum w:abstractNumId="3">
    <w:nsid w:val="FFFFFF7F"/>
    <w:multiLevelType w:val="singleLevel"/>
    <w:tmpl w:val="2B780D88"/>
    <w:lvl w:ilvl="0">
      <w:start w:val="1"/>
      <w:numFmt w:val="decimal"/>
      <w:lvlText w:val="%1."/>
      <w:lvlJc w:val="left"/>
      <w:pPr>
        <w:tabs>
          <w:tab w:val="num" w:pos="720"/>
        </w:tabs>
        <w:ind w:left="720" w:hanging="360"/>
      </w:pPr>
    </w:lvl>
  </w:abstractNum>
  <w:abstractNum w:abstractNumId="4">
    <w:nsid w:val="FFFFFF80"/>
    <w:multiLevelType w:val="singleLevel"/>
    <w:tmpl w:val="D1D201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AEA8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64FB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2AC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7BE3FB4"/>
    <w:lvl w:ilvl="0">
      <w:start w:val="1"/>
      <w:numFmt w:val="decimal"/>
      <w:lvlText w:val="%1."/>
      <w:lvlJc w:val="left"/>
      <w:pPr>
        <w:tabs>
          <w:tab w:val="num" w:pos="360"/>
        </w:tabs>
        <w:ind w:left="360" w:hanging="360"/>
      </w:pPr>
    </w:lvl>
  </w:abstractNum>
  <w:abstractNum w:abstractNumId="9">
    <w:nsid w:val="FFFFFF89"/>
    <w:multiLevelType w:val="singleLevel"/>
    <w:tmpl w:val="F2E87286"/>
    <w:lvl w:ilvl="0">
      <w:start w:val="1"/>
      <w:numFmt w:val="bullet"/>
      <w:lvlText w:val=""/>
      <w:lvlJc w:val="left"/>
      <w:pPr>
        <w:tabs>
          <w:tab w:val="num" w:pos="360"/>
        </w:tabs>
        <w:ind w:left="360" w:hanging="360"/>
      </w:pPr>
      <w:rPr>
        <w:rFonts w:ascii="Symbol" w:hAnsi="Symbol" w:hint="default"/>
      </w:rPr>
    </w:lvl>
  </w:abstractNum>
  <w:abstractNum w:abstractNumId="1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nsid w:val="6D8D076A"/>
    <w:multiLevelType w:val="hybridMultilevel"/>
    <w:tmpl w:val="5C72F4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2"/>
  </w:num>
  <w:num w:numId="2">
    <w:abstractNumId w:val="11"/>
  </w:num>
  <w:num w:numId="3">
    <w:abstractNumId w:val="14"/>
  </w:num>
  <w:num w:numId="4">
    <w:abstractNumId w:val="13"/>
  </w:num>
  <w:num w:numId="5">
    <w:abstractNumId w:val="10"/>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12"/>
    <w:rsid w:val="000035B2"/>
    <w:rsid w:val="0001117F"/>
    <w:rsid w:val="0001429F"/>
    <w:rsid w:val="00017D02"/>
    <w:rsid w:val="0002551F"/>
    <w:rsid w:val="000260B2"/>
    <w:rsid w:val="00033A11"/>
    <w:rsid w:val="0003795B"/>
    <w:rsid w:val="00042BAB"/>
    <w:rsid w:val="00057872"/>
    <w:rsid w:val="000660EC"/>
    <w:rsid w:val="00066698"/>
    <w:rsid w:val="00066CBB"/>
    <w:rsid w:val="00073CDB"/>
    <w:rsid w:val="00082870"/>
    <w:rsid w:val="000941FD"/>
    <w:rsid w:val="000B1219"/>
    <w:rsid w:val="000C79B9"/>
    <w:rsid w:val="000E1DFE"/>
    <w:rsid w:val="000E3D61"/>
    <w:rsid w:val="00101B19"/>
    <w:rsid w:val="00103C50"/>
    <w:rsid w:val="00103F9F"/>
    <w:rsid w:val="00111AA2"/>
    <w:rsid w:val="00117220"/>
    <w:rsid w:val="0013035F"/>
    <w:rsid w:val="00132B06"/>
    <w:rsid w:val="001341B1"/>
    <w:rsid w:val="00134B0E"/>
    <w:rsid w:val="00135A88"/>
    <w:rsid w:val="00136ADF"/>
    <w:rsid w:val="00145724"/>
    <w:rsid w:val="00151533"/>
    <w:rsid w:val="00177D2E"/>
    <w:rsid w:val="0018274B"/>
    <w:rsid w:val="001A3E48"/>
    <w:rsid w:val="001B28A9"/>
    <w:rsid w:val="001B4DD1"/>
    <w:rsid w:val="001B55D8"/>
    <w:rsid w:val="001B5619"/>
    <w:rsid w:val="001C7266"/>
    <w:rsid w:val="001D0897"/>
    <w:rsid w:val="001F2A40"/>
    <w:rsid w:val="002002F6"/>
    <w:rsid w:val="002161CB"/>
    <w:rsid w:val="002504EB"/>
    <w:rsid w:val="002574C8"/>
    <w:rsid w:val="00263495"/>
    <w:rsid w:val="00264456"/>
    <w:rsid w:val="002652C8"/>
    <w:rsid w:val="002700C7"/>
    <w:rsid w:val="00270856"/>
    <w:rsid w:val="00274C2D"/>
    <w:rsid w:val="00275F4B"/>
    <w:rsid w:val="00277192"/>
    <w:rsid w:val="00281D8E"/>
    <w:rsid w:val="002A0D1F"/>
    <w:rsid w:val="002A4778"/>
    <w:rsid w:val="002A4912"/>
    <w:rsid w:val="002A5AEB"/>
    <w:rsid w:val="002C1750"/>
    <w:rsid w:val="002D6022"/>
    <w:rsid w:val="002E3B0A"/>
    <w:rsid w:val="002E742C"/>
    <w:rsid w:val="00300416"/>
    <w:rsid w:val="00301D16"/>
    <w:rsid w:val="00312293"/>
    <w:rsid w:val="0031242C"/>
    <w:rsid w:val="0031413E"/>
    <w:rsid w:val="0033637E"/>
    <w:rsid w:val="00337664"/>
    <w:rsid w:val="00341A39"/>
    <w:rsid w:val="003436AA"/>
    <w:rsid w:val="00344267"/>
    <w:rsid w:val="00355D3D"/>
    <w:rsid w:val="00360E71"/>
    <w:rsid w:val="00367728"/>
    <w:rsid w:val="00370440"/>
    <w:rsid w:val="00377442"/>
    <w:rsid w:val="0038343F"/>
    <w:rsid w:val="003910D7"/>
    <w:rsid w:val="00391584"/>
    <w:rsid w:val="003916AC"/>
    <w:rsid w:val="00395B07"/>
    <w:rsid w:val="003A0790"/>
    <w:rsid w:val="003A2079"/>
    <w:rsid w:val="003B7CA8"/>
    <w:rsid w:val="003C1068"/>
    <w:rsid w:val="003C4A1B"/>
    <w:rsid w:val="003D3898"/>
    <w:rsid w:val="003E634E"/>
    <w:rsid w:val="003F0FBF"/>
    <w:rsid w:val="003F6A70"/>
    <w:rsid w:val="003F715C"/>
    <w:rsid w:val="00403768"/>
    <w:rsid w:val="00413D84"/>
    <w:rsid w:val="00423129"/>
    <w:rsid w:val="004232C0"/>
    <w:rsid w:val="0044231E"/>
    <w:rsid w:val="0044320F"/>
    <w:rsid w:val="00450398"/>
    <w:rsid w:val="00451AC5"/>
    <w:rsid w:val="00476981"/>
    <w:rsid w:val="00480365"/>
    <w:rsid w:val="0048114E"/>
    <w:rsid w:val="004879C6"/>
    <w:rsid w:val="00492F58"/>
    <w:rsid w:val="004A3A8C"/>
    <w:rsid w:val="004D475D"/>
    <w:rsid w:val="004E6BDB"/>
    <w:rsid w:val="004F0748"/>
    <w:rsid w:val="004F270C"/>
    <w:rsid w:val="004F2C11"/>
    <w:rsid w:val="00501558"/>
    <w:rsid w:val="00512B71"/>
    <w:rsid w:val="0051520D"/>
    <w:rsid w:val="00524115"/>
    <w:rsid w:val="005260F0"/>
    <w:rsid w:val="005270F0"/>
    <w:rsid w:val="005271D5"/>
    <w:rsid w:val="00527F82"/>
    <w:rsid w:val="00532123"/>
    <w:rsid w:val="00534AE4"/>
    <w:rsid w:val="00550E36"/>
    <w:rsid w:val="0055107B"/>
    <w:rsid w:val="005536EE"/>
    <w:rsid w:val="00557567"/>
    <w:rsid w:val="00562D8C"/>
    <w:rsid w:val="00563D3B"/>
    <w:rsid w:val="00564E20"/>
    <w:rsid w:val="00567D88"/>
    <w:rsid w:val="005758CE"/>
    <w:rsid w:val="005A6744"/>
    <w:rsid w:val="005A7B9C"/>
    <w:rsid w:val="005C1401"/>
    <w:rsid w:val="006054CE"/>
    <w:rsid w:val="0061187D"/>
    <w:rsid w:val="0062108F"/>
    <w:rsid w:val="00631911"/>
    <w:rsid w:val="00641070"/>
    <w:rsid w:val="00647BBC"/>
    <w:rsid w:val="006511FB"/>
    <w:rsid w:val="00651820"/>
    <w:rsid w:val="0067075F"/>
    <w:rsid w:val="00677F20"/>
    <w:rsid w:val="006817D7"/>
    <w:rsid w:val="00684B16"/>
    <w:rsid w:val="00686C2C"/>
    <w:rsid w:val="00687C8F"/>
    <w:rsid w:val="006A6497"/>
    <w:rsid w:val="006B674A"/>
    <w:rsid w:val="006C5841"/>
    <w:rsid w:val="006E774C"/>
    <w:rsid w:val="006F07FB"/>
    <w:rsid w:val="006F283D"/>
    <w:rsid w:val="006F6C88"/>
    <w:rsid w:val="00700095"/>
    <w:rsid w:val="0070201A"/>
    <w:rsid w:val="00707800"/>
    <w:rsid w:val="007136EC"/>
    <w:rsid w:val="00715EB8"/>
    <w:rsid w:val="00722C9C"/>
    <w:rsid w:val="00723A7C"/>
    <w:rsid w:val="0072724A"/>
    <w:rsid w:val="00730452"/>
    <w:rsid w:val="00730C0C"/>
    <w:rsid w:val="0073100D"/>
    <w:rsid w:val="00733075"/>
    <w:rsid w:val="00735E2D"/>
    <w:rsid w:val="007415B3"/>
    <w:rsid w:val="00755402"/>
    <w:rsid w:val="00760DE9"/>
    <w:rsid w:val="00761571"/>
    <w:rsid w:val="007618ED"/>
    <w:rsid w:val="007771F2"/>
    <w:rsid w:val="00780970"/>
    <w:rsid w:val="00785B60"/>
    <w:rsid w:val="007918C5"/>
    <w:rsid w:val="0079219A"/>
    <w:rsid w:val="00793F3D"/>
    <w:rsid w:val="007B1887"/>
    <w:rsid w:val="007C41C8"/>
    <w:rsid w:val="007D01D2"/>
    <w:rsid w:val="007F4131"/>
    <w:rsid w:val="0082653B"/>
    <w:rsid w:val="00830679"/>
    <w:rsid w:val="00830767"/>
    <w:rsid w:val="00832E7E"/>
    <w:rsid w:val="00846717"/>
    <w:rsid w:val="0086026C"/>
    <w:rsid w:val="00860F38"/>
    <w:rsid w:val="008634AB"/>
    <w:rsid w:val="008645D6"/>
    <w:rsid w:val="0087266D"/>
    <w:rsid w:val="008A3E20"/>
    <w:rsid w:val="008A3EAD"/>
    <w:rsid w:val="008A5EEA"/>
    <w:rsid w:val="008B6DCD"/>
    <w:rsid w:val="008D3A4F"/>
    <w:rsid w:val="008D7920"/>
    <w:rsid w:val="008F284E"/>
    <w:rsid w:val="008F4272"/>
    <w:rsid w:val="00903524"/>
    <w:rsid w:val="009165F4"/>
    <w:rsid w:val="00924570"/>
    <w:rsid w:val="00933381"/>
    <w:rsid w:val="00940E2D"/>
    <w:rsid w:val="009512E6"/>
    <w:rsid w:val="009623DB"/>
    <w:rsid w:val="009623EB"/>
    <w:rsid w:val="0097192F"/>
    <w:rsid w:val="00976C09"/>
    <w:rsid w:val="00990ADB"/>
    <w:rsid w:val="00992E47"/>
    <w:rsid w:val="009A1590"/>
    <w:rsid w:val="009B02EB"/>
    <w:rsid w:val="009B2FE3"/>
    <w:rsid w:val="009B409D"/>
    <w:rsid w:val="009B6D8B"/>
    <w:rsid w:val="009B79D5"/>
    <w:rsid w:val="009D3A00"/>
    <w:rsid w:val="009D6C69"/>
    <w:rsid w:val="009E5257"/>
    <w:rsid w:val="009E602A"/>
    <w:rsid w:val="009F5391"/>
    <w:rsid w:val="009F704C"/>
    <w:rsid w:val="00A044B5"/>
    <w:rsid w:val="00A14104"/>
    <w:rsid w:val="00A16FE9"/>
    <w:rsid w:val="00A272E6"/>
    <w:rsid w:val="00A273C9"/>
    <w:rsid w:val="00A31F35"/>
    <w:rsid w:val="00A35D00"/>
    <w:rsid w:val="00A438B2"/>
    <w:rsid w:val="00A5514C"/>
    <w:rsid w:val="00A751D2"/>
    <w:rsid w:val="00A77817"/>
    <w:rsid w:val="00A92777"/>
    <w:rsid w:val="00A97E97"/>
    <w:rsid w:val="00AA1ADE"/>
    <w:rsid w:val="00AA6567"/>
    <w:rsid w:val="00AB2881"/>
    <w:rsid w:val="00AB4D6F"/>
    <w:rsid w:val="00AC102B"/>
    <w:rsid w:val="00AC41DB"/>
    <w:rsid w:val="00AC6603"/>
    <w:rsid w:val="00AD135E"/>
    <w:rsid w:val="00AE0270"/>
    <w:rsid w:val="00AE3372"/>
    <w:rsid w:val="00AE437E"/>
    <w:rsid w:val="00AF35B5"/>
    <w:rsid w:val="00B0099E"/>
    <w:rsid w:val="00B04AD6"/>
    <w:rsid w:val="00B160F0"/>
    <w:rsid w:val="00B40330"/>
    <w:rsid w:val="00B55B2D"/>
    <w:rsid w:val="00B61AA0"/>
    <w:rsid w:val="00B63D4B"/>
    <w:rsid w:val="00B66B03"/>
    <w:rsid w:val="00B733E9"/>
    <w:rsid w:val="00B81FD5"/>
    <w:rsid w:val="00B81FFD"/>
    <w:rsid w:val="00B94A80"/>
    <w:rsid w:val="00B97A52"/>
    <w:rsid w:val="00BA1899"/>
    <w:rsid w:val="00BA335C"/>
    <w:rsid w:val="00BB02A7"/>
    <w:rsid w:val="00BB04D4"/>
    <w:rsid w:val="00BC288E"/>
    <w:rsid w:val="00BC6F20"/>
    <w:rsid w:val="00BC7AB9"/>
    <w:rsid w:val="00BD2B7E"/>
    <w:rsid w:val="00BD45B0"/>
    <w:rsid w:val="00BD6840"/>
    <w:rsid w:val="00BE6D3D"/>
    <w:rsid w:val="00BF2D9C"/>
    <w:rsid w:val="00BF42FE"/>
    <w:rsid w:val="00BF4897"/>
    <w:rsid w:val="00C07AF8"/>
    <w:rsid w:val="00C24E0F"/>
    <w:rsid w:val="00C34465"/>
    <w:rsid w:val="00C44CA0"/>
    <w:rsid w:val="00C5711F"/>
    <w:rsid w:val="00C6286A"/>
    <w:rsid w:val="00C67231"/>
    <w:rsid w:val="00C75C3F"/>
    <w:rsid w:val="00C910AC"/>
    <w:rsid w:val="00C9286F"/>
    <w:rsid w:val="00C93E50"/>
    <w:rsid w:val="00CA3F81"/>
    <w:rsid w:val="00CA513A"/>
    <w:rsid w:val="00CD1487"/>
    <w:rsid w:val="00CD7E23"/>
    <w:rsid w:val="00CE3C81"/>
    <w:rsid w:val="00CE4007"/>
    <w:rsid w:val="00CF05D7"/>
    <w:rsid w:val="00CF218F"/>
    <w:rsid w:val="00CF6CA4"/>
    <w:rsid w:val="00D00AE4"/>
    <w:rsid w:val="00D01457"/>
    <w:rsid w:val="00D1203A"/>
    <w:rsid w:val="00D13416"/>
    <w:rsid w:val="00D2315F"/>
    <w:rsid w:val="00D376FB"/>
    <w:rsid w:val="00D55177"/>
    <w:rsid w:val="00D57504"/>
    <w:rsid w:val="00D675A0"/>
    <w:rsid w:val="00D74BAB"/>
    <w:rsid w:val="00D765A5"/>
    <w:rsid w:val="00DC09DE"/>
    <w:rsid w:val="00DE1EC5"/>
    <w:rsid w:val="00DE3BDA"/>
    <w:rsid w:val="00DE54AD"/>
    <w:rsid w:val="00DE646C"/>
    <w:rsid w:val="00DF49E9"/>
    <w:rsid w:val="00DF4EF2"/>
    <w:rsid w:val="00E11B0C"/>
    <w:rsid w:val="00E21A41"/>
    <w:rsid w:val="00E23DB4"/>
    <w:rsid w:val="00E265B8"/>
    <w:rsid w:val="00E32313"/>
    <w:rsid w:val="00E34997"/>
    <w:rsid w:val="00E361CE"/>
    <w:rsid w:val="00E444D2"/>
    <w:rsid w:val="00E564A7"/>
    <w:rsid w:val="00E75D2C"/>
    <w:rsid w:val="00EB6C64"/>
    <w:rsid w:val="00EC38C5"/>
    <w:rsid w:val="00EC4ADD"/>
    <w:rsid w:val="00ED10BA"/>
    <w:rsid w:val="00EF3AD6"/>
    <w:rsid w:val="00F02973"/>
    <w:rsid w:val="00F06E61"/>
    <w:rsid w:val="00F1341B"/>
    <w:rsid w:val="00F272F9"/>
    <w:rsid w:val="00F5194A"/>
    <w:rsid w:val="00F661B9"/>
    <w:rsid w:val="00F66530"/>
    <w:rsid w:val="00F83B55"/>
    <w:rsid w:val="00F85297"/>
    <w:rsid w:val="00F97928"/>
    <w:rsid w:val="00FA3CC9"/>
    <w:rsid w:val="00FA5993"/>
    <w:rsid w:val="00FC4691"/>
    <w:rsid w:val="00FD12B3"/>
    <w:rsid w:val="00FD47DE"/>
    <w:rsid w:val="00FD633F"/>
    <w:rsid w:val="00FE05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02A"/>
    <w:rPr>
      <w:sz w:val="24"/>
    </w:rPr>
  </w:style>
  <w:style w:type="paragraph" w:styleId="Heading1">
    <w:name w:val="heading 1"/>
    <w:basedOn w:val="Normal"/>
    <w:next w:val="Normal"/>
    <w:autoRedefine/>
    <w:qFormat/>
    <w:rsid w:val="009E602A"/>
    <w:pPr>
      <w:keepNext/>
      <w:spacing w:after="240"/>
      <w:ind w:left="720" w:hanging="720"/>
      <w:outlineLvl w:val="0"/>
    </w:pPr>
    <w:rPr>
      <w:b/>
      <w:caps/>
      <w:szCs w:val="24"/>
    </w:rPr>
  </w:style>
  <w:style w:type="paragraph" w:styleId="Heading2">
    <w:name w:val="heading 2"/>
    <w:basedOn w:val="Normal"/>
    <w:next w:val="Normal"/>
    <w:autoRedefine/>
    <w:qFormat/>
    <w:rsid w:val="009B409D"/>
    <w:pPr>
      <w:keepNext/>
      <w:spacing w:after="240"/>
      <w:ind w:left="1440" w:hanging="720"/>
      <w:outlineLvl w:val="1"/>
    </w:pPr>
    <w:rPr>
      <w:b/>
    </w:rPr>
  </w:style>
  <w:style w:type="paragraph" w:styleId="Heading3">
    <w:name w:val="heading 3"/>
    <w:basedOn w:val="Normal"/>
    <w:next w:val="Normal"/>
    <w:autoRedefine/>
    <w:qFormat/>
    <w:rsid w:val="007415B3"/>
    <w:pPr>
      <w:keepNext/>
      <w:keepLines/>
      <w:tabs>
        <w:tab w:val="decimal" w:leader="dot" w:pos="8640"/>
      </w:tabs>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5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5536EE"/>
    <w:pPr>
      <w:tabs>
        <w:tab w:val="center" w:pos="4320"/>
        <w:tab w:val="right" w:pos="8640"/>
      </w:tabs>
    </w:pPr>
    <w:rPr>
      <w:sz w:val="20"/>
    </w:rPr>
  </w:style>
  <w:style w:type="character" w:styleId="Hyperlink">
    <w:name w:val="Hyperlink"/>
    <w:uiPriority w:val="99"/>
    <w:rsid w:val="005536EE"/>
    <w:rPr>
      <w:color w:val="0000FF"/>
      <w:u w:val="single"/>
    </w:rPr>
  </w:style>
  <w:style w:type="paragraph" w:styleId="FootnoteText">
    <w:name w:val="footnote text"/>
    <w:basedOn w:val="Normal"/>
    <w:link w:val="FootnoteTextChar"/>
    <w:semiHidden/>
    <w:rsid w:val="005536EE"/>
    <w:rPr>
      <w:sz w:val="20"/>
    </w:rPr>
  </w:style>
  <w:style w:type="character" w:styleId="FootnoteReference">
    <w:name w:val="footnote reference"/>
    <w:semiHidden/>
    <w:rsid w:val="005536EE"/>
    <w:rPr>
      <w:vertAlign w:val="superscript"/>
    </w:rPr>
  </w:style>
  <w:style w:type="paragraph" w:styleId="BodyTextIndent">
    <w:name w:val="Body Text Indent"/>
    <w:basedOn w:val="Normal"/>
    <w:link w:val="BodyTextIndentChar"/>
    <w:rsid w:val="005536EE"/>
    <w:pPr>
      <w:spacing w:line="480" w:lineRule="auto"/>
      <w:ind w:firstLine="720"/>
    </w:pPr>
  </w:style>
  <w:style w:type="paragraph" w:styleId="BodyTextIndent3">
    <w:name w:val="Body Text Indent 3"/>
    <w:basedOn w:val="Normal"/>
    <w:link w:val="BodyTextIndent3Char"/>
    <w:rsid w:val="005536EE"/>
    <w:pPr>
      <w:spacing w:line="480" w:lineRule="atLeast"/>
      <w:ind w:firstLine="720"/>
    </w:pPr>
  </w:style>
  <w:style w:type="paragraph" w:styleId="BodyTextIndent2">
    <w:name w:val="Body Text Indent 2"/>
    <w:basedOn w:val="Normal"/>
    <w:rsid w:val="005536EE"/>
    <w:pPr>
      <w:tabs>
        <w:tab w:val="left" w:pos="720"/>
      </w:tabs>
      <w:spacing w:before="240" w:after="240"/>
      <w:ind w:left="1464" w:hanging="744"/>
    </w:pPr>
  </w:style>
  <w:style w:type="character" w:styleId="PageNumber">
    <w:name w:val="page number"/>
    <w:basedOn w:val="DefaultParagraphFont"/>
    <w:rsid w:val="005536EE"/>
  </w:style>
  <w:style w:type="paragraph" w:styleId="BodyText">
    <w:name w:val="Body Text"/>
    <w:basedOn w:val="Normal"/>
    <w:link w:val="BodyTextChar"/>
    <w:rsid w:val="005536EE"/>
    <w:pPr>
      <w:jc w:val="both"/>
    </w:pPr>
  </w:style>
  <w:style w:type="paragraph" w:styleId="BlockText">
    <w:name w:val="Block Text"/>
    <w:basedOn w:val="Normal"/>
    <w:rsid w:val="005536EE"/>
    <w:pPr>
      <w:ind w:left="1440" w:right="720"/>
    </w:pPr>
  </w:style>
  <w:style w:type="paragraph" w:styleId="EndnoteText">
    <w:name w:val="endnote text"/>
    <w:basedOn w:val="Normal"/>
    <w:semiHidden/>
    <w:rsid w:val="005536EE"/>
    <w:rPr>
      <w:sz w:val="20"/>
    </w:rPr>
  </w:style>
  <w:style w:type="character" w:styleId="EndnoteReference">
    <w:name w:val="endnote reference"/>
    <w:semiHidden/>
    <w:rsid w:val="005536EE"/>
    <w:rPr>
      <w:vertAlign w:val="superscript"/>
    </w:rPr>
  </w:style>
  <w:style w:type="paragraph" w:styleId="BodyText2">
    <w:name w:val="Body Text 2"/>
    <w:basedOn w:val="Normal"/>
    <w:rsid w:val="005536EE"/>
    <w:pPr>
      <w:spacing w:line="480" w:lineRule="auto"/>
      <w:ind w:right="1440"/>
    </w:pPr>
  </w:style>
  <w:style w:type="paragraph" w:styleId="Header">
    <w:name w:val="header"/>
    <w:basedOn w:val="Normal"/>
    <w:rsid w:val="005536EE"/>
    <w:pPr>
      <w:tabs>
        <w:tab w:val="center" w:pos="4320"/>
        <w:tab w:val="right" w:pos="8640"/>
      </w:tabs>
    </w:pPr>
  </w:style>
  <w:style w:type="paragraph" w:styleId="BalloonText">
    <w:name w:val="Balloon Text"/>
    <w:basedOn w:val="Normal"/>
    <w:semiHidden/>
    <w:rsid w:val="005536EE"/>
    <w:rPr>
      <w:rFonts w:ascii="Lucida Grande" w:hAnsi="Lucida Grande"/>
      <w:sz w:val="18"/>
      <w:szCs w:val="18"/>
    </w:rPr>
  </w:style>
  <w:style w:type="character" w:styleId="CommentReference">
    <w:name w:val="annotation reference"/>
    <w:semiHidden/>
    <w:rsid w:val="005536EE"/>
    <w:rPr>
      <w:sz w:val="18"/>
    </w:rPr>
  </w:style>
  <w:style w:type="paragraph" w:styleId="CommentText">
    <w:name w:val="annotation text"/>
    <w:basedOn w:val="Normal"/>
    <w:link w:val="CommentTextChar"/>
    <w:uiPriority w:val="99"/>
    <w:semiHidden/>
    <w:rsid w:val="005536EE"/>
    <w:rPr>
      <w:szCs w:val="24"/>
    </w:rPr>
  </w:style>
  <w:style w:type="paragraph" w:styleId="CommentSubject">
    <w:name w:val="annotation subject"/>
    <w:basedOn w:val="CommentText"/>
    <w:next w:val="CommentText"/>
    <w:semiHidden/>
    <w:rsid w:val="005536EE"/>
    <w:rPr>
      <w:szCs w:val="20"/>
    </w:rPr>
  </w:style>
  <w:style w:type="character" w:styleId="FollowedHyperlink">
    <w:name w:val="FollowedHyperlink"/>
    <w:rsid w:val="005536EE"/>
    <w:rPr>
      <w:color w:val="800080"/>
      <w:u w:val="single"/>
    </w:rPr>
  </w:style>
  <w:style w:type="character" w:customStyle="1" w:styleId="term1">
    <w:name w:val="term1"/>
    <w:rsid w:val="005536EE"/>
    <w:rPr>
      <w:b/>
      <w:bCs/>
    </w:rPr>
  </w:style>
  <w:style w:type="table" w:styleId="TableGrid">
    <w:name w:val="Table Grid"/>
    <w:basedOn w:val="TableNormal"/>
    <w:rsid w:val="00553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5536EE"/>
    <w:pPr>
      <w:suppressAutoHyphens/>
      <w:spacing w:line="480" w:lineRule="atLeast"/>
      <w:ind w:firstLine="720"/>
    </w:pPr>
    <w:rPr>
      <w:lang w:eastAsia="ar-SA"/>
    </w:rPr>
  </w:style>
  <w:style w:type="character" w:customStyle="1" w:styleId="FooterChar">
    <w:name w:val="Footer Char"/>
    <w:basedOn w:val="DefaultParagraphFont"/>
    <w:link w:val="Footer"/>
    <w:uiPriority w:val="99"/>
    <w:rsid w:val="00F66530"/>
  </w:style>
  <w:style w:type="character" w:customStyle="1" w:styleId="UnresolvedMention1">
    <w:name w:val="Unresolved Mention1"/>
    <w:basedOn w:val="DefaultParagraphFont"/>
    <w:uiPriority w:val="99"/>
    <w:semiHidden/>
    <w:unhideWhenUsed/>
    <w:rsid w:val="00E564A7"/>
    <w:rPr>
      <w:color w:val="605E5C"/>
      <w:shd w:val="clear" w:color="auto" w:fill="E1DFDD"/>
    </w:rPr>
  </w:style>
  <w:style w:type="character" w:customStyle="1" w:styleId="UnresolvedMention2">
    <w:name w:val="Unresolved Mention2"/>
    <w:basedOn w:val="DefaultParagraphFont"/>
    <w:uiPriority w:val="99"/>
    <w:semiHidden/>
    <w:unhideWhenUsed/>
    <w:rsid w:val="00370440"/>
    <w:rPr>
      <w:color w:val="605E5C"/>
      <w:shd w:val="clear" w:color="auto" w:fill="E1DFDD"/>
    </w:rPr>
  </w:style>
  <w:style w:type="paragraph" w:styleId="TOC1">
    <w:name w:val="toc 1"/>
    <w:basedOn w:val="Normal"/>
    <w:next w:val="Normal"/>
    <w:autoRedefine/>
    <w:uiPriority w:val="39"/>
    <w:unhideWhenUsed/>
    <w:qFormat/>
    <w:rsid w:val="009E602A"/>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9E602A"/>
    <w:pPr>
      <w:tabs>
        <w:tab w:val="decimal" w:leader="dot" w:pos="8640"/>
      </w:tabs>
      <w:spacing w:after="240"/>
      <w:ind w:left="1440" w:hanging="720"/>
    </w:pPr>
  </w:style>
  <w:style w:type="paragraph" w:styleId="TOC3">
    <w:name w:val="toc 3"/>
    <w:basedOn w:val="Normal"/>
    <w:next w:val="Normal"/>
    <w:autoRedefine/>
    <w:uiPriority w:val="39"/>
    <w:unhideWhenUsed/>
    <w:qFormat/>
    <w:rsid w:val="009E602A"/>
    <w:pPr>
      <w:spacing w:after="240"/>
      <w:ind w:left="2160" w:hanging="720"/>
    </w:pPr>
  </w:style>
  <w:style w:type="character" w:customStyle="1" w:styleId="BodyTextChar">
    <w:name w:val="Body Text Char"/>
    <w:basedOn w:val="DefaultParagraphFont"/>
    <w:link w:val="BodyText"/>
    <w:rsid w:val="009E602A"/>
    <w:rPr>
      <w:sz w:val="24"/>
    </w:rPr>
  </w:style>
  <w:style w:type="character" w:customStyle="1" w:styleId="BodyTextIndentChar">
    <w:name w:val="Body Text Indent Char"/>
    <w:basedOn w:val="DefaultParagraphFont"/>
    <w:link w:val="BodyTextIndent"/>
    <w:rsid w:val="009E602A"/>
    <w:rPr>
      <w:sz w:val="24"/>
    </w:rPr>
  </w:style>
  <w:style w:type="character" w:customStyle="1" w:styleId="FootnoteTextChar">
    <w:name w:val="Footnote Text Char"/>
    <w:basedOn w:val="DefaultParagraphFont"/>
    <w:link w:val="FootnoteText"/>
    <w:semiHidden/>
    <w:rsid w:val="00A14104"/>
  </w:style>
  <w:style w:type="character" w:customStyle="1" w:styleId="BodyTextIndent3Char">
    <w:name w:val="Body Text Indent 3 Char"/>
    <w:basedOn w:val="DefaultParagraphFont"/>
    <w:link w:val="BodyTextIndent3"/>
    <w:rsid w:val="00A14104"/>
    <w:rPr>
      <w:sz w:val="24"/>
    </w:rPr>
  </w:style>
  <w:style w:type="character" w:customStyle="1" w:styleId="UnresolvedMention3">
    <w:name w:val="Unresolved Mention3"/>
    <w:basedOn w:val="DefaultParagraphFont"/>
    <w:uiPriority w:val="99"/>
    <w:semiHidden/>
    <w:unhideWhenUsed/>
    <w:rsid w:val="007F4131"/>
    <w:rPr>
      <w:color w:val="605E5C"/>
      <w:shd w:val="clear" w:color="auto" w:fill="E1DFDD"/>
    </w:rPr>
  </w:style>
  <w:style w:type="character" w:customStyle="1" w:styleId="CommentTextChar">
    <w:name w:val="Comment Text Char"/>
    <w:basedOn w:val="DefaultParagraphFont"/>
    <w:link w:val="CommentText"/>
    <w:uiPriority w:val="99"/>
    <w:semiHidden/>
    <w:rsid w:val="00042BAB"/>
    <w:rPr>
      <w:sz w:val="24"/>
      <w:szCs w:val="24"/>
    </w:rPr>
  </w:style>
  <w:style w:type="paragraph" w:styleId="Revision">
    <w:name w:val="Revision"/>
    <w:hidden/>
    <w:uiPriority w:val="99"/>
    <w:semiHidden/>
    <w:rsid w:val="004432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even.beeler@ohioattorneygeneral.gov" TargetMode="External" /><Relationship Id="rId11" Type="http://schemas.openxmlformats.org/officeDocument/2006/relationships/hyperlink" Target="mailto:sam@cleanfuelsohio.org" TargetMode="External" /><Relationship Id="rId12" Type="http://schemas.openxmlformats.org/officeDocument/2006/relationships/hyperlink" Target="mailto:mpritchard@mcneeslaw.com" TargetMode="External" /><Relationship Id="rId13" Type="http://schemas.openxmlformats.org/officeDocument/2006/relationships/hyperlink" Target="mailto:rglover@mcneeslaw.com" TargetMode="External" /><Relationship Id="rId14" Type="http://schemas.openxmlformats.org/officeDocument/2006/relationships/hyperlink" Target="mailto:Rocco.Dascenzo@duke-energy.com" TargetMode="External" /><Relationship Id="rId15" Type="http://schemas.openxmlformats.org/officeDocument/2006/relationships/hyperlink" Target="mailto:Jeanne.kingery@duke-energy.com" TargetMode="External" /><Relationship Id="rId16" Type="http://schemas.openxmlformats.org/officeDocument/2006/relationships/hyperlink" Target="mailto:jcohen@greenlots.com" TargetMode="External" /><Relationship Id="rId17" Type="http://schemas.openxmlformats.org/officeDocument/2006/relationships/hyperlink" Target="mailto:dborchers@bricker.com" TargetMode="External" /><Relationship Id="rId18" Type="http://schemas.openxmlformats.org/officeDocument/2006/relationships/hyperlink" Target="mailto:kherrnstein@bricker.com" TargetMode="External" /><Relationship Id="rId19" Type="http://schemas.openxmlformats.org/officeDocument/2006/relationships/hyperlink" Target="mailto:edanford@firstenergycorp.com" TargetMode="External" /><Relationship Id="rId2" Type="http://schemas.openxmlformats.org/officeDocument/2006/relationships/settings" Target="settings.xml" /><Relationship Id="rId20" Type="http://schemas.openxmlformats.org/officeDocument/2006/relationships/hyperlink" Target="mailto:rdove@keglerbrown.com" TargetMode="External" /><Relationship Id="rId21" Type="http://schemas.openxmlformats.org/officeDocument/2006/relationships/hyperlink" Target="mailto:khelfrich@ohioec.org" TargetMode="External" /><Relationship Id="rId22" Type="http://schemas.openxmlformats.org/officeDocument/2006/relationships/hyperlink" Target="mailto:lkaleps@ohioec.org" TargetMode="External" /><Relationship Id="rId23" Type="http://schemas.openxmlformats.org/officeDocument/2006/relationships/hyperlink" Target="mailto:David.hicks@puco.ohio.gov" TargetMode="External" /><Relationship Id="rId24" Type="http://schemas.openxmlformats.org/officeDocument/2006/relationships/hyperlink" Target="mailto:Matthew.sandor@puco.ohio.gov" TargetMode="External" /><Relationship Id="rId25" Type="http://schemas.openxmlformats.org/officeDocument/2006/relationships/hyperlink" Target="mailto:Gibbs+@chemgroup.com" TargetMode="External" /><Relationship Id="rId26" Type="http://schemas.openxmlformats.org/officeDocument/2006/relationships/hyperlink" Target="mailto:stnourse@aep.com" TargetMode="External" /><Relationship Id="rId27" Type="http://schemas.openxmlformats.org/officeDocument/2006/relationships/hyperlink" Target="mailto:cmblend@aep.com" TargetMode="External" /><Relationship Id="rId28" Type="http://schemas.openxmlformats.org/officeDocument/2006/relationships/hyperlink" Target="mailto:joe.oliker@igsenergy.com" TargetMode="External" /><Relationship Id="rId29" Type="http://schemas.openxmlformats.org/officeDocument/2006/relationships/hyperlink" Target="mailto:bethany.allen@igs.com" TargetMode="External" /><Relationship Id="rId3" Type="http://schemas.openxmlformats.org/officeDocument/2006/relationships/webSettings" Target="webSettings.xml" /><Relationship Id="rId30" Type="http://schemas.openxmlformats.org/officeDocument/2006/relationships/hyperlink" Target="mailto:fdarr2019@gmail.com" TargetMode="External" /><Relationship Id="rId31" Type="http://schemas.openxmlformats.org/officeDocument/2006/relationships/hyperlink" Target="mailto:bgstewart@kmklaw.com" TargetMode="External" /><Relationship Id="rId32" Type="http://schemas.openxmlformats.org/officeDocument/2006/relationships/hyperlink" Target="mailto:kauerbacher@tesla.com" TargetMode="External" /><Relationship Id="rId33" Type="http://schemas.openxmlformats.org/officeDocument/2006/relationships/hyperlink" Target="mailto:wehrlich@tesla.com" TargetMode="External" /><Relationship Id="rId34" Type="http://schemas.openxmlformats.org/officeDocument/2006/relationships/hyperlink" Target="mailto:ccox@elpc.org" TargetMode="External" /><Relationship Id="rId35" Type="http://schemas.openxmlformats.org/officeDocument/2006/relationships/hyperlink" Target="mailto:mleppla@theoec.org" TargetMode="External" /><Relationship Id="rId36" Type="http://schemas.openxmlformats.org/officeDocument/2006/relationships/hyperlink" Target="mailto:ctavenor@theoec.org" TargetMode="External" /><Relationship Id="rId37" Type="http://schemas.openxmlformats.org/officeDocument/2006/relationships/footer" Target="footer3.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fontTable" Target="fontTable.xml" /><Relationship Id="rId40"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christopher.healey@occ.ohio.gov" TargetMode="External" /><Relationship Id="rId9" Type="http://schemas.openxmlformats.org/officeDocument/2006/relationships/hyperlink" Target="mailto:amy.botschner.obrie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E890A-4935-45C3-8248-2D62776A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EV CO20-434 - Reply Comments 4-2-20 w/dfs  (00143199.DOCX;1)</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2020-04-07T20:51:38Z</dcterms:created>
  <dcterms:modified xsi:type="dcterms:W3CDTF">2020-04-07T20:51:38Z</dcterms:modified>
</cp:coreProperties>
</file>