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1617D" w14:textId="77777777" w:rsidR="00BC3333" w:rsidRPr="003046A9" w:rsidRDefault="00BC3333" w:rsidP="00BC3333">
      <w:pPr>
        <w:jc w:val="center"/>
        <w:rPr>
          <w:rFonts w:eastAsia="Calibri" w:cs="Arial"/>
          <w:b/>
          <w:smallCaps/>
          <w:sz w:val="28"/>
          <w:szCs w:val="28"/>
        </w:rPr>
      </w:pPr>
      <w:r w:rsidRPr="003046A9">
        <w:rPr>
          <w:rFonts w:eastAsia="Calibri" w:cs="Arial"/>
          <w:b/>
          <w:smallCaps/>
          <w:sz w:val="28"/>
          <w:szCs w:val="28"/>
        </w:rPr>
        <w:t>Before</w:t>
      </w:r>
    </w:p>
    <w:p w14:paraId="0875C537" w14:textId="77777777" w:rsidR="00BC3333" w:rsidRPr="003046A9" w:rsidRDefault="00BC3333" w:rsidP="00BC3333">
      <w:pPr>
        <w:jc w:val="center"/>
        <w:rPr>
          <w:rFonts w:eastAsia="Calibri" w:cs="Arial"/>
          <w:b/>
          <w:smallCaps/>
          <w:sz w:val="28"/>
          <w:szCs w:val="28"/>
        </w:rPr>
      </w:pPr>
      <w:r w:rsidRPr="003046A9">
        <w:rPr>
          <w:rFonts w:eastAsia="Calibri" w:cs="Arial"/>
          <w:b/>
          <w:smallCaps/>
          <w:sz w:val="28"/>
          <w:szCs w:val="28"/>
        </w:rPr>
        <w:t>The Public Utilities Commission of Ohio</w:t>
      </w:r>
    </w:p>
    <w:p w14:paraId="291B896D" w14:textId="77777777" w:rsidR="00BC3333" w:rsidRDefault="00BC3333" w:rsidP="00BC3333">
      <w:pPr>
        <w:autoSpaceDE w:val="0"/>
        <w:autoSpaceDN w:val="0"/>
        <w:adjustRightInd w:val="0"/>
        <w:jc w:val="both"/>
        <w:rPr>
          <w:rFonts w:eastAsia="Calibri" w:cs="Arial"/>
        </w:rPr>
      </w:pPr>
    </w:p>
    <w:p w14:paraId="2073E827" w14:textId="77777777" w:rsidR="00BC3333" w:rsidRDefault="00BC3333" w:rsidP="00BC3333">
      <w:pPr>
        <w:autoSpaceDE w:val="0"/>
        <w:autoSpaceDN w:val="0"/>
        <w:adjustRightInd w:val="0"/>
        <w:jc w:val="both"/>
        <w:rPr>
          <w:rFonts w:eastAsia="Calibri" w:cs="Arial"/>
        </w:rPr>
      </w:pPr>
    </w:p>
    <w:p w14:paraId="199DD392"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In the Matter of the Application of</w:t>
      </w:r>
      <w:r w:rsidRPr="00AC2E18">
        <w:rPr>
          <w:rFonts w:cs="Arial"/>
        </w:rPr>
        <w:tab/>
        <w:t>)</w:t>
      </w:r>
    </w:p>
    <w:p w14:paraId="56CA52BE"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The Dayton Power and Light Company for</w:t>
      </w:r>
      <w:r w:rsidRPr="00AC2E18">
        <w:rPr>
          <w:rFonts w:cs="Arial"/>
        </w:rPr>
        <w:tab/>
        <w:t>)</w:t>
      </w:r>
      <w:r w:rsidRPr="00AC2E18">
        <w:rPr>
          <w:rFonts w:cs="Arial"/>
        </w:rPr>
        <w:tab/>
        <w:t>Case No. 16-395-EL-SSO</w:t>
      </w:r>
    </w:p>
    <w:p w14:paraId="2AD52089"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Approval of Its Electric Security Plan</w:t>
      </w:r>
      <w:r w:rsidRPr="00AC2E18">
        <w:rPr>
          <w:rFonts w:cs="Arial"/>
        </w:rPr>
        <w:tab/>
        <w:t>)</w:t>
      </w:r>
    </w:p>
    <w:p w14:paraId="4D4DF59F" w14:textId="77777777" w:rsidR="00BC3333" w:rsidRPr="00AC2E18" w:rsidRDefault="00BC3333" w:rsidP="00BC3333">
      <w:pPr>
        <w:tabs>
          <w:tab w:val="left" w:pos="4680"/>
          <w:tab w:val="left" w:pos="5220"/>
        </w:tabs>
        <w:autoSpaceDE w:val="0"/>
        <w:autoSpaceDN w:val="0"/>
        <w:adjustRightInd w:val="0"/>
        <w:jc w:val="both"/>
        <w:rPr>
          <w:rFonts w:cs="Arial"/>
        </w:rPr>
      </w:pPr>
    </w:p>
    <w:p w14:paraId="42D4A409"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In the Matter of the Application of</w:t>
      </w:r>
      <w:r w:rsidRPr="00AC2E18">
        <w:rPr>
          <w:rFonts w:cs="Arial"/>
        </w:rPr>
        <w:tab/>
        <w:t>)</w:t>
      </w:r>
    </w:p>
    <w:p w14:paraId="72A5CDD9"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The Dayton Power and Light Company for</w:t>
      </w:r>
      <w:r w:rsidRPr="00AC2E18">
        <w:rPr>
          <w:rFonts w:cs="Arial"/>
        </w:rPr>
        <w:tab/>
        <w:t>)</w:t>
      </w:r>
      <w:r w:rsidRPr="00AC2E18">
        <w:rPr>
          <w:rFonts w:cs="Arial"/>
        </w:rPr>
        <w:tab/>
        <w:t>Case No. 16-396-EL-ATA</w:t>
      </w:r>
    </w:p>
    <w:p w14:paraId="5DD70334"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Approval of Revised Tariffs</w:t>
      </w:r>
      <w:r w:rsidRPr="00AC2E18">
        <w:rPr>
          <w:rFonts w:cs="Arial"/>
        </w:rPr>
        <w:tab/>
        <w:t>)</w:t>
      </w:r>
    </w:p>
    <w:p w14:paraId="1CA2C805" w14:textId="77777777" w:rsidR="00BC3333" w:rsidRPr="00AC2E18" w:rsidRDefault="00BC3333" w:rsidP="00BC3333">
      <w:pPr>
        <w:tabs>
          <w:tab w:val="left" w:pos="4680"/>
          <w:tab w:val="left" w:pos="5220"/>
        </w:tabs>
        <w:autoSpaceDE w:val="0"/>
        <w:autoSpaceDN w:val="0"/>
        <w:adjustRightInd w:val="0"/>
        <w:jc w:val="both"/>
        <w:rPr>
          <w:rFonts w:cs="Arial"/>
        </w:rPr>
      </w:pPr>
    </w:p>
    <w:p w14:paraId="2BE03166"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In the Matter of the Application of</w:t>
      </w:r>
      <w:r w:rsidRPr="00AC2E18">
        <w:rPr>
          <w:rFonts w:cs="Arial"/>
        </w:rPr>
        <w:tab/>
        <w:t>)</w:t>
      </w:r>
    </w:p>
    <w:p w14:paraId="52D3D7C4"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The Dayton Power and Light Company for</w:t>
      </w:r>
      <w:r w:rsidRPr="00AC2E18">
        <w:rPr>
          <w:rFonts w:cs="Arial"/>
        </w:rPr>
        <w:tab/>
        <w:t>)</w:t>
      </w:r>
      <w:r w:rsidRPr="00AC2E18">
        <w:rPr>
          <w:rFonts w:cs="Arial"/>
        </w:rPr>
        <w:tab/>
        <w:t>Case No. 16-397-EL-AAM</w:t>
      </w:r>
    </w:p>
    <w:p w14:paraId="24095F82"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Approval of Certain Accounting Authority</w:t>
      </w:r>
      <w:r w:rsidRPr="00AC2E18">
        <w:rPr>
          <w:rFonts w:cs="Arial"/>
        </w:rPr>
        <w:tab/>
        <w:t>)</w:t>
      </w:r>
    </w:p>
    <w:p w14:paraId="16A1C7E2" w14:textId="77777777" w:rsidR="00BC3333" w:rsidRPr="00AC2E18" w:rsidRDefault="00BC3333" w:rsidP="00BC3333">
      <w:pPr>
        <w:tabs>
          <w:tab w:val="left" w:pos="4680"/>
          <w:tab w:val="left" w:pos="5220"/>
        </w:tabs>
        <w:autoSpaceDE w:val="0"/>
        <w:autoSpaceDN w:val="0"/>
        <w:adjustRightInd w:val="0"/>
        <w:jc w:val="both"/>
        <w:rPr>
          <w:rFonts w:cs="Arial"/>
        </w:rPr>
      </w:pPr>
      <w:r w:rsidRPr="00AC2E18">
        <w:rPr>
          <w:rFonts w:cs="Arial"/>
        </w:rPr>
        <w:t>Pursuant to Ohio Rev. Code § 4905.13</w:t>
      </w:r>
      <w:r w:rsidRPr="00AC2E18">
        <w:rPr>
          <w:rFonts w:cs="Arial"/>
        </w:rPr>
        <w:tab/>
        <w:t>)</w:t>
      </w:r>
    </w:p>
    <w:p w14:paraId="577DF1C8" w14:textId="77777777" w:rsidR="00BC3333" w:rsidRDefault="00BC3333" w:rsidP="00BC3333">
      <w:pPr>
        <w:pBdr>
          <w:bottom w:val="single" w:sz="12" w:space="1" w:color="auto"/>
        </w:pBdr>
        <w:jc w:val="both"/>
        <w:rPr>
          <w:b/>
        </w:rPr>
      </w:pPr>
    </w:p>
    <w:p w14:paraId="15B166D7" w14:textId="77777777" w:rsidR="004F4572" w:rsidRDefault="004F4572" w:rsidP="00BC3333">
      <w:pPr>
        <w:pBdr>
          <w:bottom w:val="single" w:sz="12" w:space="1" w:color="auto"/>
        </w:pBdr>
        <w:jc w:val="both"/>
        <w:rPr>
          <w:b/>
        </w:rPr>
      </w:pPr>
    </w:p>
    <w:p w14:paraId="51C31022" w14:textId="77777777" w:rsidR="00BC3333" w:rsidRDefault="00BC3333" w:rsidP="00BC3333">
      <w:pPr>
        <w:jc w:val="both"/>
        <w:rPr>
          <w:b/>
        </w:rPr>
      </w:pPr>
    </w:p>
    <w:p w14:paraId="434ED3E0" w14:textId="77777777" w:rsidR="00BC3333" w:rsidRPr="00400543" w:rsidRDefault="00BC3333" w:rsidP="00BC3333">
      <w:pPr>
        <w:pBdr>
          <w:bottom w:val="single" w:sz="12" w:space="1" w:color="auto"/>
        </w:pBdr>
        <w:jc w:val="center"/>
        <w:rPr>
          <w:rFonts w:ascii="Arial Bold" w:hAnsi="Arial Bold"/>
          <w:b/>
          <w:smallCaps/>
        </w:rPr>
      </w:pPr>
      <w:r w:rsidRPr="00400543">
        <w:rPr>
          <w:rFonts w:ascii="Arial Bold" w:hAnsi="Arial Bold"/>
          <w:b/>
          <w:smallCaps/>
        </w:rPr>
        <w:t>Industrial Energy Users-Ohio’s Reply to the Dayton Power and Light Company’s Memorandum Contra to the Industrial Energy Users-Ohio’s Motion to Dismiss, in Part</w:t>
      </w:r>
      <w:r w:rsidR="009802ED">
        <w:rPr>
          <w:rFonts w:ascii="Arial Bold" w:hAnsi="Arial Bold"/>
          <w:b/>
          <w:smallCaps/>
        </w:rPr>
        <w:t>, the Electric Security Plan Application</w:t>
      </w:r>
    </w:p>
    <w:p w14:paraId="422304F4" w14:textId="77777777" w:rsidR="00BC3333" w:rsidRDefault="00BC3333" w:rsidP="00BC3333">
      <w:pPr>
        <w:pBdr>
          <w:bottom w:val="single" w:sz="12" w:space="1" w:color="auto"/>
        </w:pBdr>
        <w:jc w:val="both"/>
        <w:rPr>
          <w:b/>
        </w:rPr>
      </w:pPr>
    </w:p>
    <w:p w14:paraId="5481D08B" w14:textId="77777777" w:rsidR="00BC3333" w:rsidRDefault="00BC3333" w:rsidP="00BC3333">
      <w:pPr>
        <w:jc w:val="both"/>
        <w:rPr>
          <w:b/>
        </w:rPr>
      </w:pPr>
    </w:p>
    <w:p w14:paraId="132A3E6A" w14:textId="77777777" w:rsidR="00BC3333" w:rsidRDefault="00BC3333" w:rsidP="00BC3333">
      <w:pPr>
        <w:jc w:val="both"/>
        <w:rPr>
          <w:b/>
        </w:rPr>
      </w:pPr>
    </w:p>
    <w:p w14:paraId="56A91AC9" w14:textId="77777777" w:rsidR="00BC3333" w:rsidRDefault="00BC3333" w:rsidP="00BC3333">
      <w:pPr>
        <w:widowControl w:val="0"/>
        <w:tabs>
          <w:tab w:val="left" w:pos="4320"/>
        </w:tabs>
        <w:ind w:left="4320"/>
        <w:rPr>
          <w:rFonts w:eastAsia="Calibri" w:cs="Arial"/>
          <w:bCs/>
        </w:rPr>
      </w:pPr>
    </w:p>
    <w:p w14:paraId="3075664A" w14:textId="77777777" w:rsidR="00BC3333" w:rsidRDefault="00BC3333" w:rsidP="00BC3333">
      <w:pPr>
        <w:widowControl w:val="0"/>
        <w:tabs>
          <w:tab w:val="left" w:pos="4320"/>
        </w:tabs>
        <w:ind w:left="4320"/>
        <w:rPr>
          <w:rFonts w:eastAsia="Calibri" w:cs="Arial"/>
          <w:bCs/>
        </w:rPr>
      </w:pPr>
    </w:p>
    <w:p w14:paraId="22E1F37C" w14:textId="77777777" w:rsidR="00BC3333" w:rsidRDefault="00BC3333" w:rsidP="00BC3333">
      <w:pPr>
        <w:widowControl w:val="0"/>
        <w:tabs>
          <w:tab w:val="left" w:pos="4320"/>
        </w:tabs>
        <w:ind w:left="4320"/>
        <w:rPr>
          <w:rFonts w:eastAsia="Calibri" w:cs="Arial"/>
          <w:bCs/>
        </w:rPr>
      </w:pPr>
    </w:p>
    <w:p w14:paraId="5146A447" w14:textId="77777777" w:rsidR="00BC3333" w:rsidRDefault="00BC3333" w:rsidP="004F4572">
      <w:pPr>
        <w:widowControl w:val="0"/>
        <w:tabs>
          <w:tab w:val="left" w:pos="4320"/>
        </w:tabs>
        <w:rPr>
          <w:rFonts w:eastAsia="Calibri" w:cs="Arial"/>
          <w:bCs/>
        </w:rPr>
      </w:pPr>
    </w:p>
    <w:p w14:paraId="1E191588" w14:textId="77777777" w:rsidR="00BC3333" w:rsidRDefault="00BC3333" w:rsidP="00BC3333">
      <w:pPr>
        <w:widowControl w:val="0"/>
        <w:tabs>
          <w:tab w:val="left" w:pos="4320"/>
        </w:tabs>
        <w:ind w:left="4320"/>
        <w:rPr>
          <w:rFonts w:eastAsia="Calibri" w:cs="Arial"/>
          <w:bCs/>
        </w:rPr>
      </w:pPr>
    </w:p>
    <w:p w14:paraId="435BBECC" w14:textId="77777777" w:rsidR="00BC3333" w:rsidRDefault="00BC3333" w:rsidP="00BC3333">
      <w:pPr>
        <w:widowControl w:val="0"/>
        <w:tabs>
          <w:tab w:val="left" w:pos="4320"/>
        </w:tabs>
        <w:ind w:left="4320"/>
        <w:rPr>
          <w:rFonts w:eastAsia="Calibri" w:cs="Arial"/>
          <w:bCs/>
        </w:rPr>
      </w:pPr>
    </w:p>
    <w:p w14:paraId="31B38163" w14:textId="77777777" w:rsidR="00BC3333" w:rsidRDefault="00BC3333" w:rsidP="00BC3333">
      <w:pPr>
        <w:widowControl w:val="0"/>
        <w:tabs>
          <w:tab w:val="left" w:pos="4320"/>
        </w:tabs>
        <w:ind w:left="4320"/>
        <w:rPr>
          <w:rFonts w:eastAsia="Calibri" w:cs="Arial"/>
          <w:bCs/>
        </w:rPr>
      </w:pPr>
      <w:r>
        <w:rPr>
          <w:rFonts w:eastAsia="Calibri" w:cs="Arial"/>
          <w:bCs/>
        </w:rPr>
        <w:t>Frank P. Darr (Reg. No. 0025469)</w:t>
      </w:r>
    </w:p>
    <w:p w14:paraId="4E776E4F" w14:textId="77777777" w:rsidR="00BC3333" w:rsidRDefault="00BC3333" w:rsidP="00BC3333">
      <w:pPr>
        <w:widowControl w:val="0"/>
        <w:tabs>
          <w:tab w:val="left" w:pos="4320"/>
        </w:tabs>
        <w:ind w:left="4320"/>
        <w:rPr>
          <w:rFonts w:eastAsia="Calibri" w:cs="Arial"/>
          <w:bCs/>
        </w:rPr>
      </w:pPr>
      <w:r>
        <w:rPr>
          <w:rFonts w:eastAsia="Calibri" w:cs="Arial"/>
          <w:bCs/>
        </w:rPr>
        <w:t>Counsel of Record</w:t>
      </w:r>
    </w:p>
    <w:p w14:paraId="56CFA124" w14:textId="77777777" w:rsidR="00BC3333" w:rsidRDefault="00BC3333" w:rsidP="00BC3333">
      <w:pPr>
        <w:widowControl w:val="0"/>
        <w:tabs>
          <w:tab w:val="left" w:pos="4320"/>
        </w:tabs>
        <w:ind w:left="4320"/>
        <w:rPr>
          <w:rFonts w:eastAsia="Calibri" w:cs="Arial"/>
          <w:b/>
          <w:bCs/>
        </w:rPr>
      </w:pPr>
      <w:r>
        <w:rPr>
          <w:rFonts w:eastAsia="Calibri" w:cs="Arial"/>
          <w:bCs/>
        </w:rPr>
        <w:t>Matthew R. Pritchard (Reg. No. 0088070)</w:t>
      </w:r>
    </w:p>
    <w:p w14:paraId="7665D71D" w14:textId="77777777" w:rsidR="00BC3333" w:rsidRDefault="00BC3333" w:rsidP="00BC3333">
      <w:pPr>
        <w:widowControl w:val="0"/>
        <w:tabs>
          <w:tab w:val="left" w:pos="4320"/>
        </w:tabs>
        <w:ind w:left="4320"/>
        <w:rPr>
          <w:rFonts w:eastAsia="Calibri" w:cs="Arial"/>
          <w:b/>
          <w:bCs/>
          <w:smallCaps/>
        </w:rPr>
      </w:pPr>
      <w:r>
        <w:rPr>
          <w:rFonts w:eastAsia="Calibri" w:cs="Arial"/>
          <w:bCs/>
          <w:smallCaps/>
        </w:rPr>
        <w:t>McNees Wallace &amp; Nurick LLC</w:t>
      </w:r>
    </w:p>
    <w:p w14:paraId="3BFA6919" w14:textId="77777777" w:rsidR="00BC3333" w:rsidRDefault="00BC3333" w:rsidP="00BC3333">
      <w:pPr>
        <w:widowControl w:val="0"/>
        <w:tabs>
          <w:tab w:val="left" w:pos="4320"/>
        </w:tabs>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109EBDC6" w14:textId="77777777" w:rsidR="00BC3333" w:rsidRDefault="00BC3333" w:rsidP="00BC3333">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Pr>
          <w:rFonts w:eastAsia="Calibri" w:cs="Arial"/>
        </w:rPr>
        <w:t>Columbus, OH  43215</w:t>
      </w:r>
    </w:p>
    <w:p w14:paraId="34E318AA" w14:textId="77777777" w:rsidR="00BC3333" w:rsidRDefault="00BC3333" w:rsidP="00BC3333">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Pr>
          <w:rFonts w:eastAsia="Calibri" w:cs="Arial"/>
        </w:rPr>
        <w:t>Telephone:  (614) 469-8000</w:t>
      </w:r>
    </w:p>
    <w:p w14:paraId="07361365" w14:textId="77777777" w:rsidR="00BC3333" w:rsidRDefault="00BC3333" w:rsidP="00BC3333">
      <w:pPr>
        <w:tabs>
          <w:tab w:val="left" w:pos="-1440"/>
          <w:tab w:val="left" w:pos="-720"/>
          <w:tab w:val="left" w:pos="4320"/>
          <w:tab w:val="left" w:pos="5040"/>
          <w:tab w:val="center" w:pos="7200"/>
        </w:tabs>
        <w:overflowPunct w:val="0"/>
        <w:autoSpaceDE w:val="0"/>
        <w:autoSpaceDN w:val="0"/>
        <w:adjustRightInd w:val="0"/>
        <w:ind w:left="4320"/>
        <w:rPr>
          <w:rFonts w:eastAsia="Calibri" w:cs="Arial"/>
        </w:rPr>
      </w:pPr>
      <w:r>
        <w:rPr>
          <w:rFonts w:eastAsia="Calibri" w:cs="Arial"/>
        </w:rPr>
        <w:t>Telecopier:  (614) 469-4653</w:t>
      </w:r>
    </w:p>
    <w:p w14:paraId="4092B0CE" w14:textId="77777777" w:rsidR="00BC3333" w:rsidRDefault="00BC3333" w:rsidP="00BC333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rPr>
        <w:t>fdarr@mwncmh.com</w:t>
      </w:r>
    </w:p>
    <w:p w14:paraId="5695A1A1" w14:textId="77777777" w:rsidR="00BC3333" w:rsidRDefault="00BC3333" w:rsidP="00BC333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456692AD" w14:textId="77777777" w:rsidR="00BC3333" w:rsidRDefault="00BC3333" w:rsidP="00BC3333">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Pr>
          <w:rFonts w:eastAsia="Calibri" w:cs="Arial"/>
          <w:color w:val="000000"/>
        </w:rPr>
        <w:t>mpritchard@mwncmh.com</w:t>
      </w:r>
    </w:p>
    <w:p w14:paraId="0B15D3FD" w14:textId="77777777" w:rsidR="00BC3333" w:rsidRDefault="00BC3333" w:rsidP="00BC333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5F723BEB" w14:textId="77777777" w:rsidR="00BC3333" w:rsidRDefault="00BC3333" w:rsidP="00BC3333">
      <w:pPr>
        <w:tabs>
          <w:tab w:val="left" w:pos="-1440"/>
          <w:tab w:val="left" w:pos="-720"/>
          <w:tab w:val="left" w:pos="5040"/>
          <w:tab w:val="center" w:pos="7200"/>
        </w:tabs>
        <w:overflowPunct w:val="0"/>
        <w:autoSpaceDE w:val="0"/>
        <w:autoSpaceDN w:val="0"/>
        <w:adjustRightInd w:val="0"/>
        <w:ind w:left="4320"/>
        <w:rPr>
          <w:rFonts w:eastAsia="Calibri" w:cs="Arial"/>
          <w:b/>
          <w:smallCaps/>
        </w:rPr>
      </w:pPr>
    </w:p>
    <w:p w14:paraId="6F7761CB" w14:textId="77777777" w:rsidR="0023417C" w:rsidRDefault="00BC3333" w:rsidP="00BC3333">
      <w:pPr>
        <w:jc w:val="center"/>
        <w:rPr>
          <w:rFonts w:eastAsia="Calibri" w:cs="Arial"/>
          <w:b/>
        </w:rPr>
        <w:sectPr w:rsidR="0023417C" w:rsidSect="00E91E10">
          <w:footerReference w:type="default" r:id="rId7"/>
          <w:footerReference w:type="first" r:id="rId8"/>
          <w:pgSz w:w="12240" w:h="15840" w:code="1"/>
          <w:pgMar w:top="1440" w:right="1440" w:bottom="1440" w:left="1440" w:header="720" w:footer="720" w:gutter="0"/>
          <w:pgNumType w:start="1"/>
          <w:cols w:space="720"/>
          <w:titlePg/>
          <w:docGrid w:linePitch="360"/>
        </w:sectPr>
      </w:pPr>
      <w:r>
        <w:rPr>
          <w:rFonts w:eastAsia="Calibri" w:cs="Arial"/>
          <w:b/>
        </w:rPr>
        <w:t xml:space="preserve">December </w:t>
      </w:r>
      <w:r w:rsidR="00066AC1">
        <w:rPr>
          <w:rFonts w:eastAsia="Calibri" w:cs="Arial"/>
          <w:b/>
        </w:rPr>
        <w:t>22</w:t>
      </w:r>
      <w:r>
        <w:rPr>
          <w:rFonts w:eastAsia="Calibri" w:cs="Arial"/>
          <w:b/>
        </w:rPr>
        <w:t>, 2016</w:t>
      </w:r>
      <w:r>
        <w:rPr>
          <w:rFonts w:eastAsia="Calibri" w:cs="Arial"/>
          <w:b/>
        </w:rPr>
        <w:tab/>
      </w:r>
      <w:r>
        <w:rPr>
          <w:rFonts w:eastAsia="Calibri" w:cs="Arial"/>
          <w:b/>
        </w:rPr>
        <w:tab/>
      </w:r>
      <w:r>
        <w:rPr>
          <w:rFonts w:eastAsia="Calibri" w:cs="Arial"/>
          <w:b/>
        </w:rPr>
        <w:tab/>
        <w:t>Attorneys for Industrial Energy Users-Ohio</w:t>
      </w:r>
    </w:p>
    <w:p w14:paraId="3C718A40" w14:textId="2E78E85F" w:rsidR="00BC3333" w:rsidRDefault="00BC3333" w:rsidP="00BC3333">
      <w:pPr>
        <w:jc w:val="center"/>
        <w:rPr>
          <w:rFonts w:eastAsia="Calibri" w:cs="Arial"/>
          <w:b/>
        </w:rPr>
        <w:sectPr w:rsidR="00BC3333" w:rsidSect="0023417C">
          <w:type w:val="continuous"/>
          <w:pgSz w:w="12240" w:h="15840" w:code="1"/>
          <w:pgMar w:top="1440" w:right="1440" w:bottom="1440" w:left="1440" w:header="720" w:footer="720" w:gutter="0"/>
          <w:pgNumType w:start="1"/>
          <w:cols w:space="720"/>
          <w:titlePg/>
          <w:docGrid w:linePitch="360"/>
        </w:sectPr>
      </w:pPr>
    </w:p>
    <w:p w14:paraId="52DC2E1A" w14:textId="447111F9" w:rsidR="009522AD" w:rsidRPr="00C82024" w:rsidRDefault="009522AD" w:rsidP="007877B6">
      <w:pPr>
        <w:pStyle w:val="TOCHeading"/>
        <w:rPr>
          <w:rFonts w:ascii="Arial Bold" w:hAnsi="Arial Bold"/>
          <w:caps/>
          <w:u w:val="single"/>
        </w:rPr>
      </w:pPr>
      <w:bookmarkStart w:id="0" w:name="TOCHeading_1"/>
      <w:r w:rsidRPr="00C82024">
        <w:rPr>
          <w:rFonts w:ascii="Arial Bold" w:hAnsi="Arial Bold"/>
          <w:caps/>
          <w:u w:val="single"/>
        </w:rPr>
        <w:lastRenderedPageBreak/>
        <w:t>Table of Contents</w:t>
      </w:r>
    </w:p>
    <w:p w14:paraId="5A353E26" w14:textId="77777777" w:rsidR="009522AD" w:rsidRDefault="009522AD" w:rsidP="009522AD">
      <w:pPr>
        <w:pStyle w:val="TOCPage"/>
      </w:pPr>
      <w:bookmarkStart w:id="1" w:name="TOCPage_1"/>
      <w:bookmarkEnd w:id="0"/>
      <w:r>
        <w:t>Page</w:t>
      </w:r>
    </w:p>
    <w:bookmarkEnd w:id="1"/>
    <w:p w14:paraId="2457C1F4" w14:textId="7F0772F8" w:rsidR="009522AD" w:rsidRDefault="009522AD" w:rsidP="001E4A52">
      <w:pPr>
        <w:pStyle w:val="TOC1"/>
        <w:rPr>
          <w:rFonts w:asciiTheme="minorHAnsi" w:eastAsiaTheme="minorEastAsia" w:hAnsiTheme="minorHAnsi"/>
          <w:noProof/>
          <w:sz w:val="22"/>
          <w:szCs w:val="22"/>
        </w:rPr>
      </w:pPr>
      <w:r>
        <w:fldChar w:fldCharType="begin"/>
      </w:r>
      <w:r>
        <w:instrText xml:space="preserve"> TOC \t "Heading 1,1,Heading 2,2,Heading 3,3" </w:instrText>
      </w:r>
      <w:r>
        <w:fldChar w:fldCharType="separate"/>
      </w:r>
      <w:bookmarkStart w:id="2" w:name="TOCLocation_1"/>
      <w:r w:rsidRPr="008E6E9E">
        <w:rPr>
          <w:noProof/>
          <w:color w:val="010000"/>
        </w:rPr>
        <w:t>I.</w:t>
      </w:r>
      <w:r>
        <w:rPr>
          <w:rFonts w:asciiTheme="minorHAnsi" w:eastAsiaTheme="minorEastAsia" w:hAnsiTheme="minorHAnsi"/>
          <w:noProof/>
          <w:sz w:val="22"/>
          <w:szCs w:val="22"/>
        </w:rPr>
        <w:tab/>
      </w:r>
      <w:r w:rsidR="008252C7">
        <w:rPr>
          <w:noProof/>
        </w:rPr>
        <w:t>INTRODUCTION</w:t>
      </w:r>
      <w:r w:rsidR="008F4273">
        <w:rPr>
          <w:noProof/>
        </w:rPr>
        <w:tab/>
      </w:r>
      <w:r>
        <w:rPr>
          <w:noProof/>
        </w:rPr>
        <w:fldChar w:fldCharType="begin"/>
      </w:r>
      <w:r>
        <w:rPr>
          <w:noProof/>
        </w:rPr>
        <w:instrText xml:space="preserve"> PAGEREF _Toc470076027 \h </w:instrText>
      </w:r>
      <w:r>
        <w:rPr>
          <w:noProof/>
        </w:rPr>
      </w:r>
      <w:r>
        <w:rPr>
          <w:noProof/>
        </w:rPr>
        <w:fldChar w:fldCharType="separate"/>
      </w:r>
      <w:r>
        <w:rPr>
          <w:noProof/>
        </w:rPr>
        <w:t>2</w:t>
      </w:r>
      <w:r>
        <w:rPr>
          <w:noProof/>
        </w:rPr>
        <w:fldChar w:fldCharType="end"/>
      </w:r>
    </w:p>
    <w:p w14:paraId="55B87EA3" w14:textId="2D22AA6C" w:rsidR="009522AD" w:rsidRDefault="009522AD" w:rsidP="001E4A52">
      <w:pPr>
        <w:pStyle w:val="TOC1"/>
        <w:rPr>
          <w:rFonts w:asciiTheme="minorHAnsi" w:eastAsiaTheme="minorEastAsia" w:hAnsiTheme="minorHAnsi"/>
          <w:noProof/>
          <w:sz w:val="22"/>
          <w:szCs w:val="22"/>
        </w:rPr>
      </w:pPr>
      <w:r w:rsidRPr="008E6E9E">
        <w:rPr>
          <w:noProof/>
          <w:color w:val="010000"/>
        </w:rPr>
        <w:t>II.</w:t>
      </w:r>
      <w:r>
        <w:rPr>
          <w:rFonts w:asciiTheme="minorHAnsi" w:eastAsiaTheme="minorEastAsia" w:hAnsiTheme="minorHAnsi"/>
          <w:noProof/>
          <w:sz w:val="22"/>
          <w:szCs w:val="22"/>
        </w:rPr>
        <w:tab/>
      </w:r>
      <w:r w:rsidRPr="001E4A52">
        <w:rPr>
          <w:caps/>
          <w:noProof/>
        </w:rPr>
        <w:t>The Commission is authorized to dismiss an application for a standard service offer, or portions of it, that, as a matter of law, cannot be authorized</w:t>
      </w:r>
      <w:r w:rsidR="008F4273">
        <w:rPr>
          <w:noProof/>
        </w:rPr>
        <w:tab/>
      </w:r>
      <w:r>
        <w:rPr>
          <w:noProof/>
        </w:rPr>
        <w:fldChar w:fldCharType="begin"/>
      </w:r>
      <w:r>
        <w:rPr>
          <w:noProof/>
        </w:rPr>
        <w:instrText xml:space="preserve"> PAGEREF _Toc470076028 \h </w:instrText>
      </w:r>
      <w:r>
        <w:rPr>
          <w:noProof/>
        </w:rPr>
      </w:r>
      <w:r>
        <w:rPr>
          <w:noProof/>
        </w:rPr>
        <w:fldChar w:fldCharType="separate"/>
      </w:r>
      <w:r>
        <w:rPr>
          <w:noProof/>
        </w:rPr>
        <w:t>4</w:t>
      </w:r>
      <w:r>
        <w:rPr>
          <w:noProof/>
        </w:rPr>
        <w:fldChar w:fldCharType="end"/>
      </w:r>
    </w:p>
    <w:p w14:paraId="21DF1A9E" w14:textId="211BB00B" w:rsidR="009522AD" w:rsidRDefault="009522AD" w:rsidP="001E4A52">
      <w:pPr>
        <w:pStyle w:val="TOC1"/>
        <w:rPr>
          <w:rFonts w:asciiTheme="minorHAnsi" w:eastAsiaTheme="minorEastAsia" w:hAnsiTheme="minorHAnsi"/>
          <w:noProof/>
          <w:sz w:val="22"/>
          <w:szCs w:val="22"/>
        </w:rPr>
      </w:pPr>
      <w:r w:rsidRPr="008E6E9E">
        <w:rPr>
          <w:noProof/>
          <w:color w:val="010000"/>
        </w:rPr>
        <w:t>III.</w:t>
      </w:r>
      <w:r>
        <w:rPr>
          <w:rFonts w:asciiTheme="minorHAnsi" w:eastAsiaTheme="minorEastAsia" w:hAnsiTheme="minorHAnsi"/>
          <w:noProof/>
          <w:sz w:val="22"/>
          <w:szCs w:val="22"/>
        </w:rPr>
        <w:tab/>
      </w:r>
      <w:r w:rsidRPr="001E4A52">
        <w:rPr>
          <w:caps/>
          <w:noProof/>
        </w:rPr>
        <w:t>DP&amp;L’s Attempt to Excuse its Failure to Support the RCR, UEX, and Storm Rider by Reference to its Application for a Rate Increase Violates R.C. 4928.143(C)(1) and Commission Rules Requiring an Applicant to Fully Support its Application for an Electric Security Plan</w:t>
      </w:r>
      <w:r w:rsidR="008F4273">
        <w:rPr>
          <w:noProof/>
        </w:rPr>
        <w:tab/>
      </w:r>
      <w:r>
        <w:rPr>
          <w:noProof/>
        </w:rPr>
        <w:fldChar w:fldCharType="begin"/>
      </w:r>
      <w:r>
        <w:rPr>
          <w:noProof/>
        </w:rPr>
        <w:instrText xml:space="preserve"> PAGEREF _Toc470076029 \h </w:instrText>
      </w:r>
      <w:r>
        <w:rPr>
          <w:noProof/>
        </w:rPr>
      </w:r>
      <w:r>
        <w:rPr>
          <w:noProof/>
        </w:rPr>
        <w:fldChar w:fldCharType="separate"/>
      </w:r>
      <w:r>
        <w:rPr>
          <w:noProof/>
        </w:rPr>
        <w:t>8</w:t>
      </w:r>
      <w:r>
        <w:rPr>
          <w:noProof/>
        </w:rPr>
        <w:fldChar w:fldCharType="end"/>
      </w:r>
    </w:p>
    <w:p w14:paraId="070CEC5B" w14:textId="2DE4B0B7" w:rsidR="009522AD" w:rsidRDefault="009522AD" w:rsidP="001E4A52">
      <w:pPr>
        <w:pStyle w:val="TOC1"/>
        <w:rPr>
          <w:rFonts w:asciiTheme="minorHAnsi" w:eastAsiaTheme="minorEastAsia" w:hAnsiTheme="minorHAnsi"/>
          <w:noProof/>
          <w:sz w:val="22"/>
          <w:szCs w:val="22"/>
        </w:rPr>
      </w:pPr>
      <w:r w:rsidRPr="008E6E9E">
        <w:rPr>
          <w:noProof/>
          <w:color w:val="010000"/>
        </w:rPr>
        <w:t>IV.</w:t>
      </w:r>
      <w:r>
        <w:rPr>
          <w:rFonts w:asciiTheme="minorHAnsi" w:eastAsiaTheme="minorEastAsia" w:hAnsiTheme="minorHAnsi"/>
          <w:noProof/>
          <w:sz w:val="22"/>
          <w:szCs w:val="22"/>
        </w:rPr>
        <w:tab/>
      </w:r>
      <w:r w:rsidRPr="005A7587">
        <w:rPr>
          <w:caps/>
          <w:noProof/>
        </w:rPr>
        <w:t>The RR should be dismissed because it seeks the recovery of transition revenue or its equivalent in violation of R.C. 4928.38</w:t>
      </w:r>
      <w:r w:rsidR="00807D4E">
        <w:rPr>
          <w:noProof/>
        </w:rPr>
        <w:tab/>
      </w:r>
      <w:r>
        <w:rPr>
          <w:noProof/>
        </w:rPr>
        <w:fldChar w:fldCharType="begin"/>
      </w:r>
      <w:r>
        <w:rPr>
          <w:noProof/>
        </w:rPr>
        <w:instrText xml:space="preserve"> PAGEREF _Toc470076030 \h </w:instrText>
      </w:r>
      <w:r>
        <w:rPr>
          <w:noProof/>
        </w:rPr>
      </w:r>
      <w:r>
        <w:rPr>
          <w:noProof/>
        </w:rPr>
        <w:fldChar w:fldCharType="separate"/>
      </w:r>
      <w:r>
        <w:rPr>
          <w:noProof/>
        </w:rPr>
        <w:t>11</w:t>
      </w:r>
      <w:r>
        <w:rPr>
          <w:noProof/>
        </w:rPr>
        <w:fldChar w:fldCharType="end"/>
      </w:r>
    </w:p>
    <w:p w14:paraId="15D40114" w14:textId="71E0F8A9" w:rsidR="009522AD" w:rsidRDefault="009522AD" w:rsidP="001E4A52">
      <w:pPr>
        <w:pStyle w:val="TOC2"/>
        <w:rPr>
          <w:rFonts w:asciiTheme="minorHAnsi" w:eastAsiaTheme="minorEastAsia" w:hAnsiTheme="minorHAnsi"/>
          <w:noProof/>
          <w:sz w:val="22"/>
          <w:szCs w:val="22"/>
        </w:rPr>
      </w:pPr>
      <w:r w:rsidRPr="008E6E9E">
        <w:rPr>
          <w:noProof/>
          <w:color w:val="010000"/>
        </w:rPr>
        <w:t>A.</w:t>
      </w:r>
      <w:r>
        <w:rPr>
          <w:rFonts w:asciiTheme="minorHAnsi" w:eastAsiaTheme="minorEastAsia" w:hAnsiTheme="minorHAnsi"/>
          <w:noProof/>
          <w:sz w:val="22"/>
          <w:szCs w:val="22"/>
        </w:rPr>
        <w:tab/>
      </w:r>
      <w:r>
        <w:rPr>
          <w:noProof/>
        </w:rPr>
        <w:t>Authorization of the RR would permit DP&amp;L to recover transition revenue or its equivale</w:t>
      </w:r>
      <w:r w:rsidR="00624444">
        <w:rPr>
          <w:noProof/>
        </w:rPr>
        <w:t>nt in violation of R.C. 4928.38</w:t>
      </w:r>
      <w:r w:rsidR="00624444">
        <w:rPr>
          <w:noProof/>
        </w:rPr>
        <w:tab/>
      </w:r>
      <w:r>
        <w:rPr>
          <w:noProof/>
        </w:rPr>
        <w:fldChar w:fldCharType="begin"/>
      </w:r>
      <w:r>
        <w:rPr>
          <w:noProof/>
        </w:rPr>
        <w:instrText xml:space="preserve"> PAGEREF _Toc470076031 \h </w:instrText>
      </w:r>
      <w:r>
        <w:rPr>
          <w:noProof/>
        </w:rPr>
      </w:r>
      <w:r>
        <w:rPr>
          <w:noProof/>
        </w:rPr>
        <w:fldChar w:fldCharType="separate"/>
      </w:r>
      <w:r>
        <w:rPr>
          <w:noProof/>
        </w:rPr>
        <w:t>12</w:t>
      </w:r>
      <w:r>
        <w:rPr>
          <w:noProof/>
        </w:rPr>
        <w:fldChar w:fldCharType="end"/>
      </w:r>
    </w:p>
    <w:p w14:paraId="013A2194" w14:textId="77777777" w:rsidR="009522AD" w:rsidRDefault="009522AD" w:rsidP="001E4A52">
      <w:pPr>
        <w:pStyle w:val="TOC2"/>
        <w:rPr>
          <w:rFonts w:asciiTheme="minorHAnsi" w:eastAsiaTheme="minorEastAsia" w:hAnsiTheme="minorHAnsi"/>
          <w:noProof/>
          <w:sz w:val="22"/>
          <w:szCs w:val="22"/>
        </w:rPr>
      </w:pPr>
      <w:r w:rsidRPr="008E6E9E">
        <w:rPr>
          <w:noProof/>
          <w:color w:val="010000"/>
        </w:rPr>
        <w:t>B.</w:t>
      </w:r>
      <w:r>
        <w:rPr>
          <w:rFonts w:asciiTheme="minorHAnsi" w:eastAsiaTheme="minorEastAsia" w:hAnsiTheme="minorHAnsi"/>
          <w:noProof/>
          <w:sz w:val="22"/>
          <w:szCs w:val="22"/>
        </w:rPr>
        <w:tab/>
      </w:r>
      <w:r>
        <w:rPr>
          <w:noProof/>
        </w:rPr>
        <w:t>The claim that the Commission may authorize the recovery of transition revenue or its equivalent under R.C. 4928.143 notwithstanding the prohibition in R.C. 4928.38 and 4928.141 should be rejected because it is not supported by legislative intent or the Commission’s prior, simultaneous, and subsequent interpretation and application of the regulatory structure applicable to electric distribution utilities</w:t>
      </w:r>
      <w:r>
        <w:rPr>
          <w:noProof/>
        </w:rPr>
        <w:tab/>
      </w:r>
      <w:r>
        <w:rPr>
          <w:noProof/>
        </w:rPr>
        <w:fldChar w:fldCharType="begin"/>
      </w:r>
      <w:r>
        <w:rPr>
          <w:noProof/>
        </w:rPr>
        <w:instrText xml:space="preserve"> PAGEREF _Toc470076032 \h </w:instrText>
      </w:r>
      <w:r>
        <w:rPr>
          <w:noProof/>
        </w:rPr>
      </w:r>
      <w:r>
        <w:rPr>
          <w:noProof/>
        </w:rPr>
        <w:fldChar w:fldCharType="separate"/>
      </w:r>
      <w:r>
        <w:rPr>
          <w:noProof/>
        </w:rPr>
        <w:t>13</w:t>
      </w:r>
      <w:r>
        <w:rPr>
          <w:noProof/>
        </w:rPr>
        <w:fldChar w:fldCharType="end"/>
      </w:r>
    </w:p>
    <w:p w14:paraId="2E26DEEB" w14:textId="77777777" w:rsidR="009522AD" w:rsidRDefault="009522AD" w:rsidP="001E4A52">
      <w:pPr>
        <w:pStyle w:val="TOC2"/>
        <w:rPr>
          <w:rFonts w:asciiTheme="minorHAnsi" w:eastAsiaTheme="minorEastAsia" w:hAnsiTheme="minorHAnsi"/>
          <w:noProof/>
          <w:sz w:val="22"/>
          <w:szCs w:val="22"/>
        </w:rPr>
      </w:pPr>
      <w:r w:rsidRPr="008E6E9E">
        <w:rPr>
          <w:noProof/>
          <w:color w:val="010000"/>
        </w:rPr>
        <w:t>C.</w:t>
      </w:r>
      <w:r>
        <w:rPr>
          <w:rFonts w:asciiTheme="minorHAnsi" w:eastAsiaTheme="minorEastAsia" w:hAnsiTheme="minorHAnsi"/>
          <w:noProof/>
          <w:sz w:val="22"/>
          <w:szCs w:val="22"/>
        </w:rPr>
        <w:tab/>
      </w:r>
      <w:r>
        <w:rPr>
          <w:noProof/>
        </w:rPr>
        <w:t>The claim that the Commission may authorize transition revenue or its equivalent by resolving an alleged conflict under R.C. 1.52 should be rejected because there is no conflict between R.C. 4928.143(B)(2)(d) and R.C. 4928.38</w:t>
      </w:r>
      <w:r>
        <w:rPr>
          <w:noProof/>
        </w:rPr>
        <w:tab/>
      </w:r>
      <w:r>
        <w:rPr>
          <w:noProof/>
        </w:rPr>
        <w:fldChar w:fldCharType="begin"/>
      </w:r>
      <w:r>
        <w:rPr>
          <w:noProof/>
        </w:rPr>
        <w:instrText xml:space="preserve"> PAGEREF _Toc470076033 \h </w:instrText>
      </w:r>
      <w:r>
        <w:rPr>
          <w:noProof/>
        </w:rPr>
      </w:r>
      <w:r>
        <w:rPr>
          <w:noProof/>
        </w:rPr>
        <w:fldChar w:fldCharType="separate"/>
      </w:r>
      <w:r>
        <w:rPr>
          <w:noProof/>
        </w:rPr>
        <w:t>19</w:t>
      </w:r>
      <w:r>
        <w:rPr>
          <w:noProof/>
        </w:rPr>
        <w:fldChar w:fldCharType="end"/>
      </w:r>
    </w:p>
    <w:p w14:paraId="2442A109" w14:textId="2CD28FBC" w:rsidR="009522AD" w:rsidRDefault="009522AD" w:rsidP="001E4A52">
      <w:pPr>
        <w:pStyle w:val="TOC1"/>
        <w:rPr>
          <w:rFonts w:asciiTheme="minorHAnsi" w:eastAsiaTheme="minorEastAsia" w:hAnsiTheme="minorHAnsi"/>
          <w:noProof/>
          <w:sz w:val="22"/>
          <w:szCs w:val="22"/>
        </w:rPr>
      </w:pPr>
      <w:r w:rsidRPr="008E6E9E">
        <w:rPr>
          <w:noProof/>
          <w:color w:val="010000"/>
        </w:rPr>
        <w:t>V.</w:t>
      </w:r>
      <w:r>
        <w:rPr>
          <w:rFonts w:asciiTheme="minorHAnsi" w:eastAsiaTheme="minorEastAsia" w:hAnsiTheme="minorHAnsi"/>
          <w:noProof/>
          <w:sz w:val="22"/>
          <w:szCs w:val="22"/>
        </w:rPr>
        <w:tab/>
      </w:r>
      <w:r w:rsidRPr="005A7587">
        <w:rPr>
          <w:caps/>
          <w:noProof/>
        </w:rPr>
        <w:t>DP&amp;L’s proposed nonbypassable TCRR-N violates state and federal law and therefore the Commission should direct DP&amp;L to revise and refile the TCRR as a bypassable rider</w:t>
      </w:r>
      <w:r w:rsidR="00624444">
        <w:rPr>
          <w:noProof/>
        </w:rPr>
        <w:tab/>
      </w:r>
      <w:r>
        <w:rPr>
          <w:noProof/>
        </w:rPr>
        <w:fldChar w:fldCharType="begin"/>
      </w:r>
      <w:r>
        <w:rPr>
          <w:noProof/>
        </w:rPr>
        <w:instrText xml:space="preserve"> PAGEREF _Toc470076034 \h </w:instrText>
      </w:r>
      <w:r>
        <w:rPr>
          <w:noProof/>
        </w:rPr>
      </w:r>
      <w:r>
        <w:rPr>
          <w:noProof/>
        </w:rPr>
        <w:fldChar w:fldCharType="separate"/>
      </w:r>
      <w:r>
        <w:rPr>
          <w:noProof/>
        </w:rPr>
        <w:t>20</w:t>
      </w:r>
      <w:r>
        <w:rPr>
          <w:noProof/>
        </w:rPr>
        <w:fldChar w:fldCharType="end"/>
      </w:r>
    </w:p>
    <w:p w14:paraId="2B289613" w14:textId="2091A6DB" w:rsidR="009522AD" w:rsidRDefault="009522AD" w:rsidP="001E4A52">
      <w:pPr>
        <w:pStyle w:val="TOC1"/>
        <w:rPr>
          <w:rFonts w:asciiTheme="minorHAnsi" w:eastAsiaTheme="minorEastAsia" w:hAnsiTheme="minorHAnsi"/>
          <w:noProof/>
          <w:sz w:val="22"/>
          <w:szCs w:val="22"/>
        </w:rPr>
      </w:pPr>
      <w:r w:rsidRPr="008E6E9E">
        <w:rPr>
          <w:noProof/>
          <w:color w:val="010000"/>
        </w:rPr>
        <w:t>VI.</w:t>
      </w:r>
      <w:r>
        <w:rPr>
          <w:rFonts w:asciiTheme="minorHAnsi" w:eastAsiaTheme="minorEastAsia" w:hAnsiTheme="minorHAnsi"/>
          <w:noProof/>
          <w:sz w:val="22"/>
          <w:szCs w:val="22"/>
        </w:rPr>
        <w:tab/>
      </w:r>
      <w:r w:rsidR="00624444">
        <w:rPr>
          <w:noProof/>
        </w:rPr>
        <w:t>CONCLUSION</w:t>
      </w:r>
      <w:r w:rsidR="00624444">
        <w:rPr>
          <w:noProof/>
        </w:rPr>
        <w:tab/>
      </w:r>
      <w:r>
        <w:rPr>
          <w:noProof/>
        </w:rPr>
        <w:fldChar w:fldCharType="begin"/>
      </w:r>
      <w:r>
        <w:rPr>
          <w:noProof/>
        </w:rPr>
        <w:instrText xml:space="preserve"> PAGEREF _Toc470076035 \h </w:instrText>
      </w:r>
      <w:r>
        <w:rPr>
          <w:noProof/>
        </w:rPr>
      </w:r>
      <w:r>
        <w:rPr>
          <w:noProof/>
        </w:rPr>
        <w:fldChar w:fldCharType="separate"/>
      </w:r>
      <w:r>
        <w:rPr>
          <w:noProof/>
        </w:rPr>
        <w:t>25</w:t>
      </w:r>
      <w:r>
        <w:rPr>
          <w:noProof/>
        </w:rPr>
        <w:fldChar w:fldCharType="end"/>
      </w:r>
    </w:p>
    <w:bookmarkEnd w:id="2"/>
    <w:p w14:paraId="11DF3232" w14:textId="0AA160C4" w:rsidR="002E4BD9" w:rsidRDefault="009522AD" w:rsidP="009522AD">
      <w:pPr>
        <w:sectPr w:rsidR="002E4BD9" w:rsidSect="002E4BD9">
          <w:type w:val="continuous"/>
          <w:pgSz w:w="12240" w:h="15840" w:code="1"/>
          <w:pgMar w:top="1440" w:right="1440" w:bottom="1440" w:left="1440" w:header="720" w:footer="720" w:gutter="0"/>
          <w:pgNumType w:start="1"/>
          <w:cols w:space="720"/>
          <w:titlePg/>
          <w:docGrid w:linePitch="360"/>
        </w:sectPr>
      </w:pPr>
      <w:r>
        <w:fldChar w:fldCharType="end"/>
      </w:r>
    </w:p>
    <w:p w14:paraId="6AD197F5" w14:textId="4DD731C5" w:rsidR="002034C5" w:rsidRPr="00784667" w:rsidRDefault="00784667" w:rsidP="009522AD">
      <w:pPr>
        <w:jc w:val="center"/>
        <w:rPr>
          <w:rFonts w:ascii="Arial Bold" w:hAnsi="Arial Bold"/>
          <w:b/>
          <w:smallCaps/>
          <w:sz w:val="28"/>
          <w:szCs w:val="28"/>
        </w:rPr>
      </w:pPr>
      <w:r w:rsidRPr="00784667">
        <w:rPr>
          <w:rFonts w:ascii="Arial Bold" w:hAnsi="Arial Bold"/>
          <w:b/>
          <w:smallCaps/>
          <w:sz w:val="28"/>
          <w:szCs w:val="28"/>
        </w:rPr>
        <w:lastRenderedPageBreak/>
        <w:t>Before</w:t>
      </w:r>
    </w:p>
    <w:p w14:paraId="05BF82A0" w14:textId="77777777" w:rsidR="002034C5" w:rsidRPr="003046A9" w:rsidRDefault="002034C5" w:rsidP="00400543">
      <w:pPr>
        <w:jc w:val="center"/>
        <w:rPr>
          <w:rFonts w:eastAsia="Calibri" w:cs="Arial"/>
          <w:b/>
          <w:smallCaps/>
          <w:sz w:val="28"/>
          <w:szCs w:val="28"/>
        </w:rPr>
      </w:pPr>
      <w:r w:rsidRPr="003046A9">
        <w:rPr>
          <w:rFonts w:eastAsia="Calibri" w:cs="Arial"/>
          <w:b/>
          <w:smallCaps/>
          <w:sz w:val="28"/>
          <w:szCs w:val="28"/>
        </w:rPr>
        <w:t>The Public Utilities Commission of Ohio</w:t>
      </w:r>
    </w:p>
    <w:p w14:paraId="1F02E7E7" w14:textId="77777777" w:rsidR="002034C5" w:rsidRDefault="002034C5" w:rsidP="00400543">
      <w:pPr>
        <w:autoSpaceDE w:val="0"/>
        <w:autoSpaceDN w:val="0"/>
        <w:adjustRightInd w:val="0"/>
        <w:jc w:val="both"/>
        <w:rPr>
          <w:rFonts w:eastAsia="Calibri" w:cs="Arial"/>
        </w:rPr>
      </w:pPr>
    </w:p>
    <w:p w14:paraId="4D875019" w14:textId="77777777" w:rsidR="002034C5" w:rsidRDefault="002034C5" w:rsidP="00400543">
      <w:pPr>
        <w:autoSpaceDE w:val="0"/>
        <w:autoSpaceDN w:val="0"/>
        <w:adjustRightInd w:val="0"/>
        <w:jc w:val="both"/>
        <w:rPr>
          <w:rFonts w:eastAsia="Calibri" w:cs="Arial"/>
        </w:rPr>
      </w:pPr>
    </w:p>
    <w:p w14:paraId="5B18BE59"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In the Matter of the Application of</w:t>
      </w:r>
      <w:r w:rsidRPr="00AC2E18">
        <w:rPr>
          <w:rFonts w:cs="Arial"/>
        </w:rPr>
        <w:tab/>
        <w:t>)</w:t>
      </w:r>
    </w:p>
    <w:p w14:paraId="5F4B526B"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The Dayton Power and Light Company for</w:t>
      </w:r>
      <w:r w:rsidRPr="00AC2E18">
        <w:rPr>
          <w:rFonts w:cs="Arial"/>
        </w:rPr>
        <w:tab/>
        <w:t>)</w:t>
      </w:r>
      <w:r w:rsidRPr="00AC2E18">
        <w:rPr>
          <w:rFonts w:cs="Arial"/>
        </w:rPr>
        <w:tab/>
        <w:t>Case No. 16-395-EL-SSO</w:t>
      </w:r>
    </w:p>
    <w:p w14:paraId="67A5B6E6"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Approval of Its Electric Security Plan</w:t>
      </w:r>
      <w:r w:rsidRPr="00AC2E18">
        <w:rPr>
          <w:rFonts w:cs="Arial"/>
        </w:rPr>
        <w:tab/>
        <w:t>)</w:t>
      </w:r>
    </w:p>
    <w:p w14:paraId="5B668233" w14:textId="77777777" w:rsidR="002034C5" w:rsidRPr="00AC2E18" w:rsidRDefault="002034C5" w:rsidP="00400543">
      <w:pPr>
        <w:tabs>
          <w:tab w:val="left" w:pos="4680"/>
          <w:tab w:val="left" w:pos="5220"/>
        </w:tabs>
        <w:autoSpaceDE w:val="0"/>
        <w:autoSpaceDN w:val="0"/>
        <w:adjustRightInd w:val="0"/>
        <w:jc w:val="both"/>
        <w:rPr>
          <w:rFonts w:cs="Arial"/>
        </w:rPr>
      </w:pPr>
    </w:p>
    <w:p w14:paraId="069DC6E8"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In the Matter of the Application of</w:t>
      </w:r>
      <w:r w:rsidRPr="00AC2E18">
        <w:rPr>
          <w:rFonts w:cs="Arial"/>
        </w:rPr>
        <w:tab/>
        <w:t>)</w:t>
      </w:r>
    </w:p>
    <w:p w14:paraId="6DE466BB"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The Dayton Power and Light Company for</w:t>
      </w:r>
      <w:r w:rsidRPr="00AC2E18">
        <w:rPr>
          <w:rFonts w:cs="Arial"/>
        </w:rPr>
        <w:tab/>
        <w:t>)</w:t>
      </w:r>
      <w:r w:rsidRPr="00AC2E18">
        <w:rPr>
          <w:rFonts w:cs="Arial"/>
        </w:rPr>
        <w:tab/>
        <w:t>Case No. 16-396-EL-ATA</w:t>
      </w:r>
    </w:p>
    <w:p w14:paraId="6E45F377"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Approval of Revised Tariffs</w:t>
      </w:r>
      <w:r w:rsidRPr="00AC2E18">
        <w:rPr>
          <w:rFonts w:cs="Arial"/>
        </w:rPr>
        <w:tab/>
        <w:t>)</w:t>
      </w:r>
    </w:p>
    <w:p w14:paraId="0C9A0CDA" w14:textId="77777777" w:rsidR="002034C5" w:rsidRPr="00AC2E18" w:rsidRDefault="002034C5" w:rsidP="00400543">
      <w:pPr>
        <w:tabs>
          <w:tab w:val="left" w:pos="4680"/>
          <w:tab w:val="left" w:pos="5220"/>
        </w:tabs>
        <w:autoSpaceDE w:val="0"/>
        <w:autoSpaceDN w:val="0"/>
        <w:adjustRightInd w:val="0"/>
        <w:jc w:val="both"/>
        <w:rPr>
          <w:rFonts w:cs="Arial"/>
        </w:rPr>
      </w:pPr>
    </w:p>
    <w:p w14:paraId="0CEBBAF9"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In the Matter of the Application of</w:t>
      </w:r>
      <w:r w:rsidRPr="00AC2E18">
        <w:rPr>
          <w:rFonts w:cs="Arial"/>
        </w:rPr>
        <w:tab/>
        <w:t>)</w:t>
      </w:r>
    </w:p>
    <w:p w14:paraId="4A70A9A3"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The Dayton Power and Light Company for</w:t>
      </w:r>
      <w:r w:rsidRPr="00AC2E18">
        <w:rPr>
          <w:rFonts w:cs="Arial"/>
        </w:rPr>
        <w:tab/>
        <w:t>)</w:t>
      </w:r>
      <w:r w:rsidRPr="00AC2E18">
        <w:rPr>
          <w:rFonts w:cs="Arial"/>
        </w:rPr>
        <w:tab/>
        <w:t>Case No. 16-397-EL-AAM</w:t>
      </w:r>
    </w:p>
    <w:p w14:paraId="5F28C17B"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Approval of Certain Accounting Authority</w:t>
      </w:r>
      <w:r w:rsidRPr="00AC2E18">
        <w:rPr>
          <w:rFonts w:cs="Arial"/>
        </w:rPr>
        <w:tab/>
        <w:t>)</w:t>
      </w:r>
    </w:p>
    <w:p w14:paraId="399381C5" w14:textId="77777777" w:rsidR="002034C5" w:rsidRPr="00AC2E18" w:rsidRDefault="002034C5" w:rsidP="00400543">
      <w:pPr>
        <w:tabs>
          <w:tab w:val="left" w:pos="4680"/>
          <w:tab w:val="left" w:pos="5220"/>
        </w:tabs>
        <w:autoSpaceDE w:val="0"/>
        <w:autoSpaceDN w:val="0"/>
        <w:adjustRightInd w:val="0"/>
        <w:jc w:val="both"/>
        <w:rPr>
          <w:rFonts w:cs="Arial"/>
        </w:rPr>
      </w:pPr>
      <w:r w:rsidRPr="00AC2E18">
        <w:rPr>
          <w:rFonts w:cs="Arial"/>
        </w:rPr>
        <w:t>Pursuant to Ohio Rev. Code § 4905.13</w:t>
      </w:r>
      <w:r w:rsidRPr="00AC2E18">
        <w:rPr>
          <w:rFonts w:cs="Arial"/>
        </w:rPr>
        <w:tab/>
        <w:t>)</w:t>
      </w:r>
    </w:p>
    <w:p w14:paraId="6AE64698" w14:textId="77777777" w:rsidR="002034C5" w:rsidRDefault="002034C5" w:rsidP="00400543">
      <w:pPr>
        <w:pBdr>
          <w:bottom w:val="single" w:sz="12" w:space="1" w:color="auto"/>
        </w:pBdr>
        <w:jc w:val="both"/>
        <w:rPr>
          <w:b/>
        </w:rPr>
      </w:pPr>
    </w:p>
    <w:p w14:paraId="1F2F21DE" w14:textId="77777777" w:rsidR="002034C5" w:rsidRDefault="002034C5" w:rsidP="00400543">
      <w:pPr>
        <w:jc w:val="both"/>
        <w:rPr>
          <w:b/>
        </w:rPr>
      </w:pPr>
    </w:p>
    <w:p w14:paraId="6E3303CF" w14:textId="77777777" w:rsidR="00400543" w:rsidRPr="00400543" w:rsidRDefault="002034C5" w:rsidP="0043470C">
      <w:pPr>
        <w:pBdr>
          <w:bottom w:val="single" w:sz="12" w:space="1" w:color="auto"/>
        </w:pBdr>
        <w:jc w:val="center"/>
        <w:rPr>
          <w:rFonts w:ascii="Arial Bold" w:hAnsi="Arial Bold"/>
          <w:b/>
          <w:smallCaps/>
        </w:rPr>
      </w:pPr>
      <w:r w:rsidRPr="00400543">
        <w:rPr>
          <w:rFonts w:ascii="Arial Bold" w:hAnsi="Arial Bold"/>
          <w:b/>
          <w:smallCaps/>
        </w:rPr>
        <w:t>Industrial Energy Users-Ohio’s Reply to the Dayton Power and Light Company’</w:t>
      </w:r>
      <w:r w:rsidR="00400543" w:rsidRPr="00400543">
        <w:rPr>
          <w:rFonts w:ascii="Arial Bold" w:hAnsi="Arial Bold"/>
          <w:b/>
          <w:smallCaps/>
        </w:rPr>
        <w:t>s Memorandum Contra to the Industrial Energy Users-Ohio’s Motion to Dismiss, in Part</w:t>
      </w:r>
      <w:r w:rsidR="00F82E1B">
        <w:rPr>
          <w:rFonts w:ascii="Arial Bold" w:hAnsi="Arial Bold"/>
          <w:b/>
          <w:smallCaps/>
        </w:rPr>
        <w:t>, the Electric Security Plan Application</w:t>
      </w:r>
    </w:p>
    <w:p w14:paraId="362604F3" w14:textId="77777777" w:rsidR="00400543" w:rsidRDefault="00400543" w:rsidP="00400543">
      <w:pPr>
        <w:pBdr>
          <w:bottom w:val="single" w:sz="12" w:space="1" w:color="auto"/>
        </w:pBdr>
        <w:jc w:val="both"/>
        <w:rPr>
          <w:b/>
        </w:rPr>
      </w:pPr>
    </w:p>
    <w:p w14:paraId="6B98B5B7" w14:textId="77777777" w:rsidR="00400543" w:rsidRDefault="00400543" w:rsidP="00400543">
      <w:pPr>
        <w:jc w:val="both"/>
        <w:rPr>
          <w:b/>
        </w:rPr>
      </w:pPr>
    </w:p>
    <w:p w14:paraId="5C802CB5" w14:textId="77777777" w:rsidR="00400543" w:rsidRDefault="00400543" w:rsidP="00400543">
      <w:pPr>
        <w:jc w:val="both"/>
        <w:rPr>
          <w:b/>
        </w:rPr>
      </w:pPr>
    </w:p>
    <w:p w14:paraId="3C400614" w14:textId="77777777" w:rsidR="00D55BEC" w:rsidRPr="00D55BEC" w:rsidRDefault="00CE270E" w:rsidP="00CE270E">
      <w:pPr>
        <w:pStyle w:val="Heading1"/>
      </w:pPr>
      <w:bookmarkStart w:id="3" w:name="_Toc470075899"/>
      <w:bookmarkStart w:id="4" w:name="_Toc470076027"/>
      <w:r>
        <w:t>INTRODUCTION</w:t>
      </w:r>
      <w:bookmarkEnd w:id="3"/>
      <w:bookmarkEnd w:id="4"/>
    </w:p>
    <w:p w14:paraId="7F35FD6F" w14:textId="77777777" w:rsidR="00346C36" w:rsidRDefault="000318AB" w:rsidP="00400543">
      <w:pPr>
        <w:spacing w:line="480" w:lineRule="auto"/>
        <w:jc w:val="both"/>
      </w:pPr>
      <w:r>
        <w:tab/>
      </w:r>
      <w:r w:rsidR="00115F2F">
        <w:t xml:space="preserve">In its Motion to Dismiss </w:t>
      </w:r>
      <w:r w:rsidR="00AA509C">
        <w:t>the</w:t>
      </w:r>
      <w:r w:rsidR="00187F3D">
        <w:t xml:space="preserve"> request </w:t>
      </w:r>
      <w:r w:rsidR="00AA509C">
        <w:t xml:space="preserve">of </w:t>
      </w:r>
      <w:r w:rsidR="0043470C">
        <w:t xml:space="preserve">the </w:t>
      </w:r>
      <w:r w:rsidR="00AA509C">
        <w:t>Dayton Power and Light Company (“DP&amp;L”)</w:t>
      </w:r>
      <w:r w:rsidR="00642220">
        <w:t xml:space="preserve"> </w:t>
      </w:r>
      <w:r w:rsidR="00187F3D">
        <w:t xml:space="preserve">for authorization of </w:t>
      </w:r>
      <w:r w:rsidR="00A6580C">
        <w:t>several nonbypassable riders</w:t>
      </w:r>
      <w:r w:rsidR="00115F2F">
        <w:t xml:space="preserve">, </w:t>
      </w:r>
      <w:r w:rsidR="00AA509C">
        <w:t>Industrial Energy Users-Ohio (“</w:t>
      </w:r>
      <w:r>
        <w:t>IEU-Ohio</w:t>
      </w:r>
      <w:r w:rsidR="00AA509C">
        <w:t>”)</w:t>
      </w:r>
      <w:r>
        <w:t xml:space="preserve"> </w:t>
      </w:r>
      <w:r w:rsidR="00115F2F">
        <w:t xml:space="preserve">demonstrated </w:t>
      </w:r>
      <w:r w:rsidR="00AA509C">
        <w:t xml:space="preserve">that </w:t>
      </w:r>
      <w:r>
        <w:t xml:space="preserve">DP&amp;L’s </w:t>
      </w:r>
      <w:r w:rsidR="006F6BD8">
        <w:t xml:space="preserve">application failed to </w:t>
      </w:r>
      <w:r w:rsidR="00F82E1B">
        <w:t>properly support the requests for authorization</w:t>
      </w:r>
      <w:r w:rsidR="006F6BD8">
        <w:t xml:space="preserve"> of the </w:t>
      </w:r>
      <w:r w:rsidR="00737561">
        <w:t>Regulatory Compliance Rider</w:t>
      </w:r>
      <w:r w:rsidR="007508E2">
        <w:t xml:space="preserve"> (“RCR”)</w:t>
      </w:r>
      <w:r w:rsidR="00737561">
        <w:t>, Uncollectible Rider</w:t>
      </w:r>
      <w:r w:rsidR="007508E2">
        <w:t xml:space="preserve"> (</w:t>
      </w:r>
      <w:r w:rsidR="007A6C2B">
        <w:t>“</w:t>
      </w:r>
      <w:r w:rsidR="007508E2">
        <w:t>UEX”)</w:t>
      </w:r>
      <w:r w:rsidR="00737561">
        <w:t xml:space="preserve">, and Storm </w:t>
      </w:r>
      <w:r w:rsidR="007508E2">
        <w:t xml:space="preserve">Cost Recovery </w:t>
      </w:r>
      <w:r w:rsidR="00737561">
        <w:t>Rider</w:t>
      </w:r>
      <w:r w:rsidR="007A6C2B">
        <w:t xml:space="preserve"> (“Storm Rider”)</w:t>
      </w:r>
      <w:r w:rsidR="006F6BD8">
        <w:t>, that the proposed Reconciliation Rider</w:t>
      </w:r>
      <w:r w:rsidR="00737561">
        <w:t xml:space="preserve"> </w:t>
      </w:r>
      <w:r w:rsidR="0043470C">
        <w:t xml:space="preserve">(“RR”) </w:t>
      </w:r>
      <w:r w:rsidR="00737561">
        <w:t>was barred by R.C. 4928.38, and that the nonbypassable transmission rider</w:t>
      </w:r>
      <w:r w:rsidR="002A28D7">
        <w:t>, the Transmission Cost Recovery Rider-Nonbypassable (“TCRR-N”)</w:t>
      </w:r>
      <w:r w:rsidR="00F82E1B">
        <w:t>,</w:t>
      </w:r>
      <w:r w:rsidR="0087428B">
        <w:t xml:space="preserve"> did not comply with the rules of the Public </w:t>
      </w:r>
      <w:r w:rsidR="00DD0CAE">
        <w:t>Utilities</w:t>
      </w:r>
      <w:r w:rsidR="0087428B">
        <w:t xml:space="preserve"> Commission of Ohio</w:t>
      </w:r>
      <w:r w:rsidR="00DD0CAE">
        <w:t xml:space="preserve"> (“Commission”)</w:t>
      </w:r>
      <w:r w:rsidR="0087428B">
        <w:t xml:space="preserve"> and was preempted by the Federal Power Act</w:t>
      </w:r>
      <w:r w:rsidR="00115F2F">
        <w:t xml:space="preserve">.  </w:t>
      </w:r>
      <w:r w:rsidR="00D944E3">
        <w:t>Industrial Energy</w:t>
      </w:r>
      <w:r w:rsidR="0087428B">
        <w:t xml:space="preserve"> Users-Ohio’s Motion to Dismiss, in Part, the Electric Security Plan Application Filed by </w:t>
      </w:r>
      <w:r w:rsidR="00593504">
        <w:t xml:space="preserve">the Dayton Power and </w:t>
      </w:r>
      <w:r w:rsidR="00593504">
        <w:lastRenderedPageBreak/>
        <w:t xml:space="preserve">Light Company with Respect to the Regulatory Compliance Rider, Uncollectible Rider, Storm Cost Recovery Rider, Reconciliation Rider, and Transmission Cost Recovery Rider-Nonbypassable </w:t>
      </w:r>
      <w:r w:rsidR="001D783F">
        <w:t xml:space="preserve">and Memorandum in Support </w:t>
      </w:r>
      <w:r w:rsidR="00D944E3">
        <w:t xml:space="preserve">(Nov. </w:t>
      </w:r>
      <w:r w:rsidR="001D783F">
        <w:t>21</w:t>
      </w:r>
      <w:r w:rsidR="00D944E3">
        <w:t>, 2016) (“IEU-Ohio Motion to Dismiss”)</w:t>
      </w:r>
      <w:r w:rsidR="00346C36">
        <w:t>.</w:t>
      </w:r>
      <w:r w:rsidR="00D944E3">
        <w:t xml:space="preserve"> </w:t>
      </w:r>
    </w:p>
    <w:p w14:paraId="5548992A" w14:textId="6E13A9A7" w:rsidR="008E3BF4" w:rsidRDefault="00D06955" w:rsidP="00400543">
      <w:pPr>
        <w:spacing w:line="480" w:lineRule="auto"/>
        <w:ind w:firstLine="720"/>
        <w:jc w:val="both"/>
      </w:pPr>
      <w:r>
        <w:t xml:space="preserve">DP&amp;L responds that the Commission is without authority to grant a motion to dismiss in </w:t>
      </w:r>
      <w:r w:rsidR="00F82E1B">
        <w:t xml:space="preserve">a </w:t>
      </w:r>
      <w:r>
        <w:t>case in which DP&amp;L is seeking authorization of an electric security plan</w:t>
      </w:r>
      <w:r w:rsidR="001D783F">
        <w:t xml:space="preserve"> (“ESP”)</w:t>
      </w:r>
      <w:r>
        <w:t xml:space="preserve">.  Second, it offers </w:t>
      </w:r>
      <w:r w:rsidR="009D5425">
        <w:t>several excuses for</w:t>
      </w:r>
      <w:r>
        <w:t xml:space="preserve"> </w:t>
      </w:r>
      <w:r w:rsidR="00DD0CAE">
        <w:t>its failure to file testimony and schedules to sup</w:t>
      </w:r>
      <w:r w:rsidR="007508E2">
        <w:t xml:space="preserve">port the RCR, UEX, and Storm </w:t>
      </w:r>
      <w:r w:rsidR="00D6407D">
        <w:t>Rider</w:t>
      </w:r>
      <w:r w:rsidR="003F541E">
        <w:t>.</w:t>
      </w:r>
      <w:r w:rsidR="00346C36">
        <w:t xml:space="preserve">  </w:t>
      </w:r>
      <w:r w:rsidR="007A6C2B">
        <w:t>Further, it claims that the RR does not recover transition revenue or its equivalent or, in the alternative, t</w:t>
      </w:r>
      <w:r w:rsidR="00E216FE">
        <w:t xml:space="preserve">hat the Commission can ignore R.C. 4928.38.  Finally, DP&amp;L argues that IEU-Ohio is precluded from challenging the TCRR-N because the Commission previously approved the rider in DP&amp;L’s last </w:t>
      </w:r>
      <w:r w:rsidR="00E87C81">
        <w:t xml:space="preserve">ESP application or that the Commission should defer a decision on the </w:t>
      </w:r>
      <w:r w:rsidR="00B669CD">
        <w:t xml:space="preserve">preemption of the rider to the Supreme Court of Ohio.  </w:t>
      </w:r>
      <w:r w:rsidR="00346C36">
        <w:t>The Dayton Power and Light Company’s Memorandum in Opposition to Industrial Energy Users-Ohio’s Motion to Dismiss the Distribution Modernization Rider (</w:t>
      </w:r>
      <w:r w:rsidR="0061309F">
        <w:t>Dec. 6, 2016)</w:t>
      </w:r>
      <w:r w:rsidR="00254DA8">
        <w:t xml:space="preserve"> (“DP&amp;L Memo Contra”)</w:t>
      </w:r>
      <w:r w:rsidR="0061309F">
        <w:t>.</w:t>
      </w:r>
    </w:p>
    <w:p w14:paraId="5D28B440" w14:textId="77777777" w:rsidR="00D404C0" w:rsidRDefault="00D404C0" w:rsidP="00400543">
      <w:pPr>
        <w:spacing w:line="480" w:lineRule="auto"/>
        <w:ind w:firstLine="720"/>
        <w:jc w:val="both"/>
      </w:pPr>
      <w:r>
        <w:t xml:space="preserve">The Retail Energy Supply Association </w:t>
      </w:r>
      <w:r w:rsidR="00A54C05">
        <w:t xml:space="preserve">(“RESA”) </w:t>
      </w:r>
      <w:r>
        <w:t xml:space="preserve">also filed a memorandum opposing the Motion to Dismiss, but limited its opposition to </w:t>
      </w:r>
      <w:r w:rsidR="002A28D7">
        <w:t xml:space="preserve">IEU-Ohio’s request that the Commission </w:t>
      </w:r>
      <w:r w:rsidR="003A1546">
        <w:t>order DP&amp;L to amend its application so that its proposed transmission rider complies with Ohio and federal law</w:t>
      </w:r>
      <w:r w:rsidR="002A28D7">
        <w:t>.</w:t>
      </w:r>
      <w:r w:rsidR="00A54C05">
        <w:t xml:space="preserve">  RESA argues that </w:t>
      </w:r>
      <w:r w:rsidR="00C340FF">
        <w:t xml:space="preserve">this part of </w:t>
      </w:r>
      <w:r w:rsidR="00A54C05">
        <w:t xml:space="preserve">the Motion to </w:t>
      </w:r>
      <w:r w:rsidR="00F82E1B">
        <w:t>Dismiss</w:t>
      </w:r>
      <w:r w:rsidR="00A54C05">
        <w:t xml:space="preserve"> is premature</w:t>
      </w:r>
      <w:r w:rsidR="00874DC3">
        <w:t>, that</w:t>
      </w:r>
      <w:r w:rsidR="000A7CFD">
        <w:t xml:space="preserve"> the Motion to Dismiss is without merit because</w:t>
      </w:r>
      <w:r w:rsidR="00874DC3">
        <w:t xml:space="preserve"> the rider is a continuation of the current rider, and that a ruling on the TCRR-N should not cause harm to the competitive market.  </w:t>
      </w:r>
      <w:r w:rsidR="009D0641">
        <w:t>Memorandum</w:t>
      </w:r>
      <w:r w:rsidR="00874DC3">
        <w:t xml:space="preserve"> Contra to the Industrial Energy Users-Ohio’s Motion to Dismiss, In Part (Dec. </w:t>
      </w:r>
      <w:r w:rsidR="009D0641">
        <w:t>6, 2016) (“RESA Memo Contra”).</w:t>
      </w:r>
    </w:p>
    <w:p w14:paraId="7D97ECD6" w14:textId="03604D87" w:rsidR="00360064" w:rsidRDefault="003F541E" w:rsidP="00400543">
      <w:pPr>
        <w:spacing w:line="480" w:lineRule="auto"/>
        <w:jc w:val="both"/>
      </w:pPr>
      <w:r>
        <w:lastRenderedPageBreak/>
        <w:tab/>
      </w:r>
      <w:r w:rsidR="00F36FBA">
        <w:t xml:space="preserve">For </w:t>
      </w:r>
      <w:r w:rsidR="009D5425">
        <w:t xml:space="preserve">the </w:t>
      </w:r>
      <w:r w:rsidR="00F36FBA">
        <w:t xml:space="preserve">reasons discussed in detail in the Motion to Dismiss and this Reply, the Commission </w:t>
      </w:r>
      <w:r w:rsidR="000A7CFD">
        <w:t xml:space="preserve">should </w:t>
      </w:r>
      <w:r w:rsidR="00C340FF">
        <w:t xml:space="preserve">dismiss </w:t>
      </w:r>
      <w:r w:rsidR="00F36FBA">
        <w:t xml:space="preserve">DP&amp;L’s </w:t>
      </w:r>
      <w:r w:rsidR="00C2658C">
        <w:t>request for authorization of the</w:t>
      </w:r>
      <w:r w:rsidR="00F36FBA">
        <w:t xml:space="preserve"> RCR, UEX, Storm R</w:t>
      </w:r>
      <w:r w:rsidR="00C2658C">
        <w:t>i</w:t>
      </w:r>
      <w:r w:rsidR="00F36FBA">
        <w:t>der</w:t>
      </w:r>
      <w:r w:rsidR="000A7CFD">
        <w:t>, and RR.  The Commission should also</w:t>
      </w:r>
      <w:r w:rsidR="00C2658C">
        <w:t xml:space="preserve"> deny DP&amp;L</w:t>
      </w:r>
      <w:r w:rsidR="006443B0">
        <w:t>’s</w:t>
      </w:r>
      <w:r w:rsidR="002B0387">
        <w:t xml:space="preserve"> </w:t>
      </w:r>
      <w:r w:rsidR="00C2658C">
        <w:t>request for waiver of the requirement that its t</w:t>
      </w:r>
      <w:r w:rsidR="000A7CFD">
        <w:t>ransmission rider be bypassable</w:t>
      </w:r>
      <w:r w:rsidR="00C2658C">
        <w:t xml:space="preserve"> and order DP&amp;L to file a transmission tariff that complies with federal and state law.</w:t>
      </w:r>
      <w:r w:rsidR="00360064">
        <w:t xml:space="preserve"> </w:t>
      </w:r>
    </w:p>
    <w:p w14:paraId="4865DC08" w14:textId="77777777" w:rsidR="00D06955" w:rsidRDefault="00245F4A" w:rsidP="00313481">
      <w:pPr>
        <w:pStyle w:val="Heading1"/>
        <w:spacing w:after="0"/>
      </w:pPr>
      <w:bookmarkStart w:id="5" w:name="_Toc470075900"/>
      <w:bookmarkStart w:id="6" w:name="_Toc470076028"/>
      <w:r w:rsidRPr="00D55BEC">
        <w:t>The Commission is authorized to dismiss</w:t>
      </w:r>
      <w:r w:rsidR="00701C75" w:rsidRPr="00D55BEC">
        <w:t xml:space="preserve"> an application for a standard service offer, or portions of it, that</w:t>
      </w:r>
      <w:r w:rsidR="008C7298" w:rsidRPr="00D55BEC">
        <w:t>, as a matter of law,</w:t>
      </w:r>
      <w:r w:rsidR="00701C75" w:rsidRPr="00D55BEC">
        <w:t xml:space="preserve"> </w:t>
      </w:r>
      <w:r w:rsidR="008C7298" w:rsidRPr="00D55BEC">
        <w:t xml:space="preserve">cannot </w:t>
      </w:r>
      <w:r w:rsidR="00701C75" w:rsidRPr="00D55BEC">
        <w:t>be authorized</w:t>
      </w:r>
      <w:bookmarkEnd w:id="5"/>
      <w:bookmarkEnd w:id="6"/>
      <w:r w:rsidR="00701C75" w:rsidRPr="00D55BEC">
        <w:t xml:space="preserve"> </w:t>
      </w:r>
    </w:p>
    <w:p w14:paraId="06B6F65A" w14:textId="77777777" w:rsidR="00400543" w:rsidRPr="00D55BEC" w:rsidRDefault="00400543" w:rsidP="00400543">
      <w:pPr>
        <w:jc w:val="both"/>
        <w:rPr>
          <w:b/>
        </w:rPr>
      </w:pPr>
    </w:p>
    <w:p w14:paraId="34158D33" w14:textId="77777777" w:rsidR="00187F3D" w:rsidRDefault="00187F3D" w:rsidP="00400543">
      <w:pPr>
        <w:spacing w:line="480" w:lineRule="auto"/>
        <w:jc w:val="both"/>
      </w:pPr>
      <w:r>
        <w:tab/>
      </w:r>
      <w:r w:rsidR="00071EA4">
        <w:t>In its Motion to D</w:t>
      </w:r>
      <w:r w:rsidR="008C7298">
        <w:t xml:space="preserve">ismiss, IEU-Ohio </w:t>
      </w:r>
      <w:r w:rsidR="008B027B">
        <w:t>seeks</w:t>
      </w:r>
      <w:r w:rsidR="008C7298">
        <w:t xml:space="preserve"> </w:t>
      </w:r>
      <w:r w:rsidR="00B45650">
        <w:t xml:space="preserve">dismissal of the </w:t>
      </w:r>
      <w:r w:rsidR="008C7298">
        <w:t xml:space="preserve">request for authorization of the </w:t>
      </w:r>
      <w:r w:rsidR="008B027B">
        <w:t>various riders</w:t>
      </w:r>
      <w:r w:rsidR="008C7298">
        <w:t xml:space="preserve"> because DP&amp;L </w:t>
      </w:r>
      <w:r w:rsidR="006443B0">
        <w:t xml:space="preserve">has </w:t>
      </w:r>
      <w:r w:rsidR="008C7298">
        <w:t xml:space="preserve">failed to state a claim on which the Commission could grant relief.  IEU-Ohio Motion to Dismiss the DMR, Memorandum in Support at </w:t>
      </w:r>
      <w:r w:rsidR="003C11BE">
        <w:t>5</w:t>
      </w:r>
      <w:r w:rsidR="00D944E3">
        <w:t>.</w:t>
      </w:r>
      <w:r w:rsidR="008C7298">
        <w:t xml:space="preserve"> </w:t>
      </w:r>
      <w:r w:rsidR="00A11DA0">
        <w:t xml:space="preserve"> In its </w:t>
      </w:r>
      <w:r w:rsidR="008B027B">
        <w:t>memorandum opposing IEU-Ohio’s M</w:t>
      </w:r>
      <w:r w:rsidR="00A11DA0">
        <w:t>otio</w:t>
      </w:r>
      <w:r w:rsidR="008B027B">
        <w:t>n to D</w:t>
      </w:r>
      <w:r w:rsidR="00B10D3A">
        <w:t>ismiss, DP&amp;L asserts that motions to dismiss are not pe</w:t>
      </w:r>
      <w:r w:rsidR="00B45650">
        <w:t>r</w:t>
      </w:r>
      <w:r w:rsidR="00B10D3A">
        <w:t xml:space="preserve">mitted in standard service offer proceedings.  </w:t>
      </w:r>
      <w:r w:rsidR="003C11BE">
        <w:t xml:space="preserve">DP&amp;L Memo Contra at </w:t>
      </w:r>
      <w:r w:rsidR="00C26F40">
        <w:t>2</w:t>
      </w:r>
      <w:r w:rsidR="00254DA8">
        <w:t xml:space="preserve">.  In support of this extraordinary claim, DP&amp;L </w:t>
      </w:r>
      <w:r w:rsidR="00D8719D">
        <w:t xml:space="preserve">claims </w:t>
      </w:r>
      <w:r w:rsidR="00254DA8">
        <w:t>that R.C. 4903.</w:t>
      </w:r>
      <w:r w:rsidR="003D7884">
        <w:t xml:space="preserve">082 </w:t>
      </w:r>
      <w:r w:rsidR="000B7FE9">
        <w:t xml:space="preserve">does not authorize the Commission to apply </w:t>
      </w:r>
      <w:r w:rsidR="006C0414">
        <w:t>Civil Rule 12 standards to its proceedings and “dismissing any portion of the Amended Application would violate DP&amp;L’s r</w:t>
      </w:r>
      <w:r w:rsidR="00B45650">
        <w:t>ight to have its proposal heard</w:t>
      </w:r>
      <w:r w:rsidR="002108EE">
        <w:t>”</w:t>
      </w:r>
      <w:r w:rsidR="00B45650">
        <w:t xml:space="preserve"> under R.C. 4928141(B</w:t>
      </w:r>
      <w:r w:rsidR="002108EE">
        <w:t xml:space="preserve">) </w:t>
      </w:r>
      <w:r w:rsidR="00544824">
        <w:t>and the Commission right to modify an application</w:t>
      </w:r>
      <w:r w:rsidR="003C11BE">
        <w:t xml:space="preserve">.  </w:t>
      </w:r>
      <w:r w:rsidR="003C11BE" w:rsidRPr="007B5401">
        <w:rPr>
          <w:i/>
        </w:rPr>
        <w:t>Id</w:t>
      </w:r>
      <w:r w:rsidR="003C11BE">
        <w:t>. at 3-4</w:t>
      </w:r>
      <w:r w:rsidR="00544824">
        <w:t>.</w:t>
      </w:r>
      <w:r w:rsidR="006C0414">
        <w:t xml:space="preserve"> </w:t>
      </w:r>
      <w:r w:rsidR="00B45650">
        <w:t xml:space="preserve"> </w:t>
      </w:r>
      <w:r w:rsidR="00B17CAD">
        <w:t>These claims are unsupported by Ohio law and long-standing Commission precedent.</w:t>
      </w:r>
    </w:p>
    <w:p w14:paraId="39D6A157" w14:textId="77777777" w:rsidR="004C1B2B" w:rsidRDefault="007F140B" w:rsidP="00400543">
      <w:pPr>
        <w:spacing w:line="480" w:lineRule="auto"/>
        <w:jc w:val="both"/>
      </w:pPr>
      <w:r>
        <w:tab/>
      </w:r>
      <w:r w:rsidR="0095239C">
        <w:t xml:space="preserve">Initially, </w:t>
      </w:r>
      <w:r w:rsidR="0064466C">
        <w:t xml:space="preserve">DP&amp;L </w:t>
      </w:r>
      <w:r w:rsidR="0095239C">
        <w:t>in its Memo Contra</w:t>
      </w:r>
      <w:r w:rsidR="0064466C">
        <w:t xml:space="preserve"> provides a technical argument that the Commission’s authority to rely on </w:t>
      </w:r>
      <w:r w:rsidR="00FB7B8B">
        <w:t>Civil</w:t>
      </w:r>
      <w:r w:rsidR="0064466C">
        <w:t xml:space="preserve"> Rule standards to govern its management of its docket is somehow limited to only discovery based on R.C. 4903.082.  As provided by that section, the Commission may look generally to the Rules of Civil Procedure.  While </w:t>
      </w:r>
      <w:r w:rsidR="00FB7B8B">
        <w:t>other parts of that</w:t>
      </w:r>
      <w:r w:rsidR="0064466C">
        <w:t xml:space="preserve"> section </w:t>
      </w:r>
      <w:r w:rsidR="00FB7B8B">
        <w:t>address</w:t>
      </w:r>
      <w:r w:rsidR="0064466C">
        <w:t xml:space="preserve"> discovery, the general statement concerning the </w:t>
      </w:r>
      <w:r w:rsidR="0064466C">
        <w:lastRenderedPageBreak/>
        <w:t xml:space="preserve">Commission’s </w:t>
      </w:r>
      <w:r w:rsidR="003063D8">
        <w:t>discretion</w:t>
      </w:r>
      <w:r w:rsidR="0064466C">
        <w:t xml:space="preserve"> to consider the Civil Rules is not limited to discovery.</w:t>
      </w:r>
      <w:r w:rsidR="003063D8">
        <w:t xml:space="preserve">  In this regard, the statute should be given its plain meaning.  </w:t>
      </w:r>
    </w:p>
    <w:p w14:paraId="79F848D7" w14:textId="0D2E1BFD" w:rsidR="00DE7170" w:rsidRDefault="003063D8" w:rsidP="00400543">
      <w:pPr>
        <w:spacing w:line="480" w:lineRule="auto"/>
        <w:ind w:firstLine="720"/>
        <w:jc w:val="both"/>
      </w:pPr>
      <w:r>
        <w:t>DP&amp;L’s argument also ignores that t</w:t>
      </w:r>
      <w:r w:rsidR="004C1B2B">
        <w:t xml:space="preserve">he General Assembly has afforded the Commission broad authority to manage its docket.  Under R.C. 4901.13, </w:t>
      </w:r>
      <w:r w:rsidR="007F140B" w:rsidRPr="007F140B">
        <w:t xml:space="preserve">the "commission may adopt and publish rules to govern its proceedings and to regulate the mode and manner of all </w:t>
      </w:r>
      <w:r w:rsidR="004232B5">
        <w:t xml:space="preserve">… hearings </w:t>
      </w:r>
      <w:r w:rsidR="007F140B" w:rsidRPr="007F140B">
        <w:t>relating to parties before it."</w:t>
      </w:r>
      <w:r w:rsidR="007F140B">
        <w:t xml:space="preserve">  </w:t>
      </w:r>
      <w:r w:rsidR="007F140B" w:rsidRPr="007F140B">
        <w:t xml:space="preserve">"Under R.C. 4901.13 the commission has broad discretion in the conduct of its hearings." </w:t>
      </w:r>
      <w:r w:rsidR="0095239C">
        <w:t xml:space="preserve"> </w:t>
      </w:r>
      <w:r w:rsidR="007F140B" w:rsidRPr="0095239C">
        <w:rPr>
          <w:i/>
        </w:rPr>
        <w:t>Duff v. Pub. Util. Com</w:t>
      </w:r>
      <w:r w:rsidR="00C16B96" w:rsidRPr="0095239C">
        <w:rPr>
          <w:i/>
        </w:rPr>
        <w:t>m’n of Ohio</w:t>
      </w:r>
      <w:r w:rsidR="00C16B96">
        <w:t>,</w:t>
      </w:r>
      <w:r w:rsidR="00A134E1">
        <w:t xml:space="preserve"> 56 Ohio St.2d 367, 379 </w:t>
      </w:r>
      <w:r w:rsidR="00C16B96" w:rsidRPr="007F140B">
        <w:t>(1978)</w:t>
      </w:r>
      <w:r w:rsidR="00C16B96">
        <w:t xml:space="preserve">.  </w:t>
      </w:r>
      <w:r w:rsidR="004232B5">
        <w:t xml:space="preserve">Further, </w:t>
      </w:r>
      <w:r w:rsidR="007F140B" w:rsidRPr="007F140B">
        <w:t>"</w:t>
      </w:r>
      <w:r w:rsidR="004232B5">
        <w:t>[i]</w:t>
      </w:r>
      <w:r w:rsidR="007F140B" w:rsidRPr="007F140B">
        <w:t>t is well-settled that pursuant to R.C. 4901.13, the commission has the discretion to decide how, in light of its internal organization and docket considerations, it may best proceed to manage and expedite the orderly flow of its business, avoid undue delay and eliminate unnecessary duplication of effort.</w:t>
      </w:r>
      <w:r w:rsidR="00C741F1">
        <w:t>”</w:t>
      </w:r>
      <w:r w:rsidR="007F140B" w:rsidRPr="007F140B">
        <w:t xml:space="preserve">  </w:t>
      </w:r>
      <w:r w:rsidR="007F140B" w:rsidRPr="0095239C">
        <w:rPr>
          <w:i/>
        </w:rPr>
        <w:t>Toledo Coalition for Safe Energy v. Pub. Util. Comm</w:t>
      </w:r>
      <w:r w:rsidR="00F164D5" w:rsidRPr="0095239C">
        <w:rPr>
          <w:i/>
        </w:rPr>
        <w:t>’n of Ohio</w:t>
      </w:r>
      <w:r w:rsidR="00F164D5">
        <w:t xml:space="preserve">, 69 Ohio St.2d 559, 560 (1982).  </w:t>
      </w:r>
    </w:p>
    <w:p w14:paraId="450F4FD3" w14:textId="77777777" w:rsidR="0064466C" w:rsidRDefault="00B17CAD" w:rsidP="00400543">
      <w:pPr>
        <w:spacing w:line="480" w:lineRule="auto"/>
        <w:jc w:val="both"/>
      </w:pPr>
      <w:r>
        <w:tab/>
      </w:r>
      <w:r w:rsidR="004232B5">
        <w:t xml:space="preserve">In practice, the Commission has frequently granted motions to dismiss </w:t>
      </w:r>
      <w:r w:rsidR="00DD1E8B">
        <w:t xml:space="preserve">without hearing </w:t>
      </w:r>
      <w:r w:rsidR="004232B5">
        <w:t xml:space="preserve">when </w:t>
      </w:r>
      <w:r w:rsidR="00D03DCC">
        <w:t>an applicant has sought relief that the Commission could not lawfully authorize.</w:t>
      </w:r>
    </w:p>
    <w:p w14:paraId="777624E5" w14:textId="77777777" w:rsidR="0063199C" w:rsidRDefault="0063199C" w:rsidP="00400543">
      <w:pPr>
        <w:spacing w:line="480" w:lineRule="auto"/>
        <w:jc w:val="both"/>
      </w:pPr>
      <w:r>
        <w:tab/>
        <w:t xml:space="preserve">In </w:t>
      </w:r>
      <w:r w:rsidR="00C860AA">
        <w:t xml:space="preserve">a case involving the </w:t>
      </w:r>
      <w:r w:rsidR="00607A1F">
        <w:t>Monongahela</w:t>
      </w:r>
      <w:r w:rsidR="00C860AA">
        <w:t xml:space="preserve"> Power Company</w:t>
      </w:r>
      <w:r w:rsidR="00E35B82">
        <w:t xml:space="preserve">, the electric distribution utility </w:t>
      </w:r>
      <w:r w:rsidR="00D15A14">
        <w:t xml:space="preserve">(“EDU”) </w:t>
      </w:r>
      <w:r w:rsidR="00E35B82">
        <w:t xml:space="preserve">sought authorization of </w:t>
      </w:r>
      <w:r w:rsidR="00F938FB">
        <w:t xml:space="preserve">a </w:t>
      </w:r>
      <w:r w:rsidR="00E35B82">
        <w:t xml:space="preserve">standard service offer without demonstrating </w:t>
      </w:r>
      <w:r w:rsidR="00DE7F78">
        <w:t xml:space="preserve">in its application that it had met the statutory requirements to terminate </w:t>
      </w:r>
      <w:r w:rsidR="00F938FB">
        <w:t>the</w:t>
      </w:r>
      <w:r w:rsidR="00DE7F78">
        <w:t xml:space="preserve"> market development </w:t>
      </w:r>
      <w:r w:rsidR="00F938FB">
        <w:t>period</w:t>
      </w:r>
      <w:r w:rsidR="00DE7F78">
        <w:t xml:space="preserve"> and implement an auction based standard service offer</w:t>
      </w:r>
      <w:r w:rsidR="00E35B82">
        <w:t>.  On a motion to dismiss filed by IEU-Ohio</w:t>
      </w:r>
      <w:r w:rsidR="00607A1F">
        <w:t xml:space="preserve"> based on the </w:t>
      </w:r>
      <w:r w:rsidR="003C7C28">
        <w:t xml:space="preserve">EDU’s </w:t>
      </w:r>
      <w:r w:rsidR="00607A1F">
        <w:t xml:space="preserve">failure to demonstrate that </w:t>
      </w:r>
      <w:r w:rsidR="00AF4897">
        <w:t xml:space="preserve">all </w:t>
      </w:r>
      <w:r w:rsidR="00607A1F">
        <w:t>of the statutory conditions were met</w:t>
      </w:r>
      <w:r w:rsidR="00E35B82">
        <w:t xml:space="preserve">, the Commission dismissed the application.  </w:t>
      </w:r>
      <w:r w:rsidR="004665AE" w:rsidRPr="00F938FB">
        <w:rPr>
          <w:i/>
        </w:rPr>
        <w:t xml:space="preserve">In the Matter of the Application of Monongahela </w:t>
      </w:r>
      <w:r w:rsidR="00607A1F" w:rsidRPr="00F938FB">
        <w:rPr>
          <w:i/>
        </w:rPr>
        <w:t>Power</w:t>
      </w:r>
      <w:r w:rsidR="004665AE" w:rsidRPr="00F938FB">
        <w:rPr>
          <w:i/>
        </w:rPr>
        <w:t xml:space="preserve"> Company for Approval of a Market-Based </w:t>
      </w:r>
      <w:r w:rsidR="004665AE" w:rsidRPr="00F938FB">
        <w:rPr>
          <w:i/>
        </w:rPr>
        <w:lastRenderedPageBreak/>
        <w:t>Standard Service Offer and Competitive Bidding Process</w:t>
      </w:r>
      <w:r w:rsidR="004665AE">
        <w:t xml:space="preserve">, </w:t>
      </w:r>
      <w:r w:rsidR="00C860AA">
        <w:t xml:space="preserve">Case No. 03-1104-EL-ATA, Finding and Order (Oct. </w:t>
      </w:r>
      <w:r w:rsidR="00F20D46">
        <w:t>22</w:t>
      </w:r>
      <w:r w:rsidR="00C860AA">
        <w:t>, 2003).</w:t>
      </w:r>
    </w:p>
    <w:p w14:paraId="0A725DD4" w14:textId="77777777" w:rsidR="004A0134" w:rsidRDefault="004A0134" w:rsidP="00400543">
      <w:pPr>
        <w:spacing w:line="480" w:lineRule="auto"/>
        <w:jc w:val="both"/>
      </w:pPr>
      <w:r>
        <w:tab/>
      </w:r>
      <w:r w:rsidR="00876DBB">
        <w:t>Similarly, the Commission granted a motion to dismiss filed by several intervenors</w:t>
      </w:r>
      <w:r w:rsidR="00B039C9">
        <w:t xml:space="preserve"> of</w:t>
      </w:r>
      <w:r w:rsidR="00876DBB">
        <w:t xml:space="preserve"> an EDU’s application for inclusion of certain projects in its energy efficiency and peak demand reduction compliance plan because the </w:t>
      </w:r>
      <w:r w:rsidR="00B039C9">
        <w:t>application</w:t>
      </w:r>
      <w:r w:rsidR="00876DBB">
        <w:t xml:space="preserve"> demonstrated that the projects did not meet statutory requirements.  </w:t>
      </w:r>
      <w:r w:rsidR="00876DBB" w:rsidRPr="00F938FB">
        <w:rPr>
          <w:i/>
        </w:rPr>
        <w:t xml:space="preserve">In the Matter of the Energy Efficiency and Peak Demand </w:t>
      </w:r>
      <w:r w:rsidR="00B039C9" w:rsidRPr="00F938FB">
        <w:rPr>
          <w:i/>
        </w:rPr>
        <w:t>Reduction Program Portfolio of Ohio Edison Company, the Cleveland Electric Illuminating Company, and the Toledo Edison Company</w:t>
      </w:r>
      <w:r w:rsidR="00B039C9">
        <w:t xml:space="preserve">, Case Nos. 09-384-EL-EEC, </w:t>
      </w:r>
      <w:r w:rsidR="00B039C9" w:rsidRPr="007B5401">
        <w:rPr>
          <w:i/>
        </w:rPr>
        <w:t>et al.</w:t>
      </w:r>
      <w:r w:rsidR="00B039C9">
        <w:t>, Entry (Dec. 16, 2009).</w:t>
      </w:r>
    </w:p>
    <w:p w14:paraId="60865293" w14:textId="77777777" w:rsidR="003C7C28" w:rsidRDefault="001B36B1" w:rsidP="00400543">
      <w:pPr>
        <w:spacing w:line="480" w:lineRule="auto"/>
        <w:jc w:val="both"/>
      </w:pPr>
      <w:r>
        <w:tab/>
        <w:t xml:space="preserve">In a 2011 case, the Commission granted a motion to dismiss a request by the Office of the Ohio Consumers’ Counsel for a show cause order against </w:t>
      </w:r>
      <w:r w:rsidR="003066B5">
        <w:t xml:space="preserve">AT&amp;T </w:t>
      </w:r>
      <w:r>
        <w:t xml:space="preserve">Ohio because an intervening change of law rendered the request for the show cause order moot.  </w:t>
      </w:r>
      <w:r w:rsidR="003066B5" w:rsidRPr="00401325">
        <w:rPr>
          <w:i/>
        </w:rPr>
        <w:t>In the Matter of the Application of AT&amp;T Ohio for Approval of an Alternative Form of Regulation of Basic Local Exchange Service and Other Tier 1 Services Pursuant to Chapter 4901:1-4, Ohio Administrative Code</w:t>
      </w:r>
      <w:r w:rsidR="003066B5">
        <w:t xml:space="preserve">, </w:t>
      </w:r>
      <w:r w:rsidR="00990125">
        <w:t xml:space="preserve">Case Nos. 06-1013-TP-BLS, </w:t>
      </w:r>
      <w:r w:rsidR="00990125" w:rsidRPr="007B5401">
        <w:rPr>
          <w:i/>
        </w:rPr>
        <w:t>et al.</w:t>
      </w:r>
      <w:r w:rsidR="00990125">
        <w:t xml:space="preserve">, </w:t>
      </w:r>
      <w:r w:rsidR="003066B5">
        <w:t>Entry</w:t>
      </w:r>
      <w:r w:rsidR="00990125">
        <w:t xml:space="preserve"> (May 19, 2011).</w:t>
      </w:r>
    </w:p>
    <w:p w14:paraId="1C1AB2F6" w14:textId="77777777" w:rsidR="00180370" w:rsidRDefault="00180370" w:rsidP="00400543">
      <w:pPr>
        <w:spacing w:line="480" w:lineRule="auto"/>
        <w:jc w:val="both"/>
      </w:pPr>
      <w:r>
        <w:tab/>
        <w:t xml:space="preserve">In a 2004 case, the Commission granted a </w:t>
      </w:r>
      <w:r w:rsidR="00490067">
        <w:t xml:space="preserve">track owner’s </w:t>
      </w:r>
      <w:r>
        <w:t xml:space="preserve">motion to dismiss </w:t>
      </w:r>
      <w:r w:rsidR="00490067">
        <w:t>an application seeking an exemption of the requirement for school buses and carriers of hazardous materials from stopping at a railroad crossing</w:t>
      </w:r>
      <w:r w:rsidR="00F52252">
        <w:t>.</w:t>
      </w:r>
      <w:r w:rsidR="00800295">
        <w:t xml:space="preserve"> </w:t>
      </w:r>
      <w:r w:rsidR="00F52252">
        <w:t xml:space="preserve"> The dismissal was granted after the Commission S</w:t>
      </w:r>
      <w:r w:rsidR="00675381">
        <w:t xml:space="preserve">taff submitted a letter demonstrating that the crossing did not meet the statutory requirements for an exemption.  </w:t>
      </w:r>
      <w:r w:rsidR="00675381" w:rsidRPr="00401325">
        <w:rPr>
          <w:i/>
        </w:rPr>
        <w:t xml:space="preserve">In the Matter of a Request for an Exemption from Stopping for School Buses and Other Motor Vehicles at the Highway/Railroad Grade </w:t>
      </w:r>
      <w:r w:rsidR="00675381" w:rsidRPr="00401325">
        <w:rPr>
          <w:i/>
        </w:rPr>
        <w:lastRenderedPageBreak/>
        <w:t>Crossing L</w:t>
      </w:r>
      <w:r w:rsidR="00F86C9F" w:rsidRPr="00401325">
        <w:rPr>
          <w:i/>
        </w:rPr>
        <w:t>o</w:t>
      </w:r>
      <w:r w:rsidR="00675381" w:rsidRPr="00401325">
        <w:rPr>
          <w:i/>
        </w:rPr>
        <w:t>cated at U.S. Route 6</w:t>
      </w:r>
      <w:r w:rsidR="00F20D46">
        <w:rPr>
          <w:i/>
        </w:rPr>
        <w:t xml:space="preserve"> (477-636E)</w:t>
      </w:r>
      <w:r w:rsidR="00675381" w:rsidRPr="00401325">
        <w:rPr>
          <w:i/>
        </w:rPr>
        <w:t>, Village of Napoleon, Henry County</w:t>
      </w:r>
      <w:r w:rsidR="00675381">
        <w:t xml:space="preserve">, </w:t>
      </w:r>
      <w:r w:rsidR="00F52252">
        <w:t>Case No. 03-2524-RR-RCP, Entry</w:t>
      </w:r>
      <w:r w:rsidR="00675381">
        <w:t xml:space="preserve"> (June 2, </w:t>
      </w:r>
      <w:r w:rsidR="00F52252">
        <w:t>2004).</w:t>
      </w:r>
      <w:r w:rsidR="00800295">
        <w:t xml:space="preserve"> </w:t>
      </w:r>
    </w:p>
    <w:p w14:paraId="47504DE0" w14:textId="33299E51" w:rsidR="00990125" w:rsidRDefault="00990125" w:rsidP="00400543">
      <w:pPr>
        <w:spacing w:line="480" w:lineRule="auto"/>
        <w:jc w:val="both"/>
      </w:pPr>
      <w:r>
        <w:tab/>
      </w:r>
      <w:r w:rsidR="00243250">
        <w:t xml:space="preserve">In a 1989 case, the Commission </w:t>
      </w:r>
      <w:r w:rsidR="00C82121">
        <w:t>granted a motion to dismiss</w:t>
      </w:r>
      <w:r w:rsidR="00243250">
        <w:t xml:space="preserve"> an application seeking a boundary change for a telephone exchange because the application failed to state sufficient fac</w:t>
      </w:r>
      <w:r w:rsidR="00C82121">
        <w:t>ts to support a finding that service was inadequate as required by the applicable statutes</w:t>
      </w:r>
      <w:r w:rsidR="00243250">
        <w:t xml:space="preserve">.  </w:t>
      </w:r>
      <w:r w:rsidR="00C82121" w:rsidRPr="00401325">
        <w:rPr>
          <w:i/>
        </w:rPr>
        <w:t>In the Matter of the Petition of Thelma Penwell and Other Subscribers of the Amanda Exchange of GTE North Inc., Requesting a Boundary Change</w:t>
      </w:r>
      <w:r w:rsidR="00C82121">
        <w:t>, 1989 Ohio PUC LEXIS 818 (Aug. 9, 1989).</w:t>
      </w:r>
      <w:r w:rsidR="00283998">
        <w:t xml:space="preserve">  </w:t>
      </w:r>
    </w:p>
    <w:p w14:paraId="6EC8614A" w14:textId="77777777" w:rsidR="008265D4" w:rsidRDefault="008265D4" w:rsidP="00400543">
      <w:pPr>
        <w:spacing w:line="480" w:lineRule="auto"/>
        <w:jc w:val="both"/>
      </w:pPr>
      <w:r>
        <w:tab/>
        <w:t>This litany of cases demonstrates that the Commission has frequently and properly exercised its authority to dismiss a</w:t>
      </w:r>
      <w:r w:rsidR="00401325">
        <w:t>n a</w:t>
      </w:r>
      <w:r>
        <w:t>pplication without hearing when the application and supporting materials demonstrate that the Commission is without authority to grant the relief requested in the application.  DP&amp;L’s assertion that the Commission lacks that authority is simply wrong.</w:t>
      </w:r>
    </w:p>
    <w:p w14:paraId="184948B3" w14:textId="40E36C15" w:rsidR="00083DAD" w:rsidRDefault="00083DAD" w:rsidP="00400543">
      <w:pPr>
        <w:spacing w:line="480" w:lineRule="auto"/>
        <w:jc w:val="both"/>
      </w:pPr>
      <w:r>
        <w:tab/>
        <w:t xml:space="preserve">Moreover, DP&amp;L’s assertion that it has a right to hearing </w:t>
      </w:r>
      <w:r w:rsidR="004756BD">
        <w:t xml:space="preserve">because it is seeking authorization of a standard service offer </w:t>
      </w:r>
      <w:r>
        <w:t xml:space="preserve">is without merit.  </w:t>
      </w:r>
      <w:r w:rsidR="00825D31">
        <w:t xml:space="preserve">While it is correct that </w:t>
      </w:r>
      <w:r>
        <w:t xml:space="preserve">R.C. 4928.141 provides for the Commission to schedule a hearing of an application for a standard service </w:t>
      </w:r>
      <w:r w:rsidR="00825D31">
        <w:t xml:space="preserve">offer, that section does not guarantee DP&amp;L </w:t>
      </w:r>
      <w:r w:rsidR="00AA40E7">
        <w:t xml:space="preserve">a </w:t>
      </w:r>
      <w:r w:rsidR="00825D31">
        <w:t xml:space="preserve">hearing of an application that </w:t>
      </w:r>
      <w:r w:rsidR="00AA40E7">
        <w:t>is not complete</w:t>
      </w:r>
      <w:r w:rsidR="00825D31">
        <w:t xml:space="preserve">.  </w:t>
      </w:r>
      <w:r w:rsidR="00616B74">
        <w:t xml:space="preserve">R.C. 4928.06(A) provides that the Commission is to adopt rules to implement </w:t>
      </w:r>
      <w:r w:rsidR="00F22355">
        <w:t>Chapter 4928</w:t>
      </w:r>
      <w:r w:rsidR="00616B74">
        <w:t xml:space="preserve">.  </w:t>
      </w:r>
      <w:r w:rsidR="002C1016">
        <w:t xml:space="preserve">Under this authority, the Commission has established rules that define what may be included in an application, </w:t>
      </w:r>
      <w:r w:rsidR="00AE3E95">
        <w:t>Rule 4901:1-35-03, and when it will schedule a hearing on that application, Rule 4901:1-35-06</w:t>
      </w:r>
      <w:r w:rsidR="009960CE">
        <w:t>.  Division (A)</w:t>
      </w:r>
      <w:r w:rsidR="00AD1CBF">
        <w:t xml:space="preserve"> of Rule 4901:1-35-06</w:t>
      </w:r>
      <w:r w:rsidR="009960CE">
        <w:t xml:space="preserve"> </w:t>
      </w:r>
      <w:r w:rsidR="00AD1CBF">
        <w:t xml:space="preserve">in part </w:t>
      </w:r>
      <w:r w:rsidR="009960CE">
        <w:t>provides, “</w:t>
      </w:r>
      <w:r w:rsidR="009960CE" w:rsidRPr="009960CE">
        <w:t>After the filing of a standard service offer application that conforms to the commission's rules, the commission shall set the matter for hearing</w:t>
      </w:r>
      <w:r w:rsidR="00AD1CBF">
        <w:t xml:space="preserve">.”  Thus, by </w:t>
      </w:r>
      <w:r w:rsidR="00AD1CBF">
        <w:lastRenderedPageBreak/>
        <w:t xml:space="preserve">Commission rule, the Commission </w:t>
      </w:r>
      <w:r w:rsidR="00F22355">
        <w:t>may</w:t>
      </w:r>
      <w:r w:rsidR="00AD1CBF">
        <w:t xml:space="preserve"> set for hearing only an application that conforms to its rules.  </w:t>
      </w:r>
      <w:r w:rsidR="008E504A">
        <w:t>Contrary to DP&amp;L’s claim, t</w:t>
      </w:r>
      <w:r w:rsidR="00AD1CBF">
        <w:t xml:space="preserve">here is no blanket right to a hearing for anything that an EDU labels as an application for a standard service offer and files at the Commission.  </w:t>
      </w:r>
    </w:p>
    <w:p w14:paraId="4E76B565" w14:textId="77777777" w:rsidR="00AD1CBF" w:rsidRDefault="00AD1CBF" w:rsidP="00400543">
      <w:pPr>
        <w:spacing w:line="480" w:lineRule="auto"/>
        <w:jc w:val="both"/>
      </w:pPr>
      <w:r>
        <w:tab/>
        <w:t xml:space="preserve">As </w:t>
      </w:r>
      <w:r w:rsidR="00865126">
        <w:t>demonstrated</w:t>
      </w:r>
      <w:r>
        <w:t xml:space="preserve"> at len</w:t>
      </w:r>
      <w:r w:rsidR="008E504A">
        <w:t xml:space="preserve">gth in IEU-Ohio’s Motion to Dismiss, </w:t>
      </w:r>
      <w:r w:rsidR="00865126">
        <w:t>the request for</w:t>
      </w:r>
      <w:r w:rsidR="00173D41">
        <w:t xml:space="preserve"> the </w:t>
      </w:r>
      <w:r w:rsidR="00A134E1">
        <w:t>RCR, UEX, and Storm Rider are unsupported by the Amended Application, the RR violates R.C. 4928.38, and DP&amp;L has failed to demonstrate that the TCRR-N</w:t>
      </w:r>
      <w:r w:rsidR="00CC3F7E">
        <w:t xml:space="preserve"> complies with Commission rules or</w:t>
      </w:r>
      <w:r w:rsidR="00A134E1">
        <w:t xml:space="preserve"> that there is good cause to </w:t>
      </w:r>
      <w:r w:rsidR="00CC3F7E">
        <w:t xml:space="preserve">waive the Commission’s requirement that a transmission rider be bypassable.  </w:t>
      </w:r>
      <w:r w:rsidR="00A92B3E">
        <w:t>Further, the TCRR-N</w:t>
      </w:r>
      <w:r w:rsidR="00CC3F7E">
        <w:t xml:space="preserve"> do</w:t>
      </w:r>
      <w:r w:rsidR="00A92B3E">
        <w:t>es</w:t>
      </w:r>
      <w:r w:rsidR="00CC3F7E">
        <w:t xml:space="preserve"> not conform to the applicable federally-approved tariff</w:t>
      </w:r>
      <w:r w:rsidR="00005C09">
        <w:t xml:space="preserve"> and thus</w:t>
      </w:r>
      <w:r w:rsidR="00CC3F7E">
        <w:t xml:space="preserve"> is preempted by the Federal Power Act.</w:t>
      </w:r>
      <w:r w:rsidR="00173D41">
        <w:t xml:space="preserve"> </w:t>
      </w:r>
      <w:r w:rsidR="009D4D89">
        <w:t xml:space="preserve"> </w:t>
      </w:r>
      <w:r w:rsidR="00262A8C">
        <w:t xml:space="preserve">Because the </w:t>
      </w:r>
      <w:r w:rsidR="00283998">
        <w:t xml:space="preserve">Amended Application </w:t>
      </w:r>
      <w:r w:rsidR="00262A8C">
        <w:t xml:space="preserve">and supporting testimony lead to </w:t>
      </w:r>
      <w:r w:rsidR="00707F47">
        <w:t>the conclusion that the Commission must deny the authorization of the requested riders</w:t>
      </w:r>
      <w:r w:rsidR="00262A8C">
        <w:t xml:space="preserve">, </w:t>
      </w:r>
      <w:r w:rsidR="00F86C9F">
        <w:t>the Commission is authorized to grant IEU-Ohio’s Motion to Dismiss.  R.C. 4901.13;</w:t>
      </w:r>
      <w:r w:rsidR="006D04E6" w:rsidRPr="006D04E6">
        <w:t xml:space="preserve"> </w:t>
      </w:r>
      <w:r w:rsidR="006D04E6" w:rsidRPr="007B5401">
        <w:rPr>
          <w:i/>
        </w:rPr>
        <w:t>In the Matter of the Application of Monongahela Power Company for Approval of a Market-Based Standard Service Offer and Competitive Bidding Process</w:t>
      </w:r>
      <w:r w:rsidR="006D04E6">
        <w:t xml:space="preserve">, Case No. 03-1104-EL-ATA, Finding and Order (Oct. </w:t>
      </w:r>
      <w:r w:rsidR="00EF3C51">
        <w:t>22</w:t>
      </w:r>
      <w:r w:rsidR="006D04E6">
        <w:t>, 2003).</w:t>
      </w:r>
      <w:r w:rsidR="00F86C9F">
        <w:t xml:space="preserve"> </w:t>
      </w:r>
    </w:p>
    <w:p w14:paraId="3B19D0A3" w14:textId="77777777" w:rsidR="009D0641" w:rsidRDefault="00E96E68" w:rsidP="00313481">
      <w:pPr>
        <w:pStyle w:val="Heading1"/>
        <w:spacing w:after="0"/>
      </w:pPr>
      <w:bookmarkStart w:id="7" w:name="_Toc470075901"/>
      <w:bookmarkStart w:id="8" w:name="_Toc470076029"/>
      <w:r w:rsidRPr="00E11DE8">
        <w:t>DP&amp;L’s Attempt to</w:t>
      </w:r>
      <w:r w:rsidR="000549DC">
        <w:t xml:space="preserve"> Excuse its Failure to</w:t>
      </w:r>
      <w:r w:rsidRPr="00E11DE8">
        <w:t xml:space="preserve"> Support the RCR, UEX, and Storm Rider by Reference to its Application for a Rate Increase Violates </w:t>
      </w:r>
      <w:r w:rsidR="000549DC">
        <w:t xml:space="preserve">R.C. 4928.143(C)(1) and </w:t>
      </w:r>
      <w:r w:rsidRPr="00E11DE8">
        <w:t>Commission Rules Requiring an Applicant to</w:t>
      </w:r>
      <w:r w:rsidR="0028169A" w:rsidRPr="00E11DE8">
        <w:t xml:space="preserve"> Fully</w:t>
      </w:r>
      <w:r w:rsidRPr="00E11DE8">
        <w:t xml:space="preserve"> Support its Application for an Electric Security Plan</w:t>
      </w:r>
      <w:bookmarkEnd w:id="7"/>
      <w:bookmarkEnd w:id="8"/>
      <w:r w:rsidRPr="00E11DE8">
        <w:t xml:space="preserve"> </w:t>
      </w:r>
    </w:p>
    <w:p w14:paraId="6865DB19" w14:textId="77777777" w:rsidR="00400543" w:rsidRPr="00E11DE8" w:rsidRDefault="00400543" w:rsidP="00400543">
      <w:pPr>
        <w:jc w:val="both"/>
        <w:rPr>
          <w:b/>
        </w:rPr>
      </w:pPr>
    </w:p>
    <w:p w14:paraId="26933EC7" w14:textId="77777777" w:rsidR="0028169A" w:rsidRDefault="0028169A" w:rsidP="00C419EC">
      <w:pPr>
        <w:spacing w:line="480" w:lineRule="auto"/>
        <w:jc w:val="both"/>
      </w:pPr>
      <w:r>
        <w:tab/>
      </w:r>
      <w:r w:rsidR="00EA1B3A">
        <w:t xml:space="preserve">Under Commission rules, DP&amp;L must provide a complete description of the ESP and must support each aspect with supporting testimony.  Rule 4901:1-35-03(C)(1), O.A.C.  </w:t>
      </w:r>
      <w:r w:rsidR="008B5AB2">
        <w:t xml:space="preserve">In violation of those rules, </w:t>
      </w:r>
      <w:r w:rsidR="00EA1B3A">
        <w:t xml:space="preserve">DP&amp;L failed to provide a complete description of the RCR, UEX, and Storm Rider and failed to support any of these riders with testimony.  By </w:t>
      </w:r>
      <w:r w:rsidR="00EA1B3A">
        <w:lastRenderedPageBreak/>
        <w:t>failing to present the complete description of the riders supported by testimony, DP&amp;L has not complied with Rule 4901:1-35-03(C)(1), O.A.C., and cannot meet the burden of proof imposed on DP&amp;L under R.C. 4928.143(C)(1).  Accordingly, DP&amp;L is not entitled to the relief it seeks with respect to the RCR, UEX, and Storm Rider.</w:t>
      </w:r>
    </w:p>
    <w:p w14:paraId="79DC12F5" w14:textId="77777777" w:rsidR="008B5AB2" w:rsidRDefault="008B5AB2" w:rsidP="00C419EC">
      <w:pPr>
        <w:spacing w:line="480" w:lineRule="auto"/>
        <w:jc w:val="both"/>
      </w:pPr>
      <w:r>
        <w:tab/>
        <w:t>DP&amp;L seeks to avoid compliance with the Commission’s rules</w:t>
      </w:r>
      <w:r w:rsidR="008B5032">
        <w:t xml:space="preserve"> </w:t>
      </w:r>
      <w:r w:rsidR="00072AD5">
        <w:t>through a series of excuses.  First, it points</w:t>
      </w:r>
      <w:r w:rsidR="008B5032">
        <w:t xml:space="preserve"> to its testimony and supporting schedules filed in its pending rate case under the claim that it </w:t>
      </w:r>
      <w:r w:rsidR="00072AD5">
        <w:t>has</w:t>
      </w:r>
      <w:r w:rsidR="008B5032">
        <w:t xml:space="preserve"> “incorporated” this testimony.</w:t>
      </w:r>
      <w:r w:rsidR="000C1139">
        <w:t xml:space="preserve">  DP&amp;L Memo Contra at 7.  </w:t>
      </w:r>
      <w:r w:rsidR="00072AD5">
        <w:t xml:space="preserve">Second, DP&amp;L </w:t>
      </w:r>
      <w:r w:rsidR="000C1139">
        <w:t>tries to excuse its failure to support the requests for these riders on the fact that parties responded to DP&amp;L’s request</w:t>
      </w:r>
      <w:r w:rsidR="008F57F5">
        <w:t>s</w:t>
      </w:r>
      <w:r w:rsidR="000C1139">
        <w:t xml:space="preserve"> in their prefiled testimony.  </w:t>
      </w:r>
      <w:r w:rsidR="000C1139" w:rsidRPr="008F57F5">
        <w:rPr>
          <w:i/>
        </w:rPr>
        <w:t>Id</w:t>
      </w:r>
      <w:r w:rsidR="000C1139">
        <w:t xml:space="preserve">.  </w:t>
      </w:r>
      <w:r w:rsidR="008F57F5">
        <w:t xml:space="preserve">Third, </w:t>
      </w:r>
      <w:r w:rsidR="00E75691">
        <w:t xml:space="preserve">DP&amp;L </w:t>
      </w:r>
      <w:r w:rsidR="008F57F5">
        <w:t>seeks to excuse its failure to comply with Commission rules by offering</w:t>
      </w:r>
      <w:r w:rsidR="00E75691">
        <w:t xml:space="preserve"> that its failure “has afforded the Commission the flexibility to consider the RCR, UEX, and Storm Rider either in</w:t>
      </w:r>
      <w:r w:rsidR="00E11DE8">
        <w:t xml:space="preserve"> </w:t>
      </w:r>
      <w:r w:rsidR="00E75691">
        <w:t xml:space="preserve">this case or </w:t>
      </w:r>
      <w:r w:rsidR="00B70406">
        <w:t xml:space="preserve">in </w:t>
      </w:r>
      <w:r w:rsidR="006731B9">
        <w:t xml:space="preserve">[DP&amp;L’s pending rate case].”  </w:t>
      </w:r>
      <w:r w:rsidR="006731B9" w:rsidRPr="001B647C">
        <w:rPr>
          <w:i/>
        </w:rPr>
        <w:t>Id.</w:t>
      </w:r>
      <w:r w:rsidR="006731B9">
        <w:t xml:space="preserve"> at 8.  </w:t>
      </w:r>
    </w:p>
    <w:p w14:paraId="0AD049D4" w14:textId="77777777" w:rsidR="006731B9" w:rsidRDefault="006731B9" w:rsidP="00C419EC">
      <w:pPr>
        <w:spacing w:line="480" w:lineRule="auto"/>
        <w:jc w:val="both"/>
      </w:pPr>
      <w:r>
        <w:tab/>
        <w:t xml:space="preserve">None of these </w:t>
      </w:r>
      <w:r w:rsidR="00D066AD">
        <w:t>excuses</w:t>
      </w:r>
      <w:r>
        <w:t xml:space="preserve"> justifies DP&amp;L’s failure to present an application that complies with Commission rules.</w:t>
      </w:r>
    </w:p>
    <w:p w14:paraId="73ACF133" w14:textId="77777777" w:rsidR="00381641" w:rsidRDefault="006731B9" w:rsidP="00381641">
      <w:pPr>
        <w:spacing w:line="480" w:lineRule="auto"/>
        <w:jc w:val="both"/>
      </w:pPr>
      <w:r>
        <w:tab/>
      </w:r>
      <w:r w:rsidR="0086567D">
        <w:t xml:space="preserve">Initially, </w:t>
      </w:r>
      <w:r w:rsidR="00D066AD">
        <w:t>DP&amp;L cannot excuse its noncompliance because it “incorporated” its testimony in the rate case</w:t>
      </w:r>
      <w:r w:rsidR="000B0E36">
        <w:t xml:space="preserve"> as there is no provision for such incorporation in either R.C. 4928.143 or Commission rules</w:t>
      </w:r>
      <w:r w:rsidR="00D066AD">
        <w:t xml:space="preserve">.  </w:t>
      </w:r>
      <w:r w:rsidR="003542D1">
        <w:t xml:space="preserve">R.C. 4928.143(C)(1) places the burden of proof on the </w:t>
      </w:r>
      <w:r w:rsidR="00B70406">
        <w:t>EDU</w:t>
      </w:r>
      <w:r w:rsidR="003542D1">
        <w:t>.  To satisfy that burden, t</w:t>
      </w:r>
      <w:r w:rsidR="000B0E36">
        <w:t>he</w:t>
      </w:r>
      <w:r w:rsidR="0086567D">
        <w:t xml:space="preserve"> rules require DP&amp;L to file a complete set of testimony and supporting schedules: </w:t>
      </w:r>
    </w:p>
    <w:p w14:paraId="4CAE31A7" w14:textId="77777777" w:rsidR="00381641" w:rsidRDefault="00C253AC" w:rsidP="00381641">
      <w:pPr>
        <w:ind w:left="720" w:right="720"/>
        <w:jc w:val="both"/>
      </w:pPr>
      <w:r w:rsidRPr="00C253AC">
        <w:rPr>
          <w:i/>
        </w:rPr>
        <w:t>The application must include a complete set of direct testimony of the electric utility personnel or other expert witnesses</w:t>
      </w:r>
      <w:r w:rsidRPr="00C253AC">
        <w:t xml:space="preserve">. </w:t>
      </w:r>
      <w:r w:rsidR="00381641">
        <w:t xml:space="preserve"> </w:t>
      </w:r>
      <w:r w:rsidRPr="00C253AC">
        <w:t xml:space="preserve">This testimony shall be in question and answer format and shall be in support of the electric utility's proposed application. </w:t>
      </w:r>
      <w:r w:rsidR="00890C4A">
        <w:t xml:space="preserve"> </w:t>
      </w:r>
      <w:r w:rsidRPr="00C253AC">
        <w:rPr>
          <w:i/>
        </w:rPr>
        <w:t>This testimony shall fully support all schedules and significant issues identified by the electric utility.</w:t>
      </w:r>
      <w:r>
        <w:t xml:space="preserve">  </w:t>
      </w:r>
    </w:p>
    <w:p w14:paraId="51B3C4E2" w14:textId="77777777" w:rsidR="00381641" w:rsidRDefault="00381641" w:rsidP="00381641">
      <w:pPr>
        <w:ind w:left="720" w:right="720"/>
        <w:jc w:val="both"/>
      </w:pPr>
    </w:p>
    <w:p w14:paraId="7894FD8C" w14:textId="77777777" w:rsidR="006731B9" w:rsidRDefault="00C253AC" w:rsidP="00381641">
      <w:pPr>
        <w:spacing w:line="480" w:lineRule="auto"/>
        <w:jc w:val="both"/>
      </w:pPr>
      <w:r>
        <w:lastRenderedPageBreak/>
        <w:t xml:space="preserve">Rule </w:t>
      </w:r>
      <w:r w:rsidRPr="00C253AC">
        <w:t>4901:1-35-03</w:t>
      </w:r>
      <w:r>
        <w:t>(A), O.A.C. (emphasis added).</w:t>
      </w:r>
      <w:r w:rsidR="00672348">
        <w:t xml:space="preserve">  </w:t>
      </w:r>
      <w:r w:rsidR="008922BF">
        <w:t xml:space="preserve">Although the Commission rules require DP&amp;L to file a complete application supporting its requests, DP&amp;L has chosen to ignore the requirements.  It is no excuse to say that DP&amp;L has incorporated the necessary information; there is no provision for such </w:t>
      </w:r>
      <w:r w:rsidR="004D4EB4">
        <w:t>incorporation</w:t>
      </w:r>
      <w:r w:rsidR="008922BF">
        <w:t>.</w:t>
      </w:r>
    </w:p>
    <w:p w14:paraId="06CFCFD6" w14:textId="77777777" w:rsidR="00672348" w:rsidRDefault="00672348" w:rsidP="00C419EC">
      <w:pPr>
        <w:spacing w:line="480" w:lineRule="auto"/>
        <w:jc w:val="both"/>
      </w:pPr>
      <w:r>
        <w:tab/>
        <w:t>No</w:t>
      </w:r>
      <w:r w:rsidR="009F1F48">
        <w:t>r</w:t>
      </w:r>
      <w:r>
        <w:t xml:space="preserve"> should a waiver </w:t>
      </w:r>
      <w:r w:rsidR="009F1F48">
        <w:t xml:space="preserve">of the filing requirements </w:t>
      </w:r>
      <w:r>
        <w:t xml:space="preserve">be granted.  </w:t>
      </w:r>
      <w:r w:rsidR="007002C9">
        <w:t xml:space="preserve">DP&amp;L has not sought a waiver or demonstrated good cause to justify a departure from the requirements of the rules.  </w:t>
      </w:r>
      <w:r>
        <w:t>The rule</w:t>
      </w:r>
      <w:r w:rsidR="00E34EE8">
        <w:t>s require</w:t>
      </w:r>
      <w:r>
        <w:t xml:space="preserve"> the application to be complete because it affords the Commission and the parties a complete presentation of the applicant’s request</w:t>
      </w:r>
      <w:r w:rsidR="004D4EB4">
        <w:t>s</w:t>
      </w:r>
      <w:r>
        <w:t xml:space="preserve">. </w:t>
      </w:r>
      <w:r w:rsidR="00DC3D4B">
        <w:t xml:space="preserve"> Incorporation would frustrate that outcome.  </w:t>
      </w:r>
    </w:p>
    <w:p w14:paraId="6D64EE7A" w14:textId="75619178" w:rsidR="00E34EE8" w:rsidRDefault="00E34EE8" w:rsidP="00C419EC">
      <w:pPr>
        <w:spacing w:line="480" w:lineRule="auto"/>
        <w:jc w:val="both"/>
      </w:pPr>
      <w:r>
        <w:tab/>
        <w:t>DP&amp;L’s second excuse for not filing an application that addresses the RCR, UEX, and Storm Rider is that other parties addressed the issue</w:t>
      </w:r>
      <w:r w:rsidR="004D4EB4">
        <w:t xml:space="preserve"> in their </w:t>
      </w:r>
      <w:r w:rsidR="00BF0679">
        <w:t xml:space="preserve">prefiled </w:t>
      </w:r>
      <w:r w:rsidR="004D4EB4">
        <w:t>testimony</w:t>
      </w:r>
      <w:r>
        <w:t xml:space="preserve">.  This </w:t>
      </w:r>
      <w:r w:rsidR="009018A5">
        <w:t xml:space="preserve">excuse should not be accepted by the Commission because it shifts a burden to intervenors and </w:t>
      </w:r>
      <w:r w:rsidR="00AA40E7">
        <w:t xml:space="preserve">Staff </w:t>
      </w:r>
      <w:r w:rsidR="009018A5">
        <w:t>that is without justification.  DP&amp;L has the information to support its application.  It could have include</w:t>
      </w:r>
      <w:r w:rsidR="001C119E">
        <w:t>d</w:t>
      </w:r>
      <w:r w:rsidR="009018A5">
        <w:t xml:space="preserve"> </w:t>
      </w:r>
      <w:r w:rsidR="001C119E">
        <w:t>the information in its filing, but elected not to.  Having failed to comply with the rules, it should not be rewarded because other parties had to respond to its incomplete application out of concern that the Commission will allow DP&amp;L a free pass.</w:t>
      </w:r>
      <w:r w:rsidR="00692F81">
        <w:rPr>
          <w:rStyle w:val="FootnoteReference"/>
        </w:rPr>
        <w:footnoteReference w:id="1"/>
      </w:r>
      <w:r w:rsidR="00F6661A">
        <w:t xml:space="preserve">  </w:t>
      </w:r>
    </w:p>
    <w:p w14:paraId="541D9ED4" w14:textId="77777777" w:rsidR="00011A24" w:rsidRDefault="00011A24" w:rsidP="00C419EC">
      <w:pPr>
        <w:spacing w:line="480" w:lineRule="auto"/>
        <w:jc w:val="both"/>
      </w:pPr>
      <w:r>
        <w:tab/>
      </w:r>
      <w:r w:rsidR="00BD3A9F">
        <w:t>Finally, DP&amp;L seeks to excuse its noncompliance because “incorporation” will afford the Commission flexibility to address the riders it is seeking in either the rate cas</w:t>
      </w:r>
      <w:r w:rsidR="00262A6C">
        <w:t xml:space="preserve">e or this case.  This excuse, however, fails to address the fact that DP&amp;L did not satisfy the </w:t>
      </w:r>
      <w:r w:rsidR="00141D73">
        <w:t>filing</w:t>
      </w:r>
      <w:r w:rsidR="00262A6C">
        <w:t xml:space="preserve"> requirements to allow the Commission to address its proposed riders in this </w:t>
      </w:r>
      <w:r w:rsidR="00262A6C">
        <w:lastRenderedPageBreak/>
        <w:t xml:space="preserve">proceeding.  When a utility fails to </w:t>
      </w:r>
      <w:r w:rsidR="00834081">
        <w:t xml:space="preserve">meet </w:t>
      </w:r>
      <w:r w:rsidR="00141D73">
        <w:t>legal requirements</w:t>
      </w:r>
      <w:r w:rsidR="00262A6C">
        <w:t xml:space="preserve">, the request </w:t>
      </w:r>
      <w:r w:rsidR="009802ED">
        <w:t>must be rejected</w:t>
      </w:r>
      <w:r w:rsidR="00262A6C">
        <w:t xml:space="preserve">.  </w:t>
      </w:r>
      <w:r w:rsidR="00B97D7D" w:rsidRPr="00B97D7D">
        <w:rPr>
          <w:i/>
        </w:rPr>
        <w:t>In the Matter of the Application of Ohio Power Company for Authority to Establish a Standard Service Offer Pursuant to R.C. 4928.143, in the Form of an Electric Security Plan</w:t>
      </w:r>
      <w:r w:rsidR="00B97D7D" w:rsidRPr="00B97D7D">
        <w:t xml:space="preserve">, Case Nos. 13-2385-EL-SSO, </w:t>
      </w:r>
      <w:r w:rsidR="00B97D7D" w:rsidRPr="00B97D7D">
        <w:rPr>
          <w:i/>
        </w:rPr>
        <w:t>et al.</w:t>
      </w:r>
      <w:r w:rsidR="00B97D7D" w:rsidRPr="00B97D7D">
        <w:t>, Opinion and Order at 60-62 (Feb. 25, 2015) (“</w:t>
      </w:r>
      <w:r w:rsidR="00B97D7D" w:rsidRPr="00B97D7D">
        <w:rPr>
          <w:i/>
        </w:rPr>
        <w:t>AEP-Ohio ESP III Case</w:t>
      </w:r>
      <w:r w:rsidR="00B97D7D" w:rsidRPr="00B97D7D">
        <w:t>”)</w:t>
      </w:r>
      <w:r w:rsidR="00B97D7D" w:rsidRPr="00B97D7D">
        <w:rPr>
          <w:i/>
        </w:rPr>
        <w:t>.</w:t>
      </w:r>
      <w:r w:rsidR="00B97D7D">
        <w:rPr>
          <w:i/>
        </w:rPr>
        <w:t xml:space="preserve">  </w:t>
      </w:r>
      <w:r w:rsidR="00262A6C">
        <w:t>Since the failure</w:t>
      </w:r>
      <w:r w:rsidR="0060036D">
        <w:t xml:space="preserve"> to support the requested riders</w:t>
      </w:r>
      <w:r w:rsidR="00262A6C">
        <w:t xml:space="preserve"> is patent in this instance, the Commission should summarily deny authorization of the</w:t>
      </w:r>
      <w:r w:rsidR="0060036D">
        <w:t>m</w:t>
      </w:r>
      <w:r w:rsidR="00262A6C">
        <w:t>.</w:t>
      </w:r>
      <w:r w:rsidR="00E11DE8">
        <w:t xml:space="preserve">  </w:t>
      </w:r>
      <w:r w:rsidR="00E11DE8" w:rsidRPr="0060036D">
        <w:rPr>
          <w:i/>
        </w:rPr>
        <w:t>In the Matter of the Application of Monongahela Power Company for Approval of a Market-Based Standard Service Offer and Competitive Bidding Process</w:t>
      </w:r>
      <w:r w:rsidR="00E11DE8">
        <w:t>, Case No. 03-1104-EL-ATA, Finding and Order (Oct. 23, 2003).</w:t>
      </w:r>
    </w:p>
    <w:p w14:paraId="0F63030F" w14:textId="77777777" w:rsidR="00734152" w:rsidRDefault="00734152" w:rsidP="00044883">
      <w:pPr>
        <w:pStyle w:val="Heading1"/>
      </w:pPr>
      <w:bookmarkStart w:id="9" w:name="_Toc470075902"/>
      <w:bookmarkStart w:id="10" w:name="_Toc470076030"/>
      <w:r w:rsidRPr="001440D3">
        <w:t>The RR should be dismissed because it seeks the recovery of transition revenue or its equivalent in violation of R.C. 4928.38</w:t>
      </w:r>
      <w:bookmarkEnd w:id="9"/>
      <w:bookmarkEnd w:id="10"/>
    </w:p>
    <w:p w14:paraId="64791A55" w14:textId="0EEDAF82" w:rsidR="003C3BB4" w:rsidRPr="003C3BB4" w:rsidRDefault="00D57FD7" w:rsidP="00C419EC">
      <w:pPr>
        <w:spacing w:line="480" w:lineRule="auto"/>
        <w:jc w:val="both"/>
      </w:pPr>
      <w:r>
        <w:tab/>
      </w:r>
      <w:r w:rsidR="003C3BB4" w:rsidRPr="003C3BB4">
        <w:t xml:space="preserve">Under the proposed nonbypassable RR, DP&amp;L seeks to collect historic and future above-market costs associated with its ownership in </w:t>
      </w:r>
      <w:r w:rsidR="002D566D">
        <w:t>the Ohio Valley Electric Corporation (“</w:t>
      </w:r>
      <w:r w:rsidR="003C3BB4" w:rsidRPr="003C3BB4">
        <w:t>OVEC</w:t>
      </w:r>
      <w:r w:rsidR="002D566D">
        <w:t>”)</w:t>
      </w:r>
      <w:r w:rsidR="003C3BB4" w:rsidRPr="003C3BB4">
        <w:t xml:space="preserve">.  Such a proposal is unlawful, as confirmed by two recent Ohio Supreme Court cases.  </w:t>
      </w:r>
      <w:r w:rsidR="008B6497">
        <w:rPr>
          <w:i/>
        </w:rPr>
        <w:t>In re Application of Columbus S. Power Co.</w:t>
      </w:r>
      <w:r w:rsidR="008B6497">
        <w:t>, Slip Opinion No. 2016-Ohio-1608</w:t>
      </w:r>
      <w:r w:rsidR="005830E0">
        <w:t xml:space="preserve"> (“</w:t>
      </w:r>
      <w:r w:rsidR="005830E0" w:rsidRPr="005830E0">
        <w:rPr>
          <w:i/>
        </w:rPr>
        <w:t>Columbus Southern</w:t>
      </w:r>
      <w:r w:rsidR="005830E0">
        <w:t>”)</w:t>
      </w:r>
      <w:r w:rsidR="008B6497">
        <w:t xml:space="preserve">; </w:t>
      </w:r>
      <w:r w:rsidR="008B6497">
        <w:rPr>
          <w:bCs/>
          <w:i/>
        </w:rPr>
        <w:t>In re Application of Dayton Power &amp; Light Co.</w:t>
      </w:r>
      <w:r w:rsidR="008B6497">
        <w:rPr>
          <w:bCs/>
        </w:rPr>
        <w:t>, 147 Ohio St.3d 166, 2016-Ohio-3490</w:t>
      </w:r>
      <w:r w:rsidR="0033174C">
        <w:rPr>
          <w:bCs/>
        </w:rPr>
        <w:t xml:space="preserve"> </w:t>
      </w:r>
      <w:r w:rsidR="004C4E9F">
        <w:rPr>
          <w:bCs/>
        </w:rPr>
        <w:t>(“</w:t>
      </w:r>
      <w:r w:rsidR="004C4E9F" w:rsidRPr="00B53EFF">
        <w:rPr>
          <w:bCs/>
          <w:i/>
        </w:rPr>
        <w:t>DP&amp;L</w:t>
      </w:r>
      <w:r w:rsidR="004C4E9F">
        <w:rPr>
          <w:bCs/>
        </w:rPr>
        <w:t xml:space="preserve">”) </w:t>
      </w:r>
      <w:r w:rsidR="0033174C">
        <w:rPr>
          <w:bCs/>
        </w:rPr>
        <w:t>(reversing the authorization of a stability rider for DP&amp;L)</w:t>
      </w:r>
      <w:r w:rsidR="008B6497">
        <w:t xml:space="preserve">. </w:t>
      </w:r>
    </w:p>
    <w:p w14:paraId="14F41E73" w14:textId="77777777" w:rsidR="00734152" w:rsidRDefault="00236FBB" w:rsidP="00C419EC">
      <w:pPr>
        <w:spacing w:line="480" w:lineRule="auto"/>
        <w:jc w:val="both"/>
      </w:pPr>
      <w:r>
        <w:tab/>
        <w:t xml:space="preserve">In response, DP&amp;L urges the Commission to approve the RR based on its decision authorizing AEP-Ohio to bill the </w:t>
      </w:r>
      <w:r w:rsidR="002D566D">
        <w:t>above-</w:t>
      </w:r>
      <w:r>
        <w:t xml:space="preserve">market costs of its interest in OVEC through AEP-Ohio’s </w:t>
      </w:r>
      <w:r w:rsidR="002D566D">
        <w:t>Purchase Power Agreement (“</w:t>
      </w:r>
      <w:r>
        <w:t>PPA</w:t>
      </w:r>
      <w:r w:rsidR="00605B64">
        <w:t>”)</w:t>
      </w:r>
      <w:r>
        <w:t xml:space="preserve"> Rider.</w:t>
      </w:r>
      <w:r w:rsidR="00202BF8">
        <w:t xml:space="preserve">  </w:t>
      </w:r>
      <w:r w:rsidR="00EE5C7B">
        <w:t>DP&amp;L Memo Contra at 8-9</w:t>
      </w:r>
      <w:r w:rsidR="00B75806">
        <w:t xml:space="preserve">, </w:t>
      </w:r>
      <w:r w:rsidR="00B75806" w:rsidRPr="005830E0">
        <w:rPr>
          <w:i/>
        </w:rPr>
        <w:t>citing In the Mat</w:t>
      </w:r>
      <w:r w:rsidR="005830E0" w:rsidRPr="005830E0">
        <w:rPr>
          <w:i/>
        </w:rPr>
        <w:t>t</w:t>
      </w:r>
      <w:r w:rsidR="00B75806" w:rsidRPr="005830E0">
        <w:rPr>
          <w:i/>
        </w:rPr>
        <w:t>er of the Application Seeking Approval of Ohio Power Company’s Proposal to Enter into an Affiliate Power Purchase Agreement for Inclusion in the Power Purchase Agreement Rider</w:t>
      </w:r>
      <w:r w:rsidR="00B75806">
        <w:t xml:space="preserve">, Case Nos. 14-1693-EL-RDR, </w:t>
      </w:r>
      <w:r w:rsidR="00605B64" w:rsidRPr="001B647C">
        <w:rPr>
          <w:i/>
        </w:rPr>
        <w:t>et al.</w:t>
      </w:r>
      <w:r w:rsidR="00605B64">
        <w:t xml:space="preserve">, </w:t>
      </w:r>
      <w:r w:rsidR="00B75806">
        <w:t>Second Entry on Rehearing</w:t>
      </w:r>
      <w:r w:rsidR="0051263E">
        <w:t xml:space="preserve"> at 99-100 (Nov. 3, 2016)</w:t>
      </w:r>
      <w:r w:rsidR="00325D48">
        <w:t xml:space="preserve"> (“</w:t>
      </w:r>
      <w:r w:rsidR="00325D48" w:rsidRPr="00325D48">
        <w:rPr>
          <w:i/>
        </w:rPr>
        <w:t>AEP PPA</w:t>
      </w:r>
      <w:r w:rsidR="00325D48">
        <w:t>”)</w:t>
      </w:r>
      <w:r w:rsidR="00EE5C7B">
        <w:t xml:space="preserve">.  </w:t>
      </w:r>
      <w:r w:rsidR="00FF4878">
        <w:t xml:space="preserve">Additionally, it argues that the Commission can ignore </w:t>
      </w:r>
      <w:r w:rsidR="00FF4878">
        <w:lastRenderedPageBreak/>
        <w:t xml:space="preserve">the </w:t>
      </w:r>
      <w:r w:rsidR="0051263E">
        <w:t xml:space="preserve">statutory </w:t>
      </w:r>
      <w:r w:rsidR="00FF4878">
        <w:t xml:space="preserve">prohibition of the authorization of the collection </w:t>
      </w:r>
      <w:r w:rsidR="00575990">
        <w:t xml:space="preserve">of transition revenue.  According to DP&amp;L, </w:t>
      </w:r>
      <w:r w:rsidR="002C478A">
        <w:t xml:space="preserve">the rider can be approved by the Commission because R.C. 4928.38 is not applicable to the terms of an </w:t>
      </w:r>
      <w:r w:rsidR="00605B64">
        <w:t>ESP</w:t>
      </w:r>
      <w:r w:rsidR="00121ACC">
        <w:t xml:space="preserve"> </w:t>
      </w:r>
      <w:r w:rsidR="0051263E">
        <w:t>due to the “notwithstanding” clause contained in R.C. 4928.143(B)</w:t>
      </w:r>
      <w:r w:rsidR="00083A55">
        <w:t>.  Additionally</w:t>
      </w:r>
      <w:r w:rsidR="0051263E">
        <w:t xml:space="preserve"> </w:t>
      </w:r>
      <w:r w:rsidR="00083A55">
        <w:t xml:space="preserve">DP&amp;L claims that R.C. 4928.143(B)(2) is controlling because it </w:t>
      </w:r>
      <w:r w:rsidR="00121ACC">
        <w:t xml:space="preserve">was enacted after R.C. 4928.38.  </w:t>
      </w:r>
      <w:r w:rsidR="00EE5C7B" w:rsidRPr="001B647C">
        <w:rPr>
          <w:i/>
        </w:rPr>
        <w:t>Id</w:t>
      </w:r>
      <w:r w:rsidR="00EE5C7B">
        <w:t>.</w:t>
      </w:r>
      <w:r w:rsidR="00121ACC">
        <w:t xml:space="preserve"> at 9.</w:t>
      </w:r>
    </w:p>
    <w:p w14:paraId="7440E702" w14:textId="77777777" w:rsidR="00EE5C7B" w:rsidRDefault="00EE5C7B" w:rsidP="00C419EC">
      <w:pPr>
        <w:spacing w:line="480" w:lineRule="auto"/>
        <w:jc w:val="both"/>
      </w:pPr>
      <w:r>
        <w:tab/>
      </w:r>
      <w:r w:rsidR="009C5324">
        <w:t>These arguments are without merit</w:t>
      </w:r>
      <w:r>
        <w:t>.</w:t>
      </w:r>
    </w:p>
    <w:p w14:paraId="78EB31A2" w14:textId="77777777" w:rsidR="005830E0" w:rsidRDefault="00787BDB" w:rsidP="005462DA">
      <w:pPr>
        <w:pStyle w:val="Heading2"/>
      </w:pPr>
      <w:bookmarkStart w:id="11" w:name="_Toc470075903"/>
      <w:bookmarkStart w:id="12" w:name="_Toc470076031"/>
      <w:r>
        <w:t>Authorization of the</w:t>
      </w:r>
      <w:r w:rsidR="009C5324">
        <w:t xml:space="preserve"> RR </w:t>
      </w:r>
      <w:r w:rsidR="0059495B">
        <w:t>would permit DP&amp;L</w:t>
      </w:r>
      <w:r w:rsidR="009C5324">
        <w:t xml:space="preserve"> </w:t>
      </w:r>
      <w:r w:rsidR="005462DA">
        <w:t>to recover transition revenue or its equivalent in violation of R.C. 4928.38</w:t>
      </w:r>
      <w:bookmarkEnd w:id="11"/>
      <w:bookmarkEnd w:id="12"/>
    </w:p>
    <w:p w14:paraId="71DC0212" w14:textId="77777777" w:rsidR="008363CB" w:rsidRDefault="00F30ACF" w:rsidP="00447DA7">
      <w:pPr>
        <w:spacing w:line="480" w:lineRule="auto"/>
        <w:ind w:firstLine="720"/>
        <w:jc w:val="both"/>
      </w:pPr>
      <w:r>
        <w:t xml:space="preserve">First, </w:t>
      </w:r>
      <w:r w:rsidR="00B40611">
        <w:t xml:space="preserve">the Commission’s </w:t>
      </w:r>
      <w:r w:rsidR="00F05FC2">
        <w:t xml:space="preserve">reasoning in the </w:t>
      </w:r>
      <w:r w:rsidR="00F05FC2" w:rsidRPr="00325D48">
        <w:rPr>
          <w:i/>
        </w:rPr>
        <w:t>AEP PPA</w:t>
      </w:r>
      <w:r w:rsidR="00F05FC2">
        <w:t xml:space="preserve"> </w:t>
      </w:r>
      <w:r w:rsidR="00325D48">
        <w:t xml:space="preserve">case </w:t>
      </w:r>
      <w:r w:rsidR="005462DA">
        <w:t>is not controlling since it</w:t>
      </w:r>
      <w:r w:rsidR="00B40611">
        <w:t xml:space="preserve"> does not address </w:t>
      </w:r>
      <w:r w:rsidR="001A2690">
        <w:t xml:space="preserve">the Court’s analysis in the </w:t>
      </w:r>
      <w:r w:rsidR="001A2690" w:rsidRPr="001A2690">
        <w:rPr>
          <w:i/>
        </w:rPr>
        <w:t>Columbus Southern</w:t>
      </w:r>
      <w:r w:rsidR="001A2690">
        <w:t xml:space="preserve"> decision</w:t>
      </w:r>
      <w:r w:rsidR="00EA3787">
        <w:t xml:space="preserve">.  </w:t>
      </w:r>
      <w:r w:rsidR="00437D41">
        <w:t xml:space="preserve">The Commission again relied on the belief that transition costs are limited to those arising out of generation owned by the utility at the time retail choice was introduced.  </w:t>
      </w:r>
      <w:r w:rsidR="00CE157B" w:rsidRPr="00CE157B">
        <w:rPr>
          <w:i/>
        </w:rPr>
        <w:t>AEP PPA</w:t>
      </w:r>
      <w:r w:rsidR="00CE157B">
        <w:t xml:space="preserve">, Second Entry on Rehearing at 99-100. </w:t>
      </w:r>
      <w:r w:rsidR="00FD6816">
        <w:t xml:space="preserve"> </w:t>
      </w:r>
      <w:r w:rsidR="008363CB">
        <w:t xml:space="preserve">In the </w:t>
      </w:r>
      <w:r w:rsidR="008363CB" w:rsidRPr="00FD6816">
        <w:rPr>
          <w:i/>
        </w:rPr>
        <w:t>Columbus Southern</w:t>
      </w:r>
      <w:r w:rsidR="008363CB">
        <w:t xml:space="preserve"> ca</w:t>
      </w:r>
      <w:r w:rsidR="00787457">
        <w:t>s</w:t>
      </w:r>
      <w:r w:rsidR="008363CB">
        <w:t>e, t</w:t>
      </w:r>
      <w:r w:rsidR="00437D41">
        <w:t>he</w:t>
      </w:r>
      <w:r w:rsidR="008363CB">
        <w:t xml:space="preserve"> Court rejected this</w:t>
      </w:r>
      <w:r w:rsidR="00D22799">
        <w:t xml:space="preserve"> same argument that transition revenue is limited to the above-market costs related to specific generation units</w:t>
      </w:r>
      <w:r w:rsidR="008363CB">
        <w:t>.</w:t>
      </w:r>
    </w:p>
    <w:p w14:paraId="20484DE0" w14:textId="77777777" w:rsidR="008D1B96" w:rsidRDefault="00EA3787" w:rsidP="00447DA7">
      <w:pPr>
        <w:spacing w:line="480" w:lineRule="auto"/>
        <w:ind w:firstLine="720"/>
        <w:jc w:val="both"/>
      </w:pPr>
      <w:r>
        <w:t xml:space="preserve">The Court in </w:t>
      </w:r>
      <w:r w:rsidRPr="00EA3787">
        <w:rPr>
          <w:i/>
        </w:rPr>
        <w:t>Columbus Southern</w:t>
      </w:r>
      <w:r w:rsidR="001A2690">
        <w:t xml:space="preserve"> requires </w:t>
      </w:r>
      <w:r>
        <w:t xml:space="preserve">the Commission to consider </w:t>
      </w:r>
      <w:r w:rsidR="001A2690">
        <w:t xml:space="preserve">the </w:t>
      </w:r>
      <w:r w:rsidR="00DA6578">
        <w:t>“</w:t>
      </w:r>
      <w:r w:rsidR="001A2690">
        <w:t>nature</w:t>
      </w:r>
      <w:r w:rsidR="00DA6578">
        <w:t>”</w:t>
      </w:r>
      <w:r w:rsidR="001A2690">
        <w:t xml:space="preserve"> of the revenue to be collected under the rider.  </w:t>
      </w:r>
      <w:r w:rsidR="00DF5BFC">
        <w:rPr>
          <w:i/>
        </w:rPr>
        <w:t xml:space="preserve">Columbus Southern, </w:t>
      </w:r>
      <w:r w:rsidR="00DF5BFC" w:rsidRPr="000D6412">
        <w:t>at</w:t>
      </w:r>
      <w:r w:rsidR="00FD5D59" w:rsidRPr="000D6412">
        <w:t xml:space="preserve"> </w:t>
      </w:r>
      <w:r w:rsidR="00FD5D59">
        <w:rPr>
          <w:rFonts w:cs="Arial"/>
        </w:rPr>
        <w:t>¶</w:t>
      </w:r>
      <w:r w:rsidR="00FD5D59">
        <w:t xml:space="preserve"> 22.  </w:t>
      </w:r>
      <w:r>
        <w:t xml:space="preserve">As the Court explained, the Commission must look beyond labels:  </w:t>
      </w:r>
      <w:r w:rsidR="00FD5D59">
        <w:t>“By inserting the phrase ‘any equivalent revenues</w:t>
      </w:r>
      <w:r w:rsidR="001A2690">
        <w:t>,</w:t>
      </w:r>
      <w:r w:rsidR="00FD5D59">
        <w:t>’</w:t>
      </w:r>
      <w:r w:rsidR="00B40611">
        <w:t xml:space="preserve"> </w:t>
      </w:r>
      <w:r w:rsidR="00944370">
        <w:t>the General Assemb</w:t>
      </w:r>
      <w:r w:rsidR="00762B17">
        <w:t>l</w:t>
      </w:r>
      <w:r w:rsidR="00944370">
        <w:t>y</w:t>
      </w:r>
      <w:r w:rsidR="004E10B4">
        <w:t xml:space="preserve"> has demonstrated its intention to bar not only transition rev</w:t>
      </w:r>
      <w:r w:rsidR="00762B17">
        <w:t>e</w:t>
      </w:r>
      <w:r w:rsidR="004E10B4">
        <w:t>nue associated with costs that were st</w:t>
      </w:r>
      <w:r w:rsidR="00762B17">
        <w:t>r</w:t>
      </w:r>
      <w:r w:rsidR="004E10B4">
        <w:t xml:space="preserve">anded during the transition to market following S.B. 3 but also any revenue that amounts to transition revenue by another name.”  </w:t>
      </w:r>
      <w:r w:rsidR="004E10B4" w:rsidRPr="000D6412">
        <w:rPr>
          <w:i/>
        </w:rPr>
        <w:t>Id</w:t>
      </w:r>
      <w:r w:rsidR="004E10B4">
        <w:t xml:space="preserve">., </w:t>
      </w:r>
      <w:r w:rsidR="004E10B4">
        <w:rPr>
          <w:rFonts w:cs="Arial"/>
        </w:rPr>
        <w:t>¶</w:t>
      </w:r>
      <w:r w:rsidR="004E10B4">
        <w:t xml:space="preserve"> 21.</w:t>
      </w:r>
      <w:r w:rsidR="00F30ACF">
        <w:t xml:space="preserve">  </w:t>
      </w:r>
    </w:p>
    <w:p w14:paraId="10E03C0E" w14:textId="77777777" w:rsidR="003972DC" w:rsidRDefault="000D7F47" w:rsidP="00447DA7">
      <w:pPr>
        <w:spacing w:line="480" w:lineRule="auto"/>
        <w:ind w:firstLine="720"/>
        <w:jc w:val="both"/>
      </w:pPr>
      <w:r>
        <w:t xml:space="preserve">Transition revenue or its equivalent </w:t>
      </w:r>
      <w:r w:rsidR="00BF7C72">
        <w:t>is</w:t>
      </w:r>
      <w:r w:rsidR="002A454E">
        <w:t xml:space="preserve"> revenue</w:t>
      </w:r>
      <w:r w:rsidR="00BF7C72">
        <w:t xml:space="preserve"> based on</w:t>
      </w:r>
      <w:r w:rsidR="002A454E">
        <w:t xml:space="preserve"> the costs of retail electric generation service</w:t>
      </w:r>
      <w:r w:rsidR="00A56A6D">
        <w:t>s</w:t>
      </w:r>
      <w:r w:rsidR="002A454E">
        <w:t xml:space="preserve"> </w:t>
      </w:r>
      <w:r w:rsidR="002852D5">
        <w:t xml:space="preserve">that </w:t>
      </w:r>
      <w:r w:rsidR="00A72215">
        <w:t>are unrecoverable</w:t>
      </w:r>
      <w:r w:rsidR="002852D5">
        <w:t xml:space="preserve"> by an </w:t>
      </w:r>
      <w:r w:rsidR="00A56A6D">
        <w:t>EDU</w:t>
      </w:r>
      <w:r w:rsidR="00A72215">
        <w:t xml:space="preserve"> in a competitive market.  R.C. </w:t>
      </w:r>
      <w:r w:rsidR="00A72215">
        <w:lastRenderedPageBreak/>
        <w:t>4928.39.  In this case, DP&amp;L is seeking to recover through t</w:t>
      </w:r>
      <w:r w:rsidR="00DA51FA">
        <w:t xml:space="preserve">he RR its above-market costs resulting from its interest </w:t>
      </w:r>
      <w:r w:rsidR="009054B8">
        <w:t>in the OVEC generation plants</w:t>
      </w:r>
      <w:r w:rsidR="001139D7">
        <w:t>.  By definition, therefore, DP&amp;L is seeking authorization to bill and collect</w:t>
      </w:r>
      <w:r w:rsidR="009054B8">
        <w:t xml:space="preserve"> </w:t>
      </w:r>
      <w:r w:rsidR="00DA51FA">
        <w:t xml:space="preserve">transition revenue or its equivalent.  </w:t>
      </w:r>
    </w:p>
    <w:p w14:paraId="056CA8FA" w14:textId="5FE8244D" w:rsidR="00447DA7" w:rsidRDefault="003972DC" w:rsidP="00447DA7">
      <w:pPr>
        <w:spacing w:line="480" w:lineRule="auto"/>
        <w:ind w:firstLine="720"/>
        <w:jc w:val="both"/>
      </w:pPr>
      <w:r>
        <w:t>T</w:t>
      </w:r>
      <w:r w:rsidR="00DA51FA">
        <w:t>he Commission</w:t>
      </w:r>
      <w:r w:rsidR="0068038A">
        <w:t xml:space="preserve"> can authorize the receipt of transition revenue only </w:t>
      </w:r>
      <w:r w:rsidR="00D409F4">
        <w:t>“</w:t>
      </w:r>
      <w:r w:rsidR="0068038A">
        <w:t xml:space="preserve">as </w:t>
      </w:r>
      <w:r w:rsidR="00762140">
        <w:t xml:space="preserve">expressly authorized in sections 4928.31 to 4928.40 of the Revised Code.”  </w:t>
      </w:r>
      <w:r w:rsidR="0068038A">
        <w:t xml:space="preserve">R.C. 4928.38.  </w:t>
      </w:r>
      <w:r w:rsidR="00D409F4">
        <w:t>These requirements provide for the recovery of transition revenue only as permitted by Commission order at the request of a</w:t>
      </w:r>
      <w:r w:rsidR="00346AB2">
        <w:t>n</w:t>
      </w:r>
      <w:r w:rsidR="00D409F4">
        <w:t xml:space="preserve"> </w:t>
      </w:r>
      <w:r w:rsidR="00A56A6D">
        <w:t>EDU</w:t>
      </w:r>
      <w:r w:rsidR="00D409F4">
        <w:t xml:space="preserve"> as part of an electric transition plan.  </w:t>
      </w:r>
      <w:r w:rsidR="007A6CA7">
        <w:t xml:space="preserve">R.C. 4928.39.  </w:t>
      </w:r>
      <w:r w:rsidR="00D409F4">
        <w:t>Moreover, the time for recovery of t</w:t>
      </w:r>
      <w:r w:rsidR="00346AB2">
        <w:t>ransition revenue was limited.  DP&amp;L</w:t>
      </w:r>
      <w:r w:rsidR="00A56A6D">
        <w:t>’s</w:t>
      </w:r>
      <w:r w:rsidR="00346AB2">
        <w:t xml:space="preserve"> application for an </w:t>
      </w:r>
      <w:r w:rsidR="00A56A6D">
        <w:t>ESP</w:t>
      </w:r>
      <w:r w:rsidR="00346AB2">
        <w:t xml:space="preserve"> is not an electric transition plan application, and t</w:t>
      </w:r>
      <w:r w:rsidR="00762140">
        <w:t>he opportunity to seek and recover transition revenue or its equivalent</w:t>
      </w:r>
      <w:r w:rsidR="0068038A">
        <w:t xml:space="preserve"> under R.C. 4928.31 to 4928.40</w:t>
      </w:r>
      <w:r w:rsidR="00762140">
        <w:t xml:space="preserve"> is long over for DP&amp;L and all other Ohio </w:t>
      </w:r>
      <w:r w:rsidR="00FA5512">
        <w:t>EDU</w:t>
      </w:r>
      <w:r w:rsidR="00762140">
        <w:t xml:space="preserve">s. </w:t>
      </w:r>
      <w:r w:rsidR="00686F9D">
        <w:t xml:space="preserve"> R.C. 4928.40 (collection of transition revenue for transition costs not identified as regulatory assets ended no later than December 31, 2005).</w:t>
      </w:r>
      <w:r w:rsidR="00871AAB">
        <w:t xml:space="preserve">  Based on </w:t>
      </w:r>
      <w:r w:rsidR="00FB3057">
        <w:t xml:space="preserve">R.C. 4928.38 and </w:t>
      </w:r>
      <w:r w:rsidR="00871AAB">
        <w:t>the Court’s decision</w:t>
      </w:r>
      <w:r w:rsidR="007A6CA7">
        <w:t>s</w:t>
      </w:r>
      <w:r w:rsidR="00871AAB">
        <w:t xml:space="preserve"> in the </w:t>
      </w:r>
      <w:r w:rsidR="00871AAB" w:rsidRPr="007A6CA7">
        <w:rPr>
          <w:i/>
        </w:rPr>
        <w:t>Columbus Southern</w:t>
      </w:r>
      <w:r w:rsidR="00871AAB">
        <w:t xml:space="preserve"> </w:t>
      </w:r>
      <w:r w:rsidR="00822F42">
        <w:t xml:space="preserve">and </w:t>
      </w:r>
      <w:r w:rsidR="00822F42" w:rsidRPr="00B53EFF">
        <w:rPr>
          <w:i/>
        </w:rPr>
        <w:t>DP&amp;L</w:t>
      </w:r>
      <w:r w:rsidR="00822F42">
        <w:t xml:space="preserve"> </w:t>
      </w:r>
      <w:r w:rsidR="00871AAB">
        <w:t>case</w:t>
      </w:r>
      <w:r w:rsidR="00822F42">
        <w:t>s</w:t>
      </w:r>
      <w:r w:rsidR="00871AAB">
        <w:t xml:space="preserve"> (which DP&amp;L fails to address)</w:t>
      </w:r>
      <w:r w:rsidR="00822F42">
        <w:t>,</w:t>
      </w:r>
      <w:r w:rsidR="00871AAB">
        <w:t xml:space="preserve"> </w:t>
      </w:r>
      <w:r w:rsidR="00CD3A8C">
        <w:t xml:space="preserve">therefore, </w:t>
      </w:r>
      <w:r w:rsidR="00871AAB">
        <w:t xml:space="preserve">the Commission is barred from authorizing DP&amp;L </w:t>
      </w:r>
      <w:r w:rsidR="00CD3A8C">
        <w:t xml:space="preserve">to bill and collect </w:t>
      </w:r>
      <w:r w:rsidR="00447DA7">
        <w:t>through</w:t>
      </w:r>
      <w:r w:rsidR="00CD3A8C">
        <w:t xml:space="preserve"> a retail rider</w:t>
      </w:r>
      <w:r w:rsidR="00871AAB">
        <w:t xml:space="preserve"> the above-market costs of its interest in OVEC.</w:t>
      </w:r>
      <w:r w:rsidR="00447DA7" w:rsidRPr="00447DA7">
        <w:t xml:space="preserve"> </w:t>
      </w:r>
    </w:p>
    <w:p w14:paraId="349B21AA" w14:textId="77777777" w:rsidR="0045740B" w:rsidRDefault="0045740B" w:rsidP="00603D5A">
      <w:pPr>
        <w:pStyle w:val="Heading2"/>
      </w:pPr>
      <w:bookmarkStart w:id="13" w:name="_Toc452975215"/>
      <w:bookmarkStart w:id="14" w:name="_Toc451769331"/>
      <w:bookmarkStart w:id="15" w:name="_Toc451762652"/>
      <w:bookmarkStart w:id="16" w:name="_Toc451524173"/>
      <w:bookmarkStart w:id="17" w:name="_Toc470075904"/>
      <w:bookmarkStart w:id="18" w:name="_Toc470076032"/>
      <w:r w:rsidRPr="0045740B">
        <w:t>The claim that the Commission may authorize the recovery of transition revenue or its equivalent under R.C. 4928.143 notwithstanding the prohibition in R.C. 4928.38 and 4928.141 should be rejected because it is not supported by legislative intent or the Commission’s prior, simultaneous, and subsequent interpretation and application of the regulatory structure applicable to electric distribution utilities</w:t>
      </w:r>
      <w:bookmarkEnd w:id="13"/>
      <w:bookmarkEnd w:id="14"/>
      <w:bookmarkEnd w:id="15"/>
      <w:bookmarkEnd w:id="16"/>
      <w:bookmarkEnd w:id="17"/>
      <w:bookmarkEnd w:id="18"/>
    </w:p>
    <w:p w14:paraId="3E673BFE" w14:textId="443A7E42" w:rsidR="00703589" w:rsidRDefault="00321174" w:rsidP="00321174">
      <w:pPr>
        <w:spacing w:line="480" w:lineRule="auto"/>
        <w:ind w:firstLine="720"/>
        <w:jc w:val="both"/>
      </w:pPr>
      <w:r>
        <w:t>DP&amp;L also argues that R.C. 4928.143 permits the Commission to authorize the RR even if it would allow DP&amp;L to bill and collect transition revenue or its equivalent.</w:t>
      </w:r>
      <w:r w:rsidR="009E2932">
        <w:t xml:space="preserve">  DP&amp;L Memo Contra at </w:t>
      </w:r>
      <w:r w:rsidR="00993A48">
        <w:t>9 (</w:t>
      </w:r>
      <w:r w:rsidR="00703589">
        <w:t>incorporating</w:t>
      </w:r>
      <w:r w:rsidR="00993A48">
        <w:t xml:space="preserve"> arguments it has advanced in response to IEU-Ohio’s </w:t>
      </w:r>
      <w:r w:rsidR="00703615">
        <w:t xml:space="preserve">motion </w:t>
      </w:r>
      <w:r w:rsidR="00993A48">
        <w:t xml:space="preserve">to </w:t>
      </w:r>
      <w:r w:rsidR="00703615">
        <w:t xml:space="preserve">dismiss </w:t>
      </w:r>
      <w:r w:rsidR="00993A48">
        <w:t>DP&amp;L</w:t>
      </w:r>
      <w:r w:rsidR="000464D8">
        <w:t>’s</w:t>
      </w:r>
      <w:r w:rsidR="00993A48">
        <w:t xml:space="preserve"> request for authorization of the DMR).</w:t>
      </w:r>
      <w:r>
        <w:t xml:space="preserve">  </w:t>
      </w:r>
      <w:r w:rsidR="00703589">
        <w:t xml:space="preserve">According to </w:t>
      </w:r>
      <w:r w:rsidR="00703589">
        <w:lastRenderedPageBreak/>
        <w:t>DP&amp;L</w:t>
      </w:r>
      <w:r w:rsidR="00FA5512">
        <w:t>,</w:t>
      </w:r>
      <w:r w:rsidR="00703589">
        <w:t xml:space="preserve"> the Commission may ignore the prohibition on the authorization of the receipt of transition revenue or its equivalent on the basis </w:t>
      </w:r>
      <w:r w:rsidR="0087392D">
        <w:t>of</w:t>
      </w:r>
      <w:r w:rsidR="00703589">
        <w:t xml:space="preserve"> </w:t>
      </w:r>
      <w:r w:rsidR="0087392D">
        <w:t xml:space="preserve">a “notwithstanding” clause in </w:t>
      </w:r>
      <w:r w:rsidR="00703589">
        <w:t xml:space="preserve">R.C. 4928.143 or </w:t>
      </w:r>
      <w:r w:rsidR="0074532E">
        <w:t>because</w:t>
      </w:r>
      <w:r w:rsidR="00703589">
        <w:t xml:space="preserve"> </w:t>
      </w:r>
      <w:r w:rsidR="00F85036">
        <w:t>the later adopted R.C. 4928.143 silently repeals the previously adopted and conflicting R.C. 4928.38</w:t>
      </w:r>
      <w:r w:rsidR="00703589">
        <w:t xml:space="preserve">.  </w:t>
      </w:r>
      <w:r w:rsidR="00557535">
        <w:t xml:space="preserve">Its statutory arguments </w:t>
      </w:r>
      <w:r w:rsidR="00703589">
        <w:t>are without merit.</w:t>
      </w:r>
    </w:p>
    <w:p w14:paraId="197552D2" w14:textId="38E076B6" w:rsidR="00321174" w:rsidRPr="0045740B" w:rsidRDefault="00321174" w:rsidP="00321174">
      <w:pPr>
        <w:spacing w:line="480" w:lineRule="auto"/>
        <w:ind w:firstLine="720"/>
        <w:jc w:val="both"/>
      </w:pPr>
      <w:r w:rsidRPr="0045740B">
        <w:t xml:space="preserve">In asserting that the Commission can authorize the </w:t>
      </w:r>
      <w:r>
        <w:t>RR</w:t>
      </w:r>
      <w:r w:rsidRPr="0045740B">
        <w:t xml:space="preserve"> to bill and collect transition revenue or its equivalent, DP&amp;L assume</w:t>
      </w:r>
      <w:r>
        <w:t>s</w:t>
      </w:r>
      <w:r w:rsidRPr="0045740B">
        <w:t xml:space="preserve"> that the Commission can author</w:t>
      </w:r>
      <w:r>
        <w:t>ize under R.C. 4928.143(B)(2)</w:t>
      </w:r>
      <w:r w:rsidRPr="0045740B">
        <w:t xml:space="preserve"> the collection of transition revenue or its equivalent.  </w:t>
      </w:r>
      <w:r w:rsidR="008F1021">
        <w:t>There is no express provision permitting DP&amp;L to bill and collect transition revenue or its equivalent under that section, and, a</w:t>
      </w:r>
      <w:r w:rsidRPr="0045740B">
        <w:t xml:space="preserve">s the Court has already held, that claim is incorrect.  </w:t>
      </w:r>
      <w:r w:rsidRPr="0045740B">
        <w:rPr>
          <w:i/>
        </w:rPr>
        <w:t>Columbus Southern</w:t>
      </w:r>
      <w:r w:rsidRPr="0045740B">
        <w:t>, at ¶¶ 14-40</w:t>
      </w:r>
      <w:r w:rsidR="00E003F8">
        <w:t xml:space="preserve">; </w:t>
      </w:r>
      <w:r w:rsidR="00E003F8">
        <w:rPr>
          <w:bCs/>
          <w:i/>
        </w:rPr>
        <w:t>In re Application of Dayton Power &amp; Light Co.</w:t>
      </w:r>
      <w:r w:rsidR="00E003F8">
        <w:rPr>
          <w:bCs/>
        </w:rPr>
        <w:t>, 147 Ohio St.3d 166, 2016-Ohio-3490</w:t>
      </w:r>
      <w:r w:rsidR="00E003F8">
        <w:t>.</w:t>
      </w:r>
    </w:p>
    <w:p w14:paraId="44F70A12" w14:textId="77777777" w:rsidR="00B10980" w:rsidRDefault="00B10980" w:rsidP="002528AA">
      <w:pPr>
        <w:spacing w:line="480" w:lineRule="auto"/>
        <w:ind w:firstLine="720"/>
        <w:jc w:val="both"/>
      </w:pPr>
      <w:r>
        <w:t xml:space="preserve">DP&amp;L’s attempt to avoid the application of R.C. 4928.38 to bar the RR by pointing to the “notwithstanding” clause </w:t>
      </w:r>
      <w:r w:rsidR="00447DA7">
        <w:t xml:space="preserve">also </w:t>
      </w:r>
      <w:r>
        <w:t>should be rejected</w:t>
      </w:r>
      <w:r w:rsidR="00605A4B">
        <w:t xml:space="preserve"> because it violates norms of statutory construction</w:t>
      </w:r>
      <w:r>
        <w:t>.</w:t>
      </w:r>
    </w:p>
    <w:p w14:paraId="544A2ED4" w14:textId="130A80E5" w:rsidR="00B46E99" w:rsidRDefault="0045740B" w:rsidP="00C419EC">
      <w:pPr>
        <w:spacing w:line="480" w:lineRule="auto"/>
        <w:jc w:val="both"/>
      </w:pPr>
      <w:r w:rsidRPr="0045740B">
        <w:tab/>
        <w:t>The “paramount concern in construing a statute is legislative intent.”</w:t>
      </w:r>
      <w:r w:rsidRPr="0045740B">
        <w:rPr>
          <w:i/>
        </w:rPr>
        <w:t xml:space="preserve">  Ohio Neighborhood Finance, Inc. v. Scott</w:t>
      </w:r>
      <w:r w:rsidRPr="0045740B">
        <w:t xml:space="preserve">, 139 Ohio St.3d 536, 2014-Ohio-2440, ¶ 22.  “Notwithstanding” clauses such as that contained in R.C. 4928.143(B)(2) therefore must be read in light of the “paramount concern” of the legislation.  </w:t>
      </w:r>
      <w:r w:rsidRPr="0045740B">
        <w:rPr>
          <w:i/>
        </w:rPr>
        <w:t>Id.</w:t>
      </w:r>
      <w:r w:rsidRPr="0045740B">
        <w:t xml:space="preserve">; </w:t>
      </w:r>
      <w:r w:rsidRPr="0045740B">
        <w:rPr>
          <w:i/>
        </w:rPr>
        <w:t>State v. Brown</w:t>
      </w:r>
      <w:r w:rsidRPr="0045740B">
        <w:t>, 119 Ohio St.3d 447, 2008-Ohio-4569, ¶ 37 (</w:t>
      </w:r>
      <w:r w:rsidRPr="0045740B">
        <w:rPr>
          <w:i/>
        </w:rPr>
        <w:t>quoting</w:t>
      </w:r>
      <w:r w:rsidRPr="0045740B">
        <w:rPr>
          <w:i/>
          <w:iCs/>
        </w:rPr>
        <w:t xml:space="preserve"> State v. Cook</w:t>
      </w:r>
      <w:r w:rsidRPr="0045740B">
        <w:t xml:space="preserve">, 83 Ohio St.3d 404, (1998)) (“A cardinal rule of statutory interpretation is that ‘[a] court must look to the language and purpose of the statute in order to determine legislative intent.’”); </w:t>
      </w:r>
      <w:r w:rsidRPr="0045740B">
        <w:rPr>
          <w:i/>
        </w:rPr>
        <w:t xml:space="preserve"> Kewalo Ocean Activities and Kahala Catamarans v. Ching</w:t>
      </w:r>
      <w:r w:rsidRPr="0045740B">
        <w:t>, 243 P.3d 273 (</w:t>
      </w:r>
      <w:r w:rsidR="00CB337C">
        <w:t xml:space="preserve">Haw. </w:t>
      </w:r>
      <w:r w:rsidRPr="0045740B">
        <w:t xml:space="preserve">2010); </w:t>
      </w:r>
      <w:r w:rsidRPr="0045740B">
        <w:rPr>
          <w:i/>
        </w:rPr>
        <w:t>Yates v. U.S.</w:t>
      </w:r>
      <w:r w:rsidRPr="0045740B">
        <w:t xml:space="preserve">, </w:t>
      </w:r>
      <w:r w:rsidR="00CB337C">
        <w:t>135 S.Ct. 1074</w:t>
      </w:r>
      <w:r w:rsidRPr="0045740B">
        <w:t xml:space="preserve"> (</w:t>
      </w:r>
      <w:r w:rsidRPr="0045740B">
        <w:rPr>
          <w:i/>
        </w:rPr>
        <w:t>quoting Robinson v. Shell Oil Co.</w:t>
      </w:r>
      <w:r w:rsidRPr="0045740B">
        <w:t xml:space="preserve">, 519 U.S. 337, 341 (1997) (term “tangible object” </w:t>
      </w:r>
      <w:r w:rsidRPr="0045740B">
        <w:lastRenderedPageBreak/>
        <w:t xml:space="preserve">in Sarbanes-Oxley Act did not include fish because “‘[t]he plainness or ambiguity of statutory language is determined [not only] by reference to the language itself, [but as well by] the specific context in which that language is used, and the broader context of the statute as a whole.’”).  </w:t>
      </w:r>
    </w:p>
    <w:p w14:paraId="3CF35022" w14:textId="2D9C373D" w:rsidR="0045740B" w:rsidRPr="0045740B" w:rsidRDefault="0045740B" w:rsidP="00C419EC">
      <w:pPr>
        <w:spacing w:line="480" w:lineRule="auto"/>
        <w:ind w:firstLine="720"/>
        <w:jc w:val="both"/>
      </w:pPr>
      <w:r w:rsidRPr="0045740B">
        <w:t xml:space="preserve">In this instance, the “notwithstanding” clause in R.C. 4928.143(B)(2) must be read in light of the enactment in the same legislation of R.C. 4928.141, which prohibits an allowance for transition costs and other provisions that render the </w:t>
      </w:r>
      <w:r w:rsidR="009E02A9">
        <w:t>RR</w:t>
      </w:r>
      <w:r w:rsidRPr="0045740B">
        <w:t xml:space="preserve"> unlawful.</w:t>
      </w:r>
    </w:p>
    <w:p w14:paraId="5D560F60" w14:textId="5F1233EF" w:rsidR="0045740B" w:rsidRPr="0045740B" w:rsidRDefault="0045740B" w:rsidP="00C419EC">
      <w:pPr>
        <w:spacing w:line="480" w:lineRule="auto"/>
        <w:ind w:firstLine="720"/>
        <w:jc w:val="both"/>
        <w:rPr>
          <w:bCs/>
        </w:rPr>
      </w:pPr>
      <w:r w:rsidRPr="0045740B">
        <w:rPr>
          <w:bCs/>
        </w:rPr>
        <w:t xml:space="preserve">As part of </w:t>
      </w:r>
      <w:r w:rsidR="009A3B02">
        <w:rPr>
          <w:bCs/>
        </w:rPr>
        <w:t>Amended Senate Bill 221 (“</w:t>
      </w:r>
      <w:r w:rsidRPr="0045740B">
        <w:rPr>
          <w:bCs/>
        </w:rPr>
        <w:t>SB 221</w:t>
      </w:r>
      <w:r w:rsidR="009A3B02">
        <w:rPr>
          <w:bCs/>
        </w:rPr>
        <w:t>”)</w:t>
      </w:r>
      <w:r w:rsidRPr="0045740B">
        <w:rPr>
          <w:bCs/>
        </w:rPr>
        <w:t>, the legislation enacting R.C. 4928.143</w:t>
      </w:r>
      <w:r w:rsidR="00C02F76">
        <w:rPr>
          <w:bCs/>
        </w:rPr>
        <w:t>(B)(2)</w:t>
      </w:r>
      <w:r w:rsidRPr="0045740B">
        <w:rPr>
          <w:bCs/>
        </w:rPr>
        <w:t xml:space="preserve"> and its “notwithstanding” clause, the General Assembly enacted R.C. 4928.141.  </w:t>
      </w:r>
      <w:r w:rsidR="00142C6A">
        <w:rPr>
          <w:bCs/>
        </w:rPr>
        <w:t>S</w:t>
      </w:r>
      <w:r w:rsidR="009A3B02" w:rsidRPr="0045740B">
        <w:rPr>
          <w:bCs/>
        </w:rPr>
        <w:t xml:space="preserve">ection </w:t>
      </w:r>
      <w:r w:rsidR="00142C6A">
        <w:rPr>
          <w:bCs/>
        </w:rPr>
        <w:t xml:space="preserve">4928.141 </w:t>
      </w:r>
      <w:r w:rsidRPr="0045740B">
        <w:rPr>
          <w:bCs/>
        </w:rPr>
        <w:t xml:space="preserve">specifies that an electric utility must maintain a standard service offer and that this offer may take the form of a </w:t>
      </w:r>
      <w:r w:rsidR="009A3B02">
        <w:rPr>
          <w:bCs/>
        </w:rPr>
        <w:t>m</w:t>
      </w:r>
      <w:r w:rsidR="009A3B02" w:rsidRPr="0045740B">
        <w:rPr>
          <w:bCs/>
        </w:rPr>
        <w:t xml:space="preserve">arket </w:t>
      </w:r>
      <w:r w:rsidR="009A3B02">
        <w:rPr>
          <w:bCs/>
        </w:rPr>
        <w:t>r</w:t>
      </w:r>
      <w:r w:rsidR="009A3B02" w:rsidRPr="0045740B">
        <w:rPr>
          <w:bCs/>
        </w:rPr>
        <w:t xml:space="preserve">ate </w:t>
      </w:r>
      <w:r w:rsidR="009A3B02">
        <w:rPr>
          <w:bCs/>
        </w:rPr>
        <w:t>o</w:t>
      </w:r>
      <w:r w:rsidR="009A3B02" w:rsidRPr="0045740B">
        <w:rPr>
          <w:bCs/>
        </w:rPr>
        <w:t xml:space="preserve">ffer </w:t>
      </w:r>
      <w:r w:rsidRPr="0045740B">
        <w:rPr>
          <w:bCs/>
        </w:rPr>
        <w:t xml:space="preserve">under R.C. 4928.142 or an ESP under R.C. 4928.143.  R.C. 4928.141 also addresses the previously enacted prohibition on transition revenue and directs the Commission to exclude an allowance for transition costs from any standard service offer.  As the Court recently explained, R.C. 4928.141 “expressly prohibits the recovery of transition costs” under “a standard service offer made through an ESP.”  </w:t>
      </w:r>
      <w:r w:rsidRPr="0045740B">
        <w:rPr>
          <w:bCs/>
          <w:i/>
        </w:rPr>
        <w:t>Columbus Southern</w:t>
      </w:r>
      <w:r w:rsidRPr="0045740B">
        <w:rPr>
          <w:bCs/>
        </w:rPr>
        <w:t xml:space="preserve">, at ¶ 17.  </w:t>
      </w:r>
    </w:p>
    <w:p w14:paraId="4998CCB6" w14:textId="77777777" w:rsidR="0045740B" w:rsidRPr="0045740B" w:rsidRDefault="0045740B" w:rsidP="00A95E84">
      <w:pPr>
        <w:spacing w:line="480" w:lineRule="auto"/>
        <w:ind w:firstLine="720"/>
        <w:jc w:val="both"/>
        <w:rPr>
          <w:bCs/>
        </w:rPr>
      </w:pPr>
      <w:r w:rsidRPr="0045740B">
        <w:rPr>
          <w:bCs/>
        </w:rPr>
        <w:t>In SB 221, the General Assembly provided additional direction that it did not intend the “notwithstanding” clause to subsume all of the other statutory provisions in Title 49.  In particular, the</w:t>
      </w:r>
      <w:r w:rsidR="00F94CC3">
        <w:rPr>
          <w:bCs/>
        </w:rPr>
        <w:t xml:space="preserve"> General Assembly modified the s</w:t>
      </w:r>
      <w:r w:rsidRPr="0045740B">
        <w:rPr>
          <w:bCs/>
        </w:rPr>
        <w:t>tate policy by amending and renumbering R.C. 4928.02(H) to provide that it is the</w:t>
      </w:r>
      <w:r w:rsidR="00F94CC3">
        <w:rPr>
          <w:bCs/>
        </w:rPr>
        <w:t xml:space="preserve"> policy of the State to</w:t>
      </w:r>
      <w:r w:rsidR="00C8771A">
        <w:rPr>
          <w:bCs/>
        </w:rPr>
        <w:t xml:space="preserve"> </w:t>
      </w:r>
      <w:r w:rsidR="00A5761D">
        <w:rPr>
          <w:bCs/>
        </w:rPr>
        <w:t>“[</w:t>
      </w:r>
      <w:r w:rsidR="00F94CC3">
        <w:rPr>
          <w:bCs/>
        </w:rPr>
        <w:t>e</w:t>
      </w:r>
      <w:r w:rsidR="00A5761D">
        <w:rPr>
          <w:bCs/>
        </w:rPr>
        <w:t>]</w:t>
      </w:r>
      <w:r w:rsidRPr="0045740B">
        <w:rPr>
          <w:bCs/>
        </w:rPr>
        <w:t xml:space="preserv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w:t>
      </w:r>
      <w:r w:rsidRPr="00AE7CF8">
        <w:rPr>
          <w:bCs/>
        </w:rPr>
        <w:lastRenderedPageBreak/>
        <w:t>including by prohibiting the recovery of any generation-related costs through distribution or transmission rates</w:t>
      </w:r>
      <w:r w:rsidRPr="0045740B">
        <w:rPr>
          <w:bCs/>
        </w:rPr>
        <w:t>.</w:t>
      </w:r>
      <w:r w:rsidR="00A5761D">
        <w:rPr>
          <w:bCs/>
        </w:rPr>
        <w:t>”</w:t>
      </w:r>
      <w:r w:rsidRPr="0045740B">
        <w:rPr>
          <w:bCs/>
          <w:vertAlign w:val="superscript"/>
        </w:rPr>
        <w:footnoteReference w:id="2"/>
      </w:r>
      <w:r w:rsidR="00C419EC">
        <w:rPr>
          <w:bCs/>
        </w:rPr>
        <w:t xml:space="preserve">  </w:t>
      </w:r>
      <w:r w:rsidRPr="0045740B">
        <w:rPr>
          <w:bCs/>
        </w:rPr>
        <w:t xml:space="preserve">The amendment specifically prohibits a charge such as the </w:t>
      </w:r>
      <w:r w:rsidR="00A5761D">
        <w:rPr>
          <w:bCs/>
        </w:rPr>
        <w:t>RR</w:t>
      </w:r>
      <w:r w:rsidRPr="0045740B">
        <w:rPr>
          <w:bCs/>
        </w:rPr>
        <w:t xml:space="preserve"> that provides DP&amp;L’s generation business with additional revenue through a distribution-like, </w:t>
      </w:r>
      <w:r w:rsidRPr="005F4990">
        <w:rPr>
          <w:bCs/>
          <w:i/>
        </w:rPr>
        <w:t>i.e</w:t>
      </w:r>
      <w:r w:rsidRPr="00C575EC">
        <w:rPr>
          <w:bCs/>
          <w:i/>
        </w:rPr>
        <w:t>.</w:t>
      </w:r>
      <w:r w:rsidRPr="0045740B">
        <w:rPr>
          <w:bCs/>
        </w:rPr>
        <w:t>, nonbypassable, charge.</w:t>
      </w:r>
    </w:p>
    <w:p w14:paraId="05F23F1B" w14:textId="77777777" w:rsidR="0045740B" w:rsidRPr="0045740B" w:rsidRDefault="0045740B" w:rsidP="00C419EC">
      <w:pPr>
        <w:spacing w:line="480" w:lineRule="auto"/>
        <w:jc w:val="both"/>
        <w:rPr>
          <w:bCs/>
        </w:rPr>
      </w:pPr>
      <w:r w:rsidRPr="0045740B">
        <w:rPr>
          <w:bCs/>
        </w:rPr>
        <w:tab/>
        <w:t xml:space="preserve">In addition to prohibiting an allowance for transition costs in R.C. 4928.141, the General Assembly also modified R.C. 4928.17.  Under then-existing and current law, this </w:t>
      </w:r>
      <w:r w:rsidR="00744FC4">
        <w:rPr>
          <w:bCs/>
        </w:rPr>
        <w:t>s</w:t>
      </w:r>
      <w:r w:rsidR="00744FC4" w:rsidRPr="0045740B">
        <w:rPr>
          <w:bCs/>
        </w:rPr>
        <w:t xml:space="preserve">ection </w:t>
      </w:r>
      <w:r w:rsidRPr="0045740B">
        <w:rPr>
          <w:bCs/>
        </w:rPr>
        <w:t>requires an electric utility to separate its competitive generation function from the noncompetitive distribution and transmission functions and prohibits the utility from providing any undue preference or advantage to its competitive generation business unit or the generation business of any affiliate.  In SB 221, the General Assembly added a requirement that electric utilities obtain Commission approval prior to divesting any generation assets.  It is clear that the General Assembly did not intend to repeal the effect of this statute prohibiting a utility from providing an undue advantage or preference to its own competitive generation business by including the “notwithstanding” language simultaneously in SB 221.</w:t>
      </w:r>
    </w:p>
    <w:p w14:paraId="396BB23F" w14:textId="7A10A3C4" w:rsidR="0045740B" w:rsidRPr="0045740B" w:rsidRDefault="0045740B" w:rsidP="00C419EC">
      <w:pPr>
        <w:spacing w:line="480" w:lineRule="auto"/>
        <w:ind w:firstLine="720"/>
        <w:jc w:val="both"/>
        <w:rPr>
          <w:bCs/>
        </w:rPr>
      </w:pPr>
      <w:r w:rsidRPr="0045740B">
        <w:rPr>
          <w:bCs/>
        </w:rPr>
        <w:t>When enacting SB 221 in 2008, the General Assembly also did not repeal R.C. 4928.06 which obligates th</w:t>
      </w:r>
      <w:r w:rsidR="009242D2">
        <w:rPr>
          <w:bCs/>
        </w:rPr>
        <w:t>e Commission to effectuate the s</w:t>
      </w:r>
      <w:r w:rsidRPr="0045740B">
        <w:rPr>
          <w:bCs/>
        </w:rPr>
        <w:t xml:space="preserve">tate policy contained in R.C. 4928.02.  In 2012, the General Assembly subsequently made additional changes to the state policies specified in R.C. 4928.02.  </w:t>
      </w:r>
      <w:r w:rsidRPr="0045740B">
        <w:rPr>
          <w:bCs/>
          <w:i/>
        </w:rPr>
        <w:t xml:space="preserve">See </w:t>
      </w:r>
      <w:r w:rsidRPr="0045740B">
        <w:rPr>
          <w:bCs/>
        </w:rPr>
        <w:t>Senate Bill 315</w:t>
      </w:r>
      <w:r w:rsidR="000A1F64">
        <w:rPr>
          <w:bCs/>
        </w:rPr>
        <w:t xml:space="preserve">. </w:t>
      </w:r>
      <w:r w:rsidRPr="0045740B">
        <w:rPr>
          <w:bCs/>
        </w:rPr>
        <w:t xml:space="preserve"> </w:t>
      </w:r>
      <w:r w:rsidR="000A1F64">
        <w:rPr>
          <w:bCs/>
        </w:rPr>
        <w:t>T</w:t>
      </w:r>
      <w:r w:rsidRPr="0045740B">
        <w:rPr>
          <w:bCs/>
        </w:rPr>
        <w:t xml:space="preserve">hese additional changes </w:t>
      </w:r>
      <w:r w:rsidRPr="0045740B">
        <w:rPr>
          <w:bCs/>
        </w:rPr>
        <w:lastRenderedPageBreak/>
        <w:t>did not alter the prohibition in R.C. 4928.02(H).  Therefore, it is clear that the General Assembly intends that the state policies continue to have effect.</w:t>
      </w:r>
    </w:p>
    <w:p w14:paraId="73A1E0A4" w14:textId="77777777" w:rsidR="0045740B" w:rsidRPr="0045740B" w:rsidRDefault="0045740B" w:rsidP="00C419EC">
      <w:pPr>
        <w:spacing w:line="480" w:lineRule="auto"/>
        <w:ind w:firstLine="720"/>
        <w:jc w:val="both"/>
        <w:rPr>
          <w:bCs/>
        </w:rPr>
      </w:pPr>
      <w:r w:rsidRPr="0045740B">
        <w:rPr>
          <w:bCs/>
        </w:rPr>
        <w:t>While the General Assembly has amended Chapter 4928 several times since it enacted R.C. 4928.38 prohibiting the authorization of transition revenue</w:t>
      </w:r>
      <w:r w:rsidR="009242D2">
        <w:rPr>
          <w:bCs/>
        </w:rPr>
        <w:t xml:space="preserve"> or its equivalent</w:t>
      </w:r>
      <w:r w:rsidRPr="0045740B">
        <w:rPr>
          <w:bCs/>
        </w:rPr>
        <w:t xml:space="preserve">, it has not repealed or given any signal that the one-time opportunity to collect transition revenue or its equivalent was silently repealed or should be ignored.  When it has addressed the issue at all, the General Assembly has enacted amendments that bar transition revenue, retain the bar on undue subsidies, and prohibit nonbypassable generation related charges.  As the Ohio law currently stands, an electric utility was afforded one opportunity to bill and collect transition revenue, and that opportunity is long over.  R.C. 4928.38 to R.C. 4928.40; </w:t>
      </w:r>
      <w:r w:rsidRPr="0045740B">
        <w:rPr>
          <w:bCs/>
          <w:i/>
        </w:rPr>
        <w:t>Columbus Southern</w:t>
      </w:r>
      <w:r w:rsidRPr="0045740B">
        <w:rPr>
          <w:bCs/>
        </w:rPr>
        <w:t xml:space="preserve">, at ¶ 15-17.  </w:t>
      </w:r>
    </w:p>
    <w:p w14:paraId="2433F7E7" w14:textId="4403B9F8" w:rsidR="0045740B" w:rsidRPr="0045740B" w:rsidRDefault="0045740B" w:rsidP="00C419EC">
      <w:pPr>
        <w:spacing w:line="480" w:lineRule="auto"/>
        <w:ind w:firstLine="720"/>
        <w:jc w:val="both"/>
        <w:rPr>
          <w:bCs/>
        </w:rPr>
      </w:pPr>
      <w:r w:rsidRPr="0045740B">
        <w:rPr>
          <w:bCs/>
        </w:rPr>
        <w:t xml:space="preserve">Furthermore, the Commission’s decisions bear out the Commission’s understanding that R.C. 4928.143(B)(2) did not silently </w:t>
      </w:r>
      <w:r w:rsidR="004E5C5F">
        <w:rPr>
          <w:bCs/>
        </w:rPr>
        <w:t>suspend</w:t>
      </w:r>
      <w:r w:rsidRPr="0045740B">
        <w:rPr>
          <w:bCs/>
        </w:rPr>
        <w:t xml:space="preserve"> various other requirements of Chapter 4928, and these decisions should guide the </w:t>
      </w:r>
      <w:r w:rsidR="000D56A8">
        <w:rPr>
          <w:bCs/>
        </w:rPr>
        <w:t>Commission’</w:t>
      </w:r>
      <w:r w:rsidR="000A1F64">
        <w:rPr>
          <w:bCs/>
        </w:rPr>
        <w:t>s</w:t>
      </w:r>
      <w:r w:rsidR="000D56A8" w:rsidRPr="0045740B">
        <w:rPr>
          <w:bCs/>
        </w:rPr>
        <w:t xml:space="preserve"> </w:t>
      </w:r>
      <w:r w:rsidRPr="0045740B">
        <w:rPr>
          <w:bCs/>
        </w:rPr>
        <w:t xml:space="preserve">decision.  </w:t>
      </w:r>
      <w:r w:rsidRPr="0045740B">
        <w:rPr>
          <w:bCs/>
          <w:i/>
        </w:rPr>
        <w:t>Jones Metal Products Co. v. Walker</w:t>
      </w:r>
      <w:r w:rsidRPr="0045740B">
        <w:rPr>
          <w:bCs/>
        </w:rPr>
        <w:t xml:space="preserve">, 29 Ohio St.2d 173, 181 (1972).  </w:t>
      </w:r>
    </w:p>
    <w:p w14:paraId="78BA2A5D" w14:textId="77777777" w:rsidR="0045740B" w:rsidRPr="0045740B" w:rsidRDefault="00E776C9" w:rsidP="009242D2">
      <w:pPr>
        <w:spacing w:line="480" w:lineRule="auto"/>
        <w:ind w:firstLine="720"/>
        <w:jc w:val="both"/>
        <w:rPr>
          <w:bCs/>
        </w:rPr>
      </w:pPr>
      <w:r>
        <w:rPr>
          <w:bCs/>
        </w:rPr>
        <w:t>In DP&amp;L’s prior ESP case</w:t>
      </w:r>
      <w:r w:rsidR="0045740B" w:rsidRPr="0045740B">
        <w:rPr>
          <w:bCs/>
        </w:rPr>
        <w:t xml:space="preserve">, for example, the Commission rejected another nonbypassable charge proposed by DP&amp;L under R.C. 4928.143(B)(2)(d), the Switching Tracker, because it “violates the policies of the state of Ohio [R.C. 4928.02], is anticompetitive, and would discourage further development of Ohio’s retail electric services market.”  </w:t>
      </w:r>
      <w:r w:rsidR="007E3AB9" w:rsidRPr="009242D2">
        <w:rPr>
          <w:bCs/>
          <w:i/>
        </w:rPr>
        <w:t xml:space="preserve">In the Matter of the Application of the Dayton Power and Light Company for </w:t>
      </w:r>
      <w:r w:rsidR="009242D2" w:rsidRPr="009242D2">
        <w:rPr>
          <w:bCs/>
          <w:i/>
        </w:rPr>
        <w:t>Approval</w:t>
      </w:r>
      <w:r w:rsidR="007E3AB9" w:rsidRPr="009242D2">
        <w:rPr>
          <w:bCs/>
          <w:i/>
        </w:rPr>
        <w:t xml:space="preserve"> of its Electric </w:t>
      </w:r>
      <w:r w:rsidR="009242D2" w:rsidRPr="009242D2">
        <w:rPr>
          <w:bCs/>
          <w:i/>
        </w:rPr>
        <w:t>Security</w:t>
      </w:r>
      <w:r w:rsidR="007E3AB9" w:rsidRPr="009242D2">
        <w:rPr>
          <w:bCs/>
          <w:i/>
        </w:rPr>
        <w:t xml:space="preserve"> Plan</w:t>
      </w:r>
      <w:r w:rsidR="007E3AB9">
        <w:rPr>
          <w:bCs/>
        </w:rPr>
        <w:t xml:space="preserve">, Case Nos. 12-426-EL-SSO, </w:t>
      </w:r>
      <w:r w:rsidR="007E3AB9" w:rsidRPr="001D637F">
        <w:rPr>
          <w:bCs/>
          <w:i/>
        </w:rPr>
        <w:t>et al.</w:t>
      </w:r>
      <w:r w:rsidR="007E3AB9">
        <w:rPr>
          <w:bCs/>
        </w:rPr>
        <w:t xml:space="preserve">, </w:t>
      </w:r>
      <w:r w:rsidR="0045740B" w:rsidRPr="0045740B">
        <w:rPr>
          <w:bCs/>
        </w:rPr>
        <w:t>Opinion and Order at 30</w:t>
      </w:r>
      <w:r w:rsidR="007E3AB9">
        <w:rPr>
          <w:bCs/>
        </w:rPr>
        <w:t xml:space="preserve"> (Sept. 4, 201</w:t>
      </w:r>
      <w:r w:rsidR="00343C48">
        <w:rPr>
          <w:bCs/>
        </w:rPr>
        <w:t>3</w:t>
      </w:r>
      <w:r w:rsidR="00E75F82">
        <w:rPr>
          <w:bCs/>
        </w:rPr>
        <w:t>)</w:t>
      </w:r>
      <w:r w:rsidR="00343C48">
        <w:rPr>
          <w:bCs/>
        </w:rPr>
        <w:t>.</w:t>
      </w:r>
    </w:p>
    <w:p w14:paraId="18F81CA3" w14:textId="77777777" w:rsidR="0045740B" w:rsidRPr="0045740B" w:rsidRDefault="0045740B" w:rsidP="00C419EC">
      <w:pPr>
        <w:spacing w:line="480" w:lineRule="auto"/>
        <w:ind w:firstLine="720"/>
        <w:jc w:val="both"/>
        <w:rPr>
          <w:bCs/>
          <w:i/>
        </w:rPr>
      </w:pPr>
      <w:r w:rsidRPr="0045740B">
        <w:rPr>
          <w:bCs/>
        </w:rPr>
        <w:lastRenderedPageBreak/>
        <w:t xml:space="preserve">In 2010, AEP-Ohio requested that the Commission authorize a charge under R.C. 4928.143(B)(2)(c) and (d) to allow it to collect costs associated with closing a generation plant.  </w:t>
      </w:r>
      <w:r w:rsidRPr="0045740B">
        <w:rPr>
          <w:bCs/>
          <w:i/>
        </w:rPr>
        <w:t>In the Matter of the Application of Ohio Power Company for Approval of the Shutdown of Unit 5 of the Philip Sporn Generating Station and to Establish a Plant Shutdown Rider</w:t>
      </w:r>
      <w:r w:rsidRPr="0045740B">
        <w:rPr>
          <w:bCs/>
        </w:rPr>
        <w:t xml:space="preserve">, Case No. 10-1454-EL-RDR, Finding and Order at 7, 17-18 (Jan. 11, 2012) (“Sporn Order”).  The Commission rejected AEP-Ohio’s application, finding that it did not have the authority under R.C. 4928.143(B)(2) to allow for such recovery </w:t>
      </w:r>
      <w:r w:rsidRPr="0045740B">
        <w:rPr>
          <w:bCs/>
          <w:i/>
        </w:rPr>
        <w:t>and</w:t>
      </w:r>
      <w:r w:rsidRPr="0045740B">
        <w:rPr>
          <w:bCs/>
        </w:rPr>
        <w:t xml:space="preserve"> that the recovery of such costs was prohibited by R.C. 4928.02(H).  </w:t>
      </w:r>
      <w:r w:rsidRPr="0045740B">
        <w:rPr>
          <w:bCs/>
          <w:i/>
        </w:rPr>
        <w:t>Id.</w:t>
      </w:r>
    </w:p>
    <w:p w14:paraId="016F4D98" w14:textId="77777777" w:rsidR="0045740B" w:rsidRPr="0045740B" w:rsidRDefault="00B44EF4" w:rsidP="00954945">
      <w:pPr>
        <w:spacing w:line="480" w:lineRule="auto"/>
        <w:ind w:firstLine="720"/>
        <w:jc w:val="both"/>
        <w:rPr>
          <w:bCs/>
        </w:rPr>
      </w:pPr>
      <w:r>
        <w:rPr>
          <w:bCs/>
        </w:rPr>
        <w:t>Likewise</w:t>
      </w:r>
      <w:r w:rsidR="0045740B" w:rsidRPr="0045740B">
        <w:rPr>
          <w:bCs/>
        </w:rPr>
        <w:t>, the Commission issue</w:t>
      </w:r>
      <w:r w:rsidR="009242D2">
        <w:rPr>
          <w:bCs/>
        </w:rPr>
        <w:t>d a decision that confirms the s</w:t>
      </w:r>
      <w:r w:rsidR="0045740B" w:rsidRPr="0045740B">
        <w:rPr>
          <w:bCs/>
        </w:rPr>
        <w:t xml:space="preserve">tate policy in R.C. 4928.02 applies to charges authorized under R.C. 4928.143(B)(2).  </w:t>
      </w:r>
      <w:r w:rsidR="0045740B" w:rsidRPr="0045740B">
        <w:rPr>
          <w:bCs/>
          <w:i/>
        </w:rPr>
        <w:t>In the Matter of the Application of Ohio Power Company for Authority to Establish a Standard Service Offer Pursuant to R.C. 4928.143, in the Form of an Electric Security Plan</w:t>
      </w:r>
      <w:r w:rsidR="0045740B" w:rsidRPr="0045740B">
        <w:rPr>
          <w:bCs/>
        </w:rPr>
        <w:t>, Case No</w:t>
      </w:r>
      <w:r w:rsidR="00830AFE">
        <w:rPr>
          <w:bCs/>
        </w:rPr>
        <w:t>s</w:t>
      </w:r>
      <w:r w:rsidR="0045740B" w:rsidRPr="0045740B">
        <w:rPr>
          <w:bCs/>
        </w:rPr>
        <w:t xml:space="preserve">. 13-2385-EL-SSO, </w:t>
      </w:r>
      <w:r w:rsidR="0045740B" w:rsidRPr="0045740B">
        <w:rPr>
          <w:bCs/>
          <w:i/>
        </w:rPr>
        <w:t>et al</w:t>
      </w:r>
      <w:r w:rsidR="0045740B" w:rsidRPr="0045740B">
        <w:rPr>
          <w:bCs/>
        </w:rPr>
        <w:t>., Opinion and Order at 7, 26,</w:t>
      </w:r>
      <w:r w:rsidR="00E84817">
        <w:rPr>
          <w:bCs/>
        </w:rPr>
        <w:t xml:space="preserve"> 65, 69, 91, 95 (Feb. 25, 2015).</w:t>
      </w:r>
      <w:r w:rsidR="0045740B" w:rsidRPr="0045740B">
        <w:rPr>
          <w:bCs/>
        </w:rPr>
        <w:t xml:space="preserve">  In this order, the Commission held that it was required to modify a rider proposed by AEP-Ohio under R.C. 4928.143(B)(2) because the proposed rider would violate the prohibition in R.C. 4928.02(H)</w:t>
      </w:r>
      <w:r w:rsidR="00E46281">
        <w:rPr>
          <w:bCs/>
        </w:rPr>
        <w:t xml:space="preserve">.  </w:t>
      </w:r>
      <w:r w:rsidR="0047234D">
        <w:rPr>
          <w:bCs/>
        </w:rPr>
        <w:t>In support of the modification it order</w:t>
      </w:r>
      <w:r w:rsidR="000913A0">
        <w:rPr>
          <w:bCs/>
        </w:rPr>
        <w:t>ed</w:t>
      </w:r>
      <w:r w:rsidR="0047234D">
        <w:rPr>
          <w:bCs/>
        </w:rPr>
        <w:t xml:space="preserve">, the Commission stated, </w:t>
      </w:r>
      <w:r w:rsidR="00E46281">
        <w:rPr>
          <w:bCs/>
        </w:rPr>
        <w:t>“</w:t>
      </w:r>
      <w:r w:rsidR="00787BDB">
        <w:rPr>
          <w:bCs/>
        </w:rPr>
        <w:t>[A]</w:t>
      </w:r>
      <w:r w:rsidR="0045740B" w:rsidRPr="0045740B">
        <w:rPr>
          <w:bCs/>
        </w:rPr>
        <w:t>s proposed by AEP Ohio, the [bad debt rider] would flow the bad debt of both shopping and non-shopping customers, whether generation- or distribution-related, through a single rider, which may cause the type of subsidy that the Commission must avoid under R.C. 4928.02(H).</w:t>
      </w:r>
      <w:r w:rsidR="00954945">
        <w:rPr>
          <w:bCs/>
        </w:rPr>
        <w:t xml:space="preserve">”  </w:t>
      </w:r>
      <w:r w:rsidR="0045740B" w:rsidRPr="0045740B">
        <w:rPr>
          <w:bCs/>
          <w:i/>
        </w:rPr>
        <w:t>Id.</w:t>
      </w:r>
      <w:r w:rsidR="0045740B" w:rsidRPr="0045740B">
        <w:rPr>
          <w:bCs/>
        </w:rPr>
        <w:t xml:space="preserve"> at 81.  The Commission further held in this order that an additional statutory requirement contained in R.C. 4928.10(D)(3) could not be ignored when authorizing a charge under R.C. 4928.143(B)(2).  </w:t>
      </w:r>
      <w:r w:rsidR="0045740B" w:rsidRPr="0045740B">
        <w:rPr>
          <w:bCs/>
          <w:i/>
        </w:rPr>
        <w:t>Id.</w:t>
      </w:r>
      <w:r w:rsidR="0045740B" w:rsidRPr="0045740B">
        <w:rPr>
          <w:bCs/>
        </w:rPr>
        <w:t xml:space="preserve"> at 82.</w:t>
      </w:r>
    </w:p>
    <w:p w14:paraId="2600726C" w14:textId="77777777" w:rsidR="0045740B" w:rsidRPr="0045740B" w:rsidRDefault="0045740B" w:rsidP="00C419EC">
      <w:pPr>
        <w:spacing w:line="480" w:lineRule="auto"/>
        <w:ind w:firstLine="720"/>
        <w:jc w:val="both"/>
        <w:rPr>
          <w:bCs/>
        </w:rPr>
      </w:pPr>
      <w:r w:rsidRPr="0045740B">
        <w:lastRenderedPageBreak/>
        <w:t xml:space="preserve">In summary, </w:t>
      </w:r>
      <w:r w:rsidRPr="0045740B">
        <w:rPr>
          <w:bCs/>
        </w:rPr>
        <w:t xml:space="preserve">SB 221 and the overall structure of Title 49 make clear that the General Assembly did not intend to give the Commission </w:t>
      </w:r>
      <w:r w:rsidRPr="0045740B">
        <w:rPr>
          <w:bCs/>
          <w:i/>
        </w:rPr>
        <w:t>carte blanche</w:t>
      </w:r>
      <w:r w:rsidRPr="0045740B">
        <w:rPr>
          <w:bCs/>
        </w:rPr>
        <w:t xml:space="preserve"> to ignore every other statute in Title 49 when authorizing charges under an ESP.  The General Assembly’s simultaneous and subsequent amendments of Chapter 4928 reflect an intent to maintain the applicability of the prohibitions in R.C. 4928.02(H), 4928.141, 4928.17, and 4928.38.  Additionally, </w:t>
      </w:r>
      <w:r w:rsidRPr="0045740B">
        <w:t xml:space="preserve">the Commission has </w:t>
      </w:r>
      <w:r w:rsidR="00C658B9">
        <w:t>repeatedly held that</w:t>
      </w:r>
      <w:r w:rsidRPr="0045740B">
        <w:t xml:space="preserve"> </w:t>
      </w:r>
      <w:r w:rsidR="00477E7C">
        <w:t xml:space="preserve">the terms and conditions contained in an ESP must conform to </w:t>
      </w:r>
      <w:r w:rsidRPr="0045740B">
        <w:t xml:space="preserve">the other requirements specified in Chapter 4928.  </w:t>
      </w:r>
      <w:r w:rsidR="00477E7C">
        <w:t>Thus, the “notwithstanding” clause in R.C. 4928.143 does not permit the Commission to authorize a rider that by its nature will violate R.C. 4928.38.</w:t>
      </w:r>
    </w:p>
    <w:p w14:paraId="7A326788" w14:textId="77777777" w:rsidR="00C419EC" w:rsidRPr="00EA4C2E" w:rsidRDefault="0045740B" w:rsidP="00802D60">
      <w:pPr>
        <w:pStyle w:val="Heading2"/>
      </w:pPr>
      <w:bookmarkStart w:id="19" w:name="_Toc452975216"/>
      <w:bookmarkStart w:id="20" w:name="_Toc451769332"/>
      <w:bookmarkStart w:id="21" w:name="_Toc451762653"/>
      <w:bookmarkStart w:id="22" w:name="_Toc451524174"/>
      <w:bookmarkStart w:id="23" w:name="_Toc470075905"/>
      <w:bookmarkStart w:id="24" w:name="_Toc470076033"/>
      <w:r w:rsidRPr="0045740B">
        <w:t>The claim that the Commission may authorize transition revenue or its equivalent by resolving an alleged conflict under R.C. 1.52 should be rejected because there is no conflict between R.C. 4928.143(B)(2)(d) and R.C. 4928.38</w:t>
      </w:r>
      <w:bookmarkEnd w:id="19"/>
      <w:bookmarkEnd w:id="20"/>
      <w:bookmarkEnd w:id="21"/>
      <w:bookmarkEnd w:id="22"/>
      <w:bookmarkEnd w:id="23"/>
      <w:bookmarkEnd w:id="24"/>
    </w:p>
    <w:p w14:paraId="7ABAD0FD" w14:textId="77777777" w:rsidR="0045740B" w:rsidRPr="0045740B" w:rsidRDefault="0045740B" w:rsidP="00C419EC">
      <w:pPr>
        <w:spacing w:line="480" w:lineRule="auto"/>
        <w:jc w:val="both"/>
      </w:pPr>
      <w:r w:rsidRPr="0045740B">
        <w:tab/>
        <w:t>In an alternative claim, DP&amp;L assert</w:t>
      </w:r>
      <w:r w:rsidR="0059090F">
        <w:t>s</w:t>
      </w:r>
      <w:r w:rsidRPr="0045740B">
        <w:t xml:space="preserve"> that the Court should find that R.C. 4928.143(B)(2)(d) allows the Commission to ignore the prohibition in R.C. 4928.38 because R.C. 4928.143 was enacted after R.C. 4928.38.  This claim is premised on R.C. 1.52 and is applicable only if two statutes are irreconcilable.  R.C. 4928.143(B)(2)(d)</w:t>
      </w:r>
      <w:r w:rsidR="002309AF">
        <w:t>, however,</w:t>
      </w:r>
      <w:r w:rsidRPr="0045740B">
        <w:t xml:space="preserve"> is irreconcilable with R.C. 4928.141 and 4928.38 </w:t>
      </w:r>
      <w:r w:rsidR="002309AF" w:rsidRPr="0045740B">
        <w:t xml:space="preserve">only </w:t>
      </w:r>
      <w:r w:rsidRPr="0045740B">
        <w:t xml:space="preserve">if the </w:t>
      </w:r>
      <w:r w:rsidR="00920C0A">
        <w:t>Commission</w:t>
      </w:r>
      <w:r w:rsidRPr="0045740B">
        <w:t xml:space="preserve"> reads words into former statute such that R.C. 4928.143(B)(2)(d) would allow the Commission to authorize transition revenue or its equivalent.  </w:t>
      </w:r>
    </w:p>
    <w:p w14:paraId="6BF076D0" w14:textId="77777777" w:rsidR="0045740B" w:rsidRPr="0045740B" w:rsidRDefault="0045740B" w:rsidP="00C419EC">
      <w:pPr>
        <w:spacing w:line="480" w:lineRule="auto"/>
        <w:ind w:firstLine="720"/>
        <w:jc w:val="both"/>
      </w:pPr>
      <w:r w:rsidRPr="0045740B">
        <w:t xml:space="preserve">The Court has rejected statutory interpretations that require it to add or subtract words from the statutory language.  “It is </w:t>
      </w:r>
      <w:r w:rsidRPr="0045740B">
        <w:rPr>
          <w:bCs/>
        </w:rPr>
        <w:t>a</w:t>
      </w:r>
      <w:r w:rsidRPr="0045740B">
        <w:t xml:space="preserve"> general rule that courts, </w:t>
      </w:r>
      <w:r w:rsidRPr="0045740B">
        <w:rPr>
          <w:bCs/>
        </w:rPr>
        <w:t>in</w:t>
      </w:r>
      <w:r w:rsidRPr="0045740B">
        <w:t xml:space="preserve"> the </w:t>
      </w:r>
      <w:r w:rsidRPr="0045740B">
        <w:rPr>
          <w:bCs/>
        </w:rPr>
        <w:t>interpretation of a statute</w:t>
      </w:r>
      <w:r w:rsidRPr="0045740B">
        <w:t xml:space="preserve">, may not take, strike or </w:t>
      </w:r>
      <w:r w:rsidRPr="0045740B">
        <w:rPr>
          <w:bCs/>
        </w:rPr>
        <w:t>read</w:t>
      </w:r>
      <w:r w:rsidRPr="0045740B">
        <w:t xml:space="preserve"> anything </w:t>
      </w:r>
      <w:r w:rsidRPr="0045740B">
        <w:rPr>
          <w:bCs/>
        </w:rPr>
        <w:t>out</w:t>
      </w:r>
      <w:r w:rsidRPr="0045740B">
        <w:t xml:space="preserve"> of </w:t>
      </w:r>
      <w:r w:rsidRPr="0045740B">
        <w:rPr>
          <w:bCs/>
        </w:rPr>
        <w:t>a</w:t>
      </w:r>
      <w:r w:rsidRPr="0045740B">
        <w:t xml:space="preserve"> </w:t>
      </w:r>
      <w:r w:rsidRPr="0045740B">
        <w:rPr>
          <w:bCs/>
        </w:rPr>
        <w:t>statute</w:t>
      </w:r>
      <w:r w:rsidRPr="0045740B">
        <w:t xml:space="preserve">, or delete, subtract or omit anything therefrom.”  </w:t>
      </w:r>
      <w:r w:rsidRPr="0045740B">
        <w:rPr>
          <w:i/>
        </w:rPr>
        <w:t>Wachendorf v. Shaver</w:t>
      </w:r>
      <w:r w:rsidRPr="0045740B">
        <w:t xml:space="preserve">, 149 Ohio St. 231, 237, 78 N.E.2d 370, 374 (1948); </w:t>
      </w:r>
      <w:r w:rsidRPr="0045740B">
        <w:rPr>
          <w:i/>
        </w:rPr>
        <w:t>Columbus-Suburban Coach Lines v. Pub. Util. Comm.</w:t>
      </w:r>
      <w:r w:rsidRPr="0045740B">
        <w:t xml:space="preserve">, 20 Ohio St.2d 125, </w:t>
      </w:r>
      <w:r w:rsidRPr="0045740B">
        <w:lastRenderedPageBreak/>
        <w:t>127, 254 N.E. 2d 8 (1969) (</w:t>
      </w:r>
      <w:r w:rsidRPr="0045740B">
        <w:rPr>
          <w:bCs/>
        </w:rPr>
        <w:t>In</w:t>
      </w:r>
      <w:r w:rsidRPr="0045740B">
        <w:t xml:space="preserve"> matters of construction, “it is the duty of this court to give effect to the </w:t>
      </w:r>
      <w:r w:rsidRPr="0045740B">
        <w:rPr>
          <w:bCs/>
        </w:rPr>
        <w:t>words</w:t>
      </w:r>
      <w:r w:rsidRPr="0045740B">
        <w:t xml:space="preserve"> used, not to delete </w:t>
      </w:r>
      <w:r w:rsidRPr="0045740B">
        <w:rPr>
          <w:bCs/>
        </w:rPr>
        <w:t>words</w:t>
      </w:r>
      <w:r w:rsidRPr="0045740B">
        <w:t xml:space="preserve"> used or to insert </w:t>
      </w:r>
      <w:r w:rsidRPr="0045740B">
        <w:rPr>
          <w:bCs/>
        </w:rPr>
        <w:t>words</w:t>
      </w:r>
      <w:r w:rsidRPr="0045740B">
        <w:t xml:space="preserve"> not used.").  The statutes as drafted are reconcilabl</w:t>
      </w:r>
      <w:r w:rsidR="007A1D81">
        <w:t>e because R.C. 4928.143(B)(2)</w:t>
      </w:r>
      <w:r w:rsidRPr="0045740B">
        <w:t xml:space="preserve"> does not authorize the recovery of transition revenue or its equivalent, and therefore, the statutory construction rule favoring later enacted statutes is inapplicable. </w:t>
      </w:r>
    </w:p>
    <w:p w14:paraId="030B01FA" w14:textId="35984419" w:rsidR="0045740B" w:rsidRPr="0045740B" w:rsidRDefault="0045740B" w:rsidP="00C419EC">
      <w:pPr>
        <w:spacing w:line="480" w:lineRule="auto"/>
        <w:jc w:val="both"/>
      </w:pPr>
      <w:r w:rsidRPr="0045740B">
        <w:tab/>
        <w:t xml:space="preserve">Even </w:t>
      </w:r>
      <w:r w:rsidR="00113656">
        <w:t xml:space="preserve">if </w:t>
      </w:r>
      <w:r w:rsidR="007A1D81">
        <w:t>there were</w:t>
      </w:r>
      <w:r w:rsidRPr="0045740B">
        <w:t xml:space="preserve"> a conflict, the rule would not apply due to the enactment of R.C. 4928.02(H) and 4928.141 in the same legislation.  </w:t>
      </w:r>
      <w:r w:rsidR="00247B74">
        <w:t xml:space="preserve">R.C. 1.52 applies only if a later enacted statute conflicts with a previously enacted statute.  </w:t>
      </w:r>
      <w:r w:rsidRPr="0045740B">
        <w:t>When the General Assembly enacted R.C. 4928.143(B)(2) in SB 221, it also enacted R.C. 4928.141 prohibiting an allowance of transition costs and amended R.C. 4928.02(H) to prohibit nonbypassable collection of generation costs.  Based on the General Assembly’s enactment of provisions prohibiting recovery of transition costs and undue subsidies of generation services in SB 221</w:t>
      </w:r>
      <w:r w:rsidR="00174B9E">
        <w:t xml:space="preserve"> at the same time that it enacted R.C. 4928.143(B)(2)</w:t>
      </w:r>
      <w:r w:rsidRPr="0045740B">
        <w:t xml:space="preserve">, the claim that R.C. 1.52 requires the </w:t>
      </w:r>
      <w:r w:rsidR="00640A84">
        <w:t xml:space="preserve">Commission </w:t>
      </w:r>
      <w:r w:rsidRPr="0045740B">
        <w:t>to find that R.C. 4928.143(B)(2) permits DP&amp;L to bill and collect transition charges is without support.</w:t>
      </w:r>
    </w:p>
    <w:p w14:paraId="58578366" w14:textId="77777777" w:rsidR="000B2C9A" w:rsidRDefault="008A39DC" w:rsidP="003F3DC8">
      <w:pPr>
        <w:pStyle w:val="Heading1"/>
      </w:pPr>
      <w:bookmarkStart w:id="25" w:name="_Toc470075906"/>
      <w:bookmarkStart w:id="26" w:name="_Toc470076034"/>
      <w:r>
        <w:t>DP&amp;L’s proposed nonbypassable TCRR-N violates state and federal law and therefore the Commission should direct DP&amp;L to revise and refile the TCRR as a bypassable rider</w:t>
      </w:r>
      <w:bookmarkEnd w:id="25"/>
      <w:bookmarkEnd w:id="26"/>
    </w:p>
    <w:p w14:paraId="3058C703" w14:textId="77777777" w:rsidR="00375B18" w:rsidRDefault="008A39DC" w:rsidP="00400543">
      <w:pPr>
        <w:spacing w:line="480" w:lineRule="auto"/>
        <w:jc w:val="both"/>
      </w:pPr>
      <w:r>
        <w:tab/>
        <w:t xml:space="preserve">In the Amended Application, DP&amp;L seeks continued authorization of a nonbypassable transmission rider.  DP&amp;L also proposes that the charges billed and collected from demand-metered customers be based on either monthly on-peak demand, monthly off-peak demand, or a demand ratchet calculated on the customer’s demand over the previous eleven months.  </w:t>
      </w:r>
    </w:p>
    <w:p w14:paraId="58D7783C" w14:textId="77777777" w:rsidR="008A39DC" w:rsidRDefault="00375B18" w:rsidP="00400543">
      <w:pPr>
        <w:spacing w:line="480" w:lineRule="auto"/>
        <w:ind w:firstLine="720"/>
        <w:jc w:val="both"/>
        <w:rPr>
          <w:color w:val="000000"/>
        </w:rPr>
      </w:pPr>
      <w:r>
        <w:t>As IEU-Ohio demonstrated in its Motion to Dismiss, t</w:t>
      </w:r>
      <w:r w:rsidR="008A39DC">
        <w:rPr>
          <w:color w:val="000000"/>
        </w:rPr>
        <w:t>he Commission should deny the requested waiver for two reasons.</w:t>
      </w:r>
      <w:r>
        <w:rPr>
          <w:color w:val="000000"/>
        </w:rPr>
        <w:t xml:space="preserve">  </w:t>
      </w:r>
      <w:r w:rsidR="008A39DC">
        <w:rPr>
          <w:color w:val="000000"/>
        </w:rPr>
        <w:t xml:space="preserve">First, the Commission is preempted by the Federal </w:t>
      </w:r>
      <w:r w:rsidR="008A39DC">
        <w:rPr>
          <w:color w:val="000000"/>
        </w:rPr>
        <w:lastRenderedPageBreak/>
        <w:t xml:space="preserve">Power Act from authorizing a transmission rider that conflicts with the PJM Interconnection, LLC (“PJM”) Open Access Transmission Tariff (“OATT”).  </w:t>
      </w:r>
      <w:r>
        <w:rPr>
          <w:color w:val="000000"/>
        </w:rPr>
        <w:t xml:space="preserve">Second, DP&amp;L has not presented a lawful and reasonable basis for granting a waiver of the requirement that a transmission rider be bypassable.  </w:t>
      </w:r>
      <w:r w:rsidR="0067505E">
        <w:rPr>
          <w:color w:val="000000"/>
        </w:rPr>
        <w:t>IEU-Ohio Motion to Dismiss at 12-</w:t>
      </w:r>
      <w:r w:rsidR="00623B0D">
        <w:rPr>
          <w:color w:val="000000"/>
        </w:rPr>
        <w:t>28.</w:t>
      </w:r>
    </w:p>
    <w:p w14:paraId="5D2C6DD6" w14:textId="77777777" w:rsidR="00623B0D" w:rsidRDefault="00966AE6" w:rsidP="00400543">
      <w:pPr>
        <w:spacing w:line="480" w:lineRule="auto"/>
        <w:ind w:firstLine="720"/>
        <w:jc w:val="both"/>
        <w:rPr>
          <w:color w:val="000000"/>
        </w:rPr>
      </w:pPr>
      <w:r>
        <w:rPr>
          <w:color w:val="000000"/>
        </w:rPr>
        <w:t xml:space="preserve">DP&amp;L and RESA oppose IEU-Ohio’s request that </w:t>
      </w:r>
      <w:r w:rsidR="009519B3">
        <w:rPr>
          <w:color w:val="000000"/>
        </w:rPr>
        <w:t>the Commission</w:t>
      </w:r>
      <w:r>
        <w:rPr>
          <w:color w:val="000000"/>
        </w:rPr>
        <w:t xml:space="preserve"> deny </w:t>
      </w:r>
      <w:r w:rsidR="00623B0D">
        <w:rPr>
          <w:color w:val="000000"/>
        </w:rPr>
        <w:t>the waiver</w:t>
      </w:r>
      <w:r w:rsidR="000C608E">
        <w:rPr>
          <w:color w:val="000000"/>
        </w:rPr>
        <w:t xml:space="preserve">.  DP&amp;L </w:t>
      </w:r>
      <w:r w:rsidR="0001305C">
        <w:rPr>
          <w:color w:val="000000"/>
        </w:rPr>
        <w:t>claims</w:t>
      </w:r>
      <w:r w:rsidR="000C608E">
        <w:rPr>
          <w:color w:val="000000"/>
        </w:rPr>
        <w:t xml:space="preserve"> that IEU-Ohio is estopped from challen</w:t>
      </w:r>
      <w:r w:rsidR="00DD6693">
        <w:rPr>
          <w:color w:val="000000"/>
        </w:rPr>
        <w:t>g</w:t>
      </w:r>
      <w:r w:rsidR="000C608E">
        <w:rPr>
          <w:color w:val="000000"/>
        </w:rPr>
        <w:t>ing</w:t>
      </w:r>
      <w:r w:rsidR="00DD6693">
        <w:rPr>
          <w:color w:val="000000"/>
        </w:rPr>
        <w:t xml:space="preserve"> the rider, that the Commission should leave to the Supreme Court of Ohio the determination whether federal law preempts re-authorization of the TCRR-N, and that a change would be “impractical.”  DP&amp;L Memo Contra at 10-13.  RESA </w:t>
      </w:r>
      <w:r w:rsidR="0001305C">
        <w:rPr>
          <w:color w:val="000000"/>
        </w:rPr>
        <w:t>claims</w:t>
      </w:r>
      <w:r w:rsidR="00DD6693">
        <w:rPr>
          <w:color w:val="000000"/>
        </w:rPr>
        <w:t xml:space="preserve"> that </w:t>
      </w:r>
      <w:r w:rsidR="0001305C">
        <w:rPr>
          <w:color w:val="000000"/>
        </w:rPr>
        <w:t>dismissal of the request for a nonbypassable rider is premature, that there is no intervening event that justifies a change to the current rider, and that a change would harm “competition.”</w:t>
      </w:r>
    </w:p>
    <w:p w14:paraId="0C7E94FE" w14:textId="77777777" w:rsidR="0001305C" w:rsidRDefault="0001305C" w:rsidP="00400543">
      <w:pPr>
        <w:spacing w:line="480" w:lineRule="auto"/>
        <w:ind w:firstLine="720"/>
        <w:jc w:val="both"/>
        <w:rPr>
          <w:color w:val="000000"/>
        </w:rPr>
      </w:pPr>
      <w:r>
        <w:rPr>
          <w:color w:val="000000"/>
        </w:rPr>
        <w:t>None of these claims has merit.</w:t>
      </w:r>
    </w:p>
    <w:p w14:paraId="6F269D7A" w14:textId="77777777" w:rsidR="0001305C" w:rsidRDefault="0001305C" w:rsidP="00400543">
      <w:pPr>
        <w:spacing w:line="480" w:lineRule="auto"/>
        <w:ind w:firstLine="720"/>
        <w:jc w:val="both"/>
        <w:rPr>
          <w:color w:val="000000"/>
        </w:rPr>
      </w:pPr>
      <w:r>
        <w:rPr>
          <w:color w:val="000000"/>
        </w:rPr>
        <w:t xml:space="preserve">Initially, IEU-Ohio is not estopped from </w:t>
      </w:r>
      <w:r w:rsidR="00A57602">
        <w:rPr>
          <w:color w:val="000000"/>
        </w:rPr>
        <w:t>opposing the waiver or precluded</w:t>
      </w:r>
      <w:r w:rsidR="00F65E72">
        <w:rPr>
          <w:color w:val="000000"/>
        </w:rPr>
        <w:t xml:space="preserve"> from doing so</w:t>
      </w:r>
      <w:r w:rsidR="00A57602">
        <w:rPr>
          <w:color w:val="000000"/>
        </w:rPr>
        <w:t xml:space="preserve"> because there is not some “intervening event</w:t>
      </w:r>
      <w:r>
        <w:rPr>
          <w:color w:val="000000"/>
        </w:rPr>
        <w:t>.</w:t>
      </w:r>
      <w:r w:rsidR="00A57602">
        <w:rPr>
          <w:color w:val="000000"/>
        </w:rPr>
        <w:t>”</w:t>
      </w:r>
      <w:r>
        <w:rPr>
          <w:color w:val="000000"/>
        </w:rPr>
        <w:t xml:space="preserve">  </w:t>
      </w:r>
      <w:r w:rsidR="004153CE">
        <w:rPr>
          <w:color w:val="000000"/>
        </w:rPr>
        <w:t>E</w:t>
      </w:r>
      <w:r w:rsidR="00FE061A">
        <w:rPr>
          <w:color w:val="000000"/>
        </w:rPr>
        <w:t>stoppel is not applicable</w:t>
      </w:r>
      <w:r w:rsidR="00671876">
        <w:rPr>
          <w:color w:val="000000"/>
        </w:rPr>
        <w:t xml:space="preserve"> when the issue was not resolved in the prior proceeding.  </w:t>
      </w:r>
      <w:r w:rsidR="00671876" w:rsidRPr="004153CE">
        <w:rPr>
          <w:i/>
          <w:color w:val="000000"/>
        </w:rPr>
        <w:t>Ohio Consumers’ Counsel v. Pub. Utils. Comm’n of Ohio</w:t>
      </w:r>
      <w:r w:rsidR="00671876">
        <w:rPr>
          <w:color w:val="000000"/>
        </w:rPr>
        <w:t xml:space="preserve">, 111 Ohio St.3d 300, 2006-Ohio-5789 </w:t>
      </w:r>
      <w:r w:rsidR="00671876">
        <w:rPr>
          <w:rFonts w:cs="Arial"/>
          <w:color w:val="000000"/>
        </w:rPr>
        <w:t>¶</w:t>
      </w:r>
      <w:r w:rsidR="00671876">
        <w:rPr>
          <w:color w:val="000000"/>
        </w:rPr>
        <w:t xml:space="preserve"> </w:t>
      </w:r>
      <w:r w:rsidR="00502307">
        <w:rPr>
          <w:color w:val="000000"/>
        </w:rPr>
        <w:t xml:space="preserve">75.  </w:t>
      </w:r>
      <w:r w:rsidR="00000513">
        <w:rPr>
          <w:color w:val="000000"/>
        </w:rPr>
        <w:t xml:space="preserve">See </w:t>
      </w:r>
      <w:r w:rsidR="00000513" w:rsidRPr="00A57602">
        <w:rPr>
          <w:i/>
          <w:color w:val="000000"/>
        </w:rPr>
        <w:t>In re Ohio Power Co</w:t>
      </w:r>
      <w:r w:rsidR="00000513">
        <w:rPr>
          <w:color w:val="000000"/>
        </w:rPr>
        <w:t xml:space="preserve">., 144 Ohio St.3d 1, 2015-Ohio-2056 </w:t>
      </w:r>
      <w:r w:rsidR="00000513">
        <w:rPr>
          <w:rFonts w:cs="Arial"/>
          <w:color w:val="000000"/>
        </w:rPr>
        <w:t>¶</w:t>
      </w:r>
      <w:r w:rsidR="00000513">
        <w:rPr>
          <w:color w:val="000000"/>
        </w:rPr>
        <w:t xml:space="preserve"> 22, in which the Court held that the Commission retained jurisdiction to address </w:t>
      </w:r>
      <w:r w:rsidR="00A3756E">
        <w:rPr>
          <w:color w:val="000000"/>
        </w:rPr>
        <w:t xml:space="preserve">the carrying charges permitted under </w:t>
      </w:r>
      <w:r w:rsidR="00000513">
        <w:rPr>
          <w:color w:val="000000"/>
        </w:rPr>
        <w:t xml:space="preserve">an electric security plan.  </w:t>
      </w:r>
      <w:r w:rsidR="00502307">
        <w:rPr>
          <w:color w:val="000000"/>
        </w:rPr>
        <w:t xml:space="preserve">In this case, </w:t>
      </w:r>
      <w:r w:rsidR="004D72FD">
        <w:rPr>
          <w:color w:val="000000"/>
        </w:rPr>
        <w:t xml:space="preserve">the request for a waiver presents a new issue to the Commission, </w:t>
      </w:r>
      <w:r w:rsidR="004D72FD" w:rsidRPr="001D637F">
        <w:rPr>
          <w:i/>
          <w:color w:val="000000"/>
        </w:rPr>
        <w:t>i.e.</w:t>
      </w:r>
      <w:r w:rsidR="004D72FD">
        <w:rPr>
          <w:color w:val="000000"/>
        </w:rPr>
        <w:t xml:space="preserve"> whether the continuation of the waiver is lawful and reasonable.  </w:t>
      </w:r>
      <w:r w:rsidR="00F65E72">
        <w:rPr>
          <w:color w:val="000000"/>
        </w:rPr>
        <w:t>Because</w:t>
      </w:r>
      <w:r w:rsidR="00755C75">
        <w:rPr>
          <w:color w:val="000000"/>
        </w:rPr>
        <w:t xml:space="preserve"> DP&amp;L has placed this issue again in front of the Commission, no party, including IEU-Ohio, is estopped from contesting this part of DP&amp;L’s</w:t>
      </w:r>
      <w:r w:rsidR="00E90321">
        <w:rPr>
          <w:color w:val="000000"/>
        </w:rPr>
        <w:t xml:space="preserve"> application.</w:t>
      </w:r>
    </w:p>
    <w:p w14:paraId="37743CEB" w14:textId="319E416B" w:rsidR="005023B2" w:rsidRDefault="00502307" w:rsidP="00400543">
      <w:pPr>
        <w:spacing w:line="480" w:lineRule="auto"/>
        <w:jc w:val="both"/>
        <w:rPr>
          <w:color w:val="000000"/>
        </w:rPr>
      </w:pPr>
      <w:r>
        <w:rPr>
          <w:color w:val="000000"/>
        </w:rPr>
        <w:lastRenderedPageBreak/>
        <w:tab/>
      </w:r>
      <w:r w:rsidR="00984E82">
        <w:rPr>
          <w:color w:val="000000"/>
        </w:rPr>
        <w:t>In resolving IEU-Ohio’s motion, moreover</w:t>
      </w:r>
      <w:r>
        <w:rPr>
          <w:color w:val="000000"/>
        </w:rPr>
        <w:t xml:space="preserve">, </w:t>
      </w:r>
      <w:r w:rsidR="00A12D28">
        <w:rPr>
          <w:color w:val="000000"/>
        </w:rPr>
        <w:t xml:space="preserve">the Commission should </w:t>
      </w:r>
      <w:r w:rsidR="00984E82">
        <w:rPr>
          <w:color w:val="000000"/>
        </w:rPr>
        <w:t xml:space="preserve">not defer a decision on </w:t>
      </w:r>
      <w:r w:rsidR="00A12D28">
        <w:rPr>
          <w:color w:val="000000"/>
        </w:rPr>
        <w:t>whether it is preempted from authorizing DP&amp;L</w:t>
      </w:r>
      <w:r w:rsidR="0097797F">
        <w:rPr>
          <w:color w:val="000000"/>
        </w:rPr>
        <w:t>’s</w:t>
      </w:r>
      <w:r w:rsidR="00A12D28">
        <w:rPr>
          <w:color w:val="000000"/>
        </w:rPr>
        <w:t xml:space="preserve"> request for a nonbypassable transmission rider that bills and collects transmission costs in a manner that is inconsistent than the rates produced under the federally approved tariff</w:t>
      </w:r>
      <w:r w:rsidR="0006095C">
        <w:rPr>
          <w:color w:val="000000"/>
        </w:rPr>
        <w:t xml:space="preserve"> for customers that can reduce their contribution to the zonal peak load</w:t>
      </w:r>
      <w:r w:rsidR="00A12D28">
        <w:rPr>
          <w:color w:val="000000"/>
        </w:rPr>
        <w:t>.</w:t>
      </w:r>
      <w:r w:rsidR="00037C03">
        <w:rPr>
          <w:color w:val="000000"/>
        </w:rPr>
        <w:t xml:space="preserve">  </w:t>
      </w:r>
      <w:r w:rsidR="00C90ABD">
        <w:rPr>
          <w:color w:val="000000"/>
        </w:rPr>
        <w:t>In addressing applications, t</w:t>
      </w:r>
      <w:r w:rsidR="000D7120" w:rsidRPr="000D7120">
        <w:rPr>
          <w:color w:val="000000"/>
        </w:rPr>
        <w:t xml:space="preserve">he Commission routinely takes into account </w:t>
      </w:r>
      <w:r w:rsidR="00D469A0">
        <w:rPr>
          <w:color w:val="000000"/>
        </w:rPr>
        <w:t>c</w:t>
      </w:r>
      <w:r w:rsidR="00DA7602" w:rsidRPr="000D7120">
        <w:rPr>
          <w:color w:val="000000"/>
        </w:rPr>
        <w:t xml:space="preserve">onstitutional </w:t>
      </w:r>
      <w:r w:rsidR="000D7120" w:rsidRPr="000D7120">
        <w:rPr>
          <w:color w:val="000000"/>
        </w:rPr>
        <w:t xml:space="preserve">requirements, often at the behest of utility companies, including DP&amp;L.  </w:t>
      </w:r>
    </w:p>
    <w:p w14:paraId="0151D6EC" w14:textId="1F40776C" w:rsidR="000D7120" w:rsidRPr="000D7120" w:rsidRDefault="000D7120" w:rsidP="00400543">
      <w:pPr>
        <w:spacing w:line="480" w:lineRule="auto"/>
        <w:ind w:firstLine="720"/>
        <w:jc w:val="both"/>
        <w:rPr>
          <w:color w:val="000000"/>
        </w:rPr>
      </w:pPr>
      <w:r w:rsidRPr="000D7120">
        <w:rPr>
          <w:color w:val="000000"/>
        </w:rPr>
        <w:t>In particular, the Commission has repeatedly addressed preemption issues before it renders its decisions.  For example, in a</w:t>
      </w:r>
      <w:r w:rsidR="0000202F">
        <w:rPr>
          <w:color w:val="000000"/>
        </w:rPr>
        <w:t xml:space="preserve">n </w:t>
      </w:r>
      <w:r w:rsidRPr="000D7120">
        <w:rPr>
          <w:color w:val="000000"/>
        </w:rPr>
        <w:t>AEP-Ohio rate case, the Commission held that the issue of whether it was preempted from taking certain actions was a threshold issue that it must address:</w:t>
      </w:r>
    </w:p>
    <w:p w14:paraId="3BAEBD27" w14:textId="77777777" w:rsidR="000D7120" w:rsidRPr="000D7120" w:rsidRDefault="000D7120" w:rsidP="00400543">
      <w:pPr>
        <w:ind w:left="720" w:right="720"/>
        <w:jc w:val="both"/>
        <w:rPr>
          <w:color w:val="000000"/>
        </w:rPr>
      </w:pPr>
      <w:r w:rsidRPr="000D7120">
        <w:rPr>
          <w:color w:val="000000"/>
        </w:rPr>
        <w:t xml:space="preserve">Ohio Power's position throughout the case has been that this Commission is federally preempted from considering the Transmission Agreement after it has been filed with FERC.  Consumers' Counsel agreed with staff that the Commission should not allow the Transmission Agreement expense, but instead of relying on the staff's prudence argument, it urged the Commission to deny the expense because Ohio Power failed to show that the agreement is cost-based and because the Commission lacks the authority to approve a rate subject to refund. </w:t>
      </w:r>
    </w:p>
    <w:p w14:paraId="399B5B75" w14:textId="77777777" w:rsidR="000D7120" w:rsidRPr="000D7120" w:rsidRDefault="000D7120" w:rsidP="00400543">
      <w:pPr>
        <w:ind w:left="720" w:right="720"/>
        <w:jc w:val="both"/>
        <w:rPr>
          <w:color w:val="000000"/>
        </w:rPr>
      </w:pPr>
    </w:p>
    <w:p w14:paraId="18107817" w14:textId="77777777" w:rsidR="000D7120" w:rsidRDefault="000D7120" w:rsidP="00400543">
      <w:pPr>
        <w:ind w:left="720" w:right="720"/>
        <w:jc w:val="both"/>
        <w:rPr>
          <w:color w:val="000000"/>
        </w:rPr>
      </w:pPr>
      <w:r w:rsidRPr="000D7120">
        <w:rPr>
          <w:color w:val="000000"/>
        </w:rPr>
        <w:t>The issue of this Commission's jurisdiction over the Transmission Agreement must be resolved prior to consideration of other issues.</w:t>
      </w:r>
    </w:p>
    <w:p w14:paraId="4ADBC300" w14:textId="77777777" w:rsidR="00F6364D" w:rsidRPr="000D7120" w:rsidRDefault="00F6364D" w:rsidP="00400543">
      <w:pPr>
        <w:ind w:left="720" w:right="720"/>
        <w:jc w:val="both"/>
        <w:rPr>
          <w:color w:val="000000"/>
        </w:rPr>
      </w:pPr>
    </w:p>
    <w:p w14:paraId="6BD4BD20" w14:textId="77777777" w:rsidR="000D7120" w:rsidRPr="000D7120" w:rsidRDefault="00F6364D" w:rsidP="00400543">
      <w:pPr>
        <w:spacing w:line="480" w:lineRule="auto"/>
        <w:jc w:val="both"/>
        <w:rPr>
          <w:color w:val="000000"/>
        </w:rPr>
      </w:pPr>
      <w:r>
        <w:rPr>
          <w:i/>
        </w:rPr>
        <w:t>In the Matter of the Application of Ohio Power Company to Increase Certain of its Filed Schedules Fixing Rates and Charges for Electric Service</w:t>
      </w:r>
      <w:r>
        <w:t>, Case No. 85-726-EL-AIR, Opinion and Order at 72 (July 10, 1986).</w:t>
      </w:r>
      <w:r w:rsidR="00D548DD">
        <w:t xml:space="preserve">  </w:t>
      </w:r>
      <w:r w:rsidR="000D7120" w:rsidRPr="000D7120">
        <w:rPr>
          <w:color w:val="000000"/>
        </w:rPr>
        <w:t>The Commission went on to conclude that it was preempted from excluding the transmission expense that its Staff and the Office of the Ohio Consumers’ Counsel (“OCC”) had urged be excluded.</w:t>
      </w:r>
      <w:r w:rsidR="00386EC9">
        <w:rPr>
          <w:color w:val="000000"/>
          <w:vertAlign w:val="superscript"/>
        </w:rPr>
        <w:t xml:space="preserve"> </w:t>
      </w:r>
      <w:r w:rsidR="00386EC9" w:rsidRPr="00386EC9">
        <w:rPr>
          <w:i/>
        </w:rPr>
        <w:t xml:space="preserve"> </w:t>
      </w:r>
      <w:r w:rsidR="00386EC9">
        <w:rPr>
          <w:i/>
        </w:rPr>
        <w:t>Id.</w:t>
      </w:r>
      <w:r w:rsidR="00386EC9">
        <w:t xml:space="preserve"> at 80.</w:t>
      </w:r>
    </w:p>
    <w:p w14:paraId="5B686491" w14:textId="77777777" w:rsidR="000D7120" w:rsidRPr="000D7120" w:rsidRDefault="000D7120" w:rsidP="00400543">
      <w:pPr>
        <w:spacing w:line="480" w:lineRule="auto"/>
        <w:jc w:val="both"/>
        <w:rPr>
          <w:color w:val="000000"/>
        </w:rPr>
      </w:pPr>
      <w:r w:rsidRPr="000D7120">
        <w:rPr>
          <w:color w:val="000000"/>
        </w:rPr>
        <w:lastRenderedPageBreak/>
        <w:tab/>
        <w:t>In a more recent case, the Commission analyzed whether its regulation of AEP</w:t>
      </w:r>
      <w:r w:rsidR="008F4F77">
        <w:rPr>
          <w:color w:val="000000"/>
        </w:rPr>
        <w:t>-</w:t>
      </w:r>
      <w:r w:rsidRPr="000D7120">
        <w:rPr>
          <w:color w:val="000000"/>
        </w:rPr>
        <w:t xml:space="preserve">Ohio’s compensation for capacity service was preempted by federal law.  </w:t>
      </w:r>
      <w:r w:rsidR="00386EC9">
        <w:rPr>
          <w:i/>
        </w:rPr>
        <w:t>In the Matter of the Commission Review of the Capacity Charges of Ohio Power Company and Columbus Southern Power Company</w:t>
      </w:r>
      <w:r w:rsidR="00386EC9">
        <w:t xml:space="preserve">, Case No. 10-2929-EL-UNC, Opinion and Order (July 2, 2012).  </w:t>
      </w:r>
      <w:r w:rsidRPr="000D7120">
        <w:rPr>
          <w:color w:val="000000"/>
        </w:rPr>
        <w:t xml:space="preserve">In that case, the Commission discussed parties’ arguments </w:t>
      </w:r>
      <w:r w:rsidR="00D548DD">
        <w:rPr>
          <w:color w:val="000000"/>
        </w:rPr>
        <w:t>concerning</w:t>
      </w:r>
      <w:r w:rsidRPr="000D7120">
        <w:rPr>
          <w:color w:val="000000"/>
        </w:rPr>
        <w:t xml:space="preserve"> preemption and reviewed applicable federal law, federal regulations, federal tariffs, and FERC-approved contracts.  Ultimately, the Commission concluded that while “pursuant to the FPA, electric sales for resale and other wholesale transactions are generally subject to the exclusive jurisdiction of FERC</w:t>
      </w:r>
      <w:r w:rsidR="00D548DD">
        <w:rPr>
          <w:color w:val="000000"/>
        </w:rPr>
        <w:t>,</w:t>
      </w:r>
      <w:r w:rsidRPr="000D7120">
        <w:rPr>
          <w:color w:val="000000"/>
        </w:rPr>
        <w:t>” its exercise of jurisdiction was “consistent with the governing section of the [FERC-approved contract]</w:t>
      </w:r>
      <w:r w:rsidR="00CB28D8">
        <w:rPr>
          <w:color w:val="000000"/>
        </w:rPr>
        <w:t xml:space="preserve">.”  </w:t>
      </w:r>
      <w:r w:rsidR="00CB28D8" w:rsidRPr="001D637F">
        <w:rPr>
          <w:i/>
          <w:color w:val="000000"/>
        </w:rPr>
        <w:t>Id</w:t>
      </w:r>
      <w:r w:rsidR="00CB28D8">
        <w:rPr>
          <w:color w:val="000000"/>
        </w:rPr>
        <w:t>. at 13.</w:t>
      </w:r>
    </w:p>
    <w:p w14:paraId="4EE6F6E7" w14:textId="3BBD268E" w:rsidR="000D7120" w:rsidRPr="000D7120" w:rsidRDefault="000D7120" w:rsidP="00400543">
      <w:pPr>
        <w:spacing w:line="480" w:lineRule="auto"/>
        <w:jc w:val="both"/>
        <w:rPr>
          <w:color w:val="000000"/>
        </w:rPr>
      </w:pPr>
      <w:r w:rsidRPr="000D7120">
        <w:rPr>
          <w:color w:val="000000"/>
        </w:rPr>
        <w:tab/>
        <w:t>DP&amp;L itself has urged the Commission to address constitutional issues including whether its actions would be preempted.  In its prior ESP case and specific to whether the Commission may address whether it is preempted from acting, DP&amp;L urged the Commission to find it was preempted from addressing c</w:t>
      </w:r>
      <w:r w:rsidR="00CB28D8">
        <w:rPr>
          <w:color w:val="000000"/>
        </w:rPr>
        <w:t>ertain issues raised in the case.</w:t>
      </w:r>
      <w:r w:rsidRPr="000D7120">
        <w:rPr>
          <w:color w:val="000000"/>
        </w:rPr>
        <w:t xml:space="preserve">  </w:t>
      </w:r>
      <w:r w:rsidR="00B743E4">
        <w:rPr>
          <w:i/>
        </w:rPr>
        <w:t xml:space="preserve">In the Matter of the Application of The Dayton Power and Light Company for Approval of Its Electric Security </w:t>
      </w:r>
      <w:r w:rsidR="00B743E4" w:rsidRPr="00832DC1">
        <w:t>Plan</w:t>
      </w:r>
      <w:r w:rsidR="00B743E4">
        <w:t xml:space="preserve">, Case Nos. 12-426-EL-SSO, </w:t>
      </w:r>
      <w:r w:rsidR="00B743E4" w:rsidRPr="003362C5">
        <w:rPr>
          <w:i/>
        </w:rPr>
        <w:t>et al</w:t>
      </w:r>
      <w:r w:rsidR="00B743E4">
        <w:t xml:space="preserve">., The Dayton Power and Light Company’s </w:t>
      </w:r>
      <w:r w:rsidR="00B743E4" w:rsidRPr="002B6B1C">
        <w:t>Reply</w:t>
      </w:r>
      <w:r w:rsidR="00B743E4">
        <w:t xml:space="preserve"> Brief at 10 (June 5, 2013).  </w:t>
      </w:r>
      <w:r w:rsidRPr="000D7120">
        <w:rPr>
          <w:color w:val="000000"/>
        </w:rPr>
        <w:t>DP&amp;L also has urged the Commission to consider whether an unconstitutional takings would occur if the Commission did not grant DP&amp;L the relief it sought.</w:t>
      </w:r>
      <w:r w:rsidR="00B743E4" w:rsidRPr="00B743E4">
        <w:t xml:space="preserve"> </w:t>
      </w:r>
      <w:r w:rsidR="00B743E4">
        <w:t xml:space="preserve"> </w:t>
      </w:r>
      <w:r w:rsidR="000E47D0" w:rsidRPr="009C7E3C">
        <w:rPr>
          <w:i/>
        </w:rPr>
        <w:t>Id</w:t>
      </w:r>
      <w:r w:rsidR="000E47D0">
        <w:t xml:space="preserve">., </w:t>
      </w:r>
      <w:r w:rsidR="00B743E4">
        <w:t xml:space="preserve">Direct Testimony of Roger A. Morin at Ex. RAM-2, pages 11-13 (summarizing the foundation of the constitutional takings analysis set forth in the United States Supreme Court’s </w:t>
      </w:r>
      <w:r w:rsidR="00B743E4">
        <w:rPr>
          <w:i/>
        </w:rPr>
        <w:t>Hope</w:t>
      </w:r>
      <w:r w:rsidR="00B743E4">
        <w:t xml:space="preserve"> and </w:t>
      </w:r>
      <w:r w:rsidR="00B743E4">
        <w:rPr>
          <w:i/>
        </w:rPr>
        <w:t xml:space="preserve">Bluefield </w:t>
      </w:r>
      <w:r w:rsidR="00B743E4">
        <w:t>decisions and urging the Commission to take into account this constitutional principle in authorizing DP&amp;L’s return on equity).</w:t>
      </w:r>
    </w:p>
    <w:p w14:paraId="0D9AC8CC" w14:textId="627CF831" w:rsidR="000D7120" w:rsidRDefault="000D7120" w:rsidP="00400543">
      <w:pPr>
        <w:spacing w:line="480" w:lineRule="auto"/>
        <w:ind w:firstLine="720"/>
        <w:jc w:val="both"/>
        <w:rPr>
          <w:color w:val="000000"/>
        </w:rPr>
      </w:pPr>
      <w:r w:rsidRPr="000D7120">
        <w:rPr>
          <w:color w:val="000000"/>
        </w:rPr>
        <w:lastRenderedPageBreak/>
        <w:t xml:space="preserve">Moreover, </w:t>
      </w:r>
      <w:r w:rsidR="000E47D0">
        <w:rPr>
          <w:color w:val="000000"/>
        </w:rPr>
        <w:t xml:space="preserve">Ohio </w:t>
      </w:r>
      <w:r w:rsidRPr="000D7120">
        <w:rPr>
          <w:color w:val="000000"/>
        </w:rPr>
        <w:t xml:space="preserve">Supreme Court decisions addressing the Commission’s authority to address constitutional issues hold only that the Commission may not declare an Ohio statute unconstitutional.  In </w:t>
      </w:r>
      <w:r w:rsidRPr="000D7120">
        <w:rPr>
          <w:i/>
          <w:color w:val="000000"/>
        </w:rPr>
        <w:t>East Ohio Gas Co. v. Public Utilities Commission of Ohio</w:t>
      </w:r>
      <w:r w:rsidRPr="000D7120">
        <w:rPr>
          <w:color w:val="000000"/>
        </w:rPr>
        <w:t xml:space="preserve">, 137 Ohio St. 225, 239, 28 N.E.2d 599 (1940), </w:t>
      </w:r>
      <w:r w:rsidR="00DD3457">
        <w:rPr>
          <w:color w:val="000000"/>
        </w:rPr>
        <w:t xml:space="preserve">for example, </w:t>
      </w:r>
      <w:r w:rsidRPr="000D7120">
        <w:rPr>
          <w:color w:val="000000"/>
        </w:rPr>
        <w:t xml:space="preserve">the Court held that the “[c]onstitutionality of statutes is a question for the </w:t>
      </w:r>
      <w:r w:rsidRPr="000D7120">
        <w:rPr>
          <w:bCs/>
          <w:color w:val="000000"/>
        </w:rPr>
        <w:t>courts</w:t>
      </w:r>
      <w:r w:rsidRPr="000D7120">
        <w:rPr>
          <w:color w:val="000000"/>
        </w:rPr>
        <w:t xml:space="preserve"> and not for a board or commission.”  In </w:t>
      </w:r>
      <w:r w:rsidRPr="000D7120">
        <w:rPr>
          <w:i/>
          <w:color w:val="000000"/>
        </w:rPr>
        <w:t>Office of the Ohio Consumers' Counsel v. Public Utilities Commission of Ohio</w:t>
      </w:r>
      <w:r w:rsidRPr="000D7120">
        <w:rPr>
          <w:color w:val="000000"/>
        </w:rPr>
        <w:t xml:space="preserve">, 70 Ohio St.3d 244, 247, 1994-Ohio-469 (1994), the Court confirmed a half century after its decision in </w:t>
      </w:r>
      <w:r w:rsidRPr="000D7120">
        <w:rPr>
          <w:i/>
          <w:color w:val="000000"/>
        </w:rPr>
        <w:t xml:space="preserve">East Ohio Gas </w:t>
      </w:r>
      <w:r w:rsidRPr="000D7120">
        <w:rPr>
          <w:color w:val="000000"/>
        </w:rPr>
        <w:t xml:space="preserve">that “[a]n administrative agency such as the commission may not pass upon the constitutionality of a statute.”  As the Court further explained in </w:t>
      </w:r>
      <w:r w:rsidRPr="000D7120">
        <w:rPr>
          <w:i/>
          <w:color w:val="000000"/>
        </w:rPr>
        <w:t>Consumers’ Counsel</w:t>
      </w:r>
      <w:r w:rsidRPr="000D7120">
        <w:rPr>
          <w:color w:val="000000"/>
        </w:rPr>
        <w:t>, “nothing precludes the commission from passing upon the proper application or construction of a statute.”</w:t>
      </w:r>
      <w:r w:rsidRPr="000D7120">
        <w:rPr>
          <w:color w:val="000000"/>
          <w:vertAlign w:val="superscript"/>
        </w:rPr>
        <w:footnoteReference w:id="3"/>
      </w:r>
      <w:r w:rsidRPr="000D7120">
        <w:rPr>
          <w:color w:val="000000"/>
        </w:rPr>
        <w:t xml:space="preserve">  Thus, the Court distinguished between the Commission’s authority to declare a statute unconstitutional, a power it does not possess, and the Commission’s authority to interpret and apply a statute in the context of constitutional concerns, a power it does possess.  </w:t>
      </w:r>
    </w:p>
    <w:p w14:paraId="67DA0511" w14:textId="2D5EE32F" w:rsidR="009144BB" w:rsidRDefault="001E7A5D" w:rsidP="00400543">
      <w:pPr>
        <w:spacing w:line="480" w:lineRule="auto"/>
        <w:jc w:val="both"/>
      </w:pPr>
      <w:r>
        <w:tab/>
      </w:r>
      <w:r w:rsidR="00A4496C">
        <w:t>Finally, t</w:t>
      </w:r>
      <w:r w:rsidR="00D93620">
        <w:t>he</w:t>
      </w:r>
      <w:r w:rsidR="00680DE7">
        <w:t xml:space="preserve"> concerns of DP&amp;L and RESA that authorization of a bypassable transmission rider is either impractical or anticompetitive are both irrelevant and hyperbolic.  </w:t>
      </w:r>
      <w:r w:rsidR="009828EE">
        <w:t xml:space="preserve">These claims are irrelevant because the Commission lacks the authority to impose a nonbypassable transmission rider under both federal and state law.  The claims are hyperbolic because DP&amp;L and marketers entered into contracts under a bypassable regime but changed to a nonbypassable, but illegal, regime without a complaint from either that it was too difficult or that existing contracts would be upset.  </w:t>
      </w:r>
      <w:r w:rsidR="009144BB">
        <w:t xml:space="preserve">Moreover, the Commission has already authorized </w:t>
      </w:r>
      <w:r w:rsidR="009C7E3C">
        <w:t xml:space="preserve">a transmission pilot for one EDU </w:t>
      </w:r>
      <w:r w:rsidR="009144BB">
        <w:t xml:space="preserve">and is considering </w:t>
      </w:r>
      <w:r w:rsidR="009C7E3C">
        <w:lastRenderedPageBreak/>
        <w:t>another pilot</w:t>
      </w:r>
      <w:r w:rsidR="009144BB">
        <w:t xml:space="preserve"> that permit customers to take service at rates available under the federally-approved tariff.</w:t>
      </w:r>
      <w:r w:rsidR="006366AD">
        <w:t xml:space="preserve">  </w:t>
      </w:r>
      <w:r w:rsidR="006366AD" w:rsidRPr="005D2199">
        <w:rPr>
          <w:i/>
        </w:rPr>
        <w:t>In the Matter of the Application of Ohio Edison Company, the Cleveland Electric Illuminating Company and the Toledo Edison Company for Authority to Provide a Standard Service Offer Pursuant to R.C. 4928.143 in the Form of an Electric Security Plan</w:t>
      </w:r>
      <w:r w:rsidR="006366AD">
        <w:t>, Case No. 14-1297-EL-SSO</w:t>
      </w:r>
      <w:r w:rsidR="00E40E08">
        <w:t xml:space="preserve">, Opinion &amp; Order at 73-75 (Mar. 31, 2016); </w:t>
      </w:r>
      <w:r w:rsidR="004F6A2F" w:rsidRPr="005D2199">
        <w:rPr>
          <w:i/>
        </w:rPr>
        <w:t>In the Matter of the Application of Ohio Power Company for Authority to Establish a Standard Service Offer Pursuant to Section 4928.143, Revised Code, in the Form of an Electric Security Plan</w:t>
      </w:r>
      <w:r w:rsidR="004F6A2F">
        <w:t xml:space="preserve">, Case Nos. 16-1852-EL-SSO, </w:t>
      </w:r>
      <w:r w:rsidR="004F6A2F" w:rsidRPr="005D2199">
        <w:rPr>
          <w:i/>
        </w:rPr>
        <w:t>et al.</w:t>
      </w:r>
      <w:r w:rsidR="004F6A2F">
        <w:t>, Ohio Power Company’s</w:t>
      </w:r>
      <w:r w:rsidR="002F3E24">
        <w:t xml:space="preserve"> Application to Amend its Electric Security Plan at 17-18 (Nov. 23, 2016).</w:t>
      </w:r>
    </w:p>
    <w:p w14:paraId="1D86C550" w14:textId="77777777" w:rsidR="00AE3320" w:rsidRPr="00AE3320" w:rsidRDefault="00AE3320" w:rsidP="00400543">
      <w:pPr>
        <w:spacing w:line="480" w:lineRule="auto"/>
        <w:ind w:firstLine="720"/>
        <w:jc w:val="both"/>
      </w:pPr>
      <w:bookmarkStart w:id="27" w:name="_GoBack"/>
      <w:bookmarkEnd w:id="27"/>
      <w:r w:rsidRPr="00AE3320">
        <w:t>Compliance with the law is not excused simply because it may be difficult or “impractical,” and in any event</w:t>
      </w:r>
      <w:r w:rsidR="00BE078A">
        <w:t>,</w:t>
      </w:r>
      <w:r w:rsidRPr="00AE3320">
        <w:t xml:space="preserve"> DP&amp;L</w:t>
      </w:r>
      <w:r w:rsidR="00286D0D">
        <w:t xml:space="preserve"> and RESA</w:t>
      </w:r>
      <w:r w:rsidRPr="00AE3320">
        <w:t xml:space="preserve"> </w:t>
      </w:r>
      <w:r w:rsidR="00286D0D">
        <w:t>have</w:t>
      </w:r>
      <w:r w:rsidR="00286D0D" w:rsidRPr="00AE3320">
        <w:t xml:space="preserve"> </w:t>
      </w:r>
      <w:r w:rsidRPr="00AE3320">
        <w:t>not demonstrated that compliance is impractical</w:t>
      </w:r>
      <w:r w:rsidR="001C2DA8">
        <w:t xml:space="preserve"> or will affect competition adversely</w:t>
      </w:r>
      <w:r w:rsidRPr="00AE3320">
        <w:t>.  Because DP&amp;L did not and cannot show good cause for the waiver or that the waiver would not violate any legal requirement, the Commission must deny the waiver.</w:t>
      </w:r>
    </w:p>
    <w:p w14:paraId="564C553E" w14:textId="77777777" w:rsidR="00502307" w:rsidRPr="00975CFC" w:rsidRDefault="00BC3333" w:rsidP="00BC3333">
      <w:pPr>
        <w:pStyle w:val="Heading1"/>
      </w:pPr>
      <w:bookmarkStart w:id="28" w:name="_Toc470075907"/>
      <w:bookmarkStart w:id="29" w:name="_Toc470076035"/>
      <w:r>
        <w:t>CONCLUSION</w:t>
      </w:r>
      <w:bookmarkEnd w:id="28"/>
      <w:bookmarkEnd w:id="29"/>
    </w:p>
    <w:p w14:paraId="496F1ACB" w14:textId="77777777" w:rsidR="009722EE" w:rsidRDefault="00E01AB0" w:rsidP="00400543">
      <w:pPr>
        <w:spacing w:line="480" w:lineRule="auto"/>
        <w:jc w:val="both"/>
      </w:pPr>
      <w:r>
        <w:tab/>
        <w:t>In its Motion to Dismiss, IEU-Ohio demonstrated that the Commission should dismiss DP&amp;L</w:t>
      </w:r>
      <w:r w:rsidR="00DD3457">
        <w:t>’s</w:t>
      </w:r>
      <w:r>
        <w:t xml:space="preserve"> request for authorization of the RCR, UEX, Storm Rider, and RR and that it should require DP&amp;L to amend its application to provide for a bypassable transmission rider that would afford customers the benefits of the PJM transmission tariff.  DP&amp;L and RESA do </w:t>
      </w:r>
      <w:r w:rsidR="00DD3457">
        <w:t xml:space="preserve">not </w:t>
      </w:r>
      <w:r>
        <w:t>provide any legitimat</w:t>
      </w:r>
      <w:r w:rsidR="00DD3457">
        <w:t>e basis for denying IEU-Ohio’s M</w:t>
      </w:r>
      <w:r>
        <w:t>otion.  Accordingly, IEU-Ohio requests the Commission to grant its Motion to Dismiss.</w:t>
      </w:r>
    </w:p>
    <w:p w14:paraId="4663AD78" w14:textId="77777777" w:rsidR="003F2FE8" w:rsidRDefault="003F2FE8" w:rsidP="003F2FE8">
      <w:pPr>
        <w:spacing w:after="240"/>
        <w:ind w:left="3600" w:firstLine="720"/>
        <w:rPr>
          <w:rFonts w:eastAsia="Times New Roman" w:cs="Arial"/>
        </w:rPr>
      </w:pPr>
      <w:r>
        <w:rPr>
          <w:rFonts w:eastAsia="Times New Roman" w:cs="Arial"/>
        </w:rPr>
        <w:t>Respectfully submitted,</w:t>
      </w:r>
    </w:p>
    <w:p w14:paraId="7902B89F" w14:textId="77777777" w:rsidR="003F2FE8" w:rsidRPr="00B63712" w:rsidRDefault="003F2FE8" w:rsidP="003F2FE8">
      <w:pPr>
        <w:tabs>
          <w:tab w:val="left" w:pos="4320"/>
          <w:tab w:val="right" w:pos="8640"/>
        </w:tabs>
        <w:rPr>
          <w:rFonts w:eastAsia="Times New Roman" w:cs="Arial"/>
          <w:i/>
          <w:u w:val="single"/>
        </w:rPr>
      </w:pPr>
      <w:r>
        <w:rPr>
          <w:rFonts w:eastAsia="Times New Roman" w:cs="Arial"/>
        </w:rPr>
        <w:tab/>
      </w:r>
      <w:r w:rsidRPr="00B63712">
        <w:rPr>
          <w:rFonts w:eastAsia="Times New Roman" w:cs="Arial"/>
          <w:i/>
          <w:u w:val="single"/>
        </w:rPr>
        <w:t>/s/ Frank P. Darr</w:t>
      </w:r>
      <w:r w:rsidRPr="00B63712">
        <w:rPr>
          <w:rFonts w:eastAsia="Times New Roman" w:cs="Arial"/>
          <w:i/>
          <w:u w:val="single"/>
        </w:rPr>
        <w:tab/>
      </w:r>
      <w:r w:rsidRPr="00B63712">
        <w:rPr>
          <w:rFonts w:eastAsia="Times New Roman" w:cs="Arial"/>
          <w:i/>
          <w:u w:val="single"/>
        </w:rPr>
        <w:tab/>
      </w:r>
    </w:p>
    <w:p w14:paraId="78719868" w14:textId="77777777" w:rsidR="003F2FE8" w:rsidRDefault="003F2FE8" w:rsidP="003F2FE8">
      <w:pPr>
        <w:tabs>
          <w:tab w:val="left" w:pos="4320"/>
          <w:tab w:val="right" w:pos="8640"/>
        </w:tabs>
        <w:rPr>
          <w:rFonts w:eastAsia="Times New Roman" w:cs="Arial"/>
          <w:bCs/>
          <w:szCs w:val="20"/>
          <w:lang w:val="de-DE"/>
        </w:rPr>
      </w:pPr>
      <w:r>
        <w:rPr>
          <w:rFonts w:eastAsia="Times New Roman" w:cs="Arial"/>
        </w:rPr>
        <w:tab/>
      </w:r>
      <w:r>
        <w:rPr>
          <w:rFonts w:eastAsia="Times New Roman" w:cs="Arial"/>
          <w:bCs/>
          <w:szCs w:val="20"/>
          <w:lang w:val="de-DE"/>
        </w:rPr>
        <w:t>Frank P. Darr</w:t>
      </w:r>
    </w:p>
    <w:p w14:paraId="38F0B64F" w14:textId="77777777" w:rsidR="003F2FE8" w:rsidRDefault="003F2FE8" w:rsidP="003F2FE8">
      <w:pPr>
        <w:widowControl w:val="0"/>
        <w:tabs>
          <w:tab w:val="left" w:pos="4320"/>
        </w:tabs>
        <w:ind w:left="4320"/>
        <w:rPr>
          <w:rFonts w:eastAsia="Times New Roman" w:cs="Arial"/>
          <w:bCs/>
          <w:szCs w:val="20"/>
        </w:rPr>
      </w:pPr>
      <w:r>
        <w:rPr>
          <w:rFonts w:eastAsia="Times New Roman" w:cs="Arial"/>
          <w:bCs/>
          <w:szCs w:val="20"/>
          <w:lang w:val="de-DE"/>
        </w:rPr>
        <w:t>Matthew R. Pritchard</w:t>
      </w:r>
    </w:p>
    <w:p w14:paraId="058EB72A" w14:textId="77777777" w:rsidR="003F2FE8" w:rsidRDefault="003F2FE8" w:rsidP="003F2FE8">
      <w:pPr>
        <w:widowControl w:val="0"/>
        <w:tabs>
          <w:tab w:val="left" w:pos="4320"/>
        </w:tabs>
        <w:ind w:left="4320"/>
        <w:rPr>
          <w:rFonts w:eastAsia="Times New Roman" w:cs="Arial"/>
          <w:bCs/>
          <w:smallCaps/>
        </w:rPr>
      </w:pPr>
      <w:r>
        <w:rPr>
          <w:rFonts w:eastAsia="Times New Roman" w:cs="Arial"/>
          <w:bCs/>
          <w:smallCaps/>
        </w:rPr>
        <w:lastRenderedPageBreak/>
        <w:t>McNees Wallace &amp; Nurick LLC</w:t>
      </w:r>
    </w:p>
    <w:p w14:paraId="4F157E27" w14:textId="77777777" w:rsidR="003F2FE8" w:rsidRDefault="003F2FE8" w:rsidP="003F2FE8">
      <w:pPr>
        <w:widowControl w:val="0"/>
        <w:tabs>
          <w:tab w:val="left" w:pos="4320"/>
        </w:tabs>
        <w:ind w:left="4320"/>
        <w:rPr>
          <w:rFonts w:eastAsia="Times New Roman" w:cs="Arial"/>
          <w:bCs/>
          <w:szCs w:val="20"/>
        </w:rPr>
      </w:pPr>
      <w:r>
        <w:rPr>
          <w:rFonts w:eastAsia="Times New Roman" w:cs="Arial"/>
          <w:bCs/>
          <w:szCs w:val="20"/>
        </w:rPr>
        <w:t>21 East State Street, 17</w:t>
      </w:r>
      <w:r>
        <w:rPr>
          <w:rFonts w:eastAsia="Times New Roman" w:cs="Arial"/>
          <w:bCs/>
          <w:szCs w:val="20"/>
          <w:vertAlign w:val="superscript"/>
        </w:rPr>
        <w:t>TH</w:t>
      </w:r>
      <w:r>
        <w:rPr>
          <w:rFonts w:eastAsia="Times New Roman" w:cs="Arial"/>
          <w:bCs/>
          <w:szCs w:val="20"/>
        </w:rPr>
        <w:t xml:space="preserve"> Floor</w:t>
      </w:r>
    </w:p>
    <w:p w14:paraId="06958B58" w14:textId="77777777" w:rsidR="003F2FE8" w:rsidRDefault="003F2FE8" w:rsidP="003F2FE8">
      <w:pPr>
        <w:tabs>
          <w:tab w:val="left" w:pos="4320"/>
        </w:tabs>
        <w:ind w:left="4320"/>
        <w:rPr>
          <w:rFonts w:eastAsia="Times New Roman" w:cs="Arial"/>
        </w:rPr>
      </w:pPr>
      <w:r>
        <w:rPr>
          <w:rFonts w:eastAsia="Times New Roman" w:cs="Arial"/>
        </w:rPr>
        <w:t>Columbus, OH  43215</w:t>
      </w:r>
    </w:p>
    <w:p w14:paraId="320F5509" w14:textId="77777777" w:rsidR="003F2FE8" w:rsidRDefault="003F2FE8" w:rsidP="003F2FE8">
      <w:pPr>
        <w:tabs>
          <w:tab w:val="left" w:pos="4320"/>
        </w:tabs>
        <w:ind w:left="4320"/>
        <w:rPr>
          <w:rFonts w:eastAsia="Times New Roman" w:cs="Arial"/>
        </w:rPr>
      </w:pPr>
      <w:r>
        <w:rPr>
          <w:rFonts w:eastAsia="Times New Roman" w:cs="Arial"/>
        </w:rPr>
        <w:t>Telephone:  (614) 469-8000</w:t>
      </w:r>
    </w:p>
    <w:p w14:paraId="113DF83D" w14:textId="77777777" w:rsidR="003F2FE8" w:rsidRDefault="003F2FE8" w:rsidP="003F2FE8">
      <w:pPr>
        <w:tabs>
          <w:tab w:val="left" w:pos="4320"/>
        </w:tabs>
        <w:ind w:left="4320"/>
        <w:rPr>
          <w:rFonts w:eastAsia="Times New Roman" w:cs="Arial"/>
        </w:rPr>
      </w:pPr>
      <w:r>
        <w:rPr>
          <w:rFonts w:eastAsia="Times New Roman" w:cs="Arial"/>
        </w:rPr>
        <w:t>Telecopier:  (614) 469-4653</w:t>
      </w:r>
    </w:p>
    <w:p w14:paraId="1168F7F5" w14:textId="77777777" w:rsidR="003F2FE8" w:rsidRDefault="003F2FE8" w:rsidP="003F2FE8">
      <w:pPr>
        <w:ind w:left="4320"/>
        <w:rPr>
          <w:rFonts w:eastAsia="Times New Roman" w:cs="Arial"/>
        </w:rPr>
      </w:pPr>
      <w:r>
        <w:rPr>
          <w:rFonts w:eastAsia="Times New Roman" w:cs="Arial"/>
        </w:rPr>
        <w:t>fdarr@mwncmh.com</w:t>
      </w:r>
    </w:p>
    <w:p w14:paraId="02FD2389" w14:textId="77777777" w:rsidR="003F2FE8" w:rsidRDefault="003F2FE8" w:rsidP="003F2FE8">
      <w:pPr>
        <w:ind w:left="4320"/>
        <w:rPr>
          <w:rFonts w:eastAsia="Times New Roman" w:cs="Arial"/>
        </w:rPr>
      </w:pPr>
      <w:r>
        <w:rPr>
          <w:rFonts w:eastAsia="Times New Roman" w:cs="Arial"/>
        </w:rPr>
        <w:t>mpritchard@mwncmh.com</w:t>
      </w:r>
    </w:p>
    <w:p w14:paraId="4448F4B8" w14:textId="77777777" w:rsidR="003F2FE8" w:rsidRDefault="003F2FE8" w:rsidP="003F2FE8">
      <w:pPr>
        <w:rPr>
          <w:rFonts w:eastAsia="Times New Roman" w:cs="Arial"/>
        </w:rPr>
      </w:pPr>
    </w:p>
    <w:p w14:paraId="3DE1084B" w14:textId="77777777" w:rsidR="003F2FE8" w:rsidRDefault="003F2FE8" w:rsidP="003F2FE8">
      <w:pPr>
        <w:rPr>
          <w:rFonts w:eastAsia="Times New Roman" w:cs="Arial"/>
          <w:b/>
        </w:rPr>
        <w:sectPr w:rsidR="003F2FE8" w:rsidSect="002E4BD9">
          <w:pgSz w:w="12240" w:h="15840" w:code="1"/>
          <w:pgMar w:top="1440" w:right="1440" w:bottom="1440" w:left="1440" w:header="720" w:footer="720" w:gutter="0"/>
          <w:pgNumType w:start="1"/>
          <w:cols w:space="720"/>
          <w:titlePg/>
          <w:docGrid w:linePitch="360"/>
        </w:sectPr>
      </w:pP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b/>
          <w:bCs/>
        </w:rPr>
        <w:t>Attorneys for</w:t>
      </w:r>
      <w:r>
        <w:rPr>
          <w:rFonts w:eastAsia="Times New Roman" w:cs="Arial"/>
        </w:rPr>
        <w:t xml:space="preserve"> </w:t>
      </w:r>
      <w:r>
        <w:rPr>
          <w:rFonts w:eastAsia="Times New Roman" w:cs="Arial"/>
          <w:b/>
        </w:rPr>
        <w:t>Industrial Energy Users-Ohio</w:t>
      </w:r>
    </w:p>
    <w:p w14:paraId="7D0800BB" w14:textId="77777777" w:rsidR="00E91E10" w:rsidRPr="00E91E10" w:rsidRDefault="00E91E10" w:rsidP="00E91E10">
      <w:pPr>
        <w:tabs>
          <w:tab w:val="left" w:pos="2160"/>
          <w:tab w:val="left" w:pos="2280"/>
        </w:tabs>
        <w:jc w:val="center"/>
        <w:rPr>
          <w:rFonts w:ascii="Arial Bold" w:hAnsi="Arial Bold" w:cs="Arial"/>
          <w:b/>
          <w:smallCaps/>
          <w:sz w:val="28"/>
          <w:u w:val="single"/>
        </w:rPr>
      </w:pPr>
      <w:r w:rsidRPr="00E91E10">
        <w:rPr>
          <w:rFonts w:ascii="Arial Bold" w:hAnsi="Arial Bold" w:cs="Arial"/>
          <w:b/>
          <w:smallCaps/>
          <w:sz w:val="28"/>
          <w:u w:val="single"/>
        </w:rPr>
        <w:lastRenderedPageBreak/>
        <w:t>Certificate of Service</w:t>
      </w:r>
    </w:p>
    <w:p w14:paraId="3710FDD2" w14:textId="77777777" w:rsidR="00E91E10" w:rsidRPr="00E91E10" w:rsidRDefault="00E91E10" w:rsidP="00E91E10">
      <w:pPr>
        <w:rPr>
          <w:rFonts w:cs="Arial"/>
        </w:rPr>
      </w:pPr>
    </w:p>
    <w:p w14:paraId="21E62CBE" w14:textId="77777777" w:rsidR="00E91E10" w:rsidRPr="00E91E10" w:rsidRDefault="00E91E10" w:rsidP="00E91E10">
      <w:pPr>
        <w:spacing w:line="480" w:lineRule="auto"/>
        <w:ind w:firstLine="720"/>
        <w:jc w:val="both"/>
        <w:rPr>
          <w:rFonts w:eastAsia="Times New Roman" w:cs="Arial"/>
        </w:rPr>
      </w:pPr>
      <w:r w:rsidRPr="00E91E10">
        <w:rPr>
          <w:rFonts w:eastAsia="Times New Roman" w:cs="Arial"/>
        </w:rPr>
        <w:t>In accordance with Rule 4901-1-05, Ohio Administrative Code, the PUCO's e</w:t>
      </w:r>
      <w:r w:rsidRPr="00E91E10">
        <w:rPr>
          <w:rFonts w:eastAsia="Times New Roman" w:cs="Arial"/>
        </w:rPr>
        <w:noBreakHyphen/>
        <w:t xml:space="preserve">filing system will electronically serve notice of the filing of this document upon the following parties.  In addition, I hereby certify that a service copy of the foregoing </w:t>
      </w:r>
      <w:r w:rsidR="00D40715">
        <w:rPr>
          <w:rFonts w:eastAsia="Times New Roman" w:cs="Arial"/>
          <w:i/>
        </w:rPr>
        <w:t xml:space="preserve">Reply to the Dayton Power and Light Company’s Memorandum Contra to the Industrial Energy Users-Ohio’s Motion to Dismiss, in Part, the Electric Security Plan Application </w:t>
      </w:r>
      <w:r w:rsidRPr="00E91E10">
        <w:rPr>
          <w:rFonts w:eastAsia="Times New Roman" w:cs="Arial"/>
        </w:rPr>
        <w:t xml:space="preserve">was sent by, or on behalf of, the undersigned counsel for IEU-Ohio to the following parties of record this </w:t>
      </w:r>
      <w:r w:rsidR="004B5E6E">
        <w:rPr>
          <w:rFonts w:eastAsia="Times New Roman" w:cs="Arial"/>
        </w:rPr>
        <w:t>22</w:t>
      </w:r>
      <w:r w:rsidR="004B5E6E" w:rsidRPr="001D637F">
        <w:rPr>
          <w:rFonts w:eastAsia="Times New Roman" w:cs="Arial"/>
          <w:vertAlign w:val="superscript"/>
        </w:rPr>
        <w:t>nd</w:t>
      </w:r>
      <w:r w:rsidRPr="00E91E10">
        <w:rPr>
          <w:rFonts w:eastAsia="Times New Roman" w:cs="Arial"/>
        </w:rPr>
        <w:t xml:space="preserve"> day of </w:t>
      </w:r>
      <w:r w:rsidR="004B5E6E">
        <w:rPr>
          <w:rFonts w:eastAsia="Times New Roman" w:cs="Arial"/>
        </w:rPr>
        <w:t xml:space="preserve">December, </w:t>
      </w:r>
      <w:r w:rsidRPr="00E91E10">
        <w:rPr>
          <w:rFonts w:eastAsia="Times New Roman" w:cs="Arial"/>
        </w:rPr>
        <w:t xml:space="preserve">2016, </w:t>
      </w:r>
      <w:r w:rsidRPr="00E91E10">
        <w:rPr>
          <w:rFonts w:eastAsia="Times New Roman" w:cs="Arial"/>
          <w:i/>
        </w:rPr>
        <w:t>via</w:t>
      </w:r>
      <w:r w:rsidRPr="00E91E10">
        <w:rPr>
          <w:rFonts w:eastAsia="Times New Roman" w:cs="Arial"/>
        </w:rPr>
        <w:t xml:space="preserve"> electronic transmission. </w:t>
      </w:r>
    </w:p>
    <w:p w14:paraId="164F4B7E" w14:textId="563854E5" w:rsidR="00E91E10" w:rsidRPr="00E91E10" w:rsidRDefault="00E91E10" w:rsidP="00E91E10">
      <w:pPr>
        <w:tabs>
          <w:tab w:val="center" w:pos="7200"/>
          <w:tab w:val="right" w:pos="9360"/>
        </w:tabs>
        <w:ind w:left="5040"/>
        <w:rPr>
          <w:rFonts w:cs="Arial"/>
          <w:i/>
          <w:u w:val="single"/>
        </w:rPr>
      </w:pPr>
      <w:r w:rsidRPr="00E91E10">
        <w:rPr>
          <w:rFonts w:cs="Arial"/>
          <w:i/>
          <w:u w:val="single"/>
        </w:rPr>
        <w:t xml:space="preserve">/s/ </w:t>
      </w:r>
      <w:r w:rsidR="006606AF">
        <w:rPr>
          <w:rFonts w:cs="Arial"/>
          <w:i/>
          <w:u w:val="single"/>
        </w:rPr>
        <w:t>Frank P. Darr</w:t>
      </w:r>
      <w:r w:rsidR="006606AF">
        <w:rPr>
          <w:rFonts w:cs="Arial"/>
          <w:i/>
          <w:u w:val="single"/>
        </w:rPr>
        <w:tab/>
      </w:r>
      <w:r w:rsidRPr="00E91E10">
        <w:rPr>
          <w:rFonts w:cs="Arial"/>
          <w:i/>
          <w:u w:val="single"/>
        </w:rPr>
        <w:tab/>
      </w:r>
    </w:p>
    <w:p w14:paraId="2CD50451" w14:textId="6EF061AA" w:rsidR="00E91E10" w:rsidRPr="00E91E10" w:rsidRDefault="006606AF" w:rsidP="006606AF">
      <w:pPr>
        <w:ind w:left="5040" w:firstLine="720"/>
        <w:rPr>
          <w:rFonts w:cs="Arial"/>
        </w:rPr>
      </w:pPr>
      <w:r>
        <w:rPr>
          <w:rFonts w:cs="Arial"/>
        </w:rPr>
        <w:t>Frank P. Darr</w:t>
      </w:r>
    </w:p>
    <w:p w14:paraId="031354CC" w14:textId="77777777" w:rsidR="00E91E10" w:rsidRDefault="00E91E10" w:rsidP="00E91E10">
      <w:pPr>
        <w:autoSpaceDE w:val="0"/>
        <w:autoSpaceDN w:val="0"/>
        <w:adjustRightInd w:val="0"/>
        <w:rPr>
          <w:rFonts w:cs="Arial"/>
        </w:rPr>
      </w:pPr>
    </w:p>
    <w:p w14:paraId="16DF9EB0" w14:textId="77777777" w:rsidR="006606AF" w:rsidRPr="00E91E10" w:rsidRDefault="006606AF" w:rsidP="00E91E10">
      <w:pPr>
        <w:autoSpaceDE w:val="0"/>
        <w:autoSpaceDN w:val="0"/>
        <w:adjustRightInd w:val="0"/>
        <w:rPr>
          <w:rFonts w:cs="Arial"/>
        </w:rPr>
        <w:sectPr w:rsidR="006606AF" w:rsidRPr="00E91E10" w:rsidSect="00C040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17A8C086"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Charles J. Faruki</w:t>
      </w:r>
    </w:p>
    <w:p w14:paraId="3FEE80D1"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(Counsel of Record)</w:t>
      </w:r>
    </w:p>
    <w:p w14:paraId="3BD09BE1"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D. Jeffrey Ireland</w:t>
      </w:r>
    </w:p>
    <w:p w14:paraId="4CF8EB4B"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Jeffrey S. Sharkey</w:t>
      </w:r>
    </w:p>
    <w:p w14:paraId="04676CF3"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FARUKI IRELAND &amp; COX P.L.L.</w:t>
      </w:r>
    </w:p>
    <w:p w14:paraId="0ECB4B72"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110 North Main Street, Suite 1600</w:t>
      </w:r>
    </w:p>
    <w:p w14:paraId="281A0B7D"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Dayton, OH 45402</w:t>
      </w:r>
    </w:p>
    <w:p w14:paraId="0A37814C"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cfaruki@ficlaw.com</w:t>
      </w:r>
    </w:p>
    <w:p w14:paraId="0E67EDA5"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djireland@ficlaw.com</w:t>
      </w:r>
    </w:p>
    <w:p w14:paraId="44148CC9"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jsharkey@ficlaw.com</w:t>
      </w:r>
    </w:p>
    <w:p w14:paraId="6369DD8C" w14:textId="77777777" w:rsidR="00E91E10" w:rsidRPr="00E91E10" w:rsidRDefault="00E91E10" w:rsidP="00E91E10">
      <w:pPr>
        <w:autoSpaceDE w:val="0"/>
        <w:autoSpaceDN w:val="0"/>
        <w:adjustRightInd w:val="0"/>
        <w:rPr>
          <w:rFonts w:cs="Arial"/>
          <w:sz w:val="20"/>
          <w:szCs w:val="20"/>
        </w:rPr>
      </w:pPr>
    </w:p>
    <w:p w14:paraId="6F653E97" w14:textId="77777777" w:rsidR="00E91E10" w:rsidRPr="00E91E10" w:rsidRDefault="00E91E10" w:rsidP="00E91E10">
      <w:pPr>
        <w:autoSpaceDE w:val="0"/>
        <w:autoSpaceDN w:val="0"/>
        <w:adjustRightInd w:val="0"/>
        <w:rPr>
          <w:rFonts w:cs="Arial"/>
          <w:b/>
          <w:smallCaps/>
          <w:sz w:val="20"/>
          <w:szCs w:val="20"/>
        </w:rPr>
      </w:pPr>
      <w:r w:rsidRPr="00E91E10">
        <w:rPr>
          <w:rFonts w:cs="Arial"/>
          <w:b/>
          <w:smallCaps/>
          <w:sz w:val="20"/>
          <w:szCs w:val="20"/>
        </w:rPr>
        <w:t>Counsel for The Dayton Power and</w:t>
      </w:r>
    </w:p>
    <w:p w14:paraId="1A1F14EE" w14:textId="77777777" w:rsidR="00E91E10" w:rsidRPr="00E91E10" w:rsidRDefault="00E91E10" w:rsidP="00E91E10">
      <w:pPr>
        <w:rPr>
          <w:rFonts w:cs="Arial"/>
          <w:b/>
          <w:smallCaps/>
          <w:sz w:val="20"/>
          <w:szCs w:val="20"/>
        </w:rPr>
      </w:pPr>
      <w:r w:rsidRPr="00E91E10">
        <w:rPr>
          <w:rFonts w:cs="Arial"/>
          <w:b/>
          <w:smallCaps/>
          <w:sz w:val="20"/>
          <w:szCs w:val="20"/>
        </w:rPr>
        <w:t>Light Company</w:t>
      </w:r>
    </w:p>
    <w:p w14:paraId="35729B7E" w14:textId="77777777" w:rsidR="00E91E10" w:rsidRPr="00E91E10" w:rsidRDefault="00E91E10" w:rsidP="00E91E10">
      <w:pPr>
        <w:rPr>
          <w:rFonts w:cs="Arial"/>
          <w:sz w:val="20"/>
          <w:szCs w:val="20"/>
        </w:rPr>
      </w:pPr>
    </w:p>
    <w:p w14:paraId="08C410FC"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Madeline Fleisher</w:t>
      </w:r>
    </w:p>
    <w:p w14:paraId="64CC4FB6"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Kristin Field</w:t>
      </w:r>
    </w:p>
    <w:p w14:paraId="0D1AF3DA"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Environmental Law &amp; Policy Center</w:t>
      </w:r>
    </w:p>
    <w:p w14:paraId="5E09B9E6"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21 West Broad St., Suite 500</w:t>
      </w:r>
    </w:p>
    <w:p w14:paraId="362DA63D"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Columbus, OH 43215</w:t>
      </w:r>
    </w:p>
    <w:p w14:paraId="104F4B67"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mfleisher@elpc.org</w:t>
      </w:r>
    </w:p>
    <w:p w14:paraId="4D0C6EB5" w14:textId="77777777" w:rsidR="00E91E10" w:rsidRPr="00E91E10" w:rsidRDefault="00E91E10" w:rsidP="00E91E10">
      <w:pPr>
        <w:autoSpaceDE w:val="0"/>
        <w:autoSpaceDN w:val="0"/>
        <w:adjustRightInd w:val="0"/>
        <w:rPr>
          <w:rFonts w:cs="Arial"/>
          <w:iCs/>
          <w:sz w:val="20"/>
          <w:szCs w:val="20"/>
        </w:rPr>
      </w:pPr>
    </w:p>
    <w:p w14:paraId="70FFE9BF" w14:textId="77777777" w:rsidR="00E91E10" w:rsidRPr="00E91E10" w:rsidRDefault="00E91E10" w:rsidP="00E91E10">
      <w:pPr>
        <w:autoSpaceDE w:val="0"/>
        <w:autoSpaceDN w:val="0"/>
        <w:adjustRightInd w:val="0"/>
        <w:rPr>
          <w:rFonts w:ascii="Arial Bold" w:hAnsi="Arial Bold" w:cs="Arial"/>
          <w:b/>
          <w:iCs/>
          <w:smallCaps/>
          <w:sz w:val="20"/>
          <w:szCs w:val="20"/>
        </w:rPr>
      </w:pPr>
      <w:r w:rsidRPr="00E91E10">
        <w:rPr>
          <w:rFonts w:ascii="Arial Bold" w:hAnsi="Arial Bold" w:cs="Arial"/>
          <w:b/>
          <w:iCs/>
          <w:smallCaps/>
          <w:sz w:val="20"/>
          <w:szCs w:val="20"/>
        </w:rPr>
        <w:t>Counsel for the Environmental Law &amp;</w:t>
      </w:r>
    </w:p>
    <w:p w14:paraId="24B735FB" w14:textId="77777777" w:rsidR="00E91E10" w:rsidRPr="00E91E10" w:rsidRDefault="00E91E10" w:rsidP="00E91E10">
      <w:pPr>
        <w:rPr>
          <w:rFonts w:ascii="Arial Bold" w:hAnsi="Arial Bold" w:cs="Arial"/>
          <w:b/>
          <w:iCs/>
          <w:smallCaps/>
          <w:sz w:val="20"/>
          <w:szCs w:val="20"/>
        </w:rPr>
      </w:pPr>
      <w:r w:rsidRPr="00E91E10">
        <w:rPr>
          <w:rFonts w:ascii="Arial Bold" w:hAnsi="Arial Bold" w:cs="Arial"/>
          <w:b/>
          <w:iCs/>
          <w:smallCaps/>
          <w:sz w:val="20"/>
          <w:szCs w:val="20"/>
        </w:rPr>
        <w:t>Policy Center</w:t>
      </w:r>
    </w:p>
    <w:p w14:paraId="239E9FBF" w14:textId="77777777" w:rsidR="00E91E10" w:rsidRPr="00E91E10" w:rsidRDefault="00E91E10" w:rsidP="00E91E10">
      <w:pPr>
        <w:rPr>
          <w:rFonts w:cs="Arial"/>
          <w:sz w:val="20"/>
          <w:szCs w:val="20"/>
        </w:rPr>
      </w:pPr>
    </w:p>
    <w:p w14:paraId="176339C2"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Jeffrey W. Mayes</w:t>
      </w:r>
    </w:p>
    <w:p w14:paraId="54AB7302"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General Counsel</w:t>
      </w:r>
    </w:p>
    <w:p w14:paraId="50680205"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Monitoring Analytics, LLC</w:t>
      </w:r>
    </w:p>
    <w:p w14:paraId="4122620B"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2621 Van Buren Avenue, Suite 160</w:t>
      </w:r>
    </w:p>
    <w:p w14:paraId="5F180CDF"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Valley Forge Corporate Center</w:t>
      </w:r>
    </w:p>
    <w:p w14:paraId="38B2AECA"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Eagleville, PA  19403</w:t>
      </w:r>
    </w:p>
    <w:p w14:paraId="39E844D0" w14:textId="77777777" w:rsidR="00E91E10" w:rsidRPr="00E91E10" w:rsidRDefault="007634D7" w:rsidP="00E91E10">
      <w:pPr>
        <w:rPr>
          <w:rFonts w:cs="Arial"/>
          <w:iCs/>
          <w:sz w:val="20"/>
          <w:szCs w:val="20"/>
        </w:rPr>
      </w:pPr>
      <w:hyperlink r:id="rId15" w:history="1">
        <w:r w:rsidR="00E91E10" w:rsidRPr="00E91E10">
          <w:rPr>
            <w:rFonts w:cs="Arial"/>
            <w:iCs/>
            <w:sz w:val="20"/>
            <w:szCs w:val="20"/>
          </w:rPr>
          <w:t>jeffrey.mayes@monitoringanalytics.com</w:t>
        </w:r>
      </w:hyperlink>
    </w:p>
    <w:p w14:paraId="1EA4B9B4" w14:textId="77777777" w:rsidR="00E91E10" w:rsidRPr="00E91E10" w:rsidRDefault="00E91E10" w:rsidP="00E91E10">
      <w:pPr>
        <w:rPr>
          <w:rFonts w:cs="Arial"/>
          <w:iCs/>
          <w:sz w:val="20"/>
          <w:szCs w:val="20"/>
        </w:rPr>
      </w:pPr>
    </w:p>
    <w:p w14:paraId="3074F593" w14:textId="77777777" w:rsidR="00E91E10" w:rsidRPr="00E91E10" w:rsidRDefault="00E91E10" w:rsidP="00E91E10">
      <w:pPr>
        <w:rPr>
          <w:rFonts w:ascii="Arial Bold" w:hAnsi="Arial Bold" w:cs="Arial"/>
          <w:b/>
          <w:iCs/>
          <w:smallCaps/>
          <w:sz w:val="20"/>
          <w:szCs w:val="20"/>
        </w:rPr>
      </w:pPr>
      <w:r w:rsidRPr="00E91E10">
        <w:rPr>
          <w:rFonts w:ascii="Arial Bold" w:hAnsi="Arial Bold" w:cs="Arial"/>
          <w:b/>
          <w:iCs/>
          <w:smallCaps/>
          <w:sz w:val="20"/>
          <w:szCs w:val="20"/>
        </w:rPr>
        <w:t>Counsel for Monitoring Analytics, LLC</w:t>
      </w:r>
    </w:p>
    <w:p w14:paraId="11FDD150"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br w:type="column"/>
      </w:r>
      <w:r w:rsidRPr="00E91E10">
        <w:rPr>
          <w:rFonts w:cs="Arial"/>
          <w:sz w:val="20"/>
          <w:szCs w:val="20"/>
        </w:rPr>
        <w:t>Evelyn R. Robinson</w:t>
      </w:r>
    </w:p>
    <w:p w14:paraId="5153936C"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PJM Interconnection, L.L.C.</w:t>
      </w:r>
    </w:p>
    <w:p w14:paraId="0E4B7A44"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2750 Monroe Boulevard</w:t>
      </w:r>
    </w:p>
    <w:p w14:paraId="009E48FD"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Audubon, PA 19403</w:t>
      </w:r>
    </w:p>
    <w:p w14:paraId="5362D3EC" w14:textId="77777777" w:rsidR="00E91E10" w:rsidRPr="00E91E10" w:rsidRDefault="007634D7" w:rsidP="00E91E10">
      <w:pPr>
        <w:rPr>
          <w:rFonts w:cs="Arial"/>
          <w:iCs/>
          <w:sz w:val="20"/>
          <w:szCs w:val="20"/>
        </w:rPr>
      </w:pPr>
      <w:hyperlink r:id="rId16" w:history="1">
        <w:r w:rsidR="00E91E10" w:rsidRPr="00E91E10">
          <w:rPr>
            <w:rFonts w:cs="Arial"/>
            <w:iCs/>
            <w:sz w:val="20"/>
            <w:szCs w:val="20"/>
          </w:rPr>
          <w:t>evelyn.robinson@pjm.com</w:t>
        </w:r>
      </w:hyperlink>
    </w:p>
    <w:p w14:paraId="1168DF8D" w14:textId="77777777" w:rsidR="00E91E10" w:rsidRPr="00E91E10" w:rsidRDefault="00E91E10" w:rsidP="00E91E10">
      <w:pPr>
        <w:rPr>
          <w:rFonts w:cs="Arial"/>
          <w:iCs/>
          <w:sz w:val="20"/>
          <w:szCs w:val="20"/>
        </w:rPr>
      </w:pPr>
    </w:p>
    <w:p w14:paraId="7F54E8DA" w14:textId="77777777" w:rsidR="00E91E10" w:rsidRPr="00E91E10" w:rsidRDefault="00E91E10" w:rsidP="00E91E10">
      <w:pPr>
        <w:autoSpaceDE w:val="0"/>
        <w:autoSpaceDN w:val="0"/>
        <w:adjustRightInd w:val="0"/>
        <w:rPr>
          <w:rFonts w:ascii="Arial Bold" w:hAnsi="Arial Bold" w:cs="Arial"/>
          <w:b/>
          <w:iCs/>
          <w:smallCaps/>
          <w:sz w:val="20"/>
          <w:szCs w:val="20"/>
        </w:rPr>
      </w:pPr>
      <w:r w:rsidRPr="00E91E10">
        <w:rPr>
          <w:rFonts w:ascii="Arial Bold" w:hAnsi="Arial Bold" w:cs="Arial"/>
          <w:b/>
          <w:iCs/>
          <w:smallCaps/>
          <w:sz w:val="20"/>
          <w:szCs w:val="20"/>
        </w:rPr>
        <w:t>Counsel for PJM Interconnection, L.L.C.</w:t>
      </w:r>
    </w:p>
    <w:p w14:paraId="77760215" w14:textId="77777777" w:rsidR="00E91E10" w:rsidRPr="00E91E10" w:rsidRDefault="00E91E10" w:rsidP="00E91E10">
      <w:pPr>
        <w:rPr>
          <w:rFonts w:cs="Arial"/>
          <w:iCs/>
          <w:sz w:val="20"/>
          <w:szCs w:val="20"/>
        </w:rPr>
      </w:pPr>
    </w:p>
    <w:p w14:paraId="053AC875"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David F. Boehm, Esq.</w:t>
      </w:r>
    </w:p>
    <w:p w14:paraId="3B28E87A"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Michael L. Kurtz, Esq.</w:t>
      </w:r>
    </w:p>
    <w:p w14:paraId="2B6B5E19"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Kurt J. Boehm, Esq.</w:t>
      </w:r>
    </w:p>
    <w:p w14:paraId="5105AD63"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Jody Kyler Cohn, Esq.</w:t>
      </w:r>
    </w:p>
    <w:p w14:paraId="61D993AB"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Boehm, Kurtz &amp; Lowry</w:t>
      </w:r>
    </w:p>
    <w:p w14:paraId="7302E5C1"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36 East Seventh Street, Suite 1510</w:t>
      </w:r>
    </w:p>
    <w:p w14:paraId="513506C3"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Cincinnati, OH  45202</w:t>
      </w:r>
    </w:p>
    <w:p w14:paraId="7A51452C"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dboehm@BKLlawfirm.com mkurtzt@BKLlawfirm.com</w:t>
      </w:r>
    </w:p>
    <w:p w14:paraId="1AD79D20"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kboehm@BKLlawfirm.com</w:t>
      </w:r>
    </w:p>
    <w:p w14:paraId="5CB39D14"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jkylercohn@BKLlawfirm.com</w:t>
      </w:r>
    </w:p>
    <w:p w14:paraId="719DFAE7" w14:textId="77777777" w:rsidR="00E91E10" w:rsidRPr="00E91E10" w:rsidRDefault="00E91E10" w:rsidP="00E91E10">
      <w:pPr>
        <w:rPr>
          <w:rFonts w:cs="Arial"/>
          <w:sz w:val="20"/>
          <w:szCs w:val="20"/>
        </w:rPr>
      </w:pPr>
    </w:p>
    <w:p w14:paraId="54AF6CAC"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Ohio Energy Group</w:t>
      </w:r>
    </w:p>
    <w:p w14:paraId="68E8ECF5" w14:textId="77777777" w:rsidR="00E91E10" w:rsidRPr="00E91E10" w:rsidRDefault="00E91E10" w:rsidP="00E91E10">
      <w:pPr>
        <w:rPr>
          <w:rFonts w:cs="Arial"/>
          <w:sz w:val="20"/>
          <w:szCs w:val="20"/>
        </w:rPr>
      </w:pPr>
    </w:p>
    <w:p w14:paraId="4AD7511D"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Kevin R. Schmidt (Reg. No. 0086722)</w:t>
      </w:r>
    </w:p>
    <w:p w14:paraId="414FA4C5"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Strategic Public Partners</w:t>
      </w:r>
    </w:p>
    <w:p w14:paraId="2770EE3D"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88 East Broad Street, Suite 1770</w:t>
      </w:r>
    </w:p>
    <w:p w14:paraId="32705761"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Columbus, OH  43215</w:t>
      </w:r>
    </w:p>
    <w:p w14:paraId="1AD4E714" w14:textId="77777777" w:rsidR="00E91E10" w:rsidRPr="00E91E10" w:rsidRDefault="00E91E10" w:rsidP="00E91E10">
      <w:pPr>
        <w:autoSpaceDE w:val="0"/>
        <w:autoSpaceDN w:val="0"/>
        <w:adjustRightInd w:val="0"/>
        <w:rPr>
          <w:rFonts w:cs="Arial"/>
          <w:sz w:val="20"/>
          <w:szCs w:val="20"/>
        </w:rPr>
      </w:pPr>
      <w:r w:rsidRPr="00E91E10">
        <w:rPr>
          <w:rFonts w:cs="Arial"/>
          <w:sz w:val="20"/>
          <w:szCs w:val="20"/>
        </w:rPr>
        <w:t>schmidt@sppgrp.com</w:t>
      </w:r>
    </w:p>
    <w:p w14:paraId="74B19EA3" w14:textId="77777777" w:rsidR="00E91E10" w:rsidRPr="00E91E10" w:rsidRDefault="00E91E10" w:rsidP="00E91E10">
      <w:pPr>
        <w:rPr>
          <w:rFonts w:cs="Arial"/>
          <w:sz w:val="20"/>
          <w:szCs w:val="20"/>
        </w:rPr>
      </w:pPr>
    </w:p>
    <w:p w14:paraId="5D1FD224"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Energy Professionals of Ohio</w:t>
      </w:r>
    </w:p>
    <w:p w14:paraId="28CDA3E5" w14:textId="77777777" w:rsidR="00E91E10" w:rsidRPr="00E91E10" w:rsidRDefault="00E91E10" w:rsidP="00E91E10">
      <w:pPr>
        <w:rPr>
          <w:rFonts w:cs="Arial"/>
          <w:sz w:val="20"/>
          <w:szCs w:val="20"/>
        </w:rPr>
      </w:pPr>
    </w:p>
    <w:p w14:paraId="7415427C" w14:textId="77777777" w:rsidR="00E91E10" w:rsidRPr="00E91E10" w:rsidRDefault="00E91E10" w:rsidP="00E91E10">
      <w:pPr>
        <w:rPr>
          <w:rFonts w:cs="Arial"/>
          <w:sz w:val="20"/>
          <w:szCs w:val="20"/>
        </w:rPr>
      </w:pPr>
      <w:r w:rsidRPr="00E91E10">
        <w:rPr>
          <w:rFonts w:cs="Arial"/>
          <w:sz w:val="20"/>
          <w:szCs w:val="20"/>
        </w:rPr>
        <w:br w:type="column"/>
      </w:r>
      <w:r w:rsidRPr="00E91E10">
        <w:rPr>
          <w:rFonts w:cs="Arial"/>
          <w:sz w:val="20"/>
          <w:szCs w:val="20"/>
        </w:rPr>
        <w:lastRenderedPageBreak/>
        <w:t>William J. Michael</w:t>
      </w:r>
    </w:p>
    <w:p w14:paraId="6EA47506" w14:textId="77777777" w:rsidR="00E91E10" w:rsidRPr="00E91E10" w:rsidRDefault="00E91E10" w:rsidP="00E91E10">
      <w:pPr>
        <w:rPr>
          <w:rFonts w:cs="Arial"/>
          <w:sz w:val="20"/>
          <w:szCs w:val="20"/>
        </w:rPr>
      </w:pPr>
      <w:r w:rsidRPr="00E91E10">
        <w:rPr>
          <w:rFonts w:cs="Arial"/>
          <w:sz w:val="20"/>
          <w:szCs w:val="20"/>
        </w:rPr>
        <w:t>Counsel of Record</w:t>
      </w:r>
    </w:p>
    <w:p w14:paraId="362A4943" w14:textId="77777777" w:rsidR="00E91E10" w:rsidRPr="00E91E10" w:rsidRDefault="00E91E10" w:rsidP="00E91E10">
      <w:pPr>
        <w:rPr>
          <w:rFonts w:cs="Arial"/>
          <w:sz w:val="20"/>
          <w:szCs w:val="20"/>
        </w:rPr>
      </w:pPr>
      <w:r w:rsidRPr="00E91E10">
        <w:rPr>
          <w:rFonts w:cs="Arial"/>
          <w:sz w:val="20"/>
          <w:szCs w:val="20"/>
        </w:rPr>
        <w:t>Kevin F. Moore</w:t>
      </w:r>
    </w:p>
    <w:p w14:paraId="0F496057" w14:textId="77777777" w:rsidR="00E91E10" w:rsidRPr="00E91E10" w:rsidRDefault="00E91E10" w:rsidP="00E91E10">
      <w:pPr>
        <w:rPr>
          <w:rFonts w:cs="Arial"/>
          <w:sz w:val="20"/>
          <w:szCs w:val="20"/>
        </w:rPr>
      </w:pPr>
      <w:r w:rsidRPr="00E91E10">
        <w:rPr>
          <w:rFonts w:cs="Arial"/>
          <w:sz w:val="20"/>
          <w:szCs w:val="20"/>
        </w:rPr>
        <w:t>Ajay Kumar</w:t>
      </w:r>
    </w:p>
    <w:p w14:paraId="0D01AAA6" w14:textId="77777777" w:rsidR="00E91E10" w:rsidRPr="00E91E10" w:rsidRDefault="00E91E10" w:rsidP="00E91E10">
      <w:pPr>
        <w:rPr>
          <w:rFonts w:cs="Arial"/>
          <w:sz w:val="20"/>
          <w:szCs w:val="20"/>
        </w:rPr>
      </w:pPr>
      <w:r w:rsidRPr="00E91E10">
        <w:rPr>
          <w:rFonts w:cs="Arial"/>
          <w:sz w:val="20"/>
          <w:szCs w:val="20"/>
        </w:rPr>
        <w:t>10 West Broad Street, Suite 1800</w:t>
      </w:r>
    </w:p>
    <w:p w14:paraId="13FC48E5" w14:textId="77777777" w:rsidR="00E91E10" w:rsidRPr="00E91E10" w:rsidRDefault="00E91E10" w:rsidP="00E91E10">
      <w:pPr>
        <w:rPr>
          <w:rFonts w:cs="Arial"/>
          <w:sz w:val="20"/>
          <w:szCs w:val="20"/>
        </w:rPr>
      </w:pPr>
      <w:r w:rsidRPr="00E91E10">
        <w:rPr>
          <w:rFonts w:cs="Arial"/>
          <w:sz w:val="20"/>
          <w:szCs w:val="20"/>
        </w:rPr>
        <w:t>Columbus, OH  43215-3485</w:t>
      </w:r>
    </w:p>
    <w:p w14:paraId="50854192" w14:textId="77777777" w:rsidR="00E91E10" w:rsidRPr="00E91E10" w:rsidRDefault="007634D7" w:rsidP="00E91E10">
      <w:pPr>
        <w:rPr>
          <w:rFonts w:cs="Arial"/>
          <w:sz w:val="20"/>
          <w:szCs w:val="20"/>
        </w:rPr>
      </w:pPr>
      <w:hyperlink r:id="rId17" w:history="1">
        <w:r w:rsidR="00E91E10" w:rsidRPr="00E91E10">
          <w:rPr>
            <w:rFonts w:cs="Arial"/>
            <w:sz w:val="20"/>
            <w:szCs w:val="20"/>
          </w:rPr>
          <w:t>William.Michael@occ.ohio.gov</w:t>
        </w:r>
      </w:hyperlink>
    </w:p>
    <w:p w14:paraId="233169B7" w14:textId="77777777" w:rsidR="00E91E10" w:rsidRPr="00E91E10" w:rsidRDefault="007634D7" w:rsidP="00E91E10">
      <w:pPr>
        <w:rPr>
          <w:rFonts w:cs="Arial"/>
          <w:sz w:val="20"/>
          <w:szCs w:val="20"/>
        </w:rPr>
      </w:pPr>
      <w:hyperlink r:id="rId18" w:history="1">
        <w:r w:rsidR="00E91E10" w:rsidRPr="00E91E10">
          <w:rPr>
            <w:rFonts w:cs="Arial"/>
            <w:sz w:val="20"/>
            <w:szCs w:val="20"/>
          </w:rPr>
          <w:t>Kevin.Moore@occ.ohio.gov</w:t>
        </w:r>
      </w:hyperlink>
    </w:p>
    <w:p w14:paraId="39B145A2" w14:textId="77777777" w:rsidR="00E91E10" w:rsidRPr="00E91E10" w:rsidRDefault="00E91E10" w:rsidP="00E91E10">
      <w:pPr>
        <w:rPr>
          <w:rFonts w:cs="Arial"/>
          <w:sz w:val="20"/>
          <w:szCs w:val="20"/>
        </w:rPr>
      </w:pPr>
      <w:r w:rsidRPr="00E91E10">
        <w:rPr>
          <w:rFonts w:cs="Arial"/>
          <w:sz w:val="20"/>
          <w:szCs w:val="20"/>
        </w:rPr>
        <w:t>ajay.kumar@occ.ohio.gov</w:t>
      </w:r>
    </w:p>
    <w:p w14:paraId="60C91B83" w14:textId="77777777" w:rsidR="00E91E10" w:rsidRPr="00E91E10" w:rsidRDefault="00E91E10" w:rsidP="00E91E10">
      <w:pPr>
        <w:rPr>
          <w:rFonts w:cs="Arial"/>
          <w:sz w:val="20"/>
          <w:szCs w:val="20"/>
        </w:rPr>
      </w:pPr>
    </w:p>
    <w:p w14:paraId="1E314B41"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Office of the Ohio Consumers’ Counsel</w:t>
      </w:r>
    </w:p>
    <w:p w14:paraId="6420CE35" w14:textId="77777777" w:rsidR="00E91E10" w:rsidRPr="00E91E10" w:rsidRDefault="00E91E10" w:rsidP="00E91E10">
      <w:pPr>
        <w:rPr>
          <w:rFonts w:cs="Arial"/>
          <w:sz w:val="20"/>
          <w:szCs w:val="20"/>
        </w:rPr>
      </w:pPr>
    </w:p>
    <w:p w14:paraId="5993C009" w14:textId="77777777" w:rsidR="00E91E10" w:rsidRPr="00E91E10" w:rsidRDefault="00E91E10" w:rsidP="00E91E10">
      <w:pPr>
        <w:rPr>
          <w:rFonts w:cs="Arial"/>
          <w:sz w:val="20"/>
          <w:szCs w:val="20"/>
        </w:rPr>
      </w:pPr>
      <w:r w:rsidRPr="00E91E10">
        <w:rPr>
          <w:rFonts w:cs="Arial"/>
          <w:sz w:val="20"/>
          <w:szCs w:val="20"/>
        </w:rPr>
        <w:t>Angela Paul Whitfield</w:t>
      </w:r>
    </w:p>
    <w:p w14:paraId="143B11FB" w14:textId="77777777" w:rsidR="00E91E10" w:rsidRPr="00E91E10" w:rsidRDefault="00E91E10" w:rsidP="00E91E10">
      <w:pPr>
        <w:rPr>
          <w:rFonts w:cs="Arial"/>
          <w:sz w:val="20"/>
          <w:szCs w:val="20"/>
        </w:rPr>
      </w:pPr>
      <w:r w:rsidRPr="00E91E10">
        <w:rPr>
          <w:rFonts w:cs="Arial"/>
          <w:sz w:val="20"/>
          <w:szCs w:val="20"/>
        </w:rPr>
        <w:t>Carpenter Lipps &amp; Leland LLP</w:t>
      </w:r>
    </w:p>
    <w:p w14:paraId="392D9590" w14:textId="77777777" w:rsidR="00E91E10" w:rsidRPr="00E91E10" w:rsidRDefault="00E91E10" w:rsidP="00E91E10">
      <w:pPr>
        <w:rPr>
          <w:rFonts w:cs="Arial"/>
          <w:sz w:val="20"/>
          <w:szCs w:val="20"/>
        </w:rPr>
      </w:pPr>
      <w:r w:rsidRPr="00E91E10">
        <w:rPr>
          <w:rFonts w:cs="Arial"/>
          <w:sz w:val="20"/>
          <w:szCs w:val="20"/>
        </w:rPr>
        <w:t>280 Plaza, Suite 1300</w:t>
      </w:r>
    </w:p>
    <w:p w14:paraId="24CF84D0" w14:textId="77777777" w:rsidR="00E91E10" w:rsidRPr="00E91E10" w:rsidRDefault="00E91E10" w:rsidP="00E91E10">
      <w:pPr>
        <w:rPr>
          <w:rFonts w:cs="Arial"/>
          <w:sz w:val="20"/>
          <w:szCs w:val="20"/>
        </w:rPr>
      </w:pPr>
      <w:r w:rsidRPr="00E91E10">
        <w:rPr>
          <w:rFonts w:cs="Arial"/>
          <w:sz w:val="20"/>
          <w:szCs w:val="20"/>
        </w:rPr>
        <w:t>280 North High Street</w:t>
      </w:r>
    </w:p>
    <w:p w14:paraId="4826EEB0" w14:textId="77777777" w:rsidR="00E91E10" w:rsidRPr="00E91E10" w:rsidRDefault="00E91E10" w:rsidP="00E91E10">
      <w:pPr>
        <w:rPr>
          <w:rFonts w:cs="Arial"/>
          <w:sz w:val="20"/>
          <w:szCs w:val="20"/>
        </w:rPr>
      </w:pPr>
      <w:r w:rsidRPr="00E91E10">
        <w:rPr>
          <w:rFonts w:cs="Arial"/>
          <w:sz w:val="20"/>
          <w:szCs w:val="20"/>
        </w:rPr>
        <w:t>Columbus, OH  43215</w:t>
      </w:r>
    </w:p>
    <w:p w14:paraId="189FA896" w14:textId="77777777" w:rsidR="00E91E10" w:rsidRPr="00E91E10" w:rsidRDefault="00E91E10" w:rsidP="00E91E10">
      <w:pPr>
        <w:rPr>
          <w:rFonts w:cs="Arial"/>
          <w:sz w:val="20"/>
          <w:szCs w:val="20"/>
        </w:rPr>
      </w:pPr>
      <w:r w:rsidRPr="00E91E10">
        <w:rPr>
          <w:rFonts w:cs="Arial"/>
          <w:sz w:val="20"/>
          <w:szCs w:val="20"/>
        </w:rPr>
        <w:t>paul@carpenterlipps.com</w:t>
      </w:r>
    </w:p>
    <w:p w14:paraId="40134361" w14:textId="77777777" w:rsidR="00E91E10" w:rsidRPr="00E91E10" w:rsidRDefault="00E91E10" w:rsidP="00E91E10">
      <w:pPr>
        <w:rPr>
          <w:rFonts w:cs="Arial"/>
          <w:sz w:val="20"/>
          <w:szCs w:val="20"/>
        </w:rPr>
      </w:pPr>
    </w:p>
    <w:p w14:paraId="3E0CC59E"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The Kroger Co.</w:t>
      </w:r>
    </w:p>
    <w:p w14:paraId="0B060F06" w14:textId="77777777" w:rsidR="00E91E10" w:rsidRPr="00E91E10" w:rsidRDefault="00E91E10" w:rsidP="00E91E10">
      <w:pPr>
        <w:rPr>
          <w:rFonts w:cs="Arial"/>
          <w:sz w:val="20"/>
          <w:szCs w:val="20"/>
        </w:rPr>
      </w:pPr>
    </w:p>
    <w:p w14:paraId="027B1DBE" w14:textId="77777777" w:rsidR="00E91E10" w:rsidRPr="00E91E10" w:rsidRDefault="00E91E10" w:rsidP="00E91E10">
      <w:pPr>
        <w:rPr>
          <w:rFonts w:cs="Arial"/>
          <w:sz w:val="20"/>
          <w:szCs w:val="20"/>
        </w:rPr>
      </w:pPr>
      <w:r w:rsidRPr="00E91E10">
        <w:rPr>
          <w:rFonts w:cs="Arial"/>
          <w:sz w:val="20"/>
          <w:szCs w:val="20"/>
        </w:rPr>
        <w:t>Kimberly W. Bojko</w:t>
      </w:r>
    </w:p>
    <w:p w14:paraId="4830BD37" w14:textId="77777777" w:rsidR="00E91E10" w:rsidRPr="00E91E10" w:rsidRDefault="00E91E10" w:rsidP="00E91E10">
      <w:pPr>
        <w:rPr>
          <w:rFonts w:cs="Arial"/>
          <w:sz w:val="20"/>
          <w:szCs w:val="20"/>
        </w:rPr>
      </w:pPr>
      <w:r w:rsidRPr="00E91E10">
        <w:rPr>
          <w:rFonts w:cs="Arial"/>
          <w:sz w:val="20"/>
          <w:szCs w:val="20"/>
        </w:rPr>
        <w:t>James D. Perko, Jr.</w:t>
      </w:r>
    </w:p>
    <w:p w14:paraId="10D7D3DB" w14:textId="77777777" w:rsidR="00E91E10" w:rsidRPr="00E91E10" w:rsidRDefault="00E91E10" w:rsidP="00E91E10">
      <w:pPr>
        <w:rPr>
          <w:rFonts w:cs="Arial"/>
          <w:sz w:val="20"/>
          <w:szCs w:val="20"/>
        </w:rPr>
      </w:pPr>
      <w:r w:rsidRPr="00E91E10">
        <w:rPr>
          <w:rFonts w:cs="Arial"/>
          <w:sz w:val="20"/>
          <w:szCs w:val="20"/>
        </w:rPr>
        <w:t>Carpenter Lipps &amp; Leland LLP</w:t>
      </w:r>
    </w:p>
    <w:p w14:paraId="42E7401E" w14:textId="77777777" w:rsidR="00E91E10" w:rsidRPr="00E91E10" w:rsidRDefault="00E91E10" w:rsidP="00E91E10">
      <w:pPr>
        <w:rPr>
          <w:rFonts w:cs="Arial"/>
          <w:sz w:val="20"/>
          <w:szCs w:val="20"/>
        </w:rPr>
      </w:pPr>
      <w:r w:rsidRPr="00E91E10">
        <w:rPr>
          <w:rFonts w:cs="Arial"/>
          <w:sz w:val="20"/>
          <w:szCs w:val="20"/>
        </w:rPr>
        <w:t>280 North High Street, Suite 1300</w:t>
      </w:r>
    </w:p>
    <w:p w14:paraId="3C938448" w14:textId="77777777" w:rsidR="00E91E10" w:rsidRPr="00E91E10" w:rsidRDefault="00E91E10" w:rsidP="00E91E10">
      <w:pPr>
        <w:rPr>
          <w:rFonts w:cs="Arial"/>
          <w:sz w:val="20"/>
          <w:szCs w:val="20"/>
        </w:rPr>
      </w:pPr>
      <w:r w:rsidRPr="00E91E10">
        <w:rPr>
          <w:rFonts w:cs="Arial"/>
          <w:sz w:val="20"/>
          <w:szCs w:val="20"/>
        </w:rPr>
        <w:t>Columbus, OH  43215</w:t>
      </w:r>
    </w:p>
    <w:p w14:paraId="02469FA4" w14:textId="77777777" w:rsidR="00E91E10" w:rsidRPr="00E91E10" w:rsidRDefault="007634D7" w:rsidP="00E91E10">
      <w:pPr>
        <w:rPr>
          <w:rFonts w:cs="Arial"/>
          <w:sz w:val="20"/>
          <w:szCs w:val="20"/>
        </w:rPr>
      </w:pPr>
      <w:hyperlink r:id="rId19" w:history="1">
        <w:r w:rsidR="00E91E10" w:rsidRPr="00E91E10">
          <w:rPr>
            <w:rFonts w:cs="Arial"/>
            <w:sz w:val="20"/>
            <w:szCs w:val="20"/>
          </w:rPr>
          <w:t>Bojko@carpenterlipps.com</w:t>
        </w:r>
      </w:hyperlink>
    </w:p>
    <w:p w14:paraId="6A67161D" w14:textId="77777777" w:rsidR="00E91E10" w:rsidRPr="00E91E10" w:rsidRDefault="007634D7" w:rsidP="00E91E10">
      <w:pPr>
        <w:rPr>
          <w:rFonts w:cs="Arial"/>
          <w:sz w:val="20"/>
          <w:szCs w:val="20"/>
        </w:rPr>
      </w:pPr>
      <w:hyperlink r:id="rId20" w:history="1">
        <w:r w:rsidR="00E91E10" w:rsidRPr="00E91E10">
          <w:rPr>
            <w:rFonts w:cs="Arial"/>
            <w:color w:val="0000FF" w:themeColor="hyperlink"/>
            <w:sz w:val="20"/>
            <w:szCs w:val="20"/>
            <w:u w:val="single"/>
          </w:rPr>
          <w:t>perko@carpenterlipps.com</w:t>
        </w:r>
      </w:hyperlink>
    </w:p>
    <w:p w14:paraId="0FC857F1" w14:textId="77777777" w:rsidR="00E91E10" w:rsidRPr="00E91E10" w:rsidRDefault="00E91E10" w:rsidP="00E91E10">
      <w:pPr>
        <w:rPr>
          <w:rFonts w:cs="Arial"/>
          <w:sz w:val="20"/>
          <w:szCs w:val="20"/>
        </w:rPr>
      </w:pPr>
    </w:p>
    <w:p w14:paraId="13E27745"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the Ohio Manufacturers’ Association Energy Group</w:t>
      </w:r>
    </w:p>
    <w:p w14:paraId="720646D0" w14:textId="77777777" w:rsidR="00E91E10" w:rsidRPr="00E91E10" w:rsidRDefault="00E91E10" w:rsidP="00E91E10">
      <w:pPr>
        <w:rPr>
          <w:rFonts w:cs="Arial"/>
          <w:sz w:val="20"/>
          <w:szCs w:val="20"/>
        </w:rPr>
      </w:pPr>
    </w:p>
    <w:p w14:paraId="75D794F7" w14:textId="77777777" w:rsidR="00E91E10" w:rsidRPr="00E91E10" w:rsidRDefault="00E91E10" w:rsidP="00E91E10">
      <w:pPr>
        <w:rPr>
          <w:rFonts w:cs="Arial"/>
          <w:sz w:val="20"/>
          <w:szCs w:val="20"/>
        </w:rPr>
      </w:pPr>
      <w:r w:rsidRPr="00E91E10">
        <w:rPr>
          <w:rFonts w:cs="Arial"/>
          <w:sz w:val="20"/>
          <w:szCs w:val="20"/>
        </w:rPr>
        <w:t>Michael J. Settineri</w:t>
      </w:r>
    </w:p>
    <w:p w14:paraId="6A7ACE39" w14:textId="77777777" w:rsidR="00E91E10" w:rsidRPr="00E91E10" w:rsidRDefault="00E91E10" w:rsidP="00E91E10">
      <w:pPr>
        <w:rPr>
          <w:rFonts w:cs="Arial"/>
          <w:sz w:val="20"/>
          <w:szCs w:val="20"/>
        </w:rPr>
      </w:pPr>
      <w:r w:rsidRPr="00E91E10">
        <w:rPr>
          <w:rFonts w:cs="Arial"/>
          <w:sz w:val="20"/>
          <w:szCs w:val="20"/>
        </w:rPr>
        <w:t>Stephen M. Howard</w:t>
      </w:r>
    </w:p>
    <w:p w14:paraId="044662B6" w14:textId="77777777" w:rsidR="00E91E10" w:rsidRPr="00E91E10" w:rsidRDefault="00E91E10" w:rsidP="00E91E10">
      <w:pPr>
        <w:rPr>
          <w:rFonts w:cs="Arial"/>
          <w:sz w:val="20"/>
          <w:szCs w:val="20"/>
        </w:rPr>
      </w:pPr>
      <w:r w:rsidRPr="00E91E10">
        <w:rPr>
          <w:rFonts w:cs="Arial"/>
          <w:sz w:val="20"/>
          <w:szCs w:val="20"/>
        </w:rPr>
        <w:t>Gretchen L. Petrucci</w:t>
      </w:r>
    </w:p>
    <w:p w14:paraId="1B459937" w14:textId="77777777" w:rsidR="00E91E10" w:rsidRPr="00E91E10" w:rsidRDefault="00E91E10" w:rsidP="00E91E10">
      <w:pPr>
        <w:rPr>
          <w:rFonts w:cs="Arial"/>
          <w:sz w:val="20"/>
          <w:szCs w:val="20"/>
        </w:rPr>
      </w:pPr>
      <w:r w:rsidRPr="00E91E10">
        <w:rPr>
          <w:rFonts w:cs="Arial"/>
          <w:sz w:val="20"/>
          <w:szCs w:val="20"/>
        </w:rPr>
        <w:t>Ilya Batikov</w:t>
      </w:r>
    </w:p>
    <w:p w14:paraId="58139631" w14:textId="77777777" w:rsidR="00E91E10" w:rsidRPr="00E91E10" w:rsidRDefault="00E91E10" w:rsidP="00E91E10">
      <w:pPr>
        <w:rPr>
          <w:rFonts w:cs="Arial"/>
          <w:sz w:val="20"/>
          <w:szCs w:val="20"/>
        </w:rPr>
      </w:pPr>
      <w:r w:rsidRPr="00E91E10">
        <w:rPr>
          <w:rFonts w:cs="Arial"/>
          <w:sz w:val="20"/>
          <w:szCs w:val="20"/>
        </w:rPr>
        <w:t>Vorys, Sater, Seymour and Pease LLP</w:t>
      </w:r>
    </w:p>
    <w:p w14:paraId="0275AD05" w14:textId="77777777" w:rsidR="00E91E10" w:rsidRPr="00E91E10" w:rsidRDefault="00E91E10" w:rsidP="00E91E10">
      <w:pPr>
        <w:rPr>
          <w:rFonts w:cs="Arial"/>
          <w:sz w:val="20"/>
          <w:szCs w:val="20"/>
        </w:rPr>
      </w:pPr>
      <w:r w:rsidRPr="00E91E10">
        <w:rPr>
          <w:rFonts w:cs="Arial"/>
          <w:sz w:val="20"/>
          <w:szCs w:val="20"/>
        </w:rPr>
        <w:t>52 E. Gay Street</w:t>
      </w:r>
    </w:p>
    <w:p w14:paraId="777B5CC6" w14:textId="77777777" w:rsidR="00E91E10" w:rsidRPr="00E91E10" w:rsidRDefault="00E91E10" w:rsidP="00E91E10">
      <w:pPr>
        <w:rPr>
          <w:rFonts w:cs="Arial"/>
          <w:sz w:val="20"/>
          <w:szCs w:val="20"/>
        </w:rPr>
      </w:pPr>
      <w:r w:rsidRPr="00E91E10">
        <w:rPr>
          <w:rFonts w:cs="Arial"/>
          <w:sz w:val="20"/>
          <w:szCs w:val="20"/>
        </w:rPr>
        <w:t>Columbus, OH  43215</w:t>
      </w:r>
    </w:p>
    <w:p w14:paraId="52A30E78" w14:textId="77777777" w:rsidR="00E91E10" w:rsidRPr="00E91E10" w:rsidRDefault="007634D7" w:rsidP="00E91E10">
      <w:pPr>
        <w:rPr>
          <w:rFonts w:cs="Arial"/>
          <w:sz w:val="20"/>
          <w:szCs w:val="20"/>
        </w:rPr>
      </w:pPr>
      <w:hyperlink r:id="rId21" w:history="1">
        <w:r w:rsidR="00E91E10" w:rsidRPr="00E91E10">
          <w:rPr>
            <w:rFonts w:cs="Arial"/>
            <w:sz w:val="20"/>
            <w:szCs w:val="20"/>
          </w:rPr>
          <w:t>mjsettineri@vorys.com</w:t>
        </w:r>
      </w:hyperlink>
    </w:p>
    <w:p w14:paraId="546EE9C9" w14:textId="77777777" w:rsidR="00E91E10" w:rsidRPr="00E91E10" w:rsidRDefault="007634D7" w:rsidP="00E91E10">
      <w:pPr>
        <w:rPr>
          <w:rFonts w:cs="Arial"/>
          <w:sz w:val="20"/>
          <w:szCs w:val="20"/>
        </w:rPr>
      </w:pPr>
      <w:hyperlink r:id="rId22" w:history="1">
        <w:r w:rsidR="00E91E10" w:rsidRPr="00E91E10">
          <w:rPr>
            <w:rFonts w:cs="Arial"/>
            <w:sz w:val="20"/>
            <w:szCs w:val="20"/>
          </w:rPr>
          <w:t>smhoward@vorys.co</w:t>
        </w:r>
      </w:hyperlink>
      <w:r w:rsidR="00E91E10" w:rsidRPr="00E91E10">
        <w:rPr>
          <w:rFonts w:cs="Arial"/>
          <w:sz w:val="20"/>
          <w:szCs w:val="20"/>
        </w:rPr>
        <w:t>m</w:t>
      </w:r>
    </w:p>
    <w:p w14:paraId="3E0B95D7" w14:textId="77777777" w:rsidR="00E91E10" w:rsidRPr="00E91E10" w:rsidRDefault="007634D7" w:rsidP="00E91E10">
      <w:pPr>
        <w:rPr>
          <w:rFonts w:cs="Arial"/>
          <w:sz w:val="20"/>
          <w:szCs w:val="20"/>
        </w:rPr>
      </w:pPr>
      <w:hyperlink r:id="rId23" w:history="1">
        <w:r w:rsidR="00E91E10" w:rsidRPr="00E91E10">
          <w:rPr>
            <w:rFonts w:cs="Arial"/>
            <w:sz w:val="20"/>
            <w:szCs w:val="20"/>
          </w:rPr>
          <w:t>glpetrucci@vorys.com</w:t>
        </w:r>
      </w:hyperlink>
    </w:p>
    <w:p w14:paraId="5D80406E" w14:textId="77777777" w:rsidR="00E91E10" w:rsidRPr="00E91E10" w:rsidRDefault="007634D7" w:rsidP="00E91E10">
      <w:pPr>
        <w:rPr>
          <w:rFonts w:cs="Arial"/>
          <w:sz w:val="20"/>
          <w:szCs w:val="20"/>
        </w:rPr>
      </w:pPr>
      <w:hyperlink r:id="rId24" w:history="1">
        <w:r w:rsidR="00E91E10" w:rsidRPr="00E91E10">
          <w:rPr>
            <w:rFonts w:cs="Arial"/>
            <w:sz w:val="20"/>
            <w:szCs w:val="20"/>
          </w:rPr>
          <w:t>ibatikov@vorys.com</w:t>
        </w:r>
      </w:hyperlink>
    </w:p>
    <w:p w14:paraId="1C34A84F" w14:textId="77777777" w:rsidR="00E91E10" w:rsidRPr="00E91E10" w:rsidRDefault="00E91E10" w:rsidP="00E91E10">
      <w:pPr>
        <w:rPr>
          <w:rFonts w:cs="Arial"/>
          <w:sz w:val="20"/>
          <w:szCs w:val="20"/>
        </w:rPr>
      </w:pPr>
    </w:p>
    <w:p w14:paraId="2B29AB34"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Dynegy Inc., PJM Power Providers Group and the Electric Power Supply Association and the Retail Energy Supply Association</w:t>
      </w:r>
    </w:p>
    <w:p w14:paraId="7899AED2" w14:textId="77777777" w:rsidR="00E91E10" w:rsidRPr="00E91E10" w:rsidRDefault="00E91E10" w:rsidP="00E91E10">
      <w:pPr>
        <w:rPr>
          <w:rFonts w:cs="Arial"/>
          <w:sz w:val="20"/>
          <w:szCs w:val="20"/>
        </w:rPr>
      </w:pPr>
    </w:p>
    <w:p w14:paraId="3AD4B2B0" w14:textId="77777777" w:rsidR="00E91E10" w:rsidRPr="00E91E10" w:rsidRDefault="00E91E10" w:rsidP="00E91E10">
      <w:pPr>
        <w:rPr>
          <w:rFonts w:cs="Arial"/>
          <w:sz w:val="20"/>
          <w:szCs w:val="20"/>
        </w:rPr>
      </w:pPr>
      <w:r w:rsidRPr="00E91E10">
        <w:rPr>
          <w:rFonts w:cs="Arial"/>
          <w:sz w:val="20"/>
          <w:szCs w:val="20"/>
        </w:rPr>
        <w:br w:type="column"/>
      </w:r>
      <w:r w:rsidRPr="00E91E10">
        <w:rPr>
          <w:rFonts w:cs="Arial"/>
          <w:sz w:val="20"/>
          <w:szCs w:val="20"/>
        </w:rPr>
        <w:t>Joseph Oliker</w:t>
      </w:r>
    </w:p>
    <w:p w14:paraId="0CD7E248" w14:textId="77777777" w:rsidR="00E91E10" w:rsidRPr="00E91E10" w:rsidRDefault="00E91E10" w:rsidP="00E91E10">
      <w:pPr>
        <w:rPr>
          <w:rFonts w:cs="Arial"/>
          <w:sz w:val="20"/>
          <w:szCs w:val="20"/>
        </w:rPr>
      </w:pPr>
      <w:r w:rsidRPr="00E91E10">
        <w:rPr>
          <w:rFonts w:cs="Arial"/>
          <w:sz w:val="20"/>
          <w:szCs w:val="20"/>
        </w:rPr>
        <w:t>IGS Energy</w:t>
      </w:r>
    </w:p>
    <w:p w14:paraId="51109D8D" w14:textId="77777777" w:rsidR="00E91E10" w:rsidRPr="00E91E10" w:rsidRDefault="00E91E10" w:rsidP="00E91E10">
      <w:pPr>
        <w:rPr>
          <w:rFonts w:cs="Arial"/>
          <w:sz w:val="20"/>
          <w:szCs w:val="20"/>
        </w:rPr>
      </w:pPr>
      <w:r w:rsidRPr="00E91E10">
        <w:rPr>
          <w:rFonts w:cs="Arial"/>
          <w:sz w:val="20"/>
          <w:szCs w:val="20"/>
        </w:rPr>
        <w:t>6100 Emerald Parkway</w:t>
      </w:r>
    </w:p>
    <w:p w14:paraId="05790950" w14:textId="77777777" w:rsidR="00E91E10" w:rsidRPr="00E91E10" w:rsidRDefault="00E91E10" w:rsidP="00E91E10">
      <w:pPr>
        <w:rPr>
          <w:rFonts w:cs="Arial"/>
          <w:sz w:val="20"/>
          <w:szCs w:val="20"/>
        </w:rPr>
      </w:pPr>
      <w:r w:rsidRPr="00E91E10">
        <w:rPr>
          <w:rFonts w:cs="Arial"/>
          <w:sz w:val="20"/>
          <w:szCs w:val="20"/>
        </w:rPr>
        <w:t>Dublin, OH  43016</w:t>
      </w:r>
    </w:p>
    <w:p w14:paraId="0F66E26F" w14:textId="77777777" w:rsidR="00E91E10" w:rsidRPr="00E91E10" w:rsidRDefault="007634D7" w:rsidP="00E91E10">
      <w:pPr>
        <w:rPr>
          <w:rFonts w:cs="Arial"/>
          <w:sz w:val="20"/>
          <w:szCs w:val="20"/>
        </w:rPr>
      </w:pPr>
      <w:hyperlink r:id="rId25" w:history="1">
        <w:r w:rsidR="00E91E10" w:rsidRPr="00E91E10">
          <w:rPr>
            <w:rFonts w:cs="Arial"/>
            <w:sz w:val="20"/>
            <w:szCs w:val="20"/>
          </w:rPr>
          <w:t>joliker@igsenergy.com</w:t>
        </w:r>
      </w:hyperlink>
    </w:p>
    <w:p w14:paraId="790981C8" w14:textId="77777777" w:rsidR="00E91E10" w:rsidRPr="00E91E10" w:rsidRDefault="00E91E10" w:rsidP="00E91E10">
      <w:pPr>
        <w:rPr>
          <w:rFonts w:cs="Arial"/>
          <w:sz w:val="20"/>
          <w:szCs w:val="20"/>
        </w:rPr>
      </w:pPr>
    </w:p>
    <w:p w14:paraId="7CC4BE1A"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IGS Energy</w:t>
      </w:r>
    </w:p>
    <w:p w14:paraId="22BDF3BE" w14:textId="77777777" w:rsidR="00E91E10" w:rsidRPr="00E91E10" w:rsidRDefault="00E91E10" w:rsidP="00E91E10">
      <w:pPr>
        <w:rPr>
          <w:rFonts w:cs="Arial"/>
          <w:sz w:val="20"/>
          <w:szCs w:val="20"/>
        </w:rPr>
      </w:pPr>
    </w:p>
    <w:p w14:paraId="6C3C8315" w14:textId="77777777" w:rsidR="00E91E10" w:rsidRPr="00E91E10" w:rsidRDefault="00E91E10" w:rsidP="00E91E10">
      <w:pPr>
        <w:rPr>
          <w:rFonts w:cs="Arial"/>
          <w:sz w:val="20"/>
          <w:szCs w:val="20"/>
        </w:rPr>
      </w:pPr>
      <w:r w:rsidRPr="00E91E10">
        <w:rPr>
          <w:rFonts w:cs="Arial"/>
          <w:sz w:val="20"/>
          <w:szCs w:val="20"/>
        </w:rPr>
        <w:t>Michael D. Dortch</w:t>
      </w:r>
    </w:p>
    <w:p w14:paraId="687DAC45" w14:textId="77777777" w:rsidR="00E91E10" w:rsidRPr="00E91E10" w:rsidRDefault="00E91E10" w:rsidP="00E91E10">
      <w:pPr>
        <w:rPr>
          <w:rFonts w:cs="Arial"/>
          <w:sz w:val="20"/>
          <w:szCs w:val="20"/>
        </w:rPr>
      </w:pPr>
      <w:r w:rsidRPr="00E91E10">
        <w:rPr>
          <w:rFonts w:cs="Arial"/>
          <w:sz w:val="20"/>
          <w:szCs w:val="20"/>
        </w:rPr>
        <w:t>Richard R. Parsons</w:t>
      </w:r>
    </w:p>
    <w:p w14:paraId="3846C5C8" w14:textId="77777777" w:rsidR="00E91E10" w:rsidRPr="00E91E10" w:rsidRDefault="00E91E10" w:rsidP="00E91E10">
      <w:pPr>
        <w:rPr>
          <w:rFonts w:cs="Arial"/>
          <w:sz w:val="20"/>
          <w:szCs w:val="20"/>
        </w:rPr>
      </w:pPr>
      <w:r w:rsidRPr="00E91E10">
        <w:rPr>
          <w:rFonts w:cs="Arial"/>
          <w:sz w:val="20"/>
          <w:szCs w:val="20"/>
        </w:rPr>
        <w:t>Kravitz, Brown &amp; Dortch, LLC</w:t>
      </w:r>
    </w:p>
    <w:p w14:paraId="0E1E6705" w14:textId="77777777" w:rsidR="00E91E10" w:rsidRPr="00E91E10" w:rsidRDefault="00E91E10" w:rsidP="00E91E10">
      <w:pPr>
        <w:rPr>
          <w:rFonts w:cs="Arial"/>
          <w:sz w:val="20"/>
          <w:szCs w:val="20"/>
        </w:rPr>
      </w:pPr>
      <w:r w:rsidRPr="00E91E10">
        <w:rPr>
          <w:rFonts w:cs="Arial"/>
          <w:sz w:val="20"/>
          <w:szCs w:val="20"/>
        </w:rPr>
        <w:t>65 East State Street, Suite 200</w:t>
      </w:r>
    </w:p>
    <w:p w14:paraId="3F62EABB" w14:textId="77777777" w:rsidR="00E91E10" w:rsidRPr="00E91E10" w:rsidRDefault="00E91E10" w:rsidP="00E91E10">
      <w:pPr>
        <w:rPr>
          <w:rFonts w:cs="Arial"/>
          <w:sz w:val="20"/>
          <w:szCs w:val="20"/>
        </w:rPr>
      </w:pPr>
      <w:r w:rsidRPr="00E91E10">
        <w:rPr>
          <w:rFonts w:cs="Arial"/>
          <w:sz w:val="20"/>
          <w:szCs w:val="20"/>
        </w:rPr>
        <w:t>Columbus, OH  43215</w:t>
      </w:r>
    </w:p>
    <w:p w14:paraId="50D3DF73" w14:textId="77777777" w:rsidR="00E91E10" w:rsidRPr="00E91E10" w:rsidRDefault="007634D7" w:rsidP="00E91E10">
      <w:pPr>
        <w:rPr>
          <w:rFonts w:cs="Arial"/>
          <w:sz w:val="20"/>
          <w:szCs w:val="20"/>
        </w:rPr>
      </w:pPr>
      <w:hyperlink r:id="rId26" w:history="1">
        <w:r w:rsidR="00E91E10" w:rsidRPr="00E91E10">
          <w:rPr>
            <w:rFonts w:cs="Arial"/>
            <w:sz w:val="20"/>
            <w:szCs w:val="20"/>
          </w:rPr>
          <w:t>mdortch@kravitzllc.com</w:t>
        </w:r>
      </w:hyperlink>
    </w:p>
    <w:p w14:paraId="6B301E9C" w14:textId="77777777" w:rsidR="00E91E10" w:rsidRPr="00E91E10" w:rsidRDefault="007634D7" w:rsidP="00E91E10">
      <w:pPr>
        <w:rPr>
          <w:rFonts w:cs="Arial"/>
          <w:sz w:val="20"/>
          <w:szCs w:val="20"/>
        </w:rPr>
      </w:pPr>
      <w:hyperlink r:id="rId27" w:history="1">
        <w:r w:rsidR="00E91E10" w:rsidRPr="00E91E10">
          <w:rPr>
            <w:rFonts w:cs="Arial"/>
            <w:sz w:val="20"/>
            <w:szCs w:val="20"/>
          </w:rPr>
          <w:t>rparsons@kravitzllc.com</w:t>
        </w:r>
      </w:hyperlink>
    </w:p>
    <w:p w14:paraId="30132CBA" w14:textId="77777777" w:rsidR="00E91E10" w:rsidRPr="00E91E10" w:rsidRDefault="00E91E10" w:rsidP="00E91E10">
      <w:pPr>
        <w:rPr>
          <w:rFonts w:cs="Arial"/>
          <w:sz w:val="20"/>
          <w:szCs w:val="20"/>
        </w:rPr>
      </w:pPr>
    </w:p>
    <w:p w14:paraId="6AA79E54"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Noble Americas Energy Solutions LLC</w:t>
      </w:r>
    </w:p>
    <w:p w14:paraId="3B71F6A6" w14:textId="77777777" w:rsidR="00E91E10" w:rsidRPr="00E91E10" w:rsidRDefault="00E91E10" w:rsidP="00E91E10">
      <w:pPr>
        <w:rPr>
          <w:rFonts w:cs="Arial"/>
          <w:sz w:val="20"/>
          <w:szCs w:val="20"/>
        </w:rPr>
      </w:pPr>
    </w:p>
    <w:p w14:paraId="1E101AFE" w14:textId="77777777" w:rsidR="00E91E10" w:rsidRPr="00E91E10" w:rsidRDefault="00E91E10" w:rsidP="00E91E10">
      <w:pPr>
        <w:rPr>
          <w:rFonts w:cs="Arial"/>
          <w:sz w:val="20"/>
          <w:szCs w:val="20"/>
        </w:rPr>
      </w:pPr>
      <w:r w:rsidRPr="00E91E10">
        <w:rPr>
          <w:rFonts w:cs="Arial"/>
          <w:sz w:val="20"/>
          <w:szCs w:val="20"/>
        </w:rPr>
        <w:t>Colleen L. Mooney</w:t>
      </w:r>
    </w:p>
    <w:p w14:paraId="6AE85032" w14:textId="77777777" w:rsidR="00E91E10" w:rsidRPr="00E91E10" w:rsidRDefault="00E91E10" w:rsidP="00E91E10">
      <w:pPr>
        <w:rPr>
          <w:rFonts w:cs="Arial"/>
          <w:sz w:val="20"/>
          <w:szCs w:val="20"/>
        </w:rPr>
      </w:pPr>
      <w:r w:rsidRPr="00E91E10">
        <w:rPr>
          <w:rFonts w:cs="Arial"/>
          <w:sz w:val="20"/>
          <w:szCs w:val="20"/>
        </w:rPr>
        <w:t>231 West Lima Street</w:t>
      </w:r>
    </w:p>
    <w:p w14:paraId="6D598AC4" w14:textId="77777777" w:rsidR="00E91E10" w:rsidRPr="00E91E10" w:rsidRDefault="00E91E10" w:rsidP="00E91E10">
      <w:pPr>
        <w:rPr>
          <w:rFonts w:cs="Arial"/>
          <w:sz w:val="20"/>
          <w:szCs w:val="20"/>
        </w:rPr>
      </w:pPr>
      <w:r w:rsidRPr="00E91E10">
        <w:rPr>
          <w:rFonts w:cs="Arial"/>
          <w:sz w:val="20"/>
          <w:szCs w:val="20"/>
        </w:rPr>
        <w:t>PO Box 1793</w:t>
      </w:r>
    </w:p>
    <w:p w14:paraId="1F2D841B" w14:textId="77777777" w:rsidR="00E91E10" w:rsidRPr="00E91E10" w:rsidRDefault="00E91E10" w:rsidP="00E91E10">
      <w:pPr>
        <w:rPr>
          <w:rFonts w:cs="Arial"/>
          <w:sz w:val="20"/>
          <w:szCs w:val="20"/>
        </w:rPr>
      </w:pPr>
      <w:r w:rsidRPr="00E91E10">
        <w:rPr>
          <w:rFonts w:cs="Arial"/>
          <w:sz w:val="20"/>
          <w:szCs w:val="20"/>
        </w:rPr>
        <w:t>Findlay, OH  45839-1793</w:t>
      </w:r>
    </w:p>
    <w:p w14:paraId="3031BFE0" w14:textId="77777777" w:rsidR="00E91E10" w:rsidRPr="00E91E10" w:rsidRDefault="007634D7" w:rsidP="00E91E10">
      <w:pPr>
        <w:rPr>
          <w:rFonts w:cs="Arial"/>
          <w:sz w:val="20"/>
          <w:szCs w:val="20"/>
        </w:rPr>
      </w:pPr>
      <w:hyperlink r:id="rId28" w:history="1">
        <w:r w:rsidR="00E91E10" w:rsidRPr="00E91E10">
          <w:rPr>
            <w:rFonts w:cs="Arial"/>
            <w:sz w:val="20"/>
            <w:szCs w:val="20"/>
          </w:rPr>
          <w:t>cmooney@ohiopartners.org</w:t>
        </w:r>
      </w:hyperlink>
    </w:p>
    <w:p w14:paraId="7F9AB376" w14:textId="77777777" w:rsidR="00E91E10" w:rsidRPr="00E91E10" w:rsidRDefault="00E91E10" w:rsidP="00E91E10">
      <w:pPr>
        <w:rPr>
          <w:rFonts w:cs="Arial"/>
          <w:sz w:val="20"/>
          <w:szCs w:val="20"/>
        </w:rPr>
      </w:pPr>
    </w:p>
    <w:p w14:paraId="6CE3B3D2"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Ohio Partners for Affordable Energy</w:t>
      </w:r>
    </w:p>
    <w:p w14:paraId="7676662A" w14:textId="77777777" w:rsidR="00E91E10" w:rsidRPr="00E91E10" w:rsidRDefault="00E91E10" w:rsidP="00E91E10">
      <w:pPr>
        <w:rPr>
          <w:rFonts w:cs="Arial"/>
          <w:sz w:val="20"/>
          <w:szCs w:val="20"/>
        </w:rPr>
      </w:pPr>
    </w:p>
    <w:p w14:paraId="373A423C" w14:textId="77777777" w:rsidR="00E91E10" w:rsidRPr="00E91E10" w:rsidRDefault="00E91E10" w:rsidP="00E91E10">
      <w:pPr>
        <w:rPr>
          <w:rFonts w:cs="Arial"/>
          <w:sz w:val="20"/>
          <w:szCs w:val="20"/>
        </w:rPr>
      </w:pPr>
      <w:r w:rsidRPr="00E91E10">
        <w:rPr>
          <w:rFonts w:cs="Arial"/>
          <w:sz w:val="20"/>
          <w:szCs w:val="20"/>
        </w:rPr>
        <w:t>Trent Dougherty</w:t>
      </w:r>
    </w:p>
    <w:p w14:paraId="510BBDB4" w14:textId="77777777" w:rsidR="00E91E10" w:rsidRPr="00E91E10" w:rsidRDefault="00E91E10" w:rsidP="00E91E10">
      <w:pPr>
        <w:rPr>
          <w:rFonts w:cs="Arial"/>
          <w:sz w:val="20"/>
          <w:szCs w:val="20"/>
        </w:rPr>
      </w:pPr>
      <w:r w:rsidRPr="00E91E10">
        <w:rPr>
          <w:rFonts w:cs="Arial"/>
          <w:sz w:val="20"/>
          <w:szCs w:val="20"/>
        </w:rPr>
        <w:t>1145 Chesapeake Ave., Suite I</w:t>
      </w:r>
    </w:p>
    <w:p w14:paraId="4A798E49" w14:textId="77777777" w:rsidR="00E91E10" w:rsidRPr="00E91E10" w:rsidRDefault="00E91E10" w:rsidP="00E91E10">
      <w:pPr>
        <w:rPr>
          <w:rFonts w:cs="Arial"/>
          <w:sz w:val="20"/>
          <w:szCs w:val="20"/>
        </w:rPr>
      </w:pPr>
      <w:r w:rsidRPr="00E91E10">
        <w:rPr>
          <w:rFonts w:cs="Arial"/>
          <w:sz w:val="20"/>
          <w:szCs w:val="20"/>
        </w:rPr>
        <w:t>Columbus, OH  43212-3449</w:t>
      </w:r>
    </w:p>
    <w:p w14:paraId="345475F0" w14:textId="77777777" w:rsidR="00E91E10" w:rsidRPr="00E91E10" w:rsidRDefault="007634D7" w:rsidP="00E91E10">
      <w:pPr>
        <w:rPr>
          <w:rFonts w:cs="Arial"/>
          <w:sz w:val="20"/>
          <w:szCs w:val="20"/>
        </w:rPr>
      </w:pPr>
      <w:hyperlink r:id="rId29" w:history="1">
        <w:r w:rsidR="00E91E10" w:rsidRPr="00E91E10">
          <w:rPr>
            <w:rFonts w:cs="Arial"/>
            <w:sz w:val="20"/>
            <w:szCs w:val="20"/>
          </w:rPr>
          <w:t>tdougherty@theOEC.org</w:t>
        </w:r>
      </w:hyperlink>
    </w:p>
    <w:p w14:paraId="273D55DA" w14:textId="77777777" w:rsidR="00E91E10" w:rsidRPr="00E91E10" w:rsidRDefault="00E91E10" w:rsidP="00E91E10">
      <w:pPr>
        <w:rPr>
          <w:rFonts w:cs="Arial"/>
          <w:sz w:val="20"/>
          <w:szCs w:val="20"/>
        </w:rPr>
      </w:pPr>
    </w:p>
    <w:p w14:paraId="7713419E"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the Ohio Environmental Council and Environmental Defense Fund</w:t>
      </w:r>
    </w:p>
    <w:p w14:paraId="38C937CB" w14:textId="77777777" w:rsidR="00E91E10" w:rsidRPr="00E91E10" w:rsidRDefault="00E91E10" w:rsidP="00E91E10">
      <w:pPr>
        <w:rPr>
          <w:rFonts w:cs="Arial"/>
          <w:sz w:val="20"/>
          <w:szCs w:val="20"/>
        </w:rPr>
      </w:pPr>
    </w:p>
    <w:p w14:paraId="1A6E4815" w14:textId="77777777" w:rsidR="00E91E10" w:rsidRPr="00E91E10" w:rsidRDefault="00E91E10" w:rsidP="00E91E10">
      <w:pPr>
        <w:rPr>
          <w:rFonts w:cs="Arial"/>
          <w:sz w:val="20"/>
          <w:szCs w:val="20"/>
        </w:rPr>
      </w:pPr>
      <w:r w:rsidRPr="00E91E10">
        <w:rPr>
          <w:rFonts w:cs="Arial"/>
          <w:sz w:val="20"/>
          <w:szCs w:val="20"/>
        </w:rPr>
        <w:t>Joel E. Sechler</w:t>
      </w:r>
    </w:p>
    <w:p w14:paraId="13CFFF3C" w14:textId="77777777" w:rsidR="00E91E10" w:rsidRPr="00E91E10" w:rsidRDefault="00E91E10" w:rsidP="00E91E10">
      <w:pPr>
        <w:rPr>
          <w:rFonts w:cs="Arial"/>
          <w:sz w:val="20"/>
          <w:szCs w:val="20"/>
        </w:rPr>
      </w:pPr>
      <w:r w:rsidRPr="00E91E10">
        <w:rPr>
          <w:rFonts w:cs="Arial"/>
          <w:sz w:val="20"/>
          <w:szCs w:val="20"/>
        </w:rPr>
        <w:t>Carpenter Lipps &amp; Leland LLP</w:t>
      </w:r>
    </w:p>
    <w:p w14:paraId="2D7F5DB7" w14:textId="77777777" w:rsidR="00E91E10" w:rsidRPr="00E91E10" w:rsidRDefault="00E91E10" w:rsidP="00E91E10">
      <w:pPr>
        <w:rPr>
          <w:rFonts w:cs="Arial"/>
          <w:sz w:val="20"/>
          <w:szCs w:val="20"/>
        </w:rPr>
      </w:pPr>
      <w:r w:rsidRPr="00E91E10">
        <w:rPr>
          <w:rFonts w:cs="Arial"/>
          <w:sz w:val="20"/>
          <w:szCs w:val="20"/>
        </w:rPr>
        <w:t>280 North High Street, Suite 1300</w:t>
      </w:r>
    </w:p>
    <w:p w14:paraId="0A3B02CF" w14:textId="77777777" w:rsidR="00E91E10" w:rsidRPr="00E91E10" w:rsidRDefault="00E91E10" w:rsidP="00E91E10">
      <w:pPr>
        <w:rPr>
          <w:rFonts w:cs="Arial"/>
          <w:sz w:val="20"/>
          <w:szCs w:val="20"/>
        </w:rPr>
      </w:pPr>
      <w:r w:rsidRPr="00E91E10">
        <w:rPr>
          <w:rFonts w:cs="Arial"/>
          <w:sz w:val="20"/>
          <w:szCs w:val="20"/>
        </w:rPr>
        <w:t>Columbus, OH  43215</w:t>
      </w:r>
    </w:p>
    <w:p w14:paraId="14E78410" w14:textId="77777777" w:rsidR="00E91E10" w:rsidRPr="00E91E10" w:rsidRDefault="007634D7" w:rsidP="00E91E10">
      <w:pPr>
        <w:rPr>
          <w:rFonts w:cs="Arial"/>
          <w:sz w:val="20"/>
          <w:szCs w:val="20"/>
        </w:rPr>
      </w:pPr>
      <w:hyperlink r:id="rId30" w:history="1">
        <w:r w:rsidR="00E91E10" w:rsidRPr="00E91E10">
          <w:rPr>
            <w:rFonts w:cs="Arial"/>
            <w:sz w:val="20"/>
            <w:szCs w:val="20"/>
          </w:rPr>
          <w:t>Sechler@carpenterlipps.com</w:t>
        </w:r>
      </w:hyperlink>
    </w:p>
    <w:p w14:paraId="10C20A85" w14:textId="77777777" w:rsidR="00E91E10" w:rsidRPr="00E91E10" w:rsidRDefault="00E91E10" w:rsidP="00E91E10">
      <w:pPr>
        <w:rPr>
          <w:rFonts w:cs="Arial"/>
          <w:sz w:val="20"/>
          <w:szCs w:val="20"/>
        </w:rPr>
      </w:pPr>
    </w:p>
    <w:p w14:paraId="7F1A4656" w14:textId="77777777" w:rsidR="00E91E10" w:rsidRPr="00E91E10" w:rsidRDefault="00E91E10" w:rsidP="00E91E10">
      <w:pPr>
        <w:rPr>
          <w:rFonts w:cs="Arial"/>
          <w:sz w:val="20"/>
          <w:szCs w:val="20"/>
        </w:rPr>
      </w:pPr>
      <w:r w:rsidRPr="00E91E10">
        <w:rPr>
          <w:rFonts w:cs="Arial"/>
          <w:sz w:val="20"/>
          <w:szCs w:val="20"/>
        </w:rPr>
        <w:t>Gregory J. Poulos</w:t>
      </w:r>
    </w:p>
    <w:p w14:paraId="2E095006" w14:textId="77777777" w:rsidR="00E91E10" w:rsidRPr="00E91E10" w:rsidRDefault="00E91E10" w:rsidP="00E91E10">
      <w:pPr>
        <w:rPr>
          <w:rFonts w:cs="Arial"/>
          <w:sz w:val="20"/>
          <w:szCs w:val="20"/>
        </w:rPr>
      </w:pPr>
      <w:r w:rsidRPr="00E91E10">
        <w:rPr>
          <w:rFonts w:cs="Arial"/>
          <w:sz w:val="20"/>
          <w:szCs w:val="20"/>
        </w:rPr>
        <w:t>EnerNOC, Inc.</w:t>
      </w:r>
    </w:p>
    <w:p w14:paraId="364FB68B" w14:textId="77777777" w:rsidR="00E91E10" w:rsidRPr="00E91E10" w:rsidRDefault="00E91E10" w:rsidP="00E91E10">
      <w:pPr>
        <w:rPr>
          <w:rFonts w:cs="Arial"/>
          <w:sz w:val="20"/>
          <w:szCs w:val="20"/>
        </w:rPr>
      </w:pPr>
      <w:r w:rsidRPr="00E91E10">
        <w:rPr>
          <w:rFonts w:cs="Arial"/>
          <w:sz w:val="20"/>
          <w:szCs w:val="20"/>
        </w:rPr>
        <w:t>PO Box 29492</w:t>
      </w:r>
    </w:p>
    <w:p w14:paraId="2B1ACD76" w14:textId="77777777" w:rsidR="00E91E10" w:rsidRPr="00E91E10" w:rsidRDefault="00E91E10" w:rsidP="00E91E10">
      <w:pPr>
        <w:rPr>
          <w:rFonts w:cs="Arial"/>
          <w:sz w:val="20"/>
          <w:szCs w:val="20"/>
        </w:rPr>
      </w:pPr>
      <w:r w:rsidRPr="00E91E10">
        <w:rPr>
          <w:rFonts w:cs="Arial"/>
          <w:sz w:val="20"/>
          <w:szCs w:val="20"/>
        </w:rPr>
        <w:t>Columbus, OH  43229</w:t>
      </w:r>
    </w:p>
    <w:p w14:paraId="3E48EEF9" w14:textId="77777777" w:rsidR="00E91E10" w:rsidRPr="00E91E10" w:rsidRDefault="007634D7" w:rsidP="00E91E10">
      <w:pPr>
        <w:rPr>
          <w:rFonts w:cs="Arial"/>
          <w:sz w:val="20"/>
          <w:szCs w:val="20"/>
        </w:rPr>
      </w:pPr>
      <w:hyperlink r:id="rId31" w:history="1">
        <w:r w:rsidR="00E91E10" w:rsidRPr="00E91E10">
          <w:rPr>
            <w:rFonts w:cs="Arial"/>
            <w:sz w:val="20"/>
            <w:szCs w:val="20"/>
          </w:rPr>
          <w:t>gpoulos@enernoc.com</w:t>
        </w:r>
      </w:hyperlink>
    </w:p>
    <w:p w14:paraId="0F04AEC3" w14:textId="77777777" w:rsidR="00E91E10" w:rsidRPr="00E91E10" w:rsidRDefault="00E91E10" w:rsidP="00E91E10">
      <w:pPr>
        <w:rPr>
          <w:rFonts w:cs="Arial"/>
          <w:sz w:val="20"/>
          <w:szCs w:val="20"/>
        </w:rPr>
      </w:pPr>
    </w:p>
    <w:p w14:paraId="41B11C52"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EnerNOC, Inc.</w:t>
      </w:r>
    </w:p>
    <w:p w14:paraId="42985972" w14:textId="77777777" w:rsidR="00E91E10" w:rsidRPr="00E91E10" w:rsidRDefault="00E91E10" w:rsidP="00E91E10">
      <w:pPr>
        <w:rPr>
          <w:rFonts w:cs="Arial"/>
          <w:sz w:val="20"/>
          <w:szCs w:val="20"/>
        </w:rPr>
      </w:pPr>
    </w:p>
    <w:p w14:paraId="69AC3437" w14:textId="77777777" w:rsidR="00E91E10" w:rsidRPr="00E91E10" w:rsidRDefault="00E91E10" w:rsidP="00E91E10">
      <w:pPr>
        <w:rPr>
          <w:rFonts w:eastAsia="Calibri" w:cs="Arial"/>
          <w:sz w:val="20"/>
          <w:szCs w:val="20"/>
        </w:rPr>
        <w:sectPr w:rsidR="00E91E10" w:rsidRPr="00E91E10" w:rsidSect="00E91E10">
          <w:type w:val="continuous"/>
          <w:pgSz w:w="12240" w:h="15840" w:code="1"/>
          <w:pgMar w:top="1440" w:right="1440" w:bottom="1440" w:left="1440" w:header="720" w:footer="720" w:gutter="0"/>
          <w:cols w:num="2" w:space="720"/>
          <w:titlePg/>
          <w:docGrid w:linePitch="360"/>
        </w:sectPr>
      </w:pPr>
    </w:p>
    <w:p w14:paraId="0E5C1EF7" w14:textId="77777777" w:rsidR="00E91E10" w:rsidRPr="00E91E10" w:rsidRDefault="00E91E10" w:rsidP="00E91E10">
      <w:pPr>
        <w:rPr>
          <w:rFonts w:eastAsia="Calibri" w:cs="Arial"/>
          <w:sz w:val="20"/>
          <w:szCs w:val="20"/>
        </w:rPr>
      </w:pPr>
      <w:r w:rsidRPr="00E91E10">
        <w:rPr>
          <w:rFonts w:eastAsia="Calibri" w:cs="Arial"/>
          <w:sz w:val="20"/>
          <w:szCs w:val="20"/>
        </w:rPr>
        <w:lastRenderedPageBreak/>
        <w:t>Richard L. Sites</w:t>
      </w:r>
    </w:p>
    <w:p w14:paraId="7F1C9C4E" w14:textId="77777777" w:rsidR="00E91E10" w:rsidRPr="00E91E10" w:rsidRDefault="00E91E10" w:rsidP="00E91E10">
      <w:pPr>
        <w:rPr>
          <w:rFonts w:eastAsia="Calibri" w:cs="Arial"/>
          <w:sz w:val="20"/>
          <w:szCs w:val="20"/>
        </w:rPr>
      </w:pPr>
      <w:r w:rsidRPr="00E91E10">
        <w:rPr>
          <w:rFonts w:eastAsia="Calibri" w:cs="Arial"/>
          <w:sz w:val="20"/>
          <w:szCs w:val="20"/>
        </w:rPr>
        <w:t>Regulatory Counsel</w:t>
      </w:r>
    </w:p>
    <w:p w14:paraId="07A54D7B" w14:textId="77777777" w:rsidR="00E91E10" w:rsidRPr="00E91E10" w:rsidRDefault="00E91E10" w:rsidP="00E91E10">
      <w:pPr>
        <w:rPr>
          <w:rFonts w:eastAsia="Calibri" w:cs="Arial"/>
          <w:sz w:val="20"/>
          <w:szCs w:val="20"/>
        </w:rPr>
      </w:pPr>
      <w:r w:rsidRPr="00E91E10">
        <w:rPr>
          <w:rFonts w:eastAsia="Calibri" w:cs="Arial"/>
          <w:sz w:val="20"/>
          <w:szCs w:val="20"/>
        </w:rPr>
        <w:t>Ohio Hospital Association</w:t>
      </w:r>
    </w:p>
    <w:p w14:paraId="6B9A25F2" w14:textId="77777777" w:rsidR="00E91E10" w:rsidRPr="00E91E10" w:rsidRDefault="00E91E10" w:rsidP="00E91E10">
      <w:pPr>
        <w:rPr>
          <w:rFonts w:eastAsia="Calibri" w:cs="Arial"/>
          <w:sz w:val="20"/>
          <w:szCs w:val="20"/>
        </w:rPr>
      </w:pPr>
      <w:r w:rsidRPr="00E91E10">
        <w:rPr>
          <w:rFonts w:eastAsia="Calibri" w:cs="Arial"/>
          <w:sz w:val="20"/>
          <w:szCs w:val="20"/>
        </w:rPr>
        <w:t>155 East Broad Street, 3</w:t>
      </w:r>
      <w:r w:rsidRPr="00E91E10">
        <w:rPr>
          <w:rFonts w:eastAsia="Calibri" w:cs="Arial"/>
          <w:sz w:val="20"/>
          <w:szCs w:val="20"/>
          <w:vertAlign w:val="superscript"/>
        </w:rPr>
        <w:t>rd</w:t>
      </w:r>
      <w:r w:rsidRPr="00E91E10">
        <w:rPr>
          <w:rFonts w:eastAsia="Calibri" w:cs="Arial"/>
          <w:sz w:val="20"/>
          <w:szCs w:val="20"/>
        </w:rPr>
        <w:t xml:space="preserve"> Floor</w:t>
      </w:r>
    </w:p>
    <w:p w14:paraId="13AEB2F2" w14:textId="77777777" w:rsidR="00E91E10" w:rsidRPr="00E91E10" w:rsidRDefault="00E91E10" w:rsidP="00E91E10">
      <w:pPr>
        <w:rPr>
          <w:rFonts w:eastAsia="Calibri" w:cs="Arial"/>
          <w:sz w:val="20"/>
          <w:szCs w:val="20"/>
        </w:rPr>
      </w:pPr>
      <w:r w:rsidRPr="00E91E10">
        <w:rPr>
          <w:rFonts w:eastAsia="Calibri" w:cs="Arial"/>
          <w:sz w:val="20"/>
          <w:szCs w:val="20"/>
        </w:rPr>
        <w:t>Columbus, OH  43215-3620</w:t>
      </w:r>
    </w:p>
    <w:p w14:paraId="3013B579" w14:textId="77777777" w:rsidR="00E91E10" w:rsidRPr="00E91E10" w:rsidRDefault="007634D7" w:rsidP="00E91E10">
      <w:pPr>
        <w:rPr>
          <w:rFonts w:eastAsia="Calibri" w:cs="Arial"/>
          <w:sz w:val="20"/>
          <w:szCs w:val="20"/>
        </w:rPr>
      </w:pPr>
      <w:hyperlink r:id="rId32" w:history="1">
        <w:r w:rsidR="00E91E10" w:rsidRPr="00E91E10">
          <w:rPr>
            <w:rFonts w:eastAsia="Calibri" w:cs="Arial"/>
            <w:sz w:val="20"/>
            <w:szCs w:val="20"/>
          </w:rPr>
          <w:t>rick.sites@ohiohospitals.org</w:t>
        </w:r>
      </w:hyperlink>
    </w:p>
    <w:p w14:paraId="7F25A856" w14:textId="77777777" w:rsidR="00E91E10" w:rsidRPr="00E91E10" w:rsidRDefault="00E91E10" w:rsidP="00E91E10">
      <w:pPr>
        <w:rPr>
          <w:rFonts w:eastAsia="Calibri" w:cs="Arial"/>
          <w:sz w:val="20"/>
          <w:szCs w:val="20"/>
        </w:rPr>
      </w:pPr>
    </w:p>
    <w:p w14:paraId="62B7F316" w14:textId="77777777" w:rsidR="00E91E10" w:rsidRPr="00E91E10" w:rsidRDefault="00E91E10" w:rsidP="00E91E10">
      <w:pPr>
        <w:rPr>
          <w:rFonts w:eastAsia="Calibri" w:cs="Arial"/>
          <w:sz w:val="20"/>
          <w:szCs w:val="20"/>
        </w:rPr>
      </w:pPr>
      <w:r w:rsidRPr="00E91E10">
        <w:rPr>
          <w:rFonts w:eastAsia="Calibri" w:cs="Arial"/>
          <w:sz w:val="20"/>
          <w:szCs w:val="20"/>
        </w:rPr>
        <w:t>Matthew Warnock</w:t>
      </w:r>
    </w:p>
    <w:p w14:paraId="45F578F8" w14:textId="77777777" w:rsidR="00E91E10" w:rsidRPr="00E91E10" w:rsidRDefault="00E91E10" w:rsidP="00E91E10">
      <w:pPr>
        <w:rPr>
          <w:rFonts w:eastAsia="Calibri" w:cs="Arial"/>
          <w:sz w:val="20"/>
          <w:szCs w:val="20"/>
        </w:rPr>
      </w:pPr>
      <w:r w:rsidRPr="00E91E10">
        <w:rPr>
          <w:rFonts w:eastAsia="Calibri" w:cs="Arial"/>
          <w:sz w:val="20"/>
          <w:szCs w:val="20"/>
        </w:rPr>
        <w:t>Dylan Borchers</w:t>
      </w:r>
    </w:p>
    <w:p w14:paraId="752EA419" w14:textId="77777777" w:rsidR="00E91E10" w:rsidRPr="00E91E10" w:rsidRDefault="00E91E10" w:rsidP="00E91E10">
      <w:pPr>
        <w:rPr>
          <w:rFonts w:eastAsia="Calibri" w:cs="Arial"/>
          <w:sz w:val="20"/>
          <w:szCs w:val="20"/>
        </w:rPr>
      </w:pPr>
      <w:r w:rsidRPr="00E91E10">
        <w:rPr>
          <w:rFonts w:eastAsia="Calibri" w:cs="Arial"/>
          <w:sz w:val="20"/>
          <w:szCs w:val="20"/>
        </w:rPr>
        <w:t>Bricker &amp; Eckler LLP</w:t>
      </w:r>
    </w:p>
    <w:p w14:paraId="195A4367" w14:textId="77777777" w:rsidR="00E91E10" w:rsidRPr="00E91E10" w:rsidRDefault="00E91E10" w:rsidP="00E91E10">
      <w:pPr>
        <w:rPr>
          <w:rFonts w:eastAsia="Calibri" w:cs="Arial"/>
          <w:sz w:val="20"/>
          <w:szCs w:val="20"/>
        </w:rPr>
      </w:pPr>
      <w:r w:rsidRPr="00E91E10">
        <w:rPr>
          <w:rFonts w:eastAsia="Calibri" w:cs="Arial"/>
          <w:sz w:val="20"/>
          <w:szCs w:val="20"/>
        </w:rPr>
        <w:t>100 South Third Street</w:t>
      </w:r>
    </w:p>
    <w:p w14:paraId="36D884AF" w14:textId="77777777" w:rsidR="00E91E10" w:rsidRPr="00E91E10" w:rsidRDefault="00E91E10" w:rsidP="00E91E10">
      <w:pPr>
        <w:rPr>
          <w:rFonts w:eastAsia="Calibri" w:cs="Arial"/>
          <w:sz w:val="20"/>
          <w:szCs w:val="20"/>
        </w:rPr>
      </w:pPr>
      <w:r w:rsidRPr="00E91E10">
        <w:rPr>
          <w:rFonts w:eastAsia="Calibri" w:cs="Arial"/>
          <w:sz w:val="20"/>
          <w:szCs w:val="20"/>
        </w:rPr>
        <w:t>Columbus, OH  43215-4291</w:t>
      </w:r>
    </w:p>
    <w:p w14:paraId="2B67053E" w14:textId="77777777" w:rsidR="00E91E10" w:rsidRPr="00E91E10" w:rsidRDefault="007634D7" w:rsidP="00E91E10">
      <w:pPr>
        <w:rPr>
          <w:rFonts w:eastAsia="Calibri" w:cs="Arial"/>
          <w:sz w:val="20"/>
          <w:szCs w:val="20"/>
        </w:rPr>
      </w:pPr>
      <w:hyperlink r:id="rId33" w:history="1">
        <w:r w:rsidR="00E91E10" w:rsidRPr="00E91E10">
          <w:rPr>
            <w:rFonts w:eastAsia="Calibri" w:cs="Arial"/>
            <w:sz w:val="20"/>
            <w:szCs w:val="20"/>
          </w:rPr>
          <w:t>mwarnock@bricker.com</w:t>
        </w:r>
      </w:hyperlink>
    </w:p>
    <w:p w14:paraId="2A40E2EF" w14:textId="77777777" w:rsidR="00E91E10" w:rsidRPr="00E91E10" w:rsidRDefault="007634D7" w:rsidP="00E91E10">
      <w:pPr>
        <w:rPr>
          <w:rFonts w:eastAsia="Calibri" w:cs="Arial"/>
          <w:sz w:val="20"/>
          <w:szCs w:val="20"/>
        </w:rPr>
      </w:pPr>
      <w:hyperlink r:id="rId34" w:history="1">
        <w:r w:rsidR="00E91E10" w:rsidRPr="00E91E10">
          <w:rPr>
            <w:rFonts w:eastAsia="Calibri" w:cs="Arial"/>
            <w:sz w:val="20"/>
            <w:szCs w:val="20"/>
          </w:rPr>
          <w:t>dborchers@bricker.com</w:t>
        </w:r>
      </w:hyperlink>
    </w:p>
    <w:p w14:paraId="164EA246" w14:textId="77777777" w:rsidR="00E91E10" w:rsidRPr="00E91E10" w:rsidRDefault="00E91E10" w:rsidP="00E91E10">
      <w:pPr>
        <w:rPr>
          <w:rFonts w:eastAsia="Calibri" w:cs="Arial"/>
          <w:sz w:val="20"/>
          <w:szCs w:val="20"/>
        </w:rPr>
      </w:pPr>
    </w:p>
    <w:p w14:paraId="61B41ACA" w14:textId="77777777" w:rsidR="00E91E10" w:rsidRPr="00E91E10" w:rsidRDefault="00E91E10" w:rsidP="00E91E10">
      <w:pPr>
        <w:rPr>
          <w:rFonts w:ascii="Arial Bold" w:eastAsia="Calibri" w:hAnsi="Arial Bold" w:cs="Arial"/>
          <w:b/>
          <w:smallCaps/>
          <w:sz w:val="20"/>
          <w:szCs w:val="20"/>
        </w:rPr>
      </w:pPr>
      <w:r w:rsidRPr="00E91E10">
        <w:rPr>
          <w:rFonts w:ascii="Arial Bold" w:eastAsia="Calibri" w:hAnsi="Arial Bold" w:cs="Arial"/>
          <w:b/>
          <w:smallCaps/>
          <w:sz w:val="20"/>
          <w:szCs w:val="20"/>
        </w:rPr>
        <w:t>Counsel for The Ohio Hospital Association</w:t>
      </w:r>
    </w:p>
    <w:p w14:paraId="55749C89" w14:textId="77777777" w:rsidR="00E91E10" w:rsidRPr="00E91E10" w:rsidRDefault="00E91E10" w:rsidP="00E91E10">
      <w:pPr>
        <w:rPr>
          <w:rFonts w:ascii="Arial Bold" w:eastAsia="Calibri" w:hAnsi="Arial Bold" w:cs="Arial"/>
          <w:b/>
          <w:smallCaps/>
          <w:sz w:val="20"/>
          <w:szCs w:val="20"/>
        </w:rPr>
      </w:pPr>
    </w:p>
    <w:p w14:paraId="75A615D9" w14:textId="77777777" w:rsidR="00E91E10" w:rsidRPr="00E91E10" w:rsidRDefault="00E91E10" w:rsidP="00E91E10">
      <w:pPr>
        <w:rPr>
          <w:rFonts w:eastAsia="Calibri" w:cs="Arial"/>
          <w:sz w:val="20"/>
          <w:szCs w:val="20"/>
        </w:rPr>
      </w:pPr>
      <w:r w:rsidRPr="00E91E10">
        <w:rPr>
          <w:rFonts w:eastAsia="Calibri" w:cs="Arial"/>
          <w:sz w:val="20"/>
          <w:szCs w:val="20"/>
        </w:rPr>
        <w:t>Richard C. Sahli</w:t>
      </w:r>
    </w:p>
    <w:p w14:paraId="7FA11D1D" w14:textId="77777777" w:rsidR="00E91E10" w:rsidRPr="00E91E10" w:rsidRDefault="00E91E10" w:rsidP="00E91E10">
      <w:pPr>
        <w:rPr>
          <w:rFonts w:eastAsia="Calibri" w:cs="Arial"/>
          <w:sz w:val="20"/>
          <w:szCs w:val="20"/>
        </w:rPr>
      </w:pPr>
      <w:r w:rsidRPr="00E91E10">
        <w:rPr>
          <w:rFonts w:eastAsia="Calibri" w:cs="Arial"/>
          <w:sz w:val="20"/>
          <w:szCs w:val="20"/>
        </w:rPr>
        <w:t>Richard Sahli Law Office, LLC</w:t>
      </w:r>
    </w:p>
    <w:p w14:paraId="62E6E854" w14:textId="77777777" w:rsidR="00E91E10" w:rsidRPr="00E91E10" w:rsidRDefault="00E91E10" w:rsidP="00E91E10">
      <w:pPr>
        <w:rPr>
          <w:rFonts w:eastAsia="Calibri" w:cs="Arial"/>
          <w:sz w:val="20"/>
          <w:szCs w:val="20"/>
        </w:rPr>
      </w:pPr>
      <w:r w:rsidRPr="00E91E10">
        <w:rPr>
          <w:rFonts w:eastAsia="Calibri" w:cs="Arial"/>
          <w:sz w:val="20"/>
          <w:szCs w:val="20"/>
        </w:rPr>
        <w:t>981 Pinewood Lane</w:t>
      </w:r>
    </w:p>
    <w:p w14:paraId="4F6BD607" w14:textId="77777777" w:rsidR="00E91E10" w:rsidRPr="00E91E10" w:rsidRDefault="00E91E10" w:rsidP="00E91E10">
      <w:pPr>
        <w:rPr>
          <w:rFonts w:eastAsia="Calibri" w:cs="Arial"/>
          <w:sz w:val="20"/>
          <w:szCs w:val="20"/>
        </w:rPr>
      </w:pPr>
      <w:r w:rsidRPr="00E91E10">
        <w:rPr>
          <w:rFonts w:eastAsia="Calibri" w:cs="Arial"/>
          <w:sz w:val="20"/>
          <w:szCs w:val="20"/>
        </w:rPr>
        <w:t>Columbus, OH  43230-3662</w:t>
      </w:r>
    </w:p>
    <w:p w14:paraId="76FE9984" w14:textId="77777777" w:rsidR="00E91E10" w:rsidRPr="00E91E10" w:rsidRDefault="007634D7" w:rsidP="00E91E10">
      <w:pPr>
        <w:rPr>
          <w:rFonts w:eastAsia="Calibri" w:cs="Arial"/>
          <w:sz w:val="20"/>
          <w:szCs w:val="20"/>
        </w:rPr>
      </w:pPr>
      <w:hyperlink r:id="rId35" w:history="1">
        <w:r w:rsidR="00E91E10" w:rsidRPr="00E91E10">
          <w:rPr>
            <w:rFonts w:eastAsia="Calibri" w:cs="Arial"/>
            <w:sz w:val="20"/>
            <w:szCs w:val="20"/>
          </w:rPr>
          <w:t>rsahli@columbus.rr.com</w:t>
        </w:r>
      </w:hyperlink>
    </w:p>
    <w:p w14:paraId="20544807" w14:textId="77777777" w:rsidR="00E91E10" w:rsidRPr="00E91E10" w:rsidRDefault="00E91E10" w:rsidP="00E91E10">
      <w:pPr>
        <w:rPr>
          <w:rFonts w:eastAsia="Calibri" w:cs="Arial"/>
          <w:sz w:val="20"/>
          <w:szCs w:val="20"/>
        </w:rPr>
      </w:pPr>
    </w:p>
    <w:p w14:paraId="5C5BFDBF" w14:textId="77777777" w:rsidR="00E91E10" w:rsidRPr="00E91E10" w:rsidRDefault="00E91E10" w:rsidP="00E91E10">
      <w:pPr>
        <w:rPr>
          <w:rFonts w:eastAsia="Calibri" w:cs="Arial"/>
          <w:sz w:val="20"/>
          <w:szCs w:val="20"/>
        </w:rPr>
      </w:pPr>
      <w:r w:rsidRPr="00E91E10">
        <w:rPr>
          <w:rFonts w:eastAsia="Calibri" w:cs="Arial"/>
          <w:sz w:val="20"/>
          <w:szCs w:val="20"/>
        </w:rPr>
        <w:t>Tony Mendoza</w:t>
      </w:r>
    </w:p>
    <w:p w14:paraId="502273FC" w14:textId="77777777" w:rsidR="00E91E10" w:rsidRPr="00E91E10" w:rsidRDefault="00E91E10" w:rsidP="00E91E10">
      <w:pPr>
        <w:rPr>
          <w:rFonts w:eastAsia="Calibri" w:cs="Arial"/>
          <w:sz w:val="20"/>
          <w:szCs w:val="20"/>
        </w:rPr>
      </w:pPr>
      <w:r w:rsidRPr="00E91E10">
        <w:rPr>
          <w:rFonts w:eastAsia="Calibri" w:cs="Arial"/>
          <w:sz w:val="20"/>
          <w:szCs w:val="20"/>
        </w:rPr>
        <w:t>Kristin Henry</w:t>
      </w:r>
    </w:p>
    <w:p w14:paraId="54C85E17" w14:textId="77777777" w:rsidR="00E91E10" w:rsidRPr="00E91E10" w:rsidRDefault="00E91E10" w:rsidP="00E91E10">
      <w:pPr>
        <w:rPr>
          <w:rFonts w:eastAsia="Calibri" w:cs="Arial"/>
          <w:sz w:val="20"/>
          <w:szCs w:val="20"/>
        </w:rPr>
      </w:pPr>
      <w:r w:rsidRPr="00E91E10">
        <w:rPr>
          <w:rFonts w:eastAsia="Calibri" w:cs="Arial"/>
          <w:sz w:val="20"/>
          <w:szCs w:val="20"/>
        </w:rPr>
        <w:t>Sierra Club Environmental Law Program</w:t>
      </w:r>
    </w:p>
    <w:p w14:paraId="25CE8681" w14:textId="77777777" w:rsidR="00E91E10" w:rsidRPr="00E91E10" w:rsidRDefault="00E91E10" w:rsidP="00E91E10">
      <w:pPr>
        <w:rPr>
          <w:rFonts w:eastAsia="Calibri" w:cs="Arial"/>
          <w:sz w:val="20"/>
          <w:szCs w:val="20"/>
        </w:rPr>
      </w:pPr>
      <w:r w:rsidRPr="00E91E10">
        <w:rPr>
          <w:rFonts w:eastAsia="Calibri" w:cs="Arial"/>
          <w:sz w:val="20"/>
          <w:szCs w:val="20"/>
        </w:rPr>
        <w:t>2101 Webster St., 13</w:t>
      </w:r>
      <w:r w:rsidRPr="00E91E10">
        <w:rPr>
          <w:rFonts w:eastAsia="Calibri" w:cs="Arial"/>
          <w:sz w:val="20"/>
          <w:szCs w:val="20"/>
          <w:vertAlign w:val="superscript"/>
        </w:rPr>
        <w:t>th</w:t>
      </w:r>
      <w:r w:rsidRPr="00E91E10">
        <w:rPr>
          <w:rFonts w:eastAsia="Calibri" w:cs="Arial"/>
          <w:sz w:val="20"/>
          <w:szCs w:val="20"/>
        </w:rPr>
        <w:t xml:space="preserve"> Floor</w:t>
      </w:r>
    </w:p>
    <w:p w14:paraId="7F0AB6C9" w14:textId="77777777" w:rsidR="00E91E10" w:rsidRPr="00E91E10" w:rsidRDefault="00E91E10" w:rsidP="00E91E10">
      <w:pPr>
        <w:rPr>
          <w:rFonts w:eastAsia="Calibri" w:cs="Arial"/>
          <w:sz w:val="20"/>
          <w:szCs w:val="20"/>
        </w:rPr>
      </w:pPr>
      <w:r w:rsidRPr="00E91E10">
        <w:rPr>
          <w:rFonts w:eastAsia="Calibri" w:cs="Arial"/>
          <w:sz w:val="20"/>
          <w:szCs w:val="20"/>
        </w:rPr>
        <w:t>Oakland, CA  94612</w:t>
      </w:r>
    </w:p>
    <w:p w14:paraId="59133880" w14:textId="77777777" w:rsidR="00E91E10" w:rsidRPr="00E91E10" w:rsidRDefault="007634D7" w:rsidP="00E91E10">
      <w:pPr>
        <w:rPr>
          <w:rFonts w:eastAsia="Calibri" w:cs="Arial"/>
          <w:sz w:val="20"/>
          <w:szCs w:val="20"/>
        </w:rPr>
      </w:pPr>
      <w:hyperlink r:id="rId36" w:history="1">
        <w:r w:rsidR="00E91E10" w:rsidRPr="00E91E10">
          <w:rPr>
            <w:rFonts w:eastAsia="Calibri" w:cs="Arial"/>
            <w:sz w:val="20"/>
            <w:szCs w:val="20"/>
          </w:rPr>
          <w:t>Tony.mendoza@sierraclub.org</w:t>
        </w:r>
      </w:hyperlink>
    </w:p>
    <w:p w14:paraId="516B6D87" w14:textId="77777777" w:rsidR="00E91E10" w:rsidRPr="00E91E10" w:rsidRDefault="00E91E10" w:rsidP="00E91E10">
      <w:pPr>
        <w:rPr>
          <w:rFonts w:eastAsia="Calibri" w:cs="Arial"/>
          <w:sz w:val="20"/>
          <w:szCs w:val="20"/>
        </w:rPr>
      </w:pPr>
      <w:r w:rsidRPr="00E91E10">
        <w:rPr>
          <w:rFonts w:eastAsia="Calibri" w:cs="Arial"/>
          <w:sz w:val="20"/>
          <w:szCs w:val="20"/>
        </w:rPr>
        <w:t>Kristin.henry@sierraclub.org</w:t>
      </w:r>
    </w:p>
    <w:p w14:paraId="2155A485" w14:textId="77777777" w:rsidR="00E91E10" w:rsidRPr="00E91E10" w:rsidRDefault="00E91E10" w:rsidP="00E91E10">
      <w:pPr>
        <w:rPr>
          <w:rFonts w:eastAsia="Calibri" w:cs="Arial"/>
          <w:sz w:val="20"/>
          <w:szCs w:val="20"/>
        </w:rPr>
      </w:pPr>
    </w:p>
    <w:p w14:paraId="6D9538F0" w14:textId="77777777" w:rsidR="00E91E10" w:rsidRPr="00E91E10" w:rsidRDefault="00E91E10" w:rsidP="00E91E10">
      <w:pPr>
        <w:rPr>
          <w:rFonts w:eastAsia="Calibri" w:cs="Arial"/>
          <w:sz w:val="20"/>
          <w:szCs w:val="20"/>
        </w:rPr>
      </w:pPr>
      <w:r w:rsidRPr="00E91E10">
        <w:rPr>
          <w:rFonts w:eastAsia="Calibri" w:cs="Arial"/>
          <w:sz w:val="20"/>
          <w:szCs w:val="20"/>
        </w:rPr>
        <w:t>Christopher M. Bzdok</w:t>
      </w:r>
    </w:p>
    <w:p w14:paraId="10B638FD" w14:textId="77777777" w:rsidR="00E91E10" w:rsidRPr="00E91E10" w:rsidRDefault="00E91E10" w:rsidP="00E91E10">
      <w:pPr>
        <w:rPr>
          <w:rFonts w:eastAsia="Calibri" w:cs="Arial"/>
          <w:sz w:val="20"/>
          <w:szCs w:val="20"/>
        </w:rPr>
      </w:pPr>
      <w:r w:rsidRPr="00E91E10">
        <w:rPr>
          <w:rFonts w:eastAsia="Calibri" w:cs="Arial"/>
          <w:sz w:val="20"/>
          <w:szCs w:val="20"/>
        </w:rPr>
        <w:t>Olson Bzdok &amp; Howard, P.C.</w:t>
      </w:r>
    </w:p>
    <w:p w14:paraId="39B507AB" w14:textId="77777777" w:rsidR="00E91E10" w:rsidRPr="00E91E10" w:rsidRDefault="00E91E10" w:rsidP="00E91E10">
      <w:pPr>
        <w:rPr>
          <w:rFonts w:eastAsia="Calibri" w:cs="Arial"/>
          <w:sz w:val="20"/>
          <w:szCs w:val="20"/>
        </w:rPr>
      </w:pPr>
      <w:r w:rsidRPr="00E91E10">
        <w:rPr>
          <w:rFonts w:eastAsia="Calibri" w:cs="Arial"/>
          <w:sz w:val="20"/>
          <w:szCs w:val="20"/>
        </w:rPr>
        <w:t>420 E. Front Street</w:t>
      </w:r>
    </w:p>
    <w:p w14:paraId="70F40914" w14:textId="77777777" w:rsidR="00E91E10" w:rsidRPr="00E91E10" w:rsidRDefault="00E91E10" w:rsidP="00E91E10">
      <w:pPr>
        <w:rPr>
          <w:rFonts w:eastAsia="Calibri" w:cs="Arial"/>
          <w:sz w:val="20"/>
          <w:szCs w:val="20"/>
        </w:rPr>
      </w:pPr>
      <w:r w:rsidRPr="00E91E10">
        <w:rPr>
          <w:rFonts w:eastAsia="Calibri" w:cs="Arial"/>
          <w:sz w:val="20"/>
          <w:szCs w:val="20"/>
        </w:rPr>
        <w:t>Traverse City, MI  49686</w:t>
      </w:r>
    </w:p>
    <w:p w14:paraId="5D0D3BED" w14:textId="77777777" w:rsidR="00E91E10" w:rsidRPr="00E91E10" w:rsidRDefault="007634D7" w:rsidP="00E91E10">
      <w:pPr>
        <w:rPr>
          <w:rFonts w:eastAsia="Calibri" w:cs="Arial"/>
          <w:sz w:val="20"/>
          <w:szCs w:val="20"/>
        </w:rPr>
      </w:pPr>
      <w:hyperlink r:id="rId37" w:history="1">
        <w:r w:rsidR="00E91E10" w:rsidRPr="00E91E10">
          <w:rPr>
            <w:rFonts w:eastAsia="Calibri" w:cs="Arial"/>
            <w:color w:val="0000FF" w:themeColor="hyperlink"/>
            <w:sz w:val="20"/>
            <w:szCs w:val="20"/>
            <w:u w:val="single"/>
          </w:rPr>
          <w:t>chris@envlaw.com</w:t>
        </w:r>
      </w:hyperlink>
    </w:p>
    <w:p w14:paraId="5FC0D015" w14:textId="77777777" w:rsidR="00E91E10" w:rsidRPr="00E91E10" w:rsidRDefault="00E91E10" w:rsidP="00E91E10">
      <w:pPr>
        <w:rPr>
          <w:rFonts w:eastAsia="Calibri" w:cs="Arial"/>
          <w:sz w:val="20"/>
          <w:szCs w:val="20"/>
        </w:rPr>
      </w:pPr>
    </w:p>
    <w:p w14:paraId="02FB9F6F" w14:textId="77777777" w:rsidR="00E91E10" w:rsidRPr="00E91E10" w:rsidRDefault="00E91E10" w:rsidP="00E91E10">
      <w:pPr>
        <w:rPr>
          <w:rFonts w:ascii="Arial Bold" w:eastAsia="Calibri" w:hAnsi="Arial Bold" w:cs="Arial"/>
          <w:b/>
          <w:smallCaps/>
          <w:sz w:val="20"/>
          <w:szCs w:val="20"/>
        </w:rPr>
      </w:pPr>
      <w:r w:rsidRPr="00E91E10">
        <w:rPr>
          <w:rFonts w:ascii="Arial Bold" w:eastAsia="Calibri" w:hAnsi="Arial Bold" w:cs="Arial"/>
          <w:b/>
          <w:smallCaps/>
          <w:sz w:val="20"/>
          <w:szCs w:val="20"/>
        </w:rPr>
        <w:t>Counsel for Sierra Club</w:t>
      </w:r>
    </w:p>
    <w:p w14:paraId="0A2004B9" w14:textId="77777777" w:rsidR="00E91E10" w:rsidRPr="00E91E10" w:rsidRDefault="00E91E10" w:rsidP="00E91E10">
      <w:pPr>
        <w:rPr>
          <w:rFonts w:ascii="Arial Bold" w:eastAsia="Calibri" w:hAnsi="Arial Bold" w:cs="Arial"/>
          <w:b/>
          <w:smallCaps/>
          <w:sz w:val="20"/>
          <w:szCs w:val="20"/>
        </w:rPr>
      </w:pPr>
    </w:p>
    <w:p w14:paraId="0961E4CF" w14:textId="77777777" w:rsidR="00E91E10" w:rsidRPr="00E91E10" w:rsidRDefault="00E91E10" w:rsidP="00E91E10">
      <w:pPr>
        <w:rPr>
          <w:rFonts w:eastAsia="Calibri" w:cs="Arial"/>
          <w:sz w:val="20"/>
          <w:szCs w:val="20"/>
        </w:rPr>
      </w:pPr>
      <w:r w:rsidRPr="00E91E10">
        <w:rPr>
          <w:rFonts w:eastAsia="Calibri" w:cs="Arial"/>
          <w:sz w:val="20"/>
          <w:szCs w:val="20"/>
        </w:rPr>
        <w:t>Steven D. Lesser</w:t>
      </w:r>
    </w:p>
    <w:p w14:paraId="0B939B21" w14:textId="77777777" w:rsidR="00E91E10" w:rsidRPr="00E91E10" w:rsidRDefault="00E91E10" w:rsidP="00E91E10">
      <w:pPr>
        <w:rPr>
          <w:rFonts w:eastAsia="Calibri" w:cs="Arial"/>
          <w:sz w:val="20"/>
          <w:szCs w:val="20"/>
        </w:rPr>
      </w:pPr>
      <w:r w:rsidRPr="00E91E10">
        <w:rPr>
          <w:rFonts w:eastAsia="Calibri" w:cs="Arial"/>
          <w:sz w:val="20"/>
          <w:szCs w:val="20"/>
        </w:rPr>
        <w:t>James F. Lang</w:t>
      </w:r>
    </w:p>
    <w:p w14:paraId="38B30594" w14:textId="77777777" w:rsidR="00E91E10" w:rsidRPr="00E91E10" w:rsidRDefault="00E91E10" w:rsidP="00E91E10">
      <w:pPr>
        <w:rPr>
          <w:rFonts w:eastAsia="Calibri" w:cs="Arial"/>
          <w:sz w:val="20"/>
          <w:szCs w:val="20"/>
        </w:rPr>
      </w:pPr>
      <w:r w:rsidRPr="00E91E10">
        <w:rPr>
          <w:rFonts w:eastAsia="Calibri" w:cs="Arial"/>
          <w:sz w:val="20"/>
          <w:szCs w:val="20"/>
        </w:rPr>
        <w:t>N. Trevor Alexander</w:t>
      </w:r>
    </w:p>
    <w:p w14:paraId="46E9C15E" w14:textId="77777777" w:rsidR="00E91E10" w:rsidRPr="00E91E10" w:rsidRDefault="00E91E10" w:rsidP="00E91E10">
      <w:pPr>
        <w:rPr>
          <w:rFonts w:eastAsia="Calibri" w:cs="Arial"/>
          <w:sz w:val="20"/>
          <w:szCs w:val="20"/>
        </w:rPr>
      </w:pPr>
      <w:r w:rsidRPr="00E91E10">
        <w:rPr>
          <w:rFonts w:eastAsia="Calibri" w:cs="Arial"/>
          <w:sz w:val="20"/>
          <w:szCs w:val="20"/>
        </w:rPr>
        <w:t>Mark T. Keaney</w:t>
      </w:r>
    </w:p>
    <w:p w14:paraId="10AC1010" w14:textId="77777777" w:rsidR="00E91E10" w:rsidRPr="00E91E10" w:rsidRDefault="00E91E10" w:rsidP="00E91E10">
      <w:pPr>
        <w:rPr>
          <w:rFonts w:eastAsia="Calibri" w:cs="Arial"/>
          <w:sz w:val="20"/>
          <w:szCs w:val="20"/>
        </w:rPr>
      </w:pPr>
      <w:r w:rsidRPr="00E91E10">
        <w:rPr>
          <w:rFonts w:eastAsia="Calibri" w:cs="Arial"/>
          <w:sz w:val="20"/>
          <w:szCs w:val="20"/>
        </w:rPr>
        <w:t>Calfee, Halter &amp; Griswold LLP</w:t>
      </w:r>
    </w:p>
    <w:p w14:paraId="33F0F248" w14:textId="77777777" w:rsidR="00E91E10" w:rsidRPr="00E91E10" w:rsidRDefault="00E91E10" w:rsidP="00E91E10">
      <w:pPr>
        <w:rPr>
          <w:rFonts w:eastAsia="Calibri" w:cs="Arial"/>
          <w:sz w:val="20"/>
          <w:szCs w:val="20"/>
        </w:rPr>
      </w:pPr>
      <w:r w:rsidRPr="00E91E10">
        <w:rPr>
          <w:rFonts w:eastAsia="Calibri" w:cs="Arial"/>
          <w:sz w:val="20"/>
          <w:szCs w:val="20"/>
        </w:rPr>
        <w:t>41 S. High St.</w:t>
      </w:r>
    </w:p>
    <w:p w14:paraId="3D8B7E09" w14:textId="77777777" w:rsidR="00E91E10" w:rsidRPr="00E91E10" w:rsidRDefault="00E91E10" w:rsidP="00E91E10">
      <w:pPr>
        <w:rPr>
          <w:rFonts w:eastAsia="Calibri" w:cs="Arial"/>
          <w:sz w:val="20"/>
          <w:szCs w:val="20"/>
        </w:rPr>
      </w:pPr>
      <w:r w:rsidRPr="00E91E10">
        <w:rPr>
          <w:rFonts w:eastAsia="Calibri" w:cs="Arial"/>
          <w:sz w:val="20"/>
          <w:szCs w:val="20"/>
        </w:rPr>
        <w:t>1200 Huntington Center</w:t>
      </w:r>
    </w:p>
    <w:p w14:paraId="2B6EFCDB" w14:textId="77777777" w:rsidR="00E91E10" w:rsidRPr="00E91E10" w:rsidRDefault="00E91E10" w:rsidP="00E91E10">
      <w:pPr>
        <w:rPr>
          <w:rFonts w:eastAsia="Calibri" w:cs="Arial"/>
          <w:sz w:val="20"/>
          <w:szCs w:val="20"/>
        </w:rPr>
      </w:pPr>
      <w:r w:rsidRPr="00E91E10">
        <w:rPr>
          <w:rFonts w:eastAsia="Calibri" w:cs="Arial"/>
          <w:sz w:val="20"/>
          <w:szCs w:val="20"/>
        </w:rPr>
        <w:t>Columbus, OH  43215</w:t>
      </w:r>
    </w:p>
    <w:p w14:paraId="5BE73260" w14:textId="77777777" w:rsidR="00E91E10" w:rsidRPr="00E91E10" w:rsidRDefault="007634D7" w:rsidP="00E91E10">
      <w:pPr>
        <w:rPr>
          <w:rFonts w:eastAsia="Calibri" w:cs="Arial"/>
          <w:sz w:val="20"/>
          <w:szCs w:val="20"/>
        </w:rPr>
      </w:pPr>
      <w:hyperlink r:id="rId38" w:history="1">
        <w:r w:rsidR="00E91E10" w:rsidRPr="00E91E10">
          <w:rPr>
            <w:rFonts w:eastAsia="Calibri" w:cs="Arial"/>
            <w:sz w:val="20"/>
            <w:szCs w:val="20"/>
          </w:rPr>
          <w:t>slesser@calfee.com</w:t>
        </w:r>
      </w:hyperlink>
    </w:p>
    <w:p w14:paraId="4F847E64" w14:textId="77777777" w:rsidR="00E91E10" w:rsidRPr="00E91E10" w:rsidRDefault="007634D7" w:rsidP="00E91E10">
      <w:pPr>
        <w:rPr>
          <w:rFonts w:eastAsia="Calibri" w:cs="Arial"/>
          <w:sz w:val="20"/>
          <w:szCs w:val="20"/>
        </w:rPr>
      </w:pPr>
      <w:hyperlink r:id="rId39" w:history="1">
        <w:r w:rsidR="00E91E10" w:rsidRPr="00E91E10">
          <w:rPr>
            <w:rFonts w:eastAsia="Calibri" w:cs="Arial"/>
            <w:sz w:val="20"/>
            <w:szCs w:val="20"/>
          </w:rPr>
          <w:t>jlang@calfee.com</w:t>
        </w:r>
      </w:hyperlink>
    </w:p>
    <w:p w14:paraId="28F1A349" w14:textId="77777777" w:rsidR="00E91E10" w:rsidRPr="00E91E10" w:rsidRDefault="007634D7" w:rsidP="00E91E10">
      <w:pPr>
        <w:rPr>
          <w:rFonts w:eastAsia="Calibri" w:cs="Arial"/>
          <w:sz w:val="20"/>
          <w:szCs w:val="20"/>
        </w:rPr>
      </w:pPr>
      <w:hyperlink r:id="rId40" w:history="1">
        <w:r w:rsidR="00E91E10" w:rsidRPr="00E91E10">
          <w:rPr>
            <w:rFonts w:eastAsia="Calibri" w:cs="Arial"/>
            <w:sz w:val="20"/>
            <w:szCs w:val="20"/>
          </w:rPr>
          <w:t>talexander@calfee.com</w:t>
        </w:r>
      </w:hyperlink>
    </w:p>
    <w:p w14:paraId="59120301" w14:textId="77777777" w:rsidR="00E91E10" w:rsidRPr="00E91E10" w:rsidRDefault="007634D7" w:rsidP="00E91E10">
      <w:pPr>
        <w:rPr>
          <w:rFonts w:eastAsia="Calibri" w:cs="Arial"/>
          <w:sz w:val="20"/>
          <w:szCs w:val="20"/>
        </w:rPr>
      </w:pPr>
      <w:hyperlink r:id="rId41" w:history="1">
        <w:r w:rsidR="00E91E10" w:rsidRPr="00E91E10">
          <w:rPr>
            <w:rFonts w:eastAsia="Calibri" w:cs="Arial"/>
            <w:color w:val="0000FF" w:themeColor="hyperlink"/>
            <w:sz w:val="20"/>
            <w:szCs w:val="20"/>
            <w:u w:val="single"/>
          </w:rPr>
          <w:t>mkeaney@calfee.com</w:t>
        </w:r>
      </w:hyperlink>
    </w:p>
    <w:p w14:paraId="230A3540" w14:textId="77777777" w:rsidR="00E91E10" w:rsidRPr="00E91E10" w:rsidRDefault="00E91E10" w:rsidP="00E91E10">
      <w:pPr>
        <w:rPr>
          <w:rFonts w:eastAsia="Calibri" w:cs="Arial"/>
          <w:sz w:val="20"/>
          <w:szCs w:val="20"/>
        </w:rPr>
      </w:pPr>
    </w:p>
    <w:p w14:paraId="59A9A3B4" w14:textId="77777777" w:rsidR="00E91E10" w:rsidRPr="00E91E10" w:rsidRDefault="00E91E10" w:rsidP="00E91E10">
      <w:pPr>
        <w:rPr>
          <w:rFonts w:ascii="Arial Bold" w:eastAsia="Calibri" w:hAnsi="Arial Bold" w:cs="Arial"/>
          <w:b/>
          <w:smallCaps/>
          <w:sz w:val="20"/>
          <w:szCs w:val="20"/>
        </w:rPr>
      </w:pPr>
      <w:r w:rsidRPr="00E91E10">
        <w:rPr>
          <w:rFonts w:ascii="Arial Bold" w:eastAsia="Calibri" w:hAnsi="Arial Bold" w:cs="Arial"/>
          <w:b/>
          <w:smallCaps/>
          <w:sz w:val="20"/>
          <w:szCs w:val="20"/>
        </w:rPr>
        <w:t>Counsel for the City of Dayton and Honda of America Mfg., Inc.</w:t>
      </w:r>
    </w:p>
    <w:p w14:paraId="5BFA06DB" w14:textId="77777777" w:rsidR="00E91E10" w:rsidRPr="00E91E10" w:rsidRDefault="00E91E10" w:rsidP="00E91E10">
      <w:pPr>
        <w:rPr>
          <w:rFonts w:ascii="Arial Bold" w:eastAsia="Calibri" w:hAnsi="Arial Bold" w:cs="Arial"/>
          <w:b/>
          <w:smallCaps/>
          <w:sz w:val="20"/>
          <w:szCs w:val="20"/>
        </w:rPr>
      </w:pPr>
    </w:p>
    <w:p w14:paraId="21E5F0ED" w14:textId="77777777" w:rsidR="00E91E10" w:rsidRPr="00E91E10" w:rsidRDefault="00E91E10" w:rsidP="00E91E10">
      <w:pPr>
        <w:rPr>
          <w:rFonts w:cs="Arial"/>
          <w:sz w:val="20"/>
          <w:szCs w:val="20"/>
        </w:rPr>
      </w:pPr>
      <w:r w:rsidRPr="00E91E10">
        <w:rPr>
          <w:rFonts w:cs="Arial"/>
          <w:sz w:val="20"/>
          <w:szCs w:val="20"/>
        </w:rPr>
        <w:br w:type="column"/>
      </w:r>
      <w:r w:rsidRPr="00E91E10">
        <w:rPr>
          <w:rFonts w:cs="Arial"/>
          <w:sz w:val="20"/>
          <w:szCs w:val="20"/>
        </w:rPr>
        <w:t>Amy B. Spiller</w:t>
      </w:r>
    </w:p>
    <w:p w14:paraId="0D58871F" w14:textId="77777777" w:rsidR="00E91E10" w:rsidRPr="00E91E10" w:rsidRDefault="00E91E10" w:rsidP="00E91E10">
      <w:pPr>
        <w:rPr>
          <w:rFonts w:cs="Arial"/>
          <w:sz w:val="20"/>
          <w:szCs w:val="20"/>
        </w:rPr>
      </w:pPr>
      <w:r w:rsidRPr="00E91E10">
        <w:rPr>
          <w:rFonts w:cs="Arial"/>
          <w:sz w:val="20"/>
          <w:szCs w:val="20"/>
        </w:rPr>
        <w:t>Elizabeth H. Watts</w:t>
      </w:r>
    </w:p>
    <w:p w14:paraId="18446DA1" w14:textId="77777777" w:rsidR="00E91E10" w:rsidRPr="00E91E10" w:rsidRDefault="00E91E10" w:rsidP="00E91E10">
      <w:pPr>
        <w:rPr>
          <w:rFonts w:cs="Arial"/>
          <w:sz w:val="20"/>
          <w:szCs w:val="20"/>
        </w:rPr>
      </w:pPr>
      <w:r w:rsidRPr="00E91E10">
        <w:rPr>
          <w:rFonts w:cs="Arial"/>
          <w:sz w:val="20"/>
          <w:szCs w:val="20"/>
        </w:rPr>
        <w:t>Jeanne W. Kingery</w:t>
      </w:r>
    </w:p>
    <w:p w14:paraId="142E8A44" w14:textId="77777777" w:rsidR="00E91E10" w:rsidRPr="00E91E10" w:rsidRDefault="00E91E10" w:rsidP="00E91E10">
      <w:pPr>
        <w:rPr>
          <w:rFonts w:cs="Arial"/>
          <w:sz w:val="20"/>
          <w:szCs w:val="20"/>
        </w:rPr>
      </w:pPr>
      <w:r w:rsidRPr="00E91E10">
        <w:rPr>
          <w:rFonts w:cs="Arial"/>
          <w:sz w:val="20"/>
          <w:szCs w:val="20"/>
        </w:rPr>
        <w:t>139 East Fourth Street</w:t>
      </w:r>
    </w:p>
    <w:p w14:paraId="587AFED6" w14:textId="77777777" w:rsidR="00E91E10" w:rsidRPr="00E91E10" w:rsidRDefault="00E91E10" w:rsidP="00E91E10">
      <w:pPr>
        <w:rPr>
          <w:rFonts w:cs="Arial"/>
          <w:sz w:val="20"/>
          <w:szCs w:val="20"/>
        </w:rPr>
      </w:pPr>
      <w:r w:rsidRPr="00E91E10">
        <w:rPr>
          <w:rFonts w:cs="Arial"/>
          <w:sz w:val="20"/>
          <w:szCs w:val="20"/>
        </w:rPr>
        <w:t>1303-Main</w:t>
      </w:r>
    </w:p>
    <w:p w14:paraId="018F3110" w14:textId="77777777" w:rsidR="00E91E10" w:rsidRPr="00E91E10" w:rsidRDefault="00E91E10" w:rsidP="00E91E10">
      <w:pPr>
        <w:rPr>
          <w:rFonts w:cs="Arial"/>
          <w:sz w:val="20"/>
          <w:szCs w:val="20"/>
        </w:rPr>
      </w:pPr>
      <w:r w:rsidRPr="00E91E10">
        <w:rPr>
          <w:rFonts w:cs="Arial"/>
          <w:sz w:val="20"/>
          <w:szCs w:val="20"/>
        </w:rPr>
        <w:t>Cincinnati, OH  45202</w:t>
      </w:r>
    </w:p>
    <w:p w14:paraId="6D59D3B4" w14:textId="77777777" w:rsidR="00E91E10" w:rsidRPr="00E91E10" w:rsidRDefault="00E91E10" w:rsidP="00E91E10">
      <w:pPr>
        <w:rPr>
          <w:rFonts w:cs="Arial"/>
          <w:sz w:val="20"/>
          <w:szCs w:val="20"/>
        </w:rPr>
      </w:pPr>
      <w:r w:rsidRPr="00E91E10">
        <w:rPr>
          <w:rFonts w:cs="Arial"/>
          <w:sz w:val="20"/>
          <w:szCs w:val="20"/>
        </w:rPr>
        <w:t>Amy.Spiller@Duke-Energy.com</w:t>
      </w:r>
    </w:p>
    <w:p w14:paraId="2A1B96A1" w14:textId="77777777" w:rsidR="00E91E10" w:rsidRPr="00E91E10" w:rsidRDefault="00E91E10" w:rsidP="00E91E10">
      <w:pPr>
        <w:rPr>
          <w:rFonts w:cs="Arial"/>
          <w:sz w:val="20"/>
          <w:szCs w:val="20"/>
        </w:rPr>
      </w:pPr>
      <w:r w:rsidRPr="00E91E10">
        <w:rPr>
          <w:rFonts w:cs="Arial"/>
          <w:sz w:val="20"/>
          <w:szCs w:val="20"/>
        </w:rPr>
        <w:t>elizabeth.watts@duke-energy.com</w:t>
      </w:r>
    </w:p>
    <w:p w14:paraId="7F6E75A0" w14:textId="77777777" w:rsidR="00E91E10" w:rsidRPr="00E91E10" w:rsidRDefault="00E91E10" w:rsidP="00E91E10">
      <w:pPr>
        <w:rPr>
          <w:rFonts w:cs="Arial"/>
          <w:sz w:val="20"/>
          <w:szCs w:val="20"/>
        </w:rPr>
      </w:pPr>
      <w:r w:rsidRPr="00E91E10">
        <w:rPr>
          <w:rFonts w:cs="Arial"/>
          <w:sz w:val="20"/>
          <w:szCs w:val="20"/>
        </w:rPr>
        <w:t>Jeanne.kingery@duke-energy.com</w:t>
      </w:r>
    </w:p>
    <w:p w14:paraId="4BA384D8" w14:textId="77777777" w:rsidR="00E91E10" w:rsidRPr="00E91E10" w:rsidRDefault="00E91E10" w:rsidP="00E91E10">
      <w:pPr>
        <w:rPr>
          <w:rFonts w:cs="Arial"/>
          <w:sz w:val="20"/>
          <w:szCs w:val="20"/>
        </w:rPr>
      </w:pPr>
    </w:p>
    <w:p w14:paraId="5B2C26E9" w14:textId="77777777" w:rsidR="00E91E10" w:rsidRPr="00E91E10" w:rsidRDefault="00E91E10" w:rsidP="00E91E10">
      <w:pPr>
        <w:rPr>
          <w:rFonts w:ascii="Arial Bold" w:eastAsia="Calibri" w:hAnsi="Arial Bold" w:cs="Arial"/>
          <w:b/>
          <w:smallCaps/>
          <w:sz w:val="20"/>
          <w:szCs w:val="20"/>
        </w:rPr>
      </w:pPr>
      <w:r w:rsidRPr="00E91E10">
        <w:rPr>
          <w:rFonts w:ascii="Arial Bold" w:eastAsia="Calibri" w:hAnsi="Arial Bold" w:cs="Arial"/>
          <w:b/>
          <w:smallCaps/>
          <w:sz w:val="20"/>
          <w:szCs w:val="20"/>
        </w:rPr>
        <w:t>Counsel for Duke energy Ohio, Inc.</w:t>
      </w:r>
    </w:p>
    <w:p w14:paraId="47DDADAF" w14:textId="77777777" w:rsidR="00E91E10" w:rsidRPr="00E91E10" w:rsidRDefault="00E91E10" w:rsidP="00E91E10">
      <w:pPr>
        <w:rPr>
          <w:rFonts w:cs="Arial"/>
          <w:sz w:val="20"/>
          <w:szCs w:val="20"/>
        </w:rPr>
      </w:pPr>
    </w:p>
    <w:p w14:paraId="1E5CE1C7" w14:textId="77777777" w:rsidR="00E91E10" w:rsidRPr="00E91E10" w:rsidRDefault="00E91E10" w:rsidP="00E91E10">
      <w:pPr>
        <w:rPr>
          <w:rFonts w:eastAsia="Calibri" w:cs="Arial"/>
          <w:sz w:val="20"/>
          <w:szCs w:val="20"/>
        </w:rPr>
      </w:pPr>
      <w:r w:rsidRPr="00E91E10">
        <w:rPr>
          <w:rFonts w:eastAsia="Calibri" w:cs="Arial"/>
          <w:sz w:val="20"/>
          <w:szCs w:val="20"/>
        </w:rPr>
        <w:t>Lisa Hawrot</w:t>
      </w:r>
    </w:p>
    <w:p w14:paraId="6C4E428B" w14:textId="77777777" w:rsidR="00E91E10" w:rsidRPr="00E91E10" w:rsidRDefault="00E91E10" w:rsidP="00E91E10">
      <w:pPr>
        <w:rPr>
          <w:rFonts w:eastAsia="Calibri" w:cs="Arial"/>
          <w:sz w:val="20"/>
          <w:szCs w:val="20"/>
        </w:rPr>
      </w:pPr>
      <w:r w:rsidRPr="00E91E10">
        <w:rPr>
          <w:rFonts w:eastAsia="Calibri" w:cs="Arial"/>
          <w:sz w:val="20"/>
          <w:szCs w:val="20"/>
        </w:rPr>
        <w:t>Spilman Thomas &amp; Battle, PLLC</w:t>
      </w:r>
    </w:p>
    <w:p w14:paraId="115BB1A1" w14:textId="77777777" w:rsidR="00E91E10" w:rsidRPr="00E91E10" w:rsidRDefault="00E91E10" w:rsidP="00E91E10">
      <w:pPr>
        <w:rPr>
          <w:rFonts w:eastAsia="Calibri" w:cs="Arial"/>
          <w:sz w:val="20"/>
          <w:szCs w:val="20"/>
        </w:rPr>
      </w:pPr>
      <w:r w:rsidRPr="00E91E10">
        <w:rPr>
          <w:rFonts w:eastAsia="Calibri" w:cs="Arial"/>
          <w:sz w:val="20"/>
          <w:szCs w:val="20"/>
        </w:rPr>
        <w:t>Century Centre Building</w:t>
      </w:r>
    </w:p>
    <w:p w14:paraId="05BA2CF5" w14:textId="77777777" w:rsidR="00E91E10" w:rsidRPr="00E91E10" w:rsidRDefault="00E91E10" w:rsidP="00E91E10">
      <w:pPr>
        <w:rPr>
          <w:rFonts w:eastAsia="Calibri" w:cs="Arial"/>
          <w:sz w:val="20"/>
          <w:szCs w:val="20"/>
        </w:rPr>
      </w:pPr>
      <w:r w:rsidRPr="00E91E10">
        <w:rPr>
          <w:rFonts w:eastAsia="Calibri" w:cs="Arial"/>
          <w:sz w:val="20"/>
          <w:szCs w:val="20"/>
        </w:rPr>
        <w:t>1233 Main Street, Suite 4000</w:t>
      </w:r>
    </w:p>
    <w:p w14:paraId="525B60B6" w14:textId="77777777" w:rsidR="00E91E10" w:rsidRPr="00E91E10" w:rsidRDefault="00E91E10" w:rsidP="00E91E10">
      <w:pPr>
        <w:rPr>
          <w:rFonts w:eastAsia="Calibri" w:cs="Arial"/>
          <w:sz w:val="20"/>
          <w:szCs w:val="20"/>
        </w:rPr>
      </w:pPr>
      <w:r w:rsidRPr="00E91E10">
        <w:rPr>
          <w:rFonts w:eastAsia="Calibri" w:cs="Arial"/>
          <w:sz w:val="20"/>
          <w:szCs w:val="20"/>
        </w:rPr>
        <w:t>Wheeling, WV 26003</w:t>
      </w:r>
    </w:p>
    <w:p w14:paraId="1699F851" w14:textId="77777777" w:rsidR="00E91E10" w:rsidRPr="00E91E10" w:rsidRDefault="007634D7" w:rsidP="00E91E10">
      <w:pPr>
        <w:rPr>
          <w:rFonts w:eastAsia="Calibri" w:cs="Arial"/>
          <w:sz w:val="20"/>
          <w:szCs w:val="20"/>
        </w:rPr>
      </w:pPr>
      <w:hyperlink r:id="rId42" w:history="1">
        <w:r w:rsidR="00E91E10" w:rsidRPr="00E91E10">
          <w:rPr>
            <w:rFonts w:eastAsia="Calibri" w:cs="Arial"/>
            <w:sz w:val="20"/>
            <w:szCs w:val="20"/>
          </w:rPr>
          <w:t>lhawrot@spilmanlaw.com</w:t>
        </w:r>
      </w:hyperlink>
    </w:p>
    <w:p w14:paraId="2BD7F8DE" w14:textId="77777777" w:rsidR="00E91E10" w:rsidRPr="00E91E10" w:rsidRDefault="00E91E10" w:rsidP="00E91E10">
      <w:pPr>
        <w:rPr>
          <w:rFonts w:ascii="Arial Bold" w:eastAsia="Calibri" w:hAnsi="Arial Bold" w:cs="Arial"/>
          <w:b/>
          <w:smallCaps/>
          <w:sz w:val="20"/>
          <w:szCs w:val="20"/>
        </w:rPr>
      </w:pPr>
    </w:p>
    <w:p w14:paraId="17733464" w14:textId="77777777" w:rsidR="00E91E10" w:rsidRPr="00E91E10" w:rsidRDefault="00E91E10" w:rsidP="00E91E10">
      <w:pPr>
        <w:rPr>
          <w:rFonts w:eastAsia="Calibri" w:cs="Arial"/>
          <w:sz w:val="20"/>
          <w:szCs w:val="20"/>
        </w:rPr>
      </w:pPr>
      <w:r w:rsidRPr="00E91E10">
        <w:rPr>
          <w:rFonts w:eastAsia="Calibri" w:cs="Arial"/>
          <w:sz w:val="20"/>
          <w:szCs w:val="20"/>
        </w:rPr>
        <w:t>Derrick Price Williamson</w:t>
      </w:r>
    </w:p>
    <w:p w14:paraId="39ADAEB4" w14:textId="77777777" w:rsidR="00E91E10" w:rsidRPr="00E91E10" w:rsidRDefault="00E91E10" w:rsidP="00E91E10">
      <w:pPr>
        <w:rPr>
          <w:rFonts w:eastAsia="Calibri" w:cs="Arial"/>
          <w:sz w:val="20"/>
          <w:szCs w:val="20"/>
        </w:rPr>
      </w:pPr>
      <w:r w:rsidRPr="00E91E10">
        <w:rPr>
          <w:rFonts w:eastAsia="Calibri" w:cs="Arial"/>
          <w:sz w:val="20"/>
          <w:szCs w:val="20"/>
        </w:rPr>
        <w:t>Spilman Thomas &amp; Battle, PLLC</w:t>
      </w:r>
    </w:p>
    <w:p w14:paraId="57140914" w14:textId="77777777" w:rsidR="00E91E10" w:rsidRPr="00E91E10" w:rsidRDefault="00E91E10" w:rsidP="00E91E10">
      <w:pPr>
        <w:rPr>
          <w:rFonts w:eastAsia="Calibri" w:cs="Arial"/>
          <w:sz w:val="20"/>
          <w:szCs w:val="20"/>
        </w:rPr>
      </w:pPr>
      <w:r w:rsidRPr="00E91E10">
        <w:rPr>
          <w:rFonts w:eastAsia="Calibri" w:cs="Arial"/>
          <w:sz w:val="20"/>
          <w:szCs w:val="20"/>
        </w:rPr>
        <w:t>1100 Bent Creek Blvd., Suite 101</w:t>
      </w:r>
    </w:p>
    <w:p w14:paraId="36AD2E5D" w14:textId="77777777" w:rsidR="00E91E10" w:rsidRPr="00E91E10" w:rsidRDefault="00E91E10" w:rsidP="00E91E10">
      <w:pPr>
        <w:rPr>
          <w:rFonts w:cs="Arial"/>
          <w:sz w:val="20"/>
          <w:szCs w:val="20"/>
        </w:rPr>
      </w:pPr>
      <w:r w:rsidRPr="00E91E10">
        <w:rPr>
          <w:rFonts w:cs="Arial"/>
          <w:sz w:val="20"/>
          <w:szCs w:val="20"/>
        </w:rPr>
        <w:t>Mechanicsburg, PA  17050</w:t>
      </w:r>
    </w:p>
    <w:p w14:paraId="2CD8876B" w14:textId="77777777" w:rsidR="00E91E10" w:rsidRPr="00E91E10" w:rsidRDefault="007634D7" w:rsidP="00E91E10">
      <w:pPr>
        <w:rPr>
          <w:rFonts w:cs="Arial"/>
          <w:sz w:val="20"/>
          <w:szCs w:val="20"/>
        </w:rPr>
      </w:pPr>
      <w:hyperlink r:id="rId43" w:history="1">
        <w:r w:rsidR="00E91E10" w:rsidRPr="00E91E10">
          <w:rPr>
            <w:rFonts w:cs="Arial"/>
            <w:sz w:val="20"/>
            <w:szCs w:val="20"/>
          </w:rPr>
          <w:t>dwilliamson@spilmanlaw.com</w:t>
        </w:r>
      </w:hyperlink>
    </w:p>
    <w:p w14:paraId="09CFE15A" w14:textId="77777777" w:rsidR="00E91E10" w:rsidRPr="00E91E10" w:rsidRDefault="00E91E10" w:rsidP="00E91E10">
      <w:pPr>
        <w:rPr>
          <w:rFonts w:cs="Arial"/>
          <w:sz w:val="20"/>
          <w:szCs w:val="20"/>
        </w:rPr>
      </w:pPr>
    </w:p>
    <w:p w14:paraId="0704E622" w14:textId="77777777" w:rsidR="00E91E10" w:rsidRPr="00E91E10" w:rsidRDefault="00E91E10" w:rsidP="00E91E10">
      <w:pPr>
        <w:rPr>
          <w:rFonts w:cs="Arial"/>
          <w:sz w:val="20"/>
          <w:szCs w:val="20"/>
        </w:rPr>
      </w:pPr>
      <w:r w:rsidRPr="00E91E10">
        <w:rPr>
          <w:rFonts w:cs="Arial"/>
          <w:sz w:val="20"/>
          <w:szCs w:val="20"/>
        </w:rPr>
        <w:t>Carrie M. Harris</w:t>
      </w:r>
    </w:p>
    <w:p w14:paraId="61FD4ED0" w14:textId="77777777" w:rsidR="00E91E10" w:rsidRPr="00E91E10" w:rsidRDefault="00E91E10" w:rsidP="00E91E10">
      <w:pPr>
        <w:rPr>
          <w:rFonts w:cs="Arial"/>
          <w:sz w:val="20"/>
          <w:szCs w:val="20"/>
        </w:rPr>
      </w:pPr>
      <w:r w:rsidRPr="00E91E10">
        <w:rPr>
          <w:rFonts w:cs="Arial"/>
          <w:sz w:val="20"/>
          <w:szCs w:val="20"/>
        </w:rPr>
        <w:t>Spilman Thomas &amp; Battle, PLLC</w:t>
      </w:r>
    </w:p>
    <w:p w14:paraId="4DC55EB3" w14:textId="77777777" w:rsidR="00E91E10" w:rsidRPr="00E91E10" w:rsidRDefault="00E91E10" w:rsidP="00E91E10">
      <w:pPr>
        <w:rPr>
          <w:rFonts w:cs="Arial"/>
          <w:sz w:val="20"/>
          <w:szCs w:val="20"/>
        </w:rPr>
      </w:pPr>
      <w:r w:rsidRPr="00E91E10">
        <w:rPr>
          <w:rFonts w:cs="Arial"/>
          <w:sz w:val="20"/>
          <w:szCs w:val="20"/>
        </w:rPr>
        <w:t>310 First Street, Suite 1100</w:t>
      </w:r>
    </w:p>
    <w:p w14:paraId="27CECA67" w14:textId="77777777" w:rsidR="00E91E10" w:rsidRPr="00E91E10" w:rsidRDefault="00E91E10" w:rsidP="00E91E10">
      <w:pPr>
        <w:rPr>
          <w:rFonts w:cs="Arial"/>
          <w:sz w:val="20"/>
          <w:szCs w:val="20"/>
        </w:rPr>
      </w:pPr>
      <w:r w:rsidRPr="00E91E10">
        <w:rPr>
          <w:rFonts w:cs="Arial"/>
          <w:sz w:val="20"/>
          <w:szCs w:val="20"/>
        </w:rPr>
        <w:t>PO Box 90</w:t>
      </w:r>
    </w:p>
    <w:p w14:paraId="43378EEF" w14:textId="77777777" w:rsidR="00E91E10" w:rsidRPr="00E91E10" w:rsidRDefault="00E91E10" w:rsidP="00E91E10">
      <w:pPr>
        <w:rPr>
          <w:rFonts w:cs="Arial"/>
          <w:sz w:val="20"/>
          <w:szCs w:val="20"/>
        </w:rPr>
      </w:pPr>
      <w:r w:rsidRPr="00E91E10">
        <w:rPr>
          <w:rFonts w:cs="Arial"/>
          <w:sz w:val="20"/>
          <w:szCs w:val="20"/>
        </w:rPr>
        <w:t>Roanoke, VA  24002-0090</w:t>
      </w:r>
    </w:p>
    <w:p w14:paraId="45734589" w14:textId="77777777" w:rsidR="00E91E10" w:rsidRPr="00E91E10" w:rsidRDefault="007634D7" w:rsidP="00E91E10">
      <w:pPr>
        <w:rPr>
          <w:rFonts w:cs="Arial"/>
          <w:sz w:val="20"/>
          <w:szCs w:val="20"/>
        </w:rPr>
      </w:pPr>
      <w:hyperlink r:id="rId44" w:history="1">
        <w:r w:rsidR="00E91E10" w:rsidRPr="00E91E10">
          <w:rPr>
            <w:rFonts w:cs="Arial"/>
            <w:sz w:val="20"/>
            <w:szCs w:val="20"/>
          </w:rPr>
          <w:t>charis@spilmanlaw.com</w:t>
        </w:r>
      </w:hyperlink>
    </w:p>
    <w:p w14:paraId="723F6305" w14:textId="77777777" w:rsidR="00E91E10" w:rsidRPr="00E91E10" w:rsidRDefault="00E91E10" w:rsidP="00E91E10">
      <w:pPr>
        <w:rPr>
          <w:rFonts w:cs="Arial"/>
          <w:sz w:val="20"/>
          <w:szCs w:val="20"/>
        </w:rPr>
      </w:pPr>
    </w:p>
    <w:p w14:paraId="04C6B73F"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to Wal-Mart Stores East, LP and Sam’s East, Inc.</w:t>
      </w:r>
    </w:p>
    <w:p w14:paraId="5670AC40" w14:textId="77777777" w:rsidR="00E91E10" w:rsidRPr="00E91E10" w:rsidRDefault="00E91E10" w:rsidP="00E91E10">
      <w:pPr>
        <w:rPr>
          <w:rFonts w:cs="Arial"/>
          <w:sz w:val="20"/>
          <w:szCs w:val="20"/>
        </w:rPr>
      </w:pPr>
    </w:p>
    <w:p w14:paraId="3B8CEE37" w14:textId="77777777" w:rsidR="00E91E10" w:rsidRPr="00E91E10" w:rsidRDefault="00E91E10" w:rsidP="00E91E10">
      <w:pPr>
        <w:rPr>
          <w:rFonts w:cs="Arial"/>
          <w:sz w:val="20"/>
          <w:szCs w:val="20"/>
        </w:rPr>
      </w:pPr>
      <w:r w:rsidRPr="00E91E10">
        <w:rPr>
          <w:rFonts w:cs="Arial"/>
          <w:sz w:val="20"/>
          <w:szCs w:val="20"/>
        </w:rPr>
        <w:t>Terrence O’Donnell</w:t>
      </w:r>
    </w:p>
    <w:p w14:paraId="289B7B17" w14:textId="77777777" w:rsidR="00E91E10" w:rsidRPr="00E91E10" w:rsidRDefault="00E91E10" w:rsidP="00E91E10">
      <w:pPr>
        <w:rPr>
          <w:rFonts w:cs="Arial"/>
          <w:sz w:val="20"/>
          <w:szCs w:val="20"/>
        </w:rPr>
      </w:pPr>
      <w:r w:rsidRPr="00E91E10">
        <w:rPr>
          <w:rFonts w:cs="Arial"/>
          <w:sz w:val="20"/>
          <w:szCs w:val="20"/>
        </w:rPr>
        <w:t>Raymond Seiler</w:t>
      </w:r>
    </w:p>
    <w:p w14:paraId="6FCDE34A" w14:textId="77777777" w:rsidR="00E91E10" w:rsidRPr="00E91E10" w:rsidRDefault="00E91E10" w:rsidP="00E91E10">
      <w:pPr>
        <w:rPr>
          <w:rFonts w:cs="Arial"/>
          <w:sz w:val="20"/>
          <w:szCs w:val="20"/>
        </w:rPr>
      </w:pPr>
      <w:r w:rsidRPr="00E91E10">
        <w:rPr>
          <w:rFonts w:cs="Arial"/>
          <w:sz w:val="20"/>
          <w:szCs w:val="20"/>
        </w:rPr>
        <w:t>Dickinson Wright PLLC</w:t>
      </w:r>
    </w:p>
    <w:p w14:paraId="48958817" w14:textId="77777777" w:rsidR="00E91E10" w:rsidRPr="00E91E10" w:rsidRDefault="00E91E10" w:rsidP="00E91E10">
      <w:pPr>
        <w:rPr>
          <w:rFonts w:cs="Arial"/>
          <w:sz w:val="20"/>
          <w:szCs w:val="20"/>
        </w:rPr>
      </w:pPr>
      <w:r w:rsidRPr="00E91E10">
        <w:rPr>
          <w:rFonts w:cs="Arial"/>
          <w:sz w:val="20"/>
          <w:szCs w:val="20"/>
        </w:rPr>
        <w:t>150 E. Gay Street, Suite 2400</w:t>
      </w:r>
    </w:p>
    <w:p w14:paraId="2B92BE16" w14:textId="77777777" w:rsidR="00E91E10" w:rsidRPr="00E91E10" w:rsidRDefault="00E91E10" w:rsidP="00E91E10">
      <w:pPr>
        <w:rPr>
          <w:rFonts w:cs="Arial"/>
          <w:sz w:val="20"/>
          <w:szCs w:val="20"/>
        </w:rPr>
      </w:pPr>
      <w:r w:rsidRPr="00E91E10">
        <w:rPr>
          <w:rFonts w:cs="Arial"/>
          <w:sz w:val="20"/>
          <w:szCs w:val="20"/>
        </w:rPr>
        <w:t>Columbus, OH  43215</w:t>
      </w:r>
    </w:p>
    <w:p w14:paraId="379322C4" w14:textId="77777777" w:rsidR="00E91E10" w:rsidRPr="00E91E10" w:rsidRDefault="007634D7" w:rsidP="00E91E10">
      <w:pPr>
        <w:rPr>
          <w:rFonts w:cs="Arial"/>
          <w:sz w:val="20"/>
          <w:szCs w:val="20"/>
        </w:rPr>
      </w:pPr>
      <w:hyperlink r:id="rId45" w:history="1">
        <w:r w:rsidR="00E91E10" w:rsidRPr="00E91E10">
          <w:rPr>
            <w:rFonts w:cs="Arial"/>
            <w:sz w:val="20"/>
            <w:szCs w:val="20"/>
          </w:rPr>
          <w:t>todonnell@dickinsonwright.com</w:t>
        </w:r>
      </w:hyperlink>
    </w:p>
    <w:p w14:paraId="22A98BB4" w14:textId="77777777" w:rsidR="00E91E10" w:rsidRPr="00E91E10" w:rsidRDefault="007634D7" w:rsidP="00E91E10">
      <w:pPr>
        <w:rPr>
          <w:rFonts w:cs="Arial"/>
          <w:sz w:val="20"/>
          <w:szCs w:val="20"/>
        </w:rPr>
      </w:pPr>
      <w:hyperlink r:id="rId46" w:history="1">
        <w:r w:rsidR="00E91E10" w:rsidRPr="00E91E10">
          <w:rPr>
            <w:rFonts w:cs="Arial"/>
            <w:sz w:val="20"/>
            <w:szCs w:val="20"/>
          </w:rPr>
          <w:t>rseiler@dickinsonwright.com</w:t>
        </w:r>
      </w:hyperlink>
    </w:p>
    <w:p w14:paraId="5D612B57" w14:textId="77777777" w:rsidR="00E91E10" w:rsidRPr="00E91E10" w:rsidRDefault="00E91E10" w:rsidP="00E91E10">
      <w:pPr>
        <w:rPr>
          <w:rFonts w:cs="Arial"/>
          <w:sz w:val="20"/>
          <w:szCs w:val="20"/>
        </w:rPr>
      </w:pPr>
    </w:p>
    <w:p w14:paraId="73C89639"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to Mid-Atlantic Renewable Energy Coalition</w:t>
      </w:r>
    </w:p>
    <w:p w14:paraId="7137FEF1" w14:textId="77777777" w:rsidR="00E91E10" w:rsidRPr="00E91E10" w:rsidRDefault="00E91E10" w:rsidP="00E91E10">
      <w:pPr>
        <w:rPr>
          <w:rFonts w:cs="Arial"/>
          <w:sz w:val="20"/>
          <w:szCs w:val="20"/>
        </w:rPr>
      </w:pPr>
    </w:p>
    <w:p w14:paraId="0C3C55AC" w14:textId="77777777" w:rsidR="00E91E10" w:rsidRPr="00E91E10" w:rsidRDefault="00E91E10" w:rsidP="00E91E10">
      <w:pPr>
        <w:rPr>
          <w:rFonts w:cs="Arial"/>
          <w:sz w:val="20"/>
          <w:szCs w:val="20"/>
        </w:rPr>
      </w:pPr>
      <w:r w:rsidRPr="00E91E10">
        <w:rPr>
          <w:rFonts w:cs="Arial"/>
          <w:sz w:val="20"/>
          <w:szCs w:val="20"/>
        </w:rPr>
        <w:t>Ellis Jacobs</w:t>
      </w:r>
    </w:p>
    <w:p w14:paraId="01AF4D2D" w14:textId="77777777" w:rsidR="00E91E10" w:rsidRPr="00E91E10" w:rsidRDefault="00E91E10" w:rsidP="00E91E10">
      <w:pPr>
        <w:rPr>
          <w:rFonts w:cs="Arial"/>
          <w:sz w:val="20"/>
          <w:szCs w:val="20"/>
        </w:rPr>
      </w:pPr>
      <w:r w:rsidRPr="00E91E10">
        <w:rPr>
          <w:rFonts w:cs="Arial"/>
          <w:sz w:val="20"/>
          <w:szCs w:val="20"/>
        </w:rPr>
        <w:t>130 West Second Street, Suite 700 East</w:t>
      </w:r>
    </w:p>
    <w:p w14:paraId="3D3078D6" w14:textId="77777777" w:rsidR="00E91E10" w:rsidRPr="00E91E10" w:rsidRDefault="00E91E10" w:rsidP="00E91E10">
      <w:pPr>
        <w:rPr>
          <w:rFonts w:cs="Arial"/>
          <w:sz w:val="20"/>
          <w:szCs w:val="20"/>
        </w:rPr>
      </w:pPr>
      <w:r w:rsidRPr="00E91E10">
        <w:rPr>
          <w:rFonts w:cs="Arial"/>
          <w:sz w:val="20"/>
          <w:szCs w:val="20"/>
        </w:rPr>
        <w:t>Dayton, OH  45402</w:t>
      </w:r>
    </w:p>
    <w:p w14:paraId="07987A25" w14:textId="77777777" w:rsidR="00E91E10" w:rsidRPr="00E91E10" w:rsidRDefault="007634D7" w:rsidP="00E91E10">
      <w:pPr>
        <w:rPr>
          <w:rFonts w:cs="Arial"/>
          <w:sz w:val="20"/>
          <w:szCs w:val="20"/>
        </w:rPr>
      </w:pPr>
      <w:hyperlink r:id="rId47" w:history="1">
        <w:r w:rsidR="00E91E10" w:rsidRPr="00E91E10">
          <w:rPr>
            <w:rFonts w:cs="Arial"/>
            <w:sz w:val="20"/>
            <w:szCs w:val="20"/>
          </w:rPr>
          <w:t>ejacobs@ablelaw.org</w:t>
        </w:r>
      </w:hyperlink>
    </w:p>
    <w:p w14:paraId="7F92A418" w14:textId="77777777" w:rsidR="00E91E10" w:rsidRPr="00E91E10" w:rsidRDefault="00E91E10" w:rsidP="00E91E10">
      <w:pPr>
        <w:rPr>
          <w:rFonts w:cs="Arial"/>
          <w:sz w:val="20"/>
          <w:szCs w:val="20"/>
        </w:rPr>
      </w:pPr>
    </w:p>
    <w:p w14:paraId="37AE37F0"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to Edgemont Neighborhood Coalition and Advocates for Basic Legal Equality</w:t>
      </w:r>
    </w:p>
    <w:p w14:paraId="31A4B88C" w14:textId="77777777" w:rsidR="00E91E10" w:rsidRPr="00E91E10" w:rsidRDefault="00E91E10" w:rsidP="00E91E10">
      <w:pPr>
        <w:rPr>
          <w:rFonts w:cs="Arial"/>
          <w:sz w:val="20"/>
          <w:szCs w:val="20"/>
        </w:rPr>
      </w:pPr>
    </w:p>
    <w:p w14:paraId="17489BD8" w14:textId="77777777" w:rsidR="00E91E10" w:rsidRPr="00E91E10" w:rsidRDefault="00E91E10" w:rsidP="00E91E10">
      <w:pPr>
        <w:rPr>
          <w:rFonts w:cs="Arial"/>
          <w:sz w:val="20"/>
          <w:szCs w:val="20"/>
        </w:rPr>
      </w:pPr>
      <w:r w:rsidRPr="00E91E10">
        <w:rPr>
          <w:rFonts w:cs="Arial"/>
          <w:sz w:val="20"/>
          <w:szCs w:val="20"/>
        </w:rPr>
        <w:br w:type="column"/>
      </w:r>
      <w:r w:rsidRPr="00E91E10">
        <w:rPr>
          <w:rFonts w:cs="Arial"/>
          <w:sz w:val="20"/>
          <w:szCs w:val="20"/>
        </w:rPr>
        <w:lastRenderedPageBreak/>
        <w:t>John R. Doll</w:t>
      </w:r>
    </w:p>
    <w:p w14:paraId="578F5DCC" w14:textId="77777777" w:rsidR="00E91E10" w:rsidRPr="00E91E10" w:rsidRDefault="00E91E10" w:rsidP="00E91E10">
      <w:pPr>
        <w:rPr>
          <w:rFonts w:cs="Arial"/>
          <w:sz w:val="20"/>
          <w:szCs w:val="20"/>
        </w:rPr>
      </w:pPr>
      <w:r w:rsidRPr="00E91E10">
        <w:rPr>
          <w:rFonts w:cs="Arial"/>
          <w:sz w:val="20"/>
          <w:szCs w:val="20"/>
        </w:rPr>
        <w:t>Matthew T. Crawford</w:t>
      </w:r>
    </w:p>
    <w:p w14:paraId="320E3B05" w14:textId="77777777" w:rsidR="00E91E10" w:rsidRPr="00E91E10" w:rsidRDefault="00E91E10" w:rsidP="00E91E10">
      <w:pPr>
        <w:rPr>
          <w:rFonts w:cs="Arial"/>
          <w:sz w:val="20"/>
          <w:szCs w:val="20"/>
        </w:rPr>
      </w:pPr>
      <w:r w:rsidRPr="00E91E10">
        <w:rPr>
          <w:rFonts w:cs="Arial"/>
          <w:sz w:val="20"/>
          <w:szCs w:val="20"/>
        </w:rPr>
        <w:t>111 W. First Street, Suite 1100</w:t>
      </w:r>
    </w:p>
    <w:p w14:paraId="66FAF579" w14:textId="77777777" w:rsidR="00E91E10" w:rsidRPr="00E91E10" w:rsidRDefault="00E91E10" w:rsidP="00E91E10">
      <w:pPr>
        <w:rPr>
          <w:rFonts w:cs="Arial"/>
          <w:sz w:val="20"/>
          <w:szCs w:val="20"/>
        </w:rPr>
      </w:pPr>
      <w:r w:rsidRPr="00E91E10">
        <w:rPr>
          <w:rFonts w:cs="Arial"/>
          <w:sz w:val="20"/>
          <w:szCs w:val="20"/>
        </w:rPr>
        <w:t>Dayton, OH  45402-1156</w:t>
      </w:r>
    </w:p>
    <w:p w14:paraId="44A807D0" w14:textId="77777777" w:rsidR="00E91E10" w:rsidRPr="00E91E10" w:rsidRDefault="007634D7" w:rsidP="00E91E10">
      <w:pPr>
        <w:rPr>
          <w:rFonts w:cs="Arial"/>
          <w:sz w:val="20"/>
          <w:szCs w:val="20"/>
        </w:rPr>
      </w:pPr>
      <w:hyperlink r:id="rId48" w:history="1">
        <w:r w:rsidR="00E91E10" w:rsidRPr="00E91E10">
          <w:rPr>
            <w:rFonts w:cs="Arial"/>
            <w:sz w:val="20"/>
            <w:szCs w:val="20"/>
          </w:rPr>
          <w:t>jdoll@djflawfirm.com</w:t>
        </w:r>
      </w:hyperlink>
    </w:p>
    <w:p w14:paraId="7D407CC4" w14:textId="77777777" w:rsidR="00E91E10" w:rsidRPr="00E91E10" w:rsidRDefault="007634D7" w:rsidP="00E91E10">
      <w:pPr>
        <w:rPr>
          <w:rFonts w:cs="Arial"/>
          <w:sz w:val="20"/>
          <w:szCs w:val="20"/>
        </w:rPr>
      </w:pPr>
      <w:hyperlink r:id="rId49" w:history="1">
        <w:r w:rsidR="00E91E10" w:rsidRPr="00E91E10">
          <w:rPr>
            <w:rFonts w:cs="Arial"/>
            <w:sz w:val="20"/>
            <w:szCs w:val="20"/>
          </w:rPr>
          <w:t>mcrawcord@djflawfirm.com</w:t>
        </w:r>
      </w:hyperlink>
    </w:p>
    <w:p w14:paraId="2DFF72FA" w14:textId="77777777" w:rsidR="00E91E10" w:rsidRPr="00E91E10" w:rsidRDefault="00E91E10" w:rsidP="00E91E10">
      <w:pPr>
        <w:rPr>
          <w:rFonts w:cs="Arial"/>
          <w:sz w:val="20"/>
          <w:szCs w:val="20"/>
        </w:rPr>
      </w:pPr>
    </w:p>
    <w:p w14:paraId="3BEA9964"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Utility Workers of America, Local 175</w:t>
      </w:r>
    </w:p>
    <w:p w14:paraId="320B707D" w14:textId="77777777" w:rsidR="00E91E10" w:rsidRPr="00E91E10" w:rsidRDefault="00E91E10" w:rsidP="00E91E10">
      <w:pPr>
        <w:rPr>
          <w:rFonts w:cs="Arial"/>
          <w:sz w:val="20"/>
          <w:szCs w:val="20"/>
        </w:rPr>
      </w:pPr>
    </w:p>
    <w:p w14:paraId="7BE7391C" w14:textId="77777777" w:rsidR="00E91E10" w:rsidRPr="00E91E10" w:rsidRDefault="00E91E10" w:rsidP="00E91E10">
      <w:pPr>
        <w:rPr>
          <w:rFonts w:cs="Arial"/>
          <w:sz w:val="20"/>
          <w:szCs w:val="20"/>
        </w:rPr>
      </w:pPr>
      <w:r w:rsidRPr="00E91E10">
        <w:rPr>
          <w:rFonts w:cs="Arial"/>
          <w:sz w:val="20"/>
          <w:szCs w:val="20"/>
        </w:rPr>
        <w:t>Devin Parram</w:t>
      </w:r>
    </w:p>
    <w:p w14:paraId="7086CEDF" w14:textId="77777777" w:rsidR="00E91E10" w:rsidRPr="00E91E10" w:rsidRDefault="00E91E10" w:rsidP="00E91E10">
      <w:pPr>
        <w:rPr>
          <w:rFonts w:cs="Arial"/>
          <w:sz w:val="20"/>
          <w:szCs w:val="20"/>
        </w:rPr>
      </w:pPr>
      <w:r w:rsidRPr="00E91E10">
        <w:rPr>
          <w:rFonts w:cs="Arial"/>
          <w:sz w:val="20"/>
          <w:szCs w:val="20"/>
        </w:rPr>
        <w:t>Bricker and Eckler LLP</w:t>
      </w:r>
    </w:p>
    <w:p w14:paraId="7EBB29D5" w14:textId="77777777" w:rsidR="00E91E10" w:rsidRPr="00E91E10" w:rsidRDefault="00E91E10" w:rsidP="00E91E10">
      <w:pPr>
        <w:rPr>
          <w:rFonts w:cs="Arial"/>
          <w:sz w:val="20"/>
          <w:szCs w:val="20"/>
        </w:rPr>
      </w:pPr>
      <w:r w:rsidRPr="00E91E10">
        <w:rPr>
          <w:rFonts w:cs="Arial"/>
          <w:sz w:val="20"/>
          <w:szCs w:val="20"/>
        </w:rPr>
        <w:t>100 South Third Street</w:t>
      </w:r>
    </w:p>
    <w:p w14:paraId="6D40D513" w14:textId="77777777" w:rsidR="00E91E10" w:rsidRPr="00E91E10" w:rsidRDefault="00E91E10" w:rsidP="00E91E10">
      <w:pPr>
        <w:rPr>
          <w:rFonts w:cs="Arial"/>
          <w:sz w:val="20"/>
          <w:szCs w:val="20"/>
        </w:rPr>
      </w:pPr>
      <w:r w:rsidRPr="00E91E10">
        <w:rPr>
          <w:rFonts w:cs="Arial"/>
          <w:sz w:val="20"/>
          <w:szCs w:val="20"/>
        </w:rPr>
        <w:t>Columbus, OH  43215</w:t>
      </w:r>
    </w:p>
    <w:p w14:paraId="6B3B2E1D" w14:textId="77777777" w:rsidR="00E91E10" w:rsidRPr="00E91E10" w:rsidRDefault="007634D7" w:rsidP="00E91E10">
      <w:pPr>
        <w:rPr>
          <w:rFonts w:cs="Arial"/>
          <w:sz w:val="20"/>
          <w:szCs w:val="20"/>
        </w:rPr>
      </w:pPr>
      <w:hyperlink r:id="rId50" w:history="1">
        <w:r w:rsidR="00E91E10" w:rsidRPr="00E91E10">
          <w:rPr>
            <w:rFonts w:cs="Arial"/>
            <w:color w:val="0000FF" w:themeColor="hyperlink"/>
            <w:sz w:val="20"/>
            <w:szCs w:val="20"/>
            <w:u w:val="single"/>
          </w:rPr>
          <w:t>dparram@bricker.com</w:t>
        </w:r>
      </w:hyperlink>
    </w:p>
    <w:p w14:paraId="5865043F" w14:textId="77777777" w:rsidR="00E91E10" w:rsidRPr="00E91E10" w:rsidRDefault="00E91E10" w:rsidP="00E91E10">
      <w:pPr>
        <w:rPr>
          <w:rFonts w:cs="Arial"/>
          <w:sz w:val="20"/>
          <w:szCs w:val="20"/>
        </w:rPr>
      </w:pPr>
    </w:p>
    <w:p w14:paraId="3660CC83"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Counsel for People Working Cooperatively, Inc.</w:t>
      </w:r>
    </w:p>
    <w:p w14:paraId="3A929F72" w14:textId="77777777" w:rsidR="00E91E10" w:rsidRPr="00E91E10" w:rsidRDefault="00E91E10" w:rsidP="00E91E10">
      <w:pPr>
        <w:rPr>
          <w:rFonts w:cs="Arial"/>
          <w:sz w:val="20"/>
          <w:szCs w:val="20"/>
        </w:rPr>
      </w:pPr>
    </w:p>
    <w:p w14:paraId="25FBBACC" w14:textId="77777777" w:rsidR="00E91E10" w:rsidRPr="00E91E10" w:rsidRDefault="00E91E10" w:rsidP="00E91E10">
      <w:pPr>
        <w:rPr>
          <w:rFonts w:cs="Arial"/>
          <w:sz w:val="20"/>
          <w:szCs w:val="20"/>
        </w:rPr>
      </w:pPr>
      <w:r w:rsidRPr="00E91E10">
        <w:rPr>
          <w:rFonts w:cs="Arial"/>
          <w:sz w:val="20"/>
          <w:szCs w:val="20"/>
        </w:rPr>
        <w:t>Carl Tamm</w:t>
      </w:r>
    </w:p>
    <w:p w14:paraId="4539EA8B" w14:textId="77777777" w:rsidR="00E91E10" w:rsidRPr="00E91E10" w:rsidRDefault="00E91E10" w:rsidP="00E91E10">
      <w:pPr>
        <w:rPr>
          <w:rFonts w:cs="Arial"/>
          <w:sz w:val="20"/>
          <w:szCs w:val="20"/>
        </w:rPr>
      </w:pPr>
      <w:r w:rsidRPr="00E91E10">
        <w:rPr>
          <w:rFonts w:cs="Arial"/>
          <w:sz w:val="20"/>
          <w:szCs w:val="20"/>
        </w:rPr>
        <w:t>Classic Connectors, Inc.</w:t>
      </w:r>
    </w:p>
    <w:p w14:paraId="59E7A671" w14:textId="77777777" w:rsidR="00E91E10" w:rsidRPr="00E91E10" w:rsidRDefault="00E91E10" w:rsidP="00E91E10">
      <w:pPr>
        <w:rPr>
          <w:rFonts w:cs="Arial"/>
          <w:sz w:val="20"/>
          <w:szCs w:val="20"/>
        </w:rPr>
      </w:pPr>
      <w:r w:rsidRPr="00E91E10">
        <w:rPr>
          <w:rFonts w:cs="Arial"/>
          <w:sz w:val="20"/>
          <w:szCs w:val="20"/>
        </w:rPr>
        <w:t>382 Park Avenue East</w:t>
      </w:r>
    </w:p>
    <w:p w14:paraId="26E935FD" w14:textId="77777777" w:rsidR="00E91E10" w:rsidRPr="00E91E10" w:rsidRDefault="00E91E10" w:rsidP="00E91E10">
      <w:pPr>
        <w:rPr>
          <w:rFonts w:cs="Arial"/>
          <w:sz w:val="20"/>
          <w:szCs w:val="20"/>
        </w:rPr>
      </w:pPr>
      <w:r w:rsidRPr="00E91E10">
        <w:rPr>
          <w:rFonts w:cs="Arial"/>
          <w:sz w:val="20"/>
          <w:szCs w:val="20"/>
        </w:rPr>
        <w:t>Mansfield, OH  44905</w:t>
      </w:r>
    </w:p>
    <w:p w14:paraId="5BC8E4D4" w14:textId="77777777" w:rsidR="00E91E10" w:rsidRPr="00E91E10" w:rsidRDefault="00E91E10" w:rsidP="00E91E10">
      <w:pPr>
        <w:rPr>
          <w:rFonts w:cs="Arial"/>
          <w:sz w:val="20"/>
          <w:szCs w:val="20"/>
        </w:rPr>
      </w:pPr>
    </w:p>
    <w:p w14:paraId="44FF8284" w14:textId="77777777" w:rsidR="00E91E10" w:rsidRPr="00E91E10" w:rsidRDefault="00E91E10" w:rsidP="00E91E10">
      <w:pPr>
        <w:rPr>
          <w:rFonts w:ascii="Arial Bold" w:hAnsi="Arial Bold" w:cs="Arial"/>
          <w:b/>
          <w:smallCaps/>
          <w:sz w:val="20"/>
          <w:szCs w:val="20"/>
        </w:rPr>
      </w:pPr>
      <w:r w:rsidRPr="00E91E10">
        <w:rPr>
          <w:rFonts w:ascii="Arial Bold" w:hAnsi="Arial Bold" w:cs="Arial"/>
          <w:b/>
          <w:smallCaps/>
          <w:sz w:val="20"/>
          <w:szCs w:val="20"/>
        </w:rPr>
        <w:t>On Behalf of Classic Connectors, Inc.</w:t>
      </w:r>
    </w:p>
    <w:p w14:paraId="193ED234" w14:textId="77777777" w:rsidR="00E91E10" w:rsidRPr="00E91E10" w:rsidRDefault="00E91E10" w:rsidP="00E91E10">
      <w:pPr>
        <w:rPr>
          <w:rFonts w:cs="Arial"/>
          <w:sz w:val="20"/>
          <w:szCs w:val="20"/>
        </w:rPr>
      </w:pPr>
    </w:p>
    <w:p w14:paraId="1A12DCF9" w14:textId="77777777" w:rsidR="00E91E10" w:rsidRPr="00E91E10" w:rsidRDefault="00E91E10" w:rsidP="00E91E10">
      <w:pPr>
        <w:rPr>
          <w:rFonts w:cs="Arial"/>
          <w:sz w:val="20"/>
          <w:szCs w:val="20"/>
        </w:rPr>
      </w:pPr>
      <w:r w:rsidRPr="00E91E10">
        <w:rPr>
          <w:rFonts w:cs="Arial"/>
          <w:sz w:val="20"/>
          <w:szCs w:val="20"/>
        </w:rPr>
        <w:t>William L. Wright</w:t>
      </w:r>
    </w:p>
    <w:p w14:paraId="60B40C41" w14:textId="77777777" w:rsidR="00E91E10" w:rsidRPr="00E91E10" w:rsidRDefault="00E91E10" w:rsidP="00E91E10">
      <w:pPr>
        <w:rPr>
          <w:rFonts w:cs="Arial"/>
          <w:sz w:val="20"/>
          <w:szCs w:val="20"/>
        </w:rPr>
      </w:pPr>
      <w:r w:rsidRPr="00E91E10">
        <w:rPr>
          <w:rFonts w:cs="Arial"/>
          <w:sz w:val="20"/>
          <w:szCs w:val="20"/>
        </w:rPr>
        <w:t>Chief, Public Utilities Section</w:t>
      </w:r>
    </w:p>
    <w:p w14:paraId="7647049C" w14:textId="77777777" w:rsidR="00E91E10" w:rsidRPr="00E91E10" w:rsidRDefault="00E91E10" w:rsidP="00E91E10">
      <w:pPr>
        <w:autoSpaceDE w:val="0"/>
        <w:autoSpaceDN w:val="0"/>
        <w:adjustRightInd w:val="0"/>
        <w:snapToGrid w:val="0"/>
        <w:rPr>
          <w:rFonts w:cs="Arial"/>
          <w:sz w:val="20"/>
          <w:szCs w:val="20"/>
        </w:rPr>
      </w:pPr>
      <w:r w:rsidRPr="00E91E10">
        <w:rPr>
          <w:rFonts w:cs="Arial"/>
          <w:sz w:val="20"/>
          <w:szCs w:val="20"/>
        </w:rPr>
        <w:t>Office of Attorney General</w:t>
      </w:r>
    </w:p>
    <w:p w14:paraId="1D88BD33" w14:textId="77777777" w:rsidR="00E91E10" w:rsidRPr="00E91E10" w:rsidRDefault="00E91E10" w:rsidP="00E91E10">
      <w:pPr>
        <w:autoSpaceDE w:val="0"/>
        <w:autoSpaceDN w:val="0"/>
        <w:adjustRightInd w:val="0"/>
        <w:snapToGrid w:val="0"/>
        <w:rPr>
          <w:rFonts w:cs="Arial"/>
          <w:sz w:val="20"/>
          <w:szCs w:val="20"/>
        </w:rPr>
      </w:pPr>
      <w:r w:rsidRPr="00E91E10">
        <w:rPr>
          <w:rFonts w:cs="Arial"/>
          <w:sz w:val="20"/>
          <w:szCs w:val="20"/>
        </w:rPr>
        <w:t>30 East Broad Street, 16th Floor</w:t>
      </w:r>
    </w:p>
    <w:p w14:paraId="21CF0FFE" w14:textId="77777777" w:rsidR="00E91E10" w:rsidRPr="00E91E10" w:rsidRDefault="00E91E10" w:rsidP="00E91E10">
      <w:pPr>
        <w:autoSpaceDE w:val="0"/>
        <w:autoSpaceDN w:val="0"/>
        <w:adjustRightInd w:val="0"/>
        <w:snapToGrid w:val="0"/>
        <w:rPr>
          <w:rFonts w:cs="Arial"/>
          <w:sz w:val="20"/>
          <w:szCs w:val="20"/>
        </w:rPr>
      </w:pPr>
      <w:r w:rsidRPr="00E91E10">
        <w:rPr>
          <w:rFonts w:cs="Arial"/>
          <w:sz w:val="20"/>
          <w:szCs w:val="20"/>
        </w:rPr>
        <w:t>Columbus, OH 43215</w:t>
      </w:r>
    </w:p>
    <w:p w14:paraId="1FA53B2C" w14:textId="77777777" w:rsidR="00E91E10" w:rsidRPr="00E91E10" w:rsidRDefault="00E91E10" w:rsidP="00E91E10">
      <w:pPr>
        <w:rPr>
          <w:rFonts w:cs="Arial"/>
          <w:sz w:val="20"/>
          <w:szCs w:val="20"/>
        </w:rPr>
      </w:pPr>
      <w:r w:rsidRPr="00E91E10">
        <w:rPr>
          <w:rFonts w:cs="Arial"/>
          <w:sz w:val="20"/>
          <w:szCs w:val="20"/>
        </w:rPr>
        <w:t>william.wright@ohioattorneygeneral.gov</w:t>
      </w:r>
    </w:p>
    <w:p w14:paraId="20DBCDCB" w14:textId="77777777" w:rsidR="00E91E10" w:rsidRPr="00E91E10" w:rsidRDefault="00E91E10" w:rsidP="00E91E10">
      <w:pPr>
        <w:rPr>
          <w:rFonts w:eastAsia="Calibri" w:cs="Arial"/>
          <w:sz w:val="20"/>
          <w:szCs w:val="20"/>
        </w:rPr>
      </w:pPr>
    </w:p>
    <w:p w14:paraId="2B72B12D" w14:textId="77777777" w:rsidR="00E91E10" w:rsidRPr="00E91E10" w:rsidRDefault="00E91E10" w:rsidP="00E91E10">
      <w:pPr>
        <w:rPr>
          <w:rFonts w:eastAsia="Calibri" w:cs="Arial"/>
          <w:b/>
          <w:smallCaps/>
          <w:sz w:val="20"/>
          <w:szCs w:val="20"/>
        </w:rPr>
      </w:pPr>
      <w:r w:rsidRPr="00E91E10">
        <w:rPr>
          <w:rFonts w:eastAsia="Calibri" w:cs="Arial"/>
          <w:b/>
          <w:smallCaps/>
          <w:sz w:val="20"/>
          <w:szCs w:val="20"/>
        </w:rPr>
        <w:t>Counsel for the Staff of the Public Utilities Commission of Ohio</w:t>
      </w:r>
    </w:p>
    <w:p w14:paraId="6A03C950" w14:textId="77777777" w:rsidR="00E91E10" w:rsidRPr="00E91E10" w:rsidRDefault="00E91E10" w:rsidP="00E91E10">
      <w:pPr>
        <w:rPr>
          <w:rFonts w:eastAsia="Calibri" w:cs="Arial"/>
          <w:b/>
          <w:smallCaps/>
          <w:sz w:val="20"/>
          <w:szCs w:val="20"/>
        </w:rPr>
      </w:pPr>
    </w:p>
    <w:p w14:paraId="2E4EE438" w14:textId="77777777" w:rsidR="00E91E10" w:rsidRPr="00E91E10" w:rsidRDefault="00E91E10" w:rsidP="00E91E10">
      <w:pPr>
        <w:rPr>
          <w:rFonts w:eastAsia="Calibri" w:cs="Arial"/>
          <w:sz w:val="20"/>
          <w:szCs w:val="20"/>
        </w:rPr>
      </w:pPr>
      <w:r w:rsidRPr="00E91E10">
        <w:rPr>
          <w:rFonts w:eastAsia="Calibri" w:cs="Arial"/>
          <w:sz w:val="20"/>
          <w:szCs w:val="20"/>
        </w:rPr>
        <w:t>Bryce McKenney</w:t>
      </w:r>
    </w:p>
    <w:p w14:paraId="2396103D" w14:textId="77777777" w:rsidR="00E91E10" w:rsidRPr="00E91E10" w:rsidRDefault="00E91E10" w:rsidP="00E91E10">
      <w:pPr>
        <w:rPr>
          <w:rFonts w:eastAsia="Calibri" w:cs="Arial"/>
          <w:sz w:val="20"/>
          <w:szCs w:val="20"/>
        </w:rPr>
      </w:pPr>
      <w:r w:rsidRPr="00E91E10">
        <w:rPr>
          <w:rFonts w:eastAsia="Calibri" w:cs="Arial"/>
          <w:sz w:val="20"/>
          <w:szCs w:val="20"/>
        </w:rPr>
        <w:t>Gregory Price</w:t>
      </w:r>
    </w:p>
    <w:p w14:paraId="4EF9AA1C" w14:textId="77777777" w:rsidR="00E91E10" w:rsidRPr="00E91E10" w:rsidRDefault="00E91E10" w:rsidP="00E91E10">
      <w:pPr>
        <w:rPr>
          <w:rFonts w:eastAsia="Calibri" w:cs="Arial"/>
          <w:sz w:val="20"/>
          <w:szCs w:val="20"/>
        </w:rPr>
      </w:pPr>
      <w:r w:rsidRPr="00E91E10">
        <w:rPr>
          <w:rFonts w:eastAsia="Calibri" w:cs="Arial"/>
          <w:sz w:val="20"/>
          <w:szCs w:val="20"/>
        </w:rPr>
        <w:t>Attorney Examiners</w:t>
      </w:r>
    </w:p>
    <w:p w14:paraId="5AFFC59E" w14:textId="77777777" w:rsidR="00E91E10" w:rsidRPr="00E91E10" w:rsidRDefault="00E91E10" w:rsidP="00E91E10">
      <w:pPr>
        <w:rPr>
          <w:rFonts w:eastAsia="Calibri" w:cs="Arial"/>
          <w:sz w:val="20"/>
          <w:szCs w:val="20"/>
        </w:rPr>
      </w:pPr>
      <w:r w:rsidRPr="00E91E10">
        <w:rPr>
          <w:rFonts w:eastAsia="Calibri" w:cs="Arial"/>
          <w:sz w:val="20"/>
          <w:szCs w:val="20"/>
        </w:rPr>
        <w:t>Legal Department</w:t>
      </w:r>
    </w:p>
    <w:p w14:paraId="214D2940" w14:textId="77777777" w:rsidR="00E91E10" w:rsidRPr="00E91E10" w:rsidRDefault="00E91E10" w:rsidP="00E91E10">
      <w:pPr>
        <w:rPr>
          <w:rFonts w:eastAsia="Calibri" w:cs="Arial"/>
          <w:sz w:val="20"/>
          <w:szCs w:val="20"/>
        </w:rPr>
      </w:pPr>
      <w:r w:rsidRPr="00E91E10">
        <w:rPr>
          <w:rFonts w:eastAsia="Calibri" w:cs="Arial"/>
          <w:sz w:val="20"/>
          <w:szCs w:val="20"/>
        </w:rPr>
        <w:t>Public Utilities Commission of Ohio</w:t>
      </w:r>
    </w:p>
    <w:p w14:paraId="2834307A" w14:textId="77777777" w:rsidR="00E91E10" w:rsidRPr="00E91E10" w:rsidRDefault="00E91E10" w:rsidP="00E91E10">
      <w:pPr>
        <w:rPr>
          <w:rFonts w:eastAsia="Calibri" w:cs="Arial"/>
          <w:sz w:val="20"/>
          <w:szCs w:val="20"/>
        </w:rPr>
      </w:pPr>
      <w:r w:rsidRPr="00E91E10">
        <w:rPr>
          <w:rFonts w:eastAsia="Calibri" w:cs="Arial"/>
          <w:sz w:val="20"/>
          <w:szCs w:val="20"/>
        </w:rPr>
        <w:t>180 East Broad Street, 12</w:t>
      </w:r>
      <w:r w:rsidRPr="00E91E10">
        <w:rPr>
          <w:rFonts w:eastAsia="Calibri" w:cs="Arial"/>
          <w:sz w:val="20"/>
          <w:szCs w:val="20"/>
          <w:vertAlign w:val="superscript"/>
        </w:rPr>
        <w:t>th</w:t>
      </w:r>
      <w:r w:rsidRPr="00E91E10">
        <w:rPr>
          <w:rFonts w:eastAsia="Calibri" w:cs="Arial"/>
          <w:sz w:val="20"/>
          <w:szCs w:val="20"/>
        </w:rPr>
        <w:t xml:space="preserve"> Floor</w:t>
      </w:r>
    </w:p>
    <w:p w14:paraId="753482F2" w14:textId="77777777" w:rsidR="00E91E10" w:rsidRPr="00E91E10" w:rsidRDefault="00E91E10" w:rsidP="00E91E10">
      <w:pPr>
        <w:rPr>
          <w:rFonts w:eastAsia="Calibri" w:cs="Arial"/>
          <w:sz w:val="20"/>
          <w:szCs w:val="20"/>
        </w:rPr>
      </w:pPr>
      <w:r w:rsidRPr="00E91E10">
        <w:rPr>
          <w:rFonts w:eastAsia="Calibri" w:cs="Arial"/>
          <w:sz w:val="20"/>
          <w:szCs w:val="20"/>
        </w:rPr>
        <w:t>Columbus OH  43215</w:t>
      </w:r>
    </w:p>
    <w:p w14:paraId="7A907AD1" w14:textId="77777777" w:rsidR="00E91E10" w:rsidRPr="00E91E10" w:rsidRDefault="00E91E10" w:rsidP="00E91E10">
      <w:pPr>
        <w:rPr>
          <w:rFonts w:eastAsia="Calibri" w:cs="Arial"/>
          <w:sz w:val="20"/>
          <w:szCs w:val="20"/>
        </w:rPr>
      </w:pPr>
      <w:r w:rsidRPr="00E91E10">
        <w:rPr>
          <w:rFonts w:eastAsia="Calibri" w:cs="Arial"/>
          <w:sz w:val="20"/>
          <w:szCs w:val="20"/>
        </w:rPr>
        <w:t>bryce.mckenney@puc.state.oh.us</w:t>
      </w:r>
    </w:p>
    <w:p w14:paraId="13C49C57" w14:textId="77777777" w:rsidR="00E91E10" w:rsidRPr="00E91E10" w:rsidRDefault="00E91E10" w:rsidP="00E91E10">
      <w:pPr>
        <w:rPr>
          <w:rFonts w:eastAsia="Calibri" w:cs="Arial"/>
          <w:sz w:val="20"/>
          <w:szCs w:val="20"/>
        </w:rPr>
      </w:pPr>
      <w:r w:rsidRPr="00E91E10">
        <w:rPr>
          <w:rFonts w:eastAsia="Calibri" w:cs="Arial"/>
          <w:sz w:val="20"/>
          <w:szCs w:val="20"/>
        </w:rPr>
        <w:t>gregory.price@puc.state.oh.us</w:t>
      </w:r>
    </w:p>
    <w:p w14:paraId="78AE652F" w14:textId="77777777" w:rsidR="00E91E10" w:rsidRPr="00E91E10" w:rsidRDefault="00E91E10" w:rsidP="00E91E10">
      <w:pPr>
        <w:rPr>
          <w:rFonts w:eastAsia="Calibri" w:cs="Arial"/>
          <w:sz w:val="20"/>
          <w:szCs w:val="20"/>
        </w:rPr>
      </w:pPr>
    </w:p>
    <w:p w14:paraId="556CA306" w14:textId="77777777" w:rsidR="00E91E10" w:rsidRPr="00E91E10" w:rsidRDefault="00E91E10" w:rsidP="00E91E10">
      <w:pPr>
        <w:rPr>
          <w:rFonts w:ascii="Arial Bold" w:eastAsia="Calibri" w:hAnsi="Arial Bold" w:cs="Arial"/>
          <w:b/>
          <w:smallCaps/>
          <w:sz w:val="20"/>
          <w:szCs w:val="20"/>
        </w:rPr>
      </w:pPr>
      <w:r w:rsidRPr="00E91E10">
        <w:rPr>
          <w:rFonts w:ascii="Arial Bold" w:eastAsia="Calibri" w:hAnsi="Arial Bold" w:cs="Arial"/>
          <w:b/>
          <w:smallCaps/>
          <w:sz w:val="20"/>
          <w:szCs w:val="20"/>
        </w:rPr>
        <w:t>Attorney Examiners</w:t>
      </w:r>
    </w:p>
    <w:p w14:paraId="43B70D33" w14:textId="77777777" w:rsidR="00E91E10" w:rsidRPr="00E91E10" w:rsidRDefault="00E91E10" w:rsidP="00E91E10">
      <w:pPr>
        <w:rPr>
          <w:rFonts w:eastAsia="Calibri" w:cs="Arial"/>
          <w:sz w:val="20"/>
          <w:szCs w:val="20"/>
        </w:rPr>
      </w:pPr>
    </w:p>
    <w:p w14:paraId="60822635" w14:textId="77777777" w:rsidR="00E01AB0" w:rsidRPr="00C253AC" w:rsidRDefault="00E01AB0" w:rsidP="00E91E10">
      <w:pPr>
        <w:spacing w:line="480" w:lineRule="auto"/>
        <w:jc w:val="both"/>
      </w:pPr>
    </w:p>
    <w:sectPr w:rsidR="00E01AB0" w:rsidRPr="00C253AC" w:rsidSect="001D637F">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407C" w14:textId="77777777" w:rsidR="007634D7" w:rsidRDefault="007634D7" w:rsidP="004731A4">
      <w:r>
        <w:separator/>
      </w:r>
    </w:p>
  </w:endnote>
  <w:endnote w:type="continuationSeparator" w:id="0">
    <w:p w14:paraId="2ED702D4" w14:textId="77777777" w:rsidR="007634D7" w:rsidRDefault="007634D7" w:rsidP="0047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AEAEA" w14:textId="77777777" w:rsidR="007634D7" w:rsidRPr="00BC3333" w:rsidRDefault="007634D7" w:rsidP="00BC3333">
    <w:pPr>
      <w:pStyle w:val="Footer"/>
    </w:pPr>
    <w:r w:rsidRPr="00BC3333">
      <w:rPr>
        <w:noProof/>
        <w:vanish/>
        <w:sz w:val="16"/>
      </w:rPr>
      <w:t>{</w:t>
    </w:r>
    <w:r w:rsidRPr="00BC3333">
      <w:rPr>
        <w:noProof/>
        <w:sz w:val="16"/>
      </w:rPr>
      <w:t>C0100181:1</w:t>
    </w:r>
    <w:r w:rsidRPr="00BC3333">
      <w:rPr>
        <w:noProof/>
        <w:vanish/>
        <w:sz w:val="16"/>
      </w:rPr>
      <w:t>}</w:t>
    </w:r>
    <w:r w:rsidRPr="00BC3333">
      <w:tab/>
    </w:r>
    <w:r w:rsidRPr="00BC3333">
      <w:fldChar w:fldCharType="begin"/>
    </w:r>
    <w:r w:rsidRPr="00BC3333">
      <w:instrText xml:space="preserve"> PAGE   \* MERGEFORMAT </w:instrText>
    </w:r>
    <w:r w:rsidRPr="00BC3333">
      <w:fldChar w:fldCharType="separate"/>
    </w:r>
    <w:r w:rsidR="00ED06F6">
      <w:rPr>
        <w:noProof/>
      </w:rPr>
      <w:t>25</w:t>
    </w:r>
    <w:r w:rsidRPr="00BC333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FCBC" w14:textId="77777777" w:rsidR="007634D7" w:rsidRPr="00BC3333" w:rsidRDefault="007634D7" w:rsidP="00BC3333">
    <w:pPr>
      <w:pStyle w:val="Footer"/>
    </w:pPr>
    <w:r w:rsidRPr="00BC3333">
      <w:rPr>
        <w:noProof/>
        <w:vanish/>
        <w:sz w:val="16"/>
      </w:rPr>
      <w:t>{</w:t>
    </w:r>
    <w:r w:rsidRPr="00BC3333">
      <w:rPr>
        <w:noProof/>
        <w:sz w:val="16"/>
      </w:rPr>
      <w:t>C0100181:1</w:t>
    </w:r>
    <w:r w:rsidRPr="00BC3333">
      <w:rPr>
        <w:noProof/>
        <w:vanish/>
        <w:sz w:val="16"/>
      </w:rPr>
      <w:t>}</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E70C" w14:textId="77777777" w:rsidR="007634D7" w:rsidRDefault="007634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236E9" w14:textId="77777777" w:rsidR="007634D7" w:rsidRPr="000C3B01" w:rsidRDefault="007634D7">
    <w:pPr>
      <w:pStyle w:val="Footer"/>
    </w:pPr>
    <w:r w:rsidRPr="00AD7B7E">
      <w:rPr>
        <w:noProof/>
        <w:sz w:val="16"/>
      </w:rPr>
      <w:t>{C49423: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A954" w14:textId="77777777" w:rsidR="007634D7" w:rsidRPr="000C3B01" w:rsidRDefault="007634D7">
    <w:pPr>
      <w:pStyle w:val="Footer"/>
    </w:pPr>
    <w:r w:rsidRPr="00AD7B7E">
      <w:rPr>
        <w:noProof/>
        <w:sz w:val="16"/>
      </w:rPr>
      <w:t>{C49423: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F0ABB" w14:textId="77777777" w:rsidR="007634D7" w:rsidRDefault="007634D7" w:rsidP="004731A4">
      <w:r>
        <w:separator/>
      </w:r>
    </w:p>
  </w:footnote>
  <w:footnote w:type="continuationSeparator" w:id="0">
    <w:p w14:paraId="60822493" w14:textId="77777777" w:rsidR="007634D7" w:rsidRDefault="007634D7" w:rsidP="004731A4">
      <w:r>
        <w:continuationSeparator/>
      </w:r>
    </w:p>
  </w:footnote>
  <w:footnote w:id="1">
    <w:p w14:paraId="206DCE2F" w14:textId="77777777" w:rsidR="007634D7" w:rsidRPr="00775FF8" w:rsidRDefault="007634D7" w:rsidP="001D637F">
      <w:pPr>
        <w:pStyle w:val="FootnoteText"/>
        <w:jc w:val="both"/>
      </w:pPr>
      <w:r w:rsidRPr="00775FF8">
        <w:rPr>
          <w:rStyle w:val="FootnoteReference"/>
        </w:rPr>
        <w:footnoteRef/>
      </w:r>
      <w:r w:rsidRPr="00775FF8">
        <w:t xml:space="preserve"> As Mr. Bowser, a witness for IEU-Ohio, indicated in his prefiled testimony, he was responding to DP&amp;L’s request for the RCR “[o]ut of an abundance of caution.”  Direct Testimony of Joseph G. Bowser on Behalf of Industrial Energy Users-Ohio at 9 (Nov. 21, 2016).</w:t>
      </w:r>
    </w:p>
  </w:footnote>
  <w:footnote w:id="2">
    <w:p w14:paraId="2F8BB3F2" w14:textId="77777777" w:rsidR="007634D7" w:rsidRPr="001D637F" w:rsidRDefault="007634D7" w:rsidP="001D637F">
      <w:pPr>
        <w:spacing w:after="240"/>
        <w:jc w:val="both"/>
        <w:rPr>
          <w:rFonts w:cs="Times New Roman"/>
          <w:sz w:val="20"/>
          <w:szCs w:val="20"/>
        </w:rPr>
      </w:pPr>
      <w:r w:rsidRPr="001D637F">
        <w:rPr>
          <w:rStyle w:val="FootnoteReference"/>
          <w:rFonts w:cs="Times New Roman"/>
          <w:sz w:val="20"/>
          <w:szCs w:val="20"/>
        </w:rPr>
        <w:footnoteRef/>
      </w:r>
      <w:r w:rsidRPr="001D637F">
        <w:rPr>
          <w:rFonts w:cs="Times New Roman"/>
          <w:sz w:val="20"/>
          <w:szCs w:val="20"/>
        </w:rPr>
        <w:t xml:space="preserve"> Prior to SB 221, the statutory section was numbered as division (G) and provided that it is the State's policy to “[e]nsure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w:t>
      </w:r>
      <w:r w:rsidRPr="001D637F">
        <w:rPr>
          <w:rFonts w:cs="Times New Roman"/>
          <w:i/>
          <w:sz w:val="20"/>
          <w:szCs w:val="20"/>
        </w:rPr>
        <w:t>Elyria Foundry Co. v. Pub. Util. Comm.</w:t>
      </w:r>
      <w:r w:rsidRPr="001D637F">
        <w:rPr>
          <w:rFonts w:cs="Times New Roman"/>
          <w:sz w:val="20"/>
          <w:szCs w:val="20"/>
        </w:rPr>
        <w:t xml:space="preserve">, 114 Ohio St.3d 305, 315, 2007-Ohio-4164, ¶ 48; </w:t>
      </w:r>
      <w:r w:rsidRPr="001D637F">
        <w:rPr>
          <w:rFonts w:cs="Times New Roman"/>
          <w:i/>
          <w:sz w:val="20"/>
          <w:szCs w:val="20"/>
        </w:rPr>
        <w:t>see also</w:t>
      </w:r>
      <w:r w:rsidRPr="001D637F">
        <w:rPr>
          <w:rFonts w:cs="Times New Roman"/>
          <w:sz w:val="20"/>
          <w:szCs w:val="20"/>
        </w:rPr>
        <w:t xml:space="preserve"> Ohio General Assembly Archives, SB 221, available at: http://archives.legislature.state.oh.us/bills.cfm?ID=127_SB_221.</w:t>
      </w:r>
    </w:p>
  </w:footnote>
  <w:footnote w:id="3">
    <w:p w14:paraId="1D8320B6" w14:textId="77777777" w:rsidR="007634D7" w:rsidRPr="00834081" w:rsidRDefault="007634D7" w:rsidP="001D637F">
      <w:pPr>
        <w:pStyle w:val="FootnoteText"/>
        <w:jc w:val="both"/>
        <w:rPr>
          <w:i/>
        </w:rPr>
      </w:pPr>
      <w:r w:rsidRPr="00834081">
        <w:rPr>
          <w:rStyle w:val="FootnoteReference"/>
        </w:rPr>
        <w:footnoteRef/>
      </w:r>
      <w:r w:rsidRPr="00834081">
        <w:t xml:space="preserve"> </w:t>
      </w:r>
      <w:r w:rsidRPr="00834081">
        <w:rPr>
          <w:i/>
        </w:rPr>
        <w:t>Consumers' Counsel</w:t>
      </w:r>
      <w:r w:rsidRPr="00834081">
        <w:t>, 70 Ohio St.3d at 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C458" w14:textId="77777777" w:rsidR="007634D7" w:rsidRDefault="00763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65AD" w14:textId="77777777" w:rsidR="007634D7" w:rsidRDefault="00763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CACDC" w14:textId="77777777" w:rsidR="007634D7" w:rsidRDefault="00763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DC8"/>
    <w:multiLevelType w:val="multilevel"/>
    <w:tmpl w:val="DBAC0B0A"/>
    <w:name w:val="IEU-Ohio Headings-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Ohio Headings&lt;/Name&gt;&lt;Description&gt; &lt;/Description&gt;&lt;FilterID&gt;0&lt;/FilterID&gt;&lt;CustomTOCAttached&gt;false&lt;/CustomTOCAttached&gt;&lt;DefaultTOCSchemeID&gt;0&lt;/DefaultTOCSchemeID&gt;&lt;BitMapID&gt;2&lt;/BitMapID&gt;&lt;Hidden&gt;false&lt;/Hidden&gt;&lt;ListIndexUsed&gt;0&lt;/ListIndexUsed&gt;&lt;CapturedDocument&gt;M:\CLIENTS\18480\0067\C46880.DOCX&lt;/CapturedDocument&gt;&lt;CreatedByEndUser&gt;true&lt;/CreatedByEndUser&gt;&lt;ConnectionType&gt;User&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enterLevel1TOC" w:val="False"/>
    <w:docVar w:name="EnforceSchemeFont" w:val="False"/>
    <w:docVar w:name="ExcludeDirectFormattingInTOC1" w:val="False"/>
    <w:docVar w:name="IncludeTOCAndPageHeadings" w:val="True"/>
    <w:docVar w:name="LastSchemeChoice" w:val="IEU-Ohio Headings"/>
    <w:docVar w:name="LastSchemeUniqueID" w:val="1"/>
    <w:docVar w:name="LegacyNa" w:val="False"/>
    <w:docVar w:name="NoNumberLevel1TOC" w:val="False"/>
    <w:docVar w:name="TOCFormatConst" w:val="0"/>
    <w:docVar w:name="TOCFormatPreference" w:val="Leave TOC styles 'as is' in current document (default)"/>
    <w:docVar w:name="TOCHeadingAllCaps" w:val="False"/>
    <w:docVar w:name="TOCHeadingUnderlined" w:val="False"/>
    <w:docVar w:name="TOCIncludeSectionBreaks1" w:val="False"/>
    <w:docVar w:name="TOCPageUnderlined" w:val="False"/>
    <w:docVar w:name="TOCPosition" w:val="1"/>
    <w:docVar w:name="TOCRun" w:val="True"/>
    <w:docVar w:name="TOCSpecialLevels1" w:val="False"/>
    <w:docVar w:name="UnderlineTOCLevel1" w:val="False"/>
    <w:docVar w:name="UpperLevelTOC" w:val="3"/>
  </w:docVars>
  <w:rsids>
    <w:rsidRoot w:val="000318AB"/>
    <w:rsid w:val="00000513"/>
    <w:rsid w:val="00000F87"/>
    <w:rsid w:val="0000202F"/>
    <w:rsid w:val="0000588D"/>
    <w:rsid w:val="00005C09"/>
    <w:rsid w:val="00010107"/>
    <w:rsid w:val="00011A24"/>
    <w:rsid w:val="0001305C"/>
    <w:rsid w:val="00014107"/>
    <w:rsid w:val="00023A4E"/>
    <w:rsid w:val="000318AB"/>
    <w:rsid w:val="00037C03"/>
    <w:rsid w:val="00040943"/>
    <w:rsid w:val="00044883"/>
    <w:rsid w:val="000464D8"/>
    <w:rsid w:val="000549DC"/>
    <w:rsid w:val="0006095C"/>
    <w:rsid w:val="00066AC1"/>
    <w:rsid w:val="00071444"/>
    <w:rsid w:val="00071EA4"/>
    <w:rsid w:val="00072AD5"/>
    <w:rsid w:val="00083A55"/>
    <w:rsid w:val="00083DAD"/>
    <w:rsid w:val="000908BE"/>
    <w:rsid w:val="000913A0"/>
    <w:rsid w:val="000952EE"/>
    <w:rsid w:val="00096513"/>
    <w:rsid w:val="000A1F64"/>
    <w:rsid w:val="000A7CFD"/>
    <w:rsid w:val="000B0E36"/>
    <w:rsid w:val="000B2C9A"/>
    <w:rsid w:val="000B43A4"/>
    <w:rsid w:val="000B447D"/>
    <w:rsid w:val="000B7FE9"/>
    <w:rsid w:val="000C1139"/>
    <w:rsid w:val="000C608E"/>
    <w:rsid w:val="000D56A8"/>
    <w:rsid w:val="000D6412"/>
    <w:rsid w:val="000D7120"/>
    <w:rsid w:val="000D7F47"/>
    <w:rsid w:val="000E47D0"/>
    <w:rsid w:val="000E6432"/>
    <w:rsid w:val="000E7BBA"/>
    <w:rsid w:val="00113656"/>
    <w:rsid w:val="001139D7"/>
    <w:rsid w:val="00115F2F"/>
    <w:rsid w:val="00121ACC"/>
    <w:rsid w:val="00126F96"/>
    <w:rsid w:val="00127F74"/>
    <w:rsid w:val="00141D73"/>
    <w:rsid w:val="00142C6A"/>
    <w:rsid w:val="001440D3"/>
    <w:rsid w:val="00171B55"/>
    <w:rsid w:val="00173AC8"/>
    <w:rsid w:val="00173D41"/>
    <w:rsid w:val="00174B9E"/>
    <w:rsid w:val="00176978"/>
    <w:rsid w:val="00180370"/>
    <w:rsid w:val="00187F3D"/>
    <w:rsid w:val="001A2690"/>
    <w:rsid w:val="001B36B1"/>
    <w:rsid w:val="001B647C"/>
    <w:rsid w:val="001C119E"/>
    <w:rsid w:val="001C2DA8"/>
    <w:rsid w:val="001C7E64"/>
    <w:rsid w:val="001D637F"/>
    <w:rsid w:val="001D783F"/>
    <w:rsid w:val="001E4A52"/>
    <w:rsid w:val="001E69A4"/>
    <w:rsid w:val="001E7A5D"/>
    <w:rsid w:val="00202BF8"/>
    <w:rsid w:val="002034C5"/>
    <w:rsid w:val="00205150"/>
    <w:rsid w:val="002108EE"/>
    <w:rsid w:val="00217E3F"/>
    <w:rsid w:val="002309AF"/>
    <w:rsid w:val="0023417C"/>
    <w:rsid w:val="00236FBB"/>
    <w:rsid w:val="00243250"/>
    <w:rsid w:val="00245F4A"/>
    <w:rsid w:val="00247B74"/>
    <w:rsid w:val="00250393"/>
    <w:rsid w:val="002528AA"/>
    <w:rsid w:val="00254DA8"/>
    <w:rsid w:val="00262A6C"/>
    <w:rsid w:val="00262A8C"/>
    <w:rsid w:val="002776A7"/>
    <w:rsid w:val="0028169A"/>
    <w:rsid w:val="00283133"/>
    <w:rsid w:val="00283998"/>
    <w:rsid w:val="002852D5"/>
    <w:rsid w:val="00285FC8"/>
    <w:rsid w:val="0028605A"/>
    <w:rsid w:val="00286D0D"/>
    <w:rsid w:val="002A28D7"/>
    <w:rsid w:val="002A454E"/>
    <w:rsid w:val="002A6B83"/>
    <w:rsid w:val="002A7395"/>
    <w:rsid w:val="002B0387"/>
    <w:rsid w:val="002C0941"/>
    <w:rsid w:val="002C1016"/>
    <w:rsid w:val="002C478A"/>
    <w:rsid w:val="002D35D7"/>
    <w:rsid w:val="002D433F"/>
    <w:rsid w:val="002D566D"/>
    <w:rsid w:val="002E4BD9"/>
    <w:rsid w:val="002F3E24"/>
    <w:rsid w:val="002F5FF8"/>
    <w:rsid w:val="003063D8"/>
    <w:rsid w:val="003066B5"/>
    <w:rsid w:val="00313481"/>
    <w:rsid w:val="00321174"/>
    <w:rsid w:val="00325D48"/>
    <w:rsid w:val="0032692C"/>
    <w:rsid w:val="0033174C"/>
    <w:rsid w:val="00343C48"/>
    <w:rsid w:val="00346AB2"/>
    <w:rsid w:val="00346C36"/>
    <w:rsid w:val="003542D1"/>
    <w:rsid w:val="00360064"/>
    <w:rsid w:val="00375B18"/>
    <w:rsid w:val="00375DE3"/>
    <w:rsid w:val="00381641"/>
    <w:rsid w:val="00386EC9"/>
    <w:rsid w:val="003972DC"/>
    <w:rsid w:val="003A1546"/>
    <w:rsid w:val="003C11BE"/>
    <w:rsid w:val="003C3BB4"/>
    <w:rsid w:val="003C7C28"/>
    <w:rsid w:val="003D6D29"/>
    <w:rsid w:val="003D7884"/>
    <w:rsid w:val="003F0CF7"/>
    <w:rsid w:val="003F2FE8"/>
    <w:rsid w:val="003F3DC8"/>
    <w:rsid w:val="003F541E"/>
    <w:rsid w:val="003F7D6E"/>
    <w:rsid w:val="00400543"/>
    <w:rsid w:val="00401325"/>
    <w:rsid w:val="00403628"/>
    <w:rsid w:val="00407E67"/>
    <w:rsid w:val="004153CE"/>
    <w:rsid w:val="00420716"/>
    <w:rsid w:val="004232B5"/>
    <w:rsid w:val="0043470C"/>
    <w:rsid w:val="00437D41"/>
    <w:rsid w:val="00447DA7"/>
    <w:rsid w:val="0045740B"/>
    <w:rsid w:val="00465840"/>
    <w:rsid w:val="004665AE"/>
    <w:rsid w:val="0047234D"/>
    <w:rsid w:val="004731A4"/>
    <w:rsid w:val="004756BD"/>
    <w:rsid w:val="00477E7C"/>
    <w:rsid w:val="004853FE"/>
    <w:rsid w:val="00490067"/>
    <w:rsid w:val="004A0134"/>
    <w:rsid w:val="004B5E6E"/>
    <w:rsid w:val="004C1B2B"/>
    <w:rsid w:val="004C4E9F"/>
    <w:rsid w:val="004C73E9"/>
    <w:rsid w:val="004D4EB4"/>
    <w:rsid w:val="004D72FD"/>
    <w:rsid w:val="004E10B4"/>
    <w:rsid w:val="004E5C5F"/>
    <w:rsid w:val="004F4572"/>
    <w:rsid w:val="004F6A2F"/>
    <w:rsid w:val="004F70DC"/>
    <w:rsid w:val="00502307"/>
    <w:rsid w:val="005023B2"/>
    <w:rsid w:val="0051263E"/>
    <w:rsid w:val="005237FE"/>
    <w:rsid w:val="00525E14"/>
    <w:rsid w:val="00526684"/>
    <w:rsid w:val="00536D97"/>
    <w:rsid w:val="00544824"/>
    <w:rsid w:val="005462DA"/>
    <w:rsid w:val="00550E12"/>
    <w:rsid w:val="00557535"/>
    <w:rsid w:val="00575990"/>
    <w:rsid w:val="005826BA"/>
    <w:rsid w:val="005830E0"/>
    <w:rsid w:val="0059090F"/>
    <w:rsid w:val="00593504"/>
    <w:rsid w:val="0059495B"/>
    <w:rsid w:val="005A0F73"/>
    <w:rsid w:val="005A7587"/>
    <w:rsid w:val="005B755E"/>
    <w:rsid w:val="005C6308"/>
    <w:rsid w:val="005D2199"/>
    <w:rsid w:val="005E388E"/>
    <w:rsid w:val="005F4990"/>
    <w:rsid w:val="0060036D"/>
    <w:rsid w:val="00603D5A"/>
    <w:rsid w:val="00605A4B"/>
    <w:rsid w:val="00605B64"/>
    <w:rsid w:val="00607A1F"/>
    <w:rsid w:val="0061309F"/>
    <w:rsid w:val="00616B74"/>
    <w:rsid w:val="00623B0D"/>
    <w:rsid w:val="00624444"/>
    <w:rsid w:val="00624527"/>
    <w:rsid w:val="0063199C"/>
    <w:rsid w:val="00632483"/>
    <w:rsid w:val="00633C90"/>
    <w:rsid w:val="006366AD"/>
    <w:rsid w:val="00640A84"/>
    <w:rsid w:val="00642220"/>
    <w:rsid w:val="006443B0"/>
    <w:rsid w:val="0064466C"/>
    <w:rsid w:val="00660672"/>
    <w:rsid w:val="006606AF"/>
    <w:rsid w:val="0066689A"/>
    <w:rsid w:val="00671876"/>
    <w:rsid w:val="00672348"/>
    <w:rsid w:val="006731B9"/>
    <w:rsid w:val="0067505E"/>
    <w:rsid w:val="00675381"/>
    <w:rsid w:val="0068038A"/>
    <w:rsid w:val="00680DE7"/>
    <w:rsid w:val="00686F9D"/>
    <w:rsid w:val="00692F81"/>
    <w:rsid w:val="006A1AFB"/>
    <w:rsid w:val="006A707B"/>
    <w:rsid w:val="006B246C"/>
    <w:rsid w:val="006C0414"/>
    <w:rsid w:val="006D04E6"/>
    <w:rsid w:val="006F6BD8"/>
    <w:rsid w:val="007002C9"/>
    <w:rsid w:val="00701C75"/>
    <w:rsid w:val="00703589"/>
    <w:rsid w:val="00703615"/>
    <w:rsid w:val="00705B68"/>
    <w:rsid w:val="00707F47"/>
    <w:rsid w:val="00712626"/>
    <w:rsid w:val="007269D2"/>
    <w:rsid w:val="00734152"/>
    <w:rsid w:val="00737561"/>
    <w:rsid w:val="00744FC4"/>
    <w:rsid w:val="0074532E"/>
    <w:rsid w:val="00745D92"/>
    <w:rsid w:val="007508E2"/>
    <w:rsid w:val="00755C75"/>
    <w:rsid w:val="00762140"/>
    <w:rsid w:val="00762B17"/>
    <w:rsid w:val="007634D7"/>
    <w:rsid w:val="00775FF8"/>
    <w:rsid w:val="00784667"/>
    <w:rsid w:val="00787457"/>
    <w:rsid w:val="007877B6"/>
    <w:rsid w:val="00787BDB"/>
    <w:rsid w:val="007A1D81"/>
    <w:rsid w:val="007A48DB"/>
    <w:rsid w:val="007A6C2B"/>
    <w:rsid w:val="007A6CA7"/>
    <w:rsid w:val="007B5401"/>
    <w:rsid w:val="007C188B"/>
    <w:rsid w:val="007E23A2"/>
    <w:rsid w:val="007E3AB9"/>
    <w:rsid w:val="007F140B"/>
    <w:rsid w:val="00800295"/>
    <w:rsid w:val="00802D60"/>
    <w:rsid w:val="00807D4E"/>
    <w:rsid w:val="0081248F"/>
    <w:rsid w:val="0082064E"/>
    <w:rsid w:val="00822F42"/>
    <w:rsid w:val="008252C7"/>
    <w:rsid w:val="00825D31"/>
    <w:rsid w:val="008265D4"/>
    <w:rsid w:val="00830AFE"/>
    <w:rsid w:val="00834081"/>
    <w:rsid w:val="0083624B"/>
    <w:rsid w:val="008363CB"/>
    <w:rsid w:val="00846A1D"/>
    <w:rsid w:val="00856091"/>
    <w:rsid w:val="00860135"/>
    <w:rsid w:val="00862F6B"/>
    <w:rsid w:val="00865126"/>
    <w:rsid w:val="0086567D"/>
    <w:rsid w:val="00871AAB"/>
    <w:rsid w:val="0087392D"/>
    <w:rsid w:val="0087428B"/>
    <w:rsid w:val="00874DC3"/>
    <w:rsid w:val="00876DBB"/>
    <w:rsid w:val="00883142"/>
    <w:rsid w:val="00890C4A"/>
    <w:rsid w:val="008922BF"/>
    <w:rsid w:val="00895C18"/>
    <w:rsid w:val="008A39DC"/>
    <w:rsid w:val="008B027B"/>
    <w:rsid w:val="008B5032"/>
    <w:rsid w:val="008B5AB2"/>
    <w:rsid w:val="008B6497"/>
    <w:rsid w:val="008B7949"/>
    <w:rsid w:val="008C7298"/>
    <w:rsid w:val="008D1B96"/>
    <w:rsid w:val="008E3BF4"/>
    <w:rsid w:val="008E504A"/>
    <w:rsid w:val="008F1021"/>
    <w:rsid w:val="008F3835"/>
    <w:rsid w:val="008F4273"/>
    <w:rsid w:val="008F4F77"/>
    <w:rsid w:val="008F5314"/>
    <w:rsid w:val="008F57F5"/>
    <w:rsid w:val="009018A5"/>
    <w:rsid w:val="009054B8"/>
    <w:rsid w:val="009140FF"/>
    <w:rsid w:val="009144BB"/>
    <w:rsid w:val="009165D3"/>
    <w:rsid w:val="00920C0A"/>
    <w:rsid w:val="009242D2"/>
    <w:rsid w:val="0094162B"/>
    <w:rsid w:val="00944370"/>
    <w:rsid w:val="00951043"/>
    <w:rsid w:val="009519B3"/>
    <w:rsid w:val="009522AD"/>
    <w:rsid w:val="0095239C"/>
    <w:rsid w:val="00954945"/>
    <w:rsid w:val="00966AE6"/>
    <w:rsid w:val="009722EE"/>
    <w:rsid w:val="00975CFC"/>
    <w:rsid w:val="0097797F"/>
    <w:rsid w:val="009802ED"/>
    <w:rsid w:val="0098253F"/>
    <w:rsid w:val="009828EE"/>
    <w:rsid w:val="00984E82"/>
    <w:rsid w:val="00990125"/>
    <w:rsid w:val="00993A48"/>
    <w:rsid w:val="009960CE"/>
    <w:rsid w:val="009A2DAF"/>
    <w:rsid w:val="009A3B02"/>
    <w:rsid w:val="009A6F68"/>
    <w:rsid w:val="009B437B"/>
    <w:rsid w:val="009C23CD"/>
    <w:rsid w:val="009C5324"/>
    <w:rsid w:val="009C7E3C"/>
    <w:rsid w:val="009D0641"/>
    <w:rsid w:val="009D4D89"/>
    <w:rsid w:val="009D5425"/>
    <w:rsid w:val="009E02A9"/>
    <w:rsid w:val="009E2932"/>
    <w:rsid w:val="009F1F48"/>
    <w:rsid w:val="00A013EB"/>
    <w:rsid w:val="00A11DA0"/>
    <w:rsid w:val="00A12D28"/>
    <w:rsid w:val="00A134E1"/>
    <w:rsid w:val="00A2041B"/>
    <w:rsid w:val="00A34725"/>
    <w:rsid w:val="00A3756E"/>
    <w:rsid w:val="00A4496C"/>
    <w:rsid w:val="00A54C05"/>
    <w:rsid w:val="00A56A6D"/>
    <w:rsid w:val="00A57602"/>
    <w:rsid w:val="00A5761D"/>
    <w:rsid w:val="00A6580C"/>
    <w:rsid w:val="00A72215"/>
    <w:rsid w:val="00A81C58"/>
    <w:rsid w:val="00A92B3E"/>
    <w:rsid w:val="00A95E84"/>
    <w:rsid w:val="00AA40E7"/>
    <w:rsid w:val="00AA509C"/>
    <w:rsid w:val="00AB252F"/>
    <w:rsid w:val="00AB6BDE"/>
    <w:rsid w:val="00AC1C97"/>
    <w:rsid w:val="00AD1CBF"/>
    <w:rsid w:val="00AD335E"/>
    <w:rsid w:val="00AE3320"/>
    <w:rsid w:val="00AE3E95"/>
    <w:rsid w:val="00AE7CF8"/>
    <w:rsid w:val="00AF0FC4"/>
    <w:rsid w:val="00AF4897"/>
    <w:rsid w:val="00B039C9"/>
    <w:rsid w:val="00B10980"/>
    <w:rsid w:val="00B10D3A"/>
    <w:rsid w:val="00B17CAD"/>
    <w:rsid w:val="00B40611"/>
    <w:rsid w:val="00B44EF4"/>
    <w:rsid w:val="00B45650"/>
    <w:rsid w:val="00B46E99"/>
    <w:rsid w:val="00B478CE"/>
    <w:rsid w:val="00B53EFF"/>
    <w:rsid w:val="00B669CD"/>
    <w:rsid w:val="00B70406"/>
    <w:rsid w:val="00B743E4"/>
    <w:rsid w:val="00B75806"/>
    <w:rsid w:val="00B82680"/>
    <w:rsid w:val="00B96F36"/>
    <w:rsid w:val="00B97D7D"/>
    <w:rsid w:val="00BA2E35"/>
    <w:rsid w:val="00BA3313"/>
    <w:rsid w:val="00BA673C"/>
    <w:rsid w:val="00BB47BC"/>
    <w:rsid w:val="00BC3333"/>
    <w:rsid w:val="00BD35C8"/>
    <w:rsid w:val="00BD3A9F"/>
    <w:rsid w:val="00BD45FF"/>
    <w:rsid w:val="00BE078A"/>
    <w:rsid w:val="00BF0679"/>
    <w:rsid w:val="00BF7C72"/>
    <w:rsid w:val="00C01DC0"/>
    <w:rsid w:val="00C02F76"/>
    <w:rsid w:val="00C035D9"/>
    <w:rsid w:val="00C0405A"/>
    <w:rsid w:val="00C06A4F"/>
    <w:rsid w:val="00C1381C"/>
    <w:rsid w:val="00C16B96"/>
    <w:rsid w:val="00C253AC"/>
    <w:rsid w:val="00C2658C"/>
    <w:rsid w:val="00C26F40"/>
    <w:rsid w:val="00C340FF"/>
    <w:rsid w:val="00C37AA5"/>
    <w:rsid w:val="00C419EC"/>
    <w:rsid w:val="00C575EC"/>
    <w:rsid w:val="00C658B9"/>
    <w:rsid w:val="00C741F1"/>
    <w:rsid w:val="00C81A15"/>
    <w:rsid w:val="00C82024"/>
    <w:rsid w:val="00C82121"/>
    <w:rsid w:val="00C860AA"/>
    <w:rsid w:val="00C8771A"/>
    <w:rsid w:val="00C90ABD"/>
    <w:rsid w:val="00CB28D8"/>
    <w:rsid w:val="00CB337C"/>
    <w:rsid w:val="00CC1767"/>
    <w:rsid w:val="00CC3F7E"/>
    <w:rsid w:val="00CD3A8C"/>
    <w:rsid w:val="00CD601E"/>
    <w:rsid w:val="00CE157B"/>
    <w:rsid w:val="00CE270E"/>
    <w:rsid w:val="00D00902"/>
    <w:rsid w:val="00D0342A"/>
    <w:rsid w:val="00D03DCC"/>
    <w:rsid w:val="00D0516B"/>
    <w:rsid w:val="00D066AD"/>
    <w:rsid w:val="00D06955"/>
    <w:rsid w:val="00D14E44"/>
    <w:rsid w:val="00D15A14"/>
    <w:rsid w:val="00D20249"/>
    <w:rsid w:val="00D207D1"/>
    <w:rsid w:val="00D22799"/>
    <w:rsid w:val="00D22E95"/>
    <w:rsid w:val="00D404C0"/>
    <w:rsid w:val="00D404D2"/>
    <w:rsid w:val="00D40715"/>
    <w:rsid w:val="00D409F4"/>
    <w:rsid w:val="00D469A0"/>
    <w:rsid w:val="00D47147"/>
    <w:rsid w:val="00D548DD"/>
    <w:rsid w:val="00D5563D"/>
    <w:rsid w:val="00D55BEC"/>
    <w:rsid w:val="00D57FD7"/>
    <w:rsid w:val="00D6407D"/>
    <w:rsid w:val="00D83A26"/>
    <w:rsid w:val="00D8719D"/>
    <w:rsid w:val="00D92FEC"/>
    <w:rsid w:val="00D93620"/>
    <w:rsid w:val="00D944E3"/>
    <w:rsid w:val="00D948DF"/>
    <w:rsid w:val="00DA51FA"/>
    <w:rsid w:val="00DA6578"/>
    <w:rsid w:val="00DA7602"/>
    <w:rsid w:val="00DC3D4B"/>
    <w:rsid w:val="00DD0CAE"/>
    <w:rsid w:val="00DD1E8B"/>
    <w:rsid w:val="00DD3457"/>
    <w:rsid w:val="00DD6693"/>
    <w:rsid w:val="00DE7170"/>
    <w:rsid w:val="00DE7F78"/>
    <w:rsid w:val="00DF3720"/>
    <w:rsid w:val="00DF5733"/>
    <w:rsid w:val="00DF5BFC"/>
    <w:rsid w:val="00E003F8"/>
    <w:rsid w:val="00E01AB0"/>
    <w:rsid w:val="00E07067"/>
    <w:rsid w:val="00E100A0"/>
    <w:rsid w:val="00E10638"/>
    <w:rsid w:val="00E11DE8"/>
    <w:rsid w:val="00E13204"/>
    <w:rsid w:val="00E216FE"/>
    <w:rsid w:val="00E23A44"/>
    <w:rsid w:val="00E25C91"/>
    <w:rsid w:val="00E34EE8"/>
    <w:rsid w:val="00E35B82"/>
    <w:rsid w:val="00E40E08"/>
    <w:rsid w:val="00E46281"/>
    <w:rsid w:val="00E643B3"/>
    <w:rsid w:val="00E75691"/>
    <w:rsid w:val="00E75F82"/>
    <w:rsid w:val="00E776C9"/>
    <w:rsid w:val="00E84817"/>
    <w:rsid w:val="00E87C81"/>
    <w:rsid w:val="00E90321"/>
    <w:rsid w:val="00E91E10"/>
    <w:rsid w:val="00E93583"/>
    <w:rsid w:val="00E940DB"/>
    <w:rsid w:val="00E96E68"/>
    <w:rsid w:val="00EA1B3A"/>
    <w:rsid w:val="00EA3787"/>
    <w:rsid w:val="00EA4C2E"/>
    <w:rsid w:val="00EB5CA8"/>
    <w:rsid w:val="00EC5214"/>
    <w:rsid w:val="00ED06F6"/>
    <w:rsid w:val="00EE5910"/>
    <w:rsid w:val="00EE5C7B"/>
    <w:rsid w:val="00EE5CDD"/>
    <w:rsid w:val="00EF3C51"/>
    <w:rsid w:val="00F05D28"/>
    <w:rsid w:val="00F05FC2"/>
    <w:rsid w:val="00F11C50"/>
    <w:rsid w:val="00F164D5"/>
    <w:rsid w:val="00F20D46"/>
    <w:rsid w:val="00F22355"/>
    <w:rsid w:val="00F30ACF"/>
    <w:rsid w:val="00F36FBA"/>
    <w:rsid w:val="00F52252"/>
    <w:rsid w:val="00F6364D"/>
    <w:rsid w:val="00F65099"/>
    <w:rsid w:val="00F65E72"/>
    <w:rsid w:val="00F6661A"/>
    <w:rsid w:val="00F82E1B"/>
    <w:rsid w:val="00F85036"/>
    <w:rsid w:val="00F86C9F"/>
    <w:rsid w:val="00F938FB"/>
    <w:rsid w:val="00F94CC3"/>
    <w:rsid w:val="00F97837"/>
    <w:rsid w:val="00FA5512"/>
    <w:rsid w:val="00FB3057"/>
    <w:rsid w:val="00FB7B8B"/>
    <w:rsid w:val="00FD5D59"/>
    <w:rsid w:val="00FD6816"/>
    <w:rsid w:val="00FE061A"/>
    <w:rsid w:val="00FE7AA3"/>
    <w:rsid w:val="00FF4878"/>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D06D"/>
  <w15:docId w15:val="{6E6BBC97-6C34-4146-A820-1592464E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70E"/>
    <w:pPr>
      <w:numPr>
        <w:numId w:val="1"/>
      </w:numPr>
      <w:spacing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CE270E"/>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CE270E"/>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CE270E"/>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CE270E"/>
    <w:pPr>
      <w:numPr>
        <w:ilvl w:val="4"/>
        <w:numId w:val="1"/>
      </w:numPr>
      <w:tabs>
        <w:tab w:val="left" w:pos="3600"/>
      </w:tabs>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CE270E"/>
    <w:pPr>
      <w:numPr>
        <w:ilvl w:val="5"/>
        <w:numId w:val="1"/>
      </w:numPr>
      <w:tabs>
        <w:tab w:val="left" w:pos="4320"/>
      </w:tabs>
      <w:spacing w:after="240"/>
      <w:jc w:val="both"/>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CE270E"/>
    <w:pPr>
      <w:numPr>
        <w:ilvl w:val="6"/>
        <w:numId w:val="1"/>
      </w:numPr>
      <w:tabs>
        <w:tab w:val="left" w:pos="5040"/>
      </w:tabs>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CE270E"/>
    <w:pPr>
      <w:numPr>
        <w:ilvl w:val="7"/>
        <w:numId w:val="1"/>
      </w:numPr>
      <w:tabs>
        <w:tab w:val="left" w:pos="5760"/>
      </w:tabs>
      <w:spacing w:after="240"/>
      <w:jc w:val="both"/>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CE270E"/>
    <w:pPr>
      <w:numPr>
        <w:ilvl w:val="8"/>
        <w:numId w:val="1"/>
      </w:numPr>
      <w:tabs>
        <w:tab w:val="left" w:pos="6480"/>
      </w:tabs>
      <w:spacing w:after="240"/>
      <w:jc w:val="both"/>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31A4"/>
    <w:rPr>
      <w:sz w:val="20"/>
      <w:szCs w:val="20"/>
    </w:rPr>
  </w:style>
  <w:style w:type="character" w:customStyle="1" w:styleId="FootnoteTextChar">
    <w:name w:val="Footnote Text Char"/>
    <w:basedOn w:val="DefaultParagraphFont"/>
    <w:link w:val="FootnoteText"/>
    <w:uiPriority w:val="99"/>
    <w:semiHidden/>
    <w:rsid w:val="004731A4"/>
    <w:rPr>
      <w:sz w:val="20"/>
      <w:szCs w:val="20"/>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semiHidden/>
    <w:unhideWhenUsed/>
    <w:rsid w:val="004731A4"/>
    <w:rPr>
      <w:vertAlign w:val="superscript"/>
    </w:rPr>
  </w:style>
  <w:style w:type="paragraph" w:styleId="Header">
    <w:name w:val="header"/>
    <w:basedOn w:val="Normal"/>
    <w:link w:val="HeaderChar"/>
    <w:unhideWhenUsed/>
    <w:rsid w:val="003F2FE8"/>
    <w:pPr>
      <w:tabs>
        <w:tab w:val="center" w:pos="4680"/>
        <w:tab w:val="right" w:pos="9360"/>
      </w:tabs>
    </w:pPr>
  </w:style>
  <w:style w:type="character" w:customStyle="1" w:styleId="HeaderChar">
    <w:name w:val="Header Char"/>
    <w:basedOn w:val="DefaultParagraphFont"/>
    <w:link w:val="Header"/>
    <w:rsid w:val="003F2FE8"/>
  </w:style>
  <w:style w:type="paragraph" w:styleId="Footer">
    <w:name w:val="footer"/>
    <w:basedOn w:val="Normal"/>
    <w:link w:val="FooterChar"/>
    <w:uiPriority w:val="99"/>
    <w:unhideWhenUsed/>
    <w:rsid w:val="003F2FE8"/>
    <w:pPr>
      <w:tabs>
        <w:tab w:val="center" w:pos="4680"/>
        <w:tab w:val="right" w:pos="9360"/>
      </w:tabs>
    </w:pPr>
  </w:style>
  <w:style w:type="character" w:customStyle="1" w:styleId="FooterChar">
    <w:name w:val="Footer Char"/>
    <w:basedOn w:val="DefaultParagraphFont"/>
    <w:link w:val="Footer"/>
    <w:uiPriority w:val="99"/>
    <w:rsid w:val="003F2FE8"/>
  </w:style>
  <w:style w:type="character" w:customStyle="1" w:styleId="Heading1Char">
    <w:name w:val="Heading 1 Char"/>
    <w:basedOn w:val="DefaultParagraphFont"/>
    <w:link w:val="Heading1"/>
    <w:uiPriority w:val="9"/>
    <w:rsid w:val="00CE270E"/>
    <w:rPr>
      <w:rFonts w:eastAsiaTheme="majorEastAsia" w:cs="Arial"/>
      <w:b/>
      <w:caps/>
      <w:szCs w:val="32"/>
      <w:u w:val="single"/>
    </w:rPr>
  </w:style>
  <w:style w:type="character" w:customStyle="1" w:styleId="Heading2Char">
    <w:name w:val="Heading 2 Char"/>
    <w:basedOn w:val="DefaultParagraphFont"/>
    <w:link w:val="Heading2"/>
    <w:uiPriority w:val="9"/>
    <w:rsid w:val="00CE270E"/>
    <w:rPr>
      <w:rFonts w:eastAsiaTheme="majorEastAsia" w:cs="Arial"/>
      <w:b/>
      <w:szCs w:val="26"/>
    </w:rPr>
  </w:style>
  <w:style w:type="character" w:customStyle="1" w:styleId="Heading3Char">
    <w:name w:val="Heading 3 Char"/>
    <w:basedOn w:val="DefaultParagraphFont"/>
    <w:link w:val="Heading3"/>
    <w:uiPriority w:val="9"/>
    <w:semiHidden/>
    <w:rsid w:val="00CE270E"/>
    <w:rPr>
      <w:rFonts w:eastAsiaTheme="majorEastAsia" w:cs="Arial"/>
      <w:b/>
    </w:rPr>
  </w:style>
  <w:style w:type="character" w:customStyle="1" w:styleId="Heading4Char">
    <w:name w:val="Heading 4 Char"/>
    <w:basedOn w:val="DefaultParagraphFont"/>
    <w:link w:val="Heading4"/>
    <w:uiPriority w:val="9"/>
    <w:semiHidden/>
    <w:rsid w:val="00CE270E"/>
    <w:rPr>
      <w:rFonts w:eastAsiaTheme="majorEastAsia" w:cs="Arial"/>
      <w:b/>
      <w:i/>
      <w:iCs/>
    </w:rPr>
  </w:style>
  <w:style w:type="character" w:customStyle="1" w:styleId="Heading5Char">
    <w:name w:val="Heading 5 Char"/>
    <w:basedOn w:val="DefaultParagraphFont"/>
    <w:link w:val="Heading5"/>
    <w:uiPriority w:val="9"/>
    <w:semiHidden/>
    <w:rsid w:val="00CE270E"/>
    <w:rPr>
      <w:rFonts w:eastAsiaTheme="majorEastAsia" w:cs="Arial"/>
      <w:color w:val="243F60"/>
    </w:rPr>
  </w:style>
  <w:style w:type="character" w:customStyle="1" w:styleId="Heading6Char">
    <w:name w:val="Heading 6 Char"/>
    <w:basedOn w:val="DefaultParagraphFont"/>
    <w:link w:val="Heading6"/>
    <w:uiPriority w:val="9"/>
    <w:semiHidden/>
    <w:rsid w:val="00CE270E"/>
    <w:rPr>
      <w:rFonts w:eastAsiaTheme="majorEastAsia" w:cs="Arial"/>
      <w:color w:val="243F60"/>
    </w:rPr>
  </w:style>
  <w:style w:type="character" w:customStyle="1" w:styleId="Heading7Char">
    <w:name w:val="Heading 7 Char"/>
    <w:basedOn w:val="DefaultParagraphFont"/>
    <w:link w:val="Heading7"/>
    <w:uiPriority w:val="9"/>
    <w:semiHidden/>
    <w:rsid w:val="00CE270E"/>
    <w:rPr>
      <w:rFonts w:eastAsiaTheme="majorEastAsia" w:cs="Arial"/>
      <w:iCs/>
      <w:color w:val="404040"/>
    </w:rPr>
  </w:style>
  <w:style w:type="character" w:customStyle="1" w:styleId="Heading8Char">
    <w:name w:val="Heading 8 Char"/>
    <w:basedOn w:val="DefaultParagraphFont"/>
    <w:link w:val="Heading8"/>
    <w:uiPriority w:val="9"/>
    <w:semiHidden/>
    <w:rsid w:val="00CE270E"/>
    <w:rPr>
      <w:rFonts w:eastAsiaTheme="majorEastAsia" w:cs="Arial"/>
      <w:color w:val="404040"/>
      <w:szCs w:val="21"/>
    </w:rPr>
  </w:style>
  <w:style w:type="character" w:customStyle="1" w:styleId="Heading9Char">
    <w:name w:val="Heading 9 Char"/>
    <w:basedOn w:val="DefaultParagraphFont"/>
    <w:link w:val="Heading9"/>
    <w:uiPriority w:val="9"/>
    <w:semiHidden/>
    <w:rsid w:val="00CE270E"/>
    <w:rPr>
      <w:rFonts w:eastAsiaTheme="majorEastAsia" w:cs="Arial"/>
      <w:iCs/>
      <w:color w:val="404040"/>
      <w:szCs w:val="21"/>
    </w:rPr>
  </w:style>
  <w:style w:type="paragraph" w:styleId="BalloonText">
    <w:name w:val="Balloon Text"/>
    <w:basedOn w:val="Normal"/>
    <w:link w:val="BalloonTextChar"/>
    <w:uiPriority w:val="99"/>
    <w:semiHidden/>
    <w:unhideWhenUsed/>
    <w:rsid w:val="00BD4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FF"/>
    <w:rPr>
      <w:rFonts w:ascii="Segoe UI" w:hAnsi="Segoe UI" w:cs="Segoe UI"/>
      <w:sz w:val="18"/>
      <w:szCs w:val="18"/>
    </w:rPr>
  </w:style>
  <w:style w:type="character" w:styleId="CommentReference">
    <w:name w:val="annotation reference"/>
    <w:basedOn w:val="DefaultParagraphFont"/>
    <w:uiPriority w:val="99"/>
    <w:semiHidden/>
    <w:unhideWhenUsed/>
    <w:rsid w:val="002C0941"/>
    <w:rPr>
      <w:sz w:val="16"/>
      <w:szCs w:val="16"/>
    </w:rPr>
  </w:style>
  <w:style w:type="paragraph" w:styleId="CommentText">
    <w:name w:val="annotation text"/>
    <w:basedOn w:val="Normal"/>
    <w:link w:val="CommentTextChar"/>
    <w:uiPriority w:val="99"/>
    <w:semiHidden/>
    <w:unhideWhenUsed/>
    <w:rsid w:val="002C0941"/>
    <w:rPr>
      <w:sz w:val="20"/>
      <w:szCs w:val="20"/>
    </w:rPr>
  </w:style>
  <w:style w:type="character" w:customStyle="1" w:styleId="CommentTextChar">
    <w:name w:val="Comment Text Char"/>
    <w:basedOn w:val="DefaultParagraphFont"/>
    <w:link w:val="CommentText"/>
    <w:uiPriority w:val="99"/>
    <w:semiHidden/>
    <w:rsid w:val="002C0941"/>
    <w:rPr>
      <w:sz w:val="20"/>
      <w:szCs w:val="20"/>
    </w:rPr>
  </w:style>
  <w:style w:type="paragraph" w:styleId="CommentSubject">
    <w:name w:val="annotation subject"/>
    <w:basedOn w:val="CommentText"/>
    <w:next w:val="CommentText"/>
    <w:link w:val="CommentSubjectChar"/>
    <w:uiPriority w:val="99"/>
    <w:semiHidden/>
    <w:unhideWhenUsed/>
    <w:rsid w:val="002C0941"/>
    <w:rPr>
      <w:b/>
      <w:bCs/>
    </w:rPr>
  </w:style>
  <w:style w:type="character" w:customStyle="1" w:styleId="CommentSubjectChar">
    <w:name w:val="Comment Subject Char"/>
    <w:basedOn w:val="CommentTextChar"/>
    <w:link w:val="CommentSubject"/>
    <w:uiPriority w:val="99"/>
    <w:semiHidden/>
    <w:rsid w:val="002C0941"/>
    <w:rPr>
      <w:b/>
      <w:bCs/>
      <w:sz w:val="20"/>
      <w:szCs w:val="20"/>
    </w:rPr>
  </w:style>
  <w:style w:type="paragraph" w:styleId="TOCHeading">
    <w:name w:val="TOC Heading"/>
    <w:basedOn w:val="Normal"/>
    <w:next w:val="TOC1"/>
    <w:uiPriority w:val="39"/>
    <w:unhideWhenUsed/>
    <w:qFormat/>
    <w:rsid w:val="00E07067"/>
    <w:pPr>
      <w:keepNext/>
      <w:keepLines/>
      <w:spacing w:before="240" w:after="240"/>
      <w:jc w:val="center"/>
    </w:pPr>
    <w:rPr>
      <w:rFonts w:cs="Arial"/>
      <w:b/>
      <w:color w:val="000000"/>
    </w:rPr>
  </w:style>
  <w:style w:type="paragraph" w:styleId="TOC1">
    <w:name w:val="toc 1"/>
    <w:basedOn w:val="Normal"/>
    <w:next w:val="Normal"/>
    <w:autoRedefine/>
    <w:uiPriority w:val="39"/>
    <w:unhideWhenUsed/>
    <w:rsid w:val="001E4A52"/>
    <w:pPr>
      <w:tabs>
        <w:tab w:val="left" w:pos="720"/>
        <w:tab w:val="right" w:leader="dot" w:pos="9360"/>
      </w:tabs>
      <w:spacing w:after="100"/>
      <w:ind w:left="720" w:right="720" w:hanging="720"/>
      <w:jc w:val="both"/>
    </w:pPr>
  </w:style>
  <w:style w:type="paragraph" w:styleId="TOC2">
    <w:name w:val="toc 2"/>
    <w:basedOn w:val="Normal"/>
    <w:next w:val="Normal"/>
    <w:autoRedefine/>
    <w:uiPriority w:val="39"/>
    <w:unhideWhenUsed/>
    <w:rsid w:val="001E4A52"/>
    <w:pPr>
      <w:tabs>
        <w:tab w:val="left" w:pos="1440"/>
        <w:tab w:val="right" w:leader="dot" w:pos="9360"/>
      </w:tabs>
      <w:spacing w:after="100"/>
      <w:ind w:left="1440" w:right="720" w:hanging="720"/>
      <w:jc w:val="both"/>
    </w:pPr>
  </w:style>
  <w:style w:type="paragraph" w:styleId="TOC3">
    <w:name w:val="toc 3"/>
    <w:basedOn w:val="Normal"/>
    <w:next w:val="Normal"/>
    <w:autoRedefine/>
    <w:uiPriority w:val="39"/>
    <w:semiHidden/>
    <w:unhideWhenUsed/>
    <w:rsid w:val="00E07067"/>
    <w:pPr>
      <w:spacing w:after="100"/>
      <w:ind w:left="480"/>
    </w:pPr>
  </w:style>
  <w:style w:type="paragraph" w:styleId="TOC4">
    <w:name w:val="toc 4"/>
    <w:basedOn w:val="Normal"/>
    <w:next w:val="Normal"/>
    <w:autoRedefine/>
    <w:uiPriority w:val="39"/>
    <w:semiHidden/>
    <w:unhideWhenUsed/>
    <w:rsid w:val="00E07067"/>
    <w:pPr>
      <w:spacing w:after="100"/>
      <w:ind w:left="720"/>
    </w:pPr>
  </w:style>
  <w:style w:type="paragraph" w:styleId="TOC5">
    <w:name w:val="toc 5"/>
    <w:basedOn w:val="Normal"/>
    <w:next w:val="Normal"/>
    <w:autoRedefine/>
    <w:uiPriority w:val="39"/>
    <w:semiHidden/>
    <w:unhideWhenUsed/>
    <w:rsid w:val="00E07067"/>
    <w:pPr>
      <w:spacing w:after="100"/>
      <w:ind w:left="960"/>
    </w:pPr>
  </w:style>
  <w:style w:type="paragraph" w:styleId="TOC6">
    <w:name w:val="toc 6"/>
    <w:basedOn w:val="Normal"/>
    <w:next w:val="Normal"/>
    <w:autoRedefine/>
    <w:uiPriority w:val="39"/>
    <w:semiHidden/>
    <w:unhideWhenUsed/>
    <w:rsid w:val="00E07067"/>
    <w:pPr>
      <w:spacing w:after="100"/>
      <w:ind w:left="1200"/>
    </w:pPr>
  </w:style>
  <w:style w:type="paragraph" w:styleId="TOC7">
    <w:name w:val="toc 7"/>
    <w:basedOn w:val="Normal"/>
    <w:next w:val="Normal"/>
    <w:autoRedefine/>
    <w:uiPriority w:val="39"/>
    <w:semiHidden/>
    <w:unhideWhenUsed/>
    <w:rsid w:val="00E07067"/>
    <w:pPr>
      <w:spacing w:after="100"/>
      <w:ind w:left="1440"/>
    </w:pPr>
  </w:style>
  <w:style w:type="paragraph" w:styleId="TOC8">
    <w:name w:val="toc 8"/>
    <w:basedOn w:val="Normal"/>
    <w:next w:val="Normal"/>
    <w:autoRedefine/>
    <w:uiPriority w:val="39"/>
    <w:semiHidden/>
    <w:unhideWhenUsed/>
    <w:rsid w:val="00E07067"/>
    <w:pPr>
      <w:spacing w:after="100"/>
      <w:ind w:left="1680"/>
    </w:pPr>
  </w:style>
  <w:style w:type="paragraph" w:styleId="TOC9">
    <w:name w:val="toc 9"/>
    <w:basedOn w:val="Normal"/>
    <w:next w:val="Normal"/>
    <w:autoRedefine/>
    <w:uiPriority w:val="39"/>
    <w:semiHidden/>
    <w:unhideWhenUsed/>
    <w:rsid w:val="00E07067"/>
    <w:pPr>
      <w:spacing w:after="100"/>
      <w:ind w:left="1920"/>
    </w:pPr>
  </w:style>
  <w:style w:type="paragraph" w:customStyle="1" w:styleId="TOCPage">
    <w:name w:val="TOC Page"/>
    <w:basedOn w:val="Normal"/>
    <w:next w:val="Normal"/>
    <w:link w:val="TOCPageChar"/>
    <w:rsid w:val="00E07067"/>
    <w:pPr>
      <w:spacing w:after="240"/>
      <w:jc w:val="right"/>
    </w:pPr>
    <w:rPr>
      <w:rFonts w:eastAsia="Calibri" w:cs="Arial"/>
      <w:b/>
      <w:smallCaps/>
      <w:szCs w:val="28"/>
    </w:rPr>
  </w:style>
  <w:style w:type="character" w:customStyle="1" w:styleId="TOCPageChar">
    <w:name w:val="TOC Page Char"/>
    <w:basedOn w:val="DefaultParagraphFont"/>
    <w:link w:val="TOCPage"/>
    <w:rsid w:val="00E07067"/>
    <w:rPr>
      <w:rFonts w:eastAsia="Calibri" w:cs="Arial"/>
      <w:b/>
      <w:smallCap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4939">
      <w:bodyDiv w:val="1"/>
      <w:marLeft w:val="0"/>
      <w:marRight w:val="0"/>
      <w:marTop w:val="0"/>
      <w:marBottom w:val="0"/>
      <w:divBdr>
        <w:top w:val="none" w:sz="0" w:space="0" w:color="auto"/>
        <w:left w:val="none" w:sz="0" w:space="0" w:color="auto"/>
        <w:bottom w:val="none" w:sz="0" w:space="0" w:color="auto"/>
        <w:right w:val="none" w:sz="0" w:space="0" w:color="auto"/>
      </w:divBdr>
    </w:div>
    <w:div w:id="1998724536">
      <w:bodyDiv w:val="1"/>
      <w:marLeft w:val="0"/>
      <w:marRight w:val="0"/>
      <w:marTop w:val="0"/>
      <w:marBottom w:val="0"/>
      <w:divBdr>
        <w:top w:val="none" w:sz="0" w:space="0" w:color="auto"/>
        <w:left w:val="none" w:sz="0" w:space="0" w:color="auto"/>
        <w:bottom w:val="none" w:sz="0" w:space="0" w:color="auto"/>
        <w:right w:val="none" w:sz="0" w:space="0" w:color="auto"/>
      </w:divBdr>
    </w:div>
    <w:div w:id="21398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Kevin.Moore@occ.ohio.gov" TargetMode="External"/><Relationship Id="rId26" Type="http://schemas.openxmlformats.org/officeDocument/2006/relationships/hyperlink" Target="mailto:mdortch@kravitzllc.com" TargetMode="External"/><Relationship Id="rId39" Type="http://schemas.openxmlformats.org/officeDocument/2006/relationships/hyperlink" Target="mailto:jlang@calfee.com" TargetMode="External"/><Relationship Id="rId3" Type="http://schemas.openxmlformats.org/officeDocument/2006/relationships/settings" Target="settings.xml"/><Relationship Id="rId21" Type="http://schemas.openxmlformats.org/officeDocument/2006/relationships/hyperlink" Target="mailto:mjsettineri@vorys.com" TargetMode="External"/><Relationship Id="rId34" Type="http://schemas.openxmlformats.org/officeDocument/2006/relationships/hyperlink" Target="mailto:dborchers@bricker.com" TargetMode="External"/><Relationship Id="rId42" Type="http://schemas.openxmlformats.org/officeDocument/2006/relationships/hyperlink" Target="mailto:lhawrot@spilmanlaw.com" TargetMode="External"/><Relationship Id="rId47" Type="http://schemas.openxmlformats.org/officeDocument/2006/relationships/hyperlink" Target="mailto:ejacobs@ablelaw.org" TargetMode="External"/><Relationship Id="rId50" Type="http://schemas.openxmlformats.org/officeDocument/2006/relationships/hyperlink" Target="mailto:dparram@bricker.com"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mailto:William.Michael@occ.ohio.gov" TargetMode="External"/><Relationship Id="rId25" Type="http://schemas.openxmlformats.org/officeDocument/2006/relationships/hyperlink" Target="mailto:joliker@igsenergy.com" TargetMode="External"/><Relationship Id="rId33" Type="http://schemas.openxmlformats.org/officeDocument/2006/relationships/hyperlink" Target="mailto:mwarnock@bricker.com" TargetMode="External"/><Relationship Id="rId38" Type="http://schemas.openxmlformats.org/officeDocument/2006/relationships/hyperlink" Target="mailto:slesser@calfee.com" TargetMode="External"/><Relationship Id="rId46" Type="http://schemas.openxmlformats.org/officeDocument/2006/relationships/hyperlink" Target="mailto:rseiler@dickinsonwright.com" TargetMode="External"/><Relationship Id="rId2" Type="http://schemas.openxmlformats.org/officeDocument/2006/relationships/styles" Target="styles.xml"/><Relationship Id="rId16" Type="http://schemas.openxmlformats.org/officeDocument/2006/relationships/hyperlink" Target="mailto:evelyn.robinson@pjm.com" TargetMode="External"/><Relationship Id="rId20" Type="http://schemas.openxmlformats.org/officeDocument/2006/relationships/hyperlink" Target="mailto:perko@carpenterlipps.com" TargetMode="External"/><Relationship Id="rId29" Type="http://schemas.openxmlformats.org/officeDocument/2006/relationships/hyperlink" Target="mailto:tdougherty@theOEC.org" TargetMode="External"/><Relationship Id="rId41" Type="http://schemas.openxmlformats.org/officeDocument/2006/relationships/hyperlink" Target="mailto:mkeaney@calfe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mailto:ibatikov@vorys.com" TargetMode="External"/><Relationship Id="rId32" Type="http://schemas.openxmlformats.org/officeDocument/2006/relationships/hyperlink" Target="mailto:rick.sites@ohiohospitals.org" TargetMode="External"/><Relationship Id="rId37" Type="http://schemas.openxmlformats.org/officeDocument/2006/relationships/hyperlink" Target="mailto:chris@envlaw.com" TargetMode="External"/><Relationship Id="rId40" Type="http://schemas.openxmlformats.org/officeDocument/2006/relationships/hyperlink" Target="mailto:talexander@calfee.com" TargetMode="External"/><Relationship Id="rId45" Type="http://schemas.openxmlformats.org/officeDocument/2006/relationships/hyperlink" Target="mailto:todonnell@dickinsonwright.com" TargetMode="External"/><Relationship Id="rId5" Type="http://schemas.openxmlformats.org/officeDocument/2006/relationships/footnotes" Target="footnotes.xml"/><Relationship Id="rId15" Type="http://schemas.openxmlformats.org/officeDocument/2006/relationships/hyperlink" Target="mailto:jeffrey.mayes@monitoringanalytics.com" TargetMode="External"/><Relationship Id="rId23" Type="http://schemas.openxmlformats.org/officeDocument/2006/relationships/hyperlink" Target="mailto:glpetrucci@vorys.com" TargetMode="External"/><Relationship Id="rId28" Type="http://schemas.openxmlformats.org/officeDocument/2006/relationships/hyperlink" Target="mailto:cmooney@ohiopartners.org" TargetMode="External"/><Relationship Id="rId36" Type="http://schemas.openxmlformats.org/officeDocument/2006/relationships/hyperlink" Target="mailto:Tony.mendoza@sierraclub.org" TargetMode="External"/><Relationship Id="rId49" Type="http://schemas.openxmlformats.org/officeDocument/2006/relationships/hyperlink" Target="mailto:mcrawcord@djflawfirm.com" TargetMode="External"/><Relationship Id="rId10" Type="http://schemas.openxmlformats.org/officeDocument/2006/relationships/header" Target="header2.xml"/><Relationship Id="rId19" Type="http://schemas.openxmlformats.org/officeDocument/2006/relationships/hyperlink" Target="mailto:Bojko@carpenterlipps.com" TargetMode="External"/><Relationship Id="rId31" Type="http://schemas.openxmlformats.org/officeDocument/2006/relationships/hyperlink" Target="mailto:gpoulos@enernoc.com" TargetMode="External"/><Relationship Id="rId44" Type="http://schemas.openxmlformats.org/officeDocument/2006/relationships/hyperlink" Target="mailto:charis@spilmanlaw.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mailto:smhoward@vorys.co" TargetMode="External"/><Relationship Id="rId27" Type="http://schemas.openxmlformats.org/officeDocument/2006/relationships/hyperlink" Target="mailto:rparsons@kravitzllc.com" TargetMode="External"/><Relationship Id="rId30" Type="http://schemas.openxmlformats.org/officeDocument/2006/relationships/hyperlink" Target="mailto:Sechler@carpenterlipps.com" TargetMode="External"/><Relationship Id="rId35" Type="http://schemas.openxmlformats.org/officeDocument/2006/relationships/hyperlink" Target="mailto:rsahli@columbus.rr.com" TargetMode="External"/><Relationship Id="rId43" Type="http://schemas.openxmlformats.org/officeDocument/2006/relationships/hyperlink" Target="mailto:dwilliamson@spilmanlaw.com" TargetMode="External"/><Relationship Id="rId48" Type="http://schemas.openxmlformats.org/officeDocument/2006/relationships/hyperlink" Target="mailto:jdoll@djflawfirm.com" TargetMode="External"/><Relationship Id="rId8" Type="http://schemas.openxmlformats.org/officeDocument/2006/relationships/footer" Target="foot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31</Pages>
  <Words>8142</Words>
  <Characters>44920</Characters>
  <Application>Microsoft Office Word</Application>
  <DocSecurity>0</DocSecurity>
  <PresentationFormat/>
  <Lines>1006</Lines>
  <Paragraphs>386</Paragraphs>
  <ScaleCrop>false</ScaleCrop>
  <HeadingPairs>
    <vt:vector size="2" baseType="variant">
      <vt:variant>
        <vt:lpstr>Title</vt:lpstr>
      </vt:variant>
      <vt:variant>
        <vt:i4>1</vt:i4>
      </vt:variant>
    </vt:vector>
  </HeadingPairs>
  <TitlesOfParts>
    <vt:vector size="1" baseType="lpstr">
      <vt:lpstr>DPL ESP III; Motion to dismiss placeholder riders, RR, TCRR-N; reply memo (C0100181-2).DOCX</vt:lpstr>
    </vt:vector>
  </TitlesOfParts>
  <Company/>
  <LinksUpToDate>false</LinksUpToDate>
  <CharactersWithSpaces>52974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DPL ESP III; Motion to dismiss placeholder riders, RR, TCRR-N; reply memo (C0100181-2).DOCX</dc:title>
  <dc:subject>C0100181:1</dc:subject>
  <dc:creator>Bowman, Karen</dc:creator>
  <cp:keywords/>
  <dc:description/>
  <cp:lastModifiedBy>Frank Darr</cp:lastModifiedBy>
  <cp:revision>22</cp:revision>
  <cp:lastPrinted>2016-12-15T13:39:00Z</cp:lastPrinted>
  <dcterms:created xsi:type="dcterms:W3CDTF">2016-12-15T13:40:00Z</dcterms:created>
  <dcterms:modified xsi:type="dcterms:W3CDTF">2016-12-22T14:01:00Z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12/13/2016 3:35:21 PM</vt:lpwstr>
  </property>
</Properties>
</file>