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976" w:rsidRPr="00710E80" w:rsidRDefault="007C2976" w:rsidP="004D45B0">
      <w:pPr>
        <w:pStyle w:val="HTMLPreformatted"/>
        <w:tabs>
          <w:tab w:val="clear" w:pos="3664"/>
        </w:tabs>
        <w:jc w:val="center"/>
        <w:rPr>
          <w:rFonts w:ascii="Times New Roman" w:hAnsi="Times New Roman" w:cs="Times New Roman"/>
          <w:b/>
          <w:bCs/>
          <w:sz w:val="24"/>
        </w:rPr>
      </w:pPr>
      <w:bookmarkStart w:id="0" w:name="_GoBack"/>
      <w:bookmarkEnd w:id="0"/>
      <w:r w:rsidRPr="00710E80">
        <w:rPr>
          <w:rFonts w:ascii="Times New Roman" w:hAnsi="Times New Roman" w:cs="Times New Roman"/>
          <w:b/>
          <w:bCs/>
          <w:sz w:val="24"/>
        </w:rPr>
        <w:t>BEFORE</w:t>
      </w:r>
    </w:p>
    <w:p w:rsidR="007C2976" w:rsidRPr="00710E80" w:rsidRDefault="007C2976" w:rsidP="007C2976">
      <w:pPr>
        <w:pStyle w:val="HTMLPreformatted"/>
        <w:jc w:val="center"/>
        <w:rPr>
          <w:rFonts w:ascii="Times New Roman" w:hAnsi="Times New Roman" w:cs="Times New Roman"/>
          <w:sz w:val="24"/>
        </w:rPr>
      </w:pPr>
      <w:r w:rsidRPr="00710E80">
        <w:rPr>
          <w:rFonts w:ascii="Times New Roman" w:hAnsi="Times New Roman" w:cs="Times New Roman"/>
          <w:b/>
          <w:bCs/>
          <w:sz w:val="24"/>
        </w:rPr>
        <w:t xml:space="preserve">THE PUBLIC UTILITIES COMMISSION OF </w:t>
      </w:r>
      <w:smartTag w:uri="urn:schemas-microsoft-com:office:smarttags" w:element="place">
        <w:smartTag w:uri="urn:schemas-microsoft-com:office:smarttags" w:element="State">
          <w:r w:rsidRPr="00710E80">
            <w:rPr>
              <w:rFonts w:ascii="Times New Roman" w:hAnsi="Times New Roman" w:cs="Times New Roman"/>
              <w:b/>
              <w:bCs/>
              <w:sz w:val="24"/>
            </w:rPr>
            <w:t>OHIO</w:t>
          </w:r>
        </w:smartTag>
      </w:smartTag>
    </w:p>
    <w:p w:rsidR="007C2976" w:rsidRPr="00710E80" w:rsidRDefault="007C2976" w:rsidP="007C2976">
      <w:pPr>
        <w:pStyle w:val="HTMLPreformatted"/>
        <w:rPr>
          <w:rFonts w:ascii="Times New Roman" w:hAnsi="Times New Roman" w:cs="Times New Roman"/>
          <w:sz w:val="24"/>
        </w:rPr>
      </w:pPr>
    </w:p>
    <w:tbl>
      <w:tblPr>
        <w:tblW w:w="9092" w:type="dxa"/>
        <w:tblLook w:val="01E0" w:firstRow="1" w:lastRow="1" w:firstColumn="1" w:lastColumn="1" w:noHBand="0" w:noVBand="0"/>
      </w:tblPr>
      <w:tblGrid>
        <w:gridCol w:w="4332"/>
        <w:gridCol w:w="360"/>
        <w:gridCol w:w="4400"/>
      </w:tblGrid>
      <w:tr w:rsidR="007C2976" w:rsidRPr="00710E80" w:rsidTr="00C30244">
        <w:trPr>
          <w:trHeight w:val="807"/>
        </w:trPr>
        <w:tc>
          <w:tcPr>
            <w:tcW w:w="4332" w:type="dxa"/>
            <w:shd w:val="clear" w:color="auto" w:fill="auto"/>
          </w:tcPr>
          <w:p w:rsidR="007C2976" w:rsidRPr="00710E80" w:rsidRDefault="007C2976" w:rsidP="00AB18F2">
            <w:pPr>
              <w:autoSpaceDE w:val="0"/>
              <w:autoSpaceDN w:val="0"/>
              <w:adjustRightInd w:val="0"/>
            </w:pPr>
            <w:r w:rsidRPr="00710E80">
              <w:t xml:space="preserve">In the Matter of </w:t>
            </w:r>
            <w:r w:rsidR="0017403B">
              <w:t xml:space="preserve">the Application </w:t>
            </w:r>
            <w:r w:rsidR="00AB18F2">
              <w:t xml:space="preserve">for the Energy Efficiency and Peak Demand Reduction Portfolio Status Report </w:t>
            </w:r>
            <w:r w:rsidR="0017403B">
              <w:t>of Ohio Edison Company, the Cleveland Electric Illuminating Company, and the Toledo Edison Company</w:t>
            </w:r>
            <w:r w:rsidR="00AB18F2">
              <w:t xml:space="preserve"> for the Period January 1, 2015 to December 31, 2015</w:t>
            </w:r>
            <w:r w:rsidR="00D50439" w:rsidRPr="00710E80">
              <w:t>.</w:t>
            </w:r>
          </w:p>
        </w:tc>
        <w:tc>
          <w:tcPr>
            <w:tcW w:w="360" w:type="dxa"/>
            <w:shd w:val="clear" w:color="auto" w:fill="auto"/>
          </w:tcPr>
          <w:p w:rsidR="007C2976" w:rsidRPr="00710E80" w:rsidRDefault="007C2976" w:rsidP="00C31A75">
            <w:pPr>
              <w:pStyle w:val="HTMLPreformatted"/>
              <w:rPr>
                <w:rFonts w:ascii="Times New Roman" w:hAnsi="Times New Roman" w:cs="Times New Roman"/>
                <w:sz w:val="24"/>
              </w:rPr>
            </w:pPr>
            <w:r w:rsidRPr="00710E80">
              <w:rPr>
                <w:rFonts w:ascii="Times New Roman" w:hAnsi="Times New Roman" w:cs="Times New Roman"/>
                <w:sz w:val="24"/>
              </w:rPr>
              <w:t>)</w:t>
            </w:r>
          </w:p>
          <w:p w:rsidR="007C2976" w:rsidRPr="00710E80" w:rsidRDefault="007C2976" w:rsidP="00C31A75">
            <w:pPr>
              <w:pStyle w:val="HTMLPreformatted"/>
              <w:rPr>
                <w:rFonts w:ascii="Times New Roman" w:hAnsi="Times New Roman" w:cs="Times New Roman"/>
                <w:sz w:val="24"/>
              </w:rPr>
            </w:pPr>
            <w:r w:rsidRPr="00710E80">
              <w:rPr>
                <w:rFonts w:ascii="Times New Roman" w:hAnsi="Times New Roman" w:cs="Times New Roman"/>
                <w:sz w:val="24"/>
              </w:rPr>
              <w:t>)</w:t>
            </w:r>
          </w:p>
          <w:p w:rsidR="007C2976" w:rsidRDefault="007C2976" w:rsidP="00C31A75">
            <w:pPr>
              <w:pStyle w:val="HTMLPreformatted"/>
              <w:rPr>
                <w:rFonts w:ascii="Times New Roman" w:hAnsi="Times New Roman" w:cs="Times New Roman"/>
                <w:sz w:val="24"/>
              </w:rPr>
            </w:pPr>
            <w:r w:rsidRPr="00710E80">
              <w:rPr>
                <w:rFonts w:ascii="Times New Roman" w:hAnsi="Times New Roman" w:cs="Times New Roman"/>
                <w:sz w:val="24"/>
              </w:rPr>
              <w:t>)</w:t>
            </w:r>
          </w:p>
          <w:p w:rsidR="0017403B" w:rsidRDefault="0017403B" w:rsidP="00C31A75">
            <w:pPr>
              <w:pStyle w:val="HTMLPreformatted"/>
              <w:rPr>
                <w:rFonts w:ascii="Times New Roman" w:hAnsi="Times New Roman" w:cs="Times New Roman"/>
                <w:sz w:val="24"/>
              </w:rPr>
            </w:pPr>
            <w:r>
              <w:rPr>
                <w:rFonts w:ascii="Times New Roman" w:hAnsi="Times New Roman" w:cs="Times New Roman"/>
                <w:sz w:val="24"/>
              </w:rPr>
              <w:t>)</w:t>
            </w:r>
          </w:p>
          <w:p w:rsidR="0017403B" w:rsidRDefault="0017403B" w:rsidP="00C31A75">
            <w:pPr>
              <w:pStyle w:val="HTMLPreformatted"/>
              <w:rPr>
                <w:rFonts w:ascii="Times New Roman" w:hAnsi="Times New Roman" w:cs="Times New Roman"/>
                <w:sz w:val="24"/>
              </w:rPr>
            </w:pPr>
            <w:r>
              <w:rPr>
                <w:rFonts w:ascii="Times New Roman" w:hAnsi="Times New Roman" w:cs="Times New Roman"/>
                <w:sz w:val="24"/>
              </w:rPr>
              <w:t>)</w:t>
            </w:r>
          </w:p>
          <w:p w:rsidR="0017403B" w:rsidRDefault="0017403B" w:rsidP="00C31A75">
            <w:pPr>
              <w:pStyle w:val="HTMLPreformatted"/>
              <w:rPr>
                <w:rFonts w:ascii="Times New Roman" w:hAnsi="Times New Roman" w:cs="Times New Roman"/>
                <w:sz w:val="24"/>
              </w:rPr>
            </w:pPr>
            <w:r>
              <w:rPr>
                <w:rFonts w:ascii="Times New Roman" w:hAnsi="Times New Roman" w:cs="Times New Roman"/>
                <w:sz w:val="24"/>
              </w:rPr>
              <w:t>)</w:t>
            </w:r>
          </w:p>
          <w:p w:rsidR="0017403B" w:rsidRPr="00710E80" w:rsidRDefault="0017403B" w:rsidP="00C31A75">
            <w:pPr>
              <w:pStyle w:val="HTMLPreformatted"/>
              <w:rPr>
                <w:rFonts w:ascii="Times New Roman" w:hAnsi="Times New Roman" w:cs="Times New Roman"/>
                <w:sz w:val="24"/>
              </w:rPr>
            </w:pPr>
            <w:r>
              <w:rPr>
                <w:rFonts w:ascii="Times New Roman" w:hAnsi="Times New Roman" w:cs="Times New Roman"/>
                <w:sz w:val="24"/>
              </w:rPr>
              <w:t>)</w:t>
            </w:r>
          </w:p>
        </w:tc>
        <w:tc>
          <w:tcPr>
            <w:tcW w:w="4400" w:type="dxa"/>
            <w:shd w:val="clear" w:color="auto" w:fill="auto"/>
          </w:tcPr>
          <w:p w:rsidR="007C2976" w:rsidRPr="00710E80" w:rsidRDefault="007C2976" w:rsidP="00C31A75">
            <w:pPr>
              <w:pStyle w:val="HTMLPreformatted"/>
              <w:rPr>
                <w:rFonts w:ascii="Times New Roman" w:hAnsi="Times New Roman" w:cs="Times New Roman"/>
                <w:sz w:val="24"/>
              </w:rPr>
            </w:pPr>
          </w:p>
          <w:p w:rsidR="0017403B" w:rsidRDefault="0017403B" w:rsidP="00C31A75"/>
          <w:p w:rsidR="0017403B" w:rsidRDefault="00AB18F2" w:rsidP="00C31A75">
            <w:r>
              <w:t>Case No. 16-941-EL-EEC</w:t>
            </w:r>
          </w:p>
          <w:p w:rsidR="007C2976" w:rsidRDefault="007C2976" w:rsidP="00C31A75">
            <w:r w:rsidRPr="00710E80">
              <w:t xml:space="preserve">Case No. </w:t>
            </w:r>
            <w:r w:rsidR="0017403B">
              <w:t>16-</w:t>
            </w:r>
            <w:r w:rsidR="00AB18F2">
              <w:t>942-EL-EEC</w:t>
            </w:r>
          </w:p>
          <w:p w:rsidR="00AB18F2" w:rsidRPr="00710E80" w:rsidRDefault="00AB18F2" w:rsidP="00C31A75">
            <w:pPr>
              <w:rPr>
                <w:i/>
              </w:rPr>
            </w:pPr>
            <w:r>
              <w:t>Case No. 16-943-EL-EEC</w:t>
            </w:r>
          </w:p>
          <w:p w:rsidR="007C2976" w:rsidRPr="00710E80" w:rsidRDefault="007C2976" w:rsidP="00C31A75">
            <w:pPr>
              <w:pStyle w:val="HTMLPreformatted"/>
              <w:rPr>
                <w:rFonts w:ascii="Times New Roman" w:hAnsi="Times New Roman" w:cs="Times New Roman"/>
                <w:sz w:val="24"/>
              </w:rPr>
            </w:pPr>
          </w:p>
        </w:tc>
      </w:tr>
    </w:tbl>
    <w:p w:rsidR="007C2976" w:rsidRPr="00710E80" w:rsidRDefault="007C2976" w:rsidP="007C2976">
      <w:pPr>
        <w:pStyle w:val="HTMLPreformatted"/>
        <w:rPr>
          <w:rFonts w:ascii="Times New Roman" w:hAnsi="Times New Roman" w:cs="Times New Roman"/>
          <w:sz w:val="24"/>
        </w:rPr>
      </w:pPr>
    </w:p>
    <w:p w:rsidR="007C2976" w:rsidRPr="00710E80" w:rsidRDefault="007C2976" w:rsidP="007C2976">
      <w:pPr>
        <w:pStyle w:val="HTMLPreformatted"/>
        <w:pBdr>
          <w:top w:val="single" w:sz="12" w:space="1" w:color="auto"/>
        </w:pBdr>
        <w:rPr>
          <w:rFonts w:ascii="Times New Roman" w:hAnsi="Times New Roman" w:cs="Times New Roman"/>
          <w:sz w:val="24"/>
        </w:rPr>
      </w:pPr>
    </w:p>
    <w:p w:rsidR="00AB18F2" w:rsidRDefault="00DA1B21" w:rsidP="007C2976">
      <w:pPr>
        <w:jc w:val="center"/>
        <w:rPr>
          <w:b/>
          <w:bCs/>
        </w:rPr>
      </w:pPr>
      <w:r>
        <w:rPr>
          <w:b/>
          <w:bCs/>
        </w:rPr>
        <w:t>COMMENTS</w:t>
      </w:r>
      <w:r w:rsidRPr="00663381">
        <w:rPr>
          <w:rStyle w:val="FootnoteReference"/>
          <w:bCs/>
        </w:rPr>
        <w:footnoteReference w:id="1"/>
      </w:r>
    </w:p>
    <w:p w:rsidR="007C2976" w:rsidRPr="00710E80" w:rsidRDefault="007C2976" w:rsidP="007C2976">
      <w:pPr>
        <w:jc w:val="center"/>
        <w:rPr>
          <w:b/>
          <w:bCs/>
        </w:rPr>
      </w:pPr>
      <w:r w:rsidRPr="00710E80">
        <w:rPr>
          <w:b/>
          <w:bCs/>
        </w:rPr>
        <w:t>BY</w:t>
      </w:r>
    </w:p>
    <w:p w:rsidR="007C2976" w:rsidRPr="00710E80" w:rsidRDefault="007C2976" w:rsidP="007C2976">
      <w:pPr>
        <w:jc w:val="center"/>
        <w:rPr>
          <w:b/>
          <w:bCs/>
        </w:rPr>
      </w:pPr>
      <w:r w:rsidRPr="00710E80">
        <w:rPr>
          <w:b/>
          <w:bCs/>
        </w:rPr>
        <w:t xml:space="preserve">THE OFFICE OF THE </w:t>
      </w:r>
      <w:smartTag w:uri="urn:schemas-microsoft-com:office:smarttags" w:element="place">
        <w:smartTag w:uri="urn:schemas-microsoft-com:office:smarttags" w:element="State">
          <w:r w:rsidRPr="00710E80">
            <w:rPr>
              <w:b/>
              <w:bCs/>
            </w:rPr>
            <w:t>OHIO</w:t>
          </w:r>
        </w:smartTag>
      </w:smartTag>
      <w:r w:rsidRPr="00710E80">
        <w:rPr>
          <w:b/>
          <w:bCs/>
        </w:rPr>
        <w:t xml:space="preserve"> CONSUMERS</w:t>
      </w:r>
      <w:r w:rsidR="008A6DE3">
        <w:rPr>
          <w:b/>
          <w:bCs/>
        </w:rPr>
        <w:t>'</w:t>
      </w:r>
      <w:r w:rsidRPr="00710E80">
        <w:rPr>
          <w:b/>
          <w:bCs/>
        </w:rPr>
        <w:t xml:space="preserve"> COUNSEL</w:t>
      </w:r>
    </w:p>
    <w:p w:rsidR="007C2976" w:rsidRPr="00710E80" w:rsidRDefault="007C2976" w:rsidP="007C2976">
      <w:pPr>
        <w:pBdr>
          <w:bottom w:val="single" w:sz="12" w:space="1" w:color="auto"/>
        </w:pBdr>
        <w:tabs>
          <w:tab w:val="left" w:pos="4320"/>
        </w:tabs>
      </w:pPr>
    </w:p>
    <w:p w:rsidR="009D3902" w:rsidRDefault="00BE7941" w:rsidP="00E15494">
      <w:pPr>
        <w:spacing w:before="240" w:line="480" w:lineRule="auto"/>
        <w:ind w:firstLine="720"/>
        <w:sectPr w:rsidR="009D3902">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pPr>
      <w:r>
        <w:t>The Energy Efficiency and Peak Demand Reduction Program Portfolio Status Report to the Public Utilities Commission of Ohio for the Period January 1, 2015 to December 31, 2015</w:t>
      </w:r>
      <w:r>
        <w:rPr>
          <w:rStyle w:val="FootnoteReference"/>
        </w:rPr>
        <w:footnoteReference w:id="2"/>
      </w:r>
      <w:r>
        <w:t xml:space="preserve"> (the "Status Report") contains several errors that must be corrected</w:t>
      </w:r>
      <w:r w:rsidR="003B7867">
        <w:t xml:space="preserve"> to protect consumers</w:t>
      </w:r>
      <w:r>
        <w:t xml:space="preserve">.  </w:t>
      </w:r>
      <w:r w:rsidR="007C2976" w:rsidRPr="00710E80">
        <w:t xml:space="preserve">The </w:t>
      </w:r>
      <w:r w:rsidR="00663381">
        <w:t xml:space="preserve">Public Utilities Commission of Ohio (the "PUCO") should not permit </w:t>
      </w:r>
      <w:r w:rsidR="005D7ABF">
        <w:t>Ohio Edison Company</w:t>
      </w:r>
      <w:r w:rsidR="00CF5DEB">
        <w:t xml:space="preserve"> ("OE")</w:t>
      </w:r>
      <w:r w:rsidR="005D7ABF">
        <w:t>, the Cleveland Electric Illuminating Company</w:t>
      </w:r>
      <w:r w:rsidR="00CF5DEB">
        <w:t xml:space="preserve"> ("CEI")</w:t>
      </w:r>
      <w:r w:rsidR="005D7ABF">
        <w:t>, and the Toledo Edison Company (</w:t>
      </w:r>
      <w:r w:rsidR="00CF5DEB">
        <w:t>"TE</w:t>
      </w:r>
      <w:r w:rsidR="0087250E">
        <w:t>"</w:t>
      </w:r>
      <w:r w:rsidR="00CF5DEB">
        <w:t xml:space="preserve">, and </w:t>
      </w:r>
      <w:r w:rsidR="005D7ABF">
        <w:t>collectively, "FirstEnergy" or the "</w:t>
      </w:r>
      <w:r w:rsidR="00897C8D">
        <w:t>Utilities</w:t>
      </w:r>
      <w:r w:rsidR="005D7ABF">
        <w:t>"</w:t>
      </w:r>
      <w:r w:rsidR="0087250E">
        <w:t>)</w:t>
      </w:r>
      <w:r w:rsidR="005D7ABF">
        <w:t xml:space="preserve"> to </w:t>
      </w:r>
      <w:r>
        <w:t xml:space="preserve">(i) count savings from projects that the PUCO has not yet approved, (ii) collect profit from customers under the 2015 shared savings mechanism based on savings amounts that are unsupported (and which may include savings from the projects not yet approved), or (iii) calculate shared savings using the maximum incentive </w:t>
      </w:r>
    </w:p>
    <w:p w:rsidR="004D45B0" w:rsidRDefault="00BE7941" w:rsidP="009D3902">
      <w:pPr>
        <w:spacing w:before="240" w:line="480" w:lineRule="auto"/>
      </w:pPr>
      <w:r>
        <w:lastRenderedPageBreak/>
        <w:t xml:space="preserve">percentage, which results in customers paying </w:t>
      </w:r>
      <w:r w:rsidR="005D7ABF">
        <w:t xml:space="preserve">$10 million (after taxes) </w:t>
      </w:r>
      <w:r>
        <w:t>in profits to the Companies</w:t>
      </w:r>
      <w:r w:rsidR="005D7ABF">
        <w:t>.</w:t>
      </w:r>
      <w:r>
        <w:t xml:space="preserve"> </w:t>
      </w:r>
    </w:p>
    <w:p w:rsidR="0095631D" w:rsidRPr="0095631D" w:rsidRDefault="0095631D" w:rsidP="0095631D">
      <w:pPr>
        <w:spacing w:after="240"/>
        <w:ind w:left="720" w:hanging="720"/>
        <w:rPr>
          <w:b/>
        </w:rPr>
      </w:pPr>
      <w:r>
        <w:rPr>
          <w:b/>
        </w:rPr>
        <w:t>I.</w:t>
      </w:r>
      <w:r>
        <w:rPr>
          <w:b/>
        </w:rPr>
        <w:tab/>
        <w:t xml:space="preserve">FIRSTENERGY FAILS TO PROVIDE </w:t>
      </w:r>
      <w:r w:rsidR="00BE7941">
        <w:rPr>
          <w:b/>
        </w:rPr>
        <w:t>SUPPORTING</w:t>
      </w:r>
      <w:r>
        <w:rPr>
          <w:b/>
        </w:rPr>
        <w:t xml:space="preserve"> DATA FOR ITS CLAIMED ENERGY SAVINGS AND IMPROPERLY INCLUDES SAVINGS FROM PROJECTS NOT YET APPROVED BY THE PUCO.</w:t>
      </w:r>
    </w:p>
    <w:p w:rsidR="0095631D" w:rsidRDefault="0095631D" w:rsidP="0095631D">
      <w:pPr>
        <w:spacing w:line="480" w:lineRule="auto"/>
        <w:ind w:firstLine="720"/>
      </w:pPr>
      <w:r>
        <w:t>In Appendix A</w:t>
      </w:r>
      <w:r w:rsidR="00BE7941">
        <w:t xml:space="preserve"> to its Status Report</w:t>
      </w:r>
      <w:r>
        <w:t xml:space="preserve">, FirstEnergy calculates the amount of shared savings profit that it </w:t>
      </w:r>
      <w:r w:rsidR="00BE7941">
        <w:t>claims customers should pay</w:t>
      </w:r>
      <w:r>
        <w:t>.  The amount of profit is based, in part, on the amount of annual energy savings achieved through the Companies</w:t>
      </w:r>
      <w:r w:rsidR="00BE7941">
        <w:t>'</w:t>
      </w:r>
      <w:r>
        <w:t xml:space="preserve"> energy efficiency and peak demand reduction ("EE/PDR") programs.  FirstEnergy claims that CEI achieved 99,603 MWh of energy savings in 2015, OE achieved 190,614 MWh, and TE achieved 89,435 MWh.</w:t>
      </w:r>
      <w:r>
        <w:rPr>
          <w:rStyle w:val="FootnoteReference"/>
        </w:rPr>
        <w:footnoteReference w:id="3"/>
      </w:r>
      <w:r>
        <w:t xml:space="preserve">  FirstEnergy, however, does not explain anywhere in its </w:t>
      </w:r>
      <w:r w:rsidR="00BE7941">
        <w:t>S</w:t>
      </w:r>
      <w:r>
        <w:t xml:space="preserve">tatus </w:t>
      </w:r>
      <w:r w:rsidR="00BE7941">
        <w:t>R</w:t>
      </w:r>
      <w:r>
        <w:t xml:space="preserve">eport how it arrived at these numbers.  Without specific details on how those numbers were determined, neither the PUCO nor any other party can determine if they are accurate.  FirstEnergy should not be permitted to collect any profits from customers </w:t>
      </w:r>
      <w:r w:rsidR="009662EA">
        <w:t xml:space="preserve">under the shared savings mechanism </w:t>
      </w:r>
      <w:r>
        <w:t xml:space="preserve">until it provides a detailed explanation of how those </w:t>
      </w:r>
      <w:r w:rsidR="009662EA">
        <w:t>numbers were calculated, including</w:t>
      </w:r>
      <w:r>
        <w:t xml:space="preserve"> the amount of savings per program that is included in those numbers.</w:t>
      </w:r>
    </w:p>
    <w:p w:rsidR="0095631D" w:rsidRDefault="0095631D" w:rsidP="0095631D">
      <w:pPr>
        <w:spacing w:line="480" w:lineRule="auto"/>
        <w:ind w:firstLine="720"/>
      </w:pPr>
      <w:r>
        <w:t>Furthermore</w:t>
      </w:r>
      <w:r w:rsidR="00CE1E75">
        <w:t xml:space="preserve">, in section 2.2 of </w:t>
      </w:r>
      <w:r w:rsidR="00BE7941">
        <w:t>the Status R</w:t>
      </w:r>
      <w:r w:rsidR="00CE1E75">
        <w:t xml:space="preserve">eport, </w:t>
      </w:r>
      <w:r w:rsidR="00BE7941">
        <w:t>FirstEnergy</w:t>
      </w:r>
      <w:r w:rsidR="00CE1E75">
        <w:t xml:space="preserve"> includes in its cumulative benchmark calculations savings from programs not yet approved by the PUCO.  There is no justification for claiming savings from programs that have not yet been approved.  Furthermore, to the extent that any savings from programs not yet approved have been included in the cumulative or annual energy savings calculations for purposes of shared savings, they should be removed.</w:t>
      </w:r>
    </w:p>
    <w:p w:rsidR="0095631D" w:rsidRPr="00CE1E75" w:rsidRDefault="00CE1E75" w:rsidP="00BE7941">
      <w:pPr>
        <w:keepNext/>
        <w:keepLines/>
        <w:spacing w:after="240"/>
        <w:ind w:left="720" w:hanging="720"/>
        <w:rPr>
          <w:b/>
        </w:rPr>
      </w:pPr>
      <w:r>
        <w:rPr>
          <w:b/>
        </w:rPr>
        <w:lastRenderedPageBreak/>
        <w:t>II.</w:t>
      </w:r>
      <w:r>
        <w:rPr>
          <w:b/>
        </w:rPr>
        <w:tab/>
        <w:t xml:space="preserve">FIRSTENERGY </w:t>
      </w:r>
      <w:r w:rsidR="0087250E">
        <w:rPr>
          <w:b/>
        </w:rPr>
        <w:t>SHOULD NOT</w:t>
      </w:r>
      <w:r>
        <w:rPr>
          <w:b/>
        </w:rPr>
        <w:t xml:space="preserve"> RECOVER PROFIT FROM CUSTOMERS AT THE HIGHEST INCENTIVE TIER IN THE SHARED SAVINGS MECHANISM</w:t>
      </w:r>
      <w:r w:rsidR="0087250E">
        <w:rPr>
          <w:b/>
        </w:rPr>
        <w:t xml:space="preserve"> BECAUSE IT ACHIEVED ONLY MINIMAL ENERGY SAVINGS IN 2015</w:t>
      </w:r>
      <w:r>
        <w:rPr>
          <w:b/>
        </w:rPr>
        <w:t>.</w:t>
      </w:r>
    </w:p>
    <w:p w:rsidR="00BD350A" w:rsidRDefault="0095631D" w:rsidP="005D7ABF">
      <w:pPr>
        <w:spacing w:line="480" w:lineRule="auto"/>
        <w:ind w:firstLine="720"/>
      </w:pPr>
      <w:r>
        <w:t>In their 2012 EE/PDR</w:t>
      </w:r>
      <w:r w:rsidR="00BD350A">
        <w:t xml:space="preserve"> portfolio case</w:t>
      </w:r>
      <w:r w:rsidR="00BD350A">
        <w:rPr>
          <w:rStyle w:val="FootnoteReference"/>
        </w:rPr>
        <w:footnoteReference w:id="4"/>
      </w:r>
      <w:r w:rsidR="00BD350A">
        <w:t xml:space="preserve">, </w:t>
      </w:r>
      <w:r w:rsidR="003C6211">
        <w:t>FirstEnergy</w:t>
      </w:r>
      <w:r w:rsidR="00BD350A">
        <w:t xml:space="preserve"> asked the PUCO to approve a "shared savings mechanism" that required customers to pay additional profits to the Companies based on the results of </w:t>
      </w:r>
      <w:r w:rsidR="00BE7941">
        <w:t>the Companies'</w:t>
      </w:r>
      <w:r w:rsidR="00BD350A">
        <w:t xml:space="preserve"> EE/PDR programs.</w:t>
      </w:r>
      <w:r w:rsidR="00BD350A">
        <w:rPr>
          <w:rStyle w:val="FootnoteReference"/>
        </w:rPr>
        <w:footnoteReference w:id="5"/>
      </w:r>
      <w:r w:rsidR="00BD350A">
        <w:t xml:space="preserve">  The PUCO entered an order on March 20, 2013 approving the Companies' portfolio</w:t>
      </w:r>
      <w:r w:rsidR="00877CC3">
        <w:t xml:space="preserve"> (the "2013-2015 Portfolio")</w:t>
      </w:r>
      <w:r w:rsidR="00BD350A">
        <w:t>, including a shared savings mechanism.</w:t>
      </w:r>
      <w:r w:rsidR="00877CC3">
        <w:rPr>
          <w:rStyle w:val="FootnoteReference"/>
        </w:rPr>
        <w:footnoteReference w:id="6"/>
      </w:r>
      <w:r w:rsidR="00BD350A">
        <w:t xml:space="preserve">  The approved shared savings mechanism included the following tiered structure:</w:t>
      </w:r>
      <w:r w:rsidR="00BD350A">
        <w:rPr>
          <w:rStyle w:val="FootnoteReference"/>
        </w:rPr>
        <w:footnoteReference w:id="7"/>
      </w:r>
    </w:p>
    <w:tbl>
      <w:tblPr>
        <w:tblStyle w:val="TableGrid"/>
        <w:tblW w:w="0" w:type="auto"/>
        <w:tblInd w:w="1983" w:type="dxa"/>
        <w:tblLook w:val="04A0" w:firstRow="1" w:lastRow="0" w:firstColumn="1" w:lastColumn="0" w:noHBand="0" w:noVBand="1"/>
      </w:tblPr>
      <w:tblGrid>
        <w:gridCol w:w="1188"/>
        <w:gridCol w:w="1800"/>
        <w:gridCol w:w="1710"/>
      </w:tblGrid>
      <w:tr w:rsidR="00A1695D" w:rsidTr="00A1695D">
        <w:tc>
          <w:tcPr>
            <w:tcW w:w="1188" w:type="dxa"/>
          </w:tcPr>
          <w:p w:rsidR="00A1695D" w:rsidRDefault="00A1695D" w:rsidP="00A1695D">
            <w:r>
              <w:t>Incentive Tier</w:t>
            </w:r>
          </w:p>
        </w:tc>
        <w:tc>
          <w:tcPr>
            <w:tcW w:w="1800" w:type="dxa"/>
          </w:tcPr>
          <w:p w:rsidR="00A1695D" w:rsidRDefault="00A1695D" w:rsidP="00A1695D">
            <w:r>
              <w:t>Compliance Percentage</w:t>
            </w:r>
          </w:p>
        </w:tc>
        <w:tc>
          <w:tcPr>
            <w:tcW w:w="1710" w:type="dxa"/>
          </w:tcPr>
          <w:p w:rsidR="00A1695D" w:rsidRDefault="00A1695D" w:rsidP="00A1695D">
            <w:r>
              <w:t>Incentive Percentage</w:t>
            </w:r>
          </w:p>
        </w:tc>
      </w:tr>
      <w:tr w:rsidR="00A1695D" w:rsidTr="00A1695D">
        <w:tc>
          <w:tcPr>
            <w:tcW w:w="1188" w:type="dxa"/>
          </w:tcPr>
          <w:p w:rsidR="00A1695D" w:rsidRDefault="00A1695D" w:rsidP="00A1695D">
            <w:r>
              <w:t>1</w:t>
            </w:r>
          </w:p>
        </w:tc>
        <w:tc>
          <w:tcPr>
            <w:tcW w:w="1800" w:type="dxa"/>
          </w:tcPr>
          <w:p w:rsidR="00A1695D" w:rsidRDefault="00A1695D" w:rsidP="00A1695D">
            <w:r>
              <w:t>&lt;100%</w:t>
            </w:r>
          </w:p>
        </w:tc>
        <w:tc>
          <w:tcPr>
            <w:tcW w:w="1710" w:type="dxa"/>
          </w:tcPr>
          <w:p w:rsidR="00A1695D" w:rsidRDefault="00A1695D" w:rsidP="00A1695D">
            <w:r>
              <w:t>0.00%</w:t>
            </w:r>
          </w:p>
        </w:tc>
      </w:tr>
      <w:tr w:rsidR="00A1695D" w:rsidTr="00A1695D">
        <w:tc>
          <w:tcPr>
            <w:tcW w:w="1188" w:type="dxa"/>
          </w:tcPr>
          <w:p w:rsidR="00A1695D" w:rsidRDefault="00A1695D" w:rsidP="00A1695D">
            <w:r>
              <w:t>2</w:t>
            </w:r>
          </w:p>
        </w:tc>
        <w:tc>
          <w:tcPr>
            <w:tcW w:w="1800" w:type="dxa"/>
          </w:tcPr>
          <w:p w:rsidR="00A1695D" w:rsidRDefault="00A1695D" w:rsidP="00A1695D">
            <w:r>
              <w:t>100-105%</w:t>
            </w:r>
          </w:p>
        </w:tc>
        <w:tc>
          <w:tcPr>
            <w:tcW w:w="1710" w:type="dxa"/>
          </w:tcPr>
          <w:p w:rsidR="00A1695D" w:rsidRDefault="00A1695D" w:rsidP="00A1695D">
            <w:r>
              <w:t>5.00%</w:t>
            </w:r>
          </w:p>
        </w:tc>
      </w:tr>
      <w:tr w:rsidR="00A1695D" w:rsidTr="00A1695D">
        <w:tc>
          <w:tcPr>
            <w:tcW w:w="1188" w:type="dxa"/>
          </w:tcPr>
          <w:p w:rsidR="00A1695D" w:rsidRDefault="00A1695D" w:rsidP="00A1695D">
            <w:r>
              <w:t>3</w:t>
            </w:r>
          </w:p>
        </w:tc>
        <w:tc>
          <w:tcPr>
            <w:tcW w:w="1800" w:type="dxa"/>
          </w:tcPr>
          <w:p w:rsidR="00A1695D" w:rsidRDefault="00A1695D" w:rsidP="00A1695D">
            <w:r>
              <w:t>&gt;105-110%</w:t>
            </w:r>
          </w:p>
        </w:tc>
        <w:tc>
          <w:tcPr>
            <w:tcW w:w="1710" w:type="dxa"/>
          </w:tcPr>
          <w:p w:rsidR="00A1695D" w:rsidRDefault="00A1695D" w:rsidP="00A1695D">
            <w:r>
              <w:t>7.50%</w:t>
            </w:r>
          </w:p>
        </w:tc>
      </w:tr>
      <w:tr w:rsidR="00A1695D" w:rsidTr="00A1695D">
        <w:tc>
          <w:tcPr>
            <w:tcW w:w="1188" w:type="dxa"/>
          </w:tcPr>
          <w:p w:rsidR="00A1695D" w:rsidRDefault="00A1695D" w:rsidP="00A1695D">
            <w:r>
              <w:t>4</w:t>
            </w:r>
          </w:p>
        </w:tc>
        <w:tc>
          <w:tcPr>
            <w:tcW w:w="1800" w:type="dxa"/>
          </w:tcPr>
          <w:p w:rsidR="00A1695D" w:rsidRDefault="00A1695D" w:rsidP="00A1695D">
            <w:r>
              <w:t>&gt;110-115%</w:t>
            </w:r>
          </w:p>
        </w:tc>
        <w:tc>
          <w:tcPr>
            <w:tcW w:w="1710" w:type="dxa"/>
          </w:tcPr>
          <w:p w:rsidR="00A1695D" w:rsidRDefault="00A1695D" w:rsidP="00A1695D">
            <w:r>
              <w:t>10.00%</w:t>
            </w:r>
          </w:p>
        </w:tc>
      </w:tr>
      <w:tr w:rsidR="00A1695D" w:rsidTr="00A1695D">
        <w:tc>
          <w:tcPr>
            <w:tcW w:w="1188" w:type="dxa"/>
          </w:tcPr>
          <w:p w:rsidR="00A1695D" w:rsidRDefault="00A1695D" w:rsidP="00A1695D">
            <w:r>
              <w:t>5</w:t>
            </w:r>
          </w:p>
        </w:tc>
        <w:tc>
          <w:tcPr>
            <w:tcW w:w="1800" w:type="dxa"/>
          </w:tcPr>
          <w:p w:rsidR="00A1695D" w:rsidRDefault="00A1695D" w:rsidP="00A1695D">
            <w:r>
              <w:t>&gt;115%</w:t>
            </w:r>
          </w:p>
        </w:tc>
        <w:tc>
          <w:tcPr>
            <w:tcW w:w="1710" w:type="dxa"/>
          </w:tcPr>
          <w:p w:rsidR="00A1695D" w:rsidRDefault="00A1695D" w:rsidP="00A1695D">
            <w:r>
              <w:t>13.00%</w:t>
            </w:r>
          </w:p>
        </w:tc>
      </w:tr>
    </w:tbl>
    <w:p w:rsidR="00A1695D" w:rsidRDefault="00BD350A" w:rsidP="00A1695D">
      <w:pPr>
        <w:spacing w:before="240" w:line="480" w:lineRule="auto"/>
      </w:pPr>
      <w:r>
        <w:t xml:space="preserve">The PUCO also </w:t>
      </w:r>
      <w:r w:rsidR="00C80A87">
        <w:t>ruled</w:t>
      </w:r>
      <w:r>
        <w:t xml:space="preserve"> that the annual amount of shared savings would be capped at $10 million across all three Companies.</w:t>
      </w:r>
      <w:r>
        <w:rPr>
          <w:rStyle w:val="FootnoteReference"/>
        </w:rPr>
        <w:footnoteReference w:id="8"/>
      </w:r>
    </w:p>
    <w:p w:rsidR="004D45B0" w:rsidRDefault="00877CC3" w:rsidP="00B6497E">
      <w:pPr>
        <w:spacing w:line="480" w:lineRule="auto"/>
        <w:ind w:firstLine="720"/>
      </w:pPr>
      <w:r>
        <w:t xml:space="preserve">At the time that the PUCO approved FirstEnergy's 2013-2015 Portfolio, electric distribution utilities in Ohio were required to achieve annual energy savings of 0.9% of </w:t>
      </w:r>
    </w:p>
    <w:p w:rsidR="004D45B0" w:rsidRDefault="004D45B0">
      <w:r>
        <w:br w:type="page"/>
      </w:r>
    </w:p>
    <w:p w:rsidR="005560E9" w:rsidRDefault="00877CC3" w:rsidP="004D45B0">
      <w:pPr>
        <w:spacing w:line="480" w:lineRule="auto"/>
      </w:pPr>
      <w:r>
        <w:t>their "baseline</w:t>
      </w:r>
      <w:r>
        <w:rPr>
          <w:rStyle w:val="FootnoteReference"/>
        </w:rPr>
        <w:footnoteReference w:id="9"/>
      </w:r>
      <w:r>
        <w:t>" energy sales in 2013, 1% from 2014 to 2018, and 2% thereafter.</w:t>
      </w:r>
      <w:r>
        <w:rPr>
          <w:rStyle w:val="FootnoteReference"/>
        </w:rPr>
        <w:footnoteReference w:id="10"/>
      </w:r>
      <w:r w:rsidR="005560E9">
        <w:t xml:space="preserve">  The "Compliance Percentage" in the chart above refers to the percentage of the statutory energy savings benchmark under R.C. 4928.66 that each </w:t>
      </w:r>
      <w:r w:rsidR="0087250E">
        <w:t>Utility</w:t>
      </w:r>
      <w:r w:rsidR="005560E9">
        <w:t xml:space="preserve"> was required to achieve annually.</w:t>
      </w:r>
    </w:p>
    <w:p w:rsidR="00B6497E" w:rsidRDefault="005560E9" w:rsidP="00B6497E">
      <w:pPr>
        <w:spacing w:line="480" w:lineRule="auto"/>
        <w:ind w:firstLine="720"/>
      </w:pPr>
      <w:r>
        <w:t xml:space="preserve">In 2014, the General Assembly enacted SB 310, which modified R.C. 4928.66 and "froze" the annual benchmarks for 2015 and 2016.  Electric distribution utilities were not required to achieve any annual energy savings in 2015 and 2016.  </w:t>
      </w:r>
      <w:r w:rsidR="009662EA">
        <w:t>T</w:t>
      </w:r>
      <w:r>
        <w:t xml:space="preserve">he annual benchmark for 2015 and 2016 was </w:t>
      </w:r>
      <w:r w:rsidR="00C80A87">
        <w:t xml:space="preserve">reduced from 1% to </w:t>
      </w:r>
      <w:r>
        <w:t xml:space="preserve">zero.  SB 310 also </w:t>
      </w:r>
      <w:r w:rsidR="00C80A87">
        <w:t>gave</w:t>
      </w:r>
      <w:r>
        <w:t xml:space="preserve"> electric distribution utilities the opportunity to either continue their current EE/PDR programs or to modify them to account for the freeze.</w:t>
      </w:r>
      <w:r>
        <w:rPr>
          <w:rStyle w:val="FootnoteReference"/>
        </w:rPr>
        <w:footnoteReference w:id="11"/>
      </w:r>
    </w:p>
    <w:p w:rsidR="005560E9" w:rsidRDefault="005560E9" w:rsidP="00B6497E">
      <w:pPr>
        <w:spacing w:line="480" w:lineRule="auto"/>
        <w:ind w:firstLine="720"/>
      </w:pPr>
      <w:r>
        <w:t>FirstEnergy filed an application</w:t>
      </w:r>
      <w:r>
        <w:rPr>
          <w:rStyle w:val="FootnoteReference"/>
        </w:rPr>
        <w:footnoteReference w:id="12"/>
      </w:r>
      <w:r>
        <w:t xml:space="preserve"> to cancel nearly all of its EE/PDR programs (the "Program Cancellation Application") almost immediately after SB 310 became effective.</w:t>
      </w:r>
      <w:r>
        <w:rPr>
          <w:rStyle w:val="FootnoteReference"/>
        </w:rPr>
        <w:footnoteReference w:id="13"/>
      </w:r>
      <w:r>
        <w:t xml:space="preserve">  </w:t>
      </w:r>
      <w:r w:rsidR="00BA48F2">
        <w:t>Despite cancelling most of its EE/PDR programs, FirstEnergy maintained that it would still seek to recover profits from customers in 2015 and 2016 through the same shared savings mechanism that was approved by the PUCO's March 20, 2013 order.</w:t>
      </w:r>
    </w:p>
    <w:p w:rsidR="00BA48F2" w:rsidRPr="00BA48F2" w:rsidRDefault="00BA48F2" w:rsidP="00B6497E">
      <w:pPr>
        <w:spacing w:line="480" w:lineRule="auto"/>
        <w:ind w:firstLine="720"/>
      </w:pPr>
      <w:r>
        <w:t xml:space="preserve">Several parties, including </w:t>
      </w:r>
      <w:r w:rsidR="00897C8D">
        <w:t>OCC</w:t>
      </w:r>
      <w:r w:rsidR="009B1C55">
        <w:t xml:space="preserve"> and the PUCO staff</w:t>
      </w:r>
      <w:r>
        <w:t>, objected to the Companies' request that the shared savings mechanism continue to operate in 2015 and 2016.  These parties argued, among other things, that (i) the Companies should not receive any shared savings at all in 2015 and 2016, (ii) the Companies should only be permitted to recover shared savings for "programs that require the Companies to actively influence customers," (iii) the Companies should only receive shared savings if they exceed the previous annual benchmarks (</w:t>
      </w:r>
      <w:r>
        <w:rPr>
          <w:i/>
        </w:rPr>
        <w:t>i.e.</w:t>
      </w:r>
      <w:r>
        <w:t xml:space="preserve">, the </w:t>
      </w:r>
      <w:r w:rsidR="009B1C55">
        <w:t>benchmarks in place before the freeze</w:t>
      </w:r>
      <w:r>
        <w:t>), and (iv) the $10 million cap should be reduced.</w:t>
      </w:r>
      <w:r>
        <w:rPr>
          <w:rStyle w:val="FootnoteReference"/>
        </w:rPr>
        <w:footnoteReference w:id="14"/>
      </w:r>
      <w:r>
        <w:t xml:space="preserve">  The PUCO rejected these arguments.</w:t>
      </w:r>
      <w:r>
        <w:rPr>
          <w:rStyle w:val="FootnoteReference"/>
        </w:rPr>
        <w:footnoteReference w:id="15"/>
      </w:r>
    </w:p>
    <w:p w:rsidR="00993FC0" w:rsidRDefault="00CF5DEB" w:rsidP="00B6497E">
      <w:pPr>
        <w:spacing w:line="480" w:lineRule="auto"/>
        <w:ind w:firstLine="720"/>
      </w:pPr>
      <w:r>
        <w:t xml:space="preserve">In </w:t>
      </w:r>
      <w:r w:rsidR="009662EA">
        <w:t>the</w:t>
      </w:r>
      <w:r>
        <w:t xml:space="preserve"> </w:t>
      </w:r>
      <w:r w:rsidR="009662EA">
        <w:t>S</w:t>
      </w:r>
      <w:r>
        <w:t xml:space="preserve">tatus </w:t>
      </w:r>
      <w:r w:rsidR="009662EA">
        <w:t>R</w:t>
      </w:r>
      <w:r>
        <w:t>eport, the Companies report the following shared savings amounts: $4,474,025 for CEI, $6,497,447 for OE, and $3,822,041 for TE, for a total of $14,793,513</w:t>
      </w:r>
      <w:r w:rsidR="00993FC0">
        <w:t xml:space="preserve"> (to be capped at $10 million).</w:t>
      </w:r>
      <w:r>
        <w:rPr>
          <w:rStyle w:val="FootnoteReference"/>
        </w:rPr>
        <w:footnoteReference w:id="16"/>
      </w:r>
      <w:r>
        <w:t xml:space="preserve">  </w:t>
      </w:r>
      <w:r w:rsidR="00993FC0">
        <w:t xml:space="preserve">The Companies arrive at these numbers by calculating the total discounted net lifetime benefits for </w:t>
      </w:r>
      <w:r w:rsidR="009B1C55">
        <w:t xml:space="preserve">each </w:t>
      </w:r>
      <w:r w:rsidR="0087250E">
        <w:t>Utility</w:t>
      </w:r>
      <w:r w:rsidR="009B1C55">
        <w:t xml:space="preserve">, </w:t>
      </w:r>
      <w:r w:rsidR="00993FC0">
        <w:t>using the tiered structure described above to dete</w:t>
      </w:r>
      <w:r w:rsidR="009B1C55">
        <w:t>rmine the "incentive percentage,</w:t>
      </w:r>
      <w:r w:rsidR="00993FC0">
        <w:t>"</w:t>
      </w:r>
      <w:r w:rsidR="009B1C55">
        <w:t xml:space="preserve"> and multiplying the net benefits by the incentive percentage to yield a profit amount.</w:t>
      </w:r>
    </w:p>
    <w:p w:rsidR="007E3C74" w:rsidRDefault="007E3C74" w:rsidP="007E3C74">
      <w:pPr>
        <w:spacing w:line="480" w:lineRule="auto"/>
        <w:ind w:firstLine="720"/>
      </w:pPr>
      <w:r>
        <w:t xml:space="preserve">Each of the Companies reports that it has achieved "&gt;115%" annual compliance, and accordingly, each </w:t>
      </w:r>
      <w:r w:rsidR="0087250E">
        <w:t>Utility</w:t>
      </w:r>
      <w:r>
        <w:t xml:space="preserve"> claims that it is entitled to profits in the amount of 13.00% — the highest tier and maximum profit — of the total discounted net lifetime benefits.  The Companies, however, do not explain how they have determined that they have achieved greater than 115% compliance.</w:t>
      </w:r>
    </w:p>
    <w:p w:rsidR="007E3C74" w:rsidRDefault="001D0BFC" w:rsidP="007E3C74">
      <w:pPr>
        <w:spacing w:line="480" w:lineRule="auto"/>
        <w:ind w:firstLine="720"/>
      </w:pPr>
      <w:r>
        <w:t xml:space="preserve">Each </w:t>
      </w:r>
      <w:r w:rsidR="0087250E">
        <w:t>Utility</w:t>
      </w:r>
      <w:r>
        <w:t xml:space="preserve"> reports both an annual and a cumulative compliance percentage.  The cumulative compliance percentage calculations are straightforward.  For example, CE reports a "Cumulative Target MWh" of 737,547, "Achieved Cumulative Energy Savings MWh" of 1,509,065</w:t>
      </w:r>
      <w:r w:rsidR="009662EA">
        <w:rPr>
          <w:rStyle w:val="FootnoteReference"/>
        </w:rPr>
        <w:footnoteReference w:id="17"/>
      </w:r>
      <w:r>
        <w:t>, and "Cumulative Compliance" of 205%.  This is simple math: 1,509,065 / 737,547 = 2.046, which rounds up to 205%.  The calculation for the annual compliance percentage, in contrast, cannot be explained.</w:t>
      </w:r>
    </w:p>
    <w:p w:rsidR="001D0BFC" w:rsidRDefault="001D0BFC" w:rsidP="007E3C74">
      <w:pPr>
        <w:spacing w:line="480" w:lineRule="auto"/>
        <w:ind w:firstLine="720"/>
      </w:pPr>
      <w:r>
        <w:t>CE</w:t>
      </w:r>
      <w:r w:rsidR="003C6211">
        <w:t>I</w:t>
      </w:r>
      <w:r>
        <w:t xml:space="preserve"> reports an "Annual Target MWh" of 0, "Achieved Annual Energy Savings MWh" of 99,603</w:t>
      </w:r>
      <w:r w:rsidR="009662EA">
        <w:rPr>
          <w:rStyle w:val="FootnoteReference"/>
        </w:rPr>
        <w:footnoteReference w:id="18"/>
      </w:r>
      <w:r>
        <w:t>, and "Annual Compliance" of "&gt;115%."  But there is no mathematical calculation that can be performed to arrive at CE</w:t>
      </w:r>
      <w:r w:rsidR="003C6211">
        <w:t>I</w:t>
      </w:r>
      <w:r>
        <w:t>'s claim that it has achieved greater than 115% compliance.  99,603 / 0 is undefined.  It is not a number that is greater than 115%.  Thus, the Companies' claim that they have each achieved greater than 115% annual compliance is mathematically impossible, and the Companies are not entitled to use the highest tier of 13% to calculate the amount of profit that customers will pay to the Companies.</w:t>
      </w:r>
    </w:p>
    <w:p w:rsidR="00C80A87" w:rsidRDefault="001D0BFC" w:rsidP="007E3C74">
      <w:pPr>
        <w:spacing w:line="480" w:lineRule="auto"/>
        <w:ind w:firstLine="720"/>
      </w:pPr>
      <w:r>
        <w:t xml:space="preserve">Notably, </w:t>
      </w:r>
      <w:r w:rsidR="009B1C55">
        <w:t xml:space="preserve">FirstEnergy, PUCO staff, </w:t>
      </w:r>
      <w:r w:rsidR="00897C8D">
        <w:t>OCC</w:t>
      </w:r>
      <w:r w:rsidR="009B1C55">
        <w:t>, and other intervenors did not raise</w:t>
      </w:r>
      <w:r>
        <w:t xml:space="preserve"> this issue</w:t>
      </w:r>
      <w:r w:rsidR="00CC65DC">
        <w:t xml:space="preserve"> in the </w:t>
      </w:r>
      <w:r w:rsidR="009B1C55">
        <w:t xml:space="preserve">2013-2015 Portfolio case or in connection with </w:t>
      </w:r>
      <w:r w:rsidR="00CC65DC">
        <w:t xml:space="preserve">the Program Cancellation Application.  Nor did the PUCO address this issue in the Cancellation Order.  </w:t>
      </w:r>
      <w:r w:rsidR="009662EA">
        <w:t>T</w:t>
      </w:r>
      <w:r w:rsidR="00C80A87">
        <w:t>he PUCO did not address how the words "compliance percentage" should be interpreted in the context of a zero benchmark</w:t>
      </w:r>
      <w:r w:rsidR="00CC65DC">
        <w:t xml:space="preserve">.  </w:t>
      </w:r>
      <w:r w:rsidR="00C80A87">
        <w:t>FirstEnergy apparently believes that as long as it achieved more than zero MWh of energy savings, it deserves the maximum incentive</w:t>
      </w:r>
      <w:r w:rsidR="009662EA">
        <w:t xml:space="preserve"> and maximum amount of profit</w:t>
      </w:r>
      <w:r w:rsidR="00C80A87">
        <w:t xml:space="preserve"> under the shared savings mechanism.  </w:t>
      </w:r>
      <w:r w:rsidR="009B1C55">
        <w:t>This interpretation has never been submitted to the PUCO for approval, nor has the PUCO approved it.</w:t>
      </w:r>
    </w:p>
    <w:p w:rsidR="00CC65DC" w:rsidRDefault="00CC65DC" w:rsidP="007E3C74">
      <w:pPr>
        <w:spacing w:line="480" w:lineRule="auto"/>
        <w:ind w:firstLine="720"/>
      </w:pPr>
      <w:r>
        <w:t xml:space="preserve">Shared savings are designed to give the utility an incentive to achieve greater </w:t>
      </w:r>
      <w:r w:rsidR="00C80A87">
        <w:t xml:space="preserve">energy </w:t>
      </w:r>
      <w:r>
        <w:t xml:space="preserve">savings for the benefit of customers.  The tiered structure is designed to give FirstEnergy a greater incentive if it demonstrates exemplary performance.  FirstEnergy does not demonstrate exemplary performance simply by achieving more than zero MWh of energy savings.  Accordingly, the PUCO should </w:t>
      </w:r>
      <w:r w:rsidR="00C80A87">
        <w:t>rule</w:t>
      </w:r>
      <w:r>
        <w:t xml:space="preserve"> that FirstEnergy is entitled to shared savings using only the 5% incentive percentage in the tiered shared savings mechanism.  This is the only equitable result in light of FirstEnergy's decision to cancel nearly all of its programs for 2015 and 2016.</w:t>
      </w:r>
    </w:p>
    <w:p w:rsidR="00CC65DC" w:rsidRDefault="00CC65DC" w:rsidP="007E3C74">
      <w:pPr>
        <w:spacing w:line="480" w:lineRule="auto"/>
        <w:ind w:firstLine="720"/>
      </w:pPr>
      <w:r>
        <w:t>Using the 5% incentive tier, the Companies should recover, at most, the following amounts:</w:t>
      </w:r>
    </w:p>
    <w:tbl>
      <w:tblPr>
        <w:tblStyle w:val="TableGrid"/>
        <w:tblW w:w="0" w:type="auto"/>
        <w:tblInd w:w="903" w:type="dxa"/>
        <w:tblLook w:val="04A0" w:firstRow="1" w:lastRow="0" w:firstColumn="1" w:lastColumn="0" w:noHBand="0" w:noVBand="1"/>
      </w:tblPr>
      <w:tblGrid>
        <w:gridCol w:w="1368"/>
        <w:gridCol w:w="2214"/>
        <w:gridCol w:w="1386"/>
        <w:gridCol w:w="1890"/>
      </w:tblGrid>
      <w:tr w:rsidR="00CC65DC" w:rsidTr="00C80A87">
        <w:tc>
          <w:tcPr>
            <w:tcW w:w="1368" w:type="dxa"/>
          </w:tcPr>
          <w:p w:rsidR="00CC65DC" w:rsidRDefault="0087250E" w:rsidP="00CC65DC">
            <w:r>
              <w:t>Utility</w:t>
            </w:r>
          </w:p>
        </w:tc>
        <w:tc>
          <w:tcPr>
            <w:tcW w:w="2214" w:type="dxa"/>
          </w:tcPr>
          <w:p w:rsidR="00CC65DC" w:rsidRDefault="00CC65DC" w:rsidP="00CC65DC">
            <w:r>
              <w:t>Total Discounted Net Lifetime Benefits</w:t>
            </w:r>
          </w:p>
        </w:tc>
        <w:tc>
          <w:tcPr>
            <w:tcW w:w="1386" w:type="dxa"/>
          </w:tcPr>
          <w:p w:rsidR="00CC65DC" w:rsidRDefault="00CC65DC" w:rsidP="00CC65DC">
            <w:r>
              <w:t>Incentive Percentage</w:t>
            </w:r>
          </w:p>
        </w:tc>
        <w:tc>
          <w:tcPr>
            <w:tcW w:w="1890" w:type="dxa"/>
          </w:tcPr>
          <w:p w:rsidR="00CC65DC" w:rsidRDefault="00CC65DC" w:rsidP="00CC65DC">
            <w:r>
              <w:t>Shared Savings</w:t>
            </w:r>
          </w:p>
        </w:tc>
      </w:tr>
      <w:tr w:rsidR="00CC65DC" w:rsidTr="00C80A87">
        <w:tc>
          <w:tcPr>
            <w:tcW w:w="1368" w:type="dxa"/>
          </w:tcPr>
          <w:p w:rsidR="00CC65DC" w:rsidRDefault="00CC65DC" w:rsidP="00CC65DC">
            <w:r>
              <w:t>CEI</w:t>
            </w:r>
          </w:p>
        </w:tc>
        <w:tc>
          <w:tcPr>
            <w:tcW w:w="2214" w:type="dxa"/>
          </w:tcPr>
          <w:p w:rsidR="00CC65DC" w:rsidRDefault="00CC65DC" w:rsidP="00CC65DC">
            <w:r>
              <w:t>$34,415,580</w:t>
            </w:r>
          </w:p>
        </w:tc>
        <w:tc>
          <w:tcPr>
            <w:tcW w:w="1386" w:type="dxa"/>
          </w:tcPr>
          <w:p w:rsidR="00CC65DC" w:rsidRDefault="00CC65DC" w:rsidP="00CC65DC">
            <w:r>
              <w:t>5%</w:t>
            </w:r>
          </w:p>
        </w:tc>
        <w:tc>
          <w:tcPr>
            <w:tcW w:w="1890" w:type="dxa"/>
          </w:tcPr>
          <w:p w:rsidR="00CC65DC" w:rsidRDefault="00CC65DC" w:rsidP="00CC65DC">
            <w:r>
              <w:t>$1,720,779</w:t>
            </w:r>
          </w:p>
        </w:tc>
      </w:tr>
      <w:tr w:rsidR="00CC65DC" w:rsidTr="00C80A87">
        <w:tc>
          <w:tcPr>
            <w:tcW w:w="1368" w:type="dxa"/>
          </w:tcPr>
          <w:p w:rsidR="00CC65DC" w:rsidRDefault="00CC65DC" w:rsidP="00CC65DC">
            <w:r>
              <w:t>OE</w:t>
            </w:r>
          </w:p>
        </w:tc>
        <w:tc>
          <w:tcPr>
            <w:tcW w:w="2214" w:type="dxa"/>
          </w:tcPr>
          <w:p w:rsidR="00CC65DC" w:rsidRDefault="00CC65DC" w:rsidP="00CC65DC">
            <w:r>
              <w:t>$49,980,360</w:t>
            </w:r>
          </w:p>
        </w:tc>
        <w:tc>
          <w:tcPr>
            <w:tcW w:w="1386" w:type="dxa"/>
          </w:tcPr>
          <w:p w:rsidR="00CC65DC" w:rsidRDefault="00CC65DC" w:rsidP="00CC65DC">
            <w:r>
              <w:t>5%</w:t>
            </w:r>
          </w:p>
        </w:tc>
        <w:tc>
          <w:tcPr>
            <w:tcW w:w="1890" w:type="dxa"/>
          </w:tcPr>
          <w:p w:rsidR="00CC65DC" w:rsidRDefault="00CC65DC" w:rsidP="00CC65DC">
            <w:r>
              <w:t>$2,499,018</w:t>
            </w:r>
          </w:p>
        </w:tc>
      </w:tr>
      <w:tr w:rsidR="00CC65DC" w:rsidTr="00C80A87">
        <w:tc>
          <w:tcPr>
            <w:tcW w:w="1368" w:type="dxa"/>
          </w:tcPr>
          <w:p w:rsidR="00CC65DC" w:rsidRDefault="00CC65DC" w:rsidP="00CC65DC">
            <w:r>
              <w:t>TE</w:t>
            </w:r>
          </w:p>
        </w:tc>
        <w:tc>
          <w:tcPr>
            <w:tcW w:w="2214" w:type="dxa"/>
          </w:tcPr>
          <w:p w:rsidR="00CC65DC" w:rsidRDefault="00CC65DC" w:rsidP="00CC65DC">
            <w:r>
              <w:t>$29,400,312</w:t>
            </w:r>
          </w:p>
        </w:tc>
        <w:tc>
          <w:tcPr>
            <w:tcW w:w="1386" w:type="dxa"/>
          </w:tcPr>
          <w:p w:rsidR="00CC65DC" w:rsidRDefault="00CC65DC" w:rsidP="00CC65DC">
            <w:r>
              <w:t>5%</w:t>
            </w:r>
          </w:p>
        </w:tc>
        <w:tc>
          <w:tcPr>
            <w:tcW w:w="1890" w:type="dxa"/>
          </w:tcPr>
          <w:p w:rsidR="00CC65DC" w:rsidRDefault="00CC65DC" w:rsidP="00CC65DC">
            <w:r>
              <w:t>$1,470,016</w:t>
            </w:r>
          </w:p>
        </w:tc>
      </w:tr>
      <w:tr w:rsidR="00CC65DC" w:rsidTr="00C80A87">
        <w:tc>
          <w:tcPr>
            <w:tcW w:w="1368" w:type="dxa"/>
          </w:tcPr>
          <w:p w:rsidR="00CC65DC" w:rsidRDefault="00CC65DC" w:rsidP="00CC65DC"/>
        </w:tc>
        <w:tc>
          <w:tcPr>
            <w:tcW w:w="2214" w:type="dxa"/>
          </w:tcPr>
          <w:p w:rsidR="00CC65DC" w:rsidRDefault="00CC65DC" w:rsidP="00CC65DC"/>
        </w:tc>
        <w:tc>
          <w:tcPr>
            <w:tcW w:w="1386" w:type="dxa"/>
          </w:tcPr>
          <w:p w:rsidR="00CC65DC" w:rsidRPr="00CC65DC" w:rsidRDefault="00CC65DC" w:rsidP="00CC65DC">
            <w:pPr>
              <w:jc w:val="right"/>
              <w:rPr>
                <w:b/>
              </w:rPr>
            </w:pPr>
            <w:r>
              <w:rPr>
                <w:b/>
              </w:rPr>
              <w:t>TOTAL</w:t>
            </w:r>
          </w:p>
        </w:tc>
        <w:tc>
          <w:tcPr>
            <w:tcW w:w="1890" w:type="dxa"/>
          </w:tcPr>
          <w:p w:rsidR="00CC65DC" w:rsidRDefault="00CC65DC" w:rsidP="00CC65DC">
            <w:r>
              <w:t>$5,689,813</w:t>
            </w:r>
          </w:p>
        </w:tc>
      </w:tr>
    </w:tbl>
    <w:p w:rsidR="00C80A87" w:rsidRDefault="00C80A87" w:rsidP="00C80A87">
      <w:pPr>
        <w:spacing w:before="240" w:line="480" w:lineRule="auto"/>
        <w:ind w:firstLine="720"/>
        <w:rPr>
          <w:szCs w:val="24"/>
        </w:rPr>
      </w:pPr>
      <w:r>
        <w:rPr>
          <w:szCs w:val="24"/>
        </w:rPr>
        <w:t>FirstEnergy cites no authority for its use of the 13% incentive percentage for 2015 because there is none.  FirstEnergy should not be rewarded with the maximum incentive and the maximum amount of profit in a year in which it canceled nearly all of its EE/PDR programs.  The PUCO should find that an award of $5,689,813</w:t>
      </w:r>
      <w:r w:rsidR="00897C8D">
        <w:rPr>
          <w:szCs w:val="24"/>
        </w:rPr>
        <w:t xml:space="preserve"> for shared savings</w:t>
      </w:r>
      <w:r>
        <w:rPr>
          <w:szCs w:val="24"/>
        </w:rPr>
        <w:t xml:space="preserve"> is more than adequate and is consistent with the </w:t>
      </w:r>
      <w:r w:rsidR="009662EA">
        <w:rPr>
          <w:szCs w:val="24"/>
        </w:rPr>
        <w:t xml:space="preserve">Program </w:t>
      </w:r>
      <w:r w:rsidR="002E0F87">
        <w:rPr>
          <w:szCs w:val="24"/>
        </w:rPr>
        <w:t>Cancellation Order.</w:t>
      </w:r>
    </w:p>
    <w:p w:rsidR="00195797" w:rsidRPr="00710E80" w:rsidRDefault="00195797">
      <w:pPr>
        <w:rPr>
          <w:szCs w:val="24"/>
        </w:rPr>
      </w:pPr>
    </w:p>
    <w:p w:rsidR="004D45B0" w:rsidRDefault="004D45B0">
      <w:pPr>
        <w:rPr>
          <w:szCs w:val="24"/>
        </w:rPr>
      </w:pPr>
      <w:r>
        <w:rPr>
          <w:szCs w:val="24"/>
        </w:rPr>
        <w:br w:type="page"/>
      </w:r>
    </w:p>
    <w:p w:rsidR="007C2976" w:rsidRPr="00710E80" w:rsidRDefault="007C2976" w:rsidP="00A25FE5">
      <w:pPr>
        <w:pStyle w:val="BodyTextIndent3"/>
        <w:widowControl w:val="0"/>
        <w:spacing w:line="480" w:lineRule="auto"/>
        <w:ind w:left="4320" w:firstLine="0"/>
        <w:rPr>
          <w:szCs w:val="24"/>
        </w:rPr>
      </w:pPr>
      <w:r w:rsidRPr="00710E80">
        <w:rPr>
          <w:szCs w:val="24"/>
        </w:rPr>
        <w:t>Respectfully submitted,</w:t>
      </w:r>
    </w:p>
    <w:p w:rsidR="007C2976" w:rsidRPr="00710E80" w:rsidRDefault="007C2976" w:rsidP="003B5047">
      <w:pPr>
        <w:ind w:left="4320"/>
      </w:pPr>
      <w:r w:rsidRPr="00710E80">
        <w:t>BRUCE J. WESTON</w:t>
      </w:r>
      <w:r w:rsidR="003B5047" w:rsidRPr="00710E80">
        <w:t xml:space="preserve"> (0016973)</w:t>
      </w:r>
    </w:p>
    <w:p w:rsidR="007C2976" w:rsidRPr="00710E80" w:rsidRDefault="003B5047" w:rsidP="007C2976">
      <w:pPr>
        <w:tabs>
          <w:tab w:val="left" w:pos="4320"/>
        </w:tabs>
        <w:ind w:left="4320"/>
        <w:rPr>
          <w:szCs w:val="24"/>
        </w:rPr>
      </w:pPr>
      <w:r w:rsidRPr="00710E80">
        <w:rPr>
          <w:szCs w:val="24"/>
        </w:rPr>
        <w:t>OHIO</w:t>
      </w:r>
      <w:r w:rsidR="007C2976" w:rsidRPr="00710E80">
        <w:rPr>
          <w:szCs w:val="24"/>
        </w:rPr>
        <w:t xml:space="preserve"> CONSUMERS</w:t>
      </w:r>
      <w:r w:rsidR="008A6DE3">
        <w:rPr>
          <w:szCs w:val="24"/>
        </w:rPr>
        <w:t>'</w:t>
      </w:r>
      <w:r w:rsidR="007C2976" w:rsidRPr="00710E80">
        <w:rPr>
          <w:szCs w:val="24"/>
        </w:rPr>
        <w:t xml:space="preserve"> COUNSEL</w:t>
      </w:r>
    </w:p>
    <w:p w:rsidR="007C2976" w:rsidRPr="00710E80" w:rsidRDefault="007C2976" w:rsidP="007C2976">
      <w:pPr>
        <w:tabs>
          <w:tab w:val="left" w:pos="4320"/>
        </w:tabs>
        <w:ind w:left="4320"/>
        <w:rPr>
          <w:szCs w:val="24"/>
        </w:rPr>
      </w:pPr>
    </w:p>
    <w:p w:rsidR="00C05D8D" w:rsidRPr="00710E80" w:rsidRDefault="00C05D8D" w:rsidP="00C05D8D">
      <w:pPr>
        <w:autoSpaceDE w:val="0"/>
        <w:autoSpaceDN w:val="0"/>
        <w:adjustRightInd w:val="0"/>
        <w:ind w:left="4320"/>
        <w:rPr>
          <w:i/>
        </w:rPr>
      </w:pPr>
      <w:r w:rsidRPr="00710E80">
        <w:rPr>
          <w:i/>
          <w:u w:val="single"/>
        </w:rPr>
        <w:t>/s/</w:t>
      </w:r>
      <w:r w:rsidR="004C1B7C" w:rsidRPr="00710E80">
        <w:rPr>
          <w:i/>
          <w:u w:val="single"/>
        </w:rPr>
        <w:t xml:space="preserve"> Christopher Healey</w:t>
      </w:r>
      <w:r w:rsidR="004C1B7C" w:rsidRPr="00710E80">
        <w:rPr>
          <w:i/>
          <w:u w:val="single"/>
        </w:rPr>
        <w:tab/>
      </w:r>
      <w:r w:rsidR="004C1B7C" w:rsidRPr="00710E80">
        <w:rPr>
          <w:i/>
          <w:u w:val="single"/>
        </w:rPr>
        <w:tab/>
      </w:r>
    </w:p>
    <w:p w:rsidR="007C2976" w:rsidRPr="008A6DE3" w:rsidRDefault="001A5489" w:rsidP="007C2976">
      <w:pPr>
        <w:tabs>
          <w:tab w:val="left" w:pos="4320"/>
        </w:tabs>
        <w:ind w:left="4320"/>
        <w:rPr>
          <w:szCs w:val="24"/>
        </w:rPr>
      </w:pPr>
      <w:r w:rsidRPr="008A6DE3">
        <w:rPr>
          <w:szCs w:val="24"/>
        </w:rPr>
        <w:t>Christopher Healey</w:t>
      </w:r>
      <w:r w:rsidR="003B5047" w:rsidRPr="008A6DE3">
        <w:rPr>
          <w:szCs w:val="24"/>
        </w:rPr>
        <w:t xml:space="preserve"> (00</w:t>
      </w:r>
      <w:r w:rsidRPr="008A6DE3">
        <w:rPr>
          <w:szCs w:val="24"/>
        </w:rPr>
        <w:t>86027</w:t>
      </w:r>
      <w:r w:rsidR="003B5047" w:rsidRPr="008A6DE3">
        <w:rPr>
          <w:szCs w:val="24"/>
        </w:rPr>
        <w:t>)</w:t>
      </w:r>
      <w:r w:rsidRPr="008A6DE3">
        <w:rPr>
          <w:szCs w:val="24"/>
        </w:rPr>
        <w:br/>
      </w:r>
      <w:r w:rsidR="007C2976" w:rsidRPr="008A6DE3">
        <w:rPr>
          <w:szCs w:val="24"/>
        </w:rPr>
        <w:t>Counsel of Record</w:t>
      </w:r>
    </w:p>
    <w:p w:rsidR="007C2976" w:rsidRPr="00710E80" w:rsidRDefault="007C2976" w:rsidP="007C2976">
      <w:pPr>
        <w:pStyle w:val="Heading1"/>
        <w:spacing w:before="120"/>
        <w:ind w:left="4320"/>
        <w:rPr>
          <w:u w:val="none"/>
        </w:rPr>
      </w:pPr>
      <w:r w:rsidRPr="00710E80">
        <w:rPr>
          <w:u w:val="none"/>
        </w:rPr>
        <w:t xml:space="preserve">Office of the </w:t>
      </w:r>
      <w:smartTag w:uri="urn:schemas-microsoft-com:office:smarttags" w:element="place">
        <w:smartTag w:uri="urn:schemas-microsoft-com:office:smarttags" w:element="State">
          <w:r w:rsidRPr="00710E80">
            <w:rPr>
              <w:u w:val="none"/>
            </w:rPr>
            <w:t>Ohio</w:t>
          </w:r>
        </w:smartTag>
      </w:smartTag>
      <w:r w:rsidRPr="00710E80">
        <w:rPr>
          <w:u w:val="none"/>
        </w:rPr>
        <w:t xml:space="preserve"> Consumers</w:t>
      </w:r>
      <w:r w:rsidR="008A6DE3">
        <w:rPr>
          <w:u w:val="none"/>
        </w:rPr>
        <w:t>'</w:t>
      </w:r>
      <w:r w:rsidRPr="00710E80">
        <w:rPr>
          <w:u w:val="none"/>
        </w:rPr>
        <w:t xml:space="preserve"> Counsel</w:t>
      </w:r>
    </w:p>
    <w:p w:rsidR="007C2976" w:rsidRPr="00710E80" w:rsidRDefault="007C2976" w:rsidP="007C2976">
      <w:pPr>
        <w:pStyle w:val="Heading1"/>
        <w:ind w:left="4320"/>
        <w:rPr>
          <w:b w:val="0"/>
          <w:u w:val="none"/>
        </w:rPr>
      </w:pPr>
      <w:smartTag w:uri="urn:schemas-microsoft-com:office:smarttags" w:element="Street">
        <w:smartTag w:uri="urn:schemas-microsoft-com:office:smarttags" w:element="address">
          <w:r w:rsidRPr="00710E80">
            <w:rPr>
              <w:b w:val="0"/>
              <w:u w:val="none"/>
            </w:rPr>
            <w:t>10 West Broad Street, Suite 1800</w:t>
          </w:r>
        </w:smartTag>
      </w:smartTag>
    </w:p>
    <w:p w:rsidR="007C2976" w:rsidRPr="008A6DE3" w:rsidRDefault="007C2976" w:rsidP="007C2976">
      <w:pPr>
        <w:pStyle w:val="Heading1"/>
        <w:ind w:left="4320"/>
        <w:rPr>
          <w:b w:val="0"/>
          <w:u w:val="none"/>
        </w:rPr>
      </w:pPr>
      <w:smartTag w:uri="urn:schemas-microsoft-com:office:smarttags" w:element="place">
        <w:smartTag w:uri="urn:schemas-microsoft-com:office:smarttags" w:element="City">
          <w:r w:rsidRPr="008A6DE3">
            <w:rPr>
              <w:b w:val="0"/>
              <w:u w:val="none"/>
            </w:rPr>
            <w:t>Columbus</w:t>
          </w:r>
        </w:smartTag>
        <w:r w:rsidRPr="008A6DE3">
          <w:rPr>
            <w:b w:val="0"/>
            <w:u w:val="none"/>
          </w:rPr>
          <w:t xml:space="preserve">, </w:t>
        </w:r>
        <w:smartTag w:uri="urn:schemas-microsoft-com:office:smarttags" w:element="State">
          <w:r w:rsidRPr="008A6DE3">
            <w:rPr>
              <w:b w:val="0"/>
              <w:u w:val="none"/>
            </w:rPr>
            <w:t>Ohio</w:t>
          </w:r>
        </w:smartTag>
        <w:r w:rsidRPr="008A6DE3">
          <w:rPr>
            <w:b w:val="0"/>
            <w:u w:val="none"/>
          </w:rPr>
          <w:t xml:space="preserve"> </w:t>
        </w:r>
        <w:smartTag w:uri="urn:schemas-microsoft-com:office:smarttags" w:element="PostalCode">
          <w:r w:rsidRPr="008A6DE3">
            <w:rPr>
              <w:b w:val="0"/>
              <w:u w:val="none"/>
            </w:rPr>
            <w:t>43215-3485</w:t>
          </w:r>
        </w:smartTag>
      </w:smartTag>
    </w:p>
    <w:p w:rsidR="003B5047" w:rsidRPr="008A6DE3" w:rsidRDefault="001A5489" w:rsidP="003B5047">
      <w:pPr>
        <w:autoSpaceDE w:val="0"/>
        <w:autoSpaceDN w:val="0"/>
        <w:adjustRightInd w:val="0"/>
        <w:ind w:left="3600" w:firstLine="720"/>
        <w:rPr>
          <w:szCs w:val="24"/>
        </w:rPr>
      </w:pPr>
      <w:r w:rsidRPr="008A6DE3">
        <w:rPr>
          <w:szCs w:val="24"/>
        </w:rPr>
        <w:t xml:space="preserve">Telephone: </w:t>
      </w:r>
      <w:r w:rsidR="003B5047" w:rsidRPr="008A6DE3">
        <w:rPr>
          <w:szCs w:val="24"/>
        </w:rPr>
        <w:t>(614) 466-9571 (Healey direct)</w:t>
      </w:r>
    </w:p>
    <w:p w:rsidR="003B5047" w:rsidRPr="008A6DE3" w:rsidRDefault="008217E3" w:rsidP="003B5047">
      <w:pPr>
        <w:ind w:left="4320"/>
        <w:rPr>
          <w:szCs w:val="24"/>
        </w:rPr>
      </w:pPr>
      <w:hyperlink r:id="rId13" w:history="1">
        <w:r w:rsidR="001A5489" w:rsidRPr="008A6DE3">
          <w:rPr>
            <w:rStyle w:val="Hyperlink"/>
            <w:szCs w:val="24"/>
          </w:rPr>
          <w:t>christopher.healey@occ.ohio.gov</w:t>
        </w:r>
      </w:hyperlink>
    </w:p>
    <w:p w:rsidR="00D50439" w:rsidRDefault="00D0554D" w:rsidP="003B5047">
      <w:pPr>
        <w:ind w:left="4320"/>
        <w:rPr>
          <w:szCs w:val="24"/>
        </w:rPr>
      </w:pPr>
      <w:r w:rsidRPr="00710E80">
        <w:rPr>
          <w:szCs w:val="24"/>
        </w:rPr>
        <w:t>(will accept service via email)</w:t>
      </w:r>
    </w:p>
    <w:p w:rsidR="008A6DE3" w:rsidRDefault="008A6DE3" w:rsidP="003B5047">
      <w:pPr>
        <w:ind w:left="4320"/>
        <w:rPr>
          <w:szCs w:val="24"/>
        </w:rPr>
      </w:pPr>
    </w:p>
    <w:p w:rsidR="008A6DE3" w:rsidRDefault="008A6DE3" w:rsidP="003B5047">
      <w:pPr>
        <w:ind w:left="4320"/>
        <w:rPr>
          <w:szCs w:val="24"/>
        </w:rPr>
      </w:pPr>
    </w:p>
    <w:p w:rsidR="008A6DE3" w:rsidRPr="00710E80" w:rsidRDefault="008A6DE3" w:rsidP="003B5047">
      <w:pPr>
        <w:ind w:left="4320"/>
        <w:rPr>
          <w:szCs w:val="24"/>
        </w:rPr>
        <w:sectPr w:rsidR="008A6DE3" w:rsidRPr="00710E80">
          <w:headerReference w:type="default" r:id="rId14"/>
          <w:footerReference w:type="default" r:id="rId15"/>
          <w:pgSz w:w="12240" w:h="15840"/>
          <w:pgMar w:top="1440" w:right="1800" w:bottom="1440" w:left="1800" w:header="720" w:footer="720" w:gutter="0"/>
          <w:cols w:space="720"/>
          <w:docGrid w:linePitch="360"/>
        </w:sectPr>
      </w:pPr>
    </w:p>
    <w:p w:rsidR="007C2976" w:rsidRPr="00710E80" w:rsidRDefault="007C2976" w:rsidP="007C2976">
      <w:pPr>
        <w:jc w:val="center"/>
        <w:rPr>
          <w:b/>
          <w:bCs/>
          <w:u w:val="single"/>
        </w:rPr>
      </w:pPr>
      <w:r w:rsidRPr="00710E80">
        <w:rPr>
          <w:b/>
          <w:bCs/>
          <w:u w:val="single"/>
        </w:rPr>
        <w:t>CERTIFICATE OF SERVICE</w:t>
      </w:r>
    </w:p>
    <w:p w:rsidR="007C2976" w:rsidRPr="00710E80" w:rsidRDefault="007C2976" w:rsidP="00D0554D">
      <w:pPr>
        <w:spacing w:line="480" w:lineRule="atLeast"/>
        <w:ind w:firstLine="720"/>
      </w:pPr>
      <w:r w:rsidRPr="00710E80">
        <w:t>I hereby certify that a copy of th</w:t>
      </w:r>
      <w:r w:rsidR="00966031">
        <w:t>ese Comments</w:t>
      </w:r>
      <w:r w:rsidRPr="00710E80">
        <w:t xml:space="preserve"> was served on the persons stated below via</w:t>
      </w:r>
      <w:r w:rsidRPr="00710E80">
        <w:rPr>
          <w:i/>
        </w:rPr>
        <w:t xml:space="preserve"> </w:t>
      </w:r>
      <w:r w:rsidR="00D50439" w:rsidRPr="00710E80">
        <w:t>electric transmission</w:t>
      </w:r>
      <w:r w:rsidRPr="00710E80">
        <w:t xml:space="preserve"> this </w:t>
      </w:r>
      <w:r w:rsidR="002E0F87">
        <w:t>13th</w:t>
      </w:r>
      <w:r w:rsidR="00385370" w:rsidRPr="00710E80">
        <w:t xml:space="preserve"> </w:t>
      </w:r>
      <w:r w:rsidRPr="00710E80">
        <w:t xml:space="preserve">day of </w:t>
      </w:r>
      <w:r w:rsidR="004D6A96">
        <w:t>June</w:t>
      </w:r>
      <w:r w:rsidRPr="00710E80">
        <w:t xml:space="preserve"> 201</w:t>
      </w:r>
      <w:r w:rsidR="00666AB5" w:rsidRPr="00710E80">
        <w:t>6</w:t>
      </w:r>
      <w:r w:rsidRPr="00710E80">
        <w:t>.</w:t>
      </w:r>
    </w:p>
    <w:p w:rsidR="007C2976" w:rsidRPr="00710E80" w:rsidRDefault="007C2976" w:rsidP="007C2976">
      <w:pPr>
        <w:spacing w:line="480" w:lineRule="atLeast"/>
      </w:pPr>
    </w:p>
    <w:p w:rsidR="00C05D8D" w:rsidRPr="00710E80" w:rsidRDefault="00C05D8D" w:rsidP="00C05D8D">
      <w:pPr>
        <w:autoSpaceDE w:val="0"/>
        <w:autoSpaceDN w:val="0"/>
        <w:adjustRightInd w:val="0"/>
        <w:ind w:left="4320"/>
        <w:rPr>
          <w:i/>
        </w:rPr>
      </w:pPr>
      <w:r w:rsidRPr="00710E80">
        <w:rPr>
          <w:i/>
          <w:u w:val="single"/>
        </w:rPr>
        <w:t>/s/ </w:t>
      </w:r>
      <w:r w:rsidR="00385370" w:rsidRPr="00710E80">
        <w:rPr>
          <w:i/>
          <w:u w:val="single"/>
        </w:rPr>
        <w:t>Christopher Healey</w:t>
      </w:r>
      <w:r w:rsidR="00385370" w:rsidRPr="00710E80">
        <w:rPr>
          <w:i/>
          <w:u w:val="single"/>
        </w:rPr>
        <w:tab/>
      </w:r>
    </w:p>
    <w:p w:rsidR="007C2976" w:rsidRPr="00710E80" w:rsidRDefault="00D0554D" w:rsidP="00C05D8D">
      <w:pPr>
        <w:tabs>
          <w:tab w:val="left" w:pos="4320"/>
        </w:tabs>
        <w:ind w:left="4320"/>
      </w:pPr>
      <w:r w:rsidRPr="00710E80">
        <w:t>Christopher Healey</w:t>
      </w:r>
      <w:r w:rsidRPr="00710E80">
        <w:br/>
      </w:r>
      <w:r w:rsidR="0091432F">
        <w:t>Assistant Consumers</w:t>
      </w:r>
      <w:r w:rsidR="008A6DE3">
        <w:t>'</w:t>
      </w:r>
      <w:r w:rsidR="0091432F">
        <w:t xml:space="preserve"> Counsel</w:t>
      </w:r>
    </w:p>
    <w:p w:rsidR="007C2976" w:rsidRPr="00710E80" w:rsidRDefault="007C2976" w:rsidP="007C2976">
      <w:pPr>
        <w:pStyle w:val="CommentSubject"/>
      </w:pPr>
    </w:p>
    <w:p w:rsidR="007C2976" w:rsidRPr="00710E80" w:rsidRDefault="007C2976" w:rsidP="007C2976">
      <w:pPr>
        <w:pStyle w:val="CommentText"/>
      </w:pPr>
    </w:p>
    <w:p w:rsidR="007C2976" w:rsidRPr="00710E80" w:rsidRDefault="007C2976" w:rsidP="00C11533">
      <w:pPr>
        <w:pStyle w:val="CommentText"/>
        <w:jc w:val="center"/>
        <w:rPr>
          <w:b/>
          <w:bCs/>
        </w:rPr>
      </w:pPr>
      <w:r w:rsidRPr="00710E80">
        <w:rPr>
          <w:b/>
          <w:u w:val="single"/>
        </w:rPr>
        <w:t>SERVICE LIST</w:t>
      </w:r>
    </w:p>
    <w:tbl>
      <w:tblPr>
        <w:tblW w:w="0" w:type="auto"/>
        <w:tblLook w:val="01E0" w:firstRow="1" w:lastRow="1" w:firstColumn="1" w:lastColumn="1" w:noHBand="0" w:noVBand="0"/>
      </w:tblPr>
      <w:tblGrid>
        <w:gridCol w:w="4428"/>
        <w:gridCol w:w="4428"/>
      </w:tblGrid>
      <w:tr w:rsidR="007C2976" w:rsidRPr="00710E80" w:rsidTr="00C30244">
        <w:tc>
          <w:tcPr>
            <w:tcW w:w="4428" w:type="dxa"/>
            <w:shd w:val="clear" w:color="auto" w:fill="auto"/>
          </w:tcPr>
          <w:p w:rsidR="007C2976" w:rsidRPr="00710E80" w:rsidRDefault="007C2976" w:rsidP="00C30244">
            <w:pPr>
              <w:autoSpaceDE w:val="0"/>
              <w:autoSpaceDN w:val="0"/>
              <w:adjustRightInd w:val="0"/>
              <w:rPr>
                <w:bCs/>
              </w:rPr>
            </w:pPr>
          </w:p>
        </w:tc>
        <w:tc>
          <w:tcPr>
            <w:tcW w:w="4428" w:type="dxa"/>
            <w:shd w:val="clear" w:color="auto" w:fill="auto"/>
          </w:tcPr>
          <w:p w:rsidR="00666AB5" w:rsidRPr="00710E80" w:rsidRDefault="00666AB5" w:rsidP="00666AB5">
            <w:pPr>
              <w:pStyle w:val="BodyText"/>
              <w:jc w:val="left"/>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4D45B0" w:rsidRPr="00863093" w:rsidTr="0013330B">
        <w:tc>
          <w:tcPr>
            <w:tcW w:w="4428" w:type="dxa"/>
          </w:tcPr>
          <w:p w:rsidR="004D45B0" w:rsidRPr="00863093" w:rsidRDefault="004D45B0" w:rsidP="004D45B0">
            <w:pPr>
              <w:autoSpaceDE w:val="0"/>
              <w:autoSpaceDN w:val="0"/>
              <w:adjustRightInd w:val="0"/>
              <w:rPr>
                <w:color w:val="000000"/>
                <w:szCs w:val="24"/>
              </w:rPr>
            </w:pPr>
            <w:r w:rsidRPr="00863093">
              <w:rPr>
                <w:color w:val="000000"/>
                <w:szCs w:val="24"/>
              </w:rPr>
              <w:t>Madeline Fleisher</w:t>
            </w:r>
          </w:p>
          <w:p w:rsidR="004D45B0" w:rsidRPr="00863093" w:rsidRDefault="004D45B0" w:rsidP="004D45B0">
            <w:pPr>
              <w:autoSpaceDE w:val="0"/>
              <w:autoSpaceDN w:val="0"/>
              <w:adjustRightInd w:val="0"/>
              <w:rPr>
                <w:color w:val="000000"/>
                <w:szCs w:val="24"/>
              </w:rPr>
            </w:pPr>
            <w:r w:rsidRPr="00863093">
              <w:rPr>
                <w:color w:val="000000"/>
                <w:szCs w:val="24"/>
              </w:rPr>
              <w:t>Environmental Law &amp; Policy Center</w:t>
            </w:r>
          </w:p>
          <w:p w:rsidR="004D45B0" w:rsidRPr="00863093" w:rsidRDefault="004D45B0" w:rsidP="004D45B0">
            <w:pPr>
              <w:autoSpaceDE w:val="0"/>
              <w:autoSpaceDN w:val="0"/>
              <w:adjustRightInd w:val="0"/>
              <w:rPr>
                <w:color w:val="000000"/>
                <w:szCs w:val="24"/>
              </w:rPr>
            </w:pPr>
            <w:r w:rsidRPr="00863093">
              <w:rPr>
                <w:color w:val="000000"/>
                <w:szCs w:val="24"/>
              </w:rPr>
              <w:t>21 West Broad St., Suite 500</w:t>
            </w:r>
          </w:p>
          <w:p w:rsidR="004D45B0" w:rsidRPr="00863093" w:rsidRDefault="004D45B0" w:rsidP="004D45B0">
            <w:pPr>
              <w:autoSpaceDE w:val="0"/>
              <w:autoSpaceDN w:val="0"/>
              <w:adjustRightInd w:val="0"/>
              <w:rPr>
                <w:color w:val="000000"/>
                <w:szCs w:val="24"/>
              </w:rPr>
            </w:pPr>
            <w:r w:rsidRPr="00863093">
              <w:rPr>
                <w:color w:val="000000"/>
                <w:szCs w:val="24"/>
              </w:rPr>
              <w:t>Columbus, OH 43215</w:t>
            </w:r>
          </w:p>
          <w:p w:rsidR="004D45B0" w:rsidRPr="00863093" w:rsidRDefault="008217E3" w:rsidP="004D45B0">
            <w:pPr>
              <w:pStyle w:val="BodyText"/>
              <w:rPr>
                <w:bCs/>
                <w:szCs w:val="24"/>
              </w:rPr>
            </w:pPr>
            <w:hyperlink r:id="rId16" w:history="1">
              <w:r w:rsidR="004D45B0" w:rsidRPr="00863093">
                <w:rPr>
                  <w:rStyle w:val="Hyperlink"/>
                  <w:szCs w:val="24"/>
                </w:rPr>
                <w:t>mfleisher@elpc.org</w:t>
              </w:r>
            </w:hyperlink>
          </w:p>
          <w:p w:rsidR="004D45B0" w:rsidRPr="00863093" w:rsidRDefault="004D45B0" w:rsidP="0013330B">
            <w:pPr>
              <w:pStyle w:val="BodyText"/>
              <w:rPr>
                <w:b/>
                <w:bCs/>
                <w:szCs w:val="24"/>
              </w:rPr>
            </w:pPr>
          </w:p>
        </w:tc>
        <w:tc>
          <w:tcPr>
            <w:tcW w:w="4428" w:type="dxa"/>
          </w:tcPr>
          <w:p w:rsidR="004D45B0" w:rsidRDefault="004D45B0" w:rsidP="0013330B">
            <w:pPr>
              <w:autoSpaceDE w:val="0"/>
              <w:autoSpaceDN w:val="0"/>
              <w:adjustRightInd w:val="0"/>
              <w:rPr>
                <w:color w:val="000000"/>
                <w:szCs w:val="24"/>
              </w:rPr>
            </w:pPr>
            <w:r>
              <w:rPr>
                <w:color w:val="000000"/>
                <w:szCs w:val="24"/>
              </w:rPr>
              <w:t>James W. Burk</w:t>
            </w:r>
          </w:p>
          <w:p w:rsidR="004D45B0" w:rsidRPr="00863093" w:rsidRDefault="004D45B0" w:rsidP="0013330B">
            <w:pPr>
              <w:autoSpaceDE w:val="0"/>
              <w:autoSpaceDN w:val="0"/>
              <w:adjustRightInd w:val="0"/>
              <w:rPr>
                <w:color w:val="000000"/>
                <w:szCs w:val="24"/>
              </w:rPr>
            </w:pPr>
            <w:r w:rsidRPr="00863093">
              <w:rPr>
                <w:color w:val="000000"/>
                <w:szCs w:val="24"/>
              </w:rPr>
              <w:t>Carrie M. Dunn</w:t>
            </w:r>
          </w:p>
          <w:p w:rsidR="004D45B0" w:rsidRPr="00863093" w:rsidRDefault="004D45B0" w:rsidP="0013330B">
            <w:pPr>
              <w:autoSpaceDE w:val="0"/>
              <w:autoSpaceDN w:val="0"/>
              <w:adjustRightInd w:val="0"/>
              <w:rPr>
                <w:color w:val="000000"/>
                <w:szCs w:val="24"/>
              </w:rPr>
            </w:pPr>
            <w:r w:rsidRPr="00863093">
              <w:rPr>
                <w:color w:val="000000"/>
                <w:szCs w:val="24"/>
              </w:rPr>
              <w:t>Counsel of Record</w:t>
            </w:r>
          </w:p>
          <w:p w:rsidR="004D45B0" w:rsidRPr="00863093" w:rsidRDefault="004D45B0" w:rsidP="0013330B">
            <w:pPr>
              <w:autoSpaceDE w:val="0"/>
              <w:autoSpaceDN w:val="0"/>
              <w:adjustRightInd w:val="0"/>
              <w:rPr>
                <w:color w:val="000000"/>
                <w:szCs w:val="24"/>
              </w:rPr>
            </w:pPr>
            <w:r w:rsidRPr="00863093">
              <w:rPr>
                <w:color w:val="000000"/>
                <w:szCs w:val="24"/>
              </w:rPr>
              <w:t>FirstEnergy Service Company</w:t>
            </w:r>
          </w:p>
          <w:p w:rsidR="004D45B0" w:rsidRPr="00863093" w:rsidRDefault="004D45B0" w:rsidP="0013330B">
            <w:pPr>
              <w:autoSpaceDE w:val="0"/>
              <w:autoSpaceDN w:val="0"/>
              <w:adjustRightInd w:val="0"/>
              <w:rPr>
                <w:color w:val="000000"/>
                <w:szCs w:val="24"/>
              </w:rPr>
            </w:pPr>
            <w:r w:rsidRPr="00863093">
              <w:rPr>
                <w:color w:val="000000"/>
                <w:szCs w:val="24"/>
              </w:rPr>
              <w:t>76 South Main Street</w:t>
            </w:r>
          </w:p>
          <w:p w:rsidR="004D45B0" w:rsidRDefault="004D45B0" w:rsidP="0013330B">
            <w:pPr>
              <w:autoSpaceDE w:val="0"/>
              <w:autoSpaceDN w:val="0"/>
              <w:adjustRightInd w:val="0"/>
              <w:rPr>
                <w:color w:val="000000"/>
                <w:szCs w:val="24"/>
              </w:rPr>
            </w:pPr>
            <w:r w:rsidRPr="00863093">
              <w:rPr>
                <w:color w:val="000000"/>
                <w:szCs w:val="24"/>
              </w:rPr>
              <w:t>Akron, OH 44308</w:t>
            </w:r>
          </w:p>
          <w:p w:rsidR="004D45B0" w:rsidRDefault="008217E3" w:rsidP="0013330B">
            <w:pPr>
              <w:autoSpaceDE w:val="0"/>
              <w:autoSpaceDN w:val="0"/>
              <w:adjustRightInd w:val="0"/>
              <w:rPr>
                <w:color w:val="000000"/>
                <w:szCs w:val="24"/>
              </w:rPr>
            </w:pPr>
            <w:hyperlink r:id="rId17" w:history="1">
              <w:r w:rsidR="004D45B0" w:rsidRPr="001D0D65">
                <w:rPr>
                  <w:rStyle w:val="Hyperlink"/>
                  <w:szCs w:val="24"/>
                </w:rPr>
                <w:t>jburk@firstenergycorp.com</w:t>
              </w:r>
            </w:hyperlink>
          </w:p>
          <w:p w:rsidR="004D45B0" w:rsidRPr="00863093" w:rsidRDefault="008217E3" w:rsidP="0013330B">
            <w:pPr>
              <w:autoSpaceDE w:val="0"/>
              <w:autoSpaceDN w:val="0"/>
              <w:adjustRightInd w:val="0"/>
              <w:rPr>
                <w:color w:val="0000FF"/>
                <w:szCs w:val="24"/>
              </w:rPr>
            </w:pPr>
            <w:hyperlink r:id="rId18" w:history="1">
              <w:r w:rsidR="004D45B0" w:rsidRPr="00863093">
                <w:rPr>
                  <w:rStyle w:val="Hyperlink"/>
                  <w:szCs w:val="24"/>
                </w:rPr>
                <w:t>cdunn@firstenergycorp.com</w:t>
              </w:r>
            </w:hyperlink>
          </w:p>
          <w:p w:rsidR="004D45B0" w:rsidRPr="00863093" w:rsidRDefault="004D45B0" w:rsidP="0013330B">
            <w:pPr>
              <w:rPr>
                <w:b/>
                <w:bCs/>
                <w:szCs w:val="24"/>
              </w:rPr>
            </w:pPr>
          </w:p>
        </w:tc>
      </w:tr>
      <w:tr w:rsidR="004D45B0" w:rsidRPr="00863093" w:rsidTr="0013330B">
        <w:tc>
          <w:tcPr>
            <w:tcW w:w="4428" w:type="dxa"/>
          </w:tcPr>
          <w:p w:rsidR="004D45B0" w:rsidRPr="00863093" w:rsidRDefault="004D45B0" w:rsidP="0013330B">
            <w:pPr>
              <w:pStyle w:val="BodyText"/>
              <w:rPr>
                <w:color w:val="0000FF"/>
                <w:szCs w:val="24"/>
              </w:rPr>
            </w:pPr>
          </w:p>
          <w:p w:rsidR="004D45B0" w:rsidRPr="00863093" w:rsidRDefault="004D45B0" w:rsidP="004D45B0">
            <w:pPr>
              <w:pStyle w:val="BodyText"/>
              <w:rPr>
                <w:bCs/>
                <w:szCs w:val="24"/>
              </w:rPr>
            </w:pPr>
            <w:r w:rsidRPr="00863093">
              <w:rPr>
                <w:bCs/>
                <w:szCs w:val="24"/>
              </w:rPr>
              <w:t>William Wright</w:t>
            </w:r>
          </w:p>
          <w:p w:rsidR="004D45B0" w:rsidRPr="00863093" w:rsidRDefault="004D45B0" w:rsidP="004D45B0">
            <w:pPr>
              <w:pStyle w:val="BodyText"/>
              <w:rPr>
                <w:bCs/>
                <w:szCs w:val="24"/>
              </w:rPr>
            </w:pPr>
            <w:r w:rsidRPr="00863093">
              <w:rPr>
                <w:bCs/>
                <w:szCs w:val="24"/>
              </w:rPr>
              <w:t>Ohio Attorney General’s Office</w:t>
            </w:r>
          </w:p>
          <w:p w:rsidR="004D45B0" w:rsidRPr="00863093" w:rsidRDefault="004D45B0" w:rsidP="004D45B0">
            <w:pPr>
              <w:pStyle w:val="BodyText"/>
              <w:rPr>
                <w:bCs/>
                <w:szCs w:val="24"/>
              </w:rPr>
            </w:pPr>
            <w:r w:rsidRPr="00863093">
              <w:rPr>
                <w:bCs/>
                <w:szCs w:val="24"/>
              </w:rPr>
              <w:t>Public Utilities Commission of Ohio</w:t>
            </w:r>
          </w:p>
          <w:p w:rsidR="004D45B0" w:rsidRPr="00863093" w:rsidRDefault="004D45B0" w:rsidP="004D45B0">
            <w:pPr>
              <w:pStyle w:val="BodyText"/>
              <w:rPr>
                <w:bCs/>
                <w:szCs w:val="24"/>
              </w:rPr>
            </w:pPr>
            <w:r w:rsidRPr="00863093">
              <w:rPr>
                <w:bCs/>
                <w:szCs w:val="24"/>
              </w:rPr>
              <w:t>30 E. Broad St., 16</w:t>
            </w:r>
            <w:r w:rsidRPr="00863093">
              <w:rPr>
                <w:bCs/>
                <w:szCs w:val="24"/>
                <w:vertAlign w:val="superscript"/>
              </w:rPr>
              <w:t>th</w:t>
            </w:r>
            <w:r w:rsidRPr="00863093">
              <w:rPr>
                <w:bCs/>
                <w:szCs w:val="24"/>
              </w:rPr>
              <w:t xml:space="preserve"> Fl.</w:t>
            </w:r>
          </w:p>
          <w:p w:rsidR="004D45B0" w:rsidRPr="00863093" w:rsidRDefault="004D45B0" w:rsidP="004D45B0">
            <w:pPr>
              <w:pStyle w:val="BodyText"/>
              <w:rPr>
                <w:bCs/>
                <w:szCs w:val="24"/>
              </w:rPr>
            </w:pPr>
            <w:r w:rsidRPr="00863093">
              <w:rPr>
                <w:bCs/>
                <w:szCs w:val="24"/>
              </w:rPr>
              <w:t>Columbus, OH 43215</w:t>
            </w:r>
          </w:p>
          <w:p w:rsidR="004D45B0" w:rsidRDefault="008217E3" w:rsidP="004D45B0">
            <w:pPr>
              <w:pStyle w:val="BodyText"/>
              <w:rPr>
                <w:rStyle w:val="Hyperlink"/>
                <w:bCs/>
                <w:szCs w:val="24"/>
              </w:rPr>
            </w:pPr>
            <w:hyperlink r:id="rId19" w:history="1">
              <w:r w:rsidR="004D45B0" w:rsidRPr="001D0D65">
                <w:rPr>
                  <w:rStyle w:val="Hyperlink"/>
                  <w:bCs/>
                  <w:szCs w:val="24"/>
                </w:rPr>
                <w:t>William.wright@ohioattorneygeneral.gov</w:t>
              </w:r>
            </w:hyperlink>
          </w:p>
          <w:p w:rsidR="004D45B0" w:rsidRPr="00863093" w:rsidRDefault="004D45B0" w:rsidP="0013330B">
            <w:pPr>
              <w:pStyle w:val="BodyText"/>
              <w:rPr>
                <w:bCs/>
                <w:szCs w:val="24"/>
              </w:rPr>
            </w:pPr>
          </w:p>
        </w:tc>
        <w:tc>
          <w:tcPr>
            <w:tcW w:w="4428" w:type="dxa"/>
          </w:tcPr>
          <w:p w:rsidR="004D45B0" w:rsidRPr="00863093" w:rsidRDefault="004D45B0" w:rsidP="004D45B0">
            <w:pPr>
              <w:rPr>
                <w:bCs/>
                <w:szCs w:val="24"/>
              </w:rPr>
            </w:pPr>
          </w:p>
        </w:tc>
      </w:tr>
    </w:tbl>
    <w:p w:rsidR="007C2976" w:rsidRDefault="007C2976" w:rsidP="007C2976">
      <w:pPr>
        <w:pStyle w:val="BodyText"/>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AE7D20" w:rsidTr="00AE7D20">
        <w:tc>
          <w:tcPr>
            <w:tcW w:w="4428" w:type="dxa"/>
          </w:tcPr>
          <w:p w:rsidR="00AE7D20" w:rsidRPr="00863093" w:rsidRDefault="00AE7D20" w:rsidP="007C2976">
            <w:pPr>
              <w:pStyle w:val="BodyText"/>
              <w:rPr>
                <w:b/>
                <w:bCs/>
                <w:szCs w:val="24"/>
              </w:rPr>
            </w:pPr>
          </w:p>
        </w:tc>
        <w:tc>
          <w:tcPr>
            <w:tcW w:w="4428" w:type="dxa"/>
          </w:tcPr>
          <w:p w:rsidR="00AE7D20" w:rsidRPr="00863093" w:rsidRDefault="00AE7D20" w:rsidP="00AE7D20">
            <w:pPr>
              <w:rPr>
                <w:b/>
                <w:bCs/>
                <w:szCs w:val="24"/>
              </w:rPr>
            </w:pPr>
          </w:p>
        </w:tc>
      </w:tr>
      <w:tr w:rsidR="00AE7D20" w:rsidTr="00AE7D20">
        <w:tc>
          <w:tcPr>
            <w:tcW w:w="4428" w:type="dxa"/>
          </w:tcPr>
          <w:p w:rsidR="00AE7D20" w:rsidRPr="00863093" w:rsidRDefault="00AE7D20" w:rsidP="00AE7D20">
            <w:pPr>
              <w:pStyle w:val="BodyText"/>
              <w:rPr>
                <w:bCs/>
                <w:szCs w:val="24"/>
              </w:rPr>
            </w:pPr>
          </w:p>
        </w:tc>
        <w:tc>
          <w:tcPr>
            <w:tcW w:w="4428" w:type="dxa"/>
          </w:tcPr>
          <w:p w:rsidR="00AE7D20" w:rsidRPr="00863093" w:rsidRDefault="00AE7D20" w:rsidP="007C2976">
            <w:pPr>
              <w:pStyle w:val="BodyText"/>
              <w:rPr>
                <w:bCs/>
                <w:szCs w:val="24"/>
              </w:rPr>
            </w:pPr>
          </w:p>
        </w:tc>
      </w:tr>
      <w:tr w:rsidR="00AE7D20" w:rsidTr="00AE7D20">
        <w:tc>
          <w:tcPr>
            <w:tcW w:w="4428" w:type="dxa"/>
          </w:tcPr>
          <w:p w:rsidR="00AE7D20" w:rsidRPr="00863093" w:rsidRDefault="00AE7D20" w:rsidP="00AE7D20">
            <w:pPr>
              <w:autoSpaceDE w:val="0"/>
              <w:autoSpaceDN w:val="0"/>
              <w:adjustRightInd w:val="0"/>
              <w:rPr>
                <w:color w:val="000000"/>
                <w:szCs w:val="24"/>
              </w:rPr>
            </w:pPr>
          </w:p>
        </w:tc>
        <w:tc>
          <w:tcPr>
            <w:tcW w:w="4428" w:type="dxa"/>
          </w:tcPr>
          <w:p w:rsidR="00AE7D20" w:rsidRPr="00863093" w:rsidRDefault="00AE7D20" w:rsidP="00AE7D20">
            <w:pPr>
              <w:autoSpaceDE w:val="0"/>
              <w:autoSpaceDN w:val="0"/>
              <w:adjustRightInd w:val="0"/>
              <w:rPr>
                <w:color w:val="000000"/>
                <w:szCs w:val="24"/>
              </w:rPr>
            </w:pPr>
          </w:p>
        </w:tc>
      </w:tr>
      <w:tr w:rsidR="00AE7D20" w:rsidTr="00AE7D20">
        <w:tc>
          <w:tcPr>
            <w:tcW w:w="4428" w:type="dxa"/>
          </w:tcPr>
          <w:p w:rsidR="00AE7D20" w:rsidRPr="00863093" w:rsidRDefault="00AE7D20" w:rsidP="00AE7D20">
            <w:pPr>
              <w:autoSpaceDE w:val="0"/>
              <w:autoSpaceDN w:val="0"/>
              <w:adjustRightInd w:val="0"/>
              <w:rPr>
                <w:b/>
                <w:bCs/>
                <w:color w:val="000000"/>
                <w:szCs w:val="24"/>
              </w:rPr>
            </w:pPr>
          </w:p>
        </w:tc>
        <w:tc>
          <w:tcPr>
            <w:tcW w:w="4428" w:type="dxa"/>
          </w:tcPr>
          <w:p w:rsidR="00AE7D20" w:rsidRPr="00863093" w:rsidRDefault="00AE7D20" w:rsidP="00392417">
            <w:pPr>
              <w:autoSpaceDE w:val="0"/>
              <w:autoSpaceDN w:val="0"/>
              <w:adjustRightInd w:val="0"/>
              <w:rPr>
                <w:b/>
                <w:bCs/>
                <w:color w:val="000000"/>
                <w:szCs w:val="24"/>
              </w:rPr>
            </w:pPr>
          </w:p>
        </w:tc>
      </w:tr>
    </w:tbl>
    <w:p w:rsidR="00AE7D20" w:rsidRPr="00710E80" w:rsidRDefault="00AE7D20" w:rsidP="007C2976">
      <w:pPr>
        <w:pStyle w:val="BodyText"/>
        <w:rPr>
          <w:b/>
          <w:bCs/>
        </w:rPr>
      </w:pPr>
    </w:p>
    <w:tbl>
      <w:tblPr>
        <w:tblW w:w="0" w:type="auto"/>
        <w:tblLook w:val="01E0" w:firstRow="1" w:lastRow="1" w:firstColumn="1" w:lastColumn="1" w:noHBand="0" w:noVBand="0"/>
      </w:tblPr>
      <w:tblGrid>
        <w:gridCol w:w="4428"/>
      </w:tblGrid>
      <w:tr w:rsidR="00E243A4" w:rsidRPr="00710E80" w:rsidTr="00AA36F9">
        <w:tc>
          <w:tcPr>
            <w:tcW w:w="4428" w:type="dxa"/>
            <w:shd w:val="clear" w:color="auto" w:fill="auto"/>
          </w:tcPr>
          <w:p w:rsidR="00C11533" w:rsidRPr="00710E80" w:rsidRDefault="00C11533" w:rsidP="00AA36F9">
            <w:pPr>
              <w:tabs>
                <w:tab w:val="left" w:pos="4320"/>
              </w:tabs>
            </w:pPr>
          </w:p>
          <w:p w:rsidR="00C11533" w:rsidRPr="00710E80" w:rsidRDefault="00C11533" w:rsidP="00AA36F9">
            <w:pPr>
              <w:autoSpaceDE w:val="0"/>
              <w:autoSpaceDN w:val="0"/>
              <w:adjustRightInd w:val="0"/>
              <w:rPr>
                <w:bCs/>
              </w:rPr>
            </w:pPr>
          </w:p>
        </w:tc>
      </w:tr>
    </w:tbl>
    <w:p w:rsidR="007C2976" w:rsidRPr="00710E80" w:rsidRDefault="007C2976" w:rsidP="007C2976">
      <w:pPr>
        <w:pStyle w:val="BodyText"/>
        <w:rPr>
          <w:b/>
          <w:bCs/>
        </w:rPr>
      </w:pPr>
    </w:p>
    <w:p w:rsidR="007C2976" w:rsidRPr="00710E80" w:rsidRDefault="007C2976" w:rsidP="007C2976">
      <w:pPr>
        <w:pStyle w:val="BodyText"/>
        <w:ind w:firstLine="720"/>
      </w:pPr>
    </w:p>
    <w:sectPr w:rsidR="007C2976" w:rsidRPr="00710E80" w:rsidSect="00D50439">
      <w:headerReference w:type="default" r:id="rId20"/>
      <w:footerReference w:type="default" r:id="rId21"/>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E8C" w:rsidRDefault="009A0E8C">
      <w:r>
        <w:separator/>
      </w:r>
    </w:p>
  </w:endnote>
  <w:endnote w:type="continuationSeparator" w:id="0">
    <w:p w:rsidR="009A0E8C" w:rsidRDefault="009A0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AB2" w:rsidRDefault="00CF1AD8">
    <w:pPr>
      <w:pStyle w:val="Footer"/>
      <w:framePr w:wrap="around" w:vAnchor="text" w:hAnchor="margin" w:xAlign="center" w:y="1"/>
      <w:rPr>
        <w:rStyle w:val="PageNumber"/>
      </w:rPr>
    </w:pPr>
    <w:r>
      <w:rPr>
        <w:rStyle w:val="PageNumber"/>
      </w:rPr>
      <w:fldChar w:fldCharType="begin"/>
    </w:r>
    <w:r w:rsidR="00983AB2">
      <w:rPr>
        <w:rStyle w:val="PageNumber"/>
      </w:rPr>
      <w:instrText xml:space="preserve">PAGE  </w:instrText>
    </w:r>
    <w:r>
      <w:rPr>
        <w:rStyle w:val="PageNumber"/>
      </w:rPr>
      <w:fldChar w:fldCharType="separate"/>
    </w:r>
    <w:r w:rsidR="00983AB2">
      <w:rPr>
        <w:rStyle w:val="PageNumber"/>
        <w:noProof/>
      </w:rPr>
      <w:t>5</w:t>
    </w:r>
    <w:r>
      <w:rPr>
        <w:rStyle w:val="PageNumber"/>
      </w:rPr>
      <w:fldChar w:fldCharType="end"/>
    </w:r>
  </w:p>
  <w:p w:rsidR="00983AB2" w:rsidRDefault="00983A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687" w:rsidRDefault="00A676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687" w:rsidRDefault="00A6768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5994054"/>
      <w:docPartObj>
        <w:docPartGallery w:val="Page Numbers (Bottom of Page)"/>
        <w:docPartUnique/>
      </w:docPartObj>
    </w:sdtPr>
    <w:sdtEndPr>
      <w:rPr>
        <w:noProof/>
        <w:sz w:val="24"/>
        <w:szCs w:val="24"/>
      </w:rPr>
    </w:sdtEndPr>
    <w:sdtContent>
      <w:p w:rsidR="009D3902" w:rsidRPr="009D3902" w:rsidRDefault="009D3902">
        <w:pPr>
          <w:pStyle w:val="Footer"/>
          <w:jc w:val="center"/>
          <w:rPr>
            <w:sz w:val="24"/>
            <w:szCs w:val="24"/>
          </w:rPr>
        </w:pPr>
        <w:r w:rsidRPr="009D3902">
          <w:rPr>
            <w:sz w:val="24"/>
            <w:szCs w:val="24"/>
          </w:rPr>
          <w:fldChar w:fldCharType="begin"/>
        </w:r>
        <w:r w:rsidRPr="009D3902">
          <w:rPr>
            <w:sz w:val="24"/>
            <w:szCs w:val="24"/>
          </w:rPr>
          <w:instrText xml:space="preserve"> PAGE   \* MERGEFORMAT </w:instrText>
        </w:r>
        <w:r w:rsidRPr="009D3902">
          <w:rPr>
            <w:sz w:val="24"/>
            <w:szCs w:val="24"/>
          </w:rPr>
          <w:fldChar w:fldCharType="separate"/>
        </w:r>
        <w:r w:rsidR="008217E3">
          <w:rPr>
            <w:noProof/>
            <w:sz w:val="24"/>
            <w:szCs w:val="24"/>
          </w:rPr>
          <w:t>2</w:t>
        </w:r>
        <w:r w:rsidRPr="009D3902">
          <w:rPr>
            <w:noProof/>
            <w:sz w:val="24"/>
            <w:szCs w:val="24"/>
          </w:rPr>
          <w:fldChar w:fldCharType="end"/>
        </w:r>
      </w:p>
    </w:sdtContent>
  </w:sdt>
  <w:p w:rsidR="009D3902" w:rsidRPr="002F680A" w:rsidRDefault="009D390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439" w:rsidRPr="002F680A" w:rsidRDefault="00D50439">
    <w:pPr>
      <w:pStyle w:val="Footer"/>
      <w:jc w:val="center"/>
      <w:rPr>
        <w:sz w:val="24"/>
        <w:szCs w:val="24"/>
      </w:rPr>
    </w:pPr>
  </w:p>
  <w:p w:rsidR="00D50439" w:rsidRPr="002F680A" w:rsidRDefault="00D504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E8C" w:rsidRDefault="009A0E8C">
      <w:r>
        <w:separator/>
      </w:r>
    </w:p>
  </w:footnote>
  <w:footnote w:type="continuationSeparator" w:id="0">
    <w:p w:rsidR="009A0E8C" w:rsidRDefault="009A0E8C">
      <w:r>
        <w:continuationSeparator/>
      </w:r>
    </w:p>
  </w:footnote>
  <w:footnote w:id="1">
    <w:p w:rsidR="00DA1B21" w:rsidRDefault="00DA1B21">
      <w:pPr>
        <w:pStyle w:val="FootnoteText"/>
      </w:pPr>
      <w:r>
        <w:rPr>
          <w:rStyle w:val="FootnoteReference"/>
        </w:rPr>
        <w:footnoteRef/>
      </w:r>
      <w:r>
        <w:t xml:space="preserve"> </w:t>
      </w:r>
      <w:r w:rsidR="00B03A2A">
        <w:t>The Office of the Ohio Consumers' Counsel ("</w:t>
      </w:r>
      <w:r w:rsidR="0087250E">
        <w:t>OCC</w:t>
      </w:r>
      <w:r w:rsidR="00B03A2A">
        <w:t>") files these comments under Ohio Administrative Code ("OAC") 4901:1-39-06(A), which states: "Any person may file comments regarding an electric utility's initial benchmark report or annual portfolio status report filed pursuant to this chapter within thirty days of the filing of such report.").</w:t>
      </w:r>
    </w:p>
  </w:footnote>
  <w:footnote w:id="2">
    <w:p w:rsidR="00BE7941" w:rsidRDefault="00BE7941">
      <w:pPr>
        <w:pStyle w:val="FootnoteText"/>
      </w:pPr>
      <w:r>
        <w:rPr>
          <w:rStyle w:val="FootnoteReference"/>
        </w:rPr>
        <w:footnoteRef/>
      </w:r>
      <w:r>
        <w:t xml:space="preserve"> </w:t>
      </w:r>
      <w:r>
        <w:rPr>
          <w:i/>
        </w:rPr>
        <w:t>See</w:t>
      </w:r>
      <w:r>
        <w:t xml:space="preserve"> Energy Efficiency and Peak Demand Reduction Program Portfolio Status Report to the Public Utilities Commission of Ohio for the Period January 1, 2015 to December 31, 2015, Case No. 16-941-EL-EEC (May 12, 2016).</w:t>
      </w:r>
    </w:p>
  </w:footnote>
  <w:footnote w:id="3">
    <w:p w:rsidR="0095631D" w:rsidRPr="0095631D" w:rsidRDefault="0095631D">
      <w:pPr>
        <w:pStyle w:val="FootnoteText"/>
      </w:pPr>
      <w:r>
        <w:rPr>
          <w:rStyle w:val="FootnoteReference"/>
        </w:rPr>
        <w:footnoteRef/>
      </w:r>
      <w:r>
        <w:t xml:space="preserve"> </w:t>
      </w:r>
      <w:r>
        <w:rPr>
          <w:i/>
        </w:rPr>
        <w:t>See</w:t>
      </w:r>
      <w:r>
        <w:t xml:space="preserve"> </w:t>
      </w:r>
      <w:r w:rsidR="00BE7941">
        <w:t>Status Report</w:t>
      </w:r>
      <w:r>
        <w:t>, Appendix A</w:t>
      </w:r>
      <w:r w:rsidR="00BE7941">
        <w:t>, Shared Savings Determination.</w:t>
      </w:r>
    </w:p>
  </w:footnote>
  <w:footnote w:id="4">
    <w:p w:rsidR="00BD350A" w:rsidRDefault="00BD350A">
      <w:pPr>
        <w:pStyle w:val="FootnoteText"/>
      </w:pPr>
      <w:r>
        <w:rPr>
          <w:rStyle w:val="FootnoteReference"/>
        </w:rPr>
        <w:footnoteRef/>
      </w:r>
      <w:r>
        <w:t xml:space="preserve"> Case No. 12-2190-EL-POR.</w:t>
      </w:r>
    </w:p>
  </w:footnote>
  <w:footnote w:id="5">
    <w:p w:rsidR="00BD350A" w:rsidRPr="00BD350A" w:rsidRDefault="00BD350A">
      <w:pPr>
        <w:pStyle w:val="FootnoteText"/>
      </w:pPr>
      <w:r>
        <w:rPr>
          <w:rStyle w:val="FootnoteReference"/>
        </w:rPr>
        <w:footnoteRef/>
      </w:r>
      <w:r>
        <w:t xml:space="preserve"> </w:t>
      </w:r>
      <w:r>
        <w:rPr>
          <w:i/>
        </w:rPr>
        <w:t>See</w:t>
      </w:r>
      <w:r>
        <w:t xml:space="preserve"> Energy Efficiency &amp; Peak Demand Reduction Program Portfolio, Appendix E, Case No. 12-2190-EL-POR (July 31, 2012).</w:t>
      </w:r>
    </w:p>
  </w:footnote>
  <w:footnote w:id="6">
    <w:p w:rsidR="00877CC3" w:rsidRPr="00877CC3" w:rsidRDefault="00877CC3">
      <w:pPr>
        <w:pStyle w:val="FootnoteText"/>
      </w:pPr>
      <w:r>
        <w:rPr>
          <w:rStyle w:val="FootnoteReference"/>
        </w:rPr>
        <w:footnoteRef/>
      </w:r>
      <w:r>
        <w:t xml:space="preserve"> </w:t>
      </w:r>
      <w:r>
        <w:rPr>
          <w:i/>
        </w:rPr>
        <w:t>See</w:t>
      </w:r>
      <w:r>
        <w:t xml:space="preserve"> Opinion and Order at 16, Case No. 12-2190-EL-POR (Mar. 20, 2013</w:t>
      </w:r>
      <w:r w:rsidR="00BE7941">
        <w:t>)</w:t>
      </w:r>
      <w:r>
        <w:t>.</w:t>
      </w:r>
    </w:p>
  </w:footnote>
  <w:footnote w:id="7">
    <w:p w:rsidR="00BD350A" w:rsidRPr="00BD350A" w:rsidRDefault="00BD350A">
      <w:pPr>
        <w:pStyle w:val="FootnoteText"/>
      </w:pPr>
      <w:r>
        <w:rPr>
          <w:rStyle w:val="FootnoteReference"/>
        </w:rPr>
        <w:footnoteRef/>
      </w:r>
      <w:r>
        <w:t xml:space="preserve"> </w:t>
      </w:r>
      <w:r>
        <w:rPr>
          <w:i/>
        </w:rPr>
        <w:t>Id.</w:t>
      </w:r>
    </w:p>
  </w:footnote>
  <w:footnote w:id="8">
    <w:p w:rsidR="00BD350A" w:rsidRPr="00877CC3" w:rsidRDefault="00BD350A">
      <w:pPr>
        <w:pStyle w:val="FootnoteText"/>
      </w:pPr>
      <w:r>
        <w:rPr>
          <w:rStyle w:val="FootnoteReference"/>
        </w:rPr>
        <w:footnoteRef/>
      </w:r>
      <w:r>
        <w:t xml:space="preserve"> </w:t>
      </w:r>
      <w:r w:rsidR="00877CC3">
        <w:rPr>
          <w:i/>
        </w:rPr>
        <w:t>See supra</w:t>
      </w:r>
      <w:r w:rsidR="00BE7941">
        <w:t xml:space="preserve"> note 6</w:t>
      </w:r>
      <w:r w:rsidR="00877CC3">
        <w:t>.</w:t>
      </w:r>
    </w:p>
  </w:footnote>
  <w:footnote w:id="9">
    <w:p w:rsidR="00877CC3" w:rsidRDefault="00877CC3" w:rsidP="00877CC3">
      <w:pPr>
        <w:pStyle w:val="FootnoteText"/>
      </w:pPr>
      <w:r>
        <w:rPr>
          <w:rStyle w:val="FootnoteReference"/>
        </w:rPr>
        <w:footnoteRef/>
      </w:r>
      <w:r>
        <w:t xml:space="preserve"> The "baseline" is the "total, annual average, and normalized kilowatt-hour sales of the electric distribution utility during the preceding three calendar years to customers in" Ohio.  </w:t>
      </w:r>
      <w:r>
        <w:rPr>
          <w:i/>
        </w:rPr>
        <w:t>See</w:t>
      </w:r>
      <w:r>
        <w:t xml:space="preserve"> Ohio Revised Code ("R.C.") 4928.66(A).</w:t>
      </w:r>
    </w:p>
  </w:footnote>
  <w:footnote w:id="10">
    <w:p w:rsidR="00877CC3" w:rsidRPr="00877CC3" w:rsidRDefault="00877CC3">
      <w:pPr>
        <w:pStyle w:val="FootnoteText"/>
      </w:pPr>
      <w:r>
        <w:rPr>
          <w:rStyle w:val="FootnoteReference"/>
        </w:rPr>
        <w:footnoteRef/>
      </w:r>
      <w:r>
        <w:t xml:space="preserve"> </w:t>
      </w:r>
      <w:r>
        <w:rPr>
          <w:i/>
        </w:rPr>
        <w:t>See</w:t>
      </w:r>
      <w:r>
        <w:t xml:space="preserve"> Ohio Senate Bill 310 ("SB 310"), modifying R.C. 4928.66.</w:t>
      </w:r>
    </w:p>
  </w:footnote>
  <w:footnote w:id="11">
    <w:p w:rsidR="005560E9" w:rsidRPr="005560E9" w:rsidRDefault="005560E9">
      <w:pPr>
        <w:pStyle w:val="FootnoteText"/>
      </w:pPr>
      <w:r>
        <w:rPr>
          <w:rStyle w:val="FootnoteReference"/>
        </w:rPr>
        <w:footnoteRef/>
      </w:r>
      <w:r>
        <w:t xml:space="preserve"> </w:t>
      </w:r>
      <w:r>
        <w:rPr>
          <w:i/>
        </w:rPr>
        <w:t>See</w:t>
      </w:r>
      <w:r>
        <w:t xml:space="preserve"> SB 310 §6.</w:t>
      </w:r>
    </w:p>
  </w:footnote>
  <w:footnote w:id="12">
    <w:p w:rsidR="005560E9" w:rsidRPr="005560E9" w:rsidRDefault="005560E9">
      <w:pPr>
        <w:pStyle w:val="FootnoteText"/>
      </w:pPr>
      <w:r>
        <w:rPr>
          <w:rStyle w:val="FootnoteReference"/>
        </w:rPr>
        <w:footnoteRef/>
      </w:r>
      <w:r>
        <w:t xml:space="preserve"> </w:t>
      </w:r>
      <w:r>
        <w:rPr>
          <w:i/>
        </w:rPr>
        <w:t>See</w:t>
      </w:r>
      <w:r>
        <w:t xml:space="preserve"> Verified Application for Approval of Amended Energy Efficiency and Peak Demand Reduction Plans for 2015 through 2016, Case No. 12-2190-EL-POR (Sept. 24, 2014).</w:t>
      </w:r>
    </w:p>
  </w:footnote>
  <w:footnote w:id="13">
    <w:p w:rsidR="005560E9" w:rsidRDefault="005560E9">
      <w:pPr>
        <w:pStyle w:val="FootnoteText"/>
      </w:pPr>
      <w:r>
        <w:rPr>
          <w:rStyle w:val="FootnoteReference"/>
        </w:rPr>
        <w:footnoteRef/>
      </w:r>
      <w:r>
        <w:t xml:space="preserve"> The modifications to R.C. 4928.66 became effective on September 12, 2014, and FirstEnergy filed its application to cancel its programs 12 days later on September 24, 2014.</w:t>
      </w:r>
    </w:p>
  </w:footnote>
  <w:footnote w:id="14">
    <w:p w:rsidR="00BA48F2" w:rsidRPr="00BA48F2" w:rsidRDefault="00BA48F2">
      <w:pPr>
        <w:pStyle w:val="FootnoteText"/>
      </w:pPr>
      <w:r>
        <w:rPr>
          <w:rStyle w:val="FootnoteReference"/>
        </w:rPr>
        <w:footnoteRef/>
      </w:r>
      <w:r>
        <w:t xml:space="preserve"> </w:t>
      </w:r>
      <w:r>
        <w:rPr>
          <w:i/>
        </w:rPr>
        <w:t>See</w:t>
      </w:r>
      <w:r>
        <w:t xml:space="preserve"> </w:t>
      </w:r>
      <w:r w:rsidR="009662EA">
        <w:t>Finding and Order at 13-15, Case No. 12-2190-EL-POR (Nov. 20, 2014) (the "Program Cancellation Order")</w:t>
      </w:r>
      <w:r>
        <w:t>.</w:t>
      </w:r>
    </w:p>
  </w:footnote>
  <w:footnote w:id="15">
    <w:p w:rsidR="00BA48F2" w:rsidRPr="00BA48F2" w:rsidRDefault="00BA48F2">
      <w:pPr>
        <w:pStyle w:val="FootnoteText"/>
      </w:pPr>
      <w:r>
        <w:rPr>
          <w:rStyle w:val="FootnoteReference"/>
        </w:rPr>
        <w:footnoteRef/>
      </w:r>
      <w:r>
        <w:t xml:space="preserve"> </w:t>
      </w:r>
      <w:r>
        <w:rPr>
          <w:i/>
        </w:rPr>
        <w:t>Id.</w:t>
      </w:r>
      <w:r>
        <w:t xml:space="preserve"> at </w:t>
      </w:r>
    </w:p>
  </w:footnote>
  <w:footnote w:id="16">
    <w:p w:rsidR="00CF5DEB" w:rsidRPr="00CF5DEB" w:rsidRDefault="00CF5DEB">
      <w:pPr>
        <w:pStyle w:val="FootnoteText"/>
      </w:pPr>
      <w:r>
        <w:rPr>
          <w:rStyle w:val="FootnoteReference"/>
        </w:rPr>
        <w:footnoteRef/>
      </w:r>
      <w:r>
        <w:t xml:space="preserve"> </w:t>
      </w:r>
      <w:r>
        <w:rPr>
          <w:i/>
        </w:rPr>
        <w:t>See</w:t>
      </w:r>
      <w:r>
        <w:t xml:space="preserve"> 2015 Status Report, Appendix A.</w:t>
      </w:r>
    </w:p>
  </w:footnote>
  <w:footnote w:id="17">
    <w:p w:rsidR="009662EA" w:rsidRDefault="009662EA">
      <w:pPr>
        <w:pStyle w:val="FootnoteText"/>
      </w:pPr>
      <w:r>
        <w:rPr>
          <w:rStyle w:val="FootnoteReference"/>
        </w:rPr>
        <w:footnoteRef/>
      </w:r>
      <w:r>
        <w:t xml:space="preserve"> As discussed above, if these reported cumulative savings include savings from programs that the PUCO has not yet approved, such savings should be removed, and the compliance percentage calculations should be modified accordingly.</w:t>
      </w:r>
    </w:p>
  </w:footnote>
  <w:footnote w:id="18">
    <w:p w:rsidR="009662EA" w:rsidRPr="009662EA" w:rsidRDefault="009662EA">
      <w:pPr>
        <w:pStyle w:val="FootnoteText"/>
      </w:pPr>
      <w:r>
        <w:rPr>
          <w:rStyle w:val="FootnoteReference"/>
        </w:rPr>
        <w:footnoteRef/>
      </w:r>
      <w:r>
        <w:t xml:space="preserve"> </w:t>
      </w:r>
      <w:r>
        <w:rPr>
          <w:i/>
        </w:rPr>
        <w:t>See supra</w:t>
      </w:r>
      <w:r>
        <w:t xml:space="preserve"> note 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687" w:rsidRDefault="00A676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687" w:rsidRDefault="00A676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687" w:rsidRDefault="00A6768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902" w:rsidRDefault="009D390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439" w:rsidRDefault="00D504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976"/>
    <w:rsid w:val="0001159C"/>
    <w:rsid w:val="00024994"/>
    <w:rsid w:val="00026EEC"/>
    <w:rsid w:val="00055E9E"/>
    <w:rsid w:val="00082F90"/>
    <w:rsid w:val="00091714"/>
    <w:rsid w:val="000A0880"/>
    <w:rsid w:val="000A4AAF"/>
    <w:rsid w:val="000B3D97"/>
    <w:rsid w:val="0012482B"/>
    <w:rsid w:val="00172C86"/>
    <w:rsid w:val="0017403B"/>
    <w:rsid w:val="0019088A"/>
    <w:rsid w:val="00195797"/>
    <w:rsid w:val="00196DFC"/>
    <w:rsid w:val="001A5489"/>
    <w:rsid w:val="001D0BFC"/>
    <w:rsid w:val="001D2CE6"/>
    <w:rsid w:val="001D62AD"/>
    <w:rsid w:val="0020317B"/>
    <w:rsid w:val="00220105"/>
    <w:rsid w:val="00230CE6"/>
    <w:rsid w:val="002374C0"/>
    <w:rsid w:val="00240616"/>
    <w:rsid w:val="00241884"/>
    <w:rsid w:val="00266E6D"/>
    <w:rsid w:val="002729A5"/>
    <w:rsid w:val="00280E63"/>
    <w:rsid w:val="002D0BAE"/>
    <w:rsid w:val="002E0F87"/>
    <w:rsid w:val="002F680A"/>
    <w:rsid w:val="00304E4D"/>
    <w:rsid w:val="003175CC"/>
    <w:rsid w:val="00330040"/>
    <w:rsid w:val="0033340B"/>
    <w:rsid w:val="003356B2"/>
    <w:rsid w:val="00371B6C"/>
    <w:rsid w:val="00377325"/>
    <w:rsid w:val="00385370"/>
    <w:rsid w:val="00392417"/>
    <w:rsid w:val="00394064"/>
    <w:rsid w:val="00394677"/>
    <w:rsid w:val="003B2952"/>
    <w:rsid w:val="003B5047"/>
    <w:rsid w:val="003B7867"/>
    <w:rsid w:val="003B7F9C"/>
    <w:rsid w:val="003C6211"/>
    <w:rsid w:val="003D15A1"/>
    <w:rsid w:val="004004DF"/>
    <w:rsid w:val="004039D5"/>
    <w:rsid w:val="00444878"/>
    <w:rsid w:val="00482806"/>
    <w:rsid w:val="004B47A1"/>
    <w:rsid w:val="004C1B7C"/>
    <w:rsid w:val="004C462F"/>
    <w:rsid w:val="004D303A"/>
    <w:rsid w:val="004D45B0"/>
    <w:rsid w:val="004D6A96"/>
    <w:rsid w:val="004F297B"/>
    <w:rsid w:val="004F2AA4"/>
    <w:rsid w:val="004F2BBB"/>
    <w:rsid w:val="0053126A"/>
    <w:rsid w:val="005560E9"/>
    <w:rsid w:val="005706D7"/>
    <w:rsid w:val="00594F47"/>
    <w:rsid w:val="005C59B3"/>
    <w:rsid w:val="005C6033"/>
    <w:rsid w:val="005D73EF"/>
    <w:rsid w:val="005D7ABF"/>
    <w:rsid w:val="005E3329"/>
    <w:rsid w:val="00647866"/>
    <w:rsid w:val="00663381"/>
    <w:rsid w:val="00666AB5"/>
    <w:rsid w:val="00683929"/>
    <w:rsid w:val="0068480B"/>
    <w:rsid w:val="006B5977"/>
    <w:rsid w:val="006C19C3"/>
    <w:rsid w:val="006D18A6"/>
    <w:rsid w:val="006E5E9F"/>
    <w:rsid w:val="00704D0E"/>
    <w:rsid w:val="00710E80"/>
    <w:rsid w:val="007126ED"/>
    <w:rsid w:val="00725532"/>
    <w:rsid w:val="00752039"/>
    <w:rsid w:val="0076357A"/>
    <w:rsid w:val="007676CA"/>
    <w:rsid w:val="007C2976"/>
    <w:rsid w:val="007C5C7C"/>
    <w:rsid w:val="007D0B97"/>
    <w:rsid w:val="007E3C74"/>
    <w:rsid w:val="00800009"/>
    <w:rsid w:val="008217E3"/>
    <w:rsid w:val="00837FEE"/>
    <w:rsid w:val="00843AB0"/>
    <w:rsid w:val="00863093"/>
    <w:rsid w:val="0087250E"/>
    <w:rsid w:val="00877CC3"/>
    <w:rsid w:val="00885621"/>
    <w:rsid w:val="00896208"/>
    <w:rsid w:val="00897C8D"/>
    <w:rsid w:val="008A2518"/>
    <w:rsid w:val="008A2D58"/>
    <w:rsid w:val="008A6DE3"/>
    <w:rsid w:val="008C5912"/>
    <w:rsid w:val="008F4D44"/>
    <w:rsid w:val="0091432F"/>
    <w:rsid w:val="0095631D"/>
    <w:rsid w:val="00966031"/>
    <w:rsid w:val="009662EA"/>
    <w:rsid w:val="00974044"/>
    <w:rsid w:val="00983AB2"/>
    <w:rsid w:val="00990AE7"/>
    <w:rsid w:val="00993FC0"/>
    <w:rsid w:val="009A0E8C"/>
    <w:rsid w:val="009B1C55"/>
    <w:rsid w:val="009B2F02"/>
    <w:rsid w:val="009B6B0B"/>
    <w:rsid w:val="009D07C8"/>
    <w:rsid w:val="009D3902"/>
    <w:rsid w:val="009F643A"/>
    <w:rsid w:val="00A07D30"/>
    <w:rsid w:val="00A1695D"/>
    <w:rsid w:val="00A20BDA"/>
    <w:rsid w:val="00A25FE5"/>
    <w:rsid w:val="00A40DA9"/>
    <w:rsid w:val="00A56A91"/>
    <w:rsid w:val="00A57341"/>
    <w:rsid w:val="00A63355"/>
    <w:rsid w:val="00A63F3D"/>
    <w:rsid w:val="00A67687"/>
    <w:rsid w:val="00A8485C"/>
    <w:rsid w:val="00A96F30"/>
    <w:rsid w:val="00AB18F2"/>
    <w:rsid w:val="00AE5FEB"/>
    <w:rsid w:val="00AE7D20"/>
    <w:rsid w:val="00B03A2A"/>
    <w:rsid w:val="00B10098"/>
    <w:rsid w:val="00B13945"/>
    <w:rsid w:val="00B204D3"/>
    <w:rsid w:val="00B27046"/>
    <w:rsid w:val="00B44DFD"/>
    <w:rsid w:val="00B6497E"/>
    <w:rsid w:val="00BA3551"/>
    <w:rsid w:val="00BA48F2"/>
    <w:rsid w:val="00BD350A"/>
    <w:rsid w:val="00BE7941"/>
    <w:rsid w:val="00C05D8D"/>
    <w:rsid w:val="00C11533"/>
    <w:rsid w:val="00C16CD2"/>
    <w:rsid w:val="00C27D5C"/>
    <w:rsid w:val="00C30244"/>
    <w:rsid w:val="00C31A75"/>
    <w:rsid w:val="00C44D0A"/>
    <w:rsid w:val="00C7667E"/>
    <w:rsid w:val="00C80A87"/>
    <w:rsid w:val="00C82804"/>
    <w:rsid w:val="00CA183C"/>
    <w:rsid w:val="00CA1B5D"/>
    <w:rsid w:val="00CC65DC"/>
    <w:rsid w:val="00CE0972"/>
    <w:rsid w:val="00CE1E75"/>
    <w:rsid w:val="00CF1AD8"/>
    <w:rsid w:val="00CF5DEB"/>
    <w:rsid w:val="00D040F4"/>
    <w:rsid w:val="00D0554D"/>
    <w:rsid w:val="00D109CB"/>
    <w:rsid w:val="00D10DF7"/>
    <w:rsid w:val="00D50439"/>
    <w:rsid w:val="00D67942"/>
    <w:rsid w:val="00D710A2"/>
    <w:rsid w:val="00D93B4C"/>
    <w:rsid w:val="00DA1B21"/>
    <w:rsid w:val="00DA25DE"/>
    <w:rsid w:val="00DA3B10"/>
    <w:rsid w:val="00DC77AF"/>
    <w:rsid w:val="00DD0611"/>
    <w:rsid w:val="00DD1CB9"/>
    <w:rsid w:val="00DF3058"/>
    <w:rsid w:val="00E15494"/>
    <w:rsid w:val="00E243A4"/>
    <w:rsid w:val="00E32FD6"/>
    <w:rsid w:val="00E37845"/>
    <w:rsid w:val="00E81242"/>
    <w:rsid w:val="00E9125E"/>
    <w:rsid w:val="00EF3DB3"/>
    <w:rsid w:val="00F01A72"/>
    <w:rsid w:val="00F5468F"/>
    <w:rsid w:val="00F60641"/>
    <w:rsid w:val="00F80B53"/>
    <w:rsid w:val="00F85435"/>
    <w:rsid w:val="00FA566C"/>
    <w:rsid w:val="00FB24B6"/>
    <w:rsid w:val="00FB3452"/>
    <w:rsid w:val="00FC03F9"/>
    <w:rsid w:val="00FD4EE4"/>
    <w:rsid w:val="00FD7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2976"/>
    <w:rPr>
      <w:sz w:val="24"/>
    </w:rPr>
  </w:style>
  <w:style w:type="paragraph" w:styleId="Heading1">
    <w:name w:val="heading 1"/>
    <w:basedOn w:val="Normal"/>
    <w:next w:val="Normal"/>
    <w:qFormat/>
    <w:rsid w:val="007C2976"/>
    <w:pPr>
      <w:keepNext/>
      <w:outlineLvl w:val="0"/>
    </w:pPr>
    <w:rPr>
      <w:b/>
      <w:szCs w:val="24"/>
      <w:u w:val="single"/>
    </w:rPr>
  </w:style>
  <w:style w:type="paragraph" w:styleId="Heading2">
    <w:name w:val="heading 2"/>
    <w:basedOn w:val="Normal"/>
    <w:next w:val="Normal"/>
    <w:qFormat/>
    <w:rsid w:val="007C2976"/>
    <w:pPr>
      <w:keepNext/>
      <w:tabs>
        <w:tab w:val="left" w:pos="4320"/>
      </w:tabs>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7C2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7C2976"/>
    <w:pPr>
      <w:tabs>
        <w:tab w:val="center" w:pos="4320"/>
        <w:tab w:val="right" w:pos="8640"/>
      </w:tabs>
    </w:pPr>
    <w:rPr>
      <w:sz w:val="20"/>
    </w:rPr>
  </w:style>
  <w:style w:type="character" w:styleId="Hyperlink">
    <w:name w:val="Hyperlink"/>
    <w:rsid w:val="007C2976"/>
    <w:rPr>
      <w:color w:val="0000FF"/>
      <w:u w:val="single"/>
    </w:rPr>
  </w:style>
  <w:style w:type="paragraph" w:styleId="FootnoteText">
    <w:name w:val="footnote text"/>
    <w:basedOn w:val="Normal"/>
    <w:link w:val="FootnoteTextChar"/>
    <w:rsid w:val="007C2976"/>
    <w:pPr>
      <w:spacing w:before="120"/>
    </w:pPr>
    <w:rPr>
      <w:sz w:val="20"/>
    </w:rPr>
  </w:style>
  <w:style w:type="character" w:styleId="FootnoteReference">
    <w:name w:val="footnote reference"/>
    <w:semiHidden/>
    <w:rsid w:val="007C2976"/>
    <w:rPr>
      <w:vertAlign w:val="superscript"/>
    </w:rPr>
  </w:style>
  <w:style w:type="paragraph" w:styleId="BodyTextIndent">
    <w:name w:val="Body Text Indent"/>
    <w:basedOn w:val="Normal"/>
    <w:rsid w:val="007C2976"/>
    <w:pPr>
      <w:spacing w:line="480" w:lineRule="auto"/>
      <w:ind w:firstLine="720"/>
    </w:pPr>
  </w:style>
  <w:style w:type="paragraph" w:styleId="BodyTextIndent3">
    <w:name w:val="Body Text Indent 3"/>
    <w:basedOn w:val="Normal"/>
    <w:rsid w:val="007C2976"/>
    <w:pPr>
      <w:spacing w:line="480" w:lineRule="atLeast"/>
      <w:ind w:firstLine="720"/>
    </w:pPr>
  </w:style>
  <w:style w:type="paragraph" w:styleId="BodyTextIndent2">
    <w:name w:val="Body Text Indent 2"/>
    <w:basedOn w:val="Normal"/>
    <w:rsid w:val="007C2976"/>
    <w:pPr>
      <w:tabs>
        <w:tab w:val="left" w:pos="720"/>
      </w:tabs>
      <w:spacing w:before="240" w:after="240"/>
      <w:ind w:left="1464" w:hanging="744"/>
    </w:pPr>
  </w:style>
  <w:style w:type="character" w:styleId="PageNumber">
    <w:name w:val="page number"/>
    <w:basedOn w:val="DefaultParagraphFont"/>
    <w:rsid w:val="007C2976"/>
  </w:style>
  <w:style w:type="paragraph" w:styleId="BodyText">
    <w:name w:val="Body Text"/>
    <w:basedOn w:val="Normal"/>
    <w:link w:val="BodyTextChar"/>
    <w:rsid w:val="007C2976"/>
    <w:pPr>
      <w:jc w:val="both"/>
    </w:pPr>
  </w:style>
  <w:style w:type="paragraph" w:styleId="Header">
    <w:name w:val="header"/>
    <w:basedOn w:val="Normal"/>
    <w:rsid w:val="007C2976"/>
    <w:pPr>
      <w:tabs>
        <w:tab w:val="center" w:pos="4320"/>
        <w:tab w:val="right" w:pos="8640"/>
      </w:tabs>
    </w:pPr>
  </w:style>
  <w:style w:type="paragraph" w:styleId="CommentText">
    <w:name w:val="annotation text"/>
    <w:basedOn w:val="Normal"/>
    <w:semiHidden/>
    <w:rsid w:val="007C2976"/>
    <w:rPr>
      <w:szCs w:val="24"/>
    </w:rPr>
  </w:style>
  <w:style w:type="paragraph" w:styleId="CommentSubject">
    <w:name w:val="annotation subject"/>
    <w:basedOn w:val="CommentText"/>
    <w:next w:val="CommentText"/>
    <w:semiHidden/>
    <w:rsid w:val="007C2976"/>
    <w:rPr>
      <w:szCs w:val="20"/>
    </w:rPr>
  </w:style>
  <w:style w:type="table" w:styleId="TableGrid">
    <w:name w:val="Table Grid"/>
    <w:basedOn w:val="TableNormal"/>
    <w:rsid w:val="007C2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7C2976"/>
    <w:pPr>
      <w:suppressAutoHyphens/>
      <w:spacing w:line="480" w:lineRule="atLeast"/>
      <w:ind w:firstLine="720"/>
    </w:pPr>
    <w:rPr>
      <w:lang w:eastAsia="ar-SA"/>
    </w:rPr>
  </w:style>
  <w:style w:type="character" w:customStyle="1" w:styleId="FootnoteTextChar">
    <w:name w:val="Footnote Text Char"/>
    <w:link w:val="FootnoteText"/>
    <w:semiHidden/>
    <w:locked/>
    <w:rsid w:val="007C2976"/>
    <w:rPr>
      <w:lang w:val="en-US" w:eastAsia="en-US" w:bidi="ar-SA"/>
    </w:rPr>
  </w:style>
  <w:style w:type="paragraph" w:styleId="BalloonText">
    <w:name w:val="Balloon Text"/>
    <w:basedOn w:val="Normal"/>
    <w:link w:val="BalloonTextChar"/>
    <w:rsid w:val="004B47A1"/>
    <w:rPr>
      <w:rFonts w:ascii="Tahoma" w:hAnsi="Tahoma" w:cs="Tahoma"/>
      <w:sz w:val="16"/>
      <w:szCs w:val="16"/>
    </w:rPr>
  </w:style>
  <w:style w:type="character" w:customStyle="1" w:styleId="BalloonTextChar">
    <w:name w:val="Balloon Text Char"/>
    <w:link w:val="BalloonText"/>
    <w:rsid w:val="004B47A1"/>
    <w:rPr>
      <w:rFonts w:ascii="Tahoma" w:hAnsi="Tahoma" w:cs="Tahoma"/>
      <w:sz w:val="16"/>
      <w:szCs w:val="16"/>
    </w:rPr>
  </w:style>
  <w:style w:type="character" w:styleId="CommentReference">
    <w:name w:val="annotation reference"/>
    <w:rsid w:val="0020317B"/>
    <w:rPr>
      <w:sz w:val="16"/>
      <w:szCs w:val="16"/>
    </w:rPr>
  </w:style>
  <w:style w:type="paragraph" w:styleId="Revision">
    <w:name w:val="Revision"/>
    <w:hidden/>
    <w:uiPriority w:val="99"/>
    <w:semiHidden/>
    <w:rsid w:val="0020317B"/>
    <w:rPr>
      <w:sz w:val="24"/>
    </w:rPr>
  </w:style>
  <w:style w:type="character" w:customStyle="1" w:styleId="FooterChar">
    <w:name w:val="Footer Char"/>
    <w:basedOn w:val="DefaultParagraphFont"/>
    <w:link w:val="Footer"/>
    <w:uiPriority w:val="99"/>
    <w:rsid w:val="006B5977"/>
  </w:style>
  <w:style w:type="character" w:styleId="FollowedHyperlink">
    <w:name w:val="FollowedHyperlink"/>
    <w:basedOn w:val="DefaultParagraphFont"/>
    <w:rsid w:val="002374C0"/>
    <w:rPr>
      <w:color w:val="800080" w:themeColor="followedHyperlink"/>
      <w:u w:val="single"/>
    </w:rPr>
  </w:style>
  <w:style w:type="character" w:customStyle="1" w:styleId="BodyTextChar">
    <w:name w:val="Body Text Char"/>
    <w:basedOn w:val="DefaultParagraphFont"/>
    <w:link w:val="BodyText"/>
    <w:rsid w:val="004D45B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2976"/>
    <w:rPr>
      <w:sz w:val="24"/>
    </w:rPr>
  </w:style>
  <w:style w:type="paragraph" w:styleId="Heading1">
    <w:name w:val="heading 1"/>
    <w:basedOn w:val="Normal"/>
    <w:next w:val="Normal"/>
    <w:qFormat/>
    <w:rsid w:val="007C2976"/>
    <w:pPr>
      <w:keepNext/>
      <w:outlineLvl w:val="0"/>
    </w:pPr>
    <w:rPr>
      <w:b/>
      <w:szCs w:val="24"/>
      <w:u w:val="single"/>
    </w:rPr>
  </w:style>
  <w:style w:type="paragraph" w:styleId="Heading2">
    <w:name w:val="heading 2"/>
    <w:basedOn w:val="Normal"/>
    <w:next w:val="Normal"/>
    <w:qFormat/>
    <w:rsid w:val="007C2976"/>
    <w:pPr>
      <w:keepNext/>
      <w:tabs>
        <w:tab w:val="left" w:pos="4320"/>
      </w:tabs>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7C2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7C2976"/>
    <w:pPr>
      <w:tabs>
        <w:tab w:val="center" w:pos="4320"/>
        <w:tab w:val="right" w:pos="8640"/>
      </w:tabs>
    </w:pPr>
    <w:rPr>
      <w:sz w:val="20"/>
    </w:rPr>
  </w:style>
  <w:style w:type="character" w:styleId="Hyperlink">
    <w:name w:val="Hyperlink"/>
    <w:rsid w:val="007C2976"/>
    <w:rPr>
      <w:color w:val="0000FF"/>
      <w:u w:val="single"/>
    </w:rPr>
  </w:style>
  <w:style w:type="paragraph" w:styleId="FootnoteText">
    <w:name w:val="footnote text"/>
    <w:basedOn w:val="Normal"/>
    <w:link w:val="FootnoteTextChar"/>
    <w:rsid w:val="007C2976"/>
    <w:pPr>
      <w:spacing w:before="120"/>
    </w:pPr>
    <w:rPr>
      <w:sz w:val="20"/>
    </w:rPr>
  </w:style>
  <w:style w:type="character" w:styleId="FootnoteReference">
    <w:name w:val="footnote reference"/>
    <w:semiHidden/>
    <w:rsid w:val="007C2976"/>
    <w:rPr>
      <w:vertAlign w:val="superscript"/>
    </w:rPr>
  </w:style>
  <w:style w:type="paragraph" w:styleId="BodyTextIndent">
    <w:name w:val="Body Text Indent"/>
    <w:basedOn w:val="Normal"/>
    <w:rsid w:val="007C2976"/>
    <w:pPr>
      <w:spacing w:line="480" w:lineRule="auto"/>
      <w:ind w:firstLine="720"/>
    </w:pPr>
  </w:style>
  <w:style w:type="paragraph" w:styleId="BodyTextIndent3">
    <w:name w:val="Body Text Indent 3"/>
    <w:basedOn w:val="Normal"/>
    <w:rsid w:val="007C2976"/>
    <w:pPr>
      <w:spacing w:line="480" w:lineRule="atLeast"/>
      <w:ind w:firstLine="720"/>
    </w:pPr>
  </w:style>
  <w:style w:type="paragraph" w:styleId="BodyTextIndent2">
    <w:name w:val="Body Text Indent 2"/>
    <w:basedOn w:val="Normal"/>
    <w:rsid w:val="007C2976"/>
    <w:pPr>
      <w:tabs>
        <w:tab w:val="left" w:pos="720"/>
      </w:tabs>
      <w:spacing w:before="240" w:after="240"/>
      <w:ind w:left="1464" w:hanging="744"/>
    </w:pPr>
  </w:style>
  <w:style w:type="character" w:styleId="PageNumber">
    <w:name w:val="page number"/>
    <w:basedOn w:val="DefaultParagraphFont"/>
    <w:rsid w:val="007C2976"/>
  </w:style>
  <w:style w:type="paragraph" w:styleId="BodyText">
    <w:name w:val="Body Text"/>
    <w:basedOn w:val="Normal"/>
    <w:link w:val="BodyTextChar"/>
    <w:rsid w:val="007C2976"/>
    <w:pPr>
      <w:jc w:val="both"/>
    </w:pPr>
  </w:style>
  <w:style w:type="paragraph" w:styleId="Header">
    <w:name w:val="header"/>
    <w:basedOn w:val="Normal"/>
    <w:rsid w:val="007C2976"/>
    <w:pPr>
      <w:tabs>
        <w:tab w:val="center" w:pos="4320"/>
        <w:tab w:val="right" w:pos="8640"/>
      </w:tabs>
    </w:pPr>
  </w:style>
  <w:style w:type="paragraph" w:styleId="CommentText">
    <w:name w:val="annotation text"/>
    <w:basedOn w:val="Normal"/>
    <w:semiHidden/>
    <w:rsid w:val="007C2976"/>
    <w:rPr>
      <w:szCs w:val="24"/>
    </w:rPr>
  </w:style>
  <w:style w:type="paragraph" w:styleId="CommentSubject">
    <w:name w:val="annotation subject"/>
    <w:basedOn w:val="CommentText"/>
    <w:next w:val="CommentText"/>
    <w:semiHidden/>
    <w:rsid w:val="007C2976"/>
    <w:rPr>
      <w:szCs w:val="20"/>
    </w:rPr>
  </w:style>
  <w:style w:type="table" w:styleId="TableGrid">
    <w:name w:val="Table Grid"/>
    <w:basedOn w:val="TableNormal"/>
    <w:rsid w:val="007C2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7C2976"/>
    <w:pPr>
      <w:suppressAutoHyphens/>
      <w:spacing w:line="480" w:lineRule="atLeast"/>
      <w:ind w:firstLine="720"/>
    </w:pPr>
    <w:rPr>
      <w:lang w:eastAsia="ar-SA"/>
    </w:rPr>
  </w:style>
  <w:style w:type="character" w:customStyle="1" w:styleId="FootnoteTextChar">
    <w:name w:val="Footnote Text Char"/>
    <w:link w:val="FootnoteText"/>
    <w:semiHidden/>
    <w:locked/>
    <w:rsid w:val="007C2976"/>
    <w:rPr>
      <w:lang w:val="en-US" w:eastAsia="en-US" w:bidi="ar-SA"/>
    </w:rPr>
  </w:style>
  <w:style w:type="paragraph" w:styleId="BalloonText">
    <w:name w:val="Balloon Text"/>
    <w:basedOn w:val="Normal"/>
    <w:link w:val="BalloonTextChar"/>
    <w:rsid w:val="004B47A1"/>
    <w:rPr>
      <w:rFonts w:ascii="Tahoma" w:hAnsi="Tahoma" w:cs="Tahoma"/>
      <w:sz w:val="16"/>
      <w:szCs w:val="16"/>
    </w:rPr>
  </w:style>
  <w:style w:type="character" w:customStyle="1" w:styleId="BalloonTextChar">
    <w:name w:val="Balloon Text Char"/>
    <w:link w:val="BalloonText"/>
    <w:rsid w:val="004B47A1"/>
    <w:rPr>
      <w:rFonts w:ascii="Tahoma" w:hAnsi="Tahoma" w:cs="Tahoma"/>
      <w:sz w:val="16"/>
      <w:szCs w:val="16"/>
    </w:rPr>
  </w:style>
  <w:style w:type="character" w:styleId="CommentReference">
    <w:name w:val="annotation reference"/>
    <w:rsid w:val="0020317B"/>
    <w:rPr>
      <w:sz w:val="16"/>
      <w:szCs w:val="16"/>
    </w:rPr>
  </w:style>
  <w:style w:type="paragraph" w:styleId="Revision">
    <w:name w:val="Revision"/>
    <w:hidden/>
    <w:uiPriority w:val="99"/>
    <w:semiHidden/>
    <w:rsid w:val="0020317B"/>
    <w:rPr>
      <w:sz w:val="24"/>
    </w:rPr>
  </w:style>
  <w:style w:type="character" w:customStyle="1" w:styleId="FooterChar">
    <w:name w:val="Footer Char"/>
    <w:basedOn w:val="DefaultParagraphFont"/>
    <w:link w:val="Footer"/>
    <w:uiPriority w:val="99"/>
    <w:rsid w:val="006B5977"/>
  </w:style>
  <w:style w:type="character" w:styleId="FollowedHyperlink">
    <w:name w:val="FollowedHyperlink"/>
    <w:basedOn w:val="DefaultParagraphFont"/>
    <w:rsid w:val="002374C0"/>
    <w:rPr>
      <w:color w:val="800080" w:themeColor="followedHyperlink"/>
      <w:u w:val="single"/>
    </w:rPr>
  </w:style>
  <w:style w:type="character" w:customStyle="1" w:styleId="BodyTextChar">
    <w:name w:val="Body Text Char"/>
    <w:basedOn w:val="DefaultParagraphFont"/>
    <w:link w:val="BodyText"/>
    <w:rsid w:val="004D45B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christopher.healey@occ.ohio.gov" TargetMode="External"/><Relationship Id="rId18" Type="http://schemas.openxmlformats.org/officeDocument/2006/relationships/hyperlink" Target="mailto:cdunn@firstenergycorp.com" TargetMode="Externa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jburk@firstenergycorp.com" TargetMode="External"/><Relationship Id="rId2" Type="http://schemas.microsoft.com/office/2007/relationships/stylesWithEffects" Target="stylesWithEffects.xml"/><Relationship Id="rId16" Type="http://schemas.openxmlformats.org/officeDocument/2006/relationships/hyperlink" Target="mailto:mfleisher@elpc.org" TargetMode="External"/><Relationship Id="rId20" Type="http://schemas.openxmlformats.org/officeDocument/2006/relationships/header" Target="header5.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mailto:William.wright@ohioattorneygeneral.gov"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1657</Words>
  <Characters>9113</Characters>
  <Application>Microsoft Office Word</Application>
  <DocSecurity>0</DocSecurity>
  <PresentationFormat/>
  <Lines>260</Lines>
  <Paragraphs>108</Paragraphs>
  <ScaleCrop>false</ScaleCrop>
  <HeadingPairs>
    <vt:vector size="2" baseType="variant">
      <vt:variant>
        <vt:lpstr>Title</vt:lpstr>
      </vt:variant>
      <vt:variant>
        <vt:i4>1</vt:i4>
      </vt:variant>
    </vt:vector>
  </HeadingPairs>
  <TitlesOfParts>
    <vt:vector size="1" baseType="lpstr">
      <vt:lpstr>FE 16-941 - OCC Comments.docx</vt:lpstr>
    </vt:vector>
  </TitlesOfParts>
  <Manager/>
  <Company/>
  <LinksUpToDate>false</LinksUpToDate>
  <CharactersWithSpaces>10701</CharactersWithSpaces>
  <SharedDoc>false</SharedDoc>
  <HyperlinkBase> </HyperlinkBase>
  <HLinks>
    <vt:vector size="36" baseType="variant">
      <vt:variant>
        <vt:i4>917549</vt:i4>
      </vt:variant>
      <vt:variant>
        <vt:i4>15</vt:i4>
      </vt:variant>
      <vt:variant>
        <vt:i4>0</vt:i4>
      </vt:variant>
      <vt:variant>
        <vt:i4>5</vt:i4>
      </vt:variant>
      <vt:variant>
        <vt:lpwstr>mailto:cdunn@firstenergycorp.com</vt:lpwstr>
      </vt:variant>
      <vt:variant>
        <vt:lpwstr/>
      </vt:variant>
      <vt:variant>
        <vt:i4>2293828</vt:i4>
      </vt:variant>
      <vt:variant>
        <vt:i4>12</vt:i4>
      </vt:variant>
      <vt:variant>
        <vt:i4>0</vt:i4>
      </vt:variant>
      <vt:variant>
        <vt:i4>5</vt:i4>
      </vt:variant>
      <vt:variant>
        <vt:lpwstr>mailto:William.wright@puc.state.oh.us</vt:lpwstr>
      </vt:variant>
      <vt:variant>
        <vt:lpwstr/>
      </vt:variant>
      <vt:variant>
        <vt:i4>131135</vt:i4>
      </vt:variant>
      <vt:variant>
        <vt:i4>9</vt:i4>
      </vt:variant>
      <vt:variant>
        <vt:i4>0</vt:i4>
      </vt:variant>
      <vt:variant>
        <vt:i4>5</vt:i4>
      </vt:variant>
      <vt:variant>
        <vt:lpwstr>mailto:christopher.healey@occ.ohio.gov</vt:lpwstr>
      </vt:variant>
      <vt:variant>
        <vt:lpwstr/>
      </vt:variant>
      <vt:variant>
        <vt:i4>3473423</vt:i4>
      </vt:variant>
      <vt:variant>
        <vt:i4>6</vt:i4>
      </vt:variant>
      <vt:variant>
        <vt:i4>0</vt:i4>
      </vt:variant>
      <vt:variant>
        <vt:i4>5</vt:i4>
      </vt:variant>
      <vt:variant>
        <vt:lpwstr>mailto:terry.etter@occ.ohio.gov</vt:lpwstr>
      </vt:variant>
      <vt:variant>
        <vt:lpwstr/>
      </vt:variant>
      <vt:variant>
        <vt:i4>131135</vt:i4>
      </vt:variant>
      <vt:variant>
        <vt:i4>3</vt:i4>
      </vt:variant>
      <vt:variant>
        <vt:i4>0</vt:i4>
      </vt:variant>
      <vt:variant>
        <vt:i4>5</vt:i4>
      </vt:variant>
      <vt:variant>
        <vt:lpwstr>mailto:christopher.healey@occ.ohio.gov</vt:lpwstr>
      </vt:variant>
      <vt:variant>
        <vt:lpwstr/>
      </vt:variant>
      <vt:variant>
        <vt:i4>3473423</vt:i4>
      </vt:variant>
      <vt:variant>
        <vt:i4>0</vt:i4>
      </vt:variant>
      <vt:variant>
        <vt:i4>0</vt:i4>
      </vt:variant>
      <vt:variant>
        <vt:i4>5</vt:i4>
      </vt:variant>
      <vt:variant>
        <vt:lpwstr>mailto:terry.etter@occ.ohio.gov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2016-03-31T15:50:00Z</cp:lastPrinted>
  <dcterms:created xsi:type="dcterms:W3CDTF">2016-06-13T20:27:00Z</dcterms:created>
  <dcterms:modified xsi:type="dcterms:W3CDTF">2016-06-13T20:27:00Z</dcterms:modified>
  <cp:category> </cp:category>
  <cp:contentStatus> </cp:contentStatus>
</cp:coreProperties>
</file>