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36BDA" w:rsidP="00C2213A" w14:paraId="5FC0CB39"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r>
        <w:rPr>
          <w:rFonts w:ascii="Times New Roman" w:hAnsi="Times New Roman"/>
          <w:b/>
          <w:bCs/>
          <w:sz w:val="24"/>
        </w:rPr>
        <w:t>BEFORE</w:t>
      </w:r>
    </w:p>
    <w:p w:rsidR="00836BDA" w:rsidP="00C2213A" w14:paraId="024132C3"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rPr>
      </w:pPr>
      <w:r>
        <w:rPr>
          <w:rFonts w:ascii="Times New Roman" w:hAnsi="Times New Roman"/>
          <w:b/>
          <w:bCs/>
          <w:sz w:val="24"/>
        </w:rPr>
        <w:t>THE PUBLIC UTILITIES COMMISSION OF OHIO</w:t>
      </w:r>
    </w:p>
    <w:p w:rsidR="00836BDA" w:rsidP="00C2213A" w14:paraId="1A45094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tbl>
      <w:tblPr>
        <w:tblW w:w="8910" w:type="dxa"/>
        <w:jc w:val="center"/>
        <w:tblLook w:val="01E0"/>
      </w:tblPr>
      <w:tblGrid>
        <w:gridCol w:w="4408"/>
        <w:gridCol w:w="296"/>
        <w:gridCol w:w="4206"/>
      </w:tblGrid>
      <w:tr w14:paraId="11B3DA3A" w14:textId="77777777" w:rsidTr="00727B31">
        <w:tblPrEx>
          <w:tblW w:w="8910" w:type="dxa"/>
          <w:jc w:val="center"/>
          <w:tblLook w:val="01E0"/>
        </w:tblPrEx>
        <w:trPr>
          <w:trHeight w:val="807"/>
          <w:jc w:val="center"/>
        </w:trPr>
        <w:tc>
          <w:tcPr>
            <w:tcW w:w="4408" w:type="dxa"/>
            <w:shd w:val="clear" w:color="auto" w:fill="auto"/>
          </w:tcPr>
          <w:p w:rsidR="009108F6" w:rsidRPr="0044715E" w:rsidP="00727B31" w14:paraId="7EDEB51F" w14:textId="77777777">
            <w:pPr>
              <w:autoSpaceDE w:val="0"/>
              <w:autoSpaceDN w:val="0"/>
              <w:adjustRightInd w:val="0"/>
            </w:pPr>
            <w:r w:rsidRPr="00A044B5">
              <w:t>In the Matter of</w:t>
            </w:r>
            <w:r>
              <w:t xml:space="preserve"> the Application of the East Ohio Gas Company d/b/a Dominion Energy Ohio for Authority to Adjust Its Capital Expenditure Program Rider Charges.</w:t>
            </w:r>
          </w:p>
        </w:tc>
        <w:tc>
          <w:tcPr>
            <w:tcW w:w="296" w:type="dxa"/>
            <w:shd w:val="clear" w:color="auto" w:fill="auto"/>
          </w:tcPr>
          <w:p w:rsidR="009108F6" w:rsidRPr="00A044B5" w:rsidP="00727B31" w14:paraId="40D7651E" w14:textId="77777777">
            <w:pPr>
              <w:pStyle w:val="HTMLPreformatted"/>
              <w:rPr>
                <w:rFonts w:ascii="Times New Roman" w:hAnsi="Times New Roman"/>
                <w:sz w:val="24"/>
              </w:rPr>
            </w:pPr>
            <w:r w:rsidRPr="00A044B5">
              <w:rPr>
                <w:rFonts w:ascii="Times New Roman" w:hAnsi="Times New Roman"/>
                <w:sz w:val="24"/>
              </w:rPr>
              <w:t>)</w:t>
            </w:r>
          </w:p>
          <w:p w:rsidR="009108F6" w:rsidRPr="00A044B5" w:rsidP="00727B31" w14:paraId="224EF74F" w14:textId="77777777">
            <w:pPr>
              <w:pStyle w:val="HTMLPreformatted"/>
              <w:rPr>
                <w:rFonts w:ascii="Times New Roman" w:hAnsi="Times New Roman"/>
                <w:sz w:val="24"/>
              </w:rPr>
            </w:pPr>
            <w:r w:rsidRPr="00A044B5">
              <w:rPr>
                <w:rFonts w:ascii="Times New Roman" w:hAnsi="Times New Roman"/>
                <w:sz w:val="24"/>
              </w:rPr>
              <w:t>)</w:t>
            </w:r>
          </w:p>
          <w:p w:rsidR="009108F6" w:rsidP="00727B31" w14:paraId="4A724925" w14:textId="77777777">
            <w:pPr>
              <w:pStyle w:val="HTMLPreformatted"/>
              <w:rPr>
                <w:rFonts w:ascii="Times New Roman" w:hAnsi="Times New Roman"/>
                <w:sz w:val="24"/>
              </w:rPr>
            </w:pPr>
            <w:r w:rsidRPr="00A044B5">
              <w:rPr>
                <w:rFonts w:ascii="Times New Roman" w:hAnsi="Times New Roman"/>
                <w:sz w:val="24"/>
              </w:rPr>
              <w:t>)</w:t>
            </w:r>
          </w:p>
          <w:p w:rsidR="009108F6" w:rsidP="00727B31" w14:paraId="1D6CFA2B" w14:textId="77777777">
            <w:pPr>
              <w:pStyle w:val="HTMLPreformatted"/>
              <w:rPr>
                <w:rFonts w:ascii="Times New Roman" w:hAnsi="Times New Roman"/>
                <w:sz w:val="24"/>
              </w:rPr>
            </w:pPr>
            <w:r>
              <w:rPr>
                <w:rFonts w:ascii="Times New Roman" w:hAnsi="Times New Roman"/>
                <w:sz w:val="24"/>
              </w:rPr>
              <w:t>)</w:t>
            </w:r>
          </w:p>
          <w:p w:rsidR="009108F6" w:rsidRPr="0044715E" w:rsidP="00727B31" w14:paraId="78C60268" w14:textId="77777777">
            <w:pPr>
              <w:pStyle w:val="HTMLPreformatted"/>
              <w:rPr>
                <w:rFonts w:ascii="Times New Roman" w:hAnsi="Times New Roman" w:cs="Times New Roman"/>
                <w:sz w:val="24"/>
                <w:szCs w:val="24"/>
              </w:rPr>
            </w:pPr>
            <w:r>
              <w:rPr>
                <w:rFonts w:ascii="Times New Roman" w:hAnsi="Times New Roman"/>
                <w:sz w:val="24"/>
                <w:szCs w:val="24"/>
              </w:rPr>
              <w:t>)</w:t>
            </w:r>
          </w:p>
        </w:tc>
        <w:tc>
          <w:tcPr>
            <w:tcW w:w="4206" w:type="dxa"/>
            <w:shd w:val="clear" w:color="auto" w:fill="auto"/>
          </w:tcPr>
          <w:p w:rsidR="009108F6" w:rsidRPr="00A044B5" w:rsidP="00727B31" w14:paraId="5F575839" w14:textId="77777777">
            <w:pPr>
              <w:pStyle w:val="HTMLPreformatted"/>
              <w:rPr>
                <w:rFonts w:ascii="Times New Roman" w:hAnsi="Times New Roman"/>
                <w:sz w:val="24"/>
              </w:rPr>
            </w:pPr>
          </w:p>
          <w:p w:rsidR="009108F6" w:rsidP="00727B31" w14:paraId="34E07A12" w14:textId="77777777">
            <w:pPr>
              <w:pStyle w:val="HTMLPreformatted"/>
              <w:rPr>
                <w:rFonts w:ascii="Times New Roman" w:hAnsi="Times New Roman" w:cs="Times New Roman"/>
                <w:sz w:val="24"/>
                <w:szCs w:val="24"/>
              </w:rPr>
            </w:pPr>
          </w:p>
          <w:p w:rsidR="009108F6" w:rsidRPr="00A044B5" w:rsidP="00727B31" w14:paraId="22B7C594"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21-619-GA-RDR</w:t>
            </w:r>
          </w:p>
          <w:p w:rsidR="009108F6" w:rsidRPr="0044715E" w:rsidP="00727B31" w14:paraId="7F238BB7" w14:textId="77777777">
            <w:pPr>
              <w:pStyle w:val="HTMLPreformatted"/>
              <w:rPr>
                <w:rFonts w:ascii="Times New Roman" w:hAnsi="Times New Roman" w:cs="Times New Roman"/>
                <w:sz w:val="24"/>
                <w:szCs w:val="24"/>
              </w:rPr>
            </w:pPr>
          </w:p>
        </w:tc>
      </w:tr>
    </w:tbl>
    <w:p w:rsidR="00836BDA" w:rsidP="00C2213A" w14:paraId="66BCB6E5"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836BDA" w:rsidP="00C2213A" w14:paraId="70C169EC" w14:textId="77777777">
      <w:pPr>
        <w:pStyle w:val="HTMLPreformatted"/>
        <w:pBdr>
          <w:top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836BDA" w:rsidP="00C2213A" w14:paraId="470970CE" w14:textId="77777777">
      <w:pPr>
        <w:jc w:val="center"/>
        <w:rPr>
          <w:b/>
          <w:bCs/>
        </w:rPr>
      </w:pPr>
      <w:r>
        <w:rPr>
          <w:b/>
          <w:bCs/>
        </w:rPr>
        <w:t>REPLY</w:t>
      </w:r>
      <w:r w:rsidR="00B5034C">
        <w:rPr>
          <w:b/>
          <w:bCs/>
        </w:rPr>
        <w:t xml:space="preserve"> BRIEF</w:t>
      </w:r>
    </w:p>
    <w:p w:rsidR="00836BDA" w:rsidP="00C2213A" w14:paraId="5039623B" w14:textId="77777777">
      <w:pPr>
        <w:jc w:val="center"/>
        <w:rPr>
          <w:b/>
          <w:bCs/>
        </w:rPr>
      </w:pPr>
      <w:r>
        <w:rPr>
          <w:b/>
          <w:bCs/>
        </w:rPr>
        <w:t>BY</w:t>
      </w:r>
    </w:p>
    <w:p w:rsidR="00836BDA" w:rsidP="00C2213A" w14:paraId="447A51A4" w14:textId="3E5AA3E8">
      <w:pPr>
        <w:jc w:val="center"/>
        <w:rPr>
          <w:b/>
          <w:bCs/>
        </w:rPr>
      </w:pPr>
      <w:r>
        <w:rPr>
          <w:b/>
          <w:bCs/>
        </w:rPr>
        <w:t>OFFICE OF THE OHIO CONSUMERS’ COUNSEL</w:t>
      </w:r>
    </w:p>
    <w:p w:rsidR="00836BDA" w:rsidP="00C2213A" w14:paraId="239AE31C" w14:textId="77777777">
      <w:pPr>
        <w:pBdr>
          <w:bottom w:val="single" w:sz="12" w:space="1" w:color="auto"/>
        </w:pBdr>
      </w:pPr>
    </w:p>
    <w:p w:rsidR="00836BDA" w:rsidP="00C2213A" w14:paraId="08077D8B" w14:textId="77777777"/>
    <w:p w:rsidR="0069402D" w:rsidRPr="00B9194E" w:rsidP="00C2213A" w14:paraId="22680534" w14:textId="77777777">
      <w:pPr>
        <w:pStyle w:val="Heading1"/>
      </w:pPr>
      <w:bookmarkStart w:id="0" w:name="_Toc52353749"/>
      <w:bookmarkStart w:id="1" w:name="_Toc85553504"/>
      <w:r>
        <w:t>I.</w:t>
      </w:r>
      <w:r>
        <w:tab/>
        <w:t>INTRODUCTION</w:t>
      </w:r>
      <w:bookmarkEnd w:id="0"/>
      <w:bookmarkEnd w:id="1"/>
    </w:p>
    <w:p w:rsidR="00BD5AF2" w:rsidRPr="00E45B9F" w:rsidP="00E45B9F" w14:paraId="52ED6167" w14:textId="33870664">
      <w:pPr>
        <w:spacing w:line="480" w:lineRule="auto"/>
        <w:ind w:firstLine="720"/>
      </w:pPr>
      <w:r>
        <w:t>Dominion</w:t>
      </w:r>
      <w:r>
        <w:rPr>
          <w:rStyle w:val="FootnoteReference"/>
        </w:rPr>
        <w:footnoteReference w:id="2"/>
      </w:r>
      <w:r w:rsidR="00562E2B">
        <w:t xml:space="preserve"> and the </w:t>
      </w:r>
      <w:r w:rsidR="00792406">
        <w:t>PUCO Staff</w:t>
      </w:r>
      <w:r w:rsidR="00562E2B">
        <w:t xml:space="preserve"> </w:t>
      </w:r>
      <w:r w:rsidR="00877617">
        <w:t xml:space="preserve">have </w:t>
      </w:r>
      <w:r w:rsidR="00562E2B">
        <w:t>signed a Settlement</w:t>
      </w:r>
      <w:r>
        <w:rPr>
          <w:rStyle w:val="FootnoteReference"/>
        </w:rPr>
        <w:footnoteReference w:id="3"/>
      </w:r>
      <w:r w:rsidR="00562E2B">
        <w:t xml:space="preserve"> </w:t>
      </w:r>
      <w:r w:rsidR="00F24A09">
        <w:t xml:space="preserve">that benefits only Dominion. It is not in consumers’ nor the public’s interest. </w:t>
      </w:r>
      <w:r w:rsidR="00727B31">
        <w:t xml:space="preserve">Consumers should not be required to pay </w:t>
      </w:r>
      <w:r>
        <w:t>the</w:t>
      </w:r>
      <w:r w:rsidR="00727B31">
        <w:t xml:space="preserve"> </w:t>
      </w:r>
      <w:r>
        <w:t xml:space="preserve">excessive, </w:t>
      </w:r>
      <w:r w:rsidR="00727B31">
        <w:t>13 year-old 9.91% pre-tax rate of return contained in the Settlement.</w:t>
      </w:r>
      <w:r>
        <w:rPr>
          <w:rStyle w:val="FootnoteReference"/>
        </w:rPr>
        <w:footnoteReference w:id="4"/>
      </w:r>
      <w:r w:rsidR="00727B31">
        <w:t xml:space="preserve"> </w:t>
      </w:r>
      <w:r w:rsidR="00E45B9F">
        <w:t>That</w:t>
      </w:r>
      <w:r w:rsidR="00727B31">
        <w:t xml:space="preserve"> is</w:t>
      </w:r>
      <w:r w:rsidR="00E45B9F">
        <w:t xml:space="preserve"> neither</w:t>
      </w:r>
      <w:r w:rsidR="00727B31">
        <w:t xml:space="preserve"> </w:t>
      </w:r>
      <w:r w:rsidRPr="00E45B9F" w:rsidR="00727B31">
        <w:t xml:space="preserve">just </w:t>
      </w:r>
      <w:r w:rsidRPr="00E45B9F" w:rsidR="00E45B9F">
        <w:t>nor</w:t>
      </w:r>
      <w:r w:rsidRPr="00E45B9F" w:rsidR="00727B31">
        <w:t xml:space="preserve"> reasonable</w:t>
      </w:r>
      <w:r w:rsidR="00727B31">
        <w:t>.</w:t>
      </w:r>
      <w:r>
        <w:rPr>
          <w:rStyle w:val="FootnoteReference"/>
        </w:rPr>
        <w:footnoteReference w:id="5"/>
      </w:r>
      <w:r w:rsidR="00AF18D6">
        <w:t xml:space="preserve"> </w:t>
      </w:r>
      <w:r w:rsidR="00727B31">
        <w:t xml:space="preserve">Additionally, consumers are harmed by paying financial incentives that only benefit Dominion’s shareholders. </w:t>
      </w:r>
      <w:r w:rsidR="00E45B9F">
        <w:t>Requiring consumers to pay for financial incentives, as the Settlement does, is neither just nor reasonable.</w:t>
      </w:r>
    </w:p>
    <w:p w:rsidR="00024593" w:rsidP="00C2213A" w14:paraId="7A2F0F35" w14:textId="54E63E94">
      <w:pPr>
        <w:pStyle w:val="BodyTextIndent3"/>
        <w:spacing w:line="480" w:lineRule="auto"/>
      </w:pPr>
      <w:r>
        <w:t xml:space="preserve">The Office of the Ohio Consumers’ Counsel (“OCC”), the </w:t>
      </w:r>
      <w:r w:rsidR="00B01494">
        <w:t>statutory</w:t>
      </w:r>
      <w:r>
        <w:t xml:space="preserve"> consumer advocate for Dominion’s 1.1 million residential </w:t>
      </w:r>
      <w:r w:rsidR="0075671A">
        <w:t xml:space="preserve">gas utility </w:t>
      </w:r>
      <w:r>
        <w:t xml:space="preserve">consumers, asks the PUCO </w:t>
      </w:r>
      <w:r w:rsidR="00FA595D">
        <w:t xml:space="preserve">to </w:t>
      </w:r>
      <w:r>
        <w:t xml:space="preserve">reject </w:t>
      </w:r>
      <w:r w:rsidR="008525C9">
        <w:t xml:space="preserve">or modify </w:t>
      </w:r>
      <w:r w:rsidR="0008154D">
        <w:t xml:space="preserve">the </w:t>
      </w:r>
      <w:r>
        <w:t xml:space="preserve">Settlement and instead adopt </w:t>
      </w:r>
      <w:r w:rsidR="008525C9">
        <w:t xml:space="preserve">the </w:t>
      </w:r>
      <w:r>
        <w:t>consumer protections</w:t>
      </w:r>
      <w:r>
        <w:rPr>
          <w:rStyle w:val="FootnoteReference"/>
        </w:rPr>
        <w:footnoteReference w:id="6"/>
      </w:r>
      <w:r>
        <w:t xml:space="preserve"> </w:t>
      </w:r>
      <w:r w:rsidR="0008154D">
        <w:t xml:space="preserve">that </w:t>
      </w:r>
      <w:r w:rsidR="00C06E50">
        <w:t>OCC</w:t>
      </w:r>
      <w:r w:rsidR="0008154D">
        <w:t xml:space="preserve"> recommend</w:t>
      </w:r>
      <w:r w:rsidR="00C06E50">
        <w:t>s</w:t>
      </w:r>
      <w:r>
        <w:t>.</w:t>
      </w:r>
    </w:p>
    <w:p w:rsidR="00A837AD" w:rsidP="00C2213A" w14:paraId="6AA57856" w14:textId="77777777">
      <w:pPr>
        <w:pStyle w:val="Heading1"/>
      </w:pPr>
      <w:bookmarkStart w:id="2" w:name="_Toc52353750"/>
      <w:bookmarkStart w:id="3" w:name="_Toc85553505"/>
      <w:r>
        <w:t>II.</w:t>
      </w:r>
      <w:r>
        <w:tab/>
      </w:r>
      <w:bookmarkEnd w:id="2"/>
      <w:r w:rsidR="00954160">
        <w:t>REPLY</w:t>
      </w:r>
      <w:bookmarkEnd w:id="3"/>
    </w:p>
    <w:p w:rsidR="00AE13A6" w:rsidRPr="00AE13A6" w:rsidP="00C2213A" w14:paraId="662ED223" w14:textId="7451B7B9">
      <w:pPr>
        <w:pStyle w:val="Heading2"/>
        <w:tabs>
          <w:tab w:val="clear" w:pos="4320"/>
        </w:tabs>
      </w:pPr>
      <w:bookmarkStart w:id="4" w:name="_Toc52353762"/>
      <w:bookmarkStart w:id="5" w:name="_Toc85553506"/>
      <w:r>
        <w:t>A.</w:t>
      </w:r>
      <w:r>
        <w:tab/>
      </w:r>
      <w:bookmarkEnd w:id="4"/>
      <w:r w:rsidR="00453378">
        <w:t xml:space="preserve">The Settlement, as a package, does </w:t>
      </w:r>
      <w:r w:rsidR="00453378">
        <w:rPr>
          <w:i/>
          <w:iCs/>
        </w:rPr>
        <w:t xml:space="preserve">not </w:t>
      </w:r>
      <w:r w:rsidR="00453378">
        <w:t xml:space="preserve">benefit consumers and is </w:t>
      </w:r>
      <w:r w:rsidRPr="00AE13A6" w:rsidR="00453378">
        <w:rPr>
          <w:i/>
          <w:iCs/>
        </w:rPr>
        <w:t>not</w:t>
      </w:r>
      <w:r w:rsidR="00453378">
        <w:t xml:space="preserve"> in the public interest </w:t>
      </w:r>
      <w:r w:rsidR="0084028D">
        <w:t xml:space="preserve">because the harm to </w:t>
      </w:r>
      <w:r w:rsidR="00E33D9A">
        <w:t>consumers</w:t>
      </w:r>
      <w:r w:rsidR="0084028D">
        <w:t xml:space="preserve"> </w:t>
      </w:r>
      <w:r w:rsidR="008A4889">
        <w:t>(paying $18.</w:t>
      </w:r>
      <w:r w:rsidR="00CB295E">
        <w:t>6</w:t>
      </w:r>
      <w:r w:rsidR="008A4889">
        <w:t xml:space="preserve"> million more</w:t>
      </w:r>
      <w:r w:rsidR="00CB295E">
        <w:t xml:space="preserve"> for their </w:t>
      </w:r>
      <w:r w:rsidR="00FA29CF">
        <w:t>gas service</w:t>
      </w:r>
      <w:r w:rsidR="008A4889">
        <w:t>)</w:t>
      </w:r>
      <w:r>
        <w:rPr>
          <w:rStyle w:val="FootnoteReference"/>
        </w:rPr>
        <w:footnoteReference w:id="7"/>
      </w:r>
      <w:r w:rsidR="008A4889">
        <w:t xml:space="preserve"> </w:t>
      </w:r>
      <w:r w:rsidR="0084028D">
        <w:t xml:space="preserve">under the Settlement is substantially greater than the trivial concessions that </w:t>
      </w:r>
      <w:r w:rsidR="00153701">
        <w:t>Dominion</w:t>
      </w:r>
      <w:r w:rsidR="0084028D">
        <w:t xml:space="preserve"> made.</w:t>
      </w:r>
      <w:bookmarkEnd w:id="5"/>
      <w:r w:rsidR="0084028D">
        <w:t xml:space="preserve"> </w:t>
      </w:r>
    </w:p>
    <w:p w:rsidR="00E45B9F" w:rsidP="00AE13A6" w14:paraId="733BFCCD" w14:textId="0D596D77">
      <w:pPr>
        <w:pStyle w:val="NoSpacing"/>
        <w:spacing w:line="480" w:lineRule="auto"/>
        <w:ind w:firstLine="720"/>
        <w:rPr>
          <w:rFonts w:ascii="Times New Roman" w:hAnsi="Times New Roman" w:cs="Times New Roman"/>
          <w:sz w:val="24"/>
          <w:szCs w:val="24"/>
        </w:rPr>
      </w:pPr>
      <w:r w:rsidRPr="00AE13A6">
        <w:rPr>
          <w:rFonts w:ascii="Times New Roman" w:hAnsi="Times New Roman" w:cs="Times New Roman"/>
          <w:sz w:val="24"/>
          <w:szCs w:val="24"/>
        </w:rPr>
        <w:t xml:space="preserve">Dominion </w:t>
      </w:r>
      <w:r w:rsidRPr="00AE13A6" w:rsidR="00436E98">
        <w:rPr>
          <w:rFonts w:ascii="Times New Roman" w:hAnsi="Times New Roman" w:cs="Times New Roman"/>
          <w:sz w:val="24"/>
          <w:szCs w:val="24"/>
        </w:rPr>
        <w:t xml:space="preserve">and PUCO Staff </w:t>
      </w:r>
      <w:r w:rsidRPr="00AE13A6">
        <w:rPr>
          <w:rFonts w:ascii="Times New Roman" w:hAnsi="Times New Roman" w:cs="Times New Roman"/>
          <w:sz w:val="24"/>
          <w:szCs w:val="24"/>
        </w:rPr>
        <w:t xml:space="preserve">claim that </w:t>
      </w:r>
      <w:r>
        <w:rPr>
          <w:rFonts w:ascii="Times New Roman" w:hAnsi="Times New Roman" w:cs="Times New Roman"/>
          <w:sz w:val="24"/>
          <w:szCs w:val="24"/>
        </w:rPr>
        <w:t>the</w:t>
      </w:r>
      <w:r w:rsidRPr="00AE13A6">
        <w:rPr>
          <w:rFonts w:ascii="Times New Roman" w:hAnsi="Times New Roman" w:cs="Times New Roman"/>
          <w:sz w:val="24"/>
          <w:szCs w:val="24"/>
        </w:rPr>
        <w:t xml:space="preserve"> Settlement, as a package, benefits </w:t>
      </w:r>
      <w:r w:rsidRPr="00AE13A6" w:rsidR="00EF3658">
        <w:rPr>
          <w:rFonts w:ascii="Times New Roman" w:hAnsi="Times New Roman" w:cs="Times New Roman"/>
          <w:sz w:val="24"/>
          <w:szCs w:val="24"/>
        </w:rPr>
        <w:t>consumers,</w:t>
      </w:r>
      <w:r w:rsidRPr="00AE13A6">
        <w:rPr>
          <w:rFonts w:ascii="Times New Roman" w:hAnsi="Times New Roman" w:cs="Times New Roman"/>
          <w:sz w:val="24"/>
          <w:szCs w:val="24"/>
        </w:rPr>
        <w:t xml:space="preserve"> and the public interest.</w:t>
      </w:r>
      <w:r>
        <w:rPr>
          <w:rStyle w:val="FootnoteReference"/>
          <w:rFonts w:ascii="Times New Roman" w:hAnsi="Times New Roman" w:cs="Times New Roman"/>
          <w:sz w:val="24"/>
          <w:szCs w:val="24"/>
        </w:rPr>
        <w:footnoteReference w:id="8"/>
      </w:r>
      <w:r w:rsidRPr="00AE13A6">
        <w:rPr>
          <w:rFonts w:ascii="Times New Roman" w:hAnsi="Times New Roman" w:cs="Times New Roman"/>
          <w:sz w:val="24"/>
          <w:szCs w:val="24"/>
        </w:rPr>
        <w:t xml:space="preserve"> They are wrong. </w:t>
      </w:r>
    </w:p>
    <w:p w:rsidR="00AE13A6" w:rsidP="00AE13A6" w14:paraId="6C869BC3" w14:textId="06DF6DC4">
      <w:pPr>
        <w:pStyle w:val="NoSpacing"/>
        <w:spacing w:line="480" w:lineRule="auto"/>
        <w:ind w:firstLine="720"/>
        <w:rPr>
          <w:rFonts w:ascii="Times New Roman" w:hAnsi="Times New Roman" w:cs="Times New Roman"/>
          <w:sz w:val="24"/>
          <w:szCs w:val="24"/>
        </w:rPr>
      </w:pPr>
      <w:r w:rsidRPr="00AE13A6">
        <w:rPr>
          <w:rFonts w:ascii="Times New Roman" w:hAnsi="Times New Roman" w:cs="Times New Roman"/>
          <w:sz w:val="24"/>
          <w:szCs w:val="24"/>
        </w:rPr>
        <w:t>Under Ohio law, R.C. 4929.05 (A)(3)</w:t>
      </w:r>
      <w:r>
        <w:rPr>
          <w:rFonts w:ascii="Times New Roman" w:hAnsi="Times New Roman" w:cs="Times New Roman"/>
          <w:sz w:val="24"/>
          <w:szCs w:val="24"/>
        </w:rPr>
        <w:t xml:space="preserve"> and R.C. 4929.11</w:t>
      </w:r>
      <w:r w:rsidR="00B71708">
        <w:rPr>
          <w:rFonts w:ascii="Times New Roman" w:hAnsi="Times New Roman" w:cs="Times New Roman"/>
          <w:sz w:val="24"/>
          <w:szCs w:val="24"/>
        </w:rPr>
        <w:t>1(C)</w:t>
      </w:r>
      <w:r w:rsidRPr="00AE13A6">
        <w:rPr>
          <w:rFonts w:ascii="Times New Roman" w:hAnsi="Times New Roman" w:cs="Times New Roman"/>
          <w:sz w:val="24"/>
          <w:szCs w:val="24"/>
        </w:rPr>
        <w:t xml:space="preserve">, the PUCO </w:t>
      </w:r>
      <w:r w:rsidRPr="00AE13A6">
        <w:rPr>
          <w:rFonts w:ascii="Times New Roman" w:hAnsi="Times New Roman" w:cs="Times New Roman"/>
          <w:b/>
          <w:bCs/>
          <w:sz w:val="24"/>
          <w:szCs w:val="24"/>
          <w:u w:val="single"/>
        </w:rPr>
        <w:t>must find</w:t>
      </w:r>
      <w:r w:rsidRPr="00AE13A6">
        <w:rPr>
          <w:rFonts w:ascii="Times New Roman" w:hAnsi="Times New Roman" w:cs="Times New Roman"/>
          <w:sz w:val="24"/>
          <w:szCs w:val="24"/>
        </w:rPr>
        <w:t xml:space="preserve"> that </w:t>
      </w:r>
      <w:r w:rsidR="009976DC">
        <w:rPr>
          <w:rFonts w:ascii="Times New Roman" w:hAnsi="Times New Roman" w:cs="Times New Roman"/>
          <w:sz w:val="24"/>
          <w:szCs w:val="24"/>
        </w:rPr>
        <w:t>capital expenditure programs (“CEPs”)</w:t>
      </w:r>
      <w:r w:rsidR="007C7889">
        <w:rPr>
          <w:rFonts w:ascii="Times New Roman" w:hAnsi="Times New Roman" w:cs="Times New Roman"/>
          <w:sz w:val="24"/>
          <w:szCs w:val="24"/>
        </w:rPr>
        <w:t xml:space="preserve"> and </w:t>
      </w:r>
      <w:r w:rsidRPr="00AE13A6">
        <w:rPr>
          <w:rFonts w:ascii="Times New Roman" w:hAnsi="Times New Roman" w:cs="Times New Roman"/>
          <w:sz w:val="24"/>
          <w:szCs w:val="24"/>
        </w:rPr>
        <w:t>alternative rate plans are “just and reasonable”</w:t>
      </w:r>
      <w:r w:rsidR="00D07445">
        <w:rPr>
          <w:rFonts w:ascii="Times New Roman" w:hAnsi="Times New Roman" w:cs="Times New Roman"/>
          <w:sz w:val="24"/>
          <w:szCs w:val="24"/>
        </w:rPr>
        <w:t xml:space="preserve"> (emphasis added).</w:t>
      </w:r>
      <w:r w:rsidRPr="00AE13A6">
        <w:rPr>
          <w:rFonts w:ascii="Times New Roman" w:hAnsi="Times New Roman" w:cs="Times New Roman"/>
          <w:sz w:val="24"/>
          <w:szCs w:val="24"/>
        </w:rPr>
        <w:t xml:space="preserve"> </w:t>
      </w:r>
      <w:r w:rsidR="000E282F">
        <w:rPr>
          <w:rFonts w:ascii="Times New Roman" w:hAnsi="Times New Roman" w:cs="Times New Roman"/>
          <w:sz w:val="24"/>
          <w:szCs w:val="24"/>
        </w:rPr>
        <w:t xml:space="preserve">The PUCO also has a duty under R.C. 4905.22 </w:t>
      </w:r>
      <w:r w:rsidR="003664F4">
        <w:rPr>
          <w:rFonts w:ascii="Times New Roman" w:hAnsi="Times New Roman" w:cs="Times New Roman"/>
          <w:sz w:val="24"/>
          <w:szCs w:val="24"/>
        </w:rPr>
        <w:t xml:space="preserve">to require </w:t>
      </w:r>
      <w:r w:rsidR="00450106">
        <w:rPr>
          <w:rFonts w:ascii="Times New Roman" w:hAnsi="Times New Roman" w:cs="Times New Roman"/>
          <w:sz w:val="24"/>
          <w:szCs w:val="24"/>
        </w:rPr>
        <w:t xml:space="preserve">Dominion, a regulated utility, to provide </w:t>
      </w:r>
      <w:r w:rsidR="003664F4">
        <w:rPr>
          <w:rFonts w:ascii="Times New Roman" w:hAnsi="Times New Roman" w:cs="Times New Roman"/>
          <w:sz w:val="24"/>
          <w:szCs w:val="24"/>
        </w:rPr>
        <w:t xml:space="preserve">necessary and adequate services for just and reasonable charges. </w:t>
      </w:r>
      <w:r w:rsidR="00891E2F">
        <w:rPr>
          <w:rFonts w:ascii="Times New Roman" w:hAnsi="Times New Roman" w:cs="Times New Roman"/>
          <w:sz w:val="24"/>
          <w:szCs w:val="24"/>
        </w:rPr>
        <w:t>Consumers should not be made to pay more</w:t>
      </w:r>
      <w:r w:rsidRPr="00AE13A6">
        <w:rPr>
          <w:rFonts w:ascii="Times New Roman" w:hAnsi="Times New Roman" w:cs="Times New Roman"/>
          <w:sz w:val="24"/>
          <w:szCs w:val="24"/>
        </w:rPr>
        <w:t xml:space="preserve"> for CEP </w:t>
      </w:r>
      <w:r>
        <w:rPr>
          <w:rFonts w:ascii="Times New Roman" w:hAnsi="Times New Roman" w:cs="Times New Roman"/>
          <w:sz w:val="24"/>
          <w:szCs w:val="24"/>
        </w:rPr>
        <w:t xml:space="preserve">investments </w:t>
      </w:r>
      <w:r w:rsidR="0030336B">
        <w:rPr>
          <w:rFonts w:ascii="Times New Roman" w:hAnsi="Times New Roman" w:cs="Times New Roman"/>
          <w:sz w:val="24"/>
          <w:szCs w:val="24"/>
        </w:rPr>
        <w:t xml:space="preserve">solely </w:t>
      </w:r>
      <w:r w:rsidRPr="00AE13A6">
        <w:rPr>
          <w:rFonts w:ascii="Times New Roman" w:hAnsi="Times New Roman" w:cs="Times New Roman"/>
          <w:sz w:val="24"/>
          <w:szCs w:val="24"/>
        </w:rPr>
        <w:t xml:space="preserve">due to </w:t>
      </w:r>
      <w:r w:rsidR="0065490C">
        <w:rPr>
          <w:rFonts w:ascii="Times New Roman" w:hAnsi="Times New Roman" w:cs="Times New Roman"/>
          <w:sz w:val="24"/>
          <w:szCs w:val="24"/>
        </w:rPr>
        <w:t xml:space="preserve">the </w:t>
      </w:r>
      <w:r w:rsidRPr="00AE13A6">
        <w:rPr>
          <w:rFonts w:ascii="Times New Roman" w:hAnsi="Times New Roman" w:cs="Times New Roman"/>
          <w:sz w:val="24"/>
          <w:szCs w:val="24"/>
        </w:rPr>
        <w:t xml:space="preserve">continued use of an out of date and inflated </w:t>
      </w:r>
      <w:r>
        <w:rPr>
          <w:rFonts w:ascii="Times New Roman" w:hAnsi="Times New Roman" w:cs="Times New Roman"/>
          <w:sz w:val="24"/>
          <w:szCs w:val="24"/>
        </w:rPr>
        <w:t xml:space="preserve">rate of return </w:t>
      </w:r>
      <w:r w:rsidRPr="00AE13A6">
        <w:rPr>
          <w:rFonts w:ascii="Times New Roman" w:hAnsi="Times New Roman" w:cs="Times New Roman"/>
          <w:sz w:val="24"/>
          <w:szCs w:val="24"/>
        </w:rPr>
        <w:t>and financial performance incentives that only benefit Dominion’s shareholders.</w:t>
      </w:r>
      <w:r>
        <w:rPr>
          <w:rStyle w:val="FootnoteReference"/>
          <w:rFonts w:ascii="Times New Roman" w:hAnsi="Times New Roman" w:cs="Times New Roman"/>
          <w:sz w:val="24"/>
          <w:szCs w:val="24"/>
        </w:rPr>
        <w:footnoteReference w:id="9"/>
      </w:r>
      <w:r w:rsidR="00AF18D6">
        <w:rPr>
          <w:rFonts w:ascii="Times New Roman" w:hAnsi="Times New Roman" w:cs="Times New Roman"/>
          <w:sz w:val="24"/>
          <w:szCs w:val="24"/>
        </w:rPr>
        <w:t xml:space="preserve"> </w:t>
      </w:r>
    </w:p>
    <w:p w:rsidR="00395203" w:rsidP="00AE13A6" w14:paraId="0782AE79" w14:textId="66489BDF">
      <w:pPr>
        <w:pStyle w:val="NoSpacing"/>
        <w:spacing w:line="480" w:lineRule="auto"/>
        <w:ind w:firstLine="720"/>
        <w:rPr>
          <w:rFonts w:ascii="Times New Roman" w:hAnsi="Times New Roman" w:cs="Times New Roman"/>
          <w:sz w:val="24"/>
          <w:szCs w:val="24"/>
        </w:rPr>
      </w:pPr>
      <w:r w:rsidRPr="00AE13A6">
        <w:rPr>
          <w:rFonts w:ascii="Times New Roman" w:hAnsi="Times New Roman" w:cs="Times New Roman"/>
          <w:sz w:val="24"/>
          <w:szCs w:val="24"/>
        </w:rPr>
        <w:t xml:space="preserve">The Settlement calls for continued use of Dominion’s </w:t>
      </w:r>
      <w:r w:rsidR="001F1157">
        <w:rPr>
          <w:rFonts w:ascii="Times New Roman" w:hAnsi="Times New Roman" w:cs="Times New Roman"/>
          <w:sz w:val="24"/>
          <w:szCs w:val="24"/>
        </w:rPr>
        <w:t>rate of return</w:t>
      </w:r>
      <w:r w:rsidRPr="00AE13A6">
        <w:rPr>
          <w:rFonts w:ascii="Times New Roman" w:hAnsi="Times New Roman" w:cs="Times New Roman"/>
          <w:sz w:val="24"/>
          <w:szCs w:val="24"/>
        </w:rPr>
        <w:t xml:space="preserve"> that was set more than 13 years ago and includes an embedded debt rate of 6.5%</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This is</w:t>
      </w:r>
      <w:r w:rsidRPr="00AE13A6">
        <w:rPr>
          <w:rFonts w:ascii="Times New Roman" w:hAnsi="Times New Roman" w:cs="Times New Roman"/>
          <w:sz w:val="24"/>
          <w:szCs w:val="24"/>
        </w:rPr>
        <w:t xml:space="preserve"> despite the fact that Dominion’s current debt rate is only 2.29%.</w:t>
      </w:r>
      <w:r>
        <w:rPr>
          <w:rStyle w:val="FootnoteReference"/>
          <w:rFonts w:ascii="Times New Roman" w:hAnsi="Times New Roman" w:cs="Times New Roman"/>
          <w:sz w:val="24"/>
          <w:szCs w:val="24"/>
        </w:rPr>
        <w:footnoteReference w:id="11"/>
      </w:r>
      <w:r w:rsidRPr="00AE13A6">
        <w:rPr>
          <w:rFonts w:ascii="Times New Roman" w:hAnsi="Times New Roman" w:cs="Times New Roman"/>
          <w:sz w:val="24"/>
          <w:szCs w:val="24"/>
        </w:rPr>
        <w:t xml:space="preserve"> </w:t>
      </w:r>
      <w:r w:rsidR="004F708F">
        <w:rPr>
          <w:rFonts w:ascii="Times New Roman" w:hAnsi="Times New Roman" w:cs="Times New Roman"/>
          <w:sz w:val="24"/>
          <w:szCs w:val="24"/>
        </w:rPr>
        <w:t xml:space="preserve">And it uses a 10.38% return on equity that far exceeds the recent trend in lower equity returns for gas utilities comparable to Dominion. Using </w:t>
      </w:r>
      <w:r w:rsidRPr="00AE13A6" w:rsidR="004F708F">
        <w:rPr>
          <w:rFonts w:ascii="Times New Roman" w:hAnsi="Times New Roman" w:cs="Times New Roman"/>
          <w:sz w:val="24"/>
          <w:szCs w:val="24"/>
        </w:rPr>
        <w:t xml:space="preserve">the outdated </w:t>
      </w:r>
      <w:r w:rsidR="004F708F">
        <w:rPr>
          <w:rFonts w:ascii="Times New Roman" w:hAnsi="Times New Roman" w:cs="Times New Roman"/>
          <w:sz w:val="24"/>
          <w:szCs w:val="24"/>
        </w:rPr>
        <w:t>rate of return,</w:t>
      </w:r>
      <w:r w:rsidRPr="00AE13A6" w:rsidR="004F708F">
        <w:rPr>
          <w:rFonts w:ascii="Times New Roman" w:hAnsi="Times New Roman" w:cs="Times New Roman"/>
          <w:sz w:val="24"/>
          <w:szCs w:val="24"/>
        </w:rPr>
        <w:t xml:space="preserve"> </w:t>
      </w:r>
      <w:r w:rsidR="004F708F">
        <w:rPr>
          <w:rFonts w:ascii="Times New Roman" w:hAnsi="Times New Roman" w:cs="Times New Roman"/>
          <w:sz w:val="24"/>
          <w:szCs w:val="24"/>
        </w:rPr>
        <w:t xml:space="preserve">which includes a cost of debt that is nearly three times Dominion’s actual current cost of debt and that </w:t>
      </w:r>
      <w:r w:rsidRPr="00AE13A6" w:rsidR="004F708F">
        <w:rPr>
          <w:rFonts w:ascii="Times New Roman" w:hAnsi="Times New Roman" w:cs="Times New Roman"/>
          <w:sz w:val="24"/>
          <w:szCs w:val="24"/>
        </w:rPr>
        <w:t>no longer reflects Dominion’s current business climate and risk</w:t>
      </w:r>
      <w:r w:rsidR="00551885">
        <w:rPr>
          <w:rFonts w:ascii="Times New Roman" w:hAnsi="Times New Roman" w:cs="Times New Roman"/>
          <w:sz w:val="24"/>
          <w:szCs w:val="24"/>
        </w:rPr>
        <w:t>,</w:t>
      </w:r>
      <w:r w:rsidRPr="00AE13A6" w:rsidR="004F708F">
        <w:rPr>
          <w:rFonts w:ascii="Times New Roman" w:hAnsi="Times New Roman" w:cs="Times New Roman"/>
          <w:sz w:val="24"/>
          <w:szCs w:val="24"/>
        </w:rPr>
        <w:t xml:space="preserve"> result</w:t>
      </w:r>
      <w:r w:rsidR="004F708F">
        <w:rPr>
          <w:rFonts w:ascii="Times New Roman" w:hAnsi="Times New Roman" w:cs="Times New Roman"/>
          <w:sz w:val="24"/>
          <w:szCs w:val="24"/>
        </w:rPr>
        <w:t>s</w:t>
      </w:r>
      <w:r w:rsidRPr="00AE13A6" w:rsidR="004F708F">
        <w:rPr>
          <w:rFonts w:ascii="Times New Roman" w:hAnsi="Times New Roman" w:cs="Times New Roman"/>
          <w:sz w:val="24"/>
          <w:szCs w:val="24"/>
        </w:rPr>
        <w:t xml:space="preserve"> in </w:t>
      </w:r>
      <w:r w:rsidR="004F708F">
        <w:rPr>
          <w:rFonts w:ascii="Times New Roman" w:hAnsi="Times New Roman" w:cs="Times New Roman"/>
          <w:sz w:val="24"/>
          <w:szCs w:val="24"/>
        </w:rPr>
        <w:t xml:space="preserve">consumers paying an inflated rate of return and much more than they should for </w:t>
      </w:r>
      <w:r w:rsidR="004F708F">
        <w:rPr>
          <w:rFonts w:ascii="Times New Roman" w:hAnsi="Times New Roman" w:cs="Times New Roman"/>
          <w:sz w:val="24"/>
          <w:szCs w:val="24"/>
        </w:rPr>
        <w:t xml:space="preserve">the CEP. </w:t>
      </w:r>
      <w:r w:rsidRPr="00395203">
        <w:rPr>
          <w:rFonts w:ascii="Times New Roman" w:hAnsi="Times New Roman" w:cs="Times New Roman"/>
          <w:sz w:val="24"/>
          <w:szCs w:val="24"/>
        </w:rPr>
        <w:t>This violates t</w:t>
      </w:r>
      <w:r w:rsidRPr="00395203">
        <w:rPr>
          <w:rFonts w:ascii="Times New Roman" w:hAnsi="Times New Roman" w:cs="Times New Roman"/>
          <w:bCs/>
          <w:sz w:val="24"/>
          <w:szCs w:val="24"/>
        </w:rPr>
        <w:t xml:space="preserve">he fundamental regulatory principles regarding rate of return exemplified </w:t>
      </w:r>
      <w:r w:rsidRPr="00395203">
        <w:rPr>
          <w:rFonts w:ascii="Times New Roman" w:hAnsi="Times New Roman" w:cs="Times New Roman"/>
          <w:sz w:val="24"/>
          <w:szCs w:val="24"/>
        </w:rPr>
        <w:t xml:space="preserve">in the </w:t>
      </w:r>
      <w:r w:rsidR="00450106">
        <w:rPr>
          <w:rFonts w:ascii="Times New Roman" w:hAnsi="Times New Roman" w:cs="Times New Roman"/>
          <w:sz w:val="24"/>
          <w:szCs w:val="24"/>
        </w:rPr>
        <w:t xml:space="preserve">U.S. </w:t>
      </w:r>
      <w:r w:rsidRPr="00395203">
        <w:rPr>
          <w:rFonts w:ascii="Times New Roman" w:hAnsi="Times New Roman" w:cs="Times New Roman"/>
          <w:sz w:val="24"/>
          <w:szCs w:val="24"/>
        </w:rPr>
        <w:t xml:space="preserve">Supreme Court’s </w:t>
      </w:r>
      <w:r w:rsidRPr="00395203" w:rsidR="00B36840">
        <w:rPr>
          <w:rFonts w:ascii="Times New Roman" w:hAnsi="Times New Roman" w:cs="Times New Roman"/>
          <w:sz w:val="24"/>
          <w:szCs w:val="24"/>
        </w:rPr>
        <w:t>decision</w:t>
      </w:r>
      <w:r w:rsidRPr="00395203">
        <w:rPr>
          <w:rFonts w:ascii="Times New Roman" w:hAnsi="Times New Roman" w:cs="Times New Roman"/>
          <w:sz w:val="24"/>
          <w:szCs w:val="24"/>
        </w:rPr>
        <w:t xml:space="preserve"> in </w:t>
      </w:r>
      <w:r w:rsidRPr="00395203">
        <w:rPr>
          <w:rFonts w:ascii="Times New Roman" w:hAnsi="Times New Roman" w:cs="Times New Roman"/>
          <w:i/>
          <w:color w:val="000000"/>
          <w:sz w:val="24"/>
          <w:szCs w:val="24"/>
        </w:rPr>
        <w:t>Bluefield</w:t>
      </w:r>
      <w:r w:rsidRPr="00395203">
        <w:rPr>
          <w:rFonts w:ascii="Times New Roman" w:hAnsi="Times New Roman" w:cs="Times New Roman"/>
          <w:color w:val="000000"/>
          <w:sz w:val="24"/>
          <w:szCs w:val="24"/>
        </w:rPr>
        <w:t>.</w:t>
      </w:r>
      <w:r>
        <w:rPr>
          <w:rStyle w:val="FootnoteReference"/>
          <w:rFonts w:ascii="Times New Roman" w:hAnsi="Times New Roman" w:cs="Times New Roman"/>
          <w:sz w:val="24"/>
          <w:szCs w:val="24"/>
        </w:rPr>
        <w:footnoteReference w:id="12"/>
      </w:r>
      <w:r w:rsidR="00AF18D6">
        <w:rPr>
          <w:rFonts w:ascii="Times New Roman" w:hAnsi="Times New Roman" w:cs="Times New Roman"/>
          <w:sz w:val="24"/>
          <w:szCs w:val="24"/>
        </w:rPr>
        <w:t xml:space="preserve"> </w:t>
      </w:r>
    </w:p>
    <w:p w:rsidR="00AE13A6" w:rsidP="00AE13A6" w14:paraId="2A7AE45F" w14:textId="60F21468">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In Case No. 19-468-GA-ALT, n</w:t>
      </w:r>
      <w:r w:rsidRPr="00AE13A6">
        <w:rPr>
          <w:rFonts w:ascii="Times New Roman" w:hAnsi="Times New Roman" w:cs="Times New Roman"/>
          <w:sz w:val="24"/>
          <w:szCs w:val="24"/>
        </w:rPr>
        <w:t xml:space="preserve">either </w:t>
      </w:r>
      <w:r w:rsidR="0065490C">
        <w:rPr>
          <w:rFonts w:ascii="Times New Roman" w:hAnsi="Times New Roman" w:cs="Times New Roman"/>
          <w:sz w:val="24"/>
          <w:szCs w:val="24"/>
        </w:rPr>
        <w:t xml:space="preserve">the </w:t>
      </w:r>
      <w:r w:rsidR="00E3291F">
        <w:rPr>
          <w:rFonts w:ascii="Times New Roman" w:hAnsi="Times New Roman" w:cs="Times New Roman"/>
          <w:sz w:val="24"/>
          <w:szCs w:val="24"/>
        </w:rPr>
        <w:t xml:space="preserve">PUCO </w:t>
      </w:r>
      <w:r w:rsidRPr="00AE13A6">
        <w:rPr>
          <w:rFonts w:ascii="Times New Roman" w:hAnsi="Times New Roman" w:cs="Times New Roman"/>
          <w:sz w:val="24"/>
          <w:szCs w:val="24"/>
        </w:rPr>
        <w:t xml:space="preserve">Staff </w:t>
      </w:r>
      <w:r w:rsidR="00E3291F">
        <w:rPr>
          <w:rFonts w:ascii="Times New Roman" w:hAnsi="Times New Roman" w:cs="Times New Roman"/>
          <w:sz w:val="24"/>
          <w:szCs w:val="24"/>
        </w:rPr>
        <w:t>n</w:t>
      </w:r>
      <w:r w:rsidRPr="00AE13A6">
        <w:rPr>
          <w:rFonts w:ascii="Times New Roman" w:hAnsi="Times New Roman" w:cs="Times New Roman"/>
          <w:sz w:val="24"/>
          <w:szCs w:val="24"/>
        </w:rPr>
        <w:t xml:space="preserve">or Dominion dispute that Dominion’s CEP </w:t>
      </w:r>
      <w:r w:rsidR="001F1157">
        <w:rPr>
          <w:rFonts w:ascii="Times New Roman" w:hAnsi="Times New Roman" w:cs="Times New Roman"/>
          <w:sz w:val="24"/>
          <w:szCs w:val="24"/>
        </w:rPr>
        <w:t>rate of return</w:t>
      </w:r>
      <w:r w:rsidRPr="00AE13A6" w:rsidR="001F1157">
        <w:rPr>
          <w:rFonts w:ascii="Times New Roman" w:hAnsi="Times New Roman" w:cs="Times New Roman"/>
          <w:sz w:val="24"/>
          <w:szCs w:val="24"/>
        </w:rPr>
        <w:t xml:space="preserve"> </w:t>
      </w:r>
      <w:r w:rsidRPr="00AE13A6">
        <w:rPr>
          <w:rFonts w:ascii="Times New Roman" w:hAnsi="Times New Roman" w:cs="Times New Roman"/>
          <w:sz w:val="24"/>
          <w:szCs w:val="24"/>
        </w:rPr>
        <w:t>includes the 6.5% debt rate</w:t>
      </w:r>
      <w:r w:rsidR="0065490C">
        <w:rPr>
          <w:rFonts w:ascii="Times New Roman" w:hAnsi="Times New Roman" w:cs="Times New Roman"/>
          <w:sz w:val="24"/>
          <w:szCs w:val="24"/>
        </w:rPr>
        <w:t xml:space="preserve">, even though </w:t>
      </w:r>
      <w:r w:rsidRPr="00AE13A6">
        <w:rPr>
          <w:rFonts w:ascii="Times New Roman" w:hAnsi="Times New Roman" w:cs="Times New Roman"/>
          <w:sz w:val="24"/>
          <w:szCs w:val="24"/>
        </w:rPr>
        <w:t xml:space="preserve">its actual </w:t>
      </w:r>
      <w:r w:rsidR="0065490C">
        <w:rPr>
          <w:rFonts w:ascii="Times New Roman" w:hAnsi="Times New Roman" w:cs="Times New Roman"/>
          <w:sz w:val="24"/>
          <w:szCs w:val="24"/>
        </w:rPr>
        <w:t xml:space="preserve">debt rate is </w:t>
      </w:r>
      <w:r w:rsidRPr="00AE13A6">
        <w:rPr>
          <w:rFonts w:ascii="Times New Roman" w:hAnsi="Times New Roman" w:cs="Times New Roman"/>
          <w:sz w:val="24"/>
          <w:szCs w:val="24"/>
        </w:rPr>
        <w:t>2.29%</w:t>
      </w:r>
      <w:r w:rsidR="0065490C">
        <w:rPr>
          <w:rFonts w:ascii="Times New Roman" w:hAnsi="Times New Roman" w:cs="Times New Roman"/>
          <w:sz w:val="24"/>
          <w:szCs w:val="24"/>
        </w:rPr>
        <w:t>.</w:t>
      </w:r>
      <w:r w:rsidR="00AF18D6">
        <w:rPr>
          <w:rFonts w:ascii="Times New Roman" w:hAnsi="Times New Roman" w:cs="Times New Roman"/>
          <w:sz w:val="24"/>
          <w:szCs w:val="24"/>
        </w:rPr>
        <w:t xml:space="preserve"> </w:t>
      </w:r>
      <w:r w:rsidR="0065490C">
        <w:rPr>
          <w:rFonts w:ascii="Times New Roman" w:hAnsi="Times New Roman" w:cs="Times New Roman"/>
          <w:sz w:val="24"/>
          <w:szCs w:val="24"/>
        </w:rPr>
        <w:t>Neither do they dispute that</w:t>
      </w:r>
      <w:r w:rsidRPr="00AE13A6">
        <w:rPr>
          <w:rFonts w:ascii="Times New Roman" w:hAnsi="Times New Roman" w:cs="Times New Roman"/>
          <w:sz w:val="24"/>
          <w:szCs w:val="24"/>
        </w:rPr>
        <w:t xml:space="preserve"> its current </w:t>
      </w:r>
      <w:r w:rsidR="001F1157">
        <w:rPr>
          <w:rFonts w:ascii="Times New Roman" w:hAnsi="Times New Roman" w:cs="Times New Roman"/>
          <w:sz w:val="24"/>
          <w:szCs w:val="24"/>
        </w:rPr>
        <w:t>return on equity</w:t>
      </w:r>
      <w:r w:rsidRPr="00AE13A6">
        <w:rPr>
          <w:rFonts w:ascii="Times New Roman" w:hAnsi="Times New Roman" w:cs="Times New Roman"/>
          <w:sz w:val="24"/>
          <w:szCs w:val="24"/>
        </w:rPr>
        <w:t xml:space="preserve"> no longer reflects Dominion’s current business climate or risk.</w:t>
      </w:r>
      <w:r>
        <w:rPr>
          <w:rStyle w:val="FootnoteReference"/>
          <w:rFonts w:ascii="Times New Roman" w:hAnsi="Times New Roman" w:cs="Times New Roman"/>
          <w:sz w:val="24"/>
          <w:szCs w:val="24"/>
        </w:rPr>
        <w:footnoteReference w:id="13"/>
      </w:r>
      <w:r w:rsidR="00221231">
        <w:rPr>
          <w:rFonts w:ascii="Times New Roman" w:hAnsi="Times New Roman" w:cs="Times New Roman"/>
          <w:sz w:val="24"/>
          <w:szCs w:val="24"/>
        </w:rPr>
        <w:t xml:space="preserve"> PUCO Staff and Dominion did not challenge OCC witness </w:t>
      </w:r>
      <w:r w:rsidRPr="00AE13A6" w:rsidR="00221231">
        <w:rPr>
          <w:rFonts w:ascii="Times New Roman" w:hAnsi="Times New Roman" w:cs="Times New Roman"/>
          <w:sz w:val="24"/>
          <w:szCs w:val="24"/>
        </w:rPr>
        <w:t xml:space="preserve">Dr. </w:t>
      </w:r>
      <w:r w:rsidR="00221231">
        <w:rPr>
          <w:rFonts w:ascii="Times New Roman" w:hAnsi="Times New Roman" w:cs="Times New Roman"/>
          <w:sz w:val="24"/>
          <w:szCs w:val="24"/>
        </w:rPr>
        <w:t xml:space="preserve">Daniel </w:t>
      </w:r>
      <w:r w:rsidRPr="00AE13A6" w:rsidR="00221231">
        <w:rPr>
          <w:rFonts w:ascii="Times New Roman" w:hAnsi="Times New Roman" w:cs="Times New Roman"/>
          <w:sz w:val="24"/>
          <w:szCs w:val="24"/>
        </w:rPr>
        <w:t>Duann</w:t>
      </w:r>
      <w:r w:rsidR="00221231">
        <w:rPr>
          <w:rFonts w:ascii="Times New Roman" w:hAnsi="Times New Roman" w:cs="Times New Roman"/>
          <w:sz w:val="24"/>
          <w:szCs w:val="24"/>
        </w:rPr>
        <w:t>’s testimony through cross examination and they did not offer witnesses disputing Dr. Duann’s assertions and calculations.</w:t>
      </w:r>
      <w:r w:rsidR="00A40748">
        <w:rPr>
          <w:rFonts w:ascii="Times New Roman" w:hAnsi="Times New Roman" w:cs="Times New Roman"/>
          <w:sz w:val="24"/>
          <w:szCs w:val="24"/>
        </w:rPr>
        <w:t xml:space="preserve"> </w:t>
      </w:r>
      <w:r w:rsidR="00221231">
        <w:rPr>
          <w:rFonts w:ascii="Times New Roman" w:hAnsi="Times New Roman" w:cs="Times New Roman"/>
          <w:sz w:val="24"/>
          <w:szCs w:val="24"/>
        </w:rPr>
        <w:t>Dr. Duann demonstrated</w:t>
      </w:r>
      <w:r w:rsidRPr="001F1157" w:rsidR="00221231">
        <w:rPr>
          <w:rFonts w:ascii="Times New Roman" w:hAnsi="Times New Roman" w:cs="Times New Roman"/>
          <w:sz w:val="24"/>
          <w:szCs w:val="24"/>
        </w:rPr>
        <w:t>—</w:t>
      </w:r>
      <w:r w:rsidR="00221231">
        <w:rPr>
          <w:rFonts w:ascii="Times New Roman" w:hAnsi="Times New Roman" w:cs="Times New Roman"/>
          <w:sz w:val="24"/>
          <w:szCs w:val="24"/>
        </w:rPr>
        <w:t>w</w:t>
      </w:r>
      <w:r w:rsidRPr="00AE13A6" w:rsidR="00221231">
        <w:rPr>
          <w:rFonts w:ascii="Times New Roman" w:hAnsi="Times New Roman" w:cs="Times New Roman"/>
          <w:sz w:val="24"/>
          <w:szCs w:val="24"/>
        </w:rPr>
        <w:t>ithout challenge</w:t>
      </w:r>
      <w:r w:rsidRPr="00395203" w:rsidR="00221231">
        <w:rPr>
          <w:rFonts w:ascii="Times New Roman" w:hAnsi="Times New Roman" w:cs="Times New Roman"/>
          <w:sz w:val="24"/>
          <w:szCs w:val="24"/>
        </w:rPr>
        <w:t>—</w:t>
      </w:r>
      <w:r w:rsidRPr="00AE13A6" w:rsidR="00221231">
        <w:rPr>
          <w:rFonts w:ascii="Times New Roman" w:hAnsi="Times New Roman" w:cs="Times New Roman"/>
          <w:sz w:val="24"/>
          <w:szCs w:val="24"/>
        </w:rPr>
        <w:t xml:space="preserve">that Dominion’s </w:t>
      </w:r>
      <w:r w:rsidR="00221231">
        <w:rPr>
          <w:rFonts w:ascii="Times New Roman" w:hAnsi="Times New Roman" w:cs="Times New Roman"/>
          <w:sz w:val="24"/>
          <w:szCs w:val="24"/>
        </w:rPr>
        <w:t>rate of return</w:t>
      </w:r>
      <w:r w:rsidRPr="00AE13A6" w:rsidR="00221231">
        <w:rPr>
          <w:rFonts w:ascii="Times New Roman" w:hAnsi="Times New Roman" w:cs="Times New Roman"/>
          <w:sz w:val="24"/>
          <w:szCs w:val="24"/>
        </w:rPr>
        <w:t xml:space="preserve"> set in its last rate case more than 13 years ago (Case No. 07-829-GA-AIR) includes an embedded 6.5% cost of debt and an out of date and inflated </w:t>
      </w:r>
      <w:r w:rsidR="00221231">
        <w:rPr>
          <w:rFonts w:ascii="Times New Roman" w:hAnsi="Times New Roman" w:cs="Times New Roman"/>
          <w:sz w:val="24"/>
          <w:szCs w:val="24"/>
        </w:rPr>
        <w:t>10.38% return on equity</w:t>
      </w:r>
      <w:r w:rsidRPr="00AE13A6" w:rsidR="00221231">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AF18D6">
        <w:rPr>
          <w:rFonts w:ascii="Times New Roman" w:hAnsi="Times New Roman" w:cs="Times New Roman"/>
          <w:sz w:val="24"/>
          <w:szCs w:val="24"/>
        </w:rPr>
        <w:t xml:space="preserve"> </w:t>
      </w:r>
      <w:r w:rsidRPr="00AE13A6">
        <w:rPr>
          <w:rFonts w:ascii="Times New Roman" w:hAnsi="Times New Roman" w:cs="Times New Roman"/>
          <w:sz w:val="24"/>
          <w:szCs w:val="24"/>
        </w:rPr>
        <w:t xml:space="preserve">He </w:t>
      </w:r>
      <w:r w:rsidR="00395203">
        <w:rPr>
          <w:rFonts w:ascii="Times New Roman" w:hAnsi="Times New Roman" w:cs="Times New Roman"/>
          <w:sz w:val="24"/>
          <w:szCs w:val="24"/>
        </w:rPr>
        <w:t xml:space="preserve">also </w:t>
      </w:r>
      <w:r w:rsidR="009976DC">
        <w:rPr>
          <w:rFonts w:ascii="Times New Roman" w:hAnsi="Times New Roman" w:cs="Times New Roman"/>
          <w:sz w:val="24"/>
          <w:szCs w:val="24"/>
        </w:rPr>
        <w:t>demonstrated</w:t>
      </w:r>
      <w:r w:rsidRPr="00AE13A6">
        <w:rPr>
          <w:rFonts w:ascii="Times New Roman" w:hAnsi="Times New Roman" w:cs="Times New Roman"/>
          <w:sz w:val="24"/>
          <w:szCs w:val="24"/>
        </w:rPr>
        <w:t xml:space="preserve"> that Dominion’s updated </w:t>
      </w:r>
      <w:r w:rsidR="001F1157">
        <w:rPr>
          <w:rFonts w:ascii="Times New Roman" w:hAnsi="Times New Roman" w:cs="Times New Roman"/>
          <w:sz w:val="24"/>
          <w:szCs w:val="24"/>
        </w:rPr>
        <w:t>rate of return</w:t>
      </w:r>
      <w:r w:rsidRPr="00AE13A6" w:rsidR="001F1157">
        <w:rPr>
          <w:rFonts w:ascii="Times New Roman" w:hAnsi="Times New Roman" w:cs="Times New Roman"/>
          <w:sz w:val="24"/>
          <w:szCs w:val="24"/>
        </w:rPr>
        <w:t xml:space="preserve"> </w:t>
      </w:r>
      <w:r w:rsidRPr="00AE13A6">
        <w:rPr>
          <w:rFonts w:ascii="Times New Roman" w:hAnsi="Times New Roman" w:cs="Times New Roman"/>
          <w:sz w:val="24"/>
          <w:szCs w:val="24"/>
        </w:rPr>
        <w:t>should not exceed 7.20%.</w:t>
      </w:r>
      <w:r>
        <w:rPr>
          <w:rStyle w:val="FootnoteReference"/>
          <w:rFonts w:ascii="Times New Roman" w:hAnsi="Times New Roman" w:cs="Times New Roman"/>
          <w:sz w:val="24"/>
          <w:szCs w:val="24"/>
        </w:rPr>
        <w:footnoteReference w:id="15"/>
      </w:r>
      <w:r w:rsidR="00AF18D6">
        <w:rPr>
          <w:rFonts w:ascii="Times New Roman" w:hAnsi="Times New Roman" w:cs="Times New Roman"/>
          <w:sz w:val="24"/>
          <w:szCs w:val="24"/>
        </w:rPr>
        <w:t xml:space="preserve"> </w:t>
      </w:r>
      <w:r w:rsidRPr="00AE13A6">
        <w:rPr>
          <w:rFonts w:ascii="Times New Roman" w:hAnsi="Times New Roman" w:cs="Times New Roman"/>
          <w:sz w:val="24"/>
          <w:szCs w:val="24"/>
        </w:rPr>
        <w:t xml:space="preserve">It is neither just nor reasonable for Dominion to use the </w:t>
      </w:r>
      <w:r w:rsidR="001F1157">
        <w:rPr>
          <w:rFonts w:ascii="Times New Roman" w:hAnsi="Times New Roman" w:cs="Times New Roman"/>
          <w:sz w:val="24"/>
          <w:szCs w:val="24"/>
        </w:rPr>
        <w:t>rate of return</w:t>
      </w:r>
      <w:r w:rsidRPr="00AE13A6" w:rsidR="001F1157">
        <w:rPr>
          <w:rFonts w:ascii="Times New Roman" w:hAnsi="Times New Roman" w:cs="Times New Roman"/>
          <w:sz w:val="24"/>
          <w:szCs w:val="24"/>
        </w:rPr>
        <w:t xml:space="preserve"> </w:t>
      </w:r>
      <w:r w:rsidRPr="00AE13A6">
        <w:rPr>
          <w:rFonts w:ascii="Times New Roman" w:hAnsi="Times New Roman" w:cs="Times New Roman"/>
          <w:sz w:val="24"/>
          <w:szCs w:val="24"/>
        </w:rPr>
        <w:t xml:space="preserve">set more than 13 years ago </w:t>
      </w:r>
      <w:r w:rsidR="00B36840">
        <w:rPr>
          <w:rFonts w:ascii="Times New Roman" w:hAnsi="Times New Roman" w:cs="Times New Roman"/>
          <w:sz w:val="24"/>
          <w:szCs w:val="24"/>
        </w:rPr>
        <w:t xml:space="preserve">to charge consumers for </w:t>
      </w:r>
      <w:r w:rsidR="00395203">
        <w:rPr>
          <w:rFonts w:ascii="Times New Roman" w:hAnsi="Times New Roman" w:cs="Times New Roman"/>
          <w:sz w:val="24"/>
          <w:szCs w:val="24"/>
        </w:rPr>
        <w:t>current</w:t>
      </w:r>
      <w:r w:rsidRPr="00AE13A6">
        <w:rPr>
          <w:rFonts w:ascii="Times New Roman" w:hAnsi="Times New Roman" w:cs="Times New Roman"/>
          <w:sz w:val="24"/>
          <w:szCs w:val="24"/>
        </w:rPr>
        <w:t xml:space="preserve"> CEP </w:t>
      </w:r>
      <w:r w:rsidR="00395203">
        <w:rPr>
          <w:rFonts w:ascii="Times New Roman" w:hAnsi="Times New Roman" w:cs="Times New Roman"/>
          <w:sz w:val="24"/>
          <w:szCs w:val="24"/>
        </w:rPr>
        <w:t>charges</w:t>
      </w:r>
      <w:r w:rsidR="00B36840">
        <w:rPr>
          <w:rFonts w:ascii="Times New Roman" w:hAnsi="Times New Roman" w:cs="Times New Roman"/>
          <w:sz w:val="24"/>
          <w:szCs w:val="24"/>
        </w:rPr>
        <w:t>.</w:t>
      </w:r>
    </w:p>
    <w:p w:rsidR="001D5030" w:rsidP="00AE13A6" w14:paraId="02DE46D9" w14:textId="2D4F578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Dominion</w:t>
      </w:r>
      <w:r w:rsidR="00A70848">
        <w:rPr>
          <w:rFonts w:ascii="Times New Roman" w:hAnsi="Times New Roman" w:cs="Times New Roman"/>
          <w:sz w:val="24"/>
          <w:szCs w:val="24"/>
        </w:rPr>
        <w:t xml:space="preserve"> </w:t>
      </w:r>
      <w:r>
        <w:rPr>
          <w:rFonts w:ascii="Times New Roman" w:hAnsi="Times New Roman" w:cs="Times New Roman"/>
          <w:sz w:val="24"/>
          <w:szCs w:val="24"/>
        </w:rPr>
        <w:t>make</w:t>
      </w:r>
      <w:r w:rsidR="003563A1">
        <w:rPr>
          <w:rFonts w:ascii="Times New Roman" w:hAnsi="Times New Roman" w:cs="Times New Roman"/>
          <w:sz w:val="24"/>
          <w:szCs w:val="24"/>
        </w:rPr>
        <w:t>s</w:t>
      </w:r>
      <w:r>
        <w:rPr>
          <w:rFonts w:ascii="Times New Roman" w:hAnsi="Times New Roman" w:cs="Times New Roman"/>
          <w:sz w:val="24"/>
          <w:szCs w:val="24"/>
        </w:rPr>
        <w:t xml:space="preserve"> several </w:t>
      </w:r>
      <w:r w:rsidR="009976DC">
        <w:rPr>
          <w:rFonts w:ascii="Times New Roman" w:hAnsi="Times New Roman" w:cs="Times New Roman"/>
          <w:sz w:val="24"/>
          <w:szCs w:val="24"/>
        </w:rPr>
        <w:t xml:space="preserve">non-persuasive </w:t>
      </w:r>
      <w:r>
        <w:rPr>
          <w:rFonts w:ascii="Times New Roman" w:hAnsi="Times New Roman" w:cs="Times New Roman"/>
          <w:sz w:val="24"/>
          <w:szCs w:val="24"/>
        </w:rPr>
        <w:t>arguments that the Settlement benefits consumers.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First, Dominion argues that its agreement to prospectively exclude capitalized costs associated with </w:t>
      </w:r>
      <w:r w:rsidR="005144FA">
        <w:rPr>
          <w:rFonts w:ascii="Times New Roman" w:hAnsi="Times New Roman" w:cs="Times New Roman"/>
          <w:sz w:val="24"/>
          <w:szCs w:val="24"/>
        </w:rPr>
        <w:t>its Long-Term Incentive Program (“LTIP”)</w:t>
      </w:r>
      <w:r>
        <w:rPr>
          <w:rFonts w:ascii="Times New Roman" w:hAnsi="Times New Roman" w:cs="Times New Roman"/>
          <w:sz w:val="24"/>
          <w:szCs w:val="24"/>
        </w:rPr>
        <w:t xml:space="preserve"> and </w:t>
      </w:r>
      <w:r w:rsidR="00AD352B">
        <w:rPr>
          <w:rFonts w:ascii="Times New Roman" w:hAnsi="Times New Roman" w:cs="Times New Roman"/>
          <w:sz w:val="24"/>
          <w:szCs w:val="24"/>
        </w:rPr>
        <w:t xml:space="preserve">its Leadership </w:t>
      </w:r>
      <w:r w:rsidR="004A708C">
        <w:rPr>
          <w:rFonts w:ascii="Times New Roman" w:hAnsi="Times New Roman" w:cs="Times New Roman"/>
          <w:sz w:val="24"/>
          <w:szCs w:val="24"/>
        </w:rPr>
        <w:t>Incentive</w:t>
      </w:r>
      <w:r w:rsidR="00AD352B">
        <w:rPr>
          <w:rFonts w:ascii="Times New Roman" w:hAnsi="Times New Roman" w:cs="Times New Roman"/>
          <w:sz w:val="24"/>
          <w:szCs w:val="24"/>
        </w:rPr>
        <w:t xml:space="preserve"> P</w:t>
      </w:r>
      <w:r w:rsidR="004A708C">
        <w:rPr>
          <w:rFonts w:ascii="Times New Roman" w:hAnsi="Times New Roman" w:cs="Times New Roman"/>
          <w:sz w:val="24"/>
          <w:szCs w:val="24"/>
        </w:rPr>
        <w:t>lan (“</w:t>
      </w:r>
      <w:r w:rsidRPr="004A708C">
        <w:rPr>
          <w:rFonts w:ascii="Times New Roman" w:hAnsi="Times New Roman" w:cs="Times New Roman"/>
          <w:sz w:val="24"/>
          <w:szCs w:val="24"/>
        </w:rPr>
        <w:t>LIP</w:t>
      </w:r>
      <w:r w:rsidR="004A708C">
        <w:rPr>
          <w:rFonts w:ascii="Times New Roman" w:hAnsi="Times New Roman" w:cs="Times New Roman"/>
          <w:sz w:val="24"/>
          <w:szCs w:val="24"/>
        </w:rPr>
        <w:t>”)</w:t>
      </w:r>
      <w:r>
        <w:rPr>
          <w:rFonts w:ascii="Times New Roman" w:hAnsi="Times New Roman" w:cs="Times New Roman"/>
          <w:sz w:val="24"/>
          <w:szCs w:val="24"/>
        </w:rPr>
        <w:t xml:space="preserve"> are benefits of the Settlement.</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00E737D5">
        <w:rPr>
          <w:rFonts w:ascii="Times New Roman" w:hAnsi="Times New Roman" w:cs="Times New Roman"/>
          <w:sz w:val="24"/>
          <w:szCs w:val="24"/>
        </w:rPr>
        <w:t>Dominion’s agreement to exclude LTIP and LIP is good</w:t>
      </w:r>
      <w:r w:rsidR="0065490C">
        <w:rPr>
          <w:rFonts w:ascii="Times New Roman" w:hAnsi="Times New Roman" w:cs="Times New Roman"/>
          <w:sz w:val="24"/>
          <w:szCs w:val="24"/>
        </w:rPr>
        <w:t>.</w:t>
      </w:r>
      <w:r w:rsidR="00AF18D6">
        <w:rPr>
          <w:rFonts w:ascii="Times New Roman" w:hAnsi="Times New Roman" w:cs="Times New Roman"/>
          <w:sz w:val="24"/>
          <w:szCs w:val="24"/>
        </w:rPr>
        <w:t xml:space="preserve"> </w:t>
      </w:r>
      <w:r w:rsidR="0065490C">
        <w:rPr>
          <w:rFonts w:ascii="Times New Roman" w:hAnsi="Times New Roman" w:cs="Times New Roman"/>
          <w:sz w:val="24"/>
          <w:szCs w:val="24"/>
        </w:rPr>
        <w:t xml:space="preserve">But </w:t>
      </w:r>
      <w:r>
        <w:rPr>
          <w:rFonts w:ascii="Times New Roman" w:hAnsi="Times New Roman" w:cs="Times New Roman"/>
          <w:sz w:val="24"/>
          <w:szCs w:val="24"/>
        </w:rPr>
        <w:t xml:space="preserve">Dominion has not agreed to exclude the </w:t>
      </w:r>
      <w:r w:rsidR="00C8269F">
        <w:rPr>
          <w:rFonts w:ascii="Times New Roman" w:hAnsi="Times New Roman" w:cs="Times New Roman"/>
          <w:sz w:val="24"/>
          <w:szCs w:val="24"/>
        </w:rPr>
        <w:t xml:space="preserve">financial performance incentives built into its </w:t>
      </w:r>
      <w:r w:rsidR="008F4A54">
        <w:rPr>
          <w:rFonts w:ascii="Times New Roman" w:hAnsi="Times New Roman" w:cs="Times New Roman"/>
          <w:sz w:val="24"/>
          <w:szCs w:val="24"/>
        </w:rPr>
        <w:t>Annual Incentive Plan (“AIP”)</w:t>
      </w:r>
      <w:r>
        <w:rPr>
          <w:rFonts w:ascii="Times New Roman" w:hAnsi="Times New Roman" w:cs="Times New Roman"/>
          <w:sz w:val="24"/>
          <w:szCs w:val="24"/>
        </w:rPr>
        <w:t xml:space="preserve">. OCC’s expert Mr. Kerry Adkins explained in his testimony that it is </w:t>
      </w:r>
      <w:r w:rsidR="000208A5">
        <w:rPr>
          <w:rFonts w:ascii="Times New Roman" w:hAnsi="Times New Roman" w:cs="Times New Roman"/>
          <w:sz w:val="24"/>
          <w:szCs w:val="24"/>
        </w:rPr>
        <w:t xml:space="preserve">unconscionable for the PUCO to knowingly permit the financial performance incentives included </w:t>
      </w:r>
      <w:r w:rsidR="00551885">
        <w:rPr>
          <w:rFonts w:ascii="Times New Roman" w:hAnsi="Times New Roman" w:cs="Times New Roman"/>
          <w:sz w:val="24"/>
          <w:szCs w:val="24"/>
        </w:rPr>
        <w:t xml:space="preserve">in </w:t>
      </w:r>
      <w:r w:rsidR="000208A5">
        <w:rPr>
          <w:rFonts w:ascii="Times New Roman" w:hAnsi="Times New Roman" w:cs="Times New Roman"/>
          <w:sz w:val="24"/>
          <w:szCs w:val="24"/>
        </w:rPr>
        <w:t>the AIP to remain in the CEP charges to consumers</w:t>
      </w:r>
      <w:r w:rsidR="00551885">
        <w:rPr>
          <w:rFonts w:ascii="Times New Roman" w:hAnsi="Times New Roman" w:cs="Times New Roman"/>
          <w:sz w:val="24"/>
          <w:szCs w:val="24"/>
        </w:rPr>
        <w:t>.</w:t>
      </w:r>
      <w:r w:rsidR="00792F9F">
        <w:rPr>
          <w:rFonts w:ascii="Times New Roman" w:hAnsi="Times New Roman" w:cs="Times New Roman"/>
          <w:sz w:val="24"/>
          <w:szCs w:val="24"/>
        </w:rPr>
        <w:t xml:space="preserve"> </w:t>
      </w:r>
      <w:r w:rsidR="00551885">
        <w:rPr>
          <w:rFonts w:ascii="Times New Roman" w:hAnsi="Times New Roman" w:cs="Times New Roman"/>
          <w:sz w:val="24"/>
          <w:szCs w:val="24"/>
        </w:rPr>
        <w:t>T</w:t>
      </w:r>
      <w:r w:rsidR="000208A5">
        <w:rPr>
          <w:rFonts w:ascii="Times New Roman" w:hAnsi="Times New Roman" w:cs="Times New Roman"/>
          <w:sz w:val="24"/>
          <w:szCs w:val="24"/>
        </w:rPr>
        <w:t>he financial performance incentives provide no benefit to consumers.</w:t>
      </w:r>
      <w:r w:rsidR="00A40748">
        <w:rPr>
          <w:rFonts w:ascii="Times New Roman" w:hAnsi="Times New Roman" w:cs="Times New Roman"/>
          <w:sz w:val="24"/>
          <w:szCs w:val="24"/>
        </w:rPr>
        <w:t xml:space="preserve"> </w:t>
      </w:r>
      <w:r w:rsidR="000208A5">
        <w:rPr>
          <w:rFonts w:ascii="Times New Roman" w:hAnsi="Times New Roman" w:cs="Times New Roman"/>
          <w:sz w:val="24"/>
          <w:szCs w:val="24"/>
        </w:rPr>
        <w:t>They only benefit Dominion’s shareholders.</w:t>
      </w:r>
      <w:r>
        <w:rPr>
          <w:rStyle w:val="FootnoteReference"/>
          <w:rFonts w:ascii="Times New Roman" w:hAnsi="Times New Roman" w:cs="Times New Roman"/>
          <w:sz w:val="24"/>
          <w:szCs w:val="24"/>
        </w:rPr>
        <w:footnoteReference w:id="18"/>
      </w:r>
      <w:r w:rsidR="000208A5">
        <w:rPr>
          <w:rFonts w:ascii="Times New Roman" w:hAnsi="Times New Roman" w:cs="Times New Roman"/>
          <w:sz w:val="24"/>
          <w:szCs w:val="24"/>
        </w:rPr>
        <w:t xml:space="preserve"> </w:t>
      </w:r>
    </w:p>
    <w:p w:rsidR="00C720B0" w:rsidP="00AE13A6" w14:paraId="6650ECBE" w14:textId="53DCC1C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Dominion lists several other “benefits” of the Settlement</w:t>
      </w:r>
      <w:r w:rsidR="0065490C">
        <w:rPr>
          <w:rFonts w:ascii="Times New Roman" w:hAnsi="Times New Roman" w:cs="Times New Roman"/>
          <w:sz w:val="24"/>
          <w:szCs w:val="24"/>
        </w:rPr>
        <w:t>.</w:t>
      </w:r>
      <w:r w:rsidR="00AF18D6">
        <w:rPr>
          <w:rFonts w:ascii="Times New Roman" w:hAnsi="Times New Roman" w:cs="Times New Roman"/>
          <w:sz w:val="24"/>
          <w:szCs w:val="24"/>
        </w:rPr>
        <w:t xml:space="preserve"> </w:t>
      </w:r>
      <w:r w:rsidR="0065490C">
        <w:rPr>
          <w:rFonts w:ascii="Times New Roman" w:hAnsi="Times New Roman" w:cs="Times New Roman"/>
          <w:sz w:val="24"/>
          <w:szCs w:val="24"/>
        </w:rPr>
        <w:t>B</w:t>
      </w:r>
      <w:r>
        <w:rPr>
          <w:rFonts w:ascii="Times New Roman" w:hAnsi="Times New Roman" w:cs="Times New Roman"/>
          <w:sz w:val="24"/>
          <w:szCs w:val="24"/>
        </w:rPr>
        <w:t>ut these “benefits” would occur regardless of the Settlement.</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First, Dominion claims </w:t>
      </w:r>
      <w:r w:rsidR="0065490C">
        <w:rPr>
          <w:rFonts w:ascii="Times New Roman" w:hAnsi="Times New Roman" w:cs="Times New Roman"/>
          <w:sz w:val="24"/>
          <w:szCs w:val="24"/>
        </w:rPr>
        <w:t xml:space="preserve">that </w:t>
      </w:r>
      <w:r>
        <w:rPr>
          <w:rFonts w:ascii="Times New Roman" w:hAnsi="Times New Roman" w:cs="Times New Roman"/>
          <w:sz w:val="24"/>
          <w:szCs w:val="24"/>
        </w:rPr>
        <w:t xml:space="preserve">a purported benefit </w:t>
      </w:r>
      <w:r w:rsidR="0065490C">
        <w:rPr>
          <w:rFonts w:ascii="Times New Roman" w:hAnsi="Times New Roman" w:cs="Times New Roman"/>
          <w:sz w:val="24"/>
          <w:szCs w:val="24"/>
        </w:rPr>
        <w:t xml:space="preserve">of the </w:t>
      </w:r>
      <w:r>
        <w:rPr>
          <w:rFonts w:ascii="Times New Roman" w:hAnsi="Times New Roman" w:cs="Times New Roman"/>
          <w:sz w:val="24"/>
          <w:szCs w:val="24"/>
        </w:rPr>
        <w:t xml:space="preserve">Settlement is that it adopts Blue Ridge’s Audit Report adjustments and recommendations. But given that </w:t>
      </w:r>
      <w:r w:rsidR="0065490C">
        <w:rPr>
          <w:rFonts w:ascii="Times New Roman" w:hAnsi="Times New Roman" w:cs="Times New Roman"/>
          <w:sz w:val="24"/>
          <w:szCs w:val="24"/>
        </w:rPr>
        <w:t xml:space="preserve">the </w:t>
      </w:r>
      <w:r>
        <w:rPr>
          <w:rFonts w:ascii="Times New Roman" w:hAnsi="Times New Roman" w:cs="Times New Roman"/>
          <w:sz w:val="24"/>
          <w:szCs w:val="24"/>
        </w:rPr>
        <w:t xml:space="preserve">PUCO Staff supported these recommendations, the PUCO would likely adopt them. This is not actually a concession or benefit as Dominion claims. </w:t>
      </w:r>
    </w:p>
    <w:p w:rsidR="00551885" w:rsidP="00AA1F62" w14:paraId="4DC599DB" w14:textId="7777777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Second, Dominion asserts that the Settlement continues to reflect bill-mitigation benefits recognized in the PUCO’s approval of the CEP charge.</w:t>
      </w:r>
      <w:r>
        <w:rPr>
          <w:rStyle w:val="FootnoteReference"/>
          <w:rFonts w:ascii="Times New Roman" w:hAnsi="Times New Roman" w:cs="Times New Roman"/>
          <w:sz w:val="24"/>
          <w:szCs w:val="24"/>
        </w:rPr>
        <w:footnoteReference w:id="20"/>
      </w:r>
      <w:r w:rsidR="00886389">
        <w:rPr>
          <w:rFonts w:ascii="Times New Roman" w:hAnsi="Times New Roman" w:cs="Times New Roman"/>
          <w:sz w:val="24"/>
          <w:szCs w:val="24"/>
        </w:rPr>
        <w:t xml:space="preserve"> </w:t>
      </w:r>
      <w:r>
        <w:rPr>
          <w:rFonts w:ascii="Times New Roman" w:hAnsi="Times New Roman" w:cs="Times New Roman"/>
          <w:sz w:val="24"/>
          <w:szCs w:val="24"/>
        </w:rPr>
        <w:t>Dominion points to the CEP rate caps approved by the PUCO and the fact that the CEP includes a depreciation offset.</w:t>
      </w:r>
      <w:r>
        <w:rPr>
          <w:rStyle w:val="FootnoteReference"/>
          <w:rFonts w:ascii="Times New Roman" w:hAnsi="Times New Roman" w:cs="Times New Roman"/>
          <w:sz w:val="24"/>
          <w:szCs w:val="24"/>
        </w:rPr>
        <w:footnoteReference w:id="21"/>
      </w:r>
      <w:r w:rsidR="00A40748">
        <w:rPr>
          <w:rFonts w:ascii="Times New Roman" w:hAnsi="Times New Roman" w:cs="Times New Roman"/>
          <w:sz w:val="24"/>
          <w:szCs w:val="24"/>
        </w:rPr>
        <w:t xml:space="preserve"> </w:t>
      </w:r>
      <w:r>
        <w:rPr>
          <w:rFonts w:ascii="Times New Roman" w:hAnsi="Times New Roman" w:cs="Times New Roman"/>
          <w:sz w:val="24"/>
          <w:szCs w:val="24"/>
        </w:rPr>
        <w:t xml:space="preserve">But </w:t>
      </w:r>
      <w:r>
        <w:rPr>
          <w:rFonts w:ascii="Times New Roman" w:hAnsi="Times New Roman" w:cs="Times New Roman"/>
          <w:sz w:val="24"/>
          <w:szCs w:val="24"/>
        </w:rPr>
        <w:t>the rate caps (to the extent that they are benefits) arise from the Settlement in the 19-468-GA-ALT case.</w:t>
      </w:r>
      <w:r w:rsidR="00A40748">
        <w:rPr>
          <w:rFonts w:ascii="Times New Roman" w:hAnsi="Times New Roman" w:cs="Times New Roman"/>
          <w:sz w:val="24"/>
          <w:szCs w:val="24"/>
        </w:rPr>
        <w:t xml:space="preserve"> </w:t>
      </w:r>
      <w:r>
        <w:rPr>
          <w:rFonts w:ascii="Times New Roman" w:hAnsi="Times New Roman" w:cs="Times New Roman"/>
          <w:sz w:val="24"/>
          <w:szCs w:val="24"/>
        </w:rPr>
        <w:t xml:space="preserve">Thus, they are not </w:t>
      </w:r>
      <w:r>
        <w:rPr>
          <w:rFonts w:ascii="Times New Roman" w:hAnsi="Times New Roman" w:cs="Times New Roman"/>
          <w:sz w:val="24"/>
          <w:szCs w:val="24"/>
        </w:rPr>
        <w:t xml:space="preserve">the </w:t>
      </w:r>
      <w:r>
        <w:rPr>
          <w:rFonts w:ascii="Times New Roman" w:hAnsi="Times New Roman" w:cs="Times New Roman"/>
          <w:sz w:val="24"/>
          <w:szCs w:val="24"/>
        </w:rPr>
        <w:t>product of the Settlement in this case.</w:t>
      </w:r>
      <w:r w:rsidR="00A40748">
        <w:rPr>
          <w:rFonts w:ascii="Times New Roman" w:hAnsi="Times New Roman" w:cs="Times New Roman"/>
          <w:sz w:val="24"/>
          <w:szCs w:val="24"/>
        </w:rPr>
        <w:t xml:space="preserve"> </w:t>
      </w:r>
    </w:p>
    <w:p w:rsidR="00AA1F62" w:rsidP="00AA1F62" w14:paraId="3A170422" w14:textId="78F5581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D4623B">
        <w:rPr>
          <w:rFonts w:ascii="Times New Roman" w:hAnsi="Times New Roman" w:cs="Times New Roman"/>
          <w:sz w:val="24"/>
          <w:szCs w:val="24"/>
        </w:rPr>
        <w:t xml:space="preserve">egarding the depreciation offset, OCC demonstrated in the 19-468 case that the depreciation offset </w:t>
      </w:r>
      <w:r w:rsidRPr="00D05E18" w:rsidR="00D4623B">
        <w:rPr>
          <w:rFonts w:ascii="Times New Roman" w:hAnsi="Times New Roman" w:cs="Times New Roman"/>
          <w:sz w:val="24"/>
          <w:szCs w:val="24"/>
        </w:rPr>
        <w:t>merely reflects what would have happened if</w:t>
      </w:r>
      <w:r w:rsidR="00D4623B">
        <w:rPr>
          <w:rFonts w:ascii="Times New Roman" w:hAnsi="Times New Roman" w:cs="Times New Roman"/>
          <w:sz w:val="24"/>
          <w:szCs w:val="24"/>
        </w:rPr>
        <w:t xml:space="preserve"> </w:t>
      </w:r>
      <w:r w:rsidRPr="00D05E18" w:rsidR="00D4623B">
        <w:rPr>
          <w:rFonts w:ascii="Times New Roman" w:hAnsi="Times New Roman" w:cs="Times New Roman"/>
          <w:sz w:val="24"/>
          <w:szCs w:val="24"/>
        </w:rPr>
        <w:t xml:space="preserve">Dominion had filed to </w:t>
      </w:r>
      <w:r w:rsidR="00D4623B">
        <w:rPr>
          <w:rFonts w:ascii="Times New Roman" w:hAnsi="Times New Roman" w:cs="Times New Roman"/>
          <w:sz w:val="24"/>
          <w:szCs w:val="24"/>
        </w:rPr>
        <w:t>collect</w:t>
      </w:r>
      <w:r w:rsidRPr="00D05E18" w:rsidR="00D4623B">
        <w:rPr>
          <w:rFonts w:ascii="Times New Roman" w:hAnsi="Times New Roman" w:cs="Times New Roman"/>
          <w:sz w:val="24"/>
          <w:szCs w:val="24"/>
        </w:rPr>
        <w:t xml:space="preserve"> the CEP capital investments in a base rate case </w:t>
      </w:r>
      <w:r w:rsidR="00D4623B">
        <w:rPr>
          <w:rFonts w:ascii="Times New Roman" w:hAnsi="Times New Roman" w:cs="Times New Roman"/>
          <w:sz w:val="24"/>
          <w:szCs w:val="24"/>
        </w:rPr>
        <w:t xml:space="preserve">rather than through the CEP </w:t>
      </w:r>
      <w:r>
        <w:rPr>
          <w:rFonts w:ascii="Times New Roman" w:hAnsi="Times New Roman" w:cs="Times New Roman"/>
          <w:sz w:val="24"/>
          <w:szCs w:val="24"/>
        </w:rPr>
        <w:t>charge</w:t>
      </w:r>
      <w:r w:rsidRPr="00D05E18" w:rsidR="00D4623B">
        <w:rPr>
          <w:rFonts w:ascii="Times New Roman" w:hAnsi="Times New Roman" w:cs="Times New Roman"/>
          <w:sz w:val="24"/>
          <w:szCs w:val="24"/>
        </w:rPr>
        <w:t xml:space="preserve">. </w:t>
      </w:r>
      <w:r>
        <w:rPr>
          <w:rFonts w:ascii="Times New Roman" w:hAnsi="Times New Roman" w:cs="Times New Roman"/>
          <w:sz w:val="24"/>
          <w:szCs w:val="24"/>
        </w:rPr>
        <w:t xml:space="preserve">Not </w:t>
      </w:r>
      <w:r w:rsidRPr="00D05E18" w:rsidR="00D4623B">
        <w:rPr>
          <w:rFonts w:ascii="Times New Roman" w:hAnsi="Times New Roman" w:cs="Times New Roman"/>
          <w:sz w:val="24"/>
          <w:szCs w:val="24"/>
        </w:rPr>
        <w:t>making the offset would have violated important regulatory principles and</w:t>
      </w:r>
      <w:r w:rsidR="00D4623B">
        <w:rPr>
          <w:rFonts w:ascii="Times New Roman" w:hAnsi="Times New Roman" w:cs="Times New Roman"/>
          <w:sz w:val="24"/>
          <w:szCs w:val="24"/>
        </w:rPr>
        <w:t xml:space="preserve"> would have</w:t>
      </w:r>
      <w:r w:rsidRPr="00D05E18" w:rsidR="00D4623B">
        <w:rPr>
          <w:rFonts w:ascii="Times New Roman" w:hAnsi="Times New Roman" w:cs="Times New Roman"/>
          <w:sz w:val="24"/>
          <w:szCs w:val="24"/>
        </w:rPr>
        <w:t xml:space="preserve"> </w:t>
      </w:r>
      <w:r w:rsidRPr="006F14CF" w:rsidR="00D4623B">
        <w:rPr>
          <w:rFonts w:ascii="Times New Roman" w:hAnsi="Times New Roman" w:cs="Times New Roman"/>
          <w:sz w:val="24"/>
          <w:szCs w:val="24"/>
        </w:rPr>
        <w:t xml:space="preserve">resulted in </w:t>
      </w:r>
      <w:r w:rsidR="00D4623B">
        <w:rPr>
          <w:rFonts w:ascii="Times New Roman" w:hAnsi="Times New Roman" w:cs="Times New Roman"/>
          <w:sz w:val="24"/>
          <w:szCs w:val="24"/>
        </w:rPr>
        <w:t xml:space="preserve">yet </w:t>
      </w:r>
      <w:r w:rsidRPr="006F14CF" w:rsidR="00D4623B">
        <w:rPr>
          <w:rFonts w:ascii="Times New Roman" w:hAnsi="Times New Roman" w:cs="Times New Roman"/>
          <w:sz w:val="24"/>
          <w:szCs w:val="24"/>
        </w:rPr>
        <w:t>an</w:t>
      </w:r>
      <w:r w:rsidR="00D4623B">
        <w:rPr>
          <w:rFonts w:ascii="Times New Roman" w:hAnsi="Times New Roman" w:cs="Times New Roman"/>
          <w:sz w:val="24"/>
          <w:szCs w:val="24"/>
        </w:rPr>
        <w:t>other</w:t>
      </w:r>
      <w:r w:rsidRPr="006F14CF" w:rsidR="00D4623B">
        <w:rPr>
          <w:rFonts w:ascii="Times New Roman" w:hAnsi="Times New Roman" w:cs="Times New Roman"/>
          <w:sz w:val="24"/>
          <w:szCs w:val="24"/>
        </w:rPr>
        <w:t xml:space="preserve"> undeserved windfall for Dominion</w:t>
      </w:r>
      <w:r w:rsidR="00D4623B">
        <w:rPr>
          <w:rFonts w:ascii="Times New Roman" w:hAnsi="Times New Roman" w:cs="Times New Roman"/>
          <w:sz w:val="24"/>
          <w:szCs w:val="24"/>
        </w:rPr>
        <w:t>.</w:t>
      </w:r>
      <w:r w:rsidR="00A40748">
        <w:rPr>
          <w:rFonts w:ascii="Times New Roman" w:hAnsi="Times New Roman" w:cs="Times New Roman"/>
          <w:sz w:val="24"/>
          <w:szCs w:val="24"/>
        </w:rPr>
        <w:t xml:space="preserve"> </w:t>
      </w:r>
      <w:r w:rsidR="00D4623B">
        <w:rPr>
          <w:rFonts w:ascii="Times New Roman" w:hAnsi="Times New Roman" w:cs="Times New Roman"/>
          <w:sz w:val="24"/>
          <w:szCs w:val="24"/>
        </w:rPr>
        <w:t>Again, however, to the extent that the depreciation offset is viewed as a benefit (seeing how it would have happened anyway in a rate case), it is not a benefit arising from the Settlement in this case.</w:t>
      </w:r>
      <w:r w:rsidR="00A40748">
        <w:rPr>
          <w:rFonts w:ascii="Times New Roman" w:hAnsi="Times New Roman" w:cs="Times New Roman"/>
          <w:sz w:val="24"/>
          <w:szCs w:val="24"/>
        </w:rPr>
        <w:t xml:space="preserve"> </w:t>
      </w:r>
      <w:r w:rsidR="00D4623B">
        <w:rPr>
          <w:rFonts w:ascii="Times New Roman" w:hAnsi="Times New Roman" w:cs="Times New Roman"/>
          <w:sz w:val="24"/>
          <w:szCs w:val="24"/>
        </w:rPr>
        <w:t>Complying with rate caps approved by the PUCO in another case cannot be legitimately claimed as a benefit in this case because Dominion was already required by a PUCO Opinion and Order to adhere to the rate caps.</w:t>
      </w:r>
      <w:r w:rsidR="00A40748">
        <w:rPr>
          <w:rFonts w:ascii="Times New Roman" w:hAnsi="Times New Roman" w:cs="Times New Roman"/>
          <w:sz w:val="24"/>
          <w:szCs w:val="24"/>
        </w:rPr>
        <w:t xml:space="preserve"> </w:t>
      </w:r>
      <w:r w:rsidR="00D4623B">
        <w:rPr>
          <w:rFonts w:ascii="Times New Roman" w:hAnsi="Times New Roman" w:cs="Times New Roman"/>
          <w:sz w:val="24"/>
          <w:szCs w:val="24"/>
        </w:rPr>
        <w:t xml:space="preserve">Complying with a PUCO Order is not a benefit of the Settlement. </w:t>
      </w:r>
    </w:p>
    <w:p w:rsidR="00B13708" w:rsidP="00AE13A6" w14:paraId="0EBF3F6E" w14:textId="1A6E488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Third, Dominion asserts that the </w:t>
      </w:r>
      <w:r w:rsidR="00FB4DEF">
        <w:rPr>
          <w:rFonts w:ascii="Times New Roman" w:hAnsi="Times New Roman" w:cs="Times New Roman"/>
          <w:sz w:val="24"/>
          <w:szCs w:val="24"/>
        </w:rPr>
        <w:t>Settlement</w:t>
      </w:r>
      <w:r>
        <w:rPr>
          <w:rFonts w:ascii="Times New Roman" w:hAnsi="Times New Roman" w:cs="Times New Roman"/>
          <w:sz w:val="24"/>
          <w:szCs w:val="24"/>
        </w:rPr>
        <w:t xml:space="preserve"> continues to support necessary investment in its </w:t>
      </w:r>
      <w:r w:rsidR="00FB4DEF">
        <w:rPr>
          <w:rFonts w:ascii="Times New Roman" w:hAnsi="Times New Roman" w:cs="Times New Roman"/>
          <w:sz w:val="24"/>
          <w:szCs w:val="24"/>
        </w:rPr>
        <w:t>system, which benefits Ohio consumers.</w:t>
      </w:r>
      <w:r>
        <w:rPr>
          <w:rStyle w:val="FootnoteReference"/>
          <w:rFonts w:ascii="Times New Roman" w:hAnsi="Times New Roman" w:cs="Times New Roman"/>
          <w:sz w:val="24"/>
          <w:szCs w:val="24"/>
        </w:rPr>
        <w:footnoteReference w:id="22"/>
      </w:r>
      <w:r w:rsidR="00FB4DEF">
        <w:rPr>
          <w:rFonts w:ascii="Times New Roman" w:hAnsi="Times New Roman" w:cs="Times New Roman"/>
          <w:sz w:val="24"/>
          <w:szCs w:val="24"/>
        </w:rPr>
        <w:t xml:space="preserve"> But again, </w:t>
      </w:r>
      <w:r w:rsidR="00144335">
        <w:rPr>
          <w:rFonts w:ascii="Times New Roman" w:hAnsi="Times New Roman" w:cs="Times New Roman"/>
          <w:sz w:val="24"/>
          <w:szCs w:val="24"/>
        </w:rPr>
        <w:t>this is not a benefit</w:t>
      </w:r>
      <w:r w:rsidR="00551885">
        <w:rPr>
          <w:rFonts w:ascii="Times New Roman" w:hAnsi="Times New Roman" w:cs="Times New Roman"/>
          <w:sz w:val="24"/>
          <w:szCs w:val="24"/>
        </w:rPr>
        <w:t xml:space="preserve"> of the Settlement</w:t>
      </w:r>
      <w:r w:rsidR="00144335">
        <w:rPr>
          <w:rFonts w:ascii="Times New Roman" w:hAnsi="Times New Roman" w:cs="Times New Roman"/>
          <w:sz w:val="24"/>
          <w:szCs w:val="24"/>
        </w:rPr>
        <w:t xml:space="preserve">. Dominion is </w:t>
      </w:r>
      <w:r w:rsidR="00144335">
        <w:rPr>
          <w:rFonts w:ascii="Times New Roman" w:hAnsi="Times New Roman" w:cs="Times New Roman"/>
          <w:i/>
          <w:iCs/>
          <w:sz w:val="24"/>
          <w:szCs w:val="24"/>
        </w:rPr>
        <w:t xml:space="preserve">required </w:t>
      </w:r>
      <w:r w:rsidR="00144335">
        <w:rPr>
          <w:rFonts w:ascii="Times New Roman" w:hAnsi="Times New Roman" w:cs="Times New Roman"/>
          <w:sz w:val="24"/>
          <w:szCs w:val="24"/>
        </w:rPr>
        <w:t>under Ohio law to furnish necessary and adequate facilities</w:t>
      </w:r>
      <w:r w:rsidR="001E6ED9">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001E6ED9">
        <w:rPr>
          <w:rFonts w:ascii="Times New Roman" w:hAnsi="Times New Roman" w:cs="Times New Roman"/>
          <w:sz w:val="24"/>
          <w:szCs w:val="24"/>
        </w:rPr>
        <w:t xml:space="preserve"> And </w:t>
      </w:r>
      <w:r w:rsidR="000121F4">
        <w:rPr>
          <w:rFonts w:ascii="Times New Roman" w:hAnsi="Times New Roman" w:cs="Times New Roman"/>
          <w:sz w:val="24"/>
          <w:szCs w:val="24"/>
        </w:rPr>
        <w:t>c</w:t>
      </w:r>
      <w:r w:rsidR="001E6ED9">
        <w:rPr>
          <w:rFonts w:ascii="Times New Roman" w:hAnsi="Times New Roman" w:cs="Times New Roman"/>
          <w:sz w:val="24"/>
          <w:szCs w:val="24"/>
        </w:rPr>
        <w:t>onsumers would benefit</w:t>
      </w:r>
      <w:r w:rsidRPr="001E6ED9" w:rsidR="001E6ED9">
        <w:rPr>
          <w:rFonts w:ascii="Times New Roman" w:hAnsi="Times New Roman" w:cs="Times New Roman"/>
          <w:sz w:val="24"/>
          <w:szCs w:val="24"/>
        </w:rPr>
        <w:t>—</w:t>
      </w:r>
      <w:r w:rsidR="001E6ED9">
        <w:rPr>
          <w:rFonts w:ascii="Times New Roman" w:hAnsi="Times New Roman" w:cs="Times New Roman"/>
          <w:i/>
          <w:iCs/>
          <w:sz w:val="24"/>
          <w:szCs w:val="24"/>
        </w:rPr>
        <w:t>under law</w:t>
      </w:r>
      <w:r w:rsidRPr="001E6ED9" w:rsidR="001E6ED9">
        <w:rPr>
          <w:rFonts w:ascii="Times New Roman" w:hAnsi="Times New Roman" w:cs="Times New Roman"/>
          <w:i/>
          <w:iCs/>
          <w:sz w:val="24"/>
          <w:szCs w:val="24"/>
        </w:rPr>
        <w:t>—</w:t>
      </w:r>
      <w:r w:rsidR="001E6ED9">
        <w:rPr>
          <w:rFonts w:ascii="Times New Roman" w:hAnsi="Times New Roman" w:cs="Times New Roman"/>
          <w:sz w:val="24"/>
          <w:szCs w:val="24"/>
        </w:rPr>
        <w:t>regardless of w</w:t>
      </w:r>
      <w:r w:rsidR="00337216">
        <w:rPr>
          <w:rFonts w:ascii="Times New Roman" w:hAnsi="Times New Roman" w:cs="Times New Roman"/>
          <w:sz w:val="24"/>
          <w:szCs w:val="24"/>
        </w:rPr>
        <w:t xml:space="preserve">hether they are funded in base rates or the CEP charge. The only difference is that consumers will pay </w:t>
      </w:r>
      <w:r w:rsidR="00337216">
        <w:rPr>
          <w:rFonts w:ascii="Times New Roman" w:hAnsi="Times New Roman" w:cs="Times New Roman"/>
          <w:i/>
          <w:iCs/>
          <w:sz w:val="24"/>
          <w:szCs w:val="24"/>
        </w:rPr>
        <w:t xml:space="preserve">more </w:t>
      </w:r>
      <w:r w:rsidR="00B430DE">
        <w:rPr>
          <w:rFonts w:ascii="Times New Roman" w:hAnsi="Times New Roman" w:cs="Times New Roman"/>
          <w:sz w:val="24"/>
          <w:szCs w:val="24"/>
        </w:rPr>
        <w:t xml:space="preserve">if these </w:t>
      </w:r>
      <w:r>
        <w:rPr>
          <w:rFonts w:ascii="Times New Roman" w:hAnsi="Times New Roman" w:cs="Times New Roman"/>
          <w:sz w:val="24"/>
          <w:szCs w:val="24"/>
        </w:rPr>
        <w:t xml:space="preserve">system investment </w:t>
      </w:r>
      <w:r w:rsidR="00B430DE">
        <w:rPr>
          <w:rFonts w:ascii="Times New Roman" w:hAnsi="Times New Roman" w:cs="Times New Roman"/>
          <w:sz w:val="24"/>
          <w:szCs w:val="24"/>
        </w:rPr>
        <w:t>charges are included in the CEP charge instead of base rates</w:t>
      </w:r>
      <w:r>
        <w:rPr>
          <w:rFonts w:ascii="Times New Roman" w:hAnsi="Times New Roman" w:cs="Times New Roman"/>
          <w:sz w:val="24"/>
          <w:szCs w:val="24"/>
        </w:rPr>
        <w:t>.</w:t>
      </w:r>
      <w:r w:rsidR="00AF18D6">
        <w:rPr>
          <w:rFonts w:ascii="Times New Roman" w:hAnsi="Times New Roman" w:cs="Times New Roman"/>
          <w:sz w:val="24"/>
          <w:szCs w:val="24"/>
        </w:rPr>
        <w:t xml:space="preserve"> </w:t>
      </w:r>
      <w:r>
        <w:rPr>
          <w:rFonts w:ascii="Times New Roman" w:hAnsi="Times New Roman" w:cs="Times New Roman"/>
          <w:sz w:val="24"/>
          <w:szCs w:val="24"/>
        </w:rPr>
        <w:t>This is</w:t>
      </w:r>
      <w:r w:rsidR="00B430DE">
        <w:rPr>
          <w:rFonts w:ascii="Times New Roman" w:hAnsi="Times New Roman" w:cs="Times New Roman"/>
          <w:sz w:val="24"/>
          <w:szCs w:val="24"/>
        </w:rPr>
        <w:t xml:space="preserve"> because of </w:t>
      </w:r>
      <w:r>
        <w:rPr>
          <w:rFonts w:ascii="Times New Roman" w:hAnsi="Times New Roman" w:cs="Times New Roman"/>
          <w:sz w:val="24"/>
          <w:szCs w:val="24"/>
        </w:rPr>
        <w:t>the Settlement’s</w:t>
      </w:r>
      <w:r w:rsidR="00B430DE">
        <w:rPr>
          <w:rFonts w:ascii="Times New Roman" w:hAnsi="Times New Roman" w:cs="Times New Roman"/>
          <w:sz w:val="24"/>
          <w:szCs w:val="24"/>
        </w:rPr>
        <w:t xml:space="preserve"> grossly inflated rate of return and the </w:t>
      </w:r>
      <w:r w:rsidRPr="001B0997" w:rsidR="001B0997">
        <w:rPr>
          <w:rFonts w:ascii="Times New Roman" w:hAnsi="Times New Roman" w:cs="Times New Roman"/>
          <w:sz w:val="24"/>
          <w:szCs w:val="24"/>
        </w:rPr>
        <w:t>financial performance incentives.</w:t>
      </w:r>
      <w:r w:rsidR="008D4001">
        <w:rPr>
          <w:rFonts w:ascii="Times New Roman" w:hAnsi="Times New Roman" w:cs="Times New Roman"/>
          <w:sz w:val="24"/>
          <w:szCs w:val="24"/>
        </w:rPr>
        <w:t xml:space="preserve"> </w:t>
      </w:r>
    </w:p>
    <w:p w:rsidR="000121F4" w:rsidP="00AE13A6" w14:paraId="3CF2683E" w14:textId="13E0C347">
      <w:pPr>
        <w:pStyle w:val="NoSpacing"/>
        <w:spacing w:line="480" w:lineRule="auto"/>
        <w:ind w:firstLine="720"/>
        <w:rPr>
          <w:rFonts w:ascii="Times New Roman" w:hAnsi="Times New Roman" w:cs="Times New Roman"/>
          <w:i/>
          <w:iCs/>
          <w:sz w:val="24"/>
          <w:szCs w:val="24"/>
        </w:rPr>
      </w:pPr>
      <w:r>
        <w:rPr>
          <w:rFonts w:ascii="Times New Roman" w:hAnsi="Times New Roman" w:cs="Times New Roman"/>
          <w:sz w:val="24"/>
          <w:szCs w:val="24"/>
        </w:rPr>
        <w:t>Importantly</w:t>
      </w:r>
      <w:r w:rsidR="008D4001">
        <w:rPr>
          <w:rFonts w:ascii="Times New Roman" w:hAnsi="Times New Roman" w:cs="Times New Roman"/>
          <w:sz w:val="24"/>
          <w:szCs w:val="24"/>
        </w:rPr>
        <w:t xml:space="preserve">, consumers would get the same </w:t>
      </w:r>
      <w:r w:rsidR="00CD1AED">
        <w:rPr>
          <w:rFonts w:ascii="Times New Roman" w:hAnsi="Times New Roman" w:cs="Times New Roman"/>
          <w:sz w:val="24"/>
          <w:szCs w:val="24"/>
        </w:rPr>
        <w:t>purported</w:t>
      </w:r>
      <w:r w:rsidR="008D4001">
        <w:rPr>
          <w:rFonts w:ascii="Times New Roman" w:hAnsi="Times New Roman" w:cs="Times New Roman"/>
          <w:sz w:val="24"/>
          <w:szCs w:val="24"/>
        </w:rPr>
        <w:t xml:space="preserve"> benefits of the CEP charge if </w:t>
      </w:r>
      <w:r w:rsidR="00CD1AED">
        <w:rPr>
          <w:rFonts w:ascii="Times New Roman" w:hAnsi="Times New Roman" w:cs="Times New Roman"/>
          <w:sz w:val="24"/>
          <w:szCs w:val="24"/>
        </w:rPr>
        <w:t>the PUCO adopts OCC’s recommendations</w:t>
      </w:r>
      <w:r>
        <w:rPr>
          <w:rFonts w:ascii="Times New Roman" w:hAnsi="Times New Roman" w:cs="Times New Roman"/>
          <w:sz w:val="24"/>
          <w:szCs w:val="24"/>
        </w:rPr>
        <w:t xml:space="preserve"> at a better price</w:t>
      </w:r>
      <w:r w:rsidR="00CD1AED">
        <w:rPr>
          <w:rFonts w:ascii="Times New Roman" w:hAnsi="Times New Roman" w:cs="Times New Roman"/>
          <w:sz w:val="24"/>
          <w:szCs w:val="24"/>
        </w:rPr>
        <w:t xml:space="preserve">. </w:t>
      </w:r>
      <w:r>
        <w:rPr>
          <w:rFonts w:ascii="Times New Roman" w:hAnsi="Times New Roman" w:cs="Times New Roman"/>
          <w:sz w:val="24"/>
          <w:szCs w:val="24"/>
        </w:rPr>
        <w:t>OCC recommends</w:t>
      </w:r>
      <w:r w:rsidR="001157BD">
        <w:rPr>
          <w:rFonts w:ascii="Times New Roman" w:hAnsi="Times New Roman" w:cs="Times New Roman"/>
          <w:sz w:val="24"/>
          <w:szCs w:val="24"/>
        </w:rPr>
        <w:t xml:space="preserve"> </w:t>
      </w:r>
      <w:r w:rsidR="002E04EA">
        <w:rPr>
          <w:rFonts w:ascii="Times New Roman" w:hAnsi="Times New Roman" w:cs="Times New Roman"/>
          <w:sz w:val="24"/>
          <w:szCs w:val="24"/>
        </w:rPr>
        <w:t>requiring</w:t>
      </w:r>
      <w:r w:rsidR="001157BD">
        <w:rPr>
          <w:rFonts w:ascii="Times New Roman" w:hAnsi="Times New Roman" w:cs="Times New Roman"/>
          <w:sz w:val="24"/>
          <w:szCs w:val="24"/>
        </w:rPr>
        <w:t xml:space="preserve"> Dominion to use a</w:t>
      </w:r>
      <w:r w:rsidR="008D4001">
        <w:rPr>
          <w:rFonts w:ascii="Times New Roman" w:hAnsi="Times New Roman" w:cs="Times New Roman"/>
          <w:sz w:val="24"/>
          <w:szCs w:val="24"/>
        </w:rPr>
        <w:t xml:space="preserve"> rate of return </w:t>
      </w:r>
      <w:r w:rsidR="001157BD">
        <w:rPr>
          <w:rFonts w:ascii="Times New Roman" w:hAnsi="Times New Roman" w:cs="Times New Roman"/>
          <w:sz w:val="24"/>
          <w:szCs w:val="24"/>
        </w:rPr>
        <w:t xml:space="preserve">that </w:t>
      </w:r>
      <w:r w:rsidR="008D4001">
        <w:rPr>
          <w:rFonts w:ascii="Times New Roman" w:hAnsi="Times New Roman" w:cs="Times New Roman"/>
          <w:sz w:val="24"/>
          <w:szCs w:val="24"/>
        </w:rPr>
        <w:t>reflect</w:t>
      </w:r>
      <w:r w:rsidR="001157BD">
        <w:rPr>
          <w:rFonts w:ascii="Times New Roman" w:hAnsi="Times New Roman" w:cs="Times New Roman"/>
          <w:sz w:val="24"/>
          <w:szCs w:val="24"/>
        </w:rPr>
        <w:t>s</w:t>
      </w:r>
      <w:r w:rsidR="008D4001">
        <w:rPr>
          <w:rFonts w:ascii="Times New Roman" w:hAnsi="Times New Roman" w:cs="Times New Roman"/>
          <w:sz w:val="24"/>
          <w:szCs w:val="24"/>
        </w:rPr>
        <w:t xml:space="preserve"> </w:t>
      </w:r>
      <w:r>
        <w:rPr>
          <w:rFonts w:ascii="Times New Roman" w:hAnsi="Times New Roman" w:cs="Times New Roman"/>
          <w:sz w:val="24"/>
          <w:szCs w:val="24"/>
        </w:rPr>
        <w:t>Dominion’s</w:t>
      </w:r>
      <w:r w:rsidR="008D4001">
        <w:rPr>
          <w:rFonts w:ascii="Times New Roman" w:hAnsi="Times New Roman" w:cs="Times New Roman"/>
          <w:sz w:val="24"/>
          <w:szCs w:val="24"/>
        </w:rPr>
        <w:t xml:space="preserve"> actual 2.29% cost of debt </w:t>
      </w:r>
      <w:r w:rsidR="002E04EA">
        <w:rPr>
          <w:rFonts w:ascii="Times New Roman" w:hAnsi="Times New Roman" w:cs="Times New Roman"/>
          <w:sz w:val="24"/>
          <w:szCs w:val="24"/>
        </w:rPr>
        <w:t xml:space="preserve">to set the CEP charge </w:t>
      </w:r>
      <w:r w:rsidR="00B06BE0">
        <w:rPr>
          <w:rFonts w:ascii="Times New Roman" w:hAnsi="Times New Roman" w:cs="Times New Roman"/>
          <w:sz w:val="24"/>
          <w:szCs w:val="24"/>
        </w:rPr>
        <w:t>and</w:t>
      </w:r>
      <w:r w:rsidR="002E04EA">
        <w:rPr>
          <w:rFonts w:ascii="Times New Roman" w:hAnsi="Times New Roman" w:cs="Times New Roman"/>
          <w:sz w:val="24"/>
          <w:szCs w:val="24"/>
        </w:rPr>
        <w:t xml:space="preserve"> </w:t>
      </w:r>
      <w:r w:rsidR="00103F34">
        <w:rPr>
          <w:rFonts w:ascii="Times New Roman" w:hAnsi="Times New Roman" w:cs="Times New Roman"/>
          <w:sz w:val="24"/>
          <w:szCs w:val="24"/>
        </w:rPr>
        <w:t>reset Dominion’s</w:t>
      </w:r>
      <w:r w:rsidR="008D4001">
        <w:rPr>
          <w:rFonts w:ascii="Times New Roman" w:hAnsi="Times New Roman" w:cs="Times New Roman"/>
          <w:sz w:val="24"/>
          <w:szCs w:val="24"/>
        </w:rPr>
        <w:t xml:space="preserve"> ROE to reflect its current </w:t>
      </w:r>
      <w:r w:rsidR="00CD1AED">
        <w:rPr>
          <w:rFonts w:ascii="Times New Roman" w:hAnsi="Times New Roman" w:cs="Times New Roman"/>
          <w:sz w:val="24"/>
          <w:szCs w:val="24"/>
        </w:rPr>
        <w:t>business risk.</w:t>
      </w:r>
      <w:r>
        <w:rPr>
          <w:rStyle w:val="FootnoteReference"/>
          <w:rFonts w:ascii="Times New Roman" w:hAnsi="Times New Roman" w:cs="Times New Roman"/>
          <w:sz w:val="24"/>
          <w:szCs w:val="24"/>
        </w:rPr>
        <w:footnoteReference w:id="24"/>
      </w:r>
      <w:r w:rsidR="00CD1AED">
        <w:rPr>
          <w:rFonts w:ascii="Times New Roman" w:hAnsi="Times New Roman" w:cs="Times New Roman"/>
          <w:sz w:val="24"/>
          <w:szCs w:val="24"/>
        </w:rPr>
        <w:t xml:space="preserve"> </w:t>
      </w:r>
      <w:r>
        <w:rPr>
          <w:rFonts w:ascii="Times New Roman" w:hAnsi="Times New Roman" w:cs="Times New Roman"/>
          <w:sz w:val="24"/>
          <w:szCs w:val="24"/>
        </w:rPr>
        <w:t xml:space="preserve">OCC recommends removing </w:t>
      </w:r>
      <w:r w:rsidR="00CD1AED">
        <w:rPr>
          <w:rFonts w:ascii="Times New Roman" w:hAnsi="Times New Roman" w:cs="Times New Roman"/>
          <w:sz w:val="24"/>
          <w:szCs w:val="24"/>
        </w:rPr>
        <w:t xml:space="preserve">the </w:t>
      </w:r>
      <w:r w:rsidR="00CB4819">
        <w:rPr>
          <w:rFonts w:ascii="Times New Roman" w:hAnsi="Times New Roman" w:cs="Times New Roman"/>
          <w:sz w:val="24"/>
          <w:szCs w:val="24"/>
        </w:rPr>
        <w:t xml:space="preserve">financial performances incentives </w:t>
      </w:r>
      <w:r>
        <w:rPr>
          <w:rFonts w:ascii="Times New Roman" w:hAnsi="Times New Roman" w:cs="Times New Roman"/>
          <w:sz w:val="24"/>
          <w:szCs w:val="24"/>
        </w:rPr>
        <w:t>from the CEP charge</w:t>
      </w:r>
      <w:r w:rsidR="00CD1AED">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00AF18D6">
        <w:rPr>
          <w:rFonts w:ascii="Times New Roman" w:hAnsi="Times New Roman" w:cs="Times New Roman"/>
          <w:sz w:val="24"/>
          <w:szCs w:val="24"/>
        </w:rPr>
        <w:t xml:space="preserve"> </w:t>
      </w:r>
      <w:r>
        <w:rPr>
          <w:rFonts w:ascii="Times New Roman" w:hAnsi="Times New Roman" w:cs="Times New Roman"/>
          <w:sz w:val="24"/>
          <w:szCs w:val="24"/>
        </w:rPr>
        <w:t xml:space="preserve">Consumers </w:t>
      </w:r>
      <w:r w:rsidR="00530A81">
        <w:rPr>
          <w:rFonts w:ascii="Times New Roman" w:hAnsi="Times New Roman" w:cs="Times New Roman"/>
          <w:sz w:val="24"/>
          <w:szCs w:val="24"/>
        </w:rPr>
        <w:t xml:space="preserve">will </w:t>
      </w:r>
      <w:r>
        <w:rPr>
          <w:rFonts w:ascii="Times New Roman" w:hAnsi="Times New Roman" w:cs="Times New Roman"/>
          <w:sz w:val="24"/>
          <w:szCs w:val="24"/>
        </w:rPr>
        <w:t>get the purported benefits of the CEP charge at a just and reasonable price.</w:t>
      </w:r>
      <w:r w:rsidR="001E6ED9">
        <w:rPr>
          <w:rFonts w:ascii="Times New Roman" w:hAnsi="Times New Roman" w:cs="Times New Roman"/>
          <w:i/>
          <w:iCs/>
          <w:sz w:val="24"/>
          <w:szCs w:val="24"/>
        </w:rPr>
        <w:t xml:space="preserve"> </w:t>
      </w:r>
    </w:p>
    <w:p w:rsidR="009936DC" w:rsidP="00AE13A6" w14:paraId="3F2E0180" w14:textId="5E7C278B">
      <w:pPr>
        <w:pStyle w:val="NoSpacing"/>
        <w:spacing w:line="480" w:lineRule="auto"/>
        <w:ind w:firstLine="720"/>
        <w:rPr>
          <w:rFonts w:ascii="Times New Roman" w:hAnsi="Times New Roman" w:cs="Times New Roman"/>
          <w:sz w:val="24"/>
          <w:szCs w:val="24"/>
        </w:rPr>
      </w:pPr>
      <w:r w:rsidRPr="000121F4">
        <w:rPr>
          <w:rFonts w:ascii="Times New Roman" w:hAnsi="Times New Roman" w:cs="Times New Roman"/>
          <w:sz w:val="24"/>
          <w:szCs w:val="24"/>
        </w:rPr>
        <w:t>Finally, Dominion</w:t>
      </w:r>
      <w:r w:rsidRPr="000121F4" w:rsidR="00956EAD">
        <w:rPr>
          <w:rFonts w:ascii="Times New Roman" w:hAnsi="Times New Roman" w:cs="Times New Roman"/>
          <w:sz w:val="24"/>
          <w:szCs w:val="24"/>
        </w:rPr>
        <w:t xml:space="preserve"> asserts that the result of the parties’ bargaining—the Settlement—is a compromise materially different from Dominion’s application</w:t>
      </w:r>
      <w:r w:rsidR="00B13708">
        <w:rPr>
          <w:rFonts w:ascii="Times New Roman" w:hAnsi="Times New Roman" w:cs="Times New Roman"/>
          <w:sz w:val="24"/>
          <w:szCs w:val="24"/>
        </w:rPr>
        <w:t xml:space="preserve"> and is thus a benefit</w:t>
      </w:r>
      <w:r w:rsidRPr="000121F4" w:rsidR="00956EAD">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00AF18D6">
        <w:rPr>
          <w:rFonts w:ascii="Times New Roman" w:hAnsi="Times New Roman" w:cs="Times New Roman"/>
          <w:sz w:val="24"/>
          <w:szCs w:val="24"/>
        </w:rPr>
        <w:t xml:space="preserve"> </w:t>
      </w:r>
      <w:r w:rsidRPr="000121F4" w:rsidR="008779B3">
        <w:rPr>
          <w:rFonts w:ascii="Times New Roman" w:hAnsi="Times New Roman" w:cs="Times New Roman"/>
          <w:sz w:val="24"/>
          <w:szCs w:val="24"/>
        </w:rPr>
        <w:t xml:space="preserve">This is </w:t>
      </w:r>
      <w:r w:rsidRPr="000121F4" w:rsidR="00E700CF">
        <w:rPr>
          <w:rFonts w:ascii="Times New Roman" w:hAnsi="Times New Roman" w:cs="Times New Roman"/>
          <w:sz w:val="24"/>
          <w:szCs w:val="24"/>
        </w:rPr>
        <w:t>illusory</w:t>
      </w:r>
      <w:r w:rsidR="00684511">
        <w:rPr>
          <w:rFonts w:ascii="Times New Roman" w:hAnsi="Times New Roman" w:cs="Times New Roman"/>
          <w:sz w:val="24"/>
          <w:szCs w:val="24"/>
        </w:rPr>
        <w:t xml:space="preserve"> at best</w:t>
      </w:r>
      <w:r w:rsidRPr="000121F4" w:rsidR="00E700CF">
        <w:rPr>
          <w:rFonts w:ascii="Times New Roman" w:hAnsi="Times New Roman" w:cs="Times New Roman"/>
          <w:sz w:val="24"/>
          <w:szCs w:val="24"/>
        </w:rPr>
        <w:t>. Dominion’s agreement to</w:t>
      </w:r>
      <w:r w:rsidRPr="000121F4" w:rsidR="00A85267">
        <w:rPr>
          <w:rFonts w:ascii="Times New Roman" w:hAnsi="Times New Roman" w:cs="Times New Roman"/>
          <w:sz w:val="24"/>
          <w:szCs w:val="24"/>
        </w:rPr>
        <w:t xml:space="preserve"> prospectively giv</w:t>
      </w:r>
      <w:r w:rsidRPr="000121F4" w:rsidR="00E700CF">
        <w:rPr>
          <w:rFonts w:ascii="Times New Roman" w:hAnsi="Times New Roman" w:cs="Times New Roman"/>
          <w:sz w:val="24"/>
          <w:szCs w:val="24"/>
        </w:rPr>
        <w:t>e</w:t>
      </w:r>
      <w:r w:rsidRPr="000121F4" w:rsidR="00A85267">
        <w:rPr>
          <w:rFonts w:ascii="Times New Roman" w:hAnsi="Times New Roman" w:cs="Times New Roman"/>
          <w:sz w:val="24"/>
          <w:szCs w:val="24"/>
        </w:rPr>
        <w:t xml:space="preserve"> up on the </w:t>
      </w:r>
      <w:r w:rsidRPr="00A85CD5" w:rsidR="00A85267">
        <w:rPr>
          <w:rFonts w:ascii="Times New Roman" w:hAnsi="Times New Roman" w:cs="Times New Roman"/>
          <w:sz w:val="24"/>
          <w:szCs w:val="24"/>
        </w:rPr>
        <w:t xml:space="preserve">LIP and LTIP </w:t>
      </w:r>
      <w:r w:rsidR="00A85CD5">
        <w:rPr>
          <w:rFonts w:ascii="Times New Roman" w:hAnsi="Times New Roman" w:cs="Times New Roman"/>
          <w:sz w:val="24"/>
          <w:szCs w:val="24"/>
        </w:rPr>
        <w:t>financial performance incentives</w:t>
      </w:r>
      <w:r w:rsidRPr="000121F4" w:rsidR="00A85267">
        <w:rPr>
          <w:rFonts w:ascii="Times New Roman" w:hAnsi="Times New Roman" w:cs="Times New Roman"/>
          <w:sz w:val="24"/>
          <w:szCs w:val="24"/>
        </w:rPr>
        <w:t xml:space="preserve"> is </w:t>
      </w:r>
      <w:r w:rsidRPr="000121F4" w:rsidR="00E700CF">
        <w:rPr>
          <w:rFonts w:ascii="Times New Roman" w:hAnsi="Times New Roman" w:cs="Times New Roman"/>
          <w:sz w:val="24"/>
          <w:szCs w:val="24"/>
        </w:rPr>
        <w:t>merely a concession for</w:t>
      </w:r>
      <w:r w:rsidRPr="000121F4" w:rsidR="00A85267">
        <w:rPr>
          <w:rFonts w:ascii="Times New Roman" w:hAnsi="Times New Roman" w:cs="Times New Roman"/>
          <w:sz w:val="24"/>
          <w:szCs w:val="24"/>
        </w:rPr>
        <w:t xml:space="preserve"> something it should have never been charging </w:t>
      </w:r>
      <w:r w:rsidRPr="000121F4" w:rsidR="000B4223">
        <w:rPr>
          <w:rFonts w:ascii="Times New Roman" w:hAnsi="Times New Roman" w:cs="Times New Roman"/>
          <w:sz w:val="24"/>
          <w:szCs w:val="24"/>
        </w:rPr>
        <w:t>consumers</w:t>
      </w:r>
      <w:r w:rsidRPr="000121F4" w:rsidR="00A85267">
        <w:rPr>
          <w:rFonts w:ascii="Times New Roman" w:hAnsi="Times New Roman" w:cs="Times New Roman"/>
          <w:sz w:val="24"/>
          <w:szCs w:val="24"/>
        </w:rPr>
        <w:t xml:space="preserve"> in the first place.</w:t>
      </w:r>
      <w:r w:rsidR="00AF18D6">
        <w:rPr>
          <w:rFonts w:ascii="Times New Roman" w:hAnsi="Times New Roman" w:cs="Times New Roman"/>
          <w:sz w:val="24"/>
          <w:szCs w:val="24"/>
        </w:rPr>
        <w:t xml:space="preserve"> </w:t>
      </w:r>
      <w:r w:rsidR="00B13708">
        <w:rPr>
          <w:rFonts w:ascii="Times New Roman" w:hAnsi="Times New Roman" w:cs="Times New Roman"/>
          <w:sz w:val="24"/>
          <w:szCs w:val="24"/>
        </w:rPr>
        <w:t>Further</w:t>
      </w:r>
      <w:r w:rsidRPr="000121F4" w:rsidR="000B4223">
        <w:rPr>
          <w:rFonts w:ascii="Times New Roman" w:hAnsi="Times New Roman" w:cs="Times New Roman"/>
          <w:sz w:val="24"/>
          <w:szCs w:val="24"/>
        </w:rPr>
        <w:t>, Dominion is</w:t>
      </w:r>
      <w:r w:rsidRPr="000121F4" w:rsidR="00A85267">
        <w:rPr>
          <w:rFonts w:ascii="Times New Roman" w:hAnsi="Times New Roman" w:cs="Times New Roman"/>
          <w:sz w:val="24"/>
          <w:szCs w:val="24"/>
        </w:rPr>
        <w:t xml:space="preserve"> keeping the </w:t>
      </w:r>
      <w:r w:rsidRPr="00062771" w:rsidR="00A85267">
        <w:rPr>
          <w:rFonts w:ascii="Times New Roman" w:hAnsi="Times New Roman" w:cs="Times New Roman"/>
          <w:sz w:val="24"/>
          <w:szCs w:val="24"/>
        </w:rPr>
        <w:t xml:space="preserve">AIP </w:t>
      </w:r>
      <w:r w:rsidR="00A85CD5">
        <w:rPr>
          <w:rFonts w:ascii="Times New Roman" w:hAnsi="Times New Roman" w:cs="Times New Roman"/>
          <w:sz w:val="24"/>
          <w:szCs w:val="24"/>
        </w:rPr>
        <w:t>financial performance incentives</w:t>
      </w:r>
      <w:r w:rsidRPr="000121F4" w:rsidR="00A85267">
        <w:rPr>
          <w:rFonts w:ascii="Times New Roman" w:hAnsi="Times New Roman" w:cs="Times New Roman"/>
          <w:sz w:val="24"/>
          <w:szCs w:val="24"/>
        </w:rPr>
        <w:t xml:space="preserve"> despite the fact that it recently agreed to give them up in the Settlement for Case No. 20-1634-GA-ALT (Dominion’s case to extend its </w:t>
      </w:r>
      <w:r w:rsidRPr="00062771" w:rsidR="00A85267">
        <w:rPr>
          <w:rFonts w:ascii="Times New Roman" w:hAnsi="Times New Roman" w:cs="Times New Roman"/>
          <w:sz w:val="24"/>
          <w:szCs w:val="24"/>
        </w:rPr>
        <w:t>PIR</w:t>
      </w:r>
      <w:r w:rsidRPr="000121F4" w:rsidR="00A85267">
        <w:rPr>
          <w:rFonts w:ascii="Times New Roman" w:hAnsi="Times New Roman" w:cs="Times New Roman"/>
          <w:sz w:val="24"/>
          <w:szCs w:val="24"/>
        </w:rPr>
        <w:t xml:space="preserve"> Program).</w:t>
      </w:r>
      <w:r>
        <w:rPr>
          <w:rStyle w:val="FootnoteReference"/>
          <w:rFonts w:ascii="Times New Roman" w:hAnsi="Times New Roman" w:cs="Times New Roman"/>
          <w:sz w:val="24"/>
          <w:szCs w:val="24"/>
        </w:rPr>
        <w:footnoteReference w:id="27"/>
      </w:r>
      <w:r w:rsidR="00AF18D6">
        <w:rPr>
          <w:rFonts w:ascii="Times New Roman" w:hAnsi="Times New Roman" w:cs="Times New Roman"/>
          <w:sz w:val="24"/>
          <w:szCs w:val="24"/>
        </w:rPr>
        <w:t xml:space="preserve"> </w:t>
      </w:r>
      <w:r w:rsidRPr="000121F4" w:rsidR="000B4223">
        <w:rPr>
          <w:rFonts w:ascii="Times New Roman" w:hAnsi="Times New Roman" w:cs="Times New Roman"/>
          <w:sz w:val="24"/>
          <w:szCs w:val="24"/>
        </w:rPr>
        <w:t xml:space="preserve">And as </w:t>
      </w:r>
      <w:r w:rsidRPr="000121F4" w:rsidR="00C720B0">
        <w:rPr>
          <w:rFonts w:ascii="Times New Roman" w:hAnsi="Times New Roman" w:cs="Times New Roman"/>
          <w:sz w:val="24"/>
          <w:szCs w:val="24"/>
        </w:rPr>
        <w:t>explained</w:t>
      </w:r>
      <w:r w:rsidRPr="000121F4" w:rsidR="000B4223">
        <w:rPr>
          <w:rFonts w:ascii="Times New Roman" w:hAnsi="Times New Roman" w:cs="Times New Roman"/>
          <w:sz w:val="24"/>
          <w:szCs w:val="24"/>
        </w:rPr>
        <w:t xml:space="preserve"> above, </w:t>
      </w:r>
      <w:r w:rsidRPr="000121F4" w:rsidR="0063666A">
        <w:rPr>
          <w:rFonts w:ascii="Times New Roman" w:hAnsi="Times New Roman" w:cs="Times New Roman"/>
          <w:sz w:val="24"/>
          <w:szCs w:val="24"/>
        </w:rPr>
        <w:t xml:space="preserve">Dominion </w:t>
      </w:r>
      <w:r w:rsidRPr="000121F4" w:rsidR="00A85267">
        <w:rPr>
          <w:rFonts w:ascii="Times New Roman" w:hAnsi="Times New Roman" w:cs="Times New Roman"/>
          <w:sz w:val="24"/>
          <w:szCs w:val="24"/>
        </w:rPr>
        <w:t xml:space="preserve">agreeing to Blue Ridge’s findings </w:t>
      </w:r>
      <w:r w:rsidRPr="000121F4" w:rsidR="0063666A">
        <w:rPr>
          <w:rFonts w:ascii="Times New Roman" w:hAnsi="Times New Roman" w:cs="Times New Roman"/>
          <w:sz w:val="24"/>
          <w:szCs w:val="24"/>
        </w:rPr>
        <w:t>and recommendations isn’t really a concession.</w:t>
      </w:r>
      <w:r w:rsidR="00AF18D6">
        <w:rPr>
          <w:rFonts w:ascii="Times New Roman" w:hAnsi="Times New Roman" w:cs="Times New Roman"/>
          <w:sz w:val="24"/>
          <w:szCs w:val="24"/>
        </w:rPr>
        <w:t xml:space="preserve"> </w:t>
      </w:r>
      <w:r w:rsidRPr="000121F4" w:rsidR="00A85267">
        <w:rPr>
          <w:rFonts w:ascii="Times New Roman" w:hAnsi="Times New Roman" w:cs="Times New Roman"/>
          <w:sz w:val="24"/>
          <w:szCs w:val="24"/>
        </w:rPr>
        <w:t xml:space="preserve">Blue Ridge’s findings were correct, supported by </w:t>
      </w:r>
      <w:r w:rsidRPr="000121F4" w:rsidR="0063666A">
        <w:rPr>
          <w:rFonts w:ascii="Times New Roman" w:hAnsi="Times New Roman" w:cs="Times New Roman"/>
          <w:sz w:val="24"/>
          <w:szCs w:val="24"/>
        </w:rPr>
        <w:t xml:space="preserve">PUCO </w:t>
      </w:r>
      <w:r w:rsidRPr="000121F4" w:rsidR="00A85267">
        <w:rPr>
          <w:rFonts w:ascii="Times New Roman" w:hAnsi="Times New Roman" w:cs="Times New Roman"/>
          <w:sz w:val="24"/>
          <w:szCs w:val="24"/>
        </w:rPr>
        <w:t>Staff, and likely would have been adopted by the PUCO anyway.</w:t>
      </w:r>
      <w:r w:rsidR="00AF18D6">
        <w:rPr>
          <w:rFonts w:ascii="Times New Roman" w:hAnsi="Times New Roman" w:cs="Times New Roman"/>
          <w:sz w:val="24"/>
          <w:szCs w:val="24"/>
        </w:rPr>
        <w:t xml:space="preserve"> </w:t>
      </w:r>
      <w:r w:rsidRPr="000121F4" w:rsidR="00A85267">
        <w:rPr>
          <w:rFonts w:ascii="Times New Roman" w:hAnsi="Times New Roman" w:cs="Times New Roman"/>
          <w:sz w:val="24"/>
          <w:szCs w:val="24"/>
        </w:rPr>
        <w:t>Dominion made no concessions on the major point of contention in this case</w:t>
      </w:r>
      <w:r w:rsidRPr="000121F4" w:rsidR="00C720B0">
        <w:rPr>
          <w:rFonts w:ascii="Times New Roman" w:hAnsi="Times New Roman" w:cs="Times New Roman"/>
          <w:sz w:val="24"/>
          <w:szCs w:val="24"/>
        </w:rPr>
        <w:t>—</w:t>
      </w:r>
      <w:r w:rsidRPr="000121F4" w:rsidR="00A85267">
        <w:rPr>
          <w:rFonts w:ascii="Times New Roman" w:hAnsi="Times New Roman" w:cs="Times New Roman"/>
          <w:sz w:val="24"/>
          <w:szCs w:val="24"/>
        </w:rPr>
        <w:t xml:space="preserve">its outdated and inflated </w:t>
      </w:r>
      <w:r w:rsidR="00684511">
        <w:rPr>
          <w:rFonts w:ascii="Times New Roman" w:hAnsi="Times New Roman" w:cs="Times New Roman"/>
          <w:sz w:val="24"/>
          <w:szCs w:val="24"/>
        </w:rPr>
        <w:t>rate of return</w:t>
      </w:r>
      <w:r w:rsidR="00E84800">
        <w:rPr>
          <w:rFonts w:ascii="Times New Roman" w:hAnsi="Times New Roman" w:cs="Times New Roman"/>
          <w:sz w:val="24"/>
          <w:szCs w:val="24"/>
        </w:rPr>
        <w:t>, which is</w:t>
      </w:r>
      <w:r w:rsidRPr="000121F4" w:rsidR="00C720B0">
        <w:rPr>
          <w:rFonts w:ascii="Times New Roman" w:hAnsi="Times New Roman" w:cs="Times New Roman"/>
          <w:sz w:val="24"/>
          <w:szCs w:val="24"/>
        </w:rPr>
        <w:t xml:space="preserve"> </w:t>
      </w:r>
      <w:r w:rsidRPr="000121F4" w:rsidR="00A85267">
        <w:rPr>
          <w:rFonts w:ascii="Times New Roman" w:hAnsi="Times New Roman" w:cs="Times New Roman"/>
          <w:sz w:val="24"/>
          <w:szCs w:val="24"/>
        </w:rPr>
        <w:t xml:space="preserve">where the real </w:t>
      </w:r>
      <w:r>
        <w:rPr>
          <w:rFonts w:ascii="Times New Roman" w:hAnsi="Times New Roman" w:cs="Times New Roman"/>
          <w:sz w:val="24"/>
          <w:szCs w:val="24"/>
        </w:rPr>
        <w:t>savings are</w:t>
      </w:r>
      <w:r w:rsidRPr="000121F4" w:rsidR="00A85267">
        <w:rPr>
          <w:rFonts w:ascii="Times New Roman" w:hAnsi="Times New Roman" w:cs="Times New Roman"/>
          <w:sz w:val="24"/>
          <w:szCs w:val="24"/>
        </w:rPr>
        <w:t>.</w:t>
      </w:r>
    </w:p>
    <w:p w:rsidR="001D5030" w:rsidRPr="00FC13A1" w:rsidP="00AE13A6" w14:paraId="049D13AF" w14:textId="3E71CE6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FC13A1">
        <w:rPr>
          <w:rFonts w:ascii="Times New Roman" w:hAnsi="Times New Roman" w:cs="Times New Roman"/>
          <w:sz w:val="24"/>
          <w:szCs w:val="24"/>
        </w:rPr>
        <w:t xml:space="preserve">he harm to </w:t>
      </w:r>
      <w:r>
        <w:rPr>
          <w:rFonts w:ascii="Times New Roman" w:hAnsi="Times New Roman" w:cs="Times New Roman"/>
          <w:sz w:val="24"/>
          <w:szCs w:val="24"/>
        </w:rPr>
        <w:t>consumers</w:t>
      </w:r>
      <w:r w:rsidRPr="00FC13A1">
        <w:rPr>
          <w:rFonts w:ascii="Times New Roman" w:hAnsi="Times New Roman" w:cs="Times New Roman"/>
          <w:sz w:val="24"/>
          <w:szCs w:val="24"/>
        </w:rPr>
        <w:t xml:space="preserve"> under the Settlement is substantially greater than the trivial </w:t>
      </w:r>
      <w:r w:rsidR="00B13708">
        <w:rPr>
          <w:rFonts w:ascii="Times New Roman" w:hAnsi="Times New Roman" w:cs="Times New Roman"/>
          <w:sz w:val="24"/>
          <w:szCs w:val="24"/>
        </w:rPr>
        <w:t>“</w:t>
      </w:r>
      <w:r w:rsidRPr="00FC13A1">
        <w:rPr>
          <w:rFonts w:ascii="Times New Roman" w:hAnsi="Times New Roman" w:cs="Times New Roman"/>
          <w:sz w:val="24"/>
          <w:szCs w:val="24"/>
        </w:rPr>
        <w:t>concessions</w:t>
      </w:r>
      <w:r w:rsidR="00B13708">
        <w:rPr>
          <w:rFonts w:ascii="Times New Roman" w:hAnsi="Times New Roman" w:cs="Times New Roman"/>
          <w:sz w:val="24"/>
          <w:szCs w:val="24"/>
        </w:rPr>
        <w:t>”</w:t>
      </w:r>
      <w:r w:rsidRPr="00FC13A1">
        <w:rPr>
          <w:rFonts w:ascii="Times New Roman" w:hAnsi="Times New Roman" w:cs="Times New Roman"/>
          <w:sz w:val="24"/>
          <w:szCs w:val="24"/>
        </w:rPr>
        <w:t xml:space="preserve"> that Dominion made. </w:t>
      </w:r>
      <w:r w:rsidR="00D92F9F">
        <w:rPr>
          <w:rFonts w:ascii="Times New Roman" w:hAnsi="Times New Roman" w:cs="Times New Roman"/>
          <w:sz w:val="24"/>
          <w:szCs w:val="24"/>
        </w:rPr>
        <w:t>Therefore, t</w:t>
      </w:r>
      <w:r w:rsidRPr="00FC13A1">
        <w:rPr>
          <w:rFonts w:ascii="Times New Roman" w:hAnsi="Times New Roman" w:cs="Times New Roman"/>
          <w:sz w:val="24"/>
          <w:szCs w:val="24"/>
        </w:rPr>
        <w:t xml:space="preserve">he Settlement, as a package, does </w:t>
      </w:r>
      <w:r w:rsidRPr="00FC13A1">
        <w:rPr>
          <w:rFonts w:ascii="Times New Roman" w:hAnsi="Times New Roman" w:cs="Times New Roman"/>
          <w:i/>
          <w:iCs/>
          <w:sz w:val="24"/>
          <w:szCs w:val="24"/>
        </w:rPr>
        <w:t xml:space="preserve">not </w:t>
      </w:r>
      <w:r w:rsidRPr="00FC13A1">
        <w:rPr>
          <w:rFonts w:ascii="Times New Roman" w:hAnsi="Times New Roman" w:cs="Times New Roman"/>
          <w:sz w:val="24"/>
          <w:szCs w:val="24"/>
        </w:rPr>
        <w:t xml:space="preserve">benefit consumers and is </w:t>
      </w:r>
      <w:r w:rsidRPr="00FC13A1">
        <w:rPr>
          <w:rFonts w:ascii="Times New Roman" w:hAnsi="Times New Roman" w:cs="Times New Roman"/>
          <w:i/>
          <w:iCs/>
          <w:sz w:val="24"/>
          <w:szCs w:val="24"/>
        </w:rPr>
        <w:t>not</w:t>
      </w:r>
      <w:r w:rsidRPr="00FC13A1">
        <w:rPr>
          <w:rFonts w:ascii="Times New Roman" w:hAnsi="Times New Roman" w:cs="Times New Roman"/>
          <w:sz w:val="24"/>
          <w:szCs w:val="24"/>
        </w:rPr>
        <w:t xml:space="preserve"> in the public interest.</w:t>
      </w:r>
    </w:p>
    <w:p w:rsidR="009576D8" w:rsidP="00AB2148" w14:paraId="07827AA5" w14:textId="65587525">
      <w:pPr>
        <w:pStyle w:val="BodyTextIndent3"/>
        <w:spacing w:line="480" w:lineRule="auto"/>
      </w:pPr>
      <w:r>
        <w:t>The PUCO should reject</w:t>
      </w:r>
      <w:r w:rsidR="00F3749D">
        <w:t xml:space="preserve"> or modify</w:t>
      </w:r>
      <w:r>
        <w:t xml:space="preserve"> the Settlement</w:t>
      </w:r>
      <w:r w:rsidRPr="006120E1" w:rsidR="00D92F9F">
        <w:t>—</w:t>
      </w:r>
      <w:r w:rsidR="00D92F9F">
        <w:t>as recommended by OCC</w:t>
      </w:r>
      <w:r w:rsidRPr="006120E1" w:rsidR="00D92F9F">
        <w:t>—</w:t>
      </w:r>
      <w:r>
        <w:t>to protect consumers</w:t>
      </w:r>
      <w:r w:rsidR="00D92F9F">
        <w:t xml:space="preserve"> </w:t>
      </w:r>
      <w:r w:rsidR="00C64EFF">
        <w:t>against</w:t>
      </w:r>
      <w:r w:rsidR="00D92F9F">
        <w:t xml:space="preserve"> overpaying for CEP charges.</w:t>
      </w:r>
    </w:p>
    <w:p w:rsidR="00A5200D" w:rsidRPr="00CB24B7" w:rsidP="00AD3FE9" w14:paraId="23A8DB2B" w14:textId="52B53619">
      <w:pPr>
        <w:pStyle w:val="Heading2"/>
        <w:tabs>
          <w:tab w:val="clear" w:pos="4320"/>
        </w:tabs>
      </w:pPr>
      <w:bookmarkStart w:id="6" w:name="_Toc85553507"/>
      <w:r>
        <w:t>B.</w:t>
      </w:r>
      <w:r>
        <w:tab/>
        <w:t xml:space="preserve">Contrary to </w:t>
      </w:r>
      <w:r w:rsidR="003B28AD">
        <w:t>c</w:t>
      </w:r>
      <w:r>
        <w:t xml:space="preserve">laims by </w:t>
      </w:r>
      <w:r w:rsidR="00C54708">
        <w:t>Dominion</w:t>
      </w:r>
      <w:r>
        <w:t xml:space="preserve">, the Settlement </w:t>
      </w:r>
      <w:r w:rsidR="000F79B2">
        <w:t>violates important</w:t>
      </w:r>
      <w:r>
        <w:t xml:space="preserve"> </w:t>
      </w:r>
      <w:r w:rsidR="000F79B2">
        <w:t>r</w:t>
      </w:r>
      <w:r>
        <w:t xml:space="preserve">egulatory </w:t>
      </w:r>
      <w:r w:rsidR="000F79B2">
        <w:t>p</w:t>
      </w:r>
      <w:r>
        <w:t xml:space="preserve">rinciples and </w:t>
      </w:r>
      <w:r w:rsidR="000F79B2">
        <w:t>p</w:t>
      </w:r>
      <w:r>
        <w:t>ractices</w:t>
      </w:r>
      <w:r w:rsidR="00104D1E">
        <w:t xml:space="preserve"> to consumers’ detriment</w:t>
      </w:r>
      <w:r>
        <w:t>.</w:t>
      </w:r>
      <w:bookmarkEnd w:id="6"/>
    </w:p>
    <w:p w:rsidR="00C2139C" w:rsidP="001421A7" w14:paraId="00567DA0" w14:textId="0414F614">
      <w:pPr>
        <w:pStyle w:val="NoSpacing"/>
        <w:spacing w:line="480" w:lineRule="auto"/>
        <w:ind w:firstLine="720"/>
        <w:rPr>
          <w:rFonts w:ascii="Times New Roman" w:hAnsi="Times New Roman" w:cs="Times New Roman"/>
          <w:sz w:val="24"/>
          <w:szCs w:val="24"/>
        </w:rPr>
      </w:pPr>
      <w:r w:rsidRPr="001421A7">
        <w:rPr>
          <w:rFonts w:ascii="Times New Roman" w:hAnsi="Times New Roman" w:cs="Times New Roman"/>
          <w:sz w:val="24"/>
          <w:szCs w:val="24"/>
        </w:rPr>
        <w:t>Dominion assert</w:t>
      </w:r>
      <w:r w:rsidR="000716B3">
        <w:rPr>
          <w:rFonts w:ascii="Times New Roman" w:hAnsi="Times New Roman" w:cs="Times New Roman"/>
          <w:sz w:val="24"/>
          <w:szCs w:val="24"/>
        </w:rPr>
        <w:t>s</w:t>
      </w:r>
      <w:r w:rsidRPr="001421A7" w:rsidR="00727B31">
        <w:rPr>
          <w:rFonts w:ascii="Times New Roman" w:hAnsi="Times New Roman" w:cs="Times New Roman"/>
          <w:sz w:val="24"/>
          <w:szCs w:val="24"/>
        </w:rPr>
        <w:t xml:space="preserve"> that the Settlement does not violate </w:t>
      </w:r>
      <w:r w:rsidRPr="001421A7" w:rsidR="00DA277A">
        <w:rPr>
          <w:rFonts w:ascii="Times New Roman" w:hAnsi="Times New Roman" w:cs="Times New Roman"/>
          <w:sz w:val="24"/>
          <w:szCs w:val="24"/>
        </w:rPr>
        <w:t xml:space="preserve">any </w:t>
      </w:r>
      <w:r w:rsidRPr="001421A7" w:rsidR="000F79B2">
        <w:rPr>
          <w:rFonts w:ascii="Times New Roman" w:hAnsi="Times New Roman" w:cs="Times New Roman"/>
          <w:sz w:val="24"/>
          <w:szCs w:val="24"/>
        </w:rPr>
        <w:t xml:space="preserve">important </w:t>
      </w:r>
      <w:r w:rsidRPr="001421A7" w:rsidR="00727B31">
        <w:rPr>
          <w:rFonts w:ascii="Times New Roman" w:hAnsi="Times New Roman" w:cs="Times New Roman"/>
          <w:sz w:val="24"/>
          <w:szCs w:val="24"/>
        </w:rPr>
        <w:t>regulatory principles or practices</w:t>
      </w:r>
      <w:r w:rsidRPr="001421A7" w:rsidR="00DA277A">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1421A7" w:rsidR="00262FB3">
        <w:rPr>
          <w:rFonts w:ascii="Times New Roman" w:hAnsi="Times New Roman" w:cs="Times New Roman"/>
          <w:sz w:val="24"/>
          <w:szCs w:val="24"/>
        </w:rPr>
        <w:t xml:space="preserve"> </w:t>
      </w:r>
      <w:r w:rsidR="001421A7">
        <w:rPr>
          <w:rFonts w:ascii="Times New Roman" w:hAnsi="Times New Roman" w:cs="Times New Roman"/>
          <w:sz w:val="24"/>
          <w:szCs w:val="24"/>
        </w:rPr>
        <w:t>But as OCC</w:t>
      </w:r>
      <w:r w:rsidR="006F3768">
        <w:rPr>
          <w:rFonts w:ascii="Times New Roman" w:hAnsi="Times New Roman" w:cs="Times New Roman"/>
          <w:sz w:val="24"/>
          <w:szCs w:val="24"/>
        </w:rPr>
        <w:t xml:space="preserve"> </w:t>
      </w:r>
      <w:r w:rsidR="00D403F0">
        <w:rPr>
          <w:rFonts w:ascii="Times New Roman" w:hAnsi="Times New Roman" w:cs="Times New Roman"/>
          <w:sz w:val="24"/>
          <w:szCs w:val="24"/>
        </w:rPr>
        <w:t>explained in its brief, the Settlement violates several</w:t>
      </w:r>
      <w:r w:rsidRPr="001421A7" w:rsidR="001421A7">
        <w:rPr>
          <w:rFonts w:ascii="Times New Roman" w:hAnsi="Times New Roman" w:cs="Times New Roman"/>
          <w:sz w:val="24"/>
          <w:szCs w:val="24"/>
        </w:rPr>
        <w:t xml:space="preserve"> regulatory principles explained in OCC witnesses Duann’s and Adkins’ testimonies.</w:t>
      </w:r>
      <w:r>
        <w:rPr>
          <w:rStyle w:val="FootnoteReference"/>
          <w:rFonts w:ascii="Times New Roman" w:hAnsi="Times New Roman" w:cs="Times New Roman"/>
          <w:sz w:val="24"/>
          <w:szCs w:val="24"/>
        </w:rPr>
        <w:footnoteReference w:id="29"/>
      </w:r>
      <w:r w:rsidR="00AF18D6">
        <w:rPr>
          <w:rFonts w:ascii="Times New Roman" w:hAnsi="Times New Roman" w:cs="Times New Roman"/>
          <w:sz w:val="24"/>
          <w:szCs w:val="24"/>
        </w:rPr>
        <w:t xml:space="preserve"> </w:t>
      </w:r>
    </w:p>
    <w:p w:rsidR="00C2139C" w14:paraId="33311C0F" w14:textId="77777777">
      <w:pPr>
        <w:rPr>
          <w:rFonts w:eastAsiaTheme="minorHAnsi"/>
          <w:szCs w:val="24"/>
        </w:rPr>
      </w:pPr>
      <w:r>
        <w:rPr>
          <w:szCs w:val="24"/>
        </w:rPr>
        <w:br w:type="page"/>
      </w:r>
    </w:p>
    <w:p w:rsidR="00B13708" w:rsidP="001421A7" w14:paraId="333F3FCE" w14:textId="0F662A02">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Pr="001421A7" w:rsidR="001421A7">
        <w:rPr>
          <w:rFonts w:ascii="Times New Roman" w:hAnsi="Times New Roman" w:cs="Times New Roman"/>
          <w:sz w:val="24"/>
          <w:szCs w:val="24"/>
        </w:rPr>
        <w:t>t violates perhaps the most fundamental regulatory principle</w:t>
      </w:r>
      <w:r w:rsidRPr="006F3768" w:rsidR="006F3768">
        <w:rPr>
          <w:rFonts w:ascii="Times New Roman" w:hAnsi="Times New Roman" w:cs="Times New Roman"/>
          <w:sz w:val="24"/>
          <w:szCs w:val="24"/>
        </w:rPr>
        <w:t>—</w:t>
      </w:r>
      <w:r w:rsidRPr="001421A7" w:rsidR="001421A7">
        <w:rPr>
          <w:rFonts w:ascii="Times New Roman" w:hAnsi="Times New Roman" w:cs="Times New Roman"/>
          <w:sz w:val="24"/>
          <w:szCs w:val="24"/>
        </w:rPr>
        <w:t>the regulatory compact.</w:t>
      </w:r>
      <w:r>
        <w:rPr>
          <w:rStyle w:val="FootnoteReference"/>
          <w:rFonts w:ascii="Times New Roman" w:hAnsi="Times New Roman" w:cs="Times New Roman"/>
          <w:sz w:val="24"/>
          <w:szCs w:val="24"/>
        </w:rPr>
        <w:footnoteReference w:id="30"/>
      </w:r>
      <w:r w:rsidR="00AF18D6">
        <w:rPr>
          <w:rFonts w:ascii="Times New Roman" w:hAnsi="Times New Roman" w:cs="Times New Roman"/>
          <w:sz w:val="24"/>
          <w:szCs w:val="24"/>
        </w:rPr>
        <w:t xml:space="preserve"> </w:t>
      </w:r>
      <w:r w:rsidRPr="001421A7" w:rsidR="001421A7">
        <w:rPr>
          <w:rFonts w:ascii="Times New Roman" w:hAnsi="Times New Roman" w:cs="Times New Roman"/>
          <w:sz w:val="24"/>
          <w:szCs w:val="24"/>
        </w:rPr>
        <w:t xml:space="preserve">If </w:t>
      </w:r>
      <w:r w:rsidR="00A65189">
        <w:rPr>
          <w:rFonts w:ascii="Times New Roman" w:hAnsi="Times New Roman" w:cs="Times New Roman"/>
          <w:sz w:val="24"/>
          <w:szCs w:val="24"/>
        </w:rPr>
        <w:t xml:space="preserve">Dominion’s </w:t>
      </w:r>
      <w:r w:rsidRPr="001421A7" w:rsidR="001421A7">
        <w:rPr>
          <w:rFonts w:ascii="Times New Roman" w:hAnsi="Times New Roman" w:cs="Times New Roman"/>
          <w:sz w:val="24"/>
          <w:szCs w:val="24"/>
        </w:rPr>
        <w:t>captive utility c</w:t>
      </w:r>
      <w:r w:rsidR="00A65189">
        <w:rPr>
          <w:rFonts w:ascii="Times New Roman" w:hAnsi="Times New Roman" w:cs="Times New Roman"/>
          <w:sz w:val="24"/>
          <w:szCs w:val="24"/>
        </w:rPr>
        <w:t>onsumers</w:t>
      </w:r>
      <w:r w:rsidRPr="001421A7" w:rsidR="001421A7">
        <w:rPr>
          <w:rFonts w:ascii="Times New Roman" w:hAnsi="Times New Roman" w:cs="Times New Roman"/>
          <w:sz w:val="24"/>
          <w:szCs w:val="24"/>
        </w:rPr>
        <w:t xml:space="preserve"> are going to be asked to pay more </w:t>
      </w:r>
      <w:r w:rsidR="00A65189">
        <w:rPr>
          <w:rFonts w:ascii="Times New Roman" w:hAnsi="Times New Roman" w:cs="Times New Roman"/>
          <w:sz w:val="24"/>
          <w:szCs w:val="24"/>
        </w:rPr>
        <w:t>for their utility service they a</w:t>
      </w:r>
      <w:r w:rsidR="00C66E67">
        <w:rPr>
          <w:rFonts w:ascii="Times New Roman" w:hAnsi="Times New Roman" w:cs="Times New Roman"/>
          <w:sz w:val="24"/>
          <w:szCs w:val="24"/>
        </w:rPr>
        <w:t xml:space="preserve">lready receive, </w:t>
      </w:r>
      <w:r w:rsidRPr="001421A7" w:rsidR="001421A7">
        <w:rPr>
          <w:rFonts w:ascii="Times New Roman" w:hAnsi="Times New Roman" w:cs="Times New Roman"/>
          <w:sz w:val="24"/>
          <w:szCs w:val="24"/>
        </w:rPr>
        <w:t xml:space="preserve">then they should get more. And under the CEP </w:t>
      </w:r>
      <w:r w:rsidR="00C66E67">
        <w:rPr>
          <w:rFonts w:ascii="Times New Roman" w:hAnsi="Times New Roman" w:cs="Times New Roman"/>
          <w:sz w:val="24"/>
          <w:szCs w:val="24"/>
        </w:rPr>
        <w:t>consumers</w:t>
      </w:r>
      <w:r w:rsidRPr="001421A7" w:rsidR="001421A7">
        <w:rPr>
          <w:rFonts w:ascii="Times New Roman" w:hAnsi="Times New Roman" w:cs="Times New Roman"/>
          <w:sz w:val="24"/>
          <w:szCs w:val="24"/>
        </w:rPr>
        <w:t xml:space="preserve"> are being asked to pay more</w:t>
      </w:r>
      <w:r w:rsidRPr="0057211C" w:rsidR="0057211C">
        <w:rPr>
          <w:rFonts w:ascii="Times New Roman" w:hAnsi="Times New Roman" w:cs="Times New Roman"/>
          <w:sz w:val="24"/>
          <w:szCs w:val="24"/>
        </w:rPr>
        <w:t>—</w:t>
      </w:r>
      <w:r>
        <w:rPr>
          <w:rFonts w:ascii="Times New Roman" w:hAnsi="Times New Roman" w:cs="Times New Roman"/>
          <w:sz w:val="24"/>
          <w:szCs w:val="24"/>
        </w:rPr>
        <w:t xml:space="preserve">a </w:t>
      </w:r>
      <w:r w:rsidRPr="001421A7" w:rsidR="001421A7">
        <w:rPr>
          <w:rFonts w:ascii="Times New Roman" w:hAnsi="Times New Roman" w:cs="Times New Roman"/>
          <w:sz w:val="24"/>
          <w:szCs w:val="24"/>
        </w:rPr>
        <w:t>lot more.</w:t>
      </w:r>
      <w:r w:rsidR="00AF18D6">
        <w:rPr>
          <w:rFonts w:ascii="Times New Roman" w:hAnsi="Times New Roman" w:cs="Times New Roman"/>
          <w:sz w:val="24"/>
          <w:szCs w:val="24"/>
        </w:rPr>
        <w:t xml:space="preserve"> </w:t>
      </w:r>
      <w:r w:rsidRPr="001421A7" w:rsidR="001421A7">
        <w:rPr>
          <w:rFonts w:ascii="Times New Roman" w:hAnsi="Times New Roman" w:cs="Times New Roman"/>
          <w:sz w:val="24"/>
          <w:szCs w:val="24"/>
        </w:rPr>
        <w:t xml:space="preserve">Residential consumers currently pay </w:t>
      </w:r>
      <w:r w:rsidR="00C66E67">
        <w:rPr>
          <w:rFonts w:ascii="Times New Roman" w:hAnsi="Times New Roman" w:cs="Times New Roman"/>
          <w:sz w:val="24"/>
          <w:szCs w:val="24"/>
        </w:rPr>
        <w:t xml:space="preserve">a CEP </w:t>
      </w:r>
      <w:r w:rsidR="00422616">
        <w:rPr>
          <w:rFonts w:ascii="Times New Roman" w:hAnsi="Times New Roman" w:cs="Times New Roman"/>
          <w:sz w:val="24"/>
          <w:szCs w:val="24"/>
        </w:rPr>
        <w:t>charge</w:t>
      </w:r>
      <w:r w:rsidR="00C66E67">
        <w:rPr>
          <w:rFonts w:ascii="Times New Roman" w:hAnsi="Times New Roman" w:cs="Times New Roman"/>
          <w:sz w:val="24"/>
          <w:szCs w:val="24"/>
        </w:rPr>
        <w:t xml:space="preserve"> of </w:t>
      </w:r>
      <w:r w:rsidRPr="001421A7" w:rsidR="001421A7">
        <w:rPr>
          <w:rFonts w:ascii="Times New Roman" w:hAnsi="Times New Roman" w:cs="Times New Roman"/>
          <w:sz w:val="24"/>
          <w:szCs w:val="24"/>
        </w:rPr>
        <w:t>$3.86</w:t>
      </w:r>
      <w:r>
        <w:rPr>
          <w:rFonts w:ascii="Times New Roman" w:hAnsi="Times New Roman" w:cs="Times New Roman"/>
          <w:sz w:val="24"/>
          <w:szCs w:val="24"/>
        </w:rPr>
        <w:t xml:space="preserve"> per </w:t>
      </w:r>
      <w:r w:rsidRPr="001421A7" w:rsidR="001421A7">
        <w:rPr>
          <w:rFonts w:ascii="Times New Roman" w:hAnsi="Times New Roman" w:cs="Times New Roman"/>
          <w:sz w:val="24"/>
          <w:szCs w:val="24"/>
        </w:rPr>
        <w:t>month.</w:t>
      </w:r>
      <w:r w:rsidR="00AF18D6">
        <w:rPr>
          <w:rFonts w:ascii="Times New Roman" w:hAnsi="Times New Roman" w:cs="Times New Roman"/>
          <w:sz w:val="24"/>
          <w:szCs w:val="24"/>
        </w:rPr>
        <w:t xml:space="preserve"> </w:t>
      </w:r>
      <w:r w:rsidR="00C66E67">
        <w:rPr>
          <w:rFonts w:ascii="Times New Roman" w:hAnsi="Times New Roman" w:cs="Times New Roman"/>
          <w:sz w:val="24"/>
          <w:szCs w:val="24"/>
        </w:rPr>
        <w:t>But if the PUCO approves the Settlement</w:t>
      </w:r>
      <w:r>
        <w:rPr>
          <w:rFonts w:ascii="Times New Roman" w:hAnsi="Times New Roman" w:cs="Times New Roman"/>
          <w:sz w:val="24"/>
          <w:szCs w:val="24"/>
        </w:rPr>
        <w:t xml:space="preserve">, </w:t>
      </w:r>
      <w:r w:rsidRPr="001421A7" w:rsidR="001421A7">
        <w:rPr>
          <w:rFonts w:ascii="Times New Roman" w:hAnsi="Times New Roman" w:cs="Times New Roman"/>
          <w:sz w:val="24"/>
          <w:szCs w:val="24"/>
        </w:rPr>
        <w:t xml:space="preserve">this </w:t>
      </w:r>
      <w:r w:rsidR="00422616">
        <w:rPr>
          <w:rFonts w:ascii="Times New Roman" w:hAnsi="Times New Roman" w:cs="Times New Roman"/>
          <w:sz w:val="24"/>
          <w:szCs w:val="24"/>
        </w:rPr>
        <w:t>charge</w:t>
      </w:r>
      <w:r w:rsidRPr="001421A7" w:rsidR="001421A7">
        <w:rPr>
          <w:rFonts w:ascii="Times New Roman" w:hAnsi="Times New Roman" w:cs="Times New Roman"/>
          <w:sz w:val="24"/>
          <w:szCs w:val="24"/>
        </w:rPr>
        <w:t xml:space="preserve"> will rise to $5.50</w:t>
      </w:r>
      <w:r>
        <w:rPr>
          <w:rFonts w:ascii="Times New Roman" w:hAnsi="Times New Roman" w:cs="Times New Roman"/>
          <w:sz w:val="24"/>
          <w:szCs w:val="24"/>
        </w:rPr>
        <w:t xml:space="preserve"> per </w:t>
      </w:r>
      <w:r w:rsidRPr="001421A7" w:rsidR="001421A7">
        <w:rPr>
          <w:rFonts w:ascii="Times New Roman" w:hAnsi="Times New Roman" w:cs="Times New Roman"/>
          <w:sz w:val="24"/>
          <w:szCs w:val="24"/>
        </w:rPr>
        <w:t>month.</w:t>
      </w:r>
      <w:r w:rsidR="00AF18D6">
        <w:rPr>
          <w:rFonts w:ascii="Times New Roman" w:hAnsi="Times New Roman" w:cs="Times New Roman"/>
          <w:sz w:val="24"/>
          <w:szCs w:val="24"/>
        </w:rPr>
        <w:t xml:space="preserve"> </w:t>
      </w:r>
      <w:r w:rsidRPr="001421A7" w:rsidR="001421A7">
        <w:rPr>
          <w:rFonts w:ascii="Times New Roman" w:hAnsi="Times New Roman" w:cs="Times New Roman"/>
          <w:sz w:val="24"/>
          <w:szCs w:val="24"/>
        </w:rPr>
        <w:t xml:space="preserve">And under </w:t>
      </w:r>
      <w:r w:rsidR="00EE02BA">
        <w:rPr>
          <w:rFonts w:ascii="Times New Roman" w:hAnsi="Times New Roman" w:cs="Times New Roman"/>
          <w:sz w:val="24"/>
          <w:szCs w:val="24"/>
        </w:rPr>
        <w:t>a similar</w:t>
      </w:r>
      <w:r w:rsidRPr="001421A7" w:rsidR="001421A7">
        <w:rPr>
          <w:rFonts w:ascii="Times New Roman" w:hAnsi="Times New Roman" w:cs="Times New Roman"/>
          <w:sz w:val="24"/>
          <w:szCs w:val="24"/>
        </w:rPr>
        <w:t xml:space="preserve"> Settlement in Case No. 19-468-GA-ALT</w:t>
      </w:r>
      <w:r w:rsidR="00EE02BA">
        <w:rPr>
          <w:rFonts w:ascii="Times New Roman" w:hAnsi="Times New Roman" w:cs="Times New Roman"/>
          <w:sz w:val="24"/>
          <w:szCs w:val="24"/>
        </w:rPr>
        <w:t>,</w:t>
      </w:r>
      <w:r w:rsidRPr="001421A7" w:rsidR="001421A7">
        <w:rPr>
          <w:rFonts w:ascii="Times New Roman" w:hAnsi="Times New Roman" w:cs="Times New Roman"/>
          <w:sz w:val="24"/>
          <w:szCs w:val="24"/>
        </w:rPr>
        <w:t xml:space="preserve"> by 2024</w:t>
      </w:r>
      <w:r w:rsidR="00EE02BA">
        <w:rPr>
          <w:rFonts w:ascii="Times New Roman" w:hAnsi="Times New Roman" w:cs="Times New Roman"/>
          <w:sz w:val="24"/>
          <w:szCs w:val="24"/>
        </w:rPr>
        <w:t>,</w:t>
      </w:r>
      <w:r w:rsidRPr="001421A7" w:rsidR="001421A7">
        <w:rPr>
          <w:rFonts w:ascii="Times New Roman" w:hAnsi="Times New Roman" w:cs="Times New Roman"/>
          <w:sz w:val="24"/>
          <w:szCs w:val="24"/>
        </w:rPr>
        <w:t xml:space="preserve"> residential consumers can be paying as much as $7.51</w:t>
      </w:r>
      <w:r>
        <w:rPr>
          <w:rFonts w:ascii="Times New Roman" w:hAnsi="Times New Roman" w:cs="Times New Roman"/>
          <w:sz w:val="24"/>
          <w:szCs w:val="24"/>
        </w:rPr>
        <w:t xml:space="preserve"> per </w:t>
      </w:r>
      <w:r w:rsidRPr="001421A7" w:rsidR="001421A7">
        <w:rPr>
          <w:rFonts w:ascii="Times New Roman" w:hAnsi="Times New Roman" w:cs="Times New Roman"/>
          <w:sz w:val="24"/>
          <w:szCs w:val="24"/>
        </w:rPr>
        <w:t xml:space="preserve">month </w:t>
      </w:r>
      <w:r>
        <w:rPr>
          <w:rFonts w:ascii="Times New Roman" w:hAnsi="Times New Roman" w:cs="Times New Roman"/>
          <w:sz w:val="24"/>
          <w:szCs w:val="24"/>
        </w:rPr>
        <w:t>(</w:t>
      </w:r>
      <w:r w:rsidRPr="001421A7" w:rsidR="001421A7">
        <w:rPr>
          <w:rFonts w:ascii="Times New Roman" w:hAnsi="Times New Roman" w:cs="Times New Roman"/>
          <w:sz w:val="24"/>
          <w:szCs w:val="24"/>
        </w:rPr>
        <w:t>or more than $90.00</w:t>
      </w:r>
      <w:r>
        <w:rPr>
          <w:rFonts w:ascii="Times New Roman" w:hAnsi="Times New Roman" w:cs="Times New Roman"/>
          <w:sz w:val="24"/>
          <w:szCs w:val="24"/>
        </w:rPr>
        <w:t xml:space="preserve"> per </w:t>
      </w:r>
      <w:r w:rsidRPr="001421A7" w:rsidR="001421A7">
        <w:rPr>
          <w:rFonts w:ascii="Times New Roman" w:hAnsi="Times New Roman" w:cs="Times New Roman"/>
          <w:sz w:val="24"/>
          <w:szCs w:val="24"/>
        </w:rPr>
        <w:t>year</w:t>
      </w:r>
      <w:r>
        <w:rPr>
          <w:rFonts w:ascii="Times New Roman" w:hAnsi="Times New Roman" w:cs="Times New Roman"/>
          <w:sz w:val="24"/>
          <w:szCs w:val="24"/>
        </w:rPr>
        <w:t>)</w:t>
      </w:r>
      <w:r w:rsidRPr="001421A7" w:rsidR="001421A7">
        <w:rPr>
          <w:rFonts w:ascii="Times New Roman" w:hAnsi="Times New Roman" w:cs="Times New Roman"/>
          <w:sz w:val="24"/>
          <w:szCs w:val="24"/>
        </w:rPr>
        <w:t>.</w:t>
      </w:r>
      <w:r w:rsidR="00AF18D6">
        <w:rPr>
          <w:rFonts w:ascii="Times New Roman" w:hAnsi="Times New Roman" w:cs="Times New Roman"/>
          <w:sz w:val="24"/>
          <w:szCs w:val="24"/>
        </w:rPr>
        <w:t xml:space="preserve"> </w:t>
      </w:r>
    </w:p>
    <w:p w:rsidR="00335161" w:rsidP="001421A7" w14:paraId="255820F9" w14:textId="40F5B085">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 significant po</w:t>
      </w:r>
      <w:r w:rsidRPr="001421A7" w:rsidR="001421A7">
        <w:rPr>
          <w:rFonts w:ascii="Times New Roman" w:hAnsi="Times New Roman" w:cs="Times New Roman"/>
          <w:sz w:val="24"/>
          <w:szCs w:val="24"/>
        </w:rPr>
        <w:t xml:space="preserve">rtion of the CEP rate is the inflated and outdated </w:t>
      </w:r>
      <w:r w:rsidR="00CE0C84">
        <w:rPr>
          <w:rFonts w:ascii="Times New Roman" w:hAnsi="Times New Roman" w:cs="Times New Roman"/>
          <w:sz w:val="24"/>
          <w:szCs w:val="24"/>
        </w:rPr>
        <w:t xml:space="preserve">9.91% </w:t>
      </w:r>
      <w:r w:rsidR="00585C7B">
        <w:rPr>
          <w:rFonts w:ascii="Times New Roman" w:hAnsi="Times New Roman" w:cs="Times New Roman"/>
          <w:sz w:val="24"/>
          <w:szCs w:val="24"/>
        </w:rPr>
        <w:t>rate of return</w:t>
      </w:r>
      <w:r>
        <w:rPr>
          <w:rFonts w:ascii="Times New Roman" w:hAnsi="Times New Roman" w:cs="Times New Roman"/>
          <w:sz w:val="24"/>
          <w:szCs w:val="24"/>
        </w:rPr>
        <w:t>,</w:t>
      </w:r>
      <w:r w:rsidRPr="001421A7" w:rsidR="001421A7">
        <w:rPr>
          <w:rFonts w:ascii="Times New Roman" w:hAnsi="Times New Roman" w:cs="Times New Roman"/>
          <w:sz w:val="24"/>
          <w:szCs w:val="24"/>
        </w:rPr>
        <w:t xml:space="preserve"> which causes Dominion’s captive utility customers to </w:t>
      </w:r>
      <w:r w:rsidR="00585C7B">
        <w:rPr>
          <w:rFonts w:ascii="Times New Roman" w:hAnsi="Times New Roman" w:cs="Times New Roman"/>
          <w:sz w:val="24"/>
          <w:szCs w:val="24"/>
        </w:rPr>
        <w:t xml:space="preserve">pay </w:t>
      </w:r>
      <w:r w:rsidRPr="001421A7" w:rsidR="001421A7">
        <w:rPr>
          <w:rFonts w:ascii="Times New Roman" w:hAnsi="Times New Roman" w:cs="Times New Roman"/>
          <w:sz w:val="24"/>
          <w:szCs w:val="24"/>
        </w:rPr>
        <w:t>substantially more than they should be paying</w:t>
      </w:r>
      <w:r w:rsidR="00585C7B">
        <w:rPr>
          <w:rFonts w:ascii="Times New Roman" w:hAnsi="Times New Roman" w:cs="Times New Roman"/>
          <w:sz w:val="24"/>
          <w:szCs w:val="24"/>
        </w:rPr>
        <w:t>.</w:t>
      </w:r>
      <w:r>
        <w:rPr>
          <w:rStyle w:val="FootnoteReference"/>
          <w:rFonts w:ascii="Times New Roman" w:hAnsi="Times New Roman" w:cs="Times New Roman"/>
          <w:sz w:val="24"/>
          <w:szCs w:val="24"/>
        </w:rPr>
        <w:footnoteReference w:id="31"/>
      </w:r>
      <w:r w:rsidRPr="001421A7" w:rsidR="001421A7">
        <w:rPr>
          <w:rFonts w:ascii="Times New Roman" w:hAnsi="Times New Roman" w:cs="Times New Roman"/>
          <w:sz w:val="24"/>
          <w:szCs w:val="24"/>
        </w:rPr>
        <w:t xml:space="preserve"> </w:t>
      </w:r>
      <w:r w:rsidRPr="00335161" w:rsidR="00CE0C84">
        <w:rPr>
          <w:rFonts w:ascii="Times New Roman" w:hAnsi="Times New Roman" w:cs="Times New Roman"/>
          <w:sz w:val="24"/>
          <w:szCs w:val="24"/>
        </w:rPr>
        <w:t xml:space="preserve">As OCC explained in its </w:t>
      </w:r>
      <w:r w:rsidRPr="00335161" w:rsidR="00FD5323">
        <w:rPr>
          <w:rFonts w:ascii="Times New Roman" w:hAnsi="Times New Roman" w:cs="Times New Roman"/>
          <w:sz w:val="24"/>
          <w:szCs w:val="24"/>
        </w:rPr>
        <w:t>b</w:t>
      </w:r>
      <w:r w:rsidRPr="00583891" w:rsidR="00CE0C84">
        <w:rPr>
          <w:rFonts w:ascii="Times New Roman" w:hAnsi="Times New Roman" w:cs="Times New Roman"/>
          <w:sz w:val="24"/>
          <w:szCs w:val="24"/>
        </w:rPr>
        <w:t xml:space="preserve">rief, </w:t>
      </w:r>
      <w:r w:rsidRPr="007D4CC0" w:rsidR="00FD5323">
        <w:rPr>
          <w:rFonts w:ascii="Times New Roman" w:hAnsi="Times New Roman" w:cs="Times New Roman"/>
          <w:sz w:val="24"/>
          <w:szCs w:val="24"/>
        </w:rPr>
        <w:t>t</w:t>
      </w:r>
      <w:r w:rsidRPr="00A40748" w:rsidR="00CE0C84">
        <w:rPr>
          <w:rFonts w:ascii="Times New Roman" w:hAnsi="Times New Roman" w:cs="Times New Roman"/>
          <w:sz w:val="24"/>
          <w:szCs w:val="24"/>
        </w:rPr>
        <w:t>he 9.91% pre-tax rate of return proposed by Dominion is unreasonable for two reasons.</w:t>
      </w:r>
      <w:r>
        <w:rPr>
          <w:rStyle w:val="FootnoteReference"/>
          <w:rFonts w:ascii="Times New Roman" w:hAnsi="Times New Roman" w:cs="Times New Roman"/>
          <w:sz w:val="24"/>
          <w:szCs w:val="24"/>
        </w:rPr>
        <w:footnoteReference w:id="32"/>
      </w:r>
      <w:r w:rsidRPr="00A40748" w:rsidR="00CE0C84">
        <w:rPr>
          <w:rFonts w:ascii="Times New Roman" w:hAnsi="Times New Roman" w:cs="Times New Roman"/>
          <w:sz w:val="24"/>
          <w:szCs w:val="24"/>
        </w:rPr>
        <w:t xml:space="preserve"> </w:t>
      </w:r>
    </w:p>
    <w:p w:rsidR="00D667A3" w:rsidP="001421A7" w14:paraId="283E37BD" w14:textId="77777777">
      <w:pPr>
        <w:pStyle w:val="NoSpacing"/>
        <w:spacing w:line="480" w:lineRule="auto"/>
        <w:ind w:firstLine="720"/>
        <w:rPr>
          <w:rFonts w:ascii="Times New Roman" w:hAnsi="Times New Roman" w:cs="Times New Roman"/>
          <w:sz w:val="24"/>
          <w:szCs w:val="24"/>
        </w:rPr>
      </w:pPr>
      <w:r w:rsidRPr="00A40748">
        <w:rPr>
          <w:rFonts w:ascii="Times New Roman" w:hAnsi="Times New Roman" w:cs="Times New Roman"/>
          <w:sz w:val="24"/>
          <w:szCs w:val="24"/>
        </w:rPr>
        <w:t>First, the use of this vastly inflated pre-tax rate of return will result in much higher than justified charges for consumers and is thus unreasonable.</w:t>
      </w:r>
      <w:r>
        <w:rPr>
          <w:rStyle w:val="FootnoteReference"/>
          <w:rFonts w:ascii="Times New Roman" w:hAnsi="Times New Roman" w:cs="Times New Roman"/>
          <w:sz w:val="24"/>
          <w:szCs w:val="24"/>
        </w:rPr>
        <w:footnoteReference w:id="33"/>
      </w:r>
      <w:r w:rsidRPr="00A40748">
        <w:rPr>
          <w:rFonts w:ascii="Times New Roman" w:hAnsi="Times New Roman" w:cs="Times New Roman"/>
          <w:sz w:val="24"/>
          <w:szCs w:val="24"/>
        </w:rPr>
        <w:t xml:space="preserve"> Compared to Dr. Duann’s recommended pretax rate of return of 7.20%, adopting the 9.91% pre-tax rate of return would increase the CEP charges to consumers by approximately $18.6 million ($18,620,427) in this proceeding assuming a rate base of $687,100,619 as recommended in the Audit Report.</w:t>
      </w:r>
      <w:r>
        <w:rPr>
          <w:rStyle w:val="FootnoteReference"/>
          <w:rFonts w:ascii="Times New Roman" w:hAnsi="Times New Roman" w:cs="Times New Roman"/>
          <w:sz w:val="24"/>
          <w:szCs w:val="24"/>
        </w:rPr>
        <w:footnoteReference w:id="34"/>
      </w:r>
      <w:r w:rsidRPr="00A40748">
        <w:rPr>
          <w:rFonts w:ascii="Times New Roman" w:hAnsi="Times New Roman" w:cs="Times New Roman"/>
          <w:sz w:val="24"/>
          <w:szCs w:val="24"/>
        </w:rPr>
        <w:t xml:space="preserve"> </w:t>
      </w:r>
    </w:p>
    <w:p w:rsidR="001421A7" w:rsidP="001421A7" w14:paraId="0DEF64A3" w14:textId="4C6FE996">
      <w:pPr>
        <w:pStyle w:val="NoSpacing"/>
        <w:spacing w:line="480" w:lineRule="auto"/>
        <w:ind w:firstLine="720"/>
        <w:rPr>
          <w:rFonts w:ascii="Times New Roman" w:hAnsi="Times New Roman" w:cs="Times New Roman"/>
          <w:sz w:val="24"/>
          <w:szCs w:val="24"/>
        </w:rPr>
      </w:pPr>
      <w:r w:rsidRPr="00A40748">
        <w:rPr>
          <w:rFonts w:ascii="Times New Roman" w:hAnsi="Times New Roman" w:cs="Times New Roman"/>
          <w:sz w:val="24"/>
          <w:szCs w:val="24"/>
        </w:rPr>
        <w:t>Second, the financial market conditions and the business and financial risks facing Dominion have improved significantly since 2008.</w:t>
      </w:r>
      <w:r>
        <w:rPr>
          <w:rStyle w:val="FootnoteReference"/>
          <w:rFonts w:ascii="Times New Roman" w:hAnsi="Times New Roman" w:cs="Times New Roman"/>
          <w:sz w:val="24"/>
          <w:szCs w:val="24"/>
        </w:rPr>
        <w:footnoteReference w:id="35"/>
      </w:r>
      <w:r w:rsidRPr="00A40748">
        <w:rPr>
          <w:rFonts w:ascii="Times New Roman" w:hAnsi="Times New Roman" w:cs="Times New Roman"/>
          <w:sz w:val="24"/>
          <w:szCs w:val="24"/>
        </w:rPr>
        <w:t xml:space="preserve"> The Settlement’s use of a rate of return decided in the last rate case over 13 years ago as a proxy for the current rate of return for Dominion violates important regulatory principles</w:t>
      </w:r>
      <w:r>
        <w:rPr>
          <w:rStyle w:val="FootnoteReference"/>
          <w:rFonts w:ascii="Times New Roman" w:hAnsi="Times New Roman" w:cs="Times New Roman"/>
          <w:sz w:val="24"/>
          <w:szCs w:val="24"/>
        </w:rPr>
        <w:footnoteReference w:id="36"/>
      </w:r>
      <w:r w:rsidRPr="00A40748">
        <w:rPr>
          <w:rFonts w:ascii="Times New Roman" w:hAnsi="Times New Roman" w:cs="Times New Roman"/>
          <w:sz w:val="24"/>
          <w:szCs w:val="24"/>
        </w:rPr>
        <w:t xml:space="preserve"> and state policies</w:t>
      </w:r>
      <w:r>
        <w:rPr>
          <w:rStyle w:val="FootnoteReference"/>
          <w:rFonts w:ascii="Times New Roman" w:hAnsi="Times New Roman" w:cs="Times New Roman"/>
          <w:sz w:val="24"/>
          <w:szCs w:val="24"/>
        </w:rPr>
        <w:footnoteReference w:id="37"/>
      </w:r>
      <w:r w:rsidRPr="004864CF" w:rsidR="004864CF">
        <w:rPr>
          <w:rFonts w:ascii="Times New Roman" w:hAnsi="Times New Roman" w:cs="Times New Roman"/>
          <w:sz w:val="24"/>
          <w:szCs w:val="24"/>
        </w:rPr>
        <w:t>—</w:t>
      </w:r>
      <w:r w:rsidRPr="00A40748">
        <w:rPr>
          <w:rFonts w:ascii="Times New Roman" w:hAnsi="Times New Roman" w:cs="Times New Roman"/>
          <w:sz w:val="24"/>
          <w:szCs w:val="24"/>
        </w:rPr>
        <w:t>and thus is unreasonable. Specifically, Dominion’s current cost of debt is 2.29%</w:t>
      </w:r>
      <w:r w:rsidR="004864CF">
        <w:rPr>
          <w:rFonts w:ascii="Times New Roman" w:hAnsi="Times New Roman" w:cs="Times New Roman"/>
          <w:sz w:val="24"/>
          <w:szCs w:val="24"/>
        </w:rPr>
        <w:t>--</w:t>
      </w:r>
      <w:r w:rsidRPr="00A40748" w:rsidR="00036CC9">
        <w:rPr>
          <w:rFonts w:ascii="Times New Roman" w:hAnsi="Times New Roman" w:cs="Times New Roman"/>
          <w:sz w:val="24"/>
          <w:szCs w:val="24"/>
        </w:rPr>
        <w:t>merely a third of the debt rate that Dominion wants to charge con</w:t>
      </w:r>
      <w:r w:rsidRPr="00A40748" w:rsidR="00D963B3">
        <w:rPr>
          <w:rFonts w:ascii="Times New Roman" w:hAnsi="Times New Roman" w:cs="Times New Roman"/>
          <w:sz w:val="24"/>
          <w:szCs w:val="24"/>
        </w:rPr>
        <w:t>s</w:t>
      </w:r>
      <w:r w:rsidRPr="00A40748" w:rsidR="00036CC9">
        <w:rPr>
          <w:rFonts w:ascii="Times New Roman" w:hAnsi="Times New Roman" w:cs="Times New Roman"/>
          <w:sz w:val="24"/>
          <w:szCs w:val="24"/>
        </w:rPr>
        <w:t>umers</w:t>
      </w:r>
      <w:r w:rsidRPr="00A40748" w:rsidR="00AF1A3C">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t xml:space="preserve"> </w:t>
      </w:r>
      <w:r w:rsidR="00AF1A3C">
        <w:rPr>
          <w:rFonts w:ascii="Times New Roman" w:hAnsi="Times New Roman" w:cs="Times New Roman"/>
          <w:sz w:val="24"/>
          <w:szCs w:val="24"/>
        </w:rPr>
        <w:t>And</w:t>
      </w:r>
      <w:r w:rsidRPr="001421A7">
        <w:rPr>
          <w:rFonts w:ascii="Times New Roman" w:hAnsi="Times New Roman" w:cs="Times New Roman"/>
          <w:sz w:val="24"/>
          <w:szCs w:val="24"/>
        </w:rPr>
        <w:t xml:space="preserve"> c</w:t>
      </w:r>
      <w:r w:rsidR="00585C7B">
        <w:rPr>
          <w:rFonts w:ascii="Times New Roman" w:hAnsi="Times New Roman" w:cs="Times New Roman"/>
          <w:sz w:val="24"/>
          <w:szCs w:val="24"/>
        </w:rPr>
        <w:t>onsumers</w:t>
      </w:r>
      <w:r w:rsidRPr="001421A7">
        <w:rPr>
          <w:rFonts w:ascii="Times New Roman" w:hAnsi="Times New Roman" w:cs="Times New Roman"/>
          <w:sz w:val="24"/>
          <w:szCs w:val="24"/>
        </w:rPr>
        <w:t xml:space="preserve"> get nothing of value in exchange for their extra dollars.</w:t>
      </w:r>
      <w:r w:rsidR="00AF18D6">
        <w:rPr>
          <w:rFonts w:ascii="Times New Roman" w:hAnsi="Times New Roman" w:cs="Times New Roman"/>
          <w:sz w:val="24"/>
          <w:szCs w:val="24"/>
        </w:rPr>
        <w:t xml:space="preserve"> </w:t>
      </w:r>
      <w:r w:rsidRPr="001421A7">
        <w:rPr>
          <w:rFonts w:ascii="Times New Roman" w:hAnsi="Times New Roman" w:cs="Times New Roman"/>
          <w:sz w:val="24"/>
          <w:szCs w:val="24"/>
        </w:rPr>
        <w:t>Dominion</w:t>
      </w:r>
      <w:r w:rsidR="000E2F20">
        <w:rPr>
          <w:rFonts w:ascii="Times New Roman" w:hAnsi="Times New Roman" w:cs="Times New Roman"/>
          <w:sz w:val="24"/>
          <w:szCs w:val="24"/>
        </w:rPr>
        <w:t xml:space="preserve"> shareholders</w:t>
      </w:r>
      <w:r w:rsidRPr="001421A7">
        <w:rPr>
          <w:rFonts w:ascii="Times New Roman" w:hAnsi="Times New Roman" w:cs="Times New Roman"/>
          <w:sz w:val="24"/>
          <w:szCs w:val="24"/>
        </w:rPr>
        <w:t xml:space="preserve"> get an undeserved </w:t>
      </w:r>
      <w:r w:rsidRPr="001421A7" w:rsidR="00652546">
        <w:rPr>
          <w:rFonts w:ascii="Times New Roman" w:hAnsi="Times New Roman" w:cs="Times New Roman"/>
          <w:sz w:val="24"/>
          <w:szCs w:val="24"/>
        </w:rPr>
        <w:t>windfall,</w:t>
      </w:r>
      <w:r w:rsidRPr="001421A7">
        <w:rPr>
          <w:rFonts w:ascii="Times New Roman" w:hAnsi="Times New Roman" w:cs="Times New Roman"/>
          <w:sz w:val="24"/>
          <w:szCs w:val="24"/>
        </w:rPr>
        <w:t xml:space="preserve"> and all consumers get in return is a higher bill.</w:t>
      </w:r>
      <w:r w:rsidR="00AF18D6">
        <w:rPr>
          <w:rFonts w:ascii="Times New Roman" w:hAnsi="Times New Roman" w:cs="Times New Roman"/>
          <w:sz w:val="24"/>
          <w:szCs w:val="24"/>
        </w:rPr>
        <w:t xml:space="preserve"> </w:t>
      </w:r>
      <w:r w:rsidR="00E3001B">
        <w:rPr>
          <w:rFonts w:ascii="Times New Roman" w:hAnsi="Times New Roman" w:cs="Times New Roman"/>
          <w:sz w:val="24"/>
          <w:szCs w:val="24"/>
        </w:rPr>
        <w:t>This</w:t>
      </w:r>
      <w:r w:rsidR="00B13708">
        <w:rPr>
          <w:rFonts w:ascii="Times New Roman" w:hAnsi="Times New Roman" w:cs="Times New Roman"/>
          <w:sz w:val="24"/>
          <w:szCs w:val="24"/>
        </w:rPr>
        <w:t xml:space="preserve"> breaks the regulatory compact.</w:t>
      </w:r>
      <w:r w:rsidRPr="001421A7">
        <w:rPr>
          <w:rFonts w:ascii="Times New Roman" w:hAnsi="Times New Roman" w:cs="Times New Roman"/>
          <w:sz w:val="24"/>
          <w:szCs w:val="24"/>
        </w:rPr>
        <w:t xml:space="preserve"> </w:t>
      </w:r>
    </w:p>
    <w:p w:rsidR="0030336B" w:rsidP="004722CF" w14:paraId="320B6456" w14:textId="7777777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7E2F23">
        <w:rPr>
          <w:rFonts w:ascii="Times New Roman" w:hAnsi="Times New Roman" w:cs="Times New Roman"/>
          <w:sz w:val="24"/>
          <w:szCs w:val="24"/>
        </w:rPr>
        <w:t xml:space="preserve">PUCO Staff failed to address the rate of return </w:t>
      </w:r>
      <w:r w:rsidR="00D43F1B">
        <w:rPr>
          <w:rFonts w:ascii="Times New Roman" w:hAnsi="Times New Roman" w:cs="Times New Roman"/>
          <w:sz w:val="24"/>
          <w:szCs w:val="24"/>
        </w:rPr>
        <w:t>issue in its brief, despite OCC</w:t>
      </w:r>
      <w:r w:rsidR="00CB1037">
        <w:rPr>
          <w:rFonts w:ascii="Times New Roman" w:hAnsi="Times New Roman" w:cs="Times New Roman"/>
          <w:sz w:val="24"/>
          <w:szCs w:val="24"/>
        </w:rPr>
        <w:t>’</w:t>
      </w:r>
      <w:r w:rsidR="00D43F1B">
        <w:rPr>
          <w:rFonts w:ascii="Times New Roman" w:hAnsi="Times New Roman" w:cs="Times New Roman"/>
          <w:sz w:val="24"/>
          <w:szCs w:val="24"/>
        </w:rPr>
        <w:t>s expert Dr. Daniel Duann</w:t>
      </w:r>
      <w:r w:rsidR="00CB1037">
        <w:rPr>
          <w:rFonts w:ascii="Times New Roman" w:hAnsi="Times New Roman" w:cs="Times New Roman"/>
          <w:sz w:val="24"/>
          <w:szCs w:val="24"/>
        </w:rPr>
        <w:t>’s compelling and unopposed testimony on the matter</w:t>
      </w:r>
      <w:r w:rsidR="00D43F1B">
        <w:rPr>
          <w:rFonts w:ascii="Times New Roman" w:hAnsi="Times New Roman" w:cs="Times New Roman"/>
          <w:sz w:val="24"/>
          <w:szCs w:val="24"/>
        </w:rPr>
        <w:t xml:space="preserve">. But </w:t>
      </w:r>
      <w:r w:rsidRPr="00472A7B" w:rsidR="005D4EFB">
        <w:rPr>
          <w:rFonts w:ascii="Times New Roman" w:hAnsi="Times New Roman" w:cs="Times New Roman"/>
          <w:sz w:val="24"/>
          <w:szCs w:val="24"/>
        </w:rPr>
        <w:t>Dominion asserts that the rate of return agreed to in the Settlement is consistent with the PUCO’s authorization of the CEP charge.</w:t>
      </w:r>
      <w:r>
        <w:rPr>
          <w:rStyle w:val="FootnoteReference"/>
          <w:rFonts w:ascii="Times New Roman" w:hAnsi="Times New Roman" w:cs="Times New Roman"/>
          <w:sz w:val="24"/>
          <w:szCs w:val="24"/>
        </w:rPr>
        <w:footnoteReference w:id="39"/>
      </w:r>
      <w:r w:rsidRPr="00472A7B" w:rsidR="005D4EFB">
        <w:rPr>
          <w:rFonts w:ascii="Times New Roman" w:hAnsi="Times New Roman" w:cs="Times New Roman"/>
          <w:sz w:val="24"/>
          <w:szCs w:val="24"/>
        </w:rPr>
        <w:t xml:space="preserve"> </w:t>
      </w:r>
      <w:r w:rsidRPr="00472A7B" w:rsidR="00472A7B">
        <w:rPr>
          <w:rFonts w:ascii="Times New Roman" w:hAnsi="Times New Roman" w:cs="Times New Roman"/>
          <w:sz w:val="24"/>
          <w:szCs w:val="24"/>
        </w:rPr>
        <w:t xml:space="preserve">The </w:t>
      </w:r>
      <w:r w:rsidR="00472A7B">
        <w:rPr>
          <w:rFonts w:ascii="Times New Roman" w:hAnsi="Times New Roman" w:cs="Times New Roman"/>
          <w:sz w:val="24"/>
          <w:szCs w:val="24"/>
        </w:rPr>
        <w:t>rate of return</w:t>
      </w:r>
      <w:r w:rsidRPr="00472A7B" w:rsidR="00472A7B">
        <w:rPr>
          <w:rFonts w:ascii="Times New Roman" w:hAnsi="Times New Roman" w:cs="Times New Roman"/>
          <w:sz w:val="24"/>
          <w:szCs w:val="24"/>
        </w:rPr>
        <w:t xml:space="preserve"> in this case is consistent with the PUCO’s Order in Case No. 19-468-GA-ALT</w:t>
      </w:r>
      <w:r w:rsidR="00D20E80">
        <w:rPr>
          <w:rFonts w:ascii="Times New Roman" w:hAnsi="Times New Roman" w:cs="Times New Roman"/>
          <w:sz w:val="24"/>
          <w:szCs w:val="24"/>
        </w:rPr>
        <w:t>.</w:t>
      </w:r>
      <w:r w:rsidRPr="00472A7B" w:rsidR="00472A7B">
        <w:rPr>
          <w:rFonts w:ascii="Times New Roman" w:hAnsi="Times New Roman" w:cs="Times New Roman"/>
          <w:sz w:val="24"/>
          <w:szCs w:val="24"/>
        </w:rPr>
        <w:t xml:space="preserve"> </w:t>
      </w:r>
      <w:r w:rsidR="00D20E80">
        <w:rPr>
          <w:rFonts w:ascii="Times New Roman" w:hAnsi="Times New Roman" w:cs="Times New Roman"/>
          <w:sz w:val="24"/>
          <w:szCs w:val="24"/>
        </w:rPr>
        <w:t>But</w:t>
      </w:r>
      <w:r w:rsidRPr="00472A7B" w:rsidR="00472A7B">
        <w:rPr>
          <w:rFonts w:ascii="Times New Roman" w:hAnsi="Times New Roman" w:cs="Times New Roman"/>
          <w:sz w:val="24"/>
          <w:szCs w:val="24"/>
        </w:rPr>
        <w:t xml:space="preserve"> that Order is subject to rehearing.</w:t>
      </w:r>
      <w:r w:rsidR="00AF18D6">
        <w:rPr>
          <w:rFonts w:ascii="Times New Roman" w:hAnsi="Times New Roman" w:cs="Times New Roman"/>
          <w:sz w:val="24"/>
          <w:szCs w:val="24"/>
        </w:rPr>
        <w:t xml:space="preserve"> </w:t>
      </w:r>
    </w:p>
    <w:p w:rsidR="00B0097D" w:rsidRPr="004722CF" w:rsidP="004722CF" w14:paraId="08231B7A" w14:textId="7FB5579F">
      <w:pPr>
        <w:pStyle w:val="NoSpacing"/>
        <w:spacing w:line="480" w:lineRule="auto"/>
        <w:ind w:firstLine="720"/>
        <w:rPr>
          <w:rFonts w:ascii="Times New Roman" w:hAnsi="Times New Roman" w:cs="Times New Roman"/>
          <w:sz w:val="24"/>
          <w:szCs w:val="24"/>
        </w:rPr>
      </w:pPr>
      <w:r w:rsidRPr="00472A7B">
        <w:rPr>
          <w:rFonts w:ascii="Times New Roman" w:hAnsi="Times New Roman" w:cs="Times New Roman"/>
          <w:sz w:val="24"/>
          <w:szCs w:val="24"/>
        </w:rPr>
        <w:t>The legal standard applicable here is “just and reasonable” as established by R.C. 4929.05 (A)(3) and 4929.111.</w:t>
      </w:r>
      <w:r w:rsidR="00AF18D6">
        <w:rPr>
          <w:rFonts w:ascii="Times New Roman" w:hAnsi="Times New Roman" w:cs="Times New Roman"/>
          <w:sz w:val="24"/>
          <w:szCs w:val="24"/>
        </w:rPr>
        <w:t xml:space="preserve"> </w:t>
      </w:r>
      <w:r w:rsidRPr="00472A7B">
        <w:rPr>
          <w:rFonts w:ascii="Times New Roman" w:hAnsi="Times New Roman" w:cs="Times New Roman"/>
          <w:sz w:val="24"/>
          <w:szCs w:val="24"/>
        </w:rPr>
        <w:t xml:space="preserve">And </w:t>
      </w:r>
      <w:r w:rsidR="00104D1E">
        <w:rPr>
          <w:rFonts w:ascii="Times New Roman" w:hAnsi="Times New Roman" w:cs="Times New Roman"/>
          <w:sz w:val="24"/>
          <w:szCs w:val="24"/>
        </w:rPr>
        <w:t>using</w:t>
      </w:r>
      <w:r w:rsidRPr="00472A7B">
        <w:rPr>
          <w:rFonts w:ascii="Times New Roman" w:hAnsi="Times New Roman" w:cs="Times New Roman"/>
          <w:sz w:val="24"/>
          <w:szCs w:val="24"/>
        </w:rPr>
        <w:t xml:space="preserve"> the outdated and inflated </w:t>
      </w:r>
      <w:r w:rsidR="00743114">
        <w:rPr>
          <w:rFonts w:ascii="Times New Roman" w:hAnsi="Times New Roman" w:cs="Times New Roman"/>
          <w:sz w:val="24"/>
          <w:szCs w:val="24"/>
        </w:rPr>
        <w:t>rate of return</w:t>
      </w:r>
      <w:r w:rsidRPr="00472A7B">
        <w:rPr>
          <w:rFonts w:ascii="Times New Roman" w:hAnsi="Times New Roman" w:cs="Times New Roman"/>
          <w:sz w:val="24"/>
          <w:szCs w:val="24"/>
        </w:rPr>
        <w:t xml:space="preserve"> that was set more than 13 years ago is clearly unjust and unreasonable.</w:t>
      </w:r>
      <w:r w:rsidR="00AF18D6">
        <w:rPr>
          <w:rFonts w:ascii="Times New Roman" w:hAnsi="Times New Roman" w:cs="Times New Roman"/>
          <w:sz w:val="24"/>
          <w:szCs w:val="24"/>
        </w:rPr>
        <w:t xml:space="preserve"> </w:t>
      </w:r>
      <w:r w:rsidRPr="00472A7B">
        <w:rPr>
          <w:rFonts w:ascii="Times New Roman" w:hAnsi="Times New Roman" w:cs="Times New Roman"/>
          <w:sz w:val="24"/>
          <w:szCs w:val="24"/>
        </w:rPr>
        <w:t xml:space="preserve">Consumers pay more than they should for the </w:t>
      </w:r>
      <w:r w:rsidRPr="00472A7B" w:rsidR="00AC477B">
        <w:rPr>
          <w:rFonts w:ascii="Times New Roman" w:hAnsi="Times New Roman" w:cs="Times New Roman"/>
          <w:sz w:val="24"/>
          <w:szCs w:val="24"/>
        </w:rPr>
        <w:t>CEP,</w:t>
      </w:r>
      <w:r w:rsidRPr="00472A7B">
        <w:rPr>
          <w:rFonts w:ascii="Times New Roman" w:hAnsi="Times New Roman" w:cs="Times New Roman"/>
          <w:sz w:val="24"/>
          <w:szCs w:val="24"/>
        </w:rPr>
        <w:t xml:space="preserve"> and they get nothing of value in return.</w:t>
      </w:r>
      <w:r w:rsidR="00AF18D6">
        <w:rPr>
          <w:rFonts w:ascii="Times New Roman" w:hAnsi="Times New Roman" w:cs="Times New Roman"/>
          <w:sz w:val="24"/>
          <w:szCs w:val="24"/>
        </w:rPr>
        <w:t xml:space="preserve"> </w:t>
      </w:r>
      <w:r w:rsidRPr="00472A7B">
        <w:rPr>
          <w:rFonts w:ascii="Times New Roman" w:hAnsi="Times New Roman" w:cs="Times New Roman"/>
          <w:sz w:val="24"/>
          <w:szCs w:val="24"/>
        </w:rPr>
        <w:t>Dominion gets a windfall and consumers get a higher bill.</w:t>
      </w:r>
      <w:r w:rsidR="00AF18D6">
        <w:rPr>
          <w:rFonts w:ascii="Times New Roman" w:hAnsi="Times New Roman" w:cs="Times New Roman"/>
          <w:sz w:val="24"/>
          <w:szCs w:val="24"/>
        </w:rPr>
        <w:t xml:space="preserve"> </w:t>
      </w:r>
      <w:r w:rsidRPr="00472A7B">
        <w:rPr>
          <w:rFonts w:ascii="Times New Roman" w:hAnsi="Times New Roman" w:cs="Times New Roman"/>
          <w:sz w:val="24"/>
          <w:szCs w:val="24"/>
        </w:rPr>
        <w:t xml:space="preserve">The same is true for the </w:t>
      </w:r>
      <w:r w:rsidR="002A5466">
        <w:rPr>
          <w:rFonts w:ascii="Times New Roman" w:hAnsi="Times New Roman" w:cs="Times New Roman"/>
          <w:sz w:val="24"/>
          <w:szCs w:val="24"/>
        </w:rPr>
        <w:t>AIP financial performance incentives</w:t>
      </w:r>
      <w:r w:rsidRPr="00472A7B">
        <w:rPr>
          <w:rFonts w:ascii="Times New Roman" w:hAnsi="Times New Roman" w:cs="Times New Roman"/>
          <w:sz w:val="24"/>
          <w:szCs w:val="24"/>
        </w:rPr>
        <w:t>.</w:t>
      </w:r>
      <w:r w:rsidR="00AF18D6">
        <w:rPr>
          <w:rFonts w:ascii="Times New Roman" w:hAnsi="Times New Roman" w:cs="Times New Roman"/>
          <w:sz w:val="24"/>
          <w:szCs w:val="24"/>
        </w:rPr>
        <w:t xml:space="preserve"> </w:t>
      </w:r>
      <w:r w:rsidRPr="00472A7B">
        <w:rPr>
          <w:rFonts w:ascii="Times New Roman" w:hAnsi="Times New Roman" w:cs="Times New Roman"/>
          <w:sz w:val="24"/>
          <w:szCs w:val="24"/>
        </w:rPr>
        <w:t>Consumers pay more than they otherwise should, but they get nothing of value in return.</w:t>
      </w:r>
      <w:r w:rsidR="00AF18D6">
        <w:rPr>
          <w:rFonts w:ascii="Times New Roman" w:hAnsi="Times New Roman" w:cs="Times New Roman"/>
          <w:sz w:val="24"/>
          <w:szCs w:val="24"/>
        </w:rPr>
        <w:t xml:space="preserve"> </w:t>
      </w:r>
      <w:r w:rsidRPr="00472A7B">
        <w:rPr>
          <w:rFonts w:ascii="Times New Roman" w:hAnsi="Times New Roman" w:cs="Times New Roman"/>
          <w:sz w:val="24"/>
          <w:szCs w:val="24"/>
        </w:rPr>
        <w:t>Dominion’s</w:t>
      </w:r>
      <w:r w:rsidR="00792F9F">
        <w:rPr>
          <w:rFonts w:ascii="Times New Roman" w:hAnsi="Times New Roman" w:cs="Times New Roman"/>
          <w:sz w:val="24"/>
          <w:szCs w:val="24"/>
        </w:rPr>
        <w:t xml:space="preserve"> </w:t>
      </w:r>
      <w:r w:rsidRPr="00472A7B">
        <w:rPr>
          <w:rFonts w:ascii="Times New Roman" w:hAnsi="Times New Roman" w:cs="Times New Roman"/>
          <w:sz w:val="24"/>
          <w:szCs w:val="24"/>
        </w:rPr>
        <w:t xml:space="preserve">shareholders benefit, but consumers get nothing but </w:t>
      </w:r>
      <w:r w:rsidR="00E561DF">
        <w:rPr>
          <w:rFonts w:ascii="Times New Roman" w:hAnsi="Times New Roman" w:cs="Times New Roman"/>
          <w:sz w:val="24"/>
          <w:szCs w:val="24"/>
        </w:rPr>
        <w:t>a</w:t>
      </w:r>
      <w:r w:rsidRPr="00472A7B">
        <w:rPr>
          <w:rFonts w:ascii="Times New Roman" w:hAnsi="Times New Roman" w:cs="Times New Roman"/>
          <w:sz w:val="24"/>
          <w:szCs w:val="24"/>
        </w:rPr>
        <w:t xml:space="preserve"> higher bill.</w:t>
      </w:r>
      <w:r w:rsidR="00E561DF">
        <w:rPr>
          <w:rFonts w:ascii="Times New Roman" w:hAnsi="Times New Roman" w:cs="Times New Roman"/>
          <w:sz w:val="24"/>
          <w:szCs w:val="24"/>
        </w:rPr>
        <w:t xml:space="preserve"> This is neither just nor reasonable.</w:t>
      </w:r>
      <w:r w:rsidR="00A5200D">
        <w:t xml:space="preserve"> </w:t>
      </w:r>
    </w:p>
    <w:p w:rsidR="00116A1D" w:rsidP="0023055B" w14:paraId="3F953014" w14:textId="7E0E32A9">
      <w:pPr>
        <w:pStyle w:val="BodyTextIndent3"/>
        <w:spacing w:line="480" w:lineRule="auto"/>
      </w:pPr>
      <w:r>
        <w:t xml:space="preserve">The PUCO should reject the Settlement </w:t>
      </w:r>
      <w:r w:rsidR="004722CF">
        <w:t xml:space="preserve">or modify it </w:t>
      </w:r>
      <w:r w:rsidR="0023055B">
        <w:t>based on OCC’s consumer protection recommendations.</w:t>
      </w:r>
      <w:r>
        <w:t xml:space="preserve"> </w:t>
      </w:r>
    </w:p>
    <w:p w:rsidR="00C2139C" w:rsidP="00C2139C" w14:paraId="01BA7BB1" w14:textId="77777777">
      <w:pPr>
        <w:pStyle w:val="BodyTextIndent3"/>
        <w:spacing w:line="240" w:lineRule="auto"/>
      </w:pPr>
    </w:p>
    <w:p w:rsidR="00E522A9" w:rsidRPr="00B9194E" w:rsidP="00C2213A" w14:paraId="654DD4ED" w14:textId="77777777">
      <w:pPr>
        <w:pStyle w:val="Heading1"/>
      </w:pPr>
      <w:bookmarkStart w:id="7" w:name="_Toc52353764"/>
      <w:bookmarkStart w:id="8" w:name="_Toc85553508"/>
      <w:r>
        <w:t>I</w:t>
      </w:r>
      <w:r w:rsidR="005731CF">
        <w:t>II</w:t>
      </w:r>
      <w:r>
        <w:t>.</w:t>
      </w:r>
      <w:r w:rsidR="00C10A2A">
        <w:tab/>
      </w:r>
      <w:r w:rsidR="00B9194E">
        <w:t>CONCLUSION</w:t>
      </w:r>
      <w:bookmarkEnd w:id="7"/>
      <w:bookmarkEnd w:id="8"/>
    </w:p>
    <w:p w:rsidR="005632C4" w:rsidP="005632C4" w14:paraId="21AE3067" w14:textId="01AC53B3">
      <w:pPr>
        <w:pStyle w:val="BodyTextIndent3"/>
        <w:spacing w:line="480" w:lineRule="auto"/>
      </w:pPr>
      <w:r w:rsidRPr="00F90FC4">
        <w:t>“[T]he purpose of the PUCO * * * is t</w:t>
      </w:r>
      <w:r w:rsidR="00546042">
        <w:t>o</w:t>
      </w:r>
      <w:r w:rsidRPr="00F90FC4">
        <w:t xml:space="preserve"> protect the customers of public utilities.”</w:t>
      </w:r>
      <w:r>
        <w:rPr>
          <w:rStyle w:val="FootnoteReference"/>
        </w:rPr>
        <w:footnoteReference w:id="40"/>
      </w:r>
      <w:r w:rsidRPr="00F90FC4">
        <w:t xml:space="preserve"> </w:t>
      </w:r>
      <w:r w:rsidR="00A5200D">
        <w:t>The PUCO cannot change the bad CEP la</w:t>
      </w:r>
      <w:r w:rsidR="00104D1E">
        <w:t>w.</w:t>
      </w:r>
      <w:r w:rsidR="00AF18D6">
        <w:t xml:space="preserve"> </w:t>
      </w:r>
      <w:r w:rsidR="00104D1E">
        <w:t>B</w:t>
      </w:r>
      <w:r w:rsidR="00A5200D">
        <w:t xml:space="preserve">ut it can mitigate its harmful effects by rejecting or modifying the Settlement and adopting OCC’s consumer-protection recommendations. </w:t>
      </w:r>
      <w:r w:rsidR="00495950">
        <w:t xml:space="preserve">The PUCO should require Dominion to use its current cost of </w:t>
      </w:r>
      <w:r w:rsidR="00A21D3D">
        <w:t xml:space="preserve">debt </w:t>
      </w:r>
      <w:r w:rsidR="00F0149C">
        <w:t>and deny its</w:t>
      </w:r>
      <w:r w:rsidRPr="00FE1FC1" w:rsidR="00A21D3D">
        <w:rPr>
          <w:szCs w:val="24"/>
        </w:rPr>
        <w:t xml:space="preserve"> $18,620,427</w:t>
      </w:r>
      <w:r w:rsidR="00F0149C">
        <w:rPr>
          <w:szCs w:val="24"/>
        </w:rPr>
        <w:t xml:space="preserve"> rate of return increase to consumers</w:t>
      </w:r>
      <w:r w:rsidR="00583891">
        <w:rPr>
          <w:szCs w:val="24"/>
        </w:rPr>
        <w:t>.</w:t>
      </w:r>
      <w:r w:rsidR="0035488D">
        <w:rPr>
          <w:szCs w:val="24"/>
        </w:rPr>
        <w:t xml:space="preserve"> </w:t>
      </w:r>
      <w:r>
        <w:t xml:space="preserve">The PUCO should fulfill its purpose here by rejecting </w:t>
      </w:r>
      <w:r w:rsidR="001E478D">
        <w:t xml:space="preserve">or modifying </w:t>
      </w:r>
      <w:r>
        <w:t>the Settlement and adopting OCC’s recommendations</w:t>
      </w:r>
      <w:r w:rsidR="003B3756">
        <w:t xml:space="preserve"> for protection of </w:t>
      </w:r>
      <w:r w:rsidR="00146AF5">
        <w:t>Dominion’s 1.1 million residential gas utility consumers.</w:t>
      </w:r>
    </w:p>
    <w:p w:rsidR="00836BDA" w:rsidP="005632C4" w14:paraId="15CC787F" w14:textId="5E66AE86">
      <w:pPr>
        <w:pStyle w:val="BodyTextIndent3"/>
        <w:spacing w:line="480" w:lineRule="auto"/>
        <w:ind w:left="3600"/>
        <w:rPr>
          <w:szCs w:val="24"/>
        </w:rPr>
      </w:pPr>
      <w:r>
        <w:rPr>
          <w:szCs w:val="24"/>
        </w:rPr>
        <w:t>Respectfully submitted,</w:t>
      </w:r>
    </w:p>
    <w:p w:rsidR="009077EE" w:rsidP="00C2213A" w14:paraId="24C1FF2C" w14:textId="08992D06">
      <w:pPr>
        <w:pStyle w:val="Footer"/>
        <w:tabs>
          <w:tab w:val="clear" w:pos="4320"/>
          <w:tab w:val="clear" w:pos="8640"/>
        </w:tabs>
        <w:rPr>
          <w:sz w:val="24"/>
          <w:szCs w:val="24"/>
        </w:rPr>
      </w:pPr>
      <w:r>
        <w:rPr>
          <w:sz w:val="24"/>
          <w:szCs w:val="24"/>
        </w:rPr>
        <w:tab/>
      </w:r>
      <w:r w:rsidR="00CA1C9C">
        <w:rPr>
          <w:sz w:val="24"/>
          <w:szCs w:val="24"/>
        </w:rPr>
        <w:tab/>
      </w:r>
      <w:r w:rsidR="00CA1C9C">
        <w:rPr>
          <w:sz w:val="24"/>
          <w:szCs w:val="24"/>
        </w:rPr>
        <w:tab/>
      </w:r>
      <w:r w:rsidR="00CA1C9C">
        <w:rPr>
          <w:sz w:val="24"/>
          <w:szCs w:val="24"/>
        </w:rPr>
        <w:tab/>
      </w:r>
      <w:r w:rsidR="00CA1C9C">
        <w:rPr>
          <w:sz w:val="24"/>
          <w:szCs w:val="24"/>
        </w:rPr>
        <w:tab/>
      </w:r>
      <w:r w:rsidR="00CA1C9C">
        <w:rPr>
          <w:sz w:val="24"/>
          <w:szCs w:val="24"/>
        </w:rPr>
        <w:tab/>
      </w:r>
      <w:r>
        <w:rPr>
          <w:sz w:val="24"/>
          <w:szCs w:val="24"/>
        </w:rPr>
        <w:t>Bruce Weston (0016973)</w:t>
      </w:r>
      <w:r>
        <w:rPr>
          <w:szCs w:val="24"/>
        </w:rPr>
        <w:tab/>
      </w:r>
    </w:p>
    <w:p w:rsidR="009077EE" w:rsidP="00C2213A" w14:paraId="41670563" w14:textId="48373E35">
      <w:pPr>
        <w:rPr>
          <w:szCs w:val="24"/>
        </w:rPr>
      </w:pPr>
      <w:r>
        <w:rPr>
          <w:szCs w:val="24"/>
        </w:rPr>
        <w:tab/>
      </w:r>
      <w:r w:rsidR="00CA1C9C">
        <w:rPr>
          <w:szCs w:val="24"/>
        </w:rPr>
        <w:tab/>
      </w:r>
      <w:r w:rsidR="00CA1C9C">
        <w:rPr>
          <w:szCs w:val="24"/>
        </w:rPr>
        <w:tab/>
      </w:r>
      <w:r w:rsidR="00CA1C9C">
        <w:rPr>
          <w:szCs w:val="24"/>
        </w:rPr>
        <w:tab/>
      </w:r>
      <w:r w:rsidR="00CA1C9C">
        <w:rPr>
          <w:szCs w:val="24"/>
        </w:rPr>
        <w:tab/>
      </w:r>
      <w:r w:rsidR="00CA1C9C">
        <w:rPr>
          <w:szCs w:val="24"/>
        </w:rPr>
        <w:tab/>
      </w:r>
      <w:r>
        <w:rPr>
          <w:szCs w:val="24"/>
        </w:rPr>
        <w:t>Ohio Consumers’ Counsel</w:t>
      </w:r>
    </w:p>
    <w:p w:rsidR="000D3DDD" w:rsidP="00C2213A" w14:paraId="0A5A5B10" w14:textId="77777777">
      <w:pPr>
        <w:rPr>
          <w:szCs w:val="24"/>
        </w:rPr>
      </w:pPr>
    </w:p>
    <w:p w:rsidR="009077EE" w:rsidRPr="00F56742" w:rsidP="00C2213A" w14:paraId="28468EF8" w14:textId="031B2840">
      <w:pPr>
        <w:rPr>
          <w:i/>
          <w:iCs/>
          <w:szCs w:val="24"/>
          <w:u w:val="single"/>
        </w:rPr>
      </w:pPr>
      <w:r>
        <w:rPr>
          <w:szCs w:val="24"/>
        </w:rPr>
        <w:tab/>
      </w:r>
      <w:r w:rsidR="000D3DDD">
        <w:rPr>
          <w:szCs w:val="24"/>
        </w:rPr>
        <w:tab/>
      </w:r>
      <w:r w:rsidR="000D3DDD">
        <w:rPr>
          <w:szCs w:val="24"/>
        </w:rPr>
        <w:tab/>
      </w:r>
      <w:r w:rsidR="000D3DDD">
        <w:rPr>
          <w:szCs w:val="24"/>
        </w:rPr>
        <w:tab/>
      </w:r>
      <w:r w:rsidR="000D3DDD">
        <w:rPr>
          <w:szCs w:val="24"/>
        </w:rPr>
        <w:tab/>
      </w:r>
      <w:r w:rsidR="000D3DDD">
        <w:rPr>
          <w:szCs w:val="24"/>
        </w:rPr>
        <w:tab/>
      </w:r>
      <w:r w:rsidR="00F56742">
        <w:rPr>
          <w:i/>
          <w:iCs/>
          <w:szCs w:val="24"/>
          <w:u w:val="single"/>
        </w:rPr>
        <w:t xml:space="preserve">/s/ </w:t>
      </w:r>
      <w:r w:rsidR="007929D8">
        <w:rPr>
          <w:i/>
          <w:iCs/>
          <w:szCs w:val="24"/>
          <w:u w:val="single"/>
        </w:rPr>
        <w:t>Ambrosia E. Wilson</w:t>
      </w:r>
      <w:r w:rsidR="00F56742">
        <w:rPr>
          <w:i/>
          <w:iCs/>
          <w:szCs w:val="24"/>
          <w:u w:val="single"/>
        </w:rPr>
        <w:tab/>
      </w:r>
      <w:r w:rsidR="00F56742">
        <w:rPr>
          <w:i/>
          <w:iCs/>
          <w:szCs w:val="24"/>
          <w:u w:val="single"/>
        </w:rPr>
        <w:tab/>
      </w:r>
    </w:p>
    <w:p w:rsidR="009077EE" w:rsidP="00C2213A" w14:paraId="35E77811" w14:textId="7597A9A2">
      <w:pPr>
        <w:rPr>
          <w:szCs w:val="24"/>
        </w:rPr>
      </w:pPr>
      <w:r>
        <w:rPr>
          <w:szCs w:val="24"/>
        </w:rPr>
        <w:tab/>
      </w:r>
      <w:r w:rsidR="00CA1C9C">
        <w:rPr>
          <w:szCs w:val="24"/>
        </w:rPr>
        <w:tab/>
      </w:r>
      <w:r w:rsidR="00CA1C9C">
        <w:rPr>
          <w:szCs w:val="24"/>
        </w:rPr>
        <w:tab/>
      </w:r>
      <w:r w:rsidR="00CA1C9C">
        <w:rPr>
          <w:szCs w:val="24"/>
        </w:rPr>
        <w:tab/>
      </w:r>
      <w:r w:rsidR="00CA1C9C">
        <w:rPr>
          <w:szCs w:val="24"/>
        </w:rPr>
        <w:tab/>
      </w:r>
      <w:r w:rsidR="00CA1C9C">
        <w:rPr>
          <w:szCs w:val="24"/>
        </w:rPr>
        <w:tab/>
      </w:r>
      <w:r>
        <w:rPr>
          <w:szCs w:val="24"/>
        </w:rPr>
        <w:t>William J. Michael (0070921)</w:t>
      </w:r>
    </w:p>
    <w:p w:rsidR="009077EE" w:rsidP="00C2213A" w14:paraId="0BF5F1F4" w14:textId="77777777">
      <w:pPr>
        <w:ind w:firstLine="4320"/>
        <w:rPr>
          <w:szCs w:val="24"/>
        </w:rPr>
      </w:pPr>
      <w:r>
        <w:rPr>
          <w:szCs w:val="24"/>
        </w:rPr>
        <w:t>Counsel of Record</w:t>
      </w:r>
    </w:p>
    <w:p w:rsidR="009077EE" w:rsidP="00C2213A" w14:paraId="754FE5F2" w14:textId="5E69403B">
      <w:pPr>
        <w:rPr>
          <w:szCs w:val="24"/>
        </w:rPr>
      </w:pPr>
      <w:r>
        <w:rPr>
          <w:szCs w:val="24"/>
        </w:rPr>
        <w:tab/>
      </w:r>
      <w:r w:rsidR="00CA1C9C">
        <w:rPr>
          <w:szCs w:val="24"/>
        </w:rPr>
        <w:tab/>
      </w:r>
      <w:r w:rsidR="00CA1C9C">
        <w:rPr>
          <w:szCs w:val="24"/>
        </w:rPr>
        <w:tab/>
      </w:r>
      <w:r w:rsidR="00CA1C9C">
        <w:rPr>
          <w:szCs w:val="24"/>
        </w:rPr>
        <w:tab/>
      </w:r>
      <w:r w:rsidR="00CA1C9C">
        <w:rPr>
          <w:szCs w:val="24"/>
        </w:rPr>
        <w:tab/>
      </w:r>
      <w:r w:rsidR="00CA1C9C">
        <w:rPr>
          <w:szCs w:val="24"/>
        </w:rPr>
        <w:tab/>
      </w:r>
      <w:r>
        <w:rPr>
          <w:szCs w:val="24"/>
        </w:rPr>
        <w:t>Ambrosia E. Wilson (0096598)</w:t>
      </w:r>
    </w:p>
    <w:p w:rsidR="009077EE" w:rsidP="009108F6" w14:paraId="3ABBE109" w14:textId="670B561E">
      <w:pPr>
        <w:rPr>
          <w:szCs w:val="24"/>
        </w:rPr>
      </w:pPr>
      <w:r>
        <w:rPr>
          <w:szCs w:val="24"/>
        </w:rPr>
        <w:tab/>
      </w:r>
      <w:r w:rsidR="00CA1C9C">
        <w:rPr>
          <w:szCs w:val="24"/>
        </w:rPr>
        <w:tab/>
      </w:r>
      <w:r w:rsidR="00CA1C9C">
        <w:rPr>
          <w:szCs w:val="24"/>
        </w:rPr>
        <w:tab/>
      </w:r>
      <w:r w:rsidR="00CA1C9C">
        <w:rPr>
          <w:szCs w:val="24"/>
        </w:rPr>
        <w:tab/>
      </w:r>
      <w:r w:rsidR="00CA1C9C">
        <w:rPr>
          <w:szCs w:val="24"/>
        </w:rPr>
        <w:tab/>
      </w:r>
      <w:r w:rsidR="00CA1C9C">
        <w:rPr>
          <w:szCs w:val="24"/>
        </w:rPr>
        <w:tab/>
      </w:r>
      <w:r>
        <w:rPr>
          <w:szCs w:val="24"/>
        </w:rPr>
        <w:t>Assistant Consumers’ Counsel</w:t>
      </w:r>
    </w:p>
    <w:p w:rsidR="009077EE" w:rsidP="00C2213A" w14:paraId="54B4D98E" w14:textId="77777777">
      <w:r>
        <w:tab/>
      </w:r>
    </w:p>
    <w:p w:rsidR="009077EE" w:rsidRPr="00DF6691" w:rsidP="00C2213A" w14:paraId="390AFAC6" w14:textId="77777777">
      <w:pPr>
        <w:rPr>
          <w:b/>
          <w:bCs/>
        </w:rPr>
      </w:pPr>
      <w:r>
        <w:tab/>
      </w:r>
      <w:r>
        <w:tab/>
      </w:r>
      <w:r>
        <w:tab/>
      </w:r>
      <w:r>
        <w:tab/>
      </w:r>
      <w:r>
        <w:tab/>
      </w:r>
      <w:r>
        <w:tab/>
      </w:r>
      <w:r w:rsidRPr="00DF6691">
        <w:rPr>
          <w:b/>
          <w:bCs/>
        </w:rPr>
        <w:t>Office of the Ohio Consumers’ Counsel</w:t>
      </w:r>
    </w:p>
    <w:p w:rsidR="009077EE" w:rsidP="00C2213A" w14:paraId="75433DC4" w14:textId="77777777">
      <w:pPr>
        <w:rPr>
          <w:b/>
        </w:rPr>
      </w:pPr>
      <w:r>
        <w:tab/>
      </w:r>
      <w:r>
        <w:tab/>
      </w:r>
      <w:r>
        <w:tab/>
      </w:r>
      <w:r>
        <w:tab/>
      </w:r>
      <w:r>
        <w:tab/>
      </w:r>
      <w:r>
        <w:tab/>
        <w:t>65 East State Street, 7th Floor</w:t>
      </w:r>
    </w:p>
    <w:p w:rsidR="009077EE" w:rsidP="00C2213A" w14:paraId="2FA57F1E" w14:textId="77777777">
      <w:pPr>
        <w:rPr>
          <w:b/>
        </w:rPr>
      </w:pPr>
      <w:r>
        <w:tab/>
      </w:r>
      <w:r>
        <w:tab/>
      </w:r>
      <w:r>
        <w:tab/>
      </w:r>
      <w:r>
        <w:tab/>
      </w:r>
      <w:r>
        <w:tab/>
      </w:r>
      <w:r>
        <w:tab/>
        <w:t>Columbus, Ohio 43215-4213</w:t>
      </w:r>
    </w:p>
    <w:p w:rsidR="009077EE" w:rsidP="00C2213A" w14:paraId="7B0A5F90" w14:textId="77777777">
      <w:pPr>
        <w:autoSpaceDE w:val="0"/>
        <w:autoSpaceDN w:val="0"/>
        <w:adjustRightInd w:val="0"/>
        <w:ind w:left="3600" w:firstLine="720"/>
        <w:rPr>
          <w:szCs w:val="24"/>
        </w:rPr>
      </w:pPr>
      <w:r>
        <w:rPr>
          <w:szCs w:val="24"/>
        </w:rPr>
        <w:t>Telephone [Michael]: (614) 466-1291</w:t>
      </w:r>
      <w:r>
        <w:rPr>
          <w:szCs w:val="24"/>
        </w:rPr>
        <w:br/>
      </w:r>
      <w:r>
        <w:rPr>
          <w:szCs w:val="24"/>
        </w:rPr>
        <w:tab/>
        <w:t>Telephone [Wilson]: (614) 466-1292</w:t>
      </w:r>
    </w:p>
    <w:p w:rsidR="009077EE" w:rsidP="00C2213A" w14:paraId="3A01B688" w14:textId="5C97ABB7">
      <w:pPr>
        <w:rPr>
          <w:szCs w:val="24"/>
        </w:rPr>
      </w:pPr>
      <w:r>
        <w:rPr>
          <w:szCs w:val="24"/>
        </w:rPr>
        <w:tab/>
      </w:r>
      <w:r>
        <w:rPr>
          <w:szCs w:val="24"/>
        </w:rPr>
        <w:tab/>
      </w:r>
      <w:r>
        <w:rPr>
          <w:szCs w:val="24"/>
        </w:rPr>
        <w:tab/>
      </w:r>
      <w:r>
        <w:rPr>
          <w:szCs w:val="24"/>
        </w:rPr>
        <w:tab/>
      </w:r>
      <w:r>
        <w:rPr>
          <w:szCs w:val="24"/>
        </w:rPr>
        <w:tab/>
      </w:r>
      <w:r>
        <w:rPr>
          <w:szCs w:val="24"/>
        </w:rPr>
        <w:tab/>
      </w:r>
      <w:hyperlink r:id="rId6" w:history="1">
        <w:r w:rsidRPr="001B19D1" w:rsidR="00FF11FF">
          <w:rPr>
            <w:rStyle w:val="Hyperlink"/>
            <w:szCs w:val="24"/>
          </w:rPr>
          <w:t>william.michael@occ.ohio.gov</w:t>
        </w:r>
      </w:hyperlink>
      <w:r>
        <w:rPr>
          <w:szCs w:val="24"/>
        </w:rPr>
        <w:br/>
      </w:r>
      <w:r>
        <w:rPr>
          <w:szCs w:val="24"/>
        </w:rPr>
        <w:tab/>
      </w:r>
      <w:r>
        <w:rPr>
          <w:szCs w:val="24"/>
        </w:rPr>
        <w:tab/>
      </w:r>
      <w:r>
        <w:rPr>
          <w:szCs w:val="24"/>
        </w:rPr>
        <w:tab/>
      </w:r>
      <w:r>
        <w:rPr>
          <w:szCs w:val="24"/>
        </w:rPr>
        <w:tab/>
      </w:r>
      <w:r>
        <w:rPr>
          <w:szCs w:val="24"/>
        </w:rPr>
        <w:tab/>
      </w:r>
      <w:r>
        <w:rPr>
          <w:szCs w:val="24"/>
        </w:rPr>
        <w:tab/>
      </w:r>
      <w:hyperlink r:id="rId7" w:history="1">
        <w:r w:rsidRPr="00A700C4">
          <w:rPr>
            <w:rStyle w:val="Hyperlink"/>
            <w:szCs w:val="24"/>
          </w:rPr>
          <w:t>ambrosia.wilson@occ.ohio.gov</w:t>
        </w:r>
      </w:hyperlink>
    </w:p>
    <w:p w:rsidR="00CB5D16" w:rsidP="00C2213A" w14:paraId="36D5DCF7" w14:textId="2AB9EDD6">
      <w:pPr>
        <w:rPr>
          <w:b/>
          <w:bCs/>
          <w:u w:val="single"/>
        </w:rPr>
      </w:pPr>
      <w:r>
        <w:rPr>
          <w:szCs w:val="24"/>
        </w:rPr>
        <w:tab/>
      </w:r>
      <w:r>
        <w:rPr>
          <w:szCs w:val="24"/>
        </w:rPr>
        <w:tab/>
      </w:r>
      <w:r>
        <w:rPr>
          <w:szCs w:val="24"/>
        </w:rPr>
        <w:tab/>
      </w:r>
      <w:r>
        <w:rPr>
          <w:szCs w:val="24"/>
        </w:rPr>
        <w:tab/>
      </w:r>
      <w:r>
        <w:rPr>
          <w:szCs w:val="24"/>
        </w:rPr>
        <w:tab/>
      </w:r>
      <w:r>
        <w:rPr>
          <w:szCs w:val="24"/>
        </w:rPr>
        <w:tab/>
        <w:t>(willing to accept service by email)</w:t>
      </w:r>
      <w:r>
        <w:rPr>
          <w:b/>
          <w:bCs/>
          <w:u w:val="single"/>
        </w:rPr>
        <w:br w:type="page"/>
      </w:r>
    </w:p>
    <w:p w:rsidR="00CD2C14" w:rsidRPr="00340405" w:rsidP="00C2213A" w14:paraId="458AC2AD" w14:textId="77777777">
      <w:pPr>
        <w:pStyle w:val="ANSWER"/>
        <w:suppressLineNumbers/>
        <w:ind w:left="720"/>
        <w:jc w:val="center"/>
        <w:rPr>
          <w:b/>
          <w:szCs w:val="24"/>
          <w:u w:val="single"/>
        </w:rPr>
      </w:pPr>
      <w:r w:rsidRPr="00340405">
        <w:rPr>
          <w:b/>
          <w:szCs w:val="24"/>
          <w:u w:val="single"/>
        </w:rPr>
        <w:t>CERTIFICATE OF SERVICE</w:t>
      </w:r>
    </w:p>
    <w:p w:rsidR="00CD2C14" w:rsidP="00C2213A" w14:paraId="775B439B" w14:textId="4A25CF8B">
      <w:pPr>
        <w:spacing w:line="480" w:lineRule="atLeast"/>
        <w:ind w:firstLine="720"/>
      </w:pPr>
      <w:r>
        <w:t xml:space="preserve">I hereby certify that a copy of this </w:t>
      </w:r>
      <w:r w:rsidR="00061E60">
        <w:t>Reply</w:t>
      </w:r>
      <w:r>
        <w:t xml:space="preserve"> Brief was served on the persons stated below </w:t>
      </w:r>
      <w:r w:rsidRPr="009D37EA">
        <w:t xml:space="preserve">via </w:t>
      </w:r>
      <w:r>
        <w:t xml:space="preserve">electronic transmission, this </w:t>
      </w:r>
      <w:r w:rsidR="00AF18D6">
        <w:t>26</w:t>
      </w:r>
      <w:r w:rsidR="00116A1D">
        <w:t>th</w:t>
      </w:r>
      <w:r>
        <w:t xml:space="preserve"> day of </w:t>
      </w:r>
      <w:r w:rsidR="009108F6">
        <w:t>October</w:t>
      </w:r>
      <w:r w:rsidR="00CA1C9C">
        <w:t xml:space="preserve"> </w:t>
      </w:r>
      <w:r>
        <w:t>202</w:t>
      </w:r>
      <w:r w:rsidR="00CA1C9C">
        <w:t>1</w:t>
      </w:r>
      <w:r>
        <w:t>.</w:t>
      </w:r>
    </w:p>
    <w:p w:rsidR="00CD2C14" w:rsidRPr="00340405" w:rsidP="00C2213A" w14:paraId="033D8C92" w14:textId="77777777">
      <w:pPr>
        <w:suppressLineNumbers/>
        <w:ind w:firstLine="720"/>
      </w:pPr>
    </w:p>
    <w:p w:rsidR="00CD2C14" w:rsidRPr="00340405" w:rsidP="00C2213A" w14:paraId="6B4668DF" w14:textId="79E589B6">
      <w:pPr>
        <w:suppressLineNumbers/>
        <w:rPr>
          <w:i/>
          <w:u w:val="single"/>
        </w:rPr>
      </w:pPr>
      <w:r w:rsidRPr="00340405">
        <w:rPr>
          <w:i/>
        </w:rPr>
        <w:tab/>
      </w:r>
      <w:r w:rsidR="00CA1C9C">
        <w:rPr>
          <w:i/>
        </w:rPr>
        <w:tab/>
      </w:r>
      <w:r w:rsidR="00CA1C9C">
        <w:rPr>
          <w:i/>
        </w:rPr>
        <w:tab/>
      </w:r>
      <w:r w:rsidR="00CA1C9C">
        <w:rPr>
          <w:i/>
        </w:rPr>
        <w:tab/>
      </w:r>
      <w:r w:rsidR="00CA1C9C">
        <w:rPr>
          <w:i/>
        </w:rPr>
        <w:tab/>
      </w:r>
      <w:r w:rsidR="00CA1C9C">
        <w:rPr>
          <w:i/>
        </w:rPr>
        <w:tab/>
      </w:r>
      <w:r w:rsidR="00CA1C9C">
        <w:rPr>
          <w:i/>
        </w:rPr>
        <w:tab/>
      </w:r>
      <w:r w:rsidR="00CA1C9C">
        <w:rPr>
          <w:i/>
        </w:rPr>
        <w:tab/>
      </w:r>
      <w:r w:rsidR="00F56742">
        <w:rPr>
          <w:i/>
          <w:u w:val="single"/>
        </w:rPr>
        <w:t xml:space="preserve">/s/ </w:t>
      </w:r>
      <w:r w:rsidR="007929D8">
        <w:rPr>
          <w:i/>
          <w:u w:val="single"/>
        </w:rPr>
        <w:t>Ambrosia E. Wilson</w:t>
      </w:r>
      <w:r w:rsidR="00F56742">
        <w:rPr>
          <w:i/>
          <w:u w:val="single"/>
        </w:rPr>
        <w:tab/>
      </w:r>
    </w:p>
    <w:p w:rsidR="00CD2C14" w:rsidRPr="00340405" w:rsidP="00C2213A" w14:paraId="073216D3" w14:textId="58A38C49">
      <w:pPr>
        <w:suppressLineNumbers/>
      </w:pPr>
      <w:r>
        <w:tab/>
      </w:r>
      <w:r>
        <w:tab/>
      </w:r>
      <w:r>
        <w:tab/>
      </w:r>
      <w:r>
        <w:tab/>
      </w:r>
      <w:r>
        <w:tab/>
      </w:r>
      <w:r>
        <w:tab/>
      </w:r>
      <w:r>
        <w:tab/>
      </w:r>
      <w:r w:rsidRPr="00340405" w:rsidR="00877617">
        <w:tab/>
      </w:r>
      <w:r w:rsidR="007929D8">
        <w:t>Ambrosia E. Wilson</w:t>
      </w:r>
    </w:p>
    <w:p w:rsidR="00CD2C14" w:rsidRPr="00340405" w:rsidP="00C2213A" w14:paraId="27A23EBF" w14:textId="49FDCCF9">
      <w:pPr>
        <w:suppressLineNumbers/>
      </w:pPr>
      <w:r w:rsidRPr="00340405">
        <w:tab/>
      </w:r>
      <w:r w:rsidR="00CA1C9C">
        <w:tab/>
      </w:r>
      <w:r w:rsidR="00CA1C9C">
        <w:tab/>
      </w:r>
      <w:r w:rsidR="00CA1C9C">
        <w:tab/>
      </w:r>
      <w:r w:rsidR="00CA1C9C">
        <w:tab/>
      </w:r>
      <w:r w:rsidR="00CA1C9C">
        <w:tab/>
      </w:r>
      <w:r w:rsidR="00CA1C9C">
        <w:tab/>
      </w:r>
      <w:r w:rsidR="00CA1C9C">
        <w:tab/>
      </w:r>
      <w:r w:rsidRPr="00340405">
        <w:t>Assistant Consumers’ Counsel</w:t>
      </w:r>
    </w:p>
    <w:p w:rsidR="00CD2C14" w:rsidRPr="00340405" w:rsidP="00C2213A" w14:paraId="164DF1AB" w14:textId="77777777">
      <w:pPr>
        <w:suppressLineNumbers/>
        <w:spacing w:line="480" w:lineRule="auto"/>
        <w:ind w:firstLine="720"/>
      </w:pPr>
    </w:p>
    <w:p w:rsidR="00CD2C14" w:rsidRPr="00340405" w:rsidP="00C2213A" w14:paraId="473CDD26" w14:textId="77777777">
      <w:r w:rsidRPr="00340405">
        <w:t>The PUCO’s e-filing system will electronically serve notice of the filing of this document on the following parties:</w:t>
      </w:r>
    </w:p>
    <w:p w:rsidR="00CD2C14" w:rsidRPr="00340405" w:rsidP="00C2213A" w14:paraId="04FCE535" w14:textId="77777777">
      <w:pPr>
        <w:pStyle w:val="CommentText"/>
        <w:suppressLineNumbers/>
        <w:jc w:val="center"/>
        <w:rPr>
          <w:b/>
          <w:u w:val="single"/>
        </w:rPr>
      </w:pPr>
    </w:p>
    <w:p w:rsidR="00116A1D" w:rsidP="00116A1D" w14:paraId="6693592F" w14:textId="77777777">
      <w:pPr>
        <w:pStyle w:val="CommentText"/>
        <w:jc w:val="center"/>
        <w:rPr>
          <w:b/>
          <w:sz w:val="20"/>
          <w:u w:val="single"/>
        </w:rPr>
      </w:pPr>
      <w:r>
        <w:rPr>
          <w:b/>
          <w:u w:val="single"/>
        </w:rPr>
        <w:t>SERVICE LIST</w:t>
      </w:r>
    </w:p>
    <w:p w:rsidR="00116A1D" w:rsidP="00116A1D" w14:paraId="3DD14561" w14:textId="77777777">
      <w:pPr>
        <w:pStyle w:val="CommentText"/>
        <w:jc w:val="center"/>
        <w:rPr>
          <w:b/>
          <w:u w:val="single"/>
        </w:rPr>
      </w:pPr>
    </w:p>
    <w:p w:rsidR="00AF18D6" w:rsidP="00AF18D6" w14:paraId="21EF16D2" w14:textId="77777777">
      <w:pPr>
        <w:pStyle w:val="BodyText"/>
        <w:rPr>
          <w:b/>
          <w:bCs/>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0"/>
        <w:gridCol w:w="4770"/>
      </w:tblGrid>
      <w:tr w14:paraId="23472C46" w14:textId="77777777" w:rsidTr="00974853">
        <w:tblPrEx>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50" w:type="dxa"/>
          </w:tcPr>
          <w:bookmarkStart w:id="9" w:name="_Hlk72755215"/>
          <w:p w:rsidR="00AF18D6" w:rsidP="00974853" w14:paraId="6C4B3694" w14:textId="77777777">
            <w:pPr>
              <w:pStyle w:val="BodyText"/>
            </w:pPr>
            <w:hyperlink r:id="rId8" w:history="1">
              <w:r w:rsidRPr="00C5036A">
                <w:rPr>
                  <w:rStyle w:val="Hyperlink"/>
                </w:rPr>
                <w:t>werner.margard@OhioAGO.gov</w:t>
              </w:r>
            </w:hyperlink>
          </w:p>
          <w:bookmarkStart w:id="10" w:name="_Hlk72755232"/>
          <w:bookmarkEnd w:id="9"/>
          <w:p w:rsidR="00AF18D6" w:rsidP="00974853" w14:paraId="1C79AB44" w14:textId="77777777">
            <w:pPr>
              <w:pStyle w:val="BodyText"/>
            </w:pPr>
            <w:hyperlink r:id="rId9" w:history="1">
              <w:r w:rsidRPr="00C5036A">
                <w:rPr>
                  <w:rStyle w:val="Hyperlink"/>
                </w:rPr>
                <w:t>kyle.kern@OhioAGO.gov</w:t>
              </w:r>
            </w:hyperlink>
            <w:bookmarkEnd w:id="10"/>
          </w:p>
          <w:p w:rsidR="00AF18D6" w:rsidP="00974853" w14:paraId="02AC0355" w14:textId="77777777">
            <w:pPr>
              <w:pStyle w:val="BodyText"/>
            </w:pPr>
          </w:p>
          <w:p w:rsidR="00AF18D6" w:rsidP="00974853" w14:paraId="1C088D20" w14:textId="77777777">
            <w:pPr>
              <w:pStyle w:val="BodyText"/>
              <w:rPr>
                <w:rFonts w:asciiTheme="majorBidi" w:hAnsiTheme="majorBidi" w:cstheme="majorBidi"/>
                <w:szCs w:val="24"/>
              </w:rPr>
            </w:pPr>
            <w:r w:rsidRPr="00FE7F0A">
              <w:rPr>
                <w:rFonts w:asciiTheme="majorBidi" w:hAnsiTheme="majorBidi" w:cstheme="majorBidi"/>
                <w:szCs w:val="24"/>
              </w:rPr>
              <w:t>Attorney Examiner:</w:t>
            </w:r>
          </w:p>
          <w:p w:rsidR="00AF18D6" w:rsidP="00974853" w14:paraId="0F1AD5C7" w14:textId="77777777">
            <w:pPr>
              <w:pStyle w:val="BodyText"/>
              <w:rPr>
                <w:rFonts w:asciiTheme="majorBidi" w:hAnsiTheme="majorBidi" w:cstheme="majorBidi"/>
                <w:szCs w:val="24"/>
              </w:rPr>
            </w:pPr>
          </w:p>
          <w:p w:rsidR="00AF18D6" w:rsidP="00974853" w14:paraId="1387F2E9" w14:textId="77777777">
            <w:pPr>
              <w:pStyle w:val="BodyText"/>
              <w:rPr>
                <w:rFonts w:asciiTheme="majorBidi" w:hAnsiTheme="majorBidi" w:cstheme="majorBidi"/>
                <w:szCs w:val="24"/>
              </w:rPr>
            </w:pPr>
            <w:hyperlink r:id="rId10" w:history="1">
              <w:r w:rsidRPr="00C5036A" w:rsidR="00D4623B">
                <w:rPr>
                  <w:rStyle w:val="Hyperlink"/>
                  <w:rFonts w:asciiTheme="majorBidi" w:hAnsiTheme="majorBidi" w:cstheme="majorBidi"/>
                  <w:szCs w:val="24"/>
                </w:rPr>
                <w:t>sarah.parrot@puco.ohio.gov</w:t>
              </w:r>
            </w:hyperlink>
          </w:p>
          <w:p w:rsidR="00AF18D6" w:rsidRPr="00FE7F0A" w:rsidP="00974853" w14:paraId="617E9049" w14:textId="77777777">
            <w:pPr>
              <w:rPr>
                <w:rFonts w:asciiTheme="majorBidi" w:hAnsiTheme="majorBidi" w:cstheme="majorBidi"/>
                <w:szCs w:val="24"/>
              </w:rPr>
            </w:pPr>
            <w:hyperlink r:id="rId11" w:history="1">
              <w:r w:rsidRPr="000002F7" w:rsidR="00D4623B">
                <w:rPr>
                  <w:color w:val="0000FF"/>
                  <w:szCs w:val="24"/>
                  <w:u w:val="single"/>
                </w:rPr>
                <w:t>Jacqueline.St.John@puco.ohio.gov</w:t>
              </w:r>
            </w:hyperlink>
          </w:p>
          <w:p w:rsidR="00AF18D6" w:rsidRPr="00FE7F0A" w:rsidP="00974853" w14:paraId="4F7230D6" w14:textId="77777777">
            <w:pPr>
              <w:pStyle w:val="BodyText"/>
              <w:rPr>
                <w:rFonts w:asciiTheme="majorBidi" w:hAnsiTheme="majorBidi" w:cstheme="majorBidi"/>
                <w:szCs w:val="24"/>
              </w:rPr>
            </w:pPr>
            <w:r w:rsidRPr="00FE7F0A">
              <w:rPr>
                <w:rFonts w:asciiTheme="majorBidi" w:hAnsiTheme="majorBidi" w:cstheme="majorBidi"/>
                <w:szCs w:val="24"/>
              </w:rPr>
              <w:t xml:space="preserve"> </w:t>
            </w:r>
          </w:p>
        </w:tc>
        <w:tc>
          <w:tcPr>
            <w:tcW w:w="4770" w:type="dxa"/>
          </w:tcPr>
          <w:p w:rsidR="00AF18D6" w:rsidP="00974853" w14:paraId="6AC8664B" w14:textId="77777777">
            <w:pPr>
              <w:autoSpaceDE w:val="0"/>
              <w:autoSpaceDN w:val="0"/>
              <w:adjustRightInd w:val="0"/>
              <w:ind w:left="431" w:firstLine="34"/>
              <w:rPr>
                <w:rFonts w:asciiTheme="majorBidi" w:hAnsiTheme="majorBidi" w:cstheme="majorBidi"/>
                <w:szCs w:val="24"/>
                <w:lang w:bidi="he-IL"/>
              </w:rPr>
            </w:pPr>
            <w:hyperlink r:id="rId12" w:history="1">
              <w:r w:rsidRPr="00C5036A" w:rsidR="00D4623B">
                <w:rPr>
                  <w:rStyle w:val="Hyperlink"/>
                  <w:rFonts w:asciiTheme="majorBidi" w:hAnsiTheme="majorBidi" w:cstheme="majorBidi"/>
                  <w:szCs w:val="24"/>
                  <w:lang w:bidi="he-IL"/>
                </w:rPr>
                <w:t>kennedy@whitt-sturtevant.com</w:t>
              </w:r>
            </w:hyperlink>
          </w:p>
          <w:p w:rsidR="00AF18D6" w:rsidP="00974853" w14:paraId="2509424F" w14:textId="77777777">
            <w:pPr>
              <w:pStyle w:val="BodyText"/>
              <w:ind w:left="431" w:firstLine="34"/>
              <w:rPr>
                <w:rStyle w:val="Hyperlink"/>
                <w:rFonts w:asciiTheme="majorBidi" w:hAnsiTheme="majorBidi" w:cstheme="majorBidi"/>
                <w:szCs w:val="24"/>
                <w:lang w:bidi="he-IL"/>
              </w:rPr>
            </w:pPr>
            <w:hyperlink r:id="rId13" w:history="1">
              <w:r w:rsidRPr="00C5036A" w:rsidR="00D4623B">
                <w:rPr>
                  <w:rStyle w:val="Hyperlink"/>
                  <w:rFonts w:asciiTheme="majorBidi" w:hAnsiTheme="majorBidi" w:cstheme="majorBidi"/>
                  <w:szCs w:val="24"/>
                  <w:lang w:bidi="he-IL"/>
                </w:rPr>
                <w:t>fykes@whitt-sturtevant.com</w:t>
              </w:r>
            </w:hyperlink>
          </w:p>
          <w:p w:rsidR="00AF18D6" w:rsidP="00974853" w14:paraId="6F419C4D" w14:textId="77777777">
            <w:pPr>
              <w:pStyle w:val="BodyText"/>
              <w:ind w:left="431" w:firstLine="34"/>
              <w:rPr>
                <w:rFonts w:asciiTheme="majorBidi" w:hAnsiTheme="majorBidi" w:cstheme="majorBidi"/>
                <w:szCs w:val="24"/>
                <w:lang w:bidi="he-IL"/>
              </w:rPr>
            </w:pPr>
            <w:r>
              <w:rPr>
                <w:rStyle w:val="Hyperlink"/>
              </w:rPr>
              <w:t>whitt@whitt-sturtevant.com</w:t>
            </w:r>
          </w:p>
          <w:p w:rsidR="00AF18D6" w:rsidP="00974853" w14:paraId="43161A60" w14:textId="77777777">
            <w:pPr>
              <w:pStyle w:val="BodyText"/>
              <w:ind w:left="431" w:firstLine="34"/>
              <w:rPr>
                <w:rStyle w:val="Hyperlink"/>
                <w:rFonts w:ascii="TimesNewRomanPSMT" w:hAnsi="TimesNewRomanPSMT" w:cs="TimesNewRomanPSMT"/>
                <w:szCs w:val="24"/>
              </w:rPr>
            </w:pPr>
            <w:hyperlink r:id="rId14" w:history="1">
              <w:r w:rsidRPr="00742DDD" w:rsidR="00D4623B">
                <w:rPr>
                  <w:rStyle w:val="Hyperlink"/>
                  <w:rFonts w:ascii="TimesNewRomanPSMT" w:hAnsi="TimesNewRomanPSMT" w:cs="TimesNewRomanPSMT"/>
                  <w:szCs w:val="24"/>
                </w:rPr>
                <w:t>andrew.j.campbell@dominionenergy.com</w:t>
              </w:r>
            </w:hyperlink>
          </w:p>
          <w:p w:rsidR="00AF18D6" w:rsidP="00974853" w14:paraId="41FEBE00" w14:textId="77777777">
            <w:pPr>
              <w:pStyle w:val="BodyText"/>
              <w:ind w:left="431" w:firstLine="34"/>
            </w:pPr>
            <w:hyperlink r:id="rId15" w:history="1">
              <w:r w:rsidRPr="005B0B4B" w:rsidR="00D4623B">
                <w:rPr>
                  <w:rStyle w:val="Hyperlink"/>
                </w:rPr>
                <w:t>michael.nugent@igs.com</w:t>
              </w:r>
            </w:hyperlink>
          </w:p>
          <w:p w:rsidR="00AF18D6" w:rsidP="00974853" w14:paraId="64CBD9C5" w14:textId="77777777">
            <w:pPr>
              <w:pStyle w:val="BodyText"/>
              <w:ind w:left="465"/>
              <w:rPr>
                <w:rFonts w:ascii="TimesNewRomanPSMT" w:hAnsi="TimesNewRomanPSMT" w:cs="TimesNewRomanPSMT"/>
                <w:szCs w:val="24"/>
              </w:rPr>
            </w:pPr>
            <w:hyperlink r:id="rId16" w:history="1">
              <w:r w:rsidRPr="00E849E0" w:rsidR="00D4623B">
                <w:rPr>
                  <w:rStyle w:val="Hyperlink"/>
                  <w:rFonts w:ascii="TimesNewRomanPSMT" w:hAnsi="TimesNewRomanPSMT" w:cs="TimesNewRomanPSMT"/>
                  <w:szCs w:val="24"/>
                </w:rPr>
                <w:t>bethany.allen@igs.com</w:t>
              </w:r>
            </w:hyperlink>
          </w:p>
          <w:p w:rsidR="00AF18D6" w:rsidP="00974853" w14:paraId="7B6E3740" w14:textId="77777777">
            <w:pPr>
              <w:pStyle w:val="BodyText"/>
              <w:ind w:left="465"/>
              <w:rPr>
                <w:rFonts w:ascii="TimesNewRomanPSMT" w:hAnsi="TimesNewRomanPSMT" w:cs="TimesNewRomanPSMT"/>
                <w:szCs w:val="24"/>
              </w:rPr>
            </w:pPr>
            <w:hyperlink r:id="rId17" w:history="1">
              <w:r w:rsidRPr="00E849E0" w:rsidR="00D4623B">
                <w:rPr>
                  <w:rStyle w:val="Hyperlink"/>
                  <w:rFonts w:ascii="TimesNewRomanPSMT" w:hAnsi="TimesNewRomanPSMT" w:cs="TimesNewRomanPSMT"/>
                  <w:szCs w:val="24"/>
                </w:rPr>
                <w:t>evan.betterton@igs.com</w:t>
              </w:r>
            </w:hyperlink>
          </w:p>
          <w:p w:rsidR="00AF18D6" w:rsidP="00974853" w14:paraId="4E4A868A" w14:textId="77777777">
            <w:pPr>
              <w:pStyle w:val="BodyText"/>
              <w:ind w:left="465"/>
              <w:rPr>
                <w:rFonts w:ascii="TimesNewRomanPSMT" w:hAnsi="TimesNewRomanPSMT" w:cs="TimesNewRomanPSMT"/>
                <w:szCs w:val="24"/>
              </w:rPr>
            </w:pPr>
            <w:hyperlink r:id="rId18" w:history="1">
              <w:r w:rsidRPr="00E849E0" w:rsidR="00D4623B">
                <w:rPr>
                  <w:rStyle w:val="Hyperlink"/>
                  <w:rFonts w:ascii="TimesNewRomanPSMT" w:hAnsi="TimesNewRomanPSMT" w:cs="TimesNewRomanPSMT"/>
                  <w:szCs w:val="24"/>
                </w:rPr>
                <w:t>joe.oliker@igs.com</w:t>
              </w:r>
            </w:hyperlink>
          </w:p>
          <w:p w:rsidR="00AF18D6" w:rsidP="00974853" w14:paraId="1C183261" w14:textId="77777777">
            <w:pPr>
              <w:pStyle w:val="BodyText"/>
              <w:ind w:left="465"/>
              <w:rPr>
                <w:rFonts w:ascii="TimesNewRomanPSMT" w:hAnsi="TimesNewRomanPSMT" w:cs="TimesNewRomanPSMT"/>
                <w:szCs w:val="24"/>
              </w:rPr>
            </w:pPr>
          </w:p>
          <w:p w:rsidR="00AF18D6" w:rsidP="00974853" w14:paraId="67516956" w14:textId="77777777">
            <w:pPr>
              <w:pStyle w:val="BodyText"/>
              <w:rPr>
                <w:rFonts w:asciiTheme="majorBidi" w:hAnsiTheme="majorBidi" w:cstheme="majorBidi"/>
                <w:szCs w:val="24"/>
                <w:lang w:bidi="he-IL"/>
              </w:rPr>
            </w:pPr>
          </w:p>
          <w:p w:rsidR="00AF18D6" w:rsidP="00974853" w14:paraId="3942E7A0" w14:textId="77777777">
            <w:pPr>
              <w:pStyle w:val="BodyText"/>
              <w:ind w:left="553"/>
              <w:rPr>
                <w:rFonts w:asciiTheme="majorBidi" w:hAnsiTheme="majorBidi" w:cstheme="majorBidi"/>
                <w:szCs w:val="24"/>
                <w:lang w:bidi="he-IL"/>
              </w:rPr>
            </w:pPr>
          </w:p>
          <w:p w:rsidR="00AF18D6" w:rsidRPr="00FE7F0A" w:rsidP="00974853" w14:paraId="56BCC7BB" w14:textId="77777777">
            <w:pPr>
              <w:pStyle w:val="BodyText"/>
              <w:ind w:left="707"/>
              <w:rPr>
                <w:rFonts w:asciiTheme="majorBidi" w:hAnsiTheme="majorBidi" w:cstheme="majorBidi"/>
                <w:szCs w:val="24"/>
              </w:rPr>
            </w:pPr>
          </w:p>
        </w:tc>
      </w:tr>
    </w:tbl>
    <w:p w:rsidR="00CD2C14" w:rsidP="00C2213A" w14:paraId="765559BE" w14:textId="77777777">
      <w:pPr>
        <w:jc w:val="center"/>
        <w:rPr>
          <w:b/>
          <w:bCs/>
          <w:u w:val="single"/>
        </w:rPr>
      </w:pPr>
    </w:p>
    <w:p w:rsidR="00836BDA" w:rsidP="00C2213A" w14:paraId="4360B340" w14:textId="77777777">
      <w:pPr>
        <w:pStyle w:val="BodyText"/>
        <w:rPr>
          <w:b/>
          <w:bCs/>
        </w:rPr>
      </w:pPr>
    </w:p>
    <w:p w:rsidR="00D4185C" w:rsidP="00C2213A" w14:paraId="6FC9875F" w14:textId="77777777">
      <w:pPr>
        <w:pStyle w:val="BodyText"/>
        <w:rPr>
          <w:b/>
          <w:bCs/>
        </w:rPr>
      </w:pPr>
    </w:p>
    <w:sectPr w:rsidSect="00E53E1E">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3831043"/>
      <w:docPartObj>
        <w:docPartGallery w:val="Page Numbers (Bottom of Page)"/>
        <w:docPartUnique/>
      </w:docPartObj>
    </w:sdtPr>
    <w:sdtEndPr>
      <w:rPr>
        <w:noProof/>
        <w:sz w:val="24"/>
        <w:szCs w:val="24"/>
      </w:rPr>
    </w:sdtEndPr>
    <w:sdtContent>
      <w:p w:rsidR="00AF18D6" w:rsidRPr="00A40748" w14:paraId="644AE09D" w14:textId="084CEF52">
        <w:pPr>
          <w:pStyle w:val="Footer"/>
          <w:jc w:val="center"/>
          <w:rPr>
            <w:sz w:val="24"/>
            <w:szCs w:val="24"/>
          </w:rPr>
        </w:pPr>
        <w:r w:rsidRPr="00A40748">
          <w:rPr>
            <w:sz w:val="24"/>
            <w:szCs w:val="24"/>
          </w:rPr>
          <w:fldChar w:fldCharType="begin"/>
        </w:r>
        <w:r w:rsidRPr="00A40748">
          <w:rPr>
            <w:sz w:val="24"/>
            <w:szCs w:val="24"/>
          </w:rPr>
          <w:instrText xml:space="preserve"> PAGE   \* MERGEFORMAT </w:instrText>
        </w:r>
        <w:r w:rsidRPr="00A40748">
          <w:rPr>
            <w:sz w:val="24"/>
            <w:szCs w:val="24"/>
          </w:rPr>
          <w:fldChar w:fldCharType="separate"/>
        </w:r>
        <w:r w:rsidRPr="00A40748">
          <w:rPr>
            <w:noProof/>
            <w:sz w:val="24"/>
            <w:szCs w:val="24"/>
          </w:rPr>
          <w:t>2</w:t>
        </w:r>
        <w:r w:rsidRPr="00A40748">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1167253"/>
      <w:docPartObj>
        <w:docPartGallery w:val="Page Numbers (Bottom of Page)"/>
        <w:docPartUnique/>
      </w:docPartObj>
    </w:sdtPr>
    <w:sdtEndPr>
      <w:rPr>
        <w:noProof/>
        <w:sz w:val="24"/>
        <w:szCs w:val="24"/>
      </w:rPr>
    </w:sdtEndPr>
    <w:sdtContent>
      <w:p w:rsidR="00727B31" w:rsidRPr="00E53E1E" w14:paraId="2469F11F" w14:textId="77777777">
        <w:pPr>
          <w:pStyle w:val="Footer"/>
          <w:jc w:val="center"/>
          <w:rPr>
            <w:sz w:val="24"/>
            <w:szCs w:val="24"/>
          </w:rPr>
        </w:pPr>
        <w:r w:rsidRPr="00E53E1E">
          <w:rPr>
            <w:sz w:val="24"/>
            <w:szCs w:val="24"/>
          </w:rPr>
          <w:fldChar w:fldCharType="begin"/>
        </w:r>
        <w:r w:rsidRPr="00E53E1E">
          <w:rPr>
            <w:sz w:val="24"/>
            <w:szCs w:val="24"/>
          </w:rPr>
          <w:instrText xml:space="preserve"> PAGE   \* MERGEFORMAT </w:instrText>
        </w:r>
        <w:r w:rsidRPr="00E53E1E">
          <w:rPr>
            <w:sz w:val="24"/>
            <w:szCs w:val="24"/>
          </w:rPr>
          <w:fldChar w:fldCharType="separate"/>
        </w:r>
        <w:r>
          <w:rPr>
            <w:noProof/>
            <w:sz w:val="24"/>
            <w:szCs w:val="24"/>
          </w:rPr>
          <w:t>1</w:t>
        </w:r>
        <w:r w:rsidRPr="00E53E1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65418" w14:paraId="65A74622" w14:textId="77777777">
      <w:r>
        <w:separator/>
      </w:r>
    </w:p>
  </w:footnote>
  <w:footnote w:type="continuationSeparator" w:id="1">
    <w:p w:rsidR="00065418" w14:paraId="274EDE05" w14:textId="77777777">
      <w:r>
        <w:continuationSeparator/>
      </w:r>
    </w:p>
  </w:footnote>
  <w:footnote w:id="2">
    <w:p w:rsidR="00727B31" w:rsidP="00792F9F" w14:paraId="207609B1" w14:textId="29263E43">
      <w:pPr>
        <w:pStyle w:val="FootnoteText"/>
        <w:spacing w:after="120"/>
      </w:pPr>
      <w:r>
        <w:rPr>
          <w:rStyle w:val="FootnoteReference"/>
        </w:rPr>
        <w:footnoteRef/>
      </w:r>
      <w:r>
        <w:t xml:space="preserve"> East Ohio Gas Company d/b/a Dominion Energy Ohio.</w:t>
      </w:r>
    </w:p>
  </w:footnote>
  <w:footnote w:id="3">
    <w:p w:rsidR="00727B31" w:rsidRPr="00F56742" w:rsidP="00792F9F" w14:paraId="462B9D94" w14:textId="28D2FB69">
      <w:pPr>
        <w:pStyle w:val="FootnoteText"/>
        <w:spacing w:after="120"/>
      </w:pPr>
      <w:r w:rsidRPr="00F56742">
        <w:rPr>
          <w:rStyle w:val="FootnoteReference"/>
        </w:rPr>
        <w:footnoteRef/>
      </w:r>
      <w:r w:rsidRPr="00F56742">
        <w:t xml:space="preserve"> </w:t>
      </w:r>
      <w:r>
        <w:t>Stipulation and Recommendation (September 7, 2021) (the “Settlement”).</w:t>
      </w:r>
    </w:p>
  </w:footnote>
  <w:footnote w:id="4">
    <w:p w:rsidR="00727B31" w:rsidRPr="008E3D14" w:rsidP="00792F9F" w14:paraId="27D6A978" w14:textId="19861A53">
      <w:pPr>
        <w:pStyle w:val="FootnoteText"/>
        <w:spacing w:after="120"/>
      </w:pPr>
      <w:r w:rsidRPr="008E3D14">
        <w:rPr>
          <w:rStyle w:val="FootnoteReference"/>
        </w:rPr>
        <w:footnoteRef/>
      </w:r>
      <w:r w:rsidRPr="008E3D14">
        <w:t xml:space="preserve"> </w:t>
      </w:r>
      <w:r>
        <w:t>Initial Brief for Consumer Protection</w:t>
      </w:r>
      <w:r w:rsidRPr="00F56742">
        <w:t xml:space="preserve"> by the Office of the Ohio Consumers’ Counsel</w:t>
      </w:r>
      <w:r>
        <w:t xml:space="preserve"> at 1 </w:t>
      </w:r>
      <w:r w:rsidRPr="00F56742">
        <w:t>(</w:t>
      </w:r>
      <w:r w:rsidR="00AE13A6">
        <w:t>Oct</w:t>
      </w:r>
      <w:r w:rsidR="00AF18D6">
        <w:t>ober</w:t>
      </w:r>
      <w:r w:rsidRPr="00F56742">
        <w:t xml:space="preserve"> </w:t>
      </w:r>
      <w:r w:rsidR="00AE13A6">
        <w:t>12</w:t>
      </w:r>
      <w:r w:rsidRPr="00F56742">
        <w:t xml:space="preserve">, 2021) (“OCC </w:t>
      </w:r>
      <w:r>
        <w:t>Brief</w:t>
      </w:r>
      <w:r w:rsidRPr="00F56742">
        <w:t>”).</w:t>
      </w:r>
    </w:p>
  </w:footnote>
  <w:footnote w:id="5">
    <w:p w:rsidR="00727B31" w:rsidRPr="008E3D14" w:rsidP="00792F9F" w14:paraId="3F886B7E" w14:textId="0C45A7C8">
      <w:pPr>
        <w:pStyle w:val="FootnoteText"/>
        <w:spacing w:after="120"/>
      </w:pPr>
      <w:r w:rsidRPr="008E3D14">
        <w:rPr>
          <w:rStyle w:val="FootnoteReference"/>
        </w:rPr>
        <w:footnoteRef/>
      </w:r>
      <w:r w:rsidRPr="008E3D14">
        <w:t xml:space="preserve"> </w:t>
      </w:r>
      <w:r w:rsidR="009F4207">
        <w:t>R.C.</w:t>
      </w:r>
      <w:r w:rsidRPr="008E3D14">
        <w:t xml:space="preserve"> 4929.111 (C) (emphasis added).</w:t>
      </w:r>
    </w:p>
  </w:footnote>
  <w:footnote w:id="6">
    <w:p w:rsidR="00727B31" w:rsidRPr="00F56742" w:rsidP="00792F9F" w14:paraId="124919E6" w14:textId="122E6930">
      <w:pPr>
        <w:pStyle w:val="FootnoteText"/>
        <w:spacing w:after="120"/>
      </w:pPr>
      <w:r w:rsidRPr="00F56742">
        <w:rPr>
          <w:rStyle w:val="FootnoteReference"/>
        </w:rPr>
        <w:footnoteRef/>
      </w:r>
      <w:r w:rsidRPr="00F56742">
        <w:t xml:space="preserve"> </w:t>
      </w:r>
      <w:r>
        <w:t>Initial Brief for Consumer Protection</w:t>
      </w:r>
      <w:r w:rsidRPr="00F56742">
        <w:t xml:space="preserve"> by the Office of the Ohio Consumers’ Counsel (Feb</w:t>
      </w:r>
      <w:r w:rsidR="00AF18D6">
        <w:t>ruary</w:t>
      </w:r>
      <w:r w:rsidRPr="00F56742">
        <w:t xml:space="preserve"> 24, 2021) (“OCC </w:t>
      </w:r>
      <w:r>
        <w:t>Brief</w:t>
      </w:r>
      <w:r w:rsidRPr="00F56742">
        <w:t>”).</w:t>
      </w:r>
    </w:p>
  </w:footnote>
  <w:footnote w:id="7">
    <w:p w:rsidR="00FA29CF" w:rsidRPr="00FA29CF" w:rsidP="00792F9F" w14:paraId="7E023C33" w14:textId="0F5C7367">
      <w:pPr>
        <w:pStyle w:val="FootnoteText"/>
        <w:spacing w:after="120"/>
      </w:pPr>
      <w:r>
        <w:rPr>
          <w:rStyle w:val="FootnoteReference"/>
        </w:rPr>
        <w:footnoteRef/>
      </w:r>
      <w:r>
        <w:t xml:space="preserve"> $18,620,427. </w:t>
      </w:r>
      <w:r>
        <w:rPr>
          <w:i/>
          <w:iCs/>
        </w:rPr>
        <w:t xml:space="preserve">See </w:t>
      </w:r>
      <w:r>
        <w:t>OCC Brief at 7.</w:t>
      </w:r>
    </w:p>
  </w:footnote>
  <w:footnote w:id="8">
    <w:p w:rsidR="00AE13A6" w:rsidP="00792F9F" w14:paraId="3BC19352" w14:textId="04423727">
      <w:pPr>
        <w:pStyle w:val="FootnoteText"/>
        <w:spacing w:after="120"/>
      </w:pPr>
      <w:r>
        <w:rPr>
          <w:rStyle w:val="FootnoteReference"/>
        </w:rPr>
        <w:footnoteRef/>
      </w:r>
      <w:r>
        <w:t xml:space="preserve"> Dominion Brief at 8 (Oct</w:t>
      </w:r>
      <w:r w:rsidR="00AF18D6">
        <w:t>ober</w:t>
      </w:r>
      <w:r>
        <w:t xml:space="preserve"> 12, 2021); PUCO Staff Brief at </w:t>
      </w:r>
      <w:r w:rsidR="008806BB">
        <w:t>5-6.</w:t>
      </w:r>
    </w:p>
  </w:footnote>
  <w:footnote w:id="9">
    <w:p w:rsidR="00AE13A6" w:rsidP="00792F9F" w14:paraId="07FA1D8A" w14:textId="7FC5AA6E">
      <w:pPr>
        <w:pStyle w:val="FootnoteText"/>
        <w:spacing w:after="120"/>
      </w:pPr>
      <w:r>
        <w:rPr>
          <w:rStyle w:val="FootnoteReference"/>
        </w:rPr>
        <w:footnoteRef/>
      </w:r>
      <w:r>
        <w:t xml:space="preserve"> OCC Brief at 6-15.</w:t>
      </w:r>
    </w:p>
  </w:footnote>
  <w:footnote w:id="10">
    <w:p w:rsidR="00395203" w:rsidRPr="00395203" w:rsidP="00792F9F" w14:paraId="06793053" w14:textId="46E6F053">
      <w:pPr>
        <w:pStyle w:val="FootnoteText"/>
        <w:spacing w:after="120"/>
      </w:pPr>
      <w:r>
        <w:rPr>
          <w:rStyle w:val="FootnoteReference"/>
        </w:rPr>
        <w:footnoteRef/>
      </w:r>
      <w:r>
        <w:t xml:space="preserve"> </w:t>
      </w:r>
      <w:r>
        <w:rPr>
          <w:i/>
          <w:iCs/>
        </w:rPr>
        <w:t xml:space="preserve">Id. </w:t>
      </w:r>
      <w:r>
        <w:t>at 2-3.</w:t>
      </w:r>
    </w:p>
  </w:footnote>
  <w:footnote w:id="11">
    <w:p w:rsidR="00395203" w:rsidRPr="00395203" w:rsidP="00792F9F" w14:paraId="705E8410" w14:textId="6EC9A2B1">
      <w:pPr>
        <w:pStyle w:val="FootnoteText"/>
        <w:spacing w:after="120"/>
        <w:rPr>
          <w:i/>
          <w:iCs/>
        </w:rPr>
      </w:pPr>
      <w:r>
        <w:rPr>
          <w:rStyle w:val="FootnoteReference"/>
        </w:rPr>
        <w:footnoteRef/>
      </w:r>
      <w:r>
        <w:t xml:space="preserve"> </w:t>
      </w:r>
      <w:r>
        <w:rPr>
          <w:i/>
          <w:iCs/>
        </w:rPr>
        <w:t>Id.</w:t>
      </w:r>
    </w:p>
  </w:footnote>
  <w:footnote w:id="12">
    <w:p w:rsidR="00395203" w:rsidP="00792F9F" w14:paraId="4426DE9D" w14:textId="30FDB6FA">
      <w:pPr>
        <w:pStyle w:val="FootnoteText"/>
        <w:spacing w:after="120"/>
      </w:pPr>
      <w:r>
        <w:rPr>
          <w:rStyle w:val="FootnoteReference"/>
        </w:rPr>
        <w:footnoteRef/>
      </w:r>
      <w:r>
        <w:t xml:space="preserve"> </w:t>
      </w:r>
      <w:r>
        <w:rPr>
          <w:i/>
          <w:iCs/>
        </w:rPr>
        <w:t xml:space="preserve">See </w:t>
      </w:r>
      <w:r w:rsidRPr="005B67E8">
        <w:rPr>
          <w:i/>
          <w:color w:val="000000"/>
        </w:rPr>
        <w:t xml:space="preserve">Bluefield Water Works v. Public Service Comm'n, </w:t>
      </w:r>
      <w:r w:rsidRPr="005B67E8">
        <w:rPr>
          <w:color w:val="000000"/>
        </w:rPr>
        <w:t>262 U.S. 679 (1923)</w:t>
      </w:r>
      <w:r>
        <w:rPr>
          <w:color w:val="000000"/>
        </w:rPr>
        <w:t xml:space="preserve">; </w:t>
      </w:r>
      <w:r w:rsidRPr="00395203">
        <w:rPr>
          <w:i/>
          <w:iCs/>
          <w:color w:val="000000"/>
        </w:rPr>
        <w:t>see also</w:t>
      </w:r>
      <w:r>
        <w:rPr>
          <w:color w:val="000000"/>
        </w:rPr>
        <w:t xml:space="preserve"> OCC Brief at 7.</w:t>
      </w:r>
    </w:p>
  </w:footnote>
  <w:footnote w:id="13">
    <w:p w:rsidR="00395203" w:rsidP="00792F9F" w14:paraId="3AEB53E7" w14:textId="750050F6">
      <w:pPr>
        <w:pStyle w:val="FootnoteText"/>
        <w:spacing w:after="120"/>
      </w:pPr>
      <w:r>
        <w:rPr>
          <w:rStyle w:val="FootnoteReference"/>
        </w:rPr>
        <w:footnoteRef/>
      </w:r>
      <w:r>
        <w:t xml:space="preserve"> OCC Brief at </w:t>
      </w:r>
      <w:r w:rsidR="008A044C">
        <w:t>8.</w:t>
      </w:r>
    </w:p>
  </w:footnote>
  <w:footnote w:id="14">
    <w:p w:rsidR="00221231" w:rsidP="00792F9F" w14:paraId="22219F07" w14:textId="77777777">
      <w:pPr>
        <w:pStyle w:val="FootnoteText"/>
        <w:spacing w:after="120"/>
      </w:pPr>
      <w:r>
        <w:rPr>
          <w:rStyle w:val="FootnoteReference"/>
        </w:rPr>
        <w:footnoteRef/>
      </w:r>
      <w:r>
        <w:t xml:space="preserve"> OCC Brief at 22.</w:t>
      </w:r>
    </w:p>
  </w:footnote>
  <w:footnote w:id="15">
    <w:p w:rsidR="00395203" w:rsidP="00792F9F" w14:paraId="528F8225" w14:textId="598F7F35">
      <w:pPr>
        <w:pStyle w:val="FootnoteText"/>
        <w:spacing w:after="120"/>
      </w:pPr>
      <w:r>
        <w:rPr>
          <w:rStyle w:val="FootnoteReference"/>
        </w:rPr>
        <w:footnoteRef/>
      </w:r>
      <w:r>
        <w:t xml:space="preserve"> </w:t>
      </w:r>
      <w:r>
        <w:rPr>
          <w:i/>
          <w:iCs/>
        </w:rPr>
        <w:t xml:space="preserve">Id. </w:t>
      </w:r>
      <w:r>
        <w:t xml:space="preserve">at </w:t>
      </w:r>
      <w:r w:rsidR="00252919">
        <w:t>5-</w:t>
      </w:r>
      <w:r w:rsidR="001120FC">
        <w:t>8.</w:t>
      </w:r>
    </w:p>
  </w:footnote>
  <w:footnote w:id="16">
    <w:p w:rsidR="00A70848" w:rsidP="00792F9F" w14:paraId="370DDAB2" w14:textId="0D81A420">
      <w:pPr>
        <w:pStyle w:val="FootnoteText"/>
        <w:spacing w:after="120"/>
      </w:pPr>
      <w:r>
        <w:rPr>
          <w:rStyle w:val="FootnoteReference"/>
        </w:rPr>
        <w:footnoteRef/>
      </w:r>
      <w:r>
        <w:t xml:space="preserve"> Dominion </w:t>
      </w:r>
      <w:r w:rsidR="004E3D0C">
        <w:t>Brief</w:t>
      </w:r>
      <w:r>
        <w:t xml:space="preserve"> at </w:t>
      </w:r>
      <w:r w:rsidR="00156710">
        <w:t>9</w:t>
      </w:r>
      <w:r w:rsidR="006D3A17">
        <w:t>.</w:t>
      </w:r>
      <w:r w:rsidR="00156710">
        <w:t xml:space="preserve"> </w:t>
      </w:r>
    </w:p>
  </w:footnote>
  <w:footnote w:id="17">
    <w:p w:rsidR="00153701" w:rsidP="00792F9F" w14:paraId="0B013DBC" w14:textId="7B473322">
      <w:pPr>
        <w:pStyle w:val="FootnoteText"/>
        <w:spacing w:after="120"/>
      </w:pPr>
      <w:r>
        <w:rPr>
          <w:rStyle w:val="FootnoteReference"/>
        </w:rPr>
        <w:footnoteRef/>
      </w:r>
      <w:r>
        <w:t xml:space="preserve"> </w:t>
      </w:r>
      <w:r w:rsidR="006E0C54">
        <w:rPr>
          <w:i/>
          <w:iCs/>
        </w:rPr>
        <w:t>Id.</w:t>
      </w:r>
    </w:p>
  </w:footnote>
  <w:footnote w:id="18">
    <w:p w:rsidR="000208A5" w:rsidP="00792F9F" w14:paraId="6319224D" w14:textId="77777777">
      <w:pPr>
        <w:pStyle w:val="FootnoteText"/>
        <w:spacing w:after="120"/>
      </w:pPr>
      <w:r>
        <w:rPr>
          <w:rStyle w:val="FootnoteReference"/>
        </w:rPr>
        <w:footnoteRef/>
      </w:r>
      <w:r>
        <w:t xml:space="preserve"> OCC Brief at 19.</w:t>
      </w:r>
    </w:p>
  </w:footnote>
  <w:footnote w:id="19">
    <w:p w:rsidR="004E3D0C" w:rsidP="00792F9F" w14:paraId="3D4616FC" w14:textId="69BD5FD4">
      <w:pPr>
        <w:pStyle w:val="FootnoteText"/>
        <w:spacing w:after="120"/>
      </w:pPr>
      <w:r>
        <w:rPr>
          <w:rStyle w:val="FootnoteReference"/>
        </w:rPr>
        <w:footnoteRef/>
      </w:r>
      <w:r>
        <w:t xml:space="preserve"> Dominion Brief at </w:t>
      </w:r>
      <w:r w:rsidR="004358DA">
        <w:t>8-15.</w:t>
      </w:r>
    </w:p>
  </w:footnote>
  <w:footnote w:id="20">
    <w:p w:rsidR="001D5030" w:rsidP="00792F9F" w14:paraId="7E4AFFC7" w14:textId="234B79F1">
      <w:pPr>
        <w:pStyle w:val="FootnoteText"/>
        <w:spacing w:after="120"/>
      </w:pPr>
      <w:r>
        <w:rPr>
          <w:rStyle w:val="FootnoteReference"/>
        </w:rPr>
        <w:footnoteRef/>
      </w:r>
      <w:r>
        <w:t xml:space="preserve"> </w:t>
      </w:r>
      <w:r w:rsidR="007D2A5A">
        <w:rPr>
          <w:i/>
          <w:iCs/>
        </w:rPr>
        <w:t>Id.</w:t>
      </w:r>
      <w:r>
        <w:t xml:space="preserve"> at 13.</w:t>
      </w:r>
    </w:p>
  </w:footnote>
  <w:footnote w:id="21">
    <w:p w:rsidR="009976DC" w:rsidRPr="009976DC" w:rsidP="00792F9F" w14:paraId="1C67BF49" w14:textId="6C3EE826">
      <w:pPr>
        <w:pStyle w:val="FootnoteText"/>
        <w:spacing w:after="120"/>
        <w:rPr>
          <w:i/>
          <w:iCs/>
        </w:rPr>
      </w:pPr>
      <w:r>
        <w:rPr>
          <w:rStyle w:val="FootnoteReference"/>
        </w:rPr>
        <w:footnoteRef/>
      </w:r>
      <w:r>
        <w:t xml:space="preserve"> </w:t>
      </w:r>
      <w:r>
        <w:rPr>
          <w:i/>
          <w:iCs/>
        </w:rPr>
        <w:t>Id.</w:t>
      </w:r>
    </w:p>
  </w:footnote>
  <w:footnote w:id="22">
    <w:p w:rsidR="00FB4DEF" w:rsidP="00792F9F" w14:paraId="4B426E9B" w14:textId="634C6619">
      <w:pPr>
        <w:pStyle w:val="FootnoteText"/>
        <w:spacing w:after="120"/>
      </w:pPr>
      <w:r>
        <w:rPr>
          <w:rStyle w:val="FootnoteReference"/>
        </w:rPr>
        <w:footnoteRef/>
      </w:r>
      <w:r>
        <w:t xml:space="preserve"> Dominion Brief at 14.</w:t>
      </w:r>
    </w:p>
  </w:footnote>
  <w:footnote w:id="23">
    <w:p w:rsidR="00B13708" w:rsidRPr="00B13708" w:rsidP="00792F9F" w14:paraId="02B82F37" w14:textId="72CB22D7">
      <w:pPr>
        <w:pStyle w:val="FootnoteText"/>
        <w:spacing w:after="120"/>
      </w:pPr>
      <w:r>
        <w:rPr>
          <w:rStyle w:val="FootnoteReference"/>
        </w:rPr>
        <w:footnoteRef/>
      </w:r>
      <w:r>
        <w:t xml:space="preserve"> </w:t>
      </w:r>
      <w:r>
        <w:rPr>
          <w:i/>
          <w:iCs/>
        </w:rPr>
        <w:t xml:space="preserve">See, e.g., </w:t>
      </w:r>
      <w:r>
        <w:t>R.C. 4905.22.</w:t>
      </w:r>
    </w:p>
  </w:footnote>
  <w:footnote w:id="24">
    <w:p w:rsidR="00103F34" w:rsidP="00792F9F" w14:paraId="3693C7C3" w14:textId="584F9E8C">
      <w:pPr>
        <w:pStyle w:val="FootnoteText"/>
        <w:spacing w:after="120"/>
      </w:pPr>
      <w:r>
        <w:rPr>
          <w:rStyle w:val="FootnoteReference"/>
        </w:rPr>
        <w:footnoteRef/>
      </w:r>
      <w:r>
        <w:t xml:space="preserve"> OCC Brief at </w:t>
      </w:r>
      <w:r w:rsidR="00CB4819">
        <w:t>8.</w:t>
      </w:r>
    </w:p>
  </w:footnote>
  <w:footnote w:id="25">
    <w:p w:rsidR="00B06BE0" w:rsidP="00792F9F" w14:paraId="04B4E364" w14:textId="363D3200">
      <w:pPr>
        <w:pStyle w:val="FootnoteText"/>
        <w:spacing w:after="120"/>
      </w:pPr>
      <w:r>
        <w:rPr>
          <w:rStyle w:val="FootnoteReference"/>
        </w:rPr>
        <w:footnoteRef/>
      </w:r>
      <w:r>
        <w:t xml:space="preserve"> </w:t>
      </w:r>
      <w:r w:rsidR="00CB4819">
        <w:rPr>
          <w:i/>
          <w:iCs/>
        </w:rPr>
        <w:t>Id.</w:t>
      </w:r>
    </w:p>
  </w:footnote>
  <w:footnote w:id="26">
    <w:p w:rsidR="00956EAD" w:rsidP="00792F9F" w14:paraId="62A6CB15" w14:textId="2AC39479">
      <w:pPr>
        <w:pStyle w:val="FootnoteText"/>
        <w:spacing w:after="120"/>
      </w:pPr>
      <w:r>
        <w:rPr>
          <w:rStyle w:val="FootnoteReference"/>
        </w:rPr>
        <w:footnoteRef/>
      </w:r>
      <w:r>
        <w:t xml:space="preserve"> </w:t>
      </w:r>
      <w:r w:rsidR="006151EB">
        <w:t>Dominion Brief at 15.</w:t>
      </w:r>
    </w:p>
  </w:footnote>
  <w:footnote w:id="27">
    <w:p w:rsidR="000B4223" w:rsidP="00792F9F" w14:paraId="2F0F2AB4" w14:textId="69049450">
      <w:pPr>
        <w:pStyle w:val="FootnoteText"/>
        <w:spacing w:after="120"/>
      </w:pPr>
      <w:r>
        <w:rPr>
          <w:rStyle w:val="FootnoteReference"/>
        </w:rPr>
        <w:footnoteRef/>
      </w:r>
      <w:r>
        <w:t xml:space="preserve"> </w:t>
      </w:r>
      <w:r w:rsidR="0067438E">
        <w:rPr>
          <w:i/>
          <w:iCs/>
        </w:rPr>
        <w:t>Id.</w:t>
      </w:r>
      <w:r w:rsidR="00062771">
        <w:t xml:space="preserve"> at </w:t>
      </w:r>
      <w:r w:rsidR="00CA42A6">
        <w:t>11.</w:t>
      </w:r>
    </w:p>
  </w:footnote>
  <w:footnote w:id="28">
    <w:p w:rsidR="00DA277A" w:rsidP="00792F9F" w14:paraId="28294D9F" w14:textId="0A792A39">
      <w:pPr>
        <w:pStyle w:val="FootnoteText"/>
        <w:spacing w:after="120"/>
      </w:pPr>
      <w:r>
        <w:rPr>
          <w:rStyle w:val="FootnoteReference"/>
        </w:rPr>
        <w:footnoteRef/>
      </w:r>
      <w:r>
        <w:t xml:space="preserve"> </w:t>
      </w:r>
      <w:r w:rsidR="007D2A5A">
        <w:rPr>
          <w:i/>
          <w:iCs/>
        </w:rPr>
        <w:t>Id.</w:t>
      </w:r>
      <w:r>
        <w:t xml:space="preserve"> at 15</w:t>
      </w:r>
      <w:r w:rsidR="00AB2148">
        <w:t>.</w:t>
      </w:r>
    </w:p>
  </w:footnote>
  <w:footnote w:id="29">
    <w:p w:rsidR="00D403F0" w:rsidP="00792F9F" w14:paraId="4BDEA76F" w14:textId="28031068">
      <w:pPr>
        <w:pStyle w:val="FootnoteText"/>
        <w:spacing w:after="120"/>
      </w:pPr>
      <w:r>
        <w:rPr>
          <w:rStyle w:val="FootnoteReference"/>
        </w:rPr>
        <w:footnoteRef/>
      </w:r>
      <w:r>
        <w:t xml:space="preserve"> OCC Brief at </w:t>
      </w:r>
      <w:r w:rsidR="000933C1">
        <w:t>21.</w:t>
      </w:r>
    </w:p>
  </w:footnote>
  <w:footnote w:id="30">
    <w:p w:rsidR="00A65189" w:rsidP="00792F9F" w14:paraId="55323314" w14:textId="7359AB52">
      <w:pPr>
        <w:pStyle w:val="FootnoteText"/>
        <w:spacing w:after="120"/>
      </w:pPr>
      <w:r>
        <w:rPr>
          <w:rStyle w:val="FootnoteReference"/>
        </w:rPr>
        <w:footnoteRef/>
      </w:r>
      <w:r>
        <w:t xml:space="preserve"> </w:t>
      </w:r>
      <w:r w:rsidRPr="00164812" w:rsidR="00AF1A12">
        <w:rPr>
          <w:i/>
          <w:iCs/>
        </w:rPr>
        <w:t>See</w:t>
      </w:r>
      <w:r w:rsidR="00AF1A12">
        <w:t xml:space="preserve"> </w:t>
      </w:r>
      <w:r w:rsidR="007F16D3">
        <w:rPr>
          <w:color w:val="000000"/>
        </w:rPr>
        <w:t>Kenneth Rose, Ph.D</w:t>
      </w:r>
      <w:r w:rsidR="007F35D8">
        <w:rPr>
          <w:color w:val="000000"/>
        </w:rPr>
        <w:t>.</w:t>
      </w:r>
      <w:r w:rsidRPr="00711381" w:rsidR="00B35016">
        <w:rPr>
          <w:color w:val="000000"/>
        </w:rPr>
        <w:t>,</w:t>
      </w:r>
      <w:r w:rsidR="007F35D8">
        <w:rPr>
          <w:color w:val="000000"/>
        </w:rPr>
        <w:t xml:space="preserve"> </w:t>
      </w:r>
      <w:r w:rsidR="007F35D8">
        <w:rPr>
          <w:i/>
          <w:iCs/>
        </w:rPr>
        <w:t>An Economic and Legal Perspective on Electric Utility Transition Costs</w:t>
      </w:r>
      <w:r w:rsidR="009E287F">
        <w:rPr>
          <w:i/>
          <w:iCs/>
        </w:rPr>
        <w:t xml:space="preserve"> </w:t>
      </w:r>
      <w:r w:rsidR="009E287F">
        <w:t xml:space="preserve">at </w:t>
      </w:r>
      <w:r w:rsidR="004A73E9">
        <w:t>6</w:t>
      </w:r>
      <w:r w:rsidR="00B35016">
        <w:rPr>
          <w:i/>
          <w:iCs/>
        </w:rPr>
        <w:t xml:space="preserve">, </w:t>
      </w:r>
      <w:r w:rsidR="007F35D8">
        <w:t xml:space="preserve">National Regulatory </w:t>
      </w:r>
      <w:r w:rsidR="00D54AE9">
        <w:t>Research Institute (July 1996)</w:t>
      </w:r>
      <w:r w:rsidR="0061392C">
        <w:t xml:space="preserve"> (</w:t>
      </w:r>
      <w:r w:rsidR="00422616">
        <w:t>“</w:t>
      </w:r>
      <w:r w:rsidR="004A73E9">
        <w:t>the careful balance between compensatory rates and confiscation of utility property that allows a utility an opportunity to earn a reasonable return on investment in exchange for providing safe and reliable power at reasonable cost to all customers who request service. This is checked by the "used-and-useful" and "prudent-investment" tests, as well as from competition from government ownership, fuel substitutes, and self-generation. The regulatory compact was, by design, intended to protect ratepayers from monopoly abuse, not protect the utility from competition forever</w:t>
      </w:r>
      <w:r w:rsidR="00164812">
        <w:rPr>
          <w:color w:val="000000"/>
        </w:rPr>
        <w:t>”).</w:t>
      </w:r>
    </w:p>
  </w:footnote>
  <w:footnote w:id="31">
    <w:p w:rsidR="00CE0C84" w:rsidP="00792F9F" w14:paraId="28E3E169" w14:textId="456A886F">
      <w:pPr>
        <w:pStyle w:val="FootnoteText"/>
        <w:spacing w:after="120"/>
      </w:pPr>
      <w:r>
        <w:rPr>
          <w:rStyle w:val="FootnoteReference"/>
        </w:rPr>
        <w:footnoteRef/>
      </w:r>
      <w:r>
        <w:t xml:space="preserve"> OCC Brief at 9.</w:t>
      </w:r>
    </w:p>
  </w:footnote>
  <w:footnote w:id="32">
    <w:p w:rsidR="00335161" w:rsidP="00792F9F" w14:paraId="2C81C3C5" w14:textId="2203B368">
      <w:pPr>
        <w:pStyle w:val="FootnoteText"/>
        <w:spacing w:after="120"/>
      </w:pPr>
      <w:r>
        <w:rPr>
          <w:rStyle w:val="FootnoteReference"/>
        </w:rPr>
        <w:footnoteRef/>
      </w:r>
      <w:r>
        <w:t xml:space="preserve"> </w:t>
      </w:r>
      <w:r w:rsidR="00D667A3">
        <w:rPr>
          <w:i/>
          <w:iCs/>
        </w:rPr>
        <w:t>Id.</w:t>
      </w:r>
    </w:p>
  </w:footnote>
  <w:footnote w:id="33">
    <w:p w:rsidR="00FD5323" w:rsidRPr="00A40748" w:rsidP="00792F9F" w14:paraId="1D9D9F7D" w14:textId="6D020D01">
      <w:pPr>
        <w:pStyle w:val="FootnoteText"/>
        <w:spacing w:after="120"/>
        <w:rPr>
          <w:i/>
          <w:iCs/>
        </w:rPr>
      </w:pPr>
      <w:r>
        <w:rPr>
          <w:rStyle w:val="FootnoteReference"/>
        </w:rPr>
        <w:footnoteRef/>
      </w:r>
      <w:r>
        <w:t xml:space="preserve"> </w:t>
      </w:r>
      <w:r>
        <w:rPr>
          <w:i/>
          <w:iCs/>
        </w:rPr>
        <w:t>Id.</w:t>
      </w:r>
    </w:p>
  </w:footnote>
  <w:footnote w:id="34">
    <w:p w:rsidR="00FD5323" w:rsidP="00792F9F" w14:paraId="4B8585F0" w14:textId="0CDFF420">
      <w:pPr>
        <w:pStyle w:val="FootnoteText"/>
        <w:spacing w:after="120"/>
      </w:pPr>
      <w:r>
        <w:rPr>
          <w:rStyle w:val="FootnoteReference"/>
        </w:rPr>
        <w:footnoteRef/>
      </w:r>
      <w:r>
        <w:t xml:space="preserve"> </w:t>
      </w:r>
      <w:r>
        <w:rPr>
          <w:i/>
          <w:iCs/>
        </w:rPr>
        <w:t>Id.</w:t>
      </w:r>
    </w:p>
  </w:footnote>
  <w:footnote w:id="35">
    <w:p w:rsidR="00036CC9" w:rsidP="00792F9F" w14:paraId="3ECCC3D0" w14:textId="3B643F8A">
      <w:pPr>
        <w:pStyle w:val="FootnoteText"/>
        <w:spacing w:after="120"/>
      </w:pPr>
      <w:r>
        <w:rPr>
          <w:rStyle w:val="FootnoteReference"/>
        </w:rPr>
        <w:footnoteRef/>
      </w:r>
      <w:r>
        <w:t xml:space="preserve"> </w:t>
      </w:r>
      <w:r>
        <w:rPr>
          <w:i/>
          <w:iCs/>
        </w:rPr>
        <w:t>Id.</w:t>
      </w:r>
    </w:p>
  </w:footnote>
  <w:footnote w:id="36">
    <w:p w:rsidR="00036CC9" w:rsidP="00792F9F" w14:paraId="352BFE70" w14:textId="5EE41DE1">
      <w:pPr>
        <w:pStyle w:val="FootnoteText"/>
        <w:spacing w:after="120"/>
      </w:pPr>
      <w:r>
        <w:rPr>
          <w:rStyle w:val="FootnoteReference"/>
        </w:rPr>
        <w:footnoteRef/>
      </w:r>
      <w:r>
        <w:t xml:space="preserve"> </w:t>
      </w:r>
      <w:r>
        <w:rPr>
          <w:i/>
          <w:iCs/>
        </w:rPr>
        <w:t>Id.</w:t>
      </w:r>
    </w:p>
  </w:footnote>
  <w:footnote w:id="37">
    <w:p w:rsidR="00036CC9" w:rsidP="00792F9F" w14:paraId="3494C974" w14:textId="03B78C15">
      <w:pPr>
        <w:pStyle w:val="FootnoteText"/>
        <w:spacing w:after="120"/>
      </w:pPr>
      <w:r>
        <w:rPr>
          <w:rStyle w:val="FootnoteReference"/>
        </w:rPr>
        <w:footnoteRef/>
      </w:r>
      <w:r>
        <w:t xml:space="preserve"> </w:t>
      </w:r>
      <w:r>
        <w:rPr>
          <w:i/>
          <w:iCs/>
        </w:rPr>
        <w:t>Id.</w:t>
      </w:r>
    </w:p>
  </w:footnote>
  <w:footnote w:id="38">
    <w:p w:rsidR="00AF1A3C" w:rsidP="00792F9F" w14:paraId="71794F77" w14:textId="1D4FD2C3">
      <w:pPr>
        <w:pStyle w:val="FootnoteText"/>
        <w:spacing w:after="120"/>
      </w:pPr>
      <w:r>
        <w:rPr>
          <w:rStyle w:val="FootnoteReference"/>
        </w:rPr>
        <w:footnoteRef/>
      </w:r>
      <w:r>
        <w:t xml:space="preserve"> </w:t>
      </w:r>
      <w:r>
        <w:rPr>
          <w:i/>
          <w:iCs/>
        </w:rPr>
        <w:t>Id.</w:t>
      </w:r>
    </w:p>
  </w:footnote>
  <w:footnote w:id="39">
    <w:p w:rsidR="005D4EFB" w:rsidP="00792F9F" w14:paraId="59A09754" w14:textId="18D8EE09">
      <w:pPr>
        <w:pStyle w:val="FootnoteText"/>
        <w:spacing w:after="120"/>
      </w:pPr>
      <w:r>
        <w:rPr>
          <w:rStyle w:val="FootnoteReference"/>
        </w:rPr>
        <w:footnoteRef/>
      </w:r>
      <w:r>
        <w:t xml:space="preserve"> Dominion Brief at 17.</w:t>
      </w:r>
    </w:p>
  </w:footnote>
  <w:footnote w:id="40">
    <w:p w:rsidR="00583891" w:rsidP="00792F9F" w14:paraId="3B065150" w14:textId="5D6DA052">
      <w:pPr>
        <w:pStyle w:val="FootnoteText"/>
        <w:spacing w:after="120"/>
      </w:pPr>
      <w:r>
        <w:rPr>
          <w:rStyle w:val="FootnoteReference"/>
        </w:rPr>
        <w:footnoteRef/>
      </w:r>
      <w:r>
        <w:t xml:space="preserve"> </w:t>
      </w:r>
      <w:r w:rsidRPr="00F90FC4">
        <w:rPr>
          <w:i/>
        </w:rPr>
        <w:t>Ohio Consumers’ Counsel v. Pub. Util. Comm.</w:t>
      </w:r>
      <w:r w:rsidRPr="00F90FC4">
        <w:t>, 121 Ohio St.3d 362</w:t>
      </w:r>
      <w:r>
        <w:t>, 372 (2009)</w:t>
      </w:r>
      <w:r w:rsidRPr="00F90FC4">
        <w:t xml:space="preserve"> (Pfeifer, J. dissenting).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7B31" w14:paraId="7397D59D" w14:textId="77777777">
    <w:pPr>
      <w:pStyle w:val="Header"/>
    </w:pPr>
  </w:p>
  <w:p w:rsidR="00727B31" w14:paraId="707C8D1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64F2BD0"/>
    <w:multiLevelType w:val="hybridMultilevel"/>
    <w:tmpl w:val="88D85CB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48E40DC1"/>
    <w:multiLevelType w:val="hybridMultilevel"/>
    <w:tmpl w:val="8B0817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9">
    <w:nsid w:val="78B50DC3"/>
    <w:multiLevelType w:val="hybridMultilevel"/>
    <w:tmpl w:val="440277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8"/>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02F7"/>
    <w:rsid w:val="0000137E"/>
    <w:rsid w:val="000020B1"/>
    <w:rsid w:val="00003256"/>
    <w:rsid w:val="0000429C"/>
    <w:rsid w:val="00007BE4"/>
    <w:rsid w:val="000121F4"/>
    <w:rsid w:val="00014E1B"/>
    <w:rsid w:val="00017299"/>
    <w:rsid w:val="00017E88"/>
    <w:rsid w:val="000208A5"/>
    <w:rsid w:val="00024593"/>
    <w:rsid w:val="00030F88"/>
    <w:rsid w:val="0003106F"/>
    <w:rsid w:val="00032A8E"/>
    <w:rsid w:val="00033471"/>
    <w:rsid w:val="000369C6"/>
    <w:rsid w:val="00036CC9"/>
    <w:rsid w:val="00041E9D"/>
    <w:rsid w:val="000520C5"/>
    <w:rsid w:val="00053B77"/>
    <w:rsid w:val="000573DD"/>
    <w:rsid w:val="000575B2"/>
    <w:rsid w:val="00061BAD"/>
    <w:rsid w:val="00061E60"/>
    <w:rsid w:val="000623A7"/>
    <w:rsid w:val="0006256F"/>
    <w:rsid w:val="00062771"/>
    <w:rsid w:val="00064C05"/>
    <w:rsid w:val="00065418"/>
    <w:rsid w:val="000700D3"/>
    <w:rsid w:val="000716B3"/>
    <w:rsid w:val="00072344"/>
    <w:rsid w:val="00073591"/>
    <w:rsid w:val="00074A98"/>
    <w:rsid w:val="00075569"/>
    <w:rsid w:val="00075CFE"/>
    <w:rsid w:val="00077D2F"/>
    <w:rsid w:val="0008154D"/>
    <w:rsid w:val="00091365"/>
    <w:rsid w:val="000919BF"/>
    <w:rsid w:val="000933C1"/>
    <w:rsid w:val="00093E59"/>
    <w:rsid w:val="000A3461"/>
    <w:rsid w:val="000A6024"/>
    <w:rsid w:val="000B0042"/>
    <w:rsid w:val="000B2FF8"/>
    <w:rsid w:val="000B3316"/>
    <w:rsid w:val="000B3D25"/>
    <w:rsid w:val="000B4223"/>
    <w:rsid w:val="000B67F0"/>
    <w:rsid w:val="000B6E52"/>
    <w:rsid w:val="000C30F7"/>
    <w:rsid w:val="000C6514"/>
    <w:rsid w:val="000D2DB1"/>
    <w:rsid w:val="000D3CB7"/>
    <w:rsid w:val="000D3DDD"/>
    <w:rsid w:val="000D6056"/>
    <w:rsid w:val="000E0DA2"/>
    <w:rsid w:val="000E11E3"/>
    <w:rsid w:val="000E282F"/>
    <w:rsid w:val="000E2D35"/>
    <w:rsid w:val="000E2F20"/>
    <w:rsid w:val="000E46C0"/>
    <w:rsid w:val="000E4979"/>
    <w:rsid w:val="000E6B41"/>
    <w:rsid w:val="000F28AE"/>
    <w:rsid w:val="000F47FC"/>
    <w:rsid w:val="000F6BF3"/>
    <w:rsid w:val="000F79B2"/>
    <w:rsid w:val="00100DE6"/>
    <w:rsid w:val="0010115B"/>
    <w:rsid w:val="00101991"/>
    <w:rsid w:val="00103F34"/>
    <w:rsid w:val="00104D1E"/>
    <w:rsid w:val="00110AAF"/>
    <w:rsid w:val="00111A9E"/>
    <w:rsid w:val="001120FC"/>
    <w:rsid w:val="00113C2A"/>
    <w:rsid w:val="0011430F"/>
    <w:rsid w:val="001157BD"/>
    <w:rsid w:val="00116356"/>
    <w:rsid w:val="0011680D"/>
    <w:rsid w:val="00116A1D"/>
    <w:rsid w:val="0012240F"/>
    <w:rsid w:val="00123B12"/>
    <w:rsid w:val="001245A2"/>
    <w:rsid w:val="00125707"/>
    <w:rsid w:val="00126892"/>
    <w:rsid w:val="00126A6B"/>
    <w:rsid w:val="00126DD0"/>
    <w:rsid w:val="001277C8"/>
    <w:rsid w:val="001300E3"/>
    <w:rsid w:val="00132670"/>
    <w:rsid w:val="00132DD1"/>
    <w:rsid w:val="001350E5"/>
    <w:rsid w:val="00135D83"/>
    <w:rsid w:val="0013653B"/>
    <w:rsid w:val="00136CA4"/>
    <w:rsid w:val="001400DC"/>
    <w:rsid w:val="001421A7"/>
    <w:rsid w:val="00144335"/>
    <w:rsid w:val="001444E6"/>
    <w:rsid w:val="001450FB"/>
    <w:rsid w:val="00145BEE"/>
    <w:rsid w:val="00146AF5"/>
    <w:rsid w:val="00146DB6"/>
    <w:rsid w:val="00150025"/>
    <w:rsid w:val="00152687"/>
    <w:rsid w:val="00152853"/>
    <w:rsid w:val="0015340C"/>
    <w:rsid w:val="00153583"/>
    <w:rsid w:val="00153701"/>
    <w:rsid w:val="00154EC9"/>
    <w:rsid w:val="00156710"/>
    <w:rsid w:val="00164812"/>
    <w:rsid w:val="00166062"/>
    <w:rsid w:val="00185FE8"/>
    <w:rsid w:val="00187C88"/>
    <w:rsid w:val="0019116F"/>
    <w:rsid w:val="001928AF"/>
    <w:rsid w:val="00194E09"/>
    <w:rsid w:val="00195D8B"/>
    <w:rsid w:val="00197356"/>
    <w:rsid w:val="001A134B"/>
    <w:rsid w:val="001A4AC1"/>
    <w:rsid w:val="001A644E"/>
    <w:rsid w:val="001B013D"/>
    <w:rsid w:val="001B0997"/>
    <w:rsid w:val="001B19D1"/>
    <w:rsid w:val="001B29DD"/>
    <w:rsid w:val="001B6BD3"/>
    <w:rsid w:val="001C1A26"/>
    <w:rsid w:val="001C5F54"/>
    <w:rsid w:val="001C6BF5"/>
    <w:rsid w:val="001C6CF1"/>
    <w:rsid w:val="001C78EC"/>
    <w:rsid w:val="001C7F5A"/>
    <w:rsid w:val="001D10A0"/>
    <w:rsid w:val="001D5030"/>
    <w:rsid w:val="001D542B"/>
    <w:rsid w:val="001D563C"/>
    <w:rsid w:val="001D6E99"/>
    <w:rsid w:val="001E0F36"/>
    <w:rsid w:val="001E478D"/>
    <w:rsid w:val="001E6ED9"/>
    <w:rsid w:val="001E77A4"/>
    <w:rsid w:val="001E7860"/>
    <w:rsid w:val="001F1157"/>
    <w:rsid w:val="001F3315"/>
    <w:rsid w:val="00201CB9"/>
    <w:rsid w:val="00202D04"/>
    <w:rsid w:val="002054C3"/>
    <w:rsid w:val="0020664D"/>
    <w:rsid w:val="00211B15"/>
    <w:rsid w:val="00213C9B"/>
    <w:rsid w:val="0021533C"/>
    <w:rsid w:val="00221231"/>
    <w:rsid w:val="00222B29"/>
    <w:rsid w:val="0022439D"/>
    <w:rsid w:val="0022589D"/>
    <w:rsid w:val="002275BD"/>
    <w:rsid w:val="002276D9"/>
    <w:rsid w:val="0023055B"/>
    <w:rsid w:val="0024060D"/>
    <w:rsid w:val="002441D4"/>
    <w:rsid w:val="00246816"/>
    <w:rsid w:val="002470E7"/>
    <w:rsid w:val="00247D22"/>
    <w:rsid w:val="0025099B"/>
    <w:rsid w:val="00251CD7"/>
    <w:rsid w:val="00252919"/>
    <w:rsid w:val="00252F51"/>
    <w:rsid w:val="0025397B"/>
    <w:rsid w:val="002543E8"/>
    <w:rsid w:val="00255A60"/>
    <w:rsid w:val="00261E4D"/>
    <w:rsid w:val="00262FB3"/>
    <w:rsid w:val="00263694"/>
    <w:rsid w:val="0027208D"/>
    <w:rsid w:val="00272DD3"/>
    <w:rsid w:val="002736D2"/>
    <w:rsid w:val="0027472A"/>
    <w:rsid w:val="00280058"/>
    <w:rsid w:val="0028035C"/>
    <w:rsid w:val="002812E4"/>
    <w:rsid w:val="00281616"/>
    <w:rsid w:val="002848A4"/>
    <w:rsid w:val="0028699A"/>
    <w:rsid w:val="00292EBD"/>
    <w:rsid w:val="00293F67"/>
    <w:rsid w:val="0029454B"/>
    <w:rsid w:val="0029626C"/>
    <w:rsid w:val="00296970"/>
    <w:rsid w:val="002A1E7F"/>
    <w:rsid w:val="002A2D87"/>
    <w:rsid w:val="002A4120"/>
    <w:rsid w:val="002A53D2"/>
    <w:rsid w:val="002A5466"/>
    <w:rsid w:val="002A6260"/>
    <w:rsid w:val="002B1BAB"/>
    <w:rsid w:val="002B2801"/>
    <w:rsid w:val="002B3374"/>
    <w:rsid w:val="002B5102"/>
    <w:rsid w:val="002B54B9"/>
    <w:rsid w:val="002B5F7F"/>
    <w:rsid w:val="002B6374"/>
    <w:rsid w:val="002B7AAB"/>
    <w:rsid w:val="002C243C"/>
    <w:rsid w:val="002C25A2"/>
    <w:rsid w:val="002C47A2"/>
    <w:rsid w:val="002C572C"/>
    <w:rsid w:val="002C6022"/>
    <w:rsid w:val="002D21B0"/>
    <w:rsid w:val="002D3B14"/>
    <w:rsid w:val="002E04EA"/>
    <w:rsid w:val="002E0F2F"/>
    <w:rsid w:val="002E1EE2"/>
    <w:rsid w:val="002E379B"/>
    <w:rsid w:val="002E648B"/>
    <w:rsid w:val="002F0CDB"/>
    <w:rsid w:val="003003AB"/>
    <w:rsid w:val="0030049D"/>
    <w:rsid w:val="00300A70"/>
    <w:rsid w:val="0030104A"/>
    <w:rsid w:val="003024FB"/>
    <w:rsid w:val="003025CD"/>
    <w:rsid w:val="0030336B"/>
    <w:rsid w:val="00304692"/>
    <w:rsid w:val="00305967"/>
    <w:rsid w:val="00310E97"/>
    <w:rsid w:val="00311FE9"/>
    <w:rsid w:val="00313343"/>
    <w:rsid w:val="0031548B"/>
    <w:rsid w:val="00315BB8"/>
    <w:rsid w:val="00315E93"/>
    <w:rsid w:val="00317534"/>
    <w:rsid w:val="00320FA4"/>
    <w:rsid w:val="0032118B"/>
    <w:rsid w:val="00321D45"/>
    <w:rsid w:val="003248FA"/>
    <w:rsid w:val="00325168"/>
    <w:rsid w:val="0032699E"/>
    <w:rsid w:val="00326FA5"/>
    <w:rsid w:val="0033124E"/>
    <w:rsid w:val="00332ADD"/>
    <w:rsid w:val="00333615"/>
    <w:rsid w:val="00335161"/>
    <w:rsid w:val="00337216"/>
    <w:rsid w:val="00340405"/>
    <w:rsid w:val="0034220D"/>
    <w:rsid w:val="00344408"/>
    <w:rsid w:val="0034493B"/>
    <w:rsid w:val="003453BD"/>
    <w:rsid w:val="00347B8E"/>
    <w:rsid w:val="00347BCC"/>
    <w:rsid w:val="00351175"/>
    <w:rsid w:val="0035488D"/>
    <w:rsid w:val="003563A1"/>
    <w:rsid w:val="003664F4"/>
    <w:rsid w:val="00367582"/>
    <w:rsid w:val="00367AD2"/>
    <w:rsid w:val="00370DEF"/>
    <w:rsid w:val="00372570"/>
    <w:rsid w:val="00372DFE"/>
    <w:rsid w:val="00375008"/>
    <w:rsid w:val="0037553E"/>
    <w:rsid w:val="003765E4"/>
    <w:rsid w:val="00383AE6"/>
    <w:rsid w:val="00384AFB"/>
    <w:rsid w:val="00385335"/>
    <w:rsid w:val="003858A3"/>
    <w:rsid w:val="00385D62"/>
    <w:rsid w:val="00386194"/>
    <w:rsid w:val="0038687F"/>
    <w:rsid w:val="0038710E"/>
    <w:rsid w:val="003916C0"/>
    <w:rsid w:val="00395203"/>
    <w:rsid w:val="003A0587"/>
    <w:rsid w:val="003A1589"/>
    <w:rsid w:val="003A62B7"/>
    <w:rsid w:val="003B0744"/>
    <w:rsid w:val="003B28AD"/>
    <w:rsid w:val="003B3756"/>
    <w:rsid w:val="003B4855"/>
    <w:rsid w:val="003B5A48"/>
    <w:rsid w:val="003B78B3"/>
    <w:rsid w:val="003B79E3"/>
    <w:rsid w:val="003B7CB1"/>
    <w:rsid w:val="003D0DDE"/>
    <w:rsid w:val="003D30A5"/>
    <w:rsid w:val="003D3A21"/>
    <w:rsid w:val="003D40E0"/>
    <w:rsid w:val="003D4CC7"/>
    <w:rsid w:val="003D5071"/>
    <w:rsid w:val="003D6749"/>
    <w:rsid w:val="003E2AFB"/>
    <w:rsid w:val="003E44B9"/>
    <w:rsid w:val="003E498A"/>
    <w:rsid w:val="003E7214"/>
    <w:rsid w:val="003F0B1C"/>
    <w:rsid w:val="003F1D60"/>
    <w:rsid w:val="003F291F"/>
    <w:rsid w:val="003F3FE3"/>
    <w:rsid w:val="003F5E85"/>
    <w:rsid w:val="003F720F"/>
    <w:rsid w:val="003F7472"/>
    <w:rsid w:val="00400B62"/>
    <w:rsid w:val="00402F1E"/>
    <w:rsid w:val="0040586A"/>
    <w:rsid w:val="00410964"/>
    <w:rsid w:val="00413D70"/>
    <w:rsid w:val="00414EDA"/>
    <w:rsid w:val="00422616"/>
    <w:rsid w:val="00425389"/>
    <w:rsid w:val="00431411"/>
    <w:rsid w:val="004320BD"/>
    <w:rsid w:val="004327DF"/>
    <w:rsid w:val="00434347"/>
    <w:rsid w:val="004358DA"/>
    <w:rsid w:val="00436E98"/>
    <w:rsid w:val="00442E0A"/>
    <w:rsid w:val="00445959"/>
    <w:rsid w:val="0044715E"/>
    <w:rsid w:val="00450106"/>
    <w:rsid w:val="004515C4"/>
    <w:rsid w:val="004515F8"/>
    <w:rsid w:val="00452594"/>
    <w:rsid w:val="0045291B"/>
    <w:rsid w:val="00453378"/>
    <w:rsid w:val="0045366B"/>
    <w:rsid w:val="00456C56"/>
    <w:rsid w:val="0045704A"/>
    <w:rsid w:val="004571D7"/>
    <w:rsid w:val="00457D38"/>
    <w:rsid w:val="00460D90"/>
    <w:rsid w:val="00461697"/>
    <w:rsid w:val="004619C2"/>
    <w:rsid w:val="00467A4B"/>
    <w:rsid w:val="004722CF"/>
    <w:rsid w:val="00472A7B"/>
    <w:rsid w:val="00474101"/>
    <w:rsid w:val="004778AF"/>
    <w:rsid w:val="00480448"/>
    <w:rsid w:val="00481650"/>
    <w:rsid w:val="00482040"/>
    <w:rsid w:val="0048477D"/>
    <w:rsid w:val="004864CF"/>
    <w:rsid w:val="004917CB"/>
    <w:rsid w:val="00495950"/>
    <w:rsid w:val="00495C2F"/>
    <w:rsid w:val="004A44C0"/>
    <w:rsid w:val="004A565C"/>
    <w:rsid w:val="004A6D4E"/>
    <w:rsid w:val="004A708C"/>
    <w:rsid w:val="004A73E9"/>
    <w:rsid w:val="004A7E62"/>
    <w:rsid w:val="004B295C"/>
    <w:rsid w:val="004B2A53"/>
    <w:rsid w:val="004B341B"/>
    <w:rsid w:val="004B41CD"/>
    <w:rsid w:val="004B4DFA"/>
    <w:rsid w:val="004C375D"/>
    <w:rsid w:val="004C727A"/>
    <w:rsid w:val="004C765D"/>
    <w:rsid w:val="004D4C6D"/>
    <w:rsid w:val="004D72FD"/>
    <w:rsid w:val="004D7DC0"/>
    <w:rsid w:val="004E30A4"/>
    <w:rsid w:val="004E3A86"/>
    <w:rsid w:val="004E3D0C"/>
    <w:rsid w:val="004E5D8D"/>
    <w:rsid w:val="004E731B"/>
    <w:rsid w:val="004E7F73"/>
    <w:rsid w:val="004F5BDC"/>
    <w:rsid w:val="004F708F"/>
    <w:rsid w:val="005030EF"/>
    <w:rsid w:val="0050504E"/>
    <w:rsid w:val="00507331"/>
    <w:rsid w:val="00510B05"/>
    <w:rsid w:val="00513260"/>
    <w:rsid w:val="005144FA"/>
    <w:rsid w:val="00516E58"/>
    <w:rsid w:val="00517420"/>
    <w:rsid w:val="00517A4A"/>
    <w:rsid w:val="00524818"/>
    <w:rsid w:val="00530A81"/>
    <w:rsid w:val="005319E8"/>
    <w:rsid w:val="00537352"/>
    <w:rsid w:val="00543826"/>
    <w:rsid w:val="00543B98"/>
    <w:rsid w:val="00546042"/>
    <w:rsid w:val="005468CF"/>
    <w:rsid w:val="00547561"/>
    <w:rsid w:val="00551885"/>
    <w:rsid w:val="00551907"/>
    <w:rsid w:val="00554489"/>
    <w:rsid w:val="0055527A"/>
    <w:rsid w:val="00561F8E"/>
    <w:rsid w:val="00562E2B"/>
    <w:rsid w:val="005632C4"/>
    <w:rsid w:val="00564F2C"/>
    <w:rsid w:val="00565FA7"/>
    <w:rsid w:val="0056673F"/>
    <w:rsid w:val="00571E39"/>
    <w:rsid w:val="0057211C"/>
    <w:rsid w:val="00573086"/>
    <w:rsid w:val="005731CF"/>
    <w:rsid w:val="00575C0C"/>
    <w:rsid w:val="00577149"/>
    <w:rsid w:val="0057722C"/>
    <w:rsid w:val="00583506"/>
    <w:rsid w:val="00583891"/>
    <w:rsid w:val="00584933"/>
    <w:rsid w:val="00585C7B"/>
    <w:rsid w:val="00592F22"/>
    <w:rsid w:val="005943BF"/>
    <w:rsid w:val="0059766C"/>
    <w:rsid w:val="00597E6B"/>
    <w:rsid w:val="005A144F"/>
    <w:rsid w:val="005A2A37"/>
    <w:rsid w:val="005A45D0"/>
    <w:rsid w:val="005B0B4B"/>
    <w:rsid w:val="005B2C7E"/>
    <w:rsid w:val="005B396C"/>
    <w:rsid w:val="005B61A2"/>
    <w:rsid w:val="005B67E8"/>
    <w:rsid w:val="005C039B"/>
    <w:rsid w:val="005C48F9"/>
    <w:rsid w:val="005C614D"/>
    <w:rsid w:val="005D01D3"/>
    <w:rsid w:val="005D1BF5"/>
    <w:rsid w:val="005D455D"/>
    <w:rsid w:val="005D4AB7"/>
    <w:rsid w:val="005D4EFB"/>
    <w:rsid w:val="005E153C"/>
    <w:rsid w:val="005E1A52"/>
    <w:rsid w:val="005E1C83"/>
    <w:rsid w:val="005E23DC"/>
    <w:rsid w:val="005E43A5"/>
    <w:rsid w:val="005E5BD9"/>
    <w:rsid w:val="005F1BB1"/>
    <w:rsid w:val="005F2B95"/>
    <w:rsid w:val="005F5405"/>
    <w:rsid w:val="005F68AF"/>
    <w:rsid w:val="005F778C"/>
    <w:rsid w:val="006026F9"/>
    <w:rsid w:val="00602CD0"/>
    <w:rsid w:val="0060498E"/>
    <w:rsid w:val="006068E5"/>
    <w:rsid w:val="00607A42"/>
    <w:rsid w:val="00610B63"/>
    <w:rsid w:val="00611B6D"/>
    <w:rsid w:val="006120E1"/>
    <w:rsid w:val="00612C03"/>
    <w:rsid w:val="0061392C"/>
    <w:rsid w:val="006151EB"/>
    <w:rsid w:val="00620BF3"/>
    <w:rsid w:val="00621A3E"/>
    <w:rsid w:val="00624D91"/>
    <w:rsid w:val="00626493"/>
    <w:rsid w:val="00632A00"/>
    <w:rsid w:val="006343E4"/>
    <w:rsid w:val="0063631E"/>
    <w:rsid w:val="0063666A"/>
    <w:rsid w:val="00636D8F"/>
    <w:rsid w:val="0064021E"/>
    <w:rsid w:val="00642606"/>
    <w:rsid w:val="00652332"/>
    <w:rsid w:val="00652546"/>
    <w:rsid w:val="0065490C"/>
    <w:rsid w:val="006609E8"/>
    <w:rsid w:val="00661572"/>
    <w:rsid w:val="00662B08"/>
    <w:rsid w:val="00670963"/>
    <w:rsid w:val="00671FDA"/>
    <w:rsid w:val="0067324A"/>
    <w:rsid w:val="00673D7E"/>
    <w:rsid w:val="0067438E"/>
    <w:rsid w:val="00675695"/>
    <w:rsid w:val="00682615"/>
    <w:rsid w:val="00684511"/>
    <w:rsid w:val="0068478B"/>
    <w:rsid w:val="006852DB"/>
    <w:rsid w:val="0069040A"/>
    <w:rsid w:val="00690416"/>
    <w:rsid w:val="006909CC"/>
    <w:rsid w:val="00692AFF"/>
    <w:rsid w:val="00692EB0"/>
    <w:rsid w:val="0069402D"/>
    <w:rsid w:val="00694321"/>
    <w:rsid w:val="00696F3B"/>
    <w:rsid w:val="006A176F"/>
    <w:rsid w:val="006A1FB6"/>
    <w:rsid w:val="006B45D4"/>
    <w:rsid w:val="006B4E1A"/>
    <w:rsid w:val="006B5DD5"/>
    <w:rsid w:val="006B6838"/>
    <w:rsid w:val="006C187E"/>
    <w:rsid w:val="006C26DC"/>
    <w:rsid w:val="006C2EF7"/>
    <w:rsid w:val="006D2986"/>
    <w:rsid w:val="006D3A17"/>
    <w:rsid w:val="006D7569"/>
    <w:rsid w:val="006E0C54"/>
    <w:rsid w:val="006E3F2E"/>
    <w:rsid w:val="006E6AF3"/>
    <w:rsid w:val="006F14CF"/>
    <w:rsid w:val="006F3768"/>
    <w:rsid w:val="00705301"/>
    <w:rsid w:val="00711381"/>
    <w:rsid w:val="007157ED"/>
    <w:rsid w:val="0072151A"/>
    <w:rsid w:val="00723CA4"/>
    <w:rsid w:val="00727B31"/>
    <w:rsid w:val="00735734"/>
    <w:rsid w:val="007360B0"/>
    <w:rsid w:val="0074246A"/>
    <w:rsid w:val="00742DDD"/>
    <w:rsid w:val="00743114"/>
    <w:rsid w:val="00743354"/>
    <w:rsid w:val="0074512F"/>
    <w:rsid w:val="0074700C"/>
    <w:rsid w:val="00752B56"/>
    <w:rsid w:val="0075671A"/>
    <w:rsid w:val="00760330"/>
    <w:rsid w:val="00761D9C"/>
    <w:rsid w:val="00763852"/>
    <w:rsid w:val="007644B2"/>
    <w:rsid w:val="007664D9"/>
    <w:rsid w:val="00770F28"/>
    <w:rsid w:val="00773E42"/>
    <w:rsid w:val="0077527A"/>
    <w:rsid w:val="0078602A"/>
    <w:rsid w:val="00792406"/>
    <w:rsid w:val="00792719"/>
    <w:rsid w:val="007929D8"/>
    <w:rsid w:val="00792F9F"/>
    <w:rsid w:val="007A1367"/>
    <w:rsid w:val="007A1CE0"/>
    <w:rsid w:val="007A28C4"/>
    <w:rsid w:val="007B5AF9"/>
    <w:rsid w:val="007B7D2C"/>
    <w:rsid w:val="007C214C"/>
    <w:rsid w:val="007C2BC9"/>
    <w:rsid w:val="007C39CC"/>
    <w:rsid w:val="007C7889"/>
    <w:rsid w:val="007C7CBA"/>
    <w:rsid w:val="007D2A5A"/>
    <w:rsid w:val="007D35D7"/>
    <w:rsid w:val="007D4CC0"/>
    <w:rsid w:val="007D5B5E"/>
    <w:rsid w:val="007D7CBD"/>
    <w:rsid w:val="007E2F23"/>
    <w:rsid w:val="007E6703"/>
    <w:rsid w:val="007E775A"/>
    <w:rsid w:val="007F0AC4"/>
    <w:rsid w:val="007F16D3"/>
    <w:rsid w:val="007F3150"/>
    <w:rsid w:val="007F316D"/>
    <w:rsid w:val="007F35D8"/>
    <w:rsid w:val="007F3DE7"/>
    <w:rsid w:val="007F4E72"/>
    <w:rsid w:val="007F5B3C"/>
    <w:rsid w:val="007F72D1"/>
    <w:rsid w:val="0080038A"/>
    <w:rsid w:val="00807D93"/>
    <w:rsid w:val="0081017D"/>
    <w:rsid w:val="00811286"/>
    <w:rsid w:val="008121B1"/>
    <w:rsid w:val="00814BD8"/>
    <w:rsid w:val="008152A7"/>
    <w:rsid w:val="00821F0E"/>
    <w:rsid w:val="00824D53"/>
    <w:rsid w:val="00834122"/>
    <w:rsid w:val="0083461E"/>
    <w:rsid w:val="00836BDA"/>
    <w:rsid w:val="00837FA7"/>
    <w:rsid w:val="0084028D"/>
    <w:rsid w:val="00841E5F"/>
    <w:rsid w:val="008426DF"/>
    <w:rsid w:val="0084353D"/>
    <w:rsid w:val="00844F7B"/>
    <w:rsid w:val="0084646D"/>
    <w:rsid w:val="00846631"/>
    <w:rsid w:val="00851665"/>
    <w:rsid w:val="008525C9"/>
    <w:rsid w:val="008539FB"/>
    <w:rsid w:val="0085400F"/>
    <w:rsid w:val="00855D04"/>
    <w:rsid w:val="00855D5E"/>
    <w:rsid w:val="0085693F"/>
    <w:rsid w:val="0086032A"/>
    <w:rsid w:val="00867008"/>
    <w:rsid w:val="0087142E"/>
    <w:rsid w:val="00871F17"/>
    <w:rsid w:val="00872A20"/>
    <w:rsid w:val="00877617"/>
    <w:rsid w:val="008779B3"/>
    <w:rsid w:val="008806BB"/>
    <w:rsid w:val="00886389"/>
    <w:rsid w:val="00886F71"/>
    <w:rsid w:val="00890AFE"/>
    <w:rsid w:val="00891E2F"/>
    <w:rsid w:val="0089219D"/>
    <w:rsid w:val="008969B8"/>
    <w:rsid w:val="008976C9"/>
    <w:rsid w:val="008A044C"/>
    <w:rsid w:val="008A14DE"/>
    <w:rsid w:val="008A4889"/>
    <w:rsid w:val="008A62B4"/>
    <w:rsid w:val="008A7F5D"/>
    <w:rsid w:val="008B3514"/>
    <w:rsid w:val="008B3E53"/>
    <w:rsid w:val="008B5B44"/>
    <w:rsid w:val="008B7CDE"/>
    <w:rsid w:val="008C0F78"/>
    <w:rsid w:val="008C2647"/>
    <w:rsid w:val="008C6B4D"/>
    <w:rsid w:val="008D0C49"/>
    <w:rsid w:val="008D2DEF"/>
    <w:rsid w:val="008D3EBA"/>
    <w:rsid w:val="008D4001"/>
    <w:rsid w:val="008D4207"/>
    <w:rsid w:val="008D550E"/>
    <w:rsid w:val="008E0F6B"/>
    <w:rsid w:val="008E153E"/>
    <w:rsid w:val="008E2499"/>
    <w:rsid w:val="008E26A5"/>
    <w:rsid w:val="008E2A02"/>
    <w:rsid w:val="008E3B31"/>
    <w:rsid w:val="008E3D14"/>
    <w:rsid w:val="008E4E01"/>
    <w:rsid w:val="008F1B0B"/>
    <w:rsid w:val="008F2C48"/>
    <w:rsid w:val="008F4A54"/>
    <w:rsid w:val="008F6F32"/>
    <w:rsid w:val="009077EE"/>
    <w:rsid w:val="009108F6"/>
    <w:rsid w:val="009133EA"/>
    <w:rsid w:val="009138DC"/>
    <w:rsid w:val="00916F91"/>
    <w:rsid w:val="00920B1D"/>
    <w:rsid w:val="009212E0"/>
    <w:rsid w:val="0093782D"/>
    <w:rsid w:val="00942F54"/>
    <w:rsid w:val="00943572"/>
    <w:rsid w:val="00954160"/>
    <w:rsid w:val="009543AC"/>
    <w:rsid w:val="009567C1"/>
    <w:rsid w:val="00956EAD"/>
    <w:rsid w:val="009576D8"/>
    <w:rsid w:val="009617A4"/>
    <w:rsid w:val="009649D5"/>
    <w:rsid w:val="009656A7"/>
    <w:rsid w:val="009657BB"/>
    <w:rsid w:val="00970348"/>
    <w:rsid w:val="00974853"/>
    <w:rsid w:val="00983B2E"/>
    <w:rsid w:val="0098427E"/>
    <w:rsid w:val="0098787B"/>
    <w:rsid w:val="0099092A"/>
    <w:rsid w:val="00990A63"/>
    <w:rsid w:val="009910F8"/>
    <w:rsid w:val="00993225"/>
    <w:rsid w:val="009936DC"/>
    <w:rsid w:val="009976DC"/>
    <w:rsid w:val="009A0366"/>
    <w:rsid w:val="009A4E1A"/>
    <w:rsid w:val="009B50A7"/>
    <w:rsid w:val="009B5754"/>
    <w:rsid w:val="009C114B"/>
    <w:rsid w:val="009C6B0D"/>
    <w:rsid w:val="009D004D"/>
    <w:rsid w:val="009D1FD5"/>
    <w:rsid w:val="009D37EA"/>
    <w:rsid w:val="009E06A5"/>
    <w:rsid w:val="009E0ED3"/>
    <w:rsid w:val="009E1326"/>
    <w:rsid w:val="009E287F"/>
    <w:rsid w:val="009E452E"/>
    <w:rsid w:val="009E457B"/>
    <w:rsid w:val="009E61C3"/>
    <w:rsid w:val="009F0C87"/>
    <w:rsid w:val="009F2641"/>
    <w:rsid w:val="009F4207"/>
    <w:rsid w:val="009F665E"/>
    <w:rsid w:val="009F669E"/>
    <w:rsid w:val="00A01221"/>
    <w:rsid w:val="00A01C0B"/>
    <w:rsid w:val="00A037BF"/>
    <w:rsid w:val="00A041A4"/>
    <w:rsid w:val="00A044B5"/>
    <w:rsid w:val="00A069EE"/>
    <w:rsid w:val="00A11F67"/>
    <w:rsid w:val="00A12CE6"/>
    <w:rsid w:val="00A134F7"/>
    <w:rsid w:val="00A137E2"/>
    <w:rsid w:val="00A13860"/>
    <w:rsid w:val="00A14887"/>
    <w:rsid w:val="00A15C7B"/>
    <w:rsid w:val="00A179DF"/>
    <w:rsid w:val="00A21D3D"/>
    <w:rsid w:val="00A23567"/>
    <w:rsid w:val="00A24253"/>
    <w:rsid w:val="00A2547E"/>
    <w:rsid w:val="00A342E4"/>
    <w:rsid w:val="00A3485B"/>
    <w:rsid w:val="00A40748"/>
    <w:rsid w:val="00A410B1"/>
    <w:rsid w:val="00A4349B"/>
    <w:rsid w:val="00A448AB"/>
    <w:rsid w:val="00A457B3"/>
    <w:rsid w:val="00A4799C"/>
    <w:rsid w:val="00A5013B"/>
    <w:rsid w:val="00A5200D"/>
    <w:rsid w:val="00A61AFF"/>
    <w:rsid w:val="00A65189"/>
    <w:rsid w:val="00A65805"/>
    <w:rsid w:val="00A700C4"/>
    <w:rsid w:val="00A70848"/>
    <w:rsid w:val="00A70D55"/>
    <w:rsid w:val="00A70FD3"/>
    <w:rsid w:val="00A721DF"/>
    <w:rsid w:val="00A755DF"/>
    <w:rsid w:val="00A775DA"/>
    <w:rsid w:val="00A80EDB"/>
    <w:rsid w:val="00A837AD"/>
    <w:rsid w:val="00A847D5"/>
    <w:rsid w:val="00A85267"/>
    <w:rsid w:val="00A85CD5"/>
    <w:rsid w:val="00A863E0"/>
    <w:rsid w:val="00A91671"/>
    <w:rsid w:val="00A92AE3"/>
    <w:rsid w:val="00A937B2"/>
    <w:rsid w:val="00A93963"/>
    <w:rsid w:val="00A94C42"/>
    <w:rsid w:val="00AA1F62"/>
    <w:rsid w:val="00AA4237"/>
    <w:rsid w:val="00AA7C63"/>
    <w:rsid w:val="00AB2148"/>
    <w:rsid w:val="00AB22E0"/>
    <w:rsid w:val="00AB2F4F"/>
    <w:rsid w:val="00AB510B"/>
    <w:rsid w:val="00AC002B"/>
    <w:rsid w:val="00AC03B0"/>
    <w:rsid w:val="00AC1C05"/>
    <w:rsid w:val="00AC2F9B"/>
    <w:rsid w:val="00AC37FB"/>
    <w:rsid w:val="00AC477B"/>
    <w:rsid w:val="00AC7DE5"/>
    <w:rsid w:val="00AD2AAF"/>
    <w:rsid w:val="00AD352B"/>
    <w:rsid w:val="00AD3821"/>
    <w:rsid w:val="00AD3FE9"/>
    <w:rsid w:val="00AD47B2"/>
    <w:rsid w:val="00AD62C8"/>
    <w:rsid w:val="00AD6EF7"/>
    <w:rsid w:val="00AD738C"/>
    <w:rsid w:val="00AD7A4B"/>
    <w:rsid w:val="00AD7BB8"/>
    <w:rsid w:val="00AE13A6"/>
    <w:rsid w:val="00AE539C"/>
    <w:rsid w:val="00AE6675"/>
    <w:rsid w:val="00AE6ADD"/>
    <w:rsid w:val="00AF0CFD"/>
    <w:rsid w:val="00AF18D6"/>
    <w:rsid w:val="00AF1A12"/>
    <w:rsid w:val="00AF1A3C"/>
    <w:rsid w:val="00AF4F2F"/>
    <w:rsid w:val="00B00277"/>
    <w:rsid w:val="00B0097D"/>
    <w:rsid w:val="00B01494"/>
    <w:rsid w:val="00B014DA"/>
    <w:rsid w:val="00B06BE0"/>
    <w:rsid w:val="00B13708"/>
    <w:rsid w:val="00B16E5C"/>
    <w:rsid w:val="00B21C39"/>
    <w:rsid w:val="00B21D29"/>
    <w:rsid w:val="00B227EE"/>
    <w:rsid w:val="00B240EF"/>
    <w:rsid w:val="00B341C5"/>
    <w:rsid w:val="00B35016"/>
    <w:rsid w:val="00B35E2A"/>
    <w:rsid w:val="00B36840"/>
    <w:rsid w:val="00B37FA9"/>
    <w:rsid w:val="00B410B3"/>
    <w:rsid w:val="00B430DE"/>
    <w:rsid w:val="00B5034C"/>
    <w:rsid w:val="00B52EE1"/>
    <w:rsid w:val="00B5798C"/>
    <w:rsid w:val="00B57A07"/>
    <w:rsid w:val="00B652E1"/>
    <w:rsid w:val="00B6560B"/>
    <w:rsid w:val="00B666CA"/>
    <w:rsid w:val="00B71708"/>
    <w:rsid w:val="00B7455E"/>
    <w:rsid w:val="00B774D9"/>
    <w:rsid w:val="00B82F2F"/>
    <w:rsid w:val="00B845C2"/>
    <w:rsid w:val="00B84853"/>
    <w:rsid w:val="00B9184D"/>
    <w:rsid w:val="00B9194E"/>
    <w:rsid w:val="00B94E6B"/>
    <w:rsid w:val="00B95292"/>
    <w:rsid w:val="00B971A8"/>
    <w:rsid w:val="00BA0756"/>
    <w:rsid w:val="00BA13AC"/>
    <w:rsid w:val="00BA1B15"/>
    <w:rsid w:val="00BA2ED0"/>
    <w:rsid w:val="00BB04ED"/>
    <w:rsid w:val="00BB2B99"/>
    <w:rsid w:val="00BB6930"/>
    <w:rsid w:val="00BC05C0"/>
    <w:rsid w:val="00BC170B"/>
    <w:rsid w:val="00BC3A23"/>
    <w:rsid w:val="00BC5147"/>
    <w:rsid w:val="00BD06B9"/>
    <w:rsid w:val="00BD45F8"/>
    <w:rsid w:val="00BD4DF5"/>
    <w:rsid w:val="00BD5AF2"/>
    <w:rsid w:val="00BE1BB1"/>
    <w:rsid w:val="00BE37F0"/>
    <w:rsid w:val="00BE442E"/>
    <w:rsid w:val="00BE4C07"/>
    <w:rsid w:val="00BE66E1"/>
    <w:rsid w:val="00BE7501"/>
    <w:rsid w:val="00BF2902"/>
    <w:rsid w:val="00BF4934"/>
    <w:rsid w:val="00BF5CDD"/>
    <w:rsid w:val="00BF6EBE"/>
    <w:rsid w:val="00C0060E"/>
    <w:rsid w:val="00C0313C"/>
    <w:rsid w:val="00C06536"/>
    <w:rsid w:val="00C06E50"/>
    <w:rsid w:val="00C0739A"/>
    <w:rsid w:val="00C07D11"/>
    <w:rsid w:val="00C10A2A"/>
    <w:rsid w:val="00C11320"/>
    <w:rsid w:val="00C134EC"/>
    <w:rsid w:val="00C20CEA"/>
    <w:rsid w:val="00C2139C"/>
    <w:rsid w:val="00C2213A"/>
    <w:rsid w:val="00C22E2A"/>
    <w:rsid w:val="00C260F4"/>
    <w:rsid w:val="00C27638"/>
    <w:rsid w:val="00C32DA2"/>
    <w:rsid w:val="00C402E7"/>
    <w:rsid w:val="00C410BE"/>
    <w:rsid w:val="00C4666B"/>
    <w:rsid w:val="00C47B27"/>
    <w:rsid w:val="00C5036A"/>
    <w:rsid w:val="00C54708"/>
    <w:rsid w:val="00C55775"/>
    <w:rsid w:val="00C5600A"/>
    <w:rsid w:val="00C621CA"/>
    <w:rsid w:val="00C6360D"/>
    <w:rsid w:val="00C64B9C"/>
    <w:rsid w:val="00C64CBE"/>
    <w:rsid w:val="00C64EFF"/>
    <w:rsid w:val="00C65009"/>
    <w:rsid w:val="00C65CC3"/>
    <w:rsid w:val="00C66226"/>
    <w:rsid w:val="00C66C09"/>
    <w:rsid w:val="00C66E67"/>
    <w:rsid w:val="00C71E0F"/>
    <w:rsid w:val="00C720B0"/>
    <w:rsid w:val="00C8269F"/>
    <w:rsid w:val="00C87B98"/>
    <w:rsid w:val="00C92696"/>
    <w:rsid w:val="00C96337"/>
    <w:rsid w:val="00CA075E"/>
    <w:rsid w:val="00CA1C9C"/>
    <w:rsid w:val="00CA42A6"/>
    <w:rsid w:val="00CA47CF"/>
    <w:rsid w:val="00CB085D"/>
    <w:rsid w:val="00CB0CC1"/>
    <w:rsid w:val="00CB1037"/>
    <w:rsid w:val="00CB1B5D"/>
    <w:rsid w:val="00CB24B7"/>
    <w:rsid w:val="00CB295E"/>
    <w:rsid w:val="00CB4819"/>
    <w:rsid w:val="00CB57F3"/>
    <w:rsid w:val="00CB581C"/>
    <w:rsid w:val="00CB5D16"/>
    <w:rsid w:val="00CB6314"/>
    <w:rsid w:val="00CB6C38"/>
    <w:rsid w:val="00CC1A7A"/>
    <w:rsid w:val="00CC1D99"/>
    <w:rsid w:val="00CC2AAE"/>
    <w:rsid w:val="00CC574E"/>
    <w:rsid w:val="00CD1AED"/>
    <w:rsid w:val="00CD204E"/>
    <w:rsid w:val="00CD2819"/>
    <w:rsid w:val="00CD2C14"/>
    <w:rsid w:val="00CD3161"/>
    <w:rsid w:val="00CD3621"/>
    <w:rsid w:val="00CD55A0"/>
    <w:rsid w:val="00CE02B1"/>
    <w:rsid w:val="00CE0C84"/>
    <w:rsid w:val="00CE4668"/>
    <w:rsid w:val="00CE69A6"/>
    <w:rsid w:val="00CF3990"/>
    <w:rsid w:val="00CF5A7A"/>
    <w:rsid w:val="00D00211"/>
    <w:rsid w:val="00D0082C"/>
    <w:rsid w:val="00D05E18"/>
    <w:rsid w:val="00D07445"/>
    <w:rsid w:val="00D12A91"/>
    <w:rsid w:val="00D1700D"/>
    <w:rsid w:val="00D20E80"/>
    <w:rsid w:val="00D21E2F"/>
    <w:rsid w:val="00D22FDB"/>
    <w:rsid w:val="00D23A44"/>
    <w:rsid w:val="00D23F42"/>
    <w:rsid w:val="00D30E56"/>
    <w:rsid w:val="00D313C6"/>
    <w:rsid w:val="00D34F1C"/>
    <w:rsid w:val="00D403F0"/>
    <w:rsid w:val="00D404A5"/>
    <w:rsid w:val="00D4185C"/>
    <w:rsid w:val="00D43F1B"/>
    <w:rsid w:val="00D4623B"/>
    <w:rsid w:val="00D47ECF"/>
    <w:rsid w:val="00D52DB0"/>
    <w:rsid w:val="00D53DD8"/>
    <w:rsid w:val="00D54AE9"/>
    <w:rsid w:val="00D55AC2"/>
    <w:rsid w:val="00D617D8"/>
    <w:rsid w:val="00D63191"/>
    <w:rsid w:val="00D667A3"/>
    <w:rsid w:val="00D6741A"/>
    <w:rsid w:val="00D67A18"/>
    <w:rsid w:val="00D728A7"/>
    <w:rsid w:val="00D74569"/>
    <w:rsid w:val="00D74612"/>
    <w:rsid w:val="00D7695E"/>
    <w:rsid w:val="00D76998"/>
    <w:rsid w:val="00D821DE"/>
    <w:rsid w:val="00D82D72"/>
    <w:rsid w:val="00D8320D"/>
    <w:rsid w:val="00D86902"/>
    <w:rsid w:val="00D875C7"/>
    <w:rsid w:val="00D879B3"/>
    <w:rsid w:val="00D92F9F"/>
    <w:rsid w:val="00D931C0"/>
    <w:rsid w:val="00D961B0"/>
    <w:rsid w:val="00D963B3"/>
    <w:rsid w:val="00D97585"/>
    <w:rsid w:val="00DA277A"/>
    <w:rsid w:val="00DA5299"/>
    <w:rsid w:val="00DB058A"/>
    <w:rsid w:val="00DB1C53"/>
    <w:rsid w:val="00DB2909"/>
    <w:rsid w:val="00DB4B0D"/>
    <w:rsid w:val="00DB5164"/>
    <w:rsid w:val="00DB6AED"/>
    <w:rsid w:val="00DB6F1A"/>
    <w:rsid w:val="00DC5737"/>
    <w:rsid w:val="00DC61DF"/>
    <w:rsid w:val="00DD38C2"/>
    <w:rsid w:val="00DD6AAD"/>
    <w:rsid w:val="00DD7376"/>
    <w:rsid w:val="00DE0FE3"/>
    <w:rsid w:val="00DF08B1"/>
    <w:rsid w:val="00DF6691"/>
    <w:rsid w:val="00DF6B06"/>
    <w:rsid w:val="00E01EE1"/>
    <w:rsid w:val="00E02C0B"/>
    <w:rsid w:val="00E06006"/>
    <w:rsid w:val="00E07C74"/>
    <w:rsid w:val="00E13814"/>
    <w:rsid w:val="00E13D17"/>
    <w:rsid w:val="00E17331"/>
    <w:rsid w:val="00E21DA9"/>
    <w:rsid w:val="00E241B3"/>
    <w:rsid w:val="00E27CD7"/>
    <w:rsid w:val="00E3001B"/>
    <w:rsid w:val="00E3291F"/>
    <w:rsid w:val="00E33D9A"/>
    <w:rsid w:val="00E3450E"/>
    <w:rsid w:val="00E35963"/>
    <w:rsid w:val="00E36C11"/>
    <w:rsid w:val="00E41E2A"/>
    <w:rsid w:val="00E421A0"/>
    <w:rsid w:val="00E45B9F"/>
    <w:rsid w:val="00E469F0"/>
    <w:rsid w:val="00E473A7"/>
    <w:rsid w:val="00E520B6"/>
    <w:rsid w:val="00E522A9"/>
    <w:rsid w:val="00E53188"/>
    <w:rsid w:val="00E535BC"/>
    <w:rsid w:val="00E53E1E"/>
    <w:rsid w:val="00E54790"/>
    <w:rsid w:val="00E5535C"/>
    <w:rsid w:val="00E561DF"/>
    <w:rsid w:val="00E56451"/>
    <w:rsid w:val="00E60B7E"/>
    <w:rsid w:val="00E62063"/>
    <w:rsid w:val="00E62980"/>
    <w:rsid w:val="00E6336B"/>
    <w:rsid w:val="00E635EE"/>
    <w:rsid w:val="00E700CF"/>
    <w:rsid w:val="00E705C3"/>
    <w:rsid w:val="00E723A9"/>
    <w:rsid w:val="00E726B2"/>
    <w:rsid w:val="00E737D5"/>
    <w:rsid w:val="00E748C1"/>
    <w:rsid w:val="00E7493B"/>
    <w:rsid w:val="00E76039"/>
    <w:rsid w:val="00E77059"/>
    <w:rsid w:val="00E8018A"/>
    <w:rsid w:val="00E80CAC"/>
    <w:rsid w:val="00E84800"/>
    <w:rsid w:val="00E84873"/>
    <w:rsid w:val="00E849E0"/>
    <w:rsid w:val="00E90A07"/>
    <w:rsid w:val="00E91397"/>
    <w:rsid w:val="00E91FED"/>
    <w:rsid w:val="00E93580"/>
    <w:rsid w:val="00E951E7"/>
    <w:rsid w:val="00E951E8"/>
    <w:rsid w:val="00EA0AD7"/>
    <w:rsid w:val="00EA3295"/>
    <w:rsid w:val="00EA4AF1"/>
    <w:rsid w:val="00EA70E8"/>
    <w:rsid w:val="00EA7AED"/>
    <w:rsid w:val="00EB177B"/>
    <w:rsid w:val="00EB3AD1"/>
    <w:rsid w:val="00EB4020"/>
    <w:rsid w:val="00EB6BCA"/>
    <w:rsid w:val="00EC2063"/>
    <w:rsid w:val="00EC2700"/>
    <w:rsid w:val="00EC33EA"/>
    <w:rsid w:val="00EC4689"/>
    <w:rsid w:val="00EC69C0"/>
    <w:rsid w:val="00EC6EE9"/>
    <w:rsid w:val="00EC7E9F"/>
    <w:rsid w:val="00ED1AA0"/>
    <w:rsid w:val="00ED1BFD"/>
    <w:rsid w:val="00ED7442"/>
    <w:rsid w:val="00EE02BA"/>
    <w:rsid w:val="00EE3BDC"/>
    <w:rsid w:val="00EE47B5"/>
    <w:rsid w:val="00EE5973"/>
    <w:rsid w:val="00EE75BA"/>
    <w:rsid w:val="00EF0764"/>
    <w:rsid w:val="00EF3658"/>
    <w:rsid w:val="00EF4251"/>
    <w:rsid w:val="00EF52A9"/>
    <w:rsid w:val="00EF6F20"/>
    <w:rsid w:val="00F00D78"/>
    <w:rsid w:val="00F0149C"/>
    <w:rsid w:val="00F0300B"/>
    <w:rsid w:val="00F071E5"/>
    <w:rsid w:val="00F10C1E"/>
    <w:rsid w:val="00F110B5"/>
    <w:rsid w:val="00F12ED8"/>
    <w:rsid w:val="00F13F56"/>
    <w:rsid w:val="00F206C1"/>
    <w:rsid w:val="00F21029"/>
    <w:rsid w:val="00F24A09"/>
    <w:rsid w:val="00F26407"/>
    <w:rsid w:val="00F30438"/>
    <w:rsid w:val="00F36645"/>
    <w:rsid w:val="00F37162"/>
    <w:rsid w:val="00F3749D"/>
    <w:rsid w:val="00F37869"/>
    <w:rsid w:val="00F40096"/>
    <w:rsid w:val="00F40885"/>
    <w:rsid w:val="00F42E9C"/>
    <w:rsid w:val="00F51B99"/>
    <w:rsid w:val="00F54D17"/>
    <w:rsid w:val="00F55FD2"/>
    <w:rsid w:val="00F5628F"/>
    <w:rsid w:val="00F56742"/>
    <w:rsid w:val="00F630A3"/>
    <w:rsid w:val="00F67B0F"/>
    <w:rsid w:val="00F70621"/>
    <w:rsid w:val="00F707F3"/>
    <w:rsid w:val="00F70972"/>
    <w:rsid w:val="00F72206"/>
    <w:rsid w:val="00F72476"/>
    <w:rsid w:val="00F85654"/>
    <w:rsid w:val="00F87C07"/>
    <w:rsid w:val="00F90FC4"/>
    <w:rsid w:val="00F96CE5"/>
    <w:rsid w:val="00F97F62"/>
    <w:rsid w:val="00FA280C"/>
    <w:rsid w:val="00FA29CF"/>
    <w:rsid w:val="00FA56FC"/>
    <w:rsid w:val="00FA595D"/>
    <w:rsid w:val="00FA5A79"/>
    <w:rsid w:val="00FA643C"/>
    <w:rsid w:val="00FB00E6"/>
    <w:rsid w:val="00FB34D5"/>
    <w:rsid w:val="00FB4DEF"/>
    <w:rsid w:val="00FB668E"/>
    <w:rsid w:val="00FC0F0B"/>
    <w:rsid w:val="00FC13A1"/>
    <w:rsid w:val="00FC1470"/>
    <w:rsid w:val="00FC3877"/>
    <w:rsid w:val="00FC3C26"/>
    <w:rsid w:val="00FC44E4"/>
    <w:rsid w:val="00FC622B"/>
    <w:rsid w:val="00FD0673"/>
    <w:rsid w:val="00FD2483"/>
    <w:rsid w:val="00FD2A77"/>
    <w:rsid w:val="00FD34D8"/>
    <w:rsid w:val="00FD4AFD"/>
    <w:rsid w:val="00FD4F6E"/>
    <w:rsid w:val="00FD5323"/>
    <w:rsid w:val="00FD7845"/>
    <w:rsid w:val="00FE1FC1"/>
    <w:rsid w:val="00FE3096"/>
    <w:rsid w:val="00FE5381"/>
    <w:rsid w:val="00FE54BC"/>
    <w:rsid w:val="00FE6095"/>
    <w:rsid w:val="00FE79BD"/>
    <w:rsid w:val="00FE7C4E"/>
    <w:rsid w:val="00FE7F0A"/>
    <w:rsid w:val="00FF11FF"/>
    <w:rsid w:val="00FF1261"/>
    <w:rsid w:val="00FF55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spacing w:after="240"/>
      <w:ind w:left="720" w:hanging="720"/>
      <w:outlineLvl w:val="0"/>
    </w:pPr>
    <w:rPr>
      <w:b/>
      <w:szCs w:val="24"/>
    </w:rPr>
  </w:style>
  <w:style w:type="paragraph" w:styleId="Heading2">
    <w:name w:val="heading 2"/>
    <w:basedOn w:val="Normal"/>
    <w:next w:val="Normal"/>
    <w:qFormat/>
    <w:rsid w:val="009E06A5"/>
    <w:pPr>
      <w:keepNext/>
      <w:tabs>
        <w:tab w:val="left" w:pos="4320"/>
      </w:tabs>
      <w:spacing w:after="240"/>
      <w:ind w:left="1440" w:hanging="720"/>
      <w:outlineLvl w:val="1"/>
    </w:pPr>
    <w:rPr>
      <w:b/>
    </w:rPr>
  </w:style>
  <w:style w:type="paragraph" w:styleId="Heading3">
    <w:name w:val="heading 3"/>
    <w:basedOn w:val="Normal"/>
    <w:next w:val="Normal"/>
    <w:autoRedefine/>
    <w:qFormat/>
    <w:rsid w:val="001C78EC"/>
    <w:pPr>
      <w:keepNext/>
      <w:keepLines/>
      <w:spacing w:after="240"/>
      <w:ind w:left="288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rsid w:val="009138D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uiPriority w:val="99"/>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aliases w:val=" Char Char,Char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CB581C"/>
    <w:pPr>
      <w:tabs>
        <w:tab w:val="decimal" w:leader="dot" w:pos="9360"/>
      </w:tabs>
      <w:spacing w:after="240"/>
      <w:ind w:left="720" w:hanging="720"/>
    </w:pPr>
  </w:style>
  <w:style w:type="paragraph" w:styleId="TOC2">
    <w:name w:val="toc 2"/>
    <w:basedOn w:val="Normal"/>
    <w:next w:val="Normal"/>
    <w:autoRedefine/>
    <w:uiPriority w:val="39"/>
    <w:unhideWhenUsed/>
    <w:rsid w:val="00CB581C"/>
    <w:pPr>
      <w:tabs>
        <w:tab w:val="decimal" w:leader="dot" w:pos="9360"/>
      </w:tabs>
      <w:spacing w:after="240"/>
      <w:ind w:left="1440" w:hanging="720"/>
    </w:p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B581C"/>
    <w:pPr>
      <w:tabs>
        <w:tab w:val="decimal" w:leader="dot" w:pos="9360"/>
      </w:tabs>
      <w:spacing w:after="240"/>
      <w:ind w:left="2160" w:hanging="720"/>
      <w:outlineLvl w:val="2"/>
    </w:pPr>
  </w:style>
  <w:style w:type="character" w:customStyle="1" w:styleId="UnresolvedMention3">
    <w:name w:val="Unresolved Mention3"/>
    <w:basedOn w:val="DefaultParagraphFont"/>
    <w:rsid w:val="00FF11FF"/>
    <w:rPr>
      <w:color w:val="605E5C"/>
      <w:shd w:val="clear" w:color="auto" w:fill="E1DFDD"/>
    </w:rPr>
  </w:style>
  <w:style w:type="character" w:customStyle="1" w:styleId="sssh">
    <w:name w:val="ss_sh"/>
    <w:basedOn w:val="DefaultParagraphFont"/>
    <w:rsid w:val="00AF4F2F"/>
  </w:style>
  <w:style w:type="paragraph" w:styleId="NoSpacing">
    <w:name w:val="No Spacing"/>
    <w:uiPriority w:val="1"/>
    <w:qFormat/>
    <w:rsid w:val="00AE13A6"/>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AF18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arah.parrot@puco.ohio.gov" TargetMode="External" /><Relationship Id="rId11" Type="http://schemas.openxmlformats.org/officeDocument/2006/relationships/hyperlink" Target="mailto:Jacqueline.St.John@puco.ohio.gov" TargetMode="External" /><Relationship Id="rId12" Type="http://schemas.openxmlformats.org/officeDocument/2006/relationships/hyperlink" Target="mailto:kennedy@whitt-sturtevant.com" TargetMode="External" /><Relationship Id="rId13" Type="http://schemas.openxmlformats.org/officeDocument/2006/relationships/hyperlink" Target="mailto:fykes@whitt-sturtevant.com" TargetMode="External" /><Relationship Id="rId14" Type="http://schemas.openxmlformats.org/officeDocument/2006/relationships/hyperlink" Target="mailto:andrew.j.campbell@dominionenergy.com" TargetMode="External" /><Relationship Id="rId15" Type="http://schemas.openxmlformats.org/officeDocument/2006/relationships/hyperlink" Target="mailto:michael.nugent@igs.com" TargetMode="External" /><Relationship Id="rId16" Type="http://schemas.openxmlformats.org/officeDocument/2006/relationships/hyperlink" Target="mailto:bethany.allen@igs.com" TargetMode="External" /><Relationship Id="rId17" Type="http://schemas.openxmlformats.org/officeDocument/2006/relationships/hyperlink" Target="mailto:evan.betterton@igs.com" TargetMode="External" /><Relationship Id="rId18" Type="http://schemas.openxmlformats.org/officeDocument/2006/relationships/hyperlink" Target="mailto:joe.oliker@igs.com"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wilson@occ.ohio.gov" TargetMode="External" /><Relationship Id="rId8" Type="http://schemas.openxmlformats.org/officeDocument/2006/relationships/hyperlink" Target="mailto:werner.margard@OhioAGO.gov" TargetMode="External" /><Relationship Id="rId9" Type="http://schemas.openxmlformats.org/officeDocument/2006/relationships/hyperlink" Target="mailto:kyle.kern@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7D4A8-B5B6-4B4C-A046-50506EBF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2021-10-25T20:19:42Z</dcterms:created>
  <dcterms:modified xsi:type="dcterms:W3CDTF">2021-10-25T20:19:42Z</dcterms:modified>
</cp:coreProperties>
</file>