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4D" w:rsidRPr="003C72A8" w:rsidRDefault="000D654D" w:rsidP="000D654D">
      <w:pPr>
        <w:spacing w:after="0" w:line="240" w:lineRule="auto"/>
        <w:jc w:val="center"/>
        <w:rPr>
          <w:rFonts w:ascii="Times New Roman" w:hAnsi="Times New Roman" w:cs="Times New Roman"/>
          <w:b/>
          <w:sz w:val="26"/>
          <w:szCs w:val="26"/>
        </w:rPr>
      </w:pPr>
      <w:bookmarkStart w:id="0" w:name="_GoBack"/>
      <w:bookmarkEnd w:id="0"/>
      <w:r w:rsidRPr="003C72A8">
        <w:rPr>
          <w:rFonts w:ascii="Times New Roman" w:hAnsi="Times New Roman" w:cs="Times New Roman"/>
          <w:b/>
          <w:sz w:val="26"/>
          <w:szCs w:val="26"/>
        </w:rPr>
        <w:t>BEFORE</w:t>
      </w:r>
    </w:p>
    <w:p w:rsidR="000D654D" w:rsidRPr="003C72A8" w:rsidRDefault="000D654D" w:rsidP="000D654D">
      <w:pPr>
        <w:spacing w:after="0" w:line="240" w:lineRule="auto"/>
        <w:jc w:val="center"/>
        <w:rPr>
          <w:rFonts w:ascii="Times New Roman" w:hAnsi="Times New Roman" w:cs="Times New Roman"/>
          <w:b/>
          <w:sz w:val="26"/>
          <w:szCs w:val="26"/>
        </w:rPr>
      </w:pPr>
      <w:r w:rsidRPr="003C72A8">
        <w:rPr>
          <w:rFonts w:ascii="Times New Roman" w:hAnsi="Times New Roman" w:cs="Times New Roman"/>
          <w:b/>
          <w:sz w:val="26"/>
          <w:szCs w:val="26"/>
        </w:rPr>
        <w:t>THE PUBLIC UTILITIES COMMISSION OF OHIO</w:t>
      </w:r>
    </w:p>
    <w:p w:rsidR="000D654D" w:rsidRPr="003C72A8" w:rsidRDefault="000D654D" w:rsidP="000D654D">
      <w:pPr>
        <w:tabs>
          <w:tab w:val="left" w:pos="5130"/>
          <w:tab w:val="left" w:pos="5670"/>
        </w:tabs>
        <w:spacing w:after="0" w:line="240" w:lineRule="auto"/>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4689"/>
        <w:gridCol w:w="289"/>
        <w:gridCol w:w="4598"/>
      </w:tblGrid>
      <w:tr w:rsidR="000D654D" w:rsidRPr="003C72A8" w:rsidTr="008D052E">
        <w:tc>
          <w:tcPr>
            <w:tcW w:w="4698" w:type="dxa"/>
          </w:tcPr>
          <w:p w:rsidR="000D654D" w:rsidRPr="003C72A8" w:rsidRDefault="000D654D" w:rsidP="000D654D">
            <w:pPr>
              <w:tabs>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In the Matter of the Application of Columbus Southern Power Company and Ohio Power Company for Authority to Establish a Standard Service Offer Pursuant to §4928.143, Ohio Rev. Code, in the Form of an Electric Security Plan.</w:t>
            </w:r>
          </w:p>
          <w:p w:rsidR="000D654D" w:rsidRPr="003C72A8" w:rsidRDefault="000D654D" w:rsidP="000D654D">
            <w:pPr>
              <w:tabs>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0D654D">
            <w:pPr>
              <w:tabs>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In the Matter of the Application of Columbus Southern Power Company and Ohio Power Company for Approval of Certain Accounting Authority.</w:t>
            </w:r>
          </w:p>
        </w:tc>
        <w:tc>
          <w:tcPr>
            <w:tcW w:w="270" w:type="dxa"/>
          </w:tcPr>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DC3CC2"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tc>
        <w:tc>
          <w:tcPr>
            <w:tcW w:w="4608" w:type="dxa"/>
          </w:tcPr>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0D654D">
            <w:pPr>
              <w:tabs>
                <w:tab w:val="left" w:pos="1142"/>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Case No. 11-346-EL-SSO</w:t>
            </w:r>
          </w:p>
          <w:p w:rsidR="000D654D" w:rsidRPr="003C72A8" w:rsidRDefault="000D654D" w:rsidP="000D654D">
            <w:pPr>
              <w:tabs>
                <w:tab w:val="left" w:pos="1142"/>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Case No. 11-348-EL-SSO</w:t>
            </w:r>
          </w:p>
          <w:p w:rsidR="000D654D" w:rsidRPr="003C72A8" w:rsidRDefault="000D654D" w:rsidP="000D654D">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0D654D">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0D654D">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0D654D">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0D654D">
            <w:pPr>
              <w:tabs>
                <w:tab w:val="left" w:pos="1142"/>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Case No. 11-349-EL-AAM</w:t>
            </w:r>
          </w:p>
          <w:p w:rsidR="000D654D" w:rsidRPr="003C72A8" w:rsidRDefault="000D654D" w:rsidP="000D654D">
            <w:pPr>
              <w:tabs>
                <w:tab w:val="left" w:pos="1142"/>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Case No. 11-350-EL-AAM</w:t>
            </w:r>
          </w:p>
        </w:tc>
      </w:tr>
    </w:tbl>
    <w:p w:rsidR="000D654D" w:rsidRPr="003C72A8" w:rsidRDefault="000D654D" w:rsidP="000D654D">
      <w:pPr>
        <w:tabs>
          <w:tab w:val="left" w:pos="8640"/>
        </w:tabs>
        <w:spacing w:after="0" w:line="240" w:lineRule="auto"/>
        <w:rPr>
          <w:rFonts w:ascii="Times New Roman" w:eastAsia="Times New Roman" w:hAnsi="Times New Roman" w:cs="Times New Roman"/>
          <w:b/>
          <w:bCs/>
          <w:sz w:val="26"/>
          <w:szCs w:val="26"/>
          <w:u w:val="single"/>
        </w:rPr>
      </w:pPr>
    </w:p>
    <w:p w:rsidR="00B74875" w:rsidRPr="00B74875" w:rsidRDefault="00B74875" w:rsidP="00B74875">
      <w:pPr>
        <w:tabs>
          <w:tab w:val="left" w:pos="9360"/>
        </w:tabs>
        <w:spacing w:after="240" w:line="240" w:lineRule="auto"/>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ab/>
      </w:r>
    </w:p>
    <w:p w:rsidR="00DC3CC2" w:rsidRPr="00DC3CC2" w:rsidRDefault="00656364" w:rsidP="000D654D">
      <w:pPr>
        <w:tabs>
          <w:tab w:val="left" w:pos="8640"/>
        </w:tabs>
        <w:spacing w:after="0" w:line="240" w:lineRule="auto"/>
        <w:jc w:val="center"/>
        <w:rPr>
          <w:rFonts w:ascii="Times New Roman" w:eastAsia="Times New Roman" w:hAnsi="Times New Roman" w:cs="Times New Roman"/>
          <w:b/>
          <w:bCs/>
          <w:sz w:val="32"/>
          <w:szCs w:val="32"/>
        </w:rPr>
      </w:pPr>
      <w:r w:rsidRPr="00DC3CC2">
        <w:rPr>
          <w:rFonts w:ascii="Times New Roman" w:eastAsia="Times New Roman" w:hAnsi="Times New Roman" w:cs="Times New Roman"/>
          <w:b/>
          <w:bCs/>
          <w:sz w:val="32"/>
          <w:szCs w:val="32"/>
        </w:rPr>
        <w:t>REPLY</w:t>
      </w:r>
      <w:r w:rsidR="000D654D" w:rsidRPr="00DC3CC2">
        <w:rPr>
          <w:rFonts w:ascii="Times New Roman" w:eastAsia="Times New Roman" w:hAnsi="Times New Roman" w:cs="Times New Roman"/>
          <w:b/>
          <w:bCs/>
          <w:sz w:val="32"/>
          <w:szCs w:val="32"/>
        </w:rPr>
        <w:t xml:space="preserve"> BRIEF</w:t>
      </w:r>
    </w:p>
    <w:p w:rsidR="00DC3CC2" w:rsidRDefault="00DC3CC2" w:rsidP="000D654D">
      <w:pPr>
        <w:tabs>
          <w:tab w:val="left" w:pos="8640"/>
        </w:tabs>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SUBMITTED ON BEHALF </w:t>
      </w:r>
      <w:r w:rsidR="000D654D" w:rsidRPr="003C72A8">
        <w:rPr>
          <w:rFonts w:ascii="Times New Roman" w:eastAsia="Times New Roman" w:hAnsi="Times New Roman" w:cs="Times New Roman"/>
          <w:b/>
          <w:bCs/>
          <w:sz w:val="26"/>
          <w:szCs w:val="26"/>
        </w:rPr>
        <w:t>OF THE STAFF OF</w:t>
      </w:r>
    </w:p>
    <w:p w:rsidR="000D654D" w:rsidRPr="003C72A8" w:rsidRDefault="000D654D" w:rsidP="000D654D">
      <w:pPr>
        <w:tabs>
          <w:tab w:val="left" w:pos="8640"/>
        </w:tabs>
        <w:spacing w:after="0" w:line="240" w:lineRule="auto"/>
        <w:jc w:val="center"/>
        <w:rPr>
          <w:rFonts w:ascii="Times New Roman" w:eastAsia="Times New Roman" w:hAnsi="Times New Roman" w:cs="Times New Roman"/>
          <w:b/>
          <w:bCs/>
          <w:sz w:val="26"/>
          <w:szCs w:val="26"/>
        </w:rPr>
      </w:pPr>
      <w:r w:rsidRPr="003C72A8">
        <w:rPr>
          <w:rFonts w:ascii="Times New Roman" w:eastAsia="Times New Roman" w:hAnsi="Times New Roman" w:cs="Times New Roman"/>
          <w:b/>
          <w:bCs/>
          <w:sz w:val="26"/>
          <w:szCs w:val="26"/>
        </w:rPr>
        <w:t>THE PUBLIC UTILITIES COMMISSION OF OHIO</w:t>
      </w:r>
    </w:p>
    <w:p w:rsidR="000D654D" w:rsidRPr="00B74875" w:rsidRDefault="00B74875" w:rsidP="00B74875">
      <w:pPr>
        <w:tabs>
          <w:tab w:val="left" w:pos="9360"/>
        </w:tabs>
        <w:spacing w:after="240" w:line="240" w:lineRule="auto"/>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ab/>
      </w:r>
    </w:p>
    <w:p w:rsidR="005466A5" w:rsidRDefault="005466A5" w:rsidP="00DC3CC2">
      <w:pPr>
        <w:spacing w:after="0"/>
        <w:ind w:left="5040"/>
        <w:rPr>
          <w:rFonts w:ascii="Times New Roman" w:eastAsia="Times New Roman" w:hAnsi="Times New Roman" w:cs="Times New Roman"/>
          <w:b/>
          <w:sz w:val="26"/>
          <w:szCs w:val="26"/>
        </w:rPr>
      </w:pPr>
    </w:p>
    <w:p w:rsidR="000D654D" w:rsidRPr="003C72A8" w:rsidRDefault="00DC3CC2" w:rsidP="00DC3CC2">
      <w:pPr>
        <w:spacing w:after="0"/>
        <w:ind w:left="5040"/>
        <w:rPr>
          <w:rFonts w:ascii="Times New Roman" w:eastAsia="Times New Roman" w:hAnsi="Times New Roman" w:cs="Times New Roman"/>
          <w:b/>
          <w:sz w:val="26"/>
          <w:szCs w:val="26"/>
        </w:rPr>
      </w:pPr>
      <w:r>
        <w:rPr>
          <w:rFonts w:ascii="Times New Roman" w:eastAsia="Times New Roman" w:hAnsi="Times New Roman" w:cs="Times New Roman"/>
          <w:b/>
          <w:sz w:val="26"/>
          <w:szCs w:val="26"/>
        </w:rPr>
        <w:t>Michael</w:t>
      </w:r>
      <w:r w:rsidR="000D654D" w:rsidRPr="003C72A8">
        <w:rPr>
          <w:rFonts w:ascii="Times New Roman" w:eastAsia="Times New Roman" w:hAnsi="Times New Roman" w:cs="Times New Roman"/>
          <w:b/>
          <w:sz w:val="26"/>
          <w:szCs w:val="26"/>
        </w:rPr>
        <w:t xml:space="preserve"> DeWine </w:t>
      </w:r>
    </w:p>
    <w:p w:rsidR="000D654D" w:rsidRPr="003C72A8" w:rsidRDefault="000D654D" w:rsidP="000D654D">
      <w:pPr>
        <w:spacing w:after="0" w:line="240" w:lineRule="auto"/>
        <w:ind w:left="4932" w:firstLine="108"/>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Ohio Attorney General</w:t>
      </w:r>
    </w:p>
    <w:p w:rsidR="000D654D" w:rsidRPr="003C72A8" w:rsidRDefault="000D654D" w:rsidP="000D654D">
      <w:pPr>
        <w:spacing w:after="0" w:line="240" w:lineRule="auto"/>
        <w:ind w:left="-108"/>
        <w:rPr>
          <w:rFonts w:ascii="Times New Roman" w:eastAsia="Times New Roman" w:hAnsi="Times New Roman" w:cs="Times New Roman"/>
          <w:sz w:val="26"/>
          <w:szCs w:val="26"/>
        </w:rPr>
      </w:pPr>
    </w:p>
    <w:p w:rsidR="000D654D" w:rsidRPr="003C72A8" w:rsidRDefault="000D654D" w:rsidP="000D654D">
      <w:pPr>
        <w:spacing w:after="0" w:line="240" w:lineRule="auto"/>
        <w:ind w:left="4932" w:firstLine="108"/>
        <w:rPr>
          <w:rFonts w:ascii="Times New Roman" w:eastAsia="Times New Roman" w:hAnsi="Times New Roman" w:cs="Times New Roman"/>
          <w:b/>
          <w:sz w:val="26"/>
          <w:szCs w:val="26"/>
        </w:rPr>
      </w:pPr>
      <w:r w:rsidRPr="003C72A8">
        <w:rPr>
          <w:rFonts w:ascii="Times New Roman" w:eastAsia="Times New Roman" w:hAnsi="Times New Roman" w:cs="Times New Roman"/>
          <w:b/>
          <w:sz w:val="26"/>
          <w:szCs w:val="26"/>
        </w:rPr>
        <w:t>William L. Wright</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Section Chief, Public Utilities Section</w:t>
      </w:r>
    </w:p>
    <w:p w:rsidR="000D654D" w:rsidRPr="003C72A8" w:rsidRDefault="000D654D" w:rsidP="000D654D">
      <w:pPr>
        <w:spacing w:after="0" w:line="240" w:lineRule="auto"/>
        <w:ind w:left="-108"/>
        <w:rPr>
          <w:rFonts w:ascii="Times New Roman" w:eastAsia="Times New Roman" w:hAnsi="Times New Roman" w:cs="Times New Roman"/>
          <w:sz w:val="26"/>
          <w:szCs w:val="26"/>
        </w:rPr>
      </w:pP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b/>
          <w:sz w:val="26"/>
          <w:szCs w:val="26"/>
        </w:rPr>
        <w:t>Werner L. Margard III</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b/>
          <w:sz w:val="26"/>
          <w:szCs w:val="26"/>
        </w:rPr>
        <w:t>Steven L. Beeler</w:t>
      </w:r>
      <w:r w:rsidRPr="003C72A8">
        <w:rPr>
          <w:rFonts w:ascii="Times New Roman" w:eastAsia="Times New Roman" w:hAnsi="Times New Roman" w:cs="Times New Roman"/>
          <w:sz w:val="26"/>
          <w:szCs w:val="26"/>
        </w:rPr>
        <w:t xml:space="preserve"> </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Assistant Attorneys General</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180 East Broad Street, 6</w:t>
      </w:r>
      <w:r w:rsidRPr="003C72A8">
        <w:rPr>
          <w:rFonts w:ascii="Times New Roman" w:eastAsia="Times New Roman" w:hAnsi="Times New Roman" w:cs="Times New Roman"/>
          <w:sz w:val="26"/>
          <w:szCs w:val="26"/>
          <w:vertAlign w:val="superscript"/>
        </w:rPr>
        <w:t>th</w:t>
      </w:r>
      <w:r w:rsidRPr="003C72A8">
        <w:rPr>
          <w:rFonts w:ascii="Times New Roman" w:eastAsia="Times New Roman" w:hAnsi="Times New Roman" w:cs="Times New Roman"/>
          <w:sz w:val="26"/>
          <w:szCs w:val="26"/>
        </w:rPr>
        <w:t xml:space="preserve"> floor  </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Columbus, Ohio 43215-3739</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Telephone: (614) 466-4396</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Facsimile: (614) 644-8764</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r w:rsidRPr="003C72A8">
        <w:rPr>
          <w:rFonts w:ascii="Times New Roman" w:eastAsia="Times New Roman" w:hAnsi="Times New Roman" w:cs="Times New Roman"/>
          <w:color w:val="000000" w:themeColor="text1"/>
          <w:sz w:val="26"/>
          <w:szCs w:val="26"/>
        </w:rPr>
        <w:t>werner</w:t>
      </w:r>
      <w:r w:rsidRPr="003C72A8">
        <w:rPr>
          <w:rFonts w:ascii="Times New Roman" w:eastAsia="Times New Roman" w:hAnsi="Times New Roman" w:cs="Times New Roman"/>
          <w:sz w:val="26"/>
          <w:szCs w:val="26"/>
        </w:rPr>
        <w:t>.margard@puc.state.oh.us</w:t>
      </w:r>
    </w:p>
    <w:p w:rsidR="000D654D" w:rsidRPr="003C72A8" w:rsidRDefault="000D654D" w:rsidP="000D654D">
      <w:pPr>
        <w:spacing w:after="0" w:line="240" w:lineRule="auto"/>
        <w:ind w:left="4932" w:firstLine="108"/>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steven.beeler@puc.state.oh.us</w:t>
      </w:r>
    </w:p>
    <w:p w:rsidR="000D654D" w:rsidRPr="003C72A8" w:rsidRDefault="000D654D" w:rsidP="000D654D">
      <w:pPr>
        <w:spacing w:after="0" w:line="240" w:lineRule="auto"/>
        <w:ind w:left="4212" w:firstLine="828"/>
        <w:rPr>
          <w:rFonts w:ascii="Times New Roman" w:eastAsia="Times New Roman" w:hAnsi="Times New Roman" w:cs="Times New Roman"/>
          <w:sz w:val="26"/>
          <w:szCs w:val="26"/>
        </w:rPr>
      </w:pPr>
    </w:p>
    <w:p w:rsidR="000D654D" w:rsidRPr="003C72A8" w:rsidRDefault="000D654D" w:rsidP="000D654D">
      <w:pPr>
        <w:spacing w:after="0" w:line="240" w:lineRule="auto"/>
        <w:ind w:left="4212" w:firstLine="828"/>
        <w:rPr>
          <w:rFonts w:ascii="Times New Roman" w:eastAsia="Times New Roman" w:hAnsi="Times New Roman" w:cs="Times New Roman"/>
          <w:b/>
          <w:bCs/>
          <w:sz w:val="26"/>
          <w:szCs w:val="26"/>
        </w:rPr>
      </w:pPr>
      <w:r w:rsidRPr="003C72A8">
        <w:rPr>
          <w:rFonts w:ascii="Times New Roman" w:eastAsia="Times New Roman" w:hAnsi="Times New Roman" w:cs="Times New Roman"/>
          <w:b/>
          <w:bCs/>
          <w:sz w:val="26"/>
          <w:szCs w:val="26"/>
        </w:rPr>
        <w:t>Counsel for the Staff of the</w:t>
      </w:r>
    </w:p>
    <w:p w:rsidR="000D654D" w:rsidRPr="003C72A8" w:rsidRDefault="000D654D" w:rsidP="000D654D">
      <w:pPr>
        <w:spacing w:after="0" w:line="240" w:lineRule="auto"/>
        <w:ind w:left="4212" w:firstLine="828"/>
        <w:rPr>
          <w:rFonts w:ascii="Times New Roman" w:eastAsia="Times New Roman" w:hAnsi="Times New Roman" w:cs="Times New Roman"/>
          <w:b/>
          <w:bCs/>
          <w:sz w:val="26"/>
          <w:szCs w:val="26"/>
        </w:rPr>
      </w:pPr>
      <w:r w:rsidRPr="003C72A8">
        <w:rPr>
          <w:rFonts w:ascii="Times New Roman" w:eastAsia="Times New Roman" w:hAnsi="Times New Roman" w:cs="Times New Roman"/>
          <w:b/>
          <w:bCs/>
          <w:sz w:val="26"/>
          <w:szCs w:val="26"/>
        </w:rPr>
        <w:t>Public Utilities Commission of Ohio</w:t>
      </w:r>
    </w:p>
    <w:p w:rsidR="000D654D" w:rsidRPr="003C72A8" w:rsidRDefault="000D654D" w:rsidP="000D654D">
      <w:pPr>
        <w:rPr>
          <w:rFonts w:ascii="Times New Roman" w:hAnsi="Times New Roman" w:cs="Times New Roman"/>
          <w:sz w:val="26"/>
          <w:szCs w:val="26"/>
        </w:rPr>
        <w:sectPr w:rsidR="000D654D" w:rsidRPr="003C72A8" w:rsidSect="008D052E">
          <w:footerReference w:type="default" r:id="rId9"/>
          <w:endnotePr>
            <w:numFmt w:val="decimal"/>
          </w:endnotePr>
          <w:pgSz w:w="12240" w:h="15840"/>
          <w:pgMar w:top="1440" w:right="1440" w:bottom="1440" w:left="1440" w:header="720" w:footer="720" w:gutter="0"/>
          <w:pgNumType w:fmt="lowerRoman" w:start="1"/>
          <w:cols w:space="720"/>
          <w:docGrid w:linePitch="360"/>
        </w:sectPr>
      </w:pPr>
    </w:p>
    <w:p w:rsidR="00F81E1B" w:rsidRDefault="00986706">
      <w:pPr>
        <w:pStyle w:val="TOC1"/>
        <w:rPr>
          <w:rFonts w:asciiTheme="minorHAnsi" w:eastAsiaTheme="minorEastAsia" w:hAnsiTheme="minorHAnsi"/>
          <w:noProof/>
          <w:sz w:val="22"/>
        </w:rPr>
      </w:pPr>
      <w:r>
        <w:rPr>
          <w:rFonts w:cs="Times New Roman"/>
          <w:szCs w:val="26"/>
        </w:rPr>
        <w:lastRenderedPageBreak/>
        <w:fldChar w:fldCharType="begin"/>
      </w:r>
      <w:r>
        <w:rPr>
          <w:rFonts w:cs="Times New Roman"/>
          <w:szCs w:val="26"/>
        </w:rPr>
        <w:instrText xml:space="preserve"> TOC \o "1-6" \u </w:instrText>
      </w:r>
      <w:r>
        <w:rPr>
          <w:rFonts w:cs="Times New Roman"/>
          <w:szCs w:val="26"/>
        </w:rPr>
        <w:fldChar w:fldCharType="separate"/>
      </w:r>
      <w:r w:rsidR="00F81E1B">
        <w:rPr>
          <w:noProof/>
        </w:rPr>
        <w:t>INTRODUCTION</w:t>
      </w:r>
      <w:r w:rsidR="00F81E1B">
        <w:rPr>
          <w:noProof/>
        </w:rPr>
        <w:tab/>
      </w:r>
      <w:r w:rsidR="00F81E1B">
        <w:rPr>
          <w:noProof/>
        </w:rPr>
        <w:fldChar w:fldCharType="begin"/>
      </w:r>
      <w:r w:rsidR="00F81E1B">
        <w:rPr>
          <w:noProof/>
        </w:rPr>
        <w:instrText xml:space="preserve"> PAGEREF _Toc329612756 \h </w:instrText>
      </w:r>
      <w:r w:rsidR="00F81E1B">
        <w:rPr>
          <w:noProof/>
        </w:rPr>
      </w:r>
      <w:r w:rsidR="00F81E1B">
        <w:rPr>
          <w:noProof/>
        </w:rPr>
        <w:fldChar w:fldCharType="separate"/>
      </w:r>
      <w:r w:rsidR="000A0253">
        <w:rPr>
          <w:noProof/>
        </w:rPr>
        <w:t>1</w:t>
      </w:r>
      <w:r w:rsidR="00F81E1B">
        <w:rPr>
          <w:noProof/>
        </w:rPr>
        <w:fldChar w:fldCharType="end"/>
      </w:r>
    </w:p>
    <w:p w:rsidR="00F81E1B" w:rsidRDefault="00F81E1B">
      <w:pPr>
        <w:pStyle w:val="TOC1"/>
        <w:rPr>
          <w:rFonts w:asciiTheme="minorHAnsi" w:eastAsiaTheme="minorEastAsia" w:hAnsiTheme="minorHAnsi"/>
          <w:noProof/>
          <w:sz w:val="22"/>
        </w:rPr>
      </w:pPr>
      <w:r>
        <w:rPr>
          <w:noProof/>
        </w:rPr>
        <w:t>DISCUSSION</w:t>
      </w:r>
      <w:r>
        <w:rPr>
          <w:noProof/>
        </w:rPr>
        <w:tab/>
      </w:r>
      <w:r>
        <w:rPr>
          <w:noProof/>
        </w:rPr>
        <w:fldChar w:fldCharType="begin"/>
      </w:r>
      <w:r>
        <w:rPr>
          <w:noProof/>
        </w:rPr>
        <w:instrText xml:space="preserve"> PAGEREF _Toc329612757 \h </w:instrText>
      </w:r>
      <w:r>
        <w:rPr>
          <w:noProof/>
        </w:rPr>
      </w:r>
      <w:r>
        <w:rPr>
          <w:noProof/>
        </w:rPr>
        <w:fldChar w:fldCharType="separate"/>
      </w:r>
      <w:r w:rsidR="000A0253">
        <w:rPr>
          <w:noProof/>
        </w:rPr>
        <w:t>2</w:t>
      </w:r>
      <w:r>
        <w:rPr>
          <w:noProof/>
        </w:rPr>
        <w:fldChar w:fldCharType="end"/>
      </w:r>
    </w:p>
    <w:p w:rsidR="00F81E1B" w:rsidRDefault="00F81E1B">
      <w:pPr>
        <w:pStyle w:val="TOC2"/>
        <w:tabs>
          <w:tab w:val="left" w:pos="1440"/>
        </w:tabs>
        <w:rPr>
          <w:rFonts w:asciiTheme="minorHAnsi" w:eastAsiaTheme="minorEastAsia" w:hAnsiTheme="minorHAnsi"/>
          <w:noProof/>
          <w:sz w:val="22"/>
        </w:rPr>
      </w:pPr>
      <w:r>
        <w:rPr>
          <w:noProof/>
        </w:rPr>
        <w:t>I.</w:t>
      </w:r>
      <w:r>
        <w:rPr>
          <w:rFonts w:asciiTheme="minorHAnsi" w:eastAsiaTheme="minorEastAsia" w:hAnsiTheme="minorHAnsi"/>
          <w:noProof/>
          <w:sz w:val="22"/>
        </w:rPr>
        <w:tab/>
      </w:r>
      <w:r>
        <w:rPr>
          <w:noProof/>
        </w:rPr>
        <w:t>ESP Versus MRO Test</w:t>
      </w:r>
      <w:r>
        <w:rPr>
          <w:noProof/>
        </w:rPr>
        <w:tab/>
      </w:r>
      <w:r>
        <w:rPr>
          <w:noProof/>
        </w:rPr>
        <w:fldChar w:fldCharType="begin"/>
      </w:r>
      <w:r>
        <w:rPr>
          <w:noProof/>
        </w:rPr>
        <w:instrText xml:space="preserve"> PAGEREF _Toc329612758 \h </w:instrText>
      </w:r>
      <w:r>
        <w:rPr>
          <w:noProof/>
        </w:rPr>
      </w:r>
      <w:r>
        <w:rPr>
          <w:noProof/>
        </w:rPr>
        <w:fldChar w:fldCharType="separate"/>
      </w:r>
      <w:r w:rsidR="000A0253">
        <w:rPr>
          <w:noProof/>
        </w:rPr>
        <w:t>2</w:t>
      </w:r>
      <w:r>
        <w:rPr>
          <w:noProof/>
        </w:rPr>
        <w:fldChar w:fldCharType="end"/>
      </w:r>
    </w:p>
    <w:p w:rsidR="00F81E1B" w:rsidRDefault="00F81E1B">
      <w:pPr>
        <w:pStyle w:val="TOC3"/>
        <w:tabs>
          <w:tab w:val="left" w:pos="2160"/>
        </w:tabs>
        <w:rPr>
          <w:rFonts w:asciiTheme="minorHAnsi" w:eastAsiaTheme="minorEastAsia" w:hAnsiTheme="minorHAnsi"/>
          <w:noProof/>
          <w:sz w:val="22"/>
        </w:rPr>
      </w:pPr>
      <w:r w:rsidRPr="003121DC">
        <w:rPr>
          <w:rFonts w:eastAsia="Times New Roman"/>
          <w:noProof/>
        </w:rPr>
        <w:t>A.</w:t>
      </w:r>
      <w:r>
        <w:rPr>
          <w:rFonts w:asciiTheme="minorHAnsi" w:eastAsiaTheme="minorEastAsia" w:hAnsiTheme="minorHAnsi"/>
          <w:noProof/>
          <w:sz w:val="22"/>
        </w:rPr>
        <w:tab/>
      </w:r>
      <w:r w:rsidRPr="003121DC">
        <w:rPr>
          <w:rFonts w:eastAsia="Times New Roman"/>
          <w:noProof/>
        </w:rPr>
        <w:t>RPM as the appropriate charge for capacity.</w:t>
      </w:r>
      <w:r>
        <w:rPr>
          <w:noProof/>
        </w:rPr>
        <w:tab/>
      </w:r>
      <w:r>
        <w:rPr>
          <w:noProof/>
        </w:rPr>
        <w:fldChar w:fldCharType="begin"/>
      </w:r>
      <w:r>
        <w:rPr>
          <w:noProof/>
        </w:rPr>
        <w:instrText xml:space="preserve"> PAGEREF _Toc329612759 \h </w:instrText>
      </w:r>
      <w:r>
        <w:rPr>
          <w:noProof/>
        </w:rPr>
      </w:r>
      <w:r>
        <w:rPr>
          <w:noProof/>
        </w:rPr>
        <w:fldChar w:fldCharType="separate"/>
      </w:r>
      <w:r w:rsidR="000A0253">
        <w:rPr>
          <w:noProof/>
        </w:rPr>
        <w:t>3</w:t>
      </w:r>
      <w:r>
        <w:rPr>
          <w:noProof/>
        </w:rPr>
        <w:fldChar w:fldCharType="end"/>
      </w:r>
    </w:p>
    <w:p w:rsidR="00F81E1B" w:rsidRDefault="00F81E1B">
      <w:pPr>
        <w:pStyle w:val="TOC3"/>
        <w:tabs>
          <w:tab w:val="left" w:pos="2160"/>
        </w:tabs>
        <w:rPr>
          <w:rFonts w:asciiTheme="minorHAnsi" w:eastAsiaTheme="minorEastAsia" w:hAnsiTheme="minorHAnsi"/>
          <w:noProof/>
          <w:sz w:val="22"/>
        </w:rPr>
      </w:pPr>
      <w:r w:rsidRPr="003121DC">
        <w:rPr>
          <w:rFonts w:eastAsia="Times New Roman"/>
          <w:noProof/>
        </w:rPr>
        <w:t>B.</w:t>
      </w:r>
      <w:r>
        <w:rPr>
          <w:rFonts w:asciiTheme="minorHAnsi" w:eastAsiaTheme="minorEastAsia" w:hAnsiTheme="minorHAnsi"/>
          <w:noProof/>
          <w:sz w:val="22"/>
        </w:rPr>
        <w:tab/>
      </w:r>
      <w:r w:rsidRPr="003121DC">
        <w:rPr>
          <w:rFonts w:eastAsia="Times New Roman"/>
          <w:noProof/>
        </w:rPr>
        <w:t>MRO Retail Pricing</w:t>
      </w:r>
      <w:r>
        <w:rPr>
          <w:noProof/>
        </w:rPr>
        <w:tab/>
      </w:r>
      <w:r>
        <w:rPr>
          <w:noProof/>
        </w:rPr>
        <w:fldChar w:fldCharType="begin"/>
      </w:r>
      <w:r>
        <w:rPr>
          <w:noProof/>
        </w:rPr>
        <w:instrText xml:space="preserve"> PAGEREF _Toc329612760 \h </w:instrText>
      </w:r>
      <w:r>
        <w:rPr>
          <w:noProof/>
        </w:rPr>
      </w:r>
      <w:r>
        <w:rPr>
          <w:noProof/>
        </w:rPr>
        <w:fldChar w:fldCharType="separate"/>
      </w:r>
      <w:r w:rsidR="000A0253">
        <w:rPr>
          <w:noProof/>
        </w:rPr>
        <w:t>4</w:t>
      </w:r>
      <w:r>
        <w:rPr>
          <w:noProof/>
        </w:rPr>
        <w:fldChar w:fldCharType="end"/>
      </w:r>
    </w:p>
    <w:p w:rsidR="00F81E1B" w:rsidRDefault="00F81E1B">
      <w:pPr>
        <w:pStyle w:val="TOC3"/>
        <w:tabs>
          <w:tab w:val="left" w:pos="2160"/>
        </w:tabs>
        <w:rPr>
          <w:rFonts w:asciiTheme="minorHAnsi" w:eastAsiaTheme="minorEastAsia" w:hAnsiTheme="minorHAnsi"/>
          <w:noProof/>
          <w:sz w:val="22"/>
        </w:rPr>
      </w:pPr>
      <w:r w:rsidRPr="003121DC">
        <w:rPr>
          <w:rFonts w:eastAsia="Times New Roman"/>
          <w:noProof/>
        </w:rPr>
        <w:t>C.</w:t>
      </w:r>
      <w:r>
        <w:rPr>
          <w:rFonts w:asciiTheme="minorHAnsi" w:eastAsiaTheme="minorEastAsia" w:hAnsiTheme="minorHAnsi"/>
          <w:noProof/>
          <w:sz w:val="22"/>
        </w:rPr>
        <w:tab/>
      </w:r>
      <w:r w:rsidRPr="003121DC">
        <w:rPr>
          <w:rFonts w:eastAsia="Times New Roman"/>
          <w:noProof/>
        </w:rPr>
        <w:t>Qualitative Considerations.</w:t>
      </w:r>
      <w:r>
        <w:rPr>
          <w:noProof/>
        </w:rPr>
        <w:tab/>
      </w:r>
      <w:r>
        <w:rPr>
          <w:noProof/>
        </w:rPr>
        <w:fldChar w:fldCharType="begin"/>
      </w:r>
      <w:r>
        <w:rPr>
          <w:noProof/>
        </w:rPr>
        <w:instrText xml:space="preserve"> PAGEREF _Toc329612761 \h </w:instrText>
      </w:r>
      <w:r>
        <w:rPr>
          <w:noProof/>
        </w:rPr>
      </w:r>
      <w:r>
        <w:rPr>
          <w:noProof/>
        </w:rPr>
        <w:fldChar w:fldCharType="separate"/>
      </w:r>
      <w:r w:rsidR="000A0253">
        <w:rPr>
          <w:noProof/>
        </w:rPr>
        <w:t>6</w:t>
      </w:r>
      <w:r>
        <w:rPr>
          <w:noProof/>
        </w:rPr>
        <w:fldChar w:fldCharType="end"/>
      </w:r>
    </w:p>
    <w:p w:rsidR="00F81E1B" w:rsidRDefault="00F81E1B">
      <w:pPr>
        <w:pStyle w:val="TOC2"/>
        <w:tabs>
          <w:tab w:val="left" w:pos="1440"/>
        </w:tabs>
        <w:rPr>
          <w:rFonts w:asciiTheme="minorHAnsi" w:eastAsiaTheme="minorEastAsia" w:hAnsiTheme="minorHAnsi"/>
          <w:noProof/>
          <w:sz w:val="22"/>
        </w:rPr>
      </w:pPr>
      <w:r>
        <w:rPr>
          <w:noProof/>
        </w:rPr>
        <w:t>II.</w:t>
      </w:r>
      <w:r>
        <w:rPr>
          <w:rFonts w:asciiTheme="minorHAnsi" w:eastAsiaTheme="minorEastAsia" w:hAnsiTheme="minorHAnsi"/>
          <w:noProof/>
          <w:sz w:val="22"/>
        </w:rPr>
        <w:tab/>
      </w:r>
      <w:r>
        <w:rPr>
          <w:noProof/>
        </w:rPr>
        <w:t>Standard Service Offer Rate Provisions of the Modified ESP</w:t>
      </w:r>
      <w:r>
        <w:rPr>
          <w:noProof/>
        </w:rPr>
        <w:tab/>
      </w:r>
      <w:r>
        <w:rPr>
          <w:noProof/>
        </w:rPr>
        <w:fldChar w:fldCharType="begin"/>
      </w:r>
      <w:r>
        <w:rPr>
          <w:noProof/>
        </w:rPr>
        <w:instrText xml:space="preserve"> PAGEREF _Toc329612762 \h </w:instrText>
      </w:r>
      <w:r>
        <w:rPr>
          <w:noProof/>
        </w:rPr>
      </w:r>
      <w:r>
        <w:rPr>
          <w:noProof/>
        </w:rPr>
        <w:fldChar w:fldCharType="separate"/>
      </w:r>
      <w:r w:rsidR="000A0253">
        <w:rPr>
          <w:noProof/>
        </w:rPr>
        <w:t>8</w:t>
      </w:r>
      <w:r>
        <w:rPr>
          <w:noProof/>
        </w:rPr>
        <w:fldChar w:fldCharType="end"/>
      </w:r>
    </w:p>
    <w:p w:rsidR="00F81E1B" w:rsidRDefault="00F81E1B">
      <w:pPr>
        <w:pStyle w:val="TOC3"/>
        <w:tabs>
          <w:tab w:val="left" w:pos="2160"/>
        </w:tabs>
        <w:rPr>
          <w:rFonts w:asciiTheme="minorHAnsi" w:eastAsiaTheme="minorEastAsia" w:hAnsiTheme="minorHAnsi"/>
          <w:noProof/>
          <w:sz w:val="22"/>
        </w:rPr>
      </w:pPr>
      <w:r>
        <w:rPr>
          <w:noProof/>
        </w:rPr>
        <w:t>A.</w:t>
      </w:r>
      <w:r>
        <w:rPr>
          <w:rFonts w:asciiTheme="minorHAnsi" w:eastAsiaTheme="minorEastAsia" w:hAnsiTheme="minorHAnsi"/>
          <w:noProof/>
          <w:sz w:val="22"/>
        </w:rPr>
        <w:tab/>
      </w:r>
      <w:r>
        <w:rPr>
          <w:noProof/>
        </w:rPr>
        <w:t>Generation Rates</w:t>
      </w:r>
      <w:r>
        <w:rPr>
          <w:noProof/>
        </w:rPr>
        <w:tab/>
      </w:r>
      <w:r>
        <w:rPr>
          <w:noProof/>
        </w:rPr>
        <w:fldChar w:fldCharType="begin"/>
      </w:r>
      <w:r>
        <w:rPr>
          <w:noProof/>
        </w:rPr>
        <w:instrText xml:space="preserve"> PAGEREF _Toc329612763 \h </w:instrText>
      </w:r>
      <w:r>
        <w:rPr>
          <w:noProof/>
        </w:rPr>
      </w:r>
      <w:r>
        <w:rPr>
          <w:noProof/>
        </w:rPr>
        <w:fldChar w:fldCharType="separate"/>
      </w:r>
      <w:r w:rsidR="000A0253">
        <w:rPr>
          <w:noProof/>
        </w:rPr>
        <w:t>8</w:t>
      </w:r>
      <w:r>
        <w:rPr>
          <w:noProof/>
        </w:rPr>
        <w:fldChar w:fldCharType="end"/>
      </w:r>
    </w:p>
    <w:p w:rsidR="00F81E1B" w:rsidRDefault="00F81E1B">
      <w:pPr>
        <w:pStyle w:val="TOC4"/>
        <w:tabs>
          <w:tab w:val="left" w:pos="2880"/>
        </w:tabs>
        <w:rPr>
          <w:rFonts w:asciiTheme="minorHAnsi" w:eastAsiaTheme="minorEastAsia" w:hAnsiTheme="minorHAnsi"/>
          <w:noProof/>
          <w:sz w:val="22"/>
        </w:rPr>
      </w:pPr>
      <w:r>
        <w:rPr>
          <w:noProof/>
        </w:rPr>
        <w:t xml:space="preserve">1. </w:t>
      </w:r>
      <w:r>
        <w:rPr>
          <w:rFonts w:asciiTheme="minorHAnsi" w:eastAsiaTheme="minorEastAsia" w:hAnsiTheme="minorHAnsi"/>
          <w:noProof/>
          <w:sz w:val="22"/>
        </w:rPr>
        <w:tab/>
      </w:r>
      <w:r>
        <w:rPr>
          <w:noProof/>
        </w:rPr>
        <w:t>SSO Generation Service Rider (base generation rate)</w:t>
      </w:r>
      <w:r>
        <w:rPr>
          <w:noProof/>
        </w:rPr>
        <w:tab/>
      </w:r>
      <w:r>
        <w:rPr>
          <w:noProof/>
        </w:rPr>
        <w:fldChar w:fldCharType="begin"/>
      </w:r>
      <w:r>
        <w:rPr>
          <w:noProof/>
        </w:rPr>
        <w:instrText xml:space="preserve"> PAGEREF _Toc329612764 \h </w:instrText>
      </w:r>
      <w:r>
        <w:rPr>
          <w:noProof/>
        </w:rPr>
      </w:r>
      <w:r>
        <w:rPr>
          <w:noProof/>
        </w:rPr>
        <w:fldChar w:fldCharType="separate"/>
      </w:r>
      <w:r w:rsidR="000A0253">
        <w:rPr>
          <w:noProof/>
        </w:rPr>
        <w:t>8</w:t>
      </w:r>
      <w:r>
        <w:rPr>
          <w:noProof/>
        </w:rPr>
        <w:fldChar w:fldCharType="end"/>
      </w:r>
    </w:p>
    <w:p w:rsidR="00F81E1B" w:rsidRDefault="00F81E1B">
      <w:pPr>
        <w:pStyle w:val="TOC4"/>
        <w:tabs>
          <w:tab w:val="left" w:pos="2880"/>
        </w:tabs>
        <w:rPr>
          <w:rFonts w:asciiTheme="minorHAnsi" w:eastAsiaTheme="minorEastAsia" w:hAnsiTheme="minorHAnsi"/>
          <w:noProof/>
          <w:sz w:val="22"/>
        </w:rPr>
      </w:pPr>
      <w:r>
        <w:rPr>
          <w:noProof/>
        </w:rPr>
        <w:t>2.</w:t>
      </w:r>
      <w:r>
        <w:rPr>
          <w:rFonts w:asciiTheme="minorHAnsi" w:eastAsiaTheme="minorEastAsia" w:hAnsiTheme="minorHAnsi"/>
          <w:noProof/>
          <w:sz w:val="22"/>
        </w:rPr>
        <w:tab/>
      </w:r>
      <w:r>
        <w:rPr>
          <w:noProof/>
        </w:rPr>
        <w:t>Fuel Adjustment Clause</w:t>
      </w:r>
      <w:r>
        <w:rPr>
          <w:noProof/>
        </w:rPr>
        <w:tab/>
      </w:r>
      <w:r>
        <w:rPr>
          <w:noProof/>
        </w:rPr>
        <w:fldChar w:fldCharType="begin"/>
      </w:r>
      <w:r>
        <w:rPr>
          <w:noProof/>
        </w:rPr>
        <w:instrText xml:space="preserve"> PAGEREF _Toc329612765 \h </w:instrText>
      </w:r>
      <w:r>
        <w:rPr>
          <w:noProof/>
        </w:rPr>
      </w:r>
      <w:r>
        <w:rPr>
          <w:noProof/>
        </w:rPr>
        <w:fldChar w:fldCharType="separate"/>
      </w:r>
      <w:r w:rsidR="000A0253">
        <w:rPr>
          <w:noProof/>
        </w:rPr>
        <w:t>9</w:t>
      </w:r>
      <w:r>
        <w:rPr>
          <w:noProof/>
        </w:rPr>
        <w:fldChar w:fldCharType="end"/>
      </w:r>
    </w:p>
    <w:p w:rsidR="00F81E1B" w:rsidRDefault="00F81E1B">
      <w:pPr>
        <w:pStyle w:val="TOC4"/>
        <w:tabs>
          <w:tab w:val="left" w:pos="2880"/>
        </w:tabs>
        <w:rPr>
          <w:rFonts w:asciiTheme="minorHAnsi" w:eastAsiaTheme="minorEastAsia" w:hAnsiTheme="minorHAnsi"/>
          <w:noProof/>
          <w:sz w:val="22"/>
        </w:rPr>
      </w:pPr>
      <w:r>
        <w:rPr>
          <w:noProof/>
        </w:rPr>
        <w:t xml:space="preserve">3. </w:t>
      </w:r>
      <w:r>
        <w:rPr>
          <w:rFonts w:asciiTheme="minorHAnsi" w:eastAsiaTheme="minorEastAsia" w:hAnsiTheme="minorHAnsi"/>
          <w:noProof/>
          <w:sz w:val="22"/>
        </w:rPr>
        <w:tab/>
      </w:r>
      <w:r>
        <w:rPr>
          <w:noProof/>
        </w:rPr>
        <w:t>Alternative Energy Rider</w:t>
      </w:r>
      <w:r>
        <w:rPr>
          <w:noProof/>
        </w:rPr>
        <w:tab/>
      </w:r>
      <w:r>
        <w:rPr>
          <w:noProof/>
        </w:rPr>
        <w:fldChar w:fldCharType="begin"/>
      </w:r>
      <w:r>
        <w:rPr>
          <w:noProof/>
        </w:rPr>
        <w:instrText xml:space="preserve"> PAGEREF _Toc329612766 \h </w:instrText>
      </w:r>
      <w:r>
        <w:rPr>
          <w:noProof/>
        </w:rPr>
      </w:r>
      <w:r>
        <w:rPr>
          <w:noProof/>
        </w:rPr>
        <w:fldChar w:fldCharType="separate"/>
      </w:r>
      <w:r w:rsidR="000A0253">
        <w:rPr>
          <w:noProof/>
        </w:rPr>
        <w:t>10</w:t>
      </w:r>
      <w:r>
        <w:rPr>
          <w:noProof/>
        </w:rPr>
        <w:fldChar w:fldCharType="end"/>
      </w:r>
    </w:p>
    <w:p w:rsidR="00F81E1B" w:rsidRDefault="00F81E1B">
      <w:pPr>
        <w:pStyle w:val="TOC4"/>
        <w:tabs>
          <w:tab w:val="left" w:pos="2880"/>
        </w:tabs>
        <w:rPr>
          <w:rFonts w:asciiTheme="minorHAnsi" w:eastAsiaTheme="minorEastAsia" w:hAnsiTheme="minorHAnsi"/>
          <w:noProof/>
          <w:sz w:val="22"/>
        </w:rPr>
      </w:pPr>
      <w:r>
        <w:rPr>
          <w:noProof/>
        </w:rPr>
        <w:t>4.</w:t>
      </w:r>
      <w:r>
        <w:rPr>
          <w:rFonts w:asciiTheme="minorHAnsi" w:eastAsiaTheme="minorEastAsia" w:hAnsiTheme="minorHAnsi"/>
          <w:noProof/>
          <w:sz w:val="22"/>
        </w:rPr>
        <w:tab/>
      </w:r>
      <w:r>
        <w:rPr>
          <w:noProof/>
        </w:rPr>
        <w:t>Generation Resource Rider</w:t>
      </w:r>
      <w:r>
        <w:rPr>
          <w:noProof/>
        </w:rPr>
        <w:tab/>
      </w:r>
      <w:r>
        <w:rPr>
          <w:noProof/>
        </w:rPr>
        <w:fldChar w:fldCharType="begin"/>
      </w:r>
      <w:r>
        <w:rPr>
          <w:noProof/>
        </w:rPr>
        <w:instrText xml:space="preserve"> PAGEREF _Toc329612767 \h </w:instrText>
      </w:r>
      <w:r>
        <w:rPr>
          <w:noProof/>
        </w:rPr>
      </w:r>
      <w:r>
        <w:rPr>
          <w:noProof/>
        </w:rPr>
        <w:fldChar w:fldCharType="separate"/>
      </w:r>
      <w:r w:rsidR="000A0253">
        <w:rPr>
          <w:noProof/>
        </w:rPr>
        <w:t>10</w:t>
      </w:r>
      <w:r>
        <w:rPr>
          <w:noProof/>
        </w:rPr>
        <w:fldChar w:fldCharType="end"/>
      </w:r>
    </w:p>
    <w:p w:rsidR="00F81E1B" w:rsidRDefault="00F81E1B">
      <w:pPr>
        <w:pStyle w:val="TOC4"/>
        <w:tabs>
          <w:tab w:val="left" w:pos="2880"/>
        </w:tabs>
        <w:rPr>
          <w:rFonts w:asciiTheme="minorHAnsi" w:eastAsiaTheme="minorEastAsia" w:hAnsiTheme="minorHAnsi"/>
          <w:noProof/>
          <w:sz w:val="22"/>
        </w:rPr>
      </w:pPr>
      <w:r>
        <w:rPr>
          <w:noProof/>
        </w:rPr>
        <w:t xml:space="preserve">5. </w:t>
      </w:r>
      <w:r>
        <w:rPr>
          <w:rFonts w:asciiTheme="minorHAnsi" w:eastAsiaTheme="minorEastAsia" w:hAnsiTheme="minorHAnsi"/>
          <w:noProof/>
          <w:sz w:val="22"/>
        </w:rPr>
        <w:tab/>
      </w:r>
      <w:r>
        <w:rPr>
          <w:noProof/>
        </w:rPr>
        <w:t>Interruptible Service Rates</w:t>
      </w:r>
      <w:r>
        <w:rPr>
          <w:noProof/>
        </w:rPr>
        <w:tab/>
      </w:r>
      <w:r>
        <w:rPr>
          <w:noProof/>
        </w:rPr>
        <w:fldChar w:fldCharType="begin"/>
      </w:r>
      <w:r>
        <w:rPr>
          <w:noProof/>
        </w:rPr>
        <w:instrText xml:space="preserve"> PAGEREF _Toc329612768 \h </w:instrText>
      </w:r>
      <w:r>
        <w:rPr>
          <w:noProof/>
        </w:rPr>
      </w:r>
      <w:r>
        <w:rPr>
          <w:noProof/>
        </w:rPr>
        <w:fldChar w:fldCharType="separate"/>
      </w:r>
      <w:r w:rsidR="000A0253">
        <w:rPr>
          <w:noProof/>
        </w:rPr>
        <w:t>10</w:t>
      </w:r>
      <w:r>
        <w:rPr>
          <w:noProof/>
        </w:rPr>
        <w:fldChar w:fldCharType="end"/>
      </w:r>
    </w:p>
    <w:p w:rsidR="00F81E1B" w:rsidRDefault="00F81E1B">
      <w:pPr>
        <w:pStyle w:val="TOC4"/>
        <w:tabs>
          <w:tab w:val="left" w:pos="2880"/>
        </w:tabs>
        <w:rPr>
          <w:rFonts w:asciiTheme="minorHAnsi" w:eastAsiaTheme="minorEastAsia" w:hAnsiTheme="minorHAnsi"/>
          <w:noProof/>
          <w:sz w:val="22"/>
        </w:rPr>
      </w:pPr>
      <w:r>
        <w:rPr>
          <w:noProof/>
        </w:rPr>
        <w:t>6.</w:t>
      </w:r>
      <w:r>
        <w:rPr>
          <w:rFonts w:asciiTheme="minorHAnsi" w:eastAsiaTheme="minorEastAsia" w:hAnsiTheme="minorHAnsi"/>
          <w:noProof/>
          <w:sz w:val="22"/>
        </w:rPr>
        <w:tab/>
      </w:r>
      <w:r>
        <w:rPr>
          <w:noProof/>
        </w:rPr>
        <w:t>Retail Stability Rider</w:t>
      </w:r>
      <w:r>
        <w:rPr>
          <w:noProof/>
        </w:rPr>
        <w:tab/>
      </w:r>
      <w:r>
        <w:rPr>
          <w:noProof/>
        </w:rPr>
        <w:fldChar w:fldCharType="begin"/>
      </w:r>
      <w:r>
        <w:rPr>
          <w:noProof/>
        </w:rPr>
        <w:instrText xml:space="preserve"> PAGEREF _Toc329612769 \h </w:instrText>
      </w:r>
      <w:r>
        <w:rPr>
          <w:noProof/>
        </w:rPr>
      </w:r>
      <w:r>
        <w:rPr>
          <w:noProof/>
        </w:rPr>
        <w:fldChar w:fldCharType="separate"/>
      </w:r>
      <w:r w:rsidR="000A0253">
        <w:rPr>
          <w:noProof/>
        </w:rPr>
        <w:t>11</w:t>
      </w:r>
      <w:r>
        <w:rPr>
          <w:noProof/>
        </w:rPr>
        <w:fldChar w:fldCharType="end"/>
      </w:r>
    </w:p>
    <w:p w:rsidR="00F81E1B" w:rsidRDefault="00F81E1B">
      <w:pPr>
        <w:pStyle w:val="TOC3"/>
        <w:tabs>
          <w:tab w:val="left" w:pos="2160"/>
        </w:tabs>
        <w:rPr>
          <w:rFonts w:asciiTheme="minorHAnsi" w:eastAsiaTheme="minorEastAsia" w:hAnsiTheme="minorHAnsi"/>
          <w:noProof/>
          <w:sz w:val="22"/>
        </w:rPr>
      </w:pPr>
      <w:r>
        <w:rPr>
          <w:noProof/>
        </w:rPr>
        <w:t>B.</w:t>
      </w:r>
      <w:r>
        <w:rPr>
          <w:rFonts w:asciiTheme="minorHAnsi" w:eastAsiaTheme="minorEastAsia" w:hAnsiTheme="minorHAnsi"/>
          <w:noProof/>
          <w:sz w:val="22"/>
        </w:rPr>
        <w:tab/>
      </w:r>
      <w:r>
        <w:rPr>
          <w:noProof/>
        </w:rPr>
        <w:t>Discounted Capacity Charges</w:t>
      </w:r>
      <w:r>
        <w:rPr>
          <w:noProof/>
        </w:rPr>
        <w:tab/>
      </w:r>
      <w:r>
        <w:rPr>
          <w:noProof/>
        </w:rPr>
        <w:fldChar w:fldCharType="begin"/>
      </w:r>
      <w:r>
        <w:rPr>
          <w:noProof/>
        </w:rPr>
        <w:instrText xml:space="preserve"> PAGEREF _Toc329612770 \h </w:instrText>
      </w:r>
      <w:r>
        <w:rPr>
          <w:noProof/>
        </w:rPr>
      </w:r>
      <w:r>
        <w:rPr>
          <w:noProof/>
        </w:rPr>
        <w:fldChar w:fldCharType="separate"/>
      </w:r>
      <w:r w:rsidR="000A0253">
        <w:rPr>
          <w:noProof/>
        </w:rPr>
        <w:t>13</w:t>
      </w:r>
      <w:r>
        <w:rPr>
          <w:noProof/>
        </w:rPr>
        <w:fldChar w:fldCharType="end"/>
      </w:r>
    </w:p>
    <w:p w:rsidR="00F81E1B" w:rsidRDefault="00F81E1B">
      <w:pPr>
        <w:pStyle w:val="TOC3"/>
        <w:tabs>
          <w:tab w:val="left" w:pos="2160"/>
        </w:tabs>
        <w:rPr>
          <w:rFonts w:asciiTheme="minorHAnsi" w:eastAsiaTheme="minorEastAsia" w:hAnsiTheme="minorHAnsi"/>
          <w:noProof/>
          <w:sz w:val="22"/>
        </w:rPr>
      </w:pPr>
      <w:r>
        <w:rPr>
          <w:noProof/>
        </w:rPr>
        <w:t xml:space="preserve">C. </w:t>
      </w:r>
      <w:r>
        <w:rPr>
          <w:rFonts w:asciiTheme="minorHAnsi" w:eastAsiaTheme="minorEastAsia" w:hAnsiTheme="minorHAnsi"/>
          <w:noProof/>
          <w:sz w:val="22"/>
        </w:rPr>
        <w:tab/>
      </w:r>
      <w:r>
        <w:rPr>
          <w:noProof/>
        </w:rPr>
        <w:t>Distribution Rates</w:t>
      </w:r>
      <w:r>
        <w:rPr>
          <w:noProof/>
        </w:rPr>
        <w:tab/>
      </w:r>
      <w:r>
        <w:rPr>
          <w:noProof/>
        </w:rPr>
        <w:fldChar w:fldCharType="begin"/>
      </w:r>
      <w:r>
        <w:rPr>
          <w:noProof/>
        </w:rPr>
        <w:instrText xml:space="preserve"> PAGEREF _Toc329612771 \h </w:instrText>
      </w:r>
      <w:r>
        <w:rPr>
          <w:noProof/>
        </w:rPr>
      </w:r>
      <w:r>
        <w:rPr>
          <w:noProof/>
        </w:rPr>
        <w:fldChar w:fldCharType="separate"/>
      </w:r>
      <w:r w:rsidR="000A0253">
        <w:rPr>
          <w:noProof/>
        </w:rPr>
        <w:t>14</w:t>
      </w:r>
      <w:r>
        <w:rPr>
          <w:noProof/>
        </w:rPr>
        <w:fldChar w:fldCharType="end"/>
      </w:r>
    </w:p>
    <w:p w:rsidR="00F81E1B" w:rsidRDefault="00F81E1B">
      <w:pPr>
        <w:pStyle w:val="TOC4"/>
        <w:tabs>
          <w:tab w:val="left" w:pos="2880"/>
        </w:tabs>
        <w:rPr>
          <w:rFonts w:asciiTheme="minorHAnsi" w:eastAsiaTheme="minorEastAsia" w:hAnsiTheme="minorHAnsi"/>
          <w:noProof/>
          <w:sz w:val="22"/>
        </w:rPr>
      </w:pPr>
      <w:r>
        <w:rPr>
          <w:noProof/>
        </w:rPr>
        <w:t xml:space="preserve">1. </w:t>
      </w:r>
      <w:r>
        <w:rPr>
          <w:rFonts w:asciiTheme="minorHAnsi" w:eastAsiaTheme="minorEastAsia" w:hAnsiTheme="minorHAnsi"/>
          <w:noProof/>
          <w:sz w:val="22"/>
        </w:rPr>
        <w:tab/>
      </w:r>
      <w:r>
        <w:rPr>
          <w:noProof/>
        </w:rPr>
        <w:t>Distribution Investment Rider</w:t>
      </w:r>
      <w:r>
        <w:rPr>
          <w:noProof/>
        </w:rPr>
        <w:tab/>
      </w:r>
      <w:r>
        <w:rPr>
          <w:noProof/>
        </w:rPr>
        <w:fldChar w:fldCharType="begin"/>
      </w:r>
      <w:r>
        <w:rPr>
          <w:noProof/>
        </w:rPr>
        <w:instrText xml:space="preserve"> PAGEREF _Toc329612772 \h </w:instrText>
      </w:r>
      <w:r>
        <w:rPr>
          <w:noProof/>
        </w:rPr>
      </w:r>
      <w:r>
        <w:rPr>
          <w:noProof/>
        </w:rPr>
        <w:fldChar w:fldCharType="separate"/>
      </w:r>
      <w:r w:rsidR="000A0253">
        <w:rPr>
          <w:noProof/>
        </w:rPr>
        <w:t>14</w:t>
      </w:r>
      <w:r>
        <w:rPr>
          <w:noProof/>
        </w:rPr>
        <w:fldChar w:fldCharType="end"/>
      </w:r>
    </w:p>
    <w:p w:rsidR="00F81E1B" w:rsidRDefault="00F81E1B">
      <w:pPr>
        <w:pStyle w:val="TOC4"/>
        <w:tabs>
          <w:tab w:val="left" w:pos="2880"/>
        </w:tabs>
        <w:rPr>
          <w:rFonts w:asciiTheme="minorHAnsi" w:eastAsiaTheme="minorEastAsia" w:hAnsiTheme="minorHAnsi"/>
          <w:noProof/>
          <w:sz w:val="22"/>
        </w:rPr>
      </w:pPr>
      <w:r>
        <w:rPr>
          <w:noProof/>
        </w:rPr>
        <w:t xml:space="preserve">2. </w:t>
      </w:r>
      <w:r>
        <w:rPr>
          <w:rFonts w:asciiTheme="minorHAnsi" w:eastAsiaTheme="minorEastAsia" w:hAnsiTheme="minorHAnsi"/>
          <w:noProof/>
          <w:sz w:val="22"/>
        </w:rPr>
        <w:tab/>
      </w:r>
      <w:r>
        <w:rPr>
          <w:noProof/>
        </w:rPr>
        <w:t>gridSMART Rider</w:t>
      </w:r>
      <w:r>
        <w:rPr>
          <w:noProof/>
        </w:rPr>
        <w:tab/>
      </w:r>
      <w:r>
        <w:rPr>
          <w:noProof/>
        </w:rPr>
        <w:fldChar w:fldCharType="begin"/>
      </w:r>
      <w:r>
        <w:rPr>
          <w:noProof/>
        </w:rPr>
        <w:instrText xml:space="preserve"> PAGEREF _Toc329612773 \h </w:instrText>
      </w:r>
      <w:r>
        <w:rPr>
          <w:noProof/>
        </w:rPr>
      </w:r>
      <w:r>
        <w:rPr>
          <w:noProof/>
        </w:rPr>
        <w:fldChar w:fldCharType="separate"/>
      </w:r>
      <w:r w:rsidR="000A0253">
        <w:rPr>
          <w:noProof/>
        </w:rPr>
        <w:t>16</w:t>
      </w:r>
      <w:r>
        <w:rPr>
          <w:noProof/>
        </w:rPr>
        <w:fldChar w:fldCharType="end"/>
      </w:r>
    </w:p>
    <w:p w:rsidR="00F81E1B" w:rsidRDefault="00F81E1B">
      <w:pPr>
        <w:pStyle w:val="TOC4"/>
        <w:tabs>
          <w:tab w:val="left" w:pos="2880"/>
        </w:tabs>
        <w:rPr>
          <w:rFonts w:asciiTheme="minorHAnsi" w:eastAsiaTheme="minorEastAsia" w:hAnsiTheme="minorHAnsi"/>
          <w:noProof/>
          <w:sz w:val="22"/>
        </w:rPr>
      </w:pPr>
      <w:r>
        <w:rPr>
          <w:noProof/>
        </w:rPr>
        <w:t xml:space="preserve">3. </w:t>
      </w:r>
      <w:r>
        <w:rPr>
          <w:rFonts w:asciiTheme="minorHAnsi" w:eastAsiaTheme="minorEastAsia" w:hAnsiTheme="minorHAnsi"/>
          <w:noProof/>
          <w:sz w:val="22"/>
        </w:rPr>
        <w:tab/>
      </w:r>
      <w:r>
        <w:rPr>
          <w:noProof/>
        </w:rPr>
        <w:t>Enhanced Service Reliability Rider</w:t>
      </w:r>
      <w:r>
        <w:rPr>
          <w:noProof/>
        </w:rPr>
        <w:tab/>
      </w:r>
      <w:r>
        <w:rPr>
          <w:noProof/>
        </w:rPr>
        <w:fldChar w:fldCharType="begin"/>
      </w:r>
      <w:r>
        <w:rPr>
          <w:noProof/>
        </w:rPr>
        <w:instrText xml:space="preserve"> PAGEREF _Toc329612774 \h </w:instrText>
      </w:r>
      <w:r>
        <w:rPr>
          <w:noProof/>
        </w:rPr>
      </w:r>
      <w:r>
        <w:rPr>
          <w:noProof/>
        </w:rPr>
        <w:fldChar w:fldCharType="separate"/>
      </w:r>
      <w:r w:rsidR="000A0253">
        <w:rPr>
          <w:noProof/>
        </w:rPr>
        <w:t>16</w:t>
      </w:r>
      <w:r>
        <w:rPr>
          <w:noProof/>
        </w:rPr>
        <w:fldChar w:fldCharType="end"/>
      </w:r>
    </w:p>
    <w:p w:rsidR="00F81E1B" w:rsidRDefault="00F81E1B">
      <w:pPr>
        <w:pStyle w:val="TOC3"/>
        <w:tabs>
          <w:tab w:val="left" w:pos="2160"/>
        </w:tabs>
        <w:rPr>
          <w:rFonts w:asciiTheme="minorHAnsi" w:eastAsiaTheme="minorEastAsia" w:hAnsiTheme="minorHAnsi"/>
          <w:noProof/>
          <w:sz w:val="22"/>
        </w:rPr>
      </w:pPr>
      <w:r>
        <w:rPr>
          <w:noProof/>
        </w:rPr>
        <w:t xml:space="preserve">E. </w:t>
      </w:r>
      <w:r>
        <w:rPr>
          <w:rFonts w:asciiTheme="minorHAnsi" w:eastAsiaTheme="minorEastAsia" w:hAnsiTheme="minorHAnsi"/>
          <w:noProof/>
          <w:sz w:val="22"/>
        </w:rPr>
        <w:tab/>
      </w:r>
      <w:r>
        <w:rPr>
          <w:noProof/>
        </w:rPr>
        <w:t>Energy Efficiency/Peak Demand Reduction Rider</w:t>
      </w:r>
      <w:r>
        <w:rPr>
          <w:noProof/>
        </w:rPr>
        <w:tab/>
      </w:r>
      <w:r>
        <w:rPr>
          <w:noProof/>
        </w:rPr>
        <w:fldChar w:fldCharType="begin"/>
      </w:r>
      <w:r>
        <w:rPr>
          <w:noProof/>
        </w:rPr>
        <w:instrText xml:space="preserve"> PAGEREF _Toc329612775 \h </w:instrText>
      </w:r>
      <w:r>
        <w:rPr>
          <w:noProof/>
        </w:rPr>
      </w:r>
      <w:r>
        <w:rPr>
          <w:noProof/>
        </w:rPr>
        <w:fldChar w:fldCharType="separate"/>
      </w:r>
      <w:r w:rsidR="000A0253">
        <w:rPr>
          <w:noProof/>
        </w:rPr>
        <w:t>17</w:t>
      </w:r>
      <w:r>
        <w:rPr>
          <w:noProof/>
        </w:rPr>
        <w:fldChar w:fldCharType="end"/>
      </w:r>
    </w:p>
    <w:p w:rsidR="00F81E1B" w:rsidRDefault="00F81E1B">
      <w:pPr>
        <w:pStyle w:val="TOC3"/>
        <w:tabs>
          <w:tab w:val="left" w:pos="2160"/>
        </w:tabs>
        <w:rPr>
          <w:rFonts w:asciiTheme="minorHAnsi" w:eastAsiaTheme="minorEastAsia" w:hAnsiTheme="minorHAnsi"/>
          <w:noProof/>
          <w:sz w:val="22"/>
        </w:rPr>
      </w:pPr>
      <w:r>
        <w:rPr>
          <w:noProof/>
        </w:rPr>
        <w:t xml:space="preserve">F. </w:t>
      </w:r>
      <w:r>
        <w:rPr>
          <w:rFonts w:asciiTheme="minorHAnsi" w:eastAsiaTheme="minorEastAsia" w:hAnsiTheme="minorHAnsi"/>
          <w:noProof/>
          <w:sz w:val="22"/>
        </w:rPr>
        <w:tab/>
      </w:r>
      <w:r>
        <w:rPr>
          <w:noProof/>
        </w:rPr>
        <w:t>Economic Development Rider</w:t>
      </w:r>
      <w:r>
        <w:rPr>
          <w:noProof/>
        </w:rPr>
        <w:tab/>
      </w:r>
      <w:r>
        <w:rPr>
          <w:noProof/>
        </w:rPr>
        <w:fldChar w:fldCharType="begin"/>
      </w:r>
      <w:r>
        <w:rPr>
          <w:noProof/>
        </w:rPr>
        <w:instrText xml:space="preserve"> PAGEREF _Toc329612776 \h </w:instrText>
      </w:r>
      <w:r>
        <w:rPr>
          <w:noProof/>
        </w:rPr>
      </w:r>
      <w:r>
        <w:rPr>
          <w:noProof/>
        </w:rPr>
        <w:fldChar w:fldCharType="separate"/>
      </w:r>
      <w:r w:rsidR="000A0253">
        <w:rPr>
          <w:noProof/>
        </w:rPr>
        <w:t>18</w:t>
      </w:r>
      <w:r>
        <w:rPr>
          <w:noProof/>
        </w:rPr>
        <w:fldChar w:fldCharType="end"/>
      </w:r>
    </w:p>
    <w:p w:rsidR="00F81E1B" w:rsidRDefault="00F81E1B">
      <w:pPr>
        <w:pStyle w:val="TOC2"/>
        <w:tabs>
          <w:tab w:val="left" w:pos="1440"/>
        </w:tabs>
        <w:rPr>
          <w:noProof/>
        </w:rPr>
      </w:pPr>
      <w:r>
        <w:rPr>
          <w:noProof/>
        </w:rPr>
        <w:br w:type="page"/>
      </w:r>
    </w:p>
    <w:p w:rsidR="00F81E1B" w:rsidRDefault="00F81E1B">
      <w:pPr>
        <w:pStyle w:val="TOC2"/>
        <w:tabs>
          <w:tab w:val="left" w:pos="1440"/>
        </w:tabs>
        <w:rPr>
          <w:rFonts w:asciiTheme="minorHAnsi" w:eastAsiaTheme="minorEastAsia" w:hAnsiTheme="minorHAnsi"/>
          <w:noProof/>
          <w:sz w:val="22"/>
        </w:rPr>
      </w:pPr>
      <w:r>
        <w:rPr>
          <w:noProof/>
        </w:rPr>
        <w:lastRenderedPageBreak/>
        <w:t>III.</w:t>
      </w:r>
      <w:r>
        <w:rPr>
          <w:rFonts w:asciiTheme="minorHAnsi" w:eastAsiaTheme="minorEastAsia" w:hAnsiTheme="minorHAnsi"/>
          <w:noProof/>
          <w:sz w:val="22"/>
        </w:rPr>
        <w:tab/>
      </w:r>
      <w:r>
        <w:rPr>
          <w:noProof/>
        </w:rPr>
        <w:t>New Accounting Deferrals and Recovery of Existing Regulatory Assets</w:t>
      </w:r>
      <w:r>
        <w:rPr>
          <w:noProof/>
        </w:rPr>
        <w:tab/>
      </w:r>
      <w:r>
        <w:rPr>
          <w:noProof/>
        </w:rPr>
        <w:fldChar w:fldCharType="begin"/>
      </w:r>
      <w:r>
        <w:rPr>
          <w:noProof/>
        </w:rPr>
        <w:instrText xml:space="preserve"> PAGEREF _Toc329612777 \h </w:instrText>
      </w:r>
      <w:r>
        <w:rPr>
          <w:noProof/>
        </w:rPr>
      </w:r>
      <w:r>
        <w:rPr>
          <w:noProof/>
        </w:rPr>
        <w:fldChar w:fldCharType="separate"/>
      </w:r>
      <w:r w:rsidR="000A0253">
        <w:rPr>
          <w:noProof/>
        </w:rPr>
        <w:t>18</w:t>
      </w:r>
      <w:r>
        <w:rPr>
          <w:noProof/>
        </w:rPr>
        <w:fldChar w:fldCharType="end"/>
      </w:r>
    </w:p>
    <w:p w:rsidR="00F81E1B" w:rsidRDefault="00F81E1B">
      <w:pPr>
        <w:pStyle w:val="TOC1"/>
        <w:rPr>
          <w:rFonts w:asciiTheme="minorHAnsi" w:eastAsiaTheme="minorEastAsia" w:hAnsiTheme="minorHAnsi"/>
          <w:noProof/>
          <w:sz w:val="22"/>
        </w:rPr>
      </w:pPr>
      <w:r>
        <w:rPr>
          <w:noProof/>
        </w:rPr>
        <w:t>CONCLUSION</w:t>
      </w:r>
      <w:r>
        <w:rPr>
          <w:noProof/>
        </w:rPr>
        <w:tab/>
      </w:r>
      <w:r>
        <w:rPr>
          <w:noProof/>
        </w:rPr>
        <w:fldChar w:fldCharType="begin"/>
      </w:r>
      <w:r>
        <w:rPr>
          <w:noProof/>
        </w:rPr>
        <w:instrText xml:space="preserve"> PAGEREF _Toc329612778 \h </w:instrText>
      </w:r>
      <w:r>
        <w:rPr>
          <w:noProof/>
        </w:rPr>
      </w:r>
      <w:r>
        <w:rPr>
          <w:noProof/>
        </w:rPr>
        <w:fldChar w:fldCharType="separate"/>
      </w:r>
      <w:r w:rsidR="000A0253">
        <w:rPr>
          <w:noProof/>
        </w:rPr>
        <w:t>19</w:t>
      </w:r>
      <w:r>
        <w:rPr>
          <w:noProof/>
        </w:rPr>
        <w:fldChar w:fldCharType="end"/>
      </w:r>
    </w:p>
    <w:p w:rsidR="00F81E1B" w:rsidRDefault="00F81E1B">
      <w:pPr>
        <w:pStyle w:val="TOC1"/>
        <w:rPr>
          <w:rFonts w:asciiTheme="minorHAnsi" w:eastAsiaTheme="minorEastAsia" w:hAnsiTheme="minorHAnsi"/>
          <w:noProof/>
          <w:sz w:val="22"/>
        </w:rPr>
      </w:pPr>
      <w:r w:rsidRPr="003121DC">
        <w:rPr>
          <w:rFonts w:cs="Times New Roman"/>
          <w:noProof/>
        </w:rPr>
        <w:t>PROOF OF SERVICE</w:t>
      </w:r>
      <w:r>
        <w:rPr>
          <w:noProof/>
        </w:rPr>
        <w:tab/>
      </w:r>
      <w:r>
        <w:rPr>
          <w:noProof/>
        </w:rPr>
        <w:fldChar w:fldCharType="begin"/>
      </w:r>
      <w:r>
        <w:rPr>
          <w:noProof/>
        </w:rPr>
        <w:instrText xml:space="preserve"> PAGEREF _Toc329612779 \h </w:instrText>
      </w:r>
      <w:r>
        <w:rPr>
          <w:noProof/>
        </w:rPr>
      </w:r>
      <w:r>
        <w:rPr>
          <w:noProof/>
        </w:rPr>
        <w:fldChar w:fldCharType="separate"/>
      </w:r>
      <w:r w:rsidR="000A0253">
        <w:rPr>
          <w:noProof/>
        </w:rPr>
        <w:t>21</w:t>
      </w:r>
      <w:r>
        <w:rPr>
          <w:noProof/>
        </w:rPr>
        <w:fldChar w:fldCharType="end"/>
      </w:r>
    </w:p>
    <w:p w:rsidR="000D654D" w:rsidRPr="003C72A8" w:rsidRDefault="00986706" w:rsidP="000D654D">
      <w:pPr>
        <w:rPr>
          <w:rFonts w:ascii="Times New Roman" w:hAnsi="Times New Roman" w:cs="Times New Roman"/>
          <w:sz w:val="26"/>
          <w:szCs w:val="26"/>
        </w:rPr>
        <w:sectPr w:rsidR="000D654D" w:rsidRPr="003C72A8" w:rsidSect="008D052E">
          <w:headerReference w:type="default" r:id="rId10"/>
          <w:footerReference w:type="default" r:id="rId11"/>
          <w:headerReference w:type="first" r:id="rId12"/>
          <w:footerReference w:type="first" r:id="rId13"/>
          <w:endnotePr>
            <w:numFmt w:val="decimal"/>
          </w:endnotePr>
          <w:pgSz w:w="12240" w:h="15840"/>
          <w:pgMar w:top="1440" w:right="1440" w:bottom="1440" w:left="1440" w:header="720" w:footer="720" w:gutter="0"/>
          <w:pgNumType w:fmt="lowerRoman" w:start="1"/>
          <w:cols w:space="720"/>
          <w:titlePg/>
          <w:docGrid w:linePitch="360"/>
        </w:sectPr>
      </w:pPr>
      <w:r>
        <w:rPr>
          <w:rFonts w:ascii="Times New Roman" w:hAnsi="Times New Roman" w:cs="Times New Roman"/>
          <w:sz w:val="26"/>
          <w:szCs w:val="26"/>
        </w:rPr>
        <w:fldChar w:fldCharType="end"/>
      </w:r>
      <w:r w:rsidR="000D654D" w:rsidRPr="003C72A8">
        <w:rPr>
          <w:rFonts w:ascii="Times New Roman" w:hAnsi="Times New Roman" w:cs="Times New Roman"/>
          <w:sz w:val="26"/>
          <w:szCs w:val="26"/>
        </w:rPr>
        <w:t xml:space="preserve"> </w:t>
      </w:r>
    </w:p>
    <w:p w:rsidR="000D654D" w:rsidRPr="003C72A8" w:rsidRDefault="000D654D" w:rsidP="000D654D">
      <w:pPr>
        <w:spacing w:after="0" w:line="240" w:lineRule="auto"/>
        <w:jc w:val="center"/>
        <w:rPr>
          <w:rFonts w:ascii="Times New Roman" w:hAnsi="Times New Roman" w:cs="Times New Roman"/>
          <w:b/>
          <w:sz w:val="26"/>
          <w:szCs w:val="26"/>
        </w:rPr>
      </w:pPr>
      <w:r w:rsidRPr="003C72A8">
        <w:rPr>
          <w:rFonts w:ascii="Times New Roman" w:hAnsi="Times New Roman" w:cs="Times New Roman"/>
          <w:b/>
          <w:sz w:val="26"/>
          <w:szCs w:val="26"/>
        </w:rPr>
        <w:lastRenderedPageBreak/>
        <w:t>BEFORE</w:t>
      </w:r>
    </w:p>
    <w:p w:rsidR="000D654D" w:rsidRPr="003C72A8" w:rsidRDefault="000D654D" w:rsidP="000D654D">
      <w:pPr>
        <w:spacing w:after="0" w:line="240" w:lineRule="auto"/>
        <w:jc w:val="center"/>
        <w:rPr>
          <w:rFonts w:ascii="Times New Roman" w:hAnsi="Times New Roman" w:cs="Times New Roman"/>
          <w:b/>
          <w:sz w:val="26"/>
          <w:szCs w:val="26"/>
        </w:rPr>
      </w:pPr>
      <w:r w:rsidRPr="003C72A8">
        <w:rPr>
          <w:rFonts w:ascii="Times New Roman" w:hAnsi="Times New Roman" w:cs="Times New Roman"/>
          <w:b/>
          <w:sz w:val="26"/>
          <w:szCs w:val="26"/>
        </w:rPr>
        <w:t>THE PUBLIC UTILITIES COMMISSION OF OHIO</w:t>
      </w:r>
    </w:p>
    <w:p w:rsidR="000D654D" w:rsidRPr="003C72A8" w:rsidRDefault="000D654D" w:rsidP="000D654D">
      <w:pPr>
        <w:tabs>
          <w:tab w:val="left" w:pos="5130"/>
          <w:tab w:val="left" w:pos="5670"/>
        </w:tabs>
        <w:spacing w:after="0" w:line="240" w:lineRule="auto"/>
        <w:jc w:val="center"/>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4689"/>
        <w:gridCol w:w="289"/>
        <w:gridCol w:w="4598"/>
      </w:tblGrid>
      <w:tr w:rsidR="000D654D" w:rsidRPr="003C72A8" w:rsidTr="000D654D">
        <w:tc>
          <w:tcPr>
            <w:tcW w:w="4689" w:type="dxa"/>
          </w:tcPr>
          <w:p w:rsidR="000D654D" w:rsidRPr="003C72A8" w:rsidRDefault="000D654D" w:rsidP="008D052E">
            <w:pPr>
              <w:tabs>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In the Matter of the Application of Columbus Southern Power Company and Ohio Power Company for Authority to Establish a Standard Service Offer Pursuant to §4928.143, Ohio Rev. Code, in the Form of an Electric Security Plan.</w:t>
            </w:r>
          </w:p>
          <w:p w:rsidR="000D654D" w:rsidRPr="003C72A8" w:rsidRDefault="000D654D" w:rsidP="008D052E">
            <w:pPr>
              <w:tabs>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8D052E">
            <w:pPr>
              <w:tabs>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In the Matter of the Application of Columbus Southern Power Company and Ohio Power Company for Approval of Certain Accounting Authority.</w:t>
            </w:r>
          </w:p>
        </w:tc>
        <w:tc>
          <w:tcPr>
            <w:tcW w:w="289" w:type="dxa"/>
          </w:tcPr>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Pr="003C72A8"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0D654D" w:rsidRDefault="000D654D" w:rsidP="008D052E">
            <w:pPr>
              <w:tabs>
                <w:tab w:val="left" w:pos="5130"/>
                <w:tab w:val="left" w:pos="5670"/>
              </w:tabs>
              <w:spacing w:after="0" w:line="240" w:lineRule="auto"/>
              <w:jc w:val="center"/>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w:t>
            </w:r>
          </w:p>
          <w:p w:rsidR="00DC3CC2" w:rsidRDefault="00DC3CC2" w:rsidP="008D052E">
            <w:pPr>
              <w:tabs>
                <w:tab w:val="left" w:pos="5130"/>
                <w:tab w:val="left" w:pos="5670"/>
              </w:tabs>
              <w:spacing w:after="0" w:line="240" w:lineRule="auto"/>
              <w:jc w:val="center"/>
              <w:rPr>
                <w:rFonts w:ascii="Times New Roman" w:eastAsia="Times New Roman" w:hAnsi="Times New Roman" w:cs="Times New Roman"/>
                <w:sz w:val="26"/>
                <w:szCs w:val="26"/>
              </w:rPr>
            </w:pPr>
          </w:p>
          <w:p w:rsidR="00DC3CC2" w:rsidRPr="003C72A8" w:rsidRDefault="00DC3CC2" w:rsidP="008D052E">
            <w:pPr>
              <w:tabs>
                <w:tab w:val="left" w:pos="5130"/>
                <w:tab w:val="left" w:pos="5670"/>
              </w:tabs>
              <w:spacing w:after="0" w:line="240" w:lineRule="auto"/>
              <w:jc w:val="center"/>
              <w:rPr>
                <w:rFonts w:ascii="Times New Roman" w:eastAsia="Times New Roman" w:hAnsi="Times New Roman" w:cs="Times New Roman"/>
                <w:sz w:val="26"/>
                <w:szCs w:val="26"/>
              </w:rPr>
            </w:pPr>
          </w:p>
        </w:tc>
        <w:tc>
          <w:tcPr>
            <w:tcW w:w="4598" w:type="dxa"/>
          </w:tcPr>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Case No. 11-346-EL-SSO</w:t>
            </w: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Case No. 11-348-EL-SSO</w:t>
            </w: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Case No. 11-349-EL-AAM</w:t>
            </w:r>
          </w:p>
          <w:p w:rsidR="000D654D" w:rsidRPr="003C72A8" w:rsidRDefault="000D654D" w:rsidP="008D052E">
            <w:pPr>
              <w:tabs>
                <w:tab w:val="left" w:pos="1142"/>
                <w:tab w:val="left" w:pos="5130"/>
                <w:tab w:val="left" w:pos="5670"/>
              </w:tabs>
              <w:spacing w:after="0" w:line="240" w:lineRule="auto"/>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Case No. 11-350-EL-AAM</w:t>
            </w:r>
          </w:p>
        </w:tc>
      </w:tr>
    </w:tbl>
    <w:p w:rsidR="00B74875" w:rsidRPr="00B74875" w:rsidRDefault="00B74875" w:rsidP="00B74875">
      <w:pPr>
        <w:tabs>
          <w:tab w:val="left" w:pos="9360"/>
        </w:tabs>
        <w:spacing w:after="240" w:line="240" w:lineRule="auto"/>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ab/>
      </w:r>
    </w:p>
    <w:p w:rsidR="00B74875" w:rsidRPr="00DC3CC2" w:rsidRDefault="00B74875" w:rsidP="00B74875">
      <w:pPr>
        <w:tabs>
          <w:tab w:val="left" w:pos="8640"/>
        </w:tabs>
        <w:spacing w:after="0" w:line="240" w:lineRule="auto"/>
        <w:jc w:val="center"/>
        <w:rPr>
          <w:rFonts w:ascii="Times New Roman" w:eastAsia="Times New Roman" w:hAnsi="Times New Roman" w:cs="Times New Roman"/>
          <w:b/>
          <w:bCs/>
          <w:sz w:val="32"/>
          <w:szCs w:val="32"/>
        </w:rPr>
      </w:pPr>
      <w:r w:rsidRPr="00DC3CC2">
        <w:rPr>
          <w:rFonts w:ascii="Times New Roman" w:eastAsia="Times New Roman" w:hAnsi="Times New Roman" w:cs="Times New Roman"/>
          <w:b/>
          <w:bCs/>
          <w:sz w:val="32"/>
          <w:szCs w:val="32"/>
        </w:rPr>
        <w:t>REPLY BRIEF</w:t>
      </w:r>
    </w:p>
    <w:p w:rsidR="00B74875" w:rsidRDefault="00B74875" w:rsidP="00B74875">
      <w:pPr>
        <w:tabs>
          <w:tab w:val="left" w:pos="8640"/>
        </w:tabs>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SUBMITTED ON BEHALF </w:t>
      </w:r>
      <w:r w:rsidRPr="003C72A8">
        <w:rPr>
          <w:rFonts w:ascii="Times New Roman" w:eastAsia="Times New Roman" w:hAnsi="Times New Roman" w:cs="Times New Roman"/>
          <w:b/>
          <w:bCs/>
          <w:sz w:val="26"/>
          <w:szCs w:val="26"/>
        </w:rPr>
        <w:t>OF THE STAFF OF</w:t>
      </w:r>
    </w:p>
    <w:p w:rsidR="00B74875" w:rsidRPr="003C72A8" w:rsidRDefault="00B74875" w:rsidP="00B74875">
      <w:pPr>
        <w:tabs>
          <w:tab w:val="left" w:pos="8640"/>
        </w:tabs>
        <w:spacing w:after="0" w:line="240" w:lineRule="auto"/>
        <w:jc w:val="center"/>
        <w:rPr>
          <w:rFonts w:ascii="Times New Roman" w:eastAsia="Times New Roman" w:hAnsi="Times New Roman" w:cs="Times New Roman"/>
          <w:b/>
          <w:bCs/>
          <w:sz w:val="26"/>
          <w:szCs w:val="26"/>
        </w:rPr>
      </w:pPr>
      <w:r w:rsidRPr="003C72A8">
        <w:rPr>
          <w:rFonts w:ascii="Times New Roman" w:eastAsia="Times New Roman" w:hAnsi="Times New Roman" w:cs="Times New Roman"/>
          <w:b/>
          <w:bCs/>
          <w:sz w:val="26"/>
          <w:szCs w:val="26"/>
        </w:rPr>
        <w:t>THE PUBLIC UTILITIES COMMISSION OF OHIO</w:t>
      </w:r>
    </w:p>
    <w:p w:rsidR="00B74875" w:rsidRPr="00B74875" w:rsidRDefault="00B74875" w:rsidP="00B74875">
      <w:pPr>
        <w:tabs>
          <w:tab w:val="left" w:pos="9360"/>
        </w:tabs>
        <w:spacing w:after="240" w:line="240" w:lineRule="auto"/>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ab/>
      </w:r>
    </w:p>
    <w:p w:rsidR="000D654D" w:rsidRPr="003C72A8" w:rsidRDefault="000D654D" w:rsidP="005466A5">
      <w:pPr>
        <w:pStyle w:val="Heading1"/>
      </w:pPr>
      <w:bookmarkStart w:id="1" w:name="_Toc329612756"/>
      <w:r w:rsidRPr="003C72A8">
        <w:t>INTRODUCTION</w:t>
      </w:r>
      <w:bookmarkEnd w:id="1"/>
    </w:p>
    <w:p w:rsidR="003C72A8" w:rsidRDefault="00BE335A" w:rsidP="00BE335A">
      <w:pPr>
        <w:pStyle w:val="textstyle0"/>
      </w:pPr>
      <w:r>
        <w:tab/>
      </w:r>
      <w:r w:rsidR="00002EAC">
        <w:t>Shortly after initial post-hearing briefs were filed in</w:t>
      </w:r>
      <w:r w:rsidR="00BB1272">
        <w:t xml:space="preserve"> </w:t>
      </w:r>
      <w:r w:rsidR="00002EAC">
        <w:t xml:space="preserve">this case, the Commission issued its decision in </w:t>
      </w:r>
      <w:r w:rsidR="00B5049B">
        <w:t xml:space="preserve">AEP-Ohio’s </w:t>
      </w:r>
      <w:r w:rsidR="003C72A8" w:rsidRPr="003C72A8">
        <w:t>“</w:t>
      </w:r>
      <w:r w:rsidR="00736136" w:rsidRPr="00736136">
        <w:rPr>
          <w:i/>
        </w:rPr>
        <w:t>C</w:t>
      </w:r>
      <w:r w:rsidR="00B5049B" w:rsidRPr="00736136">
        <w:rPr>
          <w:i/>
        </w:rPr>
        <w:t xml:space="preserve">apacity </w:t>
      </w:r>
      <w:r w:rsidR="00736136" w:rsidRPr="00736136">
        <w:rPr>
          <w:i/>
        </w:rPr>
        <w:t>C</w:t>
      </w:r>
      <w:r w:rsidR="00B5049B" w:rsidRPr="00736136">
        <w:rPr>
          <w:i/>
        </w:rPr>
        <w:t>ase</w:t>
      </w:r>
      <w:r w:rsidR="003C72A8" w:rsidRPr="003C72A8">
        <w:t>.</w:t>
      </w:r>
      <w:r w:rsidR="00B5049B">
        <w:t>”</w:t>
      </w:r>
      <w:r w:rsidR="006B34C6">
        <w:rPr>
          <w:rStyle w:val="FootnoteReference"/>
        </w:rPr>
        <w:footnoteReference w:id="1"/>
      </w:r>
      <w:r w:rsidR="003C72A8" w:rsidRPr="003C72A8">
        <w:t xml:space="preserve"> </w:t>
      </w:r>
      <w:r w:rsidR="00DC3CC2">
        <w:t xml:space="preserve"> </w:t>
      </w:r>
      <w:r w:rsidR="00002EAC">
        <w:t>As staff noted in its initial brief, m</w:t>
      </w:r>
      <w:r w:rsidR="00B5049B">
        <w:t xml:space="preserve">any of AEP-Ohio’s (Company’s) proposals in this case are closely related to the </w:t>
      </w:r>
      <w:r w:rsidR="00736136" w:rsidRPr="00736136">
        <w:rPr>
          <w:i/>
        </w:rPr>
        <w:t>C</w:t>
      </w:r>
      <w:r w:rsidR="00B5049B" w:rsidRPr="00736136">
        <w:rPr>
          <w:i/>
        </w:rPr>
        <w:t>apac</w:t>
      </w:r>
      <w:r w:rsidR="00D55143" w:rsidRPr="00736136">
        <w:rPr>
          <w:i/>
        </w:rPr>
        <w:softHyphen/>
      </w:r>
      <w:r w:rsidR="00B5049B" w:rsidRPr="00736136">
        <w:rPr>
          <w:i/>
        </w:rPr>
        <w:t xml:space="preserve">ity </w:t>
      </w:r>
      <w:r w:rsidR="00736136" w:rsidRPr="00736136">
        <w:rPr>
          <w:i/>
        </w:rPr>
        <w:t>C</w:t>
      </w:r>
      <w:r w:rsidR="00B5049B" w:rsidRPr="00736136">
        <w:rPr>
          <w:i/>
        </w:rPr>
        <w:t>ase</w:t>
      </w:r>
      <w:r w:rsidR="00002EAC">
        <w:t xml:space="preserve">. </w:t>
      </w:r>
      <w:r w:rsidR="00DC3CC2">
        <w:t xml:space="preserve"> </w:t>
      </w:r>
    </w:p>
    <w:p w:rsidR="00736136" w:rsidRDefault="00BE335A" w:rsidP="00BE335A">
      <w:pPr>
        <w:pStyle w:val="textstyle0"/>
      </w:pPr>
      <w:r>
        <w:tab/>
      </w:r>
      <w:r w:rsidR="00736136">
        <w:t xml:space="preserve">The Commission has now spoken in that case.  The Commission approved </w:t>
      </w:r>
      <w:r w:rsidR="00736136" w:rsidRPr="002A0FE3">
        <w:t xml:space="preserve">a </w:t>
      </w:r>
      <w:r w:rsidR="00736136">
        <w:t xml:space="preserve">state compensation mechanism for </w:t>
      </w:r>
      <w:r w:rsidR="00736136" w:rsidRPr="002A0FE3">
        <w:t xml:space="preserve">capacity of $188.88/MW-day, </w:t>
      </w:r>
      <w:r w:rsidR="00736136">
        <w:t xml:space="preserve">with </w:t>
      </w:r>
      <w:r w:rsidR="00736136" w:rsidRPr="002A0FE3">
        <w:t xml:space="preserve">CRES provider billings </w:t>
      </w:r>
      <w:r w:rsidR="00736136">
        <w:lastRenderedPageBreak/>
        <w:t xml:space="preserve">to </w:t>
      </w:r>
      <w:r w:rsidR="00736136" w:rsidRPr="002A0FE3">
        <w:t xml:space="preserve">reflect </w:t>
      </w:r>
      <w:r w:rsidR="00736136">
        <w:t xml:space="preserve">an </w:t>
      </w:r>
      <w:r w:rsidR="00736136" w:rsidRPr="002A0FE3">
        <w:t xml:space="preserve">adjusted RPM-based price.  </w:t>
      </w:r>
      <w:r w:rsidR="00736136">
        <w:t xml:space="preserve">The Commission further authorized </w:t>
      </w:r>
      <w:r w:rsidR="00736136" w:rsidRPr="002A0FE3">
        <w:t xml:space="preserve">deferral of </w:t>
      </w:r>
      <w:r w:rsidR="00736136">
        <w:t>capacity costs</w:t>
      </w:r>
      <w:r w:rsidR="00736136" w:rsidRPr="002A0FE3">
        <w:t xml:space="preserve"> not recovered from </w:t>
      </w:r>
      <w:r w:rsidR="00736136">
        <w:t xml:space="preserve">CRES providers </w:t>
      </w:r>
      <w:r w:rsidR="00736136" w:rsidRPr="002A0FE3">
        <w:t>to the extent that the total incurred capacity cos</w:t>
      </w:r>
      <w:r w:rsidR="00736136">
        <w:t>ts do not exceed $188.88/MW-day. It further stated that it “</w:t>
      </w:r>
      <w:r w:rsidR="00736136" w:rsidRPr="002A0FE3">
        <w:t>will establish an</w:t>
      </w:r>
      <w:r w:rsidR="00736136">
        <w:t xml:space="preserve"> </w:t>
      </w:r>
      <w:r w:rsidR="00736136" w:rsidRPr="002A0FE3">
        <w:t>appropriate recovery mechanism for such deferred costs and address any additional</w:t>
      </w:r>
      <w:r w:rsidR="00736136">
        <w:t xml:space="preserve"> </w:t>
      </w:r>
      <w:r w:rsidR="00736136" w:rsidRPr="002A0FE3">
        <w:t>financial considerations</w:t>
      </w:r>
      <w:r w:rsidR="00736136">
        <w:t>” in this proceeding</w:t>
      </w:r>
      <w:r w:rsidR="00562F1F">
        <w:t>.</w:t>
      </w:r>
    </w:p>
    <w:p w:rsidR="00736136" w:rsidRDefault="00BE335A" w:rsidP="00BE335A">
      <w:pPr>
        <w:pStyle w:val="textstyle0"/>
      </w:pPr>
      <w:r>
        <w:tab/>
      </w:r>
      <w:r w:rsidR="00736136">
        <w:t xml:space="preserve">In light of the Commission’s decision in the </w:t>
      </w:r>
      <w:r w:rsidR="00736136" w:rsidRPr="003A22FE">
        <w:rPr>
          <w:i/>
        </w:rPr>
        <w:t>Capacity Case</w:t>
      </w:r>
      <w:r w:rsidR="00736136">
        <w:t xml:space="preserve">, </w:t>
      </w:r>
      <w:r w:rsidR="00562F1F">
        <w:t>staff reiterates its posi</w:t>
      </w:r>
      <w:r>
        <w:softHyphen/>
      </w:r>
      <w:r w:rsidR="00562F1F">
        <w:t>tion that the Company should charge CRES providers the RPM rate, and adopts with approval both the capacity compensation mechanism and the deferral of unrecovered costs</w:t>
      </w:r>
      <w:r>
        <w:t xml:space="preserve">.  </w:t>
      </w:r>
      <w:r w:rsidR="00562F1F">
        <w:t xml:space="preserve">To the extent that that decision modifies positions taken by staff either during this proceeding or in its initial brief, staff clarifies that it fully supports the Commission’s order in the </w:t>
      </w:r>
      <w:r w:rsidR="00562F1F" w:rsidRPr="00562F1F">
        <w:rPr>
          <w:i/>
        </w:rPr>
        <w:t>Capacity Case</w:t>
      </w:r>
      <w:r w:rsidR="00562F1F">
        <w:t xml:space="preserve">. </w:t>
      </w:r>
    </w:p>
    <w:p w:rsidR="00A74135" w:rsidRPr="00A74135" w:rsidRDefault="00A74135" w:rsidP="005466A5">
      <w:pPr>
        <w:pStyle w:val="Heading1"/>
      </w:pPr>
      <w:bookmarkStart w:id="2" w:name="_Toc329612757"/>
      <w:r>
        <w:t>DISCUSSION</w:t>
      </w:r>
      <w:bookmarkEnd w:id="2"/>
    </w:p>
    <w:p w:rsidR="007E5F87" w:rsidRPr="00E40F3F" w:rsidRDefault="00E40F3F" w:rsidP="00DC3CC2">
      <w:pPr>
        <w:pStyle w:val="Heading2"/>
      </w:pPr>
      <w:bookmarkStart w:id="3" w:name="_Toc329612758"/>
      <w:r>
        <w:t xml:space="preserve">ESP </w:t>
      </w:r>
      <w:r w:rsidR="004A2658">
        <w:t>Versus</w:t>
      </w:r>
      <w:r>
        <w:t xml:space="preserve"> MRO Test</w:t>
      </w:r>
      <w:bookmarkEnd w:id="3"/>
    </w:p>
    <w:p w:rsidR="007E5F87" w:rsidRDefault="00DC3CC2" w:rsidP="00BE335A">
      <w:pPr>
        <w:pStyle w:val="textstyle0"/>
      </w:pPr>
      <w:r>
        <w:tab/>
      </w:r>
      <w:r w:rsidR="00CF2E75">
        <w:t>As described in its initial brief, s</w:t>
      </w:r>
      <w:r w:rsidR="00E40F3F">
        <w:t>taff’s analysis</w:t>
      </w:r>
      <w:r w:rsidR="00CF2E75">
        <w:t xml:space="preserve"> </w:t>
      </w:r>
      <w:r w:rsidR="00E40F3F">
        <w:t xml:space="preserve">demonstrates that the </w:t>
      </w:r>
      <w:r w:rsidR="00CF2E75">
        <w:t>Company’s modified ESP</w:t>
      </w:r>
      <w:r w:rsidR="00E40F3F">
        <w:t>, on a purely quantitative basis, fails the MRO test.</w:t>
      </w:r>
      <w:r>
        <w:t xml:space="preserve"> </w:t>
      </w:r>
      <w:r w:rsidR="00E40F3F">
        <w:t xml:space="preserve"> </w:t>
      </w:r>
      <w:r w:rsidR="00CF2E75">
        <w:t xml:space="preserve">The Commission must, however, consider qualitative factors, as well. </w:t>
      </w:r>
      <w:r>
        <w:t xml:space="preserve"> </w:t>
      </w:r>
      <w:r w:rsidR="00CF2E75">
        <w:t>Those factors are not insignificant</w:t>
      </w:r>
      <w:r w:rsidR="00D55143">
        <w:t xml:space="preserve">.  </w:t>
      </w:r>
      <w:r w:rsidR="00CF2E75">
        <w:t xml:space="preserve">Staff believes that the Commission is properly committed to ensuring that consumers gain the benefits of market conditions and prices as expeditiously as possible. </w:t>
      </w:r>
      <w:r>
        <w:t xml:space="preserve"> </w:t>
      </w:r>
      <w:r w:rsidR="00CF2E75">
        <w:t>Further modifica</w:t>
      </w:r>
      <w:r w:rsidR="00D55143">
        <w:softHyphen/>
      </w:r>
      <w:r w:rsidR="00CF2E75">
        <w:t xml:space="preserve">tions to the Company’s proposal, specifically including those advocated by staff, could certainly justify approval of an ESP in this case. </w:t>
      </w:r>
    </w:p>
    <w:p w:rsidR="00002EAC" w:rsidRDefault="00DC3CC2" w:rsidP="00DC3CC2">
      <w:pPr>
        <w:pStyle w:val="Heading3"/>
        <w:ind w:left="720" w:firstLine="0"/>
        <w:rPr>
          <w:rFonts w:eastAsia="Times New Roman"/>
        </w:rPr>
      </w:pPr>
      <w:bookmarkStart w:id="4" w:name="_Toc329612759"/>
      <w:r>
        <w:rPr>
          <w:rFonts w:eastAsia="Times New Roman"/>
        </w:rPr>
        <w:lastRenderedPageBreak/>
        <w:t>A.</w:t>
      </w:r>
      <w:r>
        <w:rPr>
          <w:rFonts w:eastAsia="Times New Roman"/>
        </w:rPr>
        <w:tab/>
      </w:r>
      <w:r w:rsidR="00002EAC" w:rsidRPr="0010094E">
        <w:rPr>
          <w:rFonts w:eastAsia="Times New Roman"/>
        </w:rPr>
        <w:t xml:space="preserve">RPM as the </w:t>
      </w:r>
      <w:r>
        <w:rPr>
          <w:rFonts w:eastAsia="Times New Roman"/>
        </w:rPr>
        <w:t>a</w:t>
      </w:r>
      <w:r w:rsidR="00002EAC" w:rsidRPr="0010094E">
        <w:rPr>
          <w:rFonts w:eastAsia="Times New Roman"/>
        </w:rPr>
        <w:t xml:space="preserve">ppropriate </w:t>
      </w:r>
      <w:r>
        <w:rPr>
          <w:rFonts w:eastAsia="Times New Roman"/>
        </w:rPr>
        <w:t>c</w:t>
      </w:r>
      <w:r w:rsidR="00002EAC" w:rsidRPr="0010094E">
        <w:rPr>
          <w:rFonts w:eastAsia="Times New Roman"/>
        </w:rPr>
        <w:t xml:space="preserve">harge for </w:t>
      </w:r>
      <w:r>
        <w:rPr>
          <w:rFonts w:eastAsia="Times New Roman"/>
        </w:rPr>
        <w:t>c</w:t>
      </w:r>
      <w:r w:rsidR="00002EAC" w:rsidRPr="0010094E">
        <w:rPr>
          <w:rFonts w:eastAsia="Times New Roman"/>
        </w:rPr>
        <w:t>apacity</w:t>
      </w:r>
      <w:r>
        <w:rPr>
          <w:rFonts w:eastAsia="Times New Roman"/>
        </w:rPr>
        <w:t>.</w:t>
      </w:r>
      <w:bookmarkEnd w:id="4"/>
      <w:r w:rsidR="00002EAC" w:rsidRPr="0010094E">
        <w:rPr>
          <w:rFonts w:eastAsia="Times New Roman"/>
        </w:rPr>
        <w:t xml:space="preserve"> </w:t>
      </w:r>
    </w:p>
    <w:p w:rsidR="00002EAC" w:rsidRPr="0010094E" w:rsidRDefault="00DC3CC2" w:rsidP="00DC3CC2">
      <w:pPr>
        <w:pStyle w:val="Textstyle"/>
      </w:pPr>
      <w:r>
        <w:tab/>
      </w:r>
      <w:r w:rsidR="00002EAC">
        <w:t>Aside from the recent developments in Case No. 10-2929-EL-UNC, staff still main</w:t>
      </w:r>
      <w:r w:rsidR="00D55143">
        <w:softHyphen/>
      </w:r>
      <w:r w:rsidR="00002EAC">
        <w:t>tains that the Company</w:t>
      </w:r>
      <w:r w:rsidR="00002EAC" w:rsidRPr="0010094E">
        <w:t xml:space="preserve"> charge CRES providers the prevailing RPM rate in </w:t>
      </w:r>
      <w:r w:rsidR="00002EAC">
        <w:t>the unconstrained region of PJM.</w:t>
      </w:r>
      <w:r w:rsidR="00002EAC">
        <w:rPr>
          <w:rStyle w:val="FootnoteReference"/>
          <w:szCs w:val="26"/>
        </w:rPr>
        <w:footnoteReference w:id="2"/>
      </w:r>
      <w:r w:rsidR="00724116">
        <w:t xml:space="preserve">  Staff, in its initial brief, proposed</w:t>
      </w:r>
      <w:r w:rsidR="00002EAC" w:rsidRPr="0010094E">
        <w:t xml:space="preserve"> that</w:t>
      </w:r>
      <w:r w:rsidR="00002EAC">
        <w:t xml:space="preserve"> the appropriate alternative, if</w:t>
      </w:r>
      <w:r w:rsidR="00002EAC" w:rsidRPr="0010094E">
        <w:t xml:space="preserve"> the prevailing RPM rates during the proposed ESP period are </w:t>
      </w:r>
      <w:r w:rsidR="00612A1F">
        <w:t>found</w:t>
      </w:r>
      <w:r w:rsidR="00BB1272">
        <w:t xml:space="preserve"> by the Commission to </w:t>
      </w:r>
      <w:r w:rsidR="00002EAC" w:rsidRPr="0010094E">
        <w:t xml:space="preserve">not </w:t>
      </w:r>
      <w:r w:rsidR="00BB1272">
        <w:t xml:space="preserve">be </w:t>
      </w:r>
      <w:r w:rsidR="00002EAC" w:rsidRPr="0010094E">
        <w:t>compensatory,</w:t>
      </w:r>
      <w:r w:rsidR="00002EAC">
        <w:t xml:space="preserve"> is</w:t>
      </w:r>
      <w:r w:rsidR="00002EAC" w:rsidRPr="0010094E">
        <w:t xml:space="preserve"> the capacity rate developed by </w:t>
      </w:r>
      <w:r w:rsidR="00724116">
        <w:t>s</w:t>
      </w:r>
      <w:r w:rsidR="00002EAC" w:rsidRPr="0010094E">
        <w:t xml:space="preserve">taff witness </w:t>
      </w:r>
      <w:proofErr w:type="spellStart"/>
      <w:r w:rsidR="00002EAC" w:rsidRPr="0010094E">
        <w:t>Medine</w:t>
      </w:r>
      <w:proofErr w:type="spellEnd"/>
      <w:r w:rsidR="00002EAC" w:rsidRPr="0010094E">
        <w:t>,</w:t>
      </w:r>
      <w:r w:rsidR="00002EAC" w:rsidRPr="0010094E">
        <w:rPr>
          <w:vertAlign w:val="superscript"/>
        </w:rPr>
        <w:footnoteReference w:id="3"/>
      </w:r>
      <w:r w:rsidR="00002EAC" w:rsidRPr="0010094E">
        <w:t xml:space="preserve"> $146.41/MW-day, in Case No. 10-2929-EL-UNC.</w:t>
      </w:r>
      <w:r w:rsidR="00002EAC" w:rsidRPr="0010094E">
        <w:rPr>
          <w:vertAlign w:val="superscript"/>
        </w:rPr>
        <w:footnoteReference w:id="4"/>
      </w:r>
      <w:r w:rsidR="00002EAC" w:rsidRPr="0010094E">
        <w:t xml:space="preserve"> </w:t>
      </w:r>
      <w:r>
        <w:t xml:space="preserve"> </w:t>
      </w:r>
      <w:r w:rsidR="00724116">
        <w:t>The Commission</w:t>
      </w:r>
      <w:r w:rsidR="006B06B6">
        <w:t>,</w:t>
      </w:r>
      <w:r w:rsidR="00724116">
        <w:t xml:space="preserve"> in its July 2, 2012 order in Case No. 10-2929-EL-UNC, found that RPM</w:t>
      </w:r>
      <w:r w:rsidR="00002EAC" w:rsidRPr="0010094E">
        <w:t xml:space="preserve"> </w:t>
      </w:r>
      <w:r w:rsidR="00724116">
        <w:t>rates during the proposed ESP period were indeed not compensatory and ordered a cost-based capacity charge of $188.88/MW-day.  The Commission, however, also ordered the Company to charge CRES providers (beginning on August 8, 2012, or sooner), the prevailing RPM rates during the proposed ESP period, in conjunction with an authorized deferral mechanism for the Company to recover any amount equivalent to the difference between the cost-based rate and the prevailing RPM rates during the proposed ESP period.  The deferral mechanism will be defined in the upcoming order on, or prior to, August 8, 2012.  Staff supports the findings in the July 2, 2012 order.</w:t>
      </w:r>
    </w:p>
    <w:p w:rsidR="00002EAC" w:rsidRPr="0010094E" w:rsidRDefault="0007062F" w:rsidP="0007062F">
      <w:pPr>
        <w:pStyle w:val="Heading3"/>
        <w:ind w:left="720"/>
        <w:rPr>
          <w:rFonts w:eastAsia="Times New Roman"/>
        </w:rPr>
      </w:pPr>
      <w:bookmarkStart w:id="5" w:name="_Toc329612760"/>
      <w:r>
        <w:rPr>
          <w:rFonts w:eastAsia="Times New Roman"/>
        </w:rPr>
        <w:lastRenderedPageBreak/>
        <w:t>B.</w:t>
      </w:r>
      <w:r>
        <w:rPr>
          <w:rFonts w:eastAsia="Times New Roman"/>
        </w:rPr>
        <w:tab/>
      </w:r>
      <w:r w:rsidR="00002EAC" w:rsidRPr="0010094E">
        <w:rPr>
          <w:rFonts w:eastAsia="Times New Roman"/>
        </w:rPr>
        <w:t>MRO Retail Pricing</w:t>
      </w:r>
      <w:bookmarkEnd w:id="5"/>
      <w:r w:rsidR="00002EAC" w:rsidRPr="0010094E">
        <w:rPr>
          <w:rFonts w:eastAsia="Times New Roman"/>
        </w:rPr>
        <w:t xml:space="preserve"> </w:t>
      </w:r>
    </w:p>
    <w:p w:rsidR="00002EAC" w:rsidRPr="004C3982" w:rsidRDefault="00002EAC" w:rsidP="00BE335A">
      <w:pPr>
        <w:pStyle w:val="textstyle0"/>
      </w:pPr>
      <w:r>
        <w:tab/>
      </w:r>
      <w:r w:rsidRPr="0010094E">
        <w:t>Company witness Thomas offered a</w:t>
      </w:r>
      <w:r>
        <w:t>n</w:t>
      </w:r>
      <w:r w:rsidRPr="0010094E">
        <w:t xml:space="preserve"> MRO retail pricing construct </w:t>
      </w:r>
      <w:r>
        <w:t xml:space="preserve">and </w:t>
      </w:r>
      <w:r w:rsidRPr="0010094E">
        <w:t>staff wit</w:t>
      </w:r>
      <w:r w:rsidR="00D55143">
        <w:softHyphen/>
      </w:r>
      <w:r w:rsidRPr="0010094E">
        <w:t>ness Johnson conducted an independent test</w:t>
      </w:r>
      <w:r>
        <w:t xml:space="preserve"> and predicted</w:t>
      </w:r>
      <w:r w:rsidRPr="0010094E">
        <w:t xml:space="preserve"> three sets of MRO prices based upon different assumptions </w:t>
      </w:r>
      <w:r>
        <w:t>regarding the price of capacity.</w:t>
      </w:r>
      <w:r>
        <w:rPr>
          <w:rStyle w:val="FootnoteReference"/>
          <w:rFonts w:eastAsia="Times New Roman"/>
        </w:rPr>
        <w:footnoteReference w:id="5"/>
      </w:r>
      <w:r>
        <w:t xml:space="preserve"> </w:t>
      </w:r>
      <w:r w:rsidR="00DC3CC2">
        <w:t xml:space="preserve"> </w:t>
      </w:r>
      <w:r w:rsidRPr="0010094E">
        <w:t>Staff witness Fortney used</w:t>
      </w:r>
      <w:r>
        <w:t xml:space="preserve"> those</w:t>
      </w:r>
      <w:r w:rsidRPr="0010094E">
        <w:t xml:space="preserve"> prices, accepting the generation rates and the resulting revenue impacts which the company</w:t>
      </w:r>
      <w:r>
        <w:t xml:space="preserve"> proposed</w:t>
      </w:r>
      <w:r w:rsidRPr="0010094E">
        <w:t>.</w:t>
      </w:r>
      <w:r>
        <w:rPr>
          <w:rStyle w:val="FootnoteReference"/>
          <w:rFonts w:eastAsia="Times New Roman"/>
        </w:rPr>
        <w:footnoteReference w:id="6"/>
      </w:r>
      <w:r w:rsidR="00DC3CC2">
        <w:t xml:space="preserve"> </w:t>
      </w:r>
      <w:r w:rsidRPr="0010094E">
        <w:t xml:space="preserve"> </w:t>
      </w:r>
      <w:r>
        <w:t>As stated in his testimony, Mr. Fortney concluded</w:t>
      </w:r>
      <w:r w:rsidRPr="0010094E">
        <w:t xml:space="preserve"> that under </w:t>
      </w:r>
      <w:r w:rsidRPr="0010094E">
        <w:rPr>
          <w:i/>
        </w:rPr>
        <w:t>all three</w:t>
      </w:r>
      <w:r w:rsidRPr="0010094E">
        <w:t xml:space="preserve"> of these scenarios the ESP as proposed by the Company is </w:t>
      </w:r>
      <w:r w:rsidRPr="004C3982">
        <w:t>not more favorable than the blended MRO utilizing the forecasted market rates as determined by staff witness Johnson.</w:t>
      </w:r>
      <w:r>
        <w:rPr>
          <w:rStyle w:val="FootnoteReference"/>
          <w:rFonts w:eastAsia="Times New Roman"/>
        </w:rPr>
        <w:footnoteReference w:id="7"/>
      </w:r>
    </w:p>
    <w:p w:rsidR="00002EAC" w:rsidRDefault="00DC3CC2" w:rsidP="00BE335A">
      <w:pPr>
        <w:pStyle w:val="textstyle0"/>
      </w:pPr>
      <w:r>
        <w:tab/>
      </w:r>
      <w:r w:rsidR="00002EAC" w:rsidRPr="004C3982">
        <w:t>The Company contends that staff’s cost-based capacity price in Case No. 10-2929-EL-UNC contains “internal inconsistencies” that discredit staff’s MRO Price Test</w:t>
      </w:r>
      <w:r w:rsidR="004C4EA8">
        <w:t>.</w:t>
      </w:r>
      <w:r w:rsidR="00BF12DA">
        <w:rPr>
          <w:rStyle w:val="FootnoteReference"/>
        </w:rPr>
        <w:footnoteReference w:id="8"/>
      </w:r>
      <w:r w:rsidR="004C4EA8">
        <w:t xml:space="preserve">  In specific, the Company states that rather than using the AURORA forecasted energy prices when estimated the energy credits, staff should have the used the ICE forward energy prices.</w:t>
      </w:r>
      <w:r w:rsidR="00BF12DA">
        <w:rPr>
          <w:rStyle w:val="FootnoteReference"/>
        </w:rPr>
        <w:footnoteReference w:id="9"/>
      </w:r>
      <w:r w:rsidR="004C4EA8">
        <w:t xml:space="preserve">  The Company failed to discredit </w:t>
      </w:r>
      <w:r w:rsidR="00FC590C">
        <w:t>staff’s analysis as the AURORA produc</w:t>
      </w:r>
      <w:r w:rsidR="00D55143">
        <w:softHyphen/>
      </w:r>
      <w:r w:rsidR="00FC590C">
        <w:t>tion simulation model is one of the models that is often used by electric utilities in the U.S., including AEP</w:t>
      </w:r>
      <w:r w:rsidR="00002EAC" w:rsidRPr="004C3982">
        <w:t>.</w:t>
      </w:r>
      <w:r w:rsidR="008178EA" w:rsidDel="008178EA">
        <w:rPr>
          <w:rStyle w:val="FootnoteReference"/>
        </w:rPr>
        <w:t xml:space="preserve"> </w:t>
      </w:r>
      <w:r w:rsidR="00002EAC" w:rsidRPr="004C3982">
        <w:t xml:space="preserve">  </w:t>
      </w:r>
      <w:r w:rsidR="00002EAC">
        <w:t xml:space="preserve">Staff’s consultant, EVA, in Case No. 10-2929-EL-UNC, </w:t>
      </w:r>
      <w:r w:rsidR="00FC590C">
        <w:t xml:space="preserve">developed </w:t>
      </w:r>
      <w:r w:rsidR="00002EAC">
        <w:t>a</w:t>
      </w:r>
      <w:r w:rsidR="00FC590C">
        <w:t>n energy price</w:t>
      </w:r>
      <w:r w:rsidR="00002EAC">
        <w:t xml:space="preserve"> forecast that was m</w:t>
      </w:r>
      <w:r w:rsidR="00CF2E75">
        <w:t>ore robust then the Com</w:t>
      </w:r>
      <w:r w:rsidR="00002EAC">
        <w:t>p</w:t>
      </w:r>
      <w:r w:rsidR="00CF2E75">
        <w:t>a</w:t>
      </w:r>
      <w:r w:rsidR="00002EAC">
        <w:t>ny’s use of for</w:t>
      </w:r>
      <w:r w:rsidR="00D55143">
        <w:softHyphen/>
      </w:r>
      <w:r w:rsidR="00002EAC">
        <w:lastRenderedPageBreak/>
        <w:t>ward</w:t>
      </w:r>
      <w:r w:rsidR="00FC590C">
        <w:t xml:space="preserve"> energy</w:t>
      </w:r>
      <w:r w:rsidR="00002EAC">
        <w:t xml:space="preserve"> prices.</w:t>
      </w:r>
      <w:r w:rsidR="00002EAC">
        <w:rPr>
          <w:rStyle w:val="FootnoteReference"/>
        </w:rPr>
        <w:footnoteReference w:id="10"/>
      </w:r>
      <w:r w:rsidR="00002EAC">
        <w:t xml:space="preserve">  Staff demonstrated that significant changes frequently occur with forward </w:t>
      </w:r>
      <w:r w:rsidR="00FC590C">
        <w:t xml:space="preserve">energy </w:t>
      </w:r>
      <w:r w:rsidR="00002EAC">
        <w:t xml:space="preserve">market prices making it </w:t>
      </w:r>
      <w:r w:rsidR="00FC590C">
        <w:t xml:space="preserve">less </w:t>
      </w:r>
      <w:r w:rsidR="00002EAC">
        <w:t xml:space="preserve">reliable </w:t>
      </w:r>
      <w:r w:rsidR="00FC590C">
        <w:t>than</w:t>
      </w:r>
      <w:r w:rsidR="00002EAC">
        <w:t xml:space="preserve"> </w:t>
      </w:r>
      <w:r w:rsidR="00FC590C">
        <w:t xml:space="preserve">the AURORA </w:t>
      </w:r>
      <w:r w:rsidR="00002EAC">
        <w:t>forecast</w:t>
      </w:r>
      <w:r w:rsidR="00FC590C">
        <w:t>ed</w:t>
      </w:r>
      <w:r w:rsidR="00002EAC">
        <w:t xml:space="preserve"> </w:t>
      </w:r>
      <w:r w:rsidR="00FC590C">
        <w:t xml:space="preserve">energy </w:t>
      </w:r>
      <w:r w:rsidR="00002EAC">
        <w:t>market prices.</w:t>
      </w:r>
      <w:r w:rsidR="00002EAC">
        <w:rPr>
          <w:rStyle w:val="FootnoteReference"/>
        </w:rPr>
        <w:footnoteReference w:id="11"/>
      </w:r>
      <w:r w:rsidR="00002EAC">
        <w:t xml:space="preserve">  As part of its FUELCAST services, EVA constantly updates its Aurora model with its ongoing short</w:t>
      </w:r>
      <w:r w:rsidR="00FC590C">
        <w:t>-</w:t>
      </w:r>
      <w:r w:rsidR="00002EAC">
        <w:t>term and long</w:t>
      </w:r>
      <w:r w:rsidR="00FC590C">
        <w:t>-</w:t>
      </w:r>
      <w:r w:rsidR="00002EAC">
        <w:t>term analys</w:t>
      </w:r>
      <w:r w:rsidR="00FC590C">
        <w:t>e</w:t>
      </w:r>
      <w:r w:rsidR="00002EAC">
        <w:t>s of data regarding coal, natural gas, and emission allowances.</w:t>
      </w:r>
      <w:r w:rsidR="00002EAC">
        <w:rPr>
          <w:rStyle w:val="FootnoteReference"/>
        </w:rPr>
        <w:footnoteReference w:id="12"/>
      </w:r>
      <w:r w:rsidR="00002EAC">
        <w:rPr>
          <w:sz w:val="17"/>
          <w:szCs w:val="17"/>
        </w:rPr>
        <w:t xml:space="preserve">  </w:t>
      </w:r>
      <w:r w:rsidR="00FC590C" w:rsidRPr="008178EA">
        <w:t>Additionally</w:t>
      </w:r>
      <w:r w:rsidR="00FC590C">
        <w:rPr>
          <w:sz w:val="17"/>
          <w:szCs w:val="17"/>
        </w:rPr>
        <w:t xml:space="preserve">, </w:t>
      </w:r>
      <w:r w:rsidR="00FC590C">
        <w:t>f</w:t>
      </w:r>
      <w:r w:rsidR="00002EAC">
        <w:t xml:space="preserve">orward </w:t>
      </w:r>
      <w:r w:rsidR="00FC590C">
        <w:t xml:space="preserve">energy </w:t>
      </w:r>
      <w:r w:rsidR="00002EAC">
        <w:t>price</w:t>
      </w:r>
      <w:r w:rsidR="00FC590C">
        <w:t>s</w:t>
      </w:r>
      <w:r w:rsidR="00002EAC">
        <w:t xml:space="preserve"> </w:t>
      </w:r>
      <w:r w:rsidR="00FC590C">
        <w:t xml:space="preserve">are in fact used by </w:t>
      </w:r>
      <w:r w:rsidR="00002EAC">
        <w:t>EVA a</w:t>
      </w:r>
      <w:r w:rsidR="00FC590C">
        <w:t>s</w:t>
      </w:r>
      <w:r w:rsidR="00002EAC">
        <w:t xml:space="preserve"> </w:t>
      </w:r>
      <w:r w:rsidR="00FC590C">
        <w:t xml:space="preserve">the </w:t>
      </w:r>
      <w:r w:rsidR="00002EAC">
        <w:t>starting point</w:t>
      </w:r>
      <w:r w:rsidR="00FC590C">
        <w:t xml:space="preserve"> of its analysis</w:t>
      </w:r>
      <w:r w:rsidR="00002EAC">
        <w:t>.</w:t>
      </w:r>
      <w:r w:rsidR="00002EAC">
        <w:rPr>
          <w:rStyle w:val="FootnoteReference"/>
        </w:rPr>
        <w:footnoteReference w:id="13"/>
      </w:r>
      <w:r w:rsidR="00002EAC">
        <w:t xml:space="preserve">  EVA’s </w:t>
      </w:r>
      <w:r w:rsidR="00FC590C">
        <w:t xml:space="preserve">energy price </w:t>
      </w:r>
      <w:r w:rsidR="00601736">
        <w:t>forecasts incorp</w:t>
      </w:r>
      <w:r w:rsidR="00D55143">
        <w:softHyphen/>
      </w:r>
      <w:r w:rsidR="00601736">
        <w:t>orate</w:t>
      </w:r>
      <w:r w:rsidR="00002EAC">
        <w:t xml:space="preserve"> expert intelligence of real world experience and granular transportation cost </w:t>
      </w:r>
      <w:r w:rsidR="00601736">
        <w:t xml:space="preserve">of delivering fuel </w:t>
      </w:r>
      <w:r w:rsidR="00002EAC">
        <w:t>to plant.</w:t>
      </w:r>
      <w:r w:rsidR="00002EAC">
        <w:rPr>
          <w:rStyle w:val="FootnoteReference"/>
        </w:rPr>
        <w:footnoteReference w:id="14"/>
      </w:r>
      <w:r w:rsidR="00002EAC">
        <w:t xml:space="preserve">  Ultimately, in Case No. 10-2929</w:t>
      </w:r>
      <w:r w:rsidR="00BF12DA">
        <w:t>-EL-UNC</w:t>
      </w:r>
      <w:r w:rsidR="00002EAC">
        <w:t>, staff and the Com</w:t>
      </w:r>
      <w:r w:rsidR="00D55143">
        <w:softHyphen/>
      </w:r>
      <w:r w:rsidR="00002EAC">
        <w:t>pany offered separate and competing analys</w:t>
      </w:r>
      <w:r w:rsidR="00601736">
        <w:t>e</w:t>
      </w:r>
      <w:r w:rsidR="00002EAC">
        <w:t>s; simply because AEP Ohio finds the results of staff’s analysis disadvantageous does not make EVA’s method</w:t>
      </w:r>
      <w:r w:rsidR="00601736">
        <w:t>ology and analy</w:t>
      </w:r>
      <w:r w:rsidR="00D55143">
        <w:softHyphen/>
      </w:r>
      <w:r w:rsidR="00601736">
        <w:t>sis results</w:t>
      </w:r>
      <w:r w:rsidR="00002EAC">
        <w:t xml:space="preserve"> wrong.</w:t>
      </w:r>
      <w:r w:rsidR="00002EAC">
        <w:rPr>
          <w:rStyle w:val="FootnoteReference"/>
        </w:rPr>
        <w:footnoteReference w:id="15"/>
      </w:r>
      <w:r w:rsidR="00002EAC" w:rsidRPr="004C3982">
        <w:t xml:space="preserve">  </w:t>
      </w:r>
      <w:r w:rsidR="00002EAC">
        <w:t xml:space="preserve">Therefore, the Company’s “flawed analysis” claim </w:t>
      </w:r>
      <w:r w:rsidR="00601736">
        <w:t>of staff’s method</w:t>
      </w:r>
      <w:r w:rsidR="00D55143">
        <w:softHyphen/>
      </w:r>
      <w:r w:rsidR="00601736">
        <w:t xml:space="preserve">ology </w:t>
      </w:r>
      <w:r w:rsidR="00002EAC">
        <w:t xml:space="preserve">in </w:t>
      </w:r>
      <w:r w:rsidR="004C0983">
        <w:t>the 10-2929 case</w:t>
      </w:r>
      <w:r w:rsidR="00002EAC">
        <w:t xml:space="preserve"> has no merit</w:t>
      </w:r>
      <w:r w:rsidR="00601736">
        <w:t>,</w:t>
      </w:r>
      <w:r w:rsidR="00002EAC">
        <w:t xml:space="preserve"> and staff’s MRO Price Test and results are rea</w:t>
      </w:r>
      <w:r w:rsidR="00D55143">
        <w:softHyphen/>
      </w:r>
      <w:r w:rsidR="00002EAC">
        <w:t>sonable.</w:t>
      </w:r>
    </w:p>
    <w:p w:rsidR="00002EAC" w:rsidRPr="00A67BF3" w:rsidRDefault="00DC3CC2" w:rsidP="00BE335A">
      <w:pPr>
        <w:pStyle w:val="textstyle0"/>
      </w:pPr>
      <w:r>
        <w:tab/>
      </w:r>
      <w:r w:rsidR="00002EAC" w:rsidRPr="001F641E">
        <w:t>The Company also</w:t>
      </w:r>
      <w:r w:rsidR="00002EAC">
        <w:t xml:space="preserve"> suggests</w:t>
      </w:r>
      <w:r w:rsidR="00002EAC" w:rsidRPr="001F641E">
        <w:t xml:space="preserve"> that</w:t>
      </w:r>
      <w:r w:rsidR="00002EAC">
        <w:t xml:space="preserve"> staff </w:t>
      </w:r>
      <w:r w:rsidR="00002EAC" w:rsidRPr="001F641E">
        <w:t>understated</w:t>
      </w:r>
      <w:r w:rsidR="00002EAC">
        <w:t xml:space="preserve"> its </w:t>
      </w:r>
      <w:r w:rsidR="00601736">
        <w:t xml:space="preserve">RPM capacity rates </w:t>
      </w:r>
      <w:r w:rsidR="00002EAC">
        <w:t>because it did</w:t>
      </w:r>
      <w:r w:rsidR="00002EAC" w:rsidRPr="001F641E">
        <w:t xml:space="preserve"> not reflect the impacts of the scaling factor, </w:t>
      </w:r>
      <w:r w:rsidR="00002EAC" w:rsidRPr="00A67BF3">
        <w:t xml:space="preserve">Forecast Pool Requirement, and </w:t>
      </w:r>
      <w:r w:rsidR="00002EAC" w:rsidRPr="00A67BF3">
        <w:lastRenderedPageBreak/>
        <w:t>losses.</w:t>
      </w:r>
      <w:r w:rsidR="00002EAC" w:rsidRPr="00A67BF3">
        <w:rPr>
          <w:rStyle w:val="FootnoteReference"/>
        </w:rPr>
        <w:footnoteReference w:id="16"/>
      </w:r>
      <w:r w:rsidR="00002EAC" w:rsidRPr="00A67BF3">
        <w:t xml:space="preserve">  The staff admitted that</w:t>
      </w:r>
      <w:r w:rsidR="00002EAC">
        <w:t xml:space="preserve"> the scaling factor, Forecast Pool Requirement, and losses were not considered</w:t>
      </w:r>
      <w:r w:rsidR="00601736">
        <w:t xml:space="preserve"> in its analysis as staff did not believe the inclusion of these adders is appropriate for the purpose of developing an MRO</w:t>
      </w:r>
      <w:r w:rsidR="00002EAC" w:rsidRPr="00A67BF3">
        <w:rPr>
          <w:rStyle w:val="FootnoteReference"/>
        </w:rPr>
        <w:footnoteReference w:id="17"/>
      </w:r>
      <w:r w:rsidR="008178EA">
        <w:t>,</w:t>
      </w:r>
      <w:r w:rsidR="00002EAC">
        <w:t xml:space="preserve"> however,</w:t>
      </w:r>
      <w:r w:rsidR="00002EAC" w:rsidRPr="00A67BF3">
        <w:t xml:space="preserve"> </w:t>
      </w:r>
      <w:r w:rsidR="00601736">
        <w:t xml:space="preserve">to the extent such adders were </w:t>
      </w:r>
      <w:r w:rsidR="002078F7">
        <w:t xml:space="preserve">erroneously </w:t>
      </w:r>
      <w:r w:rsidR="00601736">
        <w:t xml:space="preserve">included </w:t>
      </w:r>
      <w:r w:rsidR="002078F7">
        <w:t xml:space="preserve">in the development of an MRO, </w:t>
      </w:r>
      <w:r w:rsidR="00002EAC" w:rsidRPr="00A67BF3">
        <w:t>the</w:t>
      </w:r>
      <w:r w:rsidR="00002EAC">
        <w:t xml:space="preserve"> impact these </w:t>
      </w:r>
      <w:r w:rsidR="002078F7">
        <w:t xml:space="preserve">adders </w:t>
      </w:r>
      <w:r w:rsidR="00002EAC">
        <w:t>had</w:t>
      </w:r>
      <w:r w:rsidR="00002EAC" w:rsidRPr="00A67BF3">
        <w:t xml:space="preserve"> </w:t>
      </w:r>
      <w:r w:rsidR="002078F7">
        <w:t xml:space="preserve">on </w:t>
      </w:r>
      <w:r w:rsidR="00002EAC" w:rsidRPr="00A67BF3">
        <w:t>staff’s analysis</w:t>
      </w:r>
      <w:r w:rsidR="00002EAC">
        <w:t xml:space="preserve"> </w:t>
      </w:r>
      <w:r w:rsidR="002078F7">
        <w:t xml:space="preserve">results would have been </w:t>
      </w:r>
      <w:r w:rsidR="002078F7" w:rsidRPr="00833849">
        <w:rPr>
          <w:i/>
        </w:rPr>
        <w:t>de minimis</w:t>
      </w:r>
      <w:r w:rsidR="00002EAC" w:rsidRPr="00A67BF3">
        <w:t xml:space="preserve">.  </w:t>
      </w:r>
      <w:r w:rsidR="00002EAC">
        <w:t xml:space="preserve">On cross examination, </w:t>
      </w:r>
      <w:r w:rsidR="00002EAC" w:rsidRPr="00A67BF3">
        <w:t>Mr. Fortney testified</w:t>
      </w:r>
      <w:r w:rsidR="00002EAC">
        <w:t xml:space="preserve"> that</w:t>
      </w:r>
      <w:r w:rsidR="00002EAC" w:rsidRPr="00A67BF3">
        <w:t>:</w:t>
      </w:r>
    </w:p>
    <w:p w:rsidR="00002EAC" w:rsidRDefault="00002EAC" w:rsidP="00DC3CC2">
      <w:pPr>
        <w:pStyle w:val="Blockquote"/>
      </w:pPr>
      <w:r>
        <w:t>…</w:t>
      </w:r>
      <w:r w:rsidRPr="00A67BF3">
        <w:t>using the scalers, loss factors, whatever those three com</w:t>
      </w:r>
      <w:r w:rsidR="00BE335A">
        <w:softHyphen/>
      </w:r>
      <w:r w:rsidRPr="00A67BF3">
        <w:t>ponents were, becomes $20 million better than it previously was, but it still exceeds the cost of the MRO by $445 mil</w:t>
      </w:r>
      <w:r w:rsidR="00D55143">
        <w:softHyphen/>
      </w:r>
      <w:r w:rsidRPr="00A67BF3">
        <w:t>lion.</w:t>
      </w:r>
      <w:r>
        <w:rPr>
          <w:rStyle w:val="FootnoteReference"/>
        </w:rPr>
        <w:footnoteReference w:id="18"/>
      </w:r>
      <w:r w:rsidRPr="00A67BF3">
        <w:t xml:space="preserve">  </w:t>
      </w:r>
    </w:p>
    <w:p w:rsidR="00002EAC" w:rsidRPr="005C7DD6" w:rsidRDefault="006B772D" w:rsidP="00BE335A">
      <w:pPr>
        <w:pStyle w:val="textstyle0"/>
      </w:pPr>
      <w:r>
        <w:t>E</w:t>
      </w:r>
      <w:r w:rsidR="00002EAC">
        <w:t xml:space="preserve">ven with these items considered, the ESP price still exceeds the MRO by $445 million, failing the MRO versus ESP </w:t>
      </w:r>
      <w:r w:rsidR="002078F7">
        <w:t xml:space="preserve">quantitative </w:t>
      </w:r>
      <w:r w:rsidR="00002EAC">
        <w:t xml:space="preserve">test.    </w:t>
      </w:r>
    </w:p>
    <w:p w:rsidR="004A2658" w:rsidRPr="0007062F" w:rsidRDefault="0007062F" w:rsidP="0007062F">
      <w:pPr>
        <w:pStyle w:val="Heading3"/>
        <w:ind w:left="720"/>
        <w:rPr>
          <w:rFonts w:eastAsia="Times New Roman"/>
        </w:rPr>
      </w:pPr>
      <w:bookmarkStart w:id="6" w:name="_Toc329612761"/>
      <w:r>
        <w:rPr>
          <w:rFonts w:eastAsia="Times New Roman"/>
        </w:rPr>
        <w:t>C.</w:t>
      </w:r>
      <w:r>
        <w:rPr>
          <w:rFonts w:eastAsia="Times New Roman"/>
        </w:rPr>
        <w:tab/>
      </w:r>
      <w:r w:rsidR="004A2658" w:rsidRPr="0007062F">
        <w:rPr>
          <w:rFonts w:eastAsia="Times New Roman"/>
        </w:rPr>
        <w:t>Qualitative Considerations.</w:t>
      </w:r>
      <w:bookmarkEnd w:id="6"/>
      <w:r w:rsidR="004A2658" w:rsidRPr="0007062F">
        <w:rPr>
          <w:rFonts w:eastAsia="Times New Roman"/>
        </w:rPr>
        <w:t xml:space="preserve"> </w:t>
      </w:r>
    </w:p>
    <w:p w:rsidR="004A2658" w:rsidRDefault="00002EAC" w:rsidP="004A2658">
      <w:pPr>
        <w:pStyle w:val="question"/>
        <w:tabs>
          <w:tab w:val="clear" w:pos="720"/>
        </w:tabs>
        <w:ind w:left="0" w:firstLine="720"/>
      </w:pPr>
      <w:r>
        <w:t>T</w:t>
      </w:r>
      <w:r w:rsidR="004A2658">
        <w:t xml:space="preserve">he Commission </w:t>
      </w:r>
      <w:r w:rsidR="005A6F21">
        <w:t>may</w:t>
      </w:r>
      <w:r w:rsidR="004A2658">
        <w:t xml:space="preserve"> also take </w:t>
      </w:r>
      <w:r w:rsidR="005A6F21">
        <w:t xml:space="preserve">qualitative factors </w:t>
      </w:r>
      <w:r w:rsidR="004A2658">
        <w:t>into consideration that may jus</w:t>
      </w:r>
      <w:r w:rsidR="00D55143">
        <w:softHyphen/>
      </w:r>
      <w:r w:rsidR="004A2658">
        <w:t>tify approval of the plan in some form</w:t>
      </w:r>
      <w:r w:rsidR="00D55143">
        <w:t xml:space="preserve">.  </w:t>
      </w:r>
      <w:r>
        <w:t xml:space="preserve">A number of such “benefits” were espoused, both by the Company and by staff. </w:t>
      </w:r>
    </w:p>
    <w:p w:rsidR="00E857A4" w:rsidRDefault="00DC3CC2" w:rsidP="00BE335A">
      <w:pPr>
        <w:pStyle w:val="textstyle0"/>
      </w:pPr>
      <w:r>
        <w:tab/>
      </w:r>
      <w:r w:rsidR="00002EAC">
        <w:t>S</w:t>
      </w:r>
      <w:r w:rsidR="00C00DAC">
        <w:t xml:space="preserve">taff witness Fortney testified that </w:t>
      </w:r>
      <w:r w:rsidR="005A6F21">
        <w:t>a</w:t>
      </w:r>
      <w:r w:rsidR="004A2658" w:rsidRPr="004A2658">
        <w:t xml:space="preserve"> move to a full market rate c</w:t>
      </w:r>
      <w:r w:rsidR="005A6F21">
        <w:t>ould</w:t>
      </w:r>
      <w:r w:rsidR="004A2658" w:rsidRPr="004A2658">
        <w:t xml:space="preserve"> be achieved more quickly than through the blending phase-in of an MRO</w:t>
      </w:r>
      <w:r w:rsidR="00D55143" w:rsidRPr="004A2658">
        <w:t xml:space="preserve">.  </w:t>
      </w:r>
      <w:r w:rsidR="00D060DA">
        <w:t>Staff supports the Com</w:t>
      </w:r>
      <w:r w:rsidR="00D55143">
        <w:softHyphen/>
      </w:r>
      <w:r w:rsidR="00D060DA">
        <w:t xml:space="preserve">pany’s efforts to move to a fully competitive auction-based SSO structure, and agrees that </w:t>
      </w:r>
      <w:r w:rsidR="00D060DA">
        <w:lastRenderedPageBreak/>
        <w:t>an ESP would permit the Company to do so more quickly than an MRO.</w:t>
      </w:r>
      <w:r w:rsidR="00D060DA" w:rsidRPr="008178EA">
        <w:rPr>
          <w:vertAlign w:val="superscript"/>
        </w:rPr>
        <w:footnoteReference w:id="19"/>
      </w:r>
      <w:r w:rsidR="00D060DA">
        <w:t xml:space="preserve"> </w:t>
      </w:r>
      <w:r>
        <w:t xml:space="preserve"> </w:t>
      </w:r>
      <w:r w:rsidR="00D060DA">
        <w:t xml:space="preserve">Although the staff applauds the effort to introduce </w:t>
      </w:r>
      <w:r w:rsidR="00D060DA" w:rsidRPr="00D060DA">
        <w:t xml:space="preserve">competitive SSO energy procurement before 2015, </w:t>
      </w:r>
      <w:r w:rsidR="00D060DA">
        <w:t xml:space="preserve">it would still prefer to see a much more aggressive transition to </w:t>
      </w:r>
      <w:r w:rsidR="007D5805">
        <w:t>auction-based pricing</w:t>
      </w:r>
      <w:r w:rsidR="00D55143">
        <w:t xml:space="preserve">.  </w:t>
      </w:r>
      <w:r w:rsidR="007D5805">
        <w:t>While a more efficient move to competition is not “required under current law,”</w:t>
      </w:r>
      <w:r w:rsidR="007D5805">
        <w:rPr>
          <w:rStyle w:val="FootnoteReference"/>
        </w:rPr>
        <w:footnoteReference w:id="20"/>
      </w:r>
      <w:r w:rsidR="007D5805">
        <w:t xml:space="preserve"> staff believes that it is consistent with the policy of the State of Ohio, and the Commission’s overall mission to protect EDUs, their customers, and statewide devel</w:t>
      </w:r>
      <w:r w:rsidR="00D55143">
        <w:softHyphen/>
      </w:r>
      <w:r w:rsidR="007D5805">
        <w:t xml:space="preserve">opment as a whole. </w:t>
      </w:r>
    </w:p>
    <w:p w:rsidR="00E857A4" w:rsidRDefault="00DC3CC2" w:rsidP="00BE335A">
      <w:pPr>
        <w:pStyle w:val="textstyle0"/>
      </w:pPr>
      <w:r>
        <w:tab/>
      </w:r>
      <w:r w:rsidR="00D060DA">
        <w:t>Staff agrees with the Company that t</w:t>
      </w:r>
      <w:r w:rsidR="00C00DAC">
        <w:t xml:space="preserve">he proposed ESP would </w:t>
      </w:r>
      <w:r w:rsidR="00D060DA">
        <w:t>improve</w:t>
      </w:r>
      <w:r w:rsidR="004A2658" w:rsidRPr="004A2658">
        <w:t xml:space="preserve"> rate cer</w:t>
      </w:r>
      <w:r w:rsidR="00D55143">
        <w:softHyphen/>
      </w:r>
      <w:r w:rsidR="004A2658" w:rsidRPr="004A2658">
        <w:t xml:space="preserve">tainty and stability </w:t>
      </w:r>
      <w:r w:rsidR="00C00DAC">
        <w:t>during the transition</w:t>
      </w:r>
      <w:r w:rsidR="00D55143">
        <w:t>.</w:t>
      </w:r>
      <w:r w:rsidR="00D55143" w:rsidRPr="004A2658">
        <w:t xml:space="preserve">  </w:t>
      </w:r>
      <w:r w:rsidR="00D060DA">
        <w:t xml:space="preserve">As the Company properly noted, the proposal certainly </w:t>
      </w:r>
      <w:r w:rsidR="00E857A4" w:rsidRPr="00E857A4">
        <w:t>simplifies the number and operation of the</w:t>
      </w:r>
      <w:r w:rsidR="00D060DA">
        <w:t xml:space="preserve"> </w:t>
      </w:r>
      <w:r w:rsidR="00E857A4" w:rsidRPr="00E857A4">
        <w:t>proposed generation service riders.</w:t>
      </w:r>
      <w:r w:rsidR="00D060DA">
        <w:rPr>
          <w:rStyle w:val="FootnoteReference"/>
        </w:rPr>
        <w:footnoteReference w:id="21"/>
      </w:r>
      <w:r w:rsidR="00E857A4" w:rsidRPr="00E857A4">
        <w:t xml:space="preserve"> </w:t>
      </w:r>
      <w:r w:rsidR="00CE067A">
        <w:t>T</w:t>
      </w:r>
      <w:r w:rsidR="00D060DA">
        <w:t xml:space="preserve">he Company’s plan </w:t>
      </w:r>
      <w:r w:rsidR="00E857A4" w:rsidRPr="00E857A4">
        <w:t>fixe</w:t>
      </w:r>
      <w:r w:rsidR="00D060DA">
        <w:t>s</w:t>
      </w:r>
      <w:r w:rsidR="00E857A4" w:rsidRPr="00E857A4">
        <w:t xml:space="preserve"> base generation rates during the pre-auction period of the ESP. </w:t>
      </w:r>
      <w:r w:rsidR="00D060DA">
        <w:t xml:space="preserve">While IEU-Ohio </w:t>
      </w:r>
      <w:r w:rsidR="00D741AF">
        <w:t>claims</w:t>
      </w:r>
      <w:r w:rsidR="00D060DA">
        <w:t xml:space="preserve"> </w:t>
      </w:r>
      <w:r w:rsidR="008178EA">
        <w:t>that the various riders may well make bills less predictable</w:t>
      </w:r>
      <w:r w:rsidR="008178EA">
        <w:rPr>
          <w:rStyle w:val="FootnoteReference"/>
        </w:rPr>
        <w:footnoteReference w:id="22"/>
      </w:r>
      <w:r w:rsidR="00D060DA">
        <w:t xml:space="preserve">, staff believes that </w:t>
      </w:r>
      <w:r w:rsidR="00D741AF">
        <w:t xml:space="preserve">rate </w:t>
      </w:r>
      <w:r w:rsidR="00D060DA">
        <w:t xml:space="preserve">certainty and stability would be enhanced by adopting a modified version of the Company’s plan. </w:t>
      </w:r>
    </w:p>
    <w:p w:rsidR="000A5A7A" w:rsidRDefault="00DC3CC2" w:rsidP="00BE335A">
      <w:pPr>
        <w:pStyle w:val="textstyle0"/>
      </w:pPr>
      <w:r>
        <w:tab/>
      </w:r>
      <w:r w:rsidR="00145DDC">
        <w:t xml:space="preserve">Finally, Mr. Fortney noted that </w:t>
      </w:r>
      <w:r w:rsidR="00145DDC" w:rsidRPr="004A2658">
        <w:t xml:space="preserve">the </w:t>
      </w:r>
      <w:r w:rsidR="005A6F21">
        <w:t xml:space="preserve">proposed </w:t>
      </w:r>
      <w:r w:rsidR="00145DDC" w:rsidRPr="004A2658">
        <w:t>GRR provides a mechanism</w:t>
      </w:r>
      <w:r w:rsidR="00145DDC">
        <w:t xml:space="preserve"> </w:t>
      </w:r>
      <w:r w:rsidR="00145DDC" w:rsidRPr="004A2658">
        <w:t>to allow for the construction of</w:t>
      </w:r>
      <w:r w:rsidR="00145DDC">
        <w:t xml:space="preserve"> </w:t>
      </w:r>
      <w:r w:rsidR="00145DDC" w:rsidRPr="004A2658">
        <w:t>additional</w:t>
      </w:r>
      <w:r w:rsidR="00145DDC">
        <w:t xml:space="preserve">ly needed future generation </w:t>
      </w:r>
      <w:r w:rsidR="00145DDC" w:rsidRPr="004A2658">
        <w:t>facilities</w:t>
      </w:r>
      <w:r w:rsidR="00D55143">
        <w:t xml:space="preserve">.  </w:t>
      </w:r>
      <w:r w:rsidR="00E857A4">
        <w:t xml:space="preserve">As the Company properly noted in its brief, it must still demonstrate how any </w:t>
      </w:r>
      <w:r w:rsidR="00E857A4" w:rsidRPr="00E857A4">
        <w:t>proposed project satisfies</w:t>
      </w:r>
      <w:r w:rsidR="00E857A4">
        <w:t xml:space="preserve"> </w:t>
      </w:r>
      <w:r w:rsidR="00E857A4" w:rsidRPr="00E857A4">
        <w:t xml:space="preserve">all </w:t>
      </w:r>
      <w:r w:rsidR="000A5A7A">
        <w:br w:type="page"/>
      </w:r>
    </w:p>
    <w:p w:rsidR="00E857A4" w:rsidRPr="00E857A4" w:rsidRDefault="00E857A4" w:rsidP="00BE335A">
      <w:pPr>
        <w:pStyle w:val="textstyle0"/>
      </w:pPr>
      <w:r w:rsidRPr="00E857A4">
        <w:lastRenderedPageBreak/>
        <w:t>applicable requirements s</w:t>
      </w:r>
      <w:r>
        <w:t>et forth in R.C. 4928.143(B)(2) before obtaining cost recov</w:t>
      </w:r>
      <w:r w:rsidR="00D55143">
        <w:softHyphen/>
      </w:r>
      <w:r>
        <w:t>ery.</w:t>
      </w:r>
      <w:r>
        <w:rPr>
          <w:rStyle w:val="FootnoteReference"/>
        </w:rPr>
        <w:footnoteReference w:id="23"/>
      </w:r>
      <w:r>
        <w:t xml:space="preserve"> All parties would retain the ability to challenge the inclusion of costs in the rider. If, as IEU-Ohio argues</w:t>
      </w:r>
      <w:r w:rsidR="008178EA">
        <w:rPr>
          <w:rStyle w:val="FootnoteReference"/>
        </w:rPr>
        <w:footnoteReference w:id="24"/>
      </w:r>
      <w:r>
        <w:t>, there truly is no need for additional generation resources, the General Assembly has provided the Commission with the authority to “</w:t>
      </w:r>
      <w:r w:rsidRPr="00E857A4">
        <w:t>a non-zero charge for inclusion in the GRR.</w:t>
      </w:r>
      <w:r>
        <w:t>”</w:t>
      </w:r>
      <w:r>
        <w:rPr>
          <w:rStyle w:val="FootnoteReference"/>
        </w:rPr>
        <w:footnoteReference w:id="25"/>
      </w:r>
    </w:p>
    <w:p w:rsidR="00BE229F" w:rsidRPr="003C72A8" w:rsidRDefault="00BE229F" w:rsidP="00DC3CC2">
      <w:pPr>
        <w:pStyle w:val="Heading2"/>
      </w:pPr>
      <w:bookmarkStart w:id="7" w:name="_Toc329612762"/>
      <w:r w:rsidRPr="003C72A8">
        <w:t>Standard Service Offer Rate Provisions of the Modified ESP</w:t>
      </w:r>
      <w:bookmarkEnd w:id="7"/>
    </w:p>
    <w:p w:rsidR="00BE229F" w:rsidRPr="003C72A8" w:rsidRDefault="00DC3CC2" w:rsidP="0007062F">
      <w:pPr>
        <w:pStyle w:val="Heading3"/>
      </w:pPr>
      <w:bookmarkStart w:id="8" w:name="_Toc329612763"/>
      <w:r>
        <w:t>A.</w:t>
      </w:r>
      <w:r w:rsidR="00643C1B">
        <w:tab/>
      </w:r>
      <w:r w:rsidR="00BE229F" w:rsidRPr="003C72A8">
        <w:t>Generation Rates</w:t>
      </w:r>
      <w:bookmarkEnd w:id="8"/>
    </w:p>
    <w:p w:rsidR="00BE229F" w:rsidRPr="003C72A8" w:rsidRDefault="00BE229F" w:rsidP="0007062F">
      <w:pPr>
        <w:pStyle w:val="Heading4"/>
      </w:pPr>
      <w:bookmarkStart w:id="9" w:name="_Toc329612764"/>
      <w:r w:rsidRPr="003C72A8">
        <w:t xml:space="preserve">1. </w:t>
      </w:r>
      <w:r w:rsidR="00643C1B">
        <w:tab/>
      </w:r>
      <w:r w:rsidRPr="003C72A8">
        <w:t>SSO Generation Service Rider (base generation rate)</w:t>
      </w:r>
      <w:bookmarkEnd w:id="9"/>
    </w:p>
    <w:p w:rsidR="007D5805" w:rsidRDefault="0007062F" w:rsidP="00BE335A">
      <w:pPr>
        <w:pStyle w:val="textstyle0"/>
      </w:pPr>
      <w:r>
        <w:tab/>
      </w:r>
      <w:r w:rsidR="00080FB6" w:rsidRPr="003C72A8">
        <w:t xml:space="preserve">The Company </w:t>
      </w:r>
      <w:r w:rsidR="00BE229F" w:rsidRPr="003C72A8">
        <w:t>has proposed to freeze current non-fuel generation rates until such time as those rates are established through a competitive bidding process</w:t>
      </w:r>
      <w:r w:rsidR="00D55143" w:rsidRPr="003C72A8">
        <w:t xml:space="preserve">.  </w:t>
      </w:r>
      <w:r w:rsidR="00080FB6" w:rsidRPr="003C72A8">
        <w:t>It</w:t>
      </w:r>
      <w:r w:rsidR="007D5805">
        <w:t>s only</w:t>
      </w:r>
      <w:r w:rsidR="00BE229F" w:rsidRPr="003C72A8">
        <w:t xml:space="preserve"> pro</w:t>
      </w:r>
      <w:r w:rsidR="00D55143">
        <w:softHyphen/>
      </w:r>
      <w:r w:rsidR="00BE229F" w:rsidRPr="003C72A8">
        <w:t>pos</w:t>
      </w:r>
      <w:r w:rsidR="007D5805">
        <w:t xml:space="preserve">ed change is </w:t>
      </w:r>
      <w:r w:rsidR="00BE229F" w:rsidRPr="003C72A8">
        <w:t xml:space="preserve">to bundle the current Environmental Investment Carrying Charge Rider (EICCR) </w:t>
      </w:r>
      <w:r w:rsidR="007D5805">
        <w:t>into</w:t>
      </w:r>
      <w:r w:rsidR="00BE229F" w:rsidRPr="003C72A8">
        <w:t xml:space="preserve"> the base generation rates.</w:t>
      </w:r>
      <w:r w:rsidR="00080FB6" w:rsidRPr="003C72A8">
        <w:t xml:space="preserve"> </w:t>
      </w:r>
    </w:p>
    <w:p w:rsidR="007D5805" w:rsidRDefault="0007062F" w:rsidP="00BE335A">
      <w:pPr>
        <w:pStyle w:val="textstyle0"/>
      </w:pPr>
      <w:r>
        <w:tab/>
      </w:r>
      <w:r w:rsidR="007D5805" w:rsidRPr="007D5805">
        <w:t>Staff agrees that the Company’s proposal to freeze base generation rates until those rates are established through a competitive bidding process is reasonable</w:t>
      </w:r>
      <w:r w:rsidR="00821485">
        <w:t xml:space="preserve"> and there</w:t>
      </w:r>
      <w:r w:rsidR="00D55143">
        <w:softHyphen/>
      </w:r>
      <w:r w:rsidR="00821485">
        <w:t>fore</w:t>
      </w:r>
      <w:r w:rsidR="007D5805" w:rsidRPr="007D5805">
        <w:t xml:space="preserve"> provides rate stability and certainty for customers.</w:t>
      </w:r>
    </w:p>
    <w:p w:rsidR="00BE229F" w:rsidRPr="003C72A8" w:rsidRDefault="0007062F" w:rsidP="0007062F">
      <w:pPr>
        <w:pStyle w:val="Heading4"/>
      </w:pPr>
      <w:bookmarkStart w:id="10" w:name="_Toc329612765"/>
      <w:r>
        <w:lastRenderedPageBreak/>
        <w:t>2.</w:t>
      </w:r>
      <w:r w:rsidR="00643C1B">
        <w:tab/>
      </w:r>
      <w:r w:rsidR="00BE229F" w:rsidRPr="003C72A8">
        <w:t>Fuel Adjustment Clause</w:t>
      </w:r>
      <w:bookmarkEnd w:id="10"/>
    </w:p>
    <w:p w:rsidR="00E9474A" w:rsidRDefault="0007062F" w:rsidP="00BE335A">
      <w:pPr>
        <w:pStyle w:val="textstyle0"/>
      </w:pPr>
      <w:r>
        <w:tab/>
      </w:r>
      <w:r w:rsidR="007D5805">
        <w:t xml:space="preserve">Staff has expressed its agreement with the Company’s </w:t>
      </w:r>
      <w:r w:rsidR="00BE229F" w:rsidRPr="003C72A8">
        <w:t>propos</w:t>
      </w:r>
      <w:r w:rsidR="007D5805">
        <w:t xml:space="preserve">al to </w:t>
      </w:r>
      <w:r w:rsidR="00BE229F" w:rsidRPr="003C72A8">
        <w:t>continu</w:t>
      </w:r>
      <w:r w:rsidR="007D5805">
        <w:t xml:space="preserve">e its </w:t>
      </w:r>
      <w:r w:rsidR="00BE229F" w:rsidRPr="003C72A8">
        <w:t>Fuel Adjustment Clause (FAC</w:t>
      </w:r>
      <w:r w:rsidR="00855AFC" w:rsidRPr="003C72A8">
        <w:t>)</w:t>
      </w:r>
      <w:r w:rsidR="007D5805">
        <w:t xml:space="preserve">, modified to </w:t>
      </w:r>
      <w:r w:rsidR="00BE229F" w:rsidRPr="003C72A8">
        <w:t>remov</w:t>
      </w:r>
      <w:r w:rsidR="00E9474A">
        <w:t xml:space="preserve">e </w:t>
      </w:r>
      <w:r w:rsidR="00BE229F" w:rsidRPr="003C72A8">
        <w:t xml:space="preserve">renewable energy credits (RECs) </w:t>
      </w:r>
      <w:r w:rsidR="00E9474A">
        <w:t xml:space="preserve">and </w:t>
      </w:r>
      <w:r w:rsidR="00BE229F" w:rsidRPr="003C72A8">
        <w:t>unify</w:t>
      </w:r>
      <w:r w:rsidR="00E9474A">
        <w:t>ing</w:t>
      </w:r>
      <w:r w:rsidR="00BE229F" w:rsidRPr="003C72A8">
        <w:t xml:space="preserve"> the rates into a single set of merged rates</w:t>
      </w:r>
      <w:r w:rsidR="00D55143" w:rsidRPr="003C72A8">
        <w:t xml:space="preserve">.  </w:t>
      </w:r>
      <w:r w:rsidR="00E9474A">
        <w:t>While staff supports these pro</w:t>
      </w:r>
      <w:r w:rsidR="00D55143">
        <w:softHyphen/>
      </w:r>
      <w:r w:rsidR="00E9474A">
        <w:t xml:space="preserve">posals, it reiterates its position that the Company should be supplying SSO load, or at least a substantially greater portion of it, through an auction process or processes during </w:t>
      </w:r>
      <w:r w:rsidR="007D5805" w:rsidRPr="00E9474A">
        <w:t>the period of the ESP between corporation separation (January 1, 2014) and the</w:t>
      </w:r>
      <w:r w:rsidR="00E9474A" w:rsidRPr="00E9474A">
        <w:t xml:space="preserve"> </w:t>
      </w:r>
      <w:r w:rsidR="007D5805" w:rsidRPr="00E9474A">
        <w:t>2015 full req</w:t>
      </w:r>
      <w:r w:rsidR="00E9474A" w:rsidRPr="00E9474A">
        <w:t>uirements auction.</w:t>
      </w:r>
    </w:p>
    <w:p w:rsidR="00E9474A" w:rsidRPr="003C72A8" w:rsidRDefault="0007062F" w:rsidP="00BE335A">
      <w:pPr>
        <w:pStyle w:val="textstyle0"/>
      </w:pPr>
      <w:r>
        <w:tab/>
      </w:r>
      <w:r w:rsidR="00E9474A" w:rsidRPr="00E9474A">
        <w:t>The Company is also proposing, however, to delay unification of the FAC rates until June 2013 to coincide with the implementation of the Phase-In Recovery Rider (PIRR)</w:t>
      </w:r>
      <w:r w:rsidR="00D55143" w:rsidRPr="00E9474A">
        <w:t xml:space="preserve">.  </w:t>
      </w:r>
      <w:r w:rsidR="00E9474A" w:rsidRPr="00E9474A">
        <w:t>It correctly notes that staff witness Turkenton also recommended merging the FAC rates and agrees that the FAC and PIRR should be unified simultaneously.</w:t>
      </w:r>
      <w:r w:rsidR="00E9474A">
        <w:rPr>
          <w:rStyle w:val="FootnoteReference"/>
        </w:rPr>
        <w:footnoteReference w:id="26"/>
      </w:r>
      <w:r w:rsidR="00E9474A">
        <w:t xml:space="preserve"> But as s</w:t>
      </w:r>
      <w:r w:rsidR="00E9474A" w:rsidRPr="003C72A8">
        <w:t xml:space="preserve">taff </w:t>
      </w:r>
      <w:r w:rsidR="00E9474A">
        <w:t xml:space="preserve">noted in its initial brief, it </w:t>
      </w:r>
      <w:r w:rsidR="00E9474A" w:rsidRPr="003C72A8">
        <w:t>reco</w:t>
      </w:r>
      <w:r w:rsidR="00E9474A">
        <w:t xml:space="preserve">mmends that the Company should </w:t>
      </w:r>
      <w:r w:rsidR="00E9474A" w:rsidRPr="003C72A8">
        <w:t xml:space="preserve">merge their FAC rates and implement the merged PIRR without delay. </w:t>
      </w:r>
      <w:r w:rsidR="00E9474A">
        <w:t>T</w:t>
      </w:r>
      <w:r w:rsidR="00E9474A" w:rsidRPr="003C72A8">
        <w:t xml:space="preserve">he delay </w:t>
      </w:r>
      <w:r w:rsidR="00E9474A">
        <w:t>proposed by the Com</w:t>
      </w:r>
      <w:r w:rsidR="00D55143">
        <w:softHyphen/>
      </w:r>
      <w:r w:rsidR="00E9474A">
        <w:t xml:space="preserve">pany </w:t>
      </w:r>
      <w:r w:rsidR="00E9474A" w:rsidRPr="003C72A8">
        <w:t xml:space="preserve">would result in the </w:t>
      </w:r>
      <w:r w:rsidR="00E9474A">
        <w:t xml:space="preserve">unnecessary </w:t>
      </w:r>
      <w:r w:rsidR="00E9474A" w:rsidRPr="003C72A8">
        <w:t>imposition of an additional $71M in carrying charges.</w:t>
      </w:r>
      <w:r w:rsidR="00E9474A">
        <w:rPr>
          <w:rStyle w:val="FootnoteReference"/>
        </w:rPr>
        <w:footnoteReference w:id="27"/>
      </w:r>
      <w:r w:rsidR="00E9474A" w:rsidRPr="003C72A8">
        <w:t xml:space="preserve"> The Company should be directed to merge both its FAC and the PIRR rates, and start collection as soon as practicable following a Commission order in this case</w:t>
      </w:r>
      <w:r w:rsidR="00D55143" w:rsidRPr="003C72A8">
        <w:t xml:space="preserve">.  </w:t>
      </w:r>
      <w:r w:rsidR="00E9474A" w:rsidRPr="003C72A8">
        <w:t>And the Company should be denied the recovery of carrying costs since it voluntarily elected to delay collections that were supposed to begin January 1, 2012.</w:t>
      </w:r>
    </w:p>
    <w:p w:rsidR="00BE229F" w:rsidRPr="003C72A8" w:rsidRDefault="00BE229F" w:rsidP="0007062F">
      <w:pPr>
        <w:pStyle w:val="Heading4"/>
      </w:pPr>
      <w:bookmarkStart w:id="11" w:name="_Toc329612766"/>
      <w:r w:rsidRPr="003C72A8">
        <w:lastRenderedPageBreak/>
        <w:t xml:space="preserve">3. </w:t>
      </w:r>
      <w:r w:rsidR="00643C1B">
        <w:tab/>
      </w:r>
      <w:r w:rsidRPr="003C72A8">
        <w:t>Alternative Energy Rider</w:t>
      </w:r>
      <w:bookmarkEnd w:id="11"/>
    </w:p>
    <w:p w:rsidR="00EA56D6" w:rsidRPr="003C72A8" w:rsidRDefault="0007062F" w:rsidP="00BE335A">
      <w:pPr>
        <w:pStyle w:val="textstyle0"/>
      </w:pPr>
      <w:r>
        <w:tab/>
      </w:r>
      <w:r w:rsidR="00BE229F" w:rsidRPr="003C72A8">
        <w:t>The Company proposes establishing a bypassable Alternative Energy Rider (AER) for recovery of REC expense</w:t>
      </w:r>
      <w:r w:rsidR="00D55143" w:rsidRPr="003C72A8">
        <w:t xml:space="preserve">.  </w:t>
      </w:r>
      <w:r w:rsidR="00EA56D6" w:rsidRPr="003C72A8">
        <w:t xml:space="preserve">Staff </w:t>
      </w:r>
      <w:r w:rsidR="00E9474A">
        <w:t xml:space="preserve">noted in its initial brief that it </w:t>
      </w:r>
      <w:r w:rsidR="00EA56D6" w:rsidRPr="003C72A8">
        <w:t>generally supports the concept of separately identifying and recovering costs associated wit</w:t>
      </w:r>
      <w:r w:rsidR="00E9474A">
        <w:t>h renewable energy requirements, but</w:t>
      </w:r>
      <w:r w:rsidR="00EA56D6" w:rsidRPr="003C72A8">
        <w:t xml:space="preserve"> recommend</w:t>
      </w:r>
      <w:r w:rsidR="00E9474A">
        <w:t>ed</w:t>
      </w:r>
      <w:r w:rsidR="00EA56D6" w:rsidRPr="003C72A8">
        <w:t xml:space="preserve"> that </w:t>
      </w:r>
      <w:r w:rsidR="00E9474A">
        <w:t xml:space="preserve">an </w:t>
      </w:r>
      <w:r w:rsidR="00EA56D6" w:rsidRPr="003C72A8">
        <w:t>auditing procedure be established</w:t>
      </w:r>
      <w:r w:rsidR="00E9474A">
        <w:t xml:space="preserve">. The Company noted staff </w:t>
      </w:r>
      <w:r w:rsidR="00CD4EE6">
        <w:t>agreement, and voiced no objection to staff witness Strom’s audit proposals,</w:t>
      </w:r>
      <w:r w:rsidR="00CD4EE6">
        <w:rPr>
          <w:rStyle w:val="FootnoteReference"/>
        </w:rPr>
        <w:footnoteReference w:id="28"/>
      </w:r>
      <w:r w:rsidR="00CD4EE6">
        <w:t xml:space="preserve"> which the Commission should adopt as proposed. </w:t>
      </w:r>
    </w:p>
    <w:p w:rsidR="00BE229F" w:rsidRPr="003C72A8" w:rsidRDefault="0007062F" w:rsidP="0007062F">
      <w:pPr>
        <w:pStyle w:val="Heading4"/>
      </w:pPr>
      <w:bookmarkStart w:id="12" w:name="_Toc329612767"/>
      <w:r>
        <w:t>4.</w:t>
      </w:r>
      <w:r w:rsidR="00643C1B">
        <w:tab/>
      </w:r>
      <w:r w:rsidR="00BE229F" w:rsidRPr="003C72A8">
        <w:t>Generation Resource Rider</w:t>
      </w:r>
      <w:bookmarkEnd w:id="12"/>
    </w:p>
    <w:p w:rsidR="009E7E92" w:rsidRPr="004B44B5" w:rsidRDefault="0007062F" w:rsidP="00BE335A">
      <w:pPr>
        <w:pStyle w:val="textstyle0"/>
      </w:pPr>
      <w:r>
        <w:tab/>
      </w:r>
      <w:r w:rsidR="00BE229F" w:rsidRPr="003C72A8">
        <w:t>The Company proposes establishing a new non</w:t>
      </w:r>
      <w:r w:rsidR="00893026">
        <w:t>-</w:t>
      </w:r>
      <w:r w:rsidR="00BE229F" w:rsidRPr="003C72A8">
        <w:t>bypassable Generation Resource Rider (GRR) to collect costs associated with investment in generating facilities i</w:t>
      </w:r>
      <w:r w:rsidR="006218D9">
        <w:t>n accord</w:t>
      </w:r>
      <w:r w:rsidR="00D55143">
        <w:softHyphen/>
      </w:r>
      <w:r w:rsidR="006218D9">
        <w:t xml:space="preserve">ance with </w:t>
      </w:r>
      <w:r w:rsidR="006218D9" w:rsidRPr="003C72A8">
        <w:t>Ohio Rev</w:t>
      </w:r>
      <w:r>
        <w:t>ised</w:t>
      </w:r>
      <w:r w:rsidR="006218D9" w:rsidRPr="003C72A8">
        <w:t xml:space="preserve"> Code</w:t>
      </w:r>
      <w:r w:rsidR="006218D9">
        <w:t xml:space="preserve"> </w:t>
      </w:r>
      <w:r>
        <w:t xml:space="preserve">Section </w:t>
      </w:r>
      <w:r w:rsidR="006218D9">
        <w:t>4928.143 (B)(2)</w:t>
      </w:r>
      <w:r w:rsidR="00BE229F" w:rsidRPr="003C72A8">
        <w:t xml:space="preserve">(c). </w:t>
      </w:r>
      <w:r>
        <w:t xml:space="preserve"> </w:t>
      </w:r>
      <w:r w:rsidR="00893026">
        <w:t>T</w:t>
      </w:r>
      <w:r w:rsidR="00893026" w:rsidRPr="00893026">
        <w:t xml:space="preserve">he Company </w:t>
      </w:r>
      <w:r w:rsidR="00893026">
        <w:t xml:space="preserve">correctly notes that it </w:t>
      </w:r>
      <w:r w:rsidR="00893026" w:rsidRPr="00893026">
        <w:t>is not seeking recovery of any at this time, nor is it now seeking approval of any GRR rates</w:t>
      </w:r>
      <w:r w:rsidR="00BE229F" w:rsidRPr="003C72A8">
        <w:t>.</w:t>
      </w:r>
      <w:r w:rsidR="00893026">
        <w:rPr>
          <w:rStyle w:val="FootnoteReference"/>
        </w:rPr>
        <w:footnoteReference w:id="29"/>
      </w:r>
      <w:r w:rsidR="00BE229F" w:rsidRPr="003C72A8">
        <w:t xml:space="preserve"> Any charges included in the GRR w</w:t>
      </w:r>
      <w:r w:rsidR="006218D9">
        <w:t>ould</w:t>
      </w:r>
      <w:r w:rsidR="00BE229F" w:rsidRPr="003C72A8">
        <w:t xml:space="preserve"> need to be approved in a separate Commission proceeding. </w:t>
      </w:r>
      <w:r w:rsidR="00893026" w:rsidRPr="00893026">
        <w:t>Staff witness Fortney testified in support of the GRR</w:t>
      </w:r>
      <w:r w:rsidR="00893026">
        <w:t>.</w:t>
      </w:r>
      <w:r w:rsidR="00893026">
        <w:rPr>
          <w:rStyle w:val="FootnoteReference"/>
        </w:rPr>
        <w:footnoteReference w:id="30"/>
      </w:r>
    </w:p>
    <w:p w:rsidR="00BE229F" w:rsidRDefault="00BE229F" w:rsidP="0007062F">
      <w:pPr>
        <w:pStyle w:val="Heading4"/>
      </w:pPr>
      <w:bookmarkStart w:id="13" w:name="_Toc329612768"/>
      <w:r w:rsidRPr="003C72A8">
        <w:t xml:space="preserve">5. </w:t>
      </w:r>
      <w:r w:rsidR="00643C1B">
        <w:tab/>
      </w:r>
      <w:r w:rsidRPr="003C72A8">
        <w:t>Interruptible Service Rates</w:t>
      </w:r>
      <w:bookmarkEnd w:id="13"/>
    </w:p>
    <w:p w:rsidR="00C60E24" w:rsidRPr="00E27EE7" w:rsidRDefault="0007062F" w:rsidP="00BE335A">
      <w:pPr>
        <w:pStyle w:val="textstyle0"/>
      </w:pPr>
      <w:r>
        <w:tab/>
      </w:r>
      <w:r w:rsidR="00E27EE7">
        <w:t>The Company</w:t>
      </w:r>
      <w:r w:rsidR="00C60E24" w:rsidRPr="00E27EE7">
        <w:t xml:space="preserve"> </w:t>
      </w:r>
      <w:r w:rsidR="00E27EE7">
        <w:t>proposes</w:t>
      </w:r>
      <w:r w:rsidR="00E27EE7" w:rsidRPr="00E27EE7">
        <w:t xml:space="preserve"> to restructure and expand</w:t>
      </w:r>
      <w:r w:rsidR="00C60E24" w:rsidRPr="00E27EE7">
        <w:t xml:space="preserve"> its existing interruptible service offerings.</w:t>
      </w:r>
      <w:r>
        <w:t xml:space="preserve"> </w:t>
      </w:r>
      <w:r w:rsidR="00C60E24" w:rsidRPr="00E27EE7">
        <w:t xml:space="preserve"> </w:t>
      </w:r>
      <w:r w:rsidR="00E27EE7">
        <w:t>Based on approval of its proposed RSR, the Company has expressed a “</w:t>
      </w:r>
      <w:r w:rsidR="00E27EE7" w:rsidRPr="00E27EE7">
        <w:t>will</w:t>
      </w:r>
      <w:r w:rsidR="00D55143">
        <w:softHyphen/>
      </w:r>
      <w:r w:rsidR="00E27EE7" w:rsidRPr="00E27EE7">
        <w:lastRenderedPageBreak/>
        <w:t xml:space="preserve">ingness” to increase the IRP-D credit to $8.21 per kw-month. As the Company correctly notes, staff witness Scheck calculated the credit under the IRP-D rider to be $3.34 per kw-month, based on staff’s position with respect to costs in the </w:t>
      </w:r>
      <w:r w:rsidR="00E27EE7" w:rsidRPr="00903338">
        <w:rPr>
          <w:i/>
        </w:rPr>
        <w:t>Capacity Case</w:t>
      </w:r>
      <w:r w:rsidR="00E27EE7" w:rsidRPr="00E27EE7">
        <w:t xml:space="preserve">. </w:t>
      </w:r>
    </w:p>
    <w:p w:rsidR="00E27EE7" w:rsidRPr="00E27EE7" w:rsidRDefault="0007062F" w:rsidP="00BE335A">
      <w:pPr>
        <w:pStyle w:val="textstyle0"/>
      </w:pPr>
      <w:r>
        <w:tab/>
      </w:r>
      <w:r w:rsidR="00E27EE7" w:rsidRPr="00E27EE7">
        <w:t>The Company claims that Mr. Scheck improperly relied on the price of capacity paid by shopping customers, and should have used fully embedded costs to be paid by non-shopping customers.</w:t>
      </w:r>
      <w:r w:rsidR="00E27EE7" w:rsidRPr="00E27EE7">
        <w:rPr>
          <w:vertAlign w:val="superscript"/>
        </w:rPr>
        <w:footnoteReference w:id="31"/>
      </w:r>
      <w:r w:rsidR="00E27EE7" w:rsidRPr="00E27EE7">
        <w:t xml:space="preserve"> While staff maintains the position that it took in the </w:t>
      </w:r>
      <w:r w:rsidR="00E27EE7" w:rsidRPr="00903338">
        <w:rPr>
          <w:i/>
        </w:rPr>
        <w:t>Capacity Case</w:t>
      </w:r>
      <w:r w:rsidR="00E27EE7" w:rsidRPr="00E27EE7">
        <w:t>, it respectfully submits that the appropriate cost to use is the cost ultimately deter</w:t>
      </w:r>
      <w:r w:rsidR="00D55143">
        <w:softHyphen/>
      </w:r>
      <w:r w:rsidR="00E27EE7" w:rsidRPr="00E27EE7">
        <w:t>mined by the Commission in that case, and that the credit calculated by Mr. Scheck is both appropriate, and entirely consistent with the Company’s methodology.</w:t>
      </w:r>
      <w:r w:rsidR="00E27EE7" w:rsidRPr="00E27EE7">
        <w:rPr>
          <w:vertAlign w:val="superscript"/>
        </w:rPr>
        <w:footnoteReference w:id="32"/>
      </w:r>
      <w:r w:rsidR="00E27EE7" w:rsidRPr="00E27EE7">
        <w:rPr>
          <w:vertAlign w:val="superscript"/>
        </w:rPr>
        <w:t xml:space="preserve"> </w:t>
      </w:r>
    </w:p>
    <w:p w:rsidR="00BE229F" w:rsidRPr="003C72A8" w:rsidRDefault="0007062F" w:rsidP="0007062F">
      <w:pPr>
        <w:pStyle w:val="Heading4"/>
      </w:pPr>
      <w:bookmarkStart w:id="14" w:name="_Toc329612769"/>
      <w:r>
        <w:t>6.</w:t>
      </w:r>
      <w:r w:rsidR="00643C1B">
        <w:tab/>
      </w:r>
      <w:r w:rsidR="00BE229F" w:rsidRPr="003C72A8">
        <w:t>Retail Stability Rider</w:t>
      </w:r>
      <w:bookmarkEnd w:id="14"/>
    </w:p>
    <w:p w:rsidR="00BE229F" w:rsidRDefault="0007062F" w:rsidP="00BE335A">
      <w:pPr>
        <w:pStyle w:val="textstyle0"/>
      </w:pPr>
      <w:r>
        <w:tab/>
      </w:r>
      <w:r w:rsidR="00BE229F" w:rsidRPr="003C72A8">
        <w:t>The Company has proposed a non</w:t>
      </w:r>
      <w:r w:rsidR="00E27EE7">
        <w:t>-</w:t>
      </w:r>
      <w:r w:rsidR="00BE229F" w:rsidRPr="003C72A8">
        <w:t>bypassable Retail Stability Rider (RSR)</w:t>
      </w:r>
      <w:r w:rsidR="00D55143" w:rsidRPr="003C72A8">
        <w:t xml:space="preserve">.  </w:t>
      </w:r>
      <w:r w:rsidR="00BE229F" w:rsidRPr="003C72A8">
        <w:t>It attempted to justify this rider by demonstrating that its proposed discounted capacity pricing plan would otherwise put it in a precarious financial position.</w:t>
      </w:r>
      <w:r>
        <w:t xml:space="preserve"> </w:t>
      </w:r>
      <w:r w:rsidR="00BE229F" w:rsidRPr="003C72A8">
        <w:t xml:space="preserve"> The RSR is described as a generation revenue decoupling charge</w:t>
      </w:r>
      <w:r w:rsidR="00080FB6" w:rsidRPr="003C72A8">
        <w:t xml:space="preserve">. </w:t>
      </w:r>
    </w:p>
    <w:p w:rsidR="00BD6526" w:rsidRDefault="0007062F" w:rsidP="00BE335A">
      <w:pPr>
        <w:pStyle w:val="textstyle0"/>
      </w:pPr>
      <w:r>
        <w:tab/>
      </w:r>
      <w:r w:rsidR="00BD6526">
        <w:t xml:space="preserve">The Company also took great pains, both during the hearing and in its initial brief, to demonstrate that </w:t>
      </w:r>
      <w:r w:rsidR="00BD6526" w:rsidRPr="00BD6526">
        <w:t xml:space="preserve">the RSR </w:t>
      </w:r>
      <w:r w:rsidR="00BD6526">
        <w:t>is “</w:t>
      </w:r>
      <w:r w:rsidR="00BD6526" w:rsidRPr="00BD6526">
        <w:t>tied to the total</w:t>
      </w:r>
      <w:r w:rsidR="00BD6526">
        <w:t xml:space="preserve"> </w:t>
      </w:r>
      <w:r w:rsidR="00BD6526" w:rsidRPr="00BD6526">
        <w:t>ESP package and not just the discounted capacity pricing</w:t>
      </w:r>
      <w:r w:rsidR="00BD6526">
        <w:t>.”</w:t>
      </w:r>
      <w:r w:rsidR="00BD6526">
        <w:rPr>
          <w:rStyle w:val="FootnoteReference"/>
        </w:rPr>
        <w:footnoteReference w:id="33"/>
      </w:r>
      <w:r w:rsidR="00BD6526">
        <w:t xml:space="preserve"> </w:t>
      </w:r>
      <w:r>
        <w:t xml:space="preserve"> </w:t>
      </w:r>
      <w:r w:rsidR="00BD6526">
        <w:t xml:space="preserve">But the inescapable fact is that the determination of the rider, and the </w:t>
      </w:r>
      <w:r w:rsidR="00BD6526">
        <w:lastRenderedPageBreak/>
        <w:t xml:space="preserve">impact that it will have on customer bills, is predicated upon the Company’s capacity cost litigation position in Case No. 10-2929. </w:t>
      </w:r>
    </w:p>
    <w:p w:rsidR="00CE018A" w:rsidRDefault="0007062F" w:rsidP="00BE335A">
      <w:pPr>
        <w:pStyle w:val="textstyle0"/>
      </w:pPr>
      <w:r>
        <w:tab/>
      </w:r>
      <w:r w:rsidR="00CE018A">
        <w:t xml:space="preserve">As </w:t>
      </w:r>
      <w:r w:rsidR="00BD6526">
        <w:t xml:space="preserve">noted in </w:t>
      </w:r>
      <w:r w:rsidR="00CE018A">
        <w:t>staff</w:t>
      </w:r>
      <w:r w:rsidR="00BD6526">
        <w:t xml:space="preserve">’s initial brief, </w:t>
      </w:r>
      <w:r w:rsidR="00CE018A">
        <w:t>staff sup</w:t>
      </w:r>
      <w:r w:rsidR="00BD6526">
        <w:t>port</w:t>
      </w:r>
      <w:r w:rsidR="003A22FE">
        <w:t>ed</w:t>
      </w:r>
      <w:r w:rsidR="00BD6526">
        <w:t xml:space="preserve"> an RSR</w:t>
      </w:r>
      <w:r w:rsidR="003A22FE">
        <w:t>-type</w:t>
      </w:r>
      <w:r w:rsidR="00BD6526">
        <w:t xml:space="preserve"> mechanism</w:t>
      </w:r>
      <w:r w:rsidR="00CE018A">
        <w:t xml:space="preserve"> that would allow the Company to recover the</w:t>
      </w:r>
      <w:r w:rsidR="00CE018A" w:rsidRPr="00CE018A">
        <w:t xml:space="preserve"> difference between </w:t>
      </w:r>
      <w:r w:rsidR="00BD6526">
        <w:t>its</w:t>
      </w:r>
      <w:r w:rsidR="00CE018A" w:rsidRPr="00CE018A">
        <w:t xml:space="preserve"> cost of capacity and</w:t>
      </w:r>
      <w:r w:rsidR="00CE018A">
        <w:t xml:space="preserve"> </w:t>
      </w:r>
      <w:r w:rsidR="00CE018A" w:rsidRPr="00CE018A">
        <w:t xml:space="preserve">the rate </w:t>
      </w:r>
      <w:r w:rsidR="009524FD">
        <w:t>that</w:t>
      </w:r>
      <w:r w:rsidR="00CE018A" w:rsidRPr="00CE018A">
        <w:t xml:space="preserve"> </w:t>
      </w:r>
      <w:r w:rsidR="00CE018A">
        <w:t>it</w:t>
      </w:r>
      <w:r w:rsidR="00CE018A" w:rsidRPr="00CE018A">
        <w:t xml:space="preserve"> will be allowed to</w:t>
      </w:r>
      <w:r w:rsidR="00CE018A">
        <w:t xml:space="preserve"> </w:t>
      </w:r>
      <w:r w:rsidR="00CE018A" w:rsidRPr="00CE018A">
        <w:t>char</w:t>
      </w:r>
      <w:r w:rsidR="00CE018A">
        <w:t xml:space="preserve">ge CRES providers for capacity. </w:t>
      </w:r>
      <w:r>
        <w:t xml:space="preserve"> </w:t>
      </w:r>
      <w:r w:rsidR="00BD6526">
        <w:t>Staff, however, reiter</w:t>
      </w:r>
      <w:r w:rsidR="00BE335A">
        <w:softHyphen/>
      </w:r>
      <w:r w:rsidR="00BD6526">
        <w:t xml:space="preserve">ated </w:t>
      </w:r>
      <w:r w:rsidR="00BD6526" w:rsidRPr="00BD6526">
        <w:rPr>
          <w:i/>
        </w:rPr>
        <w:t>its</w:t>
      </w:r>
      <w:r w:rsidR="00BD6526">
        <w:t xml:space="preserve"> litigation position in the 10-2929 case, and argued that the recovery of any such differ</w:t>
      </w:r>
      <w:r w:rsidR="00D55143">
        <w:softHyphen/>
      </w:r>
      <w:r w:rsidR="00BD6526">
        <w:t xml:space="preserve">ence should be, regardless of the resulting return on equity, between the </w:t>
      </w:r>
      <w:r w:rsidR="00E3052D">
        <w:t xml:space="preserve">state compensation mechanism for </w:t>
      </w:r>
      <w:r w:rsidR="00BD6526">
        <w:t xml:space="preserve">capacity </w:t>
      </w:r>
      <w:r w:rsidR="00BD6526" w:rsidRPr="00BD6526">
        <w:rPr>
          <w:i/>
        </w:rPr>
        <w:t>as determined by the Commission</w:t>
      </w:r>
      <w:r w:rsidR="00BD6526">
        <w:t xml:space="preserve">, and the </w:t>
      </w:r>
      <w:r w:rsidR="00BD6526" w:rsidRPr="00CE018A">
        <w:t>state-mandated</w:t>
      </w:r>
      <w:r w:rsidR="00BD6526">
        <w:t xml:space="preserve"> rate that the Company can charge CRES providers, </w:t>
      </w:r>
      <w:r w:rsidR="00BD6526" w:rsidRPr="00BD6526">
        <w:rPr>
          <w:i/>
        </w:rPr>
        <w:t>as likewise determined by the Commission</w:t>
      </w:r>
      <w:r w:rsidR="00BD6526">
        <w:t xml:space="preserve">. </w:t>
      </w:r>
    </w:p>
    <w:p w:rsidR="00E3052D" w:rsidRDefault="0007062F" w:rsidP="00BE335A">
      <w:pPr>
        <w:pStyle w:val="textstyle0"/>
      </w:pPr>
      <w:r>
        <w:tab/>
      </w:r>
      <w:r w:rsidR="00BD6526">
        <w:t>Staff’s position remains unchanged</w:t>
      </w:r>
      <w:r w:rsidR="00D55143">
        <w:t xml:space="preserve">.  </w:t>
      </w:r>
      <w:r w:rsidR="00E3052D">
        <w:t xml:space="preserve">The Commission has, of course, now spoken in the 10-2929 case.  In doing so, the Commission approved </w:t>
      </w:r>
      <w:r w:rsidR="00E3052D" w:rsidRPr="002A0FE3">
        <w:t xml:space="preserve">a cost-based capacity charge of $188.88/MW-day, </w:t>
      </w:r>
      <w:r w:rsidR="00E3052D">
        <w:t xml:space="preserve">with </w:t>
      </w:r>
      <w:r w:rsidR="00E3052D" w:rsidRPr="002A0FE3">
        <w:t xml:space="preserve">CRES provider billings </w:t>
      </w:r>
      <w:r w:rsidR="00E3052D">
        <w:t xml:space="preserve">to </w:t>
      </w:r>
      <w:r w:rsidR="00E3052D" w:rsidRPr="002A0FE3">
        <w:t xml:space="preserve">reflect </w:t>
      </w:r>
      <w:r w:rsidR="00E3052D">
        <w:t xml:space="preserve">an </w:t>
      </w:r>
      <w:r w:rsidR="00E3052D" w:rsidRPr="002A0FE3">
        <w:t xml:space="preserve">adjusted RPM-based price.  </w:t>
      </w:r>
      <w:r w:rsidR="00E3052D">
        <w:t>I</w:t>
      </w:r>
      <w:r w:rsidR="003A22FE">
        <w:t xml:space="preserve">n light of the Commission’s decision in the </w:t>
      </w:r>
      <w:r w:rsidR="003A22FE" w:rsidRPr="003A22FE">
        <w:rPr>
          <w:i/>
        </w:rPr>
        <w:t>Capacity Case</w:t>
      </w:r>
      <w:r w:rsidR="003A22FE">
        <w:t xml:space="preserve">, both the amounts that the Company should be entitled to recover, and the mechanism for doing so, are now clear.  </w:t>
      </w:r>
    </w:p>
    <w:p w:rsidR="00BD6526" w:rsidRDefault="00BE335A" w:rsidP="00BE335A">
      <w:pPr>
        <w:pStyle w:val="textstyle0"/>
      </w:pPr>
      <w:r>
        <w:tab/>
      </w:r>
      <w:r w:rsidR="00BD6526">
        <w:t xml:space="preserve">The </w:t>
      </w:r>
      <w:r w:rsidR="00BD6526" w:rsidRPr="00BD6526">
        <w:t xml:space="preserve">Company </w:t>
      </w:r>
      <w:r w:rsidR="003A22FE">
        <w:t>must</w:t>
      </w:r>
      <w:r w:rsidR="00BD6526" w:rsidRPr="00BD6526">
        <w:t xml:space="preserve"> charge CRES providers the prevail</w:t>
      </w:r>
      <w:r w:rsidR="00BD6526">
        <w:t xml:space="preserve">ing </w:t>
      </w:r>
      <w:r w:rsidR="00BD6526" w:rsidRPr="00BD6526">
        <w:t xml:space="preserve">RPM capacity rates in the unconstrained region of PJM. </w:t>
      </w:r>
      <w:r w:rsidR="0007062F">
        <w:t xml:space="preserve"> </w:t>
      </w:r>
      <w:r w:rsidR="003A22FE">
        <w:t xml:space="preserve">In addition, because </w:t>
      </w:r>
      <w:r w:rsidR="00BD6526" w:rsidRPr="00BD6526">
        <w:t xml:space="preserve">the Commission </w:t>
      </w:r>
      <w:r w:rsidR="003A22FE">
        <w:t xml:space="preserve">has found </w:t>
      </w:r>
      <w:r w:rsidR="00BD6526" w:rsidRPr="00BD6526">
        <w:t>that the prevailing RPM capacity rates during the June 1, 2012 through May 31, 2015 period are not appropriate</w:t>
      </w:r>
      <w:r w:rsidR="00BD6526">
        <w:t xml:space="preserve">, </w:t>
      </w:r>
      <w:r w:rsidR="003A22FE">
        <w:t xml:space="preserve">it has established </w:t>
      </w:r>
      <w:r w:rsidR="00BD6526">
        <w:t xml:space="preserve">a </w:t>
      </w:r>
      <w:r w:rsidR="00BD6526" w:rsidRPr="00BD6526">
        <w:t>capacity charge of $</w:t>
      </w:r>
      <w:r w:rsidR="003A22FE">
        <w:t>188</w:t>
      </w:r>
      <w:r w:rsidR="00BD6526" w:rsidRPr="00BD6526">
        <w:t>.</w:t>
      </w:r>
      <w:r w:rsidR="003A22FE">
        <w:t>88</w:t>
      </w:r>
      <w:r w:rsidR="00BD6526" w:rsidRPr="00BD6526">
        <w:t xml:space="preserve">/MW-Day as </w:t>
      </w:r>
      <w:r w:rsidR="00BD6526">
        <w:t xml:space="preserve">the </w:t>
      </w:r>
      <w:r w:rsidR="00BD6526" w:rsidRPr="00BD6526">
        <w:t>state compensation mechanism</w:t>
      </w:r>
      <w:r w:rsidR="00D55143" w:rsidRPr="00BD6526">
        <w:t>.</w:t>
      </w:r>
      <w:r w:rsidR="00E3052D">
        <w:t xml:space="preserve"> </w:t>
      </w:r>
      <w:r w:rsidR="00BD6526">
        <w:t>Staff recommend</w:t>
      </w:r>
      <w:r w:rsidR="00E3052D">
        <w:t>ed</w:t>
      </w:r>
      <w:r w:rsidR="00BD6526">
        <w:t xml:space="preserve"> that the Company be permitted to recover </w:t>
      </w:r>
      <w:r w:rsidR="00E3052D">
        <w:t>the</w:t>
      </w:r>
      <w:r w:rsidR="002A0FE3">
        <w:t xml:space="preserve"> difference between these amounts. </w:t>
      </w:r>
    </w:p>
    <w:p w:rsidR="002A0FE3" w:rsidRDefault="0007062F" w:rsidP="00BE335A">
      <w:pPr>
        <w:pStyle w:val="textstyle0"/>
      </w:pPr>
      <w:r>
        <w:lastRenderedPageBreak/>
        <w:tab/>
      </w:r>
      <w:r w:rsidR="00E3052D">
        <w:t>Although staff had recommended that the difference be recovered through an RSR-type mechanism, t</w:t>
      </w:r>
      <w:r w:rsidR="002A0FE3">
        <w:t xml:space="preserve">he Commission </w:t>
      </w:r>
      <w:r w:rsidR="00E3052D">
        <w:t xml:space="preserve">has now </w:t>
      </w:r>
      <w:r w:rsidR="002A0FE3" w:rsidRPr="002A0FE3">
        <w:t xml:space="preserve">authorized deferral of </w:t>
      </w:r>
      <w:r w:rsidR="002A0FE3">
        <w:t>incurred capacity costs</w:t>
      </w:r>
      <w:r w:rsidR="002A0FE3" w:rsidRPr="002A0FE3">
        <w:t xml:space="preserve"> not recovered from </w:t>
      </w:r>
      <w:r w:rsidR="002A0FE3">
        <w:t xml:space="preserve">CRES providers </w:t>
      </w:r>
      <w:r w:rsidR="002A0FE3" w:rsidRPr="002A0FE3">
        <w:t>to the extent that the total incurred capacity cos</w:t>
      </w:r>
      <w:r w:rsidR="002A0FE3">
        <w:t>ts do not exceed $188.88/MW-day. It further stated that it “</w:t>
      </w:r>
      <w:r w:rsidR="002A0FE3" w:rsidRPr="002A0FE3">
        <w:t>will establish an</w:t>
      </w:r>
      <w:r w:rsidR="002A0FE3">
        <w:t xml:space="preserve"> </w:t>
      </w:r>
      <w:r w:rsidR="002A0FE3" w:rsidRPr="002A0FE3">
        <w:t>appropri</w:t>
      </w:r>
      <w:r w:rsidR="00BE335A">
        <w:softHyphen/>
      </w:r>
      <w:r w:rsidR="002A0FE3" w:rsidRPr="002A0FE3">
        <w:t>ate recovery mechanism for such deferred costs and address any additional</w:t>
      </w:r>
      <w:r w:rsidR="002A0FE3">
        <w:t xml:space="preserve"> </w:t>
      </w:r>
      <w:r w:rsidR="002A0FE3" w:rsidRPr="002A0FE3">
        <w:t>financial con</w:t>
      </w:r>
      <w:r w:rsidR="00BE335A">
        <w:softHyphen/>
      </w:r>
      <w:r w:rsidR="002A0FE3" w:rsidRPr="002A0FE3">
        <w:t>siderations</w:t>
      </w:r>
      <w:r w:rsidR="002A0FE3">
        <w:t>” in this proceeding.</w:t>
      </w:r>
      <w:r w:rsidR="00C60E24">
        <w:rPr>
          <w:rStyle w:val="FootnoteReference"/>
        </w:rPr>
        <w:footnoteReference w:id="34"/>
      </w:r>
      <w:r w:rsidR="00E3052D">
        <w:t xml:space="preserve"> Staff supports the deferral of those costs in this case. </w:t>
      </w:r>
    </w:p>
    <w:p w:rsidR="00BE229F" w:rsidRPr="00643C1B" w:rsidRDefault="0007062F" w:rsidP="0007062F">
      <w:pPr>
        <w:pStyle w:val="Heading3"/>
      </w:pPr>
      <w:bookmarkStart w:id="15" w:name="_Toc329612770"/>
      <w:r>
        <w:t>B.</w:t>
      </w:r>
      <w:r>
        <w:tab/>
      </w:r>
      <w:r w:rsidR="00BE229F" w:rsidRPr="00643C1B">
        <w:t>Discounted Capacity Charges</w:t>
      </w:r>
      <w:bookmarkEnd w:id="15"/>
    </w:p>
    <w:p w:rsidR="000C07F7" w:rsidRPr="001D0BE1" w:rsidRDefault="0007062F" w:rsidP="00BE335A">
      <w:pPr>
        <w:pStyle w:val="textstyle0"/>
      </w:pPr>
      <w:r>
        <w:tab/>
      </w:r>
      <w:r w:rsidR="000068FF" w:rsidRPr="000068FF">
        <w:t xml:space="preserve">The Company proposes </w:t>
      </w:r>
      <w:r w:rsidR="000068FF">
        <w:t>to</w:t>
      </w:r>
      <w:r w:rsidR="000068FF" w:rsidRPr="000068FF">
        <w:t xml:space="preserve"> discount capacity charges during the remaining period that </w:t>
      </w:r>
      <w:r w:rsidR="000068FF">
        <w:t>it</w:t>
      </w:r>
      <w:r w:rsidR="000068FF" w:rsidRPr="000068FF">
        <w:t xml:space="preserve"> remains a Fixed Resource Requirements (FRR) entity in the PJM Interconnection, LLC (PJM) ca</w:t>
      </w:r>
      <w:r w:rsidR="000068FF">
        <w:t xml:space="preserve">pacity market. </w:t>
      </w:r>
      <w:r>
        <w:t xml:space="preserve"> </w:t>
      </w:r>
      <w:r w:rsidR="000C07F7">
        <w:t>In its initial brief,</w:t>
      </w:r>
      <w:r w:rsidR="009524FD" w:rsidRPr="001D0BE1">
        <w:t xml:space="preserve"> </w:t>
      </w:r>
      <w:r w:rsidR="00927CF2" w:rsidRPr="001D0BE1">
        <w:t>staff</w:t>
      </w:r>
      <w:r w:rsidR="000C07F7">
        <w:t xml:space="preserve"> stated that </w:t>
      </w:r>
      <w:r w:rsidR="009524FD" w:rsidRPr="001D0BE1">
        <w:t>the Company should charge CRES providers the prevailing RPM capacity rates in the unconstrained region of PJM</w:t>
      </w:r>
      <w:r w:rsidR="000C07F7">
        <w:t>, but that s</w:t>
      </w:r>
      <w:r w:rsidR="009524FD" w:rsidRPr="001D0BE1">
        <w:t>taff ha</w:t>
      </w:r>
      <w:r w:rsidR="000C07F7">
        <w:t>d</w:t>
      </w:r>
      <w:r w:rsidR="009524FD" w:rsidRPr="001D0BE1">
        <w:t xml:space="preserve"> no objection to the Company offering a discount </w:t>
      </w:r>
      <w:r w:rsidR="001D0BE1">
        <w:t xml:space="preserve">from </w:t>
      </w:r>
      <w:r w:rsidR="001D0BE1" w:rsidRPr="001D0BE1">
        <w:t>the state</w:t>
      </w:r>
      <w:r w:rsidR="00D741AF">
        <w:t xml:space="preserve"> compensation mechanism </w:t>
      </w:r>
      <w:r w:rsidR="001D0BE1" w:rsidRPr="001D0BE1">
        <w:t>for capacity</w:t>
      </w:r>
      <w:r w:rsidR="00736136">
        <w:t xml:space="preserve"> if one higher than the RPM rate was established</w:t>
      </w:r>
      <w:r w:rsidR="001D0BE1">
        <w:t>.</w:t>
      </w:r>
      <w:r>
        <w:t xml:space="preserve"> </w:t>
      </w:r>
      <w:r w:rsidR="00736136">
        <w:t xml:space="preserve">After the Capacity Case decision, </w:t>
      </w:r>
      <w:r w:rsidR="000C07F7">
        <w:t xml:space="preserve">the Company </w:t>
      </w:r>
      <w:r w:rsidR="00736136">
        <w:t xml:space="preserve">will only be </w:t>
      </w:r>
      <w:r w:rsidR="000C07F7">
        <w:t xml:space="preserve">permitted to charge </w:t>
      </w:r>
      <w:r w:rsidR="00736136" w:rsidRPr="001D0BE1">
        <w:t>prevail</w:t>
      </w:r>
      <w:r w:rsidR="00BE335A">
        <w:softHyphen/>
      </w:r>
      <w:r w:rsidR="00736136" w:rsidRPr="001D0BE1">
        <w:t xml:space="preserve">ing RPM capacity rates </w:t>
      </w:r>
      <w:r w:rsidR="00736136">
        <w:t xml:space="preserve">to </w:t>
      </w:r>
      <w:r w:rsidR="000C07F7">
        <w:t>CRES provider</w:t>
      </w:r>
      <w:r w:rsidR="00736136">
        <w:t xml:space="preserve">s. </w:t>
      </w:r>
      <w:r w:rsidR="000C07F7">
        <w:t xml:space="preserve">To the extent that the RPM </w:t>
      </w:r>
      <w:r w:rsidR="00736136">
        <w:t xml:space="preserve">rate </w:t>
      </w:r>
      <w:r w:rsidR="000C07F7">
        <w:t xml:space="preserve">is less than </w:t>
      </w:r>
      <w:r w:rsidR="00736136" w:rsidRPr="001D0BE1">
        <w:t>the state</w:t>
      </w:r>
      <w:r w:rsidR="00736136">
        <w:t xml:space="preserve"> compensation mechanism </w:t>
      </w:r>
      <w:r w:rsidR="00736136" w:rsidRPr="001D0BE1">
        <w:t>for capacity</w:t>
      </w:r>
      <w:r w:rsidR="000C07F7">
        <w:t>, the Company should be entitled to recover that difference</w:t>
      </w:r>
      <w:r w:rsidR="00736136">
        <w:t xml:space="preserve">. </w:t>
      </w:r>
    </w:p>
    <w:p w:rsidR="00BE229F" w:rsidRPr="003C72A8" w:rsidRDefault="000068FF" w:rsidP="0007062F">
      <w:pPr>
        <w:pStyle w:val="Heading3"/>
      </w:pPr>
      <w:bookmarkStart w:id="16" w:name="_Toc329612771"/>
      <w:r>
        <w:lastRenderedPageBreak/>
        <w:t>C</w:t>
      </w:r>
      <w:r w:rsidR="00BE229F" w:rsidRPr="003C72A8">
        <w:t xml:space="preserve">. </w:t>
      </w:r>
      <w:r w:rsidR="00643C1B">
        <w:tab/>
      </w:r>
      <w:r w:rsidR="00BE229F" w:rsidRPr="003C72A8">
        <w:t>Distribution Rates</w:t>
      </w:r>
      <w:bookmarkEnd w:id="16"/>
    </w:p>
    <w:p w:rsidR="00BE229F" w:rsidRPr="003C72A8" w:rsidRDefault="00BE229F" w:rsidP="0007062F">
      <w:pPr>
        <w:pStyle w:val="Heading4"/>
      </w:pPr>
      <w:bookmarkStart w:id="17" w:name="_Toc329612772"/>
      <w:r w:rsidRPr="003C72A8">
        <w:t xml:space="preserve">1. </w:t>
      </w:r>
      <w:r w:rsidR="00643C1B">
        <w:tab/>
      </w:r>
      <w:r w:rsidRPr="003C72A8">
        <w:t>Distribution Investment Rider</w:t>
      </w:r>
      <w:bookmarkEnd w:id="17"/>
    </w:p>
    <w:p w:rsidR="008D052E" w:rsidRPr="003C72A8" w:rsidRDefault="0007062F" w:rsidP="00BE335A">
      <w:pPr>
        <w:pStyle w:val="textstyle0"/>
      </w:pPr>
      <w:r>
        <w:tab/>
      </w:r>
      <w:r w:rsidR="00BC296E">
        <w:t>A</w:t>
      </w:r>
      <w:r w:rsidR="00C03D9B" w:rsidRPr="003C72A8">
        <w:t xml:space="preserve">s part of its determination whether to allow an ESP to include </w:t>
      </w:r>
      <w:r w:rsidR="00C3515D">
        <w:t xml:space="preserve">the proposed </w:t>
      </w:r>
      <w:r w:rsidR="00C3515D" w:rsidRPr="003C72A8">
        <w:t>Distri</w:t>
      </w:r>
      <w:r w:rsidR="00D55143">
        <w:softHyphen/>
      </w:r>
      <w:r w:rsidR="00C3515D" w:rsidRPr="003C72A8">
        <w:t>bution Investment Rider (DIR) to provide capital funding for distribution assets</w:t>
      </w:r>
      <w:r w:rsidR="00C03D9B" w:rsidRPr="003C72A8">
        <w:t xml:space="preserve">, </w:t>
      </w:r>
      <w:r w:rsidR="00BC296E" w:rsidRPr="003C72A8">
        <w:t xml:space="preserve">the Commission </w:t>
      </w:r>
      <w:r w:rsidR="00C03D9B" w:rsidRPr="003C72A8">
        <w:t>“shall examine the reliability of the electric distribution utility’s distribution system and ensure that customers’ and the electric distribution utility’s expectations are aligned and that the electric distribution utility is placing sufficient emphasis on and dedicating sufficient resources to the reliability of its distribution system.”</w:t>
      </w:r>
      <w:r w:rsidR="00BC296E">
        <w:rPr>
          <w:rStyle w:val="FootnoteReference"/>
        </w:rPr>
        <w:footnoteReference w:id="35"/>
      </w:r>
      <w:r w:rsidR="00C03D9B" w:rsidRPr="003C72A8">
        <w:t xml:space="preserve"> </w:t>
      </w:r>
      <w:r>
        <w:t xml:space="preserve"> </w:t>
      </w:r>
      <w:r w:rsidR="00C3515D">
        <w:t>Staff agrees with the Company that this record adequately permits the Commission to conduct that examination.</w:t>
      </w:r>
      <w:r w:rsidR="00C3515D">
        <w:rPr>
          <w:rStyle w:val="FootnoteReference"/>
        </w:rPr>
        <w:footnoteReference w:id="36"/>
      </w:r>
      <w:r w:rsidR="00C3515D">
        <w:t xml:space="preserve"> </w:t>
      </w:r>
    </w:p>
    <w:p w:rsidR="00C3515D" w:rsidRDefault="0007062F" w:rsidP="00BE335A">
      <w:pPr>
        <w:pStyle w:val="textstyle0"/>
      </w:pPr>
      <w:r>
        <w:tab/>
      </w:r>
      <w:r w:rsidR="00C3515D">
        <w:t>But s</w:t>
      </w:r>
      <w:r w:rsidR="00C81A95" w:rsidRPr="003C72A8">
        <w:t xml:space="preserve">taff </w:t>
      </w:r>
      <w:r w:rsidR="00C3515D">
        <w:t xml:space="preserve">disagrees with the Company representation that </w:t>
      </w:r>
      <w:r w:rsidR="00C3515D" w:rsidRPr="00C3515D">
        <w:t>the expectations of the customer and Company are aligned in this case</w:t>
      </w:r>
      <w:r w:rsidR="00D55143" w:rsidRPr="00C3515D">
        <w:t xml:space="preserve">.  </w:t>
      </w:r>
      <w:r w:rsidR="00C3515D">
        <w:t>Staff w</w:t>
      </w:r>
      <w:r w:rsidR="00C81A95" w:rsidRPr="003C72A8">
        <w:t>itness Baker testified that the Company’s 2011 reliability measures showed worse performance in 2011 when co</w:t>
      </w:r>
      <w:r w:rsidR="00BC296E">
        <w:t>m</w:t>
      </w:r>
      <w:r w:rsidR="00D55143">
        <w:softHyphen/>
      </w:r>
      <w:r w:rsidR="00BC296E">
        <w:t xml:space="preserve">pared with the previous year. </w:t>
      </w:r>
      <w:r w:rsidR="00C81A95" w:rsidRPr="003C72A8">
        <w:t xml:space="preserve">Based on these results, Mr. Baker recommended that the Commission find that OPC’s reliability expectations are </w:t>
      </w:r>
      <w:r w:rsidR="00C81A95" w:rsidRPr="003C72A8">
        <w:rPr>
          <w:u w:val="single"/>
        </w:rPr>
        <w:t>not</w:t>
      </w:r>
      <w:r w:rsidR="00C81A95" w:rsidRPr="003C72A8">
        <w:t xml:space="preserve"> currently in alignment with those of its customers.</w:t>
      </w:r>
      <w:r w:rsidR="00BC296E">
        <w:rPr>
          <w:rStyle w:val="FootnoteReference"/>
        </w:rPr>
        <w:footnoteReference w:id="37"/>
      </w:r>
      <w:r w:rsidR="00BC296E">
        <w:t xml:space="preserve"> </w:t>
      </w:r>
    </w:p>
    <w:p w:rsidR="00C3515D" w:rsidRDefault="0007062F" w:rsidP="00BE335A">
      <w:pPr>
        <w:pStyle w:val="textstyle0"/>
      </w:pPr>
      <w:r>
        <w:tab/>
      </w:r>
      <w:r w:rsidR="00C3515D">
        <w:t>The Company disputes Mr. Baker’s conclusion based on survey results</w:t>
      </w:r>
      <w:r w:rsidR="00D55143">
        <w:t xml:space="preserve">.  </w:t>
      </w:r>
      <w:r w:rsidR="00C3515D">
        <w:t xml:space="preserve">Customer surveys were used to establish standards. The Company claims that subsequent surveys </w:t>
      </w:r>
      <w:r w:rsidR="00C3515D">
        <w:lastRenderedPageBreak/>
        <w:t xml:space="preserve">showing almost identical results </w:t>
      </w:r>
      <w:r w:rsidR="00B95270">
        <w:t>indicate</w:t>
      </w:r>
      <w:r w:rsidR="00C3515D">
        <w:t xml:space="preserve"> that customers must still be satisfied, and that their interests are aligned with the Company. But the Commission has not taken a “sur</w:t>
      </w:r>
      <w:r w:rsidR="00D55143">
        <w:softHyphen/>
      </w:r>
      <w:r w:rsidR="00C3515D">
        <w:t xml:space="preserve">vey says” approach. The original surveys were used to establish the standards that the Commission uses to determine whether reliability is being achieved. </w:t>
      </w:r>
      <w:r w:rsidR="00B95270">
        <w:t>As Mr. Baker testi</w:t>
      </w:r>
      <w:r w:rsidR="00D55143">
        <w:softHyphen/>
      </w:r>
      <w:r w:rsidR="00B95270">
        <w:t>fied on cross-examination, the determination is “</w:t>
      </w:r>
      <w:r w:rsidR="00C3515D" w:rsidRPr="00C3515D">
        <w:t>based on whether or not the</w:t>
      </w:r>
      <w:r w:rsidR="00B95270">
        <w:t xml:space="preserve"> </w:t>
      </w:r>
      <w:r w:rsidR="00C3515D" w:rsidRPr="00C3515D">
        <w:t>standards are met</w:t>
      </w:r>
      <w:r w:rsidR="00B95270">
        <w:t xml:space="preserve">. . . . [I]f </w:t>
      </w:r>
      <w:r w:rsidR="00C3515D" w:rsidRPr="00C3515D">
        <w:t>the standards are later missed,</w:t>
      </w:r>
      <w:r w:rsidR="00B95270">
        <w:t xml:space="preserve"> </w:t>
      </w:r>
      <w:r w:rsidR="00C3515D" w:rsidRPr="00C3515D">
        <w:t>then we believe that reliability expecta</w:t>
      </w:r>
      <w:r w:rsidR="00D55143">
        <w:softHyphen/>
      </w:r>
      <w:r w:rsidR="00C3515D" w:rsidRPr="00C3515D">
        <w:t>tions are not</w:t>
      </w:r>
      <w:r w:rsidR="00B95270">
        <w:t xml:space="preserve"> </w:t>
      </w:r>
      <w:r w:rsidR="00C3515D" w:rsidRPr="00C3515D">
        <w:t>being met.</w:t>
      </w:r>
      <w:r w:rsidR="00B95270">
        <w:t>”</w:t>
      </w:r>
      <w:r w:rsidR="00C3515D">
        <w:rPr>
          <w:rStyle w:val="FootnoteReference"/>
        </w:rPr>
        <w:footnoteReference w:id="38"/>
      </w:r>
      <w:r w:rsidR="00B95270">
        <w:t xml:space="preserve"> </w:t>
      </w:r>
      <w:r>
        <w:t xml:space="preserve"> </w:t>
      </w:r>
      <w:r w:rsidR="00B95270">
        <w:t>Recent surveys are irrelevant</w:t>
      </w:r>
      <w:r w:rsidR="00D55143">
        <w:t xml:space="preserve">.  </w:t>
      </w:r>
      <w:r w:rsidR="00B95270">
        <w:t>The simple fact is that the Com</w:t>
      </w:r>
      <w:r w:rsidR="00D55143">
        <w:softHyphen/>
      </w:r>
      <w:r w:rsidR="00B95270">
        <w:t xml:space="preserve">pany failed to meet the ordered standards. </w:t>
      </w:r>
    </w:p>
    <w:p w:rsidR="00C81A95" w:rsidRPr="003C72A8" w:rsidRDefault="0007062F" w:rsidP="00BE335A">
      <w:pPr>
        <w:pStyle w:val="textstyle0"/>
      </w:pPr>
      <w:r>
        <w:tab/>
      </w:r>
      <w:r w:rsidR="00C525FE">
        <w:t>The Company points to a number of factors that contributed, or may have contrib</w:t>
      </w:r>
      <w:r w:rsidR="00D55143">
        <w:softHyphen/>
      </w:r>
      <w:r w:rsidR="00C525FE">
        <w:t>uted, to its failure to meet the standard</w:t>
      </w:r>
      <w:r w:rsidR="00D55143">
        <w:t xml:space="preserve">.  </w:t>
      </w:r>
      <w:r w:rsidR="00C525FE">
        <w:t>It further claims that, when theses factors are taken into account, the Company actually faired better on reliability standards, not worse.</w:t>
      </w:r>
      <w:r w:rsidR="00C525FE">
        <w:rPr>
          <w:rStyle w:val="FootnoteReference"/>
        </w:rPr>
        <w:footnoteReference w:id="39"/>
      </w:r>
      <w:r w:rsidR="00C525FE">
        <w:t xml:space="preserve"> </w:t>
      </w:r>
      <w:r>
        <w:t xml:space="preserve"> </w:t>
      </w:r>
      <w:r w:rsidR="00C525FE">
        <w:t>But this information was available to staff, and was analyzed and considered by staff, in reaching its conclusion.</w:t>
      </w:r>
      <w:r w:rsidR="00C525FE">
        <w:rPr>
          <w:rStyle w:val="FootnoteReference"/>
        </w:rPr>
        <w:footnoteReference w:id="40"/>
      </w:r>
      <w:r>
        <w:t xml:space="preserve"> </w:t>
      </w:r>
      <w:r w:rsidR="00C525FE">
        <w:t xml:space="preserve"> Even with this information, staff witness Baker con</w:t>
      </w:r>
      <w:r w:rsidR="00D55143">
        <w:softHyphen/>
      </w:r>
      <w:r w:rsidR="00C525FE">
        <w:t>cluded that expectations between the Company and its customers were not aligned because the Company failed to meet a reliability standard.</w:t>
      </w:r>
      <w:r w:rsidR="00C525FE">
        <w:rPr>
          <w:rStyle w:val="FootnoteReference"/>
        </w:rPr>
        <w:footnoteReference w:id="41"/>
      </w:r>
      <w:r w:rsidR="00C525FE">
        <w:t xml:space="preserve"> Information like that pro</w:t>
      </w:r>
      <w:r w:rsidR="00D55143">
        <w:softHyphen/>
      </w:r>
      <w:r w:rsidR="00C525FE">
        <w:t>vided by the Company is intended to help development strategies for bringing the Com</w:t>
      </w:r>
      <w:r w:rsidR="00D55143">
        <w:softHyphen/>
      </w:r>
      <w:r w:rsidR="00C525FE">
        <w:t xml:space="preserve">pany back into compliance, not for revising the standards. But as </w:t>
      </w:r>
      <w:r w:rsidR="00C81A95" w:rsidRPr="003C72A8">
        <w:t xml:space="preserve">Staff </w:t>
      </w:r>
      <w:r w:rsidR="00C525FE">
        <w:t xml:space="preserve">noted, it </w:t>
      </w:r>
      <w:r w:rsidR="00C81A95" w:rsidRPr="003C72A8">
        <w:t xml:space="preserve">is not recommending that the Commission </w:t>
      </w:r>
      <w:r w:rsidR="00C81A95" w:rsidRPr="00BC296E">
        <w:rPr>
          <w:i/>
        </w:rPr>
        <w:t>not</w:t>
      </w:r>
      <w:r w:rsidR="00C81A95" w:rsidRPr="003C72A8">
        <w:t xml:space="preserve"> approve the DIR</w:t>
      </w:r>
      <w:r w:rsidR="00C525FE">
        <w:t xml:space="preserve">, but only that </w:t>
      </w:r>
      <w:r w:rsidR="00C81A95" w:rsidRPr="003C72A8">
        <w:t>a number of con</w:t>
      </w:r>
      <w:r w:rsidR="00D55143">
        <w:softHyphen/>
      </w:r>
      <w:r w:rsidR="00C81A95" w:rsidRPr="003C72A8">
        <w:lastRenderedPageBreak/>
        <w:t xml:space="preserve">ditions be imposed should </w:t>
      </w:r>
      <w:r w:rsidR="00C525FE">
        <w:t xml:space="preserve">it </w:t>
      </w:r>
      <w:r w:rsidR="00C81A95" w:rsidRPr="003C72A8">
        <w:t xml:space="preserve">do so. </w:t>
      </w:r>
      <w:r w:rsidR="00C525FE">
        <w:t xml:space="preserve">The Company has not raised any objections to the conditions outlines in staff’s testimony. </w:t>
      </w:r>
    </w:p>
    <w:p w:rsidR="00BE229F" w:rsidRPr="003C72A8" w:rsidRDefault="00BE229F" w:rsidP="0007062F">
      <w:pPr>
        <w:pStyle w:val="Heading4"/>
      </w:pPr>
      <w:bookmarkStart w:id="18" w:name="_Toc329612773"/>
      <w:r w:rsidRPr="003C72A8">
        <w:t xml:space="preserve">2. </w:t>
      </w:r>
      <w:r w:rsidR="00643C1B">
        <w:tab/>
      </w:r>
      <w:r w:rsidRPr="003C72A8">
        <w:t>gridSMART Rider</w:t>
      </w:r>
      <w:bookmarkEnd w:id="18"/>
    </w:p>
    <w:p w:rsidR="001671F9" w:rsidRDefault="0007062F" w:rsidP="00BE335A">
      <w:pPr>
        <w:pStyle w:val="textstyle0"/>
      </w:pPr>
      <w:r>
        <w:tab/>
      </w:r>
      <w:r w:rsidR="00BE229F" w:rsidRPr="003C72A8">
        <w:t xml:space="preserve">The </w:t>
      </w:r>
      <w:r w:rsidR="00987582">
        <w:t xml:space="preserve">proposed </w:t>
      </w:r>
      <w:r w:rsidR="00BE229F" w:rsidRPr="003C72A8">
        <w:t>ESP includes continu</w:t>
      </w:r>
      <w:r w:rsidR="00987582">
        <w:t>ing</w:t>
      </w:r>
      <w:r w:rsidR="00BE229F" w:rsidRPr="003C72A8">
        <w:t xml:space="preserve"> the gridSMART</w:t>
      </w:r>
      <w:r w:rsidR="00BE229F" w:rsidRPr="001671F9">
        <w:t xml:space="preserve"> </w:t>
      </w:r>
      <w:r w:rsidR="00BE229F" w:rsidRPr="003C72A8">
        <w:t>Rider, unified into a single set of merged rates</w:t>
      </w:r>
      <w:r w:rsidR="00D55143" w:rsidRPr="003C72A8">
        <w:t xml:space="preserve">.  </w:t>
      </w:r>
      <w:r w:rsidR="001671F9">
        <w:t>S</w:t>
      </w:r>
      <w:r w:rsidR="00BE229F" w:rsidRPr="003C72A8">
        <w:t xml:space="preserve">taff supports the continuation of the gridSMART Rider, </w:t>
      </w:r>
      <w:r w:rsidR="001671F9">
        <w:t>but expressed a number of concerns.</w:t>
      </w:r>
      <w:r>
        <w:t xml:space="preserve"> </w:t>
      </w:r>
      <w:r w:rsidR="001671F9">
        <w:t xml:space="preserve"> The Company made clear in its brief that staff’s “</w:t>
      </w:r>
      <w:r w:rsidR="001671F9" w:rsidRPr="001671F9">
        <w:t>view of moving forward on gridSMART is not inconsistent with the</w:t>
      </w:r>
      <w:r w:rsidR="001671F9">
        <w:t xml:space="preserve"> </w:t>
      </w:r>
      <w:r w:rsidR="001671F9" w:rsidRPr="001671F9">
        <w:t>Company’s filing.</w:t>
      </w:r>
      <w:r w:rsidR="001671F9">
        <w:t>”</w:t>
      </w:r>
      <w:r w:rsidR="001671F9">
        <w:rPr>
          <w:rStyle w:val="FootnoteReference"/>
        </w:rPr>
        <w:footnoteReference w:id="42"/>
      </w:r>
      <w:r w:rsidR="001671F9">
        <w:t xml:space="preserve"> </w:t>
      </w:r>
      <w:r>
        <w:t xml:space="preserve"> </w:t>
      </w:r>
      <w:r w:rsidR="001671F9">
        <w:t>Staff’s clarifications are set forth in its initial brief.</w:t>
      </w:r>
    </w:p>
    <w:p w:rsidR="00BE229F" w:rsidRPr="003C72A8" w:rsidRDefault="00BE229F" w:rsidP="0007062F">
      <w:pPr>
        <w:pStyle w:val="Heading4"/>
      </w:pPr>
      <w:bookmarkStart w:id="19" w:name="_Toc329612774"/>
      <w:r w:rsidRPr="003C72A8">
        <w:t xml:space="preserve">3. </w:t>
      </w:r>
      <w:r w:rsidR="00643C1B">
        <w:tab/>
      </w:r>
      <w:r w:rsidRPr="003C72A8">
        <w:t>Enhanced Service Reliability Rider</w:t>
      </w:r>
      <w:bookmarkEnd w:id="19"/>
    </w:p>
    <w:p w:rsidR="00BE229F" w:rsidRPr="003C72A8" w:rsidRDefault="0007062F" w:rsidP="00BE335A">
      <w:pPr>
        <w:pStyle w:val="textstyle0"/>
      </w:pPr>
      <w:r>
        <w:tab/>
      </w:r>
      <w:r w:rsidR="00BE229F" w:rsidRPr="003C72A8">
        <w:t xml:space="preserve">The ESP includes continuation of </w:t>
      </w:r>
      <w:r w:rsidR="00987582">
        <w:t>the</w:t>
      </w:r>
      <w:r w:rsidR="00BE229F" w:rsidRPr="003C72A8">
        <w:t xml:space="preserve"> Enhanced Service Reliability Rider (ESRR), unified for each rate zone into a single set of merged rates. </w:t>
      </w:r>
      <w:r>
        <w:t xml:space="preserve"> </w:t>
      </w:r>
      <w:r w:rsidR="00BE229F" w:rsidRPr="003C72A8">
        <w:t xml:space="preserve">The ESRR enables </w:t>
      </w:r>
      <w:r w:rsidR="00987582">
        <w:t>the Com</w:t>
      </w:r>
      <w:r w:rsidR="00D55143">
        <w:softHyphen/>
      </w:r>
      <w:r w:rsidR="00987582">
        <w:t>pany</w:t>
      </w:r>
      <w:r w:rsidR="00BE229F" w:rsidRPr="003C72A8">
        <w:t xml:space="preserve"> to recover the incremental costs associated with transitioning to a cyclical-based vegetation management program. </w:t>
      </w:r>
    </w:p>
    <w:p w:rsidR="001671F9" w:rsidRDefault="0007062F" w:rsidP="00BE335A">
      <w:pPr>
        <w:pStyle w:val="textstyle0"/>
      </w:pPr>
      <w:r>
        <w:tab/>
      </w:r>
      <w:r w:rsidR="00BE229F" w:rsidRPr="003C72A8">
        <w:t xml:space="preserve">Staff supports continuation of the ESRR, but only through 2014. </w:t>
      </w:r>
      <w:r>
        <w:t xml:space="preserve"> </w:t>
      </w:r>
      <w:r w:rsidR="00BE229F" w:rsidRPr="003C72A8">
        <w:t>Staff recom</w:t>
      </w:r>
      <w:r w:rsidR="00D55143">
        <w:softHyphen/>
      </w:r>
      <w:r w:rsidR="00BE229F" w:rsidRPr="003C72A8">
        <w:t>mends that the ESRR should not recover costs incurred after the end of 2014.</w:t>
      </w:r>
      <w:r w:rsidR="00987582">
        <w:rPr>
          <w:rStyle w:val="FootnoteReference"/>
        </w:rPr>
        <w:footnoteReference w:id="43"/>
      </w:r>
      <w:r>
        <w:t xml:space="preserve">  </w:t>
      </w:r>
      <w:r w:rsidR="001671F9">
        <w:t>The Com</w:t>
      </w:r>
      <w:r w:rsidR="00D55143">
        <w:softHyphen/>
      </w:r>
      <w:r w:rsidR="001671F9">
        <w:t>pany claims that current O&amp;M would not provide adequate funding.</w:t>
      </w:r>
      <w:r w:rsidR="001671F9">
        <w:rPr>
          <w:rStyle w:val="FootnoteReference"/>
        </w:rPr>
        <w:footnoteReference w:id="44"/>
      </w:r>
      <w:r w:rsidR="001671F9">
        <w:t xml:space="preserve"> </w:t>
      </w:r>
      <w:r w:rsidR="00DB5AAE">
        <w:t>The Company also</w:t>
      </w:r>
      <w:r w:rsidR="001671F9">
        <w:t xml:space="preserve"> submits that </w:t>
      </w:r>
      <w:r w:rsidR="00BE229F" w:rsidRPr="003C72A8">
        <w:t xml:space="preserve">the base rates established in the Company’s most recent distribution rate </w:t>
      </w:r>
      <w:r w:rsidR="00BE229F" w:rsidRPr="003C72A8">
        <w:lastRenderedPageBreak/>
        <w:t xml:space="preserve">case establish an appropriate funding level for ongoing vegetation management. </w:t>
      </w:r>
      <w:r w:rsidR="001671F9">
        <w:t>Indeed</w:t>
      </w:r>
      <w:r w:rsidR="00BE229F" w:rsidRPr="003C72A8">
        <w:t xml:space="preserve">, </w:t>
      </w:r>
      <w:r w:rsidR="001671F9">
        <w:t xml:space="preserve">staff argued that </w:t>
      </w:r>
      <w:r w:rsidR="00BE229F" w:rsidRPr="003C72A8">
        <w:t xml:space="preserve">those rates reflect an </w:t>
      </w:r>
      <w:r w:rsidR="00BE229F" w:rsidRPr="001671F9">
        <w:rPr>
          <w:i/>
        </w:rPr>
        <w:t>increase</w:t>
      </w:r>
      <w:r w:rsidR="00BE229F" w:rsidRPr="003C72A8">
        <w:t xml:space="preserve"> in O&amp;M expense recovery for vegetation management that </w:t>
      </w:r>
      <w:r w:rsidR="001671F9">
        <w:t xml:space="preserve">actually </w:t>
      </w:r>
      <w:r w:rsidR="00BE229F" w:rsidRPr="003C72A8">
        <w:t xml:space="preserve">justifies a </w:t>
      </w:r>
      <w:r w:rsidR="00BE229F" w:rsidRPr="001671F9">
        <w:rPr>
          <w:i/>
        </w:rPr>
        <w:t>reduction</w:t>
      </w:r>
      <w:r w:rsidR="00BE229F" w:rsidRPr="003C72A8">
        <w:t xml:space="preserve"> of the proposed ESSR. </w:t>
      </w:r>
    </w:p>
    <w:p w:rsidR="00BE229F" w:rsidRPr="003C72A8" w:rsidRDefault="0007062F" w:rsidP="00BE335A">
      <w:pPr>
        <w:pStyle w:val="textstyle0"/>
      </w:pPr>
      <w:r>
        <w:tab/>
      </w:r>
      <w:r w:rsidR="00BE229F" w:rsidRPr="003C72A8">
        <w:t xml:space="preserve">The </w:t>
      </w:r>
      <w:r w:rsidR="00A97C37">
        <w:t xml:space="preserve">Staff Report of Investigation </w:t>
      </w:r>
      <w:r w:rsidR="00A97C37" w:rsidRPr="003C72A8">
        <w:t>in Case Nos. 11-351-EL-AIR</w:t>
      </w:r>
      <w:r w:rsidR="00A97C37">
        <w:t xml:space="preserve"> </w:t>
      </w:r>
      <w:r w:rsidR="00A97C37" w:rsidRPr="003C72A8">
        <w:t xml:space="preserve">and 11-352-EL-AIR </w:t>
      </w:r>
      <w:r w:rsidR="00A97C37">
        <w:t>recommended a</w:t>
      </w:r>
      <w:r w:rsidR="00A97C37" w:rsidRPr="003C72A8">
        <w:t xml:space="preserve"> $17.8 million </w:t>
      </w:r>
      <w:r w:rsidR="00A97C37">
        <w:t xml:space="preserve">adjustment to </w:t>
      </w:r>
      <w:r w:rsidR="00A97C37" w:rsidRPr="003C72A8">
        <w:t>annual O&amp;M expense recovery to sup</w:t>
      </w:r>
      <w:r w:rsidR="00D55143">
        <w:softHyphen/>
      </w:r>
      <w:r w:rsidR="00A97C37" w:rsidRPr="003C72A8">
        <w:t xml:space="preserve">port </w:t>
      </w:r>
      <w:r w:rsidR="00A97C37">
        <w:t>the Company’s</w:t>
      </w:r>
      <w:r w:rsidR="00A97C37" w:rsidRPr="003C72A8">
        <w:t xml:space="preserve"> planned four-year cycle vegetation management program</w:t>
      </w:r>
      <w:r w:rsidR="00D55143" w:rsidRPr="003C72A8">
        <w:t>.</w:t>
      </w:r>
      <w:r w:rsidR="00D55143">
        <w:t xml:space="preserve">  </w:t>
      </w:r>
      <w:r w:rsidR="00A97C37">
        <w:t xml:space="preserve">The </w:t>
      </w:r>
      <w:r w:rsidR="00BE229F" w:rsidRPr="003C72A8">
        <w:t>stip</w:t>
      </w:r>
      <w:r w:rsidR="00D55143">
        <w:softHyphen/>
      </w:r>
      <w:r w:rsidR="00BE229F" w:rsidRPr="003C72A8">
        <w:t xml:space="preserve">ulation approved by the Commission’s order in </w:t>
      </w:r>
      <w:r w:rsidR="00A97C37">
        <w:t>those cases</w:t>
      </w:r>
      <w:r w:rsidR="00BE229F" w:rsidRPr="003C72A8">
        <w:t xml:space="preserve"> </w:t>
      </w:r>
      <w:r w:rsidR="008F7FF1">
        <w:t xml:space="preserve">provided that the parties agreed with all recommendations in the Staff Report[s] that did not directly contradict a provision of the stipulation, and admitted the reports as evidence in the case. A clear reading of the “black box” settlement, incorporating the staff report recommendations, leads to the undeniable conclusion that the agreement </w:t>
      </w:r>
      <w:r w:rsidR="00BE229F" w:rsidRPr="003C72A8">
        <w:t>effectively granted the Company</w:t>
      </w:r>
      <w:r w:rsidR="00A97C37">
        <w:t xml:space="preserve"> an increase in base rates that included that increase in O&amp;M recovery. </w:t>
      </w:r>
      <w:r w:rsidR="00BE229F" w:rsidRPr="003C72A8">
        <w:t>Consequently, the ESSR as proposed overstates the remaining cost of the transition to be incurred for the years 2012 through 2014, and should be reduced, by $17.8 million.</w:t>
      </w:r>
      <w:r w:rsidR="008F7FF1">
        <w:t xml:space="preserve"> The Commission should further find that the base rates are sufficient to allow the Company to fully main</w:t>
      </w:r>
      <w:r w:rsidR="00D55143">
        <w:softHyphen/>
      </w:r>
      <w:r w:rsidR="008F7FF1">
        <w:t xml:space="preserve">tain its </w:t>
      </w:r>
      <w:r w:rsidR="008F7FF1" w:rsidRPr="003C72A8">
        <w:t>cyclical-based vegetation management program</w:t>
      </w:r>
      <w:r w:rsidR="008F7FF1">
        <w:t xml:space="preserve"> beyond 2014. </w:t>
      </w:r>
    </w:p>
    <w:p w:rsidR="00BE229F" w:rsidRPr="003C72A8" w:rsidRDefault="00BE229F" w:rsidP="0007062F">
      <w:pPr>
        <w:pStyle w:val="Heading3"/>
      </w:pPr>
      <w:bookmarkStart w:id="20" w:name="_Toc329612775"/>
      <w:r w:rsidRPr="003C72A8">
        <w:t xml:space="preserve">E. </w:t>
      </w:r>
      <w:r w:rsidR="00643C1B">
        <w:tab/>
      </w:r>
      <w:r w:rsidRPr="003C72A8">
        <w:t>Energy Efficiency/Peak Demand Reduction Rider</w:t>
      </w:r>
      <w:bookmarkEnd w:id="20"/>
    </w:p>
    <w:p w:rsidR="00BE229F" w:rsidRPr="003C72A8" w:rsidRDefault="0007062F" w:rsidP="00BE335A">
      <w:pPr>
        <w:pStyle w:val="textstyle0"/>
      </w:pPr>
      <w:r>
        <w:tab/>
      </w:r>
      <w:r w:rsidR="00BE229F" w:rsidRPr="003C72A8">
        <w:t xml:space="preserve">The ESP includes modification and continuation of </w:t>
      </w:r>
      <w:r w:rsidR="00BE335A" w:rsidRPr="003C72A8">
        <w:t>an</w:t>
      </w:r>
      <w:r w:rsidR="00BE229F" w:rsidRPr="003C72A8">
        <w:t xml:space="preserve"> Energy Efficiency/ Peak Demand Reduction Rider (EE/PDR), unified for each rate zone into a single set of merged rates</w:t>
      </w:r>
      <w:r w:rsidR="00D55143" w:rsidRPr="003C72A8">
        <w:t xml:space="preserve">.  </w:t>
      </w:r>
      <w:r w:rsidR="00080FB6" w:rsidRPr="003C72A8">
        <w:t xml:space="preserve">Staff supports the Company’s proposal. </w:t>
      </w:r>
    </w:p>
    <w:p w:rsidR="00BE229F" w:rsidRPr="003C72A8" w:rsidRDefault="00BE229F" w:rsidP="0007062F">
      <w:pPr>
        <w:pStyle w:val="Heading3"/>
      </w:pPr>
      <w:bookmarkStart w:id="21" w:name="_Toc329612776"/>
      <w:r w:rsidRPr="003C72A8">
        <w:lastRenderedPageBreak/>
        <w:t xml:space="preserve">F. </w:t>
      </w:r>
      <w:r w:rsidR="00643C1B">
        <w:tab/>
      </w:r>
      <w:r w:rsidRPr="003C72A8">
        <w:t>Economic Development Rider</w:t>
      </w:r>
      <w:bookmarkEnd w:id="21"/>
    </w:p>
    <w:p w:rsidR="00BE229F" w:rsidRPr="003C72A8" w:rsidRDefault="0007062F" w:rsidP="00BE335A">
      <w:pPr>
        <w:pStyle w:val="textstyle0"/>
      </w:pPr>
      <w:r>
        <w:tab/>
      </w:r>
      <w:r w:rsidR="00BE229F" w:rsidRPr="003C72A8">
        <w:t>The ESP includes continuation and modification of a nonbypassable Economic Development Rider (EDR), unified for each rate zone into a single set of merged rates</w:t>
      </w:r>
      <w:r w:rsidR="00D55143" w:rsidRPr="003C72A8">
        <w:t xml:space="preserve">.  </w:t>
      </w:r>
      <w:r w:rsidR="00080FB6" w:rsidRPr="003C72A8">
        <w:t>Staff supports the Company’s proposal.</w:t>
      </w:r>
    </w:p>
    <w:p w:rsidR="00BE229F" w:rsidRPr="003C72A8" w:rsidRDefault="00BE229F" w:rsidP="0007062F">
      <w:pPr>
        <w:pStyle w:val="Heading2"/>
      </w:pPr>
      <w:bookmarkStart w:id="22" w:name="_Toc329612777"/>
      <w:r w:rsidRPr="003C72A8">
        <w:t>New Accounting Deferrals and Recovery of Existing Regulatory Assets</w:t>
      </w:r>
      <w:bookmarkEnd w:id="22"/>
    </w:p>
    <w:p w:rsidR="00885E0A" w:rsidRDefault="0007062F" w:rsidP="00BE335A">
      <w:pPr>
        <w:pStyle w:val="textstyle0"/>
      </w:pPr>
      <w:r>
        <w:tab/>
      </w:r>
      <w:r w:rsidR="00BE229F" w:rsidRPr="003C72A8">
        <w:t>The Company filed Case Nos. 11-4920-EL-RDR and 11-4921-EL-RDR to estab</w:t>
      </w:r>
      <w:r w:rsidR="00D55143">
        <w:softHyphen/>
      </w:r>
      <w:r w:rsidR="00BE229F" w:rsidRPr="003C72A8">
        <w:t xml:space="preserve">lish </w:t>
      </w:r>
      <w:r w:rsidR="004D4930" w:rsidRPr="003C72A8">
        <w:t>a non-bypassable Phase-</w:t>
      </w:r>
      <w:r w:rsidR="00BE229F" w:rsidRPr="003C72A8">
        <w:t>In Recovery Rider (PIRR) for collection of deferred fuel expenses</w:t>
      </w:r>
      <w:r w:rsidR="00D55143" w:rsidRPr="003C72A8">
        <w:t xml:space="preserve">.  </w:t>
      </w:r>
      <w:r w:rsidR="00885E0A">
        <w:t>As noted above, t</w:t>
      </w:r>
      <w:r w:rsidR="004D4930" w:rsidRPr="003C72A8">
        <w:t xml:space="preserve">he Company proposes </w:t>
      </w:r>
      <w:r w:rsidR="00BE229F" w:rsidRPr="003C72A8">
        <w:t>to delay the commencement of PIRR recovery until June 2013 (with the end of the recovery period remaining as December 31, 2018), while</w:t>
      </w:r>
      <w:r w:rsidR="004D4930" w:rsidRPr="003C72A8">
        <w:t xml:space="preserve"> </w:t>
      </w:r>
      <w:r w:rsidR="00885E0A">
        <w:t>s</w:t>
      </w:r>
      <w:r w:rsidR="007933F7" w:rsidRPr="003C72A8">
        <w:t>taff recommends that the Company should</w:t>
      </w:r>
      <w:r w:rsidR="00885E0A">
        <w:t xml:space="preserve"> </w:t>
      </w:r>
      <w:r w:rsidR="007933F7" w:rsidRPr="003C72A8">
        <w:t xml:space="preserve">implement the merged PIRR without delay. </w:t>
      </w:r>
    </w:p>
    <w:p w:rsidR="00885E0A" w:rsidRDefault="0007062F" w:rsidP="00BE335A">
      <w:pPr>
        <w:pStyle w:val="textstyle0"/>
      </w:pPr>
      <w:r>
        <w:tab/>
      </w:r>
      <w:r w:rsidR="00885E0A">
        <w:t>The Company characterizes this difference in position as a debate coming “</w:t>
      </w:r>
      <w:r w:rsidR="00885E0A" w:rsidRPr="00885E0A">
        <w:t>down to a balancing or</w:t>
      </w:r>
      <w:r w:rsidR="00885E0A">
        <w:t xml:space="preserve"> </w:t>
      </w:r>
      <w:r w:rsidR="00885E0A" w:rsidRPr="00885E0A">
        <w:t>prioritizing as between two legitimate goals: (i) the goal of mitigating present rate impacts, and</w:t>
      </w:r>
      <w:r w:rsidR="00885E0A">
        <w:t xml:space="preserve"> </w:t>
      </w:r>
      <w:r w:rsidR="00885E0A" w:rsidRPr="00885E0A">
        <w:t>(ii) the goal of reducing the total carrying charges to be paid</w:t>
      </w:r>
      <w:r w:rsidR="00D55143" w:rsidRPr="00885E0A">
        <w:t xml:space="preserve">.  </w:t>
      </w:r>
      <w:r w:rsidR="00885E0A" w:rsidRPr="00885E0A">
        <w:t>The Company’s proposal was</w:t>
      </w:r>
      <w:r w:rsidR="00885E0A">
        <w:t xml:space="preserve"> </w:t>
      </w:r>
      <w:r w:rsidR="00885E0A" w:rsidRPr="00885E0A">
        <w:t>aimed at addressing the first goal and the Staff’s position prioritizes the second goal.</w:t>
      </w:r>
      <w:r w:rsidR="00885E0A">
        <w:t>”</w:t>
      </w:r>
      <w:r w:rsidR="00885E0A">
        <w:rPr>
          <w:rStyle w:val="FootnoteReference"/>
        </w:rPr>
        <w:footnoteReference w:id="45"/>
      </w:r>
      <w:r w:rsidR="00885E0A">
        <w:t xml:space="preserve"> </w:t>
      </w:r>
      <w:r>
        <w:t xml:space="preserve"> </w:t>
      </w:r>
      <w:r w:rsidR="00885E0A">
        <w:t>Staff respectfully submits that while its position admit</w:t>
      </w:r>
      <w:r w:rsidR="00D55143">
        <w:softHyphen/>
      </w:r>
      <w:r w:rsidR="00885E0A">
        <w:t>tedly does not mitigate present rate impacts, it does mitigate overall rate impacts, but minimizing the burden that ratepayers must ultimately bear</w:t>
      </w:r>
      <w:r w:rsidR="00D55143">
        <w:t xml:space="preserve">.  </w:t>
      </w:r>
      <w:r w:rsidR="00885E0A">
        <w:t xml:space="preserve">While both goals may be </w:t>
      </w:r>
      <w:r w:rsidR="00885E0A">
        <w:lastRenderedPageBreak/>
        <w:t xml:space="preserve">legitimate, they are not “equal,” and staff maintains that there is no just cause for further delay. </w:t>
      </w:r>
    </w:p>
    <w:p w:rsidR="00885E0A" w:rsidRPr="00885E0A" w:rsidRDefault="0007062F" w:rsidP="00BE335A">
      <w:pPr>
        <w:pStyle w:val="textstyle0"/>
      </w:pPr>
      <w:r>
        <w:tab/>
      </w:r>
      <w:r w:rsidR="00885E0A">
        <w:t xml:space="preserve">In doing so, staff reiterates that the </w:t>
      </w:r>
      <w:r w:rsidR="00885E0A" w:rsidRPr="00885E0A">
        <w:t>other critically important issues regarding PIRR mechanics should move forward on their own merits in Case Nos. 11-4920-EL-RDR, 11-4921-EL-</w:t>
      </w:r>
      <w:r w:rsidR="00885E0A">
        <w:t>RDR.</w:t>
      </w:r>
      <w:r>
        <w:t xml:space="preserve"> </w:t>
      </w:r>
      <w:r w:rsidR="00885E0A">
        <w:t xml:space="preserve"> Those issues </w:t>
      </w:r>
      <w:r w:rsidR="00885E0A" w:rsidRPr="00885E0A">
        <w:t>include:</w:t>
      </w:r>
    </w:p>
    <w:p w:rsidR="00885E0A" w:rsidRPr="00885E0A" w:rsidRDefault="00885E0A" w:rsidP="0007062F">
      <w:pPr>
        <w:pStyle w:val="ListParagraph"/>
        <w:numPr>
          <w:ilvl w:val="0"/>
          <w:numId w:val="13"/>
        </w:numPr>
        <w:autoSpaceDE w:val="0"/>
        <w:autoSpaceDN w:val="0"/>
        <w:adjustRightInd w:val="0"/>
        <w:spacing w:after="240" w:line="240" w:lineRule="auto"/>
        <w:ind w:hanging="720"/>
        <w:contextualSpacing w:val="0"/>
        <w:rPr>
          <w:rFonts w:ascii="Times New Roman" w:hAnsi="Times New Roman" w:cs="Times New Roman"/>
          <w:sz w:val="26"/>
          <w:szCs w:val="26"/>
        </w:rPr>
      </w:pPr>
      <w:bookmarkStart w:id="23" w:name="_Toc319068747"/>
      <w:r w:rsidRPr="00885E0A">
        <w:rPr>
          <w:rFonts w:ascii="Times New Roman" w:hAnsi="Times New Roman" w:cs="Times New Roman"/>
          <w:sz w:val="26"/>
          <w:szCs w:val="26"/>
        </w:rPr>
        <w:t>Once Rider PIRR collection commences the carrying charges should be cal</w:t>
      </w:r>
      <w:r w:rsidRPr="00885E0A">
        <w:rPr>
          <w:rFonts w:ascii="Times New Roman" w:hAnsi="Times New Roman" w:cs="Times New Roman"/>
          <w:sz w:val="26"/>
          <w:szCs w:val="26"/>
        </w:rPr>
        <w:softHyphen/>
        <w:t>culated on the most recently approved Commission debt rate (5.34%) and not the 11.26 % pre-tax weighted average costs of capital (WACC) as cur</w:t>
      </w:r>
      <w:r w:rsidR="00D55143">
        <w:rPr>
          <w:rFonts w:ascii="Times New Roman" w:hAnsi="Times New Roman" w:cs="Times New Roman"/>
          <w:sz w:val="26"/>
          <w:szCs w:val="26"/>
        </w:rPr>
        <w:softHyphen/>
      </w:r>
      <w:r w:rsidRPr="00885E0A">
        <w:rPr>
          <w:rFonts w:ascii="Times New Roman" w:hAnsi="Times New Roman" w:cs="Times New Roman"/>
          <w:sz w:val="26"/>
          <w:szCs w:val="26"/>
        </w:rPr>
        <w:t>rently proposed by the Compan</w:t>
      </w:r>
      <w:bookmarkEnd w:id="23"/>
      <w:r w:rsidRPr="00885E0A">
        <w:rPr>
          <w:rFonts w:ascii="Times New Roman" w:hAnsi="Times New Roman" w:cs="Times New Roman"/>
          <w:sz w:val="26"/>
          <w:szCs w:val="26"/>
        </w:rPr>
        <w:t xml:space="preserve">y. </w:t>
      </w:r>
    </w:p>
    <w:p w:rsidR="00885E0A" w:rsidRPr="00885E0A" w:rsidRDefault="00885E0A" w:rsidP="0007062F">
      <w:pPr>
        <w:pStyle w:val="ListParagraph"/>
        <w:numPr>
          <w:ilvl w:val="0"/>
          <w:numId w:val="13"/>
        </w:numPr>
        <w:autoSpaceDE w:val="0"/>
        <w:autoSpaceDN w:val="0"/>
        <w:adjustRightInd w:val="0"/>
        <w:spacing w:after="240" w:line="240" w:lineRule="auto"/>
        <w:ind w:hanging="720"/>
        <w:contextualSpacing w:val="0"/>
        <w:rPr>
          <w:rFonts w:ascii="Times New Roman" w:hAnsi="Times New Roman" w:cs="Times New Roman"/>
          <w:sz w:val="26"/>
          <w:szCs w:val="26"/>
        </w:rPr>
      </w:pPr>
      <w:r w:rsidRPr="00885E0A">
        <w:rPr>
          <w:rFonts w:ascii="Times New Roman" w:hAnsi="Times New Roman" w:cs="Times New Roman"/>
          <w:sz w:val="26"/>
          <w:szCs w:val="26"/>
        </w:rPr>
        <w:t>The ending fuel deferral balance at the end of December 2011 should be reduced for Accumulated Deferred Income Taxes (ADIT) in the calculation of carrying costs for Rider PIRR.</w:t>
      </w:r>
    </w:p>
    <w:p w:rsidR="00885E0A" w:rsidRPr="00885E0A" w:rsidRDefault="00885E0A" w:rsidP="0007062F">
      <w:pPr>
        <w:pStyle w:val="ListParagraph"/>
        <w:numPr>
          <w:ilvl w:val="0"/>
          <w:numId w:val="13"/>
        </w:numPr>
        <w:autoSpaceDE w:val="0"/>
        <w:autoSpaceDN w:val="0"/>
        <w:adjustRightInd w:val="0"/>
        <w:spacing w:after="240" w:line="240" w:lineRule="auto"/>
        <w:ind w:hanging="720"/>
        <w:contextualSpacing w:val="0"/>
        <w:rPr>
          <w:rFonts w:ascii="Times New Roman" w:hAnsi="Times New Roman" w:cs="Times New Roman"/>
          <w:sz w:val="26"/>
          <w:szCs w:val="26"/>
        </w:rPr>
      </w:pPr>
      <w:bookmarkStart w:id="24" w:name="_Toc319068748"/>
      <w:r w:rsidRPr="00885E0A">
        <w:rPr>
          <w:rFonts w:ascii="Times New Roman" w:hAnsi="Times New Roman" w:cs="Times New Roman"/>
          <w:sz w:val="26"/>
          <w:szCs w:val="26"/>
        </w:rPr>
        <w:t>The Company should be required to calculate the deferral balance “going for</w:t>
      </w:r>
      <w:r w:rsidR="00D55143">
        <w:rPr>
          <w:rFonts w:ascii="Times New Roman" w:hAnsi="Times New Roman" w:cs="Times New Roman"/>
          <w:sz w:val="26"/>
          <w:szCs w:val="26"/>
        </w:rPr>
        <w:softHyphen/>
      </w:r>
      <w:r w:rsidRPr="00885E0A">
        <w:rPr>
          <w:rFonts w:ascii="Times New Roman" w:hAnsi="Times New Roman" w:cs="Times New Roman"/>
          <w:sz w:val="26"/>
          <w:szCs w:val="26"/>
        </w:rPr>
        <w:t>ward” on annual compounding not monthly compounding.</w:t>
      </w:r>
      <w:bookmarkEnd w:id="24"/>
      <w:r>
        <w:rPr>
          <w:rStyle w:val="FootnoteReference"/>
          <w:rFonts w:ascii="Times New Roman" w:hAnsi="Times New Roman" w:cs="Times New Roman"/>
          <w:sz w:val="26"/>
          <w:szCs w:val="26"/>
        </w:rPr>
        <w:footnoteReference w:id="46"/>
      </w:r>
    </w:p>
    <w:p w:rsidR="00855AFC" w:rsidRPr="003C72A8" w:rsidRDefault="0007062F" w:rsidP="00BE335A">
      <w:pPr>
        <w:pStyle w:val="textstyle0"/>
      </w:pPr>
      <w:r>
        <w:tab/>
      </w:r>
      <w:r w:rsidR="007933F7" w:rsidRPr="003C72A8">
        <w:t>The Company should be directed to merge both its FAC and the PIRR rates, and start collection as soon as practicable following a Commission order in this case</w:t>
      </w:r>
      <w:r w:rsidR="00D55143" w:rsidRPr="003C72A8">
        <w:t xml:space="preserve">.  </w:t>
      </w:r>
      <w:r w:rsidR="007933F7" w:rsidRPr="003C72A8">
        <w:t>And the Company should be denied the recovery of carrying costs since it voluntarily elected to delay collections that were supposed to begin January 1, 2012.</w:t>
      </w:r>
    </w:p>
    <w:p w:rsidR="00BE229F" w:rsidRPr="003C72A8" w:rsidRDefault="0007062F" w:rsidP="0007062F">
      <w:pPr>
        <w:pStyle w:val="Heading1"/>
      </w:pPr>
      <w:bookmarkStart w:id="25" w:name="_Toc329612778"/>
      <w:r>
        <w:t>CONCLUSION</w:t>
      </w:r>
      <w:bookmarkEnd w:id="25"/>
    </w:p>
    <w:p w:rsidR="002E39C2" w:rsidRDefault="0007062F" w:rsidP="00BE335A">
      <w:pPr>
        <w:pStyle w:val="textstyle0"/>
      </w:pPr>
      <w:r>
        <w:tab/>
      </w:r>
      <w:r w:rsidR="007F05AD">
        <w:t>Staff is committed to encouraging the quickest possible orderly transition to full market</w:t>
      </w:r>
      <w:r w:rsidR="00D55143">
        <w:t xml:space="preserve">.  </w:t>
      </w:r>
      <w:r w:rsidR="007F05AD">
        <w:t xml:space="preserve">Staff believes that this approach is in the best interests of all market participants, and the State of Ohio as a whole. </w:t>
      </w:r>
      <w:r w:rsidR="002E39C2">
        <w:t>Such a transition should occur as quickly, and as com</w:t>
      </w:r>
      <w:r w:rsidR="00D55143">
        <w:softHyphen/>
      </w:r>
      <w:r w:rsidR="002E39C2">
        <w:t xml:space="preserve">pletely, as practicable. </w:t>
      </w:r>
    </w:p>
    <w:p w:rsidR="007F05AD" w:rsidRDefault="0007062F" w:rsidP="00BE335A">
      <w:pPr>
        <w:pStyle w:val="textstyle0"/>
      </w:pPr>
      <w:r>
        <w:lastRenderedPageBreak/>
        <w:tab/>
      </w:r>
      <w:r w:rsidR="007F05AD">
        <w:t>The Company’s proposed modified</w:t>
      </w:r>
      <w:r w:rsidR="007F05AD" w:rsidRPr="007F05AD">
        <w:t xml:space="preserve"> ESP</w:t>
      </w:r>
      <w:r w:rsidR="007F05AD">
        <w:t>, although it fails a strictly quantitative comparison with an MRO approach, may, with modification, help to achieve this goal</w:t>
      </w:r>
      <w:r w:rsidR="00D55143">
        <w:t xml:space="preserve">.  </w:t>
      </w:r>
      <w:r w:rsidR="002E39C2">
        <w:t xml:space="preserve">Staff believes that there are significant qualitative factors that should be considered in determining whether to the ESP should be approved. </w:t>
      </w:r>
    </w:p>
    <w:p w:rsidR="002E39C2" w:rsidRDefault="0007062F" w:rsidP="00BE335A">
      <w:pPr>
        <w:pStyle w:val="textstyle0"/>
      </w:pPr>
      <w:r>
        <w:tab/>
      </w:r>
      <w:r w:rsidR="002E39C2">
        <w:t>Staff has, however, a number of recommendations that should also be adopted if the Commission approves, as proposed or otherwise modified, the Company’s plan</w:t>
      </w:r>
      <w:r w:rsidR="00D55143">
        <w:t xml:space="preserve">.  </w:t>
      </w:r>
      <w:r w:rsidR="002E39C2">
        <w:t>If the Commission approves an ESP in this proceeding, it should adopt the recommenda</w:t>
      </w:r>
      <w:r w:rsidR="00D55143">
        <w:softHyphen/>
      </w:r>
      <w:r w:rsidR="002E39C2">
        <w:t xml:space="preserve">tions contained above and in staff’s testimony in this case. </w:t>
      </w:r>
    </w:p>
    <w:p w:rsidR="0007062F" w:rsidRDefault="0007062F" w:rsidP="0007062F">
      <w:pPr>
        <w:ind w:left="4320"/>
        <w:rPr>
          <w:rFonts w:ascii="Times New Roman" w:hAnsi="Times New Roman" w:cs="Times New Roman"/>
          <w:sz w:val="26"/>
          <w:szCs w:val="26"/>
        </w:rPr>
      </w:pPr>
      <w:r>
        <w:rPr>
          <w:rFonts w:ascii="Times New Roman" w:hAnsi="Times New Roman" w:cs="Times New Roman"/>
          <w:sz w:val="26"/>
          <w:szCs w:val="26"/>
        </w:rPr>
        <w:t>Respectfully submitted,</w:t>
      </w:r>
    </w:p>
    <w:p w:rsidR="0007062F" w:rsidRPr="003C72A8" w:rsidRDefault="0007062F" w:rsidP="0007062F">
      <w:pPr>
        <w:spacing w:after="0"/>
        <w:ind w:left="4320"/>
        <w:rPr>
          <w:rFonts w:ascii="Times New Roman" w:eastAsia="Times New Roman" w:hAnsi="Times New Roman" w:cs="Times New Roman"/>
          <w:b/>
          <w:sz w:val="26"/>
          <w:szCs w:val="26"/>
        </w:rPr>
      </w:pPr>
      <w:r>
        <w:rPr>
          <w:rFonts w:ascii="Times New Roman" w:eastAsia="Times New Roman" w:hAnsi="Times New Roman" w:cs="Times New Roman"/>
          <w:b/>
          <w:sz w:val="26"/>
          <w:szCs w:val="26"/>
        </w:rPr>
        <w:t>Michael</w:t>
      </w:r>
      <w:r w:rsidRPr="003C72A8">
        <w:rPr>
          <w:rFonts w:ascii="Times New Roman" w:eastAsia="Times New Roman" w:hAnsi="Times New Roman" w:cs="Times New Roman"/>
          <w:b/>
          <w:sz w:val="26"/>
          <w:szCs w:val="26"/>
        </w:rPr>
        <w:t xml:space="preserve"> DeWine </w:t>
      </w:r>
    </w:p>
    <w:p w:rsidR="0007062F" w:rsidRPr="003C72A8" w:rsidRDefault="0007062F" w:rsidP="0007062F">
      <w:pPr>
        <w:spacing w:after="0" w:line="240" w:lineRule="auto"/>
        <w:ind w:left="4320"/>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Ohio Attorney General</w:t>
      </w:r>
    </w:p>
    <w:p w:rsidR="0007062F" w:rsidRPr="003C72A8" w:rsidRDefault="0007062F" w:rsidP="0007062F">
      <w:pPr>
        <w:spacing w:after="0" w:line="240" w:lineRule="auto"/>
        <w:ind w:left="4320"/>
        <w:rPr>
          <w:rFonts w:ascii="Times New Roman" w:eastAsia="Times New Roman" w:hAnsi="Times New Roman" w:cs="Times New Roman"/>
          <w:sz w:val="26"/>
          <w:szCs w:val="26"/>
        </w:rPr>
      </w:pPr>
    </w:p>
    <w:p w:rsidR="0007062F" w:rsidRPr="003C72A8" w:rsidRDefault="0007062F" w:rsidP="0007062F">
      <w:pPr>
        <w:spacing w:after="0" w:line="240" w:lineRule="auto"/>
        <w:ind w:left="4320"/>
        <w:rPr>
          <w:rFonts w:ascii="Times New Roman" w:eastAsia="Times New Roman" w:hAnsi="Times New Roman" w:cs="Times New Roman"/>
          <w:b/>
          <w:sz w:val="26"/>
          <w:szCs w:val="26"/>
        </w:rPr>
      </w:pPr>
      <w:r w:rsidRPr="003C72A8">
        <w:rPr>
          <w:rFonts w:ascii="Times New Roman" w:eastAsia="Times New Roman" w:hAnsi="Times New Roman" w:cs="Times New Roman"/>
          <w:b/>
          <w:sz w:val="26"/>
          <w:szCs w:val="26"/>
        </w:rPr>
        <w:t>William L. Wright</w:t>
      </w:r>
    </w:p>
    <w:p w:rsidR="0007062F" w:rsidRPr="003C72A8" w:rsidRDefault="0007062F" w:rsidP="0007062F">
      <w:pPr>
        <w:spacing w:after="0" w:line="240" w:lineRule="auto"/>
        <w:ind w:left="4320"/>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Section Chief, Public Utilities Section</w:t>
      </w:r>
    </w:p>
    <w:p w:rsidR="0007062F" w:rsidRDefault="0007062F" w:rsidP="0007062F">
      <w:pPr>
        <w:spacing w:after="0" w:line="240" w:lineRule="auto"/>
        <w:ind w:left="4320"/>
        <w:rPr>
          <w:rFonts w:ascii="Times New Roman" w:eastAsia="Times New Roman" w:hAnsi="Times New Roman" w:cs="Times New Roman"/>
          <w:b/>
          <w:sz w:val="26"/>
          <w:szCs w:val="26"/>
        </w:rPr>
      </w:pPr>
    </w:p>
    <w:p w:rsidR="0007062F" w:rsidRPr="0007062F" w:rsidRDefault="0007062F" w:rsidP="0007062F">
      <w:pPr>
        <w:tabs>
          <w:tab w:val="left" w:pos="9360"/>
        </w:tabs>
        <w:spacing w:after="0" w:line="240" w:lineRule="auto"/>
        <w:ind w:left="4320"/>
        <w:rPr>
          <w:rFonts w:ascii="Viner Hand ITC" w:eastAsia="Times New Roman" w:hAnsi="Viner Hand ITC" w:cs="Times New Roman"/>
          <w:sz w:val="36"/>
          <w:szCs w:val="36"/>
          <w:u w:val="single"/>
        </w:rPr>
      </w:pPr>
      <w:r w:rsidRPr="0007062F">
        <w:rPr>
          <w:rFonts w:ascii="Viner Hand ITC" w:eastAsia="Times New Roman" w:hAnsi="Viner Hand ITC" w:cs="Times New Roman"/>
          <w:sz w:val="36"/>
          <w:szCs w:val="36"/>
          <w:u w:val="single"/>
        </w:rPr>
        <w:t>/s/ Werner L. Margard III</w:t>
      </w:r>
      <w:r w:rsidRPr="0007062F">
        <w:rPr>
          <w:rFonts w:ascii="Viner Hand ITC" w:eastAsia="Times New Roman" w:hAnsi="Viner Hand ITC" w:cs="Times New Roman"/>
          <w:sz w:val="36"/>
          <w:szCs w:val="36"/>
          <w:u w:val="single"/>
        </w:rPr>
        <w:tab/>
      </w:r>
    </w:p>
    <w:p w:rsidR="0007062F" w:rsidRPr="0007062F" w:rsidRDefault="0007062F" w:rsidP="0007062F">
      <w:pPr>
        <w:spacing w:after="0" w:line="240" w:lineRule="auto"/>
        <w:ind w:left="4320"/>
        <w:rPr>
          <w:rFonts w:ascii="Times New Roman" w:eastAsia="Times New Roman" w:hAnsi="Times New Roman" w:cs="Times New Roman"/>
          <w:b/>
          <w:sz w:val="26"/>
          <w:szCs w:val="26"/>
        </w:rPr>
      </w:pPr>
      <w:r>
        <w:rPr>
          <w:rFonts w:ascii="Times New Roman" w:eastAsia="Times New Roman" w:hAnsi="Times New Roman" w:cs="Times New Roman"/>
          <w:b/>
          <w:sz w:val="26"/>
          <w:szCs w:val="26"/>
        </w:rPr>
        <w:t>W</w:t>
      </w:r>
      <w:r w:rsidRPr="003C72A8">
        <w:rPr>
          <w:rFonts w:ascii="Times New Roman" w:eastAsia="Times New Roman" w:hAnsi="Times New Roman" w:cs="Times New Roman"/>
          <w:b/>
          <w:sz w:val="26"/>
          <w:szCs w:val="26"/>
        </w:rPr>
        <w:t>erner L. Margard III</w:t>
      </w:r>
    </w:p>
    <w:p w:rsidR="0007062F" w:rsidRPr="003C72A8" w:rsidRDefault="0007062F" w:rsidP="0007062F">
      <w:pPr>
        <w:spacing w:after="0" w:line="240" w:lineRule="auto"/>
        <w:ind w:left="4320"/>
        <w:rPr>
          <w:rFonts w:ascii="Times New Roman" w:eastAsia="Times New Roman" w:hAnsi="Times New Roman" w:cs="Times New Roman"/>
          <w:sz w:val="26"/>
          <w:szCs w:val="26"/>
        </w:rPr>
      </w:pPr>
      <w:r w:rsidRPr="003C72A8">
        <w:rPr>
          <w:rFonts w:ascii="Times New Roman" w:eastAsia="Times New Roman" w:hAnsi="Times New Roman" w:cs="Times New Roman"/>
          <w:b/>
          <w:sz w:val="26"/>
          <w:szCs w:val="26"/>
        </w:rPr>
        <w:t>Steven L. Beeler</w:t>
      </w:r>
      <w:r w:rsidRPr="003C72A8">
        <w:rPr>
          <w:rFonts w:ascii="Times New Roman" w:eastAsia="Times New Roman" w:hAnsi="Times New Roman" w:cs="Times New Roman"/>
          <w:sz w:val="26"/>
          <w:szCs w:val="26"/>
        </w:rPr>
        <w:t xml:space="preserve"> </w:t>
      </w:r>
    </w:p>
    <w:p w:rsidR="0007062F" w:rsidRPr="003C72A8" w:rsidRDefault="0007062F" w:rsidP="0007062F">
      <w:pPr>
        <w:spacing w:after="0" w:line="240" w:lineRule="auto"/>
        <w:ind w:left="4320"/>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Assistant Attorneys General</w:t>
      </w:r>
    </w:p>
    <w:p w:rsidR="0007062F" w:rsidRPr="003C72A8" w:rsidRDefault="0007062F" w:rsidP="0007062F">
      <w:pPr>
        <w:spacing w:after="0" w:line="240" w:lineRule="auto"/>
        <w:ind w:left="4320"/>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180 East Broad Street, 6</w:t>
      </w:r>
      <w:r w:rsidRPr="003C72A8">
        <w:rPr>
          <w:rFonts w:ascii="Times New Roman" w:eastAsia="Times New Roman" w:hAnsi="Times New Roman" w:cs="Times New Roman"/>
          <w:sz w:val="26"/>
          <w:szCs w:val="26"/>
          <w:vertAlign w:val="superscript"/>
        </w:rPr>
        <w:t>th</w:t>
      </w:r>
      <w:r w:rsidRPr="003C72A8">
        <w:rPr>
          <w:rFonts w:ascii="Times New Roman" w:eastAsia="Times New Roman" w:hAnsi="Times New Roman" w:cs="Times New Roman"/>
          <w:sz w:val="26"/>
          <w:szCs w:val="26"/>
        </w:rPr>
        <w:t xml:space="preserve"> floor  </w:t>
      </w:r>
    </w:p>
    <w:p w:rsidR="0007062F" w:rsidRPr="003C72A8" w:rsidRDefault="0007062F" w:rsidP="0007062F">
      <w:pPr>
        <w:spacing w:after="0" w:line="240" w:lineRule="auto"/>
        <w:ind w:left="4320"/>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Columbus, Ohio 43215-3739</w:t>
      </w:r>
    </w:p>
    <w:p w:rsidR="0007062F" w:rsidRPr="003C72A8" w:rsidRDefault="0007062F" w:rsidP="0007062F">
      <w:pPr>
        <w:spacing w:after="0" w:line="240" w:lineRule="auto"/>
        <w:ind w:left="4320"/>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Telephone: (614) 466-4396</w:t>
      </w:r>
    </w:p>
    <w:p w:rsidR="0007062F" w:rsidRPr="003C72A8" w:rsidRDefault="0007062F" w:rsidP="0007062F">
      <w:pPr>
        <w:spacing w:after="0" w:line="240" w:lineRule="auto"/>
        <w:ind w:left="4320"/>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Facsimile: (614) 644-8764</w:t>
      </w:r>
    </w:p>
    <w:p w:rsidR="0007062F" w:rsidRPr="003C72A8" w:rsidRDefault="0007062F" w:rsidP="0007062F">
      <w:pPr>
        <w:spacing w:after="0" w:line="240" w:lineRule="auto"/>
        <w:ind w:left="4320"/>
        <w:rPr>
          <w:rFonts w:ascii="Times New Roman" w:eastAsia="Times New Roman" w:hAnsi="Times New Roman" w:cs="Times New Roman"/>
          <w:sz w:val="26"/>
          <w:szCs w:val="26"/>
        </w:rPr>
      </w:pPr>
      <w:r w:rsidRPr="003C72A8">
        <w:rPr>
          <w:rFonts w:ascii="Times New Roman" w:eastAsia="Times New Roman" w:hAnsi="Times New Roman" w:cs="Times New Roman"/>
          <w:color w:val="000000" w:themeColor="text1"/>
          <w:sz w:val="26"/>
          <w:szCs w:val="26"/>
        </w:rPr>
        <w:t>werner</w:t>
      </w:r>
      <w:r w:rsidRPr="003C72A8">
        <w:rPr>
          <w:rFonts w:ascii="Times New Roman" w:eastAsia="Times New Roman" w:hAnsi="Times New Roman" w:cs="Times New Roman"/>
          <w:sz w:val="26"/>
          <w:szCs w:val="26"/>
        </w:rPr>
        <w:t>.margard@puc.state.oh.us</w:t>
      </w:r>
    </w:p>
    <w:p w:rsidR="0007062F" w:rsidRPr="003C72A8" w:rsidRDefault="0007062F" w:rsidP="0007062F">
      <w:pPr>
        <w:spacing w:after="0" w:line="240" w:lineRule="auto"/>
        <w:ind w:left="4320"/>
        <w:rPr>
          <w:rFonts w:ascii="Times New Roman" w:eastAsia="Times New Roman" w:hAnsi="Times New Roman" w:cs="Times New Roman"/>
          <w:sz w:val="26"/>
          <w:szCs w:val="26"/>
        </w:rPr>
      </w:pPr>
      <w:r w:rsidRPr="003C72A8">
        <w:rPr>
          <w:rFonts w:ascii="Times New Roman" w:eastAsia="Times New Roman" w:hAnsi="Times New Roman" w:cs="Times New Roman"/>
          <w:sz w:val="26"/>
          <w:szCs w:val="26"/>
        </w:rPr>
        <w:t>steven.beeler@puc.state.oh.us</w:t>
      </w:r>
    </w:p>
    <w:p w:rsidR="0007062F" w:rsidRPr="003C72A8" w:rsidRDefault="0007062F" w:rsidP="0007062F">
      <w:pPr>
        <w:spacing w:after="0" w:line="240" w:lineRule="auto"/>
        <w:ind w:left="4320"/>
        <w:rPr>
          <w:rFonts w:ascii="Times New Roman" w:eastAsia="Times New Roman" w:hAnsi="Times New Roman" w:cs="Times New Roman"/>
          <w:sz w:val="26"/>
          <w:szCs w:val="26"/>
        </w:rPr>
      </w:pPr>
    </w:p>
    <w:p w:rsidR="0007062F" w:rsidRPr="003C72A8" w:rsidRDefault="0007062F" w:rsidP="0007062F">
      <w:pPr>
        <w:spacing w:after="0" w:line="240" w:lineRule="auto"/>
        <w:ind w:left="4320"/>
        <w:rPr>
          <w:rFonts w:ascii="Times New Roman" w:eastAsia="Times New Roman" w:hAnsi="Times New Roman" w:cs="Times New Roman"/>
          <w:b/>
          <w:bCs/>
          <w:sz w:val="26"/>
          <w:szCs w:val="26"/>
        </w:rPr>
      </w:pPr>
      <w:r w:rsidRPr="003C72A8">
        <w:rPr>
          <w:rFonts w:ascii="Times New Roman" w:eastAsia="Times New Roman" w:hAnsi="Times New Roman" w:cs="Times New Roman"/>
          <w:b/>
          <w:bCs/>
          <w:sz w:val="26"/>
          <w:szCs w:val="26"/>
        </w:rPr>
        <w:t>Counsel for the Staff of the</w:t>
      </w:r>
    </w:p>
    <w:p w:rsidR="0007062F" w:rsidRPr="003C72A8" w:rsidRDefault="0007062F" w:rsidP="0007062F">
      <w:pPr>
        <w:spacing w:after="0" w:line="240" w:lineRule="auto"/>
        <w:ind w:left="4320"/>
        <w:rPr>
          <w:rFonts w:ascii="Times New Roman" w:eastAsia="Times New Roman" w:hAnsi="Times New Roman" w:cs="Times New Roman"/>
          <w:b/>
          <w:bCs/>
          <w:sz w:val="26"/>
          <w:szCs w:val="26"/>
        </w:rPr>
      </w:pPr>
      <w:r w:rsidRPr="003C72A8">
        <w:rPr>
          <w:rFonts w:ascii="Times New Roman" w:eastAsia="Times New Roman" w:hAnsi="Times New Roman" w:cs="Times New Roman"/>
          <w:b/>
          <w:bCs/>
          <w:sz w:val="26"/>
          <w:szCs w:val="26"/>
        </w:rPr>
        <w:t>Public Utilities Commission of Ohio</w:t>
      </w:r>
    </w:p>
    <w:p w:rsidR="0007062F" w:rsidRPr="0007062F" w:rsidRDefault="0007062F" w:rsidP="0007062F">
      <w:pPr>
        <w:ind w:left="4320"/>
        <w:rPr>
          <w:rFonts w:ascii="Times New Roman" w:hAnsi="Times New Roman" w:cs="Times New Roman"/>
          <w:sz w:val="26"/>
          <w:szCs w:val="26"/>
        </w:rPr>
      </w:pPr>
    </w:p>
    <w:p w:rsidR="0007062F" w:rsidRDefault="0007062F" w:rsidP="00412BDC">
      <w:pPr>
        <w:pStyle w:val="Heading1"/>
        <w:rPr>
          <w:rFonts w:cs="Times New Roman"/>
          <w:sz w:val="26"/>
          <w:szCs w:val="26"/>
        </w:rPr>
      </w:pPr>
      <w:r>
        <w:rPr>
          <w:rFonts w:cs="Times New Roman"/>
          <w:sz w:val="26"/>
          <w:szCs w:val="26"/>
        </w:rPr>
        <w:br w:type="page"/>
      </w:r>
    </w:p>
    <w:p w:rsidR="00412BDC" w:rsidRPr="003C72A8" w:rsidRDefault="00412BDC" w:rsidP="00412BDC">
      <w:pPr>
        <w:pStyle w:val="Heading1"/>
        <w:rPr>
          <w:rFonts w:cs="Times New Roman"/>
          <w:sz w:val="26"/>
          <w:szCs w:val="26"/>
        </w:rPr>
      </w:pPr>
      <w:bookmarkStart w:id="26" w:name="_Toc329612779"/>
      <w:r w:rsidRPr="003C72A8">
        <w:rPr>
          <w:rFonts w:cs="Times New Roman"/>
          <w:sz w:val="26"/>
          <w:szCs w:val="26"/>
        </w:rPr>
        <w:lastRenderedPageBreak/>
        <w:t>PROOF OF SERVICE</w:t>
      </w:r>
      <w:bookmarkEnd w:id="26"/>
    </w:p>
    <w:p w:rsidR="00412BDC" w:rsidRPr="003C72A8" w:rsidRDefault="00412BDC" w:rsidP="00DC3CC2">
      <w:pPr>
        <w:pStyle w:val="Textstyle"/>
      </w:pPr>
      <w:r w:rsidRPr="003C72A8">
        <w:tab/>
        <w:t xml:space="preserve">I hereby certify that a true copy of the foregoing </w:t>
      </w:r>
      <w:r w:rsidR="00CF2E75">
        <w:t>Reply</w:t>
      </w:r>
      <w:r w:rsidRPr="003C72A8">
        <w:t xml:space="preserve"> Brief submitted on behalf of the </w:t>
      </w:r>
      <w:r w:rsidR="00927CF2">
        <w:t>staff</w:t>
      </w:r>
      <w:r w:rsidRPr="003C72A8">
        <w:t xml:space="preserve"> of the Public Utilities Commission of Ohio,</w:t>
      </w:r>
      <w:r w:rsidRPr="003C72A8">
        <w:rPr>
          <w:b/>
        </w:rPr>
        <w:t xml:space="preserve"> </w:t>
      </w:r>
      <w:r w:rsidRPr="003C72A8">
        <w:t>was served via elec</w:t>
      </w:r>
      <w:r w:rsidRPr="003C72A8">
        <w:softHyphen/>
        <w:t>tronic mail, upon the follow</w:t>
      </w:r>
      <w:r w:rsidRPr="003C72A8">
        <w:softHyphen/>
        <w:t>ing par</w:t>
      </w:r>
      <w:r w:rsidRPr="003C72A8">
        <w:softHyphen/>
        <w:t>ties of record, this 9</w:t>
      </w:r>
      <w:r w:rsidRPr="003C72A8">
        <w:rPr>
          <w:vertAlign w:val="superscript"/>
        </w:rPr>
        <w:t>th</w:t>
      </w:r>
      <w:r w:rsidRPr="003C72A8">
        <w:t xml:space="preserve"> day of Ju</w:t>
      </w:r>
      <w:r w:rsidR="00CF2E75">
        <w:t>ly</w:t>
      </w:r>
      <w:r w:rsidRPr="003C72A8">
        <w:t>, 2012.</w:t>
      </w:r>
    </w:p>
    <w:p w:rsidR="00412BDC" w:rsidRPr="003C72A8" w:rsidRDefault="00412BDC" w:rsidP="00DC3CC2">
      <w:pPr>
        <w:pStyle w:val="Textstyle"/>
      </w:pPr>
    </w:p>
    <w:p w:rsidR="0007062F" w:rsidRDefault="0007062F" w:rsidP="00412BDC">
      <w:pPr>
        <w:tabs>
          <w:tab w:val="left" w:pos="9360"/>
        </w:tabs>
        <w:spacing w:after="0" w:line="240" w:lineRule="auto"/>
        <w:ind w:left="4766"/>
        <w:rPr>
          <w:rFonts w:ascii="Viner Hand ITC" w:eastAsia="Times New Roman" w:hAnsi="Viner Hand ITC" w:cs="Times New Roman"/>
          <w:sz w:val="36"/>
          <w:szCs w:val="36"/>
          <w:u w:val="single"/>
        </w:rPr>
      </w:pPr>
      <w:r w:rsidRPr="0007062F">
        <w:rPr>
          <w:rFonts w:ascii="Viner Hand ITC" w:eastAsia="Times New Roman" w:hAnsi="Viner Hand ITC" w:cs="Times New Roman"/>
          <w:sz w:val="36"/>
          <w:szCs w:val="36"/>
          <w:u w:val="single"/>
        </w:rPr>
        <w:t>/s/ Werner L. Margard III</w:t>
      </w:r>
    </w:p>
    <w:p w:rsidR="00412BDC" w:rsidRPr="003C72A8" w:rsidRDefault="00412BDC" w:rsidP="00412BDC">
      <w:pPr>
        <w:tabs>
          <w:tab w:val="left" w:pos="9360"/>
        </w:tabs>
        <w:spacing w:after="0" w:line="240" w:lineRule="auto"/>
        <w:ind w:left="4766"/>
        <w:rPr>
          <w:rFonts w:ascii="Times New Roman" w:hAnsi="Times New Roman" w:cs="Times New Roman"/>
          <w:b/>
          <w:sz w:val="26"/>
          <w:szCs w:val="26"/>
        </w:rPr>
      </w:pPr>
      <w:r w:rsidRPr="003C72A8">
        <w:rPr>
          <w:rFonts w:ascii="Times New Roman" w:hAnsi="Times New Roman" w:cs="Times New Roman"/>
          <w:b/>
          <w:sz w:val="26"/>
          <w:szCs w:val="26"/>
        </w:rPr>
        <w:t>Werner L. Margard III</w:t>
      </w:r>
    </w:p>
    <w:p w:rsidR="00412BDC" w:rsidRPr="003C72A8" w:rsidRDefault="00412BDC" w:rsidP="00412BDC">
      <w:pPr>
        <w:tabs>
          <w:tab w:val="left" w:pos="9360"/>
        </w:tabs>
        <w:spacing w:after="0" w:line="240" w:lineRule="auto"/>
        <w:ind w:left="4766"/>
        <w:rPr>
          <w:rFonts w:ascii="Times New Roman" w:hAnsi="Times New Roman" w:cs="Times New Roman"/>
          <w:sz w:val="26"/>
          <w:szCs w:val="26"/>
        </w:rPr>
      </w:pPr>
      <w:r w:rsidRPr="003C72A8">
        <w:rPr>
          <w:rFonts w:ascii="Times New Roman" w:hAnsi="Times New Roman" w:cs="Times New Roman"/>
          <w:sz w:val="26"/>
          <w:szCs w:val="26"/>
        </w:rPr>
        <w:t>Assistant Attorney General</w:t>
      </w:r>
    </w:p>
    <w:p w:rsidR="00412BDC" w:rsidRPr="003C72A8" w:rsidRDefault="00412BDC" w:rsidP="00412BDC">
      <w:pPr>
        <w:tabs>
          <w:tab w:val="left" w:pos="9360"/>
        </w:tabs>
        <w:ind w:left="4760"/>
        <w:rPr>
          <w:rFonts w:ascii="Times New Roman" w:hAnsi="Times New Roman" w:cs="Times New Roman"/>
          <w:sz w:val="26"/>
          <w:szCs w:val="26"/>
        </w:rPr>
      </w:pPr>
    </w:p>
    <w:p w:rsidR="00412BDC" w:rsidRPr="003C72A8" w:rsidRDefault="00412BDC" w:rsidP="00412BDC">
      <w:pPr>
        <w:rPr>
          <w:rFonts w:ascii="Times New Roman" w:hAnsi="Times New Roman" w:cs="Times New Roman"/>
          <w:b/>
          <w:sz w:val="26"/>
          <w:szCs w:val="26"/>
        </w:rPr>
      </w:pPr>
      <w:r w:rsidRPr="003C72A8">
        <w:rPr>
          <w:rFonts w:ascii="Times New Roman" w:hAnsi="Times New Roman" w:cs="Times New Roman"/>
          <w:b/>
          <w:sz w:val="26"/>
          <w:szCs w:val="26"/>
        </w:rPr>
        <w:t>Parties of Record:</w:t>
      </w:r>
    </w:p>
    <w:p w:rsidR="00412BDC" w:rsidRPr="003C72A8" w:rsidRDefault="00412BDC" w:rsidP="00412BDC">
      <w:pPr>
        <w:rPr>
          <w:rFonts w:ascii="Times New Roman" w:hAnsi="Times New Roman" w:cs="Times New Roman"/>
          <w:b/>
          <w:sz w:val="26"/>
          <w:szCs w:val="26"/>
        </w:rPr>
      </w:pPr>
    </w:p>
    <w:tbl>
      <w:tblPr>
        <w:tblW w:w="0" w:type="auto"/>
        <w:tblLook w:val="01E0" w:firstRow="1" w:lastRow="1" w:firstColumn="1" w:lastColumn="1" w:noHBand="0" w:noVBand="0"/>
      </w:tblPr>
      <w:tblGrid>
        <w:gridCol w:w="4788"/>
        <w:gridCol w:w="4788"/>
      </w:tblGrid>
      <w:tr w:rsidR="00412BDC" w:rsidRPr="003C72A8" w:rsidTr="00855AFC">
        <w:tc>
          <w:tcPr>
            <w:tcW w:w="4788" w:type="dxa"/>
            <w:shd w:val="clear" w:color="auto" w:fill="auto"/>
          </w:tcPr>
          <w:p w:rsidR="00412BDC" w:rsidRPr="003C72A8" w:rsidRDefault="004F1D0B" w:rsidP="00412BDC">
            <w:pPr>
              <w:spacing w:after="0" w:line="240" w:lineRule="auto"/>
              <w:rPr>
                <w:rFonts w:ascii="Times New Roman" w:hAnsi="Times New Roman" w:cs="Times New Roman"/>
                <w:sz w:val="26"/>
                <w:szCs w:val="26"/>
              </w:rPr>
            </w:pPr>
            <w:hyperlink r:id="rId14" w:history="1">
              <w:r w:rsidR="00412BDC" w:rsidRPr="003C72A8">
                <w:rPr>
                  <w:rStyle w:val="Hyperlink"/>
                  <w:rFonts w:ascii="Times New Roman" w:hAnsi="Times New Roman" w:cs="Times New Roman"/>
                  <w:sz w:val="26"/>
                  <w:szCs w:val="26"/>
                </w:rPr>
                <w:t>tsiwo@bricker.com</w:t>
              </w:r>
            </w:hyperlink>
          </w:p>
          <w:p w:rsidR="00412BDC" w:rsidRPr="003C72A8" w:rsidRDefault="004F1D0B" w:rsidP="00412BDC">
            <w:pPr>
              <w:spacing w:after="0" w:line="240" w:lineRule="auto"/>
              <w:rPr>
                <w:rFonts w:ascii="Times New Roman" w:hAnsi="Times New Roman" w:cs="Times New Roman"/>
                <w:sz w:val="26"/>
                <w:szCs w:val="26"/>
              </w:rPr>
            </w:pPr>
            <w:hyperlink r:id="rId15" w:history="1">
              <w:r w:rsidR="00412BDC" w:rsidRPr="003C72A8">
                <w:rPr>
                  <w:rStyle w:val="Hyperlink"/>
                  <w:rFonts w:ascii="Times New Roman" w:hAnsi="Times New Roman" w:cs="Times New Roman"/>
                  <w:sz w:val="26"/>
                  <w:szCs w:val="26"/>
                </w:rPr>
                <w:t>dclark1@aep.com</w:t>
              </w:r>
            </w:hyperlink>
          </w:p>
          <w:p w:rsidR="00412BDC" w:rsidRPr="003C72A8" w:rsidRDefault="004F1D0B" w:rsidP="00412BDC">
            <w:pPr>
              <w:spacing w:after="0" w:line="240" w:lineRule="auto"/>
              <w:rPr>
                <w:rFonts w:ascii="Times New Roman" w:hAnsi="Times New Roman" w:cs="Times New Roman"/>
                <w:sz w:val="26"/>
                <w:szCs w:val="26"/>
              </w:rPr>
            </w:pPr>
            <w:hyperlink r:id="rId16" w:history="1">
              <w:r w:rsidR="00412BDC" w:rsidRPr="003C72A8">
                <w:rPr>
                  <w:rStyle w:val="Hyperlink"/>
                  <w:rFonts w:ascii="Times New Roman" w:hAnsi="Times New Roman" w:cs="Times New Roman"/>
                  <w:sz w:val="26"/>
                  <w:szCs w:val="26"/>
                </w:rPr>
                <w:t>grady@occ.state.oh.us</w:t>
              </w:r>
            </w:hyperlink>
          </w:p>
          <w:p w:rsidR="00412BDC" w:rsidRPr="003C72A8" w:rsidRDefault="004F1D0B" w:rsidP="00412BDC">
            <w:pPr>
              <w:spacing w:after="0" w:line="240" w:lineRule="auto"/>
              <w:rPr>
                <w:rFonts w:ascii="Times New Roman" w:hAnsi="Times New Roman" w:cs="Times New Roman"/>
                <w:sz w:val="26"/>
                <w:szCs w:val="26"/>
              </w:rPr>
            </w:pPr>
            <w:hyperlink r:id="rId17" w:history="1">
              <w:r w:rsidR="00412BDC" w:rsidRPr="003C72A8">
                <w:rPr>
                  <w:rStyle w:val="Hyperlink"/>
                  <w:rFonts w:ascii="Times New Roman" w:hAnsi="Times New Roman" w:cs="Times New Roman"/>
                  <w:sz w:val="26"/>
                  <w:szCs w:val="26"/>
                </w:rPr>
                <w:t>keith.nusbaum@snrdenton.com</w:t>
              </w:r>
            </w:hyperlink>
          </w:p>
          <w:p w:rsidR="00412BDC" w:rsidRPr="003C72A8" w:rsidRDefault="004F1D0B" w:rsidP="00412BDC">
            <w:pPr>
              <w:spacing w:after="0" w:line="240" w:lineRule="auto"/>
              <w:rPr>
                <w:rFonts w:ascii="Times New Roman" w:hAnsi="Times New Roman" w:cs="Times New Roman"/>
                <w:sz w:val="26"/>
                <w:szCs w:val="26"/>
              </w:rPr>
            </w:pPr>
            <w:hyperlink r:id="rId18" w:history="1">
              <w:r w:rsidR="00412BDC" w:rsidRPr="003C72A8">
                <w:rPr>
                  <w:rStyle w:val="Hyperlink"/>
                  <w:rFonts w:ascii="Times New Roman" w:hAnsi="Times New Roman" w:cs="Times New Roman"/>
                  <w:sz w:val="26"/>
                  <w:szCs w:val="26"/>
                </w:rPr>
                <w:t>kpkreider@kmklaw.com</w:t>
              </w:r>
            </w:hyperlink>
          </w:p>
          <w:p w:rsidR="00412BDC" w:rsidRPr="003C72A8" w:rsidRDefault="004F1D0B" w:rsidP="00412BDC">
            <w:pPr>
              <w:spacing w:after="0" w:line="240" w:lineRule="auto"/>
              <w:rPr>
                <w:rFonts w:ascii="Times New Roman" w:hAnsi="Times New Roman" w:cs="Times New Roman"/>
                <w:sz w:val="26"/>
                <w:szCs w:val="26"/>
              </w:rPr>
            </w:pPr>
            <w:hyperlink r:id="rId19" w:history="1">
              <w:r w:rsidR="00412BDC" w:rsidRPr="003C72A8">
                <w:rPr>
                  <w:rStyle w:val="Hyperlink"/>
                  <w:rFonts w:ascii="Times New Roman" w:hAnsi="Times New Roman" w:cs="Times New Roman"/>
                  <w:sz w:val="26"/>
                  <w:szCs w:val="26"/>
                </w:rPr>
                <w:t>mjsatterwhite@aep.com</w:t>
              </w:r>
            </w:hyperlink>
          </w:p>
          <w:p w:rsidR="00412BDC" w:rsidRPr="003C72A8" w:rsidRDefault="004F1D0B" w:rsidP="00412BDC">
            <w:pPr>
              <w:spacing w:after="0" w:line="240" w:lineRule="auto"/>
              <w:rPr>
                <w:rFonts w:ascii="Times New Roman" w:hAnsi="Times New Roman" w:cs="Times New Roman"/>
                <w:sz w:val="26"/>
                <w:szCs w:val="26"/>
              </w:rPr>
            </w:pPr>
            <w:hyperlink r:id="rId20" w:history="1">
              <w:r w:rsidR="00412BDC" w:rsidRPr="003C72A8">
                <w:rPr>
                  <w:rStyle w:val="Hyperlink"/>
                  <w:rFonts w:ascii="Times New Roman" w:hAnsi="Times New Roman" w:cs="Times New Roman"/>
                  <w:sz w:val="26"/>
                  <w:szCs w:val="26"/>
                </w:rPr>
                <w:t>ned.ford@fuse.net</w:t>
              </w:r>
            </w:hyperlink>
          </w:p>
          <w:p w:rsidR="00412BDC" w:rsidRPr="003C72A8" w:rsidRDefault="004F1D0B" w:rsidP="00412BDC">
            <w:pPr>
              <w:spacing w:after="0" w:line="240" w:lineRule="auto"/>
              <w:rPr>
                <w:rFonts w:ascii="Times New Roman" w:hAnsi="Times New Roman" w:cs="Times New Roman"/>
                <w:sz w:val="26"/>
                <w:szCs w:val="26"/>
              </w:rPr>
            </w:pPr>
            <w:hyperlink r:id="rId21" w:history="1">
              <w:r w:rsidR="00412BDC" w:rsidRPr="003C72A8">
                <w:rPr>
                  <w:rStyle w:val="Hyperlink"/>
                  <w:rFonts w:ascii="Times New Roman" w:hAnsi="Times New Roman" w:cs="Times New Roman"/>
                  <w:sz w:val="26"/>
                  <w:szCs w:val="26"/>
                </w:rPr>
                <w:t>pfox@hilliardohio.gov</w:t>
              </w:r>
            </w:hyperlink>
          </w:p>
          <w:p w:rsidR="00412BDC" w:rsidRPr="003C72A8" w:rsidRDefault="004F1D0B" w:rsidP="00412BDC">
            <w:pPr>
              <w:spacing w:after="0" w:line="240" w:lineRule="auto"/>
              <w:rPr>
                <w:rFonts w:ascii="Times New Roman" w:hAnsi="Times New Roman" w:cs="Times New Roman"/>
                <w:sz w:val="26"/>
                <w:szCs w:val="26"/>
              </w:rPr>
            </w:pPr>
            <w:hyperlink r:id="rId22" w:history="1">
              <w:r w:rsidR="00412BDC" w:rsidRPr="003C72A8">
                <w:rPr>
                  <w:rStyle w:val="Hyperlink"/>
                  <w:rFonts w:ascii="Times New Roman" w:hAnsi="Times New Roman" w:cs="Times New Roman"/>
                  <w:sz w:val="26"/>
                  <w:szCs w:val="26"/>
                </w:rPr>
                <w:t>ricks@ohanet.org</w:t>
              </w:r>
            </w:hyperlink>
          </w:p>
          <w:p w:rsidR="00412BDC" w:rsidRPr="003C72A8" w:rsidRDefault="004F1D0B" w:rsidP="00412BDC">
            <w:pPr>
              <w:spacing w:after="0" w:line="240" w:lineRule="auto"/>
              <w:rPr>
                <w:rFonts w:ascii="Times New Roman" w:hAnsi="Times New Roman" w:cs="Times New Roman"/>
                <w:sz w:val="26"/>
                <w:szCs w:val="26"/>
              </w:rPr>
            </w:pPr>
            <w:hyperlink r:id="rId23" w:history="1">
              <w:r w:rsidR="00412BDC" w:rsidRPr="003C72A8">
                <w:rPr>
                  <w:rStyle w:val="Hyperlink"/>
                  <w:rFonts w:ascii="Times New Roman" w:hAnsi="Times New Roman" w:cs="Times New Roman"/>
                  <w:sz w:val="26"/>
                  <w:szCs w:val="26"/>
                </w:rPr>
                <w:t>stnourse@aep.com</w:t>
              </w:r>
            </w:hyperlink>
          </w:p>
          <w:p w:rsidR="00412BDC" w:rsidRPr="003C72A8" w:rsidRDefault="004F1D0B" w:rsidP="00412BDC">
            <w:pPr>
              <w:spacing w:after="0" w:line="240" w:lineRule="auto"/>
              <w:rPr>
                <w:rFonts w:ascii="Times New Roman" w:hAnsi="Times New Roman" w:cs="Times New Roman"/>
                <w:sz w:val="26"/>
                <w:szCs w:val="26"/>
              </w:rPr>
            </w:pPr>
            <w:hyperlink r:id="rId24" w:history="1">
              <w:r w:rsidR="00412BDC" w:rsidRPr="003C72A8">
                <w:rPr>
                  <w:rStyle w:val="Hyperlink"/>
                  <w:rFonts w:ascii="Times New Roman" w:hAnsi="Times New Roman" w:cs="Times New Roman"/>
                  <w:sz w:val="26"/>
                  <w:szCs w:val="26"/>
                </w:rPr>
                <w:t>cathy@theoec.org</w:t>
              </w:r>
            </w:hyperlink>
          </w:p>
          <w:p w:rsidR="00412BDC" w:rsidRPr="003C72A8" w:rsidRDefault="004F1D0B" w:rsidP="00412BDC">
            <w:pPr>
              <w:spacing w:after="0" w:line="240" w:lineRule="auto"/>
              <w:rPr>
                <w:rFonts w:ascii="Times New Roman" w:hAnsi="Times New Roman" w:cs="Times New Roman"/>
                <w:sz w:val="26"/>
                <w:szCs w:val="26"/>
              </w:rPr>
            </w:pPr>
            <w:hyperlink r:id="rId25" w:history="1">
              <w:r w:rsidR="00412BDC" w:rsidRPr="003C72A8">
                <w:rPr>
                  <w:rStyle w:val="Hyperlink"/>
                  <w:rFonts w:ascii="Times New Roman" w:hAnsi="Times New Roman" w:cs="Times New Roman"/>
                  <w:sz w:val="26"/>
                  <w:szCs w:val="26"/>
                </w:rPr>
                <w:t>dsullivan@nrdc.org</w:t>
              </w:r>
            </w:hyperlink>
          </w:p>
          <w:p w:rsidR="00412BDC" w:rsidRPr="003C72A8" w:rsidRDefault="004F1D0B" w:rsidP="00412BDC">
            <w:pPr>
              <w:spacing w:after="0" w:line="240" w:lineRule="auto"/>
              <w:rPr>
                <w:rFonts w:ascii="Times New Roman" w:hAnsi="Times New Roman" w:cs="Times New Roman"/>
                <w:sz w:val="26"/>
                <w:szCs w:val="26"/>
              </w:rPr>
            </w:pPr>
            <w:hyperlink r:id="rId26" w:history="1">
              <w:r w:rsidR="00412BDC" w:rsidRPr="003C72A8">
                <w:rPr>
                  <w:rStyle w:val="Hyperlink"/>
                  <w:rFonts w:ascii="Times New Roman" w:hAnsi="Times New Roman" w:cs="Times New Roman"/>
                  <w:sz w:val="26"/>
                  <w:szCs w:val="26"/>
                </w:rPr>
                <w:t>aehaedt@jonesday.com</w:t>
              </w:r>
            </w:hyperlink>
          </w:p>
          <w:p w:rsidR="00412BDC" w:rsidRPr="003C72A8" w:rsidRDefault="004F1D0B" w:rsidP="00412BDC">
            <w:pPr>
              <w:spacing w:after="0" w:line="240" w:lineRule="auto"/>
              <w:rPr>
                <w:rFonts w:ascii="Times New Roman" w:hAnsi="Times New Roman" w:cs="Times New Roman"/>
                <w:sz w:val="26"/>
                <w:szCs w:val="26"/>
              </w:rPr>
            </w:pPr>
            <w:hyperlink r:id="rId27" w:history="1">
              <w:r w:rsidR="00412BDC" w:rsidRPr="003C72A8">
                <w:rPr>
                  <w:rStyle w:val="Hyperlink"/>
                  <w:rFonts w:ascii="Times New Roman" w:hAnsi="Times New Roman" w:cs="Times New Roman"/>
                  <w:sz w:val="26"/>
                  <w:szCs w:val="26"/>
                </w:rPr>
                <w:t>dakutik@jonesday.com</w:t>
              </w:r>
            </w:hyperlink>
          </w:p>
          <w:p w:rsidR="00412BDC" w:rsidRPr="003C72A8" w:rsidRDefault="004F1D0B" w:rsidP="00412BDC">
            <w:pPr>
              <w:spacing w:after="0" w:line="240" w:lineRule="auto"/>
              <w:rPr>
                <w:rFonts w:ascii="Times New Roman" w:hAnsi="Times New Roman" w:cs="Times New Roman"/>
                <w:sz w:val="26"/>
                <w:szCs w:val="26"/>
              </w:rPr>
            </w:pPr>
            <w:hyperlink r:id="rId28" w:history="1">
              <w:r w:rsidR="00412BDC" w:rsidRPr="003C72A8">
                <w:rPr>
                  <w:rStyle w:val="Hyperlink"/>
                  <w:rFonts w:ascii="Times New Roman" w:hAnsi="Times New Roman" w:cs="Times New Roman"/>
                  <w:sz w:val="26"/>
                  <w:szCs w:val="26"/>
                </w:rPr>
                <w:t>haydenm@firstenergycorp.com</w:t>
              </w:r>
            </w:hyperlink>
          </w:p>
          <w:p w:rsidR="00412BDC" w:rsidRPr="003C72A8" w:rsidRDefault="004F1D0B" w:rsidP="00412BDC">
            <w:pPr>
              <w:spacing w:after="0" w:line="240" w:lineRule="auto"/>
              <w:rPr>
                <w:rFonts w:ascii="Times New Roman" w:hAnsi="Times New Roman" w:cs="Times New Roman"/>
                <w:sz w:val="26"/>
                <w:szCs w:val="26"/>
              </w:rPr>
            </w:pPr>
            <w:hyperlink r:id="rId29" w:history="1">
              <w:r w:rsidR="00412BDC" w:rsidRPr="003C72A8">
                <w:rPr>
                  <w:rStyle w:val="Hyperlink"/>
                  <w:rFonts w:ascii="Times New Roman" w:hAnsi="Times New Roman" w:cs="Times New Roman"/>
                  <w:sz w:val="26"/>
                  <w:szCs w:val="26"/>
                </w:rPr>
                <w:t>dconway@porterwright.cmo</w:t>
              </w:r>
            </w:hyperlink>
          </w:p>
          <w:p w:rsidR="00412BDC" w:rsidRPr="003C72A8" w:rsidRDefault="004F1D0B" w:rsidP="00412BDC">
            <w:pPr>
              <w:spacing w:after="0" w:line="240" w:lineRule="auto"/>
              <w:rPr>
                <w:rFonts w:ascii="Times New Roman" w:hAnsi="Times New Roman" w:cs="Times New Roman"/>
                <w:sz w:val="26"/>
                <w:szCs w:val="26"/>
              </w:rPr>
            </w:pPr>
            <w:hyperlink r:id="rId30" w:history="1">
              <w:r w:rsidR="00412BDC" w:rsidRPr="003C72A8">
                <w:rPr>
                  <w:rStyle w:val="Hyperlink"/>
                  <w:rFonts w:ascii="Times New Roman" w:hAnsi="Times New Roman" w:cs="Times New Roman"/>
                  <w:sz w:val="26"/>
                  <w:szCs w:val="26"/>
                </w:rPr>
                <w:t>jlang@clafee.com</w:t>
              </w:r>
            </w:hyperlink>
          </w:p>
          <w:p w:rsidR="00412BDC" w:rsidRPr="003C72A8" w:rsidRDefault="004F1D0B" w:rsidP="00412BDC">
            <w:pPr>
              <w:spacing w:after="0" w:line="240" w:lineRule="auto"/>
              <w:rPr>
                <w:rFonts w:ascii="Times New Roman" w:hAnsi="Times New Roman" w:cs="Times New Roman"/>
                <w:sz w:val="26"/>
                <w:szCs w:val="26"/>
              </w:rPr>
            </w:pPr>
            <w:hyperlink r:id="rId31" w:history="1">
              <w:r w:rsidR="00412BDC" w:rsidRPr="003C72A8">
                <w:rPr>
                  <w:rStyle w:val="Hyperlink"/>
                  <w:rFonts w:ascii="Times New Roman" w:hAnsi="Times New Roman" w:cs="Times New Roman"/>
                  <w:sz w:val="26"/>
                  <w:szCs w:val="26"/>
                </w:rPr>
                <w:t>cmiller@szd.com</w:t>
              </w:r>
            </w:hyperlink>
          </w:p>
          <w:p w:rsidR="00412BDC" w:rsidRPr="003C72A8" w:rsidRDefault="004F1D0B" w:rsidP="00412BDC">
            <w:pPr>
              <w:spacing w:after="0" w:line="240" w:lineRule="auto"/>
              <w:rPr>
                <w:rFonts w:ascii="Times New Roman" w:hAnsi="Times New Roman" w:cs="Times New Roman"/>
                <w:sz w:val="26"/>
                <w:szCs w:val="26"/>
              </w:rPr>
            </w:pPr>
            <w:hyperlink r:id="rId32" w:history="1">
              <w:r w:rsidR="00412BDC" w:rsidRPr="003C72A8">
                <w:rPr>
                  <w:rStyle w:val="Hyperlink"/>
                  <w:rFonts w:ascii="Times New Roman" w:hAnsi="Times New Roman" w:cs="Times New Roman"/>
                  <w:sz w:val="26"/>
                  <w:szCs w:val="26"/>
                </w:rPr>
                <w:t>ahaque@szd.com</w:t>
              </w:r>
            </w:hyperlink>
          </w:p>
          <w:p w:rsidR="00412BDC" w:rsidRPr="003C72A8" w:rsidRDefault="004F1D0B" w:rsidP="00412BDC">
            <w:pPr>
              <w:spacing w:after="0" w:line="240" w:lineRule="auto"/>
              <w:rPr>
                <w:rFonts w:ascii="Times New Roman" w:hAnsi="Times New Roman" w:cs="Times New Roman"/>
                <w:sz w:val="26"/>
                <w:szCs w:val="26"/>
              </w:rPr>
            </w:pPr>
            <w:hyperlink r:id="rId33" w:history="1">
              <w:r w:rsidR="00412BDC" w:rsidRPr="003C72A8">
                <w:rPr>
                  <w:rStyle w:val="Hyperlink"/>
                  <w:rFonts w:ascii="Times New Roman" w:hAnsi="Times New Roman" w:cs="Times New Roman"/>
                  <w:sz w:val="26"/>
                  <w:szCs w:val="26"/>
                </w:rPr>
                <w:t>gdunn@szd.com</w:t>
              </w:r>
            </w:hyperlink>
          </w:p>
          <w:p w:rsidR="00412BDC" w:rsidRPr="003C72A8" w:rsidRDefault="004F1D0B" w:rsidP="00412BDC">
            <w:pPr>
              <w:spacing w:after="0" w:line="240" w:lineRule="auto"/>
              <w:rPr>
                <w:rFonts w:ascii="Times New Roman" w:hAnsi="Times New Roman" w:cs="Times New Roman"/>
                <w:sz w:val="26"/>
                <w:szCs w:val="26"/>
              </w:rPr>
            </w:pPr>
            <w:hyperlink r:id="rId34" w:history="1">
              <w:r w:rsidR="00412BDC" w:rsidRPr="003C72A8">
                <w:rPr>
                  <w:rStyle w:val="Hyperlink"/>
                  <w:rFonts w:ascii="Times New Roman" w:hAnsi="Times New Roman" w:cs="Times New Roman"/>
                  <w:sz w:val="26"/>
                  <w:szCs w:val="26"/>
                </w:rPr>
                <w:t>mhpetricoff@vorys.com</w:t>
              </w:r>
            </w:hyperlink>
          </w:p>
          <w:p w:rsidR="00412BDC" w:rsidRPr="003C72A8" w:rsidRDefault="004F1D0B" w:rsidP="00412BDC">
            <w:pPr>
              <w:spacing w:after="0" w:line="240" w:lineRule="auto"/>
              <w:rPr>
                <w:rFonts w:ascii="Times New Roman" w:hAnsi="Times New Roman" w:cs="Times New Roman"/>
                <w:sz w:val="26"/>
                <w:szCs w:val="26"/>
              </w:rPr>
            </w:pPr>
            <w:hyperlink r:id="rId35" w:history="1">
              <w:r w:rsidR="00412BDC" w:rsidRPr="003C72A8">
                <w:rPr>
                  <w:rStyle w:val="Hyperlink"/>
                  <w:rFonts w:ascii="Times New Roman" w:hAnsi="Times New Roman" w:cs="Times New Roman"/>
                  <w:sz w:val="26"/>
                  <w:szCs w:val="26"/>
                </w:rPr>
                <w:t>lmcbride@calfee.com</w:t>
              </w:r>
            </w:hyperlink>
          </w:p>
          <w:p w:rsidR="00412BDC" w:rsidRPr="003C72A8" w:rsidRDefault="004F1D0B" w:rsidP="00412BDC">
            <w:pPr>
              <w:spacing w:after="0" w:line="240" w:lineRule="auto"/>
              <w:rPr>
                <w:rFonts w:ascii="Times New Roman" w:hAnsi="Times New Roman" w:cs="Times New Roman"/>
                <w:sz w:val="26"/>
                <w:szCs w:val="26"/>
              </w:rPr>
            </w:pPr>
            <w:hyperlink r:id="rId36" w:history="1">
              <w:r w:rsidR="00412BDC" w:rsidRPr="003C72A8">
                <w:rPr>
                  <w:rStyle w:val="Hyperlink"/>
                  <w:rFonts w:ascii="Times New Roman" w:hAnsi="Times New Roman" w:cs="Times New Roman"/>
                  <w:sz w:val="26"/>
                  <w:szCs w:val="26"/>
                </w:rPr>
                <w:t>talexander@calfee.com</w:t>
              </w:r>
            </w:hyperlink>
          </w:p>
          <w:p w:rsidR="00412BDC" w:rsidRPr="003C72A8" w:rsidRDefault="004F1D0B" w:rsidP="00412BDC">
            <w:pPr>
              <w:spacing w:after="0" w:line="240" w:lineRule="auto"/>
              <w:rPr>
                <w:rFonts w:ascii="Times New Roman" w:hAnsi="Times New Roman" w:cs="Times New Roman"/>
                <w:sz w:val="26"/>
                <w:szCs w:val="26"/>
              </w:rPr>
            </w:pPr>
            <w:hyperlink r:id="rId37" w:history="1">
              <w:r w:rsidR="00412BDC" w:rsidRPr="003C72A8">
                <w:rPr>
                  <w:rStyle w:val="Hyperlink"/>
                  <w:rFonts w:ascii="Times New Roman" w:hAnsi="Times New Roman" w:cs="Times New Roman"/>
                  <w:sz w:val="26"/>
                  <w:szCs w:val="26"/>
                </w:rPr>
                <w:t>etter@occ.state.oh.us</w:t>
              </w:r>
            </w:hyperlink>
          </w:p>
          <w:p w:rsidR="00412BDC" w:rsidRPr="003C72A8" w:rsidRDefault="004F1D0B" w:rsidP="00412BDC">
            <w:pPr>
              <w:spacing w:after="0" w:line="240" w:lineRule="auto"/>
              <w:rPr>
                <w:rFonts w:ascii="Times New Roman" w:hAnsi="Times New Roman" w:cs="Times New Roman"/>
                <w:sz w:val="26"/>
                <w:szCs w:val="26"/>
              </w:rPr>
            </w:pPr>
            <w:hyperlink r:id="rId38" w:history="1">
              <w:r w:rsidR="00412BDC" w:rsidRPr="003C72A8">
                <w:rPr>
                  <w:rStyle w:val="Hyperlink"/>
                  <w:rFonts w:ascii="Times New Roman" w:hAnsi="Times New Roman" w:cs="Times New Roman"/>
                  <w:sz w:val="26"/>
                  <w:szCs w:val="26"/>
                </w:rPr>
                <w:t>small@occ.state.oh.us</w:t>
              </w:r>
            </w:hyperlink>
          </w:p>
          <w:p w:rsidR="00412BDC" w:rsidRPr="003C72A8" w:rsidRDefault="004F1D0B" w:rsidP="00412BDC">
            <w:pPr>
              <w:spacing w:after="0" w:line="240" w:lineRule="auto"/>
              <w:rPr>
                <w:rFonts w:ascii="Times New Roman" w:hAnsi="Times New Roman" w:cs="Times New Roman"/>
                <w:sz w:val="26"/>
                <w:szCs w:val="26"/>
              </w:rPr>
            </w:pPr>
            <w:hyperlink r:id="rId39" w:history="1">
              <w:r w:rsidR="00412BDC" w:rsidRPr="003C72A8">
                <w:rPr>
                  <w:rStyle w:val="Hyperlink"/>
                  <w:rFonts w:ascii="Times New Roman" w:hAnsi="Times New Roman" w:cs="Times New Roman"/>
                  <w:sz w:val="26"/>
                  <w:szCs w:val="26"/>
                </w:rPr>
                <w:t>cynthia.a.fonner@constellation.com</w:t>
              </w:r>
            </w:hyperlink>
          </w:p>
          <w:p w:rsidR="00412BDC" w:rsidRPr="003C72A8" w:rsidRDefault="004F1D0B" w:rsidP="00412BDC">
            <w:pPr>
              <w:spacing w:after="0" w:line="240" w:lineRule="auto"/>
              <w:rPr>
                <w:rFonts w:ascii="Times New Roman" w:hAnsi="Times New Roman" w:cs="Times New Roman"/>
                <w:sz w:val="26"/>
                <w:szCs w:val="26"/>
              </w:rPr>
            </w:pPr>
            <w:hyperlink r:id="rId40" w:history="1">
              <w:r w:rsidR="00412BDC" w:rsidRPr="003C72A8">
                <w:rPr>
                  <w:rStyle w:val="Hyperlink"/>
                  <w:rFonts w:ascii="Times New Roman" w:hAnsi="Times New Roman" w:cs="Times New Roman"/>
                  <w:sz w:val="26"/>
                  <w:szCs w:val="26"/>
                </w:rPr>
                <w:t>david.fein@constellation.com</w:t>
              </w:r>
            </w:hyperlink>
          </w:p>
          <w:p w:rsidR="00412BDC" w:rsidRPr="003C72A8" w:rsidRDefault="004F1D0B" w:rsidP="00412BDC">
            <w:pPr>
              <w:spacing w:after="0" w:line="240" w:lineRule="auto"/>
              <w:rPr>
                <w:rFonts w:ascii="Times New Roman" w:hAnsi="Times New Roman" w:cs="Times New Roman"/>
                <w:sz w:val="26"/>
                <w:szCs w:val="26"/>
              </w:rPr>
            </w:pPr>
            <w:hyperlink r:id="rId41" w:history="1">
              <w:r w:rsidR="00412BDC" w:rsidRPr="003C72A8">
                <w:rPr>
                  <w:rStyle w:val="Hyperlink"/>
                  <w:rFonts w:ascii="Times New Roman" w:hAnsi="Times New Roman" w:cs="Times New Roman"/>
                  <w:sz w:val="26"/>
                  <w:szCs w:val="26"/>
                </w:rPr>
                <w:t>dorothy.corbett@duke-energy.com</w:t>
              </w:r>
            </w:hyperlink>
          </w:p>
          <w:p w:rsidR="00412BDC" w:rsidRPr="003C72A8" w:rsidRDefault="004F1D0B" w:rsidP="00412BDC">
            <w:pPr>
              <w:spacing w:after="0" w:line="240" w:lineRule="auto"/>
              <w:rPr>
                <w:rFonts w:ascii="Times New Roman" w:hAnsi="Times New Roman" w:cs="Times New Roman"/>
                <w:sz w:val="26"/>
                <w:szCs w:val="26"/>
              </w:rPr>
            </w:pPr>
            <w:hyperlink r:id="rId42" w:history="1">
              <w:r w:rsidR="00412BDC" w:rsidRPr="003C72A8">
                <w:rPr>
                  <w:rStyle w:val="Hyperlink"/>
                  <w:rFonts w:ascii="Times New Roman" w:hAnsi="Times New Roman" w:cs="Times New Roman"/>
                  <w:sz w:val="26"/>
                  <w:szCs w:val="26"/>
                </w:rPr>
                <w:t>amy.spiller@duke-energy.com</w:t>
              </w:r>
            </w:hyperlink>
          </w:p>
          <w:p w:rsidR="00412BDC" w:rsidRPr="003C72A8" w:rsidRDefault="004F1D0B" w:rsidP="00412BDC">
            <w:pPr>
              <w:spacing w:after="0" w:line="240" w:lineRule="auto"/>
              <w:rPr>
                <w:rFonts w:ascii="Times New Roman" w:hAnsi="Times New Roman" w:cs="Times New Roman"/>
                <w:sz w:val="26"/>
                <w:szCs w:val="26"/>
              </w:rPr>
            </w:pPr>
            <w:hyperlink r:id="rId43" w:history="1">
              <w:r w:rsidR="00412BDC" w:rsidRPr="003C72A8">
                <w:rPr>
                  <w:rStyle w:val="Hyperlink"/>
                  <w:rFonts w:ascii="Times New Roman" w:hAnsi="Times New Roman" w:cs="Times New Roman"/>
                  <w:sz w:val="26"/>
                  <w:szCs w:val="26"/>
                </w:rPr>
                <w:t>dboehm@bkllawfirm.com</w:t>
              </w:r>
            </w:hyperlink>
          </w:p>
          <w:p w:rsidR="00412BDC" w:rsidRPr="003C72A8" w:rsidRDefault="004F1D0B" w:rsidP="00412BDC">
            <w:pPr>
              <w:spacing w:after="0" w:line="240" w:lineRule="auto"/>
              <w:rPr>
                <w:rFonts w:ascii="Times New Roman" w:hAnsi="Times New Roman" w:cs="Times New Roman"/>
                <w:sz w:val="26"/>
                <w:szCs w:val="26"/>
              </w:rPr>
            </w:pPr>
            <w:hyperlink r:id="rId44" w:history="1">
              <w:r w:rsidR="00412BDC" w:rsidRPr="003C72A8">
                <w:rPr>
                  <w:rStyle w:val="Hyperlink"/>
                  <w:rFonts w:ascii="Times New Roman" w:hAnsi="Times New Roman" w:cs="Times New Roman"/>
                  <w:sz w:val="26"/>
                  <w:szCs w:val="26"/>
                </w:rPr>
                <w:t>mkurtz@bkllawfirm.com</w:t>
              </w:r>
            </w:hyperlink>
          </w:p>
          <w:p w:rsidR="00412BDC" w:rsidRPr="003C72A8" w:rsidRDefault="004F1D0B" w:rsidP="00412BDC">
            <w:pPr>
              <w:spacing w:after="0" w:line="240" w:lineRule="auto"/>
              <w:rPr>
                <w:rFonts w:ascii="Times New Roman" w:hAnsi="Times New Roman" w:cs="Times New Roman"/>
                <w:sz w:val="26"/>
                <w:szCs w:val="26"/>
              </w:rPr>
            </w:pPr>
            <w:hyperlink r:id="rId45" w:history="1">
              <w:r w:rsidR="00412BDC" w:rsidRPr="003C72A8">
                <w:rPr>
                  <w:rStyle w:val="Hyperlink"/>
                  <w:rFonts w:ascii="Times New Roman" w:hAnsi="Times New Roman" w:cs="Times New Roman"/>
                  <w:sz w:val="26"/>
                  <w:szCs w:val="26"/>
                </w:rPr>
                <w:t>tobrien@bricker.com</w:t>
              </w:r>
            </w:hyperlink>
          </w:p>
          <w:p w:rsidR="00412BDC" w:rsidRPr="003C72A8" w:rsidRDefault="004F1D0B" w:rsidP="00412BDC">
            <w:pPr>
              <w:spacing w:after="0" w:line="240" w:lineRule="auto"/>
              <w:rPr>
                <w:rFonts w:ascii="Times New Roman" w:hAnsi="Times New Roman" w:cs="Times New Roman"/>
                <w:sz w:val="26"/>
                <w:szCs w:val="26"/>
              </w:rPr>
            </w:pPr>
            <w:hyperlink r:id="rId46" w:history="1">
              <w:r w:rsidR="00412BDC" w:rsidRPr="003C72A8">
                <w:rPr>
                  <w:rStyle w:val="Hyperlink"/>
                  <w:rFonts w:ascii="Times New Roman" w:hAnsi="Times New Roman" w:cs="Times New Roman"/>
                  <w:sz w:val="26"/>
                  <w:szCs w:val="26"/>
                </w:rPr>
                <w:t>jbentine@cwslaw.com</w:t>
              </w:r>
            </w:hyperlink>
          </w:p>
          <w:p w:rsidR="00412BDC" w:rsidRPr="003C72A8" w:rsidRDefault="004F1D0B" w:rsidP="00412BDC">
            <w:pPr>
              <w:spacing w:after="0" w:line="240" w:lineRule="auto"/>
              <w:rPr>
                <w:rFonts w:ascii="Times New Roman" w:hAnsi="Times New Roman" w:cs="Times New Roman"/>
                <w:sz w:val="26"/>
                <w:szCs w:val="26"/>
              </w:rPr>
            </w:pPr>
            <w:hyperlink r:id="rId47" w:history="1">
              <w:r w:rsidR="00412BDC" w:rsidRPr="003C72A8">
                <w:rPr>
                  <w:rStyle w:val="Hyperlink"/>
                  <w:rFonts w:ascii="Times New Roman" w:hAnsi="Times New Roman" w:cs="Times New Roman"/>
                  <w:sz w:val="26"/>
                  <w:szCs w:val="26"/>
                </w:rPr>
                <w:t>myurick@cwslaw.com</w:t>
              </w:r>
            </w:hyperlink>
          </w:p>
          <w:p w:rsidR="00412BDC" w:rsidRPr="003C72A8" w:rsidRDefault="004F1D0B" w:rsidP="00412BDC">
            <w:pPr>
              <w:spacing w:after="0" w:line="240" w:lineRule="auto"/>
              <w:rPr>
                <w:rFonts w:ascii="Times New Roman" w:hAnsi="Times New Roman" w:cs="Times New Roman"/>
                <w:sz w:val="26"/>
                <w:szCs w:val="26"/>
              </w:rPr>
            </w:pPr>
            <w:hyperlink r:id="rId48" w:history="1">
              <w:r w:rsidR="00412BDC" w:rsidRPr="003C72A8">
                <w:rPr>
                  <w:rStyle w:val="Hyperlink"/>
                  <w:rFonts w:ascii="Times New Roman" w:hAnsi="Times New Roman" w:cs="Times New Roman"/>
                  <w:sz w:val="26"/>
                  <w:szCs w:val="26"/>
                </w:rPr>
                <w:t>zkravtiz@cwslaw.com</w:t>
              </w:r>
            </w:hyperlink>
          </w:p>
          <w:p w:rsidR="00412BDC" w:rsidRPr="003C72A8" w:rsidRDefault="004F1D0B" w:rsidP="00412BDC">
            <w:pPr>
              <w:spacing w:after="0" w:line="240" w:lineRule="auto"/>
              <w:rPr>
                <w:rFonts w:ascii="Times New Roman" w:hAnsi="Times New Roman" w:cs="Times New Roman"/>
                <w:sz w:val="26"/>
                <w:szCs w:val="26"/>
              </w:rPr>
            </w:pPr>
            <w:hyperlink r:id="rId49" w:history="1">
              <w:r w:rsidR="00412BDC" w:rsidRPr="003C72A8">
                <w:rPr>
                  <w:rStyle w:val="Hyperlink"/>
                  <w:rFonts w:ascii="Times New Roman" w:hAnsi="Times New Roman" w:cs="Times New Roman"/>
                  <w:sz w:val="26"/>
                  <w:szCs w:val="26"/>
                </w:rPr>
                <w:t>jejadwin@aep.com</w:t>
              </w:r>
            </w:hyperlink>
          </w:p>
          <w:p w:rsidR="00412BDC" w:rsidRPr="003C72A8" w:rsidRDefault="004F1D0B" w:rsidP="00412BDC">
            <w:pPr>
              <w:spacing w:after="0" w:line="240" w:lineRule="auto"/>
              <w:rPr>
                <w:rFonts w:ascii="Times New Roman" w:hAnsi="Times New Roman" w:cs="Times New Roman"/>
                <w:sz w:val="26"/>
                <w:szCs w:val="26"/>
              </w:rPr>
            </w:pPr>
            <w:hyperlink r:id="rId50" w:history="1">
              <w:r w:rsidR="00412BDC" w:rsidRPr="003C72A8">
                <w:rPr>
                  <w:rStyle w:val="Hyperlink"/>
                  <w:rFonts w:ascii="Times New Roman" w:hAnsi="Times New Roman" w:cs="Times New Roman"/>
                  <w:sz w:val="26"/>
                  <w:szCs w:val="26"/>
                </w:rPr>
                <w:t>msmalz@ohiopovertylaw.org</w:t>
              </w:r>
            </w:hyperlink>
          </w:p>
          <w:p w:rsidR="00412BDC" w:rsidRPr="003C72A8" w:rsidRDefault="004F1D0B" w:rsidP="00412BDC">
            <w:pPr>
              <w:spacing w:after="0" w:line="240" w:lineRule="auto"/>
              <w:rPr>
                <w:rFonts w:ascii="Times New Roman" w:hAnsi="Times New Roman" w:cs="Times New Roman"/>
                <w:sz w:val="26"/>
                <w:szCs w:val="26"/>
              </w:rPr>
            </w:pPr>
            <w:hyperlink r:id="rId51" w:history="1">
              <w:r w:rsidR="00412BDC" w:rsidRPr="003C72A8">
                <w:rPr>
                  <w:rStyle w:val="Hyperlink"/>
                  <w:rFonts w:ascii="Times New Roman" w:hAnsi="Times New Roman" w:cs="Times New Roman"/>
                  <w:sz w:val="26"/>
                  <w:szCs w:val="26"/>
                </w:rPr>
                <w:t>jmaskovyak@ohiopovertylaw.org</w:t>
              </w:r>
            </w:hyperlink>
          </w:p>
          <w:p w:rsidR="00412BDC" w:rsidRPr="003C72A8" w:rsidRDefault="004F1D0B" w:rsidP="00412BDC">
            <w:pPr>
              <w:spacing w:after="0" w:line="240" w:lineRule="auto"/>
              <w:rPr>
                <w:rFonts w:ascii="Times New Roman" w:hAnsi="Times New Roman" w:cs="Times New Roman"/>
                <w:sz w:val="26"/>
                <w:szCs w:val="26"/>
              </w:rPr>
            </w:pPr>
            <w:hyperlink r:id="rId52" w:history="1">
              <w:r w:rsidR="00412BDC" w:rsidRPr="003C72A8">
                <w:rPr>
                  <w:rStyle w:val="Hyperlink"/>
                  <w:rFonts w:ascii="Times New Roman" w:hAnsi="Times New Roman" w:cs="Times New Roman"/>
                  <w:sz w:val="26"/>
                  <w:szCs w:val="26"/>
                </w:rPr>
                <w:t>bakahn@vorys.com</w:t>
              </w:r>
            </w:hyperlink>
          </w:p>
          <w:p w:rsidR="00412BDC" w:rsidRPr="003C72A8" w:rsidRDefault="004F1D0B" w:rsidP="00412BDC">
            <w:pPr>
              <w:spacing w:after="0" w:line="240" w:lineRule="auto"/>
              <w:rPr>
                <w:rFonts w:ascii="Times New Roman" w:hAnsi="Times New Roman" w:cs="Times New Roman"/>
                <w:sz w:val="26"/>
                <w:szCs w:val="26"/>
              </w:rPr>
            </w:pPr>
            <w:hyperlink r:id="rId53" w:history="1">
              <w:r w:rsidR="00412BDC" w:rsidRPr="003C72A8">
                <w:rPr>
                  <w:rStyle w:val="Hyperlink"/>
                  <w:rFonts w:ascii="Times New Roman" w:hAnsi="Times New Roman" w:cs="Times New Roman"/>
                  <w:sz w:val="26"/>
                  <w:szCs w:val="26"/>
                </w:rPr>
                <w:t>gary.a.jeffries@dom.com</w:t>
              </w:r>
            </w:hyperlink>
          </w:p>
          <w:p w:rsidR="00412BDC" w:rsidRPr="003C72A8" w:rsidRDefault="004F1D0B" w:rsidP="00412BDC">
            <w:pPr>
              <w:spacing w:after="0" w:line="240" w:lineRule="auto"/>
              <w:rPr>
                <w:rFonts w:ascii="Times New Roman" w:hAnsi="Times New Roman" w:cs="Times New Roman"/>
                <w:sz w:val="26"/>
                <w:szCs w:val="26"/>
              </w:rPr>
            </w:pPr>
            <w:hyperlink r:id="rId54" w:history="1">
              <w:r w:rsidR="00412BDC" w:rsidRPr="003C72A8">
                <w:rPr>
                  <w:rStyle w:val="Hyperlink"/>
                  <w:rFonts w:ascii="Times New Roman" w:hAnsi="Times New Roman" w:cs="Times New Roman"/>
                  <w:sz w:val="26"/>
                  <w:szCs w:val="26"/>
                </w:rPr>
                <w:t>stephen.chriss@wal-mart.com</w:t>
              </w:r>
            </w:hyperlink>
          </w:p>
          <w:p w:rsidR="00412BDC" w:rsidRPr="003C72A8" w:rsidRDefault="004F1D0B" w:rsidP="00412BDC">
            <w:pPr>
              <w:spacing w:after="0" w:line="240" w:lineRule="auto"/>
              <w:rPr>
                <w:rFonts w:ascii="Times New Roman" w:hAnsi="Times New Roman" w:cs="Times New Roman"/>
                <w:sz w:val="26"/>
                <w:szCs w:val="26"/>
              </w:rPr>
            </w:pPr>
            <w:hyperlink r:id="rId55" w:history="1">
              <w:r w:rsidR="00412BDC" w:rsidRPr="003C72A8">
                <w:rPr>
                  <w:rStyle w:val="Hyperlink"/>
                  <w:rFonts w:ascii="Times New Roman" w:hAnsi="Times New Roman" w:cs="Times New Roman"/>
                  <w:sz w:val="26"/>
                  <w:szCs w:val="26"/>
                </w:rPr>
                <w:t>dmeyere@kmklaw.com</w:t>
              </w:r>
            </w:hyperlink>
          </w:p>
          <w:p w:rsidR="00412BDC" w:rsidRPr="003C72A8" w:rsidRDefault="004F1D0B" w:rsidP="00412BDC">
            <w:pPr>
              <w:spacing w:after="0" w:line="240" w:lineRule="auto"/>
              <w:rPr>
                <w:rFonts w:ascii="Times New Roman" w:hAnsi="Times New Roman" w:cs="Times New Roman"/>
                <w:sz w:val="26"/>
                <w:szCs w:val="26"/>
              </w:rPr>
            </w:pPr>
            <w:hyperlink r:id="rId56" w:history="1">
              <w:r w:rsidR="00412BDC" w:rsidRPr="003C72A8">
                <w:rPr>
                  <w:rStyle w:val="Hyperlink"/>
                  <w:rFonts w:ascii="Times New Roman" w:hAnsi="Times New Roman" w:cs="Times New Roman"/>
                  <w:sz w:val="26"/>
                  <w:szCs w:val="26"/>
                </w:rPr>
                <w:t>holly@raysmithlaw.com</w:t>
              </w:r>
            </w:hyperlink>
          </w:p>
          <w:p w:rsidR="00412BDC" w:rsidRPr="003C72A8" w:rsidRDefault="004F1D0B" w:rsidP="00412BDC">
            <w:pPr>
              <w:spacing w:after="0" w:line="240" w:lineRule="auto"/>
              <w:rPr>
                <w:rFonts w:ascii="Times New Roman" w:hAnsi="Times New Roman" w:cs="Times New Roman"/>
                <w:sz w:val="26"/>
                <w:szCs w:val="26"/>
              </w:rPr>
            </w:pPr>
            <w:hyperlink r:id="rId57" w:history="1">
              <w:r w:rsidR="00412BDC" w:rsidRPr="003C72A8">
                <w:rPr>
                  <w:rStyle w:val="Hyperlink"/>
                  <w:rFonts w:ascii="Times New Roman" w:hAnsi="Times New Roman" w:cs="Times New Roman"/>
                  <w:sz w:val="26"/>
                  <w:szCs w:val="26"/>
                </w:rPr>
                <w:t>barthroyer@aol.com</w:t>
              </w:r>
            </w:hyperlink>
          </w:p>
          <w:p w:rsidR="00412BDC" w:rsidRPr="003C72A8" w:rsidRDefault="004F1D0B" w:rsidP="00412BDC">
            <w:pPr>
              <w:spacing w:after="0" w:line="240" w:lineRule="auto"/>
              <w:rPr>
                <w:rFonts w:ascii="Times New Roman" w:hAnsi="Times New Roman" w:cs="Times New Roman"/>
                <w:sz w:val="26"/>
                <w:szCs w:val="26"/>
              </w:rPr>
            </w:pPr>
            <w:hyperlink r:id="rId58" w:history="1">
              <w:r w:rsidR="00412BDC" w:rsidRPr="003C72A8">
                <w:rPr>
                  <w:rStyle w:val="Hyperlink"/>
                  <w:rFonts w:ascii="Times New Roman" w:hAnsi="Times New Roman" w:cs="Times New Roman"/>
                  <w:sz w:val="26"/>
                  <w:szCs w:val="26"/>
                </w:rPr>
                <w:t>philip.sineneng@thompsonhine.com</w:t>
              </w:r>
            </w:hyperlink>
          </w:p>
          <w:p w:rsidR="00412BDC" w:rsidRPr="003C72A8" w:rsidRDefault="004F1D0B" w:rsidP="00412BDC">
            <w:pPr>
              <w:spacing w:after="0" w:line="240" w:lineRule="auto"/>
              <w:rPr>
                <w:rFonts w:ascii="Times New Roman" w:hAnsi="Times New Roman" w:cs="Times New Roman"/>
                <w:sz w:val="26"/>
                <w:szCs w:val="26"/>
              </w:rPr>
            </w:pPr>
            <w:hyperlink r:id="rId59" w:history="1">
              <w:r w:rsidR="00412BDC" w:rsidRPr="003C72A8">
                <w:rPr>
                  <w:rStyle w:val="Hyperlink"/>
                  <w:rFonts w:ascii="Times New Roman" w:hAnsi="Times New Roman" w:cs="Times New Roman"/>
                  <w:sz w:val="26"/>
                  <w:szCs w:val="26"/>
                </w:rPr>
                <w:t>carolyn.flahive@thompsonhine.com</w:t>
              </w:r>
            </w:hyperlink>
          </w:p>
          <w:p w:rsidR="00412BDC" w:rsidRPr="003C72A8" w:rsidRDefault="004F1D0B" w:rsidP="00412BDC">
            <w:pPr>
              <w:spacing w:after="0" w:line="240" w:lineRule="auto"/>
              <w:rPr>
                <w:rFonts w:ascii="Times New Roman" w:hAnsi="Times New Roman" w:cs="Times New Roman"/>
                <w:sz w:val="26"/>
                <w:szCs w:val="26"/>
              </w:rPr>
            </w:pPr>
            <w:hyperlink r:id="rId60" w:history="1">
              <w:r w:rsidR="00412BDC" w:rsidRPr="003C72A8">
                <w:rPr>
                  <w:rStyle w:val="Hyperlink"/>
                  <w:rFonts w:ascii="Times New Roman" w:hAnsi="Times New Roman" w:cs="Times New Roman"/>
                  <w:sz w:val="26"/>
                  <w:szCs w:val="26"/>
                </w:rPr>
                <w:t>terrance.mebane@thompsonhine.com</w:t>
              </w:r>
            </w:hyperlink>
          </w:p>
          <w:p w:rsidR="00412BDC" w:rsidRPr="003C72A8" w:rsidRDefault="004F1D0B" w:rsidP="00412BDC">
            <w:pPr>
              <w:spacing w:after="0" w:line="240" w:lineRule="auto"/>
              <w:rPr>
                <w:rFonts w:ascii="Times New Roman" w:hAnsi="Times New Roman" w:cs="Times New Roman"/>
                <w:sz w:val="26"/>
                <w:szCs w:val="26"/>
              </w:rPr>
            </w:pPr>
            <w:hyperlink r:id="rId61" w:history="1">
              <w:r w:rsidR="00412BDC" w:rsidRPr="003C72A8">
                <w:rPr>
                  <w:rStyle w:val="Hyperlink"/>
                  <w:rFonts w:ascii="Times New Roman" w:hAnsi="Times New Roman" w:cs="Times New Roman"/>
                  <w:sz w:val="26"/>
                  <w:szCs w:val="26"/>
                </w:rPr>
                <w:t>drinebolt@ohioparterns.corg</w:t>
              </w:r>
            </w:hyperlink>
          </w:p>
          <w:p w:rsidR="00412BDC" w:rsidRPr="003C72A8" w:rsidRDefault="00412BDC" w:rsidP="00412BDC">
            <w:pPr>
              <w:spacing w:after="0" w:line="240" w:lineRule="auto"/>
              <w:rPr>
                <w:rFonts w:ascii="Times New Roman" w:hAnsi="Times New Roman" w:cs="Times New Roman"/>
                <w:sz w:val="26"/>
                <w:szCs w:val="26"/>
              </w:rPr>
            </w:pPr>
          </w:p>
        </w:tc>
        <w:tc>
          <w:tcPr>
            <w:tcW w:w="4788" w:type="dxa"/>
            <w:shd w:val="clear" w:color="auto" w:fill="auto"/>
          </w:tcPr>
          <w:p w:rsidR="00412BDC" w:rsidRPr="003C72A8" w:rsidRDefault="004F1D0B" w:rsidP="00412BDC">
            <w:pPr>
              <w:spacing w:after="0" w:line="240" w:lineRule="auto"/>
              <w:rPr>
                <w:rFonts w:ascii="Times New Roman" w:hAnsi="Times New Roman" w:cs="Times New Roman"/>
                <w:sz w:val="26"/>
                <w:szCs w:val="26"/>
              </w:rPr>
            </w:pPr>
            <w:hyperlink r:id="rId62" w:history="1">
              <w:r w:rsidR="00412BDC" w:rsidRPr="003C72A8">
                <w:rPr>
                  <w:rStyle w:val="Hyperlink"/>
                  <w:rFonts w:ascii="Times New Roman" w:hAnsi="Times New Roman" w:cs="Times New Roman"/>
                  <w:sz w:val="26"/>
                  <w:szCs w:val="26"/>
                </w:rPr>
                <w:t>trent@theoeg.com</w:t>
              </w:r>
            </w:hyperlink>
          </w:p>
          <w:p w:rsidR="00412BDC" w:rsidRPr="003C72A8" w:rsidRDefault="004F1D0B" w:rsidP="00412BDC">
            <w:pPr>
              <w:spacing w:after="0" w:line="240" w:lineRule="auto"/>
              <w:rPr>
                <w:rFonts w:ascii="Times New Roman" w:hAnsi="Times New Roman" w:cs="Times New Roman"/>
                <w:sz w:val="26"/>
                <w:szCs w:val="26"/>
              </w:rPr>
            </w:pPr>
            <w:hyperlink r:id="rId63" w:history="1">
              <w:r w:rsidR="00412BDC" w:rsidRPr="003C72A8">
                <w:rPr>
                  <w:rStyle w:val="Hyperlink"/>
                  <w:rFonts w:ascii="Times New Roman" w:hAnsi="Times New Roman" w:cs="Times New Roman"/>
                  <w:sz w:val="26"/>
                  <w:szCs w:val="26"/>
                </w:rPr>
                <w:t>nolan@theoec.org</w:t>
              </w:r>
            </w:hyperlink>
          </w:p>
          <w:p w:rsidR="00412BDC" w:rsidRPr="003C72A8" w:rsidRDefault="004F1D0B" w:rsidP="00412BDC">
            <w:pPr>
              <w:spacing w:after="0" w:line="240" w:lineRule="auto"/>
              <w:rPr>
                <w:rFonts w:ascii="Times New Roman" w:hAnsi="Times New Roman" w:cs="Times New Roman"/>
                <w:sz w:val="26"/>
                <w:szCs w:val="26"/>
              </w:rPr>
            </w:pPr>
            <w:hyperlink r:id="rId64" w:history="1">
              <w:r w:rsidR="00412BDC" w:rsidRPr="003C72A8">
                <w:rPr>
                  <w:rStyle w:val="Hyperlink"/>
                  <w:rFonts w:ascii="Times New Roman" w:hAnsi="Times New Roman" w:cs="Times New Roman"/>
                  <w:sz w:val="26"/>
                  <w:szCs w:val="26"/>
                </w:rPr>
                <w:t>gpoulos@enernoc.com</w:t>
              </w:r>
            </w:hyperlink>
          </w:p>
          <w:p w:rsidR="00412BDC" w:rsidRPr="003C72A8" w:rsidRDefault="004F1D0B" w:rsidP="00412BDC">
            <w:pPr>
              <w:spacing w:after="0" w:line="240" w:lineRule="auto"/>
              <w:rPr>
                <w:rFonts w:ascii="Times New Roman" w:hAnsi="Times New Roman" w:cs="Times New Roman"/>
                <w:sz w:val="26"/>
                <w:szCs w:val="26"/>
              </w:rPr>
            </w:pPr>
            <w:hyperlink r:id="rId65" w:history="1">
              <w:r w:rsidR="00412BDC" w:rsidRPr="003C72A8">
                <w:rPr>
                  <w:rStyle w:val="Hyperlink"/>
                  <w:rFonts w:ascii="Times New Roman" w:hAnsi="Times New Roman" w:cs="Times New Roman"/>
                  <w:sz w:val="26"/>
                  <w:szCs w:val="26"/>
                </w:rPr>
                <w:t>emma.hand@snrdenton.com</w:t>
              </w:r>
            </w:hyperlink>
          </w:p>
          <w:p w:rsidR="00412BDC" w:rsidRPr="003C72A8" w:rsidRDefault="004F1D0B" w:rsidP="00412BDC">
            <w:pPr>
              <w:spacing w:after="0" w:line="240" w:lineRule="auto"/>
              <w:rPr>
                <w:rFonts w:ascii="Times New Roman" w:hAnsi="Times New Roman" w:cs="Times New Roman"/>
                <w:sz w:val="26"/>
                <w:szCs w:val="26"/>
              </w:rPr>
            </w:pPr>
            <w:hyperlink r:id="rId66" w:history="1">
              <w:r w:rsidR="00412BDC" w:rsidRPr="003C72A8">
                <w:rPr>
                  <w:rStyle w:val="Hyperlink"/>
                  <w:rFonts w:ascii="Times New Roman" w:hAnsi="Times New Roman" w:cs="Times New Roman"/>
                  <w:sz w:val="26"/>
                  <w:szCs w:val="26"/>
                </w:rPr>
                <w:t>doug.bonner@snrdenton.com</w:t>
              </w:r>
            </w:hyperlink>
          </w:p>
          <w:p w:rsidR="00412BDC" w:rsidRPr="003C72A8" w:rsidRDefault="004F1D0B" w:rsidP="00412BDC">
            <w:pPr>
              <w:spacing w:after="0" w:line="240" w:lineRule="auto"/>
              <w:rPr>
                <w:rFonts w:ascii="Times New Roman" w:hAnsi="Times New Roman" w:cs="Times New Roman"/>
                <w:sz w:val="26"/>
                <w:szCs w:val="26"/>
              </w:rPr>
            </w:pPr>
            <w:hyperlink r:id="rId67" w:history="1">
              <w:r w:rsidR="00412BDC" w:rsidRPr="003C72A8">
                <w:rPr>
                  <w:rStyle w:val="Hyperlink"/>
                  <w:rFonts w:ascii="Times New Roman" w:hAnsi="Times New Roman" w:cs="Times New Roman"/>
                  <w:sz w:val="26"/>
                  <w:szCs w:val="26"/>
                </w:rPr>
                <w:t>clinton.vince@snrdenton.com</w:t>
              </w:r>
            </w:hyperlink>
          </w:p>
          <w:p w:rsidR="00412BDC" w:rsidRPr="003C72A8" w:rsidRDefault="004F1D0B" w:rsidP="00412BDC">
            <w:pPr>
              <w:spacing w:after="0" w:line="240" w:lineRule="auto"/>
              <w:rPr>
                <w:rFonts w:ascii="Times New Roman" w:hAnsi="Times New Roman" w:cs="Times New Roman"/>
                <w:sz w:val="26"/>
                <w:szCs w:val="26"/>
              </w:rPr>
            </w:pPr>
            <w:hyperlink r:id="rId68" w:history="1">
              <w:r w:rsidR="00412BDC" w:rsidRPr="003C72A8">
                <w:rPr>
                  <w:rStyle w:val="Hyperlink"/>
                  <w:rFonts w:ascii="Times New Roman" w:hAnsi="Times New Roman" w:cs="Times New Roman"/>
                  <w:sz w:val="26"/>
                  <w:szCs w:val="26"/>
                </w:rPr>
                <w:t>sam@mwncmh.com</w:t>
              </w:r>
            </w:hyperlink>
          </w:p>
          <w:p w:rsidR="00412BDC" w:rsidRPr="003C72A8" w:rsidRDefault="004F1D0B" w:rsidP="00412BDC">
            <w:pPr>
              <w:spacing w:after="0" w:line="240" w:lineRule="auto"/>
              <w:rPr>
                <w:rFonts w:ascii="Times New Roman" w:hAnsi="Times New Roman" w:cs="Times New Roman"/>
                <w:sz w:val="26"/>
                <w:szCs w:val="26"/>
              </w:rPr>
            </w:pPr>
            <w:hyperlink r:id="rId69" w:history="1">
              <w:r w:rsidR="00412BDC" w:rsidRPr="003C72A8">
                <w:rPr>
                  <w:rStyle w:val="Hyperlink"/>
                  <w:rFonts w:ascii="Times New Roman" w:hAnsi="Times New Roman" w:cs="Times New Roman"/>
                  <w:sz w:val="26"/>
                  <w:szCs w:val="26"/>
                </w:rPr>
                <w:t>dstahl@eimerstahl.com</w:t>
              </w:r>
            </w:hyperlink>
          </w:p>
          <w:p w:rsidR="00412BDC" w:rsidRPr="003C72A8" w:rsidRDefault="004F1D0B" w:rsidP="00412BDC">
            <w:pPr>
              <w:spacing w:after="0" w:line="240" w:lineRule="auto"/>
              <w:rPr>
                <w:rFonts w:ascii="Times New Roman" w:hAnsi="Times New Roman" w:cs="Times New Roman"/>
                <w:sz w:val="26"/>
                <w:szCs w:val="26"/>
              </w:rPr>
            </w:pPr>
            <w:hyperlink r:id="rId70" w:history="1">
              <w:r w:rsidR="00412BDC" w:rsidRPr="003C72A8">
                <w:rPr>
                  <w:rStyle w:val="Hyperlink"/>
                  <w:rFonts w:ascii="Times New Roman" w:hAnsi="Times New Roman" w:cs="Times New Roman"/>
                  <w:sz w:val="26"/>
                  <w:szCs w:val="26"/>
                </w:rPr>
                <w:t>aaragona@eimerstahl.com</w:t>
              </w:r>
            </w:hyperlink>
          </w:p>
          <w:p w:rsidR="00412BDC" w:rsidRPr="003C72A8" w:rsidRDefault="004F1D0B" w:rsidP="00412BDC">
            <w:pPr>
              <w:spacing w:after="0" w:line="240" w:lineRule="auto"/>
              <w:rPr>
                <w:rFonts w:ascii="Times New Roman" w:hAnsi="Times New Roman" w:cs="Times New Roman"/>
                <w:sz w:val="26"/>
                <w:szCs w:val="26"/>
              </w:rPr>
            </w:pPr>
            <w:hyperlink r:id="rId71" w:history="1">
              <w:r w:rsidR="00412BDC" w:rsidRPr="003C72A8">
                <w:rPr>
                  <w:rStyle w:val="Hyperlink"/>
                  <w:rFonts w:ascii="Times New Roman" w:hAnsi="Times New Roman" w:cs="Times New Roman"/>
                  <w:sz w:val="26"/>
                  <w:szCs w:val="26"/>
                </w:rPr>
                <w:t>ssolberg@eimerstahl.com</w:t>
              </w:r>
            </w:hyperlink>
          </w:p>
          <w:p w:rsidR="00412BDC" w:rsidRPr="003C72A8" w:rsidRDefault="004F1D0B" w:rsidP="00412BDC">
            <w:pPr>
              <w:spacing w:after="0" w:line="240" w:lineRule="auto"/>
              <w:rPr>
                <w:rFonts w:ascii="Times New Roman" w:hAnsi="Times New Roman" w:cs="Times New Roman"/>
                <w:sz w:val="26"/>
                <w:szCs w:val="26"/>
              </w:rPr>
            </w:pPr>
            <w:hyperlink r:id="rId72" w:history="1">
              <w:r w:rsidR="00412BDC" w:rsidRPr="003C72A8">
                <w:rPr>
                  <w:rStyle w:val="Hyperlink"/>
                  <w:rFonts w:ascii="Times New Roman" w:hAnsi="Times New Roman" w:cs="Times New Roman"/>
                  <w:sz w:val="26"/>
                  <w:szCs w:val="26"/>
                </w:rPr>
                <w:t>tsantarelli@elpc.org</w:t>
              </w:r>
            </w:hyperlink>
          </w:p>
          <w:p w:rsidR="00412BDC" w:rsidRPr="003C72A8" w:rsidRDefault="004F1D0B" w:rsidP="00412BDC">
            <w:pPr>
              <w:spacing w:after="0" w:line="240" w:lineRule="auto"/>
              <w:rPr>
                <w:rFonts w:ascii="Times New Roman" w:hAnsi="Times New Roman" w:cs="Times New Roman"/>
                <w:sz w:val="26"/>
                <w:szCs w:val="26"/>
              </w:rPr>
            </w:pPr>
            <w:hyperlink r:id="rId73" w:history="1">
              <w:r w:rsidR="00412BDC" w:rsidRPr="003C72A8">
                <w:rPr>
                  <w:rStyle w:val="Hyperlink"/>
                  <w:rFonts w:ascii="Times New Roman" w:hAnsi="Times New Roman" w:cs="Times New Roman"/>
                  <w:sz w:val="26"/>
                  <w:szCs w:val="26"/>
                </w:rPr>
                <w:t>callwein@wamenergylaw.com</w:t>
              </w:r>
            </w:hyperlink>
          </w:p>
          <w:p w:rsidR="00412BDC" w:rsidRPr="003C72A8" w:rsidRDefault="004F1D0B" w:rsidP="00412BDC">
            <w:pPr>
              <w:spacing w:after="0" w:line="240" w:lineRule="auto"/>
              <w:rPr>
                <w:rFonts w:ascii="Times New Roman" w:hAnsi="Times New Roman" w:cs="Times New Roman"/>
                <w:sz w:val="26"/>
                <w:szCs w:val="26"/>
              </w:rPr>
            </w:pPr>
            <w:hyperlink r:id="rId74" w:history="1">
              <w:r w:rsidR="00412BDC" w:rsidRPr="003C72A8">
                <w:rPr>
                  <w:rStyle w:val="Hyperlink"/>
                  <w:rFonts w:ascii="Times New Roman" w:hAnsi="Times New Roman" w:cs="Times New Roman"/>
                  <w:sz w:val="26"/>
                  <w:szCs w:val="26"/>
                </w:rPr>
                <w:t>malina@wexlerwalker.com</w:t>
              </w:r>
            </w:hyperlink>
          </w:p>
          <w:p w:rsidR="00412BDC" w:rsidRPr="003C72A8" w:rsidRDefault="004F1D0B" w:rsidP="00412BDC">
            <w:pPr>
              <w:spacing w:after="0" w:line="240" w:lineRule="auto"/>
              <w:rPr>
                <w:rFonts w:ascii="Times New Roman" w:hAnsi="Times New Roman" w:cs="Times New Roman"/>
                <w:sz w:val="26"/>
                <w:szCs w:val="26"/>
              </w:rPr>
            </w:pPr>
            <w:hyperlink r:id="rId75" w:history="1">
              <w:r w:rsidR="00412BDC" w:rsidRPr="003C72A8">
                <w:rPr>
                  <w:rStyle w:val="Hyperlink"/>
                  <w:rFonts w:ascii="Times New Roman" w:hAnsi="Times New Roman" w:cs="Times New Roman"/>
                  <w:sz w:val="26"/>
                  <w:szCs w:val="26"/>
                </w:rPr>
                <w:t>jkooper@hess.com</w:t>
              </w:r>
            </w:hyperlink>
          </w:p>
          <w:p w:rsidR="00412BDC" w:rsidRPr="003C72A8" w:rsidRDefault="004F1D0B" w:rsidP="00412BDC">
            <w:pPr>
              <w:spacing w:after="0" w:line="240" w:lineRule="auto"/>
              <w:rPr>
                <w:rFonts w:ascii="Times New Roman" w:hAnsi="Times New Roman" w:cs="Times New Roman"/>
                <w:sz w:val="26"/>
                <w:szCs w:val="26"/>
              </w:rPr>
            </w:pPr>
            <w:hyperlink r:id="rId76" w:history="1">
              <w:r w:rsidR="00412BDC" w:rsidRPr="003C72A8">
                <w:rPr>
                  <w:rStyle w:val="Hyperlink"/>
                  <w:rFonts w:ascii="Times New Roman" w:hAnsi="Times New Roman" w:cs="Times New Roman"/>
                  <w:sz w:val="26"/>
                  <w:szCs w:val="26"/>
                </w:rPr>
                <w:t>kguerry@hess.com</w:t>
              </w:r>
            </w:hyperlink>
          </w:p>
          <w:p w:rsidR="00412BDC" w:rsidRPr="003C72A8" w:rsidRDefault="004F1D0B" w:rsidP="00412BDC">
            <w:pPr>
              <w:spacing w:after="0" w:line="240" w:lineRule="auto"/>
              <w:rPr>
                <w:rFonts w:ascii="Times New Roman" w:hAnsi="Times New Roman" w:cs="Times New Roman"/>
                <w:sz w:val="26"/>
                <w:szCs w:val="26"/>
              </w:rPr>
            </w:pPr>
            <w:hyperlink r:id="rId77" w:history="1">
              <w:r w:rsidR="00412BDC" w:rsidRPr="003C72A8">
                <w:rPr>
                  <w:rStyle w:val="Hyperlink"/>
                  <w:rFonts w:ascii="Times New Roman" w:hAnsi="Times New Roman" w:cs="Times New Roman"/>
                  <w:sz w:val="26"/>
                  <w:szCs w:val="26"/>
                </w:rPr>
                <w:t>afreifeld@viridityenergy.com</w:t>
              </w:r>
            </w:hyperlink>
          </w:p>
          <w:p w:rsidR="00412BDC" w:rsidRPr="003C72A8" w:rsidRDefault="004F1D0B" w:rsidP="00412BDC">
            <w:pPr>
              <w:spacing w:after="0" w:line="240" w:lineRule="auto"/>
              <w:rPr>
                <w:rFonts w:ascii="Times New Roman" w:hAnsi="Times New Roman" w:cs="Times New Roman"/>
                <w:sz w:val="26"/>
                <w:szCs w:val="26"/>
              </w:rPr>
            </w:pPr>
            <w:hyperlink r:id="rId78" w:history="1">
              <w:r w:rsidR="00412BDC" w:rsidRPr="003C72A8">
                <w:rPr>
                  <w:rStyle w:val="Hyperlink"/>
                  <w:rFonts w:ascii="Times New Roman" w:hAnsi="Times New Roman" w:cs="Times New Roman"/>
                  <w:sz w:val="26"/>
                  <w:szCs w:val="26"/>
                </w:rPr>
                <w:t>swolfe@viridityenergy.com</w:t>
              </w:r>
            </w:hyperlink>
          </w:p>
          <w:p w:rsidR="00412BDC" w:rsidRPr="003C72A8" w:rsidRDefault="004F1D0B" w:rsidP="00412BDC">
            <w:pPr>
              <w:spacing w:after="0" w:line="240" w:lineRule="auto"/>
              <w:rPr>
                <w:rFonts w:ascii="Times New Roman" w:hAnsi="Times New Roman" w:cs="Times New Roman"/>
                <w:sz w:val="26"/>
                <w:szCs w:val="26"/>
              </w:rPr>
            </w:pPr>
            <w:hyperlink r:id="rId79" w:history="1">
              <w:r w:rsidR="00412BDC" w:rsidRPr="003C72A8">
                <w:rPr>
                  <w:rStyle w:val="Hyperlink"/>
                  <w:rFonts w:ascii="Times New Roman" w:hAnsi="Times New Roman" w:cs="Times New Roman"/>
                  <w:sz w:val="26"/>
                  <w:szCs w:val="26"/>
                </w:rPr>
                <w:t>korenergy@insight.rr.com</w:t>
              </w:r>
            </w:hyperlink>
          </w:p>
          <w:p w:rsidR="00412BDC" w:rsidRPr="003C72A8" w:rsidRDefault="004F1D0B" w:rsidP="00412BDC">
            <w:pPr>
              <w:spacing w:after="0" w:line="240" w:lineRule="auto"/>
              <w:rPr>
                <w:rFonts w:ascii="Times New Roman" w:hAnsi="Times New Roman" w:cs="Times New Roman"/>
                <w:sz w:val="26"/>
                <w:szCs w:val="26"/>
              </w:rPr>
            </w:pPr>
            <w:hyperlink r:id="rId80" w:history="1">
              <w:r w:rsidR="00412BDC" w:rsidRPr="003C72A8">
                <w:rPr>
                  <w:rStyle w:val="Hyperlink"/>
                  <w:rFonts w:ascii="Times New Roman" w:hAnsi="Times New Roman" w:cs="Times New Roman"/>
                  <w:sz w:val="26"/>
                  <w:szCs w:val="26"/>
                </w:rPr>
                <w:t>sasloan@aep.com</w:t>
              </w:r>
            </w:hyperlink>
          </w:p>
          <w:p w:rsidR="00412BDC" w:rsidRPr="003C72A8" w:rsidRDefault="004F1D0B" w:rsidP="00412BDC">
            <w:pPr>
              <w:spacing w:after="0" w:line="240" w:lineRule="auto"/>
              <w:rPr>
                <w:rFonts w:ascii="Times New Roman" w:hAnsi="Times New Roman" w:cs="Times New Roman"/>
                <w:sz w:val="26"/>
                <w:szCs w:val="26"/>
              </w:rPr>
            </w:pPr>
            <w:hyperlink r:id="rId81" w:history="1">
              <w:r w:rsidR="00412BDC" w:rsidRPr="003C72A8">
                <w:rPr>
                  <w:rStyle w:val="Hyperlink"/>
                  <w:rFonts w:ascii="Times New Roman" w:hAnsi="Times New Roman" w:cs="Times New Roman"/>
                  <w:sz w:val="26"/>
                  <w:szCs w:val="26"/>
                </w:rPr>
                <w:t>dane.stinson@baileycavalierie.com</w:t>
              </w:r>
            </w:hyperlink>
          </w:p>
          <w:p w:rsidR="00412BDC" w:rsidRPr="003C72A8" w:rsidRDefault="004F1D0B" w:rsidP="00412BDC">
            <w:pPr>
              <w:spacing w:after="0" w:line="240" w:lineRule="auto"/>
              <w:rPr>
                <w:rFonts w:ascii="Times New Roman" w:hAnsi="Times New Roman" w:cs="Times New Roman"/>
                <w:sz w:val="26"/>
                <w:szCs w:val="26"/>
              </w:rPr>
            </w:pPr>
            <w:hyperlink r:id="rId82" w:history="1">
              <w:r w:rsidR="00412BDC" w:rsidRPr="003C72A8">
                <w:rPr>
                  <w:rStyle w:val="Hyperlink"/>
                  <w:rFonts w:ascii="Times New Roman" w:hAnsi="Times New Roman" w:cs="Times New Roman"/>
                  <w:sz w:val="26"/>
                  <w:szCs w:val="26"/>
                </w:rPr>
                <w:t>cendsley@ofbp.org</w:t>
              </w:r>
            </w:hyperlink>
          </w:p>
          <w:p w:rsidR="00412BDC" w:rsidRPr="003C72A8" w:rsidRDefault="004F1D0B" w:rsidP="00412BDC">
            <w:pPr>
              <w:spacing w:after="0" w:line="240" w:lineRule="auto"/>
              <w:rPr>
                <w:rFonts w:ascii="Times New Roman" w:hAnsi="Times New Roman" w:cs="Times New Roman"/>
                <w:sz w:val="26"/>
                <w:szCs w:val="26"/>
              </w:rPr>
            </w:pPr>
            <w:hyperlink r:id="rId83" w:history="1">
              <w:r w:rsidR="00412BDC" w:rsidRPr="003C72A8">
                <w:rPr>
                  <w:rStyle w:val="Hyperlink"/>
                  <w:rFonts w:ascii="Times New Roman" w:hAnsi="Times New Roman" w:cs="Times New Roman"/>
                  <w:sz w:val="26"/>
                  <w:szCs w:val="26"/>
                </w:rPr>
                <w:t>jeanne.kingery@duke-energy.com</w:t>
              </w:r>
            </w:hyperlink>
          </w:p>
          <w:p w:rsidR="00412BDC" w:rsidRPr="003C72A8" w:rsidRDefault="004F1D0B" w:rsidP="00412BDC">
            <w:pPr>
              <w:spacing w:after="0" w:line="240" w:lineRule="auto"/>
              <w:rPr>
                <w:rFonts w:ascii="Times New Roman" w:hAnsi="Times New Roman" w:cs="Times New Roman"/>
                <w:sz w:val="26"/>
                <w:szCs w:val="26"/>
              </w:rPr>
            </w:pPr>
            <w:hyperlink r:id="rId84" w:history="1">
              <w:r w:rsidR="00412BDC" w:rsidRPr="003C72A8">
                <w:rPr>
                  <w:rStyle w:val="Hyperlink"/>
                  <w:rFonts w:ascii="Times New Roman" w:hAnsi="Times New Roman" w:cs="Times New Roman"/>
                  <w:sz w:val="26"/>
                  <w:szCs w:val="26"/>
                </w:rPr>
                <w:t>rsugarman@kegler.brown.com</w:t>
              </w:r>
            </w:hyperlink>
          </w:p>
          <w:p w:rsidR="00412BDC" w:rsidRPr="003C72A8" w:rsidRDefault="004F1D0B" w:rsidP="00412BDC">
            <w:pPr>
              <w:spacing w:after="0" w:line="240" w:lineRule="auto"/>
              <w:rPr>
                <w:rFonts w:ascii="Times New Roman" w:hAnsi="Times New Roman" w:cs="Times New Roman"/>
                <w:sz w:val="26"/>
                <w:szCs w:val="26"/>
              </w:rPr>
            </w:pPr>
            <w:hyperlink r:id="rId85" w:history="1">
              <w:r w:rsidR="00412BDC" w:rsidRPr="003C72A8">
                <w:rPr>
                  <w:rStyle w:val="Hyperlink"/>
                  <w:rFonts w:ascii="Times New Roman" w:hAnsi="Times New Roman" w:cs="Times New Roman"/>
                  <w:sz w:val="26"/>
                  <w:szCs w:val="26"/>
                </w:rPr>
                <w:t>asimhaque@icemiller.com</w:t>
              </w:r>
            </w:hyperlink>
          </w:p>
          <w:p w:rsidR="00412BDC" w:rsidRPr="003C72A8" w:rsidRDefault="004F1D0B" w:rsidP="00412BDC">
            <w:pPr>
              <w:spacing w:after="0" w:line="240" w:lineRule="auto"/>
              <w:rPr>
                <w:rFonts w:ascii="Times New Roman" w:hAnsi="Times New Roman" w:cs="Times New Roman"/>
                <w:sz w:val="26"/>
                <w:szCs w:val="26"/>
              </w:rPr>
            </w:pPr>
            <w:hyperlink r:id="rId86" w:history="1">
              <w:r w:rsidR="00412BDC" w:rsidRPr="003C72A8">
                <w:rPr>
                  <w:rStyle w:val="Hyperlink"/>
                  <w:rFonts w:ascii="Times New Roman" w:hAnsi="Times New Roman" w:cs="Times New Roman"/>
                  <w:sz w:val="26"/>
                  <w:szCs w:val="26"/>
                </w:rPr>
                <w:t>gregory.dunn@icemiller.com</w:t>
              </w:r>
            </w:hyperlink>
          </w:p>
          <w:p w:rsidR="00412BDC" w:rsidRPr="003C72A8" w:rsidRDefault="004F1D0B" w:rsidP="00412BDC">
            <w:pPr>
              <w:spacing w:after="0" w:line="240" w:lineRule="auto"/>
              <w:rPr>
                <w:rFonts w:ascii="Times New Roman" w:hAnsi="Times New Roman" w:cs="Times New Roman"/>
                <w:sz w:val="26"/>
                <w:szCs w:val="26"/>
              </w:rPr>
            </w:pPr>
            <w:hyperlink r:id="rId87" w:history="1">
              <w:r w:rsidR="00412BDC" w:rsidRPr="003C72A8">
                <w:rPr>
                  <w:rStyle w:val="Hyperlink"/>
                  <w:rFonts w:ascii="Times New Roman" w:hAnsi="Times New Roman" w:cs="Times New Roman"/>
                  <w:sz w:val="26"/>
                  <w:szCs w:val="26"/>
                </w:rPr>
                <w:t>christopher.miller@icemiller.com</w:t>
              </w:r>
            </w:hyperlink>
          </w:p>
          <w:p w:rsidR="00412BDC" w:rsidRPr="003C72A8" w:rsidRDefault="004F1D0B" w:rsidP="00412BDC">
            <w:pPr>
              <w:spacing w:after="0" w:line="240" w:lineRule="auto"/>
              <w:rPr>
                <w:rFonts w:ascii="Times New Roman" w:hAnsi="Times New Roman" w:cs="Times New Roman"/>
                <w:sz w:val="26"/>
                <w:szCs w:val="26"/>
              </w:rPr>
            </w:pPr>
            <w:hyperlink r:id="rId88" w:history="1">
              <w:r w:rsidR="00412BDC" w:rsidRPr="003C72A8">
                <w:rPr>
                  <w:rStyle w:val="Hyperlink"/>
                  <w:rFonts w:ascii="Times New Roman" w:hAnsi="Times New Roman" w:cs="Times New Roman"/>
                  <w:sz w:val="26"/>
                  <w:szCs w:val="26"/>
                </w:rPr>
                <w:t>bpbarger@bcslawyers.com</w:t>
              </w:r>
            </w:hyperlink>
          </w:p>
          <w:p w:rsidR="00412BDC" w:rsidRPr="003C72A8" w:rsidRDefault="004F1D0B" w:rsidP="00412BDC">
            <w:pPr>
              <w:spacing w:after="0" w:line="240" w:lineRule="auto"/>
              <w:rPr>
                <w:rFonts w:ascii="Times New Roman" w:hAnsi="Times New Roman" w:cs="Times New Roman"/>
                <w:sz w:val="26"/>
                <w:szCs w:val="26"/>
              </w:rPr>
            </w:pPr>
            <w:hyperlink r:id="rId89" w:history="1">
              <w:r w:rsidR="00412BDC" w:rsidRPr="003C72A8">
                <w:rPr>
                  <w:rStyle w:val="Hyperlink"/>
                  <w:rFonts w:ascii="Times New Roman" w:hAnsi="Times New Roman" w:cs="Times New Roman"/>
                  <w:sz w:val="26"/>
                  <w:szCs w:val="26"/>
                </w:rPr>
                <w:t>yalami@aep.com</w:t>
              </w:r>
            </w:hyperlink>
          </w:p>
          <w:p w:rsidR="00412BDC" w:rsidRPr="003C72A8" w:rsidRDefault="004F1D0B" w:rsidP="00412BDC">
            <w:pPr>
              <w:spacing w:after="0" w:line="240" w:lineRule="auto"/>
              <w:rPr>
                <w:rFonts w:ascii="Times New Roman" w:hAnsi="Times New Roman" w:cs="Times New Roman"/>
                <w:sz w:val="26"/>
                <w:szCs w:val="26"/>
              </w:rPr>
            </w:pPr>
            <w:hyperlink r:id="rId90" w:history="1">
              <w:r w:rsidR="00412BDC" w:rsidRPr="003C72A8">
                <w:rPr>
                  <w:rStyle w:val="Hyperlink"/>
                  <w:rFonts w:ascii="Times New Roman" w:hAnsi="Times New Roman" w:cs="Times New Roman"/>
                  <w:sz w:val="26"/>
                  <w:szCs w:val="26"/>
                </w:rPr>
                <w:t>todonnell@bricker.com</w:t>
              </w:r>
            </w:hyperlink>
          </w:p>
          <w:p w:rsidR="00412BDC" w:rsidRPr="003C72A8" w:rsidRDefault="004F1D0B" w:rsidP="00412BDC">
            <w:pPr>
              <w:spacing w:after="0" w:line="240" w:lineRule="auto"/>
              <w:rPr>
                <w:rFonts w:ascii="Times New Roman" w:hAnsi="Times New Roman" w:cs="Times New Roman"/>
                <w:sz w:val="26"/>
                <w:szCs w:val="26"/>
              </w:rPr>
            </w:pPr>
            <w:hyperlink r:id="rId91" w:history="1">
              <w:r w:rsidR="00412BDC" w:rsidRPr="003C72A8">
                <w:rPr>
                  <w:rStyle w:val="Hyperlink"/>
                  <w:rFonts w:ascii="Times New Roman" w:hAnsi="Times New Roman" w:cs="Times New Roman"/>
                  <w:sz w:val="26"/>
                  <w:szCs w:val="26"/>
                </w:rPr>
                <w:t>cmontgomery@bricker.com</w:t>
              </w:r>
            </w:hyperlink>
          </w:p>
          <w:p w:rsidR="00412BDC" w:rsidRPr="003C72A8" w:rsidRDefault="004F1D0B" w:rsidP="00412BDC">
            <w:pPr>
              <w:spacing w:after="0" w:line="240" w:lineRule="auto"/>
              <w:rPr>
                <w:rFonts w:ascii="Times New Roman" w:hAnsi="Times New Roman" w:cs="Times New Roman"/>
                <w:sz w:val="26"/>
                <w:szCs w:val="26"/>
              </w:rPr>
            </w:pPr>
            <w:hyperlink r:id="rId92" w:history="1">
              <w:r w:rsidR="00412BDC" w:rsidRPr="003C72A8">
                <w:rPr>
                  <w:rStyle w:val="Hyperlink"/>
                  <w:rFonts w:ascii="Times New Roman" w:hAnsi="Times New Roman" w:cs="Times New Roman"/>
                  <w:sz w:val="26"/>
                  <w:szCs w:val="26"/>
                </w:rPr>
                <w:t>lmalister@bricker.com</w:t>
              </w:r>
            </w:hyperlink>
          </w:p>
          <w:p w:rsidR="00412BDC" w:rsidRPr="003C72A8" w:rsidRDefault="004F1D0B" w:rsidP="00412BDC">
            <w:pPr>
              <w:spacing w:after="0" w:line="240" w:lineRule="auto"/>
              <w:rPr>
                <w:rFonts w:ascii="Times New Roman" w:hAnsi="Times New Roman" w:cs="Times New Roman"/>
                <w:sz w:val="26"/>
                <w:szCs w:val="26"/>
              </w:rPr>
            </w:pPr>
            <w:hyperlink r:id="rId93" w:history="1">
              <w:r w:rsidR="00412BDC" w:rsidRPr="003C72A8">
                <w:rPr>
                  <w:rStyle w:val="Hyperlink"/>
                  <w:rFonts w:ascii="Times New Roman" w:hAnsi="Times New Roman" w:cs="Times New Roman"/>
                  <w:sz w:val="26"/>
                  <w:szCs w:val="26"/>
                </w:rPr>
                <w:t>mwarnock@bricker.com</w:t>
              </w:r>
            </w:hyperlink>
          </w:p>
          <w:p w:rsidR="00412BDC" w:rsidRPr="003C72A8" w:rsidRDefault="004F1D0B" w:rsidP="00412BDC">
            <w:pPr>
              <w:spacing w:after="0" w:line="240" w:lineRule="auto"/>
              <w:rPr>
                <w:rFonts w:ascii="Times New Roman" w:hAnsi="Times New Roman" w:cs="Times New Roman"/>
                <w:sz w:val="26"/>
                <w:szCs w:val="26"/>
              </w:rPr>
            </w:pPr>
            <w:hyperlink r:id="rId94" w:history="1">
              <w:r w:rsidR="00412BDC" w:rsidRPr="003C72A8">
                <w:rPr>
                  <w:rStyle w:val="Hyperlink"/>
                  <w:rFonts w:ascii="Times New Roman" w:hAnsi="Times New Roman" w:cs="Times New Roman"/>
                  <w:sz w:val="26"/>
                  <w:szCs w:val="26"/>
                </w:rPr>
                <w:t>gthomas@gtpowergroup.com</w:t>
              </w:r>
            </w:hyperlink>
          </w:p>
          <w:p w:rsidR="00412BDC" w:rsidRPr="003C72A8" w:rsidRDefault="004F1D0B" w:rsidP="00412BDC">
            <w:pPr>
              <w:spacing w:after="0" w:line="240" w:lineRule="auto"/>
              <w:rPr>
                <w:rFonts w:ascii="Times New Roman" w:hAnsi="Times New Roman" w:cs="Times New Roman"/>
                <w:sz w:val="26"/>
                <w:szCs w:val="26"/>
              </w:rPr>
            </w:pPr>
            <w:hyperlink r:id="rId95" w:history="1">
              <w:r w:rsidR="00412BDC" w:rsidRPr="003C72A8">
                <w:rPr>
                  <w:rStyle w:val="Hyperlink"/>
                  <w:rFonts w:ascii="Times New Roman" w:hAnsi="Times New Roman" w:cs="Times New Roman"/>
                  <w:sz w:val="26"/>
                  <w:szCs w:val="26"/>
                </w:rPr>
                <w:t>wmassey@cov.com</w:t>
              </w:r>
            </w:hyperlink>
          </w:p>
          <w:p w:rsidR="00412BDC" w:rsidRPr="003C72A8" w:rsidRDefault="004F1D0B" w:rsidP="00412BDC">
            <w:pPr>
              <w:spacing w:after="0" w:line="240" w:lineRule="auto"/>
              <w:rPr>
                <w:rFonts w:ascii="Times New Roman" w:hAnsi="Times New Roman" w:cs="Times New Roman"/>
                <w:sz w:val="26"/>
                <w:szCs w:val="26"/>
              </w:rPr>
            </w:pPr>
            <w:hyperlink r:id="rId96" w:history="1">
              <w:r w:rsidR="00412BDC" w:rsidRPr="003C72A8">
                <w:rPr>
                  <w:rStyle w:val="Hyperlink"/>
                  <w:rFonts w:ascii="Times New Roman" w:hAnsi="Times New Roman" w:cs="Times New Roman"/>
                  <w:sz w:val="26"/>
                  <w:szCs w:val="26"/>
                </w:rPr>
                <w:t>henryeckhart@aol.com</w:t>
              </w:r>
            </w:hyperlink>
          </w:p>
          <w:p w:rsidR="00412BDC" w:rsidRPr="003C72A8" w:rsidRDefault="004F1D0B" w:rsidP="00412BDC">
            <w:pPr>
              <w:spacing w:after="0" w:line="240" w:lineRule="auto"/>
              <w:rPr>
                <w:rFonts w:ascii="Times New Roman" w:hAnsi="Times New Roman" w:cs="Times New Roman"/>
                <w:sz w:val="26"/>
                <w:szCs w:val="26"/>
              </w:rPr>
            </w:pPr>
            <w:hyperlink r:id="rId97" w:history="1">
              <w:r w:rsidR="00412BDC" w:rsidRPr="003C72A8">
                <w:rPr>
                  <w:rStyle w:val="Hyperlink"/>
                  <w:rFonts w:ascii="Times New Roman" w:hAnsi="Times New Roman" w:cs="Times New Roman"/>
                  <w:sz w:val="26"/>
                  <w:szCs w:val="26"/>
                </w:rPr>
                <w:t>laurac@chappelleconsulting.net</w:t>
              </w:r>
            </w:hyperlink>
          </w:p>
          <w:p w:rsidR="00412BDC" w:rsidRPr="003C72A8" w:rsidRDefault="004F1D0B" w:rsidP="00412BDC">
            <w:pPr>
              <w:spacing w:after="0" w:line="240" w:lineRule="auto"/>
              <w:rPr>
                <w:rFonts w:ascii="Times New Roman" w:hAnsi="Times New Roman" w:cs="Times New Roman"/>
                <w:sz w:val="26"/>
                <w:szCs w:val="26"/>
              </w:rPr>
            </w:pPr>
            <w:hyperlink r:id="rId98" w:history="1">
              <w:r w:rsidR="00412BDC" w:rsidRPr="003C72A8">
                <w:rPr>
                  <w:rStyle w:val="Hyperlink"/>
                  <w:rFonts w:ascii="Times New Roman" w:hAnsi="Times New Roman" w:cs="Times New Roman"/>
                  <w:sz w:val="26"/>
                  <w:szCs w:val="26"/>
                </w:rPr>
                <w:t>whit@shitt-sturtevant.com</w:t>
              </w:r>
            </w:hyperlink>
          </w:p>
          <w:p w:rsidR="00412BDC" w:rsidRPr="003C72A8" w:rsidRDefault="004F1D0B" w:rsidP="00412BDC">
            <w:pPr>
              <w:spacing w:after="0" w:line="240" w:lineRule="auto"/>
              <w:rPr>
                <w:rFonts w:ascii="Times New Roman" w:hAnsi="Times New Roman" w:cs="Times New Roman"/>
                <w:sz w:val="26"/>
                <w:szCs w:val="26"/>
              </w:rPr>
            </w:pPr>
            <w:hyperlink r:id="rId99" w:history="1">
              <w:r w:rsidR="00412BDC" w:rsidRPr="003C72A8">
                <w:rPr>
                  <w:rStyle w:val="Hyperlink"/>
                  <w:rFonts w:ascii="Times New Roman" w:hAnsi="Times New Roman" w:cs="Times New Roman"/>
                  <w:sz w:val="26"/>
                  <w:szCs w:val="26"/>
                </w:rPr>
                <w:t>thompson@whitt-sturtevant.com</w:t>
              </w:r>
            </w:hyperlink>
          </w:p>
          <w:p w:rsidR="00412BDC" w:rsidRPr="003C72A8" w:rsidRDefault="004F1D0B" w:rsidP="00412BDC">
            <w:pPr>
              <w:spacing w:after="0" w:line="240" w:lineRule="auto"/>
              <w:rPr>
                <w:rFonts w:ascii="Times New Roman" w:hAnsi="Times New Roman" w:cs="Times New Roman"/>
                <w:sz w:val="26"/>
                <w:szCs w:val="26"/>
              </w:rPr>
            </w:pPr>
            <w:hyperlink r:id="rId100" w:history="1">
              <w:r w:rsidR="00412BDC" w:rsidRPr="003C72A8">
                <w:rPr>
                  <w:rStyle w:val="Hyperlink"/>
                  <w:rFonts w:ascii="Times New Roman" w:hAnsi="Times New Roman" w:cs="Times New Roman"/>
                  <w:sz w:val="26"/>
                  <w:szCs w:val="26"/>
                </w:rPr>
                <w:t>sandry.grace@exeloncorp.com</w:t>
              </w:r>
            </w:hyperlink>
          </w:p>
          <w:p w:rsidR="00412BDC" w:rsidRPr="003C72A8" w:rsidRDefault="004F1D0B" w:rsidP="00412BDC">
            <w:pPr>
              <w:spacing w:after="0" w:line="240" w:lineRule="auto"/>
              <w:rPr>
                <w:rFonts w:ascii="Times New Roman" w:hAnsi="Times New Roman" w:cs="Times New Roman"/>
                <w:sz w:val="26"/>
                <w:szCs w:val="26"/>
              </w:rPr>
            </w:pPr>
            <w:hyperlink r:id="rId101" w:history="1">
              <w:r w:rsidR="00412BDC" w:rsidRPr="003C72A8">
                <w:rPr>
                  <w:rStyle w:val="Hyperlink"/>
                  <w:rFonts w:ascii="Times New Roman" w:hAnsi="Times New Roman" w:cs="Times New Roman"/>
                  <w:sz w:val="26"/>
                  <w:szCs w:val="26"/>
                </w:rPr>
                <w:t>joliker@mwncomh.com</w:t>
              </w:r>
            </w:hyperlink>
          </w:p>
          <w:p w:rsidR="00412BDC" w:rsidRPr="003C72A8" w:rsidRDefault="004F1D0B" w:rsidP="00412BDC">
            <w:pPr>
              <w:spacing w:after="0" w:line="240" w:lineRule="auto"/>
              <w:rPr>
                <w:rFonts w:ascii="Times New Roman" w:hAnsi="Times New Roman" w:cs="Times New Roman"/>
                <w:sz w:val="26"/>
                <w:szCs w:val="26"/>
              </w:rPr>
            </w:pPr>
            <w:hyperlink r:id="rId102" w:history="1">
              <w:r w:rsidR="00412BDC" w:rsidRPr="003C72A8">
                <w:rPr>
                  <w:rStyle w:val="Hyperlink"/>
                  <w:rFonts w:ascii="Times New Roman" w:hAnsi="Times New Roman" w:cs="Times New Roman"/>
                  <w:sz w:val="26"/>
                  <w:szCs w:val="26"/>
                </w:rPr>
                <w:t>fdarr@mwncmh.com</w:t>
              </w:r>
            </w:hyperlink>
          </w:p>
          <w:p w:rsidR="00412BDC" w:rsidRPr="003C72A8" w:rsidRDefault="004F1D0B" w:rsidP="00412BDC">
            <w:pPr>
              <w:spacing w:after="0" w:line="240" w:lineRule="auto"/>
              <w:rPr>
                <w:rFonts w:ascii="Times New Roman" w:hAnsi="Times New Roman" w:cs="Times New Roman"/>
                <w:sz w:val="26"/>
                <w:szCs w:val="26"/>
              </w:rPr>
            </w:pPr>
            <w:hyperlink r:id="rId103" w:history="1">
              <w:r w:rsidR="00412BDC" w:rsidRPr="003C72A8">
                <w:rPr>
                  <w:rStyle w:val="Hyperlink"/>
                  <w:rFonts w:ascii="Times New Roman" w:hAnsi="Times New Roman" w:cs="Times New Roman"/>
                  <w:sz w:val="26"/>
                  <w:szCs w:val="26"/>
                </w:rPr>
                <w:t>jestes@skaddenc.om</w:t>
              </w:r>
            </w:hyperlink>
          </w:p>
          <w:p w:rsidR="00412BDC" w:rsidRPr="003C72A8" w:rsidRDefault="004F1D0B" w:rsidP="00412BDC">
            <w:pPr>
              <w:spacing w:after="0" w:line="240" w:lineRule="auto"/>
              <w:rPr>
                <w:rFonts w:ascii="Times New Roman" w:hAnsi="Times New Roman" w:cs="Times New Roman"/>
                <w:sz w:val="26"/>
                <w:szCs w:val="26"/>
              </w:rPr>
            </w:pPr>
            <w:hyperlink r:id="rId104" w:history="1">
              <w:r w:rsidR="00412BDC" w:rsidRPr="003C72A8">
                <w:rPr>
                  <w:rStyle w:val="Hyperlink"/>
                  <w:rFonts w:ascii="Times New Roman" w:hAnsi="Times New Roman" w:cs="Times New Roman"/>
                  <w:sz w:val="26"/>
                  <w:szCs w:val="26"/>
                </w:rPr>
                <w:t>paul.wight@skadden.com</w:t>
              </w:r>
            </w:hyperlink>
          </w:p>
          <w:p w:rsidR="00412BDC" w:rsidRPr="003C72A8" w:rsidRDefault="004F1D0B" w:rsidP="00412BDC">
            <w:pPr>
              <w:spacing w:after="0" w:line="240" w:lineRule="auto"/>
              <w:rPr>
                <w:rFonts w:ascii="Times New Roman" w:hAnsi="Times New Roman" w:cs="Times New Roman"/>
                <w:sz w:val="26"/>
                <w:szCs w:val="26"/>
              </w:rPr>
            </w:pPr>
            <w:hyperlink r:id="rId105" w:history="1">
              <w:r w:rsidR="00412BDC" w:rsidRPr="003C72A8">
                <w:rPr>
                  <w:rStyle w:val="Hyperlink"/>
                  <w:rFonts w:ascii="Times New Roman" w:hAnsi="Times New Roman" w:cs="Times New Roman"/>
                  <w:sz w:val="26"/>
                  <w:szCs w:val="26"/>
                </w:rPr>
                <w:t>smhoward@vorys.com</w:t>
              </w:r>
            </w:hyperlink>
          </w:p>
          <w:p w:rsidR="00412BDC" w:rsidRPr="003C72A8" w:rsidRDefault="004F1D0B" w:rsidP="00412BDC">
            <w:pPr>
              <w:spacing w:after="0" w:line="240" w:lineRule="auto"/>
              <w:rPr>
                <w:rFonts w:ascii="Times New Roman" w:hAnsi="Times New Roman" w:cs="Times New Roman"/>
                <w:sz w:val="26"/>
                <w:szCs w:val="26"/>
              </w:rPr>
            </w:pPr>
            <w:hyperlink r:id="rId106" w:history="1">
              <w:r w:rsidR="00412BDC" w:rsidRPr="003C72A8">
                <w:rPr>
                  <w:rStyle w:val="Hyperlink"/>
                  <w:rFonts w:ascii="Times New Roman" w:hAnsi="Times New Roman" w:cs="Times New Roman"/>
                  <w:sz w:val="26"/>
                  <w:szCs w:val="26"/>
                </w:rPr>
                <w:t>mjsettineri@vorys.cmo</w:t>
              </w:r>
            </w:hyperlink>
          </w:p>
          <w:p w:rsidR="00412BDC" w:rsidRPr="003C72A8" w:rsidRDefault="004F1D0B" w:rsidP="00412BDC">
            <w:pPr>
              <w:spacing w:after="0" w:line="240" w:lineRule="auto"/>
              <w:rPr>
                <w:rFonts w:ascii="Times New Roman" w:hAnsi="Times New Roman" w:cs="Times New Roman"/>
                <w:sz w:val="26"/>
                <w:szCs w:val="26"/>
              </w:rPr>
            </w:pPr>
            <w:hyperlink r:id="rId107" w:history="1">
              <w:r w:rsidR="00412BDC" w:rsidRPr="003C72A8">
                <w:rPr>
                  <w:rStyle w:val="Hyperlink"/>
                  <w:rFonts w:ascii="Times New Roman" w:hAnsi="Times New Roman" w:cs="Times New Roman"/>
                  <w:sz w:val="26"/>
                  <w:szCs w:val="26"/>
                </w:rPr>
                <w:t>lkalepsclark@vorys.com</w:t>
              </w:r>
            </w:hyperlink>
          </w:p>
          <w:p w:rsidR="00412BDC" w:rsidRPr="003C72A8" w:rsidRDefault="004F1D0B" w:rsidP="00412BDC">
            <w:pPr>
              <w:spacing w:after="0" w:line="240" w:lineRule="auto"/>
              <w:rPr>
                <w:rFonts w:ascii="Times New Roman" w:hAnsi="Times New Roman" w:cs="Times New Roman"/>
                <w:sz w:val="26"/>
                <w:szCs w:val="26"/>
              </w:rPr>
            </w:pPr>
            <w:hyperlink r:id="rId108" w:history="1">
              <w:r w:rsidR="00412BDC" w:rsidRPr="003C72A8">
                <w:rPr>
                  <w:rStyle w:val="Hyperlink"/>
                  <w:rFonts w:ascii="Times New Roman" w:hAnsi="Times New Roman" w:cs="Times New Roman"/>
                  <w:sz w:val="26"/>
                  <w:szCs w:val="26"/>
                </w:rPr>
                <w:t>cmooney2@columbus.rr.com</w:t>
              </w:r>
            </w:hyperlink>
          </w:p>
          <w:p w:rsidR="00412BDC" w:rsidRPr="003C72A8" w:rsidRDefault="00412BDC" w:rsidP="00412BDC">
            <w:pPr>
              <w:spacing w:after="0" w:line="240" w:lineRule="auto"/>
              <w:rPr>
                <w:rFonts w:ascii="Times New Roman" w:hAnsi="Times New Roman" w:cs="Times New Roman"/>
                <w:sz w:val="26"/>
                <w:szCs w:val="26"/>
              </w:rPr>
            </w:pPr>
          </w:p>
        </w:tc>
      </w:tr>
    </w:tbl>
    <w:p w:rsidR="00412BDC" w:rsidRPr="003C72A8" w:rsidRDefault="00412BDC" w:rsidP="00C90C7D">
      <w:pPr>
        <w:autoSpaceDE w:val="0"/>
        <w:autoSpaceDN w:val="0"/>
        <w:adjustRightInd w:val="0"/>
        <w:spacing w:after="0" w:line="240" w:lineRule="auto"/>
        <w:rPr>
          <w:rFonts w:ascii="Times New Roman" w:hAnsi="Times New Roman" w:cs="Times New Roman"/>
          <w:b/>
          <w:bCs/>
          <w:sz w:val="26"/>
          <w:szCs w:val="26"/>
        </w:rPr>
      </w:pPr>
    </w:p>
    <w:sectPr w:rsidR="00412BDC" w:rsidRPr="003C72A8" w:rsidSect="005466A5">
      <w:headerReference w:type="default" r:id="rId109"/>
      <w:footerReference w:type="default" r:id="rId110"/>
      <w:headerReference w:type="first" r:id="rId111"/>
      <w:footerReference w:type="first" r:id="rId1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16" w:rsidRDefault="00724116">
      <w:pPr>
        <w:spacing w:after="0" w:line="240" w:lineRule="auto"/>
      </w:pPr>
      <w:r>
        <w:separator/>
      </w:r>
    </w:p>
  </w:endnote>
  <w:endnote w:type="continuationSeparator" w:id="0">
    <w:p w:rsidR="00724116" w:rsidRDefault="00724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16" w:rsidRPr="00DC3CC2" w:rsidRDefault="00724116" w:rsidP="00DC3CC2">
    <w:pPr>
      <w:pStyle w:val="Footer"/>
      <w:jc w:val="center"/>
      <w:rPr>
        <w:rFonts w:ascii="Times New Roman" w:hAnsi="Times New Roman" w:cs="Times New Roman"/>
        <w:b/>
        <w:sz w:val="26"/>
        <w:szCs w:val="26"/>
      </w:rPr>
    </w:pPr>
    <w:r w:rsidRPr="00DC3CC2">
      <w:rPr>
        <w:rFonts w:ascii="Times New Roman" w:hAnsi="Times New Roman" w:cs="Times New Roman"/>
        <w:b/>
        <w:sz w:val="26"/>
        <w:szCs w:val="26"/>
      </w:rPr>
      <w:t>July 9,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127648"/>
      <w:docPartObj>
        <w:docPartGallery w:val="Page Numbers (Bottom of Page)"/>
        <w:docPartUnique/>
      </w:docPartObj>
    </w:sdtPr>
    <w:sdtEndPr>
      <w:rPr>
        <w:rFonts w:ascii="Times New Roman" w:hAnsi="Times New Roman" w:cs="Times New Roman"/>
        <w:noProof/>
      </w:rPr>
    </w:sdtEndPr>
    <w:sdtContent>
      <w:p w:rsidR="00724116" w:rsidRPr="002B4081" w:rsidRDefault="00724116">
        <w:pPr>
          <w:pStyle w:val="Footer"/>
          <w:jc w:val="center"/>
          <w:rPr>
            <w:rFonts w:ascii="Times New Roman" w:hAnsi="Times New Roman" w:cs="Times New Roman"/>
          </w:rPr>
        </w:pPr>
        <w:r w:rsidRPr="002B4081">
          <w:rPr>
            <w:rFonts w:ascii="Times New Roman" w:hAnsi="Times New Roman" w:cs="Times New Roman"/>
          </w:rPr>
          <w:fldChar w:fldCharType="begin"/>
        </w:r>
        <w:r w:rsidRPr="002B4081">
          <w:rPr>
            <w:rFonts w:ascii="Times New Roman" w:hAnsi="Times New Roman" w:cs="Times New Roman"/>
          </w:rPr>
          <w:instrText xml:space="preserve"> PAGE   \* MERGEFORMAT </w:instrText>
        </w:r>
        <w:r w:rsidRPr="002B4081">
          <w:rPr>
            <w:rFonts w:ascii="Times New Roman" w:hAnsi="Times New Roman" w:cs="Times New Roman"/>
          </w:rPr>
          <w:fldChar w:fldCharType="separate"/>
        </w:r>
        <w:r w:rsidR="004F1D0B">
          <w:rPr>
            <w:rFonts w:ascii="Times New Roman" w:hAnsi="Times New Roman" w:cs="Times New Roman"/>
            <w:noProof/>
          </w:rPr>
          <w:t>ii</w:t>
        </w:r>
        <w:r w:rsidRPr="002B4081">
          <w:rPr>
            <w:rFonts w:ascii="Times New Roman" w:hAnsi="Times New Roman" w:cs="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12370576"/>
      <w:docPartObj>
        <w:docPartGallery w:val="Page Numbers (Bottom of Page)"/>
        <w:docPartUnique/>
      </w:docPartObj>
    </w:sdtPr>
    <w:sdtEndPr>
      <w:rPr>
        <w:noProof/>
      </w:rPr>
    </w:sdtEndPr>
    <w:sdtContent>
      <w:p w:rsidR="00724116" w:rsidRPr="00986706" w:rsidRDefault="00724116" w:rsidP="00986706">
        <w:pPr>
          <w:pStyle w:val="Footer"/>
          <w:jc w:val="center"/>
          <w:rPr>
            <w:rFonts w:ascii="Times New Roman" w:hAnsi="Times New Roman" w:cs="Times New Roman"/>
            <w:sz w:val="24"/>
            <w:szCs w:val="24"/>
          </w:rPr>
        </w:pPr>
        <w:r w:rsidRPr="00986706">
          <w:rPr>
            <w:rFonts w:ascii="Times New Roman" w:hAnsi="Times New Roman" w:cs="Times New Roman"/>
            <w:sz w:val="24"/>
            <w:szCs w:val="24"/>
          </w:rPr>
          <w:fldChar w:fldCharType="begin"/>
        </w:r>
        <w:r w:rsidRPr="00986706">
          <w:rPr>
            <w:rFonts w:ascii="Times New Roman" w:hAnsi="Times New Roman" w:cs="Times New Roman"/>
            <w:sz w:val="24"/>
            <w:szCs w:val="24"/>
          </w:rPr>
          <w:instrText xml:space="preserve"> PAGE   \* MERGEFORMAT </w:instrText>
        </w:r>
        <w:r w:rsidRPr="00986706">
          <w:rPr>
            <w:rFonts w:ascii="Times New Roman" w:hAnsi="Times New Roman" w:cs="Times New Roman"/>
            <w:sz w:val="24"/>
            <w:szCs w:val="24"/>
          </w:rPr>
          <w:fldChar w:fldCharType="separate"/>
        </w:r>
        <w:r w:rsidR="004F1D0B">
          <w:rPr>
            <w:rFonts w:ascii="Times New Roman" w:hAnsi="Times New Roman" w:cs="Times New Roman"/>
            <w:noProof/>
            <w:sz w:val="24"/>
            <w:szCs w:val="24"/>
          </w:rPr>
          <w:t>i</w:t>
        </w:r>
        <w:r w:rsidRPr="00986706">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25964356"/>
      <w:docPartObj>
        <w:docPartGallery w:val="Page Numbers (Bottom of Page)"/>
        <w:docPartUnique/>
      </w:docPartObj>
    </w:sdtPr>
    <w:sdtEndPr>
      <w:rPr>
        <w:noProof/>
      </w:rPr>
    </w:sdtEndPr>
    <w:sdtContent>
      <w:p w:rsidR="00724116" w:rsidRPr="005466A5" w:rsidRDefault="00724116" w:rsidP="005466A5">
        <w:pPr>
          <w:pStyle w:val="Footer"/>
          <w:jc w:val="center"/>
          <w:rPr>
            <w:rFonts w:ascii="Times New Roman" w:hAnsi="Times New Roman" w:cs="Times New Roman"/>
            <w:sz w:val="24"/>
            <w:szCs w:val="24"/>
          </w:rPr>
        </w:pPr>
        <w:r w:rsidRPr="005466A5">
          <w:rPr>
            <w:rFonts w:ascii="Times New Roman" w:hAnsi="Times New Roman" w:cs="Times New Roman"/>
            <w:sz w:val="24"/>
            <w:szCs w:val="24"/>
          </w:rPr>
          <w:fldChar w:fldCharType="begin"/>
        </w:r>
        <w:r w:rsidRPr="005466A5">
          <w:rPr>
            <w:rFonts w:ascii="Times New Roman" w:hAnsi="Times New Roman" w:cs="Times New Roman"/>
            <w:sz w:val="24"/>
            <w:szCs w:val="24"/>
          </w:rPr>
          <w:instrText xml:space="preserve"> PAGE   \* MERGEFORMAT </w:instrText>
        </w:r>
        <w:r w:rsidRPr="005466A5">
          <w:rPr>
            <w:rFonts w:ascii="Times New Roman" w:hAnsi="Times New Roman" w:cs="Times New Roman"/>
            <w:sz w:val="24"/>
            <w:szCs w:val="24"/>
          </w:rPr>
          <w:fldChar w:fldCharType="separate"/>
        </w:r>
        <w:r w:rsidR="004F1D0B">
          <w:rPr>
            <w:rFonts w:ascii="Times New Roman" w:hAnsi="Times New Roman" w:cs="Times New Roman"/>
            <w:noProof/>
            <w:sz w:val="24"/>
            <w:szCs w:val="24"/>
          </w:rPr>
          <w:t>22</w:t>
        </w:r>
        <w:r w:rsidRPr="005466A5">
          <w:rPr>
            <w:rFonts w:ascii="Times New Roman" w:hAnsi="Times New Roman" w:cs="Times New Roman"/>
            <w:noProof/>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16" w:rsidRDefault="00724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16" w:rsidRDefault="00724116">
      <w:pPr>
        <w:spacing w:after="0" w:line="240" w:lineRule="auto"/>
      </w:pPr>
      <w:r>
        <w:separator/>
      </w:r>
    </w:p>
  </w:footnote>
  <w:footnote w:type="continuationSeparator" w:id="0">
    <w:p w:rsidR="00724116" w:rsidRDefault="00724116">
      <w:pPr>
        <w:spacing w:after="0" w:line="240" w:lineRule="auto"/>
      </w:pPr>
      <w:r>
        <w:continuationSeparator/>
      </w:r>
    </w:p>
  </w:footnote>
  <w:footnote w:id="1">
    <w:p w:rsidR="00724116" w:rsidRPr="006B34C6" w:rsidRDefault="00724116" w:rsidP="00DC3CC2">
      <w:pPr>
        <w:pStyle w:val="FootnoteText"/>
      </w:pPr>
      <w:r w:rsidRPr="006B34C6">
        <w:rPr>
          <w:rStyle w:val="FootnoteReference"/>
          <w:sz w:val="26"/>
          <w:szCs w:val="26"/>
        </w:rPr>
        <w:footnoteRef/>
      </w:r>
      <w:r w:rsidRPr="006B34C6">
        <w:t xml:space="preserve"> </w:t>
      </w:r>
      <w:r w:rsidRPr="006B34C6">
        <w:tab/>
      </w:r>
      <w:r>
        <w:tab/>
      </w:r>
      <w:r w:rsidRPr="00DC3CC2">
        <w:rPr>
          <w:i/>
        </w:rPr>
        <w:t>In the Matter of the Commission Review of the Capacity Charges of Ohio Power Company and Columbus Southern Power Company</w:t>
      </w:r>
      <w:r w:rsidRPr="006B34C6">
        <w:t>, Case No. 10-2929-EL-UNC</w:t>
      </w:r>
      <w:r>
        <w:t xml:space="preserve"> (</w:t>
      </w:r>
      <w:r>
        <w:rPr>
          <w:i/>
        </w:rPr>
        <w:t>Capacity Case)</w:t>
      </w:r>
      <w:r w:rsidRPr="006B34C6">
        <w:t>.</w:t>
      </w:r>
    </w:p>
  </w:footnote>
  <w:footnote w:id="2">
    <w:p w:rsidR="00724116" w:rsidRPr="00E857A4" w:rsidRDefault="00724116" w:rsidP="00DC3CC2">
      <w:pPr>
        <w:pStyle w:val="FootnoteText"/>
      </w:pPr>
      <w:r w:rsidRPr="00E857A4">
        <w:rPr>
          <w:rStyle w:val="FootnoteReference"/>
          <w:sz w:val="26"/>
          <w:szCs w:val="26"/>
        </w:rPr>
        <w:footnoteRef/>
      </w:r>
      <w:r w:rsidRPr="00E857A4">
        <w:t xml:space="preserve"> </w:t>
      </w:r>
      <w:r w:rsidRPr="00E857A4">
        <w:tab/>
      </w:r>
      <w:r>
        <w:tab/>
      </w:r>
      <w:r w:rsidRPr="00E857A4">
        <w:t xml:space="preserve">Staff’s Initial Brief at 7.  </w:t>
      </w:r>
    </w:p>
  </w:footnote>
  <w:footnote w:id="3">
    <w:p w:rsidR="00724116" w:rsidRPr="00C60E24" w:rsidRDefault="00724116" w:rsidP="00DC3CC2">
      <w:pPr>
        <w:pStyle w:val="FootnoteText"/>
      </w:pPr>
      <w:r w:rsidRPr="00DC3CC2">
        <w:rPr>
          <w:rStyle w:val="FootnoteReference"/>
        </w:rPr>
        <w:footnoteRef/>
      </w:r>
      <w:r w:rsidRPr="00DC3CC2">
        <w:rPr>
          <w:rStyle w:val="FootnoteReference"/>
        </w:rPr>
        <w:t xml:space="preserve"> </w:t>
      </w:r>
      <w:r w:rsidRPr="00E857A4">
        <w:tab/>
      </w:r>
      <w:r>
        <w:tab/>
      </w:r>
      <w:r>
        <w:rPr>
          <w:i/>
        </w:rPr>
        <w:t>Capacity Case</w:t>
      </w:r>
      <w:r w:rsidRPr="00E857A4">
        <w:t xml:space="preserve"> </w:t>
      </w:r>
      <w:r w:rsidRPr="00C60E24">
        <w:t>(Testimony of Emily S. Medine on behalf of Staff of the Public Utilities Commission of Ohio) (May 7, 2012).</w:t>
      </w:r>
    </w:p>
  </w:footnote>
  <w:footnote w:id="4">
    <w:p w:rsidR="00724116" w:rsidRPr="00C60E24" w:rsidRDefault="00724116" w:rsidP="00DC3CC2">
      <w:pPr>
        <w:pStyle w:val="FootnoteText"/>
      </w:pPr>
      <w:r w:rsidRPr="00C60E24">
        <w:rPr>
          <w:rStyle w:val="FootnoteReference"/>
          <w:sz w:val="26"/>
          <w:szCs w:val="26"/>
        </w:rPr>
        <w:footnoteRef/>
      </w:r>
      <w:r w:rsidRPr="00C60E24">
        <w:t xml:space="preserve"> </w:t>
      </w:r>
      <w:r w:rsidRPr="00C60E24">
        <w:tab/>
      </w:r>
      <w:r>
        <w:tab/>
      </w:r>
      <w:r w:rsidRPr="00C60E24">
        <w:t>Staff’s Initial Brief at 7.</w:t>
      </w:r>
    </w:p>
  </w:footnote>
  <w:footnote w:id="5">
    <w:p w:rsidR="00724116" w:rsidRPr="00C60E24" w:rsidRDefault="00724116" w:rsidP="00DC3CC2">
      <w:pPr>
        <w:pStyle w:val="FootnoteText"/>
      </w:pPr>
      <w:r w:rsidRPr="00C60E24">
        <w:rPr>
          <w:rStyle w:val="FootnoteReference"/>
          <w:sz w:val="26"/>
          <w:szCs w:val="26"/>
        </w:rPr>
        <w:footnoteRef/>
      </w:r>
      <w:r w:rsidRPr="00C60E24">
        <w:t xml:space="preserve"> </w:t>
      </w:r>
      <w:r w:rsidRPr="00C60E24">
        <w:tab/>
      </w:r>
      <w:r>
        <w:tab/>
        <w:t xml:space="preserve">Staff’s Initial Brief </w:t>
      </w:r>
      <w:r w:rsidRPr="00C60E24">
        <w:t>at 11.</w:t>
      </w:r>
    </w:p>
  </w:footnote>
  <w:footnote w:id="6">
    <w:p w:rsidR="00724116" w:rsidRPr="00C60E24" w:rsidRDefault="00724116" w:rsidP="00DC3CC2">
      <w:pPr>
        <w:pStyle w:val="FootnoteText"/>
      </w:pPr>
      <w:r w:rsidRPr="00C60E24">
        <w:rPr>
          <w:rStyle w:val="FootnoteReference"/>
          <w:sz w:val="26"/>
          <w:szCs w:val="26"/>
        </w:rPr>
        <w:footnoteRef/>
      </w:r>
      <w:r w:rsidRPr="00C60E24">
        <w:t xml:space="preserve"> </w:t>
      </w:r>
      <w:r w:rsidRPr="00C60E24">
        <w:tab/>
      </w:r>
      <w:r>
        <w:tab/>
      </w:r>
      <w:r w:rsidRPr="00DC3CC2">
        <w:rPr>
          <w:i/>
        </w:rPr>
        <w:t>Id</w:t>
      </w:r>
      <w:r w:rsidRPr="00C60E24">
        <w:t>.</w:t>
      </w:r>
    </w:p>
  </w:footnote>
  <w:footnote w:id="7">
    <w:p w:rsidR="00724116" w:rsidRPr="00C60E24" w:rsidRDefault="00724116" w:rsidP="00DC3CC2">
      <w:pPr>
        <w:pStyle w:val="FootnoteText"/>
      </w:pPr>
      <w:r w:rsidRPr="00C60E24">
        <w:rPr>
          <w:rStyle w:val="FootnoteReference"/>
          <w:sz w:val="26"/>
          <w:szCs w:val="26"/>
        </w:rPr>
        <w:footnoteRef/>
      </w:r>
      <w:r w:rsidRPr="00C60E24">
        <w:t xml:space="preserve"> </w:t>
      </w:r>
      <w:r w:rsidRPr="00C60E24">
        <w:tab/>
      </w:r>
      <w:r>
        <w:tab/>
      </w:r>
      <w:r>
        <w:rPr>
          <w:i/>
        </w:rPr>
        <w:t>Id</w:t>
      </w:r>
      <w:r>
        <w:t xml:space="preserve">. </w:t>
      </w:r>
      <w:r w:rsidRPr="00C60E24">
        <w:t>at 12.</w:t>
      </w:r>
    </w:p>
  </w:footnote>
  <w:footnote w:id="8">
    <w:p w:rsidR="00724116" w:rsidRPr="00C60E24" w:rsidRDefault="00724116" w:rsidP="00DC3CC2">
      <w:pPr>
        <w:pStyle w:val="FootnoteText"/>
      </w:pPr>
      <w:r w:rsidRPr="00E27EE7">
        <w:rPr>
          <w:rStyle w:val="FootnoteReference"/>
          <w:sz w:val="26"/>
          <w:szCs w:val="26"/>
        </w:rPr>
        <w:footnoteRef/>
      </w:r>
      <w:r w:rsidRPr="00E27EE7">
        <w:t xml:space="preserve"> </w:t>
      </w:r>
      <w:r w:rsidRPr="00E27EE7">
        <w:tab/>
      </w:r>
      <w:r>
        <w:tab/>
      </w:r>
      <w:r w:rsidRPr="00C60E24">
        <w:t>Company Initial Brief at 145.</w:t>
      </w:r>
    </w:p>
  </w:footnote>
  <w:footnote w:id="9">
    <w:p w:rsidR="00724116" w:rsidRPr="00E27EE7" w:rsidRDefault="00724116" w:rsidP="00DC3CC2">
      <w:pPr>
        <w:pStyle w:val="FootnoteText"/>
      </w:pPr>
      <w:r w:rsidRPr="00E27EE7">
        <w:rPr>
          <w:rStyle w:val="FootnoteReference"/>
          <w:sz w:val="26"/>
          <w:szCs w:val="26"/>
        </w:rPr>
        <w:footnoteRef/>
      </w:r>
      <w:r w:rsidRPr="00E27EE7">
        <w:t xml:space="preserve"> </w:t>
      </w:r>
      <w:r w:rsidRPr="00E27EE7">
        <w:tab/>
      </w:r>
      <w:r>
        <w:tab/>
      </w:r>
      <w:r w:rsidRPr="00DC3CC2">
        <w:rPr>
          <w:i/>
        </w:rPr>
        <w:t>Id</w:t>
      </w:r>
      <w:r w:rsidRPr="00E27EE7">
        <w:t>.</w:t>
      </w:r>
    </w:p>
  </w:footnote>
  <w:footnote w:id="10">
    <w:p w:rsidR="00724116" w:rsidRPr="00C60E24" w:rsidRDefault="00724116" w:rsidP="00DC3CC2">
      <w:pPr>
        <w:pStyle w:val="FootnoteText"/>
      </w:pPr>
      <w:r w:rsidRPr="00C60E24">
        <w:rPr>
          <w:rStyle w:val="FootnoteReference"/>
          <w:sz w:val="26"/>
          <w:szCs w:val="26"/>
        </w:rPr>
        <w:footnoteRef/>
      </w:r>
      <w:r w:rsidRPr="00C60E24">
        <w:t xml:space="preserve"> </w:t>
      </w:r>
      <w:r w:rsidRPr="00C60E24">
        <w:tab/>
      </w:r>
      <w:r>
        <w:tab/>
      </w:r>
      <w:r w:rsidRPr="00C60E24">
        <w:rPr>
          <w:i/>
        </w:rPr>
        <w:t xml:space="preserve">Capacity Case </w:t>
      </w:r>
      <w:r w:rsidRPr="00C60E24">
        <w:t>(Staff Reply Brief</w:t>
      </w:r>
      <w:r>
        <w:t xml:space="preserve"> </w:t>
      </w:r>
      <w:r w:rsidRPr="00C60E24">
        <w:t>at 18</w:t>
      </w:r>
      <w:r>
        <w:t>)</w:t>
      </w:r>
      <w:r w:rsidRPr="00C60E24">
        <w:t>.</w:t>
      </w:r>
    </w:p>
  </w:footnote>
  <w:footnote w:id="11">
    <w:p w:rsidR="00724116" w:rsidRPr="00C60E24" w:rsidRDefault="00724116" w:rsidP="00DC3CC2">
      <w:pPr>
        <w:pStyle w:val="FootnoteText"/>
      </w:pPr>
      <w:r w:rsidRPr="00C60E24">
        <w:rPr>
          <w:rStyle w:val="FootnoteReference"/>
          <w:sz w:val="26"/>
          <w:szCs w:val="26"/>
        </w:rPr>
        <w:footnoteRef/>
      </w:r>
      <w:r w:rsidRPr="00C60E24">
        <w:rPr>
          <w:rStyle w:val="FootnoteReference"/>
          <w:sz w:val="26"/>
          <w:szCs w:val="26"/>
        </w:rPr>
        <w:t xml:space="preserve"> </w:t>
      </w:r>
      <w:r w:rsidRPr="00C60E24">
        <w:rPr>
          <w:rStyle w:val="FootnoteReference"/>
          <w:sz w:val="26"/>
          <w:szCs w:val="26"/>
        </w:rPr>
        <w:tab/>
      </w:r>
      <w:r>
        <w:rPr>
          <w:sz w:val="26"/>
          <w:szCs w:val="26"/>
        </w:rPr>
        <w:tab/>
      </w:r>
      <w:r w:rsidRPr="00DC3CC2">
        <w:rPr>
          <w:i/>
        </w:rPr>
        <w:t>Id</w:t>
      </w:r>
      <w:r w:rsidRPr="00C60E24">
        <w:t>.</w:t>
      </w:r>
    </w:p>
  </w:footnote>
  <w:footnote w:id="12">
    <w:p w:rsidR="00724116" w:rsidRPr="00C60E24" w:rsidRDefault="00724116" w:rsidP="00DC3CC2">
      <w:pPr>
        <w:pStyle w:val="FootnoteText"/>
      </w:pPr>
      <w:r w:rsidRPr="00C60E24">
        <w:rPr>
          <w:rStyle w:val="FootnoteReference"/>
          <w:sz w:val="26"/>
          <w:szCs w:val="26"/>
        </w:rPr>
        <w:footnoteRef/>
      </w:r>
      <w:r w:rsidRPr="00C60E24">
        <w:rPr>
          <w:rStyle w:val="FootnoteReference"/>
          <w:sz w:val="26"/>
          <w:szCs w:val="26"/>
        </w:rPr>
        <w:t xml:space="preserve"> </w:t>
      </w:r>
      <w:r w:rsidRPr="00C60E24">
        <w:rPr>
          <w:rStyle w:val="FootnoteReference"/>
          <w:sz w:val="26"/>
          <w:szCs w:val="26"/>
        </w:rPr>
        <w:tab/>
      </w:r>
      <w:r>
        <w:rPr>
          <w:sz w:val="26"/>
          <w:szCs w:val="26"/>
        </w:rPr>
        <w:tab/>
      </w:r>
      <w:r w:rsidRPr="00DC3CC2">
        <w:rPr>
          <w:i/>
        </w:rPr>
        <w:t>Id</w:t>
      </w:r>
      <w:r w:rsidRPr="00C60E24">
        <w:t>.</w:t>
      </w:r>
    </w:p>
  </w:footnote>
  <w:footnote w:id="13">
    <w:p w:rsidR="00724116" w:rsidRPr="00E857A4" w:rsidRDefault="00724116" w:rsidP="00DC3CC2">
      <w:pPr>
        <w:pStyle w:val="FootnoteText"/>
      </w:pPr>
      <w:r w:rsidRPr="00E857A4">
        <w:rPr>
          <w:rStyle w:val="FootnoteReference"/>
          <w:sz w:val="26"/>
          <w:szCs w:val="26"/>
        </w:rPr>
        <w:footnoteRef/>
      </w:r>
      <w:r w:rsidRPr="00E857A4">
        <w:t xml:space="preserve"> </w:t>
      </w:r>
      <w:r w:rsidRPr="00E857A4">
        <w:tab/>
      </w:r>
      <w:r>
        <w:tab/>
      </w:r>
      <w:r>
        <w:rPr>
          <w:i/>
        </w:rPr>
        <w:t>Id</w:t>
      </w:r>
      <w:r>
        <w:t>.</w:t>
      </w:r>
    </w:p>
  </w:footnote>
  <w:footnote w:id="14">
    <w:p w:rsidR="00724116" w:rsidRPr="00E857A4" w:rsidRDefault="00724116" w:rsidP="00DC3CC2">
      <w:pPr>
        <w:pStyle w:val="FootnoteText"/>
      </w:pPr>
      <w:r w:rsidRPr="00E857A4">
        <w:rPr>
          <w:rStyle w:val="FootnoteReference"/>
          <w:sz w:val="26"/>
          <w:szCs w:val="26"/>
        </w:rPr>
        <w:footnoteRef/>
      </w:r>
      <w:r w:rsidRPr="00E857A4">
        <w:t xml:space="preserve"> </w:t>
      </w:r>
      <w:r w:rsidRPr="00E857A4">
        <w:tab/>
      </w:r>
      <w:r>
        <w:tab/>
      </w:r>
      <w:r w:rsidRPr="00DC3CC2">
        <w:rPr>
          <w:i/>
        </w:rPr>
        <w:t>Id</w:t>
      </w:r>
      <w:r w:rsidRPr="00E857A4">
        <w:t>.</w:t>
      </w:r>
    </w:p>
  </w:footnote>
  <w:footnote w:id="15">
    <w:p w:rsidR="00724116" w:rsidRPr="00E857A4" w:rsidRDefault="00724116" w:rsidP="00DC3CC2">
      <w:pPr>
        <w:pStyle w:val="FootnoteText"/>
      </w:pPr>
      <w:r w:rsidRPr="00E857A4">
        <w:rPr>
          <w:rStyle w:val="FootnoteReference"/>
          <w:sz w:val="26"/>
          <w:szCs w:val="26"/>
        </w:rPr>
        <w:footnoteRef/>
      </w:r>
      <w:r w:rsidRPr="00E857A4">
        <w:t xml:space="preserve"> </w:t>
      </w:r>
      <w:r w:rsidRPr="00E857A4">
        <w:tab/>
      </w:r>
      <w:r>
        <w:tab/>
      </w:r>
      <w:r w:rsidRPr="00E857A4">
        <w:rPr>
          <w:i/>
        </w:rPr>
        <w:t xml:space="preserve">Id. </w:t>
      </w:r>
      <w:r w:rsidRPr="00E857A4">
        <w:t>at 20.</w:t>
      </w:r>
    </w:p>
  </w:footnote>
  <w:footnote w:id="16">
    <w:p w:rsidR="00724116" w:rsidRPr="00E857A4" w:rsidRDefault="00724116" w:rsidP="00DC3CC2">
      <w:pPr>
        <w:pStyle w:val="FootnoteText"/>
      </w:pPr>
      <w:r w:rsidRPr="00E857A4">
        <w:rPr>
          <w:rStyle w:val="FootnoteReference"/>
          <w:sz w:val="26"/>
          <w:szCs w:val="26"/>
        </w:rPr>
        <w:footnoteRef/>
      </w:r>
      <w:r w:rsidRPr="00E857A4">
        <w:t xml:space="preserve"> </w:t>
      </w:r>
      <w:r w:rsidRPr="00E857A4">
        <w:tab/>
      </w:r>
      <w:r>
        <w:tab/>
      </w:r>
      <w:r w:rsidRPr="00E857A4">
        <w:t>Company Initial Brief at 146-147.</w:t>
      </w:r>
    </w:p>
  </w:footnote>
  <w:footnote w:id="17">
    <w:p w:rsidR="00724116" w:rsidRPr="00E857A4" w:rsidRDefault="00724116" w:rsidP="00DC3CC2">
      <w:pPr>
        <w:pStyle w:val="FootnoteText"/>
      </w:pPr>
      <w:r w:rsidRPr="00E857A4">
        <w:rPr>
          <w:rStyle w:val="FootnoteReference"/>
          <w:sz w:val="26"/>
          <w:szCs w:val="26"/>
        </w:rPr>
        <w:footnoteRef/>
      </w:r>
      <w:r w:rsidRPr="00E857A4">
        <w:t xml:space="preserve"> </w:t>
      </w:r>
      <w:r w:rsidRPr="00E857A4">
        <w:tab/>
      </w:r>
      <w:r>
        <w:tab/>
        <w:t xml:space="preserve">Tr. at </w:t>
      </w:r>
      <w:r w:rsidRPr="00E857A4">
        <w:t>2417-2418.</w:t>
      </w:r>
    </w:p>
  </w:footnote>
  <w:footnote w:id="18">
    <w:p w:rsidR="00724116" w:rsidRPr="00E857A4" w:rsidRDefault="00724116" w:rsidP="00DC3CC2">
      <w:pPr>
        <w:pStyle w:val="FootnoteText"/>
      </w:pPr>
      <w:r w:rsidRPr="00E857A4">
        <w:rPr>
          <w:rStyle w:val="FootnoteReference"/>
          <w:sz w:val="26"/>
          <w:szCs w:val="26"/>
        </w:rPr>
        <w:footnoteRef/>
      </w:r>
      <w:r w:rsidRPr="00E857A4">
        <w:t xml:space="preserve"> </w:t>
      </w:r>
      <w:r w:rsidRPr="00E857A4">
        <w:tab/>
      </w:r>
      <w:r>
        <w:tab/>
        <w:t xml:space="preserve">Tr. at </w:t>
      </w:r>
      <w:r w:rsidRPr="00E857A4">
        <w:t>4647.</w:t>
      </w:r>
    </w:p>
  </w:footnote>
  <w:footnote w:id="19">
    <w:p w:rsidR="00724116" w:rsidRPr="00CF2E75" w:rsidRDefault="00724116" w:rsidP="00DC3CC2">
      <w:pPr>
        <w:pStyle w:val="FootnoteText"/>
      </w:pPr>
      <w:r w:rsidRPr="00CF2E75">
        <w:rPr>
          <w:rStyle w:val="FootnoteReference"/>
          <w:sz w:val="26"/>
          <w:szCs w:val="26"/>
        </w:rPr>
        <w:footnoteRef/>
      </w:r>
      <w:r w:rsidRPr="00CF2E75">
        <w:t xml:space="preserve"> </w:t>
      </w:r>
      <w:r w:rsidRPr="00CF2E75">
        <w:tab/>
      </w:r>
      <w:r>
        <w:tab/>
        <w:t>Company B</w:t>
      </w:r>
      <w:r w:rsidRPr="00CF2E75">
        <w:t>rief at 6.</w:t>
      </w:r>
    </w:p>
  </w:footnote>
  <w:footnote w:id="20">
    <w:p w:rsidR="00724116" w:rsidRPr="00CF2E75" w:rsidRDefault="00724116" w:rsidP="00DC3CC2">
      <w:pPr>
        <w:pStyle w:val="FootnoteText"/>
      </w:pPr>
      <w:r w:rsidRPr="00CF2E75">
        <w:rPr>
          <w:rStyle w:val="FootnoteReference"/>
          <w:sz w:val="26"/>
          <w:szCs w:val="26"/>
        </w:rPr>
        <w:footnoteRef/>
      </w:r>
      <w:r w:rsidRPr="00CF2E75">
        <w:t xml:space="preserve"> </w:t>
      </w:r>
      <w:r w:rsidRPr="00CF2E75">
        <w:tab/>
      </w:r>
      <w:r>
        <w:tab/>
      </w:r>
      <w:r>
        <w:rPr>
          <w:i/>
        </w:rPr>
        <w:t>Id</w:t>
      </w:r>
      <w:r>
        <w:t>.</w:t>
      </w:r>
      <w:r w:rsidRPr="00CF2E75">
        <w:t xml:space="preserve"> at 7. </w:t>
      </w:r>
    </w:p>
  </w:footnote>
  <w:footnote w:id="21">
    <w:p w:rsidR="00724116" w:rsidRPr="00C60E24" w:rsidRDefault="00724116" w:rsidP="00DC3CC2">
      <w:pPr>
        <w:pStyle w:val="FootnoteText"/>
      </w:pPr>
      <w:r w:rsidRPr="00C60E24">
        <w:rPr>
          <w:rStyle w:val="FootnoteReference"/>
          <w:sz w:val="26"/>
          <w:szCs w:val="26"/>
        </w:rPr>
        <w:footnoteRef/>
      </w:r>
      <w:r w:rsidRPr="00C60E24">
        <w:t xml:space="preserve"> </w:t>
      </w:r>
      <w:r w:rsidRPr="00C60E24">
        <w:tab/>
      </w:r>
      <w:r>
        <w:tab/>
      </w:r>
      <w:r>
        <w:rPr>
          <w:i/>
        </w:rPr>
        <w:t>Id</w:t>
      </w:r>
      <w:r>
        <w:t xml:space="preserve">. </w:t>
      </w:r>
      <w:r w:rsidRPr="00C60E24">
        <w:t>at 3.</w:t>
      </w:r>
    </w:p>
  </w:footnote>
  <w:footnote w:id="22">
    <w:p w:rsidR="00724116" w:rsidRPr="00E27EE7" w:rsidRDefault="00724116" w:rsidP="00DC3CC2">
      <w:pPr>
        <w:pStyle w:val="FootnoteText"/>
      </w:pPr>
      <w:r w:rsidRPr="00E27EE7">
        <w:rPr>
          <w:rStyle w:val="FootnoteReference"/>
          <w:sz w:val="26"/>
          <w:szCs w:val="26"/>
        </w:rPr>
        <w:footnoteRef/>
      </w:r>
      <w:r w:rsidRPr="00E27EE7">
        <w:t xml:space="preserve"> </w:t>
      </w:r>
      <w:r w:rsidRPr="00E27EE7">
        <w:tab/>
      </w:r>
      <w:r>
        <w:tab/>
      </w:r>
      <w:r w:rsidRPr="00E27EE7">
        <w:t xml:space="preserve">IEU-Ohio </w:t>
      </w:r>
      <w:r>
        <w:t>Brief</w:t>
      </w:r>
      <w:r w:rsidRPr="00E27EE7">
        <w:t xml:space="preserve"> at 18.</w:t>
      </w:r>
    </w:p>
  </w:footnote>
  <w:footnote w:id="23">
    <w:p w:rsidR="00724116" w:rsidRPr="00E27EE7" w:rsidRDefault="00724116" w:rsidP="00DC3CC2">
      <w:pPr>
        <w:pStyle w:val="FootnoteText"/>
      </w:pPr>
      <w:r w:rsidRPr="00E27EE7">
        <w:rPr>
          <w:rStyle w:val="FootnoteReference"/>
          <w:sz w:val="26"/>
          <w:szCs w:val="26"/>
        </w:rPr>
        <w:footnoteRef/>
      </w:r>
      <w:r w:rsidRPr="00E27EE7">
        <w:t xml:space="preserve"> </w:t>
      </w:r>
      <w:r w:rsidRPr="00E27EE7">
        <w:tab/>
      </w:r>
      <w:r>
        <w:tab/>
      </w:r>
      <w:r w:rsidRPr="00E27EE7">
        <w:t xml:space="preserve">Company </w:t>
      </w:r>
      <w:r>
        <w:t>Brief</w:t>
      </w:r>
      <w:r w:rsidRPr="00E27EE7">
        <w:t xml:space="preserve"> at 4. </w:t>
      </w:r>
    </w:p>
  </w:footnote>
  <w:footnote w:id="24">
    <w:p w:rsidR="00724116" w:rsidRPr="00E27EE7" w:rsidRDefault="00724116" w:rsidP="00DC3CC2">
      <w:pPr>
        <w:pStyle w:val="FootnoteText"/>
      </w:pPr>
      <w:r w:rsidRPr="00E27EE7">
        <w:rPr>
          <w:rStyle w:val="FootnoteReference"/>
          <w:sz w:val="26"/>
          <w:szCs w:val="26"/>
        </w:rPr>
        <w:footnoteRef/>
      </w:r>
      <w:r w:rsidRPr="00E27EE7">
        <w:t xml:space="preserve"> </w:t>
      </w:r>
      <w:r w:rsidRPr="00E27EE7">
        <w:tab/>
      </w:r>
      <w:r>
        <w:tab/>
      </w:r>
      <w:r w:rsidRPr="00E27EE7">
        <w:t xml:space="preserve">IEU-Ohio </w:t>
      </w:r>
      <w:r>
        <w:t>Brief</w:t>
      </w:r>
      <w:r w:rsidRPr="00E27EE7">
        <w:t xml:space="preserve"> at 19.</w:t>
      </w:r>
    </w:p>
  </w:footnote>
  <w:footnote w:id="25">
    <w:p w:rsidR="00724116" w:rsidRPr="00E27EE7" w:rsidRDefault="00724116" w:rsidP="00DC3CC2">
      <w:pPr>
        <w:pStyle w:val="FootnoteText"/>
      </w:pPr>
      <w:r w:rsidRPr="00E27EE7">
        <w:rPr>
          <w:rStyle w:val="FootnoteReference"/>
          <w:sz w:val="26"/>
          <w:szCs w:val="26"/>
        </w:rPr>
        <w:footnoteRef/>
      </w:r>
      <w:r w:rsidRPr="00E27EE7">
        <w:t xml:space="preserve"> </w:t>
      </w:r>
      <w:r w:rsidRPr="00E27EE7">
        <w:tab/>
      </w:r>
      <w:r>
        <w:tab/>
      </w:r>
      <w:r w:rsidRPr="00E27EE7">
        <w:t xml:space="preserve">Company </w:t>
      </w:r>
      <w:r>
        <w:t>Brief</w:t>
      </w:r>
      <w:r w:rsidRPr="00E27EE7">
        <w:t xml:space="preserve"> at 4. </w:t>
      </w:r>
    </w:p>
  </w:footnote>
  <w:footnote w:id="26">
    <w:p w:rsidR="00724116" w:rsidRPr="00A97C37" w:rsidRDefault="00724116" w:rsidP="00DC3CC2">
      <w:pPr>
        <w:pStyle w:val="FootnoteText"/>
      </w:pPr>
      <w:r w:rsidRPr="00A97C37">
        <w:rPr>
          <w:rStyle w:val="FootnoteReference"/>
          <w:sz w:val="26"/>
          <w:szCs w:val="26"/>
        </w:rPr>
        <w:footnoteRef/>
      </w:r>
      <w:r w:rsidRPr="00A97C37">
        <w:t xml:space="preserve"> </w:t>
      </w:r>
      <w:r w:rsidRPr="00A97C37">
        <w:tab/>
      </w:r>
      <w:r>
        <w:tab/>
      </w:r>
      <w:r w:rsidRPr="00A97C37">
        <w:t xml:space="preserve">Company </w:t>
      </w:r>
      <w:r>
        <w:t>Brief</w:t>
      </w:r>
      <w:r w:rsidRPr="00A97C37">
        <w:t xml:space="preserve"> at 27. </w:t>
      </w:r>
    </w:p>
  </w:footnote>
  <w:footnote w:id="27">
    <w:p w:rsidR="00724116" w:rsidRPr="00A97C37" w:rsidRDefault="00724116" w:rsidP="00DC3CC2">
      <w:pPr>
        <w:pStyle w:val="FootnoteText"/>
      </w:pPr>
      <w:r w:rsidRPr="00A97C37">
        <w:rPr>
          <w:rStyle w:val="FootnoteReference"/>
          <w:sz w:val="26"/>
          <w:szCs w:val="26"/>
        </w:rPr>
        <w:footnoteRef/>
      </w:r>
      <w:r w:rsidRPr="00A97C37">
        <w:t xml:space="preserve"> </w:t>
      </w:r>
      <w:r w:rsidRPr="00A97C37">
        <w:tab/>
      </w:r>
      <w:r>
        <w:tab/>
      </w:r>
      <w:r w:rsidRPr="00A97C37">
        <w:t>Staff Ex. 109.</w:t>
      </w:r>
    </w:p>
  </w:footnote>
  <w:footnote w:id="28">
    <w:p w:rsidR="00724116" w:rsidRPr="00A97C37" w:rsidRDefault="00724116" w:rsidP="00DC3CC2">
      <w:pPr>
        <w:pStyle w:val="FootnoteText"/>
      </w:pPr>
      <w:r w:rsidRPr="00A97C37">
        <w:rPr>
          <w:rStyle w:val="FootnoteReference"/>
          <w:sz w:val="26"/>
          <w:szCs w:val="26"/>
        </w:rPr>
        <w:footnoteRef/>
      </w:r>
      <w:r w:rsidRPr="00A97C37">
        <w:t xml:space="preserve"> </w:t>
      </w:r>
      <w:r w:rsidRPr="00A97C37">
        <w:tab/>
      </w:r>
      <w:r>
        <w:tab/>
      </w:r>
      <w:r w:rsidRPr="00A97C37">
        <w:t xml:space="preserve">Company </w:t>
      </w:r>
      <w:r>
        <w:t>Brief</w:t>
      </w:r>
      <w:r w:rsidRPr="00A97C37">
        <w:t xml:space="preserve"> at 29. </w:t>
      </w:r>
    </w:p>
  </w:footnote>
  <w:footnote w:id="29">
    <w:p w:rsidR="00724116" w:rsidRPr="00A97C37" w:rsidRDefault="00724116" w:rsidP="00DC3CC2">
      <w:pPr>
        <w:pStyle w:val="FootnoteText"/>
      </w:pPr>
      <w:r w:rsidRPr="00A97C37">
        <w:rPr>
          <w:rStyle w:val="FootnoteReference"/>
          <w:sz w:val="26"/>
          <w:szCs w:val="26"/>
        </w:rPr>
        <w:footnoteRef/>
      </w:r>
      <w:r w:rsidRPr="00A97C37">
        <w:t xml:space="preserve"> </w:t>
      </w:r>
      <w:r w:rsidRPr="00A97C37">
        <w:tab/>
      </w:r>
      <w:r>
        <w:tab/>
      </w:r>
      <w:r>
        <w:rPr>
          <w:i/>
        </w:rPr>
        <w:t>Id</w:t>
      </w:r>
      <w:r>
        <w:t>.</w:t>
      </w:r>
      <w:r w:rsidRPr="00A97C37">
        <w:t xml:space="preserve"> at 30.</w:t>
      </w:r>
    </w:p>
  </w:footnote>
  <w:footnote w:id="30">
    <w:p w:rsidR="00724116" w:rsidRPr="00A97C37" w:rsidRDefault="00724116" w:rsidP="00DC3CC2">
      <w:pPr>
        <w:pStyle w:val="FootnoteText"/>
      </w:pPr>
      <w:r w:rsidRPr="00A97C37">
        <w:rPr>
          <w:rStyle w:val="FootnoteReference"/>
          <w:sz w:val="26"/>
          <w:szCs w:val="26"/>
        </w:rPr>
        <w:footnoteRef/>
      </w:r>
      <w:r w:rsidRPr="00A97C37">
        <w:t xml:space="preserve"> </w:t>
      </w:r>
      <w:r w:rsidRPr="00A97C37">
        <w:tab/>
      </w:r>
      <w:r>
        <w:tab/>
      </w:r>
      <w:r w:rsidRPr="00A97C37">
        <w:t>Staff Ex. 110.</w:t>
      </w:r>
    </w:p>
  </w:footnote>
  <w:footnote w:id="31">
    <w:p w:rsidR="00724116" w:rsidRDefault="00724116" w:rsidP="00DC3CC2">
      <w:pPr>
        <w:pStyle w:val="FootnoteText"/>
      </w:pPr>
      <w:r>
        <w:rPr>
          <w:rStyle w:val="FootnoteReference"/>
        </w:rPr>
        <w:footnoteRef/>
      </w:r>
      <w:r>
        <w:t xml:space="preserve"> </w:t>
      </w:r>
      <w:r>
        <w:tab/>
      </w:r>
      <w:r>
        <w:tab/>
        <w:t>Company Brief</w:t>
      </w:r>
      <w:r w:rsidRPr="00A97C37">
        <w:t xml:space="preserve"> </w:t>
      </w:r>
      <w:r>
        <w:t xml:space="preserve">at 33. </w:t>
      </w:r>
    </w:p>
  </w:footnote>
  <w:footnote w:id="32">
    <w:p w:rsidR="00724116" w:rsidRPr="00903338" w:rsidRDefault="00724116" w:rsidP="00DC3CC2">
      <w:pPr>
        <w:pStyle w:val="FootnoteText"/>
      </w:pPr>
      <w:r w:rsidRPr="00903338">
        <w:rPr>
          <w:rStyle w:val="FootnoteReference"/>
          <w:sz w:val="26"/>
          <w:szCs w:val="26"/>
        </w:rPr>
        <w:footnoteRef/>
      </w:r>
      <w:r w:rsidRPr="00903338">
        <w:t xml:space="preserve"> </w:t>
      </w:r>
      <w:r w:rsidRPr="00903338">
        <w:tab/>
      </w:r>
      <w:r>
        <w:tab/>
      </w:r>
      <w:r w:rsidRPr="00903338">
        <w:t xml:space="preserve">Applying the same methodology used by both the Company and Mr. Scheck, the amount of the credit would be $4.29 per kw-month based on the Commission’s July 2, 2012 </w:t>
      </w:r>
      <w:r w:rsidRPr="00903338">
        <w:rPr>
          <w:i/>
        </w:rPr>
        <w:t>Capacity Case</w:t>
      </w:r>
      <w:r w:rsidRPr="00903338">
        <w:t xml:space="preserve"> decision.</w:t>
      </w:r>
    </w:p>
  </w:footnote>
  <w:footnote w:id="33">
    <w:p w:rsidR="00724116" w:rsidRPr="00A97C37" w:rsidRDefault="00724116" w:rsidP="00DC3CC2">
      <w:pPr>
        <w:pStyle w:val="FootnoteText"/>
      </w:pPr>
      <w:r w:rsidRPr="00A97C37">
        <w:rPr>
          <w:rStyle w:val="FootnoteReference"/>
          <w:sz w:val="26"/>
          <w:szCs w:val="26"/>
        </w:rPr>
        <w:footnoteRef/>
      </w:r>
      <w:r w:rsidRPr="00A97C37">
        <w:t xml:space="preserve"> </w:t>
      </w:r>
      <w:r w:rsidRPr="00A97C37">
        <w:tab/>
      </w:r>
      <w:r>
        <w:tab/>
      </w:r>
      <w:r w:rsidRPr="00A97C37">
        <w:t xml:space="preserve">Company </w:t>
      </w:r>
      <w:r>
        <w:t>Brief</w:t>
      </w:r>
      <w:r w:rsidRPr="00A97C37">
        <w:t xml:space="preserve"> at 35. </w:t>
      </w:r>
    </w:p>
  </w:footnote>
  <w:footnote w:id="34">
    <w:p w:rsidR="00724116" w:rsidRPr="00E27EE7" w:rsidRDefault="00724116" w:rsidP="00DC3CC2">
      <w:pPr>
        <w:pStyle w:val="FootnoteText"/>
      </w:pPr>
      <w:r w:rsidRPr="00E27EE7">
        <w:rPr>
          <w:rStyle w:val="FootnoteReference"/>
          <w:sz w:val="26"/>
          <w:szCs w:val="26"/>
        </w:rPr>
        <w:footnoteRef/>
      </w:r>
      <w:r w:rsidRPr="00E27EE7">
        <w:t xml:space="preserve"> </w:t>
      </w:r>
      <w:r w:rsidRPr="00E27EE7">
        <w:tab/>
      </w:r>
      <w:r>
        <w:tab/>
      </w:r>
      <w:r w:rsidRPr="00C60E24">
        <w:rPr>
          <w:i/>
        </w:rPr>
        <w:t>Capacity Case</w:t>
      </w:r>
      <w:r w:rsidRPr="00C60E24">
        <w:t xml:space="preserve"> (Opinion and Order</w:t>
      </w:r>
      <w:r>
        <w:t xml:space="preserve"> at 23) (July 2, 2012)</w:t>
      </w:r>
      <w:r w:rsidRPr="00C60E24">
        <w:t>.</w:t>
      </w:r>
    </w:p>
  </w:footnote>
  <w:footnote w:id="35">
    <w:p w:rsidR="00724116" w:rsidRPr="00A97C37" w:rsidRDefault="00724116" w:rsidP="00DC3CC2">
      <w:pPr>
        <w:pStyle w:val="FootnoteText"/>
      </w:pPr>
      <w:r w:rsidRPr="00A97C37">
        <w:rPr>
          <w:rStyle w:val="FootnoteReference"/>
          <w:sz w:val="26"/>
          <w:szCs w:val="26"/>
        </w:rPr>
        <w:footnoteRef/>
      </w:r>
      <w:r w:rsidRPr="00A97C37">
        <w:t xml:space="preserve"> </w:t>
      </w:r>
      <w:r w:rsidRPr="00A97C37">
        <w:tab/>
      </w:r>
      <w:r>
        <w:tab/>
      </w:r>
      <w:r w:rsidRPr="00A97C37">
        <w:t>R.C. 4928.143(B)(2)(h).</w:t>
      </w:r>
    </w:p>
  </w:footnote>
  <w:footnote w:id="36">
    <w:p w:rsidR="00724116" w:rsidRPr="00A97C37" w:rsidRDefault="00724116" w:rsidP="00DC3CC2">
      <w:pPr>
        <w:pStyle w:val="FootnoteText"/>
      </w:pPr>
      <w:r w:rsidRPr="00A97C37">
        <w:rPr>
          <w:rStyle w:val="FootnoteReference"/>
          <w:sz w:val="26"/>
          <w:szCs w:val="26"/>
        </w:rPr>
        <w:footnoteRef/>
      </w:r>
      <w:r w:rsidRPr="00A97C37">
        <w:t xml:space="preserve"> </w:t>
      </w:r>
      <w:r w:rsidRPr="00A97C37">
        <w:tab/>
      </w:r>
      <w:r>
        <w:tab/>
      </w:r>
      <w:r w:rsidRPr="00A97C37">
        <w:t xml:space="preserve">Company </w:t>
      </w:r>
      <w:r>
        <w:t>Brief</w:t>
      </w:r>
      <w:r w:rsidRPr="00A97C37">
        <w:t xml:space="preserve"> at 91.</w:t>
      </w:r>
    </w:p>
  </w:footnote>
  <w:footnote w:id="37">
    <w:p w:rsidR="00724116" w:rsidRPr="00A97C37" w:rsidRDefault="00724116" w:rsidP="00DC3CC2">
      <w:pPr>
        <w:pStyle w:val="FootnoteText"/>
      </w:pPr>
      <w:r w:rsidRPr="00A97C37">
        <w:rPr>
          <w:rStyle w:val="FootnoteReference"/>
          <w:sz w:val="26"/>
          <w:szCs w:val="26"/>
        </w:rPr>
        <w:footnoteRef/>
      </w:r>
      <w:r w:rsidRPr="00A97C37">
        <w:t xml:space="preserve"> </w:t>
      </w:r>
      <w:r w:rsidRPr="00A97C37">
        <w:tab/>
      </w:r>
      <w:r>
        <w:tab/>
      </w:r>
      <w:r w:rsidRPr="00A97C37">
        <w:t>Staff Ex. 106.</w:t>
      </w:r>
    </w:p>
  </w:footnote>
  <w:footnote w:id="38">
    <w:p w:rsidR="00724116" w:rsidRPr="00C525FE" w:rsidRDefault="00724116" w:rsidP="00DC3CC2">
      <w:pPr>
        <w:pStyle w:val="FootnoteText"/>
      </w:pPr>
      <w:r w:rsidRPr="00C525FE">
        <w:rPr>
          <w:rStyle w:val="FootnoteReference"/>
          <w:sz w:val="26"/>
          <w:szCs w:val="26"/>
        </w:rPr>
        <w:footnoteRef/>
      </w:r>
      <w:r w:rsidRPr="00C525FE">
        <w:t xml:space="preserve"> </w:t>
      </w:r>
      <w:r w:rsidRPr="00C525FE">
        <w:tab/>
      </w:r>
      <w:r>
        <w:tab/>
        <w:t xml:space="preserve">Tr. at </w:t>
      </w:r>
      <w:r w:rsidRPr="00C525FE">
        <w:t>4367.</w:t>
      </w:r>
    </w:p>
  </w:footnote>
  <w:footnote w:id="39">
    <w:p w:rsidR="00724116" w:rsidRPr="00C525FE" w:rsidRDefault="00724116" w:rsidP="00DC3CC2">
      <w:pPr>
        <w:pStyle w:val="FootnoteText"/>
      </w:pPr>
      <w:r w:rsidRPr="00C525FE">
        <w:rPr>
          <w:rStyle w:val="FootnoteReference"/>
          <w:sz w:val="26"/>
          <w:szCs w:val="26"/>
        </w:rPr>
        <w:footnoteRef/>
      </w:r>
      <w:r w:rsidRPr="00C525FE">
        <w:t xml:space="preserve"> </w:t>
      </w:r>
      <w:r w:rsidRPr="00C525FE">
        <w:tab/>
      </w:r>
      <w:r>
        <w:tab/>
      </w:r>
      <w:r w:rsidRPr="00C525FE">
        <w:t xml:space="preserve">Company </w:t>
      </w:r>
      <w:r>
        <w:t>Brief</w:t>
      </w:r>
      <w:r w:rsidRPr="00A97C37">
        <w:t xml:space="preserve"> </w:t>
      </w:r>
      <w:r w:rsidRPr="00C525FE">
        <w:t xml:space="preserve">at 94. </w:t>
      </w:r>
    </w:p>
  </w:footnote>
  <w:footnote w:id="40">
    <w:p w:rsidR="00724116" w:rsidRPr="00C525FE" w:rsidRDefault="00724116" w:rsidP="00DC3CC2">
      <w:pPr>
        <w:pStyle w:val="FootnoteText"/>
      </w:pPr>
      <w:r w:rsidRPr="00C525FE">
        <w:rPr>
          <w:rStyle w:val="FootnoteReference"/>
          <w:sz w:val="26"/>
          <w:szCs w:val="26"/>
        </w:rPr>
        <w:footnoteRef/>
      </w:r>
      <w:r w:rsidRPr="00C525FE">
        <w:t xml:space="preserve"> </w:t>
      </w:r>
      <w:r w:rsidRPr="00C525FE">
        <w:tab/>
      </w:r>
      <w:r>
        <w:tab/>
        <w:t xml:space="preserve">Tr. at </w:t>
      </w:r>
      <w:r w:rsidRPr="00C525FE">
        <w:t>4347.</w:t>
      </w:r>
    </w:p>
  </w:footnote>
  <w:footnote w:id="41">
    <w:p w:rsidR="00724116" w:rsidRPr="00C525FE" w:rsidRDefault="00724116" w:rsidP="00DC3CC2">
      <w:pPr>
        <w:pStyle w:val="FootnoteText"/>
      </w:pPr>
      <w:r w:rsidRPr="00C525FE">
        <w:rPr>
          <w:rStyle w:val="FootnoteReference"/>
          <w:sz w:val="26"/>
          <w:szCs w:val="26"/>
        </w:rPr>
        <w:footnoteRef/>
      </w:r>
      <w:r w:rsidRPr="00C525FE">
        <w:t xml:space="preserve"> </w:t>
      </w:r>
      <w:r w:rsidRPr="00C525FE">
        <w:tab/>
      </w:r>
      <w:r>
        <w:tab/>
        <w:t xml:space="preserve">Tr. at </w:t>
      </w:r>
      <w:r w:rsidRPr="00C525FE">
        <w:t>4360.</w:t>
      </w:r>
    </w:p>
  </w:footnote>
  <w:footnote w:id="42">
    <w:p w:rsidR="00724116" w:rsidRPr="00A97C37" w:rsidRDefault="00724116" w:rsidP="00DC3CC2">
      <w:pPr>
        <w:pStyle w:val="FootnoteText"/>
      </w:pPr>
      <w:r w:rsidRPr="00A97C37">
        <w:rPr>
          <w:rStyle w:val="FootnoteReference"/>
          <w:sz w:val="26"/>
          <w:szCs w:val="26"/>
        </w:rPr>
        <w:footnoteRef/>
      </w:r>
      <w:r w:rsidRPr="00A97C37">
        <w:t xml:space="preserve"> </w:t>
      </w:r>
      <w:r w:rsidRPr="00A97C37">
        <w:tab/>
      </w:r>
      <w:r>
        <w:tab/>
      </w:r>
      <w:r w:rsidRPr="00A97C37">
        <w:t xml:space="preserve">Company </w:t>
      </w:r>
      <w:r>
        <w:t>Brief</w:t>
      </w:r>
      <w:r w:rsidRPr="00A97C37">
        <w:t xml:space="preserve"> at 94.</w:t>
      </w:r>
    </w:p>
  </w:footnote>
  <w:footnote w:id="43">
    <w:p w:rsidR="00724116" w:rsidRPr="00A97C37" w:rsidRDefault="00724116" w:rsidP="00DC3CC2">
      <w:pPr>
        <w:pStyle w:val="FootnoteText"/>
      </w:pPr>
      <w:r w:rsidRPr="00A97C37">
        <w:rPr>
          <w:rStyle w:val="FootnoteReference"/>
          <w:sz w:val="26"/>
          <w:szCs w:val="26"/>
        </w:rPr>
        <w:footnoteRef/>
      </w:r>
      <w:r w:rsidRPr="00A97C37">
        <w:t xml:space="preserve"> </w:t>
      </w:r>
      <w:r w:rsidRPr="00A97C37">
        <w:tab/>
      </w:r>
      <w:r>
        <w:tab/>
      </w:r>
      <w:r w:rsidRPr="00A97C37">
        <w:t>Staff Ex. 106.</w:t>
      </w:r>
    </w:p>
  </w:footnote>
  <w:footnote w:id="44">
    <w:p w:rsidR="00724116" w:rsidRPr="00A97C37" w:rsidRDefault="00724116" w:rsidP="00DC3CC2">
      <w:pPr>
        <w:pStyle w:val="FootnoteText"/>
      </w:pPr>
      <w:r w:rsidRPr="00A97C37">
        <w:rPr>
          <w:rStyle w:val="FootnoteReference"/>
          <w:sz w:val="26"/>
          <w:szCs w:val="26"/>
        </w:rPr>
        <w:footnoteRef/>
      </w:r>
      <w:r w:rsidRPr="00A97C37">
        <w:t xml:space="preserve"> </w:t>
      </w:r>
      <w:r w:rsidRPr="00A97C37">
        <w:tab/>
      </w:r>
      <w:r>
        <w:tab/>
      </w:r>
      <w:r w:rsidRPr="00A97C37">
        <w:t xml:space="preserve">Company </w:t>
      </w:r>
      <w:r>
        <w:t>Brief</w:t>
      </w:r>
      <w:r w:rsidRPr="00A97C37">
        <w:t xml:space="preserve"> at 99.</w:t>
      </w:r>
    </w:p>
  </w:footnote>
  <w:footnote w:id="45">
    <w:p w:rsidR="00724116" w:rsidRPr="00885E0A" w:rsidRDefault="00724116" w:rsidP="00DC3CC2">
      <w:pPr>
        <w:pStyle w:val="FootnoteText"/>
      </w:pPr>
      <w:r w:rsidRPr="00885E0A">
        <w:rPr>
          <w:rStyle w:val="FootnoteReference"/>
          <w:sz w:val="26"/>
          <w:szCs w:val="26"/>
        </w:rPr>
        <w:footnoteRef/>
      </w:r>
      <w:r w:rsidRPr="00885E0A">
        <w:t xml:space="preserve"> </w:t>
      </w:r>
      <w:r w:rsidRPr="00885E0A">
        <w:tab/>
        <w:t xml:space="preserve">Company </w:t>
      </w:r>
      <w:r>
        <w:t>Brief</w:t>
      </w:r>
      <w:r w:rsidRPr="00885E0A">
        <w:t xml:space="preserve"> at 109. </w:t>
      </w:r>
    </w:p>
  </w:footnote>
  <w:footnote w:id="46">
    <w:p w:rsidR="00724116" w:rsidRPr="00885E0A" w:rsidRDefault="00724116" w:rsidP="00DC3CC2">
      <w:pPr>
        <w:pStyle w:val="FootnoteText"/>
      </w:pPr>
      <w:r w:rsidRPr="00885E0A">
        <w:rPr>
          <w:rStyle w:val="FootnoteReference"/>
          <w:sz w:val="26"/>
          <w:szCs w:val="26"/>
        </w:rPr>
        <w:footnoteRef/>
      </w:r>
      <w:r w:rsidRPr="00885E0A">
        <w:t xml:space="preserve"> </w:t>
      </w:r>
      <w:r w:rsidRPr="00885E0A">
        <w:tab/>
      </w:r>
      <w:r>
        <w:tab/>
      </w:r>
      <w:r w:rsidRPr="00885E0A">
        <w:t>Staff Ex. 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16" w:rsidRDefault="00724116" w:rsidP="00986706">
    <w:pPr>
      <w:pStyle w:val="Header"/>
      <w:jc w:val="center"/>
      <w:rPr>
        <w:rFonts w:ascii="Times New Roman" w:hAnsi="Times New Roman" w:cs="Times New Roman"/>
        <w:b/>
        <w:sz w:val="28"/>
        <w:szCs w:val="28"/>
      </w:rPr>
    </w:pPr>
    <w:r>
      <w:rPr>
        <w:rFonts w:ascii="Times New Roman" w:hAnsi="Times New Roman" w:cs="Times New Roman"/>
        <w:b/>
        <w:sz w:val="28"/>
        <w:szCs w:val="28"/>
      </w:rPr>
      <w:t>TABLE OF CONTENTS (cont’d)</w:t>
    </w:r>
  </w:p>
  <w:p w:rsidR="00724116" w:rsidRDefault="00724116" w:rsidP="00986706">
    <w:pPr>
      <w:pStyle w:val="Header"/>
      <w:jc w:val="right"/>
      <w:rPr>
        <w:rFonts w:ascii="Times New Roman" w:hAnsi="Times New Roman" w:cs="Times New Roman"/>
        <w:b/>
        <w:sz w:val="28"/>
        <w:szCs w:val="28"/>
      </w:rPr>
    </w:pPr>
    <w:r>
      <w:rPr>
        <w:rFonts w:ascii="Times New Roman" w:hAnsi="Times New Roman" w:cs="Times New Roman"/>
        <w:b/>
        <w:sz w:val="28"/>
        <w:szCs w:val="28"/>
      </w:rPr>
      <w:t>Page</w:t>
    </w:r>
  </w:p>
  <w:p w:rsidR="00724116" w:rsidRPr="00986706" w:rsidRDefault="00724116" w:rsidP="00986706">
    <w:pPr>
      <w:pStyle w:val="Header"/>
      <w:jc w:val="right"/>
      <w:rPr>
        <w:rFonts w:ascii="Times New Roman" w:hAnsi="Times New Roman" w:cs="Times New Roman"/>
        <w:b/>
        <w:sz w:val="28"/>
        <w:szCs w:val="28"/>
      </w:rPr>
    </w:pPr>
  </w:p>
  <w:p w:rsidR="00724116" w:rsidRDefault="007241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16" w:rsidRDefault="00724116" w:rsidP="00986706">
    <w:pPr>
      <w:pStyle w:val="Header"/>
      <w:jc w:val="center"/>
      <w:rPr>
        <w:rFonts w:ascii="Times New Roman" w:hAnsi="Times New Roman" w:cs="Times New Roman"/>
        <w:b/>
        <w:sz w:val="28"/>
        <w:szCs w:val="28"/>
      </w:rPr>
    </w:pPr>
    <w:r>
      <w:rPr>
        <w:rFonts w:ascii="Times New Roman" w:hAnsi="Times New Roman" w:cs="Times New Roman"/>
        <w:b/>
        <w:sz w:val="28"/>
        <w:szCs w:val="28"/>
      </w:rPr>
      <w:t>TABLE OF CONTENTS</w:t>
    </w:r>
  </w:p>
  <w:p w:rsidR="00724116" w:rsidRDefault="00724116" w:rsidP="00986706">
    <w:pPr>
      <w:pStyle w:val="Header"/>
      <w:jc w:val="right"/>
      <w:rPr>
        <w:rFonts w:ascii="Times New Roman" w:hAnsi="Times New Roman" w:cs="Times New Roman"/>
        <w:b/>
        <w:sz w:val="28"/>
        <w:szCs w:val="28"/>
      </w:rPr>
    </w:pPr>
    <w:r>
      <w:rPr>
        <w:rFonts w:ascii="Times New Roman" w:hAnsi="Times New Roman" w:cs="Times New Roman"/>
        <w:b/>
        <w:sz w:val="28"/>
        <w:szCs w:val="28"/>
      </w:rPr>
      <w:t>Page</w:t>
    </w:r>
  </w:p>
  <w:p w:rsidR="00724116" w:rsidRPr="00986706" w:rsidRDefault="00724116" w:rsidP="00986706">
    <w:pPr>
      <w:pStyle w:val="Header"/>
      <w:jc w:val="right"/>
      <w:rPr>
        <w:rFonts w:ascii="Times New Roman" w:hAnsi="Times New Roman" w:cs="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16" w:rsidRPr="00986706" w:rsidRDefault="00724116" w:rsidP="009867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16" w:rsidRPr="00986706" w:rsidRDefault="00724116" w:rsidP="00986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C49"/>
    <w:multiLevelType w:val="hybridMultilevel"/>
    <w:tmpl w:val="A85C5038"/>
    <w:lvl w:ilvl="0" w:tplc="6F6881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DA419A"/>
    <w:multiLevelType w:val="hybridMultilevel"/>
    <w:tmpl w:val="C35AE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E16AF"/>
    <w:multiLevelType w:val="hybridMultilevel"/>
    <w:tmpl w:val="E7EE21C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F06F63"/>
    <w:multiLevelType w:val="hybridMultilevel"/>
    <w:tmpl w:val="A1A0F932"/>
    <w:lvl w:ilvl="0" w:tplc="CF0A27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093FDD"/>
    <w:multiLevelType w:val="hybridMultilevel"/>
    <w:tmpl w:val="DE46AE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7559EB"/>
    <w:multiLevelType w:val="hybridMultilevel"/>
    <w:tmpl w:val="C0B6A500"/>
    <w:lvl w:ilvl="0" w:tplc="A454D36C">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F94552"/>
    <w:multiLevelType w:val="hybridMultilevel"/>
    <w:tmpl w:val="665670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5E00A8"/>
    <w:multiLevelType w:val="hybridMultilevel"/>
    <w:tmpl w:val="B16C0608"/>
    <w:lvl w:ilvl="0" w:tplc="B7C47C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FB497A"/>
    <w:multiLevelType w:val="hybridMultilevel"/>
    <w:tmpl w:val="23829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2AB1451"/>
    <w:multiLevelType w:val="hybridMultilevel"/>
    <w:tmpl w:val="7C568962"/>
    <w:lvl w:ilvl="0" w:tplc="6786F7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686837"/>
    <w:multiLevelType w:val="hybridMultilevel"/>
    <w:tmpl w:val="936E86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66FD4DD7"/>
    <w:multiLevelType w:val="hybridMultilevel"/>
    <w:tmpl w:val="C5D63DFE"/>
    <w:lvl w:ilvl="0" w:tplc="C5C22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694C2E"/>
    <w:multiLevelType w:val="hybridMultilevel"/>
    <w:tmpl w:val="C5D63DFE"/>
    <w:lvl w:ilvl="0" w:tplc="C5C22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8259DF"/>
    <w:multiLevelType w:val="hybridMultilevel"/>
    <w:tmpl w:val="1D6AC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C01470"/>
    <w:multiLevelType w:val="hybridMultilevel"/>
    <w:tmpl w:val="021892C6"/>
    <w:lvl w:ilvl="0" w:tplc="CDB2A8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FE4AA6"/>
    <w:multiLevelType w:val="hybridMultilevel"/>
    <w:tmpl w:val="018259F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2"/>
  </w:num>
  <w:num w:numId="2">
    <w:abstractNumId w:val="11"/>
  </w:num>
  <w:num w:numId="3">
    <w:abstractNumId w:val="13"/>
  </w:num>
  <w:num w:numId="4">
    <w:abstractNumId w:val="4"/>
  </w:num>
  <w:num w:numId="5">
    <w:abstractNumId w:val="9"/>
  </w:num>
  <w:num w:numId="6">
    <w:abstractNumId w:val="6"/>
  </w:num>
  <w:num w:numId="7">
    <w:abstractNumId w:val="2"/>
  </w:num>
  <w:num w:numId="8">
    <w:abstractNumId w:val="3"/>
  </w:num>
  <w:num w:numId="9">
    <w:abstractNumId w:val="0"/>
  </w:num>
  <w:num w:numId="10">
    <w:abstractNumId w:val="15"/>
  </w:num>
  <w:num w:numId="11">
    <w:abstractNumId w:val="14"/>
  </w:num>
  <w:num w:numId="12">
    <w:abstractNumId w:val="10"/>
  </w:num>
  <w:num w:numId="13">
    <w:abstractNumId w:val="8"/>
  </w:num>
  <w:num w:numId="14">
    <w:abstractNumId w:val="5"/>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4D"/>
    <w:rsid w:val="00002EAC"/>
    <w:rsid w:val="000068FF"/>
    <w:rsid w:val="0007062F"/>
    <w:rsid w:val="00080FB6"/>
    <w:rsid w:val="000A0253"/>
    <w:rsid w:val="000A5A7A"/>
    <w:rsid w:val="000C07F7"/>
    <w:rsid w:val="000D654D"/>
    <w:rsid w:val="000E4876"/>
    <w:rsid w:val="00101F24"/>
    <w:rsid w:val="00145DDC"/>
    <w:rsid w:val="00151FA7"/>
    <w:rsid w:val="001671F9"/>
    <w:rsid w:val="0017681F"/>
    <w:rsid w:val="0019502A"/>
    <w:rsid w:val="001D0BE1"/>
    <w:rsid w:val="001D719D"/>
    <w:rsid w:val="002078F7"/>
    <w:rsid w:val="00240B11"/>
    <w:rsid w:val="002720FB"/>
    <w:rsid w:val="002A0FE3"/>
    <w:rsid w:val="002D1422"/>
    <w:rsid w:val="002E39C2"/>
    <w:rsid w:val="00310A80"/>
    <w:rsid w:val="003407F4"/>
    <w:rsid w:val="00367145"/>
    <w:rsid w:val="003A22FE"/>
    <w:rsid w:val="003C72A8"/>
    <w:rsid w:val="00412BDC"/>
    <w:rsid w:val="0043423E"/>
    <w:rsid w:val="00444A8D"/>
    <w:rsid w:val="004A2658"/>
    <w:rsid w:val="004C0983"/>
    <w:rsid w:val="004C4EA8"/>
    <w:rsid w:val="004D4930"/>
    <w:rsid w:val="004F1D0B"/>
    <w:rsid w:val="005466A5"/>
    <w:rsid w:val="00562F1F"/>
    <w:rsid w:val="005771D3"/>
    <w:rsid w:val="005A6F21"/>
    <w:rsid w:val="005C4744"/>
    <w:rsid w:val="00601736"/>
    <w:rsid w:val="00612A1F"/>
    <w:rsid w:val="006218D9"/>
    <w:rsid w:val="00643C1B"/>
    <w:rsid w:val="00656364"/>
    <w:rsid w:val="006B06B6"/>
    <w:rsid w:val="006B34C6"/>
    <w:rsid w:val="006B772D"/>
    <w:rsid w:val="00724116"/>
    <w:rsid w:val="00736136"/>
    <w:rsid w:val="00791326"/>
    <w:rsid w:val="007933F7"/>
    <w:rsid w:val="007D5805"/>
    <w:rsid w:val="007E5F87"/>
    <w:rsid w:val="007F05AD"/>
    <w:rsid w:val="008178EA"/>
    <w:rsid w:val="00821485"/>
    <w:rsid w:val="008260EB"/>
    <w:rsid w:val="00833849"/>
    <w:rsid w:val="00855AFC"/>
    <w:rsid w:val="00885E0A"/>
    <w:rsid w:val="00893026"/>
    <w:rsid w:val="008D052E"/>
    <w:rsid w:val="008D7726"/>
    <w:rsid w:val="008F7FF1"/>
    <w:rsid w:val="00903338"/>
    <w:rsid w:val="00927CF2"/>
    <w:rsid w:val="009512C6"/>
    <w:rsid w:val="009524FD"/>
    <w:rsid w:val="00986706"/>
    <w:rsid w:val="00987582"/>
    <w:rsid w:val="0099506C"/>
    <w:rsid w:val="009E7E92"/>
    <w:rsid w:val="00A74135"/>
    <w:rsid w:val="00A850C0"/>
    <w:rsid w:val="00A97C37"/>
    <w:rsid w:val="00AA147D"/>
    <w:rsid w:val="00B5049B"/>
    <w:rsid w:val="00B74875"/>
    <w:rsid w:val="00B95270"/>
    <w:rsid w:val="00BB1272"/>
    <w:rsid w:val="00BC296E"/>
    <w:rsid w:val="00BD6526"/>
    <w:rsid w:val="00BE04DD"/>
    <w:rsid w:val="00BE229F"/>
    <w:rsid w:val="00BE335A"/>
    <w:rsid w:val="00BF12DA"/>
    <w:rsid w:val="00C00DAC"/>
    <w:rsid w:val="00C03D9B"/>
    <w:rsid w:val="00C3515D"/>
    <w:rsid w:val="00C525FE"/>
    <w:rsid w:val="00C60E24"/>
    <w:rsid w:val="00C75EA0"/>
    <w:rsid w:val="00C81A95"/>
    <w:rsid w:val="00C90C7D"/>
    <w:rsid w:val="00C95E70"/>
    <w:rsid w:val="00CA0F05"/>
    <w:rsid w:val="00CD4EE6"/>
    <w:rsid w:val="00CE018A"/>
    <w:rsid w:val="00CE067A"/>
    <w:rsid w:val="00CF2E75"/>
    <w:rsid w:val="00D060DA"/>
    <w:rsid w:val="00D55143"/>
    <w:rsid w:val="00D741AF"/>
    <w:rsid w:val="00D8727A"/>
    <w:rsid w:val="00DB5AAE"/>
    <w:rsid w:val="00DC3CC2"/>
    <w:rsid w:val="00DE3E50"/>
    <w:rsid w:val="00E27EE7"/>
    <w:rsid w:val="00E3052D"/>
    <w:rsid w:val="00E40F3F"/>
    <w:rsid w:val="00E417D1"/>
    <w:rsid w:val="00E857A4"/>
    <w:rsid w:val="00E9474A"/>
    <w:rsid w:val="00EA56D6"/>
    <w:rsid w:val="00EE336A"/>
    <w:rsid w:val="00F32013"/>
    <w:rsid w:val="00F3257C"/>
    <w:rsid w:val="00F81E1B"/>
    <w:rsid w:val="00FA13AE"/>
    <w:rsid w:val="00FA7C9D"/>
    <w:rsid w:val="00FC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C2"/>
  </w:style>
  <w:style w:type="paragraph" w:styleId="Heading1">
    <w:name w:val="heading 1"/>
    <w:basedOn w:val="Normal"/>
    <w:next w:val="Normal"/>
    <w:link w:val="Heading1Char"/>
    <w:autoRedefine/>
    <w:qFormat/>
    <w:rsid w:val="00DC3CC2"/>
    <w:pPr>
      <w:keepNext/>
      <w:spacing w:before="360" w:after="240" w:line="240" w:lineRule="auto"/>
      <w:jc w:val="center"/>
      <w:outlineLvl w:val="0"/>
    </w:pPr>
    <w:rPr>
      <w:rFonts w:ascii="Times New Roman" w:eastAsia="Times New Roman" w:hAnsi="Times New Roman" w:cs="Arial"/>
      <w:b/>
      <w:bCs/>
      <w:kern w:val="32"/>
      <w:sz w:val="28"/>
      <w:szCs w:val="32"/>
    </w:rPr>
  </w:style>
  <w:style w:type="paragraph" w:styleId="Heading2">
    <w:name w:val="heading 2"/>
    <w:basedOn w:val="Normal"/>
    <w:next w:val="Normal"/>
    <w:link w:val="Heading2Char"/>
    <w:autoRedefine/>
    <w:uiPriority w:val="9"/>
    <w:unhideWhenUsed/>
    <w:qFormat/>
    <w:rsid w:val="0007062F"/>
    <w:pPr>
      <w:keepNext/>
      <w:keepLines/>
      <w:numPr>
        <w:numId w:val="14"/>
      </w:numPr>
      <w:spacing w:before="360" w:after="240" w:line="240" w:lineRule="auto"/>
      <w:ind w:right="720" w:hanging="72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autoRedefine/>
    <w:uiPriority w:val="9"/>
    <w:unhideWhenUsed/>
    <w:qFormat/>
    <w:rsid w:val="0007062F"/>
    <w:pPr>
      <w:keepNext/>
      <w:keepLines/>
      <w:spacing w:before="360" w:after="240" w:line="240" w:lineRule="auto"/>
      <w:ind w:left="1440" w:right="1440" w:hanging="720"/>
      <w:outlineLvl w:val="2"/>
    </w:pPr>
    <w:rPr>
      <w:rFonts w:ascii="Times New Roman" w:eastAsiaTheme="majorEastAsia" w:hAnsi="Times New Roman" w:cstheme="majorBidi"/>
      <w:b/>
      <w:bCs/>
      <w:sz w:val="28"/>
    </w:rPr>
  </w:style>
  <w:style w:type="paragraph" w:styleId="Heading4">
    <w:name w:val="heading 4"/>
    <w:basedOn w:val="Normal"/>
    <w:next w:val="Normal"/>
    <w:link w:val="Heading4Char"/>
    <w:autoRedefine/>
    <w:uiPriority w:val="9"/>
    <w:unhideWhenUsed/>
    <w:qFormat/>
    <w:rsid w:val="0007062F"/>
    <w:pPr>
      <w:keepNext/>
      <w:keepLines/>
      <w:spacing w:before="360" w:after="240" w:line="240" w:lineRule="auto"/>
      <w:ind w:left="2160" w:right="1440" w:hanging="720"/>
      <w:outlineLvl w:val="3"/>
    </w:pPr>
    <w:rPr>
      <w:rFonts w:ascii="Times New Roman" w:eastAsiaTheme="majorEastAsia" w:hAnsi="Times New Roman"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6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54D"/>
  </w:style>
  <w:style w:type="paragraph" w:styleId="ListParagraph">
    <w:name w:val="List Paragraph"/>
    <w:basedOn w:val="Normal"/>
    <w:uiPriority w:val="34"/>
    <w:qFormat/>
    <w:rsid w:val="00151FA7"/>
    <w:pPr>
      <w:ind w:left="720"/>
      <w:contextualSpacing/>
    </w:pPr>
  </w:style>
  <w:style w:type="character" w:customStyle="1" w:styleId="caps">
    <w:name w:val="caps"/>
    <w:basedOn w:val="DefaultParagraphFont"/>
    <w:rsid w:val="008D052E"/>
  </w:style>
  <w:style w:type="paragraph" w:styleId="PlainText">
    <w:name w:val="Plain Text"/>
    <w:basedOn w:val="Normal"/>
    <w:link w:val="PlainTextChar"/>
    <w:uiPriority w:val="99"/>
    <w:semiHidden/>
    <w:unhideWhenUsed/>
    <w:rsid w:val="00444A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44A8D"/>
    <w:rPr>
      <w:rFonts w:ascii="Calibri" w:hAnsi="Calibri"/>
      <w:szCs w:val="21"/>
    </w:rPr>
  </w:style>
  <w:style w:type="character" w:customStyle="1" w:styleId="Heading1Char">
    <w:name w:val="Heading 1 Char"/>
    <w:basedOn w:val="DefaultParagraphFont"/>
    <w:link w:val="Heading1"/>
    <w:rsid w:val="00DC3CC2"/>
    <w:rPr>
      <w:rFonts w:ascii="Times New Roman" w:eastAsia="Times New Roman" w:hAnsi="Times New Roman" w:cs="Arial"/>
      <w:b/>
      <w:bCs/>
      <w:kern w:val="32"/>
      <w:sz w:val="28"/>
      <w:szCs w:val="32"/>
    </w:rPr>
  </w:style>
  <w:style w:type="paragraph" w:customStyle="1" w:styleId="Textstyle">
    <w:name w:val="Text style"/>
    <w:basedOn w:val="Normal"/>
    <w:autoRedefine/>
    <w:rsid w:val="00DC3CC2"/>
    <w:pPr>
      <w:spacing w:after="0" w:line="480" w:lineRule="auto"/>
    </w:pPr>
    <w:rPr>
      <w:rFonts w:ascii="Times New Roman" w:eastAsia="Times New Roman" w:hAnsi="Times New Roman" w:cs="Times New Roman"/>
      <w:sz w:val="26"/>
      <w:szCs w:val="24"/>
    </w:rPr>
  </w:style>
  <w:style w:type="character" w:styleId="Hyperlink">
    <w:name w:val="Hyperlink"/>
    <w:rsid w:val="00412BDC"/>
    <w:rPr>
      <w:color w:val="0000FF"/>
      <w:u w:val="single"/>
    </w:rPr>
  </w:style>
  <w:style w:type="paragraph" w:styleId="FootnoteText">
    <w:name w:val="footnote text"/>
    <w:basedOn w:val="Normal"/>
    <w:link w:val="FootnoteTextChar"/>
    <w:autoRedefine/>
    <w:uiPriority w:val="99"/>
    <w:rsid w:val="00DC3CC2"/>
    <w:pPr>
      <w:tabs>
        <w:tab w:val="left" w:pos="720"/>
      </w:tabs>
      <w:spacing w:before="240" w:after="240" w:line="240" w:lineRule="auto"/>
      <w:ind w:left="720" w:hanging="720"/>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DC3CC2"/>
    <w:rPr>
      <w:rFonts w:ascii="Times New Roman" w:eastAsia="Times New Roman" w:hAnsi="Times New Roman" w:cs="Times New Roman"/>
      <w:sz w:val="24"/>
      <w:szCs w:val="20"/>
    </w:rPr>
  </w:style>
  <w:style w:type="character" w:styleId="FootnoteReference">
    <w:name w:val="footnote reference"/>
    <w:uiPriority w:val="99"/>
    <w:rsid w:val="00855AFC"/>
    <w:rPr>
      <w:vertAlign w:val="superscript"/>
    </w:rPr>
  </w:style>
  <w:style w:type="paragraph" w:customStyle="1" w:styleId="question">
    <w:name w:val="question"/>
    <w:basedOn w:val="Normal"/>
    <w:rsid w:val="00EA56D6"/>
    <w:pPr>
      <w:tabs>
        <w:tab w:val="left" w:pos="720"/>
      </w:tabs>
      <w:spacing w:after="0" w:line="480" w:lineRule="auto"/>
      <w:ind w:left="1440" w:hanging="1440"/>
    </w:pPr>
    <w:rPr>
      <w:rFonts w:ascii="Times New Roman" w:eastAsia="Times New Roman" w:hAnsi="Times New Roman" w:cs="Times New Roman"/>
      <w:sz w:val="26"/>
      <w:szCs w:val="26"/>
    </w:rPr>
  </w:style>
  <w:style w:type="paragraph" w:customStyle="1" w:styleId="textstyle0">
    <w:name w:val="text style"/>
    <w:basedOn w:val="Normal"/>
    <w:autoRedefine/>
    <w:rsid w:val="00BE335A"/>
    <w:pPr>
      <w:spacing w:after="0" w:line="480" w:lineRule="auto"/>
    </w:pPr>
    <w:rPr>
      <w:rFonts w:ascii="Times New Roman" w:hAnsi="Times New Roman" w:cs="Times New Roman"/>
      <w:sz w:val="26"/>
      <w:szCs w:val="26"/>
    </w:rPr>
  </w:style>
  <w:style w:type="table" w:styleId="TableGrid">
    <w:name w:val="Table Grid"/>
    <w:basedOn w:val="TableNormal"/>
    <w:uiPriority w:val="59"/>
    <w:rsid w:val="00CA0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7F05AD"/>
    <w:pPr>
      <w:spacing w:after="120"/>
    </w:pPr>
  </w:style>
  <w:style w:type="character" w:customStyle="1" w:styleId="BodyTextChar">
    <w:name w:val="Body Text Char"/>
    <w:basedOn w:val="DefaultParagraphFont"/>
    <w:link w:val="BodyText"/>
    <w:uiPriority w:val="99"/>
    <w:semiHidden/>
    <w:rsid w:val="007F05AD"/>
  </w:style>
  <w:style w:type="paragraph" w:styleId="BodyTextFirstIndent">
    <w:name w:val="Body Text First Indent"/>
    <w:basedOn w:val="BodyText"/>
    <w:link w:val="BodyTextFirstIndentChar"/>
    <w:autoRedefine/>
    <w:uiPriority w:val="99"/>
    <w:unhideWhenUsed/>
    <w:rsid w:val="007F05AD"/>
    <w:pPr>
      <w:spacing w:after="0" w:line="480" w:lineRule="auto"/>
      <w:ind w:firstLine="720"/>
    </w:pPr>
    <w:rPr>
      <w:rFonts w:ascii="Times New Roman" w:eastAsia="Times New Roman" w:hAnsi="Times New Roman" w:cs="Times New Roman"/>
      <w:sz w:val="26"/>
      <w:szCs w:val="24"/>
    </w:rPr>
  </w:style>
  <w:style w:type="character" w:customStyle="1" w:styleId="BodyTextFirstIndentChar">
    <w:name w:val="Body Text First Indent Char"/>
    <w:basedOn w:val="BodyTextChar"/>
    <w:link w:val="BodyTextFirstIndent"/>
    <w:uiPriority w:val="99"/>
    <w:rsid w:val="007F05AD"/>
    <w:rPr>
      <w:rFonts w:ascii="Times New Roman" w:eastAsia="Times New Roman" w:hAnsi="Times New Roman" w:cs="Times New Roman"/>
      <w:sz w:val="26"/>
      <w:szCs w:val="24"/>
    </w:rPr>
  </w:style>
  <w:style w:type="paragraph" w:customStyle="1" w:styleId="testimony">
    <w:name w:val="testimony"/>
    <w:basedOn w:val="Normal"/>
    <w:rsid w:val="00885E0A"/>
    <w:pPr>
      <w:tabs>
        <w:tab w:val="decimal" w:pos="360"/>
        <w:tab w:val="left" w:pos="630"/>
      </w:tabs>
      <w:spacing w:after="0" w:line="480" w:lineRule="auto"/>
      <w:ind w:left="1179" w:hanging="1179"/>
    </w:pPr>
    <w:rPr>
      <w:rFonts w:ascii="Palatino" w:eastAsia="Times New Roman" w:hAnsi="Palatino" w:cs="Times New Roman"/>
      <w:sz w:val="24"/>
      <w:szCs w:val="20"/>
    </w:rPr>
  </w:style>
  <w:style w:type="paragraph" w:styleId="BalloonText">
    <w:name w:val="Balloon Text"/>
    <w:basedOn w:val="Normal"/>
    <w:link w:val="BalloonTextChar"/>
    <w:uiPriority w:val="99"/>
    <w:semiHidden/>
    <w:unhideWhenUsed/>
    <w:rsid w:val="00207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8F7"/>
    <w:rPr>
      <w:rFonts w:ascii="Tahoma" w:hAnsi="Tahoma" w:cs="Tahoma"/>
      <w:sz w:val="16"/>
      <w:szCs w:val="16"/>
    </w:rPr>
  </w:style>
  <w:style w:type="character" w:styleId="CommentReference">
    <w:name w:val="annotation reference"/>
    <w:basedOn w:val="DefaultParagraphFont"/>
    <w:uiPriority w:val="99"/>
    <w:semiHidden/>
    <w:unhideWhenUsed/>
    <w:rsid w:val="00BF12DA"/>
    <w:rPr>
      <w:sz w:val="16"/>
      <w:szCs w:val="16"/>
    </w:rPr>
  </w:style>
  <w:style w:type="paragraph" w:styleId="CommentText">
    <w:name w:val="annotation text"/>
    <w:basedOn w:val="Normal"/>
    <w:link w:val="CommentTextChar"/>
    <w:uiPriority w:val="99"/>
    <w:semiHidden/>
    <w:unhideWhenUsed/>
    <w:rsid w:val="00BF12DA"/>
    <w:pPr>
      <w:spacing w:line="240" w:lineRule="auto"/>
    </w:pPr>
    <w:rPr>
      <w:sz w:val="20"/>
      <w:szCs w:val="20"/>
    </w:rPr>
  </w:style>
  <w:style w:type="character" w:customStyle="1" w:styleId="CommentTextChar">
    <w:name w:val="Comment Text Char"/>
    <w:basedOn w:val="DefaultParagraphFont"/>
    <w:link w:val="CommentText"/>
    <w:uiPriority w:val="99"/>
    <w:semiHidden/>
    <w:rsid w:val="00BF12DA"/>
    <w:rPr>
      <w:sz w:val="20"/>
      <w:szCs w:val="20"/>
    </w:rPr>
  </w:style>
  <w:style w:type="paragraph" w:styleId="CommentSubject">
    <w:name w:val="annotation subject"/>
    <w:basedOn w:val="CommentText"/>
    <w:next w:val="CommentText"/>
    <w:link w:val="CommentSubjectChar"/>
    <w:uiPriority w:val="99"/>
    <w:semiHidden/>
    <w:unhideWhenUsed/>
    <w:rsid w:val="00BF12DA"/>
    <w:rPr>
      <w:b/>
      <w:bCs/>
    </w:rPr>
  </w:style>
  <w:style w:type="character" w:customStyle="1" w:styleId="CommentSubjectChar">
    <w:name w:val="Comment Subject Char"/>
    <w:basedOn w:val="CommentTextChar"/>
    <w:link w:val="CommentSubject"/>
    <w:uiPriority w:val="99"/>
    <w:semiHidden/>
    <w:rsid w:val="00BF12DA"/>
    <w:rPr>
      <w:b/>
      <w:bCs/>
      <w:sz w:val="20"/>
      <w:szCs w:val="20"/>
    </w:rPr>
  </w:style>
  <w:style w:type="paragraph" w:styleId="Revision">
    <w:name w:val="Revision"/>
    <w:hidden/>
    <w:uiPriority w:val="99"/>
    <w:semiHidden/>
    <w:rsid w:val="008178EA"/>
    <w:pPr>
      <w:spacing w:after="0" w:line="240" w:lineRule="auto"/>
    </w:pPr>
  </w:style>
  <w:style w:type="paragraph" w:styleId="Header">
    <w:name w:val="header"/>
    <w:basedOn w:val="Normal"/>
    <w:link w:val="HeaderChar"/>
    <w:uiPriority w:val="99"/>
    <w:unhideWhenUsed/>
    <w:rsid w:val="00DC3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CC2"/>
  </w:style>
  <w:style w:type="character" w:customStyle="1" w:styleId="Heading2Char">
    <w:name w:val="Heading 2 Char"/>
    <w:basedOn w:val="DefaultParagraphFont"/>
    <w:link w:val="Heading2"/>
    <w:uiPriority w:val="9"/>
    <w:rsid w:val="0007062F"/>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07062F"/>
    <w:rPr>
      <w:rFonts w:ascii="Times New Roman" w:eastAsiaTheme="majorEastAsia" w:hAnsi="Times New Roman" w:cstheme="majorBidi"/>
      <w:b/>
      <w:bCs/>
      <w:sz w:val="28"/>
    </w:rPr>
  </w:style>
  <w:style w:type="paragraph" w:customStyle="1" w:styleId="Blockquote">
    <w:name w:val="Block quote"/>
    <w:basedOn w:val="Normal"/>
    <w:autoRedefine/>
    <w:rsid w:val="00DC3CC2"/>
    <w:pPr>
      <w:autoSpaceDE w:val="0"/>
      <w:autoSpaceDN w:val="0"/>
      <w:adjustRightInd w:val="0"/>
      <w:spacing w:after="240" w:line="240" w:lineRule="auto"/>
      <w:ind w:left="1440" w:right="1440"/>
    </w:pPr>
    <w:rPr>
      <w:rFonts w:ascii="Times New Roman" w:hAnsi="Times New Roman" w:cs="Times New Roman"/>
      <w:sz w:val="26"/>
      <w:szCs w:val="26"/>
    </w:rPr>
  </w:style>
  <w:style w:type="character" w:customStyle="1" w:styleId="Heading4Char">
    <w:name w:val="Heading 4 Char"/>
    <w:basedOn w:val="DefaultParagraphFont"/>
    <w:link w:val="Heading4"/>
    <w:uiPriority w:val="9"/>
    <w:rsid w:val="0007062F"/>
    <w:rPr>
      <w:rFonts w:ascii="Times New Roman" w:eastAsiaTheme="majorEastAsia" w:hAnsi="Times New Roman" w:cstheme="majorBidi"/>
      <w:b/>
      <w:bCs/>
      <w:iCs/>
      <w:sz w:val="28"/>
    </w:rPr>
  </w:style>
  <w:style w:type="paragraph" w:styleId="TOC1">
    <w:name w:val="toc 1"/>
    <w:basedOn w:val="Normal"/>
    <w:next w:val="Normal"/>
    <w:autoRedefine/>
    <w:uiPriority w:val="39"/>
    <w:unhideWhenUsed/>
    <w:rsid w:val="00986706"/>
    <w:pPr>
      <w:tabs>
        <w:tab w:val="right" w:leader="dot" w:pos="9346"/>
      </w:tabs>
      <w:spacing w:before="240" w:after="240" w:line="240" w:lineRule="auto"/>
      <w:ind w:left="720" w:right="1440" w:hanging="720"/>
    </w:pPr>
    <w:rPr>
      <w:rFonts w:ascii="Times New Roman" w:hAnsi="Times New Roman"/>
      <w:sz w:val="26"/>
    </w:rPr>
  </w:style>
  <w:style w:type="paragraph" w:styleId="TOC2">
    <w:name w:val="toc 2"/>
    <w:basedOn w:val="Normal"/>
    <w:next w:val="Normal"/>
    <w:autoRedefine/>
    <w:uiPriority w:val="39"/>
    <w:unhideWhenUsed/>
    <w:rsid w:val="00986706"/>
    <w:pPr>
      <w:tabs>
        <w:tab w:val="right" w:leader="dot" w:pos="9350"/>
      </w:tabs>
      <w:spacing w:before="240" w:after="240" w:line="240" w:lineRule="auto"/>
      <w:ind w:left="1440" w:right="1440" w:hanging="720"/>
    </w:pPr>
    <w:rPr>
      <w:rFonts w:ascii="Times New Roman" w:hAnsi="Times New Roman"/>
      <w:sz w:val="26"/>
    </w:rPr>
  </w:style>
  <w:style w:type="paragraph" w:styleId="TOC3">
    <w:name w:val="toc 3"/>
    <w:basedOn w:val="Normal"/>
    <w:next w:val="Normal"/>
    <w:autoRedefine/>
    <w:uiPriority w:val="39"/>
    <w:unhideWhenUsed/>
    <w:rsid w:val="00986706"/>
    <w:pPr>
      <w:tabs>
        <w:tab w:val="right" w:leader="dot" w:pos="9350"/>
      </w:tabs>
      <w:spacing w:before="240" w:after="240" w:line="240" w:lineRule="auto"/>
      <w:ind w:left="2160" w:right="1440" w:hanging="720"/>
    </w:pPr>
    <w:rPr>
      <w:rFonts w:ascii="Times New Roman" w:hAnsi="Times New Roman"/>
      <w:sz w:val="26"/>
    </w:rPr>
  </w:style>
  <w:style w:type="paragraph" w:styleId="TOC4">
    <w:name w:val="toc 4"/>
    <w:basedOn w:val="Normal"/>
    <w:next w:val="Normal"/>
    <w:autoRedefine/>
    <w:uiPriority w:val="39"/>
    <w:unhideWhenUsed/>
    <w:rsid w:val="00986706"/>
    <w:pPr>
      <w:tabs>
        <w:tab w:val="right" w:leader="dot" w:pos="9350"/>
      </w:tabs>
      <w:spacing w:before="240" w:after="240" w:line="240" w:lineRule="auto"/>
      <w:ind w:left="2880" w:right="1440" w:hanging="720"/>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C2"/>
  </w:style>
  <w:style w:type="paragraph" w:styleId="Heading1">
    <w:name w:val="heading 1"/>
    <w:basedOn w:val="Normal"/>
    <w:next w:val="Normal"/>
    <w:link w:val="Heading1Char"/>
    <w:autoRedefine/>
    <w:qFormat/>
    <w:rsid w:val="00DC3CC2"/>
    <w:pPr>
      <w:keepNext/>
      <w:spacing w:before="360" w:after="240" w:line="240" w:lineRule="auto"/>
      <w:jc w:val="center"/>
      <w:outlineLvl w:val="0"/>
    </w:pPr>
    <w:rPr>
      <w:rFonts w:ascii="Times New Roman" w:eastAsia="Times New Roman" w:hAnsi="Times New Roman" w:cs="Arial"/>
      <w:b/>
      <w:bCs/>
      <w:kern w:val="32"/>
      <w:sz w:val="28"/>
      <w:szCs w:val="32"/>
    </w:rPr>
  </w:style>
  <w:style w:type="paragraph" w:styleId="Heading2">
    <w:name w:val="heading 2"/>
    <w:basedOn w:val="Normal"/>
    <w:next w:val="Normal"/>
    <w:link w:val="Heading2Char"/>
    <w:autoRedefine/>
    <w:uiPriority w:val="9"/>
    <w:unhideWhenUsed/>
    <w:qFormat/>
    <w:rsid w:val="0007062F"/>
    <w:pPr>
      <w:keepNext/>
      <w:keepLines/>
      <w:numPr>
        <w:numId w:val="14"/>
      </w:numPr>
      <w:spacing w:before="360" w:after="240" w:line="240" w:lineRule="auto"/>
      <w:ind w:right="720" w:hanging="72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autoRedefine/>
    <w:uiPriority w:val="9"/>
    <w:unhideWhenUsed/>
    <w:qFormat/>
    <w:rsid w:val="0007062F"/>
    <w:pPr>
      <w:keepNext/>
      <w:keepLines/>
      <w:spacing w:before="360" w:after="240" w:line="240" w:lineRule="auto"/>
      <w:ind w:left="1440" w:right="1440" w:hanging="720"/>
      <w:outlineLvl w:val="2"/>
    </w:pPr>
    <w:rPr>
      <w:rFonts w:ascii="Times New Roman" w:eastAsiaTheme="majorEastAsia" w:hAnsi="Times New Roman" w:cstheme="majorBidi"/>
      <w:b/>
      <w:bCs/>
      <w:sz w:val="28"/>
    </w:rPr>
  </w:style>
  <w:style w:type="paragraph" w:styleId="Heading4">
    <w:name w:val="heading 4"/>
    <w:basedOn w:val="Normal"/>
    <w:next w:val="Normal"/>
    <w:link w:val="Heading4Char"/>
    <w:autoRedefine/>
    <w:uiPriority w:val="9"/>
    <w:unhideWhenUsed/>
    <w:qFormat/>
    <w:rsid w:val="0007062F"/>
    <w:pPr>
      <w:keepNext/>
      <w:keepLines/>
      <w:spacing w:before="360" w:after="240" w:line="240" w:lineRule="auto"/>
      <w:ind w:left="2160" w:right="1440" w:hanging="720"/>
      <w:outlineLvl w:val="3"/>
    </w:pPr>
    <w:rPr>
      <w:rFonts w:ascii="Times New Roman" w:eastAsiaTheme="majorEastAsia" w:hAnsi="Times New Roman"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6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54D"/>
  </w:style>
  <w:style w:type="paragraph" w:styleId="ListParagraph">
    <w:name w:val="List Paragraph"/>
    <w:basedOn w:val="Normal"/>
    <w:uiPriority w:val="34"/>
    <w:qFormat/>
    <w:rsid w:val="00151FA7"/>
    <w:pPr>
      <w:ind w:left="720"/>
      <w:contextualSpacing/>
    </w:pPr>
  </w:style>
  <w:style w:type="character" w:customStyle="1" w:styleId="caps">
    <w:name w:val="caps"/>
    <w:basedOn w:val="DefaultParagraphFont"/>
    <w:rsid w:val="008D052E"/>
  </w:style>
  <w:style w:type="paragraph" w:styleId="PlainText">
    <w:name w:val="Plain Text"/>
    <w:basedOn w:val="Normal"/>
    <w:link w:val="PlainTextChar"/>
    <w:uiPriority w:val="99"/>
    <w:semiHidden/>
    <w:unhideWhenUsed/>
    <w:rsid w:val="00444A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44A8D"/>
    <w:rPr>
      <w:rFonts w:ascii="Calibri" w:hAnsi="Calibri"/>
      <w:szCs w:val="21"/>
    </w:rPr>
  </w:style>
  <w:style w:type="character" w:customStyle="1" w:styleId="Heading1Char">
    <w:name w:val="Heading 1 Char"/>
    <w:basedOn w:val="DefaultParagraphFont"/>
    <w:link w:val="Heading1"/>
    <w:rsid w:val="00DC3CC2"/>
    <w:rPr>
      <w:rFonts w:ascii="Times New Roman" w:eastAsia="Times New Roman" w:hAnsi="Times New Roman" w:cs="Arial"/>
      <w:b/>
      <w:bCs/>
      <w:kern w:val="32"/>
      <w:sz w:val="28"/>
      <w:szCs w:val="32"/>
    </w:rPr>
  </w:style>
  <w:style w:type="paragraph" w:customStyle="1" w:styleId="Textstyle">
    <w:name w:val="Text style"/>
    <w:basedOn w:val="Normal"/>
    <w:autoRedefine/>
    <w:rsid w:val="00DC3CC2"/>
    <w:pPr>
      <w:spacing w:after="0" w:line="480" w:lineRule="auto"/>
    </w:pPr>
    <w:rPr>
      <w:rFonts w:ascii="Times New Roman" w:eastAsia="Times New Roman" w:hAnsi="Times New Roman" w:cs="Times New Roman"/>
      <w:sz w:val="26"/>
      <w:szCs w:val="24"/>
    </w:rPr>
  </w:style>
  <w:style w:type="character" w:styleId="Hyperlink">
    <w:name w:val="Hyperlink"/>
    <w:rsid w:val="00412BDC"/>
    <w:rPr>
      <w:color w:val="0000FF"/>
      <w:u w:val="single"/>
    </w:rPr>
  </w:style>
  <w:style w:type="paragraph" w:styleId="FootnoteText">
    <w:name w:val="footnote text"/>
    <w:basedOn w:val="Normal"/>
    <w:link w:val="FootnoteTextChar"/>
    <w:autoRedefine/>
    <w:uiPriority w:val="99"/>
    <w:rsid w:val="00DC3CC2"/>
    <w:pPr>
      <w:tabs>
        <w:tab w:val="left" w:pos="720"/>
      </w:tabs>
      <w:spacing w:before="240" w:after="240" w:line="240" w:lineRule="auto"/>
      <w:ind w:left="720" w:hanging="720"/>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DC3CC2"/>
    <w:rPr>
      <w:rFonts w:ascii="Times New Roman" w:eastAsia="Times New Roman" w:hAnsi="Times New Roman" w:cs="Times New Roman"/>
      <w:sz w:val="24"/>
      <w:szCs w:val="20"/>
    </w:rPr>
  </w:style>
  <w:style w:type="character" w:styleId="FootnoteReference">
    <w:name w:val="footnote reference"/>
    <w:uiPriority w:val="99"/>
    <w:rsid w:val="00855AFC"/>
    <w:rPr>
      <w:vertAlign w:val="superscript"/>
    </w:rPr>
  </w:style>
  <w:style w:type="paragraph" w:customStyle="1" w:styleId="question">
    <w:name w:val="question"/>
    <w:basedOn w:val="Normal"/>
    <w:rsid w:val="00EA56D6"/>
    <w:pPr>
      <w:tabs>
        <w:tab w:val="left" w:pos="720"/>
      </w:tabs>
      <w:spacing w:after="0" w:line="480" w:lineRule="auto"/>
      <w:ind w:left="1440" w:hanging="1440"/>
    </w:pPr>
    <w:rPr>
      <w:rFonts w:ascii="Times New Roman" w:eastAsia="Times New Roman" w:hAnsi="Times New Roman" w:cs="Times New Roman"/>
      <w:sz w:val="26"/>
      <w:szCs w:val="26"/>
    </w:rPr>
  </w:style>
  <w:style w:type="paragraph" w:customStyle="1" w:styleId="textstyle0">
    <w:name w:val="text style"/>
    <w:basedOn w:val="Normal"/>
    <w:autoRedefine/>
    <w:rsid w:val="00BE335A"/>
    <w:pPr>
      <w:spacing w:after="0" w:line="480" w:lineRule="auto"/>
    </w:pPr>
    <w:rPr>
      <w:rFonts w:ascii="Times New Roman" w:hAnsi="Times New Roman" w:cs="Times New Roman"/>
      <w:sz w:val="26"/>
      <w:szCs w:val="26"/>
    </w:rPr>
  </w:style>
  <w:style w:type="table" w:styleId="TableGrid">
    <w:name w:val="Table Grid"/>
    <w:basedOn w:val="TableNormal"/>
    <w:uiPriority w:val="59"/>
    <w:rsid w:val="00CA0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7F05AD"/>
    <w:pPr>
      <w:spacing w:after="120"/>
    </w:pPr>
  </w:style>
  <w:style w:type="character" w:customStyle="1" w:styleId="BodyTextChar">
    <w:name w:val="Body Text Char"/>
    <w:basedOn w:val="DefaultParagraphFont"/>
    <w:link w:val="BodyText"/>
    <w:uiPriority w:val="99"/>
    <w:semiHidden/>
    <w:rsid w:val="007F05AD"/>
  </w:style>
  <w:style w:type="paragraph" w:styleId="BodyTextFirstIndent">
    <w:name w:val="Body Text First Indent"/>
    <w:basedOn w:val="BodyText"/>
    <w:link w:val="BodyTextFirstIndentChar"/>
    <w:autoRedefine/>
    <w:uiPriority w:val="99"/>
    <w:unhideWhenUsed/>
    <w:rsid w:val="007F05AD"/>
    <w:pPr>
      <w:spacing w:after="0" w:line="480" w:lineRule="auto"/>
      <w:ind w:firstLine="720"/>
    </w:pPr>
    <w:rPr>
      <w:rFonts w:ascii="Times New Roman" w:eastAsia="Times New Roman" w:hAnsi="Times New Roman" w:cs="Times New Roman"/>
      <w:sz w:val="26"/>
      <w:szCs w:val="24"/>
    </w:rPr>
  </w:style>
  <w:style w:type="character" w:customStyle="1" w:styleId="BodyTextFirstIndentChar">
    <w:name w:val="Body Text First Indent Char"/>
    <w:basedOn w:val="BodyTextChar"/>
    <w:link w:val="BodyTextFirstIndent"/>
    <w:uiPriority w:val="99"/>
    <w:rsid w:val="007F05AD"/>
    <w:rPr>
      <w:rFonts w:ascii="Times New Roman" w:eastAsia="Times New Roman" w:hAnsi="Times New Roman" w:cs="Times New Roman"/>
      <w:sz w:val="26"/>
      <w:szCs w:val="24"/>
    </w:rPr>
  </w:style>
  <w:style w:type="paragraph" w:customStyle="1" w:styleId="testimony">
    <w:name w:val="testimony"/>
    <w:basedOn w:val="Normal"/>
    <w:rsid w:val="00885E0A"/>
    <w:pPr>
      <w:tabs>
        <w:tab w:val="decimal" w:pos="360"/>
        <w:tab w:val="left" w:pos="630"/>
      </w:tabs>
      <w:spacing w:after="0" w:line="480" w:lineRule="auto"/>
      <w:ind w:left="1179" w:hanging="1179"/>
    </w:pPr>
    <w:rPr>
      <w:rFonts w:ascii="Palatino" w:eastAsia="Times New Roman" w:hAnsi="Palatino" w:cs="Times New Roman"/>
      <w:sz w:val="24"/>
      <w:szCs w:val="20"/>
    </w:rPr>
  </w:style>
  <w:style w:type="paragraph" w:styleId="BalloonText">
    <w:name w:val="Balloon Text"/>
    <w:basedOn w:val="Normal"/>
    <w:link w:val="BalloonTextChar"/>
    <w:uiPriority w:val="99"/>
    <w:semiHidden/>
    <w:unhideWhenUsed/>
    <w:rsid w:val="00207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8F7"/>
    <w:rPr>
      <w:rFonts w:ascii="Tahoma" w:hAnsi="Tahoma" w:cs="Tahoma"/>
      <w:sz w:val="16"/>
      <w:szCs w:val="16"/>
    </w:rPr>
  </w:style>
  <w:style w:type="character" w:styleId="CommentReference">
    <w:name w:val="annotation reference"/>
    <w:basedOn w:val="DefaultParagraphFont"/>
    <w:uiPriority w:val="99"/>
    <w:semiHidden/>
    <w:unhideWhenUsed/>
    <w:rsid w:val="00BF12DA"/>
    <w:rPr>
      <w:sz w:val="16"/>
      <w:szCs w:val="16"/>
    </w:rPr>
  </w:style>
  <w:style w:type="paragraph" w:styleId="CommentText">
    <w:name w:val="annotation text"/>
    <w:basedOn w:val="Normal"/>
    <w:link w:val="CommentTextChar"/>
    <w:uiPriority w:val="99"/>
    <w:semiHidden/>
    <w:unhideWhenUsed/>
    <w:rsid w:val="00BF12DA"/>
    <w:pPr>
      <w:spacing w:line="240" w:lineRule="auto"/>
    </w:pPr>
    <w:rPr>
      <w:sz w:val="20"/>
      <w:szCs w:val="20"/>
    </w:rPr>
  </w:style>
  <w:style w:type="character" w:customStyle="1" w:styleId="CommentTextChar">
    <w:name w:val="Comment Text Char"/>
    <w:basedOn w:val="DefaultParagraphFont"/>
    <w:link w:val="CommentText"/>
    <w:uiPriority w:val="99"/>
    <w:semiHidden/>
    <w:rsid w:val="00BF12DA"/>
    <w:rPr>
      <w:sz w:val="20"/>
      <w:szCs w:val="20"/>
    </w:rPr>
  </w:style>
  <w:style w:type="paragraph" w:styleId="CommentSubject">
    <w:name w:val="annotation subject"/>
    <w:basedOn w:val="CommentText"/>
    <w:next w:val="CommentText"/>
    <w:link w:val="CommentSubjectChar"/>
    <w:uiPriority w:val="99"/>
    <w:semiHidden/>
    <w:unhideWhenUsed/>
    <w:rsid w:val="00BF12DA"/>
    <w:rPr>
      <w:b/>
      <w:bCs/>
    </w:rPr>
  </w:style>
  <w:style w:type="character" w:customStyle="1" w:styleId="CommentSubjectChar">
    <w:name w:val="Comment Subject Char"/>
    <w:basedOn w:val="CommentTextChar"/>
    <w:link w:val="CommentSubject"/>
    <w:uiPriority w:val="99"/>
    <w:semiHidden/>
    <w:rsid w:val="00BF12DA"/>
    <w:rPr>
      <w:b/>
      <w:bCs/>
      <w:sz w:val="20"/>
      <w:szCs w:val="20"/>
    </w:rPr>
  </w:style>
  <w:style w:type="paragraph" w:styleId="Revision">
    <w:name w:val="Revision"/>
    <w:hidden/>
    <w:uiPriority w:val="99"/>
    <w:semiHidden/>
    <w:rsid w:val="008178EA"/>
    <w:pPr>
      <w:spacing w:after="0" w:line="240" w:lineRule="auto"/>
    </w:pPr>
  </w:style>
  <w:style w:type="paragraph" w:styleId="Header">
    <w:name w:val="header"/>
    <w:basedOn w:val="Normal"/>
    <w:link w:val="HeaderChar"/>
    <w:uiPriority w:val="99"/>
    <w:unhideWhenUsed/>
    <w:rsid w:val="00DC3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CC2"/>
  </w:style>
  <w:style w:type="character" w:customStyle="1" w:styleId="Heading2Char">
    <w:name w:val="Heading 2 Char"/>
    <w:basedOn w:val="DefaultParagraphFont"/>
    <w:link w:val="Heading2"/>
    <w:uiPriority w:val="9"/>
    <w:rsid w:val="0007062F"/>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07062F"/>
    <w:rPr>
      <w:rFonts w:ascii="Times New Roman" w:eastAsiaTheme="majorEastAsia" w:hAnsi="Times New Roman" w:cstheme="majorBidi"/>
      <w:b/>
      <w:bCs/>
      <w:sz w:val="28"/>
    </w:rPr>
  </w:style>
  <w:style w:type="paragraph" w:customStyle="1" w:styleId="Blockquote">
    <w:name w:val="Block quote"/>
    <w:basedOn w:val="Normal"/>
    <w:autoRedefine/>
    <w:rsid w:val="00DC3CC2"/>
    <w:pPr>
      <w:autoSpaceDE w:val="0"/>
      <w:autoSpaceDN w:val="0"/>
      <w:adjustRightInd w:val="0"/>
      <w:spacing w:after="240" w:line="240" w:lineRule="auto"/>
      <w:ind w:left="1440" w:right="1440"/>
    </w:pPr>
    <w:rPr>
      <w:rFonts w:ascii="Times New Roman" w:hAnsi="Times New Roman" w:cs="Times New Roman"/>
      <w:sz w:val="26"/>
      <w:szCs w:val="26"/>
    </w:rPr>
  </w:style>
  <w:style w:type="character" w:customStyle="1" w:styleId="Heading4Char">
    <w:name w:val="Heading 4 Char"/>
    <w:basedOn w:val="DefaultParagraphFont"/>
    <w:link w:val="Heading4"/>
    <w:uiPriority w:val="9"/>
    <w:rsid w:val="0007062F"/>
    <w:rPr>
      <w:rFonts w:ascii="Times New Roman" w:eastAsiaTheme="majorEastAsia" w:hAnsi="Times New Roman" w:cstheme="majorBidi"/>
      <w:b/>
      <w:bCs/>
      <w:iCs/>
      <w:sz w:val="28"/>
    </w:rPr>
  </w:style>
  <w:style w:type="paragraph" w:styleId="TOC1">
    <w:name w:val="toc 1"/>
    <w:basedOn w:val="Normal"/>
    <w:next w:val="Normal"/>
    <w:autoRedefine/>
    <w:uiPriority w:val="39"/>
    <w:unhideWhenUsed/>
    <w:rsid w:val="00986706"/>
    <w:pPr>
      <w:tabs>
        <w:tab w:val="right" w:leader="dot" w:pos="9346"/>
      </w:tabs>
      <w:spacing w:before="240" w:after="240" w:line="240" w:lineRule="auto"/>
      <w:ind w:left="720" w:right="1440" w:hanging="720"/>
    </w:pPr>
    <w:rPr>
      <w:rFonts w:ascii="Times New Roman" w:hAnsi="Times New Roman"/>
      <w:sz w:val="26"/>
    </w:rPr>
  </w:style>
  <w:style w:type="paragraph" w:styleId="TOC2">
    <w:name w:val="toc 2"/>
    <w:basedOn w:val="Normal"/>
    <w:next w:val="Normal"/>
    <w:autoRedefine/>
    <w:uiPriority w:val="39"/>
    <w:unhideWhenUsed/>
    <w:rsid w:val="00986706"/>
    <w:pPr>
      <w:tabs>
        <w:tab w:val="right" w:leader="dot" w:pos="9350"/>
      </w:tabs>
      <w:spacing w:before="240" w:after="240" w:line="240" w:lineRule="auto"/>
      <w:ind w:left="1440" w:right="1440" w:hanging="720"/>
    </w:pPr>
    <w:rPr>
      <w:rFonts w:ascii="Times New Roman" w:hAnsi="Times New Roman"/>
      <w:sz w:val="26"/>
    </w:rPr>
  </w:style>
  <w:style w:type="paragraph" w:styleId="TOC3">
    <w:name w:val="toc 3"/>
    <w:basedOn w:val="Normal"/>
    <w:next w:val="Normal"/>
    <w:autoRedefine/>
    <w:uiPriority w:val="39"/>
    <w:unhideWhenUsed/>
    <w:rsid w:val="00986706"/>
    <w:pPr>
      <w:tabs>
        <w:tab w:val="right" w:leader="dot" w:pos="9350"/>
      </w:tabs>
      <w:spacing w:before="240" w:after="240" w:line="240" w:lineRule="auto"/>
      <w:ind w:left="2160" w:right="1440" w:hanging="720"/>
    </w:pPr>
    <w:rPr>
      <w:rFonts w:ascii="Times New Roman" w:hAnsi="Times New Roman"/>
      <w:sz w:val="26"/>
    </w:rPr>
  </w:style>
  <w:style w:type="paragraph" w:styleId="TOC4">
    <w:name w:val="toc 4"/>
    <w:basedOn w:val="Normal"/>
    <w:next w:val="Normal"/>
    <w:autoRedefine/>
    <w:uiPriority w:val="39"/>
    <w:unhideWhenUsed/>
    <w:rsid w:val="00986706"/>
    <w:pPr>
      <w:tabs>
        <w:tab w:val="right" w:leader="dot" w:pos="9350"/>
      </w:tabs>
      <w:spacing w:before="240" w:after="240" w:line="240" w:lineRule="auto"/>
      <w:ind w:left="2880" w:right="1440" w:hanging="720"/>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7586">
      <w:bodyDiv w:val="1"/>
      <w:marLeft w:val="0"/>
      <w:marRight w:val="0"/>
      <w:marTop w:val="0"/>
      <w:marBottom w:val="0"/>
      <w:divBdr>
        <w:top w:val="none" w:sz="0" w:space="0" w:color="auto"/>
        <w:left w:val="none" w:sz="0" w:space="0" w:color="auto"/>
        <w:bottom w:val="none" w:sz="0" w:space="0" w:color="auto"/>
        <w:right w:val="none" w:sz="0" w:space="0" w:color="auto"/>
      </w:divBdr>
    </w:div>
    <w:div w:id="1660385581">
      <w:bodyDiv w:val="1"/>
      <w:marLeft w:val="0"/>
      <w:marRight w:val="0"/>
      <w:marTop w:val="0"/>
      <w:marBottom w:val="0"/>
      <w:divBdr>
        <w:top w:val="none" w:sz="0" w:space="0" w:color="auto"/>
        <w:left w:val="none" w:sz="0" w:space="0" w:color="auto"/>
        <w:bottom w:val="none" w:sz="0" w:space="0" w:color="auto"/>
        <w:right w:val="none" w:sz="0" w:space="0" w:color="auto"/>
      </w:divBdr>
      <w:divsChild>
        <w:div w:id="1577130188">
          <w:marLeft w:val="0"/>
          <w:marRight w:val="-5040"/>
          <w:marTop w:val="0"/>
          <w:marBottom w:val="0"/>
          <w:divBdr>
            <w:top w:val="none" w:sz="0" w:space="0" w:color="auto"/>
            <w:left w:val="none" w:sz="0" w:space="0" w:color="auto"/>
            <w:bottom w:val="none" w:sz="0" w:space="0" w:color="auto"/>
            <w:right w:val="none" w:sz="0" w:space="0" w:color="auto"/>
          </w:divBdr>
          <w:divsChild>
            <w:div w:id="200939574">
              <w:marLeft w:val="0"/>
              <w:marRight w:val="5040"/>
              <w:marTop w:val="0"/>
              <w:marBottom w:val="0"/>
              <w:divBdr>
                <w:top w:val="none" w:sz="0" w:space="0" w:color="auto"/>
                <w:left w:val="none" w:sz="0" w:space="0" w:color="auto"/>
                <w:bottom w:val="none" w:sz="0" w:space="0" w:color="auto"/>
                <w:right w:val="none" w:sz="0" w:space="0" w:color="auto"/>
              </w:divBdr>
              <w:divsChild>
                <w:div w:id="3074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ehaedt@jonesday.com" TargetMode="External"/><Relationship Id="rId21" Type="http://schemas.openxmlformats.org/officeDocument/2006/relationships/hyperlink" Target="mailto:pfox@hilliardohio.gov" TargetMode="External"/><Relationship Id="rId42" Type="http://schemas.openxmlformats.org/officeDocument/2006/relationships/hyperlink" Target="mailto:amy.spiller@duke-energy.com" TargetMode="External"/><Relationship Id="rId47" Type="http://schemas.openxmlformats.org/officeDocument/2006/relationships/hyperlink" Target="mailto:myurick@cwslaw.com" TargetMode="External"/><Relationship Id="rId63" Type="http://schemas.openxmlformats.org/officeDocument/2006/relationships/hyperlink" Target="mailto:nolan@theoec.org" TargetMode="External"/><Relationship Id="rId68" Type="http://schemas.openxmlformats.org/officeDocument/2006/relationships/hyperlink" Target="mailto:sam@mwncmh.com" TargetMode="External"/><Relationship Id="rId84" Type="http://schemas.openxmlformats.org/officeDocument/2006/relationships/hyperlink" Target="mailto:rsugarman@kegler.brown.com" TargetMode="External"/><Relationship Id="rId89" Type="http://schemas.openxmlformats.org/officeDocument/2006/relationships/hyperlink" Target="mailto:yalami@aep.com" TargetMode="External"/><Relationship Id="rId1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grady@occ.state.oh.us" TargetMode="External"/><Relationship Id="rId29" Type="http://schemas.openxmlformats.org/officeDocument/2006/relationships/hyperlink" Target="mailto:dconway@porterwright.cmo" TargetMode="External"/><Relationship Id="rId107" Type="http://schemas.openxmlformats.org/officeDocument/2006/relationships/hyperlink" Target="mailto:lkalepsclark@vorys.com" TargetMode="External"/><Relationship Id="rId11" Type="http://schemas.openxmlformats.org/officeDocument/2006/relationships/footer" Target="footer2.xml"/><Relationship Id="rId24" Type="http://schemas.openxmlformats.org/officeDocument/2006/relationships/hyperlink" Target="mailto:cathy@theoec.org" TargetMode="External"/><Relationship Id="rId32" Type="http://schemas.openxmlformats.org/officeDocument/2006/relationships/hyperlink" Target="mailto:ahaque@szd.com" TargetMode="External"/><Relationship Id="rId37" Type="http://schemas.openxmlformats.org/officeDocument/2006/relationships/hyperlink" Target="mailto:etter@occ.state.oh.us" TargetMode="External"/><Relationship Id="rId40" Type="http://schemas.openxmlformats.org/officeDocument/2006/relationships/hyperlink" Target="mailto:david.fein@constellation.com" TargetMode="External"/><Relationship Id="rId45" Type="http://schemas.openxmlformats.org/officeDocument/2006/relationships/hyperlink" Target="mailto:tobrien@bricker.com" TargetMode="External"/><Relationship Id="rId53" Type="http://schemas.openxmlformats.org/officeDocument/2006/relationships/hyperlink" Target="mailto:gary.a.jeffries@dom.com" TargetMode="External"/><Relationship Id="rId58" Type="http://schemas.openxmlformats.org/officeDocument/2006/relationships/hyperlink" Target="mailto:philip.sineneng@thompsonhine.com" TargetMode="External"/><Relationship Id="rId66" Type="http://schemas.openxmlformats.org/officeDocument/2006/relationships/hyperlink" Target="mailto:doug.bonner@snrdenton.com" TargetMode="External"/><Relationship Id="rId74" Type="http://schemas.openxmlformats.org/officeDocument/2006/relationships/hyperlink" Target="mailto:malina@wexlerwalker.com" TargetMode="External"/><Relationship Id="rId79" Type="http://schemas.openxmlformats.org/officeDocument/2006/relationships/hyperlink" Target="mailto:korenergy@insight.rr.com" TargetMode="External"/><Relationship Id="rId87" Type="http://schemas.openxmlformats.org/officeDocument/2006/relationships/hyperlink" Target="mailto:christopher.miller@icemiller.com" TargetMode="External"/><Relationship Id="rId102" Type="http://schemas.openxmlformats.org/officeDocument/2006/relationships/hyperlink" Target="mailto:fdarr@mwncmh.com" TargetMode="External"/><Relationship Id="rId110"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hyperlink" Target="mailto:drinebolt@ohioparterns.corg" TargetMode="External"/><Relationship Id="rId82" Type="http://schemas.openxmlformats.org/officeDocument/2006/relationships/hyperlink" Target="mailto:cendsley@ofbp.org" TargetMode="External"/><Relationship Id="rId90" Type="http://schemas.openxmlformats.org/officeDocument/2006/relationships/hyperlink" Target="mailto:todonnell@bricker.com" TargetMode="External"/><Relationship Id="rId95" Type="http://schemas.openxmlformats.org/officeDocument/2006/relationships/hyperlink" Target="mailto:wmassey@cov.com" TargetMode="External"/><Relationship Id="rId19" Type="http://schemas.openxmlformats.org/officeDocument/2006/relationships/hyperlink" Target="mailto:mjsatterwhite@aep.com" TargetMode="External"/><Relationship Id="rId14" Type="http://schemas.openxmlformats.org/officeDocument/2006/relationships/hyperlink" Target="mailto:tsiwo@bricker.com" TargetMode="External"/><Relationship Id="rId22" Type="http://schemas.openxmlformats.org/officeDocument/2006/relationships/hyperlink" Target="mailto:ricks@ohanet.org" TargetMode="External"/><Relationship Id="rId27" Type="http://schemas.openxmlformats.org/officeDocument/2006/relationships/hyperlink" Target="mailto:dakutik@jonesday.com" TargetMode="External"/><Relationship Id="rId30" Type="http://schemas.openxmlformats.org/officeDocument/2006/relationships/hyperlink" Target="mailto:jlang@clafee.com" TargetMode="External"/><Relationship Id="rId35" Type="http://schemas.openxmlformats.org/officeDocument/2006/relationships/hyperlink" Target="mailto:lmcbride@calfee.com" TargetMode="External"/><Relationship Id="rId43" Type="http://schemas.openxmlformats.org/officeDocument/2006/relationships/hyperlink" Target="mailto:dboehm@bkllawfirm.com" TargetMode="External"/><Relationship Id="rId48" Type="http://schemas.openxmlformats.org/officeDocument/2006/relationships/hyperlink" Target="mailto:zkravtiz@cwslaw.com" TargetMode="External"/><Relationship Id="rId56" Type="http://schemas.openxmlformats.org/officeDocument/2006/relationships/hyperlink" Target="mailto:holly@raysmithlaw.com" TargetMode="External"/><Relationship Id="rId64" Type="http://schemas.openxmlformats.org/officeDocument/2006/relationships/hyperlink" Target="mailto:gpoulos@enernoc.com" TargetMode="External"/><Relationship Id="rId69" Type="http://schemas.openxmlformats.org/officeDocument/2006/relationships/hyperlink" Target="mailto:dstahl@eimerstahl.com" TargetMode="External"/><Relationship Id="rId77" Type="http://schemas.openxmlformats.org/officeDocument/2006/relationships/hyperlink" Target="mailto:afreifeld@viridityenergy.com" TargetMode="External"/><Relationship Id="rId100" Type="http://schemas.openxmlformats.org/officeDocument/2006/relationships/hyperlink" Target="mailto:sandry.grace@exeloncorp.com" TargetMode="External"/><Relationship Id="rId105" Type="http://schemas.openxmlformats.org/officeDocument/2006/relationships/hyperlink" Target="mailto:smhoward@vorys.com" TargetMode="Externa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jmaskovyak@ohiopovertylaw.org" TargetMode="External"/><Relationship Id="rId72" Type="http://schemas.openxmlformats.org/officeDocument/2006/relationships/hyperlink" Target="mailto:tsantarelli@elpc.org" TargetMode="External"/><Relationship Id="rId80" Type="http://schemas.openxmlformats.org/officeDocument/2006/relationships/hyperlink" Target="mailto:sasloan@aep.com" TargetMode="External"/><Relationship Id="rId85" Type="http://schemas.openxmlformats.org/officeDocument/2006/relationships/hyperlink" Target="mailto:asimhaque@icemiller.com" TargetMode="External"/><Relationship Id="rId93" Type="http://schemas.openxmlformats.org/officeDocument/2006/relationships/hyperlink" Target="mailto:mwarnock@bricker.com" TargetMode="External"/><Relationship Id="rId98" Type="http://schemas.openxmlformats.org/officeDocument/2006/relationships/hyperlink" Target="mailto:whit@shitt-sturtevant.com"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keith.nusbaum@snrdenton.com" TargetMode="External"/><Relationship Id="rId25" Type="http://schemas.openxmlformats.org/officeDocument/2006/relationships/hyperlink" Target="mailto:dsullivan@nrdc.org" TargetMode="External"/><Relationship Id="rId33" Type="http://schemas.openxmlformats.org/officeDocument/2006/relationships/hyperlink" Target="mailto:gdunn@szd.com" TargetMode="External"/><Relationship Id="rId38" Type="http://schemas.openxmlformats.org/officeDocument/2006/relationships/hyperlink" Target="mailto:small@occ.state.oh.us" TargetMode="External"/><Relationship Id="rId46" Type="http://schemas.openxmlformats.org/officeDocument/2006/relationships/hyperlink" Target="mailto:jbentine@cwslaw.com" TargetMode="External"/><Relationship Id="rId59" Type="http://schemas.openxmlformats.org/officeDocument/2006/relationships/hyperlink" Target="mailto:carolyn.flahive@thompsonhine.com" TargetMode="External"/><Relationship Id="rId67" Type="http://schemas.openxmlformats.org/officeDocument/2006/relationships/hyperlink" Target="mailto:clinton.vince@snrdenton.com" TargetMode="External"/><Relationship Id="rId103" Type="http://schemas.openxmlformats.org/officeDocument/2006/relationships/hyperlink" Target="mailto:jestes@skaddenc.om" TargetMode="External"/><Relationship Id="rId108" Type="http://schemas.openxmlformats.org/officeDocument/2006/relationships/hyperlink" Target="mailto:cmooney2@columbus.rr.com" TargetMode="External"/><Relationship Id="rId20" Type="http://schemas.openxmlformats.org/officeDocument/2006/relationships/hyperlink" Target="mailto:ned.ford@fuse.net" TargetMode="External"/><Relationship Id="rId41" Type="http://schemas.openxmlformats.org/officeDocument/2006/relationships/hyperlink" Target="mailto:dorothy.corbett@duke-energy.com" TargetMode="External"/><Relationship Id="rId54" Type="http://schemas.openxmlformats.org/officeDocument/2006/relationships/hyperlink" Target="mailto:stephen.chriss@wal-mart.com" TargetMode="External"/><Relationship Id="rId62" Type="http://schemas.openxmlformats.org/officeDocument/2006/relationships/hyperlink" Target="mailto:trent@theoeg.com" TargetMode="External"/><Relationship Id="rId70" Type="http://schemas.openxmlformats.org/officeDocument/2006/relationships/hyperlink" Target="mailto:aaragona@eimerstahl.com" TargetMode="External"/><Relationship Id="rId75" Type="http://schemas.openxmlformats.org/officeDocument/2006/relationships/hyperlink" Target="mailto:jkooper@hess.com" TargetMode="External"/><Relationship Id="rId83" Type="http://schemas.openxmlformats.org/officeDocument/2006/relationships/hyperlink" Target="mailto:jeanne.kingery@duke-energy.com" TargetMode="External"/><Relationship Id="rId88" Type="http://schemas.openxmlformats.org/officeDocument/2006/relationships/hyperlink" Target="mailto:bpbarger@bcslawyers.com" TargetMode="External"/><Relationship Id="rId91" Type="http://schemas.openxmlformats.org/officeDocument/2006/relationships/hyperlink" Target="mailto:cmontgomery@bricker.com" TargetMode="External"/><Relationship Id="rId96" Type="http://schemas.openxmlformats.org/officeDocument/2006/relationships/hyperlink" Target="mailto:henryeckhart@aol.com" TargetMode="External"/><Relationship Id="rId11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dclark1@aep.com" TargetMode="External"/><Relationship Id="rId23" Type="http://schemas.openxmlformats.org/officeDocument/2006/relationships/hyperlink" Target="mailto:stnourse@aep.com" TargetMode="External"/><Relationship Id="rId28" Type="http://schemas.openxmlformats.org/officeDocument/2006/relationships/hyperlink" Target="mailto:haydenm@firstenergycorp.com" TargetMode="External"/><Relationship Id="rId36" Type="http://schemas.openxmlformats.org/officeDocument/2006/relationships/hyperlink" Target="mailto:talexander@calfee.com" TargetMode="External"/><Relationship Id="rId49" Type="http://schemas.openxmlformats.org/officeDocument/2006/relationships/hyperlink" Target="mailto:jejadwin@aep.com" TargetMode="External"/><Relationship Id="rId57" Type="http://schemas.openxmlformats.org/officeDocument/2006/relationships/hyperlink" Target="mailto:barthroyer@aol.com" TargetMode="External"/><Relationship Id="rId106" Type="http://schemas.openxmlformats.org/officeDocument/2006/relationships/hyperlink" Target="mailto:mjsettineri@vorys.cmo" TargetMode="External"/><Relationship Id="rId114"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mailto:cmiller@szd.com" TargetMode="External"/><Relationship Id="rId44" Type="http://schemas.openxmlformats.org/officeDocument/2006/relationships/hyperlink" Target="mailto:mkurtz@bkllawfirm.com" TargetMode="External"/><Relationship Id="rId52" Type="http://schemas.openxmlformats.org/officeDocument/2006/relationships/hyperlink" Target="mailto:bakahn@vorys.com" TargetMode="External"/><Relationship Id="rId60" Type="http://schemas.openxmlformats.org/officeDocument/2006/relationships/hyperlink" Target="mailto:terrance.mebane@thompsonhine.com" TargetMode="External"/><Relationship Id="rId65" Type="http://schemas.openxmlformats.org/officeDocument/2006/relationships/hyperlink" Target="mailto:emma.hand@snrdenton.com" TargetMode="External"/><Relationship Id="rId73" Type="http://schemas.openxmlformats.org/officeDocument/2006/relationships/hyperlink" Target="mailto:callwein@wamenergylaw.com" TargetMode="External"/><Relationship Id="rId78" Type="http://schemas.openxmlformats.org/officeDocument/2006/relationships/hyperlink" Target="mailto:swolfe@viridityenergy.com" TargetMode="External"/><Relationship Id="rId81" Type="http://schemas.openxmlformats.org/officeDocument/2006/relationships/hyperlink" Target="mailto:dane.stinson@baileycavalierie.com" TargetMode="External"/><Relationship Id="rId86" Type="http://schemas.openxmlformats.org/officeDocument/2006/relationships/hyperlink" Target="mailto:gregory.dunn@icemiller.com" TargetMode="External"/><Relationship Id="rId94" Type="http://schemas.openxmlformats.org/officeDocument/2006/relationships/hyperlink" Target="mailto:gthomas@gtpowergroup.com" TargetMode="External"/><Relationship Id="rId99" Type="http://schemas.openxmlformats.org/officeDocument/2006/relationships/hyperlink" Target="mailto:thompson@whitt-sturtevant.com" TargetMode="External"/><Relationship Id="rId101" Type="http://schemas.openxmlformats.org/officeDocument/2006/relationships/hyperlink" Target="mailto:joliker@mwncomh.com"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mailto:kpkreider@kmklaw.com" TargetMode="External"/><Relationship Id="rId39" Type="http://schemas.openxmlformats.org/officeDocument/2006/relationships/hyperlink" Target="mailto:cynthia.a.fonner@constellation.com" TargetMode="External"/><Relationship Id="rId109" Type="http://schemas.openxmlformats.org/officeDocument/2006/relationships/header" Target="header3.xml"/><Relationship Id="rId34" Type="http://schemas.openxmlformats.org/officeDocument/2006/relationships/hyperlink" Target="mailto:mhpetricoff@vorys.com" TargetMode="External"/><Relationship Id="rId50" Type="http://schemas.openxmlformats.org/officeDocument/2006/relationships/hyperlink" Target="mailto:msmalz@ohiopovertylaw.org" TargetMode="External"/><Relationship Id="rId55" Type="http://schemas.openxmlformats.org/officeDocument/2006/relationships/hyperlink" Target="mailto:dmeyere@kmklaw.com" TargetMode="External"/><Relationship Id="rId76" Type="http://schemas.openxmlformats.org/officeDocument/2006/relationships/hyperlink" Target="mailto:kguerry@hess.com" TargetMode="External"/><Relationship Id="rId97" Type="http://schemas.openxmlformats.org/officeDocument/2006/relationships/hyperlink" Target="mailto:laurac@chappelleconsulting.net" TargetMode="External"/><Relationship Id="rId104" Type="http://schemas.openxmlformats.org/officeDocument/2006/relationships/hyperlink" Target="mailto:paul.wight@skadden.com" TargetMode="External"/><Relationship Id="rId7" Type="http://schemas.openxmlformats.org/officeDocument/2006/relationships/footnotes" Target="footnotes.xml"/><Relationship Id="rId71" Type="http://schemas.openxmlformats.org/officeDocument/2006/relationships/hyperlink" Target="mailto:ssolberg@eimerstahl.com" TargetMode="External"/><Relationship Id="rId92" Type="http://schemas.openxmlformats.org/officeDocument/2006/relationships/hyperlink" Target="mailto:lmalister@bric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0DD2-3EDD-49F4-B8CF-923ABABC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5382</Words>
  <Characters>30679</Characters>
  <Application>Microsoft Office Word</Application>
  <DocSecurity>0</DocSecurity>
  <Lines>255</Lines>
  <Paragraphs>71</Paragraphs>
  <ScaleCrop>false</ScaleCrop>
  <Company/>
  <LinksUpToDate>false</LinksUpToDate>
  <CharactersWithSpaces>35990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2012-07-09T20:01:00Z</dcterms:created>
  <dcterms:modified xsi:type="dcterms:W3CDTF">2012-07-09T20:01:00Z</dcterms:modified>
</cp:coreProperties>
</file>