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4.0.0 -->
  <w:body>
    <w:p w:rsidR="000C7989" w:rsidRPr="002C46EE" w:rsidP="000C7989">
      <w:pPr>
        <w:pStyle w:val="List"/>
        <w:ind w:left="0" w:firstLine="0"/>
        <w:jc w:val="center"/>
        <w:rPr>
          <w:b/>
          <w:szCs w:val="24"/>
        </w:rPr>
      </w:pPr>
      <w:bookmarkStart w:id="0" w:name="_GoBack"/>
      <w:bookmarkEnd w:id="0"/>
      <w:r w:rsidRPr="002C46EE">
        <w:rPr>
          <w:b/>
          <w:szCs w:val="24"/>
        </w:rPr>
        <w:t>BEFORE</w:t>
      </w:r>
    </w:p>
    <w:p w:rsidR="000C7989" w:rsidRPr="002C46EE" w:rsidP="000C7989">
      <w:pPr>
        <w:pStyle w:val="List"/>
        <w:ind w:left="0" w:firstLine="0"/>
        <w:jc w:val="center"/>
        <w:rPr>
          <w:b/>
          <w:szCs w:val="24"/>
        </w:rPr>
      </w:pPr>
      <w:r w:rsidRPr="002C46EE">
        <w:rPr>
          <w:b/>
          <w:szCs w:val="24"/>
        </w:rPr>
        <w:t>THE PUBLIC UTILITIES COMMISSION OF OHIO</w:t>
      </w:r>
    </w:p>
    <w:p w:rsidR="000C7989" w:rsidRPr="002C46EE" w:rsidP="000C7989">
      <w:pPr>
        <w:pStyle w:val="BodyText"/>
        <w:jc w:val="center"/>
        <w:rPr>
          <w:b/>
          <w:sz w:val="24"/>
          <w:szCs w:val="24"/>
        </w:rPr>
      </w:pPr>
    </w:p>
    <w:tbl>
      <w:tblPr>
        <w:tblW w:w="9092" w:type="dxa"/>
        <w:tblInd w:w="0" w:type="dxa"/>
        <w:tblCellMar>
          <w:top w:w="0" w:type="dxa"/>
          <w:left w:w="108" w:type="dxa"/>
          <w:bottom w:w="0" w:type="dxa"/>
          <w:right w:w="108" w:type="dxa"/>
        </w:tblCellMar>
        <w:tblLook w:val="01E0"/>
      </w:tblPr>
      <w:tblGrid>
        <w:gridCol w:w="4332"/>
        <w:gridCol w:w="360"/>
        <w:gridCol w:w="4400"/>
      </w:tblGrid>
      <w:tr w:rsidTr="001C134B">
        <w:tblPrEx>
          <w:tblW w:w="9092" w:type="dxa"/>
          <w:tblInd w:w="0" w:type="dxa"/>
          <w:tblCellMar>
            <w:top w:w="0" w:type="dxa"/>
            <w:left w:w="108" w:type="dxa"/>
            <w:bottom w:w="0" w:type="dxa"/>
            <w:right w:w="108" w:type="dxa"/>
          </w:tblCellMar>
          <w:tblLook w:val="01E0"/>
        </w:tblPrEx>
        <w:trPr>
          <w:trHeight w:val="807"/>
        </w:trPr>
        <w:tc>
          <w:tcPr>
            <w:tcW w:w="4332" w:type="dxa"/>
            <w:shd w:val="clear" w:color="auto" w:fill="auto"/>
          </w:tcPr>
          <w:p w:rsidR="000C7989" w:rsidRPr="002C46EE" w:rsidP="001C134B">
            <w:pPr>
              <w:autoSpaceDE w:val="0"/>
              <w:autoSpaceDN w:val="0"/>
              <w:adjustRightInd w:val="0"/>
              <w:spacing w:after="0" w:line="240" w:lineRule="auto"/>
              <w:rPr>
                <w:rStyle w:val="DefaultParagraphFont"/>
                <w:rFonts w:ascii="Times New Roman" w:eastAsia="Times New Roman" w:hAnsi="Times New Roman" w:cs="Times New Roman"/>
                <w:sz w:val="24"/>
                <w:szCs w:val="24"/>
                <w:lang w:val="en-US" w:eastAsia="en-US" w:bidi="ar-SA"/>
              </w:rPr>
            </w:pPr>
            <w:r w:rsidRPr="002C46EE">
              <w:rPr>
                <w:rFonts w:ascii="Times New Roman" w:eastAsia="Times New Roman" w:hAnsi="Times New Roman" w:cs="Times New Roman"/>
                <w:sz w:val="24"/>
                <w:szCs w:val="24"/>
                <w:lang w:val="en-US" w:eastAsia="en-US" w:bidi="ar-SA"/>
              </w:rPr>
              <w:t xml:space="preserve">In the Matter of the Application of Ohio Power Company for Authority to  Establish a Standard Service Offer </w:t>
            </w:r>
          </w:p>
          <w:p w:rsidR="000C7989" w:rsidRPr="002C46EE" w:rsidP="001C134B">
            <w:pPr>
              <w:autoSpaceDE w:val="0"/>
              <w:autoSpaceDN w:val="0"/>
              <w:adjustRightInd w:val="0"/>
              <w:spacing w:after="0" w:line="240" w:lineRule="auto"/>
              <w:rPr>
                <w:rStyle w:val="DefaultParagraphFont"/>
                <w:rFonts w:ascii="Times New Roman" w:eastAsia="Times New Roman" w:hAnsi="Times New Roman" w:cs="Times New Roman"/>
                <w:sz w:val="24"/>
                <w:szCs w:val="24"/>
                <w:lang w:val="en-US" w:eastAsia="en-US" w:bidi="ar-SA"/>
              </w:rPr>
            </w:pPr>
            <w:r w:rsidRPr="002C46EE">
              <w:rPr>
                <w:rFonts w:ascii="Times New Roman" w:eastAsia="Times New Roman" w:hAnsi="Times New Roman" w:cs="Times New Roman"/>
                <w:sz w:val="24"/>
                <w:szCs w:val="24"/>
                <w:lang w:val="en-US" w:eastAsia="en-US" w:bidi="ar-SA"/>
              </w:rPr>
              <w:t xml:space="preserve">Pursuant to §4928.143, Revised Code, </w:t>
            </w:r>
          </w:p>
          <w:p w:rsidR="000C7989" w:rsidRPr="002C46EE" w:rsidP="001C134B">
            <w:pPr>
              <w:autoSpaceDE w:val="0"/>
              <w:autoSpaceDN w:val="0"/>
              <w:adjustRightInd w:val="0"/>
              <w:spacing w:after="0" w:line="240" w:lineRule="auto"/>
              <w:rPr>
                <w:rStyle w:val="DefaultParagraphFont"/>
                <w:rFonts w:ascii="Times New Roman" w:eastAsia="Times New Roman" w:hAnsi="Times New Roman" w:cs="Times New Roman"/>
                <w:sz w:val="24"/>
                <w:szCs w:val="24"/>
                <w:lang w:val="en-US" w:eastAsia="en-US" w:bidi="ar-SA"/>
              </w:rPr>
            </w:pPr>
            <w:r w:rsidRPr="002C46EE">
              <w:rPr>
                <w:rFonts w:ascii="Times New Roman" w:eastAsia="Times New Roman" w:hAnsi="Times New Roman" w:cs="Times New Roman"/>
                <w:sz w:val="24"/>
                <w:szCs w:val="24"/>
                <w:lang w:val="en-US" w:eastAsia="en-US" w:bidi="ar-SA"/>
              </w:rPr>
              <w:t xml:space="preserve">in the Form of an Electric Security Plan. </w:t>
            </w:r>
          </w:p>
          <w:p w:rsidR="000C7989" w:rsidRPr="002C46EE" w:rsidP="001C134B">
            <w:pPr>
              <w:autoSpaceDE w:val="0"/>
              <w:autoSpaceDN w:val="0"/>
              <w:adjustRightInd w:val="0"/>
              <w:spacing w:after="0" w:line="240" w:lineRule="auto"/>
              <w:rPr>
                <w:rStyle w:val="DefaultParagraphFont"/>
                <w:rFonts w:ascii="Times New Roman" w:eastAsia="Times New Roman" w:hAnsi="Times New Roman" w:cs="Times New Roman"/>
                <w:sz w:val="24"/>
                <w:szCs w:val="24"/>
                <w:lang w:val="en-US" w:eastAsia="en-US" w:bidi="ar-SA"/>
              </w:rPr>
            </w:pPr>
          </w:p>
          <w:p w:rsidR="000C7989" w:rsidRPr="002C46EE" w:rsidP="001C134B">
            <w:pPr>
              <w:autoSpaceDE w:val="0"/>
              <w:autoSpaceDN w:val="0"/>
              <w:adjustRightInd w:val="0"/>
              <w:spacing w:after="0" w:line="240" w:lineRule="auto"/>
              <w:rPr>
                <w:rStyle w:val="DefaultParagraphFont"/>
                <w:rFonts w:ascii="Times New Roman" w:eastAsia="Times New Roman" w:hAnsi="Times New Roman" w:cs="Times New Roman"/>
                <w:sz w:val="24"/>
                <w:szCs w:val="24"/>
                <w:lang w:val="en-US" w:eastAsia="en-US" w:bidi="ar-SA"/>
              </w:rPr>
            </w:pPr>
            <w:r w:rsidRPr="002C46EE">
              <w:rPr>
                <w:rFonts w:ascii="Times New Roman" w:eastAsia="Times New Roman" w:hAnsi="Times New Roman" w:cs="Times New Roman"/>
                <w:sz w:val="24"/>
                <w:szCs w:val="24"/>
                <w:lang w:val="en-US" w:eastAsia="en-US" w:bidi="ar-SA"/>
              </w:rPr>
              <w:t xml:space="preserve">In the Matter of the Application of Ohio Power Company for Approval of </w:t>
            </w:r>
          </w:p>
          <w:p w:rsidR="000C7989" w:rsidRPr="002C46EE" w:rsidP="001C134B">
            <w:pPr>
              <w:spacing w:after="0" w:line="240" w:lineRule="auto"/>
              <w:rPr>
                <w:rStyle w:val="DefaultParagraphFont"/>
                <w:rFonts w:ascii="Times New Roman" w:eastAsia="Times New Roman" w:hAnsi="Times New Roman" w:cs="Times New Roman"/>
                <w:sz w:val="24"/>
                <w:szCs w:val="24"/>
                <w:lang w:val="en-US" w:eastAsia="en-US" w:bidi="ar-SA"/>
              </w:rPr>
            </w:pPr>
            <w:r w:rsidRPr="002C46EE">
              <w:rPr>
                <w:rFonts w:ascii="Times New Roman" w:eastAsia="Times New Roman" w:hAnsi="Times New Roman" w:cs="Times New Roman"/>
                <w:sz w:val="24"/>
                <w:szCs w:val="24"/>
                <w:lang w:val="en-US" w:eastAsia="en-US" w:bidi="ar-SA"/>
              </w:rPr>
              <w:t xml:space="preserve">Certain Accounting Authority. </w:t>
            </w:r>
          </w:p>
          <w:p w:rsidR="000C7989" w:rsidRPr="002C46EE" w:rsidP="001C134B">
            <w:pPr>
              <w:spacing w:after="0" w:line="240" w:lineRule="auto"/>
              <w:rPr>
                <w:rStyle w:val="DefaultParagraphFont"/>
                <w:rFonts w:ascii="Times New Roman" w:eastAsia="Times New Roman" w:hAnsi="Times New Roman" w:cs="Times New Roman"/>
                <w:sz w:val="24"/>
                <w:szCs w:val="24"/>
                <w:lang w:val="en-US" w:eastAsia="en-US" w:bidi="ar-SA"/>
              </w:rPr>
            </w:pPr>
          </w:p>
        </w:tc>
        <w:tc>
          <w:tcPr>
            <w:tcW w:w="360" w:type="dxa"/>
            <w:shd w:val="clear" w:color="auto" w:fill="auto"/>
          </w:tcPr>
          <w:p w:rsidR="000C7989" w:rsidRPr="002C46EE" w:rsidP="001C134B">
            <w:pPr>
              <w:spacing w:after="0" w:line="240" w:lineRule="auto"/>
              <w:rPr>
                <w:rStyle w:val="DefaultParagraphFont"/>
                <w:rFonts w:ascii="Times New Roman" w:eastAsia="Times New Roman" w:hAnsi="Times New Roman" w:cs="Times New Roman"/>
                <w:sz w:val="24"/>
                <w:szCs w:val="24"/>
                <w:lang w:val="en-US" w:eastAsia="en-US" w:bidi="ar-SA"/>
              </w:rPr>
            </w:pPr>
            <w:r w:rsidRPr="002C46EE">
              <w:rPr>
                <w:rFonts w:ascii="Times New Roman" w:eastAsia="Times New Roman" w:hAnsi="Times New Roman" w:cs="Times New Roman"/>
                <w:sz w:val="24"/>
                <w:szCs w:val="24"/>
                <w:lang w:val="en-US" w:eastAsia="en-US" w:bidi="ar-SA"/>
              </w:rPr>
              <w:t>)</w:t>
            </w:r>
          </w:p>
          <w:p w:rsidR="000C7989" w:rsidRPr="002C46EE" w:rsidP="001C134B">
            <w:pPr>
              <w:spacing w:after="0" w:line="240" w:lineRule="auto"/>
              <w:rPr>
                <w:rStyle w:val="DefaultParagraphFont"/>
                <w:rFonts w:ascii="Times New Roman" w:eastAsia="Times New Roman" w:hAnsi="Times New Roman" w:cs="Times New Roman"/>
                <w:sz w:val="24"/>
                <w:szCs w:val="24"/>
                <w:lang w:val="en-US" w:eastAsia="en-US" w:bidi="ar-SA"/>
              </w:rPr>
            </w:pPr>
            <w:r w:rsidRPr="002C46EE">
              <w:rPr>
                <w:rFonts w:ascii="Times New Roman" w:eastAsia="Times New Roman" w:hAnsi="Times New Roman" w:cs="Times New Roman"/>
                <w:sz w:val="24"/>
                <w:szCs w:val="24"/>
                <w:lang w:val="en-US" w:eastAsia="en-US" w:bidi="ar-SA"/>
              </w:rPr>
              <w:t>)</w:t>
            </w:r>
          </w:p>
          <w:p w:rsidR="000C7989" w:rsidRPr="002C46EE" w:rsidP="001C134B">
            <w:pPr>
              <w:spacing w:after="0" w:line="240" w:lineRule="auto"/>
              <w:rPr>
                <w:rStyle w:val="DefaultParagraphFont"/>
                <w:rFonts w:ascii="Times New Roman" w:eastAsia="Times New Roman" w:hAnsi="Times New Roman" w:cs="Times New Roman"/>
                <w:sz w:val="24"/>
                <w:szCs w:val="24"/>
                <w:lang w:val="en-US" w:eastAsia="en-US" w:bidi="ar-SA"/>
              </w:rPr>
            </w:pPr>
            <w:r w:rsidRPr="002C46EE">
              <w:rPr>
                <w:rFonts w:ascii="Times New Roman" w:eastAsia="Times New Roman" w:hAnsi="Times New Roman" w:cs="Times New Roman"/>
                <w:sz w:val="24"/>
                <w:szCs w:val="24"/>
                <w:lang w:val="en-US" w:eastAsia="en-US" w:bidi="ar-SA"/>
              </w:rPr>
              <w:t>)</w:t>
            </w:r>
          </w:p>
          <w:p w:rsidR="000C7989" w:rsidRPr="002C46EE" w:rsidP="001C134B">
            <w:pPr>
              <w:spacing w:after="0" w:line="240" w:lineRule="auto"/>
              <w:rPr>
                <w:rStyle w:val="DefaultParagraphFont"/>
                <w:rFonts w:ascii="Times New Roman" w:eastAsia="Times New Roman" w:hAnsi="Times New Roman" w:cs="Times New Roman"/>
                <w:sz w:val="24"/>
                <w:szCs w:val="24"/>
                <w:lang w:val="en-US" w:eastAsia="en-US" w:bidi="ar-SA"/>
              </w:rPr>
            </w:pPr>
            <w:r w:rsidRPr="002C46EE">
              <w:rPr>
                <w:rFonts w:ascii="Times New Roman" w:eastAsia="Times New Roman" w:hAnsi="Times New Roman" w:cs="Times New Roman"/>
                <w:sz w:val="24"/>
                <w:szCs w:val="24"/>
                <w:lang w:val="en-US" w:eastAsia="en-US" w:bidi="ar-SA"/>
              </w:rPr>
              <w:t>)</w:t>
            </w:r>
          </w:p>
          <w:p w:rsidR="000C7989" w:rsidRPr="002C46EE" w:rsidP="001C134B">
            <w:pPr>
              <w:spacing w:after="0" w:line="240" w:lineRule="auto"/>
              <w:rPr>
                <w:rStyle w:val="DefaultParagraphFont"/>
                <w:rFonts w:ascii="Times New Roman" w:eastAsia="Times New Roman" w:hAnsi="Times New Roman" w:cs="Times New Roman"/>
                <w:sz w:val="24"/>
                <w:szCs w:val="24"/>
                <w:lang w:val="en-US" w:eastAsia="en-US" w:bidi="ar-SA"/>
              </w:rPr>
            </w:pPr>
            <w:r w:rsidRPr="002C46EE">
              <w:rPr>
                <w:rFonts w:ascii="Times New Roman" w:eastAsia="Times New Roman" w:hAnsi="Times New Roman" w:cs="Times New Roman"/>
                <w:sz w:val="24"/>
                <w:szCs w:val="24"/>
                <w:lang w:val="en-US" w:eastAsia="en-US" w:bidi="ar-SA"/>
              </w:rPr>
              <w:t>)</w:t>
            </w:r>
          </w:p>
          <w:p w:rsidR="000C7989" w:rsidRPr="002C46EE" w:rsidP="001C134B">
            <w:pPr>
              <w:spacing w:after="0" w:line="240" w:lineRule="auto"/>
              <w:rPr>
                <w:rStyle w:val="DefaultParagraphFont"/>
                <w:rFonts w:ascii="Times New Roman" w:eastAsia="Times New Roman" w:hAnsi="Times New Roman" w:cs="Times New Roman"/>
                <w:sz w:val="24"/>
                <w:szCs w:val="24"/>
                <w:lang w:val="en-US" w:eastAsia="en-US" w:bidi="ar-SA"/>
              </w:rPr>
            </w:pPr>
          </w:p>
          <w:p w:rsidR="000C7989" w:rsidRPr="002C46EE" w:rsidP="001C134B">
            <w:pPr>
              <w:spacing w:after="0" w:line="240" w:lineRule="auto"/>
              <w:rPr>
                <w:rStyle w:val="DefaultParagraphFont"/>
                <w:rFonts w:ascii="Times New Roman" w:eastAsia="Times New Roman" w:hAnsi="Times New Roman" w:cs="Times New Roman"/>
                <w:sz w:val="24"/>
                <w:szCs w:val="24"/>
                <w:lang w:val="en-US" w:eastAsia="en-US" w:bidi="ar-SA"/>
              </w:rPr>
            </w:pPr>
            <w:r w:rsidRPr="002C46EE">
              <w:rPr>
                <w:rFonts w:ascii="Times New Roman" w:eastAsia="Times New Roman" w:hAnsi="Times New Roman" w:cs="Times New Roman"/>
                <w:sz w:val="24"/>
                <w:szCs w:val="24"/>
                <w:lang w:val="en-US" w:eastAsia="en-US" w:bidi="ar-SA"/>
              </w:rPr>
              <w:t>)</w:t>
            </w:r>
          </w:p>
          <w:p w:rsidR="000C7989" w:rsidRPr="002C46EE" w:rsidP="001C134B">
            <w:pPr>
              <w:spacing w:after="0" w:line="240" w:lineRule="auto"/>
              <w:rPr>
                <w:rStyle w:val="DefaultParagraphFont"/>
                <w:rFonts w:ascii="Times New Roman" w:eastAsia="Times New Roman" w:hAnsi="Times New Roman" w:cs="Times New Roman"/>
                <w:sz w:val="24"/>
                <w:szCs w:val="24"/>
                <w:lang w:val="en-US" w:eastAsia="en-US" w:bidi="ar-SA"/>
              </w:rPr>
            </w:pPr>
            <w:r w:rsidRPr="002C46EE">
              <w:rPr>
                <w:rFonts w:ascii="Times New Roman" w:eastAsia="Times New Roman" w:hAnsi="Times New Roman" w:cs="Times New Roman"/>
                <w:sz w:val="24"/>
                <w:szCs w:val="24"/>
                <w:lang w:val="en-US" w:eastAsia="en-US" w:bidi="ar-SA"/>
              </w:rPr>
              <w:t>)</w:t>
            </w:r>
          </w:p>
          <w:p w:rsidR="000C7989" w:rsidRPr="002C46EE" w:rsidP="001C134B">
            <w:pPr>
              <w:spacing w:after="0" w:line="240" w:lineRule="auto"/>
              <w:rPr>
                <w:rStyle w:val="DefaultParagraphFont"/>
                <w:rFonts w:ascii="Times New Roman" w:eastAsia="Times New Roman" w:hAnsi="Times New Roman" w:cs="Times New Roman"/>
                <w:sz w:val="24"/>
                <w:szCs w:val="24"/>
                <w:lang w:val="en-US" w:eastAsia="en-US" w:bidi="ar-SA"/>
              </w:rPr>
            </w:pPr>
            <w:r w:rsidRPr="002C46EE">
              <w:rPr>
                <w:rFonts w:ascii="Times New Roman" w:eastAsia="Times New Roman" w:hAnsi="Times New Roman" w:cs="Times New Roman"/>
                <w:sz w:val="24"/>
                <w:szCs w:val="24"/>
                <w:lang w:val="en-US" w:eastAsia="en-US" w:bidi="ar-SA"/>
              </w:rPr>
              <w:t>)</w:t>
            </w:r>
          </w:p>
          <w:p w:rsidR="000C7989" w:rsidRPr="002C46EE" w:rsidP="001C134B">
            <w:pPr>
              <w:spacing w:after="0" w:line="240" w:lineRule="auto"/>
              <w:rPr>
                <w:rStyle w:val="DefaultParagraphFont"/>
                <w:rFonts w:ascii="Times New Roman" w:eastAsia="Times New Roman" w:hAnsi="Times New Roman" w:cs="Times New Roman"/>
                <w:sz w:val="24"/>
                <w:szCs w:val="24"/>
                <w:lang w:val="en-US" w:eastAsia="en-US" w:bidi="ar-SA"/>
              </w:rPr>
            </w:pPr>
          </w:p>
        </w:tc>
        <w:tc>
          <w:tcPr>
            <w:tcW w:w="4400" w:type="dxa"/>
            <w:shd w:val="clear" w:color="auto" w:fill="auto"/>
          </w:tcPr>
          <w:p w:rsidR="000C7989" w:rsidRPr="002C46EE" w:rsidP="001C134B">
            <w:pPr>
              <w:spacing w:after="0" w:line="240" w:lineRule="auto"/>
              <w:rPr>
                <w:rStyle w:val="DefaultParagraphFont"/>
                <w:rFonts w:ascii="Times New Roman" w:eastAsia="Times New Roman" w:hAnsi="Times New Roman" w:cs="Times New Roman"/>
                <w:sz w:val="24"/>
                <w:szCs w:val="24"/>
                <w:lang w:val="en-US" w:eastAsia="en-US" w:bidi="ar-SA"/>
              </w:rPr>
            </w:pPr>
          </w:p>
          <w:p w:rsidR="000C7989" w:rsidRPr="002C46EE" w:rsidP="001C134B">
            <w:pPr>
              <w:spacing w:after="0" w:line="240" w:lineRule="auto"/>
              <w:rPr>
                <w:rStyle w:val="DefaultParagraphFont"/>
                <w:rFonts w:ascii="Times New Roman" w:eastAsia="Times New Roman" w:hAnsi="Times New Roman" w:cs="Times New Roman"/>
                <w:sz w:val="24"/>
                <w:szCs w:val="24"/>
                <w:lang w:val="en-US" w:eastAsia="en-US" w:bidi="ar-SA"/>
              </w:rPr>
            </w:pPr>
            <w:r w:rsidRPr="002C46EE">
              <w:rPr>
                <w:rFonts w:ascii="Times New Roman" w:eastAsia="Times New Roman" w:hAnsi="Times New Roman" w:cs="Times New Roman"/>
                <w:sz w:val="24"/>
                <w:szCs w:val="24"/>
                <w:lang w:val="en-US" w:eastAsia="en-US" w:bidi="ar-SA"/>
              </w:rPr>
              <w:t>Case No. 13-2385-EL-SSO</w:t>
            </w:r>
          </w:p>
          <w:p w:rsidR="000C7989" w:rsidRPr="002C46EE" w:rsidP="001C134B">
            <w:pPr>
              <w:spacing w:after="0" w:line="240" w:lineRule="auto"/>
              <w:rPr>
                <w:rStyle w:val="DefaultParagraphFont"/>
                <w:rFonts w:ascii="Times New Roman" w:eastAsia="Times New Roman" w:hAnsi="Times New Roman" w:cs="Times New Roman"/>
                <w:sz w:val="24"/>
                <w:szCs w:val="24"/>
                <w:lang w:val="en-US" w:eastAsia="en-US" w:bidi="ar-SA"/>
              </w:rPr>
            </w:pPr>
          </w:p>
          <w:p w:rsidR="000C7989" w:rsidRPr="002C46EE" w:rsidP="001C134B">
            <w:pPr>
              <w:spacing w:after="0" w:line="240" w:lineRule="auto"/>
              <w:rPr>
                <w:rStyle w:val="DefaultParagraphFont"/>
                <w:rFonts w:ascii="Times New Roman" w:eastAsia="Times New Roman" w:hAnsi="Times New Roman" w:cs="Times New Roman"/>
                <w:sz w:val="24"/>
                <w:szCs w:val="24"/>
                <w:lang w:val="en-US" w:eastAsia="en-US" w:bidi="ar-SA"/>
              </w:rPr>
            </w:pPr>
          </w:p>
          <w:p w:rsidR="000C7989" w:rsidRPr="002C46EE" w:rsidP="001C134B">
            <w:pPr>
              <w:spacing w:after="0" w:line="240" w:lineRule="auto"/>
              <w:rPr>
                <w:rStyle w:val="DefaultParagraphFont"/>
                <w:rFonts w:ascii="Times New Roman" w:eastAsia="Times New Roman" w:hAnsi="Times New Roman" w:cs="Times New Roman"/>
                <w:sz w:val="24"/>
                <w:szCs w:val="24"/>
                <w:lang w:val="en-US" w:eastAsia="en-US" w:bidi="ar-SA"/>
              </w:rPr>
            </w:pPr>
          </w:p>
          <w:p w:rsidR="000C7989" w:rsidRPr="002C46EE" w:rsidP="001C134B">
            <w:pPr>
              <w:spacing w:after="0" w:line="240" w:lineRule="auto"/>
              <w:rPr>
                <w:rStyle w:val="DefaultParagraphFont"/>
                <w:rFonts w:ascii="Times New Roman" w:eastAsia="Times New Roman" w:hAnsi="Times New Roman" w:cs="Times New Roman"/>
                <w:sz w:val="24"/>
                <w:szCs w:val="24"/>
                <w:lang w:val="en-US" w:eastAsia="en-US" w:bidi="ar-SA"/>
              </w:rPr>
            </w:pPr>
          </w:p>
          <w:p w:rsidR="000C7989" w:rsidRPr="002C46EE" w:rsidP="001C134B">
            <w:pPr>
              <w:spacing w:after="0" w:line="240" w:lineRule="auto"/>
              <w:rPr>
                <w:rStyle w:val="DefaultParagraphFont"/>
                <w:rFonts w:ascii="Times New Roman" w:eastAsia="Times New Roman" w:hAnsi="Times New Roman" w:cs="Times New Roman"/>
                <w:sz w:val="24"/>
                <w:szCs w:val="24"/>
                <w:lang w:val="en-US" w:eastAsia="en-US" w:bidi="ar-SA"/>
              </w:rPr>
            </w:pPr>
            <w:r w:rsidRPr="002C46EE">
              <w:rPr>
                <w:rFonts w:ascii="Times New Roman" w:eastAsia="Times New Roman" w:hAnsi="Times New Roman" w:cs="Times New Roman"/>
                <w:sz w:val="24"/>
                <w:szCs w:val="24"/>
                <w:lang w:val="en-US" w:eastAsia="en-US" w:bidi="ar-SA"/>
              </w:rPr>
              <w:t>Case No. 13-2386-EL-AAM</w:t>
            </w:r>
          </w:p>
        </w:tc>
      </w:tr>
    </w:tbl>
    <w:p w:rsidR="000C7989" w:rsidRPr="002C46EE" w:rsidP="00B07F4F">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 w:val="24"/>
          <w:szCs w:val="24"/>
        </w:rPr>
      </w:pPr>
    </w:p>
    <w:p w:rsidR="00B07F4F" w:rsidRPr="002C46EE" w:rsidP="00B07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 w:val="24"/>
          <w:szCs w:val="24"/>
        </w:rPr>
      </w:pPr>
    </w:p>
    <w:p w:rsidR="000C7989" w:rsidRPr="002C46EE" w:rsidP="00B07F4F">
      <w:pPr>
        <w:jc w:val="center"/>
        <w:rPr>
          <w:b/>
          <w:sz w:val="24"/>
          <w:szCs w:val="24"/>
        </w:rPr>
      </w:pPr>
      <w:r>
        <w:rPr>
          <w:b/>
          <w:sz w:val="24"/>
          <w:szCs w:val="24"/>
        </w:rPr>
        <w:t xml:space="preserve">THIRD </w:t>
      </w:r>
      <w:r w:rsidRPr="002C46EE">
        <w:rPr>
          <w:b/>
          <w:sz w:val="24"/>
          <w:szCs w:val="24"/>
        </w:rPr>
        <w:t>APPLICATION FOR REHEARING</w:t>
      </w:r>
    </w:p>
    <w:p w:rsidR="000C7989" w:rsidRPr="002C46EE" w:rsidP="00B07F4F">
      <w:pPr>
        <w:jc w:val="center"/>
        <w:rPr>
          <w:b/>
          <w:sz w:val="24"/>
          <w:szCs w:val="24"/>
        </w:rPr>
      </w:pPr>
      <w:r w:rsidRPr="002C46EE">
        <w:rPr>
          <w:b/>
          <w:sz w:val="24"/>
          <w:szCs w:val="24"/>
        </w:rPr>
        <w:t>BY</w:t>
      </w:r>
    </w:p>
    <w:p w:rsidR="000C7989" w:rsidP="00B07F4F">
      <w:pPr>
        <w:pBdr>
          <w:bottom w:val="single" w:sz="12" w:space="1" w:color="auto"/>
        </w:pBdr>
        <w:jc w:val="center"/>
        <w:rPr>
          <w:b/>
          <w:sz w:val="24"/>
          <w:szCs w:val="24"/>
        </w:rPr>
      </w:pPr>
      <w:r w:rsidRPr="002C46EE">
        <w:rPr>
          <w:b/>
          <w:sz w:val="24"/>
          <w:szCs w:val="24"/>
        </w:rPr>
        <w:t>THE OFFICE OF THE OHIO CONSUMERS’ COUNSEL</w:t>
      </w:r>
    </w:p>
    <w:p w:rsidR="004A3A2A" w:rsidRPr="002C46EE" w:rsidP="00B07F4F">
      <w:pPr>
        <w:pBdr>
          <w:bottom w:val="single" w:sz="12" w:space="1" w:color="auto"/>
        </w:pBdr>
        <w:jc w:val="center"/>
        <w:rPr>
          <w:b/>
          <w:sz w:val="24"/>
          <w:szCs w:val="24"/>
        </w:rPr>
      </w:pPr>
    </w:p>
    <w:p w:rsidR="004A3A2A" w:rsidRPr="002C46EE" w:rsidP="004A3A2A">
      <w:pPr>
        <w:rPr>
          <w:b/>
          <w:sz w:val="24"/>
          <w:szCs w:val="24"/>
        </w:rPr>
      </w:pPr>
    </w:p>
    <w:p w:rsidR="000C7989" w:rsidRPr="002C46EE" w:rsidP="00B07F4F">
      <w:pPr>
        <w:ind w:left="4320"/>
        <w:jc w:val="both"/>
        <w:rPr>
          <w:sz w:val="24"/>
          <w:szCs w:val="24"/>
        </w:rPr>
      </w:pPr>
    </w:p>
    <w:p w:rsidR="000C7989" w:rsidRPr="002C46EE" w:rsidP="000C7989">
      <w:pPr>
        <w:ind w:left="4320"/>
        <w:rPr>
          <w:sz w:val="24"/>
          <w:szCs w:val="24"/>
        </w:rPr>
      </w:pPr>
    </w:p>
    <w:p w:rsidR="000C7989" w:rsidRPr="002C46EE" w:rsidP="000C7989">
      <w:pPr>
        <w:ind w:left="4320"/>
        <w:rPr>
          <w:sz w:val="24"/>
          <w:szCs w:val="24"/>
        </w:rPr>
      </w:pPr>
    </w:p>
    <w:p w:rsidR="000C7989" w:rsidRPr="002C46EE" w:rsidP="000C7989">
      <w:pPr>
        <w:ind w:left="4320"/>
        <w:rPr>
          <w:sz w:val="24"/>
          <w:szCs w:val="24"/>
        </w:rPr>
      </w:pPr>
    </w:p>
    <w:p w:rsidR="000C7989" w:rsidRPr="002C46EE" w:rsidP="000C7989">
      <w:pPr>
        <w:ind w:left="4320"/>
        <w:rPr>
          <w:sz w:val="24"/>
          <w:szCs w:val="24"/>
        </w:rPr>
      </w:pPr>
    </w:p>
    <w:p w:rsidR="008D7F23" w:rsidP="000C7989">
      <w:pPr>
        <w:rPr>
          <w:sz w:val="24"/>
          <w:szCs w:val="24"/>
        </w:rPr>
      </w:pPr>
      <w:r w:rsidRPr="002C46EE">
        <w:rPr>
          <w:sz w:val="24"/>
          <w:szCs w:val="24"/>
        </w:rPr>
        <w:tab/>
      </w:r>
      <w:r w:rsidRPr="002C46EE">
        <w:rPr>
          <w:sz w:val="24"/>
          <w:szCs w:val="24"/>
        </w:rPr>
        <w:tab/>
      </w:r>
      <w:r w:rsidRPr="002C46EE">
        <w:rPr>
          <w:sz w:val="24"/>
          <w:szCs w:val="24"/>
        </w:rPr>
        <w:tab/>
      </w:r>
      <w:r w:rsidRPr="002C46EE">
        <w:rPr>
          <w:sz w:val="24"/>
          <w:szCs w:val="24"/>
        </w:rPr>
        <w:tab/>
      </w:r>
      <w:r w:rsidRPr="002C46EE">
        <w:rPr>
          <w:sz w:val="24"/>
          <w:szCs w:val="24"/>
        </w:rPr>
        <w:tab/>
      </w:r>
      <w:r w:rsidRPr="002C46EE">
        <w:rPr>
          <w:sz w:val="24"/>
          <w:szCs w:val="24"/>
        </w:rPr>
        <w:tab/>
      </w:r>
    </w:p>
    <w:p w:rsidR="008D7F23" w:rsidP="000C7989">
      <w:pPr>
        <w:rPr>
          <w:sz w:val="24"/>
          <w:szCs w:val="24"/>
        </w:rPr>
      </w:pPr>
    </w:p>
    <w:p w:rsidR="008D7F23" w:rsidP="000C7989">
      <w:pPr>
        <w:rPr>
          <w:sz w:val="24"/>
          <w:szCs w:val="24"/>
        </w:rPr>
      </w:pPr>
    </w:p>
    <w:p w:rsidR="008D7F23" w:rsidP="000C7989">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0C7989" w:rsidRPr="002C46EE" w:rsidP="000C7989">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2C46EE">
        <w:rPr>
          <w:sz w:val="24"/>
          <w:szCs w:val="24"/>
        </w:rPr>
        <w:t>BRUCE WESTON (0016973)</w:t>
      </w:r>
    </w:p>
    <w:p w:rsidR="000C7989" w:rsidRPr="002C46EE" w:rsidP="000C7989">
      <w:pPr>
        <w:rPr>
          <w:sz w:val="24"/>
          <w:szCs w:val="24"/>
        </w:rPr>
      </w:pPr>
      <w:r w:rsidRPr="002C46EE">
        <w:rPr>
          <w:sz w:val="24"/>
          <w:szCs w:val="24"/>
        </w:rPr>
        <w:tab/>
      </w:r>
      <w:r w:rsidRPr="002C46EE">
        <w:rPr>
          <w:sz w:val="24"/>
          <w:szCs w:val="24"/>
        </w:rPr>
        <w:tab/>
      </w:r>
      <w:r w:rsidRPr="002C46EE">
        <w:rPr>
          <w:sz w:val="24"/>
          <w:szCs w:val="24"/>
        </w:rPr>
        <w:tab/>
      </w:r>
      <w:r w:rsidRPr="002C46EE">
        <w:rPr>
          <w:sz w:val="24"/>
          <w:szCs w:val="24"/>
        </w:rPr>
        <w:tab/>
      </w:r>
      <w:r w:rsidRPr="002C46EE">
        <w:rPr>
          <w:sz w:val="24"/>
          <w:szCs w:val="24"/>
        </w:rPr>
        <w:tab/>
      </w:r>
      <w:r w:rsidRPr="002C46EE">
        <w:rPr>
          <w:sz w:val="24"/>
          <w:szCs w:val="24"/>
        </w:rPr>
        <w:tab/>
        <w:t>OHIO CONSUMERS’ COUNSEL</w:t>
      </w:r>
    </w:p>
    <w:p w:rsidR="000C7989" w:rsidRPr="002C46EE" w:rsidP="000C7989">
      <w:pPr>
        <w:rPr>
          <w:sz w:val="24"/>
          <w:szCs w:val="24"/>
        </w:rPr>
      </w:pPr>
      <w:r w:rsidRPr="002C46EE">
        <w:rPr>
          <w:sz w:val="24"/>
          <w:szCs w:val="24"/>
        </w:rPr>
        <w:tab/>
      </w:r>
      <w:r w:rsidRPr="002C46EE">
        <w:rPr>
          <w:sz w:val="24"/>
          <w:szCs w:val="24"/>
        </w:rPr>
        <w:tab/>
      </w:r>
      <w:r w:rsidRPr="002C46EE">
        <w:rPr>
          <w:sz w:val="24"/>
          <w:szCs w:val="24"/>
        </w:rPr>
        <w:tab/>
      </w:r>
      <w:r w:rsidRPr="002C46EE">
        <w:rPr>
          <w:sz w:val="24"/>
          <w:szCs w:val="24"/>
        </w:rPr>
        <w:tab/>
      </w:r>
      <w:r w:rsidRPr="002C46EE">
        <w:rPr>
          <w:sz w:val="24"/>
          <w:szCs w:val="24"/>
        </w:rPr>
        <w:tab/>
      </w:r>
      <w:r w:rsidRPr="002C46EE">
        <w:rPr>
          <w:sz w:val="24"/>
          <w:szCs w:val="24"/>
        </w:rPr>
        <w:tab/>
      </w:r>
    </w:p>
    <w:p w:rsidR="000C7989" w:rsidRPr="002C46EE" w:rsidP="000C7989">
      <w:pPr>
        <w:rPr>
          <w:sz w:val="24"/>
          <w:szCs w:val="24"/>
        </w:rPr>
      </w:pPr>
      <w:r w:rsidRPr="002C46EE">
        <w:rPr>
          <w:sz w:val="24"/>
          <w:szCs w:val="24"/>
        </w:rPr>
        <w:tab/>
      </w:r>
      <w:r w:rsidRPr="002C46EE">
        <w:rPr>
          <w:sz w:val="24"/>
          <w:szCs w:val="24"/>
        </w:rPr>
        <w:tab/>
      </w:r>
      <w:r w:rsidRPr="002C46EE">
        <w:rPr>
          <w:sz w:val="24"/>
          <w:szCs w:val="24"/>
        </w:rPr>
        <w:tab/>
      </w:r>
      <w:r w:rsidRPr="002C46EE">
        <w:rPr>
          <w:sz w:val="24"/>
          <w:szCs w:val="24"/>
        </w:rPr>
        <w:tab/>
      </w:r>
      <w:r w:rsidRPr="002C46EE">
        <w:rPr>
          <w:sz w:val="24"/>
          <w:szCs w:val="24"/>
        </w:rPr>
        <w:tab/>
      </w:r>
      <w:r w:rsidRPr="002C46EE">
        <w:rPr>
          <w:sz w:val="24"/>
          <w:szCs w:val="24"/>
        </w:rPr>
        <w:tab/>
        <w:t>William J. Michael (0070921)</w:t>
      </w:r>
    </w:p>
    <w:p w:rsidR="000C7989" w:rsidRPr="002C46EE" w:rsidP="000C7989">
      <w:pPr>
        <w:rPr>
          <w:sz w:val="24"/>
          <w:szCs w:val="24"/>
        </w:rPr>
      </w:pPr>
      <w:r w:rsidRPr="002C46EE">
        <w:rPr>
          <w:sz w:val="24"/>
          <w:szCs w:val="24"/>
        </w:rPr>
        <w:tab/>
      </w:r>
      <w:r w:rsidRPr="002C46EE">
        <w:rPr>
          <w:sz w:val="24"/>
          <w:szCs w:val="24"/>
        </w:rPr>
        <w:tab/>
      </w:r>
      <w:r w:rsidRPr="002C46EE">
        <w:rPr>
          <w:sz w:val="24"/>
          <w:szCs w:val="24"/>
        </w:rPr>
        <w:tab/>
      </w:r>
      <w:r w:rsidRPr="002C46EE">
        <w:rPr>
          <w:sz w:val="24"/>
          <w:szCs w:val="24"/>
        </w:rPr>
        <w:tab/>
      </w:r>
      <w:r w:rsidRPr="002C46EE">
        <w:rPr>
          <w:sz w:val="24"/>
          <w:szCs w:val="24"/>
        </w:rPr>
        <w:tab/>
      </w:r>
      <w:r w:rsidRPr="002C46EE">
        <w:rPr>
          <w:sz w:val="24"/>
          <w:szCs w:val="24"/>
        </w:rPr>
        <w:tab/>
        <w:t>Counsel of Record</w:t>
      </w:r>
    </w:p>
    <w:p w:rsidR="000C7989" w:rsidRPr="002C46EE" w:rsidP="000C7989">
      <w:pPr>
        <w:rPr>
          <w:sz w:val="24"/>
          <w:szCs w:val="24"/>
        </w:rPr>
      </w:pPr>
      <w:r w:rsidRPr="002C46EE">
        <w:rPr>
          <w:sz w:val="24"/>
          <w:szCs w:val="24"/>
        </w:rPr>
        <w:tab/>
      </w:r>
      <w:r w:rsidRPr="002C46EE">
        <w:rPr>
          <w:sz w:val="24"/>
          <w:szCs w:val="24"/>
        </w:rPr>
        <w:tab/>
      </w:r>
      <w:r w:rsidRPr="002C46EE">
        <w:rPr>
          <w:sz w:val="24"/>
          <w:szCs w:val="24"/>
        </w:rPr>
        <w:tab/>
      </w:r>
      <w:r w:rsidRPr="002C46EE">
        <w:rPr>
          <w:sz w:val="24"/>
          <w:szCs w:val="24"/>
        </w:rPr>
        <w:tab/>
      </w:r>
      <w:r w:rsidRPr="002C46EE">
        <w:rPr>
          <w:sz w:val="24"/>
          <w:szCs w:val="24"/>
        </w:rPr>
        <w:tab/>
      </w:r>
      <w:r w:rsidRPr="002C46EE">
        <w:rPr>
          <w:sz w:val="24"/>
          <w:szCs w:val="24"/>
        </w:rPr>
        <w:tab/>
        <w:t>Kevin F. Moore (0089228)</w:t>
      </w:r>
    </w:p>
    <w:p w:rsidR="000C7989" w:rsidRPr="002C46EE" w:rsidP="000C7989">
      <w:pPr>
        <w:rPr>
          <w:sz w:val="24"/>
          <w:szCs w:val="24"/>
        </w:rPr>
      </w:pPr>
      <w:r w:rsidRPr="002C46EE">
        <w:rPr>
          <w:sz w:val="24"/>
          <w:szCs w:val="24"/>
        </w:rPr>
        <w:tab/>
      </w:r>
      <w:r w:rsidRPr="002C46EE">
        <w:rPr>
          <w:sz w:val="24"/>
          <w:szCs w:val="24"/>
        </w:rPr>
        <w:tab/>
      </w:r>
      <w:r w:rsidRPr="002C46EE">
        <w:rPr>
          <w:sz w:val="24"/>
          <w:szCs w:val="24"/>
        </w:rPr>
        <w:tab/>
      </w:r>
      <w:r w:rsidRPr="002C46EE">
        <w:rPr>
          <w:sz w:val="24"/>
          <w:szCs w:val="24"/>
        </w:rPr>
        <w:tab/>
      </w:r>
      <w:r w:rsidRPr="002C46EE">
        <w:rPr>
          <w:sz w:val="24"/>
          <w:szCs w:val="24"/>
        </w:rPr>
        <w:tab/>
      </w:r>
      <w:r w:rsidRPr="002C46EE">
        <w:rPr>
          <w:sz w:val="24"/>
          <w:szCs w:val="24"/>
        </w:rPr>
        <w:tab/>
        <w:t>Assistant Consumers’ Counsel</w:t>
      </w:r>
    </w:p>
    <w:p w:rsidR="000C7989" w:rsidRPr="002C46EE" w:rsidP="000C7989">
      <w:pPr>
        <w:rPr>
          <w:sz w:val="24"/>
          <w:szCs w:val="24"/>
        </w:rPr>
      </w:pPr>
    </w:p>
    <w:p w:rsidR="000C7989" w:rsidRPr="002C46EE" w:rsidP="000C7989">
      <w:pPr>
        <w:rPr>
          <w:b/>
          <w:sz w:val="24"/>
          <w:szCs w:val="24"/>
        </w:rPr>
      </w:pPr>
      <w:r w:rsidRPr="002C46EE">
        <w:rPr>
          <w:b/>
          <w:sz w:val="24"/>
          <w:szCs w:val="24"/>
        </w:rPr>
        <w:tab/>
      </w:r>
      <w:r w:rsidRPr="002C46EE">
        <w:rPr>
          <w:b/>
          <w:sz w:val="24"/>
          <w:szCs w:val="24"/>
        </w:rPr>
        <w:tab/>
      </w:r>
      <w:r w:rsidRPr="002C46EE">
        <w:rPr>
          <w:b/>
          <w:sz w:val="24"/>
          <w:szCs w:val="24"/>
        </w:rPr>
        <w:tab/>
      </w:r>
      <w:r w:rsidRPr="002C46EE">
        <w:rPr>
          <w:b/>
          <w:sz w:val="24"/>
          <w:szCs w:val="24"/>
        </w:rPr>
        <w:tab/>
      </w:r>
      <w:r w:rsidRPr="002C46EE">
        <w:rPr>
          <w:b/>
          <w:sz w:val="24"/>
          <w:szCs w:val="24"/>
        </w:rPr>
        <w:tab/>
      </w:r>
      <w:r w:rsidRPr="002C46EE">
        <w:rPr>
          <w:b/>
          <w:sz w:val="24"/>
          <w:szCs w:val="24"/>
        </w:rPr>
        <w:tab/>
        <w:t>Office of the Ohio Consumers’ Counsel</w:t>
      </w:r>
    </w:p>
    <w:p w:rsidR="000C7989" w:rsidRPr="002C46EE" w:rsidP="000C7989">
      <w:pPr>
        <w:rPr>
          <w:sz w:val="24"/>
          <w:szCs w:val="24"/>
        </w:rPr>
      </w:pPr>
      <w:r w:rsidRPr="002C46EE">
        <w:rPr>
          <w:sz w:val="24"/>
          <w:szCs w:val="24"/>
        </w:rPr>
        <w:tab/>
      </w:r>
      <w:r w:rsidRPr="002C46EE">
        <w:rPr>
          <w:sz w:val="24"/>
          <w:szCs w:val="24"/>
        </w:rPr>
        <w:tab/>
      </w:r>
      <w:r w:rsidRPr="002C46EE">
        <w:rPr>
          <w:sz w:val="24"/>
          <w:szCs w:val="24"/>
        </w:rPr>
        <w:tab/>
      </w:r>
      <w:r w:rsidRPr="002C46EE">
        <w:rPr>
          <w:sz w:val="24"/>
          <w:szCs w:val="24"/>
        </w:rPr>
        <w:tab/>
      </w:r>
      <w:r w:rsidRPr="002C46EE">
        <w:rPr>
          <w:sz w:val="24"/>
          <w:szCs w:val="24"/>
        </w:rPr>
        <w:tab/>
      </w:r>
      <w:r w:rsidRPr="002C46EE">
        <w:rPr>
          <w:sz w:val="24"/>
          <w:szCs w:val="24"/>
        </w:rPr>
        <w:tab/>
        <w:t>10 W. Broad Street, Suite 1800</w:t>
      </w:r>
    </w:p>
    <w:p w:rsidR="000C7989" w:rsidRPr="002C46EE" w:rsidP="000C7989">
      <w:pPr>
        <w:rPr>
          <w:sz w:val="24"/>
          <w:szCs w:val="24"/>
        </w:rPr>
      </w:pPr>
      <w:r w:rsidRPr="002C46EE">
        <w:rPr>
          <w:sz w:val="24"/>
          <w:szCs w:val="24"/>
        </w:rPr>
        <w:tab/>
      </w:r>
      <w:r w:rsidRPr="002C46EE">
        <w:rPr>
          <w:sz w:val="24"/>
          <w:szCs w:val="24"/>
        </w:rPr>
        <w:tab/>
      </w:r>
      <w:r w:rsidRPr="002C46EE">
        <w:rPr>
          <w:sz w:val="24"/>
          <w:szCs w:val="24"/>
        </w:rPr>
        <w:tab/>
      </w:r>
      <w:r w:rsidRPr="002C46EE">
        <w:rPr>
          <w:sz w:val="24"/>
          <w:szCs w:val="24"/>
        </w:rPr>
        <w:tab/>
      </w:r>
      <w:r w:rsidRPr="002C46EE">
        <w:rPr>
          <w:sz w:val="24"/>
          <w:szCs w:val="24"/>
        </w:rPr>
        <w:tab/>
      </w:r>
      <w:r w:rsidRPr="002C46EE">
        <w:rPr>
          <w:sz w:val="24"/>
          <w:szCs w:val="24"/>
        </w:rPr>
        <w:tab/>
        <w:t>Columbus, Ohio 43215-3485</w:t>
      </w:r>
    </w:p>
    <w:p w:rsidR="000C7989" w:rsidRPr="002C46EE" w:rsidP="000C7989">
      <w:pPr>
        <w:rPr>
          <w:sz w:val="24"/>
          <w:szCs w:val="24"/>
        </w:rPr>
      </w:pPr>
      <w:r w:rsidRPr="002C46EE">
        <w:rPr>
          <w:sz w:val="24"/>
          <w:szCs w:val="24"/>
        </w:rPr>
        <w:tab/>
      </w:r>
      <w:r w:rsidRPr="002C46EE">
        <w:rPr>
          <w:sz w:val="24"/>
          <w:szCs w:val="24"/>
        </w:rPr>
        <w:tab/>
      </w:r>
      <w:r w:rsidRPr="002C46EE">
        <w:rPr>
          <w:sz w:val="24"/>
          <w:szCs w:val="24"/>
        </w:rPr>
        <w:tab/>
      </w:r>
      <w:r w:rsidRPr="002C46EE">
        <w:rPr>
          <w:sz w:val="24"/>
          <w:szCs w:val="24"/>
        </w:rPr>
        <w:tab/>
      </w:r>
      <w:r w:rsidRPr="002C46EE">
        <w:rPr>
          <w:sz w:val="24"/>
          <w:szCs w:val="24"/>
        </w:rPr>
        <w:tab/>
      </w:r>
      <w:r w:rsidRPr="002C46EE">
        <w:rPr>
          <w:sz w:val="24"/>
          <w:szCs w:val="24"/>
        </w:rPr>
        <w:tab/>
        <w:t>Telephone [Michael]: 614-466-1291</w:t>
      </w:r>
    </w:p>
    <w:p w:rsidR="000C7989" w:rsidRPr="002C46EE" w:rsidP="000C7989">
      <w:pPr>
        <w:rPr>
          <w:sz w:val="24"/>
          <w:szCs w:val="24"/>
        </w:rPr>
      </w:pPr>
      <w:r w:rsidRPr="002C46EE">
        <w:rPr>
          <w:sz w:val="24"/>
          <w:szCs w:val="24"/>
        </w:rPr>
        <w:tab/>
      </w:r>
      <w:r w:rsidRPr="002C46EE">
        <w:rPr>
          <w:sz w:val="24"/>
          <w:szCs w:val="24"/>
        </w:rPr>
        <w:tab/>
      </w:r>
      <w:r w:rsidRPr="002C46EE">
        <w:rPr>
          <w:sz w:val="24"/>
          <w:szCs w:val="24"/>
        </w:rPr>
        <w:tab/>
      </w:r>
      <w:r w:rsidRPr="002C46EE">
        <w:rPr>
          <w:sz w:val="24"/>
          <w:szCs w:val="24"/>
        </w:rPr>
        <w:tab/>
      </w:r>
      <w:r w:rsidRPr="002C46EE">
        <w:rPr>
          <w:sz w:val="24"/>
          <w:szCs w:val="24"/>
        </w:rPr>
        <w:tab/>
      </w:r>
      <w:r w:rsidRPr="002C46EE">
        <w:rPr>
          <w:sz w:val="24"/>
          <w:szCs w:val="24"/>
        </w:rPr>
        <w:tab/>
        <w:t>Telephone [Moore]: 614-466-2965</w:t>
      </w:r>
    </w:p>
    <w:p w:rsidR="000C7989" w:rsidRPr="002C46EE" w:rsidP="000C7989">
      <w:pPr>
        <w:rPr>
          <w:sz w:val="24"/>
          <w:szCs w:val="24"/>
        </w:rPr>
      </w:pPr>
      <w:r w:rsidRPr="002C46EE">
        <w:rPr>
          <w:sz w:val="24"/>
          <w:szCs w:val="24"/>
        </w:rPr>
        <w:tab/>
      </w:r>
      <w:r w:rsidRPr="002C46EE">
        <w:rPr>
          <w:sz w:val="24"/>
          <w:szCs w:val="24"/>
        </w:rPr>
        <w:tab/>
      </w:r>
      <w:r w:rsidRPr="002C46EE">
        <w:rPr>
          <w:sz w:val="24"/>
          <w:szCs w:val="24"/>
        </w:rPr>
        <w:tab/>
      </w:r>
      <w:r w:rsidRPr="002C46EE">
        <w:rPr>
          <w:sz w:val="24"/>
          <w:szCs w:val="24"/>
        </w:rPr>
        <w:tab/>
      </w:r>
      <w:r w:rsidRPr="002C46EE">
        <w:rPr>
          <w:sz w:val="24"/>
          <w:szCs w:val="24"/>
        </w:rPr>
        <w:tab/>
      </w:r>
      <w:r w:rsidRPr="002C46EE">
        <w:rPr>
          <w:sz w:val="24"/>
          <w:szCs w:val="24"/>
        </w:rPr>
        <w:tab/>
      </w:r>
      <w:r w:rsidRPr="002C46EE">
        <w:rPr>
          <w:color w:val="0000FF"/>
          <w:sz w:val="24"/>
          <w:szCs w:val="24"/>
          <w:u w:val="single"/>
        </w:rPr>
        <w:t>William.michael@OCC.ohio.gov</w:t>
      </w:r>
    </w:p>
    <w:p w:rsidR="000C7989" w:rsidRPr="002C46EE" w:rsidP="000C7989">
      <w:pPr>
        <w:rPr>
          <w:color w:val="0000FF"/>
          <w:sz w:val="24"/>
          <w:szCs w:val="24"/>
          <w:u w:val="single"/>
        </w:rPr>
      </w:pPr>
      <w:r w:rsidRPr="002C46EE">
        <w:rPr>
          <w:sz w:val="24"/>
          <w:szCs w:val="24"/>
        </w:rPr>
        <w:tab/>
      </w:r>
      <w:r w:rsidRPr="002C46EE">
        <w:rPr>
          <w:sz w:val="24"/>
          <w:szCs w:val="24"/>
        </w:rPr>
        <w:tab/>
      </w:r>
      <w:r w:rsidRPr="002C46EE">
        <w:rPr>
          <w:sz w:val="24"/>
          <w:szCs w:val="24"/>
        </w:rPr>
        <w:tab/>
      </w:r>
      <w:r w:rsidRPr="002C46EE">
        <w:rPr>
          <w:sz w:val="24"/>
          <w:szCs w:val="24"/>
        </w:rPr>
        <w:tab/>
      </w:r>
      <w:r w:rsidRPr="002C46EE">
        <w:rPr>
          <w:sz w:val="24"/>
          <w:szCs w:val="24"/>
        </w:rPr>
        <w:tab/>
      </w:r>
      <w:r w:rsidRPr="002C46EE">
        <w:rPr>
          <w:sz w:val="24"/>
          <w:szCs w:val="24"/>
        </w:rPr>
        <w:tab/>
      </w:r>
      <w:r w:rsidRPr="002C46EE">
        <w:rPr>
          <w:color w:val="0000FF"/>
          <w:sz w:val="24"/>
          <w:szCs w:val="24"/>
          <w:u w:val="single"/>
        </w:rPr>
        <w:t>Kevin.moore@OCC.ohio.gov</w:t>
      </w:r>
    </w:p>
    <w:p w:rsidR="000C7989" w:rsidRPr="002C46EE" w:rsidP="000C7989">
      <w:pPr>
        <w:rPr>
          <w:sz w:val="24"/>
          <w:szCs w:val="24"/>
        </w:rPr>
      </w:pPr>
    </w:p>
    <w:p w:rsidR="008953D2" w:rsidRPr="002C46EE" w:rsidP="000C7989">
      <w:pPr>
        <w:rPr>
          <w:sz w:val="24"/>
          <w:szCs w:val="24"/>
        </w:rPr>
        <w:sectPr w:rsidSect="00574590">
          <w:headerReference w:type="even" r:id="rId5"/>
          <w:headerReference w:type="default" r:id="rId6"/>
          <w:footerReference w:type="even" r:id="rId7"/>
          <w:footerReference w:type="default" r:id="rId8"/>
          <w:headerReference w:type="first" r:id="rId9"/>
          <w:footerReference w:type="first" r:id="rId10"/>
          <w:pgSz w:w="12240" w:h="15840"/>
          <w:pgMar w:top="1440" w:right="1800" w:bottom="1440" w:left="1800" w:header="720" w:footer="720" w:gutter="0"/>
          <w:pgNumType w:start="2"/>
          <w:cols w:space="720"/>
          <w:docGrid w:linePitch="360"/>
        </w:sectPr>
      </w:pPr>
      <w:r w:rsidRPr="002C46EE">
        <w:rPr>
          <w:sz w:val="24"/>
          <w:szCs w:val="24"/>
        </w:rPr>
        <w:tab/>
      </w:r>
      <w:r w:rsidRPr="002C46EE">
        <w:rPr>
          <w:sz w:val="24"/>
          <w:szCs w:val="24"/>
        </w:rPr>
        <w:tab/>
      </w:r>
      <w:r w:rsidRPr="002C46EE">
        <w:rPr>
          <w:sz w:val="24"/>
          <w:szCs w:val="24"/>
        </w:rPr>
        <w:tab/>
      </w:r>
      <w:r w:rsidRPr="002C46EE">
        <w:rPr>
          <w:sz w:val="24"/>
          <w:szCs w:val="24"/>
        </w:rPr>
        <w:tab/>
      </w:r>
      <w:r w:rsidRPr="002C46EE">
        <w:rPr>
          <w:sz w:val="24"/>
          <w:szCs w:val="24"/>
        </w:rPr>
        <w:tab/>
      </w:r>
      <w:r w:rsidRPr="002C46EE">
        <w:rPr>
          <w:sz w:val="24"/>
          <w:szCs w:val="24"/>
        </w:rPr>
        <w:tab/>
        <w:t xml:space="preserve">(All attorneys will accept service via email) </w:t>
      </w:r>
    </w:p>
    <w:p w:rsidR="000C7989" w:rsidRPr="002C46EE" w:rsidP="000C7989">
      <w:pPr>
        <w:pStyle w:val="List"/>
        <w:ind w:left="0" w:firstLine="0"/>
        <w:jc w:val="center"/>
        <w:rPr>
          <w:b/>
          <w:szCs w:val="24"/>
        </w:rPr>
      </w:pPr>
      <w:r w:rsidRPr="002C46EE">
        <w:rPr>
          <w:b/>
          <w:szCs w:val="24"/>
        </w:rPr>
        <w:t>BEFORE</w:t>
      </w:r>
    </w:p>
    <w:p w:rsidR="000C7989" w:rsidRPr="002C46EE" w:rsidP="000C7989">
      <w:pPr>
        <w:pStyle w:val="List"/>
        <w:ind w:left="0" w:firstLine="0"/>
        <w:jc w:val="center"/>
        <w:rPr>
          <w:b/>
          <w:szCs w:val="24"/>
        </w:rPr>
      </w:pPr>
      <w:r w:rsidRPr="002C46EE">
        <w:rPr>
          <w:b/>
          <w:szCs w:val="24"/>
        </w:rPr>
        <w:t>THE PUBLIC UTILITIES COMMISSION OF OHIO</w:t>
      </w:r>
    </w:p>
    <w:p w:rsidR="000C7989" w:rsidRPr="002C46EE" w:rsidP="000C7989">
      <w:pPr>
        <w:pStyle w:val="BodyText"/>
        <w:jc w:val="center"/>
        <w:rPr>
          <w:b/>
          <w:sz w:val="24"/>
          <w:szCs w:val="24"/>
        </w:rPr>
      </w:pPr>
    </w:p>
    <w:tbl>
      <w:tblPr>
        <w:tblW w:w="9092" w:type="dxa"/>
        <w:tblInd w:w="0" w:type="dxa"/>
        <w:tblCellMar>
          <w:top w:w="0" w:type="dxa"/>
          <w:left w:w="108" w:type="dxa"/>
          <w:bottom w:w="0" w:type="dxa"/>
          <w:right w:w="108" w:type="dxa"/>
        </w:tblCellMar>
        <w:tblLook w:val="01E0"/>
      </w:tblPr>
      <w:tblGrid>
        <w:gridCol w:w="4332"/>
        <w:gridCol w:w="360"/>
        <w:gridCol w:w="4400"/>
      </w:tblGrid>
      <w:tr w:rsidTr="001C134B">
        <w:tblPrEx>
          <w:tblW w:w="9092" w:type="dxa"/>
          <w:tblInd w:w="0" w:type="dxa"/>
          <w:tblCellMar>
            <w:top w:w="0" w:type="dxa"/>
            <w:left w:w="108" w:type="dxa"/>
            <w:bottom w:w="0" w:type="dxa"/>
            <w:right w:w="108" w:type="dxa"/>
          </w:tblCellMar>
          <w:tblLook w:val="01E0"/>
        </w:tblPrEx>
        <w:trPr>
          <w:trHeight w:val="807"/>
        </w:trPr>
        <w:tc>
          <w:tcPr>
            <w:tcW w:w="4332" w:type="dxa"/>
            <w:shd w:val="clear" w:color="auto" w:fill="auto"/>
          </w:tcPr>
          <w:p w:rsidR="000C7989" w:rsidRPr="002C46EE" w:rsidP="001C134B">
            <w:pPr>
              <w:autoSpaceDE w:val="0"/>
              <w:autoSpaceDN w:val="0"/>
              <w:adjustRightInd w:val="0"/>
              <w:spacing w:after="0" w:line="240" w:lineRule="auto"/>
              <w:rPr>
                <w:rStyle w:val="DefaultParagraphFont"/>
                <w:rFonts w:ascii="Times New Roman" w:eastAsia="Times New Roman" w:hAnsi="Times New Roman" w:cs="Times New Roman"/>
                <w:sz w:val="24"/>
                <w:szCs w:val="24"/>
                <w:lang w:val="en-US" w:eastAsia="en-US" w:bidi="ar-SA"/>
              </w:rPr>
            </w:pPr>
            <w:r w:rsidRPr="002C46EE">
              <w:rPr>
                <w:rFonts w:ascii="Times New Roman" w:eastAsia="Times New Roman" w:hAnsi="Times New Roman" w:cs="Times New Roman"/>
                <w:sz w:val="24"/>
                <w:szCs w:val="24"/>
                <w:lang w:val="en-US" w:eastAsia="en-US" w:bidi="ar-SA"/>
              </w:rPr>
              <w:t xml:space="preserve">In the Matter of the Application of Ohio Power Company for Authority to  Establish a Standard Service Offer </w:t>
            </w:r>
          </w:p>
          <w:p w:rsidR="000C7989" w:rsidRPr="002C46EE" w:rsidP="001C134B">
            <w:pPr>
              <w:autoSpaceDE w:val="0"/>
              <w:autoSpaceDN w:val="0"/>
              <w:adjustRightInd w:val="0"/>
              <w:spacing w:after="0" w:line="240" w:lineRule="auto"/>
              <w:rPr>
                <w:rStyle w:val="DefaultParagraphFont"/>
                <w:rFonts w:ascii="Times New Roman" w:eastAsia="Times New Roman" w:hAnsi="Times New Roman" w:cs="Times New Roman"/>
                <w:sz w:val="24"/>
                <w:szCs w:val="24"/>
                <w:lang w:val="en-US" w:eastAsia="en-US" w:bidi="ar-SA"/>
              </w:rPr>
            </w:pPr>
            <w:r w:rsidRPr="002C46EE">
              <w:rPr>
                <w:rFonts w:ascii="Times New Roman" w:eastAsia="Times New Roman" w:hAnsi="Times New Roman" w:cs="Times New Roman"/>
                <w:sz w:val="24"/>
                <w:szCs w:val="24"/>
                <w:lang w:val="en-US" w:eastAsia="en-US" w:bidi="ar-SA"/>
              </w:rPr>
              <w:t xml:space="preserve">Pursuant to §4928.143, Revised Code, </w:t>
            </w:r>
          </w:p>
          <w:p w:rsidR="000C7989" w:rsidRPr="002C46EE" w:rsidP="001C134B">
            <w:pPr>
              <w:autoSpaceDE w:val="0"/>
              <w:autoSpaceDN w:val="0"/>
              <w:adjustRightInd w:val="0"/>
              <w:spacing w:after="0" w:line="240" w:lineRule="auto"/>
              <w:rPr>
                <w:rStyle w:val="DefaultParagraphFont"/>
                <w:rFonts w:ascii="Times New Roman" w:eastAsia="Times New Roman" w:hAnsi="Times New Roman" w:cs="Times New Roman"/>
                <w:sz w:val="24"/>
                <w:szCs w:val="24"/>
                <w:lang w:val="en-US" w:eastAsia="en-US" w:bidi="ar-SA"/>
              </w:rPr>
            </w:pPr>
            <w:r w:rsidRPr="002C46EE">
              <w:rPr>
                <w:rFonts w:ascii="Times New Roman" w:eastAsia="Times New Roman" w:hAnsi="Times New Roman" w:cs="Times New Roman"/>
                <w:sz w:val="24"/>
                <w:szCs w:val="24"/>
                <w:lang w:val="en-US" w:eastAsia="en-US" w:bidi="ar-SA"/>
              </w:rPr>
              <w:t xml:space="preserve">in the Form of an Electric Security Plan. </w:t>
            </w:r>
          </w:p>
          <w:p w:rsidR="000C7989" w:rsidRPr="002C46EE" w:rsidP="001C134B">
            <w:pPr>
              <w:autoSpaceDE w:val="0"/>
              <w:autoSpaceDN w:val="0"/>
              <w:adjustRightInd w:val="0"/>
              <w:spacing w:after="0" w:line="240" w:lineRule="auto"/>
              <w:rPr>
                <w:rStyle w:val="DefaultParagraphFont"/>
                <w:rFonts w:ascii="Times New Roman" w:eastAsia="Times New Roman" w:hAnsi="Times New Roman" w:cs="Times New Roman"/>
                <w:sz w:val="24"/>
                <w:szCs w:val="24"/>
                <w:lang w:val="en-US" w:eastAsia="en-US" w:bidi="ar-SA"/>
              </w:rPr>
            </w:pPr>
          </w:p>
          <w:p w:rsidR="000C7989" w:rsidRPr="002C46EE" w:rsidP="001C134B">
            <w:pPr>
              <w:autoSpaceDE w:val="0"/>
              <w:autoSpaceDN w:val="0"/>
              <w:adjustRightInd w:val="0"/>
              <w:spacing w:after="0" w:line="240" w:lineRule="auto"/>
              <w:rPr>
                <w:rStyle w:val="DefaultParagraphFont"/>
                <w:rFonts w:ascii="Times New Roman" w:eastAsia="Times New Roman" w:hAnsi="Times New Roman" w:cs="Times New Roman"/>
                <w:sz w:val="24"/>
                <w:szCs w:val="24"/>
                <w:lang w:val="en-US" w:eastAsia="en-US" w:bidi="ar-SA"/>
              </w:rPr>
            </w:pPr>
            <w:r w:rsidRPr="002C46EE">
              <w:rPr>
                <w:rFonts w:ascii="Times New Roman" w:eastAsia="Times New Roman" w:hAnsi="Times New Roman" w:cs="Times New Roman"/>
                <w:sz w:val="24"/>
                <w:szCs w:val="24"/>
                <w:lang w:val="en-US" w:eastAsia="en-US" w:bidi="ar-SA"/>
              </w:rPr>
              <w:t xml:space="preserve">In the Matter of the Application of Ohio Power Company for Approval of </w:t>
            </w:r>
          </w:p>
          <w:p w:rsidR="000C7989" w:rsidRPr="002C46EE" w:rsidP="001C134B">
            <w:pPr>
              <w:spacing w:after="0" w:line="240" w:lineRule="auto"/>
              <w:rPr>
                <w:rStyle w:val="DefaultParagraphFont"/>
                <w:rFonts w:ascii="Times New Roman" w:eastAsia="Times New Roman" w:hAnsi="Times New Roman" w:cs="Times New Roman"/>
                <w:sz w:val="24"/>
                <w:szCs w:val="24"/>
                <w:lang w:val="en-US" w:eastAsia="en-US" w:bidi="ar-SA"/>
              </w:rPr>
            </w:pPr>
            <w:r w:rsidRPr="002C46EE">
              <w:rPr>
                <w:rFonts w:ascii="Times New Roman" w:eastAsia="Times New Roman" w:hAnsi="Times New Roman" w:cs="Times New Roman"/>
                <w:sz w:val="24"/>
                <w:szCs w:val="24"/>
                <w:lang w:val="en-US" w:eastAsia="en-US" w:bidi="ar-SA"/>
              </w:rPr>
              <w:t xml:space="preserve">Certain Accounting Authority. </w:t>
            </w:r>
          </w:p>
          <w:p w:rsidR="000C7989" w:rsidRPr="002C46EE" w:rsidP="001C134B">
            <w:pPr>
              <w:spacing w:after="0" w:line="240" w:lineRule="auto"/>
              <w:rPr>
                <w:rStyle w:val="DefaultParagraphFont"/>
                <w:rFonts w:ascii="Times New Roman" w:eastAsia="Times New Roman" w:hAnsi="Times New Roman" w:cs="Times New Roman"/>
                <w:sz w:val="24"/>
                <w:szCs w:val="24"/>
                <w:lang w:val="en-US" w:eastAsia="en-US" w:bidi="ar-SA"/>
              </w:rPr>
            </w:pPr>
          </w:p>
        </w:tc>
        <w:tc>
          <w:tcPr>
            <w:tcW w:w="360" w:type="dxa"/>
            <w:shd w:val="clear" w:color="auto" w:fill="auto"/>
          </w:tcPr>
          <w:p w:rsidR="000C7989" w:rsidRPr="002C46EE" w:rsidP="001C134B">
            <w:pPr>
              <w:spacing w:after="0" w:line="240" w:lineRule="auto"/>
              <w:rPr>
                <w:rStyle w:val="DefaultParagraphFont"/>
                <w:rFonts w:ascii="Times New Roman" w:eastAsia="Times New Roman" w:hAnsi="Times New Roman" w:cs="Times New Roman"/>
                <w:sz w:val="24"/>
                <w:szCs w:val="24"/>
                <w:lang w:val="en-US" w:eastAsia="en-US" w:bidi="ar-SA"/>
              </w:rPr>
            </w:pPr>
            <w:r w:rsidRPr="002C46EE">
              <w:rPr>
                <w:rFonts w:ascii="Times New Roman" w:eastAsia="Times New Roman" w:hAnsi="Times New Roman" w:cs="Times New Roman"/>
                <w:sz w:val="24"/>
                <w:szCs w:val="24"/>
                <w:lang w:val="en-US" w:eastAsia="en-US" w:bidi="ar-SA"/>
              </w:rPr>
              <w:t>)</w:t>
            </w:r>
          </w:p>
          <w:p w:rsidR="000C7989" w:rsidRPr="002C46EE" w:rsidP="001C134B">
            <w:pPr>
              <w:spacing w:after="0" w:line="240" w:lineRule="auto"/>
              <w:rPr>
                <w:rStyle w:val="DefaultParagraphFont"/>
                <w:rFonts w:ascii="Times New Roman" w:eastAsia="Times New Roman" w:hAnsi="Times New Roman" w:cs="Times New Roman"/>
                <w:sz w:val="24"/>
                <w:szCs w:val="24"/>
                <w:lang w:val="en-US" w:eastAsia="en-US" w:bidi="ar-SA"/>
              </w:rPr>
            </w:pPr>
            <w:r w:rsidRPr="002C46EE">
              <w:rPr>
                <w:rFonts w:ascii="Times New Roman" w:eastAsia="Times New Roman" w:hAnsi="Times New Roman" w:cs="Times New Roman"/>
                <w:sz w:val="24"/>
                <w:szCs w:val="24"/>
                <w:lang w:val="en-US" w:eastAsia="en-US" w:bidi="ar-SA"/>
              </w:rPr>
              <w:t>)</w:t>
            </w:r>
          </w:p>
          <w:p w:rsidR="000C7989" w:rsidRPr="002C46EE" w:rsidP="001C134B">
            <w:pPr>
              <w:spacing w:after="0" w:line="240" w:lineRule="auto"/>
              <w:rPr>
                <w:rStyle w:val="DefaultParagraphFont"/>
                <w:rFonts w:ascii="Times New Roman" w:eastAsia="Times New Roman" w:hAnsi="Times New Roman" w:cs="Times New Roman"/>
                <w:sz w:val="24"/>
                <w:szCs w:val="24"/>
                <w:lang w:val="en-US" w:eastAsia="en-US" w:bidi="ar-SA"/>
              </w:rPr>
            </w:pPr>
            <w:r w:rsidRPr="002C46EE">
              <w:rPr>
                <w:rFonts w:ascii="Times New Roman" w:eastAsia="Times New Roman" w:hAnsi="Times New Roman" w:cs="Times New Roman"/>
                <w:sz w:val="24"/>
                <w:szCs w:val="24"/>
                <w:lang w:val="en-US" w:eastAsia="en-US" w:bidi="ar-SA"/>
              </w:rPr>
              <w:t>)</w:t>
            </w:r>
          </w:p>
          <w:p w:rsidR="000C7989" w:rsidRPr="002C46EE" w:rsidP="001C134B">
            <w:pPr>
              <w:spacing w:after="0" w:line="240" w:lineRule="auto"/>
              <w:rPr>
                <w:rStyle w:val="DefaultParagraphFont"/>
                <w:rFonts w:ascii="Times New Roman" w:eastAsia="Times New Roman" w:hAnsi="Times New Roman" w:cs="Times New Roman"/>
                <w:sz w:val="24"/>
                <w:szCs w:val="24"/>
                <w:lang w:val="en-US" w:eastAsia="en-US" w:bidi="ar-SA"/>
              </w:rPr>
            </w:pPr>
            <w:r w:rsidRPr="002C46EE">
              <w:rPr>
                <w:rFonts w:ascii="Times New Roman" w:eastAsia="Times New Roman" w:hAnsi="Times New Roman" w:cs="Times New Roman"/>
                <w:sz w:val="24"/>
                <w:szCs w:val="24"/>
                <w:lang w:val="en-US" w:eastAsia="en-US" w:bidi="ar-SA"/>
              </w:rPr>
              <w:t>)</w:t>
            </w:r>
          </w:p>
          <w:p w:rsidR="000C7989" w:rsidRPr="002C46EE" w:rsidP="001C134B">
            <w:pPr>
              <w:spacing w:after="0" w:line="240" w:lineRule="auto"/>
              <w:rPr>
                <w:rStyle w:val="DefaultParagraphFont"/>
                <w:rFonts w:ascii="Times New Roman" w:eastAsia="Times New Roman" w:hAnsi="Times New Roman" w:cs="Times New Roman"/>
                <w:sz w:val="24"/>
                <w:szCs w:val="24"/>
                <w:lang w:val="en-US" w:eastAsia="en-US" w:bidi="ar-SA"/>
              </w:rPr>
            </w:pPr>
            <w:r w:rsidRPr="002C46EE">
              <w:rPr>
                <w:rFonts w:ascii="Times New Roman" w:eastAsia="Times New Roman" w:hAnsi="Times New Roman" w:cs="Times New Roman"/>
                <w:sz w:val="24"/>
                <w:szCs w:val="24"/>
                <w:lang w:val="en-US" w:eastAsia="en-US" w:bidi="ar-SA"/>
              </w:rPr>
              <w:t>)</w:t>
            </w:r>
          </w:p>
          <w:p w:rsidR="000C7989" w:rsidRPr="002C46EE" w:rsidP="001C134B">
            <w:pPr>
              <w:spacing w:after="0" w:line="240" w:lineRule="auto"/>
              <w:rPr>
                <w:rStyle w:val="DefaultParagraphFont"/>
                <w:rFonts w:ascii="Times New Roman" w:eastAsia="Times New Roman" w:hAnsi="Times New Roman" w:cs="Times New Roman"/>
                <w:sz w:val="24"/>
                <w:szCs w:val="24"/>
                <w:lang w:val="en-US" w:eastAsia="en-US" w:bidi="ar-SA"/>
              </w:rPr>
            </w:pPr>
          </w:p>
          <w:p w:rsidR="000C7989" w:rsidRPr="002C46EE" w:rsidP="001C134B">
            <w:pPr>
              <w:spacing w:after="0" w:line="240" w:lineRule="auto"/>
              <w:rPr>
                <w:rStyle w:val="DefaultParagraphFont"/>
                <w:rFonts w:ascii="Times New Roman" w:eastAsia="Times New Roman" w:hAnsi="Times New Roman" w:cs="Times New Roman"/>
                <w:sz w:val="24"/>
                <w:szCs w:val="24"/>
                <w:lang w:val="en-US" w:eastAsia="en-US" w:bidi="ar-SA"/>
              </w:rPr>
            </w:pPr>
            <w:r w:rsidRPr="002C46EE">
              <w:rPr>
                <w:rFonts w:ascii="Times New Roman" w:eastAsia="Times New Roman" w:hAnsi="Times New Roman" w:cs="Times New Roman"/>
                <w:sz w:val="24"/>
                <w:szCs w:val="24"/>
                <w:lang w:val="en-US" w:eastAsia="en-US" w:bidi="ar-SA"/>
              </w:rPr>
              <w:t>)</w:t>
            </w:r>
          </w:p>
          <w:p w:rsidR="000C7989" w:rsidRPr="002C46EE" w:rsidP="001C134B">
            <w:pPr>
              <w:spacing w:after="0" w:line="240" w:lineRule="auto"/>
              <w:rPr>
                <w:rStyle w:val="DefaultParagraphFont"/>
                <w:rFonts w:ascii="Times New Roman" w:eastAsia="Times New Roman" w:hAnsi="Times New Roman" w:cs="Times New Roman"/>
                <w:sz w:val="24"/>
                <w:szCs w:val="24"/>
                <w:lang w:val="en-US" w:eastAsia="en-US" w:bidi="ar-SA"/>
              </w:rPr>
            </w:pPr>
            <w:r w:rsidRPr="002C46EE">
              <w:rPr>
                <w:rFonts w:ascii="Times New Roman" w:eastAsia="Times New Roman" w:hAnsi="Times New Roman" w:cs="Times New Roman"/>
                <w:sz w:val="24"/>
                <w:szCs w:val="24"/>
                <w:lang w:val="en-US" w:eastAsia="en-US" w:bidi="ar-SA"/>
              </w:rPr>
              <w:t>)</w:t>
            </w:r>
          </w:p>
          <w:p w:rsidR="000C7989" w:rsidRPr="002C46EE" w:rsidP="001C134B">
            <w:pPr>
              <w:spacing w:after="0" w:line="240" w:lineRule="auto"/>
              <w:rPr>
                <w:rStyle w:val="DefaultParagraphFont"/>
                <w:rFonts w:ascii="Times New Roman" w:eastAsia="Times New Roman" w:hAnsi="Times New Roman" w:cs="Times New Roman"/>
                <w:sz w:val="24"/>
                <w:szCs w:val="24"/>
                <w:lang w:val="en-US" w:eastAsia="en-US" w:bidi="ar-SA"/>
              </w:rPr>
            </w:pPr>
            <w:r w:rsidRPr="002C46EE">
              <w:rPr>
                <w:rFonts w:ascii="Times New Roman" w:eastAsia="Times New Roman" w:hAnsi="Times New Roman" w:cs="Times New Roman"/>
                <w:sz w:val="24"/>
                <w:szCs w:val="24"/>
                <w:lang w:val="en-US" w:eastAsia="en-US" w:bidi="ar-SA"/>
              </w:rPr>
              <w:t>)</w:t>
            </w:r>
          </w:p>
          <w:p w:rsidR="000C7989" w:rsidRPr="002C46EE" w:rsidP="001C134B">
            <w:pPr>
              <w:spacing w:after="0" w:line="240" w:lineRule="auto"/>
              <w:rPr>
                <w:rStyle w:val="DefaultParagraphFont"/>
                <w:rFonts w:ascii="Times New Roman" w:eastAsia="Times New Roman" w:hAnsi="Times New Roman" w:cs="Times New Roman"/>
                <w:sz w:val="24"/>
                <w:szCs w:val="24"/>
                <w:lang w:val="en-US" w:eastAsia="en-US" w:bidi="ar-SA"/>
              </w:rPr>
            </w:pPr>
          </w:p>
        </w:tc>
        <w:tc>
          <w:tcPr>
            <w:tcW w:w="4400" w:type="dxa"/>
            <w:shd w:val="clear" w:color="auto" w:fill="auto"/>
          </w:tcPr>
          <w:p w:rsidR="000C7989" w:rsidRPr="002C46EE" w:rsidP="001C134B">
            <w:pPr>
              <w:spacing w:after="0" w:line="240" w:lineRule="auto"/>
              <w:rPr>
                <w:rStyle w:val="DefaultParagraphFont"/>
                <w:rFonts w:ascii="Times New Roman" w:eastAsia="Times New Roman" w:hAnsi="Times New Roman" w:cs="Times New Roman"/>
                <w:sz w:val="24"/>
                <w:szCs w:val="24"/>
                <w:lang w:val="en-US" w:eastAsia="en-US" w:bidi="ar-SA"/>
              </w:rPr>
            </w:pPr>
          </w:p>
          <w:p w:rsidR="000C7989" w:rsidRPr="002C46EE" w:rsidP="001C134B">
            <w:pPr>
              <w:spacing w:after="0" w:line="240" w:lineRule="auto"/>
              <w:rPr>
                <w:rStyle w:val="DefaultParagraphFont"/>
                <w:rFonts w:ascii="Times New Roman" w:eastAsia="Times New Roman" w:hAnsi="Times New Roman" w:cs="Times New Roman"/>
                <w:sz w:val="24"/>
                <w:szCs w:val="24"/>
                <w:lang w:val="en-US" w:eastAsia="en-US" w:bidi="ar-SA"/>
              </w:rPr>
            </w:pPr>
            <w:r w:rsidRPr="002C46EE">
              <w:rPr>
                <w:rFonts w:ascii="Times New Roman" w:eastAsia="Times New Roman" w:hAnsi="Times New Roman" w:cs="Times New Roman"/>
                <w:sz w:val="24"/>
                <w:szCs w:val="24"/>
                <w:lang w:val="en-US" w:eastAsia="en-US" w:bidi="ar-SA"/>
              </w:rPr>
              <w:t>Case No. 13-2385-EL-SSO</w:t>
            </w:r>
          </w:p>
          <w:p w:rsidR="000C7989" w:rsidRPr="002C46EE" w:rsidP="001C134B">
            <w:pPr>
              <w:spacing w:after="0" w:line="240" w:lineRule="auto"/>
              <w:rPr>
                <w:rStyle w:val="DefaultParagraphFont"/>
                <w:rFonts w:ascii="Times New Roman" w:eastAsia="Times New Roman" w:hAnsi="Times New Roman" w:cs="Times New Roman"/>
                <w:sz w:val="24"/>
                <w:szCs w:val="24"/>
                <w:lang w:val="en-US" w:eastAsia="en-US" w:bidi="ar-SA"/>
              </w:rPr>
            </w:pPr>
          </w:p>
          <w:p w:rsidR="000C7989" w:rsidRPr="002C46EE" w:rsidP="001C134B">
            <w:pPr>
              <w:spacing w:after="0" w:line="240" w:lineRule="auto"/>
              <w:rPr>
                <w:rStyle w:val="DefaultParagraphFont"/>
                <w:rFonts w:ascii="Times New Roman" w:eastAsia="Times New Roman" w:hAnsi="Times New Roman" w:cs="Times New Roman"/>
                <w:sz w:val="24"/>
                <w:szCs w:val="24"/>
                <w:lang w:val="en-US" w:eastAsia="en-US" w:bidi="ar-SA"/>
              </w:rPr>
            </w:pPr>
          </w:p>
          <w:p w:rsidR="000C7989" w:rsidRPr="002C46EE" w:rsidP="001C134B">
            <w:pPr>
              <w:spacing w:after="0" w:line="240" w:lineRule="auto"/>
              <w:rPr>
                <w:rStyle w:val="DefaultParagraphFont"/>
                <w:rFonts w:ascii="Times New Roman" w:eastAsia="Times New Roman" w:hAnsi="Times New Roman" w:cs="Times New Roman"/>
                <w:sz w:val="24"/>
                <w:szCs w:val="24"/>
                <w:lang w:val="en-US" w:eastAsia="en-US" w:bidi="ar-SA"/>
              </w:rPr>
            </w:pPr>
          </w:p>
          <w:p w:rsidR="000C7989" w:rsidRPr="002C46EE" w:rsidP="001C134B">
            <w:pPr>
              <w:spacing w:after="0" w:line="240" w:lineRule="auto"/>
              <w:rPr>
                <w:rStyle w:val="DefaultParagraphFont"/>
                <w:rFonts w:ascii="Times New Roman" w:eastAsia="Times New Roman" w:hAnsi="Times New Roman" w:cs="Times New Roman"/>
                <w:sz w:val="24"/>
                <w:szCs w:val="24"/>
                <w:lang w:val="en-US" w:eastAsia="en-US" w:bidi="ar-SA"/>
              </w:rPr>
            </w:pPr>
          </w:p>
          <w:p w:rsidR="000C7989" w:rsidRPr="002C46EE" w:rsidP="001C134B">
            <w:pPr>
              <w:spacing w:after="0" w:line="240" w:lineRule="auto"/>
              <w:rPr>
                <w:rStyle w:val="DefaultParagraphFont"/>
                <w:rFonts w:ascii="Times New Roman" w:eastAsia="Times New Roman" w:hAnsi="Times New Roman" w:cs="Times New Roman"/>
                <w:sz w:val="24"/>
                <w:szCs w:val="24"/>
                <w:lang w:val="en-US" w:eastAsia="en-US" w:bidi="ar-SA"/>
              </w:rPr>
            </w:pPr>
            <w:r w:rsidRPr="002C46EE">
              <w:rPr>
                <w:rFonts w:ascii="Times New Roman" w:eastAsia="Times New Roman" w:hAnsi="Times New Roman" w:cs="Times New Roman"/>
                <w:sz w:val="24"/>
                <w:szCs w:val="24"/>
                <w:lang w:val="en-US" w:eastAsia="en-US" w:bidi="ar-SA"/>
              </w:rPr>
              <w:t>Case No. 13-2386-EL-AAM</w:t>
            </w:r>
          </w:p>
        </w:tc>
      </w:tr>
    </w:tbl>
    <w:p w:rsidR="000C7989" w:rsidRPr="002C46EE" w:rsidP="00B07F4F">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 w:val="24"/>
          <w:szCs w:val="24"/>
        </w:rPr>
      </w:pPr>
    </w:p>
    <w:p w:rsidR="00B07F4F" w:rsidRPr="002C46EE" w:rsidP="00B07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 w:val="24"/>
          <w:szCs w:val="24"/>
        </w:rPr>
      </w:pPr>
    </w:p>
    <w:p w:rsidR="000C7989" w:rsidRPr="002C46EE" w:rsidP="00B07F4F">
      <w:pPr>
        <w:jc w:val="center"/>
        <w:rPr>
          <w:b/>
          <w:sz w:val="24"/>
          <w:szCs w:val="24"/>
        </w:rPr>
      </w:pPr>
      <w:r>
        <w:rPr>
          <w:b/>
          <w:sz w:val="24"/>
          <w:szCs w:val="24"/>
        </w:rPr>
        <w:t xml:space="preserve">THIRD </w:t>
      </w:r>
      <w:r w:rsidRPr="002C46EE">
        <w:rPr>
          <w:b/>
          <w:sz w:val="24"/>
          <w:szCs w:val="24"/>
        </w:rPr>
        <w:t>APPLICATION FOR REHEARING</w:t>
      </w:r>
    </w:p>
    <w:p w:rsidR="000C7989" w:rsidRPr="002C46EE" w:rsidP="00B07F4F">
      <w:pPr>
        <w:jc w:val="center"/>
        <w:rPr>
          <w:b/>
          <w:sz w:val="24"/>
          <w:szCs w:val="24"/>
        </w:rPr>
      </w:pPr>
      <w:r w:rsidRPr="002C46EE">
        <w:rPr>
          <w:b/>
          <w:sz w:val="24"/>
          <w:szCs w:val="24"/>
        </w:rPr>
        <w:t>BY</w:t>
      </w:r>
    </w:p>
    <w:p w:rsidR="000C7989" w:rsidP="00B07F4F">
      <w:pPr>
        <w:pBdr>
          <w:bottom w:val="single" w:sz="12" w:space="1" w:color="auto"/>
        </w:pBdr>
        <w:jc w:val="center"/>
        <w:rPr>
          <w:b/>
          <w:sz w:val="24"/>
          <w:szCs w:val="24"/>
        </w:rPr>
      </w:pPr>
      <w:r w:rsidRPr="002C46EE">
        <w:rPr>
          <w:b/>
          <w:sz w:val="24"/>
          <w:szCs w:val="24"/>
        </w:rPr>
        <w:t>THE OFFICE OF THE OHIO CONSUMERS’ COUNSEL</w:t>
      </w:r>
    </w:p>
    <w:p w:rsidR="008D7F23" w:rsidP="00B07F4F">
      <w:pPr>
        <w:pBdr>
          <w:bottom w:val="single" w:sz="12" w:space="1" w:color="auto"/>
        </w:pBdr>
        <w:jc w:val="center"/>
        <w:rPr>
          <w:b/>
          <w:sz w:val="24"/>
          <w:szCs w:val="24"/>
        </w:rPr>
      </w:pPr>
    </w:p>
    <w:p w:rsidR="008D7F23" w:rsidRPr="002C46EE" w:rsidP="008D7F23">
      <w:pPr>
        <w:rPr>
          <w:b/>
          <w:sz w:val="24"/>
          <w:szCs w:val="24"/>
        </w:rPr>
      </w:pPr>
    </w:p>
    <w:p w:rsidR="00F05F5F" w:rsidP="008D7F23">
      <w:pPr>
        <w:widowControl w:val="0"/>
        <w:spacing w:line="480" w:lineRule="auto"/>
        <w:ind w:firstLine="720"/>
        <w:rPr>
          <w:spacing w:val="-6"/>
          <w:sz w:val="24"/>
          <w:szCs w:val="24"/>
        </w:rPr>
      </w:pPr>
      <w:r w:rsidRPr="002C46EE">
        <w:rPr>
          <w:sz w:val="24"/>
          <w:szCs w:val="24"/>
        </w:rPr>
        <w:t>The</w:t>
      </w:r>
      <w:r w:rsidRPr="002C46EE">
        <w:rPr>
          <w:spacing w:val="-8"/>
          <w:sz w:val="24"/>
          <w:szCs w:val="24"/>
        </w:rPr>
        <w:t xml:space="preserve"> </w:t>
      </w:r>
      <w:r w:rsidRPr="002C46EE">
        <w:rPr>
          <w:spacing w:val="-1"/>
          <w:sz w:val="24"/>
          <w:szCs w:val="24"/>
        </w:rPr>
        <w:t>Office</w:t>
      </w:r>
      <w:r w:rsidRPr="002C46EE">
        <w:rPr>
          <w:spacing w:val="-7"/>
          <w:sz w:val="24"/>
          <w:szCs w:val="24"/>
        </w:rPr>
        <w:t xml:space="preserve"> </w:t>
      </w:r>
      <w:r w:rsidRPr="002C46EE">
        <w:rPr>
          <w:sz w:val="24"/>
          <w:szCs w:val="24"/>
        </w:rPr>
        <w:t>of</w:t>
      </w:r>
      <w:r w:rsidRPr="002C46EE">
        <w:rPr>
          <w:spacing w:val="-7"/>
          <w:sz w:val="24"/>
          <w:szCs w:val="24"/>
        </w:rPr>
        <w:t xml:space="preserve"> </w:t>
      </w:r>
      <w:r w:rsidRPr="002C46EE">
        <w:rPr>
          <w:sz w:val="24"/>
          <w:szCs w:val="24"/>
        </w:rPr>
        <w:t>the</w:t>
      </w:r>
      <w:r w:rsidRPr="002C46EE">
        <w:rPr>
          <w:spacing w:val="-5"/>
          <w:sz w:val="24"/>
          <w:szCs w:val="24"/>
        </w:rPr>
        <w:t xml:space="preserve"> </w:t>
      </w:r>
      <w:r w:rsidRPr="002C46EE">
        <w:rPr>
          <w:spacing w:val="-1"/>
          <w:sz w:val="24"/>
          <w:szCs w:val="24"/>
        </w:rPr>
        <w:t>Ohio</w:t>
      </w:r>
      <w:r w:rsidRPr="002C46EE">
        <w:rPr>
          <w:spacing w:val="-7"/>
          <w:sz w:val="24"/>
          <w:szCs w:val="24"/>
        </w:rPr>
        <w:t xml:space="preserve"> </w:t>
      </w:r>
      <w:r w:rsidRPr="002C46EE">
        <w:rPr>
          <w:spacing w:val="-1"/>
          <w:sz w:val="24"/>
          <w:szCs w:val="24"/>
        </w:rPr>
        <w:t>Consumers’</w:t>
      </w:r>
      <w:r w:rsidRPr="002C46EE">
        <w:rPr>
          <w:spacing w:val="-7"/>
          <w:sz w:val="24"/>
          <w:szCs w:val="24"/>
        </w:rPr>
        <w:t xml:space="preserve"> </w:t>
      </w:r>
      <w:r w:rsidRPr="002C46EE">
        <w:rPr>
          <w:sz w:val="24"/>
          <w:szCs w:val="24"/>
        </w:rPr>
        <w:t>Counsel</w:t>
      </w:r>
      <w:r w:rsidRPr="002C46EE">
        <w:rPr>
          <w:spacing w:val="-6"/>
          <w:sz w:val="24"/>
          <w:szCs w:val="24"/>
        </w:rPr>
        <w:t xml:space="preserve"> </w:t>
      </w:r>
      <w:r w:rsidRPr="002C46EE">
        <w:rPr>
          <w:sz w:val="24"/>
          <w:szCs w:val="24"/>
        </w:rPr>
        <w:t>(“OCC”)</w:t>
      </w:r>
      <w:r w:rsidRPr="002C46EE">
        <w:rPr>
          <w:spacing w:val="-7"/>
          <w:sz w:val="24"/>
          <w:szCs w:val="24"/>
        </w:rPr>
        <w:t xml:space="preserve"> </w:t>
      </w:r>
      <w:r w:rsidRPr="002C46EE">
        <w:rPr>
          <w:spacing w:val="-1"/>
          <w:sz w:val="24"/>
          <w:szCs w:val="24"/>
        </w:rPr>
        <w:t>file</w:t>
      </w:r>
      <w:r w:rsidRPr="002C46EE">
        <w:rPr>
          <w:spacing w:val="-7"/>
          <w:sz w:val="24"/>
          <w:szCs w:val="24"/>
        </w:rPr>
        <w:t xml:space="preserve"> </w:t>
      </w:r>
      <w:r w:rsidRPr="002C46EE">
        <w:rPr>
          <w:sz w:val="24"/>
          <w:szCs w:val="24"/>
        </w:rPr>
        <w:t>this</w:t>
      </w:r>
      <w:r w:rsidRPr="002C46EE">
        <w:rPr>
          <w:spacing w:val="-6"/>
          <w:sz w:val="24"/>
          <w:szCs w:val="24"/>
        </w:rPr>
        <w:t xml:space="preserve"> </w:t>
      </w:r>
      <w:r w:rsidRPr="002C46EE">
        <w:rPr>
          <w:spacing w:val="-1"/>
          <w:sz w:val="24"/>
          <w:szCs w:val="24"/>
        </w:rPr>
        <w:t>application</w:t>
      </w:r>
      <w:r w:rsidRPr="002C46EE">
        <w:rPr>
          <w:spacing w:val="-6"/>
          <w:sz w:val="24"/>
          <w:szCs w:val="24"/>
        </w:rPr>
        <w:t xml:space="preserve"> </w:t>
      </w:r>
      <w:r w:rsidRPr="002C46EE">
        <w:rPr>
          <w:spacing w:val="-1"/>
          <w:sz w:val="24"/>
          <w:szCs w:val="24"/>
        </w:rPr>
        <w:t>for</w:t>
      </w:r>
      <w:r w:rsidRPr="002C46EE">
        <w:rPr>
          <w:spacing w:val="59"/>
          <w:w w:val="99"/>
          <w:sz w:val="24"/>
          <w:szCs w:val="24"/>
        </w:rPr>
        <w:t xml:space="preserve"> </w:t>
      </w:r>
      <w:r w:rsidRPr="002C46EE">
        <w:rPr>
          <w:spacing w:val="-1"/>
          <w:sz w:val="24"/>
          <w:szCs w:val="24"/>
        </w:rPr>
        <w:t>rehearing</w:t>
      </w:r>
      <w:r>
        <w:rPr>
          <w:rStyle w:val="FootnoteReference"/>
          <w:spacing w:val="-1"/>
          <w:sz w:val="24"/>
          <w:szCs w:val="24"/>
        </w:rPr>
        <w:footnoteReference w:id="2"/>
      </w:r>
      <w:r w:rsidRPr="002C46EE">
        <w:rPr>
          <w:spacing w:val="14"/>
          <w:position w:val="11"/>
          <w:sz w:val="24"/>
          <w:szCs w:val="24"/>
        </w:rPr>
        <w:t xml:space="preserve"> </w:t>
      </w:r>
      <w:r w:rsidRPr="002C46EE">
        <w:rPr>
          <w:sz w:val="24"/>
          <w:szCs w:val="24"/>
        </w:rPr>
        <w:t>to</w:t>
      </w:r>
      <w:r w:rsidRPr="002C46EE">
        <w:rPr>
          <w:spacing w:val="-6"/>
          <w:sz w:val="24"/>
          <w:szCs w:val="24"/>
        </w:rPr>
        <w:t xml:space="preserve"> </w:t>
      </w:r>
      <w:r w:rsidRPr="002C46EE">
        <w:rPr>
          <w:spacing w:val="-1"/>
          <w:sz w:val="24"/>
          <w:szCs w:val="24"/>
        </w:rPr>
        <w:t>protect</w:t>
      </w:r>
      <w:r w:rsidRPr="002C46EE">
        <w:rPr>
          <w:spacing w:val="-7"/>
          <w:sz w:val="24"/>
          <w:szCs w:val="24"/>
        </w:rPr>
        <w:t xml:space="preserve"> </w:t>
      </w:r>
      <w:r w:rsidRPr="002C46EE">
        <w:rPr>
          <w:sz w:val="24"/>
          <w:szCs w:val="24"/>
        </w:rPr>
        <w:t>1.2</w:t>
      </w:r>
      <w:r w:rsidRPr="002C46EE">
        <w:rPr>
          <w:spacing w:val="-6"/>
          <w:sz w:val="24"/>
          <w:szCs w:val="24"/>
        </w:rPr>
        <w:t xml:space="preserve"> </w:t>
      </w:r>
      <w:r w:rsidRPr="002C46EE">
        <w:rPr>
          <w:sz w:val="24"/>
          <w:szCs w:val="24"/>
        </w:rPr>
        <w:t>million</w:t>
      </w:r>
      <w:r w:rsidRPr="002C46EE">
        <w:rPr>
          <w:spacing w:val="-7"/>
          <w:sz w:val="24"/>
          <w:szCs w:val="24"/>
        </w:rPr>
        <w:t xml:space="preserve"> Ohio </w:t>
      </w:r>
      <w:r w:rsidRPr="002C46EE">
        <w:rPr>
          <w:spacing w:val="-1"/>
          <w:sz w:val="24"/>
          <w:szCs w:val="24"/>
        </w:rPr>
        <w:t>consumers</w:t>
      </w:r>
      <w:r w:rsidRPr="002C46EE">
        <w:rPr>
          <w:spacing w:val="-6"/>
          <w:sz w:val="24"/>
          <w:szCs w:val="24"/>
        </w:rPr>
        <w:t xml:space="preserve"> </w:t>
      </w:r>
      <w:r w:rsidRPr="002C46EE">
        <w:rPr>
          <w:spacing w:val="-1"/>
          <w:sz w:val="24"/>
          <w:szCs w:val="24"/>
        </w:rPr>
        <w:t>from</w:t>
      </w:r>
      <w:r w:rsidRPr="002C46EE">
        <w:rPr>
          <w:spacing w:val="-8"/>
          <w:sz w:val="24"/>
          <w:szCs w:val="24"/>
        </w:rPr>
        <w:t xml:space="preserve"> </w:t>
      </w:r>
      <w:r w:rsidRPr="002C46EE">
        <w:rPr>
          <w:spacing w:val="-9"/>
          <w:sz w:val="24"/>
          <w:szCs w:val="24"/>
        </w:rPr>
        <w:t xml:space="preserve">paying millions of dollars to subsidize AEP Ohio’s generation. </w:t>
      </w:r>
      <w:r w:rsidRPr="002C46EE">
        <w:rPr>
          <w:spacing w:val="-7"/>
          <w:sz w:val="24"/>
          <w:szCs w:val="24"/>
        </w:rPr>
        <w:t>Th</w:t>
      </w:r>
      <w:r>
        <w:rPr>
          <w:spacing w:val="-7"/>
          <w:sz w:val="24"/>
          <w:szCs w:val="24"/>
        </w:rPr>
        <w:t>e</w:t>
      </w:r>
      <w:r w:rsidRPr="002C46EE">
        <w:rPr>
          <w:spacing w:val="-7"/>
          <w:sz w:val="24"/>
          <w:szCs w:val="24"/>
        </w:rPr>
        <w:t xml:space="preserve"> Power Purchase Agreement Rider</w:t>
      </w:r>
      <w:r>
        <w:rPr>
          <w:spacing w:val="-7"/>
          <w:sz w:val="24"/>
          <w:szCs w:val="24"/>
        </w:rPr>
        <w:t xml:space="preserve"> (“PPA Rider”) </w:t>
      </w:r>
      <w:r w:rsidRPr="002C46EE">
        <w:rPr>
          <w:spacing w:val="-7"/>
          <w:sz w:val="24"/>
          <w:szCs w:val="24"/>
        </w:rPr>
        <w:t xml:space="preserve">is nothing more than a </w:t>
      </w:r>
      <w:r w:rsidRPr="002C46EE">
        <w:rPr>
          <w:spacing w:val="-1"/>
          <w:sz w:val="24"/>
          <w:szCs w:val="24"/>
        </w:rPr>
        <w:t>bailout</w:t>
      </w:r>
      <w:r w:rsidRPr="002C46EE">
        <w:rPr>
          <w:spacing w:val="-6"/>
          <w:sz w:val="24"/>
          <w:szCs w:val="24"/>
        </w:rPr>
        <w:t xml:space="preserve"> of affiliate-owned </w:t>
      </w:r>
      <w:r w:rsidRPr="002C46EE">
        <w:rPr>
          <w:spacing w:val="-1"/>
          <w:sz w:val="24"/>
          <w:szCs w:val="24"/>
        </w:rPr>
        <w:t>power</w:t>
      </w:r>
      <w:r w:rsidRPr="002C46EE">
        <w:rPr>
          <w:spacing w:val="-8"/>
          <w:sz w:val="24"/>
          <w:szCs w:val="24"/>
        </w:rPr>
        <w:t xml:space="preserve"> </w:t>
      </w:r>
      <w:r w:rsidRPr="002C46EE">
        <w:rPr>
          <w:spacing w:val="-1"/>
          <w:sz w:val="24"/>
          <w:szCs w:val="24"/>
        </w:rPr>
        <w:t>plants akin to the proposal that was halted in April 2016 by the Federal Energy Regulatory Commission (“FERC”) decision.</w:t>
      </w:r>
      <w:r w:rsidRPr="002C46EE">
        <w:rPr>
          <w:spacing w:val="-7"/>
          <w:sz w:val="24"/>
          <w:szCs w:val="24"/>
        </w:rPr>
        <w:t xml:space="preserve"> </w:t>
      </w:r>
      <w:r w:rsidRPr="002C46EE">
        <w:rPr>
          <w:spacing w:val="-1"/>
          <w:sz w:val="24"/>
          <w:szCs w:val="24"/>
        </w:rPr>
        <w:t>Consumers</w:t>
      </w:r>
      <w:r w:rsidRPr="002C46EE">
        <w:rPr>
          <w:spacing w:val="-5"/>
          <w:sz w:val="24"/>
          <w:szCs w:val="24"/>
        </w:rPr>
        <w:t xml:space="preserve"> </w:t>
      </w:r>
      <w:r w:rsidRPr="002C46EE">
        <w:rPr>
          <w:spacing w:val="-1"/>
          <w:sz w:val="24"/>
          <w:szCs w:val="24"/>
        </w:rPr>
        <w:t>would</w:t>
      </w:r>
      <w:r w:rsidRPr="002C46EE">
        <w:rPr>
          <w:spacing w:val="-7"/>
          <w:sz w:val="24"/>
          <w:szCs w:val="24"/>
        </w:rPr>
        <w:t xml:space="preserve"> </w:t>
      </w:r>
      <w:r w:rsidRPr="002C46EE">
        <w:rPr>
          <w:sz w:val="24"/>
          <w:szCs w:val="24"/>
        </w:rPr>
        <w:t xml:space="preserve">be </w:t>
      </w:r>
      <w:r w:rsidRPr="002C46EE">
        <w:rPr>
          <w:spacing w:val="-1"/>
          <w:sz w:val="24"/>
          <w:szCs w:val="24"/>
        </w:rPr>
        <w:t>charged</w:t>
      </w:r>
      <w:r w:rsidRPr="002C46EE">
        <w:rPr>
          <w:sz w:val="24"/>
          <w:szCs w:val="24"/>
        </w:rPr>
        <w:t xml:space="preserve"> millions of dollars over eight years</w:t>
      </w:r>
      <w:r w:rsidRPr="002C46EE">
        <w:rPr>
          <w:spacing w:val="-10"/>
          <w:sz w:val="24"/>
          <w:szCs w:val="24"/>
        </w:rPr>
        <w:t xml:space="preserve"> </w:t>
      </w:r>
      <w:r w:rsidRPr="002C46EE">
        <w:rPr>
          <w:spacing w:val="-1"/>
          <w:sz w:val="24"/>
          <w:szCs w:val="24"/>
        </w:rPr>
        <w:t>through</w:t>
      </w:r>
      <w:r w:rsidRPr="002C46EE">
        <w:rPr>
          <w:spacing w:val="-4"/>
          <w:sz w:val="24"/>
          <w:szCs w:val="24"/>
        </w:rPr>
        <w:t xml:space="preserve"> </w:t>
      </w:r>
      <w:r w:rsidRPr="002C46EE">
        <w:rPr>
          <w:sz w:val="24"/>
          <w:szCs w:val="24"/>
        </w:rPr>
        <w:t>a</w:t>
      </w:r>
      <w:r w:rsidRPr="002C46EE">
        <w:rPr>
          <w:spacing w:val="-6"/>
          <w:sz w:val="24"/>
          <w:szCs w:val="24"/>
        </w:rPr>
        <w:t xml:space="preserve"> PPA Rider</w:t>
      </w:r>
      <w:r>
        <w:rPr>
          <w:spacing w:val="-1"/>
          <w:sz w:val="24"/>
          <w:szCs w:val="24"/>
        </w:rPr>
        <w:t xml:space="preserve"> that</w:t>
      </w:r>
      <w:r w:rsidRPr="002C46EE">
        <w:rPr>
          <w:spacing w:val="-7"/>
          <w:sz w:val="24"/>
          <w:szCs w:val="24"/>
        </w:rPr>
        <w:t xml:space="preserve"> </w:t>
      </w:r>
      <w:r w:rsidRPr="002C46EE">
        <w:rPr>
          <w:spacing w:val="-1"/>
          <w:sz w:val="24"/>
          <w:szCs w:val="24"/>
        </w:rPr>
        <w:t>was</w:t>
      </w:r>
      <w:r w:rsidRPr="002C46EE">
        <w:rPr>
          <w:spacing w:val="-7"/>
          <w:sz w:val="24"/>
          <w:szCs w:val="24"/>
        </w:rPr>
        <w:t xml:space="preserve"> </w:t>
      </w:r>
      <w:r w:rsidRPr="002C46EE">
        <w:rPr>
          <w:spacing w:val="-1"/>
          <w:sz w:val="24"/>
          <w:szCs w:val="24"/>
        </w:rPr>
        <w:t>approved</w:t>
      </w:r>
      <w:r w:rsidRPr="002C46EE">
        <w:rPr>
          <w:spacing w:val="-6"/>
          <w:sz w:val="24"/>
          <w:szCs w:val="24"/>
        </w:rPr>
        <w:t xml:space="preserve"> </w:t>
      </w:r>
      <w:r w:rsidRPr="002C46EE">
        <w:rPr>
          <w:spacing w:val="2"/>
          <w:sz w:val="24"/>
          <w:szCs w:val="24"/>
        </w:rPr>
        <w:t>by</w:t>
      </w:r>
      <w:r w:rsidRPr="002C46EE">
        <w:rPr>
          <w:spacing w:val="-11"/>
          <w:sz w:val="24"/>
          <w:szCs w:val="24"/>
        </w:rPr>
        <w:t xml:space="preserve"> </w:t>
      </w:r>
      <w:r w:rsidRPr="002C46EE">
        <w:rPr>
          <w:sz w:val="24"/>
          <w:szCs w:val="24"/>
        </w:rPr>
        <w:t>the</w:t>
      </w:r>
      <w:r w:rsidRPr="002C46EE">
        <w:rPr>
          <w:spacing w:val="-6"/>
          <w:sz w:val="24"/>
          <w:szCs w:val="24"/>
        </w:rPr>
        <w:t xml:space="preserve"> </w:t>
      </w:r>
      <w:r w:rsidRPr="002C46EE">
        <w:rPr>
          <w:sz w:val="24"/>
          <w:szCs w:val="24"/>
        </w:rPr>
        <w:t>Public</w:t>
      </w:r>
      <w:r w:rsidRPr="002C46EE">
        <w:rPr>
          <w:spacing w:val="-8"/>
          <w:sz w:val="24"/>
          <w:szCs w:val="24"/>
        </w:rPr>
        <w:t xml:space="preserve"> </w:t>
      </w:r>
      <w:r w:rsidRPr="002C46EE">
        <w:rPr>
          <w:spacing w:val="-1"/>
          <w:sz w:val="24"/>
          <w:szCs w:val="24"/>
        </w:rPr>
        <w:t>Utilities</w:t>
      </w:r>
      <w:r w:rsidRPr="002C46EE">
        <w:rPr>
          <w:spacing w:val="-6"/>
          <w:sz w:val="24"/>
          <w:szCs w:val="24"/>
        </w:rPr>
        <w:t xml:space="preserve"> </w:t>
      </w:r>
      <w:r w:rsidRPr="002C46EE">
        <w:rPr>
          <w:spacing w:val="-1"/>
          <w:sz w:val="24"/>
          <w:szCs w:val="24"/>
        </w:rPr>
        <w:t>Commission</w:t>
      </w:r>
      <w:r w:rsidRPr="002C46EE">
        <w:rPr>
          <w:spacing w:val="-7"/>
          <w:sz w:val="24"/>
          <w:szCs w:val="24"/>
        </w:rPr>
        <w:t xml:space="preserve"> </w:t>
      </w:r>
      <w:r w:rsidRPr="002C46EE">
        <w:rPr>
          <w:sz w:val="24"/>
          <w:szCs w:val="24"/>
        </w:rPr>
        <w:t>of</w:t>
      </w:r>
      <w:r w:rsidRPr="002C46EE">
        <w:rPr>
          <w:spacing w:val="-7"/>
          <w:sz w:val="24"/>
          <w:szCs w:val="24"/>
        </w:rPr>
        <w:t xml:space="preserve"> </w:t>
      </w:r>
      <w:r w:rsidRPr="002C46EE">
        <w:rPr>
          <w:spacing w:val="-1"/>
          <w:sz w:val="24"/>
          <w:szCs w:val="24"/>
        </w:rPr>
        <w:t>Ohio</w:t>
      </w:r>
      <w:r w:rsidRPr="002C46EE">
        <w:rPr>
          <w:spacing w:val="-7"/>
          <w:sz w:val="24"/>
          <w:szCs w:val="24"/>
        </w:rPr>
        <w:t xml:space="preserve"> </w:t>
      </w:r>
      <w:r w:rsidRPr="002C46EE">
        <w:rPr>
          <w:spacing w:val="-1"/>
          <w:sz w:val="24"/>
          <w:szCs w:val="24"/>
        </w:rPr>
        <w:t>(“Commission”</w:t>
      </w:r>
      <w:r w:rsidRPr="002C46EE">
        <w:rPr>
          <w:spacing w:val="-7"/>
          <w:sz w:val="24"/>
          <w:szCs w:val="24"/>
        </w:rPr>
        <w:t xml:space="preserve"> </w:t>
      </w:r>
      <w:r w:rsidRPr="002C46EE">
        <w:rPr>
          <w:sz w:val="24"/>
          <w:szCs w:val="24"/>
        </w:rPr>
        <w:t xml:space="preserve">or </w:t>
      </w:r>
      <w:r w:rsidRPr="002C46EE">
        <w:rPr>
          <w:spacing w:val="-1"/>
          <w:sz w:val="24"/>
          <w:szCs w:val="24"/>
        </w:rPr>
        <w:t>“PUCO”)</w:t>
      </w:r>
      <w:r w:rsidRPr="002C46EE">
        <w:rPr>
          <w:spacing w:val="-7"/>
          <w:sz w:val="24"/>
          <w:szCs w:val="24"/>
        </w:rPr>
        <w:t xml:space="preserve"> </w:t>
      </w:r>
      <w:r w:rsidRPr="002C46EE">
        <w:rPr>
          <w:sz w:val="24"/>
          <w:szCs w:val="24"/>
        </w:rPr>
        <w:t>in</w:t>
      </w:r>
      <w:r w:rsidRPr="002C46EE">
        <w:rPr>
          <w:spacing w:val="-5"/>
          <w:sz w:val="24"/>
          <w:szCs w:val="24"/>
        </w:rPr>
        <w:t xml:space="preserve"> </w:t>
      </w:r>
      <w:r w:rsidRPr="002C46EE">
        <w:rPr>
          <w:sz w:val="24"/>
          <w:szCs w:val="24"/>
        </w:rPr>
        <w:t>its</w:t>
      </w:r>
      <w:r w:rsidRPr="002C46EE">
        <w:rPr>
          <w:spacing w:val="-6"/>
          <w:sz w:val="24"/>
          <w:szCs w:val="24"/>
        </w:rPr>
        <w:t xml:space="preserve"> Fourth Entry on Rehearing, issued October 12, 2016. </w:t>
      </w:r>
      <w:r w:rsidRPr="002C46EE">
        <w:rPr>
          <w:spacing w:val="-2"/>
          <w:sz w:val="24"/>
          <w:szCs w:val="24"/>
        </w:rPr>
        <w:t>In</w:t>
      </w:r>
      <w:r w:rsidRPr="002C46EE">
        <w:rPr>
          <w:spacing w:val="-6"/>
          <w:sz w:val="24"/>
          <w:szCs w:val="24"/>
        </w:rPr>
        <w:t xml:space="preserve"> </w:t>
      </w:r>
      <w:r w:rsidRPr="002C46EE">
        <w:rPr>
          <w:sz w:val="24"/>
          <w:szCs w:val="24"/>
        </w:rPr>
        <w:t>its</w:t>
      </w:r>
      <w:r w:rsidRPr="002C46EE">
        <w:rPr>
          <w:spacing w:val="-5"/>
          <w:sz w:val="24"/>
          <w:szCs w:val="24"/>
        </w:rPr>
        <w:t xml:space="preserve"> Fourth Entry on Rehearing</w:t>
      </w:r>
      <w:r w:rsidRPr="002C46EE">
        <w:rPr>
          <w:spacing w:val="-1"/>
          <w:sz w:val="24"/>
          <w:szCs w:val="24"/>
        </w:rPr>
        <w:t>,</w:t>
      </w:r>
      <w:r w:rsidRPr="002C46EE">
        <w:rPr>
          <w:spacing w:val="-3"/>
          <w:sz w:val="24"/>
          <w:szCs w:val="24"/>
        </w:rPr>
        <w:t xml:space="preserve"> </w:t>
      </w:r>
      <w:r w:rsidRPr="002C46EE">
        <w:rPr>
          <w:sz w:val="24"/>
          <w:szCs w:val="24"/>
        </w:rPr>
        <w:t>the</w:t>
      </w:r>
      <w:r w:rsidRPr="002C46EE">
        <w:rPr>
          <w:spacing w:val="-6"/>
          <w:sz w:val="24"/>
          <w:szCs w:val="24"/>
        </w:rPr>
        <w:t xml:space="preserve"> </w:t>
      </w:r>
      <w:r w:rsidRPr="002C46EE">
        <w:rPr>
          <w:sz w:val="24"/>
          <w:szCs w:val="24"/>
        </w:rPr>
        <w:t>PUCO</w:t>
      </w:r>
      <w:r w:rsidRPr="002C46EE">
        <w:rPr>
          <w:spacing w:val="-6"/>
          <w:sz w:val="24"/>
          <w:szCs w:val="24"/>
        </w:rPr>
        <w:t xml:space="preserve"> </w:t>
      </w:r>
      <w:r w:rsidRPr="002C46EE">
        <w:rPr>
          <w:spacing w:val="-1"/>
          <w:sz w:val="24"/>
          <w:szCs w:val="24"/>
        </w:rPr>
        <w:t>approved,</w:t>
      </w:r>
      <w:r w:rsidRPr="002C46EE">
        <w:rPr>
          <w:spacing w:val="-5"/>
          <w:sz w:val="24"/>
          <w:szCs w:val="24"/>
        </w:rPr>
        <w:t xml:space="preserve"> </w:t>
      </w:r>
      <w:r w:rsidRPr="002C46EE">
        <w:rPr>
          <w:sz w:val="24"/>
          <w:szCs w:val="24"/>
        </w:rPr>
        <w:t>with</w:t>
      </w:r>
      <w:r w:rsidRPr="002C46EE">
        <w:rPr>
          <w:spacing w:val="-5"/>
          <w:sz w:val="24"/>
          <w:szCs w:val="24"/>
        </w:rPr>
        <w:t xml:space="preserve"> </w:t>
      </w:r>
      <w:r w:rsidRPr="002C46EE">
        <w:rPr>
          <w:spacing w:val="-1"/>
          <w:sz w:val="24"/>
          <w:szCs w:val="24"/>
        </w:rPr>
        <w:t>modifications,</w:t>
      </w:r>
      <w:r w:rsidRPr="002C46EE">
        <w:rPr>
          <w:spacing w:val="-5"/>
          <w:sz w:val="24"/>
          <w:szCs w:val="24"/>
        </w:rPr>
        <w:t xml:space="preserve"> </w:t>
      </w:r>
      <w:r w:rsidRPr="002C46EE">
        <w:rPr>
          <w:sz w:val="24"/>
          <w:szCs w:val="24"/>
        </w:rPr>
        <w:t>an</w:t>
      </w:r>
      <w:r w:rsidRPr="002C46EE">
        <w:rPr>
          <w:spacing w:val="-6"/>
          <w:sz w:val="24"/>
          <w:szCs w:val="24"/>
        </w:rPr>
        <w:t xml:space="preserve"> </w:t>
      </w:r>
      <w:r w:rsidRPr="002C46EE">
        <w:rPr>
          <w:sz w:val="24"/>
          <w:szCs w:val="24"/>
        </w:rPr>
        <w:t>electric security</w:t>
      </w:r>
      <w:r w:rsidRPr="002C46EE">
        <w:rPr>
          <w:spacing w:val="-10"/>
          <w:sz w:val="24"/>
          <w:szCs w:val="24"/>
        </w:rPr>
        <w:t xml:space="preserve"> </w:t>
      </w:r>
      <w:r w:rsidRPr="002C46EE">
        <w:rPr>
          <w:spacing w:val="-1"/>
          <w:sz w:val="24"/>
          <w:szCs w:val="24"/>
        </w:rPr>
        <w:t>plan</w:t>
      </w:r>
      <w:r w:rsidRPr="002C46EE">
        <w:rPr>
          <w:spacing w:val="-6"/>
          <w:sz w:val="24"/>
          <w:szCs w:val="24"/>
        </w:rPr>
        <w:t xml:space="preserve"> </w:t>
      </w:r>
      <w:r w:rsidRPr="002C46EE">
        <w:rPr>
          <w:sz w:val="24"/>
          <w:szCs w:val="24"/>
        </w:rPr>
        <w:t>(“ESP) for AEP Ohio</w:t>
      </w:r>
      <w:r w:rsidRPr="002C46EE">
        <w:rPr>
          <w:spacing w:val="-6"/>
          <w:sz w:val="24"/>
          <w:szCs w:val="24"/>
        </w:rPr>
        <w:t xml:space="preserve">.  </w:t>
      </w:r>
    </w:p>
    <w:p w:rsidR="000C7989" w:rsidRPr="002C46EE" w:rsidP="008D7F23">
      <w:pPr>
        <w:widowControl w:val="0"/>
        <w:spacing w:line="480" w:lineRule="auto"/>
        <w:ind w:firstLine="720"/>
        <w:rPr>
          <w:spacing w:val="-6"/>
          <w:sz w:val="24"/>
          <w:szCs w:val="24"/>
        </w:rPr>
      </w:pPr>
      <w:r w:rsidRPr="002C46EE">
        <w:rPr>
          <w:sz w:val="24"/>
          <w:szCs w:val="24"/>
        </w:rPr>
        <w:t>The PUCO’s October 12, 2016 Entry on was unreasonable and unlawful in the following respects:</w:t>
      </w:r>
    </w:p>
    <w:p w:rsidR="008953D2" w:rsidP="000C7989">
      <w:pPr>
        <w:pStyle w:val="ListParagraph"/>
        <w:numPr>
          <w:ilvl w:val="0"/>
          <w:numId w:val="1"/>
        </w:numPr>
        <w:tabs>
          <w:tab w:val="left" w:pos="2430"/>
        </w:tabs>
        <w:rPr>
          <w:rFonts w:ascii="Times New Roman" w:hAnsi="Times New Roman"/>
          <w:sz w:val="24"/>
          <w:szCs w:val="24"/>
        </w:rPr>
      </w:pPr>
      <w:r w:rsidRPr="002C46EE">
        <w:rPr>
          <w:rFonts w:ascii="Times New Roman" w:hAnsi="Times New Roman"/>
          <w:sz w:val="24"/>
          <w:szCs w:val="24"/>
        </w:rPr>
        <w:t>ASSIGNMENT OF ERROR</w:t>
      </w:r>
      <w:r>
        <w:rPr>
          <w:rFonts w:ascii="Times New Roman" w:hAnsi="Times New Roman"/>
          <w:sz w:val="24"/>
          <w:szCs w:val="24"/>
        </w:rPr>
        <w:t xml:space="preserve"> 1</w:t>
      </w:r>
      <w:r w:rsidRPr="002C46EE">
        <w:rPr>
          <w:rFonts w:ascii="Times New Roman" w:hAnsi="Times New Roman"/>
          <w:sz w:val="24"/>
          <w:szCs w:val="24"/>
        </w:rPr>
        <w:t xml:space="preserve">: </w:t>
      </w:r>
      <w:r>
        <w:rPr>
          <w:rFonts w:ascii="Times New Roman" w:hAnsi="Times New Roman"/>
          <w:sz w:val="24"/>
          <w:szCs w:val="24"/>
        </w:rPr>
        <w:t xml:space="preserve"> </w:t>
      </w:r>
      <w:r w:rsidRPr="002C46EE">
        <w:rPr>
          <w:rFonts w:ascii="Times New Roman" w:hAnsi="Times New Roman"/>
          <w:sz w:val="24"/>
          <w:szCs w:val="24"/>
        </w:rPr>
        <w:t>The PUCO erred when it unlawfully and unreasonably approved a PPA rider without statutory authority to do so.</w:t>
      </w:r>
    </w:p>
    <w:p w:rsidR="004A3A2A" w:rsidP="004A3A2A">
      <w:pPr>
        <w:tabs>
          <w:tab w:val="left" w:pos="2430"/>
        </w:tabs>
        <w:rPr>
          <w:sz w:val="24"/>
          <w:szCs w:val="24"/>
        </w:rPr>
      </w:pPr>
    </w:p>
    <w:p w:rsidR="000C7989" w:rsidRPr="002C46EE" w:rsidP="000C7989">
      <w:pPr>
        <w:pStyle w:val="ListParagraph"/>
        <w:numPr>
          <w:ilvl w:val="0"/>
          <w:numId w:val="1"/>
        </w:numPr>
        <w:contextualSpacing/>
        <w:rPr>
          <w:rFonts w:ascii="Times New Roman" w:hAnsi="Times New Roman"/>
          <w:sz w:val="24"/>
          <w:szCs w:val="24"/>
        </w:rPr>
      </w:pPr>
      <w:r w:rsidRPr="002C46EE">
        <w:rPr>
          <w:rFonts w:ascii="Times New Roman" w:hAnsi="Times New Roman"/>
          <w:sz w:val="24"/>
          <w:szCs w:val="24"/>
        </w:rPr>
        <w:t>ASSIGNMENT OF ERROR</w:t>
      </w:r>
      <w:r>
        <w:rPr>
          <w:rFonts w:ascii="Times New Roman" w:hAnsi="Times New Roman"/>
          <w:sz w:val="24"/>
          <w:szCs w:val="24"/>
        </w:rPr>
        <w:t xml:space="preserve"> 2</w:t>
      </w:r>
      <w:r w:rsidRPr="002C46EE">
        <w:rPr>
          <w:rFonts w:ascii="Times New Roman" w:hAnsi="Times New Roman"/>
          <w:sz w:val="24"/>
          <w:szCs w:val="24"/>
        </w:rPr>
        <w:t xml:space="preserve">: </w:t>
      </w:r>
      <w:r>
        <w:rPr>
          <w:rFonts w:ascii="Times New Roman" w:hAnsi="Times New Roman"/>
          <w:sz w:val="24"/>
          <w:szCs w:val="24"/>
        </w:rPr>
        <w:t xml:space="preserve"> </w:t>
      </w:r>
      <w:r w:rsidRPr="002C46EE">
        <w:rPr>
          <w:rFonts w:ascii="Times New Roman" w:hAnsi="Times New Roman"/>
          <w:sz w:val="24"/>
          <w:szCs w:val="24"/>
        </w:rPr>
        <w:t xml:space="preserve">The PUCO erred by unlawfully and unreasonably approving the PPA rider under R.C. 4928.143(B)(2)(d) </w:t>
      </w:r>
      <w:r>
        <w:rPr>
          <w:rFonts w:ascii="Times New Roman" w:hAnsi="Times New Roman"/>
          <w:sz w:val="24"/>
          <w:szCs w:val="24"/>
        </w:rPr>
        <w:t>when</w:t>
      </w:r>
      <w:r w:rsidRPr="002C46EE">
        <w:rPr>
          <w:rFonts w:ascii="Times New Roman" w:hAnsi="Times New Roman"/>
          <w:sz w:val="24"/>
          <w:szCs w:val="24"/>
        </w:rPr>
        <w:t xml:space="preserve"> the Utility’s application failed to include the mandatory statutory filing requirements of Ohio Adm. Code 4901:1-35-03(C)(9)(c)(i).</w:t>
      </w:r>
    </w:p>
    <w:p w:rsidR="000C7989" w:rsidRPr="002C46EE" w:rsidP="000C7989">
      <w:pPr>
        <w:pStyle w:val="ListParagraph"/>
        <w:ind w:left="360"/>
        <w:contextualSpacing/>
        <w:rPr>
          <w:rFonts w:ascii="Times New Roman" w:hAnsi="Times New Roman"/>
          <w:color w:val="000000"/>
          <w:sz w:val="24"/>
          <w:szCs w:val="24"/>
        </w:rPr>
      </w:pPr>
    </w:p>
    <w:p w:rsidR="000C7989" w:rsidRPr="002C46EE" w:rsidP="000C7989">
      <w:pPr>
        <w:pStyle w:val="ListParagraph"/>
        <w:numPr>
          <w:ilvl w:val="0"/>
          <w:numId w:val="1"/>
        </w:numPr>
        <w:contextualSpacing/>
        <w:rPr>
          <w:rFonts w:ascii="Times New Roman" w:hAnsi="Times New Roman"/>
          <w:color w:val="000000"/>
          <w:sz w:val="24"/>
          <w:szCs w:val="24"/>
        </w:rPr>
      </w:pPr>
      <w:r w:rsidRPr="002C46EE">
        <w:rPr>
          <w:rFonts w:ascii="Times New Roman" w:hAnsi="Times New Roman"/>
          <w:color w:val="000000"/>
          <w:sz w:val="24"/>
          <w:szCs w:val="24"/>
        </w:rPr>
        <w:t>ASSIGNMENT OF ERROR</w:t>
      </w:r>
      <w:r>
        <w:rPr>
          <w:rFonts w:ascii="Times New Roman" w:hAnsi="Times New Roman"/>
          <w:color w:val="000000"/>
          <w:sz w:val="24"/>
          <w:szCs w:val="24"/>
        </w:rPr>
        <w:t xml:space="preserve"> 3</w:t>
      </w:r>
      <w:r w:rsidRPr="002C46EE">
        <w:rPr>
          <w:rFonts w:ascii="Times New Roman" w:hAnsi="Times New Roman"/>
          <w:color w:val="000000"/>
          <w:sz w:val="24"/>
          <w:szCs w:val="24"/>
        </w:rPr>
        <w:t xml:space="preserve">: </w:t>
      </w:r>
      <w:r>
        <w:rPr>
          <w:rFonts w:ascii="Times New Roman" w:hAnsi="Times New Roman"/>
          <w:color w:val="000000"/>
          <w:sz w:val="24"/>
          <w:szCs w:val="24"/>
        </w:rPr>
        <w:t xml:space="preserve"> </w:t>
      </w:r>
      <w:r w:rsidRPr="002C46EE">
        <w:rPr>
          <w:rFonts w:ascii="Times New Roman" w:hAnsi="Times New Roman"/>
          <w:color w:val="000000"/>
          <w:sz w:val="24"/>
          <w:szCs w:val="24"/>
        </w:rPr>
        <w:t>The PUCO’s decision to defer ruling on the assignments of error related to PPA Rider is unjust and unreasonable because the PUCO does not have such authority.</w:t>
      </w:r>
    </w:p>
    <w:p w:rsidR="000C7989" w:rsidRPr="002C46EE" w:rsidP="000C7989">
      <w:pPr>
        <w:pStyle w:val="ListParagraph"/>
        <w:ind w:left="360"/>
        <w:contextualSpacing/>
        <w:rPr>
          <w:rFonts w:ascii="Times New Roman" w:hAnsi="Times New Roman"/>
          <w:color w:val="000000"/>
          <w:sz w:val="24"/>
          <w:szCs w:val="24"/>
        </w:rPr>
      </w:pPr>
    </w:p>
    <w:p w:rsidR="000C7989" w:rsidRPr="002C46EE" w:rsidP="000C7989">
      <w:pPr>
        <w:pStyle w:val="ListParagraph"/>
        <w:numPr>
          <w:ilvl w:val="0"/>
          <w:numId w:val="1"/>
        </w:numPr>
        <w:rPr>
          <w:rFonts w:ascii="Times New Roman" w:hAnsi="Times New Roman"/>
          <w:sz w:val="24"/>
          <w:szCs w:val="24"/>
        </w:rPr>
      </w:pPr>
      <w:r w:rsidRPr="002C46EE">
        <w:rPr>
          <w:rFonts w:ascii="Times New Roman" w:hAnsi="Times New Roman"/>
          <w:sz w:val="24"/>
          <w:szCs w:val="24"/>
        </w:rPr>
        <w:t>ASSIGNMENT OF ERROR</w:t>
      </w:r>
      <w:r>
        <w:rPr>
          <w:rFonts w:ascii="Times New Roman" w:hAnsi="Times New Roman"/>
          <w:sz w:val="24"/>
          <w:szCs w:val="24"/>
        </w:rPr>
        <w:t xml:space="preserve"> 4</w:t>
      </w:r>
      <w:r w:rsidRPr="002C46EE">
        <w:rPr>
          <w:rFonts w:ascii="Times New Roman" w:hAnsi="Times New Roman"/>
          <w:sz w:val="24"/>
          <w:szCs w:val="24"/>
        </w:rPr>
        <w:t xml:space="preserve">: </w:t>
      </w:r>
      <w:r>
        <w:rPr>
          <w:rFonts w:ascii="Times New Roman" w:hAnsi="Times New Roman"/>
          <w:sz w:val="24"/>
          <w:szCs w:val="24"/>
        </w:rPr>
        <w:t xml:space="preserve"> </w:t>
      </w:r>
      <w:r w:rsidRPr="002C46EE">
        <w:rPr>
          <w:rFonts w:ascii="Times New Roman" w:hAnsi="Times New Roman"/>
          <w:sz w:val="24"/>
          <w:szCs w:val="24"/>
        </w:rPr>
        <w:t xml:space="preserve">The PUCO’s ruling that AEP Ohio is not required to comply with the corporate separation requirements </w:t>
      </w:r>
      <w:r>
        <w:rPr>
          <w:rFonts w:ascii="Times New Roman" w:hAnsi="Times New Roman"/>
          <w:sz w:val="24"/>
          <w:szCs w:val="24"/>
        </w:rPr>
        <w:t xml:space="preserve">of R.C. 4928.17 </w:t>
      </w:r>
      <w:r w:rsidRPr="002C46EE">
        <w:rPr>
          <w:rFonts w:ascii="Times New Roman" w:hAnsi="Times New Roman"/>
          <w:sz w:val="24"/>
          <w:szCs w:val="24"/>
        </w:rPr>
        <w:t>is unlawful and unreasonable.</w:t>
      </w:r>
    </w:p>
    <w:p w:rsidR="000C7989" w:rsidRPr="002C46EE" w:rsidP="000C7989">
      <w:pPr>
        <w:pStyle w:val="ListParagraph"/>
        <w:ind w:left="360"/>
        <w:contextualSpacing/>
        <w:rPr>
          <w:rFonts w:ascii="Times New Roman" w:hAnsi="Times New Roman"/>
          <w:b/>
          <w:color w:val="000000"/>
          <w:sz w:val="24"/>
          <w:szCs w:val="24"/>
        </w:rPr>
      </w:pPr>
    </w:p>
    <w:p w:rsidR="000C7989" w:rsidRPr="002C46EE" w:rsidP="000C7989">
      <w:pPr>
        <w:ind w:left="4320"/>
        <w:rPr>
          <w:sz w:val="24"/>
          <w:szCs w:val="24"/>
        </w:rPr>
      </w:pPr>
      <w:r w:rsidRPr="002C46EE">
        <w:rPr>
          <w:sz w:val="24"/>
          <w:szCs w:val="24"/>
        </w:rPr>
        <w:t>Respectfully submitted,</w:t>
      </w:r>
    </w:p>
    <w:p w:rsidR="000C7989" w:rsidRPr="002C46EE" w:rsidP="000C7989">
      <w:pPr>
        <w:ind w:left="4320"/>
        <w:rPr>
          <w:sz w:val="24"/>
          <w:szCs w:val="24"/>
        </w:rPr>
      </w:pPr>
    </w:p>
    <w:p w:rsidR="000C7989" w:rsidRPr="002C46EE" w:rsidP="000C7989">
      <w:pPr>
        <w:rPr>
          <w:sz w:val="24"/>
          <w:szCs w:val="24"/>
        </w:rPr>
      </w:pPr>
      <w:r w:rsidRPr="002C46EE">
        <w:rPr>
          <w:sz w:val="24"/>
          <w:szCs w:val="24"/>
        </w:rPr>
        <w:tab/>
      </w:r>
      <w:r w:rsidRPr="002C46EE">
        <w:rPr>
          <w:sz w:val="24"/>
          <w:szCs w:val="24"/>
        </w:rPr>
        <w:tab/>
      </w:r>
      <w:r w:rsidRPr="002C46EE">
        <w:rPr>
          <w:sz w:val="24"/>
          <w:szCs w:val="24"/>
        </w:rPr>
        <w:tab/>
      </w:r>
      <w:r w:rsidRPr="002C46EE">
        <w:rPr>
          <w:sz w:val="24"/>
          <w:szCs w:val="24"/>
        </w:rPr>
        <w:tab/>
      </w:r>
      <w:r w:rsidRPr="002C46EE">
        <w:rPr>
          <w:sz w:val="24"/>
          <w:szCs w:val="24"/>
        </w:rPr>
        <w:tab/>
      </w:r>
      <w:r w:rsidRPr="002C46EE">
        <w:rPr>
          <w:sz w:val="24"/>
          <w:szCs w:val="24"/>
        </w:rPr>
        <w:tab/>
        <w:t>BRUCE WESTON (0016973)</w:t>
      </w:r>
    </w:p>
    <w:p w:rsidR="000C7989" w:rsidRPr="002C46EE" w:rsidP="000C7989">
      <w:pPr>
        <w:rPr>
          <w:sz w:val="24"/>
          <w:szCs w:val="24"/>
        </w:rPr>
      </w:pPr>
      <w:r w:rsidRPr="002C46EE">
        <w:rPr>
          <w:sz w:val="24"/>
          <w:szCs w:val="24"/>
        </w:rPr>
        <w:tab/>
      </w:r>
      <w:r w:rsidRPr="002C46EE">
        <w:rPr>
          <w:sz w:val="24"/>
          <w:szCs w:val="24"/>
        </w:rPr>
        <w:tab/>
      </w:r>
      <w:r w:rsidRPr="002C46EE">
        <w:rPr>
          <w:sz w:val="24"/>
          <w:szCs w:val="24"/>
        </w:rPr>
        <w:tab/>
      </w:r>
      <w:r w:rsidRPr="002C46EE">
        <w:rPr>
          <w:sz w:val="24"/>
          <w:szCs w:val="24"/>
        </w:rPr>
        <w:tab/>
      </w:r>
      <w:r w:rsidRPr="002C46EE">
        <w:rPr>
          <w:sz w:val="24"/>
          <w:szCs w:val="24"/>
        </w:rPr>
        <w:tab/>
      </w:r>
      <w:r w:rsidRPr="002C46EE">
        <w:rPr>
          <w:sz w:val="24"/>
          <w:szCs w:val="24"/>
        </w:rPr>
        <w:tab/>
        <w:t>OHIO CONSUMERS’ COUNSEL</w:t>
      </w:r>
    </w:p>
    <w:p w:rsidR="000C7989" w:rsidRPr="002C46EE" w:rsidP="000C7989">
      <w:pPr>
        <w:rPr>
          <w:sz w:val="24"/>
          <w:szCs w:val="24"/>
        </w:rPr>
      </w:pPr>
      <w:r w:rsidRPr="002C46EE">
        <w:rPr>
          <w:sz w:val="24"/>
          <w:szCs w:val="24"/>
        </w:rPr>
        <w:tab/>
      </w:r>
      <w:r w:rsidRPr="002C46EE">
        <w:rPr>
          <w:sz w:val="24"/>
          <w:szCs w:val="24"/>
        </w:rPr>
        <w:tab/>
      </w:r>
      <w:r w:rsidRPr="002C46EE">
        <w:rPr>
          <w:sz w:val="24"/>
          <w:szCs w:val="24"/>
        </w:rPr>
        <w:tab/>
      </w:r>
      <w:r w:rsidRPr="002C46EE">
        <w:rPr>
          <w:sz w:val="24"/>
          <w:szCs w:val="24"/>
        </w:rPr>
        <w:tab/>
      </w:r>
      <w:r w:rsidRPr="002C46EE">
        <w:rPr>
          <w:sz w:val="24"/>
          <w:szCs w:val="24"/>
        </w:rPr>
        <w:tab/>
      </w:r>
      <w:r w:rsidRPr="002C46EE">
        <w:rPr>
          <w:sz w:val="24"/>
          <w:szCs w:val="24"/>
        </w:rPr>
        <w:tab/>
      </w:r>
    </w:p>
    <w:p w:rsidR="000C7989" w:rsidRPr="002C46EE" w:rsidP="000C7989">
      <w:pPr>
        <w:rPr>
          <w:i/>
          <w:sz w:val="24"/>
          <w:szCs w:val="24"/>
          <w:u w:val="single"/>
        </w:rPr>
      </w:pPr>
      <w:r w:rsidRPr="002C46EE">
        <w:rPr>
          <w:sz w:val="24"/>
          <w:szCs w:val="24"/>
        </w:rPr>
        <w:tab/>
      </w:r>
      <w:r w:rsidRPr="002C46EE">
        <w:rPr>
          <w:sz w:val="24"/>
          <w:szCs w:val="24"/>
        </w:rPr>
        <w:tab/>
      </w:r>
      <w:r w:rsidRPr="002C46EE">
        <w:rPr>
          <w:sz w:val="24"/>
          <w:szCs w:val="24"/>
        </w:rPr>
        <w:tab/>
      </w:r>
      <w:r w:rsidRPr="002C46EE">
        <w:rPr>
          <w:sz w:val="24"/>
          <w:szCs w:val="24"/>
        </w:rPr>
        <w:tab/>
      </w:r>
      <w:r w:rsidRPr="002C46EE">
        <w:rPr>
          <w:sz w:val="24"/>
          <w:szCs w:val="24"/>
        </w:rPr>
        <w:tab/>
      </w:r>
      <w:r w:rsidRPr="002C46EE">
        <w:rPr>
          <w:sz w:val="24"/>
          <w:szCs w:val="24"/>
        </w:rPr>
        <w:tab/>
      </w:r>
      <w:r w:rsidRPr="002C46EE">
        <w:rPr>
          <w:i/>
          <w:sz w:val="24"/>
          <w:szCs w:val="24"/>
          <w:u w:val="single"/>
        </w:rPr>
        <w:t>/s/ William J. Michael</w:t>
      </w:r>
    </w:p>
    <w:p w:rsidR="000C7989" w:rsidRPr="002C46EE" w:rsidP="000C7989">
      <w:pPr>
        <w:rPr>
          <w:sz w:val="24"/>
          <w:szCs w:val="24"/>
        </w:rPr>
      </w:pPr>
      <w:r w:rsidRPr="002C46EE">
        <w:rPr>
          <w:sz w:val="24"/>
          <w:szCs w:val="24"/>
        </w:rPr>
        <w:tab/>
      </w:r>
      <w:r w:rsidRPr="002C46EE">
        <w:rPr>
          <w:sz w:val="24"/>
          <w:szCs w:val="24"/>
        </w:rPr>
        <w:tab/>
      </w:r>
      <w:r w:rsidRPr="002C46EE">
        <w:rPr>
          <w:sz w:val="24"/>
          <w:szCs w:val="24"/>
        </w:rPr>
        <w:tab/>
      </w:r>
      <w:r w:rsidRPr="002C46EE">
        <w:rPr>
          <w:sz w:val="24"/>
          <w:szCs w:val="24"/>
        </w:rPr>
        <w:tab/>
      </w:r>
      <w:r w:rsidRPr="002C46EE">
        <w:rPr>
          <w:sz w:val="24"/>
          <w:szCs w:val="24"/>
        </w:rPr>
        <w:tab/>
      </w:r>
      <w:r w:rsidRPr="002C46EE">
        <w:rPr>
          <w:sz w:val="24"/>
          <w:szCs w:val="24"/>
        </w:rPr>
        <w:tab/>
        <w:t>William J. Michael (0070921)</w:t>
      </w:r>
    </w:p>
    <w:p w:rsidR="000C7989" w:rsidRPr="002C46EE" w:rsidP="000C7989">
      <w:pPr>
        <w:rPr>
          <w:sz w:val="24"/>
          <w:szCs w:val="24"/>
        </w:rPr>
      </w:pPr>
      <w:r w:rsidRPr="002C46EE">
        <w:rPr>
          <w:sz w:val="24"/>
          <w:szCs w:val="24"/>
        </w:rPr>
        <w:tab/>
      </w:r>
      <w:r w:rsidRPr="002C46EE">
        <w:rPr>
          <w:sz w:val="24"/>
          <w:szCs w:val="24"/>
        </w:rPr>
        <w:tab/>
      </w:r>
      <w:r w:rsidRPr="002C46EE">
        <w:rPr>
          <w:sz w:val="24"/>
          <w:szCs w:val="24"/>
        </w:rPr>
        <w:tab/>
      </w:r>
      <w:r w:rsidRPr="002C46EE">
        <w:rPr>
          <w:sz w:val="24"/>
          <w:szCs w:val="24"/>
        </w:rPr>
        <w:tab/>
      </w:r>
      <w:r w:rsidRPr="002C46EE">
        <w:rPr>
          <w:sz w:val="24"/>
          <w:szCs w:val="24"/>
        </w:rPr>
        <w:tab/>
      </w:r>
      <w:r w:rsidRPr="002C46EE">
        <w:rPr>
          <w:sz w:val="24"/>
          <w:szCs w:val="24"/>
        </w:rPr>
        <w:tab/>
        <w:t>Counsel of Record</w:t>
      </w:r>
    </w:p>
    <w:p w:rsidR="000C7989" w:rsidRPr="002C46EE" w:rsidP="000C7989">
      <w:pPr>
        <w:rPr>
          <w:sz w:val="24"/>
          <w:szCs w:val="24"/>
        </w:rPr>
      </w:pPr>
      <w:r w:rsidRPr="002C46EE">
        <w:rPr>
          <w:sz w:val="24"/>
          <w:szCs w:val="24"/>
        </w:rPr>
        <w:tab/>
      </w:r>
      <w:r w:rsidRPr="002C46EE">
        <w:rPr>
          <w:sz w:val="24"/>
          <w:szCs w:val="24"/>
        </w:rPr>
        <w:tab/>
      </w:r>
      <w:r w:rsidRPr="002C46EE">
        <w:rPr>
          <w:sz w:val="24"/>
          <w:szCs w:val="24"/>
        </w:rPr>
        <w:tab/>
      </w:r>
      <w:r w:rsidRPr="002C46EE">
        <w:rPr>
          <w:sz w:val="24"/>
          <w:szCs w:val="24"/>
        </w:rPr>
        <w:tab/>
      </w:r>
      <w:r w:rsidRPr="002C46EE">
        <w:rPr>
          <w:sz w:val="24"/>
          <w:szCs w:val="24"/>
        </w:rPr>
        <w:tab/>
      </w:r>
      <w:r w:rsidRPr="002C46EE">
        <w:rPr>
          <w:sz w:val="24"/>
          <w:szCs w:val="24"/>
        </w:rPr>
        <w:tab/>
        <w:t>Kevin F. Moore (0089228)</w:t>
      </w:r>
    </w:p>
    <w:p w:rsidR="000C7989" w:rsidRPr="002C46EE" w:rsidP="000C7989">
      <w:pPr>
        <w:rPr>
          <w:sz w:val="24"/>
          <w:szCs w:val="24"/>
        </w:rPr>
      </w:pPr>
      <w:r w:rsidRPr="002C46EE">
        <w:rPr>
          <w:sz w:val="24"/>
          <w:szCs w:val="24"/>
        </w:rPr>
        <w:tab/>
      </w:r>
      <w:r w:rsidRPr="002C46EE">
        <w:rPr>
          <w:sz w:val="24"/>
          <w:szCs w:val="24"/>
        </w:rPr>
        <w:tab/>
      </w:r>
      <w:r w:rsidRPr="002C46EE">
        <w:rPr>
          <w:sz w:val="24"/>
          <w:szCs w:val="24"/>
        </w:rPr>
        <w:tab/>
      </w:r>
      <w:r w:rsidRPr="002C46EE">
        <w:rPr>
          <w:sz w:val="24"/>
          <w:szCs w:val="24"/>
        </w:rPr>
        <w:tab/>
      </w:r>
      <w:r w:rsidRPr="002C46EE">
        <w:rPr>
          <w:sz w:val="24"/>
          <w:szCs w:val="24"/>
        </w:rPr>
        <w:tab/>
      </w:r>
      <w:r w:rsidRPr="002C46EE">
        <w:rPr>
          <w:sz w:val="24"/>
          <w:szCs w:val="24"/>
        </w:rPr>
        <w:tab/>
        <w:t>Assistant Consumers’ Counsel</w:t>
      </w:r>
    </w:p>
    <w:p w:rsidR="000C7989" w:rsidRPr="002C46EE" w:rsidP="000C7989">
      <w:pPr>
        <w:rPr>
          <w:sz w:val="24"/>
          <w:szCs w:val="24"/>
        </w:rPr>
      </w:pPr>
    </w:p>
    <w:p w:rsidR="000C7989" w:rsidRPr="002C46EE" w:rsidP="000C7989">
      <w:pPr>
        <w:rPr>
          <w:b/>
          <w:sz w:val="24"/>
          <w:szCs w:val="24"/>
        </w:rPr>
      </w:pPr>
      <w:r w:rsidRPr="002C46EE">
        <w:rPr>
          <w:b/>
          <w:sz w:val="24"/>
          <w:szCs w:val="24"/>
        </w:rPr>
        <w:tab/>
      </w:r>
      <w:r w:rsidRPr="002C46EE">
        <w:rPr>
          <w:b/>
          <w:sz w:val="24"/>
          <w:szCs w:val="24"/>
        </w:rPr>
        <w:tab/>
      </w:r>
      <w:r w:rsidRPr="002C46EE">
        <w:rPr>
          <w:b/>
          <w:sz w:val="24"/>
          <w:szCs w:val="24"/>
        </w:rPr>
        <w:tab/>
      </w:r>
      <w:r w:rsidRPr="002C46EE">
        <w:rPr>
          <w:b/>
          <w:sz w:val="24"/>
          <w:szCs w:val="24"/>
        </w:rPr>
        <w:tab/>
      </w:r>
      <w:r w:rsidRPr="002C46EE">
        <w:rPr>
          <w:b/>
          <w:sz w:val="24"/>
          <w:szCs w:val="24"/>
        </w:rPr>
        <w:tab/>
      </w:r>
      <w:r w:rsidRPr="002C46EE">
        <w:rPr>
          <w:b/>
          <w:sz w:val="24"/>
          <w:szCs w:val="24"/>
        </w:rPr>
        <w:tab/>
        <w:t>Office of the Ohio Consumers’ Counsel</w:t>
      </w:r>
    </w:p>
    <w:p w:rsidR="000C7989" w:rsidRPr="002C46EE" w:rsidP="000C7989">
      <w:pPr>
        <w:rPr>
          <w:sz w:val="24"/>
          <w:szCs w:val="24"/>
        </w:rPr>
      </w:pPr>
      <w:r w:rsidRPr="002C46EE">
        <w:rPr>
          <w:sz w:val="24"/>
          <w:szCs w:val="24"/>
        </w:rPr>
        <w:tab/>
      </w:r>
      <w:r w:rsidRPr="002C46EE">
        <w:rPr>
          <w:sz w:val="24"/>
          <w:szCs w:val="24"/>
        </w:rPr>
        <w:tab/>
      </w:r>
      <w:r w:rsidRPr="002C46EE">
        <w:rPr>
          <w:sz w:val="24"/>
          <w:szCs w:val="24"/>
        </w:rPr>
        <w:tab/>
      </w:r>
      <w:r w:rsidRPr="002C46EE">
        <w:rPr>
          <w:sz w:val="24"/>
          <w:szCs w:val="24"/>
        </w:rPr>
        <w:tab/>
      </w:r>
      <w:r w:rsidRPr="002C46EE">
        <w:rPr>
          <w:sz w:val="24"/>
          <w:szCs w:val="24"/>
        </w:rPr>
        <w:tab/>
      </w:r>
      <w:r w:rsidRPr="002C46EE">
        <w:rPr>
          <w:sz w:val="24"/>
          <w:szCs w:val="24"/>
        </w:rPr>
        <w:tab/>
        <w:t>10 W. Broad Street, Suite 1800</w:t>
      </w:r>
    </w:p>
    <w:p w:rsidR="000C7989" w:rsidRPr="002C46EE" w:rsidP="000C7989">
      <w:pPr>
        <w:rPr>
          <w:sz w:val="24"/>
          <w:szCs w:val="24"/>
        </w:rPr>
      </w:pPr>
      <w:r w:rsidRPr="002C46EE">
        <w:rPr>
          <w:sz w:val="24"/>
          <w:szCs w:val="24"/>
        </w:rPr>
        <w:tab/>
      </w:r>
      <w:r w:rsidRPr="002C46EE">
        <w:rPr>
          <w:sz w:val="24"/>
          <w:szCs w:val="24"/>
        </w:rPr>
        <w:tab/>
      </w:r>
      <w:r w:rsidRPr="002C46EE">
        <w:rPr>
          <w:sz w:val="24"/>
          <w:szCs w:val="24"/>
        </w:rPr>
        <w:tab/>
      </w:r>
      <w:r w:rsidRPr="002C46EE">
        <w:rPr>
          <w:sz w:val="24"/>
          <w:szCs w:val="24"/>
        </w:rPr>
        <w:tab/>
      </w:r>
      <w:r w:rsidRPr="002C46EE">
        <w:rPr>
          <w:sz w:val="24"/>
          <w:szCs w:val="24"/>
        </w:rPr>
        <w:tab/>
      </w:r>
      <w:r w:rsidRPr="002C46EE">
        <w:rPr>
          <w:sz w:val="24"/>
          <w:szCs w:val="24"/>
        </w:rPr>
        <w:tab/>
        <w:t>Columbus, Ohio 43215-3485</w:t>
      </w:r>
    </w:p>
    <w:p w:rsidR="000C7989" w:rsidRPr="002C46EE" w:rsidP="000C7989">
      <w:pPr>
        <w:rPr>
          <w:sz w:val="24"/>
          <w:szCs w:val="24"/>
        </w:rPr>
      </w:pPr>
      <w:r w:rsidRPr="002C46EE">
        <w:rPr>
          <w:sz w:val="24"/>
          <w:szCs w:val="24"/>
        </w:rPr>
        <w:tab/>
      </w:r>
      <w:r w:rsidRPr="002C46EE">
        <w:rPr>
          <w:sz w:val="24"/>
          <w:szCs w:val="24"/>
        </w:rPr>
        <w:tab/>
      </w:r>
      <w:r w:rsidRPr="002C46EE">
        <w:rPr>
          <w:sz w:val="24"/>
          <w:szCs w:val="24"/>
        </w:rPr>
        <w:tab/>
      </w:r>
      <w:r w:rsidRPr="002C46EE">
        <w:rPr>
          <w:sz w:val="24"/>
          <w:szCs w:val="24"/>
        </w:rPr>
        <w:tab/>
      </w:r>
      <w:r w:rsidRPr="002C46EE">
        <w:rPr>
          <w:sz w:val="24"/>
          <w:szCs w:val="24"/>
        </w:rPr>
        <w:tab/>
      </w:r>
      <w:r w:rsidRPr="002C46EE">
        <w:rPr>
          <w:sz w:val="24"/>
          <w:szCs w:val="24"/>
        </w:rPr>
        <w:tab/>
        <w:t>Telephone [Michael]: 614-466-1291</w:t>
      </w:r>
    </w:p>
    <w:p w:rsidR="000C7989" w:rsidRPr="002C46EE" w:rsidP="000C7989">
      <w:pPr>
        <w:rPr>
          <w:sz w:val="24"/>
          <w:szCs w:val="24"/>
        </w:rPr>
      </w:pPr>
      <w:r w:rsidRPr="002C46EE">
        <w:rPr>
          <w:sz w:val="24"/>
          <w:szCs w:val="24"/>
        </w:rPr>
        <w:tab/>
      </w:r>
      <w:r w:rsidRPr="002C46EE">
        <w:rPr>
          <w:sz w:val="24"/>
          <w:szCs w:val="24"/>
        </w:rPr>
        <w:tab/>
      </w:r>
      <w:r w:rsidRPr="002C46EE">
        <w:rPr>
          <w:sz w:val="24"/>
          <w:szCs w:val="24"/>
        </w:rPr>
        <w:tab/>
      </w:r>
      <w:r w:rsidRPr="002C46EE">
        <w:rPr>
          <w:sz w:val="24"/>
          <w:szCs w:val="24"/>
        </w:rPr>
        <w:tab/>
      </w:r>
      <w:r w:rsidRPr="002C46EE">
        <w:rPr>
          <w:sz w:val="24"/>
          <w:szCs w:val="24"/>
        </w:rPr>
        <w:tab/>
      </w:r>
      <w:r w:rsidRPr="002C46EE">
        <w:rPr>
          <w:sz w:val="24"/>
          <w:szCs w:val="24"/>
        </w:rPr>
        <w:tab/>
        <w:t>Telephone [Moore]: 614-466-2965</w:t>
      </w:r>
    </w:p>
    <w:p w:rsidR="000C7989" w:rsidRPr="002C46EE" w:rsidP="000C7989">
      <w:pPr>
        <w:rPr>
          <w:sz w:val="24"/>
          <w:szCs w:val="24"/>
        </w:rPr>
      </w:pPr>
      <w:r w:rsidRPr="002C46EE">
        <w:rPr>
          <w:sz w:val="24"/>
          <w:szCs w:val="24"/>
        </w:rPr>
        <w:tab/>
      </w:r>
      <w:r w:rsidRPr="002C46EE">
        <w:rPr>
          <w:sz w:val="24"/>
          <w:szCs w:val="24"/>
        </w:rPr>
        <w:tab/>
      </w:r>
      <w:r w:rsidRPr="002C46EE">
        <w:rPr>
          <w:sz w:val="24"/>
          <w:szCs w:val="24"/>
        </w:rPr>
        <w:tab/>
      </w:r>
      <w:r w:rsidRPr="002C46EE">
        <w:rPr>
          <w:sz w:val="24"/>
          <w:szCs w:val="24"/>
        </w:rPr>
        <w:tab/>
      </w:r>
      <w:r w:rsidRPr="002C46EE">
        <w:rPr>
          <w:sz w:val="24"/>
          <w:szCs w:val="24"/>
        </w:rPr>
        <w:tab/>
      </w:r>
      <w:r w:rsidRPr="002C46EE">
        <w:rPr>
          <w:sz w:val="24"/>
          <w:szCs w:val="24"/>
        </w:rPr>
        <w:tab/>
      </w:r>
      <w:r w:rsidRPr="002C46EE">
        <w:rPr>
          <w:color w:val="0000FF"/>
          <w:sz w:val="24"/>
          <w:szCs w:val="24"/>
          <w:u w:val="single"/>
        </w:rPr>
        <w:t>William.michael@OCC.ohio.gov</w:t>
      </w:r>
    </w:p>
    <w:p w:rsidR="000C7989" w:rsidRPr="002C46EE" w:rsidP="000C7989">
      <w:pPr>
        <w:rPr>
          <w:color w:val="0000FF"/>
          <w:sz w:val="24"/>
          <w:szCs w:val="24"/>
          <w:u w:val="single"/>
        </w:rPr>
      </w:pPr>
      <w:r w:rsidRPr="002C46EE">
        <w:rPr>
          <w:sz w:val="24"/>
          <w:szCs w:val="24"/>
        </w:rPr>
        <w:tab/>
      </w:r>
      <w:r w:rsidRPr="002C46EE">
        <w:rPr>
          <w:sz w:val="24"/>
          <w:szCs w:val="24"/>
        </w:rPr>
        <w:tab/>
      </w:r>
      <w:r w:rsidRPr="002C46EE">
        <w:rPr>
          <w:sz w:val="24"/>
          <w:szCs w:val="24"/>
        </w:rPr>
        <w:tab/>
      </w:r>
      <w:r w:rsidRPr="002C46EE">
        <w:rPr>
          <w:sz w:val="24"/>
          <w:szCs w:val="24"/>
        </w:rPr>
        <w:tab/>
      </w:r>
      <w:r w:rsidRPr="002C46EE">
        <w:rPr>
          <w:sz w:val="24"/>
          <w:szCs w:val="24"/>
        </w:rPr>
        <w:tab/>
      </w:r>
      <w:r w:rsidRPr="002C46EE">
        <w:rPr>
          <w:sz w:val="24"/>
          <w:szCs w:val="24"/>
        </w:rPr>
        <w:tab/>
      </w:r>
      <w:r w:rsidRPr="002C46EE">
        <w:rPr>
          <w:color w:val="0000FF"/>
          <w:sz w:val="24"/>
          <w:szCs w:val="24"/>
          <w:u w:val="single"/>
        </w:rPr>
        <w:t>Kevin.moore@OCC.ohio.gov</w:t>
      </w:r>
    </w:p>
    <w:p w:rsidR="000C7989" w:rsidRPr="002C46EE" w:rsidP="000C7989">
      <w:pPr>
        <w:rPr>
          <w:sz w:val="24"/>
          <w:szCs w:val="24"/>
        </w:rPr>
      </w:pPr>
      <w:r w:rsidRPr="002C46EE">
        <w:rPr>
          <w:sz w:val="24"/>
          <w:szCs w:val="24"/>
        </w:rPr>
        <w:tab/>
      </w:r>
      <w:r w:rsidRPr="002C46EE">
        <w:rPr>
          <w:sz w:val="24"/>
          <w:szCs w:val="24"/>
        </w:rPr>
        <w:tab/>
      </w:r>
      <w:r w:rsidRPr="002C46EE">
        <w:rPr>
          <w:sz w:val="24"/>
          <w:szCs w:val="24"/>
        </w:rPr>
        <w:tab/>
      </w:r>
      <w:r w:rsidRPr="002C46EE">
        <w:rPr>
          <w:sz w:val="24"/>
          <w:szCs w:val="24"/>
        </w:rPr>
        <w:tab/>
      </w:r>
      <w:r w:rsidRPr="002C46EE">
        <w:rPr>
          <w:sz w:val="24"/>
          <w:szCs w:val="24"/>
        </w:rPr>
        <w:tab/>
      </w:r>
      <w:r w:rsidRPr="002C46EE">
        <w:rPr>
          <w:sz w:val="24"/>
          <w:szCs w:val="24"/>
        </w:rPr>
        <w:tab/>
        <w:t xml:space="preserve">(All attorneys will accept service via email) </w:t>
      </w:r>
    </w:p>
    <w:p w:rsidR="00B07F4F" w:rsidRPr="002C46EE" w:rsidP="000C7989">
      <w:pPr>
        <w:rPr>
          <w:sz w:val="24"/>
          <w:szCs w:val="24"/>
        </w:rPr>
      </w:pPr>
    </w:p>
    <w:p w:rsidR="00B07F4F" w:rsidRPr="002C46EE" w:rsidP="000C7989">
      <w:pPr>
        <w:rPr>
          <w:sz w:val="24"/>
          <w:szCs w:val="24"/>
        </w:rPr>
      </w:pPr>
    </w:p>
    <w:p w:rsidR="00B07F4F" w:rsidRPr="002C46EE" w:rsidP="000C7989">
      <w:pPr>
        <w:rPr>
          <w:sz w:val="24"/>
          <w:szCs w:val="24"/>
        </w:rPr>
        <w:sectPr w:rsidSect="00574590">
          <w:headerReference w:type="default" r:id="rId11"/>
          <w:footerReference w:type="default" r:id="rId12"/>
          <w:pgSz w:w="12240" w:h="15840"/>
          <w:pgMar w:top="1440" w:right="1800" w:bottom="1440" w:left="1800" w:header="720" w:footer="720" w:gutter="0"/>
          <w:pgNumType w:start="2"/>
          <w:cols w:space="720"/>
          <w:docGrid w:linePitch="360"/>
        </w:sectPr>
      </w:pPr>
    </w:p>
    <w:p w:rsidR="000C7989" w:rsidRPr="002C46EE" w:rsidP="00B07F4F">
      <w:pPr>
        <w:jc w:val="center"/>
        <w:rPr>
          <w:b/>
          <w:sz w:val="24"/>
          <w:szCs w:val="24"/>
        </w:rPr>
      </w:pPr>
      <w:r w:rsidRPr="002C46EE">
        <w:rPr>
          <w:b/>
          <w:sz w:val="24"/>
          <w:szCs w:val="24"/>
        </w:rPr>
        <w:t>TABLE OF CONTENTS</w:t>
      </w:r>
    </w:p>
    <w:p w:rsidR="000C7989" w:rsidRPr="002C46EE" w:rsidP="000C7989">
      <w:pPr>
        <w:rPr>
          <w:b/>
          <w:sz w:val="24"/>
          <w:szCs w:val="24"/>
        </w:rPr>
      </w:pPr>
      <w:r w:rsidRPr="002C46EE">
        <w:rPr>
          <w:sz w:val="24"/>
          <w:szCs w:val="24"/>
        </w:rPr>
        <w:tab/>
      </w:r>
      <w:r w:rsidRPr="002C46EE">
        <w:rPr>
          <w:sz w:val="24"/>
          <w:szCs w:val="24"/>
        </w:rPr>
        <w:tab/>
      </w:r>
      <w:r w:rsidRPr="002C46EE">
        <w:rPr>
          <w:sz w:val="24"/>
          <w:szCs w:val="24"/>
        </w:rPr>
        <w:tab/>
      </w:r>
      <w:r w:rsidRPr="002C46EE">
        <w:rPr>
          <w:sz w:val="24"/>
          <w:szCs w:val="24"/>
        </w:rPr>
        <w:tab/>
      </w:r>
      <w:r w:rsidRPr="002C46EE">
        <w:rPr>
          <w:sz w:val="24"/>
          <w:szCs w:val="24"/>
        </w:rPr>
        <w:tab/>
      </w:r>
      <w:r w:rsidRPr="002C46EE">
        <w:rPr>
          <w:sz w:val="24"/>
          <w:szCs w:val="24"/>
        </w:rPr>
        <w:tab/>
      </w:r>
      <w:r w:rsidRPr="002C46EE">
        <w:rPr>
          <w:sz w:val="24"/>
          <w:szCs w:val="24"/>
        </w:rPr>
        <w:tab/>
      </w:r>
      <w:r w:rsidRPr="002C46EE">
        <w:rPr>
          <w:sz w:val="24"/>
          <w:szCs w:val="24"/>
        </w:rPr>
        <w:tab/>
      </w:r>
      <w:r w:rsidRPr="002C46EE">
        <w:rPr>
          <w:sz w:val="24"/>
          <w:szCs w:val="24"/>
        </w:rPr>
        <w:tab/>
      </w:r>
      <w:r w:rsidRPr="002C46EE">
        <w:rPr>
          <w:sz w:val="24"/>
          <w:szCs w:val="24"/>
        </w:rPr>
        <w:tab/>
      </w:r>
      <w:r w:rsidRPr="002C46EE">
        <w:rPr>
          <w:sz w:val="24"/>
          <w:szCs w:val="24"/>
        </w:rPr>
        <w:tab/>
      </w:r>
      <w:r w:rsidRPr="002C46EE">
        <w:rPr>
          <w:b/>
          <w:sz w:val="24"/>
          <w:szCs w:val="24"/>
        </w:rPr>
        <w:t>PAGE</w:t>
      </w:r>
    </w:p>
    <w:p w:rsidR="000C7989" w:rsidRPr="002C46EE" w:rsidP="000C7989">
      <w:pPr>
        <w:rPr>
          <w:sz w:val="24"/>
          <w:szCs w:val="24"/>
        </w:rPr>
      </w:pPr>
    </w:p>
    <w:p w:rsidR="000C7989" w:rsidRPr="002C46EE" w:rsidP="000C7989">
      <w:pPr>
        <w:ind w:left="4320"/>
        <w:jc w:val="both"/>
        <w:rPr>
          <w:sz w:val="24"/>
          <w:szCs w:val="24"/>
        </w:rPr>
      </w:pPr>
    </w:p>
    <w:p w:rsidR="0055039B">
      <w:pPr>
        <w:pStyle w:val="TOC1"/>
        <w:rPr>
          <w:rFonts w:asciiTheme="minorHAnsi" w:eastAsiaTheme="minorEastAsia" w:hAnsiTheme="minorHAnsi" w:cstheme="minorBidi"/>
          <w:caps w:val="0"/>
          <w:noProof/>
          <w:sz w:val="22"/>
          <w:szCs w:val="22"/>
        </w:rPr>
      </w:pPr>
      <w:r w:rsidRPr="002C46EE">
        <w:rPr>
          <w:szCs w:val="24"/>
        </w:rPr>
        <w:fldChar w:fldCharType="begin"/>
      </w:r>
      <w:r w:rsidRPr="002C46EE">
        <w:rPr>
          <w:szCs w:val="24"/>
        </w:rPr>
        <w:instrText xml:space="preserve"> TOC \o "1-2" \h \z \u </w:instrText>
      </w:r>
      <w:r w:rsidRPr="002C46EE">
        <w:rPr>
          <w:szCs w:val="24"/>
        </w:rPr>
        <w:fldChar w:fldCharType="separate"/>
      </w:r>
      <w:r>
        <w:fldChar w:fldCharType="begin"/>
      </w:r>
      <w:r>
        <w:instrText xml:space="preserve"> HYPERLINK \l "_Toc468705163" </w:instrText>
      </w:r>
      <w:r>
        <w:fldChar w:fldCharType="separate"/>
      </w:r>
      <w:r w:rsidRPr="007E633F">
        <w:rPr>
          <w:rStyle w:val="Hyperlink"/>
          <w:noProof/>
        </w:rPr>
        <w:t>I.</w:t>
      </w:r>
      <w:r>
        <w:rPr>
          <w:rFonts w:asciiTheme="minorHAnsi" w:eastAsiaTheme="minorEastAsia" w:hAnsiTheme="minorHAnsi" w:cstheme="minorBidi"/>
          <w:caps w:val="0"/>
          <w:noProof/>
          <w:sz w:val="22"/>
          <w:szCs w:val="22"/>
        </w:rPr>
        <w:tab/>
      </w:r>
      <w:r w:rsidRPr="007E633F">
        <w:rPr>
          <w:rStyle w:val="Hyperlink"/>
          <w:noProof/>
        </w:rPr>
        <w:t>INTRODUCTION</w:t>
      </w:r>
      <w:r>
        <w:rPr>
          <w:noProof/>
          <w:webHidden/>
        </w:rPr>
        <w:tab/>
      </w:r>
      <w:r>
        <w:rPr>
          <w:noProof/>
          <w:webHidden/>
        </w:rPr>
        <w:fldChar w:fldCharType="begin"/>
      </w:r>
      <w:r>
        <w:rPr>
          <w:noProof/>
          <w:webHidden/>
        </w:rPr>
        <w:instrText xml:space="preserve"> PAGEREF _Toc468705163 \h </w:instrText>
      </w:r>
      <w:r>
        <w:rPr>
          <w:noProof/>
          <w:webHidden/>
        </w:rPr>
        <w:fldChar w:fldCharType="separate"/>
      </w:r>
      <w:r>
        <w:rPr>
          <w:noProof/>
          <w:webHidden/>
        </w:rPr>
        <w:t>1</w:t>
      </w:r>
      <w:r>
        <w:rPr>
          <w:noProof/>
          <w:webHidden/>
        </w:rPr>
        <w:fldChar w:fldCharType="end"/>
      </w:r>
      <w:r>
        <w:fldChar w:fldCharType="end"/>
      </w:r>
    </w:p>
    <w:p w:rsidR="0055039B">
      <w:pPr>
        <w:pStyle w:val="TOC1"/>
        <w:rPr>
          <w:rFonts w:asciiTheme="minorHAnsi" w:eastAsiaTheme="minorEastAsia" w:hAnsiTheme="minorHAnsi" w:cstheme="minorBidi"/>
          <w:caps w:val="0"/>
          <w:noProof/>
          <w:sz w:val="22"/>
          <w:szCs w:val="22"/>
        </w:rPr>
      </w:pPr>
      <w:r>
        <w:fldChar w:fldCharType="begin"/>
      </w:r>
      <w:r>
        <w:instrText xml:space="preserve"> HYPERLINK \l "_Toc468705164" </w:instrText>
      </w:r>
      <w:r>
        <w:fldChar w:fldCharType="separate"/>
      </w:r>
      <w:r w:rsidRPr="007E633F" w:rsidR="00684A14">
        <w:rPr>
          <w:rStyle w:val="Hyperlink"/>
          <w:noProof/>
        </w:rPr>
        <w:t>II.</w:t>
      </w:r>
      <w:r w:rsidR="00684A14">
        <w:rPr>
          <w:rFonts w:asciiTheme="minorHAnsi" w:eastAsiaTheme="minorEastAsia" w:hAnsiTheme="minorHAnsi" w:cstheme="minorBidi"/>
          <w:caps w:val="0"/>
          <w:noProof/>
          <w:sz w:val="22"/>
          <w:szCs w:val="22"/>
        </w:rPr>
        <w:tab/>
      </w:r>
      <w:r w:rsidRPr="007E633F" w:rsidR="00684A14">
        <w:rPr>
          <w:rStyle w:val="Hyperlink"/>
          <w:noProof/>
        </w:rPr>
        <w:t>STANDARD OF REVIEW</w:t>
      </w:r>
      <w:r w:rsidR="00684A14">
        <w:rPr>
          <w:noProof/>
          <w:webHidden/>
        </w:rPr>
        <w:tab/>
      </w:r>
      <w:r w:rsidR="00684A14">
        <w:rPr>
          <w:noProof/>
          <w:webHidden/>
        </w:rPr>
        <w:fldChar w:fldCharType="begin"/>
      </w:r>
      <w:r w:rsidR="00684A14">
        <w:rPr>
          <w:noProof/>
          <w:webHidden/>
        </w:rPr>
        <w:instrText xml:space="preserve"> PAGEREF _Toc468705164 \h </w:instrText>
      </w:r>
      <w:r w:rsidR="00684A14">
        <w:rPr>
          <w:noProof/>
          <w:webHidden/>
        </w:rPr>
        <w:fldChar w:fldCharType="separate"/>
      </w:r>
      <w:r w:rsidR="00684A14">
        <w:rPr>
          <w:noProof/>
          <w:webHidden/>
        </w:rPr>
        <w:t>2</w:t>
      </w:r>
      <w:r w:rsidR="00684A14">
        <w:rPr>
          <w:noProof/>
          <w:webHidden/>
        </w:rPr>
        <w:fldChar w:fldCharType="end"/>
      </w:r>
      <w:r>
        <w:fldChar w:fldCharType="end"/>
      </w:r>
    </w:p>
    <w:p w:rsidR="0055039B">
      <w:pPr>
        <w:pStyle w:val="TOC1"/>
        <w:rPr>
          <w:rFonts w:asciiTheme="minorHAnsi" w:eastAsiaTheme="minorEastAsia" w:hAnsiTheme="minorHAnsi" w:cstheme="minorBidi"/>
          <w:caps w:val="0"/>
          <w:noProof/>
          <w:sz w:val="22"/>
          <w:szCs w:val="22"/>
        </w:rPr>
      </w:pPr>
      <w:r>
        <w:fldChar w:fldCharType="begin"/>
      </w:r>
      <w:r>
        <w:instrText xml:space="preserve"> HYPERLINK \l "_Toc468705165" </w:instrText>
      </w:r>
      <w:r>
        <w:fldChar w:fldCharType="separate"/>
      </w:r>
      <w:r w:rsidRPr="007E633F" w:rsidR="00684A14">
        <w:rPr>
          <w:rStyle w:val="Hyperlink"/>
          <w:rFonts w:eastAsiaTheme="minorHAnsi"/>
          <w:noProof/>
        </w:rPr>
        <w:t>III.</w:t>
      </w:r>
      <w:r w:rsidR="00684A14">
        <w:rPr>
          <w:rFonts w:asciiTheme="minorHAnsi" w:eastAsiaTheme="minorEastAsia" w:hAnsiTheme="minorHAnsi" w:cstheme="minorBidi"/>
          <w:caps w:val="0"/>
          <w:noProof/>
          <w:sz w:val="22"/>
          <w:szCs w:val="22"/>
        </w:rPr>
        <w:tab/>
      </w:r>
      <w:r w:rsidRPr="007E633F" w:rsidR="00684A14">
        <w:rPr>
          <w:rStyle w:val="Hyperlink"/>
          <w:rFonts w:eastAsiaTheme="minorHAnsi"/>
          <w:noProof/>
        </w:rPr>
        <w:t>ERRORS</w:t>
      </w:r>
      <w:r w:rsidR="00684A14">
        <w:rPr>
          <w:noProof/>
          <w:webHidden/>
        </w:rPr>
        <w:tab/>
      </w:r>
      <w:r w:rsidR="00684A14">
        <w:rPr>
          <w:noProof/>
          <w:webHidden/>
        </w:rPr>
        <w:fldChar w:fldCharType="begin"/>
      </w:r>
      <w:r w:rsidR="00684A14">
        <w:rPr>
          <w:noProof/>
          <w:webHidden/>
        </w:rPr>
        <w:instrText xml:space="preserve"> PAGEREF _Toc468705165 \h </w:instrText>
      </w:r>
      <w:r w:rsidR="00684A14">
        <w:rPr>
          <w:noProof/>
          <w:webHidden/>
        </w:rPr>
        <w:fldChar w:fldCharType="separate"/>
      </w:r>
      <w:r w:rsidR="00684A14">
        <w:rPr>
          <w:noProof/>
          <w:webHidden/>
        </w:rPr>
        <w:t>3</w:t>
      </w:r>
      <w:r w:rsidR="00684A14">
        <w:rPr>
          <w:noProof/>
          <w:webHidden/>
        </w:rPr>
        <w:fldChar w:fldCharType="end"/>
      </w:r>
      <w:r>
        <w:fldChar w:fldCharType="end"/>
      </w:r>
    </w:p>
    <w:p w:rsidR="0055039B">
      <w:pPr>
        <w:pStyle w:val="TOC2"/>
        <w:rPr>
          <w:rFonts w:asciiTheme="minorHAnsi" w:eastAsiaTheme="minorEastAsia" w:hAnsiTheme="minorHAnsi" w:cstheme="minorBidi"/>
          <w:noProof/>
          <w:sz w:val="22"/>
          <w:szCs w:val="22"/>
        </w:rPr>
      </w:pPr>
      <w:r>
        <w:fldChar w:fldCharType="begin"/>
      </w:r>
      <w:r>
        <w:instrText xml:space="preserve"> HYPERLINK \l "_Toc468705166" </w:instrText>
      </w:r>
      <w:r>
        <w:fldChar w:fldCharType="separate"/>
      </w:r>
      <w:r w:rsidRPr="007E633F" w:rsidR="00684A14">
        <w:rPr>
          <w:rStyle w:val="Hyperlink"/>
          <w:rFonts w:eastAsiaTheme="minorHAnsi"/>
          <w:noProof/>
        </w:rPr>
        <w:t>ASSIGNMENT OF ERROR 1:  The PUCO erred when it unlawfully and unreasonably approved a PPA rider without statutory authority to do so.</w:t>
      </w:r>
      <w:r w:rsidR="00684A14">
        <w:rPr>
          <w:noProof/>
          <w:webHidden/>
        </w:rPr>
        <w:tab/>
      </w:r>
      <w:r w:rsidR="00684A14">
        <w:rPr>
          <w:noProof/>
          <w:webHidden/>
        </w:rPr>
        <w:fldChar w:fldCharType="begin"/>
      </w:r>
      <w:r w:rsidR="00684A14">
        <w:rPr>
          <w:noProof/>
          <w:webHidden/>
        </w:rPr>
        <w:instrText xml:space="preserve"> PAGEREF _Toc468705166 \h </w:instrText>
      </w:r>
      <w:r w:rsidR="00684A14">
        <w:rPr>
          <w:noProof/>
          <w:webHidden/>
        </w:rPr>
        <w:fldChar w:fldCharType="separate"/>
      </w:r>
      <w:r w:rsidR="00684A14">
        <w:rPr>
          <w:noProof/>
          <w:webHidden/>
        </w:rPr>
        <w:t>3</w:t>
      </w:r>
      <w:r w:rsidR="00684A14">
        <w:rPr>
          <w:noProof/>
          <w:webHidden/>
        </w:rPr>
        <w:fldChar w:fldCharType="end"/>
      </w:r>
      <w:r>
        <w:fldChar w:fldCharType="end"/>
      </w:r>
    </w:p>
    <w:p w:rsidR="0055039B">
      <w:pPr>
        <w:pStyle w:val="TOC2"/>
        <w:rPr>
          <w:rFonts w:asciiTheme="minorHAnsi" w:eastAsiaTheme="minorEastAsia" w:hAnsiTheme="minorHAnsi" w:cstheme="minorBidi"/>
          <w:noProof/>
          <w:sz w:val="22"/>
          <w:szCs w:val="22"/>
        </w:rPr>
      </w:pPr>
      <w:r>
        <w:fldChar w:fldCharType="begin"/>
      </w:r>
      <w:r>
        <w:instrText xml:space="preserve"> HYPERLINK \l "_Toc468705167" </w:instrText>
      </w:r>
      <w:r>
        <w:fldChar w:fldCharType="separate"/>
      </w:r>
      <w:r w:rsidRPr="007E633F" w:rsidR="00684A14">
        <w:rPr>
          <w:rStyle w:val="Hyperlink"/>
          <w:rFonts w:eastAsiaTheme="minorHAnsi"/>
          <w:noProof/>
        </w:rPr>
        <w:t>ASSIGNMENT OF ERROR 2:  The PUCO erred by unlawfully and unreasonably approving the PPA rider under R.C. 4928.143(B)(2)(d) when the Utility’s application failed to meet the mandatory statutory filing requirements of Ohio Adm. Code 4901:1-35-03(C)(9)(c)(i).</w:t>
      </w:r>
      <w:r w:rsidR="00684A14">
        <w:rPr>
          <w:noProof/>
          <w:webHidden/>
        </w:rPr>
        <w:tab/>
      </w:r>
      <w:r w:rsidR="00684A14">
        <w:rPr>
          <w:noProof/>
          <w:webHidden/>
        </w:rPr>
        <w:fldChar w:fldCharType="begin"/>
      </w:r>
      <w:r w:rsidR="00684A14">
        <w:rPr>
          <w:noProof/>
          <w:webHidden/>
        </w:rPr>
        <w:instrText xml:space="preserve"> PAGEREF _Toc468705167 \h </w:instrText>
      </w:r>
      <w:r w:rsidR="00684A14">
        <w:rPr>
          <w:noProof/>
          <w:webHidden/>
        </w:rPr>
        <w:fldChar w:fldCharType="separate"/>
      </w:r>
      <w:r w:rsidR="00684A14">
        <w:rPr>
          <w:noProof/>
          <w:webHidden/>
        </w:rPr>
        <w:t>6</w:t>
      </w:r>
      <w:r w:rsidR="00684A14">
        <w:rPr>
          <w:noProof/>
          <w:webHidden/>
        </w:rPr>
        <w:fldChar w:fldCharType="end"/>
      </w:r>
      <w:r>
        <w:fldChar w:fldCharType="end"/>
      </w:r>
    </w:p>
    <w:p w:rsidR="0055039B">
      <w:pPr>
        <w:pStyle w:val="TOC2"/>
        <w:rPr>
          <w:rFonts w:asciiTheme="minorHAnsi" w:eastAsiaTheme="minorEastAsia" w:hAnsiTheme="minorHAnsi" w:cstheme="minorBidi"/>
          <w:noProof/>
          <w:sz w:val="22"/>
          <w:szCs w:val="22"/>
        </w:rPr>
      </w:pPr>
      <w:r>
        <w:fldChar w:fldCharType="begin"/>
      </w:r>
      <w:r>
        <w:instrText xml:space="preserve"> HYPERLINK \l "_Toc468705168" </w:instrText>
      </w:r>
      <w:r>
        <w:fldChar w:fldCharType="separate"/>
      </w:r>
      <w:r w:rsidRPr="007E633F" w:rsidR="00684A14">
        <w:rPr>
          <w:rStyle w:val="Hyperlink"/>
          <w:rFonts w:eastAsiaTheme="minorHAnsi"/>
          <w:noProof/>
        </w:rPr>
        <w:t>ASSIGNMENT OF ERROR 3:  The PUCO’s decision to defer ruling on the assignments of error related to the PPA rider is unjust and unreasonable because the PUCO does not have such authority.</w:t>
      </w:r>
      <w:r w:rsidR="00684A14">
        <w:rPr>
          <w:noProof/>
          <w:webHidden/>
        </w:rPr>
        <w:tab/>
      </w:r>
      <w:r w:rsidR="00684A14">
        <w:rPr>
          <w:noProof/>
          <w:webHidden/>
        </w:rPr>
        <w:fldChar w:fldCharType="begin"/>
      </w:r>
      <w:r w:rsidR="00684A14">
        <w:rPr>
          <w:noProof/>
          <w:webHidden/>
        </w:rPr>
        <w:instrText xml:space="preserve"> PAGEREF _Toc468705168 \h </w:instrText>
      </w:r>
      <w:r w:rsidR="00684A14">
        <w:rPr>
          <w:noProof/>
          <w:webHidden/>
        </w:rPr>
        <w:fldChar w:fldCharType="separate"/>
      </w:r>
      <w:r w:rsidR="00684A14">
        <w:rPr>
          <w:noProof/>
          <w:webHidden/>
        </w:rPr>
        <w:t>9</w:t>
      </w:r>
      <w:r w:rsidR="00684A14">
        <w:rPr>
          <w:noProof/>
          <w:webHidden/>
        </w:rPr>
        <w:fldChar w:fldCharType="end"/>
      </w:r>
      <w:r>
        <w:fldChar w:fldCharType="end"/>
      </w:r>
    </w:p>
    <w:p w:rsidR="0055039B">
      <w:pPr>
        <w:pStyle w:val="TOC2"/>
        <w:rPr>
          <w:rFonts w:asciiTheme="minorHAnsi" w:eastAsiaTheme="minorEastAsia" w:hAnsiTheme="minorHAnsi" w:cstheme="minorBidi"/>
          <w:noProof/>
          <w:sz w:val="22"/>
          <w:szCs w:val="22"/>
        </w:rPr>
      </w:pPr>
      <w:r>
        <w:fldChar w:fldCharType="begin"/>
      </w:r>
      <w:r>
        <w:instrText xml:space="preserve"> HYPERLINK \l "_Toc468705169" </w:instrText>
      </w:r>
      <w:r>
        <w:fldChar w:fldCharType="separate"/>
      </w:r>
      <w:r w:rsidRPr="007E633F" w:rsidR="00684A14">
        <w:rPr>
          <w:rStyle w:val="Hyperlink"/>
          <w:rFonts w:eastAsiaTheme="minorHAnsi"/>
          <w:noProof/>
        </w:rPr>
        <w:t>ASSIGNMENT OF ERROR 4:  The PUCO’s ruling that AEP Ohio is not required to comply with the corporate separation requirements of R.C. 4928.17 is unlawful and unreasonable.</w:t>
      </w:r>
      <w:r w:rsidR="00684A14">
        <w:rPr>
          <w:noProof/>
          <w:webHidden/>
        </w:rPr>
        <w:tab/>
      </w:r>
      <w:r w:rsidR="00684A14">
        <w:rPr>
          <w:noProof/>
          <w:webHidden/>
        </w:rPr>
        <w:fldChar w:fldCharType="begin"/>
      </w:r>
      <w:r w:rsidR="00684A14">
        <w:rPr>
          <w:noProof/>
          <w:webHidden/>
        </w:rPr>
        <w:instrText xml:space="preserve"> PAGEREF _Toc468705169 \h </w:instrText>
      </w:r>
      <w:r w:rsidR="00684A14">
        <w:rPr>
          <w:noProof/>
          <w:webHidden/>
        </w:rPr>
        <w:fldChar w:fldCharType="separate"/>
      </w:r>
      <w:r w:rsidR="00684A14">
        <w:rPr>
          <w:noProof/>
          <w:webHidden/>
        </w:rPr>
        <w:t>10</w:t>
      </w:r>
      <w:r w:rsidR="00684A14">
        <w:rPr>
          <w:noProof/>
          <w:webHidden/>
        </w:rPr>
        <w:fldChar w:fldCharType="end"/>
      </w:r>
      <w:r>
        <w:fldChar w:fldCharType="end"/>
      </w:r>
    </w:p>
    <w:p w:rsidR="0055039B">
      <w:pPr>
        <w:pStyle w:val="TOC1"/>
        <w:rPr>
          <w:rFonts w:asciiTheme="minorHAnsi" w:eastAsiaTheme="minorEastAsia" w:hAnsiTheme="minorHAnsi" w:cstheme="minorBidi"/>
          <w:caps w:val="0"/>
          <w:noProof/>
          <w:sz w:val="22"/>
          <w:szCs w:val="22"/>
        </w:rPr>
      </w:pPr>
      <w:r>
        <w:fldChar w:fldCharType="begin"/>
      </w:r>
      <w:r>
        <w:instrText xml:space="preserve"> HYPERLINK \l "_Toc468705170" </w:instrText>
      </w:r>
      <w:r>
        <w:fldChar w:fldCharType="separate"/>
      </w:r>
      <w:r w:rsidRPr="007E633F" w:rsidR="00684A14">
        <w:rPr>
          <w:rStyle w:val="Hyperlink"/>
          <w:noProof/>
        </w:rPr>
        <w:t>iv.</w:t>
      </w:r>
      <w:r w:rsidR="00684A14">
        <w:rPr>
          <w:rFonts w:asciiTheme="minorHAnsi" w:eastAsiaTheme="minorEastAsia" w:hAnsiTheme="minorHAnsi" w:cstheme="minorBidi"/>
          <w:caps w:val="0"/>
          <w:noProof/>
          <w:sz w:val="22"/>
          <w:szCs w:val="22"/>
        </w:rPr>
        <w:tab/>
      </w:r>
      <w:r w:rsidRPr="007E633F" w:rsidR="00684A14">
        <w:rPr>
          <w:rStyle w:val="Hyperlink"/>
          <w:noProof/>
        </w:rPr>
        <w:t>CONCLUSION</w:t>
      </w:r>
      <w:r w:rsidR="00684A14">
        <w:rPr>
          <w:noProof/>
          <w:webHidden/>
        </w:rPr>
        <w:tab/>
      </w:r>
      <w:r w:rsidR="00684A14">
        <w:rPr>
          <w:noProof/>
          <w:webHidden/>
        </w:rPr>
        <w:fldChar w:fldCharType="begin"/>
      </w:r>
      <w:r w:rsidR="00684A14">
        <w:rPr>
          <w:noProof/>
          <w:webHidden/>
        </w:rPr>
        <w:instrText xml:space="preserve"> PAGEREF _Toc468705170 \h </w:instrText>
      </w:r>
      <w:r w:rsidR="00684A14">
        <w:rPr>
          <w:noProof/>
          <w:webHidden/>
        </w:rPr>
        <w:fldChar w:fldCharType="separate"/>
      </w:r>
      <w:r w:rsidR="00684A14">
        <w:rPr>
          <w:noProof/>
          <w:webHidden/>
        </w:rPr>
        <w:t>12</w:t>
      </w:r>
      <w:r w:rsidR="00684A14">
        <w:rPr>
          <w:noProof/>
          <w:webHidden/>
        </w:rPr>
        <w:fldChar w:fldCharType="end"/>
      </w:r>
      <w:r>
        <w:fldChar w:fldCharType="end"/>
      </w:r>
    </w:p>
    <w:p w:rsidR="000C7989" w:rsidRPr="002C46EE" w:rsidP="000C7989">
      <w:pPr>
        <w:ind w:left="4320"/>
        <w:rPr>
          <w:sz w:val="24"/>
          <w:szCs w:val="24"/>
        </w:rPr>
      </w:pPr>
      <w:r w:rsidRPr="002C46EE">
        <w:rPr>
          <w:sz w:val="24"/>
          <w:szCs w:val="24"/>
        </w:rPr>
        <w:fldChar w:fldCharType="end"/>
      </w:r>
    </w:p>
    <w:p w:rsidR="000C7989" w:rsidRPr="002C46EE" w:rsidP="000C7989">
      <w:pPr>
        <w:ind w:left="4320"/>
        <w:rPr>
          <w:sz w:val="24"/>
          <w:szCs w:val="24"/>
        </w:rPr>
      </w:pPr>
    </w:p>
    <w:p w:rsidR="000C7989" w:rsidRPr="002C46EE">
      <w:pPr>
        <w:rPr>
          <w:sz w:val="24"/>
          <w:szCs w:val="24"/>
        </w:rPr>
        <w:sectPr w:rsidSect="008953D2">
          <w:headerReference w:type="default" r:id="rId13"/>
          <w:footerReference w:type="default" r:id="rId14"/>
          <w:pgSz w:w="12240" w:h="15840"/>
          <w:pgMar w:top="1440" w:right="1800" w:bottom="1440" w:left="1800" w:header="720" w:footer="720" w:gutter="0"/>
          <w:pgNumType w:fmt="lowerRoman" w:start="1"/>
          <w:cols w:space="720"/>
          <w:docGrid w:linePitch="360"/>
        </w:sectPr>
      </w:pPr>
    </w:p>
    <w:p w:rsidR="000C7989" w:rsidRPr="002C46EE" w:rsidP="000C7989">
      <w:pPr>
        <w:pStyle w:val="List"/>
        <w:ind w:left="0" w:firstLine="0"/>
        <w:jc w:val="center"/>
        <w:rPr>
          <w:b/>
          <w:szCs w:val="24"/>
        </w:rPr>
      </w:pPr>
      <w:r w:rsidRPr="002C46EE">
        <w:rPr>
          <w:b/>
          <w:szCs w:val="24"/>
        </w:rPr>
        <w:t>BEFORE</w:t>
      </w:r>
    </w:p>
    <w:p w:rsidR="000C7989" w:rsidRPr="002C46EE" w:rsidP="000C7989">
      <w:pPr>
        <w:pStyle w:val="List"/>
        <w:ind w:left="0" w:firstLine="0"/>
        <w:jc w:val="center"/>
        <w:rPr>
          <w:b/>
          <w:szCs w:val="24"/>
        </w:rPr>
      </w:pPr>
      <w:r w:rsidRPr="002C46EE">
        <w:rPr>
          <w:b/>
          <w:szCs w:val="24"/>
        </w:rPr>
        <w:t>THE PUBLIC UTILITIES COMMISSION OF OHIO</w:t>
      </w:r>
    </w:p>
    <w:p w:rsidR="000C7989" w:rsidRPr="002C46EE" w:rsidP="000C7989">
      <w:pPr>
        <w:pStyle w:val="BodyText"/>
        <w:jc w:val="center"/>
        <w:rPr>
          <w:b/>
          <w:sz w:val="24"/>
          <w:szCs w:val="24"/>
        </w:rPr>
      </w:pPr>
    </w:p>
    <w:tbl>
      <w:tblPr>
        <w:tblW w:w="9092" w:type="dxa"/>
        <w:tblInd w:w="0" w:type="dxa"/>
        <w:tblCellMar>
          <w:top w:w="0" w:type="dxa"/>
          <w:left w:w="108" w:type="dxa"/>
          <w:bottom w:w="0" w:type="dxa"/>
          <w:right w:w="108" w:type="dxa"/>
        </w:tblCellMar>
        <w:tblLook w:val="01E0"/>
      </w:tblPr>
      <w:tblGrid>
        <w:gridCol w:w="4332"/>
        <w:gridCol w:w="360"/>
        <w:gridCol w:w="4400"/>
      </w:tblGrid>
      <w:tr w:rsidTr="001C134B">
        <w:tblPrEx>
          <w:tblW w:w="9092" w:type="dxa"/>
          <w:tblInd w:w="0" w:type="dxa"/>
          <w:tblCellMar>
            <w:top w:w="0" w:type="dxa"/>
            <w:left w:w="108" w:type="dxa"/>
            <w:bottom w:w="0" w:type="dxa"/>
            <w:right w:w="108" w:type="dxa"/>
          </w:tblCellMar>
          <w:tblLook w:val="01E0"/>
        </w:tblPrEx>
        <w:trPr>
          <w:trHeight w:val="807"/>
        </w:trPr>
        <w:tc>
          <w:tcPr>
            <w:tcW w:w="4332" w:type="dxa"/>
            <w:shd w:val="clear" w:color="auto" w:fill="auto"/>
          </w:tcPr>
          <w:p w:rsidR="000C7989" w:rsidRPr="002C46EE" w:rsidP="001C134B">
            <w:pPr>
              <w:autoSpaceDE w:val="0"/>
              <w:autoSpaceDN w:val="0"/>
              <w:adjustRightInd w:val="0"/>
              <w:spacing w:after="0" w:line="240" w:lineRule="auto"/>
              <w:rPr>
                <w:rStyle w:val="DefaultParagraphFont"/>
                <w:rFonts w:ascii="Times New Roman" w:eastAsia="Times New Roman" w:hAnsi="Times New Roman" w:cs="Times New Roman"/>
                <w:sz w:val="24"/>
                <w:szCs w:val="24"/>
                <w:lang w:val="en-US" w:eastAsia="en-US" w:bidi="ar-SA"/>
              </w:rPr>
            </w:pPr>
            <w:r w:rsidRPr="002C46EE">
              <w:rPr>
                <w:rFonts w:ascii="Times New Roman" w:eastAsia="Times New Roman" w:hAnsi="Times New Roman" w:cs="Times New Roman"/>
                <w:sz w:val="24"/>
                <w:szCs w:val="24"/>
                <w:lang w:val="en-US" w:eastAsia="en-US" w:bidi="ar-SA"/>
              </w:rPr>
              <w:t xml:space="preserve">In the Matter of the Application of Ohio Power Company for Authority to  Establish a Standard Service Offer </w:t>
            </w:r>
          </w:p>
          <w:p w:rsidR="000C7989" w:rsidRPr="002C46EE" w:rsidP="001C134B">
            <w:pPr>
              <w:autoSpaceDE w:val="0"/>
              <w:autoSpaceDN w:val="0"/>
              <w:adjustRightInd w:val="0"/>
              <w:spacing w:after="0" w:line="240" w:lineRule="auto"/>
              <w:rPr>
                <w:rStyle w:val="DefaultParagraphFont"/>
                <w:rFonts w:ascii="Times New Roman" w:eastAsia="Times New Roman" w:hAnsi="Times New Roman" w:cs="Times New Roman"/>
                <w:sz w:val="24"/>
                <w:szCs w:val="24"/>
                <w:lang w:val="en-US" w:eastAsia="en-US" w:bidi="ar-SA"/>
              </w:rPr>
            </w:pPr>
            <w:r w:rsidRPr="002C46EE">
              <w:rPr>
                <w:rFonts w:ascii="Times New Roman" w:eastAsia="Times New Roman" w:hAnsi="Times New Roman" w:cs="Times New Roman"/>
                <w:sz w:val="24"/>
                <w:szCs w:val="24"/>
                <w:lang w:val="en-US" w:eastAsia="en-US" w:bidi="ar-SA"/>
              </w:rPr>
              <w:t xml:space="preserve">Pursuant to §4928.143, Revised Code, </w:t>
            </w:r>
          </w:p>
          <w:p w:rsidR="000C7989" w:rsidRPr="002C46EE" w:rsidP="001C134B">
            <w:pPr>
              <w:autoSpaceDE w:val="0"/>
              <w:autoSpaceDN w:val="0"/>
              <w:adjustRightInd w:val="0"/>
              <w:spacing w:after="0" w:line="240" w:lineRule="auto"/>
              <w:rPr>
                <w:rStyle w:val="DefaultParagraphFont"/>
                <w:rFonts w:ascii="Times New Roman" w:eastAsia="Times New Roman" w:hAnsi="Times New Roman" w:cs="Times New Roman"/>
                <w:sz w:val="24"/>
                <w:szCs w:val="24"/>
                <w:lang w:val="en-US" w:eastAsia="en-US" w:bidi="ar-SA"/>
              </w:rPr>
            </w:pPr>
            <w:r w:rsidRPr="002C46EE">
              <w:rPr>
                <w:rFonts w:ascii="Times New Roman" w:eastAsia="Times New Roman" w:hAnsi="Times New Roman" w:cs="Times New Roman"/>
                <w:sz w:val="24"/>
                <w:szCs w:val="24"/>
                <w:lang w:val="en-US" w:eastAsia="en-US" w:bidi="ar-SA"/>
              </w:rPr>
              <w:t xml:space="preserve">in the Form of an Electric Security Plan. </w:t>
            </w:r>
          </w:p>
          <w:p w:rsidR="000C7989" w:rsidRPr="002C46EE" w:rsidP="001C134B">
            <w:pPr>
              <w:autoSpaceDE w:val="0"/>
              <w:autoSpaceDN w:val="0"/>
              <w:adjustRightInd w:val="0"/>
              <w:spacing w:after="0" w:line="240" w:lineRule="auto"/>
              <w:rPr>
                <w:rStyle w:val="DefaultParagraphFont"/>
                <w:rFonts w:ascii="Times New Roman" w:eastAsia="Times New Roman" w:hAnsi="Times New Roman" w:cs="Times New Roman"/>
                <w:sz w:val="24"/>
                <w:szCs w:val="24"/>
                <w:lang w:val="en-US" w:eastAsia="en-US" w:bidi="ar-SA"/>
              </w:rPr>
            </w:pPr>
          </w:p>
          <w:p w:rsidR="000C7989" w:rsidRPr="002C46EE" w:rsidP="001C134B">
            <w:pPr>
              <w:autoSpaceDE w:val="0"/>
              <w:autoSpaceDN w:val="0"/>
              <w:adjustRightInd w:val="0"/>
              <w:spacing w:after="0" w:line="240" w:lineRule="auto"/>
              <w:rPr>
                <w:rStyle w:val="DefaultParagraphFont"/>
                <w:rFonts w:ascii="Times New Roman" w:eastAsia="Times New Roman" w:hAnsi="Times New Roman" w:cs="Times New Roman"/>
                <w:sz w:val="24"/>
                <w:szCs w:val="24"/>
                <w:lang w:val="en-US" w:eastAsia="en-US" w:bidi="ar-SA"/>
              </w:rPr>
            </w:pPr>
            <w:r w:rsidRPr="002C46EE">
              <w:rPr>
                <w:rFonts w:ascii="Times New Roman" w:eastAsia="Times New Roman" w:hAnsi="Times New Roman" w:cs="Times New Roman"/>
                <w:sz w:val="24"/>
                <w:szCs w:val="24"/>
                <w:lang w:val="en-US" w:eastAsia="en-US" w:bidi="ar-SA"/>
              </w:rPr>
              <w:t xml:space="preserve">In the Matter of the Application of Ohio Power Company for Approval of </w:t>
            </w:r>
          </w:p>
          <w:p w:rsidR="000C7989" w:rsidRPr="002C46EE" w:rsidP="001C134B">
            <w:pPr>
              <w:spacing w:after="0" w:line="240" w:lineRule="auto"/>
              <w:rPr>
                <w:rStyle w:val="DefaultParagraphFont"/>
                <w:rFonts w:ascii="Times New Roman" w:eastAsia="Times New Roman" w:hAnsi="Times New Roman" w:cs="Times New Roman"/>
                <w:sz w:val="24"/>
                <w:szCs w:val="24"/>
                <w:lang w:val="en-US" w:eastAsia="en-US" w:bidi="ar-SA"/>
              </w:rPr>
            </w:pPr>
            <w:r w:rsidRPr="002C46EE">
              <w:rPr>
                <w:rFonts w:ascii="Times New Roman" w:eastAsia="Times New Roman" w:hAnsi="Times New Roman" w:cs="Times New Roman"/>
                <w:sz w:val="24"/>
                <w:szCs w:val="24"/>
                <w:lang w:val="en-US" w:eastAsia="en-US" w:bidi="ar-SA"/>
              </w:rPr>
              <w:t xml:space="preserve">Certain Accounting Authority. </w:t>
            </w:r>
          </w:p>
          <w:p w:rsidR="000C7989" w:rsidRPr="002C46EE" w:rsidP="001C134B">
            <w:pPr>
              <w:spacing w:after="0" w:line="240" w:lineRule="auto"/>
              <w:rPr>
                <w:rStyle w:val="DefaultParagraphFont"/>
                <w:rFonts w:ascii="Times New Roman" w:eastAsia="Times New Roman" w:hAnsi="Times New Roman" w:cs="Times New Roman"/>
                <w:sz w:val="24"/>
                <w:szCs w:val="24"/>
                <w:lang w:val="en-US" w:eastAsia="en-US" w:bidi="ar-SA"/>
              </w:rPr>
            </w:pPr>
          </w:p>
        </w:tc>
        <w:tc>
          <w:tcPr>
            <w:tcW w:w="360" w:type="dxa"/>
            <w:shd w:val="clear" w:color="auto" w:fill="auto"/>
          </w:tcPr>
          <w:p w:rsidR="000C7989" w:rsidRPr="002C46EE" w:rsidP="001C134B">
            <w:pPr>
              <w:spacing w:after="0" w:line="240" w:lineRule="auto"/>
              <w:rPr>
                <w:rStyle w:val="DefaultParagraphFont"/>
                <w:rFonts w:ascii="Times New Roman" w:eastAsia="Times New Roman" w:hAnsi="Times New Roman" w:cs="Times New Roman"/>
                <w:sz w:val="24"/>
                <w:szCs w:val="24"/>
                <w:lang w:val="en-US" w:eastAsia="en-US" w:bidi="ar-SA"/>
              </w:rPr>
            </w:pPr>
            <w:r w:rsidRPr="002C46EE">
              <w:rPr>
                <w:rFonts w:ascii="Times New Roman" w:eastAsia="Times New Roman" w:hAnsi="Times New Roman" w:cs="Times New Roman"/>
                <w:sz w:val="24"/>
                <w:szCs w:val="24"/>
                <w:lang w:val="en-US" w:eastAsia="en-US" w:bidi="ar-SA"/>
              </w:rPr>
              <w:t>)</w:t>
            </w:r>
          </w:p>
          <w:p w:rsidR="000C7989" w:rsidRPr="002C46EE" w:rsidP="001C134B">
            <w:pPr>
              <w:spacing w:after="0" w:line="240" w:lineRule="auto"/>
              <w:rPr>
                <w:rStyle w:val="DefaultParagraphFont"/>
                <w:rFonts w:ascii="Times New Roman" w:eastAsia="Times New Roman" w:hAnsi="Times New Roman" w:cs="Times New Roman"/>
                <w:sz w:val="24"/>
                <w:szCs w:val="24"/>
                <w:lang w:val="en-US" w:eastAsia="en-US" w:bidi="ar-SA"/>
              </w:rPr>
            </w:pPr>
            <w:r w:rsidRPr="002C46EE">
              <w:rPr>
                <w:rFonts w:ascii="Times New Roman" w:eastAsia="Times New Roman" w:hAnsi="Times New Roman" w:cs="Times New Roman"/>
                <w:sz w:val="24"/>
                <w:szCs w:val="24"/>
                <w:lang w:val="en-US" w:eastAsia="en-US" w:bidi="ar-SA"/>
              </w:rPr>
              <w:t>)</w:t>
            </w:r>
          </w:p>
          <w:p w:rsidR="000C7989" w:rsidRPr="002C46EE" w:rsidP="001C134B">
            <w:pPr>
              <w:spacing w:after="0" w:line="240" w:lineRule="auto"/>
              <w:rPr>
                <w:rStyle w:val="DefaultParagraphFont"/>
                <w:rFonts w:ascii="Times New Roman" w:eastAsia="Times New Roman" w:hAnsi="Times New Roman" w:cs="Times New Roman"/>
                <w:sz w:val="24"/>
                <w:szCs w:val="24"/>
                <w:lang w:val="en-US" w:eastAsia="en-US" w:bidi="ar-SA"/>
              </w:rPr>
            </w:pPr>
            <w:r w:rsidRPr="002C46EE">
              <w:rPr>
                <w:rFonts w:ascii="Times New Roman" w:eastAsia="Times New Roman" w:hAnsi="Times New Roman" w:cs="Times New Roman"/>
                <w:sz w:val="24"/>
                <w:szCs w:val="24"/>
                <w:lang w:val="en-US" w:eastAsia="en-US" w:bidi="ar-SA"/>
              </w:rPr>
              <w:t>)</w:t>
            </w:r>
          </w:p>
          <w:p w:rsidR="000C7989" w:rsidRPr="002C46EE" w:rsidP="001C134B">
            <w:pPr>
              <w:spacing w:after="0" w:line="240" w:lineRule="auto"/>
              <w:rPr>
                <w:rStyle w:val="DefaultParagraphFont"/>
                <w:rFonts w:ascii="Times New Roman" w:eastAsia="Times New Roman" w:hAnsi="Times New Roman" w:cs="Times New Roman"/>
                <w:sz w:val="24"/>
                <w:szCs w:val="24"/>
                <w:lang w:val="en-US" w:eastAsia="en-US" w:bidi="ar-SA"/>
              </w:rPr>
            </w:pPr>
            <w:r w:rsidRPr="002C46EE">
              <w:rPr>
                <w:rFonts w:ascii="Times New Roman" w:eastAsia="Times New Roman" w:hAnsi="Times New Roman" w:cs="Times New Roman"/>
                <w:sz w:val="24"/>
                <w:szCs w:val="24"/>
                <w:lang w:val="en-US" w:eastAsia="en-US" w:bidi="ar-SA"/>
              </w:rPr>
              <w:t>)</w:t>
            </w:r>
          </w:p>
          <w:p w:rsidR="000C7989" w:rsidRPr="002C46EE" w:rsidP="001C134B">
            <w:pPr>
              <w:spacing w:after="0" w:line="240" w:lineRule="auto"/>
              <w:rPr>
                <w:rStyle w:val="DefaultParagraphFont"/>
                <w:rFonts w:ascii="Times New Roman" w:eastAsia="Times New Roman" w:hAnsi="Times New Roman" w:cs="Times New Roman"/>
                <w:sz w:val="24"/>
                <w:szCs w:val="24"/>
                <w:lang w:val="en-US" w:eastAsia="en-US" w:bidi="ar-SA"/>
              </w:rPr>
            </w:pPr>
            <w:r w:rsidRPr="002C46EE">
              <w:rPr>
                <w:rFonts w:ascii="Times New Roman" w:eastAsia="Times New Roman" w:hAnsi="Times New Roman" w:cs="Times New Roman"/>
                <w:sz w:val="24"/>
                <w:szCs w:val="24"/>
                <w:lang w:val="en-US" w:eastAsia="en-US" w:bidi="ar-SA"/>
              </w:rPr>
              <w:t>)</w:t>
            </w:r>
          </w:p>
          <w:p w:rsidR="000C7989" w:rsidRPr="002C46EE" w:rsidP="001C134B">
            <w:pPr>
              <w:spacing w:after="0" w:line="240" w:lineRule="auto"/>
              <w:rPr>
                <w:rStyle w:val="DefaultParagraphFont"/>
                <w:rFonts w:ascii="Times New Roman" w:eastAsia="Times New Roman" w:hAnsi="Times New Roman" w:cs="Times New Roman"/>
                <w:sz w:val="24"/>
                <w:szCs w:val="24"/>
                <w:lang w:val="en-US" w:eastAsia="en-US" w:bidi="ar-SA"/>
              </w:rPr>
            </w:pPr>
          </w:p>
          <w:p w:rsidR="000C7989" w:rsidRPr="002C46EE" w:rsidP="001C134B">
            <w:pPr>
              <w:spacing w:after="0" w:line="240" w:lineRule="auto"/>
              <w:rPr>
                <w:rStyle w:val="DefaultParagraphFont"/>
                <w:rFonts w:ascii="Times New Roman" w:eastAsia="Times New Roman" w:hAnsi="Times New Roman" w:cs="Times New Roman"/>
                <w:sz w:val="24"/>
                <w:szCs w:val="24"/>
                <w:lang w:val="en-US" w:eastAsia="en-US" w:bidi="ar-SA"/>
              </w:rPr>
            </w:pPr>
            <w:r w:rsidRPr="002C46EE">
              <w:rPr>
                <w:rFonts w:ascii="Times New Roman" w:eastAsia="Times New Roman" w:hAnsi="Times New Roman" w:cs="Times New Roman"/>
                <w:sz w:val="24"/>
                <w:szCs w:val="24"/>
                <w:lang w:val="en-US" w:eastAsia="en-US" w:bidi="ar-SA"/>
              </w:rPr>
              <w:t>)</w:t>
            </w:r>
          </w:p>
          <w:p w:rsidR="000C7989" w:rsidRPr="002C46EE" w:rsidP="001C134B">
            <w:pPr>
              <w:spacing w:after="0" w:line="240" w:lineRule="auto"/>
              <w:rPr>
                <w:rStyle w:val="DefaultParagraphFont"/>
                <w:rFonts w:ascii="Times New Roman" w:eastAsia="Times New Roman" w:hAnsi="Times New Roman" w:cs="Times New Roman"/>
                <w:sz w:val="24"/>
                <w:szCs w:val="24"/>
                <w:lang w:val="en-US" w:eastAsia="en-US" w:bidi="ar-SA"/>
              </w:rPr>
            </w:pPr>
            <w:r w:rsidRPr="002C46EE">
              <w:rPr>
                <w:rFonts w:ascii="Times New Roman" w:eastAsia="Times New Roman" w:hAnsi="Times New Roman" w:cs="Times New Roman"/>
                <w:sz w:val="24"/>
                <w:szCs w:val="24"/>
                <w:lang w:val="en-US" w:eastAsia="en-US" w:bidi="ar-SA"/>
              </w:rPr>
              <w:t>)</w:t>
            </w:r>
          </w:p>
          <w:p w:rsidR="000C7989" w:rsidRPr="002C46EE" w:rsidP="001C134B">
            <w:pPr>
              <w:spacing w:after="0" w:line="240" w:lineRule="auto"/>
              <w:rPr>
                <w:rStyle w:val="DefaultParagraphFont"/>
                <w:rFonts w:ascii="Times New Roman" w:eastAsia="Times New Roman" w:hAnsi="Times New Roman" w:cs="Times New Roman"/>
                <w:sz w:val="24"/>
                <w:szCs w:val="24"/>
                <w:lang w:val="en-US" w:eastAsia="en-US" w:bidi="ar-SA"/>
              </w:rPr>
            </w:pPr>
            <w:r w:rsidRPr="002C46EE">
              <w:rPr>
                <w:rFonts w:ascii="Times New Roman" w:eastAsia="Times New Roman" w:hAnsi="Times New Roman" w:cs="Times New Roman"/>
                <w:sz w:val="24"/>
                <w:szCs w:val="24"/>
                <w:lang w:val="en-US" w:eastAsia="en-US" w:bidi="ar-SA"/>
              </w:rPr>
              <w:t>)</w:t>
            </w:r>
          </w:p>
          <w:p w:rsidR="000C7989" w:rsidRPr="002C46EE" w:rsidP="001C134B">
            <w:pPr>
              <w:spacing w:after="0" w:line="240" w:lineRule="auto"/>
              <w:rPr>
                <w:rStyle w:val="DefaultParagraphFont"/>
                <w:rFonts w:ascii="Times New Roman" w:eastAsia="Times New Roman" w:hAnsi="Times New Roman" w:cs="Times New Roman"/>
                <w:sz w:val="24"/>
                <w:szCs w:val="24"/>
                <w:lang w:val="en-US" w:eastAsia="en-US" w:bidi="ar-SA"/>
              </w:rPr>
            </w:pPr>
          </w:p>
        </w:tc>
        <w:tc>
          <w:tcPr>
            <w:tcW w:w="4400" w:type="dxa"/>
            <w:shd w:val="clear" w:color="auto" w:fill="auto"/>
          </w:tcPr>
          <w:p w:rsidR="000C7989" w:rsidRPr="002C46EE" w:rsidP="001C134B">
            <w:pPr>
              <w:spacing w:after="0" w:line="240" w:lineRule="auto"/>
              <w:rPr>
                <w:rStyle w:val="DefaultParagraphFont"/>
                <w:rFonts w:ascii="Times New Roman" w:eastAsia="Times New Roman" w:hAnsi="Times New Roman" w:cs="Times New Roman"/>
                <w:sz w:val="24"/>
                <w:szCs w:val="24"/>
                <w:lang w:val="en-US" w:eastAsia="en-US" w:bidi="ar-SA"/>
              </w:rPr>
            </w:pPr>
          </w:p>
          <w:p w:rsidR="000C7989" w:rsidRPr="002C46EE" w:rsidP="001C134B">
            <w:pPr>
              <w:spacing w:after="0" w:line="240" w:lineRule="auto"/>
              <w:rPr>
                <w:rStyle w:val="DefaultParagraphFont"/>
                <w:rFonts w:ascii="Times New Roman" w:eastAsia="Times New Roman" w:hAnsi="Times New Roman" w:cs="Times New Roman"/>
                <w:sz w:val="24"/>
                <w:szCs w:val="24"/>
                <w:lang w:val="en-US" w:eastAsia="en-US" w:bidi="ar-SA"/>
              </w:rPr>
            </w:pPr>
            <w:r w:rsidRPr="002C46EE">
              <w:rPr>
                <w:rFonts w:ascii="Times New Roman" w:eastAsia="Times New Roman" w:hAnsi="Times New Roman" w:cs="Times New Roman"/>
                <w:sz w:val="24"/>
                <w:szCs w:val="24"/>
                <w:lang w:val="en-US" w:eastAsia="en-US" w:bidi="ar-SA"/>
              </w:rPr>
              <w:t>Case No. 13-2385-EL-SSO</w:t>
            </w:r>
          </w:p>
          <w:p w:rsidR="000C7989" w:rsidRPr="002C46EE" w:rsidP="001C134B">
            <w:pPr>
              <w:spacing w:after="0" w:line="240" w:lineRule="auto"/>
              <w:rPr>
                <w:rStyle w:val="DefaultParagraphFont"/>
                <w:rFonts w:ascii="Times New Roman" w:eastAsia="Times New Roman" w:hAnsi="Times New Roman" w:cs="Times New Roman"/>
                <w:sz w:val="24"/>
                <w:szCs w:val="24"/>
                <w:lang w:val="en-US" w:eastAsia="en-US" w:bidi="ar-SA"/>
              </w:rPr>
            </w:pPr>
          </w:p>
          <w:p w:rsidR="000C7989" w:rsidRPr="002C46EE" w:rsidP="001C134B">
            <w:pPr>
              <w:spacing w:after="0" w:line="240" w:lineRule="auto"/>
              <w:rPr>
                <w:rStyle w:val="DefaultParagraphFont"/>
                <w:rFonts w:ascii="Times New Roman" w:eastAsia="Times New Roman" w:hAnsi="Times New Roman" w:cs="Times New Roman"/>
                <w:sz w:val="24"/>
                <w:szCs w:val="24"/>
                <w:lang w:val="en-US" w:eastAsia="en-US" w:bidi="ar-SA"/>
              </w:rPr>
            </w:pPr>
          </w:p>
          <w:p w:rsidR="000C7989" w:rsidRPr="002C46EE" w:rsidP="001C134B">
            <w:pPr>
              <w:spacing w:after="0" w:line="240" w:lineRule="auto"/>
              <w:rPr>
                <w:rStyle w:val="DefaultParagraphFont"/>
                <w:rFonts w:ascii="Times New Roman" w:eastAsia="Times New Roman" w:hAnsi="Times New Roman" w:cs="Times New Roman"/>
                <w:sz w:val="24"/>
                <w:szCs w:val="24"/>
                <w:lang w:val="en-US" w:eastAsia="en-US" w:bidi="ar-SA"/>
              </w:rPr>
            </w:pPr>
          </w:p>
          <w:p w:rsidR="000C7989" w:rsidRPr="002C46EE" w:rsidP="001C134B">
            <w:pPr>
              <w:spacing w:after="0" w:line="240" w:lineRule="auto"/>
              <w:rPr>
                <w:rStyle w:val="DefaultParagraphFont"/>
                <w:rFonts w:ascii="Times New Roman" w:eastAsia="Times New Roman" w:hAnsi="Times New Roman" w:cs="Times New Roman"/>
                <w:sz w:val="24"/>
                <w:szCs w:val="24"/>
                <w:lang w:val="en-US" w:eastAsia="en-US" w:bidi="ar-SA"/>
              </w:rPr>
            </w:pPr>
          </w:p>
          <w:p w:rsidR="000C7989" w:rsidRPr="002C46EE" w:rsidP="001C134B">
            <w:pPr>
              <w:spacing w:after="0" w:line="240" w:lineRule="auto"/>
              <w:rPr>
                <w:rStyle w:val="DefaultParagraphFont"/>
                <w:rFonts w:ascii="Times New Roman" w:eastAsia="Times New Roman" w:hAnsi="Times New Roman" w:cs="Times New Roman"/>
                <w:sz w:val="24"/>
                <w:szCs w:val="24"/>
                <w:lang w:val="en-US" w:eastAsia="en-US" w:bidi="ar-SA"/>
              </w:rPr>
            </w:pPr>
            <w:r w:rsidRPr="002C46EE">
              <w:rPr>
                <w:rFonts w:ascii="Times New Roman" w:eastAsia="Times New Roman" w:hAnsi="Times New Roman" w:cs="Times New Roman"/>
                <w:sz w:val="24"/>
                <w:szCs w:val="24"/>
                <w:lang w:val="en-US" w:eastAsia="en-US" w:bidi="ar-SA"/>
              </w:rPr>
              <w:t>Case No. 13-2386-EL-AAM</w:t>
            </w:r>
          </w:p>
        </w:tc>
      </w:tr>
    </w:tbl>
    <w:p w:rsidR="000C7989" w:rsidRPr="002C46EE" w:rsidP="00B07F4F">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 w:val="24"/>
          <w:szCs w:val="24"/>
        </w:rPr>
      </w:pPr>
    </w:p>
    <w:p w:rsidR="000C7989" w:rsidRPr="002C46EE" w:rsidP="00B07F4F">
      <w:pPr>
        <w:jc w:val="center"/>
        <w:rPr>
          <w:b/>
          <w:sz w:val="24"/>
          <w:szCs w:val="24"/>
        </w:rPr>
      </w:pPr>
    </w:p>
    <w:p w:rsidR="000C7989" w:rsidRPr="002C46EE" w:rsidP="00B07F4F">
      <w:pPr>
        <w:jc w:val="center"/>
        <w:rPr>
          <w:b/>
          <w:sz w:val="24"/>
          <w:szCs w:val="24"/>
        </w:rPr>
      </w:pPr>
      <w:r>
        <w:rPr>
          <w:b/>
          <w:sz w:val="24"/>
          <w:szCs w:val="24"/>
        </w:rPr>
        <w:t xml:space="preserve">THIRD </w:t>
      </w:r>
      <w:r w:rsidRPr="002C46EE">
        <w:rPr>
          <w:b/>
          <w:sz w:val="24"/>
          <w:szCs w:val="24"/>
        </w:rPr>
        <w:t>APPLICATION FOR REHEARING</w:t>
      </w:r>
    </w:p>
    <w:p w:rsidR="000C7989" w:rsidRPr="002C46EE" w:rsidP="00B07F4F">
      <w:pPr>
        <w:jc w:val="center"/>
        <w:rPr>
          <w:b/>
          <w:sz w:val="24"/>
          <w:szCs w:val="24"/>
        </w:rPr>
      </w:pPr>
      <w:r w:rsidRPr="002C46EE">
        <w:rPr>
          <w:b/>
          <w:sz w:val="24"/>
          <w:szCs w:val="24"/>
        </w:rPr>
        <w:t>BY</w:t>
      </w:r>
    </w:p>
    <w:p w:rsidR="000C7989" w:rsidP="00B07F4F">
      <w:pPr>
        <w:pBdr>
          <w:bottom w:val="single" w:sz="12" w:space="1" w:color="auto"/>
        </w:pBdr>
        <w:jc w:val="center"/>
        <w:rPr>
          <w:b/>
          <w:sz w:val="24"/>
          <w:szCs w:val="24"/>
        </w:rPr>
      </w:pPr>
      <w:r w:rsidRPr="002C46EE">
        <w:rPr>
          <w:b/>
          <w:sz w:val="24"/>
          <w:szCs w:val="24"/>
        </w:rPr>
        <w:t>THE OFFICE OF THE OHIO CONSUMERS’ COUNSEL</w:t>
      </w:r>
    </w:p>
    <w:p w:rsidR="008D7F23" w:rsidRPr="002C46EE" w:rsidP="00B07F4F">
      <w:pPr>
        <w:pBdr>
          <w:bottom w:val="single" w:sz="12" w:space="1" w:color="auto"/>
        </w:pBdr>
        <w:jc w:val="center"/>
        <w:rPr>
          <w:b/>
          <w:sz w:val="24"/>
          <w:szCs w:val="24"/>
        </w:rPr>
      </w:pPr>
    </w:p>
    <w:p w:rsidR="008D7F23" w:rsidP="008D7F23"/>
    <w:p w:rsidR="000C7989" w:rsidRPr="002C46EE" w:rsidP="00B07F4F">
      <w:pPr>
        <w:pStyle w:val="Heading1"/>
        <w:rPr>
          <w:rFonts w:ascii="Times New Roman" w:hAnsi="Times New Roman"/>
        </w:rPr>
      </w:pPr>
      <w:bookmarkStart w:id="1" w:name="_Toc468705163"/>
      <w:r w:rsidRPr="002C46EE">
        <w:rPr>
          <w:rFonts w:ascii="Times New Roman" w:hAnsi="Times New Roman"/>
        </w:rPr>
        <w:t>I.</w:t>
      </w:r>
      <w:r w:rsidRPr="002C46EE">
        <w:rPr>
          <w:rFonts w:ascii="Times New Roman" w:hAnsi="Times New Roman"/>
        </w:rPr>
        <w:tab/>
        <w:t>INTRODUCTION</w:t>
      </w:r>
      <w:bookmarkEnd w:id="1"/>
    </w:p>
    <w:p w:rsidR="00F05F5F" w:rsidP="000C7989">
      <w:pPr>
        <w:spacing w:after="200" w:line="480" w:lineRule="auto"/>
        <w:ind w:firstLine="720"/>
        <w:contextualSpacing/>
        <w:rPr>
          <w:rFonts w:eastAsiaTheme="minorHAnsi"/>
          <w:sz w:val="24"/>
          <w:szCs w:val="24"/>
        </w:rPr>
      </w:pPr>
      <w:r>
        <w:rPr>
          <w:rFonts w:eastAsiaTheme="minorHAnsi"/>
          <w:sz w:val="24"/>
          <w:szCs w:val="24"/>
        </w:rPr>
        <w:t>The Office of the Ohio Consumers’ Counsel (“OCC”) files this Application for Rehearing</w:t>
      </w:r>
      <w:r w:rsidRPr="002C46EE">
        <w:rPr>
          <w:rFonts w:eastAsiaTheme="minorHAnsi"/>
          <w:sz w:val="24"/>
          <w:szCs w:val="24"/>
        </w:rPr>
        <w:t xml:space="preserve"> to protect 1.2 million Ohioans from paying subsidies to AEP Ohio</w:t>
      </w:r>
      <w:r>
        <w:rPr>
          <w:rFonts w:eastAsiaTheme="minorHAnsi"/>
          <w:sz w:val="24"/>
          <w:szCs w:val="24"/>
          <w:vertAlign w:val="superscript"/>
        </w:rPr>
        <w:footnoteReference w:id="3"/>
      </w:r>
      <w:r w:rsidRPr="002C46EE">
        <w:rPr>
          <w:rFonts w:eastAsiaTheme="minorHAnsi"/>
          <w:sz w:val="24"/>
          <w:szCs w:val="24"/>
        </w:rPr>
        <w:t xml:space="preserve"> in the form of a PPA Rider. The Public Utilities Commission of Ohio (“PUCO”) still has the ability </w:t>
      </w:r>
      <w:r>
        <w:rPr>
          <w:rFonts w:eastAsiaTheme="minorHAnsi"/>
          <w:sz w:val="24"/>
          <w:szCs w:val="24"/>
        </w:rPr>
        <w:t xml:space="preserve">to reconsider its unreasonable and unlawful decisions in this proceeding. </w:t>
      </w:r>
      <w:r w:rsidRPr="002C46EE">
        <w:rPr>
          <w:rFonts w:eastAsiaTheme="minorHAnsi"/>
          <w:sz w:val="24"/>
          <w:szCs w:val="24"/>
        </w:rPr>
        <w:t>The PUCO has approved a program for AEP Ohio to charge consumers</w:t>
      </w:r>
      <w:r>
        <w:rPr>
          <w:rFonts w:eastAsiaTheme="minorHAnsi"/>
          <w:sz w:val="24"/>
          <w:szCs w:val="24"/>
        </w:rPr>
        <w:t>, via above market prices,</w:t>
      </w:r>
      <w:r w:rsidRPr="002C46EE">
        <w:rPr>
          <w:rFonts w:eastAsiaTheme="minorHAnsi"/>
          <w:sz w:val="24"/>
          <w:szCs w:val="24"/>
        </w:rPr>
        <w:t xml:space="preserve"> millions of dollars per year for the next eight years</w:t>
      </w:r>
      <w:r>
        <w:rPr>
          <w:rFonts w:eastAsiaTheme="minorHAnsi"/>
          <w:sz w:val="24"/>
          <w:szCs w:val="24"/>
        </w:rPr>
        <w:t xml:space="preserve"> for uneconomic generation</w:t>
      </w:r>
      <w:r w:rsidRPr="002C46EE">
        <w:rPr>
          <w:rFonts w:eastAsiaTheme="minorHAnsi"/>
          <w:sz w:val="24"/>
          <w:szCs w:val="24"/>
        </w:rPr>
        <w:t xml:space="preserve">. Under AEP Ohio’s PPA Rider the government (PUCO) would require customers to guarantee (via a subsidy) the utility profits on its generating units (AEP Ohio’s OVEC interest). </w:t>
      </w:r>
    </w:p>
    <w:p w:rsidR="000C7989" w:rsidRPr="002C46EE" w:rsidP="003D5911">
      <w:pPr>
        <w:spacing w:after="200" w:line="480" w:lineRule="auto"/>
        <w:ind w:firstLine="720"/>
        <w:contextualSpacing/>
        <w:rPr>
          <w:rFonts w:eastAsiaTheme="minorHAnsi"/>
          <w:sz w:val="24"/>
          <w:szCs w:val="24"/>
        </w:rPr>
      </w:pPr>
      <w:r w:rsidRPr="002C46EE">
        <w:rPr>
          <w:rFonts w:eastAsiaTheme="minorHAnsi"/>
          <w:sz w:val="24"/>
          <w:szCs w:val="24"/>
        </w:rPr>
        <w:t>The subsidization of Ohio’s electric utilities by its consumers must stop. In 1999 the Ohio General Assembly approved Senate Bill 3 (“S.B. 3”)</w:t>
      </w:r>
      <w:r>
        <w:rPr>
          <w:rFonts w:eastAsiaTheme="minorHAnsi"/>
          <w:sz w:val="24"/>
          <w:szCs w:val="24"/>
        </w:rPr>
        <w:t>, which</w:t>
      </w:r>
      <w:r w:rsidRPr="002C46EE">
        <w:rPr>
          <w:rFonts w:eastAsiaTheme="minorHAnsi"/>
          <w:sz w:val="24"/>
          <w:szCs w:val="24"/>
        </w:rPr>
        <w:t xml:space="preserve"> replaced cost-based regulation with competitive markets for generation in Ohio. The fundamental idea behind S.B. 3 is that retail customers should not now be asked to protect Ohio electric utilities from competitive generation market risks or losses. </w:t>
      </w:r>
      <w:r>
        <w:rPr>
          <w:rFonts w:eastAsiaTheme="minorHAnsi"/>
          <w:sz w:val="24"/>
          <w:szCs w:val="24"/>
        </w:rPr>
        <w:t>AEP Ohio</w:t>
      </w:r>
      <w:r w:rsidRPr="002C46EE">
        <w:rPr>
          <w:rFonts w:eastAsiaTheme="minorHAnsi"/>
          <w:sz w:val="24"/>
          <w:szCs w:val="24"/>
        </w:rPr>
        <w:t xml:space="preserve"> is now wholly responsible for whether </w:t>
      </w:r>
      <w:r>
        <w:rPr>
          <w:rFonts w:eastAsiaTheme="minorHAnsi"/>
          <w:sz w:val="24"/>
          <w:szCs w:val="24"/>
        </w:rPr>
        <w:t>it</w:t>
      </w:r>
      <w:r w:rsidRPr="002C46EE">
        <w:rPr>
          <w:rFonts w:eastAsiaTheme="minorHAnsi"/>
          <w:sz w:val="24"/>
          <w:szCs w:val="24"/>
        </w:rPr>
        <w:t xml:space="preserve"> </w:t>
      </w:r>
      <w:r>
        <w:rPr>
          <w:rFonts w:eastAsiaTheme="minorHAnsi"/>
          <w:sz w:val="24"/>
          <w:szCs w:val="24"/>
        </w:rPr>
        <w:t>is</w:t>
      </w:r>
      <w:r w:rsidRPr="002C46EE">
        <w:rPr>
          <w:rFonts w:eastAsiaTheme="minorHAnsi"/>
          <w:sz w:val="24"/>
          <w:szCs w:val="24"/>
        </w:rPr>
        <w:t xml:space="preserve"> in a competitive position in the generation market. AEP Ohio should not now be subsidized </w:t>
      </w:r>
      <w:r>
        <w:rPr>
          <w:rFonts w:eastAsiaTheme="minorHAnsi"/>
          <w:sz w:val="24"/>
          <w:szCs w:val="24"/>
        </w:rPr>
        <w:t>and</w:t>
      </w:r>
      <w:r w:rsidRPr="002C46EE">
        <w:rPr>
          <w:rFonts w:eastAsiaTheme="minorHAnsi"/>
          <w:sz w:val="24"/>
          <w:szCs w:val="24"/>
        </w:rPr>
        <w:t xml:space="preserve"> bailed out by </w:t>
      </w:r>
      <w:r>
        <w:rPr>
          <w:rFonts w:eastAsiaTheme="minorHAnsi"/>
          <w:sz w:val="24"/>
          <w:szCs w:val="24"/>
        </w:rPr>
        <w:t xml:space="preserve">captive </w:t>
      </w:r>
      <w:r w:rsidRPr="002C46EE">
        <w:rPr>
          <w:rFonts w:eastAsiaTheme="minorHAnsi"/>
          <w:sz w:val="24"/>
          <w:szCs w:val="24"/>
        </w:rPr>
        <w:t>consumers. Such action would run counter to a competitive market. Instead, consumers should receive the benefits of competitive market pricing as the Ohio General Assembly intended in 1999.</w:t>
      </w:r>
    </w:p>
    <w:p w:rsidR="000C7989" w:rsidRPr="002C46EE" w:rsidP="000C7989">
      <w:pPr>
        <w:spacing w:after="200" w:line="480" w:lineRule="auto"/>
        <w:ind w:firstLine="720"/>
        <w:contextualSpacing/>
        <w:rPr>
          <w:rFonts w:eastAsiaTheme="minorHAnsi"/>
          <w:sz w:val="24"/>
          <w:szCs w:val="24"/>
        </w:rPr>
      </w:pPr>
      <w:r w:rsidRPr="002C46EE">
        <w:rPr>
          <w:rFonts w:eastAsiaTheme="minorHAnsi"/>
          <w:sz w:val="24"/>
          <w:szCs w:val="24"/>
        </w:rPr>
        <w:t>OCC, on behalf of Ohio’s residential energy consumers, submits this</w:t>
      </w:r>
      <w:r>
        <w:rPr>
          <w:rFonts w:eastAsiaTheme="minorHAnsi"/>
          <w:sz w:val="24"/>
          <w:szCs w:val="24"/>
        </w:rPr>
        <w:t xml:space="preserve"> Third</w:t>
      </w:r>
      <w:r w:rsidRPr="002C46EE">
        <w:rPr>
          <w:rFonts w:eastAsiaTheme="minorHAnsi"/>
          <w:sz w:val="24"/>
          <w:szCs w:val="24"/>
        </w:rPr>
        <w:t xml:space="preserve"> </w:t>
      </w:r>
      <w:r>
        <w:rPr>
          <w:rFonts w:eastAsiaTheme="minorHAnsi"/>
          <w:sz w:val="24"/>
          <w:szCs w:val="24"/>
        </w:rPr>
        <w:t>A</w:t>
      </w:r>
      <w:r w:rsidRPr="002C46EE">
        <w:rPr>
          <w:rFonts w:eastAsiaTheme="minorHAnsi"/>
          <w:sz w:val="24"/>
          <w:szCs w:val="24"/>
        </w:rPr>
        <w:t xml:space="preserve">pplication for </w:t>
      </w:r>
      <w:r>
        <w:rPr>
          <w:rFonts w:eastAsiaTheme="minorHAnsi"/>
          <w:sz w:val="24"/>
          <w:szCs w:val="24"/>
        </w:rPr>
        <w:t>R</w:t>
      </w:r>
      <w:r w:rsidRPr="002C46EE">
        <w:rPr>
          <w:rFonts w:eastAsiaTheme="minorHAnsi"/>
          <w:sz w:val="24"/>
          <w:szCs w:val="24"/>
        </w:rPr>
        <w:t xml:space="preserve">ehearing on the PUCO’s Fourth Entry on Rehearing. The PUCO should </w:t>
      </w:r>
      <w:r>
        <w:rPr>
          <w:rFonts w:eastAsiaTheme="minorHAnsi"/>
          <w:sz w:val="24"/>
          <w:szCs w:val="24"/>
        </w:rPr>
        <w:t>issue decisions that support</w:t>
      </w:r>
      <w:r w:rsidRPr="002C46EE">
        <w:rPr>
          <w:rFonts w:eastAsiaTheme="minorHAnsi"/>
          <w:sz w:val="24"/>
          <w:szCs w:val="24"/>
        </w:rPr>
        <w:t xml:space="preserve"> Ohio </w:t>
      </w:r>
      <w:r>
        <w:rPr>
          <w:rFonts w:eastAsiaTheme="minorHAnsi"/>
          <w:sz w:val="24"/>
          <w:szCs w:val="24"/>
        </w:rPr>
        <w:t xml:space="preserve">energy </w:t>
      </w:r>
      <w:r w:rsidRPr="002C46EE">
        <w:rPr>
          <w:rFonts w:eastAsiaTheme="minorHAnsi"/>
          <w:sz w:val="24"/>
          <w:szCs w:val="24"/>
        </w:rPr>
        <w:t>policy, markets</w:t>
      </w:r>
      <w:r>
        <w:rPr>
          <w:rFonts w:eastAsiaTheme="minorHAnsi"/>
          <w:sz w:val="24"/>
          <w:szCs w:val="24"/>
        </w:rPr>
        <w:t>,</w:t>
      </w:r>
      <w:r w:rsidRPr="002C46EE">
        <w:rPr>
          <w:rFonts w:eastAsiaTheme="minorHAnsi"/>
          <w:sz w:val="24"/>
          <w:szCs w:val="24"/>
        </w:rPr>
        <w:t xml:space="preserve"> and the consumer protection that state policy for competitive electric generation markets provides. The PUCO should say </w:t>
      </w:r>
      <w:r>
        <w:rPr>
          <w:rFonts w:eastAsiaTheme="minorHAnsi"/>
          <w:sz w:val="24"/>
          <w:szCs w:val="24"/>
        </w:rPr>
        <w:t>“</w:t>
      </w:r>
      <w:r w:rsidRPr="002C46EE">
        <w:rPr>
          <w:rFonts w:eastAsiaTheme="minorHAnsi"/>
          <w:sz w:val="24"/>
          <w:szCs w:val="24"/>
        </w:rPr>
        <w:t>yes</w:t>
      </w:r>
      <w:r>
        <w:rPr>
          <w:rFonts w:eastAsiaTheme="minorHAnsi"/>
          <w:sz w:val="24"/>
          <w:szCs w:val="24"/>
        </w:rPr>
        <w:t>”</w:t>
      </w:r>
      <w:r w:rsidRPr="002C46EE">
        <w:rPr>
          <w:rFonts w:eastAsiaTheme="minorHAnsi"/>
          <w:sz w:val="24"/>
          <w:szCs w:val="24"/>
        </w:rPr>
        <w:t xml:space="preserve"> to lower-priced, competitive electric prices for Ohio consumers and </w:t>
      </w:r>
      <w:r>
        <w:rPr>
          <w:rFonts w:eastAsiaTheme="minorHAnsi"/>
          <w:sz w:val="24"/>
          <w:szCs w:val="24"/>
        </w:rPr>
        <w:t>“</w:t>
      </w:r>
      <w:r w:rsidRPr="002C46EE">
        <w:rPr>
          <w:rFonts w:eastAsiaTheme="minorHAnsi"/>
          <w:sz w:val="24"/>
          <w:szCs w:val="24"/>
        </w:rPr>
        <w:t>no</w:t>
      </w:r>
      <w:r>
        <w:rPr>
          <w:rFonts w:eastAsiaTheme="minorHAnsi"/>
          <w:sz w:val="24"/>
          <w:szCs w:val="24"/>
        </w:rPr>
        <w:t>”</w:t>
      </w:r>
      <w:r w:rsidRPr="002C46EE">
        <w:rPr>
          <w:rFonts w:eastAsiaTheme="minorHAnsi"/>
          <w:sz w:val="24"/>
          <w:szCs w:val="24"/>
        </w:rPr>
        <w:t xml:space="preserve"> to subsidized bailouts for electric utilities at consumer expense. To protect consumers, </w:t>
      </w:r>
      <w:r>
        <w:rPr>
          <w:rFonts w:eastAsiaTheme="minorHAnsi"/>
          <w:sz w:val="24"/>
          <w:szCs w:val="24"/>
        </w:rPr>
        <w:t xml:space="preserve">the </w:t>
      </w:r>
      <w:r w:rsidRPr="002C46EE">
        <w:rPr>
          <w:rFonts w:eastAsiaTheme="minorHAnsi"/>
          <w:sz w:val="24"/>
          <w:szCs w:val="24"/>
        </w:rPr>
        <w:t xml:space="preserve">public interest, and sound energy policy, the PUCO should rehear its decisions, consistent with this </w:t>
      </w:r>
      <w:r>
        <w:rPr>
          <w:rFonts w:eastAsiaTheme="minorHAnsi"/>
          <w:sz w:val="24"/>
          <w:szCs w:val="24"/>
        </w:rPr>
        <w:t>A</w:t>
      </w:r>
      <w:r w:rsidRPr="002C46EE">
        <w:rPr>
          <w:rFonts w:eastAsiaTheme="minorHAnsi"/>
          <w:sz w:val="24"/>
          <w:szCs w:val="24"/>
        </w:rPr>
        <w:t xml:space="preserve">pplication for </w:t>
      </w:r>
      <w:r>
        <w:rPr>
          <w:rFonts w:eastAsiaTheme="minorHAnsi"/>
          <w:sz w:val="24"/>
          <w:szCs w:val="24"/>
        </w:rPr>
        <w:t>R</w:t>
      </w:r>
      <w:r w:rsidRPr="002C46EE">
        <w:rPr>
          <w:rFonts w:eastAsiaTheme="minorHAnsi"/>
          <w:sz w:val="24"/>
          <w:szCs w:val="24"/>
        </w:rPr>
        <w:t>ehearing.</w:t>
      </w:r>
    </w:p>
    <w:p w:rsidR="000C7989" w:rsidRPr="002C46EE" w:rsidP="008D7F23">
      <w:pPr>
        <w:spacing w:after="200"/>
        <w:ind w:firstLine="720"/>
        <w:contextualSpacing/>
        <w:rPr>
          <w:rFonts w:eastAsiaTheme="minorHAnsi"/>
          <w:sz w:val="24"/>
          <w:szCs w:val="24"/>
        </w:rPr>
      </w:pPr>
    </w:p>
    <w:p w:rsidR="000C7989" w:rsidRPr="002C46EE" w:rsidP="00B07F4F">
      <w:pPr>
        <w:pStyle w:val="Heading1"/>
        <w:rPr>
          <w:rFonts w:ascii="Times New Roman" w:hAnsi="Times New Roman"/>
        </w:rPr>
      </w:pPr>
      <w:bookmarkStart w:id="2" w:name="_Toc466472419"/>
      <w:bookmarkStart w:id="3" w:name="_Toc468705164"/>
      <w:r w:rsidRPr="002C46EE">
        <w:rPr>
          <w:rFonts w:ascii="Times New Roman" w:hAnsi="Times New Roman"/>
        </w:rPr>
        <w:t>II.</w:t>
      </w:r>
      <w:r w:rsidRPr="002C46EE">
        <w:rPr>
          <w:rFonts w:ascii="Times New Roman" w:hAnsi="Times New Roman"/>
        </w:rPr>
        <w:tab/>
        <w:t>STANDARD OF REVIEW</w:t>
      </w:r>
      <w:bookmarkEnd w:id="2"/>
      <w:bookmarkEnd w:id="3"/>
      <w:r w:rsidRPr="002C46EE">
        <w:rPr>
          <w:rFonts w:ascii="Times New Roman" w:hAnsi="Times New Roman"/>
        </w:rPr>
        <w:t xml:space="preserve"> </w:t>
      </w:r>
    </w:p>
    <w:p w:rsidR="000C7989" w:rsidRPr="002C46EE" w:rsidP="000C7989">
      <w:pPr>
        <w:spacing w:after="200" w:line="480" w:lineRule="auto"/>
        <w:ind w:firstLine="720"/>
        <w:contextualSpacing/>
        <w:rPr>
          <w:rFonts w:eastAsiaTheme="minorHAnsi"/>
          <w:sz w:val="24"/>
          <w:szCs w:val="24"/>
        </w:rPr>
      </w:pPr>
      <w:r w:rsidRPr="002C46EE">
        <w:rPr>
          <w:rFonts w:eastAsiaTheme="minorHAnsi"/>
          <w:sz w:val="24"/>
          <w:szCs w:val="24"/>
        </w:rPr>
        <w:t xml:space="preserve">Applications for rehearing are governed by R.C. 4903.10. The statute permits “any party who has entered an appearance in person or by counsel in the proceeding” to apply for rehearing in respect to “any matters determined in the proceeding.” Applications for rehearing must be filed within thirty days of the PUCO’s orders. </w:t>
      </w:r>
    </w:p>
    <w:p w:rsidR="000C7989" w:rsidRPr="002C46EE" w:rsidP="000C7989">
      <w:pPr>
        <w:spacing w:after="200" w:line="480" w:lineRule="auto"/>
        <w:ind w:firstLine="720"/>
        <w:contextualSpacing/>
        <w:rPr>
          <w:rFonts w:eastAsiaTheme="minorHAnsi"/>
          <w:sz w:val="24"/>
          <w:szCs w:val="24"/>
        </w:rPr>
      </w:pPr>
      <w:r w:rsidRPr="002C46EE">
        <w:rPr>
          <w:rFonts w:eastAsiaTheme="minorHAnsi"/>
          <w:sz w:val="24"/>
          <w:szCs w:val="24"/>
        </w:rPr>
        <w:t xml:space="preserve">OCC filed a motion to intervene in this proceeding on December 24, 2013. OCC’s motion to intervene was granted by Entry dated April 21, 2014. OCC also filed testimony regarding AEP Ohio's electric security plan (“ESP”). OCC actively participated in the evidentiary hearing and rehearing process. </w:t>
      </w:r>
    </w:p>
    <w:p w:rsidR="000C7989" w:rsidRPr="002C46EE" w:rsidP="000C7989">
      <w:pPr>
        <w:spacing w:line="480" w:lineRule="auto"/>
        <w:ind w:firstLine="720"/>
        <w:contextualSpacing/>
        <w:rPr>
          <w:rFonts w:eastAsiaTheme="minorHAnsi"/>
          <w:sz w:val="24"/>
          <w:szCs w:val="24"/>
        </w:rPr>
      </w:pPr>
      <w:r w:rsidRPr="002C46EE">
        <w:rPr>
          <w:rFonts w:eastAsiaTheme="minorHAnsi"/>
          <w:sz w:val="24"/>
          <w:szCs w:val="24"/>
        </w:rPr>
        <w:t xml:space="preserve">R.C. 4903.10 requires that an application for rehearing must be “in writing and shall set forth specifically the ground or grounds on which the applicant considers the order to be unreasonable or unlawful.” Additionally, Ohio Adm. Code 4901-1-35(A) states: “An application for rehearing must be accompanied by a memorandum in support, which shall be filed no later than the application for rehearing.” </w:t>
      </w:r>
    </w:p>
    <w:p w:rsidR="000C7989" w:rsidP="000C7989">
      <w:pPr>
        <w:spacing w:line="480" w:lineRule="auto"/>
        <w:ind w:firstLine="720"/>
        <w:contextualSpacing/>
        <w:rPr>
          <w:rFonts w:eastAsiaTheme="minorHAnsi"/>
          <w:sz w:val="24"/>
          <w:szCs w:val="24"/>
        </w:rPr>
      </w:pPr>
      <w:r w:rsidRPr="002C46EE">
        <w:rPr>
          <w:rFonts w:eastAsiaTheme="minorHAnsi"/>
          <w:sz w:val="24"/>
          <w:szCs w:val="24"/>
        </w:rPr>
        <w:t>In considering an application for rehearing, R.C. 4903.10 provides that “the commission may grant and hold such rehearing on the matter specified in such application, if in its judgment sufficient reason therefor is made to appear.” The statute also provides: “[i]f, after such rehearing, the commission is of the opinion that the original order or any part thereof is in any respect unjust or unwarranted, or should be changed, the commission may abrogate or modify the same; otherwise such order shall be affirmed.” The statutory standard for abrogating some portions of the Opinion and Order and modifying other portions are met here. The PUCO should grant and hold rehearing on the matters specified in this Application for Rehearing, and subsequently abrogate or modify its Fourth Entry on Rehearing.</w:t>
      </w:r>
    </w:p>
    <w:p w:rsidR="004A3A2A" w:rsidRPr="002C46EE" w:rsidP="004A3A2A">
      <w:pPr>
        <w:ind w:firstLine="720"/>
        <w:contextualSpacing/>
        <w:rPr>
          <w:rFonts w:eastAsiaTheme="minorHAnsi"/>
          <w:sz w:val="24"/>
          <w:szCs w:val="24"/>
        </w:rPr>
      </w:pPr>
    </w:p>
    <w:p w:rsidR="000C7989" w:rsidRPr="002C46EE" w:rsidP="00B07F4F">
      <w:pPr>
        <w:pStyle w:val="Heading1"/>
        <w:rPr>
          <w:rFonts w:ascii="Times New Roman" w:hAnsi="Times New Roman" w:eastAsiaTheme="minorHAnsi"/>
        </w:rPr>
      </w:pPr>
      <w:bookmarkStart w:id="4" w:name="_Toc468705165"/>
      <w:r w:rsidRPr="002C46EE">
        <w:rPr>
          <w:rFonts w:ascii="Times New Roman" w:hAnsi="Times New Roman" w:eastAsiaTheme="minorHAnsi"/>
        </w:rPr>
        <w:t>III.</w:t>
      </w:r>
      <w:r w:rsidRPr="002C46EE">
        <w:rPr>
          <w:rFonts w:ascii="Times New Roman" w:hAnsi="Times New Roman" w:eastAsiaTheme="minorHAnsi"/>
        </w:rPr>
        <w:tab/>
        <w:t>ERROR</w:t>
      </w:r>
      <w:r>
        <w:rPr>
          <w:rFonts w:ascii="Times New Roman" w:hAnsi="Times New Roman" w:eastAsiaTheme="minorHAnsi"/>
        </w:rPr>
        <w:t>S</w:t>
      </w:r>
      <w:bookmarkEnd w:id="4"/>
    </w:p>
    <w:p w:rsidR="000C7989" w:rsidRPr="002C46EE" w:rsidP="000C7989">
      <w:pPr>
        <w:tabs>
          <w:tab w:val="left" w:pos="2430"/>
        </w:tabs>
        <w:ind w:left="1080"/>
        <w:rPr>
          <w:rFonts w:eastAsiaTheme="minorHAnsi"/>
          <w:b/>
          <w:sz w:val="24"/>
          <w:szCs w:val="24"/>
        </w:rPr>
      </w:pPr>
    </w:p>
    <w:p w:rsidR="000C7989" w:rsidRPr="002C46EE" w:rsidP="000C7989">
      <w:pPr>
        <w:pStyle w:val="Heading2"/>
        <w:rPr>
          <w:rFonts w:ascii="Times New Roman" w:hAnsi="Times New Roman" w:eastAsiaTheme="minorHAnsi" w:cs="Times New Roman"/>
          <w:szCs w:val="24"/>
        </w:rPr>
      </w:pPr>
      <w:bookmarkStart w:id="5" w:name="_Toc468705166"/>
      <w:r w:rsidRPr="002C46EE">
        <w:rPr>
          <w:rFonts w:ascii="Times New Roman" w:hAnsi="Times New Roman" w:eastAsiaTheme="minorHAnsi" w:cs="Times New Roman"/>
          <w:szCs w:val="24"/>
        </w:rPr>
        <w:t>ASSIGNMENT OF ERROR</w:t>
      </w:r>
      <w:r>
        <w:rPr>
          <w:rFonts w:ascii="Times New Roman" w:hAnsi="Times New Roman" w:eastAsiaTheme="minorHAnsi" w:cs="Times New Roman"/>
          <w:szCs w:val="24"/>
        </w:rPr>
        <w:t xml:space="preserve"> 1</w:t>
      </w:r>
      <w:r w:rsidRPr="002C46EE">
        <w:rPr>
          <w:rFonts w:ascii="Times New Roman" w:hAnsi="Times New Roman" w:eastAsiaTheme="minorHAnsi" w:cs="Times New Roman"/>
          <w:szCs w:val="24"/>
        </w:rPr>
        <w:t xml:space="preserve">: </w:t>
      </w:r>
      <w:r>
        <w:rPr>
          <w:rFonts w:ascii="Times New Roman" w:hAnsi="Times New Roman" w:eastAsiaTheme="minorHAnsi" w:cs="Times New Roman"/>
          <w:szCs w:val="24"/>
        </w:rPr>
        <w:t xml:space="preserve"> </w:t>
      </w:r>
      <w:r w:rsidRPr="002C46EE">
        <w:rPr>
          <w:rFonts w:ascii="Times New Roman" w:hAnsi="Times New Roman" w:eastAsiaTheme="minorHAnsi" w:cs="Times New Roman"/>
          <w:szCs w:val="24"/>
        </w:rPr>
        <w:t>The PUCO erred when it unlawfully and unreasonably approved a PPA rider without statutory authority to do so.</w:t>
      </w:r>
      <w:bookmarkEnd w:id="5"/>
    </w:p>
    <w:p w:rsidR="009E478F" w:rsidP="000C7989">
      <w:pPr>
        <w:spacing w:line="480" w:lineRule="auto"/>
        <w:ind w:firstLine="720"/>
        <w:rPr>
          <w:rFonts w:eastAsiaTheme="minorHAnsi"/>
          <w:sz w:val="24"/>
          <w:szCs w:val="24"/>
        </w:rPr>
      </w:pPr>
      <w:r>
        <w:rPr>
          <w:rFonts w:eastAsiaTheme="minorHAnsi"/>
          <w:sz w:val="24"/>
          <w:szCs w:val="24"/>
        </w:rPr>
        <w:t>R.C. 4928.143(B)(2) allows ESP plans to include only those provisions listed in the statute.  The Ohio Supreme Court has ruled that “[b]y its terms, R.C. 4928.143(B)(2) allows plans to include only ‘any of the following’ provisions. It does not allow plans to include ‘any provision.’”</w:t>
      </w:r>
      <w:r>
        <w:rPr>
          <w:rStyle w:val="FootnoteReference"/>
          <w:rFonts w:eastAsiaTheme="minorHAnsi"/>
          <w:sz w:val="24"/>
          <w:szCs w:val="24"/>
        </w:rPr>
        <w:footnoteReference w:id="4"/>
      </w:r>
      <w:r>
        <w:rPr>
          <w:rFonts w:eastAsiaTheme="minorHAnsi"/>
          <w:sz w:val="24"/>
          <w:szCs w:val="24"/>
        </w:rPr>
        <w:t xml:space="preserve"> So if a provision does not fit specifically within the statute, it is not authorized. </w:t>
      </w:r>
    </w:p>
    <w:p w:rsidR="000C7989" w:rsidRPr="002C46EE" w:rsidP="000C7989">
      <w:pPr>
        <w:spacing w:line="480" w:lineRule="auto"/>
        <w:ind w:firstLine="720"/>
        <w:rPr>
          <w:rFonts w:eastAsiaTheme="minorHAnsi"/>
          <w:sz w:val="24"/>
          <w:szCs w:val="24"/>
        </w:rPr>
      </w:pPr>
      <w:r w:rsidRPr="002C46EE">
        <w:rPr>
          <w:rFonts w:eastAsiaTheme="minorHAnsi"/>
          <w:sz w:val="24"/>
          <w:szCs w:val="24"/>
        </w:rPr>
        <w:t xml:space="preserve">The PUCO, in its Order adopting the ESP in this case, was unable to find a statute that </w:t>
      </w:r>
      <w:r w:rsidRPr="00AD6526">
        <w:rPr>
          <w:rFonts w:eastAsiaTheme="minorHAnsi"/>
          <w:i/>
          <w:sz w:val="24"/>
          <w:szCs w:val="24"/>
        </w:rPr>
        <w:t>permitted</w:t>
      </w:r>
      <w:r w:rsidRPr="002C46EE">
        <w:rPr>
          <w:rFonts w:eastAsiaTheme="minorHAnsi"/>
          <w:sz w:val="24"/>
          <w:szCs w:val="24"/>
        </w:rPr>
        <w:t xml:space="preserve"> AEP</w:t>
      </w:r>
      <w:r>
        <w:rPr>
          <w:rFonts w:eastAsiaTheme="minorHAnsi"/>
          <w:sz w:val="24"/>
          <w:szCs w:val="24"/>
        </w:rPr>
        <w:t xml:space="preserve"> Ohio</w:t>
      </w:r>
      <w:r w:rsidRPr="002C46EE">
        <w:rPr>
          <w:rFonts w:eastAsiaTheme="minorHAnsi"/>
          <w:sz w:val="24"/>
          <w:szCs w:val="24"/>
        </w:rPr>
        <w:t xml:space="preserve">’s PPA charge. Instead, the PUCO found that nothing </w:t>
      </w:r>
      <w:r w:rsidRPr="00AD6526">
        <w:rPr>
          <w:rFonts w:eastAsiaTheme="minorHAnsi"/>
          <w:i/>
          <w:sz w:val="24"/>
          <w:szCs w:val="24"/>
        </w:rPr>
        <w:t>prohibited</w:t>
      </w:r>
      <w:r w:rsidRPr="002C46EE">
        <w:rPr>
          <w:rFonts w:eastAsiaTheme="minorHAnsi"/>
          <w:sz w:val="24"/>
          <w:szCs w:val="24"/>
        </w:rPr>
        <w:t xml:space="preserve"> the PPA charge.</w:t>
      </w:r>
      <w:r>
        <w:rPr>
          <w:rFonts w:eastAsiaTheme="minorHAnsi"/>
          <w:sz w:val="24"/>
          <w:szCs w:val="24"/>
          <w:vertAlign w:val="superscript"/>
        </w:rPr>
        <w:footnoteReference w:id="5"/>
      </w:r>
      <w:r w:rsidRPr="002C46EE">
        <w:rPr>
          <w:rFonts w:eastAsiaTheme="minorHAnsi"/>
          <w:sz w:val="24"/>
          <w:szCs w:val="24"/>
        </w:rPr>
        <w:t xml:space="preserve"> The question cannot be if there is anything in the statute that </w:t>
      </w:r>
      <w:r w:rsidRPr="002C46EE">
        <w:rPr>
          <w:rFonts w:eastAsiaTheme="minorHAnsi"/>
          <w:i/>
          <w:sz w:val="24"/>
          <w:szCs w:val="24"/>
        </w:rPr>
        <w:t>prevents</w:t>
      </w:r>
      <w:r w:rsidRPr="002C46EE">
        <w:rPr>
          <w:rFonts w:eastAsiaTheme="minorHAnsi"/>
          <w:sz w:val="24"/>
          <w:szCs w:val="24"/>
        </w:rPr>
        <w:t xml:space="preserve"> the PUCO from permitting the charge, but whether there is language in the statue that </w:t>
      </w:r>
      <w:r w:rsidRPr="002C46EE">
        <w:rPr>
          <w:rFonts w:eastAsiaTheme="minorHAnsi"/>
          <w:i/>
          <w:sz w:val="24"/>
          <w:szCs w:val="24"/>
        </w:rPr>
        <w:t>permits</w:t>
      </w:r>
      <w:r w:rsidRPr="002C46EE">
        <w:rPr>
          <w:rFonts w:eastAsiaTheme="minorHAnsi"/>
          <w:sz w:val="24"/>
          <w:szCs w:val="24"/>
        </w:rPr>
        <w:t xml:space="preserve"> the PUCO to authorize the charge.</w:t>
      </w:r>
      <w:r w:rsidRPr="00AD6526">
        <w:rPr>
          <w:rFonts w:eastAsiaTheme="minorHAnsi"/>
          <w:sz w:val="24"/>
          <w:szCs w:val="24"/>
        </w:rPr>
        <w:t xml:space="preserve"> </w:t>
      </w:r>
      <w:r w:rsidRPr="002C46EE">
        <w:rPr>
          <w:rFonts w:eastAsiaTheme="minorHAnsi"/>
          <w:sz w:val="24"/>
          <w:szCs w:val="24"/>
        </w:rPr>
        <w:t>The PUCO must have explicit authority to permit the charge.</w:t>
      </w:r>
    </w:p>
    <w:p w:rsidR="00AD6526" w:rsidP="000C7989">
      <w:pPr>
        <w:spacing w:line="480" w:lineRule="auto"/>
        <w:rPr>
          <w:rFonts w:eastAsiaTheme="minorHAnsi"/>
          <w:sz w:val="24"/>
          <w:szCs w:val="24"/>
        </w:rPr>
      </w:pPr>
      <w:r w:rsidRPr="002C46EE">
        <w:rPr>
          <w:rFonts w:eastAsiaTheme="minorHAnsi"/>
          <w:sz w:val="24"/>
          <w:szCs w:val="24"/>
        </w:rPr>
        <w:tab/>
        <w:t xml:space="preserve">In justifying the PPA charge under R.C. 4928.143(B)(2)(d), the PUCO stated that there is nothing in “R.C. Chapter 4928 that </w:t>
      </w:r>
      <w:r w:rsidRPr="002C46EE">
        <w:rPr>
          <w:rFonts w:eastAsiaTheme="minorHAnsi"/>
          <w:i/>
          <w:sz w:val="24"/>
          <w:szCs w:val="24"/>
        </w:rPr>
        <w:t>prohibits</w:t>
      </w:r>
      <w:r w:rsidRPr="002C46EE">
        <w:rPr>
          <w:rFonts w:eastAsiaTheme="minorHAnsi"/>
          <w:sz w:val="24"/>
          <w:szCs w:val="24"/>
        </w:rPr>
        <w:t xml:space="preserve"> AEP from providing a generation service to shopping customer as part of an ESP, as long as such service is consistent with the terms of R.C.</w:t>
      </w:r>
      <w:r>
        <w:rPr>
          <w:rFonts w:eastAsiaTheme="minorHAnsi"/>
          <w:sz w:val="24"/>
          <w:szCs w:val="24"/>
        </w:rPr>
        <w:t xml:space="preserve"> </w:t>
      </w:r>
      <w:r w:rsidRPr="002C46EE">
        <w:rPr>
          <w:rFonts w:eastAsiaTheme="minorHAnsi"/>
          <w:sz w:val="24"/>
          <w:szCs w:val="24"/>
        </w:rPr>
        <w:t>4928.143(B)(2)(d)</w:t>
      </w:r>
      <w:r>
        <w:rPr>
          <w:rFonts w:eastAsiaTheme="minorHAnsi"/>
          <w:sz w:val="24"/>
          <w:szCs w:val="24"/>
        </w:rPr>
        <w:t>.</w:t>
      </w:r>
      <w:r w:rsidRPr="002C46EE">
        <w:rPr>
          <w:rFonts w:eastAsiaTheme="minorHAnsi"/>
          <w:sz w:val="24"/>
          <w:szCs w:val="24"/>
        </w:rPr>
        <w:t>”</w:t>
      </w:r>
      <w:r>
        <w:rPr>
          <w:rFonts w:eastAsiaTheme="minorHAnsi"/>
          <w:sz w:val="24"/>
          <w:szCs w:val="24"/>
          <w:vertAlign w:val="superscript"/>
        </w:rPr>
        <w:footnoteReference w:id="6"/>
      </w:r>
      <w:r w:rsidRPr="002C46EE">
        <w:rPr>
          <w:rFonts w:eastAsiaTheme="minorHAnsi"/>
          <w:sz w:val="24"/>
          <w:szCs w:val="24"/>
        </w:rPr>
        <w:t xml:space="preserve"> </w:t>
      </w:r>
      <w:r>
        <w:rPr>
          <w:rFonts w:eastAsiaTheme="minorHAnsi"/>
          <w:sz w:val="24"/>
          <w:szCs w:val="24"/>
        </w:rPr>
        <w:t>It further stated</w:t>
      </w:r>
      <w:r w:rsidRPr="002C46EE">
        <w:rPr>
          <w:rFonts w:eastAsiaTheme="minorHAnsi"/>
          <w:sz w:val="24"/>
          <w:szCs w:val="24"/>
        </w:rPr>
        <w:t xml:space="preserve"> that R.C. 4928.143(B)(2)(d) “does not </w:t>
      </w:r>
      <w:r w:rsidRPr="002C46EE">
        <w:rPr>
          <w:rFonts w:eastAsiaTheme="minorHAnsi"/>
          <w:i/>
          <w:sz w:val="24"/>
          <w:szCs w:val="24"/>
        </w:rPr>
        <w:t>preclude</w:t>
      </w:r>
      <w:r w:rsidRPr="002C46EE">
        <w:rPr>
          <w:rFonts w:eastAsiaTheme="minorHAnsi"/>
          <w:sz w:val="24"/>
          <w:szCs w:val="24"/>
        </w:rPr>
        <w:t xml:space="preserve"> authorization of a </w:t>
      </w:r>
      <w:r>
        <w:rPr>
          <w:rFonts w:eastAsiaTheme="minorHAnsi"/>
          <w:sz w:val="24"/>
          <w:szCs w:val="24"/>
        </w:rPr>
        <w:t xml:space="preserve">[PPA] </w:t>
      </w:r>
      <w:r w:rsidRPr="002C46EE">
        <w:rPr>
          <w:rFonts w:eastAsiaTheme="minorHAnsi"/>
          <w:sz w:val="24"/>
          <w:szCs w:val="24"/>
        </w:rPr>
        <w:t>charge.”</w:t>
      </w:r>
      <w:r>
        <w:rPr>
          <w:rFonts w:eastAsiaTheme="minorHAnsi"/>
          <w:sz w:val="24"/>
          <w:szCs w:val="24"/>
          <w:vertAlign w:val="superscript"/>
        </w:rPr>
        <w:footnoteReference w:id="7"/>
      </w:r>
      <w:r w:rsidRPr="002C46EE">
        <w:rPr>
          <w:rFonts w:eastAsiaTheme="minorHAnsi"/>
          <w:sz w:val="24"/>
          <w:szCs w:val="24"/>
        </w:rPr>
        <w:t xml:space="preserve"> </w:t>
      </w:r>
      <w:r>
        <w:rPr>
          <w:rFonts w:eastAsiaTheme="minorHAnsi"/>
          <w:sz w:val="24"/>
          <w:szCs w:val="24"/>
        </w:rPr>
        <w:t xml:space="preserve"> </w:t>
      </w:r>
    </w:p>
    <w:p w:rsidR="00AD6526" w:rsidP="00AD6526">
      <w:pPr>
        <w:spacing w:line="480" w:lineRule="auto"/>
        <w:ind w:firstLine="720"/>
        <w:rPr>
          <w:rFonts w:eastAsiaTheme="minorHAnsi"/>
          <w:sz w:val="24"/>
          <w:szCs w:val="24"/>
        </w:rPr>
      </w:pPr>
      <w:r w:rsidRPr="002C46EE">
        <w:rPr>
          <w:rFonts w:eastAsiaTheme="minorHAnsi"/>
          <w:sz w:val="24"/>
          <w:szCs w:val="24"/>
        </w:rPr>
        <w:t>The Supreme Court has made it clear that “[i]t is axiomatic that the PUCO, as a creature of statute, may exercise only that jurisdiction conferred it by the General Assembly.”</w:t>
      </w:r>
      <w:r>
        <w:rPr>
          <w:rFonts w:eastAsiaTheme="minorHAnsi"/>
          <w:sz w:val="24"/>
          <w:szCs w:val="24"/>
          <w:vertAlign w:val="superscript"/>
        </w:rPr>
        <w:footnoteReference w:id="8"/>
      </w:r>
      <w:r w:rsidRPr="002C46EE">
        <w:rPr>
          <w:rFonts w:eastAsiaTheme="minorHAnsi"/>
          <w:sz w:val="24"/>
          <w:szCs w:val="24"/>
        </w:rPr>
        <w:t xml:space="preserve"> In an earlier Columbus Southern Power Company rate case, the Court held that “[w]hile the General Assembly has delegated authority to the PUCO to set just and reasonable rates for public utilities under its jurisdiction, it has done so by providing a detailed, comprehensive and, as construed by this court, mandatory ratemaking formula.”</w:t>
      </w:r>
      <w:r>
        <w:rPr>
          <w:rFonts w:eastAsiaTheme="minorHAnsi"/>
          <w:sz w:val="24"/>
          <w:szCs w:val="24"/>
          <w:vertAlign w:val="superscript"/>
        </w:rPr>
        <w:footnoteReference w:id="9"/>
      </w:r>
      <w:r w:rsidRPr="002C46EE">
        <w:rPr>
          <w:rFonts w:eastAsiaTheme="minorHAnsi"/>
          <w:sz w:val="24"/>
          <w:szCs w:val="24"/>
        </w:rPr>
        <w:t xml:space="preserve"> </w:t>
      </w:r>
    </w:p>
    <w:p w:rsidR="00AD6526" w:rsidP="00AD6526">
      <w:pPr>
        <w:spacing w:line="480" w:lineRule="auto"/>
        <w:ind w:firstLine="720"/>
        <w:rPr>
          <w:rFonts w:eastAsiaTheme="minorHAnsi"/>
          <w:sz w:val="24"/>
          <w:szCs w:val="24"/>
        </w:rPr>
      </w:pPr>
      <w:r>
        <w:rPr>
          <w:rFonts w:eastAsiaTheme="minorHAnsi"/>
          <w:sz w:val="24"/>
          <w:szCs w:val="24"/>
        </w:rPr>
        <w:t>The</w:t>
      </w:r>
      <w:r w:rsidRPr="002C46EE">
        <w:rPr>
          <w:rFonts w:eastAsiaTheme="minorHAnsi"/>
          <w:sz w:val="24"/>
          <w:szCs w:val="24"/>
        </w:rPr>
        <w:t xml:space="preserve"> rule </w:t>
      </w:r>
      <w:r>
        <w:rPr>
          <w:rFonts w:eastAsiaTheme="minorHAnsi"/>
          <w:sz w:val="24"/>
          <w:szCs w:val="24"/>
        </w:rPr>
        <w:t>announced by the General Assembly and affirmed by the Court – that the PUCO is a creature of statute with limited and defined powers – should be applied in this case.  W</w:t>
      </w:r>
      <w:r w:rsidRPr="002C46EE">
        <w:rPr>
          <w:rFonts w:eastAsiaTheme="minorHAnsi"/>
          <w:sz w:val="24"/>
          <w:szCs w:val="24"/>
        </w:rPr>
        <w:t xml:space="preserve">hen the General Assembly delegated authority to the PUCO to set rates in an ESP, it </w:t>
      </w:r>
      <w:r>
        <w:rPr>
          <w:rFonts w:eastAsiaTheme="minorHAnsi"/>
          <w:sz w:val="24"/>
          <w:szCs w:val="24"/>
        </w:rPr>
        <w:t>did</w:t>
      </w:r>
      <w:r w:rsidRPr="002C46EE">
        <w:rPr>
          <w:rFonts w:eastAsiaTheme="minorHAnsi"/>
          <w:sz w:val="24"/>
          <w:szCs w:val="24"/>
        </w:rPr>
        <w:t xml:space="preserve"> so by providing detailed, comprehensive, and mandatory statutory requirements. </w:t>
      </w:r>
      <w:r>
        <w:rPr>
          <w:rFonts w:eastAsiaTheme="minorHAnsi"/>
          <w:sz w:val="24"/>
          <w:szCs w:val="24"/>
        </w:rPr>
        <w:t>Those</w:t>
      </w:r>
      <w:r w:rsidRPr="002C46EE">
        <w:rPr>
          <w:rFonts w:eastAsiaTheme="minorHAnsi"/>
          <w:sz w:val="24"/>
          <w:szCs w:val="24"/>
        </w:rPr>
        <w:t xml:space="preserve"> statutory requirements are contained in Chapter 4928. But instead of specifying what R.C. 4928.143 </w:t>
      </w:r>
      <w:r w:rsidRPr="00AD6526">
        <w:rPr>
          <w:rFonts w:eastAsiaTheme="minorHAnsi"/>
          <w:i/>
          <w:sz w:val="24"/>
          <w:szCs w:val="24"/>
        </w:rPr>
        <w:t>allows</w:t>
      </w:r>
      <w:r w:rsidRPr="002C46EE">
        <w:rPr>
          <w:rFonts w:eastAsiaTheme="minorHAnsi"/>
          <w:sz w:val="24"/>
          <w:szCs w:val="24"/>
        </w:rPr>
        <w:t xml:space="preserve">, the PUCO said in its order that there is nothing in the statute that </w:t>
      </w:r>
      <w:r w:rsidRPr="00AD6526">
        <w:rPr>
          <w:rFonts w:eastAsiaTheme="minorHAnsi"/>
          <w:i/>
          <w:sz w:val="24"/>
          <w:szCs w:val="24"/>
        </w:rPr>
        <w:t>prohibits</w:t>
      </w:r>
      <w:r>
        <w:rPr>
          <w:rFonts w:eastAsiaTheme="minorHAnsi"/>
          <w:sz w:val="24"/>
          <w:szCs w:val="24"/>
          <w:vertAlign w:val="superscript"/>
        </w:rPr>
        <w:footnoteReference w:id="10"/>
      </w:r>
      <w:r w:rsidRPr="002C46EE">
        <w:rPr>
          <w:rFonts w:eastAsiaTheme="minorHAnsi"/>
          <w:sz w:val="24"/>
          <w:szCs w:val="24"/>
        </w:rPr>
        <w:t xml:space="preserve"> or </w:t>
      </w:r>
      <w:r w:rsidRPr="00AD6526">
        <w:rPr>
          <w:rFonts w:eastAsiaTheme="minorHAnsi"/>
          <w:i/>
          <w:sz w:val="24"/>
          <w:szCs w:val="24"/>
        </w:rPr>
        <w:t>precludes</w:t>
      </w:r>
      <w:r>
        <w:rPr>
          <w:rFonts w:eastAsiaTheme="minorHAnsi"/>
          <w:sz w:val="24"/>
          <w:szCs w:val="24"/>
          <w:vertAlign w:val="superscript"/>
        </w:rPr>
        <w:footnoteReference w:id="11"/>
      </w:r>
      <w:r w:rsidRPr="002C46EE">
        <w:rPr>
          <w:rFonts w:eastAsiaTheme="minorHAnsi"/>
          <w:sz w:val="24"/>
          <w:szCs w:val="24"/>
        </w:rPr>
        <w:t xml:space="preserve"> authorization. </w:t>
      </w:r>
    </w:p>
    <w:p w:rsidR="000C7989" w:rsidP="00AD6526">
      <w:pPr>
        <w:spacing w:line="480" w:lineRule="auto"/>
        <w:ind w:firstLine="720"/>
        <w:rPr>
          <w:rFonts w:eastAsiaTheme="minorHAnsi"/>
          <w:sz w:val="24"/>
          <w:szCs w:val="24"/>
        </w:rPr>
      </w:pPr>
      <w:r w:rsidRPr="002C46EE">
        <w:rPr>
          <w:rFonts w:eastAsiaTheme="minorHAnsi"/>
          <w:sz w:val="24"/>
          <w:szCs w:val="24"/>
        </w:rPr>
        <w:t xml:space="preserve">The Court </w:t>
      </w:r>
      <w:r>
        <w:rPr>
          <w:rFonts w:eastAsiaTheme="minorHAnsi"/>
          <w:sz w:val="24"/>
          <w:szCs w:val="24"/>
        </w:rPr>
        <w:t>has explained</w:t>
      </w:r>
      <w:r w:rsidRPr="002C46EE">
        <w:rPr>
          <w:rFonts w:eastAsiaTheme="minorHAnsi"/>
          <w:sz w:val="24"/>
          <w:szCs w:val="24"/>
        </w:rPr>
        <w:t xml:space="preserve"> that “[t]he comprehensive ratemaking formula provided by the General Assembly is meant to protect and balance the interests of the public utilities and their ratepayers alike.”</w:t>
      </w:r>
      <w:r>
        <w:rPr>
          <w:rFonts w:eastAsiaTheme="minorHAnsi"/>
          <w:sz w:val="24"/>
          <w:szCs w:val="24"/>
          <w:vertAlign w:val="superscript"/>
        </w:rPr>
        <w:footnoteReference w:id="12"/>
      </w:r>
      <w:r>
        <w:rPr>
          <w:rFonts w:eastAsiaTheme="minorHAnsi"/>
          <w:sz w:val="24"/>
          <w:szCs w:val="24"/>
        </w:rPr>
        <w:t xml:space="preserve"> In authorizing the PPA rider, t</w:t>
      </w:r>
      <w:r w:rsidRPr="002C46EE">
        <w:rPr>
          <w:rFonts w:eastAsiaTheme="minorHAnsi"/>
          <w:sz w:val="24"/>
          <w:szCs w:val="24"/>
        </w:rPr>
        <w:t>he PUCO</w:t>
      </w:r>
      <w:r>
        <w:rPr>
          <w:rFonts w:eastAsiaTheme="minorHAnsi"/>
          <w:sz w:val="24"/>
          <w:szCs w:val="24"/>
        </w:rPr>
        <w:t xml:space="preserve"> – by its own admission – </w:t>
      </w:r>
      <w:r w:rsidRPr="002C46EE">
        <w:rPr>
          <w:rFonts w:eastAsiaTheme="minorHAnsi"/>
          <w:sz w:val="24"/>
          <w:szCs w:val="24"/>
        </w:rPr>
        <w:t>has exceeded its authorized powers. The PUCO, as an agency created by statute</w:t>
      </w:r>
      <w:r>
        <w:rPr>
          <w:rFonts w:eastAsiaTheme="minorHAnsi"/>
          <w:sz w:val="24"/>
          <w:szCs w:val="24"/>
        </w:rPr>
        <w:t>,</w:t>
      </w:r>
      <w:r w:rsidRPr="002C46EE">
        <w:rPr>
          <w:rFonts w:eastAsiaTheme="minorHAnsi"/>
          <w:sz w:val="24"/>
          <w:szCs w:val="24"/>
        </w:rPr>
        <w:t xml:space="preserve"> must specify a statute that </w:t>
      </w:r>
      <w:r w:rsidRPr="00AD6526">
        <w:rPr>
          <w:rFonts w:eastAsiaTheme="minorHAnsi"/>
          <w:i/>
          <w:sz w:val="24"/>
          <w:szCs w:val="24"/>
        </w:rPr>
        <w:t>permits</w:t>
      </w:r>
      <w:r w:rsidRPr="002C46EE">
        <w:rPr>
          <w:rFonts w:eastAsiaTheme="minorHAnsi"/>
          <w:sz w:val="24"/>
          <w:szCs w:val="24"/>
        </w:rPr>
        <w:t xml:space="preserve"> it to add the PPA charge on customers’ bills, not simply say that nothing </w:t>
      </w:r>
      <w:r w:rsidRPr="00AD6526">
        <w:rPr>
          <w:rFonts w:eastAsiaTheme="minorHAnsi"/>
          <w:i/>
          <w:sz w:val="24"/>
          <w:szCs w:val="24"/>
        </w:rPr>
        <w:t>prevents</w:t>
      </w:r>
      <w:r w:rsidRPr="002C46EE">
        <w:rPr>
          <w:rFonts w:eastAsiaTheme="minorHAnsi"/>
          <w:sz w:val="24"/>
          <w:szCs w:val="24"/>
        </w:rPr>
        <w:t xml:space="preserve"> it. </w:t>
      </w:r>
    </w:p>
    <w:p w:rsidR="00647D7C" w:rsidRPr="002C46EE" w:rsidP="00AD6526">
      <w:pPr>
        <w:spacing w:line="480" w:lineRule="auto"/>
        <w:ind w:firstLine="720"/>
        <w:rPr>
          <w:rFonts w:eastAsiaTheme="minorHAnsi"/>
          <w:sz w:val="24"/>
          <w:szCs w:val="24"/>
        </w:rPr>
      </w:pPr>
      <w:r>
        <w:rPr>
          <w:rFonts w:eastAsiaTheme="minorHAnsi"/>
          <w:sz w:val="24"/>
          <w:szCs w:val="24"/>
        </w:rPr>
        <w:t>The PUCO should grant rehearing on Assignment of Error No. 1.</w:t>
      </w:r>
    </w:p>
    <w:p w:rsidR="000C7989" w:rsidRPr="002C46EE" w:rsidP="000C7989">
      <w:pPr>
        <w:rPr>
          <w:rFonts w:eastAsiaTheme="minorHAnsi"/>
          <w:sz w:val="24"/>
          <w:szCs w:val="24"/>
        </w:rPr>
      </w:pPr>
    </w:p>
    <w:p w:rsidR="000C7989" w:rsidRPr="002C46EE" w:rsidP="000C7989">
      <w:pPr>
        <w:pStyle w:val="Heading2"/>
        <w:rPr>
          <w:rFonts w:ascii="Times New Roman" w:hAnsi="Times New Roman" w:eastAsiaTheme="minorHAnsi" w:cs="Times New Roman"/>
          <w:szCs w:val="24"/>
        </w:rPr>
      </w:pPr>
      <w:bookmarkStart w:id="7" w:name="_Toc468705167"/>
      <w:r>
        <w:rPr>
          <w:rFonts w:ascii="Times New Roman" w:hAnsi="Times New Roman" w:eastAsiaTheme="minorHAnsi" w:cs="Times New Roman"/>
          <w:szCs w:val="24"/>
        </w:rPr>
        <w:t>ASSIGNMENT OF ERROR 2</w:t>
      </w:r>
      <w:r w:rsidRPr="002C46EE">
        <w:rPr>
          <w:rFonts w:ascii="Times New Roman" w:hAnsi="Times New Roman" w:eastAsiaTheme="minorHAnsi" w:cs="Times New Roman"/>
          <w:szCs w:val="24"/>
        </w:rPr>
        <w:t xml:space="preserve">: </w:t>
      </w:r>
      <w:r>
        <w:rPr>
          <w:rFonts w:ascii="Times New Roman" w:hAnsi="Times New Roman" w:eastAsiaTheme="minorHAnsi" w:cs="Times New Roman"/>
          <w:szCs w:val="24"/>
        </w:rPr>
        <w:t xml:space="preserve"> </w:t>
      </w:r>
      <w:r w:rsidRPr="002C46EE">
        <w:rPr>
          <w:rFonts w:ascii="Times New Roman" w:hAnsi="Times New Roman" w:eastAsiaTheme="minorHAnsi" w:cs="Times New Roman"/>
          <w:szCs w:val="24"/>
        </w:rPr>
        <w:t xml:space="preserve">The PUCO erred by unlawfully and unreasonably approving the PPA rider under R.C. 4928.143(B)(2)(d) </w:t>
      </w:r>
      <w:r>
        <w:rPr>
          <w:rFonts w:ascii="Times New Roman" w:hAnsi="Times New Roman" w:eastAsiaTheme="minorHAnsi" w:cs="Times New Roman"/>
          <w:szCs w:val="24"/>
        </w:rPr>
        <w:t>when</w:t>
      </w:r>
      <w:r w:rsidRPr="002C46EE">
        <w:rPr>
          <w:rFonts w:ascii="Times New Roman" w:hAnsi="Times New Roman" w:eastAsiaTheme="minorHAnsi" w:cs="Times New Roman"/>
          <w:szCs w:val="24"/>
        </w:rPr>
        <w:t xml:space="preserve"> the Utility’s application failed to </w:t>
      </w:r>
      <w:r>
        <w:rPr>
          <w:rFonts w:ascii="Times New Roman" w:hAnsi="Times New Roman" w:eastAsiaTheme="minorHAnsi" w:cs="Times New Roman"/>
          <w:szCs w:val="24"/>
        </w:rPr>
        <w:t>meet</w:t>
      </w:r>
      <w:r w:rsidRPr="002C46EE">
        <w:rPr>
          <w:rFonts w:ascii="Times New Roman" w:hAnsi="Times New Roman" w:eastAsiaTheme="minorHAnsi" w:cs="Times New Roman"/>
          <w:szCs w:val="24"/>
        </w:rPr>
        <w:t xml:space="preserve"> the mandatory statutory filing requirements of Ohio Adm. Code 4901:1-35-03(C)(9)(c)(i).</w:t>
      </w:r>
      <w:bookmarkEnd w:id="7"/>
    </w:p>
    <w:p w:rsidR="0040037B" w:rsidP="004A3A2A">
      <w:pPr>
        <w:spacing w:line="480" w:lineRule="auto"/>
        <w:rPr>
          <w:rFonts w:eastAsiaTheme="minorHAnsi"/>
          <w:sz w:val="24"/>
          <w:szCs w:val="24"/>
        </w:rPr>
      </w:pPr>
      <w:r w:rsidRPr="002C46EE">
        <w:rPr>
          <w:rFonts w:eastAsiaTheme="minorHAnsi"/>
          <w:sz w:val="24"/>
          <w:szCs w:val="24"/>
        </w:rPr>
        <w:tab/>
      </w:r>
      <w:r>
        <w:rPr>
          <w:rFonts w:eastAsiaTheme="minorHAnsi"/>
          <w:sz w:val="24"/>
          <w:szCs w:val="24"/>
        </w:rPr>
        <w:t>The</w:t>
      </w:r>
      <w:r w:rsidRPr="002C46EE">
        <w:rPr>
          <w:rFonts w:eastAsiaTheme="minorHAnsi"/>
          <w:sz w:val="24"/>
          <w:szCs w:val="24"/>
        </w:rPr>
        <w:t xml:space="preserve"> PUCO </w:t>
      </w:r>
      <w:r>
        <w:rPr>
          <w:rFonts w:eastAsiaTheme="minorHAnsi"/>
          <w:sz w:val="24"/>
          <w:szCs w:val="24"/>
        </w:rPr>
        <w:t xml:space="preserve">itself has </w:t>
      </w:r>
      <w:r w:rsidRPr="002C46EE">
        <w:rPr>
          <w:rFonts w:eastAsiaTheme="minorHAnsi"/>
          <w:sz w:val="24"/>
          <w:szCs w:val="24"/>
        </w:rPr>
        <w:t>recognized that AEP</w:t>
      </w:r>
      <w:r>
        <w:rPr>
          <w:rFonts w:eastAsiaTheme="minorHAnsi"/>
          <w:sz w:val="24"/>
          <w:szCs w:val="24"/>
        </w:rPr>
        <w:t xml:space="preserve"> Ohio</w:t>
      </w:r>
      <w:r w:rsidRPr="002C46EE">
        <w:rPr>
          <w:rFonts w:eastAsiaTheme="minorHAnsi"/>
          <w:sz w:val="24"/>
          <w:szCs w:val="24"/>
        </w:rPr>
        <w:t xml:space="preserve"> failed to comply with mandatory filing requirement</w:t>
      </w:r>
      <w:r>
        <w:rPr>
          <w:rFonts w:eastAsiaTheme="minorHAnsi"/>
          <w:sz w:val="24"/>
          <w:szCs w:val="24"/>
        </w:rPr>
        <w:t>s.  I</w:t>
      </w:r>
      <w:r w:rsidRPr="002C46EE">
        <w:rPr>
          <w:rFonts w:eastAsiaTheme="minorHAnsi"/>
          <w:sz w:val="24"/>
          <w:szCs w:val="24"/>
        </w:rPr>
        <w:t>t stated that “Ohio Adm. Code 4901:1-35-03(C)(9)(c)(i) requires an ESP application to include a descriptive rationale and other information for any component of the ESP that would have the effect of limiting customer shopping.”</w:t>
      </w:r>
      <w:r>
        <w:rPr>
          <w:rFonts w:eastAsiaTheme="minorHAnsi"/>
          <w:sz w:val="24"/>
          <w:szCs w:val="24"/>
          <w:vertAlign w:val="superscript"/>
        </w:rPr>
        <w:footnoteReference w:id="13"/>
      </w:r>
      <w:r w:rsidRPr="002C46EE">
        <w:rPr>
          <w:rFonts w:eastAsiaTheme="minorHAnsi"/>
          <w:sz w:val="24"/>
          <w:szCs w:val="24"/>
        </w:rPr>
        <w:t xml:space="preserve">  But </w:t>
      </w:r>
      <w:r>
        <w:rPr>
          <w:rFonts w:eastAsiaTheme="minorHAnsi"/>
          <w:sz w:val="24"/>
          <w:szCs w:val="24"/>
        </w:rPr>
        <w:t>then said</w:t>
      </w:r>
      <w:r w:rsidRPr="002C46EE">
        <w:rPr>
          <w:rFonts w:eastAsiaTheme="minorHAnsi"/>
          <w:sz w:val="24"/>
          <w:szCs w:val="24"/>
        </w:rPr>
        <w:t xml:space="preserve"> that “the Company was not required to comply with the rule.”</w:t>
      </w:r>
      <w:r>
        <w:rPr>
          <w:rFonts w:eastAsiaTheme="minorHAnsi"/>
          <w:sz w:val="24"/>
          <w:szCs w:val="24"/>
          <w:vertAlign w:val="superscript"/>
        </w:rPr>
        <w:footnoteReference w:id="14"/>
      </w:r>
      <w:r w:rsidRPr="002C46EE">
        <w:rPr>
          <w:rFonts w:eastAsiaTheme="minorHAnsi"/>
          <w:sz w:val="24"/>
          <w:szCs w:val="24"/>
        </w:rPr>
        <w:t xml:space="preserve"> </w:t>
      </w:r>
      <w:r w:rsidRPr="009E478F">
        <w:rPr>
          <w:rFonts w:eastAsiaTheme="minorHAnsi"/>
          <w:sz w:val="24"/>
          <w:szCs w:val="24"/>
        </w:rPr>
        <w:t xml:space="preserve"> The PUCO </w:t>
      </w:r>
      <w:r w:rsidRPr="003D5911">
        <w:rPr>
          <w:rFonts w:eastAsiaTheme="minorHAnsi"/>
          <w:sz w:val="24"/>
          <w:szCs w:val="24"/>
        </w:rPr>
        <w:t>said in its order that “although Ohio Adm. Code 4901:1-35-09(C)(9)(c)(i) requires an ESP application to include a descriptive rationale and other information for any component of the ESP that would have the effect of limiting customer shopping, AEP Ohio did not propose the PPA rider, at the time of filing of its ESP application, as a limitation on customer shopping for retail electric generation service and, therefore, the Company was not required to comply with the rule.”</w:t>
      </w:r>
      <w:r>
        <w:rPr>
          <w:rStyle w:val="FootnoteReference"/>
          <w:rFonts w:eastAsiaTheme="minorHAnsi"/>
          <w:sz w:val="24"/>
          <w:szCs w:val="24"/>
        </w:rPr>
        <w:footnoteReference w:id="15"/>
      </w:r>
    </w:p>
    <w:p w:rsidR="000C7989" w:rsidRPr="002C46EE" w:rsidP="004A3A2A">
      <w:pPr>
        <w:spacing w:line="480" w:lineRule="auto"/>
        <w:rPr>
          <w:rFonts w:eastAsiaTheme="minorHAnsi"/>
          <w:sz w:val="24"/>
          <w:szCs w:val="24"/>
        </w:rPr>
      </w:pPr>
      <w:r>
        <w:rPr>
          <w:rFonts w:eastAsiaTheme="minorHAnsi"/>
          <w:sz w:val="24"/>
          <w:szCs w:val="24"/>
        </w:rPr>
        <w:tab/>
      </w:r>
      <w:r w:rsidRPr="002C46EE">
        <w:rPr>
          <w:rFonts w:eastAsiaTheme="minorHAnsi"/>
          <w:sz w:val="24"/>
          <w:szCs w:val="24"/>
        </w:rPr>
        <w:t>The PUCO is a creature of statute and only has authority provided to it under Ohio law.</w:t>
      </w:r>
      <w:r>
        <w:rPr>
          <w:rFonts w:eastAsiaTheme="minorHAnsi"/>
          <w:sz w:val="24"/>
          <w:szCs w:val="24"/>
          <w:vertAlign w:val="superscript"/>
        </w:rPr>
        <w:footnoteReference w:id="16"/>
      </w:r>
      <w:r w:rsidRPr="002C46EE">
        <w:rPr>
          <w:rFonts w:eastAsiaTheme="minorHAnsi"/>
          <w:sz w:val="24"/>
          <w:szCs w:val="24"/>
        </w:rPr>
        <w:t xml:space="preserve"> Statutes and</w:t>
      </w:r>
      <w:r>
        <w:rPr>
          <w:rFonts w:eastAsiaTheme="minorHAnsi"/>
          <w:sz w:val="24"/>
          <w:szCs w:val="24"/>
        </w:rPr>
        <w:t>, absent a waiver,</w:t>
      </w:r>
      <w:r>
        <w:rPr>
          <w:rStyle w:val="FootnoteReference"/>
          <w:rFonts w:eastAsiaTheme="minorHAnsi"/>
          <w:sz w:val="24"/>
          <w:szCs w:val="24"/>
        </w:rPr>
        <w:footnoteReference w:id="17"/>
      </w:r>
      <w:r w:rsidRPr="002C46EE">
        <w:rPr>
          <w:rFonts w:eastAsiaTheme="minorHAnsi"/>
          <w:sz w:val="24"/>
          <w:szCs w:val="24"/>
        </w:rPr>
        <w:t xml:space="preserve"> rules governing ESPs are not optional; not even for the PUCO.  The PUCO cannot rewrite the law.</w:t>
      </w:r>
      <w:r>
        <w:rPr>
          <w:rFonts w:eastAsiaTheme="minorHAnsi"/>
          <w:sz w:val="24"/>
          <w:szCs w:val="24"/>
          <w:vertAlign w:val="superscript"/>
        </w:rPr>
        <w:footnoteReference w:id="18"/>
      </w:r>
      <w:r w:rsidRPr="002C46EE">
        <w:rPr>
          <w:rFonts w:eastAsiaTheme="minorHAnsi"/>
          <w:sz w:val="24"/>
          <w:szCs w:val="24"/>
        </w:rPr>
        <w:t xml:space="preserve"> It must abide by the laws of the state of Ohio. In this case the PUCO erred when it failed to require AEP to comply with Ohio Adm. Code</w:t>
      </w:r>
      <w:r>
        <w:rPr>
          <w:rFonts w:eastAsiaTheme="minorHAnsi"/>
          <w:sz w:val="24"/>
          <w:szCs w:val="24"/>
        </w:rPr>
        <w:t xml:space="preserve"> </w:t>
      </w:r>
      <w:r w:rsidRPr="002C46EE">
        <w:rPr>
          <w:rFonts w:eastAsiaTheme="minorHAnsi"/>
          <w:sz w:val="24"/>
          <w:szCs w:val="24"/>
        </w:rPr>
        <w:t xml:space="preserve">4901:1-35-03(C)(9)(c)(i). </w:t>
      </w:r>
    </w:p>
    <w:p w:rsidR="000C7989" w:rsidRPr="002C46EE" w:rsidP="004A3A2A">
      <w:pPr>
        <w:spacing w:line="480" w:lineRule="auto"/>
        <w:rPr>
          <w:rFonts w:eastAsiaTheme="minorHAnsi"/>
          <w:sz w:val="24"/>
          <w:szCs w:val="24"/>
        </w:rPr>
      </w:pPr>
      <w:r w:rsidRPr="002C46EE">
        <w:rPr>
          <w:rFonts w:eastAsiaTheme="minorHAnsi"/>
          <w:sz w:val="24"/>
          <w:szCs w:val="24"/>
        </w:rPr>
        <w:tab/>
        <w:t>If AEP</w:t>
      </w:r>
      <w:r>
        <w:rPr>
          <w:rFonts w:eastAsiaTheme="minorHAnsi"/>
          <w:sz w:val="24"/>
          <w:szCs w:val="24"/>
        </w:rPr>
        <w:t xml:space="preserve"> Ohio</w:t>
      </w:r>
      <w:r w:rsidRPr="002C46EE">
        <w:rPr>
          <w:rFonts w:eastAsiaTheme="minorHAnsi"/>
          <w:sz w:val="24"/>
          <w:szCs w:val="24"/>
        </w:rPr>
        <w:t xml:space="preserve"> is seeking to collect money from its customers, </w:t>
      </w:r>
      <w:r>
        <w:rPr>
          <w:rFonts w:eastAsiaTheme="minorHAnsi"/>
          <w:sz w:val="24"/>
          <w:szCs w:val="24"/>
        </w:rPr>
        <w:t>governing regulations</w:t>
      </w:r>
      <w:r w:rsidRPr="002C46EE">
        <w:rPr>
          <w:rFonts w:eastAsiaTheme="minorHAnsi"/>
          <w:sz w:val="24"/>
          <w:szCs w:val="24"/>
        </w:rPr>
        <w:t xml:space="preserve"> mandate that AEP must set forth that component in the ESP application and include a descriptive rationale regarding that component.</w:t>
      </w:r>
      <w:r>
        <w:rPr>
          <w:rStyle w:val="FootnoteReference"/>
          <w:rFonts w:eastAsiaTheme="minorHAnsi"/>
          <w:sz w:val="24"/>
          <w:szCs w:val="24"/>
        </w:rPr>
        <w:footnoteReference w:id="19"/>
      </w:r>
      <w:r w:rsidRPr="002C46EE">
        <w:rPr>
          <w:rFonts w:eastAsiaTheme="minorHAnsi"/>
          <w:sz w:val="24"/>
          <w:szCs w:val="24"/>
        </w:rPr>
        <w:t xml:space="preserve"> The rule is not optional, and requires the following:</w:t>
      </w:r>
    </w:p>
    <w:p w:rsidR="000C7989" w:rsidRPr="002C46EE" w:rsidP="000C7989">
      <w:pPr>
        <w:spacing w:after="200"/>
        <w:ind w:left="720" w:right="720"/>
        <w:jc w:val="both"/>
        <w:rPr>
          <w:rFonts w:eastAsiaTheme="minorHAnsi"/>
          <w:sz w:val="24"/>
          <w:szCs w:val="24"/>
        </w:rPr>
      </w:pPr>
      <w:r w:rsidRPr="002C46EE">
        <w:rPr>
          <w:rFonts w:eastAsiaTheme="minorHAnsi"/>
          <w:sz w:val="24"/>
          <w:szCs w:val="24"/>
        </w:rPr>
        <w:t xml:space="preserve">(C) An SSO application that contains a proposal for an ESP </w:t>
      </w:r>
      <w:r w:rsidRPr="002C46EE">
        <w:rPr>
          <w:rFonts w:eastAsiaTheme="minorHAnsi"/>
          <w:i/>
          <w:sz w:val="24"/>
          <w:szCs w:val="24"/>
        </w:rPr>
        <w:t>shall</w:t>
      </w:r>
      <w:r w:rsidRPr="002C46EE">
        <w:rPr>
          <w:rFonts w:eastAsiaTheme="minorHAnsi"/>
          <w:sz w:val="24"/>
          <w:szCs w:val="24"/>
        </w:rPr>
        <w:t xml:space="preserve"> comply with the requirement set forth below.</w:t>
      </w:r>
    </w:p>
    <w:p w:rsidR="000C7989" w:rsidRPr="002C46EE" w:rsidP="000C7989">
      <w:pPr>
        <w:spacing w:after="200"/>
        <w:ind w:left="720" w:right="720"/>
        <w:jc w:val="both"/>
        <w:rPr>
          <w:rFonts w:eastAsiaTheme="minorHAnsi"/>
          <w:sz w:val="24"/>
          <w:szCs w:val="24"/>
        </w:rPr>
      </w:pPr>
      <w:r w:rsidRPr="002C46EE">
        <w:rPr>
          <w:rFonts w:eastAsiaTheme="minorHAnsi"/>
          <w:sz w:val="24"/>
          <w:szCs w:val="24"/>
        </w:rPr>
        <w:t xml:space="preserve">(9)(c) Division (B)(2)(d) of section 4928.143 of the Revised Code authorizes an electric utility to include terms, conditions, or charges related to retail shopping by customers. Any application which includes such terms, conditions or charges, </w:t>
      </w:r>
      <w:r w:rsidRPr="002C46EE">
        <w:rPr>
          <w:rFonts w:eastAsiaTheme="minorHAnsi"/>
          <w:i/>
          <w:sz w:val="24"/>
          <w:szCs w:val="24"/>
        </w:rPr>
        <w:t>shall</w:t>
      </w:r>
      <w:r w:rsidRPr="002C46EE">
        <w:rPr>
          <w:rFonts w:eastAsiaTheme="minorHAnsi"/>
          <w:sz w:val="24"/>
          <w:szCs w:val="24"/>
        </w:rPr>
        <w:t xml:space="preserve"> include, at a minimum, the following information:</w:t>
      </w:r>
    </w:p>
    <w:p w:rsidR="000C7989" w:rsidRPr="002C46EE" w:rsidP="000C7989">
      <w:pPr>
        <w:spacing w:after="200"/>
        <w:ind w:left="720" w:right="720"/>
        <w:jc w:val="both"/>
        <w:rPr>
          <w:rFonts w:eastAsiaTheme="minorHAnsi"/>
          <w:sz w:val="24"/>
          <w:szCs w:val="24"/>
        </w:rPr>
      </w:pPr>
      <w:r w:rsidRPr="002C46EE">
        <w:rPr>
          <w:rFonts w:eastAsiaTheme="minorHAnsi"/>
          <w:sz w:val="24"/>
          <w:szCs w:val="24"/>
        </w:rPr>
        <w:tab/>
        <w:t xml:space="preserve">(i) A listing of all components of the ESP which would have the effect of preventing, limiting, inhibiting, or promoting customer shopping for retail electric generation service. Such components would include, but are not limited to, terms and conditions relating to shopping or to returning to standard service offer and any unavoidable charges. For each such component, an explanation of the component and a descriptive rationale and, to the extent possible, a quantitative justification </w:t>
      </w:r>
      <w:r w:rsidRPr="002C46EE">
        <w:rPr>
          <w:rFonts w:eastAsiaTheme="minorHAnsi"/>
          <w:i/>
          <w:sz w:val="24"/>
          <w:szCs w:val="24"/>
        </w:rPr>
        <w:t>shall</w:t>
      </w:r>
      <w:r w:rsidRPr="002C46EE">
        <w:rPr>
          <w:rFonts w:eastAsiaTheme="minorHAnsi"/>
          <w:sz w:val="24"/>
          <w:szCs w:val="24"/>
        </w:rPr>
        <w:t xml:space="preserve"> be provided.</w:t>
      </w:r>
    </w:p>
    <w:p w:rsidR="000C7989" w:rsidRPr="002C46EE" w:rsidP="000C7989">
      <w:pPr>
        <w:spacing w:after="200"/>
        <w:ind w:left="720" w:right="720"/>
        <w:jc w:val="both"/>
        <w:rPr>
          <w:rFonts w:eastAsiaTheme="minorHAnsi"/>
          <w:sz w:val="24"/>
          <w:szCs w:val="24"/>
        </w:rPr>
      </w:pPr>
      <w:r w:rsidRPr="002C46EE">
        <w:rPr>
          <w:rFonts w:eastAsiaTheme="minorHAnsi"/>
          <w:sz w:val="24"/>
          <w:szCs w:val="24"/>
        </w:rPr>
        <w:tab/>
        <w:t>(ii) a description and quantification or estimation of any charges, other than those  associated with generation expansion or environmental investment under divisions (B)(2)(b) and (B)(2)(c) of section 4928.143 of the Revised Code, which will be deferred of future recovery, together with the carrying costs, amortization periods, and avoidability of such charges.</w:t>
      </w:r>
    </w:p>
    <w:p w:rsidR="000C7989" w:rsidRPr="002C46EE" w:rsidP="000C7989">
      <w:pPr>
        <w:spacing w:after="200"/>
        <w:ind w:left="720" w:right="720"/>
        <w:jc w:val="both"/>
        <w:rPr>
          <w:rFonts w:eastAsiaTheme="minorHAnsi"/>
          <w:sz w:val="24"/>
          <w:szCs w:val="24"/>
        </w:rPr>
      </w:pPr>
      <w:r w:rsidRPr="002C46EE">
        <w:rPr>
          <w:rFonts w:eastAsiaTheme="minorHAnsi"/>
          <w:sz w:val="24"/>
          <w:szCs w:val="24"/>
        </w:rPr>
        <w:tab/>
        <w:t>(iii) A listing, description, and quantitative justification of any unavoidable charges for standby, back-up, or supplemental power.</w:t>
      </w:r>
      <w:r>
        <w:rPr>
          <w:rFonts w:eastAsiaTheme="minorHAnsi"/>
          <w:sz w:val="24"/>
          <w:szCs w:val="24"/>
          <w:vertAlign w:val="superscript"/>
        </w:rPr>
        <w:footnoteReference w:id="20"/>
      </w:r>
    </w:p>
    <w:p w:rsidR="002D39EF" w:rsidP="002D39EF">
      <w:pPr>
        <w:ind w:firstLine="720"/>
        <w:rPr>
          <w:rFonts w:eastAsiaTheme="minorHAnsi"/>
          <w:sz w:val="24"/>
          <w:szCs w:val="24"/>
        </w:rPr>
      </w:pPr>
    </w:p>
    <w:p w:rsidR="000C7989" w:rsidRPr="002C46EE" w:rsidP="00647D7C">
      <w:pPr>
        <w:spacing w:line="480" w:lineRule="auto"/>
        <w:ind w:firstLine="720"/>
        <w:rPr>
          <w:rFonts w:eastAsiaTheme="minorHAnsi"/>
          <w:sz w:val="24"/>
          <w:szCs w:val="24"/>
        </w:rPr>
      </w:pPr>
      <w:r w:rsidRPr="002C46EE">
        <w:rPr>
          <w:rFonts w:eastAsiaTheme="minorHAnsi"/>
          <w:sz w:val="24"/>
          <w:szCs w:val="24"/>
        </w:rPr>
        <w:t xml:space="preserve">The PUCO approved the PPA rider as a </w:t>
      </w:r>
      <w:r>
        <w:rPr>
          <w:rFonts w:eastAsiaTheme="minorHAnsi"/>
          <w:sz w:val="24"/>
          <w:szCs w:val="24"/>
        </w:rPr>
        <w:t xml:space="preserve">purported </w:t>
      </w:r>
      <w:r w:rsidRPr="002C46EE">
        <w:rPr>
          <w:rFonts w:eastAsiaTheme="minorHAnsi"/>
          <w:sz w:val="24"/>
          <w:szCs w:val="24"/>
        </w:rPr>
        <w:t>limitation o</w:t>
      </w:r>
      <w:r>
        <w:rPr>
          <w:rFonts w:eastAsiaTheme="minorHAnsi"/>
          <w:sz w:val="24"/>
          <w:szCs w:val="24"/>
        </w:rPr>
        <w:t>n</w:t>
      </w:r>
      <w:r w:rsidRPr="002C46EE">
        <w:rPr>
          <w:rFonts w:eastAsiaTheme="minorHAnsi"/>
          <w:sz w:val="24"/>
          <w:szCs w:val="24"/>
        </w:rPr>
        <w:t xml:space="preserve"> customer shopping</w:t>
      </w:r>
      <w:r>
        <w:rPr>
          <w:rFonts w:eastAsiaTheme="minorHAnsi"/>
          <w:sz w:val="24"/>
          <w:szCs w:val="24"/>
        </w:rPr>
        <w:t xml:space="preserve">.  </w:t>
      </w:r>
      <w:r w:rsidRPr="002C46EE">
        <w:rPr>
          <w:rFonts w:eastAsiaTheme="minorHAnsi"/>
          <w:sz w:val="24"/>
          <w:szCs w:val="24"/>
        </w:rPr>
        <w:t>Ohio Adm. Code 4901:1-35-03(C)(9)(c)</w:t>
      </w:r>
      <w:r>
        <w:rPr>
          <w:rFonts w:eastAsiaTheme="minorHAnsi"/>
          <w:sz w:val="24"/>
          <w:szCs w:val="24"/>
        </w:rPr>
        <w:t>, issued under the authority of R.C. 4928.143,</w:t>
      </w:r>
      <w:r w:rsidRPr="002C46EE">
        <w:rPr>
          <w:rFonts w:eastAsiaTheme="minorHAnsi"/>
          <w:sz w:val="24"/>
          <w:szCs w:val="24"/>
        </w:rPr>
        <w:t xml:space="preserve"> clearly require that </w:t>
      </w:r>
      <w:r w:rsidRPr="002C46EE">
        <w:rPr>
          <w:rFonts w:eastAsiaTheme="minorHAnsi"/>
          <w:i/>
          <w:sz w:val="24"/>
          <w:szCs w:val="24"/>
        </w:rPr>
        <w:t>any</w:t>
      </w:r>
      <w:r w:rsidRPr="002C46EE">
        <w:rPr>
          <w:rFonts w:eastAsiaTheme="minorHAnsi"/>
          <w:sz w:val="24"/>
          <w:szCs w:val="24"/>
        </w:rPr>
        <w:t xml:space="preserve"> application filed pursuant to R.C. 4928.143 </w:t>
      </w:r>
      <w:r w:rsidRPr="002C46EE">
        <w:rPr>
          <w:rFonts w:eastAsiaTheme="minorHAnsi"/>
          <w:i/>
          <w:sz w:val="24"/>
          <w:szCs w:val="24"/>
        </w:rPr>
        <w:t>must</w:t>
      </w:r>
      <w:r w:rsidRPr="002C46EE">
        <w:rPr>
          <w:rFonts w:eastAsiaTheme="minorHAnsi"/>
          <w:sz w:val="24"/>
          <w:szCs w:val="24"/>
        </w:rPr>
        <w:t xml:space="preserve"> include a listing of all components that have the effect of preventing, limiting, inhibiting, or promoting customer shopping for retail electric generation service. AEP</w:t>
      </w:r>
      <w:r>
        <w:rPr>
          <w:rFonts w:eastAsiaTheme="minorHAnsi"/>
          <w:sz w:val="24"/>
          <w:szCs w:val="24"/>
        </w:rPr>
        <w:t xml:space="preserve"> Ohio</w:t>
      </w:r>
      <w:r w:rsidRPr="002C46EE">
        <w:rPr>
          <w:rFonts w:eastAsiaTheme="minorHAnsi"/>
          <w:sz w:val="24"/>
          <w:szCs w:val="24"/>
        </w:rPr>
        <w:t xml:space="preserve"> never asserted that the PPA rider would prevent, limit, or inhibit customer shopping for retail generation service in its application. </w:t>
      </w:r>
      <w:r>
        <w:rPr>
          <w:rFonts w:eastAsiaTheme="minorHAnsi"/>
          <w:sz w:val="24"/>
          <w:szCs w:val="24"/>
        </w:rPr>
        <w:t xml:space="preserve"> In fact, as the </w:t>
      </w:r>
      <w:r w:rsidRPr="002C46EE">
        <w:rPr>
          <w:rFonts w:eastAsiaTheme="minorHAnsi"/>
          <w:sz w:val="24"/>
          <w:szCs w:val="24"/>
        </w:rPr>
        <w:t>PUCO</w:t>
      </w:r>
      <w:r>
        <w:rPr>
          <w:rFonts w:eastAsiaTheme="minorHAnsi"/>
          <w:sz w:val="24"/>
          <w:szCs w:val="24"/>
        </w:rPr>
        <w:t xml:space="preserve"> acknowledged</w:t>
      </w:r>
      <w:r w:rsidRPr="002C46EE">
        <w:rPr>
          <w:rFonts w:eastAsiaTheme="minorHAnsi"/>
          <w:sz w:val="24"/>
          <w:szCs w:val="24"/>
        </w:rPr>
        <w:t xml:space="preserve">, “AEP Ohio witness Allen, did, at one point, testify that he believes that the PPA rider, as proposed, is </w:t>
      </w:r>
      <w:r w:rsidRPr="00647D7C">
        <w:rPr>
          <w:rFonts w:eastAsiaTheme="minorHAnsi"/>
          <w:i/>
          <w:sz w:val="24"/>
          <w:szCs w:val="24"/>
        </w:rPr>
        <w:t>not</w:t>
      </w:r>
      <w:r w:rsidRPr="002C46EE">
        <w:rPr>
          <w:rFonts w:eastAsiaTheme="minorHAnsi"/>
          <w:sz w:val="24"/>
          <w:szCs w:val="24"/>
        </w:rPr>
        <w:t xml:space="preserve"> a limitation on customer shopping.”</w:t>
      </w:r>
      <w:r>
        <w:rPr>
          <w:rFonts w:eastAsiaTheme="minorHAnsi"/>
          <w:sz w:val="24"/>
          <w:szCs w:val="24"/>
          <w:vertAlign w:val="superscript"/>
        </w:rPr>
        <w:footnoteReference w:id="21"/>
      </w:r>
      <w:r w:rsidRPr="002C46EE">
        <w:rPr>
          <w:rFonts w:eastAsiaTheme="minorHAnsi"/>
          <w:sz w:val="24"/>
          <w:szCs w:val="24"/>
        </w:rPr>
        <w:t xml:space="preserve"> And there was no waiver </w:t>
      </w:r>
      <w:r>
        <w:rPr>
          <w:rFonts w:eastAsiaTheme="minorHAnsi"/>
          <w:sz w:val="24"/>
          <w:szCs w:val="24"/>
        </w:rPr>
        <w:t xml:space="preserve">granted, let alone requested, </w:t>
      </w:r>
      <w:r w:rsidRPr="002C46EE">
        <w:rPr>
          <w:rFonts w:eastAsiaTheme="minorHAnsi"/>
          <w:sz w:val="24"/>
          <w:szCs w:val="24"/>
        </w:rPr>
        <w:t xml:space="preserve">of mandatory Ohio Adm. Code 4901:1-35-03(C)(9)(c). </w:t>
      </w:r>
    </w:p>
    <w:p w:rsidR="002A632D" w:rsidP="000C7989">
      <w:pPr>
        <w:spacing w:line="480" w:lineRule="auto"/>
        <w:rPr>
          <w:rFonts w:eastAsiaTheme="minorHAnsi"/>
          <w:sz w:val="24"/>
          <w:szCs w:val="24"/>
        </w:rPr>
      </w:pPr>
      <w:r w:rsidRPr="002C46EE">
        <w:rPr>
          <w:rFonts w:eastAsiaTheme="minorHAnsi"/>
          <w:sz w:val="24"/>
          <w:szCs w:val="24"/>
        </w:rPr>
        <w:tab/>
        <w:t>The PUCO’s reliance on an intervening party’s testimony is insufficient to remedy the problems with AEP</w:t>
      </w:r>
      <w:r>
        <w:rPr>
          <w:rFonts w:eastAsiaTheme="minorHAnsi"/>
          <w:sz w:val="24"/>
          <w:szCs w:val="24"/>
        </w:rPr>
        <w:t xml:space="preserve"> Ohio</w:t>
      </w:r>
      <w:r w:rsidRPr="002C46EE">
        <w:rPr>
          <w:rFonts w:eastAsiaTheme="minorHAnsi"/>
          <w:sz w:val="24"/>
          <w:szCs w:val="24"/>
        </w:rPr>
        <w:t>’s application.</w:t>
      </w:r>
      <w:r>
        <w:rPr>
          <w:rStyle w:val="FootnoteReference"/>
          <w:rFonts w:eastAsiaTheme="minorHAnsi"/>
          <w:sz w:val="24"/>
          <w:szCs w:val="24"/>
        </w:rPr>
        <w:footnoteReference w:id="22"/>
      </w:r>
      <w:r w:rsidRPr="002C46EE">
        <w:rPr>
          <w:rFonts w:eastAsiaTheme="minorHAnsi"/>
          <w:sz w:val="24"/>
          <w:szCs w:val="24"/>
        </w:rPr>
        <w:t xml:space="preserve"> In order to comply with Ohio Adm. Code 4901:1-35-03(C)(9)(c), the </w:t>
      </w:r>
      <w:r w:rsidRPr="002A632D">
        <w:rPr>
          <w:rFonts w:eastAsiaTheme="minorHAnsi"/>
          <w:i/>
          <w:sz w:val="24"/>
          <w:szCs w:val="24"/>
        </w:rPr>
        <w:t>application</w:t>
      </w:r>
      <w:r w:rsidRPr="002C46EE">
        <w:rPr>
          <w:rFonts w:eastAsiaTheme="minorHAnsi"/>
          <w:sz w:val="24"/>
          <w:szCs w:val="24"/>
        </w:rPr>
        <w:t xml:space="preserve"> had to include the PPA component and it did not. What the PUCO established by shoe-horning the PPA into the ESP at a later date constitutes regulation by ambush. </w:t>
      </w:r>
      <w:r>
        <w:rPr>
          <w:rFonts w:eastAsiaTheme="minorHAnsi"/>
          <w:sz w:val="24"/>
          <w:szCs w:val="24"/>
        </w:rPr>
        <w:t>Governing regulation</w:t>
      </w:r>
      <w:r w:rsidRPr="002C46EE">
        <w:rPr>
          <w:rFonts w:eastAsiaTheme="minorHAnsi"/>
          <w:sz w:val="24"/>
          <w:szCs w:val="24"/>
        </w:rPr>
        <w:t xml:space="preserve"> requires that parties be made aware – in </w:t>
      </w:r>
      <w:r>
        <w:rPr>
          <w:rFonts w:eastAsiaTheme="minorHAnsi"/>
          <w:sz w:val="24"/>
          <w:szCs w:val="24"/>
        </w:rPr>
        <w:t>a</w:t>
      </w:r>
      <w:r w:rsidRPr="002C46EE">
        <w:rPr>
          <w:rFonts w:eastAsiaTheme="minorHAnsi"/>
          <w:sz w:val="24"/>
          <w:szCs w:val="24"/>
        </w:rPr>
        <w:t xml:space="preserve"> </w:t>
      </w:r>
      <w:r>
        <w:rPr>
          <w:rFonts w:eastAsiaTheme="minorHAnsi"/>
          <w:sz w:val="24"/>
          <w:szCs w:val="24"/>
        </w:rPr>
        <w:t>u</w:t>
      </w:r>
      <w:r w:rsidRPr="002C46EE">
        <w:rPr>
          <w:rFonts w:eastAsiaTheme="minorHAnsi"/>
          <w:sz w:val="24"/>
          <w:szCs w:val="24"/>
        </w:rPr>
        <w:t xml:space="preserve">tility’s application – of what </w:t>
      </w:r>
      <w:r>
        <w:rPr>
          <w:rFonts w:eastAsiaTheme="minorHAnsi"/>
          <w:sz w:val="24"/>
          <w:szCs w:val="24"/>
        </w:rPr>
        <w:t>a</w:t>
      </w:r>
      <w:r w:rsidRPr="002C46EE">
        <w:rPr>
          <w:rFonts w:eastAsiaTheme="minorHAnsi"/>
          <w:sz w:val="24"/>
          <w:szCs w:val="24"/>
        </w:rPr>
        <w:t xml:space="preserve"> </w:t>
      </w:r>
      <w:r>
        <w:rPr>
          <w:rFonts w:eastAsiaTheme="minorHAnsi"/>
          <w:sz w:val="24"/>
          <w:szCs w:val="24"/>
        </w:rPr>
        <w:t>u</w:t>
      </w:r>
      <w:r w:rsidRPr="002C46EE">
        <w:rPr>
          <w:rFonts w:eastAsiaTheme="minorHAnsi"/>
          <w:sz w:val="24"/>
          <w:szCs w:val="24"/>
        </w:rPr>
        <w:t xml:space="preserve">tility is proposing. </w:t>
      </w:r>
      <w:r>
        <w:rPr>
          <w:rFonts w:eastAsiaTheme="minorHAnsi"/>
          <w:sz w:val="24"/>
          <w:szCs w:val="24"/>
        </w:rPr>
        <w:t xml:space="preserve">Such notice is crucial to parties’ ability to prepare a case and, by extension, the PUCO’s ability to understand the case based on a robust record.  </w:t>
      </w:r>
      <w:r w:rsidRPr="002C46EE">
        <w:rPr>
          <w:rFonts w:eastAsiaTheme="minorHAnsi"/>
          <w:sz w:val="24"/>
          <w:szCs w:val="24"/>
        </w:rPr>
        <w:t>That is why the language is mandatory. The PUCO cannot avoid this requirement. AEP</w:t>
      </w:r>
      <w:r>
        <w:rPr>
          <w:rFonts w:eastAsiaTheme="minorHAnsi"/>
          <w:sz w:val="24"/>
          <w:szCs w:val="24"/>
        </w:rPr>
        <w:t xml:space="preserve"> Ohio</w:t>
      </w:r>
      <w:r w:rsidRPr="002C46EE">
        <w:rPr>
          <w:rFonts w:eastAsiaTheme="minorHAnsi"/>
          <w:sz w:val="24"/>
          <w:szCs w:val="24"/>
        </w:rPr>
        <w:t xml:space="preserve">’s application </w:t>
      </w:r>
      <w:r>
        <w:rPr>
          <w:rFonts w:eastAsiaTheme="minorHAnsi"/>
          <w:sz w:val="24"/>
          <w:szCs w:val="24"/>
        </w:rPr>
        <w:t>did not contain</w:t>
      </w:r>
      <w:r w:rsidRPr="002C46EE">
        <w:rPr>
          <w:rFonts w:eastAsiaTheme="minorHAnsi"/>
          <w:sz w:val="24"/>
          <w:szCs w:val="24"/>
        </w:rPr>
        <w:t xml:space="preserve"> th</w:t>
      </w:r>
      <w:r>
        <w:rPr>
          <w:rFonts w:eastAsiaTheme="minorHAnsi"/>
          <w:sz w:val="24"/>
          <w:szCs w:val="24"/>
        </w:rPr>
        <w:t xml:space="preserve">e mandatory filing requirements.  It was </w:t>
      </w:r>
      <w:r w:rsidRPr="002C46EE">
        <w:rPr>
          <w:rFonts w:eastAsiaTheme="minorHAnsi"/>
          <w:sz w:val="24"/>
          <w:szCs w:val="24"/>
        </w:rPr>
        <w:t xml:space="preserve">fatally inadequate. </w:t>
      </w:r>
    </w:p>
    <w:p w:rsidR="000C7989" w:rsidP="002A632D">
      <w:pPr>
        <w:spacing w:line="480" w:lineRule="auto"/>
        <w:ind w:firstLine="720"/>
        <w:rPr>
          <w:rFonts w:eastAsiaTheme="minorHAnsi"/>
          <w:sz w:val="24"/>
          <w:szCs w:val="24"/>
        </w:rPr>
      </w:pPr>
      <w:r w:rsidRPr="002C46EE">
        <w:rPr>
          <w:rFonts w:eastAsiaTheme="minorHAnsi"/>
          <w:sz w:val="24"/>
          <w:szCs w:val="24"/>
        </w:rPr>
        <w:t>The PUCO unreasonably ruled that the PPA rider is a limitation on customer shopping for retail generation service under R.C. 4928.143(B)(2)(d)</w:t>
      </w:r>
      <w:r>
        <w:rPr>
          <w:rFonts w:eastAsiaTheme="minorHAnsi"/>
          <w:sz w:val="24"/>
          <w:szCs w:val="24"/>
        </w:rPr>
        <w:t>.  T</w:t>
      </w:r>
      <w:r w:rsidRPr="002C46EE">
        <w:rPr>
          <w:rFonts w:eastAsiaTheme="minorHAnsi"/>
          <w:sz w:val="24"/>
          <w:szCs w:val="24"/>
        </w:rPr>
        <w:t xml:space="preserve">he PUCO unreasonably relied upon an intervening party’s testimony when Ohio Adm. Code 4901:1-35-03(C)(9)(c) requires that AEP </w:t>
      </w:r>
      <w:r>
        <w:rPr>
          <w:rFonts w:eastAsiaTheme="minorHAnsi"/>
          <w:sz w:val="24"/>
          <w:szCs w:val="24"/>
        </w:rPr>
        <w:t xml:space="preserve">Ohio </w:t>
      </w:r>
      <w:r w:rsidRPr="002C46EE">
        <w:rPr>
          <w:rFonts w:eastAsiaTheme="minorHAnsi"/>
          <w:sz w:val="24"/>
          <w:szCs w:val="24"/>
        </w:rPr>
        <w:t>include specific fling requirements in its application.</w:t>
      </w:r>
      <w:r>
        <w:rPr>
          <w:rFonts w:eastAsiaTheme="minorHAnsi"/>
          <w:sz w:val="24"/>
          <w:szCs w:val="24"/>
        </w:rPr>
        <w:t xml:space="preserve"> AEP Ohio’s failure to comply with the mandatory filing requirements of </w:t>
      </w:r>
      <w:r w:rsidRPr="002C46EE">
        <w:rPr>
          <w:rFonts w:eastAsiaTheme="minorHAnsi"/>
          <w:sz w:val="24"/>
          <w:szCs w:val="24"/>
        </w:rPr>
        <w:t>Ohio Adm. Code 4901:1-35-03(C)(9)(c)</w:t>
      </w:r>
      <w:r>
        <w:rPr>
          <w:rFonts w:eastAsiaTheme="minorHAnsi"/>
          <w:sz w:val="24"/>
          <w:szCs w:val="24"/>
        </w:rPr>
        <w:t xml:space="preserve"> cannot be remedied after-the-fact through hearing.</w:t>
      </w:r>
    </w:p>
    <w:p w:rsidR="002A632D" w:rsidRPr="002C46EE" w:rsidP="002A632D">
      <w:pPr>
        <w:spacing w:line="480" w:lineRule="auto"/>
        <w:ind w:firstLine="720"/>
        <w:rPr>
          <w:rFonts w:eastAsiaTheme="minorHAnsi"/>
          <w:sz w:val="24"/>
          <w:szCs w:val="24"/>
        </w:rPr>
      </w:pPr>
      <w:r>
        <w:rPr>
          <w:rFonts w:eastAsiaTheme="minorHAnsi"/>
          <w:sz w:val="24"/>
          <w:szCs w:val="24"/>
        </w:rPr>
        <w:t>The PUCO should grant rehearing on Assignment of Error No. 2.</w:t>
      </w:r>
    </w:p>
    <w:p w:rsidR="000C7989" w:rsidRPr="002C46EE" w:rsidP="000C7989">
      <w:pPr>
        <w:rPr>
          <w:rFonts w:eastAsiaTheme="minorHAnsi"/>
          <w:sz w:val="24"/>
          <w:szCs w:val="24"/>
        </w:rPr>
      </w:pPr>
    </w:p>
    <w:p w:rsidR="000C7989" w:rsidRPr="002C46EE" w:rsidP="000C7989">
      <w:pPr>
        <w:pStyle w:val="Heading2"/>
        <w:rPr>
          <w:rFonts w:ascii="Times New Roman" w:hAnsi="Times New Roman" w:eastAsiaTheme="minorHAnsi" w:cs="Times New Roman"/>
          <w:szCs w:val="24"/>
        </w:rPr>
      </w:pPr>
      <w:bookmarkStart w:id="8" w:name="_Toc468705168"/>
      <w:r w:rsidRPr="002C46EE">
        <w:rPr>
          <w:rFonts w:ascii="Times New Roman" w:hAnsi="Times New Roman" w:eastAsiaTheme="minorHAnsi" w:cs="Times New Roman"/>
          <w:szCs w:val="24"/>
        </w:rPr>
        <w:t>ASSIGNMENT OF ERROR</w:t>
      </w:r>
      <w:r>
        <w:rPr>
          <w:rFonts w:ascii="Times New Roman" w:hAnsi="Times New Roman" w:eastAsiaTheme="minorHAnsi" w:cs="Times New Roman"/>
          <w:szCs w:val="24"/>
        </w:rPr>
        <w:t xml:space="preserve"> 3</w:t>
      </w:r>
      <w:r w:rsidRPr="002C46EE">
        <w:rPr>
          <w:rFonts w:ascii="Times New Roman" w:hAnsi="Times New Roman" w:eastAsiaTheme="minorHAnsi" w:cs="Times New Roman"/>
          <w:szCs w:val="24"/>
        </w:rPr>
        <w:t xml:space="preserve">: </w:t>
      </w:r>
      <w:r>
        <w:rPr>
          <w:rFonts w:ascii="Times New Roman" w:hAnsi="Times New Roman" w:eastAsiaTheme="minorHAnsi" w:cs="Times New Roman"/>
          <w:szCs w:val="24"/>
        </w:rPr>
        <w:t xml:space="preserve"> </w:t>
      </w:r>
      <w:r w:rsidRPr="002C46EE">
        <w:rPr>
          <w:rFonts w:ascii="Times New Roman" w:hAnsi="Times New Roman" w:eastAsiaTheme="minorHAnsi" w:cs="Times New Roman"/>
          <w:szCs w:val="24"/>
        </w:rPr>
        <w:t xml:space="preserve">The PUCO’s decision to defer ruling on the assignments of error related to </w:t>
      </w:r>
      <w:r>
        <w:rPr>
          <w:rFonts w:ascii="Times New Roman" w:hAnsi="Times New Roman" w:eastAsiaTheme="minorHAnsi" w:cs="Times New Roman"/>
          <w:szCs w:val="24"/>
        </w:rPr>
        <w:t xml:space="preserve">the </w:t>
      </w:r>
      <w:r w:rsidRPr="002C46EE">
        <w:rPr>
          <w:rFonts w:ascii="Times New Roman" w:hAnsi="Times New Roman" w:eastAsiaTheme="minorHAnsi" w:cs="Times New Roman"/>
          <w:szCs w:val="24"/>
        </w:rPr>
        <w:t xml:space="preserve">PPA </w:t>
      </w:r>
      <w:r>
        <w:rPr>
          <w:rFonts w:ascii="Times New Roman" w:hAnsi="Times New Roman" w:eastAsiaTheme="minorHAnsi" w:cs="Times New Roman"/>
          <w:szCs w:val="24"/>
        </w:rPr>
        <w:t>r</w:t>
      </w:r>
      <w:r w:rsidRPr="002C46EE">
        <w:rPr>
          <w:rFonts w:ascii="Times New Roman" w:hAnsi="Times New Roman" w:eastAsiaTheme="minorHAnsi" w:cs="Times New Roman"/>
          <w:szCs w:val="24"/>
        </w:rPr>
        <w:t>ider is unjust and unreasonable because the PUCO does not have such authority.</w:t>
      </w:r>
      <w:bookmarkEnd w:id="8"/>
    </w:p>
    <w:p w:rsidR="000C7989" w:rsidRPr="002C46EE" w:rsidP="000C7989">
      <w:pPr>
        <w:spacing w:after="200" w:line="480" w:lineRule="auto"/>
        <w:ind w:firstLine="720"/>
        <w:contextualSpacing/>
        <w:rPr>
          <w:rFonts w:eastAsiaTheme="minorHAnsi"/>
          <w:color w:val="000000"/>
          <w:sz w:val="24"/>
          <w:szCs w:val="24"/>
        </w:rPr>
      </w:pPr>
      <w:r w:rsidRPr="002C46EE">
        <w:rPr>
          <w:rFonts w:eastAsiaTheme="minorHAnsi"/>
          <w:color w:val="000000"/>
          <w:sz w:val="24"/>
          <w:szCs w:val="24"/>
        </w:rPr>
        <w:t xml:space="preserve">On May 28, 2015, the PUCO, by Second Entry on Rehearing, granted, in part, and denied, in part, the applications for rehearing filed </w:t>
      </w:r>
      <w:r>
        <w:rPr>
          <w:rFonts w:eastAsiaTheme="minorHAnsi"/>
          <w:color w:val="000000"/>
          <w:sz w:val="24"/>
          <w:szCs w:val="24"/>
        </w:rPr>
        <w:t>regarding</w:t>
      </w:r>
      <w:r w:rsidRPr="002C46EE">
        <w:rPr>
          <w:rFonts w:eastAsiaTheme="minorHAnsi"/>
          <w:color w:val="000000"/>
          <w:sz w:val="24"/>
          <w:szCs w:val="24"/>
        </w:rPr>
        <w:t xml:space="preserve"> the ESP 3 Order. The </w:t>
      </w:r>
      <w:r>
        <w:rPr>
          <w:rFonts w:eastAsiaTheme="minorHAnsi"/>
          <w:color w:val="000000"/>
          <w:sz w:val="24"/>
          <w:szCs w:val="24"/>
        </w:rPr>
        <w:t>PUCO</w:t>
      </w:r>
      <w:r w:rsidRPr="002C46EE">
        <w:rPr>
          <w:rFonts w:eastAsiaTheme="minorHAnsi"/>
          <w:color w:val="000000"/>
          <w:sz w:val="24"/>
          <w:szCs w:val="24"/>
        </w:rPr>
        <w:t>, however, deferred ruling on the assignments of e</w:t>
      </w:r>
      <w:r>
        <w:rPr>
          <w:rFonts w:eastAsiaTheme="minorHAnsi"/>
          <w:color w:val="000000"/>
          <w:sz w:val="24"/>
          <w:szCs w:val="24"/>
        </w:rPr>
        <w:t>rror related to AEP Ohio's PPA r</w:t>
      </w:r>
      <w:r w:rsidRPr="002C46EE">
        <w:rPr>
          <w:rFonts w:eastAsiaTheme="minorHAnsi"/>
          <w:color w:val="000000"/>
          <w:sz w:val="24"/>
          <w:szCs w:val="24"/>
        </w:rPr>
        <w:t>ider, which was approved in the ESP 3 Order as a placeholder rider set at zero.</w:t>
      </w:r>
    </w:p>
    <w:p w:rsidR="000C7989" w:rsidRPr="002C46EE" w:rsidP="000C7989">
      <w:pPr>
        <w:spacing w:after="200" w:line="480" w:lineRule="auto"/>
        <w:ind w:firstLine="720"/>
        <w:contextualSpacing/>
        <w:rPr>
          <w:rFonts w:eastAsiaTheme="minorHAnsi"/>
          <w:color w:val="000000"/>
          <w:sz w:val="24"/>
          <w:szCs w:val="24"/>
        </w:rPr>
      </w:pPr>
      <w:r w:rsidRPr="002C46EE">
        <w:rPr>
          <w:rFonts w:eastAsiaTheme="minorHAnsi"/>
          <w:color w:val="000000"/>
          <w:sz w:val="24"/>
          <w:szCs w:val="24"/>
        </w:rPr>
        <w:t xml:space="preserve">In later applications for rehearing, various parties, including the OCC, stated that the PUCO erred when it deferred ruling on the assignments of error related to the PPA </w:t>
      </w:r>
      <w:r>
        <w:rPr>
          <w:rFonts w:eastAsiaTheme="minorHAnsi"/>
          <w:color w:val="000000"/>
          <w:sz w:val="24"/>
          <w:szCs w:val="24"/>
        </w:rPr>
        <w:t>r</w:t>
      </w:r>
      <w:r w:rsidRPr="002C46EE">
        <w:rPr>
          <w:rFonts w:eastAsiaTheme="minorHAnsi"/>
          <w:color w:val="000000"/>
          <w:sz w:val="24"/>
          <w:szCs w:val="24"/>
        </w:rPr>
        <w:t>ider because the PUCO had no authority to do so under R.C. 4903.10. In the Fourth Entry on Rehearing</w:t>
      </w:r>
      <w:r>
        <w:rPr>
          <w:rFonts w:eastAsiaTheme="minorHAnsi"/>
          <w:color w:val="000000"/>
          <w:sz w:val="24"/>
          <w:szCs w:val="24"/>
        </w:rPr>
        <w:t>,</w:t>
      </w:r>
      <w:r w:rsidRPr="002C46EE">
        <w:rPr>
          <w:rFonts w:eastAsiaTheme="minorHAnsi"/>
          <w:color w:val="000000"/>
          <w:sz w:val="24"/>
          <w:szCs w:val="24"/>
        </w:rPr>
        <w:t xml:space="preserve"> the PUCO denied these assignments of error. First, the PUCO found that these arguments were moot because it had already addressed the assignments of error related to the PPA Rider.</w:t>
      </w:r>
      <w:r>
        <w:rPr>
          <w:rStyle w:val="FootnoteReference"/>
          <w:rFonts w:eastAsiaTheme="minorHAnsi"/>
          <w:color w:val="000000"/>
          <w:sz w:val="24"/>
          <w:szCs w:val="24"/>
        </w:rPr>
        <w:footnoteReference w:id="23"/>
      </w:r>
      <w:r w:rsidRPr="002C46EE">
        <w:rPr>
          <w:rFonts w:eastAsiaTheme="minorHAnsi"/>
          <w:color w:val="000000"/>
          <w:sz w:val="24"/>
          <w:szCs w:val="24"/>
        </w:rPr>
        <w:t> Further, the PUCO ruled that deferring ruling was within its authority to manage its dockets.</w:t>
      </w:r>
      <w:r>
        <w:rPr>
          <w:rStyle w:val="FootnoteReference"/>
          <w:rFonts w:eastAsiaTheme="minorHAnsi"/>
          <w:color w:val="000000"/>
          <w:sz w:val="24"/>
          <w:szCs w:val="24"/>
        </w:rPr>
        <w:footnoteReference w:id="24"/>
      </w:r>
      <w:r w:rsidRPr="002C46EE">
        <w:rPr>
          <w:rFonts w:eastAsiaTheme="minorHAnsi"/>
          <w:color w:val="000000"/>
          <w:sz w:val="24"/>
          <w:szCs w:val="24"/>
        </w:rPr>
        <w:t> </w:t>
      </w:r>
      <w:r>
        <w:rPr>
          <w:rFonts w:eastAsiaTheme="minorHAnsi"/>
          <w:color w:val="000000"/>
          <w:sz w:val="24"/>
          <w:szCs w:val="24"/>
        </w:rPr>
        <w:t>Finally</w:t>
      </w:r>
      <w:r w:rsidRPr="002C46EE">
        <w:rPr>
          <w:rFonts w:eastAsiaTheme="minorHAnsi"/>
          <w:color w:val="000000"/>
          <w:sz w:val="24"/>
          <w:szCs w:val="24"/>
        </w:rPr>
        <w:t>,</w:t>
      </w:r>
      <w:r>
        <w:rPr>
          <w:rFonts w:eastAsiaTheme="minorHAnsi"/>
          <w:color w:val="000000"/>
          <w:sz w:val="24"/>
          <w:szCs w:val="24"/>
        </w:rPr>
        <w:t xml:space="preserve"> the PUCO stated that,</w:t>
      </w:r>
      <w:r w:rsidRPr="002C46EE">
        <w:rPr>
          <w:rFonts w:eastAsiaTheme="minorHAnsi"/>
          <w:color w:val="000000"/>
          <w:sz w:val="24"/>
          <w:szCs w:val="24"/>
        </w:rPr>
        <w:t xml:space="preserve"> contrary to OCC’s position, nothing in R.C. 4903.10 </w:t>
      </w:r>
      <w:r w:rsidRPr="002A632D">
        <w:rPr>
          <w:rFonts w:eastAsiaTheme="minorHAnsi"/>
          <w:i/>
          <w:color w:val="000000"/>
          <w:sz w:val="24"/>
          <w:szCs w:val="24"/>
        </w:rPr>
        <w:t>precluded</w:t>
      </w:r>
      <w:r w:rsidRPr="002C46EE">
        <w:rPr>
          <w:rFonts w:eastAsiaTheme="minorHAnsi"/>
          <w:color w:val="000000"/>
          <w:sz w:val="24"/>
          <w:szCs w:val="24"/>
        </w:rPr>
        <w:t xml:space="preserve"> the PUCO from considering the applications for rehearing in a bifurcated fashion.</w:t>
      </w:r>
      <w:r>
        <w:rPr>
          <w:rStyle w:val="FootnoteReference"/>
          <w:rFonts w:eastAsiaTheme="minorHAnsi"/>
          <w:color w:val="000000"/>
          <w:sz w:val="24"/>
          <w:szCs w:val="24"/>
        </w:rPr>
        <w:footnoteReference w:id="25"/>
      </w:r>
      <w:r w:rsidRPr="002C46EE">
        <w:rPr>
          <w:rFonts w:eastAsiaTheme="minorHAnsi"/>
          <w:color w:val="000000"/>
          <w:sz w:val="24"/>
          <w:szCs w:val="24"/>
        </w:rPr>
        <w:t xml:space="preserve"> </w:t>
      </w:r>
    </w:p>
    <w:p w:rsidR="000C7989" w:rsidP="00216D86">
      <w:pPr>
        <w:autoSpaceDE w:val="0"/>
        <w:autoSpaceDN w:val="0"/>
        <w:adjustRightInd w:val="0"/>
        <w:spacing w:line="480" w:lineRule="auto"/>
        <w:ind w:firstLine="720"/>
        <w:contextualSpacing/>
        <w:rPr>
          <w:rFonts w:eastAsiaTheme="minorHAnsi"/>
          <w:sz w:val="24"/>
          <w:szCs w:val="24"/>
        </w:rPr>
      </w:pPr>
      <w:r w:rsidRPr="002C46EE">
        <w:rPr>
          <w:rFonts w:eastAsiaTheme="minorHAnsi"/>
          <w:sz w:val="24"/>
          <w:szCs w:val="24"/>
        </w:rPr>
        <w:t>The PUCO’s ruling is unlawful and unreasonable because it is not authorized</w:t>
      </w:r>
      <w:r>
        <w:rPr>
          <w:rFonts w:eastAsiaTheme="minorHAnsi"/>
          <w:sz w:val="24"/>
          <w:szCs w:val="24"/>
        </w:rPr>
        <w:t xml:space="preserve"> by statute</w:t>
      </w:r>
      <w:r w:rsidRPr="002C46EE">
        <w:rPr>
          <w:rFonts w:eastAsiaTheme="minorHAnsi"/>
          <w:sz w:val="24"/>
          <w:szCs w:val="24"/>
        </w:rPr>
        <w:t xml:space="preserve"> to consider the parties' applications for rehearing in a bifurcated fashion. The PUCO is a creature of statute.</w:t>
      </w:r>
      <w:r>
        <w:rPr>
          <w:rFonts w:eastAsiaTheme="minorHAnsi"/>
          <w:sz w:val="24"/>
          <w:szCs w:val="24"/>
          <w:vertAlign w:val="superscript"/>
        </w:rPr>
        <w:footnoteReference w:id="26"/>
      </w:r>
      <w:r w:rsidRPr="002C46EE">
        <w:rPr>
          <w:rFonts w:eastAsiaTheme="minorHAnsi"/>
          <w:sz w:val="24"/>
          <w:szCs w:val="24"/>
        </w:rPr>
        <w:t xml:space="preserve">  It may only exercise the authority conferred on it by the General Assembly.</w:t>
      </w:r>
      <w:r>
        <w:rPr>
          <w:rFonts w:eastAsiaTheme="minorHAnsi"/>
          <w:sz w:val="24"/>
          <w:szCs w:val="24"/>
          <w:vertAlign w:val="superscript"/>
        </w:rPr>
        <w:footnoteReference w:id="27"/>
      </w:r>
      <w:r w:rsidRPr="002C46EE">
        <w:rPr>
          <w:rFonts w:eastAsiaTheme="minorHAnsi"/>
          <w:sz w:val="24"/>
          <w:szCs w:val="24"/>
        </w:rPr>
        <w:t xml:space="preserve"> The PUCO cannot rewrite the law.</w:t>
      </w:r>
      <w:r>
        <w:rPr>
          <w:rFonts w:eastAsiaTheme="minorHAnsi"/>
          <w:sz w:val="24"/>
          <w:szCs w:val="24"/>
          <w:vertAlign w:val="superscript"/>
        </w:rPr>
        <w:footnoteReference w:id="28"/>
      </w:r>
      <w:r w:rsidRPr="002C46EE">
        <w:rPr>
          <w:rFonts w:eastAsiaTheme="minorHAnsi"/>
          <w:sz w:val="24"/>
          <w:szCs w:val="24"/>
        </w:rPr>
        <w:t xml:space="preserve"> The PUCO’s justification that nothing in the R.C. 4903.10 </w:t>
      </w:r>
      <w:r w:rsidRPr="002C46EE">
        <w:rPr>
          <w:rFonts w:eastAsiaTheme="minorHAnsi"/>
          <w:i/>
          <w:sz w:val="24"/>
          <w:szCs w:val="24"/>
        </w:rPr>
        <w:t>prevents</w:t>
      </w:r>
      <w:r w:rsidRPr="002C46EE">
        <w:rPr>
          <w:rFonts w:eastAsiaTheme="minorHAnsi"/>
          <w:sz w:val="24"/>
          <w:szCs w:val="24"/>
        </w:rPr>
        <w:t xml:space="preserve"> it from def</w:t>
      </w:r>
      <w:r>
        <w:rPr>
          <w:rFonts w:eastAsiaTheme="minorHAnsi"/>
          <w:sz w:val="24"/>
          <w:szCs w:val="24"/>
        </w:rPr>
        <w:t xml:space="preserve">erring a ruling is wrong. The PUCO may only do what it is </w:t>
      </w:r>
      <w:r w:rsidRPr="00216D86">
        <w:rPr>
          <w:rFonts w:eastAsiaTheme="minorHAnsi"/>
          <w:i/>
          <w:sz w:val="24"/>
          <w:szCs w:val="24"/>
        </w:rPr>
        <w:t>authorized</w:t>
      </w:r>
      <w:r>
        <w:rPr>
          <w:rFonts w:eastAsiaTheme="minorHAnsi"/>
          <w:sz w:val="24"/>
          <w:szCs w:val="24"/>
        </w:rPr>
        <w:t xml:space="preserve"> by statute to do.</w:t>
      </w:r>
      <w:r w:rsidRPr="002C46EE">
        <w:rPr>
          <w:rFonts w:eastAsiaTheme="minorHAnsi"/>
          <w:sz w:val="24"/>
          <w:szCs w:val="24"/>
        </w:rPr>
        <w:t xml:space="preserve"> Nothing in R.C. 4903.10, or any other statute, authorizes the PUCO to bifurcate the parties’ applications for rehearing.</w:t>
      </w:r>
      <w:r>
        <w:rPr>
          <w:rFonts w:eastAsiaTheme="minorHAnsi"/>
          <w:sz w:val="24"/>
          <w:szCs w:val="24"/>
        </w:rPr>
        <w:t xml:space="preserve"> </w:t>
      </w:r>
      <w:r w:rsidRPr="002C46EE">
        <w:rPr>
          <w:rFonts w:eastAsiaTheme="minorHAnsi"/>
          <w:sz w:val="24"/>
          <w:szCs w:val="24"/>
        </w:rPr>
        <w:t xml:space="preserve">The PUCO has </w:t>
      </w:r>
      <w:r>
        <w:rPr>
          <w:rFonts w:eastAsiaTheme="minorHAnsi"/>
          <w:sz w:val="24"/>
          <w:szCs w:val="24"/>
        </w:rPr>
        <w:t>exceeded its authorized powers.</w:t>
      </w:r>
      <w:r w:rsidRPr="002C46EE">
        <w:rPr>
          <w:rFonts w:eastAsiaTheme="minorHAnsi"/>
          <w:sz w:val="24"/>
          <w:szCs w:val="24"/>
        </w:rPr>
        <w:t xml:space="preserve"> </w:t>
      </w:r>
    </w:p>
    <w:p w:rsidR="00216D86" w:rsidP="00216D86">
      <w:pPr>
        <w:autoSpaceDE w:val="0"/>
        <w:autoSpaceDN w:val="0"/>
        <w:adjustRightInd w:val="0"/>
        <w:spacing w:line="480" w:lineRule="auto"/>
        <w:ind w:firstLine="720"/>
        <w:contextualSpacing/>
        <w:rPr>
          <w:rFonts w:eastAsiaTheme="minorHAnsi"/>
          <w:sz w:val="24"/>
          <w:szCs w:val="24"/>
        </w:rPr>
      </w:pPr>
      <w:r>
        <w:rPr>
          <w:rFonts w:eastAsiaTheme="minorHAnsi"/>
          <w:sz w:val="24"/>
          <w:szCs w:val="24"/>
        </w:rPr>
        <w:t>The PUCO should grant rehearing on Assignment of Error No. 3.</w:t>
      </w:r>
    </w:p>
    <w:p w:rsidR="0055039B" w:rsidRPr="002C46EE" w:rsidP="0055039B">
      <w:pPr>
        <w:autoSpaceDE w:val="0"/>
        <w:autoSpaceDN w:val="0"/>
        <w:adjustRightInd w:val="0"/>
        <w:ind w:firstLine="720"/>
        <w:contextualSpacing/>
        <w:rPr>
          <w:rFonts w:eastAsiaTheme="minorHAnsi"/>
          <w:sz w:val="24"/>
          <w:szCs w:val="24"/>
        </w:rPr>
      </w:pPr>
    </w:p>
    <w:p w:rsidR="000C7989" w:rsidRPr="002C46EE" w:rsidP="000C7989">
      <w:pPr>
        <w:pStyle w:val="Heading2"/>
        <w:rPr>
          <w:rFonts w:ascii="Times New Roman" w:hAnsi="Times New Roman" w:eastAsiaTheme="minorHAnsi" w:cs="Times New Roman"/>
          <w:szCs w:val="24"/>
        </w:rPr>
      </w:pPr>
      <w:bookmarkStart w:id="9" w:name="_Toc468705169"/>
      <w:r w:rsidRPr="002C46EE">
        <w:rPr>
          <w:rFonts w:ascii="Times New Roman" w:hAnsi="Times New Roman" w:eastAsiaTheme="minorHAnsi" w:cs="Times New Roman"/>
          <w:szCs w:val="24"/>
        </w:rPr>
        <w:t>ASSIGNMENT OF ERROR</w:t>
      </w:r>
      <w:r>
        <w:rPr>
          <w:rFonts w:ascii="Times New Roman" w:hAnsi="Times New Roman" w:eastAsiaTheme="minorHAnsi" w:cs="Times New Roman"/>
          <w:szCs w:val="24"/>
        </w:rPr>
        <w:t xml:space="preserve"> 4</w:t>
      </w:r>
      <w:r w:rsidRPr="002C46EE">
        <w:rPr>
          <w:rFonts w:ascii="Times New Roman" w:hAnsi="Times New Roman" w:eastAsiaTheme="minorHAnsi" w:cs="Times New Roman"/>
          <w:szCs w:val="24"/>
        </w:rPr>
        <w:t xml:space="preserve">: </w:t>
      </w:r>
      <w:r>
        <w:rPr>
          <w:rFonts w:ascii="Times New Roman" w:hAnsi="Times New Roman" w:eastAsiaTheme="minorHAnsi" w:cs="Times New Roman"/>
          <w:szCs w:val="24"/>
        </w:rPr>
        <w:t xml:space="preserve"> </w:t>
      </w:r>
      <w:r w:rsidRPr="002C46EE">
        <w:rPr>
          <w:rFonts w:ascii="Times New Roman" w:hAnsi="Times New Roman" w:eastAsiaTheme="minorHAnsi" w:cs="Times New Roman"/>
          <w:szCs w:val="24"/>
        </w:rPr>
        <w:t xml:space="preserve">The PUCO’s ruling that AEP Ohio is not required to comply with </w:t>
      </w:r>
      <w:r>
        <w:rPr>
          <w:rFonts w:ascii="Times New Roman" w:hAnsi="Times New Roman" w:eastAsiaTheme="minorHAnsi" w:cs="Times New Roman"/>
          <w:szCs w:val="24"/>
        </w:rPr>
        <w:t>the corporate separation requirements of R.C. 4928.17</w:t>
      </w:r>
      <w:r w:rsidRPr="002C46EE">
        <w:rPr>
          <w:rFonts w:ascii="Times New Roman" w:hAnsi="Times New Roman" w:eastAsiaTheme="minorHAnsi" w:cs="Times New Roman"/>
          <w:szCs w:val="24"/>
        </w:rPr>
        <w:t xml:space="preserve"> is unlawful and unreasonable.</w:t>
      </w:r>
      <w:bookmarkEnd w:id="9"/>
    </w:p>
    <w:p w:rsidR="000C7989" w:rsidRPr="002C46EE" w:rsidP="00B07F4F">
      <w:pPr>
        <w:autoSpaceDE w:val="0"/>
        <w:autoSpaceDN w:val="0"/>
        <w:adjustRightInd w:val="0"/>
        <w:spacing w:line="480" w:lineRule="auto"/>
        <w:ind w:firstLine="720"/>
        <w:contextualSpacing/>
        <w:rPr>
          <w:rFonts w:eastAsiaTheme="minorHAnsi"/>
          <w:color w:val="000000"/>
          <w:sz w:val="24"/>
          <w:szCs w:val="24"/>
        </w:rPr>
      </w:pPr>
      <w:r w:rsidRPr="002C46EE">
        <w:rPr>
          <w:rFonts w:eastAsiaTheme="minorHAnsi"/>
          <w:color w:val="000000"/>
          <w:sz w:val="24"/>
          <w:szCs w:val="24"/>
        </w:rPr>
        <w:t>In the latest application</w:t>
      </w:r>
      <w:r>
        <w:rPr>
          <w:rFonts w:eastAsiaTheme="minorHAnsi"/>
          <w:color w:val="000000"/>
          <w:sz w:val="24"/>
          <w:szCs w:val="24"/>
        </w:rPr>
        <w:t>s</w:t>
      </w:r>
      <w:r w:rsidRPr="002C46EE">
        <w:rPr>
          <w:rFonts w:eastAsiaTheme="minorHAnsi"/>
          <w:color w:val="000000"/>
          <w:sz w:val="24"/>
          <w:szCs w:val="24"/>
        </w:rPr>
        <w:t xml:space="preserve"> for rehearing, several parties argued that AEP’s PPA </w:t>
      </w:r>
      <w:r>
        <w:rPr>
          <w:rFonts w:eastAsiaTheme="minorHAnsi"/>
          <w:color w:val="000000"/>
          <w:sz w:val="24"/>
          <w:szCs w:val="24"/>
        </w:rPr>
        <w:t>r</w:t>
      </w:r>
      <w:r w:rsidRPr="002C46EE">
        <w:rPr>
          <w:rFonts w:eastAsiaTheme="minorHAnsi"/>
          <w:color w:val="000000"/>
          <w:sz w:val="24"/>
          <w:szCs w:val="24"/>
        </w:rPr>
        <w:t>ider allows AEP to unlawfully evade R.C. 4928.17’s corporate separation requirements.</w:t>
      </w:r>
      <w:r>
        <w:rPr>
          <w:rFonts w:eastAsiaTheme="minorHAnsi"/>
          <w:color w:val="000000"/>
          <w:sz w:val="24"/>
          <w:szCs w:val="24"/>
          <w:vertAlign w:val="superscript"/>
        </w:rPr>
        <w:footnoteReference w:id="29"/>
      </w:r>
      <w:r w:rsidRPr="002C46EE">
        <w:rPr>
          <w:rFonts w:eastAsiaTheme="minorHAnsi"/>
          <w:color w:val="000000"/>
          <w:sz w:val="24"/>
          <w:szCs w:val="24"/>
        </w:rPr>
        <w:t>  R.C. 4928.17(A) states, in part:</w:t>
      </w:r>
    </w:p>
    <w:p w:rsidR="000C7989" w:rsidRPr="002C46EE" w:rsidP="004A3A2A">
      <w:pPr>
        <w:autoSpaceDE w:val="0"/>
        <w:autoSpaceDN w:val="0"/>
        <w:adjustRightInd w:val="0"/>
        <w:ind w:left="720" w:right="720"/>
        <w:contextualSpacing/>
        <w:rPr>
          <w:rFonts w:eastAsiaTheme="minorHAnsi"/>
          <w:color w:val="000000"/>
          <w:sz w:val="24"/>
          <w:szCs w:val="24"/>
        </w:rPr>
      </w:pPr>
      <w:r w:rsidRPr="002C46EE">
        <w:rPr>
          <w:rFonts w:eastAsiaTheme="minorHAnsi"/>
          <w:color w:val="000000"/>
          <w:sz w:val="24"/>
          <w:szCs w:val="24"/>
        </w:rPr>
        <w:t xml:space="preserve">Except as otherwise provided in sections 4928.142 or 4928.143 or 4928.31 to 4928.40 of the Revised Code and beginning on the starting date of competitive retail electric service, no electric utility shall engage in this state, either directly or through an affiliate, in the businesses of supplying a noncompetitive retail electric service and supplying a competitive retail electric service, or in the businesses of supplying a noncompetitive retail electric service and supplying a product or service other than retail electric service, </w:t>
      </w:r>
      <w:r w:rsidRPr="003D5911">
        <w:rPr>
          <w:rFonts w:eastAsiaTheme="minorHAnsi"/>
          <w:b/>
          <w:color w:val="000000"/>
          <w:sz w:val="24"/>
          <w:szCs w:val="24"/>
        </w:rPr>
        <w:t>unless the utility implements and operates under a corporate separation plan that is approved by the public utilities commission under this section…</w:t>
      </w:r>
      <w:r w:rsidRPr="002C46EE">
        <w:rPr>
          <w:rFonts w:eastAsiaTheme="minorHAnsi"/>
          <w:color w:val="000000"/>
          <w:sz w:val="24"/>
          <w:szCs w:val="24"/>
        </w:rPr>
        <w:t>.</w:t>
      </w:r>
      <w:r>
        <w:rPr>
          <w:rFonts w:eastAsiaTheme="minorHAnsi"/>
          <w:color w:val="000000"/>
          <w:sz w:val="24"/>
          <w:szCs w:val="24"/>
          <w:vertAlign w:val="superscript"/>
        </w:rPr>
        <w:footnoteReference w:id="30"/>
      </w:r>
    </w:p>
    <w:p w:rsidR="000C7989" w:rsidRPr="002C46EE" w:rsidP="000C7989">
      <w:pPr>
        <w:autoSpaceDE w:val="0"/>
        <w:autoSpaceDN w:val="0"/>
        <w:adjustRightInd w:val="0"/>
        <w:ind w:left="720" w:right="720" w:firstLine="360"/>
        <w:contextualSpacing/>
        <w:jc w:val="both"/>
        <w:rPr>
          <w:rFonts w:eastAsiaTheme="minorHAnsi"/>
          <w:color w:val="000000"/>
          <w:sz w:val="24"/>
          <w:szCs w:val="24"/>
        </w:rPr>
      </w:pPr>
    </w:p>
    <w:p w:rsidR="000C7989" w:rsidRPr="002C46EE" w:rsidP="000C7989">
      <w:pPr>
        <w:autoSpaceDE w:val="0"/>
        <w:autoSpaceDN w:val="0"/>
        <w:adjustRightInd w:val="0"/>
        <w:spacing w:line="480" w:lineRule="auto"/>
        <w:contextualSpacing/>
        <w:rPr>
          <w:rFonts w:eastAsiaTheme="minorHAnsi"/>
          <w:sz w:val="24"/>
          <w:szCs w:val="24"/>
        </w:rPr>
      </w:pPr>
      <w:r w:rsidRPr="002C46EE">
        <w:rPr>
          <w:rFonts w:eastAsiaTheme="minorHAnsi"/>
          <w:color w:val="000000"/>
          <w:sz w:val="24"/>
          <w:szCs w:val="24"/>
        </w:rPr>
        <w:t xml:space="preserve">Specifically, </w:t>
      </w:r>
      <w:r w:rsidRPr="002C46EE">
        <w:rPr>
          <w:rFonts w:eastAsiaTheme="minorHAnsi"/>
          <w:sz w:val="24"/>
          <w:szCs w:val="24"/>
        </w:rPr>
        <w:t>Constellation and RESA state that the ESP 3 Order is unlawful to the extent that it approves a PPA rider without prior PUCO approval of a corporate separation plan under R.C 4928.17(A). RESA contends that the OVEC PPA was not provided to the PUCO for its review, and, therefore, the PUCO cannot determine whether the agreement extends any undue preference or advantage, as required by R.C. 4928.17(A)(3).</w:t>
      </w:r>
    </w:p>
    <w:p w:rsidR="000C7989" w:rsidRPr="002C46EE" w:rsidP="000C7989">
      <w:pPr>
        <w:spacing w:line="480" w:lineRule="auto"/>
        <w:ind w:firstLine="720"/>
        <w:contextualSpacing/>
        <w:rPr>
          <w:rFonts w:eastAsiaTheme="minorHAnsi"/>
          <w:color w:val="000000"/>
          <w:sz w:val="24"/>
          <w:szCs w:val="24"/>
        </w:rPr>
      </w:pPr>
      <w:r w:rsidRPr="002C46EE">
        <w:rPr>
          <w:rFonts w:eastAsiaTheme="minorHAnsi"/>
          <w:color w:val="000000"/>
          <w:sz w:val="24"/>
          <w:szCs w:val="24"/>
        </w:rPr>
        <w:t xml:space="preserve">In the Fourth Entry on Rehearing the PUCO denied these assignments of error. In doing so, the PUCO </w:t>
      </w:r>
      <w:r>
        <w:rPr>
          <w:rFonts w:eastAsiaTheme="minorHAnsi"/>
          <w:color w:val="000000"/>
          <w:sz w:val="24"/>
          <w:szCs w:val="24"/>
        </w:rPr>
        <w:t>must have</w:t>
      </w:r>
      <w:r w:rsidRPr="002C46EE">
        <w:rPr>
          <w:rFonts w:eastAsiaTheme="minorHAnsi"/>
          <w:color w:val="000000"/>
          <w:sz w:val="24"/>
          <w:szCs w:val="24"/>
        </w:rPr>
        <w:t xml:space="preserve"> interpreted R.C. 4928.17 to mean that a utility’s compliance with the corporate separation statute is required unless the proposed program is authorized under sections 4928.142 or 4928.143.</w:t>
      </w:r>
      <w:r>
        <w:rPr>
          <w:rFonts w:eastAsiaTheme="minorHAnsi"/>
          <w:color w:val="000000"/>
          <w:sz w:val="24"/>
          <w:szCs w:val="24"/>
          <w:vertAlign w:val="superscript"/>
        </w:rPr>
        <w:footnoteReference w:id="31"/>
      </w:r>
      <w:r w:rsidRPr="002C46EE">
        <w:rPr>
          <w:rFonts w:eastAsiaTheme="minorHAnsi"/>
          <w:color w:val="000000"/>
          <w:sz w:val="24"/>
          <w:szCs w:val="24"/>
        </w:rPr>
        <w:t xml:space="preserve"> Because it found that the PPA Rider was authorized under R.C. 4928.143(B)(2)(d), the PUCO found that the exception in 4928.17 applied and </w:t>
      </w:r>
      <w:r>
        <w:rPr>
          <w:rFonts w:eastAsiaTheme="minorHAnsi"/>
          <w:color w:val="000000"/>
          <w:sz w:val="24"/>
          <w:szCs w:val="24"/>
        </w:rPr>
        <w:t>it</w:t>
      </w:r>
      <w:r w:rsidRPr="002C46EE">
        <w:rPr>
          <w:rFonts w:eastAsiaTheme="minorHAnsi"/>
          <w:color w:val="000000"/>
          <w:sz w:val="24"/>
          <w:szCs w:val="24"/>
        </w:rPr>
        <w:t xml:space="preserve"> had not erred.</w:t>
      </w:r>
      <w:r>
        <w:rPr>
          <w:rFonts w:eastAsiaTheme="minorHAnsi"/>
          <w:color w:val="000000"/>
          <w:sz w:val="24"/>
          <w:szCs w:val="24"/>
          <w:vertAlign w:val="superscript"/>
        </w:rPr>
        <w:footnoteReference w:id="32"/>
      </w:r>
      <w:r w:rsidRPr="002C46EE">
        <w:rPr>
          <w:rFonts w:eastAsiaTheme="minorHAnsi"/>
          <w:color w:val="000000"/>
          <w:sz w:val="24"/>
          <w:szCs w:val="24"/>
        </w:rPr>
        <w:t xml:space="preserve">  </w:t>
      </w:r>
    </w:p>
    <w:p w:rsidR="000C7989" w:rsidP="000C7989">
      <w:pPr>
        <w:spacing w:line="480" w:lineRule="auto"/>
        <w:ind w:firstLine="720"/>
        <w:contextualSpacing/>
        <w:rPr>
          <w:rFonts w:eastAsiaTheme="minorHAnsi"/>
          <w:color w:val="000000"/>
          <w:sz w:val="24"/>
          <w:szCs w:val="24"/>
        </w:rPr>
      </w:pPr>
      <w:r w:rsidRPr="002C46EE">
        <w:rPr>
          <w:rFonts w:eastAsiaTheme="minorHAnsi"/>
          <w:color w:val="000000"/>
          <w:sz w:val="24"/>
          <w:szCs w:val="24"/>
        </w:rPr>
        <w:t>The PUCO’s ruling is unreasonable and unlawful. The PUCO has misinterpreted the statute. A plain reading of R.C. 4928.17 requires that the PUCO identify language in R.C. 4928.143</w:t>
      </w:r>
      <w:r>
        <w:rPr>
          <w:rFonts w:eastAsiaTheme="minorHAnsi"/>
          <w:color w:val="000000"/>
          <w:sz w:val="24"/>
          <w:szCs w:val="24"/>
        </w:rPr>
        <w:t xml:space="preserve"> or 4928.142</w:t>
      </w:r>
      <w:r w:rsidRPr="002C46EE">
        <w:rPr>
          <w:rFonts w:eastAsiaTheme="minorHAnsi"/>
          <w:color w:val="000000"/>
          <w:sz w:val="24"/>
          <w:szCs w:val="24"/>
        </w:rPr>
        <w:t xml:space="preserve"> that demonstrates that the corporate separation provisions do not apply. The PUCO did not do that.  Instead, the PUCO interpreted the statute to mean that R.C. 4928.17 does not apply if the proposed program satisfies the conditions in R.C. 4928.142 or R.C. 4928.143. Such a reading could not possibly comply with </w:t>
      </w:r>
      <w:r>
        <w:rPr>
          <w:rFonts w:eastAsiaTheme="minorHAnsi"/>
          <w:color w:val="000000"/>
          <w:sz w:val="24"/>
          <w:szCs w:val="24"/>
        </w:rPr>
        <w:t>the</w:t>
      </w:r>
      <w:r w:rsidRPr="002C46EE">
        <w:rPr>
          <w:rFonts w:eastAsiaTheme="minorHAnsi"/>
          <w:color w:val="000000"/>
          <w:sz w:val="24"/>
          <w:szCs w:val="24"/>
        </w:rPr>
        <w:t xml:space="preserve"> General Assembly’s intention when it wrote the statute. Indeed, such a tortured reading of the statute would nullify R.C. 4928.17 </w:t>
      </w:r>
      <w:r>
        <w:rPr>
          <w:rFonts w:eastAsiaTheme="minorHAnsi"/>
          <w:color w:val="000000"/>
          <w:sz w:val="24"/>
          <w:szCs w:val="24"/>
        </w:rPr>
        <w:t>regarding</w:t>
      </w:r>
      <w:r w:rsidRPr="002C46EE">
        <w:rPr>
          <w:rFonts w:eastAsiaTheme="minorHAnsi"/>
          <w:color w:val="000000"/>
          <w:sz w:val="24"/>
          <w:szCs w:val="24"/>
        </w:rPr>
        <w:t xml:space="preserve"> the majority of proposed programs. We must presume that the General Assembly intended a "just and reasonable result" in enacting a statute.</w:t>
      </w:r>
      <w:r>
        <w:rPr>
          <w:rFonts w:eastAsiaTheme="minorHAnsi"/>
          <w:color w:val="000000"/>
          <w:sz w:val="24"/>
          <w:szCs w:val="24"/>
          <w:vertAlign w:val="superscript"/>
        </w:rPr>
        <w:footnoteReference w:id="33"/>
      </w:r>
    </w:p>
    <w:p w:rsidR="00216D86" w:rsidRPr="002C46EE" w:rsidP="000C7989">
      <w:pPr>
        <w:spacing w:line="480" w:lineRule="auto"/>
        <w:ind w:firstLine="720"/>
        <w:contextualSpacing/>
        <w:rPr>
          <w:rFonts w:eastAsiaTheme="minorHAnsi"/>
          <w:color w:val="000000"/>
          <w:sz w:val="24"/>
          <w:szCs w:val="24"/>
        </w:rPr>
      </w:pPr>
      <w:r w:rsidRPr="002C46EE">
        <w:rPr>
          <w:rFonts w:eastAsiaTheme="minorHAnsi"/>
          <w:color w:val="000000"/>
          <w:sz w:val="24"/>
          <w:szCs w:val="24"/>
        </w:rPr>
        <w:t xml:space="preserve">A plain reading of R.C. 4928.17 and R.C. 4928.143(B)(2)(d), and reading the statues in </w:t>
      </w:r>
      <w:r w:rsidRPr="002C46EE">
        <w:rPr>
          <w:rFonts w:eastAsiaTheme="minorHAnsi"/>
          <w:i/>
          <w:color w:val="000000"/>
          <w:sz w:val="24"/>
          <w:szCs w:val="24"/>
        </w:rPr>
        <w:t>pari materia</w:t>
      </w:r>
      <w:r w:rsidRPr="002C46EE">
        <w:rPr>
          <w:rFonts w:eastAsiaTheme="minorHAnsi"/>
          <w:color w:val="000000"/>
          <w:sz w:val="24"/>
          <w:szCs w:val="24"/>
        </w:rPr>
        <w:t xml:space="preserve">, would require that the program proposed under the latter meets the requirements of the former. </w:t>
      </w:r>
      <w:r>
        <w:rPr>
          <w:rFonts w:eastAsiaTheme="minorHAnsi"/>
          <w:color w:val="000000"/>
          <w:sz w:val="24"/>
          <w:szCs w:val="24"/>
        </w:rPr>
        <w:t>That is not the case here</w:t>
      </w:r>
      <w:r w:rsidRPr="002C46EE">
        <w:rPr>
          <w:rFonts w:eastAsiaTheme="minorHAnsi"/>
          <w:color w:val="000000"/>
          <w:sz w:val="24"/>
          <w:szCs w:val="24"/>
        </w:rPr>
        <w:t>.</w:t>
      </w:r>
    </w:p>
    <w:p w:rsidR="00B07F4F" w:rsidRPr="002C46EE" w:rsidP="00B07F4F">
      <w:pPr>
        <w:spacing w:line="480" w:lineRule="auto"/>
        <w:ind w:firstLine="720"/>
        <w:contextualSpacing/>
        <w:rPr>
          <w:rFonts w:eastAsiaTheme="minorHAnsi"/>
          <w:color w:val="000000"/>
          <w:sz w:val="24"/>
          <w:szCs w:val="24"/>
        </w:rPr>
      </w:pPr>
      <w:r>
        <w:rPr>
          <w:rFonts w:eastAsiaTheme="minorHAnsi"/>
          <w:color w:val="000000"/>
          <w:sz w:val="24"/>
          <w:szCs w:val="24"/>
        </w:rPr>
        <w:t>The PUCO should grant rehearing on Assignment of Error No. 4.</w:t>
      </w:r>
    </w:p>
    <w:p w:rsidR="00B07F4F" w:rsidRPr="002C46EE" w:rsidP="00B07F4F">
      <w:pPr>
        <w:ind w:firstLine="720"/>
        <w:contextualSpacing/>
        <w:rPr>
          <w:rFonts w:eastAsiaTheme="minorHAnsi"/>
          <w:color w:val="000000"/>
          <w:sz w:val="24"/>
          <w:szCs w:val="24"/>
        </w:rPr>
      </w:pPr>
    </w:p>
    <w:p w:rsidR="000C7989" w:rsidRPr="002C46EE" w:rsidP="00B07F4F">
      <w:pPr>
        <w:pStyle w:val="Heading1"/>
        <w:rPr>
          <w:rFonts w:ascii="Times New Roman" w:hAnsi="Times New Roman" w:eastAsiaTheme="minorHAnsi"/>
          <w:color w:val="000000"/>
        </w:rPr>
      </w:pPr>
      <w:bookmarkStart w:id="10" w:name="_Toc468705170"/>
      <w:r w:rsidRPr="002C46EE">
        <w:rPr>
          <w:rFonts w:ascii="Times New Roman" w:hAnsi="Times New Roman"/>
        </w:rPr>
        <w:t>iv.</w:t>
      </w:r>
      <w:r w:rsidRPr="002C46EE">
        <w:rPr>
          <w:rFonts w:ascii="Times New Roman" w:hAnsi="Times New Roman"/>
        </w:rPr>
        <w:tab/>
        <w:t>CONCLUSION</w:t>
      </w:r>
      <w:bookmarkEnd w:id="10"/>
    </w:p>
    <w:p w:rsidR="000C7989" w:rsidRPr="002C46EE" w:rsidP="000C7989">
      <w:pPr>
        <w:spacing w:after="200" w:line="480" w:lineRule="auto"/>
        <w:ind w:firstLine="720"/>
        <w:rPr>
          <w:rFonts w:eastAsiaTheme="minorHAnsi"/>
          <w:sz w:val="24"/>
          <w:szCs w:val="24"/>
        </w:rPr>
      </w:pPr>
      <w:r w:rsidRPr="002C46EE">
        <w:rPr>
          <w:rFonts w:eastAsiaTheme="minorHAnsi"/>
          <w:sz w:val="24"/>
          <w:szCs w:val="24"/>
        </w:rPr>
        <w:t>The PUCO should grant rehearing on OCC’s claims of error and modify or abrogate its October 12, 2016, Fourth Entry on Rehearing. Granting rehearing as requested by OCC is necessary to ensure that AEP Ohio customers are not subject to unreasonable and unlawful charges. These unlawful charges would include an ESP plan that does not produce lower prices than a market rate offer and a government ordered subsidy of utility generation by customers that, under the law, should be enjoying the fiscal benefits of Ohio’s competitive generation market. In order to protect Ohioans, the OCC requests that the PUCO rehear its Fourth Entry on Rehearing, consistent with this application for rehearing.</w:t>
      </w:r>
    </w:p>
    <w:p w:rsidR="008D7F23">
      <w:pPr>
        <w:spacing w:after="200" w:line="276" w:lineRule="auto"/>
        <w:rPr>
          <w:sz w:val="24"/>
          <w:szCs w:val="24"/>
        </w:rPr>
      </w:pPr>
      <w:r>
        <w:rPr>
          <w:sz w:val="24"/>
          <w:szCs w:val="24"/>
        </w:rPr>
        <w:br w:type="page"/>
      </w:r>
    </w:p>
    <w:p w:rsidR="002D39EF" w:rsidRPr="002D39EF" w:rsidP="002D39EF">
      <w:pPr>
        <w:ind w:left="4320"/>
        <w:rPr>
          <w:sz w:val="24"/>
          <w:szCs w:val="24"/>
        </w:rPr>
      </w:pPr>
      <w:r w:rsidRPr="002D39EF">
        <w:rPr>
          <w:sz w:val="24"/>
          <w:szCs w:val="24"/>
        </w:rPr>
        <w:t>Respectfully submitted,</w:t>
      </w:r>
    </w:p>
    <w:p w:rsidR="002D39EF" w:rsidRPr="002D39EF" w:rsidP="002D39EF">
      <w:pPr>
        <w:ind w:left="4320"/>
        <w:rPr>
          <w:sz w:val="24"/>
          <w:szCs w:val="24"/>
        </w:rPr>
      </w:pPr>
    </w:p>
    <w:p w:rsidR="002D39EF" w:rsidRPr="002D39EF" w:rsidP="002D39EF">
      <w:pPr>
        <w:rPr>
          <w:sz w:val="24"/>
          <w:szCs w:val="24"/>
        </w:rPr>
      </w:pPr>
      <w:r w:rsidRPr="002D39EF">
        <w:rPr>
          <w:sz w:val="24"/>
          <w:szCs w:val="24"/>
        </w:rPr>
        <w:tab/>
      </w:r>
      <w:r w:rsidRPr="002D39EF">
        <w:rPr>
          <w:sz w:val="24"/>
          <w:szCs w:val="24"/>
        </w:rPr>
        <w:tab/>
      </w:r>
      <w:r w:rsidRPr="002D39EF">
        <w:rPr>
          <w:sz w:val="24"/>
          <w:szCs w:val="24"/>
        </w:rPr>
        <w:tab/>
      </w:r>
      <w:r w:rsidRPr="002D39EF">
        <w:rPr>
          <w:sz w:val="24"/>
          <w:szCs w:val="24"/>
        </w:rPr>
        <w:tab/>
      </w:r>
      <w:r w:rsidRPr="002D39EF">
        <w:rPr>
          <w:sz w:val="24"/>
          <w:szCs w:val="24"/>
        </w:rPr>
        <w:tab/>
      </w:r>
      <w:r w:rsidRPr="002D39EF">
        <w:rPr>
          <w:sz w:val="24"/>
          <w:szCs w:val="24"/>
        </w:rPr>
        <w:tab/>
        <w:t>BRUCE WESTON (0016973)</w:t>
      </w:r>
    </w:p>
    <w:p w:rsidR="002D39EF" w:rsidRPr="002D39EF" w:rsidP="002D39EF">
      <w:pPr>
        <w:rPr>
          <w:sz w:val="24"/>
          <w:szCs w:val="24"/>
        </w:rPr>
      </w:pPr>
      <w:r w:rsidRPr="002D39EF">
        <w:rPr>
          <w:sz w:val="24"/>
          <w:szCs w:val="24"/>
        </w:rPr>
        <w:tab/>
      </w:r>
      <w:r w:rsidRPr="002D39EF">
        <w:rPr>
          <w:sz w:val="24"/>
          <w:szCs w:val="24"/>
        </w:rPr>
        <w:tab/>
      </w:r>
      <w:r w:rsidRPr="002D39EF">
        <w:rPr>
          <w:sz w:val="24"/>
          <w:szCs w:val="24"/>
        </w:rPr>
        <w:tab/>
      </w:r>
      <w:r w:rsidRPr="002D39EF">
        <w:rPr>
          <w:sz w:val="24"/>
          <w:szCs w:val="24"/>
        </w:rPr>
        <w:tab/>
      </w:r>
      <w:r w:rsidRPr="002D39EF">
        <w:rPr>
          <w:sz w:val="24"/>
          <w:szCs w:val="24"/>
        </w:rPr>
        <w:tab/>
      </w:r>
      <w:r w:rsidRPr="002D39EF">
        <w:rPr>
          <w:sz w:val="24"/>
          <w:szCs w:val="24"/>
        </w:rPr>
        <w:tab/>
        <w:t>OHIO CONSUMERS’ COUNSEL</w:t>
      </w:r>
    </w:p>
    <w:p w:rsidR="002D39EF" w:rsidRPr="002D39EF" w:rsidP="002D39EF">
      <w:pPr>
        <w:rPr>
          <w:sz w:val="24"/>
          <w:szCs w:val="24"/>
        </w:rPr>
      </w:pPr>
      <w:r w:rsidRPr="002D39EF">
        <w:rPr>
          <w:sz w:val="24"/>
          <w:szCs w:val="24"/>
        </w:rPr>
        <w:tab/>
      </w:r>
      <w:r w:rsidRPr="002D39EF">
        <w:rPr>
          <w:sz w:val="24"/>
          <w:szCs w:val="24"/>
        </w:rPr>
        <w:tab/>
      </w:r>
      <w:r w:rsidRPr="002D39EF">
        <w:rPr>
          <w:sz w:val="24"/>
          <w:szCs w:val="24"/>
        </w:rPr>
        <w:tab/>
      </w:r>
      <w:r w:rsidRPr="002D39EF">
        <w:rPr>
          <w:sz w:val="24"/>
          <w:szCs w:val="24"/>
        </w:rPr>
        <w:tab/>
      </w:r>
      <w:r w:rsidRPr="002D39EF">
        <w:rPr>
          <w:sz w:val="24"/>
          <w:szCs w:val="24"/>
        </w:rPr>
        <w:tab/>
      </w:r>
      <w:r w:rsidRPr="002D39EF">
        <w:rPr>
          <w:sz w:val="24"/>
          <w:szCs w:val="24"/>
        </w:rPr>
        <w:tab/>
      </w:r>
    </w:p>
    <w:p w:rsidR="002D39EF" w:rsidRPr="002D39EF" w:rsidP="002D39EF">
      <w:pPr>
        <w:rPr>
          <w:i/>
          <w:sz w:val="24"/>
          <w:szCs w:val="24"/>
          <w:u w:val="single"/>
        </w:rPr>
      </w:pPr>
      <w:r w:rsidRPr="002D39EF">
        <w:rPr>
          <w:sz w:val="24"/>
          <w:szCs w:val="24"/>
        </w:rPr>
        <w:tab/>
      </w:r>
      <w:r w:rsidRPr="002D39EF">
        <w:rPr>
          <w:sz w:val="24"/>
          <w:szCs w:val="24"/>
        </w:rPr>
        <w:tab/>
      </w:r>
      <w:r w:rsidRPr="002D39EF">
        <w:rPr>
          <w:sz w:val="24"/>
          <w:szCs w:val="24"/>
        </w:rPr>
        <w:tab/>
      </w:r>
      <w:r w:rsidRPr="002D39EF">
        <w:rPr>
          <w:sz w:val="24"/>
          <w:szCs w:val="24"/>
        </w:rPr>
        <w:tab/>
      </w:r>
      <w:r w:rsidRPr="002D39EF">
        <w:rPr>
          <w:sz w:val="24"/>
          <w:szCs w:val="24"/>
        </w:rPr>
        <w:tab/>
      </w:r>
      <w:r w:rsidRPr="002D39EF">
        <w:rPr>
          <w:sz w:val="24"/>
          <w:szCs w:val="24"/>
        </w:rPr>
        <w:tab/>
      </w:r>
      <w:r w:rsidRPr="002D39EF">
        <w:rPr>
          <w:i/>
          <w:sz w:val="24"/>
          <w:szCs w:val="24"/>
          <w:u w:val="single"/>
        </w:rPr>
        <w:t>/s/ William J. Michael</w:t>
      </w:r>
    </w:p>
    <w:p w:rsidR="002D39EF" w:rsidRPr="002D39EF" w:rsidP="002D39EF">
      <w:pPr>
        <w:rPr>
          <w:sz w:val="24"/>
          <w:szCs w:val="24"/>
        </w:rPr>
      </w:pPr>
      <w:r w:rsidRPr="002D39EF">
        <w:rPr>
          <w:sz w:val="24"/>
          <w:szCs w:val="24"/>
        </w:rPr>
        <w:tab/>
      </w:r>
      <w:r w:rsidRPr="002D39EF">
        <w:rPr>
          <w:sz w:val="24"/>
          <w:szCs w:val="24"/>
        </w:rPr>
        <w:tab/>
      </w:r>
      <w:r w:rsidRPr="002D39EF">
        <w:rPr>
          <w:sz w:val="24"/>
          <w:szCs w:val="24"/>
        </w:rPr>
        <w:tab/>
      </w:r>
      <w:r w:rsidRPr="002D39EF">
        <w:rPr>
          <w:sz w:val="24"/>
          <w:szCs w:val="24"/>
        </w:rPr>
        <w:tab/>
      </w:r>
      <w:r w:rsidRPr="002D39EF">
        <w:rPr>
          <w:sz w:val="24"/>
          <w:szCs w:val="24"/>
        </w:rPr>
        <w:tab/>
      </w:r>
      <w:r w:rsidRPr="002D39EF">
        <w:rPr>
          <w:sz w:val="24"/>
          <w:szCs w:val="24"/>
        </w:rPr>
        <w:tab/>
        <w:t>William J. Michael (0070921)</w:t>
      </w:r>
    </w:p>
    <w:p w:rsidR="002D39EF" w:rsidRPr="002D39EF" w:rsidP="002D39EF">
      <w:pPr>
        <w:rPr>
          <w:sz w:val="24"/>
          <w:szCs w:val="24"/>
        </w:rPr>
      </w:pPr>
      <w:r w:rsidRPr="002D39EF">
        <w:rPr>
          <w:sz w:val="24"/>
          <w:szCs w:val="24"/>
        </w:rPr>
        <w:tab/>
      </w:r>
      <w:r w:rsidRPr="002D39EF">
        <w:rPr>
          <w:sz w:val="24"/>
          <w:szCs w:val="24"/>
        </w:rPr>
        <w:tab/>
      </w:r>
      <w:r w:rsidRPr="002D39EF">
        <w:rPr>
          <w:sz w:val="24"/>
          <w:szCs w:val="24"/>
        </w:rPr>
        <w:tab/>
      </w:r>
      <w:r w:rsidRPr="002D39EF">
        <w:rPr>
          <w:sz w:val="24"/>
          <w:szCs w:val="24"/>
        </w:rPr>
        <w:tab/>
      </w:r>
      <w:r w:rsidRPr="002D39EF">
        <w:rPr>
          <w:sz w:val="24"/>
          <w:szCs w:val="24"/>
        </w:rPr>
        <w:tab/>
      </w:r>
      <w:r w:rsidRPr="002D39EF">
        <w:rPr>
          <w:sz w:val="24"/>
          <w:szCs w:val="24"/>
        </w:rPr>
        <w:tab/>
        <w:t>Counsel of Record</w:t>
      </w:r>
    </w:p>
    <w:p w:rsidR="002D39EF" w:rsidRPr="002D39EF" w:rsidP="002D39EF">
      <w:pPr>
        <w:rPr>
          <w:sz w:val="24"/>
          <w:szCs w:val="24"/>
        </w:rPr>
      </w:pPr>
      <w:r w:rsidRPr="002D39EF">
        <w:rPr>
          <w:sz w:val="24"/>
          <w:szCs w:val="24"/>
        </w:rPr>
        <w:tab/>
      </w:r>
      <w:r w:rsidRPr="002D39EF">
        <w:rPr>
          <w:sz w:val="24"/>
          <w:szCs w:val="24"/>
        </w:rPr>
        <w:tab/>
      </w:r>
      <w:r w:rsidRPr="002D39EF">
        <w:rPr>
          <w:sz w:val="24"/>
          <w:szCs w:val="24"/>
        </w:rPr>
        <w:tab/>
      </w:r>
      <w:r w:rsidRPr="002D39EF">
        <w:rPr>
          <w:sz w:val="24"/>
          <w:szCs w:val="24"/>
        </w:rPr>
        <w:tab/>
      </w:r>
      <w:r w:rsidRPr="002D39EF">
        <w:rPr>
          <w:sz w:val="24"/>
          <w:szCs w:val="24"/>
        </w:rPr>
        <w:tab/>
      </w:r>
      <w:r w:rsidRPr="002D39EF">
        <w:rPr>
          <w:sz w:val="24"/>
          <w:szCs w:val="24"/>
        </w:rPr>
        <w:tab/>
        <w:t>Kevin F. Moore (0089228)</w:t>
      </w:r>
    </w:p>
    <w:p w:rsidR="002D39EF" w:rsidRPr="002D39EF" w:rsidP="002D39EF">
      <w:pPr>
        <w:rPr>
          <w:sz w:val="24"/>
          <w:szCs w:val="24"/>
        </w:rPr>
      </w:pPr>
      <w:r w:rsidRPr="002D39EF">
        <w:rPr>
          <w:sz w:val="24"/>
          <w:szCs w:val="24"/>
        </w:rPr>
        <w:tab/>
      </w:r>
      <w:r w:rsidRPr="002D39EF">
        <w:rPr>
          <w:sz w:val="24"/>
          <w:szCs w:val="24"/>
        </w:rPr>
        <w:tab/>
      </w:r>
      <w:r w:rsidRPr="002D39EF">
        <w:rPr>
          <w:sz w:val="24"/>
          <w:szCs w:val="24"/>
        </w:rPr>
        <w:tab/>
      </w:r>
      <w:r w:rsidRPr="002D39EF">
        <w:rPr>
          <w:sz w:val="24"/>
          <w:szCs w:val="24"/>
        </w:rPr>
        <w:tab/>
      </w:r>
      <w:r w:rsidRPr="002D39EF">
        <w:rPr>
          <w:sz w:val="24"/>
          <w:szCs w:val="24"/>
        </w:rPr>
        <w:tab/>
      </w:r>
      <w:r w:rsidRPr="002D39EF">
        <w:rPr>
          <w:sz w:val="24"/>
          <w:szCs w:val="24"/>
        </w:rPr>
        <w:tab/>
        <w:t>Assistant Consumers’ Counsel</w:t>
      </w:r>
    </w:p>
    <w:p w:rsidR="002D39EF" w:rsidRPr="002D39EF" w:rsidP="002D39EF">
      <w:pPr>
        <w:rPr>
          <w:sz w:val="24"/>
          <w:szCs w:val="24"/>
        </w:rPr>
      </w:pPr>
    </w:p>
    <w:p w:rsidR="002D39EF" w:rsidRPr="002D39EF" w:rsidP="002D39EF">
      <w:pPr>
        <w:rPr>
          <w:b/>
          <w:sz w:val="24"/>
          <w:szCs w:val="24"/>
        </w:rPr>
      </w:pPr>
      <w:r w:rsidRPr="002D39EF">
        <w:rPr>
          <w:b/>
          <w:sz w:val="24"/>
          <w:szCs w:val="24"/>
        </w:rPr>
        <w:tab/>
      </w:r>
      <w:r w:rsidRPr="002D39EF">
        <w:rPr>
          <w:b/>
          <w:sz w:val="24"/>
          <w:szCs w:val="24"/>
        </w:rPr>
        <w:tab/>
      </w:r>
      <w:r w:rsidRPr="002D39EF">
        <w:rPr>
          <w:b/>
          <w:sz w:val="24"/>
          <w:szCs w:val="24"/>
        </w:rPr>
        <w:tab/>
      </w:r>
      <w:r w:rsidRPr="002D39EF">
        <w:rPr>
          <w:b/>
          <w:sz w:val="24"/>
          <w:szCs w:val="24"/>
        </w:rPr>
        <w:tab/>
      </w:r>
      <w:r w:rsidRPr="002D39EF">
        <w:rPr>
          <w:b/>
          <w:sz w:val="24"/>
          <w:szCs w:val="24"/>
        </w:rPr>
        <w:tab/>
      </w:r>
      <w:r w:rsidRPr="002D39EF">
        <w:rPr>
          <w:b/>
          <w:sz w:val="24"/>
          <w:szCs w:val="24"/>
        </w:rPr>
        <w:tab/>
        <w:t>Office of the Ohio Consumers’ Counsel</w:t>
      </w:r>
    </w:p>
    <w:p w:rsidR="002D39EF" w:rsidRPr="002D39EF" w:rsidP="002D39EF">
      <w:pPr>
        <w:rPr>
          <w:sz w:val="24"/>
          <w:szCs w:val="24"/>
        </w:rPr>
      </w:pPr>
      <w:r w:rsidRPr="002D39EF">
        <w:rPr>
          <w:sz w:val="24"/>
          <w:szCs w:val="24"/>
        </w:rPr>
        <w:tab/>
      </w:r>
      <w:r w:rsidRPr="002D39EF">
        <w:rPr>
          <w:sz w:val="24"/>
          <w:szCs w:val="24"/>
        </w:rPr>
        <w:tab/>
      </w:r>
      <w:r w:rsidRPr="002D39EF">
        <w:rPr>
          <w:sz w:val="24"/>
          <w:szCs w:val="24"/>
        </w:rPr>
        <w:tab/>
      </w:r>
      <w:r w:rsidRPr="002D39EF">
        <w:rPr>
          <w:sz w:val="24"/>
          <w:szCs w:val="24"/>
        </w:rPr>
        <w:tab/>
      </w:r>
      <w:r w:rsidRPr="002D39EF">
        <w:rPr>
          <w:sz w:val="24"/>
          <w:szCs w:val="24"/>
        </w:rPr>
        <w:tab/>
      </w:r>
      <w:r w:rsidRPr="002D39EF">
        <w:rPr>
          <w:sz w:val="24"/>
          <w:szCs w:val="24"/>
        </w:rPr>
        <w:tab/>
        <w:t>10 W. Broad Street, Suite 1800</w:t>
      </w:r>
    </w:p>
    <w:p w:rsidR="002D39EF" w:rsidRPr="002D39EF" w:rsidP="002D39EF">
      <w:pPr>
        <w:rPr>
          <w:sz w:val="24"/>
          <w:szCs w:val="24"/>
        </w:rPr>
      </w:pPr>
      <w:r w:rsidRPr="002D39EF">
        <w:rPr>
          <w:sz w:val="24"/>
          <w:szCs w:val="24"/>
        </w:rPr>
        <w:tab/>
      </w:r>
      <w:r w:rsidRPr="002D39EF">
        <w:rPr>
          <w:sz w:val="24"/>
          <w:szCs w:val="24"/>
        </w:rPr>
        <w:tab/>
      </w:r>
      <w:r w:rsidRPr="002D39EF">
        <w:rPr>
          <w:sz w:val="24"/>
          <w:szCs w:val="24"/>
        </w:rPr>
        <w:tab/>
      </w:r>
      <w:r w:rsidRPr="002D39EF">
        <w:rPr>
          <w:sz w:val="24"/>
          <w:szCs w:val="24"/>
        </w:rPr>
        <w:tab/>
      </w:r>
      <w:r w:rsidRPr="002D39EF">
        <w:rPr>
          <w:sz w:val="24"/>
          <w:szCs w:val="24"/>
        </w:rPr>
        <w:tab/>
      </w:r>
      <w:r w:rsidRPr="002D39EF">
        <w:rPr>
          <w:sz w:val="24"/>
          <w:szCs w:val="24"/>
        </w:rPr>
        <w:tab/>
        <w:t>Columbus, Ohio 43215-3485</w:t>
      </w:r>
    </w:p>
    <w:p w:rsidR="002D39EF" w:rsidRPr="002D39EF" w:rsidP="002D39EF">
      <w:pPr>
        <w:rPr>
          <w:sz w:val="24"/>
          <w:szCs w:val="24"/>
        </w:rPr>
      </w:pPr>
      <w:r w:rsidRPr="002D39EF">
        <w:rPr>
          <w:sz w:val="24"/>
          <w:szCs w:val="24"/>
        </w:rPr>
        <w:tab/>
      </w:r>
      <w:r w:rsidRPr="002D39EF">
        <w:rPr>
          <w:sz w:val="24"/>
          <w:szCs w:val="24"/>
        </w:rPr>
        <w:tab/>
      </w:r>
      <w:r w:rsidRPr="002D39EF">
        <w:rPr>
          <w:sz w:val="24"/>
          <w:szCs w:val="24"/>
        </w:rPr>
        <w:tab/>
      </w:r>
      <w:r w:rsidRPr="002D39EF">
        <w:rPr>
          <w:sz w:val="24"/>
          <w:szCs w:val="24"/>
        </w:rPr>
        <w:tab/>
      </w:r>
      <w:r w:rsidRPr="002D39EF">
        <w:rPr>
          <w:sz w:val="24"/>
          <w:szCs w:val="24"/>
        </w:rPr>
        <w:tab/>
      </w:r>
      <w:r w:rsidRPr="002D39EF">
        <w:rPr>
          <w:sz w:val="24"/>
          <w:szCs w:val="24"/>
        </w:rPr>
        <w:tab/>
        <w:t>Telephone [Michael]: 614-466-1291</w:t>
      </w:r>
    </w:p>
    <w:p w:rsidR="002D39EF" w:rsidRPr="002D39EF" w:rsidP="002D39EF">
      <w:pPr>
        <w:rPr>
          <w:sz w:val="24"/>
          <w:szCs w:val="24"/>
        </w:rPr>
      </w:pPr>
      <w:r w:rsidRPr="002D39EF">
        <w:rPr>
          <w:sz w:val="24"/>
          <w:szCs w:val="24"/>
        </w:rPr>
        <w:tab/>
      </w:r>
      <w:r w:rsidRPr="002D39EF">
        <w:rPr>
          <w:sz w:val="24"/>
          <w:szCs w:val="24"/>
        </w:rPr>
        <w:tab/>
      </w:r>
      <w:r w:rsidRPr="002D39EF">
        <w:rPr>
          <w:sz w:val="24"/>
          <w:szCs w:val="24"/>
        </w:rPr>
        <w:tab/>
      </w:r>
      <w:r w:rsidRPr="002D39EF">
        <w:rPr>
          <w:sz w:val="24"/>
          <w:szCs w:val="24"/>
        </w:rPr>
        <w:tab/>
      </w:r>
      <w:r w:rsidRPr="002D39EF">
        <w:rPr>
          <w:sz w:val="24"/>
          <w:szCs w:val="24"/>
        </w:rPr>
        <w:tab/>
      </w:r>
      <w:r w:rsidRPr="002D39EF">
        <w:rPr>
          <w:sz w:val="24"/>
          <w:szCs w:val="24"/>
        </w:rPr>
        <w:tab/>
        <w:t>Telephone [Moore]: 614-466-2965</w:t>
      </w:r>
    </w:p>
    <w:p w:rsidR="002D39EF" w:rsidRPr="002D39EF" w:rsidP="002D39EF">
      <w:pPr>
        <w:rPr>
          <w:sz w:val="24"/>
          <w:szCs w:val="24"/>
        </w:rPr>
      </w:pPr>
      <w:r w:rsidRPr="002D39EF">
        <w:rPr>
          <w:sz w:val="24"/>
          <w:szCs w:val="24"/>
        </w:rPr>
        <w:tab/>
      </w:r>
      <w:r w:rsidRPr="002D39EF">
        <w:rPr>
          <w:sz w:val="24"/>
          <w:szCs w:val="24"/>
        </w:rPr>
        <w:tab/>
      </w:r>
      <w:r w:rsidRPr="002D39EF">
        <w:rPr>
          <w:sz w:val="24"/>
          <w:szCs w:val="24"/>
        </w:rPr>
        <w:tab/>
      </w:r>
      <w:r w:rsidRPr="002D39EF">
        <w:rPr>
          <w:sz w:val="24"/>
          <w:szCs w:val="24"/>
        </w:rPr>
        <w:tab/>
      </w:r>
      <w:r w:rsidRPr="002D39EF">
        <w:rPr>
          <w:sz w:val="24"/>
          <w:szCs w:val="24"/>
        </w:rPr>
        <w:tab/>
      </w:r>
      <w:r w:rsidRPr="002D39EF">
        <w:rPr>
          <w:sz w:val="24"/>
          <w:szCs w:val="24"/>
        </w:rPr>
        <w:tab/>
      </w:r>
      <w:r w:rsidRPr="002D39EF">
        <w:rPr>
          <w:color w:val="0000FF"/>
          <w:sz w:val="24"/>
          <w:szCs w:val="24"/>
          <w:u w:val="single"/>
        </w:rPr>
        <w:t>William.michael@OCC.ohio.gov</w:t>
      </w:r>
    </w:p>
    <w:p w:rsidR="002D39EF" w:rsidRPr="002D39EF" w:rsidP="002D39EF">
      <w:pPr>
        <w:rPr>
          <w:color w:val="0000FF"/>
          <w:sz w:val="24"/>
          <w:szCs w:val="24"/>
          <w:u w:val="single"/>
        </w:rPr>
      </w:pPr>
      <w:r w:rsidRPr="002D39EF">
        <w:rPr>
          <w:sz w:val="24"/>
          <w:szCs w:val="24"/>
        </w:rPr>
        <w:tab/>
      </w:r>
      <w:r w:rsidRPr="002D39EF">
        <w:rPr>
          <w:sz w:val="24"/>
          <w:szCs w:val="24"/>
        </w:rPr>
        <w:tab/>
      </w:r>
      <w:r w:rsidRPr="002D39EF">
        <w:rPr>
          <w:sz w:val="24"/>
          <w:szCs w:val="24"/>
        </w:rPr>
        <w:tab/>
      </w:r>
      <w:r w:rsidRPr="002D39EF">
        <w:rPr>
          <w:sz w:val="24"/>
          <w:szCs w:val="24"/>
        </w:rPr>
        <w:tab/>
      </w:r>
      <w:r w:rsidRPr="002D39EF">
        <w:rPr>
          <w:sz w:val="24"/>
          <w:szCs w:val="24"/>
        </w:rPr>
        <w:tab/>
      </w:r>
      <w:r w:rsidRPr="002D39EF">
        <w:rPr>
          <w:sz w:val="24"/>
          <w:szCs w:val="24"/>
        </w:rPr>
        <w:tab/>
      </w:r>
      <w:r w:rsidRPr="002D39EF">
        <w:rPr>
          <w:color w:val="0000FF"/>
          <w:sz w:val="24"/>
          <w:szCs w:val="24"/>
          <w:u w:val="single"/>
        </w:rPr>
        <w:t>Kevin.moore@OCC.ohio.gov</w:t>
      </w:r>
    </w:p>
    <w:p w:rsidR="002D39EF" w:rsidRPr="002D39EF" w:rsidP="002D39EF">
      <w:pPr>
        <w:rPr>
          <w:sz w:val="24"/>
          <w:szCs w:val="24"/>
        </w:rPr>
        <w:sectPr w:rsidSect="008D7F23">
          <w:headerReference w:type="default" r:id="rId15"/>
          <w:footerReference w:type="default" r:id="rId16"/>
          <w:pgSz w:w="12240" w:h="15840"/>
          <w:pgMar w:top="1440" w:right="1800" w:bottom="1440" w:left="1800" w:header="720" w:footer="720" w:gutter="0"/>
          <w:pgNumType w:start="1"/>
          <w:cols w:space="720"/>
          <w:docGrid w:linePitch="360"/>
        </w:sectPr>
      </w:pPr>
      <w:r w:rsidRPr="002D39EF">
        <w:rPr>
          <w:sz w:val="24"/>
          <w:szCs w:val="24"/>
        </w:rPr>
        <w:tab/>
      </w:r>
      <w:r w:rsidRPr="002D39EF">
        <w:rPr>
          <w:sz w:val="24"/>
          <w:szCs w:val="24"/>
        </w:rPr>
        <w:tab/>
      </w:r>
      <w:r w:rsidRPr="002D39EF">
        <w:rPr>
          <w:sz w:val="24"/>
          <w:szCs w:val="24"/>
        </w:rPr>
        <w:tab/>
      </w:r>
      <w:r w:rsidRPr="002D39EF">
        <w:rPr>
          <w:sz w:val="24"/>
          <w:szCs w:val="24"/>
        </w:rPr>
        <w:tab/>
      </w:r>
      <w:r w:rsidRPr="002D39EF">
        <w:rPr>
          <w:sz w:val="24"/>
          <w:szCs w:val="24"/>
        </w:rPr>
        <w:tab/>
      </w:r>
      <w:r w:rsidRPr="002D39EF">
        <w:rPr>
          <w:sz w:val="24"/>
          <w:szCs w:val="24"/>
        </w:rPr>
        <w:tab/>
        <w:t xml:space="preserve">(All attorneys will accept service via email) </w:t>
      </w:r>
    </w:p>
    <w:p w:rsidR="002D39EF" w:rsidRPr="002D39EF" w:rsidP="002D39EF">
      <w:pPr>
        <w:autoSpaceDE w:val="0"/>
        <w:autoSpaceDN w:val="0"/>
        <w:adjustRightInd w:val="0"/>
        <w:jc w:val="center"/>
        <w:rPr>
          <w:sz w:val="24"/>
          <w:szCs w:val="24"/>
        </w:rPr>
      </w:pPr>
      <w:r w:rsidRPr="002D39EF">
        <w:rPr>
          <w:b/>
          <w:sz w:val="24"/>
          <w:szCs w:val="24"/>
          <w:u w:val="single"/>
        </w:rPr>
        <w:t>CERTIFICATE OF SERVICE</w:t>
      </w:r>
    </w:p>
    <w:p w:rsidR="002D39EF" w:rsidRPr="002D39EF" w:rsidP="002D39EF">
      <w:pPr>
        <w:autoSpaceDE w:val="0"/>
        <w:autoSpaceDN w:val="0"/>
        <w:adjustRightInd w:val="0"/>
        <w:ind w:firstLine="4320"/>
        <w:jc w:val="center"/>
        <w:rPr>
          <w:sz w:val="24"/>
          <w:szCs w:val="24"/>
          <w:u w:val="single"/>
        </w:rPr>
      </w:pPr>
    </w:p>
    <w:p w:rsidR="002D39EF" w:rsidRPr="002D39EF" w:rsidP="002D39EF">
      <w:pPr>
        <w:keepNext/>
        <w:spacing w:line="480" w:lineRule="auto"/>
        <w:ind w:firstLine="720"/>
        <w:outlineLvl w:val="2"/>
        <w:rPr>
          <w:bCs/>
          <w:sz w:val="24"/>
          <w:szCs w:val="24"/>
        </w:rPr>
      </w:pPr>
      <w:r w:rsidRPr="002D39EF">
        <w:rPr>
          <w:bCs/>
          <w:sz w:val="24"/>
          <w:szCs w:val="24"/>
        </w:rPr>
        <w:t xml:space="preserve">I hereby certify that a copy of the foregoing </w:t>
      </w:r>
      <w:r>
        <w:rPr>
          <w:bCs/>
          <w:sz w:val="24"/>
          <w:szCs w:val="24"/>
        </w:rPr>
        <w:t xml:space="preserve">Third Application for Rehearing </w:t>
      </w:r>
      <w:r w:rsidRPr="002D39EF">
        <w:rPr>
          <w:bCs/>
          <w:sz w:val="24"/>
          <w:szCs w:val="24"/>
        </w:rPr>
        <w:t xml:space="preserve">was served via electric transmission upon the parties this 5th day of </w:t>
      </w:r>
      <w:r>
        <w:rPr>
          <w:bCs/>
          <w:sz w:val="24"/>
          <w:szCs w:val="24"/>
        </w:rPr>
        <w:t>December</w:t>
      </w:r>
      <w:r w:rsidRPr="002D39EF">
        <w:rPr>
          <w:bCs/>
          <w:sz w:val="24"/>
          <w:szCs w:val="24"/>
        </w:rPr>
        <w:t xml:space="preserve"> 2016.  </w:t>
      </w:r>
    </w:p>
    <w:p w:rsidR="002D39EF" w:rsidRPr="002D39EF" w:rsidP="002D39EF">
      <w:pPr>
        <w:rPr>
          <w:sz w:val="24"/>
          <w:szCs w:val="24"/>
        </w:rPr>
      </w:pPr>
      <w:r w:rsidRPr="002D39EF">
        <w:rPr>
          <w:i/>
        </w:rPr>
        <w:tab/>
      </w:r>
      <w:r w:rsidRPr="002D39EF">
        <w:rPr>
          <w:i/>
        </w:rPr>
        <w:tab/>
      </w:r>
      <w:r w:rsidRPr="002D39EF">
        <w:rPr>
          <w:i/>
        </w:rPr>
        <w:tab/>
      </w:r>
      <w:r w:rsidRPr="002D39EF">
        <w:rPr>
          <w:i/>
        </w:rPr>
        <w:tab/>
      </w:r>
      <w:r w:rsidRPr="002D39EF">
        <w:rPr>
          <w:i/>
        </w:rPr>
        <w:tab/>
      </w:r>
      <w:r w:rsidRPr="002D39EF">
        <w:rPr>
          <w:i/>
        </w:rPr>
        <w:tab/>
      </w:r>
      <w:r w:rsidRPr="002D39EF">
        <w:rPr>
          <w:i/>
          <w:sz w:val="24"/>
          <w:szCs w:val="24"/>
          <w:u w:val="single"/>
        </w:rPr>
        <w:t>/s/ William J. Michael</w:t>
      </w:r>
      <w:r w:rsidRPr="002D39EF">
        <w:rPr>
          <w:sz w:val="24"/>
          <w:szCs w:val="24"/>
        </w:rPr>
        <w:t>________</w:t>
      </w:r>
    </w:p>
    <w:p w:rsidR="002D39EF" w:rsidRPr="002D39EF" w:rsidP="002D39EF">
      <w:pPr>
        <w:rPr>
          <w:sz w:val="24"/>
          <w:szCs w:val="24"/>
        </w:rPr>
      </w:pPr>
      <w:r w:rsidRPr="002D39EF">
        <w:rPr>
          <w:sz w:val="24"/>
          <w:szCs w:val="24"/>
        </w:rPr>
        <w:tab/>
      </w:r>
      <w:r w:rsidRPr="002D39EF">
        <w:rPr>
          <w:sz w:val="24"/>
          <w:szCs w:val="24"/>
        </w:rPr>
        <w:tab/>
      </w:r>
      <w:r w:rsidRPr="002D39EF">
        <w:rPr>
          <w:sz w:val="24"/>
          <w:szCs w:val="24"/>
        </w:rPr>
        <w:tab/>
      </w:r>
      <w:r w:rsidRPr="002D39EF">
        <w:rPr>
          <w:sz w:val="24"/>
          <w:szCs w:val="24"/>
        </w:rPr>
        <w:tab/>
      </w:r>
      <w:r w:rsidRPr="002D39EF">
        <w:rPr>
          <w:sz w:val="24"/>
          <w:szCs w:val="24"/>
        </w:rPr>
        <w:tab/>
      </w:r>
      <w:r w:rsidRPr="002D39EF">
        <w:rPr>
          <w:sz w:val="24"/>
          <w:szCs w:val="24"/>
        </w:rPr>
        <w:tab/>
        <w:t>William J. Michael</w:t>
      </w:r>
    </w:p>
    <w:p w:rsidR="002D39EF" w:rsidRPr="002D39EF" w:rsidP="002D39EF">
      <w:pPr>
        <w:rPr>
          <w:sz w:val="24"/>
          <w:szCs w:val="24"/>
        </w:rPr>
      </w:pPr>
      <w:r w:rsidRPr="002D39EF">
        <w:rPr>
          <w:sz w:val="24"/>
          <w:szCs w:val="24"/>
        </w:rPr>
        <w:tab/>
      </w:r>
      <w:r w:rsidRPr="002D39EF">
        <w:rPr>
          <w:sz w:val="24"/>
          <w:szCs w:val="24"/>
        </w:rPr>
        <w:tab/>
      </w:r>
      <w:r w:rsidRPr="002D39EF">
        <w:rPr>
          <w:sz w:val="24"/>
          <w:szCs w:val="24"/>
        </w:rPr>
        <w:tab/>
      </w:r>
      <w:r w:rsidRPr="002D39EF">
        <w:rPr>
          <w:sz w:val="24"/>
          <w:szCs w:val="24"/>
        </w:rPr>
        <w:tab/>
      </w:r>
      <w:r w:rsidRPr="002D39EF">
        <w:rPr>
          <w:sz w:val="24"/>
          <w:szCs w:val="24"/>
        </w:rPr>
        <w:tab/>
      </w:r>
      <w:r w:rsidRPr="002D39EF">
        <w:rPr>
          <w:sz w:val="24"/>
          <w:szCs w:val="24"/>
        </w:rPr>
        <w:tab/>
        <w:t>Assistant Consumers’ Counsel</w:t>
      </w:r>
    </w:p>
    <w:p w:rsidR="002D39EF" w:rsidRPr="002D39EF" w:rsidP="002D39EF"/>
    <w:p w:rsidR="002D39EF" w:rsidRPr="002D39EF" w:rsidP="002D39EF"/>
    <w:p w:rsidR="002D39EF" w:rsidRPr="00281D4C" w:rsidP="002D39EF">
      <w:pPr>
        <w:tabs>
          <w:tab w:val="left" w:pos="-720"/>
        </w:tabs>
        <w:suppressAutoHyphens/>
        <w:spacing w:line="240" w:lineRule="atLeast"/>
        <w:jc w:val="center"/>
        <w:rPr>
          <w:b/>
          <w:color w:val="000000"/>
          <w:sz w:val="24"/>
          <w:szCs w:val="24"/>
          <w:u w:val="single"/>
        </w:rPr>
      </w:pPr>
      <w:r w:rsidRPr="00281D4C">
        <w:rPr>
          <w:b/>
          <w:color w:val="000000"/>
          <w:sz w:val="24"/>
          <w:szCs w:val="24"/>
          <w:u w:val="single"/>
        </w:rPr>
        <w:t>SERVICE LIST</w:t>
      </w:r>
    </w:p>
    <w:p w:rsidR="002D39EF" w:rsidRPr="00281D4C" w:rsidP="002D39EF">
      <w:pPr>
        <w:tabs>
          <w:tab w:val="left" w:pos="-720"/>
        </w:tabs>
        <w:suppressAutoHyphens/>
        <w:spacing w:line="240" w:lineRule="atLeast"/>
        <w:jc w:val="center"/>
        <w:rPr>
          <w:b/>
          <w:color w:val="000000"/>
          <w:sz w:val="24"/>
          <w:szCs w:val="24"/>
          <w:u w:val="single"/>
        </w:rPr>
      </w:pPr>
    </w:p>
    <w:tbl>
      <w:tblPr>
        <w:tblW w:w="10098" w:type="dxa"/>
        <w:tblInd w:w="0" w:type="dxa"/>
        <w:tblLayout w:type="fixed"/>
        <w:tblCellMar>
          <w:top w:w="0" w:type="dxa"/>
          <w:left w:w="108" w:type="dxa"/>
          <w:bottom w:w="0" w:type="dxa"/>
          <w:right w:w="108" w:type="dxa"/>
        </w:tblCellMar>
        <w:tblLook w:val="04A0"/>
      </w:tblPr>
      <w:tblGrid>
        <w:gridCol w:w="4514"/>
        <w:gridCol w:w="1264"/>
        <w:gridCol w:w="3078"/>
        <w:gridCol w:w="1242"/>
      </w:tblGrid>
      <w:tr w:rsidTr="0001613F">
        <w:tblPrEx>
          <w:tblW w:w="10098" w:type="dxa"/>
          <w:tblInd w:w="0" w:type="dxa"/>
          <w:tblLayout w:type="fixed"/>
          <w:tblCellMar>
            <w:top w:w="0" w:type="dxa"/>
            <w:left w:w="108" w:type="dxa"/>
            <w:bottom w:w="0" w:type="dxa"/>
            <w:right w:w="108" w:type="dxa"/>
          </w:tblCellMar>
          <w:tblLook w:val="04A0"/>
        </w:tblPrEx>
        <w:trPr>
          <w:trHeight w:val="7389"/>
        </w:trPr>
        <w:tc>
          <w:tcPr>
            <w:tcW w:w="5778" w:type="dxa"/>
            <w:gridSpan w:val="2"/>
            <w:shd w:val="clear" w:color="auto" w:fill="auto"/>
          </w:tcPr>
          <w:p w:rsidR="002D39EF" w:rsidRPr="00281D4C" w:rsidP="002D39EF">
            <w:pPr>
              <w:spacing w:after="0" w:line="240" w:lineRule="auto"/>
              <w:ind w:right="1273"/>
              <w:rPr>
                <w:rStyle w:val="DefaultParagraphFont"/>
                <w:rFonts w:ascii="Times New Roman" w:eastAsia="Calibri" w:hAnsi="Times New Roman" w:cs="Times New Roman"/>
                <w:sz w:val="24"/>
                <w:szCs w:val="24"/>
                <w:lang w:val="en-US" w:eastAsia="en-US" w:bidi="ar-SA"/>
              </w:rPr>
            </w:pPr>
            <w:r w:rsidRPr="00281D4C">
              <w:rPr>
                <w:rFonts w:ascii="Times New Roman" w:eastAsia="Calibri" w:hAnsi="Times New Roman" w:cs="Times New Roman"/>
                <w:color w:val="0000FF"/>
                <w:sz w:val="24"/>
                <w:szCs w:val="24"/>
                <w:u w:val="single"/>
                <w:lang w:val="en-US" w:eastAsia="en-US" w:bidi="ar-SA"/>
              </w:rPr>
              <w:t>sam@mwncmh.com</w:t>
            </w:r>
          </w:p>
          <w:p w:rsidR="002D39EF" w:rsidRPr="00281D4C" w:rsidP="002D39EF">
            <w:pPr>
              <w:spacing w:after="0" w:line="240" w:lineRule="auto"/>
              <w:ind w:right="1273"/>
              <w:rPr>
                <w:rStyle w:val="DefaultParagraphFont"/>
                <w:rFonts w:ascii="Times New Roman" w:eastAsia="Calibri" w:hAnsi="Times New Roman" w:cs="Times New Roman"/>
                <w:sz w:val="24"/>
                <w:szCs w:val="24"/>
                <w:lang w:val="en-US" w:eastAsia="en-US" w:bidi="ar-SA"/>
              </w:rPr>
            </w:pPr>
            <w:r w:rsidRPr="00281D4C">
              <w:rPr>
                <w:rFonts w:ascii="Times New Roman" w:eastAsia="Calibri" w:hAnsi="Times New Roman" w:cs="Times New Roman"/>
                <w:color w:val="0000FF"/>
                <w:sz w:val="24"/>
                <w:szCs w:val="24"/>
                <w:u w:val="single"/>
                <w:lang w:val="en-US" w:eastAsia="en-US" w:bidi="ar-SA"/>
              </w:rPr>
              <w:t>fdarr@mwncmh.com</w:t>
            </w:r>
          </w:p>
          <w:p w:rsidR="002D39EF" w:rsidRPr="00281D4C" w:rsidP="002D39EF">
            <w:pPr>
              <w:spacing w:after="0" w:line="240" w:lineRule="auto"/>
              <w:ind w:right="1273"/>
              <w:rPr>
                <w:rStyle w:val="DefaultParagraphFont"/>
                <w:rFonts w:ascii="Times New Roman" w:eastAsia="Calibri" w:hAnsi="Times New Roman" w:cs="Times New Roman"/>
                <w:sz w:val="24"/>
                <w:szCs w:val="24"/>
                <w:lang w:val="en-US" w:eastAsia="en-US" w:bidi="ar-SA"/>
              </w:rPr>
            </w:pPr>
            <w:r w:rsidRPr="00281D4C">
              <w:rPr>
                <w:rFonts w:ascii="Times New Roman" w:eastAsia="Calibri" w:hAnsi="Times New Roman" w:cs="Times New Roman"/>
                <w:color w:val="0000FF"/>
                <w:sz w:val="24"/>
                <w:szCs w:val="24"/>
                <w:u w:val="single"/>
                <w:lang w:val="en-US" w:eastAsia="en-US" w:bidi="ar-SA"/>
              </w:rPr>
              <w:t>mpritchard@mwncmh.com</w:t>
            </w:r>
          </w:p>
          <w:p w:rsidR="002D39EF" w:rsidRPr="00281D4C" w:rsidP="002D39EF">
            <w:pPr>
              <w:spacing w:after="0" w:line="240" w:lineRule="auto"/>
              <w:ind w:right="1273"/>
              <w:rPr>
                <w:rStyle w:val="DefaultParagraphFont"/>
                <w:rFonts w:ascii="Times New Roman" w:eastAsia="Calibri" w:hAnsi="Times New Roman" w:cs="Times New Roman"/>
                <w:color w:val="0000FF"/>
                <w:sz w:val="24"/>
                <w:szCs w:val="24"/>
                <w:lang w:val="en-US" w:eastAsia="en-US" w:bidi="ar-SA"/>
              </w:rPr>
            </w:pPr>
            <w:r w:rsidRPr="00281D4C">
              <w:rPr>
                <w:rFonts w:ascii="Times New Roman" w:eastAsia="Calibri" w:hAnsi="Times New Roman" w:cs="Times New Roman"/>
                <w:color w:val="0000FF"/>
                <w:sz w:val="24"/>
                <w:szCs w:val="24"/>
                <w:u w:val="single"/>
                <w:lang w:val="en-US" w:eastAsia="en-US" w:bidi="ar-SA"/>
              </w:rPr>
              <w:t>Philip.Sineneng@ThompsonHine.com</w:t>
            </w:r>
          </w:p>
          <w:p w:rsidR="002D39EF" w:rsidRPr="00281D4C" w:rsidP="002D39EF">
            <w:pPr>
              <w:spacing w:after="0" w:line="240" w:lineRule="auto"/>
              <w:ind w:right="1273"/>
              <w:rPr>
                <w:rStyle w:val="DefaultParagraphFont"/>
                <w:rFonts w:ascii="Times New Roman" w:eastAsia="Calibri" w:hAnsi="Times New Roman" w:cs="Times New Roman"/>
                <w:color w:val="0000FF"/>
                <w:sz w:val="24"/>
                <w:szCs w:val="24"/>
                <w:lang w:val="en-US" w:eastAsia="en-US" w:bidi="ar-SA"/>
              </w:rPr>
            </w:pPr>
            <w:r w:rsidRPr="00281D4C">
              <w:rPr>
                <w:rFonts w:ascii="Times New Roman" w:eastAsia="Calibri" w:hAnsi="Times New Roman" w:cs="Times New Roman"/>
                <w:color w:val="0000FF"/>
                <w:sz w:val="24"/>
                <w:szCs w:val="24"/>
                <w:u w:val="single"/>
                <w:lang w:val="en-US" w:eastAsia="en-US" w:bidi="ar-SA"/>
              </w:rPr>
              <w:t>ricks@ohanet.org</w:t>
            </w:r>
          </w:p>
          <w:p w:rsidR="002D39EF" w:rsidRPr="00281D4C" w:rsidP="002D39EF">
            <w:pPr>
              <w:spacing w:after="0" w:line="240" w:lineRule="auto"/>
              <w:ind w:right="1273"/>
              <w:rPr>
                <w:rStyle w:val="DefaultParagraphFont"/>
                <w:rFonts w:ascii="Times New Roman" w:eastAsia="Calibri" w:hAnsi="Times New Roman" w:cs="Times New Roman"/>
                <w:color w:val="0000FF"/>
                <w:sz w:val="24"/>
                <w:szCs w:val="24"/>
                <w:lang w:val="en-US" w:eastAsia="en-US" w:bidi="ar-SA"/>
              </w:rPr>
            </w:pPr>
            <w:r w:rsidRPr="00281D4C">
              <w:rPr>
                <w:rFonts w:ascii="Times New Roman" w:eastAsia="Calibri" w:hAnsi="Times New Roman" w:cs="Times New Roman"/>
                <w:color w:val="0000FF"/>
                <w:sz w:val="24"/>
                <w:szCs w:val="24"/>
                <w:u w:val="single"/>
                <w:lang w:val="en-US" w:eastAsia="en-US" w:bidi="ar-SA"/>
              </w:rPr>
              <w:t>dborchers@bricker.com</w:t>
            </w:r>
          </w:p>
          <w:p w:rsidR="002D39EF" w:rsidRPr="00281D4C" w:rsidP="002D39EF">
            <w:pPr>
              <w:spacing w:after="0" w:line="240" w:lineRule="auto"/>
              <w:ind w:right="1273"/>
              <w:rPr>
                <w:rStyle w:val="DefaultParagraphFont"/>
                <w:rFonts w:ascii="Times New Roman" w:eastAsia="Calibri" w:hAnsi="Times New Roman" w:cs="Times New Roman"/>
                <w:color w:val="0000FF"/>
                <w:sz w:val="24"/>
                <w:szCs w:val="24"/>
                <w:u w:val="single"/>
                <w:lang w:val="en-US" w:eastAsia="en-US" w:bidi="ar-SA"/>
              </w:rPr>
            </w:pPr>
            <w:r w:rsidRPr="00281D4C">
              <w:rPr>
                <w:rFonts w:ascii="Times New Roman" w:eastAsia="Calibri" w:hAnsi="Times New Roman" w:cs="Times New Roman"/>
                <w:color w:val="0000FF"/>
                <w:sz w:val="24"/>
                <w:szCs w:val="24"/>
                <w:u w:val="single"/>
                <w:lang w:val="en-US" w:eastAsia="en-US" w:bidi="ar-SA"/>
              </w:rPr>
              <w:t>Rocco.dascenzo@duke-energy.com</w:t>
            </w:r>
          </w:p>
          <w:p w:rsidR="002D39EF" w:rsidRPr="00281D4C" w:rsidP="002D39EF">
            <w:pPr>
              <w:spacing w:after="0" w:line="240" w:lineRule="auto"/>
              <w:ind w:right="1273"/>
              <w:rPr>
                <w:rStyle w:val="DefaultParagraphFont"/>
                <w:rFonts w:ascii="Times New Roman" w:eastAsia="Calibri" w:hAnsi="Times New Roman" w:cs="Times New Roman"/>
                <w:color w:val="0000FF"/>
                <w:sz w:val="24"/>
                <w:szCs w:val="24"/>
                <w:u w:val="single"/>
                <w:lang w:val="en-US" w:eastAsia="en-US" w:bidi="ar-SA"/>
              </w:rPr>
            </w:pPr>
            <w:r w:rsidRPr="00281D4C">
              <w:rPr>
                <w:rFonts w:ascii="Times New Roman" w:eastAsia="Calibri" w:hAnsi="Times New Roman" w:cs="Times New Roman"/>
                <w:color w:val="0000FF"/>
                <w:sz w:val="24"/>
                <w:szCs w:val="24"/>
                <w:u w:val="single"/>
                <w:lang w:val="en-US" w:eastAsia="en-US" w:bidi="ar-SA"/>
              </w:rPr>
              <w:t>Elizabeth.watts@duke-energy.com</w:t>
            </w:r>
          </w:p>
          <w:p w:rsidR="002D39EF" w:rsidRPr="00281D4C" w:rsidP="002D39EF">
            <w:pPr>
              <w:spacing w:after="0" w:line="240" w:lineRule="auto"/>
              <w:ind w:right="1273"/>
              <w:rPr>
                <w:rStyle w:val="DefaultParagraphFont"/>
                <w:rFonts w:ascii="Times New Roman" w:eastAsia="Calibri" w:hAnsi="Times New Roman" w:cs="Times New Roman"/>
                <w:sz w:val="24"/>
                <w:szCs w:val="24"/>
                <w:lang w:val="en-US" w:eastAsia="en-US" w:bidi="ar-SA"/>
              </w:rPr>
            </w:pPr>
            <w:r w:rsidRPr="00281D4C">
              <w:rPr>
                <w:rFonts w:ascii="Times New Roman" w:eastAsia="Calibri" w:hAnsi="Times New Roman" w:cs="Times New Roman"/>
                <w:color w:val="0000FF"/>
                <w:sz w:val="24"/>
                <w:szCs w:val="24"/>
                <w:u w:val="single"/>
                <w:lang w:val="en-US" w:eastAsia="en-US" w:bidi="ar-SA"/>
              </w:rPr>
              <w:t>BarthRoyer@aol.com</w:t>
            </w:r>
          </w:p>
          <w:p w:rsidR="002D39EF" w:rsidRPr="00281D4C" w:rsidP="002D39EF">
            <w:pPr>
              <w:spacing w:after="0" w:line="240" w:lineRule="auto"/>
              <w:ind w:right="1273"/>
              <w:rPr>
                <w:rStyle w:val="DefaultParagraphFont"/>
                <w:rFonts w:ascii="Times New Roman" w:eastAsia="Calibri" w:hAnsi="Times New Roman" w:cs="Times New Roman"/>
                <w:sz w:val="24"/>
                <w:szCs w:val="24"/>
                <w:lang w:val="en-US" w:eastAsia="en-US" w:bidi="ar-SA"/>
              </w:rPr>
            </w:pPr>
            <w:r w:rsidRPr="00281D4C">
              <w:rPr>
                <w:rFonts w:ascii="Times New Roman" w:eastAsia="Calibri" w:hAnsi="Times New Roman" w:cs="Times New Roman"/>
                <w:color w:val="0000FF"/>
                <w:sz w:val="24"/>
                <w:szCs w:val="24"/>
                <w:u w:val="single"/>
                <w:lang w:val="en-US" w:eastAsia="en-US" w:bidi="ar-SA"/>
              </w:rPr>
              <w:t>dboehm@BKLlawfirm.com</w:t>
            </w:r>
          </w:p>
          <w:p w:rsidR="002D39EF" w:rsidRPr="00281D4C" w:rsidP="002D39EF">
            <w:pPr>
              <w:spacing w:after="0" w:line="240" w:lineRule="auto"/>
              <w:ind w:right="1273"/>
              <w:rPr>
                <w:rStyle w:val="DefaultParagraphFont"/>
                <w:rFonts w:ascii="Times New Roman" w:eastAsia="Calibri" w:hAnsi="Times New Roman" w:cs="Times New Roman"/>
                <w:sz w:val="24"/>
                <w:szCs w:val="24"/>
                <w:lang w:val="en-US" w:eastAsia="en-US" w:bidi="ar-SA"/>
              </w:rPr>
            </w:pPr>
            <w:r w:rsidRPr="00281D4C">
              <w:rPr>
                <w:rFonts w:ascii="Times New Roman" w:eastAsia="Calibri" w:hAnsi="Times New Roman" w:cs="Times New Roman"/>
                <w:color w:val="0000FF"/>
                <w:sz w:val="24"/>
                <w:szCs w:val="24"/>
                <w:u w:val="single"/>
                <w:lang w:val="en-US" w:eastAsia="en-US" w:bidi="ar-SA"/>
              </w:rPr>
              <w:t>mkurtz@BKLlawfirm.com</w:t>
            </w:r>
          </w:p>
          <w:p w:rsidR="002D39EF" w:rsidRPr="00281D4C" w:rsidP="002D39EF">
            <w:pPr>
              <w:spacing w:after="0" w:line="240" w:lineRule="auto"/>
              <w:ind w:right="1273"/>
              <w:rPr>
                <w:rStyle w:val="DefaultParagraphFont"/>
                <w:rFonts w:ascii="Times New Roman" w:eastAsia="Calibri" w:hAnsi="Times New Roman" w:cs="Times New Roman"/>
                <w:sz w:val="24"/>
                <w:szCs w:val="24"/>
                <w:lang w:val="en-US" w:eastAsia="en-US" w:bidi="ar-SA"/>
              </w:rPr>
            </w:pPr>
            <w:r w:rsidRPr="00281D4C">
              <w:rPr>
                <w:rFonts w:ascii="Times New Roman" w:eastAsia="Calibri" w:hAnsi="Times New Roman" w:cs="Times New Roman"/>
                <w:color w:val="0000FF"/>
                <w:sz w:val="24"/>
                <w:szCs w:val="24"/>
                <w:u w:val="single"/>
                <w:lang w:val="en-US" w:eastAsia="en-US" w:bidi="ar-SA"/>
              </w:rPr>
              <w:t>jkylercohn@BKLlawfirm.com</w:t>
            </w:r>
          </w:p>
          <w:p w:rsidR="002D39EF" w:rsidRPr="00281D4C" w:rsidP="002D39EF">
            <w:pPr>
              <w:spacing w:after="0" w:line="240" w:lineRule="auto"/>
              <w:ind w:right="1273"/>
              <w:rPr>
                <w:rStyle w:val="DefaultParagraphFont"/>
                <w:rFonts w:ascii="Times New Roman" w:eastAsia="Calibri" w:hAnsi="Times New Roman" w:cs="Times New Roman"/>
                <w:sz w:val="24"/>
                <w:szCs w:val="24"/>
                <w:lang w:val="en-US" w:eastAsia="en-US" w:bidi="ar-SA"/>
              </w:rPr>
            </w:pPr>
            <w:r w:rsidRPr="00281D4C">
              <w:rPr>
                <w:rFonts w:ascii="Times New Roman" w:eastAsia="Calibri" w:hAnsi="Times New Roman" w:cs="Times New Roman"/>
                <w:color w:val="0000FF"/>
                <w:sz w:val="24"/>
                <w:szCs w:val="24"/>
                <w:u w:val="single"/>
                <w:lang w:val="en-US" w:eastAsia="en-US" w:bidi="ar-SA"/>
              </w:rPr>
              <w:t>zkravitz@taftlaw.com</w:t>
            </w:r>
          </w:p>
          <w:p w:rsidR="002D39EF" w:rsidRPr="00281D4C" w:rsidP="002D39EF">
            <w:pPr>
              <w:spacing w:after="0" w:line="240" w:lineRule="auto"/>
              <w:ind w:right="1273"/>
              <w:rPr>
                <w:rStyle w:val="DefaultParagraphFont"/>
                <w:rFonts w:ascii="Times New Roman" w:eastAsia="Calibri" w:hAnsi="Times New Roman" w:cs="Times New Roman"/>
                <w:color w:val="0000FF"/>
                <w:sz w:val="24"/>
                <w:szCs w:val="24"/>
                <w:u w:val="single"/>
                <w:lang w:val="en-US" w:eastAsia="en-US" w:bidi="ar-SA"/>
              </w:rPr>
            </w:pPr>
            <w:r w:rsidRPr="00281D4C">
              <w:rPr>
                <w:rFonts w:ascii="Times New Roman" w:eastAsia="Calibri" w:hAnsi="Times New Roman" w:cs="Times New Roman"/>
                <w:color w:val="0000FF"/>
                <w:sz w:val="24"/>
                <w:szCs w:val="24"/>
                <w:u w:val="single"/>
                <w:lang w:val="en-US" w:eastAsia="en-US" w:bidi="ar-SA"/>
              </w:rPr>
              <w:t>tdougherty@theOEC.org</w:t>
            </w:r>
          </w:p>
          <w:p w:rsidR="002D39EF" w:rsidRPr="00281D4C" w:rsidP="002D39EF">
            <w:pPr>
              <w:spacing w:after="0" w:line="240" w:lineRule="auto"/>
              <w:ind w:right="1273"/>
              <w:rPr>
                <w:rStyle w:val="DefaultParagraphFont"/>
                <w:rFonts w:ascii="Times New Roman" w:eastAsia="Calibri" w:hAnsi="Times New Roman" w:cs="Times New Roman"/>
                <w:color w:val="0000FF"/>
                <w:sz w:val="24"/>
                <w:szCs w:val="24"/>
                <w:u w:val="single"/>
                <w:lang w:val="en-US" w:eastAsia="en-US" w:bidi="ar-SA"/>
              </w:rPr>
            </w:pPr>
            <w:r w:rsidRPr="00281D4C">
              <w:rPr>
                <w:rFonts w:ascii="Times New Roman" w:eastAsia="Calibri" w:hAnsi="Times New Roman" w:cs="Times New Roman"/>
                <w:color w:val="0000FF"/>
                <w:sz w:val="24"/>
                <w:szCs w:val="24"/>
                <w:u w:val="single"/>
                <w:lang w:val="en-US" w:eastAsia="en-US" w:bidi="ar-SA"/>
              </w:rPr>
              <w:t>msmalz@ohiopovertylaw.org</w:t>
            </w:r>
          </w:p>
          <w:p w:rsidR="002D39EF" w:rsidRPr="00281D4C" w:rsidP="002D39EF">
            <w:pPr>
              <w:spacing w:after="0" w:line="240" w:lineRule="auto"/>
              <w:ind w:right="1273"/>
              <w:rPr>
                <w:rStyle w:val="DefaultParagraphFont"/>
                <w:rFonts w:ascii="Times New Roman" w:eastAsia="Times New Roman" w:hAnsi="Times New Roman" w:cs="Times New Roman"/>
                <w:sz w:val="24"/>
                <w:szCs w:val="24"/>
                <w:lang w:val="en-US" w:eastAsia="en-US" w:bidi="ar-SA"/>
              </w:rPr>
            </w:pPr>
            <w:r w:rsidRPr="00281D4C">
              <w:rPr>
                <w:rFonts w:ascii="Times New Roman" w:eastAsia="Calibri" w:hAnsi="Times New Roman" w:cs="Times New Roman"/>
                <w:color w:val="0000FF"/>
                <w:sz w:val="24"/>
                <w:szCs w:val="24"/>
                <w:u w:val="single"/>
                <w:lang w:val="en-US" w:eastAsia="en-US" w:bidi="ar-SA"/>
              </w:rPr>
              <w:t>glpetrucci@vorys.com</w:t>
            </w:r>
          </w:p>
          <w:p w:rsidR="002D39EF" w:rsidRPr="00281D4C" w:rsidP="002D39EF">
            <w:pPr>
              <w:spacing w:after="0" w:line="240" w:lineRule="auto"/>
              <w:ind w:right="1273"/>
              <w:rPr>
                <w:rStyle w:val="DefaultParagraphFont"/>
                <w:rFonts w:ascii="Times New Roman" w:eastAsia="Calibri" w:hAnsi="Times New Roman" w:cs="Times New Roman"/>
                <w:color w:val="0000FF"/>
                <w:sz w:val="24"/>
                <w:szCs w:val="24"/>
                <w:lang w:val="en-US" w:eastAsia="en-US" w:bidi="ar-SA"/>
              </w:rPr>
            </w:pPr>
            <w:r w:rsidRPr="00281D4C">
              <w:rPr>
                <w:rFonts w:ascii="Times New Roman" w:eastAsia="Calibri" w:hAnsi="Times New Roman" w:cs="Times New Roman"/>
                <w:color w:val="0000FF"/>
                <w:sz w:val="24"/>
                <w:szCs w:val="24"/>
                <w:u w:val="single"/>
                <w:lang w:val="en-US" w:eastAsia="en-US" w:bidi="ar-SA"/>
              </w:rPr>
              <w:t>Stephanie.Chmiel@ThompsonHine.com</w:t>
            </w:r>
          </w:p>
          <w:p w:rsidR="002D39EF" w:rsidRPr="00281D4C" w:rsidP="002D39EF">
            <w:pPr>
              <w:spacing w:after="0" w:line="240" w:lineRule="auto"/>
              <w:ind w:right="1273"/>
              <w:rPr>
                <w:rStyle w:val="DefaultParagraphFont"/>
                <w:rFonts w:ascii="Times New Roman" w:eastAsia="Calibri" w:hAnsi="Times New Roman" w:cs="Times New Roman"/>
                <w:color w:val="0000FF"/>
                <w:sz w:val="24"/>
                <w:szCs w:val="24"/>
                <w:u w:val="single"/>
                <w:lang w:val="en-US" w:eastAsia="en-US" w:bidi="ar-SA"/>
              </w:rPr>
            </w:pPr>
            <w:r w:rsidRPr="00281D4C">
              <w:rPr>
                <w:rFonts w:ascii="Times New Roman" w:eastAsia="Calibri" w:hAnsi="Times New Roman" w:cs="Times New Roman"/>
                <w:color w:val="0000FF"/>
                <w:sz w:val="24"/>
                <w:szCs w:val="24"/>
                <w:u w:val="single"/>
                <w:lang w:val="en-US" w:eastAsia="en-US" w:bidi="ar-SA"/>
              </w:rPr>
              <w:t>swilliams@nrdc.org</w:t>
            </w:r>
          </w:p>
          <w:p w:rsidR="002D39EF" w:rsidRPr="00281D4C" w:rsidP="002D39EF">
            <w:pPr>
              <w:spacing w:after="0" w:line="240" w:lineRule="auto"/>
              <w:ind w:right="1273"/>
              <w:rPr>
                <w:rStyle w:val="DefaultParagraphFont"/>
                <w:rFonts w:ascii="Times New Roman" w:eastAsia="Calibri" w:hAnsi="Times New Roman" w:cs="Times New Roman"/>
                <w:color w:val="0000FF"/>
                <w:sz w:val="24"/>
                <w:szCs w:val="24"/>
                <w:u w:val="single"/>
                <w:lang w:val="en-US" w:eastAsia="en-US" w:bidi="ar-SA"/>
              </w:rPr>
            </w:pPr>
            <w:r w:rsidRPr="00281D4C">
              <w:rPr>
                <w:rFonts w:ascii="Times New Roman" w:eastAsia="Calibri" w:hAnsi="Times New Roman" w:cs="Times New Roman"/>
                <w:color w:val="0000FF"/>
                <w:sz w:val="24"/>
                <w:szCs w:val="24"/>
                <w:u w:val="single"/>
                <w:lang w:val="en-US" w:eastAsia="en-US" w:bidi="ar-SA"/>
              </w:rPr>
              <w:t>tsiwo@bricker.com</w:t>
            </w:r>
          </w:p>
          <w:p w:rsidR="002D39EF" w:rsidRPr="00281D4C" w:rsidP="002D39EF">
            <w:pPr>
              <w:spacing w:after="0" w:line="240" w:lineRule="auto"/>
              <w:ind w:right="1273"/>
              <w:rPr>
                <w:rStyle w:val="DefaultParagraphFont"/>
                <w:rFonts w:ascii="Times New Roman" w:eastAsia="Calibri" w:hAnsi="Times New Roman" w:cs="Times New Roman"/>
                <w:bCs/>
                <w:color w:val="0000FF"/>
                <w:sz w:val="24"/>
                <w:szCs w:val="24"/>
                <w:u w:val="single"/>
                <w:lang w:val="en-US" w:eastAsia="en-US" w:bidi="ar-SA"/>
              </w:rPr>
            </w:pPr>
            <w:r w:rsidRPr="00281D4C">
              <w:rPr>
                <w:rFonts w:ascii="Times New Roman" w:eastAsia="Calibri" w:hAnsi="Times New Roman" w:cs="Times New Roman"/>
                <w:bCs/>
                <w:color w:val="0000FF"/>
                <w:sz w:val="24"/>
                <w:szCs w:val="24"/>
                <w:u w:val="single"/>
                <w:lang w:val="en-US" w:eastAsia="en-US" w:bidi="ar-SA"/>
              </w:rPr>
              <w:t>Schmidt@sppgrp.com</w:t>
            </w:r>
          </w:p>
          <w:p w:rsidR="002D39EF" w:rsidRPr="00281D4C" w:rsidP="002D39EF">
            <w:pPr>
              <w:spacing w:after="0" w:line="240" w:lineRule="auto"/>
              <w:ind w:right="1273"/>
              <w:rPr>
                <w:rStyle w:val="DefaultParagraphFont"/>
                <w:rFonts w:ascii="Times New Roman" w:eastAsia="Calibri" w:hAnsi="Times New Roman" w:cs="Times New Roman"/>
                <w:bCs/>
                <w:color w:val="0000FF"/>
                <w:sz w:val="24"/>
                <w:szCs w:val="24"/>
                <w:u w:val="single"/>
                <w:lang w:val="en-US" w:eastAsia="en-US" w:bidi="ar-SA"/>
              </w:rPr>
            </w:pPr>
            <w:r>
              <w:fldChar w:fldCharType="begin"/>
            </w:r>
            <w:r>
              <w:rPr>
                <w:rFonts w:ascii="Times New Roman" w:eastAsia="Times New Roman" w:hAnsi="Times New Roman" w:cs="Times New Roman"/>
                <w:sz w:val="20"/>
                <w:szCs w:val="20"/>
                <w:lang w:val="en-US" w:eastAsia="en-US" w:bidi="ar-SA"/>
              </w:rPr>
              <w:instrText xml:space="preserve"> HYPERLINK "mailto:gpoulos@enernoc.com" </w:instrText>
            </w:r>
            <w:r>
              <w:fldChar w:fldCharType="separate"/>
            </w:r>
            <w:r w:rsidRPr="00281D4C" w:rsidR="00684A14">
              <w:rPr>
                <w:rStyle w:val="Hyperlink"/>
                <w:rFonts w:ascii="Times New Roman" w:eastAsia="Calibri" w:hAnsi="Times New Roman" w:cs="Times New Roman"/>
                <w:bCs/>
                <w:color w:val="0000FF" w:themeColor="hyperlink"/>
                <w:sz w:val="24"/>
                <w:szCs w:val="24"/>
                <w:u w:val="single"/>
                <w:lang w:val="en-US" w:eastAsia="en-US" w:bidi="ar-SA"/>
              </w:rPr>
              <w:t>gpoulos@enernoc.com</w:t>
            </w:r>
            <w:r>
              <w:fldChar w:fldCharType="end"/>
            </w:r>
          </w:p>
          <w:p w:rsidR="0001613F" w:rsidRPr="00281D4C" w:rsidP="002D39EF">
            <w:pPr>
              <w:spacing w:after="0" w:line="240" w:lineRule="auto"/>
              <w:ind w:right="1273"/>
              <w:rPr>
                <w:rStyle w:val="DefaultParagraphFont"/>
                <w:rFonts w:ascii="Times New Roman" w:eastAsia="Calibri" w:hAnsi="Times New Roman" w:cs="Times New Roman"/>
                <w:bCs/>
                <w:color w:val="0000FF"/>
                <w:sz w:val="24"/>
                <w:szCs w:val="24"/>
                <w:u w:val="single"/>
                <w:lang w:val="en-US" w:eastAsia="en-US" w:bidi="ar-SA"/>
              </w:rPr>
            </w:pPr>
            <w:r>
              <w:fldChar w:fldCharType="begin"/>
            </w:r>
            <w:r>
              <w:rPr>
                <w:rFonts w:ascii="Times New Roman" w:eastAsia="Times New Roman" w:hAnsi="Times New Roman" w:cs="Times New Roman"/>
                <w:sz w:val="20"/>
                <w:szCs w:val="20"/>
                <w:lang w:val="en-US" w:eastAsia="en-US" w:bidi="ar-SA"/>
              </w:rPr>
              <w:instrText xml:space="preserve"> HYPERLINK "mailto:Cynthia.brady@exeloncorp.com" </w:instrText>
            </w:r>
            <w:r>
              <w:fldChar w:fldCharType="separate"/>
            </w:r>
            <w:r w:rsidRPr="00281D4C" w:rsidR="00684A14">
              <w:rPr>
                <w:rStyle w:val="Hyperlink"/>
                <w:rFonts w:ascii="Times New Roman" w:eastAsia="Calibri" w:hAnsi="Times New Roman" w:cs="Times New Roman"/>
                <w:bCs/>
                <w:color w:val="0000FF" w:themeColor="hyperlink"/>
                <w:sz w:val="24"/>
                <w:szCs w:val="24"/>
                <w:u w:val="single"/>
                <w:lang w:val="en-US" w:eastAsia="en-US" w:bidi="ar-SA"/>
              </w:rPr>
              <w:t>Cynthia.brady@exeloncorp.com</w:t>
            </w:r>
            <w:r>
              <w:fldChar w:fldCharType="end"/>
            </w:r>
          </w:p>
          <w:p w:rsidR="0001613F" w:rsidRPr="00281D4C" w:rsidP="002D39EF">
            <w:pPr>
              <w:spacing w:after="0" w:line="240" w:lineRule="auto"/>
              <w:ind w:right="1273"/>
              <w:rPr>
                <w:rStyle w:val="DefaultParagraphFont"/>
                <w:rFonts w:ascii="Times New Roman" w:eastAsia="Calibri" w:hAnsi="Times New Roman" w:cs="Times New Roman"/>
                <w:bCs/>
                <w:color w:val="0000FF"/>
                <w:sz w:val="24"/>
                <w:szCs w:val="24"/>
                <w:u w:val="single"/>
                <w:lang w:val="en-US" w:eastAsia="en-US" w:bidi="ar-SA"/>
              </w:rPr>
            </w:pPr>
            <w:r>
              <w:fldChar w:fldCharType="begin"/>
            </w:r>
            <w:r>
              <w:rPr>
                <w:rFonts w:ascii="Times New Roman" w:eastAsia="Times New Roman" w:hAnsi="Times New Roman" w:cs="Times New Roman"/>
                <w:sz w:val="20"/>
                <w:szCs w:val="20"/>
                <w:lang w:val="en-US" w:eastAsia="en-US" w:bidi="ar-SA"/>
              </w:rPr>
              <w:instrText xml:space="preserve"> HYPERLINK "mailto:paul@carpenterlipps.com" </w:instrText>
            </w:r>
            <w:r>
              <w:fldChar w:fldCharType="separate"/>
            </w:r>
            <w:r w:rsidRPr="00281D4C" w:rsidR="00684A14">
              <w:rPr>
                <w:rStyle w:val="Hyperlink"/>
                <w:rFonts w:ascii="Times New Roman" w:eastAsia="Calibri" w:hAnsi="Times New Roman" w:cs="Times New Roman"/>
                <w:bCs/>
                <w:color w:val="0000FF" w:themeColor="hyperlink"/>
                <w:sz w:val="24"/>
                <w:szCs w:val="24"/>
                <w:u w:val="single"/>
                <w:lang w:val="en-US" w:eastAsia="en-US" w:bidi="ar-SA"/>
              </w:rPr>
              <w:t>paul@carpenterlipps.com</w:t>
            </w:r>
            <w:r>
              <w:fldChar w:fldCharType="end"/>
            </w:r>
          </w:p>
          <w:p w:rsidR="0001613F" w:rsidRPr="00281D4C" w:rsidP="002D39EF">
            <w:pPr>
              <w:spacing w:after="0" w:line="240" w:lineRule="auto"/>
              <w:ind w:right="1273"/>
              <w:rPr>
                <w:rStyle w:val="DefaultParagraphFont"/>
                <w:rFonts w:ascii="Times New Roman" w:hAnsi="Times New Roman" w:eastAsiaTheme="minorHAnsi" w:cs="Times New Roman"/>
                <w:sz w:val="24"/>
                <w:szCs w:val="24"/>
                <w:lang w:val="en-US" w:eastAsia="en-US" w:bidi="ar-SA"/>
              </w:rPr>
            </w:pPr>
            <w:r>
              <w:fldChar w:fldCharType="begin"/>
            </w:r>
            <w:r>
              <w:rPr>
                <w:rFonts w:ascii="Times New Roman" w:eastAsia="Times New Roman" w:hAnsi="Times New Roman" w:cs="Times New Roman"/>
                <w:sz w:val="20"/>
                <w:szCs w:val="20"/>
                <w:lang w:val="en-US" w:eastAsia="en-US" w:bidi="ar-SA"/>
              </w:rPr>
              <w:instrText xml:space="preserve"> HYPERLINK "mailto:casey.roberts@sierraclub.org" </w:instrText>
            </w:r>
            <w:r>
              <w:fldChar w:fldCharType="separate"/>
            </w:r>
            <w:r w:rsidRPr="00281D4C" w:rsidR="00684A14">
              <w:rPr>
                <w:rStyle w:val="Hyperlink"/>
                <w:rFonts w:ascii="Times New Roman" w:hAnsi="Times New Roman" w:eastAsiaTheme="minorHAnsi" w:cs="Times New Roman"/>
                <w:color w:val="0000FF" w:themeColor="hyperlink"/>
                <w:sz w:val="24"/>
                <w:szCs w:val="24"/>
                <w:u w:val="single"/>
                <w:lang w:val="en-US" w:eastAsia="en-US" w:bidi="ar-SA"/>
              </w:rPr>
              <w:t>casey.roberts@sierraclub.org</w:t>
            </w:r>
            <w:r>
              <w:fldChar w:fldCharType="end"/>
            </w:r>
          </w:p>
          <w:p w:rsidR="0001613F" w:rsidRPr="00281D4C" w:rsidP="002D39EF">
            <w:pPr>
              <w:spacing w:after="0" w:line="240" w:lineRule="auto"/>
              <w:ind w:right="1273"/>
              <w:rPr>
                <w:rStyle w:val="DefaultParagraphFont"/>
                <w:rFonts w:ascii="Times New Roman" w:hAnsi="Times New Roman" w:eastAsiaTheme="minorHAnsi" w:cs="Times New Roman"/>
                <w:sz w:val="24"/>
                <w:szCs w:val="24"/>
                <w:lang w:val="en-US" w:eastAsia="en-US" w:bidi="ar-SA"/>
              </w:rPr>
            </w:pPr>
            <w:r>
              <w:fldChar w:fldCharType="begin"/>
            </w:r>
            <w:r>
              <w:rPr>
                <w:rFonts w:ascii="Times New Roman" w:eastAsia="Times New Roman" w:hAnsi="Times New Roman" w:cs="Times New Roman"/>
                <w:sz w:val="20"/>
                <w:szCs w:val="20"/>
                <w:lang w:val="en-US" w:eastAsia="en-US" w:bidi="ar-SA"/>
              </w:rPr>
              <w:instrText xml:space="preserve"> HYPERLINK "mailto:rdove@attorneydove.com" </w:instrText>
            </w:r>
            <w:r>
              <w:fldChar w:fldCharType="separate"/>
            </w:r>
            <w:r w:rsidRPr="00281D4C" w:rsidR="00684A14">
              <w:rPr>
                <w:rStyle w:val="Hyperlink"/>
                <w:rFonts w:ascii="Times New Roman" w:hAnsi="Times New Roman" w:eastAsiaTheme="minorHAnsi" w:cs="Times New Roman"/>
                <w:color w:val="0000FF" w:themeColor="hyperlink"/>
                <w:sz w:val="24"/>
                <w:szCs w:val="24"/>
                <w:u w:val="single"/>
                <w:lang w:val="en-US" w:eastAsia="en-US" w:bidi="ar-SA"/>
              </w:rPr>
              <w:t>rdove@attorneydove.com</w:t>
            </w:r>
            <w:r>
              <w:fldChar w:fldCharType="end"/>
            </w:r>
          </w:p>
          <w:p w:rsidR="002D39EF" w:rsidRPr="00281D4C" w:rsidP="008D7F23">
            <w:pPr>
              <w:spacing w:after="0" w:line="240" w:lineRule="auto"/>
              <w:ind w:right="1273"/>
              <w:rPr>
                <w:rStyle w:val="DefaultParagraphFont"/>
                <w:rFonts w:ascii="Times New Roman" w:eastAsia="Times New Roman" w:hAnsi="Times New Roman" w:cs="Times New Roman"/>
                <w:b/>
                <w:sz w:val="24"/>
                <w:szCs w:val="24"/>
                <w:u w:val="single"/>
                <w:lang w:val="en-US" w:eastAsia="en-US" w:bidi="ar-SA"/>
              </w:rPr>
            </w:pPr>
            <w:r w:rsidRPr="00281D4C">
              <w:rPr>
                <w:rFonts w:ascii="Times New Roman" w:eastAsia="Calibri" w:hAnsi="Times New Roman" w:cs="Times New Roman"/>
                <w:bCs/>
                <w:color w:val="0000FF"/>
                <w:sz w:val="24"/>
                <w:szCs w:val="24"/>
                <w:u w:val="single"/>
                <w:lang w:val="en-US" w:eastAsia="en-US" w:bidi="ar-SA"/>
              </w:rPr>
              <w:t>werner.margard@ohioattorneygeneral.gov</w:t>
            </w:r>
          </w:p>
        </w:tc>
        <w:tc>
          <w:tcPr>
            <w:tcW w:w="4320" w:type="dxa"/>
            <w:gridSpan w:val="2"/>
            <w:shd w:val="clear" w:color="auto" w:fill="auto"/>
          </w:tcPr>
          <w:p w:rsidR="002D39EF" w:rsidRPr="00281D4C" w:rsidP="002D39EF">
            <w:pPr>
              <w:spacing w:after="0" w:line="240" w:lineRule="auto"/>
              <w:rPr>
                <w:rStyle w:val="DefaultParagraphFont"/>
                <w:rFonts w:ascii="Times New Roman" w:eastAsia="Calibri" w:hAnsi="Times New Roman" w:cs="Times New Roman"/>
                <w:sz w:val="24"/>
                <w:szCs w:val="24"/>
                <w:lang w:val="en-US" w:eastAsia="en-US" w:bidi="ar-SA"/>
              </w:rPr>
            </w:pPr>
            <w:r w:rsidRPr="00281D4C">
              <w:rPr>
                <w:rFonts w:ascii="Times New Roman" w:eastAsia="Calibri" w:hAnsi="Times New Roman" w:cs="Times New Roman"/>
                <w:color w:val="0000FF"/>
                <w:sz w:val="24"/>
                <w:szCs w:val="24"/>
                <w:u w:val="single"/>
                <w:lang w:val="en-US" w:eastAsia="en-US" w:bidi="ar-SA"/>
              </w:rPr>
              <w:t>stnourse@aep.com</w:t>
            </w:r>
          </w:p>
          <w:p w:rsidR="002D39EF" w:rsidRPr="00281D4C" w:rsidP="002D39EF">
            <w:pPr>
              <w:spacing w:after="0" w:line="240" w:lineRule="auto"/>
              <w:rPr>
                <w:rStyle w:val="DefaultParagraphFont"/>
                <w:rFonts w:ascii="Times New Roman" w:eastAsia="Calibri" w:hAnsi="Times New Roman" w:cs="Times New Roman"/>
                <w:sz w:val="24"/>
                <w:szCs w:val="24"/>
                <w:lang w:val="en-US" w:eastAsia="en-US" w:bidi="ar-SA"/>
              </w:rPr>
            </w:pPr>
            <w:r w:rsidRPr="00281D4C">
              <w:rPr>
                <w:rFonts w:ascii="Times New Roman" w:eastAsia="Calibri" w:hAnsi="Times New Roman" w:cs="Times New Roman"/>
                <w:color w:val="0000FF"/>
                <w:sz w:val="24"/>
                <w:szCs w:val="24"/>
                <w:u w:val="single"/>
                <w:lang w:val="en-US" w:eastAsia="en-US" w:bidi="ar-SA"/>
              </w:rPr>
              <w:t>mjsatterwhite@aep.com</w:t>
            </w:r>
          </w:p>
          <w:p w:rsidR="002D39EF" w:rsidRPr="00281D4C" w:rsidP="002D39EF">
            <w:pPr>
              <w:spacing w:after="0" w:line="240" w:lineRule="auto"/>
              <w:rPr>
                <w:rStyle w:val="DefaultParagraphFont"/>
                <w:rFonts w:ascii="Times New Roman" w:eastAsia="Calibri" w:hAnsi="Times New Roman" w:cs="Times New Roman"/>
                <w:sz w:val="24"/>
                <w:szCs w:val="24"/>
                <w:lang w:val="en-US" w:eastAsia="en-US" w:bidi="ar-SA"/>
              </w:rPr>
            </w:pPr>
            <w:r w:rsidRPr="00281D4C">
              <w:rPr>
                <w:rFonts w:ascii="Times New Roman" w:eastAsia="Calibri" w:hAnsi="Times New Roman" w:cs="Times New Roman"/>
                <w:color w:val="0000FF"/>
                <w:sz w:val="24"/>
                <w:szCs w:val="24"/>
                <w:u w:val="single"/>
                <w:lang w:val="en-US" w:eastAsia="en-US" w:bidi="ar-SA"/>
              </w:rPr>
              <w:t>dconway@porterwright.com</w:t>
            </w:r>
          </w:p>
          <w:p w:rsidR="002D39EF" w:rsidRPr="00281D4C" w:rsidP="002D39EF">
            <w:pPr>
              <w:spacing w:after="0" w:line="240" w:lineRule="auto"/>
              <w:rPr>
                <w:rStyle w:val="DefaultParagraphFont"/>
                <w:rFonts w:ascii="Times New Roman" w:eastAsia="Calibri" w:hAnsi="Times New Roman" w:cs="Times New Roman"/>
                <w:sz w:val="24"/>
                <w:szCs w:val="24"/>
                <w:lang w:val="en-US" w:eastAsia="en-US" w:bidi="ar-SA"/>
              </w:rPr>
            </w:pPr>
            <w:r w:rsidRPr="00281D4C">
              <w:rPr>
                <w:rFonts w:ascii="Times New Roman" w:eastAsia="Calibri" w:hAnsi="Times New Roman" w:cs="Times New Roman"/>
                <w:color w:val="0000FF"/>
                <w:sz w:val="24"/>
                <w:szCs w:val="24"/>
                <w:u w:val="single"/>
                <w:lang w:val="en-US" w:eastAsia="en-US" w:bidi="ar-SA"/>
              </w:rPr>
              <w:t>Bojko@carpenterlipps.com</w:t>
            </w:r>
          </w:p>
          <w:p w:rsidR="002D39EF" w:rsidRPr="00281D4C" w:rsidP="002D39EF">
            <w:pPr>
              <w:spacing w:after="0" w:line="240" w:lineRule="auto"/>
              <w:rPr>
                <w:rStyle w:val="DefaultParagraphFont"/>
                <w:rFonts w:ascii="Times New Roman" w:eastAsia="Calibri" w:hAnsi="Times New Roman" w:cs="Times New Roman"/>
                <w:color w:val="0000FF"/>
                <w:sz w:val="24"/>
                <w:szCs w:val="24"/>
                <w:u w:val="single"/>
                <w:lang w:val="en-US" w:eastAsia="en-US" w:bidi="ar-SA"/>
              </w:rPr>
            </w:pPr>
            <w:r w:rsidRPr="00281D4C">
              <w:rPr>
                <w:rFonts w:ascii="Times New Roman" w:eastAsia="Calibri" w:hAnsi="Times New Roman" w:cs="Times New Roman"/>
                <w:color w:val="0000FF"/>
                <w:sz w:val="24"/>
                <w:szCs w:val="24"/>
                <w:u w:val="single"/>
                <w:lang w:val="en-US" w:eastAsia="en-US" w:bidi="ar-SA"/>
              </w:rPr>
              <w:t>Mohler@carpenterlipps.com</w:t>
            </w:r>
          </w:p>
          <w:p w:rsidR="002D39EF" w:rsidRPr="00281D4C" w:rsidP="002D39EF">
            <w:pPr>
              <w:spacing w:after="0" w:line="240" w:lineRule="auto"/>
              <w:rPr>
                <w:rStyle w:val="DefaultParagraphFont"/>
                <w:rFonts w:ascii="Times New Roman" w:eastAsia="Calibri" w:hAnsi="Times New Roman" w:cs="Times New Roman"/>
                <w:color w:val="0000FF"/>
                <w:sz w:val="24"/>
                <w:szCs w:val="24"/>
                <w:u w:val="single"/>
                <w:lang w:val="en-US" w:eastAsia="en-US" w:bidi="ar-SA"/>
              </w:rPr>
            </w:pPr>
            <w:r w:rsidRPr="00281D4C">
              <w:rPr>
                <w:rFonts w:ascii="Times New Roman" w:eastAsia="Calibri" w:hAnsi="Times New Roman" w:cs="Times New Roman"/>
                <w:color w:val="0000FF"/>
                <w:sz w:val="24"/>
                <w:szCs w:val="24"/>
                <w:u w:val="single"/>
                <w:lang w:val="en-US" w:eastAsia="en-US" w:bidi="ar-SA"/>
              </w:rPr>
              <w:t>Ghiloni@carpenterlipps.com</w:t>
            </w:r>
          </w:p>
          <w:p w:rsidR="002D39EF" w:rsidRPr="00281D4C" w:rsidP="002D39EF">
            <w:pPr>
              <w:spacing w:after="0" w:line="240" w:lineRule="auto"/>
              <w:rPr>
                <w:rStyle w:val="DefaultParagraphFont"/>
                <w:rFonts w:ascii="Times New Roman" w:eastAsia="Calibri" w:hAnsi="Times New Roman" w:cs="Times New Roman"/>
                <w:color w:val="0000FF"/>
                <w:sz w:val="24"/>
                <w:szCs w:val="24"/>
                <w:lang w:val="en-US" w:eastAsia="en-US" w:bidi="ar-SA"/>
              </w:rPr>
            </w:pPr>
            <w:r w:rsidRPr="00281D4C">
              <w:rPr>
                <w:rFonts w:ascii="Times New Roman" w:eastAsia="Calibri" w:hAnsi="Times New Roman" w:cs="Times New Roman"/>
                <w:color w:val="0000FF"/>
                <w:sz w:val="24"/>
                <w:szCs w:val="24"/>
                <w:u w:val="single"/>
                <w:lang w:val="en-US" w:eastAsia="en-US" w:bidi="ar-SA"/>
              </w:rPr>
              <w:t>haydenm@firstenergycorp.com</w:t>
            </w:r>
          </w:p>
          <w:p w:rsidR="002D39EF" w:rsidRPr="00281D4C" w:rsidP="002D39EF">
            <w:pPr>
              <w:spacing w:after="0" w:line="240" w:lineRule="auto"/>
              <w:rPr>
                <w:rStyle w:val="DefaultParagraphFont"/>
                <w:rFonts w:ascii="Times New Roman" w:eastAsia="Calibri" w:hAnsi="Times New Roman" w:cs="Times New Roman"/>
                <w:color w:val="0000FF"/>
                <w:sz w:val="24"/>
                <w:szCs w:val="24"/>
                <w:lang w:val="en-US" w:eastAsia="en-US" w:bidi="ar-SA"/>
              </w:rPr>
            </w:pPr>
            <w:r w:rsidRPr="00281D4C">
              <w:rPr>
                <w:rFonts w:ascii="Times New Roman" w:eastAsia="Calibri" w:hAnsi="Times New Roman" w:cs="Times New Roman"/>
                <w:color w:val="0000FF"/>
                <w:sz w:val="24"/>
                <w:szCs w:val="24"/>
                <w:u w:val="single"/>
                <w:lang w:val="en-US" w:eastAsia="en-US" w:bidi="ar-SA"/>
              </w:rPr>
              <w:t>jmcdermott@firstenergycorp.com</w:t>
            </w:r>
          </w:p>
          <w:p w:rsidR="002D39EF" w:rsidRPr="00281D4C" w:rsidP="002D39EF">
            <w:pPr>
              <w:spacing w:after="0" w:line="240" w:lineRule="auto"/>
              <w:rPr>
                <w:rStyle w:val="DefaultParagraphFont"/>
                <w:rFonts w:ascii="Times New Roman" w:eastAsia="Calibri" w:hAnsi="Times New Roman" w:cs="Times New Roman"/>
                <w:color w:val="0000FF"/>
                <w:sz w:val="24"/>
                <w:szCs w:val="24"/>
                <w:lang w:val="en-US" w:eastAsia="en-US" w:bidi="ar-SA"/>
              </w:rPr>
            </w:pPr>
            <w:r w:rsidRPr="00281D4C">
              <w:rPr>
                <w:rFonts w:ascii="Times New Roman" w:eastAsia="Calibri" w:hAnsi="Times New Roman" w:cs="Times New Roman"/>
                <w:color w:val="0000FF"/>
                <w:sz w:val="24"/>
                <w:szCs w:val="24"/>
                <w:u w:val="single"/>
                <w:lang w:val="en-US" w:eastAsia="en-US" w:bidi="ar-SA"/>
              </w:rPr>
              <w:t>scasto@firstenergycorp.com</w:t>
            </w:r>
          </w:p>
          <w:p w:rsidR="002D39EF" w:rsidRPr="00281D4C" w:rsidP="002D39EF">
            <w:pPr>
              <w:spacing w:after="0" w:line="240" w:lineRule="auto"/>
              <w:rPr>
                <w:rStyle w:val="DefaultParagraphFont"/>
                <w:rFonts w:ascii="Times New Roman" w:eastAsia="Calibri" w:hAnsi="Times New Roman" w:cs="Times New Roman"/>
                <w:sz w:val="24"/>
                <w:szCs w:val="24"/>
                <w:lang w:val="en-US" w:eastAsia="en-US" w:bidi="ar-SA"/>
              </w:rPr>
            </w:pPr>
            <w:r w:rsidRPr="00281D4C">
              <w:rPr>
                <w:rFonts w:ascii="Times New Roman" w:eastAsia="Calibri" w:hAnsi="Times New Roman" w:cs="Times New Roman"/>
                <w:color w:val="0000FF"/>
                <w:sz w:val="24"/>
                <w:szCs w:val="24"/>
                <w:u w:val="single"/>
                <w:lang w:val="en-US" w:eastAsia="en-US" w:bidi="ar-SA"/>
              </w:rPr>
              <w:t>whitt@whitt-sturtevant.com</w:t>
            </w:r>
          </w:p>
          <w:p w:rsidR="002D39EF" w:rsidRPr="00281D4C" w:rsidP="002D39EF">
            <w:pPr>
              <w:spacing w:after="0" w:line="240" w:lineRule="auto"/>
              <w:rPr>
                <w:rStyle w:val="DefaultParagraphFont"/>
                <w:rFonts w:ascii="Times New Roman" w:eastAsia="Calibri" w:hAnsi="Times New Roman" w:cs="Times New Roman"/>
                <w:color w:val="0000FF"/>
                <w:sz w:val="24"/>
                <w:szCs w:val="24"/>
                <w:u w:val="single"/>
                <w:lang w:val="en-US" w:eastAsia="en-US" w:bidi="ar-SA"/>
              </w:rPr>
            </w:pPr>
            <w:r w:rsidRPr="00281D4C">
              <w:rPr>
                <w:rFonts w:ascii="Times New Roman" w:eastAsia="Calibri" w:hAnsi="Times New Roman" w:cs="Times New Roman"/>
                <w:color w:val="0000FF"/>
                <w:sz w:val="24"/>
                <w:szCs w:val="24"/>
                <w:u w:val="single"/>
                <w:lang w:val="en-US" w:eastAsia="en-US" w:bidi="ar-SA"/>
              </w:rPr>
              <w:t>campbell@whitt-sturtevant.com</w:t>
            </w:r>
          </w:p>
          <w:p w:rsidR="002D39EF" w:rsidRPr="00281D4C" w:rsidP="002D39EF">
            <w:pPr>
              <w:spacing w:after="0" w:line="240" w:lineRule="auto"/>
              <w:rPr>
                <w:rStyle w:val="DefaultParagraphFont"/>
                <w:rFonts w:ascii="Times New Roman" w:eastAsia="Calibri" w:hAnsi="Times New Roman" w:cs="Times New Roman"/>
                <w:color w:val="0000FF"/>
                <w:sz w:val="24"/>
                <w:szCs w:val="24"/>
                <w:u w:val="single"/>
                <w:lang w:val="en-US" w:eastAsia="en-US" w:bidi="ar-SA"/>
              </w:rPr>
            </w:pPr>
            <w:r w:rsidRPr="00281D4C">
              <w:rPr>
                <w:rFonts w:ascii="Times New Roman" w:eastAsia="Calibri" w:hAnsi="Times New Roman" w:cs="Times New Roman"/>
                <w:color w:val="0000FF"/>
                <w:sz w:val="24"/>
                <w:szCs w:val="24"/>
                <w:u w:val="single"/>
                <w:lang w:val="en-US" w:eastAsia="en-US" w:bidi="ar-SA"/>
              </w:rPr>
              <w:t>glover@whitt-sturtevant.com</w:t>
            </w:r>
          </w:p>
          <w:p w:rsidR="002D39EF" w:rsidRPr="00281D4C" w:rsidP="002D39EF">
            <w:pPr>
              <w:spacing w:after="0" w:line="240" w:lineRule="auto"/>
              <w:rPr>
                <w:rStyle w:val="DefaultParagraphFont"/>
                <w:rFonts w:ascii="Times New Roman" w:eastAsia="Times New Roman" w:hAnsi="Times New Roman" w:cs="Times New Roman"/>
                <w:color w:val="0000FF"/>
                <w:sz w:val="24"/>
                <w:szCs w:val="24"/>
                <w:u w:val="single"/>
                <w:lang w:val="en-US" w:eastAsia="en-US" w:bidi="ar-SA"/>
              </w:rPr>
            </w:pPr>
            <w:r w:rsidRPr="00281D4C">
              <w:rPr>
                <w:rFonts w:ascii="Times New Roman" w:eastAsia="Calibri" w:hAnsi="Times New Roman" w:cs="Times New Roman"/>
                <w:color w:val="0000FF"/>
                <w:sz w:val="24"/>
                <w:szCs w:val="24"/>
                <w:u w:val="single"/>
                <w:lang w:val="en-US" w:eastAsia="en-US" w:bidi="ar-SA"/>
              </w:rPr>
              <w:t>williams@whitt-sturtevant.com</w:t>
            </w:r>
          </w:p>
          <w:p w:rsidR="002D39EF" w:rsidRPr="00281D4C" w:rsidP="002D39EF">
            <w:pPr>
              <w:spacing w:after="0" w:line="240" w:lineRule="auto"/>
              <w:rPr>
                <w:rStyle w:val="DefaultParagraphFont"/>
                <w:rFonts w:ascii="Times New Roman" w:eastAsia="Calibri" w:hAnsi="Times New Roman" w:cs="Times New Roman"/>
                <w:sz w:val="24"/>
                <w:szCs w:val="24"/>
                <w:lang w:val="en-US" w:eastAsia="en-US" w:bidi="ar-SA"/>
              </w:rPr>
            </w:pPr>
            <w:r w:rsidRPr="00281D4C">
              <w:rPr>
                <w:rFonts w:ascii="Times New Roman" w:eastAsia="Calibri" w:hAnsi="Times New Roman" w:cs="Times New Roman"/>
                <w:color w:val="0000FF"/>
                <w:sz w:val="24"/>
                <w:szCs w:val="24"/>
                <w:u w:val="single"/>
                <w:lang w:val="en-US" w:eastAsia="en-US" w:bidi="ar-SA"/>
              </w:rPr>
              <w:t>lfriedeman@igsenergy.com</w:t>
            </w:r>
          </w:p>
          <w:p w:rsidR="002D39EF" w:rsidRPr="00281D4C" w:rsidP="002D39EF">
            <w:pPr>
              <w:spacing w:after="0" w:line="240" w:lineRule="auto"/>
              <w:rPr>
                <w:rStyle w:val="DefaultParagraphFont"/>
                <w:rFonts w:ascii="Times New Roman" w:eastAsia="Times New Roman" w:hAnsi="Times New Roman" w:cs="Times New Roman"/>
                <w:color w:val="0000FF"/>
                <w:sz w:val="24"/>
                <w:szCs w:val="24"/>
                <w:u w:val="single"/>
                <w:lang w:val="en-US" w:eastAsia="en-US" w:bidi="ar-SA"/>
              </w:rPr>
            </w:pPr>
            <w:r w:rsidRPr="00281D4C">
              <w:rPr>
                <w:rFonts w:ascii="Times New Roman" w:eastAsia="Calibri" w:hAnsi="Times New Roman" w:cs="Times New Roman"/>
                <w:color w:val="0000FF"/>
                <w:sz w:val="24"/>
                <w:szCs w:val="24"/>
                <w:u w:val="single"/>
                <w:lang w:val="en-US" w:eastAsia="en-US" w:bidi="ar-SA"/>
              </w:rPr>
              <w:t>mswhite@igsenergy.com</w:t>
            </w:r>
          </w:p>
          <w:p w:rsidR="002D39EF" w:rsidRPr="00281D4C" w:rsidP="002D39EF">
            <w:pPr>
              <w:spacing w:after="0" w:line="240" w:lineRule="auto"/>
              <w:rPr>
                <w:rStyle w:val="DefaultParagraphFont"/>
                <w:rFonts w:ascii="Times New Roman" w:eastAsia="Calibri" w:hAnsi="Times New Roman" w:cs="Times New Roman"/>
                <w:sz w:val="24"/>
                <w:szCs w:val="24"/>
                <w:lang w:val="en-US" w:eastAsia="en-US" w:bidi="ar-SA"/>
              </w:rPr>
            </w:pPr>
            <w:r w:rsidRPr="00281D4C">
              <w:rPr>
                <w:rFonts w:ascii="Times New Roman" w:eastAsia="Calibri" w:hAnsi="Times New Roman" w:cs="Times New Roman"/>
                <w:color w:val="0000FF"/>
                <w:sz w:val="24"/>
                <w:szCs w:val="24"/>
                <w:u w:val="single"/>
                <w:lang w:val="en-US" w:eastAsia="en-US" w:bidi="ar-SA"/>
              </w:rPr>
              <w:t>Gary.A.Jeffries@dom.com</w:t>
            </w:r>
          </w:p>
          <w:p w:rsidR="002D39EF" w:rsidRPr="00281D4C" w:rsidP="002D39EF">
            <w:pPr>
              <w:spacing w:after="0" w:line="240" w:lineRule="auto"/>
              <w:rPr>
                <w:rStyle w:val="DefaultParagraphFont"/>
                <w:rFonts w:ascii="Times New Roman" w:eastAsia="Calibri" w:hAnsi="Times New Roman" w:cs="Times New Roman"/>
                <w:sz w:val="24"/>
                <w:szCs w:val="24"/>
                <w:lang w:val="en-US" w:eastAsia="en-US" w:bidi="ar-SA"/>
              </w:rPr>
            </w:pPr>
            <w:r w:rsidRPr="00281D4C">
              <w:rPr>
                <w:rFonts w:ascii="Times New Roman" w:eastAsia="Calibri" w:hAnsi="Times New Roman" w:cs="Times New Roman"/>
                <w:color w:val="0000FF"/>
                <w:sz w:val="24"/>
                <w:szCs w:val="24"/>
                <w:u w:val="single"/>
                <w:lang w:val="en-US" w:eastAsia="en-US" w:bidi="ar-SA"/>
              </w:rPr>
              <w:t>Judi.sobecki@aes.com</w:t>
            </w:r>
          </w:p>
          <w:p w:rsidR="002D39EF" w:rsidRPr="00281D4C" w:rsidP="002D39EF">
            <w:pPr>
              <w:spacing w:after="0" w:line="240" w:lineRule="auto"/>
              <w:rPr>
                <w:rStyle w:val="DefaultParagraphFont"/>
                <w:rFonts w:ascii="Times New Roman" w:eastAsia="Calibri" w:hAnsi="Times New Roman" w:cs="Times New Roman"/>
                <w:color w:val="0000FF"/>
                <w:sz w:val="24"/>
                <w:szCs w:val="24"/>
                <w:lang w:val="en-US" w:eastAsia="en-US" w:bidi="ar-SA"/>
              </w:rPr>
            </w:pPr>
            <w:r w:rsidRPr="00281D4C">
              <w:rPr>
                <w:rFonts w:ascii="Times New Roman" w:eastAsia="Calibri" w:hAnsi="Times New Roman" w:cs="Times New Roman"/>
                <w:color w:val="0000FF"/>
                <w:sz w:val="24"/>
                <w:szCs w:val="24"/>
                <w:u w:val="single"/>
                <w:lang w:val="en-US" w:eastAsia="en-US" w:bidi="ar-SA"/>
              </w:rPr>
              <w:t>cmooney@ohiopartners.org</w:t>
            </w:r>
          </w:p>
          <w:p w:rsidR="002D39EF" w:rsidRPr="00281D4C" w:rsidP="002D39EF">
            <w:pPr>
              <w:spacing w:after="0" w:line="240" w:lineRule="auto"/>
              <w:rPr>
                <w:rStyle w:val="DefaultParagraphFont"/>
                <w:rFonts w:ascii="Times New Roman" w:eastAsia="Times New Roman" w:hAnsi="Times New Roman" w:cs="Times New Roman"/>
                <w:color w:val="0000FF"/>
                <w:sz w:val="24"/>
                <w:szCs w:val="24"/>
                <w:u w:val="single"/>
                <w:lang w:val="en-US" w:eastAsia="en-US" w:bidi="ar-SA"/>
              </w:rPr>
            </w:pPr>
            <w:r w:rsidRPr="00281D4C">
              <w:rPr>
                <w:rFonts w:ascii="Times New Roman" w:eastAsia="Calibri" w:hAnsi="Times New Roman" w:cs="Times New Roman"/>
                <w:color w:val="0000FF"/>
                <w:sz w:val="24"/>
                <w:szCs w:val="24"/>
                <w:u w:val="single"/>
                <w:lang w:val="en-US" w:eastAsia="en-US" w:bidi="ar-SA"/>
              </w:rPr>
              <w:t>jfinnigan@edf.org</w:t>
            </w:r>
          </w:p>
          <w:p w:rsidR="002D39EF" w:rsidRPr="00281D4C" w:rsidP="002D39EF">
            <w:pPr>
              <w:spacing w:after="0" w:line="240" w:lineRule="auto"/>
              <w:rPr>
                <w:rStyle w:val="DefaultParagraphFont"/>
                <w:rFonts w:ascii="Times New Roman" w:eastAsia="Calibri" w:hAnsi="Times New Roman" w:cs="Times New Roman"/>
                <w:sz w:val="24"/>
                <w:szCs w:val="24"/>
                <w:lang w:val="en-US" w:eastAsia="en-US" w:bidi="ar-SA"/>
              </w:rPr>
            </w:pPr>
            <w:r w:rsidRPr="00281D4C">
              <w:rPr>
                <w:rFonts w:ascii="Times New Roman" w:eastAsia="Calibri" w:hAnsi="Times New Roman" w:cs="Times New Roman"/>
                <w:color w:val="0000FF"/>
                <w:sz w:val="24"/>
                <w:szCs w:val="24"/>
                <w:u w:val="single"/>
                <w:lang w:val="en-US" w:eastAsia="en-US" w:bidi="ar-SA"/>
              </w:rPr>
              <w:t>NMcDaniel@elpc.org</w:t>
            </w:r>
          </w:p>
          <w:p w:rsidR="002D39EF" w:rsidRPr="00281D4C" w:rsidP="002D39EF">
            <w:pPr>
              <w:spacing w:after="0" w:line="240" w:lineRule="auto"/>
              <w:rPr>
                <w:rStyle w:val="DefaultParagraphFont"/>
                <w:rFonts w:ascii="Times New Roman" w:eastAsia="Calibri" w:hAnsi="Times New Roman" w:cs="Times New Roman"/>
                <w:sz w:val="24"/>
                <w:szCs w:val="24"/>
                <w:lang w:val="en-US" w:eastAsia="en-US" w:bidi="ar-SA"/>
              </w:rPr>
            </w:pPr>
            <w:r w:rsidRPr="00281D4C">
              <w:rPr>
                <w:rFonts w:ascii="Times New Roman" w:eastAsia="Calibri" w:hAnsi="Times New Roman" w:cs="Times New Roman"/>
                <w:color w:val="0000FF"/>
                <w:sz w:val="24"/>
                <w:szCs w:val="24"/>
                <w:u w:val="single"/>
                <w:lang w:val="en-US" w:eastAsia="en-US" w:bidi="ar-SA"/>
              </w:rPr>
              <w:t>lhawrot@spilmanlaw.com</w:t>
            </w:r>
          </w:p>
          <w:p w:rsidR="002D39EF" w:rsidRPr="00281D4C" w:rsidP="002D39EF">
            <w:pPr>
              <w:spacing w:after="0" w:line="240" w:lineRule="auto"/>
              <w:rPr>
                <w:rStyle w:val="DefaultParagraphFont"/>
                <w:rFonts w:ascii="Times New Roman" w:eastAsia="Times New Roman" w:hAnsi="Times New Roman" w:cs="Times New Roman"/>
                <w:color w:val="0000FF"/>
                <w:sz w:val="24"/>
                <w:szCs w:val="24"/>
                <w:u w:val="single"/>
                <w:lang w:val="en-US" w:eastAsia="en-US" w:bidi="ar-SA"/>
              </w:rPr>
            </w:pPr>
            <w:r w:rsidRPr="00281D4C">
              <w:rPr>
                <w:rFonts w:ascii="Times New Roman" w:eastAsia="Times New Roman" w:hAnsi="Times New Roman" w:cs="Times New Roman"/>
                <w:color w:val="0000FF"/>
                <w:sz w:val="24"/>
                <w:szCs w:val="24"/>
                <w:u w:val="single"/>
                <w:lang w:val="en-US" w:eastAsia="en-US" w:bidi="ar-SA"/>
              </w:rPr>
              <w:t>tshadrick@spilmanlaw.com</w:t>
            </w:r>
          </w:p>
          <w:p w:rsidR="002D39EF" w:rsidRPr="00281D4C" w:rsidP="002D39EF">
            <w:pPr>
              <w:spacing w:after="0" w:line="240" w:lineRule="auto"/>
              <w:ind w:right="1273"/>
              <w:rPr>
                <w:rStyle w:val="DefaultParagraphFont"/>
                <w:rFonts w:ascii="Times New Roman" w:eastAsia="Calibri" w:hAnsi="Times New Roman" w:cs="Times New Roman"/>
                <w:bCs/>
                <w:color w:val="0000FF"/>
                <w:sz w:val="24"/>
                <w:szCs w:val="24"/>
                <w:u w:val="single"/>
                <w:lang w:val="en-US" w:eastAsia="en-US" w:bidi="ar-SA"/>
              </w:rPr>
            </w:pPr>
            <w:r w:rsidRPr="00281D4C">
              <w:rPr>
                <w:rFonts w:ascii="Times New Roman" w:eastAsia="Calibri" w:hAnsi="Times New Roman" w:cs="Times New Roman"/>
                <w:bCs/>
                <w:color w:val="0000FF"/>
                <w:sz w:val="24"/>
                <w:szCs w:val="24"/>
                <w:u w:val="single"/>
                <w:lang w:val="en-US" w:eastAsia="en-US" w:bidi="ar-SA"/>
              </w:rPr>
              <w:t>mwarnock@bricker.com</w:t>
            </w:r>
          </w:p>
          <w:p w:rsidR="002D39EF" w:rsidRPr="00281D4C" w:rsidP="002D39EF">
            <w:pPr>
              <w:spacing w:after="0" w:line="240" w:lineRule="auto"/>
              <w:rPr>
                <w:rStyle w:val="DefaultParagraphFont"/>
                <w:rFonts w:ascii="Times New Roman" w:eastAsia="Times New Roman" w:hAnsi="Times New Roman" w:cs="Times New Roman"/>
                <w:color w:val="0000FF"/>
                <w:sz w:val="24"/>
                <w:szCs w:val="24"/>
                <w:u w:val="single"/>
                <w:lang w:val="en-US" w:eastAsia="en-US" w:bidi="ar-SA"/>
              </w:rPr>
            </w:pPr>
            <w:r>
              <w:fldChar w:fldCharType="begin"/>
            </w:r>
            <w:r>
              <w:rPr>
                <w:rFonts w:ascii="Times New Roman" w:eastAsia="Times New Roman" w:hAnsi="Times New Roman" w:cs="Times New Roman"/>
                <w:sz w:val="20"/>
                <w:szCs w:val="20"/>
                <w:lang w:val="en-US" w:eastAsia="en-US" w:bidi="ar-SA"/>
              </w:rPr>
              <w:instrText xml:space="preserve"> HYPERLINK "mailto:mfleisher@elpc.org" </w:instrText>
            </w:r>
            <w:r>
              <w:fldChar w:fldCharType="separate"/>
            </w:r>
            <w:r w:rsidRPr="00281D4C" w:rsidR="00684A14">
              <w:rPr>
                <w:rStyle w:val="Hyperlink"/>
                <w:rFonts w:ascii="Times New Roman" w:eastAsia="Times New Roman" w:hAnsi="Times New Roman" w:cs="Times New Roman"/>
                <w:color w:val="0000FF" w:themeColor="hyperlink"/>
                <w:sz w:val="24"/>
                <w:szCs w:val="24"/>
                <w:u w:val="single"/>
                <w:lang w:val="en-US" w:eastAsia="en-US" w:bidi="ar-SA"/>
              </w:rPr>
              <w:t>mfleisher@elpc.org</w:t>
            </w:r>
            <w:r>
              <w:fldChar w:fldCharType="end"/>
            </w:r>
          </w:p>
          <w:p w:rsidR="0001613F" w:rsidRPr="00281D4C" w:rsidP="002D39EF">
            <w:pPr>
              <w:spacing w:after="0" w:line="240" w:lineRule="auto"/>
              <w:rPr>
                <w:rStyle w:val="DefaultParagraphFont"/>
                <w:rFonts w:ascii="Times New Roman" w:hAnsi="Times New Roman" w:eastAsiaTheme="minorHAnsi" w:cs="Times New Roman"/>
                <w:sz w:val="24"/>
                <w:szCs w:val="24"/>
                <w:lang w:val="en-US" w:eastAsia="en-US" w:bidi="ar-SA"/>
              </w:rPr>
            </w:pPr>
            <w:r>
              <w:fldChar w:fldCharType="begin"/>
            </w:r>
            <w:r>
              <w:rPr>
                <w:rFonts w:ascii="Times New Roman" w:eastAsia="Times New Roman" w:hAnsi="Times New Roman" w:cs="Times New Roman"/>
                <w:sz w:val="20"/>
                <w:szCs w:val="20"/>
                <w:lang w:val="en-US" w:eastAsia="en-US" w:bidi="ar-SA"/>
              </w:rPr>
              <w:instrText xml:space="preserve"> HYPERLINK "mailto:rsahli@columbus.rr.com" </w:instrText>
            </w:r>
            <w:r>
              <w:fldChar w:fldCharType="separate"/>
            </w:r>
            <w:r w:rsidRPr="00281D4C" w:rsidR="00684A14">
              <w:rPr>
                <w:rStyle w:val="Hyperlink"/>
                <w:rFonts w:ascii="Times New Roman" w:hAnsi="Times New Roman" w:eastAsiaTheme="minorHAnsi" w:cs="Times New Roman"/>
                <w:color w:val="0000FF" w:themeColor="hyperlink"/>
                <w:sz w:val="24"/>
                <w:szCs w:val="24"/>
                <w:u w:val="single"/>
                <w:lang w:val="en-US" w:eastAsia="en-US" w:bidi="ar-SA"/>
              </w:rPr>
              <w:t>rsahli@columbus.rr.com</w:t>
            </w:r>
            <w:r>
              <w:fldChar w:fldCharType="end"/>
            </w:r>
          </w:p>
          <w:p w:rsidR="002D39EF" w:rsidRPr="00281D4C" w:rsidP="00281D4C">
            <w:pPr>
              <w:autoSpaceDE w:val="0"/>
              <w:autoSpaceDN w:val="0"/>
              <w:adjustRightInd w:val="0"/>
              <w:spacing w:after="0" w:line="240" w:lineRule="auto"/>
              <w:rPr>
                <w:rStyle w:val="DefaultParagraphFont"/>
                <w:rFonts w:ascii="Times New Roman" w:eastAsia="Times New Roman" w:hAnsi="Times New Roman" w:cs="Times New Roman"/>
                <w:b/>
                <w:sz w:val="24"/>
                <w:szCs w:val="24"/>
                <w:u w:val="single"/>
                <w:lang w:val="en-US" w:eastAsia="en-US" w:bidi="ar-SA"/>
              </w:rPr>
            </w:pPr>
            <w:r>
              <w:fldChar w:fldCharType="begin"/>
            </w:r>
            <w:r>
              <w:rPr>
                <w:rFonts w:ascii="Times New Roman" w:eastAsia="Times New Roman" w:hAnsi="Times New Roman" w:cs="Times New Roman"/>
                <w:sz w:val="20"/>
                <w:szCs w:val="20"/>
                <w:lang w:val="en-US" w:eastAsia="en-US" w:bidi="ar-SA"/>
              </w:rPr>
              <w:instrText xml:space="preserve"> HYPERLINK "mailto:joliker@igsenergy.com" </w:instrText>
            </w:r>
            <w:r>
              <w:fldChar w:fldCharType="separate"/>
            </w:r>
            <w:r w:rsidRPr="00281D4C" w:rsidR="00684A14">
              <w:rPr>
                <w:rStyle w:val="Hyperlink"/>
                <w:rFonts w:ascii="Times New Roman" w:eastAsia="Times New Roman" w:hAnsi="Times New Roman" w:cs="Times New Roman"/>
                <w:color w:val="0000FF" w:themeColor="hyperlink"/>
                <w:sz w:val="24"/>
                <w:szCs w:val="24"/>
                <w:u w:val="single"/>
                <w:lang w:val="en-US" w:eastAsia="en-US" w:bidi="ar-SA"/>
              </w:rPr>
              <w:t>joliker@igsenergy.com</w:t>
            </w:r>
            <w:r>
              <w:fldChar w:fldCharType="end"/>
            </w:r>
          </w:p>
        </w:tc>
      </w:tr>
      <w:tr w:rsidTr="001C134B">
        <w:tblPrEx>
          <w:tblW w:w="10098" w:type="dxa"/>
          <w:tblInd w:w="0" w:type="dxa"/>
          <w:tblLayout w:type="fixed"/>
          <w:tblCellMar>
            <w:top w:w="0" w:type="dxa"/>
            <w:left w:w="108" w:type="dxa"/>
            <w:bottom w:w="0" w:type="dxa"/>
            <w:right w:w="108" w:type="dxa"/>
          </w:tblCellMar>
          <w:tblLook w:val="01E0"/>
        </w:tblPrEx>
        <w:trPr>
          <w:gridAfter w:val="1"/>
          <w:wAfter w:w="1242" w:type="dxa"/>
        </w:trPr>
        <w:tc>
          <w:tcPr>
            <w:tcW w:w="4514" w:type="dxa"/>
            <w:shd w:val="clear" w:color="auto" w:fill="auto"/>
          </w:tcPr>
          <w:p w:rsidR="002D39EF" w:rsidRPr="00281D4C" w:rsidP="002D39EF">
            <w:pPr>
              <w:widowControl w:val="0"/>
              <w:autoSpaceDE w:val="0"/>
              <w:autoSpaceDN w:val="0"/>
              <w:adjustRightInd w:val="0"/>
              <w:spacing w:after="0" w:line="240" w:lineRule="auto"/>
              <w:rPr>
                <w:rStyle w:val="DefaultParagraphFont"/>
                <w:rFonts w:ascii="Times New Roman" w:eastAsia="Times New Roman" w:hAnsi="Times New Roman" w:cs="Times New Roman"/>
                <w:sz w:val="24"/>
                <w:szCs w:val="24"/>
                <w:lang w:val="en-US" w:eastAsia="en-US" w:bidi="ar-SA"/>
              </w:rPr>
            </w:pPr>
          </w:p>
        </w:tc>
        <w:tc>
          <w:tcPr>
            <w:tcW w:w="4342" w:type="dxa"/>
            <w:gridSpan w:val="2"/>
            <w:shd w:val="clear" w:color="auto" w:fill="auto"/>
          </w:tcPr>
          <w:p w:rsidR="002D39EF" w:rsidRPr="00281D4C" w:rsidP="002D39EF">
            <w:pPr>
              <w:widowControl w:val="0"/>
              <w:autoSpaceDE w:val="0"/>
              <w:autoSpaceDN w:val="0"/>
              <w:adjustRightInd w:val="0"/>
              <w:spacing w:after="0" w:line="240" w:lineRule="auto"/>
              <w:jc w:val="both"/>
              <w:rPr>
                <w:rStyle w:val="DefaultParagraphFont"/>
                <w:rFonts w:ascii="Times New Roman" w:eastAsia="Times New Roman" w:hAnsi="Times New Roman" w:cs="Times New Roman"/>
                <w:sz w:val="24"/>
                <w:szCs w:val="24"/>
                <w:lang w:val="en-US" w:eastAsia="en-US" w:bidi="ar-SA"/>
              </w:rPr>
            </w:pPr>
          </w:p>
          <w:p w:rsidR="002D39EF" w:rsidRPr="00281D4C" w:rsidP="002D39EF">
            <w:pPr>
              <w:widowControl w:val="0"/>
              <w:autoSpaceDE w:val="0"/>
              <w:autoSpaceDN w:val="0"/>
              <w:adjustRightInd w:val="0"/>
              <w:spacing w:after="0" w:line="240" w:lineRule="auto"/>
              <w:rPr>
                <w:rStyle w:val="DefaultParagraphFont"/>
                <w:rFonts w:ascii="Times New Roman" w:eastAsia="Times New Roman" w:hAnsi="Times New Roman" w:cs="Times New Roman"/>
                <w:sz w:val="24"/>
                <w:szCs w:val="24"/>
                <w:lang w:val="en-US" w:eastAsia="en-US" w:bidi="ar-SA"/>
              </w:rPr>
            </w:pPr>
          </w:p>
        </w:tc>
      </w:tr>
      <w:tr w:rsidTr="001C134B">
        <w:tblPrEx>
          <w:tblW w:w="1009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1E0"/>
        </w:tblPrEx>
        <w:trPr>
          <w:gridAfter w:val="1"/>
          <w:wAfter w:w="1242" w:type="dxa"/>
        </w:trPr>
        <w:tc>
          <w:tcPr>
            <w:tcW w:w="4514" w:type="dxa"/>
            <w:tcBorders>
              <w:top w:val="nil"/>
              <w:left w:val="nil"/>
              <w:bottom w:val="nil"/>
              <w:right w:val="nil"/>
            </w:tcBorders>
            <w:shd w:val="clear" w:color="auto" w:fill="auto"/>
          </w:tcPr>
          <w:p w:rsidR="002D39EF" w:rsidRPr="00281D4C" w:rsidP="002D39EF">
            <w:pPr>
              <w:spacing w:after="0" w:line="240" w:lineRule="auto"/>
              <w:ind w:right="1273"/>
              <w:rPr>
                <w:rStyle w:val="DefaultParagraphFont"/>
                <w:rFonts w:ascii="Times New Roman" w:eastAsia="Calibri" w:hAnsi="Times New Roman" w:cs="Times New Roman"/>
                <w:sz w:val="24"/>
                <w:szCs w:val="24"/>
                <w:lang w:val="en-US" w:eastAsia="en-US" w:bidi="ar-SA"/>
              </w:rPr>
            </w:pPr>
            <w:r w:rsidRPr="00281D4C">
              <w:rPr>
                <w:rFonts w:ascii="Times New Roman" w:eastAsia="Calibri" w:hAnsi="Times New Roman" w:cs="Times New Roman"/>
                <w:sz w:val="24"/>
                <w:szCs w:val="24"/>
                <w:lang w:val="en-US" w:eastAsia="en-US" w:bidi="ar-SA"/>
              </w:rPr>
              <w:t>Attorney Examiner:</w:t>
            </w:r>
          </w:p>
          <w:p w:rsidR="002D39EF" w:rsidRPr="00281D4C" w:rsidP="002D39EF">
            <w:pPr>
              <w:spacing w:after="0" w:line="240" w:lineRule="auto"/>
              <w:ind w:right="1273"/>
              <w:rPr>
                <w:rStyle w:val="DefaultParagraphFont"/>
                <w:rFonts w:ascii="Times New Roman" w:eastAsia="Calibri" w:hAnsi="Times New Roman" w:cs="Times New Roman"/>
                <w:sz w:val="24"/>
                <w:szCs w:val="24"/>
                <w:lang w:val="en-US" w:eastAsia="en-US" w:bidi="ar-SA"/>
              </w:rPr>
            </w:pPr>
          </w:p>
          <w:p w:rsidR="002D39EF" w:rsidRPr="00281D4C" w:rsidP="002D39EF">
            <w:pPr>
              <w:spacing w:after="0" w:line="240" w:lineRule="auto"/>
              <w:ind w:right="1273"/>
              <w:rPr>
                <w:rStyle w:val="DefaultParagraphFont"/>
                <w:rFonts w:ascii="Times New Roman" w:eastAsia="Calibri" w:hAnsi="Times New Roman" w:cs="Times New Roman"/>
                <w:color w:val="0000FF"/>
                <w:sz w:val="24"/>
                <w:szCs w:val="24"/>
                <w:u w:val="single"/>
                <w:lang w:val="en-US" w:eastAsia="en-US" w:bidi="ar-SA"/>
              </w:rPr>
            </w:pPr>
            <w:r w:rsidRPr="00281D4C">
              <w:rPr>
                <w:rFonts w:ascii="Times New Roman" w:eastAsia="Calibri" w:hAnsi="Times New Roman" w:cs="Times New Roman"/>
                <w:color w:val="0000FF"/>
                <w:sz w:val="24"/>
                <w:szCs w:val="24"/>
                <w:u w:val="single"/>
                <w:lang w:val="en-US" w:eastAsia="en-US" w:bidi="ar-SA"/>
              </w:rPr>
              <w:t>Sarah.parrot@puc.state.oh.us</w:t>
            </w:r>
          </w:p>
          <w:p w:rsidR="002D39EF" w:rsidRPr="00281D4C" w:rsidP="002D39EF">
            <w:pPr>
              <w:widowControl w:val="0"/>
              <w:autoSpaceDE w:val="0"/>
              <w:autoSpaceDN w:val="0"/>
              <w:adjustRightInd w:val="0"/>
              <w:spacing w:after="0" w:line="240" w:lineRule="auto"/>
              <w:rPr>
                <w:rStyle w:val="DefaultParagraphFont"/>
                <w:rFonts w:ascii="Times New Roman" w:eastAsia="Times New Roman" w:hAnsi="Times New Roman" w:cs="Times New Roman"/>
                <w:b/>
                <w:sz w:val="24"/>
                <w:szCs w:val="24"/>
                <w:lang w:val="en-US" w:eastAsia="en-US" w:bidi="ar-SA"/>
              </w:rPr>
            </w:pPr>
            <w:r w:rsidRPr="00281D4C">
              <w:rPr>
                <w:rFonts w:ascii="Times New Roman" w:eastAsia="Calibri" w:hAnsi="Times New Roman" w:cs="Times New Roman"/>
                <w:color w:val="0000FF"/>
                <w:sz w:val="24"/>
                <w:szCs w:val="24"/>
                <w:u w:val="single"/>
                <w:lang w:val="en-US" w:eastAsia="en-US" w:bidi="ar-SA"/>
              </w:rPr>
              <w:t>Greta.sea@puc.state.oh.us</w:t>
            </w:r>
          </w:p>
        </w:tc>
        <w:tc>
          <w:tcPr>
            <w:tcW w:w="4342" w:type="dxa"/>
            <w:gridSpan w:val="2"/>
            <w:tcBorders>
              <w:top w:val="nil"/>
              <w:left w:val="nil"/>
              <w:bottom w:val="nil"/>
              <w:right w:val="nil"/>
            </w:tcBorders>
            <w:shd w:val="clear" w:color="auto" w:fill="auto"/>
          </w:tcPr>
          <w:tbl>
            <w:tblPr>
              <w:tblW w:w="0" w:type="auto"/>
              <w:tblInd w:w="0" w:type="dxa"/>
              <w:tblLayout w:type="fixed"/>
              <w:tblCellMar>
                <w:top w:w="0" w:type="dxa"/>
                <w:left w:w="108" w:type="dxa"/>
                <w:bottom w:w="0" w:type="dxa"/>
                <w:right w:w="108" w:type="dxa"/>
              </w:tblCellMar>
              <w:tblLook w:val="01E0"/>
            </w:tblPr>
            <w:tblGrid>
              <w:gridCol w:w="4323"/>
              <w:gridCol w:w="2939"/>
            </w:tblGrid>
            <w:tr w:rsidTr="001C134B">
              <w:tblPrEx>
                <w:tblW w:w="0" w:type="auto"/>
                <w:tblInd w:w="0" w:type="dxa"/>
                <w:tblLayout w:type="fixed"/>
                <w:tblCellMar>
                  <w:top w:w="0" w:type="dxa"/>
                  <w:left w:w="108" w:type="dxa"/>
                  <w:bottom w:w="0" w:type="dxa"/>
                  <w:right w:w="108" w:type="dxa"/>
                </w:tblCellMar>
                <w:tblLook w:val="01E0"/>
              </w:tblPrEx>
              <w:tc>
                <w:tcPr>
                  <w:tcW w:w="4323" w:type="dxa"/>
                </w:tcPr>
                <w:p w:rsidR="002D39EF" w:rsidRPr="00281D4C" w:rsidP="002D39EF">
                  <w:pPr>
                    <w:spacing w:after="0" w:line="240" w:lineRule="auto"/>
                    <w:ind w:right="1273"/>
                    <w:rPr>
                      <w:rStyle w:val="DefaultParagraphFont"/>
                      <w:rFonts w:ascii="Times New Roman" w:eastAsia="Times New Roman" w:hAnsi="Times New Roman" w:cs="Times New Roman"/>
                      <w:color w:val="0000FF"/>
                      <w:sz w:val="24"/>
                      <w:szCs w:val="24"/>
                      <w:lang w:val="en-US" w:eastAsia="en-US" w:bidi="ar-SA"/>
                    </w:rPr>
                  </w:pPr>
                </w:p>
                <w:p w:rsidR="002D39EF" w:rsidRPr="00281D4C" w:rsidP="002D39EF">
                  <w:pPr>
                    <w:spacing w:after="0" w:line="240" w:lineRule="auto"/>
                    <w:ind w:right="1273"/>
                    <w:rPr>
                      <w:rStyle w:val="DefaultParagraphFont"/>
                      <w:rFonts w:ascii="Times New Roman" w:eastAsia="Calibri" w:hAnsi="Times New Roman" w:cs="Times New Roman"/>
                      <w:bCs/>
                      <w:color w:val="0000FF"/>
                      <w:sz w:val="24"/>
                      <w:szCs w:val="24"/>
                      <w:u w:val="single"/>
                      <w:lang w:val="en-US" w:eastAsia="en-US" w:bidi="ar-SA"/>
                    </w:rPr>
                  </w:pPr>
                </w:p>
                <w:p w:rsidR="002D39EF" w:rsidRPr="00281D4C" w:rsidP="002D39EF">
                  <w:pPr>
                    <w:spacing w:after="0" w:line="240" w:lineRule="auto"/>
                    <w:ind w:right="1273"/>
                    <w:rPr>
                      <w:rStyle w:val="DefaultParagraphFont"/>
                      <w:rFonts w:ascii="Times New Roman" w:eastAsia="Calibri" w:hAnsi="Times New Roman" w:cs="Times New Roman"/>
                      <w:bCs/>
                      <w:sz w:val="24"/>
                      <w:szCs w:val="24"/>
                      <w:lang w:val="en-US" w:eastAsia="en-US" w:bidi="ar-SA"/>
                    </w:rPr>
                  </w:pPr>
                </w:p>
              </w:tc>
              <w:tc>
                <w:tcPr>
                  <w:tcW w:w="2939" w:type="dxa"/>
                </w:tcPr>
                <w:p w:rsidR="002D39EF" w:rsidRPr="00281D4C" w:rsidP="002D39EF">
                  <w:pPr>
                    <w:spacing w:after="0" w:line="240" w:lineRule="auto"/>
                    <w:rPr>
                      <w:rStyle w:val="DefaultParagraphFont"/>
                      <w:rFonts w:ascii="Times New Roman" w:eastAsia="Calibri" w:hAnsi="Times New Roman" w:cs="Times New Roman"/>
                      <w:bCs/>
                      <w:sz w:val="24"/>
                      <w:szCs w:val="24"/>
                      <w:lang w:val="en-US" w:eastAsia="en-US" w:bidi="ar-SA"/>
                    </w:rPr>
                  </w:pPr>
                </w:p>
              </w:tc>
            </w:tr>
          </w:tbl>
          <w:p w:rsidR="002D39EF" w:rsidRPr="00281D4C" w:rsidP="002D39EF">
            <w:pPr>
              <w:widowControl w:val="0"/>
              <w:autoSpaceDE w:val="0"/>
              <w:autoSpaceDN w:val="0"/>
              <w:adjustRightInd w:val="0"/>
              <w:spacing w:after="0" w:line="240" w:lineRule="auto"/>
              <w:rPr>
                <w:rStyle w:val="DefaultParagraphFont"/>
                <w:rFonts w:ascii="Times New Roman" w:eastAsia="Times New Roman" w:hAnsi="Times New Roman" w:cs="Times New Roman"/>
                <w:b/>
                <w:sz w:val="24"/>
                <w:szCs w:val="24"/>
                <w:lang w:val="en-US" w:eastAsia="en-US" w:bidi="ar-SA"/>
              </w:rPr>
            </w:pPr>
          </w:p>
        </w:tc>
      </w:tr>
    </w:tbl>
    <w:p w:rsidR="00195437" w:rsidRPr="00281D4C">
      <w:pPr>
        <w:rPr>
          <w:sz w:val="24"/>
          <w:szCs w:val="24"/>
        </w:rPr>
      </w:pPr>
    </w:p>
    <w:sectPr w:rsidSect="00101F7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05F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97BCA" w:rsidRPr="00D30A67">
    <w:pPr>
      <w:pStyle w:val="Footer"/>
      <w:jc w:val="center"/>
    </w:pPr>
  </w:p>
  <w:p w:rsidR="00B97BCA" w:rsidRPr="00D30A6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05F1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953D2" w:rsidRPr="00D30A67">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979143648"/>
      <w:docPartObj>
        <w:docPartGallery w:val="Page Numbers (Bottom of Page)"/>
        <w:docPartUnique/>
      </w:docPartObj>
    </w:sdtPr>
    <w:sdtEndPr>
      <w:rPr>
        <w:noProof/>
        <w:sz w:val="24"/>
        <w:szCs w:val="24"/>
      </w:rPr>
    </w:sdtEndPr>
    <w:sdtContent>
      <w:p w:rsidR="008953D2" w:rsidRPr="00D30A67">
        <w:pPr>
          <w:pStyle w:val="Footer"/>
          <w:jc w:val="center"/>
          <w:rPr>
            <w:sz w:val="24"/>
            <w:szCs w:val="24"/>
          </w:rPr>
        </w:pPr>
        <w:r w:rsidRPr="00D30A67">
          <w:rPr>
            <w:sz w:val="24"/>
            <w:szCs w:val="24"/>
          </w:rPr>
          <w:fldChar w:fldCharType="begin"/>
        </w:r>
        <w:r w:rsidRPr="00D30A67">
          <w:rPr>
            <w:sz w:val="24"/>
            <w:szCs w:val="24"/>
          </w:rPr>
          <w:instrText xml:space="preserve"> PAGE   \* MERGEFORMAT </w:instrText>
        </w:r>
        <w:r w:rsidRPr="00D30A67">
          <w:rPr>
            <w:sz w:val="24"/>
            <w:szCs w:val="24"/>
          </w:rPr>
          <w:fldChar w:fldCharType="separate"/>
        </w:r>
        <w:r>
          <w:rPr>
            <w:noProof/>
            <w:sz w:val="24"/>
            <w:szCs w:val="24"/>
          </w:rPr>
          <w:t>i</w:t>
        </w:r>
        <w:r w:rsidRPr="00D30A67">
          <w:rPr>
            <w:noProof/>
            <w:sz w:val="24"/>
            <w:szCs w:val="24"/>
          </w:rPr>
          <w:fldChar w:fldCharType="end"/>
        </w:r>
      </w:p>
    </w:sdtContent>
  </w:sdt>
  <w:p w:rsidR="008953D2" w:rsidRPr="00D30A67">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033342888"/>
      <w:docPartObj>
        <w:docPartGallery w:val="Page Numbers (Bottom of Page)"/>
        <w:docPartUnique/>
      </w:docPartObj>
    </w:sdtPr>
    <w:sdtEndPr>
      <w:rPr>
        <w:noProof/>
        <w:sz w:val="24"/>
        <w:szCs w:val="24"/>
      </w:rPr>
    </w:sdtEndPr>
    <w:sdtContent>
      <w:p w:rsidR="00B637CC" w:rsidRPr="00D30A67">
        <w:pPr>
          <w:pStyle w:val="Footer"/>
          <w:jc w:val="center"/>
          <w:rPr>
            <w:sz w:val="24"/>
            <w:szCs w:val="24"/>
          </w:rPr>
        </w:pPr>
        <w:r w:rsidRPr="00D30A67">
          <w:rPr>
            <w:sz w:val="24"/>
            <w:szCs w:val="24"/>
          </w:rPr>
          <w:fldChar w:fldCharType="begin"/>
        </w:r>
        <w:r w:rsidRPr="00D30A67">
          <w:rPr>
            <w:sz w:val="24"/>
            <w:szCs w:val="24"/>
          </w:rPr>
          <w:instrText xml:space="preserve"> PAGE   \* MERGEFORMAT </w:instrText>
        </w:r>
        <w:r w:rsidRPr="00D30A67">
          <w:rPr>
            <w:sz w:val="24"/>
            <w:szCs w:val="24"/>
          </w:rPr>
          <w:fldChar w:fldCharType="separate"/>
        </w:r>
        <w:r>
          <w:rPr>
            <w:noProof/>
            <w:sz w:val="24"/>
            <w:szCs w:val="24"/>
          </w:rPr>
          <w:t>14</w:t>
        </w:r>
        <w:r w:rsidRPr="00D30A67">
          <w:rPr>
            <w:noProof/>
            <w:sz w:val="24"/>
            <w:szCs w:val="24"/>
          </w:rPr>
          <w:fldChar w:fldCharType="end"/>
        </w:r>
      </w:p>
    </w:sdtContent>
  </w:sdt>
  <w:p w:rsidR="00B637CC" w:rsidRPr="00D30A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01A8C" w:rsidP="000C7989">
      <w:r>
        <w:separator/>
      </w:r>
    </w:p>
  </w:footnote>
  <w:footnote w:type="continuationSeparator" w:id="1">
    <w:p w:rsidR="00501A8C" w:rsidP="000C7989">
      <w:r>
        <w:continuationSeparator/>
      </w:r>
    </w:p>
  </w:footnote>
  <w:footnote w:id="2">
    <w:p w:rsidR="000C7989" w:rsidRPr="007B5486" w:rsidP="007B5486">
      <w:pPr>
        <w:pStyle w:val="FootnoteText"/>
        <w:spacing w:after="120"/>
        <w:rPr>
          <w:rFonts w:ascii="Times New Roman" w:hAnsi="Times New Roman" w:cs="Times New Roman"/>
        </w:rPr>
      </w:pPr>
      <w:r w:rsidRPr="007B5486">
        <w:rPr>
          <w:rStyle w:val="FootnoteReference"/>
          <w:rFonts w:ascii="Times New Roman" w:hAnsi="Times New Roman" w:cs="Times New Roman"/>
        </w:rPr>
        <w:footnoteRef/>
      </w:r>
      <w:r w:rsidRPr="007B5486">
        <w:rPr>
          <w:rFonts w:ascii="Times New Roman" w:hAnsi="Times New Roman" w:cs="Times New Roman"/>
        </w:rPr>
        <w:t xml:space="preserve"> This application for rehearing is authorized under R.C. 4903.10 and Ohio Adm. Code 4901-1-35.</w:t>
      </w:r>
    </w:p>
  </w:footnote>
  <w:footnote w:id="3">
    <w:p w:rsidR="000C7989" w:rsidRPr="007B5486" w:rsidP="007B5486">
      <w:pPr>
        <w:pStyle w:val="FootnoteText"/>
        <w:spacing w:after="120"/>
        <w:rPr>
          <w:rFonts w:ascii="Times New Roman" w:hAnsi="Times New Roman" w:cs="Times New Roman"/>
        </w:rPr>
      </w:pPr>
      <w:r w:rsidRPr="007B5486">
        <w:rPr>
          <w:rStyle w:val="FootnoteReference"/>
          <w:rFonts w:ascii="Times New Roman" w:hAnsi="Times New Roman" w:cs="Times New Roman"/>
        </w:rPr>
        <w:footnoteRef/>
      </w:r>
      <w:r w:rsidRPr="007B5486">
        <w:rPr>
          <w:rFonts w:ascii="Times New Roman" w:hAnsi="Times New Roman" w:cs="Times New Roman"/>
        </w:rPr>
        <w:t xml:space="preserve"> AEP Ohio refers to Ohio Power Company.</w:t>
      </w:r>
    </w:p>
  </w:footnote>
  <w:footnote w:id="4">
    <w:p w:rsidR="009E478F" w:rsidRPr="007B5486" w:rsidP="007B5486">
      <w:pPr>
        <w:pStyle w:val="FootnoteText"/>
        <w:spacing w:after="120"/>
        <w:rPr>
          <w:rFonts w:ascii="Times New Roman" w:hAnsi="Times New Roman" w:cs="Times New Roman"/>
        </w:rPr>
      </w:pPr>
      <w:r w:rsidRPr="007B5486">
        <w:rPr>
          <w:rStyle w:val="FootnoteReference"/>
          <w:rFonts w:ascii="Times New Roman" w:hAnsi="Times New Roman" w:cs="Times New Roman"/>
        </w:rPr>
        <w:footnoteRef/>
      </w:r>
      <w:r w:rsidRPr="007B5486">
        <w:rPr>
          <w:rFonts w:ascii="Times New Roman" w:hAnsi="Times New Roman" w:cs="Times New Roman"/>
        </w:rPr>
        <w:t xml:space="preserve"> </w:t>
      </w:r>
      <w:r w:rsidRPr="007B5486">
        <w:rPr>
          <w:rFonts w:ascii="Times New Roman" w:hAnsi="Times New Roman" w:cs="Times New Roman"/>
          <w:i/>
        </w:rPr>
        <w:t>In Re Application of Columbus Southern Power Co</w:t>
      </w:r>
      <w:r w:rsidRPr="007B5486">
        <w:rPr>
          <w:rFonts w:ascii="Times New Roman" w:hAnsi="Times New Roman" w:cs="Times New Roman"/>
        </w:rPr>
        <w:t>. (2011), 128 Ohio St.3d 512, 947 N.E.2d 655 at 664.</w:t>
      </w:r>
    </w:p>
  </w:footnote>
  <w:footnote w:id="5">
    <w:p w:rsidR="000C7989" w:rsidRPr="007B5486" w:rsidP="007B5486">
      <w:pPr>
        <w:pStyle w:val="FootnoteText"/>
        <w:spacing w:after="120"/>
        <w:rPr>
          <w:rFonts w:ascii="Times New Roman" w:hAnsi="Times New Roman" w:cs="Times New Roman"/>
        </w:rPr>
      </w:pPr>
      <w:r w:rsidRPr="007B5486">
        <w:rPr>
          <w:rStyle w:val="FootnoteReference"/>
          <w:rFonts w:ascii="Times New Roman" w:hAnsi="Times New Roman" w:cs="Times New Roman"/>
        </w:rPr>
        <w:footnoteRef/>
      </w:r>
      <w:r w:rsidRPr="007B5486">
        <w:rPr>
          <w:rFonts w:ascii="Times New Roman" w:hAnsi="Times New Roman" w:cs="Times New Roman"/>
        </w:rPr>
        <w:t xml:space="preserve"> Fourth Entry on Rehearing at 23 ¶50.</w:t>
      </w:r>
    </w:p>
  </w:footnote>
  <w:footnote w:id="6">
    <w:p w:rsidR="000C7989" w:rsidRPr="007B5486" w:rsidP="007B5486">
      <w:pPr>
        <w:pStyle w:val="FootnoteText"/>
        <w:spacing w:after="120"/>
        <w:rPr>
          <w:rFonts w:ascii="Times New Roman" w:hAnsi="Times New Roman" w:cs="Times New Roman"/>
        </w:rPr>
      </w:pPr>
      <w:r w:rsidRPr="007B5486">
        <w:rPr>
          <w:rStyle w:val="FootnoteReference"/>
          <w:rFonts w:ascii="Times New Roman" w:hAnsi="Times New Roman" w:cs="Times New Roman"/>
        </w:rPr>
        <w:footnoteRef/>
      </w:r>
      <w:r w:rsidRPr="007B5486">
        <w:rPr>
          <w:rFonts w:ascii="Times New Roman" w:hAnsi="Times New Roman" w:cs="Times New Roman"/>
        </w:rPr>
        <w:t xml:space="preserve"> Id. (emphasis added)</w:t>
      </w:r>
      <w:r>
        <w:rPr>
          <w:rFonts w:ascii="Times New Roman" w:hAnsi="Times New Roman" w:cs="Times New Roman"/>
        </w:rPr>
        <w:t>.</w:t>
      </w:r>
    </w:p>
  </w:footnote>
  <w:footnote w:id="7">
    <w:p w:rsidR="000C7989" w:rsidRPr="007B5486" w:rsidP="007B5486">
      <w:pPr>
        <w:pStyle w:val="FootnoteText"/>
        <w:spacing w:after="120"/>
        <w:rPr>
          <w:rFonts w:ascii="Times New Roman" w:hAnsi="Times New Roman" w:cs="Times New Roman"/>
        </w:rPr>
      </w:pPr>
      <w:r w:rsidRPr="007B5486">
        <w:rPr>
          <w:rStyle w:val="FootnoteReference"/>
          <w:rFonts w:ascii="Times New Roman" w:hAnsi="Times New Roman" w:cs="Times New Roman"/>
        </w:rPr>
        <w:footnoteRef/>
      </w:r>
      <w:r w:rsidRPr="007B5486">
        <w:rPr>
          <w:rFonts w:ascii="Times New Roman" w:hAnsi="Times New Roman" w:cs="Times New Roman"/>
        </w:rPr>
        <w:t xml:space="preserve"> Id. (emphasis added).</w:t>
      </w:r>
    </w:p>
  </w:footnote>
  <w:footnote w:id="8">
    <w:p w:rsidR="000C7989" w:rsidRPr="007B5486" w:rsidP="007B5486">
      <w:pPr>
        <w:spacing w:after="120"/>
      </w:pPr>
      <w:r w:rsidRPr="007B5486">
        <w:rPr>
          <w:rStyle w:val="FootnoteReference"/>
        </w:rPr>
        <w:footnoteRef/>
      </w:r>
      <w:r w:rsidRPr="007B5486">
        <w:rPr>
          <w:color w:val="373739"/>
        </w:rPr>
        <w:t xml:space="preserve"> </w:t>
      </w:r>
      <w:r w:rsidRPr="007B5486">
        <w:rPr>
          <w:i/>
          <w:iCs/>
        </w:rPr>
        <w:t>Columbus S. Power Co. v. Pub. Util. Comm</w:t>
      </w:r>
      <w:r w:rsidRPr="007B5486">
        <w:t>. (1993), 67 Ohio St.3d 535, 620 N.E.2d 835, citing</w:t>
      </w:r>
      <w:r w:rsidRPr="007B5486">
        <w:rPr>
          <w:color w:val="373739"/>
        </w:rPr>
        <w:t xml:space="preserve"> </w:t>
      </w:r>
      <w:r w:rsidRPr="007B5486">
        <w:rPr>
          <w:i/>
          <w:iCs/>
          <w:color w:val="000000" w:themeColor="text1"/>
        </w:rPr>
        <w:t>Dayton Communications Corp. v. Pub. Util. Comm.</w:t>
      </w:r>
      <w:r w:rsidRPr="007B5486">
        <w:rPr>
          <w:color w:val="000000" w:themeColor="text1"/>
        </w:rPr>
        <w:t xml:space="preserve"> (1980), 64 Ohio St.2d 302, 18 O.O.3d 478, 414 N.E.2d 1051; </w:t>
      </w:r>
      <w:r w:rsidRPr="007B5486">
        <w:rPr>
          <w:i/>
          <w:iCs/>
          <w:color w:val="000000" w:themeColor="text1"/>
        </w:rPr>
        <w:t>Pike Natural Gas Co. v. Pub. Util. Comm.</w:t>
      </w:r>
      <w:r w:rsidRPr="007B5486">
        <w:rPr>
          <w:color w:val="000000" w:themeColor="text1"/>
        </w:rPr>
        <w:t xml:space="preserve"> (1981), 68 Ohio St.2d 181, 22 O.O.3d 410, 429 N.E.2d 444; </w:t>
      </w:r>
      <w:r w:rsidRPr="007B5486">
        <w:rPr>
          <w:i/>
          <w:iCs/>
          <w:color w:val="000000" w:themeColor="text1"/>
        </w:rPr>
        <w:t>Consumers' Counsel v. Pub. Util. Comm.</w:t>
      </w:r>
      <w:r w:rsidRPr="007B5486">
        <w:rPr>
          <w:color w:val="000000" w:themeColor="text1"/>
        </w:rPr>
        <w:t xml:space="preserve"> (1981), 67 Ohio St.2d 153, 21 O.O.3d 96, 423 N.E.2d 820; </w:t>
      </w:r>
      <w:r w:rsidRPr="007B5486">
        <w:rPr>
          <w:i/>
          <w:iCs/>
          <w:color w:val="000000" w:themeColor="text1"/>
        </w:rPr>
        <w:t>Werlin Corp. v. Pub. Util. Comm.</w:t>
      </w:r>
      <w:r w:rsidRPr="007B5486">
        <w:rPr>
          <w:color w:val="000000" w:themeColor="text1"/>
        </w:rPr>
        <w:t xml:space="preserve"> (1978), 53 Ohio St.2d 76, 7 O.O.3d 152, 372 N.E.2d 592; </w:t>
      </w:r>
      <w:r w:rsidRPr="007B5486">
        <w:rPr>
          <w:i/>
          <w:iCs/>
          <w:color w:val="000000" w:themeColor="text1"/>
        </w:rPr>
        <w:t>Ohio Pub. Interest Action Group, Inc. v. Pub. Util. Comm.</w:t>
      </w:r>
      <w:bookmarkStart w:id="6" w:name="PAGE_7350"/>
      <w:r w:rsidRPr="007B5486">
        <w:rPr>
          <w:color w:val="000000" w:themeColor="text1"/>
        </w:rPr>
        <w:t> </w:t>
      </w:r>
      <w:bookmarkEnd w:id="6"/>
      <w:r w:rsidRPr="007B5486">
        <w:rPr>
          <w:color w:val="000000" w:themeColor="text1"/>
        </w:rPr>
        <w:t xml:space="preserve"> (1975), 43 Ohio St.2d 175, 72 O.O.2d 98, 331 N.E.2d 730.</w:t>
      </w:r>
    </w:p>
  </w:footnote>
  <w:footnote w:id="9">
    <w:p w:rsidR="000C7989" w:rsidRPr="007B5486" w:rsidP="007B5486">
      <w:pPr>
        <w:pStyle w:val="FootnoteText"/>
        <w:spacing w:after="120"/>
        <w:rPr>
          <w:rFonts w:ascii="Times New Roman" w:hAnsi="Times New Roman" w:cs="Times New Roman"/>
        </w:rPr>
      </w:pPr>
      <w:r w:rsidRPr="007B5486">
        <w:rPr>
          <w:rStyle w:val="FootnoteReference"/>
          <w:rFonts w:ascii="Times New Roman" w:hAnsi="Times New Roman" w:cs="Times New Roman"/>
        </w:rPr>
        <w:footnoteRef/>
      </w:r>
      <w:r w:rsidRPr="007B5486">
        <w:rPr>
          <w:rFonts w:ascii="Times New Roman" w:hAnsi="Times New Roman" w:cs="Times New Roman"/>
        </w:rPr>
        <w:t xml:space="preserve"> </w:t>
      </w:r>
      <w:r w:rsidRPr="007B5486">
        <w:rPr>
          <w:rFonts w:ascii="Times New Roman" w:hAnsi="Times New Roman" w:cs="Times New Roman"/>
          <w:i/>
          <w:iCs/>
        </w:rPr>
        <w:t>Columbus S. Power Co. v. Pub. Util. Comm</w:t>
      </w:r>
      <w:r w:rsidRPr="007B5486">
        <w:rPr>
          <w:rFonts w:ascii="Times New Roman" w:hAnsi="Times New Roman" w:cs="Times New Roman"/>
        </w:rPr>
        <w:t>. (1993), 67 Ohio St. 3d 535, 620 N.E.2d 835 at 838.</w:t>
      </w:r>
    </w:p>
  </w:footnote>
  <w:footnote w:id="10">
    <w:p w:rsidR="000C7989" w:rsidRPr="007B5486" w:rsidP="007B5486">
      <w:pPr>
        <w:pStyle w:val="FootnoteText"/>
        <w:spacing w:after="120"/>
        <w:rPr>
          <w:rFonts w:ascii="Times New Roman" w:hAnsi="Times New Roman" w:cs="Times New Roman"/>
        </w:rPr>
      </w:pPr>
      <w:r w:rsidRPr="007B5486">
        <w:rPr>
          <w:rStyle w:val="FootnoteReference"/>
          <w:rFonts w:ascii="Times New Roman" w:hAnsi="Times New Roman" w:cs="Times New Roman"/>
        </w:rPr>
        <w:footnoteRef/>
      </w:r>
      <w:r w:rsidRPr="007B5486">
        <w:rPr>
          <w:rFonts w:ascii="Times New Roman" w:hAnsi="Times New Roman" w:cs="Times New Roman"/>
        </w:rPr>
        <w:t xml:space="preserve"> Fourth Entry on Rehearing at 23 ¶50.</w:t>
      </w:r>
    </w:p>
  </w:footnote>
  <w:footnote w:id="11">
    <w:p w:rsidR="00AD6526" w:rsidRPr="007B5486" w:rsidP="007B5486">
      <w:pPr>
        <w:pStyle w:val="FootnoteText"/>
        <w:spacing w:after="120"/>
        <w:rPr>
          <w:rFonts w:ascii="Times New Roman" w:hAnsi="Times New Roman" w:cs="Times New Roman"/>
        </w:rPr>
      </w:pPr>
      <w:r w:rsidRPr="007B5486">
        <w:rPr>
          <w:rStyle w:val="FootnoteReference"/>
          <w:rFonts w:ascii="Times New Roman" w:hAnsi="Times New Roman" w:cs="Times New Roman"/>
        </w:rPr>
        <w:footnoteRef/>
      </w:r>
      <w:r w:rsidRPr="007B5486">
        <w:rPr>
          <w:rFonts w:ascii="Times New Roman" w:hAnsi="Times New Roman" w:cs="Times New Roman"/>
        </w:rPr>
        <w:t xml:space="preserve"> Id.</w:t>
      </w:r>
    </w:p>
  </w:footnote>
  <w:footnote w:id="12">
    <w:p w:rsidR="000C7989" w:rsidRPr="007B5486" w:rsidP="007B5486">
      <w:pPr>
        <w:pStyle w:val="FootnoteText"/>
        <w:spacing w:after="120"/>
        <w:rPr>
          <w:rFonts w:ascii="Times New Roman" w:hAnsi="Times New Roman" w:cs="Times New Roman"/>
        </w:rPr>
      </w:pPr>
      <w:r w:rsidRPr="007B5486">
        <w:rPr>
          <w:rStyle w:val="FootnoteReference"/>
          <w:rFonts w:ascii="Times New Roman" w:hAnsi="Times New Roman" w:cs="Times New Roman"/>
        </w:rPr>
        <w:footnoteRef/>
      </w:r>
      <w:r w:rsidRPr="007B5486">
        <w:rPr>
          <w:rFonts w:ascii="Times New Roman" w:hAnsi="Times New Roman" w:cs="Times New Roman"/>
        </w:rPr>
        <w:t xml:space="preserve"> </w:t>
      </w:r>
      <w:r w:rsidRPr="007B5486">
        <w:rPr>
          <w:rFonts w:ascii="Times New Roman" w:hAnsi="Times New Roman" w:cs="Times New Roman"/>
          <w:i/>
          <w:iCs/>
        </w:rPr>
        <w:t>Columbus S. Power Co. v. Pub. Util. Comm</w:t>
      </w:r>
      <w:r w:rsidRPr="007B5486">
        <w:rPr>
          <w:rFonts w:ascii="Times New Roman" w:hAnsi="Times New Roman" w:cs="Times New Roman"/>
        </w:rPr>
        <w:t xml:space="preserve">. (1993), 67 Ohio St. 3d 535, 620 N.E.2d 835, at 841, citing </w:t>
      </w:r>
      <w:r w:rsidRPr="007B5486">
        <w:rPr>
          <w:rFonts w:ascii="Times New Roman" w:hAnsi="Times New Roman" w:cs="Times New Roman"/>
          <w:i/>
        </w:rPr>
        <w:t>Dayton Power  &amp; Light Co. v. Pub. Util. Comm.</w:t>
      </w:r>
      <w:r w:rsidRPr="007B5486">
        <w:rPr>
          <w:rFonts w:ascii="Times New Roman" w:hAnsi="Times New Roman" w:cs="Times New Roman"/>
        </w:rPr>
        <w:t xml:space="preserve"> (1980), 4 Ohio St.3d 91, 447 N.E.2d 733.</w:t>
      </w:r>
    </w:p>
  </w:footnote>
  <w:footnote w:id="13">
    <w:p w:rsidR="000C7989" w:rsidRPr="007B5486" w:rsidP="007B5486">
      <w:pPr>
        <w:pStyle w:val="FootnoteText"/>
        <w:spacing w:after="120"/>
        <w:rPr>
          <w:rFonts w:ascii="Times New Roman" w:hAnsi="Times New Roman" w:cs="Times New Roman"/>
        </w:rPr>
      </w:pPr>
      <w:r w:rsidRPr="007B5486">
        <w:rPr>
          <w:rStyle w:val="FootnoteReference"/>
          <w:rFonts w:ascii="Times New Roman" w:hAnsi="Times New Roman" w:cs="Times New Roman"/>
        </w:rPr>
        <w:footnoteRef/>
      </w:r>
      <w:r w:rsidRPr="007B5486">
        <w:rPr>
          <w:rFonts w:ascii="Times New Roman" w:hAnsi="Times New Roman" w:cs="Times New Roman"/>
        </w:rPr>
        <w:t xml:space="preserve"> Entry at 22 ¶49.</w:t>
      </w:r>
    </w:p>
  </w:footnote>
  <w:footnote w:id="14">
    <w:p w:rsidR="000C7989" w:rsidRPr="007B5486" w:rsidP="007B5486">
      <w:pPr>
        <w:pStyle w:val="FootnoteText"/>
        <w:spacing w:after="120"/>
        <w:rPr>
          <w:rFonts w:ascii="Times New Roman" w:hAnsi="Times New Roman" w:cs="Times New Roman"/>
        </w:rPr>
      </w:pPr>
      <w:r w:rsidRPr="007B5486">
        <w:rPr>
          <w:rStyle w:val="FootnoteReference"/>
          <w:rFonts w:ascii="Times New Roman" w:hAnsi="Times New Roman" w:cs="Times New Roman"/>
        </w:rPr>
        <w:footnoteRef/>
      </w:r>
      <w:r w:rsidRPr="007B5486">
        <w:rPr>
          <w:rFonts w:ascii="Times New Roman" w:hAnsi="Times New Roman" w:cs="Times New Roman"/>
        </w:rPr>
        <w:t xml:space="preserve"> Id.</w:t>
      </w:r>
    </w:p>
  </w:footnote>
  <w:footnote w:id="15">
    <w:p w:rsidR="009E478F" w:rsidRPr="007B5486" w:rsidP="007B5486">
      <w:pPr>
        <w:pStyle w:val="FootnoteText"/>
        <w:spacing w:after="120"/>
        <w:rPr>
          <w:rFonts w:ascii="Times New Roman" w:hAnsi="Times New Roman" w:cs="Times New Roman"/>
        </w:rPr>
      </w:pPr>
      <w:r w:rsidRPr="007B5486">
        <w:rPr>
          <w:rStyle w:val="FootnoteReference"/>
          <w:rFonts w:ascii="Times New Roman" w:hAnsi="Times New Roman" w:cs="Times New Roman"/>
        </w:rPr>
        <w:footnoteRef/>
      </w:r>
      <w:r w:rsidRPr="007B5486">
        <w:rPr>
          <w:rFonts w:ascii="Times New Roman" w:hAnsi="Times New Roman" w:cs="Times New Roman"/>
        </w:rPr>
        <w:t xml:space="preserve"> Id.</w:t>
      </w:r>
    </w:p>
  </w:footnote>
  <w:footnote w:id="16">
    <w:p w:rsidR="000C7989" w:rsidRPr="007B5486" w:rsidP="007B5486">
      <w:pPr>
        <w:pStyle w:val="FootnoteText"/>
        <w:spacing w:after="120"/>
        <w:rPr>
          <w:rFonts w:ascii="Times New Roman" w:hAnsi="Times New Roman" w:cs="Times New Roman"/>
        </w:rPr>
      </w:pPr>
      <w:r w:rsidRPr="007B5486">
        <w:rPr>
          <w:rStyle w:val="FootnoteReference"/>
          <w:rFonts w:ascii="Times New Roman" w:hAnsi="Times New Roman" w:cs="Times New Roman"/>
        </w:rPr>
        <w:footnoteRef/>
      </w:r>
      <w:r w:rsidRPr="007B5486">
        <w:rPr>
          <w:rFonts w:ascii="Times New Roman" w:hAnsi="Times New Roman" w:cs="Times New Roman"/>
          <w:i/>
          <w:iCs/>
        </w:rPr>
        <w:t xml:space="preserve"> Columbus S. Power Co. v. Pub. Util. Comm</w:t>
      </w:r>
      <w:r w:rsidRPr="007B5486">
        <w:rPr>
          <w:rFonts w:ascii="Times New Roman" w:hAnsi="Times New Roman" w:cs="Times New Roman"/>
        </w:rPr>
        <w:t xml:space="preserve">. (1993), 67 Ohio St. 3d 535, 620 N.E.2d 835;   </w:t>
      </w:r>
      <w:r w:rsidRPr="007B5486">
        <w:rPr>
          <w:rFonts w:ascii="Times New Roman" w:hAnsi="Times New Roman" w:cs="Times New Roman"/>
          <w:i/>
          <w:iCs/>
        </w:rPr>
        <w:t>Pike Natural Gas Co. v. Pub. Util. Comm</w:t>
      </w:r>
      <w:r w:rsidRPr="007B5486">
        <w:rPr>
          <w:rFonts w:ascii="Times New Roman" w:hAnsi="Times New Roman" w:cs="Times New Roman"/>
        </w:rPr>
        <w:t xml:space="preserve">. (1981), 68 Ohio St.2d 181, 22 Ohio Op. 3d 410, 429 N.E.2d 444 </w:t>
      </w:r>
      <w:r w:rsidRPr="007B5486">
        <w:rPr>
          <w:rFonts w:ascii="Times New Roman" w:hAnsi="Times New Roman" w:cs="Times New Roman"/>
          <w:i/>
          <w:iCs/>
        </w:rPr>
        <w:t>Consumers' Counsel v. Pub. Util. Comm.</w:t>
      </w:r>
      <w:r w:rsidRPr="007B5486">
        <w:rPr>
          <w:rFonts w:ascii="Times New Roman" w:hAnsi="Times New Roman" w:cs="Times New Roman"/>
        </w:rPr>
        <w:t xml:space="preserve"> (1981), 67 Ohio St.2d 153, 21 Ohio Op. 3d 96, 423 N.E.2d 820; and </w:t>
      </w:r>
      <w:r w:rsidRPr="007B5486">
        <w:rPr>
          <w:rFonts w:ascii="Times New Roman" w:hAnsi="Times New Roman" w:cs="Times New Roman"/>
          <w:i/>
          <w:iCs/>
        </w:rPr>
        <w:t>Dayton Communications Corp. v. Pub. Util. Comm</w:t>
      </w:r>
      <w:r w:rsidRPr="007B5486">
        <w:rPr>
          <w:rFonts w:ascii="Times New Roman" w:hAnsi="Times New Roman" w:cs="Times New Roman"/>
        </w:rPr>
        <w:t xml:space="preserve">. (1980), 64 Ohio St.2d 302, 18 Ohio Op. 3d 478, 414 N.E.2d 1051.   </w:t>
      </w:r>
    </w:p>
  </w:footnote>
  <w:footnote w:id="17">
    <w:p w:rsidR="009E478F" w:rsidRPr="007B5486" w:rsidP="007B5486">
      <w:pPr>
        <w:pStyle w:val="FootnoteText"/>
        <w:spacing w:after="120"/>
        <w:rPr>
          <w:rFonts w:ascii="Times New Roman" w:hAnsi="Times New Roman" w:cs="Times New Roman"/>
        </w:rPr>
      </w:pPr>
      <w:r w:rsidRPr="007B5486">
        <w:rPr>
          <w:rStyle w:val="FootnoteReference"/>
          <w:rFonts w:ascii="Times New Roman" w:hAnsi="Times New Roman" w:cs="Times New Roman"/>
        </w:rPr>
        <w:footnoteRef/>
      </w:r>
      <w:r w:rsidRPr="007B5486">
        <w:rPr>
          <w:rFonts w:ascii="Times New Roman" w:hAnsi="Times New Roman" w:cs="Times New Roman"/>
        </w:rPr>
        <w:t xml:space="preserve"> AEP Ohio did not obtain a waiver of Ohio Adm. Code 4901:1-35-03(C)(9)(c)(i).</w:t>
      </w:r>
    </w:p>
  </w:footnote>
  <w:footnote w:id="18">
    <w:p w:rsidR="000C7989" w:rsidRPr="007B5486" w:rsidP="007B5486">
      <w:pPr>
        <w:pStyle w:val="FootnoteText"/>
        <w:spacing w:after="120"/>
        <w:rPr>
          <w:rFonts w:ascii="Times New Roman" w:hAnsi="Times New Roman" w:cs="Times New Roman"/>
        </w:rPr>
      </w:pPr>
      <w:r w:rsidRPr="007B5486">
        <w:rPr>
          <w:rStyle w:val="FootnoteReference"/>
          <w:rFonts w:ascii="Times New Roman" w:hAnsi="Times New Roman" w:cs="Times New Roman"/>
        </w:rPr>
        <w:footnoteRef/>
      </w:r>
      <w:r w:rsidRPr="007B5486">
        <w:rPr>
          <w:rFonts w:ascii="Times New Roman" w:hAnsi="Times New Roman" w:cs="Times New Roman"/>
        </w:rPr>
        <w:t xml:space="preserve"> </w:t>
      </w:r>
      <w:r w:rsidRPr="007B5486">
        <w:rPr>
          <w:rFonts w:ascii="Times New Roman" w:hAnsi="Times New Roman" w:cs="Times New Roman"/>
          <w:i/>
        </w:rPr>
        <w:t>In re: Application of Columbus S. Power Co</w:t>
      </w:r>
      <w:r w:rsidRPr="007B5486">
        <w:rPr>
          <w:rFonts w:ascii="Times New Roman" w:hAnsi="Times New Roman" w:cs="Times New Roman"/>
        </w:rPr>
        <w:t xml:space="preserve">., Slip Opinion No. 2-016-Ohio-1608, par 49 ("[i}n construing a statute, we may not add or delete words."), citing </w:t>
      </w:r>
      <w:r w:rsidRPr="007B5486">
        <w:rPr>
          <w:rFonts w:ascii="Times New Roman" w:hAnsi="Times New Roman" w:cs="Times New Roman"/>
          <w:i/>
        </w:rPr>
        <w:t>State ex rel. Cincinnati Bell Tel. Co. v. Publ. Util. Comm</w:t>
      </w:r>
      <w:r w:rsidRPr="007B5486">
        <w:rPr>
          <w:rFonts w:ascii="Times New Roman" w:hAnsi="Times New Roman" w:cs="Times New Roman"/>
        </w:rPr>
        <w:t>., 105 Ohio St.3d 177, 2005-Ohio-1150, 824 N. E.2d 68, ¶32.</w:t>
      </w:r>
    </w:p>
  </w:footnote>
  <w:footnote w:id="19">
    <w:p w:rsidR="004E7487" w:rsidRPr="007B5486" w:rsidP="007B5486">
      <w:pPr>
        <w:pStyle w:val="FootnoteText"/>
        <w:spacing w:after="120"/>
        <w:rPr>
          <w:rFonts w:ascii="Times New Roman" w:hAnsi="Times New Roman" w:cs="Times New Roman"/>
        </w:rPr>
      </w:pPr>
      <w:r w:rsidRPr="007B5486">
        <w:rPr>
          <w:rStyle w:val="FootnoteReference"/>
          <w:rFonts w:ascii="Times New Roman" w:hAnsi="Times New Roman" w:cs="Times New Roman"/>
        </w:rPr>
        <w:footnoteRef/>
      </w:r>
      <w:r w:rsidRPr="007B5486">
        <w:rPr>
          <w:rFonts w:ascii="Times New Roman" w:hAnsi="Times New Roman" w:cs="Times New Roman"/>
        </w:rPr>
        <w:t xml:space="preserve"> See Rule 4901:1-35-03(C)(9)(c).</w:t>
      </w:r>
    </w:p>
  </w:footnote>
  <w:footnote w:id="20">
    <w:p w:rsidR="000C7989" w:rsidRPr="007B5486" w:rsidP="007B5486">
      <w:pPr>
        <w:pStyle w:val="FootnoteText"/>
        <w:spacing w:after="120"/>
        <w:rPr>
          <w:rFonts w:ascii="Times New Roman" w:hAnsi="Times New Roman" w:cs="Times New Roman"/>
        </w:rPr>
      </w:pPr>
      <w:r w:rsidRPr="007B5486">
        <w:rPr>
          <w:rStyle w:val="FootnoteReference"/>
          <w:rFonts w:ascii="Times New Roman" w:hAnsi="Times New Roman" w:cs="Times New Roman"/>
        </w:rPr>
        <w:footnoteRef/>
      </w:r>
      <w:r w:rsidRPr="007B5486">
        <w:rPr>
          <w:rFonts w:ascii="Times New Roman" w:hAnsi="Times New Roman" w:cs="Times New Roman"/>
        </w:rPr>
        <w:t xml:space="preserve"> Ohio Adm. Code 4901:1-35-03(C) and 4901:1-35-03(C)(9)(c)(emphasis added).</w:t>
      </w:r>
    </w:p>
  </w:footnote>
  <w:footnote w:id="21">
    <w:p w:rsidR="00647D7C" w:rsidRPr="007B5486" w:rsidP="007B5486">
      <w:pPr>
        <w:pStyle w:val="FootnoteText"/>
        <w:spacing w:after="120"/>
        <w:rPr>
          <w:rFonts w:ascii="Times New Roman" w:hAnsi="Times New Roman" w:cs="Times New Roman"/>
        </w:rPr>
      </w:pPr>
      <w:r w:rsidRPr="007B5486">
        <w:rPr>
          <w:rStyle w:val="FootnoteReference"/>
          <w:rFonts w:ascii="Times New Roman" w:hAnsi="Times New Roman" w:cs="Times New Roman"/>
        </w:rPr>
        <w:footnoteRef/>
      </w:r>
      <w:r w:rsidRPr="007B5486">
        <w:rPr>
          <w:rFonts w:ascii="Times New Roman" w:hAnsi="Times New Roman" w:cs="Times New Roman"/>
        </w:rPr>
        <w:t xml:space="preserve"> See </w:t>
      </w:r>
      <w:r w:rsidRPr="007B5486">
        <w:rPr>
          <w:rFonts w:ascii="Times New Roman" w:hAnsi="Times New Roman" w:cs="Times New Roman"/>
          <w:i/>
        </w:rPr>
        <w:t>In the Matter of the Application of Ohio Power Company for Authority to Establish a Standard Service Offer Pursuant to R.C. 4928.143, in the Form of an Electric Security Plan</w:t>
      </w:r>
      <w:r w:rsidRPr="007B5486">
        <w:rPr>
          <w:rFonts w:ascii="Times New Roman" w:hAnsi="Times New Roman" w:cs="Times New Roman"/>
        </w:rPr>
        <w:t>, Case No. 13-2385, Opinion and Order at 22 February 25, 2015) (emphasis added).</w:t>
      </w:r>
    </w:p>
  </w:footnote>
  <w:footnote w:id="22">
    <w:p w:rsidR="002A632D" w:rsidRPr="007B5486" w:rsidP="007B5486">
      <w:pPr>
        <w:pStyle w:val="FootnoteText"/>
        <w:spacing w:after="120"/>
        <w:rPr>
          <w:rFonts w:ascii="Times New Roman" w:hAnsi="Times New Roman" w:cs="Times New Roman"/>
        </w:rPr>
      </w:pPr>
      <w:r w:rsidRPr="007B5486">
        <w:rPr>
          <w:rStyle w:val="FootnoteReference"/>
          <w:rFonts w:ascii="Times New Roman" w:hAnsi="Times New Roman" w:cs="Times New Roman"/>
        </w:rPr>
        <w:footnoteRef/>
      </w:r>
      <w:r w:rsidRPr="007B5486">
        <w:rPr>
          <w:rFonts w:ascii="Times New Roman" w:hAnsi="Times New Roman" w:cs="Times New Roman"/>
        </w:rPr>
        <w:t xml:space="preserve"> See id. at 22 (relying on OEG Witness Taylor’s testimony).</w:t>
      </w:r>
    </w:p>
  </w:footnote>
  <w:footnote w:id="23">
    <w:p w:rsidR="0033270A" w:rsidRPr="007B5486" w:rsidP="007B5486">
      <w:pPr>
        <w:pStyle w:val="FootnoteText"/>
        <w:spacing w:after="120"/>
        <w:rPr>
          <w:rFonts w:ascii="Times New Roman" w:hAnsi="Times New Roman" w:cs="Times New Roman"/>
        </w:rPr>
      </w:pPr>
      <w:r w:rsidRPr="007B5486">
        <w:rPr>
          <w:rStyle w:val="FootnoteReference"/>
          <w:rFonts w:ascii="Times New Roman" w:hAnsi="Times New Roman" w:cs="Times New Roman"/>
        </w:rPr>
        <w:footnoteRef/>
      </w:r>
      <w:r w:rsidRPr="007B5486">
        <w:rPr>
          <w:rFonts w:ascii="Times New Roman" w:hAnsi="Times New Roman" w:cs="Times New Roman"/>
        </w:rPr>
        <w:t xml:space="preserve"> See PUCO Fourth Entry on Rehearing at ¶94.</w:t>
      </w:r>
    </w:p>
  </w:footnote>
  <w:footnote w:id="24">
    <w:p w:rsidR="00D518E5" w:rsidRPr="007B5486" w:rsidP="007B5486">
      <w:pPr>
        <w:pStyle w:val="FootnoteText"/>
        <w:spacing w:after="120"/>
        <w:rPr>
          <w:rFonts w:ascii="Times New Roman" w:hAnsi="Times New Roman" w:cs="Times New Roman"/>
        </w:rPr>
      </w:pPr>
      <w:r w:rsidRPr="007B5486">
        <w:rPr>
          <w:rStyle w:val="FootnoteReference"/>
          <w:rFonts w:ascii="Times New Roman" w:hAnsi="Times New Roman" w:cs="Times New Roman"/>
        </w:rPr>
        <w:footnoteRef/>
      </w:r>
      <w:r w:rsidRPr="007B5486">
        <w:rPr>
          <w:rFonts w:ascii="Times New Roman" w:hAnsi="Times New Roman" w:cs="Times New Roman"/>
        </w:rPr>
        <w:t xml:space="preserve"> Importantly, the PUCO does not state which Ohio Revised Code provision gives it the authority to defer ruling on an application for rehearing. See Fourth Entry on Rehearing at ¶94.</w:t>
      </w:r>
    </w:p>
  </w:footnote>
  <w:footnote w:id="25">
    <w:p w:rsidR="00D518E5" w:rsidRPr="007B5486" w:rsidP="007B5486">
      <w:pPr>
        <w:pStyle w:val="FootnoteText"/>
        <w:spacing w:after="120"/>
        <w:rPr>
          <w:rFonts w:ascii="Times New Roman" w:hAnsi="Times New Roman" w:cs="Times New Roman"/>
        </w:rPr>
      </w:pPr>
      <w:r w:rsidRPr="007B5486">
        <w:rPr>
          <w:rStyle w:val="FootnoteReference"/>
          <w:rFonts w:ascii="Times New Roman" w:hAnsi="Times New Roman" w:cs="Times New Roman"/>
        </w:rPr>
        <w:footnoteRef/>
      </w:r>
      <w:r w:rsidRPr="007B5486">
        <w:rPr>
          <w:rFonts w:ascii="Times New Roman" w:hAnsi="Times New Roman" w:cs="Times New Roman"/>
        </w:rPr>
        <w:t xml:space="preserve"> See Fourth Entry on Rehearing at ¶94. </w:t>
      </w:r>
    </w:p>
  </w:footnote>
  <w:footnote w:id="26">
    <w:p w:rsidR="000C7989" w:rsidRPr="007B5486" w:rsidP="007B5486">
      <w:pPr>
        <w:pStyle w:val="FootnoteText"/>
        <w:spacing w:after="120"/>
        <w:rPr>
          <w:rFonts w:ascii="Times New Roman" w:hAnsi="Times New Roman" w:cs="Times New Roman"/>
        </w:rPr>
      </w:pPr>
      <w:r w:rsidRPr="007B5486">
        <w:rPr>
          <w:rStyle w:val="FootnoteReference"/>
          <w:rFonts w:ascii="Times New Roman" w:hAnsi="Times New Roman" w:cs="Times New Roman"/>
        </w:rPr>
        <w:footnoteRef/>
      </w:r>
      <w:r w:rsidRPr="007B5486">
        <w:rPr>
          <w:rFonts w:ascii="Times New Roman" w:hAnsi="Times New Roman" w:cs="Times New Roman"/>
        </w:rPr>
        <w:t xml:space="preserve"> </w:t>
      </w:r>
      <w:r w:rsidRPr="007B5486">
        <w:rPr>
          <w:rFonts w:ascii="Times New Roman" w:hAnsi="Times New Roman" w:cs="Times New Roman"/>
          <w:i/>
          <w:iCs/>
        </w:rPr>
        <w:t>Columbus S. Power Co. v. Pub. Util. Comm</w:t>
      </w:r>
      <w:r w:rsidRPr="007B5486">
        <w:rPr>
          <w:rFonts w:ascii="Times New Roman" w:hAnsi="Times New Roman" w:cs="Times New Roman"/>
        </w:rPr>
        <w:t xml:space="preserve">. (1993), 67 Ohio St. 3d 535, 620 N.E.2d 835;   </w:t>
      </w:r>
      <w:r w:rsidRPr="007B5486">
        <w:rPr>
          <w:rFonts w:ascii="Times New Roman" w:hAnsi="Times New Roman" w:cs="Times New Roman"/>
          <w:i/>
          <w:iCs/>
        </w:rPr>
        <w:t>Pike Natural Gas Co. v. Pub. Util. Comm</w:t>
      </w:r>
      <w:r w:rsidRPr="007B5486">
        <w:rPr>
          <w:rFonts w:ascii="Times New Roman" w:hAnsi="Times New Roman" w:cs="Times New Roman"/>
        </w:rPr>
        <w:t xml:space="preserve">. (1981), 68 Ohio St.2d 181, 22 Ohio Op. 3d 410, 429 N.E.2d 444 </w:t>
      </w:r>
      <w:r w:rsidRPr="007B5486">
        <w:rPr>
          <w:rFonts w:ascii="Times New Roman" w:hAnsi="Times New Roman" w:cs="Times New Roman"/>
          <w:i/>
          <w:iCs/>
        </w:rPr>
        <w:t>Consumers' Counsel v. Pub. Util. Comm.</w:t>
      </w:r>
      <w:r w:rsidRPr="007B5486">
        <w:rPr>
          <w:rFonts w:ascii="Times New Roman" w:hAnsi="Times New Roman" w:cs="Times New Roman"/>
        </w:rPr>
        <w:t xml:space="preserve"> (1981), 67 Ohio St.2d 153, 21 Ohio Op. 3d 96, 423 N.E.2d 820; and </w:t>
      </w:r>
      <w:r w:rsidRPr="007B5486">
        <w:rPr>
          <w:rFonts w:ascii="Times New Roman" w:hAnsi="Times New Roman" w:cs="Times New Roman"/>
          <w:i/>
          <w:iCs/>
        </w:rPr>
        <w:t>Dayton Communications Corp. v. Pub. Util. Comm</w:t>
      </w:r>
      <w:r w:rsidRPr="007B5486">
        <w:rPr>
          <w:rFonts w:ascii="Times New Roman" w:hAnsi="Times New Roman" w:cs="Times New Roman"/>
        </w:rPr>
        <w:t xml:space="preserve">. (1980), 64 Ohio St.2d 302, 18 Ohio Op. 3d 478, 414 N.E.2d 1051.  </w:t>
      </w:r>
    </w:p>
  </w:footnote>
  <w:footnote w:id="27">
    <w:p w:rsidR="000C7989" w:rsidRPr="007B5486" w:rsidP="007B5486">
      <w:pPr>
        <w:pStyle w:val="FootnoteText"/>
        <w:spacing w:after="120"/>
        <w:rPr>
          <w:rFonts w:ascii="Times New Roman" w:hAnsi="Times New Roman" w:cs="Times New Roman"/>
        </w:rPr>
      </w:pPr>
      <w:r w:rsidRPr="007B5486">
        <w:rPr>
          <w:rStyle w:val="FootnoteReference"/>
          <w:rFonts w:ascii="Times New Roman" w:hAnsi="Times New Roman" w:cs="Times New Roman"/>
        </w:rPr>
        <w:footnoteRef/>
      </w:r>
      <w:r w:rsidRPr="007B5486">
        <w:rPr>
          <w:rFonts w:ascii="Times New Roman" w:hAnsi="Times New Roman" w:cs="Times New Roman"/>
        </w:rPr>
        <w:t xml:space="preserve"> See </w:t>
      </w:r>
      <w:r w:rsidRPr="007B5486">
        <w:rPr>
          <w:rFonts w:ascii="Times New Roman" w:hAnsi="Times New Roman" w:cs="Times New Roman"/>
          <w:i/>
          <w:bdr w:val="none" w:sz="0" w:space="0" w:color="auto" w:frame="1"/>
          <w:shd w:val="clear" w:color="auto" w:fill="FFFFFF"/>
        </w:rPr>
        <w:t>Disc. Cellular, Inc. v. PUC</w:t>
      </w:r>
      <w:r w:rsidRPr="007B5486">
        <w:rPr>
          <w:rFonts w:ascii="Times New Roman" w:hAnsi="Times New Roman" w:cs="Times New Roman"/>
          <w:bdr w:val="none" w:sz="0" w:space="0" w:color="auto" w:frame="1"/>
          <w:shd w:val="clear" w:color="auto" w:fill="FFFFFF"/>
        </w:rPr>
        <w:t>, 112 Ohio St. 3d 360, 373 (2007)</w:t>
      </w:r>
      <w:r w:rsidRPr="007B5486">
        <w:rPr>
          <w:rFonts w:ascii="Times New Roman" w:hAnsi="Times New Roman" w:cs="Times New Roman"/>
        </w:rPr>
        <w:t>.</w:t>
      </w:r>
    </w:p>
  </w:footnote>
  <w:footnote w:id="28">
    <w:p w:rsidR="000C7989" w:rsidRPr="007B5486" w:rsidP="007B5486">
      <w:pPr>
        <w:pStyle w:val="FootnoteText"/>
        <w:spacing w:after="120"/>
        <w:rPr>
          <w:rFonts w:ascii="Times New Roman" w:hAnsi="Times New Roman" w:cs="Times New Roman"/>
        </w:rPr>
      </w:pPr>
      <w:r w:rsidRPr="007B5486">
        <w:rPr>
          <w:rStyle w:val="FootnoteReference"/>
          <w:rFonts w:ascii="Times New Roman" w:hAnsi="Times New Roman" w:cs="Times New Roman"/>
        </w:rPr>
        <w:footnoteRef/>
      </w:r>
      <w:r w:rsidRPr="007B5486">
        <w:rPr>
          <w:rFonts w:ascii="Times New Roman" w:hAnsi="Times New Roman" w:cs="Times New Roman"/>
        </w:rPr>
        <w:t xml:space="preserve"> </w:t>
      </w:r>
      <w:r w:rsidRPr="007B5486">
        <w:rPr>
          <w:rFonts w:ascii="Times New Roman" w:hAnsi="Times New Roman" w:cs="Times New Roman"/>
          <w:i/>
        </w:rPr>
        <w:t>In re: Application of Columbus S. Power Co</w:t>
      </w:r>
      <w:r w:rsidRPr="007B5486">
        <w:rPr>
          <w:rFonts w:ascii="Times New Roman" w:hAnsi="Times New Roman" w:cs="Times New Roman"/>
        </w:rPr>
        <w:t xml:space="preserve">., Slip Opinion No. 2-016-Ohio-1608, par 49 ("[i}n construing a statute, we may not add or delete words."), citing </w:t>
      </w:r>
      <w:r w:rsidRPr="007B5486">
        <w:rPr>
          <w:rFonts w:ascii="Times New Roman" w:hAnsi="Times New Roman" w:cs="Times New Roman"/>
          <w:i/>
        </w:rPr>
        <w:t>State ex rel. Cincinnati Bell Tel. Co. v. Publ. Util. Comm</w:t>
      </w:r>
      <w:r w:rsidRPr="007B5486">
        <w:rPr>
          <w:rFonts w:ascii="Times New Roman" w:hAnsi="Times New Roman" w:cs="Times New Roman"/>
        </w:rPr>
        <w:t>., 105 Ohio St.3d 177, 2005-Ohio-1150, 824 N. E.2d 68, ¶32.</w:t>
      </w:r>
    </w:p>
  </w:footnote>
  <w:footnote w:id="29">
    <w:p w:rsidR="000C7989" w:rsidRPr="007B5486" w:rsidP="007B5486">
      <w:pPr>
        <w:pStyle w:val="FootnoteText"/>
        <w:spacing w:after="120"/>
        <w:rPr>
          <w:rFonts w:ascii="Times New Roman" w:hAnsi="Times New Roman" w:cs="Times New Roman"/>
        </w:rPr>
      </w:pPr>
      <w:r w:rsidRPr="007B5486">
        <w:rPr>
          <w:rStyle w:val="FootnoteReference"/>
          <w:rFonts w:ascii="Times New Roman" w:hAnsi="Times New Roman" w:cs="Times New Roman"/>
        </w:rPr>
        <w:footnoteRef/>
      </w:r>
      <w:r w:rsidRPr="007B5486">
        <w:rPr>
          <w:rFonts w:ascii="Times New Roman" w:hAnsi="Times New Roman" w:cs="Times New Roman"/>
        </w:rPr>
        <w:t xml:space="preserve"> </w:t>
      </w:r>
      <w:r w:rsidRPr="007B5486">
        <w:rPr>
          <w:rFonts w:ascii="Times New Roman" w:hAnsi="Times New Roman" w:cs="Times New Roman"/>
          <w:color w:val="000000"/>
        </w:rPr>
        <w:t>Fourth Entry on Rehearing at 23.</w:t>
      </w:r>
    </w:p>
  </w:footnote>
  <w:footnote w:id="30">
    <w:p w:rsidR="000C7989" w:rsidRPr="007B5486" w:rsidP="007B5486">
      <w:pPr>
        <w:pStyle w:val="FootnoteText"/>
        <w:tabs>
          <w:tab w:val="left" w:pos="3105"/>
        </w:tabs>
        <w:spacing w:after="120"/>
        <w:rPr>
          <w:rFonts w:ascii="Times New Roman" w:hAnsi="Times New Roman" w:cs="Times New Roman"/>
        </w:rPr>
      </w:pPr>
      <w:r w:rsidRPr="007B5486">
        <w:rPr>
          <w:rStyle w:val="FootnoteReference"/>
          <w:rFonts w:ascii="Times New Roman" w:hAnsi="Times New Roman" w:cs="Times New Roman"/>
        </w:rPr>
        <w:footnoteRef/>
      </w:r>
      <w:r w:rsidRPr="007B5486">
        <w:rPr>
          <w:rFonts w:ascii="Times New Roman" w:hAnsi="Times New Roman" w:cs="Times New Roman"/>
        </w:rPr>
        <w:t xml:space="preserve"> R.C. 4928.17 (emphasis added).</w:t>
      </w:r>
      <w:r w:rsidRPr="007B5486">
        <w:rPr>
          <w:rFonts w:ascii="Times New Roman" w:hAnsi="Times New Roman" w:cs="Times New Roman"/>
        </w:rPr>
        <w:tab/>
      </w:r>
    </w:p>
  </w:footnote>
  <w:footnote w:id="31">
    <w:p w:rsidR="000C7989" w:rsidRPr="007B5486" w:rsidP="007B5486">
      <w:pPr>
        <w:pStyle w:val="FootnoteText"/>
        <w:spacing w:after="120"/>
        <w:rPr>
          <w:rFonts w:ascii="Times New Roman" w:hAnsi="Times New Roman" w:cs="Times New Roman"/>
        </w:rPr>
      </w:pPr>
      <w:r w:rsidRPr="007B5486">
        <w:rPr>
          <w:rStyle w:val="FootnoteReference"/>
          <w:rFonts w:ascii="Times New Roman" w:hAnsi="Times New Roman" w:cs="Times New Roman"/>
        </w:rPr>
        <w:footnoteRef/>
      </w:r>
      <w:r w:rsidRPr="007B5486">
        <w:rPr>
          <w:rFonts w:ascii="Times New Roman" w:hAnsi="Times New Roman" w:cs="Times New Roman"/>
        </w:rPr>
        <w:t xml:space="preserve"> </w:t>
      </w:r>
      <w:r w:rsidRPr="007B5486">
        <w:rPr>
          <w:rFonts w:ascii="Times New Roman" w:hAnsi="Times New Roman" w:cs="Times New Roman"/>
          <w:color w:val="000000"/>
        </w:rPr>
        <w:t>Fourth Entry on Rehearing at 24. </w:t>
      </w:r>
    </w:p>
  </w:footnote>
  <w:footnote w:id="32">
    <w:p w:rsidR="000C7989" w:rsidRPr="007B5486" w:rsidP="007B5486">
      <w:pPr>
        <w:pStyle w:val="FootnoteText"/>
        <w:spacing w:after="120"/>
        <w:rPr>
          <w:rFonts w:ascii="Times New Roman" w:hAnsi="Times New Roman" w:cs="Times New Roman"/>
        </w:rPr>
      </w:pPr>
      <w:r w:rsidRPr="007B5486">
        <w:rPr>
          <w:rStyle w:val="FootnoteReference"/>
          <w:rFonts w:ascii="Times New Roman" w:hAnsi="Times New Roman" w:cs="Times New Roman"/>
        </w:rPr>
        <w:footnoteRef/>
      </w:r>
      <w:r w:rsidRPr="007B5486">
        <w:rPr>
          <w:rFonts w:ascii="Times New Roman" w:hAnsi="Times New Roman" w:cs="Times New Roman"/>
        </w:rPr>
        <w:t xml:space="preserve"> </w:t>
      </w:r>
      <w:r w:rsidRPr="007B5486">
        <w:rPr>
          <w:rFonts w:ascii="Times New Roman" w:hAnsi="Times New Roman" w:cs="Times New Roman"/>
          <w:color w:val="000000"/>
        </w:rPr>
        <w:t>Fourth Entry on Rehearing at 23.</w:t>
      </w:r>
    </w:p>
  </w:footnote>
  <w:footnote w:id="33">
    <w:p w:rsidR="000C7989" w:rsidRPr="007B5486" w:rsidP="007B5486">
      <w:pPr>
        <w:pStyle w:val="FootnoteText"/>
        <w:spacing w:after="120"/>
        <w:rPr>
          <w:rFonts w:ascii="Times New Roman" w:hAnsi="Times New Roman" w:cs="Times New Roman"/>
        </w:rPr>
      </w:pPr>
      <w:r w:rsidRPr="007B5486">
        <w:rPr>
          <w:rStyle w:val="FootnoteReference"/>
          <w:rFonts w:ascii="Times New Roman" w:hAnsi="Times New Roman" w:cs="Times New Roman"/>
        </w:rPr>
        <w:footnoteRef/>
      </w:r>
      <w:r w:rsidRPr="007B5486">
        <w:rPr>
          <w:rFonts w:ascii="Times New Roman" w:hAnsi="Times New Roman" w:cs="Times New Roman"/>
        </w:rPr>
        <w:t xml:space="preserve"> R.C. 1.47(c); </w:t>
      </w:r>
      <w:r w:rsidRPr="007B5486">
        <w:rPr>
          <w:rFonts w:ascii="Times New Roman" w:hAnsi="Times New Roman" w:cs="Times New Roman"/>
          <w:i/>
          <w:bdr w:val="none" w:sz="0" w:space="0" w:color="auto" w:frame="1"/>
          <w:shd w:val="clear" w:color="auto" w:fill="FFFFFF"/>
        </w:rPr>
        <w:t>Disc. Cellular, Inc. v. PUC</w:t>
      </w:r>
      <w:r w:rsidRPr="007B5486">
        <w:rPr>
          <w:rFonts w:ascii="Times New Roman" w:hAnsi="Times New Roman" w:cs="Times New Roman"/>
          <w:bdr w:val="none" w:sz="0" w:space="0" w:color="auto" w:frame="1"/>
          <w:shd w:val="clear" w:color="auto" w:fill="FFFFFF"/>
        </w:rPr>
        <w:t>, 112 Ohio St. 3d 360, 367 (2007)</w:t>
      </w:r>
      <w:r w:rsidRPr="007B5486">
        <w:rPr>
          <w:rFonts w:ascii="Times New Roman" w:hAnsi="Times New Roman" w:cs="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05F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05F1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05F1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953D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953D2">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37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4935415"/>
    <w:multiLevelType w:val="hybridMultilevel"/>
    <w:tmpl w:val="064CECA6"/>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FC71105"/>
    <w:multiLevelType w:val="hybridMultilevel"/>
    <w:tmpl w:val="32D2327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
    <w:nsid w:val="33A1566D"/>
    <w:multiLevelType w:val="hybridMultilevel"/>
    <w:tmpl w:val="B758579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
    <w:nsid w:val="584810C2"/>
    <w:multiLevelType w:val="hybridMultilevel"/>
    <w:tmpl w:val="A92A410C"/>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displayBackgroundShape/>
  <w:defaultTabStop w:val="720"/>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989"/>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autoRedefine/>
    <w:uiPriority w:val="9"/>
    <w:qFormat/>
    <w:rsid w:val="00B07F4F"/>
    <w:pPr>
      <w:keepNext/>
      <w:keepLines/>
      <w:spacing w:after="240"/>
      <w:ind w:left="720" w:hanging="720"/>
      <w:outlineLvl w:val="0"/>
    </w:pPr>
    <w:rPr>
      <w:rFonts w:ascii="Times New Roman Bold" w:hAnsi="Times New Roman Bold" w:eastAsiaTheme="majorEastAsia"/>
      <w:b/>
      <w:bCs/>
      <w:caps/>
      <w:sz w:val="24"/>
      <w:szCs w:val="24"/>
    </w:rPr>
  </w:style>
  <w:style w:type="paragraph" w:styleId="Heading2">
    <w:name w:val="heading 2"/>
    <w:basedOn w:val="Normal"/>
    <w:next w:val="Normal"/>
    <w:link w:val="Heading2Char"/>
    <w:autoRedefine/>
    <w:uiPriority w:val="9"/>
    <w:unhideWhenUsed/>
    <w:qFormat/>
    <w:rsid w:val="000C7989"/>
    <w:pPr>
      <w:keepNext/>
      <w:keepLines/>
      <w:spacing w:after="240"/>
      <w:outlineLvl w:val="1"/>
    </w:pPr>
    <w:rPr>
      <w:rFonts w:ascii="Times New Roman Bold" w:hAnsi="Times New Roman Bold" w:eastAsiaTheme="majorEastAsia"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0C7989"/>
    <w:pPr>
      <w:ind w:left="360" w:hanging="360"/>
    </w:pPr>
    <w:rPr>
      <w:sz w:val="24"/>
    </w:rPr>
  </w:style>
  <w:style w:type="paragraph" w:styleId="BodyText">
    <w:name w:val="Body Text"/>
    <w:basedOn w:val="Normal"/>
    <w:link w:val="BodyTextChar"/>
    <w:rsid w:val="000C7989"/>
    <w:pPr>
      <w:spacing w:after="120"/>
    </w:pPr>
  </w:style>
  <w:style w:type="character" w:customStyle="1" w:styleId="BodyTextChar">
    <w:name w:val="Body Text Char"/>
    <w:basedOn w:val="DefaultParagraphFont"/>
    <w:link w:val="BodyText"/>
    <w:rsid w:val="000C798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C7989"/>
    <w:pPr>
      <w:tabs>
        <w:tab w:val="center" w:pos="4680"/>
        <w:tab w:val="right" w:pos="9360"/>
      </w:tabs>
    </w:pPr>
  </w:style>
  <w:style w:type="character" w:customStyle="1" w:styleId="FooterChar">
    <w:name w:val="Footer Char"/>
    <w:basedOn w:val="DefaultParagraphFont"/>
    <w:link w:val="Footer"/>
    <w:uiPriority w:val="99"/>
    <w:rsid w:val="000C7989"/>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0C7989"/>
    <w:pPr>
      <w:tabs>
        <w:tab w:val="center" w:pos="4680"/>
        <w:tab w:val="right" w:pos="9360"/>
      </w:tabs>
    </w:pPr>
  </w:style>
  <w:style w:type="character" w:customStyle="1" w:styleId="HeaderChar">
    <w:name w:val="Header Char"/>
    <w:basedOn w:val="DefaultParagraphFont"/>
    <w:link w:val="Header"/>
    <w:uiPriority w:val="99"/>
    <w:rsid w:val="000C7989"/>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B07F4F"/>
    <w:rPr>
      <w:rFonts w:ascii="Times New Roman Bold" w:hAnsi="Times New Roman Bold" w:eastAsiaTheme="majorEastAsia" w:cs="Times New Roman"/>
      <w:b/>
      <w:bCs/>
      <w:caps/>
      <w:sz w:val="24"/>
      <w:szCs w:val="24"/>
    </w:rPr>
  </w:style>
  <w:style w:type="paragraph" w:styleId="FootnoteText">
    <w:name w:val="footnote text"/>
    <w:aliases w:val="Car,Footnote Text Char Char,Footnote Text Char Char Char Char,Footnote Text Char Char Char1,Footnote Text Char Char1,Footnote Text Char1 Char Char,Footnote Text Char1 Char1,Footnote Text Char2,Footnote Text Char4 Char Char Char Char,fn"/>
    <w:basedOn w:val="Normal"/>
    <w:link w:val="FootnoteTextChar"/>
    <w:uiPriority w:val="99"/>
    <w:unhideWhenUsed/>
    <w:qFormat/>
    <w:rsid w:val="000C7989"/>
    <w:rPr>
      <w:rFonts w:asciiTheme="minorHAnsi" w:eastAsiaTheme="minorHAnsi" w:hAnsiTheme="minorHAnsi" w:cstheme="minorBidi"/>
    </w:rPr>
  </w:style>
  <w:style w:type="character" w:customStyle="1" w:styleId="FootnoteTextChar">
    <w:name w:val="Footnote Text Char"/>
    <w:aliases w:val="Car Char,Footnote Text Char Char Char,Footnote Text Char Char Char Char Char,Footnote Text Char Char Char1 Char,Footnote Text Char Char1 Char,Footnote Text Char1 Char Char Char,Footnote Text Char1 Char1 Char,Footnote Text Char2 Char"/>
    <w:basedOn w:val="DefaultParagraphFont"/>
    <w:link w:val="FootnoteText"/>
    <w:uiPriority w:val="99"/>
    <w:rsid w:val="000C7989"/>
    <w:rPr>
      <w:sz w:val="20"/>
      <w:szCs w:val="20"/>
    </w:rPr>
  </w:style>
  <w:style w:type="character" w:styleId="FootnoteReference">
    <w:name w:val="footnote reference"/>
    <w:aliases w:val="(NECG) Footnote Reference,Appel note de bas de p,Style,Style 11,Style 12,Style 124,Style 13,Style 15,Style 17,Style 18,Style 19,Style 20,Style 21,Style 28,Style 3,Style 4,Style 42,Style 7,Style 8,Style 9,fnr,fr,fr1,fr2,fr3,o,o1,o2,o3"/>
    <w:basedOn w:val="DefaultParagraphFont"/>
    <w:uiPriority w:val="99"/>
    <w:unhideWhenUsed/>
    <w:qFormat/>
    <w:rsid w:val="000C7989"/>
    <w:rPr>
      <w:vertAlign w:val="superscript"/>
    </w:rPr>
  </w:style>
  <w:style w:type="paragraph" w:styleId="ListParagraph">
    <w:name w:val="List Paragraph"/>
    <w:basedOn w:val="Normal"/>
    <w:uiPriority w:val="34"/>
    <w:qFormat/>
    <w:rsid w:val="000C7989"/>
    <w:pPr>
      <w:ind w:left="720"/>
    </w:pPr>
    <w:rPr>
      <w:rFonts w:ascii="Calibri" w:hAnsi="Calibri" w:eastAsiaTheme="minorHAnsi"/>
      <w:sz w:val="22"/>
      <w:szCs w:val="22"/>
    </w:rPr>
  </w:style>
  <w:style w:type="character" w:customStyle="1" w:styleId="Heading2Char">
    <w:name w:val="Heading 2 Char"/>
    <w:basedOn w:val="DefaultParagraphFont"/>
    <w:link w:val="Heading2"/>
    <w:uiPriority w:val="9"/>
    <w:rsid w:val="000C7989"/>
    <w:rPr>
      <w:rFonts w:ascii="Times New Roman Bold" w:hAnsi="Times New Roman Bold" w:eastAsiaTheme="majorEastAsia" w:cstheme="majorBidi"/>
      <w:b/>
      <w:bCs/>
      <w:sz w:val="24"/>
      <w:szCs w:val="26"/>
    </w:rPr>
  </w:style>
  <w:style w:type="character" w:styleId="Hyperlink">
    <w:name w:val="Hyperlink"/>
    <w:basedOn w:val="DefaultParagraphFont"/>
    <w:uiPriority w:val="99"/>
    <w:unhideWhenUsed/>
    <w:rsid w:val="00B07F4F"/>
    <w:rPr>
      <w:color w:val="0000FF" w:themeColor="hyperlink"/>
      <w:u w:val="single"/>
    </w:rPr>
  </w:style>
  <w:style w:type="paragraph" w:styleId="TOC1">
    <w:name w:val="toc 1"/>
    <w:basedOn w:val="Normal"/>
    <w:next w:val="Normal"/>
    <w:autoRedefine/>
    <w:uiPriority w:val="39"/>
    <w:unhideWhenUsed/>
    <w:qFormat/>
    <w:rsid w:val="00B07F4F"/>
    <w:pPr>
      <w:tabs>
        <w:tab w:val="decimal" w:leader="dot" w:pos="8640"/>
      </w:tabs>
      <w:spacing w:after="240"/>
      <w:ind w:left="720" w:hanging="720"/>
    </w:pPr>
    <w:rPr>
      <w:caps/>
      <w:sz w:val="24"/>
    </w:rPr>
  </w:style>
  <w:style w:type="paragraph" w:styleId="TOC2">
    <w:name w:val="toc 2"/>
    <w:basedOn w:val="Normal"/>
    <w:next w:val="Normal"/>
    <w:autoRedefine/>
    <w:uiPriority w:val="39"/>
    <w:unhideWhenUsed/>
    <w:qFormat/>
    <w:rsid w:val="00B07F4F"/>
    <w:pPr>
      <w:tabs>
        <w:tab w:val="decimal" w:leader="dot" w:pos="8640"/>
      </w:tabs>
      <w:spacing w:after="240"/>
    </w:pPr>
    <w:rPr>
      <w:sz w:val="24"/>
    </w:rPr>
  </w:style>
  <w:style w:type="paragraph" w:styleId="BalloonText">
    <w:name w:val="Balloon Text"/>
    <w:basedOn w:val="Normal"/>
    <w:link w:val="BalloonTextChar"/>
    <w:uiPriority w:val="99"/>
    <w:semiHidden/>
    <w:unhideWhenUsed/>
    <w:rsid w:val="008A0359"/>
    <w:rPr>
      <w:rFonts w:ascii="Tahoma" w:hAnsi="Tahoma" w:cs="Tahoma"/>
      <w:sz w:val="16"/>
      <w:szCs w:val="16"/>
    </w:rPr>
  </w:style>
  <w:style w:type="character" w:customStyle="1" w:styleId="BalloonTextChar">
    <w:name w:val="Balloon Text Char"/>
    <w:basedOn w:val="DefaultParagraphFont"/>
    <w:link w:val="BalloonText"/>
    <w:uiPriority w:val="99"/>
    <w:semiHidden/>
    <w:rsid w:val="008A0359"/>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F05F5F"/>
    <w:rPr>
      <w:sz w:val="16"/>
      <w:szCs w:val="16"/>
    </w:rPr>
  </w:style>
  <w:style w:type="paragraph" w:styleId="CommentText">
    <w:name w:val="annotation text"/>
    <w:basedOn w:val="Normal"/>
    <w:link w:val="CommentTextChar"/>
    <w:uiPriority w:val="99"/>
    <w:semiHidden/>
    <w:unhideWhenUsed/>
    <w:rsid w:val="00F05F5F"/>
  </w:style>
  <w:style w:type="character" w:customStyle="1" w:styleId="CommentTextChar">
    <w:name w:val="Comment Text Char"/>
    <w:basedOn w:val="DefaultParagraphFont"/>
    <w:link w:val="CommentText"/>
    <w:uiPriority w:val="99"/>
    <w:semiHidden/>
    <w:rsid w:val="00F05F5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05F5F"/>
    <w:rPr>
      <w:b/>
      <w:bCs/>
    </w:rPr>
  </w:style>
  <w:style w:type="character" w:customStyle="1" w:styleId="CommentSubjectChar">
    <w:name w:val="Comment Subject Char"/>
    <w:basedOn w:val="CommentTextChar"/>
    <w:link w:val="CommentSubject"/>
    <w:uiPriority w:val="99"/>
    <w:semiHidden/>
    <w:rsid w:val="00F05F5F"/>
    <w:rPr>
      <w:rFonts w:ascii="Times New Roman" w:eastAsia="Times New Roman" w:hAnsi="Times New Roman" w:cs="Times New Roman"/>
      <w:b/>
      <w:bCs/>
      <w:sz w:val="20"/>
      <w:szCs w:val="20"/>
    </w:rPr>
  </w:style>
  <w:style w:type="paragraph" w:styleId="Revision">
    <w:name w:val="Revision"/>
    <w:hidden/>
    <w:uiPriority w:val="99"/>
    <w:semiHidden/>
    <w:rsid w:val="0044522E"/>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eader" Target="header4.xml" /><Relationship Id="rId12" Type="http://schemas.openxmlformats.org/officeDocument/2006/relationships/footer" Target="footer4.xml" /><Relationship Id="rId13" Type="http://schemas.openxmlformats.org/officeDocument/2006/relationships/header" Target="header5.xml" /><Relationship Id="rId14" Type="http://schemas.openxmlformats.org/officeDocument/2006/relationships/footer" Target="footer5.xml" /><Relationship Id="rId15" Type="http://schemas.openxmlformats.org/officeDocument/2006/relationships/header" Target="header6.xml" /><Relationship Id="rId16" Type="http://schemas.openxmlformats.org/officeDocument/2006/relationships/footer" Target="footer6.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3910</Words>
  <Characters>22290</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2016-12-05T18:07:30Z</dcterms:created>
  <dcterms:modified xsi:type="dcterms:W3CDTF">2016-12-05T18:07:30Z</dcterms:modified>
</cp:coreProperties>
</file>