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30BF" w14:textId="77777777" w:rsidR="00B94B60" w:rsidRPr="002A01E9" w:rsidRDefault="00B94B60" w:rsidP="00B94B60">
      <w:pPr>
        <w:jc w:val="center"/>
        <w:rPr>
          <w:rFonts w:ascii="Times New Roman" w:hAnsi="Times New Roman" w:cs="Times New Roman"/>
          <w:b/>
        </w:rPr>
      </w:pPr>
      <w:r w:rsidRPr="002A01E9">
        <w:rPr>
          <w:rFonts w:ascii="Times New Roman" w:hAnsi="Times New Roman" w:cs="Times New Roman"/>
          <w:b/>
        </w:rPr>
        <w:t>BEFORE</w:t>
      </w:r>
    </w:p>
    <w:p w14:paraId="0422D8E5" w14:textId="77777777" w:rsidR="00B94B60" w:rsidRDefault="00B94B60" w:rsidP="00B94B60">
      <w:pPr>
        <w:jc w:val="center"/>
        <w:rPr>
          <w:rFonts w:ascii="Times New Roman" w:hAnsi="Times New Roman" w:cs="Times New Roman"/>
        </w:rPr>
      </w:pPr>
      <w:r w:rsidRPr="002A01E9">
        <w:rPr>
          <w:rFonts w:ascii="Times New Roman" w:hAnsi="Times New Roman" w:cs="Times New Roman"/>
          <w:b/>
        </w:rPr>
        <w:t>THE PUBLIC UTILITIES COMMISSION OF OHIO</w:t>
      </w:r>
    </w:p>
    <w:p w14:paraId="47E783EF" w14:textId="77777777" w:rsidR="00B94B60" w:rsidRDefault="00B94B60" w:rsidP="00B94B60">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B94B60" w14:paraId="161622B9" w14:textId="77777777" w:rsidTr="001E751A">
        <w:tc>
          <w:tcPr>
            <w:tcW w:w="4608" w:type="dxa"/>
          </w:tcPr>
          <w:p w14:paraId="17BD5140" w14:textId="77777777" w:rsidR="00B94B60" w:rsidRDefault="00B94B60" w:rsidP="001E751A">
            <w:pPr>
              <w:rPr>
                <w:rFonts w:ascii="Times New Roman" w:hAnsi="Times New Roman" w:cs="Times New Roman"/>
              </w:rPr>
            </w:pPr>
            <w:r>
              <w:rPr>
                <w:rFonts w:ascii="Times New Roman" w:hAnsi="Times New Roman" w:cs="Times New Roman"/>
              </w:rPr>
              <w:t>In the Matter of the Commission Review of the Capacity Charges of Ohio Power Company and Columbus Southern Power Company.</w:t>
            </w:r>
          </w:p>
        </w:tc>
        <w:tc>
          <w:tcPr>
            <w:tcW w:w="360" w:type="dxa"/>
          </w:tcPr>
          <w:p w14:paraId="54E2CD87" w14:textId="77777777" w:rsidR="00B94B60" w:rsidRDefault="00B94B60" w:rsidP="001E751A">
            <w:pPr>
              <w:jc w:val="center"/>
              <w:rPr>
                <w:rFonts w:ascii="Times New Roman" w:hAnsi="Times New Roman" w:cs="Times New Roman"/>
              </w:rPr>
            </w:pPr>
            <w:r>
              <w:rPr>
                <w:rFonts w:ascii="Times New Roman" w:hAnsi="Times New Roman" w:cs="Times New Roman"/>
              </w:rPr>
              <w:t>)</w:t>
            </w:r>
          </w:p>
          <w:p w14:paraId="1BF3A69C" w14:textId="77777777" w:rsidR="00B94B60" w:rsidRDefault="00B94B60" w:rsidP="001E751A">
            <w:pPr>
              <w:jc w:val="center"/>
              <w:rPr>
                <w:rFonts w:ascii="Times New Roman" w:hAnsi="Times New Roman" w:cs="Times New Roman"/>
              </w:rPr>
            </w:pPr>
            <w:r>
              <w:rPr>
                <w:rFonts w:ascii="Times New Roman" w:hAnsi="Times New Roman" w:cs="Times New Roman"/>
              </w:rPr>
              <w:t>)</w:t>
            </w:r>
          </w:p>
          <w:p w14:paraId="6D4B7E18" w14:textId="77777777" w:rsidR="00B94B60" w:rsidRDefault="00B94B60" w:rsidP="001E751A">
            <w:pPr>
              <w:jc w:val="center"/>
              <w:rPr>
                <w:rFonts w:ascii="Times New Roman" w:hAnsi="Times New Roman" w:cs="Times New Roman"/>
              </w:rPr>
            </w:pPr>
            <w:r>
              <w:rPr>
                <w:rFonts w:ascii="Times New Roman" w:hAnsi="Times New Roman" w:cs="Times New Roman"/>
              </w:rPr>
              <w:t>)</w:t>
            </w:r>
          </w:p>
          <w:p w14:paraId="04314D3E" w14:textId="77777777" w:rsidR="00B94B60" w:rsidRDefault="00B94B60" w:rsidP="001E751A">
            <w:pPr>
              <w:jc w:val="center"/>
              <w:rPr>
                <w:rFonts w:ascii="Times New Roman" w:hAnsi="Times New Roman" w:cs="Times New Roman"/>
              </w:rPr>
            </w:pPr>
            <w:r>
              <w:rPr>
                <w:rFonts w:ascii="Times New Roman" w:hAnsi="Times New Roman" w:cs="Times New Roman"/>
              </w:rPr>
              <w:t>)</w:t>
            </w:r>
          </w:p>
        </w:tc>
        <w:tc>
          <w:tcPr>
            <w:tcW w:w="4608" w:type="dxa"/>
          </w:tcPr>
          <w:p w14:paraId="726CF400" w14:textId="77777777" w:rsidR="00B94B60" w:rsidRDefault="00B94B60" w:rsidP="001E751A">
            <w:pPr>
              <w:ind w:firstLine="612"/>
              <w:rPr>
                <w:rFonts w:ascii="Times New Roman" w:hAnsi="Times New Roman" w:cs="Times New Roman"/>
              </w:rPr>
            </w:pPr>
          </w:p>
          <w:p w14:paraId="2DBCF066" w14:textId="77777777" w:rsidR="00B94B60" w:rsidRDefault="00B94B60" w:rsidP="001E751A">
            <w:pPr>
              <w:ind w:firstLine="612"/>
              <w:rPr>
                <w:rFonts w:ascii="Times New Roman" w:hAnsi="Times New Roman" w:cs="Times New Roman"/>
              </w:rPr>
            </w:pPr>
            <w:r>
              <w:rPr>
                <w:rFonts w:ascii="Times New Roman" w:hAnsi="Times New Roman" w:cs="Times New Roman"/>
              </w:rPr>
              <w:t>Case No. 10-2929-EL-UNC</w:t>
            </w:r>
          </w:p>
          <w:p w14:paraId="445F463B" w14:textId="77777777" w:rsidR="00B94B60" w:rsidRDefault="00B94B60" w:rsidP="001E751A">
            <w:pPr>
              <w:ind w:firstLine="612"/>
              <w:rPr>
                <w:rFonts w:ascii="Times New Roman" w:hAnsi="Times New Roman" w:cs="Times New Roman"/>
              </w:rPr>
            </w:pPr>
          </w:p>
        </w:tc>
      </w:tr>
    </w:tbl>
    <w:p w14:paraId="6A3ECC26" w14:textId="77777777" w:rsidR="00B94B60" w:rsidRDefault="00B94B60" w:rsidP="00B94B60">
      <w:pPr>
        <w:rPr>
          <w:rFonts w:ascii="Times New Roman" w:hAnsi="Times New Roman" w:cs="Times New Roman"/>
          <w:b/>
        </w:rPr>
      </w:pPr>
    </w:p>
    <w:p w14:paraId="178EB16E" w14:textId="77777777" w:rsidR="001E751A" w:rsidRDefault="001E751A" w:rsidP="00B94B60">
      <w:pPr>
        <w:rPr>
          <w:rFonts w:ascii="Times New Roman" w:hAnsi="Times New Roman" w:cs="Times New Roman"/>
          <w:b/>
        </w:rPr>
      </w:pPr>
    </w:p>
    <w:p w14:paraId="5839843A" w14:textId="77777777" w:rsidR="001E751A" w:rsidRDefault="001E751A" w:rsidP="00B94B60">
      <w:pPr>
        <w:rPr>
          <w:rFonts w:ascii="Times New Roman" w:hAnsi="Times New Roman" w:cs="Times New Roman"/>
          <w:b/>
        </w:rPr>
      </w:pPr>
    </w:p>
    <w:p w14:paraId="63028CFF" w14:textId="6959E52C" w:rsidR="001E751A" w:rsidRDefault="00B94B60" w:rsidP="00B94B60">
      <w:pPr>
        <w:jc w:val="center"/>
        <w:rPr>
          <w:rFonts w:ascii="Times New Roman" w:hAnsi="Times New Roman" w:cs="Times New Roman"/>
          <w:b/>
          <w:u w:val="single"/>
        </w:rPr>
      </w:pPr>
      <w:r w:rsidRPr="001E751A">
        <w:rPr>
          <w:rFonts w:ascii="Times New Roman" w:hAnsi="Times New Roman" w:cs="Times New Roman"/>
          <w:b/>
        </w:rPr>
        <w:t xml:space="preserve">POST-HEARING BRIEF </w:t>
      </w:r>
      <w:r w:rsidR="001E751A" w:rsidRPr="001E751A">
        <w:rPr>
          <w:rFonts w:ascii="Times New Roman" w:hAnsi="Times New Roman" w:cs="Times New Roman"/>
          <w:b/>
        </w:rPr>
        <w:br/>
      </w:r>
      <w:r w:rsidRPr="00B94B60">
        <w:rPr>
          <w:rFonts w:ascii="Times New Roman" w:hAnsi="Times New Roman" w:cs="Times New Roman"/>
          <w:b/>
          <w:u w:val="single"/>
        </w:rPr>
        <w:t>OF INTERSTATE GAS SUPPLY, INC.</w:t>
      </w:r>
    </w:p>
    <w:p w14:paraId="73E7ECB3" w14:textId="77777777" w:rsidR="001E751A" w:rsidRDefault="001E751A" w:rsidP="00B94B60">
      <w:pPr>
        <w:jc w:val="center"/>
        <w:rPr>
          <w:rFonts w:ascii="Times New Roman" w:hAnsi="Times New Roman" w:cs="Times New Roman"/>
          <w:b/>
          <w:u w:val="single"/>
        </w:rPr>
      </w:pPr>
    </w:p>
    <w:p w14:paraId="0CAE3755" w14:textId="77777777" w:rsidR="001E751A" w:rsidRDefault="001E751A" w:rsidP="001E751A">
      <w:pPr>
        <w:ind w:left="5040"/>
        <w:rPr>
          <w:rFonts w:ascii="Times New Roman" w:hAnsi="Times New Roman" w:cs="Times New Roman"/>
        </w:rPr>
      </w:pPr>
    </w:p>
    <w:p w14:paraId="128D643D" w14:textId="77777777" w:rsidR="001E751A" w:rsidRDefault="001E751A" w:rsidP="001E751A">
      <w:pPr>
        <w:ind w:left="5040"/>
        <w:rPr>
          <w:rFonts w:ascii="Times New Roman" w:hAnsi="Times New Roman" w:cs="Times New Roman"/>
        </w:rPr>
      </w:pPr>
    </w:p>
    <w:p w14:paraId="357EA91E" w14:textId="77777777" w:rsidR="001E751A" w:rsidRDefault="001E751A" w:rsidP="001E751A">
      <w:pPr>
        <w:ind w:left="5040"/>
        <w:rPr>
          <w:rFonts w:ascii="Times New Roman" w:hAnsi="Times New Roman" w:cs="Times New Roman"/>
        </w:rPr>
      </w:pPr>
    </w:p>
    <w:p w14:paraId="2F4FC4A3" w14:textId="77777777" w:rsidR="001E751A" w:rsidRDefault="001E751A" w:rsidP="001E751A">
      <w:pPr>
        <w:ind w:left="5040"/>
        <w:rPr>
          <w:rFonts w:ascii="Times New Roman" w:hAnsi="Times New Roman" w:cs="Times New Roman"/>
        </w:rPr>
      </w:pPr>
    </w:p>
    <w:p w14:paraId="22376062" w14:textId="77777777" w:rsidR="001E751A" w:rsidRDefault="001E751A" w:rsidP="001E751A">
      <w:pPr>
        <w:ind w:left="5040"/>
        <w:rPr>
          <w:rFonts w:ascii="Times New Roman" w:hAnsi="Times New Roman" w:cs="Times New Roman"/>
        </w:rPr>
      </w:pPr>
    </w:p>
    <w:p w14:paraId="1C23F77F" w14:textId="77777777" w:rsidR="001E751A" w:rsidRDefault="001E751A" w:rsidP="001E751A">
      <w:pPr>
        <w:ind w:left="5040"/>
        <w:rPr>
          <w:rFonts w:ascii="Times New Roman" w:hAnsi="Times New Roman" w:cs="Times New Roman"/>
        </w:rPr>
      </w:pPr>
      <w:r>
        <w:rPr>
          <w:rFonts w:ascii="Times New Roman" w:hAnsi="Times New Roman" w:cs="Times New Roman"/>
        </w:rPr>
        <w:t>Mark A. Whitt (Counsel of Record)</w:t>
      </w:r>
    </w:p>
    <w:p w14:paraId="2ADA8321" w14:textId="77777777" w:rsidR="001E751A" w:rsidRDefault="001E751A" w:rsidP="001E751A">
      <w:pPr>
        <w:ind w:left="5040"/>
        <w:rPr>
          <w:rFonts w:ascii="Times New Roman" w:hAnsi="Times New Roman" w:cs="Times New Roman"/>
        </w:rPr>
      </w:pPr>
      <w:r>
        <w:rPr>
          <w:rFonts w:ascii="Times New Roman" w:hAnsi="Times New Roman" w:cs="Times New Roman"/>
        </w:rPr>
        <w:t>Andrew J. Campbell</w:t>
      </w:r>
    </w:p>
    <w:p w14:paraId="1BE5411D" w14:textId="77777777" w:rsidR="001E751A" w:rsidRDefault="001E751A" w:rsidP="001E751A">
      <w:pPr>
        <w:ind w:left="5040"/>
        <w:rPr>
          <w:rFonts w:ascii="Times New Roman" w:hAnsi="Times New Roman" w:cs="Times New Roman"/>
        </w:rPr>
      </w:pPr>
      <w:r>
        <w:rPr>
          <w:rFonts w:ascii="Times New Roman" w:hAnsi="Times New Roman" w:cs="Times New Roman"/>
        </w:rPr>
        <w:t>Melissa L. Thompson</w:t>
      </w:r>
    </w:p>
    <w:p w14:paraId="44FFAAE2" w14:textId="77777777" w:rsidR="001E751A" w:rsidRDefault="001E751A" w:rsidP="001E751A">
      <w:pPr>
        <w:ind w:left="5040"/>
        <w:rPr>
          <w:rFonts w:ascii="Times New Roman" w:hAnsi="Times New Roman" w:cs="Times New Roman"/>
        </w:rPr>
      </w:pPr>
      <w:r>
        <w:rPr>
          <w:rFonts w:ascii="Times New Roman" w:hAnsi="Times New Roman" w:cs="Times New Roman"/>
        </w:rPr>
        <w:t>WHITT STURTEVANT LLP</w:t>
      </w:r>
    </w:p>
    <w:p w14:paraId="1F4B8688" w14:textId="77777777" w:rsidR="001E751A" w:rsidRDefault="001E751A" w:rsidP="001E751A">
      <w:pPr>
        <w:ind w:left="5040"/>
        <w:rPr>
          <w:rFonts w:ascii="Times New Roman" w:hAnsi="Times New Roman" w:cs="Times New Roman"/>
        </w:rPr>
      </w:pPr>
      <w:r>
        <w:rPr>
          <w:rFonts w:ascii="Times New Roman" w:hAnsi="Times New Roman" w:cs="Times New Roman"/>
        </w:rPr>
        <w:t>PNC Plaza, Suite 2020</w:t>
      </w:r>
    </w:p>
    <w:p w14:paraId="2F74CE7F" w14:textId="77777777" w:rsidR="001E751A" w:rsidRDefault="001E751A" w:rsidP="001E751A">
      <w:pPr>
        <w:ind w:left="5040"/>
        <w:rPr>
          <w:rFonts w:ascii="Times New Roman" w:hAnsi="Times New Roman" w:cs="Times New Roman"/>
        </w:rPr>
      </w:pPr>
      <w:r>
        <w:rPr>
          <w:rFonts w:ascii="Times New Roman" w:hAnsi="Times New Roman" w:cs="Times New Roman"/>
        </w:rPr>
        <w:t>155 East Broad Street</w:t>
      </w:r>
    </w:p>
    <w:p w14:paraId="2F22B5BB" w14:textId="77777777" w:rsidR="001E751A" w:rsidRDefault="001E751A" w:rsidP="001E751A">
      <w:pPr>
        <w:ind w:left="5040"/>
        <w:rPr>
          <w:rFonts w:ascii="Times New Roman" w:hAnsi="Times New Roman" w:cs="Times New Roman"/>
        </w:rPr>
      </w:pPr>
      <w:r>
        <w:rPr>
          <w:rFonts w:ascii="Times New Roman" w:hAnsi="Times New Roman" w:cs="Times New Roman"/>
        </w:rPr>
        <w:t>Columbus, Ohio 43215</w:t>
      </w:r>
    </w:p>
    <w:p w14:paraId="61A2875F" w14:textId="77777777" w:rsidR="001E751A" w:rsidRDefault="001E751A" w:rsidP="001E751A">
      <w:pPr>
        <w:ind w:left="5040"/>
        <w:rPr>
          <w:rFonts w:ascii="Times New Roman" w:hAnsi="Times New Roman" w:cs="Times New Roman"/>
        </w:rPr>
      </w:pPr>
      <w:r>
        <w:rPr>
          <w:rFonts w:ascii="Times New Roman" w:hAnsi="Times New Roman" w:cs="Times New Roman"/>
        </w:rPr>
        <w:t>Telephone: (614) 224-3911</w:t>
      </w:r>
    </w:p>
    <w:p w14:paraId="33302972" w14:textId="77777777" w:rsidR="001E751A" w:rsidRDefault="001E751A" w:rsidP="001E751A">
      <w:pPr>
        <w:ind w:left="5040"/>
        <w:rPr>
          <w:rFonts w:ascii="Times New Roman" w:hAnsi="Times New Roman" w:cs="Times New Roman"/>
        </w:rPr>
      </w:pPr>
      <w:r>
        <w:rPr>
          <w:rFonts w:ascii="Times New Roman" w:hAnsi="Times New Roman" w:cs="Times New Roman"/>
        </w:rPr>
        <w:t>Facsimile:  (614) 224-3960</w:t>
      </w:r>
    </w:p>
    <w:p w14:paraId="59B2BD66" w14:textId="77777777" w:rsidR="001E751A" w:rsidRDefault="001E751A" w:rsidP="001E751A">
      <w:pPr>
        <w:ind w:left="5040"/>
        <w:rPr>
          <w:rFonts w:ascii="Times New Roman" w:hAnsi="Times New Roman" w:cs="Times New Roman"/>
        </w:rPr>
      </w:pPr>
      <w:r>
        <w:rPr>
          <w:rFonts w:ascii="Times New Roman" w:hAnsi="Times New Roman" w:cs="Times New Roman"/>
        </w:rPr>
        <w:t>whitt@whitt-sturtevant.com</w:t>
      </w:r>
    </w:p>
    <w:p w14:paraId="3918DABB" w14:textId="77777777" w:rsidR="001E751A" w:rsidRDefault="001E751A" w:rsidP="001E751A">
      <w:pPr>
        <w:ind w:left="5040"/>
        <w:rPr>
          <w:rFonts w:ascii="Times New Roman" w:hAnsi="Times New Roman" w:cs="Times New Roman"/>
        </w:rPr>
      </w:pPr>
      <w:r>
        <w:rPr>
          <w:rFonts w:ascii="Times New Roman" w:hAnsi="Times New Roman" w:cs="Times New Roman"/>
        </w:rPr>
        <w:t>campbell@whitt-sturtevant.com</w:t>
      </w:r>
    </w:p>
    <w:p w14:paraId="098C0843" w14:textId="77777777" w:rsidR="001E751A" w:rsidRDefault="001E751A" w:rsidP="001E751A">
      <w:pPr>
        <w:ind w:left="5040"/>
        <w:rPr>
          <w:rFonts w:ascii="Times New Roman" w:hAnsi="Times New Roman" w:cs="Times New Roman"/>
        </w:rPr>
      </w:pPr>
      <w:r>
        <w:rPr>
          <w:rFonts w:ascii="Times New Roman" w:hAnsi="Times New Roman" w:cs="Times New Roman"/>
        </w:rPr>
        <w:t>thompson@whitt-sturtevant.com</w:t>
      </w:r>
    </w:p>
    <w:p w14:paraId="38B9C9DD" w14:textId="77777777" w:rsidR="001E751A" w:rsidRDefault="001E751A" w:rsidP="001E751A">
      <w:pPr>
        <w:ind w:left="5040"/>
        <w:rPr>
          <w:rFonts w:ascii="Times New Roman" w:hAnsi="Times New Roman" w:cs="Times New Roman"/>
        </w:rPr>
      </w:pPr>
    </w:p>
    <w:p w14:paraId="73D50C4E"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Vincent Parisi</w:t>
      </w:r>
    </w:p>
    <w:p w14:paraId="4F460438"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Matthew White</w:t>
      </w:r>
    </w:p>
    <w:p w14:paraId="4C1CCA29"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Interstate Gas Supply, Inc.</w:t>
      </w:r>
    </w:p>
    <w:p w14:paraId="07845D5E"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6100 Emerald Parkway</w:t>
      </w:r>
    </w:p>
    <w:p w14:paraId="7BFE83C9"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Dublin, Ohio 43016</w:t>
      </w:r>
    </w:p>
    <w:p w14:paraId="6E12AF67"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Telephone:  (614) 659-5000</w:t>
      </w:r>
    </w:p>
    <w:p w14:paraId="5DDFE625"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Facsimile:   (614) 659-5073</w:t>
      </w:r>
    </w:p>
    <w:p w14:paraId="718D10A6"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vparisi@igsenergy.com</w:t>
      </w:r>
    </w:p>
    <w:p w14:paraId="4BC4B022"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mswhite@igsenergy.com</w:t>
      </w:r>
    </w:p>
    <w:p w14:paraId="53A5DDB2" w14:textId="77777777" w:rsidR="003B3320" w:rsidRPr="003B3320" w:rsidRDefault="003B3320" w:rsidP="003B3320">
      <w:pPr>
        <w:ind w:left="5040"/>
        <w:rPr>
          <w:rFonts w:ascii="Times New Roman" w:hAnsi="Times New Roman" w:cs="Times New Roman"/>
        </w:rPr>
      </w:pPr>
    </w:p>
    <w:p w14:paraId="29B92739" w14:textId="77777777" w:rsidR="001E751A" w:rsidRDefault="001E751A" w:rsidP="001E751A">
      <w:pPr>
        <w:ind w:left="5040"/>
        <w:rPr>
          <w:rFonts w:ascii="Times New Roman" w:hAnsi="Times New Roman" w:cs="Times New Roman"/>
        </w:rPr>
      </w:pPr>
      <w:r>
        <w:rPr>
          <w:rFonts w:ascii="Times New Roman" w:hAnsi="Times New Roman" w:cs="Times New Roman"/>
        </w:rPr>
        <w:t>ATTORNEYS FOR INTERSTATE GAS SUPPLY, INC.</w:t>
      </w:r>
    </w:p>
    <w:p w14:paraId="3F227AB7" w14:textId="77777777" w:rsidR="001E751A" w:rsidRDefault="001E751A" w:rsidP="001E751A">
      <w:pPr>
        <w:ind w:left="5040"/>
        <w:rPr>
          <w:rFonts w:ascii="Times New Roman" w:hAnsi="Times New Roman" w:cs="Times New Roman"/>
        </w:rPr>
        <w:sectPr w:rsidR="001E751A" w:rsidSect="0032154A">
          <w:footerReference w:type="default" r:id="rId9"/>
          <w:pgSz w:w="12240" w:h="15840"/>
          <w:pgMar w:top="1440" w:right="1440" w:bottom="1440" w:left="1440" w:header="720" w:footer="720" w:gutter="0"/>
          <w:cols w:space="720"/>
          <w:titlePg/>
          <w:docGrid w:linePitch="360"/>
        </w:sectPr>
      </w:pPr>
    </w:p>
    <w:p w14:paraId="08FD21AE" w14:textId="7201D8AA" w:rsidR="0076735D" w:rsidRPr="0076735D" w:rsidRDefault="0076735D" w:rsidP="0076735D">
      <w:pPr>
        <w:pStyle w:val="MemoBodyText"/>
        <w:ind w:firstLine="0"/>
        <w:jc w:val="center"/>
        <w:rPr>
          <w:b/>
          <w:u w:val="single"/>
        </w:rPr>
      </w:pPr>
      <w:r w:rsidRPr="0076735D">
        <w:rPr>
          <w:b/>
          <w:u w:val="single"/>
        </w:rPr>
        <w:lastRenderedPageBreak/>
        <w:t>TABLE OF CONTENTS</w:t>
      </w:r>
    </w:p>
    <w:p w14:paraId="5BB69AC7" w14:textId="77777777" w:rsidR="00B723DF" w:rsidRPr="00B723DF" w:rsidRDefault="0076735D" w:rsidP="00B723DF">
      <w:pPr>
        <w:pStyle w:val="TOC1"/>
        <w:rPr>
          <w:rFonts w:ascii="Times New Roman" w:hAnsi="Times New Roman"/>
          <w:noProof/>
          <w:lang w:eastAsia="ja-JP"/>
        </w:rPr>
      </w:pPr>
      <w:r w:rsidRPr="00B723DF">
        <w:rPr>
          <w:rFonts w:ascii="Times New Roman" w:hAnsi="Times New Roman"/>
        </w:rPr>
        <w:fldChar w:fldCharType="begin"/>
      </w:r>
      <w:r w:rsidRPr="00B723DF">
        <w:rPr>
          <w:rFonts w:ascii="Times New Roman" w:hAnsi="Times New Roman"/>
        </w:rPr>
        <w:instrText xml:space="preserve"> TOC \t "Memo Heading 2,2,Memo Heading 1,1,Memo Heading 3,3,Memo Heading 4,4" </w:instrText>
      </w:r>
      <w:r w:rsidRPr="00B723DF">
        <w:rPr>
          <w:rFonts w:ascii="Times New Roman" w:hAnsi="Times New Roman"/>
        </w:rPr>
        <w:fldChar w:fldCharType="separate"/>
      </w:r>
      <w:r w:rsidR="00B723DF" w:rsidRPr="00B723DF">
        <w:rPr>
          <w:rFonts w:ascii="Times New Roman" w:hAnsi="Times New Roman"/>
          <w:noProof/>
        </w:rPr>
        <w:t>I.</w:t>
      </w:r>
      <w:r w:rsidR="00B723DF" w:rsidRPr="00B723DF">
        <w:rPr>
          <w:rFonts w:ascii="Times New Roman" w:hAnsi="Times New Roman"/>
          <w:noProof/>
          <w:lang w:eastAsia="ja-JP"/>
        </w:rPr>
        <w:tab/>
      </w:r>
      <w:r w:rsidR="00B723DF" w:rsidRPr="00B723DF">
        <w:rPr>
          <w:rFonts w:ascii="Times New Roman" w:hAnsi="Times New Roman"/>
          <w:bCs/>
          <w:caps/>
          <w:noProof/>
        </w:rPr>
        <w:t>background</w:t>
      </w:r>
      <w:r w:rsidR="00B723DF" w:rsidRPr="00B723DF">
        <w:rPr>
          <w:rFonts w:ascii="Times New Roman" w:hAnsi="Times New Roman"/>
          <w:noProof/>
        </w:rPr>
        <w:tab/>
      </w:r>
      <w:r w:rsidR="00B723DF" w:rsidRPr="00B723DF">
        <w:rPr>
          <w:rFonts w:ascii="Times New Roman" w:hAnsi="Times New Roman"/>
          <w:noProof/>
        </w:rPr>
        <w:fldChar w:fldCharType="begin"/>
      </w:r>
      <w:r w:rsidR="00B723DF" w:rsidRPr="00B723DF">
        <w:rPr>
          <w:rFonts w:ascii="Times New Roman" w:hAnsi="Times New Roman"/>
          <w:noProof/>
        </w:rPr>
        <w:instrText xml:space="preserve"> PAGEREF _Toc199392038 \h </w:instrText>
      </w:r>
      <w:r w:rsidR="00B723DF" w:rsidRPr="00B723DF">
        <w:rPr>
          <w:rFonts w:ascii="Times New Roman" w:hAnsi="Times New Roman"/>
          <w:noProof/>
        </w:rPr>
      </w:r>
      <w:r w:rsidR="00B723DF" w:rsidRPr="00B723DF">
        <w:rPr>
          <w:rFonts w:ascii="Times New Roman" w:hAnsi="Times New Roman"/>
          <w:noProof/>
        </w:rPr>
        <w:fldChar w:fldCharType="separate"/>
      </w:r>
      <w:r w:rsidR="00C97659">
        <w:rPr>
          <w:rFonts w:ascii="Times New Roman" w:hAnsi="Times New Roman"/>
          <w:noProof/>
        </w:rPr>
        <w:t>1</w:t>
      </w:r>
      <w:r w:rsidR="00B723DF" w:rsidRPr="00B723DF">
        <w:rPr>
          <w:rFonts w:ascii="Times New Roman" w:hAnsi="Times New Roman"/>
          <w:noProof/>
        </w:rPr>
        <w:fldChar w:fldCharType="end"/>
      </w:r>
    </w:p>
    <w:p w14:paraId="075CB2BE" w14:textId="77777777" w:rsidR="00B723DF" w:rsidRPr="00B723DF" w:rsidRDefault="00B723DF" w:rsidP="00B723DF">
      <w:pPr>
        <w:pStyle w:val="TOC1"/>
        <w:rPr>
          <w:rFonts w:ascii="Times New Roman" w:hAnsi="Times New Roman"/>
          <w:noProof/>
          <w:lang w:eastAsia="ja-JP"/>
        </w:rPr>
      </w:pPr>
      <w:r w:rsidRPr="00B723DF">
        <w:rPr>
          <w:rFonts w:ascii="Times New Roman" w:hAnsi="Times New Roman"/>
          <w:noProof/>
        </w:rPr>
        <w:t>II.</w:t>
      </w:r>
      <w:r w:rsidRPr="00B723DF">
        <w:rPr>
          <w:rFonts w:ascii="Times New Roman" w:hAnsi="Times New Roman"/>
          <w:noProof/>
          <w:lang w:eastAsia="ja-JP"/>
        </w:rPr>
        <w:tab/>
      </w:r>
      <w:r w:rsidRPr="00B723DF">
        <w:rPr>
          <w:rFonts w:ascii="Times New Roman" w:hAnsi="Times New Roman"/>
          <w:bCs/>
          <w:caps/>
          <w:noProof/>
        </w:rPr>
        <w:t>argument</w:t>
      </w:r>
      <w:r w:rsidRPr="00B723DF">
        <w:rPr>
          <w:rFonts w:ascii="Times New Roman" w:hAnsi="Times New Roman"/>
          <w:noProof/>
        </w:rPr>
        <w:tab/>
      </w:r>
      <w:r w:rsidRPr="00B723DF">
        <w:rPr>
          <w:rFonts w:ascii="Times New Roman" w:hAnsi="Times New Roman"/>
          <w:noProof/>
        </w:rPr>
        <w:fldChar w:fldCharType="begin"/>
      </w:r>
      <w:r w:rsidRPr="00B723DF">
        <w:rPr>
          <w:rFonts w:ascii="Times New Roman" w:hAnsi="Times New Roman"/>
          <w:noProof/>
        </w:rPr>
        <w:instrText xml:space="preserve"> PAGEREF _Toc199392039 \h </w:instrText>
      </w:r>
      <w:r w:rsidRPr="00B723DF">
        <w:rPr>
          <w:rFonts w:ascii="Times New Roman" w:hAnsi="Times New Roman"/>
          <w:noProof/>
        </w:rPr>
      </w:r>
      <w:r w:rsidRPr="00B723DF">
        <w:rPr>
          <w:rFonts w:ascii="Times New Roman" w:hAnsi="Times New Roman"/>
          <w:noProof/>
        </w:rPr>
        <w:fldChar w:fldCharType="separate"/>
      </w:r>
      <w:r w:rsidR="00C97659">
        <w:rPr>
          <w:rFonts w:ascii="Times New Roman" w:hAnsi="Times New Roman"/>
          <w:noProof/>
        </w:rPr>
        <w:t>1</w:t>
      </w:r>
      <w:r w:rsidRPr="00B723DF">
        <w:rPr>
          <w:rFonts w:ascii="Times New Roman" w:hAnsi="Times New Roman"/>
          <w:noProof/>
        </w:rPr>
        <w:fldChar w:fldCharType="end"/>
      </w:r>
    </w:p>
    <w:p w14:paraId="0A41CC76" w14:textId="77777777" w:rsidR="00B723DF" w:rsidRPr="00B723DF" w:rsidRDefault="00B723DF" w:rsidP="00B723DF">
      <w:pPr>
        <w:pStyle w:val="TOC2"/>
        <w:rPr>
          <w:lang w:eastAsia="ja-JP"/>
        </w:rPr>
      </w:pPr>
      <w:r w:rsidRPr="00B723DF">
        <w:t>A.</w:t>
      </w:r>
      <w:r w:rsidRPr="00B723DF">
        <w:rPr>
          <w:lang w:eastAsia="ja-JP"/>
        </w:rPr>
        <w:tab/>
      </w:r>
      <w:r w:rsidRPr="00B723DF">
        <w:t>The RPM mechanism of pricing capacity supports Ohio’s policies; AEP’s proposed mechanism violates them.</w:t>
      </w:r>
      <w:r w:rsidRPr="00B723DF">
        <w:tab/>
      </w:r>
      <w:r w:rsidRPr="00B723DF">
        <w:fldChar w:fldCharType="begin"/>
      </w:r>
      <w:r w:rsidRPr="00B723DF">
        <w:instrText xml:space="preserve"> PAGEREF _Toc199392040 \h </w:instrText>
      </w:r>
      <w:r w:rsidRPr="00B723DF">
        <w:fldChar w:fldCharType="separate"/>
      </w:r>
      <w:r w:rsidR="00C97659">
        <w:t>2</w:t>
      </w:r>
      <w:r w:rsidRPr="00B723DF">
        <w:fldChar w:fldCharType="end"/>
      </w:r>
    </w:p>
    <w:p w14:paraId="194D8F81" w14:textId="77777777" w:rsidR="00B723DF" w:rsidRPr="00B723DF" w:rsidRDefault="00B723DF">
      <w:pPr>
        <w:pStyle w:val="TOC3"/>
        <w:tabs>
          <w:tab w:val="clear" w:pos="887"/>
          <w:tab w:val="left" w:pos="900"/>
        </w:tabs>
        <w:rPr>
          <w:b w:val="0"/>
          <w:lang w:eastAsia="ja-JP"/>
        </w:rPr>
      </w:pPr>
      <w:r w:rsidRPr="00B723DF">
        <w:t>1.</w:t>
      </w:r>
      <w:r w:rsidRPr="00B723DF">
        <w:rPr>
          <w:b w:val="0"/>
          <w:lang w:eastAsia="ja-JP"/>
        </w:rPr>
        <w:tab/>
      </w:r>
      <w:r w:rsidRPr="00B723DF">
        <w:t>The “state compensation mechanism” must accord with Ohio law and policy.</w:t>
      </w:r>
      <w:r w:rsidRPr="00B723DF">
        <w:tab/>
      </w:r>
      <w:r w:rsidRPr="00B723DF">
        <w:fldChar w:fldCharType="begin"/>
      </w:r>
      <w:r w:rsidRPr="00B723DF">
        <w:instrText xml:space="preserve"> PAGEREF _Toc199392041 \h </w:instrText>
      </w:r>
      <w:r w:rsidRPr="00B723DF">
        <w:fldChar w:fldCharType="separate"/>
      </w:r>
      <w:r w:rsidR="00C97659">
        <w:t>2</w:t>
      </w:r>
      <w:r w:rsidRPr="00B723DF">
        <w:fldChar w:fldCharType="end"/>
      </w:r>
    </w:p>
    <w:p w14:paraId="4F870A06" w14:textId="77777777" w:rsidR="00B723DF" w:rsidRPr="00B723DF" w:rsidRDefault="00B723DF">
      <w:pPr>
        <w:pStyle w:val="TOC4"/>
        <w:rPr>
          <w:rFonts w:ascii="Times New Roman" w:hAnsi="Times New Roman"/>
          <w:sz w:val="24"/>
          <w:szCs w:val="24"/>
          <w:lang w:eastAsia="ja-JP"/>
        </w:rPr>
      </w:pPr>
      <w:r w:rsidRPr="00B723DF">
        <w:rPr>
          <w:rFonts w:ascii="Times New Roman" w:hAnsi="Times New Roman"/>
          <w:sz w:val="24"/>
          <w:szCs w:val="24"/>
        </w:rPr>
        <w:t>a.</w:t>
      </w:r>
      <w:r w:rsidRPr="00B723DF">
        <w:rPr>
          <w:rFonts w:ascii="Times New Roman" w:hAnsi="Times New Roman"/>
          <w:sz w:val="24"/>
          <w:szCs w:val="24"/>
          <w:lang w:eastAsia="ja-JP"/>
        </w:rPr>
        <w:tab/>
      </w:r>
      <w:r w:rsidRPr="00B723DF">
        <w:rPr>
          <w:rFonts w:ascii="Times New Roman" w:hAnsi="Times New Roman"/>
          <w:sz w:val="24"/>
          <w:szCs w:val="24"/>
        </w:rPr>
        <w:t>Ohio’s central electric policy is to develop competitive retail electric markets.</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_Toc199392042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3</w:t>
      </w:r>
      <w:r w:rsidRPr="00B723DF">
        <w:rPr>
          <w:rFonts w:ascii="Times New Roman" w:hAnsi="Times New Roman"/>
          <w:sz w:val="24"/>
          <w:szCs w:val="24"/>
        </w:rPr>
        <w:fldChar w:fldCharType="end"/>
      </w:r>
    </w:p>
    <w:p w14:paraId="0A9870EF" w14:textId="77777777" w:rsidR="00B723DF" w:rsidRPr="00B723DF" w:rsidRDefault="00B723DF">
      <w:pPr>
        <w:pStyle w:val="TOC4"/>
        <w:tabs>
          <w:tab w:val="clear" w:pos="1099"/>
          <w:tab w:val="left" w:pos="1110"/>
        </w:tabs>
        <w:rPr>
          <w:rFonts w:ascii="Times New Roman" w:hAnsi="Times New Roman"/>
          <w:sz w:val="24"/>
          <w:szCs w:val="24"/>
          <w:lang w:eastAsia="ja-JP"/>
        </w:rPr>
      </w:pPr>
      <w:r w:rsidRPr="00B723DF">
        <w:rPr>
          <w:rFonts w:ascii="Times New Roman" w:hAnsi="Times New Roman"/>
          <w:sz w:val="24"/>
          <w:szCs w:val="24"/>
        </w:rPr>
        <w:t>b.</w:t>
      </w:r>
      <w:r w:rsidRPr="00B723DF">
        <w:rPr>
          <w:rFonts w:ascii="Times New Roman" w:hAnsi="Times New Roman"/>
          <w:sz w:val="24"/>
          <w:szCs w:val="24"/>
          <w:lang w:eastAsia="ja-JP"/>
        </w:rPr>
        <w:tab/>
      </w:r>
      <w:r w:rsidRPr="00B723DF">
        <w:rPr>
          <w:rFonts w:ascii="Times New Roman" w:hAnsi="Times New Roman"/>
          <w:sz w:val="24"/>
          <w:szCs w:val="24"/>
        </w:rPr>
        <w:t>Ohio law requires nondiscriminatory, non-subsidized electric service.</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_Toc199392043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4</w:t>
      </w:r>
      <w:r w:rsidRPr="00B723DF">
        <w:rPr>
          <w:rFonts w:ascii="Times New Roman" w:hAnsi="Times New Roman"/>
          <w:sz w:val="24"/>
          <w:szCs w:val="24"/>
        </w:rPr>
        <w:fldChar w:fldCharType="end"/>
      </w:r>
    </w:p>
    <w:p w14:paraId="153131C1" w14:textId="77777777" w:rsidR="00B723DF" w:rsidRPr="00B723DF" w:rsidRDefault="00B723DF">
      <w:pPr>
        <w:pStyle w:val="TOC4"/>
        <w:tabs>
          <w:tab w:val="clear" w:pos="1099"/>
          <w:tab w:val="left" w:pos="1089"/>
        </w:tabs>
        <w:rPr>
          <w:rFonts w:ascii="Times New Roman" w:hAnsi="Times New Roman"/>
          <w:sz w:val="24"/>
          <w:szCs w:val="24"/>
          <w:lang w:eastAsia="ja-JP"/>
        </w:rPr>
      </w:pPr>
      <w:r w:rsidRPr="00B723DF">
        <w:rPr>
          <w:rFonts w:ascii="Times New Roman" w:hAnsi="Times New Roman"/>
          <w:sz w:val="24"/>
          <w:szCs w:val="24"/>
        </w:rPr>
        <w:t>c.</w:t>
      </w:r>
      <w:r w:rsidRPr="00B723DF">
        <w:rPr>
          <w:rFonts w:ascii="Times New Roman" w:hAnsi="Times New Roman"/>
          <w:sz w:val="24"/>
          <w:szCs w:val="24"/>
          <w:lang w:eastAsia="ja-JP"/>
        </w:rPr>
        <w:tab/>
      </w:r>
      <w:r w:rsidRPr="00B723DF">
        <w:rPr>
          <w:rFonts w:ascii="Times New Roman" w:hAnsi="Times New Roman"/>
          <w:sz w:val="24"/>
          <w:szCs w:val="24"/>
        </w:rPr>
        <w:t>The law addresses the timing of transitions to the competitive market.</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_Toc199392044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4</w:t>
      </w:r>
      <w:r w:rsidRPr="00B723DF">
        <w:rPr>
          <w:rFonts w:ascii="Times New Roman" w:hAnsi="Times New Roman"/>
          <w:sz w:val="24"/>
          <w:szCs w:val="24"/>
        </w:rPr>
        <w:fldChar w:fldCharType="end"/>
      </w:r>
    </w:p>
    <w:p w14:paraId="1B4E840B" w14:textId="77777777" w:rsidR="00B723DF" w:rsidRPr="00B723DF" w:rsidRDefault="00B723DF">
      <w:pPr>
        <w:pStyle w:val="TOC4"/>
        <w:tabs>
          <w:tab w:val="clear" w:pos="1099"/>
          <w:tab w:val="left" w:pos="1112"/>
        </w:tabs>
        <w:rPr>
          <w:rFonts w:ascii="Times New Roman" w:hAnsi="Times New Roman"/>
          <w:sz w:val="24"/>
          <w:szCs w:val="24"/>
          <w:lang w:eastAsia="ja-JP"/>
        </w:rPr>
      </w:pPr>
      <w:r w:rsidRPr="00B723DF">
        <w:rPr>
          <w:rFonts w:ascii="Times New Roman" w:hAnsi="Times New Roman"/>
          <w:sz w:val="24"/>
          <w:szCs w:val="24"/>
        </w:rPr>
        <w:t>d.</w:t>
      </w:r>
      <w:r w:rsidRPr="00B723DF">
        <w:rPr>
          <w:rFonts w:ascii="Times New Roman" w:hAnsi="Times New Roman"/>
          <w:sz w:val="24"/>
          <w:szCs w:val="24"/>
          <w:lang w:eastAsia="ja-JP"/>
        </w:rPr>
        <w:tab/>
      </w:r>
      <w:r w:rsidRPr="00B723DF">
        <w:rPr>
          <w:rFonts w:ascii="Times New Roman" w:hAnsi="Times New Roman"/>
          <w:sz w:val="24"/>
          <w:szCs w:val="24"/>
        </w:rPr>
        <w:t>The Commission must observe the policies of the State.</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_Toc199392045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5</w:t>
      </w:r>
      <w:r w:rsidRPr="00B723DF">
        <w:rPr>
          <w:rFonts w:ascii="Times New Roman" w:hAnsi="Times New Roman"/>
          <w:sz w:val="24"/>
          <w:szCs w:val="24"/>
        </w:rPr>
        <w:fldChar w:fldCharType="end"/>
      </w:r>
    </w:p>
    <w:p w14:paraId="2E2C660D" w14:textId="77777777" w:rsidR="00B723DF" w:rsidRPr="00B723DF" w:rsidRDefault="00B723DF">
      <w:pPr>
        <w:pStyle w:val="TOC3"/>
        <w:tabs>
          <w:tab w:val="clear" w:pos="887"/>
          <w:tab w:val="left" w:pos="900"/>
        </w:tabs>
        <w:rPr>
          <w:b w:val="0"/>
          <w:lang w:eastAsia="ja-JP"/>
        </w:rPr>
      </w:pPr>
      <w:r w:rsidRPr="00B723DF">
        <w:t>2.</w:t>
      </w:r>
      <w:r w:rsidRPr="00B723DF">
        <w:rPr>
          <w:b w:val="0"/>
          <w:lang w:eastAsia="ja-JP"/>
        </w:rPr>
        <w:tab/>
      </w:r>
      <w:r w:rsidRPr="00B723DF">
        <w:t>The RPM method fully accords with Ohio law.</w:t>
      </w:r>
      <w:r w:rsidRPr="00B723DF">
        <w:tab/>
      </w:r>
      <w:r w:rsidRPr="00B723DF">
        <w:fldChar w:fldCharType="begin"/>
      </w:r>
      <w:r w:rsidRPr="00B723DF">
        <w:instrText xml:space="preserve"> PAGEREF _Toc199392046 \h </w:instrText>
      </w:r>
      <w:r w:rsidRPr="00B723DF">
        <w:fldChar w:fldCharType="separate"/>
      </w:r>
      <w:r w:rsidR="00C97659">
        <w:t>5</w:t>
      </w:r>
      <w:r w:rsidRPr="00B723DF">
        <w:fldChar w:fldCharType="end"/>
      </w:r>
    </w:p>
    <w:p w14:paraId="7853C235" w14:textId="77777777" w:rsidR="00B723DF" w:rsidRPr="00B723DF" w:rsidRDefault="00B723DF">
      <w:pPr>
        <w:pStyle w:val="TOC4"/>
        <w:rPr>
          <w:rFonts w:ascii="Times New Roman" w:hAnsi="Times New Roman"/>
          <w:sz w:val="24"/>
          <w:szCs w:val="24"/>
          <w:lang w:eastAsia="ja-JP"/>
        </w:rPr>
      </w:pPr>
      <w:r w:rsidRPr="00B723DF">
        <w:rPr>
          <w:rFonts w:ascii="Times New Roman" w:hAnsi="Times New Roman"/>
          <w:sz w:val="24"/>
          <w:szCs w:val="24"/>
        </w:rPr>
        <w:t>a.</w:t>
      </w:r>
      <w:r w:rsidRPr="00B723DF">
        <w:rPr>
          <w:rFonts w:ascii="Times New Roman" w:hAnsi="Times New Roman"/>
          <w:sz w:val="24"/>
          <w:szCs w:val="24"/>
          <w:lang w:eastAsia="ja-JP"/>
        </w:rPr>
        <w:tab/>
      </w:r>
      <w:r w:rsidRPr="00B723DF">
        <w:rPr>
          <w:rFonts w:ascii="Times New Roman" w:hAnsi="Times New Roman"/>
          <w:sz w:val="24"/>
          <w:szCs w:val="24"/>
        </w:rPr>
        <w:t>The RPM method is a market-based price and will support the continued development of Ohio’s competitive market.</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_Toc199392047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6</w:t>
      </w:r>
      <w:r w:rsidRPr="00B723DF">
        <w:rPr>
          <w:rFonts w:ascii="Times New Roman" w:hAnsi="Times New Roman"/>
          <w:sz w:val="24"/>
          <w:szCs w:val="24"/>
        </w:rPr>
        <w:fldChar w:fldCharType="end"/>
      </w:r>
    </w:p>
    <w:p w14:paraId="404E6204" w14:textId="77777777" w:rsidR="00B723DF" w:rsidRPr="00B723DF" w:rsidRDefault="00B723DF">
      <w:pPr>
        <w:pStyle w:val="TOC4"/>
        <w:tabs>
          <w:tab w:val="clear" w:pos="1099"/>
          <w:tab w:val="left" w:pos="1110"/>
        </w:tabs>
        <w:rPr>
          <w:rFonts w:ascii="Times New Roman" w:hAnsi="Times New Roman"/>
          <w:sz w:val="24"/>
          <w:szCs w:val="24"/>
          <w:lang w:eastAsia="ja-JP"/>
        </w:rPr>
      </w:pPr>
      <w:r w:rsidRPr="00B723DF">
        <w:rPr>
          <w:rFonts w:ascii="Times New Roman" w:hAnsi="Times New Roman"/>
          <w:sz w:val="24"/>
          <w:szCs w:val="24"/>
        </w:rPr>
        <w:t>b.</w:t>
      </w:r>
      <w:r w:rsidRPr="00B723DF">
        <w:rPr>
          <w:rFonts w:ascii="Times New Roman" w:hAnsi="Times New Roman"/>
          <w:sz w:val="24"/>
          <w:szCs w:val="24"/>
          <w:lang w:eastAsia="ja-JP"/>
        </w:rPr>
        <w:tab/>
      </w:r>
      <w:r w:rsidRPr="00B723DF">
        <w:rPr>
          <w:rFonts w:ascii="Times New Roman" w:hAnsi="Times New Roman"/>
          <w:sz w:val="24"/>
          <w:szCs w:val="24"/>
        </w:rPr>
        <w:t>The RPM price would avoid subsidies and discriminatory pricing.</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_Toc199392048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7</w:t>
      </w:r>
      <w:r w:rsidRPr="00B723DF">
        <w:rPr>
          <w:rFonts w:ascii="Times New Roman" w:hAnsi="Times New Roman"/>
          <w:sz w:val="24"/>
          <w:szCs w:val="24"/>
        </w:rPr>
        <w:fldChar w:fldCharType="end"/>
      </w:r>
    </w:p>
    <w:p w14:paraId="1A13098C" w14:textId="77777777" w:rsidR="00B723DF" w:rsidRPr="00B723DF" w:rsidRDefault="00B723DF">
      <w:pPr>
        <w:pStyle w:val="TOC4"/>
        <w:tabs>
          <w:tab w:val="clear" w:pos="1099"/>
          <w:tab w:val="left" w:pos="1089"/>
        </w:tabs>
        <w:rPr>
          <w:rFonts w:ascii="Times New Roman" w:hAnsi="Times New Roman"/>
          <w:sz w:val="24"/>
          <w:szCs w:val="24"/>
          <w:lang w:eastAsia="ja-JP"/>
        </w:rPr>
      </w:pPr>
      <w:r w:rsidRPr="00B723DF">
        <w:rPr>
          <w:rFonts w:ascii="Times New Roman" w:hAnsi="Times New Roman"/>
          <w:sz w:val="24"/>
          <w:szCs w:val="24"/>
        </w:rPr>
        <w:t>c.</w:t>
      </w:r>
      <w:r w:rsidRPr="00B723DF">
        <w:rPr>
          <w:rFonts w:ascii="Times New Roman" w:hAnsi="Times New Roman"/>
          <w:sz w:val="24"/>
          <w:szCs w:val="24"/>
          <w:lang w:eastAsia="ja-JP"/>
        </w:rPr>
        <w:tab/>
      </w:r>
      <w:r w:rsidRPr="00B723DF">
        <w:rPr>
          <w:rFonts w:ascii="Times New Roman" w:hAnsi="Times New Roman"/>
          <w:sz w:val="24"/>
          <w:szCs w:val="24"/>
        </w:rPr>
        <w:t>The RPM model will assure adequate resources are available to provide stable electric service.</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_Toc199392049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8</w:t>
      </w:r>
      <w:r w:rsidRPr="00B723DF">
        <w:rPr>
          <w:rFonts w:ascii="Times New Roman" w:hAnsi="Times New Roman"/>
          <w:sz w:val="24"/>
          <w:szCs w:val="24"/>
        </w:rPr>
        <w:fldChar w:fldCharType="end"/>
      </w:r>
    </w:p>
    <w:p w14:paraId="67620E62" w14:textId="77777777" w:rsidR="00B723DF" w:rsidRPr="00B723DF" w:rsidRDefault="00B723DF">
      <w:pPr>
        <w:pStyle w:val="TOC4"/>
        <w:tabs>
          <w:tab w:val="clear" w:pos="1099"/>
          <w:tab w:val="left" w:pos="1112"/>
        </w:tabs>
        <w:rPr>
          <w:rFonts w:ascii="Times New Roman" w:hAnsi="Times New Roman"/>
          <w:sz w:val="24"/>
          <w:szCs w:val="24"/>
          <w:lang w:eastAsia="ja-JP"/>
        </w:rPr>
      </w:pPr>
      <w:r w:rsidRPr="00B723DF">
        <w:rPr>
          <w:rFonts w:ascii="Times New Roman" w:hAnsi="Times New Roman"/>
          <w:sz w:val="24"/>
          <w:szCs w:val="24"/>
        </w:rPr>
        <w:t>d.</w:t>
      </w:r>
      <w:r w:rsidRPr="00B723DF">
        <w:rPr>
          <w:rFonts w:ascii="Times New Roman" w:hAnsi="Times New Roman"/>
          <w:sz w:val="24"/>
          <w:szCs w:val="24"/>
          <w:lang w:eastAsia="ja-JP"/>
        </w:rPr>
        <w:tab/>
      </w:r>
      <w:r w:rsidRPr="00B723DF">
        <w:rPr>
          <w:rFonts w:ascii="Times New Roman" w:hAnsi="Times New Roman"/>
          <w:sz w:val="24"/>
          <w:szCs w:val="24"/>
        </w:rPr>
        <w:t>The RPM price avoids any legal problems associated with extending the transition to competition.</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_Toc199392050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8</w:t>
      </w:r>
      <w:r w:rsidRPr="00B723DF">
        <w:rPr>
          <w:rFonts w:ascii="Times New Roman" w:hAnsi="Times New Roman"/>
          <w:sz w:val="24"/>
          <w:szCs w:val="24"/>
        </w:rPr>
        <w:fldChar w:fldCharType="end"/>
      </w:r>
    </w:p>
    <w:p w14:paraId="37CEAD3A" w14:textId="77777777" w:rsidR="00B723DF" w:rsidRPr="00B723DF" w:rsidRDefault="00B723DF">
      <w:pPr>
        <w:pStyle w:val="TOC3"/>
        <w:tabs>
          <w:tab w:val="clear" w:pos="887"/>
          <w:tab w:val="left" w:pos="900"/>
        </w:tabs>
        <w:rPr>
          <w:b w:val="0"/>
          <w:lang w:eastAsia="ja-JP"/>
        </w:rPr>
      </w:pPr>
      <w:r w:rsidRPr="00B723DF">
        <w:t>3.</w:t>
      </w:r>
      <w:r w:rsidRPr="00B723DF">
        <w:rPr>
          <w:b w:val="0"/>
          <w:lang w:eastAsia="ja-JP"/>
        </w:rPr>
        <w:tab/>
      </w:r>
      <w:r w:rsidRPr="00B723DF">
        <w:t>AEP’s proposal would violate Ohio law.</w:t>
      </w:r>
      <w:r w:rsidRPr="00B723DF">
        <w:tab/>
      </w:r>
      <w:r w:rsidRPr="00B723DF">
        <w:fldChar w:fldCharType="begin"/>
      </w:r>
      <w:r w:rsidRPr="00B723DF">
        <w:instrText xml:space="preserve"> PAGEREF _Toc199392051 \h </w:instrText>
      </w:r>
      <w:r w:rsidRPr="00B723DF">
        <w:fldChar w:fldCharType="separate"/>
      </w:r>
      <w:r w:rsidR="00C97659">
        <w:t>9</w:t>
      </w:r>
      <w:r w:rsidRPr="00B723DF">
        <w:fldChar w:fldCharType="end"/>
      </w:r>
    </w:p>
    <w:p w14:paraId="0ED86BEE" w14:textId="77777777" w:rsidR="00B723DF" w:rsidRPr="00B723DF" w:rsidRDefault="00B723DF">
      <w:pPr>
        <w:pStyle w:val="TOC4"/>
        <w:rPr>
          <w:rFonts w:ascii="Times New Roman" w:hAnsi="Times New Roman"/>
          <w:sz w:val="24"/>
          <w:szCs w:val="24"/>
          <w:lang w:eastAsia="ja-JP"/>
        </w:rPr>
      </w:pPr>
      <w:r w:rsidRPr="00B723DF">
        <w:rPr>
          <w:rFonts w:ascii="Times New Roman" w:hAnsi="Times New Roman"/>
          <w:sz w:val="24"/>
          <w:szCs w:val="24"/>
        </w:rPr>
        <w:t>a.</w:t>
      </w:r>
      <w:r w:rsidRPr="00B723DF">
        <w:rPr>
          <w:rFonts w:ascii="Times New Roman" w:hAnsi="Times New Roman"/>
          <w:sz w:val="24"/>
          <w:szCs w:val="24"/>
          <w:lang w:eastAsia="ja-JP"/>
        </w:rPr>
        <w:tab/>
      </w:r>
      <w:r w:rsidRPr="00B723DF">
        <w:rPr>
          <w:rFonts w:ascii="Times New Roman" w:hAnsi="Times New Roman"/>
          <w:sz w:val="24"/>
          <w:szCs w:val="24"/>
        </w:rPr>
        <w:t>AEP’s proposal would harm the development of competition.</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_Toc199392052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9</w:t>
      </w:r>
      <w:r w:rsidRPr="00B723DF">
        <w:rPr>
          <w:rFonts w:ascii="Times New Roman" w:hAnsi="Times New Roman"/>
          <w:sz w:val="24"/>
          <w:szCs w:val="24"/>
        </w:rPr>
        <w:fldChar w:fldCharType="end"/>
      </w:r>
    </w:p>
    <w:p w14:paraId="1FB1457B" w14:textId="77777777" w:rsidR="00B723DF" w:rsidRPr="00B723DF" w:rsidRDefault="00B723DF">
      <w:pPr>
        <w:pStyle w:val="TOC4"/>
        <w:tabs>
          <w:tab w:val="clear" w:pos="1099"/>
          <w:tab w:val="left" w:pos="1110"/>
        </w:tabs>
        <w:rPr>
          <w:rFonts w:ascii="Times New Roman" w:hAnsi="Times New Roman"/>
          <w:sz w:val="24"/>
          <w:szCs w:val="24"/>
          <w:lang w:eastAsia="ja-JP"/>
        </w:rPr>
      </w:pPr>
      <w:r w:rsidRPr="00B723DF">
        <w:rPr>
          <w:rFonts w:ascii="Times New Roman" w:hAnsi="Times New Roman"/>
          <w:sz w:val="24"/>
          <w:szCs w:val="24"/>
        </w:rPr>
        <w:t>b.</w:t>
      </w:r>
      <w:r w:rsidRPr="00B723DF">
        <w:rPr>
          <w:rFonts w:ascii="Times New Roman" w:hAnsi="Times New Roman"/>
          <w:sz w:val="24"/>
          <w:szCs w:val="24"/>
          <w:lang w:eastAsia="ja-JP"/>
        </w:rPr>
        <w:tab/>
      </w:r>
      <w:r w:rsidRPr="00B723DF">
        <w:rPr>
          <w:rFonts w:ascii="Times New Roman" w:hAnsi="Times New Roman"/>
          <w:sz w:val="24"/>
          <w:szCs w:val="24"/>
        </w:rPr>
        <w:t>AEP’s proposal would lead to anticompetitive subsidies.</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_Toc199392053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10</w:t>
      </w:r>
      <w:r w:rsidRPr="00B723DF">
        <w:rPr>
          <w:rFonts w:ascii="Times New Roman" w:hAnsi="Times New Roman"/>
          <w:sz w:val="24"/>
          <w:szCs w:val="24"/>
        </w:rPr>
        <w:fldChar w:fldCharType="end"/>
      </w:r>
    </w:p>
    <w:p w14:paraId="6EC3461D" w14:textId="77777777" w:rsidR="00B723DF" w:rsidRPr="00B723DF" w:rsidRDefault="00B723DF">
      <w:pPr>
        <w:pStyle w:val="TOC4"/>
        <w:tabs>
          <w:tab w:val="clear" w:pos="1099"/>
          <w:tab w:val="left" w:pos="1089"/>
        </w:tabs>
        <w:rPr>
          <w:rFonts w:ascii="Times New Roman" w:hAnsi="Times New Roman"/>
          <w:sz w:val="24"/>
          <w:szCs w:val="24"/>
          <w:lang w:eastAsia="ja-JP"/>
        </w:rPr>
      </w:pPr>
      <w:r w:rsidRPr="00B723DF">
        <w:rPr>
          <w:rFonts w:ascii="Times New Roman" w:hAnsi="Times New Roman"/>
          <w:sz w:val="24"/>
          <w:szCs w:val="24"/>
        </w:rPr>
        <w:t>c.</w:t>
      </w:r>
      <w:r w:rsidRPr="00B723DF">
        <w:rPr>
          <w:rFonts w:ascii="Times New Roman" w:hAnsi="Times New Roman"/>
          <w:sz w:val="24"/>
          <w:szCs w:val="24"/>
          <w:lang w:eastAsia="ja-JP"/>
        </w:rPr>
        <w:tab/>
      </w:r>
      <w:r w:rsidRPr="00B723DF">
        <w:rPr>
          <w:rFonts w:ascii="Times New Roman" w:hAnsi="Times New Roman"/>
          <w:sz w:val="24"/>
          <w:szCs w:val="24"/>
        </w:rPr>
        <w:t>AEP’s proposal would violate Ohio’s transition laws.</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_Toc199392054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10</w:t>
      </w:r>
      <w:r w:rsidRPr="00B723DF">
        <w:rPr>
          <w:rFonts w:ascii="Times New Roman" w:hAnsi="Times New Roman"/>
          <w:sz w:val="24"/>
          <w:szCs w:val="24"/>
        </w:rPr>
        <w:fldChar w:fldCharType="end"/>
      </w:r>
    </w:p>
    <w:p w14:paraId="5465BCD9" w14:textId="77777777" w:rsidR="00B723DF" w:rsidRPr="00B723DF" w:rsidRDefault="00B723DF">
      <w:pPr>
        <w:pStyle w:val="TOC3"/>
        <w:tabs>
          <w:tab w:val="clear" w:pos="887"/>
          <w:tab w:val="left" w:pos="900"/>
        </w:tabs>
        <w:rPr>
          <w:b w:val="0"/>
          <w:lang w:eastAsia="ja-JP"/>
        </w:rPr>
      </w:pPr>
      <w:r w:rsidRPr="00B723DF">
        <w:t>4.</w:t>
      </w:r>
      <w:r w:rsidRPr="00B723DF">
        <w:rPr>
          <w:b w:val="0"/>
          <w:lang w:eastAsia="ja-JP"/>
        </w:rPr>
        <w:tab/>
      </w:r>
      <w:r w:rsidRPr="00B723DF">
        <w:t>AEP’s justifications for recovering embedded costs are refuted by the evidence and ignore Ohio law.</w:t>
      </w:r>
      <w:r w:rsidRPr="00B723DF">
        <w:tab/>
      </w:r>
      <w:r w:rsidRPr="00B723DF">
        <w:fldChar w:fldCharType="begin"/>
      </w:r>
      <w:r w:rsidRPr="00B723DF">
        <w:instrText xml:space="preserve"> PAGEREF _Toc199392055 \h </w:instrText>
      </w:r>
      <w:r w:rsidRPr="00B723DF">
        <w:fldChar w:fldCharType="separate"/>
      </w:r>
      <w:r w:rsidR="00C97659">
        <w:t>11</w:t>
      </w:r>
      <w:r w:rsidRPr="00B723DF">
        <w:fldChar w:fldCharType="end"/>
      </w:r>
    </w:p>
    <w:p w14:paraId="5E0AA37A" w14:textId="77777777" w:rsidR="00B723DF" w:rsidRPr="00B723DF" w:rsidRDefault="00B723DF">
      <w:pPr>
        <w:pStyle w:val="TOC4"/>
        <w:rPr>
          <w:rFonts w:ascii="Times New Roman" w:hAnsi="Times New Roman"/>
          <w:sz w:val="24"/>
          <w:szCs w:val="24"/>
          <w:lang w:eastAsia="ja-JP"/>
        </w:rPr>
      </w:pPr>
      <w:r w:rsidRPr="00B723DF">
        <w:rPr>
          <w:rFonts w:ascii="Times New Roman" w:hAnsi="Times New Roman"/>
          <w:sz w:val="24"/>
          <w:szCs w:val="24"/>
        </w:rPr>
        <w:t>a.</w:t>
      </w:r>
      <w:r w:rsidRPr="00B723DF">
        <w:rPr>
          <w:rFonts w:ascii="Times New Roman" w:hAnsi="Times New Roman"/>
          <w:sz w:val="24"/>
          <w:szCs w:val="24"/>
          <w:lang w:eastAsia="ja-JP"/>
        </w:rPr>
        <w:tab/>
      </w:r>
      <w:r w:rsidRPr="00B723DF">
        <w:rPr>
          <w:rFonts w:ascii="Times New Roman" w:hAnsi="Times New Roman"/>
          <w:sz w:val="24"/>
          <w:szCs w:val="24"/>
        </w:rPr>
        <w:t>There are no reliability concerns under RPM.</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_Toc199392056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11</w:t>
      </w:r>
      <w:r w:rsidRPr="00B723DF">
        <w:rPr>
          <w:rFonts w:ascii="Times New Roman" w:hAnsi="Times New Roman"/>
          <w:sz w:val="24"/>
          <w:szCs w:val="24"/>
        </w:rPr>
        <w:fldChar w:fldCharType="end"/>
      </w:r>
    </w:p>
    <w:p w14:paraId="592E6692" w14:textId="77777777" w:rsidR="00B723DF" w:rsidRPr="00B723DF" w:rsidRDefault="00B723DF">
      <w:pPr>
        <w:pStyle w:val="TOC4"/>
        <w:tabs>
          <w:tab w:val="clear" w:pos="1099"/>
          <w:tab w:val="left" w:pos="1110"/>
        </w:tabs>
        <w:rPr>
          <w:rFonts w:ascii="Times New Roman" w:hAnsi="Times New Roman"/>
          <w:sz w:val="24"/>
          <w:szCs w:val="24"/>
          <w:lang w:eastAsia="ja-JP"/>
        </w:rPr>
      </w:pPr>
      <w:r w:rsidRPr="00B723DF">
        <w:rPr>
          <w:rFonts w:ascii="Times New Roman" w:hAnsi="Times New Roman"/>
          <w:sz w:val="24"/>
          <w:szCs w:val="24"/>
        </w:rPr>
        <w:t>b.</w:t>
      </w:r>
      <w:r w:rsidRPr="00B723DF">
        <w:rPr>
          <w:rFonts w:ascii="Times New Roman" w:hAnsi="Times New Roman"/>
          <w:sz w:val="24"/>
          <w:szCs w:val="24"/>
          <w:lang w:eastAsia="ja-JP"/>
        </w:rPr>
        <w:tab/>
      </w:r>
      <w:r w:rsidRPr="00B723DF">
        <w:rPr>
          <w:rFonts w:ascii="Times New Roman" w:hAnsi="Times New Roman"/>
          <w:sz w:val="24"/>
          <w:szCs w:val="24"/>
        </w:rPr>
        <w:t>RPM pricing does not subsidize CRES providers.</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_Toc199392057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12</w:t>
      </w:r>
      <w:r w:rsidRPr="00B723DF">
        <w:rPr>
          <w:rFonts w:ascii="Times New Roman" w:hAnsi="Times New Roman"/>
          <w:sz w:val="24"/>
          <w:szCs w:val="24"/>
        </w:rPr>
        <w:fldChar w:fldCharType="end"/>
      </w:r>
    </w:p>
    <w:p w14:paraId="6421D46A" w14:textId="77777777" w:rsidR="00B723DF" w:rsidRPr="00B723DF" w:rsidRDefault="00B723DF">
      <w:pPr>
        <w:pStyle w:val="TOC4"/>
        <w:tabs>
          <w:tab w:val="clear" w:pos="1099"/>
          <w:tab w:val="left" w:pos="1089"/>
        </w:tabs>
        <w:rPr>
          <w:rFonts w:ascii="Times New Roman" w:hAnsi="Times New Roman"/>
          <w:sz w:val="24"/>
          <w:szCs w:val="24"/>
          <w:lang w:eastAsia="ja-JP"/>
        </w:rPr>
      </w:pPr>
      <w:r w:rsidRPr="00B723DF">
        <w:rPr>
          <w:rFonts w:ascii="Times New Roman" w:hAnsi="Times New Roman"/>
          <w:sz w:val="24"/>
          <w:szCs w:val="24"/>
        </w:rPr>
        <w:t>c.</w:t>
      </w:r>
      <w:r w:rsidRPr="00B723DF">
        <w:rPr>
          <w:rFonts w:ascii="Times New Roman" w:hAnsi="Times New Roman"/>
          <w:sz w:val="24"/>
          <w:szCs w:val="24"/>
          <w:lang w:eastAsia="ja-JP"/>
        </w:rPr>
        <w:tab/>
      </w:r>
      <w:r w:rsidRPr="00B723DF">
        <w:rPr>
          <w:rFonts w:ascii="Times New Roman" w:hAnsi="Times New Roman"/>
          <w:sz w:val="24"/>
          <w:szCs w:val="24"/>
        </w:rPr>
        <w:t>AEP’s proposal reflects a basic disregard of Ohio policy.</w:t>
      </w:r>
      <w:r w:rsidRPr="00B723DF">
        <w:rPr>
          <w:rFonts w:ascii="Times New Roman" w:hAnsi="Times New Roman"/>
          <w:sz w:val="24"/>
          <w:szCs w:val="24"/>
        </w:rPr>
        <w:tab/>
      </w:r>
      <w:r w:rsidRPr="00B723DF">
        <w:rPr>
          <w:rFonts w:ascii="Times New Roman" w:hAnsi="Times New Roman"/>
          <w:sz w:val="24"/>
          <w:szCs w:val="24"/>
        </w:rPr>
        <w:fldChar w:fldCharType="begin"/>
      </w:r>
      <w:r w:rsidRPr="00B723DF">
        <w:rPr>
          <w:rFonts w:ascii="Times New Roman" w:hAnsi="Times New Roman"/>
          <w:sz w:val="24"/>
          <w:szCs w:val="24"/>
        </w:rPr>
        <w:instrText xml:space="preserve"> PAGEREF _Toc199392058 \h </w:instrText>
      </w:r>
      <w:r w:rsidRPr="00B723DF">
        <w:rPr>
          <w:rFonts w:ascii="Times New Roman" w:hAnsi="Times New Roman"/>
          <w:sz w:val="24"/>
          <w:szCs w:val="24"/>
        </w:rPr>
      </w:r>
      <w:r w:rsidRPr="00B723DF">
        <w:rPr>
          <w:rFonts w:ascii="Times New Roman" w:hAnsi="Times New Roman"/>
          <w:sz w:val="24"/>
          <w:szCs w:val="24"/>
        </w:rPr>
        <w:fldChar w:fldCharType="separate"/>
      </w:r>
      <w:r w:rsidR="00C97659">
        <w:rPr>
          <w:rFonts w:ascii="Times New Roman" w:hAnsi="Times New Roman"/>
          <w:sz w:val="24"/>
          <w:szCs w:val="24"/>
        </w:rPr>
        <w:t>13</w:t>
      </w:r>
      <w:r w:rsidRPr="00B723DF">
        <w:rPr>
          <w:rFonts w:ascii="Times New Roman" w:hAnsi="Times New Roman"/>
          <w:sz w:val="24"/>
          <w:szCs w:val="24"/>
        </w:rPr>
        <w:fldChar w:fldCharType="end"/>
      </w:r>
    </w:p>
    <w:p w14:paraId="00DEDD80" w14:textId="77777777" w:rsidR="00B723DF" w:rsidRPr="00B723DF" w:rsidRDefault="00B723DF" w:rsidP="00B723DF">
      <w:pPr>
        <w:pStyle w:val="TOC2"/>
        <w:rPr>
          <w:lang w:eastAsia="ja-JP"/>
        </w:rPr>
      </w:pPr>
      <w:r w:rsidRPr="00B723DF">
        <w:t>B.</w:t>
      </w:r>
      <w:r w:rsidRPr="00B723DF">
        <w:rPr>
          <w:lang w:eastAsia="ja-JP"/>
        </w:rPr>
        <w:tab/>
      </w:r>
      <w:r w:rsidRPr="00B723DF">
        <w:t>The choice in this case is clear: the Commission should select RPM pricing.</w:t>
      </w:r>
      <w:r w:rsidRPr="00B723DF">
        <w:tab/>
      </w:r>
      <w:r w:rsidRPr="00B723DF">
        <w:fldChar w:fldCharType="begin"/>
      </w:r>
      <w:r w:rsidRPr="00B723DF">
        <w:instrText xml:space="preserve"> PAGEREF _Toc199392059 \h </w:instrText>
      </w:r>
      <w:r w:rsidRPr="00B723DF">
        <w:fldChar w:fldCharType="separate"/>
      </w:r>
      <w:r w:rsidR="00C97659">
        <w:t>14</w:t>
      </w:r>
      <w:r w:rsidRPr="00B723DF">
        <w:fldChar w:fldCharType="end"/>
      </w:r>
    </w:p>
    <w:p w14:paraId="00E415B3" w14:textId="77777777" w:rsidR="00B723DF" w:rsidRPr="00B723DF" w:rsidRDefault="00B723DF" w:rsidP="00B723DF">
      <w:pPr>
        <w:pStyle w:val="TOC1"/>
        <w:rPr>
          <w:rFonts w:ascii="Times New Roman" w:hAnsi="Times New Roman"/>
          <w:noProof/>
          <w:lang w:eastAsia="ja-JP"/>
        </w:rPr>
      </w:pPr>
      <w:r w:rsidRPr="00B723DF">
        <w:rPr>
          <w:rFonts w:ascii="Times New Roman" w:hAnsi="Times New Roman"/>
          <w:noProof/>
        </w:rPr>
        <w:t>III.</w:t>
      </w:r>
      <w:r w:rsidRPr="00B723DF">
        <w:rPr>
          <w:rFonts w:ascii="Times New Roman" w:hAnsi="Times New Roman"/>
          <w:noProof/>
          <w:lang w:eastAsia="ja-JP"/>
        </w:rPr>
        <w:tab/>
      </w:r>
      <w:r w:rsidRPr="00B723DF">
        <w:rPr>
          <w:rFonts w:ascii="Times New Roman" w:hAnsi="Times New Roman"/>
          <w:bCs/>
          <w:caps/>
          <w:noProof/>
        </w:rPr>
        <w:t>Conclusion</w:t>
      </w:r>
      <w:r w:rsidRPr="00B723DF">
        <w:rPr>
          <w:rFonts w:ascii="Times New Roman" w:hAnsi="Times New Roman"/>
          <w:noProof/>
        </w:rPr>
        <w:tab/>
      </w:r>
      <w:r w:rsidRPr="00B723DF">
        <w:rPr>
          <w:rFonts w:ascii="Times New Roman" w:hAnsi="Times New Roman"/>
          <w:noProof/>
        </w:rPr>
        <w:fldChar w:fldCharType="begin"/>
      </w:r>
      <w:r w:rsidRPr="00B723DF">
        <w:rPr>
          <w:rFonts w:ascii="Times New Roman" w:hAnsi="Times New Roman"/>
          <w:noProof/>
        </w:rPr>
        <w:instrText xml:space="preserve"> PAGEREF _Toc199392060 \h </w:instrText>
      </w:r>
      <w:r w:rsidRPr="00B723DF">
        <w:rPr>
          <w:rFonts w:ascii="Times New Roman" w:hAnsi="Times New Roman"/>
          <w:noProof/>
        </w:rPr>
      </w:r>
      <w:r w:rsidRPr="00B723DF">
        <w:rPr>
          <w:rFonts w:ascii="Times New Roman" w:hAnsi="Times New Roman"/>
          <w:noProof/>
        </w:rPr>
        <w:fldChar w:fldCharType="separate"/>
      </w:r>
      <w:r w:rsidR="00C97659">
        <w:rPr>
          <w:rFonts w:ascii="Times New Roman" w:hAnsi="Times New Roman"/>
          <w:noProof/>
        </w:rPr>
        <w:t>15</w:t>
      </w:r>
      <w:r w:rsidRPr="00B723DF">
        <w:rPr>
          <w:rFonts w:ascii="Times New Roman" w:hAnsi="Times New Roman"/>
          <w:noProof/>
        </w:rPr>
        <w:fldChar w:fldCharType="end"/>
      </w:r>
    </w:p>
    <w:p w14:paraId="7DB01AD6" w14:textId="7831D685" w:rsidR="00134B02" w:rsidRPr="00B723DF" w:rsidRDefault="0076735D" w:rsidP="0076735D">
      <w:pPr>
        <w:pStyle w:val="MemoHeading1"/>
        <w:numPr>
          <w:ilvl w:val="0"/>
          <w:numId w:val="0"/>
        </w:numPr>
        <w:spacing w:after="120"/>
        <w:ind w:left="734"/>
        <w:jc w:val="left"/>
        <w:sectPr w:rsidR="00134B02" w:rsidRPr="00B723DF" w:rsidSect="0032154A">
          <w:footerReference w:type="even" r:id="rId10"/>
          <w:footerReference w:type="default" r:id="rId11"/>
          <w:footerReference w:type="first" r:id="rId12"/>
          <w:pgSz w:w="12240" w:h="15840"/>
          <w:pgMar w:top="1440" w:right="1440" w:bottom="1440" w:left="1440" w:header="720" w:footer="720" w:gutter="0"/>
          <w:cols w:space="720"/>
          <w:titlePg/>
          <w:docGrid w:linePitch="360"/>
        </w:sectPr>
      </w:pPr>
      <w:r w:rsidRPr="00B723DF">
        <w:fldChar w:fldCharType="end"/>
      </w:r>
    </w:p>
    <w:p w14:paraId="1EF3C4DD" w14:textId="6B22841E" w:rsidR="005408F0" w:rsidRDefault="005408F0" w:rsidP="007C7A56">
      <w:pPr>
        <w:pStyle w:val="MemoHeading1"/>
      </w:pPr>
      <w:bookmarkStart w:id="0" w:name="_Toc199392038"/>
      <w:r>
        <w:t>background</w:t>
      </w:r>
      <w:bookmarkEnd w:id="0"/>
    </w:p>
    <w:p w14:paraId="402A9EC5" w14:textId="56A37906" w:rsidR="001E751A" w:rsidRPr="00B3658A" w:rsidRDefault="001E751A" w:rsidP="007970EB">
      <w:pPr>
        <w:pStyle w:val="MemoBodyText"/>
        <w:rPr>
          <w:b/>
        </w:rPr>
      </w:pPr>
      <w:r>
        <w:t xml:space="preserve">The provision of electric service by the </w:t>
      </w:r>
      <w:r w:rsidR="005408F0">
        <w:t xml:space="preserve">Ohio Power Company d/b/a AEP Ohio (“AEP”) </w:t>
      </w:r>
      <w:r>
        <w:t xml:space="preserve">is subject to </w:t>
      </w:r>
      <w:r w:rsidR="005408F0">
        <w:t>PJM’</w:t>
      </w:r>
      <w:r w:rsidR="005408F0" w:rsidRPr="0070741E">
        <w:t>s Reliability A</w:t>
      </w:r>
      <w:r w:rsidR="005408F0">
        <w:t>ssurance Agreement</w:t>
      </w:r>
      <w:r>
        <w:t>.</w:t>
      </w:r>
      <w:r w:rsidR="005408F0">
        <w:t xml:space="preserve"> </w:t>
      </w:r>
      <w:r>
        <w:t xml:space="preserve"> </w:t>
      </w:r>
      <w:r w:rsidR="005408F0">
        <w:t>Section D.8</w:t>
      </w:r>
      <w:r>
        <w:t xml:space="preserve"> of Schedule 8.1</w:t>
      </w:r>
      <w:r w:rsidR="005408F0">
        <w:t xml:space="preserve"> </w:t>
      </w:r>
      <w:r>
        <w:t xml:space="preserve">of that agreement governs the payment of capacity charges by competitive retail electric service (“CRES”) suppliers to AEP.  As pertinent here, it provides </w:t>
      </w:r>
      <w:r w:rsidR="005408F0">
        <w:t>that</w:t>
      </w:r>
      <w:r w:rsidR="005408F0" w:rsidRPr="0070741E">
        <w:t xml:space="preserve"> </w:t>
      </w:r>
      <w:r w:rsidR="005408F0">
        <w:t>“</w:t>
      </w:r>
      <w:r w:rsidR="005408F0" w:rsidRPr="0070741E">
        <w:t xml:space="preserve">where the state regulatory jurisdiction requires switching customers or the </w:t>
      </w:r>
      <w:r w:rsidR="005408F0">
        <w:t xml:space="preserve">[CRES supplier] </w:t>
      </w:r>
      <w:r w:rsidR="005408F0" w:rsidRPr="0070741E">
        <w:t xml:space="preserve">to compensate </w:t>
      </w:r>
      <w:r>
        <w:t xml:space="preserve">[AEP] </w:t>
      </w:r>
      <w:r w:rsidR="005408F0" w:rsidRPr="0070741E">
        <w:t xml:space="preserve">for its </w:t>
      </w:r>
      <w:r>
        <w:t xml:space="preserve">[fixed resource requirement] </w:t>
      </w:r>
      <w:r w:rsidR="005408F0" w:rsidRPr="0070741E">
        <w:t>capacity obligations, such state compensation mechanism will prevail</w:t>
      </w:r>
      <w:r w:rsidR="005408F0">
        <w:t>” over alternative methods of compensation</w:t>
      </w:r>
      <w:r w:rsidR="005408F0" w:rsidRPr="0070741E">
        <w:t>.</w:t>
      </w:r>
    </w:p>
    <w:p w14:paraId="6B5C5DAD" w14:textId="45A703C3" w:rsidR="005408F0" w:rsidRPr="005408F0" w:rsidRDefault="005408F0" w:rsidP="007970EB">
      <w:pPr>
        <w:pStyle w:val="MemoBodyText"/>
      </w:pPr>
      <w:r>
        <w:t xml:space="preserve">The Commission instituted this proceeding to determine the “state compensation mechanism.” </w:t>
      </w:r>
      <w:r w:rsidR="00B14159">
        <w:t xml:space="preserve"> Entry 2 (Dec. 8, 2010).</w:t>
      </w:r>
      <w:r w:rsidR="00B94B60">
        <w:t xml:space="preserve">  The Commission held</w:t>
      </w:r>
      <w:r w:rsidR="001E751A">
        <w:t xml:space="preserve"> extensive hearings, </w:t>
      </w:r>
      <w:r w:rsidR="00B94B60">
        <w:t xml:space="preserve">at the conclusion of which </w:t>
      </w:r>
      <w:r w:rsidR="001E751A">
        <w:t xml:space="preserve">it </w:t>
      </w:r>
      <w:r w:rsidR="00B94B60">
        <w:t xml:space="preserve">ordered </w:t>
      </w:r>
      <w:r w:rsidR="00134B02">
        <w:t xml:space="preserve">that </w:t>
      </w:r>
      <w:r w:rsidR="00B94B60">
        <w:t xml:space="preserve">post-hearing briefs be filed </w:t>
      </w:r>
      <w:r w:rsidR="001E751A">
        <w:t xml:space="preserve">on </w:t>
      </w:r>
      <w:r w:rsidR="00B94B60">
        <w:t xml:space="preserve">May 23.  In accordance with that order, IGS hereby files its brief.   </w:t>
      </w:r>
    </w:p>
    <w:p w14:paraId="17431A3A" w14:textId="56874876" w:rsidR="007C7A56" w:rsidRDefault="005408F0" w:rsidP="007C7A56">
      <w:pPr>
        <w:pStyle w:val="MemoHeading1"/>
      </w:pPr>
      <w:bookmarkStart w:id="1" w:name="_Toc199392039"/>
      <w:r>
        <w:t>argument</w:t>
      </w:r>
      <w:bookmarkEnd w:id="1"/>
    </w:p>
    <w:p w14:paraId="6213195E" w14:textId="5BF0365C" w:rsidR="007D4E74" w:rsidRPr="00B3658A" w:rsidRDefault="001E751A" w:rsidP="00C00F70">
      <w:pPr>
        <w:pStyle w:val="MemoBodyText"/>
        <w:rPr>
          <w:b/>
        </w:rPr>
      </w:pPr>
      <w:r>
        <w:t xml:space="preserve">In this case, it falls </w:t>
      </w:r>
      <w:r w:rsidR="007D4E74">
        <w:t>to</w:t>
      </w:r>
      <w:r>
        <w:t xml:space="preserve"> t</w:t>
      </w:r>
      <w:r w:rsidR="005408F0">
        <w:t xml:space="preserve">he Commission </w:t>
      </w:r>
      <w:r w:rsidR="007D4E74">
        <w:t>to</w:t>
      </w:r>
      <w:r w:rsidR="005408F0">
        <w:t xml:space="preserve"> determine </w:t>
      </w:r>
      <w:r w:rsidR="00C00F70">
        <w:t>the “state compensation mechanism</w:t>
      </w:r>
      <w:r w:rsidR="005408F0">
        <w:t>”</w:t>
      </w:r>
      <w:r w:rsidR="007D4E74">
        <w:t xml:space="preserve"> to govern the payment of capacity charges by CRES providers to AEP.  The “compensation mechanism” </w:t>
      </w:r>
      <w:r w:rsidR="00B6593F">
        <w:t xml:space="preserve">in </w:t>
      </w:r>
      <w:r w:rsidR="007D4E74">
        <w:t xml:space="preserve">the </w:t>
      </w:r>
      <w:r w:rsidR="007D4E74">
        <w:rPr>
          <w:i/>
        </w:rPr>
        <w:t xml:space="preserve">rest </w:t>
      </w:r>
      <w:r w:rsidR="007D4E74" w:rsidRPr="00B6593F">
        <w:t>of</w:t>
      </w:r>
      <w:r w:rsidR="007D4E74">
        <w:rPr>
          <w:i/>
        </w:rPr>
        <w:t xml:space="preserve"> </w:t>
      </w:r>
      <w:r w:rsidR="007D4E74">
        <w:t xml:space="preserve">the “state” is a non-issue; the other major electric utilities use the PJM-created and -administered reliability pricing model (“RPM”) to price capacity. </w:t>
      </w:r>
      <w:r w:rsidR="00B6593F">
        <w:t xml:space="preserve"> </w:t>
      </w:r>
      <w:r w:rsidR="007D4E74">
        <w:t xml:space="preserve">AEP has come up with its own method, however, one designed to recover </w:t>
      </w:r>
      <w:r w:rsidR="00B6593F">
        <w:t xml:space="preserve">from shopping customers </w:t>
      </w:r>
      <w:r w:rsidR="007D4E74">
        <w:t xml:space="preserve">the embedded costs of its generation fleet.  And those two methods—RPM or AEP’s calculation of embedded costs—form the </w:t>
      </w:r>
      <w:r w:rsidR="00490CE4">
        <w:t xml:space="preserve">basic </w:t>
      </w:r>
      <w:r w:rsidR="007D4E74">
        <w:t>choice before the Commission.</w:t>
      </w:r>
      <w:r w:rsidR="00B3658A">
        <w:t xml:space="preserve">  </w:t>
      </w:r>
    </w:p>
    <w:p w14:paraId="083431E8" w14:textId="0B428B8F" w:rsidR="00B6593F" w:rsidRDefault="00B6593F" w:rsidP="00C00F70">
      <w:pPr>
        <w:pStyle w:val="MemoBodyText"/>
      </w:pPr>
      <w:r>
        <w:t>Of course, t</w:t>
      </w:r>
      <w:r w:rsidR="007D4E74">
        <w:t>he Commission</w:t>
      </w:r>
      <w:r>
        <w:t xml:space="preserve"> </w:t>
      </w:r>
      <w:r w:rsidR="007D4E74">
        <w:t xml:space="preserve">only </w:t>
      </w:r>
      <w:r>
        <w:t xml:space="preserve">has “the state regulatory jurisdiction” to set the “state compensation mechanism” because the General Assembly, on behalf of the State, </w:t>
      </w:r>
      <w:r w:rsidR="007D4E74">
        <w:t xml:space="preserve">has given it </w:t>
      </w:r>
      <w:r>
        <w:t>that power</w:t>
      </w:r>
      <w:r w:rsidR="007D4E74">
        <w:t xml:space="preserve">.  </w:t>
      </w:r>
      <w:r>
        <w:t xml:space="preserve">But </w:t>
      </w:r>
      <w:r w:rsidR="007D4E74">
        <w:t>t</w:t>
      </w:r>
      <w:r w:rsidR="00A81DEC">
        <w:t xml:space="preserve">he </w:t>
      </w:r>
      <w:r w:rsidR="007D4E74">
        <w:t xml:space="preserve">legislature </w:t>
      </w:r>
      <w:r>
        <w:t xml:space="preserve">did </w:t>
      </w:r>
      <w:r w:rsidR="005408F0">
        <w:t xml:space="preserve">not </w:t>
      </w:r>
      <w:r>
        <w:t xml:space="preserve">leave </w:t>
      </w:r>
      <w:r w:rsidR="005408F0">
        <w:t xml:space="preserve">the </w:t>
      </w:r>
      <w:r w:rsidR="00A81DEC">
        <w:t xml:space="preserve">Commission </w:t>
      </w:r>
      <w:r w:rsidR="005408F0">
        <w:t xml:space="preserve">to work </w:t>
      </w:r>
      <w:r w:rsidR="00A81DEC">
        <w:t xml:space="preserve">on a blank slate.  </w:t>
      </w:r>
      <w:r w:rsidR="007D4E74">
        <w:t>T</w:t>
      </w:r>
      <w:r w:rsidR="005408F0">
        <w:t>he General Assembly</w:t>
      </w:r>
      <w:r w:rsidR="007D4E74">
        <w:t xml:space="preserve"> (and indirectly the Ohio Supreme Court) have </w:t>
      </w:r>
      <w:r w:rsidR="005408F0">
        <w:t xml:space="preserve">provided </w:t>
      </w:r>
      <w:r w:rsidR="00A81DEC">
        <w:t xml:space="preserve">laws, policies, and precedents that </w:t>
      </w:r>
      <w:r w:rsidR="005408F0">
        <w:t>address how the Commission should</w:t>
      </w:r>
      <w:r w:rsidR="007D4E74">
        <w:t xml:space="preserve"> make its decision in this case.  </w:t>
      </w:r>
    </w:p>
    <w:p w14:paraId="6DD02138" w14:textId="6377308E" w:rsidR="007D4E74" w:rsidRDefault="007D4E74" w:rsidP="00C00F70">
      <w:pPr>
        <w:pStyle w:val="MemoBodyText"/>
      </w:pPr>
      <w:r>
        <w:t>The cornerstone of Ohio’s electric policy is “to facilitate and encourage development of competition in the retail electric market</w:t>
      </w:r>
      <w:r w:rsidR="00B6593F">
        <w:t>.</w:t>
      </w:r>
      <w:r>
        <w:t xml:space="preserve">”  </w:t>
      </w:r>
      <w:r w:rsidRPr="00824650">
        <w:rPr>
          <w:i/>
        </w:rPr>
        <w:t xml:space="preserve">AK Steel Corp. v. </w:t>
      </w:r>
      <w:r>
        <w:rPr>
          <w:i/>
        </w:rPr>
        <w:t>Pub. Util. Comm.</w:t>
      </w:r>
      <w:r>
        <w:t xml:space="preserve">, 95 Ohio St. 3d 81, 81 (2002).  </w:t>
      </w:r>
      <w:r w:rsidR="00B6593F">
        <w:t>The record shows that the market-based RPM method will support competition, ensure relia</w:t>
      </w:r>
      <w:r w:rsidR="009F5AF9">
        <w:t>bility, and run afoul of no law</w:t>
      </w:r>
      <w:r w:rsidR="00B6593F">
        <w:t xml:space="preserve"> or policy.  And the record shows the converse regarding AEP’s proposal: it will cripple competition, have no effect on reliability, and violate numerous laws and policies.</w:t>
      </w:r>
    </w:p>
    <w:p w14:paraId="1C40D4E0" w14:textId="71958FED" w:rsidR="00C00F70" w:rsidRDefault="00B6593F" w:rsidP="00C00F70">
      <w:pPr>
        <w:pStyle w:val="MemoBodyText"/>
      </w:pPr>
      <w:r>
        <w:t xml:space="preserve">The evidence is clear.  The Commission cannot approve </w:t>
      </w:r>
      <w:r w:rsidR="005408F0">
        <w:t>AEP</w:t>
      </w:r>
      <w:r>
        <w:t>’s proposal unless it ignores either the record or the direction given it by the state of Ohio.  AEP</w:t>
      </w:r>
      <w:r w:rsidR="005408F0">
        <w:t xml:space="preserve"> may see </w:t>
      </w:r>
      <w:r>
        <w:t xml:space="preserve">this case </w:t>
      </w:r>
      <w:r w:rsidR="00564C8A">
        <w:t>a</w:t>
      </w:r>
      <w:r w:rsidR="007D4E74">
        <w:t xml:space="preserve">s </w:t>
      </w:r>
      <w:r w:rsidR="009F5AF9">
        <w:t xml:space="preserve">providing </w:t>
      </w:r>
      <w:r w:rsidR="005408F0">
        <w:t>one last bite at the apple of embedded-cost</w:t>
      </w:r>
      <w:r>
        <w:t xml:space="preserve"> </w:t>
      </w:r>
      <w:r w:rsidR="005408F0">
        <w:t>recovery, one last shot to cripple burgeoning competition</w:t>
      </w:r>
      <w:r w:rsidR="007D4E74">
        <w:t xml:space="preserve">, and one last “market development period”—but </w:t>
      </w:r>
      <w:r>
        <w:t>the law of Ohio</w:t>
      </w:r>
      <w:r w:rsidR="00564C8A">
        <w:t xml:space="preserve"> </w:t>
      </w:r>
      <w:r w:rsidR="00A81DEC">
        <w:t>rule</w:t>
      </w:r>
      <w:r>
        <w:t>s</w:t>
      </w:r>
      <w:r w:rsidR="00A81DEC">
        <w:t xml:space="preserve"> out what AEP is trying to do.  </w:t>
      </w:r>
    </w:p>
    <w:p w14:paraId="238EBFB8" w14:textId="77777777" w:rsidR="00B6593F" w:rsidRDefault="00B6593F" w:rsidP="00B6593F">
      <w:pPr>
        <w:pStyle w:val="MemoHeading2"/>
      </w:pPr>
      <w:bookmarkStart w:id="2" w:name="_Toc199392040"/>
      <w:r>
        <w:t>The RPM mechanism of pricing capacity supports Ohio’s policies; AEP’s proposed mechanism violates them.</w:t>
      </w:r>
      <w:bookmarkEnd w:id="2"/>
    </w:p>
    <w:p w14:paraId="365DCC50" w14:textId="1D8229EB" w:rsidR="00B6593F" w:rsidRDefault="00B6593F" w:rsidP="00B6593F">
      <w:pPr>
        <w:pStyle w:val="MemoBodyText"/>
      </w:pPr>
      <w:r>
        <w:t>For all the hundreds of pages of testimony and weeks in the hearing room, the issue in this case boils down to a choice between two methods to price capacity: (</w:t>
      </w:r>
      <w:r w:rsidRPr="00900000">
        <w:rPr>
          <w:i/>
        </w:rPr>
        <w:t>1</w:t>
      </w:r>
      <w:r>
        <w:t>) the market-based, PJM-administered reliability pricing model (“RPM”) or (</w:t>
      </w:r>
      <w:r w:rsidRPr="00900000">
        <w:rPr>
          <w:i/>
        </w:rPr>
        <w:t>2</w:t>
      </w:r>
      <w:r>
        <w:t xml:space="preserve">) AEP’s calculation of its embedded costs.  </w:t>
      </w:r>
      <w:r w:rsidR="00EF2EB0">
        <w:t>T</w:t>
      </w:r>
      <w:r>
        <w:t>he RPM price</w:t>
      </w:r>
      <w:r w:rsidR="00EF2EB0">
        <w:t xml:space="preserve"> </w:t>
      </w:r>
      <w:r>
        <w:t>fully acc</w:t>
      </w:r>
      <w:bookmarkStart w:id="3" w:name="_GoBack"/>
      <w:bookmarkEnd w:id="3"/>
      <w:r>
        <w:t>ords with Ohio’s laws and policies</w:t>
      </w:r>
      <w:r w:rsidR="00EF2EB0">
        <w:t>;</w:t>
      </w:r>
      <w:r>
        <w:t xml:space="preserve"> </w:t>
      </w:r>
      <w:r w:rsidR="000A6833">
        <w:t>t</w:t>
      </w:r>
      <w:r w:rsidR="00CF4501">
        <w:t>he alternative</w:t>
      </w:r>
      <w:r w:rsidR="000A6833">
        <w:t>,</w:t>
      </w:r>
      <w:r w:rsidR="00CF4501">
        <w:t xml:space="preserve"> </w:t>
      </w:r>
      <w:r>
        <w:t xml:space="preserve">AEP’s proposal to recover embedded generation costs from </w:t>
      </w:r>
      <w:r w:rsidR="002F3FCD">
        <w:t>shopping customers</w:t>
      </w:r>
      <w:r w:rsidR="00CF4501">
        <w:t>,</w:t>
      </w:r>
      <w:r w:rsidR="00EF2EB0">
        <w:t xml:space="preserve"> does not</w:t>
      </w:r>
      <w:r>
        <w:t xml:space="preserve">.  </w:t>
      </w:r>
    </w:p>
    <w:p w14:paraId="1D684CC4" w14:textId="696704CD" w:rsidR="006059FE" w:rsidRDefault="00B6593F" w:rsidP="00B6593F">
      <w:pPr>
        <w:pStyle w:val="MemoHeading3"/>
      </w:pPr>
      <w:bookmarkStart w:id="4" w:name="_Toc199392041"/>
      <w:r>
        <w:t>The</w:t>
      </w:r>
      <w:r w:rsidR="0062782E">
        <w:t xml:space="preserve"> “</w:t>
      </w:r>
      <w:r w:rsidR="006059FE" w:rsidRPr="0062782E">
        <w:t xml:space="preserve">state </w:t>
      </w:r>
      <w:r w:rsidR="006059FE">
        <w:t>compensation mechanism</w:t>
      </w:r>
      <w:r w:rsidR="0062782E">
        <w:t xml:space="preserve">” must accord with </w:t>
      </w:r>
      <w:r w:rsidR="00B048DF">
        <w:t>Ohio</w:t>
      </w:r>
      <w:r w:rsidR="0062782E">
        <w:t xml:space="preserve"> law and policy</w:t>
      </w:r>
      <w:r w:rsidR="006059FE">
        <w:t>.</w:t>
      </w:r>
      <w:bookmarkEnd w:id="4"/>
    </w:p>
    <w:p w14:paraId="3CB304A4" w14:textId="2800481F" w:rsidR="00066470" w:rsidRDefault="00564C8A" w:rsidP="00EE1E21">
      <w:pPr>
        <w:pStyle w:val="MemoBodyText"/>
      </w:pPr>
      <w:r>
        <w:t xml:space="preserve">The </w:t>
      </w:r>
      <w:r w:rsidR="0062782E" w:rsidRPr="0070741E">
        <w:t>Reliability A</w:t>
      </w:r>
      <w:r>
        <w:t>ssurance Agreement provides that the “</w:t>
      </w:r>
      <w:r w:rsidR="0062782E" w:rsidRPr="0070741E">
        <w:t>state compensation mechanism</w:t>
      </w:r>
      <w:r>
        <w:t xml:space="preserve">” </w:t>
      </w:r>
      <w:r w:rsidR="002F3FCD">
        <w:t xml:space="preserve">set by the “state regulatory jurisdiction” </w:t>
      </w:r>
      <w:r>
        <w:t>shall govern capacity payments by CRES suppliers to AEP.</w:t>
      </w:r>
      <w:r w:rsidR="0062782E">
        <w:t xml:space="preserve">  </w:t>
      </w:r>
      <w:r w:rsidR="00AC3EA6">
        <w:t>(</w:t>
      </w:r>
      <w:r w:rsidR="005408F0" w:rsidRPr="00564C8A">
        <w:t>Schedule 8.1, Section D.8</w:t>
      </w:r>
      <w:r>
        <w:t>.)</w:t>
      </w:r>
      <w:r w:rsidR="005408F0" w:rsidRPr="00564C8A">
        <w:t xml:space="preserve"> </w:t>
      </w:r>
      <w:r>
        <w:t xml:space="preserve"> </w:t>
      </w:r>
      <w:r w:rsidR="00C5587A">
        <w:t xml:space="preserve">The </w:t>
      </w:r>
      <w:r w:rsidR="0062782E">
        <w:t xml:space="preserve">tariff provision does not speak to </w:t>
      </w:r>
      <w:r w:rsidR="0062782E">
        <w:rPr>
          <w:i/>
        </w:rPr>
        <w:t xml:space="preserve">how </w:t>
      </w:r>
      <w:r w:rsidR="0062782E">
        <w:t xml:space="preserve">the state compensation mechanism should operate but simply adopts that mechanism.  </w:t>
      </w:r>
      <w:r w:rsidR="00C5587A">
        <w:t>This, however, does not give the Commission free rein to establish whatever compensation mechanism it chooses</w:t>
      </w:r>
      <w:r w:rsidR="00CF4501">
        <w:t>;</w:t>
      </w:r>
      <w:r w:rsidR="00C5587A">
        <w:t xml:space="preserve"> rather, when adopting a state compensation mechanism, the Commission must follow the laws and the policies of the state.  </w:t>
      </w:r>
      <w:r w:rsidR="00F77556">
        <w:t>Those laws and policies</w:t>
      </w:r>
      <w:r w:rsidR="00C5587A">
        <w:t xml:space="preserve">, </w:t>
      </w:r>
      <w:r w:rsidR="00CF4501">
        <w:t xml:space="preserve">set forth by the Ohio General Assembly, </w:t>
      </w:r>
      <w:r w:rsidR="00464DB8">
        <w:t xml:space="preserve">make clear </w:t>
      </w:r>
      <w:r w:rsidR="00066470">
        <w:t>that generation serv</w:t>
      </w:r>
      <w:r w:rsidR="002F3FCD">
        <w:t>ice in Ohio must be competitive</w:t>
      </w:r>
      <w:r w:rsidR="00C5587A">
        <w:t xml:space="preserve"> and </w:t>
      </w:r>
      <w:r w:rsidR="002F3FCD">
        <w:t xml:space="preserve">that such service </w:t>
      </w:r>
      <w:r w:rsidR="00066470">
        <w:t xml:space="preserve">must avoid </w:t>
      </w:r>
      <w:r w:rsidR="002B7667">
        <w:t xml:space="preserve">anticompetitive </w:t>
      </w:r>
      <w:r w:rsidR="00066470">
        <w:t>subsidies</w:t>
      </w:r>
      <w:r w:rsidR="00464DB8">
        <w:t>.</w:t>
      </w:r>
      <w:r w:rsidR="00066470">
        <w:t xml:space="preserve">  </w:t>
      </w:r>
      <w:r w:rsidR="002F3FCD">
        <w:t xml:space="preserve">And while those laws </w:t>
      </w:r>
      <w:r w:rsidR="00460A32">
        <w:t>grant</w:t>
      </w:r>
      <w:r w:rsidR="002F3FCD">
        <w:t>ed</w:t>
      </w:r>
      <w:r w:rsidR="00460A32">
        <w:t xml:space="preserve"> </w:t>
      </w:r>
      <w:r w:rsidR="002F3FCD">
        <w:t xml:space="preserve">incumbent </w:t>
      </w:r>
      <w:r w:rsidR="00460A32">
        <w:t xml:space="preserve">utilities </w:t>
      </w:r>
      <w:r w:rsidR="00066470">
        <w:t xml:space="preserve">a </w:t>
      </w:r>
      <w:r w:rsidR="002F3FCD">
        <w:t xml:space="preserve">lengthy </w:t>
      </w:r>
      <w:r w:rsidR="00066470">
        <w:t xml:space="preserve">transition </w:t>
      </w:r>
      <w:r w:rsidR="00460A32">
        <w:t xml:space="preserve">period </w:t>
      </w:r>
      <w:r w:rsidR="002F3FCD">
        <w:t>to competitive markets</w:t>
      </w:r>
      <w:r w:rsidR="00066470">
        <w:t xml:space="preserve">, </w:t>
      </w:r>
      <w:r w:rsidR="002F3FCD">
        <w:t xml:space="preserve">they make clear that </w:t>
      </w:r>
      <w:r w:rsidR="00066470">
        <w:t xml:space="preserve">the time for transition has ended.  </w:t>
      </w:r>
    </w:p>
    <w:p w14:paraId="68BAD6D2" w14:textId="1EB3ECF8" w:rsidR="006059FE" w:rsidRPr="006059FE" w:rsidRDefault="00460A32" w:rsidP="002F3FCD">
      <w:pPr>
        <w:pStyle w:val="MemoHeading4"/>
      </w:pPr>
      <w:bookmarkStart w:id="5" w:name="_Toc199392042"/>
      <w:r>
        <w:t xml:space="preserve">Ohio’s central electric </w:t>
      </w:r>
      <w:r w:rsidR="006059FE">
        <w:t xml:space="preserve">policy </w:t>
      </w:r>
      <w:r>
        <w:t>is to develop</w:t>
      </w:r>
      <w:r w:rsidR="006059FE">
        <w:t xml:space="preserve"> competitive</w:t>
      </w:r>
      <w:r w:rsidR="00134B02">
        <w:t xml:space="preserve"> retail electric</w:t>
      </w:r>
      <w:r w:rsidR="006059FE">
        <w:t xml:space="preserve"> markets.</w:t>
      </w:r>
      <w:bookmarkEnd w:id="5"/>
    </w:p>
    <w:p w14:paraId="481462F3" w14:textId="68126D3A" w:rsidR="00460A32" w:rsidRDefault="002F3FCD" w:rsidP="00A414FC">
      <w:pPr>
        <w:pStyle w:val="MemoBodyText"/>
      </w:pPr>
      <w:r>
        <w:t xml:space="preserve">Ohio’s fundamental electric policy is “to facilitate and encourage development of competition in the retail electric market.”  </w:t>
      </w:r>
      <w:r w:rsidRPr="00824650">
        <w:rPr>
          <w:i/>
        </w:rPr>
        <w:t xml:space="preserve">AK Steel Corp. v. </w:t>
      </w:r>
      <w:r>
        <w:rPr>
          <w:i/>
        </w:rPr>
        <w:t>Pub. Util. Comm.</w:t>
      </w:r>
      <w:r>
        <w:t xml:space="preserve">, 95 Ohio St. 3d 81, 81 (2002).  </w:t>
      </w:r>
      <w:r w:rsidR="00460A32">
        <w:t xml:space="preserve">Ohio law speaks in numerous places requiring the Commission to ensure that competitive markets for electricity develop in Ohio.  </w:t>
      </w:r>
      <w:r>
        <w:t>T</w:t>
      </w:r>
      <w:r w:rsidR="00460A32">
        <w:t>he Commission has a continuing duty to “[r]</w:t>
      </w:r>
      <w:r w:rsidR="00460A32" w:rsidRPr="00A81DEC">
        <w:t>ecognize the continuing emergence of competitive electricity markets</w:t>
      </w:r>
      <w:r w:rsidR="00460A32">
        <w:t>.”  R.C. 4928.02</w:t>
      </w:r>
      <w:r w:rsidR="00460A32" w:rsidRPr="00A81DEC">
        <w:t>(G)</w:t>
      </w:r>
      <w:r w:rsidR="00460A32">
        <w:t>.  It must “[e]</w:t>
      </w:r>
      <w:r w:rsidR="00460A32" w:rsidRPr="00A81DEC">
        <w:t>nsure diversity of electricity supplies and suppliers, by giving consumers effective choices over the selection of those supplies and suppliers</w:t>
      </w:r>
      <w:r w:rsidR="00460A32">
        <w:t xml:space="preserve">.”  </w:t>
      </w:r>
      <w:r w:rsidR="00460A32" w:rsidRPr="00066470">
        <w:t>R.C. 4928.02(C)</w:t>
      </w:r>
      <w:r w:rsidR="00460A32">
        <w:t>.  Among other dangers to competition, the Commission must protect consumers from entities wielding</w:t>
      </w:r>
      <w:r w:rsidR="00085F8B">
        <w:t xml:space="preserve"> “market power.”  R.C. 4928.02(I)</w:t>
      </w:r>
      <w:r w:rsidR="00460A32">
        <w:t xml:space="preserve">.  These </w:t>
      </w:r>
      <w:r>
        <w:t xml:space="preserve">policy statements </w:t>
      </w:r>
      <w:r w:rsidR="00460A32">
        <w:t>are not idealistic aspirations; the Commission “</w:t>
      </w:r>
      <w:r w:rsidR="00460A32">
        <w:rPr>
          <w:i/>
        </w:rPr>
        <w:t xml:space="preserve">shall </w:t>
      </w:r>
      <w:r w:rsidR="00460A32">
        <w:t xml:space="preserve">ensure that [Ohio’s </w:t>
      </w:r>
      <w:r>
        <w:t>energy</w:t>
      </w:r>
      <w:r w:rsidR="00460A32">
        <w:t xml:space="preserve">] policy . . . is effectuated.”  R.C. 4928.06(A) (emphasis added).  </w:t>
      </w:r>
    </w:p>
    <w:p w14:paraId="3DB34814" w14:textId="5B425C35" w:rsidR="00066470" w:rsidRDefault="002F3FCD" w:rsidP="00A414FC">
      <w:pPr>
        <w:pStyle w:val="MemoBodyText"/>
      </w:pPr>
      <w:r>
        <w:t xml:space="preserve">The Court has recognized that, at bottom, </w:t>
      </w:r>
      <w:r w:rsidR="00C46BC4">
        <w:t>“</w:t>
      </w:r>
      <w:r>
        <w:t>t</w:t>
      </w:r>
      <w:r w:rsidR="00C46BC4">
        <w:t xml:space="preserve">he advent of customer choice” </w:t>
      </w:r>
      <w:r>
        <w:t xml:space="preserve">was </w:t>
      </w:r>
      <w:r w:rsidR="00572380">
        <w:t>intended to give customers a chance to consider “</w:t>
      </w:r>
      <w:r w:rsidR="00C46BC4">
        <w:t>off</w:t>
      </w:r>
      <w:r w:rsidR="00572380">
        <w:t>ers from competitive generators</w:t>
      </w:r>
      <w:r w:rsidR="00C46BC4">
        <w:t>.</w:t>
      </w:r>
      <w:r w:rsidR="00572380">
        <w:t>”</w:t>
      </w:r>
      <w:r w:rsidR="00C46BC4">
        <w:t xml:space="preserve">  </w:t>
      </w:r>
      <w:r w:rsidR="00C46BC4" w:rsidRPr="00464DB8">
        <w:rPr>
          <w:i/>
        </w:rPr>
        <w:t xml:space="preserve">Migden-Ostrander v. </w:t>
      </w:r>
      <w:r w:rsidR="00C46BC4">
        <w:rPr>
          <w:i/>
        </w:rPr>
        <w:t>Pub. Util. Comm.</w:t>
      </w:r>
      <w:r w:rsidR="00C46BC4">
        <w:t xml:space="preserve">, 102 Ohio St. 3d 451, 452–53 (2004). </w:t>
      </w:r>
      <w:r w:rsidR="00572380">
        <w:t xml:space="preserve"> As the Court </w:t>
      </w:r>
      <w:r>
        <w:t>recognized</w:t>
      </w:r>
      <w:r w:rsidR="00572380">
        <w:t xml:space="preserve">, </w:t>
      </w:r>
      <w:r w:rsidR="00C46BC4" w:rsidRPr="006059FE">
        <w:t>“</w:t>
      </w:r>
      <w:r w:rsidR="00572380">
        <w:t>[A]</w:t>
      </w:r>
      <w:r w:rsidR="00C46BC4" w:rsidRPr="006059FE">
        <w:t xml:space="preserve">ll customers </w:t>
      </w:r>
      <w:r w:rsidR="00066470">
        <w:t xml:space="preserve">[will] </w:t>
      </w:r>
      <w:r w:rsidR="00C46BC4" w:rsidRPr="006059FE">
        <w:t xml:space="preserve">benefit from having greater choices in a competitive retail electricity market.”  </w:t>
      </w:r>
      <w:r w:rsidR="00C46BC4" w:rsidRPr="006059FE">
        <w:rPr>
          <w:i/>
        </w:rPr>
        <w:t>Ohio Consumers’ Counsel v. Pub. Util. Comm.</w:t>
      </w:r>
      <w:r w:rsidR="00C46BC4" w:rsidRPr="006059FE">
        <w:t>, 110 Ohio St. 3d 394, 398 (2006)</w:t>
      </w:r>
      <w:r w:rsidR="00C46BC4">
        <w:t xml:space="preserve">.  </w:t>
      </w:r>
      <w:r w:rsidR="00A414FC">
        <w:t>Even AEP has recognized that Ohio’s “‘</w:t>
      </w:r>
      <w:r w:rsidR="00A414FC" w:rsidRPr="00A414FC">
        <w:t>basic and central</w:t>
      </w:r>
      <w:r w:rsidR="00A414FC">
        <w:t>’</w:t>
      </w:r>
      <w:r w:rsidR="00A414FC" w:rsidRPr="00A414FC">
        <w:t xml:space="preserve"> electric policies</w:t>
      </w:r>
      <w:r w:rsidR="00A414FC">
        <w:t xml:space="preserve"> . . . favor[]</w:t>
      </w:r>
      <w:r w:rsidR="00A414FC" w:rsidRPr="00A414FC">
        <w:t xml:space="preserve"> the development of competitive markets, retail shopping, and customer choice.</w:t>
      </w:r>
      <w:r w:rsidR="00A414FC">
        <w:t xml:space="preserve">”  </w:t>
      </w:r>
      <w:r w:rsidR="00A414FC" w:rsidRPr="00A414FC">
        <w:rPr>
          <w:i/>
        </w:rPr>
        <w:t>In re Ormet Primary Aluminum Corp.</w:t>
      </w:r>
      <w:r w:rsidR="00A414FC" w:rsidRPr="00A414FC">
        <w:t>, 129 Ohio St.</w:t>
      </w:r>
      <w:r w:rsidR="00A414FC">
        <w:t xml:space="preserve"> 3d 9, 2011-Ohio-</w:t>
      </w:r>
      <w:r w:rsidR="00A414FC" w:rsidRPr="00A414FC">
        <w:t>2377</w:t>
      </w:r>
      <w:r w:rsidR="00A414FC">
        <w:t>, ¶ 22</w:t>
      </w:r>
      <w:r>
        <w:t xml:space="preserve"> (quoting AEP brief)</w:t>
      </w:r>
      <w:r w:rsidR="00A414FC">
        <w:t>.</w:t>
      </w:r>
    </w:p>
    <w:p w14:paraId="2F87039D" w14:textId="5A5FB9E0" w:rsidR="00FB2788" w:rsidRDefault="00FB2788" w:rsidP="002F3FCD">
      <w:pPr>
        <w:pStyle w:val="MemoHeading4"/>
      </w:pPr>
      <w:bookmarkStart w:id="6" w:name="_Toc199392043"/>
      <w:r>
        <w:t>Ohio law requires nondiscriminatory</w:t>
      </w:r>
      <w:r w:rsidR="004D732D">
        <w:t>, non-subsidized</w:t>
      </w:r>
      <w:r>
        <w:t xml:space="preserve"> </w:t>
      </w:r>
      <w:r w:rsidR="007C7A56">
        <w:t xml:space="preserve">electric </w:t>
      </w:r>
      <w:r>
        <w:t>service</w:t>
      </w:r>
      <w:r w:rsidR="005E2557">
        <w:t>.</w:t>
      </w:r>
      <w:bookmarkEnd w:id="6"/>
    </w:p>
    <w:p w14:paraId="5E89510E" w14:textId="77969944" w:rsidR="005B30A6" w:rsidRDefault="005E2557" w:rsidP="005B30A6">
      <w:pPr>
        <w:pStyle w:val="MemoBodyText"/>
      </w:pPr>
      <w:r>
        <w:t>Ohio law also requires that electric service be provided on comparable, nondiscriminatory terms that avoid anticompetitive subsidies.  Retail electric service must be “</w:t>
      </w:r>
      <w:r w:rsidR="004B0168" w:rsidRPr="004B0168">
        <w:t>nondiscriminatory”</w:t>
      </w:r>
      <w:r>
        <w:t xml:space="preserve"> to consumers.  R.C.</w:t>
      </w:r>
      <w:r w:rsidRPr="005E2557">
        <w:t xml:space="preserve"> </w:t>
      </w:r>
      <w:r w:rsidRPr="004B0168">
        <w:t>4928.02(A)</w:t>
      </w:r>
      <w:r>
        <w:t xml:space="preserve">.  “[U]nbundled and comparable” service must be available.  R.C. </w:t>
      </w:r>
      <w:r w:rsidR="004B0168" w:rsidRPr="004B0168">
        <w:t>4928.02(B)</w:t>
      </w:r>
      <w:r>
        <w:t>.  And the Commission must “[e]</w:t>
      </w:r>
      <w:r w:rsidR="005B30A6" w:rsidRPr="00A81DEC">
        <w:t xml:space="preserve">nsure </w:t>
      </w:r>
      <w:r w:rsidR="005B30A6" w:rsidRPr="005E2557">
        <w:rPr>
          <w:i/>
        </w:rPr>
        <w:t xml:space="preserve">effective </w:t>
      </w:r>
      <w:r w:rsidR="005B30A6" w:rsidRPr="00A81DEC">
        <w:t>competition in the provision of retail electric service by avoiding anticompetitive</w:t>
      </w:r>
      <w:r w:rsidR="00085F8B">
        <w:t xml:space="preserve"> subsidies.</w:t>
      </w:r>
      <w:r w:rsidR="005B30A6">
        <w:t>”</w:t>
      </w:r>
      <w:r w:rsidRPr="005E2557">
        <w:t xml:space="preserve"> </w:t>
      </w:r>
      <w:r>
        <w:t xml:space="preserve"> R.C. 4928.02(H)</w:t>
      </w:r>
      <w:r w:rsidR="00134B02">
        <w:t xml:space="preserve"> (emphasis added)</w:t>
      </w:r>
      <w:r>
        <w:t xml:space="preserve">.  </w:t>
      </w:r>
      <w:r w:rsidR="00653636">
        <w:t>Likewise, R.C. 4905.26 provides that a utility’s rates and services shall not be “unjustly discriminatory[ or]</w:t>
      </w:r>
      <w:r w:rsidR="00653636" w:rsidRPr="00653636">
        <w:t xml:space="preserve"> unjustly preferential</w:t>
      </w:r>
      <w:r w:rsidR="00653636">
        <w:t xml:space="preserve">.”  </w:t>
      </w:r>
      <w:r w:rsidR="007C7A56">
        <w:t>And t</w:t>
      </w:r>
      <w:r w:rsidR="00653636" w:rsidRPr="00653636">
        <w:t xml:space="preserve">he Supreme Court has recognized that </w:t>
      </w:r>
      <w:r w:rsidR="00653636">
        <w:t>R.C. 4905.35</w:t>
      </w:r>
      <w:r w:rsidR="00A44C79">
        <w:t>(A) applies</w:t>
      </w:r>
      <w:r w:rsidR="00653636">
        <w:t xml:space="preserve"> to competitive services </w:t>
      </w:r>
      <w:r w:rsidR="00A44C79">
        <w:t xml:space="preserve">and requires “equal” treatment of customers.  </w:t>
      </w:r>
      <w:r w:rsidR="00A44C79" w:rsidRPr="00A44C79">
        <w:rPr>
          <w:i/>
        </w:rPr>
        <w:t>Ohio Consumers</w:t>
      </w:r>
      <w:r w:rsidR="00B425CA">
        <w:rPr>
          <w:i/>
        </w:rPr>
        <w:t>’</w:t>
      </w:r>
      <w:r w:rsidR="00A44C79" w:rsidRPr="00A44C79">
        <w:rPr>
          <w:i/>
        </w:rPr>
        <w:t xml:space="preserve"> Counsel v. Pub. Util. Comm.</w:t>
      </w:r>
      <w:r w:rsidR="00A44C79" w:rsidRPr="00A44C79">
        <w:t>, 111 Ohio St. 3d 300, 314 (2006)</w:t>
      </w:r>
      <w:r w:rsidR="00A44C79">
        <w:t xml:space="preserve">. </w:t>
      </w:r>
      <w:r w:rsidR="00B425CA">
        <w:t xml:space="preserve"> </w:t>
      </w:r>
      <w:r w:rsidR="00D42C6D">
        <w:t xml:space="preserve">AEP Witness Munczinski </w:t>
      </w:r>
      <w:r w:rsidR="00B425CA">
        <w:t xml:space="preserve">agreed </w:t>
      </w:r>
      <w:r w:rsidR="00D42C6D">
        <w:t>that the Commission “is about promoting fairness and competition.”  (Tr. 168.)</w:t>
      </w:r>
    </w:p>
    <w:p w14:paraId="69A26EF5" w14:textId="16A5E495" w:rsidR="00FB2788" w:rsidRPr="00C46BC4" w:rsidRDefault="005E2557" w:rsidP="002F3FCD">
      <w:pPr>
        <w:pStyle w:val="MemoHeading4"/>
      </w:pPr>
      <w:bookmarkStart w:id="7" w:name="_Toc199392044"/>
      <w:r>
        <w:t>T</w:t>
      </w:r>
      <w:r w:rsidR="00FB2788">
        <w:t xml:space="preserve">he law addresses the </w:t>
      </w:r>
      <w:r w:rsidR="008F3336">
        <w:t>timing of transitions to the competitive market.</w:t>
      </w:r>
      <w:bookmarkEnd w:id="7"/>
    </w:p>
    <w:p w14:paraId="5D6D4F0B" w14:textId="77777777" w:rsidR="005E2557" w:rsidRDefault="00FB2788" w:rsidP="005B30A6">
      <w:pPr>
        <w:pStyle w:val="MemoBodyText"/>
      </w:pPr>
      <w:r>
        <w:t xml:space="preserve">The General Assembly also had some foresight in creating the transition to the competitive markets.  </w:t>
      </w:r>
      <w:r w:rsidR="005E2557">
        <w:t>To protect utilities, i</w:t>
      </w:r>
      <w:r>
        <w:t xml:space="preserve">t allowed a lengthy transition process to recover </w:t>
      </w:r>
      <w:r w:rsidR="005E2557">
        <w:t>potentially stranded costs;</w:t>
      </w:r>
      <w:r>
        <w:t xml:space="preserve"> but </w:t>
      </w:r>
      <w:r w:rsidR="005E2557">
        <w:t xml:space="preserve">it also </w:t>
      </w:r>
      <w:r>
        <w:t>recognized that utilities might not want the extra revenue stream to end.  So it stated clearly that an electric utility “</w:t>
      </w:r>
      <w:r w:rsidRPr="00EF65A7">
        <w:t>shall be wholly responsible for how to use those revenues and wholly responsible for whether it is in a competitive position after the market development period.</w:t>
      </w:r>
      <w:r>
        <w:t>”  R.C. 4928.38.  And “[w]</w:t>
      </w:r>
      <w:r w:rsidRPr="00EF65A7">
        <w:t>ith the termination of that approved revenue source, the utility shall be fully on its own in the competitive market.</w:t>
      </w:r>
      <w:r>
        <w:t xml:space="preserve">” </w:t>
      </w:r>
      <w:r w:rsidR="004B0168">
        <w:t xml:space="preserve"> </w:t>
      </w:r>
      <w:r w:rsidR="004B0168">
        <w:rPr>
          <w:i/>
        </w:rPr>
        <w:t>Id</w:t>
      </w:r>
      <w:r w:rsidR="004B0168" w:rsidRPr="004B0168">
        <w:t xml:space="preserve">.  </w:t>
      </w:r>
      <w:r w:rsidR="004B0168">
        <w:t>Likewise, u</w:t>
      </w:r>
      <w:r>
        <w:t>nder R.C. 4928.40(A), it provided a hard stop date on the collection of any transition charges of “</w:t>
      </w:r>
      <w:r w:rsidRPr="00EF65A7">
        <w:t>December 31, 2010</w:t>
      </w:r>
      <w:r>
        <w:t>.”</w:t>
      </w:r>
      <w:r w:rsidR="005B30A6">
        <w:t xml:space="preserve"> </w:t>
      </w:r>
    </w:p>
    <w:p w14:paraId="441A8174" w14:textId="389BFA79" w:rsidR="008F3336" w:rsidRDefault="005E2557" w:rsidP="005B30A6">
      <w:pPr>
        <w:pStyle w:val="MemoBodyText"/>
      </w:pPr>
      <w:r>
        <w:t xml:space="preserve">S.B. 221 did not repeal these </w:t>
      </w:r>
      <w:r w:rsidR="007C7A56">
        <w:t xml:space="preserve">provisions or </w:t>
      </w:r>
      <w:r>
        <w:t>stop dates</w:t>
      </w:r>
      <w:r w:rsidR="007C7A56">
        <w:t>; they remain good laws</w:t>
      </w:r>
      <w:r w:rsidR="008F3336">
        <w:t xml:space="preserve">. </w:t>
      </w:r>
      <w:r w:rsidR="007C7A56">
        <w:t xml:space="preserve"> In fact, </w:t>
      </w:r>
      <w:r w:rsidR="005B30A6">
        <w:t xml:space="preserve">the current statute </w:t>
      </w:r>
      <w:r w:rsidR="00D85F13">
        <w:t xml:space="preserve">expressly requires that standard service </w:t>
      </w:r>
      <w:r w:rsidR="005B30A6">
        <w:t>offers “</w:t>
      </w:r>
      <w:r w:rsidR="005B30A6" w:rsidRPr="00EF338B">
        <w:t xml:space="preserve">shall exclude any previously authorized </w:t>
      </w:r>
      <w:r w:rsidR="005B30A6">
        <w:t>allowances for transition costs.”  R.C. 4928.141(A).</w:t>
      </w:r>
      <w:r w:rsidR="00900000">
        <w:t xml:space="preserve"> </w:t>
      </w:r>
      <w:r w:rsidR="00D85F13">
        <w:t xml:space="preserve"> </w:t>
      </w:r>
      <w:r w:rsidR="00B048DF">
        <w:t xml:space="preserve">In short, the transition period is over.  </w:t>
      </w:r>
    </w:p>
    <w:p w14:paraId="4A57F8AD" w14:textId="60894098" w:rsidR="002F3FCD" w:rsidRDefault="002F3FCD" w:rsidP="002F3FCD">
      <w:pPr>
        <w:pStyle w:val="MemoHeading4"/>
      </w:pPr>
      <w:bookmarkStart w:id="8" w:name="_Toc199392045"/>
      <w:r>
        <w:t>The Commission</w:t>
      </w:r>
      <w:r w:rsidR="00D85F13">
        <w:t xml:space="preserve"> must observe </w:t>
      </w:r>
      <w:r w:rsidR="00CF4501">
        <w:t>the policies of the State</w:t>
      </w:r>
      <w:r w:rsidR="00D85F13">
        <w:t>.</w:t>
      </w:r>
      <w:bookmarkEnd w:id="8"/>
    </w:p>
    <w:p w14:paraId="2AA0A532" w14:textId="3A4C1E85" w:rsidR="00D85F13" w:rsidRPr="00D85F13" w:rsidRDefault="00CF4501" w:rsidP="00D85F13">
      <w:pPr>
        <w:pStyle w:val="MemoBodyText"/>
      </w:pPr>
      <w:r>
        <w:t xml:space="preserve">On multiple </w:t>
      </w:r>
      <w:r w:rsidR="00323428">
        <w:t>occasions</w:t>
      </w:r>
      <w:r w:rsidR="00F119A9">
        <w:t>,</w:t>
      </w:r>
      <w:r w:rsidR="00134B02">
        <w:t xml:space="preserve"> t</w:t>
      </w:r>
      <w:r w:rsidR="00D85F13" w:rsidRPr="00D85F13">
        <w:t>he Supreme Court</w:t>
      </w:r>
      <w:r>
        <w:t xml:space="preserve"> of Ohio</w:t>
      </w:r>
      <w:r w:rsidR="00D85F13" w:rsidRPr="00D85F13">
        <w:t xml:space="preserve"> has </w:t>
      </w:r>
      <w:r>
        <w:t>upheld the State laws and policies requiring transition to competitive electric markets</w:t>
      </w:r>
      <w:r w:rsidR="00D85F13" w:rsidRPr="00D85F13">
        <w:t xml:space="preserve">.  For example, the Court </w:t>
      </w:r>
      <w:r w:rsidR="00323428">
        <w:t>disallowed</w:t>
      </w:r>
      <w:r w:rsidR="00D85F13" w:rsidRPr="00D85F13">
        <w:t xml:space="preserve"> AEP</w:t>
      </w:r>
      <w:r w:rsidR="00323428">
        <w:t>’s attempt</w:t>
      </w:r>
      <w:r w:rsidR="00D85F13" w:rsidRPr="00D85F13">
        <w:t xml:space="preserve"> to recover the costs of generation assets</w:t>
      </w:r>
      <w:r w:rsidR="00134B02">
        <w:t xml:space="preserve"> under the guise of a distribution or ancillary service</w:t>
      </w:r>
      <w:r w:rsidR="00D85F13" w:rsidRPr="00D85F13">
        <w:t xml:space="preserve">.  It held that such a move “would negate the legislature’s deregulation of the electric-utility industry.”  </w:t>
      </w:r>
      <w:r w:rsidR="00D85F13" w:rsidRPr="00D85F13">
        <w:rPr>
          <w:i/>
        </w:rPr>
        <w:t>Indus. Energy Users-Ohio v. Pub. Util. Comm.</w:t>
      </w:r>
      <w:r w:rsidR="00D85F13" w:rsidRPr="00D85F13">
        <w:t xml:space="preserve">, 117 Ohio St. 3d 486, 491 (2008).  </w:t>
      </w:r>
      <w:r w:rsidR="00134B02">
        <w:t>Such a basic contradiction of Ohio’s deregulatory policy could not be justified by b</w:t>
      </w:r>
      <w:r w:rsidR="00D85F13" w:rsidRPr="00D85F13">
        <w:t>road</w:t>
      </w:r>
      <w:r w:rsidR="00134B02">
        <w:t>ly stated</w:t>
      </w:r>
      <w:r w:rsidR="00D85F13" w:rsidRPr="00D85F13">
        <w:t xml:space="preserve"> concerns about reliability: “the commission’s concern with respect to the future reliability of the electric-generation market . . . [did] not empower the commission to create remedies beyond the parameters of the law.”  </w:t>
      </w:r>
      <w:r w:rsidR="00D85F13" w:rsidRPr="00D85F13">
        <w:rPr>
          <w:i/>
        </w:rPr>
        <w:t>Id</w:t>
      </w:r>
      <w:r w:rsidR="00D85F13" w:rsidRPr="00D85F13">
        <w:t xml:space="preserve">.  Likewise, when an order resulted in a cross-subsidy (there, from distribution to generation), the Court held that it violated the policy set forth in R.C. 4928.02(G).  </w:t>
      </w:r>
      <w:r w:rsidR="00D85F13" w:rsidRPr="00D85F13">
        <w:rPr>
          <w:i/>
        </w:rPr>
        <w:t>Elyria Foundry Co. v. Pub. Util. Comm.</w:t>
      </w:r>
      <w:r w:rsidR="00D85F13" w:rsidRPr="00D85F13">
        <w:t>, 114 Ohio St. 3d 305, 2007-Ohio-4164, ¶ 58.</w:t>
      </w:r>
    </w:p>
    <w:p w14:paraId="083F1BE3" w14:textId="19C1D751" w:rsidR="00AD30ED" w:rsidRDefault="00AD30ED" w:rsidP="00D85F13">
      <w:pPr>
        <w:pStyle w:val="MemoHeading3"/>
      </w:pPr>
      <w:bookmarkStart w:id="9" w:name="_Toc199392046"/>
      <w:r>
        <w:t xml:space="preserve">The RPM method </w:t>
      </w:r>
      <w:r w:rsidR="00D85F13">
        <w:t>fully accords with</w:t>
      </w:r>
      <w:r>
        <w:t xml:space="preserve"> Ohio law.</w:t>
      </w:r>
      <w:bookmarkEnd w:id="9"/>
      <w:r>
        <w:t xml:space="preserve"> </w:t>
      </w:r>
    </w:p>
    <w:p w14:paraId="1A7B8647" w14:textId="15B4AEE5" w:rsidR="00D85F13" w:rsidRPr="00D85F13" w:rsidRDefault="00D85F13" w:rsidP="00D85F13">
      <w:pPr>
        <w:pStyle w:val="MemoBodyText"/>
      </w:pPr>
      <w:r>
        <w:t>The RPM pricing method satisfies all of the laws and policies described above</w:t>
      </w:r>
      <w:r w:rsidR="00134B02">
        <w:t xml:space="preserve"> and violates none</w:t>
      </w:r>
      <w:r>
        <w:t>.</w:t>
      </w:r>
    </w:p>
    <w:p w14:paraId="49CF3A06" w14:textId="1605C4D8" w:rsidR="00A00735" w:rsidRDefault="00AD30ED" w:rsidP="00D85F13">
      <w:pPr>
        <w:pStyle w:val="MemoHeading4"/>
        <w:numPr>
          <w:ilvl w:val="0"/>
          <w:numId w:val="11"/>
        </w:numPr>
        <w:ind w:left="2160" w:hanging="720"/>
      </w:pPr>
      <w:bookmarkStart w:id="10" w:name="_Toc199392047"/>
      <w:r>
        <w:t xml:space="preserve">The RPM method </w:t>
      </w:r>
      <w:r w:rsidR="00D85F13">
        <w:t xml:space="preserve">is a </w:t>
      </w:r>
      <w:r>
        <w:t xml:space="preserve">market-based </w:t>
      </w:r>
      <w:r w:rsidR="00D85F13">
        <w:t>price and will support the continued development of Ohio’s competitive market</w:t>
      </w:r>
      <w:r>
        <w:t>.</w:t>
      </w:r>
      <w:bookmarkEnd w:id="10"/>
      <w:r>
        <w:t xml:space="preserve">  </w:t>
      </w:r>
    </w:p>
    <w:p w14:paraId="63A3D64A" w14:textId="08DB21ED" w:rsidR="00D85F13" w:rsidRDefault="00A44C79" w:rsidP="006F735B">
      <w:pPr>
        <w:pStyle w:val="MemoBodyText"/>
      </w:pPr>
      <w:r>
        <w:t xml:space="preserve">As discussed above, Ohio made a choice </w:t>
      </w:r>
      <w:r w:rsidR="00D85F13">
        <w:t xml:space="preserve">over ten years ago </w:t>
      </w:r>
      <w:r w:rsidRPr="00A44C79">
        <w:t>“to facilitate and encourage development of competition in the retail electric market</w:t>
      </w:r>
      <w:r>
        <w:t>.</w:t>
      </w:r>
      <w:r w:rsidRPr="00A44C79">
        <w:t xml:space="preserve">”  </w:t>
      </w:r>
      <w:r w:rsidRPr="00A44C79">
        <w:rPr>
          <w:i/>
        </w:rPr>
        <w:t>AK Steel Corp. v. Pub. Util. Comm.</w:t>
      </w:r>
      <w:r w:rsidRPr="00A44C79">
        <w:t xml:space="preserve">, 95 Ohio St. 3d 81, </w:t>
      </w:r>
      <w:r w:rsidR="00B048DF">
        <w:t xml:space="preserve">81 </w:t>
      </w:r>
      <w:r w:rsidRPr="00A44C79">
        <w:t xml:space="preserve">(2002). </w:t>
      </w:r>
      <w:r w:rsidR="00D85F13">
        <w:t xml:space="preserve"> RPM does that.</w:t>
      </w:r>
    </w:p>
    <w:p w14:paraId="56C5426D" w14:textId="011A1DF3" w:rsidR="00A44C79" w:rsidRDefault="006F735B" w:rsidP="00AD1D46">
      <w:pPr>
        <w:pStyle w:val="MemoBodyText"/>
      </w:pPr>
      <w:r>
        <w:t>“[C]</w:t>
      </w:r>
      <w:r w:rsidRPr="006F735B">
        <w:t xml:space="preserve">ompetition intrinsically means that consumers will pay </w:t>
      </w:r>
      <w:r w:rsidRPr="006F735B">
        <w:rPr>
          <w:i/>
          <w:iCs/>
        </w:rPr>
        <w:t xml:space="preserve">market-based </w:t>
      </w:r>
      <w:r w:rsidRPr="006F735B">
        <w:t xml:space="preserve">prices, not </w:t>
      </w:r>
      <w:r w:rsidR="00134B02">
        <w:rPr>
          <w:i/>
          <w:iCs/>
        </w:rPr>
        <w:t>cost-</w:t>
      </w:r>
      <w:r w:rsidRPr="006F735B">
        <w:rPr>
          <w:i/>
          <w:iCs/>
        </w:rPr>
        <w:t xml:space="preserve">based </w:t>
      </w:r>
      <w:r w:rsidRPr="006F735B">
        <w:t>prices</w:t>
      </w:r>
      <w:r>
        <w:t>.”</w:t>
      </w:r>
      <w:r w:rsidR="00CF7C9F">
        <w:t xml:space="preserve">  (Stoddard Dir. 47.)</w:t>
      </w:r>
      <w:r w:rsidR="00A44C79">
        <w:t xml:space="preserve">  The record one-sidedly shows that the RPM pricing method is market-based</w:t>
      </w:r>
      <w:r w:rsidR="002D1B21">
        <w:t xml:space="preserve"> and would support the development of a competitive market</w:t>
      </w:r>
      <w:r w:rsidR="00A44C79">
        <w:t>.</w:t>
      </w:r>
      <w:r w:rsidR="00D85F13">
        <w:t xml:space="preserve">  </w:t>
      </w:r>
      <w:r w:rsidR="00A44C79">
        <w:t xml:space="preserve">IGS witness Ray Hamman testified, </w:t>
      </w:r>
      <w:r w:rsidR="00AD30ED">
        <w:t>“</w:t>
      </w:r>
      <w:r w:rsidR="00AD30ED" w:rsidRPr="00AD30ED">
        <w:t>The RPM capacity prices established by the auctions are market based and thus establish a price based on the supply and demand for capacity resources.</w:t>
      </w:r>
      <w:r w:rsidR="00AD30ED">
        <w:t>”  (Hamman Dir. 3.)</w:t>
      </w:r>
      <w:r w:rsidR="00A44C79">
        <w:t xml:space="preserve">  He recommended, “</w:t>
      </w:r>
      <w:r w:rsidR="00AD30ED" w:rsidRPr="00AD30ED">
        <w:t>In a state like Ohio, which has elected to encourage the development of competitive electricity markets, using a readily available market price to set capacity charges only makes sense.</w:t>
      </w:r>
      <w:r w:rsidR="00AD30ED">
        <w:t>”  (</w:t>
      </w:r>
      <w:r w:rsidR="00134B02">
        <w:rPr>
          <w:i/>
        </w:rPr>
        <w:t>Id</w:t>
      </w:r>
      <w:r w:rsidR="00134B02">
        <w:t>. at</w:t>
      </w:r>
      <w:r w:rsidR="00AD30ED">
        <w:t xml:space="preserve"> 5.) </w:t>
      </w:r>
      <w:r w:rsidR="00A44C79">
        <w:t xml:space="preserve"> Other witnesses, such as FES witness Stoddard, concurred that the RPM price “</w:t>
      </w:r>
      <w:r w:rsidR="00A44C79" w:rsidRPr="00AD1D46">
        <w:t>is the closest approximation to the market value of the reliability value of capacity.</w:t>
      </w:r>
      <w:r w:rsidR="00A44C79">
        <w:t xml:space="preserve">”  (Stoddard Dir. 21.)  </w:t>
      </w:r>
    </w:p>
    <w:p w14:paraId="0C6544F2" w14:textId="024FAB05" w:rsidR="00D85F13" w:rsidRDefault="00A44C79" w:rsidP="00AD30ED">
      <w:pPr>
        <w:pStyle w:val="MemoBodyText"/>
      </w:pPr>
      <w:r>
        <w:t xml:space="preserve">AEP’s witness also agreed on this point.  </w:t>
      </w:r>
      <w:r w:rsidR="00D4043E">
        <w:t xml:space="preserve">AEP witness Graves agreed </w:t>
      </w:r>
      <w:r>
        <w:t>that</w:t>
      </w:r>
      <w:r w:rsidR="001452D4">
        <w:t xml:space="preserve"> under RPM, customers would have a fully competitive</w:t>
      </w:r>
      <w:r w:rsidR="00134B02">
        <w:t xml:space="preserve"> generation</w:t>
      </w:r>
      <w:r w:rsidR="001452D4">
        <w:t xml:space="preserve"> market available to them: </w:t>
      </w:r>
      <w:r>
        <w:t>“</w:t>
      </w:r>
      <w:r w:rsidRPr="00E07E32">
        <w:t>if the Commission</w:t>
      </w:r>
      <w:r>
        <w:t xml:space="preserve"> </w:t>
      </w:r>
      <w:r w:rsidRPr="00E07E32">
        <w:t>establishes an RPM pricing mechanism as the state</w:t>
      </w:r>
      <w:r>
        <w:t xml:space="preserve"> </w:t>
      </w:r>
      <w:r w:rsidRPr="00E07E32">
        <w:t>compensation mechanism, shopping customers would be</w:t>
      </w:r>
      <w:r>
        <w:t xml:space="preserve"> </w:t>
      </w:r>
      <w:r w:rsidRPr="00E07E32">
        <w:t>able to see market driven pricing for both capacity</w:t>
      </w:r>
      <w:r>
        <w:t xml:space="preserve"> </w:t>
      </w:r>
      <w:r w:rsidRPr="00E07E32">
        <w:t>and energy.</w:t>
      </w:r>
      <w:r>
        <w:t xml:space="preserve">”  (Tr. 863.) </w:t>
      </w:r>
      <w:r w:rsidR="00D85F13">
        <w:t xml:space="preserve"> </w:t>
      </w:r>
      <w:r w:rsidR="00337E26">
        <w:t>Graves also conceded that the Federal Energy Regulatory Commission concluded that “</w:t>
      </w:r>
      <w:r w:rsidR="00337E26" w:rsidRPr="00E07E32">
        <w:t>the prices in RPM will be just and</w:t>
      </w:r>
      <w:r w:rsidR="00337E26">
        <w:t xml:space="preserve"> reasonable” and will “</w:t>
      </w:r>
      <w:r w:rsidR="00337E26" w:rsidRPr="00E07E32">
        <w:t>prevent the exercise of</w:t>
      </w:r>
      <w:r w:rsidR="00337E26">
        <w:t xml:space="preserve"> </w:t>
      </w:r>
      <w:r w:rsidR="00337E26" w:rsidRPr="00E07E32">
        <w:t>market power with the result that prices will</w:t>
      </w:r>
      <w:r w:rsidR="00337E26">
        <w:t xml:space="preserve"> </w:t>
      </w:r>
      <w:r w:rsidR="00337E26" w:rsidRPr="00E07E32">
        <w:t>approximat</w:t>
      </w:r>
      <w:r w:rsidR="00337E26">
        <w:t xml:space="preserve">e those of a competitive market.”  (Tr. 856.)  </w:t>
      </w:r>
      <w:r w:rsidR="002D1B21">
        <w:t>This is important because</w:t>
      </w:r>
      <w:r w:rsidR="00DB5E6F">
        <w:t>, as FES</w:t>
      </w:r>
      <w:r w:rsidR="002D1B21">
        <w:t xml:space="preserve"> </w:t>
      </w:r>
      <w:r w:rsidR="00DB5E6F">
        <w:t xml:space="preserve">witness Stoddard explained, </w:t>
      </w:r>
      <w:r w:rsidR="002D1B21">
        <w:t>“[r]</w:t>
      </w:r>
      <w:r w:rsidR="002D1B21" w:rsidRPr="002D1B21">
        <w:t>etail</w:t>
      </w:r>
      <w:r w:rsidR="002D1B21" w:rsidRPr="006F735B">
        <w:t xml:space="preserve"> choice should be driven by the ability of competing retailers to create value for their clients through a combination of price, service, and other value-adding components. </w:t>
      </w:r>
      <w:r w:rsidR="002D1B21">
        <w:t xml:space="preserve"> </w:t>
      </w:r>
      <w:r w:rsidR="002D1B21" w:rsidRPr="006F735B">
        <w:t>If all retail customers—including non-shopping customers—have a common capacity payment obligation to PJM, then customer choice is not skewed by regulatory adjustments to capacity costs.</w:t>
      </w:r>
      <w:r w:rsidR="002D1B21">
        <w:t xml:space="preserve">”  (Stoddard Dir. 48.)  </w:t>
      </w:r>
    </w:p>
    <w:p w14:paraId="4907A9E4" w14:textId="609A2641" w:rsidR="002D1B21" w:rsidRDefault="00D85F13" w:rsidP="00AD30ED">
      <w:pPr>
        <w:pStyle w:val="MemoBodyText"/>
      </w:pPr>
      <w:r>
        <w:t xml:space="preserve">All this means that RPM will support competition.  </w:t>
      </w:r>
      <w:r w:rsidR="002D1B21">
        <w:t>AEP’s own witness agreed that “</w:t>
      </w:r>
      <w:r w:rsidR="002D1B21" w:rsidRPr="00E07E32">
        <w:t>if the Commission determines that</w:t>
      </w:r>
      <w:r w:rsidR="002D1B21">
        <w:t xml:space="preserve"> </w:t>
      </w:r>
      <w:r w:rsidR="002D1B21" w:rsidRPr="00E07E32">
        <w:t>the state compensation mechanism should be RPM-based</w:t>
      </w:r>
      <w:r w:rsidR="002D1B21">
        <w:t xml:space="preserve"> </w:t>
      </w:r>
      <w:r w:rsidR="002D1B21" w:rsidRPr="00E07E32">
        <w:t>price</w:t>
      </w:r>
      <w:r w:rsidR="002D1B21">
        <w:t>, . . .</w:t>
      </w:r>
      <w:r w:rsidR="002D1B21" w:rsidRPr="00E07E32">
        <w:t xml:space="preserve"> there</w:t>
      </w:r>
      <w:r w:rsidR="002D1B21">
        <w:t xml:space="preserve"> </w:t>
      </w:r>
      <w:r w:rsidR="002D1B21" w:rsidRPr="00E07E32">
        <w:t>would be more CRES providers serving customers in</w:t>
      </w:r>
      <w:r w:rsidR="002D1B21">
        <w:t xml:space="preserve"> AEP Ohio’</w:t>
      </w:r>
      <w:r w:rsidR="002D1B21" w:rsidRPr="00E07E32">
        <w:t>s territory than if the Commission adopted</w:t>
      </w:r>
      <w:r w:rsidR="002D1B21">
        <w:t xml:space="preserve"> </w:t>
      </w:r>
      <w:r w:rsidR="002D1B21" w:rsidRPr="00E07E32">
        <w:t>embedded cost-based capacity prices</w:t>
      </w:r>
      <w:r w:rsidR="002D1B21">
        <w:t xml:space="preserve">.”  (Graves Cross, Tr. 862–63.)  </w:t>
      </w:r>
      <w:r>
        <w:t>As Graves recognized, this would generate customer benefits, because “</w:t>
      </w:r>
      <w:r w:rsidRPr="00E07E32">
        <w:t>competitive markets can produce</w:t>
      </w:r>
      <w:r>
        <w:t xml:space="preserve"> </w:t>
      </w:r>
      <w:r w:rsidRPr="00E07E32">
        <w:t>advantages to electricity customers in comparison to</w:t>
      </w:r>
      <w:r>
        <w:t xml:space="preserve"> </w:t>
      </w:r>
      <w:r w:rsidRPr="00E07E32">
        <w:t>cost-of-service regulation</w:t>
      </w:r>
      <w:r>
        <w:t>.”  (Tr. 858.)  One benefit that Graves expected to see was that CRES suppliers would “</w:t>
      </w:r>
      <w:r w:rsidRPr="00E07E32">
        <w:t>compete against</w:t>
      </w:r>
      <w:r>
        <w:t xml:space="preserve"> </w:t>
      </w:r>
      <w:r w:rsidRPr="00E07E32">
        <w:t>each other and drive down</w:t>
      </w:r>
      <w:r>
        <w:t>” prices</w:t>
      </w:r>
      <w:r w:rsidRPr="00E07E32">
        <w:t>.</w:t>
      </w:r>
      <w:r>
        <w:t xml:space="preserve">  (Tr. 864.)  </w:t>
      </w:r>
    </w:p>
    <w:p w14:paraId="51722F96" w14:textId="6E85BA8B" w:rsidR="00A44C79" w:rsidRPr="00AD30ED" w:rsidRDefault="001452D4" w:rsidP="00AD30ED">
      <w:pPr>
        <w:pStyle w:val="MemoBodyText"/>
      </w:pPr>
      <w:r>
        <w:t xml:space="preserve">The record unquestionably shows that </w:t>
      </w:r>
      <w:r w:rsidR="00A44C79">
        <w:t xml:space="preserve">the RPM pricing method is market-based </w:t>
      </w:r>
      <w:r w:rsidR="002D1B21">
        <w:t>and would support the development of competition</w:t>
      </w:r>
      <w:r w:rsidR="00A44C79">
        <w:t xml:space="preserve">.  </w:t>
      </w:r>
    </w:p>
    <w:p w14:paraId="39DAE822" w14:textId="78A366CD" w:rsidR="00AD30ED" w:rsidRDefault="00AD30ED" w:rsidP="00AD30ED">
      <w:pPr>
        <w:pStyle w:val="MemoHeading4"/>
      </w:pPr>
      <w:bookmarkStart w:id="11" w:name="_Toc199383422"/>
      <w:bookmarkStart w:id="12" w:name="_Toc199392048"/>
      <w:r>
        <w:t xml:space="preserve">The RPM price would avoid </w:t>
      </w:r>
      <w:r w:rsidR="008F296F">
        <w:t xml:space="preserve">subsidies and </w:t>
      </w:r>
      <w:r>
        <w:t>discriminatory pricing.</w:t>
      </w:r>
      <w:bookmarkEnd w:id="11"/>
      <w:bookmarkEnd w:id="12"/>
    </w:p>
    <w:p w14:paraId="52A9D498" w14:textId="6B40CE36" w:rsidR="00337E26" w:rsidRDefault="00A44C79" w:rsidP="00262AD7">
      <w:pPr>
        <w:pStyle w:val="MemoBodyText"/>
      </w:pPr>
      <w:r>
        <w:t xml:space="preserve">The RPM </w:t>
      </w:r>
      <w:r w:rsidR="00337E26">
        <w:t xml:space="preserve">pricing </w:t>
      </w:r>
      <w:r>
        <w:t xml:space="preserve">method would also avoid </w:t>
      </w:r>
      <w:r w:rsidR="00DB5E6F">
        <w:t xml:space="preserve">anticompetitive </w:t>
      </w:r>
      <w:r w:rsidR="00337E26">
        <w:t xml:space="preserve">subsidies and </w:t>
      </w:r>
      <w:r w:rsidR="00DB5E6F">
        <w:t xml:space="preserve">any possibility of </w:t>
      </w:r>
      <w:r w:rsidR="00337E26">
        <w:t xml:space="preserve">discriminatory </w:t>
      </w:r>
      <w:r w:rsidR="00DB5E6F">
        <w:t xml:space="preserve">capacity </w:t>
      </w:r>
      <w:r w:rsidR="00337E26">
        <w:t>pricing.  That is because</w:t>
      </w:r>
      <w:r w:rsidR="00BA4E0B">
        <w:t xml:space="preserve"> </w:t>
      </w:r>
      <w:r w:rsidR="00337E26">
        <w:t>“[t]</w:t>
      </w:r>
      <w:r w:rsidR="00AD30ED" w:rsidRPr="00AD30ED">
        <w:t>he capacity auctions establish capacity prices that all LSEs must pay.</w:t>
      </w:r>
      <w:r w:rsidR="00AD30ED">
        <w:t xml:space="preserve">”  (Hamman Dir. 3.) </w:t>
      </w:r>
      <w:r w:rsidR="00337E26">
        <w:t xml:space="preserve"> Indeed, all the major utilities in Ohio—save for AEP—charge CRES suppliers the RPM auction price</w:t>
      </w:r>
      <w:r w:rsidR="001452D4">
        <w:t>.  (Stoddard Dir. 19–21.)</w:t>
      </w:r>
      <w:r w:rsidR="00246F2E">
        <w:t xml:space="preserve">  </w:t>
      </w:r>
      <w:r w:rsidR="00BA4E0B">
        <w:t>Thus, u</w:t>
      </w:r>
      <w:r w:rsidR="001452D4">
        <w:t xml:space="preserve">sing the RPM would </w:t>
      </w:r>
      <w:r w:rsidR="00DB5E6F">
        <w:t xml:space="preserve">result in a </w:t>
      </w:r>
      <w:r w:rsidR="001452D4">
        <w:t xml:space="preserve">level playing field </w:t>
      </w:r>
      <w:r w:rsidR="00DB5E6F">
        <w:t>across all Ohio</w:t>
      </w:r>
      <w:r w:rsidR="00134B02">
        <w:t xml:space="preserve">.  </w:t>
      </w:r>
    </w:p>
    <w:p w14:paraId="4D4A1BB0" w14:textId="1DCDD3A4" w:rsidR="00E05A06" w:rsidRDefault="00246F2E" w:rsidP="00262AD7">
      <w:pPr>
        <w:pStyle w:val="MemoBodyText"/>
      </w:pPr>
      <w:r>
        <w:t xml:space="preserve">The RPM </w:t>
      </w:r>
      <w:r w:rsidR="00337E26">
        <w:t xml:space="preserve">price </w:t>
      </w:r>
      <w:r>
        <w:t xml:space="preserve">is </w:t>
      </w:r>
      <w:r w:rsidR="00337E26">
        <w:t>not subsidized</w:t>
      </w:r>
      <w:r>
        <w:t xml:space="preserve"> and does not create subsidies</w:t>
      </w:r>
      <w:r w:rsidR="00BA4E0B">
        <w:t>—that follows from being a market-based price</w:t>
      </w:r>
      <w:r w:rsidR="00337E26">
        <w:t>.</w:t>
      </w:r>
      <w:r>
        <w:t xml:space="preserve">  </w:t>
      </w:r>
      <w:r w:rsidR="00BA4E0B">
        <w:t>T</w:t>
      </w:r>
      <w:r>
        <w:t xml:space="preserve">he entire purpose of the </w:t>
      </w:r>
      <w:r w:rsidR="00BA4E0B">
        <w:t xml:space="preserve">RPM auction </w:t>
      </w:r>
      <w:r>
        <w:t>is to approximate the market value of the service.</w:t>
      </w:r>
      <w:r w:rsidR="00337E26">
        <w:t xml:space="preserve"> </w:t>
      </w:r>
      <w:r w:rsidR="00BA4E0B">
        <w:t xml:space="preserve"> </w:t>
      </w:r>
      <w:r w:rsidR="00337E26">
        <w:t xml:space="preserve">FES witness Lesser </w:t>
      </w:r>
      <w:r w:rsidR="00BA4E0B">
        <w:t xml:space="preserve">testified </w:t>
      </w:r>
      <w:r w:rsidR="00337E26">
        <w:t>that “[t]</w:t>
      </w:r>
      <w:r w:rsidR="00337E26" w:rsidRPr="008F296F">
        <w:t xml:space="preserve">he market-clearing price in a competitive market is </w:t>
      </w:r>
      <w:r w:rsidR="00337E26" w:rsidRPr="008F296F">
        <w:rPr>
          <w:i/>
        </w:rPr>
        <w:t xml:space="preserve">not </w:t>
      </w:r>
      <w:r w:rsidR="00337E26" w:rsidRPr="008F296F">
        <w:t>a subsidized price</w:t>
      </w:r>
      <w:r w:rsidR="00337E26">
        <w:t xml:space="preserve">.”  (Lesser Dir. 27 (emphasis sic).) </w:t>
      </w:r>
      <w:r w:rsidR="004975DC">
        <w:t xml:space="preserve"> As witness Lesser explained, to say that charging RPM creates a subsidy, one must first assume that a capacity seller is </w:t>
      </w:r>
      <w:r w:rsidR="004975DC" w:rsidRPr="004975DC">
        <w:rPr>
          <w:i/>
        </w:rPr>
        <w:t xml:space="preserve">entitled </w:t>
      </w:r>
      <w:r w:rsidR="004975DC">
        <w:t xml:space="preserve">to recover embedded costs from the market—but that is </w:t>
      </w:r>
      <w:r w:rsidR="00E05A06">
        <w:t>contrary to the very nature of a market.  (</w:t>
      </w:r>
      <w:r w:rsidR="00E05A06">
        <w:rPr>
          <w:i/>
        </w:rPr>
        <w:t>Id</w:t>
      </w:r>
      <w:r w:rsidR="00E05A06">
        <w:t xml:space="preserve">. at 30.)  </w:t>
      </w:r>
      <w:r w:rsidR="00BA4E0B">
        <w:t>A seller is only “entitled” to what a willing buyer will pay.</w:t>
      </w:r>
    </w:p>
    <w:p w14:paraId="68FDD7CB" w14:textId="78B93936" w:rsidR="00E05A06" w:rsidRDefault="00BA4E0B" w:rsidP="00262AD7">
      <w:pPr>
        <w:pStyle w:val="MemoBodyText"/>
      </w:pPr>
      <w:r>
        <w:t xml:space="preserve">In other words, </w:t>
      </w:r>
      <w:r w:rsidR="00E05A06">
        <w:t>“</w:t>
      </w:r>
      <w:r>
        <w:t>T</w:t>
      </w:r>
      <w:r w:rsidR="00E05A06" w:rsidRPr="00E05A06">
        <w:t xml:space="preserve">he fact that the market price of capacity may be less than AEP Ohio’s embedded cost of capacity does not mean AEP Ohio is subsidizing anyone. </w:t>
      </w:r>
      <w:r w:rsidR="00E05A06">
        <w:t xml:space="preserve"> </w:t>
      </w:r>
      <w:r w:rsidR="00E05A06" w:rsidRPr="00E05A06">
        <w:t>It means that the market can supply capacity more efficiently than AEP Ohio can.</w:t>
      </w:r>
      <w:r w:rsidR="00E05A06">
        <w:t>”  (</w:t>
      </w:r>
      <w:r w:rsidR="00E05A06">
        <w:rPr>
          <w:i/>
        </w:rPr>
        <w:t>Id</w:t>
      </w:r>
      <w:r w:rsidR="00E05A06">
        <w:t xml:space="preserve">. at 31.)  Indeed, this is the very reason Ohio deregulated: to avail Ohio customers of the efficiencies and price discipline imposed by markets.  </w:t>
      </w:r>
    </w:p>
    <w:p w14:paraId="33BD73C1" w14:textId="05365077" w:rsidR="00AD30ED" w:rsidRDefault="00E05A06" w:rsidP="00AD30ED">
      <w:pPr>
        <w:pStyle w:val="MemoHeading4"/>
      </w:pPr>
      <w:bookmarkStart w:id="13" w:name="_Toc199392049"/>
      <w:r>
        <w:t>T</w:t>
      </w:r>
      <w:r w:rsidR="00AD30ED">
        <w:t>he RPM model will assure adequate resources are available to provide stable electric service.</w:t>
      </w:r>
      <w:bookmarkEnd w:id="13"/>
    </w:p>
    <w:p w14:paraId="38DA638A" w14:textId="27493BA8" w:rsidR="000002A9" w:rsidRDefault="00E05A06" w:rsidP="000002A9">
      <w:pPr>
        <w:pStyle w:val="MemoBodyText"/>
      </w:pPr>
      <w:r>
        <w:t>In addition to providing a market-based price, t</w:t>
      </w:r>
      <w:r w:rsidR="00337E26">
        <w:t xml:space="preserve">he RPM price also does the job which gives it </w:t>
      </w:r>
      <w:r w:rsidR="001452D4">
        <w:t>its</w:t>
      </w:r>
      <w:r w:rsidR="00337E26">
        <w:t xml:space="preserve"> name: </w:t>
      </w:r>
      <w:r w:rsidR="00BA4E0B">
        <w:t xml:space="preserve">it </w:t>
      </w:r>
      <w:r w:rsidR="00337E26">
        <w:t>assur</w:t>
      </w:r>
      <w:r w:rsidR="00BA4E0B">
        <w:t>es</w:t>
      </w:r>
      <w:r w:rsidR="00337E26">
        <w:t xml:space="preserve"> reliability. </w:t>
      </w:r>
      <w:r>
        <w:t xml:space="preserve"> </w:t>
      </w:r>
      <w:r w:rsidR="00DB5E6F">
        <w:t>Consider the testimony of AEP</w:t>
      </w:r>
      <w:r w:rsidR="00BA4E0B">
        <w:t xml:space="preserve"> witness Graves, who </w:t>
      </w:r>
      <w:r w:rsidR="000002A9">
        <w:t>agreed that</w:t>
      </w:r>
      <w:r w:rsidR="00BA4E0B">
        <w:t>,</w:t>
      </w:r>
      <w:r w:rsidR="000002A9">
        <w:t xml:space="preserve"> </w:t>
      </w:r>
      <w:r w:rsidR="00BA4E0B">
        <w:t xml:space="preserve">using RPM, </w:t>
      </w:r>
      <w:r w:rsidR="000002A9">
        <w:t>PJM</w:t>
      </w:r>
      <w:r w:rsidR="00337E26">
        <w:t>’s</w:t>
      </w:r>
      <w:r w:rsidR="000002A9">
        <w:t xml:space="preserve"> capacity markets “</w:t>
      </w:r>
      <w:r w:rsidR="000002A9" w:rsidRPr="000002A9">
        <w:t>have</w:t>
      </w:r>
      <w:r w:rsidR="000002A9">
        <w:t xml:space="preserve"> </w:t>
      </w:r>
      <w:r w:rsidR="000002A9" w:rsidRPr="000002A9">
        <w:t>brought forward a large amount of new capacity</w:t>
      </w:r>
      <w:r w:rsidR="000002A9">
        <w:t xml:space="preserve"> </w:t>
      </w:r>
      <w:r w:rsidR="000002A9" w:rsidRPr="000002A9">
        <w:t>resources</w:t>
      </w:r>
      <w:r w:rsidR="000002A9">
        <w:t>,”</w:t>
      </w:r>
      <w:r w:rsidR="000002A9" w:rsidRPr="000002A9">
        <w:t xml:space="preserve"> </w:t>
      </w:r>
      <w:r w:rsidR="000002A9">
        <w:t>“</w:t>
      </w:r>
      <w:r w:rsidR="000002A9" w:rsidRPr="000002A9">
        <w:t>are designed to</w:t>
      </w:r>
      <w:r w:rsidR="000002A9">
        <w:t xml:space="preserve"> ensure that there’</w:t>
      </w:r>
      <w:r w:rsidR="000002A9" w:rsidRPr="000002A9">
        <w:t>s an adequate supply of reserve</w:t>
      </w:r>
      <w:r w:rsidR="000002A9">
        <w:t xml:space="preserve"> margins three years following,” and “</w:t>
      </w:r>
      <w:r w:rsidR="000002A9" w:rsidRPr="000002A9">
        <w:t>have done very</w:t>
      </w:r>
      <w:r w:rsidR="000002A9">
        <w:t xml:space="preserve"> w</w:t>
      </w:r>
      <w:r w:rsidR="000002A9" w:rsidRPr="000002A9">
        <w:t>ell</w:t>
      </w:r>
      <w:r w:rsidR="000002A9">
        <w:t xml:space="preserve">” in accomplishing that goal.  (Tr. 870.)  </w:t>
      </w:r>
      <w:r w:rsidR="00337E26">
        <w:t xml:space="preserve">Thus, he </w:t>
      </w:r>
      <w:r w:rsidR="000002A9">
        <w:t>had “</w:t>
      </w:r>
      <w:r w:rsidR="000002A9" w:rsidRPr="000002A9">
        <w:t xml:space="preserve">no concern about </w:t>
      </w:r>
      <w:r w:rsidR="000002A9">
        <w:t xml:space="preserve">[any] </w:t>
      </w:r>
      <w:r w:rsidR="000002A9" w:rsidRPr="000002A9">
        <w:t>capacity shortfall within</w:t>
      </w:r>
      <w:r w:rsidR="000002A9">
        <w:t xml:space="preserve"> PJM” through 2016 and indeed did </w:t>
      </w:r>
      <w:r w:rsidR="000002A9" w:rsidRPr="00337E26">
        <w:rPr>
          <w:i/>
        </w:rPr>
        <w:t xml:space="preserve">not </w:t>
      </w:r>
      <w:r w:rsidR="000002A9">
        <w:t>“</w:t>
      </w:r>
      <w:r w:rsidR="000002A9" w:rsidRPr="000002A9">
        <w:t>expect there will</w:t>
      </w:r>
      <w:r w:rsidR="000002A9">
        <w:t xml:space="preserve"> </w:t>
      </w:r>
      <w:r w:rsidR="000002A9" w:rsidRPr="000002A9">
        <w:t>come a time when RPM will fail in its purpose to</w:t>
      </w:r>
      <w:r w:rsidR="000002A9">
        <w:t xml:space="preserve"> </w:t>
      </w:r>
      <w:r w:rsidR="000002A9" w:rsidRPr="000002A9">
        <w:t>ensure sufficient and reliable capacity</w:t>
      </w:r>
      <w:r w:rsidR="000002A9">
        <w:t>.”  (Tr. 872.)</w:t>
      </w:r>
    </w:p>
    <w:p w14:paraId="116F3822" w14:textId="77777777" w:rsidR="007F65E8" w:rsidRDefault="00246F2E" w:rsidP="00246F2E">
      <w:pPr>
        <w:pStyle w:val="MemoHeading4"/>
      </w:pPr>
      <w:bookmarkStart w:id="14" w:name="_Toc199392050"/>
      <w:r>
        <w:t>The RPM price avoids any legal problems associated with extending the transition to</w:t>
      </w:r>
      <w:r w:rsidR="007F65E8">
        <w:t xml:space="preserve"> competition.</w:t>
      </w:r>
      <w:bookmarkEnd w:id="14"/>
    </w:p>
    <w:p w14:paraId="26279CE8" w14:textId="77777777" w:rsidR="00DB5E6F" w:rsidRDefault="007F65E8" w:rsidP="008839E1">
      <w:pPr>
        <w:pStyle w:val="MemoBodyText"/>
      </w:pPr>
      <w:r>
        <w:t>Finally,</w:t>
      </w:r>
      <w:r w:rsidR="004207E8" w:rsidRPr="004207E8">
        <w:t xml:space="preserve"> </w:t>
      </w:r>
      <w:r w:rsidR="004207E8">
        <w:t>RPM pricing</w:t>
      </w:r>
      <w:r>
        <w:t xml:space="preserve"> avoids any question</w:t>
      </w:r>
      <w:r w:rsidR="008839E1">
        <w:t xml:space="preserve"> as to</w:t>
      </w:r>
      <w:r>
        <w:t xml:space="preserve"> whether AEP is continuing to </w:t>
      </w:r>
      <w:r w:rsidR="008839E1">
        <w:t>collect</w:t>
      </w:r>
      <w:r>
        <w:t xml:space="preserve"> </w:t>
      </w:r>
      <w:r>
        <w:rPr>
          <w:i/>
        </w:rPr>
        <w:t xml:space="preserve">de facto </w:t>
      </w:r>
      <w:r>
        <w:t>transition charges or</w:t>
      </w:r>
      <w:r w:rsidR="008839E1">
        <w:t xml:space="preserve"> is</w:t>
      </w:r>
      <w:r>
        <w:t xml:space="preserve"> otherwise putting off any statutorily mandated move toward</w:t>
      </w:r>
      <w:r w:rsidR="008839E1">
        <w:t>s</w:t>
      </w:r>
      <w:r>
        <w:t xml:space="preserve"> competition</w:t>
      </w:r>
      <w:r w:rsidR="008839E1">
        <w:t xml:space="preserve">.  </w:t>
      </w:r>
      <w:r w:rsidR="00DB5E6F">
        <w:t>(</w:t>
      </w:r>
      <w:r w:rsidR="00DB5E6F">
        <w:rPr>
          <w:i/>
        </w:rPr>
        <w:t xml:space="preserve">Cf. </w:t>
      </w:r>
      <w:r w:rsidR="00DB5E6F">
        <w:t xml:space="preserve">Tr. 136 (AEP witness Munczinski: </w:t>
      </w:r>
      <w:r w:rsidR="00DB5E6F" w:rsidRPr="00DB5E6F">
        <w:t>“If the CRES providers want competition, we will be there after . . . June 1, 2015”</w:t>
      </w:r>
      <w:r w:rsidR="00DB5E6F">
        <w:t>)</w:t>
      </w:r>
      <w:r w:rsidR="00DB5E6F" w:rsidRPr="00DB5E6F">
        <w:t xml:space="preserve">.)  </w:t>
      </w:r>
    </w:p>
    <w:p w14:paraId="261BE8CE" w14:textId="0C87409A" w:rsidR="00DB5E6F" w:rsidRDefault="00DB5E6F" w:rsidP="00DB5E6F">
      <w:pPr>
        <w:pStyle w:val="MemoBodyText"/>
      </w:pPr>
      <w:r>
        <w:t xml:space="preserve">In short, </w:t>
      </w:r>
      <w:r w:rsidR="00337E26">
        <w:t>RPM pric</w:t>
      </w:r>
      <w:r w:rsidR="008839E1">
        <w:t>ing</w:t>
      </w:r>
      <w:r w:rsidR="00337E26">
        <w:t xml:space="preserve"> is consonant with </w:t>
      </w:r>
      <w:r w:rsidR="00246F2E">
        <w:t xml:space="preserve">the </w:t>
      </w:r>
      <w:r w:rsidR="00337E26">
        <w:t xml:space="preserve">major pillars of Ohio electricity policy: it is market-based, </w:t>
      </w:r>
      <w:r w:rsidR="00E05A06">
        <w:t xml:space="preserve">it supports competitive markets, </w:t>
      </w:r>
      <w:r w:rsidR="00337E26">
        <w:t xml:space="preserve">it is nondiscriminatory, </w:t>
      </w:r>
      <w:r w:rsidR="00246F2E">
        <w:t xml:space="preserve">it assures reliable service, and it </w:t>
      </w:r>
      <w:r w:rsidR="00323428">
        <w:t>is consistent with the</w:t>
      </w:r>
      <w:r w:rsidR="00246F2E">
        <w:t xml:space="preserve"> timing</w:t>
      </w:r>
      <w:r w:rsidR="00323428">
        <w:t xml:space="preserve"> of </w:t>
      </w:r>
      <w:r w:rsidR="00F119A9">
        <w:t>the</w:t>
      </w:r>
      <w:r w:rsidR="00323428">
        <w:t xml:space="preserve"> transition to competitive markets </w:t>
      </w:r>
      <w:r w:rsidR="00246F2E">
        <w:t>established by</w:t>
      </w:r>
      <w:r w:rsidR="00323428">
        <w:t xml:space="preserve"> Ohio</w:t>
      </w:r>
      <w:r w:rsidR="00246F2E">
        <w:t xml:space="preserve"> law.  </w:t>
      </w:r>
      <w:r w:rsidR="004207E8">
        <w:t xml:space="preserve">RPM pricing </w:t>
      </w:r>
      <w:r w:rsidR="00246F2E">
        <w:t>is already in use in Ohio by all the other major electric utilities</w:t>
      </w:r>
      <w:r w:rsidR="00E05A06">
        <w:t xml:space="preserve">, and </w:t>
      </w:r>
      <w:r w:rsidR="00E05A06" w:rsidRPr="00E05A06">
        <w:t xml:space="preserve">has </w:t>
      </w:r>
      <w:r w:rsidR="00E05A06">
        <w:t>been used by AEP</w:t>
      </w:r>
      <w:r w:rsidR="008839E1">
        <w:t xml:space="preserve"> until only recently</w:t>
      </w:r>
      <w:r w:rsidR="00246F2E">
        <w:t xml:space="preserve">.  </w:t>
      </w:r>
      <w:r>
        <w:t>And it poses no legal problems.</w:t>
      </w:r>
    </w:p>
    <w:p w14:paraId="1E937F18" w14:textId="3BC61715" w:rsidR="00337E26" w:rsidRPr="00246F2E" w:rsidRDefault="00246F2E" w:rsidP="00DB5E6F">
      <w:pPr>
        <w:pStyle w:val="MemoBodyText"/>
      </w:pPr>
      <w:r>
        <w:t>Unless AEP can show that it</w:t>
      </w:r>
      <w:r w:rsidR="00907AD2">
        <w:t xml:space="preserve">s alternative embedded cost proposal </w:t>
      </w:r>
      <w:r w:rsidR="00E05A06">
        <w:t>further</w:t>
      </w:r>
      <w:r w:rsidR="008839E1">
        <w:t>s</w:t>
      </w:r>
      <w:r w:rsidR="00DB5E6F">
        <w:t xml:space="preserve"> Ohio’s energy policy as well as RPM and poses</w:t>
      </w:r>
      <w:r>
        <w:t xml:space="preserve"> </w:t>
      </w:r>
      <w:r w:rsidR="00E05A06">
        <w:rPr>
          <w:i/>
        </w:rPr>
        <w:t xml:space="preserve">no </w:t>
      </w:r>
      <w:r>
        <w:t>legal problems</w:t>
      </w:r>
      <w:r w:rsidR="008839E1">
        <w:t xml:space="preserve">, </w:t>
      </w:r>
      <w:r>
        <w:t xml:space="preserve">RPM pricing should be the state compensation method for Ohio. </w:t>
      </w:r>
      <w:r w:rsidR="00F119A9">
        <w:t xml:space="preserve"> </w:t>
      </w:r>
      <w:r>
        <w:t>AEP</w:t>
      </w:r>
      <w:r w:rsidR="00F119A9">
        <w:t>’s</w:t>
      </w:r>
      <w:r w:rsidR="008839E1">
        <w:t xml:space="preserve"> proposal</w:t>
      </w:r>
      <w:r w:rsidR="00F119A9">
        <w:t>, however,</w:t>
      </w:r>
      <w:r w:rsidR="008839E1">
        <w:t xml:space="preserve"> clear</w:t>
      </w:r>
      <w:r w:rsidR="004207E8">
        <w:t>ly</w:t>
      </w:r>
      <w:r>
        <w:t xml:space="preserve"> does not </w:t>
      </w:r>
      <w:r w:rsidR="008839E1">
        <w:t>meet these qualification</w:t>
      </w:r>
      <w:r w:rsidR="00DB5E6F">
        <w:t>s</w:t>
      </w:r>
      <w:r w:rsidR="004207E8">
        <w:t>.</w:t>
      </w:r>
      <w:r>
        <w:t xml:space="preserve"> </w:t>
      </w:r>
      <w:r w:rsidR="00E05A06">
        <w:t xml:space="preserve"> </w:t>
      </w:r>
    </w:p>
    <w:p w14:paraId="74459FFB" w14:textId="5232DA37" w:rsidR="00AD30ED" w:rsidRDefault="00AD30ED" w:rsidP="00AD30ED">
      <w:pPr>
        <w:pStyle w:val="MemoHeading3"/>
      </w:pPr>
      <w:bookmarkStart w:id="15" w:name="_Toc199392051"/>
      <w:r>
        <w:t>AEP’s proposal would violate Ohio law.</w:t>
      </w:r>
      <w:bookmarkEnd w:id="15"/>
    </w:p>
    <w:p w14:paraId="0BE58A40" w14:textId="12B133FD" w:rsidR="006F735B" w:rsidRPr="006F735B" w:rsidRDefault="00246F2E" w:rsidP="006F735B">
      <w:pPr>
        <w:pStyle w:val="MemoBodyText"/>
      </w:pPr>
      <w:r>
        <w:t xml:space="preserve"> </w:t>
      </w:r>
      <w:r w:rsidR="006F735B">
        <w:t xml:space="preserve">AEP </w:t>
      </w:r>
      <w:r w:rsidR="004207E8">
        <w:t xml:space="preserve">is seeking </w:t>
      </w:r>
      <w:r w:rsidR="00BA4E0B">
        <w:t xml:space="preserve">the compelled </w:t>
      </w:r>
      <w:r>
        <w:t xml:space="preserve">recovery from shopping customers of the </w:t>
      </w:r>
      <w:r w:rsidR="006F735B">
        <w:t xml:space="preserve">embedded costs of </w:t>
      </w:r>
      <w:r>
        <w:t>its generation fleet</w:t>
      </w:r>
      <w:r w:rsidR="006F735B">
        <w:t xml:space="preserve">.  </w:t>
      </w:r>
      <w:r w:rsidR="007F65E8">
        <w:t xml:space="preserve">(Graves Dir. 6.) </w:t>
      </w:r>
      <w:r w:rsidR="00BA4E0B">
        <w:t xml:space="preserve"> But this proposal </w:t>
      </w:r>
      <w:r w:rsidR="00702654">
        <w:t xml:space="preserve">runs afoul of </w:t>
      </w:r>
      <w:r w:rsidR="00BA4E0B">
        <w:t>the law</w:t>
      </w:r>
      <w:r w:rsidR="006F735B">
        <w:t xml:space="preserve">.  </w:t>
      </w:r>
    </w:p>
    <w:p w14:paraId="6E55104A" w14:textId="0327E261" w:rsidR="00AD30ED" w:rsidRDefault="00AD30ED" w:rsidP="00702654">
      <w:pPr>
        <w:pStyle w:val="MemoHeading4"/>
        <w:numPr>
          <w:ilvl w:val="0"/>
          <w:numId w:val="10"/>
        </w:numPr>
        <w:ind w:left="2160" w:hanging="720"/>
      </w:pPr>
      <w:bookmarkStart w:id="16" w:name="_Toc199392052"/>
      <w:r>
        <w:t xml:space="preserve">AEP’s proposal would harm </w:t>
      </w:r>
      <w:r w:rsidR="002D1B21">
        <w:t xml:space="preserve">the development of </w:t>
      </w:r>
      <w:r>
        <w:t>competition.</w:t>
      </w:r>
      <w:bookmarkEnd w:id="16"/>
    </w:p>
    <w:p w14:paraId="52B70CE1" w14:textId="11BF6FCF" w:rsidR="00BA4E0B" w:rsidRDefault="00BA4E0B" w:rsidP="007116B8">
      <w:pPr>
        <w:pStyle w:val="MemoBodyText"/>
      </w:pPr>
      <w:r>
        <w:t>T</w:t>
      </w:r>
      <w:r w:rsidR="00333C93">
        <w:t>he record is clear that AEP’s proposal will stifle competition.</w:t>
      </w:r>
      <w:r>
        <w:t xml:space="preserve">  </w:t>
      </w:r>
      <w:r w:rsidR="007F65E8">
        <w:t xml:space="preserve">IGS witness Hamman explained that under AEP’s proposal, </w:t>
      </w:r>
      <w:r w:rsidR="00AD30ED">
        <w:t>“</w:t>
      </w:r>
      <w:r w:rsidR="00AD30ED" w:rsidRPr="00AD30ED">
        <w:t>CRES suppliers would have to charge higher rates for service or be prevented from entering the market altogether.</w:t>
      </w:r>
      <w:r w:rsidR="00AD30ED">
        <w:t xml:space="preserve">”  (Hamman Dir. </w:t>
      </w:r>
      <w:r w:rsidR="00A0738E">
        <w:t>5.)</w:t>
      </w:r>
      <w:r w:rsidR="007F65E8">
        <w:t xml:space="preserve">  </w:t>
      </w:r>
      <w:r w:rsidR="00333C93">
        <w:t>Other witnesses agreed that i</w:t>
      </w:r>
      <w:r w:rsidR="007F65E8">
        <w:t>f AEP’s method were adopted, it would “discourage[]</w:t>
      </w:r>
      <w:r w:rsidR="007F65E8" w:rsidRPr="00AD1D46">
        <w:t xml:space="preserve"> the development of</w:t>
      </w:r>
      <w:r w:rsidR="007F65E8">
        <w:t xml:space="preserve"> retail choice, and also confer[]</w:t>
      </w:r>
      <w:r w:rsidR="007F65E8" w:rsidRPr="00AD1D46">
        <w:t xml:space="preserve"> a competitive advantage during the transition period on AEP Ohio, allowing it to hold retail customers who otherwise would have chosen to shop</w:t>
      </w:r>
      <w:r w:rsidR="007F65E8">
        <w:t xml:space="preserve">.”  (Stoddard Dir. 24.) </w:t>
      </w:r>
      <w:r w:rsidR="00333C93">
        <w:t xml:space="preserve"> </w:t>
      </w:r>
      <w:r w:rsidR="002D1B21">
        <w:t>By “[i]</w:t>
      </w:r>
      <w:r w:rsidR="007F65E8" w:rsidRPr="006F735B">
        <w:t xml:space="preserve">mposing high capacity costs on shopping customers, </w:t>
      </w:r>
      <w:r w:rsidR="002D1B21">
        <w:t xml:space="preserve">but </w:t>
      </w:r>
      <w:r w:rsidR="007F65E8" w:rsidRPr="006F735B">
        <w:t>a lower capacity cost on non-shopping customers,</w:t>
      </w:r>
      <w:r w:rsidR="002D1B21">
        <w:t>” AEP would “discourage[]</w:t>
      </w:r>
      <w:r w:rsidR="007F65E8" w:rsidRPr="006F735B">
        <w:t xml:space="preserve"> shopping even if the CRES provider could otherwise have provided real economic value to the customer.</w:t>
      </w:r>
      <w:r w:rsidR="007F65E8">
        <w:t>”  (Stoddard Dir. 48.)</w:t>
      </w:r>
      <w:r w:rsidR="00333C93">
        <w:t xml:space="preserve">  Witness Lesser also testified that “</w:t>
      </w:r>
      <w:r w:rsidR="00134B02">
        <w:t>[a]</w:t>
      </w:r>
      <w:r w:rsidR="00CF7C9F" w:rsidRPr="00CF7C9F">
        <w:t>n above-market capacity rate will discourage competition and keep customers from saving the money they should.</w:t>
      </w:r>
      <w:r w:rsidR="00333C93">
        <w:t xml:space="preserve">” </w:t>
      </w:r>
      <w:r w:rsidR="00CF7C9F" w:rsidRPr="00CF7C9F">
        <w:t xml:space="preserve"> </w:t>
      </w:r>
      <w:r w:rsidR="00333C93">
        <w:t xml:space="preserve">(Lesser Dir. 22; </w:t>
      </w:r>
      <w:r w:rsidR="00E252C7">
        <w:rPr>
          <w:i/>
        </w:rPr>
        <w:t>see also</w:t>
      </w:r>
      <w:r w:rsidR="00333C93">
        <w:t xml:space="preserve"> Ringenbach </w:t>
      </w:r>
      <w:r w:rsidR="007116B8">
        <w:t>Dir. 14 (t</w:t>
      </w:r>
      <w:r w:rsidR="00F04419">
        <w:t>he “u</w:t>
      </w:r>
      <w:r w:rsidR="00F04419" w:rsidRPr="00F04419">
        <w:t xml:space="preserve">nequal </w:t>
      </w:r>
      <w:r w:rsidR="00F04419">
        <w:t xml:space="preserve">[capacity] </w:t>
      </w:r>
      <w:r w:rsidR="00F04419" w:rsidRPr="00F04419">
        <w:t xml:space="preserve">price increase </w:t>
      </w:r>
      <w:r w:rsidR="00F04419">
        <w:t>[will] discourage retail competition” and “prevent[]</w:t>
      </w:r>
      <w:r w:rsidR="00F04419" w:rsidRPr="00F04419">
        <w:t xml:space="preserve"> CRES from </w:t>
      </w:r>
      <w:r w:rsidR="00F04419">
        <w:t>engaging in effective marketing” and thus from “</w:t>
      </w:r>
      <w:r w:rsidR="00F04419" w:rsidRPr="00F04419">
        <w:t>bringing small customers into the market</w:t>
      </w:r>
      <w:r w:rsidR="00F04419">
        <w:t>”</w:t>
      </w:r>
      <w:r w:rsidR="007116B8">
        <w:t>); Fein Dir. 7 (“</w:t>
      </w:r>
      <w:r w:rsidR="00F04419">
        <w:t>t</w:t>
      </w:r>
      <w:r w:rsidR="00F04419" w:rsidRPr="00F04419">
        <w:t>he fully embedded cost</w:t>
      </w:r>
      <w:r w:rsidR="006F24DB">
        <w:t xml:space="preserve"> rate of approximately $355/MW-</w:t>
      </w:r>
      <w:r w:rsidR="00F04419" w:rsidRPr="00F04419">
        <w:t>day that AEP Ohio seeks to implement for capacity would retard retail competition</w:t>
      </w:r>
      <w:r w:rsidR="00F04419">
        <w:t>”</w:t>
      </w:r>
      <w:r w:rsidR="007116B8">
        <w:t>).</w:t>
      </w:r>
      <w:r w:rsidR="009F5AF9">
        <w:t>)</w:t>
      </w:r>
      <w:r w:rsidR="002D1B21">
        <w:t xml:space="preserve">  </w:t>
      </w:r>
    </w:p>
    <w:p w14:paraId="2441954D" w14:textId="492186F8" w:rsidR="00D4043E" w:rsidRPr="00D4043E" w:rsidRDefault="00D4043E" w:rsidP="00D4043E">
      <w:pPr>
        <w:pStyle w:val="MemoHeading4"/>
      </w:pPr>
      <w:bookmarkStart w:id="17" w:name="_Toc199392053"/>
      <w:r>
        <w:t>AEP’s proposal would lead to anticompetitive subsidies.</w:t>
      </w:r>
      <w:bookmarkEnd w:id="17"/>
    </w:p>
    <w:p w14:paraId="162F94C6" w14:textId="2173B48E" w:rsidR="00A56038" w:rsidRDefault="00A56038" w:rsidP="00AD1D46">
      <w:pPr>
        <w:pStyle w:val="MemoBodyText"/>
      </w:pPr>
      <w:r>
        <w:t xml:space="preserve">State policy </w:t>
      </w:r>
      <w:r w:rsidR="004D732D">
        <w:t xml:space="preserve">also warns against incumbent utilities </w:t>
      </w:r>
      <w:r w:rsidR="00083612">
        <w:t>overcharging for one service to subsidize another.</w:t>
      </w:r>
      <w:r w:rsidR="004D732D">
        <w:t xml:space="preserve">  R.C. 4928.02(H). </w:t>
      </w:r>
      <w:r w:rsidR="00F40C53">
        <w:t xml:space="preserve"> </w:t>
      </w:r>
      <w:r w:rsidR="004D732D">
        <w:t xml:space="preserve">Once again, AEP’s proposal fails the test, and once again, the record is clear.  </w:t>
      </w:r>
    </w:p>
    <w:p w14:paraId="45D89781" w14:textId="351BAE05" w:rsidR="00874188" w:rsidRDefault="00AD1D46" w:rsidP="00874188">
      <w:pPr>
        <w:pStyle w:val="MemoBodyText"/>
      </w:pPr>
      <w:r>
        <w:t>“</w:t>
      </w:r>
      <w:r w:rsidR="004D732D">
        <w:t>[I]</w:t>
      </w:r>
      <w:r w:rsidRPr="00AD1D46">
        <w:t>mposing above-market capacity prices on CRES providers will result in shopping customers paying an uneconomic dividend to AEP Ohio shareholders</w:t>
      </w:r>
      <w:r w:rsidR="002D1B21">
        <w:t>.</w:t>
      </w:r>
      <w:r>
        <w:t>”  (Stoddard Dir. 24.)</w:t>
      </w:r>
      <w:r w:rsidR="004D732D">
        <w:t xml:space="preserve">  </w:t>
      </w:r>
      <w:r w:rsidR="007116B8">
        <w:t>FES witness Lesser agreed that “[a]</w:t>
      </w:r>
      <w:r w:rsidR="007116B8" w:rsidRPr="00CF7C9F">
        <w:t xml:space="preserve">rtificially high capacity rates for all </w:t>
      </w:r>
      <w:r w:rsidR="007116B8">
        <w:t>customers will provide an anti-</w:t>
      </w:r>
      <w:r w:rsidR="007116B8" w:rsidRPr="00CF7C9F">
        <w:t xml:space="preserve">competitive advantage to the AEP affiliate CRES provider. </w:t>
      </w:r>
      <w:r w:rsidR="004D732D">
        <w:t xml:space="preserve"> </w:t>
      </w:r>
      <w:r w:rsidR="007116B8" w:rsidRPr="00CF7C9F">
        <w:t>Thus, AEP Ohio’s affiliate CRES provider will gain an anticompetitive advantage in the retail market.</w:t>
      </w:r>
      <w:r w:rsidR="00083612">
        <w:t xml:space="preserve">”  (Lesser Dir. 22.)  </w:t>
      </w:r>
      <w:r w:rsidR="004D732D">
        <w:t xml:space="preserve">IEU witness Murray concurred, </w:t>
      </w:r>
      <w:r w:rsidR="00874188">
        <w:t>“</w:t>
      </w:r>
      <w:r w:rsidR="00874188" w:rsidRPr="00874188">
        <w:t xml:space="preserve">It is fundamentally unfair and contrary to Ohio’s pro-competition policies to allow AEP-Ohio’s affiliates to serve non AEP-Ohio EDU customers in other areas of Ohio while paying market-based prices for capacity, but require CRES providers attempting to serve AEP-Ohio EDU customers to pay cost-based rates for capacity. </w:t>
      </w:r>
      <w:r w:rsidR="004D732D">
        <w:t xml:space="preserve"> </w:t>
      </w:r>
      <w:r w:rsidR="00874188" w:rsidRPr="00874188">
        <w:t>The cost-based rate for capacity al</w:t>
      </w:r>
      <w:r w:rsidR="004D732D">
        <w:t xml:space="preserve">so amounts to a subsidy to AEP-Ohio’s . . . </w:t>
      </w:r>
      <w:r w:rsidR="00874188" w:rsidRPr="00874188">
        <w:t>generation business</w:t>
      </w:r>
      <w:r w:rsidR="004D732D">
        <w:t xml:space="preserve"> . . . </w:t>
      </w:r>
      <w:r w:rsidR="00874188">
        <w:t>.”  (Murray Dir. 25.)</w:t>
      </w:r>
    </w:p>
    <w:p w14:paraId="49DFEF1D" w14:textId="07DAA9A4" w:rsidR="00702654" w:rsidRDefault="00702654" w:rsidP="00702654">
      <w:pPr>
        <w:pStyle w:val="MemoHeading4"/>
      </w:pPr>
      <w:bookmarkStart w:id="18" w:name="_Toc199392054"/>
      <w:r>
        <w:t xml:space="preserve">AEP’s </w:t>
      </w:r>
      <w:r w:rsidR="00B723DF">
        <w:t>proposal</w:t>
      </w:r>
      <w:r>
        <w:t xml:space="preserve"> would violate Ohio’s transition laws.</w:t>
      </w:r>
      <w:bookmarkEnd w:id="18"/>
    </w:p>
    <w:p w14:paraId="68A2D0D3" w14:textId="0CE54B6D" w:rsidR="00702654" w:rsidRDefault="00702654" w:rsidP="00702654">
      <w:pPr>
        <w:pStyle w:val="MemoBodyText"/>
      </w:pPr>
      <w:r>
        <w:t xml:space="preserve">Finally, AEP’s proposed method </w:t>
      </w:r>
      <w:r w:rsidR="00DF7665">
        <w:t>would require the Commiss</w:t>
      </w:r>
      <w:r w:rsidR="00333C93">
        <w:t xml:space="preserve">ion to ignore the laws that ended Ohio’s transition period.  </w:t>
      </w:r>
    </w:p>
    <w:p w14:paraId="1AD844CA" w14:textId="0EEF3503" w:rsidR="00DF7665" w:rsidRDefault="004D732D" w:rsidP="00702654">
      <w:pPr>
        <w:pStyle w:val="MemoBodyText"/>
      </w:pPr>
      <w:r>
        <w:t xml:space="preserve">Not </w:t>
      </w:r>
      <w:r w:rsidR="00083612">
        <w:t xml:space="preserve">that </w:t>
      </w:r>
      <w:r>
        <w:t xml:space="preserve">AEP appears </w:t>
      </w:r>
      <w:r w:rsidR="00083612">
        <w:t xml:space="preserve">particularly </w:t>
      </w:r>
      <w:r>
        <w:t xml:space="preserve">aware of those laws.  </w:t>
      </w:r>
      <w:r w:rsidR="00083612">
        <w:t xml:space="preserve">For example, </w:t>
      </w:r>
      <w:r w:rsidR="00702654">
        <w:t xml:space="preserve">AEP’s </w:t>
      </w:r>
      <w:r w:rsidR="00083612">
        <w:t xml:space="preserve">self-described </w:t>
      </w:r>
      <w:r w:rsidR="00702654">
        <w:t>“policy witness</w:t>
      </w:r>
      <w:r>
        <w:t>,</w:t>
      </w:r>
      <w:r w:rsidR="00702654">
        <w:t>”</w:t>
      </w:r>
      <w:r>
        <w:t xml:space="preserve"> Mr.</w:t>
      </w:r>
      <w:r w:rsidR="00702654">
        <w:t xml:space="preserve"> </w:t>
      </w:r>
      <w:r w:rsidR="00702654" w:rsidRPr="00E83ED1">
        <w:t>Munczinski</w:t>
      </w:r>
      <w:r>
        <w:t>,</w:t>
      </w:r>
      <w:r w:rsidR="00702654">
        <w:t xml:space="preserve"> stated, “I</w:t>
      </w:r>
      <w:r w:rsidR="00702654" w:rsidRPr="00E83ED1">
        <w:t>f the CRES providers want comp</w:t>
      </w:r>
      <w:r w:rsidR="00702654">
        <w:t xml:space="preserve">etition, we will be there </w:t>
      </w:r>
      <w:r w:rsidR="00702654" w:rsidRPr="00083612">
        <w:rPr>
          <w:i/>
        </w:rPr>
        <w:t>after . . . June 1, 2015</w:t>
      </w:r>
      <w:r w:rsidR="00702654" w:rsidRPr="00E83ED1">
        <w:t>.</w:t>
      </w:r>
      <w:r w:rsidR="00702654">
        <w:t>”  (Tr. 136</w:t>
      </w:r>
      <w:r w:rsidR="00083612">
        <w:t xml:space="preserve"> (emphasis added)</w:t>
      </w:r>
      <w:r w:rsidR="00702654">
        <w:t xml:space="preserve">.) </w:t>
      </w:r>
      <w:r w:rsidR="00DF7665">
        <w:t xml:space="preserve"> </w:t>
      </w:r>
      <w:r>
        <w:t xml:space="preserve">Likewise, </w:t>
      </w:r>
      <w:r w:rsidR="00702654">
        <w:t xml:space="preserve">AEP’s </w:t>
      </w:r>
      <w:r w:rsidR="00DF7665">
        <w:t xml:space="preserve">position in its pending ESP proceeding makes even clearer that it is seeking to unilaterally </w:t>
      </w:r>
      <w:r w:rsidR="00083612">
        <w:t xml:space="preserve">resurrect and </w:t>
      </w:r>
      <w:r w:rsidR="00DF7665">
        <w:t>extend the transition period</w:t>
      </w:r>
      <w:r w:rsidR="00702654">
        <w:t>.  Mr. Powers testified</w:t>
      </w:r>
      <w:r w:rsidR="00DF7665">
        <w:t xml:space="preserve"> that</w:t>
      </w:r>
      <w:r w:rsidR="00702654">
        <w:t xml:space="preserve"> “AEP Ohio would n</w:t>
      </w:r>
      <w:r w:rsidR="00702654" w:rsidRPr="00702654">
        <w:t xml:space="preserve">ot be willing to provide discounted capacity and </w:t>
      </w:r>
      <w:r w:rsidR="00702654">
        <w:t xml:space="preserve">transition as quickly to market . . . if it does not receive all” that it is asking.  (Case No. 11-346-EL-SSO, Powers Dir. 5.)  </w:t>
      </w:r>
      <w:r w:rsidR="00DF7665">
        <w:t>He describes the period between now and 2015 as “the market transition period.”  (</w:t>
      </w:r>
      <w:r w:rsidR="00DF7665">
        <w:rPr>
          <w:i/>
        </w:rPr>
        <w:t>Id</w:t>
      </w:r>
      <w:r w:rsidR="00DF7665">
        <w:t xml:space="preserve">. at 12.)  </w:t>
      </w:r>
    </w:p>
    <w:p w14:paraId="72D093C4" w14:textId="3F387FF1" w:rsidR="00702654" w:rsidRDefault="00083612" w:rsidP="00702654">
      <w:pPr>
        <w:pStyle w:val="MemoBodyText"/>
      </w:pPr>
      <w:r>
        <w:t>AEP says all this</w:t>
      </w:r>
      <w:r w:rsidR="004D732D">
        <w:t xml:space="preserve"> as if </w:t>
      </w:r>
      <w:r w:rsidR="00702654">
        <w:t>the law had not already provided for a roughly decade-</w:t>
      </w:r>
      <w:r w:rsidR="00DF7665">
        <w:t>long transition to competition</w:t>
      </w:r>
      <w:r w:rsidR="00702654">
        <w:t xml:space="preserve">.  </w:t>
      </w:r>
      <w:r w:rsidR="00DF7665">
        <w:t xml:space="preserve">But the General Assembly has already provided for </w:t>
      </w:r>
      <w:r w:rsidR="00F40C53">
        <w:t xml:space="preserve">such </w:t>
      </w:r>
      <w:r w:rsidR="00DF7665">
        <w:t>a transition, with associated charges, in R.C. 4928.38–.40</w:t>
      </w:r>
      <w:r w:rsidR="00333C93">
        <w:t>,</w:t>
      </w:r>
      <w:r w:rsidR="00DF7665">
        <w:t xml:space="preserve"> </w:t>
      </w:r>
      <w:r w:rsidR="00333C93">
        <w:t>a</w:t>
      </w:r>
      <w:r w:rsidR="00DF7665">
        <w:t xml:space="preserve">nd </w:t>
      </w:r>
      <w:r w:rsidR="00F40C53">
        <w:t xml:space="preserve">time </w:t>
      </w:r>
      <w:r w:rsidR="00DF7665">
        <w:t xml:space="preserve">is </w:t>
      </w:r>
      <w:r w:rsidR="00F40C53">
        <w:t>up</w:t>
      </w:r>
      <w:r w:rsidR="00DF7665">
        <w:t>.  AEP was “</w:t>
      </w:r>
      <w:r w:rsidR="00DF7665" w:rsidRPr="00EF65A7">
        <w:t xml:space="preserve">wholly responsible for how to use </w:t>
      </w:r>
      <w:r w:rsidR="00DF7665">
        <w:t xml:space="preserve">[its transition-charge] </w:t>
      </w:r>
      <w:r w:rsidR="00DF7665" w:rsidRPr="00EF65A7">
        <w:t>revenues and wholly responsible for whether it is in a competitive position after the market development period.</w:t>
      </w:r>
      <w:r w:rsidR="00DF7665">
        <w:t xml:space="preserve">”  R.C. 4928.38.  And </w:t>
      </w:r>
      <w:r w:rsidR="00333C93">
        <w:t>now that that period has ended, AEP is to “</w:t>
      </w:r>
      <w:r w:rsidR="00DF7665" w:rsidRPr="00EF65A7">
        <w:t>be fully on its own in the competitive market.</w:t>
      </w:r>
      <w:r w:rsidR="00DF7665">
        <w:t xml:space="preserve">”  </w:t>
      </w:r>
      <w:r w:rsidR="00DF7665">
        <w:rPr>
          <w:i/>
        </w:rPr>
        <w:t>Id</w:t>
      </w:r>
      <w:r w:rsidR="00333C93">
        <w:rPr>
          <w:i/>
        </w:rPr>
        <w:t xml:space="preserve">.  </w:t>
      </w:r>
      <w:r w:rsidR="00DF7665">
        <w:t xml:space="preserve"> </w:t>
      </w:r>
    </w:p>
    <w:p w14:paraId="00C2E7EE" w14:textId="7AC587C4" w:rsidR="00333C93" w:rsidRPr="00702654" w:rsidRDefault="006D0B3C" w:rsidP="00702654">
      <w:pPr>
        <w:pStyle w:val="MemoBodyText"/>
      </w:pPr>
      <w:r>
        <w:t>The law is meaningless</w:t>
      </w:r>
      <w:r w:rsidR="00333C93">
        <w:t xml:space="preserve"> if utilities may continue to </w:t>
      </w:r>
      <w:r w:rsidR="004D732D">
        <w:t xml:space="preserve">require </w:t>
      </w:r>
      <w:r w:rsidR="004D732D" w:rsidRPr="004D732D">
        <w:rPr>
          <w:i/>
        </w:rPr>
        <w:t xml:space="preserve">all </w:t>
      </w:r>
      <w:r w:rsidR="004D732D">
        <w:t xml:space="preserve">customers to pay </w:t>
      </w:r>
      <w:r w:rsidR="00333C93">
        <w:t>embedded generation costs after all the transition periods have ended</w:t>
      </w:r>
      <w:r w:rsidR="00F119A9">
        <w:t>,</w:t>
      </w:r>
      <w:r w:rsidR="0053064B">
        <w:t xml:space="preserve"> and</w:t>
      </w:r>
      <w:r w:rsidR="00F119A9">
        <w:t xml:space="preserve"> </w:t>
      </w:r>
      <w:r w:rsidR="0053064B">
        <w:t>a</w:t>
      </w:r>
      <w:r w:rsidR="00333C93">
        <w:t>pprov</w:t>
      </w:r>
      <w:r w:rsidR="0053064B">
        <w:t>ing</w:t>
      </w:r>
      <w:r w:rsidR="00333C93">
        <w:t xml:space="preserve"> AEP’s proposal would be simply ignor</w:t>
      </w:r>
      <w:r w:rsidR="000544AD">
        <w:t>ing</w:t>
      </w:r>
      <w:r w:rsidR="00333C93">
        <w:t xml:space="preserve"> </w:t>
      </w:r>
      <w:r w:rsidR="00F119A9">
        <w:t>the</w:t>
      </w:r>
      <w:r w:rsidR="00333C93">
        <w:t xml:space="preserve"> statutory requirements.  </w:t>
      </w:r>
    </w:p>
    <w:p w14:paraId="4FC5EE3B" w14:textId="166A147E" w:rsidR="006F735B" w:rsidRDefault="004D732D" w:rsidP="00083612">
      <w:pPr>
        <w:pStyle w:val="MemoHeading3"/>
      </w:pPr>
      <w:bookmarkStart w:id="19" w:name="_Toc199392055"/>
      <w:r>
        <w:t xml:space="preserve">AEP’s </w:t>
      </w:r>
      <w:r w:rsidR="001D0C90">
        <w:t>justifications for recovering embedded costs</w:t>
      </w:r>
      <w:r w:rsidR="00F40C53">
        <w:t xml:space="preserve"> are refuted by the evidence and ignore Ohio law</w:t>
      </w:r>
      <w:r w:rsidR="001D0C90">
        <w:t>.</w:t>
      </w:r>
      <w:bookmarkEnd w:id="19"/>
    </w:p>
    <w:p w14:paraId="00A4FD09" w14:textId="7F683A70" w:rsidR="001D0C90" w:rsidRPr="001D0C90" w:rsidRDefault="000544AD" w:rsidP="001D0C90">
      <w:pPr>
        <w:pStyle w:val="MemoBodyText"/>
      </w:pPr>
      <w:r>
        <w:t>T</w:t>
      </w:r>
      <w:r w:rsidR="00083612">
        <w:t xml:space="preserve">he reasons </w:t>
      </w:r>
      <w:r w:rsidR="001D0C90" w:rsidRPr="00083612">
        <w:t xml:space="preserve">AEP </w:t>
      </w:r>
      <w:r w:rsidR="001D0C90">
        <w:t>offers in sup</w:t>
      </w:r>
      <w:r w:rsidR="00A8797B">
        <w:t>port of its proposal</w:t>
      </w:r>
      <w:r>
        <w:t xml:space="preserve"> are</w:t>
      </w:r>
      <w:r w:rsidR="00083612">
        <w:t xml:space="preserve"> refuted by the record </w:t>
      </w:r>
      <w:r>
        <w:t>and</w:t>
      </w:r>
      <w:r w:rsidR="00083612">
        <w:t xml:space="preserve"> disregard</w:t>
      </w:r>
      <w:r>
        <w:t xml:space="preserve"> </w:t>
      </w:r>
      <w:r w:rsidR="00083612">
        <w:t xml:space="preserve"> the policy of the state </w:t>
      </w:r>
      <w:r w:rsidR="00A8797B">
        <w:t>of Ohio.</w:t>
      </w:r>
    </w:p>
    <w:p w14:paraId="673861B6" w14:textId="2576A18B" w:rsidR="00361DE8" w:rsidRDefault="001D0C90" w:rsidP="00083612">
      <w:pPr>
        <w:pStyle w:val="MemoHeading4"/>
        <w:numPr>
          <w:ilvl w:val="0"/>
          <w:numId w:val="12"/>
        </w:numPr>
        <w:ind w:left="2160" w:hanging="720"/>
      </w:pPr>
      <w:bookmarkStart w:id="20" w:name="_Toc199392056"/>
      <w:r>
        <w:t>There are n</w:t>
      </w:r>
      <w:r w:rsidR="00361DE8">
        <w:t>o reliability concerns under RPM</w:t>
      </w:r>
      <w:r>
        <w:t>.</w:t>
      </w:r>
      <w:bookmarkEnd w:id="20"/>
    </w:p>
    <w:p w14:paraId="106785E5" w14:textId="5C96C768" w:rsidR="00083612" w:rsidRDefault="001D0C90" w:rsidP="001D0C90">
      <w:pPr>
        <w:pStyle w:val="MemoBodyText"/>
      </w:pPr>
      <w:r>
        <w:t xml:space="preserve">AEP tried and failed to prove that RPM pricing would hurt reliability.  For example, Mr. Munczinski stated </w:t>
      </w:r>
      <w:r w:rsidR="00914C06">
        <w:t xml:space="preserve">that RPM pricing would “undermine . . . the ability to provide customers with reliable and adequate service” </w:t>
      </w:r>
      <w:r>
        <w:t>and provide</w:t>
      </w:r>
      <w:r w:rsidR="00914C06">
        <w:t xml:space="preserve"> “little or no incentive to inve</w:t>
      </w:r>
      <w:r>
        <w:t xml:space="preserve">st in Ohio asset generation.”  (Munczinski Dir. 9.)  Likewise, </w:t>
      </w:r>
      <w:r w:rsidR="00361DE8">
        <w:t xml:space="preserve">AEP witness Graves testified that RPM </w:t>
      </w:r>
      <w:r w:rsidR="00083612">
        <w:t>does</w:t>
      </w:r>
      <w:r w:rsidR="00361DE8">
        <w:t xml:space="preserve"> “not necessarily” attract the “kinds of resources that would be preferred for long term resource planning.”  </w:t>
      </w:r>
      <w:r w:rsidR="003C6B81">
        <w:t>(Graves Dir. 7.)</w:t>
      </w:r>
      <w:r w:rsidR="00083612">
        <w:t xml:space="preserve">  </w:t>
      </w:r>
    </w:p>
    <w:p w14:paraId="58CB296D" w14:textId="339EF4D9" w:rsidR="001D0C90" w:rsidRDefault="00083612" w:rsidP="00914C06">
      <w:pPr>
        <w:pStyle w:val="MemoBodyText"/>
      </w:pPr>
      <w:r>
        <w:t>But this position fell apart on</w:t>
      </w:r>
      <w:r w:rsidR="001D0C90">
        <w:t xml:space="preserve"> cross-examination</w:t>
      </w:r>
      <w:r>
        <w:t>.</w:t>
      </w:r>
      <w:r w:rsidR="001D0C90">
        <w:t xml:space="preserve"> </w:t>
      </w:r>
      <w:r>
        <w:t xml:space="preserve"> </w:t>
      </w:r>
      <w:r w:rsidR="001D0C90">
        <w:t xml:space="preserve">Mr. Graves conceded this point away altogether: as explained above in more detail, he admitted that he did </w:t>
      </w:r>
      <w:r w:rsidR="001D0C90" w:rsidRPr="001D0C90">
        <w:t xml:space="preserve">not </w:t>
      </w:r>
      <w:r w:rsidR="001D0C90">
        <w:t>“</w:t>
      </w:r>
      <w:r w:rsidR="001D0C90" w:rsidRPr="000002A9">
        <w:t>expect there will</w:t>
      </w:r>
      <w:r w:rsidR="001D0C90">
        <w:t xml:space="preserve"> </w:t>
      </w:r>
      <w:r w:rsidR="001D0C90" w:rsidRPr="000002A9">
        <w:t>come a time when RPM will fail in its purpose to</w:t>
      </w:r>
      <w:r w:rsidR="001D0C90">
        <w:t xml:space="preserve"> </w:t>
      </w:r>
      <w:r w:rsidR="001D0C90" w:rsidRPr="000002A9">
        <w:t>ensure sufficient and reliable capacity</w:t>
      </w:r>
      <w:r w:rsidR="001D0C90">
        <w:t>.”  (Tr. 872.)</w:t>
      </w:r>
      <w:r>
        <w:t xml:space="preserve">  And a</w:t>
      </w:r>
      <w:r w:rsidR="001D0C90">
        <w:t xml:space="preserve">s for Mr. Munczinski’s suggestion that AEP’s proposal will “ensure sustained investment within the state of Ohio” (Munczinski Dir. 14), that too vanished.  He conceded that the cost-based rates </w:t>
      </w:r>
      <w:r w:rsidR="006F24DB">
        <w:t xml:space="preserve">are not planned to </w:t>
      </w:r>
      <w:r w:rsidR="001D0C90">
        <w:t>fund any new assets: “there’</w:t>
      </w:r>
      <w:r w:rsidR="001D0C90" w:rsidRPr="00794443">
        <w:t xml:space="preserve">s no plan to </w:t>
      </w:r>
      <w:r w:rsidR="001D0C90">
        <w:t>[invest in new generation prior to 2014] at this point,” based on “</w:t>
      </w:r>
      <w:r w:rsidR="001D0C90" w:rsidRPr="00794443">
        <w:t>the long position of generation</w:t>
      </w:r>
      <w:r w:rsidR="001D0C90">
        <w:t xml:space="preserve"> </w:t>
      </w:r>
      <w:r w:rsidR="001D0C90" w:rsidRPr="00794443">
        <w:t>that we have.</w:t>
      </w:r>
      <w:r w:rsidR="001D0C90">
        <w:t xml:space="preserve">”  (Tr. 36.)  </w:t>
      </w:r>
    </w:p>
    <w:p w14:paraId="7D39432F" w14:textId="0716AE37" w:rsidR="00794443" w:rsidRDefault="00083612" w:rsidP="00914C06">
      <w:pPr>
        <w:pStyle w:val="MemoBodyText"/>
      </w:pPr>
      <w:r>
        <w:t xml:space="preserve">And </w:t>
      </w:r>
      <w:r w:rsidR="00A8797B">
        <w:t xml:space="preserve">for </w:t>
      </w:r>
      <w:r w:rsidR="001D0C90">
        <w:t>all AEP’s talk ab</w:t>
      </w:r>
      <w:r w:rsidR="00A8797B">
        <w:t xml:space="preserve">out long-term reliability, one would never guess it intends to adopt RPM pricing in less than three years.  </w:t>
      </w:r>
    </w:p>
    <w:p w14:paraId="099C8080" w14:textId="394D3923" w:rsidR="00361DE8" w:rsidRDefault="00A8797B" w:rsidP="00083612">
      <w:pPr>
        <w:pStyle w:val="MemoHeading4"/>
      </w:pPr>
      <w:bookmarkStart w:id="21" w:name="_Toc199392057"/>
      <w:r>
        <w:t>RPM pricing does not subsidize</w:t>
      </w:r>
      <w:r w:rsidR="00361DE8">
        <w:t xml:space="preserve"> CRES</w:t>
      </w:r>
      <w:r>
        <w:t xml:space="preserve"> providers</w:t>
      </w:r>
      <w:r w:rsidR="00361DE8">
        <w:t>.</w:t>
      </w:r>
      <w:bookmarkEnd w:id="21"/>
    </w:p>
    <w:p w14:paraId="4BE25DAE" w14:textId="01FCA83F" w:rsidR="001451B7" w:rsidRDefault="00914C06" w:rsidP="00CB2A6F">
      <w:pPr>
        <w:pStyle w:val="MemoBodyText"/>
      </w:pPr>
      <w:r>
        <w:t xml:space="preserve">Likewise, AEP </w:t>
      </w:r>
      <w:r w:rsidR="00A8797B">
        <w:t xml:space="preserve">suggested </w:t>
      </w:r>
      <w:r>
        <w:t>that RPM would create “an unreasonable and ultimately unsustainable subsidy to CRES providers in Ohio.”  (</w:t>
      </w:r>
      <w:r w:rsidR="00083612">
        <w:t xml:space="preserve">Munczinski </w:t>
      </w:r>
      <w:r>
        <w:t>Dir. 11.)</w:t>
      </w:r>
      <w:r w:rsidR="00CB2A6F">
        <w:t xml:space="preserve"> </w:t>
      </w:r>
      <w:r w:rsidR="00F119A9">
        <w:t xml:space="preserve"> </w:t>
      </w:r>
      <w:r w:rsidR="00CB2A6F">
        <w:t>However, as noted by wit</w:t>
      </w:r>
      <w:r w:rsidR="001451B7">
        <w:t>ness Hamman</w:t>
      </w:r>
      <w:r w:rsidR="00F119A9">
        <w:t>,</w:t>
      </w:r>
      <w:r w:rsidR="001451B7">
        <w:t xml:space="preserve"> “Notwithstanding the complex and unsubstantiated formula proposed by AEP to calculate capacity charges, quantifying the value of the capacity is simple.  What AEP charges CRES providers for capacity should equal that capacity’s value to AEP—and that is what CRES suppliers would pay, and AEP would receive, for the capacity if the parties went to market.” (Hamman Dir. 4).  If AEP were forced to sell </w:t>
      </w:r>
      <w:r w:rsidR="00CB2A6F">
        <w:t xml:space="preserve">its capacity on the market, </w:t>
      </w:r>
      <w:r w:rsidR="001451B7">
        <w:t xml:space="preserve"> AEP would receive the RPM market price for capacity.  </w:t>
      </w:r>
      <w:r w:rsidR="0053064B">
        <w:t>Charging</w:t>
      </w:r>
      <w:r w:rsidR="00CB2A6F">
        <w:t xml:space="preserve"> RPM prices to CRES suppliers for capacity is not</w:t>
      </w:r>
      <w:r w:rsidR="00BD5952">
        <w:t xml:space="preserve"> a subsidy; </w:t>
      </w:r>
      <w:r w:rsidR="00CB2A6F">
        <w:t xml:space="preserve">this is </w:t>
      </w:r>
      <w:r w:rsidR="00BD5952">
        <w:t xml:space="preserve">no more and no less than </w:t>
      </w:r>
      <w:r w:rsidR="00CB2A6F">
        <w:t>the price CRES suppliers would pay if they were not forced to take capacity from AEP.</w:t>
      </w:r>
    </w:p>
    <w:p w14:paraId="1B4BAC85" w14:textId="5B429E9B" w:rsidR="004D4E29" w:rsidRDefault="001451B7" w:rsidP="001451B7">
      <w:pPr>
        <w:pStyle w:val="MemoBodyText"/>
      </w:pPr>
      <w:r>
        <w:t xml:space="preserve">  S</w:t>
      </w:r>
      <w:r w:rsidR="004D4E29">
        <w:t xml:space="preserve">imply because “less money [might be] paid to AEP Ohio” </w:t>
      </w:r>
      <w:r>
        <w:t>than AEP thinks it</w:t>
      </w:r>
      <w:r w:rsidR="009F5AF9">
        <w:t xml:space="preserve"> deserves</w:t>
      </w:r>
      <w:r>
        <w:t xml:space="preserve"> </w:t>
      </w:r>
      <w:r w:rsidR="004D4E29">
        <w:t xml:space="preserve">does not mean </w:t>
      </w:r>
      <w:r w:rsidR="009F5AF9">
        <w:t xml:space="preserve">that </w:t>
      </w:r>
      <w:r w:rsidR="004D4E29">
        <w:t>AEP is subsidizing anyone, particularly when the allegedly lost revenues are “associated with a rate that AEP Ohio has never been authorized to charge.”  (Stoddard Dir. 23.)  “</w:t>
      </w:r>
      <w:r w:rsidR="004D4E29" w:rsidRPr="006F735B">
        <w:t xml:space="preserve">AEP Ohio would not be subsidizing CRES providers by providing capacity below AEP Ohio’s purported </w:t>
      </w:r>
      <w:r w:rsidR="004D4E29">
        <w:t>‘</w:t>
      </w:r>
      <w:r w:rsidR="004D4E29" w:rsidRPr="006F735B">
        <w:t>costs</w:t>
      </w:r>
      <w:r w:rsidR="004D4E29">
        <w:t>’</w:t>
      </w:r>
      <w:r w:rsidR="004D4E29" w:rsidRPr="006F735B">
        <w:t xml:space="preserve"> because AEP Ohio is offering unreasonable and inaccurate estimates of the relevant costs.</w:t>
      </w:r>
      <w:r w:rsidR="004D4E29">
        <w:t>”  (Stoddard Dir. 45.)  U</w:t>
      </w:r>
      <w:r w:rsidR="00F119A9">
        <w:t>nlike AEP’s proposal, under RPM</w:t>
      </w:r>
      <w:r w:rsidR="004D4E29">
        <w:t xml:space="preserve"> there is no subsidy.</w:t>
      </w:r>
    </w:p>
    <w:p w14:paraId="5A115BFB" w14:textId="4D3FEFDE" w:rsidR="00361DE8" w:rsidRDefault="00A8797B" w:rsidP="00083612">
      <w:pPr>
        <w:pStyle w:val="MemoHeading4"/>
      </w:pPr>
      <w:bookmarkStart w:id="22" w:name="_Toc199392058"/>
      <w:r>
        <w:t>AEP</w:t>
      </w:r>
      <w:r w:rsidR="00F40C53">
        <w:t xml:space="preserve">’s proposal reflects a </w:t>
      </w:r>
      <w:r w:rsidR="004D4E29">
        <w:t xml:space="preserve">basic </w:t>
      </w:r>
      <w:r>
        <w:t xml:space="preserve">disregard of </w:t>
      </w:r>
      <w:r w:rsidR="00361DE8">
        <w:t xml:space="preserve">Ohio </w:t>
      </w:r>
      <w:r w:rsidR="00794443">
        <w:t>policy</w:t>
      </w:r>
      <w:r w:rsidR="00361DE8">
        <w:t>.</w:t>
      </w:r>
      <w:bookmarkEnd w:id="22"/>
    </w:p>
    <w:p w14:paraId="7942FACE" w14:textId="5CB72727" w:rsidR="00A8797B" w:rsidRDefault="00A8797B" w:rsidP="00361DE8">
      <w:pPr>
        <w:pStyle w:val="MemoBodyText"/>
      </w:pPr>
      <w:r>
        <w:t xml:space="preserve">At the end of the day, AEP’s fundamental problem is that it does not agree with Ohio policy. </w:t>
      </w:r>
      <w:r w:rsidR="004D4E29">
        <w:t xml:space="preserve"> </w:t>
      </w:r>
      <w:r>
        <w:t xml:space="preserve">AEP is </w:t>
      </w:r>
      <w:r w:rsidR="004D4E29">
        <w:t xml:space="preserve">certainly </w:t>
      </w:r>
      <w:r>
        <w:t xml:space="preserve">entitled to its views, but that means nothing here.  The Commission must follow Ohio’s policies.  </w:t>
      </w:r>
    </w:p>
    <w:p w14:paraId="6FC57BAD" w14:textId="352D9550" w:rsidR="00F40C53" w:rsidRDefault="00A8797B" w:rsidP="00F40C53">
      <w:pPr>
        <w:pStyle w:val="MemoBodyText"/>
      </w:pPr>
      <w:r>
        <w:t xml:space="preserve">Consider how the following comments show </w:t>
      </w:r>
      <w:r w:rsidR="004D4E29">
        <w:t xml:space="preserve">that </w:t>
      </w:r>
      <w:r>
        <w:t xml:space="preserve">AEP simply does not accept </w:t>
      </w:r>
      <w:r w:rsidR="00BD5952">
        <w:t>Ohio’s</w:t>
      </w:r>
      <w:r>
        <w:t xml:space="preserve"> policy choice of c</w:t>
      </w:r>
      <w:r w:rsidR="00F40C53">
        <w:t>ompetitive markets over regulated markets for generation.</w:t>
      </w:r>
      <w:r>
        <w:t xml:space="preserve"> </w:t>
      </w:r>
      <w:r w:rsidR="00F40C53">
        <w:t xml:space="preserve"> Perhaps most lucidly, AEP witness Graves stated that “fostering retail competition for its own sake, especially if success is measured in terms of [shopping] customers . . . , is not an appropriate or informative metric of economic benefit or efficiency.”  (Graves Dir. 13.)  But whether “fostering retail competition for its own sake” is </w:t>
      </w:r>
      <w:r w:rsidR="00787EF4">
        <w:t>“</w:t>
      </w:r>
      <w:r w:rsidR="00F40C53">
        <w:t>appropriate,</w:t>
      </w:r>
      <w:r w:rsidR="00787EF4">
        <w:t>”</w:t>
      </w:r>
      <w:r w:rsidR="00F40C53">
        <w:t xml:space="preserve"> </w:t>
      </w:r>
      <w:r w:rsidR="00787EF4">
        <w:t>or “</w:t>
      </w:r>
      <w:r w:rsidR="00F40C53">
        <w:t>informative,</w:t>
      </w:r>
      <w:r w:rsidR="00787EF4">
        <w:t>”</w:t>
      </w:r>
      <w:r w:rsidR="00F40C53">
        <w:t xml:space="preserve"> </w:t>
      </w:r>
      <w:r w:rsidR="00787EF4">
        <w:t xml:space="preserve">or </w:t>
      </w:r>
      <w:r w:rsidR="00F40C53">
        <w:t xml:space="preserve">wise, </w:t>
      </w:r>
      <w:r w:rsidR="00787EF4">
        <w:t xml:space="preserve">or </w:t>
      </w:r>
      <w:r w:rsidR="00F40C53">
        <w:t xml:space="preserve">foolish, or all or none of the above is not an issue in this case. </w:t>
      </w:r>
      <w:r w:rsidR="00787EF4">
        <w:t xml:space="preserve"> Chapter 4928 </w:t>
      </w:r>
      <w:r w:rsidR="00F119A9">
        <w:t xml:space="preserve">is </w:t>
      </w:r>
      <w:r w:rsidR="00787EF4">
        <w:t xml:space="preserve">on the books; </w:t>
      </w:r>
      <w:r w:rsidR="00F40C53">
        <w:t>the choice that retail competition is worth fostering has already been made.</w:t>
      </w:r>
    </w:p>
    <w:p w14:paraId="48733CDD" w14:textId="2D419461" w:rsidR="00A8797B" w:rsidRDefault="00F119A9" w:rsidP="00361DE8">
      <w:pPr>
        <w:pStyle w:val="MemoBodyText"/>
      </w:pPr>
      <w:r>
        <w:t>Nevertheless, a</w:t>
      </w:r>
      <w:r w:rsidR="00CB2A6F">
        <w:t>t</w:t>
      </w:r>
      <w:r w:rsidR="00F40C53" w:rsidRPr="00F40C53">
        <w:t xml:space="preserve"> </w:t>
      </w:r>
      <w:r w:rsidR="00F40C53">
        <w:t>hearing</w:t>
      </w:r>
      <w:r w:rsidR="00CB2A6F">
        <w:t xml:space="preserve"> AEP’s witnesses continued to try to debate the </w:t>
      </w:r>
      <w:r w:rsidR="00F40C53">
        <w:t xml:space="preserve">wisdom of Senate Bill 3.  For example, </w:t>
      </w:r>
      <w:r w:rsidR="00361DE8">
        <w:t>Mr. Munczinski testified that the Commission “should not be looking to use the short-term market auction prices at the expense of longer-term stability, reliability, and in</w:t>
      </w:r>
      <w:r w:rsidR="00A8797B">
        <w:t>vestment in generation.”  (Munczinski</w:t>
      </w:r>
      <w:r w:rsidR="00361DE8">
        <w:t xml:space="preserve"> Dir. 16.)  </w:t>
      </w:r>
      <w:r w:rsidR="00546665">
        <w:t>Likewise, witness Graves questioned whether “CRES providers would pass on the lower [capacity] costs to customers, rather than keep most of the savings for themselves.”  (Graves Dir. 10.)  He also questioned whether the market price would create the appropriate incentives to invest in reliability.  (</w:t>
      </w:r>
      <w:r w:rsidR="00546665">
        <w:rPr>
          <w:i/>
        </w:rPr>
        <w:t>Id</w:t>
      </w:r>
      <w:r w:rsidR="00546665">
        <w:t xml:space="preserve">. at 14–15.)   </w:t>
      </w:r>
      <w:r w:rsidR="00CB2A6F">
        <w:t>While questions of “</w:t>
      </w:r>
      <w:r w:rsidR="004D4E29">
        <w:t>competition</w:t>
      </w:r>
      <w:r w:rsidR="00546665">
        <w:t xml:space="preserve"> versus regulation</w:t>
      </w:r>
      <w:r w:rsidR="00F40C53">
        <w:t>?</w:t>
      </w:r>
      <w:r>
        <w:t>”</w:t>
      </w:r>
      <w:r w:rsidR="00F40C53">
        <w:t xml:space="preserve"> </w:t>
      </w:r>
      <w:r w:rsidR="00CB2A6F">
        <w:t>or “</w:t>
      </w:r>
      <w:r w:rsidR="00F40C53">
        <w:t>will markets work</w:t>
      </w:r>
      <w:r w:rsidR="00CB2A6F">
        <w:t xml:space="preserve">?” </w:t>
      </w:r>
      <w:r>
        <w:t xml:space="preserve">might make for an </w:t>
      </w:r>
      <w:r w:rsidR="00CB2A6F">
        <w:t>interesting</w:t>
      </w:r>
      <w:r w:rsidR="0053064B">
        <w:t xml:space="preserve"> theoretical debate</w:t>
      </w:r>
      <w:r w:rsidR="00CB2A6F">
        <w:t xml:space="preserve">, these questions </w:t>
      </w:r>
      <w:r w:rsidR="005F3454">
        <w:t>represent</w:t>
      </w:r>
      <w:r w:rsidR="00F40C53">
        <w:t xml:space="preserve"> </w:t>
      </w:r>
      <w:r w:rsidR="00A8797B" w:rsidRPr="00F40C53">
        <w:rPr>
          <w:i/>
        </w:rPr>
        <w:t xml:space="preserve">policy </w:t>
      </w:r>
      <w:r w:rsidR="00A8797B">
        <w:t>question</w:t>
      </w:r>
      <w:r w:rsidR="00F40C53">
        <w:t>s</w:t>
      </w:r>
      <w:r w:rsidR="00546665">
        <w:t xml:space="preserve"> </w:t>
      </w:r>
      <w:r w:rsidR="00F40C53">
        <w:t xml:space="preserve">that have </w:t>
      </w:r>
      <w:r w:rsidR="00CB2A6F">
        <w:t xml:space="preserve">already </w:t>
      </w:r>
      <w:r w:rsidR="00546665">
        <w:t>been settled</w:t>
      </w:r>
      <w:r w:rsidR="00391E88">
        <w:t xml:space="preserve"> by the Ohio legislature</w:t>
      </w:r>
      <w:r w:rsidR="00A8797B">
        <w:t xml:space="preserve">.  </w:t>
      </w:r>
    </w:p>
    <w:p w14:paraId="3A510CBC" w14:textId="2513769A" w:rsidR="00787EF4" w:rsidRDefault="00787EF4" w:rsidP="00361DE8">
      <w:pPr>
        <w:pStyle w:val="MemoBodyText"/>
      </w:pPr>
      <w:r>
        <w:t>Again, AEP witness Graves conceded that RPM would “undoubtedly increase the prevalence of retail providers in AEP Ohio’s service territory,” but he discounted this because of his belief that the market would not work: “if market prices increase materially, CRES providers will turn their former AEP Ohio customers back to AEP Ohio . . . .”  (Graves Dir. 8.)  Again, simple doubt in the markets is not a valid reason to choose AEP’s proposal—Ohio has chosen to use markets.</w:t>
      </w:r>
    </w:p>
    <w:p w14:paraId="0923DCBD" w14:textId="40B02C66" w:rsidR="00A8797B" w:rsidRDefault="00787EF4" w:rsidP="00361DE8">
      <w:pPr>
        <w:pStyle w:val="MemoBodyText"/>
      </w:pPr>
      <w:r>
        <w:t>Nor are timing questions immune from AEP’s policy revision.</w:t>
      </w:r>
      <w:r w:rsidR="00546665">
        <w:t xml:space="preserve"> </w:t>
      </w:r>
      <w:r>
        <w:t xml:space="preserve"> </w:t>
      </w:r>
      <w:r w:rsidR="00546665">
        <w:t xml:space="preserve">Mr. Munczinski stated, </w:t>
      </w:r>
      <w:r w:rsidR="00361DE8">
        <w:t>“</w:t>
      </w:r>
      <w:r w:rsidR="00361DE8" w:rsidRPr="00361DE8">
        <w:t>If the CRES providers want competition, we will be there after our contracts are finished June 1, 2015.</w:t>
      </w:r>
      <w:r w:rsidR="00361DE8">
        <w:t xml:space="preserve">”  (Tr. 136.)  </w:t>
      </w:r>
      <w:r>
        <w:t xml:space="preserve">Of course, </w:t>
      </w:r>
      <w:r w:rsidR="00546665" w:rsidRPr="00787EF4">
        <w:rPr>
          <w:i/>
        </w:rPr>
        <w:t xml:space="preserve">when </w:t>
      </w:r>
      <w:r w:rsidR="00546665">
        <w:t xml:space="preserve">competition </w:t>
      </w:r>
      <w:r w:rsidR="005F3454">
        <w:t xml:space="preserve">should </w:t>
      </w:r>
      <w:r w:rsidR="00546665">
        <w:t>begin</w:t>
      </w:r>
      <w:r>
        <w:t xml:space="preserve"> is another policy </w:t>
      </w:r>
      <w:r w:rsidR="00BD5952">
        <w:t>question</w:t>
      </w:r>
      <w:r>
        <w:t xml:space="preserve">, and </w:t>
      </w:r>
      <w:r w:rsidR="00BD5952">
        <w:t xml:space="preserve">once again, it </w:t>
      </w:r>
      <w:r>
        <w:t xml:space="preserve">is </w:t>
      </w:r>
      <w:r w:rsidR="00546665">
        <w:t>already settled.</w:t>
      </w:r>
      <w:r w:rsidR="00A8797B">
        <w:t xml:space="preserve"> </w:t>
      </w:r>
    </w:p>
    <w:p w14:paraId="01461605" w14:textId="25F17F69" w:rsidR="00546665" w:rsidRDefault="00546665" w:rsidP="00361DE8">
      <w:pPr>
        <w:pStyle w:val="MemoBodyText"/>
      </w:pPr>
      <w:r>
        <w:t xml:space="preserve">Mr. Munczinski </w:t>
      </w:r>
      <w:r w:rsidR="00787EF4">
        <w:t xml:space="preserve">also </w:t>
      </w:r>
      <w:r w:rsidR="00A8797B">
        <w:t xml:space="preserve">suggested that the policy has not been worth </w:t>
      </w:r>
      <w:r w:rsidR="00333C93">
        <w:t>the results</w:t>
      </w:r>
      <w:r w:rsidR="00A8797B">
        <w:t xml:space="preserve">: </w:t>
      </w:r>
      <w:r w:rsidR="00361DE8">
        <w:t>“</w:t>
      </w:r>
      <w:r w:rsidR="00361DE8" w:rsidRPr="00361DE8">
        <w:t>we</w:t>
      </w:r>
      <w:r w:rsidR="00333C93">
        <w:t>’</w:t>
      </w:r>
      <w:r w:rsidR="00361DE8" w:rsidRPr="00361DE8">
        <w:t>re doing all this shopping to reduce prices by 4 percent</w:t>
      </w:r>
      <w:r w:rsidR="00361DE8">
        <w:t>?”  (</w:t>
      </w:r>
      <w:r w:rsidR="00361DE8">
        <w:rPr>
          <w:i/>
        </w:rPr>
        <w:t>Id.</w:t>
      </w:r>
      <w:r w:rsidR="00361DE8">
        <w:t xml:space="preserve">)  </w:t>
      </w:r>
      <w:r w:rsidR="00787EF4">
        <w:t xml:space="preserve">But </w:t>
      </w:r>
      <w:r>
        <w:t xml:space="preserve">again, even assuming </w:t>
      </w:r>
      <w:r w:rsidR="00787EF4">
        <w:t xml:space="preserve">that </w:t>
      </w:r>
      <w:r>
        <w:t>he correctly described the benefits</w:t>
      </w:r>
      <w:r w:rsidR="004D4E29">
        <w:t xml:space="preserve">, and further assuming </w:t>
      </w:r>
      <w:r w:rsidR="00787EF4">
        <w:t xml:space="preserve">that </w:t>
      </w:r>
      <w:r w:rsidR="004D4E29">
        <w:t>he correctly weighed them</w:t>
      </w:r>
      <w:r>
        <w:t xml:space="preserve">, it is not </w:t>
      </w:r>
      <w:r w:rsidR="004D4E29">
        <w:t xml:space="preserve">for </w:t>
      </w:r>
      <w:r>
        <w:t xml:space="preserve">AEP or the Commission to </w:t>
      </w:r>
      <w:r w:rsidR="004D4E29">
        <w:t>sit in judgment on the wisdom of Ohio policy</w:t>
      </w:r>
      <w:r w:rsidR="00787EF4">
        <w:t>.</w:t>
      </w:r>
    </w:p>
    <w:p w14:paraId="341ED3C6" w14:textId="546BEE2D" w:rsidR="00EB3165" w:rsidRDefault="00787EF4" w:rsidP="00361DE8">
      <w:pPr>
        <w:pStyle w:val="MemoBodyText"/>
      </w:pPr>
      <w:r>
        <w:t xml:space="preserve">One could go on with examples, but the issue is the same.  Ohio has already made the policy choices relevant to this case.  </w:t>
      </w:r>
      <w:r w:rsidR="00EB3165">
        <w:t>AEP may not like</w:t>
      </w:r>
      <w:r w:rsidR="004D4E29">
        <w:t xml:space="preserve"> </w:t>
      </w:r>
      <w:r>
        <w:t>them, bu</w:t>
      </w:r>
      <w:r w:rsidR="004D4E29">
        <w:t>t t</w:t>
      </w:r>
      <w:r w:rsidR="00EB3165">
        <w:t xml:space="preserve">hat is of no consequence </w:t>
      </w:r>
      <w:r w:rsidR="00391E88">
        <w:t>in this proceeding.</w:t>
      </w:r>
      <w:r w:rsidR="00EB3165">
        <w:t xml:space="preserve">  </w:t>
      </w:r>
    </w:p>
    <w:p w14:paraId="4649D2C3" w14:textId="11C73BCB" w:rsidR="00FB2788" w:rsidRDefault="00E54640" w:rsidP="00E54640">
      <w:pPr>
        <w:pStyle w:val="MemoHeading2"/>
      </w:pPr>
      <w:bookmarkStart w:id="23" w:name="_Toc199392059"/>
      <w:r>
        <w:t>The choice in this case is clear</w:t>
      </w:r>
      <w:r w:rsidR="00EB3165">
        <w:t>: the Commission should select RPM pricing</w:t>
      </w:r>
      <w:r>
        <w:t>.</w:t>
      </w:r>
      <w:bookmarkEnd w:id="23"/>
    </w:p>
    <w:p w14:paraId="1E3CDB29" w14:textId="77777777" w:rsidR="004D4E29" w:rsidRDefault="004D4E29" w:rsidP="00E54640">
      <w:pPr>
        <w:pStyle w:val="MemoBodyText"/>
      </w:pPr>
      <w:r>
        <w:t xml:space="preserve">After hundreds of hours of review, the choice is clear.  The Commission should adopt RPM as the state compensation mechanism.  </w:t>
      </w:r>
    </w:p>
    <w:p w14:paraId="17CCCF5E" w14:textId="23A1CC6F" w:rsidR="00E54640" w:rsidRPr="00E54640" w:rsidRDefault="00900000" w:rsidP="00E54640">
      <w:pPr>
        <w:pStyle w:val="MemoBodyText"/>
      </w:pPr>
      <w:r>
        <w:t>The RPM method already exists</w:t>
      </w:r>
      <w:r w:rsidR="00425797">
        <w:t>, was neutrally created</w:t>
      </w:r>
      <w:r w:rsidR="006510CF">
        <w:t xml:space="preserve">, </w:t>
      </w:r>
      <w:r>
        <w:t xml:space="preserve">applies all over the region, </w:t>
      </w:r>
      <w:r w:rsidR="00425797">
        <w:t xml:space="preserve">is </w:t>
      </w:r>
      <w:r w:rsidR="006510CF">
        <w:t xml:space="preserve">market-based, </w:t>
      </w:r>
      <w:r w:rsidR="00CD00D5">
        <w:t xml:space="preserve">is </w:t>
      </w:r>
      <w:r w:rsidR="006510CF">
        <w:t>non-discriminatory</w:t>
      </w:r>
      <w:r w:rsidR="00CD00D5">
        <w:t>, and provide</w:t>
      </w:r>
      <w:r w:rsidR="00787EF4">
        <w:t>s</w:t>
      </w:r>
      <w:r w:rsidR="00CD00D5">
        <w:t xml:space="preserve"> the correct incentives to assure investment in generation</w:t>
      </w:r>
      <w:r w:rsidR="00425797">
        <w:t xml:space="preserve"> </w:t>
      </w:r>
      <w:r w:rsidR="00CD00D5">
        <w:t xml:space="preserve">resources.  The alternative </w:t>
      </w:r>
      <w:r>
        <w:t xml:space="preserve">method </w:t>
      </w:r>
      <w:r w:rsidR="00CD00D5">
        <w:t xml:space="preserve">was devised </w:t>
      </w:r>
      <w:r w:rsidR="00425797" w:rsidRPr="00900000">
        <w:rPr>
          <w:i/>
        </w:rPr>
        <w:t>by the payee</w:t>
      </w:r>
      <w:r w:rsidR="00CD00D5">
        <w:t>,</w:t>
      </w:r>
      <w:r w:rsidR="00425797" w:rsidRPr="00CD00D5">
        <w:t xml:space="preserve"> </w:t>
      </w:r>
      <w:r w:rsidR="00425797">
        <w:t>for this case</w:t>
      </w:r>
      <w:r w:rsidR="00CD00D5">
        <w:t xml:space="preserve"> and this case only</w:t>
      </w:r>
      <w:r w:rsidR="00425797">
        <w:t xml:space="preserve">, </w:t>
      </w:r>
      <w:r w:rsidR="001D0E97">
        <w:t xml:space="preserve">returns </w:t>
      </w:r>
      <w:r w:rsidR="00EB3165">
        <w:t xml:space="preserve">Ohio </w:t>
      </w:r>
      <w:r w:rsidR="001D0E97">
        <w:t xml:space="preserve">to </w:t>
      </w:r>
      <w:r w:rsidR="00CD00D5">
        <w:t xml:space="preserve">a </w:t>
      </w:r>
      <w:r w:rsidR="00425797">
        <w:t>cost</w:t>
      </w:r>
      <w:r w:rsidR="001D0E97">
        <w:t>-ba</w:t>
      </w:r>
      <w:r w:rsidR="00CD00D5">
        <w:t>sed-</w:t>
      </w:r>
      <w:r w:rsidR="001D0E97">
        <w:t>generation</w:t>
      </w:r>
      <w:r w:rsidR="00CD00D5">
        <w:t xml:space="preserve"> regulatory regime</w:t>
      </w:r>
      <w:r w:rsidR="001D0E97">
        <w:t xml:space="preserve">, </w:t>
      </w:r>
      <w:r w:rsidR="00CD00D5">
        <w:t xml:space="preserve">shows no relationship to short- or long-term generation adequacy, </w:t>
      </w:r>
      <w:r w:rsidR="001D0E97">
        <w:t xml:space="preserve">and </w:t>
      </w:r>
      <w:r w:rsidR="00CD00D5">
        <w:t xml:space="preserve">could nip competition in the bud.  </w:t>
      </w:r>
      <w:r w:rsidR="000002A9">
        <w:t>AEP’s own witness agreed “</w:t>
      </w:r>
      <w:r w:rsidR="000002A9" w:rsidRPr="000002A9">
        <w:t>it would be improper for AEP Ohio to</w:t>
      </w:r>
      <w:r w:rsidR="000002A9">
        <w:t xml:space="preserve"> </w:t>
      </w:r>
      <w:r w:rsidR="000002A9" w:rsidRPr="000002A9">
        <w:t>switch off opportunistically between the higher of</w:t>
      </w:r>
      <w:r w:rsidR="000002A9">
        <w:t xml:space="preserve"> </w:t>
      </w:r>
      <w:r w:rsidR="000002A9" w:rsidRPr="000002A9">
        <w:t>RPM-based prices and embedded cost prices</w:t>
      </w:r>
      <w:r w:rsidR="000002A9">
        <w:t>”</w:t>
      </w:r>
      <w:r w:rsidR="00787EF4">
        <w:t xml:space="preserve"> (Tr. 868),</w:t>
      </w:r>
      <w:r w:rsidR="000002A9">
        <w:t xml:space="preserve"> but that is exactly what </w:t>
      </w:r>
      <w:r w:rsidR="00BD5952">
        <w:t xml:space="preserve">it is </w:t>
      </w:r>
      <w:r w:rsidR="000002A9">
        <w:t xml:space="preserve">attempting to do.  </w:t>
      </w:r>
      <w:r>
        <w:t xml:space="preserve">The only thing </w:t>
      </w:r>
      <w:r w:rsidR="000002A9">
        <w:t xml:space="preserve">AEP’s </w:t>
      </w:r>
      <w:r>
        <w:t xml:space="preserve">method is good for is reaping </w:t>
      </w:r>
      <w:r w:rsidR="00BD5952">
        <w:t>m</w:t>
      </w:r>
      <w:r>
        <w:t>illions for AEP</w:t>
      </w:r>
      <w:r w:rsidR="004D4E29">
        <w:t xml:space="preserve"> and </w:t>
      </w:r>
      <w:r w:rsidR="00787EF4">
        <w:t xml:space="preserve">a </w:t>
      </w:r>
      <w:r w:rsidR="004D4E29">
        <w:t>12.2% return on equity</w:t>
      </w:r>
      <w:r>
        <w:t xml:space="preserve">. </w:t>
      </w:r>
      <w:r w:rsidR="004D4E29">
        <w:t xml:space="preserve"> </w:t>
      </w:r>
      <w:r w:rsidR="00787EF4">
        <w:t>While t</w:t>
      </w:r>
      <w:r>
        <w:t xml:space="preserve">hat might </w:t>
      </w:r>
      <w:r w:rsidR="000002A9">
        <w:t xml:space="preserve">work </w:t>
      </w:r>
      <w:r>
        <w:t xml:space="preserve">for AEP, it is not good enough for Ohio.  </w:t>
      </w:r>
    </w:p>
    <w:p w14:paraId="2594F4D2" w14:textId="77777777" w:rsidR="004D4E29" w:rsidRDefault="008F3336" w:rsidP="00EB3165">
      <w:pPr>
        <w:pStyle w:val="MemoBodyText"/>
      </w:pPr>
      <w:r>
        <w:t>T</w:t>
      </w:r>
      <w:r w:rsidR="006059FE">
        <w:t xml:space="preserve">he right answer is </w:t>
      </w:r>
      <w:r w:rsidR="004D4E29">
        <w:t xml:space="preserve">frequently </w:t>
      </w:r>
      <w:r>
        <w:t xml:space="preserve">the </w:t>
      </w:r>
      <w:r w:rsidR="00EB3165">
        <w:t>simple one.  Here, the answer is RPM.  The Commission should adopt it.</w:t>
      </w:r>
    </w:p>
    <w:p w14:paraId="119DA220" w14:textId="77777777" w:rsidR="004D4E29" w:rsidRDefault="004D4E29" w:rsidP="004D4E29">
      <w:pPr>
        <w:pStyle w:val="MemoHeading1"/>
      </w:pPr>
      <w:bookmarkStart w:id="24" w:name="_Toc199392060"/>
      <w:r>
        <w:t>Conclusion</w:t>
      </w:r>
      <w:bookmarkEnd w:id="24"/>
    </w:p>
    <w:p w14:paraId="248E77D2" w14:textId="5A3517EC" w:rsidR="00EB3165" w:rsidRDefault="004D4E29" w:rsidP="004D4E29">
      <w:pPr>
        <w:pStyle w:val="MemoBodyText"/>
      </w:pPr>
      <w:r>
        <w:t>For the foregoing reasons, the Commission should adopt RPM pricing as Ohio’s compensation mechanism.</w:t>
      </w:r>
    </w:p>
    <w:p w14:paraId="7B6DC727" w14:textId="6667B1D7" w:rsidR="003B3320" w:rsidRPr="0032154A" w:rsidRDefault="003B3320" w:rsidP="003B3320">
      <w:pPr>
        <w:tabs>
          <w:tab w:val="left" w:pos="5040"/>
        </w:tabs>
        <w:rPr>
          <w:rFonts w:ascii="Times New Roman" w:hAnsi="Times New Roman" w:cs="Times New Roman"/>
        </w:rPr>
      </w:pPr>
      <w:r>
        <w:rPr>
          <w:rFonts w:ascii="Times New Roman" w:hAnsi="Times New Roman" w:cs="Times New Roman"/>
        </w:rPr>
        <w:t>Dated:  May 23, 2012</w:t>
      </w:r>
      <w:r>
        <w:rPr>
          <w:rFonts w:ascii="Times New Roman" w:hAnsi="Times New Roman" w:cs="Times New Roman"/>
        </w:rPr>
        <w:tab/>
        <w:t>Respectfully submitted,</w:t>
      </w:r>
    </w:p>
    <w:p w14:paraId="2B5942AC" w14:textId="77777777" w:rsidR="003B3320" w:rsidRPr="0032154A" w:rsidRDefault="003B3320" w:rsidP="003B3320">
      <w:pPr>
        <w:ind w:left="5040"/>
        <w:rPr>
          <w:rFonts w:ascii="Times New Roman" w:hAnsi="Times New Roman" w:cs="Times New Roman"/>
        </w:rPr>
      </w:pPr>
    </w:p>
    <w:p w14:paraId="1A5F9B26" w14:textId="5099EB38" w:rsidR="003B3320" w:rsidRPr="0032154A" w:rsidRDefault="003B3320" w:rsidP="003B3320">
      <w:pPr>
        <w:ind w:left="5040"/>
        <w:rPr>
          <w:rFonts w:ascii="Times New Roman" w:hAnsi="Times New Roman" w:cs="Times New Roman"/>
        </w:rPr>
      </w:pPr>
      <w:r>
        <w:rPr>
          <w:rFonts w:ascii="Times New Roman" w:hAnsi="Times New Roman" w:cs="Times New Roman"/>
          <w:u w:val="single"/>
        </w:rPr>
        <w:t>/s/ Mark A. Whitt</w:t>
      </w:r>
      <w:r>
        <w:rPr>
          <w:rFonts w:ascii="Times New Roman" w:hAnsi="Times New Roman" w:cs="Times New Roman"/>
          <w:u w:val="single"/>
        </w:rPr>
        <w:tab/>
      </w:r>
      <w:r w:rsidRPr="0032154A">
        <w:rPr>
          <w:rFonts w:ascii="Times New Roman" w:hAnsi="Times New Roman" w:cs="Times New Roman"/>
          <w:u w:val="single"/>
        </w:rPr>
        <w:tab/>
      </w:r>
      <w:r w:rsidRPr="0032154A">
        <w:rPr>
          <w:rFonts w:ascii="Times New Roman" w:hAnsi="Times New Roman" w:cs="Times New Roman"/>
          <w:u w:val="single"/>
        </w:rPr>
        <w:tab/>
      </w:r>
      <w:r w:rsidRPr="0032154A">
        <w:rPr>
          <w:rFonts w:ascii="Times New Roman" w:hAnsi="Times New Roman" w:cs="Times New Roman"/>
          <w:u w:val="single"/>
        </w:rPr>
        <w:tab/>
      </w:r>
    </w:p>
    <w:p w14:paraId="60CFD266" w14:textId="77777777" w:rsidR="003B3320" w:rsidRDefault="003B3320" w:rsidP="003B3320">
      <w:pPr>
        <w:ind w:left="5040"/>
        <w:rPr>
          <w:rFonts w:ascii="Times New Roman" w:hAnsi="Times New Roman" w:cs="Times New Roman"/>
        </w:rPr>
      </w:pPr>
      <w:r>
        <w:rPr>
          <w:rFonts w:ascii="Times New Roman" w:hAnsi="Times New Roman" w:cs="Times New Roman"/>
        </w:rPr>
        <w:t>Mark A. Whitt (Counsel of Record)</w:t>
      </w:r>
    </w:p>
    <w:p w14:paraId="1FC78BD7" w14:textId="77777777" w:rsidR="003B3320" w:rsidRDefault="003B3320" w:rsidP="003B3320">
      <w:pPr>
        <w:ind w:left="5040"/>
        <w:rPr>
          <w:rFonts w:ascii="Times New Roman" w:hAnsi="Times New Roman" w:cs="Times New Roman"/>
        </w:rPr>
      </w:pPr>
      <w:r>
        <w:rPr>
          <w:rFonts w:ascii="Times New Roman" w:hAnsi="Times New Roman" w:cs="Times New Roman"/>
        </w:rPr>
        <w:t>Andrew J. Campbell</w:t>
      </w:r>
    </w:p>
    <w:p w14:paraId="454C8974" w14:textId="77777777" w:rsidR="003B3320" w:rsidRDefault="003B3320" w:rsidP="003B3320">
      <w:pPr>
        <w:ind w:left="5040"/>
        <w:rPr>
          <w:rFonts w:ascii="Times New Roman" w:hAnsi="Times New Roman" w:cs="Times New Roman"/>
        </w:rPr>
      </w:pPr>
      <w:r>
        <w:rPr>
          <w:rFonts w:ascii="Times New Roman" w:hAnsi="Times New Roman" w:cs="Times New Roman"/>
        </w:rPr>
        <w:t>Melissa L. Thompson</w:t>
      </w:r>
    </w:p>
    <w:p w14:paraId="2441F285" w14:textId="77777777" w:rsidR="003B3320" w:rsidRDefault="003B3320" w:rsidP="003B3320">
      <w:pPr>
        <w:ind w:left="5040"/>
        <w:rPr>
          <w:rFonts w:ascii="Times New Roman" w:hAnsi="Times New Roman" w:cs="Times New Roman"/>
        </w:rPr>
      </w:pPr>
      <w:r>
        <w:rPr>
          <w:rFonts w:ascii="Times New Roman" w:hAnsi="Times New Roman" w:cs="Times New Roman"/>
        </w:rPr>
        <w:t>WHITT STURTEVANT LLP</w:t>
      </w:r>
    </w:p>
    <w:p w14:paraId="1101A7D2" w14:textId="77777777" w:rsidR="003B3320" w:rsidRDefault="003B3320" w:rsidP="003B3320">
      <w:pPr>
        <w:ind w:left="5040"/>
        <w:rPr>
          <w:rFonts w:ascii="Times New Roman" w:hAnsi="Times New Roman" w:cs="Times New Roman"/>
        </w:rPr>
      </w:pPr>
      <w:r>
        <w:rPr>
          <w:rFonts w:ascii="Times New Roman" w:hAnsi="Times New Roman" w:cs="Times New Roman"/>
        </w:rPr>
        <w:t>PNC Plaza, Suite 2020</w:t>
      </w:r>
    </w:p>
    <w:p w14:paraId="078FCC0E" w14:textId="77777777" w:rsidR="003B3320" w:rsidRDefault="003B3320" w:rsidP="003B3320">
      <w:pPr>
        <w:ind w:left="5040"/>
        <w:rPr>
          <w:rFonts w:ascii="Times New Roman" w:hAnsi="Times New Roman" w:cs="Times New Roman"/>
        </w:rPr>
      </w:pPr>
      <w:r>
        <w:rPr>
          <w:rFonts w:ascii="Times New Roman" w:hAnsi="Times New Roman" w:cs="Times New Roman"/>
        </w:rPr>
        <w:t>155 East Broad Street</w:t>
      </w:r>
    </w:p>
    <w:p w14:paraId="3293E15F" w14:textId="77777777" w:rsidR="003B3320" w:rsidRDefault="003B3320" w:rsidP="003B3320">
      <w:pPr>
        <w:ind w:left="5040"/>
        <w:rPr>
          <w:rFonts w:ascii="Times New Roman" w:hAnsi="Times New Roman" w:cs="Times New Roman"/>
        </w:rPr>
      </w:pPr>
      <w:r>
        <w:rPr>
          <w:rFonts w:ascii="Times New Roman" w:hAnsi="Times New Roman" w:cs="Times New Roman"/>
        </w:rPr>
        <w:t>Columbus, Ohio 43215</w:t>
      </w:r>
    </w:p>
    <w:p w14:paraId="6E39BA66" w14:textId="77777777" w:rsidR="003B3320" w:rsidRDefault="003B3320" w:rsidP="003B3320">
      <w:pPr>
        <w:ind w:left="5040"/>
        <w:rPr>
          <w:rFonts w:ascii="Times New Roman" w:hAnsi="Times New Roman" w:cs="Times New Roman"/>
        </w:rPr>
      </w:pPr>
      <w:r>
        <w:rPr>
          <w:rFonts w:ascii="Times New Roman" w:hAnsi="Times New Roman" w:cs="Times New Roman"/>
        </w:rPr>
        <w:t>Telephone: (614) 224-3911</w:t>
      </w:r>
    </w:p>
    <w:p w14:paraId="37B0C06F" w14:textId="77777777" w:rsidR="003B3320" w:rsidRDefault="003B3320" w:rsidP="003B3320">
      <w:pPr>
        <w:ind w:left="5040"/>
        <w:rPr>
          <w:rFonts w:ascii="Times New Roman" w:hAnsi="Times New Roman" w:cs="Times New Roman"/>
        </w:rPr>
      </w:pPr>
      <w:r>
        <w:rPr>
          <w:rFonts w:ascii="Times New Roman" w:hAnsi="Times New Roman" w:cs="Times New Roman"/>
        </w:rPr>
        <w:t>Facsimile:  (614) 224-3960</w:t>
      </w:r>
    </w:p>
    <w:p w14:paraId="12D33306" w14:textId="77777777" w:rsidR="003B3320" w:rsidRDefault="003B3320" w:rsidP="003B3320">
      <w:pPr>
        <w:ind w:left="5040"/>
        <w:rPr>
          <w:rFonts w:ascii="Times New Roman" w:hAnsi="Times New Roman" w:cs="Times New Roman"/>
        </w:rPr>
      </w:pPr>
      <w:r>
        <w:rPr>
          <w:rFonts w:ascii="Times New Roman" w:hAnsi="Times New Roman" w:cs="Times New Roman"/>
        </w:rPr>
        <w:t>whitt@whitt-sturtevant.com</w:t>
      </w:r>
    </w:p>
    <w:p w14:paraId="4B5938B5" w14:textId="77777777" w:rsidR="003B3320" w:rsidRDefault="003B3320" w:rsidP="003B3320">
      <w:pPr>
        <w:ind w:left="5040"/>
        <w:rPr>
          <w:rFonts w:ascii="Times New Roman" w:hAnsi="Times New Roman" w:cs="Times New Roman"/>
        </w:rPr>
      </w:pPr>
      <w:r>
        <w:rPr>
          <w:rFonts w:ascii="Times New Roman" w:hAnsi="Times New Roman" w:cs="Times New Roman"/>
        </w:rPr>
        <w:t>campbell@whitt-sturtevant.com</w:t>
      </w:r>
    </w:p>
    <w:p w14:paraId="38E15531" w14:textId="0D06A51E" w:rsidR="003B3320" w:rsidRDefault="003B3320" w:rsidP="003B3320">
      <w:pPr>
        <w:ind w:left="5040"/>
        <w:rPr>
          <w:rFonts w:ascii="Times New Roman" w:hAnsi="Times New Roman" w:cs="Times New Roman"/>
        </w:rPr>
      </w:pPr>
      <w:r w:rsidRPr="003B3320">
        <w:rPr>
          <w:rFonts w:ascii="Times New Roman" w:hAnsi="Times New Roman" w:cs="Times New Roman"/>
        </w:rPr>
        <w:t>thompson@whitt-sturtevant.com</w:t>
      </w:r>
    </w:p>
    <w:p w14:paraId="27EEA167" w14:textId="77777777" w:rsidR="003B3320" w:rsidRDefault="003B3320" w:rsidP="003B3320">
      <w:pPr>
        <w:ind w:left="5040"/>
        <w:rPr>
          <w:rFonts w:ascii="Times New Roman" w:hAnsi="Times New Roman" w:cs="Times New Roman"/>
        </w:rPr>
      </w:pPr>
    </w:p>
    <w:p w14:paraId="29A26A1B"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Vincent Parisi</w:t>
      </w:r>
    </w:p>
    <w:p w14:paraId="56CD487A"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Matthew White</w:t>
      </w:r>
    </w:p>
    <w:p w14:paraId="1C6252C7"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Interstate Gas Supply, Inc.</w:t>
      </w:r>
    </w:p>
    <w:p w14:paraId="030E69B3"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6100 Emerald Parkway</w:t>
      </w:r>
    </w:p>
    <w:p w14:paraId="5AF99D7D"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Dublin, Ohio 43016</w:t>
      </w:r>
    </w:p>
    <w:p w14:paraId="351BBDB9"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Telephone:  (614) 659-5000</w:t>
      </w:r>
    </w:p>
    <w:p w14:paraId="044A2F9D"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Facsimile:   (614) 659-5073</w:t>
      </w:r>
    </w:p>
    <w:p w14:paraId="2D113F80"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vparisi@igsenergy.com</w:t>
      </w:r>
    </w:p>
    <w:p w14:paraId="09BDE473" w14:textId="77777777" w:rsidR="003B3320" w:rsidRPr="003B3320" w:rsidRDefault="003B3320" w:rsidP="003B3320">
      <w:pPr>
        <w:ind w:left="5040"/>
        <w:rPr>
          <w:rFonts w:ascii="Times New Roman" w:hAnsi="Times New Roman" w:cs="Times New Roman"/>
        </w:rPr>
      </w:pPr>
      <w:r w:rsidRPr="003B3320">
        <w:rPr>
          <w:rFonts w:ascii="Times New Roman" w:hAnsi="Times New Roman" w:cs="Times New Roman"/>
        </w:rPr>
        <w:t>mswhite@igsenergy.com</w:t>
      </w:r>
    </w:p>
    <w:p w14:paraId="54F1C62D" w14:textId="77777777" w:rsidR="003B3320" w:rsidRPr="003B3320" w:rsidRDefault="003B3320" w:rsidP="003B3320">
      <w:pPr>
        <w:ind w:left="5040"/>
        <w:rPr>
          <w:rFonts w:ascii="Times New Roman" w:hAnsi="Times New Roman" w:cs="Times New Roman"/>
        </w:rPr>
      </w:pPr>
    </w:p>
    <w:p w14:paraId="5D96AFF8" w14:textId="77777777" w:rsidR="003B3320" w:rsidRDefault="003B3320" w:rsidP="003B3320">
      <w:pPr>
        <w:ind w:left="5040"/>
        <w:rPr>
          <w:rFonts w:ascii="Times New Roman" w:hAnsi="Times New Roman" w:cs="Times New Roman"/>
        </w:rPr>
      </w:pPr>
      <w:r>
        <w:rPr>
          <w:rFonts w:ascii="Times New Roman" w:hAnsi="Times New Roman" w:cs="Times New Roman"/>
        </w:rPr>
        <w:t>ATTORNEYS FOR INTERSTATE GAS SUPPLY, INC.</w:t>
      </w:r>
    </w:p>
    <w:p w14:paraId="78E99D4C" w14:textId="77777777" w:rsidR="003B3320" w:rsidRDefault="003B3320" w:rsidP="003B3320">
      <w:pPr>
        <w:ind w:left="5040"/>
        <w:rPr>
          <w:rFonts w:ascii="Times New Roman" w:hAnsi="Times New Roman" w:cs="Times New Roman"/>
        </w:rPr>
        <w:sectPr w:rsidR="003B3320" w:rsidSect="00C97659">
          <w:footerReference w:type="default" r:id="rId13"/>
          <w:pgSz w:w="12240" w:h="15840"/>
          <w:pgMar w:top="1440" w:right="1440" w:bottom="1440" w:left="1440" w:header="720" w:footer="864" w:gutter="0"/>
          <w:pgNumType w:start="1"/>
          <w:cols w:space="720"/>
          <w:titlePg/>
          <w:docGrid w:linePitch="360"/>
        </w:sectPr>
      </w:pPr>
    </w:p>
    <w:p w14:paraId="35447581" w14:textId="77777777" w:rsidR="003B3320" w:rsidRDefault="003B3320" w:rsidP="003B3320">
      <w:pPr>
        <w:jc w:val="center"/>
        <w:rPr>
          <w:rFonts w:ascii="Times New Roman" w:hAnsi="Times New Roman" w:cs="Times New Roman"/>
        </w:rPr>
      </w:pPr>
      <w:r>
        <w:rPr>
          <w:rFonts w:ascii="Times New Roman" w:hAnsi="Times New Roman" w:cs="Times New Roman"/>
          <w:b/>
          <w:u w:val="single"/>
        </w:rPr>
        <w:t>CERTIFICATE OF SERVICE</w:t>
      </w:r>
    </w:p>
    <w:p w14:paraId="1E5CAA4F" w14:textId="77777777" w:rsidR="003B3320" w:rsidRDefault="003B3320" w:rsidP="003B3320">
      <w:pPr>
        <w:jc w:val="center"/>
        <w:rPr>
          <w:rFonts w:ascii="Times New Roman" w:hAnsi="Times New Roman" w:cs="Times New Roman"/>
        </w:rPr>
      </w:pPr>
    </w:p>
    <w:p w14:paraId="63FE675F" w14:textId="0282F5DC" w:rsidR="003B3320" w:rsidRDefault="003B3320" w:rsidP="003B3320">
      <w:pPr>
        <w:spacing w:line="480" w:lineRule="auto"/>
        <w:rPr>
          <w:rFonts w:ascii="Times New Roman" w:hAnsi="Times New Roman" w:cs="Times New Roman"/>
        </w:rPr>
      </w:pPr>
      <w:r>
        <w:rPr>
          <w:rFonts w:ascii="Times New Roman" w:hAnsi="Times New Roman" w:cs="Times New Roman"/>
        </w:rPr>
        <w:tab/>
        <w:t xml:space="preserve">I hereby certify that a copy of IGS’s Post-Hearing Brief was served by electronic mail this 23rd day of May, 2012 </w:t>
      </w:r>
      <w:r w:rsidRPr="00C56BDD">
        <w:rPr>
          <w:rFonts w:ascii="Times New Roman" w:hAnsi="Times New Roman" w:cs="Times New Roman"/>
        </w:rPr>
        <w:t>to</w:t>
      </w:r>
      <w:r>
        <w:rPr>
          <w:rFonts w:ascii="Times New Roman" w:hAnsi="Times New Roman" w:cs="Times New Roman"/>
        </w:rPr>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3454" w14:paraId="461BC7E7" w14:textId="77777777" w:rsidTr="005F3454">
        <w:tc>
          <w:tcPr>
            <w:tcW w:w="4788" w:type="dxa"/>
          </w:tcPr>
          <w:p w14:paraId="063C14B6"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greta.see@puc.state.oh.us</w:t>
            </w:r>
          </w:p>
          <w:p w14:paraId="49F34B9B"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Sarah.Parrot@puc.state.oh.us</w:t>
            </w:r>
          </w:p>
          <w:p w14:paraId="15A849B6"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aehaedt@jonesday.com</w:t>
            </w:r>
          </w:p>
          <w:p w14:paraId="74207AC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Amy.Spiller@duke-energy.com</w:t>
            </w:r>
          </w:p>
          <w:p w14:paraId="1D12C57D"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asim.haque@icemiller.com</w:t>
            </w:r>
          </w:p>
          <w:p w14:paraId="742F11DE"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BarthRoyer@aol.com</w:t>
            </w:r>
          </w:p>
          <w:p w14:paraId="4CCD5A19"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teven.beeler@puc.state.oh.us</w:t>
            </w:r>
          </w:p>
          <w:p w14:paraId="7D065303"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dboehm@BKLlawfirm.com</w:t>
            </w:r>
          </w:p>
          <w:p w14:paraId="76AB8370"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bpbarger@bcslawyers.com</w:t>
            </w:r>
          </w:p>
          <w:p w14:paraId="2CDE4884"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cendsley@ofbf.org</w:t>
            </w:r>
          </w:p>
          <w:p w14:paraId="6690A7E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christopher.miller@icemiller.com</w:t>
            </w:r>
          </w:p>
          <w:p w14:paraId="5686FCDF"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Dan.Johnson@puc.state.oh.us</w:t>
            </w:r>
          </w:p>
          <w:p w14:paraId="139FE5AF"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dane.stinson@baileycavalieri.com</w:t>
            </w:r>
          </w:p>
          <w:p w14:paraId="783B28E9"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dakutik@jonesday.com</w:t>
            </w:r>
          </w:p>
          <w:p w14:paraId="109D77A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dryan@mwncmh.com</w:t>
            </w:r>
          </w:p>
          <w:p w14:paraId="0403B84E"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 xml:space="preserve">Dorothy.Corbett@duke-energy.com </w:t>
            </w:r>
          </w:p>
          <w:p w14:paraId="1DC24721"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etter@occ.state.oh.us</w:t>
            </w:r>
          </w:p>
          <w:p w14:paraId="412F78B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fdarr@mwncmh.com</w:t>
            </w:r>
          </w:p>
          <w:p w14:paraId="553688AD"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gwgarber@jonesday.com</w:t>
            </w:r>
          </w:p>
          <w:p w14:paraId="28263548"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Gary.A.Jeffries@dom.com</w:t>
            </w:r>
          </w:p>
          <w:p w14:paraId="5CD6DC3A"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GRADY@occ.state.oh.us</w:t>
            </w:r>
          </w:p>
          <w:p w14:paraId="39CB8B71"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gregory.dunn@icemiller.com</w:t>
            </w:r>
          </w:p>
          <w:p w14:paraId="50B136E1"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emma.hand@snrdenton.com</w:t>
            </w:r>
          </w:p>
          <w:p w14:paraId="399344D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haydenm@firstenergycorp.com</w:t>
            </w:r>
          </w:p>
          <w:p w14:paraId="61C56DB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Hisham.Choueiki@puc.state.oh.us</w:t>
            </w:r>
          </w:p>
          <w:p w14:paraId="6E0EA506"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smhoward@vorys.com</w:t>
            </w:r>
          </w:p>
          <w:p w14:paraId="42DDC314"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jlang@calfee.com</w:t>
            </w:r>
          </w:p>
          <w:p w14:paraId="50919F52"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Jeanne.Kingery@duke-energy.com</w:t>
            </w:r>
          </w:p>
          <w:p w14:paraId="7D99EA72"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bowser@mwncmh.com</w:t>
            </w:r>
          </w:p>
          <w:p w14:paraId="14C41991"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joliker@mwncmh.com</w:t>
            </w:r>
          </w:p>
          <w:p w14:paraId="421596C8"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 xml:space="preserve">John.Estes@skadden.com </w:t>
            </w:r>
          </w:p>
          <w:p w14:paraId="51465EF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kbowman@mwncmh.com</w:t>
            </w:r>
          </w:p>
          <w:p w14:paraId="13B5B0DA"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murraykm@mwncmh.com</w:t>
            </w:r>
          </w:p>
          <w:p w14:paraId="3C4E587D"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Kim.Wissman@puc.state.oh.us</w:t>
            </w:r>
          </w:p>
          <w:p w14:paraId="24A57D37"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lmcbride@calfee.com</w:t>
            </w:r>
          </w:p>
          <w:p w14:paraId="7BC17D98" w14:textId="77777777" w:rsidR="005F3454" w:rsidRPr="00C4444F" w:rsidRDefault="005F3454" w:rsidP="005F3454">
            <w:pPr>
              <w:rPr>
                <w:rFonts w:ascii="Times New Roman" w:hAnsi="Times New Roman" w:cs="Times New Roman"/>
              </w:rPr>
            </w:pPr>
          </w:p>
        </w:tc>
        <w:tc>
          <w:tcPr>
            <w:tcW w:w="4788" w:type="dxa"/>
          </w:tcPr>
          <w:p w14:paraId="48FC2F86"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lkalepsclark@vorys.com</w:t>
            </w:r>
          </w:p>
          <w:p w14:paraId="0DB7F289"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whitt@whitt-sturtevant.com</w:t>
            </w:r>
          </w:p>
          <w:p w14:paraId="64E036DA"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myurick@taftlaw.com</w:t>
            </w:r>
          </w:p>
          <w:p w14:paraId="08A5352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jmaskovyak@ohiopovertylaw.org</w:t>
            </w:r>
          </w:p>
          <w:p w14:paraId="44F582A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mjsatterwhite@aep.com</w:t>
            </w:r>
          </w:p>
          <w:p w14:paraId="19A1CD7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mpritchard@mwncmh.com</w:t>
            </w:r>
          </w:p>
          <w:p w14:paraId="6F54C3D8"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mswhite@igsenergy.com</w:t>
            </w:r>
          </w:p>
          <w:p w14:paraId="21EA1F58"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lmcalister@bricker.com</w:t>
            </w:r>
          </w:p>
          <w:p w14:paraId="2DC13FC6"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mkurtz@bkllawfirm.com</w:t>
            </w:r>
          </w:p>
          <w:p w14:paraId="69B8495F"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talexander@calfee.com</w:t>
            </w:r>
          </w:p>
          <w:p w14:paraId="5DE3B56D"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stnourse@aep.com</w:t>
            </w:r>
          </w:p>
          <w:p w14:paraId="03B3F05E"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Paul.Wight@skadden.com</w:t>
            </w:r>
          </w:p>
          <w:p w14:paraId="2918EA7E"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mhpetricoff@vorys.com</w:t>
            </w:r>
          </w:p>
          <w:p w14:paraId="3BE89AE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ricks@ohanet.org</w:t>
            </w:r>
          </w:p>
          <w:p w14:paraId="658C1D95"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drinebolt@ohiopartners.org</w:t>
            </w:r>
          </w:p>
          <w:p w14:paraId="4B57D2C4"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rsugarman@keglerbrown.com</w:t>
            </w:r>
          </w:p>
          <w:p w14:paraId="033D89CA"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sam@mwncmh.com</w:t>
            </w:r>
          </w:p>
          <w:p w14:paraId="6ADBC307"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sandy.grace@exeloncorp.com</w:t>
            </w:r>
          </w:p>
          <w:p w14:paraId="0BD5C9AD"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selisar@mwncmh.com</w:t>
            </w:r>
          </w:p>
          <w:p w14:paraId="23A6AC12"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small@occ.state.oh.us</w:t>
            </w:r>
          </w:p>
          <w:p w14:paraId="4C23E72F"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msmalz@ohiopovertylaw.org</w:t>
            </w:r>
          </w:p>
          <w:p w14:paraId="1868DC34"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 xml:space="preserve">tobrien@bricker.com&gt;; </w:t>
            </w:r>
          </w:p>
          <w:p w14:paraId="09D48079"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VLeach-Payne@mwncmh.com</w:t>
            </w:r>
          </w:p>
          <w:p w14:paraId="385163A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zkravitz@taftlaw.com</w:t>
            </w:r>
          </w:p>
          <w:p w14:paraId="25697C6D"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Werner.Margard@puc.state.oh.us</w:t>
            </w:r>
          </w:p>
          <w:p w14:paraId="5AD72B40"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John.Jones@puc.state.oh.us</w:t>
            </w:r>
          </w:p>
          <w:p w14:paraId="0BA3254C"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dconway@porterwright.com</w:t>
            </w:r>
          </w:p>
          <w:p w14:paraId="0CDA8F6E"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cmoore@porterwright.com</w:t>
            </w:r>
          </w:p>
          <w:p w14:paraId="37BD38FE" w14:textId="77777777" w:rsidR="005F3454" w:rsidRPr="00C4444F" w:rsidRDefault="005F3454" w:rsidP="005F3454">
            <w:pPr>
              <w:rPr>
                <w:rFonts w:ascii="Times New Roman" w:hAnsi="Times New Roman" w:cs="Times New Roman"/>
              </w:rPr>
            </w:pPr>
            <w:r w:rsidRPr="00C4444F">
              <w:rPr>
                <w:rFonts w:ascii="Times New Roman" w:hAnsi="Times New Roman" w:cs="Times New Roman"/>
              </w:rPr>
              <w:t>yalami@aep.com</w:t>
            </w:r>
          </w:p>
          <w:p w14:paraId="71402D6E" w14:textId="77777777" w:rsidR="005F3454" w:rsidRDefault="005F3454" w:rsidP="005F3454">
            <w:pPr>
              <w:rPr>
                <w:rFonts w:ascii="Times New Roman" w:hAnsi="Times New Roman" w:cs="Times New Roman"/>
              </w:rPr>
            </w:pPr>
          </w:p>
        </w:tc>
      </w:tr>
    </w:tbl>
    <w:p w14:paraId="0C5065B5" w14:textId="2B74F415" w:rsidR="003B3320" w:rsidRDefault="005F3454" w:rsidP="00787EF4">
      <w:pPr>
        <w:ind w:left="4320"/>
        <w:rPr>
          <w:rFonts w:ascii="Times New Roman" w:hAnsi="Times New Roman" w:cs="Times New Roman"/>
          <w:u w:val="single"/>
        </w:rPr>
      </w:pPr>
      <w:r>
        <w:rPr>
          <w:rFonts w:ascii="Times New Roman" w:hAnsi="Times New Roman" w:cs="Times New Roman"/>
          <w:u w:val="single"/>
        </w:rPr>
        <w:t>/s/ Andrew J. Campbell</w:t>
      </w:r>
      <w:r w:rsidR="003B3320">
        <w:rPr>
          <w:rFonts w:ascii="Times New Roman" w:hAnsi="Times New Roman" w:cs="Times New Roman"/>
          <w:u w:val="single"/>
        </w:rPr>
        <w:tab/>
      </w:r>
      <w:r w:rsidR="003B3320">
        <w:rPr>
          <w:rFonts w:ascii="Times New Roman" w:hAnsi="Times New Roman" w:cs="Times New Roman"/>
          <w:u w:val="single"/>
        </w:rPr>
        <w:tab/>
      </w:r>
      <w:r w:rsidR="003B3320">
        <w:rPr>
          <w:rFonts w:ascii="Times New Roman" w:hAnsi="Times New Roman" w:cs="Times New Roman"/>
          <w:u w:val="single"/>
        </w:rPr>
        <w:tab/>
      </w:r>
      <w:r w:rsidR="003B3320">
        <w:rPr>
          <w:rFonts w:ascii="Times New Roman" w:hAnsi="Times New Roman" w:cs="Times New Roman"/>
          <w:u w:val="single"/>
        </w:rPr>
        <w:tab/>
      </w:r>
    </w:p>
    <w:p w14:paraId="103F0866" w14:textId="1E854814" w:rsidR="003B3320" w:rsidRDefault="003B3320" w:rsidP="00787EF4">
      <w:pPr>
        <w:pStyle w:val="MemoBodyText"/>
        <w:ind w:left="4320" w:firstLine="0"/>
      </w:pPr>
      <w:r>
        <w:t>One of the Attorneys for Interstate Gas Supply,</w:t>
      </w:r>
      <w:r w:rsidR="00787EF4">
        <w:t xml:space="preserve"> Inc.</w:t>
      </w:r>
    </w:p>
    <w:p w14:paraId="6D51AF2C" w14:textId="08976A24" w:rsidR="005B30A6" w:rsidRPr="00A81DEC" w:rsidRDefault="00EB3165" w:rsidP="00EB3165">
      <w:pPr>
        <w:pStyle w:val="MemoBodyText"/>
      </w:pPr>
      <w:r>
        <w:t xml:space="preserve"> </w:t>
      </w:r>
    </w:p>
    <w:sectPr w:rsidR="005B30A6" w:rsidRPr="00A81DEC" w:rsidSect="001E75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46FB" w14:textId="77777777" w:rsidR="00DB5E6F" w:rsidRDefault="00DB5E6F" w:rsidP="0032154A">
      <w:r>
        <w:separator/>
      </w:r>
    </w:p>
  </w:endnote>
  <w:endnote w:type="continuationSeparator" w:id="0">
    <w:p w14:paraId="6B118461" w14:textId="77777777" w:rsidR="00DB5E6F" w:rsidRDefault="00DB5E6F"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AA37C" w14:textId="77777777" w:rsidR="00DB5E6F" w:rsidRPr="0032154A" w:rsidRDefault="00DB5E6F" w:rsidP="0032154A">
    <w:pPr>
      <w:pStyle w:val="Footer"/>
      <w:jc w:val="center"/>
      <w:rPr>
        <w:rFonts w:ascii="Times New Roman" w:hAnsi="Times New Roman" w:cs="Times New Roman"/>
      </w:rPr>
    </w:pPr>
    <w:r w:rsidRPr="0032154A">
      <w:rPr>
        <w:rStyle w:val="PageNumber"/>
        <w:rFonts w:ascii="Times New Roman" w:hAnsi="Times New Roman" w:cs="Times New Roman"/>
      </w:rPr>
      <w:fldChar w:fldCharType="begin"/>
    </w:r>
    <w:r w:rsidRPr="0032154A">
      <w:rPr>
        <w:rStyle w:val="PageNumber"/>
        <w:rFonts w:ascii="Times New Roman" w:hAnsi="Times New Roman" w:cs="Times New Roman"/>
      </w:rPr>
      <w:instrText xml:space="preserve"> PAGE </w:instrText>
    </w:r>
    <w:r w:rsidRPr="0032154A">
      <w:rPr>
        <w:rStyle w:val="PageNumber"/>
        <w:rFonts w:ascii="Times New Roman" w:hAnsi="Times New Roman" w:cs="Times New Roman"/>
      </w:rPr>
      <w:fldChar w:fldCharType="separate"/>
    </w:r>
    <w:r>
      <w:rPr>
        <w:rStyle w:val="PageNumber"/>
        <w:rFonts w:ascii="Times New Roman" w:hAnsi="Times New Roman" w:cs="Times New Roman"/>
        <w:noProof/>
      </w:rPr>
      <w:t>2</w:t>
    </w:r>
    <w:r w:rsidRPr="0032154A">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DA84" w14:textId="77777777" w:rsidR="00DB5E6F" w:rsidRDefault="00DB5E6F" w:rsidP="00AD3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DE41D" w14:textId="77777777" w:rsidR="00DB5E6F" w:rsidRDefault="00DB5E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F356" w14:textId="77777777" w:rsidR="00DB5E6F" w:rsidRPr="001E751A" w:rsidRDefault="00DB5E6F" w:rsidP="00AD30ED">
    <w:pPr>
      <w:pStyle w:val="Footer"/>
      <w:framePr w:wrap="around" w:vAnchor="text" w:hAnchor="margin" w:xAlign="center" w:y="1"/>
      <w:rPr>
        <w:rStyle w:val="PageNumber"/>
        <w:rFonts w:ascii="Times New Roman" w:hAnsi="Times New Roman"/>
      </w:rPr>
    </w:pPr>
    <w:r w:rsidRPr="001E751A">
      <w:rPr>
        <w:rStyle w:val="PageNumber"/>
        <w:rFonts w:ascii="Times New Roman" w:hAnsi="Times New Roman"/>
      </w:rPr>
      <w:fldChar w:fldCharType="begin"/>
    </w:r>
    <w:r w:rsidRPr="001E751A">
      <w:rPr>
        <w:rStyle w:val="PageNumber"/>
        <w:rFonts w:ascii="Times New Roman" w:hAnsi="Times New Roman"/>
      </w:rPr>
      <w:instrText xml:space="preserve">PAGE  </w:instrText>
    </w:r>
    <w:r w:rsidRPr="001E751A">
      <w:rPr>
        <w:rStyle w:val="PageNumber"/>
        <w:rFonts w:ascii="Times New Roman" w:hAnsi="Times New Roman"/>
      </w:rPr>
      <w:fldChar w:fldCharType="separate"/>
    </w:r>
    <w:r>
      <w:rPr>
        <w:rStyle w:val="PageNumber"/>
        <w:rFonts w:ascii="Times New Roman" w:hAnsi="Times New Roman"/>
        <w:noProof/>
      </w:rPr>
      <w:t>17</w:t>
    </w:r>
    <w:r w:rsidRPr="001E751A">
      <w:rPr>
        <w:rStyle w:val="PageNumber"/>
        <w:rFonts w:ascii="Times New Roman" w:hAnsi="Times New Roman"/>
      </w:rPr>
      <w:fldChar w:fldCharType="end"/>
    </w:r>
  </w:p>
  <w:p w14:paraId="79F90A90" w14:textId="77777777" w:rsidR="00DB5E6F" w:rsidRDefault="00DB5E6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D37D" w14:textId="2B6BDE33" w:rsidR="00DB5E6F" w:rsidRPr="00134B02" w:rsidRDefault="00DB5E6F" w:rsidP="00134B02">
    <w:pPr>
      <w:pStyle w:val="Footer"/>
      <w:framePr w:wrap="around" w:vAnchor="text" w:hAnchor="margin" w:xAlign="center" w:y="1"/>
      <w:rPr>
        <w:rStyle w:val="PageNumber"/>
        <w:rFonts w:ascii="Times New Roman" w:hAnsi="Times New Roman"/>
      </w:rPr>
    </w:pPr>
  </w:p>
  <w:p w14:paraId="41EECFD9" w14:textId="700383C1" w:rsidR="00DB5E6F" w:rsidRPr="00134B02" w:rsidRDefault="00DB5E6F" w:rsidP="00134B02">
    <w:pPr>
      <w:pStyle w:val="Footer"/>
      <w:framePr w:wrap="around" w:vAnchor="text" w:hAnchor="margin" w:xAlign="center" w:y="1"/>
      <w:rPr>
        <w:rFonts w:ascii="Times New Roman" w:hAnsi="Times New Roma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832F" w14:textId="77777777" w:rsidR="00DB5E6F" w:rsidRPr="00C97659" w:rsidRDefault="00DB5E6F" w:rsidP="0032154A">
    <w:pPr>
      <w:pStyle w:val="Footer"/>
      <w:jc w:val="center"/>
      <w:rPr>
        <w:rFonts w:ascii="Times New Roman" w:hAnsi="Times New Roman" w:cs="Times New Roman"/>
      </w:rPr>
    </w:pPr>
    <w:r w:rsidRPr="00C97659">
      <w:rPr>
        <w:rStyle w:val="PageNumber"/>
        <w:rFonts w:ascii="Times New Roman" w:hAnsi="Times New Roman" w:cs="Times New Roman"/>
      </w:rPr>
      <w:fldChar w:fldCharType="begin"/>
    </w:r>
    <w:r w:rsidRPr="00C97659">
      <w:rPr>
        <w:rStyle w:val="PageNumber"/>
        <w:rFonts w:ascii="Times New Roman" w:hAnsi="Times New Roman" w:cs="Times New Roman"/>
      </w:rPr>
      <w:instrText xml:space="preserve"> PAGE </w:instrText>
    </w:r>
    <w:r w:rsidRPr="00C97659">
      <w:rPr>
        <w:rStyle w:val="PageNumber"/>
        <w:rFonts w:ascii="Times New Roman" w:hAnsi="Times New Roman" w:cs="Times New Roman"/>
      </w:rPr>
      <w:fldChar w:fldCharType="separate"/>
    </w:r>
    <w:r w:rsidR="0026497C">
      <w:rPr>
        <w:rStyle w:val="PageNumber"/>
        <w:rFonts w:ascii="Times New Roman" w:hAnsi="Times New Roman" w:cs="Times New Roman"/>
        <w:noProof/>
      </w:rPr>
      <w:t>3</w:t>
    </w:r>
    <w:r w:rsidRPr="00C97659">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AD456" w14:textId="77777777" w:rsidR="00DB5E6F" w:rsidRDefault="00DB5E6F" w:rsidP="0032154A">
      <w:r>
        <w:separator/>
      </w:r>
    </w:p>
  </w:footnote>
  <w:footnote w:type="continuationSeparator" w:id="0">
    <w:p w14:paraId="46CF5598" w14:textId="77777777" w:rsidR="00DB5E6F" w:rsidRDefault="00DB5E6F"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
    <w:lvlOverride w:ilvl="0">
      <w:startOverride w:val="1"/>
    </w:lvlOverride>
  </w:num>
  <w:num w:numId="8">
    <w:abstractNumId w:val="1"/>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70"/>
    <w:rsid w:val="000002A9"/>
    <w:rsid w:val="000127D6"/>
    <w:rsid w:val="00020DF7"/>
    <w:rsid w:val="000213CC"/>
    <w:rsid w:val="0002146F"/>
    <w:rsid w:val="00027F3A"/>
    <w:rsid w:val="000465C1"/>
    <w:rsid w:val="000544AD"/>
    <w:rsid w:val="00066470"/>
    <w:rsid w:val="0007068D"/>
    <w:rsid w:val="00077D72"/>
    <w:rsid w:val="00083612"/>
    <w:rsid w:val="00085F8B"/>
    <w:rsid w:val="000A288D"/>
    <w:rsid w:val="000A6833"/>
    <w:rsid w:val="000B3928"/>
    <w:rsid w:val="000C463A"/>
    <w:rsid w:val="000D6365"/>
    <w:rsid w:val="000E56C8"/>
    <w:rsid w:val="000F338A"/>
    <w:rsid w:val="00103D9E"/>
    <w:rsid w:val="00115568"/>
    <w:rsid w:val="00130D86"/>
    <w:rsid w:val="00134B02"/>
    <w:rsid w:val="001451B7"/>
    <w:rsid w:val="001452D4"/>
    <w:rsid w:val="001618F9"/>
    <w:rsid w:val="00185310"/>
    <w:rsid w:val="0019254C"/>
    <w:rsid w:val="001B42E3"/>
    <w:rsid w:val="001C04B0"/>
    <w:rsid w:val="001C2978"/>
    <w:rsid w:val="001C5A8F"/>
    <w:rsid w:val="001C75E2"/>
    <w:rsid w:val="001D0C90"/>
    <w:rsid w:val="001D0E97"/>
    <w:rsid w:val="001E751A"/>
    <w:rsid w:val="00200600"/>
    <w:rsid w:val="0022361A"/>
    <w:rsid w:val="00246F2E"/>
    <w:rsid w:val="00262AD7"/>
    <w:rsid w:val="0026497C"/>
    <w:rsid w:val="002A587F"/>
    <w:rsid w:val="002A5ACF"/>
    <w:rsid w:val="002B7667"/>
    <w:rsid w:val="002C52DA"/>
    <w:rsid w:val="002D1B21"/>
    <w:rsid w:val="002F1DF9"/>
    <w:rsid w:val="002F3FCD"/>
    <w:rsid w:val="002F78A9"/>
    <w:rsid w:val="00314522"/>
    <w:rsid w:val="0032154A"/>
    <w:rsid w:val="00321A8D"/>
    <w:rsid w:val="00323428"/>
    <w:rsid w:val="00326992"/>
    <w:rsid w:val="00333C93"/>
    <w:rsid w:val="003355C7"/>
    <w:rsid w:val="00337E26"/>
    <w:rsid w:val="00354F95"/>
    <w:rsid w:val="00357D60"/>
    <w:rsid w:val="00361DE8"/>
    <w:rsid w:val="00391E88"/>
    <w:rsid w:val="003B3320"/>
    <w:rsid w:val="003C28CA"/>
    <w:rsid w:val="003C6B81"/>
    <w:rsid w:val="003D5504"/>
    <w:rsid w:val="004207E8"/>
    <w:rsid w:val="00425797"/>
    <w:rsid w:val="0044167D"/>
    <w:rsid w:val="00460A32"/>
    <w:rsid w:val="00464DB8"/>
    <w:rsid w:val="00472357"/>
    <w:rsid w:val="004773F5"/>
    <w:rsid w:val="00490CE4"/>
    <w:rsid w:val="004975DC"/>
    <w:rsid w:val="004A0D8B"/>
    <w:rsid w:val="004B0168"/>
    <w:rsid w:val="004D02DC"/>
    <w:rsid w:val="004D37FA"/>
    <w:rsid w:val="004D4E29"/>
    <w:rsid w:val="004D732D"/>
    <w:rsid w:val="0053064B"/>
    <w:rsid w:val="00530A2A"/>
    <w:rsid w:val="005353F0"/>
    <w:rsid w:val="005408F0"/>
    <w:rsid w:val="00546665"/>
    <w:rsid w:val="005478EE"/>
    <w:rsid w:val="00547FE7"/>
    <w:rsid w:val="0055112A"/>
    <w:rsid w:val="00554664"/>
    <w:rsid w:val="00556C15"/>
    <w:rsid w:val="00564C8A"/>
    <w:rsid w:val="00572380"/>
    <w:rsid w:val="00575F07"/>
    <w:rsid w:val="005A317E"/>
    <w:rsid w:val="005A4751"/>
    <w:rsid w:val="005B111C"/>
    <w:rsid w:val="005B30A6"/>
    <w:rsid w:val="005B6400"/>
    <w:rsid w:val="005C32EE"/>
    <w:rsid w:val="005D368E"/>
    <w:rsid w:val="005E2557"/>
    <w:rsid w:val="005F3454"/>
    <w:rsid w:val="00600B90"/>
    <w:rsid w:val="006059FE"/>
    <w:rsid w:val="0062782E"/>
    <w:rsid w:val="00644998"/>
    <w:rsid w:val="006456C7"/>
    <w:rsid w:val="006510CF"/>
    <w:rsid w:val="00653636"/>
    <w:rsid w:val="006558AB"/>
    <w:rsid w:val="00657CEE"/>
    <w:rsid w:val="00673D37"/>
    <w:rsid w:val="0069655B"/>
    <w:rsid w:val="00696950"/>
    <w:rsid w:val="00697433"/>
    <w:rsid w:val="006B36E5"/>
    <w:rsid w:val="006D0B3C"/>
    <w:rsid w:val="006D0B91"/>
    <w:rsid w:val="006D28C1"/>
    <w:rsid w:val="006E03F9"/>
    <w:rsid w:val="006F24DB"/>
    <w:rsid w:val="006F735B"/>
    <w:rsid w:val="00702654"/>
    <w:rsid w:val="0070741E"/>
    <w:rsid w:val="007116B8"/>
    <w:rsid w:val="0071539B"/>
    <w:rsid w:val="0072150D"/>
    <w:rsid w:val="00721C9A"/>
    <w:rsid w:val="0072651D"/>
    <w:rsid w:val="0076735D"/>
    <w:rsid w:val="00787EF4"/>
    <w:rsid w:val="00794443"/>
    <w:rsid w:val="007970EB"/>
    <w:rsid w:val="007C7A56"/>
    <w:rsid w:val="007D4E74"/>
    <w:rsid w:val="007F3219"/>
    <w:rsid w:val="007F4B37"/>
    <w:rsid w:val="007F65E8"/>
    <w:rsid w:val="00804023"/>
    <w:rsid w:val="00824650"/>
    <w:rsid w:val="00836971"/>
    <w:rsid w:val="008554E9"/>
    <w:rsid w:val="00867185"/>
    <w:rsid w:val="00873F93"/>
    <w:rsid w:val="00874188"/>
    <w:rsid w:val="00877A88"/>
    <w:rsid w:val="008839E1"/>
    <w:rsid w:val="00890483"/>
    <w:rsid w:val="008A5BCF"/>
    <w:rsid w:val="008A7499"/>
    <w:rsid w:val="008B32AE"/>
    <w:rsid w:val="008C1D84"/>
    <w:rsid w:val="008C2D69"/>
    <w:rsid w:val="008C357A"/>
    <w:rsid w:val="008C59DC"/>
    <w:rsid w:val="008D5899"/>
    <w:rsid w:val="008E7532"/>
    <w:rsid w:val="008F296F"/>
    <w:rsid w:val="008F3336"/>
    <w:rsid w:val="00900000"/>
    <w:rsid w:val="00901A2D"/>
    <w:rsid w:val="00905A5F"/>
    <w:rsid w:val="00907AD2"/>
    <w:rsid w:val="00914C06"/>
    <w:rsid w:val="00914D4F"/>
    <w:rsid w:val="00925ED3"/>
    <w:rsid w:val="00937130"/>
    <w:rsid w:val="009601B6"/>
    <w:rsid w:val="00975368"/>
    <w:rsid w:val="00984174"/>
    <w:rsid w:val="00996F91"/>
    <w:rsid w:val="009A409D"/>
    <w:rsid w:val="009B1541"/>
    <w:rsid w:val="009B4728"/>
    <w:rsid w:val="009C02F1"/>
    <w:rsid w:val="009C37E8"/>
    <w:rsid w:val="009C386A"/>
    <w:rsid w:val="009C3876"/>
    <w:rsid w:val="009E6F3C"/>
    <w:rsid w:val="009F5AF9"/>
    <w:rsid w:val="00A00735"/>
    <w:rsid w:val="00A0738E"/>
    <w:rsid w:val="00A11350"/>
    <w:rsid w:val="00A17489"/>
    <w:rsid w:val="00A32837"/>
    <w:rsid w:val="00A35B7B"/>
    <w:rsid w:val="00A404A4"/>
    <w:rsid w:val="00A414FC"/>
    <w:rsid w:val="00A43054"/>
    <w:rsid w:val="00A44C79"/>
    <w:rsid w:val="00A54C4E"/>
    <w:rsid w:val="00A56038"/>
    <w:rsid w:val="00A573AD"/>
    <w:rsid w:val="00A60317"/>
    <w:rsid w:val="00A77EE5"/>
    <w:rsid w:val="00A81DEC"/>
    <w:rsid w:val="00A8215C"/>
    <w:rsid w:val="00A8797B"/>
    <w:rsid w:val="00A9276C"/>
    <w:rsid w:val="00A95046"/>
    <w:rsid w:val="00A975C4"/>
    <w:rsid w:val="00AA3D1D"/>
    <w:rsid w:val="00AA7B74"/>
    <w:rsid w:val="00AB1388"/>
    <w:rsid w:val="00AC3EA6"/>
    <w:rsid w:val="00AD1445"/>
    <w:rsid w:val="00AD1D46"/>
    <w:rsid w:val="00AD30ED"/>
    <w:rsid w:val="00AF001A"/>
    <w:rsid w:val="00B0188B"/>
    <w:rsid w:val="00B048DF"/>
    <w:rsid w:val="00B11069"/>
    <w:rsid w:val="00B12EB8"/>
    <w:rsid w:val="00B133A1"/>
    <w:rsid w:val="00B14159"/>
    <w:rsid w:val="00B22994"/>
    <w:rsid w:val="00B253E4"/>
    <w:rsid w:val="00B3658A"/>
    <w:rsid w:val="00B425CA"/>
    <w:rsid w:val="00B566FB"/>
    <w:rsid w:val="00B6183A"/>
    <w:rsid w:val="00B6593F"/>
    <w:rsid w:val="00B723DF"/>
    <w:rsid w:val="00B85C90"/>
    <w:rsid w:val="00B948BC"/>
    <w:rsid w:val="00B94B60"/>
    <w:rsid w:val="00B97FCD"/>
    <w:rsid w:val="00BA2274"/>
    <w:rsid w:val="00BA4E0B"/>
    <w:rsid w:val="00BB286F"/>
    <w:rsid w:val="00BD5952"/>
    <w:rsid w:val="00BE6588"/>
    <w:rsid w:val="00C00F70"/>
    <w:rsid w:val="00C07D65"/>
    <w:rsid w:val="00C246CC"/>
    <w:rsid w:val="00C46BC4"/>
    <w:rsid w:val="00C46F19"/>
    <w:rsid w:val="00C5587A"/>
    <w:rsid w:val="00C56BDD"/>
    <w:rsid w:val="00C67A12"/>
    <w:rsid w:val="00C67AF7"/>
    <w:rsid w:val="00C96B44"/>
    <w:rsid w:val="00C97659"/>
    <w:rsid w:val="00CB2A6F"/>
    <w:rsid w:val="00CB6AD0"/>
    <w:rsid w:val="00CD00D5"/>
    <w:rsid w:val="00CD56B4"/>
    <w:rsid w:val="00CF4501"/>
    <w:rsid w:val="00CF7C9F"/>
    <w:rsid w:val="00D02712"/>
    <w:rsid w:val="00D4043E"/>
    <w:rsid w:val="00D42C6D"/>
    <w:rsid w:val="00D76BD9"/>
    <w:rsid w:val="00D85F13"/>
    <w:rsid w:val="00D86C75"/>
    <w:rsid w:val="00D874A1"/>
    <w:rsid w:val="00D93E59"/>
    <w:rsid w:val="00D9783A"/>
    <w:rsid w:val="00DB5E6F"/>
    <w:rsid w:val="00DC72F5"/>
    <w:rsid w:val="00DF7665"/>
    <w:rsid w:val="00DF7BDE"/>
    <w:rsid w:val="00E05A06"/>
    <w:rsid w:val="00E05C6A"/>
    <w:rsid w:val="00E07E32"/>
    <w:rsid w:val="00E105F8"/>
    <w:rsid w:val="00E252C7"/>
    <w:rsid w:val="00E40A14"/>
    <w:rsid w:val="00E54640"/>
    <w:rsid w:val="00E62E7B"/>
    <w:rsid w:val="00E72BE2"/>
    <w:rsid w:val="00E83ED1"/>
    <w:rsid w:val="00EB3165"/>
    <w:rsid w:val="00EE1E21"/>
    <w:rsid w:val="00EE4CDB"/>
    <w:rsid w:val="00EF2EB0"/>
    <w:rsid w:val="00EF338B"/>
    <w:rsid w:val="00EF65A7"/>
    <w:rsid w:val="00F02EF6"/>
    <w:rsid w:val="00F04419"/>
    <w:rsid w:val="00F06866"/>
    <w:rsid w:val="00F119A9"/>
    <w:rsid w:val="00F16639"/>
    <w:rsid w:val="00F24A15"/>
    <w:rsid w:val="00F40B95"/>
    <w:rsid w:val="00F40C53"/>
    <w:rsid w:val="00F51648"/>
    <w:rsid w:val="00F77556"/>
    <w:rsid w:val="00F82D76"/>
    <w:rsid w:val="00FA20C6"/>
    <w:rsid w:val="00FA437D"/>
    <w:rsid w:val="00FB2788"/>
    <w:rsid w:val="00FB7943"/>
    <w:rsid w:val="00F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88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character" w:styleId="CommentReference">
    <w:name w:val="annotation reference"/>
    <w:basedOn w:val="DefaultParagraphFont"/>
    <w:uiPriority w:val="99"/>
    <w:semiHidden/>
    <w:unhideWhenUsed/>
    <w:rsid w:val="0019254C"/>
    <w:rPr>
      <w:sz w:val="16"/>
      <w:szCs w:val="16"/>
    </w:rPr>
  </w:style>
  <w:style w:type="paragraph" w:styleId="CommentText">
    <w:name w:val="annotation text"/>
    <w:basedOn w:val="Normal"/>
    <w:link w:val="CommentTextChar"/>
    <w:uiPriority w:val="99"/>
    <w:semiHidden/>
    <w:unhideWhenUsed/>
    <w:rsid w:val="0019254C"/>
    <w:rPr>
      <w:sz w:val="20"/>
      <w:szCs w:val="20"/>
    </w:rPr>
  </w:style>
  <w:style w:type="character" w:customStyle="1" w:styleId="CommentTextChar">
    <w:name w:val="Comment Text Char"/>
    <w:basedOn w:val="DefaultParagraphFont"/>
    <w:link w:val="CommentText"/>
    <w:uiPriority w:val="99"/>
    <w:semiHidden/>
    <w:rsid w:val="0019254C"/>
    <w:rPr>
      <w:sz w:val="20"/>
      <w:szCs w:val="20"/>
    </w:rPr>
  </w:style>
  <w:style w:type="paragraph" w:styleId="CommentSubject">
    <w:name w:val="annotation subject"/>
    <w:basedOn w:val="CommentText"/>
    <w:next w:val="CommentText"/>
    <w:link w:val="CommentSubjectChar"/>
    <w:uiPriority w:val="99"/>
    <w:semiHidden/>
    <w:unhideWhenUsed/>
    <w:rsid w:val="0019254C"/>
    <w:rPr>
      <w:b/>
      <w:bCs/>
    </w:rPr>
  </w:style>
  <w:style w:type="character" w:customStyle="1" w:styleId="CommentSubjectChar">
    <w:name w:val="Comment Subject Char"/>
    <w:basedOn w:val="CommentTextChar"/>
    <w:link w:val="CommentSubject"/>
    <w:uiPriority w:val="99"/>
    <w:semiHidden/>
    <w:rsid w:val="0019254C"/>
    <w:rPr>
      <w:b/>
      <w:bCs/>
      <w:sz w:val="20"/>
      <w:szCs w:val="20"/>
    </w:rPr>
  </w:style>
  <w:style w:type="paragraph" w:styleId="Revision">
    <w:name w:val="Revision"/>
    <w:hidden/>
    <w:uiPriority w:val="99"/>
    <w:semiHidden/>
    <w:rsid w:val="000A6833"/>
  </w:style>
  <w:style w:type="paragraph" w:styleId="TOCHeading">
    <w:name w:val="TOC Heading"/>
    <w:basedOn w:val="Heading1"/>
    <w:next w:val="Normal"/>
    <w:uiPriority w:val="39"/>
    <w:unhideWhenUsed/>
    <w:qFormat/>
    <w:rsid w:val="0076735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723DF"/>
    <w:pPr>
      <w:tabs>
        <w:tab w:val="left" w:pos="380"/>
        <w:tab w:val="left" w:pos="463"/>
        <w:tab w:val="right" w:leader="dot" w:pos="9350"/>
      </w:tabs>
      <w:spacing w:after="120"/>
      <w:jc w:val="center"/>
    </w:pPr>
    <w:rPr>
      <w:b/>
    </w:rPr>
  </w:style>
  <w:style w:type="paragraph" w:styleId="TOC2">
    <w:name w:val="toc 2"/>
    <w:basedOn w:val="Normal"/>
    <w:next w:val="Normal"/>
    <w:autoRedefine/>
    <w:uiPriority w:val="39"/>
    <w:unhideWhenUsed/>
    <w:rsid w:val="00B723DF"/>
    <w:pPr>
      <w:tabs>
        <w:tab w:val="left" w:pos="674"/>
        <w:tab w:val="right" w:leader="dot" w:pos="9350"/>
      </w:tabs>
      <w:spacing w:after="120"/>
      <w:ind w:left="245"/>
    </w:pPr>
    <w:rPr>
      <w:rFonts w:ascii="Times New Roman" w:hAnsi="Times New Roman"/>
      <w:b/>
      <w:bCs/>
      <w:noProof/>
    </w:rPr>
  </w:style>
  <w:style w:type="paragraph" w:styleId="TOC3">
    <w:name w:val="toc 3"/>
    <w:basedOn w:val="Normal"/>
    <w:next w:val="Normal"/>
    <w:autoRedefine/>
    <w:uiPriority w:val="39"/>
    <w:unhideWhenUsed/>
    <w:rsid w:val="0076735D"/>
    <w:pPr>
      <w:tabs>
        <w:tab w:val="left" w:pos="887"/>
        <w:tab w:val="right" w:leader="dot" w:pos="9350"/>
      </w:tabs>
      <w:spacing w:after="120"/>
      <w:ind w:left="480"/>
    </w:pPr>
    <w:rPr>
      <w:rFonts w:ascii="Times New Roman" w:hAnsi="Times New Roman"/>
      <w:b/>
      <w:noProof/>
    </w:rPr>
  </w:style>
  <w:style w:type="paragraph" w:styleId="TOC4">
    <w:name w:val="toc 4"/>
    <w:basedOn w:val="Normal"/>
    <w:next w:val="Normal"/>
    <w:autoRedefine/>
    <w:uiPriority w:val="39"/>
    <w:unhideWhenUsed/>
    <w:rsid w:val="0076735D"/>
    <w:pPr>
      <w:tabs>
        <w:tab w:val="left" w:pos="1099"/>
        <w:tab w:val="right" w:leader="dot" w:pos="9350"/>
      </w:tabs>
      <w:spacing w:after="120"/>
      <w:ind w:left="720"/>
    </w:pPr>
    <w:rPr>
      <w:noProof/>
      <w:sz w:val="20"/>
      <w:szCs w:val="20"/>
    </w:rPr>
  </w:style>
  <w:style w:type="paragraph" w:styleId="TOC5">
    <w:name w:val="toc 5"/>
    <w:basedOn w:val="Normal"/>
    <w:next w:val="Normal"/>
    <w:autoRedefine/>
    <w:uiPriority w:val="39"/>
    <w:unhideWhenUsed/>
    <w:rsid w:val="0076735D"/>
    <w:pPr>
      <w:ind w:left="960"/>
    </w:pPr>
    <w:rPr>
      <w:sz w:val="20"/>
      <w:szCs w:val="20"/>
    </w:rPr>
  </w:style>
  <w:style w:type="paragraph" w:styleId="TOC6">
    <w:name w:val="toc 6"/>
    <w:basedOn w:val="Normal"/>
    <w:next w:val="Normal"/>
    <w:autoRedefine/>
    <w:uiPriority w:val="39"/>
    <w:unhideWhenUsed/>
    <w:rsid w:val="0076735D"/>
    <w:pPr>
      <w:ind w:left="1200"/>
    </w:pPr>
    <w:rPr>
      <w:sz w:val="20"/>
      <w:szCs w:val="20"/>
    </w:rPr>
  </w:style>
  <w:style w:type="paragraph" w:styleId="TOC7">
    <w:name w:val="toc 7"/>
    <w:basedOn w:val="Normal"/>
    <w:next w:val="Normal"/>
    <w:autoRedefine/>
    <w:uiPriority w:val="39"/>
    <w:unhideWhenUsed/>
    <w:rsid w:val="0076735D"/>
    <w:pPr>
      <w:ind w:left="1440"/>
    </w:pPr>
    <w:rPr>
      <w:sz w:val="20"/>
      <w:szCs w:val="20"/>
    </w:rPr>
  </w:style>
  <w:style w:type="paragraph" w:styleId="TOC8">
    <w:name w:val="toc 8"/>
    <w:basedOn w:val="Normal"/>
    <w:next w:val="Normal"/>
    <w:autoRedefine/>
    <w:uiPriority w:val="39"/>
    <w:unhideWhenUsed/>
    <w:rsid w:val="0076735D"/>
    <w:pPr>
      <w:ind w:left="1680"/>
    </w:pPr>
    <w:rPr>
      <w:sz w:val="20"/>
      <w:szCs w:val="20"/>
    </w:rPr>
  </w:style>
  <w:style w:type="paragraph" w:styleId="TOC9">
    <w:name w:val="toc 9"/>
    <w:basedOn w:val="Normal"/>
    <w:next w:val="Normal"/>
    <w:autoRedefine/>
    <w:uiPriority w:val="39"/>
    <w:unhideWhenUsed/>
    <w:rsid w:val="0076735D"/>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character" w:styleId="CommentReference">
    <w:name w:val="annotation reference"/>
    <w:basedOn w:val="DefaultParagraphFont"/>
    <w:uiPriority w:val="99"/>
    <w:semiHidden/>
    <w:unhideWhenUsed/>
    <w:rsid w:val="0019254C"/>
    <w:rPr>
      <w:sz w:val="16"/>
      <w:szCs w:val="16"/>
    </w:rPr>
  </w:style>
  <w:style w:type="paragraph" w:styleId="CommentText">
    <w:name w:val="annotation text"/>
    <w:basedOn w:val="Normal"/>
    <w:link w:val="CommentTextChar"/>
    <w:uiPriority w:val="99"/>
    <w:semiHidden/>
    <w:unhideWhenUsed/>
    <w:rsid w:val="0019254C"/>
    <w:rPr>
      <w:sz w:val="20"/>
      <w:szCs w:val="20"/>
    </w:rPr>
  </w:style>
  <w:style w:type="character" w:customStyle="1" w:styleId="CommentTextChar">
    <w:name w:val="Comment Text Char"/>
    <w:basedOn w:val="DefaultParagraphFont"/>
    <w:link w:val="CommentText"/>
    <w:uiPriority w:val="99"/>
    <w:semiHidden/>
    <w:rsid w:val="0019254C"/>
    <w:rPr>
      <w:sz w:val="20"/>
      <w:szCs w:val="20"/>
    </w:rPr>
  </w:style>
  <w:style w:type="paragraph" w:styleId="CommentSubject">
    <w:name w:val="annotation subject"/>
    <w:basedOn w:val="CommentText"/>
    <w:next w:val="CommentText"/>
    <w:link w:val="CommentSubjectChar"/>
    <w:uiPriority w:val="99"/>
    <w:semiHidden/>
    <w:unhideWhenUsed/>
    <w:rsid w:val="0019254C"/>
    <w:rPr>
      <w:b/>
      <w:bCs/>
    </w:rPr>
  </w:style>
  <w:style w:type="character" w:customStyle="1" w:styleId="CommentSubjectChar">
    <w:name w:val="Comment Subject Char"/>
    <w:basedOn w:val="CommentTextChar"/>
    <w:link w:val="CommentSubject"/>
    <w:uiPriority w:val="99"/>
    <w:semiHidden/>
    <w:rsid w:val="0019254C"/>
    <w:rPr>
      <w:b/>
      <w:bCs/>
      <w:sz w:val="20"/>
      <w:szCs w:val="20"/>
    </w:rPr>
  </w:style>
  <w:style w:type="paragraph" w:styleId="Revision">
    <w:name w:val="Revision"/>
    <w:hidden/>
    <w:uiPriority w:val="99"/>
    <w:semiHidden/>
    <w:rsid w:val="000A6833"/>
  </w:style>
  <w:style w:type="paragraph" w:styleId="TOCHeading">
    <w:name w:val="TOC Heading"/>
    <w:basedOn w:val="Heading1"/>
    <w:next w:val="Normal"/>
    <w:uiPriority w:val="39"/>
    <w:unhideWhenUsed/>
    <w:qFormat/>
    <w:rsid w:val="0076735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723DF"/>
    <w:pPr>
      <w:tabs>
        <w:tab w:val="left" w:pos="380"/>
        <w:tab w:val="left" w:pos="463"/>
        <w:tab w:val="right" w:leader="dot" w:pos="9350"/>
      </w:tabs>
      <w:spacing w:after="120"/>
      <w:jc w:val="center"/>
    </w:pPr>
    <w:rPr>
      <w:b/>
    </w:rPr>
  </w:style>
  <w:style w:type="paragraph" w:styleId="TOC2">
    <w:name w:val="toc 2"/>
    <w:basedOn w:val="Normal"/>
    <w:next w:val="Normal"/>
    <w:autoRedefine/>
    <w:uiPriority w:val="39"/>
    <w:unhideWhenUsed/>
    <w:rsid w:val="00B723DF"/>
    <w:pPr>
      <w:tabs>
        <w:tab w:val="left" w:pos="674"/>
        <w:tab w:val="right" w:leader="dot" w:pos="9350"/>
      </w:tabs>
      <w:spacing w:after="120"/>
      <w:ind w:left="245"/>
    </w:pPr>
    <w:rPr>
      <w:rFonts w:ascii="Times New Roman" w:hAnsi="Times New Roman"/>
      <w:b/>
      <w:bCs/>
      <w:noProof/>
    </w:rPr>
  </w:style>
  <w:style w:type="paragraph" w:styleId="TOC3">
    <w:name w:val="toc 3"/>
    <w:basedOn w:val="Normal"/>
    <w:next w:val="Normal"/>
    <w:autoRedefine/>
    <w:uiPriority w:val="39"/>
    <w:unhideWhenUsed/>
    <w:rsid w:val="0076735D"/>
    <w:pPr>
      <w:tabs>
        <w:tab w:val="left" w:pos="887"/>
        <w:tab w:val="right" w:leader="dot" w:pos="9350"/>
      </w:tabs>
      <w:spacing w:after="120"/>
      <w:ind w:left="480"/>
    </w:pPr>
    <w:rPr>
      <w:rFonts w:ascii="Times New Roman" w:hAnsi="Times New Roman"/>
      <w:b/>
      <w:noProof/>
    </w:rPr>
  </w:style>
  <w:style w:type="paragraph" w:styleId="TOC4">
    <w:name w:val="toc 4"/>
    <w:basedOn w:val="Normal"/>
    <w:next w:val="Normal"/>
    <w:autoRedefine/>
    <w:uiPriority w:val="39"/>
    <w:unhideWhenUsed/>
    <w:rsid w:val="0076735D"/>
    <w:pPr>
      <w:tabs>
        <w:tab w:val="left" w:pos="1099"/>
        <w:tab w:val="right" w:leader="dot" w:pos="9350"/>
      </w:tabs>
      <w:spacing w:after="120"/>
      <w:ind w:left="720"/>
    </w:pPr>
    <w:rPr>
      <w:noProof/>
      <w:sz w:val="20"/>
      <w:szCs w:val="20"/>
    </w:rPr>
  </w:style>
  <w:style w:type="paragraph" w:styleId="TOC5">
    <w:name w:val="toc 5"/>
    <w:basedOn w:val="Normal"/>
    <w:next w:val="Normal"/>
    <w:autoRedefine/>
    <w:uiPriority w:val="39"/>
    <w:unhideWhenUsed/>
    <w:rsid w:val="0076735D"/>
    <w:pPr>
      <w:ind w:left="960"/>
    </w:pPr>
    <w:rPr>
      <w:sz w:val="20"/>
      <w:szCs w:val="20"/>
    </w:rPr>
  </w:style>
  <w:style w:type="paragraph" w:styleId="TOC6">
    <w:name w:val="toc 6"/>
    <w:basedOn w:val="Normal"/>
    <w:next w:val="Normal"/>
    <w:autoRedefine/>
    <w:uiPriority w:val="39"/>
    <w:unhideWhenUsed/>
    <w:rsid w:val="0076735D"/>
    <w:pPr>
      <w:ind w:left="1200"/>
    </w:pPr>
    <w:rPr>
      <w:sz w:val="20"/>
      <w:szCs w:val="20"/>
    </w:rPr>
  </w:style>
  <w:style w:type="paragraph" w:styleId="TOC7">
    <w:name w:val="toc 7"/>
    <w:basedOn w:val="Normal"/>
    <w:next w:val="Normal"/>
    <w:autoRedefine/>
    <w:uiPriority w:val="39"/>
    <w:unhideWhenUsed/>
    <w:rsid w:val="0076735D"/>
    <w:pPr>
      <w:ind w:left="1440"/>
    </w:pPr>
    <w:rPr>
      <w:sz w:val="20"/>
      <w:szCs w:val="20"/>
    </w:rPr>
  </w:style>
  <w:style w:type="paragraph" w:styleId="TOC8">
    <w:name w:val="toc 8"/>
    <w:basedOn w:val="Normal"/>
    <w:next w:val="Normal"/>
    <w:autoRedefine/>
    <w:uiPriority w:val="39"/>
    <w:unhideWhenUsed/>
    <w:rsid w:val="0076735D"/>
    <w:pPr>
      <w:ind w:left="1680"/>
    </w:pPr>
    <w:rPr>
      <w:sz w:val="20"/>
      <w:szCs w:val="20"/>
    </w:rPr>
  </w:style>
  <w:style w:type="paragraph" w:styleId="TOC9">
    <w:name w:val="toc 9"/>
    <w:basedOn w:val="Normal"/>
    <w:next w:val="Normal"/>
    <w:autoRedefine/>
    <w:uiPriority w:val="39"/>
    <w:unhideWhenUsed/>
    <w:rsid w:val="0076735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EB75-BF35-2343-BBB8-67FCEC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5014</Words>
  <Characters>28585</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Whitt Sturtevant</cp:lastModifiedBy>
  <cp:revision>5</cp:revision>
  <cp:lastPrinted>2012-05-23T20:18:00Z</cp:lastPrinted>
  <dcterms:created xsi:type="dcterms:W3CDTF">2012-05-23T20:18:00Z</dcterms:created>
  <dcterms:modified xsi:type="dcterms:W3CDTF">2012-05-23T20:21:00Z</dcterms:modified>
</cp:coreProperties>
</file>