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AC5" w:rsidRPr="00A7466C" w:rsidRDefault="00C85AC5" w:rsidP="00C85AC5">
      <w:pPr>
        <w:spacing w:after="0" w:line="240" w:lineRule="auto"/>
        <w:jc w:val="center"/>
        <w:rPr>
          <w:rFonts w:ascii="Times New Roman" w:eastAsia="Times New Roman" w:hAnsi="Times New Roman" w:cs="Times New Roman"/>
          <w:b/>
          <w:sz w:val="26"/>
          <w:szCs w:val="26"/>
          <w:lang w:bidi="en-US"/>
        </w:rPr>
      </w:pPr>
      <w:r w:rsidRPr="00A7466C">
        <w:rPr>
          <w:rFonts w:ascii="Times New Roman" w:eastAsia="Times New Roman" w:hAnsi="Times New Roman" w:cs="Times New Roman"/>
          <w:b/>
          <w:sz w:val="26"/>
          <w:szCs w:val="26"/>
          <w:lang w:bidi="en-US"/>
        </w:rPr>
        <w:t>UNITED STATES OF AMERICA</w:t>
      </w:r>
    </w:p>
    <w:p w:rsidR="00C85AC5" w:rsidRPr="00A7466C" w:rsidRDefault="00C85AC5" w:rsidP="00C85AC5">
      <w:pPr>
        <w:spacing w:after="0" w:line="240" w:lineRule="auto"/>
        <w:jc w:val="center"/>
        <w:rPr>
          <w:rFonts w:ascii="Times New Roman" w:eastAsia="Times New Roman" w:hAnsi="Times New Roman" w:cs="Times New Roman"/>
          <w:b/>
          <w:sz w:val="26"/>
          <w:szCs w:val="26"/>
          <w:lang w:bidi="en-US"/>
        </w:rPr>
      </w:pPr>
      <w:r w:rsidRPr="00A7466C">
        <w:rPr>
          <w:rFonts w:ascii="Times New Roman" w:eastAsia="Times New Roman" w:hAnsi="Times New Roman" w:cs="Times New Roman"/>
          <w:b/>
          <w:sz w:val="26"/>
          <w:szCs w:val="26"/>
          <w:lang w:bidi="en-US"/>
        </w:rPr>
        <w:t>BEFORE THE</w:t>
      </w:r>
    </w:p>
    <w:p w:rsidR="00C85AC5" w:rsidRPr="00A7466C" w:rsidRDefault="00C85AC5" w:rsidP="00C85AC5">
      <w:pPr>
        <w:spacing w:after="0" w:line="240" w:lineRule="auto"/>
        <w:jc w:val="center"/>
        <w:rPr>
          <w:rFonts w:ascii="Times New Roman" w:eastAsia="Times New Roman" w:hAnsi="Times New Roman" w:cs="Times New Roman"/>
          <w:b/>
          <w:sz w:val="26"/>
          <w:szCs w:val="26"/>
          <w:lang w:bidi="en-US"/>
        </w:rPr>
      </w:pPr>
      <w:r w:rsidRPr="00A7466C">
        <w:rPr>
          <w:rFonts w:ascii="Times New Roman" w:eastAsia="Times New Roman" w:hAnsi="Times New Roman" w:cs="Times New Roman"/>
          <w:b/>
          <w:sz w:val="26"/>
          <w:szCs w:val="26"/>
          <w:lang w:bidi="en-US"/>
        </w:rPr>
        <w:t>FEDERAL ENERGY REGULATORY COMMISSION</w:t>
      </w:r>
    </w:p>
    <w:p w:rsidR="00C85AC5" w:rsidRPr="00A7466C" w:rsidRDefault="00C85AC5" w:rsidP="00C85AC5">
      <w:pPr>
        <w:spacing w:after="0" w:line="240" w:lineRule="auto"/>
        <w:jc w:val="center"/>
        <w:rPr>
          <w:rFonts w:ascii="Times New Roman" w:eastAsia="Times New Roman" w:hAnsi="Times New Roman" w:cs="Times New Roman"/>
          <w:sz w:val="26"/>
          <w:szCs w:val="26"/>
          <w:lang w:bidi="en-US"/>
        </w:rPr>
      </w:pPr>
    </w:p>
    <w:p w:rsidR="00C85AC5" w:rsidRPr="00A7466C" w:rsidRDefault="00C85AC5" w:rsidP="00C85AC5">
      <w:pPr>
        <w:spacing w:after="0" w:line="240" w:lineRule="auto"/>
        <w:jc w:val="center"/>
        <w:rPr>
          <w:rFonts w:ascii="Times New Roman" w:eastAsia="Times New Roman" w:hAnsi="Times New Roman" w:cs="Times New Roman"/>
          <w:sz w:val="26"/>
          <w:szCs w:val="26"/>
          <w:lang w:bidi="en-US"/>
        </w:rPr>
      </w:pPr>
    </w:p>
    <w:p w:rsidR="00C85AC5" w:rsidRPr="00A7466C" w:rsidRDefault="00C85AC5" w:rsidP="00C85AC5">
      <w:pPr>
        <w:tabs>
          <w:tab w:val="left" w:pos="720"/>
          <w:tab w:val="left" w:pos="1440"/>
          <w:tab w:val="left" w:pos="2880"/>
          <w:tab w:val="left" w:pos="4320"/>
          <w:tab w:val="left" w:pos="5040"/>
          <w:tab w:val="left" w:pos="5760"/>
          <w:tab w:val="left" w:pos="6480"/>
          <w:tab w:val="left" w:pos="7200"/>
        </w:tabs>
        <w:spacing w:after="0" w:line="240" w:lineRule="auto"/>
        <w:jc w:val="center"/>
        <w:rPr>
          <w:rFonts w:ascii="Times New Roman" w:eastAsia="Times New Roman" w:hAnsi="Times New Roman" w:cs="Times New Roman"/>
          <w:sz w:val="26"/>
          <w:szCs w:val="26"/>
          <w:lang w:bidi="en-US"/>
        </w:rPr>
      </w:pPr>
      <w:r>
        <w:rPr>
          <w:rFonts w:ascii="Times New Roman" w:eastAsia="Times New Roman" w:hAnsi="Times New Roman" w:cs="Times New Roman"/>
          <w:sz w:val="26"/>
          <w:szCs w:val="26"/>
          <w:lang w:bidi="en-US"/>
        </w:rPr>
        <w:t>PJM Interconnection, L.L.C.</w:t>
      </w:r>
      <w:r w:rsidRPr="00A7466C">
        <w:rPr>
          <w:rFonts w:ascii="Times New Roman" w:eastAsia="Times New Roman" w:hAnsi="Times New Roman" w:cs="Times New Roman"/>
          <w:sz w:val="26"/>
          <w:szCs w:val="26"/>
          <w:lang w:bidi="en-US"/>
        </w:rPr>
        <w:tab/>
      </w:r>
      <w:r w:rsidRPr="00A7466C">
        <w:rPr>
          <w:rFonts w:ascii="Times New Roman" w:eastAsia="Times New Roman" w:hAnsi="Times New Roman" w:cs="Times New Roman"/>
          <w:sz w:val="26"/>
          <w:szCs w:val="26"/>
          <w:lang w:bidi="en-US"/>
        </w:rPr>
        <w:tab/>
        <w:t>:</w:t>
      </w:r>
      <w:r w:rsidRPr="00A7466C">
        <w:rPr>
          <w:rFonts w:ascii="Times New Roman" w:eastAsia="Times New Roman" w:hAnsi="Times New Roman" w:cs="Times New Roman"/>
          <w:sz w:val="26"/>
          <w:szCs w:val="26"/>
          <w:lang w:bidi="en-US"/>
        </w:rPr>
        <w:tab/>
      </w:r>
      <w:r>
        <w:rPr>
          <w:rFonts w:ascii="Times New Roman" w:eastAsia="Times New Roman" w:hAnsi="Times New Roman" w:cs="Times New Roman"/>
          <w:sz w:val="26"/>
          <w:szCs w:val="26"/>
          <w:lang w:bidi="en-US"/>
        </w:rPr>
        <w:t>ER15-</w:t>
      </w:r>
      <w:r w:rsidR="008E6CE2">
        <w:rPr>
          <w:rFonts w:ascii="Times New Roman" w:eastAsia="Times New Roman" w:hAnsi="Times New Roman" w:cs="Times New Roman"/>
          <w:sz w:val="26"/>
          <w:szCs w:val="26"/>
          <w:lang w:bidi="en-US"/>
        </w:rPr>
        <w:t>1470</w:t>
      </w:r>
      <w:r>
        <w:rPr>
          <w:rFonts w:ascii="Times New Roman" w:eastAsia="Times New Roman" w:hAnsi="Times New Roman" w:cs="Times New Roman"/>
          <w:sz w:val="26"/>
          <w:szCs w:val="26"/>
          <w:lang w:bidi="en-US"/>
        </w:rPr>
        <w:t>-000</w:t>
      </w:r>
    </w:p>
    <w:p w:rsidR="00C85AC5" w:rsidRPr="00A7466C" w:rsidRDefault="00C85AC5" w:rsidP="00C85AC5">
      <w:pPr>
        <w:spacing w:after="0" w:line="240" w:lineRule="auto"/>
        <w:jc w:val="center"/>
        <w:rPr>
          <w:rFonts w:ascii="Times New Roman" w:eastAsia="Times New Roman" w:hAnsi="Times New Roman" w:cs="Times New Roman"/>
          <w:sz w:val="26"/>
          <w:szCs w:val="26"/>
          <w:lang w:bidi="en-US"/>
        </w:rPr>
      </w:pPr>
    </w:p>
    <w:p w:rsidR="00C85AC5" w:rsidRPr="00A7466C" w:rsidRDefault="00C85AC5" w:rsidP="00C85AC5">
      <w:pPr>
        <w:spacing w:after="0" w:line="240" w:lineRule="auto"/>
        <w:jc w:val="both"/>
        <w:rPr>
          <w:rFonts w:ascii="Times New Roman" w:eastAsia="Times New Roman" w:hAnsi="Times New Roman" w:cs="Times New Roman"/>
          <w:sz w:val="26"/>
          <w:szCs w:val="26"/>
          <w:lang w:bidi="en-US"/>
        </w:rPr>
      </w:pPr>
    </w:p>
    <w:p w:rsidR="00C85AC5" w:rsidRPr="00A7466C" w:rsidRDefault="007E2762" w:rsidP="00C85AC5">
      <w:pPr>
        <w:tabs>
          <w:tab w:val="left" w:pos="720"/>
          <w:tab w:val="left" w:pos="1440"/>
          <w:tab w:val="left" w:pos="2880"/>
          <w:tab w:val="left" w:pos="4320"/>
          <w:tab w:val="left" w:pos="5040"/>
          <w:tab w:val="left" w:pos="5760"/>
          <w:tab w:val="left" w:pos="6480"/>
          <w:tab w:val="left" w:pos="7200"/>
        </w:tabs>
        <w:spacing w:line="240" w:lineRule="auto"/>
        <w:jc w:val="both"/>
        <w:rPr>
          <w:rFonts w:ascii="Times New Roman" w:eastAsia="Times New Roman" w:hAnsi="Times New Roman" w:cs="Times New Roman"/>
          <w:sz w:val="26"/>
          <w:szCs w:val="26"/>
          <w:lang w:bidi="en-US"/>
        </w:rPr>
      </w:pPr>
      <w:r>
        <w:rPr>
          <w:rFonts w:ascii="Times New Roman" w:eastAsia="Times New Roman" w:hAnsi="Times New Roman" w:cs="Times New Roman"/>
          <w:sz w:val="26"/>
          <w:szCs w:val="26"/>
          <w:lang w:bidi="en-US"/>
        </w:rPr>
        <w:pict>
          <v:rect id="_x0000_i1025" style="width:468pt;height:1.5pt" o:hrstd="t" o:hrnoshade="t" o:hr="t" fillcolor="black" stroked="f"/>
        </w:pict>
      </w:r>
    </w:p>
    <w:p w:rsidR="00C85AC5" w:rsidRPr="00A7466C" w:rsidRDefault="00C85AC5" w:rsidP="00C85AC5">
      <w:pPr>
        <w:tabs>
          <w:tab w:val="left" w:pos="720"/>
          <w:tab w:val="left" w:pos="1440"/>
          <w:tab w:val="left" w:pos="2880"/>
          <w:tab w:val="left" w:pos="4320"/>
          <w:tab w:val="left" w:pos="5040"/>
          <w:tab w:val="left" w:pos="5760"/>
          <w:tab w:val="left" w:pos="6480"/>
          <w:tab w:val="left" w:pos="7200"/>
        </w:tabs>
        <w:spacing w:after="0" w:line="240" w:lineRule="auto"/>
        <w:jc w:val="center"/>
        <w:rPr>
          <w:rFonts w:ascii="Times New Roman" w:eastAsia="Times New Roman" w:hAnsi="Times New Roman" w:cs="Times New Roman"/>
          <w:b/>
          <w:sz w:val="36"/>
          <w:szCs w:val="36"/>
          <w:lang w:bidi="en-US"/>
        </w:rPr>
      </w:pPr>
      <w:r>
        <w:rPr>
          <w:rFonts w:ascii="Times New Roman" w:eastAsia="Times New Roman" w:hAnsi="Times New Roman" w:cs="Times New Roman"/>
          <w:b/>
          <w:sz w:val="36"/>
          <w:szCs w:val="36"/>
          <w:lang w:bidi="en-US"/>
        </w:rPr>
        <w:t xml:space="preserve">COMMENTS </w:t>
      </w:r>
    </w:p>
    <w:p w:rsidR="00C85AC5" w:rsidRPr="00A7466C" w:rsidRDefault="00C85AC5" w:rsidP="00C85AC5">
      <w:pPr>
        <w:tabs>
          <w:tab w:val="left" w:pos="720"/>
          <w:tab w:val="left" w:pos="1440"/>
          <w:tab w:val="left" w:pos="2880"/>
          <w:tab w:val="left" w:pos="4320"/>
          <w:tab w:val="left" w:pos="5040"/>
          <w:tab w:val="left" w:pos="5760"/>
          <w:tab w:val="left" w:pos="6480"/>
          <w:tab w:val="left" w:pos="7200"/>
        </w:tabs>
        <w:spacing w:after="0" w:line="240" w:lineRule="auto"/>
        <w:jc w:val="center"/>
        <w:rPr>
          <w:rFonts w:ascii="Times New Roman" w:eastAsia="Times New Roman" w:hAnsi="Times New Roman" w:cs="Times New Roman"/>
          <w:b/>
          <w:sz w:val="26"/>
          <w:szCs w:val="26"/>
          <w:lang w:bidi="en-US"/>
        </w:rPr>
      </w:pPr>
      <w:r w:rsidRPr="00A7466C">
        <w:rPr>
          <w:rFonts w:ascii="Times New Roman" w:eastAsia="Times New Roman" w:hAnsi="Times New Roman" w:cs="Times New Roman"/>
          <w:b/>
          <w:sz w:val="26"/>
          <w:szCs w:val="26"/>
          <w:lang w:bidi="en-US"/>
        </w:rPr>
        <w:t>SUBMITTED ON BEHALF OF</w:t>
      </w:r>
    </w:p>
    <w:p w:rsidR="00C85AC5" w:rsidRPr="002B702B" w:rsidRDefault="00C85AC5" w:rsidP="00C85AC5">
      <w:pPr>
        <w:tabs>
          <w:tab w:val="left" w:pos="720"/>
          <w:tab w:val="left" w:pos="1440"/>
          <w:tab w:val="left" w:pos="2880"/>
          <w:tab w:val="left" w:pos="4320"/>
          <w:tab w:val="left" w:pos="5040"/>
          <w:tab w:val="left" w:pos="5760"/>
          <w:tab w:val="left" w:pos="6480"/>
          <w:tab w:val="left" w:pos="7200"/>
        </w:tabs>
        <w:spacing w:after="0" w:line="240" w:lineRule="auto"/>
        <w:jc w:val="center"/>
        <w:rPr>
          <w:rFonts w:ascii="Times New Roman" w:eastAsia="Times New Roman" w:hAnsi="Times New Roman" w:cs="Times New Roman"/>
          <w:color w:val="FF0000"/>
          <w:sz w:val="26"/>
          <w:szCs w:val="26"/>
          <w:lang w:bidi="en-US"/>
        </w:rPr>
      </w:pPr>
      <w:r w:rsidRPr="00A7466C">
        <w:rPr>
          <w:rFonts w:ascii="Times New Roman" w:eastAsia="Times New Roman" w:hAnsi="Times New Roman" w:cs="Times New Roman"/>
          <w:b/>
          <w:sz w:val="26"/>
          <w:szCs w:val="26"/>
          <w:lang w:bidi="en-US"/>
        </w:rPr>
        <w:t xml:space="preserve">THE </w:t>
      </w:r>
      <w:r>
        <w:rPr>
          <w:rFonts w:ascii="Times New Roman" w:eastAsia="Times New Roman" w:hAnsi="Times New Roman" w:cs="Times New Roman"/>
          <w:b/>
          <w:sz w:val="26"/>
          <w:szCs w:val="26"/>
          <w:lang w:bidi="en-US"/>
        </w:rPr>
        <w:t xml:space="preserve">PUBLIC UTILITIES COMMISSION OF OHIO </w:t>
      </w:r>
    </w:p>
    <w:p w:rsidR="00C85AC5" w:rsidRPr="006D0979" w:rsidRDefault="007E2762" w:rsidP="00C85AC5">
      <w:pPr>
        <w:rPr>
          <w:rFonts w:ascii="Times New Roman" w:eastAsia="Times New Roman" w:hAnsi="Times New Roman" w:cs="Times New Roman"/>
          <w:sz w:val="26"/>
          <w:szCs w:val="26"/>
          <w:lang w:bidi="en-US"/>
        </w:rPr>
      </w:pPr>
      <w:r>
        <w:rPr>
          <w:rFonts w:ascii="Times New Roman" w:eastAsia="Times New Roman" w:hAnsi="Times New Roman" w:cs="Times New Roman"/>
          <w:sz w:val="26"/>
          <w:szCs w:val="26"/>
          <w:lang w:bidi="en-US"/>
        </w:rPr>
        <w:pict>
          <v:rect id="_x0000_i1026" style="width:468pt;height:1.5pt" o:hralign="center" o:hrstd="t" o:hrnoshade="t" o:hr="t" fillcolor="black" stroked="f"/>
        </w:pict>
      </w:r>
    </w:p>
    <w:p w:rsidR="00C85AC5" w:rsidRDefault="00C85AC5" w:rsidP="004C2408">
      <w:pPr>
        <w:pStyle w:val="Textstyle"/>
      </w:pPr>
      <w:r>
        <w:tab/>
      </w:r>
      <w:r w:rsidR="00386226">
        <w:t>T</w:t>
      </w:r>
      <w:r>
        <w:t xml:space="preserve">he </w:t>
      </w:r>
      <w:r w:rsidR="008E33CE">
        <w:t>Public Utilities Commission of Ohio (</w:t>
      </w:r>
      <w:r>
        <w:t>PUCO</w:t>
      </w:r>
      <w:r w:rsidR="008E33CE">
        <w:t>)</w:t>
      </w:r>
      <w:r>
        <w:rPr>
          <w:color w:val="FF0000"/>
        </w:rPr>
        <w:t xml:space="preserve"> </w:t>
      </w:r>
      <w:r w:rsidRPr="00041742">
        <w:t>submit</w:t>
      </w:r>
      <w:r>
        <w:t>s</w:t>
      </w:r>
      <w:r w:rsidRPr="00041742">
        <w:t xml:space="preserve"> the</w:t>
      </w:r>
      <w:r>
        <w:t xml:space="preserve"> following com</w:t>
      </w:r>
      <w:r>
        <w:softHyphen/>
        <w:t xml:space="preserve">ments in response to </w:t>
      </w:r>
      <w:r w:rsidRPr="008948F4">
        <w:t>PJM Interconnection, L.L.C</w:t>
      </w:r>
      <w:r>
        <w:t>.’s</w:t>
      </w:r>
      <w:r w:rsidRPr="008948F4">
        <w:t xml:space="preserve"> (PJM)’s </w:t>
      </w:r>
      <w:r w:rsidR="008E6CE2">
        <w:t>request for an expedited grant of</w:t>
      </w:r>
      <w:r w:rsidR="00AA4C0B">
        <w:t xml:space="preserve"> a one-time</w:t>
      </w:r>
      <w:r w:rsidR="008E6CE2">
        <w:t xml:space="preserve"> waiver to delay its upcoming Base Residual Auction (BRA)</w:t>
      </w:r>
      <w:r w:rsidR="00AA4C0B">
        <w:t xml:space="preserve">.  </w:t>
      </w:r>
      <w:r w:rsidR="004C0436">
        <w:t xml:space="preserve">The </w:t>
      </w:r>
      <w:r w:rsidR="00386226">
        <w:t xml:space="preserve">Federal Energy Regulatory </w:t>
      </w:r>
      <w:r w:rsidR="00386226">
        <w:lastRenderedPageBreak/>
        <w:t>Commission (</w:t>
      </w:r>
      <w:r w:rsidR="004C0436">
        <w:t>Commission</w:t>
      </w:r>
      <w:r w:rsidR="00386226">
        <w:t>)</w:t>
      </w:r>
      <w:r w:rsidR="004C0436">
        <w:t xml:space="preserve"> issued a Notice requesting com</w:t>
      </w:r>
      <w:r w:rsidR="00727E68">
        <w:softHyphen/>
      </w:r>
      <w:r w:rsidR="004C0436">
        <w:t>ments on PJM’s request by April 14, 2015.</w:t>
      </w:r>
      <w:r w:rsidR="00AA4C0B">
        <w:t xml:space="preserve">  </w:t>
      </w:r>
      <w:r>
        <w:t xml:space="preserve">The PUCO intervened in this matter on </w:t>
      </w:r>
      <w:r w:rsidR="008E6CE2">
        <w:t>April</w:t>
      </w:r>
      <w:r w:rsidR="00AA4C0B">
        <w:t xml:space="preserve"> 9</w:t>
      </w:r>
      <w:r>
        <w:t>, 2015.</w:t>
      </w:r>
      <w:r w:rsidR="004C0436">
        <w:t xml:space="preserve"> </w:t>
      </w:r>
    </w:p>
    <w:p w:rsidR="00C535DA" w:rsidRDefault="00C85AC5" w:rsidP="00727E68">
      <w:pPr>
        <w:pStyle w:val="Heading1"/>
      </w:pPr>
      <w:r>
        <w:t>I.</w:t>
      </w:r>
      <w:r>
        <w:tab/>
      </w:r>
      <w:r w:rsidRPr="004C2408">
        <w:t>Introduction</w:t>
      </w:r>
      <w:r>
        <w:t xml:space="preserve"> </w:t>
      </w:r>
    </w:p>
    <w:p w:rsidR="00FC3238" w:rsidRDefault="00C535DA" w:rsidP="004C2408">
      <w:pPr>
        <w:pStyle w:val="Textstyle"/>
      </w:pPr>
      <w:r>
        <w:tab/>
      </w:r>
      <w:r w:rsidR="00C85AC5">
        <w:t xml:space="preserve">The PUCO urges the Commission </w:t>
      </w:r>
      <w:r w:rsidR="008E6CE2">
        <w:t>to approve PJM’s waiver request</w:t>
      </w:r>
      <w:r>
        <w:t>.  Granting a one-time waiver to delay the 2015 BRA</w:t>
      </w:r>
      <w:r w:rsidR="008E6CE2">
        <w:t xml:space="preserve"> </w:t>
      </w:r>
      <w:r>
        <w:t>creates</w:t>
      </w:r>
      <w:r w:rsidR="00C75993">
        <w:t xml:space="preserve"> the opportunity for </w:t>
      </w:r>
      <w:r w:rsidR="00AA4C0B">
        <w:t>enhanced</w:t>
      </w:r>
      <w:r w:rsidR="00C75993">
        <w:t xml:space="preserve"> </w:t>
      </w:r>
      <w:r>
        <w:t xml:space="preserve">generation </w:t>
      </w:r>
      <w:r w:rsidR="00AA4C0B">
        <w:t>performance</w:t>
      </w:r>
      <w:r w:rsidR="00C75993">
        <w:t xml:space="preserve"> standards to </w:t>
      </w:r>
      <w:r>
        <w:t xml:space="preserve">still </w:t>
      </w:r>
      <w:r w:rsidR="00C75993">
        <w:t xml:space="preserve">be implemented </w:t>
      </w:r>
      <w:r>
        <w:t xml:space="preserve">in time </w:t>
      </w:r>
      <w:r w:rsidR="00C75993">
        <w:t>for the 2018/2019 Delivery Year</w:t>
      </w:r>
      <w:r w:rsidR="00FC3238">
        <w:t xml:space="preserve">. </w:t>
      </w:r>
      <w:r w:rsidR="00BE56CC">
        <w:t xml:space="preserve"> </w:t>
      </w:r>
      <w:r w:rsidR="000E048F">
        <w:t xml:space="preserve">In balancing the impact of </w:t>
      </w:r>
      <w:r w:rsidR="00AA4C0B">
        <w:t>a slight delay of the BRA</w:t>
      </w:r>
      <w:r w:rsidR="000E048F">
        <w:t xml:space="preserve"> with </w:t>
      </w:r>
      <w:r w:rsidR="00BE56CC">
        <w:t xml:space="preserve">the potential reliability benefits </w:t>
      </w:r>
      <w:r>
        <w:t>of having</w:t>
      </w:r>
      <w:r w:rsidR="000E048F">
        <w:t xml:space="preserve"> </w:t>
      </w:r>
      <w:r w:rsidR="00AA4C0B">
        <w:t>essential</w:t>
      </w:r>
      <w:r w:rsidR="000E048F">
        <w:t xml:space="preserve"> tariff revisions in place for the 2018/2019 Delivery Year, a minimal delay is prudent.  Further, by granting PJM’s waiver request, the Commission mitigates market uncertainty </w:t>
      </w:r>
      <w:r w:rsidR="00B62EA9">
        <w:t>by allowing</w:t>
      </w:r>
      <w:r w:rsidR="00B62EA9" w:rsidRPr="003772F0">
        <w:t xml:space="preserve"> market participants to know</w:t>
      </w:r>
      <w:r w:rsidR="00B62EA9">
        <w:t xml:space="preserve"> what</w:t>
      </w:r>
      <w:r w:rsidR="00B62EA9" w:rsidRPr="003772F0">
        <w:t xml:space="preserve"> the performance </w:t>
      </w:r>
      <w:r w:rsidR="00B62EA9">
        <w:t>requirements</w:t>
      </w:r>
      <w:r w:rsidR="00B62EA9" w:rsidRPr="003772F0">
        <w:t xml:space="preserve"> are</w:t>
      </w:r>
      <w:r w:rsidR="00B62EA9">
        <w:t xml:space="preserve"> in order to</w:t>
      </w:r>
      <w:r w:rsidR="00B62EA9" w:rsidRPr="003772F0">
        <w:t xml:space="preserve"> value risk accordingly.</w:t>
      </w:r>
    </w:p>
    <w:p w:rsidR="00FC3238" w:rsidRDefault="00FC3238" w:rsidP="00727E68">
      <w:pPr>
        <w:pStyle w:val="Heading1"/>
      </w:pPr>
      <w:r>
        <w:t>II.</w:t>
      </w:r>
      <w:r>
        <w:tab/>
      </w:r>
      <w:r w:rsidRPr="004C2408">
        <w:t>Background</w:t>
      </w:r>
    </w:p>
    <w:p w:rsidR="00DC7A95" w:rsidRDefault="00FC3238" w:rsidP="00C75993">
      <w:pPr>
        <w:pStyle w:val="Textstyle"/>
      </w:pPr>
      <w:r>
        <w:rPr>
          <w:b/>
        </w:rPr>
        <w:lastRenderedPageBreak/>
        <w:tab/>
      </w:r>
      <w:r w:rsidR="00BE2B43">
        <w:t xml:space="preserve">On December 12, 2014, PJM filed </w:t>
      </w:r>
      <w:r w:rsidR="00B955C9">
        <w:t xml:space="preserve">proposed </w:t>
      </w:r>
      <w:r w:rsidR="003B092E">
        <w:t>improvements</w:t>
      </w:r>
      <w:r w:rsidR="00BE2B43">
        <w:t xml:space="preserve"> to its </w:t>
      </w:r>
      <w:r w:rsidR="00DC7A95">
        <w:t>Reliability Pric</w:t>
      </w:r>
      <w:r w:rsidR="00727E68">
        <w:softHyphen/>
      </w:r>
      <w:r w:rsidR="00DC7A95">
        <w:t xml:space="preserve">ing Model (RPM) </w:t>
      </w:r>
      <w:r w:rsidR="00BE2B43">
        <w:t xml:space="preserve">to </w:t>
      </w:r>
      <w:r w:rsidR="00C535DA">
        <w:t>correct market design flaws that were not providing sufficient incen</w:t>
      </w:r>
      <w:r w:rsidR="00727E68">
        <w:softHyphen/>
      </w:r>
      <w:r w:rsidR="00C535DA">
        <w:t>tives for generation unit performance</w:t>
      </w:r>
      <w:r w:rsidR="00C75993">
        <w:t>.</w:t>
      </w:r>
      <w:r w:rsidR="00BE2B43">
        <w:rPr>
          <w:rStyle w:val="FootnoteReference"/>
        </w:rPr>
        <w:footnoteReference w:id="1"/>
      </w:r>
      <w:r w:rsidR="00DC7A95">
        <w:t xml:space="preserve">  These reforms, referred to as Capacity Perfor</w:t>
      </w:r>
      <w:r w:rsidR="00727E68">
        <w:softHyphen/>
      </w:r>
      <w:r w:rsidR="00DC7A95">
        <w:t xml:space="preserve">mance, </w:t>
      </w:r>
      <w:r w:rsidR="00AA4C0B">
        <w:t>were designed</w:t>
      </w:r>
      <w:r w:rsidR="00DC7A95">
        <w:t xml:space="preserve"> to enhance fuel security and generator performance.  </w:t>
      </w:r>
    </w:p>
    <w:p w:rsidR="00903B96" w:rsidRDefault="00DC7A95" w:rsidP="00C75993">
      <w:pPr>
        <w:pStyle w:val="Textstyle"/>
      </w:pPr>
      <w:r>
        <w:tab/>
      </w:r>
      <w:r w:rsidR="00BE2B43">
        <w:t xml:space="preserve">On January 20, 2015, the PUCO submitted </w:t>
      </w:r>
      <w:r w:rsidR="003B092E">
        <w:t>c</w:t>
      </w:r>
      <w:r w:rsidR="00BE2B43">
        <w:t xml:space="preserve">omments and </w:t>
      </w:r>
      <w:r w:rsidR="003B092E">
        <w:t>a l</w:t>
      </w:r>
      <w:r w:rsidR="00BE2B43">
        <w:t xml:space="preserve">imited </w:t>
      </w:r>
      <w:r w:rsidR="003B092E">
        <w:t>p</w:t>
      </w:r>
      <w:r w:rsidR="00BE2B43">
        <w:t xml:space="preserve">rotest in response to PJM’s Capacity Performance proposal. </w:t>
      </w:r>
      <w:r w:rsidR="00C75993">
        <w:t>The PUCO</w:t>
      </w:r>
      <w:r>
        <w:t xml:space="preserve">’s comments expressed support for Capacity Performance, </w:t>
      </w:r>
      <w:r w:rsidR="000E048F">
        <w:t xml:space="preserve">noting that </w:t>
      </w:r>
      <w:r w:rsidR="00C75993">
        <w:t xml:space="preserve">RPM </w:t>
      </w:r>
      <w:r>
        <w:t xml:space="preserve">was not ensuring adequate </w:t>
      </w:r>
      <w:r w:rsidR="00C75993">
        <w:t>generat</w:t>
      </w:r>
      <w:r>
        <w:t>or</w:t>
      </w:r>
      <w:r w:rsidR="003B092E">
        <w:t xml:space="preserve"> performance.  </w:t>
      </w:r>
      <w:r w:rsidR="00CE52C3">
        <w:t xml:space="preserve">The PUCO </w:t>
      </w:r>
      <w:r w:rsidR="003B092E">
        <w:t>noted</w:t>
      </w:r>
      <w:r>
        <w:t xml:space="preserve"> that </w:t>
      </w:r>
      <w:r w:rsidR="00CE52C3">
        <w:t xml:space="preserve">PJM’s </w:t>
      </w:r>
      <w:r w:rsidR="003B092E">
        <w:t xml:space="preserve">proposed </w:t>
      </w:r>
      <w:r w:rsidR="00CE52C3">
        <w:t xml:space="preserve">Capacity Performance </w:t>
      </w:r>
      <w:r w:rsidR="003B092E">
        <w:t>product is</w:t>
      </w:r>
      <w:r w:rsidR="00CE52C3">
        <w:t xml:space="preserve"> a reasonable approach to improve reliability and</w:t>
      </w:r>
      <w:r w:rsidR="00D77DBF">
        <w:t xml:space="preserve"> suggested a few important modifications to </w:t>
      </w:r>
      <w:r w:rsidR="00AD1CE0">
        <w:t>the</w:t>
      </w:r>
      <w:r w:rsidR="00D77DBF">
        <w:t xml:space="preserve"> </w:t>
      </w:r>
      <w:r w:rsidR="0089728A">
        <w:t>p</w:t>
      </w:r>
      <w:r w:rsidR="00D77DBF">
        <w:t>roposal.</w:t>
      </w:r>
      <w:r w:rsidR="004C0436">
        <w:rPr>
          <w:rStyle w:val="FootnoteReference"/>
        </w:rPr>
        <w:footnoteReference w:id="2"/>
      </w:r>
      <w:r w:rsidR="00903B96">
        <w:t xml:space="preserve"> </w:t>
      </w:r>
    </w:p>
    <w:p w:rsidR="00E53984" w:rsidRDefault="00903B96" w:rsidP="004C2408">
      <w:pPr>
        <w:pStyle w:val="Textstyle"/>
      </w:pPr>
      <w:r>
        <w:lastRenderedPageBreak/>
        <w:tab/>
      </w:r>
      <w:r w:rsidR="00BE56CC">
        <w:t xml:space="preserve">On March 31, 2015, </w:t>
      </w:r>
      <w:r w:rsidR="00A76E11">
        <w:t xml:space="preserve">the Commission staff issued </w:t>
      </w:r>
      <w:r w:rsidR="00B955C9">
        <w:t xml:space="preserve">a </w:t>
      </w:r>
      <w:r w:rsidR="003B092E">
        <w:t>d</w:t>
      </w:r>
      <w:r w:rsidR="00A76E11">
        <w:t>eficiency</w:t>
      </w:r>
      <w:r w:rsidR="00BE56CC">
        <w:t xml:space="preserve"> </w:t>
      </w:r>
      <w:r w:rsidR="003B092E">
        <w:t>l</w:t>
      </w:r>
      <w:r w:rsidR="00BE56CC">
        <w:t>etter requesting additional information</w:t>
      </w:r>
      <w:r w:rsidR="004C0436">
        <w:t xml:space="preserve"> </w:t>
      </w:r>
      <w:r w:rsidR="00E53984">
        <w:t>on</w:t>
      </w:r>
      <w:r w:rsidR="004C0436">
        <w:t xml:space="preserve"> PJM’s Capacity Performance </w:t>
      </w:r>
      <w:r w:rsidR="0089728A">
        <w:t>p</w:t>
      </w:r>
      <w:r w:rsidR="004C0436">
        <w:t>roposal</w:t>
      </w:r>
      <w:r w:rsidR="001B7B30">
        <w:t>.</w:t>
      </w:r>
      <w:r w:rsidR="00B66DA8">
        <w:rPr>
          <w:rStyle w:val="FootnoteReference"/>
        </w:rPr>
        <w:footnoteReference w:id="3"/>
      </w:r>
      <w:r w:rsidR="004C0436">
        <w:t xml:space="preserve"> </w:t>
      </w:r>
      <w:r w:rsidR="007E0D7E">
        <w:t xml:space="preserve"> </w:t>
      </w:r>
      <w:r w:rsidR="003A0C59">
        <w:t xml:space="preserve">The </w:t>
      </w:r>
      <w:r w:rsidR="00D44BD8">
        <w:t xml:space="preserve">deficiency letter </w:t>
      </w:r>
      <w:r w:rsidR="00DC29BD">
        <w:t>established</w:t>
      </w:r>
      <w:r w:rsidR="00D44BD8">
        <w:t xml:space="preserve"> a 30</w:t>
      </w:r>
      <w:r w:rsidR="00916A27">
        <w:t>-</w:t>
      </w:r>
      <w:r w:rsidR="00D44BD8">
        <w:t xml:space="preserve">day deadline for PJM to respond.  </w:t>
      </w:r>
      <w:r w:rsidR="00DC29BD">
        <w:t xml:space="preserve">After PJM formally responds to the deficiency letter, the Commission </w:t>
      </w:r>
      <w:r w:rsidR="00DC7A95">
        <w:t>has</w:t>
      </w:r>
      <w:r w:rsidR="003A0C59">
        <w:t xml:space="preserve"> 60 days to act on PJM’s response.</w:t>
      </w:r>
      <w:r w:rsidR="003A0C59">
        <w:rPr>
          <w:rStyle w:val="FootnoteReference"/>
        </w:rPr>
        <w:footnoteReference w:id="4"/>
      </w:r>
      <w:r w:rsidR="003A0C59">
        <w:t xml:space="preserve">  This deadline </w:t>
      </w:r>
      <w:r w:rsidR="00DC7A95">
        <w:t>falls after</w:t>
      </w:r>
      <w:r w:rsidR="003A0C59">
        <w:t xml:space="preserve"> this year’s BRA</w:t>
      </w:r>
      <w:r w:rsidR="00DC7A95">
        <w:t xml:space="preserve">, </w:t>
      </w:r>
      <w:r w:rsidR="00DC29BD">
        <w:t xml:space="preserve">which is </w:t>
      </w:r>
      <w:r w:rsidR="00DC7A95">
        <w:t>scheduled for May 11-15, 2015</w:t>
      </w:r>
      <w:r w:rsidR="00DC29BD">
        <w:t xml:space="preserve"> in accordance with PJM’s tariff provisions.  </w:t>
      </w:r>
    </w:p>
    <w:p w:rsidR="00A10328" w:rsidRDefault="00E53984" w:rsidP="004C2408">
      <w:pPr>
        <w:pStyle w:val="Textstyle"/>
      </w:pPr>
      <w:r>
        <w:tab/>
      </w:r>
      <w:r w:rsidR="00DC7A95">
        <w:t xml:space="preserve">In its request, </w:t>
      </w:r>
      <w:r w:rsidR="004C0436">
        <w:t>PJM states that a waiver is ne</w:t>
      </w:r>
      <w:r>
        <w:t>cessary</w:t>
      </w:r>
      <w:r w:rsidR="004C0436">
        <w:t xml:space="preserve"> to resolve </w:t>
      </w:r>
      <w:r>
        <w:t xml:space="preserve">market </w:t>
      </w:r>
      <w:r w:rsidR="004C0436">
        <w:t xml:space="preserve">uncertainty </w:t>
      </w:r>
      <w:r>
        <w:t>over whether</w:t>
      </w:r>
      <w:r w:rsidR="004C0436">
        <w:t xml:space="preserve"> Capacity Performance </w:t>
      </w:r>
      <w:r>
        <w:t>reforms, if approved, could apply</w:t>
      </w:r>
      <w:r w:rsidR="004C0436">
        <w:t xml:space="preserve"> to the 2015 BRA.  </w:t>
      </w:r>
      <w:r>
        <w:t xml:space="preserve"> </w:t>
      </w:r>
      <w:r w:rsidR="002A0513">
        <w:t xml:space="preserve">Consequently, </w:t>
      </w:r>
      <w:r>
        <w:t>PJM proposes delaying the BRA</w:t>
      </w:r>
      <w:r w:rsidR="004C0436">
        <w:t xml:space="preserve"> to a week that is 30 to 75 days after a Commissio</w:t>
      </w:r>
      <w:r>
        <w:t xml:space="preserve">n order on the merits of PJM’s </w:t>
      </w:r>
      <w:r w:rsidR="003772F0">
        <w:t xml:space="preserve">Capacity Performance </w:t>
      </w:r>
      <w:r w:rsidR="0089728A">
        <w:t>p</w:t>
      </w:r>
      <w:r w:rsidR="003772F0">
        <w:t>roposal</w:t>
      </w:r>
      <w:r w:rsidR="004C0436">
        <w:t xml:space="preserve">, but no later than the week of August </w:t>
      </w:r>
      <w:r w:rsidR="004C0436">
        <w:lastRenderedPageBreak/>
        <w:t xml:space="preserve">10-14, 2015. </w:t>
      </w:r>
      <w:r w:rsidR="00B955C9">
        <w:t xml:space="preserve">  PJM adds that if the Commission does not take action </w:t>
      </w:r>
      <w:r w:rsidR="00AD1CE0">
        <w:t xml:space="preserve">on the waiver request </w:t>
      </w:r>
      <w:r w:rsidR="00B955C9">
        <w:t>by April 24, 2015, its request should be deemed withdrawn</w:t>
      </w:r>
      <w:r w:rsidR="00B955C9" w:rsidRPr="00B62EA9">
        <w:rPr>
          <w:strike/>
        </w:rPr>
        <w:t>,</w:t>
      </w:r>
      <w:r w:rsidR="00B955C9">
        <w:t xml:space="preserve"> and the BRA will be run in accordance with PJM’s current </w:t>
      </w:r>
      <w:r w:rsidR="002A0513">
        <w:t>t</w:t>
      </w:r>
      <w:r w:rsidR="00B955C9">
        <w:t xml:space="preserve">ariff provisions.  </w:t>
      </w:r>
    </w:p>
    <w:p w:rsidR="001B7B30" w:rsidRDefault="001B7B30" w:rsidP="00727E68">
      <w:pPr>
        <w:pStyle w:val="Heading1"/>
      </w:pPr>
      <w:r w:rsidRPr="004C0436">
        <w:t>III.</w:t>
      </w:r>
      <w:r>
        <w:tab/>
      </w:r>
      <w:r w:rsidRPr="004C2408">
        <w:t xml:space="preserve">Comments </w:t>
      </w:r>
    </w:p>
    <w:p w:rsidR="00E53984" w:rsidRPr="00E53984" w:rsidRDefault="00E53984" w:rsidP="004C2408">
      <w:pPr>
        <w:pStyle w:val="Textstyle"/>
      </w:pPr>
      <w:r>
        <w:tab/>
        <w:t xml:space="preserve">The Commission should grant PJM’s one-time waiver request.  </w:t>
      </w:r>
      <w:r w:rsidR="00792663">
        <w:t>The PUCO under</w:t>
      </w:r>
      <w:r w:rsidR="00727E68">
        <w:softHyphen/>
      </w:r>
      <w:r w:rsidR="00792663">
        <w:t>stands that BRA market participants rely upon PJM’s tariffs for certainty and clarity, including the 36-month period between the BRA and the start of the delivery year.  How</w:t>
      </w:r>
      <w:r w:rsidR="00727E68">
        <w:softHyphen/>
      </w:r>
      <w:r w:rsidR="00792663">
        <w:t xml:space="preserve">ever, a </w:t>
      </w:r>
      <w:r>
        <w:t>minimal delay in PJM’s 2015 BRA will provide an opportunity for Capacity Per</w:t>
      </w:r>
      <w:r w:rsidR="00727E68">
        <w:softHyphen/>
      </w:r>
      <w:r>
        <w:t xml:space="preserve">formance reliability initiatives, if approved, to be in place by the 2018/2019 delivery year.  </w:t>
      </w:r>
      <w:r w:rsidR="003D7B8C">
        <w:t xml:space="preserve">Further, </w:t>
      </w:r>
      <w:r w:rsidR="009856EA">
        <w:t>a minimal delay</w:t>
      </w:r>
      <w:r w:rsidR="003D7B8C">
        <w:t xml:space="preserve"> </w:t>
      </w:r>
      <w:r w:rsidR="00492963" w:rsidRPr="00B62EA9">
        <w:rPr>
          <w:color w:val="auto"/>
        </w:rPr>
        <w:t>to allow for a Commission order on Capacity Perfor</w:t>
      </w:r>
      <w:r w:rsidR="00727E68">
        <w:rPr>
          <w:color w:val="auto"/>
        </w:rPr>
        <w:softHyphen/>
      </w:r>
      <w:r w:rsidR="00492963" w:rsidRPr="00B62EA9">
        <w:rPr>
          <w:color w:val="auto"/>
        </w:rPr>
        <w:t xml:space="preserve">mance </w:t>
      </w:r>
      <w:r w:rsidR="003D7B8C">
        <w:t xml:space="preserve">would </w:t>
      </w:r>
      <w:r w:rsidR="003B2E00">
        <w:t>mitigate un</w:t>
      </w:r>
      <w:r w:rsidR="003D7B8C">
        <w:t>certainty</w:t>
      </w:r>
      <w:r w:rsidR="003B2E00">
        <w:t xml:space="preserve"> within</w:t>
      </w:r>
      <w:r w:rsidR="003D7B8C">
        <w:t xml:space="preserve"> PJM’s markets, regardless of whether </w:t>
      </w:r>
      <w:r w:rsidR="00492963">
        <w:t>the pro</w:t>
      </w:r>
      <w:r w:rsidR="00727E68">
        <w:softHyphen/>
      </w:r>
      <w:r w:rsidR="00492963">
        <w:t xml:space="preserve">posal </w:t>
      </w:r>
      <w:r w:rsidR="003D7B8C">
        <w:t xml:space="preserve">is ultimately approved or denied.  </w:t>
      </w:r>
    </w:p>
    <w:p w:rsidR="003772F0" w:rsidRPr="003772F0" w:rsidRDefault="00727E68" w:rsidP="00727E68">
      <w:pPr>
        <w:pStyle w:val="Heading2"/>
      </w:pPr>
      <w:r>
        <w:lastRenderedPageBreak/>
        <w:t>A.</w:t>
      </w:r>
      <w:r>
        <w:tab/>
      </w:r>
      <w:r w:rsidR="003772F0" w:rsidRPr="003772F0">
        <w:t>The Commission should grant PJM’s waiver in order to create the opportunity for improved resource reliability standards to be implemented for the 2018/2019 delivery year.</w:t>
      </w:r>
    </w:p>
    <w:p w:rsidR="003772F0" w:rsidRPr="003772F0" w:rsidRDefault="003772F0" w:rsidP="00727E68">
      <w:pPr>
        <w:pStyle w:val="Textstyle"/>
      </w:pPr>
      <w:r w:rsidRPr="003772F0">
        <w:tab/>
        <w:t>PJM’s Capacity Performance proposal will improve system reliability</w:t>
      </w:r>
      <w:r w:rsidR="00490235">
        <w:t xml:space="preserve"> by ensuring generation performance, particularly </w:t>
      </w:r>
      <w:r w:rsidRPr="003772F0">
        <w:t xml:space="preserve">during </w:t>
      </w:r>
      <w:r w:rsidR="00490235">
        <w:t>periods</w:t>
      </w:r>
      <w:r w:rsidRPr="003772F0">
        <w:t xml:space="preserve"> of system stress and extreme weather events.  If the Commission </w:t>
      </w:r>
      <w:r w:rsidR="00B62EA9">
        <w:t>finds</w:t>
      </w:r>
      <w:r w:rsidRPr="003772F0">
        <w:t xml:space="preserve"> that PJM’s Capacity Performance proposal solves some of the RPM deficiencies, it is imperative that these higher performance standards be implemented for the 2018/2019 delivery year.  Absent Commission approval of PJM’s waiver request, fundamental design flaws within RPM will continue to permeate, as more stringent generation performance standards </w:t>
      </w:r>
      <w:r w:rsidR="00AD1CE0">
        <w:t>c</w:t>
      </w:r>
      <w:r w:rsidR="00490235">
        <w:t xml:space="preserve">ould not </w:t>
      </w:r>
      <w:r w:rsidRPr="003772F0">
        <w:t xml:space="preserve">be implemented until the 2019/2020 delivery year.  </w:t>
      </w:r>
    </w:p>
    <w:p w:rsidR="00865A15" w:rsidRPr="003772F0" w:rsidRDefault="003772F0" w:rsidP="00727E68">
      <w:pPr>
        <w:pStyle w:val="Textstyle"/>
      </w:pPr>
      <w:r w:rsidRPr="003772F0">
        <w:tab/>
        <w:t>A delay in reliability reforms, coupled with uncertainties related to environmental regulations and the status of demand response, creates a precarious situation that may cause h</w:t>
      </w:r>
      <w:r w:rsidR="003B2E00">
        <w:t xml:space="preserve">arm to PJM’s </w:t>
      </w:r>
      <w:r w:rsidR="003B2E00">
        <w:lastRenderedPageBreak/>
        <w:t>markets, market participants,</w:t>
      </w:r>
      <w:r w:rsidRPr="003772F0">
        <w:t xml:space="preserve"> and end-use electricity consumers who depend on competitive markets to provide reliable and reasonably priced electricity.  The PUCO urges the Commission </w:t>
      </w:r>
      <w:r w:rsidR="00B955C9">
        <w:t xml:space="preserve">to </w:t>
      </w:r>
      <w:r w:rsidRPr="003772F0">
        <w:t xml:space="preserve">grant PJM’s waiver request.  </w:t>
      </w:r>
    </w:p>
    <w:p w:rsidR="003772F0" w:rsidRPr="006436A3" w:rsidRDefault="006436A3" w:rsidP="00727E68">
      <w:pPr>
        <w:pStyle w:val="Heading2"/>
      </w:pPr>
      <w:r>
        <w:t>B.</w:t>
      </w:r>
      <w:r>
        <w:tab/>
      </w:r>
      <w:r w:rsidR="003772F0" w:rsidRPr="006436A3">
        <w:t>Delaying the RPM auction until a definitive Commission order is issued benefits c</w:t>
      </w:r>
      <w:r w:rsidR="00A10328" w:rsidRPr="006436A3">
        <w:t xml:space="preserve">ompetitive </w:t>
      </w:r>
      <w:r w:rsidR="003772F0" w:rsidRPr="006436A3">
        <w:t xml:space="preserve">markets by providing certainty and transparency to market participants.  </w:t>
      </w:r>
    </w:p>
    <w:p w:rsidR="004C2408" w:rsidRDefault="003772F0" w:rsidP="00D77DBF">
      <w:pPr>
        <w:pStyle w:val="Textstyle"/>
      </w:pPr>
      <w:r w:rsidRPr="003772F0">
        <w:rPr>
          <w:b/>
        </w:rPr>
        <w:tab/>
      </w:r>
      <w:r w:rsidRPr="003772F0">
        <w:t>If the Commission were to deny PJM’s waiver request (or not take action on it),</w:t>
      </w:r>
      <w:r w:rsidR="00792663">
        <w:t xml:space="preserve"> then the BRA </w:t>
      </w:r>
      <w:r w:rsidR="00492963">
        <w:t xml:space="preserve">will </w:t>
      </w:r>
      <w:r w:rsidR="00792663">
        <w:t xml:space="preserve">be run without the possibility of Capacity Performance being included in the tariffs.  </w:t>
      </w:r>
      <w:r w:rsidR="004F1F05">
        <w:t xml:space="preserve">RPM results may not provide </w:t>
      </w:r>
      <w:r w:rsidR="005061A3">
        <w:t xml:space="preserve">transparent price </w:t>
      </w:r>
      <w:r w:rsidRPr="003772F0">
        <w:t xml:space="preserve">signals </w:t>
      </w:r>
      <w:r w:rsidR="004F1F05">
        <w:t xml:space="preserve">that are necessary </w:t>
      </w:r>
      <w:r w:rsidRPr="003772F0">
        <w:t xml:space="preserve">to improve generation unit performance </w:t>
      </w:r>
      <w:r w:rsidR="004F1F05">
        <w:t>and</w:t>
      </w:r>
      <w:r w:rsidRPr="003772F0">
        <w:t xml:space="preserve"> reliability during periods of peak demand and system stress.   Incumbent generation units may contemplate whether or not it is neces</w:t>
      </w:r>
      <w:r w:rsidR="00727E68">
        <w:softHyphen/>
      </w:r>
      <w:r w:rsidRPr="003772F0">
        <w:t xml:space="preserve">sary to improve </w:t>
      </w:r>
      <w:r w:rsidR="005061A3">
        <w:t>or</w:t>
      </w:r>
      <w:r w:rsidRPr="003772F0">
        <w:t xml:space="preserve"> update their facilities, while potential new entrants to the market face unknown risks </w:t>
      </w:r>
      <w:r w:rsidR="004F1F05">
        <w:t>in developing new facilities</w:t>
      </w:r>
      <w:r w:rsidRPr="003772F0">
        <w:t xml:space="preserve">.  </w:t>
      </w:r>
      <w:r w:rsidRPr="003772F0">
        <w:lastRenderedPageBreak/>
        <w:t>Regardless of how the Commission ulti</w:t>
      </w:r>
      <w:r w:rsidR="00727E68">
        <w:softHyphen/>
      </w:r>
      <w:r w:rsidRPr="003772F0">
        <w:t xml:space="preserve">mately decides on Capacity Performance, delaying the auction until a definitive order is issued allows for market participants to know, with confidence for the 2015 BRA, what the performance </w:t>
      </w:r>
      <w:r w:rsidR="00B62EA9">
        <w:t>requirements</w:t>
      </w:r>
      <w:r w:rsidR="00B62EA9" w:rsidRPr="003772F0">
        <w:t xml:space="preserve"> </w:t>
      </w:r>
      <w:r w:rsidRPr="003772F0">
        <w:t>are</w:t>
      </w:r>
      <w:r w:rsidR="005061A3">
        <w:t xml:space="preserve"> in order to</w:t>
      </w:r>
      <w:r w:rsidRPr="003772F0">
        <w:t xml:space="preserve"> value risk accordingly.  </w:t>
      </w:r>
    </w:p>
    <w:p w:rsidR="004C2408" w:rsidRDefault="004C2408" w:rsidP="00727E68">
      <w:pPr>
        <w:pStyle w:val="Heading1"/>
      </w:pPr>
      <w:r>
        <w:t>IV.</w:t>
      </w:r>
      <w:r>
        <w:tab/>
        <w:t>Conclusion</w:t>
      </w:r>
    </w:p>
    <w:p w:rsidR="004F1F05" w:rsidRPr="004F1F05" w:rsidRDefault="004F1F05" w:rsidP="004C2408">
      <w:pPr>
        <w:pStyle w:val="Textstyle"/>
      </w:pPr>
      <w:r>
        <w:rPr>
          <w:b/>
        </w:rPr>
        <w:tab/>
      </w:r>
      <w:r>
        <w:t>The PUCO respectfully requests that the Commission grant PJM’s one-time waiv</w:t>
      </w:r>
      <w:r w:rsidR="00727E68">
        <w:softHyphen/>
      </w:r>
      <w:r>
        <w:t xml:space="preserve">er to delay the 2015 BRA.  A brief delay in conducting 2015 BRA is warranted in order to improve fuel security and </w:t>
      </w:r>
      <w:r w:rsidR="0067322E">
        <w:t>generator</w:t>
      </w:r>
      <w:r>
        <w:t xml:space="preserve"> performance for the 2018/2019 delivery year.  PJM’s just and reasonable waiver request satisfies the Commission’s waiver </w:t>
      </w:r>
      <w:r w:rsidR="0095291F">
        <w:t xml:space="preserve">criteria and should be granted.  </w:t>
      </w:r>
    </w:p>
    <w:p w:rsidR="007E2762" w:rsidRDefault="007E2762" w:rsidP="00727E68">
      <w:pPr>
        <w:ind w:left="4320"/>
        <w:rPr>
          <w:rFonts w:ascii="Times New Roman" w:hAnsi="Times New Roman" w:cs="Times New Roman"/>
          <w:sz w:val="26"/>
          <w:szCs w:val="26"/>
        </w:rPr>
      </w:pPr>
      <w:r>
        <w:rPr>
          <w:rFonts w:ascii="Times New Roman" w:hAnsi="Times New Roman" w:cs="Times New Roman"/>
          <w:sz w:val="26"/>
          <w:szCs w:val="26"/>
        </w:rPr>
        <w:br w:type="page"/>
      </w:r>
    </w:p>
    <w:p w:rsidR="00F95924" w:rsidRDefault="00F95924" w:rsidP="00727E68">
      <w:pPr>
        <w:ind w:left="4320"/>
        <w:rPr>
          <w:rFonts w:ascii="Times New Roman" w:hAnsi="Times New Roman" w:cs="Times New Roman"/>
          <w:sz w:val="26"/>
          <w:szCs w:val="26"/>
        </w:rPr>
      </w:pPr>
      <w:r w:rsidRPr="00B0204D">
        <w:rPr>
          <w:rFonts w:ascii="Times New Roman" w:hAnsi="Times New Roman" w:cs="Times New Roman"/>
          <w:sz w:val="26"/>
          <w:szCs w:val="26"/>
        </w:rPr>
        <w:t>Respectfully submitted,</w:t>
      </w:r>
    </w:p>
    <w:p w:rsidR="00727E68" w:rsidRPr="00727E68" w:rsidRDefault="00727E68" w:rsidP="00727E68">
      <w:pPr>
        <w:pStyle w:val="NoSpacing"/>
        <w:tabs>
          <w:tab w:val="left" w:pos="9270"/>
        </w:tabs>
        <w:ind w:left="4320" w:right="0"/>
        <w:jc w:val="left"/>
        <w:rPr>
          <w:rFonts w:ascii="AR BERKLEY" w:hAnsi="AR BERKLEY"/>
          <w:sz w:val="32"/>
          <w:szCs w:val="32"/>
          <w:u w:val="single"/>
        </w:rPr>
      </w:pPr>
      <w:r w:rsidRPr="00727E68">
        <w:rPr>
          <w:rFonts w:ascii="AR BERKLEY" w:hAnsi="AR BERKLEY"/>
          <w:sz w:val="32"/>
          <w:szCs w:val="32"/>
          <w:u w:val="single"/>
        </w:rPr>
        <w:t>/s/ Jonathan J. Tauber</w:t>
      </w:r>
      <w:r w:rsidRPr="00727E68">
        <w:rPr>
          <w:rFonts w:ascii="AR BERKLEY" w:hAnsi="AR BERKLEY"/>
          <w:sz w:val="32"/>
          <w:szCs w:val="32"/>
          <w:u w:val="single"/>
        </w:rPr>
        <w:tab/>
      </w:r>
    </w:p>
    <w:p w:rsidR="00F95924" w:rsidRPr="00727E68" w:rsidRDefault="00F95924" w:rsidP="00727E68">
      <w:pPr>
        <w:pStyle w:val="NoSpacing"/>
        <w:ind w:left="4320" w:right="0"/>
        <w:jc w:val="left"/>
        <w:rPr>
          <w:b/>
          <w:sz w:val="26"/>
          <w:szCs w:val="26"/>
        </w:rPr>
      </w:pPr>
      <w:r w:rsidRPr="00727E68">
        <w:rPr>
          <w:b/>
          <w:sz w:val="26"/>
          <w:szCs w:val="26"/>
        </w:rPr>
        <w:t>Jonathan J. Tauber</w:t>
      </w:r>
    </w:p>
    <w:p w:rsidR="00F95924" w:rsidRPr="00727E68" w:rsidRDefault="00F95924" w:rsidP="00727E68">
      <w:pPr>
        <w:pStyle w:val="NoSpacing"/>
        <w:ind w:left="4320" w:right="0"/>
        <w:jc w:val="left"/>
        <w:rPr>
          <w:sz w:val="26"/>
          <w:szCs w:val="26"/>
        </w:rPr>
      </w:pPr>
      <w:r w:rsidRPr="00727E68">
        <w:rPr>
          <w:sz w:val="26"/>
          <w:szCs w:val="26"/>
        </w:rPr>
        <w:t>Ohio Federal Energy Advocate</w:t>
      </w:r>
    </w:p>
    <w:p w:rsidR="00F95924" w:rsidRPr="00727E68" w:rsidRDefault="00727E68" w:rsidP="00727E68">
      <w:pPr>
        <w:pStyle w:val="NoSpacing"/>
        <w:ind w:left="4320" w:right="0"/>
        <w:jc w:val="left"/>
        <w:rPr>
          <w:sz w:val="26"/>
          <w:szCs w:val="26"/>
        </w:rPr>
      </w:pPr>
      <w:r>
        <w:rPr>
          <w:sz w:val="26"/>
          <w:szCs w:val="26"/>
        </w:rPr>
        <w:t xml:space="preserve">Public Utilities Commission of </w:t>
      </w:r>
      <w:r w:rsidR="00F95924" w:rsidRPr="00727E68">
        <w:rPr>
          <w:sz w:val="26"/>
          <w:szCs w:val="26"/>
        </w:rPr>
        <w:t>Ohio</w:t>
      </w:r>
    </w:p>
    <w:p w:rsidR="00F95924" w:rsidRPr="00727E68" w:rsidRDefault="00F95924" w:rsidP="00727E68">
      <w:pPr>
        <w:pStyle w:val="NoSpacing"/>
        <w:ind w:left="4320" w:right="0"/>
        <w:jc w:val="left"/>
        <w:rPr>
          <w:sz w:val="26"/>
          <w:szCs w:val="26"/>
        </w:rPr>
      </w:pPr>
      <w:r w:rsidRPr="00727E68">
        <w:rPr>
          <w:sz w:val="26"/>
          <w:szCs w:val="26"/>
        </w:rPr>
        <w:t>180 East Broad Street</w:t>
      </w:r>
    </w:p>
    <w:p w:rsidR="00F95924" w:rsidRPr="00727E68" w:rsidRDefault="00F95924" w:rsidP="00727E68">
      <w:pPr>
        <w:pStyle w:val="NoSpacing"/>
        <w:ind w:left="4320" w:right="0"/>
        <w:jc w:val="left"/>
        <w:rPr>
          <w:sz w:val="26"/>
          <w:szCs w:val="26"/>
        </w:rPr>
      </w:pPr>
      <w:r w:rsidRPr="00727E68">
        <w:rPr>
          <w:sz w:val="26"/>
          <w:szCs w:val="26"/>
        </w:rPr>
        <w:t>Columbus, OH 43215-3793</w:t>
      </w:r>
    </w:p>
    <w:p w:rsidR="00F95924" w:rsidRPr="00727E68" w:rsidRDefault="00F95924" w:rsidP="00727E68">
      <w:pPr>
        <w:pStyle w:val="NoSpacing"/>
        <w:ind w:left="4320" w:right="0"/>
        <w:jc w:val="left"/>
        <w:rPr>
          <w:sz w:val="26"/>
          <w:szCs w:val="26"/>
        </w:rPr>
      </w:pPr>
      <w:r w:rsidRPr="00727E68">
        <w:rPr>
          <w:sz w:val="26"/>
          <w:szCs w:val="26"/>
        </w:rPr>
        <w:t>614.644.7797</w:t>
      </w:r>
      <w:r w:rsidR="00727E68">
        <w:rPr>
          <w:sz w:val="26"/>
          <w:szCs w:val="26"/>
        </w:rPr>
        <w:t xml:space="preserve"> (telephone)</w:t>
      </w:r>
    </w:p>
    <w:p w:rsidR="00F95924" w:rsidRPr="00727E68" w:rsidRDefault="00F95924" w:rsidP="00727E68">
      <w:pPr>
        <w:pStyle w:val="NoSpacing"/>
        <w:ind w:left="4320" w:right="0"/>
        <w:jc w:val="left"/>
        <w:rPr>
          <w:sz w:val="26"/>
          <w:szCs w:val="26"/>
        </w:rPr>
      </w:pPr>
      <w:r w:rsidRPr="00727E68">
        <w:rPr>
          <w:sz w:val="26"/>
          <w:szCs w:val="26"/>
        </w:rPr>
        <w:t>614.644.8764</w:t>
      </w:r>
      <w:r w:rsidR="00727E68">
        <w:rPr>
          <w:sz w:val="26"/>
          <w:szCs w:val="26"/>
        </w:rPr>
        <w:t xml:space="preserve"> (fax)</w:t>
      </w:r>
    </w:p>
    <w:p w:rsidR="00F95924" w:rsidRPr="00727E68" w:rsidRDefault="007E2762" w:rsidP="00727E68">
      <w:pPr>
        <w:pStyle w:val="NoSpacing"/>
        <w:ind w:left="4320" w:right="0"/>
        <w:jc w:val="left"/>
        <w:rPr>
          <w:rFonts w:eastAsia="Times New Roman"/>
          <w:sz w:val="26"/>
          <w:szCs w:val="26"/>
        </w:rPr>
      </w:pPr>
      <w:hyperlink r:id="rId8" w:history="1">
        <w:r w:rsidR="00F95924" w:rsidRPr="00727E68">
          <w:rPr>
            <w:rFonts w:eastAsia="Times New Roman"/>
            <w:color w:val="0000FF"/>
            <w:sz w:val="26"/>
            <w:szCs w:val="26"/>
            <w:u w:val="single"/>
          </w:rPr>
          <w:t>jonathan.tauber@puc.state.oh.us</w:t>
        </w:r>
      </w:hyperlink>
    </w:p>
    <w:p w:rsidR="00F95924" w:rsidRPr="00727E68" w:rsidRDefault="00F95924" w:rsidP="00727E68">
      <w:pPr>
        <w:pStyle w:val="NoSpacing"/>
        <w:ind w:left="4320" w:right="0"/>
        <w:jc w:val="left"/>
        <w:rPr>
          <w:sz w:val="26"/>
          <w:szCs w:val="26"/>
        </w:rPr>
      </w:pPr>
    </w:p>
    <w:p w:rsidR="00F95924" w:rsidRPr="00727E68" w:rsidRDefault="00F95924" w:rsidP="00727E68">
      <w:pPr>
        <w:pStyle w:val="NoSpacing"/>
        <w:ind w:left="4320" w:right="0"/>
        <w:jc w:val="left"/>
        <w:rPr>
          <w:sz w:val="26"/>
          <w:szCs w:val="26"/>
        </w:rPr>
      </w:pPr>
    </w:p>
    <w:p w:rsidR="00F95924" w:rsidRPr="00727E68" w:rsidRDefault="00727E68" w:rsidP="00727E68">
      <w:pPr>
        <w:pStyle w:val="NoSpacing"/>
        <w:tabs>
          <w:tab w:val="left" w:pos="9270"/>
        </w:tabs>
        <w:ind w:left="4320" w:right="0"/>
        <w:jc w:val="left"/>
        <w:rPr>
          <w:rFonts w:ascii="AR BERKLEY" w:hAnsi="AR BERKLEY"/>
          <w:sz w:val="32"/>
          <w:szCs w:val="32"/>
          <w:u w:val="single"/>
        </w:rPr>
      </w:pPr>
      <w:r>
        <w:rPr>
          <w:rFonts w:ascii="AR BERKLEY" w:hAnsi="AR BERKLEY"/>
          <w:sz w:val="32"/>
          <w:szCs w:val="32"/>
          <w:u w:val="single"/>
        </w:rPr>
        <w:t>/s/ Thomas W. McNamee</w:t>
      </w:r>
      <w:r>
        <w:rPr>
          <w:rFonts w:ascii="AR BERKLEY" w:hAnsi="AR BERKLEY"/>
          <w:sz w:val="32"/>
          <w:szCs w:val="32"/>
          <w:u w:val="single"/>
        </w:rPr>
        <w:tab/>
      </w:r>
    </w:p>
    <w:p w:rsidR="00F95924" w:rsidRPr="00727E68" w:rsidRDefault="00F95924" w:rsidP="00727E68">
      <w:pPr>
        <w:pStyle w:val="NoSpacing"/>
        <w:ind w:left="4320" w:right="0"/>
        <w:jc w:val="left"/>
        <w:rPr>
          <w:b/>
          <w:sz w:val="26"/>
          <w:szCs w:val="26"/>
        </w:rPr>
      </w:pPr>
      <w:r w:rsidRPr="00727E68">
        <w:rPr>
          <w:b/>
          <w:sz w:val="26"/>
          <w:szCs w:val="26"/>
        </w:rPr>
        <w:t>Thomas W. McNamee</w:t>
      </w:r>
    </w:p>
    <w:p w:rsidR="00F95924" w:rsidRPr="00727E68" w:rsidRDefault="00F95924" w:rsidP="00727E68">
      <w:pPr>
        <w:pStyle w:val="NoSpacing"/>
        <w:ind w:left="4320" w:right="0"/>
        <w:jc w:val="left"/>
        <w:rPr>
          <w:sz w:val="26"/>
          <w:szCs w:val="26"/>
        </w:rPr>
      </w:pPr>
      <w:r w:rsidRPr="00727E68">
        <w:rPr>
          <w:sz w:val="26"/>
          <w:szCs w:val="26"/>
        </w:rPr>
        <w:t>180 East Broad Street</w:t>
      </w:r>
    </w:p>
    <w:p w:rsidR="00F95924" w:rsidRPr="00727E68" w:rsidRDefault="00F95924" w:rsidP="00727E68">
      <w:pPr>
        <w:pStyle w:val="NoSpacing"/>
        <w:ind w:left="4320" w:right="0"/>
        <w:jc w:val="left"/>
        <w:rPr>
          <w:sz w:val="26"/>
          <w:szCs w:val="26"/>
        </w:rPr>
      </w:pPr>
      <w:r w:rsidRPr="00727E68">
        <w:rPr>
          <w:sz w:val="26"/>
          <w:szCs w:val="26"/>
        </w:rPr>
        <w:t>Columbus, OH 43215-3793</w:t>
      </w:r>
    </w:p>
    <w:p w:rsidR="00F95924" w:rsidRPr="00727E68" w:rsidRDefault="00F95924" w:rsidP="00727E68">
      <w:pPr>
        <w:pStyle w:val="NoSpacing"/>
        <w:ind w:left="4320" w:right="0"/>
        <w:jc w:val="left"/>
        <w:rPr>
          <w:sz w:val="26"/>
          <w:szCs w:val="26"/>
        </w:rPr>
      </w:pPr>
      <w:r w:rsidRPr="00727E68">
        <w:rPr>
          <w:sz w:val="26"/>
          <w:szCs w:val="26"/>
        </w:rPr>
        <w:t>614.466.4397 (telephone)</w:t>
      </w:r>
    </w:p>
    <w:p w:rsidR="00F95924" w:rsidRPr="00727E68" w:rsidRDefault="00F95924" w:rsidP="00727E68">
      <w:pPr>
        <w:pStyle w:val="NoSpacing"/>
        <w:ind w:left="4320" w:right="0"/>
        <w:jc w:val="left"/>
        <w:rPr>
          <w:sz w:val="26"/>
          <w:szCs w:val="26"/>
        </w:rPr>
      </w:pPr>
      <w:r w:rsidRPr="00727E68">
        <w:rPr>
          <w:sz w:val="26"/>
          <w:szCs w:val="26"/>
        </w:rPr>
        <w:t>614.644.8764 (fax)</w:t>
      </w:r>
    </w:p>
    <w:p w:rsidR="00F95924" w:rsidRDefault="007E2762" w:rsidP="00727E68">
      <w:pPr>
        <w:pStyle w:val="NoSpacing"/>
        <w:ind w:left="4320" w:right="0"/>
        <w:jc w:val="left"/>
        <w:rPr>
          <w:rFonts w:eastAsia="Times New Roman"/>
          <w:color w:val="0000FF"/>
          <w:sz w:val="26"/>
          <w:szCs w:val="26"/>
          <w:u w:val="single"/>
        </w:rPr>
      </w:pPr>
      <w:hyperlink r:id="rId9" w:history="1">
        <w:r w:rsidR="00F95924" w:rsidRPr="00727E68">
          <w:rPr>
            <w:rFonts w:eastAsia="Times New Roman"/>
            <w:color w:val="0000FF"/>
            <w:sz w:val="26"/>
            <w:szCs w:val="26"/>
            <w:u w:val="single"/>
          </w:rPr>
          <w:t>thomas.mcnamee@puc.state.oh.us</w:t>
        </w:r>
      </w:hyperlink>
    </w:p>
    <w:p w:rsidR="00727E68" w:rsidRPr="00727E68" w:rsidRDefault="00727E68" w:rsidP="00727E68">
      <w:pPr>
        <w:pStyle w:val="NoSpacing"/>
        <w:ind w:left="4320" w:right="0"/>
        <w:jc w:val="left"/>
        <w:rPr>
          <w:rFonts w:eastAsia="Times New Roman"/>
          <w:sz w:val="26"/>
          <w:szCs w:val="26"/>
        </w:rPr>
      </w:pPr>
    </w:p>
    <w:p w:rsidR="00F95924" w:rsidRPr="00727E68" w:rsidRDefault="00727E68" w:rsidP="00727E68">
      <w:pPr>
        <w:pStyle w:val="NoSpacing"/>
        <w:ind w:left="4320" w:right="0"/>
        <w:jc w:val="left"/>
        <w:rPr>
          <w:b/>
          <w:sz w:val="26"/>
          <w:szCs w:val="26"/>
        </w:rPr>
      </w:pPr>
      <w:r>
        <w:rPr>
          <w:b/>
          <w:sz w:val="26"/>
          <w:szCs w:val="26"/>
        </w:rPr>
        <w:t>Counsel</w:t>
      </w:r>
      <w:r w:rsidR="00F95924" w:rsidRPr="00727E68">
        <w:rPr>
          <w:b/>
          <w:sz w:val="26"/>
          <w:szCs w:val="26"/>
        </w:rPr>
        <w:t xml:space="preserve"> for the Public Utilities Commission of Ohio</w:t>
      </w:r>
    </w:p>
    <w:p w:rsidR="00F95924" w:rsidRPr="00727E68" w:rsidRDefault="00F95924" w:rsidP="00727E68">
      <w:pPr>
        <w:pStyle w:val="NoSpacing"/>
        <w:ind w:left="4320" w:right="0"/>
        <w:jc w:val="left"/>
        <w:rPr>
          <w:b/>
          <w:sz w:val="26"/>
          <w:szCs w:val="26"/>
        </w:rPr>
      </w:pPr>
    </w:p>
    <w:p w:rsidR="00F95924" w:rsidRPr="00727E68" w:rsidRDefault="00F95924" w:rsidP="00727E68">
      <w:pPr>
        <w:pStyle w:val="NoSpacing"/>
        <w:ind w:left="4320" w:right="0"/>
        <w:jc w:val="left"/>
        <w:rPr>
          <w:b/>
          <w:sz w:val="26"/>
          <w:szCs w:val="26"/>
        </w:rPr>
      </w:pPr>
      <w:bookmarkStart w:id="0" w:name="_GoBack"/>
      <w:bookmarkEnd w:id="0"/>
    </w:p>
    <w:p w:rsidR="00F95924" w:rsidRDefault="00727E68" w:rsidP="00727E68">
      <w:pPr>
        <w:pStyle w:val="Heading1"/>
        <w:rPr>
          <w:rFonts w:eastAsia="Times New Roman"/>
          <w:snapToGrid w:val="0"/>
          <w:sz w:val="26"/>
          <w:szCs w:val="28"/>
        </w:rPr>
      </w:pPr>
      <w:r>
        <w:rPr>
          <w:rFonts w:eastAsia="Times New Roman"/>
        </w:rPr>
        <w:t>V.</w:t>
      </w:r>
      <w:r>
        <w:rPr>
          <w:rFonts w:eastAsia="Times New Roman"/>
        </w:rPr>
        <w:tab/>
      </w:r>
      <w:r w:rsidR="007E2762">
        <w:rPr>
          <w:rFonts w:eastAsia="Times New Roman"/>
        </w:rPr>
        <w:t>Certificate of Service</w:t>
      </w:r>
    </w:p>
    <w:p w:rsidR="00F95924" w:rsidRDefault="00727E68" w:rsidP="00727E68">
      <w:pPr>
        <w:pStyle w:val="Textstyle"/>
        <w:rPr>
          <w:snapToGrid w:val="0"/>
        </w:rPr>
      </w:pPr>
      <w:r>
        <w:rPr>
          <w:snapToGrid w:val="0"/>
        </w:rPr>
        <w:tab/>
      </w:r>
      <w:r w:rsidR="00F95924">
        <w:rPr>
          <w:snapToGrid w:val="0"/>
        </w:rPr>
        <w:t>I hereby certify that the foregoing has been served in accordance with 18 C.F.R. Section 385.2010 upon each person designated on the official service list compiled by the Secretary in this proceeding.</w:t>
      </w:r>
    </w:p>
    <w:p w:rsidR="00727E68" w:rsidRPr="00727E68" w:rsidRDefault="00727E68" w:rsidP="00727E68">
      <w:pPr>
        <w:pStyle w:val="NoSpacing"/>
        <w:tabs>
          <w:tab w:val="left" w:pos="9270"/>
        </w:tabs>
        <w:ind w:left="4320" w:right="0"/>
        <w:jc w:val="left"/>
        <w:rPr>
          <w:rFonts w:ascii="AR BERKLEY" w:hAnsi="AR BERKLEY"/>
          <w:sz w:val="32"/>
          <w:szCs w:val="32"/>
          <w:u w:val="single"/>
        </w:rPr>
      </w:pPr>
      <w:r>
        <w:rPr>
          <w:rFonts w:ascii="AR BERKLEY" w:hAnsi="AR BERKLEY"/>
          <w:sz w:val="32"/>
          <w:szCs w:val="32"/>
          <w:u w:val="single"/>
        </w:rPr>
        <w:t>/s/ Thomas W. McNamee</w:t>
      </w:r>
      <w:r>
        <w:rPr>
          <w:rFonts w:ascii="AR BERKLEY" w:hAnsi="AR BERKLEY"/>
          <w:sz w:val="32"/>
          <w:szCs w:val="32"/>
          <w:u w:val="single"/>
        </w:rPr>
        <w:tab/>
      </w:r>
    </w:p>
    <w:p w:rsidR="00F95924" w:rsidRDefault="00F95924" w:rsidP="00F95924">
      <w:pPr>
        <w:widowControl w:val="0"/>
        <w:tabs>
          <w:tab w:val="left" w:pos="9360"/>
        </w:tabs>
        <w:spacing w:after="0"/>
        <w:ind w:left="4320"/>
        <w:rPr>
          <w:rFonts w:ascii="Times New Roman" w:eastAsia="Times New Roman" w:hAnsi="Times New Roman" w:cs="Times New Roman"/>
          <w:b/>
          <w:sz w:val="26"/>
          <w:szCs w:val="26"/>
        </w:rPr>
      </w:pPr>
      <w:r>
        <w:rPr>
          <w:rFonts w:ascii="Times New Roman" w:eastAsia="Times New Roman" w:hAnsi="Times New Roman" w:cs="Times New Roman"/>
          <w:b/>
          <w:sz w:val="26"/>
          <w:szCs w:val="26"/>
        </w:rPr>
        <w:t>Thomas W. McNamee</w:t>
      </w:r>
    </w:p>
    <w:p w:rsidR="00F95924" w:rsidRDefault="00F95924" w:rsidP="00F95924">
      <w:pPr>
        <w:widowControl w:val="0"/>
        <w:tabs>
          <w:tab w:val="left" w:pos="9360"/>
        </w:tabs>
        <w:spacing w:after="0"/>
        <w:ind w:left="4760"/>
        <w:rPr>
          <w:rFonts w:ascii="Times New (W1)" w:eastAsia="Times New Roman" w:hAnsi="Times New (W1)" w:cs="Times New Roman"/>
          <w:sz w:val="26"/>
          <w:szCs w:val="26"/>
        </w:rPr>
      </w:pPr>
    </w:p>
    <w:p w:rsidR="00F95924" w:rsidRDefault="00F95924" w:rsidP="00F95924">
      <w:pPr>
        <w:widowControl w:val="0"/>
        <w:spacing w:after="0" w:line="480" w:lineRule="auto"/>
        <w:rPr>
          <w:rFonts w:ascii="Times New Roman" w:eastAsia="Times New Roman" w:hAnsi="Times New Roman" w:cs="Times New Roman"/>
          <w:snapToGrid w:val="0"/>
          <w:sz w:val="26"/>
          <w:szCs w:val="26"/>
        </w:rPr>
      </w:pPr>
      <w:r>
        <w:rPr>
          <w:rFonts w:ascii="Times New Roman" w:eastAsia="Times New Roman" w:hAnsi="Times New Roman" w:cs="Times New Roman"/>
          <w:snapToGrid w:val="0"/>
          <w:sz w:val="26"/>
          <w:szCs w:val="28"/>
        </w:rPr>
        <w:t>Dated at Columbus, Ohio this</w:t>
      </w:r>
      <w:r w:rsidR="006E5143">
        <w:rPr>
          <w:rFonts w:ascii="Times New Roman" w:eastAsia="Times New Roman" w:hAnsi="Times New Roman" w:cs="Times New Roman"/>
          <w:snapToGrid w:val="0"/>
          <w:sz w:val="26"/>
          <w:szCs w:val="28"/>
        </w:rPr>
        <w:t xml:space="preserve"> April 10, </w:t>
      </w:r>
      <w:r>
        <w:rPr>
          <w:rFonts w:ascii="Times New Roman" w:eastAsia="Times New Roman" w:hAnsi="Times New Roman" w:cs="Times New Roman"/>
          <w:snapToGrid w:val="0"/>
          <w:sz w:val="26"/>
          <w:szCs w:val="28"/>
        </w:rPr>
        <w:t>2015.</w:t>
      </w:r>
    </w:p>
    <w:p w:rsidR="009F3273" w:rsidRDefault="009F3273" w:rsidP="004C2408">
      <w:pPr>
        <w:pStyle w:val="Textstyle"/>
      </w:pPr>
    </w:p>
    <w:sectPr w:rsidR="009F3273" w:rsidSect="007E2762">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019" w:rsidRDefault="00F31019" w:rsidP="00C85AC5">
      <w:pPr>
        <w:spacing w:after="0" w:line="240" w:lineRule="auto"/>
      </w:pPr>
      <w:r>
        <w:separator/>
      </w:r>
    </w:p>
  </w:endnote>
  <w:endnote w:type="continuationSeparator" w:id="0">
    <w:p w:rsidR="00F31019" w:rsidRDefault="00F31019" w:rsidP="00C85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 BERKLEY">
    <w:panose1 w:val="02000000000000000000"/>
    <w:charset w:val="00"/>
    <w:family w:val="auto"/>
    <w:pitch w:val="variable"/>
    <w:sig w:usb0="8000002F" w:usb1="0000000A" w:usb2="00000000" w:usb3="00000000" w:csb0="00000001" w:csb1="00000000"/>
  </w:font>
  <w:font w:name="Times New (W1)">
    <w:altName w:val="Times New Roman"/>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677124411"/>
      <w:docPartObj>
        <w:docPartGallery w:val="Page Numbers (Bottom of Page)"/>
        <w:docPartUnique/>
      </w:docPartObj>
    </w:sdtPr>
    <w:sdtEndPr>
      <w:rPr>
        <w:noProof/>
      </w:rPr>
    </w:sdtEndPr>
    <w:sdtContent>
      <w:p w:rsidR="00D24568" w:rsidRPr="007E2762" w:rsidRDefault="00D24568" w:rsidP="007E2762">
        <w:pPr>
          <w:pStyle w:val="Footer"/>
          <w:jc w:val="center"/>
          <w:rPr>
            <w:rFonts w:ascii="Times New Roman" w:hAnsi="Times New Roman" w:cs="Times New Roman"/>
            <w:sz w:val="24"/>
            <w:szCs w:val="24"/>
          </w:rPr>
        </w:pPr>
        <w:r w:rsidRPr="007E2762">
          <w:rPr>
            <w:rFonts w:ascii="Times New Roman" w:hAnsi="Times New Roman" w:cs="Times New Roman"/>
            <w:sz w:val="24"/>
            <w:szCs w:val="24"/>
          </w:rPr>
          <w:fldChar w:fldCharType="begin"/>
        </w:r>
        <w:r w:rsidRPr="007E2762">
          <w:rPr>
            <w:rFonts w:ascii="Times New Roman" w:hAnsi="Times New Roman" w:cs="Times New Roman"/>
            <w:sz w:val="24"/>
            <w:szCs w:val="24"/>
          </w:rPr>
          <w:instrText xml:space="preserve"> PAGE   \* MERGEFORMAT </w:instrText>
        </w:r>
        <w:r w:rsidRPr="007E2762">
          <w:rPr>
            <w:rFonts w:ascii="Times New Roman" w:hAnsi="Times New Roman" w:cs="Times New Roman"/>
            <w:sz w:val="24"/>
            <w:szCs w:val="24"/>
          </w:rPr>
          <w:fldChar w:fldCharType="separate"/>
        </w:r>
        <w:r w:rsidR="007E2762">
          <w:rPr>
            <w:rFonts w:ascii="Times New Roman" w:hAnsi="Times New Roman" w:cs="Times New Roman"/>
            <w:noProof/>
            <w:sz w:val="24"/>
            <w:szCs w:val="24"/>
          </w:rPr>
          <w:t>6</w:t>
        </w:r>
        <w:r w:rsidRPr="007E2762">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019" w:rsidRDefault="00F31019" w:rsidP="00C85AC5">
      <w:pPr>
        <w:spacing w:after="0" w:line="240" w:lineRule="auto"/>
      </w:pPr>
      <w:r>
        <w:separator/>
      </w:r>
    </w:p>
  </w:footnote>
  <w:footnote w:type="continuationSeparator" w:id="0">
    <w:p w:rsidR="00F31019" w:rsidRDefault="00F31019" w:rsidP="00C85AC5">
      <w:pPr>
        <w:spacing w:after="0" w:line="240" w:lineRule="auto"/>
      </w:pPr>
      <w:r>
        <w:continuationSeparator/>
      </w:r>
    </w:p>
  </w:footnote>
  <w:footnote w:id="1">
    <w:p w:rsidR="00BE2B43" w:rsidRDefault="00BE2B43" w:rsidP="00727E68">
      <w:pPr>
        <w:pStyle w:val="FootnoteText"/>
      </w:pPr>
      <w:r>
        <w:rPr>
          <w:rStyle w:val="FootnoteReference"/>
        </w:rPr>
        <w:footnoteRef/>
      </w:r>
      <w:r>
        <w:t xml:space="preserve"> </w:t>
      </w:r>
      <w:r w:rsidR="00727E68">
        <w:tab/>
      </w:r>
      <w:r w:rsidR="00727E68">
        <w:tab/>
      </w:r>
      <w:r w:rsidR="006E5143" w:rsidRPr="00727E68">
        <w:rPr>
          <w:i/>
        </w:rPr>
        <w:t>PJM Interconnection, L.L.C.</w:t>
      </w:r>
      <w:r w:rsidR="006E5143" w:rsidRPr="00727E68">
        <w:t>, Reforms to the Reliability Pricing and Related Rules in the PJM Open Access Transmission Tariff and Reliability Assurance Agreement Among Load Serving Entities, Docket No. ER15-623-000 (Dec. 12, 2014)</w:t>
      </w:r>
      <w:r w:rsidR="00727E68">
        <w:t>.</w:t>
      </w:r>
      <w:r w:rsidR="006E5143" w:rsidRPr="00727E68">
        <w:t xml:space="preserve"> </w:t>
      </w:r>
    </w:p>
  </w:footnote>
  <w:footnote w:id="2">
    <w:p w:rsidR="004C0436" w:rsidRPr="00727E68" w:rsidRDefault="004C0436" w:rsidP="00727E68">
      <w:pPr>
        <w:pStyle w:val="FootnoteText"/>
      </w:pPr>
      <w:r>
        <w:rPr>
          <w:rStyle w:val="FootnoteReference"/>
        </w:rPr>
        <w:footnoteRef/>
      </w:r>
      <w:r>
        <w:t xml:space="preserve"> </w:t>
      </w:r>
      <w:r w:rsidR="00727E68">
        <w:tab/>
      </w:r>
      <w:r w:rsidR="00727E68">
        <w:tab/>
      </w:r>
      <w:r w:rsidR="003772F0" w:rsidRPr="00727E68">
        <w:t>Comments and Limited Protest Submitted on Behalf of the Public Utilities Commission of Ohio, Docket No. ER15-623-000 (Jan</w:t>
      </w:r>
      <w:r w:rsidR="00727E68">
        <w:t>.</w:t>
      </w:r>
      <w:r w:rsidR="003772F0" w:rsidRPr="00727E68">
        <w:t xml:space="preserve"> 20, 2015)</w:t>
      </w:r>
      <w:r w:rsidR="00727E68">
        <w:t>.</w:t>
      </w:r>
    </w:p>
  </w:footnote>
  <w:footnote w:id="3">
    <w:p w:rsidR="00B66DA8" w:rsidRDefault="00B66DA8" w:rsidP="00727E68">
      <w:pPr>
        <w:pStyle w:val="FootnoteText"/>
      </w:pPr>
      <w:r>
        <w:rPr>
          <w:rStyle w:val="FootnoteReference"/>
        </w:rPr>
        <w:footnoteRef/>
      </w:r>
      <w:r>
        <w:t xml:space="preserve"> </w:t>
      </w:r>
      <w:r w:rsidR="00727E68">
        <w:tab/>
      </w:r>
      <w:r w:rsidR="00727E68">
        <w:tab/>
      </w:r>
      <w:r w:rsidR="003772F0">
        <w:t xml:space="preserve">PJM Interconnection, L.L.C., Docket No. ER15-623-000 </w:t>
      </w:r>
      <w:r w:rsidR="00727E68">
        <w:t>(</w:t>
      </w:r>
      <w:r w:rsidR="00727E68">
        <w:t>Letter Order</w:t>
      </w:r>
      <w:r w:rsidR="00727E68">
        <w:t>)</w:t>
      </w:r>
      <w:r w:rsidR="00727E68">
        <w:t xml:space="preserve"> </w:t>
      </w:r>
      <w:r w:rsidR="003772F0">
        <w:t>(Mar</w:t>
      </w:r>
      <w:r w:rsidR="00727E68">
        <w:t>.</w:t>
      </w:r>
      <w:r w:rsidR="003772F0">
        <w:t xml:space="preserve"> 31, 2015)</w:t>
      </w:r>
      <w:r w:rsidR="00727E68">
        <w:t xml:space="preserve"> </w:t>
      </w:r>
      <w:r w:rsidR="003772F0">
        <w:t>(“March 31 Deficiency Letter”)</w:t>
      </w:r>
      <w:r w:rsidR="00727E68">
        <w:t>.</w:t>
      </w:r>
    </w:p>
  </w:footnote>
  <w:footnote w:id="4">
    <w:p w:rsidR="003A0C59" w:rsidRDefault="003A0C59" w:rsidP="00727E68">
      <w:pPr>
        <w:pStyle w:val="FootnoteText"/>
      </w:pPr>
      <w:r>
        <w:rPr>
          <w:rStyle w:val="FootnoteReference"/>
        </w:rPr>
        <w:footnoteRef/>
      </w:r>
      <w:r>
        <w:t xml:space="preserve"> </w:t>
      </w:r>
      <w:r w:rsidR="00727E68">
        <w:tab/>
      </w:r>
      <w:r w:rsidR="00727E68">
        <w:tab/>
      </w:r>
      <w:r>
        <w:t>FPA section 205(d), 16 U.S.C. §</w:t>
      </w:r>
      <w:r w:rsidR="00727E68">
        <w:t xml:space="preserve"> </w:t>
      </w:r>
      <w:r>
        <w:t>824d</w:t>
      </w:r>
      <w:r w:rsidR="00727E68">
        <w:t xml:space="preserve"> </w:t>
      </w:r>
      <w:r>
        <w:t>(d).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F779DE"/>
    <w:multiLevelType w:val="hybridMultilevel"/>
    <w:tmpl w:val="391AF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F127D7"/>
    <w:multiLevelType w:val="hybridMultilevel"/>
    <w:tmpl w:val="BB48532C"/>
    <w:lvl w:ilvl="0" w:tplc="4384A90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912"/>
    <w:rsid w:val="000555F0"/>
    <w:rsid w:val="00077001"/>
    <w:rsid w:val="000B490C"/>
    <w:rsid w:val="000C159F"/>
    <w:rsid w:val="000D4837"/>
    <w:rsid w:val="000E048F"/>
    <w:rsid w:val="000E4BCB"/>
    <w:rsid w:val="000E6F0B"/>
    <w:rsid w:val="001B7B30"/>
    <w:rsid w:val="001D7907"/>
    <w:rsid w:val="001E6072"/>
    <w:rsid w:val="0020674F"/>
    <w:rsid w:val="002129BF"/>
    <w:rsid w:val="00236100"/>
    <w:rsid w:val="00242C1E"/>
    <w:rsid w:val="002965EF"/>
    <w:rsid w:val="002968D3"/>
    <w:rsid w:val="002A0513"/>
    <w:rsid w:val="002F5912"/>
    <w:rsid w:val="003343D2"/>
    <w:rsid w:val="0035203E"/>
    <w:rsid w:val="003772F0"/>
    <w:rsid w:val="00386226"/>
    <w:rsid w:val="003A0C59"/>
    <w:rsid w:val="003B092E"/>
    <w:rsid w:val="003B2E00"/>
    <w:rsid w:val="003D1F06"/>
    <w:rsid w:val="003D7B8C"/>
    <w:rsid w:val="00464CFD"/>
    <w:rsid w:val="00490235"/>
    <w:rsid w:val="00492963"/>
    <w:rsid w:val="00496FAD"/>
    <w:rsid w:val="004C0436"/>
    <w:rsid w:val="004C2408"/>
    <w:rsid w:val="004D1D86"/>
    <w:rsid w:val="004D7B01"/>
    <w:rsid w:val="004F1F05"/>
    <w:rsid w:val="00502B22"/>
    <w:rsid w:val="00502E3D"/>
    <w:rsid w:val="005061A3"/>
    <w:rsid w:val="00556CBC"/>
    <w:rsid w:val="00564E5A"/>
    <w:rsid w:val="006436A3"/>
    <w:rsid w:val="0067322E"/>
    <w:rsid w:val="00683F5F"/>
    <w:rsid w:val="006D6DAC"/>
    <w:rsid w:val="006E5143"/>
    <w:rsid w:val="006E7590"/>
    <w:rsid w:val="0071200F"/>
    <w:rsid w:val="00727E68"/>
    <w:rsid w:val="00743548"/>
    <w:rsid w:val="00792663"/>
    <w:rsid w:val="007B7EC1"/>
    <w:rsid w:val="007C6E1D"/>
    <w:rsid w:val="007C79C8"/>
    <w:rsid w:val="007E0D7E"/>
    <w:rsid w:val="007E2762"/>
    <w:rsid w:val="00802BB0"/>
    <w:rsid w:val="00823289"/>
    <w:rsid w:val="00865A15"/>
    <w:rsid w:val="0089728A"/>
    <w:rsid w:val="008E33CE"/>
    <w:rsid w:val="008E6CE2"/>
    <w:rsid w:val="00903B96"/>
    <w:rsid w:val="00916A27"/>
    <w:rsid w:val="00947C78"/>
    <w:rsid w:val="0095291F"/>
    <w:rsid w:val="0098247C"/>
    <w:rsid w:val="009856EA"/>
    <w:rsid w:val="009E6687"/>
    <w:rsid w:val="009F3273"/>
    <w:rsid w:val="00A10328"/>
    <w:rsid w:val="00A20328"/>
    <w:rsid w:val="00A44F0B"/>
    <w:rsid w:val="00A76E11"/>
    <w:rsid w:val="00AA4C0B"/>
    <w:rsid w:val="00AB381C"/>
    <w:rsid w:val="00AC7EFF"/>
    <w:rsid w:val="00AD1CE0"/>
    <w:rsid w:val="00AD7E6A"/>
    <w:rsid w:val="00B139C8"/>
    <w:rsid w:val="00B21459"/>
    <w:rsid w:val="00B57D23"/>
    <w:rsid w:val="00B62EA9"/>
    <w:rsid w:val="00B66DA8"/>
    <w:rsid w:val="00B955C9"/>
    <w:rsid w:val="00BA343B"/>
    <w:rsid w:val="00BB1643"/>
    <w:rsid w:val="00BD6A0F"/>
    <w:rsid w:val="00BE2B43"/>
    <w:rsid w:val="00BE56CC"/>
    <w:rsid w:val="00C535DA"/>
    <w:rsid w:val="00C75993"/>
    <w:rsid w:val="00C85AC5"/>
    <w:rsid w:val="00C94941"/>
    <w:rsid w:val="00CA4BBC"/>
    <w:rsid w:val="00CE52C3"/>
    <w:rsid w:val="00D10376"/>
    <w:rsid w:val="00D24568"/>
    <w:rsid w:val="00D44BD8"/>
    <w:rsid w:val="00D74C2D"/>
    <w:rsid w:val="00D77DBF"/>
    <w:rsid w:val="00DC29BD"/>
    <w:rsid w:val="00DC7A95"/>
    <w:rsid w:val="00DD07C5"/>
    <w:rsid w:val="00DD282C"/>
    <w:rsid w:val="00E222E8"/>
    <w:rsid w:val="00E53984"/>
    <w:rsid w:val="00E75FD9"/>
    <w:rsid w:val="00ED2892"/>
    <w:rsid w:val="00F31019"/>
    <w:rsid w:val="00F62F04"/>
    <w:rsid w:val="00F77EE8"/>
    <w:rsid w:val="00F95924"/>
    <w:rsid w:val="00FA51B7"/>
    <w:rsid w:val="00FC3238"/>
    <w:rsid w:val="00FD1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AB97D917-19BA-45E7-B2AA-6997C58B0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AC5"/>
  </w:style>
  <w:style w:type="paragraph" w:styleId="Heading1">
    <w:name w:val="heading 1"/>
    <w:basedOn w:val="Normal"/>
    <w:next w:val="Normal"/>
    <w:link w:val="Heading1Char"/>
    <w:autoRedefine/>
    <w:uiPriority w:val="9"/>
    <w:qFormat/>
    <w:rsid w:val="00727E68"/>
    <w:pPr>
      <w:keepNext/>
      <w:keepLines/>
      <w:spacing w:before="360" w:after="240" w:line="240" w:lineRule="auto"/>
      <w:ind w:left="720" w:hanging="720"/>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autoRedefine/>
    <w:uiPriority w:val="9"/>
    <w:unhideWhenUsed/>
    <w:qFormat/>
    <w:rsid w:val="00727E68"/>
    <w:pPr>
      <w:keepNext/>
      <w:keepLines/>
      <w:spacing w:before="360" w:after="240" w:line="240" w:lineRule="auto"/>
      <w:ind w:left="1440" w:hanging="720"/>
      <w:outlineLvl w:val="1"/>
    </w:pPr>
    <w:rPr>
      <w:rFonts w:ascii="Times New Roman" w:eastAsiaTheme="majorEastAsia" w:hAnsi="Times New Roman"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style">
    <w:name w:val="Text style"/>
    <w:basedOn w:val="Normal"/>
    <w:autoRedefine/>
    <w:rsid w:val="00727E68"/>
    <w:pPr>
      <w:autoSpaceDE w:val="0"/>
      <w:autoSpaceDN w:val="0"/>
      <w:adjustRightInd w:val="0"/>
      <w:spacing w:after="0" w:line="480" w:lineRule="auto"/>
      <w:jc w:val="both"/>
    </w:pPr>
    <w:rPr>
      <w:rFonts w:ascii="Times New Roman" w:hAnsi="Times New Roman" w:cs="Times New Roman"/>
      <w:color w:val="000000"/>
      <w:sz w:val="26"/>
      <w:szCs w:val="26"/>
    </w:rPr>
  </w:style>
  <w:style w:type="paragraph" w:styleId="FootnoteText">
    <w:name w:val="footnote text"/>
    <w:basedOn w:val="Normal"/>
    <w:link w:val="FootnoteTextChar"/>
    <w:autoRedefine/>
    <w:uiPriority w:val="99"/>
    <w:unhideWhenUsed/>
    <w:rsid w:val="00727E68"/>
    <w:pPr>
      <w:spacing w:before="240" w:after="240" w:line="240" w:lineRule="auto"/>
      <w:ind w:left="720" w:hanging="720"/>
    </w:pPr>
    <w:rPr>
      <w:rFonts w:ascii="Times New Roman" w:hAnsi="Times New Roman"/>
      <w:sz w:val="20"/>
      <w:szCs w:val="20"/>
    </w:rPr>
  </w:style>
  <w:style w:type="character" w:customStyle="1" w:styleId="FootnoteTextChar">
    <w:name w:val="Footnote Text Char"/>
    <w:basedOn w:val="DefaultParagraphFont"/>
    <w:link w:val="FootnoteText"/>
    <w:uiPriority w:val="99"/>
    <w:rsid w:val="00727E68"/>
    <w:rPr>
      <w:rFonts w:ascii="Times New Roman" w:hAnsi="Times New Roman"/>
      <w:sz w:val="20"/>
      <w:szCs w:val="20"/>
    </w:rPr>
  </w:style>
  <w:style w:type="character" w:styleId="FootnoteReference">
    <w:name w:val="footnote reference"/>
    <w:basedOn w:val="DefaultParagraphFont"/>
    <w:uiPriority w:val="99"/>
    <w:semiHidden/>
    <w:unhideWhenUsed/>
    <w:rsid w:val="00C85AC5"/>
    <w:rPr>
      <w:vertAlign w:val="superscript"/>
    </w:rPr>
  </w:style>
  <w:style w:type="paragraph" w:styleId="Header">
    <w:name w:val="header"/>
    <w:basedOn w:val="Normal"/>
    <w:link w:val="HeaderChar"/>
    <w:uiPriority w:val="99"/>
    <w:unhideWhenUsed/>
    <w:rsid w:val="00D24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568"/>
  </w:style>
  <w:style w:type="paragraph" w:styleId="Footer">
    <w:name w:val="footer"/>
    <w:basedOn w:val="Normal"/>
    <w:link w:val="FooterChar"/>
    <w:uiPriority w:val="99"/>
    <w:unhideWhenUsed/>
    <w:rsid w:val="00D24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568"/>
  </w:style>
  <w:style w:type="paragraph" w:styleId="NoSpacing">
    <w:name w:val="No Spacing"/>
    <w:uiPriority w:val="1"/>
    <w:qFormat/>
    <w:rsid w:val="00F95924"/>
    <w:pPr>
      <w:spacing w:after="0" w:line="240" w:lineRule="auto"/>
      <w:ind w:left="1440" w:right="1440"/>
      <w:contextualSpacing/>
      <w:jc w:val="both"/>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42C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C1E"/>
    <w:rPr>
      <w:rFonts w:ascii="Tahoma" w:hAnsi="Tahoma" w:cs="Tahoma"/>
      <w:sz w:val="16"/>
      <w:szCs w:val="16"/>
    </w:rPr>
  </w:style>
  <w:style w:type="paragraph" w:styleId="ListParagraph">
    <w:name w:val="List Paragraph"/>
    <w:basedOn w:val="Normal"/>
    <w:uiPriority w:val="34"/>
    <w:qFormat/>
    <w:rsid w:val="003772F0"/>
    <w:pPr>
      <w:ind w:left="720"/>
      <w:contextualSpacing/>
    </w:pPr>
  </w:style>
  <w:style w:type="character" w:styleId="CommentReference">
    <w:name w:val="annotation reference"/>
    <w:basedOn w:val="DefaultParagraphFont"/>
    <w:uiPriority w:val="99"/>
    <w:semiHidden/>
    <w:unhideWhenUsed/>
    <w:rsid w:val="00E53984"/>
    <w:rPr>
      <w:sz w:val="16"/>
      <w:szCs w:val="16"/>
    </w:rPr>
  </w:style>
  <w:style w:type="paragraph" w:styleId="CommentText">
    <w:name w:val="annotation text"/>
    <w:basedOn w:val="Normal"/>
    <w:link w:val="CommentTextChar"/>
    <w:uiPriority w:val="99"/>
    <w:semiHidden/>
    <w:unhideWhenUsed/>
    <w:rsid w:val="00E53984"/>
    <w:pPr>
      <w:spacing w:line="240" w:lineRule="auto"/>
    </w:pPr>
    <w:rPr>
      <w:sz w:val="20"/>
      <w:szCs w:val="20"/>
    </w:rPr>
  </w:style>
  <w:style w:type="character" w:customStyle="1" w:styleId="CommentTextChar">
    <w:name w:val="Comment Text Char"/>
    <w:basedOn w:val="DefaultParagraphFont"/>
    <w:link w:val="CommentText"/>
    <w:uiPriority w:val="99"/>
    <w:semiHidden/>
    <w:rsid w:val="00E53984"/>
    <w:rPr>
      <w:sz w:val="20"/>
      <w:szCs w:val="20"/>
    </w:rPr>
  </w:style>
  <w:style w:type="paragraph" w:styleId="CommentSubject">
    <w:name w:val="annotation subject"/>
    <w:basedOn w:val="CommentText"/>
    <w:next w:val="CommentText"/>
    <w:link w:val="CommentSubjectChar"/>
    <w:uiPriority w:val="99"/>
    <w:semiHidden/>
    <w:unhideWhenUsed/>
    <w:rsid w:val="00E53984"/>
    <w:rPr>
      <w:b/>
      <w:bCs/>
    </w:rPr>
  </w:style>
  <w:style w:type="character" w:customStyle="1" w:styleId="CommentSubjectChar">
    <w:name w:val="Comment Subject Char"/>
    <w:basedOn w:val="CommentTextChar"/>
    <w:link w:val="CommentSubject"/>
    <w:uiPriority w:val="99"/>
    <w:semiHidden/>
    <w:rsid w:val="00E53984"/>
    <w:rPr>
      <w:b/>
      <w:bCs/>
      <w:sz w:val="20"/>
      <w:szCs w:val="20"/>
    </w:rPr>
  </w:style>
  <w:style w:type="character" w:customStyle="1" w:styleId="Heading1Char">
    <w:name w:val="Heading 1 Char"/>
    <w:basedOn w:val="DefaultParagraphFont"/>
    <w:link w:val="Heading1"/>
    <w:uiPriority w:val="9"/>
    <w:rsid w:val="00727E68"/>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727E68"/>
    <w:rPr>
      <w:rFonts w:ascii="Times New Roman" w:eastAsiaTheme="majorEastAsia" w:hAnsi="Times New Roman" w:cstheme="majorBidi"/>
      <w:b/>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694598">
      <w:bodyDiv w:val="1"/>
      <w:marLeft w:val="0"/>
      <w:marRight w:val="0"/>
      <w:marTop w:val="0"/>
      <w:marBottom w:val="0"/>
      <w:divBdr>
        <w:top w:val="none" w:sz="0" w:space="0" w:color="auto"/>
        <w:left w:val="none" w:sz="0" w:space="0" w:color="auto"/>
        <w:bottom w:val="none" w:sz="0" w:space="0" w:color="auto"/>
        <w:right w:val="none" w:sz="0" w:space="0" w:color="auto"/>
      </w:divBdr>
    </w:div>
    <w:div w:id="125563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athan.tauber@puc.state.oh.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homas.mcnamee@puc.state.oh.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51AFD-514E-480D-978F-D780D9E46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1082</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PUCO</Company>
  <LinksUpToDate>false</LinksUpToDate>
  <CharactersWithSpaces>7236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Tauber, Jonathan</dc:creator>
  <cp:lastModifiedBy>Keeton, Kim</cp:lastModifiedBy>
  <cp:revision>4</cp:revision>
  <cp:lastPrinted>2015-04-10T15:07:00Z</cp:lastPrinted>
  <dcterms:created xsi:type="dcterms:W3CDTF">2015-04-10T18:32:00Z</dcterms:created>
  <dcterms:modified xsi:type="dcterms:W3CDTF">2015-04-10T18:34:00Z</dcterms:modified>
</cp:coreProperties>
</file>