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97" w:rsidRDefault="00D95797" w:rsidP="00D95797">
      <w:pPr>
        <w:jc w:val="center"/>
        <w:rPr>
          <w:rFonts w:ascii="Arial" w:hAnsi="Arial" w:cs="Arial"/>
          <w:b/>
          <w:smallCaps/>
          <w:sz w:val="28"/>
        </w:rPr>
      </w:pPr>
      <w:bookmarkStart w:id="0" w:name="_GoBack"/>
      <w:bookmarkEnd w:id="0"/>
      <w:r>
        <w:rPr>
          <w:rFonts w:ascii="Arial" w:hAnsi="Arial" w:cs="Arial"/>
          <w:b/>
          <w:smallCaps/>
          <w:sz w:val="28"/>
        </w:rPr>
        <w:t>Before</w:t>
      </w:r>
    </w:p>
    <w:p w:rsidR="00D95797" w:rsidRDefault="00D95797" w:rsidP="00D95797">
      <w:pPr>
        <w:jc w:val="center"/>
        <w:rPr>
          <w:rFonts w:ascii="Arial" w:hAnsi="Arial" w:cs="Arial"/>
          <w:b/>
          <w:smallCaps/>
          <w:sz w:val="28"/>
        </w:rPr>
      </w:pPr>
      <w:r>
        <w:rPr>
          <w:rFonts w:ascii="Arial" w:hAnsi="Arial" w:cs="Arial"/>
          <w:b/>
          <w:smallCaps/>
          <w:sz w:val="28"/>
        </w:rPr>
        <w:t>The Public Utilities Commission of Ohio</w:t>
      </w:r>
    </w:p>
    <w:p w:rsidR="00D95797" w:rsidRPr="00D95797" w:rsidRDefault="00D95797" w:rsidP="00D95797">
      <w:pPr>
        <w:autoSpaceDE w:val="0"/>
        <w:autoSpaceDN w:val="0"/>
        <w:adjustRightInd w:val="0"/>
        <w:rPr>
          <w:rFonts w:ascii="Arial" w:hAnsi="Arial" w:cs="Arial"/>
        </w:rPr>
      </w:pPr>
    </w:p>
    <w:p w:rsidR="00D95797" w:rsidRPr="00D95797" w:rsidRDefault="00D95797" w:rsidP="00D95797">
      <w:pPr>
        <w:autoSpaceDE w:val="0"/>
        <w:autoSpaceDN w:val="0"/>
        <w:adjustRightInd w:val="0"/>
        <w:rPr>
          <w:rFonts w:ascii="Arial" w:hAnsi="Arial" w:cs="Arial"/>
        </w:rPr>
      </w:pPr>
    </w:p>
    <w:p w:rsidR="00D95797" w:rsidRPr="00D95797" w:rsidRDefault="00D95797" w:rsidP="00D95797">
      <w:pPr>
        <w:autoSpaceDE w:val="0"/>
        <w:autoSpaceDN w:val="0"/>
        <w:adjustRightInd w:val="0"/>
        <w:rPr>
          <w:rFonts w:ascii="Arial" w:hAnsi="Arial" w:cs="Arial"/>
        </w:rPr>
      </w:pPr>
      <w:r w:rsidRPr="00D95797">
        <w:rPr>
          <w:rFonts w:ascii="Arial" w:hAnsi="Arial" w:cs="Arial"/>
        </w:rPr>
        <w:t>In the Matter of the Fuel Adjustment</w:t>
      </w:r>
      <w:r w:rsidRPr="00D95797">
        <w:rPr>
          <w:rFonts w:ascii="Arial" w:hAnsi="Arial" w:cs="Arial"/>
        </w:rPr>
        <w:tab/>
      </w:r>
      <w:r w:rsidRPr="00D95797">
        <w:rPr>
          <w:rFonts w:ascii="Arial" w:hAnsi="Arial" w:cs="Arial"/>
        </w:rPr>
        <w:tab/>
        <w:t>)</w:t>
      </w:r>
      <w:r w:rsidRPr="00D95797">
        <w:rPr>
          <w:rFonts w:ascii="Arial" w:hAnsi="Arial" w:cs="Arial"/>
        </w:rPr>
        <w:tab/>
        <w:t>Case No. 10-268-EL-FAC</w:t>
      </w:r>
    </w:p>
    <w:p w:rsidR="00D95797" w:rsidRPr="00D95797" w:rsidRDefault="00D95797" w:rsidP="00D95797">
      <w:pPr>
        <w:autoSpaceDE w:val="0"/>
        <w:autoSpaceDN w:val="0"/>
        <w:adjustRightInd w:val="0"/>
        <w:rPr>
          <w:rFonts w:ascii="Arial" w:hAnsi="Arial" w:cs="Arial"/>
        </w:rPr>
      </w:pPr>
      <w:r w:rsidRPr="00D95797">
        <w:rPr>
          <w:rFonts w:ascii="Arial" w:hAnsi="Arial" w:cs="Arial"/>
        </w:rPr>
        <w:t>Clauses for Columbus Southern Power</w:t>
      </w:r>
      <w:r w:rsidRPr="00D95797">
        <w:rPr>
          <w:rFonts w:ascii="Arial" w:hAnsi="Arial" w:cs="Arial"/>
        </w:rPr>
        <w:tab/>
      </w:r>
      <w:r w:rsidRPr="00D95797">
        <w:rPr>
          <w:rFonts w:ascii="Arial" w:hAnsi="Arial" w:cs="Arial"/>
        </w:rPr>
        <w:tab/>
      </w:r>
      <w:r>
        <w:rPr>
          <w:rFonts w:ascii="Arial" w:hAnsi="Arial" w:cs="Arial"/>
        </w:rPr>
        <w:t>)</w:t>
      </w:r>
      <w:r w:rsidRPr="00D95797">
        <w:rPr>
          <w:rFonts w:ascii="Arial" w:hAnsi="Arial" w:cs="Arial"/>
        </w:rPr>
        <w:t xml:space="preserve"> </w:t>
      </w:r>
      <w:r>
        <w:rPr>
          <w:rFonts w:ascii="Arial" w:hAnsi="Arial" w:cs="Arial"/>
        </w:rPr>
        <w:tab/>
      </w:r>
      <w:r w:rsidRPr="00D95797">
        <w:rPr>
          <w:rFonts w:ascii="Arial" w:hAnsi="Arial" w:cs="Arial"/>
        </w:rPr>
        <w:t>Case No. 10-269-EL-FAC</w:t>
      </w:r>
    </w:p>
    <w:p w:rsidR="00D95797" w:rsidRPr="00D95797" w:rsidRDefault="00D95797" w:rsidP="00D95797">
      <w:pPr>
        <w:autoSpaceDE w:val="0"/>
        <w:autoSpaceDN w:val="0"/>
        <w:adjustRightInd w:val="0"/>
        <w:rPr>
          <w:rFonts w:ascii="Arial" w:hAnsi="Arial" w:cs="Arial"/>
        </w:rPr>
      </w:pPr>
      <w:r w:rsidRPr="00D95797">
        <w:rPr>
          <w:rFonts w:ascii="Arial" w:hAnsi="Arial" w:cs="Arial"/>
        </w:rPr>
        <w:t>Company and Ohio Power Company and</w:t>
      </w:r>
      <w:r w:rsidRPr="00D95797">
        <w:rPr>
          <w:rFonts w:ascii="Arial" w:hAnsi="Arial" w:cs="Arial"/>
        </w:rPr>
        <w:tab/>
      </w:r>
      <w:r>
        <w:rPr>
          <w:rFonts w:ascii="Arial" w:hAnsi="Arial" w:cs="Arial"/>
        </w:rPr>
        <w:t>)</w:t>
      </w:r>
      <w:r w:rsidRPr="00D95797">
        <w:rPr>
          <w:rFonts w:ascii="Arial" w:hAnsi="Arial" w:cs="Arial"/>
        </w:rPr>
        <w:tab/>
      </w:r>
    </w:p>
    <w:p w:rsidR="00D95797" w:rsidRDefault="00D95797" w:rsidP="00D95797">
      <w:pPr>
        <w:autoSpaceDE w:val="0"/>
        <w:autoSpaceDN w:val="0"/>
        <w:adjustRightInd w:val="0"/>
        <w:rPr>
          <w:rFonts w:ascii="Book Antiqua" w:hAnsi="Book Antiqua" w:cs="Book Antiqua"/>
        </w:rPr>
      </w:pPr>
      <w:r w:rsidRPr="00D95797">
        <w:rPr>
          <w:rFonts w:ascii="Arial" w:hAnsi="Arial" w:cs="Arial"/>
        </w:rPr>
        <w:t>Related Matters</w:t>
      </w:r>
      <w:r>
        <w:rPr>
          <w:rFonts w:ascii="Arial" w:hAnsi="Arial" w:cs="Arial"/>
        </w:rPr>
        <w:t xml:space="preserve"> for 2010</w:t>
      </w:r>
      <w:r>
        <w:rPr>
          <w:rFonts w:ascii="Book Antiqua" w:hAnsi="Book Antiqua" w:cs="Book Antiqua"/>
        </w:rPr>
        <w:t>.</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w:t>
      </w:r>
      <w:r>
        <w:rPr>
          <w:rFonts w:ascii="Book Antiqua" w:hAnsi="Book Antiqua" w:cs="Book Antiqua"/>
        </w:rPr>
        <w:tab/>
      </w:r>
    </w:p>
    <w:p w:rsidR="00D95797" w:rsidRDefault="00D95797" w:rsidP="00D95797">
      <w:pPr>
        <w:tabs>
          <w:tab w:val="left" w:pos="5040"/>
          <w:tab w:val="left" w:pos="5490"/>
        </w:tabs>
        <w:autoSpaceDE w:val="0"/>
        <w:autoSpaceDN w:val="0"/>
        <w:adjustRightInd w:val="0"/>
        <w:rPr>
          <w:rFonts w:ascii="Arial" w:eastAsiaTheme="minorHAnsi" w:hAnsi="Arial" w:cs="Arial"/>
        </w:rPr>
      </w:pPr>
      <w:r>
        <w:rPr>
          <w:rFonts w:ascii="Arial" w:eastAsiaTheme="minorHAnsi" w:hAnsi="Arial" w:cs="Arial"/>
        </w:rPr>
        <w:tab/>
      </w:r>
    </w:p>
    <w:p w:rsidR="00D95797" w:rsidRDefault="00D95797" w:rsidP="00D95797">
      <w:pPr>
        <w:tabs>
          <w:tab w:val="left" w:pos="5040"/>
          <w:tab w:val="left" w:pos="5490"/>
        </w:tabs>
        <w:autoSpaceDE w:val="0"/>
        <w:autoSpaceDN w:val="0"/>
        <w:adjustRightInd w:val="0"/>
        <w:rPr>
          <w:rFonts w:ascii="Arial" w:eastAsiaTheme="minorHAnsi" w:hAnsi="Arial" w:cs="Arial"/>
        </w:rPr>
      </w:pPr>
      <w:r>
        <w:rPr>
          <w:rFonts w:ascii="Arial" w:eastAsiaTheme="minorHAnsi" w:hAnsi="Arial" w:cs="Arial"/>
        </w:rPr>
        <w:t>In the Matter of the Application the Fuel</w:t>
      </w:r>
      <w:r>
        <w:rPr>
          <w:rFonts w:ascii="Arial" w:eastAsiaTheme="minorHAnsi" w:hAnsi="Arial" w:cs="Arial"/>
        </w:rPr>
        <w:tab/>
        <w:t>)</w:t>
      </w:r>
    </w:p>
    <w:p w:rsidR="00D95797" w:rsidRDefault="00D95797" w:rsidP="00D95797">
      <w:pPr>
        <w:tabs>
          <w:tab w:val="left" w:pos="5040"/>
          <w:tab w:val="left" w:pos="5760"/>
        </w:tabs>
        <w:autoSpaceDE w:val="0"/>
        <w:autoSpaceDN w:val="0"/>
        <w:adjustRightInd w:val="0"/>
        <w:rPr>
          <w:rFonts w:ascii="Arial" w:eastAsiaTheme="minorHAnsi" w:hAnsi="Arial" w:cs="Arial"/>
        </w:rPr>
      </w:pPr>
      <w:r>
        <w:rPr>
          <w:rFonts w:ascii="Arial" w:eastAsiaTheme="minorHAnsi" w:hAnsi="Arial" w:cs="Arial"/>
        </w:rPr>
        <w:t xml:space="preserve">Adjustment Clauses for Columbus Southern </w:t>
      </w:r>
      <w:r>
        <w:rPr>
          <w:rFonts w:ascii="Arial" w:eastAsiaTheme="minorHAnsi" w:hAnsi="Arial" w:cs="Arial"/>
        </w:rPr>
        <w:tab/>
        <w:t>)</w:t>
      </w:r>
      <w:r>
        <w:rPr>
          <w:rFonts w:ascii="Arial" w:eastAsiaTheme="minorHAnsi" w:hAnsi="Arial" w:cs="Arial"/>
        </w:rPr>
        <w:tab/>
        <w:t>Case No. 11-281-EL-FAC</w:t>
      </w:r>
    </w:p>
    <w:p w:rsidR="00D95797" w:rsidRDefault="00D95797" w:rsidP="00D95797">
      <w:pPr>
        <w:tabs>
          <w:tab w:val="left" w:pos="5040"/>
          <w:tab w:val="left" w:pos="5490"/>
        </w:tabs>
        <w:autoSpaceDE w:val="0"/>
        <w:autoSpaceDN w:val="0"/>
        <w:adjustRightInd w:val="0"/>
        <w:rPr>
          <w:rFonts w:ascii="Arial" w:eastAsiaTheme="minorHAnsi" w:hAnsi="Arial" w:cs="Arial"/>
        </w:rPr>
      </w:pPr>
      <w:r>
        <w:rPr>
          <w:rFonts w:ascii="Arial" w:eastAsiaTheme="minorHAnsi" w:hAnsi="Arial" w:cs="Arial"/>
        </w:rPr>
        <w:t xml:space="preserve">Power Company and Ohio Power Company </w:t>
      </w:r>
      <w:r>
        <w:rPr>
          <w:rFonts w:ascii="Arial" w:eastAsiaTheme="minorHAnsi" w:hAnsi="Arial" w:cs="Arial"/>
        </w:rPr>
        <w:tab/>
        <w:t>)</w:t>
      </w:r>
    </w:p>
    <w:p w:rsidR="00D95797" w:rsidRDefault="00D95797" w:rsidP="00D95797">
      <w:pPr>
        <w:tabs>
          <w:tab w:val="left" w:pos="5040"/>
          <w:tab w:val="left" w:pos="5490"/>
        </w:tabs>
        <w:autoSpaceDE w:val="0"/>
        <w:autoSpaceDN w:val="0"/>
        <w:adjustRightInd w:val="0"/>
        <w:rPr>
          <w:rFonts w:ascii="Arial" w:eastAsiaTheme="minorHAnsi" w:hAnsi="Arial" w:cs="Arial"/>
        </w:rPr>
      </w:pPr>
      <w:r>
        <w:rPr>
          <w:rFonts w:ascii="Arial" w:eastAsiaTheme="minorHAnsi" w:hAnsi="Arial" w:cs="Arial"/>
        </w:rPr>
        <w:t>and Related Matters.</w:t>
      </w:r>
      <w:r>
        <w:rPr>
          <w:rFonts w:ascii="Arial" w:eastAsiaTheme="minorHAnsi" w:hAnsi="Arial" w:cs="Arial"/>
        </w:rPr>
        <w:tab/>
        <w:t>)</w:t>
      </w:r>
    </w:p>
    <w:p w:rsidR="00D95797" w:rsidRPr="00A118C1" w:rsidRDefault="00D95797" w:rsidP="00D95797">
      <w:pPr>
        <w:pStyle w:val="BodyText"/>
        <w:rPr>
          <w:rFonts w:cs="Arial"/>
          <w:b w:val="0"/>
        </w:rPr>
      </w:pPr>
    </w:p>
    <w:p w:rsidR="00D95797" w:rsidRPr="00A118C1" w:rsidRDefault="00D95797" w:rsidP="00D95797">
      <w:pPr>
        <w:pStyle w:val="BodyText"/>
        <w:pBdr>
          <w:top w:val="single" w:sz="12" w:space="1" w:color="auto"/>
        </w:pBdr>
        <w:rPr>
          <w:rFonts w:cs="Arial"/>
          <w:sz w:val="12"/>
          <w:szCs w:val="12"/>
        </w:rPr>
      </w:pPr>
    </w:p>
    <w:p w:rsidR="00D95797" w:rsidRPr="00D95797" w:rsidRDefault="009D3FA8" w:rsidP="00103C35">
      <w:pPr>
        <w:jc w:val="center"/>
        <w:rPr>
          <w:rFonts w:ascii="Arial" w:hAnsi="Arial" w:cs="Arial"/>
          <w:b/>
          <w:smallCaps/>
          <w:sz w:val="28"/>
          <w:szCs w:val="28"/>
        </w:rPr>
      </w:pPr>
      <w:r>
        <w:rPr>
          <w:rFonts w:ascii="Arial" w:hAnsi="Arial" w:cs="Arial"/>
          <w:b/>
          <w:smallCaps/>
          <w:sz w:val="28"/>
          <w:szCs w:val="28"/>
        </w:rPr>
        <w:t xml:space="preserve">Post Hearing Brief of </w:t>
      </w:r>
      <w:r w:rsidR="00D95797" w:rsidRPr="00D95797">
        <w:rPr>
          <w:rFonts w:ascii="Arial" w:hAnsi="Arial" w:cs="Arial"/>
          <w:b/>
          <w:smallCaps/>
          <w:sz w:val="28"/>
          <w:szCs w:val="28"/>
        </w:rPr>
        <w:t xml:space="preserve">Industrial Energy Users-Ohio </w:t>
      </w:r>
    </w:p>
    <w:p w:rsidR="00D95797" w:rsidRPr="00A118C1" w:rsidRDefault="00D95797" w:rsidP="00103C35">
      <w:pPr>
        <w:pBdr>
          <w:bottom w:val="single" w:sz="12" w:space="1" w:color="auto"/>
        </w:pBdr>
        <w:jc w:val="both"/>
        <w:rPr>
          <w:rFonts w:ascii="Arial" w:hAnsi="Arial" w:cs="Arial"/>
          <w:sz w:val="12"/>
          <w:szCs w:val="12"/>
        </w:rPr>
      </w:pPr>
    </w:p>
    <w:p w:rsidR="00D95797" w:rsidRDefault="00D95797" w:rsidP="00D95797">
      <w:pPr>
        <w:jc w:val="both"/>
        <w:rPr>
          <w:rFonts w:ascii="Arial" w:hAnsi="Arial" w:cs="Arial"/>
        </w:rPr>
      </w:pPr>
    </w:p>
    <w:p w:rsidR="00D95797" w:rsidRDefault="00D95797" w:rsidP="00D95797">
      <w:pPr>
        <w:tabs>
          <w:tab w:val="left" w:pos="4320"/>
          <w:tab w:val="right" w:pos="8640"/>
        </w:tabs>
        <w:ind w:left="4320"/>
        <w:jc w:val="both"/>
        <w:rPr>
          <w:rFonts w:ascii="Arial" w:hAnsi="Arial" w:cs="Arial"/>
        </w:rPr>
      </w:pPr>
    </w:p>
    <w:p w:rsidR="00D95797" w:rsidRDefault="00D95797" w:rsidP="00D95797">
      <w:pPr>
        <w:tabs>
          <w:tab w:val="left" w:pos="4320"/>
          <w:tab w:val="right" w:pos="8640"/>
        </w:tabs>
        <w:ind w:left="4320"/>
        <w:jc w:val="both"/>
        <w:rPr>
          <w:rFonts w:ascii="Arial" w:hAnsi="Arial" w:cs="Arial"/>
        </w:rPr>
      </w:pPr>
    </w:p>
    <w:p w:rsidR="00D95797" w:rsidRDefault="00D95797" w:rsidP="00D95797">
      <w:pPr>
        <w:tabs>
          <w:tab w:val="left" w:pos="4320"/>
          <w:tab w:val="right" w:pos="8640"/>
        </w:tabs>
        <w:ind w:left="4320"/>
        <w:jc w:val="both"/>
        <w:rPr>
          <w:rFonts w:ascii="Arial" w:hAnsi="Arial" w:cs="Arial"/>
        </w:rPr>
      </w:pPr>
    </w:p>
    <w:p w:rsidR="00D95797" w:rsidRDefault="00D95797" w:rsidP="00D95797">
      <w:pPr>
        <w:tabs>
          <w:tab w:val="left" w:pos="4320"/>
          <w:tab w:val="right" w:pos="8640"/>
        </w:tabs>
        <w:ind w:left="4320"/>
        <w:jc w:val="both"/>
        <w:rPr>
          <w:rFonts w:ascii="Arial" w:hAnsi="Arial" w:cs="Arial"/>
        </w:rPr>
      </w:pPr>
    </w:p>
    <w:p w:rsidR="00D95797" w:rsidRDefault="00D95797" w:rsidP="00D95797">
      <w:pPr>
        <w:tabs>
          <w:tab w:val="left" w:pos="4320"/>
          <w:tab w:val="right" w:pos="8640"/>
        </w:tabs>
        <w:ind w:left="4320"/>
        <w:jc w:val="both"/>
        <w:rPr>
          <w:rFonts w:ascii="Arial" w:hAnsi="Arial" w:cs="Arial"/>
        </w:rPr>
      </w:pPr>
    </w:p>
    <w:p w:rsidR="00D95797" w:rsidRDefault="00D95797" w:rsidP="00D95797">
      <w:pPr>
        <w:tabs>
          <w:tab w:val="left" w:pos="4320"/>
          <w:tab w:val="right" w:pos="8640"/>
        </w:tabs>
        <w:ind w:left="4320"/>
        <w:jc w:val="both"/>
        <w:rPr>
          <w:rFonts w:ascii="Arial" w:hAnsi="Arial" w:cs="Arial"/>
        </w:rPr>
      </w:pPr>
    </w:p>
    <w:p w:rsidR="00D95797" w:rsidRDefault="00D95797" w:rsidP="00D95797">
      <w:pPr>
        <w:tabs>
          <w:tab w:val="left" w:pos="4320"/>
          <w:tab w:val="right" w:pos="8640"/>
        </w:tabs>
        <w:ind w:left="4320"/>
        <w:jc w:val="both"/>
        <w:rPr>
          <w:rFonts w:ascii="Arial" w:hAnsi="Arial" w:cs="Arial"/>
        </w:rPr>
      </w:pPr>
      <w:r>
        <w:rPr>
          <w:rFonts w:ascii="Arial" w:hAnsi="Arial" w:cs="Arial"/>
        </w:rPr>
        <w:t>Samuel C. Randazzo (Counsel of Record)</w:t>
      </w:r>
    </w:p>
    <w:p w:rsidR="00D95797" w:rsidRDefault="00D95797" w:rsidP="00D95797">
      <w:pPr>
        <w:pStyle w:val="BodyText3"/>
        <w:widowControl w:val="0"/>
        <w:tabs>
          <w:tab w:val="left" w:pos="4320"/>
        </w:tabs>
        <w:spacing w:after="0"/>
        <w:ind w:left="4320"/>
        <w:jc w:val="both"/>
        <w:rPr>
          <w:rFonts w:ascii="Arial" w:hAnsi="Arial" w:cs="Arial"/>
          <w:bCs/>
          <w:sz w:val="24"/>
          <w:szCs w:val="24"/>
        </w:rPr>
      </w:pPr>
      <w:r>
        <w:rPr>
          <w:rFonts w:ascii="Arial" w:hAnsi="Arial" w:cs="Arial"/>
          <w:bCs/>
          <w:sz w:val="24"/>
          <w:szCs w:val="24"/>
        </w:rPr>
        <w:t>Frank P. Darr</w:t>
      </w:r>
    </w:p>
    <w:p w:rsidR="00D95797" w:rsidRDefault="00D95797" w:rsidP="00D95797">
      <w:pPr>
        <w:pStyle w:val="BodyText3"/>
        <w:widowControl w:val="0"/>
        <w:tabs>
          <w:tab w:val="left" w:pos="4320"/>
        </w:tabs>
        <w:spacing w:after="0"/>
        <w:ind w:left="4320"/>
        <w:jc w:val="both"/>
        <w:rPr>
          <w:rFonts w:ascii="Arial" w:hAnsi="Arial" w:cs="Arial"/>
          <w:bCs/>
          <w:sz w:val="24"/>
          <w:szCs w:val="24"/>
        </w:rPr>
      </w:pPr>
      <w:r>
        <w:rPr>
          <w:rFonts w:ascii="Arial" w:hAnsi="Arial" w:cs="Arial"/>
          <w:bCs/>
          <w:sz w:val="24"/>
          <w:szCs w:val="24"/>
        </w:rPr>
        <w:t>Joseph E. Oliker</w:t>
      </w:r>
    </w:p>
    <w:p w:rsidR="00D95797" w:rsidRDefault="00D95797" w:rsidP="00D95797">
      <w:pPr>
        <w:pStyle w:val="BodyText3"/>
        <w:widowControl w:val="0"/>
        <w:tabs>
          <w:tab w:val="left" w:pos="4320"/>
        </w:tabs>
        <w:spacing w:after="0"/>
        <w:ind w:left="4320"/>
        <w:jc w:val="both"/>
        <w:rPr>
          <w:rFonts w:ascii="Arial" w:hAnsi="Arial" w:cs="Arial"/>
          <w:b/>
          <w:bCs/>
          <w:sz w:val="24"/>
          <w:szCs w:val="24"/>
        </w:rPr>
      </w:pPr>
      <w:r>
        <w:rPr>
          <w:rFonts w:ascii="Arial" w:hAnsi="Arial" w:cs="Arial"/>
          <w:bCs/>
          <w:sz w:val="24"/>
          <w:szCs w:val="24"/>
        </w:rPr>
        <w:t>Matthew R. Pritchard</w:t>
      </w:r>
    </w:p>
    <w:p w:rsidR="00D95797" w:rsidRDefault="00D95797" w:rsidP="00D95797">
      <w:pPr>
        <w:pStyle w:val="BodyText3"/>
        <w:widowControl w:val="0"/>
        <w:tabs>
          <w:tab w:val="left" w:pos="4320"/>
        </w:tabs>
        <w:spacing w:after="0"/>
        <w:ind w:left="4320"/>
        <w:jc w:val="both"/>
        <w:rPr>
          <w:rFonts w:ascii="Arial" w:hAnsi="Arial" w:cs="Arial"/>
          <w:b/>
          <w:bCs/>
          <w:smallCaps/>
          <w:sz w:val="24"/>
          <w:szCs w:val="24"/>
        </w:rPr>
      </w:pPr>
      <w:r>
        <w:rPr>
          <w:rFonts w:ascii="Arial" w:hAnsi="Arial" w:cs="Arial"/>
          <w:bCs/>
          <w:smallCaps/>
          <w:sz w:val="24"/>
          <w:szCs w:val="24"/>
        </w:rPr>
        <w:t>McNees Wallace &amp; Nurick LLC</w:t>
      </w:r>
    </w:p>
    <w:p w:rsidR="00D95797" w:rsidRDefault="00D95797" w:rsidP="00D95797">
      <w:pPr>
        <w:pStyle w:val="BodyText3"/>
        <w:widowControl w:val="0"/>
        <w:tabs>
          <w:tab w:val="left" w:pos="4320"/>
        </w:tabs>
        <w:spacing w:after="0"/>
        <w:ind w:left="4320"/>
        <w:jc w:val="both"/>
        <w:rPr>
          <w:rFonts w:ascii="Arial" w:hAnsi="Arial" w:cs="Arial"/>
          <w:b/>
          <w:bCs/>
          <w:sz w:val="24"/>
          <w:szCs w:val="24"/>
        </w:rPr>
      </w:pPr>
      <w:r>
        <w:rPr>
          <w:rFonts w:ascii="Arial" w:hAnsi="Arial" w:cs="Arial"/>
          <w:bCs/>
          <w:sz w:val="24"/>
          <w:szCs w:val="24"/>
        </w:rPr>
        <w:t>21 East State Street, 17</w:t>
      </w:r>
      <w:r>
        <w:rPr>
          <w:rFonts w:ascii="Arial" w:hAnsi="Arial" w:cs="Arial"/>
          <w:bCs/>
          <w:sz w:val="24"/>
          <w:szCs w:val="24"/>
          <w:vertAlign w:val="superscript"/>
        </w:rPr>
        <w:t>TH</w:t>
      </w:r>
      <w:r>
        <w:rPr>
          <w:rFonts w:ascii="Arial" w:hAnsi="Arial" w:cs="Arial"/>
          <w:bCs/>
          <w:sz w:val="24"/>
          <w:szCs w:val="24"/>
        </w:rPr>
        <w:t xml:space="preserve"> Floor</w:t>
      </w:r>
    </w:p>
    <w:p w:rsidR="00D95797" w:rsidRDefault="00D95797" w:rsidP="00D95797">
      <w:pPr>
        <w:pStyle w:val="BodyText"/>
        <w:tabs>
          <w:tab w:val="left" w:pos="4320"/>
        </w:tabs>
        <w:ind w:left="4320"/>
        <w:rPr>
          <w:b w:val="0"/>
          <w:smallCaps w:val="0"/>
        </w:rPr>
      </w:pPr>
      <w:r>
        <w:rPr>
          <w:b w:val="0"/>
          <w:smallCaps w:val="0"/>
        </w:rPr>
        <w:t>Columbus, OH  43215</w:t>
      </w:r>
    </w:p>
    <w:p w:rsidR="00D95797" w:rsidRDefault="00D95797" w:rsidP="00D95797">
      <w:pPr>
        <w:pStyle w:val="BodyText"/>
        <w:tabs>
          <w:tab w:val="left" w:pos="4320"/>
        </w:tabs>
        <w:ind w:left="4320"/>
        <w:rPr>
          <w:b w:val="0"/>
          <w:smallCaps w:val="0"/>
        </w:rPr>
      </w:pPr>
      <w:r>
        <w:rPr>
          <w:b w:val="0"/>
          <w:smallCaps w:val="0"/>
        </w:rPr>
        <w:t>Telephone:  (614) 469-8000</w:t>
      </w:r>
    </w:p>
    <w:p w:rsidR="00D95797" w:rsidRDefault="00D95797" w:rsidP="00D95797">
      <w:pPr>
        <w:pStyle w:val="BodyText"/>
        <w:tabs>
          <w:tab w:val="left" w:pos="4320"/>
        </w:tabs>
        <w:ind w:left="4320"/>
        <w:rPr>
          <w:b w:val="0"/>
          <w:smallCaps w:val="0"/>
        </w:rPr>
      </w:pPr>
      <w:r>
        <w:rPr>
          <w:b w:val="0"/>
          <w:smallCaps w:val="0"/>
        </w:rPr>
        <w:t>Telecopier:  (614) 469-4653</w:t>
      </w:r>
    </w:p>
    <w:p w:rsidR="00D95797" w:rsidRDefault="00D95797" w:rsidP="00D95797">
      <w:pPr>
        <w:pStyle w:val="BodyText"/>
        <w:ind w:left="4320"/>
        <w:rPr>
          <w:b w:val="0"/>
          <w:smallCaps w:val="0"/>
        </w:rPr>
      </w:pPr>
      <w:r>
        <w:rPr>
          <w:b w:val="0"/>
          <w:smallCaps w:val="0"/>
        </w:rPr>
        <w:t>sam@mwncmh.com</w:t>
      </w:r>
    </w:p>
    <w:p w:rsidR="00D95797" w:rsidRDefault="00D95797" w:rsidP="00D95797">
      <w:pPr>
        <w:pStyle w:val="BodyText"/>
        <w:ind w:left="4320"/>
        <w:rPr>
          <w:b w:val="0"/>
          <w:smallCaps w:val="0"/>
        </w:rPr>
      </w:pPr>
      <w:r>
        <w:rPr>
          <w:b w:val="0"/>
          <w:smallCaps w:val="0"/>
        </w:rPr>
        <w:t>fdarr@mwncmh.com</w:t>
      </w:r>
    </w:p>
    <w:p w:rsidR="00D95797" w:rsidRDefault="00D95797" w:rsidP="00D95797">
      <w:pPr>
        <w:pStyle w:val="BodyText"/>
        <w:ind w:left="4320"/>
        <w:rPr>
          <w:b w:val="0"/>
          <w:smallCaps w:val="0"/>
        </w:rPr>
      </w:pPr>
      <w:r>
        <w:rPr>
          <w:b w:val="0"/>
          <w:smallCaps w:val="0"/>
        </w:rPr>
        <w:t>joliker@mwncmh.com</w:t>
      </w:r>
    </w:p>
    <w:p w:rsidR="00D95797" w:rsidRPr="00D95797" w:rsidRDefault="00D95797" w:rsidP="00D95797">
      <w:pPr>
        <w:pStyle w:val="BodyText"/>
        <w:ind w:left="4320"/>
        <w:rPr>
          <w:rFonts w:cs="Arial"/>
          <w:b w:val="0"/>
        </w:rPr>
      </w:pPr>
      <w:r w:rsidRPr="00D95797">
        <w:rPr>
          <w:rFonts w:cs="Arial"/>
          <w:b w:val="0"/>
          <w:smallCaps w:val="0"/>
        </w:rPr>
        <w:t>mpritchard@mwncmh.com</w:t>
      </w:r>
    </w:p>
    <w:p w:rsidR="00D95797" w:rsidRPr="00D95797" w:rsidRDefault="00D95797" w:rsidP="00D95797">
      <w:pPr>
        <w:pStyle w:val="BodyText"/>
        <w:ind w:left="4320"/>
        <w:rPr>
          <w:rFonts w:cs="Arial"/>
        </w:rPr>
      </w:pPr>
    </w:p>
    <w:p w:rsidR="00D95797" w:rsidRPr="00D95797" w:rsidRDefault="001A2C95" w:rsidP="00D95797">
      <w:pPr>
        <w:jc w:val="both"/>
        <w:rPr>
          <w:rFonts w:ascii="Arial" w:hAnsi="Arial" w:cs="Arial"/>
          <w:b/>
        </w:rPr>
      </w:pPr>
      <w:r>
        <w:rPr>
          <w:rFonts w:ascii="Arial" w:hAnsi="Arial" w:cs="Arial"/>
          <w:b/>
        </w:rPr>
        <w:t xml:space="preserve">January </w:t>
      </w:r>
      <w:r w:rsidR="00FA221E">
        <w:rPr>
          <w:rFonts w:ascii="Arial" w:hAnsi="Arial" w:cs="Arial"/>
          <w:b/>
        </w:rPr>
        <w:t>8</w:t>
      </w:r>
      <w:r>
        <w:rPr>
          <w:rFonts w:ascii="Arial" w:hAnsi="Arial" w:cs="Arial"/>
          <w:b/>
        </w:rPr>
        <w:t>, 2014</w:t>
      </w:r>
      <w:r w:rsidR="00D95797">
        <w:rPr>
          <w:rFonts w:ascii="Arial" w:hAnsi="Arial" w:cs="Arial"/>
          <w:b/>
        </w:rPr>
        <w:tab/>
      </w:r>
      <w:r w:rsidR="00D95797">
        <w:rPr>
          <w:rFonts w:ascii="Arial" w:hAnsi="Arial" w:cs="Arial"/>
          <w:b/>
        </w:rPr>
        <w:tab/>
      </w:r>
      <w:r w:rsidR="00D95797">
        <w:rPr>
          <w:rFonts w:ascii="Arial" w:hAnsi="Arial" w:cs="Arial"/>
          <w:b/>
        </w:rPr>
        <w:tab/>
      </w:r>
      <w:r w:rsidR="006B0CFE">
        <w:rPr>
          <w:rFonts w:ascii="Arial" w:hAnsi="Arial" w:cs="Arial"/>
          <w:b/>
        </w:rPr>
        <w:tab/>
      </w:r>
      <w:r w:rsidR="00D95797" w:rsidRPr="00D95797">
        <w:rPr>
          <w:rFonts w:ascii="Arial" w:hAnsi="Arial" w:cs="Arial"/>
          <w:b/>
        </w:rPr>
        <w:t>Attorneys for Industrial Energy Users-Ohi</w:t>
      </w:r>
      <w:r w:rsidR="00D95797">
        <w:rPr>
          <w:rFonts w:ascii="Arial" w:hAnsi="Arial" w:cs="Arial"/>
          <w:b/>
        </w:rPr>
        <w:t>o</w:t>
      </w:r>
    </w:p>
    <w:p w:rsidR="009F21F2" w:rsidRDefault="009F21F2" w:rsidP="00D95797">
      <w:pPr>
        <w:jc w:val="both"/>
        <w:rPr>
          <w:rFonts w:ascii="Arial" w:hAnsi="Arial" w:cs="Arial"/>
        </w:rPr>
        <w:sectPr w:rsidR="009F21F2" w:rsidSect="00B7256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p w:rsidR="000D6ED1" w:rsidRPr="000D6ED1" w:rsidRDefault="000D6ED1" w:rsidP="000D6ED1">
      <w:pPr>
        <w:jc w:val="center"/>
        <w:rPr>
          <w:rFonts w:ascii="Arial Bold" w:hAnsi="Arial Bold" w:cs="Arial"/>
          <w:b/>
          <w:caps/>
        </w:rPr>
      </w:pPr>
      <w:bookmarkStart w:id="1" w:name="TOCHeading"/>
      <w:r w:rsidRPr="000D6ED1">
        <w:rPr>
          <w:rFonts w:ascii="Arial Bold" w:hAnsi="Arial Bold" w:cs="Arial"/>
          <w:b/>
          <w:caps/>
        </w:rPr>
        <w:lastRenderedPageBreak/>
        <w:t>Table of Contents</w:t>
      </w:r>
    </w:p>
    <w:p w:rsidR="000D6ED1" w:rsidRDefault="000D6ED1" w:rsidP="000D6ED1">
      <w:pPr>
        <w:pStyle w:val="TOCPage"/>
      </w:pPr>
      <w:bookmarkStart w:id="2" w:name="TOCPage"/>
      <w:bookmarkEnd w:id="1"/>
      <w:r>
        <w:t>Page</w:t>
      </w:r>
    </w:p>
    <w:bookmarkEnd w:id="2"/>
    <w:p w:rsidR="000D6ED1" w:rsidRDefault="000D6ED1" w:rsidP="000D6ED1">
      <w:pPr>
        <w:pStyle w:val="TOC1"/>
        <w:rPr>
          <w:rFonts w:ascii="Arial" w:hAnsi="Arial" w:cs="Arial"/>
          <w:noProof/>
        </w:rPr>
      </w:pPr>
      <w:r w:rsidRPr="00B7256C">
        <w:rPr>
          <w:rFonts w:ascii="Arial" w:hAnsi="Arial" w:cs="Arial"/>
        </w:rPr>
        <w:fldChar w:fldCharType="begin"/>
      </w:r>
      <w:r w:rsidRPr="00B7256C">
        <w:rPr>
          <w:rFonts w:ascii="Arial" w:hAnsi="Arial" w:cs="Arial"/>
        </w:rPr>
        <w:instrText xml:space="preserve"> TOC \t "Heading 1,1,Heading 2,2,Heading 3,3" </w:instrText>
      </w:r>
      <w:r w:rsidRPr="00B7256C">
        <w:rPr>
          <w:rFonts w:ascii="Arial" w:hAnsi="Arial" w:cs="Arial"/>
        </w:rPr>
        <w:fldChar w:fldCharType="separate"/>
      </w:r>
      <w:bookmarkStart w:id="3" w:name="TOCLocation"/>
      <w:r w:rsidRPr="00B7256C">
        <w:rPr>
          <w:rFonts w:ascii="Arial" w:hAnsi="Arial" w:cs="Arial"/>
          <w:noProof/>
          <w:color w:val="010000"/>
        </w:rPr>
        <w:t>I.</w:t>
      </w:r>
      <w:r w:rsidRPr="00B7256C">
        <w:rPr>
          <w:rFonts w:ascii="Arial" w:eastAsiaTheme="minorEastAsia" w:hAnsi="Arial" w:cs="Arial"/>
          <w:noProof/>
          <w:sz w:val="22"/>
          <w:szCs w:val="22"/>
        </w:rPr>
        <w:tab/>
      </w:r>
      <w:r w:rsidRPr="00B7256C">
        <w:rPr>
          <w:rFonts w:ascii="Arial" w:hAnsi="Arial" w:cs="Arial"/>
          <w:caps/>
          <w:noProof/>
        </w:rPr>
        <w:t>Introduction</w:t>
      </w:r>
      <w:r w:rsidRPr="00B7256C">
        <w:rPr>
          <w:rFonts w:ascii="Arial" w:hAnsi="Arial" w:cs="Arial"/>
          <w:noProof/>
        </w:rPr>
        <w:tab/>
      </w:r>
      <w:r w:rsidRPr="00B7256C">
        <w:rPr>
          <w:rFonts w:ascii="Arial" w:hAnsi="Arial" w:cs="Arial"/>
          <w:noProof/>
        </w:rPr>
        <w:fldChar w:fldCharType="begin"/>
      </w:r>
      <w:r w:rsidRPr="00B7256C">
        <w:rPr>
          <w:rFonts w:ascii="Arial" w:hAnsi="Arial" w:cs="Arial"/>
          <w:noProof/>
        </w:rPr>
        <w:instrText xml:space="preserve"> PAGEREF _Toc376963226 \h </w:instrText>
      </w:r>
      <w:r w:rsidRPr="00B7256C">
        <w:rPr>
          <w:rFonts w:ascii="Arial" w:hAnsi="Arial" w:cs="Arial"/>
          <w:noProof/>
        </w:rPr>
      </w:r>
      <w:r w:rsidRPr="00B7256C">
        <w:rPr>
          <w:rFonts w:ascii="Arial" w:hAnsi="Arial" w:cs="Arial"/>
          <w:noProof/>
        </w:rPr>
        <w:fldChar w:fldCharType="separate"/>
      </w:r>
      <w:r w:rsidR="00EE66FE">
        <w:rPr>
          <w:rFonts w:ascii="Arial" w:hAnsi="Arial" w:cs="Arial"/>
          <w:noProof/>
        </w:rPr>
        <w:t>1</w:t>
      </w:r>
      <w:r w:rsidRPr="00B7256C">
        <w:rPr>
          <w:rFonts w:ascii="Arial" w:hAnsi="Arial" w:cs="Arial"/>
          <w:noProof/>
        </w:rPr>
        <w:fldChar w:fldCharType="end"/>
      </w:r>
    </w:p>
    <w:p w:rsidR="00B7256C" w:rsidRPr="00B7256C" w:rsidRDefault="00B7256C" w:rsidP="00B7256C">
      <w:pPr>
        <w:rPr>
          <w:rFonts w:eastAsiaTheme="minorEastAsia"/>
          <w:noProof/>
        </w:rPr>
      </w:pPr>
    </w:p>
    <w:p w:rsidR="000D6ED1" w:rsidRDefault="000D6ED1" w:rsidP="000D6ED1">
      <w:pPr>
        <w:pStyle w:val="TOC1"/>
        <w:rPr>
          <w:rFonts w:ascii="Arial" w:hAnsi="Arial" w:cs="Arial"/>
          <w:noProof/>
        </w:rPr>
      </w:pPr>
      <w:r w:rsidRPr="00B7256C">
        <w:rPr>
          <w:rFonts w:ascii="Arial" w:hAnsi="Arial" w:cs="Arial"/>
          <w:noProof/>
          <w:color w:val="010000"/>
        </w:rPr>
        <w:t>II.</w:t>
      </w:r>
      <w:r w:rsidRPr="00B7256C">
        <w:rPr>
          <w:rFonts w:ascii="Arial" w:eastAsiaTheme="minorEastAsia" w:hAnsi="Arial" w:cs="Arial"/>
          <w:caps/>
          <w:noProof/>
          <w:sz w:val="22"/>
          <w:szCs w:val="22"/>
        </w:rPr>
        <w:tab/>
      </w:r>
      <w:r w:rsidRPr="00B7256C">
        <w:rPr>
          <w:rFonts w:ascii="Arial" w:hAnsi="Arial" w:cs="Arial"/>
          <w:caps/>
          <w:noProof/>
        </w:rPr>
        <w:t>Background</w:t>
      </w:r>
      <w:r w:rsidRPr="00B7256C">
        <w:rPr>
          <w:rFonts w:ascii="Arial" w:hAnsi="Arial" w:cs="Arial"/>
          <w:noProof/>
        </w:rPr>
        <w:tab/>
      </w:r>
      <w:r w:rsidRPr="00B7256C">
        <w:rPr>
          <w:rFonts w:ascii="Arial" w:hAnsi="Arial" w:cs="Arial"/>
          <w:noProof/>
        </w:rPr>
        <w:fldChar w:fldCharType="begin"/>
      </w:r>
      <w:r w:rsidRPr="00B7256C">
        <w:rPr>
          <w:rFonts w:ascii="Arial" w:hAnsi="Arial" w:cs="Arial"/>
          <w:noProof/>
        </w:rPr>
        <w:instrText xml:space="preserve"> PAGEREF _Toc376963227 \h </w:instrText>
      </w:r>
      <w:r w:rsidRPr="00B7256C">
        <w:rPr>
          <w:rFonts w:ascii="Arial" w:hAnsi="Arial" w:cs="Arial"/>
          <w:noProof/>
        </w:rPr>
      </w:r>
      <w:r w:rsidRPr="00B7256C">
        <w:rPr>
          <w:rFonts w:ascii="Arial" w:hAnsi="Arial" w:cs="Arial"/>
          <w:noProof/>
        </w:rPr>
        <w:fldChar w:fldCharType="separate"/>
      </w:r>
      <w:r w:rsidR="00EE66FE">
        <w:rPr>
          <w:rFonts w:ascii="Arial" w:hAnsi="Arial" w:cs="Arial"/>
          <w:noProof/>
        </w:rPr>
        <w:t>2</w:t>
      </w:r>
      <w:r w:rsidRPr="00B7256C">
        <w:rPr>
          <w:rFonts w:ascii="Arial" w:hAnsi="Arial" w:cs="Arial"/>
          <w:noProof/>
        </w:rPr>
        <w:fldChar w:fldCharType="end"/>
      </w:r>
    </w:p>
    <w:p w:rsidR="00B7256C" w:rsidRPr="00B7256C" w:rsidRDefault="00B7256C" w:rsidP="00B7256C">
      <w:pPr>
        <w:rPr>
          <w:rFonts w:eastAsiaTheme="minorEastAsia"/>
          <w:noProof/>
        </w:rPr>
      </w:pPr>
    </w:p>
    <w:p w:rsidR="000D6ED1" w:rsidRPr="00B7256C" w:rsidRDefault="000D6ED1" w:rsidP="000D6ED1">
      <w:pPr>
        <w:pStyle w:val="TOC1"/>
        <w:rPr>
          <w:rFonts w:ascii="Arial" w:eastAsiaTheme="minorEastAsia" w:hAnsi="Arial" w:cs="Arial"/>
          <w:noProof/>
          <w:sz w:val="22"/>
          <w:szCs w:val="22"/>
        </w:rPr>
      </w:pPr>
      <w:r w:rsidRPr="00B7256C">
        <w:rPr>
          <w:rFonts w:ascii="Arial" w:hAnsi="Arial" w:cs="Arial"/>
          <w:noProof/>
          <w:color w:val="010000"/>
        </w:rPr>
        <w:t>III.</w:t>
      </w:r>
      <w:r w:rsidRPr="00B7256C">
        <w:rPr>
          <w:rFonts w:ascii="Arial" w:eastAsiaTheme="minorEastAsia" w:hAnsi="Arial" w:cs="Arial"/>
          <w:noProof/>
          <w:sz w:val="22"/>
          <w:szCs w:val="22"/>
        </w:rPr>
        <w:tab/>
      </w:r>
      <w:r w:rsidRPr="00B7256C">
        <w:rPr>
          <w:rFonts w:ascii="Arial" w:hAnsi="Arial" w:cs="Arial"/>
          <w:caps/>
          <w:noProof/>
        </w:rPr>
        <w:t>Argument</w:t>
      </w:r>
      <w:r w:rsidRPr="00B7256C">
        <w:rPr>
          <w:rFonts w:ascii="Arial" w:hAnsi="Arial" w:cs="Arial"/>
          <w:noProof/>
        </w:rPr>
        <w:tab/>
      </w:r>
      <w:r w:rsidRPr="00B7256C">
        <w:rPr>
          <w:rFonts w:ascii="Arial" w:hAnsi="Arial" w:cs="Arial"/>
          <w:noProof/>
        </w:rPr>
        <w:fldChar w:fldCharType="begin"/>
      </w:r>
      <w:r w:rsidRPr="00B7256C">
        <w:rPr>
          <w:rFonts w:ascii="Arial" w:hAnsi="Arial" w:cs="Arial"/>
          <w:noProof/>
        </w:rPr>
        <w:instrText xml:space="preserve"> PAGEREF _Toc376963228 \h </w:instrText>
      </w:r>
      <w:r w:rsidRPr="00B7256C">
        <w:rPr>
          <w:rFonts w:ascii="Arial" w:hAnsi="Arial" w:cs="Arial"/>
          <w:noProof/>
        </w:rPr>
      </w:r>
      <w:r w:rsidRPr="00B7256C">
        <w:rPr>
          <w:rFonts w:ascii="Arial" w:hAnsi="Arial" w:cs="Arial"/>
          <w:noProof/>
        </w:rPr>
        <w:fldChar w:fldCharType="separate"/>
      </w:r>
      <w:r w:rsidR="00EE66FE">
        <w:rPr>
          <w:rFonts w:ascii="Arial" w:hAnsi="Arial" w:cs="Arial"/>
          <w:noProof/>
        </w:rPr>
        <w:t>9</w:t>
      </w:r>
      <w:r w:rsidRPr="00B7256C">
        <w:rPr>
          <w:rFonts w:ascii="Arial" w:hAnsi="Arial" w:cs="Arial"/>
          <w:noProof/>
        </w:rPr>
        <w:fldChar w:fldCharType="end"/>
      </w:r>
    </w:p>
    <w:p w:rsidR="000D6ED1" w:rsidRPr="00B7256C" w:rsidRDefault="000D6ED1" w:rsidP="00B7256C">
      <w:pPr>
        <w:pStyle w:val="TOC2"/>
        <w:rPr>
          <w:rFonts w:eastAsiaTheme="minorEastAsia"/>
          <w:sz w:val="22"/>
          <w:szCs w:val="22"/>
        </w:rPr>
      </w:pPr>
      <w:r w:rsidRPr="00B7256C">
        <w:t>A.</w:t>
      </w:r>
      <w:r w:rsidRPr="00B7256C">
        <w:tab/>
        <w:t>The Attorney Examiner Erred by precluding IEU-Ohio’s counsel from cross-examining witnesses and admitting exhibits regarding AEP-Ohio’s double recovery of non-fuel purchased power costs through the FAC during 2010 and 2011</w:t>
      </w:r>
      <w:r w:rsidRPr="00B7256C">
        <w:tab/>
      </w:r>
      <w:r w:rsidRPr="00B7256C">
        <w:fldChar w:fldCharType="begin"/>
      </w:r>
      <w:r w:rsidRPr="00B7256C">
        <w:instrText xml:space="preserve"> PAGEREF _Toc376963229 \h </w:instrText>
      </w:r>
      <w:r w:rsidRPr="00B7256C">
        <w:fldChar w:fldCharType="separate"/>
      </w:r>
      <w:r w:rsidR="00EE66FE">
        <w:t>9</w:t>
      </w:r>
      <w:r w:rsidRPr="00B7256C">
        <w:fldChar w:fldCharType="end"/>
      </w:r>
    </w:p>
    <w:p w:rsidR="000D6ED1" w:rsidRPr="00B7256C" w:rsidRDefault="000D6ED1" w:rsidP="00B7256C">
      <w:pPr>
        <w:pStyle w:val="TOC3"/>
        <w:rPr>
          <w:rFonts w:eastAsiaTheme="minorEastAsia"/>
          <w:sz w:val="22"/>
          <w:szCs w:val="22"/>
        </w:rPr>
      </w:pPr>
      <w:r w:rsidRPr="00B7256C">
        <w:t>1.</w:t>
      </w:r>
      <w:r w:rsidRPr="00B7256C">
        <w:rPr>
          <w:rFonts w:eastAsiaTheme="minorEastAsia"/>
          <w:sz w:val="22"/>
          <w:szCs w:val="22"/>
        </w:rPr>
        <w:tab/>
      </w:r>
      <w:r w:rsidRPr="00B7256C">
        <w:t>AEP-Ohio’s over recovery of purchased power costs is relevant</w:t>
      </w:r>
      <w:r w:rsidRPr="00B7256C">
        <w:tab/>
      </w:r>
      <w:r w:rsidRPr="00B7256C">
        <w:fldChar w:fldCharType="begin"/>
      </w:r>
      <w:r w:rsidRPr="00B7256C">
        <w:instrText xml:space="preserve"> PAGEREF _Toc376963230 \h </w:instrText>
      </w:r>
      <w:r w:rsidRPr="00B7256C">
        <w:fldChar w:fldCharType="separate"/>
      </w:r>
      <w:r w:rsidR="00EE66FE">
        <w:t>9</w:t>
      </w:r>
      <w:r w:rsidRPr="00B7256C">
        <w:fldChar w:fldCharType="end"/>
      </w:r>
    </w:p>
    <w:p w:rsidR="000D6ED1" w:rsidRDefault="000D6ED1" w:rsidP="00B7256C">
      <w:pPr>
        <w:pStyle w:val="TOC3"/>
      </w:pPr>
      <w:r w:rsidRPr="00B7256C">
        <w:t>2.</w:t>
      </w:r>
      <w:r w:rsidRPr="00B7256C">
        <w:rPr>
          <w:rFonts w:eastAsiaTheme="minorEastAsia"/>
          <w:sz w:val="22"/>
          <w:szCs w:val="22"/>
        </w:rPr>
        <w:tab/>
      </w:r>
      <w:r w:rsidRPr="00B7256C">
        <w:t>The proffered exhibits demonstrate that AEP-Ohio was fully compensated for its purchased power costs by its base generation rates in effect in 2010 and 2011</w:t>
      </w:r>
      <w:r w:rsidRPr="00B7256C">
        <w:tab/>
      </w:r>
      <w:r w:rsidRPr="00B7256C">
        <w:fldChar w:fldCharType="begin"/>
      </w:r>
      <w:r w:rsidRPr="00B7256C">
        <w:instrText xml:space="preserve"> PAGEREF _Toc376963231 \h </w:instrText>
      </w:r>
      <w:r w:rsidRPr="00B7256C">
        <w:fldChar w:fldCharType="separate"/>
      </w:r>
      <w:r w:rsidR="00EE66FE">
        <w:t>12</w:t>
      </w:r>
      <w:r w:rsidRPr="00B7256C">
        <w:fldChar w:fldCharType="end"/>
      </w:r>
    </w:p>
    <w:p w:rsidR="00B7256C" w:rsidRPr="00B7256C" w:rsidRDefault="00B7256C" w:rsidP="00B7256C">
      <w:pPr>
        <w:rPr>
          <w:rFonts w:eastAsiaTheme="minorEastAsia"/>
          <w:noProof/>
        </w:rPr>
      </w:pPr>
    </w:p>
    <w:p w:rsidR="000D6ED1" w:rsidRDefault="000D6ED1" w:rsidP="00B7256C">
      <w:pPr>
        <w:pStyle w:val="TOC2"/>
      </w:pPr>
      <w:r w:rsidRPr="00B7256C">
        <w:rPr>
          <w:rFonts w:eastAsiaTheme="minorHAnsi"/>
        </w:rPr>
        <w:t>B.</w:t>
      </w:r>
      <w:r w:rsidRPr="00B7256C">
        <w:rPr>
          <w:rFonts w:eastAsiaTheme="minorEastAsia"/>
          <w:sz w:val="22"/>
          <w:szCs w:val="22"/>
        </w:rPr>
        <w:tab/>
      </w:r>
      <w:r w:rsidRPr="00B7256C">
        <w:rPr>
          <w:rFonts w:eastAsiaTheme="minorHAnsi"/>
        </w:rPr>
        <w:t>The Commission should direct AEP-Ohio to reduce the FAC through an adjustment to account for an allocation of demand related purchased power costs to off-system sales or the application of off-system sales margins of OVEC and Lawrenceburg to the FAC</w:t>
      </w:r>
      <w:r w:rsidRPr="00B7256C">
        <w:tab/>
      </w:r>
      <w:r w:rsidRPr="00B7256C">
        <w:fldChar w:fldCharType="begin"/>
      </w:r>
      <w:r w:rsidRPr="00B7256C">
        <w:instrText xml:space="preserve"> PAGEREF _Toc376963232 \h </w:instrText>
      </w:r>
      <w:r w:rsidRPr="00B7256C">
        <w:fldChar w:fldCharType="separate"/>
      </w:r>
      <w:r w:rsidR="00EE66FE">
        <w:t>16</w:t>
      </w:r>
      <w:r w:rsidRPr="00B7256C">
        <w:fldChar w:fldCharType="end"/>
      </w:r>
    </w:p>
    <w:p w:rsidR="00B7256C" w:rsidRPr="00B7256C" w:rsidRDefault="00B7256C" w:rsidP="00B7256C">
      <w:pPr>
        <w:rPr>
          <w:rFonts w:eastAsiaTheme="minorEastAsia"/>
          <w:noProof/>
        </w:rPr>
      </w:pPr>
    </w:p>
    <w:p w:rsidR="000D6ED1" w:rsidRDefault="000D6ED1" w:rsidP="00B7256C">
      <w:pPr>
        <w:pStyle w:val="TOC2"/>
      </w:pPr>
      <w:r w:rsidRPr="00B7256C">
        <w:t>C.</w:t>
      </w:r>
      <w:r w:rsidRPr="00B7256C">
        <w:rPr>
          <w:rFonts w:eastAsiaTheme="minorEastAsia"/>
          <w:sz w:val="22"/>
          <w:szCs w:val="22"/>
        </w:rPr>
        <w:tab/>
      </w:r>
      <w:r w:rsidRPr="00B7256C">
        <w:t>The Commission should direct AEP-Ohio to account for the effect of ADIT in its carrying charge methodology</w:t>
      </w:r>
      <w:r w:rsidRPr="00B7256C">
        <w:tab/>
      </w:r>
      <w:r w:rsidRPr="00B7256C">
        <w:fldChar w:fldCharType="begin"/>
      </w:r>
      <w:r w:rsidRPr="00B7256C">
        <w:instrText xml:space="preserve"> PAGEREF _Toc376963233 \h </w:instrText>
      </w:r>
      <w:r w:rsidRPr="00B7256C">
        <w:fldChar w:fldCharType="separate"/>
      </w:r>
      <w:r w:rsidR="00EE66FE">
        <w:t>20</w:t>
      </w:r>
      <w:r w:rsidRPr="00B7256C">
        <w:fldChar w:fldCharType="end"/>
      </w:r>
    </w:p>
    <w:p w:rsidR="00B7256C" w:rsidRPr="00B7256C" w:rsidRDefault="00B7256C" w:rsidP="00B7256C">
      <w:pPr>
        <w:rPr>
          <w:rFonts w:eastAsiaTheme="minorEastAsia"/>
          <w:noProof/>
        </w:rPr>
      </w:pPr>
    </w:p>
    <w:p w:rsidR="000D6ED1" w:rsidRPr="00B7256C" w:rsidRDefault="000D6ED1" w:rsidP="00B7256C">
      <w:pPr>
        <w:pStyle w:val="TOC2"/>
        <w:rPr>
          <w:rFonts w:eastAsiaTheme="minorEastAsia"/>
          <w:sz w:val="22"/>
          <w:szCs w:val="22"/>
        </w:rPr>
      </w:pPr>
      <w:r w:rsidRPr="00B7256C">
        <w:t>D.</w:t>
      </w:r>
      <w:r w:rsidRPr="00B7256C">
        <w:rPr>
          <w:rFonts w:eastAsiaTheme="minorEastAsia"/>
          <w:sz w:val="22"/>
          <w:szCs w:val="22"/>
        </w:rPr>
        <w:tab/>
      </w:r>
      <w:r w:rsidRPr="00B7256C">
        <w:t xml:space="preserve">Issues Related to the </w:t>
      </w:r>
      <w:r w:rsidRPr="00B7256C">
        <w:rPr>
          <w:i/>
        </w:rPr>
        <w:t>2009 FAC Case</w:t>
      </w:r>
      <w:r w:rsidRPr="00B7256C">
        <w:tab/>
      </w:r>
      <w:r w:rsidRPr="00B7256C">
        <w:fldChar w:fldCharType="begin"/>
      </w:r>
      <w:r w:rsidRPr="00B7256C">
        <w:instrText xml:space="preserve"> PAGEREF _Toc376963234 \h </w:instrText>
      </w:r>
      <w:r w:rsidRPr="00B7256C">
        <w:fldChar w:fldCharType="separate"/>
      </w:r>
      <w:r w:rsidR="00EE66FE">
        <w:t>23</w:t>
      </w:r>
      <w:r w:rsidRPr="00B7256C">
        <w:fldChar w:fldCharType="end"/>
      </w:r>
    </w:p>
    <w:p w:rsidR="000D6ED1" w:rsidRPr="00B7256C" w:rsidRDefault="000D6ED1" w:rsidP="00B7256C">
      <w:pPr>
        <w:pStyle w:val="TOC3"/>
        <w:rPr>
          <w:rFonts w:eastAsiaTheme="minorEastAsia"/>
          <w:sz w:val="22"/>
          <w:szCs w:val="22"/>
        </w:rPr>
      </w:pPr>
      <w:r w:rsidRPr="00B7256C">
        <w:t>1.</w:t>
      </w:r>
      <w:r w:rsidRPr="00B7256C">
        <w:rPr>
          <w:rFonts w:eastAsiaTheme="minorEastAsia"/>
          <w:sz w:val="22"/>
          <w:szCs w:val="22"/>
        </w:rPr>
        <w:tab/>
      </w:r>
      <w:r w:rsidRPr="00B7256C">
        <w:t>The Commission should adopt</w:t>
      </w:r>
      <w:r w:rsidR="00B7256C" w:rsidRPr="00B7256C">
        <w:t xml:space="preserve"> Financial Audit Recommendation </w:t>
      </w:r>
      <w:r w:rsidRPr="00B7256C">
        <w:t>7</w:t>
      </w:r>
      <w:r w:rsidRPr="00B7256C">
        <w:tab/>
      </w:r>
      <w:r w:rsidRPr="00B7256C">
        <w:fldChar w:fldCharType="begin"/>
      </w:r>
      <w:r w:rsidRPr="00B7256C">
        <w:instrText xml:space="preserve"> PAGEREF _Toc376963235 \h </w:instrText>
      </w:r>
      <w:r w:rsidRPr="00B7256C">
        <w:fldChar w:fldCharType="separate"/>
      </w:r>
      <w:r w:rsidR="00EE66FE">
        <w:t>23</w:t>
      </w:r>
      <w:r w:rsidRPr="00B7256C">
        <w:fldChar w:fldCharType="end"/>
      </w:r>
    </w:p>
    <w:p w:rsidR="000D6ED1" w:rsidRPr="00B7256C" w:rsidRDefault="000D6ED1" w:rsidP="00B7256C">
      <w:pPr>
        <w:pStyle w:val="TOC3"/>
        <w:rPr>
          <w:rFonts w:eastAsiaTheme="minorEastAsia"/>
          <w:sz w:val="22"/>
          <w:szCs w:val="22"/>
        </w:rPr>
      </w:pPr>
      <w:r w:rsidRPr="00B7256C">
        <w:t>2.</w:t>
      </w:r>
      <w:r w:rsidRPr="00B7256C">
        <w:rPr>
          <w:rFonts w:eastAsiaTheme="minorEastAsia"/>
          <w:sz w:val="22"/>
          <w:szCs w:val="22"/>
        </w:rPr>
        <w:tab/>
      </w:r>
      <w:r w:rsidRPr="00B7256C">
        <w:t>The Commission should promptly appraise the Coal Reserve</w:t>
      </w:r>
      <w:r w:rsidRPr="00B7256C">
        <w:tab/>
      </w:r>
      <w:r w:rsidRPr="00B7256C">
        <w:fldChar w:fldCharType="begin"/>
      </w:r>
      <w:r w:rsidRPr="00B7256C">
        <w:instrText xml:space="preserve"> PAGEREF _Toc376963236 \h </w:instrText>
      </w:r>
      <w:r w:rsidRPr="00B7256C">
        <w:fldChar w:fldCharType="separate"/>
      </w:r>
      <w:r w:rsidR="00EE66FE">
        <w:t>23</w:t>
      </w:r>
      <w:r w:rsidRPr="00B7256C">
        <w:fldChar w:fldCharType="end"/>
      </w:r>
    </w:p>
    <w:p w:rsidR="000D6ED1" w:rsidRDefault="000D6ED1" w:rsidP="00B7256C">
      <w:pPr>
        <w:pStyle w:val="TOC3"/>
      </w:pPr>
      <w:r w:rsidRPr="00B7256C">
        <w:t>3.</w:t>
      </w:r>
      <w:r w:rsidRPr="00B7256C">
        <w:rPr>
          <w:rFonts w:eastAsiaTheme="minorEastAsia"/>
          <w:sz w:val="22"/>
          <w:szCs w:val="22"/>
        </w:rPr>
        <w:tab/>
      </w:r>
      <w:r w:rsidRPr="00B7256C">
        <w:t>The Commission should ensure that customers receive the customer-funded future below-market benefits that will accrue to AEP-Ohio after the FAC expires</w:t>
      </w:r>
      <w:r w:rsidRPr="00B7256C">
        <w:tab/>
      </w:r>
      <w:r w:rsidRPr="00B7256C">
        <w:fldChar w:fldCharType="begin"/>
      </w:r>
      <w:r w:rsidRPr="00B7256C">
        <w:instrText xml:space="preserve"> PAGEREF _Toc376963237 \h </w:instrText>
      </w:r>
      <w:r w:rsidRPr="00B7256C">
        <w:fldChar w:fldCharType="separate"/>
      </w:r>
      <w:r w:rsidR="00EE66FE">
        <w:t>24</w:t>
      </w:r>
      <w:r w:rsidRPr="00B7256C">
        <w:fldChar w:fldCharType="end"/>
      </w:r>
    </w:p>
    <w:p w:rsidR="00B7256C" w:rsidRPr="00B7256C" w:rsidRDefault="00B7256C" w:rsidP="00B7256C">
      <w:pPr>
        <w:rPr>
          <w:rFonts w:eastAsiaTheme="minorEastAsia"/>
          <w:noProof/>
        </w:rPr>
      </w:pPr>
    </w:p>
    <w:p w:rsidR="000D6ED1" w:rsidRPr="00B7256C" w:rsidRDefault="000D6ED1" w:rsidP="000D6ED1">
      <w:pPr>
        <w:pStyle w:val="TOC1"/>
        <w:rPr>
          <w:rFonts w:ascii="Arial" w:eastAsiaTheme="minorEastAsia" w:hAnsi="Arial" w:cs="Arial"/>
          <w:noProof/>
          <w:sz w:val="22"/>
          <w:szCs w:val="22"/>
        </w:rPr>
      </w:pPr>
      <w:r w:rsidRPr="00B7256C">
        <w:rPr>
          <w:rFonts w:ascii="Arial" w:hAnsi="Arial" w:cs="Arial"/>
          <w:noProof/>
          <w:color w:val="010000"/>
        </w:rPr>
        <w:t>IV.</w:t>
      </w:r>
      <w:r w:rsidRPr="00B7256C">
        <w:rPr>
          <w:rFonts w:ascii="Arial" w:eastAsiaTheme="minorEastAsia" w:hAnsi="Arial" w:cs="Arial"/>
          <w:noProof/>
          <w:sz w:val="22"/>
          <w:szCs w:val="22"/>
        </w:rPr>
        <w:tab/>
      </w:r>
      <w:r w:rsidRPr="00B7256C">
        <w:rPr>
          <w:rFonts w:ascii="Arial" w:hAnsi="Arial" w:cs="Arial"/>
          <w:caps/>
          <w:noProof/>
        </w:rPr>
        <w:t>Conclusion</w:t>
      </w:r>
      <w:r w:rsidRPr="00B7256C">
        <w:rPr>
          <w:rFonts w:ascii="Arial" w:hAnsi="Arial" w:cs="Arial"/>
          <w:noProof/>
        </w:rPr>
        <w:tab/>
      </w:r>
      <w:r w:rsidRPr="00B7256C">
        <w:rPr>
          <w:rFonts w:ascii="Arial" w:hAnsi="Arial" w:cs="Arial"/>
          <w:noProof/>
        </w:rPr>
        <w:fldChar w:fldCharType="begin"/>
      </w:r>
      <w:r w:rsidRPr="00B7256C">
        <w:rPr>
          <w:rFonts w:ascii="Arial" w:hAnsi="Arial" w:cs="Arial"/>
          <w:noProof/>
        </w:rPr>
        <w:instrText xml:space="preserve"> PAGEREF _Toc376963238 \h </w:instrText>
      </w:r>
      <w:r w:rsidRPr="00B7256C">
        <w:rPr>
          <w:rFonts w:ascii="Arial" w:hAnsi="Arial" w:cs="Arial"/>
          <w:noProof/>
        </w:rPr>
      </w:r>
      <w:r w:rsidRPr="00B7256C">
        <w:rPr>
          <w:rFonts w:ascii="Arial" w:hAnsi="Arial" w:cs="Arial"/>
          <w:noProof/>
        </w:rPr>
        <w:fldChar w:fldCharType="separate"/>
      </w:r>
      <w:r w:rsidR="00EE66FE">
        <w:rPr>
          <w:rFonts w:ascii="Arial" w:hAnsi="Arial" w:cs="Arial"/>
          <w:noProof/>
        </w:rPr>
        <w:t>26</w:t>
      </w:r>
      <w:r w:rsidRPr="00B7256C">
        <w:rPr>
          <w:rFonts w:ascii="Arial" w:hAnsi="Arial" w:cs="Arial"/>
          <w:noProof/>
        </w:rPr>
        <w:fldChar w:fldCharType="end"/>
      </w:r>
    </w:p>
    <w:bookmarkEnd w:id="3"/>
    <w:p w:rsidR="00D95797" w:rsidRDefault="000D6ED1" w:rsidP="00D95797">
      <w:pPr>
        <w:jc w:val="both"/>
        <w:rPr>
          <w:rFonts w:ascii="Arial" w:hAnsi="Arial" w:cs="Arial"/>
        </w:rPr>
      </w:pPr>
      <w:r w:rsidRPr="00B7256C">
        <w:rPr>
          <w:rFonts w:ascii="Arial" w:hAnsi="Arial" w:cs="Arial"/>
        </w:rPr>
        <w:fldChar w:fldCharType="end"/>
      </w:r>
    </w:p>
    <w:p w:rsidR="000D6ED1" w:rsidRDefault="000D6ED1" w:rsidP="00D95797">
      <w:pPr>
        <w:jc w:val="both"/>
        <w:rPr>
          <w:rFonts w:ascii="Arial" w:hAnsi="Arial" w:cs="Arial"/>
        </w:rPr>
      </w:pPr>
    </w:p>
    <w:p w:rsidR="00D95797" w:rsidRDefault="00D95797" w:rsidP="00D95797">
      <w:pPr>
        <w:jc w:val="both"/>
        <w:rPr>
          <w:rFonts w:ascii="Arial" w:hAnsi="Arial" w:cs="Arial"/>
        </w:rPr>
      </w:pPr>
    </w:p>
    <w:p w:rsidR="009F21F2" w:rsidRDefault="009F21F2" w:rsidP="00D95797">
      <w:pPr>
        <w:jc w:val="both"/>
        <w:rPr>
          <w:rFonts w:ascii="Arial" w:hAnsi="Arial" w:cs="Arial"/>
        </w:rPr>
      </w:pPr>
    </w:p>
    <w:p w:rsidR="009F21F2" w:rsidRDefault="009F21F2" w:rsidP="00D95797">
      <w:pPr>
        <w:jc w:val="both"/>
        <w:rPr>
          <w:rFonts w:ascii="Arial" w:hAnsi="Arial" w:cs="Arial"/>
        </w:rPr>
      </w:pPr>
    </w:p>
    <w:p w:rsidR="009F21F2" w:rsidRDefault="009F21F2" w:rsidP="00D95797">
      <w:pPr>
        <w:jc w:val="both"/>
        <w:rPr>
          <w:rFonts w:ascii="Arial" w:hAnsi="Arial" w:cs="Arial"/>
        </w:rPr>
      </w:pPr>
    </w:p>
    <w:p w:rsidR="009F21F2" w:rsidRPr="00A118C1" w:rsidRDefault="009F21F2" w:rsidP="00D95797">
      <w:pPr>
        <w:jc w:val="both"/>
        <w:rPr>
          <w:rFonts w:ascii="Arial" w:hAnsi="Arial" w:cs="Arial"/>
        </w:rPr>
      </w:pPr>
    </w:p>
    <w:p w:rsidR="00D95797" w:rsidRDefault="00D95797" w:rsidP="00D95797">
      <w:pPr>
        <w:jc w:val="center"/>
        <w:rPr>
          <w:rFonts w:ascii="Arial" w:hAnsi="Arial" w:cs="Arial"/>
          <w:b/>
          <w:smallCaps/>
          <w:sz w:val="28"/>
        </w:rPr>
        <w:sectPr w:rsidR="00D95797" w:rsidSect="00B7256C">
          <w:headerReference w:type="default"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docGrid w:linePitch="360"/>
        </w:sectPr>
      </w:pPr>
    </w:p>
    <w:p w:rsidR="00D95797" w:rsidRDefault="00D95797" w:rsidP="00D95797">
      <w:pPr>
        <w:jc w:val="center"/>
        <w:rPr>
          <w:rFonts w:ascii="Arial" w:hAnsi="Arial" w:cs="Arial"/>
          <w:b/>
          <w:smallCaps/>
          <w:sz w:val="28"/>
        </w:rPr>
      </w:pPr>
      <w:r>
        <w:rPr>
          <w:rFonts w:ascii="Arial" w:hAnsi="Arial" w:cs="Arial"/>
          <w:b/>
          <w:smallCaps/>
          <w:sz w:val="28"/>
        </w:rPr>
        <w:lastRenderedPageBreak/>
        <w:t>Before</w:t>
      </w:r>
    </w:p>
    <w:p w:rsidR="00D95797" w:rsidRDefault="00D95797" w:rsidP="00D95797">
      <w:pPr>
        <w:jc w:val="center"/>
        <w:rPr>
          <w:rFonts w:ascii="Arial" w:hAnsi="Arial" w:cs="Arial"/>
          <w:b/>
          <w:smallCaps/>
          <w:sz w:val="28"/>
        </w:rPr>
      </w:pPr>
      <w:r>
        <w:rPr>
          <w:rFonts w:ascii="Arial" w:hAnsi="Arial" w:cs="Arial"/>
          <w:b/>
          <w:smallCaps/>
          <w:sz w:val="28"/>
        </w:rPr>
        <w:t>The Public Utilities Commission of Ohio</w:t>
      </w:r>
    </w:p>
    <w:p w:rsidR="00D95797" w:rsidRPr="00D95797" w:rsidRDefault="00D95797" w:rsidP="00D95797">
      <w:pPr>
        <w:autoSpaceDE w:val="0"/>
        <w:autoSpaceDN w:val="0"/>
        <w:adjustRightInd w:val="0"/>
        <w:rPr>
          <w:rFonts w:ascii="Arial" w:hAnsi="Arial" w:cs="Arial"/>
        </w:rPr>
      </w:pPr>
    </w:p>
    <w:p w:rsidR="00D95797" w:rsidRPr="00D95797" w:rsidRDefault="00D95797" w:rsidP="00D95797">
      <w:pPr>
        <w:autoSpaceDE w:val="0"/>
        <w:autoSpaceDN w:val="0"/>
        <w:adjustRightInd w:val="0"/>
        <w:rPr>
          <w:rFonts w:ascii="Arial" w:hAnsi="Arial" w:cs="Arial"/>
        </w:rPr>
      </w:pPr>
      <w:r w:rsidRPr="00D95797">
        <w:rPr>
          <w:rFonts w:ascii="Arial" w:hAnsi="Arial" w:cs="Arial"/>
        </w:rPr>
        <w:t>In the Matter of the Fuel Adjustment</w:t>
      </w:r>
      <w:r w:rsidRPr="00D95797">
        <w:rPr>
          <w:rFonts w:ascii="Arial" w:hAnsi="Arial" w:cs="Arial"/>
        </w:rPr>
        <w:tab/>
      </w:r>
      <w:r w:rsidRPr="00D95797">
        <w:rPr>
          <w:rFonts w:ascii="Arial" w:hAnsi="Arial" w:cs="Arial"/>
        </w:rPr>
        <w:tab/>
        <w:t>)</w:t>
      </w:r>
      <w:r w:rsidRPr="00D95797">
        <w:rPr>
          <w:rFonts w:ascii="Arial" w:hAnsi="Arial" w:cs="Arial"/>
        </w:rPr>
        <w:tab/>
        <w:t>Case No. 10-268-EL-FAC</w:t>
      </w:r>
    </w:p>
    <w:p w:rsidR="00D95797" w:rsidRPr="00D95797" w:rsidRDefault="00D95797" w:rsidP="00D95797">
      <w:pPr>
        <w:autoSpaceDE w:val="0"/>
        <w:autoSpaceDN w:val="0"/>
        <w:adjustRightInd w:val="0"/>
        <w:rPr>
          <w:rFonts w:ascii="Arial" w:hAnsi="Arial" w:cs="Arial"/>
        </w:rPr>
      </w:pPr>
      <w:r w:rsidRPr="00D95797">
        <w:rPr>
          <w:rFonts w:ascii="Arial" w:hAnsi="Arial" w:cs="Arial"/>
        </w:rPr>
        <w:t>Clauses for Columbus Southern Power</w:t>
      </w:r>
      <w:r w:rsidRPr="00D95797">
        <w:rPr>
          <w:rFonts w:ascii="Arial" w:hAnsi="Arial" w:cs="Arial"/>
        </w:rPr>
        <w:tab/>
      </w:r>
      <w:r w:rsidRPr="00D95797">
        <w:rPr>
          <w:rFonts w:ascii="Arial" w:hAnsi="Arial" w:cs="Arial"/>
        </w:rPr>
        <w:tab/>
      </w:r>
      <w:r>
        <w:rPr>
          <w:rFonts w:ascii="Arial" w:hAnsi="Arial" w:cs="Arial"/>
        </w:rPr>
        <w:t>)</w:t>
      </w:r>
    </w:p>
    <w:p w:rsidR="00D95797" w:rsidRPr="00D95797" w:rsidRDefault="00D95797" w:rsidP="00D95797">
      <w:pPr>
        <w:autoSpaceDE w:val="0"/>
        <w:autoSpaceDN w:val="0"/>
        <w:adjustRightInd w:val="0"/>
        <w:rPr>
          <w:rFonts w:ascii="Arial" w:hAnsi="Arial" w:cs="Arial"/>
        </w:rPr>
      </w:pPr>
      <w:r w:rsidRPr="00D95797">
        <w:rPr>
          <w:rFonts w:ascii="Arial" w:hAnsi="Arial" w:cs="Arial"/>
        </w:rPr>
        <w:t>Company and Ohio Power Company and</w:t>
      </w:r>
      <w:r w:rsidRPr="00D95797">
        <w:rPr>
          <w:rFonts w:ascii="Arial" w:hAnsi="Arial" w:cs="Arial"/>
        </w:rPr>
        <w:tab/>
      </w:r>
      <w:r>
        <w:rPr>
          <w:rFonts w:ascii="Arial" w:hAnsi="Arial" w:cs="Arial"/>
        </w:rPr>
        <w:t>)</w:t>
      </w:r>
      <w:r w:rsidRPr="00D95797">
        <w:rPr>
          <w:rFonts w:ascii="Arial" w:hAnsi="Arial" w:cs="Arial"/>
        </w:rPr>
        <w:tab/>
        <w:t>Case No. 10-269-EL-FAC</w:t>
      </w:r>
    </w:p>
    <w:p w:rsidR="00D95797" w:rsidRDefault="00D95797" w:rsidP="00D95797">
      <w:pPr>
        <w:autoSpaceDE w:val="0"/>
        <w:autoSpaceDN w:val="0"/>
        <w:adjustRightInd w:val="0"/>
        <w:rPr>
          <w:rFonts w:ascii="Book Antiqua" w:hAnsi="Book Antiqua" w:cs="Book Antiqua"/>
        </w:rPr>
      </w:pPr>
      <w:r w:rsidRPr="00D95797">
        <w:rPr>
          <w:rFonts w:ascii="Arial" w:hAnsi="Arial" w:cs="Arial"/>
        </w:rPr>
        <w:t>Related Matters</w:t>
      </w:r>
      <w:r>
        <w:rPr>
          <w:rFonts w:ascii="Arial" w:hAnsi="Arial" w:cs="Arial"/>
        </w:rPr>
        <w:t xml:space="preserve"> for 2010</w:t>
      </w:r>
      <w:r>
        <w:rPr>
          <w:rFonts w:ascii="Book Antiqua" w:hAnsi="Book Antiqua" w:cs="Book Antiqua"/>
        </w:rPr>
        <w:t>.</w:t>
      </w:r>
      <w:r>
        <w:rPr>
          <w:rFonts w:ascii="Book Antiqua" w:hAnsi="Book Antiqua" w:cs="Book Antiqua"/>
        </w:rPr>
        <w:tab/>
      </w:r>
      <w:r>
        <w:rPr>
          <w:rFonts w:ascii="Book Antiqua" w:hAnsi="Book Antiqua" w:cs="Book Antiqua"/>
        </w:rPr>
        <w:tab/>
      </w:r>
      <w:r>
        <w:rPr>
          <w:rFonts w:ascii="Book Antiqua" w:hAnsi="Book Antiqua" w:cs="Book Antiqua"/>
        </w:rPr>
        <w:tab/>
      </w:r>
      <w:r>
        <w:rPr>
          <w:rFonts w:ascii="Book Antiqua" w:hAnsi="Book Antiqua" w:cs="Book Antiqua"/>
        </w:rPr>
        <w:tab/>
        <w:t>)</w:t>
      </w:r>
      <w:r>
        <w:rPr>
          <w:rFonts w:ascii="Book Antiqua" w:hAnsi="Book Antiqua" w:cs="Book Antiqua"/>
        </w:rPr>
        <w:tab/>
      </w:r>
    </w:p>
    <w:p w:rsidR="00D95797" w:rsidRDefault="00D95797" w:rsidP="00D95797">
      <w:pPr>
        <w:tabs>
          <w:tab w:val="left" w:pos="5040"/>
          <w:tab w:val="left" w:pos="5490"/>
        </w:tabs>
        <w:autoSpaceDE w:val="0"/>
        <w:autoSpaceDN w:val="0"/>
        <w:adjustRightInd w:val="0"/>
        <w:rPr>
          <w:rFonts w:ascii="Arial" w:eastAsiaTheme="minorHAnsi" w:hAnsi="Arial" w:cs="Arial"/>
        </w:rPr>
      </w:pPr>
      <w:r>
        <w:rPr>
          <w:rFonts w:ascii="Arial" w:eastAsiaTheme="minorHAnsi" w:hAnsi="Arial" w:cs="Arial"/>
        </w:rPr>
        <w:tab/>
      </w:r>
    </w:p>
    <w:p w:rsidR="00D95797" w:rsidRDefault="00D95797" w:rsidP="00D95797">
      <w:pPr>
        <w:tabs>
          <w:tab w:val="left" w:pos="5040"/>
          <w:tab w:val="left" w:pos="5490"/>
        </w:tabs>
        <w:autoSpaceDE w:val="0"/>
        <w:autoSpaceDN w:val="0"/>
        <w:adjustRightInd w:val="0"/>
        <w:rPr>
          <w:rFonts w:ascii="Arial" w:eastAsiaTheme="minorHAnsi" w:hAnsi="Arial" w:cs="Arial"/>
        </w:rPr>
      </w:pPr>
      <w:r>
        <w:rPr>
          <w:rFonts w:ascii="Arial" w:eastAsiaTheme="minorHAnsi" w:hAnsi="Arial" w:cs="Arial"/>
        </w:rPr>
        <w:t>In the Matter of the Application the Fuel</w:t>
      </w:r>
      <w:r>
        <w:rPr>
          <w:rFonts w:ascii="Arial" w:eastAsiaTheme="minorHAnsi" w:hAnsi="Arial" w:cs="Arial"/>
        </w:rPr>
        <w:tab/>
        <w:t>)</w:t>
      </w:r>
    </w:p>
    <w:p w:rsidR="00D95797" w:rsidRDefault="00D95797" w:rsidP="00D95797">
      <w:pPr>
        <w:tabs>
          <w:tab w:val="left" w:pos="5040"/>
          <w:tab w:val="left" w:pos="5760"/>
        </w:tabs>
        <w:autoSpaceDE w:val="0"/>
        <w:autoSpaceDN w:val="0"/>
        <w:adjustRightInd w:val="0"/>
        <w:rPr>
          <w:rFonts w:ascii="Arial" w:eastAsiaTheme="minorHAnsi" w:hAnsi="Arial" w:cs="Arial"/>
        </w:rPr>
      </w:pPr>
      <w:r>
        <w:rPr>
          <w:rFonts w:ascii="Arial" w:eastAsiaTheme="minorHAnsi" w:hAnsi="Arial" w:cs="Arial"/>
        </w:rPr>
        <w:t xml:space="preserve">Adjustment Clauses for Columbus Southern </w:t>
      </w:r>
      <w:r>
        <w:rPr>
          <w:rFonts w:ascii="Arial" w:eastAsiaTheme="minorHAnsi" w:hAnsi="Arial" w:cs="Arial"/>
        </w:rPr>
        <w:tab/>
        <w:t>)</w:t>
      </w:r>
      <w:r>
        <w:rPr>
          <w:rFonts w:ascii="Arial" w:eastAsiaTheme="minorHAnsi" w:hAnsi="Arial" w:cs="Arial"/>
        </w:rPr>
        <w:tab/>
        <w:t>Case No. 11-281-EL-FAC</w:t>
      </w:r>
    </w:p>
    <w:p w:rsidR="00D95797" w:rsidRDefault="00D95797" w:rsidP="00D95797">
      <w:pPr>
        <w:tabs>
          <w:tab w:val="left" w:pos="5040"/>
          <w:tab w:val="left" w:pos="5490"/>
        </w:tabs>
        <w:autoSpaceDE w:val="0"/>
        <w:autoSpaceDN w:val="0"/>
        <w:adjustRightInd w:val="0"/>
        <w:rPr>
          <w:rFonts w:ascii="Arial" w:eastAsiaTheme="minorHAnsi" w:hAnsi="Arial" w:cs="Arial"/>
        </w:rPr>
      </w:pPr>
      <w:r>
        <w:rPr>
          <w:rFonts w:ascii="Arial" w:eastAsiaTheme="minorHAnsi" w:hAnsi="Arial" w:cs="Arial"/>
        </w:rPr>
        <w:t xml:space="preserve">Power Company and Ohio Power Company </w:t>
      </w:r>
      <w:r>
        <w:rPr>
          <w:rFonts w:ascii="Arial" w:eastAsiaTheme="minorHAnsi" w:hAnsi="Arial" w:cs="Arial"/>
        </w:rPr>
        <w:tab/>
        <w:t>)</w:t>
      </w:r>
    </w:p>
    <w:p w:rsidR="00D95797" w:rsidRDefault="00D95797" w:rsidP="00D95797">
      <w:pPr>
        <w:tabs>
          <w:tab w:val="left" w:pos="5040"/>
          <w:tab w:val="left" w:pos="5490"/>
        </w:tabs>
        <w:autoSpaceDE w:val="0"/>
        <w:autoSpaceDN w:val="0"/>
        <w:adjustRightInd w:val="0"/>
        <w:rPr>
          <w:rFonts w:ascii="Arial" w:eastAsiaTheme="minorHAnsi" w:hAnsi="Arial" w:cs="Arial"/>
        </w:rPr>
      </w:pPr>
      <w:r>
        <w:rPr>
          <w:rFonts w:ascii="Arial" w:eastAsiaTheme="minorHAnsi" w:hAnsi="Arial" w:cs="Arial"/>
        </w:rPr>
        <w:t>and Related Matters.</w:t>
      </w:r>
      <w:r>
        <w:rPr>
          <w:rFonts w:ascii="Arial" w:eastAsiaTheme="minorHAnsi" w:hAnsi="Arial" w:cs="Arial"/>
        </w:rPr>
        <w:tab/>
        <w:t>)</w:t>
      </w:r>
    </w:p>
    <w:p w:rsidR="00D95797" w:rsidRPr="00A118C1" w:rsidRDefault="00D95797" w:rsidP="00D95797">
      <w:pPr>
        <w:pStyle w:val="BodyText"/>
        <w:rPr>
          <w:rFonts w:cs="Arial"/>
          <w:b w:val="0"/>
        </w:rPr>
      </w:pPr>
    </w:p>
    <w:p w:rsidR="00D95797" w:rsidRPr="00A118C1" w:rsidRDefault="00D95797" w:rsidP="00D95797">
      <w:pPr>
        <w:pStyle w:val="BodyText"/>
        <w:pBdr>
          <w:top w:val="single" w:sz="12" w:space="1" w:color="auto"/>
        </w:pBdr>
        <w:rPr>
          <w:rFonts w:cs="Arial"/>
          <w:sz w:val="12"/>
          <w:szCs w:val="12"/>
        </w:rPr>
      </w:pPr>
    </w:p>
    <w:p w:rsidR="00103C35" w:rsidRPr="00D95797" w:rsidRDefault="009D3FA8" w:rsidP="00103C35">
      <w:pPr>
        <w:jc w:val="center"/>
        <w:rPr>
          <w:rFonts w:ascii="Arial" w:hAnsi="Arial" w:cs="Arial"/>
          <w:b/>
          <w:smallCaps/>
          <w:sz w:val="28"/>
          <w:szCs w:val="28"/>
        </w:rPr>
      </w:pPr>
      <w:r>
        <w:rPr>
          <w:rFonts w:ascii="Arial" w:hAnsi="Arial" w:cs="Arial"/>
          <w:b/>
          <w:smallCaps/>
          <w:sz w:val="28"/>
          <w:szCs w:val="28"/>
        </w:rPr>
        <w:t xml:space="preserve">Post Hearing Brief of </w:t>
      </w:r>
      <w:r w:rsidR="00117786">
        <w:rPr>
          <w:rFonts w:ascii="Arial" w:hAnsi="Arial" w:cs="Arial"/>
          <w:b/>
          <w:smallCaps/>
          <w:sz w:val="28"/>
          <w:szCs w:val="28"/>
        </w:rPr>
        <w:t>Industrial Energy Users-Ohio</w:t>
      </w:r>
      <w:r w:rsidR="00103C35" w:rsidRPr="00D95797">
        <w:rPr>
          <w:rFonts w:ascii="Arial" w:hAnsi="Arial" w:cs="Arial"/>
          <w:b/>
          <w:smallCaps/>
          <w:sz w:val="28"/>
          <w:szCs w:val="28"/>
        </w:rPr>
        <w:t xml:space="preserve"> </w:t>
      </w:r>
    </w:p>
    <w:p w:rsidR="00D95797" w:rsidRPr="00A118C1" w:rsidRDefault="00D95797" w:rsidP="00D95797">
      <w:pPr>
        <w:pBdr>
          <w:bottom w:val="single" w:sz="12" w:space="1" w:color="auto"/>
        </w:pBdr>
        <w:jc w:val="both"/>
        <w:rPr>
          <w:rFonts w:ascii="Arial" w:hAnsi="Arial" w:cs="Arial"/>
          <w:sz w:val="12"/>
          <w:szCs w:val="12"/>
        </w:rPr>
      </w:pPr>
    </w:p>
    <w:p w:rsidR="00D95797" w:rsidRPr="00A118C1" w:rsidRDefault="00D95797" w:rsidP="00D95797">
      <w:pPr>
        <w:jc w:val="both"/>
        <w:rPr>
          <w:rFonts w:ascii="Arial" w:hAnsi="Arial" w:cs="Arial"/>
        </w:rPr>
      </w:pPr>
    </w:p>
    <w:p w:rsidR="00F47D25" w:rsidRDefault="00F47D25" w:rsidP="009D3FA8">
      <w:pPr>
        <w:pStyle w:val="1definition"/>
        <w:spacing w:line="240" w:lineRule="auto"/>
      </w:pPr>
    </w:p>
    <w:p w:rsidR="00652FB6" w:rsidRPr="000D6ED1" w:rsidRDefault="00652FB6" w:rsidP="000D6ED1">
      <w:pPr>
        <w:pStyle w:val="Heading1"/>
        <w:rPr>
          <w:rFonts w:ascii="Arial" w:hAnsi="Arial" w:cs="Arial"/>
        </w:rPr>
      </w:pPr>
      <w:bookmarkStart w:id="4" w:name="_Toc376963226"/>
      <w:r w:rsidRPr="000D6ED1">
        <w:rPr>
          <w:rFonts w:ascii="Arial" w:hAnsi="Arial" w:cs="Arial"/>
        </w:rPr>
        <w:t>Introduction</w:t>
      </w:r>
      <w:bookmarkEnd w:id="4"/>
    </w:p>
    <w:p w:rsidR="00F6271A" w:rsidRDefault="00345AC3" w:rsidP="00050498">
      <w:pPr>
        <w:pStyle w:val="1definition"/>
        <w:ind w:firstLine="720"/>
      </w:pPr>
      <w:r>
        <w:t>This proceeding involves the Public Utilities Commission of Ohio’s (“Commission”) second review of Ohio Power Company’s (“OPCo”) and Columbus Southern Power Company’s (“CSP”) (collectively, “AEP-Ohio”) Fuel Adjustment Clause (“FAC”).  In the first review of AEP-Ohio’s FAC, the Commission clarified that the purpose of auditing the FAC</w:t>
      </w:r>
      <w:r w:rsidR="005E7042">
        <w:t xml:space="preserve"> is</w:t>
      </w:r>
      <w:r w:rsidR="005D77A5">
        <w:t xml:space="preserve"> to evaluate the</w:t>
      </w:r>
      <w:r w:rsidR="005E7042">
        <w:t xml:space="preserve"> prudency of AEP-Ohio’s</w:t>
      </w:r>
      <w:r w:rsidR="005D77A5">
        <w:t xml:space="preserve"> FAC-related</w:t>
      </w:r>
      <w:r w:rsidR="005E7042">
        <w:t xml:space="preserve"> </w:t>
      </w:r>
      <w:r w:rsidR="005D77A5">
        <w:t>transactions, AEP-Ohio’s accounting practices, and AEP-Ohio’s true and accurate costs</w:t>
      </w:r>
      <w:r>
        <w:t>.</w:t>
      </w:r>
      <w:r>
        <w:rPr>
          <w:rStyle w:val="FootnoteReference"/>
        </w:rPr>
        <w:footnoteReference w:id="1"/>
      </w:r>
      <w:r w:rsidR="00050498">
        <w:t xml:space="preserve"> </w:t>
      </w:r>
      <w:r w:rsidR="00F6271A">
        <w:t xml:space="preserve"> </w:t>
      </w:r>
    </w:p>
    <w:p w:rsidR="00451BC2" w:rsidRDefault="00050498" w:rsidP="00050498">
      <w:pPr>
        <w:pStyle w:val="1definition"/>
        <w:ind w:firstLine="720"/>
      </w:pPr>
      <w:r>
        <w:t>Initially, I</w:t>
      </w:r>
      <w:r w:rsidR="001A2C95">
        <w:t xml:space="preserve">ndustrial </w:t>
      </w:r>
      <w:r>
        <w:t>E</w:t>
      </w:r>
      <w:r w:rsidR="001A2C95">
        <w:t xml:space="preserve">nergy </w:t>
      </w:r>
      <w:r>
        <w:t>U</w:t>
      </w:r>
      <w:r w:rsidR="001A2C95">
        <w:t>sers</w:t>
      </w:r>
      <w:r>
        <w:t>-Ohio</w:t>
      </w:r>
      <w:r w:rsidR="001A2C95">
        <w:t xml:space="preserve"> (“IEU-Ohio”)</w:t>
      </w:r>
      <w:r>
        <w:t xml:space="preserve"> urges the Commission to address issues that have carried over from the audit of AEP-Ohio’s 2009 FAC</w:t>
      </w:r>
      <w:r w:rsidR="00F6271A">
        <w:t>.  More specifically, the Commission should promptly determine the</w:t>
      </w:r>
      <w:r w:rsidR="00EB7610">
        <w:t xml:space="preserve"> value of the coal </w:t>
      </w:r>
      <w:r w:rsidR="00E11FF2">
        <w:t>reserve that the 2009 FAC Order determined should flow back to customers</w:t>
      </w:r>
      <w:r w:rsidR="00F6271A">
        <w:t>, verify</w:t>
      </w:r>
      <w:r w:rsidR="00EB7610">
        <w:t xml:space="preserve"> the Commission-ordered credit to jurisdictional customers, an</w:t>
      </w:r>
      <w:r w:rsidR="00930F09">
        <w:t>d</w:t>
      </w:r>
      <w:r w:rsidR="00F6271A">
        <w:t xml:space="preserve"> ensure that</w:t>
      </w:r>
      <w:r w:rsidR="00930F09">
        <w:t xml:space="preserve"> customer</w:t>
      </w:r>
      <w:r w:rsidR="00F6271A">
        <w:t xml:space="preserve">s receive the benefit of </w:t>
      </w:r>
      <w:r w:rsidR="00F6271A">
        <w:lastRenderedPageBreak/>
        <w:t>the customer</w:t>
      </w:r>
      <w:r w:rsidR="00930F09">
        <w:t>-funded market discount</w:t>
      </w:r>
      <w:r w:rsidR="00EB7610">
        <w:t xml:space="preserve"> that will flow to AEP-Ohio (or its affilia</w:t>
      </w:r>
      <w:r w:rsidR="00930F09">
        <w:t>te) after the</w:t>
      </w:r>
      <w:r w:rsidR="00EB7610">
        <w:t xml:space="preserve"> FAC</w:t>
      </w:r>
      <w:r w:rsidR="00F6271A">
        <w:t xml:space="preserve"> expires.</w:t>
      </w:r>
    </w:p>
    <w:p w:rsidR="009D5093" w:rsidRDefault="00D441DD" w:rsidP="009D5093">
      <w:pPr>
        <w:pStyle w:val="1definition"/>
        <w:ind w:firstLine="720"/>
      </w:pPr>
      <w:r>
        <w:t>I</w:t>
      </w:r>
      <w:r w:rsidR="00EB7610">
        <w:t xml:space="preserve">n the audit periods that are subject to the Commission’s review in these proceedings, IEU-Ohio urges the Commission </w:t>
      </w:r>
      <w:r w:rsidR="00F6271A">
        <w:t xml:space="preserve">to </w:t>
      </w:r>
      <w:r w:rsidR="00E11FF2">
        <w:t>disallow</w:t>
      </w:r>
      <w:r w:rsidR="00214C43">
        <w:t xml:space="preserve"> AEP-Ohio</w:t>
      </w:r>
      <w:r w:rsidR="00EB7610">
        <w:t>’s</w:t>
      </w:r>
      <w:r w:rsidR="00345AC3">
        <w:t xml:space="preserve"> </w:t>
      </w:r>
      <w:r w:rsidR="0001455A">
        <w:t>double</w:t>
      </w:r>
      <w:r w:rsidR="00F6271A">
        <w:t xml:space="preserve"> </w:t>
      </w:r>
      <w:r w:rsidR="00214C43">
        <w:t>rec</w:t>
      </w:r>
      <w:r w:rsidR="00EB7610">
        <w:t>overy</w:t>
      </w:r>
      <w:r w:rsidR="00345AC3">
        <w:t xml:space="preserve"> </w:t>
      </w:r>
      <w:r w:rsidR="00EB7610">
        <w:t xml:space="preserve">of </w:t>
      </w:r>
      <w:r w:rsidR="00345AC3">
        <w:t>purchase</w:t>
      </w:r>
      <w:r w:rsidR="009D5093">
        <w:t>d</w:t>
      </w:r>
      <w:r w:rsidR="00345AC3">
        <w:t xml:space="preserve"> power costs</w:t>
      </w:r>
      <w:r w:rsidR="00214C43">
        <w:t xml:space="preserve"> and carrying charges.  More specifically, although AEP-Ohio’s base generation revenue provid</w:t>
      </w:r>
      <w:r w:rsidR="005D77A5">
        <w:t>ed sufficient revenue to compensate AEP-Ohio for all of its capacity</w:t>
      </w:r>
      <w:r w:rsidR="00214C43">
        <w:t xml:space="preserve"> and non-fuel purchase</w:t>
      </w:r>
      <w:r w:rsidR="0001455A">
        <w:t>d</w:t>
      </w:r>
      <w:r w:rsidR="00214C43">
        <w:t xml:space="preserve"> power costs, </w:t>
      </w:r>
      <w:r w:rsidR="00F6271A">
        <w:t xml:space="preserve">in each year </w:t>
      </w:r>
      <w:r w:rsidR="00214C43">
        <w:t>A</w:t>
      </w:r>
      <w:r w:rsidR="005D77A5">
        <w:t xml:space="preserve">EP-Ohio </w:t>
      </w:r>
      <w:r w:rsidR="001318C3">
        <w:t>recovered over $11</w:t>
      </w:r>
      <w:r w:rsidR="00E47E7E">
        <w:t>0 million in</w:t>
      </w:r>
      <w:r w:rsidR="00214C43">
        <w:t xml:space="preserve"> non-fuel purchase</w:t>
      </w:r>
      <w:r w:rsidR="0001455A">
        <w:t>d</w:t>
      </w:r>
      <w:r w:rsidR="00214C43">
        <w:t xml:space="preserve"> power costs through the FAC.</w:t>
      </w:r>
      <w:r w:rsidR="00E47E7E">
        <w:t xml:space="preserve"> </w:t>
      </w:r>
      <w:r w:rsidR="00F6271A">
        <w:t xml:space="preserve"> </w:t>
      </w:r>
      <w:r w:rsidR="009D5093">
        <w:t>The duplicative recovery of such costs that took place through AEP-Ohio’s FAC was unlawful and unreasonable.</w:t>
      </w:r>
    </w:p>
    <w:p w:rsidR="00345AC3" w:rsidRDefault="00345AC3" w:rsidP="00565155">
      <w:pPr>
        <w:pStyle w:val="1definition"/>
        <w:spacing w:after="120"/>
        <w:ind w:firstLine="720"/>
      </w:pPr>
      <w:r>
        <w:t>Moreover,</w:t>
      </w:r>
      <w:r w:rsidR="00D441DD">
        <w:t xml:space="preserve"> IEU-Ohio urges the Commission to direct AEP-Ohio to</w:t>
      </w:r>
      <w:r w:rsidR="00D441DD" w:rsidRPr="00D441DD">
        <w:t xml:space="preserve"> </w:t>
      </w:r>
      <w:r w:rsidR="00D441DD">
        <w:t xml:space="preserve">account for the benefit of accumulated deferred income taxes (“ADIT”) </w:t>
      </w:r>
      <w:r w:rsidR="009D5093">
        <w:t xml:space="preserve">when calculating carrying costs on </w:t>
      </w:r>
      <w:r w:rsidR="00565155">
        <w:t xml:space="preserve">the </w:t>
      </w:r>
      <w:r w:rsidR="009D5093">
        <w:t>portion of the revenue increase that was authorized subject to collection after AEP-Ohio’s first electric security plan (“ESP”)</w:t>
      </w:r>
      <w:r w:rsidR="00D441DD">
        <w:t>.  AEP-Ohio’s calculation of carrying charges</w:t>
      </w:r>
      <w:r w:rsidR="005D7F4C">
        <w:t xml:space="preserve"> without accounting for the benefit of ADIT is a violation of</w:t>
      </w:r>
      <w:r w:rsidR="009D5093">
        <w:t xml:space="preserve"> sound</w:t>
      </w:r>
      <w:r w:rsidR="005D7F4C">
        <w:t xml:space="preserve"> regulatory practices and precedent. </w:t>
      </w:r>
    </w:p>
    <w:p w:rsidR="00214C43" w:rsidRPr="000D6ED1" w:rsidRDefault="00214C43" w:rsidP="000D6ED1">
      <w:pPr>
        <w:pStyle w:val="Heading1"/>
        <w:rPr>
          <w:rFonts w:ascii="Arial" w:hAnsi="Arial" w:cs="Arial"/>
        </w:rPr>
      </w:pPr>
      <w:bookmarkStart w:id="5" w:name="_Toc376963227"/>
      <w:r w:rsidRPr="000D6ED1">
        <w:rPr>
          <w:rFonts w:ascii="Arial" w:hAnsi="Arial" w:cs="Arial"/>
        </w:rPr>
        <w:t>Background</w:t>
      </w:r>
      <w:bookmarkEnd w:id="5"/>
    </w:p>
    <w:p w:rsidR="009D5093" w:rsidRPr="005406FD" w:rsidRDefault="000B1775" w:rsidP="009D5093">
      <w:pPr>
        <w:pStyle w:val="1definition"/>
        <w:ind w:firstLine="720"/>
        <w:rPr>
          <w:i/>
        </w:rPr>
      </w:pPr>
      <w:r w:rsidRPr="000B1775">
        <w:rPr>
          <w:rFonts w:eastAsiaTheme="minorHAnsi"/>
          <w:szCs w:val="22"/>
        </w:rPr>
        <w:t>On March 18, 20</w:t>
      </w:r>
      <w:r w:rsidR="00AE0254">
        <w:rPr>
          <w:rFonts w:eastAsiaTheme="minorHAnsi"/>
          <w:szCs w:val="22"/>
        </w:rPr>
        <w:t>09,</w:t>
      </w:r>
      <w:r w:rsidRPr="000B1775">
        <w:rPr>
          <w:rFonts w:eastAsiaTheme="minorHAnsi"/>
          <w:szCs w:val="22"/>
        </w:rPr>
        <w:t xml:space="preserve"> the Commission</w:t>
      </w:r>
      <w:r w:rsidR="00AE0254">
        <w:rPr>
          <w:rFonts w:eastAsiaTheme="minorHAnsi"/>
          <w:szCs w:val="22"/>
        </w:rPr>
        <w:t xml:space="preserve"> issued an Opinion and Order modifying and approv</w:t>
      </w:r>
      <w:r w:rsidR="00F6271A">
        <w:rPr>
          <w:rFonts w:eastAsiaTheme="minorHAnsi"/>
          <w:szCs w:val="22"/>
        </w:rPr>
        <w:t>ing an ESP</w:t>
      </w:r>
      <w:r w:rsidR="00AE0254">
        <w:rPr>
          <w:rFonts w:eastAsiaTheme="minorHAnsi"/>
          <w:szCs w:val="22"/>
        </w:rPr>
        <w:t xml:space="preserve"> for AEP-Ohio</w:t>
      </w:r>
      <w:r w:rsidR="005D7F4C">
        <w:rPr>
          <w:rFonts w:eastAsiaTheme="minorHAnsi"/>
          <w:szCs w:val="22"/>
        </w:rPr>
        <w:t>, including a</w:t>
      </w:r>
      <w:r w:rsidR="00975BB6">
        <w:rPr>
          <w:rFonts w:eastAsiaTheme="minorHAnsi"/>
          <w:szCs w:val="22"/>
        </w:rPr>
        <w:t>n</w:t>
      </w:r>
      <w:r w:rsidR="005D7F4C">
        <w:rPr>
          <w:rFonts w:eastAsiaTheme="minorHAnsi"/>
          <w:szCs w:val="22"/>
        </w:rPr>
        <w:t xml:space="preserve"> FAC.</w:t>
      </w:r>
      <w:r w:rsidR="00975BB6">
        <w:rPr>
          <w:rStyle w:val="FootnoteReference"/>
          <w:rFonts w:eastAsiaTheme="minorHAnsi"/>
          <w:szCs w:val="22"/>
        </w:rPr>
        <w:footnoteReference w:id="2"/>
      </w:r>
      <w:r w:rsidR="005D7F4C">
        <w:rPr>
          <w:rFonts w:eastAsiaTheme="minorHAnsi"/>
          <w:szCs w:val="22"/>
        </w:rPr>
        <w:t xml:space="preserve">  </w:t>
      </w:r>
      <w:r w:rsidR="005D7F4C">
        <w:t xml:space="preserve">The ESP </w:t>
      </w:r>
      <w:r w:rsidR="009B3803">
        <w:t xml:space="preserve">I </w:t>
      </w:r>
      <w:r w:rsidR="005D7F4C">
        <w:t xml:space="preserve">Order </w:t>
      </w:r>
      <w:r w:rsidR="005D7F4C" w:rsidRPr="000B1775">
        <w:t>authorized AEP-Ohio to establish the FAC to recover fuel</w:t>
      </w:r>
      <w:r w:rsidR="005D7F4C">
        <w:t xml:space="preserve"> costs</w:t>
      </w:r>
      <w:r w:rsidR="005D7F4C" w:rsidRPr="000B1775">
        <w:t xml:space="preserve"> and non-fuel purchase</w:t>
      </w:r>
      <w:r w:rsidR="001318C3">
        <w:t>d</w:t>
      </w:r>
      <w:r w:rsidR="005D7F4C" w:rsidRPr="000B1775">
        <w:t xml:space="preserve"> power costs associated with the Ohio Valley Electric Corporation (“OVEC”) and L</w:t>
      </w:r>
      <w:r w:rsidR="005D7F4C">
        <w:t xml:space="preserve">awrenceburg </w:t>
      </w:r>
      <w:r w:rsidR="005D7F4C">
        <w:lastRenderedPageBreak/>
        <w:t>Generating Station (“Lawrenceburg”)</w:t>
      </w:r>
      <w:r w:rsidR="005D7F4C" w:rsidRPr="000B1775">
        <w:t>.</w:t>
      </w:r>
      <w:r w:rsidR="005D7F4C">
        <w:t xml:space="preserve">  There are scant details regarding the OVEC and Lawrenceburg purchase</w:t>
      </w:r>
      <w:r w:rsidR="0001455A">
        <w:t>d</w:t>
      </w:r>
      <w:r w:rsidR="005D7F4C">
        <w:t xml:space="preserve"> power contracts in the ESP I Order and AEP-Ohio’s supporting testimony.  </w:t>
      </w:r>
      <w:r w:rsidR="009D5093">
        <w:t xml:space="preserve">Although the ESP I Order authorized an FAC for AEP-Ohio, AEP-Ohio’s implementation of the FAC is subject to periodic audits to test AEP-Ohio’s management policies and practices and the accounting policies and practices that are embedded in the FAC.  </w:t>
      </w:r>
    </w:p>
    <w:p w:rsidR="000B1775" w:rsidRPr="000B1775" w:rsidRDefault="00AE0254" w:rsidP="009D5093">
      <w:pPr>
        <w:pStyle w:val="1definition"/>
        <w:ind w:firstLine="720"/>
        <w:rPr>
          <w:rFonts w:eastAsiaTheme="minorHAnsi"/>
          <w:szCs w:val="22"/>
        </w:rPr>
      </w:pPr>
      <w:r>
        <w:rPr>
          <w:rFonts w:eastAsiaTheme="minorHAnsi"/>
          <w:szCs w:val="22"/>
        </w:rPr>
        <w:t xml:space="preserve">The ESP </w:t>
      </w:r>
      <w:r w:rsidR="009B3803">
        <w:rPr>
          <w:rFonts w:eastAsiaTheme="minorHAnsi"/>
          <w:szCs w:val="22"/>
        </w:rPr>
        <w:t xml:space="preserve">I </w:t>
      </w:r>
      <w:r>
        <w:rPr>
          <w:rFonts w:eastAsiaTheme="minorHAnsi"/>
          <w:szCs w:val="22"/>
        </w:rPr>
        <w:t>Order</w:t>
      </w:r>
      <w:r w:rsidR="000B1775" w:rsidRPr="000B1775">
        <w:rPr>
          <w:rFonts w:eastAsiaTheme="minorHAnsi"/>
          <w:szCs w:val="22"/>
        </w:rPr>
        <w:t xml:space="preserve"> </w:t>
      </w:r>
      <w:r w:rsidR="005D7F4C">
        <w:rPr>
          <w:rFonts w:eastAsiaTheme="minorHAnsi"/>
          <w:szCs w:val="22"/>
        </w:rPr>
        <w:t xml:space="preserve">also </w:t>
      </w:r>
      <w:r w:rsidR="000B1775" w:rsidRPr="000B1775">
        <w:rPr>
          <w:rFonts w:eastAsiaTheme="minorHAnsi"/>
          <w:szCs w:val="22"/>
        </w:rPr>
        <w:t>authorized AEP-Ohio to increase rates by a total dollar amount.</w:t>
      </w:r>
      <w:r w:rsidR="000B1775" w:rsidRPr="000B1775">
        <w:rPr>
          <w:rFonts w:eastAsiaTheme="minorHAnsi"/>
          <w:szCs w:val="22"/>
          <w:vertAlign w:val="superscript"/>
        </w:rPr>
        <w:footnoteReference w:id="3"/>
      </w:r>
      <w:r w:rsidR="000B1775" w:rsidRPr="000B1775">
        <w:rPr>
          <w:rFonts w:eastAsiaTheme="minorHAnsi"/>
          <w:szCs w:val="22"/>
        </w:rPr>
        <w:t xml:space="preserve">  A portion of that total increase was collected during the term of the ESP and a portion was deferred for potential future recovery</w:t>
      </w:r>
      <w:r w:rsidR="0061337F">
        <w:rPr>
          <w:rFonts w:eastAsiaTheme="minorHAnsi"/>
          <w:szCs w:val="22"/>
        </w:rPr>
        <w:t xml:space="preserve"> (the “deferred balance”)</w:t>
      </w:r>
      <w:r w:rsidR="000B1775" w:rsidRPr="000B1775">
        <w:rPr>
          <w:rFonts w:eastAsiaTheme="minorHAnsi"/>
          <w:szCs w:val="22"/>
        </w:rPr>
        <w:t xml:space="preserve"> through a non-bypassable rider after the end of AEP-Ohio’s ESP, subj</w:t>
      </w:r>
      <w:r w:rsidR="00D25949">
        <w:rPr>
          <w:rFonts w:eastAsiaTheme="minorHAnsi"/>
          <w:szCs w:val="22"/>
        </w:rPr>
        <w:t xml:space="preserve">ect to necessary adjustments.  </w:t>
      </w:r>
      <w:r w:rsidR="0061337F">
        <w:rPr>
          <w:rFonts w:eastAsiaTheme="minorHAnsi"/>
          <w:szCs w:val="22"/>
        </w:rPr>
        <w:t>T</w:t>
      </w:r>
      <w:r w:rsidR="0061337F" w:rsidRPr="000B1775">
        <w:rPr>
          <w:rFonts w:eastAsiaTheme="minorHAnsi"/>
          <w:szCs w:val="22"/>
        </w:rPr>
        <w:t xml:space="preserve">he Commission permitted AEP-Ohio to add a carrying charge to the </w:t>
      </w:r>
      <w:r w:rsidR="0061337F">
        <w:rPr>
          <w:rFonts w:eastAsiaTheme="minorHAnsi"/>
          <w:szCs w:val="22"/>
        </w:rPr>
        <w:t xml:space="preserve">portion of the </w:t>
      </w:r>
      <w:r w:rsidR="0061337F" w:rsidRPr="000B1775">
        <w:rPr>
          <w:rFonts w:eastAsiaTheme="minorHAnsi"/>
          <w:szCs w:val="22"/>
        </w:rPr>
        <w:t xml:space="preserve">increase </w:t>
      </w:r>
      <w:r w:rsidR="0061337F">
        <w:rPr>
          <w:rFonts w:eastAsiaTheme="minorHAnsi"/>
          <w:szCs w:val="22"/>
        </w:rPr>
        <w:t xml:space="preserve">that was subject to collection in the future </w:t>
      </w:r>
      <w:r w:rsidR="0061337F" w:rsidRPr="000B1775">
        <w:rPr>
          <w:rFonts w:eastAsiaTheme="minorHAnsi"/>
          <w:szCs w:val="22"/>
        </w:rPr>
        <w:t>at a percentage rate calculated based on a weighted average cost of capital (“WACC”) method (approximately 11</w:t>
      </w:r>
      <w:r w:rsidR="004E5629">
        <w:rPr>
          <w:rFonts w:eastAsiaTheme="minorHAnsi"/>
          <w:szCs w:val="22"/>
        </w:rPr>
        <w:t>%</w:t>
      </w:r>
      <w:r w:rsidR="0061337F" w:rsidRPr="000B1775">
        <w:rPr>
          <w:rFonts w:eastAsiaTheme="minorHAnsi"/>
          <w:szCs w:val="22"/>
        </w:rPr>
        <w:t xml:space="preserve"> in this case).</w:t>
      </w:r>
      <w:r w:rsidR="0061337F" w:rsidRPr="000B1775">
        <w:rPr>
          <w:rFonts w:eastAsiaTheme="minorHAnsi"/>
          <w:szCs w:val="22"/>
          <w:vertAlign w:val="superscript"/>
        </w:rPr>
        <w:footnoteReference w:id="4"/>
      </w:r>
      <w:r w:rsidR="0061337F" w:rsidRPr="000B1775">
        <w:rPr>
          <w:rFonts w:eastAsiaTheme="minorHAnsi"/>
        </w:rPr>
        <w:t xml:space="preserve">  </w:t>
      </w:r>
      <w:r w:rsidR="000B1775" w:rsidRPr="000B1775">
        <w:rPr>
          <w:rFonts w:eastAsiaTheme="minorHAnsi"/>
        </w:rPr>
        <w:t>The Commission also permitted AEP-Ohio to accrue carr</w:t>
      </w:r>
      <w:r w:rsidR="001318C3">
        <w:rPr>
          <w:rFonts w:eastAsiaTheme="minorHAnsi"/>
        </w:rPr>
        <w:t>ying charges on the deferred balance</w:t>
      </w:r>
      <w:r w:rsidR="000B1775" w:rsidRPr="000B1775">
        <w:rPr>
          <w:rFonts w:eastAsiaTheme="minorHAnsi"/>
        </w:rPr>
        <w:t xml:space="preserve"> without adjusting for</w:t>
      </w:r>
      <w:r w:rsidR="007138EF">
        <w:rPr>
          <w:rFonts w:eastAsiaTheme="minorHAnsi"/>
        </w:rPr>
        <w:t xml:space="preserve"> ADIT</w:t>
      </w:r>
      <w:r w:rsidR="000B1775" w:rsidRPr="000B1775">
        <w:rPr>
          <w:rFonts w:eastAsiaTheme="minorHAnsi"/>
        </w:rPr>
        <w:t>.</w:t>
      </w:r>
      <w:r w:rsidR="000B1775" w:rsidRPr="000B1775">
        <w:rPr>
          <w:rFonts w:eastAsiaTheme="minorHAnsi"/>
          <w:vertAlign w:val="superscript"/>
        </w:rPr>
        <w:footnoteReference w:id="5"/>
      </w:r>
      <w:r w:rsidR="000B1775" w:rsidRPr="000B1775">
        <w:rPr>
          <w:rFonts w:eastAsiaTheme="minorHAnsi"/>
        </w:rPr>
        <w:t xml:space="preserve"> </w:t>
      </w:r>
    </w:p>
    <w:p w:rsidR="00160688" w:rsidRPr="005D7F4C" w:rsidRDefault="005D7F4C" w:rsidP="005D7F4C">
      <w:pPr>
        <w:pStyle w:val="1definition"/>
        <w:ind w:firstLine="720"/>
      </w:pPr>
      <w:r>
        <w:t xml:space="preserve">Pursuant to a Commission order, </w:t>
      </w:r>
      <w:r w:rsidR="00C67580">
        <w:t>E</w:t>
      </w:r>
      <w:r>
        <w:t xml:space="preserve">nergy </w:t>
      </w:r>
      <w:r w:rsidR="00C67580">
        <w:t>V</w:t>
      </w:r>
      <w:r>
        <w:t xml:space="preserve">entures </w:t>
      </w:r>
      <w:r w:rsidR="00C67580">
        <w:t>A</w:t>
      </w:r>
      <w:r>
        <w:t>nalysis</w:t>
      </w:r>
      <w:r>
        <w:rPr>
          <w:rStyle w:val="FootnoteReference"/>
        </w:rPr>
        <w:footnoteReference w:id="6"/>
      </w:r>
      <w:r>
        <w:t xml:space="preserve"> (“EVA”)</w:t>
      </w:r>
      <w:r w:rsidR="00C67580">
        <w:t xml:space="preserve"> submitted its first audit of the FAC on May 14, 2010</w:t>
      </w:r>
      <w:r w:rsidR="002D51E4">
        <w:t xml:space="preserve"> for the 2009 audit period (“2009 Audit”)</w:t>
      </w:r>
      <w:r w:rsidR="00C67580">
        <w:t>.  As is relevant to this proceeding, the 2</w:t>
      </w:r>
      <w:r w:rsidR="00055DE6">
        <w:t xml:space="preserve">009 Audit revealed </w:t>
      </w:r>
      <w:r w:rsidR="00160688">
        <w:t>that AEP-Ohio had over recovered fuel costs from customers by</w:t>
      </w:r>
      <w:r w:rsidR="0061337F">
        <w:t xml:space="preserve"> failing to properly account</w:t>
      </w:r>
      <w:r w:rsidR="00160688">
        <w:t xml:space="preserve"> </w:t>
      </w:r>
      <w:r w:rsidR="0061337F">
        <w:t xml:space="preserve">for </w:t>
      </w:r>
      <w:r w:rsidR="00160688">
        <w:t xml:space="preserve">benefits </w:t>
      </w:r>
      <w:r w:rsidR="0061337F">
        <w:t>it received where the benefits resulted from costs which AEP-Ohio passed on to consumers through the FAC</w:t>
      </w:r>
      <w:r w:rsidR="00160688">
        <w:t xml:space="preserve">.  </w:t>
      </w:r>
      <w:r>
        <w:rPr>
          <w:rFonts w:eastAsiaTheme="minorHAnsi"/>
          <w:szCs w:val="20"/>
        </w:rPr>
        <w:lastRenderedPageBreak/>
        <w:t>Those benefits resulted from a</w:t>
      </w:r>
      <w:r w:rsidR="00403EA0">
        <w:rPr>
          <w:rFonts w:eastAsiaTheme="minorHAnsi"/>
          <w:szCs w:val="20"/>
        </w:rPr>
        <w:t>n</w:t>
      </w:r>
      <w:r>
        <w:rPr>
          <w:rFonts w:eastAsiaTheme="minorHAnsi"/>
          <w:szCs w:val="20"/>
        </w:rPr>
        <w:t xml:space="preserve"> AEP-Ohio </w:t>
      </w:r>
      <w:r w:rsidR="00160688" w:rsidRPr="00256A88">
        <w:rPr>
          <w:rFonts w:eastAsiaTheme="minorHAnsi"/>
          <w:szCs w:val="20"/>
        </w:rPr>
        <w:t>settlement agreement (“Buy-Out”) with one of its coal suppliers</w:t>
      </w:r>
      <w:r w:rsidR="00160688">
        <w:rPr>
          <w:rFonts w:eastAsiaTheme="minorHAnsi"/>
          <w:szCs w:val="20"/>
        </w:rPr>
        <w:t>,</w:t>
      </w:r>
      <w:r w:rsidR="00160688" w:rsidRPr="00256A88">
        <w:rPr>
          <w:rFonts w:eastAsiaTheme="minorHAnsi"/>
          <w:szCs w:val="20"/>
        </w:rPr>
        <w:t xml:space="preserve"> </w:t>
      </w:r>
      <w:r w:rsidR="0061337F" w:rsidRPr="00256A88">
        <w:rPr>
          <w:rFonts w:eastAsiaTheme="minorHAnsi"/>
          <w:szCs w:val="20"/>
        </w:rPr>
        <w:t xml:space="preserve">which relieved the supplier from performing under the terms of </w:t>
      </w:r>
      <w:r w:rsidR="0061337F">
        <w:rPr>
          <w:rFonts w:eastAsiaTheme="minorHAnsi"/>
          <w:szCs w:val="20"/>
        </w:rPr>
        <w:t xml:space="preserve">a coal </w:t>
      </w:r>
      <w:r w:rsidR="0061337F" w:rsidRPr="00256A88">
        <w:rPr>
          <w:rFonts w:eastAsiaTheme="minorHAnsi"/>
          <w:szCs w:val="20"/>
        </w:rPr>
        <w:t xml:space="preserve">contract </w:t>
      </w:r>
      <w:r w:rsidR="0061337F">
        <w:rPr>
          <w:rFonts w:eastAsiaTheme="minorHAnsi"/>
          <w:szCs w:val="20"/>
        </w:rPr>
        <w:t xml:space="preserve">that allowed AEP-Ohio to purchase coal at a price that was below the prevailing market-price </w:t>
      </w:r>
      <w:r w:rsidR="0061337F" w:rsidRPr="00256A88">
        <w:rPr>
          <w:rFonts w:eastAsiaTheme="minorHAnsi"/>
          <w:szCs w:val="20"/>
        </w:rPr>
        <w:t>(“Supplier Contr</w:t>
      </w:r>
      <w:r w:rsidR="0061337F">
        <w:rPr>
          <w:rFonts w:eastAsiaTheme="minorHAnsi"/>
          <w:szCs w:val="20"/>
        </w:rPr>
        <w:t>act”)</w:t>
      </w:r>
      <w:r w:rsidR="0061337F" w:rsidRPr="00256A88">
        <w:rPr>
          <w:rFonts w:eastAsiaTheme="minorHAnsi"/>
          <w:szCs w:val="20"/>
        </w:rPr>
        <w:t>.</w:t>
      </w:r>
      <w:r w:rsidR="0061337F" w:rsidRPr="00256A88">
        <w:rPr>
          <w:rFonts w:eastAsiaTheme="minorHAnsi"/>
          <w:szCs w:val="20"/>
          <w:vertAlign w:val="superscript"/>
        </w:rPr>
        <w:footnoteReference w:id="7"/>
      </w:r>
      <w:r w:rsidR="0061337F" w:rsidRPr="00256A88">
        <w:rPr>
          <w:rFonts w:eastAsiaTheme="minorHAnsi"/>
          <w:szCs w:val="20"/>
        </w:rPr>
        <w:t xml:space="preserve">  </w:t>
      </w:r>
      <w:r w:rsidR="00160688" w:rsidRPr="00256A88">
        <w:rPr>
          <w:rFonts w:eastAsiaTheme="minorHAnsi"/>
          <w:szCs w:val="20"/>
        </w:rPr>
        <w:t xml:space="preserve">In return for agreeing to the Buy-Out, </w:t>
      </w:r>
      <w:r w:rsidR="00D01729">
        <w:rPr>
          <w:rFonts w:eastAsiaTheme="minorHAnsi"/>
          <w:szCs w:val="20"/>
        </w:rPr>
        <w:t xml:space="preserve">AEP-Ohio </w:t>
      </w:r>
      <w:r w:rsidR="00160688" w:rsidRPr="00256A88">
        <w:rPr>
          <w:rFonts w:eastAsiaTheme="minorHAnsi"/>
          <w:szCs w:val="20"/>
        </w:rPr>
        <w:t>received $30 million, paid in installments,</w:t>
      </w:r>
      <w:r w:rsidR="00160688" w:rsidRPr="00256A88">
        <w:rPr>
          <w:rFonts w:eastAsiaTheme="minorHAnsi"/>
          <w:vertAlign w:val="superscript"/>
        </w:rPr>
        <w:footnoteReference w:id="8"/>
      </w:r>
      <w:r w:rsidR="00160688" w:rsidRPr="00256A88">
        <w:rPr>
          <w:rFonts w:eastAsiaTheme="minorHAnsi"/>
          <w:szCs w:val="20"/>
        </w:rPr>
        <w:t xml:space="preserve"> and a coal reserve in West Virginia (the “Coal Reserve”).</w:t>
      </w:r>
      <w:r w:rsidR="00160688" w:rsidRPr="00256A88">
        <w:rPr>
          <w:rFonts w:eastAsiaTheme="minorHAnsi"/>
          <w:szCs w:val="20"/>
          <w:vertAlign w:val="superscript"/>
        </w:rPr>
        <w:footnoteReference w:id="9"/>
      </w:r>
      <w:r w:rsidR="00160688" w:rsidRPr="00256A88">
        <w:rPr>
          <w:rFonts w:eastAsiaTheme="minorHAnsi"/>
          <w:szCs w:val="20"/>
        </w:rPr>
        <w:t xml:space="preserve">  As a result of the Buy-Out, OP</w:t>
      </w:r>
      <w:r w:rsidR="00C141BB">
        <w:rPr>
          <w:rFonts w:eastAsiaTheme="minorHAnsi"/>
          <w:szCs w:val="20"/>
        </w:rPr>
        <w:t>Co</w:t>
      </w:r>
      <w:r w:rsidR="00160688" w:rsidRPr="00256A88">
        <w:rPr>
          <w:rFonts w:eastAsiaTheme="minorHAnsi"/>
          <w:szCs w:val="20"/>
        </w:rPr>
        <w:t xml:space="preserve"> purchase</w:t>
      </w:r>
      <w:r w:rsidR="0061337F">
        <w:rPr>
          <w:rFonts w:eastAsiaTheme="minorHAnsi"/>
          <w:szCs w:val="20"/>
        </w:rPr>
        <w:t>d</w:t>
      </w:r>
      <w:r w:rsidR="00D01729">
        <w:rPr>
          <w:rFonts w:eastAsiaTheme="minorHAnsi"/>
          <w:szCs w:val="20"/>
        </w:rPr>
        <w:t xml:space="preserve"> significantly more expensive</w:t>
      </w:r>
      <w:r w:rsidR="00160688" w:rsidRPr="00256A88">
        <w:rPr>
          <w:rFonts w:eastAsiaTheme="minorHAnsi"/>
          <w:szCs w:val="20"/>
        </w:rPr>
        <w:t xml:space="preserve"> </w:t>
      </w:r>
      <w:r w:rsidR="0061337F">
        <w:rPr>
          <w:rFonts w:eastAsiaTheme="minorHAnsi"/>
          <w:szCs w:val="20"/>
        </w:rPr>
        <w:t xml:space="preserve">replacement </w:t>
      </w:r>
      <w:r w:rsidR="00160688" w:rsidRPr="00256A88">
        <w:rPr>
          <w:rFonts w:eastAsiaTheme="minorHAnsi"/>
          <w:szCs w:val="20"/>
        </w:rPr>
        <w:t>coal</w:t>
      </w:r>
      <w:r w:rsidR="0061337F">
        <w:rPr>
          <w:rFonts w:eastAsiaTheme="minorHAnsi"/>
          <w:szCs w:val="20"/>
        </w:rPr>
        <w:t>.</w:t>
      </w:r>
      <w:r w:rsidR="00160688" w:rsidRPr="00256A88">
        <w:rPr>
          <w:rFonts w:eastAsiaTheme="minorHAnsi"/>
          <w:szCs w:val="20"/>
          <w:vertAlign w:val="superscript"/>
        </w:rPr>
        <w:footnoteReference w:id="10"/>
      </w:r>
      <w:r w:rsidR="00160688" w:rsidRPr="00256A88">
        <w:rPr>
          <w:rFonts w:eastAsiaTheme="minorHAnsi"/>
          <w:szCs w:val="20"/>
        </w:rPr>
        <w:t xml:space="preserve"> </w:t>
      </w:r>
      <w:r w:rsidR="00160688">
        <w:rPr>
          <w:rFonts w:eastAsiaTheme="minorHAnsi"/>
          <w:szCs w:val="20"/>
        </w:rPr>
        <w:t xml:space="preserve"> T</w:t>
      </w:r>
      <w:r w:rsidR="00160688" w:rsidRPr="00256A88">
        <w:rPr>
          <w:rFonts w:eastAsiaTheme="minorHAnsi"/>
          <w:szCs w:val="20"/>
        </w:rPr>
        <w:t>he Commission held that “to determine the real economic cost of coal during the audit period, the Commission must consider both the revenues and the benefits received by the Companies pursuant to the Settlement Agreement and not rely solely on the price paid for coal during 2009.”</w:t>
      </w:r>
      <w:r w:rsidR="00160688" w:rsidRPr="00256A88">
        <w:rPr>
          <w:rFonts w:eastAsiaTheme="minorHAnsi"/>
          <w:szCs w:val="20"/>
          <w:vertAlign w:val="superscript"/>
        </w:rPr>
        <w:footnoteReference w:id="11"/>
      </w:r>
      <w:r w:rsidR="00160688">
        <w:rPr>
          <w:rFonts w:eastAsiaTheme="minorHAnsi"/>
          <w:szCs w:val="20"/>
        </w:rPr>
        <w:t xml:space="preserve">  </w:t>
      </w:r>
      <w:r w:rsidR="002D51E4">
        <w:rPr>
          <w:rFonts w:eastAsiaTheme="minorHAnsi"/>
          <w:szCs w:val="20"/>
        </w:rPr>
        <w:t>To assure that customers realized the benefits of the Buy-Out</w:t>
      </w:r>
      <w:r w:rsidR="00160688">
        <w:rPr>
          <w:rFonts w:eastAsiaTheme="minorHAnsi"/>
          <w:szCs w:val="20"/>
        </w:rPr>
        <w:t xml:space="preserve">, the Commission </w:t>
      </w:r>
      <w:r w:rsidR="002D51E4">
        <w:rPr>
          <w:rFonts w:eastAsiaTheme="minorHAnsi"/>
          <w:szCs w:val="20"/>
        </w:rPr>
        <w:t xml:space="preserve">ordered </w:t>
      </w:r>
      <w:r w:rsidR="00160688">
        <w:rPr>
          <w:rFonts w:eastAsiaTheme="minorHAnsi"/>
          <w:szCs w:val="20"/>
        </w:rPr>
        <w:t>that:</w:t>
      </w:r>
    </w:p>
    <w:p w:rsidR="00160688" w:rsidRDefault="00491CE7" w:rsidP="00160688">
      <w:pPr>
        <w:pStyle w:val="1definition"/>
        <w:spacing w:line="240" w:lineRule="auto"/>
        <w:ind w:left="720" w:right="720"/>
        <w:rPr>
          <w:szCs w:val="20"/>
        </w:rPr>
      </w:pPr>
      <w:r>
        <w:rPr>
          <w:szCs w:val="20"/>
        </w:rPr>
        <w:t>[A]</w:t>
      </w:r>
      <w:r w:rsidR="00160688">
        <w:rPr>
          <w:szCs w:val="20"/>
        </w:rPr>
        <w:t>ll of the realized value from the Settlement Agreement should be credited against OP’s FAC under-recovery namely the portion of the $30 million 2008 lump sum payment not already credited to OP ratepayers as well as the $41 million value of the West Virginia coal reserve that AEP booked when the Settlement Agreement was executed.</w:t>
      </w:r>
      <w:r w:rsidR="001318C3">
        <w:rPr>
          <w:rStyle w:val="FootnoteReference"/>
          <w:szCs w:val="20"/>
        </w:rPr>
        <w:footnoteReference w:id="12"/>
      </w:r>
      <w:r w:rsidR="00160688">
        <w:rPr>
          <w:szCs w:val="20"/>
        </w:rPr>
        <w:t xml:space="preserve">  </w:t>
      </w:r>
    </w:p>
    <w:p w:rsidR="00491CE7" w:rsidRDefault="00491CE7" w:rsidP="00160688">
      <w:pPr>
        <w:pStyle w:val="1definition"/>
        <w:spacing w:line="240" w:lineRule="auto"/>
        <w:ind w:left="720" w:right="720"/>
        <w:rPr>
          <w:rFonts w:eastAsiaTheme="minorHAnsi"/>
          <w:szCs w:val="20"/>
        </w:rPr>
      </w:pPr>
    </w:p>
    <w:p w:rsidR="00160688" w:rsidRPr="00160688" w:rsidRDefault="00160688" w:rsidP="00491CE7">
      <w:pPr>
        <w:pStyle w:val="1definition"/>
        <w:ind w:firstLine="720"/>
        <w:rPr>
          <w:rFonts w:eastAsiaTheme="minorHAnsi"/>
          <w:szCs w:val="20"/>
        </w:rPr>
      </w:pPr>
      <w:r>
        <w:rPr>
          <w:rFonts w:eastAsiaTheme="minorHAnsi"/>
          <w:szCs w:val="20"/>
        </w:rPr>
        <w:t>The Commission, however, granted AEP-Ohio’s applicati</w:t>
      </w:r>
      <w:r w:rsidR="00491CE7">
        <w:rPr>
          <w:rFonts w:eastAsiaTheme="minorHAnsi"/>
          <w:szCs w:val="20"/>
        </w:rPr>
        <w:t>on for rehearing and determined that AEP-Ohio should limit the credit to the amount allocable to the retail jurisdiction.</w:t>
      </w:r>
      <w:r w:rsidR="001318C3">
        <w:rPr>
          <w:rStyle w:val="FootnoteReference"/>
          <w:rFonts w:eastAsiaTheme="minorHAnsi"/>
          <w:szCs w:val="20"/>
        </w:rPr>
        <w:footnoteReference w:id="13"/>
      </w:r>
      <w:r w:rsidR="00491CE7">
        <w:rPr>
          <w:rFonts w:eastAsiaTheme="minorHAnsi"/>
          <w:szCs w:val="20"/>
        </w:rPr>
        <w:t xml:space="preserve">  </w:t>
      </w:r>
      <w:r w:rsidR="00F6271A">
        <w:rPr>
          <w:rFonts w:eastAsiaTheme="minorHAnsi"/>
          <w:szCs w:val="20"/>
        </w:rPr>
        <w:t xml:space="preserve">AEP-Ohio has not </w:t>
      </w:r>
      <w:r w:rsidR="00565794">
        <w:rPr>
          <w:rFonts w:eastAsiaTheme="minorHAnsi"/>
          <w:szCs w:val="20"/>
        </w:rPr>
        <w:t xml:space="preserve">yet </w:t>
      </w:r>
      <w:r w:rsidR="00F6271A">
        <w:rPr>
          <w:rFonts w:eastAsiaTheme="minorHAnsi"/>
          <w:szCs w:val="20"/>
        </w:rPr>
        <w:t xml:space="preserve">identified how it calculated the retail jurisdictional credit.  </w:t>
      </w:r>
      <w:r w:rsidR="002D51E4">
        <w:rPr>
          <w:rFonts w:eastAsiaTheme="minorHAnsi"/>
          <w:szCs w:val="20"/>
        </w:rPr>
        <w:t>In the audit related to the 2011 audit period, t</w:t>
      </w:r>
      <w:r w:rsidR="005921A6">
        <w:rPr>
          <w:rFonts w:eastAsiaTheme="minorHAnsi"/>
          <w:szCs w:val="20"/>
        </w:rPr>
        <w:t xml:space="preserve">he Auditor recommended that </w:t>
      </w:r>
      <w:r w:rsidR="00491CE7">
        <w:rPr>
          <w:rFonts w:eastAsiaTheme="minorHAnsi"/>
          <w:szCs w:val="20"/>
        </w:rPr>
        <w:t>“</w:t>
      </w:r>
      <w:r w:rsidR="00491CE7" w:rsidRPr="00491CE7">
        <w:rPr>
          <w:rFonts w:eastAsiaTheme="minorHAnsi"/>
          <w:szCs w:val="20"/>
        </w:rPr>
        <w:t xml:space="preserve">AEP </w:t>
      </w:r>
      <w:r w:rsidR="00491CE7" w:rsidRPr="00491CE7">
        <w:rPr>
          <w:rFonts w:eastAsiaTheme="minorHAnsi"/>
          <w:szCs w:val="20"/>
        </w:rPr>
        <w:lastRenderedPageBreak/>
        <w:t>Ohio's credi</w:t>
      </w:r>
      <w:r w:rsidR="00491CE7">
        <w:rPr>
          <w:rFonts w:eastAsiaTheme="minorHAnsi"/>
          <w:szCs w:val="20"/>
        </w:rPr>
        <w:t xml:space="preserve">ting of those clarified amounts </w:t>
      </w:r>
      <w:r w:rsidR="00491CE7" w:rsidRPr="00491CE7">
        <w:rPr>
          <w:rFonts w:eastAsiaTheme="minorHAnsi"/>
          <w:szCs w:val="20"/>
        </w:rPr>
        <w:t>against OPCO's FAC under-recovery should be reviewed in the next audit.</w:t>
      </w:r>
      <w:r w:rsidR="00491CE7">
        <w:rPr>
          <w:rFonts w:eastAsiaTheme="minorHAnsi"/>
          <w:szCs w:val="20"/>
        </w:rPr>
        <w:t>”</w:t>
      </w:r>
      <w:r w:rsidR="00163A8A">
        <w:rPr>
          <w:rStyle w:val="FootnoteReference"/>
          <w:rFonts w:eastAsiaTheme="minorHAnsi"/>
          <w:szCs w:val="20"/>
        </w:rPr>
        <w:footnoteReference w:id="14"/>
      </w:r>
      <w:r>
        <w:rPr>
          <w:rFonts w:eastAsiaTheme="minorHAnsi"/>
          <w:szCs w:val="20"/>
        </w:rPr>
        <w:t xml:space="preserve">  </w:t>
      </w:r>
      <w:r w:rsidRPr="00256A88">
        <w:rPr>
          <w:rFonts w:eastAsiaTheme="minorHAnsi"/>
          <w:szCs w:val="20"/>
        </w:rPr>
        <w:t xml:space="preserve"> </w:t>
      </w:r>
    </w:p>
    <w:p w:rsidR="00055DE6" w:rsidRDefault="00491CE7" w:rsidP="00055DE6">
      <w:pPr>
        <w:pStyle w:val="1definition"/>
        <w:ind w:firstLine="720"/>
      </w:pPr>
      <w:r>
        <w:t xml:space="preserve">Additionally, the 2009 Audit Report revealed </w:t>
      </w:r>
      <w:r w:rsidR="00055DE6">
        <w:t>that CSP</w:t>
      </w:r>
      <w:r w:rsidR="00C67580">
        <w:t xml:space="preserve"> </w:t>
      </w:r>
      <w:r w:rsidR="00055DE6">
        <w:t xml:space="preserve">agreed to pay a coal producer an increase in the base price for a certain tonnage of coal during 2009 </w:t>
      </w:r>
      <w:r w:rsidR="002D51E4">
        <w:t xml:space="preserve">and received an </w:t>
      </w:r>
      <w:r w:rsidR="00055DE6">
        <w:t>option to acquire coal at a discount off the market price per t</w:t>
      </w:r>
      <w:r w:rsidR="001318C3">
        <w:t>on for two three-year periods</w:t>
      </w:r>
      <w:r w:rsidR="00055DE6">
        <w:t xml:space="preserve"> beginning in 2013</w:t>
      </w:r>
      <w:r w:rsidR="001318C3">
        <w:t xml:space="preserve"> (the “Contract Support Agreement”)</w:t>
      </w:r>
      <w:r w:rsidR="00055DE6">
        <w:t>.</w:t>
      </w:r>
      <w:r w:rsidR="00A46B09">
        <w:rPr>
          <w:rStyle w:val="FootnoteReference"/>
        </w:rPr>
        <w:footnoteReference w:id="15"/>
      </w:r>
      <w:r w:rsidR="00055DE6">
        <w:t xml:space="preserve">  At a high level, the</w:t>
      </w:r>
      <w:r w:rsidR="001318C3">
        <w:t xml:space="preserve"> Contract Support</w:t>
      </w:r>
      <w:r w:rsidR="00055DE6">
        <w:t xml:space="preserve"> Agreement created a mismatch </w:t>
      </w:r>
      <w:r w:rsidR="002D51E4">
        <w:t xml:space="preserve">between </w:t>
      </w:r>
      <w:r w:rsidR="00055DE6">
        <w:t xml:space="preserve">the recognition of the costs and benefits.  The costs were passed on to customers in the </w:t>
      </w:r>
      <w:r w:rsidR="00055DE6" w:rsidRPr="005406FD">
        <w:rPr>
          <w:i/>
        </w:rPr>
        <w:t>2009 FAC Cas</w:t>
      </w:r>
      <w:r w:rsidR="00160688" w:rsidRPr="005406FD">
        <w:rPr>
          <w:i/>
        </w:rPr>
        <w:t>e</w:t>
      </w:r>
      <w:r w:rsidR="00160688">
        <w:t>, but some of the benefits will</w:t>
      </w:r>
      <w:r w:rsidR="008922BB">
        <w:t xml:space="preserve"> not</w:t>
      </w:r>
      <w:r w:rsidR="00055DE6">
        <w:t xml:space="preserve"> be realized until 2013 and after. </w:t>
      </w:r>
      <w:r w:rsidR="00160688">
        <w:t xml:space="preserve"> </w:t>
      </w:r>
      <w:r w:rsidR="00055DE6">
        <w:t>The 2009 FAC Order stated that it was not appropriate to address the mismatch</w:t>
      </w:r>
      <w:r w:rsidR="008922BB">
        <w:t xml:space="preserve"> during the 2009 Audit</w:t>
      </w:r>
      <w:r w:rsidR="00055DE6">
        <w:t>, but the Commission would address the issue in a future audit period.</w:t>
      </w:r>
      <w:r w:rsidR="00A46B09">
        <w:rPr>
          <w:rStyle w:val="FootnoteReference"/>
        </w:rPr>
        <w:footnoteReference w:id="16"/>
      </w:r>
      <w:r w:rsidR="00055DE6">
        <w:t xml:space="preserve">  </w:t>
      </w:r>
      <w:r w:rsidR="0061337F">
        <w:t>It is now clear that after January 1, 2015, AEP-Ohio will</w:t>
      </w:r>
      <w:r w:rsidR="009B37A3">
        <w:t xml:space="preserve"> establish </w:t>
      </w:r>
      <w:r w:rsidR="00351023">
        <w:t>standard service offer ("</w:t>
      </w:r>
      <w:r w:rsidR="009B37A3">
        <w:t>SSO</w:t>
      </w:r>
      <w:r w:rsidR="00351023">
        <w:t>")</w:t>
      </w:r>
      <w:r w:rsidR="009B37A3">
        <w:t xml:space="preserve"> prices through a competitive bidding process</w:t>
      </w:r>
      <w:r w:rsidR="00351023">
        <w:t xml:space="preserve"> ("CBP")</w:t>
      </w:r>
      <w:r w:rsidR="009B37A3">
        <w:t>, and, as a result, AEP-Ohio will</w:t>
      </w:r>
      <w:r w:rsidR="0061337F">
        <w:t xml:space="preserve"> not assign fuel-related costs to customers.</w:t>
      </w:r>
      <w:r w:rsidR="0061337F">
        <w:rPr>
          <w:rStyle w:val="FootnoteReference"/>
        </w:rPr>
        <w:footnoteReference w:id="17"/>
      </w:r>
      <w:r w:rsidR="0061337F">
        <w:t xml:space="preserve">  Thus,</w:t>
      </w:r>
      <w:r w:rsidR="00055DE6">
        <w:t xml:space="preserve"> </w:t>
      </w:r>
      <w:r w:rsidR="0061337F">
        <w:t>a portion of the customer funded discount</w:t>
      </w:r>
      <w:r w:rsidR="00160688">
        <w:t xml:space="preserve"> </w:t>
      </w:r>
      <w:r w:rsidR="00055DE6">
        <w:t>will</w:t>
      </w:r>
      <w:r w:rsidR="0061337F">
        <w:t xml:space="preserve"> accrue at a time when customers will not receive a benefit</w:t>
      </w:r>
      <w:r w:rsidR="00160688">
        <w:t>.</w:t>
      </w:r>
    </w:p>
    <w:p w:rsidR="00E323DC" w:rsidRDefault="00CB3652" w:rsidP="00E323DC">
      <w:pPr>
        <w:pStyle w:val="1definition"/>
        <w:ind w:firstLine="720"/>
      </w:pPr>
      <w:r>
        <w:t>EVA submitted its second and third</w:t>
      </w:r>
      <w:r w:rsidR="00E323DC">
        <w:t xml:space="preserve"> audit report</w:t>
      </w:r>
      <w:r>
        <w:t>s</w:t>
      </w:r>
      <w:r w:rsidR="00E323DC">
        <w:t xml:space="preserve"> summarizing the results of its review and recommendation of AEP-Ohio’s 2010 and 2011 FAC on May 2</w:t>
      </w:r>
      <w:r w:rsidR="005406FD">
        <w:t>6</w:t>
      </w:r>
      <w:r w:rsidR="00E323DC">
        <w:t xml:space="preserve">, 2011 and </w:t>
      </w:r>
      <w:r w:rsidR="00E323DC">
        <w:lastRenderedPageBreak/>
        <w:t>May 24, 2012 respectively.</w:t>
      </w:r>
      <w:r w:rsidR="00B05EA6">
        <w:rPr>
          <w:rStyle w:val="FootnoteReference"/>
        </w:rPr>
        <w:footnoteReference w:id="18"/>
      </w:r>
      <w:r w:rsidR="00E323DC">
        <w:t xml:space="preserve">  Among other things, the 2010 an</w:t>
      </w:r>
      <w:r w:rsidR="005921A6">
        <w:t>d 2011 Audit Reports recommend</w:t>
      </w:r>
      <w:r w:rsidR="00E323DC">
        <w:t xml:space="preserve"> that the Commission revisit the carrying charge calculation on the deferr</w:t>
      </w:r>
      <w:r w:rsidR="00A175CE">
        <w:t xml:space="preserve">ed balance.  Specifically, the </w:t>
      </w:r>
      <w:r w:rsidR="004E5629">
        <w:t>Audit R</w:t>
      </w:r>
      <w:r w:rsidR="009B37A3">
        <w:t>eport</w:t>
      </w:r>
      <w:r w:rsidR="004E5629">
        <w:t>s identify</w:t>
      </w:r>
      <w:r w:rsidR="009B37A3">
        <w:t xml:space="preserve"> that unless </w:t>
      </w:r>
      <w:r w:rsidR="00A175CE">
        <w:t>the</w:t>
      </w:r>
      <w:r w:rsidR="00E323DC">
        <w:t xml:space="preserve"> carrying charge methodology include</w:t>
      </w:r>
      <w:r w:rsidR="009B37A3">
        <w:t>s an adjustment for ADIT,</w:t>
      </w:r>
      <w:r w:rsidR="00E323DC">
        <w:t xml:space="preserve"> AEP-Ohio </w:t>
      </w:r>
      <w:r w:rsidR="009B37A3">
        <w:t>will be allowed to</w:t>
      </w:r>
      <w:r w:rsidR="00E323DC">
        <w:t xml:space="preserve"> accrue carrying charges on cost-free capital.</w:t>
      </w:r>
      <w:r w:rsidR="009B37A3">
        <w:rPr>
          <w:rStyle w:val="FootnoteReference"/>
        </w:rPr>
        <w:footnoteReference w:id="19"/>
      </w:r>
    </w:p>
    <w:p w:rsidR="00956553" w:rsidRDefault="00956553" w:rsidP="00956553">
      <w:pPr>
        <w:pStyle w:val="1definition"/>
        <w:ind w:firstLine="720"/>
      </w:pPr>
      <w:r>
        <w:t>Shortly before the hearing, it was revealed in another proceedin</w:t>
      </w:r>
      <w:r w:rsidR="0001455A">
        <w:t xml:space="preserve">g that AEP-Ohio may have double </w:t>
      </w:r>
      <w:r>
        <w:t>recovered its capacity and purchase</w:t>
      </w:r>
      <w:r w:rsidR="0001455A">
        <w:t>d</w:t>
      </w:r>
      <w:r>
        <w:t xml:space="preserve"> power costs from customers.</w:t>
      </w:r>
      <w:r>
        <w:rPr>
          <w:rStyle w:val="FootnoteReference"/>
        </w:rPr>
        <w:footnoteReference w:id="20"/>
      </w:r>
      <w:r>
        <w:t xml:space="preserve">  While recognizing the potential double recovery, the Commission determined that parties should explore any potential double recovery in a FAC case, where purchase</w:t>
      </w:r>
      <w:r w:rsidR="0001455A">
        <w:t>d</w:t>
      </w:r>
      <w:r>
        <w:t xml:space="preserve"> power costs are reviewed.</w:t>
      </w:r>
      <w:r>
        <w:rPr>
          <w:rStyle w:val="FootnoteReference"/>
        </w:rPr>
        <w:footnoteReference w:id="21"/>
      </w:r>
      <w:r>
        <w:t xml:space="preserve">  </w:t>
      </w:r>
    </w:p>
    <w:p w:rsidR="00930F09" w:rsidRDefault="002D51E4" w:rsidP="00765BA9">
      <w:pPr>
        <w:pStyle w:val="1definition"/>
        <w:ind w:firstLine="720"/>
      </w:pPr>
      <w:r>
        <w:t>The parties were unable to resolve the matters presented by the audit reports and these cases proceeded to hearing on</w:t>
      </w:r>
      <w:r w:rsidR="008922BB">
        <w:t xml:space="preserve"> November 18, 2013</w:t>
      </w:r>
      <w:r w:rsidR="001318C3">
        <w:t xml:space="preserve">.  At the hearing, both AEP-Ohio </w:t>
      </w:r>
      <w:r>
        <w:t xml:space="preserve">and the </w:t>
      </w:r>
      <w:r w:rsidR="00CD6379">
        <w:t>A</w:t>
      </w:r>
      <w:r>
        <w:t xml:space="preserve">uditor addressed the treatment of the recovery of OVEC and Lawrenceburg purchased power costs collected by AEP-Ohio in the FAC.  The </w:t>
      </w:r>
      <w:r w:rsidR="00CD6379">
        <w:t>A</w:t>
      </w:r>
      <w:r w:rsidR="002A46BF">
        <w:t xml:space="preserve">uditor and AEP-Ohio testified </w:t>
      </w:r>
      <w:r w:rsidR="00E323DC">
        <w:t>that AEP-Ohio flowed through the FAC</w:t>
      </w:r>
      <w:r w:rsidR="00956553">
        <w:t xml:space="preserve"> approximately $11</w:t>
      </w:r>
      <w:r w:rsidR="00A46B09">
        <w:t>4</w:t>
      </w:r>
      <w:r w:rsidR="004963D6">
        <w:t xml:space="preserve"> million per year in non-fuel purchase</w:t>
      </w:r>
      <w:r w:rsidR="008922BB">
        <w:t>d</w:t>
      </w:r>
      <w:r w:rsidR="004963D6">
        <w:t xml:space="preserve"> po</w:t>
      </w:r>
      <w:r w:rsidR="006E6522">
        <w:t>wer costs (demand charges):  $56</w:t>
      </w:r>
      <w:r w:rsidR="004963D6">
        <w:t xml:space="preserve"> million per year in</w:t>
      </w:r>
      <w:r w:rsidR="00A11853">
        <w:t xml:space="preserve"> demand charges for OVEC</w:t>
      </w:r>
      <w:r w:rsidR="007138EF">
        <w:t xml:space="preserve"> (CSP flowed through $13 mill</w:t>
      </w:r>
      <w:r w:rsidR="006E6522">
        <w:t xml:space="preserve">ion, and OPCo flowed through </w:t>
      </w:r>
      <w:r w:rsidR="006E6522">
        <w:lastRenderedPageBreak/>
        <w:t>approximately $43</w:t>
      </w:r>
      <w:r w:rsidR="007138EF">
        <w:t xml:space="preserve"> million</w:t>
      </w:r>
      <w:r w:rsidR="000B54AF">
        <w:rPr>
          <w:rStyle w:val="FootnoteReference"/>
        </w:rPr>
        <w:footnoteReference w:id="22"/>
      </w:r>
      <w:r w:rsidR="007138EF">
        <w:t>)</w:t>
      </w:r>
      <w:r w:rsidR="00D34D32">
        <w:t xml:space="preserve"> and</w:t>
      </w:r>
      <w:r w:rsidR="004313A8">
        <w:t xml:space="preserve"> $58</w:t>
      </w:r>
      <w:r w:rsidR="00956553">
        <w:t xml:space="preserve"> </w:t>
      </w:r>
      <w:r>
        <w:t>million for Lawrenceburg demand charges</w:t>
      </w:r>
      <w:r w:rsidR="00D34D32">
        <w:t xml:space="preserve"> </w:t>
      </w:r>
      <w:r w:rsidR="00C47F92">
        <w:t xml:space="preserve">(CSP </w:t>
      </w:r>
      <w:r w:rsidR="008311BD">
        <w:t>flowed through $58</w:t>
      </w:r>
      <w:r>
        <w:t xml:space="preserve"> million)</w:t>
      </w:r>
      <w:r w:rsidR="00D34D32">
        <w:t>.</w:t>
      </w:r>
      <w:r w:rsidR="00D34D32">
        <w:rPr>
          <w:rStyle w:val="FootnoteReference"/>
        </w:rPr>
        <w:footnoteReference w:id="23"/>
      </w:r>
      <w:r w:rsidR="00E323DC">
        <w:t xml:space="preserve">  The OVEC and</w:t>
      </w:r>
      <w:r w:rsidR="007138EF">
        <w:t xml:space="preserve"> Lawrenceburg demand charges were</w:t>
      </w:r>
      <w:r w:rsidR="00E323DC">
        <w:t xml:space="preserve"> calculated using a traditional cost-base</w:t>
      </w:r>
      <w:r w:rsidR="007138EF">
        <w:t>d ratemaking methodology.</w:t>
      </w:r>
      <w:r w:rsidR="00D25949">
        <w:rPr>
          <w:rStyle w:val="FootnoteReference"/>
        </w:rPr>
        <w:footnoteReference w:id="24"/>
      </w:r>
      <w:r w:rsidR="007138EF">
        <w:t xml:space="preserve">  The demand charges</w:t>
      </w:r>
      <w:r w:rsidR="00E323DC">
        <w:t xml:space="preserve"> ensure that OVEC and AEP Generation receive a return </w:t>
      </w:r>
      <w:r w:rsidR="00565794">
        <w:t>“</w:t>
      </w:r>
      <w:r w:rsidR="00E323DC">
        <w:t>of</w:t>
      </w:r>
      <w:r w:rsidR="00565794">
        <w:t>”</w:t>
      </w:r>
      <w:r w:rsidR="00E323DC">
        <w:t xml:space="preserve"> and return </w:t>
      </w:r>
      <w:r w:rsidR="00565794">
        <w:t>“</w:t>
      </w:r>
      <w:r w:rsidR="00E323DC">
        <w:t>on</w:t>
      </w:r>
      <w:r w:rsidR="00565794">
        <w:t>”</w:t>
      </w:r>
      <w:r w:rsidR="00E323DC">
        <w:t xml:space="preserve"> their investment in the OVEC and Lawrenceburg units.</w:t>
      </w:r>
      <w:r w:rsidR="006F3504">
        <w:rPr>
          <w:rStyle w:val="FootnoteReference"/>
        </w:rPr>
        <w:footnoteReference w:id="25"/>
      </w:r>
      <w:r w:rsidR="00A175CE">
        <w:t xml:space="preserve">  AEP-Ohio owns approximately 20% of OVEC and AEP Generation is a subsidiary of AEP-Ohio’s parent company, American Electric Power.</w:t>
      </w:r>
      <w:r w:rsidR="006F3504">
        <w:rPr>
          <w:rStyle w:val="FootnoteReference"/>
        </w:rPr>
        <w:footnoteReference w:id="26"/>
      </w:r>
      <w:r w:rsidR="00E323DC">
        <w:t xml:space="preserve">  </w:t>
      </w:r>
    </w:p>
    <w:p w:rsidR="00463DDC" w:rsidRDefault="00E323DC" w:rsidP="00956553">
      <w:pPr>
        <w:pStyle w:val="1definition"/>
        <w:ind w:firstLine="720"/>
      </w:pPr>
      <w:r>
        <w:t>AEP-Ohio testified that it allocates 100% of the demand charges associated with OVEC</w:t>
      </w:r>
      <w:r w:rsidR="00975BB6">
        <w:rPr>
          <w:rStyle w:val="FootnoteReference"/>
        </w:rPr>
        <w:footnoteReference w:id="27"/>
      </w:r>
      <w:r>
        <w:t xml:space="preserve"> and Lawrenceburg</w:t>
      </w:r>
      <w:r w:rsidR="006F3504">
        <w:rPr>
          <w:rStyle w:val="FootnoteReference"/>
        </w:rPr>
        <w:footnoteReference w:id="28"/>
      </w:r>
      <w:r>
        <w:t xml:space="preserve"> to the FAC even though these generating units are not used exclusively to serve SSO</w:t>
      </w:r>
      <w:r w:rsidR="00351023">
        <w:t xml:space="preserve"> </w:t>
      </w:r>
      <w:r>
        <w:t>customers.</w:t>
      </w:r>
      <w:r w:rsidR="006F3504">
        <w:rPr>
          <w:rStyle w:val="FootnoteReference"/>
        </w:rPr>
        <w:footnoteReference w:id="29"/>
      </w:r>
      <w:r w:rsidR="00A175CE">
        <w:t xml:space="preserve">  These demand charges remain constant regardless of the </w:t>
      </w:r>
      <w:r w:rsidR="00565794">
        <w:t>number</w:t>
      </w:r>
      <w:r w:rsidR="00A175CE">
        <w:t xml:space="preserve"> of customers that take service from a competitive retail electric servi</w:t>
      </w:r>
      <w:r w:rsidR="00B05EA6">
        <w:t xml:space="preserve">ce </w:t>
      </w:r>
      <w:r w:rsidR="00E92ABC">
        <w:t xml:space="preserve">(“CRES”) </w:t>
      </w:r>
      <w:r w:rsidR="00B05EA6">
        <w:t>provider</w:t>
      </w:r>
      <w:r w:rsidR="001318C3">
        <w:t xml:space="preserve"> because they are collected solely through the FAC</w:t>
      </w:r>
      <w:r w:rsidR="001318C3">
        <w:rPr>
          <w:rStyle w:val="FootnoteReference"/>
        </w:rPr>
        <w:footnoteReference w:id="30"/>
      </w:r>
      <w:r w:rsidR="00B05EA6">
        <w:t>—the charges are merely</w:t>
      </w:r>
      <w:r w:rsidR="00A175CE">
        <w:t xml:space="preserve"> collected from a smaller population of SSO customers.</w:t>
      </w:r>
      <w:r w:rsidR="00975BB6">
        <w:t xml:space="preserve"> </w:t>
      </w:r>
      <w:r>
        <w:t xml:space="preserve">Moreover, </w:t>
      </w:r>
      <w:r>
        <w:lastRenderedPageBreak/>
        <w:t>AEP-Ohio testified that it does not reduce the demand charges flowed through the FAC for any off</w:t>
      </w:r>
      <w:r w:rsidR="0014119F">
        <w:t>-</w:t>
      </w:r>
      <w:r>
        <w:t>system sales margins associated with the Lawrenc</w:t>
      </w:r>
      <w:r w:rsidR="007138EF">
        <w:t>e</w:t>
      </w:r>
      <w:r>
        <w:t>burg and OVEC units.</w:t>
      </w:r>
      <w:r w:rsidR="006F3504">
        <w:rPr>
          <w:rStyle w:val="FootnoteReference"/>
        </w:rPr>
        <w:footnoteReference w:id="31"/>
      </w:r>
      <w:r w:rsidR="00930F09">
        <w:t xml:space="preserve">  </w:t>
      </w:r>
      <w:r w:rsidR="00D34D32">
        <w:t xml:space="preserve"> </w:t>
      </w:r>
    </w:p>
    <w:p w:rsidR="00A46B09" w:rsidRDefault="00765BA9" w:rsidP="00486E9E">
      <w:pPr>
        <w:pStyle w:val="1definition"/>
        <w:ind w:firstLine="720"/>
      </w:pPr>
      <w:r>
        <w:t>During the hearing</w:t>
      </w:r>
      <w:r w:rsidR="005363B9">
        <w:t xml:space="preserve"> in these FAC proceedings</w:t>
      </w:r>
      <w:r>
        <w:t xml:space="preserve">, </w:t>
      </w:r>
      <w:r w:rsidR="00444277">
        <w:t>IEU-Ohio</w:t>
      </w:r>
      <w:r w:rsidR="00486E9E">
        <w:t xml:space="preserve"> attempted to submit evidence regarding AEP-Ohio’s double</w:t>
      </w:r>
      <w:r>
        <w:t xml:space="preserve"> recovery of</w:t>
      </w:r>
      <w:r w:rsidR="00956553">
        <w:t xml:space="preserve"> Lawrenceburg and OVEC</w:t>
      </w:r>
      <w:r>
        <w:t xml:space="preserve"> purchase</w:t>
      </w:r>
      <w:r w:rsidR="00956553">
        <w:t>d</w:t>
      </w:r>
      <w:r>
        <w:t xml:space="preserve"> power costs through the FAC and base generation rates during 2010 and 2011.</w:t>
      </w:r>
      <w:r w:rsidR="00486E9E" w:rsidRPr="00486E9E">
        <w:t xml:space="preserve"> </w:t>
      </w:r>
      <w:r w:rsidR="000A088A">
        <w:t xml:space="preserve"> </w:t>
      </w:r>
      <w:r w:rsidR="00486E9E">
        <w:t>The Attorney Examiner, however, precluded IEU-Ohio’s counsel from cross-examining witnesses and admitting exhibits to lay the evidentiary foundation to demonstrate</w:t>
      </w:r>
      <w:r w:rsidR="00C53485">
        <w:t xml:space="preserve"> that AEP-Ohio double</w:t>
      </w:r>
      <w:r w:rsidR="00486E9E">
        <w:t xml:space="preserve"> recovered its purchase</w:t>
      </w:r>
      <w:r w:rsidR="0001455A">
        <w:t>d</w:t>
      </w:r>
      <w:r w:rsidR="00486E9E">
        <w:t xml:space="preserve"> power costs through the FAC.</w:t>
      </w:r>
      <w:r w:rsidR="00486E9E">
        <w:rPr>
          <w:rStyle w:val="FootnoteReference"/>
        </w:rPr>
        <w:footnoteReference w:id="32"/>
      </w:r>
      <w:r w:rsidR="000A088A">
        <w:t xml:space="preserve">  The Attorney Examiner limited IEU-Ohio’s scope of cross-examination to issues identified</w:t>
      </w:r>
      <w:r w:rsidR="00F5043C">
        <w:t xml:space="preserve"> by the Auditor</w:t>
      </w:r>
      <w:r w:rsidR="000A088A">
        <w:t xml:space="preserve"> in the 2010 and 2011 Audit Reports.</w:t>
      </w:r>
      <w:r w:rsidR="000A088A">
        <w:rPr>
          <w:rStyle w:val="FootnoteReference"/>
        </w:rPr>
        <w:footnoteReference w:id="33"/>
      </w:r>
      <w:r w:rsidR="00486E9E">
        <w:t xml:space="preserve">  IEU-Ohio proffered the exhibits for the Commission’s consideration.</w:t>
      </w:r>
      <w:r w:rsidR="00486E9E">
        <w:rPr>
          <w:rStyle w:val="FootnoteReference"/>
        </w:rPr>
        <w:footnoteReference w:id="34"/>
      </w:r>
      <w:r w:rsidR="00486E9E">
        <w:t xml:space="preserve">  </w:t>
      </w:r>
    </w:p>
    <w:p w:rsidR="00765BA9" w:rsidRDefault="002D51E4" w:rsidP="00486E9E">
      <w:pPr>
        <w:pStyle w:val="1definition"/>
        <w:ind w:firstLine="720"/>
      </w:pPr>
      <w:r>
        <w:t>The</w:t>
      </w:r>
      <w:r w:rsidR="00486E9E">
        <w:t xml:space="preserve"> proffered</w:t>
      </w:r>
      <w:r>
        <w:t xml:space="preserve"> </w:t>
      </w:r>
      <w:r w:rsidR="00486E9E">
        <w:t>exhibits demonstrate</w:t>
      </w:r>
      <w:r w:rsidR="00E337DB">
        <w:t xml:space="preserve"> that AEP-Ohio’s 2011 and 2012 base generation rates provide compensation equivalent to $355 per megawatt day</w:t>
      </w:r>
      <w:r w:rsidR="00D25949">
        <w:t>.</w:t>
      </w:r>
      <w:r w:rsidR="00657CCE">
        <w:rPr>
          <w:rStyle w:val="FootnoteReference"/>
        </w:rPr>
        <w:footnoteReference w:id="35"/>
      </w:r>
      <w:r w:rsidR="00D25949">
        <w:t xml:space="preserve">  </w:t>
      </w:r>
      <w:r w:rsidR="00486E9E">
        <w:t>The proffered exhibits also demonstrate that AEP-Ohio</w:t>
      </w:r>
      <w:r w:rsidR="00D25949">
        <w:t xml:space="preserve"> claimed and</w:t>
      </w:r>
      <w:r w:rsidR="00486E9E">
        <w:t xml:space="preserve"> the Commission held that</w:t>
      </w:r>
      <w:r w:rsidR="00E337DB">
        <w:t>, based upon 2010</w:t>
      </w:r>
      <w:r w:rsidR="00D25949">
        <w:t xml:space="preserve"> vintage information, AEP-Ohio is</w:t>
      </w:r>
      <w:r w:rsidR="00E337DB">
        <w:t xml:space="preserve"> fully compensated for its capacity and purchase</w:t>
      </w:r>
      <w:r w:rsidR="00956553">
        <w:t>d</w:t>
      </w:r>
      <w:r w:rsidR="00E337DB">
        <w:t xml:space="preserve"> power cost</w:t>
      </w:r>
      <w:r w:rsidR="008F00AC">
        <w:t>s</w:t>
      </w:r>
      <w:r w:rsidR="00956553">
        <w:t xml:space="preserve"> (including OVEC and Lawrenceburg)</w:t>
      </w:r>
      <w:r w:rsidR="00E337DB">
        <w:t xml:space="preserve"> by $355 per megawatt day</w:t>
      </w:r>
      <w:r w:rsidR="00D25949">
        <w:t xml:space="preserve"> ($188</w:t>
      </w:r>
      <w:r w:rsidR="008F00AC">
        <w:t>.88 per megawatt day</w:t>
      </w:r>
      <w:r w:rsidR="00D25949">
        <w:t xml:space="preserve"> with an energy credit)</w:t>
      </w:r>
      <w:r w:rsidR="00E337DB">
        <w:t>.</w:t>
      </w:r>
      <w:r w:rsidR="00657CCE">
        <w:rPr>
          <w:rStyle w:val="FootnoteReference"/>
        </w:rPr>
        <w:footnoteReference w:id="36"/>
      </w:r>
      <w:r w:rsidR="00E337DB">
        <w:t xml:space="preserve">  </w:t>
      </w:r>
    </w:p>
    <w:p w:rsidR="001E1515" w:rsidRPr="00E47E7E" w:rsidRDefault="005D36B7" w:rsidP="00D8002C">
      <w:pPr>
        <w:pStyle w:val="1definition"/>
        <w:spacing w:after="120"/>
      </w:pPr>
      <w:r>
        <w:tab/>
      </w:r>
      <w:r w:rsidR="00D458C5">
        <w:t>Additionally, EVA testified that at the time it</w:t>
      </w:r>
      <w:r w:rsidR="00463DDC">
        <w:t xml:space="preserve"> completed the 2010 and</w:t>
      </w:r>
      <w:r w:rsidR="00D458C5">
        <w:t xml:space="preserve"> 2011 </w:t>
      </w:r>
      <w:r w:rsidR="00F0069F">
        <w:t>Audit R</w:t>
      </w:r>
      <w:r w:rsidR="00D458C5">
        <w:t>eports, EVA</w:t>
      </w:r>
      <w:r>
        <w:t xml:space="preserve"> was not aware that AEP-Ohio had indicated that its base generation rates </w:t>
      </w:r>
      <w:r>
        <w:lastRenderedPageBreak/>
        <w:t>produce revenue equivalen</w:t>
      </w:r>
      <w:r w:rsidR="00463DDC">
        <w:t>t to $355 per megawatt day.</w:t>
      </w:r>
      <w:r w:rsidR="00657CCE">
        <w:rPr>
          <w:rStyle w:val="FootnoteReference"/>
        </w:rPr>
        <w:footnoteReference w:id="37"/>
      </w:r>
      <w:r w:rsidR="000B667F">
        <w:t xml:space="preserve">  EVA</w:t>
      </w:r>
      <w:r>
        <w:t xml:space="preserve"> was also not aware that AEP-Ohio had indicated that it is fully compensated for its fuel and purchase</w:t>
      </w:r>
      <w:r w:rsidR="0001455A">
        <w:t>d</w:t>
      </w:r>
      <w:r>
        <w:t xml:space="preserve"> power costs by compensation of $355 per megawatt day (without an energy credit), or that the Commission would determine that </w:t>
      </w:r>
      <w:r w:rsidR="008F00AC">
        <w:t>$</w:t>
      </w:r>
      <w:r w:rsidR="00E323DC">
        <w:t>188.88 per megawatt day (with an energy credit) fully compensated AEP-Ohio</w:t>
      </w:r>
      <w:r>
        <w:t xml:space="preserve"> for its capacity and purchase</w:t>
      </w:r>
      <w:r w:rsidR="0001455A">
        <w:t>d</w:t>
      </w:r>
      <w:r>
        <w:t xml:space="preserve"> </w:t>
      </w:r>
      <w:r w:rsidR="00E323DC">
        <w:t>power costs.</w:t>
      </w:r>
      <w:r w:rsidR="00657CCE">
        <w:rPr>
          <w:rStyle w:val="FootnoteReference"/>
        </w:rPr>
        <w:footnoteReference w:id="38"/>
      </w:r>
      <w:r w:rsidR="00664170">
        <w:t xml:space="preserve">  During the hearing, however, </w:t>
      </w:r>
      <w:r w:rsidR="00463DDC">
        <w:t xml:space="preserve">the </w:t>
      </w:r>
      <w:r w:rsidR="002F5D12">
        <w:t>A</w:t>
      </w:r>
      <w:r w:rsidR="00463DDC">
        <w:t>uditor (witness</w:t>
      </w:r>
      <w:r w:rsidR="00664170">
        <w:t xml:space="preserve"> Smith</w:t>
      </w:r>
      <w:r w:rsidR="00463DDC">
        <w:t>)</w:t>
      </w:r>
      <w:r w:rsidR="00664170">
        <w:t xml:space="preserve"> indicated that when a potential double recovery comes to light</w:t>
      </w:r>
      <w:r w:rsidR="00680033">
        <w:t xml:space="preserve"> after an audit report is issued</w:t>
      </w:r>
      <w:r w:rsidR="00664170">
        <w:t>,</w:t>
      </w:r>
      <w:r w:rsidR="00956553">
        <w:t xml:space="preserve"> at a minimum, the issue should be left open for a future auditor to evaluate the double recovery</w:t>
      </w:r>
      <w:r w:rsidR="001E1515">
        <w:t xml:space="preserve">: </w:t>
      </w:r>
      <w:r w:rsidR="0004087C">
        <w:t>“</w:t>
      </w:r>
      <w:r w:rsidR="001E1515">
        <w:t xml:space="preserve">I think if there’s an issue of a double count </w:t>
      </w:r>
      <w:r w:rsidR="001E1515" w:rsidRPr="0004087C">
        <w:rPr>
          <w:b/>
          <w:u w:val="single"/>
        </w:rPr>
        <w:t>such as we seem to have here</w:t>
      </w:r>
      <w:r w:rsidR="001E1515">
        <w:t>, it seems like that issue may deserve some fu</w:t>
      </w:r>
      <w:r w:rsidR="004263FA">
        <w:t>rther investigation.”</w:t>
      </w:r>
      <w:r w:rsidR="0004087C">
        <w:rPr>
          <w:rStyle w:val="FootnoteReference"/>
        </w:rPr>
        <w:footnoteReference w:id="39"/>
      </w:r>
      <w:r w:rsidR="001E1515">
        <w:t xml:space="preserve"> </w:t>
      </w:r>
    </w:p>
    <w:p w:rsidR="002A46BF" w:rsidRPr="000D6ED1" w:rsidRDefault="003F4D06" w:rsidP="000D6ED1">
      <w:pPr>
        <w:pStyle w:val="Heading1"/>
        <w:rPr>
          <w:rFonts w:ascii="Arial" w:hAnsi="Arial" w:cs="Arial"/>
        </w:rPr>
      </w:pPr>
      <w:bookmarkStart w:id="6" w:name="_Toc376963228"/>
      <w:r w:rsidRPr="000D6ED1">
        <w:rPr>
          <w:rFonts w:ascii="Arial" w:hAnsi="Arial" w:cs="Arial"/>
        </w:rPr>
        <w:t>Argument</w:t>
      </w:r>
      <w:bookmarkEnd w:id="6"/>
    </w:p>
    <w:p w:rsidR="002A46BF" w:rsidRPr="000D6ED1" w:rsidRDefault="002A46BF" w:rsidP="000D6ED1">
      <w:pPr>
        <w:pStyle w:val="Heading2"/>
        <w:rPr>
          <w:rFonts w:ascii="Arial" w:hAnsi="Arial" w:cs="Arial"/>
          <w:u w:val="single"/>
        </w:rPr>
      </w:pPr>
      <w:bookmarkStart w:id="7" w:name="_Toc376963229"/>
      <w:r w:rsidRPr="000D6ED1">
        <w:rPr>
          <w:rFonts w:ascii="Arial" w:hAnsi="Arial" w:cs="Arial"/>
        </w:rPr>
        <w:t>The Attorney Examiner Erred by precluding IEU-Ohio</w:t>
      </w:r>
      <w:r w:rsidR="00D458C5" w:rsidRPr="000D6ED1">
        <w:rPr>
          <w:rFonts w:ascii="Arial" w:hAnsi="Arial" w:cs="Arial"/>
        </w:rPr>
        <w:t>’s counsel</w:t>
      </w:r>
      <w:r w:rsidRPr="000D6ED1">
        <w:rPr>
          <w:rFonts w:ascii="Arial" w:hAnsi="Arial" w:cs="Arial"/>
        </w:rPr>
        <w:t xml:space="preserve"> from cross-examining witnesses</w:t>
      </w:r>
      <w:r w:rsidR="000B667F" w:rsidRPr="000D6ED1">
        <w:rPr>
          <w:rFonts w:ascii="Arial" w:hAnsi="Arial" w:cs="Arial"/>
        </w:rPr>
        <w:t xml:space="preserve"> and admitting exhibits</w:t>
      </w:r>
      <w:r w:rsidRPr="000D6ED1">
        <w:rPr>
          <w:rFonts w:ascii="Arial" w:hAnsi="Arial" w:cs="Arial"/>
        </w:rPr>
        <w:t xml:space="preserve"> re</w:t>
      </w:r>
      <w:r w:rsidR="000B667F" w:rsidRPr="000D6ED1">
        <w:rPr>
          <w:rFonts w:ascii="Arial" w:hAnsi="Arial" w:cs="Arial"/>
        </w:rPr>
        <w:t>garding AEP-Ohio’s double recovery</w:t>
      </w:r>
      <w:r w:rsidRPr="000D6ED1">
        <w:rPr>
          <w:rFonts w:ascii="Arial" w:hAnsi="Arial" w:cs="Arial"/>
        </w:rPr>
        <w:t xml:space="preserve"> of non-fuel purchase</w:t>
      </w:r>
      <w:r w:rsidR="00486E9E" w:rsidRPr="000D6ED1">
        <w:rPr>
          <w:rFonts w:ascii="Arial" w:hAnsi="Arial" w:cs="Arial"/>
        </w:rPr>
        <w:t>d</w:t>
      </w:r>
      <w:r w:rsidRPr="000D6ED1">
        <w:rPr>
          <w:rFonts w:ascii="Arial" w:hAnsi="Arial" w:cs="Arial"/>
        </w:rPr>
        <w:t xml:space="preserve"> power costs</w:t>
      </w:r>
      <w:r w:rsidR="00D458C5" w:rsidRPr="000D6ED1">
        <w:rPr>
          <w:rFonts w:ascii="Arial" w:hAnsi="Arial" w:cs="Arial"/>
        </w:rPr>
        <w:t xml:space="preserve"> through the FAC</w:t>
      </w:r>
      <w:r w:rsidRPr="000D6ED1">
        <w:rPr>
          <w:rFonts w:ascii="Arial" w:hAnsi="Arial" w:cs="Arial"/>
        </w:rPr>
        <w:t xml:space="preserve"> during 2010 and 2011</w:t>
      </w:r>
      <w:bookmarkEnd w:id="7"/>
    </w:p>
    <w:p w:rsidR="005678B8" w:rsidRPr="000D6ED1" w:rsidRDefault="005678B8" w:rsidP="000D6ED1">
      <w:pPr>
        <w:pStyle w:val="Heading3"/>
        <w:rPr>
          <w:rFonts w:ascii="Arial" w:hAnsi="Arial" w:cs="Arial"/>
          <w:color w:val="202020"/>
        </w:rPr>
      </w:pPr>
      <w:bookmarkStart w:id="8" w:name="_Toc376963230"/>
      <w:r w:rsidRPr="000D6ED1">
        <w:rPr>
          <w:rFonts w:ascii="Arial" w:hAnsi="Arial" w:cs="Arial"/>
        </w:rPr>
        <w:t xml:space="preserve">AEP-Ohio’s </w:t>
      </w:r>
      <w:r w:rsidR="00E337DB" w:rsidRPr="000D6ED1">
        <w:rPr>
          <w:rFonts w:ascii="Arial" w:hAnsi="Arial" w:cs="Arial"/>
        </w:rPr>
        <w:t xml:space="preserve">over recovery </w:t>
      </w:r>
      <w:r w:rsidRPr="000D6ED1">
        <w:rPr>
          <w:rFonts w:ascii="Arial" w:hAnsi="Arial" w:cs="Arial"/>
        </w:rPr>
        <w:t>of purchase</w:t>
      </w:r>
      <w:r w:rsidR="00AF3566" w:rsidRPr="000D6ED1">
        <w:rPr>
          <w:rFonts w:ascii="Arial" w:hAnsi="Arial" w:cs="Arial"/>
        </w:rPr>
        <w:t>d</w:t>
      </w:r>
      <w:r w:rsidRPr="000D6ED1">
        <w:rPr>
          <w:rFonts w:ascii="Arial" w:hAnsi="Arial" w:cs="Arial"/>
        </w:rPr>
        <w:t xml:space="preserve"> power costs </w:t>
      </w:r>
      <w:r w:rsidR="0012119B" w:rsidRPr="000D6ED1">
        <w:rPr>
          <w:rFonts w:ascii="Arial" w:hAnsi="Arial" w:cs="Arial"/>
        </w:rPr>
        <w:t>is relevant</w:t>
      </w:r>
      <w:bookmarkEnd w:id="8"/>
    </w:p>
    <w:p w:rsidR="002A46BF" w:rsidRDefault="002A46BF" w:rsidP="00902A6C">
      <w:pPr>
        <w:pStyle w:val="1definition"/>
        <w:ind w:firstLine="720"/>
      </w:pPr>
      <w:r>
        <w:t>During the hearing, the Attorney Examiner determined that evi</w:t>
      </w:r>
      <w:r w:rsidR="00C53485">
        <w:t>dence related to AEP-Ohio’s double</w:t>
      </w:r>
      <w:r>
        <w:t xml:space="preserve"> recovery of non-fuel purchase</w:t>
      </w:r>
      <w:r w:rsidR="0001455A">
        <w:t>d</w:t>
      </w:r>
      <w:r>
        <w:t xml:space="preserve"> power costs in the FAC and base generation rates was not relevant.</w:t>
      </w:r>
      <w:r w:rsidR="00C53485">
        <w:rPr>
          <w:rStyle w:val="FootnoteReference"/>
        </w:rPr>
        <w:footnoteReference w:id="40"/>
      </w:r>
      <w:r>
        <w:t xml:space="preserve">  Consequently, the Attorney Examiner denied </w:t>
      </w:r>
      <w:r w:rsidR="004C055F">
        <w:t xml:space="preserve">admission </w:t>
      </w:r>
      <w:r>
        <w:t xml:space="preserve">of exhibits and precluded IEU-Ohio from cross-examining the </w:t>
      </w:r>
      <w:r w:rsidR="002F5D12">
        <w:t>A</w:t>
      </w:r>
      <w:r>
        <w:t>uditor and AEP-</w:t>
      </w:r>
      <w:r>
        <w:lastRenderedPageBreak/>
        <w:t>Ohio witnesses regarding the calculation of AEP-Ohio’s cost of capacity</w:t>
      </w:r>
      <w:r w:rsidR="00444277">
        <w:t xml:space="preserve"> and purchase</w:t>
      </w:r>
      <w:r w:rsidR="0001455A">
        <w:t>d</w:t>
      </w:r>
      <w:r w:rsidR="00444277">
        <w:t xml:space="preserve"> power</w:t>
      </w:r>
      <w:r>
        <w:t xml:space="preserve"> and the revenue produced by AEP-Ohio’s </w:t>
      </w:r>
      <w:r w:rsidRPr="002D4316">
        <w:rPr>
          <w:i/>
        </w:rPr>
        <w:t>ESP I</w:t>
      </w:r>
      <w:r>
        <w:t xml:space="preserve"> base generation rate</w:t>
      </w:r>
      <w:r w:rsidR="00AF3566">
        <w:t>s.</w:t>
      </w:r>
      <w:r w:rsidR="000B667F">
        <w:rPr>
          <w:rStyle w:val="FootnoteReference"/>
        </w:rPr>
        <w:footnoteReference w:id="41"/>
      </w:r>
      <w:r w:rsidR="00AF3566">
        <w:t xml:space="preserve">  </w:t>
      </w:r>
      <w:r w:rsidR="00AF3566" w:rsidRPr="00AF3566">
        <w:t>Under Rule 4901:1-15, Ohio Administrative Code (“OAC”),</w:t>
      </w:r>
      <w:r w:rsidR="000B667F">
        <w:rPr>
          <w:spacing w:val="0"/>
        </w:rPr>
        <w:t xml:space="preserve"> a</w:t>
      </w:r>
      <w:r w:rsidR="00AF3566" w:rsidRPr="00AF3566">
        <w:rPr>
          <w:spacing w:val="0"/>
        </w:rPr>
        <w:t xml:space="preserve">ny party that is adversely affected </w:t>
      </w:r>
      <w:r w:rsidR="00AF3566">
        <w:rPr>
          <w:spacing w:val="0"/>
        </w:rPr>
        <w:t xml:space="preserve">by </w:t>
      </w:r>
      <w:r w:rsidR="00AF3566" w:rsidRPr="00AF3566">
        <w:rPr>
          <w:spacing w:val="0"/>
        </w:rPr>
        <w:t>any oral ruling is</w:t>
      </w:r>
      <w:r w:rsidR="00AF3566">
        <w:rPr>
          <w:spacing w:val="0"/>
        </w:rPr>
        <w:t>sued during a hearing may r</w:t>
      </w:r>
      <w:r w:rsidR="00AF3566" w:rsidRPr="00AF3566">
        <w:rPr>
          <w:spacing w:val="0"/>
        </w:rPr>
        <w:t>aise the propriety of that ruling as an issue for the commission's consideration by discussing the matter as a distinct issue in its initial brief.</w:t>
      </w:r>
      <w:r w:rsidR="00AF3566">
        <w:t xml:space="preserve">  As discussed below, the Attorney </w:t>
      </w:r>
      <w:r w:rsidR="00AF3566" w:rsidRPr="00AF3566">
        <w:t>Examiner erred.</w:t>
      </w:r>
    </w:p>
    <w:p w:rsidR="00F5043C" w:rsidRDefault="00F5043C" w:rsidP="00F5043C">
      <w:pPr>
        <w:pStyle w:val="1definition"/>
        <w:ind w:firstLine="720"/>
        <w:rPr>
          <w:rFonts w:eastAsia="Calibri"/>
        </w:rPr>
      </w:pPr>
      <w:r>
        <w:rPr>
          <w:bCs/>
          <w:sz w:val="23"/>
          <w:szCs w:val="23"/>
        </w:rPr>
        <w:t>“Cross-examination</w:t>
      </w:r>
      <w:r>
        <w:rPr>
          <w:sz w:val="23"/>
          <w:szCs w:val="23"/>
        </w:rPr>
        <w:t xml:space="preserve"> shall be permitted on all relevant matters . . . .”</w:t>
      </w:r>
      <w:r>
        <w:rPr>
          <w:rStyle w:val="FootnoteReference"/>
          <w:sz w:val="23"/>
          <w:szCs w:val="23"/>
        </w:rPr>
        <w:footnoteReference w:id="42"/>
      </w:r>
      <w:r>
        <w:rPr>
          <w:sz w:val="23"/>
          <w:szCs w:val="23"/>
        </w:rPr>
        <w:t xml:space="preserve">  All relevant evidence</w:t>
      </w:r>
      <w:r w:rsidRPr="00D83EE8">
        <w:rPr>
          <w:rStyle w:val="FootnoteReference"/>
          <w:rFonts w:eastAsia="Calibri"/>
        </w:rPr>
        <w:footnoteReference w:id="43"/>
      </w:r>
      <w:r>
        <w:rPr>
          <w:sz w:val="23"/>
          <w:szCs w:val="23"/>
        </w:rPr>
        <w:t xml:space="preserve"> is admissible</w:t>
      </w:r>
      <w:r w:rsidR="00596661">
        <w:rPr>
          <w:sz w:val="23"/>
          <w:szCs w:val="23"/>
        </w:rPr>
        <w:t xml:space="preserve"> unless otherwise prohibited</w:t>
      </w:r>
      <w:r>
        <w:rPr>
          <w:sz w:val="23"/>
          <w:szCs w:val="23"/>
        </w:rPr>
        <w:t>.</w:t>
      </w:r>
      <w:r>
        <w:rPr>
          <w:rStyle w:val="FootnoteReference"/>
          <w:sz w:val="23"/>
          <w:szCs w:val="23"/>
        </w:rPr>
        <w:footnoteReference w:id="44"/>
      </w:r>
      <w:r>
        <w:rPr>
          <w:sz w:val="23"/>
          <w:szCs w:val="23"/>
        </w:rPr>
        <w:t xml:space="preserve">  </w:t>
      </w:r>
      <w:r w:rsidR="002A46BF" w:rsidRPr="00D83EE8">
        <w:rPr>
          <w:rFonts w:eastAsia="Calibri"/>
        </w:rPr>
        <w:t>Relevant evidence is “evidence having a</w:t>
      </w:r>
      <w:r w:rsidR="002F5D12">
        <w:rPr>
          <w:rFonts w:eastAsia="Calibri"/>
        </w:rPr>
        <w:t>ny</w:t>
      </w:r>
      <w:r w:rsidR="002A46BF" w:rsidRPr="00D83EE8">
        <w:rPr>
          <w:rFonts w:eastAsia="Calibri"/>
        </w:rPr>
        <w:t xml:space="preserve"> tendency to make the existence of any fact that is of consequence to the determination of the action more probable or less probable tha</w:t>
      </w:r>
      <w:r w:rsidR="008F00AC">
        <w:rPr>
          <w:rFonts w:eastAsia="Calibri"/>
        </w:rPr>
        <w:t>n</w:t>
      </w:r>
      <w:r w:rsidR="002A46BF" w:rsidRPr="00D83EE8">
        <w:rPr>
          <w:rFonts w:eastAsia="Calibri"/>
        </w:rPr>
        <w:t xml:space="preserve"> it would </w:t>
      </w:r>
      <w:r w:rsidR="002A46BF" w:rsidRPr="00E41AE1">
        <w:rPr>
          <w:rFonts w:eastAsia="Calibri"/>
        </w:rPr>
        <w:t>be without the evidence.”</w:t>
      </w:r>
      <w:r w:rsidR="002A46BF" w:rsidRPr="00E41AE1">
        <w:rPr>
          <w:rStyle w:val="FootnoteReference"/>
          <w:rFonts w:eastAsia="Calibri"/>
        </w:rPr>
        <w:footnoteReference w:id="45"/>
      </w:r>
      <w:r w:rsidR="00805589" w:rsidRPr="00805589">
        <w:rPr>
          <w:rFonts w:eastAsia="Calibri"/>
        </w:rPr>
        <w:t xml:space="preserve"> </w:t>
      </w:r>
      <w:r w:rsidR="008F00AC">
        <w:rPr>
          <w:rFonts w:eastAsia="Calibri"/>
        </w:rPr>
        <w:t xml:space="preserve"> </w:t>
      </w:r>
    </w:p>
    <w:p w:rsidR="004C055F" w:rsidRPr="00F5043C" w:rsidRDefault="00805589" w:rsidP="00F5043C">
      <w:pPr>
        <w:pStyle w:val="1definition"/>
        <w:ind w:firstLine="720"/>
      </w:pPr>
      <w:r>
        <w:rPr>
          <w:rFonts w:eastAsia="Calibri"/>
        </w:rPr>
        <w:t>It is unlawful and unreasonable for an electric distribution utility (“EDU”) to recover costs through the FAC if the EDU receives compensation for such costs elsewhere.</w:t>
      </w:r>
      <w:r>
        <w:rPr>
          <w:rStyle w:val="FootnoteReference"/>
          <w:rFonts w:eastAsia="Calibri"/>
        </w:rPr>
        <w:footnoteReference w:id="46"/>
      </w:r>
      <w:r>
        <w:rPr>
          <w:rFonts w:eastAsia="Calibri"/>
        </w:rPr>
        <w:t xml:space="preserve"> </w:t>
      </w:r>
      <w:r w:rsidR="007C5E45">
        <w:rPr>
          <w:rFonts w:eastAsia="Calibri"/>
        </w:rPr>
        <w:t xml:space="preserve"> </w:t>
      </w:r>
      <w:r w:rsidR="004C055F">
        <w:rPr>
          <w:rFonts w:eastAsia="Calibri"/>
        </w:rPr>
        <w:t>T</w:t>
      </w:r>
      <w:r w:rsidR="004C055F" w:rsidRPr="00E41AE1">
        <w:rPr>
          <w:rFonts w:eastAsia="Calibri"/>
        </w:rPr>
        <w:t xml:space="preserve">he Commission </w:t>
      </w:r>
      <w:r w:rsidR="004C055F">
        <w:rPr>
          <w:rFonts w:eastAsia="Calibri"/>
        </w:rPr>
        <w:t xml:space="preserve">itself </w:t>
      </w:r>
      <w:r w:rsidR="004C055F" w:rsidRPr="00E41AE1">
        <w:rPr>
          <w:rFonts w:eastAsia="Calibri"/>
        </w:rPr>
        <w:t>recently</w:t>
      </w:r>
      <w:r w:rsidR="004C055F">
        <w:rPr>
          <w:rFonts w:eastAsia="Calibri"/>
        </w:rPr>
        <w:t xml:space="preserve"> held that the </w:t>
      </w:r>
      <w:r w:rsidR="004C055F" w:rsidRPr="00E41AE1">
        <w:rPr>
          <w:rFonts w:eastAsiaTheme="minorHAnsi"/>
        </w:rPr>
        <w:t>possible doub</w:t>
      </w:r>
      <w:r w:rsidR="004C055F">
        <w:rPr>
          <w:rFonts w:eastAsiaTheme="minorHAnsi"/>
        </w:rPr>
        <w:t>le recovery of purchase</w:t>
      </w:r>
      <w:r w:rsidR="00956553">
        <w:rPr>
          <w:rFonts w:eastAsiaTheme="minorHAnsi"/>
        </w:rPr>
        <w:t>d</w:t>
      </w:r>
      <w:r w:rsidR="004C055F">
        <w:rPr>
          <w:rFonts w:eastAsiaTheme="minorHAnsi"/>
        </w:rPr>
        <w:t xml:space="preserve"> power costs through the FAC is relevant for consideration in an FAC case:</w:t>
      </w:r>
    </w:p>
    <w:p w:rsidR="00090459" w:rsidRDefault="004C055F" w:rsidP="00956553">
      <w:pPr>
        <w:autoSpaceDE w:val="0"/>
        <w:autoSpaceDN w:val="0"/>
        <w:adjustRightInd w:val="0"/>
        <w:ind w:left="720" w:right="720" w:firstLine="720"/>
        <w:jc w:val="both"/>
        <w:rPr>
          <w:rFonts w:ascii="Arial" w:eastAsia="Calibri" w:hAnsi="Arial" w:cs="Arial"/>
        </w:rPr>
      </w:pPr>
      <w:r w:rsidRPr="0090681C">
        <w:rPr>
          <w:rFonts w:ascii="Arial" w:hAnsi="Arial" w:cs="Arial"/>
        </w:rPr>
        <w:t xml:space="preserve">Recently, in </w:t>
      </w:r>
      <w:r w:rsidRPr="0090681C">
        <w:rPr>
          <w:rFonts w:ascii="Arial" w:hAnsi="Arial" w:cs="Arial"/>
          <w:i/>
        </w:rPr>
        <w:t>In re Ohio Power Company</w:t>
      </w:r>
      <w:r>
        <w:rPr>
          <w:rFonts w:ascii="Arial" w:hAnsi="Arial" w:cs="Arial"/>
        </w:rPr>
        <w:t>, Case No. 12-3254-EL</w:t>
      </w:r>
      <w:r w:rsidR="00AC705B">
        <w:rPr>
          <w:rFonts w:ascii="Arial" w:hAnsi="Arial" w:cs="Arial"/>
        </w:rPr>
        <w:t>-</w:t>
      </w:r>
      <w:r>
        <w:rPr>
          <w:rFonts w:ascii="Arial" w:hAnsi="Arial" w:cs="Arial"/>
        </w:rPr>
        <w:t xml:space="preserve">UNC, </w:t>
      </w:r>
      <w:r w:rsidRPr="0090681C">
        <w:rPr>
          <w:rFonts w:ascii="Arial" w:hAnsi="Arial" w:cs="Arial"/>
        </w:rPr>
        <w:t>intervenors in that p</w:t>
      </w:r>
      <w:r>
        <w:rPr>
          <w:rFonts w:ascii="Arial" w:hAnsi="Arial" w:cs="Arial"/>
        </w:rPr>
        <w:t xml:space="preserve">roceeding raised concerns about </w:t>
      </w:r>
      <w:r w:rsidRPr="0090681C">
        <w:rPr>
          <w:rFonts w:ascii="Arial" w:hAnsi="Arial" w:cs="Arial"/>
        </w:rPr>
        <w:t>the possible double recovery of</w:t>
      </w:r>
      <w:r>
        <w:rPr>
          <w:rFonts w:ascii="Arial" w:hAnsi="Arial" w:cs="Arial"/>
        </w:rPr>
        <w:t xml:space="preserve"> certain capacity related costs </w:t>
      </w:r>
      <w:r w:rsidRPr="0090681C">
        <w:rPr>
          <w:rFonts w:ascii="Arial" w:hAnsi="Arial" w:cs="Arial"/>
        </w:rPr>
        <w:t xml:space="preserve">by AEP Ohio. </w:t>
      </w:r>
      <w:r w:rsidRPr="0090681C">
        <w:rPr>
          <w:rFonts w:ascii="Arial" w:hAnsi="Arial" w:cs="Arial"/>
          <w:i/>
        </w:rPr>
        <w:t>In re Ohio Power Company</w:t>
      </w:r>
      <w:r w:rsidRPr="0090681C">
        <w:rPr>
          <w:rFonts w:ascii="Arial" w:hAnsi="Arial" w:cs="Arial"/>
        </w:rPr>
        <w:t>, Case No. 12-3254-EL-UNC, Opinion and Order (November</w:t>
      </w:r>
      <w:r>
        <w:rPr>
          <w:rFonts w:ascii="Arial" w:hAnsi="Arial" w:cs="Arial"/>
        </w:rPr>
        <w:t xml:space="preserve"> 13, 2013) at 15</w:t>
      </w:r>
      <w:r w:rsidR="00A71C46">
        <w:rPr>
          <w:rFonts w:ascii="Arial" w:hAnsi="Arial" w:cs="Arial"/>
        </w:rPr>
        <w:t>-</w:t>
      </w:r>
      <w:r>
        <w:rPr>
          <w:rFonts w:ascii="Arial" w:hAnsi="Arial" w:cs="Arial"/>
        </w:rPr>
        <w:t xml:space="preserve">16.  </w:t>
      </w:r>
      <w:r w:rsidRPr="0090681C">
        <w:rPr>
          <w:rFonts w:ascii="Arial" w:hAnsi="Arial" w:cs="Arial"/>
          <w:b/>
          <w:i/>
        </w:rPr>
        <w:t xml:space="preserve">The Commission directs EVA to review </w:t>
      </w:r>
      <w:r w:rsidRPr="0090681C">
        <w:rPr>
          <w:rFonts w:ascii="Arial" w:hAnsi="Arial" w:cs="Arial"/>
          <w:b/>
          <w:i/>
        </w:rPr>
        <w:lastRenderedPageBreak/>
        <w:t>and investigate these allegations as part of this audit and to recommend appropriate Commission action based on this review</w:t>
      </w:r>
      <w:r>
        <w:rPr>
          <w:rFonts w:ascii="Arial" w:eastAsia="Calibri" w:hAnsi="Arial" w:cs="Arial"/>
        </w:rPr>
        <w:t>.</w:t>
      </w:r>
      <w:r>
        <w:rPr>
          <w:rStyle w:val="FootnoteReference"/>
          <w:rFonts w:ascii="Arial" w:eastAsia="Calibri" w:hAnsi="Arial" w:cs="Arial"/>
        </w:rPr>
        <w:footnoteReference w:id="47"/>
      </w:r>
      <w:r>
        <w:rPr>
          <w:rFonts w:ascii="Arial" w:eastAsia="Calibri" w:hAnsi="Arial" w:cs="Arial"/>
        </w:rPr>
        <w:t xml:space="preserve">  </w:t>
      </w:r>
    </w:p>
    <w:p w:rsidR="00C53485" w:rsidRDefault="00C53485" w:rsidP="00956553">
      <w:pPr>
        <w:autoSpaceDE w:val="0"/>
        <w:autoSpaceDN w:val="0"/>
        <w:adjustRightInd w:val="0"/>
        <w:ind w:left="720" w:right="720" w:firstLine="720"/>
        <w:jc w:val="both"/>
        <w:rPr>
          <w:rFonts w:ascii="Arial" w:eastAsia="Calibri" w:hAnsi="Arial" w:cs="Arial"/>
        </w:rPr>
      </w:pPr>
    </w:p>
    <w:p w:rsidR="008C3E7C" w:rsidRDefault="000B667F" w:rsidP="00AC705B">
      <w:pPr>
        <w:autoSpaceDE w:val="0"/>
        <w:autoSpaceDN w:val="0"/>
        <w:adjustRightInd w:val="0"/>
        <w:spacing w:line="480" w:lineRule="auto"/>
        <w:jc w:val="both"/>
        <w:rPr>
          <w:rFonts w:ascii="Arial" w:eastAsia="Calibri" w:hAnsi="Arial" w:cs="Arial"/>
        </w:rPr>
      </w:pPr>
      <w:r>
        <w:rPr>
          <w:rFonts w:ascii="Arial" w:eastAsia="Calibri" w:hAnsi="Arial" w:cs="Arial"/>
        </w:rPr>
        <w:t>T</w:t>
      </w:r>
      <w:r w:rsidR="002A46BF" w:rsidRPr="00E41AE1">
        <w:rPr>
          <w:rFonts w:ascii="Arial" w:eastAsia="Calibri" w:hAnsi="Arial" w:cs="Arial"/>
        </w:rPr>
        <w:t xml:space="preserve">he “fact” of consequence in this proceeding was </w:t>
      </w:r>
      <w:r w:rsidR="002A46BF">
        <w:rPr>
          <w:rFonts w:ascii="Arial" w:eastAsia="Calibri" w:hAnsi="Arial" w:cs="Arial"/>
        </w:rPr>
        <w:t>whether AEP-Ohio double-</w:t>
      </w:r>
      <w:r w:rsidR="002A46BF" w:rsidRPr="00E41AE1">
        <w:rPr>
          <w:rFonts w:ascii="Arial" w:eastAsia="Calibri" w:hAnsi="Arial" w:cs="Arial"/>
        </w:rPr>
        <w:t>recovered its</w:t>
      </w:r>
      <w:r w:rsidR="002A46BF">
        <w:rPr>
          <w:rFonts w:ascii="Arial" w:eastAsia="Calibri" w:hAnsi="Arial" w:cs="Arial"/>
        </w:rPr>
        <w:t xml:space="preserve"> non-fuel</w:t>
      </w:r>
      <w:r w:rsidR="002A46BF" w:rsidRPr="00E41AE1">
        <w:rPr>
          <w:rFonts w:ascii="Arial" w:eastAsia="Calibri" w:hAnsi="Arial" w:cs="Arial"/>
        </w:rPr>
        <w:t xml:space="preserve"> purchase</w:t>
      </w:r>
      <w:r w:rsidR="0001455A">
        <w:rPr>
          <w:rFonts w:ascii="Arial" w:eastAsia="Calibri" w:hAnsi="Arial" w:cs="Arial"/>
        </w:rPr>
        <w:t>d</w:t>
      </w:r>
      <w:r w:rsidR="002A46BF" w:rsidRPr="00E41AE1">
        <w:rPr>
          <w:rFonts w:ascii="Arial" w:eastAsia="Calibri" w:hAnsi="Arial" w:cs="Arial"/>
        </w:rPr>
        <w:t xml:space="preserve"> power costs</w:t>
      </w:r>
      <w:r w:rsidR="002A46BF">
        <w:rPr>
          <w:rFonts w:ascii="Arial" w:eastAsia="Calibri" w:hAnsi="Arial" w:cs="Arial"/>
        </w:rPr>
        <w:t xml:space="preserve"> in 2010 and 2011</w:t>
      </w:r>
      <w:r>
        <w:rPr>
          <w:rFonts w:ascii="Arial" w:eastAsia="Calibri" w:hAnsi="Arial" w:cs="Arial"/>
        </w:rPr>
        <w:t xml:space="preserve"> through the FAC. </w:t>
      </w:r>
      <w:r w:rsidR="00D458C5">
        <w:rPr>
          <w:rFonts w:ascii="Arial" w:eastAsia="Calibri" w:hAnsi="Arial" w:cs="Arial"/>
        </w:rPr>
        <w:t xml:space="preserve"> </w:t>
      </w:r>
    </w:p>
    <w:p w:rsidR="00AC705B" w:rsidRPr="009C2D9B" w:rsidRDefault="000B667F" w:rsidP="009C2D9B">
      <w:pPr>
        <w:autoSpaceDE w:val="0"/>
        <w:autoSpaceDN w:val="0"/>
        <w:adjustRightInd w:val="0"/>
        <w:spacing w:line="480" w:lineRule="auto"/>
        <w:ind w:firstLine="720"/>
        <w:jc w:val="both"/>
        <w:rPr>
          <w:rFonts w:ascii="Arial" w:eastAsia="Calibri" w:hAnsi="Arial" w:cs="Arial"/>
        </w:rPr>
      </w:pPr>
      <w:r>
        <w:rPr>
          <w:rFonts w:ascii="Arial" w:eastAsia="Calibri" w:hAnsi="Arial" w:cs="Arial"/>
        </w:rPr>
        <w:t>And, t</w:t>
      </w:r>
      <w:r w:rsidR="00AC705B">
        <w:rPr>
          <w:rFonts w:ascii="Arial" w:eastAsia="Calibri" w:hAnsi="Arial" w:cs="Arial"/>
        </w:rPr>
        <w:t>he proffered exhi</w:t>
      </w:r>
      <w:r>
        <w:rPr>
          <w:rFonts w:ascii="Arial" w:eastAsia="Calibri" w:hAnsi="Arial" w:cs="Arial"/>
        </w:rPr>
        <w:t>bits demonstrate</w:t>
      </w:r>
      <w:r w:rsidR="009C2D9B">
        <w:rPr>
          <w:rFonts w:ascii="Arial" w:eastAsia="Calibri" w:hAnsi="Arial" w:cs="Arial"/>
        </w:rPr>
        <w:t xml:space="preserve"> that </w:t>
      </w:r>
      <w:r w:rsidR="00AC705B" w:rsidRPr="009C2D9B">
        <w:rPr>
          <w:rFonts w:ascii="Arial" w:eastAsia="Calibri" w:hAnsi="Arial" w:cs="Arial"/>
        </w:rPr>
        <w:t>AEP-Ohio’s base generation rates in effect during 2010 and 2011 provided AEP-Ohio with compensation equi</w:t>
      </w:r>
      <w:r w:rsidR="009C2D9B">
        <w:rPr>
          <w:rFonts w:ascii="Arial" w:eastAsia="Calibri" w:hAnsi="Arial" w:cs="Arial"/>
        </w:rPr>
        <w:t>valent to $355 per megawatt day.</w:t>
      </w:r>
      <w:r w:rsidR="00871803">
        <w:rPr>
          <w:rStyle w:val="FootnoteReference"/>
          <w:rFonts w:ascii="Arial" w:eastAsia="Calibri" w:hAnsi="Arial" w:cs="Arial"/>
        </w:rPr>
        <w:footnoteReference w:id="48"/>
      </w:r>
      <w:r w:rsidR="009C2D9B">
        <w:rPr>
          <w:rFonts w:ascii="Arial" w:eastAsia="Calibri" w:hAnsi="Arial" w:cs="Arial"/>
        </w:rPr>
        <w:t xml:space="preserve">  Moreover, the proffered exhibits demonstrate that </w:t>
      </w:r>
      <w:r w:rsidR="00AC705B" w:rsidRPr="009C2D9B">
        <w:rPr>
          <w:rFonts w:ascii="Arial" w:eastAsia="Calibri" w:hAnsi="Arial" w:cs="Arial"/>
        </w:rPr>
        <w:t>AEP-Ohio is fully compensated for its cost of capacity and purchased power—Lawrenceburg and OVEC demand charges—by compen</w:t>
      </w:r>
      <w:r w:rsidR="009C2D9B">
        <w:rPr>
          <w:rFonts w:ascii="Arial" w:eastAsia="Calibri" w:hAnsi="Arial" w:cs="Arial"/>
        </w:rPr>
        <w:t>sation of $355 per megawatt day.</w:t>
      </w:r>
      <w:r w:rsidR="00871803">
        <w:rPr>
          <w:rStyle w:val="FootnoteReference"/>
          <w:rFonts w:ascii="Arial" w:eastAsia="Calibri" w:hAnsi="Arial" w:cs="Arial"/>
        </w:rPr>
        <w:footnoteReference w:id="49"/>
      </w:r>
      <w:r w:rsidR="009C2D9B">
        <w:rPr>
          <w:rFonts w:ascii="Arial" w:eastAsia="Calibri" w:hAnsi="Arial" w:cs="Arial"/>
        </w:rPr>
        <w:t xml:space="preserve">  </w:t>
      </w:r>
      <w:r w:rsidR="00AC705B" w:rsidRPr="009C2D9B">
        <w:rPr>
          <w:rFonts w:ascii="Arial" w:eastAsia="Calibri" w:hAnsi="Arial" w:cs="Arial"/>
        </w:rPr>
        <w:t>Despite its 2010 and 2011 base generation rates fully compensating it for the Lawrenceburg and OVEC demand charges, AEP-Ohio recovered the same demand charges t</w:t>
      </w:r>
      <w:r w:rsidR="009C2D9B">
        <w:rPr>
          <w:rFonts w:ascii="Arial" w:eastAsia="Calibri" w:hAnsi="Arial" w:cs="Arial"/>
        </w:rPr>
        <w:t>hrough the FAC in 2010 and 2011.</w:t>
      </w:r>
      <w:r w:rsidR="00871803">
        <w:rPr>
          <w:rStyle w:val="FootnoteReference"/>
          <w:rFonts w:ascii="Arial" w:eastAsia="Calibri" w:hAnsi="Arial" w:cs="Arial"/>
        </w:rPr>
        <w:footnoteReference w:id="50"/>
      </w:r>
      <w:r w:rsidR="009C2D9B">
        <w:rPr>
          <w:rFonts w:ascii="Arial" w:eastAsia="Calibri" w:hAnsi="Arial" w:cs="Arial"/>
        </w:rPr>
        <w:t xml:space="preserve">  Thus, the proffered exhibit</w:t>
      </w:r>
      <w:r w:rsidR="0009627D">
        <w:rPr>
          <w:rFonts w:ascii="Arial" w:eastAsia="Calibri" w:hAnsi="Arial" w:cs="Arial"/>
        </w:rPr>
        <w:t>s demonstrate that AEP-Ohio double</w:t>
      </w:r>
      <w:r w:rsidR="009C2D9B">
        <w:rPr>
          <w:rFonts w:ascii="Arial" w:eastAsia="Calibri" w:hAnsi="Arial" w:cs="Arial"/>
        </w:rPr>
        <w:t xml:space="preserve"> recovered Lawrenceburg and OVEC demand charges through the FAC.</w:t>
      </w:r>
    </w:p>
    <w:p w:rsidR="00E20850" w:rsidRDefault="00090459" w:rsidP="00AC705B">
      <w:pPr>
        <w:autoSpaceDE w:val="0"/>
        <w:autoSpaceDN w:val="0"/>
        <w:adjustRightInd w:val="0"/>
        <w:spacing w:line="480" w:lineRule="auto"/>
        <w:ind w:firstLine="720"/>
        <w:jc w:val="both"/>
        <w:rPr>
          <w:rFonts w:ascii="Arial" w:eastAsia="Calibri" w:hAnsi="Arial" w:cs="Arial"/>
        </w:rPr>
      </w:pPr>
      <w:r>
        <w:rPr>
          <w:rFonts w:ascii="Arial" w:eastAsia="Calibri" w:hAnsi="Arial" w:cs="Arial"/>
        </w:rPr>
        <w:t>Because the exhibits and cross</w:t>
      </w:r>
      <w:r w:rsidR="0014024D">
        <w:rPr>
          <w:rFonts w:ascii="Arial" w:eastAsia="Calibri" w:hAnsi="Arial" w:cs="Arial"/>
        </w:rPr>
        <w:t>-</w:t>
      </w:r>
      <w:r>
        <w:rPr>
          <w:rFonts w:ascii="Arial" w:eastAsia="Calibri" w:hAnsi="Arial" w:cs="Arial"/>
        </w:rPr>
        <w:t>examination would have demonstrated that AEP-Ohio is do</w:t>
      </w:r>
      <w:r w:rsidR="00AC705B">
        <w:rPr>
          <w:rFonts w:ascii="Arial" w:eastAsia="Calibri" w:hAnsi="Arial" w:cs="Arial"/>
        </w:rPr>
        <w:t>uble recovering demand charges</w:t>
      </w:r>
      <w:r>
        <w:rPr>
          <w:rFonts w:ascii="Arial" w:eastAsia="Calibri" w:hAnsi="Arial" w:cs="Arial"/>
        </w:rPr>
        <w:t xml:space="preserve"> for OVEC and Lawrenc</w:t>
      </w:r>
      <w:r w:rsidR="00565794">
        <w:rPr>
          <w:rFonts w:ascii="Arial" w:eastAsia="Calibri" w:hAnsi="Arial" w:cs="Arial"/>
        </w:rPr>
        <w:t>e</w:t>
      </w:r>
      <w:r>
        <w:rPr>
          <w:rFonts w:ascii="Arial" w:eastAsia="Calibri" w:hAnsi="Arial" w:cs="Arial"/>
        </w:rPr>
        <w:t xml:space="preserve">burg, </w:t>
      </w:r>
      <w:r w:rsidR="003B6270">
        <w:rPr>
          <w:rFonts w:ascii="Arial" w:eastAsia="Calibri" w:hAnsi="Arial" w:cs="Arial"/>
        </w:rPr>
        <w:t>t</w:t>
      </w:r>
      <w:r w:rsidR="002A46BF" w:rsidRPr="00D83EE8">
        <w:rPr>
          <w:rFonts w:ascii="Arial" w:eastAsia="Calibri" w:hAnsi="Arial" w:cs="Arial"/>
        </w:rPr>
        <w:t>he proffered exhib</w:t>
      </w:r>
      <w:r w:rsidR="003B6270">
        <w:rPr>
          <w:rFonts w:ascii="Arial" w:eastAsia="Calibri" w:hAnsi="Arial" w:cs="Arial"/>
        </w:rPr>
        <w:t>its</w:t>
      </w:r>
      <w:r w:rsidR="00565155">
        <w:rPr>
          <w:rFonts w:ascii="Arial" w:eastAsia="Calibri" w:hAnsi="Arial" w:cs="Arial"/>
        </w:rPr>
        <w:t xml:space="preserve"> would have showed</w:t>
      </w:r>
      <w:r w:rsidR="000B667F">
        <w:rPr>
          <w:rFonts w:ascii="Arial" w:eastAsia="Calibri" w:hAnsi="Arial" w:cs="Arial"/>
        </w:rPr>
        <w:t xml:space="preserve"> that a fact of consequence</w:t>
      </w:r>
      <w:r w:rsidR="003B6270">
        <w:rPr>
          <w:rFonts w:ascii="Arial" w:eastAsia="Calibri" w:hAnsi="Arial" w:cs="Arial"/>
        </w:rPr>
        <w:t>—a double recovery—</w:t>
      </w:r>
      <w:r w:rsidR="000B667F">
        <w:rPr>
          <w:rFonts w:ascii="Arial" w:eastAsia="Calibri" w:hAnsi="Arial" w:cs="Arial"/>
        </w:rPr>
        <w:t>is more probable of occurrence</w:t>
      </w:r>
      <w:r w:rsidR="003B6270">
        <w:rPr>
          <w:rFonts w:ascii="Arial" w:eastAsia="Calibri" w:hAnsi="Arial" w:cs="Arial"/>
        </w:rPr>
        <w:t xml:space="preserve">.  Thus, the proffered exhibits are relevant </w:t>
      </w:r>
      <w:r w:rsidR="0044569E">
        <w:rPr>
          <w:rFonts w:ascii="Arial" w:eastAsia="Calibri" w:hAnsi="Arial" w:cs="Arial"/>
        </w:rPr>
        <w:t xml:space="preserve">and </w:t>
      </w:r>
      <w:r w:rsidR="003B6270">
        <w:rPr>
          <w:rFonts w:ascii="Arial" w:eastAsia="Calibri" w:hAnsi="Arial" w:cs="Arial"/>
        </w:rPr>
        <w:t>the Attorney Examiner erred when she refused to admit those exhibits and precluded cross</w:t>
      </w:r>
      <w:r w:rsidR="0014024D">
        <w:rPr>
          <w:rFonts w:ascii="Arial" w:eastAsia="Calibri" w:hAnsi="Arial" w:cs="Arial"/>
        </w:rPr>
        <w:t>-</w:t>
      </w:r>
      <w:r w:rsidR="003B6270">
        <w:rPr>
          <w:rFonts w:ascii="Arial" w:eastAsia="Calibri" w:hAnsi="Arial" w:cs="Arial"/>
        </w:rPr>
        <w:t xml:space="preserve">examination.  </w:t>
      </w:r>
    </w:p>
    <w:p w:rsidR="00E20850" w:rsidRDefault="00E20850" w:rsidP="00AC705B">
      <w:pPr>
        <w:pStyle w:val="1definition"/>
        <w:ind w:firstLine="720"/>
        <w:rPr>
          <w:color w:val="202020"/>
        </w:rPr>
      </w:pPr>
      <w:r>
        <w:rPr>
          <w:color w:val="202020"/>
        </w:rPr>
        <w:lastRenderedPageBreak/>
        <w:t>Moreover, each of the proffered exhibits</w:t>
      </w:r>
      <w:r w:rsidR="009C2D9B">
        <w:rPr>
          <w:rStyle w:val="FootnoteReference"/>
          <w:color w:val="202020"/>
        </w:rPr>
        <w:footnoteReference w:id="51"/>
      </w:r>
      <w:r>
        <w:rPr>
          <w:color w:val="202020"/>
        </w:rPr>
        <w:t xml:space="preserve"> is part of the evidentiary record in the </w:t>
      </w:r>
      <w:r>
        <w:rPr>
          <w:i/>
          <w:color w:val="202020"/>
        </w:rPr>
        <w:t xml:space="preserve">Capacity Case </w:t>
      </w:r>
      <w:r>
        <w:rPr>
          <w:color w:val="202020"/>
        </w:rPr>
        <w:t>used</w:t>
      </w:r>
      <w:r w:rsidR="009C2D9B">
        <w:rPr>
          <w:color w:val="202020"/>
        </w:rPr>
        <w:t xml:space="preserve"> by AEP-Ohio</w:t>
      </w:r>
      <w:r>
        <w:rPr>
          <w:color w:val="202020"/>
        </w:rPr>
        <w:t xml:space="preserve"> to support AEP-Ohio’s full cost of capacity and purchase</w:t>
      </w:r>
      <w:r w:rsidR="00AC705B">
        <w:rPr>
          <w:color w:val="202020"/>
        </w:rPr>
        <w:t>d</w:t>
      </w:r>
      <w:r w:rsidR="009C2D9B">
        <w:rPr>
          <w:color w:val="202020"/>
        </w:rPr>
        <w:t xml:space="preserve"> power</w:t>
      </w:r>
      <w:r>
        <w:rPr>
          <w:color w:val="202020"/>
        </w:rPr>
        <w:t>.</w:t>
      </w:r>
      <w:r w:rsidR="0009627D">
        <w:rPr>
          <w:rStyle w:val="FootnoteReference"/>
          <w:color w:val="202020"/>
        </w:rPr>
        <w:footnoteReference w:id="52"/>
      </w:r>
      <w:r>
        <w:rPr>
          <w:color w:val="202020"/>
        </w:rPr>
        <w:t xml:space="preserve">  The proffered exhibits should have also been admitted as evidence during the hearing in this case</w:t>
      </w:r>
      <w:r w:rsidR="0038226D">
        <w:rPr>
          <w:color w:val="202020"/>
        </w:rPr>
        <w:t xml:space="preserve"> and IEU-Ohio should not have been precluded from cross-examining witnesses on these exhibits</w:t>
      </w:r>
      <w:r>
        <w:rPr>
          <w:color w:val="202020"/>
        </w:rPr>
        <w:t>; thus, IEU-Ohio requests that the Commission admit the proffered exhibits into the record or take administrative notice</w:t>
      </w:r>
      <w:r w:rsidR="0028577E">
        <w:rPr>
          <w:rStyle w:val="FootnoteReference"/>
          <w:color w:val="202020"/>
        </w:rPr>
        <w:footnoteReference w:id="53"/>
      </w:r>
      <w:r>
        <w:rPr>
          <w:color w:val="202020"/>
        </w:rPr>
        <w:t xml:space="preserve"> of the</w:t>
      </w:r>
      <w:r w:rsidR="0038226D">
        <w:rPr>
          <w:color w:val="202020"/>
        </w:rPr>
        <w:t xml:space="preserve"> facts in the record</w:t>
      </w:r>
      <w:r>
        <w:rPr>
          <w:color w:val="202020"/>
        </w:rPr>
        <w:t xml:space="preserve"> in </w:t>
      </w:r>
      <w:r w:rsidR="007C5E45">
        <w:rPr>
          <w:color w:val="202020"/>
        </w:rPr>
        <w:t xml:space="preserve">the </w:t>
      </w:r>
      <w:r w:rsidR="007C5E45">
        <w:rPr>
          <w:i/>
          <w:color w:val="202020"/>
        </w:rPr>
        <w:t>Capacity Case</w:t>
      </w:r>
      <w:r>
        <w:rPr>
          <w:color w:val="202020"/>
        </w:rPr>
        <w:t xml:space="preserve">.  </w:t>
      </w:r>
    </w:p>
    <w:p w:rsidR="0012119B" w:rsidRPr="0012119B" w:rsidRDefault="0012119B" w:rsidP="0012119B">
      <w:pPr>
        <w:autoSpaceDE w:val="0"/>
        <w:autoSpaceDN w:val="0"/>
        <w:adjustRightInd w:val="0"/>
        <w:spacing w:line="480" w:lineRule="auto"/>
        <w:ind w:firstLine="720"/>
        <w:jc w:val="both"/>
        <w:rPr>
          <w:rFonts w:ascii="Arial" w:eastAsia="Calibri" w:hAnsi="Arial" w:cs="Arial"/>
          <w:color w:val="202020"/>
        </w:rPr>
      </w:pPr>
      <w:r w:rsidRPr="005678B8">
        <w:rPr>
          <w:rFonts w:ascii="Arial" w:eastAsia="Calibri" w:hAnsi="Arial" w:cs="Arial"/>
          <w:color w:val="202020"/>
        </w:rPr>
        <w:t xml:space="preserve">If the Attorney Examiner’s error is not corrected, customers will be overcharged </w:t>
      </w:r>
      <w:r w:rsidR="00CC51FD">
        <w:rPr>
          <w:rFonts w:ascii="Arial" w:eastAsia="Calibri" w:hAnsi="Arial" w:cs="Arial"/>
          <w:color w:val="202020"/>
        </w:rPr>
        <w:t xml:space="preserve">by </w:t>
      </w:r>
      <w:r w:rsidR="006B3757">
        <w:rPr>
          <w:rFonts w:ascii="Arial" w:eastAsia="Calibri" w:hAnsi="Arial" w:cs="Arial"/>
          <w:color w:val="202020"/>
        </w:rPr>
        <w:t xml:space="preserve">more than </w:t>
      </w:r>
      <w:r w:rsidR="00CC51FD">
        <w:rPr>
          <w:rFonts w:ascii="Arial" w:eastAsia="Calibri" w:hAnsi="Arial" w:cs="Arial"/>
          <w:color w:val="202020"/>
        </w:rPr>
        <w:t>$22</w:t>
      </w:r>
      <w:r w:rsidR="00AD40D1">
        <w:rPr>
          <w:rFonts w:ascii="Arial" w:eastAsia="Calibri" w:hAnsi="Arial" w:cs="Arial"/>
          <w:color w:val="202020"/>
        </w:rPr>
        <w:t>0</w:t>
      </w:r>
      <w:r w:rsidRPr="005678B8">
        <w:rPr>
          <w:rFonts w:ascii="Arial" w:eastAsia="Calibri" w:hAnsi="Arial" w:cs="Arial"/>
          <w:color w:val="202020"/>
        </w:rPr>
        <w:t xml:space="preserve"> million</w:t>
      </w:r>
      <w:r w:rsidR="00875876">
        <w:rPr>
          <w:rFonts w:ascii="Arial" w:eastAsia="Calibri" w:hAnsi="Arial" w:cs="Arial"/>
          <w:color w:val="202020"/>
        </w:rPr>
        <w:t xml:space="preserve"> in purchased power costs during 2010 and 2011</w:t>
      </w:r>
      <w:r w:rsidRPr="005678B8">
        <w:rPr>
          <w:rFonts w:ascii="Arial" w:eastAsia="Calibri" w:hAnsi="Arial" w:cs="Arial"/>
          <w:color w:val="202020"/>
        </w:rPr>
        <w:t>.</w:t>
      </w:r>
      <w:r w:rsidR="0038226D">
        <w:rPr>
          <w:rStyle w:val="FootnoteReference"/>
          <w:rFonts w:ascii="Arial" w:eastAsia="Calibri" w:hAnsi="Arial" w:cs="Arial"/>
          <w:color w:val="202020"/>
        </w:rPr>
        <w:footnoteReference w:id="54"/>
      </w:r>
      <w:r w:rsidRPr="005678B8">
        <w:rPr>
          <w:rFonts w:ascii="Arial" w:eastAsia="Calibri" w:hAnsi="Arial" w:cs="Arial"/>
          <w:color w:val="202020"/>
        </w:rPr>
        <w:t xml:space="preserve">  Thus, IEU-Ohio was prejudiced by the error.</w:t>
      </w:r>
    </w:p>
    <w:p w:rsidR="00444277" w:rsidRPr="000D6ED1" w:rsidRDefault="00444277" w:rsidP="000D6ED1">
      <w:pPr>
        <w:pStyle w:val="Heading3"/>
        <w:rPr>
          <w:rFonts w:ascii="Arial" w:eastAsia="Calibri" w:hAnsi="Arial" w:cs="Arial"/>
        </w:rPr>
      </w:pPr>
      <w:bookmarkStart w:id="9" w:name="_Toc376963231"/>
      <w:r w:rsidRPr="000D6ED1">
        <w:rPr>
          <w:rFonts w:ascii="Arial" w:eastAsia="Calibri" w:hAnsi="Arial" w:cs="Arial"/>
        </w:rPr>
        <w:t>The proffered exhibit</w:t>
      </w:r>
      <w:r w:rsidR="00E337DB" w:rsidRPr="000D6ED1">
        <w:rPr>
          <w:rFonts w:ascii="Arial" w:eastAsia="Calibri" w:hAnsi="Arial" w:cs="Arial"/>
        </w:rPr>
        <w:t xml:space="preserve">s demonstrate that AEP-Ohio </w:t>
      </w:r>
      <w:r w:rsidR="005678B8" w:rsidRPr="000D6ED1">
        <w:rPr>
          <w:rFonts w:ascii="Arial" w:eastAsia="Calibri" w:hAnsi="Arial" w:cs="Arial"/>
        </w:rPr>
        <w:t>wa</w:t>
      </w:r>
      <w:r w:rsidR="00E337DB" w:rsidRPr="000D6ED1">
        <w:rPr>
          <w:rFonts w:ascii="Arial" w:eastAsia="Calibri" w:hAnsi="Arial" w:cs="Arial"/>
        </w:rPr>
        <w:t>s fully compensated for its purchase</w:t>
      </w:r>
      <w:r w:rsidR="00545A15" w:rsidRPr="000D6ED1">
        <w:rPr>
          <w:rFonts w:ascii="Arial" w:eastAsia="Calibri" w:hAnsi="Arial" w:cs="Arial"/>
        </w:rPr>
        <w:t>d</w:t>
      </w:r>
      <w:r w:rsidR="00E337DB" w:rsidRPr="000D6ED1">
        <w:rPr>
          <w:rFonts w:ascii="Arial" w:eastAsia="Calibri" w:hAnsi="Arial" w:cs="Arial"/>
        </w:rPr>
        <w:t xml:space="preserve"> power costs by its base generation rates in effect in 2010 and 2011</w:t>
      </w:r>
      <w:bookmarkEnd w:id="9"/>
    </w:p>
    <w:p w:rsidR="00444277" w:rsidRDefault="00805589" w:rsidP="00805589">
      <w:pPr>
        <w:autoSpaceDE w:val="0"/>
        <w:autoSpaceDN w:val="0"/>
        <w:adjustRightInd w:val="0"/>
        <w:spacing w:line="480" w:lineRule="auto"/>
        <w:ind w:firstLine="720"/>
        <w:jc w:val="both"/>
        <w:rPr>
          <w:rFonts w:eastAsia="Calibri"/>
        </w:rPr>
      </w:pPr>
      <w:r>
        <w:rPr>
          <w:rFonts w:ascii="Arial" w:eastAsia="Calibri" w:hAnsi="Arial" w:cs="Arial"/>
        </w:rPr>
        <w:t>Had IEU-Ohio</w:t>
      </w:r>
      <w:r w:rsidR="00D9180A">
        <w:rPr>
          <w:rFonts w:ascii="Arial" w:eastAsia="Calibri" w:hAnsi="Arial" w:cs="Arial"/>
        </w:rPr>
        <w:t>'s exhibits</w:t>
      </w:r>
      <w:r w:rsidR="008C3E7C">
        <w:rPr>
          <w:rFonts w:ascii="Arial" w:eastAsia="Calibri" w:hAnsi="Arial" w:cs="Arial"/>
        </w:rPr>
        <w:t xml:space="preserve"> been properly admitted</w:t>
      </w:r>
      <w:r>
        <w:rPr>
          <w:rFonts w:ascii="Arial" w:eastAsia="Calibri" w:hAnsi="Arial" w:cs="Arial"/>
        </w:rPr>
        <w:t xml:space="preserve">, the record would </w:t>
      </w:r>
      <w:r w:rsidR="00565155">
        <w:rPr>
          <w:rFonts w:ascii="Arial" w:eastAsia="Calibri" w:hAnsi="Arial" w:cs="Arial"/>
        </w:rPr>
        <w:t>demonstrate</w:t>
      </w:r>
      <w:r>
        <w:rPr>
          <w:rFonts w:ascii="Arial" w:eastAsia="Calibri" w:hAnsi="Arial" w:cs="Arial"/>
        </w:rPr>
        <w:t xml:space="preserve"> that AEP-Ohio unlawfully </w:t>
      </w:r>
      <w:r w:rsidR="0001455A">
        <w:rPr>
          <w:rFonts w:ascii="Arial" w:eastAsia="Calibri" w:hAnsi="Arial" w:cs="Arial"/>
        </w:rPr>
        <w:t>double</w:t>
      </w:r>
      <w:r>
        <w:rPr>
          <w:rFonts w:ascii="Arial" w:eastAsia="Calibri" w:hAnsi="Arial" w:cs="Arial"/>
        </w:rPr>
        <w:t xml:space="preserve"> recovered non-fuel purchase</w:t>
      </w:r>
      <w:r w:rsidR="0001455A">
        <w:rPr>
          <w:rFonts w:ascii="Arial" w:eastAsia="Calibri" w:hAnsi="Arial" w:cs="Arial"/>
        </w:rPr>
        <w:t>d</w:t>
      </w:r>
      <w:r>
        <w:rPr>
          <w:rFonts w:ascii="Arial" w:eastAsia="Calibri" w:hAnsi="Arial" w:cs="Arial"/>
        </w:rPr>
        <w:t xml:space="preserve"> power through the FAC.  As discussed below, IEU-Ohio’s proffered exhib</w:t>
      </w:r>
      <w:r w:rsidR="00ED634B">
        <w:rPr>
          <w:rFonts w:ascii="Arial" w:eastAsia="Calibri" w:hAnsi="Arial" w:cs="Arial"/>
        </w:rPr>
        <w:t>its</w:t>
      </w:r>
      <w:r w:rsidR="0044569E">
        <w:rPr>
          <w:rFonts w:ascii="Arial" w:eastAsia="Calibri" w:hAnsi="Arial" w:cs="Arial"/>
        </w:rPr>
        <w:t>,</w:t>
      </w:r>
      <w:r w:rsidR="00ED634B">
        <w:rPr>
          <w:rFonts w:ascii="Arial" w:eastAsia="Calibri" w:hAnsi="Arial" w:cs="Arial"/>
        </w:rPr>
        <w:t xml:space="preserve"> </w:t>
      </w:r>
      <w:r w:rsidR="00090459">
        <w:rPr>
          <w:rFonts w:ascii="Arial" w:eastAsia="Calibri" w:hAnsi="Arial" w:cs="Arial"/>
        </w:rPr>
        <w:t xml:space="preserve">drawn from the record of the </w:t>
      </w:r>
      <w:r w:rsidR="00090459" w:rsidRPr="00875876">
        <w:rPr>
          <w:rFonts w:ascii="Arial" w:eastAsia="Calibri" w:hAnsi="Arial" w:cs="Arial"/>
          <w:i/>
        </w:rPr>
        <w:t xml:space="preserve">Capacity </w:t>
      </w:r>
      <w:r w:rsidR="00875876" w:rsidRPr="00875876">
        <w:rPr>
          <w:rFonts w:ascii="Arial" w:eastAsia="Calibri" w:hAnsi="Arial" w:cs="Arial"/>
          <w:i/>
        </w:rPr>
        <w:t>Case</w:t>
      </w:r>
      <w:r w:rsidR="00565794">
        <w:rPr>
          <w:rFonts w:ascii="Arial" w:eastAsia="Calibri" w:hAnsi="Arial" w:cs="Arial"/>
        </w:rPr>
        <w:t>,</w:t>
      </w:r>
      <w:r w:rsidR="00090459">
        <w:rPr>
          <w:rFonts w:ascii="Arial" w:eastAsia="Calibri" w:hAnsi="Arial" w:cs="Arial"/>
        </w:rPr>
        <w:t xml:space="preserve"> </w:t>
      </w:r>
      <w:r w:rsidR="00ED634B">
        <w:rPr>
          <w:rFonts w:ascii="Arial" w:eastAsia="Calibri" w:hAnsi="Arial" w:cs="Arial"/>
        </w:rPr>
        <w:t>demonstrate that AEP-Ohio</w:t>
      </w:r>
      <w:r>
        <w:rPr>
          <w:rFonts w:ascii="Arial" w:eastAsia="Calibri" w:hAnsi="Arial" w:cs="Arial"/>
        </w:rPr>
        <w:t xml:space="preserve"> fully</w:t>
      </w:r>
      <w:r w:rsidR="00ED634B">
        <w:rPr>
          <w:rFonts w:ascii="Arial" w:eastAsia="Calibri" w:hAnsi="Arial" w:cs="Arial"/>
        </w:rPr>
        <w:t xml:space="preserve"> recovered its cost of</w:t>
      </w:r>
      <w:r>
        <w:rPr>
          <w:rFonts w:ascii="Arial" w:eastAsia="Calibri" w:hAnsi="Arial" w:cs="Arial"/>
        </w:rPr>
        <w:t xml:space="preserve"> capacity and non-</w:t>
      </w:r>
      <w:r>
        <w:rPr>
          <w:rFonts w:ascii="Arial" w:eastAsia="Calibri" w:hAnsi="Arial" w:cs="Arial"/>
        </w:rPr>
        <w:lastRenderedPageBreak/>
        <w:t>fuel purchase</w:t>
      </w:r>
      <w:r w:rsidR="00875876">
        <w:rPr>
          <w:rFonts w:ascii="Arial" w:eastAsia="Calibri" w:hAnsi="Arial" w:cs="Arial"/>
        </w:rPr>
        <w:t>d</w:t>
      </w:r>
      <w:r>
        <w:rPr>
          <w:rFonts w:ascii="Arial" w:eastAsia="Calibri" w:hAnsi="Arial" w:cs="Arial"/>
        </w:rPr>
        <w:t xml:space="preserve"> power</w:t>
      </w:r>
      <w:r w:rsidR="00ED634B">
        <w:rPr>
          <w:rFonts w:ascii="Arial" w:eastAsia="Calibri" w:hAnsi="Arial" w:cs="Arial"/>
        </w:rPr>
        <w:t>—including OVEC and Lawrenceburg—through its base generation rates.</w:t>
      </w:r>
      <w:r w:rsidR="003B603F">
        <w:rPr>
          <w:rStyle w:val="FootnoteReference"/>
          <w:rFonts w:ascii="Arial" w:eastAsia="Calibri" w:hAnsi="Arial" w:cs="Arial"/>
        </w:rPr>
        <w:footnoteReference w:id="55"/>
      </w:r>
      <w:r>
        <w:rPr>
          <w:rFonts w:ascii="Arial" w:eastAsia="Calibri" w:hAnsi="Arial" w:cs="Arial"/>
        </w:rPr>
        <w:t xml:space="preserve"> </w:t>
      </w:r>
      <w:r w:rsidR="00ED634B">
        <w:rPr>
          <w:rFonts w:ascii="Arial" w:eastAsia="Calibri" w:hAnsi="Arial" w:cs="Arial"/>
        </w:rPr>
        <w:t xml:space="preserve"> </w:t>
      </w:r>
      <w:r>
        <w:rPr>
          <w:rFonts w:ascii="Arial" w:eastAsia="Calibri" w:hAnsi="Arial" w:cs="Arial"/>
        </w:rPr>
        <w:t>Thus, AEP-Ohio’s additional rec</w:t>
      </w:r>
      <w:r w:rsidR="00ED634B">
        <w:rPr>
          <w:rFonts w:ascii="Arial" w:eastAsia="Calibri" w:hAnsi="Arial" w:cs="Arial"/>
        </w:rPr>
        <w:t>overy through the FAC of</w:t>
      </w:r>
      <w:r>
        <w:rPr>
          <w:rFonts w:ascii="Arial" w:eastAsia="Calibri" w:hAnsi="Arial" w:cs="Arial"/>
        </w:rPr>
        <w:t xml:space="preserve"> </w:t>
      </w:r>
      <w:r w:rsidR="00ED634B">
        <w:rPr>
          <w:rFonts w:ascii="Arial" w:eastAsia="Calibri" w:hAnsi="Arial" w:cs="Arial"/>
        </w:rPr>
        <w:t>non-fuel costs relat</w:t>
      </w:r>
      <w:r w:rsidR="0001455A">
        <w:rPr>
          <w:rFonts w:ascii="Arial" w:eastAsia="Calibri" w:hAnsi="Arial" w:cs="Arial"/>
        </w:rPr>
        <w:t>ed to Lawrenceburg and OVEC</w:t>
      </w:r>
      <w:r w:rsidR="00ED634B">
        <w:rPr>
          <w:rFonts w:ascii="Arial" w:eastAsia="Calibri" w:hAnsi="Arial" w:cs="Arial"/>
        </w:rPr>
        <w:t xml:space="preserve"> </w:t>
      </w:r>
      <w:r w:rsidR="0001455A">
        <w:rPr>
          <w:rFonts w:ascii="Arial" w:eastAsia="Calibri" w:hAnsi="Arial" w:cs="Arial"/>
        </w:rPr>
        <w:t xml:space="preserve">over </w:t>
      </w:r>
      <w:r w:rsidR="00ED634B">
        <w:rPr>
          <w:rFonts w:ascii="Arial" w:eastAsia="Calibri" w:hAnsi="Arial" w:cs="Arial"/>
        </w:rPr>
        <w:t>compensated AEP-Ohio</w:t>
      </w:r>
      <w:r>
        <w:rPr>
          <w:rFonts w:ascii="Arial" w:eastAsia="Calibri" w:hAnsi="Arial" w:cs="Arial"/>
        </w:rPr>
        <w:t xml:space="preserve">.  </w:t>
      </w:r>
    </w:p>
    <w:p w:rsidR="00444277" w:rsidRDefault="00444277" w:rsidP="00444277">
      <w:pPr>
        <w:pStyle w:val="1definition"/>
        <w:ind w:firstLine="720"/>
      </w:pPr>
      <w:r>
        <w:t xml:space="preserve">In the </w:t>
      </w:r>
      <w:r w:rsidRPr="000D0098">
        <w:rPr>
          <w:i/>
        </w:rPr>
        <w:t>Capacity Case</w:t>
      </w:r>
      <w:r>
        <w:t xml:space="preserve">, AEP-Ohio requested authority to increase the amount of compensation that it receives for the provision of capacity service. </w:t>
      </w:r>
      <w:r w:rsidRPr="000D0098">
        <w:t xml:space="preserve"> </w:t>
      </w:r>
      <w:r>
        <w:t>AEP-Ohio submitted the testimony of Kelly Pearce to quantify AEP-Ohio’s embedded cost of capacity and purchase</w:t>
      </w:r>
      <w:r w:rsidR="0001455A">
        <w:t>d</w:t>
      </w:r>
      <w:r>
        <w:t xml:space="preserve"> power.  Mr. Pearce calculated AEP-Ohio’s cost of capacity using OPCo’s and CSP’s 2010 F</w:t>
      </w:r>
      <w:r w:rsidR="004E5629">
        <w:t xml:space="preserve">ederal </w:t>
      </w:r>
      <w:r>
        <w:t>E</w:t>
      </w:r>
      <w:r w:rsidR="004E5629">
        <w:t xml:space="preserve">nergy </w:t>
      </w:r>
      <w:r>
        <w:t>R</w:t>
      </w:r>
      <w:r w:rsidR="004E5629">
        <w:t xml:space="preserve">egulatory </w:t>
      </w:r>
      <w:r>
        <w:t>C</w:t>
      </w:r>
      <w:r w:rsidR="004E5629">
        <w:t>ommission (“FERC’)</w:t>
      </w:r>
      <w:r>
        <w:t xml:space="preserve"> Form 1</w:t>
      </w:r>
      <w:r w:rsidR="00CC51FD">
        <w:rPr>
          <w:rStyle w:val="FootnoteReference"/>
        </w:rPr>
        <w:footnoteReference w:id="56"/>
      </w:r>
      <w:r>
        <w:t xml:space="preserve"> and concluded that, on a merged basis, AEP-Ohio’s fully embedded cost of capacity</w:t>
      </w:r>
      <w:r w:rsidR="00ED634B">
        <w:t xml:space="preserve"> and purchase</w:t>
      </w:r>
      <w:r w:rsidR="0001455A">
        <w:t>d</w:t>
      </w:r>
      <w:r w:rsidR="00ED634B">
        <w:t xml:space="preserve"> power </w:t>
      </w:r>
      <w:r>
        <w:t>is</w:t>
      </w:r>
      <w:r w:rsidR="00ED634B">
        <w:t xml:space="preserve"> $355 per megawatt day.</w:t>
      </w:r>
      <w:r w:rsidR="00C53485">
        <w:rPr>
          <w:rStyle w:val="FootnoteReference"/>
        </w:rPr>
        <w:footnoteReference w:id="57"/>
      </w:r>
      <w:r w:rsidR="00ED634B">
        <w:t xml:space="preserve">  Mr. Pearce included the non-fuel purchase</w:t>
      </w:r>
      <w:r w:rsidR="0001455A">
        <w:t>d</w:t>
      </w:r>
      <w:r w:rsidR="00ED634B">
        <w:t xml:space="preserve"> power costs of Lawrenceburg and OVEC in his calculation of the $355 per megawatt day price.</w:t>
      </w:r>
      <w:r w:rsidR="00CC51FD">
        <w:rPr>
          <w:rStyle w:val="FootnoteReference"/>
        </w:rPr>
        <w:footnoteReference w:id="58"/>
      </w:r>
      <w:r w:rsidR="00ED634B">
        <w:t xml:space="preserve"> </w:t>
      </w:r>
    </w:p>
    <w:p w:rsidR="00444277" w:rsidRDefault="00ED634B" w:rsidP="00443424">
      <w:pPr>
        <w:pStyle w:val="1definition"/>
      </w:pPr>
      <w:r>
        <w:tab/>
      </w:r>
      <w:r w:rsidR="00904E30">
        <w:t xml:space="preserve">As the Commission recognized in the Capacity Case Order, </w:t>
      </w:r>
      <w:r w:rsidR="00444277">
        <w:t xml:space="preserve">AEP-Ohio witness Allen testified that </w:t>
      </w:r>
      <w:r>
        <w:t xml:space="preserve">AEP-Ohio’s </w:t>
      </w:r>
      <w:r w:rsidR="00444277" w:rsidRPr="002D4316">
        <w:rPr>
          <w:i/>
        </w:rPr>
        <w:t>ESP I</w:t>
      </w:r>
      <w:r w:rsidR="00444277">
        <w:t xml:space="preserve"> base generation rates produce</w:t>
      </w:r>
      <w:r w:rsidR="00D9180A">
        <w:t>d</w:t>
      </w:r>
      <w:r w:rsidR="00444277">
        <w:t xml:space="preserve"> revenue equiva</w:t>
      </w:r>
      <w:r w:rsidR="00904E30">
        <w:t xml:space="preserve">lent to $355 per megawatt day: </w:t>
      </w:r>
      <w:r w:rsidR="00444277">
        <w:t>“AEP-Ohio contends that its proposed cost-based capacity pricing roughly approximates</w:t>
      </w:r>
      <w:r w:rsidR="00443424">
        <w:t xml:space="preserve"> </w:t>
      </w:r>
      <w:r w:rsidR="00444277">
        <w:t>and is, therefore, comparable to the amount that the Company receives from its SSO customers for capacity through base generation rates.</w:t>
      </w:r>
      <w:r w:rsidR="00904E30">
        <w:t xml:space="preserve"> </w:t>
      </w:r>
      <w:r w:rsidR="00443424">
        <w:t>(AEP-Ohio Ex. 142 at 19-20; Tr. II at 304,</w:t>
      </w:r>
      <w:r w:rsidR="002350D5">
        <w:t xml:space="preserve"> </w:t>
      </w:r>
      <w:r w:rsidR="00443424">
        <w:t>350</w:t>
      </w:r>
      <w:r w:rsidR="00904E30">
        <w:t>)</w:t>
      </w:r>
      <w:r w:rsidR="00443424">
        <w:t>.</w:t>
      </w:r>
      <w:r w:rsidR="00904E30">
        <w:t>”</w:t>
      </w:r>
    </w:p>
    <w:p w:rsidR="00861C74" w:rsidRDefault="00444277" w:rsidP="00E337DB">
      <w:pPr>
        <w:pStyle w:val="1definition"/>
        <w:rPr>
          <w:color w:val="202020"/>
        </w:rPr>
      </w:pPr>
      <w:r>
        <w:lastRenderedPageBreak/>
        <w:tab/>
        <w:t>On July 2, 2012, the</w:t>
      </w:r>
      <w:r w:rsidR="00443424">
        <w:t xml:space="preserve"> Commission</w:t>
      </w:r>
      <w:r w:rsidR="00DC36EF">
        <w:t xml:space="preserve"> modified and</w:t>
      </w:r>
      <w:r>
        <w:t xml:space="preserve"> </w:t>
      </w:r>
      <w:r w:rsidR="00DC36EF">
        <w:t>approved</w:t>
      </w:r>
      <w:r>
        <w:t xml:space="preserve"> AEP-Ohio’s proposal to increase its capacity compensation through a cost-based formula.  </w:t>
      </w:r>
      <w:r w:rsidR="00ED634B">
        <w:t>T</w:t>
      </w:r>
      <w:r>
        <w:t>he Commission determined that $188.88 per megawatt day fully compensates AEP-Ohio for its capacity and purchase</w:t>
      </w:r>
      <w:r w:rsidR="0001455A">
        <w:t>d</w:t>
      </w:r>
      <w:r>
        <w:t xml:space="preserve"> power costs.  The Commission reached that result by making minor adjustments to AEP-Ohio’s embedded cost</w:t>
      </w:r>
      <w:r w:rsidR="00D9180A">
        <w:t>s</w:t>
      </w:r>
      <w:r>
        <w:t xml:space="preserve"> of capacity and then reducing that amount by an energy credit.</w:t>
      </w:r>
      <w:r w:rsidR="00ED634B">
        <w:rPr>
          <w:rStyle w:val="FootnoteReference"/>
        </w:rPr>
        <w:footnoteReference w:id="59"/>
      </w:r>
      <w:r w:rsidR="00861C74">
        <w:t xml:space="preserve">  </w:t>
      </w:r>
      <w:r>
        <w:t>The Commission did not make any adjust</w:t>
      </w:r>
      <w:r w:rsidR="00861C74">
        <w:t>ments related to</w:t>
      </w:r>
      <w:r>
        <w:t xml:space="preserve"> purchase</w:t>
      </w:r>
      <w:r w:rsidR="0001455A">
        <w:t>d</w:t>
      </w:r>
      <w:r>
        <w:t xml:space="preserve"> power; thus, the Commission determined that $188.88</w:t>
      </w:r>
      <w:r w:rsidR="0041785B">
        <w:t xml:space="preserve"> per megawatt day</w:t>
      </w:r>
      <w:r>
        <w:t xml:space="preserve"> fully compensates AEP-Ohio for its capacity</w:t>
      </w:r>
      <w:r w:rsidR="0041785B">
        <w:t xml:space="preserve">, including </w:t>
      </w:r>
      <w:r>
        <w:t>non-</w:t>
      </w:r>
      <w:r w:rsidRPr="005678B8">
        <w:rPr>
          <w:color w:val="202020"/>
        </w:rPr>
        <w:t>fuel purchase</w:t>
      </w:r>
      <w:r w:rsidR="0001455A">
        <w:rPr>
          <w:color w:val="202020"/>
        </w:rPr>
        <w:t>d</w:t>
      </w:r>
      <w:r w:rsidRPr="005678B8">
        <w:rPr>
          <w:color w:val="202020"/>
        </w:rPr>
        <w:t xml:space="preserve"> power costs</w:t>
      </w:r>
      <w:r w:rsidR="00861C74">
        <w:rPr>
          <w:color w:val="202020"/>
        </w:rPr>
        <w:t xml:space="preserve"> related to OVEC and Lawrenceburg</w:t>
      </w:r>
      <w:r w:rsidRPr="005678B8">
        <w:rPr>
          <w:color w:val="202020"/>
        </w:rPr>
        <w:t>.</w:t>
      </w:r>
      <w:r w:rsidR="006E6522">
        <w:rPr>
          <w:rStyle w:val="FootnoteReference"/>
          <w:color w:val="202020"/>
        </w:rPr>
        <w:footnoteReference w:id="60"/>
      </w:r>
    </w:p>
    <w:p w:rsidR="00904E30" w:rsidRDefault="00F90040" w:rsidP="00563607">
      <w:pPr>
        <w:pStyle w:val="1definition"/>
        <w:spacing w:after="120"/>
        <w:rPr>
          <w:color w:val="202020"/>
        </w:rPr>
      </w:pPr>
      <w:r>
        <w:rPr>
          <w:color w:val="202020"/>
        </w:rPr>
        <w:tab/>
      </w:r>
      <w:r>
        <w:t xml:space="preserve">AEP-Ohio’s </w:t>
      </w:r>
      <w:r w:rsidR="00861C74">
        <w:rPr>
          <w:color w:val="202020"/>
        </w:rPr>
        <w:t xml:space="preserve">2010 and 2011 base generation rates </w:t>
      </w:r>
      <w:r w:rsidR="0041785B">
        <w:rPr>
          <w:color w:val="202020"/>
        </w:rPr>
        <w:t>provide</w:t>
      </w:r>
      <w:r>
        <w:rPr>
          <w:color w:val="202020"/>
        </w:rPr>
        <w:t>d</w:t>
      </w:r>
      <w:r w:rsidR="0041785B">
        <w:rPr>
          <w:color w:val="202020"/>
        </w:rPr>
        <w:t xml:space="preserve"> compensation equal to $355 per megawatt</w:t>
      </w:r>
      <w:r w:rsidR="00D9180A">
        <w:rPr>
          <w:color w:val="202020"/>
        </w:rPr>
        <w:t xml:space="preserve"> day</w:t>
      </w:r>
      <w:r>
        <w:rPr>
          <w:color w:val="202020"/>
        </w:rPr>
        <w:t>, which fully compensated AEP-Ohio for its capacity costs and non-fuel purchase</w:t>
      </w:r>
      <w:r w:rsidR="0001455A">
        <w:rPr>
          <w:color w:val="202020"/>
        </w:rPr>
        <w:t>d</w:t>
      </w:r>
      <w:r>
        <w:rPr>
          <w:color w:val="202020"/>
        </w:rPr>
        <w:t xml:space="preserve"> power costs related to OVEC and Lawrenceburg.  But </w:t>
      </w:r>
      <w:r w:rsidR="00861C74">
        <w:rPr>
          <w:color w:val="202020"/>
        </w:rPr>
        <w:t>AEP-Ohio also</w:t>
      </w:r>
      <w:r w:rsidR="00444277" w:rsidRPr="005678B8">
        <w:rPr>
          <w:color w:val="202020"/>
        </w:rPr>
        <w:t xml:space="preserve"> </w:t>
      </w:r>
      <w:r w:rsidR="00861C74">
        <w:rPr>
          <w:color w:val="202020"/>
        </w:rPr>
        <w:t>recovered the same Lawrenceburg and OVEC costs through the FAC</w:t>
      </w:r>
      <w:r>
        <w:rPr>
          <w:color w:val="202020"/>
        </w:rPr>
        <w:t xml:space="preserve"> during 2010 and 2011</w:t>
      </w:r>
      <w:r w:rsidR="00861C74">
        <w:rPr>
          <w:color w:val="202020"/>
        </w:rPr>
        <w:t>.</w:t>
      </w:r>
      <w:r w:rsidR="00090459">
        <w:rPr>
          <w:rStyle w:val="FootnoteReference"/>
          <w:color w:val="202020"/>
        </w:rPr>
        <w:footnoteReference w:id="61"/>
      </w:r>
      <w:r w:rsidR="00861C74">
        <w:rPr>
          <w:color w:val="202020"/>
        </w:rPr>
        <w:t xml:space="preserve">  </w:t>
      </w:r>
      <w:r w:rsidR="00090459">
        <w:rPr>
          <w:color w:val="202020"/>
        </w:rPr>
        <w:t>Because it is recovering the same costs through both its non-fuel base generation rates and its FAC</w:t>
      </w:r>
      <w:r w:rsidR="00861C74">
        <w:rPr>
          <w:color w:val="202020"/>
        </w:rPr>
        <w:t>, AEP-Ohio double recovered its purchase</w:t>
      </w:r>
      <w:r w:rsidR="00875876">
        <w:rPr>
          <w:color w:val="202020"/>
        </w:rPr>
        <w:t>d</w:t>
      </w:r>
      <w:r w:rsidR="00861C74">
        <w:rPr>
          <w:color w:val="202020"/>
        </w:rPr>
        <w:t xml:space="preserve"> power costs.</w:t>
      </w:r>
      <w:r w:rsidR="009B2157">
        <w:rPr>
          <w:color w:val="202020"/>
        </w:rPr>
        <w:t xml:space="preserve">  The </w:t>
      </w:r>
      <w:r w:rsidR="00490794">
        <w:rPr>
          <w:color w:val="202020"/>
        </w:rPr>
        <w:t xml:space="preserve">double recovery is demonstrated in more detail in </w:t>
      </w:r>
      <w:r>
        <w:rPr>
          <w:color w:val="202020"/>
        </w:rPr>
        <w:t xml:space="preserve">the </w:t>
      </w:r>
      <w:r w:rsidR="00D9180A">
        <w:rPr>
          <w:color w:val="202020"/>
        </w:rPr>
        <w:t xml:space="preserve">table </w:t>
      </w:r>
      <w:r>
        <w:rPr>
          <w:color w:val="202020"/>
        </w:rPr>
        <w:t>below</w:t>
      </w:r>
      <w:r w:rsidR="0041785B">
        <w:rPr>
          <w:color w:val="202020"/>
        </w:rPr>
        <w:t>.</w:t>
      </w:r>
    </w:p>
    <w:p w:rsidR="00F47663" w:rsidRDefault="00F47663">
      <w:pPr>
        <w:rPr>
          <w:rFonts w:ascii="Arial" w:hAnsi="Arial" w:cs="Arial"/>
          <w:color w:val="202020"/>
          <w:spacing w:val="-3"/>
        </w:rPr>
      </w:pPr>
      <w:r>
        <w:rPr>
          <w:color w:val="202020"/>
        </w:rPr>
        <w:br w:type="page"/>
      </w:r>
    </w:p>
    <w:tbl>
      <w:tblPr>
        <w:tblStyle w:val="TableGrid"/>
        <w:tblW w:w="0" w:type="auto"/>
        <w:tblInd w:w="108" w:type="dxa"/>
        <w:tblLook w:val="04A0" w:firstRow="1" w:lastRow="0" w:firstColumn="1" w:lastColumn="0" w:noHBand="0" w:noVBand="1"/>
      </w:tblPr>
      <w:tblGrid>
        <w:gridCol w:w="4410"/>
        <w:gridCol w:w="4950"/>
      </w:tblGrid>
      <w:tr w:rsidR="00AD7D27" w:rsidTr="00563607">
        <w:tc>
          <w:tcPr>
            <w:tcW w:w="4410" w:type="dxa"/>
          </w:tcPr>
          <w:p w:rsidR="00AD7D27" w:rsidRPr="00490794" w:rsidRDefault="00AD7D27" w:rsidP="00EF3143">
            <w:pPr>
              <w:pStyle w:val="1definition"/>
              <w:spacing w:line="240" w:lineRule="auto"/>
              <w:rPr>
                <w:b/>
                <w:color w:val="202020"/>
              </w:rPr>
            </w:pPr>
            <w:r w:rsidRPr="00490794">
              <w:rPr>
                <w:b/>
                <w:color w:val="202020"/>
              </w:rPr>
              <w:lastRenderedPageBreak/>
              <w:t>CSP C</w:t>
            </w:r>
            <w:r w:rsidR="00490794" w:rsidRPr="00490794">
              <w:rPr>
                <w:b/>
                <w:color w:val="202020"/>
              </w:rPr>
              <w:t>apacity F</w:t>
            </w:r>
            <w:r w:rsidRPr="00490794">
              <w:rPr>
                <w:b/>
                <w:color w:val="202020"/>
              </w:rPr>
              <w:t xml:space="preserve">ormula </w:t>
            </w:r>
            <w:r w:rsidR="00490794" w:rsidRPr="00490794">
              <w:rPr>
                <w:b/>
                <w:color w:val="202020"/>
              </w:rPr>
              <w:t>Components</w:t>
            </w:r>
          </w:p>
        </w:tc>
        <w:tc>
          <w:tcPr>
            <w:tcW w:w="4950" w:type="dxa"/>
          </w:tcPr>
          <w:p w:rsidR="00AD7D27" w:rsidRPr="00490794" w:rsidRDefault="00AD7D27" w:rsidP="00F47663">
            <w:pPr>
              <w:pStyle w:val="1definition"/>
              <w:spacing w:line="240" w:lineRule="auto"/>
              <w:jc w:val="left"/>
              <w:rPr>
                <w:b/>
                <w:color w:val="202020"/>
              </w:rPr>
            </w:pPr>
            <w:r w:rsidRPr="00490794">
              <w:rPr>
                <w:b/>
                <w:color w:val="202020"/>
              </w:rPr>
              <w:t>CSP</w:t>
            </w:r>
            <w:r w:rsidR="00790ADE" w:rsidRPr="00490794">
              <w:rPr>
                <w:b/>
                <w:color w:val="202020"/>
              </w:rPr>
              <w:t xml:space="preserve"> Double Recovery of Purchase</w:t>
            </w:r>
            <w:r w:rsidR="006E6522">
              <w:rPr>
                <w:b/>
                <w:color w:val="202020"/>
              </w:rPr>
              <w:t>d</w:t>
            </w:r>
            <w:r w:rsidR="00790ADE" w:rsidRPr="00490794">
              <w:rPr>
                <w:b/>
                <w:color w:val="202020"/>
              </w:rPr>
              <w:t xml:space="preserve"> Power Costs</w:t>
            </w:r>
            <w:r w:rsidRPr="00490794">
              <w:rPr>
                <w:b/>
                <w:color w:val="202020"/>
              </w:rPr>
              <w:t xml:space="preserve"> in FAC</w:t>
            </w:r>
          </w:p>
        </w:tc>
      </w:tr>
      <w:tr w:rsidR="00EF3143" w:rsidTr="00563607">
        <w:tc>
          <w:tcPr>
            <w:tcW w:w="4410" w:type="dxa"/>
          </w:tcPr>
          <w:p w:rsidR="00EF3143" w:rsidRPr="00790ADE" w:rsidRDefault="00EF3143" w:rsidP="00790ADE">
            <w:pPr>
              <w:pStyle w:val="1definition"/>
              <w:spacing w:line="240" w:lineRule="auto"/>
              <w:jc w:val="left"/>
            </w:pPr>
            <w:r w:rsidRPr="00790ADE">
              <w:t>CSP’s Annual Fixed Production Cost</w:t>
            </w:r>
            <w:r w:rsidR="001B6A7D">
              <w:t>s</w:t>
            </w:r>
            <w:r w:rsidRPr="00790ADE">
              <w:t xml:space="preserve"> for 2010 was $477,093,822</w:t>
            </w:r>
            <w:r>
              <w:t>.</w:t>
            </w:r>
            <w:r>
              <w:rPr>
                <w:rStyle w:val="FootnoteReference"/>
              </w:rPr>
              <w:footnoteReference w:id="62"/>
            </w:r>
            <w:r>
              <w:t xml:space="preserve">  </w:t>
            </w:r>
          </w:p>
        </w:tc>
        <w:tc>
          <w:tcPr>
            <w:tcW w:w="4950" w:type="dxa"/>
          </w:tcPr>
          <w:p w:rsidR="00EF3143" w:rsidRDefault="00EF3143" w:rsidP="00790ADE">
            <w:pPr>
              <w:pStyle w:val="1definition"/>
              <w:spacing w:line="240" w:lineRule="auto"/>
              <w:rPr>
                <w:color w:val="202020"/>
              </w:rPr>
            </w:pPr>
          </w:p>
        </w:tc>
      </w:tr>
      <w:tr w:rsidR="00AD7D27" w:rsidTr="00563607">
        <w:tc>
          <w:tcPr>
            <w:tcW w:w="4410" w:type="dxa"/>
          </w:tcPr>
          <w:p w:rsidR="00AD7D27" w:rsidRDefault="00790ADE" w:rsidP="00790ADE">
            <w:pPr>
              <w:pStyle w:val="1definition"/>
              <w:spacing w:line="240" w:lineRule="auto"/>
              <w:jc w:val="left"/>
              <w:rPr>
                <w:color w:val="202020"/>
              </w:rPr>
            </w:pPr>
            <w:r>
              <w:t>The Annual Fixed Production Cos</w:t>
            </w:r>
            <w:r w:rsidR="00EF283C">
              <w:t>ts consisted of $217,843,953</w:t>
            </w:r>
            <w:r w:rsidR="002D4316">
              <w:t xml:space="preserve"> in</w:t>
            </w:r>
            <w:r w:rsidR="00EF283C">
              <w:t xml:space="preserve"> O&amp;M</w:t>
            </w:r>
            <w:r>
              <w:t xml:space="preserve"> expense.</w:t>
            </w:r>
            <w:r>
              <w:rPr>
                <w:rStyle w:val="FootnoteReference"/>
              </w:rPr>
              <w:footnoteReference w:id="63"/>
            </w:r>
            <w:r w:rsidRPr="00210E69">
              <w:t xml:space="preserve"> </w:t>
            </w:r>
            <w:r>
              <w:t xml:space="preserve"> </w:t>
            </w:r>
          </w:p>
        </w:tc>
        <w:tc>
          <w:tcPr>
            <w:tcW w:w="4950" w:type="dxa"/>
          </w:tcPr>
          <w:p w:rsidR="00AD7D27" w:rsidRDefault="00AD7D27" w:rsidP="00790ADE">
            <w:pPr>
              <w:pStyle w:val="1definition"/>
              <w:spacing w:line="240" w:lineRule="auto"/>
              <w:rPr>
                <w:color w:val="202020"/>
              </w:rPr>
            </w:pPr>
          </w:p>
        </w:tc>
      </w:tr>
      <w:tr w:rsidR="00AD7D27" w:rsidTr="00563607">
        <w:tc>
          <w:tcPr>
            <w:tcW w:w="4410" w:type="dxa"/>
          </w:tcPr>
          <w:p w:rsidR="00AD7D27" w:rsidRDefault="00790ADE" w:rsidP="00F47663">
            <w:pPr>
              <w:pStyle w:val="1definition"/>
              <w:spacing w:line="240" w:lineRule="auto"/>
              <w:jc w:val="left"/>
              <w:rPr>
                <w:color w:val="202020"/>
              </w:rPr>
            </w:pPr>
            <w:r>
              <w:t>$106,281,091 of the O&amp;M expense consisted of purchase</w:t>
            </w:r>
            <w:r w:rsidR="0001455A">
              <w:t>d</w:t>
            </w:r>
            <w:r>
              <w:t xml:space="preserve"> power costs.</w:t>
            </w:r>
            <w:r>
              <w:rPr>
                <w:rStyle w:val="FootnoteReference"/>
              </w:rPr>
              <w:footnoteReference w:id="64"/>
            </w:r>
            <w:r>
              <w:t xml:space="preserve">  </w:t>
            </w:r>
          </w:p>
        </w:tc>
        <w:tc>
          <w:tcPr>
            <w:tcW w:w="4950" w:type="dxa"/>
          </w:tcPr>
          <w:p w:rsidR="00AD7D27" w:rsidRDefault="00AD7D27" w:rsidP="00861C74">
            <w:pPr>
              <w:pStyle w:val="1definition"/>
              <w:rPr>
                <w:color w:val="202020"/>
              </w:rPr>
            </w:pPr>
          </w:p>
        </w:tc>
      </w:tr>
      <w:tr w:rsidR="00790ADE" w:rsidTr="00563607">
        <w:tc>
          <w:tcPr>
            <w:tcW w:w="4410" w:type="dxa"/>
          </w:tcPr>
          <w:p w:rsidR="00790ADE" w:rsidRPr="00490794" w:rsidRDefault="00790ADE" w:rsidP="00490794">
            <w:pPr>
              <w:pStyle w:val="1definition"/>
              <w:spacing w:line="240" w:lineRule="auto"/>
              <w:jc w:val="left"/>
              <w:rPr>
                <w:b/>
                <w:i/>
                <w:color w:val="202020"/>
              </w:rPr>
            </w:pPr>
            <w:r w:rsidRPr="00490794">
              <w:rPr>
                <w:b/>
                <w:i/>
              </w:rPr>
              <w:t>Purchase</w:t>
            </w:r>
            <w:r w:rsidR="006E6522">
              <w:rPr>
                <w:b/>
                <w:i/>
              </w:rPr>
              <w:t>d</w:t>
            </w:r>
            <w:r w:rsidRPr="00490794">
              <w:rPr>
                <w:b/>
                <w:i/>
              </w:rPr>
              <w:t xml:space="preserve"> power cost</w:t>
            </w:r>
            <w:r w:rsidR="001B6A7D">
              <w:rPr>
                <w:b/>
                <w:i/>
              </w:rPr>
              <w:t>s</w:t>
            </w:r>
            <w:r w:rsidRPr="00490794">
              <w:rPr>
                <w:b/>
                <w:i/>
              </w:rPr>
              <w:t xml:space="preserve"> consist</w:t>
            </w:r>
            <w:r w:rsidR="002D4316">
              <w:rPr>
                <w:b/>
                <w:i/>
              </w:rPr>
              <w:t>ed</w:t>
            </w:r>
            <w:r w:rsidRPr="00490794">
              <w:rPr>
                <w:b/>
                <w:i/>
              </w:rPr>
              <w:t xml:space="preserve"> of $60,734,136 for Lawrenceburg</w:t>
            </w:r>
            <w:r w:rsidRPr="00490794">
              <w:rPr>
                <w:rStyle w:val="FootnoteReference"/>
                <w:b/>
                <w:i/>
              </w:rPr>
              <w:footnoteReference w:id="65"/>
            </w:r>
            <w:r w:rsidRPr="00490794">
              <w:rPr>
                <w:b/>
                <w:i/>
              </w:rPr>
              <w:t xml:space="preserve"> and $13,228,114 for OVEC</w:t>
            </w:r>
            <w:r w:rsidR="00490794">
              <w:rPr>
                <w:b/>
                <w:i/>
              </w:rPr>
              <w:t>.</w:t>
            </w:r>
            <w:r w:rsidRPr="00490794">
              <w:rPr>
                <w:rStyle w:val="FootnoteReference"/>
              </w:rPr>
              <w:footnoteReference w:id="66"/>
            </w:r>
          </w:p>
        </w:tc>
        <w:tc>
          <w:tcPr>
            <w:tcW w:w="4950" w:type="dxa"/>
          </w:tcPr>
          <w:p w:rsidR="00790ADE" w:rsidRPr="00490794" w:rsidRDefault="00790ADE" w:rsidP="00273DDD">
            <w:pPr>
              <w:pStyle w:val="1definition"/>
              <w:spacing w:line="240" w:lineRule="auto"/>
              <w:jc w:val="left"/>
              <w:rPr>
                <w:b/>
                <w:i/>
                <w:color w:val="202020"/>
              </w:rPr>
            </w:pPr>
            <w:r w:rsidRPr="00490794">
              <w:rPr>
                <w:b/>
                <w:i/>
                <w:color w:val="202020"/>
              </w:rPr>
              <w:t>FAC also recovers $61,136,019.53</w:t>
            </w:r>
            <w:r w:rsidR="00443424">
              <w:rPr>
                <w:b/>
                <w:i/>
                <w:color w:val="202020"/>
              </w:rPr>
              <w:t xml:space="preserve"> </w:t>
            </w:r>
            <w:r w:rsidRPr="00490794">
              <w:rPr>
                <w:b/>
                <w:i/>
                <w:color w:val="202020"/>
              </w:rPr>
              <w:t>related to Lawrenceburg</w:t>
            </w:r>
            <w:r w:rsidRPr="00490794">
              <w:rPr>
                <w:rStyle w:val="FootnoteReference"/>
                <w:b/>
                <w:i/>
                <w:color w:val="202020"/>
              </w:rPr>
              <w:footnoteReference w:id="67"/>
            </w:r>
            <w:r w:rsidRPr="00490794">
              <w:rPr>
                <w:b/>
                <w:i/>
                <w:color w:val="202020"/>
              </w:rPr>
              <w:t xml:space="preserve"> and $13,295,243 for OVEC</w:t>
            </w:r>
            <w:r w:rsidR="00490794">
              <w:rPr>
                <w:color w:val="202020"/>
              </w:rPr>
              <w:t>.</w:t>
            </w:r>
            <w:r w:rsidRPr="00490794">
              <w:rPr>
                <w:rStyle w:val="FootnoteReference"/>
                <w:color w:val="202020"/>
              </w:rPr>
              <w:footnoteReference w:id="68"/>
            </w:r>
          </w:p>
        </w:tc>
      </w:tr>
      <w:tr w:rsidR="00490794" w:rsidTr="00563607">
        <w:tc>
          <w:tcPr>
            <w:tcW w:w="4410" w:type="dxa"/>
          </w:tcPr>
          <w:p w:rsidR="00490794" w:rsidRDefault="00490794" w:rsidP="00490794">
            <w:pPr>
              <w:pStyle w:val="1definition"/>
              <w:spacing w:line="240" w:lineRule="auto"/>
              <w:jc w:val="left"/>
              <w:rPr>
                <w:b/>
                <w:i/>
              </w:rPr>
            </w:pPr>
          </w:p>
          <w:p w:rsidR="00490794" w:rsidRPr="00490794" w:rsidRDefault="00490794" w:rsidP="00490794">
            <w:pPr>
              <w:pStyle w:val="1definition"/>
              <w:spacing w:line="240" w:lineRule="auto"/>
              <w:jc w:val="left"/>
              <w:rPr>
                <w:b/>
                <w:i/>
              </w:rPr>
            </w:pPr>
          </w:p>
        </w:tc>
        <w:tc>
          <w:tcPr>
            <w:tcW w:w="4950" w:type="dxa"/>
          </w:tcPr>
          <w:p w:rsidR="00490794" w:rsidRPr="00490794" w:rsidRDefault="00490794" w:rsidP="00790ADE">
            <w:pPr>
              <w:pStyle w:val="1definition"/>
              <w:spacing w:line="240" w:lineRule="auto"/>
              <w:rPr>
                <w:b/>
                <w:i/>
                <w:color w:val="202020"/>
              </w:rPr>
            </w:pPr>
          </w:p>
        </w:tc>
      </w:tr>
      <w:tr w:rsidR="00790ADE" w:rsidTr="00563607">
        <w:tc>
          <w:tcPr>
            <w:tcW w:w="4410" w:type="dxa"/>
          </w:tcPr>
          <w:p w:rsidR="00790ADE" w:rsidRPr="00490794" w:rsidRDefault="00790ADE" w:rsidP="00F47663">
            <w:pPr>
              <w:pStyle w:val="1definition"/>
              <w:spacing w:line="240" w:lineRule="auto"/>
              <w:jc w:val="left"/>
              <w:rPr>
                <w:color w:val="202020"/>
              </w:rPr>
            </w:pPr>
            <w:r w:rsidRPr="00490794">
              <w:rPr>
                <w:b/>
                <w:color w:val="202020"/>
              </w:rPr>
              <w:t xml:space="preserve">OPCo </w:t>
            </w:r>
            <w:r w:rsidR="00490794" w:rsidRPr="00490794">
              <w:rPr>
                <w:b/>
                <w:color w:val="202020"/>
              </w:rPr>
              <w:t>Capacity Formula Components</w:t>
            </w:r>
          </w:p>
        </w:tc>
        <w:tc>
          <w:tcPr>
            <w:tcW w:w="4950" w:type="dxa"/>
          </w:tcPr>
          <w:p w:rsidR="00790ADE" w:rsidRPr="00490794" w:rsidRDefault="00490794" w:rsidP="00F47663">
            <w:pPr>
              <w:pStyle w:val="1definition"/>
              <w:spacing w:line="240" w:lineRule="auto"/>
              <w:jc w:val="left"/>
              <w:rPr>
                <w:b/>
                <w:color w:val="202020"/>
              </w:rPr>
            </w:pPr>
            <w:r w:rsidRPr="00490794">
              <w:rPr>
                <w:b/>
                <w:color w:val="202020"/>
              </w:rPr>
              <w:t>OPCo Double Recovery of Purchase</w:t>
            </w:r>
            <w:r w:rsidR="006E6522">
              <w:rPr>
                <w:b/>
                <w:color w:val="202020"/>
              </w:rPr>
              <w:t>d</w:t>
            </w:r>
            <w:r w:rsidRPr="00490794">
              <w:rPr>
                <w:b/>
                <w:color w:val="202020"/>
              </w:rPr>
              <w:t xml:space="preserve"> Power in FAC</w:t>
            </w:r>
          </w:p>
        </w:tc>
      </w:tr>
      <w:tr w:rsidR="00790ADE" w:rsidTr="00563607">
        <w:tc>
          <w:tcPr>
            <w:tcW w:w="4410" w:type="dxa"/>
          </w:tcPr>
          <w:p w:rsidR="00790ADE" w:rsidRDefault="00EF3143" w:rsidP="00F47663">
            <w:pPr>
              <w:pStyle w:val="1definition"/>
              <w:spacing w:line="240" w:lineRule="auto"/>
              <w:jc w:val="left"/>
              <w:rPr>
                <w:color w:val="202020"/>
              </w:rPr>
            </w:pPr>
            <w:r>
              <w:t>OPCo’s Annual Fixed Production Cost</w:t>
            </w:r>
            <w:r w:rsidR="001B6A7D">
              <w:t>s</w:t>
            </w:r>
            <w:r>
              <w:t xml:space="preserve"> for 2010 was $660,504,310.</w:t>
            </w:r>
            <w:r>
              <w:rPr>
                <w:rStyle w:val="FootnoteReference"/>
              </w:rPr>
              <w:footnoteReference w:id="69"/>
            </w:r>
          </w:p>
        </w:tc>
        <w:tc>
          <w:tcPr>
            <w:tcW w:w="4950" w:type="dxa"/>
          </w:tcPr>
          <w:p w:rsidR="00790ADE" w:rsidRDefault="00790ADE" w:rsidP="00861C74">
            <w:pPr>
              <w:pStyle w:val="1definition"/>
              <w:rPr>
                <w:color w:val="202020"/>
              </w:rPr>
            </w:pPr>
          </w:p>
        </w:tc>
      </w:tr>
      <w:tr w:rsidR="00EF3143" w:rsidTr="00563607">
        <w:tc>
          <w:tcPr>
            <w:tcW w:w="4410" w:type="dxa"/>
          </w:tcPr>
          <w:p w:rsidR="00EF3143" w:rsidRDefault="00EF3143" w:rsidP="00F47663">
            <w:pPr>
              <w:pStyle w:val="1definition"/>
              <w:spacing w:line="240" w:lineRule="auto"/>
              <w:jc w:val="left"/>
            </w:pPr>
            <w:r>
              <w:t>The Annual Fixed Production Costs consisted of $338,656,260 in O&amp;M expense.</w:t>
            </w:r>
            <w:r>
              <w:rPr>
                <w:rStyle w:val="FootnoteReference"/>
              </w:rPr>
              <w:footnoteReference w:id="70"/>
            </w:r>
          </w:p>
        </w:tc>
        <w:tc>
          <w:tcPr>
            <w:tcW w:w="4950" w:type="dxa"/>
          </w:tcPr>
          <w:p w:rsidR="00EF3143" w:rsidRDefault="00EF3143" w:rsidP="00861C74">
            <w:pPr>
              <w:pStyle w:val="1definition"/>
              <w:rPr>
                <w:color w:val="202020"/>
              </w:rPr>
            </w:pPr>
          </w:p>
        </w:tc>
      </w:tr>
      <w:tr w:rsidR="00790ADE" w:rsidTr="00563607">
        <w:tc>
          <w:tcPr>
            <w:tcW w:w="4410" w:type="dxa"/>
          </w:tcPr>
          <w:p w:rsidR="00790ADE" w:rsidRDefault="00545A15" w:rsidP="00F47663">
            <w:pPr>
              <w:pStyle w:val="1definition"/>
              <w:spacing w:line="240" w:lineRule="auto"/>
              <w:jc w:val="left"/>
              <w:rPr>
                <w:color w:val="202020"/>
              </w:rPr>
            </w:pPr>
            <w:r>
              <w:t>$</w:t>
            </w:r>
            <w:r w:rsidR="00EF3143">
              <w:t>59,290,595 of the O&amp;M expense consisted of fixed (demand) purchase</w:t>
            </w:r>
            <w:r w:rsidR="006E6522">
              <w:t>d</w:t>
            </w:r>
            <w:r w:rsidR="00EF3143">
              <w:t xml:space="preserve"> power costs.</w:t>
            </w:r>
            <w:r w:rsidR="00EF3143">
              <w:rPr>
                <w:rStyle w:val="FootnoteReference"/>
              </w:rPr>
              <w:footnoteReference w:id="71"/>
            </w:r>
          </w:p>
        </w:tc>
        <w:tc>
          <w:tcPr>
            <w:tcW w:w="4950" w:type="dxa"/>
          </w:tcPr>
          <w:p w:rsidR="00790ADE" w:rsidRDefault="00790ADE" w:rsidP="00EF3143">
            <w:pPr>
              <w:jc w:val="both"/>
              <w:rPr>
                <w:color w:val="202020"/>
              </w:rPr>
            </w:pPr>
          </w:p>
        </w:tc>
      </w:tr>
      <w:tr w:rsidR="00EF3143" w:rsidRPr="00EF3143" w:rsidTr="00563607">
        <w:tc>
          <w:tcPr>
            <w:tcW w:w="4410" w:type="dxa"/>
          </w:tcPr>
          <w:p w:rsidR="00EF3143" w:rsidRPr="00490794" w:rsidRDefault="00EF3143" w:rsidP="00F47663">
            <w:pPr>
              <w:pStyle w:val="1definition"/>
              <w:spacing w:line="240" w:lineRule="auto"/>
              <w:jc w:val="left"/>
              <w:rPr>
                <w:b/>
                <w:i/>
              </w:rPr>
            </w:pPr>
            <w:r w:rsidRPr="00490794">
              <w:rPr>
                <w:b/>
                <w:i/>
              </w:rPr>
              <w:t>Purchase</w:t>
            </w:r>
            <w:r w:rsidR="006E6522">
              <w:rPr>
                <w:b/>
                <w:i/>
              </w:rPr>
              <w:t>d</w:t>
            </w:r>
            <w:r w:rsidRPr="00490794">
              <w:rPr>
                <w:b/>
                <w:i/>
              </w:rPr>
              <w:t xml:space="preserve"> power cost</w:t>
            </w:r>
            <w:r w:rsidR="001B6A7D">
              <w:rPr>
                <w:b/>
                <w:i/>
              </w:rPr>
              <w:t>s</w:t>
            </w:r>
            <w:r w:rsidRPr="00490794">
              <w:rPr>
                <w:b/>
                <w:i/>
              </w:rPr>
              <w:t xml:space="preserve"> consist</w:t>
            </w:r>
            <w:r w:rsidR="00A46B09">
              <w:rPr>
                <w:b/>
                <w:i/>
              </w:rPr>
              <w:t>ed</w:t>
            </w:r>
            <w:r w:rsidRPr="00490794">
              <w:rPr>
                <w:b/>
                <w:i/>
              </w:rPr>
              <w:t xml:space="preserve"> of $46,149,43</w:t>
            </w:r>
            <w:r w:rsidR="00545A15">
              <w:rPr>
                <w:b/>
                <w:i/>
              </w:rPr>
              <w:t>5</w:t>
            </w:r>
            <w:r w:rsidRPr="00490794">
              <w:rPr>
                <w:b/>
                <w:i/>
              </w:rPr>
              <w:t xml:space="preserve"> for OVEC</w:t>
            </w:r>
            <w:r w:rsidR="00490794">
              <w:t>.</w:t>
            </w:r>
            <w:r w:rsidRPr="00490794">
              <w:rPr>
                <w:rStyle w:val="FootnoteReference"/>
              </w:rPr>
              <w:footnoteReference w:id="72"/>
            </w:r>
          </w:p>
        </w:tc>
        <w:tc>
          <w:tcPr>
            <w:tcW w:w="4950" w:type="dxa"/>
          </w:tcPr>
          <w:p w:rsidR="00EF3143" w:rsidRPr="00490794" w:rsidRDefault="00904E30" w:rsidP="00F47663">
            <w:pPr>
              <w:rPr>
                <w:color w:val="202020"/>
              </w:rPr>
            </w:pPr>
            <w:r>
              <w:rPr>
                <w:rFonts w:ascii="Arial" w:hAnsi="Arial" w:cs="Arial"/>
                <w:b/>
                <w:i/>
                <w:color w:val="000000"/>
              </w:rPr>
              <w:t>FAC</w:t>
            </w:r>
            <w:r w:rsidR="00EF3143" w:rsidRPr="00490794">
              <w:rPr>
                <w:rFonts w:ascii="Arial" w:hAnsi="Arial" w:cs="Arial"/>
                <w:b/>
                <w:i/>
                <w:color w:val="000000"/>
              </w:rPr>
              <w:t xml:space="preserve"> recovered $42,631,815</w:t>
            </w:r>
            <w:r w:rsidR="00490794">
              <w:rPr>
                <w:rFonts w:ascii="Arial" w:hAnsi="Arial" w:cs="Arial"/>
                <w:b/>
                <w:i/>
                <w:color w:val="000000"/>
              </w:rPr>
              <w:t xml:space="preserve"> for OVEC</w:t>
            </w:r>
            <w:r w:rsidR="00EF3143" w:rsidRPr="00490794">
              <w:rPr>
                <w:rFonts w:ascii="Arial" w:hAnsi="Arial" w:cs="Arial"/>
                <w:color w:val="000000"/>
              </w:rPr>
              <w:t>.</w:t>
            </w:r>
            <w:r w:rsidR="00EF3143" w:rsidRPr="00490794">
              <w:rPr>
                <w:rStyle w:val="FootnoteReference"/>
                <w:rFonts w:ascii="Arial" w:hAnsi="Arial" w:cs="Arial"/>
                <w:color w:val="000000"/>
              </w:rPr>
              <w:footnoteReference w:id="73"/>
            </w:r>
            <w:r w:rsidR="00EF3143" w:rsidRPr="00490794">
              <w:rPr>
                <w:rFonts w:ascii="Arial" w:hAnsi="Arial" w:cs="Arial"/>
                <w:color w:val="000000"/>
              </w:rPr>
              <w:t xml:space="preserve"> </w:t>
            </w:r>
            <w:r w:rsidR="00EF3143" w:rsidRPr="00490794">
              <w:rPr>
                <w:rFonts w:ascii="Arial" w:hAnsi="Arial" w:cs="Arial"/>
                <w:b/>
                <w:i/>
                <w:color w:val="000000"/>
              </w:rPr>
              <w:t xml:space="preserve"> </w:t>
            </w:r>
          </w:p>
        </w:tc>
      </w:tr>
    </w:tbl>
    <w:p w:rsidR="00EF283C" w:rsidRDefault="0012119B" w:rsidP="00EF283C">
      <w:pPr>
        <w:pStyle w:val="1definition"/>
        <w:rPr>
          <w:rFonts w:eastAsia="Calibri"/>
          <w:color w:val="202020"/>
        </w:rPr>
      </w:pPr>
      <w:r w:rsidRPr="00805589">
        <w:rPr>
          <w:rFonts w:eastAsia="Calibri"/>
          <w:color w:val="202020"/>
        </w:rPr>
        <w:lastRenderedPageBreak/>
        <w:t>Because AEP-O</w:t>
      </w:r>
      <w:r w:rsidR="00861C74">
        <w:rPr>
          <w:rFonts w:eastAsia="Calibri"/>
          <w:color w:val="202020"/>
        </w:rPr>
        <w:t>hio recovered more than its actual</w:t>
      </w:r>
      <w:r w:rsidRPr="00805589">
        <w:rPr>
          <w:rFonts w:eastAsia="Calibri"/>
          <w:color w:val="202020"/>
        </w:rPr>
        <w:t xml:space="preserve"> cost of non-fuel purchase</w:t>
      </w:r>
      <w:r w:rsidR="0001455A">
        <w:rPr>
          <w:rFonts w:eastAsia="Calibri"/>
          <w:color w:val="202020"/>
        </w:rPr>
        <w:t>d</w:t>
      </w:r>
      <w:r w:rsidRPr="00805589">
        <w:rPr>
          <w:rFonts w:eastAsia="Calibri"/>
          <w:color w:val="202020"/>
        </w:rPr>
        <w:t xml:space="preserve"> p</w:t>
      </w:r>
      <w:r w:rsidR="00861C74">
        <w:rPr>
          <w:rFonts w:eastAsia="Calibri"/>
          <w:color w:val="202020"/>
        </w:rPr>
        <w:t xml:space="preserve">ower through the FAC in 2010 and 2011, IEU-Ohio urges the Commission to correct the </w:t>
      </w:r>
      <w:r w:rsidR="0001455A">
        <w:rPr>
          <w:rFonts w:eastAsia="Calibri"/>
          <w:color w:val="202020"/>
        </w:rPr>
        <w:t>double</w:t>
      </w:r>
      <w:r w:rsidR="00861C74">
        <w:rPr>
          <w:rFonts w:eastAsia="Calibri"/>
          <w:color w:val="202020"/>
        </w:rPr>
        <w:t xml:space="preserve"> recovery as discussed below.</w:t>
      </w:r>
    </w:p>
    <w:p w:rsidR="00AD40D1" w:rsidRDefault="00490794" w:rsidP="00AD40D1">
      <w:pPr>
        <w:pStyle w:val="1definition"/>
        <w:ind w:firstLine="720"/>
      </w:pPr>
      <w:r>
        <w:t>T</w:t>
      </w:r>
      <w:r w:rsidR="00861C74">
        <w:t>he ESP I Order included bill limits</w:t>
      </w:r>
      <w:r>
        <w:t xml:space="preserve">.  Thus, </w:t>
      </w:r>
      <w:r w:rsidR="00861C74">
        <w:t xml:space="preserve">the inclusion of excessive amounts in </w:t>
      </w:r>
      <w:r w:rsidR="0012119B">
        <w:t>OPCo’s</w:t>
      </w:r>
      <w:r w:rsidR="00861C74">
        <w:t xml:space="preserve"> FAC</w:t>
      </w:r>
      <w:r w:rsidR="0012119B">
        <w:t xml:space="preserve"> contributed to the deferred balance that is currently subject to collection through the non-bypassable </w:t>
      </w:r>
      <w:r>
        <w:t>phase-in recovery rider</w:t>
      </w:r>
      <w:r w:rsidR="0044569E">
        <w:t xml:space="preserve"> (“PIRR”)</w:t>
      </w:r>
      <w:r>
        <w:t xml:space="preserve">.  </w:t>
      </w:r>
      <w:r w:rsidR="0012119B">
        <w:t>IEU-Ohio urges the Commission to appl</w:t>
      </w:r>
      <w:r w:rsidR="0001455A">
        <w:t xml:space="preserve">y the double </w:t>
      </w:r>
      <w:r w:rsidR="00D57FB3">
        <w:t>recovered amount ($87</w:t>
      </w:r>
      <w:r w:rsidR="0012119B">
        <w:t xml:space="preserve"> million</w:t>
      </w:r>
      <w:r w:rsidR="00875876">
        <w:rPr>
          <w:rStyle w:val="FootnoteReference"/>
        </w:rPr>
        <w:footnoteReference w:id="74"/>
      </w:r>
      <w:r w:rsidR="00D57FB3">
        <w:t xml:space="preserve">), with carrying charges, </w:t>
      </w:r>
      <w:r w:rsidR="00AD40D1">
        <w:t>as a reduction to</w:t>
      </w:r>
      <w:r w:rsidR="0012119B">
        <w:t xml:space="preserve"> OPCo’s deferred balance.</w:t>
      </w:r>
      <w:r w:rsidR="00861C74">
        <w:t xml:space="preserve">  </w:t>
      </w:r>
      <w:r w:rsidR="00AD40D1">
        <w:t>The Commission previously held that any credit to the deferred balance should include carrying charges on the credit at a WACC</w:t>
      </w:r>
      <w:r w:rsidR="0044569E">
        <w:t xml:space="preserve"> rate</w:t>
      </w:r>
      <w:r w:rsidR="00AD40D1">
        <w:t>, because that rate was in effect when the deferred balance accumulated.</w:t>
      </w:r>
      <w:r w:rsidR="00AD40D1">
        <w:rPr>
          <w:rStyle w:val="FootnoteReference"/>
        </w:rPr>
        <w:footnoteReference w:id="75"/>
      </w:r>
      <w:r w:rsidR="00AD40D1">
        <w:t xml:space="preserve">  </w:t>
      </w:r>
    </w:p>
    <w:p w:rsidR="00434234" w:rsidRPr="0012119B" w:rsidRDefault="0012119B" w:rsidP="0012119B">
      <w:pPr>
        <w:pStyle w:val="ListParagraph"/>
        <w:spacing w:line="480" w:lineRule="auto"/>
        <w:ind w:left="0" w:firstLine="720"/>
        <w:jc w:val="both"/>
        <w:rPr>
          <w:rFonts w:ascii="Arial" w:hAnsi="Arial" w:cs="Arial"/>
        </w:rPr>
      </w:pPr>
      <w:r>
        <w:rPr>
          <w:rFonts w:ascii="Arial" w:hAnsi="Arial" w:cs="Arial"/>
        </w:rPr>
        <w:t xml:space="preserve">CSP no longer has a deferred balance to offset.  </w:t>
      </w:r>
      <w:r w:rsidR="00861C74">
        <w:rPr>
          <w:rFonts w:ascii="Arial" w:hAnsi="Arial" w:cs="Arial"/>
        </w:rPr>
        <w:t xml:space="preserve">Thus, </w:t>
      </w:r>
      <w:r>
        <w:rPr>
          <w:rFonts w:ascii="Arial" w:hAnsi="Arial" w:cs="Arial"/>
        </w:rPr>
        <w:t>IEU-Ohio urges th</w:t>
      </w:r>
      <w:r w:rsidR="0001455A">
        <w:rPr>
          <w:rFonts w:ascii="Arial" w:hAnsi="Arial" w:cs="Arial"/>
        </w:rPr>
        <w:t>e Commission to apply CSP’s</w:t>
      </w:r>
      <w:r w:rsidR="004B3BCB">
        <w:rPr>
          <w:rFonts w:ascii="Arial" w:hAnsi="Arial" w:cs="Arial"/>
        </w:rPr>
        <w:t xml:space="preserve"> $142 million</w:t>
      </w:r>
      <w:r w:rsidR="0001455A">
        <w:rPr>
          <w:rFonts w:ascii="Arial" w:hAnsi="Arial" w:cs="Arial"/>
        </w:rPr>
        <w:t xml:space="preserve"> double</w:t>
      </w:r>
      <w:r>
        <w:rPr>
          <w:rFonts w:ascii="Arial" w:hAnsi="Arial" w:cs="Arial"/>
        </w:rPr>
        <w:t xml:space="preserve"> recove</w:t>
      </w:r>
      <w:r w:rsidR="00875876">
        <w:rPr>
          <w:rFonts w:ascii="Arial" w:hAnsi="Arial" w:cs="Arial"/>
        </w:rPr>
        <w:t>r</w:t>
      </w:r>
      <w:r w:rsidR="006B3757">
        <w:rPr>
          <w:rFonts w:ascii="Arial" w:hAnsi="Arial" w:cs="Arial"/>
        </w:rPr>
        <w:t>y ($26 million for OVEC and $116</w:t>
      </w:r>
      <w:r>
        <w:rPr>
          <w:rFonts w:ascii="Arial" w:hAnsi="Arial" w:cs="Arial"/>
        </w:rPr>
        <w:t xml:space="preserve"> million for Lawrenceburg), with carrying charges, as a reduction to CSP’s fuel costs in the next reconciliation adjustment.</w:t>
      </w:r>
    </w:p>
    <w:p w:rsidR="0070530C" w:rsidRPr="000D6ED1" w:rsidRDefault="00F15098" w:rsidP="000D6ED1">
      <w:pPr>
        <w:pStyle w:val="Heading2"/>
        <w:rPr>
          <w:rFonts w:ascii="Arial" w:eastAsiaTheme="minorHAnsi" w:hAnsi="Arial" w:cs="Arial"/>
        </w:rPr>
      </w:pPr>
      <w:bookmarkStart w:id="10" w:name="_Toc376963232"/>
      <w:r w:rsidRPr="000D6ED1">
        <w:rPr>
          <w:rFonts w:ascii="Arial" w:eastAsiaTheme="minorHAnsi" w:hAnsi="Arial" w:cs="Arial"/>
        </w:rPr>
        <w:t>The Commission should direct AEP-Ohio to reduce the FAC through an adjustment to account for an allocation of demand related purchased power costs to off-system sales or the application of off-system sales margins of OVEC and Lawrenceburg to the FAC</w:t>
      </w:r>
      <w:bookmarkEnd w:id="10"/>
    </w:p>
    <w:p w:rsidR="00774BCD" w:rsidRDefault="007138EF" w:rsidP="00774BCD">
      <w:pPr>
        <w:spacing w:line="480" w:lineRule="auto"/>
        <w:ind w:firstLine="720"/>
        <w:jc w:val="both"/>
        <w:rPr>
          <w:rFonts w:ascii="Arial" w:eastAsiaTheme="minorHAnsi" w:hAnsi="Arial" w:cs="Arial"/>
        </w:rPr>
      </w:pPr>
      <w:r>
        <w:rPr>
          <w:rFonts w:ascii="Arial" w:eastAsiaTheme="minorHAnsi" w:hAnsi="Arial" w:cs="Arial"/>
        </w:rPr>
        <w:t>Even if AEP-Ohio properly included</w:t>
      </w:r>
      <w:r w:rsidR="00F90040">
        <w:rPr>
          <w:rFonts w:ascii="Arial" w:eastAsiaTheme="minorHAnsi" w:hAnsi="Arial" w:cs="Arial"/>
        </w:rPr>
        <w:t xml:space="preserve"> non-fuel purchase</w:t>
      </w:r>
      <w:r w:rsidR="001D261B">
        <w:rPr>
          <w:rFonts w:ascii="Arial" w:eastAsiaTheme="minorHAnsi" w:hAnsi="Arial" w:cs="Arial"/>
        </w:rPr>
        <w:t>d</w:t>
      </w:r>
      <w:r w:rsidR="00F90040">
        <w:rPr>
          <w:rFonts w:ascii="Arial" w:eastAsiaTheme="minorHAnsi" w:hAnsi="Arial" w:cs="Arial"/>
        </w:rPr>
        <w:t xml:space="preserve"> power costs</w:t>
      </w:r>
      <w:r>
        <w:rPr>
          <w:rFonts w:ascii="Arial" w:eastAsiaTheme="minorHAnsi" w:hAnsi="Arial" w:cs="Arial"/>
        </w:rPr>
        <w:t xml:space="preserve"> in the FAC, AEP-Ohio unjustly and unreasonably allocated purchase</w:t>
      </w:r>
      <w:r w:rsidR="001D261B">
        <w:rPr>
          <w:rFonts w:ascii="Arial" w:eastAsiaTheme="minorHAnsi" w:hAnsi="Arial" w:cs="Arial"/>
        </w:rPr>
        <w:t>d</w:t>
      </w:r>
      <w:r>
        <w:rPr>
          <w:rFonts w:ascii="Arial" w:eastAsiaTheme="minorHAnsi" w:hAnsi="Arial" w:cs="Arial"/>
        </w:rPr>
        <w:t xml:space="preserve"> power costs to</w:t>
      </w:r>
      <w:r w:rsidR="001D261B">
        <w:rPr>
          <w:rFonts w:ascii="Arial" w:eastAsiaTheme="minorHAnsi" w:hAnsi="Arial" w:cs="Arial"/>
        </w:rPr>
        <w:t xml:space="preserve"> Ohio retail</w:t>
      </w:r>
      <w:r>
        <w:rPr>
          <w:rFonts w:ascii="Arial" w:eastAsiaTheme="minorHAnsi" w:hAnsi="Arial" w:cs="Arial"/>
        </w:rPr>
        <w:t xml:space="preserve"> </w:t>
      </w:r>
      <w:r>
        <w:rPr>
          <w:rFonts w:ascii="Arial" w:eastAsiaTheme="minorHAnsi" w:hAnsi="Arial" w:cs="Arial"/>
        </w:rPr>
        <w:lastRenderedPageBreak/>
        <w:t xml:space="preserve">customers.  </w:t>
      </w:r>
      <w:r w:rsidR="00F50776" w:rsidRPr="002F50F6">
        <w:rPr>
          <w:rFonts w:ascii="Arial" w:eastAsiaTheme="minorHAnsi" w:hAnsi="Arial" w:cs="Arial"/>
        </w:rPr>
        <w:t xml:space="preserve">The FAC allocates </w:t>
      </w:r>
      <w:r w:rsidR="0070530C">
        <w:rPr>
          <w:rFonts w:ascii="Arial" w:eastAsiaTheme="minorHAnsi" w:hAnsi="Arial" w:cs="Arial"/>
        </w:rPr>
        <w:t xml:space="preserve">variable </w:t>
      </w:r>
      <w:r w:rsidR="00F50776" w:rsidRPr="002F50F6">
        <w:rPr>
          <w:rFonts w:ascii="Arial" w:eastAsiaTheme="minorHAnsi" w:hAnsi="Arial" w:cs="Arial"/>
        </w:rPr>
        <w:t>costs</w:t>
      </w:r>
      <w:r w:rsidR="0070530C">
        <w:rPr>
          <w:rFonts w:ascii="Arial" w:eastAsiaTheme="minorHAnsi" w:hAnsi="Arial" w:cs="Arial"/>
        </w:rPr>
        <w:t xml:space="preserve"> (fuel)</w:t>
      </w:r>
      <w:r w:rsidR="00F50776" w:rsidRPr="002F50F6">
        <w:rPr>
          <w:rFonts w:ascii="Arial" w:eastAsiaTheme="minorHAnsi" w:hAnsi="Arial" w:cs="Arial"/>
        </w:rPr>
        <w:t xml:space="preserve"> between SSO sales and non-SSO sales.</w:t>
      </w:r>
      <w:r w:rsidR="00EA3C07">
        <w:rPr>
          <w:rStyle w:val="FootnoteReference"/>
          <w:rFonts w:ascii="Arial" w:eastAsiaTheme="minorHAnsi" w:hAnsi="Arial" w:cs="Arial"/>
        </w:rPr>
        <w:footnoteReference w:id="76"/>
      </w:r>
      <w:r w:rsidR="0070530C">
        <w:rPr>
          <w:rFonts w:ascii="Arial" w:eastAsiaTheme="minorHAnsi" w:hAnsi="Arial" w:cs="Arial"/>
        </w:rPr>
        <w:t xml:space="preserve">  Thus, if a generating unit is not used for providing service to the SSO, AEP-Ohio does not allocate its fuel costs to the FAC.</w:t>
      </w:r>
      <w:r w:rsidR="00A57DE5">
        <w:rPr>
          <w:rStyle w:val="FootnoteReference"/>
          <w:rFonts w:ascii="Arial" w:eastAsiaTheme="minorHAnsi" w:hAnsi="Arial" w:cs="Arial"/>
        </w:rPr>
        <w:footnoteReference w:id="77"/>
      </w:r>
      <w:r w:rsidR="0070530C">
        <w:rPr>
          <w:rFonts w:ascii="Arial" w:eastAsiaTheme="minorHAnsi" w:hAnsi="Arial" w:cs="Arial"/>
        </w:rPr>
        <w:t xml:space="preserve">  </w:t>
      </w:r>
      <w:r w:rsidR="00F15098">
        <w:rPr>
          <w:rFonts w:ascii="Arial" w:eastAsiaTheme="minorHAnsi" w:hAnsi="Arial" w:cs="Arial"/>
        </w:rPr>
        <w:t>For example, i</w:t>
      </w:r>
      <w:r w:rsidR="00F15098" w:rsidRPr="00774BCD">
        <w:rPr>
          <w:rFonts w:ascii="Arial" w:eastAsiaTheme="minorHAnsi" w:hAnsi="Arial" w:cs="Arial"/>
        </w:rPr>
        <w:t>n 2011, less than half of the OVEC units’ output was allocated to SSO sales.</w:t>
      </w:r>
      <w:r w:rsidR="00C47F92">
        <w:rPr>
          <w:rStyle w:val="FootnoteReference"/>
          <w:rFonts w:ascii="Arial" w:eastAsiaTheme="minorHAnsi" w:hAnsi="Arial" w:cs="Arial"/>
        </w:rPr>
        <w:footnoteReference w:id="78"/>
      </w:r>
      <w:r w:rsidR="00C47F92">
        <w:rPr>
          <w:rFonts w:ascii="Arial" w:eastAsiaTheme="minorHAnsi" w:hAnsi="Arial" w:cs="Arial"/>
        </w:rPr>
        <w:t xml:space="preserve">  </w:t>
      </w:r>
      <w:r w:rsidR="0070530C">
        <w:rPr>
          <w:rFonts w:ascii="Arial" w:eastAsiaTheme="minorHAnsi" w:hAnsi="Arial" w:cs="Arial"/>
        </w:rPr>
        <w:t>AEP-Ohio, however, does not allocate non-fuel purchase</w:t>
      </w:r>
      <w:r w:rsidR="0001455A">
        <w:rPr>
          <w:rFonts w:ascii="Arial" w:eastAsiaTheme="minorHAnsi" w:hAnsi="Arial" w:cs="Arial"/>
        </w:rPr>
        <w:t>d</w:t>
      </w:r>
      <w:r w:rsidR="0070530C">
        <w:rPr>
          <w:rFonts w:ascii="Arial" w:eastAsiaTheme="minorHAnsi" w:hAnsi="Arial" w:cs="Arial"/>
        </w:rPr>
        <w:t xml:space="preserve"> power costs betwe</w:t>
      </w:r>
      <w:r w:rsidR="00774BCD">
        <w:rPr>
          <w:rFonts w:ascii="Arial" w:eastAsiaTheme="minorHAnsi" w:hAnsi="Arial" w:cs="Arial"/>
        </w:rPr>
        <w:t>en SSO and non-SSO sales.</w:t>
      </w:r>
      <w:r w:rsidR="00A57DE5">
        <w:rPr>
          <w:rStyle w:val="FootnoteReference"/>
          <w:rFonts w:ascii="Arial" w:eastAsiaTheme="minorHAnsi" w:hAnsi="Arial" w:cs="Arial"/>
        </w:rPr>
        <w:footnoteReference w:id="79"/>
      </w:r>
      <w:r w:rsidR="00774BCD">
        <w:rPr>
          <w:rFonts w:ascii="Arial" w:eastAsiaTheme="minorHAnsi" w:hAnsi="Arial" w:cs="Arial"/>
        </w:rPr>
        <w:t xml:space="preserve">  Rather,</w:t>
      </w:r>
      <w:r w:rsidR="0070530C">
        <w:rPr>
          <w:rFonts w:ascii="Arial" w:eastAsiaTheme="minorHAnsi" w:hAnsi="Arial" w:cs="Arial"/>
        </w:rPr>
        <w:t xml:space="preserve"> AEP-Ohio </w:t>
      </w:r>
      <w:r w:rsidR="00F50776" w:rsidRPr="002F50F6">
        <w:rPr>
          <w:rFonts w:ascii="Arial" w:eastAsiaTheme="minorHAnsi" w:hAnsi="Arial" w:cs="Arial"/>
        </w:rPr>
        <w:t>allocate</w:t>
      </w:r>
      <w:r w:rsidR="0070530C">
        <w:rPr>
          <w:rFonts w:ascii="Arial" w:eastAsiaTheme="minorHAnsi" w:hAnsi="Arial" w:cs="Arial"/>
        </w:rPr>
        <w:t>s</w:t>
      </w:r>
      <w:r w:rsidR="00774BCD">
        <w:rPr>
          <w:rFonts w:ascii="Arial" w:eastAsiaTheme="minorHAnsi" w:hAnsi="Arial" w:cs="Arial"/>
        </w:rPr>
        <w:t xml:space="preserve"> </w:t>
      </w:r>
      <w:r w:rsidR="00F50776" w:rsidRPr="002F50F6">
        <w:rPr>
          <w:rFonts w:ascii="Arial" w:eastAsiaTheme="minorHAnsi" w:hAnsi="Arial" w:cs="Arial"/>
        </w:rPr>
        <w:t xml:space="preserve">all </w:t>
      </w:r>
      <w:r w:rsidR="00904E30">
        <w:rPr>
          <w:rFonts w:ascii="Arial" w:eastAsiaTheme="minorHAnsi" w:hAnsi="Arial" w:cs="Arial"/>
        </w:rPr>
        <w:t>of</w:t>
      </w:r>
      <w:r w:rsidR="0070530C">
        <w:rPr>
          <w:rFonts w:ascii="Arial" w:eastAsiaTheme="minorHAnsi" w:hAnsi="Arial" w:cs="Arial"/>
        </w:rPr>
        <w:t xml:space="preserve"> the </w:t>
      </w:r>
      <w:r w:rsidR="00904E30">
        <w:rPr>
          <w:rFonts w:ascii="Arial" w:eastAsiaTheme="minorHAnsi" w:hAnsi="Arial" w:cs="Arial"/>
        </w:rPr>
        <w:t xml:space="preserve">demand costs related to </w:t>
      </w:r>
      <w:r w:rsidR="000533B1">
        <w:rPr>
          <w:rFonts w:ascii="Arial" w:eastAsiaTheme="minorHAnsi" w:hAnsi="Arial" w:cs="Arial"/>
        </w:rPr>
        <w:t xml:space="preserve">the </w:t>
      </w:r>
      <w:r w:rsidR="0070530C">
        <w:rPr>
          <w:rFonts w:ascii="Arial" w:eastAsiaTheme="minorHAnsi" w:hAnsi="Arial" w:cs="Arial"/>
        </w:rPr>
        <w:t>Lawren</w:t>
      </w:r>
      <w:r w:rsidR="00491CE7">
        <w:rPr>
          <w:rFonts w:ascii="Arial" w:eastAsiaTheme="minorHAnsi" w:hAnsi="Arial" w:cs="Arial"/>
        </w:rPr>
        <w:t>c</w:t>
      </w:r>
      <w:r w:rsidR="0070530C">
        <w:rPr>
          <w:rFonts w:ascii="Arial" w:eastAsiaTheme="minorHAnsi" w:hAnsi="Arial" w:cs="Arial"/>
        </w:rPr>
        <w:t>eburg and OVEC units</w:t>
      </w:r>
      <w:r w:rsidR="00904E30">
        <w:rPr>
          <w:rFonts w:ascii="Arial" w:eastAsiaTheme="minorHAnsi" w:hAnsi="Arial" w:cs="Arial"/>
        </w:rPr>
        <w:t xml:space="preserve"> to </w:t>
      </w:r>
      <w:r w:rsidR="00090459">
        <w:rPr>
          <w:rFonts w:ascii="Arial" w:eastAsiaTheme="minorHAnsi" w:hAnsi="Arial" w:cs="Arial"/>
        </w:rPr>
        <w:t xml:space="preserve">the </w:t>
      </w:r>
      <w:r w:rsidR="00904E30">
        <w:rPr>
          <w:rFonts w:ascii="Arial" w:eastAsiaTheme="minorHAnsi" w:hAnsi="Arial" w:cs="Arial"/>
        </w:rPr>
        <w:t>FAC</w:t>
      </w:r>
      <w:r w:rsidR="00F50776" w:rsidRPr="002F50F6">
        <w:rPr>
          <w:rFonts w:ascii="Arial" w:eastAsiaTheme="minorHAnsi" w:hAnsi="Arial" w:cs="Arial"/>
        </w:rPr>
        <w:t xml:space="preserve"> while using a significant portion of their output to make off</w:t>
      </w:r>
      <w:r w:rsidR="002756BB">
        <w:rPr>
          <w:rFonts w:ascii="Arial" w:eastAsiaTheme="minorHAnsi" w:hAnsi="Arial" w:cs="Arial"/>
        </w:rPr>
        <w:t>-</w:t>
      </w:r>
      <w:r w:rsidR="00F50776" w:rsidRPr="002F50F6">
        <w:rPr>
          <w:rFonts w:ascii="Arial" w:eastAsiaTheme="minorHAnsi" w:hAnsi="Arial" w:cs="Arial"/>
        </w:rPr>
        <w:t>system sales.  AEP-Ohio</w:t>
      </w:r>
      <w:r w:rsidR="00774BCD">
        <w:rPr>
          <w:rFonts w:ascii="Arial" w:eastAsiaTheme="minorHAnsi" w:hAnsi="Arial" w:cs="Arial"/>
        </w:rPr>
        <w:t xml:space="preserve"> customers fully compensate AEP-Ohio for </w:t>
      </w:r>
      <w:r w:rsidR="0041785B">
        <w:rPr>
          <w:rFonts w:ascii="Arial" w:eastAsiaTheme="minorHAnsi" w:hAnsi="Arial" w:cs="Arial"/>
        </w:rPr>
        <w:t xml:space="preserve">the demand </w:t>
      </w:r>
      <w:r w:rsidR="00F50776" w:rsidRPr="002F50F6">
        <w:rPr>
          <w:rFonts w:ascii="Arial" w:eastAsiaTheme="minorHAnsi" w:hAnsi="Arial" w:cs="Arial"/>
        </w:rPr>
        <w:t>c</w:t>
      </w:r>
      <w:r w:rsidR="00774BCD">
        <w:rPr>
          <w:rFonts w:ascii="Arial" w:eastAsiaTheme="minorHAnsi" w:hAnsi="Arial" w:cs="Arial"/>
        </w:rPr>
        <w:t>ost of these units</w:t>
      </w:r>
      <w:r w:rsidR="00017616">
        <w:rPr>
          <w:rFonts w:ascii="Arial" w:eastAsiaTheme="minorHAnsi" w:hAnsi="Arial" w:cs="Arial"/>
        </w:rPr>
        <w:t xml:space="preserve"> through FAC charges</w:t>
      </w:r>
      <w:r w:rsidR="001D261B">
        <w:rPr>
          <w:rFonts w:ascii="Arial" w:eastAsiaTheme="minorHAnsi" w:hAnsi="Arial" w:cs="Arial"/>
        </w:rPr>
        <w:t>—as stated above, it appears that AEP-Ohio is receiving compensation for these costs twice</w:t>
      </w:r>
      <w:r w:rsidR="00774BCD">
        <w:rPr>
          <w:rFonts w:ascii="Arial" w:eastAsiaTheme="minorHAnsi" w:hAnsi="Arial" w:cs="Arial"/>
        </w:rPr>
        <w:t xml:space="preserve">.  </w:t>
      </w:r>
      <w:r w:rsidR="001D261B">
        <w:rPr>
          <w:rFonts w:ascii="Arial" w:eastAsiaTheme="minorHAnsi" w:hAnsi="Arial" w:cs="Arial"/>
        </w:rPr>
        <w:t>And, a</w:t>
      </w:r>
      <w:r w:rsidR="00F50776" w:rsidRPr="002F50F6">
        <w:rPr>
          <w:rFonts w:ascii="Arial" w:eastAsiaTheme="minorHAnsi" w:hAnsi="Arial" w:cs="Arial"/>
        </w:rPr>
        <w:t>ny margin on off</w:t>
      </w:r>
      <w:r w:rsidR="002756BB">
        <w:rPr>
          <w:rFonts w:ascii="Arial" w:eastAsiaTheme="minorHAnsi" w:hAnsi="Arial" w:cs="Arial"/>
        </w:rPr>
        <w:t>-</w:t>
      </w:r>
      <w:r w:rsidR="00F50776" w:rsidRPr="002F50F6">
        <w:rPr>
          <w:rFonts w:ascii="Arial" w:eastAsiaTheme="minorHAnsi" w:hAnsi="Arial" w:cs="Arial"/>
        </w:rPr>
        <w:t>system sales flows directly to the bottom line of AEP-Ohio’s shareholder.</w:t>
      </w:r>
      <w:r w:rsidR="00017616">
        <w:rPr>
          <w:rStyle w:val="FootnoteReference"/>
          <w:rFonts w:ascii="Arial" w:eastAsiaTheme="minorHAnsi" w:hAnsi="Arial" w:cs="Arial"/>
        </w:rPr>
        <w:footnoteReference w:id="80"/>
      </w:r>
      <w:r w:rsidR="00356F37" w:rsidRPr="002F50F6">
        <w:rPr>
          <w:rFonts w:ascii="Arial" w:eastAsiaTheme="minorHAnsi" w:hAnsi="Arial" w:cs="Arial"/>
        </w:rPr>
        <w:t xml:space="preserve">  </w:t>
      </w:r>
      <w:r w:rsidR="00774BCD">
        <w:rPr>
          <w:rFonts w:ascii="Arial" w:eastAsiaTheme="minorHAnsi" w:hAnsi="Arial" w:cs="Arial"/>
        </w:rPr>
        <w:t>With respect to OVEC, AEP-Ohio has claimed in its ESP III Application</w:t>
      </w:r>
      <w:r w:rsidR="00904E30">
        <w:rPr>
          <w:rFonts w:ascii="Arial" w:eastAsiaTheme="minorHAnsi" w:hAnsi="Arial" w:cs="Arial"/>
        </w:rPr>
        <w:t xml:space="preserve"> </w:t>
      </w:r>
      <w:r w:rsidR="00356F37" w:rsidRPr="002F50F6">
        <w:rPr>
          <w:rFonts w:ascii="Arial" w:eastAsiaTheme="minorHAnsi" w:hAnsi="Arial" w:cs="Arial"/>
        </w:rPr>
        <w:t>that the marg</w:t>
      </w:r>
      <w:r w:rsidR="00774BCD">
        <w:rPr>
          <w:rFonts w:ascii="Arial" w:eastAsiaTheme="minorHAnsi" w:hAnsi="Arial" w:cs="Arial"/>
        </w:rPr>
        <w:t>in on those sales is significant, and, together with its m</w:t>
      </w:r>
      <w:r w:rsidR="00017616">
        <w:rPr>
          <w:rFonts w:ascii="Arial" w:eastAsiaTheme="minorHAnsi" w:hAnsi="Arial" w:cs="Arial"/>
        </w:rPr>
        <w:t>arket-based capacity revenue, may be</w:t>
      </w:r>
      <w:r w:rsidR="00774BCD">
        <w:rPr>
          <w:rFonts w:ascii="Arial" w:eastAsiaTheme="minorHAnsi" w:hAnsi="Arial" w:cs="Arial"/>
        </w:rPr>
        <w:t xml:space="preserve"> sufficient to cover the entire fixed cost of the OVEC units</w:t>
      </w:r>
      <w:r w:rsidR="00356F37" w:rsidRPr="002F50F6">
        <w:rPr>
          <w:rFonts w:ascii="Arial" w:eastAsiaTheme="minorHAnsi" w:hAnsi="Arial" w:cs="Arial"/>
        </w:rPr>
        <w:t>.</w:t>
      </w:r>
      <w:r w:rsidR="001D261B">
        <w:rPr>
          <w:rStyle w:val="FootnoteReference"/>
          <w:rFonts w:ascii="Arial" w:eastAsiaTheme="minorHAnsi" w:hAnsi="Arial" w:cs="Arial"/>
        </w:rPr>
        <w:footnoteReference w:id="81"/>
      </w:r>
      <w:r w:rsidR="00356F37" w:rsidRPr="002F50F6">
        <w:rPr>
          <w:rFonts w:ascii="Arial" w:eastAsiaTheme="minorHAnsi" w:hAnsi="Arial" w:cs="Arial"/>
        </w:rPr>
        <w:t xml:space="preserve"> </w:t>
      </w:r>
    </w:p>
    <w:p w:rsidR="00774BCD" w:rsidRDefault="00017616" w:rsidP="00774BCD">
      <w:pPr>
        <w:spacing w:line="480" w:lineRule="auto"/>
        <w:ind w:firstLine="720"/>
        <w:jc w:val="both"/>
        <w:rPr>
          <w:rFonts w:ascii="Arial" w:eastAsiaTheme="minorHAnsi" w:hAnsi="Arial" w:cs="Arial"/>
        </w:rPr>
      </w:pPr>
      <w:r>
        <w:rPr>
          <w:rFonts w:ascii="Arial" w:eastAsiaTheme="minorHAnsi" w:hAnsi="Arial" w:cs="Arial"/>
        </w:rPr>
        <w:t>Assuming that the Commission does not completely disallow recovery of these demand charges in the FAC,</w:t>
      </w:r>
      <w:r w:rsidR="00774BCD">
        <w:rPr>
          <w:rFonts w:ascii="Arial" w:eastAsiaTheme="minorHAnsi" w:hAnsi="Arial" w:cs="Arial"/>
        </w:rPr>
        <w:t xml:space="preserve"> IEU-Ohio recommends that the Commission require AEP-Ohio to allocate the Lawrenceburg and OVEC demand charges between SSO and non-SSO sales in the same manner as fuel costs.  It is</w:t>
      </w:r>
      <w:r w:rsidR="00256A88">
        <w:rPr>
          <w:rFonts w:ascii="Arial" w:eastAsiaTheme="minorHAnsi" w:hAnsi="Arial" w:cs="Arial"/>
        </w:rPr>
        <w:t xml:space="preserve"> un</w:t>
      </w:r>
      <w:r w:rsidR="00774BCD">
        <w:rPr>
          <w:rFonts w:ascii="Arial" w:eastAsiaTheme="minorHAnsi" w:hAnsi="Arial" w:cs="Arial"/>
        </w:rPr>
        <w:t xml:space="preserve">just and unreasonable for SSO </w:t>
      </w:r>
      <w:r w:rsidR="00774BCD">
        <w:rPr>
          <w:rFonts w:ascii="Arial" w:eastAsiaTheme="minorHAnsi" w:hAnsi="Arial" w:cs="Arial"/>
        </w:rPr>
        <w:lastRenderedPageBreak/>
        <w:t xml:space="preserve">customers to fully </w:t>
      </w:r>
      <w:r w:rsidR="00256A88">
        <w:rPr>
          <w:rFonts w:ascii="Arial" w:eastAsiaTheme="minorHAnsi" w:hAnsi="Arial" w:cs="Arial"/>
        </w:rPr>
        <w:t>compensate AEP-Ohio for the</w:t>
      </w:r>
      <w:r w:rsidR="00774BCD">
        <w:rPr>
          <w:rFonts w:ascii="Arial" w:eastAsiaTheme="minorHAnsi" w:hAnsi="Arial" w:cs="Arial"/>
        </w:rPr>
        <w:t xml:space="preserve"> fixed costs of the Lawrenceburg and OVEC units while a large portion of their output is used to make off</w:t>
      </w:r>
      <w:r w:rsidR="002756BB">
        <w:rPr>
          <w:rFonts w:ascii="Arial" w:eastAsiaTheme="minorHAnsi" w:hAnsi="Arial" w:cs="Arial"/>
        </w:rPr>
        <w:t>-</w:t>
      </w:r>
      <w:r w:rsidR="00774BCD">
        <w:rPr>
          <w:rFonts w:ascii="Arial" w:eastAsiaTheme="minorHAnsi" w:hAnsi="Arial" w:cs="Arial"/>
        </w:rPr>
        <w:t xml:space="preserve">system sales.  </w:t>
      </w:r>
    </w:p>
    <w:p w:rsidR="00F50776" w:rsidRPr="00F50776" w:rsidRDefault="00774BCD" w:rsidP="00774BCD">
      <w:pPr>
        <w:spacing w:line="480" w:lineRule="auto"/>
        <w:ind w:firstLine="720"/>
        <w:jc w:val="both"/>
        <w:rPr>
          <w:rFonts w:ascii="Arial" w:eastAsiaTheme="minorHAnsi" w:hAnsi="Arial" w:cs="Arial"/>
        </w:rPr>
      </w:pPr>
      <w:r>
        <w:rPr>
          <w:rFonts w:ascii="Arial" w:eastAsiaTheme="minorHAnsi" w:hAnsi="Arial" w:cs="Arial"/>
        </w:rPr>
        <w:t>In the alternative, the Commission should require AEP-Ohio to offset the demand charges in the FAC for the off</w:t>
      </w:r>
      <w:r w:rsidR="002756BB">
        <w:rPr>
          <w:rFonts w:ascii="Arial" w:eastAsiaTheme="minorHAnsi" w:hAnsi="Arial" w:cs="Arial"/>
        </w:rPr>
        <w:t>-</w:t>
      </w:r>
      <w:r>
        <w:rPr>
          <w:rFonts w:ascii="Arial" w:eastAsiaTheme="minorHAnsi" w:hAnsi="Arial" w:cs="Arial"/>
        </w:rPr>
        <w:t>system sales margins of the OVEC and Lawrenceburg generating units.</w:t>
      </w:r>
      <w:r w:rsidR="00337700">
        <w:rPr>
          <w:rFonts w:ascii="Arial" w:eastAsiaTheme="minorHAnsi" w:hAnsi="Arial" w:cs="Arial"/>
        </w:rPr>
        <w:t xml:space="preserve">  </w:t>
      </w:r>
      <w:r w:rsidR="006B3757">
        <w:rPr>
          <w:rFonts w:ascii="Arial" w:eastAsiaTheme="minorHAnsi" w:hAnsi="Arial" w:cs="Arial"/>
        </w:rPr>
        <w:t xml:space="preserve">The </w:t>
      </w:r>
      <w:r>
        <w:rPr>
          <w:rFonts w:ascii="Arial" w:eastAsiaTheme="minorHAnsi" w:hAnsi="Arial" w:cs="Arial"/>
        </w:rPr>
        <w:t>Commission’s r</w:t>
      </w:r>
      <w:r w:rsidR="00F50776" w:rsidRPr="00F50776">
        <w:rPr>
          <w:rFonts w:ascii="Arial" w:eastAsiaTheme="minorHAnsi" w:hAnsi="Arial" w:cs="Arial"/>
        </w:rPr>
        <w:t>ules regarding applications to esta</w:t>
      </w:r>
      <w:r w:rsidR="00337700">
        <w:rPr>
          <w:rFonts w:ascii="Arial" w:eastAsiaTheme="minorHAnsi" w:hAnsi="Arial" w:cs="Arial"/>
        </w:rPr>
        <w:t>blish an FAC</w:t>
      </w:r>
      <w:r w:rsidR="00256A88">
        <w:rPr>
          <w:rFonts w:ascii="Arial" w:eastAsiaTheme="minorHAnsi" w:hAnsi="Arial" w:cs="Arial"/>
        </w:rPr>
        <w:t xml:space="preserve"> require</w:t>
      </w:r>
      <w:r w:rsidR="00337700">
        <w:rPr>
          <w:rFonts w:ascii="Arial" w:eastAsiaTheme="minorHAnsi" w:hAnsi="Arial" w:cs="Arial"/>
        </w:rPr>
        <w:t xml:space="preserve"> AEP-Ohio to offset costs c</w:t>
      </w:r>
      <w:r w:rsidR="00256A88">
        <w:rPr>
          <w:rFonts w:ascii="Arial" w:eastAsiaTheme="minorHAnsi" w:hAnsi="Arial" w:cs="Arial"/>
        </w:rPr>
        <w:t>ollected through the FAC to be net of related</w:t>
      </w:r>
      <w:r w:rsidR="00F50776" w:rsidRPr="00F50776">
        <w:rPr>
          <w:rFonts w:ascii="Arial" w:eastAsiaTheme="minorHAnsi" w:hAnsi="Arial" w:cs="Arial"/>
        </w:rPr>
        <w:t xml:space="preserve"> benefits:</w:t>
      </w:r>
    </w:p>
    <w:p w:rsidR="00F50776" w:rsidRDefault="00F50776" w:rsidP="00997E8B">
      <w:pPr>
        <w:ind w:left="720" w:right="720"/>
        <w:jc w:val="both"/>
        <w:rPr>
          <w:rFonts w:ascii="Arial" w:eastAsiaTheme="minorHAnsi" w:hAnsi="Arial" w:cs="Arial"/>
          <w:i/>
        </w:rPr>
      </w:pPr>
      <w:r w:rsidRPr="00F50776">
        <w:rPr>
          <w:rFonts w:ascii="Arial" w:eastAsiaTheme="minorHAnsi" w:hAnsi="Arial" w:cs="Arial"/>
          <w:i/>
        </w:rPr>
        <w:t xml:space="preserve">The electric utility shall include in the application any benefits available to the electric utility as a result of or in connection with such costs including but not limited to </w:t>
      </w:r>
      <w:r w:rsidRPr="00F50776">
        <w:rPr>
          <w:rFonts w:ascii="Arial" w:eastAsiaTheme="minorHAnsi" w:hAnsi="Arial" w:cs="Arial"/>
        </w:rPr>
        <w:t>profits from emission allowance sales and</w:t>
      </w:r>
      <w:r w:rsidRPr="00F50776">
        <w:rPr>
          <w:rFonts w:ascii="Arial" w:eastAsiaTheme="minorHAnsi" w:hAnsi="Arial" w:cs="Arial"/>
          <w:i/>
        </w:rPr>
        <w:t xml:space="preserve"> profits from resold coal contracts.</w:t>
      </w:r>
      <w:r w:rsidRPr="002F50F6">
        <w:rPr>
          <w:rFonts w:ascii="Arial" w:eastAsiaTheme="minorHAnsi" w:hAnsi="Arial" w:cs="Arial"/>
          <w:i/>
          <w:vertAlign w:val="superscript"/>
        </w:rPr>
        <w:footnoteReference w:id="82"/>
      </w:r>
    </w:p>
    <w:p w:rsidR="00774BCD" w:rsidRDefault="00774BCD" w:rsidP="00045292">
      <w:pPr>
        <w:ind w:right="720"/>
        <w:rPr>
          <w:rFonts w:ascii="Arial" w:eastAsiaTheme="minorHAnsi" w:hAnsi="Arial" w:cs="Arial"/>
        </w:rPr>
      </w:pPr>
    </w:p>
    <w:p w:rsidR="00256A88" w:rsidRPr="00491CE7" w:rsidRDefault="00256A88" w:rsidP="00491CE7">
      <w:pPr>
        <w:pStyle w:val="ListParagraph"/>
        <w:spacing w:line="480" w:lineRule="auto"/>
        <w:ind w:left="0"/>
        <w:jc w:val="both"/>
        <w:rPr>
          <w:rFonts w:ascii="Arial" w:eastAsiaTheme="minorHAnsi" w:hAnsi="Arial" w:cs="Arial"/>
          <w:b/>
          <w:szCs w:val="20"/>
        </w:rPr>
      </w:pPr>
      <w:r>
        <w:rPr>
          <w:rFonts w:ascii="Arial" w:eastAsiaTheme="minorHAnsi" w:hAnsi="Arial" w:cs="Arial"/>
        </w:rPr>
        <w:t xml:space="preserve">The Commission applied this legal principle in </w:t>
      </w:r>
      <w:r w:rsidR="00491CE7">
        <w:rPr>
          <w:rFonts w:ascii="Arial" w:eastAsiaTheme="minorHAnsi" w:hAnsi="Arial" w:cs="Arial"/>
        </w:rPr>
        <w:t xml:space="preserve">the 2009 FAC Order </w:t>
      </w:r>
      <w:r>
        <w:rPr>
          <w:rFonts w:ascii="Arial" w:eastAsiaTheme="minorHAnsi" w:hAnsi="Arial" w:cs="Arial"/>
        </w:rPr>
        <w:t>and required AEP-Ohio to offset fuel costs for related benefits.</w:t>
      </w:r>
      <w:r w:rsidRPr="00256A88">
        <w:rPr>
          <w:rFonts w:ascii="Arial" w:eastAsiaTheme="minorHAnsi" w:hAnsi="Arial" w:cs="Arial"/>
          <w:szCs w:val="20"/>
        </w:rPr>
        <w:t xml:space="preserve"> </w:t>
      </w:r>
      <w:r>
        <w:rPr>
          <w:rFonts w:ascii="Arial" w:eastAsiaTheme="minorHAnsi" w:hAnsi="Arial" w:cs="Arial"/>
          <w:szCs w:val="20"/>
        </w:rPr>
        <w:t xml:space="preserve"> </w:t>
      </w:r>
      <w:r w:rsidR="00ED48E1">
        <w:rPr>
          <w:rFonts w:ascii="Arial" w:eastAsiaTheme="minorHAnsi" w:hAnsi="Arial" w:cs="Arial"/>
          <w:szCs w:val="20"/>
        </w:rPr>
        <w:t>T</w:t>
      </w:r>
      <w:r w:rsidRPr="00256A88">
        <w:rPr>
          <w:rFonts w:ascii="Arial" w:eastAsiaTheme="minorHAnsi" w:hAnsi="Arial" w:cs="Arial"/>
          <w:szCs w:val="20"/>
        </w:rPr>
        <w:t>he Commission held that “to determine the real economic cost of coal during the audit period, the Commission must consider both the revenues and the benefits received by the Companies pursuant to the Settlement Agreement and not rely solely on the price paid for coal during 2009.”</w:t>
      </w:r>
      <w:r w:rsidRPr="00256A88">
        <w:rPr>
          <w:rFonts w:ascii="Arial" w:eastAsiaTheme="minorHAnsi" w:hAnsi="Arial" w:cs="Arial"/>
          <w:szCs w:val="20"/>
          <w:vertAlign w:val="superscript"/>
        </w:rPr>
        <w:footnoteReference w:id="83"/>
      </w:r>
      <w:r w:rsidR="00ED48E1">
        <w:rPr>
          <w:rFonts w:ascii="Arial" w:eastAsiaTheme="minorHAnsi" w:hAnsi="Arial" w:cs="Arial"/>
          <w:szCs w:val="20"/>
        </w:rPr>
        <w:t xml:space="preserve">  Accordingly, AEP-Ohio’s real eco</w:t>
      </w:r>
      <w:r w:rsidR="00337700">
        <w:rPr>
          <w:rFonts w:ascii="Arial" w:eastAsiaTheme="minorHAnsi" w:hAnsi="Arial" w:cs="Arial"/>
          <w:szCs w:val="20"/>
        </w:rPr>
        <w:t>nomic cost of purchase</w:t>
      </w:r>
      <w:r w:rsidR="00545A15">
        <w:rPr>
          <w:rFonts w:ascii="Arial" w:eastAsiaTheme="minorHAnsi" w:hAnsi="Arial" w:cs="Arial"/>
          <w:szCs w:val="20"/>
        </w:rPr>
        <w:t>d</w:t>
      </w:r>
      <w:r w:rsidR="00337700">
        <w:rPr>
          <w:rFonts w:ascii="Arial" w:eastAsiaTheme="minorHAnsi" w:hAnsi="Arial" w:cs="Arial"/>
          <w:szCs w:val="20"/>
        </w:rPr>
        <w:t xml:space="preserve"> power is</w:t>
      </w:r>
      <w:r w:rsidR="00ED48E1">
        <w:rPr>
          <w:rFonts w:ascii="Arial" w:eastAsiaTheme="minorHAnsi" w:hAnsi="Arial" w:cs="Arial"/>
          <w:szCs w:val="20"/>
        </w:rPr>
        <w:t xml:space="preserve"> the costs associated with OVEC and Lawrenceburg net of all the revenue that AEP-Ohio received</w:t>
      </w:r>
      <w:r w:rsidR="00160688">
        <w:rPr>
          <w:rFonts w:ascii="Arial" w:eastAsiaTheme="minorHAnsi" w:hAnsi="Arial" w:cs="Arial"/>
          <w:szCs w:val="20"/>
        </w:rPr>
        <w:t xml:space="preserve"> for</w:t>
      </w:r>
      <w:r w:rsidR="00282701">
        <w:rPr>
          <w:rFonts w:ascii="Arial" w:eastAsiaTheme="minorHAnsi" w:hAnsi="Arial" w:cs="Arial"/>
          <w:szCs w:val="20"/>
        </w:rPr>
        <w:t xml:space="preserve"> </w:t>
      </w:r>
      <w:r w:rsidR="00160688">
        <w:rPr>
          <w:rFonts w:ascii="Arial" w:eastAsiaTheme="minorHAnsi" w:hAnsi="Arial" w:cs="Arial"/>
          <w:szCs w:val="20"/>
        </w:rPr>
        <w:t>OVEC and Lawrenceburg</w:t>
      </w:r>
      <w:r w:rsidR="00337700">
        <w:rPr>
          <w:rFonts w:ascii="Arial" w:eastAsiaTheme="minorHAnsi" w:hAnsi="Arial" w:cs="Arial"/>
          <w:szCs w:val="20"/>
        </w:rPr>
        <w:t xml:space="preserve">.  </w:t>
      </w:r>
    </w:p>
    <w:p w:rsidR="00941960" w:rsidRDefault="00337700" w:rsidP="00337700">
      <w:pPr>
        <w:spacing w:line="480" w:lineRule="auto"/>
        <w:ind w:firstLine="720"/>
        <w:jc w:val="both"/>
        <w:rPr>
          <w:rFonts w:ascii="Arial" w:eastAsiaTheme="minorHAnsi" w:hAnsi="Arial" w:cs="Arial"/>
        </w:rPr>
      </w:pPr>
      <w:r>
        <w:rPr>
          <w:rFonts w:ascii="Arial" w:eastAsiaTheme="minorHAnsi" w:hAnsi="Arial" w:cs="Arial"/>
        </w:rPr>
        <w:t>T</w:t>
      </w:r>
      <w:r w:rsidR="00F90040">
        <w:rPr>
          <w:rFonts w:ascii="Arial" w:eastAsiaTheme="minorHAnsi" w:hAnsi="Arial" w:cs="Arial"/>
        </w:rPr>
        <w:t>he</w:t>
      </w:r>
      <w:r w:rsidR="00045292">
        <w:rPr>
          <w:rFonts w:ascii="Arial" w:eastAsiaTheme="minorHAnsi" w:hAnsi="Arial" w:cs="Arial"/>
        </w:rPr>
        <w:t xml:space="preserve"> ESP I Order</w:t>
      </w:r>
      <w:r>
        <w:rPr>
          <w:rFonts w:ascii="Arial" w:eastAsiaTheme="minorHAnsi" w:hAnsi="Arial" w:cs="Arial"/>
        </w:rPr>
        <w:t xml:space="preserve"> does not permit AEP-Ohio to retain the off</w:t>
      </w:r>
      <w:r w:rsidR="00152A55">
        <w:rPr>
          <w:rFonts w:ascii="Arial" w:eastAsiaTheme="minorHAnsi" w:hAnsi="Arial" w:cs="Arial"/>
        </w:rPr>
        <w:t>-</w:t>
      </w:r>
      <w:r>
        <w:rPr>
          <w:rFonts w:ascii="Arial" w:eastAsiaTheme="minorHAnsi" w:hAnsi="Arial" w:cs="Arial"/>
        </w:rPr>
        <w:t>system sales margins from OVEC and Lawrenceburg.  Although the ESP I Order</w:t>
      </w:r>
      <w:r w:rsidR="00045292">
        <w:rPr>
          <w:rFonts w:ascii="Arial" w:eastAsiaTheme="minorHAnsi" w:hAnsi="Arial" w:cs="Arial"/>
        </w:rPr>
        <w:t xml:space="preserve"> permits</w:t>
      </w:r>
      <w:r w:rsidR="00F90040">
        <w:rPr>
          <w:rFonts w:ascii="Arial" w:eastAsiaTheme="minorHAnsi" w:hAnsi="Arial" w:cs="Arial"/>
        </w:rPr>
        <w:t xml:space="preserve"> AEP-Ohio to retain</w:t>
      </w:r>
      <w:r w:rsidR="00045292">
        <w:rPr>
          <w:rFonts w:ascii="Arial" w:eastAsiaTheme="minorHAnsi" w:hAnsi="Arial" w:cs="Arial"/>
        </w:rPr>
        <w:t xml:space="preserve"> off</w:t>
      </w:r>
      <w:r w:rsidR="00152A55">
        <w:rPr>
          <w:rFonts w:ascii="Arial" w:eastAsiaTheme="minorHAnsi" w:hAnsi="Arial" w:cs="Arial"/>
        </w:rPr>
        <w:t>-</w:t>
      </w:r>
      <w:r w:rsidR="00045292">
        <w:rPr>
          <w:rFonts w:ascii="Arial" w:eastAsiaTheme="minorHAnsi" w:hAnsi="Arial" w:cs="Arial"/>
        </w:rPr>
        <w:t>system sales margins</w:t>
      </w:r>
      <w:r w:rsidR="00F90040">
        <w:rPr>
          <w:rFonts w:ascii="Arial" w:eastAsiaTheme="minorHAnsi" w:hAnsi="Arial" w:cs="Arial"/>
        </w:rPr>
        <w:t xml:space="preserve"> from its generation assets</w:t>
      </w:r>
      <w:r w:rsidR="00045292">
        <w:rPr>
          <w:rFonts w:ascii="Arial" w:eastAsiaTheme="minorHAnsi" w:hAnsi="Arial" w:cs="Arial"/>
        </w:rPr>
        <w:t xml:space="preserve"> for its shareholder</w:t>
      </w:r>
      <w:r w:rsidR="00F90040">
        <w:rPr>
          <w:rFonts w:ascii="Arial" w:eastAsiaTheme="minorHAnsi" w:hAnsi="Arial" w:cs="Arial"/>
        </w:rPr>
        <w:t>,</w:t>
      </w:r>
      <w:r w:rsidRPr="00AE2330">
        <w:rPr>
          <w:rFonts w:ascii="Arial" w:eastAsiaTheme="minorHAnsi" w:hAnsi="Arial" w:cs="Arial"/>
        </w:rPr>
        <w:t xml:space="preserve"> OVEC </w:t>
      </w:r>
      <w:r w:rsidRPr="00AE2330">
        <w:rPr>
          <w:rFonts w:ascii="Arial" w:eastAsiaTheme="minorHAnsi" w:hAnsi="Arial" w:cs="Arial"/>
        </w:rPr>
        <w:lastRenderedPageBreak/>
        <w:t>and Lawrenceburg are not owned generating asset</w:t>
      </w:r>
      <w:r w:rsidR="00C0356C" w:rsidRPr="00AE2330">
        <w:rPr>
          <w:rFonts w:ascii="Arial" w:eastAsiaTheme="minorHAnsi" w:hAnsi="Arial" w:cs="Arial"/>
        </w:rPr>
        <w:t>s</w:t>
      </w:r>
      <w:r w:rsidRPr="00C0356C">
        <w:rPr>
          <w:rFonts w:ascii="Arial" w:eastAsiaTheme="minorHAnsi" w:hAnsi="Arial" w:cs="Arial"/>
        </w:rPr>
        <w:t>.</w:t>
      </w:r>
      <w:r w:rsidR="00AE2330">
        <w:rPr>
          <w:rStyle w:val="FootnoteReference"/>
          <w:rFonts w:ascii="Arial" w:eastAsiaTheme="minorHAnsi" w:hAnsi="Arial" w:cs="Arial"/>
        </w:rPr>
        <w:footnoteReference w:id="84"/>
      </w:r>
      <w:r w:rsidR="00C0356C">
        <w:rPr>
          <w:rFonts w:ascii="Arial" w:eastAsiaTheme="minorHAnsi" w:hAnsi="Arial" w:cs="Arial"/>
        </w:rPr>
        <w:t xml:space="preserve"> </w:t>
      </w:r>
      <w:r w:rsidR="00273DDD">
        <w:rPr>
          <w:rFonts w:ascii="Arial" w:eastAsiaTheme="minorHAnsi" w:hAnsi="Arial" w:cs="Arial"/>
        </w:rPr>
        <w:t xml:space="preserve"> </w:t>
      </w:r>
      <w:r w:rsidR="00ED48E1" w:rsidRPr="00C0356C">
        <w:rPr>
          <w:rFonts w:ascii="Arial" w:eastAsiaTheme="minorHAnsi" w:hAnsi="Arial" w:cs="Arial"/>
        </w:rPr>
        <w:t>Rather,</w:t>
      </w:r>
      <w:r w:rsidR="00017616">
        <w:rPr>
          <w:rFonts w:ascii="Arial" w:eastAsiaTheme="minorHAnsi" w:hAnsi="Arial" w:cs="Arial"/>
        </w:rPr>
        <w:t xml:space="preserve"> and through AEP-Ohio’s FAC accounting,</w:t>
      </w:r>
      <w:r w:rsidR="00ED48E1" w:rsidRPr="00C0356C">
        <w:rPr>
          <w:rFonts w:ascii="Arial" w:eastAsiaTheme="minorHAnsi" w:hAnsi="Arial" w:cs="Arial"/>
        </w:rPr>
        <w:t xml:space="preserve"> OVEC</w:t>
      </w:r>
      <w:r w:rsidR="00017616">
        <w:rPr>
          <w:rFonts w:ascii="Arial" w:eastAsiaTheme="minorHAnsi" w:hAnsi="Arial" w:cs="Arial"/>
        </w:rPr>
        <w:t xml:space="preserve"> and Lawrenceburg give rise to</w:t>
      </w:r>
      <w:r w:rsidR="00ED48E1">
        <w:rPr>
          <w:rFonts w:ascii="Arial" w:eastAsiaTheme="minorHAnsi" w:hAnsi="Arial" w:cs="Arial"/>
        </w:rPr>
        <w:t xml:space="preserve"> purchase</w:t>
      </w:r>
      <w:r w:rsidR="00017616">
        <w:rPr>
          <w:rFonts w:ascii="Arial" w:eastAsiaTheme="minorHAnsi" w:hAnsi="Arial" w:cs="Arial"/>
        </w:rPr>
        <w:t>d</w:t>
      </w:r>
      <w:r w:rsidR="00ED48E1">
        <w:rPr>
          <w:rFonts w:ascii="Arial" w:eastAsiaTheme="minorHAnsi" w:hAnsi="Arial" w:cs="Arial"/>
        </w:rPr>
        <w:t xml:space="preserve"> power </w:t>
      </w:r>
      <w:r w:rsidR="00C0356C">
        <w:rPr>
          <w:rFonts w:ascii="Arial" w:eastAsiaTheme="minorHAnsi" w:hAnsi="Arial" w:cs="Arial"/>
        </w:rPr>
        <w:t>costs</w:t>
      </w:r>
      <w:r w:rsidR="00ED48E1">
        <w:rPr>
          <w:rFonts w:ascii="Arial" w:eastAsiaTheme="minorHAnsi" w:hAnsi="Arial" w:cs="Arial"/>
        </w:rPr>
        <w:t xml:space="preserve"> that are flowed through the FAC</w:t>
      </w:r>
      <w:r w:rsidR="00045292">
        <w:rPr>
          <w:rFonts w:ascii="Arial" w:eastAsiaTheme="minorHAnsi" w:hAnsi="Arial" w:cs="Arial"/>
        </w:rPr>
        <w:t>.</w:t>
      </w:r>
      <w:r w:rsidR="00ED48E1">
        <w:rPr>
          <w:rFonts w:ascii="Arial" w:eastAsiaTheme="minorHAnsi" w:hAnsi="Arial" w:cs="Arial"/>
        </w:rPr>
        <w:t xml:space="preserve"> </w:t>
      </w:r>
      <w:r w:rsidR="00045292">
        <w:rPr>
          <w:rFonts w:ascii="Arial" w:eastAsiaTheme="minorHAnsi" w:hAnsi="Arial" w:cs="Arial"/>
        </w:rPr>
        <w:t xml:space="preserve"> Because the Commission’s rul</w:t>
      </w:r>
      <w:r w:rsidR="00C0356C">
        <w:rPr>
          <w:rFonts w:ascii="Arial" w:eastAsiaTheme="minorHAnsi" w:hAnsi="Arial" w:cs="Arial"/>
        </w:rPr>
        <w:t>es require AEP-Ohio to reduce any costs collected through the FAC for any related benefits</w:t>
      </w:r>
      <w:r w:rsidR="00045292">
        <w:rPr>
          <w:rFonts w:ascii="Arial" w:eastAsiaTheme="minorHAnsi" w:hAnsi="Arial" w:cs="Arial"/>
        </w:rPr>
        <w:t>, AEP-Ohio should be required to offset the demand charges flowed through the FAC for any related off</w:t>
      </w:r>
      <w:r w:rsidR="00152A55">
        <w:rPr>
          <w:rFonts w:ascii="Arial" w:eastAsiaTheme="minorHAnsi" w:hAnsi="Arial" w:cs="Arial"/>
        </w:rPr>
        <w:t>-</w:t>
      </w:r>
      <w:r w:rsidR="00045292">
        <w:rPr>
          <w:rFonts w:ascii="Arial" w:eastAsiaTheme="minorHAnsi" w:hAnsi="Arial" w:cs="Arial"/>
        </w:rPr>
        <w:t xml:space="preserve"> system sales margins.  </w:t>
      </w:r>
    </w:p>
    <w:p w:rsidR="00F50776" w:rsidRDefault="00055DE6" w:rsidP="00337700">
      <w:pPr>
        <w:spacing w:line="480" w:lineRule="auto"/>
        <w:ind w:firstLine="720"/>
        <w:jc w:val="both"/>
        <w:rPr>
          <w:rFonts w:ascii="Arial" w:eastAsiaTheme="minorHAnsi" w:hAnsi="Arial" w:cs="Arial"/>
        </w:rPr>
      </w:pPr>
      <w:r>
        <w:rPr>
          <w:rFonts w:ascii="Arial" w:eastAsiaTheme="minorHAnsi" w:hAnsi="Arial" w:cs="Arial"/>
        </w:rPr>
        <w:t>While IEU-Ohio again urges the Commission to com</w:t>
      </w:r>
      <w:r w:rsidR="00017616">
        <w:rPr>
          <w:rFonts w:ascii="Arial" w:eastAsiaTheme="minorHAnsi" w:hAnsi="Arial" w:cs="Arial"/>
        </w:rPr>
        <w:t>pletely disallow AEP-Ohio’s double</w:t>
      </w:r>
      <w:r>
        <w:rPr>
          <w:rFonts w:ascii="Arial" w:eastAsiaTheme="minorHAnsi" w:hAnsi="Arial" w:cs="Arial"/>
        </w:rPr>
        <w:t xml:space="preserve"> recovery of non-fuel purchase</w:t>
      </w:r>
      <w:r w:rsidR="00017616">
        <w:rPr>
          <w:rFonts w:ascii="Arial" w:eastAsiaTheme="minorHAnsi" w:hAnsi="Arial" w:cs="Arial"/>
        </w:rPr>
        <w:t>d</w:t>
      </w:r>
      <w:r>
        <w:rPr>
          <w:rFonts w:ascii="Arial" w:eastAsiaTheme="minorHAnsi" w:hAnsi="Arial" w:cs="Arial"/>
        </w:rPr>
        <w:t xml:space="preserve"> power costs through the FAC,</w:t>
      </w:r>
      <w:r w:rsidR="00045292">
        <w:rPr>
          <w:rFonts w:ascii="Arial" w:eastAsiaTheme="minorHAnsi" w:hAnsi="Arial" w:cs="Arial"/>
        </w:rPr>
        <w:t xml:space="preserve"> at a minimum,</w:t>
      </w:r>
      <w:r w:rsidR="00C47F92">
        <w:rPr>
          <w:rFonts w:ascii="Arial" w:eastAsiaTheme="minorHAnsi" w:hAnsi="Arial" w:cs="Arial"/>
        </w:rPr>
        <w:t xml:space="preserve"> the Comm</w:t>
      </w:r>
      <w:r w:rsidR="00AA5F0E">
        <w:rPr>
          <w:rFonts w:ascii="Arial" w:eastAsiaTheme="minorHAnsi" w:hAnsi="Arial" w:cs="Arial"/>
        </w:rPr>
        <w:t>ission should direct an FAC reconciliation adjustment to</w:t>
      </w:r>
      <w:r w:rsidR="00C47F92">
        <w:rPr>
          <w:rFonts w:ascii="Arial" w:eastAsiaTheme="minorHAnsi" w:hAnsi="Arial" w:cs="Arial"/>
        </w:rPr>
        <w:t xml:space="preserve"> assign a portion of the demand charges to off-system sales or direct AEP-Ohio</w:t>
      </w:r>
      <w:r w:rsidR="00045292">
        <w:rPr>
          <w:rFonts w:ascii="Arial" w:eastAsiaTheme="minorHAnsi" w:hAnsi="Arial" w:cs="Arial"/>
        </w:rPr>
        <w:t xml:space="preserve"> to reduce the demand charges for </w:t>
      </w:r>
      <w:r w:rsidR="00ED48E1">
        <w:rPr>
          <w:rFonts w:ascii="Arial" w:eastAsiaTheme="minorHAnsi" w:hAnsi="Arial" w:cs="Arial"/>
        </w:rPr>
        <w:t>off</w:t>
      </w:r>
      <w:r w:rsidR="00152A55">
        <w:rPr>
          <w:rFonts w:ascii="Arial" w:eastAsiaTheme="minorHAnsi" w:hAnsi="Arial" w:cs="Arial"/>
        </w:rPr>
        <w:t>-</w:t>
      </w:r>
      <w:r w:rsidR="00ED48E1">
        <w:rPr>
          <w:rFonts w:ascii="Arial" w:eastAsiaTheme="minorHAnsi" w:hAnsi="Arial" w:cs="Arial"/>
        </w:rPr>
        <w:t>system sales margins from OVEC and Lawrenceburg</w:t>
      </w:r>
      <w:r w:rsidR="00045292">
        <w:rPr>
          <w:rFonts w:ascii="Arial" w:eastAsiaTheme="minorHAnsi" w:hAnsi="Arial" w:cs="Arial"/>
        </w:rPr>
        <w:t>.</w:t>
      </w:r>
      <w:r w:rsidR="00AA5F0E">
        <w:rPr>
          <w:rFonts w:ascii="Arial" w:eastAsiaTheme="minorHAnsi" w:hAnsi="Arial" w:cs="Arial"/>
        </w:rPr>
        <w:t xml:space="preserve">  To reconcile the FAC charges, the Co</w:t>
      </w:r>
      <w:r w:rsidR="00941960">
        <w:rPr>
          <w:rFonts w:ascii="Arial" w:eastAsiaTheme="minorHAnsi" w:hAnsi="Arial" w:cs="Arial"/>
        </w:rPr>
        <w:t xml:space="preserve">mmission should direct OPCo to </w:t>
      </w:r>
      <w:r w:rsidR="00AA5F0E">
        <w:rPr>
          <w:rFonts w:ascii="Arial" w:eastAsiaTheme="minorHAnsi" w:hAnsi="Arial" w:cs="Arial"/>
        </w:rPr>
        <w:t>credit the over recovery to the deferred balance, and the Commission should direct CSP to provide a credit to the next FAC reconciliation adjustment.</w:t>
      </w:r>
    </w:p>
    <w:p w:rsidR="00941960" w:rsidRDefault="00941960" w:rsidP="00337700">
      <w:pPr>
        <w:spacing w:line="480" w:lineRule="auto"/>
        <w:ind w:firstLine="720"/>
        <w:jc w:val="both"/>
        <w:rPr>
          <w:rFonts w:ascii="Arial" w:eastAsiaTheme="minorHAnsi" w:hAnsi="Arial" w:cs="Arial"/>
        </w:rPr>
      </w:pPr>
      <w:r>
        <w:rPr>
          <w:rFonts w:ascii="Arial" w:eastAsiaTheme="minorHAnsi" w:hAnsi="Arial" w:cs="Arial"/>
        </w:rPr>
        <w:t>Finally, if the Commission does not direct AEP-Ohio to assign a portion of the demand charges to off-system sales or direct AEP-Ohio to reduc</w:t>
      </w:r>
      <w:r w:rsidR="003075A7">
        <w:rPr>
          <w:rFonts w:ascii="Arial" w:eastAsiaTheme="minorHAnsi" w:hAnsi="Arial" w:cs="Arial"/>
        </w:rPr>
        <w:t>e the demand charges for off-</w:t>
      </w:r>
      <w:r>
        <w:rPr>
          <w:rFonts w:ascii="Arial" w:eastAsiaTheme="minorHAnsi" w:hAnsi="Arial" w:cs="Arial"/>
        </w:rPr>
        <w:t xml:space="preserve">system sales margins from OVEC and Lawrenceburg, IEU-Ohio urges the Commission to direct the next auditor to review AEP-Ohio’s allocation of 2010 and 2011 demand charges and provide a recommendation during the next audit report. </w:t>
      </w:r>
    </w:p>
    <w:p w:rsidR="007A60EE" w:rsidRDefault="007A60EE" w:rsidP="00337700">
      <w:pPr>
        <w:spacing w:line="480" w:lineRule="auto"/>
        <w:ind w:firstLine="720"/>
        <w:jc w:val="both"/>
        <w:rPr>
          <w:rFonts w:ascii="Arial" w:eastAsiaTheme="minorHAnsi" w:hAnsi="Arial" w:cs="Arial"/>
        </w:rPr>
      </w:pPr>
    </w:p>
    <w:p w:rsidR="007A60EE" w:rsidRDefault="007A60EE" w:rsidP="00337700">
      <w:pPr>
        <w:spacing w:line="480" w:lineRule="auto"/>
        <w:ind w:firstLine="720"/>
        <w:jc w:val="both"/>
        <w:rPr>
          <w:rFonts w:ascii="Arial" w:eastAsiaTheme="minorHAnsi" w:hAnsi="Arial" w:cs="Arial"/>
        </w:rPr>
      </w:pPr>
    </w:p>
    <w:p w:rsidR="007A60EE" w:rsidRPr="00F50776" w:rsidRDefault="007A60EE" w:rsidP="00337700">
      <w:pPr>
        <w:spacing w:line="480" w:lineRule="auto"/>
        <w:ind w:firstLine="720"/>
        <w:jc w:val="both"/>
        <w:rPr>
          <w:rFonts w:ascii="Arial" w:eastAsiaTheme="minorHAnsi" w:hAnsi="Arial" w:cs="Arial"/>
        </w:rPr>
      </w:pPr>
    </w:p>
    <w:p w:rsidR="007138EF" w:rsidRPr="000D6ED1" w:rsidRDefault="007138EF" w:rsidP="000D6ED1">
      <w:pPr>
        <w:pStyle w:val="Heading2"/>
        <w:rPr>
          <w:rFonts w:ascii="Arial" w:hAnsi="Arial" w:cs="Arial"/>
        </w:rPr>
      </w:pPr>
      <w:bookmarkStart w:id="11" w:name="_Toc376963233"/>
      <w:r w:rsidRPr="000D6ED1">
        <w:rPr>
          <w:rFonts w:ascii="Arial" w:hAnsi="Arial" w:cs="Arial"/>
        </w:rPr>
        <w:lastRenderedPageBreak/>
        <w:t>The Commission should direct AEP-Ohio to account for the effect of ADIT in its carrying charge methodology</w:t>
      </w:r>
      <w:bookmarkEnd w:id="11"/>
    </w:p>
    <w:p w:rsidR="00384465" w:rsidRDefault="00384465" w:rsidP="00997E8B">
      <w:pPr>
        <w:spacing w:line="480" w:lineRule="auto"/>
        <w:ind w:firstLine="720"/>
        <w:jc w:val="both"/>
        <w:rPr>
          <w:rFonts w:ascii="Arial" w:eastAsiaTheme="minorHAnsi" w:hAnsi="Arial" w:cs="Arial"/>
        </w:rPr>
      </w:pPr>
      <w:r>
        <w:rPr>
          <w:rFonts w:ascii="Arial" w:eastAsiaTheme="minorHAnsi" w:hAnsi="Arial" w:cs="Arial"/>
        </w:rPr>
        <w:t>Financial Audit Recommendations 21 and 22 identified that AEP-Ohio has accumulated excessive carrying charges on the deferred balance that should be re</w:t>
      </w:r>
      <w:r w:rsidR="00511021">
        <w:rPr>
          <w:rFonts w:ascii="Arial" w:eastAsiaTheme="minorHAnsi" w:hAnsi="Arial" w:cs="Arial"/>
        </w:rPr>
        <w:t>-</w:t>
      </w:r>
      <w:r>
        <w:rPr>
          <w:rFonts w:ascii="Arial" w:eastAsiaTheme="minorHAnsi" w:hAnsi="Arial" w:cs="Arial"/>
        </w:rPr>
        <w:t xml:space="preserve">examined by the Commission.  </w:t>
      </w:r>
    </w:p>
    <w:p w:rsidR="00384465" w:rsidRPr="00904E30" w:rsidRDefault="002C00C2" w:rsidP="002C00C2">
      <w:pPr>
        <w:ind w:left="1440" w:right="720" w:hanging="720"/>
        <w:jc w:val="both"/>
        <w:rPr>
          <w:rFonts w:ascii="Arial" w:eastAsiaTheme="minorHAnsi" w:hAnsi="Arial" w:cs="Arial"/>
        </w:rPr>
      </w:pPr>
      <w:r w:rsidRPr="00904E30">
        <w:rPr>
          <w:rFonts w:ascii="Arial" w:eastAsiaTheme="minorHAnsi" w:hAnsi="Arial" w:cs="Arial"/>
        </w:rPr>
        <w:t>21.</w:t>
      </w:r>
      <w:r w:rsidRPr="00904E30">
        <w:rPr>
          <w:rFonts w:ascii="Arial" w:eastAsiaTheme="minorHAnsi" w:hAnsi="Arial" w:cs="Arial"/>
          <w:b/>
        </w:rPr>
        <w:tab/>
      </w:r>
      <w:r w:rsidR="00384465" w:rsidRPr="00904E30">
        <w:rPr>
          <w:rFonts w:ascii="Arial" w:eastAsiaTheme="minorHAnsi" w:hAnsi="Arial" w:cs="Arial"/>
        </w:rPr>
        <w:t>AEP Ohio and the other parties to the case should re-examine whether the Commission authorized gross-of-tax WACC for debt and common equity capital should be applied to what such investors are actually financing of the fuel cost under-recovery balances, which would appear to be the Deferred Fuel amounts recorded in Account 1823144 less the directly related credit-balance ADIT-Other for Deferred Fuel recorded in Account 283.</w:t>
      </w:r>
    </w:p>
    <w:p w:rsidR="00384465" w:rsidRPr="00904E30" w:rsidRDefault="00384465" w:rsidP="00384465">
      <w:pPr>
        <w:ind w:left="720" w:right="720"/>
        <w:jc w:val="both"/>
        <w:rPr>
          <w:rFonts w:ascii="Arial" w:eastAsiaTheme="minorHAnsi" w:hAnsi="Arial" w:cs="Arial"/>
        </w:rPr>
      </w:pPr>
    </w:p>
    <w:p w:rsidR="00384465" w:rsidRPr="00904E30" w:rsidRDefault="002C00C2" w:rsidP="002C00C2">
      <w:pPr>
        <w:ind w:left="1440" w:right="720" w:hanging="720"/>
        <w:jc w:val="both"/>
        <w:rPr>
          <w:rFonts w:ascii="Arial" w:eastAsiaTheme="minorHAnsi" w:hAnsi="Arial" w:cs="Arial"/>
        </w:rPr>
      </w:pPr>
      <w:r w:rsidRPr="00904E30">
        <w:rPr>
          <w:rFonts w:ascii="Arial" w:eastAsiaTheme="minorHAnsi" w:hAnsi="Arial" w:cs="Arial"/>
        </w:rPr>
        <w:t>22.</w:t>
      </w:r>
      <w:r w:rsidRPr="00904E30">
        <w:rPr>
          <w:rFonts w:ascii="Arial" w:eastAsiaTheme="minorHAnsi" w:hAnsi="Arial" w:cs="Arial"/>
        </w:rPr>
        <w:tab/>
      </w:r>
      <w:r w:rsidR="00384465" w:rsidRPr="00904E30">
        <w:rPr>
          <w:rFonts w:ascii="Arial" w:eastAsiaTheme="minorHAnsi" w:hAnsi="Arial" w:cs="Arial"/>
        </w:rPr>
        <w:t>The Company should address the income tax savings it was/is recording related to the under-recovered FAC balances, and how those provide non-investor supplied capital that is financing a portion of the Deferred Fuel balances that have been recorded in Account 1823144. The Company should specifically address the related credit-balance ADIT that is recorded in Account 283, ADIT-Other, for the tax savings-based financing that appears to be directly related to the under-recovered FAC balances.</w:t>
      </w:r>
      <w:r w:rsidR="00D50C3C" w:rsidRPr="00904E30">
        <w:rPr>
          <w:rStyle w:val="FootnoteReference"/>
          <w:rFonts w:ascii="Arial" w:eastAsiaTheme="minorHAnsi" w:hAnsi="Arial" w:cs="Arial"/>
        </w:rPr>
        <w:footnoteReference w:id="85"/>
      </w:r>
    </w:p>
    <w:p w:rsidR="00384465" w:rsidRDefault="00384465" w:rsidP="00384465">
      <w:pPr>
        <w:ind w:left="720" w:right="720"/>
        <w:jc w:val="both"/>
        <w:rPr>
          <w:rFonts w:ascii="Arial" w:eastAsiaTheme="minorHAnsi" w:hAnsi="Arial" w:cs="Arial"/>
        </w:rPr>
      </w:pPr>
    </w:p>
    <w:p w:rsidR="00782227" w:rsidRDefault="00782227" w:rsidP="00782227">
      <w:pPr>
        <w:spacing w:line="480" w:lineRule="auto"/>
        <w:jc w:val="both"/>
        <w:rPr>
          <w:rFonts w:ascii="Arial" w:eastAsiaTheme="minorHAnsi" w:hAnsi="Arial" w:cs="Arial"/>
        </w:rPr>
      </w:pPr>
      <w:r>
        <w:rPr>
          <w:rFonts w:ascii="Arial" w:eastAsiaTheme="minorHAnsi" w:hAnsi="Arial" w:cs="Arial"/>
        </w:rPr>
        <w:t>Moreover, the 2010 Audit Report states:</w:t>
      </w:r>
    </w:p>
    <w:p w:rsidR="00782227" w:rsidRDefault="00782227" w:rsidP="00782227">
      <w:pPr>
        <w:ind w:left="720" w:right="720"/>
        <w:jc w:val="both"/>
        <w:rPr>
          <w:rFonts w:ascii="Arial" w:eastAsiaTheme="minorHAnsi" w:hAnsi="Arial" w:cs="Arial"/>
        </w:rPr>
      </w:pPr>
      <w:r w:rsidRPr="00782227">
        <w:rPr>
          <w:rFonts w:ascii="Arial" w:eastAsiaTheme="minorHAnsi" w:hAnsi="Arial" w:cs="Arial"/>
        </w:rPr>
        <w:t>The gross-of-tax WACC based on a combination of d</w:t>
      </w:r>
      <w:r>
        <w:rPr>
          <w:rFonts w:ascii="Arial" w:eastAsiaTheme="minorHAnsi" w:hAnsi="Arial" w:cs="Arial"/>
        </w:rPr>
        <w:t xml:space="preserve">ebt and common equity financing </w:t>
      </w:r>
      <w:r w:rsidRPr="00782227">
        <w:rPr>
          <w:rFonts w:ascii="Arial" w:eastAsiaTheme="minorHAnsi" w:hAnsi="Arial" w:cs="Arial"/>
        </w:rPr>
        <w:t>represents the cost of investor-supplied capital. As such, it should generally be applied only to</w:t>
      </w:r>
      <w:r>
        <w:rPr>
          <w:rFonts w:ascii="Arial" w:eastAsiaTheme="minorHAnsi" w:hAnsi="Arial" w:cs="Arial"/>
        </w:rPr>
        <w:t xml:space="preserve"> </w:t>
      </w:r>
      <w:r w:rsidRPr="00782227">
        <w:rPr>
          <w:rFonts w:ascii="Arial" w:eastAsiaTheme="minorHAnsi" w:hAnsi="Arial" w:cs="Arial"/>
        </w:rPr>
        <w:t>the portion of the deferred cost that has been financed by inve</w:t>
      </w:r>
      <w:r>
        <w:rPr>
          <w:rFonts w:ascii="Arial" w:eastAsiaTheme="minorHAnsi" w:hAnsi="Arial" w:cs="Arial"/>
        </w:rPr>
        <w:t>stor-supplied capital. It would generally be a mis</w:t>
      </w:r>
      <w:r w:rsidRPr="00782227">
        <w:rPr>
          <w:rFonts w:ascii="Arial" w:eastAsiaTheme="minorHAnsi" w:hAnsi="Arial" w:cs="Arial"/>
        </w:rPr>
        <w:t>match, and hence inappropriate, to apply such a gross-of-tax WACC to the</w:t>
      </w:r>
      <w:r w:rsidRPr="00782227">
        <w:t xml:space="preserve"> </w:t>
      </w:r>
      <w:r w:rsidRPr="00782227">
        <w:rPr>
          <w:rFonts w:ascii="Arial" w:eastAsiaTheme="minorHAnsi" w:hAnsi="Arial" w:cs="Arial"/>
        </w:rPr>
        <w:t xml:space="preserve">portion of a deferred cost balance that </w:t>
      </w:r>
      <w:r>
        <w:rPr>
          <w:rFonts w:ascii="Arial" w:eastAsiaTheme="minorHAnsi" w:hAnsi="Arial" w:cs="Arial"/>
        </w:rPr>
        <w:t xml:space="preserve">has actually been financed with non-investor supplied </w:t>
      </w:r>
      <w:r w:rsidRPr="00782227">
        <w:rPr>
          <w:rFonts w:ascii="Arial" w:eastAsiaTheme="minorHAnsi" w:hAnsi="Arial" w:cs="Arial"/>
        </w:rPr>
        <w:t>cost-free capital in the form of credit-balance ADIT that is directly related to the cost deferral</w:t>
      </w:r>
      <w:r>
        <w:rPr>
          <w:rFonts w:ascii="Arial" w:eastAsiaTheme="minorHAnsi" w:hAnsi="Arial" w:cs="Arial"/>
        </w:rPr>
        <w:t>.</w:t>
      </w:r>
      <w:r w:rsidR="00111725">
        <w:rPr>
          <w:rStyle w:val="FootnoteReference"/>
          <w:rFonts w:ascii="Arial" w:eastAsiaTheme="minorHAnsi" w:hAnsi="Arial" w:cs="Arial"/>
        </w:rPr>
        <w:footnoteReference w:id="86"/>
      </w:r>
    </w:p>
    <w:p w:rsidR="003075A7" w:rsidRDefault="00782227" w:rsidP="003075A7">
      <w:pPr>
        <w:spacing w:line="480" w:lineRule="auto"/>
        <w:jc w:val="both"/>
        <w:rPr>
          <w:rFonts w:ascii="Arial" w:eastAsiaTheme="minorHAnsi" w:hAnsi="Arial" w:cs="Arial"/>
        </w:rPr>
      </w:pPr>
      <w:r>
        <w:rPr>
          <w:rFonts w:ascii="Arial" w:eastAsiaTheme="minorHAnsi" w:hAnsi="Arial" w:cs="Arial"/>
        </w:rPr>
        <w:lastRenderedPageBreak/>
        <w:t>IEU-Ohio agrees that the Commission should re</w:t>
      </w:r>
      <w:r w:rsidR="00997E8B">
        <w:rPr>
          <w:rFonts w:ascii="Arial" w:eastAsiaTheme="minorHAnsi" w:hAnsi="Arial" w:cs="Arial"/>
        </w:rPr>
        <w:t>-</w:t>
      </w:r>
      <w:r>
        <w:rPr>
          <w:rFonts w:ascii="Arial" w:eastAsiaTheme="minorHAnsi" w:hAnsi="Arial" w:cs="Arial"/>
        </w:rPr>
        <w:t>examine the carrying cost methodology in these proceedings</w:t>
      </w:r>
      <w:r w:rsidR="003075A7">
        <w:rPr>
          <w:rFonts w:ascii="Arial" w:eastAsiaTheme="minorHAnsi" w:hAnsi="Arial" w:cs="Arial"/>
        </w:rPr>
        <w:t xml:space="preserve">.  More specifically, the Commission should direct AEP-Ohio to account for the benefit of ADIT in the carrying cost methodology.   </w:t>
      </w:r>
    </w:p>
    <w:p w:rsidR="00111725" w:rsidRPr="00045292" w:rsidRDefault="003075A7" w:rsidP="003075A7">
      <w:pPr>
        <w:spacing w:line="480" w:lineRule="auto"/>
        <w:ind w:firstLine="720"/>
        <w:jc w:val="both"/>
        <w:rPr>
          <w:rFonts w:ascii="Arial" w:eastAsiaTheme="minorHAnsi" w:hAnsi="Arial" w:cs="Arial"/>
        </w:rPr>
      </w:pPr>
      <w:r>
        <w:rPr>
          <w:rFonts w:ascii="Arial" w:eastAsiaTheme="minorHAnsi" w:hAnsi="Arial" w:cs="Arial"/>
        </w:rPr>
        <w:t xml:space="preserve">As </w:t>
      </w:r>
      <w:r w:rsidR="00111725">
        <w:rPr>
          <w:rFonts w:ascii="Arial" w:eastAsiaTheme="minorHAnsi" w:hAnsi="Arial" w:cs="Arial"/>
        </w:rPr>
        <w:t>the 2010 and 2011 Audit Reports, the testimony of Joseph Bowser,</w:t>
      </w:r>
      <w:r w:rsidR="00111725">
        <w:rPr>
          <w:rStyle w:val="FootnoteReference"/>
          <w:rFonts w:ascii="Arial" w:eastAsiaTheme="minorHAnsi" w:hAnsi="Arial" w:cs="Arial"/>
        </w:rPr>
        <w:footnoteReference w:id="87"/>
      </w:r>
      <w:r w:rsidR="00111725">
        <w:rPr>
          <w:rFonts w:ascii="Arial" w:eastAsiaTheme="minorHAnsi" w:hAnsi="Arial" w:cs="Arial"/>
        </w:rPr>
        <w:t xml:space="preserve"> and Daniel Duann</w:t>
      </w:r>
      <w:r w:rsidR="00961CAD">
        <w:rPr>
          <w:rStyle w:val="FootnoteReference"/>
          <w:rFonts w:ascii="Arial" w:eastAsiaTheme="minorHAnsi" w:hAnsi="Arial" w:cs="Arial"/>
        </w:rPr>
        <w:footnoteReference w:id="88"/>
      </w:r>
      <w:r w:rsidR="00111725">
        <w:rPr>
          <w:rFonts w:ascii="Arial" w:eastAsiaTheme="minorHAnsi" w:hAnsi="Arial" w:cs="Arial"/>
        </w:rPr>
        <w:t xml:space="preserve"> indicate, a</w:t>
      </w:r>
      <w:r w:rsidR="00111725" w:rsidRPr="00045292">
        <w:rPr>
          <w:rFonts w:ascii="Arial" w:eastAsiaTheme="minorHAnsi" w:hAnsi="Arial" w:cs="Arial"/>
        </w:rPr>
        <w:t xml:space="preserve"> carrying charge is an interest component that allows a utility to obtain compensation for a delay in the collection of revenue authorized by the Commission.  </w:t>
      </w:r>
      <w:r w:rsidR="00111725">
        <w:rPr>
          <w:rFonts w:ascii="Arial" w:eastAsiaTheme="minorHAnsi" w:hAnsi="Arial" w:cs="Arial"/>
        </w:rPr>
        <w:t>This</w:t>
      </w:r>
      <w:r w:rsidR="00111725" w:rsidRPr="00045292">
        <w:rPr>
          <w:rFonts w:ascii="Arial" w:eastAsiaTheme="minorHAnsi" w:hAnsi="Arial" w:cs="Arial"/>
        </w:rPr>
        <w:t xml:space="preserve"> </w:t>
      </w:r>
      <w:r w:rsidR="00111725">
        <w:rPr>
          <w:rFonts w:ascii="Arial" w:eastAsiaTheme="minorHAnsi" w:hAnsi="Arial" w:cs="Arial"/>
        </w:rPr>
        <w:t>carrying charge</w:t>
      </w:r>
      <w:r w:rsidR="00111725" w:rsidRPr="00045292">
        <w:rPr>
          <w:rFonts w:ascii="Arial" w:eastAsiaTheme="minorHAnsi" w:hAnsi="Arial" w:cs="Arial"/>
        </w:rPr>
        <w:t xml:space="preserve"> recognizes the time value of money.</w:t>
      </w:r>
      <w:r>
        <w:rPr>
          <w:rStyle w:val="FootnoteReference"/>
          <w:rFonts w:ascii="Arial" w:eastAsiaTheme="minorHAnsi" w:hAnsi="Arial" w:cs="Arial"/>
        </w:rPr>
        <w:footnoteReference w:id="89"/>
      </w:r>
      <w:r>
        <w:rPr>
          <w:rFonts w:ascii="Arial" w:eastAsiaTheme="minorHAnsi" w:hAnsi="Arial" w:cs="Arial"/>
        </w:rPr>
        <w:t xml:space="preserve"> </w:t>
      </w:r>
    </w:p>
    <w:p w:rsidR="00045292" w:rsidRPr="00045292" w:rsidRDefault="00045292" w:rsidP="00D86890">
      <w:pPr>
        <w:tabs>
          <w:tab w:val="left" w:pos="5580"/>
        </w:tabs>
        <w:autoSpaceDE w:val="0"/>
        <w:autoSpaceDN w:val="0"/>
        <w:adjustRightInd w:val="0"/>
        <w:spacing w:line="480" w:lineRule="auto"/>
        <w:ind w:firstLine="720"/>
        <w:jc w:val="both"/>
        <w:rPr>
          <w:rFonts w:ascii="Arial" w:eastAsiaTheme="minorHAnsi" w:hAnsi="Arial" w:cs="Arial"/>
          <w:szCs w:val="22"/>
        </w:rPr>
      </w:pPr>
      <w:r w:rsidRPr="00045292">
        <w:rPr>
          <w:rFonts w:ascii="Arial" w:eastAsiaTheme="minorHAnsi" w:hAnsi="Arial" w:cs="Arial"/>
          <w:szCs w:val="22"/>
        </w:rPr>
        <w:t>When a utility is authorized to utilize deferral accounting for regulatory purposes, the utility delays recognition of an expense (the recognition is deferred).</w:t>
      </w:r>
      <w:r w:rsidR="009F7850">
        <w:rPr>
          <w:rStyle w:val="FootnoteReference"/>
          <w:rFonts w:ascii="Arial" w:eastAsiaTheme="minorHAnsi" w:hAnsi="Arial" w:cs="Arial"/>
          <w:szCs w:val="22"/>
        </w:rPr>
        <w:footnoteReference w:id="90"/>
      </w:r>
      <w:r w:rsidRPr="00045292">
        <w:rPr>
          <w:rFonts w:ascii="Arial" w:eastAsiaTheme="minorHAnsi" w:hAnsi="Arial" w:cs="Arial"/>
          <w:szCs w:val="22"/>
        </w:rPr>
        <w:t xml:space="preserve">  However, </w:t>
      </w:r>
      <w:r w:rsidR="007465BE">
        <w:rPr>
          <w:rFonts w:ascii="Arial" w:eastAsiaTheme="minorHAnsi" w:hAnsi="Arial" w:cs="Arial"/>
          <w:szCs w:val="22"/>
        </w:rPr>
        <w:t xml:space="preserve">a deduction is </w:t>
      </w:r>
      <w:r w:rsidRPr="00045292">
        <w:rPr>
          <w:rFonts w:ascii="Arial" w:eastAsiaTheme="minorHAnsi" w:hAnsi="Arial" w:cs="Arial"/>
          <w:szCs w:val="22"/>
        </w:rPr>
        <w:t xml:space="preserve">nonetheless recognized </w:t>
      </w:r>
      <w:r w:rsidR="007465BE">
        <w:rPr>
          <w:rFonts w:ascii="Arial" w:eastAsiaTheme="minorHAnsi" w:hAnsi="Arial" w:cs="Arial"/>
          <w:szCs w:val="22"/>
        </w:rPr>
        <w:t>on the federal income tax return</w:t>
      </w:r>
      <w:r w:rsidR="00B91E77">
        <w:rPr>
          <w:rFonts w:ascii="Arial" w:eastAsiaTheme="minorHAnsi" w:hAnsi="Arial" w:cs="Arial"/>
          <w:szCs w:val="22"/>
        </w:rPr>
        <w:t xml:space="preserve"> (</w:t>
      </w:r>
      <w:r w:rsidRPr="00045292">
        <w:rPr>
          <w:rFonts w:ascii="Arial" w:eastAsiaTheme="minorHAnsi" w:hAnsi="Arial" w:cs="Arial"/>
          <w:szCs w:val="22"/>
        </w:rPr>
        <w:t>tax accounting</w:t>
      </w:r>
      <w:r w:rsidR="00B91E77">
        <w:rPr>
          <w:rFonts w:ascii="Arial" w:eastAsiaTheme="minorHAnsi" w:hAnsi="Arial" w:cs="Arial"/>
          <w:szCs w:val="22"/>
        </w:rPr>
        <w:t>)</w:t>
      </w:r>
      <w:r w:rsidRPr="00045292">
        <w:rPr>
          <w:rFonts w:ascii="Arial" w:eastAsiaTheme="minorHAnsi" w:hAnsi="Arial" w:cs="Arial"/>
          <w:szCs w:val="22"/>
        </w:rPr>
        <w:t>.  The tax accounting results in an immediate reduction to the utility’s federal income tax.</w:t>
      </w:r>
      <w:r w:rsidR="009F7850">
        <w:rPr>
          <w:rStyle w:val="FootnoteReference"/>
          <w:rFonts w:ascii="Arial" w:eastAsiaTheme="minorHAnsi" w:hAnsi="Arial" w:cs="Arial"/>
          <w:szCs w:val="22"/>
        </w:rPr>
        <w:footnoteReference w:id="91"/>
      </w:r>
      <w:r w:rsidRPr="00045292">
        <w:rPr>
          <w:rFonts w:ascii="Arial" w:eastAsiaTheme="minorHAnsi" w:hAnsi="Arial" w:cs="Arial"/>
          <w:szCs w:val="22"/>
        </w:rPr>
        <w:t xml:space="preserve">  The tax benefit is known as ADIT, and it provides a source of interest-free cash to the utility.</w:t>
      </w:r>
      <w:r w:rsidR="00961CAD">
        <w:rPr>
          <w:rStyle w:val="FootnoteReference"/>
          <w:rFonts w:ascii="Arial" w:eastAsiaTheme="minorHAnsi" w:hAnsi="Arial" w:cs="Arial"/>
          <w:szCs w:val="22"/>
        </w:rPr>
        <w:footnoteReference w:id="92"/>
      </w:r>
      <w:r w:rsidR="003075A7">
        <w:rPr>
          <w:rFonts w:ascii="Arial" w:eastAsiaTheme="minorHAnsi" w:hAnsi="Arial" w:cs="Arial"/>
          <w:szCs w:val="22"/>
        </w:rPr>
        <w:t xml:space="preserve"> </w:t>
      </w:r>
      <w:r w:rsidRPr="00045292">
        <w:rPr>
          <w:rFonts w:ascii="Arial" w:eastAsiaTheme="minorHAnsi" w:hAnsi="Arial" w:cs="Arial"/>
          <w:szCs w:val="22"/>
        </w:rPr>
        <w:t xml:space="preserve"> </w:t>
      </w:r>
    </w:p>
    <w:p w:rsidR="00045292" w:rsidRDefault="00045292" w:rsidP="00D86890">
      <w:pPr>
        <w:spacing w:line="480" w:lineRule="auto"/>
        <w:ind w:firstLine="720"/>
        <w:jc w:val="both"/>
        <w:rPr>
          <w:rFonts w:ascii="Arial" w:eastAsiaTheme="minorHAnsi" w:hAnsi="Arial" w:cs="Arial"/>
          <w:szCs w:val="22"/>
        </w:rPr>
      </w:pPr>
      <w:r w:rsidRPr="00045292">
        <w:rPr>
          <w:rFonts w:ascii="Arial" w:eastAsiaTheme="minorHAnsi" w:hAnsi="Arial" w:cs="Arial"/>
          <w:szCs w:val="22"/>
        </w:rPr>
        <w:lastRenderedPageBreak/>
        <w:t>In the ESP I Order, the Commission authorized AEP-Ohio to collect a total revenue amount.</w:t>
      </w:r>
      <w:r w:rsidR="002D4316" w:rsidRPr="000B1775">
        <w:rPr>
          <w:rFonts w:ascii="Arial" w:eastAsiaTheme="minorHAnsi" w:hAnsi="Arial" w:cs="Arial"/>
          <w:szCs w:val="22"/>
          <w:vertAlign w:val="superscript"/>
        </w:rPr>
        <w:footnoteReference w:id="93"/>
      </w:r>
      <w:r w:rsidR="002D4316" w:rsidRPr="000B1775">
        <w:rPr>
          <w:rFonts w:ascii="Arial" w:eastAsiaTheme="minorHAnsi" w:hAnsi="Arial" w:cs="Arial"/>
          <w:szCs w:val="22"/>
        </w:rPr>
        <w:t xml:space="preserve"> </w:t>
      </w:r>
      <w:r w:rsidRPr="00045292">
        <w:rPr>
          <w:rFonts w:ascii="Arial" w:eastAsiaTheme="minorHAnsi" w:hAnsi="Arial" w:cs="Arial"/>
          <w:szCs w:val="22"/>
        </w:rPr>
        <w:t xml:space="preserve"> Part of the revenue was collectible during the ESP period and part of the revenue was delayed for future collection in an amount to be determined by the Commission.</w:t>
      </w:r>
      <w:r w:rsidRPr="00045292">
        <w:rPr>
          <w:rFonts w:ascii="Arial" w:eastAsiaTheme="minorHAnsi" w:hAnsi="Arial" w:cs="Arial"/>
        </w:rPr>
        <w:t xml:space="preserve">  </w:t>
      </w:r>
      <w:r w:rsidR="00B474AB">
        <w:rPr>
          <w:rFonts w:ascii="Arial" w:eastAsiaTheme="minorHAnsi" w:hAnsi="Arial" w:cs="Arial"/>
          <w:szCs w:val="22"/>
        </w:rPr>
        <w:t xml:space="preserve">For </w:t>
      </w:r>
      <w:r w:rsidRPr="00045292">
        <w:rPr>
          <w:rFonts w:ascii="Arial" w:eastAsiaTheme="minorHAnsi" w:hAnsi="Arial" w:cs="Arial"/>
          <w:szCs w:val="22"/>
        </w:rPr>
        <w:t>every $100 that was delayed for future collection, AEP-Ohio received a $35 immediate tax benefit (assuming a 35% statutory federal income tax rate) due to the timing difference between tax and regulatory accounting.</w:t>
      </w:r>
      <w:r w:rsidR="009F7850">
        <w:rPr>
          <w:rStyle w:val="FootnoteReference"/>
          <w:rFonts w:ascii="Arial" w:eastAsiaTheme="minorHAnsi" w:hAnsi="Arial" w:cs="Arial"/>
          <w:szCs w:val="22"/>
        </w:rPr>
        <w:footnoteReference w:id="94"/>
      </w:r>
      <w:r w:rsidRPr="00045292">
        <w:rPr>
          <w:rFonts w:ascii="Arial" w:eastAsiaTheme="minorHAnsi" w:hAnsi="Arial" w:cs="Arial"/>
          <w:szCs w:val="22"/>
        </w:rPr>
        <w:t xml:space="preserve">  The ADIT tax benefit increased AEP-Ohio’s cash flow by $35.</w:t>
      </w:r>
      <w:r w:rsidR="009F7850">
        <w:rPr>
          <w:rStyle w:val="FootnoteReference"/>
          <w:rFonts w:ascii="Arial" w:eastAsiaTheme="minorHAnsi" w:hAnsi="Arial" w:cs="Arial"/>
          <w:szCs w:val="22"/>
        </w:rPr>
        <w:footnoteReference w:id="95"/>
      </w:r>
      <w:r w:rsidRPr="00045292">
        <w:rPr>
          <w:rFonts w:ascii="Arial" w:eastAsiaTheme="minorHAnsi" w:hAnsi="Arial" w:cs="Arial"/>
          <w:szCs w:val="22"/>
        </w:rPr>
        <w:t xml:space="preserve">  </w:t>
      </w:r>
    </w:p>
    <w:p w:rsidR="001347A9" w:rsidRDefault="00F15098" w:rsidP="00F5170C">
      <w:pPr>
        <w:spacing w:line="480" w:lineRule="auto"/>
        <w:ind w:firstLine="720"/>
        <w:jc w:val="both"/>
        <w:rPr>
          <w:rFonts w:ascii="Arial" w:eastAsiaTheme="minorHAnsi" w:hAnsi="Arial" w:cs="Arial"/>
          <w:szCs w:val="22"/>
        </w:rPr>
      </w:pPr>
      <w:r>
        <w:rPr>
          <w:rFonts w:ascii="Arial" w:eastAsiaTheme="minorHAnsi" w:hAnsi="Arial" w:cs="Arial"/>
          <w:szCs w:val="22"/>
        </w:rPr>
        <w:t xml:space="preserve">As the </w:t>
      </w:r>
      <w:r w:rsidR="004E051E">
        <w:rPr>
          <w:rFonts w:ascii="Arial" w:eastAsiaTheme="minorHAnsi" w:hAnsi="Arial" w:cs="Arial"/>
          <w:szCs w:val="22"/>
        </w:rPr>
        <w:t>A</w:t>
      </w:r>
      <w:r>
        <w:rPr>
          <w:rFonts w:ascii="Arial" w:eastAsiaTheme="minorHAnsi" w:hAnsi="Arial" w:cs="Arial"/>
          <w:szCs w:val="22"/>
        </w:rPr>
        <w:t xml:space="preserve">uditor has noted repeatedly, the deferred amount provided a significant tax benefit that AEP-Ohio has failed to apply to reduce the </w:t>
      </w:r>
      <w:r w:rsidR="00B91E77">
        <w:rPr>
          <w:rFonts w:ascii="Arial" w:eastAsiaTheme="minorHAnsi" w:hAnsi="Arial" w:cs="Arial"/>
          <w:szCs w:val="22"/>
        </w:rPr>
        <w:t xml:space="preserve">carrying charges on the </w:t>
      </w:r>
      <w:r>
        <w:rPr>
          <w:rFonts w:ascii="Arial" w:eastAsiaTheme="minorHAnsi" w:hAnsi="Arial" w:cs="Arial"/>
          <w:szCs w:val="22"/>
        </w:rPr>
        <w:t xml:space="preserve">deferred balance.  AEP-Ohio’s failure to adjust the </w:t>
      </w:r>
      <w:r w:rsidR="007A60EE">
        <w:rPr>
          <w:rFonts w:ascii="Arial" w:eastAsiaTheme="minorHAnsi" w:hAnsi="Arial" w:cs="Arial"/>
          <w:szCs w:val="22"/>
        </w:rPr>
        <w:t>carrying charges—</w:t>
      </w:r>
      <w:r w:rsidR="00B91E77">
        <w:rPr>
          <w:rFonts w:ascii="Arial" w:eastAsiaTheme="minorHAnsi" w:hAnsi="Arial" w:cs="Arial"/>
          <w:szCs w:val="22"/>
        </w:rPr>
        <w:t xml:space="preserve">which are then added to the </w:t>
      </w:r>
      <w:r>
        <w:rPr>
          <w:rFonts w:ascii="Arial" w:eastAsiaTheme="minorHAnsi" w:hAnsi="Arial" w:cs="Arial"/>
          <w:szCs w:val="22"/>
        </w:rPr>
        <w:t xml:space="preserve">deferred </w:t>
      </w:r>
      <w:r w:rsidR="001347A9">
        <w:rPr>
          <w:rFonts w:ascii="Arial" w:eastAsiaTheme="minorHAnsi" w:hAnsi="Arial" w:cs="Arial"/>
          <w:szCs w:val="22"/>
        </w:rPr>
        <w:t>balance</w:t>
      </w:r>
      <w:r w:rsidR="00F5170C">
        <w:rPr>
          <w:rFonts w:ascii="Arial" w:eastAsiaTheme="minorHAnsi" w:hAnsi="Arial" w:cs="Arial"/>
        </w:rPr>
        <w:t>—</w:t>
      </w:r>
      <w:r>
        <w:rPr>
          <w:rFonts w:ascii="Arial" w:eastAsiaTheme="minorHAnsi" w:hAnsi="Arial" w:cs="Arial"/>
          <w:szCs w:val="22"/>
        </w:rPr>
        <w:t xml:space="preserve">violates </w:t>
      </w:r>
      <w:r w:rsidR="006E7A08" w:rsidRPr="00045292">
        <w:rPr>
          <w:rFonts w:ascii="Arial" w:eastAsiaTheme="minorHAnsi" w:hAnsi="Arial" w:cs="Arial"/>
          <w:szCs w:val="22"/>
        </w:rPr>
        <w:t>State policy requiring that customers have access to reasonably priced electricity,</w:t>
      </w:r>
      <w:r w:rsidR="003075A7">
        <w:rPr>
          <w:rStyle w:val="FootnoteReference"/>
          <w:rFonts w:ascii="Arial" w:eastAsiaTheme="minorHAnsi" w:hAnsi="Arial" w:cs="Arial"/>
          <w:szCs w:val="22"/>
        </w:rPr>
        <w:footnoteReference w:id="96"/>
      </w:r>
      <w:r w:rsidR="006E7A08" w:rsidRPr="00045292">
        <w:rPr>
          <w:rFonts w:ascii="Arial" w:eastAsiaTheme="minorHAnsi" w:hAnsi="Arial" w:cs="Arial"/>
          <w:szCs w:val="22"/>
        </w:rPr>
        <w:t xml:space="preserve"> precedent,</w:t>
      </w:r>
      <w:r w:rsidR="00352D6A">
        <w:rPr>
          <w:rStyle w:val="FootnoteReference"/>
          <w:rFonts w:ascii="Arial" w:eastAsiaTheme="minorHAnsi" w:hAnsi="Arial" w:cs="Arial"/>
          <w:szCs w:val="22"/>
        </w:rPr>
        <w:footnoteReference w:id="97"/>
      </w:r>
      <w:r w:rsidR="006E7A08" w:rsidRPr="00045292">
        <w:rPr>
          <w:rFonts w:ascii="Arial" w:eastAsiaTheme="minorHAnsi" w:hAnsi="Arial" w:cs="Arial"/>
          <w:szCs w:val="22"/>
        </w:rPr>
        <w:t xml:space="preserve"> and sound regulatory practices and principles </w:t>
      </w:r>
      <w:r>
        <w:rPr>
          <w:rFonts w:ascii="Arial" w:eastAsiaTheme="minorHAnsi" w:hAnsi="Arial" w:cs="Arial"/>
          <w:szCs w:val="22"/>
        </w:rPr>
        <w:t xml:space="preserve">that </w:t>
      </w:r>
      <w:r w:rsidR="006E7A08" w:rsidRPr="00045292">
        <w:rPr>
          <w:rFonts w:ascii="Arial" w:eastAsiaTheme="minorHAnsi" w:hAnsi="Arial" w:cs="Arial"/>
          <w:szCs w:val="22"/>
        </w:rPr>
        <w:t xml:space="preserve">the </w:t>
      </w:r>
      <w:r w:rsidR="00E9281A">
        <w:rPr>
          <w:rFonts w:ascii="Arial" w:eastAsiaTheme="minorHAnsi" w:hAnsi="Arial" w:cs="Arial"/>
          <w:szCs w:val="22"/>
        </w:rPr>
        <w:t xml:space="preserve">carrying costs </w:t>
      </w:r>
      <w:r>
        <w:rPr>
          <w:rFonts w:ascii="Arial" w:eastAsiaTheme="minorHAnsi" w:hAnsi="Arial" w:cs="Arial"/>
          <w:szCs w:val="22"/>
        </w:rPr>
        <w:t>must be adjusted to</w:t>
      </w:r>
      <w:r w:rsidR="006E7A08" w:rsidRPr="00045292">
        <w:rPr>
          <w:rFonts w:ascii="Arial" w:eastAsiaTheme="minorHAnsi" w:hAnsi="Arial" w:cs="Arial"/>
          <w:szCs w:val="22"/>
        </w:rPr>
        <w:t xml:space="preserve"> reflect the ADIT benefit.</w:t>
      </w:r>
      <w:r w:rsidR="009F7850">
        <w:rPr>
          <w:rStyle w:val="FootnoteReference"/>
          <w:rFonts w:ascii="Arial" w:eastAsiaTheme="minorHAnsi" w:hAnsi="Arial" w:cs="Arial"/>
          <w:szCs w:val="22"/>
        </w:rPr>
        <w:footnoteReference w:id="98"/>
      </w:r>
      <w:r w:rsidR="006E7A08">
        <w:rPr>
          <w:rFonts w:ascii="Arial" w:eastAsiaTheme="minorHAnsi" w:hAnsi="Arial" w:cs="Arial"/>
          <w:szCs w:val="22"/>
        </w:rPr>
        <w:t xml:space="preserve"> </w:t>
      </w:r>
      <w:r w:rsidR="00B474AB">
        <w:rPr>
          <w:rFonts w:ascii="Arial" w:eastAsiaTheme="minorHAnsi" w:hAnsi="Arial" w:cs="Arial"/>
          <w:szCs w:val="22"/>
        </w:rPr>
        <w:t xml:space="preserve"> </w:t>
      </w:r>
      <w:r w:rsidR="006E7A08">
        <w:rPr>
          <w:rFonts w:ascii="Arial" w:eastAsiaTheme="minorHAnsi" w:hAnsi="Arial" w:cs="Arial"/>
          <w:szCs w:val="22"/>
        </w:rPr>
        <w:t>IEU-Ohio</w:t>
      </w:r>
      <w:r w:rsidR="00961CAD">
        <w:rPr>
          <w:rFonts w:ascii="Arial" w:eastAsiaTheme="minorHAnsi" w:hAnsi="Arial" w:cs="Arial"/>
          <w:szCs w:val="22"/>
        </w:rPr>
        <w:t xml:space="preserve"> urges the Commission to direct</w:t>
      </w:r>
      <w:r w:rsidR="006E7A08">
        <w:rPr>
          <w:rFonts w:ascii="Arial" w:eastAsiaTheme="minorHAnsi" w:hAnsi="Arial" w:cs="Arial"/>
          <w:szCs w:val="22"/>
        </w:rPr>
        <w:t xml:space="preserve"> AEP-Ohio to accrue carrying charges with the ADIT adjustment from January 1, 2010 and forward.</w:t>
      </w:r>
    </w:p>
    <w:p w:rsidR="00F5170C" w:rsidRPr="00F5170C" w:rsidRDefault="00F5170C" w:rsidP="00F5170C">
      <w:pPr>
        <w:spacing w:line="480" w:lineRule="auto"/>
        <w:ind w:firstLine="720"/>
        <w:jc w:val="both"/>
        <w:rPr>
          <w:rFonts w:ascii="Arial" w:eastAsiaTheme="minorHAnsi" w:hAnsi="Arial" w:cs="Arial"/>
          <w:szCs w:val="22"/>
        </w:rPr>
      </w:pPr>
    </w:p>
    <w:p w:rsidR="00877D01" w:rsidRPr="000D6ED1" w:rsidRDefault="00877D01" w:rsidP="000D6ED1">
      <w:pPr>
        <w:pStyle w:val="Heading2"/>
        <w:rPr>
          <w:rFonts w:ascii="Arial" w:hAnsi="Arial" w:cs="Arial"/>
        </w:rPr>
      </w:pPr>
      <w:bookmarkStart w:id="12" w:name="_Toc376963234"/>
      <w:r w:rsidRPr="000D6ED1">
        <w:rPr>
          <w:rFonts w:ascii="Arial" w:hAnsi="Arial" w:cs="Arial"/>
        </w:rPr>
        <w:lastRenderedPageBreak/>
        <w:t xml:space="preserve">Issues Related to the </w:t>
      </w:r>
      <w:r w:rsidRPr="000D6ED1">
        <w:rPr>
          <w:rFonts w:ascii="Arial" w:hAnsi="Arial" w:cs="Arial"/>
          <w:i/>
        </w:rPr>
        <w:t>2009 FAC Case</w:t>
      </w:r>
      <w:bookmarkEnd w:id="12"/>
    </w:p>
    <w:p w:rsidR="00DA64AF" w:rsidRPr="000D6ED1" w:rsidRDefault="00877D01" w:rsidP="000D6ED1">
      <w:pPr>
        <w:pStyle w:val="Heading3"/>
        <w:rPr>
          <w:rFonts w:ascii="Arial" w:hAnsi="Arial" w:cs="Arial"/>
        </w:rPr>
      </w:pPr>
      <w:bookmarkStart w:id="13" w:name="_Toc376963235"/>
      <w:r w:rsidRPr="000D6ED1">
        <w:rPr>
          <w:rFonts w:ascii="Arial" w:hAnsi="Arial" w:cs="Arial"/>
        </w:rPr>
        <w:t>The Commission should adopt Financial</w:t>
      </w:r>
      <w:r w:rsidR="002C00C2" w:rsidRPr="000D6ED1">
        <w:rPr>
          <w:rFonts w:ascii="Arial" w:hAnsi="Arial" w:cs="Arial"/>
        </w:rPr>
        <w:t xml:space="preserve"> Audit</w:t>
      </w:r>
      <w:r w:rsidRPr="000D6ED1">
        <w:rPr>
          <w:rFonts w:ascii="Arial" w:hAnsi="Arial" w:cs="Arial"/>
        </w:rPr>
        <w:t xml:space="preserve"> Recommendation 7</w:t>
      </w:r>
      <w:bookmarkEnd w:id="13"/>
    </w:p>
    <w:p w:rsidR="00DA64AF" w:rsidRPr="00877D01" w:rsidRDefault="00B474AB" w:rsidP="00DA64AF">
      <w:pPr>
        <w:pStyle w:val="1definition"/>
        <w:ind w:firstLine="720"/>
        <w:rPr>
          <w:b/>
        </w:rPr>
      </w:pPr>
      <w:r>
        <w:rPr>
          <w:rFonts w:eastAsiaTheme="minorHAnsi"/>
          <w:szCs w:val="20"/>
        </w:rPr>
        <w:t xml:space="preserve">The FAC Order initially directed AEP-Ohio to credit $71 million to the deferred balance.  On rehearing, the Commission directed AEP-Ohio to credit the jurisdictional portion of the $71 million to the deferred balance.  </w:t>
      </w:r>
      <w:r w:rsidR="00DA64AF" w:rsidRPr="00DA64AF">
        <w:rPr>
          <w:rFonts w:eastAsiaTheme="minorHAnsi"/>
          <w:szCs w:val="20"/>
        </w:rPr>
        <w:t>Financial Audit Recommendation 7 of the 2011 Audit Report recommends that “AEP Ohio's crediting of those clarified amounts against OPCO's FAC under-recovery should be reviewed in the next audit.”</w:t>
      </w:r>
      <w:r w:rsidR="00DA64AF">
        <w:rPr>
          <w:rStyle w:val="FootnoteReference"/>
          <w:rFonts w:eastAsiaTheme="minorHAnsi"/>
          <w:szCs w:val="20"/>
        </w:rPr>
        <w:footnoteReference w:id="99"/>
      </w:r>
      <w:r w:rsidR="00DA64AF" w:rsidRPr="00DA64AF">
        <w:rPr>
          <w:rFonts w:eastAsiaTheme="minorHAnsi"/>
          <w:szCs w:val="20"/>
        </w:rPr>
        <w:t xml:space="preserve">  </w:t>
      </w:r>
      <w:r w:rsidR="00DA64AF">
        <w:rPr>
          <w:rFonts w:eastAsiaTheme="minorHAnsi"/>
          <w:szCs w:val="20"/>
        </w:rPr>
        <w:t>AEP-Ohio claims that “[r]espective credits have been booked in accordance with Commission orders and will be available for review by the Auditor.  Consequently, this recommendation can be considered completed in the context of the 2011 Audit.”</w:t>
      </w:r>
      <w:r w:rsidR="00A4705A">
        <w:rPr>
          <w:rStyle w:val="FootnoteReference"/>
          <w:rFonts w:eastAsiaTheme="minorHAnsi"/>
          <w:szCs w:val="20"/>
        </w:rPr>
        <w:footnoteReference w:id="100"/>
      </w:r>
      <w:r w:rsidR="00A4705A">
        <w:rPr>
          <w:rFonts w:eastAsiaTheme="minorHAnsi"/>
          <w:szCs w:val="20"/>
        </w:rPr>
        <w:t xml:space="preserve">  IEU-Ohio disagrees with AEP-Ohio’s assertion that the recommendation should be considered completed.  </w:t>
      </w:r>
      <w:r w:rsidR="00DA64AF">
        <w:rPr>
          <w:rFonts w:eastAsiaTheme="minorHAnsi"/>
          <w:szCs w:val="20"/>
        </w:rPr>
        <w:t>The 2011 Audit Report</w:t>
      </w:r>
      <w:r w:rsidR="00A4705A">
        <w:rPr>
          <w:rFonts w:eastAsiaTheme="minorHAnsi"/>
          <w:b/>
          <w:i/>
        </w:rPr>
        <w:t xml:space="preserve"> did not review </w:t>
      </w:r>
      <w:r w:rsidR="00A4705A">
        <w:rPr>
          <w:rFonts w:eastAsiaTheme="minorHAnsi"/>
        </w:rPr>
        <w:t>the credit</w:t>
      </w:r>
      <w:r w:rsidR="005C24BD">
        <w:rPr>
          <w:rFonts w:eastAsiaTheme="minorHAnsi"/>
        </w:rPr>
        <w:t xml:space="preserve"> and no party submitted evidence regarding the quantification of the credit in these proceedings</w:t>
      </w:r>
      <w:r w:rsidR="00A4705A">
        <w:rPr>
          <w:rFonts w:eastAsiaTheme="minorHAnsi"/>
        </w:rPr>
        <w:t>.  Moreover, the 2011 Audit Report</w:t>
      </w:r>
      <w:r w:rsidR="00DA64AF">
        <w:rPr>
          <w:rFonts w:eastAsiaTheme="minorHAnsi"/>
          <w:szCs w:val="20"/>
        </w:rPr>
        <w:t xml:space="preserve"> proposed that the </w:t>
      </w:r>
      <w:r w:rsidR="00DA64AF">
        <w:rPr>
          <w:rFonts w:eastAsiaTheme="minorHAnsi"/>
          <w:b/>
          <w:i/>
          <w:szCs w:val="20"/>
        </w:rPr>
        <w:t>next audit report</w:t>
      </w:r>
      <w:r w:rsidR="00DA64AF">
        <w:rPr>
          <w:rFonts w:eastAsiaTheme="minorHAnsi"/>
          <w:szCs w:val="20"/>
        </w:rPr>
        <w:t xml:space="preserve"> review and verif</w:t>
      </w:r>
      <w:r w:rsidR="00A4705A">
        <w:rPr>
          <w:rFonts w:eastAsiaTheme="minorHAnsi"/>
          <w:szCs w:val="20"/>
        </w:rPr>
        <w:t xml:space="preserve">y the Commission-ordered credit.  Based upon the record evidence and the auditor’s recommendation, the recommendation cannot </w:t>
      </w:r>
      <w:r w:rsidR="005C24BD">
        <w:rPr>
          <w:rFonts w:eastAsiaTheme="minorHAnsi"/>
          <w:szCs w:val="20"/>
        </w:rPr>
        <w:t xml:space="preserve">be </w:t>
      </w:r>
      <w:r w:rsidR="00A4705A">
        <w:rPr>
          <w:rFonts w:eastAsiaTheme="minorHAnsi"/>
          <w:szCs w:val="20"/>
        </w:rPr>
        <w:t xml:space="preserve">considered completed; thus, </w:t>
      </w:r>
      <w:r w:rsidR="00DA64AF">
        <w:rPr>
          <w:rFonts w:eastAsiaTheme="minorHAnsi"/>
          <w:szCs w:val="20"/>
        </w:rPr>
        <w:t>the Commission</w:t>
      </w:r>
      <w:r w:rsidR="00A4705A">
        <w:rPr>
          <w:rFonts w:eastAsiaTheme="minorHAnsi"/>
          <w:szCs w:val="20"/>
        </w:rPr>
        <w:t xml:space="preserve"> should</w:t>
      </w:r>
      <w:r w:rsidR="00DA64AF">
        <w:rPr>
          <w:rFonts w:eastAsiaTheme="minorHAnsi"/>
          <w:szCs w:val="20"/>
        </w:rPr>
        <w:t xml:space="preserve"> leave Financial Recommendation 7 open for additional consideration </w:t>
      </w:r>
      <w:r w:rsidR="0095342B">
        <w:rPr>
          <w:rFonts w:eastAsiaTheme="minorHAnsi"/>
          <w:szCs w:val="20"/>
        </w:rPr>
        <w:t xml:space="preserve">in </w:t>
      </w:r>
      <w:r w:rsidR="00DA64AF">
        <w:rPr>
          <w:rFonts w:eastAsiaTheme="minorHAnsi"/>
          <w:szCs w:val="20"/>
        </w:rPr>
        <w:t>AEP-Ohio’s next FAC audit</w:t>
      </w:r>
      <w:r w:rsidR="0095342B">
        <w:rPr>
          <w:rFonts w:eastAsiaTheme="minorHAnsi"/>
          <w:szCs w:val="20"/>
        </w:rPr>
        <w:t xml:space="preserve"> report</w:t>
      </w:r>
      <w:r w:rsidR="00DA64AF">
        <w:rPr>
          <w:rFonts w:eastAsiaTheme="minorHAnsi"/>
          <w:szCs w:val="20"/>
        </w:rPr>
        <w:t xml:space="preserve">.    </w:t>
      </w:r>
    </w:p>
    <w:p w:rsidR="00877D01" w:rsidRPr="000D6ED1" w:rsidRDefault="00877D01" w:rsidP="000D6ED1">
      <w:pPr>
        <w:pStyle w:val="Heading3"/>
        <w:rPr>
          <w:rFonts w:ascii="Arial" w:hAnsi="Arial" w:cs="Arial"/>
        </w:rPr>
      </w:pPr>
      <w:bookmarkStart w:id="14" w:name="_Toc376963236"/>
      <w:r w:rsidRPr="000D6ED1">
        <w:rPr>
          <w:rFonts w:ascii="Arial" w:hAnsi="Arial" w:cs="Arial"/>
        </w:rPr>
        <w:t xml:space="preserve">The Commission should promptly appraise the </w:t>
      </w:r>
      <w:r w:rsidR="00C0356C" w:rsidRPr="000D6ED1">
        <w:rPr>
          <w:rFonts w:ascii="Arial" w:hAnsi="Arial" w:cs="Arial"/>
        </w:rPr>
        <w:t>Coal Reserve</w:t>
      </w:r>
      <w:bookmarkEnd w:id="14"/>
    </w:p>
    <w:p w:rsidR="0095342B" w:rsidRPr="0095342B" w:rsidRDefault="00A4705A" w:rsidP="005678B8">
      <w:pPr>
        <w:pStyle w:val="1definition"/>
        <w:ind w:firstLine="720"/>
      </w:pPr>
      <w:r>
        <w:t xml:space="preserve">The FAC Order determined that AEP overstated FAC costs in 2009 by excluding the value of </w:t>
      </w:r>
      <w:r w:rsidR="005B4DCD">
        <w:t xml:space="preserve">the </w:t>
      </w:r>
      <w:r>
        <w:t>Coal Reserve</w:t>
      </w:r>
      <w:r w:rsidR="00565155">
        <w:t xml:space="preserve">.  </w:t>
      </w:r>
      <w:r>
        <w:t>Moreover, t</w:t>
      </w:r>
      <w:r w:rsidR="00565155">
        <w:t xml:space="preserve">he </w:t>
      </w:r>
      <w:r w:rsidR="0095342B">
        <w:t xml:space="preserve">FAC Order determined that a request for proposals (“RFP”) would </w:t>
      </w:r>
      <w:r w:rsidR="0095342B" w:rsidRPr="0095342B">
        <w:t>be issued by subsequent entry for the purpose of selecting and hiring an auditor to examine the value of</w:t>
      </w:r>
      <w:r w:rsidR="0095342B">
        <w:t xml:space="preserve"> the </w:t>
      </w:r>
      <w:r>
        <w:t xml:space="preserve">Coal Reserve.  Because the Commission has </w:t>
      </w:r>
      <w:r>
        <w:lastRenderedPageBreak/>
        <w:t>not issued the RFP, the Commission has yet to provide customers relief from the excessive costs that AEP-Ohio flowed through the FAC during 2009</w:t>
      </w:r>
      <w:r w:rsidR="0095342B" w:rsidRPr="0095342B">
        <w:t>.  Depending on the findings under that future RFP wi</w:t>
      </w:r>
      <w:r>
        <w:t xml:space="preserve">th respect to the value of the </w:t>
      </w:r>
      <w:r w:rsidR="005C24BD">
        <w:t>Coal R</w:t>
      </w:r>
      <w:r w:rsidR="0095342B" w:rsidRPr="0095342B">
        <w:t>eserve, there could be an additional redu</w:t>
      </w:r>
      <w:r w:rsidR="005C24BD">
        <w:t xml:space="preserve">ction </w:t>
      </w:r>
      <w:r w:rsidR="0095342B">
        <w:t>to the deferred balance</w:t>
      </w:r>
      <w:r w:rsidR="0095342B" w:rsidRPr="0095342B">
        <w:t xml:space="preserve"> in addition to the</w:t>
      </w:r>
      <w:r w:rsidR="00C0356C">
        <w:t xml:space="preserve"> credit that the Commission</w:t>
      </w:r>
      <w:r w:rsidR="0095342B">
        <w:t xml:space="preserve"> ordered in the FAC Order</w:t>
      </w:r>
      <w:r w:rsidR="0095342B" w:rsidRPr="0095342B">
        <w:t>.  Such an adjustment would further re</w:t>
      </w:r>
      <w:r w:rsidR="0095342B">
        <w:t>duce the total deferred balance</w:t>
      </w:r>
      <w:r w:rsidR="0095342B" w:rsidRPr="0095342B">
        <w:t xml:space="preserve"> to ultimately be recovered</w:t>
      </w:r>
      <w:r w:rsidR="00F15098">
        <w:t xml:space="preserve"> and</w:t>
      </w:r>
      <w:r w:rsidR="0095342B" w:rsidRPr="0095342B">
        <w:t xml:space="preserve"> res</w:t>
      </w:r>
      <w:r w:rsidR="00C0356C">
        <w:t>ult in reduced carrying charges</w:t>
      </w:r>
      <w:r w:rsidR="0095342B" w:rsidRPr="0095342B">
        <w:t xml:space="preserve"> and reduced</w:t>
      </w:r>
      <w:r w:rsidR="002A0CE7">
        <w:t xml:space="preserve"> </w:t>
      </w:r>
      <w:r w:rsidR="0095342B" w:rsidRPr="0095342B">
        <w:t>PIRR rates.</w:t>
      </w:r>
      <w:r w:rsidR="0095342B">
        <w:t xml:space="preserve">  IEU-Ohio again urges the Commission to issue the RFP.</w:t>
      </w:r>
    </w:p>
    <w:p w:rsidR="009D3FA8" w:rsidRPr="000D6ED1" w:rsidRDefault="007138EF" w:rsidP="000D6ED1">
      <w:pPr>
        <w:pStyle w:val="Heading3"/>
        <w:rPr>
          <w:rFonts w:ascii="Arial" w:hAnsi="Arial" w:cs="Arial"/>
        </w:rPr>
      </w:pPr>
      <w:bookmarkStart w:id="15" w:name="_Toc376963237"/>
      <w:r w:rsidRPr="000D6ED1">
        <w:rPr>
          <w:rFonts w:ascii="Arial" w:hAnsi="Arial" w:cs="Arial"/>
        </w:rPr>
        <w:t>The Co</w:t>
      </w:r>
      <w:r w:rsidR="004263FA" w:rsidRPr="000D6ED1">
        <w:rPr>
          <w:rFonts w:ascii="Arial" w:hAnsi="Arial" w:cs="Arial"/>
        </w:rPr>
        <w:t xml:space="preserve">mmission should ensure that customers receive the customer-funded future below-market benefits that will accrue </w:t>
      </w:r>
      <w:r w:rsidRPr="000D6ED1">
        <w:rPr>
          <w:rFonts w:ascii="Arial" w:hAnsi="Arial" w:cs="Arial"/>
        </w:rPr>
        <w:t>to A</w:t>
      </w:r>
      <w:r w:rsidR="005C24BD" w:rsidRPr="000D6ED1">
        <w:rPr>
          <w:rFonts w:ascii="Arial" w:hAnsi="Arial" w:cs="Arial"/>
        </w:rPr>
        <w:t xml:space="preserve">EP-Ohio after </w:t>
      </w:r>
      <w:r w:rsidR="001347A9" w:rsidRPr="000D6ED1">
        <w:rPr>
          <w:rFonts w:ascii="Arial" w:hAnsi="Arial" w:cs="Arial"/>
        </w:rPr>
        <w:t>the FAC expir</w:t>
      </w:r>
      <w:r w:rsidR="00A46B09" w:rsidRPr="000D6ED1">
        <w:rPr>
          <w:rFonts w:ascii="Arial" w:hAnsi="Arial" w:cs="Arial"/>
        </w:rPr>
        <w:t>es</w:t>
      </w:r>
      <w:bookmarkEnd w:id="15"/>
      <w:r w:rsidR="00A46B09" w:rsidRPr="000D6ED1">
        <w:rPr>
          <w:rFonts w:ascii="Arial" w:hAnsi="Arial" w:cs="Arial"/>
        </w:rPr>
        <w:t xml:space="preserve"> </w:t>
      </w:r>
    </w:p>
    <w:p w:rsidR="00EA2628" w:rsidRPr="004263FA" w:rsidRDefault="004263FA" w:rsidP="00904E30">
      <w:pPr>
        <w:spacing w:line="480" w:lineRule="auto"/>
        <w:ind w:firstLine="720"/>
        <w:jc w:val="both"/>
        <w:rPr>
          <w:rFonts w:ascii="Arial" w:hAnsi="Arial" w:cs="Arial"/>
        </w:rPr>
      </w:pPr>
      <w:r w:rsidRPr="004263FA">
        <w:rPr>
          <w:rFonts w:ascii="Arial" w:hAnsi="Arial" w:cs="Arial"/>
        </w:rPr>
        <w:t>T</w:t>
      </w:r>
      <w:r w:rsidR="00130DDA">
        <w:rPr>
          <w:rFonts w:ascii="Arial" w:hAnsi="Arial" w:cs="Arial"/>
        </w:rPr>
        <w:t>he FAC Order</w:t>
      </w:r>
      <w:r w:rsidRPr="004263FA">
        <w:rPr>
          <w:rFonts w:ascii="Arial" w:hAnsi="Arial" w:cs="Arial"/>
        </w:rPr>
        <w:t xml:space="preserve"> recognized that AEP-Ohio passed higher fuel costs onto customers in 2009 in return for an option to purchase coal at a market discount during 2013 to 2018.</w:t>
      </w:r>
      <w:r w:rsidR="00130DDA">
        <w:rPr>
          <w:rStyle w:val="FootnoteReference"/>
          <w:rFonts w:ascii="Arial" w:hAnsi="Arial" w:cs="Arial"/>
        </w:rPr>
        <w:footnoteReference w:id="101"/>
      </w:r>
      <w:r w:rsidRPr="004263FA">
        <w:rPr>
          <w:rFonts w:ascii="Arial" w:hAnsi="Arial" w:cs="Arial"/>
        </w:rPr>
        <w:t xml:space="preserve">  The FAC Order determined that it would address this issue in a future audit report because the discount would accrue outside of the audit period under review.  At the time of the FAC Order, however, it was not certain that AEP-Ohio would not have an FAC at the time AEP-Ohio received the d</w:t>
      </w:r>
      <w:r w:rsidR="00B474AB">
        <w:rPr>
          <w:rFonts w:ascii="Arial" w:hAnsi="Arial" w:cs="Arial"/>
        </w:rPr>
        <w:t>iscounted coal.  Thus, there was</w:t>
      </w:r>
      <w:r w:rsidRPr="004263FA">
        <w:rPr>
          <w:rFonts w:ascii="Arial" w:hAnsi="Arial" w:cs="Arial"/>
        </w:rPr>
        <w:t xml:space="preserve"> a possibility that from 2013 to 2018 AEP-Ohio</w:t>
      </w:r>
      <w:r w:rsidR="00B474AB">
        <w:rPr>
          <w:rFonts w:ascii="Arial" w:hAnsi="Arial" w:cs="Arial"/>
        </w:rPr>
        <w:t xml:space="preserve"> could potentially </w:t>
      </w:r>
      <w:r w:rsidRPr="004263FA">
        <w:rPr>
          <w:rFonts w:ascii="Arial" w:hAnsi="Arial" w:cs="Arial"/>
        </w:rPr>
        <w:t>flow back the benefits of the below-market coal</w:t>
      </w:r>
      <w:r w:rsidR="00B474AB">
        <w:rPr>
          <w:rFonts w:ascii="Arial" w:hAnsi="Arial" w:cs="Arial"/>
        </w:rPr>
        <w:t xml:space="preserve"> to customers</w:t>
      </w:r>
      <w:r w:rsidRPr="004263FA">
        <w:rPr>
          <w:rFonts w:ascii="Arial" w:hAnsi="Arial" w:cs="Arial"/>
        </w:rPr>
        <w:t xml:space="preserve">.  </w:t>
      </w:r>
      <w:r w:rsidR="00F15098">
        <w:rPr>
          <w:rFonts w:ascii="Arial" w:hAnsi="Arial" w:cs="Arial"/>
        </w:rPr>
        <w:t>After December 31, 2014, however, AEP-Ohio has been ordered to initiate an energy only auction for the remaining five months of ESP II.</w:t>
      </w:r>
      <w:r w:rsidR="008E627A">
        <w:rPr>
          <w:rStyle w:val="FootnoteReference"/>
          <w:rFonts w:ascii="Arial" w:hAnsi="Arial" w:cs="Arial"/>
        </w:rPr>
        <w:footnoteReference w:id="102"/>
      </w:r>
      <w:r w:rsidR="00F15098">
        <w:rPr>
          <w:rFonts w:ascii="Arial" w:hAnsi="Arial" w:cs="Arial"/>
        </w:rPr>
        <w:t xml:space="preserve">  It has proposed to provide an SSO that is based on an auction for all energy and capacity beginning on June 1, 2015 and to use the FAC to finally true up its remaining outstanding fuel costs.</w:t>
      </w:r>
      <w:r w:rsidR="00130DDA">
        <w:rPr>
          <w:rStyle w:val="FootnoteReference"/>
          <w:rFonts w:ascii="Arial" w:hAnsi="Arial" w:cs="Arial"/>
        </w:rPr>
        <w:footnoteReference w:id="103"/>
      </w:r>
      <w:r w:rsidR="00F15098">
        <w:rPr>
          <w:rFonts w:ascii="Arial" w:hAnsi="Arial" w:cs="Arial"/>
        </w:rPr>
        <w:t xml:space="preserve">  Based on the ESP II order and AEP-Ohio’s ESP III </w:t>
      </w:r>
      <w:r w:rsidR="00F15098">
        <w:rPr>
          <w:rFonts w:ascii="Arial" w:hAnsi="Arial" w:cs="Arial"/>
        </w:rPr>
        <w:lastRenderedPageBreak/>
        <w:t>application, therefore, customers may never realize the benefit</w:t>
      </w:r>
      <w:r w:rsidR="008E627A">
        <w:rPr>
          <w:rFonts w:ascii="Arial" w:hAnsi="Arial" w:cs="Arial"/>
        </w:rPr>
        <w:t xml:space="preserve"> of the customer-funded discount</w:t>
      </w:r>
      <w:r w:rsidR="00F15098">
        <w:rPr>
          <w:rFonts w:ascii="Arial" w:hAnsi="Arial" w:cs="Arial"/>
        </w:rPr>
        <w:t xml:space="preserve"> unless the Commission adopts a mechanism to adjust current rates for the future expected benefits of the renegotiated contracts.</w:t>
      </w:r>
      <w:r w:rsidRPr="004263FA">
        <w:rPr>
          <w:rFonts w:ascii="Arial" w:hAnsi="Arial" w:cs="Arial"/>
        </w:rPr>
        <w:t xml:space="preserve">   </w:t>
      </w:r>
    </w:p>
    <w:p w:rsidR="0033724C" w:rsidRDefault="004263FA" w:rsidP="005678B8">
      <w:pPr>
        <w:spacing w:line="480" w:lineRule="auto"/>
        <w:ind w:firstLine="720"/>
        <w:jc w:val="both"/>
        <w:rPr>
          <w:rFonts w:ascii="Arial" w:hAnsi="Arial" w:cs="Arial"/>
        </w:rPr>
      </w:pPr>
      <w:r w:rsidRPr="004263FA">
        <w:rPr>
          <w:rFonts w:ascii="Arial" w:hAnsi="Arial" w:cs="Arial"/>
        </w:rPr>
        <w:t xml:space="preserve">IEU-Ohio proposes two ways to ensure </w:t>
      </w:r>
      <w:r w:rsidR="00E9281A">
        <w:rPr>
          <w:rFonts w:ascii="Arial" w:hAnsi="Arial" w:cs="Arial"/>
        </w:rPr>
        <w:t xml:space="preserve">that </w:t>
      </w:r>
      <w:r w:rsidR="00F15098">
        <w:rPr>
          <w:rFonts w:ascii="Arial" w:hAnsi="Arial" w:cs="Arial"/>
        </w:rPr>
        <w:t>SSO customers realize those benefits that would otherwise be lost</w:t>
      </w:r>
      <w:r w:rsidRPr="004263FA">
        <w:rPr>
          <w:rFonts w:ascii="Arial" w:hAnsi="Arial" w:cs="Arial"/>
        </w:rPr>
        <w:t>.  First, the Commission should direct AEP-Ohio to record a regulatory liability for the estimated value of the future customer benefits that will accrue from 2013 through 2018 and amortize the regulatory liability over the period that the benefits are realized.</w:t>
      </w:r>
      <w:r w:rsidR="00C0356C">
        <w:rPr>
          <w:rStyle w:val="FootnoteReference"/>
          <w:rFonts w:ascii="Arial" w:hAnsi="Arial" w:cs="Arial"/>
        </w:rPr>
        <w:footnoteReference w:id="104"/>
      </w:r>
      <w:r w:rsidRPr="004263FA">
        <w:rPr>
          <w:rFonts w:ascii="Arial" w:hAnsi="Arial" w:cs="Arial"/>
        </w:rPr>
        <w:t xml:space="preserve">  The amortization would first be made as reductions to the FAC rates as long as the FAC is in existence, then as reductions to another cost or a regulatory asset that the Commission deems appropriate.</w:t>
      </w:r>
      <w:r w:rsidR="00A46B09">
        <w:rPr>
          <w:rStyle w:val="FootnoteReference"/>
          <w:rFonts w:ascii="Arial" w:hAnsi="Arial" w:cs="Arial"/>
        </w:rPr>
        <w:footnoteReference w:id="105"/>
      </w:r>
      <w:r w:rsidRPr="004263FA">
        <w:rPr>
          <w:rFonts w:ascii="Arial" w:hAnsi="Arial" w:cs="Arial"/>
        </w:rPr>
        <w:t xml:space="preserve">  </w:t>
      </w:r>
    </w:p>
    <w:p w:rsidR="004263FA" w:rsidRPr="004263FA" w:rsidRDefault="00E9281A" w:rsidP="005678B8">
      <w:pPr>
        <w:spacing w:line="480" w:lineRule="auto"/>
        <w:ind w:firstLine="720"/>
        <w:jc w:val="both"/>
        <w:rPr>
          <w:rFonts w:ascii="Arial" w:hAnsi="Arial" w:cs="Arial"/>
        </w:rPr>
      </w:pPr>
      <w:r>
        <w:rPr>
          <w:rFonts w:ascii="Arial" w:hAnsi="Arial" w:cs="Arial"/>
        </w:rPr>
        <w:t>Alternatively</w:t>
      </w:r>
      <w:r w:rsidR="004263FA" w:rsidRPr="004263FA">
        <w:rPr>
          <w:rFonts w:ascii="Arial" w:hAnsi="Arial" w:cs="Arial"/>
        </w:rPr>
        <w:t xml:space="preserve">, IEU-Ohio proposes that the Commission direct AEP-Ohio to flow through as a reconciliation adjustment to the FAC the net present value of the below market discount that will </w:t>
      </w:r>
      <w:r w:rsidR="008E627A">
        <w:rPr>
          <w:rFonts w:ascii="Arial" w:hAnsi="Arial" w:cs="Arial"/>
        </w:rPr>
        <w:t>accrue to AEP-Ohio after AEP-Ohio no longer charges fuel costs to retail customers</w:t>
      </w:r>
      <w:r w:rsidR="004263FA" w:rsidRPr="004263FA">
        <w:rPr>
          <w:rFonts w:ascii="Arial" w:hAnsi="Arial" w:cs="Arial"/>
        </w:rPr>
        <w:t xml:space="preserve">.  </w:t>
      </w:r>
    </w:p>
    <w:p w:rsidR="001347A9" w:rsidRDefault="004263FA" w:rsidP="00ED6D97">
      <w:pPr>
        <w:spacing w:after="120" w:line="480" w:lineRule="auto"/>
        <w:ind w:firstLine="720"/>
        <w:jc w:val="both"/>
        <w:rPr>
          <w:rFonts w:ascii="Arial" w:hAnsi="Arial" w:cs="Arial"/>
        </w:rPr>
      </w:pPr>
      <w:r w:rsidRPr="004263FA">
        <w:rPr>
          <w:rFonts w:ascii="Arial" w:hAnsi="Arial" w:cs="Arial"/>
        </w:rPr>
        <w:t>If the Commission doe</w:t>
      </w:r>
      <w:r w:rsidR="006D3C85">
        <w:rPr>
          <w:rFonts w:ascii="Arial" w:hAnsi="Arial" w:cs="Arial"/>
        </w:rPr>
        <w:t>s not adopt either of the above proposals</w:t>
      </w:r>
      <w:r w:rsidRPr="004263FA">
        <w:rPr>
          <w:rFonts w:ascii="Arial" w:hAnsi="Arial" w:cs="Arial"/>
        </w:rPr>
        <w:t xml:space="preserve"> then, alternatively, I</w:t>
      </w:r>
      <w:r w:rsidR="006D3C85">
        <w:rPr>
          <w:rFonts w:ascii="Arial" w:hAnsi="Arial" w:cs="Arial"/>
        </w:rPr>
        <w:t>EU-Ohio</w:t>
      </w:r>
      <w:r w:rsidRPr="004263FA">
        <w:rPr>
          <w:rFonts w:ascii="Arial" w:hAnsi="Arial" w:cs="Arial"/>
        </w:rPr>
        <w:t xml:space="preserve"> recommend</w:t>
      </w:r>
      <w:r w:rsidR="006D3C85">
        <w:rPr>
          <w:rFonts w:ascii="Arial" w:hAnsi="Arial" w:cs="Arial"/>
        </w:rPr>
        <w:t>s</w:t>
      </w:r>
      <w:r w:rsidRPr="004263FA">
        <w:rPr>
          <w:rFonts w:ascii="Arial" w:hAnsi="Arial" w:cs="Arial"/>
        </w:rPr>
        <w:t xml:space="preserve"> that the Commission revisit this issue in th</w:t>
      </w:r>
      <w:r w:rsidR="003B603F">
        <w:rPr>
          <w:rFonts w:ascii="Arial" w:hAnsi="Arial" w:cs="Arial"/>
        </w:rPr>
        <w:t>e next FAC audit proceeding</w:t>
      </w:r>
      <w:r w:rsidRPr="004263FA">
        <w:rPr>
          <w:rFonts w:ascii="Arial" w:hAnsi="Arial" w:cs="Arial"/>
        </w:rPr>
        <w:t xml:space="preserve"> for the purpose of putting in place a mechanism to as</w:t>
      </w:r>
      <w:r w:rsidR="00565155">
        <w:rPr>
          <w:rFonts w:ascii="Arial" w:hAnsi="Arial" w:cs="Arial"/>
        </w:rPr>
        <w:t xml:space="preserve">sure that customers receive the </w:t>
      </w:r>
      <w:r w:rsidR="003B603F">
        <w:rPr>
          <w:rFonts w:ascii="Arial" w:hAnsi="Arial" w:cs="Arial"/>
        </w:rPr>
        <w:t>benefit</w:t>
      </w:r>
      <w:r w:rsidR="00750C94">
        <w:rPr>
          <w:rFonts w:ascii="Arial" w:hAnsi="Arial" w:cs="Arial"/>
        </w:rPr>
        <w:t>s</w:t>
      </w:r>
      <w:r w:rsidR="003B603F">
        <w:rPr>
          <w:rFonts w:ascii="Arial" w:hAnsi="Arial" w:cs="Arial"/>
        </w:rPr>
        <w:t xml:space="preserve"> of the customer-funded discount</w:t>
      </w:r>
      <w:r w:rsidRPr="004263FA">
        <w:rPr>
          <w:rFonts w:ascii="Arial" w:hAnsi="Arial" w:cs="Arial"/>
        </w:rPr>
        <w:t>.</w:t>
      </w:r>
    </w:p>
    <w:p w:rsidR="001347A9" w:rsidRDefault="001347A9">
      <w:pPr>
        <w:rPr>
          <w:rFonts w:ascii="Arial" w:hAnsi="Arial" w:cs="Arial"/>
        </w:rPr>
      </w:pPr>
      <w:r>
        <w:rPr>
          <w:rFonts w:ascii="Arial" w:hAnsi="Arial" w:cs="Arial"/>
        </w:rPr>
        <w:br w:type="page"/>
      </w:r>
    </w:p>
    <w:p w:rsidR="00904E30" w:rsidRPr="000D6ED1" w:rsidRDefault="00904E30" w:rsidP="000D6ED1">
      <w:pPr>
        <w:pStyle w:val="Heading1"/>
        <w:rPr>
          <w:rFonts w:ascii="Arial" w:hAnsi="Arial" w:cs="Arial"/>
        </w:rPr>
      </w:pPr>
      <w:bookmarkStart w:id="16" w:name="_Toc376963238"/>
      <w:r w:rsidRPr="000D6ED1">
        <w:rPr>
          <w:rFonts w:ascii="Arial" w:hAnsi="Arial" w:cs="Arial"/>
        </w:rPr>
        <w:lastRenderedPageBreak/>
        <w:t>Conclusion</w:t>
      </w:r>
      <w:bookmarkEnd w:id="16"/>
    </w:p>
    <w:p w:rsidR="00904E30" w:rsidRPr="00904E30" w:rsidRDefault="00904E30" w:rsidP="00904E30">
      <w:pPr>
        <w:spacing w:line="480" w:lineRule="auto"/>
        <w:jc w:val="both"/>
        <w:rPr>
          <w:rFonts w:ascii="Arial" w:hAnsi="Arial" w:cs="Arial"/>
        </w:rPr>
      </w:pPr>
      <w:r>
        <w:rPr>
          <w:rFonts w:ascii="Arial" w:hAnsi="Arial" w:cs="Arial"/>
          <w:b/>
        </w:rPr>
        <w:tab/>
      </w:r>
      <w:r>
        <w:rPr>
          <w:rFonts w:ascii="Arial" w:hAnsi="Arial" w:cs="Arial"/>
        </w:rPr>
        <w:t>For the reasons stated herein, IEU-Ohio urges the Co</w:t>
      </w:r>
      <w:r w:rsidR="0001455A">
        <w:rPr>
          <w:rFonts w:ascii="Arial" w:hAnsi="Arial" w:cs="Arial"/>
        </w:rPr>
        <w:t>mmission</w:t>
      </w:r>
      <w:r w:rsidR="005C24BD">
        <w:rPr>
          <w:rFonts w:ascii="Arial" w:hAnsi="Arial" w:cs="Arial"/>
        </w:rPr>
        <w:t xml:space="preserve"> to</w:t>
      </w:r>
      <w:r w:rsidR="0001455A">
        <w:rPr>
          <w:rFonts w:ascii="Arial" w:hAnsi="Arial" w:cs="Arial"/>
        </w:rPr>
        <w:t xml:space="preserve"> correct AEP-Ohio’s double</w:t>
      </w:r>
      <w:r>
        <w:rPr>
          <w:rFonts w:ascii="Arial" w:hAnsi="Arial" w:cs="Arial"/>
        </w:rPr>
        <w:t xml:space="preserve"> recovery of purchase</w:t>
      </w:r>
      <w:r w:rsidR="003B603F">
        <w:rPr>
          <w:rFonts w:ascii="Arial" w:hAnsi="Arial" w:cs="Arial"/>
        </w:rPr>
        <w:t>d</w:t>
      </w:r>
      <w:r w:rsidR="00511021">
        <w:rPr>
          <w:rFonts w:ascii="Arial" w:hAnsi="Arial" w:cs="Arial"/>
        </w:rPr>
        <w:t xml:space="preserve"> power costs, with</w:t>
      </w:r>
      <w:r>
        <w:rPr>
          <w:rFonts w:ascii="Arial" w:hAnsi="Arial" w:cs="Arial"/>
        </w:rPr>
        <w:t xml:space="preserve"> carrying charges during 2010 and 2011.  Moreover, IEU-Ohio urges the Commission to</w:t>
      </w:r>
      <w:r w:rsidR="0001455A">
        <w:rPr>
          <w:rFonts w:ascii="Arial" w:hAnsi="Arial" w:cs="Arial"/>
        </w:rPr>
        <w:t xml:space="preserve"> direct AEP-Ohio to accrue carrying charges on the deferred balance reduced for the effect of ADIT.  Finally, </w:t>
      </w:r>
      <w:r w:rsidR="001347A9">
        <w:rPr>
          <w:rFonts w:ascii="Arial" w:hAnsi="Arial" w:cs="Arial"/>
        </w:rPr>
        <w:t xml:space="preserve">    </w:t>
      </w:r>
      <w:r w:rsidR="0001455A">
        <w:rPr>
          <w:rFonts w:ascii="Arial" w:hAnsi="Arial" w:cs="Arial"/>
        </w:rPr>
        <w:t>IEU-Ohio urges the Commission to</w:t>
      </w:r>
      <w:r>
        <w:rPr>
          <w:rFonts w:ascii="Arial" w:hAnsi="Arial" w:cs="Arial"/>
        </w:rPr>
        <w:t xml:space="preserve"> address unresolved issues from the audit of the </w:t>
      </w:r>
      <w:r w:rsidRPr="00023BB3">
        <w:rPr>
          <w:rFonts w:ascii="Arial" w:hAnsi="Arial" w:cs="Arial"/>
          <w:i/>
        </w:rPr>
        <w:t xml:space="preserve">2009 FAC </w:t>
      </w:r>
      <w:r w:rsidR="00750C94" w:rsidRPr="00023BB3">
        <w:rPr>
          <w:rFonts w:ascii="Arial" w:hAnsi="Arial" w:cs="Arial"/>
          <w:i/>
        </w:rPr>
        <w:t>C</w:t>
      </w:r>
      <w:r w:rsidRPr="00023BB3">
        <w:rPr>
          <w:rFonts w:ascii="Arial" w:hAnsi="Arial" w:cs="Arial"/>
          <w:i/>
        </w:rPr>
        <w:t>ase</w:t>
      </w:r>
      <w:r>
        <w:rPr>
          <w:rFonts w:ascii="Arial" w:hAnsi="Arial" w:cs="Arial"/>
        </w:rPr>
        <w:t xml:space="preserve">.  </w:t>
      </w:r>
    </w:p>
    <w:p w:rsidR="00D95797" w:rsidRDefault="00D95797" w:rsidP="00D95797">
      <w:pPr>
        <w:tabs>
          <w:tab w:val="left" w:pos="4320"/>
          <w:tab w:val="right" w:pos="8640"/>
        </w:tabs>
        <w:ind w:left="4320"/>
        <w:jc w:val="both"/>
        <w:rPr>
          <w:rFonts w:ascii="Arial" w:hAnsi="Arial" w:cs="Arial"/>
        </w:rPr>
      </w:pPr>
      <w:r>
        <w:rPr>
          <w:rFonts w:ascii="Arial" w:hAnsi="Arial" w:cs="Arial"/>
        </w:rPr>
        <w:t>Respectfully submitted,</w:t>
      </w:r>
    </w:p>
    <w:p w:rsidR="00D95797" w:rsidRDefault="00D95797" w:rsidP="00D95797">
      <w:pPr>
        <w:tabs>
          <w:tab w:val="left" w:pos="4320"/>
          <w:tab w:val="right" w:pos="8640"/>
        </w:tabs>
        <w:ind w:left="4320"/>
        <w:jc w:val="both"/>
        <w:rPr>
          <w:rFonts w:ascii="Arial" w:hAnsi="Arial" w:cs="Arial"/>
        </w:rPr>
      </w:pPr>
    </w:p>
    <w:p w:rsidR="00D95797" w:rsidRDefault="00D95797" w:rsidP="00D95797">
      <w:pPr>
        <w:tabs>
          <w:tab w:val="left" w:pos="4320"/>
          <w:tab w:val="right" w:pos="8640"/>
        </w:tabs>
        <w:ind w:left="4320"/>
        <w:jc w:val="both"/>
        <w:rPr>
          <w:rFonts w:ascii="Arial" w:hAnsi="Arial" w:cs="Arial"/>
        </w:rPr>
      </w:pPr>
    </w:p>
    <w:p w:rsidR="00D95797" w:rsidRPr="000D6ED1" w:rsidRDefault="000D6ED1" w:rsidP="00D95797">
      <w:pPr>
        <w:tabs>
          <w:tab w:val="left" w:pos="4320"/>
          <w:tab w:val="right" w:pos="8640"/>
        </w:tabs>
        <w:ind w:left="4320"/>
        <w:jc w:val="both"/>
        <w:rPr>
          <w:rFonts w:ascii="Arial" w:hAnsi="Arial" w:cs="Arial"/>
        </w:rPr>
      </w:pPr>
      <w:r>
        <w:rPr>
          <w:rFonts w:ascii="Arial" w:hAnsi="Arial" w:cs="Arial"/>
        </w:rPr>
        <w:t>/s/ Joseph E. Oliker</w:t>
      </w:r>
    </w:p>
    <w:p w:rsidR="00D95797" w:rsidRDefault="00D95797" w:rsidP="00D95797">
      <w:pPr>
        <w:pBdr>
          <w:top w:val="single" w:sz="4" w:space="1" w:color="auto"/>
        </w:pBdr>
        <w:tabs>
          <w:tab w:val="left" w:pos="4320"/>
          <w:tab w:val="right" w:pos="8640"/>
        </w:tabs>
        <w:ind w:left="4320"/>
        <w:jc w:val="both"/>
        <w:rPr>
          <w:rFonts w:ascii="Arial" w:hAnsi="Arial" w:cs="Arial"/>
        </w:rPr>
      </w:pPr>
      <w:r>
        <w:rPr>
          <w:rFonts w:ascii="Arial" w:hAnsi="Arial" w:cs="Arial"/>
        </w:rPr>
        <w:t>Samuel C. Randazzo (Counsel of Record)</w:t>
      </w:r>
    </w:p>
    <w:p w:rsidR="00D95797" w:rsidRDefault="00D95797" w:rsidP="00D95797">
      <w:pPr>
        <w:pStyle w:val="BodyText3"/>
        <w:widowControl w:val="0"/>
        <w:tabs>
          <w:tab w:val="left" w:pos="4320"/>
        </w:tabs>
        <w:spacing w:after="0"/>
        <w:ind w:left="4320"/>
        <w:jc w:val="both"/>
        <w:rPr>
          <w:rFonts w:ascii="Arial" w:hAnsi="Arial" w:cs="Arial"/>
          <w:bCs/>
          <w:sz w:val="24"/>
          <w:szCs w:val="24"/>
        </w:rPr>
      </w:pPr>
      <w:r>
        <w:rPr>
          <w:rFonts w:ascii="Arial" w:hAnsi="Arial" w:cs="Arial"/>
          <w:bCs/>
          <w:sz w:val="24"/>
          <w:szCs w:val="24"/>
        </w:rPr>
        <w:t>Frank P. Darr</w:t>
      </w:r>
    </w:p>
    <w:p w:rsidR="00D95797" w:rsidRDefault="00D95797" w:rsidP="00D95797">
      <w:pPr>
        <w:pStyle w:val="BodyText3"/>
        <w:widowControl w:val="0"/>
        <w:tabs>
          <w:tab w:val="left" w:pos="4320"/>
        </w:tabs>
        <w:spacing w:after="0"/>
        <w:ind w:left="4320"/>
        <w:jc w:val="both"/>
        <w:rPr>
          <w:rFonts w:ascii="Arial" w:hAnsi="Arial" w:cs="Arial"/>
          <w:bCs/>
          <w:sz w:val="24"/>
          <w:szCs w:val="24"/>
        </w:rPr>
      </w:pPr>
      <w:r>
        <w:rPr>
          <w:rFonts w:ascii="Arial" w:hAnsi="Arial" w:cs="Arial"/>
          <w:bCs/>
          <w:sz w:val="24"/>
          <w:szCs w:val="24"/>
        </w:rPr>
        <w:t>Joseph E. Oliker</w:t>
      </w:r>
    </w:p>
    <w:p w:rsidR="00D95797" w:rsidRDefault="00D95797" w:rsidP="00D95797">
      <w:pPr>
        <w:pStyle w:val="BodyText3"/>
        <w:widowControl w:val="0"/>
        <w:tabs>
          <w:tab w:val="left" w:pos="4320"/>
        </w:tabs>
        <w:spacing w:after="0"/>
        <w:ind w:left="4320"/>
        <w:jc w:val="both"/>
        <w:rPr>
          <w:rFonts w:ascii="Arial" w:hAnsi="Arial" w:cs="Arial"/>
          <w:b/>
          <w:bCs/>
          <w:sz w:val="24"/>
          <w:szCs w:val="24"/>
        </w:rPr>
      </w:pPr>
      <w:r>
        <w:rPr>
          <w:rFonts w:ascii="Arial" w:hAnsi="Arial" w:cs="Arial"/>
          <w:bCs/>
          <w:sz w:val="24"/>
          <w:szCs w:val="24"/>
        </w:rPr>
        <w:t>Matthew R. Pritchard</w:t>
      </w:r>
    </w:p>
    <w:p w:rsidR="00D95797" w:rsidRDefault="00D95797" w:rsidP="00D95797">
      <w:pPr>
        <w:pStyle w:val="BodyText3"/>
        <w:widowControl w:val="0"/>
        <w:tabs>
          <w:tab w:val="left" w:pos="4320"/>
        </w:tabs>
        <w:spacing w:after="0"/>
        <w:ind w:left="4320"/>
        <w:jc w:val="both"/>
        <w:rPr>
          <w:rFonts w:ascii="Arial" w:hAnsi="Arial" w:cs="Arial"/>
          <w:b/>
          <w:bCs/>
          <w:smallCaps/>
          <w:sz w:val="24"/>
          <w:szCs w:val="24"/>
        </w:rPr>
      </w:pPr>
      <w:r>
        <w:rPr>
          <w:rFonts w:ascii="Arial" w:hAnsi="Arial" w:cs="Arial"/>
          <w:bCs/>
          <w:smallCaps/>
          <w:sz w:val="24"/>
          <w:szCs w:val="24"/>
        </w:rPr>
        <w:t>McNees Wallace &amp; Nurick LLC</w:t>
      </w:r>
    </w:p>
    <w:p w:rsidR="00D95797" w:rsidRDefault="00D95797" w:rsidP="00D95797">
      <w:pPr>
        <w:pStyle w:val="BodyText3"/>
        <w:widowControl w:val="0"/>
        <w:tabs>
          <w:tab w:val="left" w:pos="4320"/>
        </w:tabs>
        <w:spacing w:after="0"/>
        <w:ind w:left="4320"/>
        <w:jc w:val="both"/>
        <w:rPr>
          <w:rFonts w:ascii="Arial" w:hAnsi="Arial" w:cs="Arial"/>
          <w:b/>
          <w:bCs/>
          <w:sz w:val="24"/>
          <w:szCs w:val="24"/>
        </w:rPr>
      </w:pPr>
      <w:r>
        <w:rPr>
          <w:rFonts w:ascii="Arial" w:hAnsi="Arial" w:cs="Arial"/>
          <w:bCs/>
          <w:sz w:val="24"/>
          <w:szCs w:val="24"/>
        </w:rPr>
        <w:t>21 East State Street, 17</w:t>
      </w:r>
      <w:r>
        <w:rPr>
          <w:rFonts w:ascii="Arial" w:hAnsi="Arial" w:cs="Arial"/>
          <w:bCs/>
          <w:sz w:val="24"/>
          <w:szCs w:val="24"/>
          <w:vertAlign w:val="superscript"/>
        </w:rPr>
        <w:t>TH</w:t>
      </w:r>
      <w:r>
        <w:rPr>
          <w:rFonts w:ascii="Arial" w:hAnsi="Arial" w:cs="Arial"/>
          <w:bCs/>
          <w:sz w:val="24"/>
          <w:szCs w:val="24"/>
        </w:rPr>
        <w:t xml:space="preserve"> Floor</w:t>
      </w:r>
    </w:p>
    <w:p w:rsidR="00D95797" w:rsidRDefault="00D95797" w:rsidP="00D95797">
      <w:pPr>
        <w:pStyle w:val="BodyText"/>
        <w:tabs>
          <w:tab w:val="left" w:pos="4320"/>
        </w:tabs>
        <w:ind w:left="4320"/>
        <w:rPr>
          <w:b w:val="0"/>
          <w:smallCaps w:val="0"/>
        </w:rPr>
      </w:pPr>
      <w:r>
        <w:rPr>
          <w:b w:val="0"/>
          <w:smallCaps w:val="0"/>
        </w:rPr>
        <w:t>Columbus, OH  43215</w:t>
      </w:r>
    </w:p>
    <w:p w:rsidR="00D95797" w:rsidRDefault="00D95797" w:rsidP="00D95797">
      <w:pPr>
        <w:pStyle w:val="BodyText"/>
        <w:tabs>
          <w:tab w:val="left" w:pos="4320"/>
        </w:tabs>
        <w:ind w:left="4320"/>
        <w:rPr>
          <w:b w:val="0"/>
          <w:smallCaps w:val="0"/>
        </w:rPr>
      </w:pPr>
      <w:r>
        <w:rPr>
          <w:b w:val="0"/>
          <w:smallCaps w:val="0"/>
        </w:rPr>
        <w:t>Telephone:  (614) 469-8000</w:t>
      </w:r>
    </w:p>
    <w:p w:rsidR="00D95797" w:rsidRDefault="00D95797" w:rsidP="00D95797">
      <w:pPr>
        <w:pStyle w:val="BodyText"/>
        <w:tabs>
          <w:tab w:val="left" w:pos="4320"/>
        </w:tabs>
        <w:ind w:left="4320"/>
        <w:rPr>
          <w:b w:val="0"/>
          <w:smallCaps w:val="0"/>
        </w:rPr>
      </w:pPr>
      <w:r>
        <w:rPr>
          <w:b w:val="0"/>
          <w:smallCaps w:val="0"/>
        </w:rPr>
        <w:t>Telecopier:  (614) 469-4653</w:t>
      </w:r>
    </w:p>
    <w:p w:rsidR="00D95797" w:rsidRDefault="00D95797" w:rsidP="00D95797">
      <w:pPr>
        <w:pStyle w:val="BodyText"/>
        <w:ind w:left="4320"/>
        <w:rPr>
          <w:b w:val="0"/>
          <w:smallCaps w:val="0"/>
        </w:rPr>
      </w:pPr>
      <w:r>
        <w:rPr>
          <w:b w:val="0"/>
          <w:smallCaps w:val="0"/>
        </w:rPr>
        <w:t>sam@mwncmh.com</w:t>
      </w:r>
    </w:p>
    <w:p w:rsidR="00D95797" w:rsidRDefault="00D95797" w:rsidP="00D95797">
      <w:pPr>
        <w:pStyle w:val="BodyText"/>
        <w:ind w:left="4320"/>
        <w:rPr>
          <w:b w:val="0"/>
          <w:smallCaps w:val="0"/>
        </w:rPr>
      </w:pPr>
      <w:r>
        <w:rPr>
          <w:b w:val="0"/>
          <w:smallCaps w:val="0"/>
        </w:rPr>
        <w:t>fdarr@mwncmh.com</w:t>
      </w:r>
    </w:p>
    <w:p w:rsidR="00D95797" w:rsidRDefault="00D95797" w:rsidP="00D95797">
      <w:pPr>
        <w:pStyle w:val="BodyText"/>
        <w:ind w:left="4320"/>
        <w:rPr>
          <w:b w:val="0"/>
          <w:smallCaps w:val="0"/>
        </w:rPr>
      </w:pPr>
      <w:r>
        <w:rPr>
          <w:b w:val="0"/>
          <w:smallCaps w:val="0"/>
        </w:rPr>
        <w:t>joliker@mwncmh.com</w:t>
      </w:r>
    </w:p>
    <w:p w:rsidR="00D95797" w:rsidRPr="00D95797" w:rsidRDefault="00D95797" w:rsidP="00D95797">
      <w:pPr>
        <w:pStyle w:val="BodyText"/>
        <w:ind w:left="4320"/>
        <w:rPr>
          <w:rFonts w:cs="Arial"/>
          <w:b w:val="0"/>
        </w:rPr>
      </w:pPr>
      <w:r w:rsidRPr="00D95797">
        <w:rPr>
          <w:rFonts w:cs="Arial"/>
          <w:b w:val="0"/>
          <w:smallCaps w:val="0"/>
        </w:rPr>
        <w:t>mpritchard@mwncmh.com</w:t>
      </w:r>
    </w:p>
    <w:p w:rsidR="00D95797" w:rsidRDefault="00D95797" w:rsidP="00D95797">
      <w:pPr>
        <w:jc w:val="both"/>
        <w:rPr>
          <w:rFonts w:ascii="Arial" w:hAnsi="Arial" w:cs="Arial"/>
          <w:b/>
        </w:rPr>
      </w:pPr>
    </w:p>
    <w:p w:rsidR="00D95797" w:rsidRDefault="00D95797" w:rsidP="00D95797">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D95797">
        <w:rPr>
          <w:rFonts w:ascii="Arial" w:hAnsi="Arial" w:cs="Arial"/>
          <w:b/>
        </w:rPr>
        <w:t>Attorneys for Industrial Energy Users-Ohi</w:t>
      </w:r>
      <w:r>
        <w:rPr>
          <w:rFonts w:ascii="Arial" w:hAnsi="Arial" w:cs="Arial"/>
          <w:b/>
        </w:rPr>
        <w:t>o</w:t>
      </w:r>
    </w:p>
    <w:p w:rsidR="000D6ED1" w:rsidRPr="00D95797" w:rsidRDefault="000D6ED1" w:rsidP="00D95797">
      <w:pPr>
        <w:jc w:val="both"/>
        <w:rPr>
          <w:rFonts w:ascii="Arial" w:hAnsi="Arial" w:cs="Arial"/>
          <w:b/>
        </w:rPr>
      </w:pPr>
    </w:p>
    <w:p w:rsidR="00156C32" w:rsidRDefault="00156C32" w:rsidP="00D95797">
      <w:pPr>
        <w:jc w:val="both"/>
        <w:rPr>
          <w:rFonts w:ascii="Arial" w:hAnsi="Arial" w:cs="Arial"/>
        </w:rPr>
        <w:sectPr w:rsidR="00156C32" w:rsidSect="002A0CE7">
          <w:headerReference w:type="default" r:id="rId18"/>
          <w:footerReference w:type="default" r:id="rId19"/>
          <w:headerReference w:type="first" r:id="rId20"/>
          <w:footerReference w:type="first" r:id="rId21"/>
          <w:pgSz w:w="12240" w:h="15840" w:code="1"/>
          <w:pgMar w:top="1440" w:right="1440" w:bottom="1440" w:left="1440" w:header="720" w:footer="720" w:gutter="0"/>
          <w:pgNumType w:start="1"/>
          <w:cols w:space="720"/>
          <w:titlePg/>
          <w:docGrid w:linePitch="360"/>
        </w:sectPr>
      </w:pPr>
    </w:p>
    <w:p w:rsidR="00156C32" w:rsidRPr="00156C32" w:rsidRDefault="00156C32" w:rsidP="000D6ED1">
      <w:pPr>
        <w:pStyle w:val="Heading4"/>
        <w:numPr>
          <w:ilvl w:val="0"/>
          <w:numId w:val="0"/>
        </w:numPr>
        <w:ind w:left="2880"/>
        <w:rPr>
          <w:rFonts w:ascii="Arial Bold" w:hAnsi="Arial Bold" w:cs="Arial"/>
          <w:i w:val="0"/>
          <w:caps/>
          <w:u w:val="single"/>
        </w:rPr>
      </w:pPr>
      <w:r w:rsidRPr="00156C32">
        <w:rPr>
          <w:rFonts w:ascii="Arial Bold" w:hAnsi="Arial Bold" w:cs="Arial"/>
          <w:i w:val="0"/>
          <w:caps/>
          <w:u w:val="single"/>
        </w:rPr>
        <w:lastRenderedPageBreak/>
        <w:t>Certificate of Service</w:t>
      </w:r>
    </w:p>
    <w:p w:rsidR="00156C32" w:rsidRPr="00156C32" w:rsidRDefault="00156C32" w:rsidP="00156C32">
      <w:pPr>
        <w:jc w:val="both"/>
        <w:rPr>
          <w:rFonts w:ascii="Arial" w:hAnsi="Arial"/>
        </w:rPr>
      </w:pPr>
    </w:p>
    <w:p w:rsidR="00156C32" w:rsidRPr="00156C32" w:rsidRDefault="00156C32" w:rsidP="00156C32">
      <w:pPr>
        <w:pStyle w:val="BodyText"/>
        <w:spacing w:line="480" w:lineRule="auto"/>
        <w:ind w:firstLine="720"/>
        <w:rPr>
          <w:b w:val="0"/>
          <w:smallCaps w:val="0"/>
        </w:rPr>
      </w:pPr>
      <w:r w:rsidRPr="00156C32">
        <w:rPr>
          <w:b w:val="0"/>
          <w:smallCaps w:val="0"/>
        </w:rPr>
        <w:t>I hereby certify that a copy of the foregoing</w:t>
      </w:r>
      <w:r>
        <w:rPr>
          <w:b w:val="0"/>
          <w:smallCaps w:val="0"/>
        </w:rPr>
        <w:t xml:space="preserve"> </w:t>
      </w:r>
      <w:r>
        <w:rPr>
          <w:b w:val="0"/>
          <w:i/>
          <w:smallCaps w:val="0"/>
        </w:rPr>
        <w:t>Post Hearing Brief of Industrial Energy Users-Ohio</w:t>
      </w:r>
      <w:r w:rsidRPr="00156C32">
        <w:rPr>
          <w:b w:val="0"/>
          <w:i/>
          <w:smallCaps w:val="0"/>
        </w:rPr>
        <w:t>,</w:t>
      </w:r>
      <w:r w:rsidRPr="00156C32">
        <w:rPr>
          <w:b w:val="0"/>
          <w:i/>
          <w:iCs/>
          <w:smallCaps w:val="0"/>
        </w:rPr>
        <w:t xml:space="preserve"> </w:t>
      </w:r>
      <w:r w:rsidRPr="00156C32">
        <w:rPr>
          <w:b w:val="0"/>
          <w:smallCaps w:val="0"/>
        </w:rPr>
        <w:t xml:space="preserve">was served upon the following parties of record this </w:t>
      </w:r>
      <w:r>
        <w:rPr>
          <w:b w:val="0"/>
          <w:smallCaps w:val="0"/>
        </w:rPr>
        <w:t>8th</w:t>
      </w:r>
      <w:r w:rsidRPr="00156C32">
        <w:rPr>
          <w:b w:val="0"/>
          <w:smallCaps w:val="0"/>
        </w:rPr>
        <w:t xml:space="preserve"> day of </w:t>
      </w:r>
      <w:r>
        <w:rPr>
          <w:b w:val="0"/>
          <w:smallCaps w:val="0"/>
        </w:rPr>
        <w:t>January</w:t>
      </w:r>
      <w:r w:rsidRPr="00156C32">
        <w:rPr>
          <w:b w:val="0"/>
          <w:smallCaps w:val="0"/>
        </w:rPr>
        <w:t xml:space="preserve"> 2014, </w:t>
      </w:r>
      <w:r w:rsidRPr="00156C32">
        <w:rPr>
          <w:b w:val="0"/>
          <w:i/>
          <w:smallCaps w:val="0"/>
        </w:rPr>
        <w:t>via</w:t>
      </w:r>
      <w:r w:rsidRPr="00156C32">
        <w:rPr>
          <w:b w:val="0"/>
          <w:smallCaps w:val="0"/>
        </w:rPr>
        <w:t xml:space="preserve"> electronic transmission, hand-delivery or first class U.S. mail, postage prepaid.</w:t>
      </w:r>
    </w:p>
    <w:p w:rsidR="00156C32" w:rsidRDefault="000D6ED1" w:rsidP="00156C32">
      <w:pPr>
        <w:tabs>
          <w:tab w:val="left" w:pos="-1440"/>
          <w:tab w:val="left" w:pos="-720"/>
          <w:tab w:val="left" w:pos="5040"/>
          <w:tab w:val="center" w:pos="7200"/>
          <w:tab w:val="right" w:pos="9360"/>
        </w:tabs>
        <w:ind w:firstLine="5040"/>
        <w:jc w:val="both"/>
        <w:rPr>
          <w:rFonts w:ascii="Arial" w:hAnsi="Arial" w:cs="Arial"/>
        </w:rPr>
      </w:pPr>
      <w:r>
        <w:rPr>
          <w:rFonts w:ascii="Arial" w:hAnsi="Arial" w:cs="Arial"/>
          <w:u w:val="single"/>
        </w:rPr>
        <w:t>/s/ Joseph E. Oliker</w:t>
      </w:r>
      <w:r w:rsidR="00156C32">
        <w:rPr>
          <w:rFonts w:ascii="Arial" w:hAnsi="Arial" w:cs="Arial"/>
          <w:u w:val="single"/>
        </w:rPr>
        <w:tab/>
      </w:r>
      <w:r w:rsidR="00156C32">
        <w:rPr>
          <w:rFonts w:ascii="Arial" w:hAnsi="Arial" w:cs="Arial"/>
          <w:u w:val="single"/>
        </w:rPr>
        <w:tab/>
      </w:r>
    </w:p>
    <w:p w:rsidR="00156C32" w:rsidRDefault="00156C32" w:rsidP="00156C32">
      <w:pPr>
        <w:tabs>
          <w:tab w:val="left" w:pos="2160"/>
          <w:tab w:val="left" w:pos="228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Joseph E. Oliker</w:t>
      </w:r>
    </w:p>
    <w:p w:rsidR="00156C32" w:rsidRDefault="00156C32" w:rsidP="00156C32">
      <w:pPr>
        <w:tabs>
          <w:tab w:val="left" w:pos="2160"/>
          <w:tab w:val="left" w:pos="2280"/>
        </w:tabs>
        <w:jc w:val="both"/>
        <w:rPr>
          <w:rFonts w:ascii="Arial" w:hAnsi="Arial" w:cs="Arial"/>
        </w:rPr>
      </w:pPr>
    </w:p>
    <w:p w:rsidR="00156C32" w:rsidRDefault="00156C32" w:rsidP="00156C32">
      <w:pPr>
        <w:tabs>
          <w:tab w:val="left" w:pos="2160"/>
          <w:tab w:val="left" w:pos="2280"/>
        </w:tabs>
        <w:jc w:val="both"/>
        <w:rPr>
          <w:rFonts w:ascii="Arial" w:hAnsi="Arial" w:cs="Arial"/>
          <w:sz w:val="20"/>
          <w:szCs w:val="20"/>
        </w:rPr>
        <w:sectPr w:rsidR="00156C32" w:rsidSect="000D6ED1">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41" w:left="1440" w:header="720" w:footer="720" w:gutter="0"/>
          <w:pgNumType w:start="1"/>
          <w:cols w:space="720"/>
          <w:titlePg/>
          <w:docGrid w:linePitch="326"/>
        </w:sectPr>
      </w:pP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lastRenderedPageBreak/>
        <w:t>Steven T. Nourse</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Yazen Alami</w:t>
      </w:r>
    </w:p>
    <w:p w:rsidR="00156C32" w:rsidRDefault="00156C32" w:rsidP="00156C3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Matthew J. Satterwhite</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American Electric Power Service Corporation</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1 Riverside Plaza, 29</w:t>
      </w:r>
      <w:r w:rsidRPr="0069046C">
        <w:rPr>
          <w:rFonts w:ascii="Arial" w:hAnsi="Arial" w:cs="Arial"/>
          <w:color w:val="000000" w:themeColor="text1"/>
          <w:sz w:val="22"/>
          <w:szCs w:val="22"/>
          <w:vertAlign w:val="superscript"/>
        </w:rPr>
        <w:t>th</w:t>
      </w:r>
      <w:r w:rsidRPr="0069046C">
        <w:rPr>
          <w:rFonts w:ascii="Arial" w:hAnsi="Arial" w:cs="Arial"/>
          <w:color w:val="000000" w:themeColor="text1"/>
          <w:sz w:val="22"/>
          <w:szCs w:val="22"/>
        </w:rPr>
        <w:t xml:space="preserve"> Floor</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Columbus, OH  43215</w:t>
      </w:r>
    </w:p>
    <w:p w:rsidR="00156C32" w:rsidRPr="00156C32" w:rsidRDefault="00156C32" w:rsidP="00156C32">
      <w:pPr>
        <w:tabs>
          <w:tab w:val="left" w:pos="2160"/>
          <w:tab w:val="left" w:pos="2280"/>
        </w:tabs>
        <w:rPr>
          <w:rFonts w:ascii="Arial" w:hAnsi="Arial" w:cs="Arial"/>
          <w:color w:val="000000" w:themeColor="text1"/>
          <w:sz w:val="22"/>
          <w:szCs w:val="22"/>
        </w:rPr>
      </w:pPr>
      <w:r w:rsidRPr="00EE66FE">
        <w:rPr>
          <w:rFonts w:ascii="Arial" w:hAnsi="Arial" w:cs="Arial"/>
          <w:sz w:val="22"/>
          <w:szCs w:val="22"/>
        </w:rPr>
        <w:t>stnourse@aep.com</w:t>
      </w:r>
    </w:p>
    <w:p w:rsidR="00156C32" w:rsidRDefault="00156C32" w:rsidP="00156C32">
      <w:pPr>
        <w:tabs>
          <w:tab w:val="left" w:pos="2160"/>
          <w:tab w:val="left" w:pos="2280"/>
        </w:tabs>
        <w:rPr>
          <w:rFonts w:ascii="Arial" w:hAnsi="Arial" w:cs="Arial"/>
          <w:sz w:val="22"/>
          <w:szCs w:val="22"/>
        </w:rPr>
      </w:pPr>
      <w:r w:rsidRPr="0069046C">
        <w:rPr>
          <w:rFonts w:ascii="Arial" w:hAnsi="Arial" w:cs="Arial"/>
          <w:sz w:val="22"/>
          <w:szCs w:val="22"/>
        </w:rPr>
        <w:t>yalami@aep.com</w:t>
      </w:r>
    </w:p>
    <w:p w:rsidR="00156C32" w:rsidRPr="0069046C" w:rsidRDefault="00156C32" w:rsidP="00156C32">
      <w:pPr>
        <w:tabs>
          <w:tab w:val="left" w:pos="2160"/>
          <w:tab w:val="left" w:pos="2280"/>
        </w:tabs>
        <w:rPr>
          <w:rFonts w:ascii="Arial" w:hAnsi="Arial" w:cs="Arial"/>
          <w:sz w:val="22"/>
          <w:szCs w:val="22"/>
        </w:rPr>
      </w:pPr>
      <w:r>
        <w:rPr>
          <w:rFonts w:ascii="Arial" w:hAnsi="Arial" w:cs="Arial"/>
          <w:sz w:val="22"/>
          <w:szCs w:val="22"/>
        </w:rPr>
        <w:t>mjsatterwhite@aep.com</w:t>
      </w:r>
    </w:p>
    <w:p w:rsidR="00156C32" w:rsidRPr="0069046C" w:rsidRDefault="00156C32" w:rsidP="00156C32">
      <w:pPr>
        <w:tabs>
          <w:tab w:val="left" w:pos="2160"/>
          <w:tab w:val="left" w:pos="2280"/>
        </w:tabs>
        <w:rPr>
          <w:rFonts w:ascii="Arial" w:hAnsi="Arial" w:cs="Arial"/>
          <w:color w:val="000000" w:themeColor="text1"/>
          <w:sz w:val="22"/>
          <w:szCs w:val="22"/>
        </w:rPr>
      </w:pPr>
    </w:p>
    <w:p w:rsidR="00156C32" w:rsidRPr="0069046C" w:rsidRDefault="00156C32" w:rsidP="00156C32">
      <w:pPr>
        <w:tabs>
          <w:tab w:val="left" w:pos="2160"/>
          <w:tab w:val="left" w:pos="2280"/>
        </w:tabs>
        <w:rPr>
          <w:rFonts w:ascii="Arial" w:hAnsi="Arial" w:cs="Arial"/>
          <w:b/>
          <w:smallCaps/>
          <w:color w:val="000000" w:themeColor="text1"/>
          <w:sz w:val="22"/>
          <w:szCs w:val="22"/>
        </w:rPr>
      </w:pPr>
      <w:r w:rsidRPr="0069046C">
        <w:rPr>
          <w:rFonts w:ascii="Arial" w:hAnsi="Arial" w:cs="Arial"/>
          <w:b/>
          <w:smallCaps/>
          <w:color w:val="000000" w:themeColor="text1"/>
          <w:sz w:val="22"/>
          <w:szCs w:val="22"/>
        </w:rPr>
        <w:t>Counsel for Columbus Southern Power Company and Ohio Power Company</w:t>
      </w:r>
    </w:p>
    <w:p w:rsidR="00156C32" w:rsidRPr="0069046C" w:rsidRDefault="00156C32" w:rsidP="00156C32">
      <w:pPr>
        <w:tabs>
          <w:tab w:val="left" w:pos="2160"/>
          <w:tab w:val="left" w:pos="2280"/>
        </w:tabs>
        <w:rPr>
          <w:rFonts w:ascii="Arial" w:hAnsi="Arial" w:cs="Arial"/>
          <w:color w:val="000000" w:themeColor="text1"/>
          <w:sz w:val="22"/>
          <w:szCs w:val="22"/>
        </w:rPr>
      </w:pPr>
    </w:p>
    <w:p w:rsidR="00156C32" w:rsidRPr="0069046C" w:rsidRDefault="00156C32" w:rsidP="00156C32">
      <w:pPr>
        <w:autoSpaceDE w:val="0"/>
        <w:autoSpaceDN w:val="0"/>
        <w:adjustRightInd w:val="0"/>
        <w:rPr>
          <w:rFonts w:ascii="Arial" w:hAnsi="Arial" w:cs="Arial"/>
          <w:color w:val="000000" w:themeColor="text1"/>
          <w:sz w:val="22"/>
          <w:szCs w:val="22"/>
        </w:rPr>
      </w:pPr>
      <w:r w:rsidRPr="0069046C">
        <w:rPr>
          <w:rFonts w:ascii="Arial" w:hAnsi="Arial" w:cs="Arial"/>
          <w:color w:val="000000" w:themeColor="text1"/>
          <w:sz w:val="22"/>
          <w:szCs w:val="22"/>
        </w:rPr>
        <w:t>Terry Etter</w:t>
      </w:r>
    </w:p>
    <w:p w:rsidR="00156C32" w:rsidRPr="0069046C" w:rsidRDefault="00156C32" w:rsidP="00156C32">
      <w:pPr>
        <w:autoSpaceDE w:val="0"/>
        <w:autoSpaceDN w:val="0"/>
        <w:adjustRightInd w:val="0"/>
        <w:rPr>
          <w:rFonts w:ascii="Arial" w:hAnsi="Arial" w:cs="Arial"/>
          <w:color w:val="000000" w:themeColor="text1"/>
          <w:sz w:val="22"/>
          <w:szCs w:val="22"/>
        </w:rPr>
      </w:pPr>
      <w:r w:rsidRPr="0069046C">
        <w:rPr>
          <w:rFonts w:ascii="Arial" w:hAnsi="Arial" w:cs="Arial"/>
          <w:color w:val="000000" w:themeColor="text1"/>
          <w:sz w:val="22"/>
          <w:szCs w:val="22"/>
        </w:rPr>
        <w:t>Assistant Consumers’ Counsel</w:t>
      </w:r>
    </w:p>
    <w:p w:rsidR="00156C32" w:rsidRPr="0069046C" w:rsidRDefault="00156C32" w:rsidP="00156C32">
      <w:pPr>
        <w:autoSpaceDE w:val="0"/>
        <w:autoSpaceDN w:val="0"/>
        <w:adjustRightInd w:val="0"/>
        <w:rPr>
          <w:rFonts w:ascii="Arial" w:hAnsi="Arial" w:cs="Arial"/>
          <w:color w:val="000000" w:themeColor="text1"/>
          <w:sz w:val="22"/>
          <w:szCs w:val="22"/>
        </w:rPr>
      </w:pPr>
      <w:r w:rsidRPr="0069046C">
        <w:rPr>
          <w:rFonts w:ascii="Arial" w:hAnsi="Arial" w:cs="Arial"/>
          <w:color w:val="000000" w:themeColor="text1"/>
          <w:sz w:val="22"/>
          <w:szCs w:val="22"/>
        </w:rPr>
        <w:t>Office of the Ohio Consumers’ Counsel</w:t>
      </w:r>
    </w:p>
    <w:p w:rsidR="00156C32" w:rsidRPr="0069046C" w:rsidRDefault="00156C32" w:rsidP="00156C32">
      <w:pPr>
        <w:autoSpaceDE w:val="0"/>
        <w:autoSpaceDN w:val="0"/>
        <w:adjustRightInd w:val="0"/>
        <w:rPr>
          <w:rFonts w:ascii="Arial" w:hAnsi="Arial" w:cs="Arial"/>
          <w:color w:val="000000" w:themeColor="text1"/>
          <w:sz w:val="22"/>
          <w:szCs w:val="22"/>
        </w:rPr>
      </w:pPr>
      <w:r w:rsidRPr="0069046C">
        <w:rPr>
          <w:rFonts w:ascii="Arial" w:hAnsi="Arial" w:cs="Arial"/>
          <w:color w:val="000000" w:themeColor="text1"/>
          <w:sz w:val="22"/>
          <w:szCs w:val="22"/>
        </w:rPr>
        <w:t>10 West Broad Street, Suite 1800</w:t>
      </w:r>
    </w:p>
    <w:p w:rsidR="00156C32" w:rsidRPr="0069046C" w:rsidRDefault="00156C32" w:rsidP="00156C32">
      <w:pPr>
        <w:autoSpaceDE w:val="0"/>
        <w:autoSpaceDN w:val="0"/>
        <w:adjustRightInd w:val="0"/>
        <w:rPr>
          <w:rFonts w:ascii="Arial" w:hAnsi="Arial" w:cs="Arial"/>
          <w:color w:val="000000" w:themeColor="text1"/>
          <w:sz w:val="22"/>
          <w:szCs w:val="22"/>
        </w:rPr>
      </w:pPr>
      <w:r w:rsidRPr="0069046C">
        <w:rPr>
          <w:rFonts w:ascii="Arial" w:hAnsi="Arial" w:cs="Arial"/>
          <w:color w:val="000000" w:themeColor="text1"/>
          <w:sz w:val="22"/>
          <w:szCs w:val="22"/>
        </w:rPr>
        <w:t>Columbus, OH  43215-3485</w:t>
      </w:r>
    </w:p>
    <w:p w:rsidR="00156C32" w:rsidRPr="0069046C" w:rsidRDefault="00156C32" w:rsidP="00156C32">
      <w:pPr>
        <w:autoSpaceDE w:val="0"/>
        <w:autoSpaceDN w:val="0"/>
        <w:adjustRightInd w:val="0"/>
        <w:rPr>
          <w:rFonts w:ascii="Arial" w:hAnsi="Arial" w:cs="Arial"/>
          <w:color w:val="000000" w:themeColor="text1"/>
          <w:sz w:val="22"/>
          <w:szCs w:val="22"/>
        </w:rPr>
      </w:pPr>
      <w:r w:rsidRPr="0069046C">
        <w:rPr>
          <w:rFonts w:ascii="Arial" w:hAnsi="Arial" w:cs="Arial"/>
          <w:color w:val="000000" w:themeColor="text1"/>
          <w:sz w:val="22"/>
          <w:szCs w:val="22"/>
        </w:rPr>
        <w:t>etter@occ.state.oh.us</w:t>
      </w:r>
    </w:p>
    <w:p w:rsidR="00156C32" w:rsidRPr="0069046C" w:rsidRDefault="00156C32" w:rsidP="00156C32">
      <w:pPr>
        <w:tabs>
          <w:tab w:val="left" w:pos="2160"/>
          <w:tab w:val="left" w:pos="2280"/>
        </w:tabs>
        <w:rPr>
          <w:rFonts w:ascii="Arial" w:hAnsi="Arial" w:cs="Arial"/>
          <w:color w:val="000000" w:themeColor="text1"/>
          <w:sz w:val="22"/>
          <w:szCs w:val="22"/>
        </w:rPr>
      </w:pPr>
    </w:p>
    <w:p w:rsidR="00156C32" w:rsidRPr="0069046C" w:rsidRDefault="00156C32" w:rsidP="00156C32">
      <w:pPr>
        <w:tabs>
          <w:tab w:val="left" w:pos="2160"/>
          <w:tab w:val="left" w:pos="2280"/>
        </w:tabs>
        <w:rPr>
          <w:rFonts w:ascii="Arial" w:hAnsi="Arial" w:cs="Arial"/>
          <w:b/>
          <w:smallCaps/>
          <w:color w:val="000000" w:themeColor="text1"/>
          <w:sz w:val="22"/>
          <w:szCs w:val="22"/>
        </w:rPr>
      </w:pPr>
      <w:r w:rsidRPr="0069046C">
        <w:rPr>
          <w:rFonts w:ascii="Arial" w:hAnsi="Arial" w:cs="Arial"/>
          <w:b/>
          <w:smallCaps/>
          <w:color w:val="000000" w:themeColor="text1"/>
          <w:sz w:val="22"/>
          <w:szCs w:val="22"/>
        </w:rPr>
        <w:t>Counsel for Office of the Ohio Consumers’ Counsel</w:t>
      </w:r>
    </w:p>
    <w:p w:rsidR="00156C32" w:rsidRPr="0069046C" w:rsidRDefault="00156C32" w:rsidP="00156C32">
      <w:pPr>
        <w:tabs>
          <w:tab w:val="left" w:pos="2160"/>
          <w:tab w:val="left" w:pos="2280"/>
        </w:tabs>
        <w:rPr>
          <w:rFonts w:ascii="Arial" w:hAnsi="Arial" w:cs="Arial"/>
          <w:color w:val="000000" w:themeColor="text1"/>
          <w:sz w:val="22"/>
          <w:szCs w:val="22"/>
        </w:rPr>
      </w:pP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Rocco D’Ascenzo</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Amy B. Spiller</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Jeanne W. Kingery</w:t>
      </w:r>
    </w:p>
    <w:p w:rsidR="00156C32" w:rsidRDefault="00156C32" w:rsidP="00156C32">
      <w:pPr>
        <w:tabs>
          <w:tab w:val="left" w:pos="2160"/>
          <w:tab w:val="left" w:pos="2280"/>
        </w:tabs>
        <w:rPr>
          <w:rFonts w:ascii="Arial" w:hAnsi="Arial" w:cs="Arial"/>
          <w:color w:val="000000" w:themeColor="text1"/>
          <w:sz w:val="22"/>
          <w:szCs w:val="22"/>
        </w:rPr>
      </w:pPr>
      <w:r>
        <w:rPr>
          <w:rFonts w:ascii="Arial" w:hAnsi="Arial" w:cs="Arial"/>
          <w:color w:val="000000" w:themeColor="text1"/>
          <w:sz w:val="22"/>
          <w:szCs w:val="22"/>
        </w:rPr>
        <w:t>Duke Energy Ohio, Inc.</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139 E. Fourth Street, 1303-Main</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Cincinnati, OH  45202</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Rocco.d’ascenzo@duke-energy.com</w:t>
      </w:r>
    </w:p>
    <w:p w:rsidR="00156C32" w:rsidRPr="00156C32" w:rsidRDefault="00156C32" w:rsidP="00156C32">
      <w:pPr>
        <w:tabs>
          <w:tab w:val="left" w:pos="2160"/>
          <w:tab w:val="left" w:pos="2280"/>
        </w:tabs>
        <w:rPr>
          <w:rFonts w:ascii="Arial" w:hAnsi="Arial" w:cs="Arial"/>
          <w:color w:val="000000" w:themeColor="text1"/>
          <w:sz w:val="22"/>
          <w:szCs w:val="22"/>
        </w:rPr>
      </w:pPr>
      <w:r w:rsidRPr="00EE66FE">
        <w:rPr>
          <w:rFonts w:ascii="Arial" w:hAnsi="Arial" w:cs="Arial"/>
          <w:sz w:val="22"/>
          <w:szCs w:val="22"/>
        </w:rPr>
        <w:t>Amy.Spiller@duke-energy.com</w:t>
      </w:r>
    </w:p>
    <w:p w:rsidR="00156C32" w:rsidRPr="0069046C" w:rsidRDefault="00156C32" w:rsidP="00156C32">
      <w:pPr>
        <w:tabs>
          <w:tab w:val="left" w:pos="2160"/>
          <w:tab w:val="left" w:pos="2280"/>
        </w:tabs>
        <w:rPr>
          <w:rFonts w:ascii="Arial" w:hAnsi="Arial" w:cs="Arial"/>
          <w:sz w:val="22"/>
          <w:szCs w:val="22"/>
        </w:rPr>
      </w:pPr>
      <w:r w:rsidRPr="0069046C">
        <w:rPr>
          <w:rFonts w:ascii="Arial" w:hAnsi="Arial" w:cs="Arial"/>
          <w:sz w:val="22"/>
          <w:szCs w:val="22"/>
        </w:rPr>
        <w:t>Jeanne.kingery@duke-energy.com</w:t>
      </w:r>
    </w:p>
    <w:p w:rsidR="00156C32" w:rsidRPr="0069046C" w:rsidRDefault="00156C32" w:rsidP="00156C32">
      <w:pPr>
        <w:tabs>
          <w:tab w:val="left" w:pos="2160"/>
          <w:tab w:val="left" w:pos="2280"/>
        </w:tabs>
        <w:rPr>
          <w:rFonts w:ascii="Arial" w:hAnsi="Arial" w:cs="Arial"/>
          <w:sz w:val="22"/>
          <w:szCs w:val="22"/>
        </w:rPr>
      </w:pPr>
    </w:p>
    <w:p w:rsidR="00156C32" w:rsidRPr="0069046C" w:rsidRDefault="00156C32" w:rsidP="00156C32">
      <w:pPr>
        <w:tabs>
          <w:tab w:val="left" w:pos="2160"/>
          <w:tab w:val="left" w:pos="2280"/>
        </w:tabs>
        <w:rPr>
          <w:rFonts w:ascii="Arial" w:eastAsiaTheme="minorHAnsi" w:hAnsi="Arial" w:cs="Arial"/>
          <w:sz w:val="22"/>
          <w:szCs w:val="22"/>
        </w:rPr>
      </w:pPr>
      <w:r w:rsidRPr="0069046C">
        <w:rPr>
          <w:rFonts w:ascii="Arial" w:hAnsi="Arial" w:cs="Arial"/>
          <w:b/>
          <w:smallCaps/>
          <w:color w:val="000000" w:themeColor="text1"/>
          <w:sz w:val="22"/>
          <w:szCs w:val="22"/>
        </w:rPr>
        <w:t>Counsel for Duke Energy Ohio, Inc.</w:t>
      </w:r>
      <w:r>
        <w:rPr>
          <w:rFonts w:ascii="Arial" w:hAnsi="Arial" w:cs="Arial"/>
          <w:b/>
          <w:smallCaps/>
          <w:color w:val="000000" w:themeColor="text1"/>
          <w:sz w:val="22"/>
          <w:szCs w:val="22"/>
        </w:rPr>
        <w:br w:type="column"/>
      </w:r>
      <w:r w:rsidRPr="0069046C">
        <w:rPr>
          <w:rFonts w:ascii="Arial" w:eastAsiaTheme="minorHAnsi" w:hAnsi="Arial" w:cs="Arial"/>
          <w:sz w:val="22"/>
          <w:szCs w:val="22"/>
        </w:rPr>
        <w:lastRenderedPageBreak/>
        <w:t xml:space="preserve">John J. Kulewicz </w:t>
      </w:r>
    </w:p>
    <w:p w:rsidR="00156C32" w:rsidRPr="0069046C" w:rsidRDefault="00156C32" w:rsidP="00156C32">
      <w:pPr>
        <w:autoSpaceDE w:val="0"/>
        <w:autoSpaceDN w:val="0"/>
        <w:adjustRightInd w:val="0"/>
        <w:rPr>
          <w:rFonts w:ascii="Arial" w:eastAsiaTheme="minorHAnsi" w:hAnsi="Arial" w:cs="Arial"/>
          <w:sz w:val="22"/>
          <w:szCs w:val="22"/>
        </w:rPr>
      </w:pPr>
      <w:r w:rsidRPr="0069046C">
        <w:rPr>
          <w:rFonts w:ascii="Arial" w:eastAsiaTheme="minorHAnsi" w:hAnsi="Arial" w:cs="Arial"/>
          <w:sz w:val="22"/>
          <w:szCs w:val="22"/>
        </w:rPr>
        <w:t xml:space="preserve">M. Howard Petricoff </w:t>
      </w:r>
    </w:p>
    <w:p w:rsidR="00156C32" w:rsidRPr="0069046C" w:rsidRDefault="00156C32" w:rsidP="00156C32">
      <w:pPr>
        <w:autoSpaceDE w:val="0"/>
        <w:autoSpaceDN w:val="0"/>
        <w:adjustRightInd w:val="0"/>
        <w:rPr>
          <w:rFonts w:ascii="Arial" w:eastAsiaTheme="minorHAnsi" w:hAnsi="Arial" w:cs="Arial"/>
          <w:sz w:val="22"/>
          <w:szCs w:val="22"/>
        </w:rPr>
      </w:pPr>
      <w:r w:rsidRPr="0069046C">
        <w:rPr>
          <w:rFonts w:ascii="Arial" w:eastAsiaTheme="minorHAnsi" w:hAnsi="Arial" w:cs="Arial"/>
          <w:sz w:val="22"/>
          <w:szCs w:val="22"/>
        </w:rPr>
        <w:t xml:space="preserve">Stephen M. Howard </w:t>
      </w:r>
    </w:p>
    <w:p w:rsidR="00156C32" w:rsidRPr="0069046C" w:rsidRDefault="00156C32" w:rsidP="00156C32">
      <w:pPr>
        <w:autoSpaceDE w:val="0"/>
        <w:autoSpaceDN w:val="0"/>
        <w:adjustRightInd w:val="0"/>
        <w:rPr>
          <w:rFonts w:ascii="Arial" w:eastAsiaTheme="minorHAnsi" w:hAnsi="Arial" w:cs="Arial"/>
          <w:sz w:val="22"/>
          <w:szCs w:val="22"/>
        </w:rPr>
      </w:pPr>
      <w:r w:rsidRPr="0069046C">
        <w:rPr>
          <w:rFonts w:ascii="Arial" w:eastAsiaTheme="minorHAnsi" w:hAnsi="Arial" w:cs="Arial"/>
          <w:sz w:val="22"/>
          <w:szCs w:val="22"/>
        </w:rPr>
        <w:t>Vorys, Sater, Seymour and Pease LLP</w:t>
      </w:r>
    </w:p>
    <w:p w:rsidR="00156C32" w:rsidRPr="0069046C" w:rsidRDefault="00156C32" w:rsidP="00156C32">
      <w:pPr>
        <w:autoSpaceDE w:val="0"/>
        <w:autoSpaceDN w:val="0"/>
        <w:adjustRightInd w:val="0"/>
        <w:rPr>
          <w:rFonts w:ascii="Arial" w:eastAsiaTheme="minorHAnsi" w:hAnsi="Arial" w:cs="Arial"/>
          <w:sz w:val="22"/>
          <w:szCs w:val="22"/>
        </w:rPr>
      </w:pPr>
      <w:r w:rsidRPr="0069046C">
        <w:rPr>
          <w:rFonts w:ascii="Arial" w:eastAsiaTheme="minorHAnsi" w:hAnsi="Arial" w:cs="Arial"/>
          <w:sz w:val="22"/>
          <w:szCs w:val="22"/>
        </w:rPr>
        <w:t>52 East Gay Street</w:t>
      </w:r>
    </w:p>
    <w:p w:rsidR="00156C32" w:rsidRPr="0069046C" w:rsidRDefault="00156C32" w:rsidP="00156C32">
      <w:pPr>
        <w:autoSpaceDE w:val="0"/>
        <w:autoSpaceDN w:val="0"/>
        <w:adjustRightInd w:val="0"/>
        <w:rPr>
          <w:rFonts w:ascii="Arial" w:eastAsiaTheme="minorHAnsi" w:hAnsi="Arial" w:cs="Arial"/>
          <w:sz w:val="22"/>
          <w:szCs w:val="22"/>
        </w:rPr>
      </w:pPr>
      <w:r w:rsidRPr="0069046C">
        <w:rPr>
          <w:rFonts w:ascii="Arial" w:eastAsiaTheme="minorHAnsi" w:hAnsi="Arial" w:cs="Arial"/>
          <w:sz w:val="22"/>
          <w:szCs w:val="22"/>
        </w:rPr>
        <w:t>P.O. Box 1008</w:t>
      </w:r>
    </w:p>
    <w:p w:rsidR="00156C32" w:rsidRPr="0069046C" w:rsidRDefault="00156C32" w:rsidP="00156C32">
      <w:pPr>
        <w:autoSpaceDE w:val="0"/>
        <w:autoSpaceDN w:val="0"/>
        <w:adjustRightInd w:val="0"/>
        <w:rPr>
          <w:rFonts w:ascii="Arial" w:eastAsiaTheme="minorHAnsi" w:hAnsi="Arial" w:cs="Arial"/>
          <w:sz w:val="22"/>
          <w:szCs w:val="22"/>
        </w:rPr>
      </w:pPr>
      <w:r w:rsidRPr="0069046C">
        <w:rPr>
          <w:rFonts w:ascii="Arial" w:eastAsiaTheme="minorHAnsi" w:hAnsi="Arial" w:cs="Arial"/>
          <w:sz w:val="22"/>
          <w:szCs w:val="22"/>
        </w:rPr>
        <w:t>Columbus, Ohio 43216-1008</w:t>
      </w:r>
    </w:p>
    <w:p w:rsidR="00156C32" w:rsidRPr="0069046C" w:rsidRDefault="00156C32" w:rsidP="00156C32">
      <w:pPr>
        <w:autoSpaceDE w:val="0"/>
        <w:autoSpaceDN w:val="0"/>
        <w:adjustRightInd w:val="0"/>
        <w:rPr>
          <w:rFonts w:ascii="Arial" w:eastAsiaTheme="minorHAnsi" w:hAnsi="Arial" w:cs="Arial"/>
          <w:sz w:val="22"/>
          <w:szCs w:val="22"/>
        </w:rPr>
      </w:pPr>
      <w:r w:rsidRPr="0069046C">
        <w:rPr>
          <w:rFonts w:ascii="Arial" w:eastAsiaTheme="minorHAnsi" w:hAnsi="Arial" w:cs="Arial"/>
          <w:sz w:val="22"/>
          <w:szCs w:val="22"/>
        </w:rPr>
        <w:t>jjkulewicz@vorys.com</w:t>
      </w:r>
    </w:p>
    <w:p w:rsidR="00156C32" w:rsidRPr="0069046C" w:rsidRDefault="00156C32" w:rsidP="00156C32">
      <w:pPr>
        <w:autoSpaceDE w:val="0"/>
        <w:autoSpaceDN w:val="0"/>
        <w:adjustRightInd w:val="0"/>
        <w:rPr>
          <w:rFonts w:ascii="Arial" w:eastAsiaTheme="minorHAnsi" w:hAnsi="Arial" w:cs="Arial"/>
          <w:sz w:val="22"/>
          <w:szCs w:val="22"/>
        </w:rPr>
      </w:pPr>
      <w:r w:rsidRPr="0069046C">
        <w:rPr>
          <w:rFonts w:ascii="Arial" w:eastAsiaTheme="minorHAnsi" w:hAnsi="Arial" w:cs="Arial"/>
          <w:sz w:val="22"/>
          <w:szCs w:val="22"/>
        </w:rPr>
        <w:t>mhpetricoff@vorys.com</w:t>
      </w:r>
    </w:p>
    <w:p w:rsidR="00156C32" w:rsidRPr="0069046C" w:rsidRDefault="00156C32" w:rsidP="00156C32">
      <w:pPr>
        <w:autoSpaceDE w:val="0"/>
        <w:autoSpaceDN w:val="0"/>
        <w:adjustRightInd w:val="0"/>
        <w:rPr>
          <w:rFonts w:ascii="Arial" w:eastAsiaTheme="minorHAnsi" w:hAnsi="Arial" w:cs="Arial"/>
          <w:sz w:val="22"/>
          <w:szCs w:val="22"/>
        </w:rPr>
      </w:pPr>
      <w:r w:rsidRPr="0069046C">
        <w:rPr>
          <w:rFonts w:ascii="Arial" w:eastAsiaTheme="minorHAnsi" w:hAnsi="Arial" w:cs="Arial"/>
          <w:sz w:val="22"/>
          <w:szCs w:val="22"/>
        </w:rPr>
        <w:t>smhoward@vorys.com</w:t>
      </w:r>
    </w:p>
    <w:p w:rsidR="00156C32" w:rsidRPr="0069046C" w:rsidRDefault="00156C32" w:rsidP="00156C32">
      <w:pPr>
        <w:autoSpaceDE w:val="0"/>
        <w:autoSpaceDN w:val="0"/>
        <w:adjustRightInd w:val="0"/>
        <w:rPr>
          <w:rFonts w:ascii="Arial" w:eastAsiaTheme="minorHAnsi" w:hAnsi="Arial" w:cs="Arial"/>
          <w:sz w:val="22"/>
          <w:szCs w:val="22"/>
        </w:rPr>
      </w:pPr>
    </w:p>
    <w:p w:rsidR="00156C32" w:rsidRPr="0069046C" w:rsidRDefault="00156C32" w:rsidP="00156C32">
      <w:pPr>
        <w:autoSpaceDE w:val="0"/>
        <w:autoSpaceDN w:val="0"/>
        <w:adjustRightInd w:val="0"/>
        <w:rPr>
          <w:rFonts w:ascii="Arial Bold" w:eastAsiaTheme="minorHAnsi" w:hAnsi="Arial Bold" w:cs="Arial"/>
          <w:b/>
          <w:smallCaps/>
          <w:sz w:val="22"/>
          <w:szCs w:val="22"/>
        </w:rPr>
      </w:pPr>
      <w:r w:rsidRPr="0069046C">
        <w:rPr>
          <w:rFonts w:ascii="Arial Bold" w:eastAsiaTheme="minorHAnsi" w:hAnsi="Arial Bold" w:cs="Arial"/>
          <w:b/>
          <w:smallCaps/>
          <w:sz w:val="22"/>
          <w:szCs w:val="22"/>
        </w:rPr>
        <w:t>Counsel for Buckingham Coal Company</w:t>
      </w:r>
    </w:p>
    <w:p w:rsidR="00156C32" w:rsidRPr="0069046C" w:rsidRDefault="00156C32" w:rsidP="00156C32">
      <w:pPr>
        <w:autoSpaceDE w:val="0"/>
        <w:autoSpaceDN w:val="0"/>
        <w:adjustRightInd w:val="0"/>
        <w:rPr>
          <w:sz w:val="22"/>
          <w:szCs w:val="22"/>
        </w:rPr>
      </w:pPr>
    </w:p>
    <w:p w:rsidR="00156C32" w:rsidRPr="0069046C" w:rsidRDefault="00156C32" w:rsidP="00156C32">
      <w:pPr>
        <w:autoSpaceDE w:val="0"/>
        <w:autoSpaceDN w:val="0"/>
        <w:adjustRightInd w:val="0"/>
        <w:rPr>
          <w:rFonts w:ascii="Arial" w:hAnsi="Arial" w:cs="Arial"/>
          <w:sz w:val="22"/>
          <w:szCs w:val="22"/>
        </w:rPr>
      </w:pPr>
      <w:r w:rsidRPr="0069046C">
        <w:rPr>
          <w:rFonts w:ascii="Arial" w:hAnsi="Arial" w:cs="Arial"/>
          <w:sz w:val="22"/>
          <w:szCs w:val="22"/>
        </w:rPr>
        <w:t>Colleen L. Mooney</w:t>
      </w:r>
    </w:p>
    <w:p w:rsidR="00156C32" w:rsidRPr="0069046C" w:rsidRDefault="00156C32" w:rsidP="00156C32">
      <w:pPr>
        <w:autoSpaceDE w:val="0"/>
        <w:autoSpaceDN w:val="0"/>
        <w:adjustRightInd w:val="0"/>
        <w:rPr>
          <w:rFonts w:ascii="Arial" w:hAnsi="Arial" w:cs="Arial"/>
          <w:sz w:val="22"/>
          <w:szCs w:val="22"/>
        </w:rPr>
      </w:pPr>
      <w:r w:rsidRPr="0069046C">
        <w:rPr>
          <w:rFonts w:ascii="Arial" w:hAnsi="Arial" w:cs="Arial"/>
          <w:sz w:val="22"/>
          <w:szCs w:val="22"/>
        </w:rPr>
        <w:t>Ohio Partners for Affordable Energy</w:t>
      </w:r>
    </w:p>
    <w:p w:rsidR="00156C32" w:rsidRPr="0069046C" w:rsidRDefault="00156C32" w:rsidP="00156C32">
      <w:pPr>
        <w:autoSpaceDE w:val="0"/>
        <w:autoSpaceDN w:val="0"/>
        <w:adjustRightInd w:val="0"/>
        <w:rPr>
          <w:rFonts w:ascii="Arial" w:hAnsi="Arial" w:cs="Arial"/>
          <w:sz w:val="22"/>
          <w:szCs w:val="22"/>
        </w:rPr>
      </w:pPr>
      <w:r w:rsidRPr="0069046C">
        <w:rPr>
          <w:rFonts w:ascii="Arial" w:hAnsi="Arial" w:cs="Arial"/>
          <w:sz w:val="22"/>
          <w:szCs w:val="22"/>
        </w:rPr>
        <w:t>231 West Lima Street</w:t>
      </w:r>
    </w:p>
    <w:p w:rsidR="00156C32" w:rsidRPr="0069046C" w:rsidRDefault="00156C32" w:rsidP="00156C32">
      <w:pPr>
        <w:autoSpaceDE w:val="0"/>
        <w:autoSpaceDN w:val="0"/>
        <w:adjustRightInd w:val="0"/>
        <w:rPr>
          <w:rFonts w:ascii="Arial" w:hAnsi="Arial" w:cs="Arial"/>
          <w:sz w:val="22"/>
          <w:szCs w:val="22"/>
        </w:rPr>
      </w:pPr>
      <w:r w:rsidRPr="0069046C">
        <w:rPr>
          <w:rFonts w:ascii="Arial" w:hAnsi="Arial" w:cs="Arial"/>
          <w:sz w:val="22"/>
          <w:szCs w:val="22"/>
        </w:rPr>
        <w:t>Findlay, OH  45839-1793</w:t>
      </w:r>
    </w:p>
    <w:p w:rsidR="00156C32" w:rsidRPr="0069046C" w:rsidRDefault="00156C32" w:rsidP="00156C32">
      <w:pPr>
        <w:autoSpaceDE w:val="0"/>
        <w:autoSpaceDN w:val="0"/>
        <w:adjustRightInd w:val="0"/>
        <w:rPr>
          <w:rFonts w:ascii="Arial" w:hAnsi="Arial" w:cs="Arial"/>
          <w:sz w:val="22"/>
          <w:szCs w:val="22"/>
        </w:rPr>
      </w:pPr>
      <w:r w:rsidRPr="0069046C">
        <w:rPr>
          <w:rFonts w:ascii="Arial" w:hAnsi="Arial" w:cs="Arial"/>
          <w:sz w:val="22"/>
          <w:szCs w:val="22"/>
        </w:rPr>
        <w:t>cmooney2@columbus.rr.com</w:t>
      </w:r>
    </w:p>
    <w:p w:rsidR="00156C32" w:rsidRPr="0069046C" w:rsidRDefault="00156C32" w:rsidP="00156C32">
      <w:pPr>
        <w:autoSpaceDE w:val="0"/>
        <w:autoSpaceDN w:val="0"/>
        <w:adjustRightInd w:val="0"/>
        <w:rPr>
          <w:rFonts w:ascii="Arial" w:hAnsi="Arial" w:cs="Arial"/>
          <w:sz w:val="22"/>
          <w:szCs w:val="22"/>
        </w:rPr>
      </w:pPr>
    </w:p>
    <w:p w:rsidR="00156C32" w:rsidRPr="0069046C" w:rsidRDefault="00156C32" w:rsidP="00156C32">
      <w:pPr>
        <w:autoSpaceDE w:val="0"/>
        <w:autoSpaceDN w:val="0"/>
        <w:adjustRightInd w:val="0"/>
        <w:rPr>
          <w:rFonts w:ascii="Arial" w:hAnsi="Arial" w:cs="Arial"/>
          <w:b/>
          <w:smallCaps/>
          <w:sz w:val="22"/>
          <w:szCs w:val="22"/>
        </w:rPr>
      </w:pPr>
      <w:r w:rsidRPr="0069046C">
        <w:rPr>
          <w:rFonts w:ascii="Arial" w:hAnsi="Arial" w:cs="Arial"/>
          <w:b/>
          <w:smallCaps/>
          <w:sz w:val="22"/>
          <w:szCs w:val="22"/>
        </w:rPr>
        <w:t>On Behalf of the Ohio Partners for Affordable Energy</w:t>
      </w:r>
    </w:p>
    <w:p w:rsidR="00156C32" w:rsidRDefault="00156C32" w:rsidP="00156C32">
      <w:pPr>
        <w:autoSpaceDE w:val="0"/>
        <w:autoSpaceDN w:val="0"/>
        <w:adjustRightInd w:val="0"/>
        <w:rPr>
          <w:rFonts w:ascii="Arial" w:eastAsiaTheme="minorHAnsi" w:hAnsi="Arial" w:cs="Arial"/>
          <w:sz w:val="22"/>
          <w:szCs w:val="22"/>
        </w:rPr>
      </w:pPr>
    </w:p>
    <w:p w:rsidR="00156C32" w:rsidRDefault="00156C32" w:rsidP="00156C32">
      <w:pPr>
        <w:autoSpaceDE w:val="0"/>
        <w:autoSpaceDN w:val="0"/>
        <w:adjustRightInd w:val="0"/>
        <w:rPr>
          <w:rFonts w:ascii="Arial" w:eastAsiaTheme="minorHAnsi" w:hAnsi="Arial" w:cs="Arial"/>
          <w:sz w:val="22"/>
          <w:szCs w:val="22"/>
        </w:rPr>
      </w:pPr>
      <w:r>
        <w:rPr>
          <w:rFonts w:ascii="Arial" w:eastAsiaTheme="minorHAnsi" w:hAnsi="Arial" w:cs="Arial"/>
          <w:sz w:val="22"/>
          <w:szCs w:val="22"/>
        </w:rPr>
        <w:t>Philip B. Sineneng</w:t>
      </w:r>
    </w:p>
    <w:p w:rsidR="00156C32" w:rsidRDefault="00156C32" w:rsidP="00156C32">
      <w:pPr>
        <w:autoSpaceDE w:val="0"/>
        <w:autoSpaceDN w:val="0"/>
        <w:adjustRightInd w:val="0"/>
        <w:rPr>
          <w:rFonts w:ascii="Arial" w:eastAsiaTheme="minorHAnsi" w:hAnsi="Arial" w:cs="Arial"/>
          <w:sz w:val="22"/>
          <w:szCs w:val="22"/>
        </w:rPr>
      </w:pPr>
      <w:r>
        <w:rPr>
          <w:rFonts w:ascii="Arial" w:eastAsiaTheme="minorHAnsi" w:hAnsi="Arial" w:cs="Arial"/>
          <w:sz w:val="22"/>
          <w:szCs w:val="22"/>
        </w:rPr>
        <w:t>Thompson Hine LLP</w:t>
      </w:r>
    </w:p>
    <w:p w:rsidR="00156C32" w:rsidRDefault="00156C32" w:rsidP="00156C32">
      <w:pPr>
        <w:autoSpaceDE w:val="0"/>
        <w:autoSpaceDN w:val="0"/>
        <w:adjustRightInd w:val="0"/>
        <w:rPr>
          <w:rFonts w:ascii="Arial" w:eastAsiaTheme="minorHAnsi" w:hAnsi="Arial" w:cs="Arial"/>
          <w:sz w:val="22"/>
          <w:szCs w:val="22"/>
        </w:rPr>
      </w:pPr>
      <w:r>
        <w:rPr>
          <w:rFonts w:ascii="Arial" w:eastAsiaTheme="minorHAnsi" w:hAnsi="Arial" w:cs="Arial"/>
          <w:sz w:val="22"/>
          <w:szCs w:val="22"/>
        </w:rPr>
        <w:t>41 S. High Street, Suite 1700</w:t>
      </w:r>
    </w:p>
    <w:p w:rsidR="00156C32" w:rsidRDefault="00156C32" w:rsidP="00156C32">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  43215</w:t>
      </w:r>
    </w:p>
    <w:p w:rsidR="00156C32" w:rsidRDefault="00156C32" w:rsidP="00156C32">
      <w:pPr>
        <w:autoSpaceDE w:val="0"/>
        <w:autoSpaceDN w:val="0"/>
        <w:adjustRightInd w:val="0"/>
        <w:rPr>
          <w:rFonts w:ascii="Arial" w:eastAsiaTheme="minorHAnsi" w:hAnsi="Arial" w:cs="Arial"/>
          <w:sz w:val="22"/>
          <w:szCs w:val="22"/>
        </w:rPr>
      </w:pPr>
      <w:r w:rsidRPr="007D5C0A">
        <w:rPr>
          <w:rFonts w:ascii="Arial" w:eastAsiaTheme="minorHAnsi" w:hAnsi="Arial" w:cs="Arial"/>
          <w:sz w:val="22"/>
          <w:szCs w:val="22"/>
        </w:rPr>
        <w:t>Philip.sineneng@thompsonhine.com</w:t>
      </w:r>
    </w:p>
    <w:p w:rsidR="00156C32" w:rsidRDefault="00156C32" w:rsidP="00156C32">
      <w:pPr>
        <w:autoSpaceDE w:val="0"/>
        <w:autoSpaceDN w:val="0"/>
        <w:adjustRightInd w:val="0"/>
        <w:rPr>
          <w:rFonts w:ascii="Arial" w:eastAsiaTheme="minorHAnsi" w:hAnsi="Arial" w:cs="Arial"/>
          <w:sz w:val="22"/>
          <w:szCs w:val="22"/>
        </w:rPr>
      </w:pPr>
    </w:p>
    <w:p w:rsidR="00156C32" w:rsidRDefault="00156C32" w:rsidP="00156C32">
      <w:pPr>
        <w:autoSpaceDE w:val="0"/>
        <w:autoSpaceDN w:val="0"/>
        <w:adjustRightInd w:val="0"/>
        <w:rPr>
          <w:rFonts w:ascii="Arial" w:hAnsi="Arial" w:cs="Arial"/>
          <w:b/>
          <w:smallCaps/>
          <w:sz w:val="22"/>
          <w:szCs w:val="22"/>
        </w:rPr>
      </w:pPr>
      <w:r w:rsidRPr="0069046C">
        <w:rPr>
          <w:rFonts w:ascii="Arial" w:hAnsi="Arial" w:cs="Arial"/>
          <w:b/>
          <w:smallCaps/>
          <w:sz w:val="22"/>
          <w:szCs w:val="22"/>
        </w:rPr>
        <w:t>On Behalf of</w:t>
      </w:r>
      <w:r>
        <w:rPr>
          <w:rFonts w:ascii="Arial" w:hAnsi="Arial" w:cs="Arial"/>
          <w:b/>
          <w:smallCaps/>
          <w:sz w:val="22"/>
          <w:szCs w:val="22"/>
        </w:rPr>
        <w:t xml:space="preserve"> Duke Energy Commercial Asset Management, Inc.</w:t>
      </w:r>
    </w:p>
    <w:p w:rsidR="00156C32" w:rsidRDefault="00156C32" w:rsidP="00156C32">
      <w:pPr>
        <w:rPr>
          <w:rFonts w:ascii="Arial" w:eastAsiaTheme="minorHAnsi" w:hAnsi="Arial" w:cs="Arial"/>
          <w:sz w:val="22"/>
          <w:szCs w:val="22"/>
        </w:rPr>
      </w:pPr>
      <w:r>
        <w:rPr>
          <w:rFonts w:ascii="Arial" w:eastAsiaTheme="minorHAnsi" w:hAnsi="Arial" w:cs="Arial"/>
          <w:sz w:val="22"/>
          <w:szCs w:val="22"/>
        </w:rPr>
        <w:br w:type="page"/>
      </w:r>
    </w:p>
    <w:p w:rsidR="00156C32" w:rsidRPr="0069046C" w:rsidRDefault="00156C32" w:rsidP="00156C32">
      <w:pPr>
        <w:autoSpaceDE w:val="0"/>
        <w:autoSpaceDN w:val="0"/>
        <w:adjustRightInd w:val="0"/>
        <w:rPr>
          <w:rFonts w:ascii="Arial" w:hAnsi="Arial" w:cs="Arial"/>
          <w:color w:val="000000" w:themeColor="text1"/>
          <w:sz w:val="22"/>
          <w:szCs w:val="22"/>
        </w:rPr>
      </w:pPr>
      <w:r w:rsidRPr="0069046C">
        <w:rPr>
          <w:rFonts w:ascii="Arial" w:hAnsi="Arial" w:cs="Arial"/>
          <w:color w:val="000000" w:themeColor="text1"/>
          <w:sz w:val="22"/>
          <w:szCs w:val="22"/>
        </w:rPr>
        <w:lastRenderedPageBreak/>
        <w:t>Thomas McNamee</w:t>
      </w:r>
    </w:p>
    <w:p w:rsidR="00156C32" w:rsidRPr="0069046C" w:rsidRDefault="00156C32" w:rsidP="00156C32">
      <w:pPr>
        <w:autoSpaceDE w:val="0"/>
        <w:autoSpaceDN w:val="0"/>
        <w:adjustRightInd w:val="0"/>
        <w:rPr>
          <w:rFonts w:ascii="Arial" w:hAnsi="Arial" w:cs="Arial"/>
          <w:color w:val="000000" w:themeColor="text1"/>
          <w:sz w:val="22"/>
          <w:szCs w:val="22"/>
        </w:rPr>
      </w:pPr>
      <w:r w:rsidRPr="0069046C">
        <w:rPr>
          <w:rFonts w:ascii="Arial" w:hAnsi="Arial" w:cs="Arial"/>
          <w:color w:val="000000" w:themeColor="text1"/>
          <w:sz w:val="22"/>
          <w:szCs w:val="22"/>
        </w:rPr>
        <w:t>Steven Beeler</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Assistant Attorneys General</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Public Utilities Section</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180 E. Broad Street, 6</w:t>
      </w:r>
      <w:r w:rsidRPr="0069046C">
        <w:rPr>
          <w:rFonts w:ascii="Arial" w:hAnsi="Arial" w:cs="Arial"/>
          <w:color w:val="000000" w:themeColor="text1"/>
          <w:sz w:val="22"/>
          <w:szCs w:val="22"/>
          <w:vertAlign w:val="superscript"/>
        </w:rPr>
        <w:t>th</w:t>
      </w:r>
      <w:r w:rsidRPr="0069046C">
        <w:rPr>
          <w:rFonts w:ascii="Arial" w:hAnsi="Arial" w:cs="Arial"/>
          <w:color w:val="000000" w:themeColor="text1"/>
          <w:sz w:val="22"/>
          <w:szCs w:val="22"/>
        </w:rPr>
        <w:t xml:space="preserve"> Floor</w:t>
      </w:r>
    </w:p>
    <w:p w:rsidR="00156C32" w:rsidRPr="0069046C" w:rsidRDefault="00156C32" w:rsidP="00156C32">
      <w:pPr>
        <w:tabs>
          <w:tab w:val="left" w:pos="2160"/>
          <w:tab w:val="left" w:pos="2280"/>
        </w:tabs>
        <w:rPr>
          <w:rFonts w:ascii="Arial" w:hAnsi="Arial" w:cs="Arial"/>
          <w:color w:val="000000" w:themeColor="text1"/>
          <w:sz w:val="22"/>
          <w:szCs w:val="22"/>
        </w:rPr>
      </w:pPr>
      <w:r w:rsidRPr="0069046C">
        <w:rPr>
          <w:rFonts w:ascii="Arial" w:hAnsi="Arial" w:cs="Arial"/>
          <w:color w:val="000000" w:themeColor="text1"/>
          <w:sz w:val="22"/>
          <w:szCs w:val="22"/>
        </w:rPr>
        <w:t>Columbus, OH  43215-3793</w:t>
      </w:r>
    </w:p>
    <w:p w:rsidR="00156C32" w:rsidRPr="0069046C" w:rsidRDefault="00156C32" w:rsidP="00156C32">
      <w:pPr>
        <w:tabs>
          <w:tab w:val="left" w:pos="2160"/>
          <w:tab w:val="left" w:pos="2280"/>
        </w:tabs>
        <w:rPr>
          <w:rFonts w:ascii="Arial" w:hAnsi="Arial" w:cs="Arial"/>
          <w:sz w:val="22"/>
          <w:szCs w:val="22"/>
        </w:rPr>
      </w:pPr>
      <w:r w:rsidRPr="0069046C">
        <w:rPr>
          <w:rFonts w:ascii="Arial" w:hAnsi="Arial" w:cs="Arial"/>
          <w:sz w:val="22"/>
          <w:szCs w:val="22"/>
        </w:rPr>
        <w:t>thomas.mcnamee@puc.state.oh.us</w:t>
      </w:r>
    </w:p>
    <w:p w:rsidR="00156C32" w:rsidRPr="0069046C" w:rsidRDefault="00156C32" w:rsidP="00156C32">
      <w:pPr>
        <w:tabs>
          <w:tab w:val="left" w:pos="2160"/>
          <w:tab w:val="left" w:pos="2280"/>
        </w:tabs>
        <w:rPr>
          <w:rFonts w:ascii="Arial" w:hAnsi="Arial" w:cs="Arial"/>
          <w:sz w:val="22"/>
          <w:szCs w:val="22"/>
        </w:rPr>
      </w:pPr>
      <w:r w:rsidRPr="0069046C">
        <w:rPr>
          <w:rFonts w:ascii="Arial" w:hAnsi="Arial" w:cs="Arial"/>
          <w:sz w:val="22"/>
          <w:szCs w:val="22"/>
        </w:rPr>
        <w:t>steven.beeler@puc.state.oh.us</w:t>
      </w:r>
    </w:p>
    <w:p w:rsidR="00156C32" w:rsidRPr="0069046C" w:rsidRDefault="00156C32" w:rsidP="00156C32">
      <w:pPr>
        <w:tabs>
          <w:tab w:val="left" w:pos="2160"/>
          <w:tab w:val="left" w:pos="2280"/>
        </w:tabs>
        <w:rPr>
          <w:rFonts w:ascii="Arial" w:hAnsi="Arial" w:cs="Arial"/>
          <w:color w:val="000000" w:themeColor="text1"/>
          <w:sz w:val="22"/>
          <w:szCs w:val="22"/>
        </w:rPr>
      </w:pPr>
    </w:p>
    <w:p w:rsidR="00156C32" w:rsidRPr="0069046C" w:rsidRDefault="00156C32" w:rsidP="00156C32">
      <w:pPr>
        <w:tabs>
          <w:tab w:val="left" w:pos="2160"/>
          <w:tab w:val="left" w:pos="2280"/>
        </w:tabs>
        <w:rPr>
          <w:rFonts w:ascii="Arial" w:hAnsi="Arial" w:cs="Arial"/>
          <w:b/>
          <w:smallCaps/>
          <w:color w:val="000000" w:themeColor="text1"/>
          <w:sz w:val="22"/>
          <w:szCs w:val="22"/>
        </w:rPr>
      </w:pPr>
      <w:r w:rsidRPr="0069046C">
        <w:rPr>
          <w:rFonts w:ascii="Arial" w:hAnsi="Arial" w:cs="Arial"/>
          <w:b/>
          <w:smallCaps/>
          <w:color w:val="000000" w:themeColor="text1"/>
          <w:sz w:val="22"/>
          <w:szCs w:val="22"/>
        </w:rPr>
        <w:t>Counsel for the Staff of the Public Utilities Commission of Ohio</w:t>
      </w:r>
    </w:p>
    <w:p w:rsidR="00156C32" w:rsidRDefault="00156C32" w:rsidP="00156C32">
      <w:pPr>
        <w:rPr>
          <w:rFonts w:ascii="Arial" w:hAnsi="Arial" w:cs="Arial"/>
          <w:color w:val="000000" w:themeColor="text1"/>
          <w:sz w:val="22"/>
          <w:szCs w:val="22"/>
        </w:rPr>
      </w:pPr>
    </w:p>
    <w:p w:rsidR="00156C32" w:rsidRDefault="00156C32" w:rsidP="00156C32">
      <w:pPr>
        <w:rPr>
          <w:rFonts w:ascii="Arial" w:hAnsi="Arial" w:cs="Arial"/>
          <w:color w:val="000000" w:themeColor="text1"/>
          <w:sz w:val="22"/>
          <w:szCs w:val="22"/>
        </w:rPr>
      </w:pPr>
      <w:r>
        <w:rPr>
          <w:rFonts w:ascii="Arial" w:hAnsi="Arial" w:cs="Arial"/>
          <w:color w:val="000000" w:themeColor="text1"/>
          <w:sz w:val="22"/>
          <w:szCs w:val="22"/>
        </w:rPr>
        <w:t>Sarah Parrot</w:t>
      </w:r>
    </w:p>
    <w:p w:rsidR="00156C32" w:rsidRDefault="00156C32" w:rsidP="00156C32">
      <w:pPr>
        <w:rPr>
          <w:rFonts w:ascii="Arial" w:hAnsi="Arial" w:cs="Arial"/>
          <w:color w:val="000000" w:themeColor="text1"/>
          <w:sz w:val="22"/>
          <w:szCs w:val="22"/>
        </w:rPr>
      </w:pPr>
      <w:r>
        <w:rPr>
          <w:rFonts w:ascii="Arial" w:hAnsi="Arial" w:cs="Arial"/>
          <w:color w:val="000000" w:themeColor="text1"/>
          <w:sz w:val="22"/>
          <w:szCs w:val="22"/>
        </w:rPr>
        <w:t>Greta See</w:t>
      </w:r>
    </w:p>
    <w:p w:rsidR="00156C32" w:rsidRDefault="00156C32" w:rsidP="00156C32">
      <w:pPr>
        <w:rPr>
          <w:rFonts w:ascii="Arial" w:hAnsi="Arial" w:cs="Arial"/>
          <w:color w:val="000000" w:themeColor="text1"/>
          <w:sz w:val="22"/>
          <w:szCs w:val="22"/>
        </w:rPr>
      </w:pPr>
      <w:r>
        <w:rPr>
          <w:rFonts w:ascii="Arial" w:hAnsi="Arial" w:cs="Arial"/>
          <w:color w:val="000000" w:themeColor="text1"/>
          <w:sz w:val="22"/>
          <w:szCs w:val="22"/>
        </w:rPr>
        <w:t>Attorney Examiners</w:t>
      </w:r>
    </w:p>
    <w:p w:rsidR="00156C32" w:rsidRDefault="00156C32" w:rsidP="00156C32">
      <w:pPr>
        <w:rPr>
          <w:rFonts w:ascii="Arial" w:hAnsi="Arial" w:cs="Arial"/>
          <w:color w:val="000000" w:themeColor="text1"/>
          <w:sz w:val="22"/>
          <w:szCs w:val="22"/>
        </w:rPr>
      </w:pPr>
      <w:r>
        <w:rPr>
          <w:rFonts w:ascii="Arial" w:hAnsi="Arial" w:cs="Arial"/>
          <w:color w:val="000000" w:themeColor="text1"/>
          <w:sz w:val="22"/>
          <w:szCs w:val="22"/>
        </w:rPr>
        <w:t>Public Utilities Commission of Ohio</w:t>
      </w:r>
    </w:p>
    <w:p w:rsidR="00156C32" w:rsidRDefault="00156C32" w:rsidP="00156C32">
      <w:pPr>
        <w:rPr>
          <w:rFonts w:ascii="Arial" w:hAnsi="Arial" w:cs="Arial"/>
          <w:color w:val="000000" w:themeColor="text1"/>
          <w:sz w:val="22"/>
          <w:szCs w:val="22"/>
        </w:rPr>
      </w:pPr>
      <w:r>
        <w:rPr>
          <w:rFonts w:ascii="Arial" w:hAnsi="Arial" w:cs="Arial"/>
          <w:color w:val="000000" w:themeColor="text1"/>
          <w:sz w:val="22"/>
          <w:szCs w:val="22"/>
        </w:rPr>
        <w:t>180 East Broad Street</w:t>
      </w:r>
    </w:p>
    <w:p w:rsidR="00156C32" w:rsidRDefault="00156C32" w:rsidP="00156C32">
      <w:pPr>
        <w:rPr>
          <w:rFonts w:ascii="Arial" w:hAnsi="Arial" w:cs="Arial"/>
          <w:color w:val="000000" w:themeColor="text1"/>
          <w:sz w:val="22"/>
          <w:szCs w:val="22"/>
        </w:rPr>
      </w:pPr>
      <w:r>
        <w:rPr>
          <w:rFonts w:ascii="Arial" w:hAnsi="Arial" w:cs="Arial"/>
          <w:color w:val="000000" w:themeColor="text1"/>
          <w:sz w:val="22"/>
          <w:szCs w:val="22"/>
        </w:rPr>
        <w:t>Columbus, OH  43215-3793</w:t>
      </w:r>
    </w:p>
    <w:p w:rsidR="00156C32" w:rsidRDefault="00156C32" w:rsidP="00156C32">
      <w:pPr>
        <w:rPr>
          <w:rFonts w:ascii="Arial" w:hAnsi="Arial" w:cs="Arial"/>
          <w:color w:val="000000" w:themeColor="text1"/>
          <w:sz w:val="22"/>
          <w:szCs w:val="22"/>
        </w:rPr>
      </w:pPr>
      <w:r>
        <w:rPr>
          <w:rFonts w:ascii="Arial" w:hAnsi="Arial" w:cs="Arial"/>
          <w:color w:val="000000" w:themeColor="text1"/>
          <w:sz w:val="22"/>
          <w:szCs w:val="22"/>
        </w:rPr>
        <w:t>Sarah.parrot@puc.state.oh.us</w:t>
      </w:r>
    </w:p>
    <w:p w:rsidR="00156C32" w:rsidRDefault="00156C32" w:rsidP="00156C32">
      <w:pPr>
        <w:rPr>
          <w:rFonts w:ascii="Arial" w:hAnsi="Arial" w:cs="Arial"/>
          <w:color w:val="000000" w:themeColor="text1"/>
          <w:sz w:val="22"/>
          <w:szCs w:val="22"/>
        </w:rPr>
      </w:pPr>
      <w:r>
        <w:rPr>
          <w:rFonts w:ascii="Arial" w:hAnsi="Arial" w:cs="Arial"/>
          <w:color w:val="000000" w:themeColor="text1"/>
          <w:sz w:val="22"/>
          <w:szCs w:val="22"/>
        </w:rPr>
        <w:t>Greta.see@puc.state.oh.us</w:t>
      </w:r>
    </w:p>
    <w:p w:rsidR="00156C32" w:rsidRDefault="00156C32" w:rsidP="00156C32">
      <w:pPr>
        <w:rPr>
          <w:rFonts w:ascii="Arial" w:hAnsi="Arial" w:cs="Arial"/>
          <w:color w:val="000000" w:themeColor="text1"/>
          <w:sz w:val="22"/>
          <w:szCs w:val="22"/>
        </w:rPr>
      </w:pPr>
    </w:p>
    <w:p w:rsidR="00156C32" w:rsidRPr="000C4ABF" w:rsidRDefault="00156C32" w:rsidP="00156C32">
      <w:pPr>
        <w:rPr>
          <w:rFonts w:ascii="Arial Bold" w:hAnsi="Arial Bold" w:cs="Arial"/>
          <w:b/>
          <w:smallCaps/>
          <w:color w:val="000000" w:themeColor="text1"/>
          <w:sz w:val="22"/>
          <w:szCs w:val="22"/>
        </w:rPr>
      </w:pPr>
      <w:r>
        <w:rPr>
          <w:rFonts w:ascii="Arial Bold" w:hAnsi="Arial Bold" w:cs="Arial"/>
          <w:b/>
          <w:smallCaps/>
          <w:color w:val="000000" w:themeColor="text1"/>
          <w:sz w:val="22"/>
          <w:szCs w:val="22"/>
        </w:rPr>
        <w:t>Attorney Examiners</w:t>
      </w:r>
    </w:p>
    <w:p w:rsidR="00156C32" w:rsidRPr="0069046C" w:rsidRDefault="00156C32" w:rsidP="00156C32">
      <w:pPr>
        <w:rPr>
          <w:rFonts w:ascii="Arial" w:hAnsi="Arial" w:cs="Arial"/>
          <w:color w:val="000000" w:themeColor="text1"/>
          <w:sz w:val="22"/>
          <w:szCs w:val="22"/>
        </w:rPr>
      </w:pPr>
    </w:p>
    <w:p w:rsidR="00D95797" w:rsidRDefault="00D95797" w:rsidP="00D95797">
      <w:pPr>
        <w:jc w:val="both"/>
        <w:rPr>
          <w:rFonts w:ascii="Arial" w:hAnsi="Arial" w:cs="Arial"/>
        </w:rPr>
      </w:pPr>
    </w:p>
    <w:sectPr w:rsidR="00D95797" w:rsidSect="000D6ED1">
      <w:headerReference w:type="default" r:id="rId28"/>
      <w:footerReference w:type="default" r:id="rId29"/>
      <w:headerReference w:type="first" r:id="rId30"/>
      <w:footerReference w:type="first" r:id="rId31"/>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ED1" w:rsidRDefault="000D6ED1" w:rsidP="00D95797">
      <w:r>
        <w:separator/>
      </w:r>
    </w:p>
  </w:endnote>
  <w:endnote w:type="continuationSeparator" w:id="0">
    <w:p w:rsidR="000D6ED1" w:rsidRDefault="000D6ED1" w:rsidP="00D9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FE" w:rsidRDefault="00EE66F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Pr="00D828CE" w:rsidRDefault="00EE66FE">
    <w:pPr>
      <w:pStyle w:val="Footer"/>
      <w:rPr>
        <w:rFonts w:ascii="Arial" w:hAnsi="Arial" w:cs="Arial"/>
      </w:rPr>
    </w:pPr>
    <w:r w:rsidRPr="00EE66FE">
      <w:rPr>
        <w:rFonts w:ascii="Arial" w:hAnsi="Arial" w:cs="Arial"/>
        <w:noProof/>
        <w:sz w:val="16"/>
      </w:rPr>
      <w:t>{C42448:3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C" w:rsidRPr="00F16EE5" w:rsidRDefault="00EE66FE">
    <w:pPr>
      <w:pStyle w:val="Footer"/>
    </w:pPr>
    <w:r w:rsidRPr="00EE66FE">
      <w:rPr>
        <w:noProof/>
        <w:sz w:val="16"/>
      </w:rPr>
      <w:t>{C42448:3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C" w:rsidRPr="00D828CE" w:rsidRDefault="00EE66FE">
    <w:pPr>
      <w:pStyle w:val="Footer"/>
      <w:rPr>
        <w:rFonts w:ascii="Arial" w:hAnsi="Arial" w:cs="Arial"/>
      </w:rPr>
    </w:pPr>
    <w:r w:rsidRPr="00EE66FE">
      <w:rPr>
        <w:rFonts w:ascii="Arial" w:hAnsi="Arial" w:cs="Arial"/>
        <w:noProof/>
        <w:sz w:val="16"/>
      </w:rPr>
      <w:t>{C42448:3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Pr="00D95797" w:rsidRDefault="00EE66FE">
    <w:pPr>
      <w:pStyle w:val="Footer"/>
    </w:pPr>
    <w:r w:rsidRPr="00EE66FE">
      <w:rPr>
        <w:noProof/>
        <w:sz w:val="16"/>
      </w:rPr>
      <w:t>{C42448:3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48180"/>
      <w:docPartObj>
        <w:docPartGallery w:val="Page Numbers (Bottom of Page)"/>
        <w:docPartUnique/>
      </w:docPartObj>
    </w:sdtPr>
    <w:sdtEndPr>
      <w:rPr>
        <w:noProof/>
      </w:rPr>
    </w:sdtEndPr>
    <w:sdtContent>
      <w:p w:rsidR="00B7256C" w:rsidRDefault="00B7256C">
        <w:pPr>
          <w:pStyle w:val="Footer"/>
          <w:jc w:val="center"/>
        </w:pPr>
        <w:r>
          <w:fldChar w:fldCharType="begin"/>
        </w:r>
        <w:r>
          <w:instrText xml:space="preserve"> PAGE   \* MERGEFORMAT </w:instrText>
        </w:r>
        <w:r>
          <w:fldChar w:fldCharType="separate"/>
        </w:r>
        <w:r w:rsidR="00EE66FE">
          <w:rPr>
            <w:noProof/>
          </w:rPr>
          <w:t>1</w:t>
        </w:r>
        <w:r>
          <w:rPr>
            <w:noProof/>
          </w:rPr>
          <w:fldChar w:fldCharType="end"/>
        </w:r>
      </w:p>
    </w:sdtContent>
  </w:sdt>
  <w:p w:rsidR="000D6ED1" w:rsidRPr="00174068" w:rsidRDefault="000D6E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C" w:rsidRPr="00B7256C" w:rsidRDefault="00EE66FE">
    <w:pPr>
      <w:pStyle w:val="Footer"/>
      <w:jc w:val="center"/>
    </w:pPr>
    <w:r w:rsidRPr="00EE66FE">
      <w:rPr>
        <w:noProof/>
        <w:sz w:val="16"/>
      </w:rPr>
      <w:t>{C42448:3 }</w:t>
    </w:r>
    <w:sdt>
      <w:sdtPr>
        <w:id w:val="-713119218"/>
        <w:docPartObj>
          <w:docPartGallery w:val="Page Numbers (Bottom of Page)"/>
          <w:docPartUnique/>
        </w:docPartObj>
      </w:sdtPr>
      <w:sdtEndPr>
        <w:rPr>
          <w:noProof/>
        </w:rPr>
      </w:sdtEndPr>
      <w:sdtContent>
        <w:r w:rsidR="00B7256C" w:rsidRPr="00B7256C">
          <w:fldChar w:fldCharType="begin"/>
        </w:r>
        <w:r w:rsidR="00B7256C" w:rsidRPr="00B7256C">
          <w:instrText xml:space="preserve"> PAGE   \* MERGEFORMAT </w:instrText>
        </w:r>
        <w:r w:rsidR="00B7256C" w:rsidRPr="00B7256C">
          <w:fldChar w:fldCharType="separate"/>
        </w:r>
        <w:r>
          <w:rPr>
            <w:noProof/>
          </w:rPr>
          <w:t>i</w:t>
        </w:r>
        <w:r w:rsidR="00B7256C" w:rsidRPr="00B7256C">
          <w:rPr>
            <w:noProof/>
          </w:rPr>
          <w:fldChar w:fldCharType="end"/>
        </w:r>
      </w:sdtContent>
    </w:sdt>
  </w:p>
  <w:p w:rsidR="00B7256C" w:rsidRPr="00B7256C" w:rsidRDefault="00B7256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C" w:rsidRPr="00174068" w:rsidRDefault="00B7256C" w:rsidP="00123F3A">
    <w:pPr>
      <w:pStyle w:val="Footer"/>
    </w:pPr>
    <w:r w:rsidRPr="009F21F2">
      <w:rPr>
        <w:noProof/>
        <w:sz w:val="16"/>
      </w:rPr>
      <w:t>{C42448:3 }</w:t>
    </w:r>
    <w:r>
      <w:rPr>
        <w:noProof/>
        <w:sz w:val="16"/>
      </w:rPr>
      <w:tab/>
    </w:r>
  </w:p>
  <w:p w:rsidR="00B7256C" w:rsidRPr="00174068" w:rsidRDefault="00B7256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Pr="009F7850" w:rsidRDefault="00EE66FE" w:rsidP="00527499">
    <w:pPr>
      <w:pStyle w:val="Footer"/>
    </w:pPr>
    <w:r w:rsidRPr="00EE66FE">
      <w:rPr>
        <w:noProof/>
        <w:sz w:val="16"/>
      </w:rPr>
      <w:t>{C42448:3 }</w:t>
    </w:r>
    <w:sdt>
      <w:sdtPr>
        <w:id w:val="-370459244"/>
        <w:docPartObj>
          <w:docPartGallery w:val="Page Numbers (Bottom of Page)"/>
          <w:docPartUnique/>
        </w:docPartObj>
      </w:sdtPr>
      <w:sdtEndPr>
        <w:rPr>
          <w:rFonts w:ascii="Arial" w:hAnsi="Arial" w:cs="Arial"/>
          <w:noProof/>
        </w:rPr>
      </w:sdtEndPr>
      <w:sdtContent>
        <w:r w:rsidR="000D6ED1">
          <w:tab/>
        </w:r>
        <w:r w:rsidR="000D6ED1" w:rsidRPr="00527499">
          <w:rPr>
            <w:rFonts w:ascii="Arial" w:hAnsi="Arial" w:cs="Arial"/>
          </w:rPr>
          <w:fldChar w:fldCharType="begin"/>
        </w:r>
        <w:r w:rsidR="000D6ED1" w:rsidRPr="00527499">
          <w:rPr>
            <w:rFonts w:ascii="Arial" w:hAnsi="Arial" w:cs="Arial"/>
          </w:rPr>
          <w:instrText xml:space="preserve"> PAGE   \* MERGEFORMAT </w:instrText>
        </w:r>
        <w:r w:rsidR="000D6ED1" w:rsidRPr="00527499">
          <w:rPr>
            <w:rFonts w:ascii="Arial" w:hAnsi="Arial" w:cs="Arial"/>
          </w:rPr>
          <w:fldChar w:fldCharType="separate"/>
        </w:r>
        <w:r>
          <w:rPr>
            <w:rFonts w:ascii="Arial" w:hAnsi="Arial" w:cs="Arial"/>
            <w:noProof/>
          </w:rPr>
          <w:t>26</w:t>
        </w:r>
        <w:r w:rsidR="000D6ED1" w:rsidRPr="00527499">
          <w:rPr>
            <w:rFonts w:ascii="Arial" w:hAnsi="Arial" w:cs="Arial"/>
            <w:noProof/>
          </w:rPr>
          <w:fldChar w:fldCharType="end"/>
        </w:r>
      </w:sdtContent>
    </w:sdt>
  </w:p>
  <w:p w:rsidR="000D6ED1" w:rsidRPr="009F7850" w:rsidRDefault="000D6ED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Pr="00D828CE" w:rsidRDefault="00EE66FE">
    <w:pPr>
      <w:pStyle w:val="Footer"/>
      <w:rPr>
        <w:rFonts w:ascii="Arial" w:hAnsi="Arial" w:cs="Arial"/>
      </w:rPr>
    </w:pPr>
    <w:r w:rsidRPr="00EE66FE">
      <w:rPr>
        <w:rFonts w:ascii="Arial" w:hAnsi="Arial" w:cs="Arial"/>
        <w:noProof/>
        <w:sz w:val="16"/>
      </w:rPr>
      <w:t>{C42448:3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Default="000D6ED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Pr="00F16EE5" w:rsidRDefault="00EE66FE">
    <w:pPr>
      <w:pStyle w:val="Footer"/>
    </w:pPr>
    <w:r w:rsidRPr="00EE66FE">
      <w:rPr>
        <w:noProof/>
        <w:sz w:val="16"/>
      </w:rPr>
      <w:t>{C42448:3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ED1" w:rsidRDefault="000D6ED1" w:rsidP="00D95797">
      <w:pPr>
        <w:rPr>
          <w:noProof/>
        </w:rPr>
      </w:pPr>
      <w:r>
        <w:rPr>
          <w:noProof/>
        </w:rPr>
        <w:separator/>
      </w:r>
    </w:p>
  </w:footnote>
  <w:footnote w:type="continuationSeparator" w:id="0">
    <w:p w:rsidR="000D6ED1" w:rsidRDefault="000D6ED1" w:rsidP="00D95797">
      <w:r>
        <w:continuationSeparator/>
      </w:r>
    </w:p>
  </w:footnote>
  <w:footnote w:id="1">
    <w:p w:rsidR="000D6ED1" w:rsidRPr="00130DDA" w:rsidRDefault="000D6ED1" w:rsidP="00DE46DF">
      <w:pPr>
        <w:pStyle w:val="1definition"/>
        <w:spacing w:after="120" w:line="240" w:lineRule="auto"/>
      </w:pPr>
      <w:r w:rsidRPr="00345AC3">
        <w:rPr>
          <w:rStyle w:val="FootnoteReference"/>
          <w:sz w:val="20"/>
          <w:szCs w:val="20"/>
        </w:rPr>
        <w:footnoteRef/>
      </w:r>
      <w:r w:rsidRPr="00345AC3">
        <w:rPr>
          <w:sz w:val="20"/>
          <w:szCs w:val="20"/>
        </w:rPr>
        <w:t xml:space="preserve"> </w:t>
      </w:r>
      <w:r w:rsidRPr="00345AC3">
        <w:rPr>
          <w:i/>
          <w:sz w:val="20"/>
          <w:szCs w:val="20"/>
        </w:rPr>
        <w:t>In the Matter of the Fuel Adjustment Clauses for Columbus Southern Power Company and Ohio Power Company and Related Matters for 2009</w:t>
      </w:r>
      <w:r>
        <w:rPr>
          <w:sz w:val="20"/>
          <w:szCs w:val="20"/>
        </w:rPr>
        <w:t>,</w:t>
      </w:r>
      <w:r w:rsidRPr="00345AC3">
        <w:rPr>
          <w:sz w:val="20"/>
          <w:szCs w:val="20"/>
        </w:rPr>
        <w:t xml:space="preserve"> Case Nos. 09-872-EL-FAC</w:t>
      </w:r>
      <w:r>
        <w:rPr>
          <w:sz w:val="20"/>
          <w:szCs w:val="20"/>
        </w:rPr>
        <w:t xml:space="preserve">, </w:t>
      </w:r>
      <w:r w:rsidRPr="00975BB6">
        <w:rPr>
          <w:i/>
          <w:sz w:val="20"/>
          <w:szCs w:val="20"/>
        </w:rPr>
        <w:t>et al.</w:t>
      </w:r>
      <w:r w:rsidRPr="00345AC3">
        <w:rPr>
          <w:sz w:val="20"/>
          <w:szCs w:val="20"/>
        </w:rPr>
        <w:t>, Entry on Rehearing at 5</w:t>
      </w:r>
      <w:r>
        <w:rPr>
          <w:sz w:val="20"/>
          <w:szCs w:val="20"/>
        </w:rPr>
        <w:t xml:space="preserve"> (Apr. 11, 2012) (hereinafter referred to as the </w:t>
      </w:r>
      <w:r>
        <w:rPr>
          <w:i/>
          <w:sz w:val="20"/>
          <w:szCs w:val="20"/>
        </w:rPr>
        <w:t>"2009 FAC Case")</w:t>
      </w:r>
      <w:r w:rsidRPr="00345AC3">
        <w:rPr>
          <w:sz w:val="20"/>
          <w:szCs w:val="20"/>
        </w:rPr>
        <w:t>.</w:t>
      </w:r>
      <w:r>
        <w:rPr>
          <w:sz w:val="20"/>
          <w:szCs w:val="20"/>
        </w:rPr>
        <w:t xml:space="preserve">  </w:t>
      </w:r>
      <w:r>
        <w:rPr>
          <w:i/>
          <w:sz w:val="20"/>
          <w:szCs w:val="20"/>
        </w:rPr>
        <w:t>See also 2009 FAC Case</w:t>
      </w:r>
      <w:r>
        <w:rPr>
          <w:sz w:val="20"/>
          <w:szCs w:val="20"/>
        </w:rPr>
        <w:t>, Opinion and Order at 13 (Jan. 23, 2012) (hereinafter “FAC Order”).</w:t>
      </w:r>
    </w:p>
  </w:footnote>
  <w:footnote w:id="2">
    <w:p w:rsidR="000D6ED1" w:rsidRPr="00975BB6" w:rsidRDefault="000D6ED1" w:rsidP="00DE46DF">
      <w:pPr>
        <w:pStyle w:val="BodyText"/>
        <w:tabs>
          <w:tab w:val="left" w:pos="4320"/>
        </w:tabs>
        <w:spacing w:after="120"/>
      </w:pPr>
      <w:r w:rsidRPr="00904E30">
        <w:rPr>
          <w:rStyle w:val="FootnoteReference"/>
          <w:b w:val="0"/>
          <w:sz w:val="20"/>
        </w:rPr>
        <w:footnoteRef/>
      </w:r>
      <w:r w:rsidRPr="00904E30">
        <w:rPr>
          <w:b w:val="0"/>
          <w:sz w:val="20"/>
        </w:rPr>
        <w:t xml:space="preserve"> </w:t>
      </w:r>
      <w:r w:rsidRPr="00904E30">
        <w:rPr>
          <w:b w:val="0"/>
          <w:i/>
          <w:smallCaps w:val="0"/>
          <w:sz w:val="20"/>
        </w:rPr>
        <w:t>In the Matter of the Application of Columbus Southern Power Company for Approval of its Electric Security Plan; an Amendment to its Corporate Separation Plan, and the Sale or Transfer of Certain Generating Assets,</w:t>
      </w:r>
      <w:r w:rsidRPr="00904E30">
        <w:rPr>
          <w:b w:val="0"/>
          <w:smallCaps w:val="0"/>
          <w:sz w:val="20"/>
        </w:rPr>
        <w:t xml:space="preserve"> Case Nos. </w:t>
      </w:r>
      <w:r w:rsidRPr="00904E30">
        <w:rPr>
          <w:rFonts w:cs="Arial"/>
          <w:b w:val="0"/>
          <w:sz w:val="20"/>
        </w:rPr>
        <w:t>08-917-EL-SSO</w:t>
      </w:r>
      <w:r w:rsidRPr="00904E30">
        <w:rPr>
          <w:rFonts w:cs="Arial"/>
          <w:b w:val="0"/>
          <w:i/>
          <w:sz w:val="20"/>
        </w:rPr>
        <w:t xml:space="preserve">, </w:t>
      </w:r>
      <w:r w:rsidRPr="00904E30">
        <w:rPr>
          <w:rFonts w:cs="Arial"/>
          <w:b w:val="0"/>
          <w:i/>
          <w:smallCaps w:val="0"/>
          <w:sz w:val="20"/>
        </w:rPr>
        <w:t xml:space="preserve">et al., </w:t>
      </w:r>
      <w:r w:rsidRPr="00904E30">
        <w:rPr>
          <w:rFonts w:cs="Arial"/>
          <w:b w:val="0"/>
          <w:smallCaps w:val="0"/>
          <w:sz w:val="20"/>
        </w:rPr>
        <w:t>Opinion and Order (Mar. 18, 2009)</w:t>
      </w:r>
      <w:r w:rsidRPr="009B3803">
        <w:rPr>
          <w:rFonts w:eastAsiaTheme="minorHAnsi"/>
          <w:szCs w:val="22"/>
        </w:rPr>
        <w:t xml:space="preserve"> </w:t>
      </w:r>
      <w:r w:rsidRPr="009B3803">
        <w:rPr>
          <w:rFonts w:eastAsiaTheme="minorHAnsi"/>
          <w:b w:val="0"/>
          <w:smallCaps w:val="0"/>
          <w:sz w:val="20"/>
        </w:rPr>
        <w:t>(</w:t>
      </w:r>
      <w:r>
        <w:rPr>
          <w:rFonts w:eastAsiaTheme="minorHAnsi"/>
          <w:b w:val="0"/>
          <w:smallCaps w:val="0"/>
          <w:sz w:val="20"/>
        </w:rPr>
        <w:t xml:space="preserve">hereinafter referred to as </w:t>
      </w:r>
      <w:r w:rsidRPr="00904E30">
        <w:rPr>
          <w:rFonts w:eastAsiaTheme="minorHAnsi"/>
          <w:b w:val="0"/>
          <w:i/>
          <w:smallCaps w:val="0"/>
          <w:sz w:val="20"/>
        </w:rPr>
        <w:t>"ESP I"</w:t>
      </w:r>
      <w:r>
        <w:rPr>
          <w:rFonts w:eastAsiaTheme="minorHAnsi"/>
          <w:b w:val="0"/>
          <w:smallCaps w:val="0"/>
          <w:sz w:val="20"/>
        </w:rPr>
        <w:t xml:space="preserve"> and the Opinion and Order is referred to as the, </w:t>
      </w:r>
      <w:r w:rsidRPr="009B3803">
        <w:rPr>
          <w:rFonts w:eastAsiaTheme="minorHAnsi"/>
          <w:b w:val="0"/>
          <w:smallCaps w:val="0"/>
          <w:sz w:val="20"/>
        </w:rPr>
        <w:t>“ESP I Order”)</w:t>
      </w:r>
      <w:r>
        <w:rPr>
          <w:rFonts w:eastAsiaTheme="minorHAnsi"/>
          <w:b w:val="0"/>
          <w:smallCaps w:val="0"/>
          <w:sz w:val="20"/>
        </w:rPr>
        <w:t>.</w:t>
      </w:r>
    </w:p>
  </w:footnote>
  <w:footnote w:id="3">
    <w:p w:rsidR="000D6ED1" w:rsidRPr="00D34D32" w:rsidRDefault="000D6ED1" w:rsidP="00DE46DF">
      <w:pPr>
        <w:pStyle w:val="FootnoteText"/>
        <w:spacing w:after="120"/>
        <w:jc w:val="both"/>
        <w:rPr>
          <w:rFonts w:ascii="Arial" w:hAnsi="Arial" w:cs="Arial"/>
        </w:rPr>
      </w:pPr>
      <w:r w:rsidRPr="00D34D32">
        <w:rPr>
          <w:rStyle w:val="FootnoteReference"/>
          <w:rFonts w:ascii="Arial" w:hAnsi="Arial" w:cs="Arial"/>
        </w:rPr>
        <w:footnoteRef/>
      </w:r>
      <w:r w:rsidRPr="00D34D32">
        <w:rPr>
          <w:rFonts w:ascii="Arial" w:hAnsi="Arial" w:cs="Arial"/>
        </w:rPr>
        <w:t xml:space="preserve"> ESP I</w:t>
      </w:r>
      <w:r w:rsidRPr="00D34D32">
        <w:rPr>
          <w:rFonts w:ascii="Arial" w:hAnsi="Arial" w:cs="Arial"/>
          <w:i/>
        </w:rPr>
        <w:t xml:space="preserve"> </w:t>
      </w:r>
      <w:r w:rsidRPr="00D34D32">
        <w:rPr>
          <w:rFonts w:ascii="Arial" w:hAnsi="Arial" w:cs="Arial"/>
        </w:rPr>
        <w:t>Order at 22-23 (Mar. 18, 2009)</w:t>
      </w:r>
      <w:r>
        <w:rPr>
          <w:rFonts w:ascii="Arial" w:hAnsi="Arial" w:cs="Arial"/>
        </w:rPr>
        <w:t>.</w:t>
      </w:r>
      <w:r w:rsidRPr="00D34D32">
        <w:rPr>
          <w:rFonts w:ascii="Arial" w:hAnsi="Arial" w:cs="Arial"/>
        </w:rPr>
        <w:t xml:space="preserve"> </w:t>
      </w:r>
    </w:p>
  </w:footnote>
  <w:footnote w:id="4">
    <w:p w:rsidR="000D6ED1" w:rsidRPr="00D34D32" w:rsidRDefault="000D6ED1" w:rsidP="0061337F">
      <w:pPr>
        <w:pStyle w:val="FootnoteText"/>
        <w:spacing w:after="120"/>
        <w:jc w:val="both"/>
        <w:rPr>
          <w:rFonts w:ascii="Arial" w:hAnsi="Arial" w:cs="Arial"/>
        </w:rPr>
      </w:pPr>
      <w:r w:rsidRPr="00D34D32">
        <w:rPr>
          <w:rStyle w:val="FootnoteReference"/>
          <w:rFonts w:ascii="Arial" w:hAnsi="Arial" w:cs="Arial"/>
        </w:rPr>
        <w:footnoteRef/>
      </w:r>
      <w:r w:rsidRPr="00D34D32">
        <w:rPr>
          <w:rFonts w:ascii="Arial" w:hAnsi="Arial" w:cs="Arial"/>
        </w:rPr>
        <w:t xml:space="preserve"> </w:t>
      </w:r>
      <w:r w:rsidRPr="00D34D32">
        <w:rPr>
          <w:rFonts w:ascii="Arial" w:hAnsi="Arial" w:cs="Arial"/>
          <w:i/>
        </w:rPr>
        <w:t>Id.</w:t>
      </w:r>
      <w:r w:rsidRPr="00D34D32">
        <w:rPr>
          <w:rFonts w:ascii="Arial" w:hAnsi="Arial" w:cs="Arial"/>
        </w:rPr>
        <w:t xml:space="preserve"> </w:t>
      </w:r>
    </w:p>
  </w:footnote>
  <w:footnote w:id="5">
    <w:p w:rsidR="000D6ED1" w:rsidRPr="00D34D32" w:rsidRDefault="000D6ED1" w:rsidP="00DE46DF">
      <w:pPr>
        <w:pStyle w:val="FootnoteText"/>
        <w:spacing w:after="120"/>
        <w:jc w:val="both"/>
        <w:rPr>
          <w:rFonts w:ascii="Arial" w:hAnsi="Arial" w:cs="Arial"/>
        </w:rPr>
      </w:pPr>
      <w:r w:rsidRPr="00D34D32">
        <w:rPr>
          <w:rStyle w:val="FootnoteReference"/>
          <w:rFonts w:ascii="Arial" w:hAnsi="Arial" w:cs="Arial"/>
        </w:rPr>
        <w:footnoteRef/>
      </w:r>
      <w:r w:rsidRPr="00D34D32">
        <w:rPr>
          <w:rFonts w:ascii="Arial" w:hAnsi="Arial" w:cs="Arial"/>
        </w:rPr>
        <w:t xml:space="preserve"> </w:t>
      </w:r>
      <w:r w:rsidRPr="00D34D32">
        <w:rPr>
          <w:rFonts w:ascii="Arial" w:hAnsi="Arial" w:cs="Arial"/>
          <w:i/>
        </w:rPr>
        <w:t xml:space="preserve">Id. </w:t>
      </w:r>
      <w:r>
        <w:rPr>
          <w:rFonts w:ascii="Arial" w:hAnsi="Arial" w:cs="Arial"/>
        </w:rPr>
        <w:t>at 24.</w:t>
      </w:r>
      <w:r w:rsidRPr="00D34D32">
        <w:rPr>
          <w:rFonts w:ascii="Arial" w:hAnsi="Arial" w:cs="Arial"/>
        </w:rPr>
        <w:t xml:space="preserve"> </w:t>
      </w:r>
    </w:p>
  </w:footnote>
  <w:footnote w:id="6">
    <w:p w:rsidR="000D6ED1" w:rsidRDefault="000D6ED1" w:rsidP="00DE46DF">
      <w:pPr>
        <w:pStyle w:val="FootnoteText"/>
        <w:spacing w:after="120"/>
        <w:jc w:val="both"/>
      </w:pPr>
      <w:r w:rsidRPr="005D7F4C">
        <w:rPr>
          <w:rStyle w:val="FootnoteReference"/>
          <w:rFonts w:ascii="Arial" w:hAnsi="Arial" w:cs="Arial"/>
        </w:rPr>
        <w:footnoteRef/>
      </w:r>
      <w:r w:rsidRPr="005D7F4C">
        <w:rPr>
          <w:rFonts w:ascii="Arial" w:hAnsi="Arial" w:cs="Arial"/>
        </w:rPr>
        <w:t xml:space="preserve"> EVA subcontracted a portion of the review of the FAC to Larkin Associates.  IEU-Ohio will refer to finding</w:t>
      </w:r>
      <w:r>
        <w:rPr>
          <w:rFonts w:ascii="Arial" w:hAnsi="Arial" w:cs="Arial"/>
        </w:rPr>
        <w:t>s and testimony of</w:t>
      </w:r>
      <w:r w:rsidRPr="005D7F4C">
        <w:rPr>
          <w:rFonts w:ascii="Arial" w:hAnsi="Arial" w:cs="Arial"/>
        </w:rPr>
        <w:t xml:space="preserve"> EVA and Larkin Associates as the Auditor or EVA.</w:t>
      </w:r>
    </w:p>
  </w:footnote>
  <w:footnote w:id="7">
    <w:p w:rsidR="000D6ED1" w:rsidRPr="009E47AF" w:rsidRDefault="000D6ED1" w:rsidP="0061337F">
      <w:pPr>
        <w:pStyle w:val="FootnoteText"/>
        <w:spacing w:after="120"/>
        <w:jc w:val="both"/>
        <w:rPr>
          <w:rFonts w:ascii="Arial" w:hAnsi="Arial" w:cs="Arial"/>
        </w:rPr>
      </w:pPr>
      <w:r w:rsidRPr="00256A88">
        <w:rPr>
          <w:rStyle w:val="FootnoteReference"/>
          <w:rFonts w:ascii="Arial" w:hAnsi="Arial" w:cs="Arial"/>
        </w:rPr>
        <w:footnoteRef/>
      </w:r>
      <w:r w:rsidRPr="00256A88">
        <w:rPr>
          <w:rFonts w:ascii="Arial" w:hAnsi="Arial" w:cs="Arial"/>
        </w:rPr>
        <w:t xml:space="preserve"> </w:t>
      </w:r>
      <w:r w:rsidRPr="00256A88">
        <w:rPr>
          <w:rFonts w:ascii="Arial" w:hAnsi="Arial" w:cs="Arial"/>
          <w:i/>
        </w:rPr>
        <w:t>2009 FAC Case</w:t>
      </w:r>
      <w:r>
        <w:rPr>
          <w:rFonts w:ascii="Arial" w:hAnsi="Arial" w:cs="Arial"/>
        </w:rPr>
        <w:t>, FAC</w:t>
      </w:r>
      <w:r w:rsidRPr="00256A88">
        <w:rPr>
          <w:rFonts w:ascii="Arial" w:hAnsi="Arial" w:cs="Arial"/>
        </w:rPr>
        <w:t xml:space="preserve"> Order at 4-5</w:t>
      </w:r>
      <w:r>
        <w:rPr>
          <w:rFonts w:ascii="Arial" w:hAnsi="Arial" w:cs="Arial"/>
        </w:rPr>
        <w:t xml:space="preserve"> (Jan. 23, 2012)</w:t>
      </w:r>
      <w:r w:rsidRPr="00256A88">
        <w:rPr>
          <w:rFonts w:ascii="Arial" w:hAnsi="Arial" w:cs="Arial"/>
        </w:rPr>
        <w:t xml:space="preserve">. </w:t>
      </w:r>
    </w:p>
  </w:footnote>
  <w:footnote w:id="8">
    <w:p w:rsidR="000D6ED1" w:rsidRPr="00ED48E1" w:rsidRDefault="000D6ED1" w:rsidP="00DE46DF">
      <w:pPr>
        <w:pStyle w:val="FootnoteText"/>
        <w:spacing w:after="120"/>
        <w:jc w:val="both"/>
        <w:rPr>
          <w:rFonts w:ascii="Arial" w:hAnsi="Arial" w:cs="Arial"/>
        </w:rPr>
      </w:pPr>
      <w:r w:rsidRPr="00ED48E1">
        <w:rPr>
          <w:rStyle w:val="FootnoteReference"/>
          <w:rFonts w:ascii="Arial" w:hAnsi="Arial" w:cs="Arial"/>
        </w:rPr>
        <w:footnoteRef/>
      </w:r>
      <w:r w:rsidRPr="00ED48E1">
        <w:rPr>
          <w:rFonts w:ascii="Arial" w:hAnsi="Arial" w:cs="Arial"/>
        </w:rPr>
        <w:t xml:space="preserve"> Only a portion of the $30 million has been flowed back to ratepayers.  </w:t>
      </w:r>
      <w:r>
        <w:rPr>
          <w:rFonts w:ascii="Arial" w:hAnsi="Arial" w:cs="Arial"/>
          <w:i/>
        </w:rPr>
        <w:t xml:space="preserve">Id. </w:t>
      </w:r>
      <w:r w:rsidRPr="00ED48E1">
        <w:rPr>
          <w:rFonts w:ascii="Arial" w:hAnsi="Arial" w:cs="Arial"/>
        </w:rPr>
        <w:t>at 12</w:t>
      </w:r>
      <w:r>
        <w:rPr>
          <w:rFonts w:ascii="Arial" w:hAnsi="Arial" w:cs="Arial"/>
        </w:rPr>
        <w:t>.</w:t>
      </w:r>
    </w:p>
  </w:footnote>
  <w:footnote w:id="9">
    <w:p w:rsidR="000D6ED1" w:rsidRPr="00ED48E1" w:rsidRDefault="000D6ED1" w:rsidP="00DE46DF">
      <w:pPr>
        <w:pStyle w:val="FootnoteText"/>
        <w:spacing w:after="120"/>
        <w:jc w:val="both"/>
        <w:rPr>
          <w:rFonts w:ascii="Arial" w:hAnsi="Arial" w:cs="Arial"/>
        </w:rPr>
      </w:pPr>
      <w:r w:rsidRPr="00ED48E1">
        <w:rPr>
          <w:rStyle w:val="FootnoteReference"/>
          <w:rFonts w:ascii="Arial" w:hAnsi="Arial" w:cs="Arial"/>
        </w:rPr>
        <w:footnoteRef/>
      </w:r>
      <w:r w:rsidRPr="00ED48E1">
        <w:rPr>
          <w:rFonts w:ascii="Arial" w:hAnsi="Arial" w:cs="Arial"/>
        </w:rPr>
        <w:t xml:space="preserve"> </w:t>
      </w:r>
      <w:r>
        <w:rPr>
          <w:rFonts w:ascii="Arial" w:hAnsi="Arial" w:cs="Arial"/>
          <w:i/>
        </w:rPr>
        <w:t>2009 FAC Case</w:t>
      </w:r>
      <w:r>
        <w:rPr>
          <w:rFonts w:ascii="Arial" w:hAnsi="Arial" w:cs="Arial"/>
        </w:rPr>
        <w:t>,</w:t>
      </w:r>
      <w:r>
        <w:rPr>
          <w:rFonts w:ascii="Arial" w:hAnsi="Arial" w:cs="Arial"/>
          <w:i/>
        </w:rPr>
        <w:t xml:space="preserve"> </w:t>
      </w:r>
      <w:r>
        <w:rPr>
          <w:rFonts w:ascii="Arial" w:hAnsi="Arial" w:cs="Arial"/>
        </w:rPr>
        <w:t>FAC</w:t>
      </w:r>
      <w:r w:rsidRPr="00ED48E1">
        <w:rPr>
          <w:rFonts w:ascii="Arial" w:hAnsi="Arial" w:cs="Arial"/>
        </w:rPr>
        <w:t xml:space="preserve"> Order at 12</w:t>
      </w:r>
      <w:r>
        <w:rPr>
          <w:rFonts w:ascii="Arial" w:hAnsi="Arial" w:cs="Arial"/>
        </w:rPr>
        <w:t xml:space="preserve"> (Jan. 23, 2012)</w:t>
      </w:r>
      <w:r w:rsidRPr="00ED48E1">
        <w:rPr>
          <w:rFonts w:ascii="Arial" w:hAnsi="Arial" w:cs="Arial"/>
        </w:rPr>
        <w:t xml:space="preserve">. </w:t>
      </w:r>
    </w:p>
  </w:footnote>
  <w:footnote w:id="10">
    <w:p w:rsidR="000D6ED1" w:rsidRPr="00ED48E1" w:rsidRDefault="000D6ED1" w:rsidP="00DE46DF">
      <w:pPr>
        <w:pStyle w:val="FootnoteText"/>
        <w:spacing w:after="120"/>
        <w:jc w:val="both"/>
        <w:rPr>
          <w:rFonts w:ascii="Arial" w:hAnsi="Arial" w:cs="Arial"/>
        </w:rPr>
      </w:pPr>
      <w:r w:rsidRPr="00ED48E1">
        <w:rPr>
          <w:rStyle w:val="FootnoteReference"/>
          <w:rFonts w:ascii="Arial" w:hAnsi="Arial" w:cs="Arial"/>
        </w:rPr>
        <w:footnoteRef/>
      </w:r>
      <w:r w:rsidRPr="00ED48E1">
        <w:rPr>
          <w:rFonts w:ascii="Arial" w:hAnsi="Arial" w:cs="Arial"/>
        </w:rPr>
        <w:t xml:space="preserve"> </w:t>
      </w:r>
      <w:r w:rsidRPr="00ED48E1">
        <w:rPr>
          <w:rFonts w:ascii="Arial" w:hAnsi="Arial" w:cs="Arial"/>
          <w:i/>
        </w:rPr>
        <w:t xml:space="preserve">Id. </w:t>
      </w:r>
      <w:r w:rsidRPr="00ED48E1">
        <w:rPr>
          <w:rFonts w:ascii="Arial" w:hAnsi="Arial" w:cs="Arial"/>
        </w:rPr>
        <w:t xml:space="preserve">at 5-6.  </w:t>
      </w:r>
    </w:p>
  </w:footnote>
  <w:footnote w:id="11">
    <w:p w:rsidR="000D6ED1" w:rsidRPr="001318C3" w:rsidRDefault="000D6ED1" w:rsidP="00DE46DF">
      <w:pPr>
        <w:pStyle w:val="FootnoteText"/>
        <w:spacing w:after="120"/>
        <w:jc w:val="both"/>
        <w:rPr>
          <w:rFonts w:ascii="Arial" w:hAnsi="Arial" w:cs="Arial"/>
        </w:rPr>
      </w:pPr>
      <w:r w:rsidRPr="001318C3">
        <w:rPr>
          <w:rStyle w:val="FootnoteReference"/>
          <w:rFonts w:ascii="Arial" w:hAnsi="Arial" w:cs="Arial"/>
        </w:rPr>
        <w:footnoteRef/>
      </w:r>
      <w:r w:rsidRPr="001318C3">
        <w:rPr>
          <w:rFonts w:ascii="Arial" w:hAnsi="Arial" w:cs="Arial"/>
        </w:rPr>
        <w:t xml:space="preserve"> </w:t>
      </w:r>
      <w:r w:rsidRPr="001318C3">
        <w:rPr>
          <w:rFonts w:ascii="Arial" w:hAnsi="Arial" w:cs="Arial"/>
          <w:i/>
        </w:rPr>
        <w:t>Id.</w:t>
      </w:r>
      <w:r w:rsidRPr="001318C3">
        <w:rPr>
          <w:rFonts w:ascii="Arial" w:hAnsi="Arial" w:cs="Arial"/>
        </w:rPr>
        <w:t xml:space="preserve"> at 13.</w:t>
      </w:r>
    </w:p>
  </w:footnote>
  <w:footnote w:id="12">
    <w:p w:rsidR="000D6ED1" w:rsidRPr="001318C3" w:rsidRDefault="000D6ED1" w:rsidP="00C73ADB">
      <w:pPr>
        <w:pStyle w:val="FootnoteText"/>
        <w:spacing w:after="120"/>
        <w:rPr>
          <w:rFonts w:ascii="Arial" w:hAnsi="Arial" w:cs="Arial"/>
        </w:rPr>
      </w:pPr>
      <w:r w:rsidRPr="001318C3">
        <w:rPr>
          <w:rStyle w:val="FootnoteReference"/>
          <w:rFonts w:ascii="Arial" w:hAnsi="Arial" w:cs="Arial"/>
        </w:rPr>
        <w:footnoteRef/>
      </w:r>
      <w:r w:rsidRPr="001318C3">
        <w:rPr>
          <w:rFonts w:ascii="Arial" w:hAnsi="Arial" w:cs="Arial"/>
        </w:rPr>
        <w:t xml:space="preserve"> </w:t>
      </w:r>
      <w:r w:rsidRPr="001318C3">
        <w:rPr>
          <w:rFonts w:ascii="Arial" w:hAnsi="Arial" w:cs="Arial"/>
          <w:i/>
        </w:rPr>
        <w:t>2009 FAC Case</w:t>
      </w:r>
      <w:r w:rsidRPr="001318C3">
        <w:rPr>
          <w:rFonts w:ascii="Arial" w:hAnsi="Arial" w:cs="Arial"/>
        </w:rPr>
        <w:t>, FAC Order at 12</w:t>
      </w:r>
      <w:r>
        <w:rPr>
          <w:rFonts w:ascii="Arial" w:hAnsi="Arial" w:cs="Arial"/>
        </w:rPr>
        <w:t xml:space="preserve"> (Jan. 23, 2012)</w:t>
      </w:r>
      <w:r w:rsidRPr="001318C3">
        <w:rPr>
          <w:rFonts w:ascii="Arial" w:hAnsi="Arial" w:cs="Arial"/>
        </w:rPr>
        <w:t>.</w:t>
      </w:r>
    </w:p>
  </w:footnote>
  <w:footnote w:id="13">
    <w:p w:rsidR="000D6ED1" w:rsidRPr="001318C3" w:rsidRDefault="000D6ED1">
      <w:pPr>
        <w:pStyle w:val="FootnoteText"/>
        <w:rPr>
          <w:i/>
        </w:rPr>
      </w:pPr>
      <w:r w:rsidRPr="001318C3">
        <w:rPr>
          <w:rStyle w:val="FootnoteReference"/>
          <w:rFonts w:ascii="Arial" w:hAnsi="Arial" w:cs="Arial"/>
        </w:rPr>
        <w:footnoteRef/>
      </w:r>
      <w:r w:rsidRPr="001318C3">
        <w:rPr>
          <w:rFonts w:ascii="Arial" w:hAnsi="Arial" w:cs="Arial"/>
        </w:rPr>
        <w:t xml:space="preserve"> </w:t>
      </w:r>
      <w:r w:rsidRPr="001318C3">
        <w:rPr>
          <w:rFonts w:ascii="Arial" w:hAnsi="Arial" w:cs="Arial"/>
          <w:i/>
        </w:rPr>
        <w:t>2009 FAC Case</w:t>
      </w:r>
      <w:r w:rsidRPr="001318C3">
        <w:rPr>
          <w:rFonts w:ascii="Arial" w:hAnsi="Arial" w:cs="Arial"/>
        </w:rPr>
        <w:t>, Entry on Rehearing at 6 (Apr. 11, 2012).</w:t>
      </w:r>
      <w:r>
        <w:rPr>
          <w:i/>
        </w:rPr>
        <w:t xml:space="preserve"> </w:t>
      </w:r>
    </w:p>
  </w:footnote>
  <w:footnote w:id="14">
    <w:p w:rsidR="000D6ED1" w:rsidRPr="00A46B09" w:rsidRDefault="000D6ED1" w:rsidP="00DE46DF">
      <w:pPr>
        <w:pStyle w:val="FootnoteText"/>
        <w:spacing w:after="120"/>
        <w:jc w:val="both"/>
        <w:rPr>
          <w:rFonts w:ascii="Arial" w:hAnsi="Arial" w:cs="Arial"/>
        </w:rPr>
      </w:pPr>
      <w:r w:rsidRPr="001E1515">
        <w:rPr>
          <w:rStyle w:val="FootnoteReference"/>
          <w:rFonts w:ascii="Arial" w:hAnsi="Arial" w:cs="Arial"/>
        </w:rPr>
        <w:footnoteRef/>
      </w:r>
      <w:r w:rsidRPr="001E1515">
        <w:rPr>
          <w:rFonts w:ascii="Arial" w:hAnsi="Arial" w:cs="Arial"/>
        </w:rPr>
        <w:t xml:space="preserve"> Case</w:t>
      </w:r>
      <w:r w:rsidRPr="00D77A73">
        <w:rPr>
          <w:rFonts w:ascii="Arial" w:hAnsi="Arial" w:cs="Arial"/>
        </w:rPr>
        <w:t xml:space="preserve"> Nos. 11-281-EL-FAC, </w:t>
      </w:r>
      <w:r w:rsidRPr="00D77A73">
        <w:rPr>
          <w:rFonts w:ascii="Arial" w:hAnsi="Arial" w:cs="Arial"/>
          <w:i/>
        </w:rPr>
        <w:t>et al.</w:t>
      </w:r>
      <w:r>
        <w:rPr>
          <w:rFonts w:ascii="Arial" w:hAnsi="Arial" w:cs="Arial"/>
        </w:rPr>
        <w:t xml:space="preserve">, </w:t>
      </w:r>
      <w:r w:rsidRPr="00D77A73">
        <w:rPr>
          <w:rFonts w:ascii="Arial" w:hAnsi="Arial" w:cs="Arial"/>
        </w:rPr>
        <w:t xml:space="preserve">Report of the Management Performance and Financial Audits of the FAC of the Columbus Southern Power Company and </w:t>
      </w:r>
      <w:r>
        <w:rPr>
          <w:rFonts w:ascii="Arial" w:hAnsi="Arial" w:cs="Arial"/>
        </w:rPr>
        <w:t xml:space="preserve">the </w:t>
      </w:r>
      <w:r w:rsidRPr="00D77A73">
        <w:rPr>
          <w:rFonts w:ascii="Arial" w:hAnsi="Arial" w:cs="Arial"/>
        </w:rPr>
        <w:t>Ohio Power Company at 1-</w:t>
      </w:r>
      <w:r>
        <w:rPr>
          <w:rFonts w:ascii="Arial" w:hAnsi="Arial" w:cs="Arial"/>
        </w:rPr>
        <w:t>10</w:t>
      </w:r>
      <w:r w:rsidRPr="00D77A73">
        <w:rPr>
          <w:rFonts w:ascii="Arial" w:hAnsi="Arial" w:cs="Arial"/>
        </w:rPr>
        <w:t xml:space="preserve"> (May 24, 2012) </w:t>
      </w:r>
      <w:r w:rsidRPr="00A46B09">
        <w:rPr>
          <w:rFonts w:ascii="Arial" w:hAnsi="Arial" w:cs="Arial"/>
        </w:rPr>
        <w:t>(hereinafter “2011 Audit Report”).</w:t>
      </w:r>
    </w:p>
  </w:footnote>
  <w:footnote w:id="15">
    <w:p w:rsidR="000D6ED1" w:rsidRPr="00A46B09" w:rsidRDefault="000D6ED1" w:rsidP="00C73ADB">
      <w:pPr>
        <w:pStyle w:val="FootnoteText"/>
        <w:spacing w:after="120"/>
        <w:rPr>
          <w:rFonts w:ascii="Arial" w:hAnsi="Arial" w:cs="Arial"/>
        </w:rPr>
      </w:pPr>
      <w:r w:rsidRPr="00A46B09">
        <w:rPr>
          <w:rStyle w:val="FootnoteReference"/>
          <w:rFonts w:ascii="Arial" w:hAnsi="Arial" w:cs="Arial"/>
        </w:rPr>
        <w:footnoteRef/>
      </w:r>
      <w:r w:rsidRPr="00A46B09">
        <w:rPr>
          <w:rFonts w:ascii="Arial" w:hAnsi="Arial" w:cs="Arial"/>
        </w:rPr>
        <w:t xml:space="preserve"> </w:t>
      </w:r>
      <w:r w:rsidRPr="00A46B09">
        <w:rPr>
          <w:rFonts w:ascii="Arial" w:hAnsi="Arial" w:cs="Arial"/>
          <w:i/>
        </w:rPr>
        <w:t>2009 FAC Case</w:t>
      </w:r>
      <w:r w:rsidRPr="00A46B09">
        <w:rPr>
          <w:rFonts w:ascii="Arial" w:hAnsi="Arial" w:cs="Arial"/>
        </w:rPr>
        <w:t>, FAC Order at 9, 14</w:t>
      </w:r>
      <w:r>
        <w:rPr>
          <w:rFonts w:ascii="Arial" w:hAnsi="Arial" w:cs="Arial"/>
        </w:rPr>
        <w:t xml:space="preserve"> (Jan. 23, 2012)</w:t>
      </w:r>
      <w:r w:rsidRPr="00A46B09">
        <w:rPr>
          <w:rFonts w:ascii="Arial" w:hAnsi="Arial" w:cs="Arial"/>
        </w:rPr>
        <w:t xml:space="preserve">. </w:t>
      </w:r>
    </w:p>
  </w:footnote>
  <w:footnote w:id="16">
    <w:p w:rsidR="000D6ED1" w:rsidRPr="00A46B09" w:rsidRDefault="000D6ED1" w:rsidP="00C73ADB">
      <w:pPr>
        <w:pStyle w:val="FootnoteText"/>
        <w:spacing w:after="120"/>
      </w:pPr>
      <w:r w:rsidRPr="00A46B09">
        <w:rPr>
          <w:rStyle w:val="FootnoteReference"/>
          <w:rFonts w:ascii="Arial" w:hAnsi="Arial" w:cs="Arial"/>
        </w:rPr>
        <w:footnoteRef/>
      </w:r>
      <w:r w:rsidRPr="00A46B09">
        <w:rPr>
          <w:rFonts w:ascii="Arial" w:hAnsi="Arial" w:cs="Arial"/>
        </w:rPr>
        <w:t xml:space="preserve"> </w:t>
      </w:r>
      <w:r w:rsidRPr="00A46B09">
        <w:rPr>
          <w:rFonts w:ascii="Arial" w:hAnsi="Arial" w:cs="Arial"/>
          <w:i/>
        </w:rPr>
        <w:t xml:space="preserve">Id. </w:t>
      </w:r>
      <w:r w:rsidRPr="00A46B09">
        <w:rPr>
          <w:rFonts w:ascii="Arial" w:hAnsi="Arial" w:cs="Arial"/>
        </w:rPr>
        <w:t xml:space="preserve">at 14. </w:t>
      </w:r>
    </w:p>
  </w:footnote>
  <w:footnote w:id="17">
    <w:p w:rsidR="000D6ED1" w:rsidRDefault="000D6ED1" w:rsidP="00565155">
      <w:pPr>
        <w:pStyle w:val="FootnoteText"/>
        <w:spacing w:after="120"/>
        <w:jc w:val="both"/>
      </w:pPr>
      <w:r w:rsidRPr="009B37A3">
        <w:rPr>
          <w:rStyle w:val="FootnoteReference"/>
          <w:rFonts w:ascii="Arial" w:hAnsi="Arial" w:cs="Arial"/>
        </w:rPr>
        <w:footnoteRef/>
      </w:r>
      <w:r w:rsidRPr="009B37A3">
        <w:rPr>
          <w:rFonts w:ascii="Arial" w:hAnsi="Arial" w:cs="Arial"/>
        </w:rPr>
        <w:t xml:space="preserve"> </w:t>
      </w:r>
      <w:r w:rsidRPr="009B37A3">
        <w:rPr>
          <w:rFonts w:ascii="Arial" w:hAnsi="Arial" w:cs="Arial"/>
          <w:i/>
        </w:rPr>
        <w:t>In the Matter of the Application of Columbus Southern Power Company and Ohio Power Company for Authority to Establish a Standard Service Offer Pursuant to Section 4928.143, Revised Code, in the Form of an Electric Security Plan</w:t>
      </w:r>
      <w:r w:rsidRPr="009B37A3">
        <w:rPr>
          <w:rFonts w:ascii="Arial" w:hAnsi="Arial" w:cs="Arial"/>
        </w:rPr>
        <w:t>, Case Nos. 11-346-EL-SSO</w:t>
      </w:r>
      <w:r w:rsidRPr="00565155">
        <w:rPr>
          <w:rFonts w:ascii="Arial" w:hAnsi="Arial" w:cs="Arial"/>
          <w:i/>
        </w:rPr>
        <w:t>, et al</w:t>
      </w:r>
      <w:r>
        <w:rPr>
          <w:rFonts w:ascii="Arial" w:hAnsi="Arial" w:cs="Arial"/>
        </w:rPr>
        <w:t>.,</w:t>
      </w:r>
      <w:r w:rsidRPr="009B37A3">
        <w:rPr>
          <w:rFonts w:ascii="Arial" w:hAnsi="Arial" w:cs="Arial"/>
        </w:rPr>
        <w:t xml:space="preserve"> Opinion and Order at 39-40 (Aug. 8, 2013)</w:t>
      </w:r>
      <w:r>
        <w:rPr>
          <w:rFonts w:ascii="Arial" w:hAnsi="Arial" w:cs="Arial"/>
        </w:rPr>
        <w:t xml:space="preserve"> (hereinafter “</w:t>
      </w:r>
      <w:r>
        <w:rPr>
          <w:rFonts w:ascii="Arial" w:hAnsi="Arial" w:cs="Arial"/>
          <w:i/>
        </w:rPr>
        <w:t>ESP II Case</w:t>
      </w:r>
      <w:r>
        <w:rPr>
          <w:rFonts w:ascii="Arial" w:hAnsi="Arial" w:cs="Arial"/>
        </w:rPr>
        <w:t>”)</w:t>
      </w:r>
      <w:r w:rsidRPr="009B37A3">
        <w:rPr>
          <w:rFonts w:ascii="Arial" w:hAnsi="Arial" w:cs="Arial"/>
        </w:rPr>
        <w:t xml:space="preserve">. </w:t>
      </w:r>
    </w:p>
  </w:footnote>
  <w:footnote w:id="18">
    <w:p w:rsidR="000D6ED1" w:rsidRPr="00B05EA6" w:rsidRDefault="000D6ED1" w:rsidP="004442E2">
      <w:pPr>
        <w:pStyle w:val="FootnoteText"/>
        <w:spacing w:after="120"/>
        <w:jc w:val="both"/>
        <w:rPr>
          <w:rFonts w:ascii="Arial" w:hAnsi="Arial" w:cs="Arial"/>
        </w:rPr>
      </w:pPr>
      <w:r w:rsidRPr="00B05EA6">
        <w:rPr>
          <w:rStyle w:val="FootnoteReference"/>
          <w:rFonts w:ascii="Arial" w:hAnsi="Arial" w:cs="Arial"/>
        </w:rPr>
        <w:footnoteRef/>
      </w:r>
      <w:r w:rsidRPr="00B05EA6">
        <w:rPr>
          <w:rFonts w:ascii="Arial" w:hAnsi="Arial" w:cs="Arial"/>
        </w:rPr>
        <w:t xml:space="preserve"> At the request of AEP-Ohio and intervenors, the FAC cases did not proceed to hearing so that parties could focus on litigating issues related to AEP-Ohio’s second ESP and AEP-Ohio’s request for authority to invent and apply a cost-based ratemaking methodology to increase its capacity compensation.</w:t>
      </w:r>
    </w:p>
  </w:footnote>
  <w:footnote w:id="19">
    <w:p w:rsidR="000D6ED1" w:rsidRDefault="000D6ED1" w:rsidP="009B37A3">
      <w:pPr>
        <w:pStyle w:val="FootnoteText"/>
        <w:spacing w:after="120"/>
        <w:jc w:val="both"/>
      </w:pPr>
      <w:r w:rsidRPr="00F96656">
        <w:rPr>
          <w:rStyle w:val="FootnoteReference"/>
          <w:rFonts w:ascii="Arial" w:hAnsi="Arial" w:cs="Arial"/>
        </w:rPr>
        <w:footnoteRef/>
      </w:r>
      <w:r>
        <w:t xml:space="preserve"> </w:t>
      </w:r>
      <w:r w:rsidRPr="00D77A73">
        <w:rPr>
          <w:rFonts w:ascii="Arial" w:hAnsi="Arial" w:cs="Arial"/>
        </w:rPr>
        <w:t xml:space="preserve">Case Nos. 10-268-EL-FAC, </w:t>
      </w:r>
      <w:r w:rsidRPr="00D77A73">
        <w:rPr>
          <w:rFonts w:ascii="Arial" w:hAnsi="Arial" w:cs="Arial"/>
          <w:i/>
        </w:rPr>
        <w:t>et al.</w:t>
      </w:r>
      <w:r w:rsidRPr="00D77A73">
        <w:rPr>
          <w:rFonts w:ascii="Arial" w:hAnsi="Arial" w:cs="Arial"/>
        </w:rPr>
        <w:t xml:space="preserve"> Report of the Management Performance and Financial Audits of the FAC of the Columbus Southern Power Company and Ohio Power Company at 1-10, (May 26, 2011) (hereinafter “2010 Audit Report”).  </w:t>
      </w:r>
      <w:r w:rsidRPr="00D77A73">
        <w:rPr>
          <w:rFonts w:ascii="Arial" w:hAnsi="Arial" w:cs="Arial"/>
          <w:i/>
        </w:rPr>
        <w:t>See also</w:t>
      </w:r>
      <w:r w:rsidRPr="00D77A73">
        <w:rPr>
          <w:rFonts w:ascii="Arial" w:hAnsi="Arial" w:cs="Arial"/>
        </w:rPr>
        <w:t xml:space="preserve"> </w:t>
      </w:r>
      <w:r>
        <w:rPr>
          <w:rFonts w:ascii="Arial" w:hAnsi="Arial" w:cs="Arial"/>
          <w:i/>
        </w:rPr>
        <w:t xml:space="preserve">id. </w:t>
      </w:r>
      <w:r w:rsidRPr="00D77A73">
        <w:rPr>
          <w:rFonts w:ascii="Arial" w:hAnsi="Arial" w:cs="Arial"/>
        </w:rPr>
        <w:t xml:space="preserve">at 7-81 to 7-84.  </w:t>
      </w:r>
      <w:r>
        <w:rPr>
          <w:rFonts w:ascii="Arial" w:hAnsi="Arial" w:cs="Arial"/>
        </w:rPr>
        <w:t xml:space="preserve">2011 </w:t>
      </w:r>
      <w:r w:rsidRPr="00F96656">
        <w:rPr>
          <w:rFonts w:ascii="Arial" w:hAnsi="Arial" w:cs="Arial"/>
        </w:rPr>
        <w:t>A</w:t>
      </w:r>
      <w:r>
        <w:rPr>
          <w:rFonts w:ascii="Arial" w:hAnsi="Arial" w:cs="Arial"/>
        </w:rPr>
        <w:t xml:space="preserve">udit Report </w:t>
      </w:r>
      <w:r w:rsidRPr="00D77A73">
        <w:rPr>
          <w:rFonts w:ascii="Arial" w:hAnsi="Arial" w:cs="Arial"/>
        </w:rPr>
        <w:t>at 1-</w:t>
      </w:r>
      <w:r>
        <w:rPr>
          <w:rFonts w:ascii="Arial" w:hAnsi="Arial" w:cs="Arial"/>
        </w:rPr>
        <w:t>8 to 1-10</w:t>
      </w:r>
      <w:r w:rsidRPr="00D77A73">
        <w:rPr>
          <w:rFonts w:ascii="Arial" w:hAnsi="Arial" w:cs="Arial"/>
        </w:rPr>
        <w:t xml:space="preserve"> (May 24, 2012)</w:t>
      </w:r>
      <w:r>
        <w:rPr>
          <w:rFonts w:ascii="Arial" w:hAnsi="Arial" w:cs="Arial"/>
        </w:rPr>
        <w:t>.</w:t>
      </w:r>
      <w:r w:rsidRPr="00D77A73">
        <w:rPr>
          <w:rFonts w:ascii="Arial" w:hAnsi="Arial" w:cs="Arial"/>
        </w:rPr>
        <w:t xml:space="preserve"> </w:t>
      </w:r>
      <w:r>
        <w:t xml:space="preserve"> </w:t>
      </w:r>
      <w:r w:rsidRPr="00D77A73">
        <w:rPr>
          <w:rFonts w:ascii="Arial" w:hAnsi="Arial" w:cs="Arial"/>
          <w:i/>
        </w:rPr>
        <w:t xml:space="preserve">See id. </w:t>
      </w:r>
      <w:r w:rsidRPr="00D77A73">
        <w:rPr>
          <w:rFonts w:ascii="Arial" w:hAnsi="Arial" w:cs="Arial"/>
        </w:rPr>
        <w:t xml:space="preserve">at 7-97 to 7-102. </w:t>
      </w:r>
      <w:r w:rsidRPr="00D77A73">
        <w:rPr>
          <w:rFonts w:ascii="Arial" w:hAnsi="Arial" w:cs="Arial"/>
          <w:i/>
        </w:rPr>
        <w:t xml:space="preserve"> </w:t>
      </w:r>
    </w:p>
  </w:footnote>
  <w:footnote w:id="20">
    <w:p w:rsidR="000D6ED1" w:rsidRPr="00657CCE" w:rsidRDefault="000D6ED1" w:rsidP="00956553">
      <w:pPr>
        <w:pStyle w:val="FootnoteText"/>
        <w:spacing w:after="120"/>
        <w:jc w:val="both"/>
        <w:rPr>
          <w:rFonts w:ascii="Arial" w:hAnsi="Arial" w:cs="Arial"/>
          <w:i/>
        </w:rPr>
      </w:pPr>
      <w:r w:rsidRPr="00F96656">
        <w:rPr>
          <w:rStyle w:val="FootnoteReference"/>
          <w:rFonts w:ascii="Arial" w:hAnsi="Arial" w:cs="Arial"/>
        </w:rPr>
        <w:footnoteRef/>
      </w:r>
      <w:r>
        <w:t xml:space="preserve"> </w:t>
      </w:r>
      <w:r w:rsidRPr="006F3504">
        <w:rPr>
          <w:rFonts w:ascii="Arial" w:hAnsi="Arial" w:cs="Arial"/>
          <w:i/>
        </w:rPr>
        <w:t>In the Matter of the Application of Ohio Power Company to Establish a Competitive Bidding Process for Procurement of Energy to Support Its Standard Service Offer</w:t>
      </w:r>
      <w:r>
        <w:rPr>
          <w:rFonts w:ascii="Arial" w:hAnsi="Arial" w:cs="Arial"/>
        </w:rPr>
        <w:t>, Case No. 12-3254-EL-UNC, Opinion and Order at 16 (Nov. 13, 2013) (hereinafter “</w:t>
      </w:r>
      <w:r w:rsidRPr="00657CCE">
        <w:rPr>
          <w:rFonts w:ascii="Arial" w:hAnsi="Arial" w:cs="Arial"/>
          <w:i/>
        </w:rPr>
        <w:t>CBP Case</w:t>
      </w:r>
      <w:r>
        <w:rPr>
          <w:rFonts w:ascii="Arial" w:hAnsi="Arial" w:cs="Arial"/>
        </w:rPr>
        <w:t>”);</w:t>
      </w:r>
      <w:r>
        <w:rPr>
          <w:rFonts w:ascii="Arial" w:hAnsi="Arial" w:cs="Arial"/>
          <w:i/>
        </w:rPr>
        <w:t xml:space="preserve"> see also CBP Case, </w:t>
      </w:r>
      <w:r>
        <w:rPr>
          <w:rFonts w:ascii="Arial" w:hAnsi="Arial" w:cs="Arial"/>
        </w:rPr>
        <w:t>Concurring Opinion of Commissioners Lesser and Trombold at 1.</w:t>
      </w:r>
      <w:r>
        <w:rPr>
          <w:rFonts w:ascii="Arial" w:hAnsi="Arial" w:cs="Arial"/>
          <w:i/>
        </w:rPr>
        <w:t xml:space="preserve"> </w:t>
      </w:r>
    </w:p>
  </w:footnote>
  <w:footnote w:id="21">
    <w:p w:rsidR="000D6ED1" w:rsidRPr="000B54AF" w:rsidRDefault="000D6ED1" w:rsidP="00956553">
      <w:pPr>
        <w:pStyle w:val="FootnoteText"/>
        <w:spacing w:after="120"/>
        <w:jc w:val="both"/>
        <w:rPr>
          <w:rFonts w:ascii="Arial" w:hAnsi="Arial" w:cs="Arial"/>
          <w:i/>
        </w:rPr>
      </w:pPr>
      <w:r w:rsidRPr="000B54AF">
        <w:rPr>
          <w:rStyle w:val="FootnoteReference"/>
          <w:rFonts w:ascii="Arial" w:hAnsi="Arial" w:cs="Arial"/>
        </w:rPr>
        <w:footnoteRef/>
      </w:r>
      <w:r w:rsidRPr="000B54AF">
        <w:rPr>
          <w:rFonts w:ascii="Arial" w:hAnsi="Arial" w:cs="Arial"/>
        </w:rPr>
        <w:t xml:space="preserve"> </w:t>
      </w:r>
      <w:r w:rsidRPr="000B54AF">
        <w:rPr>
          <w:rFonts w:ascii="Arial" w:hAnsi="Arial" w:cs="Arial"/>
          <w:i/>
        </w:rPr>
        <w:t xml:space="preserve">Id. </w:t>
      </w:r>
    </w:p>
  </w:footnote>
  <w:footnote w:id="22">
    <w:p w:rsidR="000D6ED1" w:rsidRPr="000B54AF" w:rsidRDefault="000D6ED1" w:rsidP="009F21F2">
      <w:pPr>
        <w:pStyle w:val="FootnoteText"/>
        <w:spacing w:after="120"/>
        <w:jc w:val="both"/>
        <w:rPr>
          <w:rFonts w:ascii="Arial" w:hAnsi="Arial" w:cs="Arial"/>
        </w:rPr>
      </w:pPr>
      <w:r w:rsidRPr="000B54AF">
        <w:rPr>
          <w:rStyle w:val="FootnoteReference"/>
          <w:rFonts w:ascii="Arial" w:hAnsi="Arial" w:cs="Arial"/>
        </w:rPr>
        <w:footnoteRef/>
      </w:r>
      <w:r w:rsidRPr="000B54AF">
        <w:rPr>
          <w:rFonts w:ascii="Arial" w:hAnsi="Arial" w:cs="Arial"/>
        </w:rPr>
        <w:t xml:space="preserve"> IEU-Ohio Ex. </w:t>
      </w:r>
      <w:r>
        <w:rPr>
          <w:rFonts w:ascii="Arial" w:hAnsi="Arial" w:cs="Arial"/>
        </w:rPr>
        <w:t>2; IEU-Ohio Ex. 4; IEU-Ohio Ex. 5; IEU-Ohio Ex.</w:t>
      </w:r>
      <w:r w:rsidRPr="000B54AF">
        <w:rPr>
          <w:rFonts w:ascii="Arial" w:hAnsi="Arial" w:cs="Arial"/>
        </w:rPr>
        <w:t xml:space="preserve"> </w:t>
      </w:r>
      <w:r>
        <w:rPr>
          <w:rFonts w:ascii="Arial" w:hAnsi="Arial" w:cs="Arial"/>
        </w:rPr>
        <w:t xml:space="preserve">6.  OPCo flowed </w:t>
      </w:r>
      <w:r w:rsidRPr="006E6522">
        <w:rPr>
          <w:rFonts w:ascii="Arial" w:hAnsi="Arial" w:cs="Arial"/>
        </w:rPr>
        <w:t>$42,631,815</w:t>
      </w:r>
      <w:r>
        <w:rPr>
          <w:rFonts w:ascii="Arial" w:hAnsi="Arial" w:cs="Arial"/>
        </w:rPr>
        <w:t xml:space="preserve"> through the FAC in 2010 (IEU-Ohio Ex. 5) and </w:t>
      </w:r>
      <w:r w:rsidRPr="006E6522">
        <w:rPr>
          <w:rFonts w:ascii="Arial" w:hAnsi="Arial" w:cs="Arial"/>
        </w:rPr>
        <w:t>$44,451,633</w:t>
      </w:r>
      <w:r>
        <w:rPr>
          <w:rFonts w:ascii="Arial" w:hAnsi="Arial" w:cs="Arial"/>
        </w:rPr>
        <w:t xml:space="preserve"> through the FAC in 2011 (IEU-Ohio Ex. 6.).</w:t>
      </w:r>
    </w:p>
  </w:footnote>
  <w:footnote w:id="23">
    <w:p w:rsidR="000D6ED1" w:rsidRPr="008311BD" w:rsidRDefault="000D6ED1" w:rsidP="00DE46DF">
      <w:pPr>
        <w:pStyle w:val="FootnoteText"/>
        <w:spacing w:after="120"/>
        <w:jc w:val="both"/>
        <w:rPr>
          <w:rFonts w:ascii="Arial" w:hAnsi="Arial" w:cs="Arial"/>
        </w:rPr>
      </w:pPr>
      <w:r w:rsidRPr="000B54AF">
        <w:rPr>
          <w:rStyle w:val="FootnoteReference"/>
          <w:rFonts w:ascii="Arial" w:hAnsi="Arial" w:cs="Arial"/>
        </w:rPr>
        <w:footnoteRef/>
      </w:r>
      <w:r w:rsidRPr="000B54AF">
        <w:rPr>
          <w:rFonts w:ascii="Arial" w:hAnsi="Arial" w:cs="Arial"/>
        </w:rPr>
        <w:t xml:space="preserve"> CSP recovered </w:t>
      </w:r>
      <w:r>
        <w:rPr>
          <w:rFonts w:ascii="Arial" w:hAnsi="Arial" w:cs="Arial"/>
        </w:rPr>
        <w:t>100% of the Lawrenceburg depreciation and capacity charges (demand charges) through the FAC (approximately $35 to $36</w:t>
      </w:r>
      <w:r w:rsidRPr="000B54AF">
        <w:rPr>
          <w:rFonts w:ascii="Arial" w:hAnsi="Arial" w:cs="Arial"/>
        </w:rPr>
        <w:t xml:space="preserve"> million</w:t>
      </w:r>
      <w:r>
        <w:rPr>
          <w:rFonts w:ascii="Arial" w:hAnsi="Arial" w:cs="Arial"/>
        </w:rPr>
        <w:t xml:space="preserve"> per year).  IEU-Ohio Ex. 1-4.  CSP also recovered</w:t>
      </w:r>
      <w:r w:rsidRPr="00D25949">
        <w:rPr>
          <w:rFonts w:ascii="Arial" w:hAnsi="Arial" w:cs="Arial"/>
        </w:rPr>
        <w:t xml:space="preserve"> operation and maintenance (“O&amp;M”) expense and tax</w:t>
      </w:r>
      <w:r>
        <w:rPr>
          <w:rFonts w:ascii="Arial" w:hAnsi="Arial" w:cs="Arial"/>
        </w:rPr>
        <w:t xml:space="preserve"> through the FAC, but allocated those charges between SSO and non-SSO sales.  IEU-Ohio Ex. 2 and 4.  CSP</w:t>
      </w:r>
      <w:r w:rsidRPr="00D25949">
        <w:rPr>
          <w:rFonts w:ascii="Arial" w:hAnsi="Arial" w:cs="Arial"/>
        </w:rPr>
        <w:t xml:space="preserve"> allocates O&amp;M and tax to the FAC only for kilowatt hours that were allocated to the FAC using AEP-Ohio’s jurisdictional allocation process.</w:t>
      </w:r>
      <w:r>
        <w:rPr>
          <w:rFonts w:ascii="Arial" w:hAnsi="Arial" w:cs="Arial"/>
        </w:rPr>
        <w:t xml:space="preserve">  CSP allocated approximately 87% of those charges to the FAC in 2010 ($22 million) and 88% of those charges to the FAC in 2011 ($24 million).  </w:t>
      </w:r>
      <w:r>
        <w:rPr>
          <w:rFonts w:ascii="Arial" w:hAnsi="Arial" w:cs="Arial"/>
          <w:i/>
        </w:rPr>
        <w:t xml:space="preserve">See </w:t>
      </w:r>
      <w:r>
        <w:rPr>
          <w:rFonts w:ascii="Arial" w:hAnsi="Arial" w:cs="Arial"/>
        </w:rPr>
        <w:t>IEU-Ohio Ex. 13 at 1-2 to 1-5; IEU-Ohio Ex. 1-4.</w:t>
      </w:r>
    </w:p>
  </w:footnote>
  <w:footnote w:id="24">
    <w:p w:rsidR="000D6ED1" w:rsidRPr="006F3504" w:rsidRDefault="000D6ED1" w:rsidP="00DE46DF">
      <w:pPr>
        <w:pStyle w:val="FootnoteText"/>
        <w:spacing w:after="120"/>
        <w:jc w:val="both"/>
        <w:rPr>
          <w:rFonts w:ascii="Arial" w:hAnsi="Arial" w:cs="Arial"/>
        </w:rPr>
      </w:pPr>
      <w:r w:rsidRPr="006F3504">
        <w:rPr>
          <w:rStyle w:val="FootnoteReference"/>
          <w:rFonts w:ascii="Arial" w:hAnsi="Arial" w:cs="Arial"/>
        </w:rPr>
        <w:footnoteRef/>
      </w:r>
      <w:r w:rsidRPr="006F3504">
        <w:rPr>
          <w:rFonts w:ascii="Arial" w:hAnsi="Arial" w:cs="Arial"/>
        </w:rPr>
        <w:t xml:space="preserve"> Tr. at 160.  </w:t>
      </w:r>
      <w:r w:rsidRPr="006F3504">
        <w:rPr>
          <w:rFonts w:ascii="Arial" w:hAnsi="Arial" w:cs="Arial"/>
          <w:i/>
        </w:rPr>
        <w:t xml:space="preserve">See also </w:t>
      </w:r>
      <w:r w:rsidRPr="006F3504">
        <w:rPr>
          <w:rFonts w:ascii="Arial" w:hAnsi="Arial" w:cs="Arial"/>
        </w:rPr>
        <w:t>IEU-Ohio Ex. 14.</w:t>
      </w:r>
    </w:p>
  </w:footnote>
  <w:footnote w:id="25">
    <w:p w:rsidR="000D6ED1" w:rsidRPr="006F3504" w:rsidRDefault="000D6ED1" w:rsidP="00DE46DF">
      <w:pPr>
        <w:pStyle w:val="FootnoteText"/>
        <w:spacing w:after="120"/>
        <w:jc w:val="both"/>
        <w:rPr>
          <w:rFonts w:ascii="Arial" w:hAnsi="Arial" w:cs="Arial"/>
        </w:rPr>
      </w:pPr>
      <w:r w:rsidRPr="006F3504">
        <w:rPr>
          <w:rStyle w:val="FootnoteReference"/>
          <w:rFonts w:ascii="Arial" w:hAnsi="Arial" w:cs="Arial"/>
        </w:rPr>
        <w:footnoteRef/>
      </w:r>
      <w:r w:rsidRPr="006F3504">
        <w:rPr>
          <w:rFonts w:ascii="Arial" w:hAnsi="Arial" w:cs="Arial"/>
        </w:rPr>
        <w:t xml:space="preserve"> Tr. at 160.</w:t>
      </w:r>
    </w:p>
  </w:footnote>
  <w:footnote w:id="26">
    <w:p w:rsidR="000D6ED1" w:rsidRPr="009E47AF" w:rsidRDefault="000D6ED1" w:rsidP="00DE46DF">
      <w:pPr>
        <w:pStyle w:val="FootnoteText"/>
        <w:spacing w:after="120"/>
        <w:jc w:val="both"/>
        <w:rPr>
          <w:rFonts w:ascii="Arial" w:hAnsi="Arial" w:cs="Arial"/>
        </w:rPr>
      </w:pPr>
      <w:r w:rsidRPr="006F3504">
        <w:rPr>
          <w:rStyle w:val="FootnoteReference"/>
          <w:rFonts w:ascii="Arial" w:hAnsi="Arial" w:cs="Arial"/>
        </w:rPr>
        <w:footnoteRef/>
      </w:r>
      <w:r w:rsidRPr="006F3504">
        <w:rPr>
          <w:rFonts w:ascii="Arial" w:hAnsi="Arial" w:cs="Arial"/>
        </w:rPr>
        <w:t xml:space="preserve"> </w:t>
      </w:r>
      <w:r>
        <w:rPr>
          <w:rFonts w:ascii="Arial" w:hAnsi="Arial" w:cs="Arial"/>
        </w:rPr>
        <w:t>IEU-Ohio Ex. 14 at 41 of 115; Tr. at 161-64.</w:t>
      </w:r>
    </w:p>
  </w:footnote>
  <w:footnote w:id="27">
    <w:p w:rsidR="000D6ED1" w:rsidRPr="009E47AF" w:rsidRDefault="000D6ED1" w:rsidP="00DE46DF">
      <w:pPr>
        <w:pStyle w:val="FootnoteText"/>
        <w:spacing w:after="120"/>
        <w:jc w:val="both"/>
        <w:rPr>
          <w:rFonts w:ascii="Arial" w:hAnsi="Arial" w:cs="Arial"/>
        </w:rPr>
      </w:pPr>
      <w:r w:rsidRPr="00975BB6">
        <w:rPr>
          <w:rStyle w:val="FootnoteReference"/>
          <w:rFonts w:ascii="Arial" w:hAnsi="Arial" w:cs="Arial"/>
        </w:rPr>
        <w:footnoteRef/>
      </w:r>
      <w:r w:rsidRPr="00975BB6">
        <w:rPr>
          <w:rFonts w:ascii="Arial" w:hAnsi="Arial" w:cs="Arial"/>
        </w:rPr>
        <w:t xml:space="preserve"> </w:t>
      </w:r>
      <w:r>
        <w:rPr>
          <w:rFonts w:ascii="Arial" w:hAnsi="Arial" w:cs="Arial"/>
        </w:rPr>
        <w:t xml:space="preserve">Tr. at 139.  </w:t>
      </w:r>
      <w:r w:rsidRPr="00975BB6">
        <w:rPr>
          <w:rFonts w:ascii="Arial" w:hAnsi="Arial" w:cs="Arial"/>
        </w:rPr>
        <w:t>As a result of OPCo’s wholesale contract with Wheeling Power, OPCo allocates approximately 92% of the OVEC demand charges to the FAC.</w:t>
      </w:r>
      <w:r>
        <w:rPr>
          <w:rFonts w:ascii="Arial" w:hAnsi="Arial" w:cs="Arial"/>
        </w:rPr>
        <w:t xml:space="preserve">  Tr. at 179.</w:t>
      </w:r>
    </w:p>
  </w:footnote>
  <w:footnote w:id="28">
    <w:p w:rsidR="000D6ED1" w:rsidRPr="006F3504" w:rsidRDefault="000D6ED1" w:rsidP="00DE46DF">
      <w:pPr>
        <w:pStyle w:val="FootnoteText"/>
        <w:spacing w:after="120"/>
        <w:jc w:val="both"/>
        <w:rPr>
          <w:rFonts w:ascii="Arial" w:hAnsi="Arial" w:cs="Arial"/>
        </w:rPr>
      </w:pPr>
      <w:r w:rsidRPr="006F3504">
        <w:rPr>
          <w:rStyle w:val="FootnoteReference"/>
          <w:rFonts w:ascii="Arial" w:hAnsi="Arial" w:cs="Arial"/>
        </w:rPr>
        <w:footnoteRef/>
      </w:r>
      <w:r w:rsidRPr="006F3504">
        <w:rPr>
          <w:rFonts w:ascii="Arial" w:hAnsi="Arial" w:cs="Arial"/>
        </w:rPr>
        <w:t xml:space="preserve"> Tr. at 134.</w:t>
      </w:r>
    </w:p>
  </w:footnote>
  <w:footnote w:id="29">
    <w:p w:rsidR="000D6ED1" w:rsidRPr="006F3504" w:rsidRDefault="000D6ED1" w:rsidP="00DE46DF">
      <w:pPr>
        <w:pStyle w:val="FootnoteText"/>
        <w:spacing w:after="120"/>
        <w:jc w:val="both"/>
        <w:rPr>
          <w:rFonts w:ascii="Arial" w:hAnsi="Arial" w:cs="Arial"/>
        </w:rPr>
      </w:pPr>
      <w:r w:rsidRPr="006F3504">
        <w:rPr>
          <w:rStyle w:val="FootnoteReference"/>
          <w:rFonts w:ascii="Arial" w:hAnsi="Arial" w:cs="Arial"/>
        </w:rPr>
        <w:footnoteRef/>
      </w:r>
      <w:r w:rsidRPr="006F3504">
        <w:rPr>
          <w:rFonts w:ascii="Arial" w:hAnsi="Arial" w:cs="Arial"/>
        </w:rPr>
        <w:t xml:space="preserve"> Tr. at 133-139.  </w:t>
      </w:r>
      <w:r w:rsidRPr="006F3504">
        <w:rPr>
          <w:rFonts w:ascii="Arial" w:hAnsi="Arial" w:cs="Arial"/>
          <w:i/>
        </w:rPr>
        <w:t xml:space="preserve">See also </w:t>
      </w:r>
      <w:r w:rsidRPr="006F3504">
        <w:rPr>
          <w:rFonts w:ascii="Arial" w:hAnsi="Arial" w:cs="Arial"/>
        </w:rPr>
        <w:t>IEU-Ohio Ex. 13</w:t>
      </w:r>
      <w:r>
        <w:rPr>
          <w:rFonts w:ascii="Arial" w:hAnsi="Arial" w:cs="Arial"/>
        </w:rPr>
        <w:t xml:space="preserve"> at 1-2 to 1-5, 1-8, 1-9, 1-11, 1-12</w:t>
      </w:r>
      <w:r w:rsidRPr="006F3504">
        <w:rPr>
          <w:rFonts w:ascii="Arial" w:hAnsi="Arial" w:cs="Arial"/>
        </w:rPr>
        <w:t>.</w:t>
      </w:r>
    </w:p>
  </w:footnote>
  <w:footnote w:id="30">
    <w:p w:rsidR="000D6ED1" w:rsidRPr="001318C3" w:rsidRDefault="000D6ED1" w:rsidP="00565155">
      <w:pPr>
        <w:pStyle w:val="FootnoteText"/>
        <w:spacing w:after="120"/>
      </w:pPr>
      <w:r w:rsidRPr="0017369C">
        <w:rPr>
          <w:rStyle w:val="FootnoteReference"/>
          <w:rFonts w:ascii="Arial" w:hAnsi="Arial" w:cs="Arial"/>
        </w:rPr>
        <w:footnoteRef/>
      </w:r>
      <w:r>
        <w:t xml:space="preserve"> </w:t>
      </w:r>
      <w:r>
        <w:rPr>
          <w:rFonts w:ascii="Arial" w:hAnsi="Arial" w:cs="Arial"/>
        </w:rPr>
        <w:t xml:space="preserve">Tr. at 134,139. </w:t>
      </w:r>
      <w:r>
        <w:t xml:space="preserve"> </w:t>
      </w:r>
    </w:p>
  </w:footnote>
  <w:footnote w:id="31">
    <w:p w:rsidR="000D6ED1" w:rsidRPr="00B47071" w:rsidRDefault="000D6ED1" w:rsidP="00DE46DF">
      <w:pPr>
        <w:pStyle w:val="FootnoteText"/>
        <w:spacing w:after="120"/>
        <w:jc w:val="both"/>
        <w:rPr>
          <w:rFonts w:ascii="Arial" w:hAnsi="Arial" w:cs="Arial"/>
        </w:rPr>
      </w:pPr>
      <w:r w:rsidRPr="006F3504">
        <w:rPr>
          <w:rStyle w:val="FootnoteReference"/>
          <w:rFonts w:ascii="Arial" w:hAnsi="Arial" w:cs="Arial"/>
        </w:rPr>
        <w:footnoteRef/>
      </w:r>
      <w:r w:rsidRPr="006F3504">
        <w:rPr>
          <w:rFonts w:ascii="Arial" w:hAnsi="Arial" w:cs="Arial"/>
        </w:rPr>
        <w:t xml:space="preserve"> Tr. at 134, 135, 137.</w:t>
      </w:r>
    </w:p>
  </w:footnote>
  <w:footnote w:id="32">
    <w:p w:rsidR="000D6ED1" w:rsidRPr="00620A99" w:rsidRDefault="000D6ED1" w:rsidP="00486E9E">
      <w:pPr>
        <w:pStyle w:val="FootnoteText"/>
        <w:spacing w:after="120"/>
        <w:jc w:val="both"/>
        <w:rPr>
          <w:rFonts w:ascii="Arial" w:hAnsi="Arial" w:cs="Arial"/>
        </w:rPr>
      </w:pPr>
      <w:r w:rsidRPr="00620A99">
        <w:rPr>
          <w:rStyle w:val="FootnoteReference"/>
          <w:rFonts w:ascii="Arial" w:hAnsi="Arial" w:cs="Arial"/>
        </w:rPr>
        <w:footnoteRef/>
      </w:r>
      <w:r w:rsidRPr="00620A99">
        <w:rPr>
          <w:rFonts w:ascii="Arial" w:hAnsi="Arial" w:cs="Arial"/>
        </w:rPr>
        <w:t xml:space="preserve"> Tr. at 53.  </w:t>
      </w:r>
      <w:r w:rsidRPr="00620A99">
        <w:rPr>
          <w:rFonts w:ascii="Arial" w:hAnsi="Arial" w:cs="Arial"/>
          <w:i/>
        </w:rPr>
        <w:t xml:space="preserve">See also id. </w:t>
      </w:r>
      <w:r w:rsidRPr="00620A99">
        <w:rPr>
          <w:rFonts w:ascii="Arial" w:hAnsi="Arial" w:cs="Arial"/>
        </w:rPr>
        <w:t>at 49-53.</w:t>
      </w:r>
    </w:p>
  </w:footnote>
  <w:footnote w:id="33">
    <w:p w:rsidR="000D6ED1" w:rsidRPr="000A088A" w:rsidRDefault="000D6ED1" w:rsidP="004442E2">
      <w:pPr>
        <w:pStyle w:val="FootnoteText"/>
        <w:spacing w:after="120"/>
        <w:rPr>
          <w:rFonts w:ascii="Arial" w:hAnsi="Arial" w:cs="Arial"/>
        </w:rPr>
      </w:pPr>
      <w:r w:rsidRPr="000A088A">
        <w:rPr>
          <w:rStyle w:val="FootnoteReference"/>
          <w:rFonts w:ascii="Arial" w:hAnsi="Arial" w:cs="Arial"/>
        </w:rPr>
        <w:footnoteRef/>
      </w:r>
      <w:r w:rsidRPr="000A088A">
        <w:rPr>
          <w:rFonts w:ascii="Arial" w:hAnsi="Arial" w:cs="Arial"/>
        </w:rPr>
        <w:t xml:space="preserve"> Tr. at 53, 65; Tr. at</w:t>
      </w:r>
      <w:r>
        <w:rPr>
          <w:rFonts w:ascii="Arial" w:hAnsi="Arial" w:cs="Arial"/>
        </w:rPr>
        <w:t xml:space="preserve"> 189-90; Tr. at 194-95.</w:t>
      </w:r>
    </w:p>
  </w:footnote>
  <w:footnote w:id="34">
    <w:p w:rsidR="000D6ED1" w:rsidRPr="00620A99" w:rsidRDefault="000D6ED1" w:rsidP="00486E9E">
      <w:pPr>
        <w:pStyle w:val="FootnoteText"/>
        <w:spacing w:after="120"/>
        <w:jc w:val="both"/>
        <w:rPr>
          <w:rFonts w:ascii="Arial" w:hAnsi="Arial" w:cs="Arial"/>
        </w:rPr>
      </w:pPr>
      <w:r w:rsidRPr="00620A99">
        <w:rPr>
          <w:rStyle w:val="FootnoteReference"/>
          <w:rFonts w:ascii="Arial" w:hAnsi="Arial" w:cs="Arial"/>
        </w:rPr>
        <w:footnoteRef/>
      </w:r>
      <w:r>
        <w:rPr>
          <w:rFonts w:ascii="Arial" w:hAnsi="Arial" w:cs="Arial"/>
        </w:rPr>
        <w:t xml:space="preserve"> Tr. at 54-63 (IEU-Ohio Ex. 7-12).</w:t>
      </w:r>
    </w:p>
  </w:footnote>
  <w:footnote w:id="35">
    <w:p w:rsidR="000D6ED1" w:rsidRPr="009E47AF" w:rsidRDefault="000D6ED1" w:rsidP="00DE46DF">
      <w:pPr>
        <w:pStyle w:val="FootnoteText"/>
        <w:spacing w:after="120"/>
        <w:jc w:val="both"/>
        <w:rPr>
          <w:rFonts w:ascii="Arial" w:hAnsi="Arial" w:cs="Arial"/>
        </w:rPr>
      </w:pPr>
      <w:r w:rsidRPr="00657CCE">
        <w:rPr>
          <w:rStyle w:val="FootnoteReference"/>
          <w:rFonts w:ascii="Arial" w:hAnsi="Arial" w:cs="Arial"/>
        </w:rPr>
        <w:footnoteRef/>
      </w:r>
      <w:r w:rsidRPr="00657CCE">
        <w:rPr>
          <w:rFonts w:ascii="Arial" w:hAnsi="Arial" w:cs="Arial"/>
        </w:rPr>
        <w:t xml:space="preserve"> </w:t>
      </w:r>
      <w:r>
        <w:rPr>
          <w:rFonts w:ascii="Arial" w:hAnsi="Arial" w:cs="Arial"/>
        </w:rPr>
        <w:t>IEU-Ohio Ex. 10-12.</w:t>
      </w:r>
    </w:p>
  </w:footnote>
  <w:footnote w:id="36">
    <w:p w:rsidR="000D6ED1" w:rsidRPr="009E47AF" w:rsidRDefault="000D6ED1" w:rsidP="00DE46DF">
      <w:pPr>
        <w:pStyle w:val="FootnoteText"/>
        <w:spacing w:after="120"/>
        <w:jc w:val="both"/>
        <w:rPr>
          <w:rFonts w:ascii="Arial" w:hAnsi="Arial" w:cs="Arial"/>
        </w:rPr>
      </w:pPr>
      <w:r w:rsidRPr="00657CCE">
        <w:rPr>
          <w:rStyle w:val="FootnoteReference"/>
          <w:rFonts w:ascii="Arial" w:hAnsi="Arial" w:cs="Arial"/>
        </w:rPr>
        <w:footnoteRef/>
      </w:r>
      <w:r w:rsidRPr="00657CCE">
        <w:rPr>
          <w:rFonts w:ascii="Arial" w:hAnsi="Arial" w:cs="Arial"/>
        </w:rPr>
        <w:t xml:space="preserve"> </w:t>
      </w:r>
      <w:r>
        <w:rPr>
          <w:rFonts w:ascii="Arial" w:hAnsi="Arial" w:cs="Arial"/>
        </w:rPr>
        <w:t xml:space="preserve">IEU-Ohio Ex. 7-9. </w:t>
      </w:r>
    </w:p>
  </w:footnote>
  <w:footnote w:id="37">
    <w:p w:rsidR="000D6ED1" w:rsidRPr="00657CCE" w:rsidRDefault="000D6ED1" w:rsidP="00DE46DF">
      <w:pPr>
        <w:pStyle w:val="FootnoteText"/>
        <w:spacing w:after="120"/>
        <w:jc w:val="both"/>
        <w:rPr>
          <w:rFonts w:ascii="Arial" w:hAnsi="Arial" w:cs="Arial"/>
        </w:rPr>
      </w:pPr>
      <w:r w:rsidRPr="00657CCE">
        <w:rPr>
          <w:rStyle w:val="FootnoteReference"/>
          <w:rFonts w:ascii="Arial" w:hAnsi="Arial" w:cs="Arial"/>
        </w:rPr>
        <w:footnoteRef/>
      </w:r>
      <w:r w:rsidRPr="00657CCE">
        <w:rPr>
          <w:rFonts w:ascii="Arial" w:hAnsi="Arial" w:cs="Arial"/>
        </w:rPr>
        <w:t xml:space="preserve"> Tr. at 64.</w:t>
      </w:r>
    </w:p>
  </w:footnote>
  <w:footnote w:id="38">
    <w:p w:rsidR="000D6ED1" w:rsidRPr="009E47AF" w:rsidRDefault="000D6ED1" w:rsidP="00DE46DF">
      <w:pPr>
        <w:pStyle w:val="FootnoteText"/>
        <w:spacing w:after="120"/>
        <w:jc w:val="both"/>
        <w:rPr>
          <w:rFonts w:ascii="Arial" w:hAnsi="Arial" w:cs="Arial"/>
          <w:i/>
        </w:rPr>
      </w:pPr>
      <w:r w:rsidRPr="00657CCE">
        <w:rPr>
          <w:rStyle w:val="FootnoteReference"/>
          <w:rFonts w:ascii="Arial" w:hAnsi="Arial" w:cs="Arial"/>
        </w:rPr>
        <w:footnoteRef/>
      </w:r>
      <w:r w:rsidRPr="00657CCE">
        <w:rPr>
          <w:rFonts w:ascii="Arial" w:hAnsi="Arial" w:cs="Arial"/>
        </w:rPr>
        <w:t xml:space="preserve"> </w:t>
      </w:r>
      <w:r w:rsidRPr="00657CCE">
        <w:rPr>
          <w:rFonts w:ascii="Arial" w:hAnsi="Arial" w:cs="Arial"/>
          <w:i/>
        </w:rPr>
        <w:t>Id.</w:t>
      </w:r>
      <w:r>
        <w:rPr>
          <w:rFonts w:ascii="Arial" w:hAnsi="Arial" w:cs="Arial"/>
          <w:i/>
        </w:rPr>
        <w:t xml:space="preserve"> </w:t>
      </w:r>
    </w:p>
  </w:footnote>
  <w:footnote w:id="39">
    <w:p w:rsidR="000D6ED1" w:rsidRPr="0004087C" w:rsidRDefault="000D6ED1" w:rsidP="00DE46DF">
      <w:pPr>
        <w:pStyle w:val="FootnoteText"/>
        <w:spacing w:after="120"/>
        <w:jc w:val="both"/>
        <w:rPr>
          <w:rFonts w:ascii="Arial" w:hAnsi="Arial" w:cs="Arial"/>
        </w:rPr>
      </w:pPr>
      <w:r w:rsidRPr="00620A99">
        <w:rPr>
          <w:rStyle w:val="FootnoteReference"/>
          <w:rFonts w:ascii="Arial" w:hAnsi="Arial" w:cs="Arial"/>
        </w:rPr>
        <w:footnoteRef/>
      </w:r>
      <w:r w:rsidRPr="00620A99">
        <w:rPr>
          <w:rFonts w:ascii="Arial" w:hAnsi="Arial" w:cs="Arial"/>
        </w:rPr>
        <w:t xml:space="preserve"> Tr. at 67-68 (</w:t>
      </w:r>
      <w:r>
        <w:rPr>
          <w:rFonts w:ascii="Arial" w:hAnsi="Arial" w:cs="Arial"/>
        </w:rPr>
        <w:t>emphasis added)</w:t>
      </w:r>
      <w:r w:rsidRPr="0004087C">
        <w:rPr>
          <w:rFonts w:ascii="Arial" w:hAnsi="Arial" w:cs="Arial"/>
        </w:rPr>
        <w:t>.  Mr. Smith further stated,</w:t>
      </w:r>
      <w:r w:rsidRPr="0004087C">
        <w:rPr>
          <w:rFonts w:ascii="Arial" w:hAnsi="Arial" w:cs="Arial"/>
          <w:i/>
        </w:rPr>
        <w:t xml:space="preserve"> </w:t>
      </w:r>
      <w:r w:rsidRPr="0004087C">
        <w:rPr>
          <w:rFonts w:ascii="Arial" w:hAnsi="Arial" w:cs="Arial"/>
        </w:rPr>
        <w:t xml:space="preserve">“I think I would agree with that, and I am aware of the statement to that effect in the current opinion, the order that was just released last week.  That seems like an appropriate way of dealing with it; direct a future auditor to review it in a subsequent round of FAC audits.”  Tr. at 68-69.   </w:t>
      </w:r>
    </w:p>
  </w:footnote>
  <w:footnote w:id="40">
    <w:p w:rsidR="000D6ED1" w:rsidRPr="000B667F" w:rsidRDefault="000D6ED1" w:rsidP="00565155">
      <w:pPr>
        <w:pStyle w:val="FootnoteText"/>
        <w:spacing w:after="120"/>
        <w:rPr>
          <w:rFonts w:ascii="Arial" w:hAnsi="Arial" w:cs="Arial"/>
        </w:rPr>
      </w:pPr>
      <w:r w:rsidRPr="00C53485">
        <w:rPr>
          <w:rStyle w:val="FootnoteReference"/>
          <w:rFonts w:ascii="Arial" w:hAnsi="Arial" w:cs="Arial"/>
        </w:rPr>
        <w:footnoteRef/>
      </w:r>
      <w:r w:rsidRPr="00C53485">
        <w:rPr>
          <w:rFonts w:ascii="Arial" w:hAnsi="Arial" w:cs="Arial"/>
        </w:rPr>
        <w:t xml:space="preserve"> Tr. at 53.  </w:t>
      </w:r>
      <w:r w:rsidRPr="00C53485">
        <w:rPr>
          <w:rFonts w:ascii="Arial" w:hAnsi="Arial" w:cs="Arial"/>
          <w:i/>
        </w:rPr>
        <w:t xml:space="preserve">See also id. </w:t>
      </w:r>
      <w:r w:rsidRPr="00C53485">
        <w:rPr>
          <w:rFonts w:ascii="Arial" w:hAnsi="Arial" w:cs="Arial"/>
        </w:rPr>
        <w:t>at 49-53.</w:t>
      </w:r>
    </w:p>
  </w:footnote>
  <w:footnote w:id="41">
    <w:p w:rsidR="000D6ED1" w:rsidRPr="000B667F" w:rsidRDefault="000D6ED1" w:rsidP="00D8002C">
      <w:pPr>
        <w:pStyle w:val="FootnoteText"/>
        <w:spacing w:after="120"/>
        <w:rPr>
          <w:i/>
        </w:rPr>
      </w:pPr>
      <w:r w:rsidRPr="000B667F">
        <w:rPr>
          <w:rStyle w:val="FootnoteReference"/>
          <w:rFonts w:ascii="Arial" w:hAnsi="Arial" w:cs="Arial"/>
        </w:rPr>
        <w:footnoteRef/>
      </w:r>
      <w:r w:rsidRPr="000B667F">
        <w:rPr>
          <w:rFonts w:ascii="Arial" w:hAnsi="Arial" w:cs="Arial"/>
        </w:rPr>
        <w:t xml:space="preserve"> </w:t>
      </w:r>
      <w:r w:rsidRPr="000B667F">
        <w:rPr>
          <w:rFonts w:ascii="Arial" w:hAnsi="Arial" w:cs="Arial"/>
          <w:i/>
        </w:rPr>
        <w:t>Id.</w:t>
      </w:r>
      <w:r>
        <w:rPr>
          <w:i/>
        </w:rPr>
        <w:t xml:space="preserve"> </w:t>
      </w:r>
    </w:p>
  </w:footnote>
  <w:footnote w:id="42">
    <w:p w:rsidR="000D6ED1" w:rsidRPr="00F5043C" w:rsidRDefault="000D6ED1" w:rsidP="00D8002C">
      <w:pPr>
        <w:pStyle w:val="FootnoteText"/>
        <w:spacing w:after="120"/>
        <w:rPr>
          <w:rFonts w:ascii="Arial" w:hAnsi="Arial" w:cs="Arial"/>
        </w:rPr>
      </w:pPr>
      <w:r w:rsidRPr="00F5043C">
        <w:rPr>
          <w:rStyle w:val="FootnoteReference"/>
          <w:rFonts w:ascii="Arial" w:hAnsi="Arial" w:cs="Arial"/>
        </w:rPr>
        <w:footnoteRef/>
      </w:r>
      <w:r w:rsidRPr="00F5043C">
        <w:rPr>
          <w:rFonts w:ascii="Arial" w:hAnsi="Arial" w:cs="Arial"/>
        </w:rPr>
        <w:t xml:space="preserve"> R.</w:t>
      </w:r>
      <w:r>
        <w:rPr>
          <w:rFonts w:ascii="Arial" w:hAnsi="Arial" w:cs="Arial"/>
        </w:rPr>
        <w:t xml:space="preserve"> </w:t>
      </w:r>
      <w:r w:rsidRPr="00F5043C">
        <w:rPr>
          <w:rFonts w:ascii="Arial" w:hAnsi="Arial" w:cs="Arial"/>
        </w:rPr>
        <w:t>Evid. 611(B).</w:t>
      </w:r>
    </w:p>
  </w:footnote>
  <w:footnote w:id="43">
    <w:p w:rsidR="000D6ED1" w:rsidRPr="00D83EE8" w:rsidRDefault="000D6ED1" w:rsidP="00F5043C">
      <w:pPr>
        <w:pStyle w:val="FootnoteText"/>
        <w:spacing w:after="120"/>
        <w:jc w:val="both"/>
        <w:rPr>
          <w:rFonts w:ascii="Arial" w:hAnsi="Arial" w:cs="Arial"/>
        </w:rPr>
      </w:pPr>
      <w:r w:rsidRPr="00D83EE8">
        <w:rPr>
          <w:rStyle w:val="FootnoteReference"/>
          <w:rFonts w:ascii="Arial" w:hAnsi="Arial" w:cs="Arial"/>
        </w:rPr>
        <w:footnoteRef/>
      </w:r>
      <w:r w:rsidRPr="00D83EE8">
        <w:rPr>
          <w:rFonts w:ascii="Arial" w:hAnsi="Arial" w:cs="Arial"/>
        </w:rPr>
        <w:t xml:space="preserve"> Although the Commission is not bound by the Ohio Rules of Evidence, they provide a useful guide to addressi</w:t>
      </w:r>
      <w:r>
        <w:rPr>
          <w:rFonts w:ascii="Arial" w:hAnsi="Arial" w:cs="Arial"/>
        </w:rPr>
        <w:t>ng evidentiary issues</w:t>
      </w:r>
      <w:r w:rsidRPr="00D83EE8">
        <w:rPr>
          <w:rFonts w:ascii="Arial" w:hAnsi="Arial" w:cs="Arial"/>
        </w:rPr>
        <w:t>.</w:t>
      </w:r>
    </w:p>
  </w:footnote>
  <w:footnote w:id="44">
    <w:p w:rsidR="000D6ED1" w:rsidRDefault="000D6ED1" w:rsidP="00D8002C">
      <w:pPr>
        <w:pStyle w:val="FootnoteText"/>
        <w:spacing w:after="120"/>
      </w:pPr>
      <w:r w:rsidRPr="00F5043C">
        <w:rPr>
          <w:rStyle w:val="FootnoteReference"/>
          <w:rFonts w:ascii="Arial" w:hAnsi="Arial" w:cs="Arial"/>
        </w:rPr>
        <w:footnoteRef/>
      </w:r>
      <w:r w:rsidRPr="00F5043C">
        <w:rPr>
          <w:rFonts w:ascii="Arial" w:hAnsi="Arial" w:cs="Arial"/>
        </w:rPr>
        <w:t xml:space="preserve"> R.</w:t>
      </w:r>
      <w:r>
        <w:rPr>
          <w:rFonts w:ascii="Arial" w:hAnsi="Arial" w:cs="Arial"/>
        </w:rPr>
        <w:t xml:space="preserve"> </w:t>
      </w:r>
      <w:r w:rsidRPr="00F5043C">
        <w:rPr>
          <w:rFonts w:ascii="Arial" w:hAnsi="Arial" w:cs="Arial"/>
        </w:rPr>
        <w:t>Evid. 402.</w:t>
      </w:r>
    </w:p>
  </w:footnote>
  <w:footnote w:id="45">
    <w:p w:rsidR="000D6ED1" w:rsidRPr="00D83EE8" w:rsidRDefault="000D6ED1" w:rsidP="00DE46DF">
      <w:pPr>
        <w:pStyle w:val="FootnoteText"/>
        <w:spacing w:after="120"/>
        <w:jc w:val="both"/>
        <w:rPr>
          <w:rFonts w:ascii="Arial" w:hAnsi="Arial" w:cs="Arial"/>
        </w:rPr>
      </w:pPr>
      <w:r w:rsidRPr="00D83EE8">
        <w:rPr>
          <w:rStyle w:val="FootnoteReference"/>
          <w:rFonts w:ascii="Arial" w:hAnsi="Arial" w:cs="Arial"/>
        </w:rPr>
        <w:footnoteRef/>
      </w:r>
      <w:r w:rsidRPr="00D83EE8">
        <w:rPr>
          <w:rFonts w:ascii="Arial" w:hAnsi="Arial" w:cs="Arial"/>
        </w:rPr>
        <w:t xml:space="preserve"> R. Evid. 401.  </w:t>
      </w:r>
    </w:p>
  </w:footnote>
  <w:footnote w:id="46">
    <w:p w:rsidR="000D6ED1" w:rsidRPr="007801D3" w:rsidRDefault="000D6ED1" w:rsidP="00261CEB">
      <w:pPr>
        <w:pStyle w:val="FootnoteText"/>
        <w:spacing w:after="120"/>
        <w:jc w:val="both"/>
        <w:rPr>
          <w:rFonts w:ascii="Arial" w:hAnsi="Arial" w:cs="Arial"/>
          <w:i/>
        </w:rPr>
      </w:pPr>
      <w:r w:rsidRPr="007801D3">
        <w:rPr>
          <w:rStyle w:val="FootnoteReference"/>
          <w:rFonts w:ascii="Arial" w:hAnsi="Arial" w:cs="Arial"/>
        </w:rPr>
        <w:footnoteRef/>
      </w:r>
      <w:r w:rsidRPr="007801D3">
        <w:rPr>
          <w:rFonts w:ascii="Arial" w:hAnsi="Arial" w:cs="Arial"/>
        </w:rPr>
        <w:t xml:space="preserve"> </w:t>
      </w:r>
      <w:r w:rsidRPr="007801D3">
        <w:rPr>
          <w:rFonts w:ascii="Arial" w:hAnsi="Arial" w:cs="Arial"/>
          <w:i/>
        </w:rPr>
        <w:t>See In the Matter of the Application of Columbus Southern Power Company Update its gridSMART Rider</w:t>
      </w:r>
      <w:r w:rsidRPr="007801D3">
        <w:rPr>
          <w:rFonts w:ascii="Arial" w:hAnsi="Arial" w:cs="Arial"/>
        </w:rPr>
        <w:t>,</w:t>
      </w:r>
      <w:r w:rsidRPr="007801D3">
        <w:rPr>
          <w:rFonts w:ascii="Arial" w:hAnsi="Arial" w:cs="Arial"/>
          <w:i/>
        </w:rPr>
        <w:t xml:space="preserve"> </w:t>
      </w:r>
      <w:r w:rsidRPr="007801D3">
        <w:rPr>
          <w:rFonts w:ascii="Arial" w:hAnsi="Arial" w:cs="Arial"/>
        </w:rPr>
        <w:t>Case No</w:t>
      </w:r>
      <w:r>
        <w:rPr>
          <w:rFonts w:ascii="Arial" w:hAnsi="Arial" w:cs="Arial"/>
        </w:rPr>
        <w:t>.</w:t>
      </w:r>
      <w:r w:rsidRPr="007801D3">
        <w:rPr>
          <w:rFonts w:ascii="Arial" w:hAnsi="Arial" w:cs="Arial"/>
        </w:rPr>
        <w:t xml:space="preserve"> 11-1353-EL-RDR, Opinion and Order at 4-5</w:t>
      </w:r>
      <w:r>
        <w:rPr>
          <w:rFonts w:ascii="Arial" w:hAnsi="Arial" w:cs="Arial"/>
        </w:rPr>
        <w:t xml:space="preserve"> (Aug. 24, 2011)</w:t>
      </w:r>
      <w:r w:rsidRPr="007801D3">
        <w:rPr>
          <w:rFonts w:ascii="Arial" w:hAnsi="Arial" w:cs="Arial"/>
        </w:rPr>
        <w:t>.</w:t>
      </w:r>
    </w:p>
  </w:footnote>
  <w:footnote w:id="47">
    <w:p w:rsidR="000D6ED1" w:rsidRPr="0090681C" w:rsidRDefault="000D6ED1" w:rsidP="00261CEB">
      <w:pPr>
        <w:pStyle w:val="FootnoteText"/>
        <w:spacing w:after="120"/>
        <w:jc w:val="both"/>
        <w:rPr>
          <w:rFonts w:ascii="Arial" w:hAnsi="Arial" w:cs="Arial"/>
        </w:rPr>
      </w:pPr>
      <w:r w:rsidRPr="0090681C">
        <w:rPr>
          <w:rStyle w:val="FootnoteReference"/>
          <w:rFonts w:ascii="Arial" w:hAnsi="Arial" w:cs="Arial"/>
        </w:rPr>
        <w:footnoteRef/>
      </w:r>
      <w:r w:rsidRPr="0090681C">
        <w:rPr>
          <w:rFonts w:ascii="Arial" w:hAnsi="Arial" w:cs="Arial"/>
        </w:rPr>
        <w:t xml:space="preserve"> </w:t>
      </w:r>
      <w:r w:rsidRPr="0090681C">
        <w:rPr>
          <w:rFonts w:ascii="Arial" w:hAnsi="Arial" w:cs="Arial"/>
          <w:i/>
        </w:rPr>
        <w:t>In the Matter of the Application of the Fuel Adjustment Clauses for Columbus Southern Power Company and Ohio Power Company and Related Matters</w:t>
      </w:r>
      <w:r w:rsidRPr="0090681C">
        <w:rPr>
          <w:rFonts w:ascii="Arial" w:hAnsi="Arial" w:cs="Arial"/>
        </w:rPr>
        <w:t xml:space="preserve">, Case Nos. 11-5906-EL-FAC, </w:t>
      </w:r>
      <w:r w:rsidRPr="0090681C">
        <w:rPr>
          <w:rFonts w:ascii="Arial" w:hAnsi="Arial" w:cs="Arial"/>
          <w:i/>
        </w:rPr>
        <w:t>et al.</w:t>
      </w:r>
      <w:r w:rsidRPr="0090681C">
        <w:rPr>
          <w:rFonts w:ascii="Arial" w:hAnsi="Arial" w:cs="Arial"/>
        </w:rPr>
        <w:t>, Entry at 3-4 (</w:t>
      </w:r>
      <w:r>
        <w:rPr>
          <w:rFonts w:ascii="Arial" w:hAnsi="Arial" w:cs="Arial"/>
        </w:rPr>
        <w:t>Dec. 4, 2013) (emphasis added).</w:t>
      </w:r>
    </w:p>
  </w:footnote>
  <w:footnote w:id="48">
    <w:p w:rsidR="000D6ED1" w:rsidRPr="00871803" w:rsidRDefault="000D6ED1" w:rsidP="00261CEB">
      <w:pPr>
        <w:pStyle w:val="FootnoteText"/>
        <w:spacing w:after="120"/>
        <w:jc w:val="both"/>
        <w:rPr>
          <w:rFonts w:ascii="Arial" w:hAnsi="Arial" w:cs="Arial"/>
        </w:rPr>
      </w:pPr>
      <w:r w:rsidRPr="00871803">
        <w:rPr>
          <w:rStyle w:val="FootnoteReference"/>
          <w:rFonts w:ascii="Arial" w:hAnsi="Arial" w:cs="Arial"/>
        </w:rPr>
        <w:footnoteRef/>
      </w:r>
      <w:r w:rsidRPr="00871803">
        <w:rPr>
          <w:rFonts w:ascii="Arial" w:hAnsi="Arial" w:cs="Arial"/>
        </w:rPr>
        <w:t xml:space="preserve"> </w:t>
      </w:r>
      <w:r>
        <w:rPr>
          <w:rFonts w:ascii="Arial" w:hAnsi="Arial" w:cs="Arial"/>
        </w:rPr>
        <w:t>IEU-Ohio Ex. 10-</w:t>
      </w:r>
      <w:r w:rsidRPr="00871803">
        <w:rPr>
          <w:rFonts w:ascii="Arial" w:hAnsi="Arial" w:cs="Arial"/>
        </w:rPr>
        <w:t>12.</w:t>
      </w:r>
      <w:r>
        <w:rPr>
          <w:rFonts w:ascii="Arial" w:hAnsi="Arial" w:cs="Arial"/>
        </w:rPr>
        <w:t xml:space="preserve">  </w:t>
      </w:r>
      <w:r w:rsidRPr="00261CEB">
        <w:rPr>
          <w:rFonts w:ascii="Arial" w:hAnsi="Arial" w:cs="Arial"/>
          <w:i/>
          <w:color w:val="202020"/>
        </w:rPr>
        <w:t>See also</w:t>
      </w:r>
      <w:r>
        <w:rPr>
          <w:rFonts w:ascii="Arial" w:hAnsi="Arial" w:cs="Arial"/>
          <w:color w:val="202020"/>
        </w:rPr>
        <w:t xml:space="preserve"> </w:t>
      </w:r>
      <w:r w:rsidRPr="0038226D">
        <w:rPr>
          <w:rFonts w:ascii="Arial" w:hAnsi="Arial" w:cs="Arial"/>
          <w:i/>
        </w:rPr>
        <w:t xml:space="preserve">In the Matter of the Commission Review of the Capacity </w:t>
      </w:r>
      <w:r>
        <w:rPr>
          <w:rFonts w:ascii="Arial" w:hAnsi="Arial" w:cs="Arial"/>
          <w:i/>
        </w:rPr>
        <w:t>C</w:t>
      </w:r>
      <w:r w:rsidRPr="0038226D">
        <w:rPr>
          <w:rFonts w:ascii="Arial" w:hAnsi="Arial" w:cs="Arial"/>
          <w:i/>
        </w:rPr>
        <w:t>harges of Ohio Power Company and Columbus Southern Power Company</w:t>
      </w:r>
      <w:r w:rsidRPr="0038226D">
        <w:rPr>
          <w:rFonts w:ascii="Arial" w:hAnsi="Arial" w:cs="Arial"/>
        </w:rPr>
        <w:t>, Case No. 10-2929-EL-UNC, Opinion and Order at 25 (Jul. 2, 2012).  This case is hereinafter referred to as the “</w:t>
      </w:r>
      <w:r w:rsidRPr="0038226D">
        <w:rPr>
          <w:rFonts w:ascii="Arial" w:hAnsi="Arial" w:cs="Arial"/>
          <w:i/>
        </w:rPr>
        <w:t>Capacity Case</w:t>
      </w:r>
      <w:r w:rsidRPr="0038226D">
        <w:rPr>
          <w:rFonts w:ascii="Arial" w:hAnsi="Arial" w:cs="Arial"/>
        </w:rPr>
        <w:t xml:space="preserve">” and the Opinion and Order is hereinafter referred to </w:t>
      </w:r>
      <w:r w:rsidRPr="005830A1">
        <w:rPr>
          <w:rFonts w:ascii="Arial" w:hAnsi="Arial" w:cs="Arial"/>
        </w:rPr>
        <w:t>as the “Capacity Case Order.”</w:t>
      </w:r>
      <w:r w:rsidRPr="00871803">
        <w:rPr>
          <w:rFonts w:ascii="Arial" w:hAnsi="Arial" w:cs="Arial"/>
        </w:rPr>
        <w:t xml:space="preserve"> </w:t>
      </w:r>
    </w:p>
  </w:footnote>
  <w:footnote w:id="49">
    <w:p w:rsidR="000D6ED1" w:rsidRPr="00871803" w:rsidRDefault="000D6ED1" w:rsidP="00261CEB">
      <w:pPr>
        <w:pStyle w:val="FootnoteText"/>
        <w:spacing w:after="120"/>
        <w:jc w:val="both"/>
        <w:rPr>
          <w:rFonts w:ascii="Arial" w:hAnsi="Arial" w:cs="Arial"/>
        </w:rPr>
      </w:pPr>
      <w:r w:rsidRPr="00871803">
        <w:rPr>
          <w:rStyle w:val="FootnoteReference"/>
          <w:rFonts w:ascii="Arial" w:hAnsi="Arial" w:cs="Arial"/>
        </w:rPr>
        <w:footnoteRef/>
      </w:r>
      <w:r w:rsidRPr="00871803">
        <w:rPr>
          <w:rFonts w:ascii="Arial" w:hAnsi="Arial" w:cs="Arial"/>
        </w:rPr>
        <w:t xml:space="preserve"> IEU-Ohio Ex.7-9.  </w:t>
      </w:r>
      <w:r w:rsidRPr="00871803">
        <w:rPr>
          <w:rFonts w:ascii="Arial" w:hAnsi="Arial" w:cs="Arial"/>
          <w:i/>
        </w:rPr>
        <w:t xml:space="preserve">See also </w:t>
      </w:r>
      <w:r w:rsidRPr="00871803">
        <w:rPr>
          <w:rFonts w:ascii="Arial" w:hAnsi="Arial" w:cs="Arial"/>
        </w:rPr>
        <w:t>Capacity Case Order at 24-36.</w:t>
      </w:r>
    </w:p>
  </w:footnote>
  <w:footnote w:id="50">
    <w:p w:rsidR="000D6ED1" w:rsidRDefault="000D6ED1" w:rsidP="00261CEB">
      <w:pPr>
        <w:pStyle w:val="FootnoteText"/>
        <w:spacing w:after="120"/>
      </w:pPr>
      <w:r w:rsidRPr="00871803">
        <w:rPr>
          <w:rStyle w:val="FootnoteReference"/>
          <w:rFonts w:ascii="Arial" w:hAnsi="Arial" w:cs="Arial"/>
        </w:rPr>
        <w:footnoteRef/>
      </w:r>
      <w:r w:rsidRPr="00871803">
        <w:rPr>
          <w:rFonts w:ascii="Arial" w:hAnsi="Arial" w:cs="Arial"/>
        </w:rPr>
        <w:t xml:space="preserve"> IEU-Ohio Ex. 1-6. </w:t>
      </w:r>
    </w:p>
  </w:footnote>
  <w:footnote w:id="51">
    <w:p w:rsidR="000D6ED1" w:rsidRPr="005830A1" w:rsidRDefault="000D6ED1" w:rsidP="00E92ABC">
      <w:pPr>
        <w:autoSpaceDE w:val="0"/>
        <w:autoSpaceDN w:val="0"/>
        <w:adjustRightInd w:val="0"/>
        <w:spacing w:after="120"/>
        <w:jc w:val="both"/>
        <w:rPr>
          <w:rFonts w:ascii="Arial" w:eastAsiaTheme="minorHAnsi" w:hAnsi="Arial" w:cs="Arial"/>
          <w:sz w:val="20"/>
          <w:szCs w:val="20"/>
        </w:rPr>
      </w:pPr>
      <w:r w:rsidRPr="0038226D">
        <w:rPr>
          <w:rStyle w:val="FootnoteReference"/>
          <w:rFonts w:ascii="Arial" w:hAnsi="Arial" w:cs="Arial"/>
          <w:sz w:val="20"/>
          <w:szCs w:val="20"/>
        </w:rPr>
        <w:footnoteRef/>
      </w:r>
      <w:r w:rsidRPr="0038226D">
        <w:rPr>
          <w:rFonts w:ascii="Arial" w:hAnsi="Arial" w:cs="Arial"/>
          <w:sz w:val="20"/>
          <w:szCs w:val="20"/>
        </w:rPr>
        <w:t xml:space="preserve"> The testimony of witness Lesser was offered by AEP-Ohio, but IEU-Ohio does not offer that exhibit to demonstrate the truth of the matter asserted.  Rather, IEU-Ohio offered the testimony of witness Lesser to put AEP-Ohio witness Allen’s rebuttal testimony (which responded to witness Lesser’s testimony) in context.</w:t>
      </w:r>
      <w:r w:rsidRPr="0038226D">
        <w:rPr>
          <w:rFonts w:ascii="Arial" w:hAnsi="Arial" w:cs="Arial"/>
          <w:color w:val="202020"/>
          <w:sz w:val="20"/>
          <w:szCs w:val="20"/>
        </w:rPr>
        <w:t xml:space="preserve"> </w:t>
      </w:r>
      <w:r>
        <w:rPr>
          <w:rFonts w:ascii="Arial" w:hAnsi="Arial" w:cs="Arial"/>
          <w:color w:val="202020"/>
          <w:sz w:val="20"/>
          <w:szCs w:val="20"/>
        </w:rPr>
        <w:t xml:space="preserve"> </w:t>
      </w:r>
      <w:r w:rsidRPr="0038226D">
        <w:rPr>
          <w:rFonts w:ascii="Arial" w:hAnsi="Arial" w:cs="Arial"/>
          <w:color w:val="202020"/>
          <w:sz w:val="20"/>
          <w:szCs w:val="20"/>
        </w:rPr>
        <w:t xml:space="preserve">Moreover, the fact that AEP-Ohio’s </w:t>
      </w:r>
      <w:r w:rsidRPr="0038226D">
        <w:rPr>
          <w:rFonts w:ascii="Arial" w:hAnsi="Arial" w:cs="Arial"/>
          <w:i/>
          <w:color w:val="202020"/>
          <w:sz w:val="20"/>
          <w:szCs w:val="20"/>
        </w:rPr>
        <w:t>ESP I</w:t>
      </w:r>
      <w:r w:rsidRPr="0038226D">
        <w:rPr>
          <w:rFonts w:ascii="Arial" w:hAnsi="Arial" w:cs="Arial"/>
          <w:color w:val="202020"/>
          <w:sz w:val="20"/>
          <w:szCs w:val="20"/>
        </w:rPr>
        <w:t xml:space="preserve"> base generation rates produce revenue equivalent to $355 per megawatt day has been recognized by the Commission</w:t>
      </w:r>
      <w:r>
        <w:rPr>
          <w:rFonts w:ascii="Arial" w:hAnsi="Arial" w:cs="Arial"/>
          <w:color w:val="202020"/>
          <w:sz w:val="20"/>
          <w:szCs w:val="20"/>
        </w:rPr>
        <w:t>.  Capacity Case Order at 25.</w:t>
      </w:r>
      <w:r w:rsidRPr="0038226D">
        <w:rPr>
          <w:rFonts w:ascii="Arial" w:hAnsi="Arial" w:cs="Arial"/>
          <w:color w:val="202020"/>
          <w:sz w:val="20"/>
          <w:szCs w:val="20"/>
        </w:rPr>
        <w:t xml:space="preserve"> </w:t>
      </w:r>
    </w:p>
  </w:footnote>
  <w:footnote w:id="52">
    <w:p w:rsidR="000D6ED1" w:rsidRPr="005830A1" w:rsidRDefault="000D6ED1" w:rsidP="00E92ABC">
      <w:pPr>
        <w:pStyle w:val="FootnoteText"/>
        <w:spacing w:after="120"/>
        <w:jc w:val="both"/>
        <w:rPr>
          <w:rFonts w:ascii="Arial" w:hAnsi="Arial" w:cs="Arial"/>
        </w:rPr>
      </w:pPr>
      <w:r w:rsidRPr="005830A1">
        <w:rPr>
          <w:rStyle w:val="FootnoteReference"/>
          <w:rFonts w:ascii="Arial" w:hAnsi="Arial" w:cs="Arial"/>
        </w:rPr>
        <w:footnoteRef/>
      </w:r>
      <w:r w:rsidRPr="005830A1">
        <w:rPr>
          <w:rFonts w:ascii="Arial" w:hAnsi="Arial" w:cs="Arial"/>
        </w:rPr>
        <w:t xml:space="preserve"> Additionally, there is no legitimate objection that the exhibits should be excluded on the basis of hearsay.  Under R. Evid. 802(2), the proffered exhibits are considered “non-hearsay” and are admissible as admissions by a party opponent:  “</w:t>
      </w:r>
      <w:r>
        <w:rPr>
          <w:rFonts w:ascii="Arial" w:hAnsi="Arial" w:cs="Arial"/>
        </w:rPr>
        <w:t>The statement is</w:t>
      </w:r>
      <w:r w:rsidRPr="005830A1">
        <w:rPr>
          <w:rFonts w:ascii="Arial" w:hAnsi="Arial" w:cs="Arial"/>
        </w:rPr>
        <w:t xml:space="preserve"> offered against a party and is (a) the party’s own statement, in either an individual or a representative capacity. . . .” </w:t>
      </w:r>
      <w:r>
        <w:rPr>
          <w:rFonts w:ascii="Arial" w:hAnsi="Arial" w:cs="Arial"/>
        </w:rPr>
        <w:t xml:space="preserve"> </w:t>
      </w:r>
      <w:r w:rsidRPr="005830A1">
        <w:rPr>
          <w:rFonts w:ascii="Arial" w:hAnsi="Arial" w:cs="Arial"/>
        </w:rPr>
        <w:t>Each of the proffered exhibits were sponsored by AEP-Ohio witnesses</w:t>
      </w:r>
      <w:r>
        <w:rPr>
          <w:rFonts w:ascii="Arial" w:hAnsi="Arial" w:cs="Arial"/>
        </w:rPr>
        <w:t>; thus, they are admissions by representatives of AEP-Ohio</w:t>
      </w:r>
      <w:r w:rsidRPr="005830A1">
        <w:rPr>
          <w:rFonts w:ascii="Arial" w:hAnsi="Arial" w:cs="Arial"/>
        </w:rPr>
        <w:t xml:space="preserve">.  </w:t>
      </w:r>
    </w:p>
  </w:footnote>
  <w:footnote w:id="53">
    <w:p w:rsidR="000D6ED1" w:rsidRPr="0028577E" w:rsidRDefault="000D6ED1" w:rsidP="00D8002C">
      <w:pPr>
        <w:pStyle w:val="FootnoteText"/>
        <w:spacing w:after="120"/>
        <w:jc w:val="both"/>
        <w:rPr>
          <w:rFonts w:ascii="Arial" w:hAnsi="Arial" w:cs="Arial"/>
          <w:i/>
        </w:rPr>
      </w:pPr>
      <w:r w:rsidRPr="0028577E">
        <w:rPr>
          <w:rStyle w:val="FootnoteReference"/>
          <w:rFonts w:ascii="Arial" w:hAnsi="Arial" w:cs="Arial"/>
        </w:rPr>
        <w:footnoteRef/>
      </w:r>
      <w:r w:rsidRPr="0028577E">
        <w:rPr>
          <w:rFonts w:ascii="Arial" w:hAnsi="Arial" w:cs="Arial"/>
        </w:rPr>
        <w:t xml:space="preserve"> </w:t>
      </w:r>
      <w:r>
        <w:rPr>
          <w:rFonts w:ascii="Arial" w:hAnsi="Arial" w:cs="Arial"/>
          <w:i/>
        </w:rPr>
        <w:t xml:space="preserve">See </w:t>
      </w:r>
      <w:r w:rsidRPr="0028577E">
        <w:rPr>
          <w:rFonts w:ascii="Arial" w:hAnsi="Arial" w:cs="Arial"/>
          <w:i/>
        </w:rPr>
        <w:t>In the M</w:t>
      </w:r>
      <w:r>
        <w:rPr>
          <w:rFonts w:ascii="Arial" w:hAnsi="Arial" w:cs="Arial"/>
          <w:i/>
        </w:rPr>
        <w:t xml:space="preserve">atter of Ohio Edison Company, The Cleveland Electric Illuminating </w:t>
      </w:r>
      <w:r w:rsidRPr="0028577E">
        <w:rPr>
          <w:rFonts w:ascii="Arial" w:hAnsi="Arial" w:cs="Arial"/>
          <w:i/>
        </w:rPr>
        <w:t>C</w:t>
      </w:r>
      <w:r>
        <w:rPr>
          <w:rFonts w:ascii="Arial" w:hAnsi="Arial" w:cs="Arial"/>
          <w:i/>
        </w:rPr>
        <w:t xml:space="preserve">ompany, and The Toledo Edison </w:t>
      </w:r>
      <w:r w:rsidRPr="0028577E">
        <w:rPr>
          <w:rFonts w:ascii="Arial" w:hAnsi="Arial" w:cs="Arial"/>
          <w:i/>
        </w:rPr>
        <w:t xml:space="preserve">Company for Authority to Provide </w:t>
      </w:r>
      <w:r>
        <w:rPr>
          <w:rFonts w:ascii="Arial" w:hAnsi="Arial" w:cs="Arial"/>
          <w:i/>
        </w:rPr>
        <w:t xml:space="preserve">for a </w:t>
      </w:r>
      <w:r w:rsidRPr="0028577E">
        <w:rPr>
          <w:rFonts w:ascii="Arial" w:hAnsi="Arial" w:cs="Arial"/>
          <w:i/>
        </w:rPr>
        <w:t>Standard Serv</w:t>
      </w:r>
      <w:r>
        <w:rPr>
          <w:rFonts w:ascii="Arial" w:hAnsi="Arial" w:cs="Arial"/>
          <w:i/>
        </w:rPr>
        <w:t xml:space="preserve">ice Offer Pursuant to Section </w:t>
      </w:r>
      <w:r w:rsidRPr="0028577E">
        <w:rPr>
          <w:rFonts w:ascii="Arial" w:hAnsi="Arial" w:cs="Arial"/>
          <w:i/>
        </w:rPr>
        <w:t>4928.143, Revised Cod</w:t>
      </w:r>
      <w:r>
        <w:rPr>
          <w:rFonts w:ascii="Arial" w:hAnsi="Arial" w:cs="Arial"/>
          <w:i/>
        </w:rPr>
        <w:t>e, in the Form of an Electric Security Plan</w:t>
      </w:r>
      <w:r>
        <w:rPr>
          <w:rFonts w:ascii="Arial" w:hAnsi="Arial" w:cs="Arial"/>
        </w:rPr>
        <w:t>, Case No 12-1230-EL-SSO, Opinion and Order at</w:t>
      </w:r>
      <w:r>
        <w:rPr>
          <w:rFonts w:ascii="Arial" w:hAnsi="Arial" w:cs="Arial"/>
          <w:i/>
        </w:rPr>
        <w:t xml:space="preserve"> </w:t>
      </w:r>
      <w:r>
        <w:rPr>
          <w:rFonts w:ascii="Arial" w:hAnsi="Arial" w:cs="Arial"/>
        </w:rPr>
        <w:t>20-21 (Jul. 18 2012).</w:t>
      </w:r>
    </w:p>
  </w:footnote>
  <w:footnote w:id="54">
    <w:p w:rsidR="000D6ED1" w:rsidRPr="00D57FB3" w:rsidRDefault="000D6ED1" w:rsidP="00261CEB">
      <w:pPr>
        <w:pStyle w:val="FootnoteText"/>
        <w:spacing w:after="120"/>
        <w:rPr>
          <w:rFonts w:ascii="Arial" w:hAnsi="Arial" w:cs="Arial"/>
        </w:rPr>
      </w:pPr>
      <w:r w:rsidRPr="00CC51FD">
        <w:rPr>
          <w:rStyle w:val="FootnoteReference"/>
          <w:rFonts w:ascii="Arial" w:hAnsi="Arial" w:cs="Arial"/>
        </w:rPr>
        <w:footnoteRef/>
      </w:r>
      <w:r w:rsidRPr="00CC51FD">
        <w:rPr>
          <w:rFonts w:ascii="Arial" w:hAnsi="Arial" w:cs="Arial"/>
        </w:rPr>
        <w:t xml:space="preserve"> IEU-Ohio Ex. 1-6. </w:t>
      </w:r>
    </w:p>
  </w:footnote>
  <w:footnote w:id="55">
    <w:p w:rsidR="000D6ED1" w:rsidRDefault="000D6ED1" w:rsidP="00565155">
      <w:pPr>
        <w:pStyle w:val="FootnoteText"/>
        <w:jc w:val="both"/>
        <w:rPr>
          <w:rFonts w:ascii="Arial" w:hAnsi="Arial" w:cs="Arial"/>
        </w:rPr>
      </w:pPr>
      <w:r w:rsidRPr="00D57FB3">
        <w:rPr>
          <w:rStyle w:val="FootnoteReference"/>
          <w:rFonts w:ascii="Arial" w:hAnsi="Arial" w:cs="Arial"/>
        </w:rPr>
        <w:footnoteRef/>
      </w:r>
      <w:r w:rsidRPr="00D57FB3">
        <w:rPr>
          <w:rFonts w:ascii="Arial" w:hAnsi="Arial" w:cs="Arial"/>
        </w:rPr>
        <w:t xml:space="preserve"> Information on the Commission’s website indicates that </w:t>
      </w:r>
      <w:r>
        <w:rPr>
          <w:rFonts w:ascii="Arial" w:hAnsi="Arial" w:cs="Arial"/>
        </w:rPr>
        <w:t>CRES</w:t>
      </w:r>
      <w:r w:rsidRPr="00D57FB3">
        <w:rPr>
          <w:rFonts w:ascii="Arial" w:hAnsi="Arial" w:cs="Arial"/>
        </w:rPr>
        <w:t xml:space="preserve"> providers only negligibly impacted AEP-Ohio’s sales during 2010 and 2011.</w:t>
      </w:r>
    </w:p>
    <w:p w:rsidR="000D6ED1" w:rsidRPr="00D57FB3" w:rsidRDefault="000D6ED1" w:rsidP="00F47663">
      <w:pPr>
        <w:pStyle w:val="FootnoteText"/>
        <w:spacing w:after="120"/>
      </w:pPr>
      <w:r w:rsidRPr="00D57FB3">
        <w:rPr>
          <w:rFonts w:ascii="Arial" w:hAnsi="Arial" w:cs="Arial"/>
        </w:rPr>
        <w:t xml:space="preserve">http://www.puco.ohio.gov/emplibrary/files/util/MktMonitoringElecCustSwitchRates/SWITCH%20RATES%20SALES/2010/4Q%202010%20Prelim.pdf.  </w:t>
      </w:r>
      <w:r w:rsidRPr="00D57FB3">
        <w:rPr>
          <w:rFonts w:ascii="Arial" w:hAnsi="Arial" w:cs="Arial"/>
          <w:i/>
        </w:rPr>
        <w:t xml:space="preserve">See also http://www.puco.ohio.gov/emplibrary/files/util/MktMonitoringElecCustSwitchRates/SWITCH%20RATES%20SALES/2011/4Q2011.pdf.  </w:t>
      </w:r>
      <w:r w:rsidRPr="00D57FB3">
        <w:rPr>
          <w:rFonts w:ascii="Arial" w:hAnsi="Arial" w:cs="Arial"/>
        </w:rPr>
        <w:t>Moreover, for June 1, 2011 to December 31, 201</w:t>
      </w:r>
      <w:r>
        <w:rPr>
          <w:rFonts w:ascii="Arial" w:hAnsi="Arial" w:cs="Arial"/>
        </w:rPr>
        <w:t xml:space="preserve">1, AEP-Ohio received compensation from CRES providers equivalent to </w:t>
      </w:r>
      <w:r w:rsidRPr="00D57FB3">
        <w:rPr>
          <w:rFonts w:ascii="Arial" w:hAnsi="Arial" w:cs="Arial"/>
        </w:rPr>
        <w:t>$220 per megawatt day</w:t>
      </w:r>
      <w:r>
        <w:rPr>
          <w:rFonts w:ascii="Arial" w:hAnsi="Arial" w:cs="Arial"/>
        </w:rPr>
        <w:t xml:space="preserve"> for capacity service</w:t>
      </w:r>
      <w:r w:rsidRPr="00D57FB3">
        <w:rPr>
          <w:rFonts w:ascii="Arial" w:hAnsi="Arial" w:cs="Arial"/>
        </w:rPr>
        <w:t xml:space="preserve">.  Capacity Case Order at 10. </w:t>
      </w:r>
    </w:p>
  </w:footnote>
  <w:footnote w:id="56">
    <w:p w:rsidR="000D6ED1" w:rsidRPr="00CC51FD" w:rsidRDefault="000D6ED1" w:rsidP="00E92ABC">
      <w:pPr>
        <w:pStyle w:val="FootnoteText"/>
        <w:spacing w:after="120"/>
        <w:rPr>
          <w:rFonts w:ascii="Arial" w:hAnsi="Arial" w:cs="Arial"/>
        </w:rPr>
      </w:pPr>
      <w:r w:rsidRPr="00CC51FD">
        <w:rPr>
          <w:rStyle w:val="FootnoteReference"/>
          <w:rFonts w:ascii="Arial" w:hAnsi="Arial" w:cs="Arial"/>
        </w:rPr>
        <w:footnoteRef/>
      </w:r>
      <w:r w:rsidRPr="00CC51FD">
        <w:rPr>
          <w:rFonts w:ascii="Arial" w:hAnsi="Arial" w:cs="Arial"/>
        </w:rPr>
        <w:t xml:space="preserve"> IEU-Ohio Ex. 8</w:t>
      </w:r>
      <w:r>
        <w:rPr>
          <w:rFonts w:ascii="Arial" w:hAnsi="Arial" w:cs="Arial"/>
        </w:rPr>
        <w:t xml:space="preserve"> </w:t>
      </w:r>
      <w:r w:rsidRPr="00CC51FD">
        <w:rPr>
          <w:rFonts w:ascii="Arial" w:hAnsi="Arial" w:cs="Arial"/>
        </w:rPr>
        <w:t>&amp;</w:t>
      </w:r>
      <w:r>
        <w:rPr>
          <w:rFonts w:ascii="Arial" w:hAnsi="Arial" w:cs="Arial"/>
        </w:rPr>
        <w:t xml:space="preserve"> </w:t>
      </w:r>
      <w:r w:rsidRPr="00CC51FD">
        <w:rPr>
          <w:rFonts w:ascii="Arial" w:hAnsi="Arial" w:cs="Arial"/>
        </w:rPr>
        <w:t>9.</w:t>
      </w:r>
    </w:p>
  </w:footnote>
  <w:footnote w:id="57">
    <w:p w:rsidR="000D6ED1" w:rsidRPr="00C53485" w:rsidRDefault="000D6ED1" w:rsidP="00E92ABC">
      <w:pPr>
        <w:pStyle w:val="FootnoteText"/>
        <w:spacing w:after="120"/>
        <w:rPr>
          <w:rFonts w:ascii="Arial" w:hAnsi="Arial" w:cs="Arial"/>
        </w:rPr>
      </w:pPr>
      <w:r w:rsidRPr="00CC51FD">
        <w:rPr>
          <w:rStyle w:val="FootnoteReference"/>
          <w:rFonts w:ascii="Arial" w:hAnsi="Arial" w:cs="Arial"/>
        </w:rPr>
        <w:footnoteRef/>
      </w:r>
      <w:r w:rsidRPr="00CC51FD">
        <w:rPr>
          <w:rFonts w:ascii="Arial" w:hAnsi="Arial" w:cs="Arial"/>
        </w:rPr>
        <w:t xml:space="preserve"> IEU-Ohio Ex. 7.  </w:t>
      </w:r>
      <w:r w:rsidRPr="00CC51FD">
        <w:rPr>
          <w:rFonts w:ascii="Arial" w:hAnsi="Arial" w:cs="Arial"/>
          <w:i/>
        </w:rPr>
        <w:t xml:space="preserve">See also </w:t>
      </w:r>
      <w:r w:rsidRPr="00CC51FD">
        <w:rPr>
          <w:rFonts w:ascii="Arial" w:hAnsi="Arial" w:cs="Arial"/>
        </w:rPr>
        <w:t>Capacity</w:t>
      </w:r>
      <w:r w:rsidRPr="00C53485">
        <w:rPr>
          <w:rFonts w:ascii="Arial" w:hAnsi="Arial" w:cs="Arial"/>
        </w:rPr>
        <w:t xml:space="preserve"> Case Order at 24-25.</w:t>
      </w:r>
    </w:p>
  </w:footnote>
  <w:footnote w:id="58">
    <w:p w:rsidR="000D6ED1" w:rsidRPr="006E6522" w:rsidRDefault="000D6ED1" w:rsidP="006E6522">
      <w:pPr>
        <w:pStyle w:val="FootnoteText"/>
        <w:spacing w:after="120"/>
        <w:jc w:val="both"/>
        <w:rPr>
          <w:rFonts w:ascii="Arial" w:hAnsi="Arial" w:cs="Arial"/>
        </w:rPr>
      </w:pPr>
      <w:r w:rsidRPr="00CC51FD">
        <w:rPr>
          <w:rStyle w:val="FootnoteReference"/>
          <w:rFonts w:ascii="Arial" w:hAnsi="Arial" w:cs="Arial"/>
        </w:rPr>
        <w:footnoteRef/>
      </w:r>
      <w:r w:rsidRPr="00CC51FD">
        <w:rPr>
          <w:rFonts w:ascii="Arial" w:hAnsi="Arial" w:cs="Arial"/>
        </w:rPr>
        <w:t xml:space="preserve"> IEU-Ohio Ex. 7 at KDP-3, p. 14, column 2, line 11</w:t>
      </w:r>
      <w:r>
        <w:rPr>
          <w:rFonts w:ascii="Arial" w:hAnsi="Arial" w:cs="Arial"/>
        </w:rPr>
        <w:t xml:space="preserve">; </w:t>
      </w:r>
      <w:r w:rsidRPr="00CC51FD">
        <w:rPr>
          <w:rFonts w:ascii="Arial" w:hAnsi="Arial" w:cs="Arial"/>
        </w:rPr>
        <w:t xml:space="preserve">IEU-Ohio Ex. 7 </w:t>
      </w:r>
      <w:r>
        <w:rPr>
          <w:rFonts w:ascii="Arial" w:hAnsi="Arial" w:cs="Arial"/>
        </w:rPr>
        <w:t xml:space="preserve">KPD-4, p. 14, column 2, line 11; </w:t>
      </w:r>
      <w:r w:rsidRPr="00CC51FD">
        <w:rPr>
          <w:rFonts w:ascii="Arial" w:hAnsi="Arial" w:cs="Arial"/>
        </w:rPr>
        <w:t>IEU-Ohio Exhibit 9 at 326-327, Line 1</w:t>
      </w:r>
      <w:r>
        <w:rPr>
          <w:rFonts w:ascii="Arial" w:hAnsi="Arial" w:cs="Arial"/>
        </w:rPr>
        <w:t>;</w:t>
      </w:r>
      <w:r w:rsidRPr="00CC51FD">
        <w:rPr>
          <w:rFonts w:ascii="Arial" w:hAnsi="Arial" w:cs="Arial"/>
        </w:rPr>
        <w:t xml:space="preserve"> IEU-Ohio Exhibit 9 at 326.3-327.3</w:t>
      </w:r>
      <w:r>
        <w:rPr>
          <w:rFonts w:ascii="Arial" w:hAnsi="Arial" w:cs="Arial"/>
        </w:rPr>
        <w:t xml:space="preserve">, Line 2; </w:t>
      </w:r>
      <w:r w:rsidRPr="00CC51FD">
        <w:rPr>
          <w:rFonts w:ascii="Arial" w:hAnsi="Arial" w:cs="Arial"/>
        </w:rPr>
        <w:t>IEU-Ohio Ex. 8 at 326.3-327.3</w:t>
      </w:r>
      <w:r>
        <w:rPr>
          <w:rFonts w:ascii="Arial" w:hAnsi="Arial" w:cs="Arial"/>
        </w:rPr>
        <w:t>, Line 2</w:t>
      </w:r>
      <w:r w:rsidRPr="00CC51FD">
        <w:rPr>
          <w:rFonts w:ascii="Arial" w:hAnsi="Arial" w:cs="Arial"/>
        </w:rPr>
        <w:t>.</w:t>
      </w:r>
    </w:p>
  </w:footnote>
  <w:footnote w:id="59">
    <w:p w:rsidR="000D6ED1" w:rsidRPr="0041785B" w:rsidRDefault="000D6ED1" w:rsidP="00DE46DF">
      <w:pPr>
        <w:pStyle w:val="FootnoteText"/>
        <w:spacing w:after="120"/>
        <w:jc w:val="both"/>
        <w:rPr>
          <w:rFonts w:ascii="Arial" w:hAnsi="Arial" w:cs="Arial"/>
        </w:rPr>
      </w:pPr>
      <w:r w:rsidRPr="0041785B">
        <w:rPr>
          <w:rStyle w:val="FootnoteReference"/>
          <w:rFonts w:ascii="Arial" w:hAnsi="Arial" w:cs="Arial"/>
        </w:rPr>
        <w:footnoteRef/>
      </w:r>
      <w:r w:rsidRPr="0041785B">
        <w:rPr>
          <w:rFonts w:ascii="Arial" w:hAnsi="Arial" w:cs="Arial"/>
        </w:rPr>
        <w:t xml:space="preserve"> Capacity Case Order at 25-30; 33-36.  The Commission relied on EVA witness Smith, one of the auditors in this proceeding, to calculate the energy credit.</w:t>
      </w:r>
    </w:p>
  </w:footnote>
  <w:footnote w:id="60">
    <w:p w:rsidR="000D6ED1" w:rsidRPr="006E6522" w:rsidRDefault="000D6ED1" w:rsidP="00545A15">
      <w:pPr>
        <w:pStyle w:val="FootnoteText"/>
        <w:spacing w:after="120"/>
        <w:rPr>
          <w:rFonts w:ascii="Arial" w:hAnsi="Arial" w:cs="Arial"/>
          <w:i/>
        </w:rPr>
      </w:pPr>
      <w:r w:rsidRPr="006E6522">
        <w:rPr>
          <w:rStyle w:val="FootnoteReference"/>
          <w:rFonts w:ascii="Arial" w:hAnsi="Arial" w:cs="Arial"/>
        </w:rPr>
        <w:footnoteRef/>
      </w:r>
      <w:r w:rsidRPr="006E6522">
        <w:rPr>
          <w:rFonts w:ascii="Arial" w:hAnsi="Arial" w:cs="Arial"/>
        </w:rPr>
        <w:t xml:space="preserve"> </w:t>
      </w:r>
      <w:r w:rsidRPr="006E6522">
        <w:rPr>
          <w:rFonts w:ascii="Arial" w:hAnsi="Arial" w:cs="Arial"/>
          <w:i/>
        </w:rPr>
        <w:t xml:space="preserve">Id. </w:t>
      </w:r>
    </w:p>
  </w:footnote>
  <w:footnote w:id="61">
    <w:p w:rsidR="000D6ED1" w:rsidRPr="00C47F92" w:rsidRDefault="000D6ED1" w:rsidP="00545A15">
      <w:pPr>
        <w:pStyle w:val="FootnoteText"/>
        <w:spacing w:after="120"/>
        <w:rPr>
          <w:rFonts w:ascii="Arial" w:hAnsi="Arial" w:cs="Arial"/>
        </w:rPr>
      </w:pPr>
      <w:r w:rsidRPr="00C47F92">
        <w:rPr>
          <w:rStyle w:val="FootnoteReference"/>
          <w:rFonts w:ascii="Arial" w:hAnsi="Arial" w:cs="Arial"/>
        </w:rPr>
        <w:footnoteRef/>
      </w:r>
      <w:r w:rsidRPr="00C47F92">
        <w:rPr>
          <w:rFonts w:ascii="Arial" w:hAnsi="Arial" w:cs="Arial"/>
        </w:rPr>
        <w:t xml:space="preserve"> IEU-Ohio Ex. 1-6</w:t>
      </w:r>
      <w:r>
        <w:rPr>
          <w:rFonts w:ascii="Arial" w:hAnsi="Arial" w:cs="Arial"/>
        </w:rPr>
        <w:t>.</w:t>
      </w:r>
    </w:p>
  </w:footnote>
  <w:footnote w:id="62">
    <w:p w:rsidR="000D6ED1" w:rsidRPr="0041785B" w:rsidRDefault="000D6ED1" w:rsidP="00DE46DF">
      <w:pPr>
        <w:pStyle w:val="FootnoteText"/>
        <w:spacing w:after="120"/>
        <w:jc w:val="both"/>
        <w:rPr>
          <w:rFonts w:ascii="Arial" w:hAnsi="Arial" w:cs="Arial"/>
        </w:rPr>
      </w:pPr>
      <w:r w:rsidRPr="0041785B">
        <w:rPr>
          <w:rStyle w:val="FootnoteReference"/>
          <w:rFonts w:ascii="Arial" w:hAnsi="Arial" w:cs="Arial"/>
        </w:rPr>
        <w:footnoteRef/>
      </w:r>
      <w:r w:rsidRPr="0041785B">
        <w:rPr>
          <w:rFonts w:ascii="Arial" w:hAnsi="Arial" w:cs="Arial"/>
        </w:rPr>
        <w:t xml:space="preserve"> IEU-Ohio Ex. 7 at </w:t>
      </w:r>
      <w:r>
        <w:rPr>
          <w:rFonts w:ascii="Arial" w:hAnsi="Arial" w:cs="Arial"/>
        </w:rPr>
        <w:t>KDP-3, Page 2.</w:t>
      </w:r>
    </w:p>
  </w:footnote>
  <w:footnote w:id="63">
    <w:p w:rsidR="000D6ED1" w:rsidRPr="0041785B" w:rsidRDefault="000D6ED1" w:rsidP="00DE46DF">
      <w:pPr>
        <w:pStyle w:val="FootnoteText"/>
        <w:spacing w:after="120"/>
        <w:jc w:val="both"/>
        <w:rPr>
          <w:rFonts w:ascii="Arial" w:hAnsi="Arial" w:cs="Arial"/>
        </w:rPr>
      </w:pPr>
      <w:r w:rsidRPr="0041785B">
        <w:rPr>
          <w:rStyle w:val="FootnoteReference"/>
          <w:rFonts w:ascii="Arial" w:hAnsi="Arial" w:cs="Arial"/>
        </w:rPr>
        <w:footnoteRef/>
      </w:r>
      <w:r w:rsidRPr="0041785B">
        <w:rPr>
          <w:rFonts w:ascii="Arial" w:hAnsi="Arial" w:cs="Arial"/>
        </w:rPr>
        <w:t xml:space="preserve"> IEU-Ohio Ex. 7 at KDP-3, Page 4 (Line 2).</w:t>
      </w:r>
    </w:p>
  </w:footnote>
  <w:footnote w:id="64">
    <w:p w:rsidR="000D6ED1" w:rsidRPr="00490794" w:rsidRDefault="000D6ED1" w:rsidP="00DE46DF">
      <w:pPr>
        <w:pStyle w:val="FootnoteText"/>
        <w:spacing w:after="120"/>
        <w:jc w:val="both"/>
        <w:rPr>
          <w:rFonts w:ascii="Arial" w:hAnsi="Arial" w:cs="Arial"/>
        </w:rPr>
      </w:pPr>
      <w:r w:rsidRPr="00490794">
        <w:rPr>
          <w:rStyle w:val="FootnoteReference"/>
          <w:rFonts w:ascii="Arial" w:hAnsi="Arial" w:cs="Arial"/>
        </w:rPr>
        <w:footnoteRef/>
      </w:r>
      <w:r w:rsidRPr="00490794">
        <w:rPr>
          <w:rFonts w:ascii="Arial" w:hAnsi="Arial" w:cs="Arial"/>
        </w:rPr>
        <w:t xml:space="preserve"> </w:t>
      </w:r>
      <w:r>
        <w:rPr>
          <w:rFonts w:ascii="Arial" w:hAnsi="Arial" w:cs="Arial"/>
        </w:rPr>
        <w:t xml:space="preserve">IEU-Ohio Ex. 7 at </w:t>
      </w:r>
      <w:r w:rsidRPr="00490794">
        <w:rPr>
          <w:rFonts w:ascii="Arial" w:hAnsi="Arial" w:cs="Arial"/>
        </w:rPr>
        <w:t xml:space="preserve">KDP-3, Page 14 (Line 11, Column 2).  </w:t>
      </w:r>
    </w:p>
  </w:footnote>
  <w:footnote w:id="65">
    <w:p w:rsidR="000D6ED1" w:rsidRPr="00490794" w:rsidRDefault="000D6ED1" w:rsidP="00DE46DF">
      <w:pPr>
        <w:pStyle w:val="FootnoteText"/>
        <w:spacing w:after="120"/>
        <w:jc w:val="both"/>
        <w:rPr>
          <w:rFonts w:ascii="Arial" w:hAnsi="Arial" w:cs="Arial"/>
        </w:rPr>
      </w:pPr>
      <w:r w:rsidRPr="00490794">
        <w:rPr>
          <w:rStyle w:val="FootnoteReference"/>
          <w:rFonts w:ascii="Arial" w:hAnsi="Arial" w:cs="Arial"/>
        </w:rPr>
        <w:footnoteRef/>
      </w:r>
      <w:r w:rsidRPr="00490794">
        <w:rPr>
          <w:rFonts w:ascii="Arial" w:hAnsi="Arial" w:cs="Arial"/>
        </w:rPr>
        <w:t xml:space="preserve"> IEU-Ohio Exhibit 9 at 326-327, Line 1</w:t>
      </w:r>
      <w:r>
        <w:rPr>
          <w:rFonts w:ascii="Arial" w:hAnsi="Arial" w:cs="Arial"/>
        </w:rPr>
        <w:t>.</w:t>
      </w:r>
    </w:p>
  </w:footnote>
  <w:footnote w:id="66">
    <w:p w:rsidR="000D6ED1" w:rsidRPr="00490794" w:rsidRDefault="000D6ED1" w:rsidP="00DE46DF">
      <w:pPr>
        <w:pStyle w:val="FootnoteText"/>
        <w:spacing w:after="120"/>
        <w:jc w:val="both"/>
        <w:rPr>
          <w:rFonts w:ascii="Arial" w:hAnsi="Arial" w:cs="Arial"/>
        </w:rPr>
      </w:pPr>
      <w:r w:rsidRPr="00490794">
        <w:rPr>
          <w:rStyle w:val="FootnoteReference"/>
          <w:rFonts w:ascii="Arial" w:hAnsi="Arial" w:cs="Arial"/>
        </w:rPr>
        <w:footnoteRef/>
      </w:r>
      <w:r w:rsidRPr="00490794">
        <w:rPr>
          <w:rFonts w:ascii="Arial" w:hAnsi="Arial" w:cs="Arial"/>
        </w:rPr>
        <w:t xml:space="preserve"> </w:t>
      </w:r>
      <w:r>
        <w:rPr>
          <w:rFonts w:ascii="Arial" w:hAnsi="Arial" w:cs="Arial"/>
        </w:rPr>
        <w:t>IEU-Ohio Exhibit 9 at 326.3-327.</w:t>
      </w:r>
      <w:r w:rsidRPr="00490794">
        <w:rPr>
          <w:rFonts w:ascii="Arial" w:hAnsi="Arial" w:cs="Arial"/>
        </w:rPr>
        <w:t>3</w:t>
      </w:r>
      <w:r>
        <w:rPr>
          <w:rFonts w:ascii="Arial" w:hAnsi="Arial" w:cs="Arial"/>
        </w:rPr>
        <w:t>.</w:t>
      </w:r>
    </w:p>
  </w:footnote>
  <w:footnote w:id="67">
    <w:p w:rsidR="000D6ED1" w:rsidRPr="005545E1" w:rsidRDefault="000D6ED1" w:rsidP="00545A15">
      <w:pPr>
        <w:pStyle w:val="FootnoteText"/>
        <w:spacing w:after="120"/>
        <w:jc w:val="both"/>
        <w:rPr>
          <w:rFonts w:ascii="Arial" w:hAnsi="Arial" w:cs="Arial"/>
        </w:rPr>
      </w:pPr>
      <w:r w:rsidRPr="00490794">
        <w:rPr>
          <w:rStyle w:val="FootnoteReference"/>
          <w:rFonts w:ascii="Arial" w:hAnsi="Arial" w:cs="Arial"/>
        </w:rPr>
        <w:footnoteRef/>
      </w:r>
      <w:r>
        <w:rPr>
          <w:rFonts w:ascii="Arial" w:hAnsi="Arial" w:cs="Arial"/>
        </w:rPr>
        <w:t xml:space="preserve"> IEU-Ohio Ex. 1. CSP</w:t>
      </w:r>
      <w:r w:rsidRPr="00490794">
        <w:rPr>
          <w:rFonts w:ascii="Arial" w:hAnsi="Arial" w:cs="Arial"/>
        </w:rPr>
        <w:t>’s response may marginally overstat</w:t>
      </w:r>
      <w:r>
        <w:rPr>
          <w:rFonts w:ascii="Arial" w:hAnsi="Arial" w:cs="Arial"/>
        </w:rPr>
        <w:t>e the amount of non-fuel costs AEP-Ohio recovered through the FAC, as CSP</w:t>
      </w:r>
      <w:r w:rsidRPr="00490794">
        <w:rPr>
          <w:rFonts w:ascii="Arial" w:hAnsi="Arial" w:cs="Arial"/>
        </w:rPr>
        <w:t xml:space="preserve"> allocated operation and maintenance expenses and taxes between SSO and non-SSO sales.  </w:t>
      </w:r>
      <w:r w:rsidRPr="00490794">
        <w:rPr>
          <w:rFonts w:ascii="Arial" w:hAnsi="Arial" w:cs="Arial"/>
          <w:i/>
        </w:rPr>
        <w:t xml:space="preserve">See </w:t>
      </w:r>
      <w:r w:rsidRPr="00490794">
        <w:rPr>
          <w:rFonts w:ascii="Arial" w:hAnsi="Arial" w:cs="Arial"/>
        </w:rPr>
        <w:t>IEU-Ohio Ex. 2</w:t>
      </w:r>
      <w:r>
        <w:rPr>
          <w:rFonts w:ascii="Arial" w:hAnsi="Arial" w:cs="Arial"/>
        </w:rPr>
        <w:t>; IEU-Ohio Ex. 4</w:t>
      </w:r>
      <w:r w:rsidRPr="00490794">
        <w:rPr>
          <w:rFonts w:ascii="Arial" w:hAnsi="Arial" w:cs="Arial"/>
        </w:rPr>
        <w:t>.  This allocation, however, only affects accounts 5550046, 5500586, and 5550087 and reduces the amount of these accounts allocated</w:t>
      </w:r>
      <w:r>
        <w:rPr>
          <w:rFonts w:ascii="Arial" w:hAnsi="Arial" w:cs="Arial"/>
        </w:rPr>
        <w:t xml:space="preserve"> to the FAC by approximately 12 percent</w:t>
      </w:r>
      <w:r w:rsidRPr="00490794">
        <w:rPr>
          <w:rFonts w:ascii="Arial" w:hAnsi="Arial" w:cs="Arial"/>
        </w:rPr>
        <w:t>.</w:t>
      </w:r>
      <w:r>
        <w:rPr>
          <w:rFonts w:ascii="Arial" w:hAnsi="Arial" w:cs="Arial"/>
        </w:rPr>
        <w:t xml:space="preserve">  IEU-Ohio Ex. 13 at 1-2 to 1-5; IEU-Ohio Ex. 2 and 4.  The allocation process does not impact the $36 million in depreciation and capacity costs that CSP allocated to the FAC.  Tr. at 134.  In total, CSP allocated approximately $58 million to the FAC related to Lawrenceburg for each year.  IEU-Ohio Ex. 1 and 3.  </w:t>
      </w:r>
      <w:r>
        <w:rPr>
          <w:rFonts w:ascii="Arial" w:hAnsi="Arial" w:cs="Arial"/>
          <w:i/>
        </w:rPr>
        <w:t xml:space="preserve">See also </w:t>
      </w:r>
      <w:r>
        <w:rPr>
          <w:rFonts w:ascii="Arial" w:hAnsi="Arial" w:cs="Arial"/>
        </w:rPr>
        <w:t xml:space="preserve">IEU-Ohio Ex. 13 at 1-2 to 1-5. </w:t>
      </w:r>
    </w:p>
  </w:footnote>
  <w:footnote w:id="68">
    <w:p w:rsidR="000D6ED1" w:rsidRPr="00490794" w:rsidRDefault="000D6ED1" w:rsidP="00DE46DF">
      <w:pPr>
        <w:pStyle w:val="FootnoteText"/>
        <w:spacing w:after="120"/>
        <w:jc w:val="both"/>
        <w:rPr>
          <w:rFonts w:ascii="Arial" w:hAnsi="Arial" w:cs="Arial"/>
        </w:rPr>
      </w:pPr>
      <w:r w:rsidRPr="00490794">
        <w:rPr>
          <w:rStyle w:val="FootnoteReference"/>
          <w:rFonts w:ascii="Arial" w:hAnsi="Arial" w:cs="Arial"/>
        </w:rPr>
        <w:footnoteRef/>
      </w:r>
      <w:r w:rsidRPr="00490794">
        <w:rPr>
          <w:rFonts w:ascii="Arial" w:hAnsi="Arial" w:cs="Arial"/>
        </w:rPr>
        <w:t xml:space="preserve"> IEU-Ohio Ex. 5.</w:t>
      </w:r>
    </w:p>
  </w:footnote>
  <w:footnote w:id="69">
    <w:p w:rsidR="000D6ED1" w:rsidRPr="00490794" w:rsidRDefault="000D6ED1" w:rsidP="00DE46DF">
      <w:pPr>
        <w:pStyle w:val="FootnoteText"/>
        <w:spacing w:after="120"/>
        <w:jc w:val="both"/>
        <w:rPr>
          <w:rFonts w:ascii="Arial" w:hAnsi="Arial" w:cs="Arial"/>
        </w:rPr>
      </w:pPr>
      <w:r w:rsidRPr="00490794">
        <w:rPr>
          <w:rStyle w:val="FootnoteReference"/>
          <w:rFonts w:ascii="Arial" w:hAnsi="Arial" w:cs="Arial"/>
        </w:rPr>
        <w:footnoteRef/>
      </w:r>
      <w:r w:rsidRPr="00490794">
        <w:rPr>
          <w:rFonts w:ascii="Arial" w:hAnsi="Arial" w:cs="Arial"/>
        </w:rPr>
        <w:t xml:space="preserve"> </w:t>
      </w:r>
      <w:r>
        <w:rPr>
          <w:rFonts w:ascii="Arial" w:hAnsi="Arial" w:cs="Arial"/>
        </w:rPr>
        <w:t>IEU-Ohio Ex. 7 at KDP-4, Page 2.</w:t>
      </w:r>
    </w:p>
  </w:footnote>
  <w:footnote w:id="70">
    <w:p w:rsidR="000D6ED1" w:rsidRPr="00490794" w:rsidRDefault="000D6ED1" w:rsidP="00DE46DF">
      <w:pPr>
        <w:pStyle w:val="FootnoteText"/>
        <w:spacing w:after="120"/>
        <w:jc w:val="both"/>
        <w:rPr>
          <w:rFonts w:ascii="Arial" w:hAnsi="Arial" w:cs="Arial"/>
        </w:rPr>
      </w:pPr>
      <w:r w:rsidRPr="00490794">
        <w:rPr>
          <w:rStyle w:val="FootnoteReference"/>
          <w:rFonts w:ascii="Arial" w:hAnsi="Arial" w:cs="Arial"/>
        </w:rPr>
        <w:footnoteRef/>
      </w:r>
      <w:r w:rsidRPr="00490794">
        <w:rPr>
          <w:rFonts w:ascii="Arial" w:hAnsi="Arial" w:cs="Arial"/>
        </w:rPr>
        <w:t xml:space="preserve"> IEU-Ohio Ex. 7, KDP-4, Page 4 (Line 2).  </w:t>
      </w:r>
    </w:p>
  </w:footnote>
  <w:footnote w:id="71">
    <w:p w:rsidR="000D6ED1" w:rsidRPr="00490794" w:rsidRDefault="000D6ED1" w:rsidP="00DE46DF">
      <w:pPr>
        <w:pStyle w:val="FootnoteText"/>
        <w:spacing w:after="120"/>
        <w:jc w:val="both"/>
        <w:rPr>
          <w:rFonts w:ascii="Arial" w:hAnsi="Arial" w:cs="Arial"/>
        </w:rPr>
      </w:pPr>
      <w:r w:rsidRPr="00490794">
        <w:rPr>
          <w:rStyle w:val="FootnoteReference"/>
          <w:rFonts w:ascii="Arial" w:hAnsi="Arial" w:cs="Arial"/>
        </w:rPr>
        <w:footnoteRef/>
      </w:r>
      <w:r w:rsidRPr="00490794">
        <w:rPr>
          <w:rFonts w:ascii="Arial" w:hAnsi="Arial" w:cs="Arial"/>
        </w:rPr>
        <w:t xml:space="preserve"> IEU-Ohio Ex. 7, KDP-4, Page 14 (Line 11, Column 2).  </w:t>
      </w:r>
    </w:p>
  </w:footnote>
  <w:footnote w:id="72">
    <w:p w:rsidR="000D6ED1" w:rsidRPr="00490794" w:rsidRDefault="000D6ED1" w:rsidP="00DE46DF">
      <w:pPr>
        <w:pStyle w:val="FootnoteText"/>
        <w:spacing w:after="120"/>
        <w:jc w:val="both"/>
        <w:rPr>
          <w:rFonts w:ascii="Arial" w:hAnsi="Arial" w:cs="Arial"/>
        </w:rPr>
      </w:pPr>
      <w:r w:rsidRPr="00490794">
        <w:rPr>
          <w:rStyle w:val="FootnoteReference"/>
          <w:rFonts w:ascii="Arial" w:hAnsi="Arial" w:cs="Arial"/>
        </w:rPr>
        <w:footnoteRef/>
      </w:r>
      <w:r>
        <w:rPr>
          <w:rFonts w:ascii="Arial" w:hAnsi="Arial" w:cs="Arial"/>
        </w:rPr>
        <w:t xml:space="preserve"> IEU-Ohio Ex. 8 at 326.3-327.3</w:t>
      </w:r>
      <w:r w:rsidRPr="00490794">
        <w:rPr>
          <w:rFonts w:ascii="Arial" w:hAnsi="Arial" w:cs="Arial"/>
        </w:rPr>
        <w:t>.</w:t>
      </w:r>
    </w:p>
  </w:footnote>
  <w:footnote w:id="73">
    <w:p w:rsidR="000D6ED1" w:rsidRPr="00041FCA" w:rsidRDefault="000D6ED1" w:rsidP="000533B1">
      <w:pPr>
        <w:spacing w:after="120"/>
        <w:jc w:val="both"/>
        <w:rPr>
          <w:rFonts w:ascii="Arial" w:hAnsi="Arial" w:cs="Arial"/>
          <w:color w:val="000000"/>
          <w:sz w:val="20"/>
          <w:szCs w:val="20"/>
        </w:rPr>
      </w:pPr>
      <w:r w:rsidRPr="006E6522">
        <w:rPr>
          <w:rStyle w:val="FootnoteReference"/>
          <w:rFonts w:ascii="Arial" w:hAnsi="Arial" w:cs="Arial"/>
          <w:sz w:val="20"/>
          <w:szCs w:val="20"/>
        </w:rPr>
        <w:footnoteRef/>
      </w:r>
      <w:r w:rsidRPr="006E6522">
        <w:rPr>
          <w:rFonts w:ascii="Arial" w:hAnsi="Arial" w:cs="Arial"/>
          <w:sz w:val="20"/>
          <w:szCs w:val="20"/>
        </w:rPr>
        <w:t xml:space="preserve"> IEU-Ohio Ex. 5.  The difference between the FAC recovery and capacity formula is related to OPCo’s allocation of purchase</w:t>
      </w:r>
      <w:r>
        <w:rPr>
          <w:rFonts w:ascii="Arial" w:hAnsi="Arial" w:cs="Arial"/>
          <w:sz w:val="20"/>
          <w:szCs w:val="20"/>
        </w:rPr>
        <w:t>d</w:t>
      </w:r>
      <w:r w:rsidRPr="006E6522">
        <w:rPr>
          <w:rFonts w:ascii="Arial" w:hAnsi="Arial" w:cs="Arial"/>
          <w:sz w:val="20"/>
          <w:szCs w:val="20"/>
        </w:rPr>
        <w:t xml:space="preserve"> power costs to Wheeling Power.</w:t>
      </w:r>
      <w:r>
        <w:rPr>
          <w:rFonts w:ascii="Arial" w:hAnsi="Arial" w:cs="Arial"/>
          <w:sz w:val="20"/>
          <w:szCs w:val="20"/>
        </w:rPr>
        <w:t xml:space="preserve">  Tr. at 179.</w:t>
      </w:r>
      <w:r w:rsidRPr="006E6522">
        <w:rPr>
          <w:rFonts w:ascii="Arial" w:hAnsi="Arial" w:cs="Arial"/>
          <w:sz w:val="20"/>
          <w:szCs w:val="20"/>
        </w:rPr>
        <w:t xml:space="preserve">  AEP-Ohio recovered </w:t>
      </w:r>
      <w:r w:rsidRPr="006E6522">
        <w:rPr>
          <w:rFonts w:ascii="Arial" w:hAnsi="Arial" w:cs="Arial"/>
          <w:color w:val="000000"/>
          <w:sz w:val="20"/>
          <w:szCs w:val="20"/>
        </w:rPr>
        <w:t xml:space="preserve">$44,451,633 for OVEC through the FAC in 2011.  IEU-Ohio Ex. 6. </w:t>
      </w:r>
    </w:p>
  </w:footnote>
  <w:footnote w:id="74">
    <w:p w:rsidR="000D6ED1" w:rsidRPr="00AD40D1" w:rsidRDefault="000D6ED1" w:rsidP="002756BB">
      <w:pPr>
        <w:pStyle w:val="FootnoteText"/>
        <w:spacing w:after="120"/>
        <w:jc w:val="both"/>
        <w:rPr>
          <w:rFonts w:ascii="Arial" w:hAnsi="Arial" w:cs="Arial"/>
        </w:rPr>
      </w:pPr>
      <w:r w:rsidRPr="00AD40D1">
        <w:rPr>
          <w:rStyle w:val="FootnoteReference"/>
          <w:rFonts w:ascii="Arial" w:hAnsi="Arial" w:cs="Arial"/>
        </w:rPr>
        <w:footnoteRef/>
      </w:r>
      <w:r>
        <w:rPr>
          <w:rFonts w:ascii="Arial" w:hAnsi="Arial" w:cs="Arial"/>
        </w:rPr>
        <w:t xml:space="preserve"> OPCo allocated $42.5 million </w:t>
      </w:r>
      <w:r w:rsidRPr="00AD40D1">
        <w:rPr>
          <w:rFonts w:ascii="Arial" w:hAnsi="Arial" w:cs="Arial"/>
        </w:rPr>
        <w:t>in OVEC demand charges to the FAC</w:t>
      </w:r>
      <w:r>
        <w:rPr>
          <w:rFonts w:ascii="Arial" w:hAnsi="Arial" w:cs="Arial"/>
        </w:rPr>
        <w:t xml:space="preserve"> in 2010 and $44.5 million in 2012</w:t>
      </w:r>
      <w:r w:rsidRPr="00AD40D1">
        <w:rPr>
          <w:rFonts w:ascii="Arial" w:hAnsi="Arial" w:cs="Arial"/>
        </w:rPr>
        <w:t>.</w:t>
      </w:r>
      <w:r>
        <w:rPr>
          <w:rFonts w:ascii="Arial" w:hAnsi="Arial" w:cs="Arial"/>
        </w:rPr>
        <w:t xml:space="preserve">  IEU-Ohio Ex. 5 and 6. </w:t>
      </w:r>
    </w:p>
  </w:footnote>
  <w:footnote w:id="75">
    <w:p w:rsidR="000D6ED1" w:rsidRPr="004B3BCB" w:rsidRDefault="000D6ED1" w:rsidP="004B3BCB">
      <w:pPr>
        <w:pStyle w:val="FootnoteText"/>
        <w:spacing w:after="120"/>
        <w:jc w:val="both"/>
        <w:rPr>
          <w:rFonts w:ascii="Arial" w:hAnsi="Arial" w:cs="Arial"/>
          <w:i/>
        </w:rPr>
      </w:pPr>
      <w:r w:rsidRPr="00AD40D1">
        <w:rPr>
          <w:rStyle w:val="FootnoteReference"/>
          <w:rFonts w:ascii="Arial" w:hAnsi="Arial" w:cs="Arial"/>
        </w:rPr>
        <w:footnoteRef/>
      </w:r>
      <w:r w:rsidRPr="00AD40D1">
        <w:rPr>
          <w:rFonts w:ascii="Arial" w:hAnsi="Arial" w:cs="Arial"/>
        </w:rPr>
        <w:t xml:space="preserve"> </w:t>
      </w:r>
      <w:r w:rsidRPr="00AD40D1">
        <w:rPr>
          <w:rFonts w:ascii="Arial" w:hAnsi="Arial" w:cs="Arial"/>
          <w:i/>
        </w:rPr>
        <w:t>2009 FAC Case</w:t>
      </w:r>
      <w:r w:rsidRPr="00AD40D1">
        <w:rPr>
          <w:rFonts w:ascii="Arial" w:hAnsi="Arial" w:cs="Arial"/>
        </w:rPr>
        <w:t>, Entry on Rehearing at 9 (Apr. 11, 2012).</w:t>
      </w:r>
      <w:r>
        <w:rPr>
          <w:rFonts w:ascii="Arial" w:hAnsi="Arial" w:cs="Arial"/>
        </w:rPr>
        <w:t xml:space="preserve">  Carrying charges accrued at a debt rate for the period after the PIRR went into effect.</w:t>
      </w:r>
      <w:r w:rsidRPr="004B3BCB">
        <w:t xml:space="preserve"> </w:t>
      </w:r>
      <w:r w:rsidRPr="004B3BCB">
        <w:rPr>
          <w:rFonts w:ascii="Arial" w:hAnsi="Arial" w:cs="Arial"/>
          <w:i/>
        </w:rPr>
        <w:t>In the Matter of the Application of Columbus Southern Power Company for Approval of a Mechanism to Recover Deferred Fuel Costs Ordered Under Section 4928.144, Ohio Revised Code</w:t>
      </w:r>
      <w:r>
        <w:rPr>
          <w:rFonts w:ascii="Arial" w:hAnsi="Arial" w:cs="Arial"/>
        </w:rPr>
        <w:t xml:space="preserve">, Case Nos. 11-4920-EL-UNC, </w:t>
      </w:r>
      <w:r>
        <w:rPr>
          <w:rFonts w:ascii="Arial" w:hAnsi="Arial" w:cs="Arial"/>
          <w:i/>
        </w:rPr>
        <w:t>et al.</w:t>
      </w:r>
      <w:r>
        <w:rPr>
          <w:rFonts w:ascii="Arial" w:hAnsi="Arial" w:cs="Arial"/>
        </w:rPr>
        <w:t>, Finding and Order at 18 (Aug. 1, 2012).</w:t>
      </w:r>
      <w:r w:rsidRPr="004B3BCB">
        <w:rPr>
          <w:rFonts w:ascii="Arial" w:hAnsi="Arial" w:cs="Arial"/>
          <w:i/>
        </w:rPr>
        <w:t xml:space="preserve">  </w:t>
      </w:r>
    </w:p>
  </w:footnote>
  <w:footnote w:id="76">
    <w:p w:rsidR="000D6ED1" w:rsidRDefault="000D6ED1" w:rsidP="002756BB">
      <w:pPr>
        <w:pStyle w:val="FootnoteText"/>
        <w:spacing w:after="120"/>
      </w:pPr>
      <w:r w:rsidRPr="00EA3C07">
        <w:rPr>
          <w:rStyle w:val="FootnoteReference"/>
          <w:rFonts w:ascii="Arial" w:hAnsi="Arial" w:cs="Arial"/>
        </w:rPr>
        <w:footnoteRef/>
      </w:r>
      <w:r w:rsidRPr="00EA3C07">
        <w:rPr>
          <w:rFonts w:ascii="Arial" w:hAnsi="Arial" w:cs="Arial"/>
        </w:rPr>
        <w:t xml:space="preserve"> </w:t>
      </w:r>
      <w:r>
        <w:rPr>
          <w:rFonts w:ascii="Arial" w:hAnsi="Arial" w:cs="Arial"/>
        </w:rPr>
        <w:t>Tr. at 26, 129,</w:t>
      </w:r>
      <w:r w:rsidRPr="00EA3C07">
        <w:rPr>
          <w:rFonts w:ascii="Arial" w:hAnsi="Arial" w:cs="Arial"/>
        </w:rPr>
        <w:t xml:space="preserve"> 168-169.</w:t>
      </w:r>
    </w:p>
  </w:footnote>
  <w:footnote w:id="77">
    <w:p w:rsidR="000D6ED1" w:rsidRPr="00A57DE5" w:rsidRDefault="000D6ED1" w:rsidP="002756BB">
      <w:pPr>
        <w:pStyle w:val="FootnoteText"/>
        <w:spacing w:after="120"/>
        <w:rPr>
          <w:i/>
        </w:rPr>
      </w:pPr>
      <w:r w:rsidRPr="00A57DE5">
        <w:rPr>
          <w:rStyle w:val="FootnoteReference"/>
          <w:rFonts w:ascii="Arial" w:hAnsi="Arial" w:cs="Arial"/>
        </w:rPr>
        <w:footnoteRef/>
      </w:r>
      <w:r w:rsidRPr="00A57DE5">
        <w:rPr>
          <w:rFonts w:ascii="Arial" w:hAnsi="Arial" w:cs="Arial"/>
        </w:rPr>
        <w:t xml:space="preserve"> </w:t>
      </w:r>
      <w:r w:rsidRPr="00A57DE5">
        <w:rPr>
          <w:rFonts w:ascii="Arial" w:hAnsi="Arial" w:cs="Arial"/>
          <w:i/>
        </w:rPr>
        <w:t xml:space="preserve">Id. </w:t>
      </w:r>
    </w:p>
  </w:footnote>
  <w:footnote w:id="78">
    <w:p w:rsidR="000D6ED1" w:rsidRPr="001D261B" w:rsidRDefault="000D6ED1" w:rsidP="00282701">
      <w:pPr>
        <w:pStyle w:val="FootnoteText"/>
        <w:spacing w:after="120"/>
        <w:rPr>
          <w:rFonts w:ascii="Arial" w:hAnsi="Arial" w:cs="Arial"/>
        </w:rPr>
      </w:pPr>
      <w:r w:rsidRPr="001D261B">
        <w:rPr>
          <w:rStyle w:val="FootnoteReference"/>
          <w:rFonts w:ascii="Arial" w:hAnsi="Arial" w:cs="Arial"/>
        </w:rPr>
        <w:footnoteRef/>
      </w:r>
      <w:r w:rsidRPr="001D261B">
        <w:rPr>
          <w:rFonts w:ascii="Arial" w:hAnsi="Arial" w:cs="Arial"/>
        </w:rPr>
        <w:t xml:space="preserve"> Tr. at 173-174; Tr. at 138-139; IEU-Ohio Ex. 13</w:t>
      </w:r>
      <w:r>
        <w:rPr>
          <w:rFonts w:ascii="Arial" w:hAnsi="Arial" w:cs="Arial"/>
        </w:rPr>
        <w:t xml:space="preserve"> </w:t>
      </w:r>
      <w:r w:rsidRPr="001D261B">
        <w:rPr>
          <w:rFonts w:ascii="Arial" w:hAnsi="Arial" w:cs="Arial"/>
        </w:rPr>
        <w:t>at 1-11 &amp; 1-12.</w:t>
      </w:r>
    </w:p>
  </w:footnote>
  <w:footnote w:id="79">
    <w:p w:rsidR="000D6ED1" w:rsidRDefault="000D6ED1" w:rsidP="002756BB">
      <w:pPr>
        <w:pStyle w:val="FootnoteText"/>
        <w:spacing w:after="120"/>
      </w:pPr>
      <w:r w:rsidRPr="006B3757">
        <w:rPr>
          <w:rStyle w:val="FootnoteReference"/>
          <w:rFonts w:ascii="Arial" w:hAnsi="Arial" w:cs="Arial"/>
        </w:rPr>
        <w:footnoteRef/>
      </w:r>
      <w:r w:rsidRPr="006B3757">
        <w:rPr>
          <w:rFonts w:ascii="Arial" w:hAnsi="Arial" w:cs="Arial"/>
        </w:rPr>
        <w:t xml:space="preserve"> Tr. at 134,</w:t>
      </w:r>
      <w:r>
        <w:rPr>
          <w:rFonts w:ascii="Arial" w:hAnsi="Arial" w:cs="Arial"/>
        </w:rPr>
        <w:t xml:space="preserve"> </w:t>
      </w:r>
      <w:r w:rsidRPr="006B3757">
        <w:rPr>
          <w:rFonts w:ascii="Arial" w:hAnsi="Arial" w:cs="Arial"/>
        </w:rPr>
        <w:t xml:space="preserve">139.  </w:t>
      </w:r>
    </w:p>
  </w:footnote>
  <w:footnote w:id="80">
    <w:p w:rsidR="000D6ED1" w:rsidRPr="006B3757" w:rsidRDefault="000D6ED1" w:rsidP="002756BB">
      <w:pPr>
        <w:pStyle w:val="FootnoteText"/>
        <w:spacing w:after="120"/>
        <w:rPr>
          <w:rFonts w:ascii="Arial" w:hAnsi="Arial" w:cs="Arial"/>
        </w:rPr>
      </w:pPr>
      <w:r w:rsidRPr="006B3757">
        <w:rPr>
          <w:rStyle w:val="FootnoteReference"/>
          <w:rFonts w:ascii="Arial" w:hAnsi="Arial" w:cs="Arial"/>
        </w:rPr>
        <w:footnoteRef/>
      </w:r>
      <w:r w:rsidRPr="006B3757">
        <w:rPr>
          <w:rFonts w:ascii="Arial" w:hAnsi="Arial" w:cs="Arial"/>
        </w:rPr>
        <w:t xml:space="preserve"> Tr. at 134, 135, 137.</w:t>
      </w:r>
    </w:p>
  </w:footnote>
  <w:footnote w:id="81">
    <w:p w:rsidR="000D6ED1" w:rsidRDefault="000D6ED1" w:rsidP="00282701">
      <w:pPr>
        <w:pStyle w:val="FootnoteText"/>
        <w:spacing w:after="120"/>
        <w:jc w:val="both"/>
      </w:pPr>
      <w:r w:rsidRPr="006B3757">
        <w:rPr>
          <w:rStyle w:val="FootnoteReference"/>
          <w:rFonts w:ascii="Arial" w:hAnsi="Arial" w:cs="Arial"/>
        </w:rPr>
        <w:footnoteRef/>
      </w:r>
      <w:r w:rsidRPr="006B3757">
        <w:rPr>
          <w:rFonts w:ascii="Arial" w:hAnsi="Arial" w:cs="Arial"/>
        </w:rPr>
        <w:t xml:space="preserve"> </w:t>
      </w:r>
      <w:r w:rsidRPr="006B3757">
        <w:rPr>
          <w:rFonts w:ascii="Arial" w:hAnsi="Arial" w:cs="Arial"/>
          <w:i/>
        </w:rPr>
        <w:t>In the Matter of the Application of</w:t>
      </w:r>
      <w:r w:rsidRPr="001D261B">
        <w:rPr>
          <w:rFonts w:ascii="Arial" w:hAnsi="Arial" w:cs="Arial"/>
          <w:i/>
        </w:rPr>
        <w:t xml:space="preserve"> Ohio Power Company for Authority to Establish a Standard Service </w:t>
      </w:r>
      <w:r w:rsidRPr="006B3757">
        <w:rPr>
          <w:rFonts w:ascii="Arial" w:hAnsi="Arial" w:cs="Arial"/>
          <w:i/>
        </w:rPr>
        <w:t>Offer, Pursuant to §4928.143, Revised Code, in the Form of an Electric Security Plan</w:t>
      </w:r>
      <w:r>
        <w:rPr>
          <w:rFonts w:ascii="Arial" w:hAnsi="Arial" w:cs="Arial"/>
        </w:rPr>
        <w:t xml:space="preserve">, Case Nos. 13-2385-EL-SSO, </w:t>
      </w:r>
      <w:r>
        <w:rPr>
          <w:rFonts w:ascii="Arial" w:hAnsi="Arial" w:cs="Arial"/>
          <w:i/>
        </w:rPr>
        <w:t>et al.</w:t>
      </w:r>
      <w:r>
        <w:rPr>
          <w:rFonts w:ascii="Arial" w:hAnsi="Arial" w:cs="Arial"/>
        </w:rPr>
        <w:t>, Direct Testimony of William Allen at 8, 11 (Dec. 20, 2013) (hereinafter “</w:t>
      </w:r>
      <w:r w:rsidRPr="00565155">
        <w:rPr>
          <w:rFonts w:ascii="Arial" w:hAnsi="Arial" w:cs="Arial"/>
          <w:i/>
        </w:rPr>
        <w:t>ESP III</w:t>
      </w:r>
      <w:r>
        <w:rPr>
          <w:rFonts w:ascii="Arial" w:hAnsi="Arial" w:cs="Arial"/>
        </w:rPr>
        <w:t xml:space="preserve">”). </w:t>
      </w:r>
    </w:p>
  </w:footnote>
  <w:footnote w:id="82">
    <w:p w:rsidR="000D6ED1" w:rsidRPr="00F6271A" w:rsidRDefault="000D6ED1" w:rsidP="00DE46DF">
      <w:pPr>
        <w:pStyle w:val="FootnoteText"/>
        <w:spacing w:after="120"/>
        <w:jc w:val="both"/>
        <w:rPr>
          <w:rFonts w:ascii="Arial" w:hAnsi="Arial" w:cs="Arial"/>
        </w:rPr>
      </w:pPr>
      <w:r w:rsidRPr="00F6271A">
        <w:rPr>
          <w:rStyle w:val="FootnoteReference"/>
          <w:rFonts w:ascii="Arial" w:hAnsi="Arial" w:cs="Arial"/>
        </w:rPr>
        <w:footnoteRef/>
      </w:r>
      <w:r w:rsidRPr="00F6271A">
        <w:rPr>
          <w:rFonts w:ascii="Arial" w:hAnsi="Arial" w:cs="Arial"/>
        </w:rPr>
        <w:t xml:space="preserve"> Rule 4901:1-35-03(C)(9)(a), OAC (emphasis added)</w:t>
      </w:r>
      <w:r>
        <w:rPr>
          <w:rFonts w:ascii="Arial" w:hAnsi="Arial" w:cs="Arial"/>
        </w:rPr>
        <w:t>.</w:t>
      </w:r>
      <w:r w:rsidRPr="00F6271A">
        <w:rPr>
          <w:rFonts w:ascii="Arial" w:hAnsi="Arial" w:cs="Arial"/>
          <w:vertAlign w:val="superscript"/>
        </w:rPr>
        <w:footnoteRef/>
      </w:r>
      <w:r>
        <w:rPr>
          <w:rFonts w:ascii="Arial" w:hAnsi="Arial" w:cs="Arial"/>
        </w:rPr>
        <w:t xml:space="preserve">  </w:t>
      </w:r>
      <w:r>
        <w:rPr>
          <w:rFonts w:ascii="Arial" w:hAnsi="Arial" w:cs="Arial"/>
          <w:i/>
        </w:rPr>
        <w:t>See also 2009 FAC Case</w:t>
      </w:r>
      <w:r>
        <w:rPr>
          <w:rFonts w:ascii="Arial" w:hAnsi="Arial" w:cs="Arial"/>
        </w:rPr>
        <w:t>,</w:t>
      </w:r>
      <w:r>
        <w:rPr>
          <w:rFonts w:ascii="Arial" w:hAnsi="Arial" w:cs="Arial"/>
          <w:i/>
        </w:rPr>
        <w:t xml:space="preserve"> </w:t>
      </w:r>
      <w:r>
        <w:rPr>
          <w:rFonts w:ascii="Arial" w:hAnsi="Arial" w:cs="Arial"/>
        </w:rPr>
        <w:t>FAC Order</w:t>
      </w:r>
      <w:r w:rsidRPr="00F6271A">
        <w:rPr>
          <w:rFonts w:ascii="Arial" w:hAnsi="Arial" w:cs="Arial"/>
        </w:rPr>
        <w:t xml:space="preserve"> at 12</w:t>
      </w:r>
      <w:r>
        <w:rPr>
          <w:rFonts w:ascii="Arial" w:hAnsi="Arial" w:cs="Arial"/>
        </w:rPr>
        <w:t xml:space="preserve"> (Jan. 23, 2012)</w:t>
      </w:r>
      <w:r w:rsidRPr="00F6271A">
        <w:rPr>
          <w:rFonts w:ascii="Arial" w:hAnsi="Arial" w:cs="Arial"/>
        </w:rPr>
        <w:t xml:space="preserve">; Entry on Rehearing at 5, 7 (Apr. 11, 2012). </w:t>
      </w:r>
    </w:p>
  </w:footnote>
  <w:footnote w:id="83">
    <w:p w:rsidR="000D6ED1" w:rsidRDefault="000D6ED1" w:rsidP="00DE46DF">
      <w:pPr>
        <w:pStyle w:val="FootnoteText"/>
        <w:spacing w:after="120"/>
        <w:jc w:val="both"/>
        <w:rPr>
          <w:rFonts w:ascii="Arial" w:hAnsi="Arial" w:cs="Arial"/>
        </w:rPr>
      </w:pPr>
      <w:r w:rsidRPr="00F6271A">
        <w:rPr>
          <w:rStyle w:val="FootnoteReference"/>
          <w:rFonts w:ascii="Arial" w:hAnsi="Arial" w:cs="Arial"/>
        </w:rPr>
        <w:footnoteRef/>
      </w:r>
      <w:r w:rsidRPr="00F6271A">
        <w:rPr>
          <w:rFonts w:ascii="Arial" w:hAnsi="Arial" w:cs="Arial"/>
        </w:rPr>
        <w:t xml:space="preserve"> </w:t>
      </w:r>
      <w:r>
        <w:rPr>
          <w:rFonts w:ascii="Arial" w:hAnsi="Arial" w:cs="Arial"/>
          <w:i/>
        </w:rPr>
        <w:t>2009 FAC Case</w:t>
      </w:r>
      <w:r>
        <w:rPr>
          <w:rFonts w:ascii="Arial" w:hAnsi="Arial" w:cs="Arial"/>
        </w:rPr>
        <w:t xml:space="preserve">, FAC Order </w:t>
      </w:r>
      <w:r w:rsidRPr="00F6271A">
        <w:rPr>
          <w:rFonts w:ascii="Arial" w:hAnsi="Arial" w:cs="Arial"/>
        </w:rPr>
        <w:t>at 13.</w:t>
      </w:r>
    </w:p>
    <w:p w:rsidR="000D6ED1" w:rsidRPr="00F6271A" w:rsidRDefault="000D6ED1" w:rsidP="00DE46DF">
      <w:pPr>
        <w:pStyle w:val="FootnoteText"/>
        <w:spacing w:after="120"/>
        <w:jc w:val="both"/>
        <w:rPr>
          <w:rFonts w:ascii="Arial" w:hAnsi="Arial" w:cs="Arial"/>
        </w:rPr>
      </w:pPr>
    </w:p>
  </w:footnote>
  <w:footnote w:id="84">
    <w:p w:rsidR="000D6ED1" w:rsidRPr="00AE2330" w:rsidRDefault="000D6ED1">
      <w:pPr>
        <w:pStyle w:val="FootnoteText"/>
        <w:rPr>
          <w:rFonts w:ascii="Arial" w:hAnsi="Arial" w:cs="Arial"/>
        </w:rPr>
      </w:pPr>
      <w:r w:rsidRPr="00AE2330">
        <w:rPr>
          <w:rStyle w:val="FootnoteReference"/>
          <w:rFonts w:ascii="Arial" w:hAnsi="Arial" w:cs="Arial"/>
        </w:rPr>
        <w:footnoteRef/>
      </w:r>
      <w:r w:rsidRPr="00AE2330">
        <w:rPr>
          <w:rFonts w:ascii="Arial" w:hAnsi="Arial" w:cs="Arial"/>
        </w:rPr>
        <w:t xml:space="preserve"> ESP I Order at 16-17 (Mar. 18, 2009).</w:t>
      </w:r>
    </w:p>
  </w:footnote>
  <w:footnote w:id="85">
    <w:p w:rsidR="000D6ED1" w:rsidRDefault="000D6ED1" w:rsidP="00DE46DF">
      <w:pPr>
        <w:pStyle w:val="FootnoteText"/>
        <w:spacing w:after="120"/>
        <w:jc w:val="both"/>
      </w:pPr>
      <w:r w:rsidRPr="00D77A73">
        <w:rPr>
          <w:rStyle w:val="FootnoteReference"/>
          <w:rFonts w:ascii="Arial" w:hAnsi="Arial" w:cs="Arial"/>
        </w:rPr>
        <w:footnoteRef/>
      </w:r>
      <w:r w:rsidRPr="00D77A73">
        <w:rPr>
          <w:rFonts w:ascii="Arial" w:hAnsi="Arial" w:cs="Arial"/>
        </w:rPr>
        <w:t xml:space="preserve"> </w:t>
      </w:r>
      <w:r>
        <w:rPr>
          <w:rFonts w:ascii="Arial" w:hAnsi="Arial" w:cs="Arial"/>
        </w:rPr>
        <w:t>2010 Audit Report at 1-10, (May 26, 2011)</w:t>
      </w:r>
      <w:r w:rsidRPr="00D77A73">
        <w:rPr>
          <w:rFonts w:ascii="Arial" w:hAnsi="Arial" w:cs="Arial"/>
        </w:rPr>
        <w:t xml:space="preserve">.  </w:t>
      </w:r>
      <w:r w:rsidRPr="00D77A73">
        <w:rPr>
          <w:rFonts w:ascii="Arial" w:hAnsi="Arial" w:cs="Arial"/>
          <w:i/>
        </w:rPr>
        <w:t>See also</w:t>
      </w:r>
      <w:r w:rsidRPr="00D77A73">
        <w:rPr>
          <w:rFonts w:ascii="Arial" w:hAnsi="Arial" w:cs="Arial"/>
        </w:rPr>
        <w:t xml:space="preserve"> </w:t>
      </w:r>
      <w:r>
        <w:rPr>
          <w:rFonts w:ascii="Arial" w:hAnsi="Arial" w:cs="Arial"/>
          <w:i/>
        </w:rPr>
        <w:t xml:space="preserve">id. </w:t>
      </w:r>
      <w:r w:rsidRPr="00D77A73">
        <w:rPr>
          <w:rFonts w:ascii="Arial" w:hAnsi="Arial" w:cs="Arial"/>
        </w:rPr>
        <w:t xml:space="preserve">at 7-81 to 7-84. </w:t>
      </w:r>
      <w:r>
        <w:rPr>
          <w:rFonts w:ascii="Arial" w:hAnsi="Arial" w:cs="Arial"/>
        </w:rPr>
        <w:t xml:space="preserve"> 2011 Audit Report </w:t>
      </w:r>
      <w:r w:rsidRPr="00D77A73">
        <w:rPr>
          <w:rFonts w:ascii="Arial" w:hAnsi="Arial" w:cs="Arial"/>
        </w:rPr>
        <w:t>at 1-</w:t>
      </w:r>
      <w:r>
        <w:rPr>
          <w:rFonts w:ascii="Arial" w:hAnsi="Arial" w:cs="Arial"/>
        </w:rPr>
        <w:t xml:space="preserve">8 to 1-10 (May 24, 2012).  </w:t>
      </w:r>
      <w:r w:rsidRPr="00D77A73">
        <w:rPr>
          <w:rFonts w:ascii="Arial" w:hAnsi="Arial" w:cs="Arial"/>
          <w:i/>
        </w:rPr>
        <w:t xml:space="preserve">See id. </w:t>
      </w:r>
      <w:r w:rsidRPr="00D77A73">
        <w:rPr>
          <w:rFonts w:ascii="Arial" w:hAnsi="Arial" w:cs="Arial"/>
        </w:rPr>
        <w:t xml:space="preserve">at 7-97 to 7-102. </w:t>
      </w:r>
      <w:r w:rsidRPr="00D77A73">
        <w:rPr>
          <w:rFonts w:ascii="Arial" w:hAnsi="Arial" w:cs="Arial"/>
          <w:i/>
        </w:rPr>
        <w:t xml:space="preserve"> </w:t>
      </w:r>
    </w:p>
  </w:footnote>
  <w:footnote w:id="86">
    <w:p w:rsidR="000D6ED1" w:rsidRDefault="000D6ED1" w:rsidP="00997E8B">
      <w:pPr>
        <w:pStyle w:val="FootnoteText"/>
        <w:spacing w:after="120"/>
        <w:rPr>
          <w:rFonts w:ascii="Arial" w:hAnsi="Arial" w:cs="Arial"/>
        </w:rPr>
      </w:pPr>
      <w:r w:rsidRPr="00111725">
        <w:rPr>
          <w:rStyle w:val="FootnoteReference"/>
          <w:rFonts w:ascii="Arial" w:hAnsi="Arial" w:cs="Arial"/>
        </w:rPr>
        <w:footnoteRef/>
      </w:r>
      <w:r w:rsidRPr="00111725">
        <w:rPr>
          <w:rFonts w:ascii="Arial" w:hAnsi="Arial" w:cs="Arial"/>
        </w:rPr>
        <w:t xml:space="preserve"> 2010 Audit Report at </w:t>
      </w:r>
      <w:r>
        <w:rPr>
          <w:rFonts w:ascii="Arial" w:hAnsi="Arial" w:cs="Arial"/>
        </w:rPr>
        <w:t>7-82 to 7-83.  The 2010 Audit Report further states:</w:t>
      </w:r>
    </w:p>
    <w:p w:rsidR="000D6ED1" w:rsidRDefault="000D6ED1" w:rsidP="00111725">
      <w:pPr>
        <w:pStyle w:val="FootnoteText"/>
        <w:ind w:left="720" w:right="720"/>
        <w:jc w:val="both"/>
        <w:rPr>
          <w:rFonts w:ascii="Arial" w:hAnsi="Arial" w:cs="Arial"/>
        </w:rPr>
      </w:pPr>
      <w:r w:rsidRPr="00111725">
        <w:rPr>
          <w:rFonts w:ascii="Arial" w:hAnsi="Arial" w:cs="Arial"/>
        </w:rPr>
        <w:t>AEP Ohio is applying the monthly debt and pre-tax equity cost rates to under-recovered fuel</w:t>
      </w:r>
      <w:r>
        <w:rPr>
          <w:rFonts w:ascii="Arial" w:hAnsi="Arial" w:cs="Arial"/>
        </w:rPr>
        <w:t xml:space="preserve"> </w:t>
      </w:r>
      <w:r w:rsidRPr="00111725">
        <w:rPr>
          <w:rFonts w:ascii="Arial" w:hAnsi="Arial" w:cs="Arial"/>
        </w:rPr>
        <w:t>balances in Account 1823144 without any offset for related cred</w:t>
      </w:r>
      <w:r>
        <w:rPr>
          <w:rFonts w:ascii="Arial" w:hAnsi="Arial" w:cs="Arial"/>
        </w:rPr>
        <w:t xml:space="preserve">it-balance ADIT it has recorded </w:t>
      </w:r>
      <w:r w:rsidRPr="00111725">
        <w:rPr>
          <w:rFonts w:ascii="Arial" w:hAnsi="Arial" w:cs="Arial"/>
        </w:rPr>
        <w:t>in Account 283, ADIT-Other. There would typically be credit-b</w:t>
      </w:r>
      <w:r>
        <w:rPr>
          <w:rFonts w:ascii="Arial" w:hAnsi="Arial" w:cs="Arial"/>
        </w:rPr>
        <w:t>alance ADIT related to the fuel under-recoveries.</w:t>
      </w:r>
      <w:r w:rsidRPr="00111725">
        <w:rPr>
          <w:rFonts w:ascii="Arial" w:hAnsi="Arial" w:cs="Arial"/>
        </w:rPr>
        <w:t xml:space="preserve"> Assum</w:t>
      </w:r>
      <w:r>
        <w:rPr>
          <w:rFonts w:ascii="Arial" w:hAnsi="Arial" w:cs="Arial"/>
        </w:rPr>
        <w:t>ing that the Company's fu</w:t>
      </w:r>
      <w:r w:rsidRPr="00111725">
        <w:rPr>
          <w:rFonts w:ascii="Arial" w:hAnsi="Arial" w:cs="Arial"/>
        </w:rPr>
        <w:t>el costs ar</w:t>
      </w:r>
      <w:r>
        <w:rPr>
          <w:rFonts w:ascii="Arial" w:hAnsi="Arial" w:cs="Arial"/>
        </w:rPr>
        <w:t xml:space="preserve">e deducted currently for income </w:t>
      </w:r>
      <w:r w:rsidRPr="00111725">
        <w:rPr>
          <w:rFonts w:ascii="Arial" w:hAnsi="Arial" w:cs="Arial"/>
        </w:rPr>
        <w:t>tax purposes, the deferral of the under-recovery for regul</w:t>
      </w:r>
      <w:r>
        <w:rPr>
          <w:rFonts w:ascii="Arial" w:hAnsi="Arial" w:cs="Arial"/>
        </w:rPr>
        <w:t xml:space="preserve">atory accounting would create a </w:t>
      </w:r>
      <w:r w:rsidRPr="00111725">
        <w:rPr>
          <w:rFonts w:ascii="Arial" w:hAnsi="Arial" w:cs="Arial"/>
        </w:rPr>
        <w:t>temporary difference and a credit-balance ADIT would be reco</w:t>
      </w:r>
      <w:r>
        <w:rPr>
          <w:rFonts w:ascii="Arial" w:hAnsi="Arial" w:cs="Arial"/>
        </w:rPr>
        <w:t xml:space="preserve">rded.  The related tax deduction </w:t>
      </w:r>
      <w:r w:rsidRPr="00111725">
        <w:rPr>
          <w:rFonts w:ascii="Arial" w:hAnsi="Arial" w:cs="Arial"/>
        </w:rPr>
        <w:t>would essentially provide cost-free financing for a portion of th</w:t>
      </w:r>
      <w:r>
        <w:rPr>
          <w:rFonts w:ascii="Arial" w:hAnsi="Arial" w:cs="Arial"/>
        </w:rPr>
        <w:t xml:space="preserve">e fuel cost under-recovery. The </w:t>
      </w:r>
      <w:r w:rsidRPr="00111725">
        <w:rPr>
          <w:rFonts w:ascii="Arial" w:hAnsi="Arial" w:cs="Arial"/>
        </w:rPr>
        <w:t xml:space="preserve">ADIT is a source of non-investor supplied cost-free capital. </w:t>
      </w:r>
      <w:r>
        <w:rPr>
          <w:rFonts w:ascii="Arial" w:hAnsi="Arial" w:cs="Arial"/>
        </w:rPr>
        <w:t xml:space="preserve">Such ADIT is not being deducted </w:t>
      </w:r>
      <w:r w:rsidRPr="00111725">
        <w:rPr>
          <w:rFonts w:ascii="Arial" w:hAnsi="Arial" w:cs="Arial"/>
        </w:rPr>
        <w:t>from the under-recovered fuel balances in Account 1823</w:t>
      </w:r>
      <w:r>
        <w:rPr>
          <w:rFonts w:ascii="Arial" w:hAnsi="Arial" w:cs="Arial"/>
        </w:rPr>
        <w:t xml:space="preserve">144 in AEP Ohio's carrying cost </w:t>
      </w:r>
      <w:r w:rsidRPr="00111725">
        <w:rPr>
          <w:rFonts w:ascii="Arial" w:hAnsi="Arial" w:cs="Arial"/>
        </w:rPr>
        <w:t>calculations. If the ADIT balance related to the Company's FAC</w:t>
      </w:r>
      <w:r>
        <w:rPr>
          <w:rFonts w:ascii="Arial" w:hAnsi="Arial" w:cs="Arial"/>
        </w:rPr>
        <w:t xml:space="preserve"> under-recovery balances is not </w:t>
      </w:r>
      <w:r w:rsidRPr="00111725">
        <w:rPr>
          <w:rFonts w:ascii="Arial" w:hAnsi="Arial" w:cs="Arial"/>
        </w:rPr>
        <w:t>considered, or deducted somewhere else, such as in rate base, ratepayers wou</w:t>
      </w:r>
      <w:r>
        <w:rPr>
          <w:rFonts w:ascii="Arial" w:hAnsi="Arial" w:cs="Arial"/>
        </w:rPr>
        <w:t xml:space="preserve">ld be over-paying </w:t>
      </w:r>
      <w:r w:rsidRPr="00111725">
        <w:rPr>
          <w:rFonts w:ascii="Arial" w:hAnsi="Arial" w:cs="Arial"/>
        </w:rPr>
        <w:t>carrying costs by paying for carrying costs on the portion of the</w:t>
      </w:r>
      <w:r>
        <w:rPr>
          <w:rFonts w:ascii="Arial" w:hAnsi="Arial" w:cs="Arial"/>
        </w:rPr>
        <w:t xml:space="preserve"> Deferred Fuel balance that has </w:t>
      </w:r>
      <w:r w:rsidRPr="00111725">
        <w:rPr>
          <w:rFonts w:ascii="Arial" w:hAnsi="Arial" w:cs="Arial"/>
        </w:rPr>
        <w:t xml:space="preserve">been financed by tax savings, i.e., on the portion not financed </w:t>
      </w:r>
      <w:r>
        <w:rPr>
          <w:rFonts w:ascii="Arial" w:hAnsi="Arial" w:cs="Arial"/>
        </w:rPr>
        <w:t xml:space="preserve">with investor-supplied capital.  </w:t>
      </w:r>
      <w:r w:rsidRPr="00111725">
        <w:rPr>
          <w:rFonts w:ascii="Arial" w:hAnsi="Arial" w:cs="Arial"/>
        </w:rPr>
        <w:t>Unless the ADIT related to the under-recovered fuel balance</w:t>
      </w:r>
      <w:r>
        <w:rPr>
          <w:rFonts w:ascii="Arial" w:hAnsi="Arial" w:cs="Arial"/>
        </w:rPr>
        <w:t xml:space="preserve">s is being recognized somewhere </w:t>
      </w:r>
      <w:r w:rsidRPr="00111725">
        <w:rPr>
          <w:rFonts w:ascii="Arial" w:hAnsi="Arial" w:cs="Arial"/>
        </w:rPr>
        <w:t>else in the ratemaking process, the pre-tax WACC should be getti</w:t>
      </w:r>
      <w:r>
        <w:rPr>
          <w:rFonts w:ascii="Arial" w:hAnsi="Arial" w:cs="Arial"/>
        </w:rPr>
        <w:t xml:space="preserve">ng applied to an Under-recovered </w:t>
      </w:r>
      <w:r w:rsidRPr="00111725">
        <w:rPr>
          <w:rFonts w:ascii="Arial" w:hAnsi="Arial" w:cs="Arial"/>
        </w:rPr>
        <w:t xml:space="preserve">fuel balances that is net of the related credit-balance ADIT, </w:t>
      </w:r>
      <w:r>
        <w:rPr>
          <w:rFonts w:ascii="Arial" w:hAnsi="Arial" w:cs="Arial"/>
        </w:rPr>
        <w:t xml:space="preserve">not to the gross Under-recovered </w:t>
      </w:r>
      <w:r w:rsidRPr="00111725">
        <w:rPr>
          <w:rFonts w:ascii="Arial" w:hAnsi="Arial" w:cs="Arial"/>
        </w:rPr>
        <w:t>balance.</w:t>
      </w:r>
    </w:p>
    <w:p w:rsidR="000D6ED1" w:rsidRDefault="000D6ED1" w:rsidP="00111725">
      <w:pPr>
        <w:pStyle w:val="FootnoteText"/>
        <w:ind w:left="720" w:right="720"/>
        <w:jc w:val="both"/>
        <w:rPr>
          <w:rFonts w:ascii="Arial" w:hAnsi="Arial" w:cs="Arial"/>
        </w:rPr>
      </w:pPr>
    </w:p>
    <w:p w:rsidR="000D6ED1" w:rsidRDefault="000D6ED1" w:rsidP="000A088A">
      <w:pPr>
        <w:pStyle w:val="FootnoteText"/>
        <w:spacing w:after="120"/>
        <w:ind w:right="720"/>
        <w:jc w:val="both"/>
      </w:pPr>
      <w:r>
        <w:rPr>
          <w:rFonts w:ascii="Arial" w:hAnsi="Arial" w:cs="Arial"/>
          <w:i/>
        </w:rPr>
        <w:t xml:space="preserve">Id. </w:t>
      </w:r>
      <w:r>
        <w:rPr>
          <w:rFonts w:ascii="Arial" w:hAnsi="Arial" w:cs="Arial"/>
        </w:rPr>
        <w:t>at 7-83 (footnotes omitted).</w:t>
      </w:r>
    </w:p>
  </w:footnote>
  <w:footnote w:id="87">
    <w:p w:rsidR="000D6ED1" w:rsidRPr="009F7850" w:rsidRDefault="000D6ED1" w:rsidP="00111725">
      <w:pPr>
        <w:pStyle w:val="FootnoteText"/>
        <w:spacing w:after="120"/>
        <w:jc w:val="both"/>
        <w:rPr>
          <w:rFonts w:ascii="Arial" w:hAnsi="Arial" w:cs="Arial"/>
        </w:rPr>
      </w:pPr>
      <w:r w:rsidRPr="009F7850">
        <w:rPr>
          <w:rStyle w:val="FootnoteReference"/>
          <w:rFonts w:ascii="Arial" w:hAnsi="Arial" w:cs="Arial"/>
        </w:rPr>
        <w:footnoteRef/>
      </w:r>
      <w:r w:rsidRPr="009F7850">
        <w:rPr>
          <w:rFonts w:ascii="Arial" w:hAnsi="Arial" w:cs="Arial"/>
        </w:rPr>
        <w:t xml:space="preserve"> IEU-Ohio Ex. 15 at 4-10.</w:t>
      </w:r>
    </w:p>
  </w:footnote>
  <w:footnote w:id="88">
    <w:p w:rsidR="000D6ED1" w:rsidRDefault="000D6ED1" w:rsidP="005B4DCD">
      <w:pPr>
        <w:pStyle w:val="FootnoteText"/>
        <w:spacing w:after="120"/>
      </w:pPr>
      <w:r w:rsidRPr="005B4DCD">
        <w:rPr>
          <w:rStyle w:val="FootnoteReference"/>
          <w:rFonts w:ascii="Arial" w:hAnsi="Arial" w:cs="Arial"/>
        </w:rPr>
        <w:footnoteRef/>
      </w:r>
      <w:r w:rsidRPr="005B4DCD">
        <w:rPr>
          <w:rFonts w:ascii="Arial" w:hAnsi="Arial" w:cs="Arial"/>
        </w:rPr>
        <w:t xml:space="preserve"> </w:t>
      </w:r>
      <w:r>
        <w:rPr>
          <w:rFonts w:ascii="Arial" w:hAnsi="Arial" w:cs="Arial"/>
        </w:rPr>
        <w:t>Office of Ohio Consumers’ Counsel Ex. 1 at 10-12.</w:t>
      </w:r>
    </w:p>
  </w:footnote>
  <w:footnote w:id="89">
    <w:p w:rsidR="000D6ED1" w:rsidRPr="003075A7" w:rsidRDefault="000D6ED1" w:rsidP="005B4DCD">
      <w:pPr>
        <w:pStyle w:val="FootnoteText"/>
        <w:spacing w:after="120"/>
        <w:rPr>
          <w:rFonts w:ascii="Arial" w:hAnsi="Arial" w:cs="Arial"/>
        </w:rPr>
      </w:pPr>
      <w:r w:rsidRPr="003075A7">
        <w:rPr>
          <w:rStyle w:val="FootnoteReference"/>
          <w:rFonts w:ascii="Arial" w:hAnsi="Arial" w:cs="Arial"/>
        </w:rPr>
        <w:footnoteRef/>
      </w:r>
      <w:r w:rsidRPr="003075A7">
        <w:rPr>
          <w:rFonts w:ascii="Arial" w:hAnsi="Arial" w:cs="Arial"/>
        </w:rPr>
        <w:t xml:space="preserve"> IEU-Ohio Ex. 4 at 7-8.</w:t>
      </w:r>
    </w:p>
  </w:footnote>
  <w:footnote w:id="90">
    <w:p w:rsidR="000D6ED1" w:rsidRPr="00961CAD" w:rsidRDefault="000D6ED1" w:rsidP="005B4DCD">
      <w:pPr>
        <w:pStyle w:val="FootnoteText"/>
        <w:spacing w:after="120"/>
        <w:jc w:val="both"/>
        <w:rPr>
          <w:rFonts w:ascii="Arial" w:hAnsi="Arial" w:cs="Arial"/>
          <w:i/>
        </w:rPr>
      </w:pPr>
      <w:r w:rsidRPr="00961CAD">
        <w:rPr>
          <w:rStyle w:val="FootnoteReference"/>
          <w:rFonts w:ascii="Arial" w:hAnsi="Arial" w:cs="Arial"/>
        </w:rPr>
        <w:footnoteRef/>
      </w:r>
      <w:r w:rsidRPr="00961CAD">
        <w:rPr>
          <w:rFonts w:ascii="Arial" w:hAnsi="Arial" w:cs="Arial"/>
        </w:rPr>
        <w:t xml:space="preserve"> </w:t>
      </w:r>
      <w:r w:rsidRPr="00961CAD">
        <w:rPr>
          <w:rFonts w:ascii="Arial" w:hAnsi="Arial" w:cs="Arial"/>
          <w:i/>
        </w:rPr>
        <w:t>Id.</w:t>
      </w:r>
    </w:p>
  </w:footnote>
  <w:footnote w:id="91">
    <w:p w:rsidR="000D6ED1" w:rsidRPr="00961CAD" w:rsidRDefault="000D6ED1" w:rsidP="005B4DCD">
      <w:pPr>
        <w:pStyle w:val="FootnoteText"/>
        <w:spacing w:after="120"/>
        <w:jc w:val="both"/>
        <w:rPr>
          <w:rFonts w:ascii="Arial" w:hAnsi="Arial" w:cs="Arial"/>
          <w:i/>
        </w:rPr>
      </w:pPr>
      <w:r w:rsidRPr="00961CAD">
        <w:rPr>
          <w:rStyle w:val="FootnoteReference"/>
          <w:rFonts w:ascii="Arial" w:hAnsi="Arial" w:cs="Arial"/>
        </w:rPr>
        <w:footnoteRef/>
      </w:r>
      <w:r w:rsidRPr="00961CAD">
        <w:rPr>
          <w:rFonts w:ascii="Arial" w:hAnsi="Arial" w:cs="Arial"/>
        </w:rPr>
        <w:t xml:space="preserve"> </w:t>
      </w:r>
      <w:r w:rsidRPr="00961CAD">
        <w:rPr>
          <w:rFonts w:ascii="Arial" w:hAnsi="Arial" w:cs="Arial"/>
          <w:i/>
        </w:rPr>
        <w:t xml:space="preserve">Id. </w:t>
      </w:r>
    </w:p>
  </w:footnote>
  <w:footnote w:id="92">
    <w:p w:rsidR="000D6ED1" w:rsidRDefault="000D6ED1" w:rsidP="005B4DCD">
      <w:pPr>
        <w:pStyle w:val="FootnoteText"/>
        <w:spacing w:after="120"/>
      </w:pPr>
      <w:r w:rsidRPr="00961CAD">
        <w:rPr>
          <w:rStyle w:val="FootnoteReference"/>
          <w:rFonts w:ascii="Arial" w:hAnsi="Arial" w:cs="Arial"/>
        </w:rPr>
        <w:footnoteRef/>
      </w:r>
      <w:r w:rsidRPr="00961CAD">
        <w:rPr>
          <w:rFonts w:ascii="Arial" w:hAnsi="Arial" w:cs="Arial"/>
        </w:rPr>
        <w:t xml:space="preserve"> 2010</w:t>
      </w:r>
      <w:r>
        <w:rPr>
          <w:rFonts w:ascii="Arial" w:hAnsi="Arial" w:cs="Arial"/>
        </w:rPr>
        <w:t xml:space="preserve"> Audit Report at 7-82 to 7-83; </w:t>
      </w:r>
      <w:r w:rsidRPr="00961CAD">
        <w:rPr>
          <w:rFonts w:ascii="Arial" w:hAnsi="Arial" w:cs="Arial"/>
        </w:rPr>
        <w:t xml:space="preserve">IEU-Ohio Ex. 15 at </w:t>
      </w:r>
      <w:r>
        <w:rPr>
          <w:rFonts w:ascii="Arial" w:hAnsi="Arial" w:cs="Arial"/>
        </w:rPr>
        <w:t>7-8; Office of Ohio Consumers’ Counsel Ex. 1 at 10-12.</w:t>
      </w:r>
    </w:p>
  </w:footnote>
  <w:footnote w:id="93">
    <w:p w:rsidR="000D6ED1" w:rsidRPr="00D34D32" w:rsidRDefault="000D6ED1" w:rsidP="00DE46DF">
      <w:pPr>
        <w:pStyle w:val="FootnoteText"/>
        <w:spacing w:after="120"/>
        <w:jc w:val="both"/>
        <w:rPr>
          <w:rFonts w:ascii="Arial" w:hAnsi="Arial" w:cs="Arial"/>
        </w:rPr>
      </w:pPr>
      <w:r w:rsidRPr="00D34D32">
        <w:rPr>
          <w:rStyle w:val="FootnoteReference"/>
          <w:rFonts w:ascii="Arial" w:hAnsi="Arial" w:cs="Arial"/>
        </w:rPr>
        <w:footnoteRef/>
      </w:r>
      <w:r w:rsidRPr="00D34D32">
        <w:rPr>
          <w:rFonts w:ascii="Arial" w:hAnsi="Arial" w:cs="Arial"/>
        </w:rPr>
        <w:t xml:space="preserve"> ESP I</w:t>
      </w:r>
      <w:r w:rsidRPr="00D34D32">
        <w:rPr>
          <w:rFonts w:ascii="Arial" w:hAnsi="Arial" w:cs="Arial"/>
          <w:i/>
        </w:rPr>
        <w:t xml:space="preserve"> </w:t>
      </w:r>
      <w:r w:rsidRPr="00D34D32">
        <w:rPr>
          <w:rFonts w:ascii="Arial" w:hAnsi="Arial" w:cs="Arial"/>
        </w:rPr>
        <w:t>Order at 22-23 (Mar. 18, 2009)</w:t>
      </w:r>
      <w:r>
        <w:rPr>
          <w:rFonts w:ascii="Arial" w:hAnsi="Arial" w:cs="Arial"/>
        </w:rPr>
        <w:t>.</w:t>
      </w:r>
      <w:r w:rsidRPr="00D34D32">
        <w:rPr>
          <w:rFonts w:ascii="Arial" w:hAnsi="Arial" w:cs="Arial"/>
        </w:rPr>
        <w:t xml:space="preserve"> </w:t>
      </w:r>
    </w:p>
  </w:footnote>
  <w:footnote w:id="94">
    <w:p w:rsidR="000D6ED1" w:rsidRPr="009F7850" w:rsidRDefault="000D6ED1" w:rsidP="00DE46DF">
      <w:pPr>
        <w:pStyle w:val="FootnoteText"/>
        <w:spacing w:after="120"/>
        <w:jc w:val="both"/>
        <w:rPr>
          <w:rFonts w:ascii="Arial" w:hAnsi="Arial" w:cs="Arial"/>
        </w:rPr>
      </w:pPr>
      <w:r w:rsidRPr="009F7850">
        <w:rPr>
          <w:rStyle w:val="FootnoteReference"/>
          <w:rFonts w:ascii="Arial" w:hAnsi="Arial" w:cs="Arial"/>
        </w:rPr>
        <w:footnoteRef/>
      </w:r>
      <w:r w:rsidRPr="009F7850">
        <w:rPr>
          <w:rFonts w:ascii="Arial" w:hAnsi="Arial" w:cs="Arial"/>
        </w:rPr>
        <w:t xml:space="preserve"> IEU-Ohio Ex. 4 at 7-8.</w:t>
      </w:r>
    </w:p>
  </w:footnote>
  <w:footnote w:id="95">
    <w:p w:rsidR="000D6ED1" w:rsidRPr="009E47AF" w:rsidRDefault="000D6ED1" w:rsidP="00DE46DF">
      <w:pPr>
        <w:pStyle w:val="FootnoteText"/>
        <w:spacing w:after="120"/>
        <w:jc w:val="both"/>
        <w:rPr>
          <w:rFonts w:ascii="Arial" w:hAnsi="Arial" w:cs="Arial"/>
          <w:i/>
        </w:rPr>
      </w:pPr>
      <w:r w:rsidRPr="009F7850">
        <w:rPr>
          <w:rStyle w:val="FootnoteReference"/>
          <w:rFonts w:ascii="Arial" w:hAnsi="Arial" w:cs="Arial"/>
        </w:rPr>
        <w:footnoteRef/>
      </w:r>
      <w:r w:rsidRPr="009F7850">
        <w:rPr>
          <w:rFonts w:ascii="Arial" w:hAnsi="Arial" w:cs="Arial"/>
        </w:rPr>
        <w:t xml:space="preserve"> </w:t>
      </w:r>
      <w:r w:rsidRPr="009F7850">
        <w:rPr>
          <w:rFonts w:ascii="Arial" w:hAnsi="Arial" w:cs="Arial"/>
          <w:i/>
        </w:rPr>
        <w:t xml:space="preserve">Id. </w:t>
      </w:r>
    </w:p>
  </w:footnote>
  <w:footnote w:id="96">
    <w:p w:rsidR="000D6ED1" w:rsidRPr="003075A7" w:rsidRDefault="000D6ED1" w:rsidP="005B4DCD">
      <w:pPr>
        <w:pStyle w:val="FootnoteText"/>
        <w:spacing w:after="120"/>
        <w:jc w:val="both"/>
        <w:rPr>
          <w:rFonts w:ascii="Arial" w:hAnsi="Arial" w:cs="Arial"/>
        </w:rPr>
      </w:pPr>
      <w:r w:rsidRPr="003075A7">
        <w:rPr>
          <w:rStyle w:val="FootnoteReference"/>
          <w:rFonts w:ascii="Arial" w:hAnsi="Arial" w:cs="Arial"/>
        </w:rPr>
        <w:footnoteRef/>
      </w:r>
      <w:r w:rsidRPr="003075A7">
        <w:rPr>
          <w:rFonts w:ascii="Arial" w:hAnsi="Arial" w:cs="Arial"/>
        </w:rPr>
        <w:t xml:space="preserve"> </w:t>
      </w:r>
      <w:r>
        <w:rPr>
          <w:rFonts w:ascii="Arial" w:hAnsi="Arial" w:cs="Arial"/>
        </w:rPr>
        <w:t xml:space="preserve">R.C. 4928.02(A). </w:t>
      </w:r>
    </w:p>
  </w:footnote>
  <w:footnote w:id="97">
    <w:p w:rsidR="000D6ED1" w:rsidRPr="00352D6A" w:rsidRDefault="000D6ED1" w:rsidP="005B4DCD">
      <w:pPr>
        <w:pStyle w:val="FootnoteText"/>
        <w:spacing w:after="120"/>
        <w:jc w:val="both"/>
        <w:rPr>
          <w:rFonts w:ascii="Arial" w:hAnsi="Arial" w:cs="Arial"/>
        </w:rPr>
      </w:pPr>
      <w:r w:rsidRPr="00352D6A">
        <w:rPr>
          <w:rStyle w:val="FootnoteReference"/>
          <w:rFonts w:ascii="Arial" w:hAnsi="Arial" w:cs="Arial"/>
        </w:rPr>
        <w:footnoteRef/>
      </w:r>
      <w:r w:rsidRPr="00352D6A">
        <w:rPr>
          <w:rFonts w:ascii="Arial" w:hAnsi="Arial" w:cs="Arial"/>
        </w:rPr>
        <w:t xml:space="preserve"> </w:t>
      </w:r>
      <w:r>
        <w:rPr>
          <w:rFonts w:ascii="Arial" w:hAnsi="Arial" w:cs="Arial"/>
        </w:rPr>
        <w:t>Precedent holds that tax benefits available to a</w:t>
      </w:r>
      <w:r w:rsidRPr="00352D6A">
        <w:rPr>
          <w:rFonts w:ascii="Arial" w:hAnsi="Arial" w:cs="Arial"/>
        </w:rPr>
        <w:t xml:space="preserve"> utility must be recognized in customer rates; otherwise, the utility will be overcompensated.  </w:t>
      </w:r>
      <w:r w:rsidRPr="00352D6A">
        <w:rPr>
          <w:rFonts w:ascii="Arial" w:hAnsi="Arial" w:cs="Arial"/>
          <w:i/>
        </w:rPr>
        <w:t>Cleveland Electric v. Pub. Util. Comm</w:t>
      </w:r>
      <w:r>
        <w:rPr>
          <w:rFonts w:ascii="Arial" w:hAnsi="Arial" w:cs="Arial"/>
          <w:i/>
        </w:rPr>
        <w:t>’n</w:t>
      </w:r>
      <w:r w:rsidRPr="00352D6A">
        <w:rPr>
          <w:rFonts w:ascii="Arial" w:hAnsi="Arial" w:cs="Arial"/>
        </w:rPr>
        <w:t xml:space="preserve">, 12 Ohio St.3d 320, 323 (1984) (holding that “the opinion and order is not only supported by the record, but it also remains consistent with the commission’s policy regarding the pass-through of tax benefits to either present or future customers, depending on the circumstances presented.”); </w:t>
      </w:r>
      <w:r w:rsidRPr="00352D6A">
        <w:rPr>
          <w:rFonts w:ascii="Arial" w:hAnsi="Arial" w:cs="Arial"/>
          <w:i/>
        </w:rPr>
        <w:t>Ohio Bell Tel. v. Pub. Util. Comm.</w:t>
      </w:r>
      <w:r w:rsidRPr="00352D6A">
        <w:rPr>
          <w:rFonts w:ascii="Arial" w:hAnsi="Arial" w:cs="Arial"/>
        </w:rPr>
        <w:t xml:space="preserve">, 68 Ohio St.2d 193, 194 (1981); </w:t>
      </w:r>
      <w:r w:rsidRPr="00352D6A">
        <w:rPr>
          <w:rFonts w:ascii="Arial" w:hAnsi="Arial" w:cs="Arial"/>
          <w:i/>
        </w:rPr>
        <w:t>Cincinnati Gas and Electric v. Pub. Util. Comm</w:t>
      </w:r>
      <w:r>
        <w:rPr>
          <w:rFonts w:ascii="Arial" w:hAnsi="Arial" w:cs="Arial"/>
          <w:i/>
        </w:rPr>
        <w:t>’n</w:t>
      </w:r>
      <w:r w:rsidRPr="00352D6A">
        <w:rPr>
          <w:rFonts w:ascii="Arial" w:hAnsi="Arial" w:cs="Arial"/>
        </w:rPr>
        <w:t xml:space="preserve">, 173 Ohio St. 473, 473-476 (1962); </w:t>
      </w:r>
      <w:r w:rsidRPr="00352D6A">
        <w:rPr>
          <w:rFonts w:ascii="Arial" w:hAnsi="Arial" w:cs="Arial"/>
          <w:i/>
        </w:rPr>
        <w:t>see also</w:t>
      </w:r>
      <w:r w:rsidRPr="00352D6A">
        <w:rPr>
          <w:rFonts w:ascii="Arial" w:hAnsi="Arial" w:cs="Arial"/>
          <w:i/>
          <w:iCs/>
        </w:rPr>
        <w:t xml:space="preserve"> Cincinnati v. Pub. Util. Comm</w:t>
      </w:r>
      <w:r>
        <w:rPr>
          <w:rFonts w:ascii="Arial" w:hAnsi="Arial" w:cs="Arial"/>
          <w:i/>
          <w:iCs/>
        </w:rPr>
        <w:t>’n</w:t>
      </w:r>
      <w:r w:rsidRPr="00352D6A">
        <w:rPr>
          <w:rFonts w:ascii="Arial" w:hAnsi="Arial" w:cs="Arial"/>
        </w:rPr>
        <w:t xml:space="preserve">, 161 Ohio St. 395, 405-06 (1954).  </w:t>
      </w:r>
      <w:r w:rsidRPr="00352D6A">
        <w:rPr>
          <w:rFonts w:ascii="Arial" w:hAnsi="Arial" w:cs="Arial"/>
          <w:i/>
        </w:rPr>
        <w:t>See also ESP II</w:t>
      </w:r>
      <w:r>
        <w:rPr>
          <w:rFonts w:ascii="Arial" w:hAnsi="Arial" w:cs="Arial"/>
          <w:i/>
        </w:rPr>
        <w:t xml:space="preserve"> Case</w:t>
      </w:r>
      <w:r w:rsidRPr="00352D6A">
        <w:rPr>
          <w:rFonts w:ascii="Arial" w:hAnsi="Arial" w:cs="Arial"/>
        </w:rPr>
        <w:t>, Opinion and Order at 47 (Aug. 8, 2012)</w:t>
      </w:r>
      <w:r>
        <w:rPr>
          <w:rFonts w:ascii="Arial" w:hAnsi="Arial" w:cs="Arial"/>
        </w:rPr>
        <w:t>.</w:t>
      </w:r>
    </w:p>
  </w:footnote>
  <w:footnote w:id="98">
    <w:p w:rsidR="000D6ED1" w:rsidRPr="00B474AB" w:rsidRDefault="000D6ED1" w:rsidP="00DE46DF">
      <w:pPr>
        <w:pStyle w:val="FootnoteText"/>
        <w:spacing w:after="120"/>
        <w:jc w:val="both"/>
        <w:rPr>
          <w:rFonts w:ascii="Arial" w:hAnsi="Arial" w:cs="Arial"/>
        </w:rPr>
      </w:pPr>
      <w:r w:rsidRPr="00352D6A">
        <w:rPr>
          <w:rStyle w:val="FootnoteReference"/>
          <w:rFonts w:ascii="Arial" w:hAnsi="Arial" w:cs="Arial"/>
        </w:rPr>
        <w:footnoteRef/>
      </w:r>
      <w:r w:rsidRPr="00352D6A">
        <w:rPr>
          <w:rFonts w:ascii="Arial" w:hAnsi="Arial" w:cs="Arial"/>
        </w:rPr>
        <w:t xml:space="preserve"> </w:t>
      </w:r>
      <w:r w:rsidRPr="00352D6A">
        <w:rPr>
          <w:rFonts w:ascii="Arial" w:hAnsi="Arial" w:cs="Arial"/>
          <w:szCs w:val="22"/>
        </w:rPr>
        <w:t>The carrying cost methodology</w:t>
      </w:r>
      <w:r>
        <w:rPr>
          <w:rFonts w:ascii="Arial" w:hAnsi="Arial" w:cs="Arial"/>
          <w:szCs w:val="22"/>
        </w:rPr>
        <w:t xml:space="preserve"> is currently on appeal to the Supreme</w:t>
      </w:r>
      <w:r w:rsidRPr="00045292">
        <w:rPr>
          <w:rFonts w:ascii="Arial" w:hAnsi="Arial" w:cs="Arial"/>
          <w:szCs w:val="22"/>
        </w:rPr>
        <w:t xml:space="preserve"> Court</w:t>
      </w:r>
      <w:r>
        <w:rPr>
          <w:rFonts w:ascii="Arial" w:hAnsi="Arial" w:cs="Arial"/>
          <w:szCs w:val="22"/>
        </w:rPr>
        <w:t xml:space="preserve"> of Ohio (“Court”).  </w:t>
      </w:r>
      <w:r>
        <w:rPr>
          <w:rFonts w:ascii="Arial" w:hAnsi="Arial" w:cs="Arial"/>
          <w:i/>
          <w:szCs w:val="22"/>
        </w:rPr>
        <w:t>Ohio Power Company v. Pub. Util. Comm’n</w:t>
      </w:r>
      <w:r>
        <w:rPr>
          <w:rFonts w:ascii="Arial" w:hAnsi="Arial" w:cs="Arial"/>
          <w:szCs w:val="22"/>
        </w:rPr>
        <w:t>,</w:t>
      </w:r>
      <w:r>
        <w:rPr>
          <w:rFonts w:ascii="Arial" w:hAnsi="Arial" w:cs="Arial"/>
          <w:i/>
          <w:szCs w:val="22"/>
        </w:rPr>
        <w:t xml:space="preserve"> </w:t>
      </w:r>
      <w:r>
        <w:rPr>
          <w:rFonts w:ascii="Arial" w:hAnsi="Arial" w:cs="Arial"/>
        </w:rPr>
        <w:t>Sup. Ct. C</w:t>
      </w:r>
      <w:r w:rsidRPr="009F7850">
        <w:rPr>
          <w:rFonts w:ascii="Arial" w:hAnsi="Arial" w:cs="Arial"/>
        </w:rPr>
        <w:t xml:space="preserve">ase No. 2012-2008. </w:t>
      </w:r>
    </w:p>
  </w:footnote>
  <w:footnote w:id="99">
    <w:p w:rsidR="000D6ED1" w:rsidRDefault="000D6ED1" w:rsidP="00DE46DF">
      <w:pPr>
        <w:pStyle w:val="FootnoteText"/>
        <w:spacing w:after="120"/>
        <w:jc w:val="both"/>
      </w:pPr>
      <w:r w:rsidRPr="001E1515">
        <w:rPr>
          <w:rStyle w:val="FootnoteReference"/>
          <w:rFonts w:ascii="Arial" w:hAnsi="Arial" w:cs="Arial"/>
        </w:rPr>
        <w:footnoteRef/>
      </w:r>
      <w:r w:rsidRPr="001E1515">
        <w:rPr>
          <w:rFonts w:ascii="Arial" w:hAnsi="Arial" w:cs="Arial"/>
        </w:rPr>
        <w:t xml:space="preserve"> </w:t>
      </w:r>
      <w:r>
        <w:rPr>
          <w:rFonts w:ascii="Arial" w:hAnsi="Arial" w:cs="Arial"/>
        </w:rPr>
        <w:t xml:space="preserve">2011 Audit Report </w:t>
      </w:r>
      <w:r w:rsidRPr="00D77A73">
        <w:rPr>
          <w:rFonts w:ascii="Arial" w:hAnsi="Arial" w:cs="Arial"/>
        </w:rPr>
        <w:t>at 1-</w:t>
      </w:r>
      <w:r>
        <w:rPr>
          <w:rFonts w:ascii="Arial" w:hAnsi="Arial" w:cs="Arial"/>
        </w:rPr>
        <w:t>10 (May 24, 2012).</w:t>
      </w:r>
    </w:p>
  </w:footnote>
  <w:footnote w:id="100">
    <w:p w:rsidR="000D6ED1" w:rsidRPr="00A4705A" w:rsidRDefault="000D6ED1">
      <w:pPr>
        <w:pStyle w:val="FootnoteText"/>
        <w:rPr>
          <w:rFonts w:ascii="Arial" w:hAnsi="Arial" w:cs="Arial"/>
        </w:rPr>
      </w:pPr>
      <w:r w:rsidRPr="00A4705A">
        <w:rPr>
          <w:rStyle w:val="FootnoteReference"/>
          <w:rFonts w:ascii="Arial" w:hAnsi="Arial" w:cs="Arial"/>
        </w:rPr>
        <w:footnoteRef/>
      </w:r>
      <w:r w:rsidRPr="00A4705A">
        <w:rPr>
          <w:rFonts w:ascii="Arial" w:hAnsi="Arial" w:cs="Arial"/>
        </w:rPr>
        <w:t xml:space="preserve"> AEP-Ohio Ex. 2 at 7.</w:t>
      </w:r>
    </w:p>
  </w:footnote>
  <w:footnote w:id="101">
    <w:p w:rsidR="000D6ED1" w:rsidRPr="00352D6A" w:rsidRDefault="000D6ED1" w:rsidP="005B4DCD">
      <w:pPr>
        <w:pStyle w:val="FootnoteText"/>
        <w:spacing w:after="120"/>
        <w:jc w:val="both"/>
        <w:rPr>
          <w:rFonts w:ascii="Arial" w:hAnsi="Arial" w:cs="Arial"/>
        </w:rPr>
      </w:pPr>
      <w:r w:rsidRPr="008E627A">
        <w:rPr>
          <w:rStyle w:val="FootnoteReference"/>
          <w:rFonts w:ascii="Arial" w:hAnsi="Arial" w:cs="Arial"/>
        </w:rPr>
        <w:footnoteRef/>
      </w:r>
      <w:r w:rsidRPr="008E627A">
        <w:rPr>
          <w:rFonts w:ascii="Arial" w:hAnsi="Arial" w:cs="Arial"/>
        </w:rPr>
        <w:t xml:space="preserve"> </w:t>
      </w:r>
      <w:r w:rsidRPr="008E627A">
        <w:rPr>
          <w:rFonts w:ascii="Arial" w:hAnsi="Arial" w:cs="Arial"/>
          <w:i/>
        </w:rPr>
        <w:t>2009 FAC Case</w:t>
      </w:r>
      <w:r w:rsidRPr="008E627A">
        <w:rPr>
          <w:rFonts w:ascii="Arial" w:hAnsi="Arial" w:cs="Arial"/>
        </w:rPr>
        <w:t>, FAC Order at 9, 14 (Jan. 23, 2012).</w:t>
      </w:r>
    </w:p>
  </w:footnote>
  <w:footnote w:id="102">
    <w:p w:rsidR="000D6ED1" w:rsidRPr="00352D6A" w:rsidRDefault="000D6ED1" w:rsidP="005B4DCD">
      <w:pPr>
        <w:pStyle w:val="FootnoteText"/>
        <w:spacing w:after="120"/>
        <w:jc w:val="both"/>
        <w:rPr>
          <w:rFonts w:ascii="Arial" w:hAnsi="Arial" w:cs="Arial"/>
        </w:rPr>
      </w:pPr>
      <w:r w:rsidRPr="00352D6A">
        <w:rPr>
          <w:rStyle w:val="FootnoteReference"/>
          <w:rFonts w:ascii="Arial" w:hAnsi="Arial" w:cs="Arial"/>
        </w:rPr>
        <w:footnoteRef/>
      </w:r>
      <w:r w:rsidRPr="00352D6A">
        <w:rPr>
          <w:rFonts w:ascii="Arial" w:hAnsi="Arial" w:cs="Arial"/>
        </w:rPr>
        <w:t xml:space="preserve"> </w:t>
      </w:r>
      <w:r w:rsidRPr="00352D6A">
        <w:rPr>
          <w:rFonts w:ascii="Arial" w:hAnsi="Arial" w:cs="Arial"/>
          <w:i/>
        </w:rPr>
        <w:t>ESP II Case</w:t>
      </w:r>
      <w:r w:rsidRPr="00352D6A">
        <w:rPr>
          <w:rFonts w:ascii="Arial" w:hAnsi="Arial" w:cs="Arial"/>
        </w:rPr>
        <w:t>,</w:t>
      </w:r>
      <w:r w:rsidRPr="00352D6A">
        <w:rPr>
          <w:rFonts w:ascii="Arial" w:hAnsi="Arial" w:cs="Arial"/>
          <w:i/>
        </w:rPr>
        <w:t xml:space="preserve"> </w:t>
      </w:r>
      <w:r w:rsidRPr="00352D6A">
        <w:rPr>
          <w:rFonts w:ascii="Arial" w:hAnsi="Arial" w:cs="Arial"/>
        </w:rPr>
        <w:t xml:space="preserve">Opinion and Order at 39-40 (Aug. 8, 2013).  </w:t>
      </w:r>
    </w:p>
  </w:footnote>
  <w:footnote w:id="103">
    <w:p w:rsidR="000D6ED1" w:rsidRPr="003B603F" w:rsidRDefault="000D6ED1" w:rsidP="00ED6D97">
      <w:pPr>
        <w:autoSpaceDE w:val="0"/>
        <w:autoSpaceDN w:val="0"/>
        <w:adjustRightInd w:val="0"/>
        <w:spacing w:after="120"/>
        <w:jc w:val="both"/>
        <w:rPr>
          <w:rFonts w:ascii="Arial" w:hAnsi="Arial" w:cs="Arial"/>
        </w:rPr>
      </w:pPr>
      <w:r w:rsidRPr="00352D6A">
        <w:rPr>
          <w:rStyle w:val="FootnoteReference"/>
          <w:rFonts w:ascii="Arial" w:hAnsi="Arial" w:cs="Arial"/>
          <w:sz w:val="20"/>
          <w:szCs w:val="20"/>
        </w:rPr>
        <w:footnoteRef/>
      </w:r>
      <w:r w:rsidRPr="00352D6A">
        <w:rPr>
          <w:rFonts w:ascii="Arial" w:hAnsi="Arial" w:cs="Arial"/>
          <w:sz w:val="20"/>
          <w:szCs w:val="20"/>
        </w:rPr>
        <w:t xml:space="preserve"> </w:t>
      </w:r>
      <w:r w:rsidRPr="00352D6A">
        <w:rPr>
          <w:rFonts w:ascii="Arial" w:hAnsi="Arial" w:cs="Arial"/>
          <w:i/>
          <w:sz w:val="20"/>
          <w:szCs w:val="20"/>
        </w:rPr>
        <w:t>See</w:t>
      </w:r>
      <w:r w:rsidRPr="00352D6A">
        <w:rPr>
          <w:rFonts w:ascii="Arial" w:eastAsiaTheme="minorHAnsi" w:hAnsi="Arial" w:cs="Arial"/>
          <w:sz w:val="20"/>
          <w:szCs w:val="20"/>
        </w:rPr>
        <w:t xml:space="preserve"> </w:t>
      </w:r>
      <w:r w:rsidRPr="00565155">
        <w:rPr>
          <w:rFonts w:ascii="Arial" w:eastAsiaTheme="minorHAnsi" w:hAnsi="Arial" w:cs="Arial"/>
          <w:i/>
          <w:sz w:val="20"/>
          <w:szCs w:val="20"/>
        </w:rPr>
        <w:t>ESP III</w:t>
      </w:r>
      <w:r>
        <w:rPr>
          <w:rFonts w:ascii="Arial" w:eastAsiaTheme="minorHAnsi" w:hAnsi="Arial" w:cs="Arial"/>
          <w:sz w:val="20"/>
          <w:szCs w:val="20"/>
        </w:rPr>
        <w:t>,</w:t>
      </w:r>
      <w:r>
        <w:rPr>
          <w:rFonts w:ascii="Arial" w:hAnsi="Arial" w:cs="Arial"/>
          <w:sz w:val="20"/>
          <w:szCs w:val="20"/>
        </w:rPr>
        <w:t xml:space="preserve"> </w:t>
      </w:r>
      <w:r w:rsidRPr="00352D6A">
        <w:rPr>
          <w:rFonts w:ascii="Arial" w:hAnsi="Arial" w:cs="Arial"/>
          <w:sz w:val="20"/>
          <w:szCs w:val="20"/>
        </w:rPr>
        <w:t>Direct Testimony of Andrea Moore at 4 (Dec. 20, 2013).</w:t>
      </w:r>
    </w:p>
  </w:footnote>
  <w:footnote w:id="104">
    <w:p w:rsidR="000D6ED1" w:rsidRPr="00A46B09" w:rsidRDefault="000D6ED1" w:rsidP="001347A9">
      <w:pPr>
        <w:pStyle w:val="FootnoteText"/>
        <w:spacing w:after="120"/>
        <w:jc w:val="both"/>
        <w:rPr>
          <w:rFonts w:ascii="Arial" w:hAnsi="Arial" w:cs="Arial"/>
        </w:rPr>
      </w:pPr>
      <w:r w:rsidRPr="009F7850">
        <w:rPr>
          <w:rStyle w:val="FootnoteReference"/>
          <w:rFonts w:ascii="Arial" w:hAnsi="Arial" w:cs="Arial"/>
        </w:rPr>
        <w:footnoteRef/>
      </w:r>
      <w:r w:rsidRPr="009F7850">
        <w:rPr>
          <w:rFonts w:ascii="Arial" w:hAnsi="Arial" w:cs="Arial"/>
        </w:rPr>
        <w:t xml:space="preserve"> </w:t>
      </w:r>
      <w:r w:rsidRPr="009F7850">
        <w:rPr>
          <w:rFonts w:ascii="Arial" w:hAnsi="Arial" w:cs="Arial"/>
          <w:i/>
        </w:rPr>
        <w:t xml:space="preserve">See </w:t>
      </w:r>
      <w:r>
        <w:rPr>
          <w:rFonts w:ascii="Arial" w:hAnsi="Arial" w:cs="Arial"/>
        </w:rPr>
        <w:t>IEU-Ohio Ex. 15 at 13-14.</w:t>
      </w:r>
    </w:p>
  </w:footnote>
  <w:footnote w:id="105">
    <w:p w:rsidR="000D6ED1" w:rsidRPr="00A46B09" w:rsidRDefault="000D6ED1">
      <w:pPr>
        <w:pStyle w:val="FootnoteText"/>
        <w:rPr>
          <w:i/>
        </w:rPr>
      </w:pPr>
      <w:r w:rsidRPr="00A46B09">
        <w:rPr>
          <w:rStyle w:val="FootnoteReference"/>
          <w:rFonts w:ascii="Arial" w:hAnsi="Arial" w:cs="Arial"/>
        </w:rPr>
        <w:footnoteRef/>
      </w:r>
      <w:r w:rsidRPr="00A46B09">
        <w:rPr>
          <w:rFonts w:ascii="Arial" w:hAnsi="Arial" w:cs="Arial"/>
        </w:rPr>
        <w:t xml:space="preserve"> </w:t>
      </w:r>
      <w:r w:rsidRPr="00A46B09">
        <w:rPr>
          <w:rFonts w:ascii="Arial" w:hAnsi="Arial" w:cs="Arial"/>
          <w:i/>
        </w:rPr>
        <w:t>Id.</w:t>
      </w:r>
      <w:r>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FE" w:rsidRDefault="00EE66F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Default="000D6ED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C" w:rsidRDefault="00B7256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C" w:rsidRDefault="00B72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FE" w:rsidRDefault="00EE66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6FE" w:rsidRDefault="00EE66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C" w:rsidRDefault="00B7256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6C" w:rsidRDefault="00B7256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Default="000D6ED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Default="000D6ED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Default="000D6ED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ED1" w:rsidRDefault="000D6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08B"/>
    <w:multiLevelType w:val="hybridMultilevel"/>
    <w:tmpl w:val="9926CC10"/>
    <w:lvl w:ilvl="0" w:tplc="7B387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F6156"/>
    <w:multiLevelType w:val="hybridMultilevel"/>
    <w:tmpl w:val="A9D4CA52"/>
    <w:lvl w:ilvl="0" w:tplc="04090015">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25341"/>
    <w:multiLevelType w:val="hybridMultilevel"/>
    <w:tmpl w:val="5BB466C0"/>
    <w:lvl w:ilvl="0" w:tplc="A7C0E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262268"/>
    <w:multiLevelType w:val="hybridMultilevel"/>
    <w:tmpl w:val="A3D0DA3C"/>
    <w:lvl w:ilvl="0" w:tplc="4F7CC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CE32DD"/>
    <w:multiLevelType w:val="hybridMultilevel"/>
    <w:tmpl w:val="52A4E2AC"/>
    <w:lvl w:ilvl="0" w:tplc="A14A12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C1E8E"/>
    <w:multiLevelType w:val="hybridMultilevel"/>
    <w:tmpl w:val="5D86302C"/>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E20D7"/>
    <w:multiLevelType w:val="multilevel"/>
    <w:tmpl w:val="2B6AF6C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157E77"/>
    <w:multiLevelType w:val="multilevel"/>
    <w:tmpl w:val="C7E29F62"/>
    <w:lvl w:ilvl="0">
      <w:start w:val="1"/>
      <w:numFmt w:val="decimal"/>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8">
    <w:nsid w:val="24D23348"/>
    <w:multiLevelType w:val="hybridMultilevel"/>
    <w:tmpl w:val="C548DCEA"/>
    <w:lvl w:ilvl="0" w:tplc="2D6E34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381F0D"/>
    <w:multiLevelType w:val="hybridMultilevel"/>
    <w:tmpl w:val="72140690"/>
    <w:lvl w:ilvl="0" w:tplc="FA94BE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C0211E"/>
    <w:multiLevelType w:val="multilevel"/>
    <w:tmpl w:val="81148524"/>
    <w:name w:val="IEU-Ohio"/>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abstractNum w:abstractNumId="11">
    <w:nsid w:val="3F8E5A40"/>
    <w:multiLevelType w:val="multilevel"/>
    <w:tmpl w:val="1062E928"/>
    <w:lvl w:ilvl="0">
      <w:start w:val="1"/>
      <w:numFmt w:val="decimal"/>
      <w:lvlText w:val="%1-"/>
      <w:lvlJc w:val="left"/>
      <w:pPr>
        <w:ind w:left="405" w:hanging="40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2">
    <w:nsid w:val="47B81AA3"/>
    <w:multiLevelType w:val="hybridMultilevel"/>
    <w:tmpl w:val="00ECCFCE"/>
    <w:lvl w:ilvl="0" w:tplc="351CCBB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5A5A9A"/>
    <w:multiLevelType w:val="hybridMultilevel"/>
    <w:tmpl w:val="F4DEAE64"/>
    <w:lvl w:ilvl="0" w:tplc="DFD0E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460336"/>
    <w:multiLevelType w:val="hybridMultilevel"/>
    <w:tmpl w:val="BEA2C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774857"/>
    <w:multiLevelType w:val="hybridMultilevel"/>
    <w:tmpl w:val="9864D246"/>
    <w:lvl w:ilvl="0" w:tplc="4C640A52">
      <w:start w:val="1"/>
      <w:numFmt w:val="decimal"/>
      <w:lvlText w:val="%1."/>
      <w:lvlJc w:val="left"/>
      <w:pPr>
        <w:tabs>
          <w:tab w:val="num" w:pos="720"/>
        </w:tabs>
        <w:ind w:left="720" w:hanging="360"/>
      </w:pPr>
      <w:rPr>
        <w:rFonts w:ascii="Arial" w:hAnsi="Arial" w:hint="default"/>
      </w:rPr>
    </w:lvl>
    <w:lvl w:ilvl="1" w:tplc="EF226F72">
      <w:start w:val="1"/>
      <w:numFmt w:val="lowerLetter"/>
      <w:lvlText w:val="%2."/>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8D5104F"/>
    <w:multiLevelType w:val="multilevel"/>
    <w:tmpl w:val="C246A3A4"/>
    <w:lvl w:ilvl="0">
      <w:start w:val="1"/>
      <w:numFmt w:val="decimal"/>
      <w:lvlText w:val="%1-"/>
      <w:lvlJc w:val="left"/>
      <w:pPr>
        <w:ind w:left="405" w:hanging="405"/>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7">
    <w:nsid w:val="71FF0E1B"/>
    <w:multiLevelType w:val="hybridMultilevel"/>
    <w:tmpl w:val="9FF28FB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565DBE"/>
    <w:multiLevelType w:val="multilevel"/>
    <w:tmpl w:val="4D56650C"/>
    <w:lvl w:ilvl="0">
      <w:start w:val="1"/>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16"/>
  </w:num>
  <w:num w:numId="4">
    <w:abstractNumId w:val="11"/>
  </w:num>
  <w:num w:numId="5">
    <w:abstractNumId w:val="6"/>
  </w:num>
  <w:num w:numId="6">
    <w:abstractNumId w:val="18"/>
  </w:num>
  <w:num w:numId="7">
    <w:abstractNumId w:val="14"/>
  </w:num>
  <w:num w:numId="8">
    <w:abstractNumId w:val="0"/>
  </w:num>
  <w:num w:numId="9">
    <w:abstractNumId w:val="13"/>
  </w:num>
  <w:num w:numId="10">
    <w:abstractNumId w:val="9"/>
  </w:num>
  <w:num w:numId="11">
    <w:abstractNumId w:val="17"/>
  </w:num>
  <w:num w:numId="12">
    <w:abstractNumId w:val="3"/>
  </w:num>
  <w:num w:numId="13">
    <w:abstractNumId w:val="1"/>
  </w:num>
  <w:num w:numId="14">
    <w:abstractNumId w:val="8"/>
  </w:num>
  <w:num w:numId="15">
    <w:abstractNumId w:val="5"/>
  </w:num>
  <w:num w:numId="16">
    <w:abstractNumId w:val="4"/>
  </w:num>
  <w:num w:numId="17">
    <w:abstractNumId w:val="2"/>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97"/>
    <w:rsid w:val="0001455A"/>
    <w:rsid w:val="00017616"/>
    <w:rsid w:val="00023BB3"/>
    <w:rsid w:val="00025B81"/>
    <w:rsid w:val="0004087C"/>
    <w:rsid w:val="00041FCA"/>
    <w:rsid w:val="00045292"/>
    <w:rsid w:val="00046D1E"/>
    <w:rsid w:val="00050498"/>
    <w:rsid w:val="000533B1"/>
    <w:rsid w:val="000539E1"/>
    <w:rsid w:val="00055DE6"/>
    <w:rsid w:val="00065BB2"/>
    <w:rsid w:val="00067675"/>
    <w:rsid w:val="00090459"/>
    <w:rsid w:val="0009627D"/>
    <w:rsid w:val="000A088A"/>
    <w:rsid w:val="000A4FBE"/>
    <w:rsid w:val="000B1775"/>
    <w:rsid w:val="000B54AF"/>
    <w:rsid w:val="000B667F"/>
    <w:rsid w:val="000C1B75"/>
    <w:rsid w:val="000D0098"/>
    <w:rsid w:val="000D6ED1"/>
    <w:rsid w:val="00103C35"/>
    <w:rsid w:val="0010437F"/>
    <w:rsid w:val="00111725"/>
    <w:rsid w:val="00117786"/>
    <w:rsid w:val="0012119B"/>
    <w:rsid w:val="00123F3A"/>
    <w:rsid w:val="00130DDA"/>
    <w:rsid w:val="001318C3"/>
    <w:rsid w:val="001347A9"/>
    <w:rsid w:val="0014024D"/>
    <w:rsid w:val="0014119F"/>
    <w:rsid w:val="00152A55"/>
    <w:rsid w:val="00156C32"/>
    <w:rsid w:val="00160688"/>
    <w:rsid w:val="00163A8A"/>
    <w:rsid w:val="0017369C"/>
    <w:rsid w:val="00174068"/>
    <w:rsid w:val="00186D6F"/>
    <w:rsid w:val="001A2C95"/>
    <w:rsid w:val="001B12FC"/>
    <w:rsid w:val="001B6A7D"/>
    <w:rsid w:val="001D261B"/>
    <w:rsid w:val="001E1515"/>
    <w:rsid w:val="001F14D9"/>
    <w:rsid w:val="00204B8A"/>
    <w:rsid w:val="00210E69"/>
    <w:rsid w:val="00214C43"/>
    <w:rsid w:val="00220A02"/>
    <w:rsid w:val="002350D5"/>
    <w:rsid w:val="00237A88"/>
    <w:rsid w:val="0025021B"/>
    <w:rsid w:val="00256A88"/>
    <w:rsid w:val="00261CEB"/>
    <w:rsid w:val="00273DDD"/>
    <w:rsid w:val="002756BB"/>
    <w:rsid w:val="00282701"/>
    <w:rsid w:val="00283686"/>
    <w:rsid w:val="0028577E"/>
    <w:rsid w:val="002A0CE7"/>
    <w:rsid w:val="002A2A65"/>
    <w:rsid w:val="002A46BF"/>
    <w:rsid w:val="002C00C2"/>
    <w:rsid w:val="002D2C50"/>
    <w:rsid w:val="002D4316"/>
    <w:rsid w:val="002D51E4"/>
    <w:rsid w:val="002E43EF"/>
    <w:rsid w:val="002E73D1"/>
    <w:rsid w:val="002F50F6"/>
    <w:rsid w:val="002F5D12"/>
    <w:rsid w:val="003075A7"/>
    <w:rsid w:val="0033724C"/>
    <w:rsid w:val="00337700"/>
    <w:rsid w:val="00345AC3"/>
    <w:rsid w:val="00351023"/>
    <w:rsid w:val="00352D6A"/>
    <w:rsid w:val="00356F37"/>
    <w:rsid w:val="0036763D"/>
    <w:rsid w:val="0038226D"/>
    <w:rsid w:val="00384465"/>
    <w:rsid w:val="003948F1"/>
    <w:rsid w:val="003B603F"/>
    <w:rsid w:val="003B6270"/>
    <w:rsid w:val="003B6C36"/>
    <w:rsid w:val="003F4D06"/>
    <w:rsid w:val="00403EA0"/>
    <w:rsid w:val="0041785B"/>
    <w:rsid w:val="004263FA"/>
    <w:rsid w:val="004313A8"/>
    <w:rsid w:val="00434234"/>
    <w:rsid w:val="00443424"/>
    <w:rsid w:val="00444277"/>
    <w:rsid w:val="004442E2"/>
    <w:rsid w:val="0044569E"/>
    <w:rsid w:val="00447780"/>
    <w:rsid w:val="00451BC2"/>
    <w:rsid w:val="00463DDC"/>
    <w:rsid w:val="00476182"/>
    <w:rsid w:val="00486E9E"/>
    <w:rsid w:val="00490794"/>
    <w:rsid w:val="00491CE7"/>
    <w:rsid w:val="004963D6"/>
    <w:rsid w:val="004B3BCB"/>
    <w:rsid w:val="004C055F"/>
    <w:rsid w:val="004C415C"/>
    <w:rsid w:val="004D31C4"/>
    <w:rsid w:val="004D4FFE"/>
    <w:rsid w:val="004D5445"/>
    <w:rsid w:val="004E051E"/>
    <w:rsid w:val="004E5629"/>
    <w:rsid w:val="004E7AC1"/>
    <w:rsid w:val="004F7379"/>
    <w:rsid w:val="00511021"/>
    <w:rsid w:val="00525637"/>
    <w:rsid w:val="00527499"/>
    <w:rsid w:val="005363B9"/>
    <w:rsid w:val="005406FD"/>
    <w:rsid w:val="00545A15"/>
    <w:rsid w:val="005545E1"/>
    <w:rsid w:val="00563607"/>
    <w:rsid w:val="0056487B"/>
    <w:rsid w:val="00565155"/>
    <w:rsid w:val="00565794"/>
    <w:rsid w:val="005678B8"/>
    <w:rsid w:val="005759C4"/>
    <w:rsid w:val="00581056"/>
    <w:rsid w:val="005830A1"/>
    <w:rsid w:val="00584320"/>
    <w:rsid w:val="00585E6F"/>
    <w:rsid w:val="005921A6"/>
    <w:rsid w:val="00596661"/>
    <w:rsid w:val="00596F2B"/>
    <w:rsid w:val="005A37B2"/>
    <w:rsid w:val="005B4DCD"/>
    <w:rsid w:val="005C24BD"/>
    <w:rsid w:val="005D0C85"/>
    <w:rsid w:val="005D2748"/>
    <w:rsid w:val="005D36B7"/>
    <w:rsid w:val="005D5774"/>
    <w:rsid w:val="005D77A5"/>
    <w:rsid w:val="005D7F4C"/>
    <w:rsid w:val="005E7042"/>
    <w:rsid w:val="00601642"/>
    <w:rsid w:val="0061337F"/>
    <w:rsid w:val="00620A99"/>
    <w:rsid w:val="006519B1"/>
    <w:rsid w:val="00652FB6"/>
    <w:rsid w:val="0065594D"/>
    <w:rsid w:val="00656E6B"/>
    <w:rsid w:val="00657CCE"/>
    <w:rsid w:val="00664170"/>
    <w:rsid w:val="00670DFC"/>
    <w:rsid w:val="00680033"/>
    <w:rsid w:val="006967BB"/>
    <w:rsid w:val="006B0CFE"/>
    <w:rsid w:val="006B3757"/>
    <w:rsid w:val="006B41AD"/>
    <w:rsid w:val="006D3C85"/>
    <w:rsid w:val="006E6522"/>
    <w:rsid w:val="006E7A08"/>
    <w:rsid w:val="006F3504"/>
    <w:rsid w:val="007009E0"/>
    <w:rsid w:val="00703DA8"/>
    <w:rsid w:val="0070530C"/>
    <w:rsid w:val="007138EF"/>
    <w:rsid w:val="007465BE"/>
    <w:rsid w:val="00750C94"/>
    <w:rsid w:val="0075569A"/>
    <w:rsid w:val="00765BA9"/>
    <w:rsid w:val="00766011"/>
    <w:rsid w:val="00774BCD"/>
    <w:rsid w:val="007801D3"/>
    <w:rsid w:val="00782227"/>
    <w:rsid w:val="00790ADE"/>
    <w:rsid w:val="00791947"/>
    <w:rsid w:val="00796D92"/>
    <w:rsid w:val="007A60EE"/>
    <w:rsid w:val="007C5E45"/>
    <w:rsid w:val="007D2B8B"/>
    <w:rsid w:val="007D7785"/>
    <w:rsid w:val="007F3E93"/>
    <w:rsid w:val="00805589"/>
    <w:rsid w:val="008311BD"/>
    <w:rsid w:val="00851FCD"/>
    <w:rsid w:val="00861C74"/>
    <w:rsid w:val="008634C3"/>
    <w:rsid w:val="00871803"/>
    <w:rsid w:val="00875876"/>
    <w:rsid w:val="00877D01"/>
    <w:rsid w:val="008922BB"/>
    <w:rsid w:val="008C3E7C"/>
    <w:rsid w:val="008E3BF4"/>
    <w:rsid w:val="008E627A"/>
    <w:rsid w:val="008F00AC"/>
    <w:rsid w:val="008F5FB8"/>
    <w:rsid w:val="008F7DC2"/>
    <w:rsid w:val="00902A6C"/>
    <w:rsid w:val="00904E30"/>
    <w:rsid w:val="0090681C"/>
    <w:rsid w:val="0090737D"/>
    <w:rsid w:val="00930F09"/>
    <w:rsid w:val="00941960"/>
    <w:rsid w:val="0095342B"/>
    <w:rsid w:val="00956553"/>
    <w:rsid w:val="00961CAD"/>
    <w:rsid w:val="00975BB6"/>
    <w:rsid w:val="00986B9D"/>
    <w:rsid w:val="00994BBA"/>
    <w:rsid w:val="00997CF5"/>
    <w:rsid w:val="00997E8B"/>
    <w:rsid w:val="009B2157"/>
    <w:rsid w:val="009B37A3"/>
    <w:rsid w:val="009B3803"/>
    <w:rsid w:val="009C2D9B"/>
    <w:rsid w:val="009D3FA8"/>
    <w:rsid w:val="009D5093"/>
    <w:rsid w:val="009E219B"/>
    <w:rsid w:val="009E47AF"/>
    <w:rsid w:val="009F21F2"/>
    <w:rsid w:val="009F7850"/>
    <w:rsid w:val="00A05226"/>
    <w:rsid w:val="00A11853"/>
    <w:rsid w:val="00A175CE"/>
    <w:rsid w:val="00A3766A"/>
    <w:rsid w:val="00A46B09"/>
    <w:rsid w:val="00A4705A"/>
    <w:rsid w:val="00A57DE5"/>
    <w:rsid w:val="00A71C46"/>
    <w:rsid w:val="00A7411B"/>
    <w:rsid w:val="00AA0A16"/>
    <w:rsid w:val="00AA5F0E"/>
    <w:rsid w:val="00AC705B"/>
    <w:rsid w:val="00AD40D1"/>
    <w:rsid w:val="00AD7D27"/>
    <w:rsid w:val="00AE0254"/>
    <w:rsid w:val="00AE2330"/>
    <w:rsid w:val="00AE3039"/>
    <w:rsid w:val="00AF33D8"/>
    <w:rsid w:val="00AF3566"/>
    <w:rsid w:val="00AF39D2"/>
    <w:rsid w:val="00B05EA6"/>
    <w:rsid w:val="00B073DD"/>
    <w:rsid w:val="00B33F88"/>
    <w:rsid w:val="00B47071"/>
    <w:rsid w:val="00B474AB"/>
    <w:rsid w:val="00B627B9"/>
    <w:rsid w:val="00B7256C"/>
    <w:rsid w:val="00B730F7"/>
    <w:rsid w:val="00B91E77"/>
    <w:rsid w:val="00BB0D26"/>
    <w:rsid w:val="00BE6536"/>
    <w:rsid w:val="00C0356C"/>
    <w:rsid w:val="00C0405A"/>
    <w:rsid w:val="00C141BB"/>
    <w:rsid w:val="00C21020"/>
    <w:rsid w:val="00C41FD9"/>
    <w:rsid w:val="00C47F92"/>
    <w:rsid w:val="00C50F2B"/>
    <w:rsid w:val="00C53485"/>
    <w:rsid w:val="00C54ED6"/>
    <w:rsid w:val="00C6372C"/>
    <w:rsid w:val="00C67580"/>
    <w:rsid w:val="00C73ADB"/>
    <w:rsid w:val="00CB3652"/>
    <w:rsid w:val="00CB7227"/>
    <w:rsid w:val="00CC51FD"/>
    <w:rsid w:val="00CD6379"/>
    <w:rsid w:val="00D01729"/>
    <w:rsid w:val="00D03948"/>
    <w:rsid w:val="00D178B7"/>
    <w:rsid w:val="00D25949"/>
    <w:rsid w:val="00D34D32"/>
    <w:rsid w:val="00D441DD"/>
    <w:rsid w:val="00D4464B"/>
    <w:rsid w:val="00D458C5"/>
    <w:rsid w:val="00D50C3C"/>
    <w:rsid w:val="00D57FB3"/>
    <w:rsid w:val="00D601EF"/>
    <w:rsid w:val="00D63FB6"/>
    <w:rsid w:val="00D67A68"/>
    <w:rsid w:val="00D77A73"/>
    <w:rsid w:val="00D8002C"/>
    <w:rsid w:val="00D86890"/>
    <w:rsid w:val="00D9180A"/>
    <w:rsid w:val="00D95797"/>
    <w:rsid w:val="00DA64AF"/>
    <w:rsid w:val="00DC36EF"/>
    <w:rsid w:val="00DD71CD"/>
    <w:rsid w:val="00DE46DF"/>
    <w:rsid w:val="00DE7856"/>
    <w:rsid w:val="00E11FF2"/>
    <w:rsid w:val="00E20850"/>
    <w:rsid w:val="00E323DC"/>
    <w:rsid w:val="00E337DB"/>
    <w:rsid w:val="00E34844"/>
    <w:rsid w:val="00E41AE1"/>
    <w:rsid w:val="00E47E7E"/>
    <w:rsid w:val="00E9281A"/>
    <w:rsid w:val="00E92ABC"/>
    <w:rsid w:val="00EA2628"/>
    <w:rsid w:val="00EA3C07"/>
    <w:rsid w:val="00EB746A"/>
    <w:rsid w:val="00EB7610"/>
    <w:rsid w:val="00EC104F"/>
    <w:rsid w:val="00EC6994"/>
    <w:rsid w:val="00ED48E1"/>
    <w:rsid w:val="00ED634B"/>
    <w:rsid w:val="00ED6D97"/>
    <w:rsid w:val="00EE66FE"/>
    <w:rsid w:val="00EF283C"/>
    <w:rsid w:val="00EF3143"/>
    <w:rsid w:val="00EF65D5"/>
    <w:rsid w:val="00EF75B3"/>
    <w:rsid w:val="00F0069F"/>
    <w:rsid w:val="00F15098"/>
    <w:rsid w:val="00F46571"/>
    <w:rsid w:val="00F47663"/>
    <w:rsid w:val="00F47794"/>
    <w:rsid w:val="00F47D25"/>
    <w:rsid w:val="00F5043C"/>
    <w:rsid w:val="00F50776"/>
    <w:rsid w:val="00F5170C"/>
    <w:rsid w:val="00F51B04"/>
    <w:rsid w:val="00F57027"/>
    <w:rsid w:val="00F6271A"/>
    <w:rsid w:val="00F8016D"/>
    <w:rsid w:val="00F90040"/>
    <w:rsid w:val="00F96656"/>
    <w:rsid w:val="00FA221E"/>
    <w:rsid w:val="00FD4134"/>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97"/>
    <w:rPr>
      <w:rFonts w:ascii="Times New Roman" w:eastAsia="Times New Roman" w:hAnsi="Times New Roman" w:cs="Times New Roman"/>
    </w:rPr>
  </w:style>
  <w:style w:type="paragraph" w:styleId="Heading1">
    <w:name w:val="heading 1"/>
    <w:basedOn w:val="Normal"/>
    <w:next w:val="Normal"/>
    <w:link w:val="Heading1Char"/>
    <w:qFormat/>
    <w:rsid w:val="000D6ED1"/>
    <w:pPr>
      <w:numPr>
        <w:numId w:val="19"/>
      </w:numPr>
      <w:tabs>
        <w:tab w:val="clear" w:pos="720"/>
      </w:tabs>
      <w:spacing w:after="240"/>
      <w:jc w:val="both"/>
      <w:outlineLvl w:val="0"/>
    </w:pPr>
    <w:rPr>
      <w:b/>
      <w:caps/>
      <w:szCs w:val="20"/>
      <w:u w:val="single"/>
    </w:rPr>
  </w:style>
  <w:style w:type="paragraph" w:styleId="Heading2">
    <w:name w:val="heading 2"/>
    <w:basedOn w:val="Normal"/>
    <w:next w:val="Normal"/>
    <w:link w:val="Heading2Char"/>
    <w:uiPriority w:val="9"/>
    <w:unhideWhenUsed/>
    <w:qFormat/>
    <w:rsid w:val="000D6ED1"/>
    <w:pPr>
      <w:numPr>
        <w:ilvl w:val="1"/>
        <w:numId w:val="19"/>
      </w:numPr>
      <w:spacing w:after="240"/>
      <w:jc w:val="both"/>
      <w:outlineLvl w:val="1"/>
    </w:pPr>
    <w:rPr>
      <w:rFonts w:eastAsiaTheme="majorEastAsia"/>
      <w:b/>
      <w:bCs/>
      <w:szCs w:val="26"/>
    </w:rPr>
  </w:style>
  <w:style w:type="paragraph" w:styleId="Heading3">
    <w:name w:val="heading 3"/>
    <w:basedOn w:val="Normal"/>
    <w:next w:val="Normal"/>
    <w:link w:val="Heading3Char"/>
    <w:uiPriority w:val="9"/>
    <w:unhideWhenUsed/>
    <w:qFormat/>
    <w:rsid w:val="000D6ED1"/>
    <w:pPr>
      <w:numPr>
        <w:ilvl w:val="2"/>
        <w:numId w:val="19"/>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0D6ED1"/>
    <w:pPr>
      <w:numPr>
        <w:ilvl w:val="3"/>
        <w:numId w:val="19"/>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0D6ED1"/>
    <w:pPr>
      <w:numPr>
        <w:ilvl w:val="4"/>
        <w:numId w:val="19"/>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0D6ED1"/>
    <w:pPr>
      <w:numPr>
        <w:ilvl w:val="5"/>
        <w:numId w:val="19"/>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0D6ED1"/>
    <w:pPr>
      <w:numPr>
        <w:ilvl w:val="6"/>
        <w:numId w:val="19"/>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0D6ED1"/>
    <w:pPr>
      <w:numPr>
        <w:ilvl w:val="7"/>
        <w:numId w:val="19"/>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0D6ED1"/>
    <w:pPr>
      <w:numPr>
        <w:ilvl w:val="8"/>
        <w:numId w:val="19"/>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ED1"/>
    <w:rPr>
      <w:rFonts w:ascii="Times New Roman" w:eastAsia="Times New Roman" w:hAnsi="Times New Roman" w:cs="Times New Roman"/>
      <w:b/>
      <w:caps/>
      <w:szCs w:val="20"/>
      <w:u w:val="single"/>
    </w:rPr>
  </w:style>
  <w:style w:type="paragraph" w:styleId="BodyText">
    <w:name w:val="Body Text"/>
    <w:basedOn w:val="Normal"/>
    <w:link w:val="BodyTextChar"/>
    <w:rsid w:val="00D95797"/>
    <w:pPr>
      <w:tabs>
        <w:tab w:val="left" w:pos="-1440"/>
        <w:tab w:val="left" w:pos="-720"/>
        <w:tab w:val="left" w:pos="5040"/>
        <w:tab w:val="center" w:pos="7200"/>
      </w:tabs>
      <w:overflowPunct w:val="0"/>
      <w:autoSpaceDE w:val="0"/>
      <w:autoSpaceDN w:val="0"/>
      <w:adjustRightInd w:val="0"/>
      <w:jc w:val="both"/>
    </w:pPr>
    <w:rPr>
      <w:rFonts w:ascii="Arial" w:hAnsi="Arial"/>
      <w:b/>
      <w:smallCaps/>
      <w:szCs w:val="20"/>
    </w:rPr>
  </w:style>
  <w:style w:type="character" w:customStyle="1" w:styleId="BodyTextChar">
    <w:name w:val="Body Text Char"/>
    <w:basedOn w:val="DefaultParagraphFont"/>
    <w:link w:val="BodyText"/>
    <w:rsid w:val="00D95797"/>
    <w:rPr>
      <w:rFonts w:eastAsia="Times New Roman" w:cs="Times New Roman"/>
      <w:b/>
      <w:smallCaps/>
      <w:szCs w:val="20"/>
    </w:rPr>
  </w:style>
  <w:style w:type="paragraph" w:styleId="HTMLPreformatted">
    <w:name w:val="HTML Preformatted"/>
    <w:basedOn w:val="Normal"/>
    <w:link w:val="HTMLPreformattedChar"/>
    <w:rsid w:val="00D9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D95797"/>
    <w:rPr>
      <w:rFonts w:ascii="Courier New" w:eastAsia="Courier New" w:hAnsi="Courier New" w:cs="Times New Roman"/>
      <w:sz w:val="20"/>
    </w:rPr>
  </w:style>
  <w:style w:type="paragraph" w:styleId="BodyTextIndent3">
    <w:name w:val="Body Text Indent 3"/>
    <w:basedOn w:val="Normal"/>
    <w:link w:val="BodyTextIndent3Char"/>
    <w:rsid w:val="00D95797"/>
    <w:pPr>
      <w:spacing w:after="120"/>
      <w:ind w:left="360"/>
    </w:pPr>
    <w:rPr>
      <w:sz w:val="16"/>
      <w:szCs w:val="16"/>
    </w:rPr>
  </w:style>
  <w:style w:type="character" w:customStyle="1" w:styleId="BodyTextIndent3Char">
    <w:name w:val="Body Text Indent 3 Char"/>
    <w:basedOn w:val="DefaultParagraphFont"/>
    <w:link w:val="BodyTextIndent3"/>
    <w:rsid w:val="00D95797"/>
    <w:rPr>
      <w:rFonts w:ascii="Times New Roman" w:eastAsia="Times New Roman" w:hAnsi="Times New Roman" w:cs="Times New Roman"/>
      <w:sz w:val="16"/>
      <w:szCs w:val="16"/>
    </w:rPr>
  </w:style>
  <w:style w:type="paragraph" w:customStyle="1" w:styleId="1definition">
    <w:name w:val="1definition"/>
    <w:basedOn w:val="Normal"/>
    <w:rsid w:val="00D95797"/>
    <w:pPr>
      <w:suppressAutoHyphens/>
      <w:spacing w:line="480" w:lineRule="auto"/>
      <w:jc w:val="both"/>
    </w:pPr>
    <w:rPr>
      <w:rFonts w:ascii="Arial" w:hAnsi="Arial" w:cs="Arial"/>
      <w:spacing w:val="-3"/>
    </w:rPr>
  </w:style>
  <w:style w:type="paragraph" w:customStyle="1" w:styleId="1AdefinitionA">
    <w:name w:val="1Adefinition(A)"/>
    <w:basedOn w:val="Normal"/>
    <w:rsid w:val="00D95797"/>
    <w:pPr>
      <w:tabs>
        <w:tab w:val="left" w:pos="-1440"/>
        <w:tab w:val="left" w:pos="-720"/>
      </w:tabs>
      <w:suppressAutoHyphens/>
      <w:spacing w:before="120" w:line="480" w:lineRule="auto"/>
      <w:ind w:left="720"/>
      <w:jc w:val="both"/>
    </w:pPr>
    <w:rPr>
      <w:rFonts w:ascii="Arial" w:hAnsi="Arial" w:cs="Arial"/>
      <w:spacing w:val="-3"/>
    </w:rPr>
  </w:style>
  <w:style w:type="paragraph" w:styleId="BodyText3">
    <w:name w:val="Body Text 3"/>
    <w:basedOn w:val="Normal"/>
    <w:link w:val="BodyText3Char"/>
    <w:rsid w:val="00D95797"/>
    <w:pPr>
      <w:spacing w:after="120"/>
    </w:pPr>
    <w:rPr>
      <w:sz w:val="16"/>
      <w:szCs w:val="16"/>
    </w:rPr>
  </w:style>
  <w:style w:type="character" w:customStyle="1" w:styleId="BodyText3Char">
    <w:name w:val="Body Text 3 Char"/>
    <w:basedOn w:val="DefaultParagraphFont"/>
    <w:link w:val="BodyText3"/>
    <w:rsid w:val="00D9579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D95797"/>
    <w:pPr>
      <w:tabs>
        <w:tab w:val="center" w:pos="4680"/>
        <w:tab w:val="right" w:pos="9360"/>
      </w:tabs>
    </w:pPr>
  </w:style>
  <w:style w:type="character" w:customStyle="1" w:styleId="HeaderChar">
    <w:name w:val="Header Char"/>
    <w:basedOn w:val="DefaultParagraphFont"/>
    <w:link w:val="Header"/>
    <w:uiPriority w:val="99"/>
    <w:rsid w:val="00D95797"/>
    <w:rPr>
      <w:rFonts w:ascii="Times New Roman" w:eastAsia="Times New Roman" w:hAnsi="Times New Roman" w:cs="Times New Roman"/>
    </w:rPr>
  </w:style>
  <w:style w:type="paragraph" w:styleId="Footer">
    <w:name w:val="footer"/>
    <w:basedOn w:val="Normal"/>
    <w:link w:val="FooterChar"/>
    <w:uiPriority w:val="99"/>
    <w:unhideWhenUsed/>
    <w:rsid w:val="00D95797"/>
    <w:pPr>
      <w:tabs>
        <w:tab w:val="center" w:pos="4680"/>
        <w:tab w:val="right" w:pos="9360"/>
      </w:tabs>
    </w:pPr>
  </w:style>
  <w:style w:type="character" w:customStyle="1" w:styleId="FooterChar">
    <w:name w:val="Footer Char"/>
    <w:basedOn w:val="DefaultParagraphFont"/>
    <w:link w:val="Footer"/>
    <w:uiPriority w:val="99"/>
    <w:rsid w:val="00D95797"/>
    <w:rPr>
      <w:rFonts w:ascii="Times New Roman" w:eastAsia="Times New Roman" w:hAnsi="Times New Roman" w:cs="Times New Roman"/>
    </w:rPr>
  </w:style>
  <w:style w:type="paragraph" w:styleId="ListParagraph">
    <w:name w:val="List Paragraph"/>
    <w:basedOn w:val="Normal"/>
    <w:uiPriority w:val="34"/>
    <w:qFormat/>
    <w:rsid w:val="00F47794"/>
    <w:pPr>
      <w:ind w:left="720"/>
      <w:contextualSpacing/>
    </w:pPr>
  </w:style>
  <w:style w:type="paragraph" w:styleId="BalloonText">
    <w:name w:val="Balloon Text"/>
    <w:basedOn w:val="Normal"/>
    <w:link w:val="BalloonTextChar"/>
    <w:uiPriority w:val="99"/>
    <w:semiHidden/>
    <w:unhideWhenUsed/>
    <w:rsid w:val="00283686"/>
    <w:rPr>
      <w:rFonts w:ascii="Tahoma" w:hAnsi="Tahoma" w:cs="Tahoma"/>
      <w:sz w:val="16"/>
      <w:szCs w:val="16"/>
    </w:rPr>
  </w:style>
  <w:style w:type="character" w:customStyle="1" w:styleId="BalloonTextChar">
    <w:name w:val="Balloon Text Char"/>
    <w:basedOn w:val="DefaultParagraphFont"/>
    <w:link w:val="BalloonText"/>
    <w:uiPriority w:val="99"/>
    <w:semiHidden/>
    <w:rsid w:val="00283686"/>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0D6ED1"/>
    <w:rPr>
      <w:rFonts w:ascii="Times New Roman" w:eastAsiaTheme="majorEastAsia" w:hAnsi="Times New Roman" w:cs="Times New Roman"/>
      <w:b/>
      <w:bCs/>
      <w:i/>
      <w:iCs/>
    </w:rPr>
  </w:style>
  <w:style w:type="character" w:styleId="Hyperlink">
    <w:name w:val="Hyperlink"/>
    <w:basedOn w:val="DefaultParagraphFont"/>
    <w:uiPriority w:val="99"/>
    <w:unhideWhenUsed/>
    <w:rsid w:val="00F8016D"/>
    <w:rPr>
      <w:color w:val="0000FF" w:themeColor="hyperlink"/>
      <w:u w:val="single"/>
    </w:rPr>
  </w:style>
  <w:style w:type="paragraph" w:styleId="FootnoteText">
    <w:name w:val="footnote text"/>
    <w:basedOn w:val="Normal"/>
    <w:link w:val="FootnoteTextChar"/>
    <w:uiPriority w:val="99"/>
    <w:unhideWhenUsed/>
    <w:rsid w:val="00F50776"/>
    <w:rPr>
      <w:rFonts w:eastAsiaTheme="minorHAnsi" w:cstheme="minorBidi"/>
      <w:sz w:val="20"/>
      <w:szCs w:val="20"/>
    </w:rPr>
  </w:style>
  <w:style w:type="character" w:customStyle="1" w:styleId="FootnoteTextChar">
    <w:name w:val="Footnote Text Char"/>
    <w:basedOn w:val="DefaultParagraphFont"/>
    <w:link w:val="FootnoteText"/>
    <w:uiPriority w:val="99"/>
    <w:rsid w:val="00F50776"/>
    <w:rPr>
      <w:rFonts w:ascii="Times New Roman" w:hAnsi="Times New Roman"/>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F50776"/>
    <w:rPr>
      <w:vertAlign w:val="superscript"/>
    </w:rPr>
  </w:style>
  <w:style w:type="paragraph" w:styleId="EndnoteText">
    <w:name w:val="endnote text"/>
    <w:basedOn w:val="Normal"/>
    <w:link w:val="EndnoteTextChar"/>
    <w:uiPriority w:val="99"/>
    <w:semiHidden/>
    <w:unhideWhenUsed/>
    <w:rsid w:val="0004087C"/>
    <w:rPr>
      <w:sz w:val="20"/>
      <w:szCs w:val="20"/>
    </w:rPr>
  </w:style>
  <w:style w:type="character" w:customStyle="1" w:styleId="EndnoteTextChar">
    <w:name w:val="Endnote Text Char"/>
    <w:basedOn w:val="DefaultParagraphFont"/>
    <w:link w:val="EndnoteText"/>
    <w:uiPriority w:val="99"/>
    <w:semiHidden/>
    <w:rsid w:val="0004087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4087C"/>
    <w:rPr>
      <w:vertAlign w:val="superscript"/>
    </w:rPr>
  </w:style>
  <w:style w:type="table" w:styleId="TableGrid">
    <w:name w:val="Table Grid"/>
    <w:basedOn w:val="TableNormal"/>
    <w:uiPriority w:val="59"/>
    <w:rsid w:val="009B2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9B3803"/>
    <w:pPr>
      <w:spacing w:after="120" w:line="480" w:lineRule="auto"/>
      <w:ind w:left="360"/>
    </w:pPr>
  </w:style>
  <w:style w:type="character" w:customStyle="1" w:styleId="BodyTextIndent2Char">
    <w:name w:val="Body Text Indent 2 Char"/>
    <w:basedOn w:val="DefaultParagraphFont"/>
    <w:link w:val="BodyTextIndent2"/>
    <w:uiPriority w:val="99"/>
    <w:semiHidden/>
    <w:rsid w:val="009B380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9180A"/>
    <w:rPr>
      <w:sz w:val="16"/>
      <w:szCs w:val="16"/>
    </w:rPr>
  </w:style>
  <w:style w:type="paragraph" w:styleId="CommentText">
    <w:name w:val="annotation text"/>
    <w:basedOn w:val="Normal"/>
    <w:link w:val="CommentTextChar"/>
    <w:uiPriority w:val="99"/>
    <w:semiHidden/>
    <w:unhideWhenUsed/>
    <w:rsid w:val="00D9180A"/>
    <w:rPr>
      <w:sz w:val="20"/>
      <w:szCs w:val="20"/>
    </w:rPr>
  </w:style>
  <w:style w:type="character" w:customStyle="1" w:styleId="CommentTextChar">
    <w:name w:val="Comment Text Char"/>
    <w:basedOn w:val="DefaultParagraphFont"/>
    <w:link w:val="CommentText"/>
    <w:uiPriority w:val="99"/>
    <w:semiHidden/>
    <w:rsid w:val="00D918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80A"/>
    <w:rPr>
      <w:b/>
      <w:bCs/>
    </w:rPr>
  </w:style>
  <w:style w:type="character" w:customStyle="1" w:styleId="CommentSubjectChar">
    <w:name w:val="Comment Subject Char"/>
    <w:basedOn w:val="CommentTextChar"/>
    <w:link w:val="CommentSubject"/>
    <w:uiPriority w:val="99"/>
    <w:semiHidden/>
    <w:rsid w:val="00D9180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0D6ED1"/>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0D6ED1"/>
    <w:rPr>
      <w:rFonts w:ascii="Times New Roman" w:eastAsiaTheme="majorEastAsia" w:hAnsi="Times New Roman" w:cs="Times New Roman"/>
      <w:b/>
      <w:bCs/>
    </w:rPr>
  </w:style>
  <w:style w:type="character" w:customStyle="1" w:styleId="Heading5Char">
    <w:name w:val="Heading 5 Char"/>
    <w:basedOn w:val="DefaultParagraphFont"/>
    <w:link w:val="Heading5"/>
    <w:uiPriority w:val="9"/>
    <w:semiHidden/>
    <w:rsid w:val="000D6ED1"/>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rsid w:val="000D6ED1"/>
    <w:rPr>
      <w:rFonts w:asciiTheme="majorHAnsi" w:eastAsiaTheme="majorEastAsia" w:hAnsiTheme="majorHAnsi" w:cs="Times New Roman"/>
      <w:iCs/>
      <w:color w:val="243F60" w:themeColor="accent1" w:themeShade="7F"/>
    </w:rPr>
  </w:style>
  <w:style w:type="character" w:customStyle="1" w:styleId="Heading7Char">
    <w:name w:val="Heading 7 Char"/>
    <w:basedOn w:val="DefaultParagraphFont"/>
    <w:link w:val="Heading7"/>
    <w:uiPriority w:val="9"/>
    <w:semiHidden/>
    <w:rsid w:val="000D6ED1"/>
    <w:rPr>
      <w:rFonts w:asciiTheme="majorHAnsi" w:eastAsiaTheme="majorEastAsia" w:hAnsiTheme="majorHAnsi" w:cs="Times New Roman"/>
      <w:iCs/>
      <w:color w:val="404040" w:themeColor="text1" w:themeTint="BF"/>
    </w:rPr>
  </w:style>
  <w:style w:type="character" w:customStyle="1" w:styleId="Heading8Char">
    <w:name w:val="Heading 8 Char"/>
    <w:basedOn w:val="DefaultParagraphFont"/>
    <w:link w:val="Heading8"/>
    <w:uiPriority w:val="9"/>
    <w:semiHidden/>
    <w:rsid w:val="000D6ED1"/>
    <w:rPr>
      <w:rFonts w:asciiTheme="majorHAnsi" w:eastAsiaTheme="majorEastAsia" w:hAnsiTheme="majorHAnsi" w:cs="Times New Roman"/>
      <w:color w:val="404040" w:themeColor="text1" w:themeTint="BF"/>
      <w:szCs w:val="20"/>
    </w:rPr>
  </w:style>
  <w:style w:type="character" w:customStyle="1" w:styleId="Heading9Char">
    <w:name w:val="Heading 9 Char"/>
    <w:basedOn w:val="DefaultParagraphFont"/>
    <w:link w:val="Heading9"/>
    <w:uiPriority w:val="9"/>
    <w:semiHidden/>
    <w:rsid w:val="000D6ED1"/>
    <w:rPr>
      <w:rFonts w:asciiTheme="majorHAnsi" w:eastAsiaTheme="majorEastAsia" w:hAnsiTheme="majorHAnsi" w:cs="Times New Roman"/>
      <w:iCs/>
      <w:color w:val="404040" w:themeColor="text1" w:themeTint="BF"/>
      <w:szCs w:val="20"/>
    </w:rPr>
  </w:style>
  <w:style w:type="paragraph" w:styleId="TOCHeading">
    <w:name w:val="TOC Heading"/>
    <w:basedOn w:val="Normal"/>
    <w:next w:val="TOC1"/>
    <w:uiPriority w:val="39"/>
    <w:unhideWhenUsed/>
    <w:qFormat/>
    <w:rsid w:val="000D6ED1"/>
    <w:pPr>
      <w:keepNext/>
      <w:keepLines/>
      <w:spacing w:before="480" w:after="240"/>
      <w:jc w:val="center"/>
    </w:pPr>
    <w:rPr>
      <w:rFonts w:eastAsiaTheme="majorEastAsia"/>
      <w:b/>
      <w:bCs/>
      <w:color w:val="365F91" w:themeColor="accent1" w:themeShade="BF"/>
      <w:szCs w:val="28"/>
    </w:rPr>
  </w:style>
  <w:style w:type="paragraph" w:styleId="TOC1">
    <w:name w:val="toc 1"/>
    <w:basedOn w:val="Normal"/>
    <w:next w:val="Normal"/>
    <w:autoRedefine/>
    <w:uiPriority w:val="39"/>
    <w:unhideWhenUsed/>
    <w:rsid w:val="000D6ED1"/>
    <w:pPr>
      <w:tabs>
        <w:tab w:val="left" w:pos="720"/>
        <w:tab w:val="right" w:leader="dot" w:pos="9350"/>
      </w:tabs>
      <w:spacing w:after="100"/>
    </w:pPr>
  </w:style>
  <w:style w:type="paragraph" w:styleId="TOC2">
    <w:name w:val="toc 2"/>
    <w:basedOn w:val="Normal"/>
    <w:next w:val="Normal"/>
    <w:autoRedefine/>
    <w:uiPriority w:val="39"/>
    <w:unhideWhenUsed/>
    <w:rsid w:val="00B7256C"/>
    <w:pPr>
      <w:tabs>
        <w:tab w:val="left" w:pos="1440"/>
        <w:tab w:val="right" w:leader="dot" w:pos="9360"/>
      </w:tabs>
      <w:spacing w:after="100"/>
      <w:ind w:left="1440" w:right="720" w:hanging="720"/>
      <w:jc w:val="both"/>
    </w:pPr>
    <w:rPr>
      <w:rFonts w:ascii="Arial" w:hAnsi="Arial" w:cs="Arial"/>
      <w:noProof/>
      <w:color w:val="010000"/>
    </w:rPr>
  </w:style>
  <w:style w:type="paragraph" w:styleId="TOC3">
    <w:name w:val="toc 3"/>
    <w:basedOn w:val="Normal"/>
    <w:next w:val="Normal"/>
    <w:autoRedefine/>
    <w:uiPriority w:val="39"/>
    <w:unhideWhenUsed/>
    <w:rsid w:val="00B7256C"/>
    <w:pPr>
      <w:tabs>
        <w:tab w:val="left" w:pos="1800"/>
        <w:tab w:val="right" w:leader="dot" w:pos="9360"/>
      </w:tabs>
      <w:spacing w:after="100"/>
      <w:ind w:left="1800" w:hanging="360"/>
    </w:pPr>
    <w:rPr>
      <w:rFonts w:ascii="Arial" w:eastAsia="Calibri" w:hAnsi="Arial" w:cs="Arial"/>
      <w:noProof/>
      <w:color w:val="010000"/>
    </w:rPr>
  </w:style>
  <w:style w:type="paragraph" w:styleId="TOC4">
    <w:name w:val="toc 4"/>
    <w:basedOn w:val="Normal"/>
    <w:next w:val="Normal"/>
    <w:autoRedefine/>
    <w:uiPriority w:val="39"/>
    <w:semiHidden/>
    <w:unhideWhenUsed/>
    <w:rsid w:val="000D6ED1"/>
    <w:pPr>
      <w:spacing w:after="100"/>
      <w:ind w:left="720"/>
    </w:pPr>
  </w:style>
  <w:style w:type="paragraph" w:styleId="TOC5">
    <w:name w:val="toc 5"/>
    <w:basedOn w:val="Normal"/>
    <w:next w:val="Normal"/>
    <w:autoRedefine/>
    <w:uiPriority w:val="39"/>
    <w:semiHidden/>
    <w:unhideWhenUsed/>
    <w:rsid w:val="000D6ED1"/>
    <w:pPr>
      <w:spacing w:after="100"/>
      <w:ind w:left="960"/>
    </w:pPr>
  </w:style>
  <w:style w:type="paragraph" w:styleId="TOC6">
    <w:name w:val="toc 6"/>
    <w:basedOn w:val="Normal"/>
    <w:next w:val="Normal"/>
    <w:autoRedefine/>
    <w:uiPriority w:val="39"/>
    <w:semiHidden/>
    <w:unhideWhenUsed/>
    <w:rsid w:val="000D6ED1"/>
    <w:pPr>
      <w:spacing w:after="100"/>
      <w:ind w:left="1200"/>
    </w:pPr>
  </w:style>
  <w:style w:type="paragraph" w:styleId="TOC7">
    <w:name w:val="toc 7"/>
    <w:basedOn w:val="Normal"/>
    <w:next w:val="Normal"/>
    <w:autoRedefine/>
    <w:uiPriority w:val="39"/>
    <w:semiHidden/>
    <w:unhideWhenUsed/>
    <w:rsid w:val="000D6ED1"/>
    <w:pPr>
      <w:spacing w:after="100"/>
      <w:ind w:left="1440"/>
    </w:pPr>
  </w:style>
  <w:style w:type="paragraph" w:styleId="TOC8">
    <w:name w:val="toc 8"/>
    <w:basedOn w:val="Normal"/>
    <w:next w:val="Normal"/>
    <w:autoRedefine/>
    <w:uiPriority w:val="39"/>
    <w:semiHidden/>
    <w:unhideWhenUsed/>
    <w:rsid w:val="000D6ED1"/>
    <w:pPr>
      <w:spacing w:after="100"/>
      <w:ind w:left="1680"/>
    </w:pPr>
  </w:style>
  <w:style w:type="paragraph" w:styleId="TOC9">
    <w:name w:val="toc 9"/>
    <w:basedOn w:val="Normal"/>
    <w:next w:val="Normal"/>
    <w:autoRedefine/>
    <w:uiPriority w:val="39"/>
    <w:semiHidden/>
    <w:unhideWhenUsed/>
    <w:rsid w:val="000D6ED1"/>
    <w:pPr>
      <w:spacing w:after="100"/>
      <w:ind w:left="1920"/>
    </w:pPr>
  </w:style>
  <w:style w:type="paragraph" w:customStyle="1" w:styleId="TOCPage">
    <w:name w:val="TOC Page"/>
    <w:basedOn w:val="Normal"/>
    <w:next w:val="Normal"/>
    <w:link w:val="TOCPageChar"/>
    <w:rsid w:val="000D6ED1"/>
    <w:pPr>
      <w:spacing w:after="240"/>
      <w:jc w:val="right"/>
    </w:pPr>
    <w:rPr>
      <w:b/>
    </w:rPr>
  </w:style>
  <w:style w:type="character" w:customStyle="1" w:styleId="TOCPageChar">
    <w:name w:val="TOC Page Char"/>
    <w:basedOn w:val="DefaultParagraphFont"/>
    <w:link w:val="TOCPage"/>
    <w:rsid w:val="000D6ED1"/>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97"/>
    <w:rPr>
      <w:rFonts w:ascii="Times New Roman" w:eastAsia="Times New Roman" w:hAnsi="Times New Roman" w:cs="Times New Roman"/>
    </w:rPr>
  </w:style>
  <w:style w:type="paragraph" w:styleId="Heading1">
    <w:name w:val="heading 1"/>
    <w:basedOn w:val="Normal"/>
    <w:next w:val="Normal"/>
    <w:link w:val="Heading1Char"/>
    <w:qFormat/>
    <w:rsid w:val="000D6ED1"/>
    <w:pPr>
      <w:numPr>
        <w:numId w:val="19"/>
      </w:numPr>
      <w:tabs>
        <w:tab w:val="clear" w:pos="720"/>
      </w:tabs>
      <w:spacing w:after="240"/>
      <w:jc w:val="both"/>
      <w:outlineLvl w:val="0"/>
    </w:pPr>
    <w:rPr>
      <w:b/>
      <w:caps/>
      <w:szCs w:val="20"/>
      <w:u w:val="single"/>
    </w:rPr>
  </w:style>
  <w:style w:type="paragraph" w:styleId="Heading2">
    <w:name w:val="heading 2"/>
    <w:basedOn w:val="Normal"/>
    <w:next w:val="Normal"/>
    <w:link w:val="Heading2Char"/>
    <w:uiPriority w:val="9"/>
    <w:unhideWhenUsed/>
    <w:qFormat/>
    <w:rsid w:val="000D6ED1"/>
    <w:pPr>
      <w:numPr>
        <w:ilvl w:val="1"/>
        <w:numId w:val="19"/>
      </w:numPr>
      <w:spacing w:after="240"/>
      <w:jc w:val="both"/>
      <w:outlineLvl w:val="1"/>
    </w:pPr>
    <w:rPr>
      <w:rFonts w:eastAsiaTheme="majorEastAsia"/>
      <w:b/>
      <w:bCs/>
      <w:szCs w:val="26"/>
    </w:rPr>
  </w:style>
  <w:style w:type="paragraph" w:styleId="Heading3">
    <w:name w:val="heading 3"/>
    <w:basedOn w:val="Normal"/>
    <w:next w:val="Normal"/>
    <w:link w:val="Heading3Char"/>
    <w:uiPriority w:val="9"/>
    <w:unhideWhenUsed/>
    <w:qFormat/>
    <w:rsid w:val="000D6ED1"/>
    <w:pPr>
      <w:numPr>
        <w:ilvl w:val="2"/>
        <w:numId w:val="19"/>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0D6ED1"/>
    <w:pPr>
      <w:numPr>
        <w:ilvl w:val="3"/>
        <w:numId w:val="19"/>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0D6ED1"/>
    <w:pPr>
      <w:numPr>
        <w:ilvl w:val="4"/>
        <w:numId w:val="19"/>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0D6ED1"/>
    <w:pPr>
      <w:numPr>
        <w:ilvl w:val="5"/>
        <w:numId w:val="19"/>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0D6ED1"/>
    <w:pPr>
      <w:numPr>
        <w:ilvl w:val="6"/>
        <w:numId w:val="19"/>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0D6ED1"/>
    <w:pPr>
      <w:numPr>
        <w:ilvl w:val="7"/>
        <w:numId w:val="19"/>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0D6ED1"/>
    <w:pPr>
      <w:numPr>
        <w:ilvl w:val="8"/>
        <w:numId w:val="19"/>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ED1"/>
    <w:rPr>
      <w:rFonts w:ascii="Times New Roman" w:eastAsia="Times New Roman" w:hAnsi="Times New Roman" w:cs="Times New Roman"/>
      <w:b/>
      <w:caps/>
      <w:szCs w:val="20"/>
      <w:u w:val="single"/>
    </w:rPr>
  </w:style>
  <w:style w:type="paragraph" w:styleId="BodyText">
    <w:name w:val="Body Text"/>
    <w:basedOn w:val="Normal"/>
    <w:link w:val="BodyTextChar"/>
    <w:rsid w:val="00D95797"/>
    <w:pPr>
      <w:tabs>
        <w:tab w:val="left" w:pos="-1440"/>
        <w:tab w:val="left" w:pos="-720"/>
        <w:tab w:val="left" w:pos="5040"/>
        <w:tab w:val="center" w:pos="7200"/>
      </w:tabs>
      <w:overflowPunct w:val="0"/>
      <w:autoSpaceDE w:val="0"/>
      <w:autoSpaceDN w:val="0"/>
      <w:adjustRightInd w:val="0"/>
      <w:jc w:val="both"/>
    </w:pPr>
    <w:rPr>
      <w:rFonts w:ascii="Arial" w:hAnsi="Arial"/>
      <w:b/>
      <w:smallCaps/>
      <w:szCs w:val="20"/>
    </w:rPr>
  </w:style>
  <w:style w:type="character" w:customStyle="1" w:styleId="BodyTextChar">
    <w:name w:val="Body Text Char"/>
    <w:basedOn w:val="DefaultParagraphFont"/>
    <w:link w:val="BodyText"/>
    <w:rsid w:val="00D95797"/>
    <w:rPr>
      <w:rFonts w:eastAsia="Times New Roman" w:cs="Times New Roman"/>
      <w:b/>
      <w:smallCaps/>
      <w:szCs w:val="20"/>
    </w:rPr>
  </w:style>
  <w:style w:type="paragraph" w:styleId="HTMLPreformatted">
    <w:name w:val="HTML Preformatted"/>
    <w:basedOn w:val="Normal"/>
    <w:link w:val="HTMLPreformattedChar"/>
    <w:rsid w:val="00D95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character" w:customStyle="1" w:styleId="HTMLPreformattedChar">
    <w:name w:val="HTML Preformatted Char"/>
    <w:basedOn w:val="DefaultParagraphFont"/>
    <w:link w:val="HTMLPreformatted"/>
    <w:rsid w:val="00D95797"/>
    <w:rPr>
      <w:rFonts w:ascii="Courier New" w:eastAsia="Courier New" w:hAnsi="Courier New" w:cs="Times New Roman"/>
      <w:sz w:val="20"/>
    </w:rPr>
  </w:style>
  <w:style w:type="paragraph" w:styleId="BodyTextIndent3">
    <w:name w:val="Body Text Indent 3"/>
    <w:basedOn w:val="Normal"/>
    <w:link w:val="BodyTextIndent3Char"/>
    <w:rsid w:val="00D95797"/>
    <w:pPr>
      <w:spacing w:after="120"/>
      <w:ind w:left="360"/>
    </w:pPr>
    <w:rPr>
      <w:sz w:val="16"/>
      <w:szCs w:val="16"/>
    </w:rPr>
  </w:style>
  <w:style w:type="character" w:customStyle="1" w:styleId="BodyTextIndent3Char">
    <w:name w:val="Body Text Indent 3 Char"/>
    <w:basedOn w:val="DefaultParagraphFont"/>
    <w:link w:val="BodyTextIndent3"/>
    <w:rsid w:val="00D95797"/>
    <w:rPr>
      <w:rFonts w:ascii="Times New Roman" w:eastAsia="Times New Roman" w:hAnsi="Times New Roman" w:cs="Times New Roman"/>
      <w:sz w:val="16"/>
      <w:szCs w:val="16"/>
    </w:rPr>
  </w:style>
  <w:style w:type="paragraph" w:customStyle="1" w:styleId="1definition">
    <w:name w:val="1definition"/>
    <w:basedOn w:val="Normal"/>
    <w:rsid w:val="00D95797"/>
    <w:pPr>
      <w:suppressAutoHyphens/>
      <w:spacing w:line="480" w:lineRule="auto"/>
      <w:jc w:val="both"/>
    </w:pPr>
    <w:rPr>
      <w:rFonts w:ascii="Arial" w:hAnsi="Arial" w:cs="Arial"/>
      <w:spacing w:val="-3"/>
    </w:rPr>
  </w:style>
  <w:style w:type="paragraph" w:customStyle="1" w:styleId="1AdefinitionA">
    <w:name w:val="1Adefinition(A)"/>
    <w:basedOn w:val="Normal"/>
    <w:rsid w:val="00D95797"/>
    <w:pPr>
      <w:tabs>
        <w:tab w:val="left" w:pos="-1440"/>
        <w:tab w:val="left" w:pos="-720"/>
      </w:tabs>
      <w:suppressAutoHyphens/>
      <w:spacing w:before="120" w:line="480" w:lineRule="auto"/>
      <w:ind w:left="720"/>
      <w:jc w:val="both"/>
    </w:pPr>
    <w:rPr>
      <w:rFonts w:ascii="Arial" w:hAnsi="Arial" w:cs="Arial"/>
      <w:spacing w:val="-3"/>
    </w:rPr>
  </w:style>
  <w:style w:type="paragraph" w:styleId="BodyText3">
    <w:name w:val="Body Text 3"/>
    <w:basedOn w:val="Normal"/>
    <w:link w:val="BodyText3Char"/>
    <w:rsid w:val="00D95797"/>
    <w:pPr>
      <w:spacing w:after="120"/>
    </w:pPr>
    <w:rPr>
      <w:sz w:val="16"/>
      <w:szCs w:val="16"/>
    </w:rPr>
  </w:style>
  <w:style w:type="character" w:customStyle="1" w:styleId="BodyText3Char">
    <w:name w:val="Body Text 3 Char"/>
    <w:basedOn w:val="DefaultParagraphFont"/>
    <w:link w:val="BodyText3"/>
    <w:rsid w:val="00D95797"/>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D95797"/>
    <w:pPr>
      <w:tabs>
        <w:tab w:val="center" w:pos="4680"/>
        <w:tab w:val="right" w:pos="9360"/>
      </w:tabs>
    </w:pPr>
  </w:style>
  <w:style w:type="character" w:customStyle="1" w:styleId="HeaderChar">
    <w:name w:val="Header Char"/>
    <w:basedOn w:val="DefaultParagraphFont"/>
    <w:link w:val="Header"/>
    <w:uiPriority w:val="99"/>
    <w:rsid w:val="00D95797"/>
    <w:rPr>
      <w:rFonts w:ascii="Times New Roman" w:eastAsia="Times New Roman" w:hAnsi="Times New Roman" w:cs="Times New Roman"/>
    </w:rPr>
  </w:style>
  <w:style w:type="paragraph" w:styleId="Footer">
    <w:name w:val="footer"/>
    <w:basedOn w:val="Normal"/>
    <w:link w:val="FooterChar"/>
    <w:uiPriority w:val="99"/>
    <w:unhideWhenUsed/>
    <w:rsid w:val="00D95797"/>
    <w:pPr>
      <w:tabs>
        <w:tab w:val="center" w:pos="4680"/>
        <w:tab w:val="right" w:pos="9360"/>
      </w:tabs>
    </w:pPr>
  </w:style>
  <w:style w:type="character" w:customStyle="1" w:styleId="FooterChar">
    <w:name w:val="Footer Char"/>
    <w:basedOn w:val="DefaultParagraphFont"/>
    <w:link w:val="Footer"/>
    <w:uiPriority w:val="99"/>
    <w:rsid w:val="00D95797"/>
    <w:rPr>
      <w:rFonts w:ascii="Times New Roman" w:eastAsia="Times New Roman" w:hAnsi="Times New Roman" w:cs="Times New Roman"/>
    </w:rPr>
  </w:style>
  <w:style w:type="paragraph" w:styleId="ListParagraph">
    <w:name w:val="List Paragraph"/>
    <w:basedOn w:val="Normal"/>
    <w:uiPriority w:val="34"/>
    <w:qFormat/>
    <w:rsid w:val="00F47794"/>
    <w:pPr>
      <w:ind w:left="720"/>
      <w:contextualSpacing/>
    </w:pPr>
  </w:style>
  <w:style w:type="paragraph" w:styleId="BalloonText">
    <w:name w:val="Balloon Text"/>
    <w:basedOn w:val="Normal"/>
    <w:link w:val="BalloonTextChar"/>
    <w:uiPriority w:val="99"/>
    <w:semiHidden/>
    <w:unhideWhenUsed/>
    <w:rsid w:val="00283686"/>
    <w:rPr>
      <w:rFonts w:ascii="Tahoma" w:hAnsi="Tahoma" w:cs="Tahoma"/>
      <w:sz w:val="16"/>
      <w:szCs w:val="16"/>
    </w:rPr>
  </w:style>
  <w:style w:type="character" w:customStyle="1" w:styleId="BalloonTextChar">
    <w:name w:val="Balloon Text Char"/>
    <w:basedOn w:val="DefaultParagraphFont"/>
    <w:link w:val="BalloonText"/>
    <w:uiPriority w:val="99"/>
    <w:semiHidden/>
    <w:rsid w:val="00283686"/>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0D6ED1"/>
    <w:rPr>
      <w:rFonts w:ascii="Times New Roman" w:eastAsiaTheme="majorEastAsia" w:hAnsi="Times New Roman" w:cs="Times New Roman"/>
      <w:b/>
      <w:bCs/>
      <w:i/>
      <w:iCs/>
    </w:rPr>
  </w:style>
  <w:style w:type="character" w:styleId="Hyperlink">
    <w:name w:val="Hyperlink"/>
    <w:basedOn w:val="DefaultParagraphFont"/>
    <w:uiPriority w:val="99"/>
    <w:unhideWhenUsed/>
    <w:rsid w:val="00F8016D"/>
    <w:rPr>
      <w:color w:val="0000FF" w:themeColor="hyperlink"/>
      <w:u w:val="single"/>
    </w:rPr>
  </w:style>
  <w:style w:type="paragraph" w:styleId="FootnoteText">
    <w:name w:val="footnote text"/>
    <w:basedOn w:val="Normal"/>
    <w:link w:val="FootnoteTextChar"/>
    <w:uiPriority w:val="99"/>
    <w:unhideWhenUsed/>
    <w:rsid w:val="00F50776"/>
    <w:rPr>
      <w:rFonts w:eastAsiaTheme="minorHAnsi" w:cstheme="minorBidi"/>
      <w:sz w:val="20"/>
      <w:szCs w:val="20"/>
    </w:rPr>
  </w:style>
  <w:style w:type="character" w:customStyle="1" w:styleId="FootnoteTextChar">
    <w:name w:val="Footnote Text Char"/>
    <w:basedOn w:val="DefaultParagraphFont"/>
    <w:link w:val="FootnoteText"/>
    <w:uiPriority w:val="99"/>
    <w:rsid w:val="00F50776"/>
    <w:rPr>
      <w:rFonts w:ascii="Times New Roman" w:hAnsi="Times New Roman"/>
      <w:sz w:val="20"/>
      <w:szCs w:val="20"/>
    </w:rPr>
  </w:style>
  <w:style w:type="character" w:styleId="FootnoteReference">
    <w:name w:val="footnote reference"/>
    <w:aliases w:val="Style 42,o,fr,(NECG) Footnote Reference,Style 17,Style 20,Style 13,Style 12,o1,fr1,o2,fr2,o3,fr3,Style 15,Style 8,Style 9,Style 18,Style 7,Style 19,Style 28"/>
    <w:basedOn w:val="DefaultParagraphFont"/>
    <w:uiPriority w:val="99"/>
    <w:unhideWhenUsed/>
    <w:rsid w:val="00F50776"/>
    <w:rPr>
      <w:vertAlign w:val="superscript"/>
    </w:rPr>
  </w:style>
  <w:style w:type="paragraph" w:styleId="EndnoteText">
    <w:name w:val="endnote text"/>
    <w:basedOn w:val="Normal"/>
    <w:link w:val="EndnoteTextChar"/>
    <w:uiPriority w:val="99"/>
    <w:semiHidden/>
    <w:unhideWhenUsed/>
    <w:rsid w:val="0004087C"/>
    <w:rPr>
      <w:sz w:val="20"/>
      <w:szCs w:val="20"/>
    </w:rPr>
  </w:style>
  <w:style w:type="character" w:customStyle="1" w:styleId="EndnoteTextChar">
    <w:name w:val="Endnote Text Char"/>
    <w:basedOn w:val="DefaultParagraphFont"/>
    <w:link w:val="EndnoteText"/>
    <w:uiPriority w:val="99"/>
    <w:semiHidden/>
    <w:rsid w:val="0004087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4087C"/>
    <w:rPr>
      <w:vertAlign w:val="superscript"/>
    </w:rPr>
  </w:style>
  <w:style w:type="table" w:styleId="TableGrid">
    <w:name w:val="Table Grid"/>
    <w:basedOn w:val="TableNormal"/>
    <w:uiPriority w:val="59"/>
    <w:rsid w:val="009B21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9B3803"/>
    <w:pPr>
      <w:spacing w:after="120" w:line="480" w:lineRule="auto"/>
      <w:ind w:left="360"/>
    </w:pPr>
  </w:style>
  <w:style w:type="character" w:customStyle="1" w:styleId="BodyTextIndent2Char">
    <w:name w:val="Body Text Indent 2 Char"/>
    <w:basedOn w:val="DefaultParagraphFont"/>
    <w:link w:val="BodyTextIndent2"/>
    <w:uiPriority w:val="99"/>
    <w:semiHidden/>
    <w:rsid w:val="009B380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9180A"/>
    <w:rPr>
      <w:sz w:val="16"/>
      <w:szCs w:val="16"/>
    </w:rPr>
  </w:style>
  <w:style w:type="paragraph" w:styleId="CommentText">
    <w:name w:val="annotation text"/>
    <w:basedOn w:val="Normal"/>
    <w:link w:val="CommentTextChar"/>
    <w:uiPriority w:val="99"/>
    <w:semiHidden/>
    <w:unhideWhenUsed/>
    <w:rsid w:val="00D9180A"/>
    <w:rPr>
      <w:sz w:val="20"/>
      <w:szCs w:val="20"/>
    </w:rPr>
  </w:style>
  <w:style w:type="character" w:customStyle="1" w:styleId="CommentTextChar">
    <w:name w:val="Comment Text Char"/>
    <w:basedOn w:val="DefaultParagraphFont"/>
    <w:link w:val="CommentText"/>
    <w:uiPriority w:val="99"/>
    <w:semiHidden/>
    <w:rsid w:val="00D9180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180A"/>
    <w:rPr>
      <w:b/>
      <w:bCs/>
    </w:rPr>
  </w:style>
  <w:style w:type="character" w:customStyle="1" w:styleId="CommentSubjectChar">
    <w:name w:val="Comment Subject Char"/>
    <w:basedOn w:val="CommentTextChar"/>
    <w:link w:val="CommentSubject"/>
    <w:uiPriority w:val="99"/>
    <w:semiHidden/>
    <w:rsid w:val="00D9180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0D6ED1"/>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rsid w:val="000D6ED1"/>
    <w:rPr>
      <w:rFonts w:ascii="Times New Roman" w:eastAsiaTheme="majorEastAsia" w:hAnsi="Times New Roman" w:cs="Times New Roman"/>
      <w:b/>
      <w:bCs/>
    </w:rPr>
  </w:style>
  <w:style w:type="character" w:customStyle="1" w:styleId="Heading5Char">
    <w:name w:val="Heading 5 Char"/>
    <w:basedOn w:val="DefaultParagraphFont"/>
    <w:link w:val="Heading5"/>
    <w:uiPriority w:val="9"/>
    <w:semiHidden/>
    <w:rsid w:val="000D6ED1"/>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rsid w:val="000D6ED1"/>
    <w:rPr>
      <w:rFonts w:asciiTheme="majorHAnsi" w:eastAsiaTheme="majorEastAsia" w:hAnsiTheme="majorHAnsi" w:cs="Times New Roman"/>
      <w:iCs/>
      <w:color w:val="243F60" w:themeColor="accent1" w:themeShade="7F"/>
    </w:rPr>
  </w:style>
  <w:style w:type="character" w:customStyle="1" w:styleId="Heading7Char">
    <w:name w:val="Heading 7 Char"/>
    <w:basedOn w:val="DefaultParagraphFont"/>
    <w:link w:val="Heading7"/>
    <w:uiPriority w:val="9"/>
    <w:semiHidden/>
    <w:rsid w:val="000D6ED1"/>
    <w:rPr>
      <w:rFonts w:asciiTheme="majorHAnsi" w:eastAsiaTheme="majorEastAsia" w:hAnsiTheme="majorHAnsi" w:cs="Times New Roman"/>
      <w:iCs/>
      <w:color w:val="404040" w:themeColor="text1" w:themeTint="BF"/>
    </w:rPr>
  </w:style>
  <w:style w:type="character" w:customStyle="1" w:styleId="Heading8Char">
    <w:name w:val="Heading 8 Char"/>
    <w:basedOn w:val="DefaultParagraphFont"/>
    <w:link w:val="Heading8"/>
    <w:uiPriority w:val="9"/>
    <w:semiHidden/>
    <w:rsid w:val="000D6ED1"/>
    <w:rPr>
      <w:rFonts w:asciiTheme="majorHAnsi" w:eastAsiaTheme="majorEastAsia" w:hAnsiTheme="majorHAnsi" w:cs="Times New Roman"/>
      <w:color w:val="404040" w:themeColor="text1" w:themeTint="BF"/>
      <w:szCs w:val="20"/>
    </w:rPr>
  </w:style>
  <w:style w:type="character" w:customStyle="1" w:styleId="Heading9Char">
    <w:name w:val="Heading 9 Char"/>
    <w:basedOn w:val="DefaultParagraphFont"/>
    <w:link w:val="Heading9"/>
    <w:uiPriority w:val="9"/>
    <w:semiHidden/>
    <w:rsid w:val="000D6ED1"/>
    <w:rPr>
      <w:rFonts w:asciiTheme="majorHAnsi" w:eastAsiaTheme="majorEastAsia" w:hAnsiTheme="majorHAnsi" w:cs="Times New Roman"/>
      <w:iCs/>
      <w:color w:val="404040" w:themeColor="text1" w:themeTint="BF"/>
      <w:szCs w:val="20"/>
    </w:rPr>
  </w:style>
  <w:style w:type="paragraph" w:styleId="TOCHeading">
    <w:name w:val="TOC Heading"/>
    <w:basedOn w:val="Normal"/>
    <w:next w:val="TOC1"/>
    <w:uiPriority w:val="39"/>
    <w:unhideWhenUsed/>
    <w:qFormat/>
    <w:rsid w:val="000D6ED1"/>
    <w:pPr>
      <w:keepNext/>
      <w:keepLines/>
      <w:spacing w:before="480" w:after="240"/>
      <w:jc w:val="center"/>
    </w:pPr>
    <w:rPr>
      <w:rFonts w:eastAsiaTheme="majorEastAsia"/>
      <w:b/>
      <w:bCs/>
      <w:color w:val="365F91" w:themeColor="accent1" w:themeShade="BF"/>
      <w:szCs w:val="28"/>
    </w:rPr>
  </w:style>
  <w:style w:type="paragraph" w:styleId="TOC1">
    <w:name w:val="toc 1"/>
    <w:basedOn w:val="Normal"/>
    <w:next w:val="Normal"/>
    <w:autoRedefine/>
    <w:uiPriority w:val="39"/>
    <w:unhideWhenUsed/>
    <w:rsid w:val="000D6ED1"/>
    <w:pPr>
      <w:tabs>
        <w:tab w:val="left" w:pos="720"/>
        <w:tab w:val="right" w:leader="dot" w:pos="9350"/>
      </w:tabs>
      <w:spacing w:after="100"/>
    </w:pPr>
  </w:style>
  <w:style w:type="paragraph" w:styleId="TOC2">
    <w:name w:val="toc 2"/>
    <w:basedOn w:val="Normal"/>
    <w:next w:val="Normal"/>
    <w:autoRedefine/>
    <w:uiPriority w:val="39"/>
    <w:unhideWhenUsed/>
    <w:rsid w:val="00B7256C"/>
    <w:pPr>
      <w:tabs>
        <w:tab w:val="left" w:pos="1440"/>
        <w:tab w:val="right" w:leader="dot" w:pos="9360"/>
      </w:tabs>
      <w:spacing w:after="100"/>
      <w:ind w:left="1440" w:right="720" w:hanging="720"/>
      <w:jc w:val="both"/>
    </w:pPr>
    <w:rPr>
      <w:rFonts w:ascii="Arial" w:hAnsi="Arial" w:cs="Arial"/>
      <w:noProof/>
      <w:color w:val="010000"/>
    </w:rPr>
  </w:style>
  <w:style w:type="paragraph" w:styleId="TOC3">
    <w:name w:val="toc 3"/>
    <w:basedOn w:val="Normal"/>
    <w:next w:val="Normal"/>
    <w:autoRedefine/>
    <w:uiPriority w:val="39"/>
    <w:unhideWhenUsed/>
    <w:rsid w:val="00B7256C"/>
    <w:pPr>
      <w:tabs>
        <w:tab w:val="left" w:pos="1800"/>
        <w:tab w:val="right" w:leader="dot" w:pos="9360"/>
      </w:tabs>
      <w:spacing w:after="100"/>
      <w:ind w:left="1800" w:hanging="360"/>
    </w:pPr>
    <w:rPr>
      <w:rFonts w:ascii="Arial" w:eastAsia="Calibri" w:hAnsi="Arial" w:cs="Arial"/>
      <w:noProof/>
      <w:color w:val="010000"/>
    </w:rPr>
  </w:style>
  <w:style w:type="paragraph" w:styleId="TOC4">
    <w:name w:val="toc 4"/>
    <w:basedOn w:val="Normal"/>
    <w:next w:val="Normal"/>
    <w:autoRedefine/>
    <w:uiPriority w:val="39"/>
    <w:semiHidden/>
    <w:unhideWhenUsed/>
    <w:rsid w:val="000D6ED1"/>
    <w:pPr>
      <w:spacing w:after="100"/>
      <w:ind w:left="720"/>
    </w:pPr>
  </w:style>
  <w:style w:type="paragraph" w:styleId="TOC5">
    <w:name w:val="toc 5"/>
    <w:basedOn w:val="Normal"/>
    <w:next w:val="Normal"/>
    <w:autoRedefine/>
    <w:uiPriority w:val="39"/>
    <w:semiHidden/>
    <w:unhideWhenUsed/>
    <w:rsid w:val="000D6ED1"/>
    <w:pPr>
      <w:spacing w:after="100"/>
      <w:ind w:left="960"/>
    </w:pPr>
  </w:style>
  <w:style w:type="paragraph" w:styleId="TOC6">
    <w:name w:val="toc 6"/>
    <w:basedOn w:val="Normal"/>
    <w:next w:val="Normal"/>
    <w:autoRedefine/>
    <w:uiPriority w:val="39"/>
    <w:semiHidden/>
    <w:unhideWhenUsed/>
    <w:rsid w:val="000D6ED1"/>
    <w:pPr>
      <w:spacing w:after="100"/>
      <w:ind w:left="1200"/>
    </w:pPr>
  </w:style>
  <w:style w:type="paragraph" w:styleId="TOC7">
    <w:name w:val="toc 7"/>
    <w:basedOn w:val="Normal"/>
    <w:next w:val="Normal"/>
    <w:autoRedefine/>
    <w:uiPriority w:val="39"/>
    <w:semiHidden/>
    <w:unhideWhenUsed/>
    <w:rsid w:val="000D6ED1"/>
    <w:pPr>
      <w:spacing w:after="100"/>
      <w:ind w:left="1440"/>
    </w:pPr>
  </w:style>
  <w:style w:type="paragraph" w:styleId="TOC8">
    <w:name w:val="toc 8"/>
    <w:basedOn w:val="Normal"/>
    <w:next w:val="Normal"/>
    <w:autoRedefine/>
    <w:uiPriority w:val="39"/>
    <w:semiHidden/>
    <w:unhideWhenUsed/>
    <w:rsid w:val="000D6ED1"/>
    <w:pPr>
      <w:spacing w:after="100"/>
      <w:ind w:left="1680"/>
    </w:pPr>
  </w:style>
  <w:style w:type="paragraph" w:styleId="TOC9">
    <w:name w:val="toc 9"/>
    <w:basedOn w:val="Normal"/>
    <w:next w:val="Normal"/>
    <w:autoRedefine/>
    <w:uiPriority w:val="39"/>
    <w:semiHidden/>
    <w:unhideWhenUsed/>
    <w:rsid w:val="000D6ED1"/>
    <w:pPr>
      <w:spacing w:after="100"/>
      <w:ind w:left="1920"/>
    </w:pPr>
  </w:style>
  <w:style w:type="paragraph" w:customStyle="1" w:styleId="TOCPage">
    <w:name w:val="TOC Page"/>
    <w:basedOn w:val="Normal"/>
    <w:next w:val="Normal"/>
    <w:link w:val="TOCPageChar"/>
    <w:rsid w:val="000D6ED1"/>
    <w:pPr>
      <w:spacing w:after="240"/>
      <w:jc w:val="right"/>
    </w:pPr>
    <w:rPr>
      <w:b/>
    </w:rPr>
  </w:style>
  <w:style w:type="character" w:customStyle="1" w:styleId="TOCPageChar">
    <w:name w:val="TOC Page Char"/>
    <w:basedOn w:val="DefaultParagraphFont"/>
    <w:link w:val="TOCPage"/>
    <w:rsid w:val="000D6ED1"/>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73380">
      <w:bodyDiv w:val="1"/>
      <w:marLeft w:val="0"/>
      <w:marRight w:val="0"/>
      <w:marTop w:val="0"/>
      <w:marBottom w:val="0"/>
      <w:divBdr>
        <w:top w:val="none" w:sz="0" w:space="0" w:color="auto"/>
        <w:left w:val="none" w:sz="0" w:space="0" w:color="auto"/>
        <w:bottom w:val="none" w:sz="0" w:space="0" w:color="auto"/>
        <w:right w:val="none" w:sz="0" w:space="0" w:color="auto"/>
      </w:divBdr>
    </w:div>
    <w:div w:id="956448953">
      <w:bodyDiv w:val="1"/>
      <w:marLeft w:val="0"/>
      <w:marRight w:val="0"/>
      <w:marTop w:val="0"/>
      <w:marBottom w:val="0"/>
      <w:divBdr>
        <w:top w:val="none" w:sz="0" w:space="0" w:color="auto"/>
        <w:left w:val="none" w:sz="0" w:space="0" w:color="auto"/>
        <w:bottom w:val="none" w:sz="0" w:space="0" w:color="auto"/>
        <w:right w:val="none" w:sz="0" w:space="0" w:color="auto"/>
      </w:divBdr>
    </w:div>
    <w:div w:id="157065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6101</Words>
  <Characters>33856</Characters>
  <Application>Microsoft Office Word</Application>
  <DocSecurity>0</DocSecurity>
  <PresentationFormat/>
  <Lines>724</Lines>
  <Paragraphs>224</Paragraphs>
  <ScaleCrop>false</ScaleCrop>
  <HeadingPairs>
    <vt:vector size="2" baseType="variant">
      <vt:variant>
        <vt:lpstr>Title</vt:lpstr>
      </vt:variant>
      <vt:variant>
        <vt:i4>1</vt:i4>
      </vt:variant>
    </vt:vector>
  </HeadingPairs>
  <TitlesOfParts>
    <vt:vector size="1" baseType="lpstr">
      <vt:lpstr>IEU Post Hearing Brief FAC Case (11-281) (C42448-3).DOCX</vt:lpstr>
    </vt:vector>
  </TitlesOfParts>
  <Manager/>
  <Company/>
  <LinksUpToDate>false</LinksUpToDate>
  <CharactersWithSpaces>39975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Post Hearing Brief FAC Case (11-281) (C42448-3).DOCX</dc:title>
  <dc:subject>C42448:3 /font=8</dc:subject>
  <dc:creator/>
  <cp:keywords> </cp:keywords>
  <dc:description> </dc:description>
  <cp:lastModifiedBy/>
  <cp:revision>1</cp:revision>
  <cp:lastPrinted>2013-10-10T20:19:00Z</cp:lastPrinted>
  <dcterms:created xsi:type="dcterms:W3CDTF">2014-01-05T21:20:00Z</dcterms:created>
  <dcterms:modified xsi:type="dcterms:W3CDTF">2014-01-08T22:05:00Z</dcterms:modified>
  <cp:category> </cp:category>
  <cp:contentStatus> </cp:contentStatus>
</cp:coreProperties>
</file>