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29" w:rsidRPr="00532AA2" w:rsidRDefault="0056270F">
      <w:pPr>
        <w:pStyle w:val="Title"/>
        <w:widowControl w:val="0"/>
        <w:rPr>
          <w:rFonts w:ascii="Arial" w:hAnsi="Arial" w:cs="Arial"/>
          <w:szCs w:val="24"/>
        </w:rPr>
      </w:pPr>
      <w:r w:rsidRPr="00532AA2">
        <w:rPr>
          <w:rFonts w:ascii="Arial" w:hAnsi="Arial" w:cs="Arial"/>
          <w:szCs w:val="24"/>
        </w:rPr>
        <w:t>BEFORE</w:t>
      </w:r>
    </w:p>
    <w:p w:rsidR="00545F29" w:rsidRPr="00532AA2" w:rsidRDefault="0056270F">
      <w:pPr>
        <w:widowControl w:val="0"/>
        <w:jc w:val="center"/>
        <w:rPr>
          <w:rFonts w:ascii="Arial" w:hAnsi="Arial" w:cs="Arial"/>
          <w:b/>
          <w:sz w:val="24"/>
          <w:szCs w:val="24"/>
        </w:rPr>
      </w:pPr>
      <w:r w:rsidRPr="00532AA2">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69"/>
        <w:gridCol w:w="634"/>
        <w:gridCol w:w="3954"/>
      </w:tblGrid>
      <w:tr w:rsidR="00545F29" w:rsidRPr="00532AA2" w:rsidTr="00FD1CCF">
        <w:trPr>
          <w:trHeight w:val="1288"/>
          <w:jc w:val="center"/>
        </w:trPr>
        <w:tc>
          <w:tcPr>
            <w:tcW w:w="4769" w:type="dxa"/>
          </w:tcPr>
          <w:p w:rsidR="00545F29" w:rsidRPr="00532AA2" w:rsidRDefault="00FD1CCF" w:rsidP="00AF2F97">
            <w:pPr>
              <w:widowControl w:val="0"/>
              <w:spacing w:after="0" w:line="240" w:lineRule="auto"/>
              <w:rPr>
                <w:rFonts w:ascii="Arial" w:hAnsi="Arial" w:cs="Arial"/>
                <w:sz w:val="24"/>
                <w:szCs w:val="24"/>
              </w:rPr>
            </w:pPr>
            <w:r w:rsidRPr="00532AA2">
              <w:rPr>
                <w:rFonts w:ascii="Arial" w:hAnsi="Arial" w:cs="Arial"/>
                <w:sz w:val="24"/>
                <w:szCs w:val="24"/>
              </w:rPr>
              <w:t>In the Matter of the Commission's Review of Chapter 4901:1-10, Ohio Administrative Code, Regarding Electric Companies.</w:t>
            </w:r>
          </w:p>
        </w:tc>
        <w:tc>
          <w:tcPr>
            <w:tcW w:w="634" w:type="dxa"/>
          </w:tcPr>
          <w:p w:rsidR="00545F29" w:rsidRPr="00532AA2" w:rsidRDefault="0056270F">
            <w:pPr>
              <w:widowControl w:val="0"/>
              <w:spacing w:after="0" w:line="240" w:lineRule="auto"/>
              <w:jc w:val="center"/>
              <w:rPr>
                <w:rFonts w:ascii="Arial" w:hAnsi="Arial" w:cs="Arial"/>
                <w:sz w:val="24"/>
                <w:szCs w:val="24"/>
              </w:rPr>
            </w:pPr>
            <w:r w:rsidRPr="00532AA2">
              <w:rPr>
                <w:rFonts w:ascii="Arial" w:hAnsi="Arial" w:cs="Arial"/>
                <w:sz w:val="24"/>
                <w:szCs w:val="24"/>
              </w:rPr>
              <w:t>)</w:t>
            </w:r>
          </w:p>
          <w:p w:rsidR="00545F29" w:rsidRPr="00532AA2" w:rsidRDefault="0056270F">
            <w:pPr>
              <w:widowControl w:val="0"/>
              <w:spacing w:after="0" w:line="240" w:lineRule="auto"/>
              <w:jc w:val="center"/>
              <w:rPr>
                <w:rFonts w:ascii="Arial" w:hAnsi="Arial" w:cs="Arial"/>
                <w:sz w:val="24"/>
                <w:szCs w:val="24"/>
              </w:rPr>
            </w:pPr>
            <w:r w:rsidRPr="00532AA2">
              <w:rPr>
                <w:rFonts w:ascii="Arial" w:hAnsi="Arial" w:cs="Arial"/>
                <w:sz w:val="24"/>
                <w:szCs w:val="24"/>
              </w:rPr>
              <w:t>)</w:t>
            </w:r>
          </w:p>
          <w:p w:rsidR="00545F29" w:rsidRPr="00532AA2" w:rsidRDefault="0056270F" w:rsidP="00FD1CCF">
            <w:pPr>
              <w:widowControl w:val="0"/>
              <w:spacing w:after="0" w:line="240" w:lineRule="auto"/>
              <w:jc w:val="center"/>
              <w:rPr>
                <w:rFonts w:ascii="Arial" w:hAnsi="Arial" w:cs="Arial"/>
                <w:sz w:val="24"/>
                <w:szCs w:val="24"/>
              </w:rPr>
            </w:pPr>
            <w:r w:rsidRPr="00532AA2">
              <w:rPr>
                <w:rFonts w:ascii="Arial" w:hAnsi="Arial" w:cs="Arial"/>
                <w:sz w:val="24"/>
                <w:szCs w:val="24"/>
              </w:rPr>
              <w:t>)</w:t>
            </w:r>
          </w:p>
        </w:tc>
        <w:tc>
          <w:tcPr>
            <w:tcW w:w="3954" w:type="dxa"/>
          </w:tcPr>
          <w:p w:rsidR="00545F29" w:rsidRPr="00532AA2" w:rsidRDefault="00545F29">
            <w:pPr>
              <w:widowControl w:val="0"/>
              <w:spacing w:after="0" w:line="240" w:lineRule="auto"/>
              <w:rPr>
                <w:rFonts w:ascii="Arial" w:hAnsi="Arial" w:cs="Arial"/>
                <w:sz w:val="24"/>
                <w:szCs w:val="24"/>
              </w:rPr>
            </w:pPr>
          </w:p>
          <w:p w:rsidR="00545F29" w:rsidRPr="00532AA2" w:rsidRDefault="00FD1CCF">
            <w:pPr>
              <w:widowControl w:val="0"/>
              <w:spacing w:after="0" w:line="240" w:lineRule="auto"/>
              <w:rPr>
                <w:rFonts w:ascii="Arial" w:hAnsi="Arial" w:cs="Arial"/>
                <w:sz w:val="24"/>
                <w:szCs w:val="24"/>
              </w:rPr>
            </w:pPr>
            <w:r w:rsidRPr="00532AA2">
              <w:rPr>
                <w:rFonts w:ascii="Arial" w:hAnsi="Arial" w:cs="Arial"/>
                <w:sz w:val="24"/>
                <w:szCs w:val="24"/>
              </w:rPr>
              <w:t>Case No. 12-2050-EL-ORD</w:t>
            </w:r>
          </w:p>
          <w:p w:rsidR="00545F29" w:rsidRPr="00532AA2" w:rsidRDefault="00545F29">
            <w:pPr>
              <w:widowControl w:val="0"/>
              <w:spacing w:after="0" w:line="240" w:lineRule="auto"/>
              <w:rPr>
                <w:rFonts w:ascii="Arial" w:hAnsi="Arial" w:cs="Arial"/>
                <w:sz w:val="24"/>
                <w:szCs w:val="24"/>
              </w:rPr>
            </w:pPr>
          </w:p>
        </w:tc>
      </w:tr>
    </w:tbl>
    <w:p w:rsidR="00FD1CCF" w:rsidRPr="00532AA2" w:rsidRDefault="00FD1CCF" w:rsidP="00FD1CCF">
      <w:pPr>
        <w:pStyle w:val="Footer"/>
        <w:pBdr>
          <w:top w:val="single" w:sz="12" w:space="1" w:color="auto"/>
          <w:bottom w:val="single" w:sz="12" w:space="1" w:color="auto"/>
        </w:pBdr>
        <w:tabs>
          <w:tab w:val="left" w:pos="4320"/>
        </w:tabs>
        <w:rPr>
          <w:rFonts w:ascii="Arial" w:hAnsi="Arial" w:cs="Arial"/>
          <w:sz w:val="24"/>
          <w:szCs w:val="24"/>
        </w:rPr>
      </w:pPr>
    </w:p>
    <w:p w:rsidR="00FD1CCF" w:rsidRPr="00532AA2" w:rsidRDefault="00753D73" w:rsidP="00FD1CCF">
      <w:pPr>
        <w:pStyle w:val="Footer"/>
        <w:pBdr>
          <w:top w:val="single" w:sz="12" w:space="1" w:color="auto"/>
          <w:bottom w:val="single" w:sz="12" w:space="1" w:color="auto"/>
        </w:pBdr>
        <w:tabs>
          <w:tab w:val="left" w:pos="4320"/>
        </w:tabs>
        <w:jc w:val="center"/>
        <w:rPr>
          <w:rFonts w:ascii="Arial" w:hAnsi="Arial" w:cs="Arial"/>
          <w:b/>
          <w:sz w:val="24"/>
          <w:szCs w:val="24"/>
        </w:rPr>
      </w:pPr>
      <w:r>
        <w:rPr>
          <w:rFonts w:ascii="Arial" w:hAnsi="Arial" w:cs="Arial"/>
          <w:b/>
          <w:sz w:val="24"/>
          <w:szCs w:val="24"/>
        </w:rPr>
        <w:t xml:space="preserve">REPLY </w:t>
      </w:r>
      <w:r w:rsidR="00FD1CCF" w:rsidRPr="00532AA2">
        <w:rPr>
          <w:rFonts w:ascii="Arial" w:hAnsi="Arial" w:cs="Arial"/>
          <w:b/>
          <w:sz w:val="24"/>
          <w:szCs w:val="24"/>
        </w:rPr>
        <w:t>COMMENTS OF INTERSTATE GAS SUPPLY, INC.</w:t>
      </w:r>
    </w:p>
    <w:p w:rsidR="00FD1CCF" w:rsidRPr="00532AA2" w:rsidRDefault="00FD1CCF" w:rsidP="00FD1CCF">
      <w:pPr>
        <w:pStyle w:val="Footer"/>
        <w:pBdr>
          <w:top w:val="single" w:sz="12" w:space="1" w:color="auto"/>
          <w:bottom w:val="single" w:sz="12" w:space="1" w:color="auto"/>
        </w:pBdr>
        <w:tabs>
          <w:tab w:val="left" w:pos="4320"/>
        </w:tabs>
        <w:rPr>
          <w:rFonts w:ascii="Arial" w:hAnsi="Arial" w:cs="Arial"/>
          <w:sz w:val="24"/>
          <w:szCs w:val="24"/>
        </w:rPr>
      </w:pPr>
    </w:p>
    <w:p w:rsidR="00545F29" w:rsidRPr="00532AA2" w:rsidRDefault="00545F29">
      <w:pPr>
        <w:tabs>
          <w:tab w:val="left" w:pos="360"/>
        </w:tabs>
        <w:spacing w:after="0" w:line="240" w:lineRule="auto"/>
        <w:ind w:left="360" w:hanging="360"/>
        <w:jc w:val="both"/>
        <w:rPr>
          <w:rFonts w:ascii="Arial" w:hAnsi="Arial" w:cs="Arial"/>
          <w:sz w:val="24"/>
          <w:szCs w:val="24"/>
        </w:rPr>
      </w:pPr>
    </w:p>
    <w:p w:rsidR="0027726F" w:rsidRPr="00532AA2" w:rsidRDefault="0027726F" w:rsidP="0027726F">
      <w:pPr>
        <w:pStyle w:val="ListParagraph"/>
        <w:numPr>
          <w:ilvl w:val="0"/>
          <w:numId w:val="8"/>
        </w:numPr>
        <w:spacing w:after="0" w:line="480" w:lineRule="auto"/>
        <w:rPr>
          <w:rFonts w:ascii="Arial" w:hAnsi="Arial" w:cs="Arial"/>
          <w:b/>
          <w:sz w:val="24"/>
          <w:szCs w:val="24"/>
          <w:u w:val="single"/>
        </w:rPr>
      </w:pPr>
      <w:r w:rsidRPr="00532AA2">
        <w:rPr>
          <w:rFonts w:ascii="Arial" w:hAnsi="Arial" w:cs="Arial"/>
          <w:b/>
          <w:sz w:val="24"/>
          <w:szCs w:val="24"/>
          <w:u w:val="single"/>
        </w:rPr>
        <w:t>INTRODUCTION</w:t>
      </w:r>
    </w:p>
    <w:p w:rsidR="00210CCE" w:rsidRPr="00532AA2" w:rsidRDefault="00FD1CCF" w:rsidP="00210CCE">
      <w:pPr>
        <w:autoSpaceDE w:val="0"/>
        <w:autoSpaceDN w:val="0"/>
        <w:adjustRightInd w:val="0"/>
        <w:spacing w:line="480" w:lineRule="auto"/>
        <w:ind w:firstLine="360"/>
        <w:rPr>
          <w:rFonts w:ascii="Arial" w:eastAsiaTheme="minorHAnsi" w:hAnsi="Arial" w:cs="Arial"/>
          <w:sz w:val="24"/>
          <w:szCs w:val="24"/>
        </w:rPr>
      </w:pPr>
      <w:r w:rsidRPr="00532AA2">
        <w:rPr>
          <w:rFonts w:ascii="Arial" w:eastAsiaTheme="minorHAnsi" w:hAnsi="Arial" w:cs="Arial"/>
          <w:sz w:val="24"/>
          <w:szCs w:val="24"/>
        </w:rPr>
        <w:t xml:space="preserve">Pursuant to the Entry issued on November 7, 2012 (“November 7 Entry”) in the above captioned proceeding, Interstate Gas Supply, Inc. (“IGS Energy” or “IGS”) respectfully submits these </w:t>
      </w:r>
      <w:r w:rsidR="00753D73">
        <w:rPr>
          <w:rFonts w:ascii="Arial" w:eastAsiaTheme="minorHAnsi" w:hAnsi="Arial" w:cs="Arial"/>
          <w:sz w:val="24"/>
          <w:szCs w:val="24"/>
        </w:rPr>
        <w:t xml:space="preserve">reply </w:t>
      </w:r>
      <w:r w:rsidRPr="00532AA2">
        <w:rPr>
          <w:rFonts w:ascii="Arial" w:eastAsiaTheme="minorHAnsi" w:hAnsi="Arial" w:cs="Arial"/>
          <w:sz w:val="24"/>
          <w:szCs w:val="24"/>
        </w:rPr>
        <w:t>comments</w:t>
      </w:r>
      <w:r w:rsidR="00210CCE" w:rsidRPr="00532AA2">
        <w:rPr>
          <w:rFonts w:ascii="Arial" w:eastAsiaTheme="minorHAnsi" w:hAnsi="Arial" w:cs="Arial"/>
          <w:sz w:val="24"/>
          <w:szCs w:val="24"/>
        </w:rPr>
        <w:t xml:space="preserve"> to </w:t>
      </w:r>
      <w:r w:rsidR="00753D73">
        <w:rPr>
          <w:rFonts w:ascii="Arial" w:eastAsiaTheme="minorHAnsi" w:hAnsi="Arial" w:cs="Arial"/>
          <w:sz w:val="24"/>
          <w:szCs w:val="24"/>
        </w:rPr>
        <w:t xml:space="preserve">the initial comments filed on </w:t>
      </w:r>
      <w:r w:rsidR="00210CCE" w:rsidRPr="00532AA2">
        <w:rPr>
          <w:rFonts w:ascii="Arial" w:eastAsiaTheme="minorHAnsi" w:hAnsi="Arial" w:cs="Arial"/>
          <w:sz w:val="24"/>
          <w:szCs w:val="24"/>
        </w:rPr>
        <w:t xml:space="preserve">the </w:t>
      </w:r>
      <w:r w:rsidR="00EF3B95">
        <w:rPr>
          <w:rFonts w:ascii="Arial" w:eastAsiaTheme="minorHAnsi" w:hAnsi="Arial" w:cs="Arial"/>
          <w:sz w:val="24"/>
          <w:szCs w:val="24"/>
        </w:rPr>
        <w:t xml:space="preserve"> proposed changes to the </w:t>
      </w:r>
      <w:r w:rsidR="00210CCE" w:rsidRPr="00532AA2">
        <w:rPr>
          <w:rFonts w:ascii="Arial" w:eastAsiaTheme="minorHAnsi" w:hAnsi="Arial" w:cs="Arial"/>
          <w:sz w:val="24"/>
          <w:szCs w:val="24"/>
        </w:rPr>
        <w:t>Ohio Administrative Code (“OAC”) Chapter 4901:1-10 rules</w:t>
      </w:r>
      <w:r w:rsidRPr="00532AA2">
        <w:rPr>
          <w:rFonts w:ascii="Arial" w:eastAsiaTheme="minorHAnsi" w:hAnsi="Arial" w:cs="Arial"/>
          <w:sz w:val="24"/>
          <w:szCs w:val="24"/>
        </w:rPr>
        <w:t>.</w:t>
      </w:r>
      <w:r w:rsidR="00210CCE" w:rsidRPr="00532AA2">
        <w:rPr>
          <w:rFonts w:ascii="Arial" w:eastAsiaTheme="minorHAnsi" w:hAnsi="Arial" w:cs="Arial"/>
          <w:sz w:val="24"/>
          <w:szCs w:val="24"/>
        </w:rPr>
        <w:t xml:space="preserve">  </w:t>
      </w:r>
    </w:p>
    <w:p w:rsidR="00E734E7" w:rsidRDefault="00753D73" w:rsidP="009F5C0D">
      <w:pPr>
        <w:autoSpaceDE w:val="0"/>
        <w:autoSpaceDN w:val="0"/>
        <w:adjustRightInd w:val="0"/>
        <w:spacing w:after="0" w:line="480" w:lineRule="auto"/>
        <w:ind w:right="720" w:firstLine="360"/>
        <w:rPr>
          <w:rFonts w:ascii="Arial" w:hAnsi="Arial" w:cs="Arial"/>
          <w:sz w:val="24"/>
          <w:szCs w:val="24"/>
        </w:rPr>
      </w:pPr>
      <w:r>
        <w:rPr>
          <w:rFonts w:ascii="Arial" w:hAnsi="Arial" w:cs="Arial"/>
          <w:sz w:val="24"/>
          <w:szCs w:val="24"/>
        </w:rPr>
        <w:t xml:space="preserve">In its initial comments IGS requested that the Commission modify the rules to require that utilities offer a purchase of receivables (“POR”) program to CRES suppliers.  </w:t>
      </w:r>
      <w:r w:rsidR="00841833">
        <w:rPr>
          <w:rFonts w:ascii="Arial" w:hAnsi="Arial" w:cs="Arial"/>
          <w:sz w:val="24"/>
          <w:szCs w:val="24"/>
        </w:rPr>
        <w:t xml:space="preserve"> </w:t>
      </w:r>
      <w:r w:rsidR="007A7104">
        <w:rPr>
          <w:rFonts w:ascii="Arial" w:hAnsi="Arial" w:cs="Arial"/>
          <w:sz w:val="24"/>
          <w:szCs w:val="24"/>
        </w:rPr>
        <w:t>IGS also requests that the Commission require customer account numbers to be included in the customer lists provided to customers.  Finally</w:t>
      </w:r>
      <w:r w:rsidR="00E734E7">
        <w:rPr>
          <w:rFonts w:ascii="Arial" w:hAnsi="Arial" w:cs="Arial"/>
          <w:sz w:val="24"/>
          <w:szCs w:val="24"/>
        </w:rPr>
        <w:t xml:space="preserve"> </w:t>
      </w:r>
      <w:r w:rsidR="007A7104">
        <w:rPr>
          <w:rFonts w:ascii="Arial" w:hAnsi="Arial" w:cs="Arial"/>
          <w:sz w:val="24"/>
          <w:szCs w:val="24"/>
        </w:rPr>
        <w:t>IGS</w:t>
      </w:r>
      <w:r w:rsidR="00E734E7">
        <w:rPr>
          <w:rFonts w:ascii="Arial" w:hAnsi="Arial" w:cs="Arial"/>
          <w:sz w:val="24"/>
          <w:szCs w:val="24"/>
        </w:rPr>
        <w:t>,</w:t>
      </w:r>
      <w:r w:rsidR="007A7104">
        <w:rPr>
          <w:rFonts w:ascii="Arial" w:hAnsi="Arial" w:cs="Arial"/>
          <w:sz w:val="24"/>
          <w:szCs w:val="24"/>
        </w:rPr>
        <w:t xml:space="preserve"> in joint comments filed with Hull &amp; Associates</w:t>
      </w:r>
      <w:r w:rsidR="00E734E7">
        <w:rPr>
          <w:rFonts w:ascii="Arial" w:hAnsi="Arial" w:cs="Arial"/>
          <w:sz w:val="24"/>
          <w:szCs w:val="24"/>
        </w:rPr>
        <w:t>,</w:t>
      </w:r>
      <w:r w:rsidR="007A7104">
        <w:rPr>
          <w:rFonts w:ascii="Arial" w:hAnsi="Arial" w:cs="Arial"/>
          <w:sz w:val="24"/>
          <w:szCs w:val="24"/>
        </w:rPr>
        <w:t xml:space="preserve"> requested that the net metering rules be modified to clarify that reciprocating engine technology </w:t>
      </w:r>
      <w:r w:rsidR="00841833">
        <w:rPr>
          <w:rFonts w:ascii="Arial" w:hAnsi="Arial" w:cs="Arial"/>
          <w:sz w:val="24"/>
          <w:szCs w:val="24"/>
        </w:rPr>
        <w:t>can receive net metering service from the utility.  IGS</w:t>
      </w:r>
      <w:r w:rsidR="00E734E7">
        <w:rPr>
          <w:rFonts w:ascii="Arial" w:hAnsi="Arial" w:cs="Arial"/>
          <w:sz w:val="24"/>
          <w:szCs w:val="24"/>
        </w:rPr>
        <w:t xml:space="preserve"> would like to reiterate these proposed rule modifications filed in i</w:t>
      </w:r>
      <w:r w:rsidR="009F5C0D">
        <w:rPr>
          <w:rFonts w:ascii="Arial" w:hAnsi="Arial" w:cs="Arial"/>
          <w:sz w:val="24"/>
          <w:szCs w:val="24"/>
        </w:rPr>
        <w:t>ts initial comments on January 7,</w:t>
      </w:r>
      <w:r w:rsidR="00E734E7">
        <w:rPr>
          <w:rFonts w:ascii="Arial" w:hAnsi="Arial" w:cs="Arial"/>
          <w:sz w:val="24"/>
          <w:szCs w:val="24"/>
        </w:rPr>
        <w:t xml:space="preserve"> 2013.  In addition, IGS</w:t>
      </w:r>
      <w:r w:rsidR="00841833">
        <w:rPr>
          <w:rFonts w:ascii="Arial" w:hAnsi="Arial" w:cs="Arial"/>
          <w:sz w:val="24"/>
          <w:szCs w:val="24"/>
        </w:rPr>
        <w:t xml:space="preserve"> submits the following responses to the comments filed by other parties in this proceeding.  </w:t>
      </w:r>
    </w:p>
    <w:p w:rsidR="00BF032A" w:rsidRDefault="00A14485" w:rsidP="00852176">
      <w:pPr>
        <w:autoSpaceDE w:val="0"/>
        <w:autoSpaceDN w:val="0"/>
        <w:adjustRightInd w:val="0"/>
        <w:spacing w:after="0" w:line="480" w:lineRule="auto"/>
        <w:ind w:right="720" w:firstLine="360"/>
        <w:rPr>
          <w:rFonts w:ascii="Arial" w:hAnsi="Arial" w:cs="Arial"/>
          <w:sz w:val="24"/>
          <w:szCs w:val="24"/>
        </w:rPr>
      </w:pPr>
      <w:r>
        <w:rPr>
          <w:rFonts w:ascii="Arial" w:hAnsi="Arial" w:cs="Arial"/>
          <w:sz w:val="24"/>
          <w:szCs w:val="24"/>
        </w:rPr>
        <w:t xml:space="preserve">An absence of a </w:t>
      </w:r>
      <w:r w:rsidR="00325F68">
        <w:rPr>
          <w:rFonts w:ascii="Arial" w:hAnsi="Arial" w:cs="Arial"/>
          <w:sz w:val="24"/>
          <w:szCs w:val="24"/>
        </w:rPr>
        <w:t>response to</w:t>
      </w:r>
      <w:r>
        <w:rPr>
          <w:rFonts w:ascii="Arial" w:hAnsi="Arial" w:cs="Arial"/>
          <w:sz w:val="24"/>
          <w:szCs w:val="24"/>
        </w:rPr>
        <w:t xml:space="preserve"> the proposed rule changes in no way indicates IGS’ support</w:t>
      </w:r>
      <w:r w:rsidR="004A37A3">
        <w:rPr>
          <w:rFonts w:ascii="Arial" w:hAnsi="Arial" w:cs="Arial"/>
          <w:sz w:val="24"/>
          <w:szCs w:val="24"/>
        </w:rPr>
        <w:t xml:space="preserve"> of</w:t>
      </w:r>
      <w:r>
        <w:rPr>
          <w:rFonts w:ascii="Arial" w:hAnsi="Arial" w:cs="Arial"/>
          <w:sz w:val="24"/>
          <w:szCs w:val="24"/>
        </w:rPr>
        <w:t>, or opposition to, those rule changes.</w:t>
      </w:r>
    </w:p>
    <w:p w:rsidR="00E734E7" w:rsidRPr="00E734E7" w:rsidRDefault="00E734E7" w:rsidP="00E734E7">
      <w:pPr>
        <w:pStyle w:val="ListParagraph"/>
        <w:numPr>
          <w:ilvl w:val="0"/>
          <w:numId w:val="8"/>
        </w:numPr>
        <w:autoSpaceDE w:val="0"/>
        <w:autoSpaceDN w:val="0"/>
        <w:adjustRightInd w:val="0"/>
        <w:spacing w:after="0" w:line="480" w:lineRule="auto"/>
        <w:ind w:right="720"/>
        <w:rPr>
          <w:rFonts w:ascii="Arial" w:hAnsi="Arial" w:cs="Arial"/>
          <w:b/>
          <w:sz w:val="24"/>
          <w:szCs w:val="24"/>
          <w:u w:val="single"/>
        </w:rPr>
      </w:pPr>
      <w:r w:rsidRPr="00E734E7">
        <w:rPr>
          <w:rFonts w:ascii="Arial" w:hAnsi="Arial" w:cs="Arial"/>
          <w:b/>
          <w:sz w:val="24"/>
          <w:szCs w:val="24"/>
          <w:u w:val="single"/>
        </w:rPr>
        <w:lastRenderedPageBreak/>
        <w:t>REPLY COMMENTS</w:t>
      </w:r>
    </w:p>
    <w:p w:rsidR="00794907" w:rsidRDefault="00CC576C" w:rsidP="00CC576C">
      <w:pPr>
        <w:pStyle w:val="ListParagraph"/>
        <w:numPr>
          <w:ilvl w:val="0"/>
          <w:numId w:val="14"/>
        </w:numPr>
        <w:autoSpaceDE w:val="0"/>
        <w:autoSpaceDN w:val="0"/>
        <w:adjustRightInd w:val="0"/>
        <w:spacing w:after="0" w:line="480" w:lineRule="auto"/>
        <w:ind w:right="720"/>
        <w:rPr>
          <w:rFonts w:ascii="Arial" w:hAnsi="Arial" w:cs="Arial"/>
          <w:b/>
          <w:sz w:val="24"/>
          <w:szCs w:val="24"/>
        </w:rPr>
      </w:pPr>
      <w:r w:rsidRPr="00CC576C">
        <w:rPr>
          <w:rFonts w:ascii="Arial" w:hAnsi="Arial" w:cs="Arial"/>
          <w:b/>
          <w:sz w:val="24"/>
          <w:szCs w:val="24"/>
        </w:rPr>
        <w:t xml:space="preserve">Customer Energy Usage Data Should be Available to CRES Suppliers </w:t>
      </w:r>
    </w:p>
    <w:p w:rsidR="00372207" w:rsidRDefault="00CC576C" w:rsidP="00EF24B0">
      <w:pPr>
        <w:autoSpaceDE w:val="0"/>
        <w:autoSpaceDN w:val="0"/>
        <w:adjustRightInd w:val="0"/>
        <w:spacing w:after="0" w:line="480" w:lineRule="auto"/>
        <w:ind w:right="720" w:firstLine="360"/>
        <w:rPr>
          <w:rFonts w:ascii="Arial" w:hAnsi="Arial" w:cs="Arial"/>
          <w:sz w:val="24"/>
          <w:szCs w:val="24"/>
        </w:rPr>
      </w:pPr>
      <w:r w:rsidRPr="00CC576C">
        <w:rPr>
          <w:rFonts w:ascii="Arial" w:hAnsi="Arial" w:cs="Arial"/>
          <w:sz w:val="24"/>
          <w:szCs w:val="24"/>
        </w:rPr>
        <w:t>In</w:t>
      </w:r>
      <w:r>
        <w:rPr>
          <w:rFonts w:ascii="Arial" w:hAnsi="Arial" w:cs="Arial"/>
          <w:sz w:val="24"/>
          <w:szCs w:val="24"/>
        </w:rPr>
        <w:t xml:space="preserve"> its initial comments OCC proposes </w:t>
      </w:r>
      <w:r w:rsidR="00EF6B54">
        <w:rPr>
          <w:rFonts w:ascii="Arial" w:hAnsi="Arial" w:cs="Arial"/>
          <w:sz w:val="24"/>
          <w:szCs w:val="24"/>
        </w:rPr>
        <w:t>to eliminate the exceptions to Staff’s proposed rule that c</w:t>
      </w:r>
      <w:r w:rsidR="00010527">
        <w:rPr>
          <w:rFonts w:ascii="Arial" w:hAnsi="Arial" w:cs="Arial"/>
          <w:sz w:val="24"/>
          <w:szCs w:val="24"/>
        </w:rPr>
        <w:t>ustomer</w:t>
      </w:r>
      <w:r w:rsidR="00EF6B54">
        <w:rPr>
          <w:rFonts w:ascii="Arial" w:hAnsi="Arial" w:cs="Arial"/>
          <w:sz w:val="24"/>
          <w:szCs w:val="24"/>
        </w:rPr>
        <w:t xml:space="preserve"> data shall not be disclosed without the customer</w:t>
      </w:r>
      <w:r w:rsidR="00010527">
        <w:rPr>
          <w:rFonts w:ascii="Arial" w:hAnsi="Arial" w:cs="Arial"/>
          <w:sz w:val="24"/>
          <w:szCs w:val="24"/>
        </w:rPr>
        <w:t>’</w:t>
      </w:r>
      <w:r w:rsidR="00EF6B54">
        <w:rPr>
          <w:rFonts w:ascii="Arial" w:hAnsi="Arial" w:cs="Arial"/>
          <w:sz w:val="24"/>
          <w:szCs w:val="24"/>
        </w:rPr>
        <w:t>s affirmative consent, including the exception that allows for disclosure of energy usage data when providing retail electric service</w:t>
      </w:r>
      <w:r>
        <w:rPr>
          <w:rFonts w:ascii="Arial" w:hAnsi="Arial" w:cs="Arial"/>
          <w:sz w:val="24"/>
          <w:szCs w:val="24"/>
        </w:rPr>
        <w:t>.</w:t>
      </w:r>
      <w:r>
        <w:rPr>
          <w:rStyle w:val="FootnoteReference"/>
          <w:rFonts w:ascii="Arial" w:hAnsi="Arial" w:cs="Arial"/>
          <w:sz w:val="24"/>
          <w:szCs w:val="24"/>
        </w:rPr>
        <w:footnoteReference w:id="1"/>
      </w:r>
      <w:r>
        <w:rPr>
          <w:rFonts w:ascii="Arial" w:hAnsi="Arial" w:cs="Arial"/>
          <w:sz w:val="24"/>
          <w:szCs w:val="24"/>
        </w:rPr>
        <w:t xml:space="preserve">  While IGS </w:t>
      </w:r>
      <w:r w:rsidR="00A101E2">
        <w:rPr>
          <w:rFonts w:ascii="Arial" w:hAnsi="Arial" w:cs="Arial"/>
          <w:sz w:val="24"/>
          <w:szCs w:val="24"/>
        </w:rPr>
        <w:t>appreciates</w:t>
      </w:r>
      <w:r w:rsidR="00AC509F">
        <w:rPr>
          <w:rFonts w:ascii="Arial" w:hAnsi="Arial" w:cs="Arial"/>
          <w:sz w:val="24"/>
          <w:szCs w:val="24"/>
        </w:rPr>
        <w:t xml:space="preserve"> concerns</w:t>
      </w:r>
      <w:r>
        <w:rPr>
          <w:rFonts w:ascii="Arial" w:hAnsi="Arial" w:cs="Arial"/>
          <w:sz w:val="24"/>
          <w:szCs w:val="24"/>
        </w:rPr>
        <w:t xml:space="preserve"> </w:t>
      </w:r>
      <w:r w:rsidR="00ED5C07">
        <w:rPr>
          <w:rFonts w:ascii="Arial" w:hAnsi="Arial" w:cs="Arial"/>
          <w:sz w:val="24"/>
          <w:szCs w:val="24"/>
        </w:rPr>
        <w:t>germane</w:t>
      </w:r>
      <w:r w:rsidR="008838DF">
        <w:rPr>
          <w:rFonts w:ascii="Arial" w:hAnsi="Arial" w:cs="Arial"/>
          <w:sz w:val="24"/>
          <w:szCs w:val="24"/>
        </w:rPr>
        <w:t xml:space="preserve"> to</w:t>
      </w:r>
      <w:r>
        <w:rPr>
          <w:rFonts w:ascii="Arial" w:hAnsi="Arial" w:cs="Arial"/>
          <w:sz w:val="24"/>
          <w:szCs w:val="24"/>
        </w:rPr>
        <w:t xml:space="preserve"> customer privacy</w:t>
      </w:r>
      <w:r w:rsidR="0037185C">
        <w:rPr>
          <w:rFonts w:ascii="Arial" w:hAnsi="Arial" w:cs="Arial"/>
          <w:sz w:val="24"/>
          <w:szCs w:val="24"/>
        </w:rPr>
        <w:t xml:space="preserve">, </w:t>
      </w:r>
      <w:r w:rsidR="00EF3B95">
        <w:rPr>
          <w:rFonts w:ascii="Arial" w:hAnsi="Arial" w:cs="Arial"/>
          <w:sz w:val="24"/>
          <w:szCs w:val="24"/>
        </w:rPr>
        <w:t>OCC’s proposed</w:t>
      </w:r>
      <w:r w:rsidR="00EF6B54">
        <w:rPr>
          <w:rFonts w:ascii="Arial" w:hAnsi="Arial" w:cs="Arial"/>
          <w:sz w:val="24"/>
          <w:szCs w:val="24"/>
        </w:rPr>
        <w:t xml:space="preserve"> rule </w:t>
      </w:r>
      <w:r w:rsidR="00707F66">
        <w:rPr>
          <w:rFonts w:ascii="Arial" w:hAnsi="Arial" w:cs="Arial"/>
          <w:sz w:val="24"/>
          <w:szCs w:val="24"/>
        </w:rPr>
        <w:t>change</w:t>
      </w:r>
      <w:r w:rsidR="00EF3B95">
        <w:rPr>
          <w:rFonts w:ascii="Arial" w:hAnsi="Arial" w:cs="Arial"/>
          <w:sz w:val="24"/>
          <w:szCs w:val="24"/>
        </w:rPr>
        <w:t>s</w:t>
      </w:r>
      <w:r w:rsidR="00707F66">
        <w:rPr>
          <w:rFonts w:ascii="Arial" w:hAnsi="Arial" w:cs="Arial"/>
          <w:sz w:val="24"/>
          <w:szCs w:val="24"/>
        </w:rPr>
        <w:t xml:space="preserve"> would severely limit</w:t>
      </w:r>
      <w:r w:rsidR="00EF6B54">
        <w:rPr>
          <w:rFonts w:ascii="Arial" w:hAnsi="Arial" w:cs="Arial"/>
          <w:sz w:val="24"/>
          <w:szCs w:val="24"/>
        </w:rPr>
        <w:t xml:space="preserve"> the way CRES providers currently operate, and </w:t>
      </w:r>
      <w:r w:rsidR="00943D1A">
        <w:rPr>
          <w:rFonts w:ascii="Arial" w:hAnsi="Arial" w:cs="Arial"/>
          <w:sz w:val="24"/>
          <w:szCs w:val="24"/>
        </w:rPr>
        <w:t>restrict the products CRES providers can offer to customers</w:t>
      </w:r>
      <w:r w:rsidR="0037185C">
        <w:rPr>
          <w:rFonts w:ascii="Arial" w:hAnsi="Arial" w:cs="Arial"/>
          <w:sz w:val="24"/>
          <w:szCs w:val="24"/>
        </w:rPr>
        <w:t>.</w:t>
      </w:r>
      <w:r w:rsidR="00EF24B0">
        <w:rPr>
          <w:rFonts w:ascii="Arial" w:hAnsi="Arial" w:cs="Arial"/>
          <w:sz w:val="24"/>
          <w:szCs w:val="24"/>
        </w:rPr>
        <w:t xml:space="preserve">  </w:t>
      </w:r>
      <w:r w:rsidR="00ED5C07">
        <w:rPr>
          <w:rFonts w:ascii="Arial" w:hAnsi="Arial" w:cs="Arial"/>
          <w:sz w:val="24"/>
          <w:szCs w:val="24"/>
        </w:rPr>
        <w:t>These restrictive consequences are even more accentuated</w:t>
      </w:r>
      <w:r w:rsidR="00EF24B0">
        <w:rPr>
          <w:rFonts w:ascii="Arial" w:hAnsi="Arial" w:cs="Arial"/>
          <w:sz w:val="24"/>
          <w:szCs w:val="24"/>
        </w:rPr>
        <w:t xml:space="preserve"> in an environment where POR programs are not offered to CRES providers.</w:t>
      </w:r>
      <w:r w:rsidR="0037185C">
        <w:rPr>
          <w:rFonts w:ascii="Arial" w:hAnsi="Arial" w:cs="Arial"/>
          <w:sz w:val="24"/>
          <w:szCs w:val="24"/>
        </w:rPr>
        <w:t xml:space="preserve"> </w:t>
      </w:r>
    </w:p>
    <w:p w:rsidR="00EF6B54" w:rsidRDefault="00EF6B54" w:rsidP="00EF24B0">
      <w:pPr>
        <w:autoSpaceDE w:val="0"/>
        <w:autoSpaceDN w:val="0"/>
        <w:adjustRightInd w:val="0"/>
        <w:spacing w:after="0" w:line="480" w:lineRule="auto"/>
        <w:ind w:right="720" w:firstLine="360"/>
        <w:rPr>
          <w:rFonts w:ascii="Arial" w:hAnsi="Arial" w:cs="Arial"/>
          <w:sz w:val="24"/>
          <w:szCs w:val="24"/>
        </w:rPr>
      </w:pPr>
      <w:r>
        <w:rPr>
          <w:rFonts w:ascii="Arial" w:hAnsi="Arial" w:cs="Arial"/>
          <w:sz w:val="24"/>
          <w:szCs w:val="24"/>
        </w:rPr>
        <w:t>The current OAC 4901:10-29</w:t>
      </w:r>
      <w:r w:rsidR="00AC509F">
        <w:rPr>
          <w:rFonts w:ascii="Arial" w:hAnsi="Arial" w:cs="Arial"/>
          <w:sz w:val="24"/>
          <w:szCs w:val="24"/>
        </w:rPr>
        <w:t>(E)</w:t>
      </w:r>
      <w:r>
        <w:rPr>
          <w:rFonts w:ascii="Arial" w:hAnsi="Arial" w:cs="Arial"/>
          <w:sz w:val="24"/>
          <w:szCs w:val="24"/>
        </w:rPr>
        <w:t xml:space="preserve"> provides that </w:t>
      </w:r>
      <w:r w:rsidR="00AC509F">
        <w:rPr>
          <w:rFonts w:ascii="Arial" w:hAnsi="Arial" w:cs="Arial"/>
          <w:sz w:val="24"/>
          <w:szCs w:val="24"/>
        </w:rPr>
        <w:t>electric utilities shall make available eligible-customer lists to CRES providers that include, among other things, the customer</w:t>
      </w:r>
      <w:r w:rsidR="004A37A3">
        <w:rPr>
          <w:rFonts w:ascii="Arial" w:hAnsi="Arial" w:cs="Arial"/>
          <w:sz w:val="24"/>
          <w:szCs w:val="24"/>
        </w:rPr>
        <w:t>’</w:t>
      </w:r>
      <w:r w:rsidR="00AC509F">
        <w:rPr>
          <w:rFonts w:ascii="Arial" w:hAnsi="Arial" w:cs="Arial"/>
          <w:sz w:val="24"/>
          <w:szCs w:val="24"/>
        </w:rPr>
        <w:t>s rate schedule, load profile reference category, meter type, interval meter data indicator, meter read date or schedule, and historical consumption data.  This customer data is essential for CRES providers to offer</w:t>
      </w:r>
      <w:r w:rsidR="00ED5C07">
        <w:rPr>
          <w:rFonts w:ascii="Arial" w:hAnsi="Arial" w:cs="Arial"/>
          <w:sz w:val="24"/>
          <w:szCs w:val="24"/>
        </w:rPr>
        <w:t xml:space="preserve"> and tailor</w:t>
      </w:r>
      <w:r w:rsidR="00AC509F">
        <w:rPr>
          <w:rFonts w:ascii="Arial" w:hAnsi="Arial" w:cs="Arial"/>
          <w:sz w:val="24"/>
          <w:szCs w:val="24"/>
        </w:rPr>
        <w:t xml:space="preserve"> electric service</w:t>
      </w:r>
      <w:r w:rsidR="00ED5C07">
        <w:rPr>
          <w:rFonts w:ascii="Arial" w:hAnsi="Arial" w:cs="Arial"/>
          <w:sz w:val="24"/>
          <w:szCs w:val="24"/>
        </w:rPr>
        <w:t xml:space="preserve"> products</w:t>
      </w:r>
      <w:r w:rsidR="00AC509F">
        <w:rPr>
          <w:rFonts w:ascii="Arial" w:hAnsi="Arial" w:cs="Arial"/>
          <w:sz w:val="24"/>
          <w:szCs w:val="24"/>
        </w:rPr>
        <w:t xml:space="preserve"> to customers and to enroll new customers.  The changes OCC </w:t>
      </w:r>
      <w:r w:rsidR="00ED5C07">
        <w:rPr>
          <w:rFonts w:ascii="Arial" w:hAnsi="Arial" w:cs="Arial"/>
          <w:sz w:val="24"/>
          <w:szCs w:val="24"/>
        </w:rPr>
        <w:t>is</w:t>
      </w:r>
      <w:r w:rsidR="00AC509F">
        <w:rPr>
          <w:rFonts w:ascii="Arial" w:hAnsi="Arial" w:cs="Arial"/>
          <w:sz w:val="24"/>
          <w:szCs w:val="24"/>
        </w:rPr>
        <w:t xml:space="preserve"> proposing to the rules </w:t>
      </w:r>
      <w:r w:rsidR="00A14485">
        <w:rPr>
          <w:rFonts w:ascii="Arial" w:hAnsi="Arial" w:cs="Arial"/>
          <w:sz w:val="24"/>
          <w:szCs w:val="24"/>
        </w:rPr>
        <w:t>squarely</w:t>
      </w:r>
      <w:r w:rsidR="00707F66">
        <w:rPr>
          <w:rFonts w:ascii="Arial" w:hAnsi="Arial" w:cs="Arial"/>
          <w:sz w:val="24"/>
          <w:szCs w:val="24"/>
        </w:rPr>
        <w:t xml:space="preserve"> </w:t>
      </w:r>
      <w:r w:rsidR="00A14485">
        <w:rPr>
          <w:rFonts w:ascii="Arial" w:hAnsi="Arial" w:cs="Arial"/>
          <w:sz w:val="24"/>
          <w:szCs w:val="24"/>
        </w:rPr>
        <w:t>contradict</w:t>
      </w:r>
      <w:r w:rsidR="00AC509F">
        <w:rPr>
          <w:rFonts w:ascii="Arial" w:hAnsi="Arial" w:cs="Arial"/>
          <w:sz w:val="24"/>
          <w:szCs w:val="24"/>
        </w:rPr>
        <w:t xml:space="preserve"> the current</w:t>
      </w:r>
      <w:r>
        <w:rPr>
          <w:rFonts w:ascii="Arial" w:hAnsi="Arial" w:cs="Arial"/>
          <w:sz w:val="24"/>
          <w:szCs w:val="24"/>
        </w:rPr>
        <w:t xml:space="preserve"> </w:t>
      </w:r>
      <w:r w:rsidR="00AC509F">
        <w:rPr>
          <w:rFonts w:ascii="Arial" w:hAnsi="Arial" w:cs="Arial"/>
          <w:sz w:val="24"/>
          <w:szCs w:val="24"/>
        </w:rPr>
        <w:t>OAC 4901:10-29(E)</w:t>
      </w:r>
      <w:r w:rsidR="00707F66">
        <w:rPr>
          <w:rFonts w:ascii="Arial" w:hAnsi="Arial" w:cs="Arial"/>
          <w:sz w:val="24"/>
          <w:szCs w:val="24"/>
        </w:rPr>
        <w:t xml:space="preserve"> which requires customer energy data to be made available to CRES providers.</w:t>
      </w:r>
      <w:r w:rsidR="00AC509F">
        <w:rPr>
          <w:rFonts w:ascii="Arial" w:hAnsi="Arial" w:cs="Arial"/>
          <w:sz w:val="24"/>
          <w:szCs w:val="24"/>
        </w:rPr>
        <w:t xml:space="preserve"> </w:t>
      </w:r>
    </w:p>
    <w:p w:rsidR="00372207" w:rsidRDefault="00707F66" w:rsidP="00A77041">
      <w:pPr>
        <w:autoSpaceDE w:val="0"/>
        <w:autoSpaceDN w:val="0"/>
        <w:adjustRightInd w:val="0"/>
        <w:spacing w:after="0" w:line="480" w:lineRule="auto"/>
        <w:ind w:right="720" w:firstLine="360"/>
        <w:rPr>
          <w:rFonts w:ascii="Arial" w:hAnsi="Arial" w:cs="Arial"/>
          <w:sz w:val="24"/>
          <w:szCs w:val="24"/>
        </w:rPr>
      </w:pPr>
      <w:r>
        <w:rPr>
          <w:rFonts w:ascii="Arial" w:hAnsi="Arial" w:cs="Arial"/>
          <w:sz w:val="24"/>
          <w:szCs w:val="24"/>
        </w:rPr>
        <w:t xml:space="preserve">Requiring affirmative customer consent to receive customer energy usage data would also severely restrict the services and functions provided by CRES </w:t>
      </w:r>
      <w:r>
        <w:rPr>
          <w:rFonts w:ascii="Arial" w:hAnsi="Arial" w:cs="Arial"/>
          <w:sz w:val="24"/>
          <w:szCs w:val="24"/>
        </w:rPr>
        <w:lastRenderedPageBreak/>
        <w:t>providers, including marketing, tracking of customer accounts and collections</w:t>
      </w:r>
      <w:r w:rsidR="0037185C">
        <w:rPr>
          <w:rFonts w:ascii="Arial" w:hAnsi="Arial" w:cs="Arial"/>
          <w:sz w:val="24"/>
          <w:szCs w:val="24"/>
        </w:rPr>
        <w:t>.</w:t>
      </w:r>
      <w:r>
        <w:rPr>
          <w:rFonts w:ascii="Arial" w:hAnsi="Arial" w:cs="Arial"/>
          <w:sz w:val="24"/>
          <w:szCs w:val="24"/>
        </w:rPr>
        <w:t xml:space="preserve">  For instance, i</w:t>
      </w:r>
      <w:r w:rsidR="00EF24B0">
        <w:rPr>
          <w:rFonts w:ascii="Arial" w:hAnsi="Arial" w:cs="Arial"/>
          <w:sz w:val="24"/>
          <w:szCs w:val="24"/>
        </w:rPr>
        <w:t xml:space="preserve">n circumstances when a customer is past due on an account, CRES providers need the customer’s usage information to begin collecting on that account.  </w:t>
      </w:r>
      <w:r>
        <w:rPr>
          <w:rFonts w:ascii="Arial" w:hAnsi="Arial" w:cs="Arial"/>
          <w:sz w:val="24"/>
          <w:szCs w:val="24"/>
        </w:rPr>
        <w:t>Further, t</w:t>
      </w:r>
      <w:r w:rsidR="0037185C">
        <w:rPr>
          <w:rFonts w:ascii="Arial" w:hAnsi="Arial" w:cs="Arial"/>
          <w:sz w:val="24"/>
          <w:szCs w:val="24"/>
        </w:rPr>
        <w:t xml:space="preserve">he availability of energy usage data is </w:t>
      </w:r>
      <w:r w:rsidR="00A77041">
        <w:rPr>
          <w:rFonts w:ascii="Arial" w:hAnsi="Arial" w:cs="Arial"/>
          <w:sz w:val="24"/>
          <w:szCs w:val="24"/>
        </w:rPr>
        <w:t xml:space="preserve">useful and often </w:t>
      </w:r>
      <w:r w:rsidR="0037185C">
        <w:rPr>
          <w:rFonts w:ascii="Arial" w:hAnsi="Arial" w:cs="Arial"/>
          <w:sz w:val="24"/>
          <w:szCs w:val="24"/>
        </w:rPr>
        <w:t xml:space="preserve">necessary to offer certain products to customers, including </w:t>
      </w:r>
      <w:r w:rsidR="00A77041">
        <w:rPr>
          <w:rFonts w:ascii="Arial" w:hAnsi="Arial" w:cs="Arial"/>
          <w:sz w:val="24"/>
          <w:szCs w:val="24"/>
        </w:rPr>
        <w:t>time</w:t>
      </w:r>
      <w:r w:rsidR="0037185C">
        <w:rPr>
          <w:rFonts w:ascii="Arial" w:hAnsi="Arial" w:cs="Arial"/>
          <w:sz w:val="24"/>
          <w:szCs w:val="24"/>
        </w:rPr>
        <w:t xml:space="preserve"> differentiated pricing</w:t>
      </w:r>
      <w:r w:rsidR="00A77041">
        <w:rPr>
          <w:rFonts w:ascii="Arial" w:hAnsi="Arial" w:cs="Arial"/>
          <w:sz w:val="24"/>
          <w:szCs w:val="24"/>
        </w:rPr>
        <w:t>, demand response and energy efficiency</w:t>
      </w:r>
      <w:r w:rsidR="0037185C">
        <w:rPr>
          <w:rFonts w:ascii="Arial" w:hAnsi="Arial" w:cs="Arial"/>
          <w:sz w:val="24"/>
          <w:szCs w:val="24"/>
        </w:rPr>
        <w:t>.</w:t>
      </w:r>
      <w:r w:rsidR="00A77041">
        <w:rPr>
          <w:rFonts w:ascii="Arial" w:hAnsi="Arial" w:cs="Arial"/>
          <w:sz w:val="24"/>
          <w:szCs w:val="24"/>
        </w:rPr>
        <w:t xml:space="preserve">  </w:t>
      </w:r>
    </w:p>
    <w:p w:rsidR="00707F66" w:rsidRDefault="00707F66" w:rsidP="00EF24B0">
      <w:pPr>
        <w:autoSpaceDE w:val="0"/>
        <w:autoSpaceDN w:val="0"/>
        <w:adjustRightInd w:val="0"/>
        <w:spacing w:after="0" w:line="480" w:lineRule="auto"/>
        <w:ind w:right="720" w:firstLine="360"/>
        <w:rPr>
          <w:rFonts w:ascii="Arial" w:hAnsi="Arial" w:cs="Arial"/>
          <w:sz w:val="24"/>
          <w:szCs w:val="24"/>
        </w:rPr>
      </w:pPr>
      <w:r>
        <w:rPr>
          <w:rFonts w:ascii="Arial" w:hAnsi="Arial" w:cs="Arial"/>
          <w:sz w:val="24"/>
          <w:szCs w:val="24"/>
        </w:rPr>
        <w:t>T</w:t>
      </w:r>
      <w:r w:rsidR="00CC0F6A">
        <w:rPr>
          <w:rFonts w:ascii="Arial" w:hAnsi="Arial" w:cs="Arial"/>
          <w:sz w:val="24"/>
          <w:szCs w:val="24"/>
        </w:rPr>
        <w:t xml:space="preserve">hroughout its comments </w:t>
      </w:r>
      <w:r w:rsidR="00B46960">
        <w:rPr>
          <w:rFonts w:ascii="Arial" w:hAnsi="Arial" w:cs="Arial"/>
          <w:sz w:val="24"/>
          <w:szCs w:val="24"/>
        </w:rPr>
        <w:t xml:space="preserve">OCC alludes to potential harm to customers that could result from disclosure of energy usage data; however, OCC does not specify how parties authorized to receive customer energy usage data could use </w:t>
      </w:r>
      <w:r w:rsidR="00CC0F6A">
        <w:rPr>
          <w:rFonts w:ascii="Arial" w:hAnsi="Arial" w:cs="Arial"/>
          <w:sz w:val="24"/>
          <w:szCs w:val="24"/>
        </w:rPr>
        <w:t>the</w:t>
      </w:r>
      <w:r w:rsidR="00B46960">
        <w:rPr>
          <w:rFonts w:ascii="Arial" w:hAnsi="Arial" w:cs="Arial"/>
          <w:sz w:val="24"/>
          <w:szCs w:val="24"/>
        </w:rPr>
        <w:t xml:space="preserve"> data to </w:t>
      </w:r>
      <w:r w:rsidR="00CC0F6A">
        <w:rPr>
          <w:rFonts w:ascii="Arial" w:hAnsi="Arial" w:cs="Arial"/>
          <w:sz w:val="24"/>
          <w:szCs w:val="24"/>
        </w:rPr>
        <w:t xml:space="preserve">the </w:t>
      </w:r>
      <w:r w:rsidR="00B46960">
        <w:rPr>
          <w:rFonts w:ascii="Arial" w:hAnsi="Arial" w:cs="Arial"/>
          <w:sz w:val="24"/>
          <w:szCs w:val="24"/>
        </w:rPr>
        <w:t>customer’s detriment, nor does OCC explain why abuses are likely to occur.</w:t>
      </w:r>
      <w:r>
        <w:rPr>
          <w:rFonts w:ascii="Arial" w:hAnsi="Arial" w:cs="Arial"/>
          <w:sz w:val="24"/>
          <w:szCs w:val="24"/>
        </w:rPr>
        <w:t xml:space="preserve">  Further, </w:t>
      </w:r>
      <w:r w:rsidR="00943D1A">
        <w:rPr>
          <w:rFonts w:ascii="Arial" w:hAnsi="Arial" w:cs="Arial"/>
          <w:sz w:val="24"/>
          <w:szCs w:val="24"/>
        </w:rPr>
        <w:t xml:space="preserve"> </w:t>
      </w:r>
      <w:r w:rsidR="00943D1A">
        <w:rPr>
          <w:rFonts w:ascii="Arial" w:hAnsi="Arial" w:cs="Arial"/>
          <w:sz w:val="24"/>
          <w:szCs w:val="24"/>
        </w:rPr>
        <w:t>OAC 4901:1-10-24(F) offers customers protection if they do not want their energy data made available to CRES providers</w:t>
      </w:r>
      <w:r w:rsidR="00943D1A">
        <w:rPr>
          <w:rFonts w:ascii="Arial" w:hAnsi="Arial" w:cs="Arial"/>
          <w:sz w:val="24"/>
          <w:szCs w:val="24"/>
        </w:rPr>
        <w:t xml:space="preserve"> by </w:t>
      </w:r>
      <w:r w:rsidR="00EF3B95">
        <w:rPr>
          <w:rFonts w:ascii="Arial" w:hAnsi="Arial" w:cs="Arial"/>
          <w:sz w:val="24"/>
          <w:szCs w:val="24"/>
        </w:rPr>
        <w:t>requiring</w:t>
      </w:r>
      <w:r w:rsidR="00943D1A">
        <w:rPr>
          <w:rFonts w:ascii="Arial" w:hAnsi="Arial" w:cs="Arial"/>
          <w:sz w:val="24"/>
          <w:szCs w:val="24"/>
        </w:rPr>
        <w:t xml:space="preserve"> utilities to notify customers quarterly that the</w:t>
      </w:r>
      <w:r w:rsidR="00ED5C07">
        <w:rPr>
          <w:rFonts w:ascii="Arial" w:hAnsi="Arial" w:cs="Arial"/>
          <w:sz w:val="24"/>
          <w:szCs w:val="24"/>
        </w:rPr>
        <w:t>ir</w:t>
      </w:r>
      <w:r w:rsidR="00943D1A">
        <w:rPr>
          <w:rFonts w:ascii="Arial" w:hAnsi="Arial" w:cs="Arial"/>
          <w:sz w:val="24"/>
          <w:szCs w:val="24"/>
        </w:rPr>
        <w:t xml:space="preserve"> electric usage data will be made available to CRES providers and gives customers the option of opting out of the customer lists. </w:t>
      </w:r>
    </w:p>
    <w:p w:rsidR="00EF3B95" w:rsidRDefault="00B46960" w:rsidP="00EF24B0">
      <w:pPr>
        <w:autoSpaceDE w:val="0"/>
        <w:autoSpaceDN w:val="0"/>
        <w:adjustRightInd w:val="0"/>
        <w:spacing w:after="0" w:line="480" w:lineRule="auto"/>
        <w:ind w:right="720" w:firstLine="360"/>
        <w:rPr>
          <w:rFonts w:ascii="Arial" w:hAnsi="Arial" w:cs="Arial"/>
          <w:sz w:val="24"/>
          <w:szCs w:val="24"/>
        </w:rPr>
      </w:pPr>
      <w:r>
        <w:rPr>
          <w:rFonts w:ascii="Arial" w:hAnsi="Arial" w:cs="Arial"/>
          <w:sz w:val="24"/>
          <w:szCs w:val="24"/>
        </w:rPr>
        <w:t xml:space="preserve">  </w:t>
      </w:r>
      <w:r w:rsidR="00943D1A">
        <w:rPr>
          <w:rFonts w:ascii="Arial" w:hAnsi="Arial" w:cs="Arial"/>
          <w:sz w:val="24"/>
          <w:szCs w:val="24"/>
        </w:rPr>
        <w:t>In its proposed rule changes, OCC also propose</w:t>
      </w:r>
      <w:r w:rsidR="00EF3B95">
        <w:rPr>
          <w:rFonts w:ascii="Arial" w:hAnsi="Arial" w:cs="Arial"/>
          <w:sz w:val="24"/>
          <w:szCs w:val="24"/>
        </w:rPr>
        <w:t>s to require</w:t>
      </w:r>
      <w:r w:rsidR="00943D1A">
        <w:rPr>
          <w:rFonts w:ascii="Arial" w:hAnsi="Arial" w:cs="Arial"/>
          <w:sz w:val="24"/>
          <w:szCs w:val="24"/>
        </w:rPr>
        <w:t xml:space="preserve"> that privacy impact assessments be performed each time customer data is disclosed.</w:t>
      </w:r>
      <w:r w:rsidR="00943D1A">
        <w:rPr>
          <w:rStyle w:val="FootnoteReference"/>
          <w:rFonts w:ascii="Arial" w:hAnsi="Arial" w:cs="Arial"/>
          <w:sz w:val="24"/>
          <w:szCs w:val="24"/>
        </w:rPr>
        <w:footnoteReference w:id="2"/>
      </w:r>
      <w:r w:rsidR="00943D1A">
        <w:rPr>
          <w:rFonts w:ascii="Arial" w:hAnsi="Arial" w:cs="Arial"/>
          <w:sz w:val="24"/>
          <w:szCs w:val="24"/>
        </w:rPr>
        <w:t xml:space="preserve">   T</w:t>
      </w:r>
      <w:r>
        <w:rPr>
          <w:rFonts w:ascii="Arial" w:hAnsi="Arial" w:cs="Arial"/>
          <w:sz w:val="24"/>
          <w:szCs w:val="24"/>
        </w:rPr>
        <w:t>he</w:t>
      </w:r>
      <w:r w:rsidR="00CC0F6A">
        <w:rPr>
          <w:rFonts w:ascii="Arial" w:hAnsi="Arial" w:cs="Arial"/>
          <w:sz w:val="24"/>
          <w:szCs w:val="24"/>
        </w:rPr>
        <w:t>re</w:t>
      </w:r>
      <w:r>
        <w:rPr>
          <w:rFonts w:ascii="Arial" w:hAnsi="Arial" w:cs="Arial"/>
          <w:sz w:val="24"/>
          <w:szCs w:val="24"/>
        </w:rPr>
        <w:t xml:space="preserve"> </w:t>
      </w:r>
      <w:r w:rsidR="003B727A">
        <w:rPr>
          <w:rFonts w:ascii="Arial" w:hAnsi="Arial" w:cs="Arial"/>
          <w:sz w:val="24"/>
          <w:szCs w:val="24"/>
        </w:rPr>
        <w:t>is</w:t>
      </w:r>
      <w:r>
        <w:rPr>
          <w:rFonts w:ascii="Arial" w:hAnsi="Arial" w:cs="Arial"/>
          <w:sz w:val="24"/>
          <w:szCs w:val="24"/>
        </w:rPr>
        <w:t xml:space="preserve"> no</w:t>
      </w:r>
      <w:r w:rsidR="00CC0F6A">
        <w:rPr>
          <w:rFonts w:ascii="Arial" w:hAnsi="Arial" w:cs="Arial"/>
          <w:sz w:val="24"/>
          <w:szCs w:val="24"/>
        </w:rPr>
        <w:t xml:space="preserve"> clear benefit</w:t>
      </w:r>
      <w:r>
        <w:rPr>
          <w:rFonts w:ascii="Arial" w:hAnsi="Arial" w:cs="Arial"/>
          <w:sz w:val="24"/>
          <w:szCs w:val="24"/>
        </w:rPr>
        <w:t xml:space="preserve"> to requiring privacy impact assessments </w:t>
      </w:r>
      <w:r w:rsidR="00CC0F6A">
        <w:rPr>
          <w:rFonts w:ascii="Arial" w:hAnsi="Arial" w:cs="Arial"/>
          <w:sz w:val="24"/>
          <w:szCs w:val="24"/>
        </w:rPr>
        <w:t>when</w:t>
      </w:r>
      <w:r>
        <w:rPr>
          <w:rFonts w:ascii="Arial" w:hAnsi="Arial" w:cs="Arial"/>
          <w:sz w:val="24"/>
          <w:szCs w:val="24"/>
        </w:rPr>
        <w:t xml:space="preserve"> customer data </w:t>
      </w:r>
      <w:r w:rsidR="00CC0F6A">
        <w:rPr>
          <w:rFonts w:ascii="Arial" w:hAnsi="Arial" w:cs="Arial"/>
          <w:sz w:val="24"/>
          <w:szCs w:val="24"/>
        </w:rPr>
        <w:t>is disclosed</w:t>
      </w:r>
      <w:r w:rsidR="00943D1A">
        <w:rPr>
          <w:rFonts w:ascii="Arial" w:hAnsi="Arial" w:cs="Arial"/>
          <w:sz w:val="24"/>
          <w:szCs w:val="24"/>
        </w:rPr>
        <w:t>.  Privacy impact</w:t>
      </w:r>
      <w:r w:rsidR="00CC0F6A">
        <w:rPr>
          <w:rFonts w:ascii="Arial" w:hAnsi="Arial" w:cs="Arial"/>
          <w:sz w:val="24"/>
          <w:szCs w:val="24"/>
        </w:rPr>
        <w:t xml:space="preserve"> assessments will</w:t>
      </w:r>
      <w:r>
        <w:rPr>
          <w:rFonts w:ascii="Arial" w:hAnsi="Arial" w:cs="Arial"/>
          <w:sz w:val="24"/>
          <w:szCs w:val="24"/>
        </w:rPr>
        <w:t xml:space="preserve"> add costs to serve customers</w:t>
      </w:r>
      <w:r w:rsidR="00CC0F6A">
        <w:rPr>
          <w:rFonts w:ascii="Arial" w:hAnsi="Arial" w:cs="Arial"/>
          <w:sz w:val="24"/>
          <w:szCs w:val="24"/>
        </w:rPr>
        <w:t xml:space="preserve"> and ultimately </w:t>
      </w:r>
      <w:r w:rsidR="00943D1A">
        <w:rPr>
          <w:rFonts w:ascii="Arial" w:hAnsi="Arial" w:cs="Arial"/>
          <w:sz w:val="24"/>
          <w:szCs w:val="24"/>
        </w:rPr>
        <w:t xml:space="preserve">increase the </w:t>
      </w:r>
      <w:r w:rsidR="00CC0F6A">
        <w:rPr>
          <w:rFonts w:ascii="Arial" w:hAnsi="Arial" w:cs="Arial"/>
          <w:sz w:val="24"/>
          <w:szCs w:val="24"/>
        </w:rPr>
        <w:t xml:space="preserve">price customers must pay.  </w:t>
      </w:r>
      <w:r>
        <w:rPr>
          <w:rFonts w:ascii="Arial" w:hAnsi="Arial" w:cs="Arial"/>
          <w:sz w:val="24"/>
          <w:szCs w:val="24"/>
        </w:rPr>
        <w:t xml:space="preserve"> </w:t>
      </w:r>
    </w:p>
    <w:p w:rsidR="00A77041" w:rsidRDefault="00EF3B95" w:rsidP="00EF24B0">
      <w:pPr>
        <w:autoSpaceDE w:val="0"/>
        <w:autoSpaceDN w:val="0"/>
        <w:adjustRightInd w:val="0"/>
        <w:spacing w:after="0" w:line="480" w:lineRule="auto"/>
        <w:ind w:right="720" w:firstLine="360"/>
        <w:rPr>
          <w:rFonts w:ascii="Arial" w:hAnsi="Arial" w:cs="Arial"/>
          <w:sz w:val="24"/>
          <w:szCs w:val="24"/>
        </w:rPr>
      </w:pPr>
      <w:r>
        <w:rPr>
          <w:rFonts w:ascii="Arial" w:hAnsi="Arial" w:cs="Arial"/>
          <w:sz w:val="24"/>
          <w:szCs w:val="24"/>
        </w:rPr>
        <w:t>For these reasons</w:t>
      </w:r>
      <w:r w:rsidR="000F4B8C">
        <w:rPr>
          <w:rFonts w:ascii="Arial" w:hAnsi="Arial" w:cs="Arial"/>
          <w:sz w:val="24"/>
          <w:szCs w:val="24"/>
        </w:rPr>
        <w:t>, the Commission should not accept OCC’s proposed changes to OAC 4901:1-10-12</w:t>
      </w:r>
      <w:r w:rsidR="00CC0F6A">
        <w:rPr>
          <w:rFonts w:ascii="Arial" w:hAnsi="Arial" w:cs="Arial"/>
          <w:sz w:val="24"/>
          <w:szCs w:val="24"/>
        </w:rPr>
        <w:t>(F) and 4901:1-10-24(E).</w:t>
      </w:r>
      <w:r>
        <w:rPr>
          <w:rFonts w:ascii="Arial" w:hAnsi="Arial" w:cs="Arial"/>
          <w:sz w:val="24"/>
          <w:szCs w:val="24"/>
        </w:rPr>
        <w:t xml:space="preserve">  Also, the Commission should clarify </w:t>
      </w:r>
      <w:r w:rsidR="00852176">
        <w:rPr>
          <w:rFonts w:ascii="Arial" w:hAnsi="Arial" w:cs="Arial"/>
          <w:sz w:val="24"/>
          <w:szCs w:val="24"/>
        </w:rPr>
        <w:t xml:space="preserve">that </w:t>
      </w:r>
      <w:r>
        <w:rPr>
          <w:rFonts w:ascii="Arial" w:hAnsi="Arial" w:cs="Arial"/>
          <w:sz w:val="24"/>
          <w:szCs w:val="24"/>
        </w:rPr>
        <w:t xml:space="preserve">Staff’s proposed changes to </w:t>
      </w:r>
      <w:r>
        <w:rPr>
          <w:rFonts w:ascii="Arial" w:hAnsi="Arial" w:cs="Arial"/>
          <w:sz w:val="24"/>
          <w:szCs w:val="24"/>
        </w:rPr>
        <w:t>OAC 4901:1-10-12(F)</w:t>
      </w:r>
      <w:r>
        <w:rPr>
          <w:rFonts w:ascii="Arial" w:hAnsi="Arial" w:cs="Arial"/>
          <w:sz w:val="24"/>
          <w:szCs w:val="24"/>
        </w:rPr>
        <w:t xml:space="preserve"> and </w:t>
      </w:r>
      <w:r>
        <w:rPr>
          <w:rFonts w:ascii="Arial" w:hAnsi="Arial" w:cs="Arial"/>
          <w:sz w:val="24"/>
          <w:szCs w:val="24"/>
        </w:rPr>
        <w:lastRenderedPageBreak/>
        <w:t>4901:1-10-24(E) do</w:t>
      </w:r>
      <w:r w:rsidR="003B727A">
        <w:rPr>
          <w:rFonts w:ascii="Arial" w:hAnsi="Arial" w:cs="Arial"/>
          <w:sz w:val="24"/>
          <w:szCs w:val="24"/>
        </w:rPr>
        <w:t xml:space="preserve"> </w:t>
      </w:r>
      <w:r>
        <w:rPr>
          <w:rFonts w:ascii="Arial" w:hAnsi="Arial" w:cs="Arial"/>
          <w:sz w:val="24"/>
          <w:szCs w:val="24"/>
        </w:rPr>
        <w:t xml:space="preserve">not </w:t>
      </w:r>
      <w:r w:rsidR="008838DF">
        <w:rPr>
          <w:rFonts w:ascii="Arial" w:hAnsi="Arial" w:cs="Arial"/>
          <w:sz w:val="24"/>
          <w:szCs w:val="24"/>
        </w:rPr>
        <w:t>apply to the</w:t>
      </w:r>
      <w:r>
        <w:rPr>
          <w:rFonts w:ascii="Arial" w:hAnsi="Arial" w:cs="Arial"/>
          <w:sz w:val="24"/>
          <w:szCs w:val="24"/>
        </w:rPr>
        <w:t xml:space="preserve"> data</w:t>
      </w:r>
      <w:r w:rsidR="008838DF">
        <w:rPr>
          <w:rFonts w:ascii="Arial" w:hAnsi="Arial" w:cs="Arial"/>
          <w:sz w:val="24"/>
          <w:szCs w:val="24"/>
        </w:rPr>
        <w:t xml:space="preserve"> available</w:t>
      </w:r>
      <w:r>
        <w:rPr>
          <w:rFonts w:ascii="Arial" w:hAnsi="Arial" w:cs="Arial"/>
          <w:sz w:val="24"/>
          <w:szCs w:val="24"/>
        </w:rPr>
        <w:t xml:space="preserve"> to CRES providers required in </w:t>
      </w:r>
      <w:r>
        <w:rPr>
          <w:rFonts w:ascii="Arial" w:hAnsi="Arial" w:cs="Arial"/>
          <w:sz w:val="24"/>
          <w:szCs w:val="24"/>
        </w:rPr>
        <w:t>OAC 4901:10-29(E)</w:t>
      </w:r>
      <w:r>
        <w:rPr>
          <w:rFonts w:ascii="Arial" w:hAnsi="Arial" w:cs="Arial"/>
          <w:sz w:val="24"/>
          <w:szCs w:val="24"/>
        </w:rPr>
        <w:t>.</w:t>
      </w:r>
      <w:r>
        <w:rPr>
          <w:rFonts w:ascii="Arial" w:hAnsi="Arial" w:cs="Arial"/>
          <w:sz w:val="24"/>
          <w:szCs w:val="24"/>
        </w:rPr>
        <w:t xml:space="preserve">  </w:t>
      </w:r>
    </w:p>
    <w:p w:rsidR="00EF2368" w:rsidRPr="00EF2368" w:rsidRDefault="00EF2368" w:rsidP="00EF2368">
      <w:pPr>
        <w:pStyle w:val="ListParagraph"/>
        <w:numPr>
          <w:ilvl w:val="0"/>
          <w:numId w:val="14"/>
        </w:numPr>
        <w:autoSpaceDE w:val="0"/>
        <w:autoSpaceDN w:val="0"/>
        <w:adjustRightInd w:val="0"/>
        <w:spacing w:after="0" w:line="480" w:lineRule="auto"/>
        <w:ind w:right="720"/>
        <w:rPr>
          <w:rFonts w:ascii="Arial" w:hAnsi="Arial" w:cs="Arial"/>
          <w:b/>
          <w:sz w:val="24"/>
          <w:szCs w:val="24"/>
        </w:rPr>
      </w:pPr>
      <w:r w:rsidRPr="00EF2368">
        <w:rPr>
          <w:rFonts w:ascii="Arial" w:hAnsi="Arial" w:cs="Arial"/>
          <w:b/>
          <w:sz w:val="24"/>
          <w:szCs w:val="24"/>
        </w:rPr>
        <w:t xml:space="preserve"> Restrictive Provisions Should not be Added to the Net Metering Rules</w:t>
      </w:r>
    </w:p>
    <w:p w:rsidR="00EF2368" w:rsidRDefault="00EF2368" w:rsidP="00EF2368">
      <w:pPr>
        <w:autoSpaceDE w:val="0"/>
        <w:autoSpaceDN w:val="0"/>
        <w:adjustRightInd w:val="0"/>
        <w:spacing w:after="0" w:line="480" w:lineRule="auto"/>
        <w:ind w:right="720" w:firstLine="360"/>
        <w:rPr>
          <w:rFonts w:ascii="Arial" w:hAnsi="Arial" w:cs="Arial"/>
          <w:sz w:val="24"/>
          <w:szCs w:val="24"/>
        </w:rPr>
      </w:pPr>
      <w:r>
        <w:rPr>
          <w:rFonts w:ascii="Arial" w:hAnsi="Arial" w:cs="Arial"/>
          <w:sz w:val="24"/>
          <w:szCs w:val="24"/>
        </w:rPr>
        <w:t>A number of parties propose rules</w:t>
      </w:r>
      <w:r w:rsidR="00010527">
        <w:rPr>
          <w:rFonts w:ascii="Arial" w:hAnsi="Arial" w:cs="Arial"/>
          <w:sz w:val="24"/>
          <w:szCs w:val="24"/>
        </w:rPr>
        <w:t xml:space="preserve"> in OAC 4901:1-10-28</w:t>
      </w:r>
      <w:r>
        <w:rPr>
          <w:rFonts w:ascii="Arial" w:hAnsi="Arial" w:cs="Arial"/>
          <w:sz w:val="24"/>
          <w:szCs w:val="24"/>
        </w:rPr>
        <w:t xml:space="preserve"> that would place constraints on net metering, which would ultimately hinder the development of distributed generation, including combined heat and power systems.  For instance Dayton Power and Light (DP&amp;L”) proposes that customers must pay the utilities base distribution rate for all electricity delivered back into the system on the grounds that customer generators are not paying for the use of the utilities electric distribution system.</w:t>
      </w:r>
      <w:r>
        <w:rPr>
          <w:rStyle w:val="FootnoteReference"/>
          <w:rFonts w:ascii="Arial" w:hAnsi="Arial" w:cs="Arial"/>
          <w:sz w:val="24"/>
          <w:szCs w:val="24"/>
        </w:rPr>
        <w:footnoteReference w:id="3"/>
      </w:r>
      <w:r>
        <w:rPr>
          <w:rFonts w:ascii="Arial" w:hAnsi="Arial" w:cs="Arial"/>
          <w:sz w:val="24"/>
          <w:szCs w:val="24"/>
        </w:rPr>
        <w:t xml:space="preserve">  First, customer generators are already paying for the use of the electric distribution system through costly standby tariffs</w:t>
      </w:r>
      <w:r w:rsidR="004C14C1">
        <w:rPr>
          <w:rFonts w:ascii="Arial" w:hAnsi="Arial" w:cs="Arial"/>
          <w:sz w:val="24"/>
          <w:szCs w:val="24"/>
        </w:rPr>
        <w:t xml:space="preserve"> and through distribution charges when customers receive electricity through the system</w:t>
      </w:r>
      <w:bookmarkStart w:id="0" w:name="_GoBack"/>
      <w:bookmarkEnd w:id="0"/>
      <w:r>
        <w:rPr>
          <w:rFonts w:ascii="Arial" w:hAnsi="Arial" w:cs="Arial"/>
          <w:sz w:val="24"/>
          <w:szCs w:val="24"/>
        </w:rPr>
        <w:t>.  In addition,</w:t>
      </w:r>
      <w:r w:rsidR="002948FD">
        <w:rPr>
          <w:rFonts w:ascii="Arial" w:hAnsi="Arial" w:cs="Arial"/>
          <w:sz w:val="24"/>
          <w:szCs w:val="24"/>
        </w:rPr>
        <w:t xml:space="preserve"> </w:t>
      </w:r>
      <w:r>
        <w:rPr>
          <w:rFonts w:ascii="Arial" w:hAnsi="Arial" w:cs="Arial"/>
          <w:sz w:val="24"/>
          <w:szCs w:val="24"/>
        </w:rPr>
        <w:t xml:space="preserve">customer generators </w:t>
      </w:r>
      <w:r w:rsidR="002948FD">
        <w:rPr>
          <w:rFonts w:ascii="Arial" w:hAnsi="Arial" w:cs="Arial"/>
          <w:sz w:val="24"/>
          <w:szCs w:val="24"/>
        </w:rPr>
        <w:t>do</w:t>
      </w:r>
      <w:r>
        <w:rPr>
          <w:rFonts w:ascii="Arial" w:hAnsi="Arial" w:cs="Arial"/>
          <w:sz w:val="24"/>
          <w:szCs w:val="24"/>
        </w:rPr>
        <w:t xml:space="preserve"> not </w:t>
      </w:r>
      <w:r w:rsidR="002948FD">
        <w:rPr>
          <w:rFonts w:ascii="Arial" w:hAnsi="Arial" w:cs="Arial"/>
          <w:sz w:val="24"/>
          <w:szCs w:val="24"/>
        </w:rPr>
        <w:t>receive</w:t>
      </w:r>
      <w:r>
        <w:rPr>
          <w:rFonts w:ascii="Arial" w:hAnsi="Arial" w:cs="Arial"/>
          <w:sz w:val="24"/>
          <w:szCs w:val="24"/>
        </w:rPr>
        <w:t xml:space="preserve"> credit for the benefit they are providing to the system including reducing congestion during constrained periods.  </w:t>
      </w:r>
    </w:p>
    <w:p w:rsidR="002948FD" w:rsidRDefault="002948FD" w:rsidP="00EF2368">
      <w:pPr>
        <w:autoSpaceDE w:val="0"/>
        <w:autoSpaceDN w:val="0"/>
        <w:adjustRightInd w:val="0"/>
        <w:spacing w:after="0" w:line="480" w:lineRule="auto"/>
        <w:ind w:right="720" w:firstLine="360"/>
        <w:rPr>
          <w:rFonts w:ascii="Arial" w:hAnsi="Arial" w:cs="Arial"/>
          <w:sz w:val="24"/>
          <w:szCs w:val="24"/>
        </w:rPr>
      </w:pPr>
      <w:r>
        <w:rPr>
          <w:rFonts w:ascii="Arial" w:hAnsi="Arial" w:cs="Arial"/>
          <w:sz w:val="24"/>
          <w:szCs w:val="24"/>
        </w:rPr>
        <w:t xml:space="preserve">Ohio Power Company (“AEP”) also proposes changes to the net metering rules that </w:t>
      </w:r>
      <w:r w:rsidR="00A101E2">
        <w:rPr>
          <w:rFonts w:ascii="Arial" w:hAnsi="Arial" w:cs="Arial"/>
          <w:sz w:val="24"/>
          <w:szCs w:val="24"/>
        </w:rPr>
        <w:t>are</w:t>
      </w:r>
      <w:r>
        <w:rPr>
          <w:rFonts w:ascii="Arial" w:hAnsi="Arial" w:cs="Arial"/>
          <w:sz w:val="24"/>
          <w:szCs w:val="24"/>
        </w:rPr>
        <w:t xml:space="preserve"> arbitrary and overly restrictive.  </w:t>
      </w:r>
      <w:r w:rsidR="00A101E2">
        <w:rPr>
          <w:rFonts w:ascii="Arial" w:hAnsi="Arial" w:cs="Arial"/>
          <w:sz w:val="24"/>
          <w:szCs w:val="24"/>
        </w:rPr>
        <w:t>AEP proposes limiting on-site commercial and residential generators from generating only 105% and 110% respectively of their total generation needs in order to be eligible for n</w:t>
      </w:r>
      <w:r w:rsidR="00ED5C07">
        <w:rPr>
          <w:rFonts w:ascii="Arial" w:hAnsi="Arial" w:cs="Arial"/>
          <w:sz w:val="24"/>
          <w:szCs w:val="24"/>
        </w:rPr>
        <w:t>et</w:t>
      </w:r>
      <w:r w:rsidR="00A101E2">
        <w:rPr>
          <w:rFonts w:ascii="Arial" w:hAnsi="Arial" w:cs="Arial"/>
          <w:sz w:val="24"/>
          <w:szCs w:val="24"/>
        </w:rPr>
        <w:t xml:space="preserve"> metering.</w:t>
      </w:r>
      <w:r w:rsidR="00A101E2">
        <w:rPr>
          <w:rStyle w:val="FootnoteReference"/>
          <w:rFonts w:ascii="Arial" w:hAnsi="Arial" w:cs="Arial"/>
          <w:sz w:val="24"/>
          <w:szCs w:val="24"/>
        </w:rPr>
        <w:footnoteReference w:id="4"/>
      </w:r>
      <w:r w:rsidR="00A101E2">
        <w:rPr>
          <w:rFonts w:ascii="Arial" w:hAnsi="Arial" w:cs="Arial"/>
          <w:sz w:val="24"/>
          <w:szCs w:val="24"/>
        </w:rPr>
        <w:t xml:space="preserve">     AEP also proposes allowing utilities to charge customers reprograming fees to fix net metering.</w:t>
      </w:r>
      <w:r w:rsidR="00A101E2">
        <w:rPr>
          <w:rStyle w:val="FootnoteReference"/>
          <w:rFonts w:ascii="Arial" w:hAnsi="Arial" w:cs="Arial"/>
          <w:sz w:val="24"/>
          <w:szCs w:val="24"/>
        </w:rPr>
        <w:footnoteReference w:id="5"/>
      </w:r>
      <w:r w:rsidR="009624CA">
        <w:rPr>
          <w:rFonts w:ascii="Arial" w:hAnsi="Arial" w:cs="Arial"/>
          <w:sz w:val="24"/>
          <w:szCs w:val="24"/>
        </w:rPr>
        <w:t xml:space="preserve">  Both of these proposals will make it less </w:t>
      </w:r>
      <w:r w:rsidR="009624CA">
        <w:rPr>
          <w:rFonts w:ascii="Arial" w:hAnsi="Arial" w:cs="Arial"/>
          <w:sz w:val="24"/>
          <w:szCs w:val="24"/>
        </w:rPr>
        <w:lastRenderedPageBreak/>
        <w:t>economical to develop distributed generation</w:t>
      </w:r>
      <w:r w:rsidR="00852176">
        <w:rPr>
          <w:rFonts w:ascii="Arial" w:hAnsi="Arial" w:cs="Arial"/>
          <w:sz w:val="24"/>
          <w:szCs w:val="24"/>
        </w:rPr>
        <w:t xml:space="preserve"> and combined heat and power systems</w:t>
      </w:r>
      <w:r w:rsidR="009624CA">
        <w:rPr>
          <w:rFonts w:ascii="Arial" w:hAnsi="Arial" w:cs="Arial"/>
          <w:sz w:val="24"/>
          <w:szCs w:val="24"/>
        </w:rPr>
        <w:t xml:space="preserve">.  </w:t>
      </w:r>
    </w:p>
    <w:p w:rsidR="009624CA" w:rsidRPr="00EF2368" w:rsidRDefault="009624CA" w:rsidP="00EF2368">
      <w:pPr>
        <w:autoSpaceDE w:val="0"/>
        <w:autoSpaceDN w:val="0"/>
        <w:adjustRightInd w:val="0"/>
        <w:spacing w:after="0" w:line="480" w:lineRule="auto"/>
        <w:ind w:right="720" w:firstLine="360"/>
        <w:rPr>
          <w:rFonts w:ascii="Arial" w:hAnsi="Arial" w:cs="Arial"/>
          <w:sz w:val="24"/>
          <w:szCs w:val="24"/>
        </w:rPr>
      </w:pPr>
      <w:r>
        <w:rPr>
          <w:rFonts w:ascii="Arial" w:hAnsi="Arial" w:cs="Arial"/>
          <w:sz w:val="24"/>
          <w:szCs w:val="24"/>
        </w:rPr>
        <w:t xml:space="preserve">The Commission should not adopt the proposals made by DP&amp;L and AEP that restrict access to net metering.  Customer generators are essential to Ohio’s energy future, and the Commission should continue the policy of fostering </w:t>
      </w:r>
      <w:r w:rsidR="003B727A">
        <w:rPr>
          <w:rFonts w:ascii="Arial" w:hAnsi="Arial" w:cs="Arial"/>
          <w:sz w:val="24"/>
          <w:szCs w:val="24"/>
        </w:rPr>
        <w:t>on-site generation</w:t>
      </w:r>
      <w:r w:rsidR="00852176">
        <w:rPr>
          <w:rFonts w:ascii="Arial" w:hAnsi="Arial" w:cs="Arial"/>
          <w:sz w:val="24"/>
          <w:szCs w:val="24"/>
        </w:rPr>
        <w:t xml:space="preserve"> development</w:t>
      </w:r>
      <w:r>
        <w:rPr>
          <w:rFonts w:ascii="Arial" w:hAnsi="Arial" w:cs="Arial"/>
          <w:sz w:val="24"/>
          <w:szCs w:val="24"/>
        </w:rPr>
        <w:t>.</w:t>
      </w:r>
    </w:p>
    <w:p w:rsidR="00B7429A" w:rsidRDefault="00B7429A" w:rsidP="00794907">
      <w:pPr>
        <w:autoSpaceDE w:val="0"/>
        <w:autoSpaceDN w:val="0"/>
        <w:adjustRightInd w:val="0"/>
        <w:spacing w:after="0" w:line="240" w:lineRule="auto"/>
        <w:ind w:right="720"/>
        <w:rPr>
          <w:rFonts w:ascii="Arial" w:hAnsi="Arial" w:cs="Arial"/>
          <w:sz w:val="24"/>
          <w:szCs w:val="24"/>
        </w:rPr>
      </w:pPr>
    </w:p>
    <w:p w:rsidR="00B7429A" w:rsidRDefault="00B7429A" w:rsidP="00794907">
      <w:pPr>
        <w:autoSpaceDE w:val="0"/>
        <w:autoSpaceDN w:val="0"/>
        <w:adjustRightInd w:val="0"/>
        <w:spacing w:after="0" w:line="240" w:lineRule="auto"/>
        <w:ind w:right="720"/>
        <w:rPr>
          <w:rFonts w:ascii="Arial" w:hAnsi="Arial" w:cs="Arial"/>
          <w:sz w:val="24"/>
          <w:szCs w:val="24"/>
        </w:rPr>
      </w:pPr>
    </w:p>
    <w:p w:rsidR="00DB5393" w:rsidRPr="00EF2368" w:rsidRDefault="00DB5393" w:rsidP="00DB5393">
      <w:pPr>
        <w:pStyle w:val="ListParagraph"/>
        <w:numPr>
          <w:ilvl w:val="0"/>
          <w:numId w:val="14"/>
        </w:numPr>
        <w:autoSpaceDE w:val="0"/>
        <w:autoSpaceDN w:val="0"/>
        <w:adjustRightInd w:val="0"/>
        <w:spacing w:after="0" w:line="480" w:lineRule="auto"/>
        <w:ind w:right="720"/>
        <w:rPr>
          <w:rFonts w:ascii="Arial" w:hAnsi="Arial" w:cs="Arial"/>
          <w:b/>
          <w:sz w:val="24"/>
          <w:szCs w:val="24"/>
        </w:rPr>
      </w:pPr>
      <w:r>
        <w:rPr>
          <w:rFonts w:ascii="Arial" w:hAnsi="Arial" w:cs="Arial"/>
          <w:b/>
          <w:sz w:val="24"/>
          <w:szCs w:val="24"/>
        </w:rPr>
        <w:t xml:space="preserve">Rule Changes </w:t>
      </w:r>
      <w:r w:rsidR="00852176">
        <w:rPr>
          <w:rFonts w:ascii="Arial" w:hAnsi="Arial" w:cs="Arial"/>
          <w:b/>
          <w:sz w:val="24"/>
          <w:szCs w:val="24"/>
        </w:rPr>
        <w:t>Should be Made to Remove the Unnecessary Barriers to Customer Shopping</w:t>
      </w:r>
    </w:p>
    <w:p w:rsidR="00B7429A" w:rsidRDefault="00DB5393" w:rsidP="00DB5393">
      <w:pPr>
        <w:autoSpaceDE w:val="0"/>
        <w:autoSpaceDN w:val="0"/>
        <w:adjustRightInd w:val="0"/>
        <w:spacing w:after="0" w:line="480" w:lineRule="auto"/>
        <w:ind w:right="720" w:firstLine="360"/>
        <w:rPr>
          <w:rFonts w:ascii="Arial" w:hAnsi="Arial" w:cs="Arial"/>
          <w:sz w:val="24"/>
          <w:szCs w:val="24"/>
        </w:rPr>
      </w:pPr>
      <w:r>
        <w:rPr>
          <w:rFonts w:ascii="Arial" w:hAnsi="Arial" w:cs="Arial"/>
          <w:sz w:val="24"/>
          <w:szCs w:val="24"/>
        </w:rPr>
        <w:t>A number of parties proposed rule changes that will benefit customers and the competitive market.  FirstEnergy Solutions (“FES”) propose</w:t>
      </w:r>
      <w:r w:rsidR="00852176">
        <w:rPr>
          <w:rFonts w:ascii="Arial" w:hAnsi="Arial" w:cs="Arial"/>
          <w:sz w:val="24"/>
          <w:szCs w:val="24"/>
        </w:rPr>
        <w:t>s</w:t>
      </w:r>
      <w:r>
        <w:rPr>
          <w:rFonts w:ascii="Arial" w:hAnsi="Arial" w:cs="Arial"/>
          <w:sz w:val="24"/>
          <w:szCs w:val="24"/>
        </w:rPr>
        <w:t xml:space="preserve"> adopting a rule to prohibit utilities from reverting shopping customers back to the utility default service rate once that customer becomes delinquent on their utility bill.</w:t>
      </w:r>
      <w:r>
        <w:rPr>
          <w:rStyle w:val="FootnoteReference"/>
          <w:rFonts w:ascii="Arial" w:hAnsi="Arial" w:cs="Arial"/>
          <w:sz w:val="24"/>
          <w:szCs w:val="24"/>
        </w:rPr>
        <w:footnoteReference w:id="6"/>
      </w:r>
      <w:r>
        <w:rPr>
          <w:rFonts w:ascii="Arial" w:hAnsi="Arial" w:cs="Arial"/>
          <w:sz w:val="24"/>
          <w:szCs w:val="24"/>
        </w:rPr>
        <w:t xml:space="preserve">  IGS agrees with FES in that </w:t>
      </w:r>
      <w:r w:rsidR="00852176">
        <w:rPr>
          <w:rFonts w:ascii="Arial" w:hAnsi="Arial" w:cs="Arial"/>
          <w:sz w:val="24"/>
          <w:szCs w:val="24"/>
        </w:rPr>
        <w:t>it should be the CRES supplier</w:t>
      </w:r>
      <w:r w:rsidR="00ED5C07">
        <w:rPr>
          <w:rFonts w:ascii="Arial" w:hAnsi="Arial" w:cs="Arial"/>
          <w:sz w:val="24"/>
          <w:szCs w:val="24"/>
        </w:rPr>
        <w:t>’</w:t>
      </w:r>
      <w:r w:rsidR="00852176">
        <w:rPr>
          <w:rFonts w:ascii="Arial" w:hAnsi="Arial" w:cs="Arial"/>
          <w:sz w:val="24"/>
          <w:szCs w:val="24"/>
        </w:rPr>
        <w:t>s choice to determine whether it continues to serve a late paying customer, and there is no reason to require that customers be returned to the utility once the customer is past due</w:t>
      </w:r>
      <w:r>
        <w:rPr>
          <w:rFonts w:ascii="Arial" w:hAnsi="Arial" w:cs="Arial"/>
          <w:sz w:val="24"/>
          <w:szCs w:val="24"/>
        </w:rPr>
        <w:t>.  FES</w:t>
      </w:r>
      <w:r w:rsidR="00852176">
        <w:rPr>
          <w:rFonts w:ascii="Arial" w:hAnsi="Arial" w:cs="Arial"/>
          <w:sz w:val="24"/>
          <w:szCs w:val="24"/>
        </w:rPr>
        <w:t xml:space="preserve"> also</w:t>
      </w:r>
      <w:r>
        <w:rPr>
          <w:rFonts w:ascii="Arial" w:hAnsi="Arial" w:cs="Arial"/>
          <w:sz w:val="24"/>
          <w:szCs w:val="24"/>
        </w:rPr>
        <w:t xml:space="preserve"> proposes requiring utilities to </w:t>
      </w:r>
      <w:r w:rsidR="00852176">
        <w:rPr>
          <w:rFonts w:ascii="Arial" w:hAnsi="Arial" w:cs="Arial"/>
          <w:sz w:val="24"/>
          <w:szCs w:val="24"/>
        </w:rPr>
        <w:t>offer</w:t>
      </w:r>
      <w:r>
        <w:rPr>
          <w:rFonts w:ascii="Arial" w:hAnsi="Arial" w:cs="Arial"/>
          <w:sz w:val="24"/>
          <w:szCs w:val="24"/>
        </w:rPr>
        <w:t xml:space="preserve"> budget billing for CRES supplier customers.</w:t>
      </w:r>
      <w:r>
        <w:rPr>
          <w:rStyle w:val="FootnoteReference"/>
          <w:rFonts w:ascii="Arial" w:hAnsi="Arial" w:cs="Arial"/>
          <w:sz w:val="24"/>
          <w:szCs w:val="24"/>
        </w:rPr>
        <w:footnoteReference w:id="7"/>
      </w:r>
      <w:r>
        <w:rPr>
          <w:rFonts w:ascii="Arial" w:hAnsi="Arial" w:cs="Arial"/>
          <w:sz w:val="24"/>
          <w:szCs w:val="24"/>
        </w:rPr>
        <w:t xml:space="preserve">  IGS supports this rule modification as it will allow shopping customers the ability to receive the same service that is available to default rate customers.    IGS also supports FES</w:t>
      </w:r>
      <w:r w:rsidR="00852176">
        <w:rPr>
          <w:rFonts w:ascii="Arial" w:hAnsi="Arial" w:cs="Arial"/>
          <w:sz w:val="24"/>
          <w:szCs w:val="24"/>
        </w:rPr>
        <w:t>’</w:t>
      </w:r>
      <w:r>
        <w:rPr>
          <w:rFonts w:ascii="Arial" w:hAnsi="Arial" w:cs="Arial"/>
          <w:sz w:val="24"/>
          <w:szCs w:val="24"/>
        </w:rPr>
        <w:t xml:space="preserve"> proposal to eliminate utility minimum stay </w:t>
      </w:r>
      <w:r>
        <w:rPr>
          <w:rFonts w:ascii="Arial" w:hAnsi="Arial" w:cs="Arial"/>
          <w:sz w:val="24"/>
          <w:szCs w:val="24"/>
        </w:rPr>
        <w:lastRenderedPageBreak/>
        <w:t>provisions in that this rule change will eliminate another barrier to developing a competitive</w:t>
      </w:r>
      <w:r w:rsidR="00852176">
        <w:rPr>
          <w:rFonts w:ascii="Arial" w:hAnsi="Arial" w:cs="Arial"/>
          <w:sz w:val="24"/>
          <w:szCs w:val="24"/>
        </w:rPr>
        <w:t xml:space="preserve"> electric</w:t>
      </w:r>
      <w:r>
        <w:rPr>
          <w:rFonts w:ascii="Arial" w:hAnsi="Arial" w:cs="Arial"/>
          <w:sz w:val="24"/>
          <w:szCs w:val="24"/>
        </w:rPr>
        <w:t xml:space="preserve"> market</w:t>
      </w:r>
      <w:r w:rsidR="00852176">
        <w:rPr>
          <w:rFonts w:ascii="Arial" w:hAnsi="Arial" w:cs="Arial"/>
          <w:sz w:val="24"/>
          <w:szCs w:val="24"/>
        </w:rPr>
        <w:t xml:space="preserve"> in Ohio</w:t>
      </w:r>
      <w:r>
        <w:rPr>
          <w:rFonts w:ascii="Arial" w:hAnsi="Arial" w:cs="Arial"/>
          <w:sz w:val="24"/>
          <w:szCs w:val="24"/>
        </w:rPr>
        <w:t>.</w:t>
      </w:r>
      <w:r>
        <w:rPr>
          <w:rStyle w:val="FootnoteReference"/>
          <w:rFonts w:ascii="Arial" w:hAnsi="Arial" w:cs="Arial"/>
          <w:sz w:val="24"/>
          <w:szCs w:val="24"/>
        </w:rPr>
        <w:footnoteReference w:id="8"/>
      </w:r>
    </w:p>
    <w:p w:rsidR="00B7429A" w:rsidRPr="00532AA2" w:rsidRDefault="00325F68" w:rsidP="00852176">
      <w:pPr>
        <w:autoSpaceDE w:val="0"/>
        <w:autoSpaceDN w:val="0"/>
        <w:adjustRightInd w:val="0"/>
        <w:spacing w:after="0" w:line="480" w:lineRule="auto"/>
        <w:ind w:right="720" w:firstLine="360"/>
        <w:rPr>
          <w:rFonts w:ascii="Arial" w:hAnsi="Arial" w:cs="Arial"/>
          <w:sz w:val="24"/>
          <w:szCs w:val="24"/>
        </w:rPr>
      </w:pPr>
      <w:r>
        <w:rPr>
          <w:rFonts w:ascii="Arial" w:hAnsi="Arial" w:cs="Arial"/>
          <w:sz w:val="24"/>
          <w:szCs w:val="24"/>
        </w:rPr>
        <w:t>IGS also supports the modifications proposed by Direct Energy to allow for disconnection upon non-payment of CRES charges.</w:t>
      </w:r>
      <w:r>
        <w:rPr>
          <w:rStyle w:val="FootnoteReference"/>
          <w:rFonts w:ascii="Arial" w:hAnsi="Arial" w:cs="Arial"/>
          <w:sz w:val="24"/>
          <w:szCs w:val="24"/>
        </w:rPr>
        <w:footnoteReference w:id="9"/>
      </w:r>
      <w:r>
        <w:rPr>
          <w:rFonts w:ascii="Arial" w:hAnsi="Arial" w:cs="Arial"/>
          <w:sz w:val="24"/>
          <w:szCs w:val="24"/>
        </w:rPr>
        <w:t xml:space="preserve">  Direct Energy’s </w:t>
      </w:r>
      <w:r w:rsidR="00852176">
        <w:rPr>
          <w:rFonts w:ascii="Arial" w:hAnsi="Arial" w:cs="Arial"/>
          <w:sz w:val="24"/>
          <w:szCs w:val="24"/>
        </w:rPr>
        <w:t>modification is</w:t>
      </w:r>
      <w:r>
        <w:rPr>
          <w:rFonts w:ascii="Arial" w:hAnsi="Arial" w:cs="Arial"/>
          <w:sz w:val="24"/>
          <w:szCs w:val="24"/>
        </w:rPr>
        <w:t xml:space="preserve"> necessary to ensure CRES suppliers can appropriately manage their collections and receivables. </w:t>
      </w:r>
      <w:r w:rsidR="003B727A">
        <w:rPr>
          <w:rFonts w:ascii="Arial" w:hAnsi="Arial" w:cs="Arial"/>
          <w:sz w:val="24"/>
          <w:szCs w:val="24"/>
        </w:rPr>
        <w:t>Further, a</w:t>
      </w:r>
      <w:r w:rsidR="00852176">
        <w:rPr>
          <w:rFonts w:ascii="Arial" w:hAnsi="Arial" w:cs="Arial"/>
          <w:sz w:val="24"/>
          <w:szCs w:val="24"/>
        </w:rPr>
        <w:t>llowing di</w:t>
      </w:r>
      <w:r w:rsidR="009F5C0D">
        <w:rPr>
          <w:rFonts w:ascii="Arial" w:hAnsi="Arial" w:cs="Arial"/>
          <w:sz w:val="24"/>
          <w:szCs w:val="24"/>
        </w:rPr>
        <w:t xml:space="preserve">sconnect for non-payment is </w:t>
      </w:r>
      <w:r w:rsidR="00852176">
        <w:rPr>
          <w:rFonts w:ascii="Arial" w:hAnsi="Arial" w:cs="Arial"/>
          <w:sz w:val="24"/>
          <w:szCs w:val="24"/>
        </w:rPr>
        <w:t>particularly</w:t>
      </w:r>
      <w:r w:rsidR="00010527">
        <w:rPr>
          <w:rFonts w:ascii="Arial" w:hAnsi="Arial" w:cs="Arial"/>
          <w:sz w:val="24"/>
          <w:szCs w:val="24"/>
        </w:rPr>
        <w:t xml:space="preserve"> important</w:t>
      </w:r>
      <w:r w:rsidR="00852176">
        <w:rPr>
          <w:rFonts w:ascii="Arial" w:hAnsi="Arial" w:cs="Arial"/>
          <w:sz w:val="24"/>
          <w:szCs w:val="24"/>
        </w:rPr>
        <w:t xml:space="preserve"> if the Commission does not require POR programs to be offered by all utilities. </w:t>
      </w:r>
      <w:r>
        <w:rPr>
          <w:rFonts w:ascii="Arial" w:hAnsi="Arial" w:cs="Arial"/>
          <w:sz w:val="24"/>
          <w:szCs w:val="24"/>
        </w:rPr>
        <w:t xml:space="preserve"> IGS also supports Direct Energy’s proposal to require that data from Smart Meters be delivered to CRES suppliers within 48 hours.</w:t>
      </w:r>
      <w:r>
        <w:rPr>
          <w:rStyle w:val="FootnoteReference"/>
          <w:rFonts w:ascii="Arial" w:hAnsi="Arial" w:cs="Arial"/>
          <w:sz w:val="24"/>
          <w:szCs w:val="24"/>
        </w:rPr>
        <w:footnoteReference w:id="10"/>
      </w:r>
    </w:p>
    <w:p w:rsidR="00794907" w:rsidRPr="00532AA2" w:rsidRDefault="00794907" w:rsidP="00794907">
      <w:pPr>
        <w:autoSpaceDE w:val="0"/>
        <w:autoSpaceDN w:val="0"/>
        <w:adjustRightInd w:val="0"/>
        <w:spacing w:after="0" w:line="240" w:lineRule="auto"/>
        <w:ind w:right="720"/>
        <w:rPr>
          <w:rFonts w:ascii="Arial" w:hAnsi="Arial" w:cs="Arial"/>
          <w:sz w:val="24"/>
          <w:szCs w:val="24"/>
        </w:rPr>
      </w:pPr>
    </w:p>
    <w:p w:rsidR="0001468C" w:rsidRPr="00532AA2" w:rsidRDefault="00F232FD" w:rsidP="0001468C">
      <w:pPr>
        <w:pStyle w:val="ListParagraph"/>
        <w:numPr>
          <w:ilvl w:val="0"/>
          <w:numId w:val="8"/>
        </w:numPr>
        <w:spacing w:after="0" w:line="480" w:lineRule="auto"/>
        <w:rPr>
          <w:rFonts w:ascii="Arial" w:hAnsi="Arial" w:cs="Arial"/>
          <w:b/>
          <w:sz w:val="24"/>
          <w:szCs w:val="24"/>
          <w:u w:val="single"/>
        </w:rPr>
      </w:pPr>
      <w:r w:rsidRPr="00532AA2">
        <w:rPr>
          <w:rFonts w:ascii="Arial" w:hAnsi="Arial" w:cs="Arial"/>
          <w:b/>
          <w:sz w:val="24"/>
          <w:szCs w:val="24"/>
          <w:u w:val="single"/>
        </w:rPr>
        <w:t>CONCLUSION</w:t>
      </w:r>
    </w:p>
    <w:p w:rsidR="000E3930" w:rsidRPr="00532AA2" w:rsidRDefault="00325F68" w:rsidP="00825EE0">
      <w:pPr>
        <w:autoSpaceDE w:val="0"/>
        <w:autoSpaceDN w:val="0"/>
        <w:adjustRightInd w:val="0"/>
        <w:spacing w:line="480" w:lineRule="auto"/>
        <w:ind w:firstLine="360"/>
        <w:rPr>
          <w:rFonts w:ascii="Arial" w:eastAsiaTheme="minorHAnsi" w:hAnsi="Arial" w:cs="Arial"/>
          <w:sz w:val="24"/>
          <w:szCs w:val="24"/>
        </w:rPr>
      </w:pPr>
      <w:r>
        <w:rPr>
          <w:rFonts w:ascii="Arial" w:hAnsi="Arial" w:cs="Arial"/>
          <w:sz w:val="24"/>
          <w:szCs w:val="24"/>
        </w:rPr>
        <w:t>IGS respectfully submits the reply comments made herein.</w:t>
      </w:r>
    </w:p>
    <w:p w:rsidR="00B7429A" w:rsidRDefault="00B7429A" w:rsidP="00B7429A">
      <w:pPr>
        <w:widowControl w:val="0"/>
        <w:overflowPunct w:val="0"/>
        <w:autoSpaceDE w:val="0"/>
        <w:autoSpaceDN w:val="0"/>
        <w:adjustRightInd w:val="0"/>
        <w:spacing w:after="0" w:line="480" w:lineRule="auto"/>
        <w:ind w:left="3600" w:firstLine="720"/>
        <w:rPr>
          <w:rFonts w:ascii="Arial" w:eastAsia="Times New Roman" w:hAnsi="Arial" w:cs="Arial"/>
          <w:kern w:val="28"/>
          <w:sz w:val="24"/>
          <w:szCs w:val="24"/>
        </w:rPr>
      </w:pPr>
      <w:r w:rsidRPr="00A74C98">
        <w:rPr>
          <w:rFonts w:ascii="Arial" w:eastAsia="Times New Roman" w:hAnsi="Arial" w:cs="Arial"/>
          <w:kern w:val="28"/>
          <w:sz w:val="24"/>
          <w:szCs w:val="24"/>
        </w:rPr>
        <w:t>Respectfully submitted</w:t>
      </w:r>
    </w:p>
    <w:p w:rsidR="00B7429A" w:rsidRDefault="00B7429A" w:rsidP="00B7429A">
      <w:pPr>
        <w:widowControl w:val="0"/>
        <w:overflowPunct w:val="0"/>
        <w:autoSpaceDE w:val="0"/>
        <w:autoSpaceDN w:val="0"/>
        <w:adjustRightInd w:val="0"/>
        <w:spacing w:after="0" w:line="480" w:lineRule="auto"/>
        <w:ind w:left="3600" w:firstLine="720"/>
        <w:rPr>
          <w:rFonts w:ascii="Arial" w:eastAsia="Arial" w:hAnsi="Arial" w:cs="Arial"/>
          <w:sz w:val="24"/>
          <w:szCs w:val="24"/>
          <w:u w:val="single"/>
        </w:rPr>
      </w:pPr>
      <w:r>
        <w:rPr>
          <w:rFonts w:ascii="Arial" w:eastAsia="Arial" w:hAnsi="Arial" w:cs="Arial"/>
          <w:i/>
          <w:sz w:val="24"/>
          <w:szCs w:val="24"/>
          <w:u w:val="single"/>
        </w:rPr>
        <w:t xml:space="preserve">/s/ </w:t>
      </w:r>
      <w:r w:rsidRPr="005204E8">
        <w:rPr>
          <w:rFonts w:ascii="Arial" w:eastAsia="Arial" w:hAnsi="Arial" w:cs="Arial"/>
          <w:i/>
          <w:sz w:val="24"/>
          <w:szCs w:val="24"/>
          <w:u w:val="single"/>
        </w:rPr>
        <w:t>Matthew White</w:t>
      </w:r>
    </w:p>
    <w:p w:rsidR="00B7429A" w:rsidRDefault="00B7429A" w:rsidP="00B7429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Pr>
          <w:rFonts w:ascii="Arial" w:eastAsia="Times New Roman" w:hAnsi="Arial" w:cs="Arial"/>
          <w:kern w:val="28"/>
          <w:sz w:val="24"/>
          <w:szCs w:val="24"/>
        </w:rPr>
        <w:t>Matthew S. White (0082859)</w:t>
      </w:r>
    </w:p>
    <w:p w:rsidR="00B7429A" w:rsidRPr="00A74C98" w:rsidRDefault="00B7429A" w:rsidP="00B7429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A74C98">
        <w:rPr>
          <w:rFonts w:ascii="Arial" w:eastAsia="Times New Roman" w:hAnsi="Arial" w:cs="Arial"/>
          <w:kern w:val="28"/>
          <w:sz w:val="24"/>
          <w:szCs w:val="24"/>
        </w:rPr>
        <w:t xml:space="preserve"> In House Counsel</w:t>
      </w:r>
      <w:r>
        <w:rPr>
          <w:rFonts w:ascii="Arial" w:eastAsia="Times New Roman" w:hAnsi="Arial" w:cs="Arial"/>
          <w:kern w:val="28"/>
          <w:sz w:val="24"/>
          <w:szCs w:val="24"/>
        </w:rPr>
        <w:t xml:space="preserve"> </w:t>
      </w:r>
    </w:p>
    <w:p w:rsidR="00B7429A" w:rsidRDefault="00B7429A" w:rsidP="00B7429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Pr>
          <w:rFonts w:ascii="Arial" w:eastAsia="Times New Roman" w:hAnsi="Arial" w:cs="Arial"/>
          <w:kern w:val="28"/>
          <w:sz w:val="24"/>
          <w:szCs w:val="24"/>
        </w:rPr>
        <w:t>Vincent A. Parisi</w:t>
      </w:r>
    </w:p>
    <w:p w:rsidR="00B7429A" w:rsidRPr="00A74C98" w:rsidRDefault="00B7429A" w:rsidP="00B7429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A74C98">
        <w:rPr>
          <w:rFonts w:ascii="Arial" w:eastAsia="Times New Roman" w:hAnsi="Arial" w:cs="Arial"/>
          <w:kern w:val="28"/>
          <w:sz w:val="24"/>
          <w:szCs w:val="24"/>
        </w:rPr>
        <w:t>General Counsel</w:t>
      </w:r>
      <w:r>
        <w:rPr>
          <w:rFonts w:ascii="Arial" w:eastAsia="Times New Roman" w:hAnsi="Arial" w:cs="Arial"/>
          <w:kern w:val="28"/>
          <w:sz w:val="24"/>
          <w:szCs w:val="24"/>
        </w:rPr>
        <w:t xml:space="preserve"> </w:t>
      </w:r>
    </w:p>
    <w:p w:rsidR="00B7429A" w:rsidRPr="00A74C98" w:rsidRDefault="00B7429A" w:rsidP="00B7429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A74C98">
        <w:rPr>
          <w:rFonts w:ascii="Arial" w:eastAsia="Times New Roman" w:hAnsi="Arial" w:cs="Arial"/>
          <w:kern w:val="28"/>
          <w:sz w:val="24"/>
          <w:szCs w:val="24"/>
        </w:rPr>
        <w:t>Interstate Gas Supply, Inc.</w:t>
      </w:r>
    </w:p>
    <w:p w:rsidR="00B7429A" w:rsidRPr="00A74C98" w:rsidRDefault="00B7429A" w:rsidP="00B7429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A74C98">
        <w:rPr>
          <w:rFonts w:ascii="Arial" w:eastAsia="Times New Roman" w:hAnsi="Arial" w:cs="Arial"/>
          <w:kern w:val="28"/>
          <w:sz w:val="24"/>
          <w:szCs w:val="24"/>
        </w:rPr>
        <w:t>6100 Emerald Parkway</w:t>
      </w:r>
    </w:p>
    <w:p w:rsidR="00B7429A" w:rsidRPr="00A74C98" w:rsidRDefault="00B7429A" w:rsidP="00B7429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A74C98">
        <w:rPr>
          <w:rFonts w:ascii="Arial" w:eastAsia="Times New Roman" w:hAnsi="Arial" w:cs="Arial"/>
          <w:kern w:val="28"/>
          <w:sz w:val="24"/>
          <w:szCs w:val="24"/>
        </w:rPr>
        <w:t>Dublin OH 43026</w:t>
      </w:r>
    </w:p>
    <w:p w:rsidR="00B7429A" w:rsidRPr="00A74C98" w:rsidRDefault="00B7429A" w:rsidP="00B7429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r w:rsidRPr="00A74C98">
        <w:rPr>
          <w:rFonts w:ascii="Arial" w:eastAsia="Times New Roman" w:hAnsi="Arial" w:cs="Arial"/>
          <w:kern w:val="28"/>
          <w:sz w:val="24"/>
          <w:szCs w:val="24"/>
        </w:rPr>
        <w:t>(614) 659-5055</w:t>
      </w:r>
    </w:p>
    <w:p w:rsidR="00B7429A" w:rsidRPr="00A74C98" w:rsidRDefault="00793829" w:rsidP="00B7429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hyperlink r:id="rId9" w:history="1">
        <w:r w:rsidR="00B7429A" w:rsidRPr="00A74C98">
          <w:rPr>
            <w:rStyle w:val="Hyperlink"/>
            <w:rFonts w:ascii="Arial" w:eastAsia="Times New Roman" w:hAnsi="Arial" w:cs="Arial"/>
            <w:kern w:val="28"/>
            <w:sz w:val="24"/>
            <w:szCs w:val="24"/>
          </w:rPr>
          <w:t>mswhite@igsenergy.com</w:t>
        </w:r>
      </w:hyperlink>
    </w:p>
    <w:p w:rsidR="00B7429A" w:rsidRPr="00A74C98" w:rsidRDefault="00793829" w:rsidP="00B7429A">
      <w:pPr>
        <w:keepNext/>
        <w:widowControl w:val="0"/>
        <w:tabs>
          <w:tab w:val="right" w:pos="9360"/>
        </w:tabs>
        <w:overflowPunct w:val="0"/>
        <w:autoSpaceDE w:val="0"/>
        <w:autoSpaceDN w:val="0"/>
        <w:adjustRightInd w:val="0"/>
        <w:spacing w:after="0" w:line="240" w:lineRule="auto"/>
        <w:ind w:left="4320"/>
        <w:rPr>
          <w:rFonts w:ascii="Arial" w:eastAsia="Times New Roman" w:hAnsi="Arial" w:cs="Arial"/>
          <w:kern w:val="28"/>
          <w:sz w:val="24"/>
          <w:szCs w:val="24"/>
        </w:rPr>
      </w:pPr>
      <w:hyperlink r:id="rId10" w:history="1">
        <w:r w:rsidR="00B7429A" w:rsidRPr="00A74C98">
          <w:rPr>
            <w:rStyle w:val="Hyperlink"/>
            <w:rFonts w:ascii="Arial" w:eastAsia="Times New Roman" w:hAnsi="Arial" w:cs="Arial"/>
            <w:kern w:val="28"/>
            <w:sz w:val="24"/>
            <w:szCs w:val="24"/>
          </w:rPr>
          <w:t>vparisi@igsenergy.com</w:t>
        </w:r>
      </w:hyperlink>
      <w:r w:rsidR="00B7429A" w:rsidRPr="00A74C98">
        <w:rPr>
          <w:rFonts w:ascii="Arial" w:eastAsia="Times New Roman" w:hAnsi="Arial" w:cs="Arial"/>
          <w:kern w:val="28"/>
          <w:sz w:val="24"/>
          <w:szCs w:val="24"/>
        </w:rPr>
        <w:t xml:space="preserve"> </w:t>
      </w:r>
    </w:p>
    <w:p w:rsidR="00B7429A" w:rsidRPr="006418D9" w:rsidRDefault="00B7429A" w:rsidP="00B7429A">
      <w:pPr>
        <w:widowControl w:val="0"/>
        <w:tabs>
          <w:tab w:val="right" w:pos="9360"/>
        </w:tabs>
        <w:overflowPunct w:val="0"/>
        <w:autoSpaceDE w:val="0"/>
        <w:autoSpaceDN w:val="0"/>
        <w:adjustRightInd w:val="0"/>
        <w:spacing w:after="0" w:line="240" w:lineRule="auto"/>
        <w:ind w:left="4320"/>
        <w:rPr>
          <w:rFonts w:ascii="Arial" w:eastAsia="Times New Roman" w:hAnsi="Arial" w:cs="Arial"/>
          <w:b/>
          <w:kern w:val="28"/>
          <w:sz w:val="24"/>
          <w:szCs w:val="24"/>
        </w:rPr>
      </w:pPr>
      <w:r w:rsidRPr="006418D9">
        <w:rPr>
          <w:rFonts w:ascii="Arial" w:eastAsia="Times New Roman" w:hAnsi="Arial" w:cs="Arial"/>
          <w:b/>
          <w:kern w:val="28"/>
          <w:sz w:val="24"/>
          <w:szCs w:val="24"/>
        </w:rPr>
        <w:t>Attorneys for Interstate Gas Supply, Inc.</w:t>
      </w:r>
    </w:p>
    <w:p w:rsidR="00F232FD" w:rsidRPr="00532AA2" w:rsidRDefault="00F232FD" w:rsidP="000E3930">
      <w:pPr>
        <w:autoSpaceDE w:val="0"/>
        <w:autoSpaceDN w:val="0"/>
        <w:adjustRightInd w:val="0"/>
        <w:spacing w:after="0" w:line="360" w:lineRule="auto"/>
        <w:ind w:firstLine="360"/>
        <w:rPr>
          <w:rFonts w:ascii="Arial" w:hAnsi="Arial" w:cs="Arial"/>
          <w:sz w:val="24"/>
          <w:szCs w:val="24"/>
        </w:rPr>
      </w:pPr>
    </w:p>
    <w:sectPr w:rsidR="00F232FD" w:rsidRPr="00532AA2" w:rsidSect="00D273FD">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8C" w:rsidRDefault="0087408C">
      <w:pPr>
        <w:spacing w:after="0" w:line="240" w:lineRule="auto"/>
      </w:pPr>
      <w:r>
        <w:separator/>
      </w:r>
    </w:p>
  </w:endnote>
  <w:endnote w:type="continuationSeparator" w:id="0">
    <w:p w:rsidR="0087408C" w:rsidRDefault="0087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6766"/>
      <w:docPartObj>
        <w:docPartGallery w:val="Page Numbers (Bottom of Page)"/>
        <w:docPartUnique/>
      </w:docPartObj>
    </w:sdtPr>
    <w:sdtEndPr>
      <w:rPr>
        <w:noProof/>
      </w:rPr>
    </w:sdtEndPr>
    <w:sdtContent>
      <w:p w:rsidR="0087408C" w:rsidRDefault="0087408C">
        <w:pPr>
          <w:pStyle w:val="Footer"/>
          <w:jc w:val="center"/>
        </w:pPr>
        <w:r>
          <w:fldChar w:fldCharType="begin"/>
        </w:r>
        <w:r>
          <w:instrText xml:space="preserve"> PAGE   \* MERGEFORMAT </w:instrText>
        </w:r>
        <w:r>
          <w:fldChar w:fldCharType="separate"/>
        </w:r>
        <w:r w:rsidR="00793829">
          <w:rPr>
            <w:noProof/>
          </w:rPr>
          <w:t>6</w:t>
        </w:r>
        <w:r>
          <w:rPr>
            <w:noProof/>
          </w:rPr>
          <w:fldChar w:fldCharType="end"/>
        </w:r>
      </w:p>
    </w:sdtContent>
  </w:sdt>
  <w:p w:rsidR="0087408C" w:rsidRDefault="00874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8C" w:rsidRDefault="0087408C">
      <w:pPr>
        <w:spacing w:after="0" w:line="240" w:lineRule="auto"/>
      </w:pPr>
      <w:r>
        <w:separator/>
      </w:r>
    </w:p>
  </w:footnote>
  <w:footnote w:type="continuationSeparator" w:id="0">
    <w:p w:rsidR="0087408C" w:rsidRDefault="0087408C">
      <w:pPr>
        <w:spacing w:after="0" w:line="240" w:lineRule="auto"/>
      </w:pPr>
      <w:r>
        <w:continuationSeparator/>
      </w:r>
    </w:p>
  </w:footnote>
  <w:footnote w:id="1">
    <w:p w:rsidR="00CC576C" w:rsidRPr="0037185C" w:rsidRDefault="00CC576C" w:rsidP="00CC576C">
      <w:pPr>
        <w:widowControl w:val="0"/>
        <w:spacing w:after="0" w:line="240" w:lineRule="auto"/>
        <w:rPr>
          <w:rFonts w:ascii="Arial" w:hAnsi="Arial" w:cs="Arial"/>
          <w:sz w:val="20"/>
          <w:szCs w:val="20"/>
        </w:rPr>
      </w:pPr>
      <w:r w:rsidRPr="0037185C">
        <w:rPr>
          <w:rStyle w:val="FootnoteReference"/>
          <w:rFonts w:ascii="Arial" w:hAnsi="Arial" w:cs="Arial"/>
          <w:sz w:val="20"/>
          <w:szCs w:val="20"/>
        </w:rPr>
        <w:footnoteRef/>
      </w:r>
      <w:r w:rsidRPr="0037185C">
        <w:rPr>
          <w:rFonts w:ascii="Arial" w:hAnsi="Arial" w:cs="Arial"/>
          <w:sz w:val="20"/>
          <w:szCs w:val="20"/>
        </w:rPr>
        <w:t xml:space="preserve"> Comments of the Office of the Consumer’s Counsel, at </w:t>
      </w:r>
      <w:r w:rsidR="00CC0F6A">
        <w:rPr>
          <w:rFonts w:ascii="Arial" w:hAnsi="Arial" w:cs="Arial"/>
          <w:sz w:val="20"/>
          <w:szCs w:val="20"/>
        </w:rPr>
        <w:t>18-21</w:t>
      </w:r>
      <w:r w:rsidR="0037185C" w:rsidRPr="0037185C">
        <w:rPr>
          <w:rFonts w:ascii="Arial" w:hAnsi="Arial" w:cs="Arial"/>
          <w:sz w:val="20"/>
          <w:szCs w:val="20"/>
        </w:rPr>
        <w:t>,</w:t>
      </w:r>
      <w:r w:rsidRPr="0037185C">
        <w:rPr>
          <w:rFonts w:ascii="Arial" w:hAnsi="Arial" w:cs="Arial"/>
          <w:sz w:val="20"/>
          <w:szCs w:val="20"/>
        </w:rPr>
        <w:t xml:space="preserve"> </w:t>
      </w:r>
      <w:r w:rsidR="00CC0F6A">
        <w:rPr>
          <w:rFonts w:ascii="Arial" w:hAnsi="Arial" w:cs="Arial"/>
          <w:sz w:val="20"/>
          <w:szCs w:val="20"/>
        </w:rPr>
        <w:t>28-19</w:t>
      </w:r>
      <w:r w:rsidRPr="0037185C">
        <w:rPr>
          <w:rFonts w:ascii="Arial" w:hAnsi="Arial" w:cs="Arial"/>
          <w:sz w:val="20"/>
          <w:szCs w:val="20"/>
        </w:rPr>
        <w:t xml:space="preserve"> (Jan 7, 2013) Case No 12-2050-EL-ORD</w:t>
      </w:r>
      <w:r w:rsidR="004C14C1">
        <w:rPr>
          <w:rFonts w:ascii="Arial" w:hAnsi="Arial" w:cs="Arial"/>
          <w:sz w:val="20"/>
          <w:szCs w:val="20"/>
        </w:rPr>
        <w:t>.</w:t>
      </w:r>
    </w:p>
    <w:p w:rsidR="00CC576C" w:rsidRDefault="00CC576C">
      <w:pPr>
        <w:pStyle w:val="FootnoteText"/>
      </w:pPr>
    </w:p>
  </w:footnote>
  <w:footnote w:id="2">
    <w:p w:rsidR="00943D1A" w:rsidRDefault="00943D1A">
      <w:pPr>
        <w:pStyle w:val="FootnoteText"/>
      </w:pPr>
      <w:r>
        <w:rPr>
          <w:rStyle w:val="FootnoteReference"/>
        </w:rPr>
        <w:footnoteRef/>
      </w:r>
      <w:r>
        <w:t xml:space="preserve"> Id.</w:t>
      </w:r>
    </w:p>
  </w:footnote>
  <w:footnote w:id="3">
    <w:p w:rsidR="00EF2368" w:rsidRPr="0037185C" w:rsidRDefault="00EF2368" w:rsidP="00EF2368">
      <w:pPr>
        <w:widowControl w:val="0"/>
        <w:spacing w:after="0" w:line="240" w:lineRule="auto"/>
        <w:rPr>
          <w:rFonts w:ascii="Arial" w:hAnsi="Arial" w:cs="Arial"/>
          <w:sz w:val="20"/>
          <w:szCs w:val="20"/>
        </w:rPr>
      </w:pPr>
      <w:r>
        <w:rPr>
          <w:rStyle w:val="FootnoteReference"/>
        </w:rPr>
        <w:footnoteRef/>
      </w:r>
      <w:r>
        <w:t xml:space="preserve"> </w:t>
      </w:r>
      <w:r w:rsidRPr="0037185C">
        <w:rPr>
          <w:rFonts w:ascii="Arial" w:hAnsi="Arial" w:cs="Arial"/>
          <w:sz w:val="20"/>
          <w:szCs w:val="20"/>
        </w:rPr>
        <w:t xml:space="preserve">Comments of </w:t>
      </w:r>
      <w:r>
        <w:rPr>
          <w:rFonts w:ascii="Arial" w:hAnsi="Arial" w:cs="Arial"/>
          <w:sz w:val="20"/>
          <w:szCs w:val="20"/>
        </w:rPr>
        <w:t>Dayton Power &amp; Light Company</w:t>
      </w:r>
      <w:r w:rsidRPr="0037185C">
        <w:rPr>
          <w:rFonts w:ascii="Arial" w:hAnsi="Arial" w:cs="Arial"/>
          <w:sz w:val="20"/>
          <w:szCs w:val="20"/>
        </w:rPr>
        <w:t xml:space="preserve">, </w:t>
      </w:r>
      <w:r>
        <w:rPr>
          <w:rFonts w:ascii="Arial" w:hAnsi="Arial" w:cs="Arial"/>
          <w:sz w:val="20"/>
          <w:szCs w:val="20"/>
        </w:rPr>
        <w:t>21-22</w:t>
      </w:r>
      <w:r w:rsidRPr="0037185C">
        <w:rPr>
          <w:rFonts w:ascii="Arial" w:hAnsi="Arial" w:cs="Arial"/>
          <w:sz w:val="20"/>
          <w:szCs w:val="20"/>
        </w:rPr>
        <w:t xml:space="preserve"> (Jan 7, 2013) Case No 12-2050-EL-ORD</w:t>
      </w:r>
      <w:r w:rsidR="004C14C1">
        <w:rPr>
          <w:rFonts w:ascii="Arial" w:hAnsi="Arial" w:cs="Arial"/>
          <w:sz w:val="20"/>
          <w:szCs w:val="20"/>
        </w:rPr>
        <w:t>.</w:t>
      </w:r>
    </w:p>
    <w:p w:rsidR="00EF2368" w:rsidRDefault="00EF2368">
      <w:pPr>
        <w:pStyle w:val="FootnoteText"/>
      </w:pPr>
    </w:p>
  </w:footnote>
  <w:footnote w:id="4">
    <w:p w:rsidR="00A101E2" w:rsidRDefault="00A101E2">
      <w:pPr>
        <w:pStyle w:val="FootnoteText"/>
      </w:pPr>
      <w:r>
        <w:rPr>
          <w:rStyle w:val="FootnoteReference"/>
        </w:rPr>
        <w:footnoteRef/>
      </w:r>
      <w:r>
        <w:t xml:space="preserve"> </w:t>
      </w:r>
      <w:r w:rsidRPr="0037185C">
        <w:rPr>
          <w:rFonts w:ascii="Arial" w:hAnsi="Arial" w:cs="Arial"/>
        </w:rPr>
        <w:t xml:space="preserve">Comments of </w:t>
      </w:r>
      <w:r>
        <w:rPr>
          <w:rFonts w:ascii="Arial" w:hAnsi="Arial" w:cs="Arial"/>
        </w:rPr>
        <w:t>Ohio Power Company</w:t>
      </w:r>
      <w:r w:rsidRPr="0037185C">
        <w:rPr>
          <w:rFonts w:ascii="Arial" w:hAnsi="Arial" w:cs="Arial"/>
        </w:rPr>
        <w:t xml:space="preserve">, </w:t>
      </w:r>
      <w:r>
        <w:rPr>
          <w:rFonts w:ascii="Arial" w:hAnsi="Arial" w:cs="Arial"/>
        </w:rPr>
        <w:t>at 15</w:t>
      </w:r>
      <w:r w:rsidRPr="0037185C">
        <w:rPr>
          <w:rFonts w:ascii="Arial" w:hAnsi="Arial" w:cs="Arial"/>
        </w:rPr>
        <w:t xml:space="preserve"> (Jan 7, 2013) Case No 12-2050-EL-ORD</w:t>
      </w:r>
      <w:r w:rsidR="004C14C1">
        <w:rPr>
          <w:rFonts w:ascii="Arial" w:hAnsi="Arial" w:cs="Arial"/>
        </w:rPr>
        <w:t>.</w:t>
      </w:r>
    </w:p>
  </w:footnote>
  <w:footnote w:id="5">
    <w:p w:rsidR="00A101E2" w:rsidRDefault="00A101E2">
      <w:pPr>
        <w:pStyle w:val="FootnoteText"/>
      </w:pPr>
      <w:r>
        <w:rPr>
          <w:rStyle w:val="FootnoteReference"/>
        </w:rPr>
        <w:footnoteRef/>
      </w:r>
      <w:r>
        <w:t xml:space="preserve"> </w:t>
      </w:r>
      <w:r w:rsidR="004C14C1">
        <w:t>Id. at 16.</w:t>
      </w:r>
    </w:p>
  </w:footnote>
  <w:footnote w:id="6">
    <w:p w:rsidR="00DB5393" w:rsidRDefault="00DB5393">
      <w:pPr>
        <w:pStyle w:val="FootnoteText"/>
      </w:pPr>
      <w:r>
        <w:rPr>
          <w:rStyle w:val="FootnoteReference"/>
        </w:rPr>
        <w:footnoteRef/>
      </w:r>
      <w:r>
        <w:t xml:space="preserve"> </w:t>
      </w:r>
      <w:r w:rsidRPr="0037185C">
        <w:rPr>
          <w:rFonts w:ascii="Arial" w:hAnsi="Arial" w:cs="Arial"/>
        </w:rPr>
        <w:t xml:space="preserve">Comments of </w:t>
      </w:r>
      <w:r>
        <w:rPr>
          <w:rFonts w:ascii="Arial" w:hAnsi="Arial" w:cs="Arial"/>
        </w:rPr>
        <w:t>FirstEnergy Solutions</w:t>
      </w:r>
      <w:r w:rsidRPr="0037185C">
        <w:rPr>
          <w:rFonts w:ascii="Arial" w:hAnsi="Arial" w:cs="Arial"/>
        </w:rPr>
        <w:t xml:space="preserve">, </w:t>
      </w:r>
      <w:r>
        <w:rPr>
          <w:rFonts w:ascii="Arial" w:hAnsi="Arial" w:cs="Arial"/>
        </w:rPr>
        <w:t xml:space="preserve">at </w:t>
      </w:r>
      <w:r>
        <w:rPr>
          <w:rFonts w:ascii="Arial" w:hAnsi="Arial" w:cs="Arial"/>
        </w:rPr>
        <w:t>3</w:t>
      </w:r>
      <w:r w:rsidRPr="0037185C">
        <w:rPr>
          <w:rFonts w:ascii="Arial" w:hAnsi="Arial" w:cs="Arial"/>
        </w:rPr>
        <w:t xml:space="preserve"> (Jan 7, 2013) Case No 12-2050-EL-ORD</w:t>
      </w:r>
      <w:r w:rsidR="004C14C1">
        <w:rPr>
          <w:rFonts w:ascii="Arial" w:hAnsi="Arial" w:cs="Arial"/>
        </w:rPr>
        <w:t>.</w:t>
      </w:r>
    </w:p>
  </w:footnote>
  <w:footnote w:id="7">
    <w:p w:rsidR="00DB5393" w:rsidRDefault="00DB5393">
      <w:pPr>
        <w:pStyle w:val="FootnoteText"/>
      </w:pPr>
      <w:r>
        <w:rPr>
          <w:rStyle w:val="FootnoteReference"/>
        </w:rPr>
        <w:footnoteRef/>
      </w:r>
      <w:r>
        <w:t xml:space="preserve"> Id. at 7.</w:t>
      </w:r>
    </w:p>
  </w:footnote>
  <w:footnote w:id="8">
    <w:p w:rsidR="00DB5393" w:rsidRDefault="00DB5393">
      <w:pPr>
        <w:pStyle w:val="FootnoteText"/>
      </w:pPr>
      <w:r>
        <w:rPr>
          <w:rStyle w:val="FootnoteReference"/>
        </w:rPr>
        <w:footnoteRef/>
      </w:r>
      <w:r>
        <w:t xml:space="preserve"> Id. at 8.</w:t>
      </w:r>
    </w:p>
  </w:footnote>
  <w:footnote w:id="9">
    <w:p w:rsidR="00325F68" w:rsidRDefault="00325F68">
      <w:pPr>
        <w:pStyle w:val="FootnoteText"/>
      </w:pPr>
      <w:r>
        <w:rPr>
          <w:rStyle w:val="FootnoteReference"/>
        </w:rPr>
        <w:footnoteRef/>
      </w:r>
      <w:r>
        <w:t xml:space="preserve"> </w:t>
      </w:r>
      <w:r w:rsidRPr="0037185C">
        <w:rPr>
          <w:rFonts w:ascii="Arial" w:hAnsi="Arial" w:cs="Arial"/>
        </w:rPr>
        <w:t xml:space="preserve">Comments of </w:t>
      </w:r>
      <w:r>
        <w:rPr>
          <w:rFonts w:ascii="Arial" w:hAnsi="Arial" w:cs="Arial"/>
        </w:rPr>
        <w:t>Direct Energy</w:t>
      </w:r>
      <w:r w:rsidRPr="0037185C">
        <w:rPr>
          <w:rFonts w:ascii="Arial" w:hAnsi="Arial" w:cs="Arial"/>
        </w:rPr>
        <w:t xml:space="preserve">, </w:t>
      </w:r>
      <w:r>
        <w:rPr>
          <w:rFonts w:ascii="Arial" w:hAnsi="Arial" w:cs="Arial"/>
        </w:rPr>
        <w:t>at 3</w:t>
      </w:r>
      <w:r w:rsidRPr="0037185C">
        <w:rPr>
          <w:rFonts w:ascii="Arial" w:hAnsi="Arial" w:cs="Arial"/>
        </w:rPr>
        <w:t xml:space="preserve"> (Jan 7, 2013) Case No 12-2050-EL-ORD</w:t>
      </w:r>
      <w:r w:rsidR="004C14C1">
        <w:rPr>
          <w:rFonts w:ascii="Arial" w:hAnsi="Arial" w:cs="Arial"/>
        </w:rPr>
        <w:t>.</w:t>
      </w:r>
    </w:p>
  </w:footnote>
  <w:footnote w:id="10">
    <w:p w:rsidR="00325F68" w:rsidRDefault="00325F68">
      <w:pPr>
        <w:pStyle w:val="FootnoteText"/>
      </w:pPr>
      <w:r>
        <w:rPr>
          <w:rStyle w:val="FootnoteReference"/>
        </w:rPr>
        <w:footnoteRef/>
      </w:r>
      <w:r>
        <w:t xml:space="preserve"> Id.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08C" w:rsidRDefault="0087408C">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F753C"/>
    <w:multiLevelType w:val="hybridMultilevel"/>
    <w:tmpl w:val="406AB08C"/>
    <w:lvl w:ilvl="0" w:tplc="EB5A9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D7959"/>
    <w:multiLevelType w:val="hybridMultilevel"/>
    <w:tmpl w:val="80001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1C6B4B"/>
    <w:multiLevelType w:val="hybridMultilevel"/>
    <w:tmpl w:val="63AC4D6C"/>
    <w:lvl w:ilvl="0" w:tplc="014612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A2537"/>
    <w:multiLevelType w:val="hybridMultilevel"/>
    <w:tmpl w:val="CFA22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5B19D4"/>
    <w:multiLevelType w:val="hybridMultilevel"/>
    <w:tmpl w:val="406AB08C"/>
    <w:lvl w:ilvl="0" w:tplc="EB5A9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287712"/>
    <w:multiLevelType w:val="hybridMultilevel"/>
    <w:tmpl w:val="406AB08C"/>
    <w:lvl w:ilvl="0" w:tplc="EB5A9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DD16DD"/>
    <w:multiLevelType w:val="hybridMultilevel"/>
    <w:tmpl w:val="5470A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7"/>
  </w:num>
  <w:num w:numId="5">
    <w:abstractNumId w:val="3"/>
  </w:num>
  <w:num w:numId="6">
    <w:abstractNumId w:val="8"/>
  </w:num>
  <w:num w:numId="7">
    <w:abstractNumId w:val="1"/>
  </w:num>
  <w:num w:numId="8">
    <w:abstractNumId w:val="2"/>
  </w:num>
  <w:num w:numId="9">
    <w:abstractNumId w:val="6"/>
  </w:num>
  <w:num w:numId="10">
    <w:abstractNumId w:val="4"/>
  </w:num>
  <w:num w:numId="11">
    <w:abstractNumId w:val="12"/>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29"/>
    <w:rsid w:val="00010527"/>
    <w:rsid w:val="0001468C"/>
    <w:rsid w:val="000158CB"/>
    <w:rsid w:val="00016A5F"/>
    <w:rsid w:val="00023A72"/>
    <w:rsid w:val="0002605C"/>
    <w:rsid w:val="000516C6"/>
    <w:rsid w:val="00094915"/>
    <w:rsid w:val="0009648F"/>
    <w:rsid w:val="000B1AE8"/>
    <w:rsid w:val="000B2D00"/>
    <w:rsid w:val="000E3930"/>
    <w:rsid w:val="000F1EC4"/>
    <w:rsid w:val="000F47BB"/>
    <w:rsid w:val="000F4B8C"/>
    <w:rsid w:val="00101875"/>
    <w:rsid w:val="00123C3C"/>
    <w:rsid w:val="00141D40"/>
    <w:rsid w:val="00145DEA"/>
    <w:rsid w:val="00156A10"/>
    <w:rsid w:val="00184265"/>
    <w:rsid w:val="001975B2"/>
    <w:rsid w:val="001C1420"/>
    <w:rsid w:val="001C4C85"/>
    <w:rsid w:val="001E61FE"/>
    <w:rsid w:val="001F7F40"/>
    <w:rsid w:val="0020673D"/>
    <w:rsid w:val="00210CCE"/>
    <w:rsid w:val="00214B82"/>
    <w:rsid w:val="00214C32"/>
    <w:rsid w:val="002540DA"/>
    <w:rsid w:val="00272941"/>
    <w:rsid w:val="0027726F"/>
    <w:rsid w:val="00277703"/>
    <w:rsid w:val="0028099E"/>
    <w:rsid w:val="002948FD"/>
    <w:rsid w:val="002B5AFB"/>
    <w:rsid w:val="002C234C"/>
    <w:rsid w:val="002C50CD"/>
    <w:rsid w:val="002D3210"/>
    <w:rsid w:val="002E0340"/>
    <w:rsid w:val="002E65EF"/>
    <w:rsid w:val="0030162A"/>
    <w:rsid w:val="00325F68"/>
    <w:rsid w:val="003304CC"/>
    <w:rsid w:val="00335A56"/>
    <w:rsid w:val="00337A76"/>
    <w:rsid w:val="00366431"/>
    <w:rsid w:val="0037185C"/>
    <w:rsid w:val="00372207"/>
    <w:rsid w:val="0038250E"/>
    <w:rsid w:val="003A09BE"/>
    <w:rsid w:val="003B727A"/>
    <w:rsid w:val="003C130A"/>
    <w:rsid w:val="003C168F"/>
    <w:rsid w:val="003C7E46"/>
    <w:rsid w:val="003F2FB8"/>
    <w:rsid w:val="0040018D"/>
    <w:rsid w:val="00446FB6"/>
    <w:rsid w:val="004728F1"/>
    <w:rsid w:val="00473A68"/>
    <w:rsid w:val="004A0FA6"/>
    <w:rsid w:val="004A10AD"/>
    <w:rsid w:val="004A37A3"/>
    <w:rsid w:val="004B0400"/>
    <w:rsid w:val="004C104B"/>
    <w:rsid w:val="004C14C1"/>
    <w:rsid w:val="004C2D05"/>
    <w:rsid w:val="004C560D"/>
    <w:rsid w:val="004D7CEF"/>
    <w:rsid w:val="004E13F9"/>
    <w:rsid w:val="004E37F2"/>
    <w:rsid w:val="004F146B"/>
    <w:rsid w:val="004F5C68"/>
    <w:rsid w:val="00502D84"/>
    <w:rsid w:val="00525854"/>
    <w:rsid w:val="00532AA2"/>
    <w:rsid w:val="00545F29"/>
    <w:rsid w:val="00557AB6"/>
    <w:rsid w:val="0056021F"/>
    <w:rsid w:val="00561DEB"/>
    <w:rsid w:val="0056270F"/>
    <w:rsid w:val="00572932"/>
    <w:rsid w:val="005829F3"/>
    <w:rsid w:val="00597802"/>
    <w:rsid w:val="005B5893"/>
    <w:rsid w:val="00646C54"/>
    <w:rsid w:val="006478F3"/>
    <w:rsid w:val="006A3FCD"/>
    <w:rsid w:val="006C5F1C"/>
    <w:rsid w:val="006F17FE"/>
    <w:rsid w:val="006F2DB3"/>
    <w:rsid w:val="006F52B1"/>
    <w:rsid w:val="0070494A"/>
    <w:rsid w:val="00707F66"/>
    <w:rsid w:val="007165E1"/>
    <w:rsid w:val="00732964"/>
    <w:rsid w:val="0074672D"/>
    <w:rsid w:val="00753D73"/>
    <w:rsid w:val="00793829"/>
    <w:rsid w:val="00793C17"/>
    <w:rsid w:val="00794907"/>
    <w:rsid w:val="007A7104"/>
    <w:rsid w:val="007B5118"/>
    <w:rsid w:val="007C21E2"/>
    <w:rsid w:val="007C23AB"/>
    <w:rsid w:val="007D2BD6"/>
    <w:rsid w:val="007E362A"/>
    <w:rsid w:val="007F5FE5"/>
    <w:rsid w:val="00802626"/>
    <w:rsid w:val="00825EE0"/>
    <w:rsid w:val="00841833"/>
    <w:rsid w:val="00852176"/>
    <w:rsid w:val="0087408C"/>
    <w:rsid w:val="008838DF"/>
    <w:rsid w:val="008A53A0"/>
    <w:rsid w:val="008C62EF"/>
    <w:rsid w:val="008F580D"/>
    <w:rsid w:val="00915444"/>
    <w:rsid w:val="00943D1A"/>
    <w:rsid w:val="009536EC"/>
    <w:rsid w:val="00954376"/>
    <w:rsid w:val="009624CA"/>
    <w:rsid w:val="00982FD5"/>
    <w:rsid w:val="009C7DF1"/>
    <w:rsid w:val="009D136B"/>
    <w:rsid w:val="009E37D0"/>
    <w:rsid w:val="009F5C0D"/>
    <w:rsid w:val="00A101E2"/>
    <w:rsid w:val="00A110A3"/>
    <w:rsid w:val="00A14485"/>
    <w:rsid w:val="00A3048A"/>
    <w:rsid w:val="00A62A73"/>
    <w:rsid w:val="00A77041"/>
    <w:rsid w:val="00A94F26"/>
    <w:rsid w:val="00AC2EBB"/>
    <w:rsid w:val="00AC509F"/>
    <w:rsid w:val="00AD169B"/>
    <w:rsid w:val="00AF2F97"/>
    <w:rsid w:val="00B003FE"/>
    <w:rsid w:val="00B0319C"/>
    <w:rsid w:val="00B05F65"/>
    <w:rsid w:val="00B329F4"/>
    <w:rsid w:val="00B42522"/>
    <w:rsid w:val="00B46960"/>
    <w:rsid w:val="00B47B3B"/>
    <w:rsid w:val="00B7021D"/>
    <w:rsid w:val="00B7429A"/>
    <w:rsid w:val="00B914C1"/>
    <w:rsid w:val="00B92A76"/>
    <w:rsid w:val="00BC36F9"/>
    <w:rsid w:val="00BF032A"/>
    <w:rsid w:val="00C52308"/>
    <w:rsid w:val="00C573FF"/>
    <w:rsid w:val="00CC0F6A"/>
    <w:rsid w:val="00CC576C"/>
    <w:rsid w:val="00CD247E"/>
    <w:rsid w:val="00CD5E2F"/>
    <w:rsid w:val="00CF5452"/>
    <w:rsid w:val="00CF7FA7"/>
    <w:rsid w:val="00D16EE5"/>
    <w:rsid w:val="00D273FD"/>
    <w:rsid w:val="00D4372D"/>
    <w:rsid w:val="00D45C02"/>
    <w:rsid w:val="00D653A0"/>
    <w:rsid w:val="00D85FDB"/>
    <w:rsid w:val="00DA5C3C"/>
    <w:rsid w:val="00DA6C9B"/>
    <w:rsid w:val="00DB5393"/>
    <w:rsid w:val="00DC30BD"/>
    <w:rsid w:val="00DC6E19"/>
    <w:rsid w:val="00DE35A5"/>
    <w:rsid w:val="00E230C4"/>
    <w:rsid w:val="00E2417C"/>
    <w:rsid w:val="00E42878"/>
    <w:rsid w:val="00E542BB"/>
    <w:rsid w:val="00E710AC"/>
    <w:rsid w:val="00E734E7"/>
    <w:rsid w:val="00E813F8"/>
    <w:rsid w:val="00EA05C2"/>
    <w:rsid w:val="00EB4351"/>
    <w:rsid w:val="00EC5EF6"/>
    <w:rsid w:val="00EC754E"/>
    <w:rsid w:val="00ED3EA2"/>
    <w:rsid w:val="00ED5C07"/>
    <w:rsid w:val="00EF2368"/>
    <w:rsid w:val="00EF24B0"/>
    <w:rsid w:val="00EF3B95"/>
    <w:rsid w:val="00EF6B54"/>
    <w:rsid w:val="00F00EB6"/>
    <w:rsid w:val="00F15DFA"/>
    <w:rsid w:val="00F2105E"/>
    <w:rsid w:val="00F232FD"/>
    <w:rsid w:val="00F247D1"/>
    <w:rsid w:val="00F36EAB"/>
    <w:rsid w:val="00F61762"/>
    <w:rsid w:val="00F70F36"/>
    <w:rsid w:val="00F74F99"/>
    <w:rsid w:val="00F94E93"/>
    <w:rsid w:val="00FB6CA5"/>
    <w:rsid w:val="00FD1CCF"/>
    <w:rsid w:val="00FE3AF9"/>
    <w:rsid w:val="00FF2E30"/>
    <w:rsid w:val="00FF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nhideWhenUsed/>
    <w:pPr>
      <w:spacing w:after="0" w:line="240" w:lineRule="auto"/>
    </w:pPr>
    <w:rPr>
      <w:sz w:val="20"/>
      <w:szCs w:val="20"/>
    </w:rPr>
  </w:style>
  <w:style w:type="character" w:customStyle="1" w:styleId="FootnoteTextChar">
    <w:name w:val="Footnote Text Char"/>
    <w:basedOn w:val="DefaultParagraphFont"/>
    <w:link w:val="FootnoteText"/>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rsid w:val="00254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254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nhideWhenUsed/>
    <w:pPr>
      <w:spacing w:after="0" w:line="240" w:lineRule="auto"/>
    </w:pPr>
    <w:rPr>
      <w:sz w:val="20"/>
      <w:szCs w:val="20"/>
    </w:rPr>
  </w:style>
  <w:style w:type="character" w:customStyle="1" w:styleId="FootnoteTextChar">
    <w:name w:val="Footnote Text Char"/>
    <w:basedOn w:val="DefaultParagraphFont"/>
    <w:link w:val="FootnoteText"/>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rsid w:val="00254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25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237055657">
      <w:bodyDiv w:val="1"/>
      <w:marLeft w:val="0"/>
      <w:marRight w:val="0"/>
      <w:marTop w:val="0"/>
      <w:marBottom w:val="0"/>
      <w:divBdr>
        <w:top w:val="none" w:sz="0" w:space="0" w:color="auto"/>
        <w:left w:val="none" w:sz="0" w:space="0" w:color="auto"/>
        <w:bottom w:val="none" w:sz="0" w:space="0" w:color="auto"/>
        <w:right w:val="none" w:sz="0" w:space="0" w:color="auto"/>
      </w:divBdr>
    </w:div>
    <w:div w:id="595750487">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897323810">
      <w:bodyDiv w:val="1"/>
      <w:marLeft w:val="0"/>
      <w:marRight w:val="0"/>
      <w:marTop w:val="0"/>
      <w:marBottom w:val="0"/>
      <w:divBdr>
        <w:top w:val="none" w:sz="0" w:space="0" w:color="auto"/>
        <w:left w:val="none" w:sz="0" w:space="0" w:color="auto"/>
        <w:bottom w:val="none" w:sz="0" w:space="0" w:color="auto"/>
        <w:right w:val="none" w:sz="0" w:space="0" w:color="auto"/>
      </w:divBdr>
    </w:div>
    <w:div w:id="1332099794">
      <w:bodyDiv w:val="1"/>
      <w:marLeft w:val="0"/>
      <w:marRight w:val="0"/>
      <w:marTop w:val="0"/>
      <w:marBottom w:val="0"/>
      <w:divBdr>
        <w:top w:val="none" w:sz="0" w:space="0" w:color="auto"/>
        <w:left w:val="none" w:sz="0" w:space="0" w:color="auto"/>
        <w:bottom w:val="none" w:sz="0" w:space="0" w:color="auto"/>
        <w:right w:val="none" w:sz="0" w:space="0" w:color="auto"/>
      </w:divBdr>
    </w:div>
    <w:div w:id="1365714200">
      <w:bodyDiv w:val="1"/>
      <w:marLeft w:val="0"/>
      <w:marRight w:val="0"/>
      <w:marTop w:val="0"/>
      <w:marBottom w:val="0"/>
      <w:divBdr>
        <w:top w:val="none" w:sz="0" w:space="0" w:color="auto"/>
        <w:left w:val="none" w:sz="0" w:space="0" w:color="auto"/>
        <w:bottom w:val="none" w:sz="0" w:space="0" w:color="auto"/>
        <w:right w:val="none" w:sz="0" w:space="0" w:color="auto"/>
      </w:divBdr>
    </w:div>
    <w:div w:id="1378119211">
      <w:bodyDiv w:val="1"/>
      <w:marLeft w:val="0"/>
      <w:marRight w:val="0"/>
      <w:marTop w:val="0"/>
      <w:marBottom w:val="0"/>
      <w:divBdr>
        <w:top w:val="none" w:sz="0" w:space="0" w:color="auto"/>
        <w:left w:val="none" w:sz="0" w:space="0" w:color="auto"/>
        <w:bottom w:val="none" w:sz="0" w:space="0" w:color="auto"/>
        <w:right w:val="none" w:sz="0" w:space="0" w:color="auto"/>
      </w:divBdr>
    </w:div>
    <w:div w:id="1562013841">
      <w:bodyDiv w:val="1"/>
      <w:marLeft w:val="0"/>
      <w:marRight w:val="0"/>
      <w:marTop w:val="0"/>
      <w:marBottom w:val="0"/>
      <w:divBdr>
        <w:top w:val="none" w:sz="0" w:space="0" w:color="auto"/>
        <w:left w:val="none" w:sz="0" w:space="0" w:color="auto"/>
        <w:bottom w:val="none" w:sz="0" w:space="0" w:color="auto"/>
        <w:right w:val="none" w:sz="0" w:space="0" w:color="auto"/>
      </w:divBdr>
    </w:div>
    <w:div w:id="1563833733">
      <w:bodyDiv w:val="1"/>
      <w:marLeft w:val="0"/>
      <w:marRight w:val="0"/>
      <w:marTop w:val="0"/>
      <w:marBottom w:val="0"/>
      <w:divBdr>
        <w:top w:val="none" w:sz="0" w:space="0" w:color="auto"/>
        <w:left w:val="none" w:sz="0" w:space="0" w:color="auto"/>
        <w:bottom w:val="none" w:sz="0" w:space="0" w:color="auto"/>
        <w:right w:val="none" w:sz="0" w:space="0" w:color="auto"/>
      </w:divBdr>
    </w:div>
    <w:div w:id="1586456483">
      <w:bodyDiv w:val="1"/>
      <w:marLeft w:val="0"/>
      <w:marRight w:val="0"/>
      <w:marTop w:val="0"/>
      <w:marBottom w:val="0"/>
      <w:divBdr>
        <w:top w:val="none" w:sz="0" w:space="0" w:color="auto"/>
        <w:left w:val="none" w:sz="0" w:space="0" w:color="auto"/>
        <w:bottom w:val="none" w:sz="0" w:space="0" w:color="auto"/>
        <w:right w:val="none" w:sz="0" w:space="0" w:color="auto"/>
      </w:divBdr>
    </w:div>
    <w:div w:id="1690792170">
      <w:bodyDiv w:val="1"/>
      <w:marLeft w:val="0"/>
      <w:marRight w:val="0"/>
      <w:marTop w:val="0"/>
      <w:marBottom w:val="0"/>
      <w:divBdr>
        <w:top w:val="none" w:sz="0" w:space="0" w:color="auto"/>
        <w:left w:val="none" w:sz="0" w:space="0" w:color="auto"/>
        <w:bottom w:val="none" w:sz="0" w:space="0" w:color="auto"/>
        <w:right w:val="none" w:sz="0" w:space="0" w:color="auto"/>
      </w:divBdr>
    </w:div>
    <w:div w:id="1940138764">
      <w:bodyDiv w:val="1"/>
      <w:marLeft w:val="0"/>
      <w:marRight w:val="0"/>
      <w:marTop w:val="0"/>
      <w:marBottom w:val="0"/>
      <w:divBdr>
        <w:top w:val="none" w:sz="0" w:space="0" w:color="auto"/>
        <w:left w:val="none" w:sz="0" w:space="0" w:color="auto"/>
        <w:bottom w:val="none" w:sz="0" w:space="0" w:color="auto"/>
        <w:right w:val="none" w:sz="0" w:space="0" w:color="auto"/>
      </w:divBdr>
    </w:div>
    <w:div w:id="20039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parisi@igsenergy.com" TargetMode="External"/><Relationship Id="rId4" Type="http://schemas.microsoft.com/office/2007/relationships/stylesWithEffects" Target="stylesWithEffects.xml"/><Relationship Id="rId9" Type="http://schemas.openxmlformats.org/officeDocument/2006/relationships/hyperlink" Target="mailto:mswhite@igsenerg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8B6F2-68C6-4639-BC4A-7B81649C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2010-10-04T15:02:00Z</cp:lastPrinted>
  <dcterms:created xsi:type="dcterms:W3CDTF">2013-02-06T21:03:00Z</dcterms:created>
  <dcterms:modified xsi:type="dcterms:W3CDTF">2013-02-06T21:03:00Z</dcterms:modified>
</cp:coreProperties>
</file>