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DF6C9" w14:textId="77777777" w:rsidR="00C6244E" w:rsidRDefault="009E4D7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thick"/>
        </w:rPr>
        <w:t>UNACCOUNTED FOR GAS PERCENTAGE</w:t>
      </w:r>
    </w:p>
    <w:p w14:paraId="67815E46" w14:textId="77777777" w:rsidR="00C6244E" w:rsidRDefault="00C6244E">
      <w:pPr>
        <w:rPr>
          <w:rFonts w:ascii="Arial" w:hAnsi="Arial" w:cs="Arial"/>
          <w:sz w:val="20"/>
          <w:szCs w:val="20"/>
        </w:rPr>
      </w:pPr>
    </w:p>
    <w:p w14:paraId="690A9ACA" w14:textId="77777777" w:rsidR="00C6244E" w:rsidRDefault="009E4D7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14:paraId="56E11EC8" w14:textId="77777777" w:rsidR="00C6244E" w:rsidRDefault="009E4D74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gramStart"/>
      <w:r>
        <w:rPr>
          <w:rFonts w:ascii="Arial" w:hAnsi="Arial" w:cs="Arial"/>
          <w:sz w:val="20"/>
          <w:szCs w:val="20"/>
        </w:rPr>
        <w:t>Unaccounted for</w:t>
      </w:r>
      <w:proofErr w:type="gramEnd"/>
      <w:r>
        <w:rPr>
          <w:rFonts w:ascii="Arial" w:hAnsi="Arial" w:cs="Arial"/>
          <w:sz w:val="20"/>
          <w:szCs w:val="20"/>
        </w:rPr>
        <w:t xml:space="preserve"> Gas Percentage shall be applicable to Pool Operators, Choice Suppliers, and SCO Suppliers.</w:t>
      </w:r>
    </w:p>
    <w:p w14:paraId="1566D1F9" w14:textId="77777777" w:rsidR="00C6244E" w:rsidRDefault="00C6244E">
      <w:pPr>
        <w:rPr>
          <w:rFonts w:ascii="Arial" w:hAnsi="Arial" w:cs="Arial"/>
          <w:sz w:val="20"/>
          <w:szCs w:val="20"/>
        </w:rPr>
      </w:pPr>
    </w:p>
    <w:p w14:paraId="249205D7" w14:textId="77777777" w:rsidR="00C6244E" w:rsidRDefault="009E4D7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14:paraId="10F6CE6B" w14:textId="77777777" w:rsidR="00C6244E" w:rsidRDefault="009E4D74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percentage of the quantities delivered by applicable parties at a point of receipt on Company's distribution system shall be designated to compensate for gas lost, used, and unaccounted for in system operations.</w:t>
      </w:r>
    </w:p>
    <w:p w14:paraId="67599305" w14:textId="77777777" w:rsidR="00C6244E" w:rsidRDefault="00C6244E">
      <w:pPr>
        <w:ind w:right="576"/>
        <w:jc w:val="both"/>
        <w:rPr>
          <w:rFonts w:ascii="Arial" w:hAnsi="Arial" w:cs="Arial"/>
          <w:sz w:val="20"/>
          <w:szCs w:val="20"/>
        </w:rPr>
      </w:pPr>
    </w:p>
    <w:p w14:paraId="726A10D6" w14:textId="77777777" w:rsidR="00C6244E" w:rsidRDefault="009E4D74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gramStart"/>
      <w:r>
        <w:rPr>
          <w:rFonts w:ascii="Arial" w:hAnsi="Arial" w:cs="Arial"/>
          <w:sz w:val="20"/>
          <w:szCs w:val="20"/>
        </w:rPr>
        <w:t>Unaccounted for</w:t>
      </w:r>
      <w:proofErr w:type="gramEnd"/>
      <w:r>
        <w:rPr>
          <w:rFonts w:ascii="Arial" w:hAnsi="Arial" w:cs="Arial"/>
          <w:sz w:val="20"/>
          <w:szCs w:val="20"/>
        </w:rPr>
        <w:t xml:space="preserve"> Gas Percentage stated below shall be adjusted periodically by Company, through updating of this Sheet No. 54, in accordance with the procedures approved by the Commission in Case No. 18-0298-GA-AIR, to reflect any changes in the system unaccounted for percentage.</w:t>
      </w:r>
    </w:p>
    <w:p w14:paraId="6A14E2C4" w14:textId="77777777" w:rsidR="00C6244E" w:rsidRDefault="00C6244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E4C7150" w14:textId="77777777" w:rsidR="00C6244E" w:rsidRDefault="009E4D74">
      <w:pPr>
        <w:pStyle w:val="Heading2"/>
        <w:spacing w:line="230" w:lineRule="exact"/>
        <w:ind w:left="0"/>
        <w:rPr>
          <w:b w:val="0"/>
          <w:bCs w:val="0"/>
        </w:rPr>
      </w:pPr>
      <w:r>
        <w:rPr>
          <w:spacing w:val="-3"/>
          <w:u w:val="thick" w:color="000000"/>
        </w:rPr>
        <w:t>UNACCOUNTED</w:t>
      </w:r>
      <w:r>
        <w:rPr>
          <w:spacing w:val="-2"/>
          <w:u w:val="thick" w:color="000000"/>
        </w:rPr>
        <w:t xml:space="preserve"> FOR</w:t>
      </w:r>
      <w:r>
        <w:rPr>
          <w:spacing w:val="-1"/>
          <w:u w:val="thick" w:color="000000"/>
        </w:rPr>
        <w:t xml:space="preserve"> GAS</w:t>
      </w:r>
      <w:r>
        <w:rPr>
          <w:spacing w:val="-6"/>
          <w:u w:val="thick" w:color="000000"/>
        </w:rPr>
        <w:t xml:space="preserve"> </w:t>
      </w:r>
      <w:r>
        <w:rPr>
          <w:spacing w:val="-2"/>
          <w:u w:val="thick" w:color="000000"/>
        </w:rPr>
        <w:t>PERCENTAGE</w:t>
      </w:r>
    </w:p>
    <w:p w14:paraId="15A3EA6C" w14:textId="125AE1FE" w:rsidR="00C6244E" w:rsidRDefault="009E4D74">
      <w:pPr>
        <w:pStyle w:val="BodyText"/>
        <w:spacing w:line="230" w:lineRule="exact"/>
        <w:ind w:left="824"/>
        <w:jc w:val="both"/>
      </w:pPr>
      <w:r>
        <w:rPr>
          <w:spacing w:val="-2"/>
        </w:rPr>
        <w:t>The</w:t>
      </w:r>
      <w:r>
        <w:rPr>
          <w:spacing w:val="-4"/>
        </w:rPr>
        <w:t xml:space="preserve"> </w:t>
      </w:r>
      <w:proofErr w:type="gramStart"/>
      <w:r>
        <w:rPr>
          <w:spacing w:val="-3"/>
        </w:rPr>
        <w:t>Unaccounted</w:t>
      </w:r>
      <w:r>
        <w:rPr>
          <w:spacing w:val="-4"/>
        </w:rPr>
        <w:t xml:space="preserve"> </w:t>
      </w:r>
      <w:r>
        <w:rPr>
          <w:spacing w:val="-2"/>
        </w:rPr>
        <w:t>for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Gas</w:t>
      </w:r>
      <w:r>
        <w:rPr>
          <w:spacing w:val="-4"/>
        </w:rPr>
        <w:t xml:space="preserve"> </w:t>
      </w:r>
      <w:r>
        <w:rPr>
          <w:spacing w:val="-2"/>
        </w:rPr>
        <w:t>Percentage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 w:rsidR="005F4A58">
        <w:rPr>
          <w:spacing w:val="-3"/>
        </w:rPr>
        <w:t>0.9</w:t>
      </w:r>
      <w:r>
        <w:rPr>
          <w:spacing w:val="-3"/>
        </w:rPr>
        <w:t>%.</w:t>
      </w:r>
    </w:p>
    <w:p w14:paraId="4C64FB57" w14:textId="77777777" w:rsidR="00C6244E" w:rsidRDefault="00C6244E">
      <w:pPr>
        <w:ind w:right="576"/>
        <w:jc w:val="both"/>
        <w:rPr>
          <w:rFonts w:ascii="Arial" w:hAnsi="Arial" w:cs="Arial"/>
          <w:sz w:val="20"/>
          <w:szCs w:val="20"/>
          <w:highlight w:val="yellow"/>
        </w:rPr>
      </w:pPr>
    </w:p>
    <w:sectPr w:rsidR="00C62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0473E" w14:textId="77777777" w:rsidR="00C6244E" w:rsidRDefault="009E4D74">
      <w:r>
        <w:separator/>
      </w:r>
    </w:p>
  </w:endnote>
  <w:endnote w:type="continuationSeparator" w:id="0">
    <w:p w14:paraId="4E49191D" w14:textId="77777777" w:rsidR="00C6244E" w:rsidRDefault="009E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A22FE" w14:textId="77777777" w:rsidR="00DB46CC" w:rsidRDefault="00DB4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CDFD8" w14:textId="77777777" w:rsidR="00C6244E" w:rsidRDefault="00C6244E">
    <w:pPr>
      <w:pStyle w:val="Footer"/>
      <w:rPr>
        <w:sz w:val="20"/>
        <w:szCs w:val="20"/>
      </w:rPr>
    </w:pPr>
  </w:p>
  <w:p w14:paraId="050414B9" w14:textId="77777777" w:rsidR="00C6244E" w:rsidRDefault="00DB46CC">
    <w:pPr>
      <w:pStyle w:val="Footer"/>
      <w:rPr>
        <w:sz w:val="20"/>
        <w:szCs w:val="20"/>
      </w:rPr>
    </w:pPr>
    <w:r>
      <w:rPr>
        <w:sz w:val="20"/>
        <w:szCs w:val="20"/>
      </w:rPr>
      <w:pict w14:anchorId="0F0CD354">
        <v:rect id="_x0000_i1025" style="width:468pt;height:1.5pt" o:hralign="center" o:hrstd="t" o:hrnoshade="t" o:hr="t" fillcolor="black" stroked="f"/>
      </w:pict>
    </w:r>
  </w:p>
  <w:p w14:paraId="089BB9FA" w14:textId="7510C515" w:rsidR="00C6244E" w:rsidRDefault="009E4D74">
    <w:pPr>
      <w:autoSpaceDE w:val="0"/>
      <w:autoSpaceDN w:val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Filed pursuant to Case No. </w:t>
    </w:r>
    <w:r w:rsidR="005F4A58">
      <w:rPr>
        <w:rFonts w:ascii="Arial" w:eastAsia="Arial" w:hAnsi="Arial" w:cs="Arial"/>
        <w:sz w:val="20"/>
        <w:szCs w:val="20"/>
      </w:rPr>
      <w:t>22-0042</w:t>
    </w:r>
    <w:r>
      <w:rPr>
        <w:rFonts w:ascii="Arial" w:eastAsia="Arial" w:hAnsi="Arial" w:cs="Arial"/>
        <w:sz w:val="20"/>
        <w:szCs w:val="20"/>
      </w:rPr>
      <w:t>-GA-ATA and the Opinion and Order dated August 28, 2019 in Case No. 18-0298-GA-AIR</w:t>
    </w:r>
    <w:r>
      <w:rPr>
        <w:rFonts w:ascii="Arial" w:eastAsia="Arial" w:hAnsi="Arial" w:cs="Arial"/>
        <w:spacing w:val="-4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 xml:space="preserve">of </w:t>
    </w:r>
    <w:r>
      <w:rPr>
        <w:rFonts w:ascii="Arial" w:eastAsia="Arial" w:hAnsi="Arial" w:cs="Arial"/>
        <w:spacing w:val="-3"/>
        <w:sz w:val="20"/>
        <w:szCs w:val="20"/>
      </w:rPr>
      <w:t xml:space="preserve">The Public Utilities Commission </w:t>
    </w:r>
    <w:r>
      <w:rPr>
        <w:rFonts w:ascii="Arial" w:eastAsia="Arial" w:hAnsi="Arial" w:cs="Arial"/>
        <w:sz w:val="20"/>
        <w:szCs w:val="20"/>
      </w:rPr>
      <w:t xml:space="preserve">of </w:t>
    </w:r>
    <w:r>
      <w:rPr>
        <w:rFonts w:ascii="Arial" w:eastAsia="Arial" w:hAnsi="Arial" w:cs="Arial"/>
        <w:spacing w:val="-3"/>
        <w:sz w:val="20"/>
        <w:szCs w:val="20"/>
      </w:rPr>
      <w:t>Ohio.</w:t>
    </w:r>
  </w:p>
  <w:p w14:paraId="593A6B35" w14:textId="77777777" w:rsidR="00C6244E" w:rsidRDefault="00C6244E">
    <w:pPr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448"/>
    </w:tblGrid>
    <w:tr w:rsidR="00C6244E" w14:paraId="42B9736A" w14:textId="77777777">
      <w:tc>
        <w:tcPr>
          <w:tcW w:w="2880" w:type="dxa"/>
        </w:tcPr>
        <w:p w14:paraId="312FC3B8" w14:textId="3B63CE05" w:rsidR="00C6244E" w:rsidRDefault="009E4D74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>Issued March 1</w:t>
          </w:r>
          <w:r w:rsidR="00DB46CC">
            <w:rPr>
              <w:rFonts w:ascii="Arial" w:eastAsia="Arial" w:hAnsi="Arial" w:cs="Arial"/>
              <w:sz w:val="19"/>
              <w:szCs w:val="19"/>
            </w:rPr>
            <w:t>8</w:t>
          </w:r>
          <w:r>
            <w:rPr>
              <w:rFonts w:ascii="Arial" w:eastAsia="Arial" w:hAnsi="Arial" w:cs="Arial"/>
              <w:sz w:val="19"/>
              <w:szCs w:val="19"/>
            </w:rPr>
            <w:t>, 20</w:t>
          </w:r>
          <w:r w:rsidR="005F4A58">
            <w:rPr>
              <w:rFonts w:ascii="Arial" w:eastAsia="Arial" w:hAnsi="Arial" w:cs="Arial"/>
              <w:sz w:val="19"/>
              <w:szCs w:val="19"/>
            </w:rPr>
            <w:t>22</w:t>
          </w:r>
        </w:p>
      </w:tc>
      <w:tc>
        <w:tcPr>
          <w:tcW w:w="4032" w:type="dxa"/>
        </w:tcPr>
        <w:p w14:paraId="1074402A" w14:textId="1A1DE06E" w:rsidR="00C6244E" w:rsidRDefault="009E4D74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 w:rsidR="005F4A58">
            <w:rPr>
              <w:rFonts w:ascii="Arial" w:eastAsia="Arial" w:hAnsi="Arial" w:cs="Arial"/>
              <w:sz w:val="19"/>
              <w:szCs w:val="19"/>
            </w:rPr>
            <w:t xml:space="preserve">Katie </w:t>
          </w:r>
          <w:r w:rsidR="00DB46CC">
            <w:rPr>
              <w:rFonts w:ascii="Arial" w:eastAsia="Arial" w:hAnsi="Arial" w:cs="Arial"/>
              <w:sz w:val="19"/>
              <w:szCs w:val="19"/>
            </w:rPr>
            <w:t>J.</w:t>
          </w:r>
          <w:r w:rsidR="005F4A58">
            <w:rPr>
              <w:rFonts w:ascii="Arial" w:eastAsia="Arial" w:hAnsi="Arial" w:cs="Arial"/>
              <w:sz w:val="19"/>
              <w:szCs w:val="19"/>
            </w:rPr>
            <w:t xml:space="preserve"> Tieken</w:t>
          </w:r>
          <w:r>
            <w:rPr>
              <w:rFonts w:ascii="Arial" w:eastAsia="Arial" w:hAnsi="Arial" w:cs="Arial"/>
              <w:sz w:val="19"/>
              <w:szCs w:val="19"/>
            </w:rPr>
            <w:t>, Director</w:t>
          </w:r>
        </w:p>
      </w:tc>
      <w:tc>
        <w:tcPr>
          <w:tcW w:w="2448" w:type="dxa"/>
        </w:tcPr>
        <w:p w14:paraId="56CE4853" w14:textId="764EB7DE" w:rsidR="00C6244E" w:rsidRDefault="009E4D74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pacing w:val="-3"/>
              <w:sz w:val="19"/>
              <w:szCs w:val="19"/>
            </w:rPr>
            <w:t>Effective April 1, 20</w:t>
          </w:r>
          <w:r w:rsidR="005F4A58">
            <w:rPr>
              <w:rFonts w:ascii="Arial" w:eastAsia="Arial" w:hAnsi="Arial" w:cs="Arial"/>
              <w:spacing w:val="-3"/>
              <w:sz w:val="19"/>
              <w:szCs w:val="19"/>
            </w:rPr>
            <w:t>22</w:t>
          </w:r>
        </w:p>
      </w:tc>
    </w:tr>
  </w:tbl>
  <w:p w14:paraId="5F8D8C7D" w14:textId="77777777" w:rsidR="00C6244E" w:rsidRDefault="00C6244E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C386" w14:textId="77777777" w:rsidR="00DB46CC" w:rsidRDefault="00DB4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B04BB" w14:textId="77777777" w:rsidR="00C6244E" w:rsidRDefault="009E4D74">
      <w:r>
        <w:separator/>
      </w:r>
    </w:p>
  </w:footnote>
  <w:footnote w:type="continuationSeparator" w:id="0">
    <w:p w14:paraId="14DC8065" w14:textId="77777777" w:rsidR="00C6244E" w:rsidRDefault="009E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08CFD" w14:textId="77777777" w:rsidR="00DB46CC" w:rsidRDefault="00DB4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50"/>
      <w:gridCol w:w="3510"/>
    </w:tblGrid>
    <w:tr w:rsidR="00C6244E" w14:paraId="0B85F6C3" w14:textId="77777777">
      <w:trPr>
        <w:trHeight w:val="90"/>
      </w:trPr>
      <w:tc>
        <w:tcPr>
          <w:tcW w:w="5850" w:type="dxa"/>
        </w:tcPr>
        <w:p w14:paraId="50AB7178" w14:textId="77777777" w:rsidR="00C6244E" w:rsidRDefault="009E4D74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VECTREN ENERGY DELIVERY OF OHIO, INC.</w:t>
          </w:r>
        </w:p>
        <w:p w14:paraId="5C2CF2C4" w14:textId="77777777" w:rsidR="00C6244E" w:rsidRDefault="009E4D74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Tariff for Gas Service</w:t>
          </w:r>
        </w:p>
        <w:p w14:paraId="436A31CE" w14:textId="77777777" w:rsidR="00C6244E" w:rsidRDefault="009E4D74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4</w:t>
          </w:r>
        </w:p>
      </w:tc>
      <w:tc>
        <w:tcPr>
          <w:tcW w:w="3510" w:type="dxa"/>
        </w:tcPr>
        <w:p w14:paraId="5C057530" w14:textId="77777777" w:rsidR="00C6244E" w:rsidRDefault="009E4D74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54</w:t>
          </w:r>
        </w:p>
        <w:p w14:paraId="586DABF8" w14:textId="439C949B" w:rsidR="00C6244E" w:rsidRDefault="005F4A58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Third </w:t>
          </w:r>
          <w:r w:rsidR="009E4D74">
            <w:rPr>
              <w:rFonts w:ascii="Arial" w:eastAsia="Arial" w:hAnsi="Arial" w:cs="Arial"/>
              <w:spacing w:val="-3"/>
              <w:sz w:val="20"/>
              <w:szCs w:val="20"/>
            </w:rPr>
            <w:t>Revised Page 1 of 1</w:t>
          </w:r>
        </w:p>
        <w:p w14:paraId="026B3AC4" w14:textId="68FDD526" w:rsidR="00C6244E" w:rsidRDefault="009E4D74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Cancels </w:t>
          </w:r>
          <w:r w:rsidR="005F4A58">
            <w:rPr>
              <w:rFonts w:ascii="Arial" w:eastAsia="Arial" w:hAnsi="Arial" w:cs="Arial"/>
              <w:spacing w:val="-3"/>
              <w:sz w:val="20"/>
              <w:szCs w:val="20"/>
            </w:rPr>
            <w:t xml:space="preserve">Second </w:t>
          </w:r>
          <w:r>
            <w:rPr>
              <w:rFonts w:ascii="Arial" w:eastAsia="Arial" w:hAnsi="Arial" w:cs="Arial"/>
              <w:spacing w:val="-3"/>
              <w:sz w:val="20"/>
              <w:szCs w:val="20"/>
            </w:rPr>
            <w:t>Revised Page 1 of 1</w:t>
          </w:r>
        </w:p>
        <w:p w14:paraId="66BA135E" w14:textId="77777777" w:rsidR="00C6244E" w:rsidRDefault="00C6244E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14:paraId="2D5859C1" w14:textId="77777777" w:rsidR="00C6244E" w:rsidRDefault="00C6244E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F7FD4" w14:textId="77777777" w:rsidR="00DB46CC" w:rsidRDefault="00DB4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81131"/>
    <w:multiLevelType w:val="multilevel"/>
    <w:tmpl w:val="1306323A"/>
    <w:lvl w:ilvl="0">
      <w:start w:val="19"/>
      <w:numFmt w:val="upperLetter"/>
      <w:lvlText w:val="%1"/>
      <w:lvlJc w:val="left"/>
      <w:pPr>
        <w:ind w:left="1026" w:hanging="763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026" w:hanging="763"/>
      </w:pPr>
      <w:rPr>
        <w:rFonts w:hint="default"/>
      </w:rPr>
    </w:lvl>
    <w:lvl w:ilvl="2">
      <w:start w:val="287"/>
      <w:numFmt w:val="decimal"/>
      <w:lvlText w:val="%1.%2.%3"/>
      <w:lvlJc w:val="left"/>
      <w:pPr>
        <w:ind w:left="1026" w:hanging="763"/>
      </w:pPr>
      <w:rPr>
        <w:rFonts w:hint="default"/>
        <w:spacing w:val="-3"/>
        <w:w w:val="100"/>
        <w:u w:val="thick" w:color="000000"/>
      </w:rPr>
    </w:lvl>
    <w:lvl w:ilvl="3">
      <w:numFmt w:val="bullet"/>
      <w:lvlText w:val=""/>
      <w:lvlJc w:val="left"/>
      <w:pPr>
        <w:ind w:left="1344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4">
      <w:numFmt w:val="bullet"/>
      <w:lvlText w:val="•"/>
      <w:lvlJc w:val="left"/>
      <w:pPr>
        <w:ind w:left="4273" w:hanging="361"/>
      </w:pPr>
      <w:rPr>
        <w:rFonts w:hint="default"/>
      </w:rPr>
    </w:lvl>
    <w:lvl w:ilvl="5">
      <w:numFmt w:val="bullet"/>
      <w:lvlText w:val="•"/>
      <w:lvlJc w:val="left"/>
      <w:pPr>
        <w:ind w:left="5251" w:hanging="361"/>
      </w:pPr>
      <w:rPr>
        <w:rFonts w:hint="default"/>
      </w:rPr>
    </w:lvl>
    <w:lvl w:ilvl="6">
      <w:numFmt w:val="bullet"/>
      <w:lvlText w:val="•"/>
      <w:lvlJc w:val="left"/>
      <w:pPr>
        <w:ind w:left="6228" w:hanging="361"/>
      </w:pPr>
      <w:rPr>
        <w:rFonts w:hint="default"/>
      </w:rPr>
    </w:lvl>
    <w:lvl w:ilvl="7">
      <w:numFmt w:val="bullet"/>
      <w:lvlText w:val="•"/>
      <w:lvlJc w:val="left"/>
      <w:pPr>
        <w:ind w:left="7206" w:hanging="361"/>
      </w:pPr>
      <w:rPr>
        <w:rFonts w:hint="default"/>
      </w:rPr>
    </w:lvl>
    <w:lvl w:ilvl="8">
      <w:numFmt w:val="bullet"/>
      <w:lvlText w:val="•"/>
      <w:lvlJc w:val="left"/>
      <w:pPr>
        <w:ind w:left="818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4E"/>
    <w:rsid w:val="005F4A58"/>
    <w:rsid w:val="009E4D74"/>
    <w:rsid w:val="00A10793"/>
    <w:rsid w:val="00C6244E"/>
    <w:rsid w:val="00D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6B86C1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pPr>
      <w:widowControl w:val="0"/>
      <w:ind w:left="124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ind w:left="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2022-01-20T16:10:00Z</dcterms:created>
  <dcterms:modified xsi:type="dcterms:W3CDTF">2022-01-28T17:23:00Z</dcterms:modified>
</cp:coreProperties>
</file>