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8F55D" w14:textId="77777777" w:rsidR="00080007" w:rsidRPr="00031448" w:rsidRDefault="00080007">
      <w:pPr>
        <w:pStyle w:val="Title"/>
        <w:rPr>
          <w:rFonts w:ascii="Times New Roman" w:hAnsi="Times New Roman" w:cs="Times New Roman"/>
          <w:sz w:val="24"/>
          <w:szCs w:val="24"/>
        </w:rPr>
      </w:pPr>
      <w:bookmarkStart w:id="0" w:name="_GoBack"/>
      <w:bookmarkEnd w:id="0"/>
      <w:r w:rsidRPr="00031448">
        <w:rPr>
          <w:rFonts w:ascii="Times New Roman" w:hAnsi="Times New Roman" w:cs="Times New Roman"/>
          <w:sz w:val="24"/>
          <w:szCs w:val="24"/>
        </w:rPr>
        <w:t>BEFORE</w:t>
      </w:r>
    </w:p>
    <w:p w14:paraId="02C9AE9B" w14:textId="77777777" w:rsidR="00080007" w:rsidRPr="00031448" w:rsidRDefault="00080007">
      <w:pPr>
        <w:pStyle w:val="BodyText"/>
        <w:rPr>
          <w:b/>
          <w:bCs/>
          <w:sz w:val="24"/>
          <w:szCs w:val="24"/>
        </w:rPr>
      </w:pPr>
      <w:r w:rsidRPr="00031448">
        <w:rPr>
          <w:b/>
          <w:bCs/>
          <w:sz w:val="24"/>
          <w:szCs w:val="24"/>
        </w:rPr>
        <w:t>THE PUBLIC UTILITIES COMMISSION OF OHIO</w:t>
      </w:r>
    </w:p>
    <w:p w14:paraId="0E3C1E2B" w14:textId="77777777" w:rsidR="00080007" w:rsidRDefault="00080007">
      <w:pPr>
        <w:pStyle w:val="BodyText"/>
      </w:pPr>
    </w:p>
    <w:tbl>
      <w:tblPr>
        <w:tblW w:w="0" w:type="auto"/>
        <w:tblInd w:w="-106" w:type="dxa"/>
        <w:tblLayout w:type="fixed"/>
        <w:tblLook w:val="0000" w:firstRow="0" w:lastRow="0" w:firstColumn="0" w:lastColumn="0" w:noHBand="0" w:noVBand="0"/>
      </w:tblPr>
      <w:tblGrid>
        <w:gridCol w:w="4338"/>
        <w:gridCol w:w="540"/>
        <w:gridCol w:w="3978"/>
      </w:tblGrid>
      <w:tr w:rsidR="00080007" w14:paraId="0649FB70" w14:textId="77777777">
        <w:tc>
          <w:tcPr>
            <w:tcW w:w="4338" w:type="dxa"/>
          </w:tcPr>
          <w:p w14:paraId="335E1165" w14:textId="77777777" w:rsidR="00080007" w:rsidRPr="00095A7B" w:rsidRDefault="00080007">
            <w:pPr>
              <w:pStyle w:val="Date"/>
              <w:tabs>
                <w:tab w:val="left" w:pos="4320"/>
              </w:tabs>
              <w:rPr>
                <w:sz w:val="24"/>
                <w:szCs w:val="24"/>
              </w:rPr>
            </w:pPr>
            <w:r w:rsidRPr="00095A7B">
              <w:rPr>
                <w:sz w:val="24"/>
                <w:szCs w:val="24"/>
              </w:rPr>
              <w:t>In the Matter of the Application of Duke Energy Ohio, Inc. for an Increase in Gas Rates.</w:t>
            </w:r>
          </w:p>
          <w:p w14:paraId="3ACE1BE5" w14:textId="77777777" w:rsidR="00080007" w:rsidRPr="00095A7B" w:rsidRDefault="00080007">
            <w:pPr>
              <w:pStyle w:val="Date"/>
              <w:tabs>
                <w:tab w:val="left" w:pos="4320"/>
              </w:tabs>
              <w:rPr>
                <w:sz w:val="24"/>
                <w:szCs w:val="24"/>
              </w:rPr>
            </w:pPr>
          </w:p>
          <w:p w14:paraId="1010EF9E" w14:textId="77777777" w:rsidR="00080007" w:rsidRPr="00095A7B" w:rsidRDefault="00080007">
            <w:pPr>
              <w:pStyle w:val="Date"/>
              <w:tabs>
                <w:tab w:val="left" w:pos="4320"/>
              </w:tabs>
              <w:rPr>
                <w:sz w:val="24"/>
                <w:szCs w:val="24"/>
              </w:rPr>
            </w:pPr>
            <w:r w:rsidRPr="00095A7B">
              <w:rPr>
                <w:sz w:val="24"/>
                <w:szCs w:val="24"/>
              </w:rPr>
              <w:t>In the Matter of the Application of Duke Energy Ohio, Inc., for Tariff Approval.</w:t>
            </w:r>
          </w:p>
          <w:p w14:paraId="74C5488D" w14:textId="77777777" w:rsidR="00080007" w:rsidRPr="00095A7B" w:rsidRDefault="00080007">
            <w:pPr>
              <w:pStyle w:val="Date"/>
              <w:tabs>
                <w:tab w:val="left" w:pos="4320"/>
              </w:tabs>
              <w:rPr>
                <w:sz w:val="24"/>
                <w:szCs w:val="24"/>
              </w:rPr>
            </w:pPr>
          </w:p>
          <w:p w14:paraId="4F7D465A" w14:textId="77777777" w:rsidR="00080007" w:rsidRPr="00095A7B" w:rsidRDefault="00080007">
            <w:pPr>
              <w:pStyle w:val="Date"/>
              <w:tabs>
                <w:tab w:val="left" w:pos="4320"/>
              </w:tabs>
              <w:rPr>
                <w:sz w:val="24"/>
                <w:szCs w:val="24"/>
              </w:rPr>
            </w:pPr>
            <w:r w:rsidRPr="00095A7B">
              <w:rPr>
                <w:sz w:val="24"/>
                <w:szCs w:val="24"/>
              </w:rPr>
              <w:t>In the Matter of the Application of Duke Energy Ohio, Inc. for Approval of an Alternative Rate Plan for Gas Distribution Service.</w:t>
            </w:r>
          </w:p>
          <w:p w14:paraId="1400D1BA" w14:textId="77777777" w:rsidR="00080007" w:rsidRPr="00095A7B" w:rsidRDefault="00080007">
            <w:pPr>
              <w:pStyle w:val="Date"/>
              <w:tabs>
                <w:tab w:val="left" w:pos="4320"/>
              </w:tabs>
              <w:rPr>
                <w:sz w:val="24"/>
                <w:szCs w:val="24"/>
              </w:rPr>
            </w:pPr>
          </w:p>
          <w:p w14:paraId="7E7A76AD" w14:textId="77777777" w:rsidR="00080007" w:rsidRPr="00095A7B" w:rsidRDefault="00080007">
            <w:pPr>
              <w:pStyle w:val="Date"/>
              <w:tabs>
                <w:tab w:val="left" w:pos="4320"/>
              </w:tabs>
              <w:rPr>
                <w:sz w:val="24"/>
                <w:szCs w:val="24"/>
              </w:rPr>
            </w:pPr>
            <w:r w:rsidRPr="00095A7B">
              <w:rPr>
                <w:sz w:val="24"/>
                <w:szCs w:val="24"/>
              </w:rPr>
              <w:t>In the Matter of the Application of Duke Energy Ohio, Inc., for Approval to Change Accounting Methods.</w:t>
            </w:r>
          </w:p>
        </w:tc>
        <w:tc>
          <w:tcPr>
            <w:tcW w:w="540" w:type="dxa"/>
          </w:tcPr>
          <w:p w14:paraId="3B27CE33" w14:textId="77777777" w:rsidR="00080007" w:rsidRDefault="00080007">
            <w:pPr>
              <w:tabs>
                <w:tab w:val="left" w:pos="4320"/>
              </w:tabs>
              <w:ind w:hanging="18"/>
              <w:rPr>
                <w:sz w:val="24"/>
                <w:szCs w:val="24"/>
              </w:rPr>
            </w:pPr>
            <w:r>
              <w:rPr>
                <w:sz w:val="24"/>
                <w:szCs w:val="24"/>
              </w:rPr>
              <w:t>)</w:t>
            </w:r>
          </w:p>
          <w:p w14:paraId="011E3E0B" w14:textId="77777777" w:rsidR="00080007" w:rsidRDefault="00080007">
            <w:pPr>
              <w:tabs>
                <w:tab w:val="left" w:pos="4320"/>
              </w:tabs>
              <w:ind w:hanging="18"/>
              <w:rPr>
                <w:sz w:val="24"/>
                <w:szCs w:val="24"/>
              </w:rPr>
            </w:pPr>
            <w:r>
              <w:rPr>
                <w:sz w:val="24"/>
                <w:szCs w:val="24"/>
              </w:rPr>
              <w:t>)</w:t>
            </w:r>
          </w:p>
          <w:p w14:paraId="003ED25D" w14:textId="77777777" w:rsidR="00080007" w:rsidRDefault="00080007">
            <w:pPr>
              <w:tabs>
                <w:tab w:val="left" w:pos="4320"/>
              </w:tabs>
              <w:ind w:hanging="18"/>
              <w:rPr>
                <w:sz w:val="24"/>
                <w:szCs w:val="24"/>
              </w:rPr>
            </w:pPr>
            <w:r>
              <w:rPr>
                <w:sz w:val="24"/>
                <w:szCs w:val="24"/>
              </w:rPr>
              <w:t>)</w:t>
            </w:r>
          </w:p>
          <w:p w14:paraId="0518ED44" w14:textId="77777777" w:rsidR="00080007" w:rsidRDefault="00080007">
            <w:pPr>
              <w:tabs>
                <w:tab w:val="left" w:pos="4320"/>
              </w:tabs>
              <w:ind w:hanging="18"/>
              <w:rPr>
                <w:sz w:val="24"/>
                <w:szCs w:val="24"/>
              </w:rPr>
            </w:pPr>
          </w:p>
          <w:p w14:paraId="28530083" w14:textId="77777777" w:rsidR="00080007" w:rsidRDefault="00080007">
            <w:pPr>
              <w:tabs>
                <w:tab w:val="left" w:pos="4320"/>
              </w:tabs>
              <w:ind w:hanging="18"/>
              <w:rPr>
                <w:sz w:val="24"/>
                <w:szCs w:val="24"/>
              </w:rPr>
            </w:pPr>
            <w:r>
              <w:rPr>
                <w:sz w:val="24"/>
                <w:szCs w:val="24"/>
              </w:rPr>
              <w:t>)</w:t>
            </w:r>
            <w:r>
              <w:rPr>
                <w:sz w:val="24"/>
                <w:szCs w:val="24"/>
              </w:rPr>
              <w:br/>
              <w:t>)</w:t>
            </w:r>
          </w:p>
          <w:p w14:paraId="13477582" w14:textId="77777777" w:rsidR="00080007" w:rsidRDefault="00080007">
            <w:pPr>
              <w:tabs>
                <w:tab w:val="left" w:pos="4320"/>
              </w:tabs>
              <w:ind w:hanging="18"/>
              <w:rPr>
                <w:sz w:val="24"/>
                <w:szCs w:val="24"/>
              </w:rPr>
            </w:pPr>
          </w:p>
          <w:p w14:paraId="3773B8D8" w14:textId="77777777" w:rsidR="00080007" w:rsidRDefault="00080007">
            <w:pPr>
              <w:tabs>
                <w:tab w:val="left" w:pos="4320"/>
              </w:tabs>
              <w:ind w:hanging="18"/>
              <w:rPr>
                <w:sz w:val="24"/>
                <w:szCs w:val="24"/>
              </w:rPr>
            </w:pPr>
            <w:r>
              <w:rPr>
                <w:sz w:val="24"/>
                <w:szCs w:val="24"/>
              </w:rPr>
              <w:t>)</w:t>
            </w:r>
            <w:r>
              <w:rPr>
                <w:sz w:val="24"/>
                <w:szCs w:val="24"/>
              </w:rPr>
              <w:br/>
              <w:t>)</w:t>
            </w:r>
            <w:r>
              <w:rPr>
                <w:sz w:val="24"/>
                <w:szCs w:val="24"/>
              </w:rPr>
              <w:br/>
              <w:t>)</w:t>
            </w:r>
            <w:r>
              <w:rPr>
                <w:sz w:val="24"/>
                <w:szCs w:val="24"/>
              </w:rPr>
              <w:br/>
              <w:t>)</w:t>
            </w:r>
          </w:p>
          <w:p w14:paraId="6D870E48" w14:textId="77777777" w:rsidR="00080007" w:rsidRDefault="00080007">
            <w:pPr>
              <w:tabs>
                <w:tab w:val="left" w:pos="4320"/>
              </w:tabs>
              <w:ind w:hanging="18"/>
              <w:rPr>
                <w:sz w:val="24"/>
                <w:szCs w:val="24"/>
              </w:rPr>
            </w:pPr>
          </w:p>
          <w:p w14:paraId="713BDBDC" w14:textId="77777777" w:rsidR="00080007" w:rsidRDefault="00080007">
            <w:pPr>
              <w:tabs>
                <w:tab w:val="left" w:pos="4320"/>
              </w:tabs>
              <w:ind w:hanging="18"/>
              <w:rPr>
                <w:sz w:val="24"/>
                <w:szCs w:val="24"/>
              </w:rPr>
            </w:pPr>
            <w:r>
              <w:rPr>
                <w:sz w:val="24"/>
                <w:szCs w:val="24"/>
              </w:rPr>
              <w:t>)</w:t>
            </w:r>
            <w:r>
              <w:rPr>
                <w:sz w:val="24"/>
                <w:szCs w:val="24"/>
              </w:rPr>
              <w:br/>
              <w:t>)</w:t>
            </w:r>
            <w:r>
              <w:rPr>
                <w:sz w:val="24"/>
                <w:szCs w:val="24"/>
              </w:rPr>
              <w:br/>
              <w:t>)</w:t>
            </w:r>
          </w:p>
        </w:tc>
        <w:tc>
          <w:tcPr>
            <w:tcW w:w="3978" w:type="dxa"/>
          </w:tcPr>
          <w:p w14:paraId="206E82EE" w14:textId="77777777" w:rsidR="00080007" w:rsidRDefault="00080007">
            <w:pPr>
              <w:tabs>
                <w:tab w:val="left" w:pos="4320"/>
              </w:tabs>
              <w:rPr>
                <w:sz w:val="24"/>
                <w:szCs w:val="24"/>
              </w:rPr>
            </w:pPr>
          </w:p>
          <w:p w14:paraId="4AA1AF9D" w14:textId="77777777" w:rsidR="00080007" w:rsidRDefault="00080007">
            <w:pPr>
              <w:tabs>
                <w:tab w:val="left" w:pos="4320"/>
              </w:tabs>
              <w:rPr>
                <w:sz w:val="24"/>
                <w:szCs w:val="24"/>
              </w:rPr>
            </w:pPr>
            <w:r>
              <w:rPr>
                <w:sz w:val="24"/>
                <w:szCs w:val="24"/>
              </w:rPr>
              <w:t>Case No.12-1685-GA-AIR</w:t>
            </w:r>
          </w:p>
          <w:p w14:paraId="37DAFAFE" w14:textId="77777777" w:rsidR="00080007" w:rsidRDefault="00080007">
            <w:pPr>
              <w:tabs>
                <w:tab w:val="left" w:pos="4320"/>
              </w:tabs>
              <w:rPr>
                <w:sz w:val="24"/>
                <w:szCs w:val="24"/>
              </w:rPr>
            </w:pPr>
          </w:p>
          <w:p w14:paraId="66DBBDC2" w14:textId="77777777" w:rsidR="00080007" w:rsidRDefault="00080007">
            <w:pPr>
              <w:tabs>
                <w:tab w:val="left" w:pos="4320"/>
              </w:tabs>
              <w:rPr>
                <w:sz w:val="24"/>
                <w:szCs w:val="24"/>
              </w:rPr>
            </w:pPr>
          </w:p>
          <w:p w14:paraId="170BB35D" w14:textId="77777777" w:rsidR="00080007" w:rsidRDefault="00080007">
            <w:pPr>
              <w:tabs>
                <w:tab w:val="left" w:pos="4320"/>
              </w:tabs>
              <w:rPr>
                <w:sz w:val="24"/>
                <w:szCs w:val="24"/>
              </w:rPr>
            </w:pPr>
            <w:r>
              <w:rPr>
                <w:sz w:val="24"/>
                <w:szCs w:val="24"/>
              </w:rPr>
              <w:t>Case No. 12-1686-GA-ATA</w:t>
            </w:r>
          </w:p>
          <w:p w14:paraId="36ECC23D" w14:textId="77777777" w:rsidR="00080007" w:rsidRDefault="00080007">
            <w:pPr>
              <w:tabs>
                <w:tab w:val="left" w:pos="4320"/>
              </w:tabs>
              <w:rPr>
                <w:sz w:val="24"/>
                <w:szCs w:val="24"/>
              </w:rPr>
            </w:pPr>
          </w:p>
          <w:p w14:paraId="33E474A1" w14:textId="77777777" w:rsidR="00080007" w:rsidRDefault="00080007">
            <w:pPr>
              <w:tabs>
                <w:tab w:val="left" w:pos="4320"/>
              </w:tabs>
              <w:rPr>
                <w:sz w:val="24"/>
                <w:szCs w:val="24"/>
              </w:rPr>
            </w:pPr>
          </w:p>
          <w:p w14:paraId="5E5B0F7D" w14:textId="77777777" w:rsidR="00080007" w:rsidRDefault="00080007">
            <w:pPr>
              <w:tabs>
                <w:tab w:val="left" w:pos="4320"/>
              </w:tabs>
              <w:rPr>
                <w:sz w:val="24"/>
                <w:szCs w:val="24"/>
              </w:rPr>
            </w:pPr>
          </w:p>
          <w:p w14:paraId="666E27CB" w14:textId="77777777" w:rsidR="00080007" w:rsidRDefault="00080007">
            <w:pPr>
              <w:tabs>
                <w:tab w:val="left" w:pos="4320"/>
              </w:tabs>
              <w:rPr>
                <w:sz w:val="24"/>
                <w:szCs w:val="24"/>
              </w:rPr>
            </w:pPr>
            <w:r>
              <w:rPr>
                <w:sz w:val="24"/>
                <w:szCs w:val="24"/>
              </w:rPr>
              <w:t>Case No. 12-1687-GA-ALT</w:t>
            </w:r>
          </w:p>
          <w:p w14:paraId="2AF97A7A" w14:textId="77777777" w:rsidR="00080007" w:rsidRDefault="00080007">
            <w:pPr>
              <w:tabs>
                <w:tab w:val="left" w:pos="4320"/>
              </w:tabs>
              <w:rPr>
                <w:sz w:val="24"/>
                <w:szCs w:val="24"/>
              </w:rPr>
            </w:pPr>
          </w:p>
          <w:p w14:paraId="3FDC6B18" w14:textId="77777777" w:rsidR="00080007" w:rsidRDefault="00080007">
            <w:pPr>
              <w:tabs>
                <w:tab w:val="left" w:pos="4320"/>
              </w:tabs>
              <w:rPr>
                <w:sz w:val="24"/>
                <w:szCs w:val="24"/>
              </w:rPr>
            </w:pPr>
          </w:p>
          <w:p w14:paraId="06054A38" w14:textId="77777777" w:rsidR="00080007" w:rsidRDefault="00080007">
            <w:pPr>
              <w:tabs>
                <w:tab w:val="left" w:pos="4320"/>
              </w:tabs>
              <w:rPr>
                <w:sz w:val="24"/>
                <w:szCs w:val="24"/>
              </w:rPr>
            </w:pPr>
          </w:p>
          <w:p w14:paraId="13FCF94C" w14:textId="77777777" w:rsidR="00080007" w:rsidRDefault="00080007">
            <w:pPr>
              <w:tabs>
                <w:tab w:val="left" w:pos="4320"/>
              </w:tabs>
              <w:rPr>
                <w:sz w:val="24"/>
                <w:szCs w:val="24"/>
              </w:rPr>
            </w:pPr>
          </w:p>
          <w:p w14:paraId="6AF49FDD" w14:textId="77777777" w:rsidR="00080007" w:rsidRDefault="00080007">
            <w:pPr>
              <w:tabs>
                <w:tab w:val="left" w:pos="4320"/>
              </w:tabs>
              <w:rPr>
                <w:sz w:val="24"/>
                <w:szCs w:val="24"/>
              </w:rPr>
            </w:pPr>
            <w:r>
              <w:rPr>
                <w:sz w:val="24"/>
                <w:szCs w:val="24"/>
              </w:rPr>
              <w:t>Case No. 12-1688-GA-AAM</w:t>
            </w:r>
          </w:p>
          <w:p w14:paraId="45A5D786" w14:textId="77777777" w:rsidR="00080007" w:rsidRDefault="00080007">
            <w:pPr>
              <w:tabs>
                <w:tab w:val="left" w:pos="4320"/>
              </w:tabs>
              <w:rPr>
                <w:sz w:val="24"/>
                <w:szCs w:val="24"/>
              </w:rPr>
            </w:pPr>
          </w:p>
        </w:tc>
      </w:tr>
    </w:tbl>
    <w:p w14:paraId="5F3F9D4D" w14:textId="77777777" w:rsidR="00080007" w:rsidRDefault="00080007">
      <w:pPr>
        <w:pBdr>
          <w:bottom w:val="single" w:sz="12" w:space="1" w:color="auto"/>
        </w:pBdr>
        <w:jc w:val="center"/>
        <w:rPr>
          <w:b/>
          <w:bCs/>
          <w:sz w:val="24"/>
          <w:szCs w:val="24"/>
        </w:rPr>
      </w:pPr>
    </w:p>
    <w:p w14:paraId="268273DB" w14:textId="77777777" w:rsidR="00080007" w:rsidRDefault="00080007">
      <w:pPr>
        <w:jc w:val="center"/>
        <w:rPr>
          <w:b/>
          <w:bCs/>
          <w:sz w:val="24"/>
          <w:szCs w:val="24"/>
        </w:rPr>
      </w:pPr>
    </w:p>
    <w:p w14:paraId="199C6DE9" w14:textId="3ADB5071" w:rsidR="00080007" w:rsidRDefault="00080007" w:rsidP="00F6657A">
      <w:pPr>
        <w:jc w:val="center"/>
        <w:rPr>
          <w:b/>
          <w:bCs/>
          <w:sz w:val="24"/>
          <w:szCs w:val="24"/>
        </w:rPr>
      </w:pPr>
      <w:r>
        <w:rPr>
          <w:b/>
          <w:bCs/>
          <w:sz w:val="24"/>
          <w:szCs w:val="24"/>
        </w:rPr>
        <w:t>MEMORANDUM CONTRA DUKE’S</w:t>
      </w:r>
    </w:p>
    <w:p w14:paraId="21314ECD" w14:textId="77777777" w:rsidR="00080007" w:rsidRDefault="00080007">
      <w:pPr>
        <w:jc w:val="center"/>
        <w:rPr>
          <w:b/>
          <w:bCs/>
          <w:sz w:val="24"/>
          <w:szCs w:val="24"/>
        </w:rPr>
      </w:pPr>
      <w:r>
        <w:rPr>
          <w:b/>
          <w:bCs/>
          <w:sz w:val="24"/>
          <w:szCs w:val="24"/>
        </w:rPr>
        <w:t>MOTION TO CLARIFY THE SCOPE OF THESE PROCEEDINGS AND</w:t>
      </w:r>
    </w:p>
    <w:p w14:paraId="7BA8C910" w14:textId="70FC3DFD" w:rsidR="00080007" w:rsidRDefault="00080007" w:rsidP="00E12248">
      <w:pPr>
        <w:jc w:val="center"/>
        <w:rPr>
          <w:b/>
          <w:bCs/>
          <w:sz w:val="24"/>
          <w:szCs w:val="24"/>
        </w:rPr>
      </w:pPr>
      <w:r>
        <w:rPr>
          <w:b/>
          <w:bCs/>
          <w:sz w:val="24"/>
          <w:szCs w:val="24"/>
        </w:rPr>
        <w:t>MOTION TO STRIKE THE</w:t>
      </w:r>
      <w:r w:rsidR="00F6657A">
        <w:rPr>
          <w:b/>
          <w:bCs/>
          <w:sz w:val="24"/>
          <w:szCs w:val="24"/>
        </w:rPr>
        <w:t xml:space="preserve"> OCC</w:t>
      </w:r>
      <w:r w:rsidR="00401616">
        <w:rPr>
          <w:b/>
          <w:bCs/>
          <w:sz w:val="24"/>
          <w:szCs w:val="24"/>
        </w:rPr>
        <w:t xml:space="preserve"> TESTIMONY OF JAMES R. CAMPBELL</w:t>
      </w:r>
    </w:p>
    <w:p w14:paraId="15366CAB" w14:textId="77777777" w:rsidR="00080007" w:rsidRDefault="00080007">
      <w:pPr>
        <w:jc w:val="center"/>
        <w:rPr>
          <w:b/>
          <w:bCs/>
          <w:sz w:val="24"/>
          <w:szCs w:val="24"/>
        </w:rPr>
      </w:pPr>
      <w:r>
        <w:rPr>
          <w:b/>
          <w:bCs/>
          <w:sz w:val="24"/>
          <w:szCs w:val="24"/>
        </w:rPr>
        <w:t>BY</w:t>
      </w:r>
    </w:p>
    <w:p w14:paraId="63F3875A" w14:textId="77777777" w:rsidR="00080007" w:rsidRDefault="00080007">
      <w:pPr>
        <w:pBdr>
          <w:bottom w:val="single" w:sz="12" w:space="1" w:color="auto"/>
        </w:pBdr>
        <w:jc w:val="center"/>
        <w:rPr>
          <w:b/>
          <w:bCs/>
          <w:sz w:val="24"/>
          <w:szCs w:val="24"/>
        </w:rPr>
      </w:pPr>
      <w:r>
        <w:rPr>
          <w:b/>
          <w:bCs/>
          <w:sz w:val="24"/>
          <w:szCs w:val="24"/>
        </w:rPr>
        <w:t>THE OFFICE OF THE OHIO CONSUMERS’ COUNSEL</w:t>
      </w:r>
      <w:r>
        <w:rPr>
          <w:b/>
          <w:bCs/>
          <w:sz w:val="24"/>
          <w:szCs w:val="24"/>
        </w:rPr>
        <w:br/>
      </w:r>
    </w:p>
    <w:p w14:paraId="5EF9C107" w14:textId="77777777" w:rsidR="00080007" w:rsidRPr="00D075B1" w:rsidRDefault="00080007" w:rsidP="00D075B1">
      <w:pPr>
        <w:pStyle w:val="Footer"/>
        <w:tabs>
          <w:tab w:val="clear" w:pos="8640"/>
          <w:tab w:val="left" w:pos="4320"/>
        </w:tabs>
        <w:spacing w:before="240"/>
        <w:rPr>
          <w:sz w:val="24"/>
          <w:szCs w:val="24"/>
        </w:rPr>
      </w:pPr>
    </w:p>
    <w:p w14:paraId="2E6F1B49" w14:textId="77777777" w:rsidR="00080007" w:rsidRDefault="00080007">
      <w:pPr>
        <w:tabs>
          <w:tab w:val="left" w:pos="4320"/>
        </w:tabs>
        <w:ind w:left="4320"/>
        <w:rPr>
          <w:sz w:val="24"/>
          <w:szCs w:val="24"/>
        </w:rPr>
      </w:pPr>
      <w:r>
        <w:rPr>
          <w:sz w:val="24"/>
          <w:szCs w:val="24"/>
        </w:rPr>
        <w:t>BRUCE J. WESTON</w:t>
      </w:r>
    </w:p>
    <w:p w14:paraId="77768F04" w14:textId="77777777" w:rsidR="00080007" w:rsidRDefault="00080007">
      <w:pPr>
        <w:tabs>
          <w:tab w:val="left" w:pos="4320"/>
        </w:tabs>
        <w:ind w:left="4320"/>
        <w:rPr>
          <w:sz w:val="24"/>
          <w:szCs w:val="24"/>
        </w:rPr>
      </w:pPr>
      <w:r>
        <w:rPr>
          <w:sz w:val="24"/>
          <w:szCs w:val="24"/>
        </w:rPr>
        <w:t>OHIO CONSUMERS’ COUNSEL</w:t>
      </w:r>
    </w:p>
    <w:p w14:paraId="1A5981F1" w14:textId="77777777" w:rsidR="00080007" w:rsidRPr="002A7C48" w:rsidRDefault="00080007">
      <w:pPr>
        <w:tabs>
          <w:tab w:val="left" w:pos="4320"/>
        </w:tabs>
        <w:ind w:left="4320"/>
        <w:rPr>
          <w:sz w:val="16"/>
          <w:szCs w:val="16"/>
        </w:rPr>
      </w:pPr>
    </w:p>
    <w:p w14:paraId="42FEDE6A" w14:textId="77777777" w:rsidR="00080007" w:rsidRDefault="00080007">
      <w:pPr>
        <w:tabs>
          <w:tab w:val="left" w:pos="4320"/>
        </w:tabs>
        <w:ind w:left="4320"/>
        <w:rPr>
          <w:sz w:val="24"/>
          <w:szCs w:val="24"/>
        </w:rPr>
      </w:pPr>
      <w:r>
        <w:rPr>
          <w:sz w:val="24"/>
          <w:szCs w:val="24"/>
        </w:rPr>
        <w:t>Larry S. Sauer, Counsel of Record</w:t>
      </w:r>
    </w:p>
    <w:p w14:paraId="46A76E09" w14:textId="77777777" w:rsidR="00080007" w:rsidRDefault="00080007">
      <w:pPr>
        <w:tabs>
          <w:tab w:val="left" w:pos="4320"/>
        </w:tabs>
        <w:ind w:left="4320"/>
        <w:rPr>
          <w:sz w:val="24"/>
          <w:szCs w:val="24"/>
        </w:rPr>
      </w:pPr>
      <w:r>
        <w:rPr>
          <w:sz w:val="24"/>
          <w:szCs w:val="24"/>
        </w:rPr>
        <w:t>Joseph P. Serio</w:t>
      </w:r>
    </w:p>
    <w:p w14:paraId="20352DD5" w14:textId="77777777" w:rsidR="00080007" w:rsidRDefault="00080007">
      <w:pPr>
        <w:tabs>
          <w:tab w:val="left" w:pos="4320"/>
        </w:tabs>
        <w:ind w:left="4320"/>
        <w:rPr>
          <w:sz w:val="24"/>
          <w:szCs w:val="24"/>
        </w:rPr>
      </w:pPr>
      <w:r>
        <w:rPr>
          <w:sz w:val="24"/>
          <w:szCs w:val="24"/>
        </w:rPr>
        <w:t>Edmund Berger</w:t>
      </w:r>
    </w:p>
    <w:p w14:paraId="332C00B3" w14:textId="77777777" w:rsidR="00080007" w:rsidRDefault="00080007">
      <w:pPr>
        <w:tabs>
          <w:tab w:val="left" w:pos="4320"/>
        </w:tabs>
        <w:ind w:left="4320"/>
        <w:rPr>
          <w:sz w:val="24"/>
          <w:szCs w:val="24"/>
        </w:rPr>
      </w:pPr>
      <w:r>
        <w:rPr>
          <w:sz w:val="24"/>
          <w:szCs w:val="24"/>
        </w:rPr>
        <w:t>Assistant Consumers’ Counsel</w:t>
      </w:r>
    </w:p>
    <w:p w14:paraId="285C9EDA" w14:textId="77777777" w:rsidR="002A7C48" w:rsidRPr="002A7C48" w:rsidRDefault="002A7C48">
      <w:pPr>
        <w:tabs>
          <w:tab w:val="left" w:pos="4320"/>
        </w:tabs>
        <w:ind w:left="4320"/>
        <w:rPr>
          <w:sz w:val="16"/>
          <w:szCs w:val="16"/>
        </w:rPr>
      </w:pPr>
    </w:p>
    <w:p w14:paraId="3A238EF8" w14:textId="77777777" w:rsidR="00080007" w:rsidRPr="002A7C48" w:rsidRDefault="00080007" w:rsidP="002A7C48">
      <w:pPr>
        <w:ind w:left="4320"/>
        <w:rPr>
          <w:b/>
          <w:sz w:val="24"/>
          <w:szCs w:val="24"/>
        </w:rPr>
      </w:pPr>
      <w:bookmarkStart w:id="1" w:name="_Toc354492841"/>
      <w:r w:rsidRPr="002A7C48">
        <w:rPr>
          <w:b/>
          <w:sz w:val="24"/>
          <w:szCs w:val="24"/>
        </w:rPr>
        <w:t>Office of the Ohio Consumers’ Counsel</w:t>
      </w:r>
      <w:bookmarkEnd w:id="1"/>
    </w:p>
    <w:p w14:paraId="0130A5ED" w14:textId="77777777" w:rsidR="00080007" w:rsidRPr="002A7C48" w:rsidRDefault="00080007" w:rsidP="002A7C48">
      <w:pPr>
        <w:ind w:left="4320"/>
        <w:rPr>
          <w:sz w:val="24"/>
          <w:szCs w:val="24"/>
        </w:rPr>
      </w:pPr>
      <w:bookmarkStart w:id="2" w:name="_Toc354492842"/>
      <w:r w:rsidRPr="002A7C48">
        <w:rPr>
          <w:sz w:val="24"/>
          <w:szCs w:val="24"/>
        </w:rPr>
        <w:t>10 West Broad Street, Suite 1800</w:t>
      </w:r>
      <w:bookmarkEnd w:id="2"/>
    </w:p>
    <w:p w14:paraId="425A22CE" w14:textId="77777777" w:rsidR="00080007" w:rsidRPr="002A7C48" w:rsidRDefault="00080007" w:rsidP="002A7C48">
      <w:pPr>
        <w:ind w:left="4320"/>
        <w:rPr>
          <w:sz w:val="24"/>
          <w:szCs w:val="24"/>
        </w:rPr>
      </w:pPr>
      <w:bookmarkStart w:id="3" w:name="_Toc354492843"/>
      <w:r w:rsidRPr="002A7C48">
        <w:rPr>
          <w:sz w:val="24"/>
          <w:szCs w:val="24"/>
        </w:rPr>
        <w:t>Columbus, Ohio 43215-3485</w:t>
      </w:r>
      <w:bookmarkEnd w:id="3"/>
    </w:p>
    <w:p w14:paraId="16F60B09" w14:textId="77777777" w:rsidR="00080007" w:rsidRDefault="00080007">
      <w:pPr>
        <w:autoSpaceDE w:val="0"/>
        <w:autoSpaceDN w:val="0"/>
        <w:adjustRightInd w:val="0"/>
        <w:ind w:left="4320"/>
        <w:rPr>
          <w:sz w:val="24"/>
          <w:szCs w:val="24"/>
        </w:rPr>
      </w:pPr>
      <w:r>
        <w:rPr>
          <w:sz w:val="24"/>
          <w:szCs w:val="24"/>
        </w:rPr>
        <w:t>Telephone: Sauer – (614) 466-1312</w:t>
      </w:r>
    </w:p>
    <w:p w14:paraId="7812212C" w14:textId="77777777" w:rsidR="00080007" w:rsidRDefault="00080007">
      <w:pPr>
        <w:autoSpaceDE w:val="0"/>
        <w:autoSpaceDN w:val="0"/>
        <w:adjustRightInd w:val="0"/>
        <w:ind w:left="4320"/>
        <w:rPr>
          <w:sz w:val="24"/>
          <w:szCs w:val="24"/>
        </w:rPr>
      </w:pPr>
      <w:r>
        <w:rPr>
          <w:sz w:val="24"/>
          <w:szCs w:val="24"/>
        </w:rPr>
        <w:t>Telephone: Serio – (614) 466-9565</w:t>
      </w:r>
    </w:p>
    <w:p w14:paraId="6A8F8B12" w14:textId="77777777" w:rsidR="00080007" w:rsidRDefault="00080007">
      <w:pPr>
        <w:autoSpaceDE w:val="0"/>
        <w:autoSpaceDN w:val="0"/>
        <w:adjustRightInd w:val="0"/>
        <w:ind w:left="4320"/>
        <w:rPr>
          <w:sz w:val="24"/>
          <w:szCs w:val="24"/>
        </w:rPr>
      </w:pPr>
      <w:r>
        <w:rPr>
          <w:sz w:val="24"/>
          <w:szCs w:val="24"/>
        </w:rPr>
        <w:t>Telephone: Berger – (614) 466-1292</w:t>
      </w:r>
    </w:p>
    <w:p w14:paraId="1FD71592" w14:textId="33E218E1" w:rsidR="00080007" w:rsidRDefault="00080007">
      <w:pPr>
        <w:ind w:left="4320"/>
        <w:rPr>
          <w:sz w:val="24"/>
          <w:szCs w:val="24"/>
        </w:rPr>
      </w:pPr>
      <w:r w:rsidRPr="008D679D">
        <w:rPr>
          <w:sz w:val="24"/>
          <w:szCs w:val="24"/>
        </w:rPr>
        <w:t>sauer@occ.state.oh.us</w:t>
      </w:r>
    </w:p>
    <w:p w14:paraId="19634853" w14:textId="73BC90DA" w:rsidR="00080007" w:rsidRDefault="00080007">
      <w:pPr>
        <w:ind w:left="4320"/>
        <w:rPr>
          <w:sz w:val="24"/>
          <w:szCs w:val="24"/>
        </w:rPr>
      </w:pPr>
      <w:r w:rsidRPr="008D679D">
        <w:rPr>
          <w:sz w:val="24"/>
          <w:szCs w:val="24"/>
        </w:rPr>
        <w:t>serio@occ.state.oh.us</w:t>
      </w:r>
    </w:p>
    <w:p w14:paraId="10DA5A2B" w14:textId="436D381A" w:rsidR="00080007" w:rsidRDefault="00080007">
      <w:pPr>
        <w:ind w:left="4320"/>
        <w:rPr>
          <w:sz w:val="24"/>
          <w:szCs w:val="24"/>
        </w:rPr>
      </w:pPr>
      <w:r w:rsidRPr="008D679D">
        <w:rPr>
          <w:sz w:val="24"/>
          <w:szCs w:val="24"/>
        </w:rPr>
        <w:t>berger@occ.state.oh.us</w:t>
      </w:r>
    </w:p>
    <w:p w14:paraId="5E8B0A12" w14:textId="77777777" w:rsidR="00080007" w:rsidRDefault="00080007">
      <w:pPr>
        <w:ind w:left="4320" w:hanging="4320"/>
        <w:rPr>
          <w:sz w:val="24"/>
          <w:szCs w:val="24"/>
        </w:rPr>
      </w:pPr>
    </w:p>
    <w:p w14:paraId="170E4516" w14:textId="77777777" w:rsidR="00080007" w:rsidRDefault="00080007">
      <w:pPr>
        <w:ind w:left="4320" w:hanging="4320"/>
        <w:rPr>
          <w:sz w:val="24"/>
          <w:szCs w:val="24"/>
        </w:rPr>
        <w:sectPr w:rsidR="00080007" w:rsidSect="00EA0E1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272"/>
        </w:sectPr>
      </w:pPr>
      <w:r>
        <w:rPr>
          <w:sz w:val="24"/>
          <w:szCs w:val="24"/>
        </w:rPr>
        <w:t>April 23, 2013</w:t>
      </w:r>
    </w:p>
    <w:p w14:paraId="197D09BA" w14:textId="77777777" w:rsidR="00080007" w:rsidRPr="00CB044D" w:rsidRDefault="00080007">
      <w:pPr>
        <w:pStyle w:val="Title"/>
        <w:rPr>
          <w:rFonts w:ascii="Times New Roman" w:hAnsi="Times New Roman" w:cs="Times New Roman"/>
          <w:sz w:val="24"/>
          <w:szCs w:val="24"/>
        </w:rPr>
      </w:pPr>
      <w:r w:rsidRPr="00CB044D">
        <w:rPr>
          <w:rFonts w:ascii="Times New Roman" w:hAnsi="Times New Roman" w:cs="Times New Roman"/>
          <w:sz w:val="24"/>
          <w:szCs w:val="24"/>
        </w:rPr>
        <w:lastRenderedPageBreak/>
        <w:t>TABLE OF CONTENTS</w:t>
      </w:r>
    </w:p>
    <w:p w14:paraId="6CEAE8E7" w14:textId="77777777" w:rsidR="00080007" w:rsidRPr="00CB044D" w:rsidRDefault="00080007">
      <w:pPr>
        <w:pStyle w:val="Title"/>
        <w:jc w:val="right"/>
        <w:rPr>
          <w:rFonts w:ascii="Times New Roman" w:hAnsi="Times New Roman" w:cs="Times New Roman"/>
          <w:sz w:val="24"/>
          <w:szCs w:val="24"/>
        </w:rPr>
      </w:pPr>
      <w:r w:rsidRPr="00CB044D">
        <w:rPr>
          <w:rFonts w:ascii="Times New Roman" w:hAnsi="Times New Roman" w:cs="Times New Roman"/>
          <w:sz w:val="24"/>
          <w:szCs w:val="24"/>
        </w:rPr>
        <w:t>PAGE</w:t>
      </w:r>
    </w:p>
    <w:p w14:paraId="0AF5D8F0" w14:textId="77777777" w:rsidR="00080007" w:rsidRPr="00CB044D" w:rsidRDefault="00080007">
      <w:pPr>
        <w:pStyle w:val="Title"/>
        <w:jc w:val="right"/>
        <w:rPr>
          <w:rFonts w:ascii="Times New Roman" w:hAnsi="Times New Roman" w:cs="Times New Roman"/>
          <w:sz w:val="24"/>
          <w:szCs w:val="24"/>
        </w:rPr>
      </w:pPr>
    </w:p>
    <w:p w14:paraId="3CF88E6C" w14:textId="77777777" w:rsidR="002A7C48" w:rsidRDefault="002A7C48" w:rsidP="002A7C48">
      <w:pPr>
        <w:pStyle w:val="TOC1"/>
        <w:ind w:right="720"/>
        <w:rPr>
          <w:rFonts w:asciiTheme="minorHAnsi" w:eastAsiaTheme="minorEastAsia" w:hAnsiTheme="minorHAnsi" w:cstheme="minorBidi"/>
          <w:caps w:val="0"/>
          <w:noProof/>
          <w:sz w:val="22"/>
          <w:szCs w:val="22"/>
        </w:rPr>
      </w:pPr>
      <w:r>
        <w:rPr>
          <w:szCs w:val="24"/>
        </w:rPr>
        <w:fldChar w:fldCharType="begin"/>
      </w:r>
      <w:r>
        <w:rPr>
          <w:szCs w:val="24"/>
        </w:rPr>
        <w:instrText xml:space="preserve"> TOC \o "1-3" \h \z \u </w:instrText>
      </w:r>
      <w:r>
        <w:rPr>
          <w:szCs w:val="24"/>
        </w:rPr>
        <w:fldChar w:fldCharType="separate"/>
      </w:r>
      <w:hyperlink w:anchor="_Toc354493006" w:history="1">
        <w:r w:rsidRPr="002E261F">
          <w:rPr>
            <w:rStyle w:val="Hyperlink"/>
            <w:noProof/>
          </w:rPr>
          <w:t>I.</w:t>
        </w:r>
        <w:r>
          <w:rPr>
            <w:rFonts w:asciiTheme="minorHAnsi" w:eastAsiaTheme="minorEastAsia" w:hAnsiTheme="minorHAnsi" w:cstheme="minorBidi"/>
            <w:caps w:val="0"/>
            <w:noProof/>
            <w:sz w:val="22"/>
            <w:szCs w:val="22"/>
          </w:rPr>
          <w:tab/>
        </w:r>
        <w:r w:rsidRPr="002E261F">
          <w:rPr>
            <w:rStyle w:val="Hyperlink"/>
            <w:noProof/>
          </w:rPr>
          <w:t>INTRODUCTION</w:t>
        </w:r>
        <w:r>
          <w:rPr>
            <w:noProof/>
            <w:webHidden/>
          </w:rPr>
          <w:tab/>
        </w:r>
        <w:r>
          <w:rPr>
            <w:noProof/>
            <w:webHidden/>
          </w:rPr>
          <w:fldChar w:fldCharType="begin"/>
        </w:r>
        <w:r>
          <w:rPr>
            <w:noProof/>
            <w:webHidden/>
          </w:rPr>
          <w:instrText xml:space="preserve"> PAGEREF _Toc354493006 \h </w:instrText>
        </w:r>
        <w:r>
          <w:rPr>
            <w:noProof/>
            <w:webHidden/>
          </w:rPr>
        </w:r>
        <w:r>
          <w:rPr>
            <w:noProof/>
            <w:webHidden/>
          </w:rPr>
          <w:fldChar w:fldCharType="separate"/>
        </w:r>
        <w:r w:rsidR="008D679D">
          <w:rPr>
            <w:noProof/>
            <w:webHidden/>
          </w:rPr>
          <w:t>1</w:t>
        </w:r>
        <w:r>
          <w:rPr>
            <w:noProof/>
            <w:webHidden/>
          </w:rPr>
          <w:fldChar w:fldCharType="end"/>
        </w:r>
      </w:hyperlink>
    </w:p>
    <w:p w14:paraId="267C9BDA" w14:textId="77777777" w:rsidR="002A7C48" w:rsidRDefault="00251A39" w:rsidP="002A7C48">
      <w:pPr>
        <w:pStyle w:val="TOC1"/>
        <w:ind w:right="720"/>
        <w:rPr>
          <w:rFonts w:asciiTheme="minorHAnsi" w:eastAsiaTheme="minorEastAsia" w:hAnsiTheme="minorHAnsi" w:cstheme="minorBidi"/>
          <w:caps w:val="0"/>
          <w:noProof/>
          <w:sz w:val="22"/>
          <w:szCs w:val="22"/>
        </w:rPr>
      </w:pPr>
      <w:hyperlink w:anchor="_Toc354493007" w:history="1">
        <w:r w:rsidR="002A7C48" w:rsidRPr="002E261F">
          <w:rPr>
            <w:rStyle w:val="Hyperlink"/>
            <w:noProof/>
          </w:rPr>
          <w:t>II.</w:t>
        </w:r>
        <w:r w:rsidR="002A7C48">
          <w:rPr>
            <w:rFonts w:asciiTheme="minorHAnsi" w:eastAsiaTheme="minorEastAsia" w:hAnsiTheme="minorHAnsi" w:cstheme="minorBidi"/>
            <w:caps w:val="0"/>
            <w:noProof/>
            <w:sz w:val="22"/>
            <w:szCs w:val="22"/>
          </w:rPr>
          <w:tab/>
        </w:r>
        <w:r w:rsidR="002A7C48" w:rsidRPr="002E261F">
          <w:rPr>
            <w:rStyle w:val="Hyperlink"/>
            <w:noProof/>
          </w:rPr>
          <w:t>PROCEDURAL HISTORY</w:t>
        </w:r>
        <w:r w:rsidR="002A7C48">
          <w:rPr>
            <w:noProof/>
            <w:webHidden/>
          </w:rPr>
          <w:tab/>
        </w:r>
        <w:r w:rsidR="002A7C48">
          <w:rPr>
            <w:noProof/>
            <w:webHidden/>
          </w:rPr>
          <w:fldChar w:fldCharType="begin"/>
        </w:r>
        <w:r w:rsidR="002A7C48">
          <w:rPr>
            <w:noProof/>
            <w:webHidden/>
          </w:rPr>
          <w:instrText xml:space="preserve"> PAGEREF _Toc354493007 \h </w:instrText>
        </w:r>
        <w:r w:rsidR="002A7C48">
          <w:rPr>
            <w:noProof/>
            <w:webHidden/>
          </w:rPr>
        </w:r>
        <w:r w:rsidR="002A7C48">
          <w:rPr>
            <w:noProof/>
            <w:webHidden/>
          </w:rPr>
          <w:fldChar w:fldCharType="separate"/>
        </w:r>
        <w:r w:rsidR="008D679D">
          <w:rPr>
            <w:noProof/>
            <w:webHidden/>
          </w:rPr>
          <w:t>2</w:t>
        </w:r>
        <w:r w:rsidR="002A7C48">
          <w:rPr>
            <w:noProof/>
            <w:webHidden/>
          </w:rPr>
          <w:fldChar w:fldCharType="end"/>
        </w:r>
      </w:hyperlink>
    </w:p>
    <w:p w14:paraId="1573D323" w14:textId="77777777" w:rsidR="002A7C48" w:rsidRDefault="00251A39" w:rsidP="002A7C48">
      <w:pPr>
        <w:pStyle w:val="TOC1"/>
        <w:ind w:right="720"/>
        <w:rPr>
          <w:rFonts w:asciiTheme="minorHAnsi" w:eastAsiaTheme="minorEastAsia" w:hAnsiTheme="minorHAnsi" w:cstheme="minorBidi"/>
          <w:caps w:val="0"/>
          <w:noProof/>
          <w:sz w:val="22"/>
          <w:szCs w:val="22"/>
        </w:rPr>
      </w:pPr>
      <w:hyperlink w:anchor="_Toc354493008" w:history="1">
        <w:r w:rsidR="002A7C48" w:rsidRPr="002E261F">
          <w:rPr>
            <w:rStyle w:val="Hyperlink"/>
            <w:noProof/>
          </w:rPr>
          <w:t>III.</w:t>
        </w:r>
        <w:r w:rsidR="002A7C48">
          <w:rPr>
            <w:rFonts w:asciiTheme="minorHAnsi" w:eastAsiaTheme="minorEastAsia" w:hAnsiTheme="minorHAnsi" w:cstheme="minorBidi"/>
            <w:caps w:val="0"/>
            <w:noProof/>
            <w:sz w:val="22"/>
            <w:szCs w:val="22"/>
          </w:rPr>
          <w:tab/>
        </w:r>
        <w:r w:rsidR="002A7C48" w:rsidRPr="002E261F">
          <w:rPr>
            <w:rStyle w:val="Hyperlink"/>
            <w:noProof/>
          </w:rPr>
          <w:t>ARGUMENT</w:t>
        </w:r>
        <w:r w:rsidR="002A7C48">
          <w:rPr>
            <w:noProof/>
            <w:webHidden/>
          </w:rPr>
          <w:tab/>
        </w:r>
        <w:r w:rsidR="002A7C48">
          <w:rPr>
            <w:noProof/>
            <w:webHidden/>
          </w:rPr>
          <w:fldChar w:fldCharType="begin"/>
        </w:r>
        <w:r w:rsidR="002A7C48">
          <w:rPr>
            <w:noProof/>
            <w:webHidden/>
          </w:rPr>
          <w:instrText xml:space="preserve"> PAGEREF _Toc354493008 \h </w:instrText>
        </w:r>
        <w:r w:rsidR="002A7C48">
          <w:rPr>
            <w:noProof/>
            <w:webHidden/>
          </w:rPr>
        </w:r>
        <w:r w:rsidR="002A7C48">
          <w:rPr>
            <w:noProof/>
            <w:webHidden/>
          </w:rPr>
          <w:fldChar w:fldCharType="separate"/>
        </w:r>
        <w:r w:rsidR="008D679D">
          <w:rPr>
            <w:noProof/>
            <w:webHidden/>
          </w:rPr>
          <w:t>5</w:t>
        </w:r>
        <w:r w:rsidR="002A7C48">
          <w:rPr>
            <w:noProof/>
            <w:webHidden/>
          </w:rPr>
          <w:fldChar w:fldCharType="end"/>
        </w:r>
      </w:hyperlink>
    </w:p>
    <w:p w14:paraId="1777B07F" w14:textId="77777777" w:rsidR="002A7C48" w:rsidRDefault="00251A39" w:rsidP="002A7C48">
      <w:pPr>
        <w:pStyle w:val="TOC2"/>
        <w:ind w:right="720"/>
        <w:rPr>
          <w:rFonts w:asciiTheme="minorHAnsi" w:eastAsiaTheme="minorEastAsia" w:hAnsiTheme="minorHAnsi" w:cstheme="minorBidi"/>
          <w:noProof/>
          <w:sz w:val="22"/>
          <w:szCs w:val="22"/>
        </w:rPr>
      </w:pPr>
      <w:hyperlink w:anchor="_Toc354493009" w:history="1">
        <w:r w:rsidR="002A7C48" w:rsidRPr="002E261F">
          <w:rPr>
            <w:rStyle w:val="Hyperlink"/>
            <w:noProof/>
          </w:rPr>
          <w:t>A.</w:t>
        </w:r>
        <w:r w:rsidR="002A7C48">
          <w:rPr>
            <w:rFonts w:asciiTheme="minorHAnsi" w:eastAsiaTheme="minorEastAsia" w:hAnsiTheme="minorHAnsi" w:cstheme="minorBidi"/>
            <w:noProof/>
            <w:sz w:val="22"/>
            <w:szCs w:val="22"/>
          </w:rPr>
          <w:tab/>
        </w:r>
        <w:r w:rsidR="002A7C48" w:rsidRPr="002E261F">
          <w:rPr>
            <w:rStyle w:val="Hyperlink"/>
            <w:noProof/>
          </w:rPr>
          <w:t>Duke’s Motions Should Be Denied And The PUCO Should Consider OCC’s Evidence To Protect Customers From Paying The Highly Excessive Charges That Duke Seeks.</w:t>
        </w:r>
        <w:r w:rsidR="002A7C48">
          <w:rPr>
            <w:noProof/>
            <w:webHidden/>
          </w:rPr>
          <w:tab/>
        </w:r>
        <w:r w:rsidR="002A7C48">
          <w:rPr>
            <w:noProof/>
            <w:webHidden/>
          </w:rPr>
          <w:fldChar w:fldCharType="begin"/>
        </w:r>
        <w:r w:rsidR="002A7C48">
          <w:rPr>
            <w:noProof/>
            <w:webHidden/>
          </w:rPr>
          <w:instrText xml:space="preserve"> PAGEREF _Toc354493009 \h </w:instrText>
        </w:r>
        <w:r w:rsidR="002A7C48">
          <w:rPr>
            <w:noProof/>
            <w:webHidden/>
          </w:rPr>
        </w:r>
        <w:r w:rsidR="002A7C48">
          <w:rPr>
            <w:noProof/>
            <w:webHidden/>
          </w:rPr>
          <w:fldChar w:fldCharType="separate"/>
        </w:r>
        <w:r w:rsidR="008D679D">
          <w:rPr>
            <w:noProof/>
            <w:webHidden/>
          </w:rPr>
          <w:t>5</w:t>
        </w:r>
        <w:r w:rsidR="002A7C48">
          <w:rPr>
            <w:noProof/>
            <w:webHidden/>
          </w:rPr>
          <w:fldChar w:fldCharType="end"/>
        </w:r>
      </w:hyperlink>
    </w:p>
    <w:p w14:paraId="65BAB640" w14:textId="77777777" w:rsidR="002A7C48" w:rsidRDefault="00251A39" w:rsidP="002A7C48">
      <w:pPr>
        <w:pStyle w:val="TOC3"/>
        <w:tabs>
          <w:tab w:val="left" w:pos="2160"/>
        </w:tabs>
        <w:ind w:right="720"/>
        <w:rPr>
          <w:rFonts w:asciiTheme="minorHAnsi" w:eastAsiaTheme="minorEastAsia" w:hAnsiTheme="minorHAnsi" w:cstheme="minorBidi"/>
          <w:noProof/>
          <w:sz w:val="22"/>
          <w:szCs w:val="22"/>
        </w:rPr>
      </w:pPr>
      <w:hyperlink w:anchor="_Toc354493010" w:history="1">
        <w:r w:rsidR="002A7C48" w:rsidRPr="002E261F">
          <w:rPr>
            <w:rStyle w:val="Hyperlink"/>
            <w:noProof/>
          </w:rPr>
          <w:t>1.</w:t>
        </w:r>
        <w:r w:rsidR="002A7C48">
          <w:rPr>
            <w:rFonts w:asciiTheme="minorHAnsi" w:eastAsiaTheme="minorEastAsia" w:hAnsiTheme="minorHAnsi" w:cstheme="minorBidi"/>
            <w:noProof/>
            <w:sz w:val="22"/>
            <w:szCs w:val="22"/>
          </w:rPr>
          <w:tab/>
        </w:r>
        <w:r w:rsidR="002A7C48" w:rsidRPr="002E261F">
          <w:rPr>
            <w:rStyle w:val="Hyperlink"/>
            <w:noProof/>
          </w:rPr>
          <w:t>Duke’s Motion to Clarify was the wrong pleading to file and is in reality an out-of-time Motion to Strike Objections.</w:t>
        </w:r>
        <w:r w:rsidR="002A7C48">
          <w:rPr>
            <w:noProof/>
            <w:webHidden/>
          </w:rPr>
          <w:tab/>
        </w:r>
        <w:r w:rsidR="002A7C48">
          <w:rPr>
            <w:noProof/>
            <w:webHidden/>
          </w:rPr>
          <w:fldChar w:fldCharType="begin"/>
        </w:r>
        <w:r w:rsidR="002A7C48">
          <w:rPr>
            <w:noProof/>
            <w:webHidden/>
          </w:rPr>
          <w:instrText xml:space="preserve"> PAGEREF _Toc354493010 \h </w:instrText>
        </w:r>
        <w:r w:rsidR="002A7C48">
          <w:rPr>
            <w:noProof/>
            <w:webHidden/>
          </w:rPr>
        </w:r>
        <w:r w:rsidR="002A7C48">
          <w:rPr>
            <w:noProof/>
            <w:webHidden/>
          </w:rPr>
          <w:fldChar w:fldCharType="separate"/>
        </w:r>
        <w:r w:rsidR="008D679D">
          <w:rPr>
            <w:noProof/>
            <w:webHidden/>
          </w:rPr>
          <w:t>5</w:t>
        </w:r>
        <w:r w:rsidR="002A7C48">
          <w:rPr>
            <w:noProof/>
            <w:webHidden/>
          </w:rPr>
          <w:fldChar w:fldCharType="end"/>
        </w:r>
      </w:hyperlink>
    </w:p>
    <w:p w14:paraId="46EEA558" w14:textId="77777777" w:rsidR="002A7C48" w:rsidRDefault="00251A39" w:rsidP="002A7C48">
      <w:pPr>
        <w:pStyle w:val="TOC3"/>
        <w:tabs>
          <w:tab w:val="left" w:pos="2160"/>
        </w:tabs>
        <w:ind w:right="720"/>
        <w:rPr>
          <w:rFonts w:asciiTheme="minorHAnsi" w:eastAsiaTheme="minorEastAsia" w:hAnsiTheme="minorHAnsi" w:cstheme="minorBidi"/>
          <w:noProof/>
          <w:sz w:val="22"/>
          <w:szCs w:val="22"/>
        </w:rPr>
      </w:pPr>
      <w:hyperlink w:anchor="_Toc354493011" w:history="1">
        <w:r w:rsidR="002A7C48" w:rsidRPr="002E261F">
          <w:rPr>
            <w:rStyle w:val="Hyperlink"/>
            <w:noProof/>
          </w:rPr>
          <w:t>2.</w:t>
        </w:r>
        <w:r w:rsidR="002A7C48">
          <w:rPr>
            <w:rFonts w:asciiTheme="minorHAnsi" w:eastAsiaTheme="minorEastAsia" w:hAnsiTheme="minorHAnsi" w:cstheme="minorBidi"/>
            <w:noProof/>
            <w:sz w:val="22"/>
            <w:szCs w:val="22"/>
          </w:rPr>
          <w:tab/>
        </w:r>
        <w:r w:rsidR="002A7C48" w:rsidRPr="002E261F">
          <w:rPr>
            <w:rStyle w:val="Hyperlink"/>
            <w:noProof/>
          </w:rPr>
          <w:t>Duke’s motions would injure OCC and Duke’s consumers that OCC represents.</w:t>
        </w:r>
        <w:r w:rsidR="002A7C48">
          <w:rPr>
            <w:noProof/>
            <w:webHidden/>
          </w:rPr>
          <w:tab/>
        </w:r>
        <w:r w:rsidR="002A7C48">
          <w:rPr>
            <w:noProof/>
            <w:webHidden/>
          </w:rPr>
          <w:fldChar w:fldCharType="begin"/>
        </w:r>
        <w:r w:rsidR="002A7C48">
          <w:rPr>
            <w:noProof/>
            <w:webHidden/>
          </w:rPr>
          <w:instrText xml:space="preserve"> PAGEREF _Toc354493011 \h </w:instrText>
        </w:r>
        <w:r w:rsidR="002A7C48">
          <w:rPr>
            <w:noProof/>
            <w:webHidden/>
          </w:rPr>
        </w:r>
        <w:r w:rsidR="002A7C48">
          <w:rPr>
            <w:noProof/>
            <w:webHidden/>
          </w:rPr>
          <w:fldChar w:fldCharType="separate"/>
        </w:r>
        <w:r w:rsidR="008D679D">
          <w:rPr>
            <w:noProof/>
            <w:webHidden/>
          </w:rPr>
          <w:t>7</w:t>
        </w:r>
        <w:r w:rsidR="002A7C48">
          <w:rPr>
            <w:noProof/>
            <w:webHidden/>
          </w:rPr>
          <w:fldChar w:fldCharType="end"/>
        </w:r>
      </w:hyperlink>
    </w:p>
    <w:p w14:paraId="4C49F09E" w14:textId="77777777" w:rsidR="002A7C48" w:rsidRDefault="00251A39" w:rsidP="002A7C48">
      <w:pPr>
        <w:pStyle w:val="TOC3"/>
        <w:tabs>
          <w:tab w:val="left" w:pos="2160"/>
        </w:tabs>
        <w:ind w:right="720"/>
        <w:rPr>
          <w:rFonts w:asciiTheme="minorHAnsi" w:eastAsiaTheme="minorEastAsia" w:hAnsiTheme="minorHAnsi" w:cstheme="minorBidi"/>
          <w:noProof/>
          <w:sz w:val="22"/>
          <w:szCs w:val="22"/>
        </w:rPr>
      </w:pPr>
      <w:hyperlink w:anchor="_Toc354493012" w:history="1">
        <w:r w:rsidR="002A7C48" w:rsidRPr="002E261F">
          <w:rPr>
            <w:rStyle w:val="Hyperlink"/>
            <w:noProof/>
          </w:rPr>
          <w:t>3.</w:t>
        </w:r>
        <w:r w:rsidR="002A7C48">
          <w:rPr>
            <w:rFonts w:asciiTheme="minorHAnsi" w:eastAsiaTheme="minorEastAsia" w:hAnsiTheme="minorHAnsi" w:cstheme="minorBidi"/>
            <w:noProof/>
            <w:sz w:val="22"/>
            <w:szCs w:val="22"/>
          </w:rPr>
          <w:tab/>
        </w:r>
        <w:r w:rsidR="002A7C48" w:rsidRPr="002E261F">
          <w:rPr>
            <w:rStyle w:val="Hyperlink"/>
            <w:noProof/>
          </w:rPr>
          <w:t>Duke’s Motions are a unilateral attempt to modify the terms of the Stipulation to favor Duke and disfavor consumers.</w:t>
        </w:r>
        <w:r w:rsidR="002A7C48">
          <w:rPr>
            <w:noProof/>
            <w:webHidden/>
          </w:rPr>
          <w:tab/>
        </w:r>
        <w:r w:rsidR="002A7C48">
          <w:rPr>
            <w:noProof/>
            <w:webHidden/>
          </w:rPr>
          <w:fldChar w:fldCharType="begin"/>
        </w:r>
        <w:r w:rsidR="002A7C48">
          <w:rPr>
            <w:noProof/>
            <w:webHidden/>
          </w:rPr>
          <w:instrText xml:space="preserve"> PAGEREF _Toc354493012 \h </w:instrText>
        </w:r>
        <w:r w:rsidR="002A7C48">
          <w:rPr>
            <w:noProof/>
            <w:webHidden/>
          </w:rPr>
        </w:r>
        <w:r w:rsidR="002A7C48">
          <w:rPr>
            <w:noProof/>
            <w:webHidden/>
          </w:rPr>
          <w:fldChar w:fldCharType="separate"/>
        </w:r>
        <w:r w:rsidR="008D679D">
          <w:rPr>
            <w:noProof/>
            <w:webHidden/>
          </w:rPr>
          <w:t>8</w:t>
        </w:r>
        <w:r w:rsidR="002A7C48">
          <w:rPr>
            <w:noProof/>
            <w:webHidden/>
          </w:rPr>
          <w:fldChar w:fldCharType="end"/>
        </w:r>
      </w:hyperlink>
    </w:p>
    <w:p w14:paraId="4BA0BA76" w14:textId="77777777" w:rsidR="002A7C48" w:rsidRDefault="00251A39" w:rsidP="002A7C48">
      <w:pPr>
        <w:pStyle w:val="TOC2"/>
        <w:ind w:right="720"/>
        <w:rPr>
          <w:rFonts w:asciiTheme="minorHAnsi" w:eastAsiaTheme="minorEastAsia" w:hAnsiTheme="minorHAnsi" w:cstheme="minorBidi"/>
          <w:noProof/>
          <w:sz w:val="22"/>
          <w:szCs w:val="22"/>
        </w:rPr>
      </w:pPr>
      <w:hyperlink w:anchor="_Toc354493013" w:history="1">
        <w:r w:rsidR="002A7C48" w:rsidRPr="002E261F">
          <w:rPr>
            <w:rStyle w:val="Hyperlink"/>
            <w:noProof/>
          </w:rPr>
          <w:t>B.</w:t>
        </w:r>
        <w:r w:rsidR="002A7C48">
          <w:rPr>
            <w:rFonts w:asciiTheme="minorHAnsi" w:eastAsiaTheme="minorEastAsia" w:hAnsiTheme="minorHAnsi" w:cstheme="minorBidi"/>
            <w:noProof/>
            <w:sz w:val="22"/>
            <w:szCs w:val="22"/>
          </w:rPr>
          <w:tab/>
        </w:r>
        <w:r w:rsidR="002A7C48" w:rsidRPr="002E261F">
          <w:rPr>
            <w:rStyle w:val="Hyperlink"/>
            <w:noProof/>
          </w:rPr>
          <w:t>Duke’s Motion for Clarification Unlawfully Attempts to Preclude the Commission from a Review of The Scope and Necessity of Duke’s Remediation Activities And the Associated Prudence Review that the General Assembly Enacted to Protect Utility Customers.</w:t>
        </w:r>
        <w:r w:rsidR="002A7C48">
          <w:rPr>
            <w:noProof/>
            <w:webHidden/>
          </w:rPr>
          <w:tab/>
        </w:r>
        <w:r w:rsidR="002A7C48">
          <w:rPr>
            <w:noProof/>
            <w:webHidden/>
          </w:rPr>
          <w:fldChar w:fldCharType="begin"/>
        </w:r>
        <w:r w:rsidR="002A7C48">
          <w:rPr>
            <w:noProof/>
            <w:webHidden/>
          </w:rPr>
          <w:instrText xml:space="preserve"> PAGEREF _Toc354493013 \h </w:instrText>
        </w:r>
        <w:r w:rsidR="002A7C48">
          <w:rPr>
            <w:noProof/>
            <w:webHidden/>
          </w:rPr>
        </w:r>
        <w:r w:rsidR="002A7C48">
          <w:rPr>
            <w:noProof/>
            <w:webHidden/>
          </w:rPr>
          <w:fldChar w:fldCharType="separate"/>
        </w:r>
        <w:r w:rsidR="008D679D">
          <w:rPr>
            <w:noProof/>
            <w:webHidden/>
          </w:rPr>
          <w:t>9</w:t>
        </w:r>
        <w:r w:rsidR="002A7C48">
          <w:rPr>
            <w:noProof/>
            <w:webHidden/>
          </w:rPr>
          <w:fldChar w:fldCharType="end"/>
        </w:r>
      </w:hyperlink>
    </w:p>
    <w:p w14:paraId="701E0B45" w14:textId="77777777" w:rsidR="002A7C48" w:rsidRDefault="00251A39" w:rsidP="002A7C48">
      <w:pPr>
        <w:pStyle w:val="TOC2"/>
        <w:ind w:right="720"/>
        <w:rPr>
          <w:rFonts w:asciiTheme="minorHAnsi" w:eastAsiaTheme="minorEastAsia" w:hAnsiTheme="minorHAnsi" w:cstheme="minorBidi"/>
          <w:noProof/>
          <w:sz w:val="22"/>
          <w:szCs w:val="22"/>
        </w:rPr>
      </w:pPr>
      <w:hyperlink w:anchor="_Toc354493014" w:history="1">
        <w:r w:rsidR="002A7C48" w:rsidRPr="002E261F">
          <w:rPr>
            <w:rStyle w:val="Hyperlink"/>
            <w:noProof/>
          </w:rPr>
          <w:t>C.</w:t>
        </w:r>
        <w:r w:rsidR="002A7C48">
          <w:rPr>
            <w:rFonts w:asciiTheme="minorHAnsi" w:eastAsiaTheme="minorEastAsia" w:hAnsiTheme="minorHAnsi" w:cstheme="minorBidi"/>
            <w:noProof/>
            <w:sz w:val="22"/>
            <w:szCs w:val="22"/>
          </w:rPr>
          <w:tab/>
        </w:r>
        <w:r w:rsidR="002A7C48" w:rsidRPr="002E261F">
          <w:rPr>
            <w:rStyle w:val="Hyperlink"/>
            <w:noProof/>
          </w:rPr>
          <w:t>Duke’s Motion to Strike the Testimony of James R. Campbell is an Unlawful Attempt to Prevent OCC from Presenting Evidence on the Imprudence of Duke’s Remediation Costs that It Seeks to Charge Customers.</w:t>
        </w:r>
        <w:r w:rsidR="002A7C48">
          <w:rPr>
            <w:noProof/>
            <w:webHidden/>
          </w:rPr>
          <w:tab/>
        </w:r>
        <w:r w:rsidR="002A7C48">
          <w:rPr>
            <w:noProof/>
            <w:webHidden/>
          </w:rPr>
          <w:fldChar w:fldCharType="begin"/>
        </w:r>
        <w:r w:rsidR="002A7C48">
          <w:rPr>
            <w:noProof/>
            <w:webHidden/>
          </w:rPr>
          <w:instrText xml:space="preserve"> PAGEREF _Toc354493014 \h </w:instrText>
        </w:r>
        <w:r w:rsidR="002A7C48">
          <w:rPr>
            <w:noProof/>
            <w:webHidden/>
          </w:rPr>
        </w:r>
        <w:r w:rsidR="002A7C48">
          <w:rPr>
            <w:noProof/>
            <w:webHidden/>
          </w:rPr>
          <w:fldChar w:fldCharType="separate"/>
        </w:r>
        <w:r w:rsidR="008D679D">
          <w:rPr>
            <w:noProof/>
            <w:webHidden/>
          </w:rPr>
          <w:t>16</w:t>
        </w:r>
        <w:r w:rsidR="002A7C48">
          <w:rPr>
            <w:noProof/>
            <w:webHidden/>
          </w:rPr>
          <w:fldChar w:fldCharType="end"/>
        </w:r>
      </w:hyperlink>
    </w:p>
    <w:p w14:paraId="4BA33E11" w14:textId="77777777" w:rsidR="002A7C48" w:rsidRDefault="00251A39" w:rsidP="002A7C48">
      <w:pPr>
        <w:pStyle w:val="TOC2"/>
        <w:ind w:right="720"/>
        <w:rPr>
          <w:rFonts w:asciiTheme="minorHAnsi" w:eastAsiaTheme="minorEastAsia" w:hAnsiTheme="minorHAnsi" w:cstheme="minorBidi"/>
          <w:noProof/>
          <w:sz w:val="22"/>
          <w:szCs w:val="22"/>
        </w:rPr>
      </w:pPr>
      <w:hyperlink w:anchor="_Toc354493015" w:history="1">
        <w:r w:rsidR="002A7C48" w:rsidRPr="002E261F">
          <w:rPr>
            <w:rStyle w:val="Hyperlink"/>
            <w:noProof/>
          </w:rPr>
          <w:t>D.</w:t>
        </w:r>
        <w:r w:rsidR="002A7C48">
          <w:rPr>
            <w:rFonts w:asciiTheme="minorHAnsi" w:eastAsiaTheme="minorEastAsia" w:hAnsiTheme="minorHAnsi" w:cstheme="minorBidi"/>
            <w:noProof/>
            <w:sz w:val="22"/>
            <w:szCs w:val="22"/>
          </w:rPr>
          <w:tab/>
        </w:r>
        <w:r w:rsidR="002A7C48" w:rsidRPr="002E261F">
          <w:rPr>
            <w:rStyle w:val="Hyperlink"/>
            <w:noProof/>
          </w:rPr>
          <w:t>Duke’s Motions Make No Sense and Should Be Denied.</w:t>
        </w:r>
        <w:r w:rsidR="002A7C48">
          <w:rPr>
            <w:noProof/>
            <w:webHidden/>
          </w:rPr>
          <w:tab/>
        </w:r>
        <w:r w:rsidR="002A7C48">
          <w:rPr>
            <w:noProof/>
            <w:webHidden/>
          </w:rPr>
          <w:fldChar w:fldCharType="begin"/>
        </w:r>
        <w:r w:rsidR="002A7C48">
          <w:rPr>
            <w:noProof/>
            <w:webHidden/>
          </w:rPr>
          <w:instrText xml:space="preserve"> PAGEREF _Toc354493015 \h </w:instrText>
        </w:r>
        <w:r w:rsidR="002A7C48">
          <w:rPr>
            <w:noProof/>
            <w:webHidden/>
          </w:rPr>
        </w:r>
        <w:r w:rsidR="002A7C48">
          <w:rPr>
            <w:noProof/>
            <w:webHidden/>
          </w:rPr>
          <w:fldChar w:fldCharType="separate"/>
        </w:r>
        <w:r w:rsidR="008D679D">
          <w:rPr>
            <w:noProof/>
            <w:webHidden/>
          </w:rPr>
          <w:t>17</w:t>
        </w:r>
        <w:r w:rsidR="002A7C48">
          <w:rPr>
            <w:noProof/>
            <w:webHidden/>
          </w:rPr>
          <w:fldChar w:fldCharType="end"/>
        </w:r>
      </w:hyperlink>
    </w:p>
    <w:p w14:paraId="5090F083" w14:textId="77777777" w:rsidR="002A7C48" w:rsidRDefault="00251A39" w:rsidP="002A7C48">
      <w:pPr>
        <w:pStyle w:val="TOC2"/>
        <w:ind w:right="720"/>
        <w:rPr>
          <w:rFonts w:asciiTheme="minorHAnsi" w:eastAsiaTheme="minorEastAsia" w:hAnsiTheme="minorHAnsi" w:cstheme="minorBidi"/>
          <w:noProof/>
          <w:sz w:val="22"/>
          <w:szCs w:val="22"/>
        </w:rPr>
      </w:pPr>
      <w:hyperlink w:anchor="_Toc354493016" w:history="1">
        <w:r w:rsidR="002A7C48" w:rsidRPr="002E261F">
          <w:rPr>
            <w:rStyle w:val="Hyperlink"/>
            <w:noProof/>
          </w:rPr>
          <w:t>E.</w:t>
        </w:r>
        <w:r w:rsidR="002A7C48">
          <w:rPr>
            <w:rFonts w:asciiTheme="minorHAnsi" w:eastAsiaTheme="minorEastAsia" w:hAnsiTheme="minorHAnsi" w:cstheme="minorBidi"/>
            <w:noProof/>
            <w:sz w:val="22"/>
            <w:szCs w:val="22"/>
          </w:rPr>
          <w:tab/>
        </w:r>
        <w:r w:rsidR="002A7C48" w:rsidRPr="002E261F">
          <w:rPr>
            <w:rStyle w:val="Hyperlink"/>
            <w:noProof/>
          </w:rPr>
          <w:t>The Commission’s Order In Duke’s MGP Deferral Case Clarified the PUCO’s Authority to Conduct a Prudence Review at the time the Utility seeks authority to collect remediation costs from its customers -- and that time is now.</w:t>
        </w:r>
        <w:r w:rsidR="002A7C48">
          <w:rPr>
            <w:noProof/>
            <w:webHidden/>
          </w:rPr>
          <w:tab/>
        </w:r>
        <w:r w:rsidR="002A7C48">
          <w:rPr>
            <w:noProof/>
            <w:webHidden/>
          </w:rPr>
          <w:fldChar w:fldCharType="begin"/>
        </w:r>
        <w:r w:rsidR="002A7C48">
          <w:rPr>
            <w:noProof/>
            <w:webHidden/>
          </w:rPr>
          <w:instrText xml:space="preserve"> PAGEREF _Toc354493016 \h </w:instrText>
        </w:r>
        <w:r w:rsidR="002A7C48">
          <w:rPr>
            <w:noProof/>
            <w:webHidden/>
          </w:rPr>
        </w:r>
        <w:r w:rsidR="002A7C48">
          <w:rPr>
            <w:noProof/>
            <w:webHidden/>
          </w:rPr>
          <w:fldChar w:fldCharType="separate"/>
        </w:r>
        <w:r w:rsidR="008D679D">
          <w:rPr>
            <w:noProof/>
            <w:webHidden/>
          </w:rPr>
          <w:t>18</w:t>
        </w:r>
        <w:r w:rsidR="002A7C48">
          <w:rPr>
            <w:noProof/>
            <w:webHidden/>
          </w:rPr>
          <w:fldChar w:fldCharType="end"/>
        </w:r>
      </w:hyperlink>
    </w:p>
    <w:p w14:paraId="63679F5D" w14:textId="77777777" w:rsidR="002A7C48" w:rsidRDefault="00251A39" w:rsidP="002A7C48">
      <w:pPr>
        <w:pStyle w:val="TOC1"/>
        <w:ind w:right="720"/>
        <w:rPr>
          <w:rFonts w:asciiTheme="minorHAnsi" w:eastAsiaTheme="minorEastAsia" w:hAnsiTheme="minorHAnsi" w:cstheme="minorBidi"/>
          <w:caps w:val="0"/>
          <w:noProof/>
          <w:sz w:val="22"/>
          <w:szCs w:val="22"/>
        </w:rPr>
      </w:pPr>
      <w:hyperlink w:anchor="_Toc354493017" w:history="1">
        <w:r w:rsidR="002A7C48" w:rsidRPr="002E261F">
          <w:rPr>
            <w:rStyle w:val="Hyperlink"/>
            <w:noProof/>
          </w:rPr>
          <w:t>IV.</w:t>
        </w:r>
        <w:r w:rsidR="002A7C48">
          <w:rPr>
            <w:rFonts w:asciiTheme="minorHAnsi" w:eastAsiaTheme="minorEastAsia" w:hAnsiTheme="minorHAnsi" w:cstheme="minorBidi"/>
            <w:caps w:val="0"/>
            <w:noProof/>
            <w:sz w:val="22"/>
            <w:szCs w:val="22"/>
          </w:rPr>
          <w:tab/>
        </w:r>
        <w:r w:rsidR="002A7C48" w:rsidRPr="002E261F">
          <w:rPr>
            <w:rStyle w:val="Hyperlink"/>
            <w:noProof/>
          </w:rPr>
          <w:t>CONCLUSION</w:t>
        </w:r>
        <w:r w:rsidR="002A7C48">
          <w:rPr>
            <w:noProof/>
            <w:webHidden/>
          </w:rPr>
          <w:tab/>
        </w:r>
        <w:r w:rsidR="002A7C48">
          <w:rPr>
            <w:noProof/>
            <w:webHidden/>
          </w:rPr>
          <w:fldChar w:fldCharType="begin"/>
        </w:r>
        <w:r w:rsidR="002A7C48">
          <w:rPr>
            <w:noProof/>
            <w:webHidden/>
          </w:rPr>
          <w:instrText xml:space="preserve"> PAGEREF _Toc354493017 \h </w:instrText>
        </w:r>
        <w:r w:rsidR="002A7C48">
          <w:rPr>
            <w:noProof/>
            <w:webHidden/>
          </w:rPr>
        </w:r>
        <w:r w:rsidR="002A7C48">
          <w:rPr>
            <w:noProof/>
            <w:webHidden/>
          </w:rPr>
          <w:fldChar w:fldCharType="separate"/>
        </w:r>
        <w:r w:rsidR="008D679D">
          <w:rPr>
            <w:noProof/>
            <w:webHidden/>
          </w:rPr>
          <w:t>21</w:t>
        </w:r>
        <w:r w:rsidR="002A7C48">
          <w:rPr>
            <w:noProof/>
            <w:webHidden/>
          </w:rPr>
          <w:fldChar w:fldCharType="end"/>
        </w:r>
      </w:hyperlink>
    </w:p>
    <w:p w14:paraId="4860A77D" w14:textId="1959A175" w:rsidR="003D5687" w:rsidRDefault="002A7C48" w:rsidP="002A7C48">
      <w:pPr>
        <w:pStyle w:val="BodyText2"/>
        <w:tabs>
          <w:tab w:val="left" w:pos="720"/>
          <w:tab w:val="left" w:pos="1440"/>
          <w:tab w:val="left" w:pos="2160"/>
          <w:tab w:val="decimal" w:leader="dot" w:pos="8640"/>
        </w:tabs>
        <w:ind w:right="720"/>
        <w:rPr>
          <w:sz w:val="24"/>
          <w:szCs w:val="24"/>
        </w:rPr>
      </w:pPr>
      <w:r>
        <w:rPr>
          <w:sz w:val="24"/>
          <w:szCs w:val="24"/>
        </w:rPr>
        <w:fldChar w:fldCharType="end"/>
      </w:r>
    </w:p>
    <w:p w14:paraId="635622C1" w14:textId="77777777" w:rsidR="00080007" w:rsidRPr="003E37EB" w:rsidRDefault="00080007">
      <w:pPr>
        <w:pStyle w:val="Title"/>
        <w:jc w:val="left"/>
        <w:rPr>
          <w:sz w:val="24"/>
          <w:szCs w:val="24"/>
        </w:rPr>
      </w:pPr>
    </w:p>
    <w:p w14:paraId="7A8036BA" w14:textId="77777777" w:rsidR="00080007" w:rsidRDefault="00080007">
      <w:pPr>
        <w:pStyle w:val="Title"/>
      </w:pPr>
    </w:p>
    <w:p w14:paraId="23C07E00" w14:textId="77777777" w:rsidR="00080007" w:rsidRDefault="00080007">
      <w:pPr>
        <w:pStyle w:val="Title"/>
        <w:sectPr w:rsidR="00080007" w:rsidSect="00EA0E1D">
          <w:headerReference w:type="even" r:id="rId14"/>
          <w:headerReference w:type="default" r:id="rId15"/>
          <w:footerReference w:type="default" r:id="rId16"/>
          <w:headerReference w:type="first" r:id="rId17"/>
          <w:pgSz w:w="12240" w:h="15840"/>
          <w:pgMar w:top="1440" w:right="1800" w:bottom="1440" w:left="1800" w:header="720" w:footer="720" w:gutter="0"/>
          <w:pgNumType w:fmt="lowerRoman" w:start="1"/>
          <w:cols w:space="720"/>
          <w:docGrid w:linePitch="272"/>
        </w:sectPr>
      </w:pPr>
    </w:p>
    <w:p w14:paraId="2AAE865D" w14:textId="77777777" w:rsidR="00080007" w:rsidRPr="003E37EB" w:rsidRDefault="00080007" w:rsidP="009243AE">
      <w:pPr>
        <w:pStyle w:val="Heading1"/>
        <w:rPr>
          <w:i/>
          <w:iCs/>
          <w:u w:val="single"/>
        </w:rPr>
      </w:pPr>
      <w:bookmarkStart w:id="4" w:name="_Toc354492844"/>
      <w:bookmarkStart w:id="5" w:name="_Toc354493006"/>
      <w:r w:rsidRPr="003E37EB">
        <w:lastRenderedPageBreak/>
        <w:t>I.</w:t>
      </w:r>
      <w:r w:rsidRPr="003E37EB">
        <w:tab/>
        <w:t>INTRODUCTION</w:t>
      </w:r>
      <w:bookmarkEnd w:id="4"/>
      <w:bookmarkEnd w:id="5"/>
    </w:p>
    <w:p w14:paraId="046578C1" w14:textId="0B3B4A30" w:rsidR="00080007" w:rsidRDefault="00080007" w:rsidP="003E37EB">
      <w:pPr>
        <w:spacing w:line="480" w:lineRule="auto"/>
        <w:rPr>
          <w:sz w:val="24"/>
          <w:szCs w:val="24"/>
        </w:rPr>
      </w:pPr>
      <w:r>
        <w:rPr>
          <w:b/>
          <w:bCs/>
        </w:rPr>
        <w:tab/>
      </w:r>
      <w:r>
        <w:rPr>
          <w:sz w:val="24"/>
          <w:szCs w:val="24"/>
        </w:rPr>
        <w:t xml:space="preserve">The Office of the Ohio Consumers’ Counsel </w:t>
      </w:r>
      <w:r>
        <w:t>(</w:t>
      </w:r>
      <w:r>
        <w:rPr>
          <w:sz w:val="24"/>
          <w:szCs w:val="24"/>
        </w:rPr>
        <w:t>“OCC”) files this Memorandum Contra with the Public Utilities Commission of Ohio (“PUCO” or “Commission”) in response to the Motion to Clarify the Scope of these Proceedings (“Duke Motion to Clarify”) and Motion to Strike the Testimony of James R. Campbell (Duke Motion to Strike”) (</w:t>
      </w:r>
      <w:r w:rsidR="00C92AFE">
        <w:rPr>
          <w:sz w:val="24"/>
          <w:szCs w:val="24"/>
        </w:rPr>
        <w:t xml:space="preserve">collectively </w:t>
      </w:r>
      <w:r>
        <w:rPr>
          <w:sz w:val="24"/>
          <w:szCs w:val="24"/>
        </w:rPr>
        <w:t>“Duke Motions”) filed by Duke Energy Ohio, Inc. (“Duke” or “Utility”), on April 16, 2013.</w:t>
      </w:r>
      <w:r w:rsidRPr="00BB2E6D">
        <w:rPr>
          <w:rStyle w:val="FootnoteReference"/>
        </w:rPr>
        <w:footnoteReference w:id="1"/>
      </w:r>
      <w:r>
        <w:rPr>
          <w:sz w:val="24"/>
          <w:szCs w:val="24"/>
        </w:rPr>
        <w:t xml:space="preserve">  Duke requested an expedited ruling on its Motions.</w:t>
      </w:r>
      <w:r w:rsidRPr="00BB2E6D">
        <w:rPr>
          <w:rStyle w:val="FootnoteReference"/>
        </w:rPr>
        <w:footnoteReference w:id="2"/>
      </w:r>
    </w:p>
    <w:p w14:paraId="43D624DB" w14:textId="2F4A642A" w:rsidR="00080007" w:rsidRDefault="00080007" w:rsidP="003E37EB">
      <w:pPr>
        <w:spacing w:line="480" w:lineRule="auto"/>
        <w:ind w:firstLine="720"/>
        <w:rPr>
          <w:sz w:val="24"/>
          <w:szCs w:val="24"/>
        </w:rPr>
      </w:pPr>
      <w:r w:rsidRPr="00507E5E">
        <w:rPr>
          <w:sz w:val="24"/>
          <w:szCs w:val="24"/>
        </w:rPr>
        <w:t>Duke</w:t>
      </w:r>
      <w:r w:rsidR="00F11B7B">
        <w:rPr>
          <w:sz w:val="24"/>
          <w:szCs w:val="24"/>
        </w:rPr>
        <w:t xml:space="preserve"> filed two Motions for one objective, </w:t>
      </w:r>
      <w:r w:rsidRPr="00507E5E">
        <w:rPr>
          <w:sz w:val="24"/>
          <w:szCs w:val="24"/>
        </w:rPr>
        <w:t>to deny its 380,000 natural gas customers the evidence OCC will submit on their behalf</w:t>
      </w:r>
      <w:r w:rsidR="005827EE">
        <w:rPr>
          <w:sz w:val="24"/>
          <w:szCs w:val="24"/>
        </w:rPr>
        <w:t xml:space="preserve"> regarding a $65</w:t>
      </w:r>
      <w:r w:rsidR="00D274B3">
        <w:rPr>
          <w:sz w:val="24"/>
          <w:szCs w:val="24"/>
        </w:rPr>
        <w:t xml:space="preserve"> million issue</w:t>
      </w:r>
      <w:r w:rsidRPr="00507E5E">
        <w:rPr>
          <w:sz w:val="24"/>
          <w:szCs w:val="24"/>
        </w:rPr>
        <w:t xml:space="preserve">.  OCC’s evidence -- the evidence that gives customers a voice in these cases -- will demonstrate to the PUCO how Duke </w:t>
      </w:r>
      <w:r w:rsidR="00D9117C">
        <w:rPr>
          <w:sz w:val="24"/>
          <w:szCs w:val="24"/>
        </w:rPr>
        <w:t xml:space="preserve">is asking its customers to pay for </w:t>
      </w:r>
      <w:r w:rsidR="005827EE">
        <w:rPr>
          <w:sz w:val="24"/>
          <w:szCs w:val="24"/>
        </w:rPr>
        <w:t xml:space="preserve">real estate </w:t>
      </w:r>
      <w:r w:rsidRPr="00507E5E">
        <w:rPr>
          <w:sz w:val="24"/>
          <w:szCs w:val="24"/>
        </w:rPr>
        <w:t xml:space="preserve">remediation </w:t>
      </w:r>
      <w:r w:rsidR="00D9117C">
        <w:rPr>
          <w:sz w:val="24"/>
          <w:szCs w:val="24"/>
        </w:rPr>
        <w:t xml:space="preserve">that </w:t>
      </w:r>
      <w:r w:rsidR="005827EE">
        <w:rPr>
          <w:sz w:val="24"/>
          <w:szCs w:val="24"/>
        </w:rPr>
        <w:t>is</w:t>
      </w:r>
      <w:r w:rsidR="00D9117C">
        <w:rPr>
          <w:sz w:val="24"/>
          <w:szCs w:val="24"/>
        </w:rPr>
        <w:t xml:space="preserve"> far in excess of </w:t>
      </w:r>
      <w:r w:rsidR="005827EE">
        <w:rPr>
          <w:sz w:val="24"/>
          <w:szCs w:val="24"/>
        </w:rPr>
        <w:t>reasonable costs</w:t>
      </w:r>
      <w:r w:rsidRPr="00507E5E">
        <w:rPr>
          <w:sz w:val="24"/>
          <w:szCs w:val="24"/>
        </w:rPr>
        <w:t xml:space="preserve"> </w:t>
      </w:r>
      <w:r w:rsidR="009D4816">
        <w:rPr>
          <w:sz w:val="24"/>
          <w:szCs w:val="24"/>
        </w:rPr>
        <w:t xml:space="preserve">(if any) </w:t>
      </w:r>
      <w:r w:rsidR="00DE4664">
        <w:rPr>
          <w:sz w:val="24"/>
          <w:szCs w:val="24"/>
        </w:rPr>
        <w:t xml:space="preserve">for ratemaking, </w:t>
      </w:r>
      <w:r w:rsidRPr="00507E5E">
        <w:rPr>
          <w:sz w:val="24"/>
          <w:szCs w:val="24"/>
        </w:rPr>
        <w:t>at its manufactured gas plant sites</w:t>
      </w:r>
      <w:r w:rsidR="005827EE">
        <w:rPr>
          <w:sz w:val="24"/>
          <w:szCs w:val="24"/>
        </w:rPr>
        <w:t>.</w:t>
      </w:r>
    </w:p>
    <w:p w14:paraId="0950CDDD" w14:textId="706AE514" w:rsidR="002C4320" w:rsidRDefault="0018296D" w:rsidP="003E37EB">
      <w:pPr>
        <w:spacing w:line="480" w:lineRule="auto"/>
        <w:ind w:firstLine="720"/>
        <w:rPr>
          <w:sz w:val="24"/>
          <w:szCs w:val="24"/>
        </w:rPr>
      </w:pPr>
      <w:r>
        <w:rPr>
          <w:sz w:val="24"/>
          <w:szCs w:val="24"/>
        </w:rPr>
        <w:t xml:space="preserve">As a threshold matter, </w:t>
      </w:r>
      <w:r w:rsidRPr="00A8488A">
        <w:rPr>
          <w:b/>
          <w:sz w:val="24"/>
          <w:szCs w:val="24"/>
        </w:rPr>
        <w:t xml:space="preserve">Duke </w:t>
      </w:r>
      <w:r w:rsidR="00080007" w:rsidRPr="00A8488A">
        <w:rPr>
          <w:b/>
          <w:sz w:val="24"/>
          <w:szCs w:val="24"/>
        </w:rPr>
        <w:t>filed the wrong pleading.</w:t>
      </w:r>
      <w:r w:rsidR="00F86ABF">
        <w:rPr>
          <w:sz w:val="24"/>
          <w:szCs w:val="24"/>
        </w:rPr>
        <w:t xml:space="preserve">  </w:t>
      </w:r>
      <w:r w:rsidR="00F86ABF" w:rsidRPr="00A8488A">
        <w:rPr>
          <w:b/>
          <w:sz w:val="24"/>
          <w:szCs w:val="24"/>
        </w:rPr>
        <w:t>And Duke missed the</w:t>
      </w:r>
      <w:r w:rsidR="00E601C3">
        <w:rPr>
          <w:b/>
          <w:sz w:val="24"/>
          <w:szCs w:val="24"/>
        </w:rPr>
        <w:t xml:space="preserve"> PUCO’s</w:t>
      </w:r>
      <w:r w:rsidR="00F86ABF" w:rsidRPr="00A8488A">
        <w:rPr>
          <w:b/>
          <w:sz w:val="24"/>
          <w:szCs w:val="24"/>
        </w:rPr>
        <w:t xml:space="preserve"> deadline for filing the right pleading.</w:t>
      </w:r>
      <w:r w:rsidR="00080007">
        <w:rPr>
          <w:sz w:val="24"/>
          <w:szCs w:val="24"/>
        </w:rPr>
        <w:t xml:space="preserve">  Duke</w:t>
      </w:r>
      <w:r>
        <w:rPr>
          <w:sz w:val="24"/>
          <w:szCs w:val="24"/>
        </w:rPr>
        <w:t xml:space="preserve"> is </w:t>
      </w:r>
      <w:r w:rsidR="00E601C3">
        <w:rPr>
          <w:sz w:val="24"/>
          <w:szCs w:val="24"/>
        </w:rPr>
        <w:t>seeking to reject</w:t>
      </w:r>
      <w:r>
        <w:rPr>
          <w:sz w:val="24"/>
          <w:szCs w:val="24"/>
        </w:rPr>
        <w:t xml:space="preserve"> </w:t>
      </w:r>
      <w:r w:rsidR="00080007">
        <w:rPr>
          <w:sz w:val="24"/>
          <w:szCs w:val="24"/>
        </w:rPr>
        <w:t>OCC’s Objection 26</w:t>
      </w:r>
      <w:r>
        <w:rPr>
          <w:sz w:val="24"/>
          <w:szCs w:val="24"/>
        </w:rPr>
        <w:t>,</w:t>
      </w:r>
      <w:r w:rsidR="00080007">
        <w:rPr>
          <w:sz w:val="24"/>
          <w:szCs w:val="24"/>
        </w:rPr>
        <w:t xml:space="preserve"> which </w:t>
      </w:r>
      <w:r>
        <w:rPr>
          <w:sz w:val="24"/>
          <w:szCs w:val="24"/>
        </w:rPr>
        <w:t xml:space="preserve">questions </w:t>
      </w:r>
      <w:r w:rsidR="00080007">
        <w:rPr>
          <w:sz w:val="24"/>
          <w:szCs w:val="24"/>
        </w:rPr>
        <w:t>the scope and necessity of Duke’s remediation activities.</w:t>
      </w:r>
      <w:r>
        <w:rPr>
          <w:sz w:val="24"/>
          <w:szCs w:val="24"/>
        </w:rPr>
        <w:t xml:space="preserve">  </w:t>
      </w:r>
      <w:r w:rsidR="00E457A8">
        <w:rPr>
          <w:sz w:val="24"/>
          <w:szCs w:val="24"/>
        </w:rPr>
        <w:t xml:space="preserve">The legal procedure for </w:t>
      </w:r>
      <w:r w:rsidR="00E601C3">
        <w:rPr>
          <w:sz w:val="24"/>
          <w:szCs w:val="24"/>
        </w:rPr>
        <w:t>such a challenge to</w:t>
      </w:r>
      <w:r w:rsidR="00E457A8">
        <w:rPr>
          <w:sz w:val="24"/>
          <w:szCs w:val="24"/>
        </w:rPr>
        <w:t xml:space="preserve"> an objection was to file </w:t>
      </w:r>
      <w:r w:rsidR="00F86ABF">
        <w:rPr>
          <w:sz w:val="24"/>
          <w:szCs w:val="24"/>
        </w:rPr>
        <w:t>a motion to strike.  That motion was due on February 19, 2013</w:t>
      </w:r>
      <w:r w:rsidR="00E601C3">
        <w:rPr>
          <w:sz w:val="24"/>
          <w:szCs w:val="24"/>
        </w:rPr>
        <w:t>, by Entry</w:t>
      </w:r>
      <w:r w:rsidR="00F86ABF">
        <w:rPr>
          <w:sz w:val="24"/>
          <w:szCs w:val="24"/>
        </w:rPr>
        <w:t>.</w:t>
      </w:r>
      <w:r w:rsidR="00F86ABF" w:rsidRPr="00BB2E6D">
        <w:rPr>
          <w:rStyle w:val="FootnoteReference"/>
        </w:rPr>
        <w:footnoteReference w:id="3"/>
      </w:r>
      <w:r w:rsidR="00F86ABF">
        <w:rPr>
          <w:sz w:val="24"/>
          <w:szCs w:val="24"/>
        </w:rPr>
        <w:t xml:space="preserve">  Duke </w:t>
      </w:r>
      <w:r w:rsidR="005378F8">
        <w:rPr>
          <w:sz w:val="24"/>
          <w:szCs w:val="24"/>
        </w:rPr>
        <w:t>did</w:t>
      </w:r>
      <w:r w:rsidR="00E601C3">
        <w:rPr>
          <w:sz w:val="24"/>
          <w:szCs w:val="24"/>
        </w:rPr>
        <w:t xml:space="preserve"> not file the</w:t>
      </w:r>
      <w:r w:rsidR="005378F8">
        <w:rPr>
          <w:sz w:val="24"/>
          <w:szCs w:val="24"/>
        </w:rPr>
        <w:t xml:space="preserve"> motion to strike.  And Duke’s due date for such a filing was </w:t>
      </w:r>
      <w:r w:rsidR="00A446F6">
        <w:rPr>
          <w:sz w:val="24"/>
          <w:szCs w:val="24"/>
        </w:rPr>
        <w:t>56</w:t>
      </w:r>
      <w:r w:rsidR="005378F8">
        <w:rPr>
          <w:sz w:val="24"/>
          <w:szCs w:val="24"/>
        </w:rPr>
        <w:t xml:space="preserve"> days before it filed its new Motions</w:t>
      </w:r>
      <w:r w:rsidR="00E601C3">
        <w:rPr>
          <w:sz w:val="24"/>
          <w:szCs w:val="24"/>
        </w:rPr>
        <w:t xml:space="preserve"> Duke disregarded the Entry’s instructions and is out of time in any event.  Duke’s Motions should be denied.</w:t>
      </w:r>
    </w:p>
    <w:p w14:paraId="674AB8ED" w14:textId="77777777" w:rsidR="00080007" w:rsidRDefault="00080007" w:rsidP="009243AE">
      <w:pPr>
        <w:pStyle w:val="Heading1"/>
      </w:pPr>
      <w:bookmarkStart w:id="6" w:name="_Toc354492845"/>
      <w:bookmarkStart w:id="7" w:name="_Toc354493007"/>
      <w:r>
        <w:lastRenderedPageBreak/>
        <w:t>II.</w:t>
      </w:r>
      <w:r>
        <w:tab/>
        <w:t>PROCEDURAL HISTORY</w:t>
      </w:r>
      <w:bookmarkEnd w:id="6"/>
      <w:bookmarkEnd w:id="7"/>
    </w:p>
    <w:p w14:paraId="38A55329" w14:textId="77777777" w:rsidR="00080007" w:rsidRDefault="00080007" w:rsidP="00507E5E">
      <w:pPr>
        <w:pStyle w:val="Footer"/>
        <w:tabs>
          <w:tab w:val="clear" w:pos="8640"/>
          <w:tab w:val="left" w:pos="720"/>
          <w:tab w:val="left" w:pos="4320"/>
        </w:tabs>
        <w:spacing w:line="480" w:lineRule="auto"/>
        <w:rPr>
          <w:sz w:val="24"/>
          <w:szCs w:val="24"/>
        </w:rPr>
      </w:pPr>
      <w:r>
        <w:rPr>
          <w:sz w:val="24"/>
          <w:szCs w:val="24"/>
        </w:rPr>
        <w:tab/>
        <w:t>On August 10, 2009, Duke filed an Application with the PUCO to defer environmental investigation and remediation costs.</w:t>
      </w:r>
      <w:r w:rsidRPr="00BB2E6D">
        <w:rPr>
          <w:rStyle w:val="FootnoteReference"/>
        </w:rPr>
        <w:footnoteReference w:id="4"/>
      </w:r>
      <w:r>
        <w:rPr>
          <w:sz w:val="24"/>
          <w:szCs w:val="24"/>
        </w:rPr>
        <w:t xml:space="preserve">  The Commission granted Duke’s Application on November 12, 2009.  The Commission stated:</w:t>
      </w:r>
    </w:p>
    <w:p w14:paraId="3974176C" w14:textId="77777777" w:rsidR="00080007" w:rsidRPr="008D73F1" w:rsidRDefault="00080007" w:rsidP="000C5981">
      <w:pPr>
        <w:autoSpaceDE w:val="0"/>
        <w:autoSpaceDN w:val="0"/>
        <w:adjustRightInd w:val="0"/>
        <w:ind w:left="1440" w:right="720"/>
        <w:rPr>
          <w:sz w:val="24"/>
          <w:szCs w:val="24"/>
        </w:rPr>
      </w:pPr>
      <w:r w:rsidRPr="008D73F1">
        <w:rPr>
          <w:sz w:val="24"/>
          <w:szCs w:val="24"/>
        </w:rPr>
        <w:t>By considering this application, the Commission is not determining what, if any, of these costs may be appropriate for recovery in Duke's distribution rates.</w:t>
      </w:r>
      <w:r w:rsidRPr="00BB2E6D">
        <w:rPr>
          <w:rStyle w:val="FootnoteReference"/>
        </w:rPr>
        <w:footnoteReference w:id="5"/>
      </w:r>
    </w:p>
    <w:p w14:paraId="35B367AC" w14:textId="026472EE" w:rsidR="00080007" w:rsidRPr="006E3AA7" w:rsidRDefault="00CA2E06" w:rsidP="00507E5E">
      <w:pPr>
        <w:pStyle w:val="Footer"/>
        <w:tabs>
          <w:tab w:val="clear" w:pos="8640"/>
          <w:tab w:val="left" w:pos="4320"/>
        </w:tabs>
        <w:spacing w:before="240" w:line="480" w:lineRule="auto"/>
        <w:rPr>
          <w:sz w:val="24"/>
          <w:szCs w:val="24"/>
        </w:rPr>
      </w:pPr>
      <w:r>
        <w:rPr>
          <w:sz w:val="24"/>
          <w:szCs w:val="24"/>
        </w:rPr>
        <w:t xml:space="preserve">The PUCO’s ruling meant that Duke was not being authorized to collect environmental remediation costs from customers.  </w:t>
      </w:r>
      <w:r w:rsidR="00080007" w:rsidRPr="006E3AA7">
        <w:rPr>
          <w:sz w:val="24"/>
          <w:szCs w:val="24"/>
        </w:rPr>
        <w:t>In fact</w:t>
      </w:r>
      <w:r w:rsidR="00080007">
        <w:rPr>
          <w:sz w:val="24"/>
          <w:szCs w:val="24"/>
        </w:rPr>
        <w:t>,</w:t>
      </w:r>
      <w:r w:rsidR="00080007" w:rsidRPr="006E3AA7">
        <w:rPr>
          <w:sz w:val="24"/>
          <w:szCs w:val="24"/>
        </w:rPr>
        <w:t xml:space="preserve"> Duke</w:t>
      </w:r>
      <w:r w:rsidR="002C4320">
        <w:rPr>
          <w:sz w:val="24"/>
          <w:szCs w:val="24"/>
        </w:rPr>
        <w:t>,</w:t>
      </w:r>
      <w:r w:rsidR="00080007" w:rsidRPr="006E3AA7">
        <w:rPr>
          <w:sz w:val="24"/>
          <w:szCs w:val="24"/>
        </w:rPr>
        <w:t xml:space="preserve"> in its Memorandum Contra to OCC’s Application for Rehearing</w:t>
      </w:r>
      <w:r w:rsidR="002C4320">
        <w:rPr>
          <w:sz w:val="24"/>
          <w:szCs w:val="24"/>
        </w:rPr>
        <w:t>,</w:t>
      </w:r>
      <w:r w:rsidR="00080007" w:rsidRPr="006E3AA7">
        <w:rPr>
          <w:sz w:val="24"/>
          <w:szCs w:val="24"/>
        </w:rPr>
        <w:t xml:space="preserve"> agreed with the PUCO that the issue of recovery of investigation and remediation costs should be addressed in Duke’s next distribution rate case.  Duke stated:</w:t>
      </w:r>
    </w:p>
    <w:p w14:paraId="3E9CF85E" w14:textId="77777777" w:rsidR="00080007" w:rsidRPr="008D73F1" w:rsidRDefault="00080007" w:rsidP="00CB044D">
      <w:pPr>
        <w:autoSpaceDE w:val="0"/>
        <w:autoSpaceDN w:val="0"/>
        <w:adjustRightInd w:val="0"/>
        <w:spacing w:after="240"/>
        <w:ind w:left="1440" w:right="720"/>
        <w:rPr>
          <w:rFonts w:ascii="Segoe UI" w:hAnsi="Segoe UI" w:cs="Segoe UI"/>
          <w:sz w:val="24"/>
          <w:szCs w:val="24"/>
        </w:rPr>
      </w:pPr>
      <w:r w:rsidRPr="008D73F1">
        <w:rPr>
          <w:sz w:val="24"/>
          <w:szCs w:val="24"/>
        </w:rPr>
        <w:t>As discussed with regard to the OCC's first ground for rehearing, this is not the time for these arguments. Discussion of recovery is premature. In addition, it should be noted that the Commission’s reference to distribution rates was only a statement that it was not making a determination concerning recovery in distribution rates. The Commission did not address the manner in which recovery should be had, if at all. Whether or not the deferred costs are appropriate for recovery through any vehicle or from any particular customers was not determined by the Commission.</w:t>
      </w:r>
      <w:r w:rsidRPr="00BB2E6D">
        <w:rPr>
          <w:rStyle w:val="FootnoteReference"/>
        </w:rPr>
        <w:footnoteReference w:id="6"/>
      </w:r>
    </w:p>
    <w:p w14:paraId="26F1018C" w14:textId="77777777" w:rsidR="00080007" w:rsidRDefault="00080007" w:rsidP="00507E5E">
      <w:pPr>
        <w:pStyle w:val="Footer"/>
        <w:tabs>
          <w:tab w:val="clear" w:pos="8640"/>
          <w:tab w:val="left" w:pos="720"/>
          <w:tab w:val="left" w:pos="4320"/>
        </w:tabs>
        <w:spacing w:line="480" w:lineRule="auto"/>
        <w:rPr>
          <w:sz w:val="24"/>
          <w:szCs w:val="24"/>
        </w:rPr>
      </w:pPr>
      <w:r>
        <w:rPr>
          <w:sz w:val="24"/>
          <w:szCs w:val="24"/>
        </w:rPr>
        <w:tab/>
      </w:r>
      <w:r w:rsidRPr="006E3AA7">
        <w:rPr>
          <w:sz w:val="24"/>
          <w:szCs w:val="24"/>
        </w:rPr>
        <w:t>On June 7, 2012, Duke filed its Prefiling Notice with regards to its request to increase its natural gas distribution rates.  As part of the Company’s Rate Case Application</w:t>
      </w:r>
      <w:r>
        <w:rPr>
          <w:sz w:val="24"/>
          <w:szCs w:val="24"/>
        </w:rPr>
        <w:t>,</w:t>
      </w:r>
      <w:r w:rsidRPr="006E3AA7">
        <w:rPr>
          <w:sz w:val="24"/>
          <w:szCs w:val="24"/>
        </w:rPr>
        <w:t xml:space="preserve"> subsequently filed on July 9, 2012, Duke </w:t>
      </w:r>
      <w:r>
        <w:rPr>
          <w:sz w:val="24"/>
          <w:szCs w:val="24"/>
        </w:rPr>
        <w:t>sought</w:t>
      </w:r>
      <w:r w:rsidRPr="006E3AA7">
        <w:rPr>
          <w:sz w:val="24"/>
          <w:szCs w:val="24"/>
        </w:rPr>
        <w:t xml:space="preserve"> the authority to collect</w:t>
      </w:r>
      <w:r>
        <w:rPr>
          <w:sz w:val="24"/>
          <w:szCs w:val="24"/>
        </w:rPr>
        <w:t xml:space="preserve"> from its customers $65.3 million in investigation, remediation and carrying costs associated with the investigation and remediation of environmental concerns at two manufactured gas plant (“MGP”) sites.</w:t>
      </w:r>
      <w:r w:rsidRPr="00BB2E6D">
        <w:rPr>
          <w:rStyle w:val="FootnoteReference"/>
        </w:rPr>
        <w:footnoteReference w:id="7"/>
      </w:r>
    </w:p>
    <w:p w14:paraId="06D511B5" w14:textId="77777777" w:rsidR="00080007" w:rsidRPr="006E3AA7" w:rsidRDefault="00080007" w:rsidP="00507E5E">
      <w:pPr>
        <w:pStyle w:val="Footer"/>
        <w:tabs>
          <w:tab w:val="clear" w:pos="8640"/>
          <w:tab w:val="left" w:pos="720"/>
          <w:tab w:val="left" w:pos="4320"/>
        </w:tabs>
        <w:spacing w:line="480" w:lineRule="auto"/>
        <w:rPr>
          <w:sz w:val="24"/>
          <w:szCs w:val="24"/>
        </w:rPr>
      </w:pPr>
      <w:r>
        <w:rPr>
          <w:sz w:val="24"/>
          <w:szCs w:val="24"/>
        </w:rPr>
        <w:tab/>
        <w:t>On January 4, 2013, the Staff Report of Investigation was filed.  On February 4, 2013, OCC, as well as other interested parties, filed Objections to the Staff Report as required by R.C. 4909.19.  Included within the 31 Objections filed by OCC were five Objections pertaining to Duke’s request to collect MGP-related costs from Duke’s customers.</w:t>
      </w:r>
      <w:r>
        <w:rPr>
          <w:rStyle w:val="FootnoteReference"/>
          <w:sz w:val="24"/>
          <w:szCs w:val="24"/>
        </w:rPr>
        <w:footnoteReference w:id="8"/>
      </w:r>
    </w:p>
    <w:p w14:paraId="371508EC" w14:textId="77777777" w:rsidR="00080007" w:rsidRDefault="00080007" w:rsidP="00507E5E">
      <w:pPr>
        <w:pStyle w:val="Footer"/>
        <w:tabs>
          <w:tab w:val="clear" w:pos="8640"/>
          <w:tab w:val="left" w:pos="720"/>
          <w:tab w:val="left" w:pos="4320"/>
        </w:tabs>
        <w:spacing w:line="480" w:lineRule="auto"/>
        <w:rPr>
          <w:sz w:val="24"/>
          <w:szCs w:val="24"/>
        </w:rPr>
      </w:pPr>
      <w:r>
        <w:rPr>
          <w:sz w:val="24"/>
          <w:szCs w:val="24"/>
        </w:rPr>
        <w:tab/>
        <w:t>On January 18, 2013, the Attorney Examiner issued an Entry that established a procedural schedule for these proceedings.  As part of that procedural schedule, February 19, 2013 was established as the deadline for the filing of Motions to Strike Objections to the Staff Report.</w:t>
      </w:r>
      <w:r w:rsidRPr="00BB2E6D">
        <w:rPr>
          <w:rStyle w:val="FootnoteReference"/>
        </w:rPr>
        <w:footnoteReference w:id="9"/>
      </w:r>
      <w:r>
        <w:rPr>
          <w:sz w:val="24"/>
          <w:szCs w:val="24"/>
        </w:rPr>
        <w:t xml:space="preserve">  Duke did not file a motion to strike any of OCC Objections on February 19, 2013.  The January 18, 2013 Entry also separated the filing dates for Objections to the Staff Report (February 4, 2013) from the filing of expert testimony that supports those Objections to the Staff Report (February 25, 2013).  As a result of this three week delay in the filing of expert testimony, parties had the opportunity to review the Objections to the Staff Report filed by other parties and to address those issues in their own testimony if the</w:t>
      </w:r>
      <w:r w:rsidR="000911E9">
        <w:rPr>
          <w:sz w:val="24"/>
          <w:szCs w:val="24"/>
        </w:rPr>
        <w:t>y</w:t>
      </w:r>
      <w:r>
        <w:rPr>
          <w:sz w:val="24"/>
          <w:szCs w:val="24"/>
        </w:rPr>
        <w:t xml:space="preserve"> elected to do so. </w:t>
      </w:r>
    </w:p>
    <w:p w14:paraId="3D041A1B" w14:textId="77777777" w:rsidR="00080007" w:rsidRDefault="00080007" w:rsidP="00507E5E">
      <w:pPr>
        <w:pStyle w:val="Footer"/>
        <w:tabs>
          <w:tab w:val="clear" w:pos="8640"/>
          <w:tab w:val="left" w:pos="720"/>
          <w:tab w:val="left" w:pos="4320"/>
        </w:tabs>
        <w:spacing w:line="480" w:lineRule="auto"/>
        <w:rPr>
          <w:sz w:val="24"/>
          <w:szCs w:val="24"/>
        </w:rPr>
      </w:pPr>
      <w:r>
        <w:rPr>
          <w:sz w:val="24"/>
          <w:szCs w:val="24"/>
        </w:rPr>
        <w:tab/>
        <w:t xml:space="preserve">On February 25, 2013, OCC filed the testimony of a number of expert witnesses in support of its Objections.  Included was testimony of James </w:t>
      </w:r>
      <w:r w:rsidR="000911E9">
        <w:rPr>
          <w:sz w:val="24"/>
          <w:szCs w:val="24"/>
        </w:rPr>
        <w:t xml:space="preserve">R. </w:t>
      </w:r>
      <w:r>
        <w:rPr>
          <w:sz w:val="24"/>
          <w:szCs w:val="24"/>
        </w:rPr>
        <w:t>Campbell who filed testimony in support of OCC Objection No. 26.</w:t>
      </w:r>
      <w:r w:rsidRPr="00BB2E6D">
        <w:rPr>
          <w:rStyle w:val="FootnoteReference"/>
        </w:rPr>
        <w:footnoteReference w:id="10"/>
      </w:r>
    </w:p>
    <w:p w14:paraId="44F9AC46" w14:textId="1A5694C3" w:rsidR="00080007" w:rsidRDefault="00080007" w:rsidP="00507E5E">
      <w:pPr>
        <w:pStyle w:val="Footer"/>
        <w:tabs>
          <w:tab w:val="clear" w:pos="8640"/>
          <w:tab w:val="left" w:pos="720"/>
          <w:tab w:val="left" w:pos="4320"/>
        </w:tabs>
        <w:spacing w:line="480" w:lineRule="auto"/>
        <w:rPr>
          <w:sz w:val="24"/>
          <w:szCs w:val="24"/>
        </w:rPr>
      </w:pPr>
      <w:r>
        <w:rPr>
          <w:sz w:val="24"/>
          <w:szCs w:val="24"/>
        </w:rPr>
        <w:tab/>
        <w:t>On April 2, 2013, a Stipulation and Recommendation (“Stipulation”) was entered into between Duke, the PUCO Staff, OCC and other interested parties.  As part of the Stipulation, the signatory parties agreed that the issue of MGP-related cost recovery and collection would not be settled as part of the Stipulation, but instead would be litigated.</w:t>
      </w:r>
      <w:r w:rsidRPr="00BB2E6D">
        <w:rPr>
          <w:rStyle w:val="FootnoteReference"/>
        </w:rPr>
        <w:footnoteReference w:id="11"/>
      </w:r>
      <w:r>
        <w:rPr>
          <w:sz w:val="24"/>
          <w:szCs w:val="24"/>
        </w:rPr>
        <w:t xml:space="preserve">  The parties agreed to litigate the positions.</w:t>
      </w:r>
      <w:r w:rsidRPr="00BB2E6D">
        <w:rPr>
          <w:rStyle w:val="FootnoteReference"/>
        </w:rPr>
        <w:footnoteReference w:id="12"/>
      </w:r>
      <w:r>
        <w:rPr>
          <w:sz w:val="24"/>
          <w:szCs w:val="24"/>
        </w:rPr>
        <w:t xml:space="preserve">  OCC’s position relative to the MGP issues to be litigated was as stated in its Objections to the Staff Report.</w:t>
      </w:r>
      <w:r w:rsidRPr="00BB2E6D">
        <w:rPr>
          <w:rStyle w:val="FootnoteReference"/>
        </w:rPr>
        <w:footnoteReference w:id="13"/>
      </w:r>
    </w:p>
    <w:p w14:paraId="463E1612" w14:textId="77777777" w:rsidR="00CA2E06" w:rsidRDefault="00080007" w:rsidP="0080323C">
      <w:pPr>
        <w:spacing w:line="480" w:lineRule="auto"/>
        <w:ind w:firstLine="720"/>
        <w:rPr>
          <w:sz w:val="24"/>
          <w:szCs w:val="24"/>
        </w:rPr>
      </w:pPr>
      <w:r>
        <w:rPr>
          <w:sz w:val="24"/>
          <w:szCs w:val="24"/>
        </w:rPr>
        <w:t xml:space="preserve">On April 16, 2013, over 10 weeks past the established deadline for filing a motion to strike objections, Duke filed a Motion to Clarify the Scope of these Proceedings.  This was the wrong pleading to file, and was filed at the wrong time.  Simultaneously, Duke filed a Motion to Strike Jim Campbell’s Testimony.  The centerpiece of Duke’s argument in support of both of its Motions is an OCC Objection (Objection No. 26) pertaining to the scope and necessity of Duke’s </w:t>
      </w:r>
      <w:r w:rsidR="002C4320">
        <w:rPr>
          <w:sz w:val="24"/>
          <w:szCs w:val="24"/>
        </w:rPr>
        <w:t xml:space="preserve">MGP </w:t>
      </w:r>
      <w:r>
        <w:rPr>
          <w:sz w:val="24"/>
          <w:szCs w:val="24"/>
        </w:rPr>
        <w:t xml:space="preserve">remediation activities.  </w:t>
      </w:r>
    </w:p>
    <w:p w14:paraId="747767CF" w14:textId="3F064498" w:rsidR="00CA2E06" w:rsidRDefault="00CA2E06" w:rsidP="00CA2E06">
      <w:pPr>
        <w:pStyle w:val="Footer"/>
        <w:tabs>
          <w:tab w:val="clear" w:pos="8640"/>
          <w:tab w:val="left" w:pos="720"/>
          <w:tab w:val="left" w:pos="4320"/>
        </w:tabs>
        <w:spacing w:line="480" w:lineRule="auto"/>
        <w:rPr>
          <w:sz w:val="24"/>
          <w:szCs w:val="24"/>
        </w:rPr>
      </w:pPr>
      <w:r>
        <w:rPr>
          <w:sz w:val="24"/>
          <w:szCs w:val="24"/>
        </w:rPr>
        <w:tab/>
        <w:t>Under Ohio law (R.C. 4909.19), the parties’ objections frame the issues in a rate case at the PUCO.  OCC’s objections frame the issues, including the issues that Duke now wants out of the case.  Duke missed the PUCO’s deadline for seeking to strike OCC’s objections that now frame the issues (and that allow OCC’s testimony).  Therefore, Duke should not be heard to argue anything now about the scope of the case on the issues framed by OCC’s objections.</w:t>
      </w:r>
      <w:r w:rsidR="009243AE" w:rsidRPr="00BB2E6D">
        <w:rPr>
          <w:rStyle w:val="FootnoteReference"/>
        </w:rPr>
        <w:footnoteReference w:id="14"/>
      </w:r>
      <w:r w:rsidRPr="00BB2E6D">
        <w:t xml:space="preserve"> </w:t>
      </w:r>
    </w:p>
    <w:p w14:paraId="3968D0C6" w14:textId="73E0DBF3" w:rsidR="00080007" w:rsidRDefault="00080007" w:rsidP="00507E5E">
      <w:pPr>
        <w:pStyle w:val="Footer"/>
        <w:tabs>
          <w:tab w:val="clear" w:pos="8640"/>
          <w:tab w:val="left" w:pos="720"/>
          <w:tab w:val="left" w:pos="4320"/>
        </w:tabs>
        <w:spacing w:line="480" w:lineRule="auto"/>
        <w:rPr>
          <w:sz w:val="24"/>
          <w:szCs w:val="24"/>
        </w:rPr>
      </w:pPr>
      <w:r>
        <w:rPr>
          <w:sz w:val="24"/>
          <w:szCs w:val="24"/>
        </w:rPr>
        <w:tab/>
        <w:t>OCC herein responds to Duke’s Motions filed April 16, 2013</w:t>
      </w:r>
      <w:r w:rsidR="00A87531">
        <w:rPr>
          <w:sz w:val="24"/>
          <w:szCs w:val="24"/>
        </w:rPr>
        <w:t>.</w:t>
      </w:r>
      <w:r>
        <w:rPr>
          <w:sz w:val="24"/>
          <w:szCs w:val="24"/>
        </w:rPr>
        <w:t xml:space="preserve"> </w:t>
      </w:r>
      <w:r w:rsidR="00A87531">
        <w:rPr>
          <w:sz w:val="24"/>
          <w:szCs w:val="24"/>
        </w:rPr>
        <w:t xml:space="preserve"> T</w:t>
      </w:r>
      <w:r>
        <w:rPr>
          <w:sz w:val="24"/>
          <w:szCs w:val="24"/>
        </w:rPr>
        <w:t xml:space="preserve">he PUCO </w:t>
      </w:r>
      <w:r w:rsidR="00A87531">
        <w:rPr>
          <w:sz w:val="24"/>
          <w:szCs w:val="24"/>
        </w:rPr>
        <w:t xml:space="preserve">should </w:t>
      </w:r>
      <w:r w:rsidR="00393D32">
        <w:rPr>
          <w:sz w:val="24"/>
          <w:szCs w:val="24"/>
        </w:rPr>
        <w:t xml:space="preserve">deny </w:t>
      </w:r>
      <w:r w:rsidR="00A87531">
        <w:rPr>
          <w:sz w:val="24"/>
          <w:szCs w:val="24"/>
        </w:rPr>
        <w:t xml:space="preserve">Duke’s </w:t>
      </w:r>
      <w:r>
        <w:rPr>
          <w:sz w:val="24"/>
          <w:szCs w:val="24"/>
        </w:rPr>
        <w:t>Motions.</w:t>
      </w:r>
    </w:p>
    <w:p w14:paraId="76C7989E" w14:textId="77777777" w:rsidR="00080007" w:rsidRDefault="00080007">
      <w:pPr>
        <w:spacing w:after="240"/>
        <w:rPr>
          <w:b/>
          <w:bCs/>
          <w:sz w:val="24"/>
          <w:szCs w:val="24"/>
        </w:rPr>
      </w:pPr>
    </w:p>
    <w:p w14:paraId="6236CF92" w14:textId="77777777" w:rsidR="00080007" w:rsidRDefault="00080007" w:rsidP="009243AE">
      <w:pPr>
        <w:pStyle w:val="Heading1"/>
      </w:pPr>
      <w:bookmarkStart w:id="8" w:name="_Toc354492846"/>
      <w:bookmarkStart w:id="9" w:name="_Toc354493008"/>
      <w:r>
        <w:t>III.</w:t>
      </w:r>
      <w:r>
        <w:tab/>
        <w:t>ARGUMENT</w:t>
      </w:r>
      <w:bookmarkEnd w:id="8"/>
      <w:bookmarkEnd w:id="9"/>
    </w:p>
    <w:p w14:paraId="6BC5FCB6" w14:textId="4EAF632D" w:rsidR="00080007" w:rsidRPr="009243AE" w:rsidRDefault="009243AE" w:rsidP="00EA0E1D">
      <w:pPr>
        <w:pStyle w:val="Heading2"/>
        <w:tabs>
          <w:tab w:val="clear" w:pos="4320"/>
        </w:tabs>
      </w:pPr>
      <w:bookmarkStart w:id="10" w:name="_Toc354492847"/>
      <w:bookmarkStart w:id="11" w:name="_Toc354493009"/>
      <w:r w:rsidRPr="009243AE">
        <w:t>A.</w:t>
      </w:r>
      <w:r w:rsidRPr="009243AE">
        <w:tab/>
      </w:r>
      <w:r w:rsidR="00080007" w:rsidRPr="009243AE">
        <w:t>Duke’s Motions Should Be Denied</w:t>
      </w:r>
      <w:r w:rsidR="00A70856" w:rsidRPr="009243AE">
        <w:t xml:space="preserve"> And The PUCO Should Consider OCC’s Evidence To Protect Customers From Paying The Highly Excessive Charges That Duke Seeks</w:t>
      </w:r>
      <w:r w:rsidR="00080007" w:rsidRPr="009243AE">
        <w:t>.</w:t>
      </w:r>
      <w:bookmarkEnd w:id="10"/>
      <w:bookmarkEnd w:id="11"/>
    </w:p>
    <w:p w14:paraId="257CC8CE" w14:textId="14C0D2EB" w:rsidR="00080007" w:rsidRDefault="00EA0E1D" w:rsidP="00EA0E1D">
      <w:pPr>
        <w:pStyle w:val="Heading3"/>
      </w:pPr>
      <w:bookmarkStart w:id="12" w:name="_Toc354492848"/>
      <w:bookmarkStart w:id="13" w:name="_Toc354493010"/>
      <w:r>
        <w:t>1.</w:t>
      </w:r>
      <w:r>
        <w:tab/>
      </w:r>
      <w:r w:rsidR="00080007" w:rsidRPr="0080323C">
        <w:t>Duke’s Motion to Clarify was the wrong pleading to file and is in reality a</w:t>
      </w:r>
      <w:r w:rsidR="00080007">
        <w:t>n out-of-time</w:t>
      </w:r>
      <w:r w:rsidR="00080007" w:rsidRPr="0080323C">
        <w:t xml:space="preserve"> Motion to Strike Objections.</w:t>
      </w:r>
      <w:bookmarkEnd w:id="12"/>
      <w:bookmarkEnd w:id="13"/>
    </w:p>
    <w:p w14:paraId="3F3055E3" w14:textId="3254C917" w:rsidR="00080007" w:rsidRDefault="00080007" w:rsidP="00937477">
      <w:pPr>
        <w:pStyle w:val="Footer"/>
        <w:tabs>
          <w:tab w:val="clear" w:pos="8640"/>
          <w:tab w:val="left" w:pos="4320"/>
        </w:tabs>
        <w:spacing w:line="480" w:lineRule="auto"/>
        <w:ind w:firstLine="720"/>
        <w:rPr>
          <w:sz w:val="24"/>
          <w:szCs w:val="24"/>
        </w:rPr>
      </w:pPr>
      <w:r>
        <w:rPr>
          <w:sz w:val="24"/>
          <w:szCs w:val="24"/>
        </w:rPr>
        <w:t>On January 18, 2013, the Attorney Examiner established the deadline for the filing of motions to strike objections to be February 19, 2013.</w:t>
      </w:r>
      <w:r w:rsidRPr="00BB2E6D">
        <w:rPr>
          <w:rStyle w:val="FootnoteReference"/>
        </w:rPr>
        <w:footnoteReference w:id="15"/>
      </w:r>
      <w:r w:rsidRPr="00BB2E6D">
        <w:t xml:space="preserve"> </w:t>
      </w:r>
      <w:r>
        <w:rPr>
          <w:sz w:val="24"/>
          <w:szCs w:val="24"/>
        </w:rPr>
        <w:t xml:space="preserve"> </w:t>
      </w:r>
      <w:r w:rsidR="00393D32">
        <w:rPr>
          <w:sz w:val="24"/>
          <w:szCs w:val="24"/>
        </w:rPr>
        <w:t>On that date</w:t>
      </w:r>
      <w:r>
        <w:rPr>
          <w:sz w:val="24"/>
          <w:szCs w:val="24"/>
        </w:rPr>
        <w:t>, Duke did not file a motion to strike any of OCC’s objections.  However, on April 16, 2013, Duke filed a Motion to Clarify the Scope of these Proceedings.  Duke, through its Motion to Clarify, is attempting to remove from the Commission’s consideration in these proceedings the scope and necessity of Duke’s clean-up (remediation) activities.  Duke’s Motion to Clarify is in reality a Motion to Strike OCC’s Objection No. 26.  Indeed, OCC’s Objection No. 26 is featured in Duke’s pleading.  And the issues framed by Objection No. 26 are what Duke seeks to tear from the case.  The Commission should recognize Duke’s Motion to Clarify for what it really is -- an “out of time” Motion to Strike Objections -- and the Motion should therefore be denied.</w:t>
      </w:r>
    </w:p>
    <w:p w14:paraId="3C5BB125" w14:textId="6C5BFE12" w:rsidR="00080007" w:rsidRDefault="00080007" w:rsidP="00937477">
      <w:pPr>
        <w:pStyle w:val="Footer"/>
        <w:tabs>
          <w:tab w:val="clear" w:pos="8640"/>
          <w:tab w:val="left" w:pos="4320"/>
        </w:tabs>
        <w:spacing w:line="480" w:lineRule="auto"/>
        <w:ind w:firstLine="720"/>
        <w:rPr>
          <w:sz w:val="24"/>
          <w:szCs w:val="24"/>
        </w:rPr>
      </w:pPr>
      <w:r>
        <w:rPr>
          <w:sz w:val="24"/>
          <w:szCs w:val="24"/>
        </w:rPr>
        <w:t>Duke has filed the wrong pleading in these cases, and has filed them out of time.   Duke has</w:t>
      </w:r>
      <w:r w:rsidR="00343DF0">
        <w:rPr>
          <w:sz w:val="24"/>
          <w:szCs w:val="24"/>
        </w:rPr>
        <w:t xml:space="preserve"> filed the wrong pleading</w:t>
      </w:r>
      <w:r>
        <w:rPr>
          <w:sz w:val="24"/>
          <w:szCs w:val="24"/>
        </w:rPr>
        <w:t xml:space="preserve"> before in a rate case.  In Duke’s 2005 Electric Rate Case (Case No. 05-59-EL-AIR, et al.), it filed a Motion to Change the Hearing Schedule.</w:t>
      </w:r>
      <w:r w:rsidRPr="00BB2E6D">
        <w:rPr>
          <w:rStyle w:val="FootnoteReference"/>
        </w:rPr>
        <w:footnoteReference w:id="16"/>
      </w:r>
      <w:r>
        <w:rPr>
          <w:sz w:val="24"/>
          <w:szCs w:val="24"/>
        </w:rPr>
        <w:t xml:space="preserve">  Duke’s Motion addressed an October 14, 2005 Attorney Examiner Entry that established a procedural schedule for conducting the local public hearing and the evidentiary hearing.  </w:t>
      </w:r>
    </w:p>
    <w:p w14:paraId="24A79D74" w14:textId="202EE94F" w:rsidR="00080007" w:rsidRDefault="00080007" w:rsidP="0080323C">
      <w:pPr>
        <w:pStyle w:val="Footer"/>
        <w:tabs>
          <w:tab w:val="clear" w:pos="8640"/>
          <w:tab w:val="left" w:pos="4320"/>
        </w:tabs>
        <w:spacing w:line="480" w:lineRule="auto"/>
        <w:ind w:firstLine="720"/>
        <w:rPr>
          <w:sz w:val="24"/>
          <w:szCs w:val="24"/>
        </w:rPr>
      </w:pPr>
      <w:r>
        <w:rPr>
          <w:sz w:val="24"/>
          <w:szCs w:val="24"/>
        </w:rPr>
        <w:t xml:space="preserve">In that case, OCC and other parties then pointed out that Duke’s Motion to Change the Procedural Schedule was the wrong pleading.  Instead, Duke should have filed an interlocutory appeal from the Attorney Examiner Entry that established the procedural schedule.  Duke’s Motion -- filed ten days after the procedural </w:t>
      </w:r>
      <w:r w:rsidR="009A0DDB">
        <w:rPr>
          <w:sz w:val="24"/>
          <w:szCs w:val="24"/>
        </w:rPr>
        <w:t>E</w:t>
      </w:r>
      <w:r>
        <w:rPr>
          <w:sz w:val="24"/>
          <w:szCs w:val="24"/>
        </w:rPr>
        <w:t>ntry was issued by the Attorney Examiner -- was procedurally improper.  The PUCO Attorney Examiner agreed, and issued a subsequent Entry that ruled:</w:t>
      </w:r>
    </w:p>
    <w:p w14:paraId="4D5029C8" w14:textId="77777777" w:rsidR="00080007" w:rsidRPr="0080323C" w:rsidRDefault="00080007" w:rsidP="00CB044D">
      <w:pPr>
        <w:pStyle w:val="Footer"/>
        <w:tabs>
          <w:tab w:val="clear" w:pos="8640"/>
          <w:tab w:val="left" w:pos="4320"/>
        </w:tabs>
        <w:spacing w:after="240"/>
        <w:ind w:left="1440" w:right="720"/>
        <w:rPr>
          <w:sz w:val="24"/>
          <w:szCs w:val="24"/>
        </w:rPr>
      </w:pPr>
      <w:r>
        <w:rPr>
          <w:sz w:val="24"/>
          <w:szCs w:val="24"/>
        </w:rPr>
        <w:t xml:space="preserve">The examiner agrees that, procedurally, [Cincinnati Gas &amp; Electric Company] CG&amp;E’s motion should have been filed as an interlocutory appeal.  The motion asks for reconsideration of the substance of an entry that was issued ten days before the motion was filed.  CG&amp;E cannot avoid the strictures of Rule 4901-1-15, Ohio Administrative Code (O.A.C.), by </w:t>
      </w:r>
      <w:r w:rsidRPr="0080323C">
        <w:rPr>
          <w:sz w:val="24"/>
          <w:szCs w:val="24"/>
        </w:rPr>
        <w:t>calling its filing a motion rather than an interlocutory appeal.</w:t>
      </w:r>
      <w:r w:rsidRPr="00BB2E6D">
        <w:rPr>
          <w:rStyle w:val="FootnoteReference"/>
        </w:rPr>
        <w:footnoteReference w:id="17"/>
      </w:r>
    </w:p>
    <w:p w14:paraId="175FB1CE" w14:textId="13F8099E" w:rsidR="00080007" w:rsidRPr="0080323C" w:rsidRDefault="00080007" w:rsidP="0080323C">
      <w:pPr>
        <w:widowControl w:val="0"/>
        <w:spacing w:line="480" w:lineRule="auto"/>
        <w:rPr>
          <w:sz w:val="24"/>
          <w:szCs w:val="24"/>
        </w:rPr>
      </w:pPr>
      <w:r w:rsidRPr="0080323C">
        <w:rPr>
          <w:sz w:val="24"/>
          <w:szCs w:val="24"/>
        </w:rPr>
        <w:t xml:space="preserve">Consistent with this precedent, </w:t>
      </w:r>
      <w:r>
        <w:rPr>
          <w:sz w:val="24"/>
          <w:szCs w:val="24"/>
        </w:rPr>
        <w:t xml:space="preserve">the PUCO should find that </w:t>
      </w:r>
      <w:r w:rsidRPr="0080323C">
        <w:rPr>
          <w:sz w:val="24"/>
          <w:szCs w:val="24"/>
        </w:rPr>
        <w:t>Duke’s Motion to Clarify is procedurally improper, and the correct pleading for Duke to have filed would have been a Motion to Strike Objections.  The deadline for such a filing was no later than February 19, 2013.</w:t>
      </w:r>
      <w:r w:rsidRPr="00BB2E6D">
        <w:rPr>
          <w:rStyle w:val="FootnoteReference"/>
        </w:rPr>
        <w:footnoteReference w:id="18"/>
      </w:r>
      <w:r w:rsidRPr="0080323C">
        <w:rPr>
          <w:sz w:val="24"/>
          <w:szCs w:val="24"/>
        </w:rPr>
        <w:t xml:space="preserve">  Therefore, the Commission should </w:t>
      </w:r>
      <w:r>
        <w:rPr>
          <w:sz w:val="24"/>
          <w:szCs w:val="24"/>
        </w:rPr>
        <w:t>deny</w:t>
      </w:r>
      <w:r w:rsidRPr="0080323C">
        <w:rPr>
          <w:sz w:val="24"/>
          <w:szCs w:val="24"/>
        </w:rPr>
        <w:t xml:space="preserve"> Duke</w:t>
      </w:r>
      <w:r>
        <w:rPr>
          <w:sz w:val="24"/>
          <w:szCs w:val="24"/>
        </w:rPr>
        <w:t>’s</w:t>
      </w:r>
      <w:r w:rsidRPr="0080323C">
        <w:rPr>
          <w:sz w:val="24"/>
          <w:szCs w:val="24"/>
        </w:rPr>
        <w:t xml:space="preserve"> Motion to Clarify the Scope of these Proceedings.</w:t>
      </w:r>
      <w:r w:rsidR="006B4D4C">
        <w:rPr>
          <w:sz w:val="24"/>
          <w:szCs w:val="24"/>
        </w:rPr>
        <w:t xml:space="preserve">  Duke’s Motion to Strike, which is dependent on its Motion to Clarify, should also be denied.</w:t>
      </w:r>
    </w:p>
    <w:p w14:paraId="4D34DEA3" w14:textId="7F8FF0DA" w:rsidR="00080007" w:rsidRDefault="00EA0E1D" w:rsidP="00EA0E1D">
      <w:pPr>
        <w:pStyle w:val="Heading3"/>
      </w:pPr>
      <w:bookmarkStart w:id="14" w:name="_Toc354492849"/>
      <w:bookmarkStart w:id="15" w:name="_Toc354493011"/>
      <w:r>
        <w:t>2.</w:t>
      </w:r>
      <w:r>
        <w:tab/>
      </w:r>
      <w:r w:rsidR="00080007" w:rsidRPr="0080323C">
        <w:t>Duke’s motions would injure OCC and Duke</w:t>
      </w:r>
      <w:r w:rsidR="009A2ED9">
        <w:t>’s</w:t>
      </w:r>
      <w:r w:rsidR="00080007" w:rsidRPr="0080323C">
        <w:t xml:space="preserve"> consumers that OCC represents.</w:t>
      </w:r>
      <w:bookmarkEnd w:id="14"/>
      <w:bookmarkEnd w:id="15"/>
    </w:p>
    <w:p w14:paraId="004DF2E7" w14:textId="5B68BCA4" w:rsidR="00080007" w:rsidRPr="0080323C" w:rsidRDefault="00080007" w:rsidP="005F2B78">
      <w:pPr>
        <w:spacing w:line="480" w:lineRule="auto"/>
        <w:ind w:firstLine="720"/>
        <w:rPr>
          <w:sz w:val="24"/>
          <w:szCs w:val="24"/>
        </w:rPr>
      </w:pPr>
      <w:r w:rsidRPr="0080323C">
        <w:rPr>
          <w:sz w:val="24"/>
          <w:szCs w:val="24"/>
        </w:rPr>
        <w:t xml:space="preserve">In the above-cited ruling from Duke’s earlier rate case, where Duke’s request was denied </w:t>
      </w:r>
      <w:r>
        <w:rPr>
          <w:sz w:val="24"/>
          <w:szCs w:val="24"/>
        </w:rPr>
        <w:t>based on the Attorney Examiners’ ruling that Duke</w:t>
      </w:r>
      <w:r w:rsidRPr="0080323C">
        <w:rPr>
          <w:sz w:val="24"/>
          <w:szCs w:val="24"/>
        </w:rPr>
        <w:t xml:space="preserve"> filed the wrong pleading, the Attorney Examiner </w:t>
      </w:r>
      <w:r>
        <w:rPr>
          <w:sz w:val="24"/>
          <w:szCs w:val="24"/>
        </w:rPr>
        <w:t xml:space="preserve">also </w:t>
      </w:r>
      <w:r w:rsidRPr="0080323C">
        <w:rPr>
          <w:sz w:val="24"/>
          <w:szCs w:val="24"/>
        </w:rPr>
        <w:t>noted th</w:t>
      </w:r>
      <w:r>
        <w:rPr>
          <w:sz w:val="24"/>
          <w:szCs w:val="24"/>
        </w:rPr>
        <w:t>at an</w:t>
      </w:r>
      <w:r w:rsidRPr="0080323C">
        <w:rPr>
          <w:sz w:val="24"/>
          <w:szCs w:val="24"/>
        </w:rPr>
        <w:t xml:space="preserve"> ”unreasonable burden” </w:t>
      </w:r>
      <w:r>
        <w:rPr>
          <w:sz w:val="24"/>
          <w:szCs w:val="24"/>
        </w:rPr>
        <w:t>would have been placed on other parties</w:t>
      </w:r>
      <w:r w:rsidRPr="0080323C">
        <w:rPr>
          <w:sz w:val="24"/>
          <w:szCs w:val="24"/>
        </w:rPr>
        <w:t xml:space="preserve"> from granting Duke’s request.</w:t>
      </w:r>
      <w:r w:rsidRPr="00BB2E6D">
        <w:rPr>
          <w:rStyle w:val="FootnoteReference"/>
        </w:rPr>
        <w:footnoteReference w:id="19"/>
      </w:r>
      <w:r w:rsidR="00C24D4C">
        <w:rPr>
          <w:sz w:val="24"/>
          <w:szCs w:val="24"/>
        </w:rPr>
        <w:t xml:space="preserve">  </w:t>
      </w:r>
      <w:r w:rsidRPr="0080323C">
        <w:rPr>
          <w:sz w:val="24"/>
          <w:szCs w:val="24"/>
        </w:rPr>
        <w:t xml:space="preserve">In these cases </w:t>
      </w:r>
      <w:r>
        <w:rPr>
          <w:sz w:val="24"/>
          <w:szCs w:val="24"/>
        </w:rPr>
        <w:t>a</w:t>
      </w:r>
      <w:r w:rsidR="00D26354">
        <w:rPr>
          <w:sz w:val="24"/>
          <w:szCs w:val="24"/>
        </w:rPr>
        <w:t>n</w:t>
      </w:r>
      <w:r>
        <w:rPr>
          <w:sz w:val="24"/>
          <w:szCs w:val="24"/>
        </w:rPr>
        <w:t xml:space="preserve"> unreasonable burden </w:t>
      </w:r>
      <w:r w:rsidRPr="0080323C">
        <w:rPr>
          <w:sz w:val="24"/>
          <w:szCs w:val="24"/>
        </w:rPr>
        <w:t>a</w:t>
      </w:r>
      <w:r>
        <w:rPr>
          <w:sz w:val="24"/>
          <w:szCs w:val="24"/>
        </w:rPr>
        <w:t>nd</w:t>
      </w:r>
      <w:r w:rsidRPr="0080323C">
        <w:rPr>
          <w:sz w:val="24"/>
          <w:szCs w:val="24"/>
        </w:rPr>
        <w:t xml:space="preserve"> harm to OCC </w:t>
      </w:r>
      <w:r>
        <w:rPr>
          <w:sz w:val="24"/>
          <w:szCs w:val="24"/>
        </w:rPr>
        <w:t xml:space="preserve">would occur </w:t>
      </w:r>
      <w:r w:rsidRPr="0080323C">
        <w:rPr>
          <w:sz w:val="24"/>
          <w:szCs w:val="24"/>
        </w:rPr>
        <w:t>if Duke’s Motions would be granted.</w:t>
      </w:r>
    </w:p>
    <w:p w14:paraId="6D6FEBBD" w14:textId="79D2467C" w:rsidR="00C24D4C" w:rsidRDefault="00080007" w:rsidP="00A87751">
      <w:pPr>
        <w:spacing w:line="480" w:lineRule="auto"/>
        <w:ind w:firstLine="720"/>
        <w:rPr>
          <w:sz w:val="24"/>
          <w:szCs w:val="24"/>
        </w:rPr>
      </w:pPr>
      <w:r w:rsidRPr="0080323C">
        <w:rPr>
          <w:sz w:val="24"/>
          <w:szCs w:val="24"/>
        </w:rPr>
        <w:t>OCC’s issues were framed by its Objection</w:t>
      </w:r>
      <w:r>
        <w:rPr>
          <w:sz w:val="24"/>
          <w:szCs w:val="24"/>
        </w:rPr>
        <w:t xml:space="preserve">s to the Staff Report, including Objection No. 26, </w:t>
      </w:r>
      <w:r w:rsidRPr="0080323C">
        <w:rPr>
          <w:sz w:val="24"/>
          <w:szCs w:val="24"/>
        </w:rPr>
        <w:t>a</w:t>
      </w:r>
      <w:r>
        <w:rPr>
          <w:sz w:val="24"/>
          <w:szCs w:val="24"/>
        </w:rPr>
        <w:t xml:space="preserve">nd were known </w:t>
      </w:r>
      <w:r w:rsidRPr="0080323C">
        <w:rPr>
          <w:sz w:val="24"/>
          <w:szCs w:val="24"/>
        </w:rPr>
        <w:t>t</w:t>
      </w:r>
      <w:r>
        <w:rPr>
          <w:sz w:val="24"/>
          <w:szCs w:val="24"/>
        </w:rPr>
        <w:t>o Duke at</w:t>
      </w:r>
      <w:r w:rsidRPr="0080323C">
        <w:rPr>
          <w:sz w:val="24"/>
          <w:szCs w:val="24"/>
        </w:rPr>
        <w:t xml:space="preserve"> the time of the settlement of these natural gas rate cases.  </w:t>
      </w:r>
      <w:r>
        <w:rPr>
          <w:sz w:val="24"/>
          <w:szCs w:val="24"/>
        </w:rPr>
        <w:t xml:space="preserve">In those settlement discussions </w:t>
      </w:r>
      <w:r w:rsidRPr="0080323C">
        <w:rPr>
          <w:sz w:val="24"/>
          <w:szCs w:val="24"/>
        </w:rPr>
        <w:t>OCC based its decision on whether to sign the settlement on circumstances as they existed</w:t>
      </w:r>
      <w:r>
        <w:rPr>
          <w:sz w:val="24"/>
          <w:szCs w:val="24"/>
        </w:rPr>
        <w:t xml:space="preserve"> -- </w:t>
      </w:r>
      <w:r w:rsidRPr="0080323C">
        <w:rPr>
          <w:sz w:val="24"/>
          <w:szCs w:val="24"/>
        </w:rPr>
        <w:t>including that the time for striking OCC’s objections had passed.  Had OCC’s objections (and supporting testimony) on Duke’s requested $6</w:t>
      </w:r>
      <w:r>
        <w:rPr>
          <w:sz w:val="24"/>
          <w:szCs w:val="24"/>
        </w:rPr>
        <w:t>5.</w:t>
      </w:r>
      <w:r w:rsidRPr="0080323C">
        <w:rPr>
          <w:sz w:val="24"/>
          <w:szCs w:val="24"/>
        </w:rPr>
        <w:t xml:space="preserve">3 million for clean-up of MGP real estate still been at risk when the settlement was under consideration for signature, OCC likely would not have settled or would have made a different settlement proposal.  </w:t>
      </w:r>
      <w:r>
        <w:rPr>
          <w:sz w:val="24"/>
          <w:szCs w:val="24"/>
        </w:rPr>
        <w:t>Instead, OCC based its decision in the settlement on what was known at the time.  And at that time,</w:t>
      </w:r>
      <w:r w:rsidRPr="0080323C">
        <w:rPr>
          <w:sz w:val="24"/>
          <w:szCs w:val="24"/>
        </w:rPr>
        <w:t xml:space="preserve"> OCC knew that Duke </w:t>
      </w:r>
      <w:r w:rsidR="00C24D4C">
        <w:rPr>
          <w:sz w:val="24"/>
          <w:szCs w:val="24"/>
        </w:rPr>
        <w:t>had</w:t>
      </w:r>
      <w:r w:rsidR="00C24D4C" w:rsidRPr="0080323C">
        <w:rPr>
          <w:sz w:val="24"/>
          <w:szCs w:val="24"/>
        </w:rPr>
        <w:t xml:space="preserve"> </w:t>
      </w:r>
      <w:r w:rsidRPr="0080323C">
        <w:rPr>
          <w:sz w:val="24"/>
          <w:szCs w:val="24"/>
        </w:rPr>
        <w:t>not move</w:t>
      </w:r>
      <w:r w:rsidR="00C24D4C">
        <w:rPr>
          <w:sz w:val="24"/>
          <w:szCs w:val="24"/>
        </w:rPr>
        <w:t>d</w:t>
      </w:r>
      <w:r w:rsidRPr="0080323C">
        <w:rPr>
          <w:sz w:val="24"/>
          <w:szCs w:val="24"/>
        </w:rPr>
        <w:t xml:space="preserve"> to strike OCC’s objections by Examiner Pirik’s deadline</w:t>
      </w:r>
      <w:r w:rsidR="00D26354">
        <w:rPr>
          <w:sz w:val="24"/>
          <w:szCs w:val="24"/>
        </w:rPr>
        <w:t xml:space="preserve">. </w:t>
      </w:r>
      <w:r>
        <w:rPr>
          <w:sz w:val="24"/>
          <w:szCs w:val="24"/>
        </w:rPr>
        <w:t xml:space="preserve"> </w:t>
      </w:r>
      <w:r w:rsidR="00D26354">
        <w:rPr>
          <w:sz w:val="24"/>
          <w:szCs w:val="24"/>
        </w:rPr>
        <w:t>A</w:t>
      </w:r>
      <w:r>
        <w:rPr>
          <w:sz w:val="24"/>
          <w:szCs w:val="24"/>
        </w:rPr>
        <w:t>nd thus, OCC’s Objections to the Staff Report that challenge the scope and necessity of Duke’s investigation and remediation costs of the MGP sites were intact for determination at the evidentiary hearing</w:t>
      </w:r>
      <w:r w:rsidRPr="0080323C">
        <w:rPr>
          <w:sz w:val="24"/>
          <w:szCs w:val="24"/>
        </w:rPr>
        <w:t xml:space="preserve">.  </w:t>
      </w:r>
    </w:p>
    <w:p w14:paraId="496C39AC" w14:textId="79B39B4E" w:rsidR="00080007" w:rsidRPr="0080323C" w:rsidRDefault="00080007" w:rsidP="00A87751">
      <w:pPr>
        <w:spacing w:line="480" w:lineRule="auto"/>
        <w:ind w:firstLine="720"/>
        <w:rPr>
          <w:sz w:val="24"/>
          <w:szCs w:val="24"/>
        </w:rPr>
      </w:pPr>
      <w:r>
        <w:rPr>
          <w:sz w:val="24"/>
          <w:szCs w:val="24"/>
        </w:rPr>
        <w:t>T</w:t>
      </w:r>
      <w:r w:rsidRPr="0080323C">
        <w:rPr>
          <w:sz w:val="24"/>
          <w:szCs w:val="24"/>
        </w:rPr>
        <w:t xml:space="preserve">herefore, the PUCO should </w:t>
      </w:r>
      <w:r>
        <w:rPr>
          <w:sz w:val="24"/>
          <w:szCs w:val="24"/>
        </w:rPr>
        <w:t>deny</w:t>
      </w:r>
      <w:r w:rsidRPr="0080323C">
        <w:rPr>
          <w:sz w:val="24"/>
          <w:szCs w:val="24"/>
        </w:rPr>
        <w:t xml:space="preserve"> Duke’s Motion to Clarify the Scope of these Proceedings and </w:t>
      </w:r>
      <w:r>
        <w:rPr>
          <w:sz w:val="24"/>
          <w:szCs w:val="24"/>
        </w:rPr>
        <w:t>deny</w:t>
      </w:r>
      <w:r w:rsidRPr="0080323C">
        <w:rPr>
          <w:sz w:val="24"/>
          <w:szCs w:val="24"/>
        </w:rPr>
        <w:t xml:space="preserve"> Duke’s Motion to Strike OCC’s testimony.</w:t>
      </w:r>
    </w:p>
    <w:p w14:paraId="57ED4657" w14:textId="5017D999" w:rsidR="00080007" w:rsidRPr="0080323C" w:rsidRDefault="00EA0E1D" w:rsidP="00EA0E1D">
      <w:pPr>
        <w:pStyle w:val="Heading3"/>
      </w:pPr>
      <w:bookmarkStart w:id="16" w:name="_Toc354492850"/>
      <w:bookmarkStart w:id="17" w:name="_Toc354493012"/>
      <w:r>
        <w:t>3.</w:t>
      </w:r>
      <w:r>
        <w:tab/>
      </w:r>
      <w:r w:rsidR="00080007" w:rsidRPr="0080323C">
        <w:t>Duke’s Motions are a unilateral attempt to modify the terms of the Stipulation</w:t>
      </w:r>
      <w:r w:rsidR="004B10F0">
        <w:t xml:space="preserve"> to favor Duke and disfavor consumers</w:t>
      </w:r>
      <w:r w:rsidR="00080007" w:rsidRPr="0080323C">
        <w:t>.</w:t>
      </w:r>
      <w:bookmarkEnd w:id="16"/>
      <w:bookmarkEnd w:id="17"/>
    </w:p>
    <w:p w14:paraId="44B04B13" w14:textId="3BAC8B85" w:rsidR="00080007" w:rsidRPr="00711312" w:rsidRDefault="00080007" w:rsidP="005F2B78">
      <w:pPr>
        <w:spacing w:line="480" w:lineRule="auto"/>
        <w:ind w:firstLine="720"/>
        <w:rPr>
          <w:sz w:val="24"/>
          <w:szCs w:val="24"/>
        </w:rPr>
      </w:pPr>
      <w:r>
        <w:rPr>
          <w:sz w:val="24"/>
          <w:szCs w:val="24"/>
        </w:rPr>
        <w:t>On April 2, 2013, t</w:t>
      </w:r>
      <w:r w:rsidRPr="00711312">
        <w:rPr>
          <w:sz w:val="24"/>
          <w:szCs w:val="24"/>
        </w:rPr>
        <w:t>he Parties entered into a Stipulation that provided for the opportunity to litigate their positions</w:t>
      </w:r>
      <w:r>
        <w:rPr>
          <w:sz w:val="24"/>
          <w:szCs w:val="24"/>
        </w:rPr>
        <w:t xml:space="preserve"> with regard to the costs associated with the investigation and remediation of the two MGP sites</w:t>
      </w:r>
      <w:r w:rsidRPr="00711312">
        <w:rPr>
          <w:sz w:val="24"/>
          <w:szCs w:val="24"/>
        </w:rPr>
        <w:t xml:space="preserve">.  </w:t>
      </w:r>
      <w:r>
        <w:rPr>
          <w:sz w:val="24"/>
          <w:szCs w:val="24"/>
        </w:rPr>
        <w:t>Two weeks after the Stipulation was signed by the parties,</w:t>
      </w:r>
      <w:r w:rsidRPr="00711312">
        <w:rPr>
          <w:sz w:val="24"/>
          <w:szCs w:val="24"/>
        </w:rPr>
        <w:t xml:space="preserve"> Duke</w:t>
      </w:r>
      <w:r>
        <w:rPr>
          <w:sz w:val="24"/>
          <w:szCs w:val="24"/>
        </w:rPr>
        <w:t xml:space="preserve"> filed its Motions</w:t>
      </w:r>
      <w:r w:rsidR="00D26354">
        <w:rPr>
          <w:sz w:val="24"/>
          <w:szCs w:val="24"/>
        </w:rPr>
        <w:t xml:space="preserve"> that</w:t>
      </w:r>
      <w:r>
        <w:rPr>
          <w:sz w:val="24"/>
          <w:szCs w:val="24"/>
        </w:rPr>
        <w:t xml:space="preserve"> are</w:t>
      </w:r>
      <w:r w:rsidRPr="00711312">
        <w:rPr>
          <w:sz w:val="24"/>
          <w:szCs w:val="24"/>
        </w:rPr>
        <w:t xml:space="preserve"> a unilateral attempt by Duke to modify the agreed upon terms in the Stipulation.  If granted, Duke’s Motion</w:t>
      </w:r>
      <w:r>
        <w:rPr>
          <w:sz w:val="24"/>
          <w:szCs w:val="24"/>
        </w:rPr>
        <w:t xml:space="preserve">s </w:t>
      </w:r>
      <w:r w:rsidRPr="00711312">
        <w:rPr>
          <w:sz w:val="24"/>
          <w:szCs w:val="24"/>
        </w:rPr>
        <w:t xml:space="preserve">would </w:t>
      </w:r>
      <w:r>
        <w:rPr>
          <w:sz w:val="24"/>
          <w:szCs w:val="24"/>
        </w:rPr>
        <w:t xml:space="preserve">severely </w:t>
      </w:r>
      <w:r w:rsidRPr="00711312">
        <w:rPr>
          <w:sz w:val="24"/>
          <w:szCs w:val="24"/>
        </w:rPr>
        <w:t xml:space="preserve">limit OCC’s ability to </w:t>
      </w:r>
      <w:r>
        <w:rPr>
          <w:sz w:val="24"/>
          <w:szCs w:val="24"/>
        </w:rPr>
        <w:t>litigate its position</w:t>
      </w:r>
      <w:r w:rsidRPr="00711312">
        <w:rPr>
          <w:sz w:val="24"/>
          <w:szCs w:val="24"/>
        </w:rPr>
        <w:t xml:space="preserve"> to the Commission </w:t>
      </w:r>
      <w:r>
        <w:rPr>
          <w:sz w:val="24"/>
          <w:szCs w:val="24"/>
        </w:rPr>
        <w:t xml:space="preserve">-- a position that was </w:t>
      </w:r>
      <w:r w:rsidRPr="00711312">
        <w:rPr>
          <w:sz w:val="24"/>
          <w:szCs w:val="24"/>
        </w:rPr>
        <w:t xml:space="preserve">contemplated under the Stipulation.  </w:t>
      </w:r>
    </w:p>
    <w:p w14:paraId="3A3CFF14" w14:textId="60514912" w:rsidR="00080007" w:rsidRDefault="00080007" w:rsidP="005F2B78">
      <w:pPr>
        <w:pStyle w:val="Footer"/>
        <w:tabs>
          <w:tab w:val="clear" w:pos="8640"/>
          <w:tab w:val="left" w:pos="720"/>
          <w:tab w:val="left" w:pos="4320"/>
        </w:tabs>
        <w:spacing w:line="480" w:lineRule="auto"/>
        <w:rPr>
          <w:sz w:val="24"/>
          <w:szCs w:val="24"/>
        </w:rPr>
      </w:pPr>
      <w:r>
        <w:rPr>
          <w:sz w:val="24"/>
          <w:szCs w:val="24"/>
        </w:rPr>
        <w:tab/>
        <w:t>OCC’s litigation position regarding the scope and necessity of Duke’s remediation activities was set forth in its Objections to the Staff Report</w:t>
      </w:r>
      <w:r w:rsidR="00D26354">
        <w:rPr>
          <w:sz w:val="24"/>
          <w:szCs w:val="24"/>
        </w:rPr>
        <w:t>, long before the settlement was signed</w:t>
      </w:r>
      <w:r>
        <w:rPr>
          <w:sz w:val="24"/>
          <w:szCs w:val="24"/>
        </w:rPr>
        <w:t>.  In particular OCC’s Objection No. 26 stated:</w:t>
      </w:r>
    </w:p>
    <w:p w14:paraId="511280AD" w14:textId="77777777" w:rsidR="00080007" w:rsidRPr="00711312" w:rsidRDefault="00080007" w:rsidP="00711312">
      <w:pPr>
        <w:autoSpaceDE w:val="0"/>
        <w:autoSpaceDN w:val="0"/>
        <w:adjustRightInd w:val="0"/>
        <w:ind w:left="1440" w:right="720"/>
        <w:rPr>
          <w:sz w:val="24"/>
          <w:szCs w:val="24"/>
        </w:rPr>
      </w:pPr>
      <w:r w:rsidRPr="00711312">
        <w:rPr>
          <w:b/>
          <w:bCs/>
          <w:sz w:val="24"/>
          <w:szCs w:val="24"/>
        </w:rPr>
        <w:t>OBJECTION 26:</w:t>
      </w:r>
      <w:r w:rsidRPr="00711312">
        <w:rPr>
          <w:sz w:val="24"/>
          <w:szCs w:val="24"/>
        </w:rPr>
        <w:t xml:space="preserve">  OCC objects to the limited scope of the Staff’s investigation of the MGP sites.  The Staff’s investigation was limited to verification and eligibility of the expenses for recovery from natural gas distribution customers.  The Staff did not investigate or make any finding or recommendations regarding necessity, urgency or scope of the remediation work that Duke performed.  For example, the Staff offers no opinion as to whether in-situ solidification might have been adequate and less costly than excavation and soil replacement in a particular area or that excavation to a depth of 35 feet was sufficient to address MGP impacts as opposed to the 40 feet that Duke determined.  (Staff Report at 40.)  </w:t>
      </w:r>
    </w:p>
    <w:p w14:paraId="4DDF4197" w14:textId="77777777" w:rsidR="00080007" w:rsidRPr="00711312" w:rsidRDefault="00080007" w:rsidP="00711312">
      <w:pPr>
        <w:autoSpaceDE w:val="0"/>
        <w:autoSpaceDN w:val="0"/>
        <w:adjustRightInd w:val="0"/>
        <w:ind w:left="1440" w:right="720"/>
        <w:rPr>
          <w:sz w:val="24"/>
          <w:szCs w:val="24"/>
        </w:rPr>
      </w:pPr>
    </w:p>
    <w:p w14:paraId="08E42868" w14:textId="77777777" w:rsidR="00080007" w:rsidRPr="00711312" w:rsidRDefault="00080007" w:rsidP="00711312">
      <w:pPr>
        <w:autoSpaceDE w:val="0"/>
        <w:autoSpaceDN w:val="0"/>
        <w:adjustRightInd w:val="0"/>
        <w:ind w:left="1440" w:right="720"/>
        <w:rPr>
          <w:sz w:val="24"/>
          <w:szCs w:val="24"/>
        </w:rPr>
      </w:pPr>
      <w:r w:rsidRPr="00711312">
        <w:rPr>
          <w:sz w:val="24"/>
          <w:szCs w:val="24"/>
        </w:rPr>
        <w:t>The Staff should have expanded the nature of its investigation to include the urgency, scope and necessity of the remediation activities for both the West End and East End MGP Sites.  OCC objects that the Staff did not find that Duke’s remediation activities were excessive (and too costly for customers to pay). Specifically, OCC objects that the Staff recommended allowing the Utility to collect from customers certain costs of remediations that were performed on the eastern parcel of the East End MGP site (Staff Report Attachment MGP-5), the western parcel of the East End MGP site (Staff Report Attachment MGP-7) and other infrastructure at the East End MGP site (confidential facilities).  Duke’s remediation activities far exceeded what was reasonable under the circumstances.  Therefore, OCC objects to the Staff’s recommendation supporting the Utility’s collection from customers for certain investigation and remediation costs that were not just and reasonable.</w:t>
      </w:r>
      <w:r w:rsidRPr="00BB2E6D">
        <w:rPr>
          <w:rStyle w:val="FootnoteReference"/>
        </w:rPr>
        <w:footnoteReference w:id="20"/>
      </w:r>
    </w:p>
    <w:p w14:paraId="33EEDC7F" w14:textId="77777777" w:rsidR="00080007" w:rsidRPr="007D45C0" w:rsidRDefault="00080007" w:rsidP="00711312">
      <w:pPr>
        <w:pStyle w:val="Footer"/>
        <w:tabs>
          <w:tab w:val="clear" w:pos="8640"/>
          <w:tab w:val="left" w:pos="4320"/>
        </w:tabs>
        <w:spacing w:before="240" w:line="480" w:lineRule="auto"/>
        <w:rPr>
          <w:sz w:val="24"/>
          <w:szCs w:val="24"/>
        </w:rPr>
      </w:pPr>
      <w:r>
        <w:rPr>
          <w:sz w:val="24"/>
          <w:szCs w:val="24"/>
        </w:rPr>
        <w:t>OCC’s Objection 26 was supported by the Direct Testimony of James R. Campbell.</w:t>
      </w:r>
      <w:r w:rsidRPr="00BB2E6D">
        <w:rPr>
          <w:rStyle w:val="FootnoteReference"/>
        </w:rPr>
        <w:footnoteReference w:id="21"/>
      </w:r>
    </w:p>
    <w:p w14:paraId="74549F4A" w14:textId="33AF33DD" w:rsidR="00080007" w:rsidRPr="00537CD9" w:rsidRDefault="00CB68EA" w:rsidP="00CB68EA">
      <w:pPr>
        <w:autoSpaceDE w:val="0"/>
        <w:autoSpaceDN w:val="0"/>
        <w:adjustRightInd w:val="0"/>
        <w:spacing w:line="480" w:lineRule="auto"/>
        <w:ind w:firstLine="720"/>
        <w:rPr>
          <w:rFonts w:ascii="Book Antiqua" w:hAnsi="Book Antiqua" w:cs="Book Antiqua"/>
          <w:sz w:val="24"/>
          <w:szCs w:val="24"/>
        </w:rPr>
      </w:pPr>
      <w:r w:rsidRPr="00711312">
        <w:rPr>
          <w:sz w:val="24"/>
          <w:szCs w:val="24"/>
        </w:rPr>
        <w:t>Now, suddenly</w:t>
      </w:r>
      <w:r>
        <w:rPr>
          <w:sz w:val="24"/>
          <w:szCs w:val="24"/>
        </w:rPr>
        <w:t xml:space="preserve"> and from left field</w:t>
      </w:r>
      <w:r w:rsidRPr="00711312">
        <w:rPr>
          <w:sz w:val="24"/>
          <w:szCs w:val="24"/>
        </w:rPr>
        <w:t xml:space="preserve">, two and one-half months after OCC’s Objections to the Staff Report were filed -- and 56 days after Objections to the Staff Report were due -- Duke argues that the OCC Objections will </w:t>
      </w:r>
      <w:r>
        <w:rPr>
          <w:sz w:val="24"/>
          <w:szCs w:val="24"/>
        </w:rPr>
        <w:t>broaden</w:t>
      </w:r>
      <w:r w:rsidRPr="00711312">
        <w:rPr>
          <w:sz w:val="24"/>
          <w:szCs w:val="24"/>
        </w:rPr>
        <w:t xml:space="preserve"> the scope of the proceeding.</w:t>
      </w:r>
      <w:r w:rsidRPr="00BB2E6D">
        <w:rPr>
          <w:rStyle w:val="FootnoteReference"/>
        </w:rPr>
        <w:footnoteReference w:id="22"/>
      </w:r>
      <w:r>
        <w:rPr>
          <w:sz w:val="24"/>
          <w:szCs w:val="24"/>
        </w:rPr>
        <w:t xml:space="preserve">  But the scope of the proceeding has been set for some time already. </w:t>
      </w:r>
      <w:r w:rsidR="00080007" w:rsidRPr="00711312">
        <w:rPr>
          <w:sz w:val="24"/>
          <w:szCs w:val="24"/>
        </w:rPr>
        <w:t>OCC filed its Objections to the Staff Report on February 4, 2013</w:t>
      </w:r>
      <w:r w:rsidR="00D26354">
        <w:rPr>
          <w:sz w:val="24"/>
          <w:szCs w:val="24"/>
        </w:rPr>
        <w:t xml:space="preserve">, and those Objections reflect the OCC positions that are </w:t>
      </w:r>
      <w:r w:rsidR="00AB704C">
        <w:rPr>
          <w:sz w:val="24"/>
          <w:szCs w:val="24"/>
        </w:rPr>
        <w:t>for litigation per the Stipulation</w:t>
      </w:r>
      <w:r w:rsidR="00080007" w:rsidRPr="00711312">
        <w:rPr>
          <w:sz w:val="24"/>
          <w:szCs w:val="24"/>
        </w:rPr>
        <w:t>.</w:t>
      </w:r>
      <w:r w:rsidR="00080007" w:rsidRPr="00BB2E6D">
        <w:rPr>
          <w:rStyle w:val="FootnoteReference"/>
        </w:rPr>
        <w:footnoteReference w:id="23"/>
      </w:r>
      <w:r w:rsidR="00080007" w:rsidRPr="00711312">
        <w:rPr>
          <w:sz w:val="24"/>
          <w:szCs w:val="24"/>
        </w:rPr>
        <w:t xml:space="preserve"> </w:t>
      </w:r>
      <w:r w:rsidR="00BB2E6D">
        <w:rPr>
          <w:sz w:val="24"/>
          <w:szCs w:val="24"/>
        </w:rPr>
        <w:t xml:space="preserve"> </w:t>
      </w:r>
      <w:r w:rsidR="00080007" w:rsidRPr="00537CD9">
        <w:rPr>
          <w:sz w:val="24"/>
          <w:szCs w:val="24"/>
        </w:rPr>
        <w:t>Duke’s Motions should be denied.</w:t>
      </w:r>
    </w:p>
    <w:p w14:paraId="6D6FE060" w14:textId="3E03ACE8" w:rsidR="00080007" w:rsidRPr="0061413C" w:rsidRDefault="00EA0E1D" w:rsidP="00EA0E1D">
      <w:pPr>
        <w:pStyle w:val="Heading2"/>
      </w:pPr>
      <w:bookmarkStart w:id="18" w:name="_Toc354492851"/>
      <w:bookmarkStart w:id="19" w:name="_Toc354493013"/>
      <w:r>
        <w:t>B.</w:t>
      </w:r>
      <w:r>
        <w:tab/>
      </w:r>
      <w:r w:rsidR="00080007">
        <w:t>Duke’s Motion for Clarification Unlawfully Attempts to Pre</w:t>
      </w:r>
      <w:r w:rsidR="009F3FC8">
        <w:t>clude</w:t>
      </w:r>
      <w:r w:rsidR="00080007">
        <w:t xml:space="preserve"> the Commission from a Review of The Scope and Necessity of Duke’s Remediation Activities </w:t>
      </w:r>
      <w:r w:rsidR="009F3FC8">
        <w:t xml:space="preserve">And the Associated </w:t>
      </w:r>
      <w:r w:rsidR="00080007">
        <w:t>Prudence Review</w:t>
      </w:r>
      <w:r w:rsidR="004B10F0">
        <w:t xml:space="preserve"> that the General Assembly Enacted to Protect Utility Customers</w:t>
      </w:r>
      <w:r w:rsidR="00080007">
        <w:t>.</w:t>
      </w:r>
      <w:bookmarkEnd w:id="18"/>
      <w:bookmarkEnd w:id="19"/>
      <w:r w:rsidR="00080007">
        <w:t xml:space="preserve"> </w:t>
      </w:r>
    </w:p>
    <w:p w14:paraId="77FFC4DF" w14:textId="1CEB99D2" w:rsidR="00080007" w:rsidRDefault="00080007" w:rsidP="008F225B">
      <w:pPr>
        <w:spacing w:line="480" w:lineRule="auto"/>
        <w:ind w:firstLine="720"/>
        <w:rPr>
          <w:sz w:val="24"/>
          <w:szCs w:val="24"/>
        </w:rPr>
      </w:pPr>
      <w:r>
        <w:rPr>
          <w:sz w:val="24"/>
          <w:szCs w:val="24"/>
        </w:rPr>
        <w:t>The Commission is charged in a rate case with the fixation of reasonable rates.</w:t>
      </w:r>
      <w:r w:rsidRPr="00BB2E6D">
        <w:rPr>
          <w:rStyle w:val="FootnoteReference"/>
        </w:rPr>
        <w:footnoteReference w:id="24"/>
      </w:r>
      <w:r>
        <w:rPr>
          <w:sz w:val="24"/>
          <w:szCs w:val="24"/>
        </w:rPr>
        <w:t xml:space="preserve">  In cases, such as these proceedings, where the utility seeks an increase in rates, the Commission </w:t>
      </w:r>
      <w:r w:rsidR="009F3FC8">
        <w:rPr>
          <w:sz w:val="24"/>
          <w:szCs w:val="24"/>
        </w:rPr>
        <w:t>m</w:t>
      </w:r>
      <w:r>
        <w:rPr>
          <w:sz w:val="24"/>
          <w:szCs w:val="24"/>
        </w:rPr>
        <w:t>akes an investigation.  R.C. 4909.19 (C) states:</w:t>
      </w:r>
    </w:p>
    <w:p w14:paraId="2A30A4E9" w14:textId="77777777" w:rsidR="00080007" w:rsidRPr="0080323C" w:rsidRDefault="00080007" w:rsidP="00CB044D">
      <w:pPr>
        <w:spacing w:after="240"/>
        <w:ind w:left="1440" w:right="720"/>
        <w:rPr>
          <w:sz w:val="24"/>
          <w:szCs w:val="24"/>
        </w:rPr>
      </w:pPr>
      <w:r w:rsidRPr="0080323C">
        <w:rPr>
          <w:sz w:val="24"/>
          <w:szCs w:val="24"/>
        </w:rPr>
        <w:t>The commission shall at once cause an investigation to be made of the facts set forth in said application and the exhibits attached thereto, and of the matters connected therewith. Within a reasonable time as determined by the commission after the filing of such application, a written report shall be made and filed with the commission, a copy of which shall be sent by certified mail to the applicant, the mayor of any municipal corporation affected by the application, and to such other persons as the commission deems interested. If no objection to such report is made by any party interested within thirty days after such filing and the mailing of copies thereof, the commission shall fix a date within ten days for the final hearing upon said application, giving notice thereof to all parties interested. At such hearing the commission shall consider the matters set forth in said application and make such order respecting the prayer thereof as to it seems just and reasonable.</w:t>
      </w:r>
    </w:p>
    <w:p w14:paraId="273348E6" w14:textId="77777777" w:rsidR="00080007" w:rsidRDefault="00080007" w:rsidP="00A8488A">
      <w:pPr>
        <w:spacing w:line="480" w:lineRule="auto"/>
        <w:ind w:firstLine="720"/>
        <w:rPr>
          <w:sz w:val="24"/>
          <w:szCs w:val="24"/>
        </w:rPr>
      </w:pPr>
      <w:r>
        <w:rPr>
          <w:sz w:val="24"/>
          <w:szCs w:val="24"/>
        </w:rPr>
        <w:t>The Commission may also review utility management policies and practices to determine if operating and maintenance expenses have been imprudently incurred.  R.C. 4909.154 states:</w:t>
      </w:r>
    </w:p>
    <w:p w14:paraId="7580799E" w14:textId="77777777" w:rsidR="00080007" w:rsidRPr="00495910" w:rsidRDefault="00080007" w:rsidP="00CB044D">
      <w:pPr>
        <w:spacing w:after="240"/>
        <w:ind w:left="1440" w:right="720"/>
        <w:rPr>
          <w:b/>
          <w:bCs/>
          <w:sz w:val="24"/>
          <w:szCs w:val="24"/>
        </w:rPr>
      </w:pPr>
      <w:r w:rsidRPr="00495910">
        <w:rPr>
          <w:sz w:val="24"/>
          <w:szCs w:val="24"/>
        </w:rPr>
        <w:t>In fixing the just, reasonable, and compensatory rates, joint rates, tolls, classifications, charges, or rentals to be observed and charged for service by any public utility, the public utilities commission shall consider the management policies, practices, and organization of the public utility. The commission shall require such public utility to supply information regarding its management policies, practices, and organization. If the commission finds after a hearing that the management policies, practices, or organization of the public utility are inadequate, inefficient, or improper, the commission may recommend management policies, management practices, or an organizational structure to the public utility. In any event</w:t>
      </w:r>
      <w:r w:rsidRPr="00495910">
        <w:rPr>
          <w:b/>
          <w:bCs/>
          <w:sz w:val="24"/>
          <w:szCs w:val="24"/>
        </w:rPr>
        <w:t>, the public utilities commission shall not allow such operating and maintenance expenses of a public utility as are incurred by the utility through management policies or administrative practices that the commission considers imprudent.</w:t>
      </w:r>
    </w:p>
    <w:p w14:paraId="5CC688F9" w14:textId="489D6112" w:rsidR="00080007" w:rsidRDefault="00080007" w:rsidP="009F7113">
      <w:pPr>
        <w:spacing w:line="480" w:lineRule="auto"/>
        <w:rPr>
          <w:sz w:val="24"/>
          <w:szCs w:val="24"/>
        </w:rPr>
      </w:pPr>
      <w:r>
        <w:rPr>
          <w:sz w:val="24"/>
          <w:szCs w:val="24"/>
        </w:rPr>
        <w:t>The above statut</w:t>
      </w:r>
      <w:r w:rsidR="00D37FF5">
        <w:rPr>
          <w:sz w:val="24"/>
          <w:szCs w:val="24"/>
        </w:rPr>
        <w:t>es</w:t>
      </w:r>
      <w:r>
        <w:rPr>
          <w:sz w:val="24"/>
          <w:szCs w:val="24"/>
        </w:rPr>
        <w:t xml:space="preserve"> outline the regulatory scheme in Ohio and the </w:t>
      </w:r>
      <w:r w:rsidR="007A00CD">
        <w:rPr>
          <w:sz w:val="24"/>
          <w:szCs w:val="24"/>
        </w:rPr>
        <w:t xml:space="preserve">PUCO’s </w:t>
      </w:r>
      <w:r>
        <w:rPr>
          <w:sz w:val="24"/>
          <w:szCs w:val="24"/>
        </w:rPr>
        <w:t>obligation</w:t>
      </w:r>
      <w:r w:rsidR="007A00CD">
        <w:rPr>
          <w:sz w:val="24"/>
          <w:szCs w:val="24"/>
        </w:rPr>
        <w:t xml:space="preserve"> to the public</w:t>
      </w:r>
      <w:r>
        <w:rPr>
          <w:sz w:val="24"/>
          <w:szCs w:val="24"/>
        </w:rPr>
        <w:t xml:space="preserve"> in determining just and reasonable rates.  Duke</w:t>
      </w:r>
      <w:r w:rsidR="005705FE">
        <w:rPr>
          <w:sz w:val="24"/>
          <w:szCs w:val="24"/>
        </w:rPr>
        <w:t>,</w:t>
      </w:r>
      <w:r>
        <w:rPr>
          <w:sz w:val="24"/>
          <w:szCs w:val="24"/>
        </w:rPr>
        <w:t xml:space="preserve"> in filing its Motion to Clarify</w:t>
      </w:r>
      <w:r w:rsidR="005705FE">
        <w:rPr>
          <w:sz w:val="24"/>
          <w:szCs w:val="24"/>
        </w:rPr>
        <w:t>,</w:t>
      </w:r>
      <w:r>
        <w:rPr>
          <w:sz w:val="24"/>
          <w:szCs w:val="24"/>
        </w:rPr>
        <w:t xml:space="preserve"> is </w:t>
      </w:r>
      <w:r w:rsidR="005705FE">
        <w:rPr>
          <w:sz w:val="24"/>
          <w:szCs w:val="24"/>
        </w:rPr>
        <w:t xml:space="preserve">attempting </w:t>
      </w:r>
      <w:r>
        <w:rPr>
          <w:sz w:val="24"/>
          <w:szCs w:val="24"/>
        </w:rPr>
        <w:t>to circumvent the PUCO’s obligation to investigate and reach an informed decision on the reasonableness and prudence of costs expended by a utility that the utility seeks to collect from its customers.</w:t>
      </w:r>
    </w:p>
    <w:p w14:paraId="4781ABEC" w14:textId="77777777" w:rsidR="00080007" w:rsidRDefault="00080007" w:rsidP="009F7113">
      <w:pPr>
        <w:spacing w:line="480" w:lineRule="auto"/>
        <w:ind w:firstLine="720"/>
        <w:rPr>
          <w:sz w:val="24"/>
          <w:szCs w:val="24"/>
        </w:rPr>
      </w:pPr>
      <w:r>
        <w:rPr>
          <w:sz w:val="24"/>
          <w:szCs w:val="24"/>
        </w:rPr>
        <w:t xml:space="preserve">Duke argues </w:t>
      </w:r>
      <w:r w:rsidR="005705FE">
        <w:rPr>
          <w:sz w:val="24"/>
          <w:szCs w:val="24"/>
        </w:rPr>
        <w:t xml:space="preserve">that </w:t>
      </w:r>
      <w:r>
        <w:rPr>
          <w:sz w:val="24"/>
          <w:szCs w:val="24"/>
        </w:rPr>
        <w:t>there is a limit to the PUCO’s jurisdiction and to what the PUCO may review in this case, and bases its argument upon the Staff’s decision not to investigate the scope or necessity of Duke’s remediation activities in this case.  The Utility states:</w:t>
      </w:r>
    </w:p>
    <w:p w14:paraId="54AD530D" w14:textId="77777777" w:rsidR="00080007" w:rsidRPr="00BB3FB3" w:rsidRDefault="00080007" w:rsidP="00CB044D">
      <w:pPr>
        <w:spacing w:after="240"/>
        <w:ind w:left="1440" w:right="720"/>
        <w:rPr>
          <w:sz w:val="24"/>
          <w:szCs w:val="24"/>
        </w:rPr>
      </w:pPr>
      <w:r>
        <w:rPr>
          <w:sz w:val="24"/>
          <w:szCs w:val="24"/>
        </w:rPr>
        <w:t>Although it did not state so outright in the Staff Report, Staff’s “failure” to evaluate the necessity or scope of the Company’s environmental remediation projects appears to have been a calculated (and reasonable) decision based upon the Commission’s lack of jurisdiction over such matters.  Staff’s implicit acknowledgement of the boundaries of the Commission’s jurisdiction should impress upon the parties to these matters that there is an extent to which the Commission can actively consider specific items in the rate making function.</w:t>
      </w:r>
      <w:r w:rsidRPr="005324B7">
        <w:rPr>
          <w:rStyle w:val="FootnoteReference"/>
        </w:rPr>
        <w:footnoteReference w:id="25"/>
      </w:r>
    </w:p>
    <w:p w14:paraId="6703F71C" w14:textId="280C66EB" w:rsidR="00EA5456" w:rsidRDefault="007A00CD" w:rsidP="00A8488A">
      <w:pPr>
        <w:spacing w:line="480" w:lineRule="auto"/>
        <w:ind w:firstLine="720"/>
        <w:rPr>
          <w:sz w:val="24"/>
          <w:szCs w:val="24"/>
        </w:rPr>
      </w:pPr>
      <w:r>
        <w:rPr>
          <w:sz w:val="24"/>
          <w:szCs w:val="24"/>
        </w:rPr>
        <w:t>But</w:t>
      </w:r>
      <w:r w:rsidR="00080007">
        <w:rPr>
          <w:sz w:val="24"/>
          <w:szCs w:val="24"/>
        </w:rPr>
        <w:t xml:space="preserve"> Duke makes no legal argument in support of its position.  What Duke </w:t>
      </w:r>
      <w:r>
        <w:rPr>
          <w:sz w:val="24"/>
          <w:szCs w:val="24"/>
        </w:rPr>
        <w:t xml:space="preserve">claims </w:t>
      </w:r>
      <w:r w:rsidR="00080007">
        <w:rPr>
          <w:sz w:val="24"/>
          <w:szCs w:val="24"/>
        </w:rPr>
        <w:t xml:space="preserve">to be Staff’s acknowledgement of a lack of jurisdiction can be explained by the fact the Staff either did not feel it had the necessary expertise internally or the Staff </w:t>
      </w:r>
      <w:r w:rsidR="005705FE">
        <w:rPr>
          <w:sz w:val="24"/>
          <w:szCs w:val="24"/>
        </w:rPr>
        <w:t xml:space="preserve">chose </w:t>
      </w:r>
      <w:r w:rsidR="00080007">
        <w:rPr>
          <w:sz w:val="24"/>
          <w:szCs w:val="24"/>
        </w:rPr>
        <w:t xml:space="preserve">not </w:t>
      </w:r>
      <w:r w:rsidR="005705FE">
        <w:rPr>
          <w:sz w:val="24"/>
          <w:szCs w:val="24"/>
        </w:rPr>
        <w:t xml:space="preserve">to </w:t>
      </w:r>
      <w:r w:rsidR="00080007">
        <w:rPr>
          <w:sz w:val="24"/>
          <w:szCs w:val="24"/>
        </w:rPr>
        <w:t>retain an expert qualified to opine on the scope and necessity of the MGP remediation work performed by Duke</w:t>
      </w:r>
      <w:r>
        <w:rPr>
          <w:sz w:val="24"/>
          <w:szCs w:val="24"/>
        </w:rPr>
        <w:t>.</w:t>
      </w:r>
      <w:r w:rsidR="00080007">
        <w:rPr>
          <w:sz w:val="24"/>
          <w:szCs w:val="24"/>
        </w:rPr>
        <w:t xml:space="preserve"> </w:t>
      </w:r>
      <w:r>
        <w:rPr>
          <w:sz w:val="24"/>
          <w:szCs w:val="24"/>
        </w:rPr>
        <w:t>B</w:t>
      </w:r>
      <w:r w:rsidR="00080007">
        <w:rPr>
          <w:sz w:val="24"/>
          <w:szCs w:val="24"/>
        </w:rPr>
        <w:t>ut that does not mean the Staff could not -- with appropriate expertise -- have rendered such an opinion.</w:t>
      </w:r>
      <w:r>
        <w:rPr>
          <w:sz w:val="24"/>
          <w:szCs w:val="24"/>
        </w:rPr>
        <w:t xml:space="preserve"> </w:t>
      </w:r>
      <w:r w:rsidR="00080007">
        <w:rPr>
          <w:sz w:val="24"/>
          <w:szCs w:val="24"/>
        </w:rPr>
        <w:t xml:space="preserve"> </w:t>
      </w:r>
    </w:p>
    <w:p w14:paraId="02979C6F" w14:textId="4E1BAED2" w:rsidR="00080007" w:rsidRPr="007D6AD3" w:rsidRDefault="00080007" w:rsidP="00A8488A">
      <w:pPr>
        <w:spacing w:line="480" w:lineRule="auto"/>
        <w:ind w:firstLine="720"/>
        <w:rPr>
          <w:sz w:val="24"/>
          <w:szCs w:val="24"/>
        </w:rPr>
      </w:pPr>
      <w:r>
        <w:rPr>
          <w:sz w:val="24"/>
          <w:szCs w:val="24"/>
        </w:rPr>
        <w:t xml:space="preserve">More importantly, </w:t>
      </w:r>
      <w:r w:rsidR="00EA5456">
        <w:rPr>
          <w:sz w:val="24"/>
          <w:szCs w:val="24"/>
        </w:rPr>
        <w:t xml:space="preserve">the </w:t>
      </w:r>
      <w:r>
        <w:rPr>
          <w:sz w:val="24"/>
          <w:szCs w:val="24"/>
        </w:rPr>
        <w:t xml:space="preserve">Staff’s decision not to review the scope or necessity of Duke’s remediation expenditures does not mean that the Commission cannot consider such evidence if presented by another party at the evidentiary hearing.  This exact point is stated in the Memorandum Contra that the Staff filed in response to the Duke Motions.  The Staff </w:t>
      </w:r>
      <w:r w:rsidR="005705FE">
        <w:rPr>
          <w:sz w:val="24"/>
          <w:szCs w:val="24"/>
        </w:rPr>
        <w:t>states</w:t>
      </w:r>
      <w:r>
        <w:rPr>
          <w:sz w:val="24"/>
          <w:szCs w:val="24"/>
        </w:rPr>
        <w:t>, “</w:t>
      </w:r>
      <w:r w:rsidRPr="007D6AD3">
        <w:rPr>
          <w:sz w:val="24"/>
          <w:szCs w:val="24"/>
        </w:rPr>
        <w:t>The Commission’s ability to examine and question the prudency or reasonableness of Duke’s MGP remediation expenses is not somehow diminished by the Staff Report.</w:t>
      </w:r>
      <w:r w:rsidR="005705FE">
        <w:rPr>
          <w:sz w:val="24"/>
          <w:szCs w:val="24"/>
        </w:rPr>
        <w:t>”</w:t>
      </w:r>
      <w:r w:rsidRPr="005324B7">
        <w:rPr>
          <w:rStyle w:val="FootnoteReference"/>
        </w:rPr>
        <w:footnoteReference w:id="26"/>
      </w:r>
      <w:r>
        <w:rPr>
          <w:sz w:val="24"/>
          <w:szCs w:val="24"/>
        </w:rPr>
        <w:t xml:space="preserve">  The Staff also state</w:t>
      </w:r>
      <w:r w:rsidR="005705FE">
        <w:rPr>
          <w:sz w:val="24"/>
          <w:szCs w:val="24"/>
        </w:rPr>
        <w:t>s</w:t>
      </w:r>
      <w:r>
        <w:rPr>
          <w:sz w:val="24"/>
          <w:szCs w:val="24"/>
        </w:rPr>
        <w:t>, “</w:t>
      </w:r>
      <w:r w:rsidRPr="007D6AD3">
        <w:rPr>
          <w:sz w:val="24"/>
          <w:szCs w:val="24"/>
        </w:rPr>
        <w:t>The Commission has the authority to examine Duke’s expenditures and determine what should and should not be included in Duke’s rates. The Commission has this authority regardless of Staff’s position in this case</w:t>
      </w:r>
      <w:r>
        <w:rPr>
          <w:sz w:val="24"/>
          <w:szCs w:val="24"/>
        </w:rPr>
        <w:t>.”</w:t>
      </w:r>
      <w:r w:rsidRPr="005324B7">
        <w:rPr>
          <w:rStyle w:val="FootnoteReference"/>
        </w:rPr>
        <w:footnoteReference w:id="27"/>
      </w:r>
    </w:p>
    <w:p w14:paraId="2C05975F" w14:textId="65E1C1E4" w:rsidR="00080007" w:rsidRDefault="00080007" w:rsidP="009F7113">
      <w:pPr>
        <w:tabs>
          <w:tab w:val="num" w:pos="720"/>
        </w:tabs>
        <w:spacing w:line="480" w:lineRule="auto"/>
        <w:rPr>
          <w:sz w:val="24"/>
          <w:szCs w:val="24"/>
        </w:rPr>
      </w:pPr>
      <w:r>
        <w:rPr>
          <w:sz w:val="24"/>
          <w:szCs w:val="24"/>
        </w:rPr>
        <w:tab/>
        <w:t>As noted earlier, Ohio law requires that the Commission find rates to be just and reasonable, and costs to be prudently incurred.</w:t>
      </w:r>
      <w:r w:rsidRPr="005324B7">
        <w:rPr>
          <w:rStyle w:val="FootnoteReference"/>
        </w:rPr>
        <w:footnoteReference w:id="28"/>
      </w:r>
      <w:r>
        <w:rPr>
          <w:sz w:val="24"/>
          <w:szCs w:val="24"/>
        </w:rPr>
        <w:t xml:space="preserve">  There is nothing in the law that limits the Commission’s ability to review information in order to determine </w:t>
      </w:r>
      <w:r w:rsidR="005705FE">
        <w:rPr>
          <w:sz w:val="24"/>
          <w:szCs w:val="24"/>
        </w:rPr>
        <w:t xml:space="preserve">that </w:t>
      </w:r>
      <w:r>
        <w:rPr>
          <w:sz w:val="24"/>
          <w:szCs w:val="24"/>
        </w:rPr>
        <w:t xml:space="preserve">costs were prudently incurred.  A review of the scope and necessity of the Utility’s remediation efforts is a necessary step to determining if the MGP-related investigation and remediation costs incurred by Duke were prudent.  </w:t>
      </w:r>
    </w:p>
    <w:p w14:paraId="6D8CDD7E" w14:textId="38EE0A2E" w:rsidR="00080007" w:rsidRDefault="00080007" w:rsidP="00B9499B">
      <w:pPr>
        <w:tabs>
          <w:tab w:val="num" w:pos="720"/>
        </w:tabs>
        <w:spacing w:line="480" w:lineRule="auto"/>
        <w:rPr>
          <w:sz w:val="24"/>
          <w:szCs w:val="24"/>
        </w:rPr>
      </w:pPr>
      <w:r>
        <w:rPr>
          <w:sz w:val="24"/>
          <w:szCs w:val="24"/>
        </w:rPr>
        <w:tab/>
        <w:t xml:space="preserve">To that end, within Duke’s Motion for Clarification, the Utility </w:t>
      </w:r>
      <w:r w:rsidR="00E04E3D">
        <w:rPr>
          <w:sz w:val="24"/>
          <w:szCs w:val="24"/>
        </w:rPr>
        <w:t>deigns</w:t>
      </w:r>
      <w:r>
        <w:rPr>
          <w:sz w:val="24"/>
          <w:szCs w:val="24"/>
        </w:rPr>
        <w:t xml:space="preserve"> to tell the </w:t>
      </w:r>
      <w:r w:rsidR="00D10CE4">
        <w:rPr>
          <w:sz w:val="24"/>
          <w:szCs w:val="24"/>
        </w:rPr>
        <w:t xml:space="preserve">PUCO </w:t>
      </w:r>
      <w:r>
        <w:rPr>
          <w:sz w:val="24"/>
          <w:szCs w:val="24"/>
        </w:rPr>
        <w:t xml:space="preserve">what can and cannot be examined with regards to the prudence of Duke’s remediation expenditures.  Here’s what Duke believes the </w:t>
      </w:r>
      <w:r w:rsidR="00D10CE4">
        <w:rPr>
          <w:sz w:val="24"/>
          <w:szCs w:val="24"/>
        </w:rPr>
        <w:t xml:space="preserve">PUCO </w:t>
      </w:r>
      <w:r>
        <w:rPr>
          <w:sz w:val="24"/>
          <w:szCs w:val="24"/>
        </w:rPr>
        <w:t>can look at:</w:t>
      </w:r>
    </w:p>
    <w:p w14:paraId="501A1DA3" w14:textId="77777777" w:rsidR="00080007" w:rsidRDefault="00080007" w:rsidP="00CB044D">
      <w:pPr>
        <w:spacing w:after="240"/>
        <w:ind w:left="1440" w:right="720"/>
        <w:rPr>
          <w:sz w:val="24"/>
          <w:szCs w:val="24"/>
        </w:rPr>
      </w:pPr>
      <w:r>
        <w:rPr>
          <w:sz w:val="24"/>
          <w:szCs w:val="24"/>
        </w:rPr>
        <w:t>[Duke’s] requested clarification will not preclude the Commission from examining the prudence of the utility’s environmental remediation efforts.  Consistent with the Commission’s longstanding jurisdiction to scrutinize the prudence and reasonableness of a utility’s expenditures prior to reflecting such expenditures in rates, the Commission can scrutinize the prudence and reasonableness of [Duke’s] remediation expenditures.  For example, the Commission may examine: the [Utility’s] due diligence and decision-making with respect to its determination that it has an MGP remediation obligation; its due diligence and decision-making in the selection of contractors and vendors for this project; the reasonableness of the contracts entered into for this project; and the reasonableness of the actual MGP remediation expenditures.</w:t>
      </w:r>
      <w:r w:rsidRPr="005324B7">
        <w:rPr>
          <w:rStyle w:val="FootnoteReference"/>
        </w:rPr>
        <w:footnoteReference w:id="29"/>
      </w:r>
    </w:p>
    <w:p w14:paraId="14EFE197" w14:textId="6E82616B" w:rsidR="00080007" w:rsidRDefault="003D5687" w:rsidP="000C51B9">
      <w:pPr>
        <w:spacing w:line="480" w:lineRule="auto"/>
        <w:rPr>
          <w:sz w:val="24"/>
          <w:szCs w:val="24"/>
        </w:rPr>
      </w:pPr>
      <w:r>
        <w:rPr>
          <w:sz w:val="24"/>
          <w:szCs w:val="24"/>
        </w:rPr>
        <w:br w:type="page"/>
      </w:r>
      <w:r w:rsidR="00D10CE4">
        <w:rPr>
          <w:sz w:val="24"/>
          <w:szCs w:val="24"/>
        </w:rPr>
        <w:t>Duke can argue what it will in its post-hearing Brief</w:t>
      </w:r>
      <w:r w:rsidR="00080007">
        <w:rPr>
          <w:sz w:val="24"/>
          <w:szCs w:val="24"/>
        </w:rPr>
        <w:t>.</w:t>
      </w:r>
      <w:r w:rsidR="00D10CE4">
        <w:rPr>
          <w:sz w:val="24"/>
          <w:szCs w:val="24"/>
        </w:rPr>
        <w:t xml:space="preserve">  But it is mistaken in endeavoring to limit what the PUCO can review on this issue that could affect consumers up to $65 million.</w:t>
      </w:r>
    </w:p>
    <w:p w14:paraId="60487138" w14:textId="46DC5B13" w:rsidR="00620B76" w:rsidRDefault="00080007" w:rsidP="000C51B9">
      <w:pPr>
        <w:spacing w:line="480" w:lineRule="auto"/>
        <w:ind w:firstLine="720"/>
        <w:rPr>
          <w:sz w:val="24"/>
          <w:szCs w:val="24"/>
        </w:rPr>
      </w:pPr>
      <w:r>
        <w:rPr>
          <w:sz w:val="24"/>
          <w:szCs w:val="24"/>
        </w:rPr>
        <w:t>Examination of the scope and necessity of the investigation and remediation activities are crucial to a prudence review.  For example, the Commission should examine:  which remediation technology(ies) was/were employed, why a certain remediation technology was employed while another was rejected, the cost differences between the various technology options, the extent of the remediation activities that were employed, a review of the Voluntary Action Plan (“VAP”) Rules</w:t>
      </w:r>
      <w:r w:rsidRPr="005324B7">
        <w:rPr>
          <w:rStyle w:val="FootnoteReference"/>
        </w:rPr>
        <w:footnoteReference w:id="30"/>
      </w:r>
      <w:r>
        <w:rPr>
          <w:sz w:val="24"/>
          <w:szCs w:val="24"/>
        </w:rPr>
        <w:t xml:space="preserve"> to determine if the rules provide for variances that would have allowed Duke to mitigate its remediation costs, and a review of Duke’s decision making whether or not to take advantage of such variances.  These are examples of the type of issues the Commission should review, because these are the issues that are central to the determination of prudence.  </w:t>
      </w:r>
    </w:p>
    <w:p w14:paraId="51AE1C7F" w14:textId="47AD65C0" w:rsidR="00080007" w:rsidRDefault="00620B76" w:rsidP="000C51B9">
      <w:pPr>
        <w:spacing w:line="480" w:lineRule="auto"/>
        <w:ind w:firstLine="720"/>
        <w:rPr>
          <w:sz w:val="24"/>
          <w:szCs w:val="24"/>
        </w:rPr>
      </w:pPr>
      <w:r>
        <w:rPr>
          <w:sz w:val="24"/>
          <w:szCs w:val="24"/>
        </w:rPr>
        <w:t>T</w:t>
      </w:r>
      <w:r w:rsidR="00080007">
        <w:rPr>
          <w:sz w:val="24"/>
          <w:szCs w:val="24"/>
        </w:rPr>
        <w:t xml:space="preserve">he </w:t>
      </w:r>
      <w:r>
        <w:rPr>
          <w:sz w:val="24"/>
          <w:szCs w:val="24"/>
        </w:rPr>
        <w:t>PUCO cannot</w:t>
      </w:r>
      <w:r w:rsidR="00080007">
        <w:rPr>
          <w:sz w:val="24"/>
          <w:szCs w:val="24"/>
        </w:rPr>
        <w:t xml:space="preserve"> make a</w:t>
      </w:r>
      <w:r>
        <w:rPr>
          <w:sz w:val="24"/>
          <w:szCs w:val="24"/>
        </w:rPr>
        <w:t>n adequate</w:t>
      </w:r>
      <w:r w:rsidR="00080007">
        <w:rPr>
          <w:sz w:val="24"/>
          <w:szCs w:val="24"/>
        </w:rPr>
        <w:t xml:space="preserve"> determination of the prudence of the actual MGP remediation expenditures </w:t>
      </w:r>
      <w:r>
        <w:rPr>
          <w:sz w:val="24"/>
          <w:szCs w:val="24"/>
        </w:rPr>
        <w:t>under</w:t>
      </w:r>
      <w:r w:rsidR="00080007">
        <w:rPr>
          <w:sz w:val="24"/>
          <w:szCs w:val="24"/>
        </w:rPr>
        <w:t xml:space="preserve"> the limitations that Duke argues the Commission should adhere to in its review.  Duke states:</w:t>
      </w:r>
    </w:p>
    <w:p w14:paraId="1F880849" w14:textId="77777777" w:rsidR="00080007" w:rsidRPr="00A03C66" w:rsidRDefault="00080007" w:rsidP="00CB044D">
      <w:pPr>
        <w:spacing w:after="240"/>
        <w:ind w:left="1440" w:right="720"/>
        <w:rPr>
          <w:sz w:val="24"/>
          <w:szCs w:val="24"/>
        </w:rPr>
      </w:pPr>
      <w:r>
        <w:rPr>
          <w:sz w:val="24"/>
          <w:szCs w:val="24"/>
        </w:rPr>
        <w:t>Thus it is not for the Commission or its Staff to opine on what activities are within or outside of the approach specified by the Ohio VAP Rules, as well as, whether [Duke’s] remediation activities exceeded the approach specified by the Ohio VAP Rules.</w:t>
      </w:r>
      <w:r w:rsidRPr="002A7C48">
        <w:rPr>
          <w:rStyle w:val="FootnoteReference"/>
        </w:rPr>
        <w:footnoteReference w:id="31"/>
      </w:r>
    </w:p>
    <w:p w14:paraId="40B28B52" w14:textId="4831A100" w:rsidR="00080007" w:rsidRDefault="00080007" w:rsidP="00C41986">
      <w:pPr>
        <w:spacing w:line="480" w:lineRule="auto"/>
        <w:rPr>
          <w:sz w:val="24"/>
          <w:szCs w:val="24"/>
        </w:rPr>
      </w:pPr>
      <w:r w:rsidRPr="0094239D">
        <w:rPr>
          <w:sz w:val="24"/>
          <w:szCs w:val="24"/>
        </w:rPr>
        <w:t xml:space="preserve">It is inconceivable </w:t>
      </w:r>
      <w:r w:rsidR="00126C37">
        <w:rPr>
          <w:sz w:val="24"/>
          <w:szCs w:val="24"/>
        </w:rPr>
        <w:t xml:space="preserve">for </w:t>
      </w:r>
      <w:r w:rsidRPr="0094239D">
        <w:rPr>
          <w:sz w:val="24"/>
          <w:szCs w:val="24"/>
        </w:rPr>
        <w:t xml:space="preserve">Duke </w:t>
      </w:r>
      <w:r w:rsidR="00126C37">
        <w:rPr>
          <w:sz w:val="24"/>
          <w:szCs w:val="24"/>
        </w:rPr>
        <w:t>to be</w:t>
      </w:r>
      <w:r w:rsidR="00126C37" w:rsidRPr="0094239D">
        <w:rPr>
          <w:sz w:val="24"/>
          <w:szCs w:val="24"/>
        </w:rPr>
        <w:t xml:space="preserve"> </w:t>
      </w:r>
      <w:r w:rsidRPr="0094239D">
        <w:rPr>
          <w:sz w:val="24"/>
          <w:szCs w:val="24"/>
        </w:rPr>
        <w:t xml:space="preserve">arguing </w:t>
      </w:r>
      <w:r w:rsidR="00126C37">
        <w:rPr>
          <w:sz w:val="24"/>
          <w:szCs w:val="24"/>
        </w:rPr>
        <w:t>that its</w:t>
      </w:r>
      <w:r w:rsidRPr="0094239D">
        <w:rPr>
          <w:sz w:val="24"/>
          <w:szCs w:val="24"/>
        </w:rPr>
        <w:t xml:space="preserve"> remediation activities </w:t>
      </w:r>
      <w:r w:rsidR="00126C37">
        <w:rPr>
          <w:sz w:val="24"/>
          <w:szCs w:val="24"/>
        </w:rPr>
        <w:t>–</w:t>
      </w:r>
      <w:r>
        <w:rPr>
          <w:sz w:val="24"/>
          <w:szCs w:val="24"/>
        </w:rPr>
        <w:t xml:space="preserve"> </w:t>
      </w:r>
      <w:r w:rsidR="00126C37">
        <w:rPr>
          <w:sz w:val="24"/>
          <w:szCs w:val="24"/>
        </w:rPr>
        <w:t xml:space="preserve">which can be connected with </w:t>
      </w:r>
      <w:r w:rsidRPr="0094239D">
        <w:rPr>
          <w:sz w:val="24"/>
          <w:szCs w:val="24"/>
        </w:rPr>
        <w:t>Ohio</w:t>
      </w:r>
      <w:r w:rsidR="005705FE">
        <w:rPr>
          <w:sz w:val="24"/>
          <w:szCs w:val="24"/>
        </w:rPr>
        <w:t>’s</w:t>
      </w:r>
      <w:r w:rsidRPr="0094239D">
        <w:rPr>
          <w:sz w:val="24"/>
          <w:szCs w:val="24"/>
        </w:rPr>
        <w:t xml:space="preserve"> VAP Rules</w:t>
      </w:r>
      <w:r>
        <w:rPr>
          <w:sz w:val="24"/>
          <w:szCs w:val="24"/>
        </w:rPr>
        <w:t xml:space="preserve"> -- are</w:t>
      </w:r>
      <w:r w:rsidRPr="0094239D">
        <w:rPr>
          <w:sz w:val="24"/>
          <w:szCs w:val="24"/>
        </w:rPr>
        <w:t xml:space="preserve"> not an issue the Commission can consider </w:t>
      </w:r>
      <w:r>
        <w:rPr>
          <w:sz w:val="24"/>
          <w:szCs w:val="24"/>
        </w:rPr>
        <w:t>as part of a prudence review</w:t>
      </w:r>
      <w:r w:rsidR="00126C37">
        <w:rPr>
          <w:sz w:val="24"/>
          <w:szCs w:val="24"/>
        </w:rPr>
        <w:t xml:space="preserve"> for purposes of determining what customers should pay for remediation</w:t>
      </w:r>
      <w:r>
        <w:rPr>
          <w:sz w:val="24"/>
          <w:szCs w:val="24"/>
        </w:rPr>
        <w:t>.  There is no statutory or case law precedent limiting the PUCO’s authority to review prudence as argued by Duke.  Rather, the Duke Motions are nothing more than a last</w:t>
      </w:r>
      <w:r w:rsidR="00076CC0">
        <w:rPr>
          <w:sz w:val="24"/>
          <w:szCs w:val="24"/>
        </w:rPr>
        <w:t>-</w:t>
      </w:r>
      <w:r>
        <w:rPr>
          <w:sz w:val="24"/>
          <w:szCs w:val="24"/>
        </w:rPr>
        <w:t>minute attempt to</w:t>
      </w:r>
      <w:r w:rsidR="00076CC0">
        <w:rPr>
          <w:sz w:val="24"/>
          <w:szCs w:val="24"/>
        </w:rPr>
        <w:t xml:space="preserve"> find ways to prevent a ruling that limits what customers will have to pay to Duke</w:t>
      </w:r>
      <w:r w:rsidR="00DC7F46">
        <w:rPr>
          <w:sz w:val="24"/>
          <w:szCs w:val="24"/>
        </w:rPr>
        <w:t>—here by</w:t>
      </w:r>
      <w:r>
        <w:rPr>
          <w:sz w:val="24"/>
          <w:szCs w:val="24"/>
        </w:rPr>
        <w:t xml:space="preserve"> </w:t>
      </w:r>
      <w:r w:rsidR="00DC7F46">
        <w:rPr>
          <w:sz w:val="24"/>
          <w:szCs w:val="24"/>
        </w:rPr>
        <w:t xml:space="preserve">constraining </w:t>
      </w:r>
      <w:r>
        <w:rPr>
          <w:sz w:val="24"/>
          <w:szCs w:val="24"/>
        </w:rPr>
        <w:t>the PUCO’s authority.  Based upon the Testimony of James R. Campbell, Duke’s remediation activities far exceeded the approach specified by the Ohio VAP Rules in the amount of between $57.3 million</w:t>
      </w:r>
      <w:r w:rsidRPr="005324B7">
        <w:rPr>
          <w:rStyle w:val="FootnoteReference"/>
        </w:rPr>
        <w:footnoteReference w:id="32"/>
      </w:r>
      <w:r>
        <w:rPr>
          <w:sz w:val="24"/>
          <w:szCs w:val="24"/>
        </w:rPr>
        <w:t xml:space="preserve"> and $64.1 million</w:t>
      </w:r>
      <w:r w:rsidR="00DC7F46">
        <w:rPr>
          <w:sz w:val="24"/>
          <w:szCs w:val="24"/>
        </w:rPr>
        <w:t xml:space="preserve"> – and utility customers should not have to pay for that even if Duke wants to pay for that</w:t>
      </w:r>
      <w:r>
        <w:rPr>
          <w:sz w:val="24"/>
          <w:szCs w:val="24"/>
        </w:rPr>
        <w:t>.</w:t>
      </w:r>
      <w:r w:rsidRPr="005324B7">
        <w:rPr>
          <w:rStyle w:val="FootnoteReference"/>
        </w:rPr>
        <w:footnoteReference w:id="33"/>
      </w:r>
    </w:p>
    <w:p w14:paraId="1C97A87A" w14:textId="77777777" w:rsidR="00080007" w:rsidRDefault="00080007" w:rsidP="00C41986">
      <w:pPr>
        <w:spacing w:line="480" w:lineRule="auto"/>
        <w:rPr>
          <w:sz w:val="24"/>
          <w:szCs w:val="24"/>
        </w:rPr>
      </w:pPr>
      <w:r>
        <w:rPr>
          <w:sz w:val="24"/>
          <w:szCs w:val="24"/>
        </w:rPr>
        <w:tab/>
        <w:t>Duke argues that “the statutory scheme and regulation setting forth the Commission</w:t>
      </w:r>
      <w:r w:rsidR="005705FE">
        <w:rPr>
          <w:sz w:val="24"/>
          <w:szCs w:val="24"/>
        </w:rPr>
        <w:t>’s</w:t>
      </w:r>
      <w:r>
        <w:rPr>
          <w:sz w:val="24"/>
          <w:szCs w:val="24"/>
        </w:rPr>
        <w:t xml:space="preserve"> ratemaking responsibilities do not confer upon the Commission the ability to pass upon actions taken by a utility under another agency’s purview.”</w:t>
      </w:r>
      <w:r w:rsidRPr="005324B7">
        <w:rPr>
          <w:rStyle w:val="FootnoteReference"/>
        </w:rPr>
        <w:footnoteReference w:id="34"/>
      </w:r>
      <w:r>
        <w:rPr>
          <w:sz w:val="24"/>
          <w:szCs w:val="24"/>
        </w:rPr>
        <w:t xml:space="preserve">  In these cases Duke is suggesting the Ohio EPA administers the VAP Rules and the PUCO is not vested with the power to interpret the Ohio VAP Rules or evaluate the propriety of utilities</w:t>
      </w:r>
      <w:r w:rsidR="005705FE">
        <w:rPr>
          <w:sz w:val="24"/>
          <w:szCs w:val="24"/>
        </w:rPr>
        <w:t>’</w:t>
      </w:r>
      <w:r>
        <w:rPr>
          <w:sz w:val="24"/>
          <w:szCs w:val="24"/>
        </w:rPr>
        <w:t xml:space="preserve"> environmental remediation decisions under the VAP Rules.</w:t>
      </w:r>
      <w:r w:rsidRPr="002A7C48">
        <w:rPr>
          <w:rStyle w:val="FootnoteReference"/>
        </w:rPr>
        <w:footnoteReference w:id="35"/>
      </w:r>
    </w:p>
    <w:p w14:paraId="2EE327A9" w14:textId="77777777" w:rsidR="003D5687" w:rsidRDefault="00080007" w:rsidP="00D07914">
      <w:pPr>
        <w:spacing w:line="480" w:lineRule="auto"/>
        <w:rPr>
          <w:sz w:val="24"/>
          <w:szCs w:val="24"/>
        </w:rPr>
      </w:pPr>
      <w:r>
        <w:rPr>
          <w:sz w:val="24"/>
          <w:szCs w:val="24"/>
        </w:rPr>
        <w:tab/>
        <w:t>Duke’s arguments do not apply</w:t>
      </w:r>
      <w:r w:rsidR="009C7FA1">
        <w:rPr>
          <w:sz w:val="24"/>
          <w:szCs w:val="24"/>
        </w:rPr>
        <w:t xml:space="preserve">.  </w:t>
      </w:r>
      <w:r>
        <w:rPr>
          <w:sz w:val="24"/>
          <w:szCs w:val="24"/>
        </w:rPr>
        <w:t xml:space="preserve"> </w:t>
      </w:r>
      <w:r w:rsidR="009C7FA1">
        <w:rPr>
          <w:sz w:val="24"/>
          <w:szCs w:val="24"/>
        </w:rPr>
        <w:t xml:space="preserve">Examples of considering the impact of other regulations on prudence reviews include </w:t>
      </w:r>
      <w:r>
        <w:rPr>
          <w:sz w:val="24"/>
          <w:szCs w:val="24"/>
        </w:rPr>
        <w:t>the Commission’s prior determinations in the investigation of the Perry Nuclear Plant.</w:t>
      </w:r>
      <w:r w:rsidRPr="002A7C48">
        <w:rPr>
          <w:rStyle w:val="FootnoteReference"/>
        </w:rPr>
        <w:footnoteReference w:id="36"/>
      </w:r>
      <w:r>
        <w:rPr>
          <w:sz w:val="24"/>
          <w:szCs w:val="24"/>
        </w:rPr>
        <w:t xml:space="preserve">  In the Perry case, the Commission initiated a proceeding to evaluate the reasonableness (prudence) of the costs incurred and the management decisions made during the construction of Perry Nuclear Generating Unit 1 </w:t>
      </w:r>
    </w:p>
    <w:p w14:paraId="01270214" w14:textId="5B753790" w:rsidR="00080007" w:rsidRDefault="003D5687" w:rsidP="00D07914">
      <w:pPr>
        <w:spacing w:line="480" w:lineRule="auto"/>
        <w:rPr>
          <w:sz w:val="24"/>
          <w:szCs w:val="24"/>
        </w:rPr>
      </w:pPr>
      <w:r>
        <w:rPr>
          <w:sz w:val="24"/>
          <w:szCs w:val="24"/>
        </w:rPr>
        <w:br w:type="page"/>
      </w:r>
      <w:r w:rsidR="00080007">
        <w:rPr>
          <w:sz w:val="24"/>
          <w:szCs w:val="24"/>
        </w:rPr>
        <w:t>and common facilities.  The investigation covered the period of time commencing with the initial decision to construct the Perry Plant through the date of the fuel load on March 21, 1986.</w:t>
      </w:r>
      <w:r w:rsidR="00080007" w:rsidRPr="002A7C48">
        <w:rPr>
          <w:rStyle w:val="FootnoteReference"/>
        </w:rPr>
        <w:footnoteReference w:id="37"/>
      </w:r>
      <w:r w:rsidR="00080007">
        <w:rPr>
          <w:sz w:val="24"/>
          <w:szCs w:val="24"/>
        </w:rPr>
        <w:t xml:space="preserve">  The total costs under review were $4.153 billion, and as a result of the Commission’s investigation, it was determined that the accounts and records of Cleveland Electric Illuminating, Toledo Edison and Ohio Edison should be restated to eliminate $628 million of imprudently incurred or unreasonable construction costs from the asset value of the Perry Plant.</w:t>
      </w:r>
      <w:r w:rsidR="00080007" w:rsidRPr="002A7C48">
        <w:rPr>
          <w:rStyle w:val="FootnoteReference"/>
        </w:rPr>
        <w:footnoteReference w:id="38"/>
      </w:r>
      <w:r w:rsidR="00080007">
        <w:rPr>
          <w:sz w:val="24"/>
          <w:szCs w:val="24"/>
        </w:rPr>
        <w:t xml:space="preserve">  Interestingly the Commission’s regulatory scheme did permit it </w:t>
      </w:r>
      <w:r w:rsidR="005705FE">
        <w:rPr>
          <w:sz w:val="24"/>
          <w:szCs w:val="24"/>
        </w:rPr>
        <w:t xml:space="preserve">to </w:t>
      </w:r>
      <w:r w:rsidR="00080007">
        <w:rPr>
          <w:sz w:val="24"/>
          <w:szCs w:val="24"/>
        </w:rPr>
        <w:t xml:space="preserve">investigate and to render a determination on prudence of utility expenditure decisions that were undoubtedly made </w:t>
      </w:r>
      <w:r w:rsidR="009C7FA1">
        <w:rPr>
          <w:sz w:val="24"/>
          <w:szCs w:val="24"/>
        </w:rPr>
        <w:t xml:space="preserve">subject to </w:t>
      </w:r>
      <w:r w:rsidR="00080007">
        <w:rPr>
          <w:sz w:val="24"/>
          <w:szCs w:val="24"/>
        </w:rPr>
        <w:t xml:space="preserve">the purview of another agency -- the Nuclear Regulatory Commission.  </w:t>
      </w:r>
    </w:p>
    <w:p w14:paraId="50875DC1" w14:textId="77777777" w:rsidR="00080007" w:rsidRDefault="00080007" w:rsidP="001E6503">
      <w:pPr>
        <w:spacing w:line="480" w:lineRule="auto"/>
        <w:ind w:firstLine="720"/>
        <w:rPr>
          <w:sz w:val="24"/>
          <w:szCs w:val="24"/>
        </w:rPr>
      </w:pPr>
      <w:r>
        <w:rPr>
          <w:sz w:val="24"/>
          <w:szCs w:val="24"/>
        </w:rPr>
        <w:t>At its most absurd, the Utility argues that the scope and necessity of Duke’s investigation and remediation activities are too complicated and should not be permitted to bog down the hearing.  Duke in its Motion to Clarify states:</w:t>
      </w:r>
    </w:p>
    <w:p w14:paraId="7424A08F" w14:textId="77777777" w:rsidR="00080007" w:rsidRDefault="00080007" w:rsidP="00CB044D">
      <w:pPr>
        <w:spacing w:after="240"/>
        <w:ind w:left="1440" w:right="720"/>
        <w:rPr>
          <w:sz w:val="24"/>
          <w:szCs w:val="24"/>
        </w:rPr>
      </w:pPr>
      <w:r>
        <w:rPr>
          <w:sz w:val="24"/>
          <w:szCs w:val="24"/>
        </w:rPr>
        <w:t>Beyond the statutory limitations on the Commission’s powers, the Commission should exclude consideration and discussion of the scope and necessity of the specific remedial actions chosen by the [Utility] for reasons of administrative economy.  Testimony and examination on environmental scope and necessity issues would unnecessarily and unlawfully broaden the focus of the proceedings, which already include countless components for the Commission’s consideration.  Administrative economy strongly urges the Commission to exclude testimony on and inquiry into the scope and necessity of the environmental remediation decisions made by the [Utility].  Inquiry into these issues would unnecessarily confuse the regulatory standard for recovery of the costs the [Utility] seeks to recover and, moreover, as stated above, would be outside the limits of the Commission’s jurisdiction.</w:t>
      </w:r>
      <w:r w:rsidRPr="002A7C48">
        <w:rPr>
          <w:rStyle w:val="FootnoteReference"/>
        </w:rPr>
        <w:footnoteReference w:id="39"/>
      </w:r>
    </w:p>
    <w:p w14:paraId="3C308563" w14:textId="7B67E432" w:rsidR="00080007" w:rsidRDefault="00080007" w:rsidP="008F225B">
      <w:pPr>
        <w:spacing w:line="480" w:lineRule="auto"/>
        <w:rPr>
          <w:sz w:val="24"/>
          <w:szCs w:val="24"/>
        </w:rPr>
      </w:pPr>
      <w:r>
        <w:rPr>
          <w:sz w:val="24"/>
          <w:szCs w:val="24"/>
        </w:rPr>
        <w:t>Duke</w:t>
      </w:r>
      <w:r w:rsidR="005705FE">
        <w:rPr>
          <w:sz w:val="24"/>
          <w:szCs w:val="24"/>
        </w:rPr>
        <w:t xml:space="preserve">’s argument is mere obfuscation.  Certainly, the Commission </w:t>
      </w:r>
      <w:r>
        <w:rPr>
          <w:sz w:val="24"/>
          <w:szCs w:val="24"/>
        </w:rPr>
        <w:t xml:space="preserve">can investigate the prudence of </w:t>
      </w:r>
      <w:r w:rsidR="005705FE">
        <w:rPr>
          <w:sz w:val="24"/>
          <w:szCs w:val="24"/>
        </w:rPr>
        <w:t xml:space="preserve">a </w:t>
      </w:r>
      <w:r>
        <w:rPr>
          <w:sz w:val="24"/>
          <w:szCs w:val="24"/>
        </w:rPr>
        <w:t>utility</w:t>
      </w:r>
      <w:r w:rsidR="009C7FA1">
        <w:rPr>
          <w:sz w:val="24"/>
          <w:szCs w:val="24"/>
        </w:rPr>
        <w:t>’s</w:t>
      </w:r>
      <w:r>
        <w:rPr>
          <w:sz w:val="24"/>
          <w:szCs w:val="24"/>
        </w:rPr>
        <w:t xml:space="preserve"> </w:t>
      </w:r>
      <w:r w:rsidR="005705FE">
        <w:rPr>
          <w:sz w:val="24"/>
          <w:szCs w:val="24"/>
        </w:rPr>
        <w:t xml:space="preserve">MGP </w:t>
      </w:r>
      <w:r>
        <w:rPr>
          <w:sz w:val="24"/>
          <w:szCs w:val="24"/>
        </w:rPr>
        <w:t xml:space="preserve">expenditures </w:t>
      </w:r>
      <w:r w:rsidR="005705FE">
        <w:rPr>
          <w:sz w:val="24"/>
          <w:szCs w:val="24"/>
        </w:rPr>
        <w:t xml:space="preserve">just like it had the authority to investigate the prudence of </w:t>
      </w:r>
      <w:r>
        <w:rPr>
          <w:sz w:val="24"/>
          <w:szCs w:val="24"/>
        </w:rPr>
        <w:t xml:space="preserve">the construction of a nuclear facility.  </w:t>
      </w:r>
    </w:p>
    <w:p w14:paraId="2C79EF1F" w14:textId="77777777" w:rsidR="00080007" w:rsidRDefault="00080007" w:rsidP="008F225B">
      <w:pPr>
        <w:spacing w:line="480" w:lineRule="auto"/>
        <w:ind w:firstLine="720"/>
        <w:rPr>
          <w:sz w:val="24"/>
          <w:szCs w:val="24"/>
        </w:rPr>
      </w:pPr>
      <w:r>
        <w:rPr>
          <w:sz w:val="24"/>
          <w:szCs w:val="24"/>
        </w:rPr>
        <w:t>Therefore, the Motion to Clarify should be denied.</w:t>
      </w:r>
    </w:p>
    <w:p w14:paraId="5CD74F07" w14:textId="10F9F15A" w:rsidR="00080007" w:rsidRDefault="00EA0E1D" w:rsidP="00EA0E1D">
      <w:pPr>
        <w:pStyle w:val="Heading2"/>
      </w:pPr>
      <w:bookmarkStart w:id="20" w:name="_Toc354492852"/>
      <w:bookmarkStart w:id="21" w:name="_Toc354493014"/>
      <w:r>
        <w:t>C.</w:t>
      </w:r>
      <w:r>
        <w:tab/>
      </w:r>
      <w:r w:rsidR="00080007" w:rsidRPr="00962018">
        <w:t xml:space="preserve">Duke’s Motion to Strike the Testimony of James R. Campbell is an Unlawful </w:t>
      </w:r>
      <w:r w:rsidR="005705FE">
        <w:t>A</w:t>
      </w:r>
      <w:r w:rsidR="00080007" w:rsidRPr="00962018">
        <w:t>ttempt to Prevent OCC from Presenting Evidence on the Imprudence of Du</w:t>
      </w:r>
      <w:r w:rsidR="00080007">
        <w:t>k</w:t>
      </w:r>
      <w:r w:rsidR="00080007" w:rsidRPr="00962018">
        <w:t>e’s Remediation Costs</w:t>
      </w:r>
      <w:r w:rsidR="004B10F0">
        <w:t xml:space="preserve"> that It Seeks to Charge Customers</w:t>
      </w:r>
      <w:r w:rsidR="00080007" w:rsidRPr="00962018">
        <w:t>.</w:t>
      </w:r>
      <w:bookmarkEnd w:id="20"/>
      <w:bookmarkEnd w:id="21"/>
    </w:p>
    <w:p w14:paraId="4AFFA66B" w14:textId="3DAF03E3" w:rsidR="00080007" w:rsidRDefault="00080007" w:rsidP="00D3125A">
      <w:pPr>
        <w:spacing w:line="480" w:lineRule="auto"/>
        <w:ind w:firstLine="720"/>
        <w:rPr>
          <w:sz w:val="24"/>
          <w:szCs w:val="24"/>
        </w:rPr>
      </w:pPr>
      <w:r w:rsidRPr="007659E7">
        <w:rPr>
          <w:sz w:val="24"/>
          <w:szCs w:val="24"/>
        </w:rPr>
        <w:t>Duke’s Motion to Strike the testimony of James R. Campbell is based upon the same</w:t>
      </w:r>
      <w:r>
        <w:rPr>
          <w:sz w:val="24"/>
          <w:szCs w:val="24"/>
        </w:rPr>
        <w:t xml:space="preserve"> </w:t>
      </w:r>
      <w:r w:rsidRPr="007659E7">
        <w:rPr>
          <w:sz w:val="24"/>
          <w:szCs w:val="24"/>
        </w:rPr>
        <w:t xml:space="preserve">arguments that </w:t>
      </w:r>
      <w:r>
        <w:rPr>
          <w:sz w:val="24"/>
          <w:szCs w:val="24"/>
        </w:rPr>
        <w:t>support its Motion to Clarify</w:t>
      </w:r>
      <w:r w:rsidR="00E90D25">
        <w:rPr>
          <w:sz w:val="24"/>
          <w:szCs w:val="24"/>
        </w:rPr>
        <w:t>.</w:t>
      </w:r>
      <w:r>
        <w:rPr>
          <w:sz w:val="24"/>
          <w:szCs w:val="24"/>
        </w:rPr>
        <w:t xml:space="preserve"> </w:t>
      </w:r>
      <w:r w:rsidR="00E90D25">
        <w:rPr>
          <w:sz w:val="24"/>
          <w:szCs w:val="24"/>
        </w:rPr>
        <w:t xml:space="preserve"> F</w:t>
      </w:r>
      <w:r>
        <w:rPr>
          <w:sz w:val="24"/>
          <w:szCs w:val="24"/>
        </w:rPr>
        <w:t>or the same reasons as argued above, the Motion to Strike should also be denied.</w:t>
      </w:r>
    </w:p>
    <w:p w14:paraId="4CA03FC5" w14:textId="77777777" w:rsidR="00080007" w:rsidRDefault="00080007" w:rsidP="00D3125A">
      <w:pPr>
        <w:spacing w:line="480" w:lineRule="auto"/>
        <w:ind w:firstLine="720"/>
        <w:rPr>
          <w:sz w:val="24"/>
          <w:szCs w:val="24"/>
        </w:rPr>
      </w:pPr>
      <w:r>
        <w:rPr>
          <w:sz w:val="24"/>
          <w:szCs w:val="24"/>
        </w:rPr>
        <w:t xml:space="preserve">An additional argument that Duke makes with regard to Mr. Campbell is that he is not a certified professional (“CP”) under the Ohio VAP Rules.  Duke states: </w:t>
      </w:r>
    </w:p>
    <w:p w14:paraId="3ABB4DCC" w14:textId="53F17038" w:rsidR="00080007" w:rsidRPr="007659E7" w:rsidRDefault="00080007" w:rsidP="00CB044D">
      <w:pPr>
        <w:spacing w:after="240"/>
        <w:ind w:left="1440" w:right="720"/>
        <w:rPr>
          <w:sz w:val="24"/>
          <w:szCs w:val="24"/>
        </w:rPr>
      </w:pPr>
      <w:r>
        <w:rPr>
          <w:sz w:val="24"/>
          <w:szCs w:val="24"/>
        </w:rPr>
        <w:t xml:space="preserve">According to the Ohio EPA’s website, which contains a list of all </w:t>
      </w:r>
      <w:r w:rsidR="005705FE">
        <w:rPr>
          <w:sz w:val="24"/>
          <w:szCs w:val="24"/>
        </w:rPr>
        <w:t xml:space="preserve">certified professionals </w:t>
      </w:r>
      <w:r>
        <w:rPr>
          <w:sz w:val="24"/>
          <w:szCs w:val="24"/>
        </w:rPr>
        <w:t>under the VAP</w:t>
      </w:r>
      <w:r w:rsidR="005705FE">
        <w:rPr>
          <w:sz w:val="24"/>
          <w:szCs w:val="24"/>
        </w:rPr>
        <w:t>,</w:t>
      </w:r>
      <w:r w:rsidR="00CB044D">
        <w:rPr>
          <w:sz w:val="24"/>
          <w:szCs w:val="24"/>
        </w:rPr>
        <w:t xml:space="preserve"> </w:t>
      </w:r>
      <w:r w:rsidR="005705FE">
        <w:rPr>
          <w:sz w:val="24"/>
          <w:szCs w:val="24"/>
        </w:rPr>
        <w:t>OCC witness Campbell is not a certified professional under the VAP</w:t>
      </w:r>
      <w:r>
        <w:rPr>
          <w:sz w:val="24"/>
          <w:szCs w:val="24"/>
        </w:rPr>
        <w:t xml:space="preserve"> and, therefore, OCC Witness Campbell is not qualified to make determinations whether applicable standards have been met under the VAP.</w:t>
      </w:r>
      <w:r w:rsidRPr="002A7C48">
        <w:rPr>
          <w:rStyle w:val="FootnoteReference"/>
        </w:rPr>
        <w:footnoteReference w:id="40"/>
      </w:r>
    </w:p>
    <w:p w14:paraId="3EA44DCC" w14:textId="3331B025" w:rsidR="00080007" w:rsidRDefault="00080007" w:rsidP="00DE78E3">
      <w:pPr>
        <w:spacing w:line="480" w:lineRule="auto"/>
        <w:rPr>
          <w:sz w:val="24"/>
          <w:szCs w:val="24"/>
        </w:rPr>
      </w:pPr>
      <w:r>
        <w:rPr>
          <w:sz w:val="24"/>
          <w:szCs w:val="24"/>
        </w:rPr>
        <w:t>It is true that Mr. Campbell is not a CP under the Ohio VAP Rules.  However, Mr. Campbell’s education (MS in Civil and Environmental Engineering and Ph.D. in Civil and Environmental Engineering)</w:t>
      </w:r>
      <w:r w:rsidRPr="002A7C48">
        <w:rPr>
          <w:rStyle w:val="FootnoteReference"/>
        </w:rPr>
        <w:footnoteReference w:id="41"/>
      </w:r>
      <w:r>
        <w:rPr>
          <w:sz w:val="24"/>
          <w:szCs w:val="24"/>
        </w:rPr>
        <w:t xml:space="preserve"> and over thirty years of environmental remediation experience</w:t>
      </w:r>
      <w:r w:rsidR="005705FE">
        <w:rPr>
          <w:sz w:val="24"/>
          <w:szCs w:val="24"/>
        </w:rPr>
        <w:t>,</w:t>
      </w:r>
      <w:r w:rsidRPr="002A7C48">
        <w:rPr>
          <w:rStyle w:val="FootnoteReference"/>
        </w:rPr>
        <w:footnoteReference w:id="42"/>
      </w:r>
      <w:r w:rsidR="005705FE">
        <w:rPr>
          <w:sz w:val="24"/>
          <w:szCs w:val="24"/>
        </w:rPr>
        <w:t xml:space="preserve"> specifically in MGP assessment and remediation,</w:t>
      </w:r>
      <w:r>
        <w:rPr>
          <w:sz w:val="24"/>
          <w:szCs w:val="24"/>
        </w:rPr>
        <w:t xml:space="preserve"> </w:t>
      </w:r>
      <w:r w:rsidR="005705FE">
        <w:rPr>
          <w:sz w:val="24"/>
          <w:szCs w:val="24"/>
        </w:rPr>
        <w:t xml:space="preserve">make </w:t>
      </w:r>
      <w:r>
        <w:rPr>
          <w:sz w:val="24"/>
          <w:szCs w:val="24"/>
        </w:rPr>
        <w:t xml:space="preserve">him </w:t>
      </w:r>
      <w:r w:rsidR="005705FE">
        <w:rPr>
          <w:sz w:val="24"/>
          <w:szCs w:val="24"/>
        </w:rPr>
        <w:t>more than qualified to render opinions on the scope and necessity of MGP remediation</w:t>
      </w:r>
      <w:r>
        <w:rPr>
          <w:sz w:val="24"/>
          <w:szCs w:val="24"/>
        </w:rPr>
        <w:t>.</w:t>
      </w:r>
      <w:r w:rsidR="005705FE" w:rsidRPr="002A7C48">
        <w:rPr>
          <w:rStyle w:val="FootnoteReference"/>
        </w:rPr>
        <w:footnoteReference w:id="43"/>
      </w:r>
      <w:r>
        <w:rPr>
          <w:sz w:val="24"/>
          <w:szCs w:val="24"/>
        </w:rPr>
        <w:t xml:space="preserve">  Contrary to Duke’s allegations, Mr. Campbell is more than qualified to make determinations whether applicable standards </w:t>
      </w:r>
      <w:r w:rsidR="004228F1">
        <w:rPr>
          <w:sz w:val="24"/>
          <w:szCs w:val="24"/>
        </w:rPr>
        <w:t xml:space="preserve">could and should </w:t>
      </w:r>
      <w:r>
        <w:rPr>
          <w:sz w:val="24"/>
          <w:szCs w:val="24"/>
        </w:rPr>
        <w:t>have been met under the VAP</w:t>
      </w:r>
      <w:r w:rsidR="004228F1">
        <w:rPr>
          <w:sz w:val="24"/>
          <w:szCs w:val="24"/>
        </w:rPr>
        <w:t xml:space="preserve"> at a significantly lower cost</w:t>
      </w:r>
      <w:r>
        <w:rPr>
          <w:sz w:val="24"/>
          <w:szCs w:val="24"/>
        </w:rPr>
        <w:t xml:space="preserve">.  </w:t>
      </w:r>
      <w:r w:rsidR="004228F1">
        <w:rPr>
          <w:sz w:val="24"/>
          <w:szCs w:val="24"/>
        </w:rPr>
        <w:t xml:space="preserve">Mr. Campbell’s opinions </w:t>
      </w:r>
      <w:r>
        <w:rPr>
          <w:sz w:val="24"/>
          <w:szCs w:val="24"/>
        </w:rPr>
        <w:t xml:space="preserve">should be considered by the Commission in rendering its decision on the prudence of Duke’s remediation expenditures.  </w:t>
      </w:r>
    </w:p>
    <w:p w14:paraId="1B6D3DB2" w14:textId="77777777" w:rsidR="00080007" w:rsidRPr="007659E7" w:rsidRDefault="00080007" w:rsidP="00EA0E1D">
      <w:pPr>
        <w:spacing w:line="480" w:lineRule="auto"/>
        <w:ind w:firstLine="720"/>
        <w:rPr>
          <w:sz w:val="24"/>
          <w:szCs w:val="24"/>
        </w:rPr>
      </w:pPr>
      <w:r>
        <w:rPr>
          <w:sz w:val="24"/>
          <w:szCs w:val="24"/>
        </w:rPr>
        <w:t>Thus, Duke is arguing for a standard that was not established by the Legislature and instead is nothing more than a self-serving means of precluding review of the utility’s actions at the MGP sites.  Therefore, Duke’s Motion to Strike should be denied.</w:t>
      </w:r>
    </w:p>
    <w:p w14:paraId="48E48911" w14:textId="5FACBFDE" w:rsidR="00080007" w:rsidRDefault="00EA0E1D" w:rsidP="00EA0E1D">
      <w:pPr>
        <w:pStyle w:val="Heading2"/>
      </w:pPr>
      <w:bookmarkStart w:id="22" w:name="_Toc354492853"/>
      <w:bookmarkStart w:id="23" w:name="_Toc354493015"/>
      <w:r>
        <w:t>D.</w:t>
      </w:r>
      <w:r>
        <w:tab/>
      </w:r>
      <w:r w:rsidR="00080007">
        <w:t>Duke’s Motions Make No Sense and Should Be Denied.</w:t>
      </w:r>
      <w:bookmarkEnd w:id="22"/>
      <w:bookmarkEnd w:id="23"/>
    </w:p>
    <w:p w14:paraId="026B1BE2" w14:textId="0E1192DD" w:rsidR="00080007" w:rsidRDefault="00080007" w:rsidP="00E969B9">
      <w:pPr>
        <w:spacing w:line="480" w:lineRule="auto"/>
        <w:ind w:firstLine="720"/>
        <w:rPr>
          <w:sz w:val="24"/>
          <w:szCs w:val="24"/>
        </w:rPr>
      </w:pPr>
      <w:r>
        <w:rPr>
          <w:sz w:val="24"/>
          <w:szCs w:val="24"/>
        </w:rPr>
        <w:t xml:space="preserve">The key point from Duke’s Motions is that Duke does not want the testimony of James R. Campbell to be admitted into the record of these proceedings.  Unfortunately for Duke, the Utility could not find a way to accomplish </w:t>
      </w:r>
      <w:r w:rsidR="00F77450">
        <w:rPr>
          <w:sz w:val="24"/>
          <w:szCs w:val="24"/>
        </w:rPr>
        <w:t xml:space="preserve">its </w:t>
      </w:r>
      <w:r>
        <w:rPr>
          <w:sz w:val="24"/>
          <w:szCs w:val="24"/>
        </w:rPr>
        <w:t xml:space="preserve">goal in a manner which is consistent with Commission Rules and the Attorney Examiner’s Entry in this case.  And the way that </w:t>
      </w:r>
      <w:r w:rsidR="00F77450">
        <w:rPr>
          <w:sz w:val="24"/>
          <w:szCs w:val="24"/>
        </w:rPr>
        <w:t xml:space="preserve">Duke has </w:t>
      </w:r>
      <w:r>
        <w:rPr>
          <w:sz w:val="24"/>
          <w:szCs w:val="24"/>
        </w:rPr>
        <w:t xml:space="preserve">attempted to accomplish </w:t>
      </w:r>
      <w:r w:rsidR="00F77450">
        <w:rPr>
          <w:sz w:val="24"/>
          <w:szCs w:val="24"/>
        </w:rPr>
        <w:t xml:space="preserve">its </w:t>
      </w:r>
      <w:r>
        <w:rPr>
          <w:sz w:val="24"/>
          <w:szCs w:val="24"/>
        </w:rPr>
        <w:t xml:space="preserve">goal -- through a Motion to Clarify and Motion to Strike -- makes no sense.     </w:t>
      </w:r>
    </w:p>
    <w:p w14:paraId="6219643F" w14:textId="627E4F48" w:rsidR="00080007" w:rsidRDefault="00080007" w:rsidP="00E969B9">
      <w:pPr>
        <w:spacing w:line="480" w:lineRule="auto"/>
        <w:ind w:firstLine="720"/>
        <w:rPr>
          <w:sz w:val="24"/>
          <w:szCs w:val="24"/>
        </w:rPr>
      </w:pPr>
      <w:r>
        <w:rPr>
          <w:sz w:val="24"/>
          <w:szCs w:val="24"/>
        </w:rPr>
        <w:t xml:space="preserve">As the </w:t>
      </w:r>
      <w:r w:rsidR="00F77450">
        <w:rPr>
          <w:sz w:val="24"/>
          <w:szCs w:val="24"/>
        </w:rPr>
        <w:t xml:space="preserve">PUCO </w:t>
      </w:r>
      <w:r>
        <w:rPr>
          <w:sz w:val="24"/>
          <w:szCs w:val="24"/>
        </w:rPr>
        <w:t xml:space="preserve">Staff points out in its Memorandum Contra to Duke’s Motion to Clarify, it is not clear what the utility is asking for.  </w:t>
      </w:r>
      <w:r w:rsidR="00F77450">
        <w:rPr>
          <w:sz w:val="24"/>
          <w:szCs w:val="24"/>
        </w:rPr>
        <w:t xml:space="preserve">The </w:t>
      </w:r>
      <w:r>
        <w:rPr>
          <w:sz w:val="24"/>
          <w:szCs w:val="24"/>
        </w:rPr>
        <w:t>Staff States:</w:t>
      </w:r>
    </w:p>
    <w:p w14:paraId="0327B91B" w14:textId="3AE17FDB" w:rsidR="00080007" w:rsidRPr="00E969B9" w:rsidRDefault="00080007" w:rsidP="00E969B9">
      <w:pPr>
        <w:autoSpaceDE w:val="0"/>
        <w:autoSpaceDN w:val="0"/>
        <w:adjustRightInd w:val="0"/>
        <w:spacing w:after="240"/>
        <w:ind w:left="1440" w:right="1440"/>
        <w:rPr>
          <w:sz w:val="24"/>
          <w:szCs w:val="24"/>
        </w:rPr>
      </w:pPr>
      <w:r w:rsidRPr="00E969B9">
        <w:rPr>
          <w:sz w:val="24"/>
          <w:szCs w:val="24"/>
        </w:rPr>
        <w:t>Although Duke suggests that its main concern is the Commission interpreting the VAP Rules, Duke’s proposed “clarification” seems to go well beyond addressing its purported concern. Duke asks “the Commission [to] clarify that the propriety of [Duke’s] environmental remediation</w:t>
      </w:r>
      <w:r>
        <w:rPr>
          <w:sz w:val="24"/>
          <w:szCs w:val="24"/>
        </w:rPr>
        <w:t xml:space="preserve"> </w:t>
      </w:r>
      <w:r w:rsidRPr="00E969B9">
        <w:rPr>
          <w:sz w:val="24"/>
          <w:szCs w:val="24"/>
        </w:rPr>
        <w:t xml:space="preserve">efforts…. is not proper for consideration by the Commission in the above-captioned proceeding.” </w:t>
      </w:r>
      <w:r w:rsidRPr="00E969B9">
        <w:rPr>
          <w:i/>
          <w:iCs/>
          <w:sz w:val="24"/>
          <w:szCs w:val="24"/>
        </w:rPr>
        <w:t xml:space="preserve">Id. </w:t>
      </w:r>
      <w:r w:rsidRPr="00E969B9">
        <w:rPr>
          <w:sz w:val="24"/>
          <w:szCs w:val="24"/>
        </w:rPr>
        <w:t>at 1-2. How can the Commission avoid considering “the propriety of</w:t>
      </w:r>
      <w:r w:rsidR="003D5687">
        <w:rPr>
          <w:sz w:val="24"/>
          <w:szCs w:val="24"/>
        </w:rPr>
        <w:t xml:space="preserve"> </w:t>
      </w:r>
      <w:r w:rsidRPr="00E969B9">
        <w:rPr>
          <w:sz w:val="24"/>
          <w:szCs w:val="24"/>
        </w:rPr>
        <w:t>[Duke’s] environmental remediation efforts” while also “scrutiniz[ing] the prudence and reasonableness of [Duke’s] MGP remediation expenditures”? Staff does not believe the Commission can. More importantly, Duke does not explain how it thinks the Commission can.</w:t>
      </w:r>
      <w:r w:rsidRPr="002A7C48">
        <w:rPr>
          <w:rStyle w:val="FootnoteReference"/>
        </w:rPr>
        <w:footnoteReference w:id="44"/>
      </w:r>
    </w:p>
    <w:p w14:paraId="25F500B9" w14:textId="3E60742E" w:rsidR="00080007" w:rsidRDefault="00080007" w:rsidP="00BF360D">
      <w:pPr>
        <w:spacing w:line="480" w:lineRule="auto"/>
        <w:rPr>
          <w:sz w:val="24"/>
          <w:szCs w:val="24"/>
        </w:rPr>
      </w:pPr>
      <w:r>
        <w:rPr>
          <w:sz w:val="24"/>
          <w:szCs w:val="24"/>
        </w:rPr>
        <w:t xml:space="preserve">Finally, Duke’s Motion to Clarify </w:t>
      </w:r>
      <w:r w:rsidR="00A446F6">
        <w:rPr>
          <w:sz w:val="24"/>
          <w:szCs w:val="24"/>
        </w:rPr>
        <w:t>accepts</w:t>
      </w:r>
      <w:r>
        <w:rPr>
          <w:sz w:val="24"/>
          <w:szCs w:val="24"/>
        </w:rPr>
        <w:t xml:space="preserve"> that “the Commission can scrutinize the prudence and reasonableness of [Duke’s] MGP remediation expenditures</w:t>
      </w:r>
      <w:r w:rsidR="0010715C">
        <w:rPr>
          <w:sz w:val="24"/>
          <w:szCs w:val="24"/>
        </w:rPr>
        <w:t>.</w:t>
      </w:r>
      <w:r>
        <w:rPr>
          <w:sz w:val="24"/>
          <w:szCs w:val="24"/>
        </w:rPr>
        <w:t>”</w:t>
      </w:r>
      <w:r w:rsidR="009D3572">
        <w:rPr>
          <w:sz w:val="24"/>
          <w:szCs w:val="24"/>
        </w:rPr>
        <w:t xml:space="preserve"> </w:t>
      </w:r>
      <w:r>
        <w:rPr>
          <w:sz w:val="24"/>
          <w:szCs w:val="24"/>
        </w:rPr>
        <w:t xml:space="preserve"> </w:t>
      </w:r>
      <w:r w:rsidR="009D3572">
        <w:rPr>
          <w:sz w:val="24"/>
          <w:szCs w:val="24"/>
        </w:rPr>
        <w:t xml:space="preserve">Thus, </w:t>
      </w:r>
      <w:r>
        <w:rPr>
          <w:sz w:val="24"/>
          <w:szCs w:val="24"/>
        </w:rPr>
        <w:t xml:space="preserve">Duke’s Motion is </w:t>
      </w:r>
      <w:r w:rsidR="009D3572">
        <w:rPr>
          <w:sz w:val="24"/>
          <w:szCs w:val="24"/>
        </w:rPr>
        <w:t>internally inconsistent and self-contradicting.  It</w:t>
      </w:r>
      <w:r>
        <w:rPr>
          <w:sz w:val="24"/>
          <w:szCs w:val="24"/>
        </w:rPr>
        <w:t xml:space="preserve"> should be denied.</w:t>
      </w:r>
      <w:r w:rsidRPr="002A7C48">
        <w:rPr>
          <w:rStyle w:val="FootnoteReference"/>
        </w:rPr>
        <w:footnoteReference w:id="45"/>
      </w:r>
      <w:r>
        <w:rPr>
          <w:sz w:val="24"/>
          <w:szCs w:val="24"/>
        </w:rPr>
        <w:t xml:space="preserve"> </w:t>
      </w:r>
    </w:p>
    <w:p w14:paraId="2CA2000B" w14:textId="01498E01" w:rsidR="00080007" w:rsidRPr="00537CD9" w:rsidRDefault="00EA0E1D" w:rsidP="00EA0E1D">
      <w:pPr>
        <w:pStyle w:val="Heading2"/>
      </w:pPr>
      <w:bookmarkStart w:id="24" w:name="_Toc354492854"/>
      <w:bookmarkStart w:id="25" w:name="_Toc354493016"/>
      <w:r>
        <w:t>E.</w:t>
      </w:r>
      <w:r>
        <w:tab/>
      </w:r>
      <w:r w:rsidR="00080007" w:rsidRPr="00537CD9">
        <w:t>The Commission’s Order In Duke’s MGP Deferral Case Clarified the PUCO’s Authority to Conduct a Prudence Review at the time the Utility seeks authority to collect remedi</w:t>
      </w:r>
      <w:r w:rsidR="00080007">
        <w:t>ation costs from its customers --</w:t>
      </w:r>
      <w:r w:rsidR="00080007" w:rsidRPr="00537CD9">
        <w:t xml:space="preserve"> and that time is now.</w:t>
      </w:r>
      <w:bookmarkEnd w:id="24"/>
      <w:bookmarkEnd w:id="25"/>
    </w:p>
    <w:p w14:paraId="5DE882FB" w14:textId="03C47A7C" w:rsidR="00080007" w:rsidRDefault="00080007" w:rsidP="00E969B9">
      <w:pPr>
        <w:spacing w:line="480" w:lineRule="auto"/>
        <w:rPr>
          <w:sz w:val="24"/>
          <w:szCs w:val="24"/>
        </w:rPr>
      </w:pPr>
      <w:r w:rsidRPr="00B43503">
        <w:rPr>
          <w:sz w:val="24"/>
          <w:szCs w:val="24"/>
        </w:rPr>
        <w:tab/>
        <w:t xml:space="preserve">Duke </w:t>
      </w:r>
      <w:r>
        <w:rPr>
          <w:sz w:val="24"/>
          <w:szCs w:val="24"/>
        </w:rPr>
        <w:t>requested authority to defer environmental investigation and remediation costs for the East end and West End MGP sites on August 29, 2009.</w:t>
      </w:r>
      <w:r w:rsidRPr="002A7C48">
        <w:rPr>
          <w:rStyle w:val="FootnoteReference"/>
        </w:rPr>
        <w:footnoteReference w:id="46"/>
      </w:r>
      <w:r>
        <w:rPr>
          <w:sz w:val="24"/>
          <w:szCs w:val="24"/>
        </w:rPr>
        <w:t xml:space="preserve">  At the same time Duke also requested authority to recover carrying charges on the deferral balance.</w:t>
      </w:r>
      <w:r w:rsidRPr="002A7C48">
        <w:rPr>
          <w:rStyle w:val="FootnoteReference"/>
        </w:rPr>
        <w:footnoteReference w:id="47"/>
      </w:r>
      <w:r>
        <w:rPr>
          <w:sz w:val="24"/>
          <w:szCs w:val="24"/>
        </w:rPr>
        <w:t xml:space="preserve">  Duke supplemented its Application on October 29, 2009.  Duke’s Supplement was in response to an informal request from </w:t>
      </w:r>
      <w:r w:rsidR="00685E6F">
        <w:rPr>
          <w:sz w:val="24"/>
          <w:szCs w:val="24"/>
        </w:rPr>
        <w:t xml:space="preserve">the PUCO </w:t>
      </w:r>
      <w:r>
        <w:rPr>
          <w:sz w:val="24"/>
          <w:szCs w:val="24"/>
        </w:rPr>
        <w:t>Staff asking for confirmation that the sites were presently used and useful as set forth in R.C. 4909.15.</w:t>
      </w:r>
      <w:r w:rsidRPr="002A7C48">
        <w:rPr>
          <w:rStyle w:val="FootnoteReference"/>
        </w:rPr>
        <w:footnoteReference w:id="48"/>
      </w:r>
      <w:r w:rsidRPr="002A7C48">
        <w:t xml:space="preserve"> </w:t>
      </w:r>
      <w:r>
        <w:rPr>
          <w:sz w:val="24"/>
          <w:szCs w:val="24"/>
        </w:rPr>
        <w:t xml:space="preserve"> However, despite Duke’s characterization, in the supplement, the PUCO found that Duke was requesting deferral authority to include the environmental investigation and remediation costs associated with sites that Duke no longer owns, “or where the site is owned by Duke but is no longer used and useful in the rendition of gas service to customers.”</w:t>
      </w:r>
      <w:r w:rsidRPr="002A7C48">
        <w:rPr>
          <w:rStyle w:val="FootnoteReference"/>
        </w:rPr>
        <w:footnoteReference w:id="49"/>
      </w:r>
    </w:p>
    <w:p w14:paraId="3BF5C0FC" w14:textId="7F0FCF8A" w:rsidR="00080007" w:rsidRDefault="00BF360D" w:rsidP="00E969B9">
      <w:pPr>
        <w:spacing w:line="480" w:lineRule="auto"/>
        <w:rPr>
          <w:sz w:val="24"/>
          <w:szCs w:val="24"/>
        </w:rPr>
      </w:pPr>
      <w:r>
        <w:rPr>
          <w:sz w:val="24"/>
          <w:szCs w:val="24"/>
        </w:rPr>
        <w:br w:type="page"/>
      </w:r>
      <w:r w:rsidR="00080007">
        <w:rPr>
          <w:sz w:val="24"/>
          <w:szCs w:val="24"/>
        </w:rPr>
        <w:tab/>
        <w:t xml:space="preserve">The OCC (on November 10, 2009) and Ohio Partners for Affordable Energy (“OPAE”) (on September 9, 2009) filed </w:t>
      </w:r>
      <w:r w:rsidR="00A16068">
        <w:rPr>
          <w:sz w:val="24"/>
          <w:szCs w:val="24"/>
        </w:rPr>
        <w:t xml:space="preserve">a </w:t>
      </w:r>
      <w:r w:rsidR="00080007">
        <w:rPr>
          <w:sz w:val="24"/>
          <w:szCs w:val="24"/>
        </w:rPr>
        <w:t>Motion to Intervene in the case.  The PUCO granted both Motions to Intervene on November 12, 2009.</w:t>
      </w:r>
      <w:r w:rsidR="00080007" w:rsidRPr="002A7C48">
        <w:rPr>
          <w:rStyle w:val="FootnoteReference"/>
        </w:rPr>
        <w:footnoteReference w:id="50"/>
      </w:r>
      <w:r w:rsidR="00080007">
        <w:rPr>
          <w:sz w:val="24"/>
          <w:szCs w:val="24"/>
        </w:rPr>
        <w:t xml:space="preserve">  OPAE also filed a Motion to Dismiss arguing that Duke should not be permitted to defer environmental investigation and remediation costs because those costs are not lawfully recoverable in Duke’s jurisdictional natural gas distribution rates.</w:t>
      </w:r>
      <w:r w:rsidR="00080007" w:rsidRPr="002A7C48">
        <w:rPr>
          <w:rStyle w:val="FootnoteReference"/>
        </w:rPr>
        <w:footnoteReference w:id="51"/>
      </w:r>
    </w:p>
    <w:p w14:paraId="5DF9494E" w14:textId="77777777" w:rsidR="00080007" w:rsidRDefault="00080007" w:rsidP="00537CD9">
      <w:pPr>
        <w:spacing w:line="480" w:lineRule="auto"/>
        <w:rPr>
          <w:sz w:val="24"/>
          <w:szCs w:val="24"/>
        </w:rPr>
      </w:pPr>
      <w:r>
        <w:rPr>
          <w:sz w:val="24"/>
          <w:szCs w:val="24"/>
        </w:rPr>
        <w:tab/>
        <w:t>Along with its Motion to Intervene, the OCC argued that Duke should only be permitted to defer expenses that were proven to be reasonable and lawful.</w:t>
      </w:r>
      <w:r w:rsidRPr="002A7C48">
        <w:rPr>
          <w:rStyle w:val="FootnoteReference"/>
        </w:rPr>
        <w:footnoteReference w:id="52"/>
      </w:r>
      <w:r>
        <w:rPr>
          <w:sz w:val="24"/>
          <w:szCs w:val="24"/>
        </w:rPr>
        <w:t xml:space="preserve">  The OCC also recommended that the PUCO impose limitations on the Duke deferrals similar to limitations that the PUCO imposed on Columbia Gas of Ohio, Inc. (“Columbia”) in a similar MGP remediation deferral request proceeding.</w:t>
      </w:r>
      <w:r w:rsidRPr="002A7C48">
        <w:rPr>
          <w:rStyle w:val="FootnoteReference"/>
        </w:rPr>
        <w:footnoteReference w:id="53"/>
      </w:r>
    </w:p>
    <w:p w14:paraId="3F7E134C" w14:textId="77777777" w:rsidR="00080007" w:rsidRDefault="00080007" w:rsidP="00537CD9">
      <w:pPr>
        <w:spacing w:line="480" w:lineRule="auto"/>
        <w:rPr>
          <w:sz w:val="24"/>
          <w:szCs w:val="24"/>
        </w:rPr>
      </w:pPr>
      <w:r>
        <w:rPr>
          <w:sz w:val="24"/>
          <w:szCs w:val="24"/>
        </w:rPr>
        <w:tab/>
        <w:t>In response to the arguments raised by the OCC and OPAE, the PUCO stated that the deferrals did not constitute ratemaking.</w:t>
      </w:r>
      <w:r w:rsidRPr="002A7C48">
        <w:rPr>
          <w:rStyle w:val="FootnoteReference"/>
        </w:rPr>
        <w:footnoteReference w:id="54"/>
      </w:r>
      <w:r>
        <w:rPr>
          <w:sz w:val="24"/>
          <w:szCs w:val="24"/>
        </w:rPr>
        <w:t xml:space="preserve">  The PUCO also stated:</w:t>
      </w:r>
    </w:p>
    <w:p w14:paraId="62B71BE8" w14:textId="77777777" w:rsidR="00080007" w:rsidRDefault="00080007" w:rsidP="00CB044D">
      <w:pPr>
        <w:spacing w:after="240"/>
        <w:ind w:left="1440" w:right="720"/>
        <w:rPr>
          <w:sz w:val="24"/>
          <w:szCs w:val="24"/>
        </w:rPr>
      </w:pPr>
      <w:r>
        <w:rPr>
          <w:sz w:val="24"/>
          <w:szCs w:val="24"/>
        </w:rPr>
        <w:t>By considering this application, the Commission is not determining what, if any of these costs may be appropriate for recovery in Duke’s distribution rates.  Therefore, the Commission finds that OPAE’s motion to dismiss this case should be denied.</w:t>
      </w:r>
      <w:r>
        <w:rPr>
          <w:rStyle w:val="FootnoteReference"/>
          <w:sz w:val="24"/>
          <w:szCs w:val="24"/>
        </w:rPr>
        <w:footnoteReference w:id="55"/>
      </w:r>
    </w:p>
    <w:p w14:paraId="25B67032" w14:textId="77777777" w:rsidR="00080007" w:rsidRDefault="00080007" w:rsidP="00537CD9">
      <w:pPr>
        <w:spacing w:line="480" w:lineRule="auto"/>
        <w:rPr>
          <w:sz w:val="24"/>
          <w:szCs w:val="24"/>
        </w:rPr>
      </w:pPr>
      <w:r>
        <w:rPr>
          <w:sz w:val="24"/>
          <w:szCs w:val="24"/>
        </w:rPr>
        <w:t>The Commission also found that:  “</w:t>
      </w:r>
      <w:r w:rsidRPr="000F186B">
        <w:rPr>
          <w:b/>
          <w:bCs/>
          <w:sz w:val="24"/>
          <w:szCs w:val="24"/>
        </w:rPr>
        <w:t xml:space="preserve">the recovery of the deferral amounts will be addressed in a base rate case proceeding should </w:t>
      </w:r>
      <w:r>
        <w:rPr>
          <w:b/>
          <w:bCs/>
          <w:sz w:val="24"/>
          <w:szCs w:val="24"/>
        </w:rPr>
        <w:t>D</w:t>
      </w:r>
      <w:r w:rsidRPr="000F186B">
        <w:rPr>
          <w:b/>
          <w:bCs/>
          <w:sz w:val="24"/>
          <w:szCs w:val="24"/>
        </w:rPr>
        <w:t>uke ever seek to recover the deferrals</w:t>
      </w:r>
      <w:r>
        <w:rPr>
          <w:sz w:val="24"/>
          <w:szCs w:val="24"/>
        </w:rPr>
        <w:t>.”</w:t>
      </w:r>
      <w:r w:rsidRPr="002A7C48">
        <w:rPr>
          <w:rStyle w:val="FootnoteReference"/>
        </w:rPr>
        <w:footnoteReference w:id="56"/>
      </w:r>
    </w:p>
    <w:p w14:paraId="62FAEAA1" w14:textId="77777777" w:rsidR="00080007" w:rsidRDefault="00080007" w:rsidP="00537CD9">
      <w:pPr>
        <w:spacing w:line="480" w:lineRule="auto"/>
        <w:rPr>
          <w:sz w:val="24"/>
          <w:szCs w:val="24"/>
        </w:rPr>
      </w:pPr>
      <w:r>
        <w:rPr>
          <w:sz w:val="24"/>
          <w:szCs w:val="24"/>
        </w:rPr>
        <w:tab/>
        <w:t>Both the OCC and OPAE filed timely Applications for Rehearing on December 11, 2009 and December 9, 2009 respectively.  On December 18, 2009 Duke filed a Memorandum Contra both Applications for Rehearing.  In an Entry on Rehearing filed on January 7, 2010, the PUCO denied the Applications for Rehearing in their entirety.</w:t>
      </w:r>
    </w:p>
    <w:p w14:paraId="03C36D86" w14:textId="0C0BA0D8" w:rsidR="00080007" w:rsidRDefault="00080007" w:rsidP="00537CD9">
      <w:pPr>
        <w:spacing w:line="480" w:lineRule="auto"/>
        <w:rPr>
          <w:sz w:val="24"/>
          <w:szCs w:val="24"/>
        </w:rPr>
      </w:pPr>
      <w:r>
        <w:rPr>
          <w:sz w:val="24"/>
          <w:szCs w:val="24"/>
        </w:rPr>
        <w:tab/>
        <w:t>As part of the Entry on Rehearing the PUCO noted that “Duke points out that this is only an application for authority to defer these costs so that their recovery can be assessed at a later point in time; this is not an application for recovery of these costs.”</w:t>
      </w:r>
      <w:r w:rsidRPr="002A7C48">
        <w:rPr>
          <w:rStyle w:val="FootnoteReference"/>
        </w:rPr>
        <w:footnoteReference w:id="57"/>
      </w:r>
      <w:r>
        <w:rPr>
          <w:sz w:val="24"/>
          <w:szCs w:val="24"/>
        </w:rPr>
        <w:t xml:space="preserve">  In response to many of the issues raised by the OCC and OPAE in the Applications for Rehearing, the PUCO repeated its finding: “</w:t>
      </w:r>
      <w:r w:rsidRPr="000F186B">
        <w:rPr>
          <w:b/>
          <w:bCs/>
          <w:sz w:val="24"/>
          <w:szCs w:val="24"/>
        </w:rPr>
        <w:t>that deferrals do not constitute ratemaking and approval of Duke’s application is not a determination of what, if any of these costs may be appropriate for recovery in Duke’s distribution rates</w:t>
      </w:r>
      <w:r>
        <w:rPr>
          <w:sz w:val="24"/>
          <w:szCs w:val="24"/>
        </w:rPr>
        <w:t>.”</w:t>
      </w:r>
      <w:r w:rsidRPr="002A7C48">
        <w:rPr>
          <w:rStyle w:val="FootnoteReference"/>
        </w:rPr>
        <w:footnoteReference w:id="58"/>
      </w:r>
    </w:p>
    <w:p w14:paraId="61D475DE" w14:textId="37E23C5E" w:rsidR="00080007" w:rsidRDefault="00080007" w:rsidP="00537CD9">
      <w:pPr>
        <w:spacing w:line="480" w:lineRule="auto"/>
        <w:rPr>
          <w:sz w:val="24"/>
          <w:szCs w:val="24"/>
        </w:rPr>
      </w:pPr>
      <w:r>
        <w:rPr>
          <w:sz w:val="24"/>
          <w:szCs w:val="24"/>
        </w:rPr>
        <w:tab/>
        <w:t xml:space="preserve">Now over three years later Duke is questioning whether the PUCO has the jurisdiction to investigate the scope and necessity of the inclusion of any MGP site environmental investigation and remediation costs in Duke’s distribution rates. </w:t>
      </w:r>
      <w:r w:rsidR="00A16068">
        <w:rPr>
          <w:sz w:val="24"/>
          <w:szCs w:val="24"/>
        </w:rPr>
        <w:t xml:space="preserve"> But </w:t>
      </w:r>
      <w:r>
        <w:rPr>
          <w:sz w:val="24"/>
          <w:szCs w:val="24"/>
        </w:rPr>
        <w:t>the</w:t>
      </w:r>
      <w:r w:rsidR="00A16068">
        <w:rPr>
          <w:sz w:val="24"/>
          <w:szCs w:val="24"/>
        </w:rPr>
        <w:t xml:space="preserve"> PUCO already held, in allowing the Duke’s deferrals, that there would be review of the deferrals</w:t>
      </w:r>
      <w:r>
        <w:rPr>
          <w:sz w:val="24"/>
          <w:szCs w:val="24"/>
        </w:rPr>
        <w:t xml:space="preserve"> in </w:t>
      </w:r>
      <w:r w:rsidR="00A16068">
        <w:rPr>
          <w:sz w:val="24"/>
          <w:szCs w:val="24"/>
        </w:rPr>
        <w:t xml:space="preserve">the </w:t>
      </w:r>
      <w:r>
        <w:rPr>
          <w:sz w:val="24"/>
          <w:szCs w:val="24"/>
        </w:rPr>
        <w:t xml:space="preserve">distribution rate proceedings. </w:t>
      </w:r>
      <w:r w:rsidR="009101E1">
        <w:rPr>
          <w:sz w:val="24"/>
          <w:szCs w:val="24"/>
        </w:rPr>
        <w:t xml:space="preserve"> That time is now.</w:t>
      </w:r>
    </w:p>
    <w:p w14:paraId="499943AB" w14:textId="77777777" w:rsidR="00080007" w:rsidRPr="000F186B" w:rsidRDefault="00080007" w:rsidP="00537CD9">
      <w:pPr>
        <w:spacing w:line="480" w:lineRule="auto"/>
        <w:rPr>
          <w:sz w:val="24"/>
          <w:szCs w:val="24"/>
        </w:rPr>
      </w:pPr>
      <w:r>
        <w:tab/>
      </w:r>
      <w:r w:rsidRPr="000F186B">
        <w:rPr>
          <w:sz w:val="24"/>
          <w:szCs w:val="24"/>
        </w:rPr>
        <w:t xml:space="preserve">Therefore, Duke’s Motions should be denied. </w:t>
      </w:r>
    </w:p>
    <w:p w14:paraId="77907EBE" w14:textId="77777777" w:rsidR="00080007" w:rsidRPr="00DE78E3" w:rsidRDefault="00080007" w:rsidP="00EA0E1D">
      <w:pPr>
        <w:pStyle w:val="Heading1"/>
      </w:pPr>
      <w:bookmarkStart w:id="26" w:name="_Toc354492855"/>
      <w:bookmarkStart w:id="27" w:name="_Toc354493017"/>
      <w:r w:rsidRPr="00DE78E3">
        <w:t>IV.</w:t>
      </w:r>
      <w:r w:rsidRPr="00DE78E3">
        <w:tab/>
        <w:t>CONCLUSION</w:t>
      </w:r>
      <w:bookmarkEnd w:id="26"/>
      <w:bookmarkEnd w:id="27"/>
    </w:p>
    <w:p w14:paraId="7D5B3A47" w14:textId="78870F7C" w:rsidR="00080007" w:rsidRDefault="00080007" w:rsidP="003D5687">
      <w:pPr>
        <w:widowControl w:val="0"/>
        <w:spacing w:line="480" w:lineRule="auto"/>
        <w:rPr>
          <w:sz w:val="24"/>
          <w:szCs w:val="24"/>
        </w:rPr>
      </w:pPr>
      <w:r>
        <w:tab/>
      </w:r>
      <w:r w:rsidRPr="0080323C">
        <w:rPr>
          <w:sz w:val="24"/>
          <w:szCs w:val="24"/>
        </w:rPr>
        <w:t xml:space="preserve">Duke’s Motion to Clarify is procedurally improper. Duke’s recourse was to file a Motion to Strike Objections on February 19, 2013, if it believed that OCC’s Objection 26 </w:t>
      </w:r>
      <w:r>
        <w:rPr>
          <w:sz w:val="24"/>
          <w:szCs w:val="24"/>
        </w:rPr>
        <w:t>frames an inappropriate issue</w:t>
      </w:r>
      <w:r w:rsidR="009101E1">
        <w:rPr>
          <w:sz w:val="24"/>
          <w:szCs w:val="24"/>
        </w:rPr>
        <w:t xml:space="preserve"> under R.C. 4909.19</w:t>
      </w:r>
      <w:r>
        <w:rPr>
          <w:sz w:val="24"/>
          <w:szCs w:val="24"/>
        </w:rPr>
        <w:t xml:space="preserve">. </w:t>
      </w:r>
      <w:r w:rsidRPr="0080323C">
        <w:rPr>
          <w:sz w:val="24"/>
          <w:szCs w:val="24"/>
        </w:rPr>
        <w:t xml:space="preserve"> Duke failed to do so; therefore, Duke filed the wrong pleading and after the deadline for filing the right pleading.  As a result, the Motion to Clarify should be </w:t>
      </w:r>
      <w:r>
        <w:rPr>
          <w:sz w:val="24"/>
          <w:szCs w:val="24"/>
        </w:rPr>
        <w:t>denied</w:t>
      </w:r>
      <w:r w:rsidRPr="0080323C">
        <w:rPr>
          <w:sz w:val="24"/>
          <w:szCs w:val="24"/>
        </w:rPr>
        <w:t xml:space="preserve"> by the Commission.  And Duke’s related Motion to Strike James R. Campbell’s Testimony should also be </w:t>
      </w:r>
      <w:r>
        <w:rPr>
          <w:sz w:val="24"/>
          <w:szCs w:val="24"/>
        </w:rPr>
        <w:t>denied</w:t>
      </w:r>
      <w:r w:rsidRPr="0080323C">
        <w:rPr>
          <w:sz w:val="24"/>
          <w:szCs w:val="24"/>
        </w:rPr>
        <w:t xml:space="preserve">. </w:t>
      </w:r>
      <w:r w:rsidR="00BB5665">
        <w:rPr>
          <w:sz w:val="24"/>
          <w:szCs w:val="24"/>
        </w:rPr>
        <w:t xml:space="preserve"> </w:t>
      </w:r>
    </w:p>
    <w:p w14:paraId="18365C7E" w14:textId="183242FA" w:rsidR="00BB5665" w:rsidRPr="0080323C" w:rsidRDefault="00BB5665" w:rsidP="003D5687">
      <w:pPr>
        <w:widowControl w:val="0"/>
        <w:spacing w:line="480" w:lineRule="auto"/>
        <w:rPr>
          <w:sz w:val="24"/>
          <w:szCs w:val="24"/>
        </w:rPr>
      </w:pPr>
      <w:r>
        <w:rPr>
          <w:sz w:val="24"/>
          <w:szCs w:val="24"/>
        </w:rPr>
        <w:tab/>
        <w:t xml:space="preserve">Furthermore, law and reason provides the bases, as explained above, for denying Duke’s Motions.  For decades the General Assembly’s statutes, including R.C. 4909.154, have provided for expansive review of the prudence of utility operations for purposes of protecting Ohioans from paying for inappropriate utility expenditures.  The PUCO should proceed to protect the public in these cases by denying Duke’s Motions and considering OCC’s evidence </w:t>
      </w:r>
      <w:r w:rsidR="009E2697">
        <w:rPr>
          <w:sz w:val="24"/>
          <w:szCs w:val="24"/>
        </w:rPr>
        <w:t>that Duke’s proposal to collect $65 million from customers is highly excessive.</w:t>
      </w:r>
    </w:p>
    <w:p w14:paraId="2FD7AE5B" w14:textId="77777777" w:rsidR="00080007" w:rsidRDefault="00080007">
      <w:pPr>
        <w:pStyle w:val="Footer"/>
        <w:tabs>
          <w:tab w:val="clear" w:pos="8640"/>
          <w:tab w:val="left" w:pos="4320"/>
        </w:tabs>
        <w:rPr>
          <w:sz w:val="24"/>
          <w:szCs w:val="24"/>
        </w:rPr>
      </w:pPr>
      <w:r>
        <w:rPr>
          <w:sz w:val="24"/>
          <w:szCs w:val="24"/>
        </w:rPr>
        <w:tab/>
      </w:r>
    </w:p>
    <w:p w14:paraId="00489694" w14:textId="39B359BE" w:rsidR="00080007" w:rsidRPr="00DE78E3" w:rsidRDefault="00EA0E1D">
      <w:pPr>
        <w:pStyle w:val="BodyTextIndent3"/>
        <w:widowControl w:val="0"/>
        <w:ind w:left="3600" w:firstLine="720"/>
        <w:rPr>
          <w:sz w:val="24"/>
          <w:szCs w:val="24"/>
        </w:rPr>
      </w:pPr>
      <w:r>
        <w:rPr>
          <w:sz w:val="24"/>
          <w:szCs w:val="24"/>
        </w:rPr>
        <w:br w:type="page"/>
      </w:r>
      <w:r w:rsidR="00080007" w:rsidRPr="00DE78E3">
        <w:rPr>
          <w:sz w:val="24"/>
          <w:szCs w:val="24"/>
        </w:rPr>
        <w:t>Respectfully submitted,</w:t>
      </w:r>
    </w:p>
    <w:p w14:paraId="7BC5641C" w14:textId="77777777" w:rsidR="00080007" w:rsidRDefault="00080007">
      <w:pPr>
        <w:tabs>
          <w:tab w:val="left" w:pos="4320"/>
        </w:tabs>
        <w:ind w:left="4320"/>
        <w:rPr>
          <w:sz w:val="24"/>
          <w:szCs w:val="24"/>
        </w:rPr>
      </w:pPr>
      <w:r>
        <w:rPr>
          <w:sz w:val="24"/>
          <w:szCs w:val="24"/>
        </w:rPr>
        <w:t>BRUCE J. WESTON</w:t>
      </w:r>
    </w:p>
    <w:p w14:paraId="5E9E76CA" w14:textId="77777777" w:rsidR="00080007" w:rsidRDefault="00080007">
      <w:pPr>
        <w:tabs>
          <w:tab w:val="left" w:pos="4320"/>
        </w:tabs>
        <w:ind w:left="4320"/>
        <w:rPr>
          <w:sz w:val="24"/>
          <w:szCs w:val="24"/>
        </w:rPr>
      </w:pPr>
      <w:r>
        <w:rPr>
          <w:sz w:val="24"/>
          <w:szCs w:val="24"/>
        </w:rPr>
        <w:t>OHIO CONSUMERS’ COUNSEL</w:t>
      </w:r>
    </w:p>
    <w:p w14:paraId="00400BE9" w14:textId="77777777" w:rsidR="00080007" w:rsidRDefault="00080007">
      <w:pPr>
        <w:tabs>
          <w:tab w:val="left" w:pos="4320"/>
        </w:tabs>
        <w:ind w:left="4320"/>
        <w:rPr>
          <w:sz w:val="24"/>
          <w:szCs w:val="24"/>
        </w:rPr>
      </w:pPr>
    </w:p>
    <w:p w14:paraId="3415AC08" w14:textId="77777777" w:rsidR="00080007" w:rsidRDefault="00080007">
      <w:pPr>
        <w:tabs>
          <w:tab w:val="left" w:pos="4320"/>
        </w:tabs>
        <w:ind w:left="4320"/>
        <w:rPr>
          <w:i/>
          <w:iCs/>
          <w:sz w:val="24"/>
          <w:szCs w:val="24"/>
          <w:u w:val="single"/>
        </w:rPr>
      </w:pPr>
      <w:r>
        <w:rPr>
          <w:i/>
          <w:iCs/>
          <w:sz w:val="24"/>
          <w:szCs w:val="24"/>
          <w:u w:val="single"/>
        </w:rPr>
        <w:t>/s/ Larry S. Sauer</w:t>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3E758633" w14:textId="77777777" w:rsidR="00080007" w:rsidRDefault="00080007">
      <w:pPr>
        <w:tabs>
          <w:tab w:val="left" w:pos="4320"/>
        </w:tabs>
        <w:ind w:left="4320"/>
        <w:rPr>
          <w:sz w:val="24"/>
          <w:szCs w:val="24"/>
        </w:rPr>
      </w:pPr>
      <w:r>
        <w:rPr>
          <w:sz w:val="24"/>
          <w:szCs w:val="24"/>
        </w:rPr>
        <w:t>Larry S. Sauer, Counsel of Record</w:t>
      </w:r>
    </w:p>
    <w:p w14:paraId="3DAA2BD8" w14:textId="77777777" w:rsidR="00080007" w:rsidRDefault="00080007">
      <w:pPr>
        <w:tabs>
          <w:tab w:val="left" w:pos="4320"/>
        </w:tabs>
        <w:ind w:left="4320"/>
        <w:rPr>
          <w:sz w:val="24"/>
          <w:szCs w:val="24"/>
        </w:rPr>
      </w:pPr>
      <w:r>
        <w:rPr>
          <w:sz w:val="24"/>
          <w:szCs w:val="24"/>
        </w:rPr>
        <w:t>Joseph P. Serio</w:t>
      </w:r>
    </w:p>
    <w:p w14:paraId="4460C4BA" w14:textId="77777777" w:rsidR="00080007" w:rsidRDefault="00080007">
      <w:pPr>
        <w:tabs>
          <w:tab w:val="left" w:pos="4320"/>
        </w:tabs>
        <w:ind w:left="4320"/>
        <w:rPr>
          <w:sz w:val="24"/>
          <w:szCs w:val="24"/>
        </w:rPr>
      </w:pPr>
      <w:r>
        <w:rPr>
          <w:sz w:val="24"/>
          <w:szCs w:val="24"/>
        </w:rPr>
        <w:t>Edmund Berger</w:t>
      </w:r>
    </w:p>
    <w:p w14:paraId="4F67E371" w14:textId="77777777" w:rsidR="00080007" w:rsidRDefault="00080007">
      <w:pPr>
        <w:tabs>
          <w:tab w:val="left" w:pos="4320"/>
        </w:tabs>
        <w:ind w:left="4320"/>
        <w:rPr>
          <w:sz w:val="24"/>
          <w:szCs w:val="24"/>
        </w:rPr>
      </w:pPr>
      <w:r>
        <w:rPr>
          <w:sz w:val="24"/>
          <w:szCs w:val="24"/>
        </w:rPr>
        <w:t>Assistant Consumers’ Counsel</w:t>
      </w:r>
    </w:p>
    <w:p w14:paraId="46A2F808" w14:textId="77777777" w:rsidR="002A7C48" w:rsidRDefault="002A7C48">
      <w:pPr>
        <w:tabs>
          <w:tab w:val="left" w:pos="4320"/>
        </w:tabs>
        <w:ind w:left="4320"/>
        <w:rPr>
          <w:sz w:val="24"/>
          <w:szCs w:val="24"/>
        </w:rPr>
      </w:pPr>
    </w:p>
    <w:p w14:paraId="5F8D5804" w14:textId="77777777" w:rsidR="00080007" w:rsidRPr="002A7C48" w:rsidRDefault="00080007" w:rsidP="002A7C48">
      <w:pPr>
        <w:ind w:left="4320"/>
        <w:rPr>
          <w:b/>
          <w:sz w:val="24"/>
          <w:szCs w:val="24"/>
        </w:rPr>
      </w:pPr>
      <w:bookmarkStart w:id="28" w:name="_Toc354492856"/>
      <w:r w:rsidRPr="002A7C48">
        <w:rPr>
          <w:b/>
          <w:sz w:val="24"/>
          <w:szCs w:val="24"/>
        </w:rPr>
        <w:t>Office of the Ohio Consumers’ Counsel</w:t>
      </w:r>
      <w:bookmarkEnd w:id="28"/>
    </w:p>
    <w:p w14:paraId="4C7675DB" w14:textId="77777777" w:rsidR="00080007" w:rsidRPr="002A7C48" w:rsidRDefault="00080007" w:rsidP="002A7C48">
      <w:pPr>
        <w:ind w:left="4320"/>
        <w:rPr>
          <w:sz w:val="24"/>
          <w:szCs w:val="24"/>
        </w:rPr>
      </w:pPr>
      <w:bookmarkStart w:id="29" w:name="_Toc354492857"/>
      <w:r w:rsidRPr="002A7C48">
        <w:rPr>
          <w:sz w:val="24"/>
          <w:szCs w:val="24"/>
        </w:rPr>
        <w:t>10 West Broad Street, Suite 1800</w:t>
      </w:r>
      <w:bookmarkEnd w:id="29"/>
    </w:p>
    <w:p w14:paraId="77943BAE" w14:textId="77777777" w:rsidR="00080007" w:rsidRPr="002A7C48" w:rsidRDefault="00080007" w:rsidP="002A7C48">
      <w:pPr>
        <w:ind w:left="4320"/>
        <w:rPr>
          <w:sz w:val="24"/>
          <w:szCs w:val="24"/>
        </w:rPr>
      </w:pPr>
      <w:bookmarkStart w:id="30" w:name="_Toc354492858"/>
      <w:r w:rsidRPr="002A7C48">
        <w:rPr>
          <w:sz w:val="24"/>
          <w:szCs w:val="24"/>
        </w:rPr>
        <w:t>Columbus, Ohio 43215-3485</w:t>
      </w:r>
      <w:bookmarkEnd w:id="30"/>
    </w:p>
    <w:p w14:paraId="0CC27C59" w14:textId="77777777" w:rsidR="00080007" w:rsidRPr="002A7C48" w:rsidRDefault="00080007" w:rsidP="002A7C48">
      <w:pPr>
        <w:ind w:left="4320"/>
        <w:rPr>
          <w:sz w:val="24"/>
          <w:szCs w:val="24"/>
        </w:rPr>
      </w:pPr>
      <w:r w:rsidRPr="002A7C48">
        <w:rPr>
          <w:sz w:val="24"/>
          <w:szCs w:val="24"/>
        </w:rPr>
        <w:t>Telephone: Sauer – (614) 466-1312</w:t>
      </w:r>
    </w:p>
    <w:p w14:paraId="1C2918CF" w14:textId="77777777" w:rsidR="00080007" w:rsidRDefault="00080007">
      <w:pPr>
        <w:autoSpaceDE w:val="0"/>
        <w:autoSpaceDN w:val="0"/>
        <w:adjustRightInd w:val="0"/>
        <w:ind w:left="4320"/>
        <w:rPr>
          <w:sz w:val="24"/>
          <w:szCs w:val="24"/>
        </w:rPr>
      </w:pPr>
      <w:r>
        <w:rPr>
          <w:sz w:val="24"/>
          <w:szCs w:val="24"/>
        </w:rPr>
        <w:t>Telephone: Serio – (614) 466-9565</w:t>
      </w:r>
    </w:p>
    <w:p w14:paraId="6FA972B2" w14:textId="77777777" w:rsidR="00080007" w:rsidRDefault="00080007">
      <w:pPr>
        <w:autoSpaceDE w:val="0"/>
        <w:autoSpaceDN w:val="0"/>
        <w:adjustRightInd w:val="0"/>
        <w:ind w:left="4320"/>
        <w:rPr>
          <w:sz w:val="24"/>
          <w:szCs w:val="24"/>
        </w:rPr>
      </w:pPr>
      <w:r>
        <w:rPr>
          <w:sz w:val="24"/>
          <w:szCs w:val="24"/>
        </w:rPr>
        <w:t>Telephone: Berger – (614) 466-1292</w:t>
      </w:r>
    </w:p>
    <w:p w14:paraId="52A20B07" w14:textId="457B15E5" w:rsidR="00080007" w:rsidRDefault="00080007">
      <w:pPr>
        <w:ind w:left="4320"/>
        <w:rPr>
          <w:sz w:val="24"/>
          <w:szCs w:val="24"/>
        </w:rPr>
      </w:pPr>
      <w:r w:rsidRPr="008D679D">
        <w:rPr>
          <w:sz w:val="24"/>
          <w:szCs w:val="24"/>
        </w:rPr>
        <w:t>sauer@occ.state.oh.us</w:t>
      </w:r>
    </w:p>
    <w:p w14:paraId="2D8DE8D5" w14:textId="0FDFE14D" w:rsidR="00080007" w:rsidRDefault="00080007">
      <w:pPr>
        <w:ind w:left="4320"/>
        <w:rPr>
          <w:sz w:val="24"/>
          <w:szCs w:val="24"/>
        </w:rPr>
      </w:pPr>
      <w:r w:rsidRPr="008D679D">
        <w:rPr>
          <w:sz w:val="24"/>
          <w:szCs w:val="24"/>
        </w:rPr>
        <w:t>serio@occ.state.oh.us</w:t>
      </w:r>
    </w:p>
    <w:p w14:paraId="3829EC53" w14:textId="2BD33475" w:rsidR="00080007" w:rsidRDefault="00080007">
      <w:pPr>
        <w:ind w:left="4320"/>
        <w:rPr>
          <w:sz w:val="24"/>
          <w:szCs w:val="24"/>
        </w:rPr>
      </w:pPr>
      <w:r w:rsidRPr="008D679D">
        <w:rPr>
          <w:sz w:val="24"/>
          <w:szCs w:val="24"/>
        </w:rPr>
        <w:t>berger@occ.state.oh.us</w:t>
      </w:r>
    </w:p>
    <w:p w14:paraId="3B5C07CA" w14:textId="77777777" w:rsidR="00080007" w:rsidRDefault="00080007">
      <w:pPr>
        <w:pStyle w:val="Footer"/>
        <w:tabs>
          <w:tab w:val="clear" w:pos="8640"/>
          <w:tab w:val="left" w:pos="4320"/>
        </w:tabs>
        <w:spacing w:before="240"/>
        <w:rPr>
          <w:sz w:val="24"/>
          <w:szCs w:val="24"/>
        </w:rPr>
      </w:pPr>
    </w:p>
    <w:p w14:paraId="54A3AFD7" w14:textId="77777777" w:rsidR="00080007" w:rsidRDefault="00080007">
      <w:pPr>
        <w:pStyle w:val="ANSWER"/>
        <w:ind w:left="720"/>
        <w:jc w:val="center"/>
        <w:rPr>
          <w:b/>
          <w:bCs/>
          <w:u w:val="single"/>
        </w:rPr>
      </w:pPr>
    </w:p>
    <w:p w14:paraId="269DB4AE" w14:textId="77777777" w:rsidR="00080007" w:rsidRDefault="00080007">
      <w:pPr>
        <w:pStyle w:val="ANSWER"/>
        <w:ind w:left="720"/>
        <w:jc w:val="center"/>
        <w:rPr>
          <w:b/>
          <w:bCs/>
          <w:u w:val="single"/>
        </w:rPr>
      </w:pPr>
    </w:p>
    <w:p w14:paraId="0B294E6E" w14:textId="77777777" w:rsidR="00080007" w:rsidRDefault="00080007">
      <w:pPr>
        <w:pStyle w:val="ANSWER"/>
        <w:ind w:left="720"/>
        <w:jc w:val="center"/>
        <w:rPr>
          <w:b/>
          <w:bCs/>
          <w:u w:val="single"/>
        </w:rPr>
      </w:pPr>
    </w:p>
    <w:p w14:paraId="4AB295EC" w14:textId="77777777" w:rsidR="00080007" w:rsidRDefault="00080007">
      <w:pPr>
        <w:pStyle w:val="ANSWER"/>
        <w:ind w:left="720"/>
        <w:jc w:val="center"/>
        <w:rPr>
          <w:b/>
          <w:bCs/>
          <w:u w:val="single"/>
        </w:rPr>
      </w:pPr>
    </w:p>
    <w:p w14:paraId="402E4EE8" w14:textId="77777777" w:rsidR="00080007" w:rsidRDefault="00080007">
      <w:pPr>
        <w:pStyle w:val="ANSWER"/>
        <w:ind w:left="720"/>
        <w:jc w:val="center"/>
        <w:rPr>
          <w:b/>
          <w:bCs/>
          <w:u w:val="single"/>
        </w:rPr>
      </w:pPr>
    </w:p>
    <w:p w14:paraId="4B9601C2" w14:textId="77777777" w:rsidR="00080007" w:rsidRDefault="00080007">
      <w:pPr>
        <w:pStyle w:val="ANSWER"/>
        <w:ind w:left="720"/>
        <w:jc w:val="center"/>
        <w:rPr>
          <w:b/>
          <w:bCs/>
          <w:u w:val="single"/>
        </w:rPr>
      </w:pPr>
    </w:p>
    <w:p w14:paraId="54CE4365" w14:textId="77777777" w:rsidR="00080007" w:rsidRDefault="00080007">
      <w:pPr>
        <w:pStyle w:val="ANSWER"/>
        <w:ind w:left="720"/>
        <w:jc w:val="center"/>
        <w:rPr>
          <w:b/>
          <w:bCs/>
          <w:u w:val="single"/>
        </w:rPr>
      </w:pPr>
      <w:r>
        <w:rPr>
          <w:b/>
          <w:bCs/>
          <w:u w:val="single"/>
        </w:rPr>
        <w:br w:type="page"/>
        <w:t>CERTIFICATE OF SERVICE</w:t>
      </w:r>
    </w:p>
    <w:p w14:paraId="07FC6451" w14:textId="77777777" w:rsidR="00080007" w:rsidRDefault="00080007">
      <w:pPr>
        <w:spacing w:line="480" w:lineRule="auto"/>
        <w:rPr>
          <w:sz w:val="24"/>
          <w:szCs w:val="24"/>
        </w:rPr>
      </w:pPr>
      <w:r>
        <w:rPr>
          <w:sz w:val="24"/>
          <w:szCs w:val="24"/>
        </w:rPr>
        <w:tab/>
        <w:t xml:space="preserve">I hereby certify that a copy of the foregoing </w:t>
      </w:r>
      <w:r>
        <w:rPr>
          <w:i/>
          <w:iCs/>
          <w:sz w:val="24"/>
          <w:szCs w:val="24"/>
        </w:rPr>
        <w:t xml:space="preserve">Memorandum Contra </w:t>
      </w:r>
      <w:r>
        <w:rPr>
          <w:sz w:val="24"/>
          <w:szCs w:val="24"/>
        </w:rPr>
        <w:t>by the Office of the Ohio Consumers’ Counsel has been served upon those persons listed below via electronic mail this 23rd day of April 2013.</w:t>
      </w:r>
    </w:p>
    <w:p w14:paraId="78A13D1B" w14:textId="77777777" w:rsidR="00080007" w:rsidRDefault="00080007">
      <w:pPr>
        <w:tabs>
          <w:tab w:val="left" w:pos="4320"/>
        </w:tabs>
        <w:rPr>
          <w:i/>
          <w:iCs/>
          <w:sz w:val="24"/>
          <w:szCs w:val="24"/>
          <w:u w:val="single"/>
        </w:rPr>
      </w:pPr>
      <w:r>
        <w:rPr>
          <w:sz w:val="24"/>
          <w:szCs w:val="24"/>
        </w:rPr>
        <w:tab/>
      </w:r>
      <w:r>
        <w:rPr>
          <w:i/>
          <w:iCs/>
          <w:sz w:val="24"/>
          <w:szCs w:val="24"/>
          <w:u w:val="single"/>
        </w:rPr>
        <w:t>/s/ Larry S. Sauer</w:t>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5CB2322A" w14:textId="77777777" w:rsidR="00080007" w:rsidRDefault="00080007">
      <w:pPr>
        <w:autoSpaceDE w:val="0"/>
        <w:autoSpaceDN w:val="0"/>
        <w:adjustRightInd w:val="0"/>
        <w:ind w:left="3600" w:firstLine="720"/>
        <w:rPr>
          <w:sz w:val="24"/>
          <w:szCs w:val="24"/>
        </w:rPr>
      </w:pPr>
      <w:r>
        <w:rPr>
          <w:sz w:val="24"/>
          <w:szCs w:val="24"/>
        </w:rPr>
        <w:t>Larry S. Sauer</w:t>
      </w:r>
    </w:p>
    <w:p w14:paraId="3B3B4AC0" w14:textId="77777777" w:rsidR="00080007" w:rsidRDefault="00080007">
      <w:pPr>
        <w:tabs>
          <w:tab w:val="left" w:pos="4320"/>
        </w:tabs>
        <w:rPr>
          <w:sz w:val="24"/>
          <w:szCs w:val="24"/>
        </w:rPr>
      </w:pPr>
      <w:r>
        <w:rPr>
          <w:sz w:val="24"/>
          <w:szCs w:val="24"/>
        </w:rPr>
        <w:tab/>
        <w:t>Assistant Consumers’ Counsel</w:t>
      </w:r>
    </w:p>
    <w:p w14:paraId="257E1ED9" w14:textId="77777777" w:rsidR="00080007" w:rsidRDefault="00080007">
      <w:pPr>
        <w:pStyle w:val="CommentText"/>
        <w:rPr>
          <w:sz w:val="24"/>
          <w:szCs w:val="24"/>
        </w:rPr>
      </w:pPr>
    </w:p>
    <w:p w14:paraId="72722366" w14:textId="77777777" w:rsidR="00080007" w:rsidRDefault="00080007">
      <w:pPr>
        <w:pStyle w:val="CommentText"/>
        <w:jc w:val="center"/>
        <w:rPr>
          <w:b/>
          <w:bCs/>
          <w:sz w:val="24"/>
          <w:szCs w:val="24"/>
          <w:u w:val="single"/>
        </w:rPr>
      </w:pPr>
      <w:r>
        <w:rPr>
          <w:b/>
          <w:bCs/>
          <w:sz w:val="24"/>
          <w:szCs w:val="24"/>
          <w:u w:val="single"/>
        </w:rPr>
        <w:t>SERVICE LIST</w:t>
      </w:r>
    </w:p>
    <w:p w14:paraId="3F687D80" w14:textId="77777777" w:rsidR="00CB044D" w:rsidRDefault="00CB044D">
      <w:pPr>
        <w:pStyle w:val="CommentText"/>
        <w:jc w:val="center"/>
        <w:rPr>
          <w:b/>
          <w:bCs/>
          <w:sz w:val="24"/>
          <w:szCs w:val="24"/>
          <w:u w:val="single"/>
        </w:rPr>
      </w:pPr>
    </w:p>
    <w:tbl>
      <w:tblPr>
        <w:tblW w:w="0" w:type="auto"/>
        <w:tblInd w:w="-106" w:type="dxa"/>
        <w:tblLook w:val="01E0" w:firstRow="1" w:lastRow="1" w:firstColumn="1" w:lastColumn="1" w:noHBand="0" w:noVBand="0"/>
      </w:tblPr>
      <w:tblGrid>
        <w:gridCol w:w="4428"/>
        <w:gridCol w:w="4428"/>
      </w:tblGrid>
      <w:tr w:rsidR="00CB044D" w:rsidRPr="00CB044D" w14:paraId="748CBEFE" w14:textId="77777777" w:rsidTr="005E5FA6">
        <w:tc>
          <w:tcPr>
            <w:tcW w:w="4428" w:type="dxa"/>
          </w:tcPr>
          <w:p w14:paraId="25790F9C" w14:textId="77777777" w:rsidR="00CB044D" w:rsidRPr="00CB044D" w:rsidRDefault="00CB044D" w:rsidP="00CB044D">
            <w:pPr>
              <w:rPr>
                <w:rFonts w:eastAsia="Calibri"/>
                <w:sz w:val="24"/>
                <w:szCs w:val="24"/>
              </w:rPr>
            </w:pPr>
            <w:r w:rsidRPr="00CB044D">
              <w:rPr>
                <w:rFonts w:eastAsia="Calibri"/>
                <w:sz w:val="24"/>
                <w:szCs w:val="24"/>
              </w:rPr>
              <w:t>Samuel C. Randazzo</w:t>
            </w:r>
          </w:p>
          <w:p w14:paraId="3058A39F" w14:textId="77777777" w:rsidR="00CB044D" w:rsidRPr="00CB044D" w:rsidRDefault="00CB044D" w:rsidP="00CB044D">
            <w:pPr>
              <w:rPr>
                <w:rFonts w:eastAsia="Calibri"/>
                <w:sz w:val="24"/>
                <w:szCs w:val="24"/>
              </w:rPr>
            </w:pPr>
            <w:r w:rsidRPr="00CB044D">
              <w:rPr>
                <w:rFonts w:eastAsia="Calibri"/>
                <w:sz w:val="24"/>
                <w:szCs w:val="24"/>
              </w:rPr>
              <w:t>Frank P. Darr</w:t>
            </w:r>
          </w:p>
          <w:p w14:paraId="5389DD55" w14:textId="77777777" w:rsidR="00CB044D" w:rsidRPr="00CB044D" w:rsidRDefault="00CB044D" w:rsidP="00CB044D">
            <w:pPr>
              <w:rPr>
                <w:rFonts w:eastAsia="Calibri"/>
                <w:sz w:val="24"/>
                <w:szCs w:val="24"/>
              </w:rPr>
            </w:pPr>
            <w:r w:rsidRPr="00CB044D">
              <w:rPr>
                <w:rFonts w:eastAsia="Calibri"/>
                <w:sz w:val="24"/>
                <w:szCs w:val="24"/>
              </w:rPr>
              <w:t>Joseph E. Oliker</w:t>
            </w:r>
          </w:p>
          <w:p w14:paraId="6AFCE629" w14:textId="77777777" w:rsidR="00CB044D" w:rsidRPr="00CB044D" w:rsidRDefault="00CB044D" w:rsidP="00CB044D">
            <w:pPr>
              <w:rPr>
                <w:rFonts w:eastAsia="Calibri"/>
                <w:sz w:val="24"/>
                <w:szCs w:val="24"/>
              </w:rPr>
            </w:pPr>
            <w:r w:rsidRPr="00CB044D">
              <w:rPr>
                <w:rFonts w:eastAsia="Calibri"/>
                <w:sz w:val="24"/>
                <w:szCs w:val="24"/>
              </w:rPr>
              <w:t>Matthew R. Pritchard</w:t>
            </w:r>
          </w:p>
          <w:p w14:paraId="03169C66" w14:textId="77777777" w:rsidR="00CB044D" w:rsidRPr="00CB044D" w:rsidRDefault="00CB044D" w:rsidP="00CB044D">
            <w:pPr>
              <w:rPr>
                <w:rFonts w:eastAsia="Calibri"/>
                <w:sz w:val="24"/>
                <w:szCs w:val="24"/>
              </w:rPr>
            </w:pPr>
            <w:r w:rsidRPr="00CB044D">
              <w:rPr>
                <w:rFonts w:eastAsia="Calibri"/>
                <w:sz w:val="24"/>
                <w:szCs w:val="24"/>
              </w:rPr>
              <w:t>MCNEES WALLACE &amp;NURICK LLC</w:t>
            </w:r>
          </w:p>
          <w:p w14:paraId="157A9EF1" w14:textId="77777777" w:rsidR="00CB044D" w:rsidRPr="00CB044D" w:rsidRDefault="00CB044D" w:rsidP="00CB044D">
            <w:pPr>
              <w:rPr>
                <w:rFonts w:eastAsia="Calibri"/>
                <w:sz w:val="24"/>
                <w:szCs w:val="24"/>
              </w:rPr>
            </w:pPr>
            <w:smartTag w:uri="urn:schemas-microsoft-com:office:smarttags" w:element="Street">
              <w:smartTag w:uri="urn:schemas-microsoft-com:office:smarttags" w:element="address">
                <w:r w:rsidRPr="00CB044D">
                  <w:rPr>
                    <w:rFonts w:eastAsia="Calibri"/>
                    <w:sz w:val="24"/>
                    <w:szCs w:val="24"/>
                  </w:rPr>
                  <w:t>21 East State Street</w:t>
                </w:r>
              </w:smartTag>
            </w:smartTag>
            <w:r w:rsidRPr="00CB044D">
              <w:rPr>
                <w:rFonts w:eastAsia="Calibri"/>
                <w:sz w:val="24"/>
                <w:szCs w:val="24"/>
              </w:rPr>
              <w:t>, 17TH Floor</w:t>
            </w:r>
          </w:p>
          <w:p w14:paraId="1C304BA3" w14:textId="77777777" w:rsidR="00CB044D" w:rsidRPr="00CB044D" w:rsidRDefault="00CB044D" w:rsidP="00CB044D">
            <w:pPr>
              <w:rPr>
                <w:rFonts w:eastAsia="Calibri"/>
                <w:sz w:val="24"/>
                <w:szCs w:val="24"/>
              </w:rPr>
            </w:pPr>
            <w:smartTag w:uri="urn:schemas-microsoft-com:office:smarttags" w:element="place">
              <w:smartTag w:uri="urn:schemas-microsoft-com:office:smarttags" w:element="City">
                <w:r w:rsidRPr="00CB044D">
                  <w:rPr>
                    <w:rFonts w:eastAsia="Calibri"/>
                    <w:sz w:val="24"/>
                    <w:szCs w:val="24"/>
                  </w:rPr>
                  <w:t>Columbus</w:t>
                </w:r>
              </w:smartTag>
              <w:r w:rsidRPr="00CB044D">
                <w:rPr>
                  <w:rFonts w:eastAsia="Calibri"/>
                  <w:sz w:val="24"/>
                  <w:szCs w:val="24"/>
                </w:rPr>
                <w:t xml:space="preserve">, </w:t>
              </w:r>
              <w:smartTag w:uri="urn:schemas-microsoft-com:office:smarttags" w:element="State">
                <w:r w:rsidRPr="00CB044D">
                  <w:rPr>
                    <w:rFonts w:eastAsia="Calibri"/>
                    <w:sz w:val="24"/>
                    <w:szCs w:val="24"/>
                  </w:rPr>
                  <w:t>Ohio</w:t>
                </w:r>
              </w:smartTag>
              <w:r w:rsidRPr="00CB044D">
                <w:rPr>
                  <w:rFonts w:eastAsia="Calibri"/>
                  <w:sz w:val="24"/>
                  <w:szCs w:val="24"/>
                </w:rPr>
                <w:t xml:space="preserve"> </w:t>
              </w:r>
              <w:smartTag w:uri="urn:schemas-microsoft-com:office:smarttags" w:element="PostalCode">
                <w:r w:rsidRPr="00CB044D">
                  <w:rPr>
                    <w:rFonts w:eastAsia="Calibri"/>
                    <w:sz w:val="24"/>
                    <w:szCs w:val="24"/>
                  </w:rPr>
                  <w:t>43215</w:t>
                </w:r>
              </w:smartTag>
            </w:smartTag>
          </w:p>
          <w:p w14:paraId="03D26CA8" w14:textId="77777777" w:rsidR="00CB044D" w:rsidRPr="00CB044D" w:rsidRDefault="00CB044D" w:rsidP="00CB044D">
            <w:pPr>
              <w:rPr>
                <w:rFonts w:eastAsia="Calibri"/>
                <w:sz w:val="24"/>
                <w:szCs w:val="24"/>
              </w:rPr>
            </w:pPr>
          </w:p>
        </w:tc>
        <w:tc>
          <w:tcPr>
            <w:tcW w:w="4428" w:type="dxa"/>
          </w:tcPr>
          <w:p w14:paraId="3A9F249A" w14:textId="77777777" w:rsidR="00CB044D" w:rsidRPr="00CB044D" w:rsidRDefault="00CB044D" w:rsidP="00CB044D">
            <w:pPr>
              <w:jc w:val="both"/>
              <w:rPr>
                <w:rFonts w:eastAsia="Calibri"/>
                <w:sz w:val="24"/>
                <w:szCs w:val="24"/>
              </w:rPr>
            </w:pPr>
            <w:r w:rsidRPr="00CB044D">
              <w:rPr>
                <w:rFonts w:eastAsia="Calibri"/>
                <w:sz w:val="24"/>
                <w:szCs w:val="24"/>
              </w:rPr>
              <w:t>Amy B. Spiller</w:t>
            </w:r>
          </w:p>
          <w:p w14:paraId="064BEAEF" w14:textId="77777777" w:rsidR="00CB044D" w:rsidRPr="00CB044D" w:rsidRDefault="00CB044D" w:rsidP="00CB044D">
            <w:pPr>
              <w:jc w:val="both"/>
              <w:rPr>
                <w:rFonts w:eastAsia="Calibri"/>
                <w:sz w:val="24"/>
                <w:szCs w:val="24"/>
              </w:rPr>
            </w:pPr>
            <w:r w:rsidRPr="00CB044D">
              <w:rPr>
                <w:rFonts w:eastAsia="Calibri"/>
                <w:sz w:val="24"/>
                <w:szCs w:val="24"/>
              </w:rPr>
              <w:t>Rocco O. D’Ascenzo</w:t>
            </w:r>
          </w:p>
          <w:p w14:paraId="29809523" w14:textId="77777777" w:rsidR="00CB044D" w:rsidRPr="00CB044D" w:rsidRDefault="00CB044D" w:rsidP="00CB044D">
            <w:pPr>
              <w:jc w:val="both"/>
              <w:rPr>
                <w:rFonts w:eastAsia="Calibri"/>
                <w:sz w:val="24"/>
                <w:szCs w:val="24"/>
              </w:rPr>
            </w:pPr>
            <w:r w:rsidRPr="00CB044D">
              <w:rPr>
                <w:rFonts w:eastAsia="Calibri"/>
                <w:sz w:val="24"/>
                <w:szCs w:val="24"/>
              </w:rPr>
              <w:t>Jeanne W. Kingery</w:t>
            </w:r>
          </w:p>
          <w:p w14:paraId="44E6300A" w14:textId="77777777" w:rsidR="00CB044D" w:rsidRPr="00CB044D" w:rsidRDefault="00CB044D" w:rsidP="00CB044D">
            <w:pPr>
              <w:jc w:val="both"/>
              <w:rPr>
                <w:rFonts w:eastAsia="Calibri"/>
                <w:sz w:val="24"/>
                <w:szCs w:val="24"/>
              </w:rPr>
            </w:pPr>
            <w:r w:rsidRPr="00CB044D">
              <w:rPr>
                <w:rFonts w:eastAsia="Calibri"/>
                <w:sz w:val="24"/>
                <w:szCs w:val="24"/>
              </w:rPr>
              <w:t>Elizabeth H. Watts</w:t>
            </w:r>
          </w:p>
          <w:p w14:paraId="4DCDBEAF" w14:textId="77777777" w:rsidR="00CB044D" w:rsidRPr="00CB044D" w:rsidRDefault="00CB044D" w:rsidP="00CB044D">
            <w:pPr>
              <w:jc w:val="both"/>
              <w:rPr>
                <w:rFonts w:eastAsia="Calibri"/>
                <w:sz w:val="24"/>
                <w:szCs w:val="24"/>
              </w:rPr>
            </w:pPr>
            <w:r w:rsidRPr="00CB044D">
              <w:rPr>
                <w:rFonts w:eastAsia="Calibri"/>
                <w:sz w:val="24"/>
                <w:szCs w:val="24"/>
              </w:rPr>
              <w:t>Duke Energy Business Services, LLC</w:t>
            </w:r>
          </w:p>
          <w:p w14:paraId="69190B40" w14:textId="77777777" w:rsidR="00CB044D" w:rsidRPr="00CB044D" w:rsidRDefault="00CB044D" w:rsidP="00CB044D">
            <w:pPr>
              <w:jc w:val="both"/>
              <w:rPr>
                <w:rFonts w:eastAsia="Calibri"/>
                <w:sz w:val="24"/>
                <w:szCs w:val="24"/>
              </w:rPr>
            </w:pPr>
            <w:smartTag w:uri="urn:schemas-microsoft-com:office:smarttags" w:element="Street">
              <w:smartTag w:uri="urn:schemas-microsoft-com:office:smarttags" w:element="address">
                <w:r w:rsidRPr="00CB044D">
                  <w:rPr>
                    <w:rFonts w:eastAsia="Calibri"/>
                    <w:sz w:val="24"/>
                    <w:szCs w:val="24"/>
                  </w:rPr>
                  <w:t>139 East Fourth Street</w:t>
                </w:r>
              </w:smartTag>
            </w:smartTag>
            <w:r w:rsidRPr="00CB044D">
              <w:rPr>
                <w:rFonts w:eastAsia="Calibri"/>
                <w:sz w:val="24"/>
                <w:szCs w:val="24"/>
              </w:rPr>
              <w:t xml:space="preserve"> 1303 </w:t>
            </w:r>
            <w:smartTag w:uri="urn:schemas-microsoft-com:office:smarttags" w:element="place">
              <w:r w:rsidRPr="00CB044D">
                <w:rPr>
                  <w:rFonts w:eastAsia="Calibri"/>
                  <w:sz w:val="24"/>
                  <w:szCs w:val="24"/>
                </w:rPr>
                <w:t>Main</w:t>
              </w:r>
            </w:smartTag>
          </w:p>
          <w:p w14:paraId="00D181A0" w14:textId="77777777" w:rsidR="00CB044D" w:rsidRPr="00CB044D" w:rsidRDefault="00CB044D" w:rsidP="00CB044D">
            <w:pPr>
              <w:jc w:val="both"/>
              <w:rPr>
                <w:rFonts w:eastAsia="Calibri"/>
                <w:sz w:val="24"/>
                <w:szCs w:val="24"/>
              </w:rPr>
            </w:pPr>
            <w:smartTag w:uri="urn:schemas-microsoft-com:office:smarttags" w:element="address">
              <w:smartTag w:uri="urn:schemas-microsoft-com:office:smarttags" w:element="Street">
                <w:r w:rsidRPr="00CB044D">
                  <w:rPr>
                    <w:rFonts w:eastAsia="Calibri"/>
                    <w:sz w:val="24"/>
                    <w:szCs w:val="24"/>
                  </w:rPr>
                  <w:t>P.O. Box</w:t>
                </w:r>
              </w:smartTag>
              <w:r w:rsidRPr="00CB044D">
                <w:rPr>
                  <w:rFonts w:eastAsia="Calibri"/>
                  <w:sz w:val="24"/>
                  <w:szCs w:val="24"/>
                </w:rPr>
                <w:t xml:space="preserve"> 961</w:t>
              </w:r>
            </w:smartTag>
          </w:p>
          <w:p w14:paraId="006695C5" w14:textId="77777777" w:rsidR="00CB044D" w:rsidRPr="00CB044D" w:rsidRDefault="00CB044D" w:rsidP="00CB044D">
            <w:pPr>
              <w:jc w:val="both"/>
              <w:rPr>
                <w:rFonts w:eastAsia="Calibri"/>
                <w:sz w:val="24"/>
                <w:szCs w:val="24"/>
              </w:rPr>
            </w:pPr>
            <w:smartTag w:uri="urn:schemas-microsoft-com:office:smarttags" w:element="place">
              <w:smartTag w:uri="urn:schemas-microsoft-com:office:smarttags" w:element="City">
                <w:r w:rsidRPr="00CB044D">
                  <w:rPr>
                    <w:rFonts w:eastAsia="Calibri"/>
                    <w:sz w:val="24"/>
                    <w:szCs w:val="24"/>
                  </w:rPr>
                  <w:t>Cincinnati</w:t>
                </w:r>
              </w:smartTag>
              <w:r w:rsidRPr="00CB044D">
                <w:rPr>
                  <w:rFonts w:eastAsia="Calibri"/>
                  <w:sz w:val="24"/>
                  <w:szCs w:val="24"/>
                </w:rPr>
                <w:t xml:space="preserve">, </w:t>
              </w:r>
              <w:smartTag w:uri="urn:schemas-microsoft-com:office:smarttags" w:element="State">
                <w:r w:rsidRPr="00CB044D">
                  <w:rPr>
                    <w:rFonts w:eastAsia="Calibri"/>
                    <w:sz w:val="24"/>
                    <w:szCs w:val="24"/>
                  </w:rPr>
                  <w:t>Ohio</w:t>
                </w:r>
              </w:smartTag>
              <w:r w:rsidRPr="00CB044D">
                <w:rPr>
                  <w:rFonts w:eastAsia="Calibri"/>
                  <w:sz w:val="24"/>
                  <w:szCs w:val="24"/>
                </w:rPr>
                <w:t xml:space="preserve"> </w:t>
              </w:r>
              <w:smartTag w:uri="urn:schemas-microsoft-com:office:smarttags" w:element="PostalCode">
                <w:r w:rsidRPr="00CB044D">
                  <w:rPr>
                    <w:rFonts w:eastAsia="Calibri"/>
                    <w:sz w:val="24"/>
                    <w:szCs w:val="24"/>
                  </w:rPr>
                  <w:t>45201-0960</w:t>
                </w:r>
              </w:smartTag>
            </w:smartTag>
          </w:p>
          <w:p w14:paraId="7A8C5458" w14:textId="77777777" w:rsidR="00CB044D" w:rsidRPr="00CB044D" w:rsidRDefault="00CB044D" w:rsidP="00CB044D">
            <w:pPr>
              <w:jc w:val="both"/>
              <w:rPr>
                <w:rFonts w:eastAsia="Calibri"/>
                <w:sz w:val="24"/>
                <w:szCs w:val="24"/>
              </w:rPr>
            </w:pPr>
          </w:p>
        </w:tc>
      </w:tr>
      <w:tr w:rsidR="00CB044D" w:rsidRPr="00CB044D" w14:paraId="5BED7379" w14:textId="77777777" w:rsidTr="005E5FA6">
        <w:tc>
          <w:tcPr>
            <w:tcW w:w="4428" w:type="dxa"/>
          </w:tcPr>
          <w:p w14:paraId="568816C6" w14:textId="77777777" w:rsidR="00CB044D" w:rsidRPr="00CB044D" w:rsidRDefault="00CB044D" w:rsidP="00CB044D">
            <w:pPr>
              <w:rPr>
                <w:rFonts w:eastAsia="Calibri"/>
                <w:sz w:val="24"/>
                <w:szCs w:val="24"/>
              </w:rPr>
            </w:pPr>
            <w:r w:rsidRPr="00CB044D">
              <w:rPr>
                <w:rFonts w:eastAsia="Calibri"/>
                <w:sz w:val="24"/>
                <w:szCs w:val="24"/>
              </w:rPr>
              <w:t>Thomas McNamee</w:t>
            </w:r>
          </w:p>
          <w:p w14:paraId="3DDE978D" w14:textId="77777777" w:rsidR="00CB044D" w:rsidRPr="00CB044D" w:rsidRDefault="00CB044D" w:rsidP="00CB044D">
            <w:pPr>
              <w:rPr>
                <w:rFonts w:eastAsia="Calibri"/>
                <w:sz w:val="24"/>
                <w:szCs w:val="24"/>
              </w:rPr>
            </w:pPr>
            <w:r w:rsidRPr="00CB044D">
              <w:rPr>
                <w:rFonts w:eastAsia="Calibri"/>
                <w:sz w:val="24"/>
                <w:szCs w:val="24"/>
              </w:rPr>
              <w:t>Devin Parram</w:t>
            </w:r>
          </w:p>
          <w:p w14:paraId="1F68CC19" w14:textId="77777777" w:rsidR="00CB044D" w:rsidRPr="00CB044D" w:rsidRDefault="00CB044D" w:rsidP="00CB044D">
            <w:pPr>
              <w:rPr>
                <w:rFonts w:eastAsia="Calibri"/>
                <w:sz w:val="24"/>
                <w:szCs w:val="24"/>
              </w:rPr>
            </w:pPr>
            <w:r w:rsidRPr="00CB044D">
              <w:rPr>
                <w:rFonts w:eastAsia="Calibri"/>
                <w:sz w:val="24"/>
                <w:szCs w:val="24"/>
              </w:rPr>
              <w:t>Attorneys General</w:t>
            </w:r>
          </w:p>
          <w:p w14:paraId="126AA6B0" w14:textId="77777777" w:rsidR="00CB044D" w:rsidRPr="00CB044D" w:rsidRDefault="00CB044D" w:rsidP="00CB044D">
            <w:pPr>
              <w:rPr>
                <w:rFonts w:eastAsia="Calibri"/>
                <w:sz w:val="24"/>
                <w:szCs w:val="24"/>
              </w:rPr>
            </w:pPr>
            <w:r w:rsidRPr="00CB044D">
              <w:rPr>
                <w:rFonts w:eastAsia="Calibri"/>
                <w:sz w:val="24"/>
                <w:szCs w:val="24"/>
              </w:rPr>
              <w:t xml:space="preserve">Public Utilities Commission of </w:t>
            </w:r>
            <w:smartTag w:uri="urn:schemas-microsoft-com:office:smarttags" w:element="State">
              <w:smartTag w:uri="urn:schemas-microsoft-com:office:smarttags" w:element="place">
                <w:r w:rsidRPr="00CB044D">
                  <w:rPr>
                    <w:rFonts w:eastAsia="Calibri"/>
                    <w:sz w:val="24"/>
                    <w:szCs w:val="24"/>
                  </w:rPr>
                  <w:t>Ohio</w:t>
                </w:r>
              </w:smartTag>
            </w:smartTag>
          </w:p>
          <w:p w14:paraId="20896BFB" w14:textId="77777777" w:rsidR="00CB044D" w:rsidRPr="00CB044D" w:rsidRDefault="00CB044D" w:rsidP="00CB044D">
            <w:pPr>
              <w:rPr>
                <w:rFonts w:eastAsia="Calibri"/>
                <w:sz w:val="24"/>
                <w:szCs w:val="24"/>
              </w:rPr>
            </w:pPr>
            <w:r w:rsidRPr="00CB044D">
              <w:rPr>
                <w:rFonts w:eastAsia="Calibri"/>
                <w:sz w:val="24"/>
                <w:szCs w:val="24"/>
              </w:rPr>
              <w:t>180 East Broad Street 6</w:t>
            </w:r>
            <w:r w:rsidRPr="00CB044D">
              <w:rPr>
                <w:rFonts w:eastAsia="Calibri"/>
                <w:sz w:val="24"/>
                <w:szCs w:val="24"/>
                <w:vertAlign w:val="superscript"/>
              </w:rPr>
              <w:t>th</w:t>
            </w:r>
            <w:r w:rsidRPr="00CB044D">
              <w:rPr>
                <w:rFonts w:eastAsia="Calibri"/>
                <w:sz w:val="24"/>
                <w:szCs w:val="24"/>
              </w:rPr>
              <w:t xml:space="preserve"> Floor</w:t>
            </w:r>
          </w:p>
          <w:p w14:paraId="53003EF2" w14:textId="77777777" w:rsidR="00CB044D" w:rsidRPr="00CB044D" w:rsidRDefault="00CB044D" w:rsidP="00CB044D">
            <w:pPr>
              <w:rPr>
                <w:rFonts w:eastAsia="Calibri"/>
                <w:sz w:val="24"/>
                <w:szCs w:val="24"/>
              </w:rPr>
            </w:pPr>
            <w:smartTag w:uri="urn:schemas-microsoft-com:office:smarttags" w:element="place">
              <w:smartTag w:uri="urn:schemas-microsoft-com:office:smarttags" w:element="City">
                <w:r w:rsidRPr="00CB044D">
                  <w:rPr>
                    <w:rFonts w:eastAsia="Calibri"/>
                    <w:sz w:val="24"/>
                    <w:szCs w:val="24"/>
                  </w:rPr>
                  <w:t>Columbus</w:t>
                </w:r>
              </w:smartTag>
              <w:r w:rsidRPr="00CB044D">
                <w:rPr>
                  <w:rFonts w:eastAsia="Calibri"/>
                  <w:sz w:val="24"/>
                  <w:szCs w:val="24"/>
                </w:rPr>
                <w:t xml:space="preserve">, </w:t>
              </w:r>
              <w:smartTag w:uri="urn:schemas-microsoft-com:office:smarttags" w:element="State">
                <w:r w:rsidRPr="00CB044D">
                  <w:rPr>
                    <w:rFonts w:eastAsia="Calibri"/>
                    <w:sz w:val="24"/>
                    <w:szCs w:val="24"/>
                  </w:rPr>
                  <w:t>Ohio</w:t>
                </w:r>
              </w:smartTag>
              <w:r w:rsidRPr="00CB044D">
                <w:rPr>
                  <w:rFonts w:eastAsia="Calibri"/>
                  <w:sz w:val="24"/>
                  <w:szCs w:val="24"/>
                </w:rPr>
                <w:t xml:space="preserve"> </w:t>
              </w:r>
              <w:smartTag w:uri="urn:schemas-microsoft-com:office:smarttags" w:element="PostalCode">
                <w:r w:rsidRPr="00CB044D">
                  <w:rPr>
                    <w:rFonts w:eastAsia="Calibri"/>
                    <w:sz w:val="24"/>
                    <w:szCs w:val="24"/>
                  </w:rPr>
                  <w:t>43215</w:t>
                </w:r>
              </w:smartTag>
            </w:smartTag>
          </w:p>
          <w:p w14:paraId="4B7B9DAF" w14:textId="77777777" w:rsidR="00CB044D" w:rsidRPr="00CB044D" w:rsidRDefault="00CB044D" w:rsidP="00CB044D">
            <w:pPr>
              <w:rPr>
                <w:rFonts w:eastAsia="Calibri"/>
                <w:sz w:val="24"/>
                <w:szCs w:val="24"/>
              </w:rPr>
            </w:pPr>
          </w:p>
        </w:tc>
        <w:tc>
          <w:tcPr>
            <w:tcW w:w="4428" w:type="dxa"/>
          </w:tcPr>
          <w:p w14:paraId="605D1F42" w14:textId="77777777" w:rsidR="00CB044D" w:rsidRPr="00CB044D" w:rsidRDefault="00CB044D" w:rsidP="00CB044D">
            <w:pPr>
              <w:jc w:val="both"/>
              <w:rPr>
                <w:rFonts w:eastAsia="Calibri"/>
                <w:sz w:val="24"/>
                <w:szCs w:val="24"/>
              </w:rPr>
            </w:pPr>
            <w:r w:rsidRPr="00CB044D">
              <w:rPr>
                <w:rFonts w:eastAsia="Calibri"/>
                <w:sz w:val="24"/>
                <w:szCs w:val="24"/>
              </w:rPr>
              <w:t>A. Brian McIntosh</w:t>
            </w:r>
          </w:p>
          <w:p w14:paraId="6F851B43" w14:textId="77777777" w:rsidR="00CB044D" w:rsidRPr="00CB044D" w:rsidRDefault="00CB044D" w:rsidP="00CB044D">
            <w:pPr>
              <w:jc w:val="both"/>
              <w:rPr>
                <w:rFonts w:eastAsia="Calibri"/>
                <w:sz w:val="24"/>
                <w:szCs w:val="24"/>
              </w:rPr>
            </w:pPr>
            <w:r w:rsidRPr="00CB044D">
              <w:rPr>
                <w:rFonts w:eastAsia="Calibri"/>
                <w:sz w:val="24"/>
                <w:szCs w:val="24"/>
              </w:rPr>
              <w:t>McIntosh &amp; McIntosh</w:t>
            </w:r>
          </w:p>
          <w:p w14:paraId="6073D5F2" w14:textId="77777777" w:rsidR="00CB044D" w:rsidRPr="00CB044D" w:rsidRDefault="00CB044D" w:rsidP="00CB044D">
            <w:pPr>
              <w:jc w:val="both"/>
              <w:rPr>
                <w:rFonts w:eastAsia="Calibri"/>
                <w:sz w:val="24"/>
                <w:szCs w:val="24"/>
              </w:rPr>
            </w:pPr>
            <w:smartTag w:uri="urn:schemas-microsoft-com:office:smarttags" w:element="Street">
              <w:smartTag w:uri="urn:schemas-microsoft-com:office:smarttags" w:element="address">
                <w:r w:rsidRPr="00CB044D">
                  <w:rPr>
                    <w:rFonts w:eastAsia="Calibri"/>
                    <w:sz w:val="24"/>
                    <w:szCs w:val="24"/>
                  </w:rPr>
                  <w:t>1136 Saint Gregory Street, Suite 100</w:t>
                </w:r>
              </w:smartTag>
            </w:smartTag>
          </w:p>
          <w:p w14:paraId="56E38173" w14:textId="77777777" w:rsidR="00CB044D" w:rsidRPr="00CB044D" w:rsidRDefault="00CB044D" w:rsidP="00CB044D">
            <w:pPr>
              <w:jc w:val="both"/>
              <w:rPr>
                <w:rFonts w:eastAsia="Calibri"/>
                <w:sz w:val="24"/>
                <w:szCs w:val="24"/>
              </w:rPr>
            </w:pPr>
            <w:smartTag w:uri="urn:schemas-microsoft-com:office:smarttags" w:element="place">
              <w:smartTag w:uri="urn:schemas-microsoft-com:office:smarttags" w:element="City">
                <w:r w:rsidRPr="00CB044D">
                  <w:rPr>
                    <w:rFonts w:eastAsia="Calibri"/>
                    <w:sz w:val="24"/>
                    <w:szCs w:val="24"/>
                  </w:rPr>
                  <w:t>Cincinnati</w:t>
                </w:r>
              </w:smartTag>
              <w:r w:rsidRPr="00CB044D">
                <w:rPr>
                  <w:rFonts w:eastAsia="Calibri"/>
                  <w:sz w:val="24"/>
                  <w:szCs w:val="24"/>
                </w:rPr>
                <w:t xml:space="preserve">, </w:t>
              </w:r>
              <w:smartTag w:uri="urn:schemas-microsoft-com:office:smarttags" w:element="State">
                <w:r w:rsidRPr="00CB044D">
                  <w:rPr>
                    <w:rFonts w:eastAsia="Calibri"/>
                    <w:sz w:val="24"/>
                    <w:szCs w:val="24"/>
                  </w:rPr>
                  <w:t>Ohio</w:t>
                </w:r>
              </w:smartTag>
              <w:r w:rsidRPr="00CB044D">
                <w:rPr>
                  <w:rFonts w:eastAsia="Calibri"/>
                  <w:sz w:val="24"/>
                  <w:szCs w:val="24"/>
                </w:rPr>
                <w:t xml:space="preserve"> </w:t>
              </w:r>
              <w:smartTag w:uri="urn:schemas-microsoft-com:office:smarttags" w:element="PostalCode">
                <w:r w:rsidRPr="00CB044D">
                  <w:rPr>
                    <w:rFonts w:eastAsia="Calibri"/>
                    <w:sz w:val="24"/>
                    <w:szCs w:val="24"/>
                  </w:rPr>
                  <w:t>45202</w:t>
                </w:r>
              </w:smartTag>
            </w:smartTag>
          </w:p>
          <w:p w14:paraId="70E9FF20" w14:textId="77777777" w:rsidR="00CB044D" w:rsidRPr="00CB044D" w:rsidRDefault="00CB044D" w:rsidP="00CB044D">
            <w:pPr>
              <w:ind w:left="360"/>
              <w:jc w:val="both"/>
              <w:rPr>
                <w:rFonts w:eastAsia="Calibri"/>
                <w:sz w:val="24"/>
                <w:szCs w:val="24"/>
              </w:rPr>
            </w:pPr>
          </w:p>
        </w:tc>
      </w:tr>
      <w:tr w:rsidR="00CB044D" w:rsidRPr="00CB044D" w14:paraId="74052E03" w14:textId="77777777" w:rsidTr="005E5FA6">
        <w:tc>
          <w:tcPr>
            <w:tcW w:w="4428" w:type="dxa"/>
          </w:tcPr>
          <w:p w14:paraId="3F73C4BF" w14:textId="77777777" w:rsidR="00CB044D" w:rsidRPr="00CB044D" w:rsidRDefault="00CB044D" w:rsidP="00CB044D">
            <w:pPr>
              <w:autoSpaceDE w:val="0"/>
              <w:autoSpaceDN w:val="0"/>
              <w:adjustRightInd w:val="0"/>
              <w:rPr>
                <w:rFonts w:eastAsia="Calibri"/>
                <w:color w:val="000000"/>
                <w:sz w:val="24"/>
                <w:szCs w:val="24"/>
              </w:rPr>
            </w:pPr>
            <w:r w:rsidRPr="00CB044D">
              <w:rPr>
                <w:rFonts w:eastAsia="Calibri"/>
                <w:color w:val="000000"/>
                <w:sz w:val="24"/>
                <w:szCs w:val="24"/>
              </w:rPr>
              <w:t>Douglas E. Hart</w:t>
            </w:r>
          </w:p>
          <w:p w14:paraId="574F9A6B" w14:textId="77777777" w:rsidR="00CB044D" w:rsidRPr="00CB044D" w:rsidRDefault="00CB044D" w:rsidP="00CB044D">
            <w:pPr>
              <w:autoSpaceDE w:val="0"/>
              <w:autoSpaceDN w:val="0"/>
              <w:adjustRightInd w:val="0"/>
              <w:rPr>
                <w:rFonts w:eastAsia="Calibri"/>
                <w:color w:val="000000"/>
                <w:sz w:val="24"/>
                <w:szCs w:val="24"/>
              </w:rPr>
            </w:pPr>
            <w:smartTag w:uri="urn:schemas-microsoft-com:office:smarttags" w:element="Street">
              <w:smartTag w:uri="urn:schemas-microsoft-com:office:smarttags" w:element="address">
                <w:r w:rsidRPr="00CB044D">
                  <w:rPr>
                    <w:rFonts w:eastAsia="Calibri"/>
                    <w:color w:val="000000"/>
                    <w:sz w:val="24"/>
                    <w:szCs w:val="24"/>
                  </w:rPr>
                  <w:t>441 Vine Street, Suite 4192</w:t>
                </w:r>
              </w:smartTag>
            </w:smartTag>
          </w:p>
          <w:p w14:paraId="23E3DC34" w14:textId="77777777" w:rsidR="00CB044D" w:rsidRPr="00CB044D" w:rsidRDefault="00CB044D" w:rsidP="00CB044D">
            <w:pPr>
              <w:autoSpaceDE w:val="0"/>
              <w:autoSpaceDN w:val="0"/>
              <w:adjustRightInd w:val="0"/>
              <w:rPr>
                <w:rFonts w:eastAsia="Calibri"/>
                <w:color w:val="000000"/>
                <w:sz w:val="24"/>
                <w:szCs w:val="24"/>
              </w:rPr>
            </w:pPr>
            <w:smartTag w:uri="urn:schemas-microsoft-com:office:smarttags" w:element="place">
              <w:smartTag w:uri="urn:schemas-microsoft-com:office:smarttags" w:element="City">
                <w:r w:rsidRPr="00CB044D">
                  <w:rPr>
                    <w:rFonts w:eastAsia="Calibri"/>
                    <w:color w:val="000000"/>
                    <w:sz w:val="24"/>
                    <w:szCs w:val="24"/>
                  </w:rPr>
                  <w:t>Cincinnati</w:t>
                </w:r>
              </w:smartTag>
              <w:r w:rsidRPr="00CB044D">
                <w:rPr>
                  <w:rFonts w:eastAsia="Calibri"/>
                  <w:color w:val="000000"/>
                  <w:sz w:val="24"/>
                  <w:szCs w:val="24"/>
                </w:rPr>
                <w:t xml:space="preserve">, </w:t>
              </w:r>
              <w:smartTag w:uri="urn:schemas-microsoft-com:office:smarttags" w:element="State">
                <w:r w:rsidRPr="00CB044D">
                  <w:rPr>
                    <w:rFonts w:eastAsia="Calibri"/>
                    <w:color w:val="000000"/>
                    <w:sz w:val="24"/>
                    <w:szCs w:val="24"/>
                  </w:rPr>
                  <w:t>Ohio</w:t>
                </w:r>
              </w:smartTag>
              <w:r w:rsidRPr="00CB044D">
                <w:rPr>
                  <w:rFonts w:eastAsia="Calibri"/>
                  <w:color w:val="000000"/>
                  <w:sz w:val="24"/>
                  <w:szCs w:val="24"/>
                </w:rPr>
                <w:t xml:space="preserve"> </w:t>
              </w:r>
              <w:smartTag w:uri="urn:schemas-microsoft-com:office:smarttags" w:element="PostalCode">
                <w:r w:rsidRPr="00CB044D">
                  <w:rPr>
                    <w:rFonts w:eastAsia="Calibri"/>
                    <w:color w:val="000000"/>
                    <w:sz w:val="24"/>
                    <w:szCs w:val="24"/>
                  </w:rPr>
                  <w:t>45202</w:t>
                </w:r>
              </w:smartTag>
            </w:smartTag>
          </w:p>
          <w:p w14:paraId="77838EDA" w14:textId="77777777" w:rsidR="00CB044D" w:rsidRPr="00CB044D" w:rsidRDefault="00CB044D" w:rsidP="00CB044D">
            <w:pPr>
              <w:autoSpaceDE w:val="0"/>
              <w:autoSpaceDN w:val="0"/>
              <w:adjustRightInd w:val="0"/>
              <w:rPr>
                <w:rFonts w:eastAsia="Calibri"/>
                <w:color w:val="000000"/>
                <w:sz w:val="24"/>
                <w:szCs w:val="24"/>
              </w:rPr>
            </w:pPr>
          </w:p>
        </w:tc>
        <w:tc>
          <w:tcPr>
            <w:tcW w:w="4428" w:type="dxa"/>
          </w:tcPr>
          <w:p w14:paraId="0D0C4AD8" w14:textId="77777777" w:rsidR="00CB044D" w:rsidRPr="00CB044D" w:rsidRDefault="00CB044D" w:rsidP="00CB044D">
            <w:pPr>
              <w:autoSpaceDE w:val="0"/>
              <w:autoSpaceDN w:val="0"/>
              <w:adjustRightInd w:val="0"/>
              <w:rPr>
                <w:rFonts w:eastAsia="Calibri"/>
                <w:color w:val="000000"/>
                <w:sz w:val="24"/>
                <w:szCs w:val="24"/>
              </w:rPr>
            </w:pPr>
            <w:r w:rsidRPr="00CB044D">
              <w:rPr>
                <w:rFonts w:eastAsia="Calibri"/>
                <w:color w:val="000000"/>
                <w:sz w:val="24"/>
                <w:szCs w:val="24"/>
              </w:rPr>
              <w:t>Colleen L. Mooney</w:t>
            </w:r>
          </w:p>
          <w:p w14:paraId="2B9FE782" w14:textId="77777777" w:rsidR="00CB044D" w:rsidRPr="00CB044D" w:rsidRDefault="00CB044D" w:rsidP="00CB044D">
            <w:pPr>
              <w:autoSpaceDE w:val="0"/>
              <w:autoSpaceDN w:val="0"/>
              <w:adjustRightInd w:val="0"/>
              <w:rPr>
                <w:rFonts w:eastAsia="Calibri"/>
                <w:color w:val="000000"/>
                <w:sz w:val="24"/>
                <w:szCs w:val="24"/>
              </w:rPr>
            </w:pPr>
            <w:smartTag w:uri="urn:schemas-microsoft-com:office:smarttags" w:element="State">
              <w:smartTag w:uri="urn:schemas-microsoft-com:office:smarttags" w:element="place">
                <w:r w:rsidRPr="00CB044D">
                  <w:rPr>
                    <w:rFonts w:eastAsia="Calibri"/>
                    <w:color w:val="000000"/>
                    <w:sz w:val="24"/>
                    <w:szCs w:val="24"/>
                  </w:rPr>
                  <w:t>Ohio</w:t>
                </w:r>
              </w:smartTag>
            </w:smartTag>
            <w:r w:rsidRPr="00CB044D">
              <w:rPr>
                <w:rFonts w:eastAsia="Calibri"/>
                <w:color w:val="000000"/>
                <w:sz w:val="24"/>
                <w:szCs w:val="24"/>
              </w:rPr>
              <w:t xml:space="preserve"> Partners for Affordable Energy</w:t>
            </w:r>
          </w:p>
          <w:p w14:paraId="3081320E" w14:textId="77777777" w:rsidR="00CB044D" w:rsidRPr="00CB044D" w:rsidRDefault="00CB044D" w:rsidP="00CB044D">
            <w:pPr>
              <w:autoSpaceDE w:val="0"/>
              <w:autoSpaceDN w:val="0"/>
              <w:adjustRightInd w:val="0"/>
              <w:rPr>
                <w:rFonts w:eastAsia="Calibri"/>
                <w:color w:val="000000"/>
                <w:sz w:val="24"/>
                <w:szCs w:val="24"/>
              </w:rPr>
            </w:pPr>
            <w:smartTag w:uri="urn:schemas-microsoft-com:office:smarttags" w:element="Street">
              <w:smartTag w:uri="urn:schemas-microsoft-com:office:smarttags" w:element="address">
                <w:r w:rsidRPr="00CB044D">
                  <w:rPr>
                    <w:rFonts w:eastAsia="Calibri"/>
                    <w:color w:val="000000"/>
                    <w:sz w:val="24"/>
                    <w:szCs w:val="24"/>
                  </w:rPr>
                  <w:t>231 West Lima Street</w:t>
                </w:r>
              </w:smartTag>
            </w:smartTag>
          </w:p>
          <w:p w14:paraId="676A1608" w14:textId="77777777" w:rsidR="00CB044D" w:rsidRPr="00CB044D" w:rsidRDefault="00CB044D" w:rsidP="00CB044D">
            <w:pPr>
              <w:autoSpaceDE w:val="0"/>
              <w:autoSpaceDN w:val="0"/>
              <w:adjustRightInd w:val="0"/>
              <w:rPr>
                <w:rFonts w:eastAsia="Calibri"/>
                <w:color w:val="000000"/>
                <w:sz w:val="24"/>
                <w:szCs w:val="24"/>
              </w:rPr>
            </w:pPr>
            <w:smartTag w:uri="urn:schemas-microsoft-com:office:smarttags" w:element="place">
              <w:smartTag w:uri="urn:schemas-microsoft-com:office:smarttags" w:element="City">
                <w:r w:rsidRPr="00CB044D">
                  <w:rPr>
                    <w:rFonts w:eastAsia="Calibri"/>
                    <w:color w:val="000000"/>
                    <w:sz w:val="24"/>
                    <w:szCs w:val="24"/>
                  </w:rPr>
                  <w:t>Findlay</w:t>
                </w:r>
              </w:smartTag>
              <w:r w:rsidRPr="00CB044D">
                <w:rPr>
                  <w:rFonts w:eastAsia="Calibri"/>
                  <w:color w:val="000000"/>
                  <w:sz w:val="24"/>
                  <w:szCs w:val="24"/>
                </w:rPr>
                <w:t xml:space="preserve">, </w:t>
              </w:r>
              <w:smartTag w:uri="urn:schemas-microsoft-com:office:smarttags" w:element="State">
                <w:r w:rsidRPr="00CB044D">
                  <w:rPr>
                    <w:rFonts w:eastAsia="Calibri"/>
                    <w:color w:val="000000"/>
                    <w:sz w:val="24"/>
                    <w:szCs w:val="24"/>
                  </w:rPr>
                  <w:t>Ohio</w:t>
                </w:r>
              </w:smartTag>
              <w:r w:rsidRPr="00CB044D">
                <w:rPr>
                  <w:rFonts w:eastAsia="Calibri"/>
                  <w:color w:val="000000"/>
                  <w:sz w:val="24"/>
                  <w:szCs w:val="24"/>
                </w:rPr>
                <w:t xml:space="preserve"> </w:t>
              </w:r>
              <w:smartTag w:uri="urn:schemas-microsoft-com:office:smarttags" w:element="PostalCode">
                <w:r w:rsidRPr="00CB044D">
                  <w:rPr>
                    <w:rFonts w:eastAsia="Calibri"/>
                    <w:color w:val="000000"/>
                    <w:sz w:val="24"/>
                    <w:szCs w:val="24"/>
                  </w:rPr>
                  <w:t>45840</w:t>
                </w:r>
              </w:smartTag>
            </w:smartTag>
          </w:p>
          <w:p w14:paraId="6BDC0DAA" w14:textId="77777777" w:rsidR="00CB044D" w:rsidRPr="00CB044D" w:rsidRDefault="00CB044D" w:rsidP="00CB044D">
            <w:pPr>
              <w:rPr>
                <w:rFonts w:eastAsia="Calibri"/>
                <w:sz w:val="24"/>
                <w:szCs w:val="24"/>
              </w:rPr>
            </w:pPr>
          </w:p>
        </w:tc>
      </w:tr>
      <w:tr w:rsidR="00CB044D" w:rsidRPr="00CB044D" w14:paraId="7F377DE3" w14:textId="77777777" w:rsidTr="005E5FA6">
        <w:tc>
          <w:tcPr>
            <w:tcW w:w="4428" w:type="dxa"/>
          </w:tcPr>
          <w:p w14:paraId="05C321A7"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rPr>
              <w:t>Thomas J. O’Brien</w:t>
            </w:r>
          </w:p>
          <w:p w14:paraId="29EEC130"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rPr>
              <w:t>Bricker &amp;Eckler LLP</w:t>
            </w:r>
          </w:p>
          <w:p w14:paraId="477606C9" w14:textId="77777777" w:rsidR="00CB044D" w:rsidRPr="00CB044D" w:rsidRDefault="00CB044D" w:rsidP="00CB044D">
            <w:pPr>
              <w:autoSpaceDE w:val="0"/>
              <w:autoSpaceDN w:val="0"/>
              <w:adjustRightInd w:val="0"/>
              <w:rPr>
                <w:rFonts w:eastAsia="Calibri"/>
                <w:sz w:val="24"/>
                <w:szCs w:val="24"/>
              </w:rPr>
            </w:pPr>
            <w:smartTag w:uri="urn:schemas-microsoft-com:office:smarttags" w:element="Street">
              <w:smartTag w:uri="urn:schemas-microsoft-com:office:smarttags" w:element="address">
                <w:r w:rsidRPr="00CB044D">
                  <w:rPr>
                    <w:rFonts w:eastAsia="Calibri"/>
                    <w:sz w:val="24"/>
                    <w:szCs w:val="24"/>
                  </w:rPr>
                  <w:t>100 South Third Street</w:t>
                </w:r>
              </w:smartTag>
            </w:smartTag>
          </w:p>
          <w:p w14:paraId="15EF1747" w14:textId="77777777" w:rsidR="00CB044D" w:rsidRPr="00CB044D" w:rsidRDefault="00CB044D" w:rsidP="00CB044D">
            <w:pPr>
              <w:autoSpaceDE w:val="0"/>
              <w:autoSpaceDN w:val="0"/>
              <w:adjustRightInd w:val="0"/>
              <w:rPr>
                <w:rFonts w:eastAsia="Calibri"/>
                <w:sz w:val="24"/>
                <w:szCs w:val="24"/>
              </w:rPr>
            </w:pPr>
            <w:smartTag w:uri="urn:schemas-microsoft-com:office:smarttags" w:element="place">
              <w:smartTag w:uri="urn:schemas-microsoft-com:office:smarttags" w:element="City">
                <w:r w:rsidRPr="00CB044D">
                  <w:rPr>
                    <w:rFonts w:eastAsia="Calibri"/>
                    <w:sz w:val="24"/>
                    <w:szCs w:val="24"/>
                  </w:rPr>
                  <w:t>Columbus</w:t>
                </w:r>
              </w:smartTag>
              <w:r w:rsidRPr="00CB044D">
                <w:rPr>
                  <w:rFonts w:eastAsia="Calibri"/>
                  <w:sz w:val="24"/>
                  <w:szCs w:val="24"/>
                </w:rPr>
                <w:t xml:space="preserve">, </w:t>
              </w:r>
              <w:smartTag w:uri="urn:schemas-microsoft-com:office:smarttags" w:element="State">
                <w:r w:rsidRPr="00CB044D">
                  <w:rPr>
                    <w:rFonts w:eastAsia="Calibri"/>
                    <w:sz w:val="24"/>
                    <w:szCs w:val="24"/>
                  </w:rPr>
                  <w:t>Ohio</w:t>
                </w:r>
              </w:smartTag>
              <w:r w:rsidRPr="00CB044D">
                <w:rPr>
                  <w:rFonts w:eastAsia="Calibri"/>
                  <w:sz w:val="24"/>
                  <w:szCs w:val="24"/>
                </w:rPr>
                <w:t xml:space="preserve"> </w:t>
              </w:r>
              <w:smartTag w:uri="urn:schemas-microsoft-com:office:smarttags" w:element="PostalCode">
                <w:r w:rsidRPr="00CB044D">
                  <w:rPr>
                    <w:rFonts w:eastAsia="Calibri"/>
                    <w:sz w:val="24"/>
                    <w:szCs w:val="24"/>
                  </w:rPr>
                  <w:t>43215-4291</w:t>
                </w:r>
              </w:smartTag>
            </w:smartTag>
          </w:p>
          <w:p w14:paraId="105CB27F" w14:textId="77777777" w:rsidR="00CB044D" w:rsidRPr="00CB044D" w:rsidRDefault="00CB044D" w:rsidP="00CB044D">
            <w:pPr>
              <w:rPr>
                <w:rFonts w:eastAsia="Calibri"/>
                <w:sz w:val="24"/>
                <w:szCs w:val="24"/>
              </w:rPr>
            </w:pPr>
          </w:p>
          <w:p w14:paraId="4F38725A" w14:textId="77777777" w:rsidR="00CB044D" w:rsidRPr="00CB044D" w:rsidRDefault="00CB044D" w:rsidP="00CB044D">
            <w:pPr>
              <w:rPr>
                <w:rFonts w:eastAsia="Calibri"/>
                <w:sz w:val="24"/>
                <w:szCs w:val="24"/>
              </w:rPr>
            </w:pPr>
            <w:r w:rsidRPr="00CB044D">
              <w:rPr>
                <w:rFonts w:eastAsia="Calibri"/>
                <w:sz w:val="24"/>
                <w:szCs w:val="24"/>
              </w:rPr>
              <w:t>Kimberly W. Bojko</w:t>
            </w:r>
          </w:p>
          <w:p w14:paraId="4387B3B9" w14:textId="77777777" w:rsidR="00CB044D" w:rsidRPr="00CB044D" w:rsidRDefault="00CB044D" w:rsidP="00CB044D">
            <w:pPr>
              <w:rPr>
                <w:rFonts w:eastAsia="Calibri"/>
                <w:sz w:val="24"/>
                <w:szCs w:val="24"/>
              </w:rPr>
            </w:pPr>
            <w:r w:rsidRPr="00CB044D">
              <w:rPr>
                <w:rFonts w:eastAsia="Calibri"/>
                <w:sz w:val="24"/>
                <w:szCs w:val="24"/>
              </w:rPr>
              <w:t>Mallory M. Mohler</w:t>
            </w:r>
          </w:p>
          <w:p w14:paraId="48068F8E" w14:textId="77777777" w:rsidR="00CB044D" w:rsidRPr="00CB044D" w:rsidRDefault="00CB044D" w:rsidP="00CB044D">
            <w:pPr>
              <w:rPr>
                <w:rFonts w:eastAsia="Calibri"/>
                <w:sz w:val="24"/>
                <w:szCs w:val="24"/>
              </w:rPr>
            </w:pPr>
            <w:r w:rsidRPr="00CB044D">
              <w:rPr>
                <w:rFonts w:eastAsia="Calibri"/>
                <w:sz w:val="24"/>
                <w:szCs w:val="24"/>
              </w:rPr>
              <w:t>Carpenter Lipps&amp; Leland LLP</w:t>
            </w:r>
          </w:p>
          <w:p w14:paraId="3EBE2223" w14:textId="77777777" w:rsidR="00CB044D" w:rsidRPr="00CB044D" w:rsidRDefault="00CB044D" w:rsidP="00CB044D">
            <w:pPr>
              <w:rPr>
                <w:rFonts w:eastAsia="Calibri"/>
                <w:sz w:val="24"/>
                <w:szCs w:val="24"/>
              </w:rPr>
            </w:pPr>
            <w:smartTag w:uri="urn:schemas-microsoft-com:office:smarttags" w:element="Street">
              <w:smartTag w:uri="urn:schemas-microsoft-com:office:smarttags" w:element="address">
                <w:r w:rsidRPr="00CB044D">
                  <w:rPr>
                    <w:rFonts w:eastAsia="Calibri"/>
                    <w:sz w:val="24"/>
                    <w:szCs w:val="24"/>
                  </w:rPr>
                  <w:t>280 North High Street</w:t>
                </w:r>
              </w:smartTag>
            </w:smartTag>
          </w:p>
          <w:p w14:paraId="1F30739B" w14:textId="77777777" w:rsidR="00CB044D" w:rsidRPr="00CB044D" w:rsidRDefault="00CB044D" w:rsidP="00CB044D">
            <w:pPr>
              <w:rPr>
                <w:rFonts w:eastAsia="Calibri"/>
                <w:sz w:val="24"/>
                <w:szCs w:val="24"/>
              </w:rPr>
            </w:pPr>
            <w:smartTag w:uri="urn:schemas-microsoft-com:office:smarttags" w:element="address">
              <w:smartTag w:uri="urn:schemas-microsoft-com:office:smarttags" w:element="Street">
                <w:r w:rsidRPr="00CB044D">
                  <w:rPr>
                    <w:rFonts w:eastAsia="Calibri"/>
                    <w:sz w:val="24"/>
                    <w:szCs w:val="24"/>
                  </w:rPr>
                  <w:t>Suite</w:t>
                </w:r>
              </w:smartTag>
              <w:r w:rsidRPr="00CB044D">
                <w:rPr>
                  <w:rFonts w:eastAsia="Calibri"/>
                  <w:sz w:val="24"/>
                  <w:szCs w:val="24"/>
                </w:rPr>
                <w:t xml:space="preserve"> 1300</w:t>
              </w:r>
            </w:smartTag>
          </w:p>
          <w:p w14:paraId="5D3D1ED5" w14:textId="35A59AE9" w:rsidR="00CB044D" w:rsidRPr="00CB044D" w:rsidRDefault="00CB044D" w:rsidP="00B41E1B">
            <w:pPr>
              <w:rPr>
                <w:rFonts w:eastAsia="Calibri"/>
                <w:sz w:val="24"/>
                <w:szCs w:val="24"/>
              </w:rPr>
            </w:pPr>
            <w:r w:rsidRPr="00CB044D">
              <w:rPr>
                <w:rFonts w:eastAsia="Calibri"/>
                <w:sz w:val="24"/>
                <w:szCs w:val="24"/>
              </w:rPr>
              <w:t>Columbus, Ohio  43215</w:t>
            </w:r>
          </w:p>
        </w:tc>
        <w:tc>
          <w:tcPr>
            <w:tcW w:w="4428" w:type="dxa"/>
          </w:tcPr>
          <w:p w14:paraId="0CD4CB37" w14:textId="77777777" w:rsidR="00CB044D" w:rsidRPr="00CB044D" w:rsidRDefault="00CB044D" w:rsidP="00CB044D">
            <w:pPr>
              <w:autoSpaceDE w:val="0"/>
              <w:autoSpaceDN w:val="0"/>
              <w:adjustRightInd w:val="0"/>
              <w:rPr>
                <w:rFonts w:eastAsia="Calibri"/>
                <w:color w:val="000000"/>
                <w:sz w:val="24"/>
                <w:szCs w:val="24"/>
              </w:rPr>
            </w:pPr>
            <w:r w:rsidRPr="00CB044D">
              <w:rPr>
                <w:rFonts w:eastAsia="Calibri"/>
                <w:color w:val="000000"/>
                <w:sz w:val="24"/>
                <w:szCs w:val="24"/>
              </w:rPr>
              <w:t>Mark S. Yurick</w:t>
            </w:r>
          </w:p>
          <w:p w14:paraId="5A84BDCB" w14:textId="77777777" w:rsidR="00CB044D" w:rsidRPr="00CB044D" w:rsidRDefault="00CB044D" w:rsidP="00CB044D">
            <w:pPr>
              <w:autoSpaceDE w:val="0"/>
              <w:autoSpaceDN w:val="0"/>
              <w:adjustRightInd w:val="0"/>
              <w:rPr>
                <w:rFonts w:eastAsia="Calibri"/>
                <w:color w:val="000000"/>
                <w:sz w:val="24"/>
                <w:szCs w:val="24"/>
              </w:rPr>
            </w:pPr>
            <w:r w:rsidRPr="00CB044D">
              <w:rPr>
                <w:rFonts w:eastAsia="Calibri"/>
                <w:color w:val="000000"/>
                <w:sz w:val="24"/>
                <w:szCs w:val="24"/>
              </w:rPr>
              <w:t>Zachary D. Kravitz</w:t>
            </w:r>
          </w:p>
          <w:p w14:paraId="3171F328" w14:textId="77777777" w:rsidR="00CB044D" w:rsidRPr="00CB044D" w:rsidRDefault="00CB044D" w:rsidP="00CB044D">
            <w:pPr>
              <w:autoSpaceDE w:val="0"/>
              <w:autoSpaceDN w:val="0"/>
              <w:adjustRightInd w:val="0"/>
              <w:rPr>
                <w:rFonts w:eastAsia="Calibri"/>
                <w:color w:val="000000"/>
                <w:sz w:val="24"/>
                <w:szCs w:val="24"/>
              </w:rPr>
            </w:pPr>
            <w:r w:rsidRPr="00CB044D">
              <w:rPr>
                <w:rFonts w:eastAsia="Calibri"/>
                <w:color w:val="000000"/>
                <w:sz w:val="24"/>
                <w:szCs w:val="24"/>
              </w:rPr>
              <w:t>Taft Stettinius &amp; Hollister LLP</w:t>
            </w:r>
          </w:p>
          <w:p w14:paraId="7B8A1A46" w14:textId="77777777" w:rsidR="00CB044D" w:rsidRPr="00CB044D" w:rsidRDefault="00CB044D" w:rsidP="00CB044D">
            <w:pPr>
              <w:autoSpaceDE w:val="0"/>
              <w:autoSpaceDN w:val="0"/>
              <w:adjustRightInd w:val="0"/>
              <w:rPr>
                <w:rFonts w:eastAsia="Calibri"/>
                <w:color w:val="000000"/>
                <w:sz w:val="24"/>
                <w:szCs w:val="24"/>
              </w:rPr>
            </w:pPr>
            <w:smartTag w:uri="urn:schemas-microsoft-com:office:smarttags" w:element="Street">
              <w:smartTag w:uri="urn:schemas-microsoft-com:office:smarttags" w:element="address">
                <w:r w:rsidRPr="00CB044D">
                  <w:rPr>
                    <w:rFonts w:eastAsia="Calibri"/>
                    <w:color w:val="000000"/>
                    <w:sz w:val="24"/>
                    <w:szCs w:val="24"/>
                  </w:rPr>
                  <w:t>65 East State Street Suite 1000</w:t>
                </w:r>
              </w:smartTag>
            </w:smartTag>
          </w:p>
          <w:p w14:paraId="7C1ED9F9" w14:textId="77777777" w:rsidR="00CB044D" w:rsidRPr="00CB044D" w:rsidRDefault="00CB044D" w:rsidP="00CB044D">
            <w:pPr>
              <w:autoSpaceDE w:val="0"/>
              <w:autoSpaceDN w:val="0"/>
              <w:adjustRightInd w:val="0"/>
              <w:rPr>
                <w:rFonts w:eastAsia="Calibri"/>
                <w:color w:val="000000"/>
                <w:sz w:val="24"/>
                <w:szCs w:val="24"/>
              </w:rPr>
            </w:pPr>
            <w:smartTag w:uri="urn:schemas-microsoft-com:office:smarttags" w:element="place">
              <w:smartTag w:uri="urn:schemas-microsoft-com:office:smarttags" w:element="City">
                <w:r w:rsidRPr="00CB044D">
                  <w:rPr>
                    <w:rFonts w:eastAsia="Calibri"/>
                    <w:color w:val="000000"/>
                    <w:sz w:val="24"/>
                    <w:szCs w:val="24"/>
                  </w:rPr>
                  <w:t>Columbus</w:t>
                </w:r>
              </w:smartTag>
              <w:r w:rsidRPr="00CB044D">
                <w:rPr>
                  <w:rFonts w:eastAsia="Calibri"/>
                  <w:color w:val="000000"/>
                  <w:sz w:val="24"/>
                  <w:szCs w:val="24"/>
                </w:rPr>
                <w:t xml:space="preserve">, </w:t>
              </w:r>
              <w:smartTag w:uri="urn:schemas-microsoft-com:office:smarttags" w:element="State">
                <w:r w:rsidRPr="00CB044D">
                  <w:rPr>
                    <w:rFonts w:eastAsia="Calibri"/>
                    <w:color w:val="000000"/>
                    <w:sz w:val="24"/>
                    <w:szCs w:val="24"/>
                  </w:rPr>
                  <w:t>Ohio</w:t>
                </w:r>
              </w:smartTag>
              <w:r w:rsidRPr="00CB044D">
                <w:rPr>
                  <w:rFonts w:eastAsia="Calibri"/>
                  <w:color w:val="000000"/>
                  <w:sz w:val="24"/>
                  <w:szCs w:val="24"/>
                </w:rPr>
                <w:t xml:space="preserve">  </w:t>
              </w:r>
              <w:smartTag w:uri="urn:schemas-microsoft-com:office:smarttags" w:element="PostalCode">
                <w:r w:rsidRPr="00CB044D">
                  <w:rPr>
                    <w:rFonts w:eastAsia="Calibri"/>
                    <w:color w:val="000000"/>
                    <w:sz w:val="24"/>
                    <w:szCs w:val="24"/>
                  </w:rPr>
                  <w:t>43215</w:t>
                </w:r>
              </w:smartTag>
            </w:smartTag>
          </w:p>
          <w:p w14:paraId="469D30E6" w14:textId="77777777" w:rsidR="00CB044D" w:rsidRPr="00CB044D" w:rsidRDefault="00CB044D" w:rsidP="00CB044D">
            <w:pPr>
              <w:autoSpaceDE w:val="0"/>
              <w:autoSpaceDN w:val="0"/>
              <w:adjustRightInd w:val="0"/>
              <w:rPr>
                <w:rFonts w:eastAsia="Calibri"/>
                <w:color w:val="000000"/>
                <w:sz w:val="24"/>
                <w:szCs w:val="24"/>
              </w:rPr>
            </w:pPr>
          </w:p>
          <w:p w14:paraId="1769C2BF" w14:textId="77777777" w:rsidR="00CB044D" w:rsidRPr="00CB044D" w:rsidRDefault="00CB044D" w:rsidP="00CB044D">
            <w:pPr>
              <w:autoSpaceDE w:val="0"/>
              <w:autoSpaceDN w:val="0"/>
              <w:adjustRightInd w:val="0"/>
              <w:rPr>
                <w:rFonts w:eastAsia="Calibri"/>
                <w:color w:val="000000"/>
                <w:sz w:val="24"/>
                <w:szCs w:val="24"/>
              </w:rPr>
            </w:pPr>
            <w:r w:rsidRPr="00CB044D">
              <w:rPr>
                <w:rFonts w:eastAsia="Calibri"/>
                <w:color w:val="000000"/>
                <w:sz w:val="24"/>
                <w:szCs w:val="24"/>
              </w:rPr>
              <w:t>Vincent Parisi</w:t>
            </w:r>
          </w:p>
          <w:p w14:paraId="4F60CF09" w14:textId="77777777" w:rsidR="00CB044D" w:rsidRPr="00CB044D" w:rsidRDefault="00CB044D" w:rsidP="00CB044D">
            <w:pPr>
              <w:autoSpaceDE w:val="0"/>
              <w:autoSpaceDN w:val="0"/>
              <w:adjustRightInd w:val="0"/>
              <w:rPr>
                <w:rFonts w:eastAsia="Calibri"/>
                <w:color w:val="000000"/>
                <w:sz w:val="24"/>
                <w:szCs w:val="24"/>
              </w:rPr>
            </w:pPr>
            <w:r w:rsidRPr="00CB044D">
              <w:rPr>
                <w:rFonts w:eastAsia="Calibri"/>
                <w:color w:val="000000"/>
                <w:sz w:val="24"/>
                <w:szCs w:val="24"/>
              </w:rPr>
              <w:t>Matthew White</w:t>
            </w:r>
          </w:p>
          <w:p w14:paraId="4FF36835" w14:textId="77777777" w:rsidR="00CB044D" w:rsidRPr="00CB044D" w:rsidRDefault="00CB044D" w:rsidP="00CB044D">
            <w:pPr>
              <w:autoSpaceDE w:val="0"/>
              <w:autoSpaceDN w:val="0"/>
              <w:adjustRightInd w:val="0"/>
              <w:rPr>
                <w:rFonts w:eastAsia="Calibri"/>
                <w:color w:val="000000"/>
                <w:sz w:val="24"/>
                <w:szCs w:val="24"/>
              </w:rPr>
            </w:pPr>
            <w:r w:rsidRPr="00CB044D">
              <w:rPr>
                <w:rFonts w:eastAsia="Calibri"/>
                <w:color w:val="000000"/>
                <w:sz w:val="24"/>
                <w:szCs w:val="24"/>
              </w:rPr>
              <w:t>Interstate Gas Supply Inc.</w:t>
            </w:r>
          </w:p>
          <w:p w14:paraId="47F18E39" w14:textId="77777777" w:rsidR="00CB044D" w:rsidRPr="00CB044D" w:rsidRDefault="00CB044D" w:rsidP="00CB044D">
            <w:pPr>
              <w:autoSpaceDE w:val="0"/>
              <w:autoSpaceDN w:val="0"/>
              <w:adjustRightInd w:val="0"/>
              <w:rPr>
                <w:rFonts w:eastAsia="Calibri"/>
                <w:color w:val="000000"/>
                <w:sz w:val="24"/>
                <w:szCs w:val="24"/>
              </w:rPr>
            </w:pPr>
            <w:smartTag w:uri="urn:schemas-microsoft-com:office:smarttags" w:element="Street">
              <w:smartTag w:uri="urn:schemas-microsoft-com:office:smarttags" w:element="address">
                <w:r w:rsidRPr="00CB044D">
                  <w:rPr>
                    <w:rFonts w:eastAsia="Calibri"/>
                    <w:color w:val="000000"/>
                    <w:sz w:val="24"/>
                    <w:szCs w:val="24"/>
                  </w:rPr>
                  <w:t>6100 Emerald Parkway</w:t>
                </w:r>
              </w:smartTag>
            </w:smartTag>
          </w:p>
          <w:p w14:paraId="6320DFD3" w14:textId="3AF3CA53" w:rsidR="00CB044D" w:rsidRPr="00CB044D" w:rsidRDefault="00CB044D" w:rsidP="00B41E1B">
            <w:pPr>
              <w:autoSpaceDE w:val="0"/>
              <w:autoSpaceDN w:val="0"/>
              <w:adjustRightInd w:val="0"/>
              <w:rPr>
                <w:rFonts w:eastAsia="Calibri"/>
                <w:color w:val="000000"/>
                <w:sz w:val="24"/>
                <w:szCs w:val="24"/>
              </w:rPr>
            </w:pPr>
            <w:r w:rsidRPr="00CB044D">
              <w:rPr>
                <w:rFonts w:eastAsia="Calibri"/>
                <w:color w:val="000000"/>
                <w:sz w:val="24"/>
                <w:szCs w:val="24"/>
              </w:rPr>
              <w:t>Dublin, Ohio  43016</w:t>
            </w:r>
          </w:p>
        </w:tc>
      </w:tr>
    </w:tbl>
    <w:p w14:paraId="0EE55E4F" w14:textId="77777777" w:rsidR="00CB044D" w:rsidRPr="00CB044D" w:rsidRDefault="00CB044D" w:rsidP="00CB044D">
      <w:r w:rsidRPr="00CB044D">
        <w:br w:type="page"/>
      </w:r>
    </w:p>
    <w:tbl>
      <w:tblPr>
        <w:tblW w:w="0" w:type="auto"/>
        <w:tblInd w:w="-106" w:type="dxa"/>
        <w:tblLook w:val="01E0" w:firstRow="1" w:lastRow="1" w:firstColumn="1" w:lastColumn="1" w:noHBand="0" w:noVBand="0"/>
      </w:tblPr>
      <w:tblGrid>
        <w:gridCol w:w="4428"/>
        <w:gridCol w:w="4428"/>
      </w:tblGrid>
      <w:tr w:rsidR="00CB044D" w:rsidRPr="00CB044D" w14:paraId="06B168F9" w14:textId="77777777" w:rsidTr="005E5FA6">
        <w:tc>
          <w:tcPr>
            <w:tcW w:w="4428" w:type="dxa"/>
          </w:tcPr>
          <w:p w14:paraId="105FC54F"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rPr>
              <w:t>M. Howard Petricoff</w:t>
            </w:r>
          </w:p>
          <w:p w14:paraId="45211B8D"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rPr>
              <w:t>Stephen M. Howard</w:t>
            </w:r>
          </w:p>
          <w:p w14:paraId="222ABE60"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rPr>
              <w:t xml:space="preserve">Vorys, Sater, </w:t>
            </w:r>
            <w:smartTag w:uri="urn:schemas-microsoft-com:office:smarttags" w:element="City">
              <w:smartTag w:uri="urn:schemas-microsoft-com:office:smarttags" w:element="place">
                <w:r w:rsidRPr="00CB044D">
                  <w:rPr>
                    <w:rFonts w:eastAsia="Calibri"/>
                    <w:sz w:val="24"/>
                    <w:szCs w:val="24"/>
                  </w:rPr>
                  <w:t>Seymour</w:t>
                </w:r>
              </w:smartTag>
            </w:smartTag>
            <w:r w:rsidRPr="00CB044D">
              <w:rPr>
                <w:rFonts w:eastAsia="Calibri"/>
                <w:sz w:val="24"/>
                <w:szCs w:val="24"/>
              </w:rPr>
              <w:t xml:space="preserve"> and Pease LLP</w:t>
            </w:r>
          </w:p>
          <w:p w14:paraId="5CD62DA8" w14:textId="77777777" w:rsidR="00CB044D" w:rsidRPr="00CB044D" w:rsidRDefault="00CB044D" w:rsidP="00CB044D">
            <w:pPr>
              <w:autoSpaceDE w:val="0"/>
              <w:autoSpaceDN w:val="0"/>
              <w:adjustRightInd w:val="0"/>
              <w:rPr>
                <w:rFonts w:eastAsia="Calibri"/>
                <w:sz w:val="24"/>
                <w:szCs w:val="24"/>
              </w:rPr>
            </w:pPr>
            <w:smartTag w:uri="urn:schemas-microsoft-com:office:smarttags" w:element="Street">
              <w:smartTag w:uri="urn:schemas-microsoft-com:office:smarttags" w:element="address">
                <w:r w:rsidRPr="00CB044D">
                  <w:rPr>
                    <w:rFonts w:eastAsia="Calibri"/>
                    <w:sz w:val="24"/>
                    <w:szCs w:val="24"/>
                  </w:rPr>
                  <w:t>52 East Gay Street</w:t>
                </w:r>
              </w:smartTag>
            </w:smartTag>
          </w:p>
          <w:p w14:paraId="1FA27C7F" w14:textId="77777777" w:rsidR="00CB044D" w:rsidRPr="00CB044D" w:rsidRDefault="00CB044D" w:rsidP="00CB044D">
            <w:pPr>
              <w:autoSpaceDE w:val="0"/>
              <w:autoSpaceDN w:val="0"/>
              <w:adjustRightInd w:val="0"/>
              <w:rPr>
                <w:rFonts w:eastAsia="Calibri"/>
                <w:sz w:val="24"/>
                <w:szCs w:val="24"/>
              </w:rPr>
            </w:pPr>
            <w:smartTag w:uri="urn:schemas-microsoft-com:office:smarttags" w:element="address">
              <w:smartTag w:uri="urn:schemas-microsoft-com:office:smarttags" w:element="Street">
                <w:r w:rsidRPr="00CB044D">
                  <w:rPr>
                    <w:rFonts w:eastAsia="Calibri"/>
                    <w:sz w:val="24"/>
                    <w:szCs w:val="24"/>
                  </w:rPr>
                  <w:t>PO Box</w:t>
                </w:r>
              </w:smartTag>
              <w:r w:rsidRPr="00CB044D">
                <w:rPr>
                  <w:rFonts w:eastAsia="Calibri"/>
                  <w:sz w:val="24"/>
                  <w:szCs w:val="24"/>
                </w:rPr>
                <w:t xml:space="preserve"> 1008</w:t>
              </w:r>
            </w:smartTag>
          </w:p>
          <w:p w14:paraId="378ECE48" w14:textId="77777777" w:rsidR="00CB044D" w:rsidRPr="00CB044D" w:rsidRDefault="00CB044D" w:rsidP="00CB044D">
            <w:pPr>
              <w:autoSpaceDE w:val="0"/>
              <w:autoSpaceDN w:val="0"/>
              <w:adjustRightInd w:val="0"/>
              <w:rPr>
                <w:rFonts w:eastAsia="Calibri"/>
                <w:sz w:val="24"/>
                <w:szCs w:val="24"/>
              </w:rPr>
            </w:pPr>
            <w:smartTag w:uri="urn:schemas-microsoft-com:office:smarttags" w:element="place">
              <w:smartTag w:uri="urn:schemas-microsoft-com:office:smarttags" w:element="City">
                <w:r w:rsidRPr="00CB044D">
                  <w:rPr>
                    <w:rFonts w:eastAsia="Calibri"/>
                    <w:sz w:val="24"/>
                    <w:szCs w:val="24"/>
                  </w:rPr>
                  <w:t>Columbus</w:t>
                </w:r>
              </w:smartTag>
              <w:r w:rsidRPr="00CB044D">
                <w:rPr>
                  <w:rFonts w:eastAsia="Calibri"/>
                  <w:sz w:val="24"/>
                  <w:szCs w:val="24"/>
                </w:rPr>
                <w:t xml:space="preserve">, </w:t>
              </w:r>
              <w:smartTag w:uri="urn:schemas-microsoft-com:office:smarttags" w:element="State">
                <w:r w:rsidRPr="00CB044D">
                  <w:rPr>
                    <w:rFonts w:eastAsia="Calibri"/>
                    <w:sz w:val="24"/>
                    <w:szCs w:val="24"/>
                  </w:rPr>
                  <w:t>Ohio</w:t>
                </w:r>
              </w:smartTag>
              <w:r w:rsidRPr="00CB044D">
                <w:rPr>
                  <w:rFonts w:eastAsia="Calibri"/>
                  <w:sz w:val="24"/>
                  <w:szCs w:val="24"/>
                </w:rPr>
                <w:t xml:space="preserve">  </w:t>
              </w:r>
              <w:smartTag w:uri="urn:schemas-microsoft-com:office:smarttags" w:element="PostalCode">
                <w:r w:rsidRPr="00CB044D">
                  <w:rPr>
                    <w:rFonts w:eastAsia="Calibri"/>
                    <w:sz w:val="24"/>
                    <w:szCs w:val="24"/>
                  </w:rPr>
                  <w:t>43216-1008</w:t>
                </w:r>
              </w:smartTag>
            </w:smartTag>
          </w:p>
          <w:p w14:paraId="7C8C7832" w14:textId="77777777" w:rsidR="00CB044D" w:rsidRPr="00CB044D" w:rsidRDefault="00CB044D" w:rsidP="00CB044D">
            <w:pPr>
              <w:autoSpaceDE w:val="0"/>
              <w:autoSpaceDN w:val="0"/>
              <w:adjustRightInd w:val="0"/>
              <w:rPr>
                <w:rFonts w:eastAsia="Calibri"/>
                <w:sz w:val="24"/>
                <w:szCs w:val="24"/>
              </w:rPr>
            </w:pPr>
          </w:p>
          <w:p w14:paraId="33EC006A"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rPr>
              <w:t>Andrew J. Sonderman</w:t>
            </w:r>
          </w:p>
          <w:p w14:paraId="7FD8ABB6"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rPr>
              <w:t>Kegler, Brown, Hill &amp; Ritter LPA</w:t>
            </w:r>
          </w:p>
          <w:p w14:paraId="364050B7" w14:textId="77777777" w:rsidR="00CB044D" w:rsidRPr="00CB044D" w:rsidRDefault="00CB044D" w:rsidP="00CB044D">
            <w:pPr>
              <w:autoSpaceDE w:val="0"/>
              <w:autoSpaceDN w:val="0"/>
              <w:adjustRightInd w:val="0"/>
              <w:rPr>
                <w:rFonts w:eastAsia="Calibri"/>
                <w:sz w:val="24"/>
                <w:szCs w:val="24"/>
              </w:rPr>
            </w:pPr>
            <w:smartTag w:uri="urn:schemas-microsoft-com:office:smarttags" w:element="Street">
              <w:smartTag w:uri="urn:schemas-microsoft-com:office:smarttags" w:element="address">
                <w:r w:rsidRPr="00CB044D">
                  <w:rPr>
                    <w:rFonts w:eastAsia="Calibri"/>
                    <w:sz w:val="24"/>
                    <w:szCs w:val="24"/>
                  </w:rPr>
                  <w:t>Capitol Square</w:t>
                </w:r>
              </w:smartTag>
            </w:smartTag>
            <w:r w:rsidRPr="00CB044D">
              <w:rPr>
                <w:rFonts w:eastAsia="Calibri"/>
                <w:sz w:val="24"/>
                <w:szCs w:val="24"/>
              </w:rPr>
              <w:t xml:space="preserve">, </w:t>
            </w:r>
            <w:smartTag w:uri="urn:schemas-microsoft-com:office:smarttags" w:element="address">
              <w:smartTag w:uri="urn:schemas-microsoft-com:office:smarttags" w:element="Street">
                <w:r w:rsidRPr="00CB044D">
                  <w:rPr>
                    <w:rFonts w:eastAsia="Calibri"/>
                    <w:sz w:val="24"/>
                    <w:szCs w:val="24"/>
                  </w:rPr>
                  <w:t>suite</w:t>
                </w:r>
              </w:smartTag>
              <w:r w:rsidRPr="00CB044D">
                <w:rPr>
                  <w:rFonts w:eastAsia="Calibri"/>
                  <w:sz w:val="24"/>
                  <w:szCs w:val="24"/>
                </w:rPr>
                <w:t xml:space="preserve"> 1800</w:t>
              </w:r>
            </w:smartTag>
          </w:p>
          <w:p w14:paraId="5C655006" w14:textId="77777777" w:rsidR="00CB044D" w:rsidRPr="00CB044D" w:rsidRDefault="00CB044D" w:rsidP="00CB044D">
            <w:pPr>
              <w:autoSpaceDE w:val="0"/>
              <w:autoSpaceDN w:val="0"/>
              <w:adjustRightInd w:val="0"/>
              <w:rPr>
                <w:rFonts w:eastAsia="Calibri"/>
                <w:sz w:val="24"/>
                <w:szCs w:val="24"/>
              </w:rPr>
            </w:pPr>
            <w:smartTag w:uri="urn:schemas-microsoft-com:office:smarttags" w:element="Street">
              <w:smartTag w:uri="urn:schemas-microsoft-com:office:smarttags" w:element="address">
                <w:r w:rsidRPr="00CB044D">
                  <w:rPr>
                    <w:rFonts w:eastAsia="Calibri"/>
                    <w:sz w:val="24"/>
                    <w:szCs w:val="24"/>
                  </w:rPr>
                  <w:t>65 East State Street</w:t>
                </w:r>
              </w:smartTag>
            </w:smartTag>
          </w:p>
          <w:p w14:paraId="35BBE453" w14:textId="77777777" w:rsidR="00CB044D" w:rsidRPr="00CB044D" w:rsidRDefault="00CB044D" w:rsidP="00CB044D">
            <w:pPr>
              <w:autoSpaceDE w:val="0"/>
              <w:autoSpaceDN w:val="0"/>
              <w:adjustRightInd w:val="0"/>
              <w:rPr>
                <w:rFonts w:eastAsia="Calibri"/>
                <w:sz w:val="24"/>
                <w:szCs w:val="24"/>
              </w:rPr>
            </w:pPr>
            <w:smartTag w:uri="urn:schemas-microsoft-com:office:smarttags" w:element="place">
              <w:smartTag w:uri="urn:schemas-microsoft-com:office:smarttags" w:element="City">
                <w:r w:rsidRPr="00CB044D">
                  <w:rPr>
                    <w:rFonts w:eastAsia="Calibri"/>
                    <w:sz w:val="24"/>
                    <w:szCs w:val="24"/>
                  </w:rPr>
                  <w:t>Columbus</w:t>
                </w:r>
              </w:smartTag>
              <w:r w:rsidRPr="00CB044D">
                <w:rPr>
                  <w:rFonts w:eastAsia="Calibri"/>
                  <w:sz w:val="24"/>
                  <w:szCs w:val="24"/>
                </w:rPr>
                <w:t xml:space="preserve">, </w:t>
              </w:r>
              <w:smartTag w:uri="urn:schemas-microsoft-com:office:smarttags" w:element="State">
                <w:r w:rsidRPr="00CB044D">
                  <w:rPr>
                    <w:rFonts w:eastAsia="Calibri"/>
                    <w:sz w:val="24"/>
                    <w:szCs w:val="24"/>
                  </w:rPr>
                  <w:t>Ohio</w:t>
                </w:r>
              </w:smartTag>
              <w:r w:rsidRPr="00CB044D">
                <w:rPr>
                  <w:rFonts w:eastAsia="Calibri"/>
                  <w:sz w:val="24"/>
                  <w:szCs w:val="24"/>
                </w:rPr>
                <w:t xml:space="preserve">  </w:t>
              </w:r>
              <w:smartTag w:uri="urn:schemas-microsoft-com:office:smarttags" w:element="PostalCode">
                <w:r w:rsidRPr="00CB044D">
                  <w:rPr>
                    <w:rFonts w:eastAsia="Calibri"/>
                    <w:sz w:val="24"/>
                    <w:szCs w:val="24"/>
                  </w:rPr>
                  <w:t>43215</w:t>
                </w:r>
              </w:smartTag>
            </w:smartTag>
          </w:p>
          <w:p w14:paraId="04331E72" w14:textId="77777777" w:rsidR="00CB044D" w:rsidRPr="00CB044D" w:rsidRDefault="00CB044D" w:rsidP="00CB044D">
            <w:pPr>
              <w:autoSpaceDE w:val="0"/>
              <w:autoSpaceDN w:val="0"/>
              <w:adjustRightInd w:val="0"/>
              <w:rPr>
                <w:rFonts w:eastAsia="Calibri"/>
                <w:sz w:val="24"/>
                <w:szCs w:val="24"/>
              </w:rPr>
            </w:pPr>
          </w:p>
        </w:tc>
        <w:tc>
          <w:tcPr>
            <w:tcW w:w="4428" w:type="dxa"/>
          </w:tcPr>
          <w:p w14:paraId="3823AA2C" w14:textId="77777777" w:rsidR="00CB044D" w:rsidRPr="00CB044D" w:rsidRDefault="00CB044D" w:rsidP="00CB044D">
            <w:pPr>
              <w:rPr>
                <w:rFonts w:eastAsia="Calibri"/>
                <w:sz w:val="24"/>
                <w:szCs w:val="24"/>
                <w:u w:val="single"/>
              </w:rPr>
            </w:pPr>
            <w:r w:rsidRPr="00CB044D">
              <w:rPr>
                <w:rFonts w:eastAsia="Calibri"/>
                <w:sz w:val="24"/>
                <w:szCs w:val="24"/>
                <w:u w:val="single"/>
              </w:rPr>
              <w:t>Amy.spiller@duke-energy.com</w:t>
            </w:r>
          </w:p>
          <w:p w14:paraId="4B441AA6" w14:textId="77777777" w:rsidR="00CB044D" w:rsidRPr="00CB044D" w:rsidRDefault="00CB044D" w:rsidP="00CB044D">
            <w:pPr>
              <w:rPr>
                <w:rFonts w:eastAsia="Calibri"/>
                <w:sz w:val="24"/>
                <w:szCs w:val="24"/>
                <w:u w:val="single"/>
              </w:rPr>
            </w:pPr>
            <w:r w:rsidRPr="00CB044D">
              <w:rPr>
                <w:rFonts w:eastAsia="Calibri"/>
                <w:sz w:val="24"/>
                <w:szCs w:val="24"/>
                <w:u w:val="single"/>
              </w:rPr>
              <w:t>Elizabeth.watts@duke-energy.com</w:t>
            </w:r>
          </w:p>
          <w:p w14:paraId="0EBF22C8" w14:textId="77777777" w:rsidR="00CB044D" w:rsidRPr="00CB044D" w:rsidRDefault="00CB044D" w:rsidP="00CB044D">
            <w:pPr>
              <w:rPr>
                <w:rFonts w:eastAsia="Calibri"/>
                <w:sz w:val="24"/>
                <w:szCs w:val="24"/>
                <w:u w:val="single"/>
              </w:rPr>
            </w:pPr>
            <w:r w:rsidRPr="00CB044D">
              <w:rPr>
                <w:rFonts w:eastAsia="Calibri"/>
                <w:sz w:val="24"/>
                <w:szCs w:val="24"/>
                <w:u w:val="single"/>
              </w:rPr>
              <w:t>Jeanne.kingery@duke-energy.com</w:t>
            </w:r>
          </w:p>
          <w:p w14:paraId="55A60947" w14:textId="77777777" w:rsidR="00CB044D" w:rsidRPr="00CB044D" w:rsidRDefault="00CB044D" w:rsidP="00CB044D">
            <w:pPr>
              <w:rPr>
                <w:rFonts w:eastAsia="Calibri"/>
                <w:sz w:val="24"/>
                <w:szCs w:val="24"/>
                <w:u w:val="single"/>
              </w:rPr>
            </w:pPr>
            <w:r w:rsidRPr="00CB044D">
              <w:rPr>
                <w:rFonts w:eastAsia="Calibri"/>
                <w:sz w:val="24"/>
                <w:szCs w:val="24"/>
                <w:u w:val="single"/>
              </w:rPr>
              <w:t>Rocco.dascenzo@duke-energy.com</w:t>
            </w:r>
          </w:p>
          <w:p w14:paraId="5DBED297" w14:textId="77777777" w:rsidR="00CB044D" w:rsidRPr="00CB044D" w:rsidRDefault="00CB044D" w:rsidP="00CB044D">
            <w:pPr>
              <w:rPr>
                <w:rFonts w:eastAsia="Calibri"/>
                <w:sz w:val="24"/>
                <w:szCs w:val="24"/>
              </w:rPr>
            </w:pPr>
            <w:r w:rsidRPr="00CB044D">
              <w:rPr>
                <w:rFonts w:eastAsia="Calibri"/>
                <w:sz w:val="24"/>
                <w:szCs w:val="24"/>
                <w:u w:val="single"/>
              </w:rPr>
              <w:t>sam@mwncmh.com</w:t>
            </w:r>
          </w:p>
          <w:p w14:paraId="7CA1D6F9" w14:textId="77777777" w:rsidR="00CB044D" w:rsidRPr="00CB044D" w:rsidRDefault="00CB044D" w:rsidP="00CB044D">
            <w:pPr>
              <w:rPr>
                <w:rFonts w:eastAsia="Calibri"/>
                <w:sz w:val="24"/>
                <w:szCs w:val="24"/>
              </w:rPr>
            </w:pPr>
            <w:r w:rsidRPr="00CB044D">
              <w:rPr>
                <w:rFonts w:eastAsia="Calibri"/>
                <w:sz w:val="24"/>
                <w:szCs w:val="24"/>
                <w:u w:val="single"/>
              </w:rPr>
              <w:t>fdarr@mwncmh.com</w:t>
            </w:r>
          </w:p>
          <w:p w14:paraId="67C112C7" w14:textId="77777777" w:rsidR="00CB044D" w:rsidRPr="00CB044D" w:rsidRDefault="00CB044D" w:rsidP="00CB044D">
            <w:pPr>
              <w:rPr>
                <w:rFonts w:eastAsia="Calibri"/>
                <w:sz w:val="24"/>
                <w:szCs w:val="24"/>
              </w:rPr>
            </w:pPr>
            <w:r w:rsidRPr="00CB044D">
              <w:rPr>
                <w:rFonts w:eastAsia="Calibri"/>
                <w:sz w:val="24"/>
                <w:szCs w:val="24"/>
                <w:u w:val="single"/>
              </w:rPr>
              <w:t>joliker@mwncmh.com</w:t>
            </w:r>
          </w:p>
          <w:p w14:paraId="74FA53F3" w14:textId="77777777" w:rsidR="00CB044D" w:rsidRPr="00CB044D" w:rsidRDefault="00CB044D" w:rsidP="00CB044D">
            <w:pPr>
              <w:rPr>
                <w:rFonts w:eastAsia="Calibri"/>
                <w:sz w:val="24"/>
                <w:szCs w:val="24"/>
                <w:u w:val="single"/>
              </w:rPr>
            </w:pPr>
            <w:r w:rsidRPr="00CB044D">
              <w:rPr>
                <w:rFonts w:eastAsia="Calibri"/>
                <w:sz w:val="24"/>
                <w:szCs w:val="24"/>
                <w:u w:val="single"/>
              </w:rPr>
              <w:t>mpritchard@mwncmh.com</w:t>
            </w:r>
          </w:p>
          <w:p w14:paraId="4273948D" w14:textId="77777777" w:rsidR="00CB044D" w:rsidRPr="00CB044D" w:rsidRDefault="00CB044D" w:rsidP="00CB044D">
            <w:pPr>
              <w:rPr>
                <w:rFonts w:eastAsia="Calibri"/>
                <w:sz w:val="24"/>
                <w:szCs w:val="24"/>
              </w:rPr>
            </w:pPr>
            <w:r w:rsidRPr="00CB044D">
              <w:rPr>
                <w:rFonts w:eastAsia="Calibri"/>
                <w:sz w:val="24"/>
                <w:szCs w:val="24"/>
                <w:u w:val="single"/>
              </w:rPr>
              <w:t>Thomas.mcnamee@puc.state.oh.us</w:t>
            </w:r>
          </w:p>
          <w:p w14:paraId="6716C80D" w14:textId="77777777" w:rsidR="00CB044D" w:rsidRPr="00CB044D" w:rsidRDefault="00CB044D" w:rsidP="00CB044D">
            <w:pPr>
              <w:rPr>
                <w:rFonts w:eastAsia="Calibri"/>
                <w:sz w:val="24"/>
                <w:szCs w:val="24"/>
              </w:rPr>
            </w:pPr>
            <w:r w:rsidRPr="00CB044D">
              <w:rPr>
                <w:rFonts w:eastAsia="Calibri"/>
                <w:sz w:val="24"/>
                <w:szCs w:val="24"/>
                <w:u w:val="single"/>
              </w:rPr>
              <w:t>Devin.parram@puc.state.oh.us</w:t>
            </w:r>
          </w:p>
          <w:p w14:paraId="70058AF6" w14:textId="77777777" w:rsidR="00CB044D" w:rsidRPr="00CB044D" w:rsidRDefault="00CB044D" w:rsidP="00CB044D">
            <w:pPr>
              <w:jc w:val="both"/>
              <w:rPr>
                <w:rFonts w:eastAsia="Calibri"/>
                <w:sz w:val="24"/>
                <w:szCs w:val="24"/>
              </w:rPr>
            </w:pPr>
            <w:r w:rsidRPr="00CB044D">
              <w:rPr>
                <w:rFonts w:eastAsia="Calibri"/>
                <w:sz w:val="24"/>
                <w:szCs w:val="24"/>
                <w:u w:val="single"/>
              </w:rPr>
              <w:t>brian@mcintoshlaw.com</w:t>
            </w:r>
          </w:p>
          <w:p w14:paraId="1FB10351"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u w:val="single"/>
              </w:rPr>
              <w:t>dhart@douglasehart.com</w:t>
            </w:r>
          </w:p>
          <w:p w14:paraId="64D90F51" w14:textId="77777777" w:rsidR="00CB044D" w:rsidRPr="00CB044D" w:rsidRDefault="00CB044D" w:rsidP="00CB044D">
            <w:pPr>
              <w:rPr>
                <w:rFonts w:eastAsia="Calibri"/>
                <w:sz w:val="24"/>
                <w:szCs w:val="24"/>
              </w:rPr>
            </w:pPr>
            <w:r w:rsidRPr="00CB044D">
              <w:rPr>
                <w:rFonts w:eastAsia="Calibri"/>
                <w:sz w:val="24"/>
                <w:szCs w:val="24"/>
                <w:u w:val="single"/>
              </w:rPr>
              <w:t>cmooney2@columbus.rr.com</w:t>
            </w:r>
          </w:p>
          <w:p w14:paraId="762D8EE8" w14:textId="77777777" w:rsidR="00CB044D" w:rsidRPr="00CB044D" w:rsidRDefault="00CB044D" w:rsidP="00CB044D">
            <w:pPr>
              <w:rPr>
                <w:rFonts w:eastAsia="Calibri"/>
                <w:sz w:val="24"/>
                <w:szCs w:val="24"/>
              </w:rPr>
            </w:pPr>
            <w:r w:rsidRPr="00CB044D">
              <w:rPr>
                <w:rFonts w:eastAsia="Calibri"/>
                <w:sz w:val="24"/>
                <w:szCs w:val="24"/>
                <w:u w:val="single"/>
              </w:rPr>
              <w:t>tobrien@bricker.com</w:t>
            </w:r>
          </w:p>
          <w:p w14:paraId="4CD05D7B"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u w:val="single"/>
              </w:rPr>
              <w:t>myurick@taftlaw.com</w:t>
            </w:r>
          </w:p>
          <w:p w14:paraId="709F139E"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u w:val="single"/>
              </w:rPr>
              <w:t>zkravitz@taftlaw.com</w:t>
            </w:r>
          </w:p>
          <w:p w14:paraId="21C08FBC" w14:textId="77777777" w:rsidR="00CB044D" w:rsidRPr="00CB044D" w:rsidRDefault="00CB044D" w:rsidP="00CB044D">
            <w:pPr>
              <w:rPr>
                <w:rFonts w:eastAsia="Calibri"/>
                <w:sz w:val="24"/>
                <w:szCs w:val="24"/>
              </w:rPr>
            </w:pPr>
            <w:r w:rsidRPr="00CB044D">
              <w:rPr>
                <w:rFonts w:eastAsia="Calibri"/>
                <w:sz w:val="24"/>
                <w:szCs w:val="24"/>
                <w:u w:val="single"/>
              </w:rPr>
              <w:t>bojko@carpenterlipps.com</w:t>
            </w:r>
          </w:p>
          <w:p w14:paraId="7356D205" w14:textId="77777777" w:rsidR="00CB044D" w:rsidRPr="00CB044D" w:rsidRDefault="00CB044D" w:rsidP="00CB044D">
            <w:pPr>
              <w:rPr>
                <w:rFonts w:eastAsia="Calibri"/>
                <w:sz w:val="24"/>
                <w:szCs w:val="24"/>
              </w:rPr>
            </w:pPr>
            <w:r w:rsidRPr="00CB044D">
              <w:rPr>
                <w:rFonts w:eastAsia="Calibri"/>
                <w:sz w:val="24"/>
                <w:szCs w:val="24"/>
                <w:u w:val="single"/>
              </w:rPr>
              <w:t>mohler@carpenterlipps.com</w:t>
            </w:r>
          </w:p>
          <w:p w14:paraId="64C408E5"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u w:val="single"/>
              </w:rPr>
              <w:t>vparisi@igsenergy.com</w:t>
            </w:r>
          </w:p>
          <w:p w14:paraId="4F96156D" w14:textId="77777777" w:rsidR="00CB044D" w:rsidRPr="00CB044D" w:rsidRDefault="00CB044D" w:rsidP="00CB044D">
            <w:pPr>
              <w:autoSpaceDE w:val="0"/>
              <w:autoSpaceDN w:val="0"/>
              <w:adjustRightInd w:val="0"/>
              <w:rPr>
                <w:rFonts w:eastAsia="Calibri"/>
                <w:sz w:val="24"/>
                <w:szCs w:val="24"/>
              </w:rPr>
            </w:pPr>
            <w:r w:rsidRPr="00CB044D">
              <w:rPr>
                <w:rFonts w:eastAsia="Calibri"/>
                <w:sz w:val="24"/>
                <w:szCs w:val="24"/>
                <w:u w:val="single"/>
              </w:rPr>
              <w:t>mswhite@igsenergy.com</w:t>
            </w:r>
          </w:p>
          <w:p w14:paraId="4BC0E770" w14:textId="77777777" w:rsidR="00CB044D" w:rsidRPr="00CB044D" w:rsidRDefault="00CB044D" w:rsidP="00CB044D">
            <w:pPr>
              <w:autoSpaceDE w:val="0"/>
              <w:autoSpaceDN w:val="0"/>
              <w:adjustRightInd w:val="0"/>
              <w:rPr>
                <w:rFonts w:eastAsia="Calibri"/>
                <w:sz w:val="24"/>
                <w:szCs w:val="24"/>
                <w:u w:val="single"/>
              </w:rPr>
            </w:pPr>
            <w:r w:rsidRPr="00CB044D">
              <w:rPr>
                <w:rFonts w:eastAsia="Calibri"/>
                <w:sz w:val="24"/>
                <w:szCs w:val="24"/>
                <w:u w:val="single"/>
              </w:rPr>
              <w:t>mhpetricoff@vorys.com</w:t>
            </w:r>
          </w:p>
          <w:p w14:paraId="427BA2A8" w14:textId="77777777" w:rsidR="00CB044D" w:rsidRPr="00CB044D" w:rsidRDefault="00CB044D" w:rsidP="00CB044D">
            <w:pPr>
              <w:rPr>
                <w:rFonts w:eastAsia="Calibri"/>
                <w:sz w:val="24"/>
                <w:szCs w:val="24"/>
                <w:u w:val="single"/>
              </w:rPr>
            </w:pPr>
            <w:r w:rsidRPr="00CB044D">
              <w:rPr>
                <w:rFonts w:eastAsia="Calibri"/>
                <w:sz w:val="24"/>
                <w:szCs w:val="24"/>
                <w:u w:val="single"/>
              </w:rPr>
              <w:t>smhoward@vorys.com</w:t>
            </w:r>
          </w:p>
          <w:p w14:paraId="1C1BE13F" w14:textId="19159916" w:rsidR="00CB044D" w:rsidRPr="00CB044D" w:rsidRDefault="00CB044D" w:rsidP="00CB044D">
            <w:pPr>
              <w:rPr>
                <w:rFonts w:eastAsia="Calibri"/>
                <w:sz w:val="24"/>
                <w:szCs w:val="24"/>
              </w:rPr>
            </w:pPr>
            <w:r w:rsidRPr="00CB044D">
              <w:rPr>
                <w:rFonts w:eastAsia="Calibri"/>
                <w:sz w:val="24"/>
                <w:szCs w:val="24"/>
                <w:u w:val="single"/>
              </w:rPr>
              <w:t>asonderman@keglerbrown.com</w:t>
            </w:r>
          </w:p>
          <w:p w14:paraId="749CFC09" w14:textId="77777777" w:rsidR="00CB044D" w:rsidRPr="00CB044D" w:rsidRDefault="00CB044D" w:rsidP="00CB044D">
            <w:pPr>
              <w:rPr>
                <w:rFonts w:eastAsia="Calibri"/>
                <w:sz w:val="24"/>
                <w:szCs w:val="24"/>
              </w:rPr>
            </w:pPr>
          </w:p>
          <w:p w14:paraId="60992CDD" w14:textId="19B87C85" w:rsidR="00CB044D" w:rsidRDefault="003134B5" w:rsidP="003134B5">
            <w:pPr>
              <w:autoSpaceDE w:val="0"/>
              <w:autoSpaceDN w:val="0"/>
              <w:adjustRightInd w:val="0"/>
              <w:ind w:left="720" w:hanging="720"/>
              <w:rPr>
                <w:rFonts w:eastAsia="Calibri"/>
                <w:color w:val="000000"/>
                <w:sz w:val="24"/>
                <w:szCs w:val="24"/>
              </w:rPr>
            </w:pPr>
            <w:r>
              <w:rPr>
                <w:rFonts w:eastAsia="Calibri"/>
                <w:color w:val="000000"/>
                <w:sz w:val="24"/>
                <w:szCs w:val="24"/>
              </w:rPr>
              <w:t xml:space="preserve">AEs: </w:t>
            </w:r>
            <w:r>
              <w:rPr>
                <w:rFonts w:eastAsia="Calibri"/>
                <w:color w:val="000000"/>
                <w:sz w:val="24"/>
                <w:szCs w:val="24"/>
              </w:rPr>
              <w:tab/>
            </w:r>
            <w:r w:rsidRPr="008D679D">
              <w:rPr>
                <w:rFonts w:eastAsia="Calibri"/>
                <w:sz w:val="24"/>
                <w:szCs w:val="24"/>
              </w:rPr>
              <w:t>chris.pirik@puc.state.oh.us</w:t>
            </w:r>
          </w:p>
          <w:p w14:paraId="3CD471B0" w14:textId="393F802D" w:rsidR="003134B5" w:rsidRDefault="003134B5" w:rsidP="00CB044D">
            <w:pPr>
              <w:autoSpaceDE w:val="0"/>
              <w:autoSpaceDN w:val="0"/>
              <w:adjustRightInd w:val="0"/>
              <w:rPr>
                <w:rFonts w:eastAsia="Calibri"/>
                <w:color w:val="000000"/>
                <w:sz w:val="24"/>
                <w:szCs w:val="24"/>
              </w:rPr>
            </w:pPr>
            <w:r>
              <w:rPr>
                <w:rFonts w:eastAsia="Calibri"/>
                <w:color w:val="000000"/>
                <w:sz w:val="24"/>
                <w:szCs w:val="24"/>
              </w:rPr>
              <w:tab/>
            </w:r>
            <w:r w:rsidRPr="008D679D">
              <w:rPr>
                <w:rFonts w:eastAsia="Calibri"/>
                <w:sz w:val="24"/>
                <w:szCs w:val="24"/>
              </w:rPr>
              <w:t>Katie.stenman@puc.state.oh.us</w:t>
            </w:r>
          </w:p>
          <w:p w14:paraId="457DD06B" w14:textId="338CD502" w:rsidR="003134B5" w:rsidRPr="00CB044D" w:rsidRDefault="003134B5" w:rsidP="00CB044D">
            <w:pPr>
              <w:autoSpaceDE w:val="0"/>
              <w:autoSpaceDN w:val="0"/>
              <w:adjustRightInd w:val="0"/>
              <w:rPr>
                <w:rFonts w:eastAsia="Calibri"/>
                <w:color w:val="000000"/>
                <w:sz w:val="24"/>
                <w:szCs w:val="24"/>
              </w:rPr>
            </w:pPr>
          </w:p>
        </w:tc>
      </w:tr>
    </w:tbl>
    <w:p w14:paraId="5F14D29A" w14:textId="3D1A3D1C" w:rsidR="00CB044D" w:rsidRPr="00CB044D" w:rsidRDefault="00CB044D" w:rsidP="00CB044D">
      <w:pPr>
        <w:jc w:val="center"/>
        <w:rPr>
          <w:rFonts w:eastAsia="Calibri"/>
          <w:b/>
          <w:bCs/>
          <w:sz w:val="24"/>
          <w:szCs w:val="24"/>
          <w:u w:val="single"/>
        </w:rPr>
      </w:pPr>
    </w:p>
    <w:p w14:paraId="26A37F21" w14:textId="77777777" w:rsidR="00CB044D" w:rsidRDefault="00CB044D">
      <w:pPr>
        <w:pStyle w:val="CommentText"/>
        <w:jc w:val="center"/>
        <w:rPr>
          <w:b/>
          <w:bCs/>
          <w:sz w:val="24"/>
          <w:szCs w:val="24"/>
          <w:u w:val="single"/>
        </w:rPr>
      </w:pPr>
    </w:p>
    <w:sectPr w:rsidR="00CB044D" w:rsidSect="00EA0E1D">
      <w:headerReference w:type="even" r:id="rId18"/>
      <w:headerReference w:type="default" r:id="rId19"/>
      <w:footerReference w:type="default" r:id="rId20"/>
      <w:headerReference w:type="first" r:id="rId21"/>
      <w:pgSz w:w="12240" w:h="15840"/>
      <w:pgMar w:top="1440" w:right="1800" w:bottom="1440" w:left="180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D7F78" w14:textId="77777777" w:rsidR="00BB5665" w:rsidRDefault="00BB5665">
      <w:r>
        <w:separator/>
      </w:r>
    </w:p>
  </w:endnote>
  <w:endnote w:type="continuationSeparator" w:id="0">
    <w:p w14:paraId="0DFCB36D" w14:textId="77777777" w:rsidR="00BB5665" w:rsidRDefault="00BB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1D919" w14:textId="77777777" w:rsidR="008D679D" w:rsidRDefault="008D6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4544B" w14:textId="77777777" w:rsidR="00BB5665" w:rsidRDefault="00BB566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79D">
      <w:rPr>
        <w:rStyle w:val="PageNumber"/>
        <w:noProof/>
      </w:rPr>
      <w:t>1</w:t>
    </w:r>
    <w:r>
      <w:rPr>
        <w:rStyle w:val="PageNumber"/>
      </w:rPr>
      <w:fldChar w:fldCharType="end"/>
    </w:r>
  </w:p>
  <w:p w14:paraId="6FB2A26D" w14:textId="77777777" w:rsidR="00BB5665" w:rsidRDefault="00BB5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B2BA" w14:textId="77777777" w:rsidR="008D679D" w:rsidRDefault="008D67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34D34" w14:textId="77777777" w:rsidR="00BB5665" w:rsidRDefault="00BB5665">
    <w:pPr>
      <w:pStyle w:val="Foot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251A39">
      <w:rPr>
        <w:rStyle w:val="PageNumber"/>
        <w:noProof/>
        <w:sz w:val="24"/>
        <w:szCs w:val="24"/>
      </w:rPr>
      <w:t>i</w:t>
    </w:r>
    <w:r>
      <w:rPr>
        <w:rStyle w:val="PageNumber"/>
        <w:sz w:val="24"/>
        <w:szCs w:val="24"/>
      </w:rPr>
      <w:fldChar w:fldCharType="end"/>
    </w:r>
  </w:p>
  <w:p w14:paraId="6AA59C87" w14:textId="77777777" w:rsidR="00BB5665" w:rsidRDefault="00BB56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ED572" w14:textId="77777777" w:rsidR="00BB5665" w:rsidRDefault="00BB5665">
    <w:pPr>
      <w:pStyle w:val="Footer"/>
      <w:jc w:val="center"/>
    </w:pPr>
    <w:r>
      <w:rPr>
        <w:rStyle w:val="PageNumber"/>
      </w:rPr>
      <w:fldChar w:fldCharType="begin"/>
    </w:r>
    <w:r>
      <w:rPr>
        <w:rStyle w:val="PageNumber"/>
      </w:rPr>
      <w:instrText xml:space="preserve"> PAGE </w:instrText>
    </w:r>
    <w:r>
      <w:rPr>
        <w:rStyle w:val="PageNumber"/>
      </w:rPr>
      <w:fldChar w:fldCharType="separate"/>
    </w:r>
    <w:r w:rsidR="00251A3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D98AC" w14:textId="77777777" w:rsidR="00BB5665" w:rsidRDefault="00BB5665">
      <w:r>
        <w:separator/>
      </w:r>
    </w:p>
  </w:footnote>
  <w:footnote w:type="continuationSeparator" w:id="0">
    <w:p w14:paraId="09B86E30" w14:textId="77777777" w:rsidR="00BB5665" w:rsidRDefault="00BB5665">
      <w:r>
        <w:continuationSeparator/>
      </w:r>
    </w:p>
  </w:footnote>
  <w:footnote w:id="1">
    <w:p w14:paraId="50808A83" w14:textId="77777777" w:rsidR="00BB5665" w:rsidRPr="00CB044D" w:rsidRDefault="00BB5665" w:rsidP="00CB044D">
      <w:pPr>
        <w:pStyle w:val="FootnoteText"/>
        <w:spacing w:after="120"/>
      </w:pPr>
      <w:r w:rsidRPr="00CB044D">
        <w:rPr>
          <w:rStyle w:val="FootnoteReference"/>
        </w:rPr>
        <w:footnoteRef/>
      </w:r>
      <w:r w:rsidRPr="00CB044D">
        <w:t xml:space="preserve"> Ohio Adm. Code 4901-1-12(B)(1).</w:t>
      </w:r>
    </w:p>
  </w:footnote>
  <w:footnote w:id="2">
    <w:p w14:paraId="6E4EAD3C" w14:textId="00FA1EAE" w:rsidR="00BB5665" w:rsidRPr="00CB044D" w:rsidRDefault="00BB5665" w:rsidP="00CB044D">
      <w:pPr>
        <w:pStyle w:val="FootnoteText"/>
        <w:spacing w:after="120"/>
      </w:pPr>
      <w:r w:rsidRPr="00CB044D">
        <w:rPr>
          <w:rStyle w:val="FootnoteReference"/>
        </w:rPr>
        <w:footnoteRef/>
      </w:r>
      <w:r w:rsidR="00CB044D" w:rsidRPr="00CB044D">
        <w:t xml:space="preserve"> Duke Motions at 1.</w:t>
      </w:r>
    </w:p>
  </w:footnote>
  <w:footnote w:id="3">
    <w:p w14:paraId="59E89F94" w14:textId="179DA6CD" w:rsidR="00BB5665" w:rsidRPr="00CB044D" w:rsidRDefault="00BB5665" w:rsidP="00CB044D">
      <w:pPr>
        <w:pStyle w:val="FootnoteText"/>
        <w:spacing w:after="120"/>
      </w:pPr>
      <w:r w:rsidRPr="00CB044D">
        <w:rPr>
          <w:rStyle w:val="FootnoteReference"/>
        </w:rPr>
        <w:footnoteRef/>
      </w:r>
      <w:r w:rsidRPr="00CB044D">
        <w:t xml:space="preserve"> Entry at 6 (January 18, 2013).</w:t>
      </w:r>
    </w:p>
  </w:footnote>
  <w:footnote w:id="4">
    <w:p w14:paraId="7AE3A53E" w14:textId="77777777" w:rsidR="00BB5665" w:rsidRPr="00CB044D" w:rsidRDefault="00BB5665" w:rsidP="00CB044D">
      <w:pPr>
        <w:spacing w:after="120"/>
      </w:pPr>
      <w:r w:rsidRPr="00CB044D">
        <w:rPr>
          <w:rStyle w:val="FootnoteReference"/>
        </w:rPr>
        <w:footnoteRef/>
      </w:r>
      <w:r w:rsidRPr="00CB044D">
        <w:rPr>
          <w:i/>
          <w:iCs/>
        </w:rPr>
        <w:t xml:space="preserve"> In the Matter of the Application of Duke Energy Ohio, Inc. for Authority to Defer Environmental Investigation and Remediation Costs</w:t>
      </w:r>
      <w:r w:rsidRPr="00CB044D">
        <w:t xml:space="preserve">, Case No. 09-712-GA-AAM (August 10, 2009).  </w:t>
      </w:r>
    </w:p>
  </w:footnote>
  <w:footnote w:id="5">
    <w:p w14:paraId="0A473968" w14:textId="77777777" w:rsidR="00BB5665" w:rsidRPr="00CB044D" w:rsidRDefault="00BB5665" w:rsidP="00CB044D">
      <w:pPr>
        <w:pStyle w:val="FootnoteText"/>
        <w:spacing w:after="120"/>
      </w:pPr>
      <w:r w:rsidRPr="00CB044D">
        <w:rPr>
          <w:rStyle w:val="FootnoteReference"/>
        </w:rPr>
        <w:footnoteRef/>
      </w:r>
      <w:r w:rsidRPr="00CB044D">
        <w:t xml:space="preserve"> Id. Finding and Order at 3 (November 12, 2009).</w:t>
      </w:r>
    </w:p>
  </w:footnote>
  <w:footnote w:id="6">
    <w:p w14:paraId="69720440" w14:textId="77777777" w:rsidR="00BB5665" w:rsidRPr="00CB044D" w:rsidRDefault="00BB5665" w:rsidP="00CB044D">
      <w:pPr>
        <w:pStyle w:val="FootnoteText"/>
        <w:spacing w:after="120"/>
      </w:pPr>
      <w:r w:rsidRPr="00CB044D">
        <w:rPr>
          <w:rStyle w:val="FootnoteReference"/>
        </w:rPr>
        <w:footnoteRef/>
      </w:r>
      <w:r w:rsidRPr="00CB044D">
        <w:t xml:space="preserve"> Id.  Duke Memorandum Contra Applications for Rehearing at 8 (December 18, 2009).</w:t>
      </w:r>
    </w:p>
  </w:footnote>
  <w:footnote w:id="7">
    <w:p w14:paraId="5619F14D" w14:textId="03565881" w:rsidR="00BB5665" w:rsidRPr="00CB044D" w:rsidRDefault="00BB5665" w:rsidP="00B2763E">
      <w:pPr>
        <w:pStyle w:val="FootnoteText"/>
        <w:spacing w:after="240"/>
      </w:pPr>
      <w:r w:rsidRPr="00CB044D">
        <w:rPr>
          <w:rStyle w:val="FootnoteReference"/>
        </w:rPr>
        <w:footnoteRef/>
      </w:r>
      <w:r w:rsidRPr="00CB044D">
        <w:t xml:space="preserve"> </w:t>
      </w:r>
      <w:r w:rsidR="00B2763E">
        <w:t>Rate Case Application, Schedule C-3.2 ( July 9, 2012).</w:t>
      </w:r>
    </w:p>
  </w:footnote>
  <w:footnote w:id="8">
    <w:p w14:paraId="3C4AFFF3" w14:textId="77777777" w:rsidR="00BB5665" w:rsidRPr="00CB044D" w:rsidRDefault="00BB5665" w:rsidP="00CB044D">
      <w:pPr>
        <w:pStyle w:val="FootnoteText"/>
        <w:spacing w:after="120"/>
      </w:pPr>
      <w:r w:rsidRPr="00CB044D">
        <w:rPr>
          <w:rStyle w:val="FootnoteReference"/>
        </w:rPr>
        <w:footnoteRef/>
      </w:r>
      <w:r w:rsidRPr="00CB044D">
        <w:t xml:space="preserve"> OCC Objections to the PUCO Staff Report of Investigation, Objection Nos. 25-29 (February 4, 2013). </w:t>
      </w:r>
    </w:p>
  </w:footnote>
  <w:footnote w:id="9">
    <w:p w14:paraId="2449D31D" w14:textId="77777777" w:rsidR="00BB5665" w:rsidRPr="00CB044D" w:rsidRDefault="00BB5665" w:rsidP="00CB044D">
      <w:pPr>
        <w:pStyle w:val="FootnoteText"/>
        <w:spacing w:after="120"/>
      </w:pPr>
      <w:r w:rsidRPr="00CB044D">
        <w:rPr>
          <w:rStyle w:val="FootnoteReference"/>
        </w:rPr>
        <w:footnoteRef/>
      </w:r>
      <w:r w:rsidRPr="00CB044D">
        <w:t xml:space="preserve"> Entry at 5 (January 18, 2013). </w:t>
      </w:r>
    </w:p>
  </w:footnote>
  <w:footnote w:id="10">
    <w:p w14:paraId="3F34BE1A" w14:textId="77777777" w:rsidR="00BB5665" w:rsidRPr="00CB044D" w:rsidRDefault="00BB5665" w:rsidP="00CB044D">
      <w:pPr>
        <w:pStyle w:val="FootnoteText"/>
        <w:spacing w:after="120"/>
      </w:pPr>
      <w:r w:rsidRPr="00CB044D">
        <w:rPr>
          <w:rStyle w:val="FootnoteReference"/>
        </w:rPr>
        <w:footnoteRef/>
      </w:r>
      <w:r w:rsidRPr="00CB044D">
        <w:t xml:space="preserve"> Direct Testimony of James R. Campbell at 5 (February 25, 2013).</w:t>
      </w:r>
    </w:p>
  </w:footnote>
  <w:footnote w:id="11">
    <w:p w14:paraId="656DB89F" w14:textId="77777777" w:rsidR="00BB5665" w:rsidRPr="00CB044D" w:rsidRDefault="00BB5665" w:rsidP="00CB044D">
      <w:pPr>
        <w:pStyle w:val="FootnoteText"/>
        <w:spacing w:after="120"/>
      </w:pPr>
      <w:r w:rsidRPr="00CB044D">
        <w:rPr>
          <w:rStyle w:val="FootnoteReference"/>
        </w:rPr>
        <w:footnoteRef/>
      </w:r>
      <w:r w:rsidRPr="00CB044D">
        <w:t xml:space="preserve"> Stipulation at 8 (April 2, 2013).</w:t>
      </w:r>
    </w:p>
  </w:footnote>
  <w:footnote w:id="12">
    <w:p w14:paraId="3D50890C" w14:textId="77777777" w:rsidR="00BB5665" w:rsidRPr="00CB044D" w:rsidRDefault="00BB5665" w:rsidP="00CB044D">
      <w:pPr>
        <w:pStyle w:val="FootnoteText"/>
        <w:spacing w:after="120"/>
      </w:pPr>
      <w:r w:rsidRPr="00CB044D">
        <w:rPr>
          <w:rStyle w:val="FootnoteReference"/>
        </w:rPr>
        <w:footnoteRef/>
      </w:r>
      <w:r w:rsidRPr="00CB044D">
        <w:t xml:space="preserve"> Id.</w:t>
      </w:r>
    </w:p>
  </w:footnote>
  <w:footnote w:id="13">
    <w:p w14:paraId="55A670AB" w14:textId="77777777" w:rsidR="00BB5665" w:rsidRPr="00CB044D" w:rsidRDefault="00BB5665" w:rsidP="00CB044D">
      <w:pPr>
        <w:pStyle w:val="FootnoteText"/>
        <w:spacing w:after="120"/>
      </w:pPr>
      <w:r w:rsidRPr="00CB044D">
        <w:rPr>
          <w:rStyle w:val="FootnoteReference"/>
        </w:rPr>
        <w:footnoteRef/>
      </w:r>
      <w:r w:rsidRPr="00CB044D">
        <w:t xml:space="preserve"> OCC Objections to the Staff Report at 11-14 (February 4, 2013).</w:t>
      </w:r>
    </w:p>
  </w:footnote>
  <w:footnote w:id="14">
    <w:p w14:paraId="5811BF84" w14:textId="0695C872" w:rsidR="009243AE" w:rsidRPr="00CB044D" w:rsidRDefault="009243AE" w:rsidP="00CB044D">
      <w:pPr>
        <w:pStyle w:val="FootnoteText"/>
        <w:spacing w:after="120"/>
      </w:pPr>
      <w:r w:rsidRPr="00CB044D">
        <w:rPr>
          <w:rStyle w:val="FootnoteReference"/>
        </w:rPr>
        <w:footnoteRef/>
      </w:r>
      <w:r w:rsidRPr="00CB044D">
        <w:t>Jessica Bednarcik Depos</w:t>
      </w:r>
      <w:r w:rsidR="00EA0E1D" w:rsidRPr="00CB044D">
        <w:t>i</w:t>
      </w:r>
      <w:r w:rsidRPr="00CB044D">
        <w:t>tion, Transcript at 61 (April 10, 2013).  (In an extraordinary coincidence, Duke’s Motion to Clarify (to prevent the PUCO’s hearing of evidence on the imprudence and excessiveness of Duke’s remediation under the Ohio EPA’s Voluntary Action Program Rules) comes shortly after Duke witness Bednarcik, its in-house MGP remediation expert, testified that she has no expertise in those Ohio EPA Rules, and no independent knowledge or understanding of those rules.  Instead, the witness bases her testimony, for that subject of the Ohio EPA Rules, entirely on the opinions of an individual who has not been presented to testify in these proceedings.)</w:t>
      </w:r>
    </w:p>
  </w:footnote>
  <w:footnote w:id="15">
    <w:p w14:paraId="5EC490EF" w14:textId="77777777" w:rsidR="00BB5665" w:rsidRPr="00CB044D" w:rsidRDefault="00BB5665" w:rsidP="00CB044D">
      <w:pPr>
        <w:pStyle w:val="FootnoteText"/>
        <w:spacing w:after="120"/>
      </w:pPr>
      <w:r w:rsidRPr="00CB044D">
        <w:rPr>
          <w:rStyle w:val="FootnoteReference"/>
        </w:rPr>
        <w:footnoteRef/>
      </w:r>
      <w:r w:rsidRPr="00CB044D">
        <w:t xml:space="preserve"> Entry at 5 (January 18, 2013).</w:t>
      </w:r>
    </w:p>
  </w:footnote>
  <w:footnote w:id="16">
    <w:p w14:paraId="35F90A8D" w14:textId="77777777" w:rsidR="00BB5665" w:rsidRPr="00CB044D" w:rsidRDefault="00BB5665" w:rsidP="00CB044D">
      <w:pPr>
        <w:pStyle w:val="FootnoteText"/>
        <w:spacing w:after="120"/>
      </w:pPr>
      <w:r w:rsidRPr="00CB044D">
        <w:rPr>
          <w:rStyle w:val="FootnoteReference"/>
        </w:rPr>
        <w:footnoteRef/>
      </w:r>
      <w:r w:rsidRPr="00CB044D">
        <w:rPr>
          <w:i/>
          <w:iCs/>
        </w:rPr>
        <w:t xml:space="preserve"> In the Matter of the Application of the Cincinnati Gas &amp; Electric Company for an Increase in Electric Distribution Rates</w:t>
      </w:r>
      <w:r w:rsidRPr="00CB044D">
        <w:t xml:space="preserve">, Case No. 05-59-EL-AIR, et al.  Motion to Change Hearing Schedule (October 24, 2013). </w:t>
      </w:r>
    </w:p>
  </w:footnote>
  <w:footnote w:id="17">
    <w:p w14:paraId="2E168204" w14:textId="77777777" w:rsidR="00BB5665" w:rsidRPr="00CB044D" w:rsidRDefault="00BB5665" w:rsidP="00CB044D">
      <w:pPr>
        <w:pStyle w:val="FootnoteText"/>
        <w:spacing w:after="120"/>
      </w:pPr>
      <w:r w:rsidRPr="00CB044D">
        <w:rPr>
          <w:rStyle w:val="FootnoteReference"/>
        </w:rPr>
        <w:footnoteRef/>
      </w:r>
      <w:r w:rsidRPr="00CB044D">
        <w:t xml:space="preserve"> Id. Entry at 2 (November 3, 2005).</w:t>
      </w:r>
    </w:p>
  </w:footnote>
  <w:footnote w:id="18">
    <w:p w14:paraId="352F5BE8" w14:textId="3157A284" w:rsidR="00BB5665" w:rsidRPr="00CB044D" w:rsidRDefault="00BB5665" w:rsidP="00CB044D">
      <w:pPr>
        <w:pStyle w:val="FootnoteText"/>
        <w:spacing w:after="120"/>
      </w:pPr>
      <w:r w:rsidRPr="00CB044D">
        <w:rPr>
          <w:rStyle w:val="FootnoteReference"/>
        </w:rPr>
        <w:footnoteRef/>
      </w:r>
      <w:r w:rsidRPr="00CB044D">
        <w:t xml:space="preserve"> Entry at 6 (January 18, 2013).</w:t>
      </w:r>
    </w:p>
  </w:footnote>
  <w:footnote w:id="19">
    <w:p w14:paraId="74E5B3B6" w14:textId="77777777" w:rsidR="00BB5665" w:rsidRPr="00CB044D" w:rsidRDefault="00BB5665" w:rsidP="00CB044D">
      <w:pPr>
        <w:pStyle w:val="FootnoteText"/>
        <w:spacing w:after="120"/>
      </w:pPr>
      <w:r w:rsidRPr="00CB044D">
        <w:rPr>
          <w:rStyle w:val="FootnoteReference"/>
        </w:rPr>
        <w:footnoteRef/>
      </w:r>
      <w:r w:rsidRPr="00CB044D">
        <w:rPr>
          <w:i/>
          <w:iCs/>
        </w:rPr>
        <w:t xml:space="preserve"> In the Matter of the Application of the Cincinnati Gas &amp; Electric Company for an Increase in Electric Distribution Rates</w:t>
      </w:r>
      <w:r w:rsidRPr="00CB044D">
        <w:t xml:space="preserve">, Case No. 05-59-EL-AIR, et al.  Entry at 4-5 (November 3, 2013). </w:t>
      </w:r>
    </w:p>
  </w:footnote>
  <w:footnote w:id="20">
    <w:p w14:paraId="2B2C448E" w14:textId="47A09CBE" w:rsidR="00BB5665" w:rsidRPr="00CB044D" w:rsidRDefault="00BB5665" w:rsidP="00CB044D">
      <w:pPr>
        <w:pStyle w:val="FootnoteText"/>
        <w:spacing w:after="120"/>
      </w:pPr>
      <w:r w:rsidRPr="00CB044D">
        <w:rPr>
          <w:rStyle w:val="FootnoteReference"/>
        </w:rPr>
        <w:footnoteRef/>
      </w:r>
      <w:r w:rsidRPr="00CB044D">
        <w:t xml:space="preserve"> OCC Objection to the Staff Report at 12 (February 4, 2013).</w:t>
      </w:r>
    </w:p>
  </w:footnote>
  <w:footnote w:id="21">
    <w:p w14:paraId="5C4EC3BE" w14:textId="77777777" w:rsidR="00BB5665" w:rsidRPr="00CB044D" w:rsidRDefault="00BB5665" w:rsidP="00CB044D">
      <w:pPr>
        <w:pStyle w:val="FootnoteText"/>
        <w:spacing w:after="120"/>
      </w:pPr>
      <w:r w:rsidRPr="00CB044D">
        <w:rPr>
          <w:rStyle w:val="FootnoteReference"/>
        </w:rPr>
        <w:footnoteRef/>
      </w:r>
      <w:r w:rsidRPr="00CB044D">
        <w:t xml:space="preserve"> Direct Testimony of James R. Campbell at 5 (February 25, 2013).</w:t>
      </w:r>
    </w:p>
  </w:footnote>
  <w:footnote w:id="22">
    <w:p w14:paraId="0DA13733" w14:textId="17E2FA04" w:rsidR="00BB5665" w:rsidRPr="00CB044D" w:rsidRDefault="00BB5665" w:rsidP="00CB044D">
      <w:pPr>
        <w:pStyle w:val="FootnoteText"/>
        <w:spacing w:after="120"/>
      </w:pPr>
      <w:r w:rsidRPr="00CB044D">
        <w:rPr>
          <w:rStyle w:val="FootnoteReference"/>
        </w:rPr>
        <w:footnoteRef/>
      </w:r>
      <w:r w:rsidR="00401616">
        <w:t xml:space="preserve"> Duke</w:t>
      </w:r>
      <w:r w:rsidRPr="00CB044D">
        <w:t xml:space="preserve"> Motions at 1 (April 16, 2013).</w:t>
      </w:r>
    </w:p>
  </w:footnote>
  <w:footnote w:id="23">
    <w:p w14:paraId="37B4FA43" w14:textId="799E1C87" w:rsidR="00BB5665" w:rsidRPr="00CB044D" w:rsidRDefault="00BB5665" w:rsidP="00CB044D">
      <w:pPr>
        <w:pStyle w:val="FootnoteText"/>
        <w:spacing w:after="120"/>
      </w:pPr>
      <w:r w:rsidRPr="00CB044D">
        <w:rPr>
          <w:rStyle w:val="FootnoteReference"/>
        </w:rPr>
        <w:footnoteRef/>
      </w:r>
      <w:r w:rsidRPr="00CB044D">
        <w:t xml:space="preserve"> </w:t>
      </w:r>
      <w:r w:rsidR="00401616">
        <w:t xml:space="preserve">Duke </w:t>
      </w:r>
      <w:r w:rsidRPr="00CB044D">
        <w:t>Motions at 4.</w:t>
      </w:r>
    </w:p>
  </w:footnote>
  <w:footnote w:id="24">
    <w:p w14:paraId="3468DC9B" w14:textId="5A4940A3" w:rsidR="00BB5665" w:rsidRPr="00CB044D" w:rsidRDefault="00BB5665" w:rsidP="00CB044D">
      <w:pPr>
        <w:pStyle w:val="FootnoteText"/>
        <w:spacing w:after="120"/>
      </w:pPr>
      <w:r w:rsidRPr="00CB044D">
        <w:rPr>
          <w:rStyle w:val="FootnoteReference"/>
        </w:rPr>
        <w:footnoteRef/>
      </w:r>
      <w:r w:rsidRPr="00CB044D">
        <w:t xml:space="preserve"> R.C. 4909.15</w:t>
      </w:r>
      <w:r w:rsidR="009E2A94">
        <w:t>.</w:t>
      </w:r>
    </w:p>
  </w:footnote>
  <w:footnote w:id="25">
    <w:p w14:paraId="35E3E8FF" w14:textId="77777777" w:rsidR="00BB5665" w:rsidRPr="00CB044D" w:rsidRDefault="00BB5665" w:rsidP="00CB044D">
      <w:pPr>
        <w:pStyle w:val="FootnoteText"/>
        <w:spacing w:after="120"/>
      </w:pPr>
      <w:r w:rsidRPr="00CB044D">
        <w:rPr>
          <w:rStyle w:val="FootnoteReference"/>
        </w:rPr>
        <w:footnoteRef/>
      </w:r>
      <w:r w:rsidRPr="00CB044D">
        <w:t xml:space="preserve"> Duke Motion to Clarify at 6 (April 16, 2013).</w:t>
      </w:r>
    </w:p>
  </w:footnote>
  <w:footnote w:id="26">
    <w:p w14:paraId="036E4B71" w14:textId="77777777" w:rsidR="00BB5665" w:rsidRPr="00CB044D" w:rsidRDefault="00BB5665" w:rsidP="00CB044D">
      <w:pPr>
        <w:pStyle w:val="Default"/>
        <w:spacing w:after="120"/>
        <w:rPr>
          <w:sz w:val="20"/>
          <w:szCs w:val="20"/>
        </w:rPr>
      </w:pPr>
      <w:r w:rsidRPr="00CB044D">
        <w:rPr>
          <w:rStyle w:val="FootnoteReference"/>
          <w:sz w:val="20"/>
          <w:szCs w:val="20"/>
        </w:rPr>
        <w:footnoteRef/>
      </w:r>
      <w:r w:rsidRPr="00CB044D">
        <w:rPr>
          <w:sz w:val="20"/>
          <w:szCs w:val="20"/>
        </w:rPr>
        <w:t xml:space="preserve"> Memorandum Contra Duke Energy Ohio, Inc.’s Motion To Clarify The Scope Of These Proceedings Submitted On Behalf Of the Staff Of The Public Utilities Commission Of Ohio at 2 (April 19, 2013). </w:t>
      </w:r>
    </w:p>
  </w:footnote>
  <w:footnote w:id="27">
    <w:p w14:paraId="3950E87F" w14:textId="77777777" w:rsidR="00BB5665" w:rsidRPr="00CB044D" w:rsidRDefault="00BB5665" w:rsidP="00CB044D">
      <w:pPr>
        <w:pStyle w:val="FootnoteText"/>
        <w:spacing w:after="120"/>
      </w:pPr>
      <w:r w:rsidRPr="00CB044D">
        <w:rPr>
          <w:rStyle w:val="FootnoteReference"/>
        </w:rPr>
        <w:footnoteRef/>
      </w:r>
      <w:r w:rsidRPr="00CB044D">
        <w:t xml:space="preserve"> Id. </w:t>
      </w:r>
    </w:p>
  </w:footnote>
  <w:footnote w:id="28">
    <w:p w14:paraId="6FF41DAF" w14:textId="77777777" w:rsidR="00BB5665" w:rsidRPr="00CB044D" w:rsidRDefault="00BB5665" w:rsidP="00CB044D">
      <w:pPr>
        <w:pStyle w:val="FootnoteText"/>
        <w:spacing w:after="120"/>
      </w:pPr>
      <w:r w:rsidRPr="00CB044D">
        <w:rPr>
          <w:rStyle w:val="FootnoteReference"/>
        </w:rPr>
        <w:footnoteRef/>
      </w:r>
      <w:r w:rsidRPr="00CB044D">
        <w:t xml:space="preserve"> R.C. 4909.154.</w:t>
      </w:r>
    </w:p>
  </w:footnote>
  <w:footnote w:id="29">
    <w:p w14:paraId="0323C2B5" w14:textId="77777777" w:rsidR="00BB5665" w:rsidRPr="00CB044D" w:rsidRDefault="00BB5665" w:rsidP="00CB044D">
      <w:pPr>
        <w:pStyle w:val="FootnoteText"/>
        <w:spacing w:after="120"/>
      </w:pPr>
      <w:r w:rsidRPr="00CB044D">
        <w:rPr>
          <w:rStyle w:val="FootnoteReference"/>
        </w:rPr>
        <w:footnoteRef/>
      </w:r>
      <w:r w:rsidRPr="00CB044D">
        <w:t xml:space="preserve"> Duke Motion for Clarification at 7 (April 16, 2013).</w:t>
      </w:r>
    </w:p>
  </w:footnote>
  <w:footnote w:id="30">
    <w:p w14:paraId="7AEDBBF8" w14:textId="40BC2E38" w:rsidR="00BB5665" w:rsidRPr="00CB044D" w:rsidRDefault="00BB5665" w:rsidP="00CB044D">
      <w:pPr>
        <w:pStyle w:val="FootnoteText"/>
        <w:spacing w:after="120"/>
      </w:pPr>
      <w:r w:rsidRPr="00CB044D">
        <w:rPr>
          <w:rStyle w:val="FootnoteReference"/>
        </w:rPr>
        <w:footnoteRef/>
      </w:r>
      <w:r w:rsidRPr="00CB044D">
        <w:t>Ohio Adm. Code 3745-300-01 through 3745-300-14.</w:t>
      </w:r>
    </w:p>
  </w:footnote>
  <w:footnote w:id="31">
    <w:p w14:paraId="0D511C12" w14:textId="77777777" w:rsidR="00BB5665" w:rsidRPr="00CB044D" w:rsidRDefault="00BB5665" w:rsidP="00CB044D">
      <w:pPr>
        <w:pStyle w:val="FootnoteText"/>
        <w:spacing w:after="120"/>
      </w:pPr>
      <w:r w:rsidRPr="00CB044D">
        <w:rPr>
          <w:rStyle w:val="FootnoteReference"/>
        </w:rPr>
        <w:footnoteRef/>
      </w:r>
      <w:r w:rsidRPr="00CB044D">
        <w:t xml:space="preserve"> Duke Motion for Clarification at 6 (April 16, 2013).</w:t>
      </w:r>
    </w:p>
  </w:footnote>
  <w:footnote w:id="32">
    <w:p w14:paraId="7BAEA57E" w14:textId="77777777" w:rsidR="00BB5665" w:rsidRPr="00CB044D" w:rsidRDefault="00BB5665" w:rsidP="00CB044D">
      <w:pPr>
        <w:pStyle w:val="FootnoteText"/>
        <w:spacing w:after="120"/>
      </w:pPr>
      <w:r w:rsidRPr="00CB044D">
        <w:rPr>
          <w:rStyle w:val="FootnoteReference"/>
        </w:rPr>
        <w:footnoteRef/>
      </w:r>
      <w:r w:rsidRPr="00CB044D">
        <w:t xml:space="preserve"> Direct Testimony of James R. Campbell at 38 (February 25, 2013) ($65.3 million - $8 million = $57.3 Million).</w:t>
      </w:r>
    </w:p>
  </w:footnote>
  <w:footnote w:id="33">
    <w:p w14:paraId="760FD37F" w14:textId="77777777" w:rsidR="00BB5665" w:rsidRPr="00CB044D" w:rsidRDefault="00BB5665" w:rsidP="00CB044D">
      <w:pPr>
        <w:pStyle w:val="FootnoteText"/>
        <w:spacing w:after="120"/>
      </w:pPr>
      <w:r w:rsidRPr="00CB044D">
        <w:rPr>
          <w:rStyle w:val="FootnoteReference"/>
        </w:rPr>
        <w:footnoteRef/>
      </w:r>
      <w:r w:rsidRPr="00CB044D">
        <w:t xml:space="preserve"> Direct Testimony of James R. Campbell at 32 (February 25, 2013) ($65.3 million - $1.2 million = $64.1 Million).</w:t>
      </w:r>
    </w:p>
  </w:footnote>
  <w:footnote w:id="34">
    <w:p w14:paraId="5831B1BC" w14:textId="77777777" w:rsidR="00BB5665" w:rsidRPr="00CB044D" w:rsidRDefault="00BB5665" w:rsidP="00CB044D">
      <w:pPr>
        <w:pStyle w:val="FootnoteText"/>
        <w:spacing w:after="120"/>
      </w:pPr>
      <w:r w:rsidRPr="00CB044D">
        <w:rPr>
          <w:rStyle w:val="FootnoteReference"/>
        </w:rPr>
        <w:footnoteRef/>
      </w:r>
      <w:r w:rsidRPr="00CB044D">
        <w:t xml:space="preserve"> Duke Motion for Clarification at 6.</w:t>
      </w:r>
    </w:p>
  </w:footnote>
  <w:footnote w:id="35">
    <w:p w14:paraId="057C6A38" w14:textId="20D8244B" w:rsidR="00BB5665" w:rsidRPr="00CB044D" w:rsidRDefault="00BB5665" w:rsidP="00CB044D">
      <w:pPr>
        <w:pStyle w:val="FootnoteText"/>
        <w:spacing w:after="120"/>
      </w:pPr>
      <w:r w:rsidRPr="00CB044D">
        <w:rPr>
          <w:rStyle w:val="FootnoteReference"/>
        </w:rPr>
        <w:footnoteRef/>
      </w:r>
      <w:r w:rsidRPr="00CB044D">
        <w:t xml:space="preserve"> Duke Motion to Cla</w:t>
      </w:r>
      <w:r w:rsidR="00EA0E1D" w:rsidRPr="00CB044D">
        <w:t>r</w:t>
      </w:r>
      <w:r w:rsidRPr="00CB044D">
        <w:t>ify at 5 (April 16, 2013).</w:t>
      </w:r>
    </w:p>
  </w:footnote>
  <w:footnote w:id="36">
    <w:p w14:paraId="11038F8F" w14:textId="77777777" w:rsidR="00BB5665" w:rsidRPr="00CB044D" w:rsidRDefault="00BB5665" w:rsidP="00CB044D">
      <w:pPr>
        <w:pStyle w:val="FootnoteText"/>
        <w:spacing w:after="120"/>
      </w:pPr>
      <w:r w:rsidRPr="00CB044D">
        <w:rPr>
          <w:rStyle w:val="FootnoteReference"/>
        </w:rPr>
        <w:footnoteRef/>
      </w:r>
      <w:r w:rsidRPr="00CB044D">
        <w:rPr>
          <w:i/>
          <w:iCs/>
        </w:rPr>
        <w:t xml:space="preserve"> In the Matter of the Investigation into the Perry Nuclear Station, </w:t>
      </w:r>
      <w:r w:rsidRPr="00CB044D">
        <w:t>Case No. 85-521-EL-COI, Opinion and Order (January 12, 1988).</w:t>
      </w:r>
    </w:p>
  </w:footnote>
  <w:footnote w:id="37">
    <w:p w14:paraId="50A710AE" w14:textId="77777777" w:rsidR="00BB5665" w:rsidRPr="00CB044D" w:rsidRDefault="00BB5665" w:rsidP="00CB044D">
      <w:pPr>
        <w:pStyle w:val="FootnoteText"/>
        <w:spacing w:after="120"/>
      </w:pPr>
      <w:r w:rsidRPr="00CB044D">
        <w:rPr>
          <w:rStyle w:val="FootnoteReference"/>
        </w:rPr>
        <w:footnoteRef/>
      </w:r>
      <w:r w:rsidRPr="00CB044D">
        <w:t xml:space="preserve"> Id. at 57.</w:t>
      </w:r>
    </w:p>
  </w:footnote>
  <w:footnote w:id="38">
    <w:p w14:paraId="3437B1BD" w14:textId="77777777" w:rsidR="00BB5665" w:rsidRPr="00CB044D" w:rsidRDefault="00BB5665" w:rsidP="00CB044D">
      <w:pPr>
        <w:pStyle w:val="FootnoteText"/>
        <w:spacing w:after="120"/>
      </w:pPr>
      <w:r w:rsidRPr="00CB044D">
        <w:rPr>
          <w:rStyle w:val="FootnoteReference"/>
        </w:rPr>
        <w:footnoteRef/>
      </w:r>
      <w:r w:rsidRPr="00CB044D">
        <w:t xml:space="preserve"> Id. at58.</w:t>
      </w:r>
    </w:p>
  </w:footnote>
  <w:footnote w:id="39">
    <w:p w14:paraId="57AA60EC" w14:textId="47419A3C" w:rsidR="00BB5665" w:rsidRPr="00CB044D" w:rsidRDefault="00BB5665" w:rsidP="00CB044D">
      <w:pPr>
        <w:pStyle w:val="FootnoteText"/>
        <w:spacing w:after="120"/>
      </w:pPr>
      <w:r w:rsidRPr="00CB044D">
        <w:rPr>
          <w:rStyle w:val="FootnoteReference"/>
        </w:rPr>
        <w:footnoteRef/>
      </w:r>
      <w:r w:rsidRPr="00CB044D">
        <w:t xml:space="preserve"> Duke Motion to Clarify at 7 (April 16, 2013)</w:t>
      </w:r>
      <w:r w:rsidR="009E2A94">
        <w:t>.</w:t>
      </w:r>
    </w:p>
  </w:footnote>
  <w:footnote w:id="40">
    <w:p w14:paraId="3E551F97" w14:textId="77777777" w:rsidR="00BB5665" w:rsidRPr="00CB044D" w:rsidRDefault="00BB5665" w:rsidP="00CB044D">
      <w:pPr>
        <w:pStyle w:val="FootnoteText"/>
        <w:spacing w:after="120"/>
      </w:pPr>
      <w:r w:rsidRPr="00CB044D">
        <w:rPr>
          <w:rStyle w:val="FootnoteReference"/>
        </w:rPr>
        <w:footnoteRef/>
      </w:r>
      <w:r w:rsidRPr="00CB044D">
        <w:t xml:space="preserve"> Duke Motion to Strike at 5 (April 16, 2013).</w:t>
      </w:r>
    </w:p>
  </w:footnote>
  <w:footnote w:id="41">
    <w:p w14:paraId="62A9C63C" w14:textId="77777777" w:rsidR="00BB5665" w:rsidRPr="00CB044D" w:rsidRDefault="00BB5665" w:rsidP="00CB044D">
      <w:pPr>
        <w:pStyle w:val="FootnoteText"/>
        <w:spacing w:after="120"/>
      </w:pPr>
      <w:r w:rsidRPr="00CB044D">
        <w:rPr>
          <w:rStyle w:val="FootnoteReference"/>
        </w:rPr>
        <w:footnoteRef/>
      </w:r>
      <w:r w:rsidRPr="00CB044D">
        <w:t xml:space="preserve"> Direct Testimony of James R. Campbell at 1 (February 25, 2013).</w:t>
      </w:r>
    </w:p>
  </w:footnote>
  <w:footnote w:id="42">
    <w:p w14:paraId="2626D898" w14:textId="77777777" w:rsidR="00BB5665" w:rsidRPr="00CB044D" w:rsidRDefault="00BB5665" w:rsidP="00CB044D">
      <w:pPr>
        <w:pStyle w:val="FootnoteText"/>
        <w:spacing w:after="120"/>
      </w:pPr>
      <w:r w:rsidRPr="00CB044D">
        <w:rPr>
          <w:rStyle w:val="FootnoteReference"/>
        </w:rPr>
        <w:footnoteRef/>
      </w:r>
      <w:r w:rsidRPr="00CB044D">
        <w:t xml:space="preserve"> Id.</w:t>
      </w:r>
    </w:p>
  </w:footnote>
  <w:footnote w:id="43">
    <w:p w14:paraId="3B500F2B" w14:textId="45027B3E" w:rsidR="00BB5665" w:rsidRPr="00CB044D" w:rsidRDefault="00BB5665" w:rsidP="00CB044D">
      <w:pPr>
        <w:pStyle w:val="FootnoteText"/>
        <w:spacing w:after="120"/>
      </w:pPr>
      <w:r w:rsidRPr="00CB044D">
        <w:rPr>
          <w:rStyle w:val="FootnoteReference"/>
        </w:rPr>
        <w:footnoteRef/>
      </w:r>
      <w:r w:rsidRPr="00CB044D">
        <w:t xml:space="preserve"> All that Mr. Campbell lacks toward being recognized as a CP is attendance at an 8-hour course (that does not require the attendees to pass any type of test) and paying a $2,500 fee to the State of Ohio.  </w:t>
      </w:r>
    </w:p>
    <w:p w14:paraId="0962B732" w14:textId="77777777" w:rsidR="00BB5665" w:rsidRPr="00CB044D" w:rsidRDefault="00BB5665" w:rsidP="00CB044D">
      <w:pPr>
        <w:pStyle w:val="FootnoteText"/>
        <w:spacing w:after="120"/>
      </w:pPr>
    </w:p>
  </w:footnote>
  <w:footnote w:id="44">
    <w:p w14:paraId="3A551621" w14:textId="77777777" w:rsidR="00BB5665" w:rsidRPr="00CB044D" w:rsidRDefault="00BB5665" w:rsidP="00CB044D">
      <w:pPr>
        <w:pStyle w:val="FootnoteText"/>
        <w:spacing w:after="120"/>
      </w:pPr>
      <w:r w:rsidRPr="00CB044D">
        <w:rPr>
          <w:rStyle w:val="FootnoteReference"/>
        </w:rPr>
        <w:footnoteRef/>
      </w:r>
      <w:r w:rsidRPr="00CB044D">
        <w:t xml:space="preserve"> Staff Memo Contra at 4 (April 19, 2013).</w:t>
      </w:r>
    </w:p>
  </w:footnote>
  <w:footnote w:id="45">
    <w:p w14:paraId="6D3EC03C" w14:textId="0B3EDF94" w:rsidR="00BB5665" w:rsidRPr="00CB044D" w:rsidRDefault="00BB5665" w:rsidP="00CB044D">
      <w:pPr>
        <w:pStyle w:val="FootnoteText"/>
        <w:spacing w:after="120"/>
      </w:pPr>
      <w:r w:rsidRPr="00CB044D">
        <w:rPr>
          <w:rStyle w:val="FootnoteReference"/>
        </w:rPr>
        <w:footnoteRef/>
      </w:r>
      <w:r w:rsidRPr="00CB044D">
        <w:t xml:space="preserve"> Id.</w:t>
      </w:r>
    </w:p>
  </w:footnote>
  <w:footnote w:id="46">
    <w:p w14:paraId="1B61AC3E" w14:textId="77777777" w:rsidR="00BB5665" w:rsidRPr="00CB044D" w:rsidRDefault="00BB5665" w:rsidP="00CB044D">
      <w:pPr>
        <w:pStyle w:val="FootnoteText"/>
        <w:spacing w:after="120"/>
      </w:pPr>
      <w:r w:rsidRPr="00CB044D">
        <w:rPr>
          <w:rStyle w:val="FootnoteReference"/>
          <w:i/>
          <w:iCs/>
        </w:rPr>
        <w:footnoteRef/>
      </w:r>
      <w:r w:rsidRPr="00CB044D">
        <w:rPr>
          <w:i/>
          <w:iCs/>
        </w:rPr>
        <w:t xml:space="preserve"> In the Matter of the Application of Duke Energy Ohio, Inc., for Authority to Defer Environmental Investigation and Remediation Costs</w:t>
      </w:r>
      <w:r w:rsidRPr="00CB044D">
        <w:t>, Case No. 09-712-GA-AAM, Application (August 29, 2009).  (“Deferral Case”).</w:t>
      </w:r>
    </w:p>
  </w:footnote>
  <w:footnote w:id="47">
    <w:p w14:paraId="0D19967A" w14:textId="77777777" w:rsidR="00BB5665" w:rsidRPr="00CB044D" w:rsidRDefault="00BB5665" w:rsidP="00CB044D">
      <w:pPr>
        <w:pStyle w:val="FootnoteText"/>
        <w:spacing w:after="120"/>
      </w:pPr>
      <w:r w:rsidRPr="00CB044D">
        <w:rPr>
          <w:rStyle w:val="FootnoteReference"/>
        </w:rPr>
        <w:footnoteRef/>
      </w:r>
      <w:r w:rsidRPr="00CB044D">
        <w:t xml:space="preserve"> Id.</w:t>
      </w:r>
    </w:p>
  </w:footnote>
  <w:footnote w:id="48">
    <w:p w14:paraId="29AE7288" w14:textId="77777777" w:rsidR="00BB5665" w:rsidRPr="00CB044D" w:rsidRDefault="00BB5665" w:rsidP="00CB044D">
      <w:pPr>
        <w:pStyle w:val="FootnoteText"/>
        <w:spacing w:after="120"/>
      </w:pPr>
      <w:r w:rsidRPr="00CB044D">
        <w:rPr>
          <w:rStyle w:val="FootnoteReference"/>
        </w:rPr>
        <w:footnoteRef/>
      </w:r>
      <w:r w:rsidRPr="00CB044D">
        <w:t xml:space="preserve"> Deferral Case, Duke Correspondence (October 29, 2009).</w:t>
      </w:r>
    </w:p>
  </w:footnote>
  <w:footnote w:id="49">
    <w:p w14:paraId="246C8554" w14:textId="77777777" w:rsidR="00BB5665" w:rsidRPr="00CB044D" w:rsidRDefault="00BB5665" w:rsidP="00CB044D">
      <w:pPr>
        <w:pStyle w:val="FootnoteText"/>
        <w:spacing w:after="120"/>
      </w:pPr>
      <w:r w:rsidRPr="00CB044D">
        <w:rPr>
          <w:rStyle w:val="FootnoteReference"/>
        </w:rPr>
        <w:footnoteRef/>
      </w:r>
      <w:r w:rsidRPr="00CB044D">
        <w:t xml:space="preserve"> Deferral Case, Finding and Order at 1 (November 12, 2009).</w:t>
      </w:r>
    </w:p>
  </w:footnote>
  <w:footnote w:id="50">
    <w:p w14:paraId="7243AAA6" w14:textId="77777777" w:rsidR="00BB5665" w:rsidRPr="00CB044D" w:rsidRDefault="00BB5665" w:rsidP="00CB044D">
      <w:pPr>
        <w:pStyle w:val="FootnoteText"/>
        <w:spacing w:after="120"/>
      </w:pPr>
      <w:r w:rsidRPr="00CB044D">
        <w:rPr>
          <w:rStyle w:val="FootnoteReference"/>
        </w:rPr>
        <w:footnoteRef/>
      </w:r>
      <w:r w:rsidRPr="00CB044D">
        <w:t xml:space="preserve"> Id. at 2.</w:t>
      </w:r>
    </w:p>
  </w:footnote>
  <w:footnote w:id="51">
    <w:p w14:paraId="28F698EB" w14:textId="77777777" w:rsidR="00BB5665" w:rsidRPr="00CB044D" w:rsidRDefault="00BB5665" w:rsidP="00CB044D">
      <w:pPr>
        <w:pStyle w:val="FootnoteText"/>
        <w:spacing w:after="120"/>
      </w:pPr>
      <w:r w:rsidRPr="00CB044D">
        <w:rPr>
          <w:rStyle w:val="FootnoteReference"/>
        </w:rPr>
        <w:footnoteRef/>
      </w:r>
      <w:r w:rsidRPr="00CB044D">
        <w:t xml:space="preserve"> Id.</w:t>
      </w:r>
    </w:p>
  </w:footnote>
  <w:footnote w:id="52">
    <w:p w14:paraId="17553788" w14:textId="77777777" w:rsidR="00BB5665" w:rsidRPr="00CB044D" w:rsidRDefault="00BB5665" w:rsidP="00CB044D">
      <w:pPr>
        <w:pStyle w:val="FootnoteText"/>
        <w:spacing w:after="120"/>
      </w:pPr>
      <w:r w:rsidRPr="00CB044D">
        <w:rPr>
          <w:rStyle w:val="FootnoteReference"/>
        </w:rPr>
        <w:footnoteRef/>
      </w:r>
      <w:r w:rsidRPr="00CB044D">
        <w:t xml:space="preserve"> Id.</w:t>
      </w:r>
    </w:p>
  </w:footnote>
  <w:footnote w:id="53">
    <w:p w14:paraId="3B400CCF" w14:textId="77777777" w:rsidR="00BB5665" w:rsidRPr="00CB044D" w:rsidRDefault="00BB5665" w:rsidP="00CB044D">
      <w:pPr>
        <w:pStyle w:val="FootnoteText"/>
        <w:spacing w:after="120"/>
      </w:pPr>
      <w:r w:rsidRPr="00CB044D">
        <w:rPr>
          <w:rStyle w:val="FootnoteReference"/>
        </w:rPr>
        <w:footnoteRef/>
      </w:r>
      <w:r w:rsidRPr="00CB044D">
        <w:t xml:space="preserve"> Deferral Case, OCC Motion to Intervene at 4-5 (November 10, 2009).  See also</w:t>
      </w:r>
      <w:r w:rsidRPr="00CB044D">
        <w:rPr>
          <w:i/>
          <w:iCs/>
        </w:rPr>
        <w:t xml:space="preserve"> In re Columbia MGP Case</w:t>
      </w:r>
      <w:r w:rsidRPr="00CB044D">
        <w:t>, Case No. 08-606-GA-AAM, Entry at ¶3 (September 24, 2008).</w:t>
      </w:r>
    </w:p>
  </w:footnote>
  <w:footnote w:id="54">
    <w:p w14:paraId="23384814" w14:textId="77777777" w:rsidR="00BB5665" w:rsidRPr="00CB044D" w:rsidRDefault="00BB5665" w:rsidP="00CB044D">
      <w:pPr>
        <w:pStyle w:val="FootnoteText"/>
        <w:spacing w:after="120"/>
      </w:pPr>
      <w:r w:rsidRPr="00CB044D">
        <w:rPr>
          <w:rStyle w:val="FootnoteReference"/>
        </w:rPr>
        <w:footnoteRef/>
      </w:r>
      <w:r w:rsidRPr="00CB044D">
        <w:t xml:space="preserve"> Deferral Case, Finding and Order at 3 (November 12, 2009).</w:t>
      </w:r>
    </w:p>
  </w:footnote>
  <w:footnote w:id="55">
    <w:p w14:paraId="4131E9CD" w14:textId="77777777" w:rsidR="00BB5665" w:rsidRPr="00CB044D" w:rsidRDefault="00BB5665" w:rsidP="00CB044D">
      <w:pPr>
        <w:pStyle w:val="FootnoteText"/>
        <w:spacing w:after="120"/>
      </w:pPr>
      <w:r w:rsidRPr="00CB044D">
        <w:rPr>
          <w:rStyle w:val="FootnoteReference"/>
        </w:rPr>
        <w:footnoteRef/>
      </w:r>
      <w:r w:rsidRPr="00CB044D">
        <w:t xml:space="preserve"> Id.</w:t>
      </w:r>
    </w:p>
  </w:footnote>
  <w:footnote w:id="56">
    <w:p w14:paraId="32E342B4" w14:textId="77777777" w:rsidR="00BB5665" w:rsidRPr="00CB044D" w:rsidRDefault="00BB5665" w:rsidP="00CB044D">
      <w:pPr>
        <w:pStyle w:val="FootnoteText"/>
        <w:spacing w:after="120"/>
      </w:pPr>
      <w:r w:rsidRPr="00CB044D">
        <w:rPr>
          <w:rStyle w:val="FootnoteReference"/>
        </w:rPr>
        <w:footnoteRef/>
      </w:r>
      <w:r w:rsidRPr="00CB044D">
        <w:t xml:space="preserve"> Id. at 3-4. (Emphasis added).</w:t>
      </w:r>
    </w:p>
  </w:footnote>
  <w:footnote w:id="57">
    <w:p w14:paraId="5382B613" w14:textId="77777777" w:rsidR="00BB5665" w:rsidRPr="00CB044D" w:rsidRDefault="00BB5665" w:rsidP="00CB044D">
      <w:pPr>
        <w:pStyle w:val="FootnoteText"/>
        <w:spacing w:after="120"/>
      </w:pPr>
      <w:r w:rsidRPr="00CB044D">
        <w:rPr>
          <w:rStyle w:val="FootnoteReference"/>
        </w:rPr>
        <w:footnoteRef/>
      </w:r>
      <w:r w:rsidRPr="00CB044D">
        <w:t xml:space="preserve"> Deferral Case, Entry on Rehearing at 2 (January 7, 2010).  See also Deferral Case, Duke Memorandum Contra at 2-3 (December 18, 2009).</w:t>
      </w:r>
    </w:p>
  </w:footnote>
  <w:footnote w:id="58">
    <w:p w14:paraId="588FEA11" w14:textId="77777777" w:rsidR="00BB5665" w:rsidRPr="00CB044D" w:rsidRDefault="00BB5665" w:rsidP="00CB044D">
      <w:pPr>
        <w:pStyle w:val="FootnoteText"/>
        <w:spacing w:after="120"/>
      </w:pPr>
      <w:r w:rsidRPr="00CB044D">
        <w:rPr>
          <w:rStyle w:val="FootnoteReference"/>
        </w:rPr>
        <w:footnoteRef/>
      </w:r>
      <w:r w:rsidRPr="00CB044D">
        <w:t xml:space="preserve"> Deferral Case, Entry on Rehearing at 3, 4, 5, 6 (January 7, 2010).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111C" w14:textId="77777777" w:rsidR="008D679D" w:rsidRDefault="008D6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25D33" w14:textId="77777777" w:rsidR="008D679D" w:rsidRDefault="008D67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3546A" w14:textId="77777777" w:rsidR="008D679D" w:rsidRDefault="008D67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7A4C6" w14:textId="1820A8AB" w:rsidR="00BE1D88" w:rsidRDefault="00BE1D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7ECAD" w14:textId="37F35BBF" w:rsidR="00BE1D88" w:rsidRDefault="00BE1D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D7D3E" w14:textId="3D238E8E" w:rsidR="00BE1D88" w:rsidRDefault="00BE1D8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EC98F" w14:textId="1F3B40C9" w:rsidR="00BE1D88" w:rsidRDefault="00BE1D8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01C7" w14:textId="3F312DFF" w:rsidR="00BE1D88" w:rsidRDefault="00BE1D8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6266" w14:textId="0E138E00" w:rsidR="00BE1D88" w:rsidRDefault="00BE1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47B48"/>
    <w:lvl w:ilvl="0">
      <w:start w:val="1"/>
      <w:numFmt w:val="decimal"/>
      <w:lvlText w:val="%1."/>
      <w:lvlJc w:val="left"/>
      <w:pPr>
        <w:tabs>
          <w:tab w:val="num" w:pos="1800"/>
        </w:tabs>
        <w:ind w:left="1800" w:hanging="360"/>
      </w:pPr>
    </w:lvl>
  </w:abstractNum>
  <w:abstractNum w:abstractNumId="1">
    <w:nsid w:val="FFFFFF7D"/>
    <w:multiLevelType w:val="singleLevel"/>
    <w:tmpl w:val="D992568E"/>
    <w:lvl w:ilvl="0">
      <w:start w:val="1"/>
      <w:numFmt w:val="decimal"/>
      <w:lvlText w:val="%1."/>
      <w:lvlJc w:val="left"/>
      <w:pPr>
        <w:tabs>
          <w:tab w:val="num" w:pos="1440"/>
        </w:tabs>
        <w:ind w:left="1440" w:hanging="360"/>
      </w:pPr>
    </w:lvl>
  </w:abstractNum>
  <w:abstractNum w:abstractNumId="2">
    <w:nsid w:val="FFFFFF7E"/>
    <w:multiLevelType w:val="singleLevel"/>
    <w:tmpl w:val="F1A862C0"/>
    <w:lvl w:ilvl="0">
      <w:start w:val="1"/>
      <w:numFmt w:val="decimal"/>
      <w:lvlText w:val="%1."/>
      <w:lvlJc w:val="left"/>
      <w:pPr>
        <w:tabs>
          <w:tab w:val="num" w:pos="1080"/>
        </w:tabs>
        <w:ind w:left="1080" w:hanging="360"/>
      </w:pPr>
    </w:lvl>
  </w:abstractNum>
  <w:abstractNum w:abstractNumId="3">
    <w:nsid w:val="FFFFFF7F"/>
    <w:multiLevelType w:val="singleLevel"/>
    <w:tmpl w:val="FE662CA0"/>
    <w:lvl w:ilvl="0">
      <w:start w:val="1"/>
      <w:numFmt w:val="decimal"/>
      <w:lvlText w:val="%1."/>
      <w:lvlJc w:val="left"/>
      <w:pPr>
        <w:tabs>
          <w:tab w:val="num" w:pos="720"/>
        </w:tabs>
        <w:ind w:left="720" w:hanging="360"/>
      </w:pPr>
    </w:lvl>
  </w:abstractNum>
  <w:abstractNum w:abstractNumId="4">
    <w:nsid w:val="FFFFFF80"/>
    <w:multiLevelType w:val="singleLevel"/>
    <w:tmpl w:val="0E5A042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AB62551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48E841D2"/>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1F72A77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8685DE2"/>
    <w:lvl w:ilvl="0">
      <w:start w:val="1"/>
      <w:numFmt w:val="decimal"/>
      <w:lvlText w:val="%1."/>
      <w:lvlJc w:val="left"/>
      <w:pPr>
        <w:tabs>
          <w:tab w:val="num" w:pos="360"/>
        </w:tabs>
        <w:ind w:left="360" w:hanging="360"/>
      </w:pPr>
    </w:lvl>
  </w:abstractNum>
  <w:abstractNum w:abstractNumId="9">
    <w:nsid w:val="FFFFFF89"/>
    <w:multiLevelType w:val="singleLevel"/>
    <w:tmpl w:val="EC400FD0"/>
    <w:lvl w:ilvl="0">
      <w:start w:val="1"/>
      <w:numFmt w:val="bullet"/>
      <w:lvlText w:val=""/>
      <w:lvlJc w:val="left"/>
      <w:pPr>
        <w:tabs>
          <w:tab w:val="num" w:pos="360"/>
        </w:tabs>
        <w:ind w:left="360" w:hanging="360"/>
      </w:pPr>
      <w:rPr>
        <w:rFonts w:ascii="Symbol" w:hAnsi="Symbol" w:cs="Symbol" w:hint="default"/>
      </w:rPr>
    </w:lvl>
  </w:abstractNum>
  <w:abstractNum w:abstractNumId="10">
    <w:nsid w:val="08C116EC"/>
    <w:multiLevelType w:val="hybridMultilevel"/>
    <w:tmpl w:val="C288721A"/>
    <w:lvl w:ilvl="0" w:tplc="ECB8F9DA">
      <w:start w:val="1"/>
      <w:numFmt w:val="upperLetter"/>
      <w:lvlText w:val="%1."/>
      <w:lvlJc w:val="left"/>
      <w:pPr>
        <w:ind w:left="1440" w:hanging="360"/>
      </w:pPr>
      <w:rPr>
        <w:rFonts w:hint="default"/>
        <w:b/>
        <w:bCs/>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0ED77B0E"/>
    <w:multiLevelType w:val="hybridMultilevel"/>
    <w:tmpl w:val="84900B12"/>
    <w:lvl w:ilvl="0" w:tplc="9560F430">
      <w:start w:val="1"/>
      <w:numFmt w:val="upperLetter"/>
      <w:lvlText w:val="%1&gt;"/>
      <w:lvlJc w:val="left"/>
      <w:pPr>
        <w:ind w:left="1080" w:hanging="360"/>
      </w:pPr>
      <w:rPr>
        <w:rFonts w:hint="default"/>
        <w:b/>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E4B1E4F"/>
    <w:multiLevelType w:val="hybridMultilevel"/>
    <w:tmpl w:val="97C00C5A"/>
    <w:lvl w:ilvl="0" w:tplc="FAD0C636">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E5708AF"/>
    <w:multiLevelType w:val="hybridMultilevel"/>
    <w:tmpl w:val="C44418A8"/>
    <w:lvl w:ilvl="0" w:tplc="4F04D032">
      <w:start w:val="1"/>
      <w:numFmt w:val="upperLetter"/>
      <w:lvlText w:val="%1."/>
      <w:lvlJc w:val="left"/>
      <w:pPr>
        <w:tabs>
          <w:tab w:val="num" w:pos="1440"/>
        </w:tabs>
        <w:ind w:left="1440" w:hanging="720"/>
      </w:pPr>
      <w:rPr>
        <w:rFonts w:hint="default"/>
        <w:b w:val="0"/>
        <w:b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3D1D4CB4"/>
    <w:multiLevelType w:val="hybridMultilevel"/>
    <w:tmpl w:val="74E85640"/>
    <w:lvl w:ilvl="0" w:tplc="2BD86B80">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510C042D"/>
    <w:multiLevelType w:val="hybridMultilevel"/>
    <w:tmpl w:val="A330E356"/>
    <w:lvl w:ilvl="0" w:tplc="7B08583E">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nsid w:val="52A67812"/>
    <w:multiLevelType w:val="hybridMultilevel"/>
    <w:tmpl w:val="8300255C"/>
    <w:lvl w:ilvl="0" w:tplc="DC5C3AC8">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7">
    <w:nsid w:val="65B062CB"/>
    <w:multiLevelType w:val="hybridMultilevel"/>
    <w:tmpl w:val="E4F2BAB2"/>
    <w:lvl w:ilvl="0" w:tplc="15E4541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7"/>
  </w:num>
  <w:num w:numId="2">
    <w:abstractNumId w:val="13"/>
  </w:num>
  <w:num w:numId="3">
    <w:abstractNumId w:val="14"/>
  </w:num>
  <w:num w:numId="4">
    <w:abstractNumId w:val="12"/>
  </w:num>
  <w:num w:numId="5">
    <w:abstractNumId w:val="16"/>
  </w:num>
  <w:num w:numId="6">
    <w:abstractNumId w:val="11"/>
  </w:num>
  <w:num w:numId="7">
    <w:abstractNumId w:val="1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120"/>
    <w:rsid w:val="00020D5D"/>
    <w:rsid w:val="00031448"/>
    <w:rsid w:val="00076CC0"/>
    <w:rsid w:val="00080007"/>
    <w:rsid w:val="000911E9"/>
    <w:rsid w:val="00095A7B"/>
    <w:rsid w:val="000C51B9"/>
    <w:rsid w:val="000C5981"/>
    <w:rsid w:val="000D03FD"/>
    <w:rsid w:val="000F186B"/>
    <w:rsid w:val="0010715C"/>
    <w:rsid w:val="001207A7"/>
    <w:rsid w:val="001226DC"/>
    <w:rsid w:val="00126C37"/>
    <w:rsid w:val="00132D83"/>
    <w:rsid w:val="00137D88"/>
    <w:rsid w:val="0014292B"/>
    <w:rsid w:val="00152350"/>
    <w:rsid w:val="0018296D"/>
    <w:rsid w:val="001B3277"/>
    <w:rsid w:val="001B6417"/>
    <w:rsid w:val="001B6791"/>
    <w:rsid w:val="001E6503"/>
    <w:rsid w:val="001F02C9"/>
    <w:rsid w:val="00212526"/>
    <w:rsid w:val="00226C29"/>
    <w:rsid w:val="00251A39"/>
    <w:rsid w:val="002527AA"/>
    <w:rsid w:val="002A7C48"/>
    <w:rsid w:val="002B1185"/>
    <w:rsid w:val="002C4320"/>
    <w:rsid w:val="003134B5"/>
    <w:rsid w:val="00343DF0"/>
    <w:rsid w:val="00392564"/>
    <w:rsid w:val="00393D32"/>
    <w:rsid w:val="003A71B1"/>
    <w:rsid w:val="003B0281"/>
    <w:rsid w:val="003D5687"/>
    <w:rsid w:val="003D6AA9"/>
    <w:rsid w:val="003E37EB"/>
    <w:rsid w:val="003E4E9E"/>
    <w:rsid w:val="00401616"/>
    <w:rsid w:val="00415501"/>
    <w:rsid w:val="004228F1"/>
    <w:rsid w:val="00452395"/>
    <w:rsid w:val="0045676C"/>
    <w:rsid w:val="00495910"/>
    <w:rsid w:val="004B10F0"/>
    <w:rsid w:val="004C651A"/>
    <w:rsid w:val="0050536A"/>
    <w:rsid w:val="0050762D"/>
    <w:rsid w:val="00507A1D"/>
    <w:rsid w:val="00507B55"/>
    <w:rsid w:val="00507E5E"/>
    <w:rsid w:val="005324B7"/>
    <w:rsid w:val="00533217"/>
    <w:rsid w:val="00533F9E"/>
    <w:rsid w:val="005378F8"/>
    <w:rsid w:val="00537CD9"/>
    <w:rsid w:val="00555242"/>
    <w:rsid w:val="005705FE"/>
    <w:rsid w:val="005827EE"/>
    <w:rsid w:val="005D7537"/>
    <w:rsid w:val="005E6D56"/>
    <w:rsid w:val="005F2B78"/>
    <w:rsid w:val="0061413C"/>
    <w:rsid w:val="00620B76"/>
    <w:rsid w:val="00643B57"/>
    <w:rsid w:val="00661095"/>
    <w:rsid w:val="00680DD7"/>
    <w:rsid w:val="00685E6F"/>
    <w:rsid w:val="006A0C63"/>
    <w:rsid w:val="006B38FA"/>
    <w:rsid w:val="006B4D4C"/>
    <w:rsid w:val="006B77F5"/>
    <w:rsid w:val="006C3A81"/>
    <w:rsid w:val="006D3120"/>
    <w:rsid w:val="006E085F"/>
    <w:rsid w:val="006E3AA7"/>
    <w:rsid w:val="00711312"/>
    <w:rsid w:val="00760A60"/>
    <w:rsid w:val="007659E7"/>
    <w:rsid w:val="00775A7B"/>
    <w:rsid w:val="0078184A"/>
    <w:rsid w:val="007A00CD"/>
    <w:rsid w:val="007B1F5D"/>
    <w:rsid w:val="007C5319"/>
    <w:rsid w:val="007D45C0"/>
    <w:rsid w:val="007D6AD3"/>
    <w:rsid w:val="0080323C"/>
    <w:rsid w:val="008373B8"/>
    <w:rsid w:val="00866CEB"/>
    <w:rsid w:val="00872AB3"/>
    <w:rsid w:val="008C6125"/>
    <w:rsid w:val="008D679D"/>
    <w:rsid w:val="008D73F1"/>
    <w:rsid w:val="008E23DF"/>
    <w:rsid w:val="008F225B"/>
    <w:rsid w:val="008F36BF"/>
    <w:rsid w:val="009101E1"/>
    <w:rsid w:val="0091271F"/>
    <w:rsid w:val="0091534D"/>
    <w:rsid w:val="009223B1"/>
    <w:rsid w:val="009243AE"/>
    <w:rsid w:val="00937477"/>
    <w:rsid w:val="0094239D"/>
    <w:rsid w:val="00962018"/>
    <w:rsid w:val="009A0DDB"/>
    <w:rsid w:val="009A1437"/>
    <w:rsid w:val="009A2ED9"/>
    <w:rsid w:val="009C2412"/>
    <w:rsid w:val="009C7FA1"/>
    <w:rsid w:val="009D3572"/>
    <w:rsid w:val="009D4816"/>
    <w:rsid w:val="009E2697"/>
    <w:rsid w:val="009E2A94"/>
    <w:rsid w:val="009F3555"/>
    <w:rsid w:val="009F3FC8"/>
    <w:rsid w:val="009F55D6"/>
    <w:rsid w:val="009F7113"/>
    <w:rsid w:val="00A03C66"/>
    <w:rsid w:val="00A14F66"/>
    <w:rsid w:val="00A16068"/>
    <w:rsid w:val="00A32109"/>
    <w:rsid w:val="00A41CB2"/>
    <w:rsid w:val="00A446F6"/>
    <w:rsid w:val="00A70856"/>
    <w:rsid w:val="00A8488A"/>
    <w:rsid w:val="00A87531"/>
    <w:rsid w:val="00A87751"/>
    <w:rsid w:val="00AB704C"/>
    <w:rsid w:val="00AB7896"/>
    <w:rsid w:val="00AD1120"/>
    <w:rsid w:val="00AD6E2F"/>
    <w:rsid w:val="00B24026"/>
    <w:rsid w:val="00B2763E"/>
    <w:rsid w:val="00B412A8"/>
    <w:rsid w:val="00B41E1B"/>
    <w:rsid w:val="00B43503"/>
    <w:rsid w:val="00B60EEE"/>
    <w:rsid w:val="00B9499B"/>
    <w:rsid w:val="00BB2E6D"/>
    <w:rsid w:val="00BB3FB3"/>
    <w:rsid w:val="00BB5665"/>
    <w:rsid w:val="00BE1D88"/>
    <w:rsid w:val="00BE24A2"/>
    <w:rsid w:val="00BF360D"/>
    <w:rsid w:val="00C24D4C"/>
    <w:rsid w:val="00C277FA"/>
    <w:rsid w:val="00C41986"/>
    <w:rsid w:val="00C4260E"/>
    <w:rsid w:val="00C57E9C"/>
    <w:rsid w:val="00C73379"/>
    <w:rsid w:val="00C83589"/>
    <w:rsid w:val="00C84639"/>
    <w:rsid w:val="00C92AFE"/>
    <w:rsid w:val="00CA2E06"/>
    <w:rsid w:val="00CB044D"/>
    <w:rsid w:val="00CB68EA"/>
    <w:rsid w:val="00CD4B9C"/>
    <w:rsid w:val="00D023EA"/>
    <w:rsid w:val="00D0513A"/>
    <w:rsid w:val="00D075B1"/>
    <w:rsid w:val="00D07914"/>
    <w:rsid w:val="00D10CE4"/>
    <w:rsid w:val="00D21199"/>
    <w:rsid w:val="00D26354"/>
    <w:rsid w:val="00D274B3"/>
    <w:rsid w:val="00D3125A"/>
    <w:rsid w:val="00D35123"/>
    <w:rsid w:val="00D37FF5"/>
    <w:rsid w:val="00D50553"/>
    <w:rsid w:val="00D5723E"/>
    <w:rsid w:val="00D6005C"/>
    <w:rsid w:val="00D73C2C"/>
    <w:rsid w:val="00D83752"/>
    <w:rsid w:val="00D9117C"/>
    <w:rsid w:val="00DB519B"/>
    <w:rsid w:val="00DB6450"/>
    <w:rsid w:val="00DC7F46"/>
    <w:rsid w:val="00DE4664"/>
    <w:rsid w:val="00DE78E3"/>
    <w:rsid w:val="00DF6F77"/>
    <w:rsid w:val="00E02C3D"/>
    <w:rsid w:val="00E04E3D"/>
    <w:rsid w:val="00E12248"/>
    <w:rsid w:val="00E457A8"/>
    <w:rsid w:val="00E47999"/>
    <w:rsid w:val="00E50C6D"/>
    <w:rsid w:val="00E601C3"/>
    <w:rsid w:val="00E80135"/>
    <w:rsid w:val="00E90D25"/>
    <w:rsid w:val="00E969B9"/>
    <w:rsid w:val="00EA0E1D"/>
    <w:rsid w:val="00EA5456"/>
    <w:rsid w:val="00EC2BAF"/>
    <w:rsid w:val="00EC77A4"/>
    <w:rsid w:val="00EE5549"/>
    <w:rsid w:val="00EF3AF7"/>
    <w:rsid w:val="00F01DC7"/>
    <w:rsid w:val="00F11B7B"/>
    <w:rsid w:val="00F1681A"/>
    <w:rsid w:val="00F41999"/>
    <w:rsid w:val="00F6657A"/>
    <w:rsid w:val="00F77450"/>
    <w:rsid w:val="00F86ABF"/>
    <w:rsid w:val="00F96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8433"/>
    <o:shapelayout v:ext="edit">
      <o:idmap v:ext="edit" data="1"/>
    </o:shapelayout>
  </w:shapeDefaults>
  <w:decimalSymbol w:val="."/>
  <w:listSeparator w:val=","/>
  <w14:docId w14:val="51D6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AE"/>
    <w:rPr>
      <w:sz w:val="20"/>
      <w:szCs w:val="20"/>
    </w:rPr>
  </w:style>
  <w:style w:type="paragraph" w:styleId="Heading1">
    <w:name w:val="heading 1"/>
    <w:basedOn w:val="Normal"/>
    <w:next w:val="Normal"/>
    <w:link w:val="Heading1Char"/>
    <w:autoRedefine/>
    <w:uiPriority w:val="99"/>
    <w:qFormat/>
    <w:rsid w:val="009243AE"/>
    <w:pPr>
      <w:keepNext/>
      <w:spacing w:after="240"/>
      <w:ind w:left="720" w:hanging="720"/>
      <w:outlineLvl w:val="0"/>
    </w:pPr>
    <w:rPr>
      <w:rFonts w:ascii="Times New Roman Bold" w:hAnsi="Times New Roman Bold" w:cs="Cambria"/>
      <w:b/>
      <w:bCs/>
      <w:caps/>
      <w:kern w:val="32"/>
      <w:sz w:val="24"/>
      <w:szCs w:val="32"/>
    </w:rPr>
  </w:style>
  <w:style w:type="paragraph" w:styleId="Heading2">
    <w:name w:val="heading 2"/>
    <w:basedOn w:val="Normal"/>
    <w:next w:val="Normal"/>
    <w:link w:val="Heading2Char"/>
    <w:autoRedefine/>
    <w:uiPriority w:val="99"/>
    <w:qFormat/>
    <w:rsid w:val="00EA0E1D"/>
    <w:pPr>
      <w:keepNext/>
      <w:tabs>
        <w:tab w:val="left" w:pos="4320"/>
      </w:tabs>
      <w:spacing w:after="240"/>
      <w:ind w:left="1440" w:hanging="720"/>
      <w:outlineLvl w:val="1"/>
    </w:pPr>
    <w:rPr>
      <w:rFonts w:ascii="Times New Roman Bold" w:hAnsi="Times New Roman Bold" w:cs="Cambria"/>
      <w:b/>
      <w:bCs/>
      <w:iCs/>
      <w:sz w:val="24"/>
      <w:szCs w:val="28"/>
    </w:rPr>
  </w:style>
  <w:style w:type="paragraph" w:styleId="Heading3">
    <w:name w:val="heading 3"/>
    <w:basedOn w:val="Normal"/>
    <w:next w:val="Normal"/>
    <w:link w:val="Heading3Char"/>
    <w:autoRedefine/>
    <w:uiPriority w:val="99"/>
    <w:qFormat/>
    <w:rsid w:val="00EA0E1D"/>
    <w:pPr>
      <w:keepNext/>
      <w:spacing w:after="240"/>
      <w:ind w:left="2160" w:hanging="720"/>
      <w:outlineLvl w:val="2"/>
    </w:pPr>
    <w:rPr>
      <w:rFonts w:ascii="Times New Roman Bold" w:hAnsi="Times New Roman Bold" w:cs="Cambria"/>
      <w:b/>
      <w:bCs/>
      <w:sz w:val="24"/>
      <w:szCs w:val="26"/>
    </w:rPr>
  </w:style>
  <w:style w:type="paragraph" w:styleId="Heading4">
    <w:name w:val="heading 4"/>
    <w:basedOn w:val="Normal"/>
    <w:next w:val="Normal"/>
    <w:link w:val="Heading4Char"/>
    <w:uiPriority w:val="99"/>
    <w:qFormat/>
    <w:rsid w:val="009223B1"/>
    <w:pPr>
      <w:keepNext/>
      <w:ind w:left="2880" w:firstLine="720"/>
      <w:jc w:val="center"/>
      <w:outlineLvl w:val="3"/>
    </w:pPr>
    <w:rPr>
      <w:rFonts w:ascii="Calibri" w:hAnsi="Calibri" w:cs="Calibri"/>
      <w:b/>
      <w:bCs/>
      <w:sz w:val="28"/>
      <w:szCs w:val="28"/>
    </w:rPr>
  </w:style>
  <w:style w:type="paragraph" w:styleId="Heading7">
    <w:name w:val="heading 7"/>
    <w:basedOn w:val="Normal"/>
    <w:next w:val="Normal"/>
    <w:link w:val="Heading7Char"/>
    <w:uiPriority w:val="99"/>
    <w:qFormat/>
    <w:rsid w:val="009223B1"/>
    <w:pPr>
      <w:keepNext/>
      <w:tabs>
        <w:tab w:val="left" w:pos="4320"/>
      </w:tabs>
      <w:outlineLvl w:val="6"/>
    </w:pPr>
    <w:rPr>
      <w:rFonts w:ascii="Calibri" w:hAnsi="Calibri" w:cs="Calibri"/>
      <w:sz w:val="24"/>
      <w:szCs w:val="24"/>
    </w:rPr>
  </w:style>
  <w:style w:type="paragraph" w:styleId="Heading8">
    <w:name w:val="heading 8"/>
    <w:basedOn w:val="Normal"/>
    <w:next w:val="Normal"/>
    <w:link w:val="Heading8Char"/>
    <w:uiPriority w:val="99"/>
    <w:qFormat/>
    <w:locked/>
    <w:rsid w:val="003E37E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43AE"/>
    <w:rPr>
      <w:rFonts w:ascii="Times New Roman Bold" w:hAnsi="Times New Roman Bold" w:cs="Cambria"/>
      <w:b/>
      <w:bCs/>
      <w:caps/>
      <w:kern w:val="32"/>
      <w:sz w:val="24"/>
      <w:szCs w:val="32"/>
    </w:rPr>
  </w:style>
  <w:style w:type="character" w:customStyle="1" w:styleId="Heading2Char">
    <w:name w:val="Heading 2 Char"/>
    <w:basedOn w:val="DefaultParagraphFont"/>
    <w:link w:val="Heading2"/>
    <w:uiPriority w:val="99"/>
    <w:locked/>
    <w:rsid w:val="00EA0E1D"/>
    <w:rPr>
      <w:rFonts w:ascii="Times New Roman Bold" w:hAnsi="Times New Roman Bold" w:cs="Cambria"/>
      <w:b/>
      <w:bCs/>
      <w:iCs/>
      <w:sz w:val="24"/>
      <w:szCs w:val="28"/>
    </w:rPr>
  </w:style>
  <w:style w:type="character" w:customStyle="1" w:styleId="Heading3Char">
    <w:name w:val="Heading 3 Char"/>
    <w:basedOn w:val="DefaultParagraphFont"/>
    <w:link w:val="Heading3"/>
    <w:uiPriority w:val="99"/>
    <w:locked/>
    <w:rsid w:val="00EA0E1D"/>
    <w:rPr>
      <w:rFonts w:ascii="Times New Roman Bold" w:hAnsi="Times New Roman Bold" w:cs="Cambria"/>
      <w:b/>
      <w:bCs/>
      <w:sz w:val="24"/>
      <w:szCs w:val="26"/>
    </w:rPr>
  </w:style>
  <w:style w:type="character" w:customStyle="1" w:styleId="Heading4Char">
    <w:name w:val="Heading 4 Char"/>
    <w:basedOn w:val="DefaultParagraphFont"/>
    <w:link w:val="Heading4"/>
    <w:uiPriority w:val="99"/>
    <w:semiHidden/>
    <w:locked/>
    <w:rsid w:val="00E02C3D"/>
    <w:rPr>
      <w:rFonts w:ascii="Calibri" w:hAnsi="Calibri" w:cs="Calibri"/>
      <w:b/>
      <w:bCs/>
      <w:sz w:val="28"/>
      <w:szCs w:val="28"/>
    </w:rPr>
  </w:style>
  <w:style w:type="character" w:customStyle="1" w:styleId="Heading7Char">
    <w:name w:val="Heading 7 Char"/>
    <w:basedOn w:val="DefaultParagraphFont"/>
    <w:link w:val="Heading7"/>
    <w:uiPriority w:val="99"/>
    <w:semiHidden/>
    <w:locked/>
    <w:rsid w:val="00E02C3D"/>
    <w:rPr>
      <w:rFonts w:ascii="Calibri" w:hAnsi="Calibri" w:cs="Calibri"/>
      <w:sz w:val="24"/>
      <w:szCs w:val="24"/>
    </w:rPr>
  </w:style>
  <w:style w:type="character" w:customStyle="1" w:styleId="Heading8Char">
    <w:name w:val="Heading 8 Char"/>
    <w:basedOn w:val="DefaultParagraphFont"/>
    <w:link w:val="Heading8"/>
    <w:uiPriority w:val="99"/>
    <w:semiHidden/>
    <w:locked/>
    <w:rPr>
      <w:rFonts w:ascii="Calibri" w:hAnsi="Calibri" w:cs="Calibri"/>
      <w:i/>
      <w:iCs/>
      <w:sz w:val="24"/>
      <w:szCs w:val="24"/>
    </w:rPr>
  </w:style>
  <w:style w:type="paragraph" w:styleId="BalloonText">
    <w:name w:val="Balloon Text"/>
    <w:basedOn w:val="Normal"/>
    <w:link w:val="BalloonTextChar"/>
    <w:uiPriority w:val="99"/>
    <w:semiHidden/>
    <w:rsid w:val="00393D32"/>
    <w:rPr>
      <w:szCs w:val="2"/>
    </w:rPr>
  </w:style>
  <w:style w:type="character" w:customStyle="1" w:styleId="BalloonTextChar">
    <w:name w:val="Balloon Text Char"/>
    <w:basedOn w:val="DefaultParagraphFont"/>
    <w:link w:val="BalloonText"/>
    <w:uiPriority w:val="99"/>
    <w:semiHidden/>
    <w:locked/>
    <w:rsid w:val="00393D32"/>
    <w:rPr>
      <w:sz w:val="20"/>
      <w:szCs w:val="2"/>
    </w:rPr>
  </w:style>
  <w:style w:type="paragraph" w:styleId="BodyText">
    <w:name w:val="Body Text"/>
    <w:basedOn w:val="Normal"/>
    <w:link w:val="BodyTextChar"/>
    <w:uiPriority w:val="99"/>
    <w:rsid w:val="009223B1"/>
    <w:pPr>
      <w:jc w:val="center"/>
    </w:pPr>
  </w:style>
  <w:style w:type="character" w:customStyle="1" w:styleId="BodyTextChar">
    <w:name w:val="Body Text Char"/>
    <w:basedOn w:val="DefaultParagraphFont"/>
    <w:link w:val="BodyText"/>
    <w:uiPriority w:val="99"/>
    <w:semiHidden/>
    <w:locked/>
    <w:rsid w:val="00E02C3D"/>
    <w:rPr>
      <w:sz w:val="20"/>
      <w:szCs w:val="20"/>
    </w:rPr>
  </w:style>
  <w:style w:type="paragraph" w:styleId="Title">
    <w:name w:val="Title"/>
    <w:basedOn w:val="Normal"/>
    <w:link w:val="TitleChar"/>
    <w:uiPriority w:val="99"/>
    <w:qFormat/>
    <w:rsid w:val="009223B1"/>
    <w:pPr>
      <w:tabs>
        <w:tab w:val="left" w:pos="720"/>
      </w:tabs>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E02C3D"/>
    <w:rPr>
      <w:rFonts w:ascii="Cambria" w:hAnsi="Cambria" w:cs="Cambria"/>
      <w:b/>
      <w:bCs/>
      <w:kern w:val="28"/>
      <w:sz w:val="32"/>
      <w:szCs w:val="32"/>
    </w:rPr>
  </w:style>
  <w:style w:type="paragraph" w:styleId="BodyText2">
    <w:name w:val="Body Text 2"/>
    <w:basedOn w:val="Normal"/>
    <w:link w:val="BodyText2Char"/>
    <w:uiPriority w:val="99"/>
    <w:rsid w:val="009223B1"/>
    <w:pPr>
      <w:spacing w:line="480" w:lineRule="auto"/>
    </w:pPr>
  </w:style>
  <w:style w:type="character" w:customStyle="1" w:styleId="BodyText2Char">
    <w:name w:val="Body Text 2 Char"/>
    <w:basedOn w:val="DefaultParagraphFont"/>
    <w:link w:val="BodyText2"/>
    <w:uiPriority w:val="99"/>
    <w:semiHidden/>
    <w:locked/>
    <w:rsid w:val="00E02C3D"/>
    <w:rPr>
      <w:sz w:val="20"/>
      <w:szCs w:val="20"/>
    </w:rPr>
  </w:style>
  <w:style w:type="paragraph" w:styleId="Footer">
    <w:name w:val="footer"/>
    <w:basedOn w:val="Normal"/>
    <w:link w:val="FooterChar"/>
    <w:rsid w:val="009223B1"/>
    <w:pPr>
      <w:tabs>
        <w:tab w:val="center" w:pos="4320"/>
        <w:tab w:val="right" w:pos="8640"/>
      </w:tabs>
    </w:pPr>
  </w:style>
  <w:style w:type="character" w:customStyle="1" w:styleId="FooterChar">
    <w:name w:val="Footer Char"/>
    <w:basedOn w:val="DefaultParagraphFont"/>
    <w:link w:val="Footer"/>
    <w:locked/>
    <w:rsid w:val="00E12248"/>
  </w:style>
  <w:style w:type="character" w:styleId="Hyperlink">
    <w:name w:val="Hyperlink"/>
    <w:basedOn w:val="DefaultParagraphFont"/>
    <w:uiPriority w:val="99"/>
    <w:rsid w:val="009223B1"/>
    <w:rPr>
      <w:color w:val="0000FF"/>
      <w:u w:val="single"/>
    </w:rPr>
  </w:style>
  <w:style w:type="paragraph" w:styleId="BodyTextIndent2">
    <w:name w:val="Body Text Indent 2"/>
    <w:basedOn w:val="Normal"/>
    <w:link w:val="BodyTextIndent2Char"/>
    <w:uiPriority w:val="99"/>
    <w:rsid w:val="009223B1"/>
    <w:pPr>
      <w:ind w:left="2880" w:hanging="2160"/>
    </w:pPr>
  </w:style>
  <w:style w:type="character" w:customStyle="1" w:styleId="BodyTextIndent2Char">
    <w:name w:val="Body Text Indent 2 Char"/>
    <w:basedOn w:val="DefaultParagraphFont"/>
    <w:link w:val="BodyTextIndent2"/>
    <w:uiPriority w:val="99"/>
    <w:semiHidden/>
    <w:locked/>
    <w:rsid w:val="00E02C3D"/>
    <w:rPr>
      <w:sz w:val="20"/>
      <w:szCs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1"/>
    <w:uiPriority w:val="99"/>
    <w:semiHidden/>
    <w:rsid w:val="009223B1"/>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uiPriority w:val="99"/>
    <w:semiHidden/>
    <w:rsid w:val="00E02C3D"/>
    <w:rPr>
      <w:sz w:val="20"/>
      <w:szCs w:val="20"/>
    </w:rPr>
  </w:style>
  <w:style w:type="character" w:styleId="FootnoteReference">
    <w:name w:val="footnote reference"/>
    <w:aliases w:val="o"/>
    <w:basedOn w:val="DefaultParagraphFont"/>
    <w:uiPriority w:val="99"/>
    <w:semiHidden/>
    <w:rsid w:val="009223B1"/>
    <w:rPr>
      <w:vertAlign w:val="superscript"/>
    </w:rPr>
  </w:style>
  <w:style w:type="character" w:styleId="PageNumber">
    <w:name w:val="page number"/>
    <w:basedOn w:val="DefaultParagraphFont"/>
    <w:uiPriority w:val="99"/>
    <w:rsid w:val="009223B1"/>
  </w:style>
  <w:style w:type="paragraph" w:styleId="BodyTextIndent3">
    <w:name w:val="Body Text Indent 3"/>
    <w:basedOn w:val="Normal"/>
    <w:link w:val="BodyTextIndent3Char"/>
    <w:uiPriority w:val="99"/>
    <w:rsid w:val="009223B1"/>
    <w:pPr>
      <w:spacing w:line="480" w:lineRule="auto"/>
      <w:ind w:left="720"/>
    </w:pPr>
    <w:rPr>
      <w:sz w:val="16"/>
      <w:szCs w:val="16"/>
    </w:rPr>
  </w:style>
  <w:style w:type="character" w:customStyle="1" w:styleId="BodyTextIndent3Char">
    <w:name w:val="Body Text Indent 3 Char"/>
    <w:basedOn w:val="DefaultParagraphFont"/>
    <w:link w:val="BodyTextIndent3"/>
    <w:uiPriority w:val="99"/>
    <w:semiHidden/>
    <w:locked/>
    <w:rsid w:val="00E02C3D"/>
    <w:rPr>
      <w:sz w:val="16"/>
      <w:szCs w:val="16"/>
    </w:rPr>
  </w:style>
  <w:style w:type="paragraph" w:styleId="BlockText">
    <w:name w:val="Block Text"/>
    <w:basedOn w:val="Normal"/>
    <w:uiPriority w:val="99"/>
    <w:rsid w:val="009223B1"/>
    <w:pPr>
      <w:ind w:left="1440" w:right="720"/>
    </w:pPr>
    <w:rPr>
      <w:sz w:val="24"/>
      <w:szCs w:val="24"/>
    </w:rPr>
  </w:style>
  <w:style w:type="paragraph" w:styleId="Date">
    <w:name w:val="Date"/>
    <w:basedOn w:val="Normal"/>
    <w:next w:val="Normal"/>
    <w:link w:val="DateChar"/>
    <w:uiPriority w:val="99"/>
    <w:rsid w:val="009223B1"/>
  </w:style>
  <w:style w:type="character" w:customStyle="1" w:styleId="DateChar">
    <w:name w:val="Date Char"/>
    <w:basedOn w:val="DefaultParagraphFont"/>
    <w:link w:val="Date"/>
    <w:uiPriority w:val="99"/>
    <w:semiHidden/>
    <w:locked/>
    <w:rsid w:val="00E02C3D"/>
    <w:rPr>
      <w:sz w:val="20"/>
      <w:szCs w:val="20"/>
    </w:rPr>
  </w:style>
  <w:style w:type="character" w:styleId="CommentReference">
    <w:name w:val="annotation reference"/>
    <w:basedOn w:val="DefaultParagraphFont"/>
    <w:uiPriority w:val="99"/>
    <w:semiHidden/>
    <w:rsid w:val="009223B1"/>
    <w:rPr>
      <w:sz w:val="16"/>
      <w:szCs w:val="16"/>
    </w:rPr>
  </w:style>
  <w:style w:type="paragraph" w:styleId="CommentText">
    <w:name w:val="annotation text"/>
    <w:basedOn w:val="Normal"/>
    <w:link w:val="CommentTextChar"/>
    <w:uiPriority w:val="99"/>
    <w:semiHidden/>
    <w:rsid w:val="009223B1"/>
  </w:style>
  <w:style w:type="character" w:customStyle="1" w:styleId="CommentTextChar">
    <w:name w:val="Comment Text Char"/>
    <w:basedOn w:val="DefaultParagraphFont"/>
    <w:link w:val="CommentText"/>
    <w:uiPriority w:val="99"/>
    <w:semiHidden/>
    <w:locked/>
    <w:rsid w:val="009223B1"/>
  </w:style>
  <w:style w:type="paragraph" w:styleId="CommentSubject">
    <w:name w:val="annotation subject"/>
    <w:basedOn w:val="CommentText"/>
    <w:next w:val="CommentText"/>
    <w:link w:val="CommentSubjectChar"/>
    <w:uiPriority w:val="99"/>
    <w:semiHidden/>
    <w:rsid w:val="009223B1"/>
    <w:rPr>
      <w:b/>
      <w:bCs/>
    </w:rPr>
  </w:style>
  <w:style w:type="character" w:customStyle="1" w:styleId="CommentSubjectChar">
    <w:name w:val="Comment Subject Char"/>
    <w:basedOn w:val="CommentTextChar"/>
    <w:link w:val="CommentSubject"/>
    <w:uiPriority w:val="99"/>
    <w:semiHidden/>
    <w:locked/>
    <w:rsid w:val="009223B1"/>
    <w:rPr>
      <w:b/>
      <w:bCs/>
    </w:rPr>
  </w:style>
  <w:style w:type="paragraph" w:styleId="Header">
    <w:name w:val="header"/>
    <w:basedOn w:val="Normal"/>
    <w:link w:val="HeaderChar"/>
    <w:uiPriority w:val="99"/>
    <w:rsid w:val="009223B1"/>
    <w:pPr>
      <w:tabs>
        <w:tab w:val="center" w:pos="4320"/>
        <w:tab w:val="right" w:pos="8640"/>
      </w:tabs>
    </w:pPr>
  </w:style>
  <w:style w:type="character" w:customStyle="1" w:styleId="HeaderChar">
    <w:name w:val="Header Char"/>
    <w:basedOn w:val="DefaultParagraphFont"/>
    <w:link w:val="Header"/>
    <w:uiPriority w:val="99"/>
    <w:semiHidden/>
    <w:locked/>
    <w:rsid w:val="00E02C3D"/>
    <w:rPr>
      <w:sz w:val="20"/>
      <w:szCs w:val="20"/>
    </w:rPr>
  </w:style>
  <w:style w:type="paragraph" w:styleId="HTMLPreformatted">
    <w:name w:val="HTML Preformatted"/>
    <w:basedOn w:val="Normal"/>
    <w:link w:val="HTMLPreformattedChar"/>
    <w:uiPriority w:val="99"/>
    <w:rsid w:val="00922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02C3D"/>
    <w:rPr>
      <w:rFonts w:ascii="Courier New" w:hAnsi="Courier New" w:cs="Courier New"/>
      <w:sz w:val="20"/>
      <w:szCs w:val="20"/>
    </w:rPr>
  </w:style>
  <w:style w:type="character" w:styleId="EndnoteReference">
    <w:name w:val="endnote reference"/>
    <w:basedOn w:val="DefaultParagraphFont"/>
    <w:uiPriority w:val="99"/>
    <w:semiHidden/>
    <w:rsid w:val="009223B1"/>
    <w:rPr>
      <w:vertAlign w:val="superscript"/>
    </w:rPr>
  </w:style>
  <w:style w:type="table" w:styleId="TableGrid">
    <w:name w:val="Table Grid"/>
    <w:basedOn w:val="TableNormal"/>
    <w:uiPriority w:val="99"/>
    <w:rsid w:val="009223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9223B1"/>
  </w:style>
  <w:style w:type="character" w:customStyle="1" w:styleId="EndnoteTextChar">
    <w:name w:val="Endnote Text Char"/>
    <w:basedOn w:val="DefaultParagraphFont"/>
    <w:link w:val="EndnoteText"/>
    <w:uiPriority w:val="99"/>
    <w:locked/>
    <w:rsid w:val="009223B1"/>
  </w:style>
  <w:style w:type="paragraph" w:customStyle="1" w:styleId="ANSWER">
    <w:name w:val="ANSWER"/>
    <w:basedOn w:val="Normal"/>
    <w:uiPriority w:val="99"/>
    <w:rsid w:val="009223B1"/>
    <w:pPr>
      <w:spacing w:line="480" w:lineRule="auto"/>
      <w:ind w:left="1008" w:hanging="720"/>
    </w:pPr>
    <w:rPr>
      <w:sz w:val="24"/>
      <w:szCs w:val="24"/>
    </w:rPr>
  </w:style>
  <w:style w:type="character" w:customStyle="1" w:styleId="FootnoteTextChar1">
    <w:name w:val="Footnote Text Char1"/>
    <w:aliases w:val="Footnote Text Char4 Char Char1,Footnote Text Char Char4 Char Char1,Footnote Text Char4 Char1 Char Char Char1,Footnote Text Char Char4 Char1 Char Char Char1,Footnote Text Char5 Char1 Char Char Char Char Char Char1"/>
    <w:link w:val="FootnoteText"/>
    <w:uiPriority w:val="99"/>
    <w:semiHidden/>
    <w:locked/>
    <w:rsid w:val="00507E5E"/>
  </w:style>
  <w:style w:type="paragraph" w:customStyle="1" w:styleId="Style1">
    <w:name w:val="Style1"/>
    <w:basedOn w:val="FootnoteText"/>
    <w:uiPriority w:val="99"/>
    <w:rsid w:val="003E37EB"/>
    <w:pPr>
      <w:spacing w:after="120"/>
    </w:pPr>
  </w:style>
  <w:style w:type="paragraph" w:customStyle="1" w:styleId="Default">
    <w:name w:val="Default"/>
    <w:uiPriority w:val="99"/>
    <w:rsid w:val="002527AA"/>
    <w:pPr>
      <w:autoSpaceDE w:val="0"/>
      <w:autoSpaceDN w:val="0"/>
      <w:adjustRightInd w:val="0"/>
    </w:pPr>
    <w:rPr>
      <w:color w:val="000000"/>
      <w:sz w:val="24"/>
      <w:szCs w:val="24"/>
    </w:rPr>
  </w:style>
  <w:style w:type="paragraph" w:styleId="TOC1">
    <w:name w:val="toc 1"/>
    <w:basedOn w:val="Normal"/>
    <w:next w:val="Normal"/>
    <w:autoRedefine/>
    <w:uiPriority w:val="39"/>
    <w:unhideWhenUsed/>
    <w:rsid w:val="002A7C48"/>
    <w:pPr>
      <w:tabs>
        <w:tab w:val="left" w:pos="720"/>
        <w:tab w:val="decimal" w:leader="dot" w:pos="8640"/>
      </w:tabs>
      <w:spacing w:after="120"/>
      <w:ind w:left="720" w:hanging="720"/>
    </w:pPr>
    <w:rPr>
      <w:caps/>
      <w:sz w:val="24"/>
    </w:rPr>
  </w:style>
  <w:style w:type="paragraph" w:styleId="TOC2">
    <w:name w:val="toc 2"/>
    <w:basedOn w:val="Normal"/>
    <w:next w:val="Normal"/>
    <w:autoRedefine/>
    <w:uiPriority w:val="39"/>
    <w:unhideWhenUsed/>
    <w:rsid w:val="002A7C48"/>
    <w:pPr>
      <w:tabs>
        <w:tab w:val="left" w:pos="720"/>
        <w:tab w:val="left" w:pos="1440"/>
        <w:tab w:val="decimal" w:leader="dot" w:pos="8640"/>
      </w:tabs>
      <w:spacing w:after="120"/>
      <w:ind w:left="1440" w:hanging="720"/>
    </w:pPr>
    <w:rPr>
      <w:sz w:val="24"/>
    </w:rPr>
  </w:style>
  <w:style w:type="paragraph" w:styleId="TOC3">
    <w:name w:val="toc 3"/>
    <w:basedOn w:val="Normal"/>
    <w:next w:val="Normal"/>
    <w:autoRedefine/>
    <w:uiPriority w:val="39"/>
    <w:unhideWhenUsed/>
    <w:rsid w:val="002A7C48"/>
    <w:pPr>
      <w:tabs>
        <w:tab w:val="left" w:pos="720"/>
        <w:tab w:val="left" w:pos="1440"/>
        <w:tab w:val="decimal" w:leader="dot" w:pos="8640"/>
      </w:tabs>
      <w:spacing w:after="120"/>
      <w:ind w:left="2160" w:hanging="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52230">
      <w:marLeft w:val="0"/>
      <w:marRight w:val="0"/>
      <w:marTop w:val="0"/>
      <w:marBottom w:val="0"/>
      <w:divBdr>
        <w:top w:val="none" w:sz="0" w:space="0" w:color="auto"/>
        <w:left w:val="none" w:sz="0" w:space="0" w:color="auto"/>
        <w:bottom w:val="none" w:sz="0" w:space="0" w:color="auto"/>
        <w:right w:val="none" w:sz="0" w:space="0" w:color="auto"/>
      </w:divBdr>
      <w:divsChild>
        <w:div w:id="986252231">
          <w:marLeft w:val="0"/>
          <w:marRight w:val="-5040"/>
          <w:marTop w:val="0"/>
          <w:marBottom w:val="0"/>
          <w:divBdr>
            <w:top w:val="none" w:sz="0" w:space="0" w:color="auto"/>
            <w:left w:val="none" w:sz="0" w:space="0" w:color="auto"/>
            <w:bottom w:val="none" w:sz="0" w:space="0" w:color="auto"/>
            <w:right w:val="none" w:sz="0" w:space="0" w:color="auto"/>
          </w:divBdr>
          <w:divsChild>
            <w:div w:id="986252232">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6233</Words>
  <Characters>33404</Characters>
  <Application>Microsoft Office Word</Application>
  <DocSecurity>0</DocSecurity>
  <Lines>744</Lines>
  <Paragraphs>248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39609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2013-04-23T19:50:00Z</cp:lastPrinted>
  <dcterms:created xsi:type="dcterms:W3CDTF">2013-04-23T20:24:00Z</dcterms:created>
  <dcterms:modified xsi:type="dcterms:W3CDTF">2013-04-23T20:24:00Z</dcterms:modified>
  <cp:category> </cp:category>
  <cp:contentStatus> </cp:contentStatus>
</cp:coreProperties>
</file>