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6381" w:rsidRDefault="00F16381">
      <w:pPr>
        <w:pStyle w:val="ANSWER"/>
        <w:spacing w:line="240" w:lineRule="auto"/>
        <w:ind w:left="0" w:firstLine="0"/>
        <w:jc w:val="center"/>
        <w:rPr>
          <w:b/>
          <w:szCs w:val="24"/>
        </w:rPr>
      </w:pPr>
      <w:bookmarkStart w:id="0" w:name="_GoBack"/>
      <w:bookmarkEnd w:id="0"/>
    </w:p>
    <w:p w:rsidR="00F16381" w:rsidRDefault="00F16381">
      <w:pPr>
        <w:pStyle w:val="ANSWER"/>
        <w:spacing w:line="240" w:lineRule="auto"/>
        <w:ind w:left="0" w:firstLine="0"/>
        <w:jc w:val="center"/>
        <w:rPr>
          <w:b/>
          <w:szCs w:val="24"/>
        </w:rPr>
      </w:pPr>
      <w:r>
        <w:rPr>
          <w:b/>
          <w:szCs w:val="24"/>
        </w:rPr>
        <w:t xml:space="preserve">BEFORE </w:t>
      </w:r>
    </w:p>
    <w:p w:rsidR="00F16381" w:rsidRDefault="00F16381">
      <w:pPr>
        <w:pStyle w:val="ANSWER"/>
        <w:spacing w:line="240" w:lineRule="auto"/>
        <w:ind w:left="0" w:firstLine="0"/>
        <w:jc w:val="center"/>
        <w:rPr>
          <w:b/>
          <w:szCs w:val="24"/>
        </w:rPr>
      </w:pPr>
      <w:r>
        <w:rPr>
          <w:b/>
          <w:szCs w:val="24"/>
        </w:rPr>
        <w:t>THE PUBLIC UTILITIES COMMISSION OF OHIO</w:t>
      </w:r>
    </w:p>
    <w:p w:rsidR="00F16381" w:rsidRDefault="00F16381">
      <w:pPr>
        <w:pStyle w:val="PlainText"/>
        <w:jc w:val="center"/>
        <w:rPr>
          <w:rFonts w:ascii="Times New Roman" w:hAnsi="Times New Roman"/>
          <w:b/>
          <w:bCs/>
          <w:sz w:val="24"/>
          <w:szCs w:val="24"/>
        </w:rPr>
      </w:pPr>
    </w:p>
    <w:p w:rsidR="00F16381" w:rsidRDefault="00F16381">
      <w:pPr>
        <w:pStyle w:val="PlainText"/>
        <w:jc w:val="center"/>
        <w:rPr>
          <w:rFonts w:ascii="Times New Roman" w:hAnsi="Times New Roman"/>
          <w:b/>
          <w:bCs/>
          <w:sz w:val="24"/>
          <w:szCs w:val="24"/>
        </w:rPr>
      </w:pPr>
    </w:p>
    <w:p w:rsidR="00F16381" w:rsidRDefault="00F16381">
      <w:pPr>
        <w:pStyle w:val="PlainText"/>
        <w:jc w:val="center"/>
        <w:rPr>
          <w:rFonts w:ascii="Times New Roman" w:hAnsi="Times New Roman"/>
          <w:b/>
          <w:bCs/>
          <w:sz w:val="24"/>
          <w:szCs w:val="24"/>
        </w:rPr>
      </w:pPr>
    </w:p>
    <w:tbl>
      <w:tblPr>
        <w:tblW w:w="0" w:type="auto"/>
        <w:tblLayout w:type="fixed"/>
        <w:tblLook w:val="0000" w:firstRow="0" w:lastRow="0" w:firstColumn="0" w:lastColumn="0" w:noHBand="0" w:noVBand="0"/>
      </w:tblPr>
      <w:tblGrid>
        <w:gridCol w:w="4428"/>
        <w:gridCol w:w="450"/>
        <w:gridCol w:w="3978"/>
      </w:tblGrid>
      <w:tr w:rsidR="00F16381">
        <w:tc>
          <w:tcPr>
            <w:tcW w:w="4428" w:type="dxa"/>
            <w:shd w:val="clear" w:color="auto" w:fill="auto"/>
          </w:tcPr>
          <w:p w:rsidR="00E706FD" w:rsidRDefault="00E706FD">
            <w:pPr>
              <w:autoSpaceDE w:val="0"/>
              <w:snapToGrid w:val="0"/>
              <w:ind w:right="-108"/>
              <w:rPr>
                <w:sz w:val="24"/>
                <w:szCs w:val="24"/>
              </w:rPr>
            </w:pPr>
          </w:p>
          <w:p w:rsidR="00F16381" w:rsidRDefault="00E706FD">
            <w:pPr>
              <w:autoSpaceDE w:val="0"/>
              <w:snapToGrid w:val="0"/>
              <w:ind w:right="-108"/>
              <w:rPr>
                <w:sz w:val="24"/>
                <w:szCs w:val="24"/>
              </w:rPr>
            </w:pPr>
            <w:r>
              <w:rPr>
                <w:sz w:val="24"/>
                <w:szCs w:val="24"/>
              </w:rPr>
              <w:t xml:space="preserve">In the Matter of the Regulation of the Purchased Gas Adjustment Clauses Contained With In the Rate Schedules of Brainard Gas </w:t>
            </w:r>
            <w:r w:rsidR="000A780F">
              <w:rPr>
                <w:sz w:val="24"/>
                <w:szCs w:val="24"/>
              </w:rPr>
              <w:t>Corporation</w:t>
            </w:r>
            <w:r w:rsidR="003A143E">
              <w:rPr>
                <w:sz w:val="24"/>
                <w:szCs w:val="24"/>
              </w:rPr>
              <w:t>, Northeast Ohio Natural Gas Corporation, and Orwell Natural Gas Company and Related Matters</w:t>
            </w:r>
            <w:r w:rsidR="005A2329">
              <w:rPr>
                <w:sz w:val="24"/>
                <w:szCs w:val="24"/>
              </w:rPr>
              <w:t>.</w:t>
            </w:r>
          </w:p>
          <w:p w:rsidR="00E706FD" w:rsidRDefault="00E706FD">
            <w:pPr>
              <w:autoSpaceDE w:val="0"/>
              <w:snapToGrid w:val="0"/>
              <w:ind w:right="-108"/>
              <w:rPr>
                <w:sz w:val="24"/>
                <w:szCs w:val="24"/>
              </w:rPr>
            </w:pPr>
          </w:p>
          <w:p w:rsidR="00F16381" w:rsidRDefault="00F16381">
            <w:pPr>
              <w:autoSpaceDE w:val="0"/>
              <w:ind w:right="-108"/>
              <w:rPr>
                <w:sz w:val="24"/>
                <w:szCs w:val="24"/>
              </w:rPr>
            </w:pPr>
            <w:r>
              <w:rPr>
                <w:sz w:val="24"/>
                <w:szCs w:val="24"/>
              </w:rPr>
              <w:t xml:space="preserve">In the Matter of the </w:t>
            </w:r>
            <w:r w:rsidR="003A143E">
              <w:rPr>
                <w:sz w:val="24"/>
                <w:szCs w:val="24"/>
              </w:rPr>
              <w:t>Uncollectible Expense Riders of Northeast Ohio Natural Gas Corporation and Orwell Natural Gas Company.</w:t>
            </w:r>
          </w:p>
          <w:p w:rsidR="00F16381" w:rsidRDefault="00F16381">
            <w:pPr>
              <w:autoSpaceDE w:val="0"/>
              <w:ind w:right="-108"/>
              <w:rPr>
                <w:sz w:val="24"/>
                <w:szCs w:val="24"/>
              </w:rPr>
            </w:pPr>
          </w:p>
          <w:p w:rsidR="00F16381" w:rsidRDefault="00F16381" w:rsidP="00326790">
            <w:pPr>
              <w:autoSpaceDE w:val="0"/>
              <w:snapToGrid w:val="0"/>
              <w:rPr>
                <w:sz w:val="24"/>
                <w:szCs w:val="24"/>
              </w:rPr>
            </w:pPr>
            <w:r>
              <w:rPr>
                <w:sz w:val="24"/>
                <w:szCs w:val="24"/>
              </w:rPr>
              <w:t xml:space="preserve">In the Matter of the </w:t>
            </w:r>
            <w:r w:rsidR="00326790">
              <w:rPr>
                <w:sz w:val="24"/>
                <w:szCs w:val="24"/>
              </w:rPr>
              <w:t>Percentage of Income Payment Plan Rider of Northeast Ohio Natural Gas Corporation</w:t>
            </w:r>
          </w:p>
          <w:p w:rsidR="00F16381" w:rsidRDefault="00F16381">
            <w:pPr>
              <w:autoSpaceDE w:val="0"/>
              <w:ind w:right="-108"/>
              <w:rPr>
                <w:sz w:val="24"/>
                <w:szCs w:val="24"/>
              </w:rPr>
            </w:pPr>
          </w:p>
        </w:tc>
        <w:tc>
          <w:tcPr>
            <w:tcW w:w="450" w:type="dxa"/>
            <w:shd w:val="clear" w:color="auto" w:fill="auto"/>
          </w:tcPr>
          <w:p w:rsidR="00FC0A1A" w:rsidRDefault="00FC0A1A">
            <w:pPr>
              <w:tabs>
                <w:tab w:val="left" w:pos="4320"/>
              </w:tabs>
              <w:snapToGrid w:val="0"/>
              <w:ind w:left="-18" w:hanging="18"/>
              <w:rPr>
                <w:sz w:val="24"/>
                <w:szCs w:val="24"/>
              </w:rPr>
            </w:pPr>
          </w:p>
          <w:p w:rsidR="00F16381" w:rsidRDefault="00F16381">
            <w:pPr>
              <w:tabs>
                <w:tab w:val="left" w:pos="4320"/>
              </w:tabs>
              <w:snapToGrid w:val="0"/>
              <w:ind w:left="-18" w:hanging="18"/>
              <w:rPr>
                <w:sz w:val="24"/>
                <w:szCs w:val="24"/>
              </w:rPr>
            </w:pPr>
            <w:r>
              <w:rPr>
                <w:sz w:val="24"/>
                <w:szCs w:val="24"/>
              </w:rPr>
              <w:t>)</w:t>
            </w:r>
          </w:p>
          <w:p w:rsidR="00F16381" w:rsidRDefault="00F16381">
            <w:pPr>
              <w:tabs>
                <w:tab w:val="left" w:pos="4320"/>
              </w:tabs>
              <w:ind w:left="-18" w:hanging="18"/>
              <w:rPr>
                <w:sz w:val="24"/>
                <w:szCs w:val="24"/>
              </w:rPr>
            </w:pPr>
            <w:r>
              <w:rPr>
                <w:sz w:val="24"/>
                <w:szCs w:val="24"/>
              </w:rPr>
              <w:t>)</w:t>
            </w:r>
          </w:p>
          <w:p w:rsidR="00F16381" w:rsidRDefault="00F16381">
            <w:pPr>
              <w:tabs>
                <w:tab w:val="left" w:pos="4320"/>
              </w:tabs>
              <w:ind w:left="-18" w:hanging="18"/>
              <w:rPr>
                <w:sz w:val="24"/>
                <w:szCs w:val="24"/>
              </w:rPr>
            </w:pPr>
            <w:r>
              <w:rPr>
                <w:sz w:val="24"/>
                <w:szCs w:val="24"/>
              </w:rPr>
              <w:t>)</w:t>
            </w:r>
          </w:p>
          <w:p w:rsidR="00F16381" w:rsidRDefault="00F16381">
            <w:pPr>
              <w:tabs>
                <w:tab w:val="left" w:pos="4320"/>
              </w:tabs>
              <w:ind w:left="-18" w:hanging="18"/>
              <w:rPr>
                <w:sz w:val="24"/>
                <w:szCs w:val="24"/>
              </w:rPr>
            </w:pPr>
            <w:r>
              <w:rPr>
                <w:sz w:val="24"/>
                <w:szCs w:val="24"/>
              </w:rPr>
              <w:t>)</w:t>
            </w:r>
          </w:p>
          <w:p w:rsidR="00F16381" w:rsidRDefault="003A143E">
            <w:pPr>
              <w:tabs>
                <w:tab w:val="left" w:pos="4320"/>
              </w:tabs>
              <w:ind w:left="-18" w:hanging="18"/>
              <w:rPr>
                <w:sz w:val="24"/>
                <w:szCs w:val="24"/>
              </w:rPr>
            </w:pPr>
            <w:r>
              <w:rPr>
                <w:sz w:val="24"/>
                <w:szCs w:val="24"/>
              </w:rPr>
              <w:t>)</w:t>
            </w:r>
          </w:p>
          <w:p w:rsidR="00F16381" w:rsidRDefault="00F16381">
            <w:pPr>
              <w:tabs>
                <w:tab w:val="left" w:pos="4320"/>
              </w:tabs>
              <w:ind w:left="-18" w:hanging="18"/>
              <w:rPr>
                <w:sz w:val="24"/>
                <w:szCs w:val="24"/>
              </w:rPr>
            </w:pPr>
            <w:r>
              <w:rPr>
                <w:sz w:val="24"/>
                <w:szCs w:val="24"/>
              </w:rPr>
              <w:t>)</w:t>
            </w:r>
          </w:p>
          <w:p w:rsidR="003A143E" w:rsidRDefault="003A143E">
            <w:pPr>
              <w:tabs>
                <w:tab w:val="left" w:pos="4320"/>
              </w:tabs>
              <w:ind w:left="-18" w:hanging="18"/>
              <w:rPr>
                <w:sz w:val="24"/>
                <w:szCs w:val="24"/>
              </w:rPr>
            </w:pPr>
          </w:p>
          <w:p w:rsidR="00F16381" w:rsidRDefault="00F16381">
            <w:pPr>
              <w:tabs>
                <w:tab w:val="left" w:pos="4320"/>
              </w:tabs>
              <w:ind w:left="-18" w:hanging="18"/>
              <w:rPr>
                <w:sz w:val="24"/>
                <w:szCs w:val="24"/>
              </w:rPr>
            </w:pPr>
            <w:r>
              <w:rPr>
                <w:sz w:val="24"/>
                <w:szCs w:val="24"/>
              </w:rPr>
              <w:t>)</w:t>
            </w:r>
          </w:p>
          <w:p w:rsidR="00F16381" w:rsidRDefault="00F16381">
            <w:pPr>
              <w:tabs>
                <w:tab w:val="left" w:pos="4320"/>
              </w:tabs>
              <w:ind w:left="-18" w:hanging="18"/>
              <w:rPr>
                <w:sz w:val="24"/>
                <w:szCs w:val="24"/>
              </w:rPr>
            </w:pPr>
            <w:r>
              <w:rPr>
                <w:sz w:val="24"/>
                <w:szCs w:val="24"/>
              </w:rPr>
              <w:t>)</w:t>
            </w:r>
          </w:p>
          <w:p w:rsidR="00E706FD" w:rsidRDefault="003A143E" w:rsidP="00E706FD">
            <w:pPr>
              <w:tabs>
                <w:tab w:val="left" w:pos="4320"/>
              </w:tabs>
              <w:ind w:left="-18" w:hanging="18"/>
              <w:rPr>
                <w:sz w:val="24"/>
                <w:szCs w:val="24"/>
              </w:rPr>
            </w:pPr>
            <w:r>
              <w:rPr>
                <w:sz w:val="24"/>
                <w:szCs w:val="24"/>
              </w:rPr>
              <w:t>)</w:t>
            </w:r>
          </w:p>
          <w:p w:rsidR="00E706FD" w:rsidRDefault="00E706FD" w:rsidP="00E706FD">
            <w:pPr>
              <w:tabs>
                <w:tab w:val="left" w:pos="4320"/>
              </w:tabs>
              <w:ind w:left="-18" w:hanging="18"/>
              <w:rPr>
                <w:sz w:val="24"/>
                <w:szCs w:val="24"/>
              </w:rPr>
            </w:pPr>
            <w:r>
              <w:rPr>
                <w:sz w:val="24"/>
                <w:szCs w:val="24"/>
              </w:rPr>
              <w:t>)</w:t>
            </w:r>
          </w:p>
          <w:p w:rsidR="003A143E" w:rsidRDefault="003A143E" w:rsidP="00E706FD">
            <w:pPr>
              <w:tabs>
                <w:tab w:val="left" w:pos="4320"/>
              </w:tabs>
              <w:ind w:left="-18" w:hanging="18"/>
              <w:rPr>
                <w:sz w:val="24"/>
                <w:szCs w:val="24"/>
              </w:rPr>
            </w:pPr>
          </w:p>
          <w:p w:rsidR="00E706FD" w:rsidRDefault="00E706FD" w:rsidP="00E706FD">
            <w:pPr>
              <w:tabs>
                <w:tab w:val="left" w:pos="4320"/>
              </w:tabs>
              <w:ind w:left="-18" w:hanging="18"/>
              <w:rPr>
                <w:sz w:val="24"/>
                <w:szCs w:val="24"/>
              </w:rPr>
            </w:pPr>
            <w:r>
              <w:rPr>
                <w:sz w:val="24"/>
                <w:szCs w:val="24"/>
              </w:rPr>
              <w:t>)</w:t>
            </w:r>
          </w:p>
          <w:p w:rsidR="00E706FD" w:rsidRDefault="00E706FD" w:rsidP="00E706FD">
            <w:pPr>
              <w:tabs>
                <w:tab w:val="left" w:pos="4320"/>
              </w:tabs>
              <w:ind w:left="-18" w:hanging="18"/>
              <w:rPr>
                <w:sz w:val="24"/>
                <w:szCs w:val="24"/>
              </w:rPr>
            </w:pPr>
            <w:r>
              <w:rPr>
                <w:sz w:val="24"/>
                <w:szCs w:val="24"/>
              </w:rPr>
              <w:t>)</w:t>
            </w:r>
          </w:p>
          <w:p w:rsidR="00E706FD" w:rsidRDefault="00E706FD" w:rsidP="00E706FD">
            <w:pPr>
              <w:tabs>
                <w:tab w:val="left" w:pos="4320"/>
              </w:tabs>
              <w:ind w:left="-18" w:hanging="18"/>
              <w:rPr>
                <w:sz w:val="24"/>
                <w:szCs w:val="24"/>
              </w:rPr>
            </w:pPr>
            <w:r>
              <w:rPr>
                <w:sz w:val="24"/>
                <w:szCs w:val="24"/>
              </w:rPr>
              <w:t>)</w:t>
            </w:r>
          </w:p>
          <w:p w:rsidR="00F16381" w:rsidRDefault="00F16381">
            <w:pPr>
              <w:tabs>
                <w:tab w:val="left" w:pos="4320"/>
              </w:tabs>
              <w:ind w:left="-18" w:hanging="18"/>
              <w:rPr>
                <w:sz w:val="24"/>
                <w:szCs w:val="24"/>
              </w:rPr>
            </w:pPr>
          </w:p>
        </w:tc>
        <w:tc>
          <w:tcPr>
            <w:tcW w:w="3978" w:type="dxa"/>
            <w:shd w:val="clear" w:color="auto" w:fill="auto"/>
          </w:tcPr>
          <w:p w:rsidR="00F16381" w:rsidRDefault="00F16381" w:rsidP="00FC0A1A">
            <w:pPr>
              <w:pStyle w:val="Heading1"/>
            </w:pPr>
          </w:p>
          <w:p w:rsidR="00F16381" w:rsidRDefault="00F16381">
            <w:pPr>
              <w:rPr>
                <w:sz w:val="24"/>
                <w:szCs w:val="24"/>
              </w:rPr>
            </w:pPr>
            <w:r>
              <w:rPr>
                <w:sz w:val="24"/>
                <w:szCs w:val="24"/>
              </w:rPr>
              <w:t>Case No. 1</w:t>
            </w:r>
            <w:r w:rsidR="00E706FD">
              <w:rPr>
                <w:sz w:val="24"/>
                <w:szCs w:val="24"/>
              </w:rPr>
              <w:t>4</w:t>
            </w:r>
            <w:r>
              <w:rPr>
                <w:sz w:val="24"/>
                <w:szCs w:val="24"/>
              </w:rPr>
              <w:t>-20</w:t>
            </w:r>
            <w:r w:rsidR="00E706FD">
              <w:rPr>
                <w:sz w:val="24"/>
                <w:szCs w:val="24"/>
              </w:rPr>
              <w:t>6</w:t>
            </w:r>
            <w:r>
              <w:rPr>
                <w:sz w:val="24"/>
                <w:szCs w:val="24"/>
              </w:rPr>
              <w:t>-GA-GCR</w:t>
            </w:r>
          </w:p>
          <w:p w:rsidR="00F16381" w:rsidRDefault="003A143E">
            <w:pPr>
              <w:rPr>
                <w:sz w:val="24"/>
                <w:szCs w:val="24"/>
              </w:rPr>
            </w:pPr>
            <w:r>
              <w:rPr>
                <w:sz w:val="24"/>
                <w:szCs w:val="24"/>
              </w:rPr>
              <w:t>Case No. 14-209-GA-GCR</w:t>
            </w:r>
          </w:p>
          <w:p w:rsidR="00E706FD" w:rsidRDefault="003A143E">
            <w:pPr>
              <w:rPr>
                <w:sz w:val="24"/>
                <w:szCs w:val="24"/>
              </w:rPr>
            </w:pPr>
            <w:r>
              <w:rPr>
                <w:sz w:val="24"/>
                <w:szCs w:val="24"/>
              </w:rPr>
              <w:t>Case No. 14-212-GA-GCR</w:t>
            </w:r>
          </w:p>
          <w:p w:rsidR="00F16381" w:rsidRDefault="00F16381">
            <w:pPr>
              <w:rPr>
                <w:sz w:val="24"/>
                <w:szCs w:val="24"/>
              </w:rPr>
            </w:pPr>
          </w:p>
          <w:p w:rsidR="00E706FD" w:rsidRDefault="00E706FD" w:rsidP="00E706FD">
            <w:pPr>
              <w:rPr>
                <w:sz w:val="24"/>
                <w:szCs w:val="24"/>
              </w:rPr>
            </w:pPr>
          </w:p>
          <w:p w:rsidR="00326790" w:rsidRDefault="00326790" w:rsidP="00E706FD">
            <w:pPr>
              <w:rPr>
                <w:sz w:val="24"/>
                <w:szCs w:val="24"/>
              </w:rPr>
            </w:pPr>
          </w:p>
          <w:p w:rsidR="003A143E" w:rsidRDefault="003A143E" w:rsidP="00E706FD">
            <w:pPr>
              <w:rPr>
                <w:sz w:val="24"/>
                <w:szCs w:val="24"/>
              </w:rPr>
            </w:pPr>
          </w:p>
          <w:p w:rsidR="00E706FD" w:rsidRDefault="00E706FD" w:rsidP="00E706FD">
            <w:pPr>
              <w:rPr>
                <w:sz w:val="24"/>
                <w:szCs w:val="24"/>
              </w:rPr>
            </w:pPr>
            <w:r>
              <w:rPr>
                <w:sz w:val="24"/>
                <w:szCs w:val="24"/>
              </w:rPr>
              <w:t>Case No. 14-</w:t>
            </w:r>
            <w:r w:rsidR="003A143E">
              <w:rPr>
                <w:sz w:val="24"/>
                <w:szCs w:val="24"/>
              </w:rPr>
              <w:t>3</w:t>
            </w:r>
            <w:r>
              <w:rPr>
                <w:sz w:val="24"/>
                <w:szCs w:val="24"/>
              </w:rPr>
              <w:t>09-GA-</w:t>
            </w:r>
            <w:r w:rsidR="003A143E">
              <w:rPr>
                <w:sz w:val="24"/>
                <w:szCs w:val="24"/>
              </w:rPr>
              <w:t>UEX</w:t>
            </w:r>
          </w:p>
          <w:p w:rsidR="00E706FD" w:rsidRDefault="003A143E" w:rsidP="00E706FD">
            <w:pPr>
              <w:rPr>
                <w:sz w:val="24"/>
                <w:szCs w:val="24"/>
              </w:rPr>
            </w:pPr>
            <w:r>
              <w:rPr>
                <w:sz w:val="24"/>
                <w:szCs w:val="24"/>
              </w:rPr>
              <w:t>Case No. 14-312-GA-UEX</w:t>
            </w:r>
          </w:p>
          <w:p w:rsidR="00F16381" w:rsidRDefault="00F16381">
            <w:pPr>
              <w:rPr>
                <w:sz w:val="24"/>
                <w:szCs w:val="24"/>
              </w:rPr>
            </w:pPr>
          </w:p>
          <w:p w:rsidR="00F16381" w:rsidRDefault="00F16381">
            <w:pPr>
              <w:rPr>
                <w:sz w:val="24"/>
                <w:szCs w:val="24"/>
              </w:rPr>
            </w:pPr>
          </w:p>
          <w:p w:rsidR="00E706FD" w:rsidRDefault="00E706FD">
            <w:pPr>
              <w:rPr>
                <w:bCs/>
                <w:sz w:val="24"/>
                <w:szCs w:val="24"/>
              </w:rPr>
            </w:pPr>
          </w:p>
          <w:p w:rsidR="00F16381" w:rsidRDefault="00F16381">
            <w:pPr>
              <w:rPr>
                <w:sz w:val="24"/>
                <w:szCs w:val="24"/>
              </w:rPr>
            </w:pPr>
            <w:r>
              <w:rPr>
                <w:bCs/>
                <w:sz w:val="24"/>
                <w:szCs w:val="24"/>
              </w:rPr>
              <w:t xml:space="preserve">Case No. </w:t>
            </w:r>
            <w:r>
              <w:rPr>
                <w:sz w:val="24"/>
                <w:szCs w:val="24"/>
              </w:rPr>
              <w:t>1</w:t>
            </w:r>
            <w:r w:rsidR="00E706FD">
              <w:rPr>
                <w:sz w:val="24"/>
                <w:szCs w:val="24"/>
              </w:rPr>
              <w:t>4</w:t>
            </w:r>
            <w:r>
              <w:rPr>
                <w:sz w:val="24"/>
                <w:szCs w:val="24"/>
              </w:rPr>
              <w:t>-</w:t>
            </w:r>
            <w:r w:rsidR="00D4412B">
              <w:rPr>
                <w:sz w:val="24"/>
                <w:szCs w:val="24"/>
              </w:rPr>
              <w:t>409</w:t>
            </w:r>
            <w:r>
              <w:rPr>
                <w:b/>
                <w:sz w:val="24"/>
                <w:szCs w:val="24"/>
              </w:rPr>
              <w:t>-</w:t>
            </w:r>
            <w:r w:rsidR="00D4412B">
              <w:rPr>
                <w:sz w:val="24"/>
                <w:szCs w:val="24"/>
              </w:rPr>
              <w:t>GA-PIP</w:t>
            </w:r>
          </w:p>
          <w:p w:rsidR="00F16381" w:rsidRDefault="00F16381">
            <w:pPr>
              <w:rPr>
                <w:sz w:val="24"/>
                <w:szCs w:val="24"/>
              </w:rPr>
            </w:pPr>
          </w:p>
        </w:tc>
      </w:tr>
    </w:tbl>
    <w:p w:rsidR="00F16381" w:rsidRDefault="00F16381">
      <w:pPr>
        <w:pStyle w:val="PlainText"/>
        <w:jc w:val="center"/>
        <w:rPr>
          <w:rFonts w:ascii="Times New Roman" w:hAnsi="Times New Roman"/>
          <w:b/>
          <w:bCs/>
          <w:sz w:val="24"/>
          <w:szCs w:val="24"/>
        </w:rPr>
      </w:pPr>
    </w:p>
    <w:p w:rsidR="00F16381" w:rsidRDefault="00F16381">
      <w:pPr>
        <w:pStyle w:val="PlainText"/>
        <w:jc w:val="center"/>
        <w:rPr>
          <w:rFonts w:ascii="Times New Roman" w:hAnsi="Times New Roman"/>
          <w:b/>
          <w:bCs/>
          <w:sz w:val="24"/>
          <w:szCs w:val="24"/>
        </w:rPr>
      </w:pPr>
    </w:p>
    <w:p w:rsidR="00F16381" w:rsidRDefault="00F16381">
      <w:pPr>
        <w:pStyle w:val="PlainText"/>
        <w:jc w:val="center"/>
        <w:rPr>
          <w:rFonts w:ascii="Times New Roman" w:hAnsi="Times New Roman"/>
          <w:b/>
          <w:bCs/>
          <w:sz w:val="24"/>
          <w:szCs w:val="24"/>
        </w:rPr>
      </w:pPr>
    </w:p>
    <w:p w:rsidR="00F16381" w:rsidRDefault="00F16381">
      <w:pPr>
        <w:pStyle w:val="PlainText"/>
        <w:jc w:val="center"/>
        <w:rPr>
          <w:rFonts w:ascii="Times New Roman" w:hAnsi="Times New Roman"/>
          <w:b/>
          <w:bCs/>
          <w:sz w:val="24"/>
          <w:szCs w:val="24"/>
        </w:rPr>
      </w:pPr>
      <w:r>
        <w:rPr>
          <w:rFonts w:ascii="Times New Roman" w:hAnsi="Times New Roman"/>
          <w:b/>
          <w:bCs/>
          <w:sz w:val="24"/>
          <w:szCs w:val="24"/>
        </w:rPr>
        <w:t>DIRECT TESTIMONY</w:t>
      </w:r>
    </w:p>
    <w:p w:rsidR="00F16381" w:rsidRDefault="00F16381">
      <w:pPr>
        <w:pStyle w:val="PlainText"/>
        <w:jc w:val="center"/>
        <w:rPr>
          <w:rFonts w:ascii="Times New Roman" w:hAnsi="Times New Roman"/>
          <w:b/>
          <w:bCs/>
          <w:sz w:val="24"/>
          <w:szCs w:val="24"/>
        </w:rPr>
      </w:pPr>
      <w:r>
        <w:rPr>
          <w:rFonts w:ascii="Times New Roman" w:hAnsi="Times New Roman"/>
          <w:b/>
          <w:bCs/>
          <w:sz w:val="24"/>
          <w:szCs w:val="24"/>
        </w:rPr>
        <w:t>OF</w:t>
      </w:r>
    </w:p>
    <w:p w:rsidR="00F16381" w:rsidRDefault="00F16381">
      <w:pPr>
        <w:pStyle w:val="List2"/>
        <w:ind w:left="540" w:hanging="540"/>
        <w:jc w:val="center"/>
        <w:rPr>
          <w:b/>
          <w:bCs/>
          <w:szCs w:val="24"/>
        </w:rPr>
      </w:pPr>
      <w:r>
        <w:rPr>
          <w:b/>
          <w:bCs/>
          <w:szCs w:val="24"/>
        </w:rPr>
        <w:t>GREGORY SLONE</w:t>
      </w:r>
    </w:p>
    <w:p w:rsidR="00F16381" w:rsidRDefault="00F16381">
      <w:pPr>
        <w:pStyle w:val="List2"/>
        <w:ind w:left="540" w:hanging="540"/>
        <w:jc w:val="center"/>
        <w:rPr>
          <w:szCs w:val="24"/>
        </w:rPr>
      </w:pPr>
    </w:p>
    <w:p w:rsidR="00F16381" w:rsidRDefault="00F16381">
      <w:pPr>
        <w:pStyle w:val="List2"/>
        <w:ind w:left="540" w:hanging="540"/>
        <w:jc w:val="center"/>
        <w:rPr>
          <w:szCs w:val="24"/>
        </w:rPr>
      </w:pPr>
    </w:p>
    <w:p w:rsidR="00F16381" w:rsidRDefault="00F16381">
      <w:pPr>
        <w:pStyle w:val="List2"/>
        <w:ind w:left="540" w:hanging="540"/>
        <w:jc w:val="center"/>
        <w:rPr>
          <w:szCs w:val="24"/>
        </w:rPr>
      </w:pPr>
    </w:p>
    <w:p w:rsidR="00F16381" w:rsidRDefault="00F16381">
      <w:pPr>
        <w:pStyle w:val="List2"/>
        <w:ind w:left="540" w:hanging="540"/>
        <w:jc w:val="center"/>
        <w:rPr>
          <w:szCs w:val="24"/>
        </w:rPr>
      </w:pPr>
    </w:p>
    <w:p w:rsidR="00F16381" w:rsidRDefault="00F16381">
      <w:pPr>
        <w:pStyle w:val="List2"/>
        <w:ind w:left="540" w:hanging="540"/>
        <w:jc w:val="center"/>
        <w:rPr>
          <w:b/>
          <w:bCs/>
          <w:iCs/>
          <w:szCs w:val="24"/>
        </w:rPr>
      </w:pPr>
      <w:r>
        <w:rPr>
          <w:b/>
          <w:bCs/>
          <w:iCs/>
          <w:szCs w:val="24"/>
        </w:rPr>
        <w:t>On Behalf of</w:t>
      </w:r>
    </w:p>
    <w:p w:rsidR="00F16381" w:rsidRDefault="00F16381">
      <w:pPr>
        <w:pStyle w:val="List2"/>
        <w:ind w:left="540" w:hanging="540"/>
        <w:jc w:val="center"/>
        <w:rPr>
          <w:b/>
          <w:bCs/>
          <w:iCs/>
          <w:szCs w:val="24"/>
        </w:rPr>
      </w:pPr>
      <w:r>
        <w:rPr>
          <w:b/>
          <w:bCs/>
          <w:iCs/>
          <w:szCs w:val="24"/>
        </w:rPr>
        <w:t>The Office of the Ohio Consumers' Counsel</w:t>
      </w:r>
    </w:p>
    <w:p w:rsidR="00F16381" w:rsidRDefault="00F16381">
      <w:pPr>
        <w:pStyle w:val="List2"/>
        <w:ind w:left="540" w:hanging="540"/>
        <w:jc w:val="center"/>
        <w:rPr>
          <w:bCs/>
          <w:i/>
          <w:iCs/>
          <w:szCs w:val="24"/>
        </w:rPr>
      </w:pPr>
      <w:r>
        <w:rPr>
          <w:bCs/>
          <w:i/>
          <w:iCs/>
          <w:szCs w:val="24"/>
        </w:rPr>
        <w:t>10 West Broad Street, Suite 1800</w:t>
      </w:r>
    </w:p>
    <w:p w:rsidR="00F16381" w:rsidRDefault="00F16381">
      <w:pPr>
        <w:pStyle w:val="List2"/>
        <w:ind w:left="540" w:hanging="540"/>
        <w:jc w:val="center"/>
        <w:rPr>
          <w:bCs/>
          <w:i/>
          <w:iCs/>
          <w:szCs w:val="24"/>
        </w:rPr>
      </w:pPr>
      <w:r>
        <w:rPr>
          <w:bCs/>
          <w:i/>
          <w:iCs/>
          <w:szCs w:val="24"/>
        </w:rPr>
        <w:t>Columbus, Ohio 43215-3485</w:t>
      </w:r>
    </w:p>
    <w:p w:rsidR="00F16381" w:rsidRDefault="00F16381">
      <w:pPr>
        <w:rPr>
          <w:sz w:val="24"/>
          <w:szCs w:val="24"/>
        </w:rPr>
      </w:pPr>
    </w:p>
    <w:p w:rsidR="00F16381" w:rsidRDefault="00F16381">
      <w:pPr>
        <w:rPr>
          <w:sz w:val="24"/>
          <w:szCs w:val="24"/>
        </w:rPr>
      </w:pPr>
    </w:p>
    <w:p w:rsidR="00F16381" w:rsidRDefault="00F16381">
      <w:pPr>
        <w:rPr>
          <w:sz w:val="24"/>
          <w:szCs w:val="24"/>
        </w:rPr>
      </w:pPr>
    </w:p>
    <w:p w:rsidR="00F16381" w:rsidRDefault="00F16381">
      <w:pPr>
        <w:rPr>
          <w:sz w:val="24"/>
          <w:szCs w:val="24"/>
        </w:rPr>
      </w:pPr>
    </w:p>
    <w:p w:rsidR="00326790" w:rsidRDefault="00FD5B1A">
      <w:pPr>
        <w:jc w:val="center"/>
        <w:rPr>
          <w:b/>
          <w:i/>
          <w:sz w:val="24"/>
          <w:szCs w:val="24"/>
        </w:rPr>
        <w:sectPr w:rsidR="00326790" w:rsidSect="0032679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fmt="lowerRoman" w:start="1"/>
          <w:cols w:space="720"/>
          <w:titlePg/>
          <w:docGrid w:linePitch="360"/>
        </w:sectPr>
      </w:pPr>
      <w:r>
        <w:rPr>
          <w:b/>
          <w:i/>
          <w:sz w:val="24"/>
          <w:szCs w:val="24"/>
        </w:rPr>
        <w:t>July 21</w:t>
      </w:r>
      <w:r w:rsidR="00C524A3">
        <w:rPr>
          <w:b/>
          <w:i/>
          <w:sz w:val="24"/>
          <w:szCs w:val="24"/>
        </w:rPr>
        <w:t>, 201</w:t>
      </w:r>
      <w:r w:rsidR="00E706FD">
        <w:rPr>
          <w:b/>
          <w:i/>
          <w:sz w:val="24"/>
          <w:szCs w:val="24"/>
        </w:rPr>
        <w:t>5</w:t>
      </w:r>
    </w:p>
    <w:p w:rsidR="00F16381" w:rsidRDefault="00F16381">
      <w:pPr>
        <w:ind w:left="360" w:hanging="360"/>
        <w:jc w:val="center"/>
        <w:rPr>
          <w:b/>
          <w:sz w:val="24"/>
          <w:szCs w:val="24"/>
          <w:u w:val="single"/>
        </w:rPr>
      </w:pPr>
      <w:r>
        <w:rPr>
          <w:b/>
          <w:sz w:val="24"/>
          <w:szCs w:val="24"/>
          <w:u w:val="single"/>
        </w:rPr>
        <w:lastRenderedPageBreak/>
        <w:t>TABLE OF CONTENTS</w:t>
      </w:r>
    </w:p>
    <w:p w:rsidR="00F16381" w:rsidRDefault="00F16381" w:rsidP="00FC0A1A">
      <w:pPr>
        <w:tabs>
          <w:tab w:val="decimal" w:pos="8640"/>
        </w:tabs>
        <w:ind w:right="-720"/>
        <w:rPr>
          <w:b/>
          <w:sz w:val="24"/>
          <w:szCs w:val="24"/>
          <w:u w:val="single"/>
        </w:rPr>
      </w:pPr>
      <w:r>
        <w:rPr>
          <w:sz w:val="24"/>
          <w:szCs w:val="24"/>
        </w:rPr>
        <w:tab/>
      </w:r>
      <w:r>
        <w:rPr>
          <w:b/>
          <w:sz w:val="24"/>
          <w:szCs w:val="24"/>
          <w:u w:val="single"/>
        </w:rPr>
        <w:t>PAGE</w:t>
      </w:r>
    </w:p>
    <w:p w:rsidR="00FC0A1A" w:rsidRDefault="00FC0A1A" w:rsidP="00FC0A1A">
      <w:pPr>
        <w:tabs>
          <w:tab w:val="decimal" w:pos="8640"/>
        </w:tabs>
        <w:ind w:right="-720"/>
        <w:rPr>
          <w:b/>
          <w:sz w:val="24"/>
          <w:szCs w:val="24"/>
          <w:u w:val="single"/>
        </w:rPr>
      </w:pPr>
    </w:p>
    <w:p w:rsidR="007D55B2" w:rsidRDefault="00507CC0">
      <w:pPr>
        <w:pStyle w:val="TOC1"/>
        <w:tabs>
          <w:tab w:val="right" w:leader="dot" w:pos="8630"/>
        </w:tabs>
        <w:rPr>
          <w:rFonts w:asciiTheme="minorHAnsi" w:eastAsiaTheme="minorEastAsia" w:hAnsiTheme="minorHAnsi" w:cstheme="minorBidi"/>
          <w:noProof/>
          <w:sz w:val="22"/>
          <w:szCs w:val="22"/>
          <w:lang w:eastAsia="en-US"/>
        </w:rPr>
      </w:pPr>
      <w:r w:rsidRPr="001E2E2A">
        <w:rPr>
          <w:b/>
        </w:rPr>
        <w:fldChar w:fldCharType="begin"/>
      </w:r>
      <w:r w:rsidR="00F16381" w:rsidRPr="001E2E2A">
        <w:rPr>
          <w:b/>
        </w:rPr>
        <w:instrText xml:space="preserve"> TOC \o "1-3" \h \z \u </w:instrText>
      </w:r>
      <w:r w:rsidRPr="001E2E2A">
        <w:rPr>
          <w:b/>
        </w:rPr>
        <w:fldChar w:fldCharType="separate"/>
      </w:r>
      <w:hyperlink w:anchor="_Toc425427765" w:history="1">
        <w:r w:rsidR="007D55B2" w:rsidRPr="00936D1A">
          <w:rPr>
            <w:rStyle w:val="Hyperlink"/>
            <w:noProof/>
          </w:rPr>
          <w:t>I.</w:t>
        </w:r>
        <w:r w:rsidR="007D55B2">
          <w:rPr>
            <w:rFonts w:asciiTheme="minorHAnsi" w:eastAsiaTheme="minorEastAsia" w:hAnsiTheme="minorHAnsi" w:cstheme="minorBidi"/>
            <w:noProof/>
            <w:sz w:val="22"/>
            <w:szCs w:val="22"/>
            <w:lang w:eastAsia="en-US"/>
          </w:rPr>
          <w:tab/>
        </w:r>
        <w:r w:rsidR="007D55B2" w:rsidRPr="00936D1A">
          <w:rPr>
            <w:rStyle w:val="Hyperlink"/>
            <w:noProof/>
          </w:rPr>
          <w:t>INTRODUCTION</w:t>
        </w:r>
        <w:r w:rsidR="007D55B2">
          <w:rPr>
            <w:noProof/>
            <w:webHidden/>
          </w:rPr>
          <w:tab/>
        </w:r>
        <w:r w:rsidR="007D55B2">
          <w:rPr>
            <w:noProof/>
            <w:webHidden/>
          </w:rPr>
          <w:fldChar w:fldCharType="begin"/>
        </w:r>
        <w:r w:rsidR="007D55B2">
          <w:rPr>
            <w:noProof/>
            <w:webHidden/>
          </w:rPr>
          <w:instrText xml:space="preserve"> PAGEREF _Toc425427765 \h </w:instrText>
        </w:r>
        <w:r w:rsidR="007D55B2">
          <w:rPr>
            <w:noProof/>
            <w:webHidden/>
          </w:rPr>
        </w:r>
        <w:r w:rsidR="007D55B2">
          <w:rPr>
            <w:noProof/>
            <w:webHidden/>
          </w:rPr>
          <w:fldChar w:fldCharType="separate"/>
        </w:r>
        <w:r w:rsidR="007637DD">
          <w:rPr>
            <w:noProof/>
            <w:webHidden/>
          </w:rPr>
          <w:t>1</w:t>
        </w:r>
        <w:r w:rsidR="007D55B2">
          <w:rPr>
            <w:noProof/>
            <w:webHidden/>
          </w:rPr>
          <w:fldChar w:fldCharType="end"/>
        </w:r>
      </w:hyperlink>
    </w:p>
    <w:p w:rsidR="007D55B2" w:rsidRDefault="00A4594C">
      <w:pPr>
        <w:pStyle w:val="TOC1"/>
        <w:tabs>
          <w:tab w:val="right" w:leader="dot" w:pos="8630"/>
        </w:tabs>
        <w:rPr>
          <w:rFonts w:asciiTheme="minorHAnsi" w:eastAsiaTheme="minorEastAsia" w:hAnsiTheme="minorHAnsi" w:cstheme="minorBidi"/>
          <w:noProof/>
          <w:sz w:val="22"/>
          <w:szCs w:val="22"/>
          <w:lang w:eastAsia="en-US"/>
        </w:rPr>
      </w:pPr>
      <w:hyperlink w:anchor="_Toc425427766" w:history="1">
        <w:r w:rsidR="007D55B2" w:rsidRPr="00936D1A">
          <w:rPr>
            <w:rStyle w:val="Hyperlink"/>
            <w:noProof/>
          </w:rPr>
          <w:t>II.</w:t>
        </w:r>
        <w:r w:rsidR="007D55B2">
          <w:rPr>
            <w:rFonts w:asciiTheme="minorHAnsi" w:eastAsiaTheme="minorEastAsia" w:hAnsiTheme="minorHAnsi" w:cstheme="minorBidi"/>
            <w:noProof/>
            <w:sz w:val="22"/>
            <w:szCs w:val="22"/>
            <w:lang w:eastAsia="en-US"/>
          </w:rPr>
          <w:tab/>
        </w:r>
        <w:r w:rsidR="007D55B2" w:rsidRPr="00936D1A">
          <w:rPr>
            <w:rStyle w:val="Hyperlink"/>
            <w:noProof/>
          </w:rPr>
          <w:t>PURPOSE OF TESTIMONY</w:t>
        </w:r>
        <w:r w:rsidR="007D55B2">
          <w:rPr>
            <w:noProof/>
            <w:webHidden/>
          </w:rPr>
          <w:tab/>
        </w:r>
        <w:r w:rsidR="007D55B2">
          <w:rPr>
            <w:noProof/>
            <w:webHidden/>
          </w:rPr>
          <w:fldChar w:fldCharType="begin"/>
        </w:r>
        <w:r w:rsidR="007D55B2">
          <w:rPr>
            <w:noProof/>
            <w:webHidden/>
          </w:rPr>
          <w:instrText xml:space="preserve"> PAGEREF _Toc425427766 \h </w:instrText>
        </w:r>
        <w:r w:rsidR="007D55B2">
          <w:rPr>
            <w:noProof/>
            <w:webHidden/>
          </w:rPr>
        </w:r>
        <w:r w:rsidR="007D55B2">
          <w:rPr>
            <w:noProof/>
            <w:webHidden/>
          </w:rPr>
          <w:fldChar w:fldCharType="separate"/>
        </w:r>
        <w:r w:rsidR="007637DD">
          <w:rPr>
            <w:noProof/>
            <w:webHidden/>
          </w:rPr>
          <w:t>4</w:t>
        </w:r>
        <w:r w:rsidR="007D55B2">
          <w:rPr>
            <w:noProof/>
            <w:webHidden/>
          </w:rPr>
          <w:fldChar w:fldCharType="end"/>
        </w:r>
      </w:hyperlink>
    </w:p>
    <w:p w:rsidR="007D55B2" w:rsidRDefault="00A4594C">
      <w:pPr>
        <w:pStyle w:val="TOC1"/>
        <w:tabs>
          <w:tab w:val="right" w:leader="dot" w:pos="8630"/>
        </w:tabs>
        <w:rPr>
          <w:rFonts w:asciiTheme="minorHAnsi" w:eastAsiaTheme="minorEastAsia" w:hAnsiTheme="minorHAnsi" w:cstheme="minorBidi"/>
          <w:noProof/>
          <w:sz w:val="22"/>
          <w:szCs w:val="22"/>
          <w:lang w:eastAsia="en-US"/>
        </w:rPr>
      </w:pPr>
      <w:hyperlink w:anchor="_Toc425427767" w:history="1">
        <w:r w:rsidR="007D55B2" w:rsidRPr="00936D1A">
          <w:rPr>
            <w:rStyle w:val="Hyperlink"/>
            <w:noProof/>
          </w:rPr>
          <w:t>III.</w:t>
        </w:r>
        <w:r w:rsidR="007D55B2">
          <w:rPr>
            <w:rFonts w:asciiTheme="minorHAnsi" w:eastAsiaTheme="minorEastAsia" w:hAnsiTheme="minorHAnsi" w:cstheme="minorBidi"/>
            <w:noProof/>
            <w:sz w:val="22"/>
            <w:szCs w:val="22"/>
            <w:lang w:eastAsia="en-US"/>
          </w:rPr>
          <w:tab/>
        </w:r>
        <w:r w:rsidR="007D55B2" w:rsidRPr="00936D1A">
          <w:rPr>
            <w:rStyle w:val="Hyperlink"/>
            <w:noProof/>
          </w:rPr>
          <w:t>RECOMMENDATION</w:t>
        </w:r>
        <w:r w:rsidR="007D55B2">
          <w:rPr>
            <w:noProof/>
            <w:webHidden/>
          </w:rPr>
          <w:tab/>
        </w:r>
        <w:r w:rsidR="007D55B2">
          <w:rPr>
            <w:noProof/>
            <w:webHidden/>
          </w:rPr>
          <w:fldChar w:fldCharType="begin"/>
        </w:r>
        <w:r w:rsidR="007D55B2">
          <w:rPr>
            <w:noProof/>
            <w:webHidden/>
          </w:rPr>
          <w:instrText xml:space="preserve"> PAGEREF _Toc425427767 \h </w:instrText>
        </w:r>
        <w:r w:rsidR="007D55B2">
          <w:rPr>
            <w:noProof/>
            <w:webHidden/>
          </w:rPr>
        </w:r>
        <w:r w:rsidR="007D55B2">
          <w:rPr>
            <w:noProof/>
            <w:webHidden/>
          </w:rPr>
          <w:fldChar w:fldCharType="separate"/>
        </w:r>
        <w:r w:rsidR="007637DD">
          <w:rPr>
            <w:noProof/>
            <w:webHidden/>
          </w:rPr>
          <w:t>6</w:t>
        </w:r>
        <w:r w:rsidR="007D55B2">
          <w:rPr>
            <w:noProof/>
            <w:webHidden/>
          </w:rPr>
          <w:fldChar w:fldCharType="end"/>
        </w:r>
      </w:hyperlink>
    </w:p>
    <w:p w:rsidR="007D55B2" w:rsidRDefault="00A4594C">
      <w:pPr>
        <w:pStyle w:val="TOC1"/>
        <w:tabs>
          <w:tab w:val="right" w:leader="dot" w:pos="8630"/>
        </w:tabs>
        <w:rPr>
          <w:rFonts w:asciiTheme="minorHAnsi" w:eastAsiaTheme="minorEastAsia" w:hAnsiTheme="minorHAnsi" w:cstheme="minorBidi"/>
          <w:noProof/>
          <w:sz w:val="22"/>
          <w:szCs w:val="22"/>
          <w:lang w:eastAsia="en-US"/>
        </w:rPr>
      </w:pPr>
      <w:hyperlink w:anchor="_Toc425427768" w:history="1">
        <w:r w:rsidR="007D55B2" w:rsidRPr="00936D1A">
          <w:rPr>
            <w:rStyle w:val="Hyperlink"/>
            <w:noProof/>
          </w:rPr>
          <w:t>IV.</w:t>
        </w:r>
        <w:r w:rsidR="007D55B2">
          <w:rPr>
            <w:rFonts w:asciiTheme="minorHAnsi" w:eastAsiaTheme="minorEastAsia" w:hAnsiTheme="minorHAnsi" w:cstheme="minorBidi"/>
            <w:noProof/>
            <w:sz w:val="22"/>
            <w:szCs w:val="22"/>
            <w:lang w:eastAsia="en-US"/>
          </w:rPr>
          <w:tab/>
        </w:r>
        <w:r w:rsidR="007D55B2" w:rsidRPr="00936D1A">
          <w:rPr>
            <w:rStyle w:val="Hyperlink"/>
            <w:noProof/>
          </w:rPr>
          <w:t>HISTORY OF 2012 GCR CASES AUDIT REPORT, HEARING AND RESULTING PUCO OPINION AND ORDER</w:t>
        </w:r>
        <w:r w:rsidR="007D55B2">
          <w:rPr>
            <w:noProof/>
            <w:webHidden/>
          </w:rPr>
          <w:tab/>
        </w:r>
        <w:r w:rsidR="007D55B2">
          <w:rPr>
            <w:noProof/>
            <w:webHidden/>
          </w:rPr>
          <w:fldChar w:fldCharType="begin"/>
        </w:r>
        <w:r w:rsidR="007D55B2">
          <w:rPr>
            <w:noProof/>
            <w:webHidden/>
          </w:rPr>
          <w:instrText xml:space="preserve"> PAGEREF _Toc425427768 \h </w:instrText>
        </w:r>
        <w:r w:rsidR="007D55B2">
          <w:rPr>
            <w:noProof/>
            <w:webHidden/>
          </w:rPr>
        </w:r>
        <w:r w:rsidR="007D55B2">
          <w:rPr>
            <w:noProof/>
            <w:webHidden/>
          </w:rPr>
          <w:fldChar w:fldCharType="separate"/>
        </w:r>
        <w:r w:rsidR="007637DD">
          <w:rPr>
            <w:noProof/>
            <w:webHidden/>
          </w:rPr>
          <w:t>11</w:t>
        </w:r>
        <w:r w:rsidR="007D55B2">
          <w:rPr>
            <w:noProof/>
            <w:webHidden/>
          </w:rPr>
          <w:fldChar w:fldCharType="end"/>
        </w:r>
      </w:hyperlink>
    </w:p>
    <w:p w:rsidR="007D55B2" w:rsidRDefault="00A4594C">
      <w:pPr>
        <w:pStyle w:val="TOC1"/>
        <w:tabs>
          <w:tab w:val="right" w:leader="dot" w:pos="8630"/>
        </w:tabs>
        <w:rPr>
          <w:rFonts w:asciiTheme="minorHAnsi" w:eastAsiaTheme="minorEastAsia" w:hAnsiTheme="minorHAnsi" w:cstheme="minorBidi"/>
          <w:noProof/>
          <w:sz w:val="22"/>
          <w:szCs w:val="22"/>
          <w:lang w:eastAsia="en-US"/>
        </w:rPr>
      </w:pPr>
      <w:hyperlink w:anchor="_Toc425427769" w:history="1">
        <w:r w:rsidR="007D55B2" w:rsidRPr="00936D1A">
          <w:rPr>
            <w:rStyle w:val="Hyperlink"/>
            <w:noProof/>
          </w:rPr>
          <w:t>V.</w:t>
        </w:r>
        <w:r w:rsidR="007D55B2">
          <w:rPr>
            <w:rFonts w:asciiTheme="minorHAnsi" w:eastAsiaTheme="minorEastAsia" w:hAnsiTheme="minorHAnsi" w:cstheme="minorBidi"/>
            <w:noProof/>
            <w:sz w:val="22"/>
            <w:szCs w:val="22"/>
            <w:lang w:eastAsia="en-US"/>
          </w:rPr>
          <w:tab/>
        </w:r>
        <w:r w:rsidR="007D55B2" w:rsidRPr="00936D1A">
          <w:rPr>
            <w:rStyle w:val="Hyperlink"/>
            <w:noProof/>
          </w:rPr>
          <w:t>CURRENT STAFF AUDIT REPORT OF NORTHEAST, ORWELL AND BRAINARD</w:t>
        </w:r>
        <w:r w:rsidR="007D55B2">
          <w:rPr>
            <w:noProof/>
            <w:webHidden/>
          </w:rPr>
          <w:tab/>
        </w:r>
        <w:r w:rsidR="007D55B2">
          <w:rPr>
            <w:noProof/>
            <w:webHidden/>
          </w:rPr>
          <w:fldChar w:fldCharType="begin"/>
        </w:r>
        <w:r w:rsidR="007D55B2">
          <w:rPr>
            <w:noProof/>
            <w:webHidden/>
          </w:rPr>
          <w:instrText xml:space="preserve"> PAGEREF _Toc425427769 \h </w:instrText>
        </w:r>
        <w:r w:rsidR="007D55B2">
          <w:rPr>
            <w:noProof/>
            <w:webHidden/>
          </w:rPr>
        </w:r>
        <w:r w:rsidR="007D55B2">
          <w:rPr>
            <w:noProof/>
            <w:webHidden/>
          </w:rPr>
          <w:fldChar w:fldCharType="separate"/>
        </w:r>
        <w:r w:rsidR="007637DD">
          <w:rPr>
            <w:noProof/>
            <w:webHidden/>
          </w:rPr>
          <w:t>14</w:t>
        </w:r>
        <w:r w:rsidR="007D55B2">
          <w:rPr>
            <w:noProof/>
            <w:webHidden/>
          </w:rPr>
          <w:fldChar w:fldCharType="end"/>
        </w:r>
      </w:hyperlink>
    </w:p>
    <w:p w:rsidR="007D55B2" w:rsidRDefault="00A4594C">
      <w:pPr>
        <w:pStyle w:val="TOC1"/>
        <w:tabs>
          <w:tab w:val="right" w:leader="dot" w:pos="8630"/>
        </w:tabs>
        <w:rPr>
          <w:rFonts w:asciiTheme="minorHAnsi" w:eastAsiaTheme="minorEastAsia" w:hAnsiTheme="minorHAnsi" w:cstheme="minorBidi"/>
          <w:noProof/>
          <w:sz w:val="22"/>
          <w:szCs w:val="22"/>
          <w:lang w:eastAsia="en-US"/>
        </w:rPr>
      </w:pPr>
      <w:hyperlink w:anchor="_Toc425427770" w:history="1">
        <w:r w:rsidR="007D55B2" w:rsidRPr="00936D1A">
          <w:rPr>
            <w:rStyle w:val="Hyperlink"/>
            <w:noProof/>
          </w:rPr>
          <w:t>VI.</w:t>
        </w:r>
        <w:r w:rsidR="007D55B2">
          <w:rPr>
            <w:rFonts w:asciiTheme="minorHAnsi" w:eastAsiaTheme="minorEastAsia" w:hAnsiTheme="minorHAnsi" w:cstheme="minorBidi"/>
            <w:noProof/>
            <w:sz w:val="22"/>
            <w:szCs w:val="22"/>
            <w:lang w:eastAsia="en-US"/>
          </w:rPr>
          <w:tab/>
        </w:r>
        <w:r w:rsidR="007D55B2" w:rsidRPr="00936D1A">
          <w:rPr>
            <w:rStyle w:val="Hyperlink"/>
            <w:noProof/>
          </w:rPr>
          <w:t>LOCAL PRODUCTION GAS COSTS COMPARED TO INTERSTATE GAS COSTS FOR NORTHEAST AND ORWELL</w:t>
        </w:r>
        <w:r w:rsidR="007D55B2">
          <w:rPr>
            <w:noProof/>
            <w:webHidden/>
          </w:rPr>
          <w:tab/>
        </w:r>
        <w:r w:rsidR="007D55B2">
          <w:rPr>
            <w:noProof/>
            <w:webHidden/>
          </w:rPr>
          <w:fldChar w:fldCharType="begin"/>
        </w:r>
        <w:r w:rsidR="007D55B2">
          <w:rPr>
            <w:noProof/>
            <w:webHidden/>
          </w:rPr>
          <w:instrText xml:space="preserve"> PAGEREF _Toc425427770 \h </w:instrText>
        </w:r>
        <w:r w:rsidR="007D55B2">
          <w:rPr>
            <w:noProof/>
            <w:webHidden/>
          </w:rPr>
        </w:r>
        <w:r w:rsidR="007D55B2">
          <w:rPr>
            <w:noProof/>
            <w:webHidden/>
          </w:rPr>
          <w:fldChar w:fldCharType="separate"/>
        </w:r>
        <w:r w:rsidR="007637DD">
          <w:rPr>
            <w:noProof/>
            <w:webHidden/>
          </w:rPr>
          <w:t>17</w:t>
        </w:r>
        <w:r w:rsidR="007D55B2">
          <w:rPr>
            <w:noProof/>
            <w:webHidden/>
          </w:rPr>
          <w:fldChar w:fldCharType="end"/>
        </w:r>
      </w:hyperlink>
    </w:p>
    <w:p w:rsidR="00DF4687" w:rsidRDefault="00507CC0" w:rsidP="00326790">
      <w:pPr>
        <w:tabs>
          <w:tab w:val="left" w:pos="720"/>
          <w:tab w:val="left" w:pos="1440"/>
          <w:tab w:val="left" w:pos="2160"/>
          <w:tab w:val="right" w:leader="dot" w:pos="8730"/>
        </w:tabs>
        <w:ind w:right="-90"/>
        <w:rPr>
          <w:b/>
          <w:sz w:val="24"/>
          <w:szCs w:val="24"/>
        </w:rPr>
      </w:pPr>
      <w:r w:rsidRPr="001E2E2A">
        <w:rPr>
          <w:b/>
          <w:sz w:val="24"/>
          <w:szCs w:val="24"/>
        </w:rPr>
        <w:fldChar w:fldCharType="end"/>
      </w:r>
    </w:p>
    <w:p w:rsidR="0059142D" w:rsidRDefault="0059142D" w:rsidP="00326790">
      <w:pPr>
        <w:tabs>
          <w:tab w:val="left" w:pos="720"/>
          <w:tab w:val="left" w:pos="1440"/>
          <w:tab w:val="left" w:pos="2160"/>
          <w:tab w:val="right" w:leader="dot" w:pos="8730"/>
        </w:tabs>
        <w:ind w:right="-90"/>
        <w:rPr>
          <w:b/>
          <w:sz w:val="24"/>
          <w:szCs w:val="24"/>
        </w:rPr>
      </w:pPr>
    </w:p>
    <w:p w:rsidR="0068712D" w:rsidRDefault="00F16381" w:rsidP="00326790">
      <w:pPr>
        <w:tabs>
          <w:tab w:val="left" w:pos="720"/>
          <w:tab w:val="left" w:pos="1440"/>
          <w:tab w:val="left" w:pos="2160"/>
          <w:tab w:val="right" w:leader="dot" w:pos="8730"/>
        </w:tabs>
        <w:ind w:right="-90"/>
        <w:rPr>
          <w:sz w:val="24"/>
          <w:szCs w:val="24"/>
          <w:u w:val="single"/>
        </w:rPr>
      </w:pPr>
      <w:r w:rsidRPr="00B553A6">
        <w:rPr>
          <w:sz w:val="24"/>
          <w:szCs w:val="24"/>
          <w:u w:val="single"/>
        </w:rPr>
        <w:t>ATTACHMENTS</w:t>
      </w:r>
    </w:p>
    <w:p w:rsidR="00382BBC" w:rsidRDefault="00382BBC" w:rsidP="00326790">
      <w:pPr>
        <w:tabs>
          <w:tab w:val="left" w:pos="720"/>
          <w:tab w:val="left" w:pos="1440"/>
          <w:tab w:val="left" w:pos="2160"/>
          <w:tab w:val="right" w:leader="dot" w:pos="8730"/>
        </w:tabs>
        <w:ind w:right="-90"/>
        <w:rPr>
          <w:sz w:val="24"/>
          <w:szCs w:val="24"/>
          <w:u w:val="single"/>
        </w:rPr>
      </w:pPr>
    </w:p>
    <w:p w:rsidR="00326790" w:rsidRPr="00B553A6" w:rsidRDefault="00326790">
      <w:pPr>
        <w:rPr>
          <w:sz w:val="24"/>
          <w:szCs w:val="24"/>
          <w:u w:val="single"/>
        </w:rPr>
      </w:pPr>
    </w:p>
    <w:tbl>
      <w:tblPr>
        <w:tblW w:w="10420" w:type="dxa"/>
        <w:tblInd w:w="93" w:type="dxa"/>
        <w:tblLook w:val="0000" w:firstRow="0" w:lastRow="0" w:firstColumn="0" w:lastColumn="0" w:noHBand="0" w:noVBand="0"/>
      </w:tblPr>
      <w:tblGrid>
        <w:gridCol w:w="2535"/>
        <w:gridCol w:w="7885"/>
      </w:tblGrid>
      <w:tr w:rsidR="00F16381" w:rsidRPr="00DF6C05" w:rsidTr="00D30D90">
        <w:trPr>
          <w:trHeight w:val="255"/>
        </w:trPr>
        <w:tc>
          <w:tcPr>
            <w:tcW w:w="2535" w:type="dxa"/>
            <w:shd w:val="clear" w:color="auto" w:fill="auto"/>
          </w:tcPr>
          <w:p w:rsidR="00F16381" w:rsidRPr="00DF6C05" w:rsidRDefault="00D30D90">
            <w:pPr>
              <w:suppressAutoHyphens w:val="0"/>
              <w:ind w:left="-93"/>
              <w:rPr>
                <w:color w:val="000000"/>
                <w:sz w:val="24"/>
                <w:szCs w:val="24"/>
                <w:lang w:eastAsia="en-US"/>
              </w:rPr>
            </w:pPr>
            <w:r>
              <w:rPr>
                <w:color w:val="000000"/>
                <w:sz w:val="24"/>
                <w:szCs w:val="24"/>
                <w:lang w:eastAsia="en-US"/>
              </w:rPr>
              <w:t xml:space="preserve">OCC </w:t>
            </w:r>
            <w:r w:rsidR="00F16381" w:rsidRPr="00DF6C05">
              <w:rPr>
                <w:color w:val="000000"/>
                <w:sz w:val="24"/>
                <w:szCs w:val="24"/>
                <w:lang w:eastAsia="en-US"/>
              </w:rPr>
              <w:t xml:space="preserve">Attachment </w:t>
            </w:r>
            <w:r w:rsidR="0068712D">
              <w:rPr>
                <w:color w:val="000000"/>
                <w:sz w:val="24"/>
                <w:szCs w:val="24"/>
                <w:lang w:eastAsia="en-US"/>
              </w:rPr>
              <w:t>GS-</w:t>
            </w:r>
            <w:r w:rsidR="00F16381" w:rsidRPr="00DF6C05">
              <w:rPr>
                <w:color w:val="000000"/>
                <w:sz w:val="24"/>
                <w:szCs w:val="24"/>
                <w:lang w:eastAsia="en-US"/>
              </w:rPr>
              <w:t>1</w:t>
            </w:r>
          </w:p>
        </w:tc>
        <w:tc>
          <w:tcPr>
            <w:tcW w:w="7885" w:type="dxa"/>
            <w:shd w:val="clear" w:color="auto" w:fill="auto"/>
          </w:tcPr>
          <w:p w:rsidR="00DF6C05" w:rsidRPr="00DF6C05" w:rsidRDefault="00F77B53" w:rsidP="00C44B07">
            <w:pPr>
              <w:suppressAutoHyphens w:val="0"/>
              <w:ind w:left="162" w:right="1567"/>
              <w:rPr>
                <w:color w:val="000000"/>
                <w:sz w:val="24"/>
                <w:szCs w:val="24"/>
                <w:lang w:eastAsia="en-US"/>
              </w:rPr>
            </w:pPr>
            <w:r>
              <w:rPr>
                <w:color w:val="000000"/>
                <w:sz w:val="24"/>
                <w:szCs w:val="24"/>
                <w:lang w:eastAsia="en-US"/>
              </w:rPr>
              <w:t>Gregory Slone Testimony History</w:t>
            </w:r>
            <w:r w:rsidR="00C44B07">
              <w:rPr>
                <w:color w:val="000000"/>
                <w:sz w:val="24"/>
                <w:szCs w:val="24"/>
                <w:lang w:eastAsia="en-US"/>
              </w:rPr>
              <w:t>.</w:t>
            </w:r>
          </w:p>
          <w:p w:rsidR="008C631F" w:rsidRPr="00DF6C05" w:rsidRDefault="008C631F" w:rsidP="00C44B07">
            <w:pPr>
              <w:suppressAutoHyphens w:val="0"/>
              <w:ind w:left="162" w:right="1567"/>
              <w:rPr>
                <w:color w:val="000000"/>
                <w:sz w:val="24"/>
                <w:szCs w:val="24"/>
                <w:lang w:eastAsia="en-US"/>
              </w:rPr>
            </w:pPr>
          </w:p>
        </w:tc>
      </w:tr>
      <w:tr w:rsidR="00F16381" w:rsidRPr="00B553A6" w:rsidTr="00D30D90">
        <w:trPr>
          <w:trHeight w:val="510"/>
        </w:trPr>
        <w:tc>
          <w:tcPr>
            <w:tcW w:w="2535" w:type="dxa"/>
            <w:shd w:val="clear" w:color="auto" w:fill="auto"/>
          </w:tcPr>
          <w:p w:rsidR="00F16381" w:rsidRPr="00FC695F" w:rsidRDefault="00D30D90">
            <w:pPr>
              <w:suppressAutoHyphens w:val="0"/>
              <w:ind w:left="-93"/>
              <w:rPr>
                <w:color w:val="000000"/>
                <w:sz w:val="24"/>
                <w:szCs w:val="24"/>
                <w:lang w:eastAsia="en-US"/>
              </w:rPr>
            </w:pPr>
            <w:r>
              <w:rPr>
                <w:color w:val="000000"/>
                <w:sz w:val="24"/>
                <w:szCs w:val="24"/>
                <w:lang w:eastAsia="en-US"/>
              </w:rPr>
              <w:t xml:space="preserve">OCC </w:t>
            </w:r>
            <w:r w:rsidR="00F16381" w:rsidRPr="00FC695F">
              <w:rPr>
                <w:color w:val="000000"/>
                <w:sz w:val="24"/>
                <w:szCs w:val="24"/>
                <w:lang w:eastAsia="en-US"/>
              </w:rPr>
              <w:t xml:space="preserve">Attachment </w:t>
            </w:r>
            <w:r w:rsidR="0068712D">
              <w:rPr>
                <w:color w:val="000000"/>
                <w:sz w:val="24"/>
                <w:szCs w:val="24"/>
                <w:lang w:eastAsia="en-US"/>
              </w:rPr>
              <w:t>GS-</w:t>
            </w:r>
            <w:r w:rsidR="00C44B07">
              <w:rPr>
                <w:color w:val="000000"/>
                <w:sz w:val="24"/>
                <w:szCs w:val="24"/>
                <w:lang w:eastAsia="en-US"/>
              </w:rPr>
              <w:t>2</w:t>
            </w:r>
          </w:p>
          <w:p w:rsidR="00D7185E" w:rsidRPr="00FC695F" w:rsidRDefault="00D7185E">
            <w:pPr>
              <w:suppressAutoHyphens w:val="0"/>
              <w:ind w:left="-93"/>
              <w:rPr>
                <w:color w:val="000000"/>
                <w:sz w:val="24"/>
                <w:szCs w:val="24"/>
                <w:lang w:eastAsia="en-US"/>
              </w:rPr>
            </w:pPr>
          </w:p>
        </w:tc>
        <w:tc>
          <w:tcPr>
            <w:tcW w:w="7885" w:type="dxa"/>
            <w:shd w:val="clear" w:color="auto" w:fill="auto"/>
          </w:tcPr>
          <w:p w:rsidR="008C631F" w:rsidRPr="00FC695F" w:rsidRDefault="00F43C13" w:rsidP="00C44B07">
            <w:pPr>
              <w:suppressAutoHyphens w:val="0"/>
              <w:ind w:left="162" w:right="1567"/>
              <w:rPr>
                <w:color w:val="000000"/>
                <w:sz w:val="24"/>
                <w:szCs w:val="24"/>
                <w:lang w:eastAsia="en-US"/>
              </w:rPr>
            </w:pPr>
            <w:r>
              <w:rPr>
                <w:color w:val="000000"/>
                <w:sz w:val="24"/>
                <w:szCs w:val="24"/>
                <w:lang w:eastAsia="en-US"/>
              </w:rPr>
              <w:t xml:space="preserve">List of Gas Purchasing, </w:t>
            </w:r>
            <w:r w:rsidR="00C44B07">
              <w:rPr>
                <w:color w:val="000000"/>
                <w:sz w:val="24"/>
                <w:szCs w:val="24"/>
                <w:lang w:eastAsia="en-US"/>
              </w:rPr>
              <w:t xml:space="preserve">Gas </w:t>
            </w:r>
            <w:r>
              <w:rPr>
                <w:color w:val="000000"/>
                <w:sz w:val="24"/>
                <w:szCs w:val="24"/>
                <w:lang w:eastAsia="en-US"/>
              </w:rPr>
              <w:t xml:space="preserve">Storage and </w:t>
            </w:r>
            <w:r w:rsidR="00C44B07">
              <w:rPr>
                <w:color w:val="000000"/>
                <w:sz w:val="24"/>
                <w:szCs w:val="24"/>
                <w:lang w:eastAsia="en-US"/>
              </w:rPr>
              <w:t xml:space="preserve">Gas </w:t>
            </w:r>
            <w:r>
              <w:rPr>
                <w:color w:val="000000"/>
                <w:sz w:val="24"/>
                <w:szCs w:val="24"/>
                <w:lang w:eastAsia="en-US"/>
              </w:rPr>
              <w:t>Transportation Contracts for Orwell, Brainard and Northeast</w:t>
            </w:r>
            <w:r w:rsidR="00C44B07">
              <w:rPr>
                <w:color w:val="000000"/>
                <w:sz w:val="24"/>
                <w:szCs w:val="24"/>
                <w:lang w:eastAsia="en-US"/>
              </w:rPr>
              <w:t>.</w:t>
            </w:r>
          </w:p>
        </w:tc>
      </w:tr>
      <w:tr w:rsidR="00F16381" w:rsidRPr="00410DC4" w:rsidTr="00D30D90">
        <w:trPr>
          <w:trHeight w:val="837"/>
        </w:trPr>
        <w:tc>
          <w:tcPr>
            <w:tcW w:w="2535" w:type="dxa"/>
            <w:shd w:val="clear" w:color="auto" w:fill="auto"/>
          </w:tcPr>
          <w:p w:rsidR="00F43C13" w:rsidRDefault="00F43C13">
            <w:pPr>
              <w:suppressAutoHyphens w:val="0"/>
              <w:ind w:left="-93"/>
              <w:rPr>
                <w:color w:val="000000"/>
                <w:sz w:val="24"/>
                <w:szCs w:val="24"/>
                <w:lang w:eastAsia="en-US"/>
              </w:rPr>
            </w:pPr>
          </w:p>
          <w:p w:rsidR="00F16381" w:rsidRPr="00FC695F" w:rsidRDefault="00D30D90">
            <w:pPr>
              <w:suppressAutoHyphens w:val="0"/>
              <w:ind w:left="-93"/>
              <w:rPr>
                <w:color w:val="000000"/>
                <w:sz w:val="24"/>
                <w:szCs w:val="24"/>
                <w:lang w:eastAsia="en-US"/>
              </w:rPr>
            </w:pPr>
            <w:r>
              <w:rPr>
                <w:color w:val="000000"/>
                <w:sz w:val="24"/>
                <w:szCs w:val="24"/>
                <w:lang w:eastAsia="en-US"/>
              </w:rPr>
              <w:t xml:space="preserve">OCC </w:t>
            </w:r>
            <w:r w:rsidR="00F16381" w:rsidRPr="00FC695F">
              <w:rPr>
                <w:color w:val="000000"/>
                <w:sz w:val="24"/>
                <w:szCs w:val="24"/>
                <w:lang w:eastAsia="en-US"/>
              </w:rPr>
              <w:t xml:space="preserve">Attachment </w:t>
            </w:r>
            <w:r w:rsidR="0068712D">
              <w:rPr>
                <w:color w:val="000000"/>
                <w:sz w:val="24"/>
                <w:szCs w:val="24"/>
                <w:lang w:eastAsia="en-US"/>
              </w:rPr>
              <w:t>GS-</w:t>
            </w:r>
            <w:r w:rsidR="00F16381" w:rsidRPr="00FC695F">
              <w:rPr>
                <w:color w:val="000000"/>
                <w:sz w:val="24"/>
                <w:szCs w:val="24"/>
                <w:lang w:eastAsia="en-US"/>
              </w:rPr>
              <w:t>3</w:t>
            </w:r>
          </w:p>
          <w:p w:rsidR="00D7185E" w:rsidRDefault="00D7185E">
            <w:pPr>
              <w:suppressAutoHyphens w:val="0"/>
              <w:ind w:left="-93"/>
              <w:rPr>
                <w:color w:val="000000"/>
                <w:sz w:val="24"/>
                <w:szCs w:val="24"/>
                <w:lang w:eastAsia="en-US"/>
              </w:rPr>
            </w:pPr>
          </w:p>
          <w:p w:rsidR="00D059B1" w:rsidRPr="00FC695F" w:rsidRDefault="00D059B1">
            <w:pPr>
              <w:suppressAutoHyphens w:val="0"/>
              <w:ind w:left="-93"/>
              <w:rPr>
                <w:color w:val="000000"/>
                <w:sz w:val="24"/>
                <w:szCs w:val="24"/>
                <w:lang w:eastAsia="en-US"/>
              </w:rPr>
            </w:pPr>
          </w:p>
        </w:tc>
        <w:tc>
          <w:tcPr>
            <w:tcW w:w="7885" w:type="dxa"/>
            <w:shd w:val="clear" w:color="auto" w:fill="auto"/>
          </w:tcPr>
          <w:p w:rsidR="00F43C13" w:rsidRDefault="00F43C13" w:rsidP="00C44B07">
            <w:pPr>
              <w:suppressAutoHyphens w:val="0"/>
              <w:ind w:left="162" w:right="1567"/>
              <w:rPr>
                <w:color w:val="000000"/>
                <w:sz w:val="24"/>
                <w:szCs w:val="24"/>
                <w:lang w:eastAsia="en-US"/>
              </w:rPr>
            </w:pPr>
          </w:p>
          <w:p w:rsidR="00F43C13" w:rsidRPr="00DF6C05" w:rsidRDefault="00F43C13" w:rsidP="00C44B07">
            <w:pPr>
              <w:suppressAutoHyphens w:val="0"/>
              <w:ind w:left="162" w:right="1567"/>
              <w:rPr>
                <w:color w:val="000000"/>
                <w:sz w:val="24"/>
                <w:szCs w:val="24"/>
                <w:lang w:eastAsia="en-US"/>
              </w:rPr>
            </w:pPr>
            <w:r w:rsidRPr="00DF6C05">
              <w:rPr>
                <w:color w:val="000000"/>
                <w:sz w:val="24"/>
                <w:szCs w:val="24"/>
                <w:lang w:eastAsia="en-US"/>
              </w:rPr>
              <w:t>An</w:t>
            </w:r>
            <w:r w:rsidR="005A2329">
              <w:rPr>
                <w:color w:val="000000"/>
                <w:sz w:val="24"/>
                <w:szCs w:val="24"/>
                <w:lang w:eastAsia="en-US"/>
              </w:rPr>
              <w:t>alysis of Local Gas Purchases Compared to</w:t>
            </w:r>
            <w:r w:rsidRPr="00DF6C05">
              <w:rPr>
                <w:color w:val="000000"/>
                <w:sz w:val="24"/>
                <w:szCs w:val="24"/>
                <w:lang w:eastAsia="en-US"/>
              </w:rPr>
              <w:t xml:space="preserve"> Interstate Gas Purchases for Northeast and Orwell</w:t>
            </w:r>
            <w:r w:rsidR="00C44B07">
              <w:rPr>
                <w:color w:val="000000"/>
                <w:sz w:val="24"/>
                <w:szCs w:val="24"/>
                <w:lang w:eastAsia="en-US"/>
              </w:rPr>
              <w:t>.</w:t>
            </w:r>
          </w:p>
          <w:p w:rsidR="008C631F" w:rsidRPr="00FC695F" w:rsidRDefault="008C631F" w:rsidP="00C44B07">
            <w:pPr>
              <w:suppressAutoHyphens w:val="0"/>
              <w:ind w:left="162" w:right="1567"/>
              <w:rPr>
                <w:color w:val="000000"/>
                <w:sz w:val="24"/>
                <w:szCs w:val="24"/>
                <w:lang w:eastAsia="en-US"/>
              </w:rPr>
            </w:pPr>
          </w:p>
        </w:tc>
      </w:tr>
      <w:tr w:rsidR="00F16381" w:rsidRPr="00470504" w:rsidTr="00D30D90">
        <w:trPr>
          <w:trHeight w:val="255"/>
        </w:trPr>
        <w:tc>
          <w:tcPr>
            <w:tcW w:w="2535" w:type="dxa"/>
            <w:shd w:val="clear" w:color="auto" w:fill="auto"/>
          </w:tcPr>
          <w:p w:rsidR="00F16381" w:rsidRPr="00470504" w:rsidRDefault="00D30D90" w:rsidP="00B553A6">
            <w:pPr>
              <w:suppressAutoHyphens w:val="0"/>
              <w:ind w:left="-93"/>
              <w:rPr>
                <w:color w:val="000000"/>
                <w:sz w:val="24"/>
                <w:szCs w:val="24"/>
                <w:lang w:eastAsia="en-US"/>
              </w:rPr>
            </w:pPr>
            <w:r>
              <w:rPr>
                <w:color w:val="000000"/>
                <w:sz w:val="24"/>
                <w:szCs w:val="24"/>
                <w:lang w:eastAsia="en-US"/>
              </w:rPr>
              <w:t xml:space="preserve">OCC </w:t>
            </w:r>
            <w:r w:rsidR="0082072E" w:rsidRPr="00470504">
              <w:rPr>
                <w:color w:val="000000"/>
                <w:sz w:val="24"/>
                <w:szCs w:val="24"/>
                <w:lang w:eastAsia="en-US"/>
              </w:rPr>
              <w:t xml:space="preserve">Attachment </w:t>
            </w:r>
            <w:r w:rsidR="0068712D">
              <w:rPr>
                <w:color w:val="000000"/>
                <w:sz w:val="24"/>
                <w:szCs w:val="24"/>
                <w:lang w:eastAsia="en-US"/>
              </w:rPr>
              <w:t>GS-</w:t>
            </w:r>
            <w:r w:rsidR="0082072E" w:rsidRPr="00470504">
              <w:rPr>
                <w:color w:val="000000"/>
                <w:sz w:val="24"/>
                <w:szCs w:val="24"/>
                <w:lang w:eastAsia="en-US"/>
              </w:rPr>
              <w:t>4</w:t>
            </w:r>
          </w:p>
        </w:tc>
        <w:tc>
          <w:tcPr>
            <w:tcW w:w="7885" w:type="dxa"/>
            <w:shd w:val="clear" w:color="auto" w:fill="auto"/>
          </w:tcPr>
          <w:p w:rsidR="00F43C13" w:rsidRPr="00FC695F" w:rsidRDefault="00F43C13" w:rsidP="00C44B07">
            <w:pPr>
              <w:suppressAutoHyphens w:val="0"/>
              <w:ind w:left="162" w:right="1567"/>
              <w:rPr>
                <w:color w:val="000000"/>
                <w:sz w:val="24"/>
                <w:szCs w:val="24"/>
                <w:lang w:eastAsia="en-US"/>
              </w:rPr>
            </w:pPr>
            <w:r w:rsidRPr="00FC695F">
              <w:rPr>
                <w:color w:val="000000"/>
                <w:sz w:val="24"/>
                <w:szCs w:val="24"/>
                <w:lang w:eastAsia="en-US"/>
              </w:rPr>
              <w:t xml:space="preserve">Gas Transportation </w:t>
            </w:r>
            <w:r w:rsidR="00041FD2">
              <w:rPr>
                <w:color w:val="000000"/>
                <w:sz w:val="24"/>
                <w:szCs w:val="24"/>
                <w:lang w:eastAsia="en-US"/>
              </w:rPr>
              <w:t>Service Agreement b</w:t>
            </w:r>
            <w:r w:rsidRPr="00FC695F">
              <w:rPr>
                <w:color w:val="000000"/>
                <w:sz w:val="24"/>
                <w:szCs w:val="24"/>
                <w:lang w:eastAsia="en-US"/>
              </w:rPr>
              <w:t>etween Orwel</w:t>
            </w:r>
            <w:r w:rsidR="00C44B07">
              <w:rPr>
                <w:color w:val="000000"/>
                <w:sz w:val="24"/>
                <w:szCs w:val="24"/>
                <w:lang w:eastAsia="en-US"/>
              </w:rPr>
              <w:t xml:space="preserve">l and Orwell Trumbull Pipeline </w:t>
            </w:r>
            <w:r w:rsidRPr="00FC695F">
              <w:rPr>
                <w:color w:val="000000"/>
                <w:sz w:val="24"/>
                <w:szCs w:val="24"/>
                <w:lang w:eastAsia="en-US"/>
              </w:rPr>
              <w:t>signed January 1, 2006</w:t>
            </w:r>
            <w:r w:rsidR="00C44B07">
              <w:rPr>
                <w:color w:val="000000"/>
                <w:sz w:val="24"/>
                <w:szCs w:val="24"/>
                <w:lang w:eastAsia="en-US"/>
              </w:rPr>
              <w:t>.</w:t>
            </w:r>
          </w:p>
          <w:p w:rsidR="008C631F" w:rsidRPr="00470504" w:rsidRDefault="008C631F" w:rsidP="00C44B07">
            <w:pPr>
              <w:suppressAutoHyphens w:val="0"/>
              <w:ind w:left="162" w:right="1567"/>
              <w:rPr>
                <w:color w:val="000000"/>
                <w:sz w:val="24"/>
                <w:szCs w:val="24"/>
                <w:lang w:eastAsia="en-US"/>
              </w:rPr>
            </w:pPr>
          </w:p>
        </w:tc>
      </w:tr>
      <w:tr w:rsidR="00F16381" w:rsidRPr="00410DC4" w:rsidTr="00D30D90">
        <w:trPr>
          <w:trHeight w:val="345"/>
        </w:trPr>
        <w:tc>
          <w:tcPr>
            <w:tcW w:w="2535" w:type="dxa"/>
            <w:shd w:val="clear" w:color="auto" w:fill="auto"/>
          </w:tcPr>
          <w:p w:rsidR="00F16381" w:rsidRPr="0068712D" w:rsidRDefault="00D30D90" w:rsidP="00B553A6">
            <w:pPr>
              <w:suppressAutoHyphens w:val="0"/>
              <w:ind w:left="-93"/>
              <w:rPr>
                <w:color w:val="000000"/>
                <w:sz w:val="24"/>
                <w:szCs w:val="24"/>
                <w:lang w:eastAsia="en-US"/>
              </w:rPr>
            </w:pPr>
            <w:r>
              <w:rPr>
                <w:color w:val="000000"/>
                <w:sz w:val="24"/>
                <w:szCs w:val="24"/>
                <w:lang w:eastAsia="en-US"/>
              </w:rPr>
              <w:t xml:space="preserve">OCC </w:t>
            </w:r>
            <w:r w:rsidR="001F417E" w:rsidRPr="0068712D">
              <w:rPr>
                <w:color w:val="000000"/>
                <w:sz w:val="24"/>
                <w:szCs w:val="24"/>
                <w:lang w:eastAsia="en-US"/>
              </w:rPr>
              <w:t xml:space="preserve">Attachment </w:t>
            </w:r>
            <w:r w:rsidR="0068712D" w:rsidRPr="0068712D">
              <w:rPr>
                <w:color w:val="000000"/>
                <w:sz w:val="24"/>
                <w:szCs w:val="24"/>
                <w:lang w:eastAsia="en-US"/>
              </w:rPr>
              <w:t>GS-</w:t>
            </w:r>
            <w:r w:rsidR="001F417E" w:rsidRPr="0068712D">
              <w:rPr>
                <w:color w:val="000000"/>
                <w:sz w:val="24"/>
                <w:szCs w:val="24"/>
                <w:lang w:eastAsia="en-US"/>
              </w:rPr>
              <w:t>5</w:t>
            </w:r>
          </w:p>
          <w:p w:rsidR="006B1D50" w:rsidRPr="00BD0C4D" w:rsidRDefault="006B1D50" w:rsidP="00B553A6">
            <w:pPr>
              <w:suppressAutoHyphens w:val="0"/>
              <w:ind w:left="-93"/>
              <w:rPr>
                <w:color w:val="000000"/>
                <w:sz w:val="24"/>
                <w:szCs w:val="24"/>
                <w:highlight w:val="yellow"/>
                <w:lang w:eastAsia="en-US"/>
              </w:rPr>
            </w:pPr>
          </w:p>
          <w:p w:rsidR="006B1D50" w:rsidRPr="00BD0C4D" w:rsidRDefault="006B1D50" w:rsidP="00B553A6">
            <w:pPr>
              <w:suppressAutoHyphens w:val="0"/>
              <w:ind w:left="-93"/>
              <w:rPr>
                <w:color w:val="000000"/>
                <w:sz w:val="24"/>
                <w:szCs w:val="24"/>
                <w:highlight w:val="yellow"/>
                <w:lang w:eastAsia="en-US"/>
              </w:rPr>
            </w:pPr>
          </w:p>
          <w:p w:rsidR="006B1D50" w:rsidRPr="00041FD2" w:rsidRDefault="00D30D90" w:rsidP="00B553A6">
            <w:pPr>
              <w:suppressAutoHyphens w:val="0"/>
              <w:ind w:left="-93"/>
              <w:rPr>
                <w:color w:val="000000"/>
                <w:sz w:val="24"/>
                <w:szCs w:val="24"/>
                <w:lang w:eastAsia="en-US"/>
              </w:rPr>
            </w:pPr>
            <w:r>
              <w:rPr>
                <w:color w:val="000000"/>
                <w:sz w:val="24"/>
                <w:szCs w:val="24"/>
                <w:lang w:eastAsia="en-US"/>
              </w:rPr>
              <w:t xml:space="preserve">OCC </w:t>
            </w:r>
            <w:r w:rsidR="006B1D50" w:rsidRPr="00041FD2">
              <w:rPr>
                <w:color w:val="000000"/>
                <w:sz w:val="24"/>
                <w:szCs w:val="24"/>
                <w:lang w:eastAsia="en-US"/>
              </w:rPr>
              <w:t xml:space="preserve">Attachment </w:t>
            </w:r>
            <w:r w:rsidR="00BF0835" w:rsidRPr="00041FD2">
              <w:rPr>
                <w:color w:val="000000"/>
                <w:sz w:val="24"/>
                <w:szCs w:val="24"/>
                <w:lang w:eastAsia="en-US"/>
              </w:rPr>
              <w:t>GS-</w:t>
            </w:r>
            <w:r w:rsidR="006B1D50" w:rsidRPr="00041FD2">
              <w:rPr>
                <w:color w:val="000000"/>
                <w:sz w:val="24"/>
                <w:szCs w:val="24"/>
                <w:lang w:eastAsia="en-US"/>
              </w:rPr>
              <w:t>6</w:t>
            </w:r>
          </w:p>
          <w:p w:rsidR="00605C48" w:rsidRPr="00BD0C4D" w:rsidRDefault="00605C48" w:rsidP="00B553A6">
            <w:pPr>
              <w:suppressAutoHyphens w:val="0"/>
              <w:ind w:left="-93"/>
              <w:rPr>
                <w:color w:val="000000"/>
                <w:sz w:val="24"/>
                <w:szCs w:val="24"/>
                <w:highlight w:val="yellow"/>
                <w:lang w:eastAsia="en-US"/>
              </w:rPr>
            </w:pPr>
          </w:p>
          <w:p w:rsidR="00D7185E" w:rsidRPr="00BD0C4D" w:rsidRDefault="00D7185E" w:rsidP="00B553A6">
            <w:pPr>
              <w:suppressAutoHyphens w:val="0"/>
              <w:ind w:left="-93"/>
              <w:rPr>
                <w:color w:val="000000"/>
                <w:sz w:val="24"/>
                <w:szCs w:val="24"/>
                <w:highlight w:val="yellow"/>
                <w:lang w:eastAsia="en-US"/>
              </w:rPr>
            </w:pPr>
          </w:p>
          <w:p w:rsidR="00605C48" w:rsidRPr="00041FD2" w:rsidRDefault="00D30D90" w:rsidP="00B553A6">
            <w:pPr>
              <w:suppressAutoHyphens w:val="0"/>
              <w:ind w:left="-93"/>
              <w:rPr>
                <w:color w:val="000000"/>
                <w:sz w:val="24"/>
                <w:szCs w:val="24"/>
                <w:lang w:eastAsia="en-US"/>
              </w:rPr>
            </w:pPr>
            <w:r>
              <w:rPr>
                <w:color w:val="000000"/>
                <w:sz w:val="24"/>
                <w:szCs w:val="24"/>
                <w:lang w:eastAsia="en-US"/>
              </w:rPr>
              <w:t xml:space="preserve">OCC </w:t>
            </w:r>
            <w:r w:rsidR="00605C48" w:rsidRPr="00041FD2">
              <w:rPr>
                <w:color w:val="000000"/>
                <w:sz w:val="24"/>
                <w:szCs w:val="24"/>
                <w:lang w:eastAsia="en-US"/>
              </w:rPr>
              <w:t xml:space="preserve">Attachment </w:t>
            </w:r>
            <w:r w:rsidR="00BF0835" w:rsidRPr="00041FD2">
              <w:rPr>
                <w:color w:val="000000"/>
                <w:sz w:val="24"/>
                <w:szCs w:val="24"/>
                <w:lang w:eastAsia="en-US"/>
              </w:rPr>
              <w:t>GS-</w:t>
            </w:r>
            <w:r w:rsidR="00605C48" w:rsidRPr="00041FD2">
              <w:rPr>
                <w:color w:val="000000"/>
                <w:sz w:val="24"/>
                <w:szCs w:val="24"/>
                <w:lang w:eastAsia="en-US"/>
              </w:rPr>
              <w:t>7</w:t>
            </w:r>
          </w:p>
          <w:p w:rsidR="00605C48" w:rsidRPr="00BD0C4D" w:rsidRDefault="00605C48" w:rsidP="00B553A6">
            <w:pPr>
              <w:suppressAutoHyphens w:val="0"/>
              <w:ind w:left="-93"/>
              <w:rPr>
                <w:color w:val="000000"/>
                <w:sz w:val="24"/>
                <w:szCs w:val="24"/>
                <w:highlight w:val="yellow"/>
                <w:lang w:eastAsia="en-US"/>
              </w:rPr>
            </w:pPr>
          </w:p>
          <w:p w:rsidR="006A46BE" w:rsidRPr="00BD0C4D" w:rsidRDefault="006A46BE" w:rsidP="00B553A6">
            <w:pPr>
              <w:suppressAutoHyphens w:val="0"/>
              <w:ind w:left="-93"/>
              <w:rPr>
                <w:color w:val="000000"/>
                <w:sz w:val="24"/>
                <w:szCs w:val="24"/>
                <w:highlight w:val="yellow"/>
                <w:lang w:eastAsia="en-US"/>
              </w:rPr>
            </w:pPr>
          </w:p>
          <w:p w:rsidR="00CF0E2B" w:rsidRPr="00041FD2" w:rsidRDefault="00D30D90" w:rsidP="00B553A6">
            <w:pPr>
              <w:suppressAutoHyphens w:val="0"/>
              <w:ind w:left="-93"/>
              <w:rPr>
                <w:color w:val="000000"/>
                <w:sz w:val="24"/>
                <w:szCs w:val="24"/>
                <w:lang w:eastAsia="en-US"/>
              </w:rPr>
            </w:pPr>
            <w:r>
              <w:rPr>
                <w:color w:val="000000"/>
                <w:sz w:val="24"/>
                <w:szCs w:val="24"/>
                <w:lang w:eastAsia="en-US"/>
              </w:rPr>
              <w:t xml:space="preserve">OCC </w:t>
            </w:r>
            <w:r w:rsidR="00605C48" w:rsidRPr="00041FD2">
              <w:rPr>
                <w:color w:val="000000"/>
                <w:sz w:val="24"/>
                <w:szCs w:val="24"/>
                <w:lang w:eastAsia="en-US"/>
              </w:rPr>
              <w:t xml:space="preserve">Attachment </w:t>
            </w:r>
            <w:r w:rsidR="00872AAC">
              <w:rPr>
                <w:color w:val="000000"/>
                <w:sz w:val="24"/>
                <w:szCs w:val="24"/>
                <w:lang w:eastAsia="en-US"/>
              </w:rPr>
              <w:t xml:space="preserve">GS- </w:t>
            </w:r>
            <w:r w:rsidR="00605C48" w:rsidRPr="00041FD2">
              <w:rPr>
                <w:color w:val="000000"/>
                <w:sz w:val="24"/>
                <w:szCs w:val="24"/>
                <w:lang w:eastAsia="en-US"/>
              </w:rPr>
              <w:t>8</w:t>
            </w:r>
          </w:p>
          <w:p w:rsidR="009533AD" w:rsidRPr="00BD0C4D" w:rsidRDefault="009533AD">
            <w:pPr>
              <w:suppressAutoHyphens w:val="0"/>
              <w:ind w:left="-93"/>
              <w:rPr>
                <w:color w:val="000000"/>
                <w:sz w:val="24"/>
                <w:szCs w:val="24"/>
                <w:highlight w:val="yellow"/>
                <w:lang w:eastAsia="en-US"/>
              </w:rPr>
            </w:pPr>
          </w:p>
        </w:tc>
        <w:tc>
          <w:tcPr>
            <w:tcW w:w="7885" w:type="dxa"/>
            <w:shd w:val="clear" w:color="auto" w:fill="auto"/>
          </w:tcPr>
          <w:p w:rsidR="00F43C13" w:rsidRPr="00FC695F" w:rsidRDefault="00F43C13" w:rsidP="00C44B07">
            <w:pPr>
              <w:suppressAutoHyphens w:val="0"/>
              <w:ind w:left="162" w:right="1567"/>
              <w:rPr>
                <w:color w:val="000000"/>
                <w:sz w:val="24"/>
                <w:szCs w:val="24"/>
                <w:lang w:eastAsia="en-US"/>
              </w:rPr>
            </w:pPr>
            <w:r w:rsidRPr="00FC695F">
              <w:rPr>
                <w:color w:val="000000"/>
                <w:sz w:val="24"/>
                <w:szCs w:val="24"/>
                <w:lang w:eastAsia="en-US"/>
              </w:rPr>
              <w:t xml:space="preserve">Gas Transportation </w:t>
            </w:r>
            <w:r w:rsidR="00041FD2">
              <w:rPr>
                <w:color w:val="000000"/>
                <w:sz w:val="24"/>
                <w:szCs w:val="24"/>
                <w:lang w:eastAsia="en-US"/>
              </w:rPr>
              <w:t xml:space="preserve">Service Agreement between </w:t>
            </w:r>
            <w:r w:rsidRPr="00FC695F">
              <w:rPr>
                <w:color w:val="000000"/>
                <w:sz w:val="24"/>
                <w:szCs w:val="24"/>
                <w:lang w:eastAsia="en-US"/>
              </w:rPr>
              <w:t>Orwell and Orwell Trumbull Pipeline signed July 1, 2008.</w:t>
            </w:r>
          </w:p>
          <w:p w:rsidR="006B1D50" w:rsidRPr="00BD0C4D" w:rsidRDefault="006B1D50" w:rsidP="00C44B07">
            <w:pPr>
              <w:suppressAutoHyphens w:val="0"/>
              <w:ind w:left="162" w:right="1567"/>
              <w:rPr>
                <w:color w:val="000000"/>
                <w:sz w:val="24"/>
                <w:szCs w:val="24"/>
                <w:highlight w:val="yellow"/>
                <w:lang w:eastAsia="en-US"/>
              </w:rPr>
            </w:pPr>
          </w:p>
          <w:p w:rsidR="00F43C13" w:rsidRPr="00470504" w:rsidRDefault="00F43C13" w:rsidP="00C44B07">
            <w:pPr>
              <w:suppressAutoHyphens w:val="0"/>
              <w:ind w:left="162" w:right="1567"/>
              <w:rPr>
                <w:color w:val="000000"/>
                <w:sz w:val="24"/>
                <w:szCs w:val="24"/>
                <w:lang w:eastAsia="en-US"/>
              </w:rPr>
            </w:pPr>
            <w:r w:rsidRPr="00470504">
              <w:rPr>
                <w:color w:val="000000"/>
                <w:sz w:val="24"/>
                <w:szCs w:val="24"/>
                <w:lang w:eastAsia="en-US"/>
              </w:rPr>
              <w:t xml:space="preserve">Gas Transportation </w:t>
            </w:r>
            <w:r w:rsidR="00041FD2">
              <w:rPr>
                <w:color w:val="000000"/>
                <w:sz w:val="24"/>
                <w:szCs w:val="24"/>
                <w:lang w:eastAsia="en-US"/>
              </w:rPr>
              <w:t xml:space="preserve">Service Agreement </w:t>
            </w:r>
            <w:r w:rsidRPr="00470504">
              <w:rPr>
                <w:color w:val="000000"/>
                <w:sz w:val="24"/>
                <w:szCs w:val="24"/>
                <w:lang w:eastAsia="en-US"/>
              </w:rPr>
              <w:t xml:space="preserve">between Orwell and </w:t>
            </w:r>
            <w:r w:rsidR="00041FD2">
              <w:rPr>
                <w:color w:val="000000"/>
                <w:sz w:val="24"/>
                <w:szCs w:val="24"/>
                <w:lang w:eastAsia="en-US"/>
              </w:rPr>
              <w:t>Cobra Pipeline dated January 23, 2008.</w:t>
            </w:r>
          </w:p>
          <w:p w:rsidR="00041FD2" w:rsidRDefault="00041FD2" w:rsidP="00C44B07">
            <w:pPr>
              <w:suppressAutoHyphens w:val="0"/>
              <w:ind w:left="162" w:right="1567"/>
              <w:rPr>
                <w:color w:val="000000"/>
                <w:sz w:val="24"/>
                <w:szCs w:val="24"/>
                <w:highlight w:val="yellow"/>
                <w:lang w:eastAsia="en-US"/>
              </w:rPr>
            </w:pPr>
          </w:p>
          <w:p w:rsidR="00605C48" w:rsidRPr="00BD0C4D" w:rsidRDefault="00041FD2" w:rsidP="00C44B07">
            <w:pPr>
              <w:suppressAutoHyphens w:val="0"/>
              <w:ind w:left="162" w:right="1567"/>
              <w:rPr>
                <w:color w:val="000000"/>
                <w:sz w:val="24"/>
                <w:szCs w:val="24"/>
                <w:highlight w:val="yellow"/>
                <w:lang w:eastAsia="en-US"/>
              </w:rPr>
            </w:pPr>
            <w:r w:rsidRPr="00041FD2">
              <w:rPr>
                <w:color w:val="000000"/>
                <w:sz w:val="24"/>
                <w:szCs w:val="24"/>
                <w:lang w:eastAsia="en-US"/>
              </w:rPr>
              <w:t>Gas Transportation Service Agreement between Orwell and Spelman Pipeline</w:t>
            </w:r>
            <w:r w:rsidR="00F0738F">
              <w:rPr>
                <w:color w:val="000000"/>
                <w:sz w:val="24"/>
                <w:szCs w:val="24"/>
                <w:lang w:eastAsia="en-US"/>
              </w:rPr>
              <w:t xml:space="preserve"> Holdings, LLC</w:t>
            </w:r>
            <w:r w:rsidRPr="00041FD2">
              <w:rPr>
                <w:color w:val="000000"/>
                <w:sz w:val="24"/>
                <w:szCs w:val="24"/>
                <w:lang w:eastAsia="en-US"/>
              </w:rPr>
              <w:t xml:space="preserve"> dated February 28, 2014</w:t>
            </w:r>
            <w:r w:rsidR="00CF0E2B" w:rsidRPr="00041FD2">
              <w:rPr>
                <w:color w:val="000000"/>
                <w:sz w:val="24"/>
                <w:szCs w:val="24"/>
                <w:lang w:eastAsia="en-US"/>
              </w:rPr>
              <w:t xml:space="preserve"> </w:t>
            </w:r>
          </w:p>
          <w:p w:rsidR="00CF0E2B" w:rsidRPr="00BD0C4D" w:rsidRDefault="00CF0E2B" w:rsidP="00C44B07">
            <w:pPr>
              <w:suppressAutoHyphens w:val="0"/>
              <w:ind w:left="162" w:right="1567"/>
              <w:rPr>
                <w:color w:val="000000"/>
                <w:sz w:val="24"/>
                <w:szCs w:val="24"/>
                <w:highlight w:val="yellow"/>
                <w:lang w:eastAsia="en-US"/>
              </w:rPr>
            </w:pPr>
          </w:p>
          <w:p w:rsidR="00A66FF7" w:rsidRPr="00326790" w:rsidRDefault="00041FD2" w:rsidP="00AC344A">
            <w:pPr>
              <w:suppressAutoHyphens w:val="0"/>
              <w:ind w:left="162" w:right="1567"/>
              <w:rPr>
                <w:color w:val="000000"/>
                <w:sz w:val="24"/>
                <w:szCs w:val="24"/>
                <w:lang w:eastAsia="en-US"/>
              </w:rPr>
            </w:pPr>
            <w:r w:rsidRPr="00041FD2">
              <w:rPr>
                <w:color w:val="000000"/>
                <w:sz w:val="24"/>
                <w:szCs w:val="24"/>
                <w:lang w:eastAsia="en-US"/>
              </w:rPr>
              <w:t>Gas Transportation Service Agreement between Orwell and North Coast Gas Transmission dated August 23, 2004</w:t>
            </w:r>
            <w:r w:rsidR="00C44B07">
              <w:rPr>
                <w:color w:val="000000"/>
                <w:sz w:val="24"/>
                <w:szCs w:val="24"/>
                <w:lang w:eastAsia="en-US"/>
              </w:rPr>
              <w:t>.</w:t>
            </w:r>
          </w:p>
        </w:tc>
      </w:tr>
      <w:tr w:rsidR="00326790" w:rsidRPr="00410DC4" w:rsidTr="00D30D90">
        <w:trPr>
          <w:trHeight w:val="345"/>
        </w:trPr>
        <w:tc>
          <w:tcPr>
            <w:tcW w:w="2535" w:type="dxa"/>
            <w:shd w:val="clear" w:color="auto" w:fill="auto"/>
          </w:tcPr>
          <w:p w:rsidR="00326790" w:rsidRPr="00BD0C4D" w:rsidRDefault="00326790" w:rsidP="00CE72E7">
            <w:pPr>
              <w:suppressAutoHyphens w:val="0"/>
              <w:ind w:left="-93"/>
              <w:rPr>
                <w:color w:val="000000"/>
                <w:sz w:val="24"/>
                <w:szCs w:val="24"/>
                <w:highlight w:val="yellow"/>
                <w:lang w:eastAsia="en-US"/>
              </w:rPr>
            </w:pPr>
          </w:p>
          <w:p w:rsidR="00326790" w:rsidRPr="00BD0C4D" w:rsidRDefault="00D30D90" w:rsidP="00CE72E7">
            <w:pPr>
              <w:suppressAutoHyphens w:val="0"/>
              <w:ind w:left="-93"/>
              <w:rPr>
                <w:color w:val="000000"/>
                <w:sz w:val="24"/>
                <w:szCs w:val="24"/>
                <w:highlight w:val="yellow"/>
                <w:lang w:eastAsia="en-US"/>
              </w:rPr>
            </w:pPr>
            <w:r>
              <w:rPr>
                <w:color w:val="000000"/>
                <w:sz w:val="24"/>
                <w:szCs w:val="24"/>
                <w:lang w:eastAsia="en-US"/>
              </w:rPr>
              <w:t xml:space="preserve">OCC </w:t>
            </w:r>
            <w:r w:rsidR="00326790" w:rsidRPr="00062898">
              <w:rPr>
                <w:color w:val="000000"/>
                <w:sz w:val="24"/>
                <w:szCs w:val="24"/>
                <w:lang w:eastAsia="en-US"/>
              </w:rPr>
              <w:t xml:space="preserve">Attachment </w:t>
            </w:r>
            <w:r w:rsidR="00326790">
              <w:rPr>
                <w:color w:val="000000"/>
                <w:sz w:val="24"/>
                <w:szCs w:val="24"/>
                <w:lang w:eastAsia="en-US"/>
              </w:rPr>
              <w:t>GS-</w:t>
            </w:r>
            <w:r w:rsidR="00326790" w:rsidRPr="00062898">
              <w:rPr>
                <w:color w:val="000000"/>
                <w:sz w:val="24"/>
                <w:szCs w:val="24"/>
                <w:lang w:eastAsia="en-US"/>
              </w:rPr>
              <w:t>9</w:t>
            </w:r>
            <w:r w:rsidR="00326790" w:rsidRPr="00BD0C4D">
              <w:rPr>
                <w:color w:val="000000"/>
                <w:sz w:val="24"/>
                <w:szCs w:val="24"/>
                <w:highlight w:val="yellow"/>
                <w:lang w:eastAsia="en-US"/>
              </w:rPr>
              <w:t xml:space="preserve"> </w:t>
            </w:r>
          </w:p>
          <w:p w:rsidR="00326790" w:rsidRPr="00BD0C4D" w:rsidRDefault="00326790" w:rsidP="00CE72E7">
            <w:pPr>
              <w:suppressAutoHyphens w:val="0"/>
              <w:ind w:left="-93"/>
              <w:rPr>
                <w:color w:val="000000"/>
                <w:sz w:val="24"/>
                <w:szCs w:val="24"/>
                <w:highlight w:val="yellow"/>
                <w:lang w:eastAsia="en-US"/>
              </w:rPr>
            </w:pPr>
          </w:p>
          <w:p w:rsidR="00326790" w:rsidRPr="00BD0C4D" w:rsidRDefault="00326790" w:rsidP="00CE72E7">
            <w:pPr>
              <w:suppressAutoHyphens w:val="0"/>
              <w:ind w:left="-93"/>
              <w:rPr>
                <w:color w:val="000000"/>
                <w:sz w:val="24"/>
                <w:szCs w:val="24"/>
                <w:highlight w:val="yellow"/>
                <w:lang w:eastAsia="en-US"/>
              </w:rPr>
            </w:pPr>
          </w:p>
          <w:p w:rsidR="00326790" w:rsidRDefault="00326790" w:rsidP="00CE72E7">
            <w:pPr>
              <w:suppressAutoHyphens w:val="0"/>
              <w:ind w:left="-93"/>
              <w:rPr>
                <w:color w:val="000000"/>
                <w:sz w:val="24"/>
                <w:szCs w:val="24"/>
                <w:highlight w:val="yellow"/>
                <w:lang w:eastAsia="en-US"/>
              </w:rPr>
            </w:pPr>
          </w:p>
          <w:p w:rsidR="00326790" w:rsidRPr="00EA1790" w:rsidRDefault="00D30D90" w:rsidP="00CE72E7">
            <w:pPr>
              <w:suppressAutoHyphens w:val="0"/>
              <w:ind w:left="-93"/>
              <w:rPr>
                <w:color w:val="000000"/>
                <w:sz w:val="24"/>
                <w:szCs w:val="24"/>
                <w:lang w:eastAsia="en-US"/>
              </w:rPr>
            </w:pPr>
            <w:r>
              <w:rPr>
                <w:color w:val="000000"/>
                <w:sz w:val="24"/>
                <w:szCs w:val="24"/>
                <w:lang w:eastAsia="en-US"/>
              </w:rPr>
              <w:lastRenderedPageBreak/>
              <w:t xml:space="preserve">OCC </w:t>
            </w:r>
            <w:r w:rsidR="00326790" w:rsidRPr="00EA1790">
              <w:rPr>
                <w:color w:val="000000"/>
                <w:sz w:val="24"/>
                <w:szCs w:val="24"/>
                <w:lang w:eastAsia="en-US"/>
              </w:rPr>
              <w:t xml:space="preserve">Attachment </w:t>
            </w:r>
            <w:r w:rsidR="00326790">
              <w:rPr>
                <w:color w:val="000000"/>
                <w:sz w:val="24"/>
                <w:szCs w:val="24"/>
                <w:lang w:eastAsia="en-US"/>
              </w:rPr>
              <w:t>GS-</w:t>
            </w:r>
            <w:r w:rsidR="00326790" w:rsidRPr="00EA1790">
              <w:rPr>
                <w:color w:val="000000"/>
                <w:sz w:val="24"/>
                <w:szCs w:val="24"/>
                <w:lang w:eastAsia="en-US"/>
              </w:rPr>
              <w:t xml:space="preserve">10 </w:t>
            </w:r>
          </w:p>
          <w:p w:rsidR="00326790" w:rsidRPr="00BD0C4D" w:rsidRDefault="00326790" w:rsidP="00CE72E7">
            <w:pPr>
              <w:suppressAutoHyphens w:val="0"/>
              <w:ind w:left="-93"/>
              <w:rPr>
                <w:color w:val="000000"/>
                <w:sz w:val="24"/>
                <w:szCs w:val="24"/>
                <w:highlight w:val="yellow"/>
                <w:lang w:eastAsia="en-US"/>
              </w:rPr>
            </w:pPr>
          </w:p>
          <w:p w:rsidR="00326790" w:rsidRPr="00BD0C4D" w:rsidRDefault="00326790" w:rsidP="00CE72E7">
            <w:pPr>
              <w:suppressAutoHyphens w:val="0"/>
              <w:ind w:left="-93"/>
              <w:rPr>
                <w:color w:val="000000"/>
                <w:sz w:val="24"/>
                <w:szCs w:val="24"/>
                <w:highlight w:val="yellow"/>
                <w:lang w:eastAsia="en-US"/>
              </w:rPr>
            </w:pPr>
          </w:p>
          <w:p w:rsidR="00326790" w:rsidRPr="00872AAC" w:rsidRDefault="00D30D90" w:rsidP="00CE72E7">
            <w:pPr>
              <w:suppressAutoHyphens w:val="0"/>
              <w:ind w:left="-93"/>
              <w:rPr>
                <w:color w:val="000000"/>
                <w:sz w:val="24"/>
                <w:szCs w:val="24"/>
                <w:lang w:eastAsia="en-US"/>
              </w:rPr>
            </w:pPr>
            <w:r>
              <w:rPr>
                <w:color w:val="000000"/>
                <w:sz w:val="24"/>
                <w:szCs w:val="24"/>
                <w:lang w:eastAsia="en-US"/>
              </w:rPr>
              <w:t xml:space="preserve">OCC </w:t>
            </w:r>
            <w:r w:rsidR="00326790" w:rsidRPr="00872AAC">
              <w:rPr>
                <w:color w:val="000000"/>
                <w:sz w:val="24"/>
                <w:szCs w:val="24"/>
                <w:lang w:eastAsia="en-US"/>
              </w:rPr>
              <w:t xml:space="preserve">Attachment GS-11 </w:t>
            </w:r>
          </w:p>
          <w:p w:rsidR="00326790" w:rsidRPr="00BD0C4D" w:rsidRDefault="00326790" w:rsidP="00CE72E7">
            <w:pPr>
              <w:suppressAutoHyphens w:val="0"/>
              <w:ind w:left="-93"/>
              <w:rPr>
                <w:color w:val="000000"/>
                <w:sz w:val="24"/>
                <w:szCs w:val="24"/>
                <w:highlight w:val="yellow"/>
                <w:lang w:eastAsia="en-US"/>
              </w:rPr>
            </w:pPr>
          </w:p>
          <w:p w:rsidR="00326790" w:rsidRPr="00BD0C4D" w:rsidRDefault="00326790" w:rsidP="00CE72E7">
            <w:pPr>
              <w:suppressAutoHyphens w:val="0"/>
              <w:ind w:left="-93"/>
              <w:rPr>
                <w:color w:val="000000"/>
                <w:sz w:val="24"/>
                <w:szCs w:val="24"/>
                <w:highlight w:val="yellow"/>
                <w:lang w:eastAsia="en-US"/>
              </w:rPr>
            </w:pPr>
          </w:p>
          <w:p w:rsidR="00326790" w:rsidRPr="00872AAC" w:rsidRDefault="00D30D90" w:rsidP="00CE72E7">
            <w:pPr>
              <w:suppressAutoHyphens w:val="0"/>
              <w:ind w:left="-93"/>
              <w:rPr>
                <w:color w:val="000000"/>
                <w:sz w:val="24"/>
                <w:szCs w:val="24"/>
                <w:lang w:eastAsia="en-US"/>
              </w:rPr>
            </w:pPr>
            <w:r>
              <w:rPr>
                <w:color w:val="000000"/>
                <w:sz w:val="24"/>
                <w:szCs w:val="24"/>
                <w:lang w:eastAsia="en-US"/>
              </w:rPr>
              <w:t xml:space="preserve">OCC </w:t>
            </w:r>
            <w:r w:rsidR="00326790" w:rsidRPr="00872AAC">
              <w:rPr>
                <w:color w:val="000000"/>
                <w:sz w:val="24"/>
                <w:szCs w:val="24"/>
                <w:lang w:eastAsia="en-US"/>
              </w:rPr>
              <w:t>Attachment GS-12</w:t>
            </w:r>
          </w:p>
          <w:p w:rsidR="00326790" w:rsidRPr="00BD0C4D" w:rsidRDefault="00326790" w:rsidP="00CE72E7">
            <w:pPr>
              <w:suppressAutoHyphens w:val="0"/>
              <w:ind w:left="-93"/>
              <w:rPr>
                <w:color w:val="000000"/>
                <w:sz w:val="24"/>
                <w:szCs w:val="24"/>
                <w:highlight w:val="yellow"/>
                <w:lang w:eastAsia="en-US"/>
              </w:rPr>
            </w:pPr>
          </w:p>
          <w:p w:rsidR="00326790" w:rsidRPr="00BD0C4D" w:rsidRDefault="00326790" w:rsidP="00CE72E7">
            <w:pPr>
              <w:suppressAutoHyphens w:val="0"/>
              <w:ind w:left="-93"/>
              <w:rPr>
                <w:color w:val="000000"/>
                <w:sz w:val="24"/>
                <w:szCs w:val="24"/>
                <w:highlight w:val="yellow"/>
                <w:lang w:eastAsia="en-US"/>
              </w:rPr>
            </w:pPr>
          </w:p>
          <w:p w:rsidR="00326790" w:rsidRPr="00BD0C4D" w:rsidRDefault="00326790" w:rsidP="00CE72E7">
            <w:pPr>
              <w:suppressAutoHyphens w:val="0"/>
              <w:rPr>
                <w:color w:val="000000"/>
                <w:sz w:val="24"/>
                <w:szCs w:val="24"/>
                <w:highlight w:val="yellow"/>
                <w:lang w:eastAsia="en-US"/>
              </w:rPr>
            </w:pPr>
          </w:p>
          <w:p w:rsidR="00326790" w:rsidRPr="006E6B2D" w:rsidRDefault="00D30D90" w:rsidP="00CE72E7">
            <w:pPr>
              <w:suppressAutoHyphens w:val="0"/>
              <w:ind w:left="-93"/>
              <w:rPr>
                <w:color w:val="000000"/>
                <w:sz w:val="24"/>
                <w:szCs w:val="24"/>
                <w:lang w:eastAsia="en-US"/>
              </w:rPr>
            </w:pPr>
            <w:r>
              <w:rPr>
                <w:color w:val="000000"/>
                <w:sz w:val="24"/>
                <w:szCs w:val="24"/>
                <w:lang w:eastAsia="en-US"/>
              </w:rPr>
              <w:t>OCC Attachment GS-13</w:t>
            </w:r>
          </w:p>
          <w:p w:rsidR="00326790" w:rsidRPr="006E6B2D" w:rsidRDefault="00326790" w:rsidP="00CE72E7">
            <w:pPr>
              <w:suppressAutoHyphens w:val="0"/>
              <w:ind w:left="-93"/>
              <w:rPr>
                <w:color w:val="000000"/>
                <w:sz w:val="24"/>
                <w:szCs w:val="24"/>
                <w:lang w:eastAsia="en-US"/>
              </w:rPr>
            </w:pPr>
          </w:p>
          <w:p w:rsidR="00326790" w:rsidRDefault="00D30D90" w:rsidP="00CE72E7">
            <w:pPr>
              <w:suppressAutoHyphens w:val="0"/>
              <w:ind w:left="-93"/>
              <w:rPr>
                <w:color w:val="000000"/>
                <w:sz w:val="24"/>
                <w:szCs w:val="24"/>
                <w:lang w:eastAsia="en-US"/>
              </w:rPr>
            </w:pPr>
            <w:r>
              <w:rPr>
                <w:color w:val="000000"/>
                <w:sz w:val="24"/>
                <w:szCs w:val="24"/>
                <w:lang w:eastAsia="en-US"/>
              </w:rPr>
              <w:t xml:space="preserve">OCC </w:t>
            </w:r>
            <w:r w:rsidR="00326790" w:rsidRPr="006E6B2D">
              <w:rPr>
                <w:color w:val="000000"/>
                <w:sz w:val="24"/>
                <w:szCs w:val="24"/>
                <w:lang w:eastAsia="en-US"/>
              </w:rPr>
              <w:t>Attachment GS-14</w:t>
            </w:r>
          </w:p>
          <w:p w:rsidR="00326790" w:rsidRDefault="00326790" w:rsidP="00CE72E7">
            <w:pPr>
              <w:suppressAutoHyphens w:val="0"/>
              <w:ind w:left="-93"/>
              <w:rPr>
                <w:color w:val="000000"/>
                <w:sz w:val="24"/>
                <w:szCs w:val="24"/>
                <w:lang w:eastAsia="en-US"/>
              </w:rPr>
            </w:pPr>
          </w:p>
          <w:p w:rsidR="00326790" w:rsidRPr="00BD0C4D" w:rsidRDefault="00D30D90" w:rsidP="00CE72E7">
            <w:pPr>
              <w:suppressAutoHyphens w:val="0"/>
              <w:ind w:left="-93"/>
              <w:rPr>
                <w:color w:val="000000"/>
                <w:sz w:val="24"/>
                <w:szCs w:val="24"/>
                <w:highlight w:val="yellow"/>
                <w:lang w:eastAsia="en-US"/>
              </w:rPr>
            </w:pPr>
            <w:r>
              <w:rPr>
                <w:color w:val="000000"/>
                <w:sz w:val="24"/>
                <w:szCs w:val="24"/>
                <w:lang w:eastAsia="en-US"/>
              </w:rPr>
              <w:t xml:space="preserve">OCC </w:t>
            </w:r>
            <w:r w:rsidR="00326790">
              <w:rPr>
                <w:color w:val="000000"/>
                <w:sz w:val="24"/>
                <w:szCs w:val="24"/>
                <w:lang w:eastAsia="en-US"/>
              </w:rPr>
              <w:t>Attachment GS-15</w:t>
            </w:r>
          </w:p>
        </w:tc>
        <w:tc>
          <w:tcPr>
            <w:tcW w:w="7885" w:type="dxa"/>
            <w:shd w:val="clear" w:color="auto" w:fill="auto"/>
          </w:tcPr>
          <w:p w:rsidR="00326790" w:rsidRPr="00BD0C4D" w:rsidRDefault="00326790" w:rsidP="00CE72E7">
            <w:pPr>
              <w:suppressAutoHyphens w:val="0"/>
              <w:ind w:left="162" w:right="1567"/>
              <w:rPr>
                <w:color w:val="000000"/>
                <w:sz w:val="24"/>
                <w:szCs w:val="24"/>
                <w:highlight w:val="yellow"/>
                <w:lang w:eastAsia="en-US"/>
              </w:rPr>
            </w:pPr>
          </w:p>
          <w:p w:rsidR="00326790" w:rsidRPr="00062898" w:rsidRDefault="00326790" w:rsidP="00CE72E7">
            <w:pPr>
              <w:suppressAutoHyphens w:val="0"/>
              <w:ind w:left="162" w:right="1567"/>
              <w:rPr>
                <w:color w:val="000000"/>
                <w:sz w:val="24"/>
                <w:szCs w:val="24"/>
                <w:lang w:eastAsia="en-US"/>
              </w:rPr>
            </w:pPr>
            <w:r w:rsidRPr="00062898">
              <w:rPr>
                <w:color w:val="000000"/>
                <w:sz w:val="24"/>
                <w:szCs w:val="24"/>
                <w:lang w:eastAsia="en-US"/>
              </w:rPr>
              <w:t>Gas Transportation Service Agreement between Orwell and D</w:t>
            </w:r>
            <w:r>
              <w:rPr>
                <w:color w:val="000000"/>
                <w:sz w:val="24"/>
                <w:szCs w:val="24"/>
                <w:lang w:eastAsia="en-US"/>
              </w:rPr>
              <w:t>ominion</w:t>
            </w:r>
            <w:r w:rsidRPr="00062898">
              <w:rPr>
                <w:color w:val="000000"/>
                <w:sz w:val="24"/>
                <w:szCs w:val="24"/>
                <w:lang w:eastAsia="en-US"/>
              </w:rPr>
              <w:t xml:space="preserve"> (as East Ohio Gas Company d/b/a Dominion East Ohio) dated April 14, 2005</w:t>
            </w:r>
            <w:r>
              <w:rPr>
                <w:color w:val="000000"/>
                <w:sz w:val="24"/>
                <w:szCs w:val="24"/>
                <w:lang w:eastAsia="en-US"/>
              </w:rPr>
              <w:t>.</w:t>
            </w:r>
          </w:p>
          <w:p w:rsidR="00326790" w:rsidRPr="00BD0C4D" w:rsidRDefault="00326790" w:rsidP="00CE72E7">
            <w:pPr>
              <w:suppressAutoHyphens w:val="0"/>
              <w:ind w:left="162" w:right="1567"/>
              <w:rPr>
                <w:color w:val="000000"/>
                <w:sz w:val="24"/>
                <w:szCs w:val="24"/>
                <w:highlight w:val="yellow"/>
                <w:lang w:eastAsia="en-US"/>
              </w:rPr>
            </w:pPr>
          </w:p>
          <w:p w:rsidR="00326790" w:rsidRPr="00EA1790" w:rsidRDefault="00326790" w:rsidP="00CE72E7">
            <w:pPr>
              <w:suppressAutoHyphens w:val="0"/>
              <w:ind w:left="162" w:right="1567"/>
              <w:rPr>
                <w:color w:val="000000"/>
                <w:sz w:val="24"/>
                <w:szCs w:val="24"/>
                <w:lang w:eastAsia="en-US"/>
              </w:rPr>
            </w:pPr>
            <w:r>
              <w:rPr>
                <w:color w:val="000000"/>
                <w:sz w:val="24"/>
                <w:szCs w:val="24"/>
                <w:lang w:eastAsia="en-US"/>
              </w:rPr>
              <w:lastRenderedPageBreak/>
              <w:t>Transportation Service Agreement between Orwell-Trumbull Pipeline and Newbury Local Schools dated July 27, 2009.</w:t>
            </w:r>
          </w:p>
          <w:p w:rsidR="00326790" w:rsidRPr="00BD0C4D" w:rsidRDefault="00326790" w:rsidP="00CE72E7">
            <w:pPr>
              <w:suppressAutoHyphens w:val="0"/>
              <w:ind w:left="162" w:right="1567"/>
              <w:rPr>
                <w:color w:val="000000"/>
                <w:sz w:val="24"/>
                <w:szCs w:val="24"/>
                <w:highlight w:val="yellow"/>
                <w:lang w:eastAsia="en-US"/>
              </w:rPr>
            </w:pPr>
          </w:p>
          <w:p w:rsidR="00326790" w:rsidRPr="00872AAC" w:rsidRDefault="00326790" w:rsidP="00CE72E7">
            <w:pPr>
              <w:suppressAutoHyphens w:val="0"/>
              <w:ind w:left="162" w:right="1567"/>
              <w:rPr>
                <w:color w:val="000000"/>
                <w:sz w:val="24"/>
                <w:szCs w:val="24"/>
                <w:lang w:eastAsia="en-US"/>
              </w:rPr>
            </w:pPr>
            <w:r w:rsidRPr="00872AAC">
              <w:rPr>
                <w:color w:val="000000"/>
                <w:sz w:val="24"/>
                <w:szCs w:val="24"/>
                <w:lang w:eastAsia="en-US"/>
              </w:rPr>
              <w:t>July Invoice from Orwell-Trumbull Pipeline to Orwell Natural Gas dated August, 13, 2012.</w:t>
            </w:r>
          </w:p>
          <w:p w:rsidR="00326790" w:rsidRPr="00BD0C4D" w:rsidRDefault="00326790" w:rsidP="00CE72E7">
            <w:pPr>
              <w:suppressAutoHyphens w:val="0"/>
              <w:ind w:left="162" w:right="1567"/>
              <w:rPr>
                <w:color w:val="000000"/>
                <w:sz w:val="24"/>
                <w:szCs w:val="24"/>
                <w:highlight w:val="yellow"/>
                <w:lang w:eastAsia="en-US"/>
              </w:rPr>
            </w:pPr>
          </w:p>
          <w:p w:rsidR="00326790" w:rsidRPr="00EA1790" w:rsidRDefault="00326790" w:rsidP="00CE72E7">
            <w:pPr>
              <w:suppressAutoHyphens w:val="0"/>
              <w:ind w:left="162" w:right="1567"/>
              <w:rPr>
                <w:color w:val="000000"/>
                <w:sz w:val="24"/>
                <w:szCs w:val="24"/>
                <w:lang w:eastAsia="en-US"/>
              </w:rPr>
            </w:pPr>
            <w:r w:rsidRPr="00EA1790">
              <w:rPr>
                <w:color w:val="000000"/>
                <w:sz w:val="24"/>
                <w:szCs w:val="24"/>
                <w:lang w:eastAsia="en-US"/>
              </w:rPr>
              <w:t>Analysis of Orwell’s increased gas cost due to loss of Gas Transportation Service Agreement between Orwell and Dominion dated April 14, 2005.</w:t>
            </w:r>
          </w:p>
          <w:p w:rsidR="00326790" w:rsidRDefault="00326790" w:rsidP="00CE72E7">
            <w:pPr>
              <w:suppressAutoHyphens w:val="0"/>
              <w:ind w:left="162" w:right="1567"/>
              <w:rPr>
                <w:color w:val="000000"/>
                <w:sz w:val="24"/>
                <w:szCs w:val="24"/>
                <w:highlight w:val="yellow"/>
                <w:lang w:eastAsia="en-US"/>
              </w:rPr>
            </w:pPr>
          </w:p>
          <w:p w:rsidR="00326790" w:rsidRPr="006E6B2D" w:rsidRDefault="00326790" w:rsidP="00CE72E7">
            <w:pPr>
              <w:suppressAutoHyphens w:val="0"/>
              <w:ind w:left="162" w:right="1567"/>
              <w:rPr>
                <w:color w:val="000000"/>
                <w:sz w:val="24"/>
                <w:szCs w:val="24"/>
                <w:lang w:eastAsia="en-US"/>
              </w:rPr>
            </w:pPr>
            <w:r w:rsidRPr="006E6B2D">
              <w:rPr>
                <w:color w:val="000000"/>
                <w:sz w:val="24"/>
                <w:szCs w:val="24"/>
                <w:lang w:eastAsia="en-US"/>
              </w:rPr>
              <w:t>Map of Orwell/Orwell-Trumbull System</w:t>
            </w:r>
            <w:r>
              <w:rPr>
                <w:color w:val="000000"/>
                <w:sz w:val="24"/>
                <w:szCs w:val="24"/>
                <w:lang w:eastAsia="en-US"/>
              </w:rPr>
              <w:t>.</w:t>
            </w:r>
          </w:p>
          <w:p w:rsidR="00326790" w:rsidRPr="006E6B2D" w:rsidRDefault="00326790" w:rsidP="00CE72E7">
            <w:pPr>
              <w:suppressAutoHyphens w:val="0"/>
              <w:ind w:left="162" w:right="1567"/>
              <w:rPr>
                <w:color w:val="000000"/>
                <w:sz w:val="24"/>
                <w:szCs w:val="24"/>
                <w:lang w:eastAsia="en-US"/>
              </w:rPr>
            </w:pPr>
          </w:p>
          <w:p w:rsidR="00326790" w:rsidRDefault="00326790" w:rsidP="00CE72E7">
            <w:pPr>
              <w:suppressAutoHyphens w:val="0"/>
              <w:ind w:left="162" w:right="1567"/>
              <w:rPr>
                <w:color w:val="000000"/>
                <w:sz w:val="24"/>
                <w:szCs w:val="24"/>
                <w:lang w:eastAsia="en-US"/>
              </w:rPr>
            </w:pPr>
            <w:r w:rsidRPr="006E6B2D">
              <w:rPr>
                <w:color w:val="000000"/>
                <w:sz w:val="24"/>
                <w:szCs w:val="24"/>
                <w:lang w:eastAsia="en-US"/>
              </w:rPr>
              <w:t>Analysis of Orwell’s gas supply delivered through Dominion</w:t>
            </w:r>
            <w:r>
              <w:rPr>
                <w:color w:val="000000"/>
                <w:sz w:val="24"/>
                <w:szCs w:val="24"/>
                <w:lang w:eastAsia="en-US"/>
              </w:rPr>
              <w:t>.</w:t>
            </w:r>
            <w:r w:rsidRPr="006E6B2D">
              <w:rPr>
                <w:color w:val="000000"/>
                <w:sz w:val="24"/>
                <w:szCs w:val="24"/>
                <w:lang w:eastAsia="en-US"/>
              </w:rPr>
              <w:t xml:space="preserve"> </w:t>
            </w:r>
          </w:p>
          <w:p w:rsidR="00326790" w:rsidRDefault="00326790" w:rsidP="00CE72E7">
            <w:pPr>
              <w:suppressAutoHyphens w:val="0"/>
              <w:ind w:left="162" w:right="1567"/>
              <w:rPr>
                <w:color w:val="000000"/>
                <w:sz w:val="24"/>
                <w:szCs w:val="24"/>
                <w:lang w:eastAsia="en-US"/>
              </w:rPr>
            </w:pPr>
          </w:p>
          <w:p w:rsidR="00326790" w:rsidRPr="00BD0C4D" w:rsidRDefault="00326790" w:rsidP="00CE72E7">
            <w:pPr>
              <w:suppressAutoHyphens w:val="0"/>
              <w:ind w:left="162" w:right="1567"/>
              <w:rPr>
                <w:color w:val="000000"/>
                <w:sz w:val="24"/>
                <w:szCs w:val="24"/>
                <w:highlight w:val="yellow"/>
                <w:lang w:eastAsia="en-US"/>
              </w:rPr>
            </w:pPr>
            <w:r>
              <w:rPr>
                <w:color w:val="000000"/>
                <w:sz w:val="24"/>
                <w:szCs w:val="24"/>
                <w:lang w:eastAsia="en-US"/>
              </w:rPr>
              <w:t>May 8, 2015 Transcript</w:t>
            </w:r>
            <w:r w:rsidRPr="00325B75">
              <w:rPr>
                <w:color w:val="000000"/>
                <w:sz w:val="24"/>
                <w:szCs w:val="24"/>
                <w:lang w:eastAsia="en-US"/>
              </w:rPr>
              <w:t xml:space="preserve"> Of Mart</w:t>
            </w:r>
            <w:r>
              <w:rPr>
                <w:color w:val="000000"/>
                <w:sz w:val="24"/>
                <w:szCs w:val="24"/>
                <w:lang w:eastAsia="en-US"/>
              </w:rPr>
              <w:t>in</w:t>
            </w:r>
            <w:r w:rsidRPr="00325B75">
              <w:rPr>
                <w:color w:val="000000"/>
                <w:sz w:val="24"/>
                <w:szCs w:val="24"/>
                <w:lang w:eastAsia="en-US"/>
              </w:rPr>
              <w:t xml:space="preserve"> Whelan </w:t>
            </w:r>
            <w:r>
              <w:rPr>
                <w:color w:val="000000"/>
                <w:sz w:val="24"/>
                <w:szCs w:val="24"/>
                <w:lang w:eastAsia="en-US"/>
              </w:rPr>
              <w:t>Deposition.</w:t>
            </w:r>
          </w:p>
        </w:tc>
      </w:tr>
    </w:tbl>
    <w:p w:rsidR="00326790" w:rsidRDefault="00326790">
      <w:pPr>
        <w:ind w:left="1440" w:hanging="1440"/>
        <w:rPr>
          <w:bCs/>
          <w:sz w:val="24"/>
          <w:szCs w:val="24"/>
        </w:rPr>
        <w:sectPr w:rsidR="00326790" w:rsidSect="00326790">
          <w:headerReference w:type="first" r:id="rId14"/>
          <w:footerReference w:type="first" r:id="rId15"/>
          <w:pgSz w:w="12240" w:h="15840" w:code="1"/>
          <w:pgMar w:top="1440" w:right="1800" w:bottom="1440" w:left="1800" w:header="720" w:footer="720" w:gutter="0"/>
          <w:pgNumType w:fmt="lowerRoman" w:start="1"/>
          <w:cols w:space="720"/>
          <w:titlePg/>
          <w:docGrid w:linePitch="360"/>
        </w:sectPr>
      </w:pPr>
    </w:p>
    <w:p w:rsidR="00F16381" w:rsidRPr="00FC0A1A" w:rsidRDefault="00FC0A1A" w:rsidP="00A054C9">
      <w:pPr>
        <w:pStyle w:val="Heading1"/>
      </w:pPr>
      <w:bookmarkStart w:id="1" w:name="_Toc290891179"/>
      <w:bookmarkStart w:id="2" w:name="_Toc290891222"/>
      <w:bookmarkStart w:id="3" w:name="_Toc290891328"/>
      <w:bookmarkStart w:id="4" w:name="_Toc290891536"/>
      <w:bookmarkStart w:id="5" w:name="_Toc290891566"/>
      <w:bookmarkStart w:id="6" w:name="_Toc290891634"/>
      <w:bookmarkStart w:id="7" w:name="_Toc290891180"/>
      <w:bookmarkStart w:id="8" w:name="_Toc290891223"/>
      <w:bookmarkStart w:id="9" w:name="_Toc290891329"/>
      <w:bookmarkStart w:id="10" w:name="_Toc290891537"/>
      <w:bookmarkStart w:id="11" w:name="_Toc290891567"/>
      <w:bookmarkStart w:id="12" w:name="_Toc290891635"/>
      <w:bookmarkStart w:id="13" w:name="_Toc290891181"/>
      <w:bookmarkStart w:id="14" w:name="_Toc290891224"/>
      <w:bookmarkStart w:id="15" w:name="_Toc290891330"/>
      <w:bookmarkStart w:id="16" w:name="_Toc290891538"/>
      <w:bookmarkStart w:id="17" w:name="_Toc290891568"/>
      <w:bookmarkStart w:id="18" w:name="_Toc290891636"/>
      <w:bookmarkStart w:id="19" w:name="_Toc290891182"/>
      <w:bookmarkStart w:id="20" w:name="_Toc290891225"/>
      <w:bookmarkStart w:id="21" w:name="_Toc290891331"/>
      <w:bookmarkStart w:id="22" w:name="_Toc290891539"/>
      <w:bookmarkStart w:id="23" w:name="_Toc290891569"/>
      <w:bookmarkStart w:id="24" w:name="_Toc290891637"/>
      <w:bookmarkStart w:id="25" w:name="_Toc4254277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FC0A1A">
        <w:t>I.</w:t>
      </w:r>
      <w:r w:rsidRPr="00FC0A1A">
        <w:tab/>
      </w:r>
      <w:r w:rsidR="00F16381" w:rsidRPr="00FC0A1A">
        <w:t>INTRODUCTION</w:t>
      </w:r>
      <w:bookmarkEnd w:id="25"/>
    </w:p>
    <w:p w:rsidR="00F16381" w:rsidRDefault="00F16381" w:rsidP="00A054C9">
      <w:pPr>
        <w:pStyle w:val="BodyTextIndent2"/>
        <w:ind w:left="0" w:firstLine="0"/>
        <w:rPr>
          <w:bCs w:val="0"/>
          <w:i w:val="0"/>
          <w:iCs w:val="0"/>
          <w:szCs w:val="24"/>
        </w:rPr>
      </w:pPr>
    </w:p>
    <w:p w:rsidR="00F16381" w:rsidRDefault="00F16381" w:rsidP="00A054C9">
      <w:pPr>
        <w:pStyle w:val="BodyTextIndent2"/>
        <w:tabs>
          <w:tab w:val="left" w:pos="1872"/>
          <w:tab w:val="left" w:pos="6768"/>
        </w:tabs>
        <w:rPr>
          <w:bCs w:val="0"/>
          <w:iCs w:val="0"/>
          <w:szCs w:val="24"/>
        </w:rPr>
      </w:pPr>
      <w:r>
        <w:rPr>
          <w:bCs w:val="0"/>
          <w:iCs w:val="0"/>
          <w:szCs w:val="24"/>
        </w:rPr>
        <w:t>Q1.</w:t>
      </w:r>
      <w:r>
        <w:rPr>
          <w:bCs w:val="0"/>
          <w:iCs w:val="0"/>
          <w:szCs w:val="24"/>
        </w:rPr>
        <w:tab/>
        <w:t>PLEASE STATE YOUR NAME, ADDRESS AND POSITION.</w:t>
      </w:r>
    </w:p>
    <w:p w:rsidR="00F16381" w:rsidRDefault="00F16381" w:rsidP="00A054C9">
      <w:pPr>
        <w:tabs>
          <w:tab w:val="left" w:pos="1872"/>
          <w:tab w:val="left" w:pos="6768"/>
        </w:tabs>
        <w:spacing w:line="480" w:lineRule="auto"/>
        <w:ind w:left="720" w:hanging="720"/>
        <w:rPr>
          <w:sz w:val="24"/>
          <w:szCs w:val="24"/>
        </w:rPr>
      </w:pPr>
      <w:r>
        <w:rPr>
          <w:b/>
          <w:i/>
          <w:sz w:val="24"/>
          <w:szCs w:val="24"/>
        </w:rPr>
        <w:t>A1.</w:t>
      </w:r>
      <w:r w:rsidR="005A2329">
        <w:rPr>
          <w:sz w:val="24"/>
          <w:szCs w:val="24"/>
        </w:rPr>
        <w:tab/>
        <w:t xml:space="preserve">My name is Gregory Slone. </w:t>
      </w:r>
      <w:r>
        <w:rPr>
          <w:sz w:val="24"/>
          <w:szCs w:val="24"/>
        </w:rPr>
        <w:t>My business address is 10 West Broad Street, Suite 1</w:t>
      </w:r>
      <w:r w:rsidR="005A2329">
        <w:rPr>
          <w:sz w:val="24"/>
          <w:szCs w:val="24"/>
        </w:rPr>
        <w:t>800, Columbus, Ohio 43215-3485.</w:t>
      </w:r>
      <w:r>
        <w:rPr>
          <w:sz w:val="24"/>
          <w:szCs w:val="24"/>
        </w:rPr>
        <w:t xml:space="preserve"> </w:t>
      </w:r>
      <w:r w:rsidR="00D76783">
        <w:rPr>
          <w:sz w:val="24"/>
          <w:szCs w:val="24"/>
        </w:rPr>
        <w:t xml:space="preserve"> </w:t>
      </w:r>
      <w:r>
        <w:rPr>
          <w:sz w:val="24"/>
          <w:szCs w:val="24"/>
        </w:rPr>
        <w:t>I am employed by the Office of the Ohio Consumers’ Counsel (“OCC” or “Consumers’ Counsel”) as a Senior Energy Analyst.</w:t>
      </w:r>
    </w:p>
    <w:p w:rsidR="00B611DD" w:rsidRDefault="00B611DD" w:rsidP="00A054C9">
      <w:pPr>
        <w:tabs>
          <w:tab w:val="left" w:pos="1872"/>
          <w:tab w:val="left" w:pos="6768"/>
        </w:tabs>
        <w:spacing w:line="480" w:lineRule="auto"/>
        <w:ind w:left="720" w:hanging="720"/>
        <w:rPr>
          <w:sz w:val="24"/>
          <w:szCs w:val="24"/>
        </w:rPr>
      </w:pPr>
    </w:p>
    <w:p w:rsidR="00F16381" w:rsidRDefault="00F16381" w:rsidP="00A054C9">
      <w:pPr>
        <w:tabs>
          <w:tab w:val="left" w:pos="1872"/>
          <w:tab w:val="left" w:pos="6768"/>
        </w:tabs>
        <w:spacing w:line="480" w:lineRule="auto"/>
        <w:ind w:left="720" w:hanging="720"/>
        <w:rPr>
          <w:b/>
          <w:i/>
          <w:sz w:val="24"/>
          <w:szCs w:val="24"/>
        </w:rPr>
      </w:pPr>
      <w:r>
        <w:rPr>
          <w:b/>
          <w:i/>
          <w:sz w:val="24"/>
          <w:szCs w:val="24"/>
        </w:rPr>
        <w:t>Q2.</w:t>
      </w:r>
      <w:r>
        <w:rPr>
          <w:b/>
          <w:i/>
          <w:sz w:val="24"/>
          <w:szCs w:val="24"/>
        </w:rPr>
        <w:tab/>
        <w:t>PLEASE BRIEFLY SUMMARIZE YOUR EDUCATIONAL AND PROFESSIONAL EXPERIENCE?</w:t>
      </w:r>
    </w:p>
    <w:p w:rsidR="00FE511D" w:rsidRDefault="00F16381" w:rsidP="00A054C9">
      <w:pPr>
        <w:tabs>
          <w:tab w:val="left" w:pos="720"/>
          <w:tab w:val="left" w:pos="6768"/>
        </w:tabs>
        <w:spacing w:line="480" w:lineRule="auto"/>
        <w:ind w:left="720" w:hanging="720"/>
        <w:rPr>
          <w:sz w:val="24"/>
          <w:szCs w:val="24"/>
        </w:rPr>
      </w:pPr>
      <w:r>
        <w:rPr>
          <w:b/>
          <w:i/>
          <w:sz w:val="24"/>
          <w:szCs w:val="24"/>
        </w:rPr>
        <w:t>A2.</w:t>
      </w:r>
      <w:r w:rsidR="00E14B9F">
        <w:rPr>
          <w:sz w:val="24"/>
          <w:szCs w:val="24"/>
        </w:rPr>
        <w:tab/>
      </w:r>
      <w:r w:rsidR="00FE511D">
        <w:rPr>
          <w:sz w:val="24"/>
          <w:szCs w:val="24"/>
        </w:rPr>
        <w:t>I received my bachelor’s degree in civil engineering from The Ohio State University in 1977, and received the status of a certified charted industrial gas consultant from the Gas Technology Institute in Chicago, Illinois in 1984.</w:t>
      </w:r>
    </w:p>
    <w:p w:rsidR="00FE511D" w:rsidRDefault="00FE511D" w:rsidP="00A054C9">
      <w:pPr>
        <w:tabs>
          <w:tab w:val="left" w:pos="720"/>
          <w:tab w:val="left" w:pos="6768"/>
        </w:tabs>
        <w:spacing w:line="480" w:lineRule="auto"/>
        <w:ind w:left="720" w:hanging="720"/>
        <w:rPr>
          <w:sz w:val="24"/>
          <w:szCs w:val="24"/>
        </w:rPr>
      </w:pPr>
    </w:p>
    <w:p w:rsidR="00F16381" w:rsidRDefault="00E14B9F" w:rsidP="00D76783">
      <w:pPr>
        <w:tabs>
          <w:tab w:val="left" w:pos="1872"/>
          <w:tab w:val="left" w:pos="6768"/>
        </w:tabs>
        <w:spacing w:line="480" w:lineRule="auto"/>
        <w:ind w:left="720"/>
        <w:rPr>
          <w:sz w:val="24"/>
          <w:szCs w:val="24"/>
        </w:rPr>
      </w:pPr>
      <w:r>
        <w:rPr>
          <w:sz w:val="24"/>
          <w:szCs w:val="24"/>
        </w:rPr>
        <w:t xml:space="preserve">I joined the OCC </w:t>
      </w:r>
      <w:r w:rsidR="00F16381">
        <w:rPr>
          <w:sz w:val="24"/>
          <w:szCs w:val="24"/>
        </w:rPr>
        <w:t>in May 2</w:t>
      </w:r>
      <w:r w:rsidR="00C44B07">
        <w:rPr>
          <w:sz w:val="24"/>
          <w:szCs w:val="24"/>
        </w:rPr>
        <w:t>010 as a Senior Energy Analyst.</w:t>
      </w:r>
      <w:r w:rsidR="00F16381">
        <w:rPr>
          <w:sz w:val="24"/>
          <w:szCs w:val="24"/>
        </w:rPr>
        <w:t xml:space="preserve"> </w:t>
      </w:r>
      <w:r w:rsidR="00D76783">
        <w:rPr>
          <w:sz w:val="24"/>
          <w:szCs w:val="24"/>
        </w:rPr>
        <w:t xml:space="preserve"> </w:t>
      </w:r>
      <w:r w:rsidR="00F16381">
        <w:rPr>
          <w:sz w:val="24"/>
          <w:szCs w:val="24"/>
        </w:rPr>
        <w:t xml:space="preserve">Prior to joining the OCC, I served as vice president of generation services for American Municipal Power, Inc. (“AMP”), where I was responsible for the daily operations of </w:t>
      </w:r>
      <w:r w:rsidR="00C524A3">
        <w:rPr>
          <w:sz w:val="24"/>
          <w:szCs w:val="24"/>
        </w:rPr>
        <w:t>AMP’s</w:t>
      </w:r>
      <w:r w:rsidR="00F16381">
        <w:rPr>
          <w:sz w:val="24"/>
          <w:szCs w:val="24"/>
        </w:rPr>
        <w:t xml:space="preserve"> electric generating plants, which included negotiating all the commodity contracts for purchasing and selling coal, natur</w:t>
      </w:r>
      <w:r w:rsidR="00C44B07">
        <w:rPr>
          <w:sz w:val="24"/>
          <w:szCs w:val="24"/>
        </w:rPr>
        <w:t>al gas</w:t>
      </w:r>
      <w:r w:rsidR="001F3578">
        <w:rPr>
          <w:sz w:val="24"/>
          <w:szCs w:val="24"/>
        </w:rPr>
        <w:t>,</w:t>
      </w:r>
      <w:r w:rsidR="00C44B07">
        <w:rPr>
          <w:sz w:val="24"/>
          <w:szCs w:val="24"/>
        </w:rPr>
        <w:t xml:space="preserve"> and emission allowances.</w:t>
      </w:r>
      <w:r w:rsidR="00D76783">
        <w:rPr>
          <w:sz w:val="24"/>
          <w:szCs w:val="24"/>
        </w:rPr>
        <w:t xml:space="preserve"> </w:t>
      </w:r>
      <w:r w:rsidR="00F16381">
        <w:rPr>
          <w:sz w:val="24"/>
          <w:szCs w:val="24"/>
        </w:rPr>
        <w:t xml:space="preserve"> I also developed and directed AMP’s natural gas and electric ag</w:t>
      </w:r>
      <w:r w:rsidR="00C44B07">
        <w:rPr>
          <w:sz w:val="24"/>
          <w:szCs w:val="24"/>
        </w:rPr>
        <w:t xml:space="preserve">gregation consulting business. </w:t>
      </w:r>
      <w:r w:rsidR="00D76783">
        <w:rPr>
          <w:sz w:val="24"/>
          <w:szCs w:val="24"/>
        </w:rPr>
        <w:t xml:space="preserve"> </w:t>
      </w:r>
      <w:r w:rsidR="00F16381">
        <w:rPr>
          <w:sz w:val="24"/>
          <w:szCs w:val="24"/>
        </w:rPr>
        <w:t xml:space="preserve">As General Manager of the aggregation business, I negotiated consulting services contracts with more than forty municipalities throughout </w:t>
      </w:r>
      <w:r w:rsidR="00C44B07">
        <w:rPr>
          <w:sz w:val="24"/>
          <w:szCs w:val="24"/>
        </w:rPr>
        <w:t xml:space="preserve">Ohio. </w:t>
      </w:r>
      <w:r w:rsidR="00D76783">
        <w:rPr>
          <w:sz w:val="24"/>
          <w:szCs w:val="24"/>
        </w:rPr>
        <w:t xml:space="preserve"> </w:t>
      </w:r>
      <w:r w:rsidR="00F16381">
        <w:rPr>
          <w:sz w:val="24"/>
          <w:szCs w:val="24"/>
        </w:rPr>
        <w:t xml:space="preserve">These </w:t>
      </w:r>
      <w:r w:rsidR="003D4170">
        <w:rPr>
          <w:sz w:val="24"/>
          <w:szCs w:val="24"/>
        </w:rPr>
        <w:t xml:space="preserve">consulting </w:t>
      </w:r>
      <w:r w:rsidR="00F16381">
        <w:rPr>
          <w:sz w:val="24"/>
          <w:szCs w:val="24"/>
        </w:rPr>
        <w:t xml:space="preserve">services included negotiating price, terms and conditions for </w:t>
      </w:r>
      <w:r w:rsidR="00B23E9F">
        <w:rPr>
          <w:sz w:val="24"/>
          <w:szCs w:val="24"/>
        </w:rPr>
        <w:t xml:space="preserve">natural </w:t>
      </w:r>
      <w:r w:rsidR="00F16381">
        <w:rPr>
          <w:sz w:val="24"/>
          <w:szCs w:val="24"/>
        </w:rPr>
        <w:t xml:space="preserve">gas and electric supply with the retail </w:t>
      </w:r>
      <w:r w:rsidR="00B23E9F">
        <w:rPr>
          <w:sz w:val="24"/>
          <w:szCs w:val="24"/>
        </w:rPr>
        <w:t xml:space="preserve">natural </w:t>
      </w:r>
      <w:r w:rsidR="00F16381">
        <w:rPr>
          <w:sz w:val="24"/>
          <w:szCs w:val="24"/>
        </w:rPr>
        <w:t>gas and electric service providers.</w:t>
      </w:r>
    </w:p>
    <w:p w:rsidR="00F16381" w:rsidRDefault="00F16381" w:rsidP="00A054C9">
      <w:pPr>
        <w:tabs>
          <w:tab w:val="left" w:pos="1872"/>
          <w:tab w:val="left" w:pos="6768"/>
        </w:tabs>
        <w:spacing w:line="480" w:lineRule="auto"/>
        <w:ind w:left="720"/>
        <w:rPr>
          <w:sz w:val="24"/>
          <w:szCs w:val="24"/>
        </w:rPr>
      </w:pPr>
    </w:p>
    <w:p w:rsidR="00FE511D" w:rsidRDefault="00F16381" w:rsidP="00A054C9">
      <w:pPr>
        <w:tabs>
          <w:tab w:val="left" w:pos="1872"/>
          <w:tab w:val="left" w:pos="6768"/>
        </w:tabs>
        <w:spacing w:line="480" w:lineRule="auto"/>
        <w:ind w:left="720"/>
        <w:rPr>
          <w:sz w:val="24"/>
          <w:szCs w:val="24"/>
        </w:rPr>
      </w:pPr>
      <w:r>
        <w:rPr>
          <w:sz w:val="24"/>
          <w:szCs w:val="24"/>
        </w:rPr>
        <w:t xml:space="preserve">Prior to AMP, I worked for many years </w:t>
      </w:r>
      <w:r w:rsidR="005A2329">
        <w:rPr>
          <w:sz w:val="24"/>
          <w:szCs w:val="24"/>
        </w:rPr>
        <w:t>for</w:t>
      </w:r>
      <w:r>
        <w:rPr>
          <w:sz w:val="24"/>
          <w:szCs w:val="24"/>
        </w:rPr>
        <w:t xml:space="preserve"> Columbia Gas of Ohio, Inc. (“Columbia”), serving in a number of sales and marketing positions</w:t>
      </w:r>
      <w:r w:rsidR="00C44B07">
        <w:rPr>
          <w:sz w:val="24"/>
          <w:szCs w:val="24"/>
        </w:rPr>
        <w:t xml:space="preserve">, including </w:t>
      </w:r>
      <w:r w:rsidR="005A2329">
        <w:rPr>
          <w:sz w:val="24"/>
          <w:szCs w:val="24"/>
        </w:rPr>
        <w:t>D</w:t>
      </w:r>
      <w:r w:rsidR="00C44B07">
        <w:rPr>
          <w:sz w:val="24"/>
          <w:szCs w:val="24"/>
        </w:rPr>
        <w:t xml:space="preserve">irector of </w:t>
      </w:r>
      <w:r w:rsidR="005A2329">
        <w:rPr>
          <w:sz w:val="24"/>
          <w:szCs w:val="24"/>
        </w:rPr>
        <w:t>S</w:t>
      </w:r>
      <w:r w:rsidR="00C44B07">
        <w:rPr>
          <w:sz w:val="24"/>
          <w:szCs w:val="24"/>
        </w:rPr>
        <w:t xml:space="preserve">ales. </w:t>
      </w:r>
      <w:r w:rsidR="00D76783">
        <w:rPr>
          <w:sz w:val="24"/>
          <w:szCs w:val="24"/>
        </w:rPr>
        <w:t xml:space="preserve"> </w:t>
      </w:r>
      <w:r>
        <w:rPr>
          <w:sz w:val="24"/>
          <w:szCs w:val="24"/>
        </w:rPr>
        <w:t xml:space="preserve">During my employment at Columbia, I was responsible for </w:t>
      </w:r>
      <w:r w:rsidR="001F3578">
        <w:rPr>
          <w:sz w:val="24"/>
          <w:szCs w:val="24"/>
        </w:rPr>
        <w:t xml:space="preserve">interacting </w:t>
      </w:r>
      <w:r w:rsidR="00C524A3">
        <w:rPr>
          <w:sz w:val="24"/>
          <w:szCs w:val="24"/>
        </w:rPr>
        <w:t xml:space="preserve">with customers and retail natural gas </w:t>
      </w:r>
      <w:r w:rsidR="008C0FE0">
        <w:rPr>
          <w:sz w:val="24"/>
          <w:szCs w:val="24"/>
        </w:rPr>
        <w:t>m</w:t>
      </w:r>
      <w:r w:rsidR="00C524A3">
        <w:rPr>
          <w:sz w:val="24"/>
          <w:szCs w:val="24"/>
        </w:rPr>
        <w:t xml:space="preserve">arketers on issues related to </w:t>
      </w:r>
      <w:r w:rsidR="008C0FE0">
        <w:rPr>
          <w:sz w:val="24"/>
          <w:szCs w:val="24"/>
        </w:rPr>
        <w:t xml:space="preserve">natural </w:t>
      </w:r>
      <w:r w:rsidR="00C524A3">
        <w:rPr>
          <w:sz w:val="24"/>
          <w:szCs w:val="24"/>
        </w:rPr>
        <w:t>gas costs, supply, and rates</w:t>
      </w:r>
      <w:r w:rsidR="00C44B07">
        <w:rPr>
          <w:sz w:val="24"/>
          <w:szCs w:val="24"/>
        </w:rPr>
        <w:t>.</w:t>
      </w:r>
      <w:r w:rsidR="00D76783">
        <w:rPr>
          <w:sz w:val="24"/>
          <w:szCs w:val="24"/>
        </w:rPr>
        <w:t xml:space="preserve"> </w:t>
      </w:r>
      <w:r w:rsidR="00C44B07">
        <w:rPr>
          <w:sz w:val="24"/>
          <w:szCs w:val="24"/>
        </w:rPr>
        <w:t xml:space="preserve"> </w:t>
      </w:r>
      <w:r>
        <w:rPr>
          <w:sz w:val="24"/>
          <w:szCs w:val="24"/>
        </w:rPr>
        <w:t xml:space="preserve">In addition, I negotiated special contracts </w:t>
      </w:r>
      <w:r w:rsidR="003D4170">
        <w:rPr>
          <w:sz w:val="24"/>
          <w:szCs w:val="24"/>
        </w:rPr>
        <w:t xml:space="preserve">that involved competitive market issues </w:t>
      </w:r>
      <w:r w:rsidR="008C0FE0">
        <w:rPr>
          <w:sz w:val="24"/>
          <w:szCs w:val="24"/>
        </w:rPr>
        <w:t>for</w:t>
      </w:r>
      <w:r>
        <w:rPr>
          <w:sz w:val="24"/>
          <w:szCs w:val="24"/>
        </w:rPr>
        <w:t xml:space="preserve"> major industrial accounts.</w:t>
      </w:r>
    </w:p>
    <w:p w:rsidR="00F16381" w:rsidRDefault="00F16381" w:rsidP="00A054C9">
      <w:pPr>
        <w:tabs>
          <w:tab w:val="left" w:pos="1872"/>
          <w:tab w:val="left" w:pos="6768"/>
        </w:tabs>
        <w:spacing w:line="480" w:lineRule="auto"/>
        <w:ind w:left="720"/>
        <w:rPr>
          <w:sz w:val="24"/>
          <w:szCs w:val="24"/>
        </w:rPr>
      </w:pPr>
    </w:p>
    <w:p w:rsidR="00D76783" w:rsidRDefault="00F16381" w:rsidP="00D76783">
      <w:pPr>
        <w:tabs>
          <w:tab w:val="left" w:pos="1872"/>
          <w:tab w:val="left" w:pos="6768"/>
        </w:tabs>
        <w:spacing w:line="480" w:lineRule="auto"/>
        <w:ind w:left="720"/>
        <w:rPr>
          <w:b/>
          <w:i/>
          <w:sz w:val="24"/>
          <w:szCs w:val="24"/>
        </w:rPr>
      </w:pPr>
      <w:r w:rsidRPr="004D32B3">
        <w:rPr>
          <w:sz w:val="24"/>
          <w:szCs w:val="24"/>
        </w:rPr>
        <w:t xml:space="preserve">I have also had experience </w:t>
      </w:r>
      <w:r w:rsidR="00C44B07">
        <w:rPr>
          <w:sz w:val="24"/>
          <w:szCs w:val="24"/>
        </w:rPr>
        <w:t>with</w:t>
      </w:r>
      <w:r w:rsidR="004D32B3" w:rsidRPr="004D32B3">
        <w:rPr>
          <w:sz w:val="24"/>
          <w:szCs w:val="24"/>
        </w:rPr>
        <w:t xml:space="preserve"> </w:t>
      </w:r>
      <w:r w:rsidR="008C0FE0">
        <w:rPr>
          <w:sz w:val="24"/>
          <w:szCs w:val="24"/>
        </w:rPr>
        <w:t xml:space="preserve">transactions </w:t>
      </w:r>
      <w:r w:rsidR="004D32B3" w:rsidRPr="004D32B3">
        <w:rPr>
          <w:sz w:val="24"/>
          <w:szCs w:val="24"/>
        </w:rPr>
        <w:t>among affiliated companies</w:t>
      </w:r>
      <w:r w:rsidR="005508C6" w:rsidRPr="004D32B3">
        <w:rPr>
          <w:sz w:val="24"/>
          <w:szCs w:val="24"/>
        </w:rPr>
        <w:t>.</w:t>
      </w:r>
      <w:r w:rsidR="00C44B07">
        <w:rPr>
          <w:sz w:val="24"/>
          <w:szCs w:val="24"/>
        </w:rPr>
        <w:t xml:space="preserve"> </w:t>
      </w:r>
      <w:r w:rsidR="00D76783">
        <w:rPr>
          <w:sz w:val="24"/>
          <w:szCs w:val="24"/>
        </w:rPr>
        <w:t xml:space="preserve"> </w:t>
      </w:r>
      <w:r w:rsidRPr="004D32B3">
        <w:rPr>
          <w:sz w:val="24"/>
          <w:szCs w:val="24"/>
        </w:rPr>
        <w:t xml:space="preserve">During my tenure at Columbia, I </w:t>
      </w:r>
      <w:r w:rsidR="001F3578">
        <w:rPr>
          <w:sz w:val="24"/>
          <w:szCs w:val="24"/>
        </w:rPr>
        <w:t>interacted</w:t>
      </w:r>
      <w:r w:rsidR="001F3578" w:rsidRPr="004D32B3">
        <w:rPr>
          <w:sz w:val="24"/>
          <w:szCs w:val="24"/>
        </w:rPr>
        <w:t xml:space="preserve"> </w:t>
      </w:r>
      <w:r w:rsidRPr="004D32B3">
        <w:rPr>
          <w:sz w:val="24"/>
          <w:szCs w:val="24"/>
        </w:rPr>
        <w:t>with large industri</w:t>
      </w:r>
      <w:r w:rsidR="00C44B07">
        <w:rPr>
          <w:sz w:val="24"/>
          <w:szCs w:val="24"/>
        </w:rPr>
        <w:t xml:space="preserve">al customers on a daily basis. </w:t>
      </w:r>
      <w:r w:rsidR="00D76783">
        <w:rPr>
          <w:sz w:val="24"/>
          <w:szCs w:val="24"/>
        </w:rPr>
        <w:t xml:space="preserve"> </w:t>
      </w:r>
      <w:r w:rsidRPr="004D32B3">
        <w:rPr>
          <w:sz w:val="24"/>
          <w:szCs w:val="24"/>
        </w:rPr>
        <w:t>At the same time, an affiliate company, Columbia Energy Services (“CES”), was also contacting many of these same industrial customers in an</w:t>
      </w:r>
      <w:r w:rsidR="00C44B07">
        <w:rPr>
          <w:sz w:val="24"/>
          <w:szCs w:val="24"/>
        </w:rPr>
        <w:t xml:space="preserve"> effort to market natural gas</w:t>
      </w:r>
      <w:r w:rsidR="008C0FE0">
        <w:rPr>
          <w:sz w:val="24"/>
          <w:szCs w:val="24"/>
        </w:rPr>
        <w:t xml:space="preserve"> services to the customer</w:t>
      </w:r>
      <w:r w:rsidR="00C44B07">
        <w:rPr>
          <w:sz w:val="24"/>
          <w:szCs w:val="24"/>
        </w:rPr>
        <w:t>.</w:t>
      </w:r>
      <w:r w:rsidR="00D76783">
        <w:rPr>
          <w:sz w:val="24"/>
          <w:szCs w:val="24"/>
        </w:rPr>
        <w:t xml:space="preserve"> </w:t>
      </w:r>
      <w:r w:rsidR="00C44B07">
        <w:rPr>
          <w:sz w:val="24"/>
          <w:szCs w:val="24"/>
        </w:rPr>
        <w:t xml:space="preserve"> </w:t>
      </w:r>
      <w:r w:rsidRPr="00E6026B">
        <w:rPr>
          <w:sz w:val="24"/>
          <w:szCs w:val="24"/>
        </w:rPr>
        <w:t xml:space="preserve">CES was one of a number of natural gas </w:t>
      </w:r>
      <w:r w:rsidR="00E6026B">
        <w:rPr>
          <w:sz w:val="24"/>
          <w:szCs w:val="24"/>
        </w:rPr>
        <w:t>m</w:t>
      </w:r>
      <w:r w:rsidRPr="00E6026B">
        <w:rPr>
          <w:sz w:val="24"/>
          <w:szCs w:val="24"/>
        </w:rPr>
        <w:t xml:space="preserve">arketers working in Ohio, and </w:t>
      </w:r>
      <w:r w:rsidR="005864D4" w:rsidRPr="00E6026B">
        <w:rPr>
          <w:sz w:val="24"/>
          <w:szCs w:val="24"/>
        </w:rPr>
        <w:t xml:space="preserve">as an employee of </w:t>
      </w:r>
      <w:r w:rsidRPr="00E6026B">
        <w:rPr>
          <w:sz w:val="24"/>
          <w:szCs w:val="24"/>
        </w:rPr>
        <w:t>Columbia</w:t>
      </w:r>
      <w:r w:rsidR="00E6026B">
        <w:rPr>
          <w:sz w:val="24"/>
          <w:szCs w:val="24"/>
        </w:rPr>
        <w:t>, we were required to implement corporate separation policies to ensure that any transactions with affiliates were fair and reasonable.</w:t>
      </w:r>
      <w:r w:rsidR="00D76783">
        <w:rPr>
          <w:sz w:val="24"/>
          <w:szCs w:val="24"/>
        </w:rPr>
        <w:t xml:space="preserve"> </w:t>
      </w:r>
      <w:r w:rsidR="00E6026B">
        <w:rPr>
          <w:sz w:val="24"/>
          <w:szCs w:val="24"/>
        </w:rPr>
        <w:t xml:space="preserve"> We were also required to not disclose certain price sensitive information or share that information with affiliates.</w:t>
      </w:r>
      <w:r w:rsidR="00D76783">
        <w:rPr>
          <w:b/>
          <w:i/>
          <w:sz w:val="24"/>
          <w:szCs w:val="24"/>
        </w:rPr>
        <w:br w:type="page"/>
      </w:r>
    </w:p>
    <w:p w:rsidR="00F16381" w:rsidRDefault="00F16381" w:rsidP="00A054C9">
      <w:pPr>
        <w:tabs>
          <w:tab w:val="left" w:pos="720"/>
          <w:tab w:val="left" w:pos="1872"/>
          <w:tab w:val="left" w:pos="6768"/>
        </w:tabs>
        <w:spacing w:line="480" w:lineRule="auto"/>
        <w:ind w:left="720" w:hanging="720"/>
        <w:rPr>
          <w:b/>
          <w:i/>
          <w:sz w:val="24"/>
          <w:szCs w:val="24"/>
        </w:rPr>
      </w:pPr>
      <w:r>
        <w:rPr>
          <w:b/>
          <w:i/>
          <w:sz w:val="24"/>
          <w:szCs w:val="24"/>
        </w:rPr>
        <w:t>Q3.</w:t>
      </w:r>
      <w:r>
        <w:rPr>
          <w:b/>
          <w:i/>
          <w:sz w:val="24"/>
          <w:szCs w:val="24"/>
        </w:rPr>
        <w:tab/>
        <w:t>WHAT ARE YOUR RESPONSIBILITIES AS A</w:t>
      </w:r>
      <w:r w:rsidR="00B35050">
        <w:rPr>
          <w:b/>
          <w:i/>
          <w:sz w:val="24"/>
          <w:szCs w:val="24"/>
        </w:rPr>
        <w:t>N OCC</w:t>
      </w:r>
      <w:r>
        <w:rPr>
          <w:b/>
          <w:i/>
          <w:sz w:val="24"/>
          <w:szCs w:val="24"/>
        </w:rPr>
        <w:t xml:space="preserve"> SENIOR </w:t>
      </w:r>
      <w:r w:rsidR="00956237">
        <w:rPr>
          <w:b/>
          <w:i/>
          <w:sz w:val="24"/>
          <w:szCs w:val="24"/>
        </w:rPr>
        <w:t>ENERGY</w:t>
      </w:r>
      <w:r>
        <w:rPr>
          <w:b/>
          <w:i/>
          <w:sz w:val="24"/>
          <w:szCs w:val="24"/>
        </w:rPr>
        <w:t xml:space="preserve"> ANALYST?</w:t>
      </w:r>
    </w:p>
    <w:p w:rsidR="00F16381" w:rsidRDefault="00F16381" w:rsidP="00A054C9">
      <w:pPr>
        <w:tabs>
          <w:tab w:val="left" w:pos="1872"/>
          <w:tab w:val="left" w:pos="6768"/>
        </w:tabs>
        <w:spacing w:line="480" w:lineRule="auto"/>
        <w:ind w:left="720" w:hanging="720"/>
        <w:rPr>
          <w:sz w:val="24"/>
          <w:szCs w:val="24"/>
        </w:rPr>
      </w:pPr>
      <w:r>
        <w:rPr>
          <w:b/>
          <w:i/>
          <w:sz w:val="24"/>
          <w:szCs w:val="24"/>
        </w:rPr>
        <w:t>A3.</w:t>
      </w:r>
      <w:r>
        <w:rPr>
          <w:sz w:val="24"/>
          <w:szCs w:val="24"/>
        </w:rPr>
        <w:tab/>
        <w:t>My duties include research, investigation</w:t>
      </w:r>
      <w:r w:rsidR="001F3578">
        <w:rPr>
          <w:sz w:val="24"/>
          <w:szCs w:val="24"/>
        </w:rPr>
        <w:t>,</w:t>
      </w:r>
      <w:r>
        <w:rPr>
          <w:sz w:val="24"/>
          <w:szCs w:val="24"/>
        </w:rPr>
        <w:t xml:space="preserve"> and analysis of </w:t>
      </w:r>
      <w:r w:rsidR="00C524A3">
        <w:rPr>
          <w:sz w:val="24"/>
          <w:szCs w:val="24"/>
        </w:rPr>
        <w:t xml:space="preserve">electric and natural </w:t>
      </w:r>
      <w:r>
        <w:rPr>
          <w:sz w:val="24"/>
          <w:szCs w:val="24"/>
        </w:rPr>
        <w:t>gas</w:t>
      </w:r>
      <w:r w:rsidR="00C524A3">
        <w:rPr>
          <w:sz w:val="24"/>
          <w:szCs w:val="24"/>
        </w:rPr>
        <w:t xml:space="preserve"> utility</w:t>
      </w:r>
      <w:r>
        <w:rPr>
          <w:sz w:val="24"/>
          <w:szCs w:val="24"/>
        </w:rPr>
        <w:t xml:space="preserve"> filings at the state and federal levels</w:t>
      </w:r>
      <w:r w:rsidR="00283F8C">
        <w:rPr>
          <w:sz w:val="24"/>
          <w:szCs w:val="24"/>
        </w:rPr>
        <w:t xml:space="preserve">, </w:t>
      </w:r>
      <w:r>
        <w:rPr>
          <w:sz w:val="24"/>
          <w:szCs w:val="24"/>
        </w:rPr>
        <w:t xml:space="preserve">and </w:t>
      </w:r>
      <w:r w:rsidR="00525380">
        <w:rPr>
          <w:sz w:val="24"/>
          <w:szCs w:val="24"/>
        </w:rPr>
        <w:t xml:space="preserve">providing </w:t>
      </w:r>
      <w:r w:rsidR="001F3578">
        <w:rPr>
          <w:sz w:val="24"/>
          <w:szCs w:val="24"/>
        </w:rPr>
        <w:t>recommendation</w:t>
      </w:r>
      <w:r w:rsidR="00525380">
        <w:rPr>
          <w:sz w:val="24"/>
          <w:szCs w:val="24"/>
        </w:rPr>
        <w:t>s</w:t>
      </w:r>
      <w:r w:rsidR="001F3578">
        <w:rPr>
          <w:sz w:val="24"/>
          <w:szCs w:val="24"/>
        </w:rPr>
        <w:t xml:space="preserve"> concerning </w:t>
      </w:r>
      <w:r>
        <w:rPr>
          <w:sz w:val="24"/>
          <w:szCs w:val="24"/>
        </w:rPr>
        <w:t xml:space="preserve">policy </w:t>
      </w:r>
      <w:r w:rsidR="00C44B07">
        <w:rPr>
          <w:sz w:val="24"/>
          <w:szCs w:val="24"/>
        </w:rPr>
        <w:t>development and implementation</w:t>
      </w:r>
      <w:r w:rsidR="00847A2C">
        <w:rPr>
          <w:sz w:val="24"/>
          <w:szCs w:val="24"/>
        </w:rPr>
        <w:t xml:space="preserve"> in various jurisdictions  </w:t>
      </w:r>
      <w:r>
        <w:rPr>
          <w:sz w:val="24"/>
          <w:szCs w:val="24"/>
        </w:rPr>
        <w:t xml:space="preserve">Specifically, </w:t>
      </w:r>
      <w:r w:rsidR="00847A2C">
        <w:rPr>
          <w:sz w:val="24"/>
          <w:szCs w:val="24"/>
        </w:rPr>
        <w:t xml:space="preserve">among other things, </w:t>
      </w:r>
      <w:r>
        <w:rPr>
          <w:sz w:val="24"/>
          <w:szCs w:val="24"/>
        </w:rPr>
        <w:t xml:space="preserve">I provide policy and technical analysis </w:t>
      </w:r>
      <w:r w:rsidR="004D6E27">
        <w:rPr>
          <w:sz w:val="24"/>
          <w:szCs w:val="24"/>
        </w:rPr>
        <w:t>o</w:t>
      </w:r>
      <w:r>
        <w:rPr>
          <w:sz w:val="24"/>
          <w:szCs w:val="24"/>
        </w:rPr>
        <w:t xml:space="preserve">n both natural gas and electric utility filings with the Public Utilities Commission of Ohio (“PUCO”), including </w:t>
      </w:r>
      <w:r w:rsidR="00C524A3">
        <w:rPr>
          <w:sz w:val="24"/>
          <w:szCs w:val="24"/>
        </w:rPr>
        <w:t>Electric Standard Service Offers</w:t>
      </w:r>
      <w:r w:rsidR="00136CAC">
        <w:rPr>
          <w:sz w:val="24"/>
          <w:szCs w:val="24"/>
        </w:rPr>
        <w:t xml:space="preserve"> (“SSO”)</w:t>
      </w:r>
      <w:r w:rsidR="00C524A3">
        <w:rPr>
          <w:sz w:val="24"/>
          <w:szCs w:val="24"/>
        </w:rPr>
        <w:t xml:space="preserve">, </w:t>
      </w:r>
      <w:r>
        <w:rPr>
          <w:sz w:val="24"/>
          <w:szCs w:val="24"/>
        </w:rPr>
        <w:t xml:space="preserve">Gas </w:t>
      </w:r>
      <w:r w:rsidR="00136CAC">
        <w:rPr>
          <w:sz w:val="24"/>
          <w:szCs w:val="24"/>
        </w:rPr>
        <w:t xml:space="preserve">Cost </w:t>
      </w:r>
      <w:r>
        <w:rPr>
          <w:sz w:val="24"/>
          <w:szCs w:val="24"/>
        </w:rPr>
        <w:t>Recovery</w:t>
      </w:r>
      <w:r w:rsidR="00136CAC">
        <w:rPr>
          <w:sz w:val="24"/>
          <w:szCs w:val="24"/>
        </w:rPr>
        <w:t xml:space="preserve"> (“GCR”)</w:t>
      </w:r>
      <w:r>
        <w:rPr>
          <w:sz w:val="24"/>
          <w:szCs w:val="24"/>
        </w:rPr>
        <w:t xml:space="preserve"> Audits, </w:t>
      </w:r>
      <w:r w:rsidR="00C524A3">
        <w:rPr>
          <w:sz w:val="24"/>
          <w:szCs w:val="24"/>
        </w:rPr>
        <w:t xml:space="preserve">Fuel Adjustment Clause Audits, </w:t>
      </w:r>
      <w:r>
        <w:rPr>
          <w:sz w:val="24"/>
          <w:szCs w:val="24"/>
        </w:rPr>
        <w:t>Long</w:t>
      </w:r>
      <w:r w:rsidR="00525380">
        <w:rPr>
          <w:sz w:val="24"/>
          <w:szCs w:val="24"/>
        </w:rPr>
        <w:t>-</w:t>
      </w:r>
      <w:r>
        <w:rPr>
          <w:sz w:val="24"/>
          <w:szCs w:val="24"/>
        </w:rPr>
        <w:t>Term Forecast Reports, Infrastructure Replacement Programs</w:t>
      </w:r>
      <w:r w:rsidR="00626AC5">
        <w:rPr>
          <w:sz w:val="24"/>
          <w:szCs w:val="24"/>
        </w:rPr>
        <w:t>,</w:t>
      </w:r>
      <w:r>
        <w:rPr>
          <w:sz w:val="24"/>
          <w:szCs w:val="24"/>
        </w:rPr>
        <w:t xml:space="preserve"> and </w:t>
      </w:r>
      <w:r w:rsidR="00525380">
        <w:rPr>
          <w:sz w:val="24"/>
          <w:szCs w:val="24"/>
        </w:rPr>
        <w:t>r</w:t>
      </w:r>
      <w:r>
        <w:rPr>
          <w:sz w:val="24"/>
          <w:szCs w:val="24"/>
        </w:rPr>
        <w:t xml:space="preserve">ate </w:t>
      </w:r>
      <w:r w:rsidR="00525380">
        <w:rPr>
          <w:sz w:val="24"/>
          <w:szCs w:val="24"/>
        </w:rPr>
        <w:t>c</w:t>
      </w:r>
      <w:r>
        <w:rPr>
          <w:sz w:val="24"/>
          <w:szCs w:val="24"/>
        </w:rPr>
        <w:t>ases.</w:t>
      </w:r>
    </w:p>
    <w:p w:rsidR="00EE3529" w:rsidRDefault="00EE3529" w:rsidP="00A054C9">
      <w:pPr>
        <w:tabs>
          <w:tab w:val="left" w:pos="1872"/>
          <w:tab w:val="left" w:pos="6768"/>
        </w:tabs>
        <w:spacing w:line="480" w:lineRule="auto"/>
        <w:ind w:left="720" w:hanging="720"/>
        <w:rPr>
          <w:sz w:val="24"/>
          <w:szCs w:val="24"/>
        </w:rPr>
      </w:pPr>
    </w:p>
    <w:p w:rsidR="00EE3529" w:rsidRPr="00EE3529" w:rsidRDefault="00EE3529" w:rsidP="00A054C9">
      <w:pPr>
        <w:tabs>
          <w:tab w:val="left" w:pos="1872"/>
          <w:tab w:val="left" w:pos="6768"/>
        </w:tabs>
        <w:spacing w:line="480" w:lineRule="auto"/>
        <w:ind w:left="720" w:hanging="720"/>
        <w:rPr>
          <w:b/>
          <w:i/>
          <w:sz w:val="24"/>
          <w:szCs w:val="24"/>
        </w:rPr>
      </w:pPr>
      <w:r w:rsidRPr="00EE3529">
        <w:rPr>
          <w:b/>
          <w:i/>
          <w:sz w:val="24"/>
          <w:szCs w:val="24"/>
        </w:rPr>
        <w:t>Q4.</w:t>
      </w:r>
      <w:r w:rsidRPr="00EE3529">
        <w:rPr>
          <w:b/>
          <w:i/>
          <w:sz w:val="24"/>
          <w:szCs w:val="24"/>
        </w:rPr>
        <w:tab/>
        <w:t>HAVE YOU PREVIOUSLY SUBMITTED TESTIMONY OR TESTIFIED BEFORE TH</w:t>
      </w:r>
      <w:r w:rsidR="00EC77F9">
        <w:rPr>
          <w:b/>
          <w:i/>
          <w:sz w:val="24"/>
          <w:szCs w:val="24"/>
        </w:rPr>
        <w:t>E</w:t>
      </w:r>
      <w:r w:rsidRPr="00EE3529">
        <w:rPr>
          <w:b/>
          <w:i/>
          <w:sz w:val="24"/>
          <w:szCs w:val="24"/>
        </w:rPr>
        <w:t xml:space="preserve"> </w:t>
      </w:r>
      <w:r w:rsidR="00EC77F9">
        <w:rPr>
          <w:b/>
          <w:i/>
          <w:sz w:val="24"/>
          <w:szCs w:val="24"/>
        </w:rPr>
        <w:t>PUCO</w:t>
      </w:r>
      <w:r w:rsidRPr="00EE3529">
        <w:rPr>
          <w:b/>
          <w:i/>
          <w:sz w:val="24"/>
          <w:szCs w:val="24"/>
        </w:rPr>
        <w:t>?</w:t>
      </w:r>
    </w:p>
    <w:p w:rsidR="00E706FD" w:rsidRPr="00E706FD" w:rsidRDefault="00EE3529" w:rsidP="00A054C9">
      <w:pPr>
        <w:tabs>
          <w:tab w:val="left" w:pos="1872"/>
          <w:tab w:val="left" w:pos="6768"/>
        </w:tabs>
        <w:spacing w:line="480" w:lineRule="auto"/>
        <w:ind w:left="720" w:hanging="720"/>
        <w:rPr>
          <w:rFonts w:eastAsia="PMingLiU"/>
          <w:bCs/>
          <w:iCs/>
          <w:szCs w:val="24"/>
        </w:rPr>
      </w:pPr>
      <w:r w:rsidRPr="00EE3529">
        <w:rPr>
          <w:b/>
          <w:i/>
          <w:sz w:val="24"/>
          <w:szCs w:val="24"/>
        </w:rPr>
        <w:t>A4.</w:t>
      </w:r>
      <w:r>
        <w:rPr>
          <w:sz w:val="24"/>
          <w:szCs w:val="24"/>
        </w:rPr>
        <w:tab/>
        <w:t>Yes</w:t>
      </w:r>
      <w:r w:rsidR="00C44B07">
        <w:rPr>
          <w:sz w:val="24"/>
          <w:szCs w:val="24"/>
        </w:rPr>
        <w:t>.</w:t>
      </w:r>
      <w:r w:rsidR="00D76783">
        <w:rPr>
          <w:sz w:val="24"/>
          <w:szCs w:val="24"/>
        </w:rPr>
        <w:t xml:space="preserve"> </w:t>
      </w:r>
      <w:r w:rsidR="00C44B07">
        <w:rPr>
          <w:sz w:val="24"/>
          <w:szCs w:val="24"/>
        </w:rPr>
        <w:t xml:space="preserve"> </w:t>
      </w:r>
      <w:r w:rsidR="00E706FD" w:rsidRPr="00E706FD">
        <w:rPr>
          <w:rFonts w:eastAsia="PMingLiU"/>
          <w:sz w:val="24"/>
          <w:szCs w:val="24"/>
        </w:rPr>
        <w:t xml:space="preserve">This information is attached as </w:t>
      </w:r>
      <w:r w:rsidR="0059142D">
        <w:rPr>
          <w:rFonts w:eastAsia="PMingLiU"/>
          <w:sz w:val="24"/>
          <w:szCs w:val="24"/>
        </w:rPr>
        <w:t xml:space="preserve">OCC </w:t>
      </w:r>
      <w:r w:rsidR="0068712D">
        <w:rPr>
          <w:rFonts w:eastAsia="PMingLiU"/>
          <w:sz w:val="24"/>
          <w:szCs w:val="24"/>
        </w:rPr>
        <w:t xml:space="preserve">Attachment </w:t>
      </w:r>
      <w:r w:rsidR="00E706FD" w:rsidRPr="00E706FD">
        <w:rPr>
          <w:rFonts w:eastAsia="PMingLiU"/>
          <w:sz w:val="24"/>
          <w:szCs w:val="24"/>
        </w:rPr>
        <w:t>GS-1.</w:t>
      </w:r>
    </w:p>
    <w:p w:rsidR="00F16381" w:rsidRDefault="00F16381" w:rsidP="00A054C9">
      <w:pPr>
        <w:tabs>
          <w:tab w:val="left" w:pos="1872"/>
          <w:tab w:val="left" w:pos="6768"/>
        </w:tabs>
        <w:spacing w:line="480" w:lineRule="auto"/>
        <w:ind w:left="720" w:hanging="720"/>
        <w:rPr>
          <w:sz w:val="24"/>
          <w:szCs w:val="24"/>
        </w:rPr>
      </w:pPr>
    </w:p>
    <w:p w:rsidR="00F16381" w:rsidRDefault="00F16381" w:rsidP="00A054C9">
      <w:pPr>
        <w:tabs>
          <w:tab w:val="left" w:pos="1872"/>
          <w:tab w:val="left" w:pos="6768"/>
        </w:tabs>
        <w:spacing w:line="480" w:lineRule="auto"/>
        <w:ind w:left="720" w:hanging="720"/>
        <w:rPr>
          <w:b/>
          <w:i/>
          <w:sz w:val="24"/>
          <w:szCs w:val="24"/>
        </w:rPr>
      </w:pPr>
      <w:r>
        <w:rPr>
          <w:b/>
          <w:i/>
          <w:sz w:val="24"/>
          <w:szCs w:val="24"/>
        </w:rPr>
        <w:t>Q</w:t>
      </w:r>
      <w:r w:rsidR="00DE0E6F">
        <w:rPr>
          <w:b/>
          <w:i/>
          <w:sz w:val="24"/>
          <w:szCs w:val="24"/>
        </w:rPr>
        <w:t>5</w:t>
      </w:r>
      <w:r>
        <w:rPr>
          <w:b/>
          <w:i/>
          <w:sz w:val="24"/>
          <w:szCs w:val="24"/>
        </w:rPr>
        <w:t>.</w:t>
      </w:r>
      <w:r>
        <w:rPr>
          <w:b/>
          <w:i/>
          <w:sz w:val="24"/>
          <w:szCs w:val="24"/>
        </w:rPr>
        <w:tab/>
        <w:t>WHAT DOCUMENTS HAVE YOU REVIEWED IN THE PREPARATION OF YOUR TESTIMONY?</w:t>
      </w:r>
    </w:p>
    <w:p w:rsidR="00B611DD" w:rsidRDefault="00F16381" w:rsidP="00A054C9">
      <w:pPr>
        <w:pStyle w:val="ANSWER"/>
        <w:ind w:left="720"/>
        <w:rPr>
          <w:bCs/>
          <w:iCs/>
          <w:szCs w:val="24"/>
        </w:rPr>
      </w:pPr>
      <w:r>
        <w:rPr>
          <w:b/>
          <w:i/>
          <w:szCs w:val="24"/>
        </w:rPr>
        <w:t>A</w:t>
      </w:r>
      <w:r w:rsidR="00DE0E6F">
        <w:rPr>
          <w:b/>
          <w:i/>
          <w:szCs w:val="24"/>
        </w:rPr>
        <w:t>5</w:t>
      </w:r>
      <w:r>
        <w:rPr>
          <w:b/>
          <w:i/>
          <w:szCs w:val="24"/>
        </w:rPr>
        <w:t>.</w:t>
      </w:r>
      <w:r>
        <w:rPr>
          <w:b/>
          <w:i/>
          <w:szCs w:val="24"/>
        </w:rPr>
        <w:tab/>
      </w:r>
      <w:r>
        <w:rPr>
          <w:bCs/>
          <w:iCs/>
          <w:szCs w:val="24"/>
        </w:rPr>
        <w:t xml:space="preserve">I have reviewed </w:t>
      </w:r>
      <w:r w:rsidR="004D6E27">
        <w:rPr>
          <w:bCs/>
          <w:iCs/>
          <w:szCs w:val="24"/>
        </w:rPr>
        <w:t xml:space="preserve">the PUCO </w:t>
      </w:r>
      <w:r>
        <w:rPr>
          <w:bCs/>
          <w:iCs/>
          <w:szCs w:val="24"/>
        </w:rPr>
        <w:t xml:space="preserve">Staff’s (“Staff”) </w:t>
      </w:r>
      <w:r w:rsidR="00546A3A">
        <w:rPr>
          <w:bCs/>
          <w:iCs/>
          <w:szCs w:val="24"/>
        </w:rPr>
        <w:t>January 27</w:t>
      </w:r>
      <w:r w:rsidR="009B573F">
        <w:rPr>
          <w:bCs/>
          <w:iCs/>
          <w:szCs w:val="24"/>
        </w:rPr>
        <w:t xml:space="preserve">, </w:t>
      </w:r>
      <w:r w:rsidR="00546A3A">
        <w:rPr>
          <w:bCs/>
          <w:iCs/>
          <w:szCs w:val="24"/>
        </w:rPr>
        <w:t>2015</w:t>
      </w:r>
      <w:r>
        <w:rPr>
          <w:bCs/>
          <w:iCs/>
          <w:szCs w:val="24"/>
        </w:rPr>
        <w:t xml:space="preserve"> Financial Audits of the Gas Cost Recovery Mechanisms </w:t>
      </w:r>
      <w:r w:rsidR="00546A3A">
        <w:rPr>
          <w:bCs/>
          <w:iCs/>
          <w:szCs w:val="24"/>
        </w:rPr>
        <w:t xml:space="preserve">for the Effective GCR Period January 1, 2013 through June 30, 2014 for Brainard Gas </w:t>
      </w:r>
      <w:r w:rsidR="00E130D5">
        <w:rPr>
          <w:bCs/>
          <w:iCs/>
          <w:szCs w:val="24"/>
        </w:rPr>
        <w:t>Corporation</w:t>
      </w:r>
      <w:r w:rsidR="00546A3A">
        <w:rPr>
          <w:bCs/>
          <w:iCs/>
          <w:szCs w:val="24"/>
        </w:rPr>
        <w:t xml:space="preserve"> (“Brainard”)</w:t>
      </w:r>
      <w:r w:rsidR="00847A2C">
        <w:rPr>
          <w:bCs/>
          <w:iCs/>
          <w:szCs w:val="24"/>
        </w:rPr>
        <w:t>;</w:t>
      </w:r>
      <w:r w:rsidR="00546A3A">
        <w:rPr>
          <w:bCs/>
          <w:iCs/>
          <w:szCs w:val="24"/>
        </w:rPr>
        <w:t xml:space="preserve"> </w:t>
      </w:r>
      <w:r>
        <w:rPr>
          <w:bCs/>
          <w:iCs/>
          <w:szCs w:val="24"/>
        </w:rPr>
        <w:t xml:space="preserve">for the Effective GCR Period July 1, </w:t>
      </w:r>
      <w:r w:rsidR="00546A3A">
        <w:rPr>
          <w:bCs/>
          <w:iCs/>
          <w:szCs w:val="24"/>
        </w:rPr>
        <w:t xml:space="preserve">2012 </w:t>
      </w:r>
      <w:r>
        <w:rPr>
          <w:bCs/>
          <w:iCs/>
          <w:szCs w:val="24"/>
        </w:rPr>
        <w:t xml:space="preserve">through June 30, </w:t>
      </w:r>
      <w:r w:rsidR="00546A3A">
        <w:rPr>
          <w:bCs/>
          <w:iCs/>
          <w:szCs w:val="24"/>
        </w:rPr>
        <w:t>2014</w:t>
      </w:r>
      <w:r>
        <w:rPr>
          <w:bCs/>
          <w:iCs/>
          <w:szCs w:val="24"/>
        </w:rPr>
        <w:t xml:space="preserve"> for </w:t>
      </w:r>
      <w:r>
        <w:rPr>
          <w:szCs w:val="24"/>
        </w:rPr>
        <w:t>Orwell Natural Gas Company</w:t>
      </w:r>
      <w:r>
        <w:rPr>
          <w:bCs/>
          <w:iCs/>
          <w:szCs w:val="24"/>
        </w:rPr>
        <w:t xml:space="preserve"> (“Orwell”)</w:t>
      </w:r>
      <w:r w:rsidR="00847A2C">
        <w:rPr>
          <w:bCs/>
          <w:iCs/>
          <w:szCs w:val="24"/>
        </w:rPr>
        <w:t>;</w:t>
      </w:r>
      <w:r>
        <w:rPr>
          <w:bCs/>
          <w:iCs/>
          <w:szCs w:val="24"/>
        </w:rPr>
        <w:t xml:space="preserve"> and for the Effective GCR Period March 1, </w:t>
      </w:r>
      <w:r w:rsidR="00546A3A">
        <w:rPr>
          <w:bCs/>
          <w:iCs/>
          <w:szCs w:val="24"/>
        </w:rPr>
        <w:t xml:space="preserve">2012 </w:t>
      </w:r>
      <w:r>
        <w:rPr>
          <w:bCs/>
          <w:iCs/>
          <w:szCs w:val="24"/>
        </w:rPr>
        <w:t xml:space="preserve">through </w:t>
      </w:r>
      <w:r w:rsidR="00546A3A">
        <w:rPr>
          <w:bCs/>
          <w:iCs/>
          <w:szCs w:val="24"/>
        </w:rPr>
        <w:t>June 30, 2014</w:t>
      </w:r>
      <w:r>
        <w:rPr>
          <w:bCs/>
          <w:iCs/>
          <w:szCs w:val="24"/>
        </w:rPr>
        <w:t xml:space="preserve"> for Northeast Ohio Natural Gas Co</w:t>
      </w:r>
      <w:r w:rsidR="00CA7BBA">
        <w:rPr>
          <w:bCs/>
          <w:iCs/>
          <w:szCs w:val="24"/>
        </w:rPr>
        <w:t>rporation</w:t>
      </w:r>
      <w:r>
        <w:rPr>
          <w:bCs/>
          <w:iCs/>
          <w:szCs w:val="24"/>
        </w:rPr>
        <w:t xml:space="preserve"> (“Northeast”)</w:t>
      </w:r>
      <w:r w:rsidR="00CA7BBA">
        <w:rPr>
          <w:bCs/>
          <w:iCs/>
          <w:szCs w:val="24"/>
        </w:rPr>
        <w:t xml:space="preserve"> (collectively</w:t>
      </w:r>
      <w:r w:rsidR="00525380">
        <w:rPr>
          <w:bCs/>
          <w:iCs/>
          <w:szCs w:val="24"/>
        </w:rPr>
        <w:t>,</w:t>
      </w:r>
      <w:r w:rsidR="00CA7BBA">
        <w:rPr>
          <w:bCs/>
          <w:iCs/>
          <w:szCs w:val="24"/>
        </w:rPr>
        <w:t xml:space="preserve"> “</w:t>
      </w:r>
      <w:r w:rsidR="00824EBE">
        <w:rPr>
          <w:bCs/>
          <w:iCs/>
          <w:szCs w:val="24"/>
        </w:rPr>
        <w:t xml:space="preserve">the </w:t>
      </w:r>
      <w:r w:rsidR="00A630D1">
        <w:rPr>
          <w:bCs/>
          <w:iCs/>
          <w:szCs w:val="24"/>
        </w:rPr>
        <w:t>U</w:t>
      </w:r>
      <w:r w:rsidR="00CA7BBA">
        <w:rPr>
          <w:bCs/>
          <w:iCs/>
          <w:szCs w:val="24"/>
        </w:rPr>
        <w:t>tilities”)</w:t>
      </w:r>
      <w:r w:rsidR="00C44B07">
        <w:rPr>
          <w:bCs/>
          <w:iCs/>
          <w:szCs w:val="24"/>
        </w:rPr>
        <w:t>.</w:t>
      </w:r>
      <w:r>
        <w:rPr>
          <w:bCs/>
          <w:iCs/>
          <w:szCs w:val="24"/>
        </w:rPr>
        <w:t xml:space="preserve"> </w:t>
      </w:r>
      <w:r w:rsidR="005C245A">
        <w:rPr>
          <w:bCs/>
          <w:iCs/>
          <w:szCs w:val="24"/>
        </w:rPr>
        <w:t xml:space="preserve"> </w:t>
      </w:r>
      <w:r>
        <w:rPr>
          <w:bCs/>
          <w:iCs/>
          <w:szCs w:val="24"/>
        </w:rPr>
        <w:t xml:space="preserve">I also reviewed </w:t>
      </w:r>
      <w:r w:rsidR="00847A2C">
        <w:rPr>
          <w:bCs/>
          <w:iCs/>
          <w:szCs w:val="24"/>
        </w:rPr>
        <w:t>the Utilities’</w:t>
      </w:r>
      <w:r>
        <w:rPr>
          <w:bCs/>
          <w:iCs/>
          <w:szCs w:val="24"/>
        </w:rPr>
        <w:t xml:space="preserve"> responses to OCC discovery</w:t>
      </w:r>
      <w:r w:rsidRPr="00460E8D">
        <w:rPr>
          <w:bCs/>
          <w:iCs/>
          <w:szCs w:val="24"/>
        </w:rPr>
        <w:t>.</w:t>
      </w:r>
      <w:r w:rsidR="00C44B07">
        <w:rPr>
          <w:bCs/>
          <w:iCs/>
          <w:szCs w:val="24"/>
        </w:rPr>
        <w:t xml:space="preserve"> </w:t>
      </w:r>
      <w:r w:rsidR="005C245A">
        <w:rPr>
          <w:bCs/>
          <w:iCs/>
          <w:szCs w:val="24"/>
        </w:rPr>
        <w:t xml:space="preserve"> </w:t>
      </w:r>
      <w:r>
        <w:rPr>
          <w:bCs/>
          <w:iCs/>
          <w:szCs w:val="24"/>
        </w:rPr>
        <w:t xml:space="preserve">Additionally, I have reviewed </w:t>
      </w:r>
      <w:r w:rsidR="009B573F">
        <w:rPr>
          <w:bCs/>
          <w:iCs/>
          <w:szCs w:val="24"/>
        </w:rPr>
        <w:t xml:space="preserve">the </w:t>
      </w:r>
      <w:r w:rsidR="00CD603E">
        <w:rPr>
          <w:bCs/>
          <w:iCs/>
          <w:szCs w:val="24"/>
        </w:rPr>
        <w:t>2010 and 2012</w:t>
      </w:r>
      <w:r w:rsidR="00546A3A">
        <w:rPr>
          <w:bCs/>
          <w:iCs/>
          <w:szCs w:val="24"/>
        </w:rPr>
        <w:t xml:space="preserve"> </w:t>
      </w:r>
      <w:r w:rsidR="00392447">
        <w:rPr>
          <w:bCs/>
          <w:iCs/>
          <w:szCs w:val="24"/>
        </w:rPr>
        <w:t xml:space="preserve">GCR </w:t>
      </w:r>
      <w:r w:rsidR="00CB3F86">
        <w:rPr>
          <w:bCs/>
          <w:iCs/>
          <w:szCs w:val="24"/>
        </w:rPr>
        <w:t>a</w:t>
      </w:r>
      <w:r w:rsidR="009B573F">
        <w:rPr>
          <w:bCs/>
          <w:iCs/>
          <w:szCs w:val="24"/>
        </w:rPr>
        <w:t>udit</w:t>
      </w:r>
      <w:r w:rsidR="00CD603E">
        <w:rPr>
          <w:bCs/>
          <w:iCs/>
          <w:szCs w:val="24"/>
        </w:rPr>
        <w:t xml:space="preserve"> </w:t>
      </w:r>
      <w:r w:rsidR="00CB3F86">
        <w:rPr>
          <w:bCs/>
          <w:iCs/>
          <w:szCs w:val="24"/>
        </w:rPr>
        <w:t>proceedings</w:t>
      </w:r>
      <w:r w:rsidR="009B573F">
        <w:rPr>
          <w:bCs/>
          <w:iCs/>
          <w:szCs w:val="24"/>
        </w:rPr>
        <w:t xml:space="preserve"> for Orwell and Northeast</w:t>
      </w:r>
      <w:r w:rsidR="00D75E44">
        <w:rPr>
          <w:bCs/>
          <w:iCs/>
          <w:szCs w:val="24"/>
        </w:rPr>
        <w:t>, including</w:t>
      </w:r>
      <w:r w:rsidR="00546A3A">
        <w:rPr>
          <w:bCs/>
          <w:iCs/>
          <w:szCs w:val="24"/>
        </w:rPr>
        <w:t xml:space="preserve"> discovery responses</w:t>
      </w:r>
      <w:r w:rsidR="009B573F">
        <w:rPr>
          <w:bCs/>
          <w:iCs/>
          <w:szCs w:val="24"/>
        </w:rPr>
        <w:t xml:space="preserve">, along with </w:t>
      </w:r>
      <w:r w:rsidR="00293E11">
        <w:rPr>
          <w:bCs/>
          <w:iCs/>
          <w:szCs w:val="24"/>
        </w:rPr>
        <w:t>A</w:t>
      </w:r>
      <w:r w:rsidR="00A42901">
        <w:rPr>
          <w:bCs/>
          <w:iCs/>
          <w:szCs w:val="24"/>
        </w:rPr>
        <w:t xml:space="preserve">nnual </w:t>
      </w:r>
      <w:r w:rsidR="00293E11">
        <w:rPr>
          <w:bCs/>
          <w:iCs/>
          <w:szCs w:val="24"/>
        </w:rPr>
        <w:t>R</w:t>
      </w:r>
      <w:r w:rsidR="00A42901">
        <w:rPr>
          <w:bCs/>
          <w:iCs/>
          <w:szCs w:val="24"/>
        </w:rPr>
        <w:t xml:space="preserve">eports </w:t>
      </w:r>
      <w:r w:rsidR="00D50425">
        <w:rPr>
          <w:bCs/>
          <w:iCs/>
          <w:szCs w:val="24"/>
        </w:rPr>
        <w:t xml:space="preserve">filed with the PUCO </w:t>
      </w:r>
      <w:r w:rsidR="00A42901">
        <w:rPr>
          <w:bCs/>
          <w:iCs/>
          <w:szCs w:val="24"/>
        </w:rPr>
        <w:t xml:space="preserve">for </w:t>
      </w:r>
      <w:r>
        <w:rPr>
          <w:bCs/>
          <w:iCs/>
          <w:szCs w:val="24"/>
        </w:rPr>
        <w:t>Orwell, Northeast</w:t>
      </w:r>
      <w:r w:rsidR="00847A2C">
        <w:rPr>
          <w:bCs/>
          <w:iCs/>
          <w:szCs w:val="24"/>
        </w:rPr>
        <w:t>,</w:t>
      </w:r>
      <w:r>
        <w:rPr>
          <w:bCs/>
          <w:iCs/>
          <w:szCs w:val="24"/>
        </w:rPr>
        <w:t xml:space="preserve"> and other</w:t>
      </w:r>
      <w:r w:rsidR="00F146FE">
        <w:rPr>
          <w:bCs/>
          <w:iCs/>
          <w:szCs w:val="24"/>
        </w:rPr>
        <w:t xml:space="preserve"> small</w:t>
      </w:r>
      <w:r>
        <w:rPr>
          <w:bCs/>
          <w:iCs/>
          <w:szCs w:val="24"/>
        </w:rPr>
        <w:t xml:space="preserve"> Ohio gas distribution companies.</w:t>
      </w:r>
      <w:r w:rsidR="00374366">
        <w:rPr>
          <w:rStyle w:val="FootnoteReference"/>
          <w:bCs/>
          <w:iCs/>
          <w:szCs w:val="24"/>
        </w:rPr>
        <w:footnoteReference w:id="1"/>
      </w:r>
    </w:p>
    <w:p w:rsidR="00C44B07" w:rsidRDefault="00C44B07" w:rsidP="00A054C9">
      <w:pPr>
        <w:pStyle w:val="ANSWER"/>
        <w:ind w:left="720"/>
        <w:rPr>
          <w:bCs/>
          <w:iCs/>
          <w:szCs w:val="24"/>
        </w:rPr>
      </w:pPr>
    </w:p>
    <w:p w:rsidR="00F16381" w:rsidRDefault="00FC0A1A" w:rsidP="00A054C9">
      <w:pPr>
        <w:pStyle w:val="Heading1"/>
      </w:pPr>
      <w:bookmarkStart w:id="26" w:name="_Toc425427766"/>
      <w:r>
        <w:t>II.</w:t>
      </w:r>
      <w:r>
        <w:tab/>
      </w:r>
      <w:r w:rsidR="00F16381">
        <w:t>PURPOSE OF TESTIMONY</w:t>
      </w:r>
      <w:bookmarkEnd w:id="26"/>
    </w:p>
    <w:p w:rsidR="00F16381" w:rsidRDefault="00F16381" w:rsidP="00A054C9">
      <w:pPr>
        <w:pStyle w:val="ANSWER"/>
        <w:ind w:left="0" w:firstLine="0"/>
        <w:rPr>
          <w:b/>
          <w:szCs w:val="24"/>
        </w:rPr>
      </w:pPr>
    </w:p>
    <w:p w:rsidR="00F16381" w:rsidRDefault="00F16381" w:rsidP="00A054C9">
      <w:pPr>
        <w:spacing w:line="480" w:lineRule="auto"/>
        <w:ind w:left="720" w:hanging="720"/>
        <w:rPr>
          <w:b/>
          <w:bCs/>
          <w:i/>
          <w:iCs/>
          <w:sz w:val="24"/>
          <w:szCs w:val="24"/>
        </w:rPr>
      </w:pPr>
      <w:r>
        <w:rPr>
          <w:b/>
          <w:bCs/>
          <w:i/>
          <w:sz w:val="24"/>
          <w:szCs w:val="24"/>
        </w:rPr>
        <w:t>Q</w:t>
      </w:r>
      <w:r w:rsidR="00DE0E6F">
        <w:rPr>
          <w:b/>
          <w:bCs/>
          <w:i/>
          <w:sz w:val="24"/>
          <w:szCs w:val="24"/>
        </w:rPr>
        <w:t>6</w:t>
      </w:r>
      <w:r>
        <w:rPr>
          <w:b/>
          <w:i/>
          <w:sz w:val="24"/>
          <w:szCs w:val="24"/>
        </w:rPr>
        <w:t>.</w:t>
      </w:r>
      <w:r>
        <w:rPr>
          <w:b/>
          <w:i/>
          <w:sz w:val="24"/>
          <w:szCs w:val="24"/>
        </w:rPr>
        <w:tab/>
      </w:r>
      <w:r>
        <w:rPr>
          <w:b/>
          <w:bCs/>
          <w:i/>
          <w:iCs/>
          <w:sz w:val="24"/>
          <w:szCs w:val="24"/>
        </w:rPr>
        <w:t>WHAT IS THE PURPOSE OF YOUR TESTIMONY?</w:t>
      </w:r>
    </w:p>
    <w:p w:rsidR="000A68A8" w:rsidRDefault="00F16381" w:rsidP="00A054C9">
      <w:pPr>
        <w:spacing w:line="480" w:lineRule="auto"/>
        <w:ind w:left="720" w:hanging="720"/>
        <w:rPr>
          <w:sz w:val="24"/>
          <w:szCs w:val="24"/>
        </w:rPr>
      </w:pPr>
      <w:r>
        <w:rPr>
          <w:b/>
          <w:bCs/>
          <w:i/>
          <w:sz w:val="24"/>
          <w:szCs w:val="24"/>
        </w:rPr>
        <w:t>A</w:t>
      </w:r>
      <w:r w:rsidR="00DE0E6F">
        <w:rPr>
          <w:b/>
          <w:bCs/>
          <w:i/>
          <w:sz w:val="24"/>
          <w:szCs w:val="24"/>
        </w:rPr>
        <w:t>6</w:t>
      </w:r>
      <w:r>
        <w:rPr>
          <w:b/>
          <w:bCs/>
          <w:i/>
          <w:sz w:val="24"/>
          <w:szCs w:val="24"/>
        </w:rPr>
        <w:t>.</w:t>
      </w:r>
      <w:r>
        <w:rPr>
          <w:sz w:val="24"/>
          <w:szCs w:val="24"/>
        </w:rPr>
        <w:tab/>
        <w:t xml:space="preserve">The purpose of my testimony is to </w:t>
      </w:r>
      <w:r w:rsidR="00A81B0F">
        <w:rPr>
          <w:sz w:val="24"/>
          <w:szCs w:val="24"/>
        </w:rPr>
        <w:t xml:space="preserve">address certain issues related to </w:t>
      </w:r>
      <w:r w:rsidR="00824EBE">
        <w:rPr>
          <w:sz w:val="24"/>
          <w:szCs w:val="24"/>
        </w:rPr>
        <w:t xml:space="preserve">the natural gas purchasing practices and policies of </w:t>
      </w:r>
      <w:r w:rsidR="000E096E">
        <w:rPr>
          <w:sz w:val="24"/>
          <w:szCs w:val="24"/>
        </w:rPr>
        <w:t>Northeast</w:t>
      </w:r>
      <w:r w:rsidR="00866728">
        <w:rPr>
          <w:sz w:val="24"/>
          <w:szCs w:val="24"/>
        </w:rPr>
        <w:t xml:space="preserve">, </w:t>
      </w:r>
      <w:r>
        <w:rPr>
          <w:sz w:val="24"/>
          <w:szCs w:val="24"/>
        </w:rPr>
        <w:t>Orwell</w:t>
      </w:r>
      <w:r w:rsidR="00866728">
        <w:rPr>
          <w:sz w:val="24"/>
          <w:szCs w:val="24"/>
        </w:rPr>
        <w:t xml:space="preserve"> and Brainard</w:t>
      </w:r>
      <w:r w:rsidR="003B1BC3">
        <w:rPr>
          <w:sz w:val="24"/>
          <w:szCs w:val="24"/>
        </w:rPr>
        <w:t xml:space="preserve">.  These policies and practices implicate </w:t>
      </w:r>
      <w:r w:rsidR="00824EBE">
        <w:rPr>
          <w:sz w:val="24"/>
          <w:szCs w:val="24"/>
        </w:rPr>
        <w:t>how the Utilities</w:t>
      </w:r>
      <w:r w:rsidR="003B1BC3">
        <w:rPr>
          <w:sz w:val="24"/>
          <w:szCs w:val="24"/>
        </w:rPr>
        <w:t>’</w:t>
      </w:r>
      <w:r w:rsidR="00824EBE">
        <w:rPr>
          <w:sz w:val="24"/>
          <w:szCs w:val="24"/>
        </w:rPr>
        <w:t xml:space="preserve"> </w:t>
      </w:r>
      <w:r w:rsidR="003B1BC3">
        <w:rPr>
          <w:sz w:val="24"/>
          <w:szCs w:val="24"/>
        </w:rPr>
        <w:t xml:space="preserve">charges to consumers are adversely impacted by </w:t>
      </w:r>
      <w:r>
        <w:rPr>
          <w:sz w:val="24"/>
          <w:szCs w:val="24"/>
        </w:rPr>
        <w:t xml:space="preserve">contracts with affiliate </w:t>
      </w:r>
      <w:r w:rsidR="00086BE2">
        <w:rPr>
          <w:sz w:val="24"/>
          <w:szCs w:val="24"/>
        </w:rPr>
        <w:t xml:space="preserve">and related </w:t>
      </w:r>
      <w:r>
        <w:rPr>
          <w:sz w:val="24"/>
          <w:szCs w:val="24"/>
        </w:rPr>
        <w:t>companies</w:t>
      </w:r>
      <w:r w:rsidR="00866728">
        <w:rPr>
          <w:sz w:val="24"/>
          <w:szCs w:val="24"/>
        </w:rPr>
        <w:t xml:space="preserve">, and </w:t>
      </w:r>
      <w:r w:rsidR="003B1BC3">
        <w:rPr>
          <w:sz w:val="24"/>
          <w:szCs w:val="24"/>
        </w:rPr>
        <w:t xml:space="preserve">how </w:t>
      </w:r>
      <w:r w:rsidR="00824EBE">
        <w:rPr>
          <w:sz w:val="24"/>
          <w:szCs w:val="24"/>
        </w:rPr>
        <w:t>the</w:t>
      </w:r>
      <w:r w:rsidR="003B1BC3">
        <w:rPr>
          <w:sz w:val="24"/>
          <w:szCs w:val="24"/>
        </w:rPr>
        <w:t xml:space="preserve"> Utilities’ system reliability and diversity of fuel supply was negatively affected by </w:t>
      </w:r>
      <w:r w:rsidR="00866728">
        <w:rPr>
          <w:sz w:val="24"/>
          <w:szCs w:val="24"/>
        </w:rPr>
        <w:t xml:space="preserve">Orwell’s abandonment </w:t>
      </w:r>
      <w:r w:rsidR="00C44B07">
        <w:rPr>
          <w:sz w:val="24"/>
          <w:szCs w:val="24"/>
        </w:rPr>
        <w:t xml:space="preserve">or dismantling </w:t>
      </w:r>
      <w:r w:rsidR="00866728">
        <w:rPr>
          <w:sz w:val="24"/>
          <w:szCs w:val="24"/>
        </w:rPr>
        <w:t xml:space="preserve">of </w:t>
      </w:r>
      <w:r w:rsidR="00824EBE">
        <w:rPr>
          <w:sz w:val="24"/>
          <w:szCs w:val="24"/>
        </w:rPr>
        <w:t>interconnects (or “</w:t>
      </w:r>
      <w:r w:rsidR="00866728">
        <w:rPr>
          <w:sz w:val="24"/>
          <w:szCs w:val="24"/>
        </w:rPr>
        <w:t>taps</w:t>
      </w:r>
      <w:r w:rsidR="00824EBE">
        <w:rPr>
          <w:sz w:val="24"/>
          <w:szCs w:val="24"/>
        </w:rPr>
        <w:t>”)</w:t>
      </w:r>
      <w:r w:rsidR="00866728">
        <w:rPr>
          <w:sz w:val="24"/>
          <w:szCs w:val="24"/>
        </w:rPr>
        <w:t xml:space="preserve"> on Dominion East Ohio</w:t>
      </w:r>
      <w:r w:rsidR="00824EBE">
        <w:rPr>
          <w:sz w:val="24"/>
          <w:szCs w:val="24"/>
        </w:rPr>
        <w:t xml:space="preserve"> Gas Company</w:t>
      </w:r>
      <w:r w:rsidR="00866728">
        <w:rPr>
          <w:sz w:val="24"/>
          <w:szCs w:val="24"/>
        </w:rPr>
        <w:t xml:space="preserve">’s </w:t>
      </w:r>
      <w:r w:rsidR="00824EBE">
        <w:rPr>
          <w:sz w:val="24"/>
          <w:szCs w:val="24"/>
        </w:rPr>
        <w:t xml:space="preserve">(“Dominion”) </w:t>
      </w:r>
      <w:r w:rsidR="00866728">
        <w:rPr>
          <w:sz w:val="24"/>
          <w:szCs w:val="24"/>
        </w:rPr>
        <w:t>system</w:t>
      </w:r>
      <w:r w:rsidR="00C44B07">
        <w:rPr>
          <w:sz w:val="24"/>
          <w:szCs w:val="24"/>
        </w:rPr>
        <w:t>.</w:t>
      </w:r>
      <w:r w:rsidR="005C245A">
        <w:rPr>
          <w:sz w:val="24"/>
          <w:szCs w:val="24"/>
        </w:rPr>
        <w:t xml:space="preserve"> </w:t>
      </w:r>
      <w:r w:rsidR="00C44B07">
        <w:rPr>
          <w:sz w:val="24"/>
          <w:szCs w:val="24"/>
        </w:rPr>
        <w:t xml:space="preserve"> </w:t>
      </w:r>
      <w:r w:rsidR="000A68A8">
        <w:rPr>
          <w:sz w:val="24"/>
          <w:szCs w:val="24"/>
        </w:rPr>
        <w:t>Through my testimony</w:t>
      </w:r>
      <w:r w:rsidR="00CB3F86">
        <w:rPr>
          <w:sz w:val="24"/>
          <w:szCs w:val="24"/>
        </w:rPr>
        <w:t>,</w:t>
      </w:r>
      <w:r w:rsidR="000A68A8">
        <w:rPr>
          <w:sz w:val="24"/>
          <w:szCs w:val="24"/>
        </w:rPr>
        <w:t xml:space="preserve"> </w:t>
      </w:r>
      <w:r w:rsidR="00A81B0F">
        <w:rPr>
          <w:sz w:val="24"/>
          <w:szCs w:val="24"/>
        </w:rPr>
        <w:t>I will</w:t>
      </w:r>
      <w:r w:rsidR="000A68A8">
        <w:rPr>
          <w:sz w:val="24"/>
          <w:szCs w:val="24"/>
        </w:rPr>
        <w:t>:</w:t>
      </w:r>
    </w:p>
    <w:p w:rsidR="009E14B1" w:rsidRDefault="00C631D5" w:rsidP="005C245A">
      <w:pPr>
        <w:spacing w:line="480" w:lineRule="auto"/>
        <w:ind w:left="2160" w:right="720" w:hanging="720"/>
        <w:rPr>
          <w:sz w:val="24"/>
          <w:szCs w:val="24"/>
        </w:rPr>
      </w:pPr>
      <w:r>
        <w:rPr>
          <w:sz w:val="24"/>
          <w:szCs w:val="24"/>
        </w:rPr>
        <w:t>1</w:t>
      </w:r>
      <w:r w:rsidR="007F6246">
        <w:rPr>
          <w:sz w:val="24"/>
          <w:szCs w:val="24"/>
        </w:rPr>
        <w:t>.</w:t>
      </w:r>
      <w:r w:rsidR="007F6246">
        <w:rPr>
          <w:sz w:val="24"/>
          <w:szCs w:val="24"/>
        </w:rPr>
        <w:tab/>
      </w:r>
      <w:r w:rsidR="000A68A8" w:rsidRPr="00091F39">
        <w:rPr>
          <w:sz w:val="24"/>
          <w:szCs w:val="24"/>
        </w:rPr>
        <w:t>E</w:t>
      </w:r>
      <w:r w:rsidR="00902E7C" w:rsidRPr="00091F39">
        <w:rPr>
          <w:sz w:val="24"/>
          <w:szCs w:val="24"/>
        </w:rPr>
        <w:t xml:space="preserve">xplain how </w:t>
      </w:r>
      <w:r w:rsidR="00C44B07">
        <w:rPr>
          <w:sz w:val="24"/>
          <w:szCs w:val="24"/>
        </w:rPr>
        <w:t>contracts that Northeast</w:t>
      </w:r>
      <w:r w:rsidR="00AD26AB">
        <w:rPr>
          <w:sz w:val="24"/>
          <w:szCs w:val="24"/>
        </w:rPr>
        <w:t>,</w:t>
      </w:r>
      <w:r w:rsidR="00C44B07">
        <w:rPr>
          <w:sz w:val="24"/>
          <w:szCs w:val="24"/>
        </w:rPr>
        <w:t xml:space="preserve"> Orwell and Brainard</w:t>
      </w:r>
      <w:r w:rsidR="00506AFD" w:rsidRPr="00091F39">
        <w:rPr>
          <w:sz w:val="24"/>
          <w:szCs w:val="24"/>
        </w:rPr>
        <w:t xml:space="preserve"> </w:t>
      </w:r>
      <w:r w:rsidR="00C44B07">
        <w:rPr>
          <w:sz w:val="24"/>
          <w:szCs w:val="24"/>
        </w:rPr>
        <w:t>have</w:t>
      </w:r>
      <w:r w:rsidR="00902E7C" w:rsidRPr="00091F39">
        <w:rPr>
          <w:sz w:val="24"/>
          <w:szCs w:val="24"/>
        </w:rPr>
        <w:t xml:space="preserve"> with affiliate</w:t>
      </w:r>
      <w:r w:rsidR="0067163F" w:rsidRPr="00091F39">
        <w:rPr>
          <w:sz w:val="24"/>
          <w:szCs w:val="24"/>
        </w:rPr>
        <w:t xml:space="preserve"> and related</w:t>
      </w:r>
      <w:r w:rsidR="00902E7C" w:rsidRPr="00091F39">
        <w:rPr>
          <w:sz w:val="24"/>
          <w:szCs w:val="24"/>
        </w:rPr>
        <w:t xml:space="preserve"> companies </w:t>
      </w:r>
      <w:r w:rsidR="00C10A7E">
        <w:rPr>
          <w:sz w:val="24"/>
          <w:szCs w:val="24"/>
        </w:rPr>
        <w:t xml:space="preserve">are </w:t>
      </w:r>
      <w:r w:rsidR="00F16381" w:rsidRPr="00495918">
        <w:rPr>
          <w:sz w:val="24"/>
          <w:szCs w:val="24"/>
        </w:rPr>
        <w:t>biased toward the affiliate</w:t>
      </w:r>
      <w:r w:rsidR="00091F39">
        <w:rPr>
          <w:sz w:val="24"/>
          <w:szCs w:val="24"/>
        </w:rPr>
        <w:t xml:space="preserve"> or related</w:t>
      </w:r>
      <w:r w:rsidR="00F16381" w:rsidRPr="00495918">
        <w:rPr>
          <w:sz w:val="24"/>
          <w:szCs w:val="24"/>
        </w:rPr>
        <w:t xml:space="preserve"> </w:t>
      </w:r>
      <w:r w:rsidR="00CB3F86">
        <w:rPr>
          <w:sz w:val="24"/>
          <w:szCs w:val="24"/>
        </w:rPr>
        <w:t>natural gas suppl</w:t>
      </w:r>
      <w:r w:rsidR="00705933">
        <w:rPr>
          <w:sz w:val="24"/>
          <w:szCs w:val="24"/>
        </w:rPr>
        <w:t>ier</w:t>
      </w:r>
      <w:r w:rsidR="005A3E07">
        <w:rPr>
          <w:sz w:val="24"/>
          <w:szCs w:val="24"/>
        </w:rPr>
        <w:t>s</w:t>
      </w:r>
      <w:r w:rsidR="0067163F" w:rsidRPr="00495918">
        <w:rPr>
          <w:sz w:val="24"/>
          <w:szCs w:val="24"/>
        </w:rPr>
        <w:t>,</w:t>
      </w:r>
      <w:r w:rsidR="00F16381" w:rsidRPr="00495918">
        <w:rPr>
          <w:sz w:val="24"/>
          <w:szCs w:val="24"/>
        </w:rPr>
        <w:t xml:space="preserve"> produc</w:t>
      </w:r>
      <w:r w:rsidR="0045473B">
        <w:rPr>
          <w:sz w:val="24"/>
          <w:szCs w:val="24"/>
        </w:rPr>
        <w:t>t</w:t>
      </w:r>
      <w:r w:rsidR="00C44B07">
        <w:rPr>
          <w:sz w:val="24"/>
          <w:szCs w:val="24"/>
        </w:rPr>
        <w:t>ion</w:t>
      </w:r>
      <w:r w:rsidR="00F16381" w:rsidRPr="00495918">
        <w:rPr>
          <w:sz w:val="24"/>
          <w:szCs w:val="24"/>
        </w:rPr>
        <w:t xml:space="preserve"> companies</w:t>
      </w:r>
      <w:r w:rsidR="0067163F" w:rsidRPr="00495918">
        <w:rPr>
          <w:sz w:val="24"/>
          <w:szCs w:val="24"/>
        </w:rPr>
        <w:t xml:space="preserve">, </w:t>
      </w:r>
      <w:r w:rsidR="00495918">
        <w:rPr>
          <w:sz w:val="24"/>
          <w:szCs w:val="24"/>
        </w:rPr>
        <w:t>and</w:t>
      </w:r>
      <w:r w:rsidR="0067163F" w:rsidRPr="00495918">
        <w:rPr>
          <w:sz w:val="24"/>
          <w:szCs w:val="24"/>
        </w:rPr>
        <w:t xml:space="preserve"> intrastate pipelines</w:t>
      </w:r>
      <w:r w:rsidR="00C44B07">
        <w:rPr>
          <w:sz w:val="24"/>
          <w:szCs w:val="24"/>
        </w:rPr>
        <w:t>.</w:t>
      </w:r>
      <w:r w:rsidR="00F16381" w:rsidRPr="00495918">
        <w:rPr>
          <w:sz w:val="24"/>
          <w:szCs w:val="24"/>
        </w:rPr>
        <w:t xml:space="preserve"> </w:t>
      </w:r>
      <w:r w:rsidR="005C245A">
        <w:rPr>
          <w:sz w:val="24"/>
          <w:szCs w:val="24"/>
        </w:rPr>
        <w:t xml:space="preserve"> </w:t>
      </w:r>
      <w:r w:rsidR="0001497F">
        <w:rPr>
          <w:sz w:val="24"/>
          <w:szCs w:val="24"/>
        </w:rPr>
        <w:t>These</w:t>
      </w:r>
      <w:r w:rsidR="00F16381" w:rsidRPr="00495918">
        <w:rPr>
          <w:sz w:val="24"/>
          <w:szCs w:val="24"/>
        </w:rPr>
        <w:t xml:space="preserve"> contracts had a detrimental impact on </w:t>
      </w:r>
      <w:r w:rsidR="00C10A7E">
        <w:rPr>
          <w:sz w:val="24"/>
          <w:szCs w:val="24"/>
        </w:rPr>
        <w:t>the Utilities’</w:t>
      </w:r>
      <w:r w:rsidR="00E5498D" w:rsidRPr="00495918">
        <w:rPr>
          <w:sz w:val="24"/>
          <w:szCs w:val="24"/>
        </w:rPr>
        <w:t xml:space="preserve"> </w:t>
      </w:r>
      <w:r w:rsidR="00F16381" w:rsidRPr="00495918">
        <w:rPr>
          <w:sz w:val="24"/>
          <w:szCs w:val="24"/>
        </w:rPr>
        <w:t>residential customers</w:t>
      </w:r>
      <w:r w:rsidR="00FE511D" w:rsidRPr="00495918">
        <w:rPr>
          <w:sz w:val="24"/>
          <w:szCs w:val="24"/>
        </w:rPr>
        <w:t>’</w:t>
      </w:r>
      <w:r w:rsidR="0001497F">
        <w:rPr>
          <w:sz w:val="24"/>
          <w:szCs w:val="24"/>
        </w:rPr>
        <w:t xml:space="preserve"> gas rates</w:t>
      </w:r>
      <w:r w:rsidR="00AC344A">
        <w:rPr>
          <w:sz w:val="24"/>
          <w:szCs w:val="24"/>
        </w:rPr>
        <w:t xml:space="preserve"> by </w:t>
      </w:r>
      <w:r w:rsidR="00C10A7E">
        <w:rPr>
          <w:sz w:val="24"/>
          <w:szCs w:val="24"/>
        </w:rPr>
        <w:t>inflat</w:t>
      </w:r>
      <w:r w:rsidR="005A3E07">
        <w:rPr>
          <w:sz w:val="24"/>
          <w:szCs w:val="24"/>
        </w:rPr>
        <w:t xml:space="preserve">ing the </w:t>
      </w:r>
      <w:r w:rsidR="00C10A7E">
        <w:rPr>
          <w:sz w:val="24"/>
          <w:szCs w:val="24"/>
        </w:rPr>
        <w:t>GCR</w:t>
      </w:r>
      <w:r w:rsidR="00CB3F86">
        <w:rPr>
          <w:sz w:val="24"/>
          <w:szCs w:val="24"/>
        </w:rPr>
        <w:t>.</w:t>
      </w:r>
      <w:r w:rsidR="00151A3A">
        <w:rPr>
          <w:sz w:val="24"/>
          <w:szCs w:val="24"/>
        </w:rPr>
        <w:t xml:space="preserve"> </w:t>
      </w:r>
      <w:r w:rsidR="005C245A">
        <w:rPr>
          <w:sz w:val="24"/>
          <w:szCs w:val="24"/>
        </w:rPr>
        <w:t xml:space="preserve"> </w:t>
      </w:r>
      <w:r w:rsidR="00771A89" w:rsidRPr="00495918">
        <w:rPr>
          <w:sz w:val="24"/>
          <w:szCs w:val="24"/>
        </w:rPr>
        <w:t>As a result,</w:t>
      </w:r>
      <w:r w:rsidR="00F16381" w:rsidRPr="00495918">
        <w:rPr>
          <w:sz w:val="24"/>
          <w:szCs w:val="24"/>
        </w:rPr>
        <w:t xml:space="preserve"> the </w:t>
      </w:r>
      <w:r w:rsidR="00700938">
        <w:rPr>
          <w:sz w:val="24"/>
          <w:szCs w:val="24"/>
        </w:rPr>
        <w:t>Utilities</w:t>
      </w:r>
      <w:r w:rsidR="00CB3F86">
        <w:rPr>
          <w:sz w:val="24"/>
          <w:szCs w:val="24"/>
        </w:rPr>
        <w:t>’</w:t>
      </w:r>
      <w:r w:rsidR="00F16381" w:rsidRPr="00495918">
        <w:rPr>
          <w:sz w:val="24"/>
          <w:szCs w:val="24"/>
        </w:rPr>
        <w:t xml:space="preserve"> gas purchasing contracts </w:t>
      </w:r>
      <w:r w:rsidR="00325B75">
        <w:rPr>
          <w:sz w:val="24"/>
          <w:szCs w:val="24"/>
        </w:rPr>
        <w:t xml:space="preserve">with affiliated companies </w:t>
      </w:r>
      <w:r w:rsidRPr="00495918">
        <w:rPr>
          <w:sz w:val="24"/>
          <w:szCs w:val="24"/>
        </w:rPr>
        <w:t xml:space="preserve">and gas transportation contracts </w:t>
      </w:r>
      <w:r w:rsidR="00325B75">
        <w:rPr>
          <w:sz w:val="24"/>
          <w:szCs w:val="24"/>
        </w:rPr>
        <w:t xml:space="preserve">with related companies </w:t>
      </w:r>
      <w:r w:rsidR="00F16381" w:rsidRPr="00495918">
        <w:rPr>
          <w:sz w:val="24"/>
          <w:szCs w:val="24"/>
        </w:rPr>
        <w:t xml:space="preserve">did not provide </w:t>
      </w:r>
      <w:r w:rsidR="00C44B07">
        <w:rPr>
          <w:sz w:val="24"/>
          <w:szCs w:val="24"/>
        </w:rPr>
        <w:t>the</w:t>
      </w:r>
      <w:r w:rsidR="00700938">
        <w:rPr>
          <w:sz w:val="24"/>
          <w:szCs w:val="24"/>
        </w:rPr>
        <w:t>ir</w:t>
      </w:r>
      <w:r w:rsidR="00CB3F86">
        <w:rPr>
          <w:sz w:val="24"/>
          <w:szCs w:val="24"/>
        </w:rPr>
        <w:t xml:space="preserve"> </w:t>
      </w:r>
      <w:r w:rsidR="00F16381" w:rsidRPr="00495918">
        <w:rPr>
          <w:sz w:val="24"/>
          <w:szCs w:val="24"/>
        </w:rPr>
        <w:t xml:space="preserve">residential customers with </w:t>
      </w:r>
      <w:r w:rsidR="00CB3F86">
        <w:rPr>
          <w:sz w:val="24"/>
          <w:szCs w:val="24"/>
        </w:rPr>
        <w:t>fair, just,</w:t>
      </w:r>
      <w:r w:rsidR="00F16381" w:rsidRPr="00495918">
        <w:rPr>
          <w:sz w:val="24"/>
          <w:szCs w:val="24"/>
        </w:rPr>
        <w:t xml:space="preserve"> and reasonable gas </w:t>
      </w:r>
      <w:r w:rsidR="007F6246" w:rsidRPr="00495918">
        <w:rPr>
          <w:sz w:val="24"/>
          <w:szCs w:val="24"/>
        </w:rPr>
        <w:t xml:space="preserve">rates during the </w:t>
      </w:r>
      <w:r w:rsidR="00C44B07">
        <w:rPr>
          <w:sz w:val="24"/>
          <w:szCs w:val="24"/>
        </w:rPr>
        <w:t>A</w:t>
      </w:r>
      <w:r w:rsidR="007F6246" w:rsidRPr="00495918">
        <w:rPr>
          <w:sz w:val="24"/>
          <w:szCs w:val="24"/>
        </w:rPr>
        <w:t>udit period</w:t>
      </w:r>
      <w:r w:rsidR="00CB3F86">
        <w:rPr>
          <w:sz w:val="24"/>
          <w:szCs w:val="24"/>
        </w:rPr>
        <w:t xml:space="preserve"> and the Utilities’ gas purchasing practices and policies were imprudent</w:t>
      </w:r>
      <w:r w:rsidR="007F6246" w:rsidRPr="00495918">
        <w:rPr>
          <w:sz w:val="24"/>
          <w:szCs w:val="24"/>
        </w:rPr>
        <w:t>.</w:t>
      </w:r>
      <w:r w:rsidR="005C245A">
        <w:rPr>
          <w:sz w:val="24"/>
          <w:szCs w:val="24"/>
        </w:rPr>
        <w:t xml:space="preserve"> </w:t>
      </w:r>
      <w:r w:rsidR="005A2329">
        <w:rPr>
          <w:sz w:val="24"/>
          <w:szCs w:val="24"/>
        </w:rPr>
        <w:t xml:space="preserve"> I </w:t>
      </w:r>
      <w:r w:rsidR="00151A3A">
        <w:rPr>
          <w:sz w:val="24"/>
          <w:szCs w:val="24"/>
        </w:rPr>
        <w:t xml:space="preserve">calculate that customers paid higher rates than necessary resulting in </w:t>
      </w:r>
      <w:r w:rsidR="005A2329">
        <w:rPr>
          <w:sz w:val="24"/>
          <w:szCs w:val="24"/>
        </w:rPr>
        <w:t>$</w:t>
      </w:r>
      <w:r w:rsidR="00B96B1F">
        <w:rPr>
          <w:sz w:val="24"/>
          <w:szCs w:val="24"/>
        </w:rPr>
        <w:t xml:space="preserve">671,696 </w:t>
      </w:r>
      <w:r w:rsidR="00151A3A">
        <w:rPr>
          <w:sz w:val="24"/>
          <w:szCs w:val="24"/>
        </w:rPr>
        <w:t>of excessive gas charge</w:t>
      </w:r>
      <w:r w:rsidR="00CB3F86">
        <w:rPr>
          <w:sz w:val="24"/>
          <w:szCs w:val="24"/>
        </w:rPr>
        <w:t>s</w:t>
      </w:r>
      <w:r w:rsidR="00151A3A">
        <w:rPr>
          <w:sz w:val="24"/>
          <w:szCs w:val="24"/>
        </w:rPr>
        <w:t xml:space="preserve"> (</w:t>
      </w:r>
      <w:r w:rsidR="00B96B1F">
        <w:rPr>
          <w:sz w:val="24"/>
          <w:szCs w:val="24"/>
        </w:rPr>
        <w:t xml:space="preserve">for Northeast </w:t>
      </w:r>
      <w:r w:rsidR="00151A3A">
        <w:rPr>
          <w:sz w:val="24"/>
          <w:szCs w:val="24"/>
        </w:rPr>
        <w:t xml:space="preserve">customers) </w:t>
      </w:r>
      <w:r w:rsidR="00B96B1F">
        <w:rPr>
          <w:sz w:val="24"/>
          <w:szCs w:val="24"/>
        </w:rPr>
        <w:t>and $25,181</w:t>
      </w:r>
      <w:r w:rsidR="00151A3A">
        <w:rPr>
          <w:sz w:val="24"/>
          <w:szCs w:val="24"/>
        </w:rPr>
        <w:t xml:space="preserve"> of excess charges</w:t>
      </w:r>
      <w:r w:rsidR="00CB3F86">
        <w:rPr>
          <w:sz w:val="24"/>
          <w:szCs w:val="24"/>
        </w:rPr>
        <w:t xml:space="preserve"> </w:t>
      </w:r>
      <w:r w:rsidR="00151A3A">
        <w:rPr>
          <w:sz w:val="24"/>
          <w:szCs w:val="24"/>
        </w:rPr>
        <w:t>(</w:t>
      </w:r>
      <w:r w:rsidR="00B96B1F">
        <w:rPr>
          <w:sz w:val="24"/>
          <w:szCs w:val="24"/>
        </w:rPr>
        <w:t>for Orwell</w:t>
      </w:r>
      <w:r w:rsidR="002374EC">
        <w:rPr>
          <w:sz w:val="24"/>
          <w:szCs w:val="24"/>
        </w:rPr>
        <w:t xml:space="preserve"> customers).</w:t>
      </w:r>
    </w:p>
    <w:p w:rsidR="00CB085F" w:rsidRDefault="00FC735B" w:rsidP="005C245A">
      <w:pPr>
        <w:spacing w:line="480" w:lineRule="auto"/>
        <w:ind w:left="2160" w:right="720" w:hanging="720"/>
        <w:rPr>
          <w:sz w:val="24"/>
          <w:szCs w:val="24"/>
        </w:rPr>
      </w:pPr>
      <w:r>
        <w:rPr>
          <w:sz w:val="24"/>
          <w:szCs w:val="24"/>
        </w:rPr>
        <w:t>2</w:t>
      </w:r>
      <w:r w:rsidR="00C631D5">
        <w:rPr>
          <w:sz w:val="24"/>
          <w:szCs w:val="24"/>
        </w:rPr>
        <w:t>.</w:t>
      </w:r>
      <w:r w:rsidR="00C631D5">
        <w:rPr>
          <w:sz w:val="24"/>
          <w:szCs w:val="24"/>
        </w:rPr>
        <w:tab/>
      </w:r>
      <w:r w:rsidR="00C631D5" w:rsidRPr="0067163F">
        <w:rPr>
          <w:sz w:val="24"/>
          <w:szCs w:val="24"/>
        </w:rPr>
        <w:t xml:space="preserve">Demonstrate that the removal of approximately </w:t>
      </w:r>
      <w:r w:rsidR="00C631D5">
        <w:rPr>
          <w:sz w:val="24"/>
          <w:szCs w:val="24"/>
        </w:rPr>
        <w:t>10</w:t>
      </w:r>
      <w:r w:rsidR="00C631D5" w:rsidRPr="0067163F">
        <w:rPr>
          <w:sz w:val="24"/>
          <w:szCs w:val="24"/>
        </w:rPr>
        <w:t xml:space="preserve"> </w:t>
      </w:r>
      <w:r w:rsidR="00495918">
        <w:rPr>
          <w:sz w:val="24"/>
          <w:szCs w:val="24"/>
        </w:rPr>
        <w:t>interconnects with</w:t>
      </w:r>
      <w:r w:rsidR="00C631D5" w:rsidRPr="0067163F">
        <w:rPr>
          <w:sz w:val="24"/>
          <w:szCs w:val="24"/>
        </w:rPr>
        <w:t xml:space="preserve"> the Dominion system </w:t>
      </w:r>
      <w:r w:rsidR="00624ED5">
        <w:rPr>
          <w:sz w:val="24"/>
          <w:szCs w:val="24"/>
        </w:rPr>
        <w:t xml:space="preserve">unreasonably </w:t>
      </w:r>
      <w:r w:rsidR="00C631D5" w:rsidRPr="0067163F">
        <w:rPr>
          <w:sz w:val="24"/>
          <w:szCs w:val="24"/>
        </w:rPr>
        <w:t>increas</w:t>
      </w:r>
      <w:r w:rsidR="00624ED5">
        <w:rPr>
          <w:sz w:val="24"/>
          <w:szCs w:val="24"/>
        </w:rPr>
        <w:t>ed</w:t>
      </w:r>
      <w:r w:rsidR="00C631D5" w:rsidRPr="0067163F">
        <w:rPr>
          <w:sz w:val="24"/>
          <w:szCs w:val="24"/>
        </w:rPr>
        <w:t xml:space="preserve"> cost</w:t>
      </w:r>
      <w:r w:rsidR="0063673C">
        <w:rPr>
          <w:sz w:val="24"/>
          <w:szCs w:val="24"/>
        </w:rPr>
        <w:t xml:space="preserve">s </w:t>
      </w:r>
      <w:r w:rsidR="00934B54">
        <w:rPr>
          <w:sz w:val="24"/>
          <w:szCs w:val="24"/>
        </w:rPr>
        <w:t>to</w:t>
      </w:r>
      <w:r w:rsidR="0063673C">
        <w:rPr>
          <w:sz w:val="24"/>
          <w:szCs w:val="24"/>
        </w:rPr>
        <w:t xml:space="preserve"> the GCR</w:t>
      </w:r>
      <w:r w:rsidR="00934B54">
        <w:rPr>
          <w:sz w:val="24"/>
          <w:szCs w:val="24"/>
        </w:rPr>
        <w:t>,</w:t>
      </w:r>
      <w:r w:rsidR="00C631D5" w:rsidRPr="0067163F">
        <w:rPr>
          <w:sz w:val="24"/>
          <w:szCs w:val="24"/>
        </w:rPr>
        <w:t xml:space="preserve"> </w:t>
      </w:r>
      <w:r w:rsidR="00495918">
        <w:rPr>
          <w:sz w:val="24"/>
          <w:szCs w:val="24"/>
        </w:rPr>
        <w:t xml:space="preserve">and </w:t>
      </w:r>
      <w:r w:rsidR="0063673C">
        <w:rPr>
          <w:sz w:val="24"/>
          <w:szCs w:val="24"/>
        </w:rPr>
        <w:t>at the same time</w:t>
      </w:r>
      <w:r w:rsidR="00934B54">
        <w:rPr>
          <w:sz w:val="24"/>
          <w:szCs w:val="24"/>
        </w:rPr>
        <w:t>,</w:t>
      </w:r>
      <w:r w:rsidR="0063673C">
        <w:rPr>
          <w:sz w:val="24"/>
          <w:szCs w:val="24"/>
        </w:rPr>
        <w:t xml:space="preserve"> </w:t>
      </w:r>
      <w:r w:rsidR="00495918">
        <w:rPr>
          <w:sz w:val="24"/>
          <w:szCs w:val="24"/>
        </w:rPr>
        <w:t>reduc</w:t>
      </w:r>
      <w:r w:rsidR="00624ED5">
        <w:rPr>
          <w:sz w:val="24"/>
          <w:szCs w:val="24"/>
        </w:rPr>
        <w:t>ed</w:t>
      </w:r>
      <w:r w:rsidR="00495918">
        <w:rPr>
          <w:sz w:val="24"/>
          <w:szCs w:val="24"/>
        </w:rPr>
        <w:t xml:space="preserve"> the reliability </w:t>
      </w:r>
      <w:r w:rsidR="00C631D5" w:rsidRPr="0067163F">
        <w:rPr>
          <w:sz w:val="24"/>
          <w:szCs w:val="24"/>
        </w:rPr>
        <w:t xml:space="preserve">of natural gas supplies to </w:t>
      </w:r>
      <w:r w:rsidR="00700938">
        <w:rPr>
          <w:sz w:val="24"/>
          <w:szCs w:val="24"/>
        </w:rPr>
        <w:t xml:space="preserve">residential </w:t>
      </w:r>
      <w:r w:rsidR="00C631D5" w:rsidRPr="0067163F">
        <w:rPr>
          <w:sz w:val="24"/>
          <w:szCs w:val="24"/>
        </w:rPr>
        <w:t xml:space="preserve">customers of Orwell Natural Gas during the </w:t>
      </w:r>
      <w:r w:rsidR="00C44B07">
        <w:rPr>
          <w:sz w:val="24"/>
          <w:szCs w:val="24"/>
        </w:rPr>
        <w:t>A</w:t>
      </w:r>
      <w:r w:rsidR="00C631D5" w:rsidRPr="0067163F">
        <w:rPr>
          <w:sz w:val="24"/>
          <w:szCs w:val="24"/>
        </w:rPr>
        <w:t>udit period</w:t>
      </w:r>
      <w:r w:rsidR="00C44B07">
        <w:rPr>
          <w:sz w:val="24"/>
          <w:szCs w:val="24"/>
        </w:rPr>
        <w:t>.</w:t>
      </w:r>
      <w:r w:rsidR="005C245A">
        <w:rPr>
          <w:sz w:val="24"/>
          <w:szCs w:val="24"/>
        </w:rPr>
        <w:t xml:space="preserve"> </w:t>
      </w:r>
      <w:r w:rsidR="0063673C">
        <w:rPr>
          <w:sz w:val="24"/>
          <w:szCs w:val="24"/>
        </w:rPr>
        <w:t xml:space="preserve"> </w:t>
      </w:r>
      <w:r w:rsidR="00624ED5">
        <w:rPr>
          <w:sz w:val="24"/>
          <w:szCs w:val="24"/>
        </w:rPr>
        <w:t xml:space="preserve">As a result, </w:t>
      </w:r>
      <w:r w:rsidR="00934B54">
        <w:rPr>
          <w:sz w:val="24"/>
          <w:szCs w:val="24"/>
        </w:rPr>
        <w:t xml:space="preserve">I explain how the </w:t>
      </w:r>
      <w:r w:rsidR="007E0248">
        <w:rPr>
          <w:sz w:val="24"/>
          <w:szCs w:val="24"/>
        </w:rPr>
        <w:t xml:space="preserve">GCR rates for Orwell were not fair, just, and reasonable and that Orwell’s gas purchasing practices and policies did not promote minimum prices consistent </w:t>
      </w:r>
      <w:r w:rsidR="00E02DCB">
        <w:rPr>
          <w:sz w:val="24"/>
          <w:szCs w:val="24"/>
        </w:rPr>
        <w:t>with an adequate supply of gas.</w:t>
      </w:r>
      <w:r w:rsidR="005C245A">
        <w:rPr>
          <w:sz w:val="24"/>
          <w:szCs w:val="24"/>
        </w:rPr>
        <w:t xml:space="preserve"> </w:t>
      </w:r>
      <w:r w:rsidR="00624ED5">
        <w:rPr>
          <w:sz w:val="24"/>
          <w:szCs w:val="24"/>
        </w:rPr>
        <w:t xml:space="preserve"> </w:t>
      </w:r>
      <w:r w:rsidR="0063673C">
        <w:rPr>
          <w:sz w:val="24"/>
          <w:szCs w:val="24"/>
        </w:rPr>
        <w:t xml:space="preserve">I also </w:t>
      </w:r>
      <w:r w:rsidR="00C631D5">
        <w:rPr>
          <w:sz w:val="24"/>
          <w:szCs w:val="24"/>
        </w:rPr>
        <w:t>provide an</w:t>
      </w:r>
      <w:r w:rsidR="00495918">
        <w:rPr>
          <w:sz w:val="24"/>
          <w:szCs w:val="24"/>
        </w:rPr>
        <w:t xml:space="preserve"> </w:t>
      </w:r>
      <w:r w:rsidR="00C631D5">
        <w:rPr>
          <w:sz w:val="24"/>
          <w:szCs w:val="24"/>
        </w:rPr>
        <w:t>appropriate repricing of the gas supplies transported</w:t>
      </w:r>
      <w:r w:rsidR="00495918">
        <w:rPr>
          <w:sz w:val="24"/>
          <w:szCs w:val="24"/>
        </w:rPr>
        <w:t xml:space="preserve"> on </w:t>
      </w:r>
      <w:r w:rsidR="00091F39">
        <w:rPr>
          <w:sz w:val="24"/>
          <w:szCs w:val="24"/>
        </w:rPr>
        <w:t>Orwell-Trumbull Pipeline (</w:t>
      </w:r>
      <w:r w:rsidR="0045473B">
        <w:rPr>
          <w:sz w:val="24"/>
          <w:szCs w:val="24"/>
        </w:rPr>
        <w:t>‘</w:t>
      </w:r>
      <w:r w:rsidR="00091F39">
        <w:rPr>
          <w:sz w:val="24"/>
          <w:szCs w:val="24"/>
        </w:rPr>
        <w:t xml:space="preserve">OTP”), </w:t>
      </w:r>
      <w:r w:rsidR="00495918">
        <w:rPr>
          <w:sz w:val="24"/>
          <w:szCs w:val="24"/>
        </w:rPr>
        <w:t xml:space="preserve">the related </w:t>
      </w:r>
      <w:r w:rsidR="00C44B07">
        <w:rPr>
          <w:sz w:val="24"/>
          <w:szCs w:val="24"/>
        </w:rPr>
        <w:t xml:space="preserve">company </w:t>
      </w:r>
      <w:r w:rsidR="00495918">
        <w:rPr>
          <w:sz w:val="24"/>
          <w:szCs w:val="24"/>
        </w:rPr>
        <w:t>intrastate pipeline</w:t>
      </w:r>
      <w:r w:rsidR="0063673C">
        <w:rPr>
          <w:sz w:val="24"/>
          <w:szCs w:val="24"/>
        </w:rPr>
        <w:t xml:space="preserve"> that Orwell relied on in place of Dominion</w:t>
      </w:r>
      <w:r w:rsidR="00495918">
        <w:rPr>
          <w:sz w:val="24"/>
          <w:szCs w:val="24"/>
        </w:rPr>
        <w:t>.</w:t>
      </w:r>
      <w:r w:rsidR="005A2329">
        <w:rPr>
          <w:sz w:val="24"/>
          <w:szCs w:val="24"/>
        </w:rPr>
        <w:t xml:space="preserve"> I </w:t>
      </w:r>
      <w:r w:rsidR="00624ED5">
        <w:rPr>
          <w:sz w:val="24"/>
          <w:szCs w:val="24"/>
        </w:rPr>
        <w:t xml:space="preserve">calculate </w:t>
      </w:r>
      <w:r w:rsidR="00D36D00">
        <w:rPr>
          <w:sz w:val="24"/>
          <w:szCs w:val="24"/>
        </w:rPr>
        <w:t>t</w:t>
      </w:r>
      <w:r w:rsidR="005A2329">
        <w:rPr>
          <w:sz w:val="24"/>
          <w:szCs w:val="24"/>
        </w:rPr>
        <w:t>h</w:t>
      </w:r>
      <w:r w:rsidR="00624ED5">
        <w:rPr>
          <w:sz w:val="24"/>
          <w:szCs w:val="24"/>
        </w:rPr>
        <w:t xml:space="preserve">at customers paid higher rates than necessary resulting in </w:t>
      </w:r>
      <w:r w:rsidR="005A2329">
        <w:rPr>
          <w:sz w:val="24"/>
          <w:szCs w:val="24"/>
        </w:rPr>
        <w:t>$</w:t>
      </w:r>
      <w:r w:rsidR="00B96B1F">
        <w:rPr>
          <w:sz w:val="24"/>
          <w:szCs w:val="24"/>
        </w:rPr>
        <w:t>1,653,652</w:t>
      </w:r>
      <w:r w:rsidR="00624ED5">
        <w:rPr>
          <w:sz w:val="24"/>
          <w:szCs w:val="24"/>
        </w:rPr>
        <w:t xml:space="preserve"> of excessive gas charges</w:t>
      </w:r>
      <w:r w:rsidR="00700938">
        <w:rPr>
          <w:sz w:val="24"/>
          <w:szCs w:val="24"/>
        </w:rPr>
        <w:t xml:space="preserve"> to Orwell’s customers</w:t>
      </w:r>
      <w:r w:rsidR="00495918">
        <w:rPr>
          <w:sz w:val="24"/>
          <w:szCs w:val="24"/>
        </w:rPr>
        <w:t>.</w:t>
      </w:r>
    </w:p>
    <w:p w:rsidR="00495918" w:rsidRDefault="00CB085F" w:rsidP="005C245A">
      <w:pPr>
        <w:spacing w:line="480" w:lineRule="auto"/>
        <w:ind w:left="2160" w:right="720" w:hanging="720"/>
        <w:rPr>
          <w:sz w:val="24"/>
          <w:szCs w:val="24"/>
        </w:rPr>
      </w:pPr>
      <w:r>
        <w:rPr>
          <w:sz w:val="24"/>
          <w:szCs w:val="24"/>
        </w:rPr>
        <w:t>3.</w:t>
      </w:r>
      <w:r>
        <w:rPr>
          <w:sz w:val="24"/>
          <w:szCs w:val="24"/>
        </w:rPr>
        <w:tab/>
      </w:r>
      <w:r w:rsidR="00C00E45">
        <w:rPr>
          <w:sz w:val="24"/>
          <w:szCs w:val="24"/>
        </w:rPr>
        <w:t xml:space="preserve">Demonstrate that the loss of a special contract with Dominion, due to signing an inappropriate agreement with a related </w:t>
      </w:r>
      <w:r w:rsidR="00C44B07">
        <w:rPr>
          <w:sz w:val="24"/>
          <w:szCs w:val="24"/>
        </w:rPr>
        <w:t>company</w:t>
      </w:r>
      <w:r w:rsidR="00FA1095">
        <w:rPr>
          <w:sz w:val="24"/>
          <w:szCs w:val="24"/>
        </w:rPr>
        <w:t xml:space="preserve"> </w:t>
      </w:r>
      <w:r w:rsidR="002374EC">
        <w:rPr>
          <w:sz w:val="24"/>
          <w:szCs w:val="24"/>
        </w:rPr>
        <w:t>--</w:t>
      </w:r>
      <w:r w:rsidR="00E02DCB">
        <w:rPr>
          <w:sz w:val="24"/>
          <w:szCs w:val="24"/>
        </w:rPr>
        <w:t xml:space="preserve"> </w:t>
      </w:r>
      <w:r w:rsidR="002374EC">
        <w:rPr>
          <w:sz w:val="24"/>
          <w:szCs w:val="24"/>
        </w:rPr>
        <w:t>OTP --</w:t>
      </w:r>
      <w:r w:rsidR="00C00E45">
        <w:rPr>
          <w:sz w:val="24"/>
          <w:szCs w:val="24"/>
        </w:rPr>
        <w:t xml:space="preserve"> </w:t>
      </w:r>
      <w:r w:rsidR="00934B54">
        <w:rPr>
          <w:sz w:val="24"/>
          <w:szCs w:val="24"/>
        </w:rPr>
        <w:t xml:space="preserve">unreasonably and unjustly </w:t>
      </w:r>
      <w:r w:rsidR="00C00E45">
        <w:rPr>
          <w:sz w:val="24"/>
          <w:szCs w:val="24"/>
        </w:rPr>
        <w:t>increased the cost of natural gas supplies to customers of Orwell.</w:t>
      </w:r>
      <w:r w:rsidR="005C245A">
        <w:rPr>
          <w:sz w:val="24"/>
          <w:szCs w:val="24"/>
        </w:rPr>
        <w:t xml:space="preserve"> </w:t>
      </w:r>
      <w:r w:rsidR="005A2329">
        <w:rPr>
          <w:sz w:val="24"/>
          <w:szCs w:val="24"/>
        </w:rPr>
        <w:t xml:space="preserve"> I </w:t>
      </w:r>
      <w:r w:rsidR="00151A3A">
        <w:rPr>
          <w:sz w:val="24"/>
          <w:szCs w:val="24"/>
        </w:rPr>
        <w:t xml:space="preserve">calculate </w:t>
      </w:r>
      <w:r w:rsidR="00934B54">
        <w:rPr>
          <w:sz w:val="24"/>
          <w:szCs w:val="24"/>
        </w:rPr>
        <w:t>that</w:t>
      </w:r>
      <w:r w:rsidR="0097342B">
        <w:rPr>
          <w:sz w:val="24"/>
          <w:szCs w:val="24"/>
        </w:rPr>
        <w:t xml:space="preserve"> t</w:t>
      </w:r>
      <w:r w:rsidR="00934B54">
        <w:rPr>
          <w:sz w:val="24"/>
          <w:szCs w:val="24"/>
        </w:rPr>
        <w:t xml:space="preserve">his imprudent transaction resulted in </w:t>
      </w:r>
      <w:r w:rsidR="00151A3A">
        <w:rPr>
          <w:sz w:val="24"/>
          <w:szCs w:val="24"/>
        </w:rPr>
        <w:t>customers pa</w:t>
      </w:r>
      <w:r w:rsidR="00934B54">
        <w:rPr>
          <w:sz w:val="24"/>
          <w:szCs w:val="24"/>
        </w:rPr>
        <w:t>ying</w:t>
      </w:r>
      <w:r w:rsidR="00151A3A">
        <w:rPr>
          <w:sz w:val="24"/>
          <w:szCs w:val="24"/>
        </w:rPr>
        <w:t xml:space="preserve"> higher rates than </w:t>
      </w:r>
      <w:r w:rsidR="0097342B">
        <w:rPr>
          <w:sz w:val="24"/>
          <w:szCs w:val="24"/>
        </w:rPr>
        <w:t>are fair</w:t>
      </w:r>
      <w:r w:rsidR="007C4544">
        <w:rPr>
          <w:sz w:val="24"/>
          <w:szCs w:val="24"/>
        </w:rPr>
        <w:t>,</w:t>
      </w:r>
      <w:r w:rsidR="0097342B">
        <w:rPr>
          <w:sz w:val="24"/>
          <w:szCs w:val="24"/>
        </w:rPr>
        <w:t xml:space="preserve"> just and reasonable </w:t>
      </w:r>
      <w:r w:rsidR="00151A3A">
        <w:rPr>
          <w:sz w:val="24"/>
          <w:szCs w:val="24"/>
        </w:rPr>
        <w:t xml:space="preserve">in </w:t>
      </w:r>
      <w:r w:rsidR="00934B54">
        <w:rPr>
          <w:sz w:val="24"/>
          <w:szCs w:val="24"/>
        </w:rPr>
        <w:t>the amount of $205,016</w:t>
      </w:r>
      <w:r>
        <w:rPr>
          <w:sz w:val="24"/>
          <w:szCs w:val="24"/>
        </w:rPr>
        <w:t>.</w:t>
      </w:r>
    </w:p>
    <w:p w:rsidR="00C44B07" w:rsidRDefault="00C44B07" w:rsidP="00A054C9">
      <w:pPr>
        <w:spacing w:line="480" w:lineRule="auto"/>
        <w:ind w:left="720" w:hanging="720"/>
        <w:rPr>
          <w:sz w:val="24"/>
          <w:szCs w:val="24"/>
        </w:rPr>
      </w:pPr>
    </w:p>
    <w:p w:rsidR="00F16381" w:rsidRDefault="00FC0A1A" w:rsidP="00A054C9">
      <w:pPr>
        <w:pStyle w:val="Heading1"/>
      </w:pPr>
      <w:bookmarkStart w:id="27" w:name="_Toc425427767"/>
      <w:r>
        <w:t>III.</w:t>
      </w:r>
      <w:r>
        <w:tab/>
      </w:r>
      <w:r w:rsidR="00F16381">
        <w:t>RECOMMENDATION</w:t>
      </w:r>
      <w:bookmarkEnd w:id="27"/>
    </w:p>
    <w:p w:rsidR="00F16381" w:rsidRDefault="00F16381" w:rsidP="00A054C9">
      <w:pPr>
        <w:spacing w:line="480" w:lineRule="auto"/>
        <w:rPr>
          <w:b/>
          <w:sz w:val="24"/>
          <w:szCs w:val="24"/>
        </w:rPr>
      </w:pPr>
    </w:p>
    <w:p w:rsidR="00F16381" w:rsidRDefault="00F16381" w:rsidP="00A054C9">
      <w:pPr>
        <w:spacing w:line="480" w:lineRule="auto"/>
        <w:ind w:left="720" w:hanging="720"/>
        <w:rPr>
          <w:b/>
          <w:i/>
          <w:iCs/>
          <w:sz w:val="24"/>
          <w:szCs w:val="24"/>
        </w:rPr>
      </w:pPr>
      <w:r>
        <w:rPr>
          <w:b/>
          <w:i/>
          <w:iCs/>
          <w:sz w:val="24"/>
          <w:szCs w:val="24"/>
        </w:rPr>
        <w:t>Q</w:t>
      </w:r>
      <w:r w:rsidR="00C32C5C">
        <w:rPr>
          <w:b/>
          <w:i/>
          <w:iCs/>
          <w:sz w:val="24"/>
          <w:szCs w:val="24"/>
        </w:rPr>
        <w:t>7</w:t>
      </w:r>
      <w:r>
        <w:rPr>
          <w:b/>
          <w:i/>
          <w:iCs/>
          <w:sz w:val="24"/>
          <w:szCs w:val="24"/>
        </w:rPr>
        <w:t>.</w:t>
      </w:r>
      <w:r>
        <w:rPr>
          <w:b/>
          <w:i/>
          <w:iCs/>
          <w:sz w:val="24"/>
          <w:szCs w:val="24"/>
        </w:rPr>
        <w:tab/>
      </w:r>
      <w:r w:rsidR="00BD2C2A">
        <w:rPr>
          <w:b/>
          <w:i/>
          <w:iCs/>
          <w:sz w:val="24"/>
          <w:szCs w:val="24"/>
        </w:rPr>
        <w:t>WHAT ARE YOUR</w:t>
      </w:r>
      <w:r>
        <w:rPr>
          <w:b/>
          <w:i/>
          <w:iCs/>
          <w:sz w:val="24"/>
          <w:szCs w:val="24"/>
        </w:rPr>
        <w:t xml:space="preserve"> RECOMMENDATION</w:t>
      </w:r>
      <w:r w:rsidR="00BD2C2A">
        <w:rPr>
          <w:b/>
          <w:i/>
          <w:iCs/>
          <w:sz w:val="24"/>
          <w:szCs w:val="24"/>
        </w:rPr>
        <w:t>S</w:t>
      </w:r>
      <w:r>
        <w:rPr>
          <w:b/>
          <w:i/>
          <w:iCs/>
          <w:sz w:val="24"/>
          <w:szCs w:val="24"/>
        </w:rPr>
        <w:t xml:space="preserve"> RE</w:t>
      </w:r>
      <w:r w:rsidR="00281A3E">
        <w:rPr>
          <w:b/>
          <w:i/>
          <w:iCs/>
          <w:sz w:val="24"/>
          <w:szCs w:val="24"/>
        </w:rPr>
        <w:t>GARDING</w:t>
      </w:r>
      <w:r w:rsidR="00BD2C2A">
        <w:rPr>
          <w:b/>
          <w:i/>
          <w:iCs/>
          <w:sz w:val="24"/>
          <w:szCs w:val="24"/>
        </w:rPr>
        <w:t xml:space="preserve"> THE UTILITIES</w:t>
      </w:r>
      <w:r w:rsidR="0097342B">
        <w:rPr>
          <w:b/>
          <w:i/>
          <w:iCs/>
          <w:sz w:val="24"/>
          <w:szCs w:val="24"/>
        </w:rPr>
        <w:t>’</w:t>
      </w:r>
      <w:r>
        <w:rPr>
          <w:b/>
          <w:i/>
          <w:iCs/>
          <w:sz w:val="24"/>
          <w:szCs w:val="24"/>
        </w:rPr>
        <w:t xml:space="preserve"> PURCHASING PRACTICES AND ASSOCIATED CONTRACTS WITH AFFILIATES</w:t>
      </w:r>
      <w:r w:rsidR="00B51F2D">
        <w:rPr>
          <w:b/>
          <w:i/>
          <w:iCs/>
          <w:sz w:val="24"/>
          <w:szCs w:val="24"/>
        </w:rPr>
        <w:t xml:space="preserve"> AND RELATED </w:t>
      </w:r>
      <w:r w:rsidR="00C44B07">
        <w:rPr>
          <w:b/>
          <w:i/>
          <w:iCs/>
          <w:sz w:val="24"/>
          <w:szCs w:val="24"/>
        </w:rPr>
        <w:t>COMPAN</w:t>
      </w:r>
      <w:r w:rsidR="00B51F2D">
        <w:rPr>
          <w:b/>
          <w:i/>
          <w:iCs/>
          <w:sz w:val="24"/>
          <w:szCs w:val="24"/>
        </w:rPr>
        <w:t>IES</w:t>
      </w:r>
      <w:r>
        <w:rPr>
          <w:b/>
          <w:i/>
          <w:iCs/>
          <w:sz w:val="24"/>
          <w:szCs w:val="24"/>
        </w:rPr>
        <w:t>?</w:t>
      </w:r>
    </w:p>
    <w:p w:rsidR="00F47186" w:rsidRDefault="00F16381" w:rsidP="00A054C9">
      <w:pPr>
        <w:spacing w:line="480" w:lineRule="auto"/>
        <w:ind w:left="720" w:hanging="720"/>
        <w:rPr>
          <w:sz w:val="24"/>
          <w:szCs w:val="24"/>
        </w:rPr>
      </w:pPr>
      <w:r>
        <w:rPr>
          <w:b/>
          <w:i/>
          <w:iCs/>
          <w:sz w:val="24"/>
          <w:szCs w:val="24"/>
        </w:rPr>
        <w:t>A</w:t>
      </w:r>
      <w:r w:rsidR="00C32C5C">
        <w:rPr>
          <w:b/>
          <w:i/>
          <w:iCs/>
          <w:sz w:val="24"/>
          <w:szCs w:val="24"/>
        </w:rPr>
        <w:t>7</w:t>
      </w:r>
      <w:r>
        <w:rPr>
          <w:b/>
          <w:i/>
          <w:iCs/>
          <w:sz w:val="24"/>
          <w:szCs w:val="24"/>
        </w:rPr>
        <w:t>.</w:t>
      </w:r>
      <w:r>
        <w:rPr>
          <w:b/>
          <w:sz w:val="24"/>
          <w:szCs w:val="24"/>
        </w:rPr>
        <w:tab/>
      </w:r>
      <w:r w:rsidR="00F47186">
        <w:rPr>
          <w:sz w:val="24"/>
          <w:szCs w:val="24"/>
        </w:rPr>
        <w:t xml:space="preserve">I have several recommendations </w:t>
      </w:r>
      <w:r w:rsidR="00CB0880">
        <w:rPr>
          <w:sz w:val="24"/>
          <w:szCs w:val="24"/>
        </w:rPr>
        <w:t>that are aimed at producing rates for customers that are fair, just, and reasonable</w:t>
      </w:r>
      <w:r w:rsidR="005C245A">
        <w:rPr>
          <w:sz w:val="24"/>
          <w:szCs w:val="24"/>
        </w:rPr>
        <w:t>,</w:t>
      </w:r>
      <w:r w:rsidR="00F76AFF">
        <w:rPr>
          <w:sz w:val="24"/>
          <w:szCs w:val="24"/>
        </w:rPr>
        <w:t xml:space="preserve"> and ensuring that the </w:t>
      </w:r>
      <w:r w:rsidR="002374EC">
        <w:rPr>
          <w:sz w:val="24"/>
          <w:szCs w:val="24"/>
        </w:rPr>
        <w:t>Utilities</w:t>
      </w:r>
      <w:r w:rsidR="00772CDB">
        <w:rPr>
          <w:sz w:val="24"/>
          <w:szCs w:val="24"/>
        </w:rPr>
        <w:t>’</w:t>
      </w:r>
      <w:r w:rsidR="002374EC">
        <w:rPr>
          <w:sz w:val="24"/>
          <w:szCs w:val="24"/>
        </w:rPr>
        <w:t xml:space="preserve"> </w:t>
      </w:r>
      <w:r w:rsidR="00F76AFF">
        <w:rPr>
          <w:sz w:val="24"/>
          <w:szCs w:val="24"/>
        </w:rPr>
        <w:t xml:space="preserve">natural gas purchasing practices and policies </w:t>
      </w:r>
      <w:r w:rsidR="00F76AFF" w:rsidRPr="003B5ACC">
        <w:rPr>
          <w:color w:val="000000"/>
          <w:sz w:val="24"/>
          <w:szCs w:val="24"/>
        </w:rPr>
        <w:t>promote minimum prices consistent with an adequate supply of gas</w:t>
      </w:r>
      <w:r w:rsidR="00CB0880" w:rsidRPr="003B5ACC">
        <w:rPr>
          <w:sz w:val="24"/>
          <w:szCs w:val="24"/>
        </w:rPr>
        <w:t>.</w:t>
      </w:r>
      <w:r w:rsidR="00E02DCB">
        <w:rPr>
          <w:sz w:val="24"/>
          <w:szCs w:val="24"/>
        </w:rPr>
        <w:t xml:space="preserve"> </w:t>
      </w:r>
      <w:r w:rsidR="005C245A">
        <w:rPr>
          <w:sz w:val="24"/>
          <w:szCs w:val="24"/>
        </w:rPr>
        <w:t xml:space="preserve"> </w:t>
      </w:r>
      <w:r w:rsidR="00CB0880">
        <w:rPr>
          <w:sz w:val="24"/>
          <w:szCs w:val="24"/>
        </w:rPr>
        <w:t>These recommendation</w:t>
      </w:r>
      <w:r w:rsidR="00934B54">
        <w:rPr>
          <w:sz w:val="24"/>
          <w:szCs w:val="24"/>
        </w:rPr>
        <w:t>s</w:t>
      </w:r>
      <w:r w:rsidR="00CB0880">
        <w:rPr>
          <w:sz w:val="24"/>
          <w:szCs w:val="24"/>
        </w:rPr>
        <w:t xml:space="preserve"> focus on </w:t>
      </w:r>
      <w:r w:rsidR="00F47186">
        <w:rPr>
          <w:sz w:val="24"/>
          <w:szCs w:val="24"/>
        </w:rPr>
        <w:t xml:space="preserve">Orwell’s and Northeast’s </w:t>
      </w:r>
      <w:r w:rsidR="00934B54">
        <w:rPr>
          <w:sz w:val="24"/>
          <w:szCs w:val="24"/>
        </w:rPr>
        <w:t xml:space="preserve">natural gas </w:t>
      </w:r>
      <w:r w:rsidR="00F47186">
        <w:rPr>
          <w:sz w:val="24"/>
          <w:szCs w:val="24"/>
        </w:rPr>
        <w:t>purchasing practices and associated contracts with affiliates and</w:t>
      </w:r>
      <w:r w:rsidR="00847A2C">
        <w:rPr>
          <w:sz w:val="24"/>
          <w:szCs w:val="24"/>
        </w:rPr>
        <w:t>/or</w:t>
      </w:r>
      <w:r w:rsidR="00F47186">
        <w:rPr>
          <w:sz w:val="24"/>
          <w:szCs w:val="24"/>
        </w:rPr>
        <w:t xml:space="preserve"> related </w:t>
      </w:r>
      <w:r w:rsidR="00C44B07">
        <w:rPr>
          <w:sz w:val="24"/>
          <w:szCs w:val="24"/>
        </w:rPr>
        <w:t>compan</w:t>
      </w:r>
      <w:r w:rsidR="00F47186">
        <w:rPr>
          <w:sz w:val="24"/>
          <w:szCs w:val="24"/>
        </w:rPr>
        <w:t>ies.</w:t>
      </w:r>
    </w:p>
    <w:p w:rsidR="007F0B65" w:rsidRPr="002374EC" w:rsidRDefault="00F16381" w:rsidP="005C245A">
      <w:pPr>
        <w:pStyle w:val="ListParagraph"/>
        <w:numPr>
          <w:ilvl w:val="0"/>
          <w:numId w:val="7"/>
        </w:numPr>
        <w:spacing w:line="480" w:lineRule="auto"/>
        <w:ind w:left="2160" w:right="720" w:hanging="720"/>
        <w:rPr>
          <w:iCs/>
          <w:sz w:val="24"/>
          <w:szCs w:val="24"/>
        </w:rPr>
      </w:pPr>
      <w:r w:rsidRPr="00F47186">
        <w:rPr>
          <w:sz w:val="24"/>
          <w:szCs w:val="24"/>
        </w:rPr>
        <w:t xml:space="preserve">I </w:t>
      </w:r>
      <w:r w:rsidR="007C4544">
        <w:rPr>
          <w:sz w:val="24"/>
          <w:szCs w:val="24"/>
        </w:rPr>
        <w:t>recommend that</w:t>
      </w:r>
      <w:r w:rsidRPr="00F47186">
        <w:rPr>
          <w:sz w:val="24"/>
          <w:szCs w:val="24"/>
        </w:rPr>
        <w:t xml:space="preserve"> the </w:t>
      </w:r>
      <w:r w:rsidR="000E746F">
        <w:rPr>
          <w:sz w:val="24"/>
          <w:szCs w:val="24"/>
        </w:rPr>
        <w:t>PUCO</w:t>
      </w:r>
      <w:r w:rsidRPr="00F47186">
        <w:rPr>
          <w:sz w:val="24"/>
          <w:szCs w:val="24"/>
        </w:rPr>
        <w:t xml:space="preserve"> find that the gas cost</w:t>
      </w:r>
      <w:r w:rsidR="00CB0880">
        <w:rPr>
          <w:sz w:val="24"/>
          <w:szCs w:val="24"/>
        </w:rPr>
        <w:t xml:space="preserve"> recovery rates charged to </w:t>
      </w:r>
      <w:r w:rsidRPr="00F47186">
        <w:rPr>
          <w:sz w:val="24"/>
          <w:szCs w:val="24"/>
        </w:rPr>
        <w:t xml:space="preserve">Orwell and Northeast </w:t>
      </w:r>
      <w:r w:rsidR="00CB0880">
        <w:rPr>
          <w:sz w:val="24"/>
          <w:szCs w:val="24"/>
        </w:rPr>
        <w:t xml:space="preserve">customers </w:t>
      </w:r>
      <w:r w:rsidRPr="00F47186">
        <w:rPr>
          <w:sz w:val="24"/>
          <w:szCs w:val="24"/>
        </w:rPr>
        <w:t xml:space="preserve">during the </w:t>
      </w:r>
      <w:r w:rsidR="005A2329">
        <w:rPr>
          <w:sz w:val="24"/>
          <w:szCs w:val="24"/>
        </w:rPr>
        <w:t xml:space="preserve">current </w:t>
      </w:r>
      <w:r w:rsidR="009D5FE5">
        <w:rPr>
          <w:sz w:val="24"/>
          <w:szCs w:val="24"/>
        </w:rPr>
        <w:t>a</w:t>
      </w:r>
      <w:r w:rsidRPr="00F47186">
        <w:rPr>
          <w:sz w:val="24"/>
          <w:szCs w:val="24"/>
        </w:rPr>
        <w:t xml:space="preserve">udit periods were </w:t>
      </w:r>
      <w:r w:rsidR="00E02DCB">
        <w:rPr>
          <w:sz w:val="24"/>
          <w:szCs w:val="24"/>
        </w:rPr>
        <w:t>not fair, just, and reasonable.</w:t>
      </w:r>
      <w:r w:rsidR="005C245A">
        <w:rPr>
          <w:sz w:val="24"/>
          <w:szCs w:val="24"/>
        </w:rPr>
        <w:t xml:space="preserve"> </w:t>
      </w:r>
      <w:r w:rsidR="00CB0880">
        <w:rPr>
          <w:sz w:val="24"/>
          <w:szCs w:val="24"/>
        </w:rPr>
        <w:t xml:space="preserve"> Instead the rates were excessive due to unreasonable</w:t>
      </w:r>
      <w:r w:rsidR="00025596">
        <w:rPr>
          <w:sz w:val="24"/>
          <w:szCs w:val="24"/>
        </w:rPr>
        <w:t xml:space="preserve"> </w:t>
      </w:r>
      <w:r w:rsidR="00934B54">
        <w:rPr>
          <w:sz w:val="24"/>
          <w:szCs w:val="24"/>
        </w:rPr>
        <w:t>and/</w:t>
      </w:r>
      <w:r w:rsidR="00025596">
        <w:rPr>
          <w:sz w:val="24"/>
          <w:szCs w:val="24"/>
        </w:rPr>
        <w:t>or imp</w:t>
      </w:r>
      <w:r w:rsidR="00CB0880">
        <w:rPr>
          <w:sz w:val="24"/>
          <w:szCs w:val="24"/>
        </w:rPr>
        <w:t>r</w:t>
      </w:r>
      <w:r w:rsidR="00025596">
        <w:rPr>
          <w:sz w:val="24"/>
          <w:szCs w:val="24"/>
        </w:rPr>
        <w:t>u</w:t>
      </w:r>
      <w:r w:rsidR="00CB0880">
        <w:rPr>
          <w:sz w:val="24"/>
          <w:szCs w:val="24"/>
        </w:rPr>
        <w:t>dent purchasing policies or practices of the</w:t>
      </w:r>
      <w:r w:rsidR="00D23F72">
        <w:rPr>
          <w:sz w:val="24"/>
          <w:szCs w:val="24"/>
        </w:rPr>
        <w:t xml:space="preserve"> Utilities, which</w:t>
      </w:r>
      <w:r w:rsidR="0097342B">
        <w:rPr>
          <w:sz w:val="24"/>
          <w:szCs w:val="24"/>
        </w:rPr>
        <w:t xml:space="preserve"> </w:t>
      </w:r>
      <w:r w:rsidR="003B5ACC">
        <w:rPr>
          <w:sz w:val="24"/>
          <w:szCs w:val="24"/>
        </w:rPr>
        <w:t>did not result in minimum gas prices consistent with adequate supply of gas.</w:t>
      </w:r>
    </w:p>
    <w:p w:rsidR="00B23E9F" w:rsidRPr="002374EC" w:rsidRDefault="007F0B65" w:rsidP="005C245A">
      <w:pPr>
        <w:pStyle w:val="ListParagraph"/>
        <w:numPr>
          <w:ilvl w:val="0"/>
          <w:numId w:val="7"/>
        </w:numPr>
        <w:spacing w:line="480" w:lineRule="auto"/>
        <w:ind w:left="2160" w:right="720" w:hanging="720"/>
        <w:rPr>
          <w:iCs/>
          <w:sz w:val="24"/>
          <w:szCs w:val="24"/>
        </w:rPr>
      </w:pPr>
      <w:r w:rsidRPr="002374EC">
        <w:rPr>
          <w:sz w:val="24"/>
          <w:szCs w:val="24"/>
        </w:rPr>
        <w:t xml:space="preserve">To </w:t>
      </w:r>
      <w:r w:rsidR="00025596" w:rsidRPr="002374EC">
        <w:rPr>
          <w:sz w:val="24"/>
          <w:szCs w:val="24"/>
        </w:rPr>
        <w:t>assure fair</w:t>
      </w:r>
      <w:r w:rsidR="00934B54" w:rsidRPr="002374EC">
        <w:rPr>
          <w:sz w:val="24"/>
          <w:szCs w:val="24"/>
        </w:rPr>
        <w:t>,</w:t>
      </w:r>
      <w:r w:rsidR="00025596" w:rsidRPr="002374EC">
        <w:rPr>
          <w:sz w:val="24"/>
          <w:szCs w:val="24"/>
        </w:rPr>
        <w:t xml:space="preserve"> just</w:t>
      </w:r>
      <w:r w:rsidR="00934B54" w:rsidRPr="002374EC">
        <w:rPr>
          <w:sz w:val="24"/>
          <w:szCs w:val="24"/>
        </w:rPr>
        <w:t>,</w:t>
      </w:r>
      <w:r w:rsidR="00025596" w:rsidRPr="002374EC">
        <w:rPr>
          <w:sz w:val="24"/>
          <w:szCs w:val="24"/>
        </w:rPr>
        <w:t xml:space="preserve"> and reasonable rates for the Utilities’ customers</w:t>
      </w:r>
      <w:r w:rsidR="00934B54" w:rsidRPr="002374EC">
        <w:rPr>
          <w:sz w:val="24"/>
          <w:szCs w:val="24"/>
        </w:rPr>
        <w:t>,</w:t>
      </w:r>
      <w:r w:rsidR="00025596" w:rsidRPr="002374EC">
        <w:rPr>
          <w:sz w:val="24"/>
          <w:szCs w:val="24"/>
        </w:rPr>
        <w:t xml:space="preserve"> I</w:t>
      </w:r>
      <w:r w:rsidR="003B5ACC" w:rsidRPr="002374EC">
        <w:rPr>
          <w:sz w:val="24"/>
          <w:szCs w:val="24"/>
        </w:rPr>
        <w:t xml:space="preserve"> </w:t>
      </w:r>
      <w:r w:rsidR="00507CC0" w:rsidRPr="002374EC">
        <w:rPr>
          <w:sz w:val="24"/>
          <w:szCs w:val="24"/>
        </w:rPr>
        <w:t xml:space="preserve">recommend that the intrastate gas supply </w:t>
      </w:r>
      <w:r w:rsidR="00934B54" w:rsidRPr="002374EC">
        <w:rPr>
          <w:sz w:val="24"/>
          <w:szCs w:val="24"/>
        </w:rPr>
        <w:t xml:space="preserve">purchased </w:t>
      </w:r>
      <w:r w:rsidR="00507CC0" w:rsidRPr="002374EC">
        <w:rPr>
          <w:sz w:val="24"/>
          <w:szCs w:val="24"/>
        </w:rPr>
        <w:t xml:space="preserve">from local gas producers provided by JDOG Marketing and </w:t>
      </w:r>
      <w:r w:rsidR="00725891" w:rsidRPr="002374EC">
        <w:rPr>
          <w:sz w:val="24"/>
          <w:szCs w:val="24"/>
        </w:rPr>
        <w:t>its successor, Gas Natural Resources</w:t>
      </w:r>
      <w:r w:rsidR="00AC344A" w:rsidRPr="002374EC">
        <w:rPr>
          <w:sz w:val="24"/>
          <w:szCs w:val="24"/>
        </w:rPr>
        <w:t xml:space="preserve"> (“GNR”)</w:t>
      </w:r>
      <w:r w:rsidR="00725891" w:rsidRPr="002374EC">
        <w:rPr>
          <w:sz w:val="24"/>
          <w:szCs w:val="24"/>
        </w:rPr>
        <w:t>,</w:t>
      </w:r>
      <w:r w:rsidR="00507CC0" w:rsidRPr="002374EC">
        <w:rPr>
          <w:sz w:val="24"/>
          <w:szCs w:val="24"/>
        </w:rPr>
        <w:t xml:space="preserve"> during the </w:t>
      </w:r>
      <w:r w:rsidR="002374EC">
        <w:rPr>
          <w:sz w:val="24"/>
          <w:szCs w:val="24"/>
        </w:rPr>
        <w:t>A</w:t>
      </w:r>
      <w:r w:rsidR="00507CC0" w:rsidRPr="002374EC">
        <w:rPr>
          <w:sz w:val="24"/>
          <w:szCs w:val="24"/>
        </w:rPr>
        <w:t>udit period be re-priced.</w:t>
      </w:r>
      <w:r w:rsidR="00025596" w:rsidRPr="002374EC">
        <w:rPr>
          <w:sz w:val="24"/>
          <w:szCs w:val="24"/>
        </w:rPr>
        <w:t xml:space="preserve"> </w:t>
      </w:r>
      <w:r w:rsidR="005C245A">
        <w:rPr>
          <w:sz w:val="24"/>
          <w:szCs w:val="24"/>
        </w:rPr>
        <w:t xml:space="preserve"> </w:t>
      </w:r>
      <w:r w:rsidR="00507CC0" w:rsidRPr="002374EC">
        <w:rPr>
          <w:sz w:val="24"/>
          <w:szCs w:val="24"/>
        </w:rPr>
        <w:t xml:space="preserve">Specifically, </w:t>
      </w:r>
      <w:r w:rsidR="00934B54" w:rsidRPr="002374EC">
        <w:rPr>
          <w:sz w:val="24"/>
          <w:szCs w:val="24"/>
        </w:rPr>
        <w:t>the natural gas purchased</w:t>
      </w:r>
      <w:r w:rsidR="00507CC0" w:rsidRPr="002374EC">
        <w:rPr>
          <w:sz w:val="24"/>
          <w:szCs w:val="24"/>
        </w:rPr>
        <w:t xml:space="preserve"> should be re-priced based on the historic difference between the cost of interstate gas and the cost of local production gas prior to the </w:t>
      </w:r>
      <w:r w:rsidR="009D5FE5" w:rsidRPr="002374EC">
        <w:rPr>
          <w:sz w:val="24"/>
          <w:szCs w:val="24"/>
        </w:rPr>
        <w:t xml:space="preserve">utilization </w:t>
      </w:r>
      <w:r w:rsidR="00507CC0" w:rsidRPr="002374EC">
        <w:rPr>
          <w:sz w:val="24"/>
          <w:szCs w:val="24"/>
        </w:rPr>
        <w:t>of JDOG Marketing in 2008 as the asset manager for both Northeast and Orwell</w:t>
      </w:r>
      <w:r w:rsidR="00025596" w:rsidRPr="002374EC">
        <w:rPr>
          <w:sz w:val="24"/>
          <w:szCs w:val="24"/>
        </w:rPr>
        <w:t>.  I discuss this in</w:t>
      </w:r>
      <w:r w:rsidR="009D5FE5" w:rsidRPr="002374EC">
        <w:rPr>
          <w:sz w:val="24"/>
          <w:szCs w:val="24"/>
        </w:rPr>
        <w:t xml:space="preserve"> </w:t>
      </w:r>
      <w:r w:rsidR="00E02DCB">
        <w:rPr>
          <w:sz w:val="24"/>
          <w:szCs w:val="24"/>
        </w:rPr>
        <w:t>greater detail below.</w:t>
      </w:r>
      <w:r w:rsidR="00507CC0" w:rsidRPr="002374EC">
        <w:rPr>
          <w:sz w:val="24"/>
          <w:szCs w:val="24"/>
        </w:rPr>
        <w:t xml:space="preserve"> </w:t>
      </w:r>
      <w:r w:rsidR="005C245A">
        <w:rPr>
          <w:sz w:val="24"/>
          <w:szCs w:val="24"/>
        </w:rPr>
        <w:t xml:space="preserve"> </w:t>
      </w:r>
      <w:r w:rsidR="00507CC0" w:rsidRPr="002374EC">
        <w:rPr>
          <w:sz w:val="24"/>
          <w:szCs w:val="24"/>
        </w:rPr>
        <w:t xml:space="preserve">More specifically, I recommend that the PUCO order Northeast to refund $671,696 to GCR customers and Orwell to refund $25,181 to GCR customers for excessive charges </w:t>
      </w:r>
      <w:r w:rsidR="009D5FE5" w:rsidRPr="002374EC">
        <w:rPr>
          <w:sz w:val="24"/>
          <w:szCs w:val="24"/>
        </w:rPr>
        <w:t xml:space="preserve">associated with </w:t>
      </w:r>
      <w:r w:rsidR="00507CC0" w:rsidRPr="002374EC">
        <w:rPr>
          <w:sz w:val="24"/>
          <w:szCs w:val="24"/>
        </w:rPr>
        <w:t>local production gas</w:t>
      </w:r>
      <w:r w:rsidR="009D5FE5" w:rsidRPr="002374EC">
        <w:rPr>
          <w:sz w:val="24"/>
          <w:szCs w:val="24"/>
        </w:rPr>
        <w:t xml:space="preserve"> purchased</w:t>
      </w:r>
      <w:r w:rsidR="00507CC0" w:rsidRPr="002374EC">
        <w:rPr>
          <w:sz w:val="24"/>
          <w:szCs w:val="24"/>
        </w:rPr>
        <w:t xml:space="preserve"> during the audit periods.</w:t>
      </w:r>
    </w:p>
    <w:p w:rsidR="002374EC" w:rsidRPr="002374EC" w:rsidRDefault="002374EC" w:rsidP="005C245A">
      <w:pPr>
        <w:spacing w:line="480" w:lineRule="auto"/>
        <w:ind w:left="2160" w:right="720"/>
        <w:rPr>
          <w:iCs/>
          <w:sz w:val="24"/>
          <w:szCs w:val="24"/>
        </w:rPr>
      </w:pPr>
    </w:p>
    <w:p w:rsidR="000F3F40" w:rsidRDefault="00301BF6" w:rsidP="005C245A">
      <w:pPr>
        <w:pStyle w:val="ListParagraph"/>
        <w:numPr>
          <w:ilvl w:val="0"/>
          <w:numId w:val="7"/>
        </w:numPr>
        <w:spacing w:line="480" w:lineRule="auto"/>
        <w:ind w:left="2160" w:right="720" w:hanging="720"/>
        <w:rPr>
          <w:sz w:val="24"/>
          <w:szCs w:val="24"/>
        </w:rPr>
      </w:pPr>
      <w:r w:rsidRPr="0097342B">
        <w:rPr>
          <w:sz w:val="24"/>
          <w:szCs w:val="24"/>
        </w:rPr>
        <w:t xml:space="preserve">I recommend that the PUCO terminate </w:t>
      </w:r>
      <w:r w:rsidR="00D82B48" w:rsidRPr="0097342B">
        <w:rPr>
          <w:sz w:val="24"/>
          <w:szCs w:val="24"/>
        </w:rPr>
        <w:t>the</w:t>
      </w:r>
      <w:r w:rsidRPr="00AF67EF">
        <w:rPr>
          <w:sz w:val="24"/>
          <w:szCs w:val="24"/>
        </w:rPr>
        <w:t xml:space="preserve"> </w:t>
      </w:r>
      <w:r w:rsidR="00300E9A" w:rsidRPr="00BA6A7B">
        <w:rPr>
          <w:sz w:val="24"/>
          <w:szCs w:val="24"/>
        </w:rPr>
        <w:t xml:space="preserve">July 1, 2008 </w:t>
      </w:r>
      <w:r w:rsidRPr="0097342B">
        <w:rPr>
          <w:sz w:val="24"/>
          <w:szCs w:val="24"/>
        </w:rPr>
        <w:t>gas transport</w:t>
      </w:r>
      <w:r w:rsidR="00300E9A" w:rsidRPr="0097342B">
        <w:rPr>
          <w:sz w:val="24"/>
          <w:szCs w:val="24"/>
        </w:rPr>
        <w:t xml:space="preserve">ation </w:t>
      </w:r>
      <w:r w:rsidRPr="0097342B">
        <w:rPr>
          <w:sz w:val="24"/>
          <w:szCs w:val="24"/>
        </w:rPr>
        <w:t xml:space="preserve">agreement </w:t>
      </w:r>
      <w:r w:rsidR="00D82B48" w:rsidRPr="0097342B">
        <w:rPr>
          <w:sz w:val="24"/>
          <w:szCs w:val="24"/>
        </w:rPr>
        <w:t xml:space="preserve">between Orwell and Brainard </w:t>
      </w:r>
      <w:r w:rsidRPr="0097342B">
        <w:rPr>
          <w:sz w:val="24"/>
          <w:szCs w:val="24"/>
        </w:rPr>
        <w:t>with Orwell-Trumbull Pipeline</w:t>
      </w:r>
      <w:r w:rsidR="002374EC" w:rsidRPr="0097342B">
        <w:rPr>
          <w:sz w:val="24"/>
          <w:szCs w:val="24"/>
        </w:rPr>
        <w:t xml:space="preserve">. </w:t>
      </w:r>
      <w:r w:rsidR="005C245A">
        <w:rPr>
          <w:sz w:val="24"/>
          <w:szCs w:val="24"/>
        </w:rPr>
        <w:t xml:space="preserve"> </w:t>
      </w:r>
      <w:r w:rsidR="00AF7C9F" w:rsidRPr="0097342B">
        <w:rPr>
          <w:sz w:val="24"/>
          <w:szCs w:val="24"/>
        </w:rPr>
        <w:t>The</w:t>
      </w:r>
      <w:r w:rsidR="00D71796" w:rsidRPr="0097342B">
        <w:rPr>
          <w:sz w:val="24"/>
          <w:szCs w:val="24"/>
        </w:rPr>
        <w:t xml:space="preserve"> contract at</w:t>
      </w:r>
      <w:r w:rsidR="002374EC" w:rsidRPr="0097342B">
        <w:rPr>
          <w:sz w:val="24"/>
          <w:szCs w:val="24"/>
        </w:rPr>
        <w:t xml:space="preserve"> issue was not negotiated as an</w:t>
      </w:r>
      <w:r w:rsidR="00D71796" w:rsidRPr="0097342B">
        <w:rPr>
          <w:sz w:val="24"/>
          <w:szCs w:val="24"/>
        </w:rPr>
        <w:t xml:space="preserve"> arm’s length agreement and, consequently, has caused customers to pay excessive gas costs, resulting in unjust and unreasonable rates to Orwell’s and Brainard’s residential customers</w:t>
      </w:r>
      <w:r w:rsidR="002374EC" w:rsidRPr="0097342B">
        <w:rPr>
          <w:sz w:val="24"/>
          <w:szCs w:val="24"/>
        </w:rPr>
        <w:t xml:space="preserve">. </w:t>
      </w:r>
      <w:r w:rsidR="005C245A">
        <w:rPr>
          <w:sz w:val="24"/>
          <w:szCs w:val="24"/>
        </w:rPr>
        <w:t xml:space="preserve"> </w:t>
      </w:r>
      <w:r w:rsidR="002374EC" w:rsidRPr="0097342B">
        <w:rPr>
          <w:sz w:val="24"/>
          <w:szCs w:val="24"/>
        </w:rPr>
        <w:t>In its place, the PUCO should order Orwell and Brainard to negotiate a reasonable agreement</w:t>
      </w:r>
      <w:r w:rsidR="0097342B" w:rsidRPr="0097342B">
        <w:rPr>
          <w:sz w:val="24"/>
          <w:szCs w:val="24"/>
        </w:rPr>
        <w:t xml:space="preserve"> to obtain minimum gas prices consi</w:t>
      </w:r>
      <w:r w:rsidR="00E02DCB">
        <w:rPr>
          <w:sz w:val="24"/>
          <w:szCs w:val="24"/>
        </w:rPr>
        <w:t>s</w:t>
      </w:r>
      <w:r w:rsidR="0097342B" w:rsidRPr="0097342B">
        <w:rPr>
          <w:sz w:val="24"/>
          <w:szCs w:val="24"/>
        </w:rPr>
        <w:t>tent with adequate supplies of gas for customers.</w:t>
      </w:r>
      <w:r w:rsidR="00F3099E">
        <w:rPr>
          <w:sz w:val="24"/>
          <w:szCs w:val="24"/>
        </w:rPr>
        <w:t xml:space="preserve"> </w:t>
      </w:r>
      <w:r w:rsidR="005C245A">
        <w:rPr>
          <w:sz w:val="24"/>
          <w:szCs w:val="24"/>
        </w:rPr>
        <w:t xml:space="preserve"> </w:t>
      </w:r>
      <w:r w:rsidR="0083670B">
        <w:rPr>
          <w:sz w:val="24"/>
          <w:szCs w:val="24"/>
        </w:rPr>
        <w:t>I</w:t>
      </w:r>
      <w:r w:rsidRPr="00FB0945">
        <w:rPr>
          <w:sz w:val="24"/>
          <w:szCs w:val="24"/>
        </w:rPr>
        <w:t xml:space="preserve"> also recommend that the </w:t>
      </w:r>
      <w:r w:rsidR="00EC77F9">
        <w:rPr>
          <w:sz w:val="24"/>
          <w:szCs w:val="24"/>
        </w:rPr>
        <w:t>PUCO</w:t>
      </w:r>
      <w:r w:rsidRPr="00FB0945">
        <w:rPr>
          <w:sz w:val="24"/>
          <w:szCs w:val="24"/>
        </w:rPr>
        <w:t xml:space="preserve"> require</w:t>
      </w:r>
      <w:r w:rsidR="00F47186" w:rsidRPr="00FB0945">
        <w:rPr>
          <w:sz w:val="24"/>
          <w:szCs w:val="24"/>
        </w:rPr>
        <w:t xml:space="preserve"> Orwell to </w:t>
      </w:r>
      <w:r w:rsidR="00776B6E">
        <w:rPr>
          <w:sz w:val="24"/>
          <w:szCs w:val="24"/>
        </w:rPr>
        <w:t>pursue</w:t>
      </w:r>
      <w:r w:rsidR="00F47186" w:rsidRPr="00FB0945">
        <w:rPr>
          <w:sz w:val="24"/>
          <w:szCs w:val="24"/>
        </w:rPr>
        <w:t xml:space="preserve"> reinstalling </w:t>
      </w:r>
      <w:r w:rsidR="00706824" w:rsidRPr="00FB0945">
        <w:rPr>
          <w:sz w:val="24"/>
          <w:szCs w:val="24"/>
        </w:rPr>
        <w:t>the</w:t>
      </w:r>
      <w:r w:rsidR="00706824">
        <w:rPr>
          <w:sz w:val="24"/>
          <w:szCs w:val="24"/>
        </w:rPr>
        <w:t xml:space="preserve"> interconnections</w:t>
      </w:r>
      <w:r w:rsidR="00F47186" w:rsidRPr="00FB0945">
        <w:rPr>
          <w:sz w:val="24"/>
          <w:szCs w:val="24"/>
        </w:rPr>
        <w:t xml:space="preserve"> with D</w:t>
      </w:r>
      <w:r w:rsidR="00135200">
        <w:rPr>
          <w:sz w:val="24"/>
          <w:szCs w:val="24"/>
        </w:rPr>
        <w:t>ominion</w:t>
      </w:r>
      <w:r w:rsidR="00D9603A">
        <w:rPr>
          <w:sz w:val="24"/>
          <w:szCs w:val="24"/>
        </w:rPr>
        <w:t xml:space="preserve"> that Orwell abandoned/dismantled after the gas transportation contract with OTP was executed</w:t>
      </w:r>
      <w:r w:rsidR="005A2329">
        <w:rPr>
          <w:sz w:val="24"/>
          <w:szCs w:val="24"/>
        </w:rPr>
        <w:t xml:space="preserve">. </w:t>
      </w:r>
      <w:r w:rsidR="005C245A">
        <w:rPr>
          <w:sz w:val="24"/>
          <w:szCs w:val="24"/>
        </w:rPr>
        <w:t xml:space="preserve"> </w:t>
      </w:r>
      <w:r w:rsidR="005A2329">
        <w:rPr>
          <w:sz w:val="24"/>
          <w:szCs w:val="24"/>
        </w:rPr>
        <w:t xml:space="preserve">The PUCO should also order that shareholders bear the cost of the new interconnections inasmuch as their abandonment or dismantling was imprudent </w:t>
      </w:r>
      <w:r w:rsidR="009D5FE5">
        <w:rPr>
          <w:sz w:val="24"/>
          <w:szCs w:val="24"/>
        </w:rPr>
        <w:t>(</w:t>
      </w:r>
      <w:r w:rsidR="005A2329">
        <w:rPr>
          <w:sz w:val="24"/>
          <w:szCs w:val="24"/>
        </w:rPr>
        <w:t>ordered by the largest shareholder of Orwell’s parent Company</w:t>
      </w:r>
      <w:r w:rsidR="00AC344A">
        <w:rPr>
          <w:sz w:val="24"/>
          <w:szCs w:val="24"/>
        </w:rPr>
        <w:t>).</w:t>
      </w:r>
      <w:r w:rsidR="00776B6E">
        <w:rPr>
          <w:rStyle w:val="FootnoteReference"/>
          <w:sz w:val="24"/>
          <w:szCs w:val="24"/>
        </w:rPr>
        <w:footnoteReference w:id="2"/>
      </w:r>
    </w:p>
    <w:p w:rsidR="00F16381" w:rsidRDefault="00F47186" w:rsidP="005C245A">
      <w:pPr>
        <w:pStyle w:val="ListParagraph"/>
        <w:numPr>
          <w:ilvl w:val="0"/>
          <w:numId w:val="7"/>
        </w:numPr>
        <w:spacing w:line="480" w:lineRule="auto"/>
        <w:ind w:left="2160" w:right="720" w:hanging="720"/>
        <w:rPr>
          <w:sz w:val="24"/>
          <w:szCs w:val="24"/>
        </w:rPr>
      </w:pPr>
      <w:r w:rsidRPr="00FB0945">
        <w:rPr>
          <w:sz w:val="24"/>
          <w:szCs w:val="24"/>
        </w:rPr>
        <w:t>With regard to the issue of re</w:t>
      </w:r>
      <w:r w:rsidR="00776B6E">
        <w:rPr>
          <w:sz w:val="24"/>
          <w:szCs w:val="24"/>
        </w:rPr>
        <w:t>-</w:t>
      </w:r>
      <w:r w:rsidRPr="00FB0945">
        <w:rPr>
          <w:sz w:val="24"/>
          <w:szCs w:val="24"/>
        </w:rPr>
        <w:t>pricing the gas transported</w:t>
      </w:r>
      <w:r w:rsidR="00301BF6" w:rsidRPr="00FB0945">
        <w:rPr>
          <w:sz w:val="24"/>
          <w:szCs w:val="24"/>
        </w:rPr>
        <w:t xml:space="preserve"> </w:t>
      </w:r>
      <w:r w:rsidR="00B51F2D">
        <w:rPr>
          <w:sz w:val="24"/>
          <w:szCs w:val="24"/>
        </w:rPr>
        <w:t>on OTP</w:t>
      </w:r>
      <w:r w:rsidR="000F3F40">
        <w:rPr>
          <w:sz w:val="24"/>
          <w:szCs w:val="24"/>
        </w:rPr>
        <w:t xml:space="preserve">, I recommend </w:t>
      </w:r>
      <w:r w:rsidR="00810EFE">
        <w:rPr>
          <w:sz w:val="24"/>
          <w:szCs w:val="24"/>
        </w:rPr>
        <w:t xml:space="preserve">that </w:t>
      </w:r>
      <w:r w:rsidR="000F3F40">
        <w:rPr>
          <w:sz w:val="24"/>
          <w:szCs w:val="24"/>
        </w:rPr>
        <w:t xml:space="preserve">the PUCO order Orwell to refund $1,653,652 to GCR customers for excessive charges for natural gas </w:t>
      </w:r>
      <w:r w:rsidR="00810EFE">
        <w:rPr>
          <w:sz w:val="24"/>
          <w:szCs w:val="24"/>
        </w:rPr>
        <w:t>purchased</w:t>
      </w:r>
      <w:r w:rsidR="000F3F40">
        <w:rPr>
          <w:sz w:val="24"/>
          <w:szCs w:val="24"/>
        </w:rPr>
        <w:t xml:space="preserve"> through the OTP system during the audit period.</w:t>
      </w:r>
    </w:p>
    <w:p w:rsidR="00AC344A" w:rsidRDefault="000F3F40" w:rsidP="005C245A">
      <w:pPr>
        <w:pStyle w:val="ListParagraph"/>
        <w:numPr>
          <w:ilvl w:val="0"/>
          <w:numId w:val="7"/>
        </w:numPr>
        <w:spacing w:line="480" w:lineRule="auto"/>
        <w:ind w:left="2160" w:right="720" w:hanging="720"/>
        <w:rPr>
          <w:sz w:val="24"/>
          <w:szCs w:val="24"/>
        </w:rPr>
      </w:pPr>
      <w:r>
        <w:rPr>
          <w:sz w:val="24"/>
          <w:szCs w:val="24"/>
        </w:rPr>
        <w:t>In addition, I recommend</w:t>
      </w:r>
      <w:r w:rsidR="00810EFE">
        <w:rPr>
          <w:sz w:val="24"/>
          <w:szCs w:val="24"/>
        </w:rPr>
        <w:t xml:space="preserve"> that</w:t>
      </w:r>
      <w:r>
        <w:rPr>
          <w:sz w:val="24"/>
          <w:szCs w:val="24"/>
        </w:rPr>
        <w:t xml:space="preserve"> the PUCO order Orwell to refund $205,016 to GCR customers for excessive charges for natural gas transportation services on </w:t>
      </w:r>
      <w:r w:rsidR="002374EC">
        <w:rPr>
          <w:sz w:val="24"/>
          <w:szCs w:val="24"/>
        </w:rPr>
        <w:t xml:space="preserve">the </w:t>
      </w:r>
      <w:r>
        <w:rPr>
          <w:sz w:val="24"/>
          <w:szCs w:val="24"/>
        </w:rPr>
        <w:t>Dominion</w:t>
      </w:r>
      <w:r w:rsidR="002374EC">
        <w:rPr>
          <w:sz w:val="24"/>
          <w:szCs w:val="24"/>
        </w:rPr>
        <w:t xml:space="preserve"> East Ohio Gas (“Dominion”)</w:t>
      </w:r>
      <w:r>
        <w:rPr>
          <w:sz w:val="24"/>
          <w:szCs w:val="24"/>
        </w:rPr>
        <w:t xml:space="preserve"> system</w:t>
      </w:r>
      <w:r w:rsidR="002374EC">
        <w:rPr>
          <w:sz w:val="24"/>
          <w:szCs w:val="24"/>
        </w:rPr>
        <w:t xml:space="preserve">. </w:t>
      </w:r>
      <w:r w:rsidR="005C245A">
        <w:rPr>
          <w:sz w:val="24"/>
          <w:szCs w:val="24"/>
        </w:rPr>
        <w:t xml:space="preserve"> </w:t>
      </w:r>
      <w:r w:rsidR="00810EFE">
        <w:rPr>
          <w:sz w:val="24"/>
          <w:szCs w:val="24"/>
        </w:rPr>
        <w:t xml:space="preserve">The excessive charges </w:t>
      </w:r>
      <w:r w:rsidR="0061573E">
        <w:rPr>
          <w:sz w:val="24"/>
          <w:szCs w:val="24"/>
        </w:rPr>
        <w:t xml:space="preserve">resulted from </w:t>
      </w:r>
      <w:r>
        <w:rPr>
          <w:sz w:val="24"/>
          <w:szCs w:val="24"/>
        </w:rPr>
        <w:t>the loss of</w:t>
      </w:r>
      <w:r w:rsidR="00810EFE">
        <w:rPr>
          <w:sz w:val="24"/>
          <w:szCs w:val="24"/>
        </w:rPr>
        <w:t xml:space="preserve"> </w:t>
      </w:r>
      <w:r w:rsidR="00A8132B">
        <w:rPr>
          <w:sz w:val="24"/>
          <w:szCs w:val="24"/>
        </w:rPr>
        <w:t xml:space="preserve">a </w:t>
      </w:r>
      <w:r>
        <w:rPr>
          <w:sz w:val="24"/>
          <w:szCs w:val="24"/>
        </w:rPr>
        <w:t xml:space="preserve">gas transportation contract Orwell </w:t>
      </w:r>
      <w:r w:rsidR="00A8132B">
        <w:rPr>
          <w:sz w:val="24"/>
          <w:szCs w:val="24"/>
        </w:rPr>
        <w:t xml:space="preserve">entered into with </w:t>
      </w:r>
      <w:r>
        <w:rPr>
          <w:sz w:val="24"/>
          <w:szCs w:val="24"/>
        </w:rPr>
        <w:t xml:space="preserve">Dominion </w:t>
      </w:r>
      <w:r w:rsidR="00A8132B">
        <w:rPr>
          <w:sz w:val="24"/>
          <w:szCs w:val="24"/>
        </w:rPr>
        <w:t>on April 15, 2005</w:t>
      </w:r>
      <w:r w:rsidR="006C6C5E">
        <w:rPr>
          <w:sz w:val="24"/>
          <w:szCs w:val="24"/>
        </w:rPr>
        <w:t xml:space="preserve"> (Dominion Special Contract”)</w:t>
      </w:r>
      <w:r w:rsidR="00A8132B">
        <w:rPr>
          <w:sz w:val="24"/>
          <w:szCs w:val="24"/>
        </w:rPr>
        <w:t>,</w:t>
      </w:r>
      <w:r w:rsidR="006C6C5E">
        <w:rPr>
          <w:rStyle w:val="FootnoteReference"/>
          <w:sz w:val="24"/>
          <w:szCs w:val="24"/>
        </w:rPr>
        <w:footnoteReference w:id="3"/>
      </w:r>
      <w:r w:rsidR="00A8132B">
        <w:rPr>
          <w:sz w:val="24"/>
          <w:szCs w:val="24"/>
        </w:rPr>
        <w:t xml:space="preserve"> </w:t>
      </w:r>
      <w:r w:rsidR="003758A0">
        <w:rPr>
          <w:sz w:val="24"/>
          <w:szCs w:val="24"/>
        </w:rPr>
        <w:t>which</w:t>
      </w:r>
      <w:r w:rsidR="006C6C5E">
        <w:rPr>
          <w:sz w:val="24"/>
          <w:szCs w:val="24"/>
        </w:rPr>
        <w:t xml:space="preserve"> </w:t>
      </w:r>
      <w:r>
        <w:rPr>
          <w:sz w:val="24"/>
          <w:szCs w:val="24"/>
        </w:rPr>
        <w:t>was terminated once Orwell signed the tr</w:t>
      </w:r>
      <w:r w:rsidR="005C245A">
        <w:rPr>
          <w:sz w:val="24"/>
          <w:szCs w:val="24"/>
        </w:rPr>
        <w:t>ansportation contract with OTP.</w:t>
      </w:r>
    </w:p>
    <w:p w:rsidR="003719F5" w:rsidRPr="005C245A" w:rsidRDefault="002374EC" w:rsidP="00A054C9">
      <w:pPr>
        <w:pStyle w:val="ListParagraph"/>
        <w:numPr>
          <w:ilvl w:val="0"/>
          <w:numId w:val="7"/>
        </w:numPr>
        <w:spacing w:line="480" w:lineRule="auto"/>
        <w:ind w:right="720" w:hanging="720"/>
        <w:rPr>
          <w:sz w:val="24"/>
          <w:szCs w:val="24"/>
        </w:rPr>
      </w:pPr>
      <w:r w:rsidRPr="005C245A">
        <w:rPr>
          <w:sz w:val="24"/>
          <w:szCs w:val="24"/>
        </w:rPr>
        <w:t xml:space="preserve">I </w:t>
      </w:r>
      <w:r w:rsidR="00AC344A" w:rsidRPr="005C245A">
        <w:rPr>
          <w:sz w:val="24"/>
          <w:szCs w:val="24"/>
        </w:rPr>
        <w:t>recommend that the PUCO order a complete management Performance Audit (“M</w:t>
      </w:r>
      <w:r w:rsidRPr="005C245A">
        <w:rPr>
          <w:sz w:val="24"/>
          <w:szCs w:val="24"/>
        </w:rPr>
        <w:t>/</w:t>
      </w:r>
      <w:r w:rsidR="00AC344A" w:rsidRPr="005C245A">
        <w:rPr>
          <w:sz w:val="24"/>
          <w:szCs w:val="24"/>
        </w:rPr>
        <w:t>P Audit”) as part of their next GCR review.</w:t>
      </w:r>
      <w:r w:rsidR="005C245A" w:rsidRPr="005C245A">
        <w:rPr>
          <w:sz w:val="24"/>
          <w:szCs w:val="24"/>
        </w:rPr>
        <w:t xml:space="preserve"> </w:t>
      </w:r>
      <w:r w:rsidR="00AC344A" w:rsidRPr="005C245A">
        <w:rPr>
          <w:sz w:val="24"/>
          <w:szCs w:val="24"/>
        </w:rPr>
        <w:t xml:space="preserve"> I recommend that the PUCO retain an independent auditor to conduct the MP Audit to ensure that the gas purchasing pr</w:t>
      </w:r>
      <w:r w:rsidR="009D06AD" w:rsidRPr="005C245A">
        <w:rPr>
          <w:sz w:val="24"/>
          <w:szCs w:val="24"/>
        </w:rPr>
        <w:t>a</w:t>
      </w:r>
      <w:r w:rsidR="00AC344A" w:rsidRPr="005C245A">
        <w:rPr>
          <w:sz w:val="24"/>
          <w:szCs w:val="24"/>
        </w:rPr>
        <w:t xml:space="preserve">ctices and policies of the Utilities result in fair, just, and reasonable gas rates and promote minimum prices consistent with an adequate supply of gas. </w:t>
      </w:r>
      <w:r w:rsidR="005C245A" w:rsidRPr="005C245A">
        <w:rPr>
          <w:sz w:val="24"/>
          <w:szCs w:val="24"/>
        </w:rPr>
        <w:t xml:space="preserve"> </w:t>
      </w:r>
      <w:r w:rsidR="00AC344A" w:rsidRPr="005C245A">
        <w:rPr>
          <w:sz w:val="24"/>
          <w:szCs w:val="24"/>
        </w:rPr>
        <w:t>Finally, I recommend that the Utilities</w:t>
      </w:r>
      <w:r w:rsidR="0097342B" w:rsidRPr="005C245A">
        <w:rPr>
          <w:sz w:val="24"/>
          <w:szCs w:val="24"/>
        </w:rPr>
        <w:t xml:space="preserve">’ shareholders, not customers, </w:t>
      </w:r>
      <w:r w:rsidR="00AC344A" w:rsidRPr="005C245A">
        <w:rPr>
          <w:sz w:val="24"/>
          <w:szCs w:val="24"/>
        </w:rPr>
        <w:t xml:space="preserve">pay for the </w:t>
      </w:r>
      <w:r w:rsidRPr="005C245A">
        <w:rPr>
          <w:sz w:val="24"/>
          <w:szCs w:val="24"/>
        </w:rPr>
        <w:t>M/P A</w:t>
      </w:r>
      <w:r w:rsidR="00AC344A" w:rsidRPr="005C245A">
        <w:rPr>
          <w:sz w:val="24"/>
          <w:szCs w:val="24"/>
        </w:rPr>
        <w:t>udit</w:t>
      </w:r>
      <w:r w:rsidRPr="005C245A">
        <w:rPr>
          <w:sz w:val="24"/>
          <w:szCs w:val="24"/>
        </w:rPr>
        <w:t>.</w:t>
      </w:r>
      <w:r w:rsidR="005C245A" w:rsidRPr="005C245A">
        <w:rPr>
          <w:sz w:val="24"/>
          <w:szCs w:val="24"/>
        </w:rPr>
        <w:t xml:space="preserve"> </w:t>
      </w:r>
      <w:r w:rsidR="005C245A" w:rsidRPr="005C245A">
        <w:rPr>
          <w:sz w:val="24"/>
          <w:szCs w:val="24"/>
        </w:rPr>
        <w:br w:type="page"/>
      </w:r>
    </w:p>
    <w:p w:rsidR="00F16381" w:rsidRPr="000748B6" w:rsidRDefault="00F16381" w:rsidP="00A054C9">
      <w:pPr>
        <w:spacing w:line="480" w:lineRule="auto"/>
        <w:ind w:left="720" w:hanging="720"/>
        <w:rPr>
          <w:b/>
          <w:i/>
          <w:sz w:val="24"/>
          <w:szCs w:val="24"/>
        </w:rPr>
      </w:pPr>
      <w:r>
        <w:rPr>
          <w:b/>
          <w:i/>
          <w:sz w:val="24"/>
          <w:szCs w:val="24"/>
        </w:rPr>
        <w:t>Q</w:t>
      </w:r>
      <w:r w:rsidR="00956237">
        <w:rPr>
          <w:b/>
          <w:i/>
          <w:sz w:val="24"/>
          <w:szCs w:val="24"/>
        </w:rPr>
        <w:t>8</w:t>
      </w:r>
      <w:r>
        <w:rPr>
          <w:b/>
          <w:i/>
          <w:sz w:val="24"/>
          <w:szCs w:val="24"/>
        </w:rPr>
        <w:t>.</w:t>
      </w:r>
      <w:r>
        <w:rPr>
          <w:b/>
          <w:i/>
          <w:sz w:val="24"/>
          <w:szCs w:val="24"/>
        </w:rPr>
        <w:tab/>
      </w:r>
      <w:r w:rsidRPr="000748B6">
        <w:rPr>
          <w:b/>
          <w:i/>
          <w:sz w:val="24"/>
          <w:szCs w:val="24"/>
        </w:rPr>
        <w:t>HAVE YOU REVIEWED THE</w:t>
      </w:r>
      <w:r w:rsidR="00FC4E5F">
        <w:rPr>
          <w:b/>
          <w:i/>
          <w:sz w:val="24"/>
          <w:szCs w:val="24"/>
        </w:rPr>
        <w:t xml:space="preserve"> PUCO</w:t>
      </w:r>
      <w:r w:rsidRPr="000748B6">
        <w:rPr>
          <w:b/>
          <w:i/>
          <w:sz w:val="24"/>
          <w:szCs w:val="24"/>
        </w:rPr>
        <w:t xml:space="preserve"> STAFF’S RECALCULATION, OR ADJUSTMENT</w:t>
      </w:r>
      <w:r w:rsidR="005C06AC">
        <w:rPr>
          <w:b/>
          <w:i/>
          <w:sz w:val="24"/>
          <w:szCs w:val="24"/>
        </w:rPr>
        <w:t>S</w:t>
      </w:r>
      <w:r w:rsidRPr="000748B6">
        <w:rPr>
          <w:b/>
          <w:i/>
          <w:sz w:val="24"/>
          <w:szCs w:val="24"/>
        </w:rPr>
        <w:t xml:space="preserve">, </w:t>
      </w:r>
      <w:r w:rsidR="005C06AC">
        <w:rPr>
          <w:b/>
          <w:i/>
          <w:sz w:val="24"/>
          <w:szCs w:val="24"/>
        </w:rPr>
        <w:t>IN THE 2012 GCR CASES FOR NORTHEAST AND ORWELL</w:t>
      </w:r>
      <w:r w:rsidRPr="000748B6">
        <w:rPr>
          <w:b/>
          <w:i/>
          <w:sz w:val="24"/>
          <w:szCs w:val="24"/>
        </w:rPr>
        <w:t>?</w:t>
      </w:r>
    </w:p>
    <w:p w:rsidR="008747CA" w:rsidRDefault="00F16381" w:rsidP="00A054C9">
      <w:pPr>
        <w:spacing w:line="480" w:lineRule="auto"/>
        <w:ind w:left="720" w:hanging="720"/>
        <w:rPr>
          <w:sz w:val="24"/>
          <w:szCs w:val="24"/>
        </w:rPr>
      </w:pPr>
      <w:r w:rsidRPr="000748B6">
        <w:rPr>
          <w:b/>
          <w:i/>
          <w:sz w:val="24"/>
          <w:szCs w:val="24"/>
        </w:rPr>
        <w:t>A</w:t>
      </w:r>
      <w:r w:rsidR="00956237" w:rsidRPr="000748B6">
        <w:rPr>
          <w:b/>
          <w:i/>
          <w:sz w:val="24"/>
          <w:szCs w:val="24"/>
        </w:rPr>
        <w:t>8</w:t>
      </w:r>
      <w:r w:rsidRPr="000748B6">
        <w:rPr>
          <w:b/>
          <w:i/>
          <w:sz w:val="24"/>
          <w:szCs w:val="24"/>
        </w:rPr>
        <w:t>.</w:t>
      </w:r>
      <w:r w:rsidRPr="000748B6">
        <w:rPr>
          <w:b/>
          <w:i/>
          <w:sz w:val="24"/>
          <w:szCs w:val="24"/>
        </w:rPr>
        <w:tab/>
      </w:r>
      <w:r w:rsidRPr="000748B6">
        <w:rPr>
          <w:sz w:val="24"/>
          <w:szCs w:val="24"/>
        </w:rPr>
        <w:t xml:space="preserve">Yes, I have reviewed the Staff’s recommendation for refunds </w:t>
      </w:r>
      <w:r w:rsidR="008747CA">
        <w:rPr>
          <w:sz w:val="24"/>
          <w:szCs w:val="24"/>
        </w:rPr>
        <w:t xml:space="preserve">to customers </w:t>
      </w:r>
      <w:r w:rsidRPr="000748B6">
        <w:rPr>
          <w:sz w:val="24"/>
          <w:szCs w:val="24"/>
        </w:rPr>
        <w:t xml:space="preserve">and reconciliations for </w:t>
      </w:r>
      <w:r w:rsidR="00E5498D">
        <w:rPr>
          <w:sz w:val="24"/>
          <w:szCs w:val="24"/>
        </w:rPr>
        <w:t>Northeast’</w:t>
      </w:r>
      <w:r w:rsidR="00810EFE">
        <w:rPr>
          <w:sz w:val="24"/>
          <w:szCs w:val="24"/>
        </w:rPr>
        <w:t>s</w:t>
      </w:r>
      <w:r w:rsidR="00E5498D">
        <w:rPr>
          <w:sz w:val="24"/>
          <w:szCs w:val="24"/>
        </w:rPr>
        <w:t xml:space="preserve"> and </w:t>
      </w:r>
      <w:r w:rsidRPr="000748B6">
        <w:rPr>
          <w:sz w:val="24"/>
          <w:szCs w:val="24"/>
        </w:rPr>
        <w:t>Orwell’s GCR</w:t>
      </w:r>
      <w:r w:rsidR="00810EFE">
        <w:rPr>
          <w:sz w:val="24"/>
          <w:szCs w:val="24"/>
        </w:rPr>
        <w:t xml:space="preserve"> rates</w:t>
      </w:r>
      <w:r w:rsidR="00C44B07">
        <w:rPr>
          <w:sz w:val="24"/>
          <w:szCs w:val="24"/>
        </w:rPr>
        <w:t xml:space="preserve">. </w:t>
      </w:r>
      <w:r w:rsidR="005C245A">
        <w:rPr>
          <w:sz w:val="24"/>
          <w:szCs w:val="24"/>
        </w:rPr>
        <w:t xml:space="preserve"> </w:t>
      </w:r>
      <w:r w:rsidR="00FC4E5F">
        <w:rPr>
          <w:sz w:val="24"/>
          <w:szCs w:val="24"/>
        </w:rPr>
        <w:t xml:space="preserve">The Staff’s recommendations </w:t>
      </w:r>
      <w:r w:rsidRPr="000748B6">
        <w:rPr>
          <w:sz w:val="24"/>
          <w:szCs w:val="24"/>
        </w:rPr>
        <w:t xml:space="preserve">appear to be consistent with the principles </w:t>
      </w:r>
      <w:r w:rsidR="00810EFE">
        <w:rPr>
          <w:sz w:val="24"/>
          <w:szCs w:val="24"/>
        </w:rPr>
        <w:t xml:space="preserve">that </w:t>
      </w:r>
      <w:r w:rsidRPr="000748B6">
        <w:rPr>
          <w:sz w:val="24"/>
          <w:szCs w:val="24"/>
        </w:rPr>
        <w:t>I recommend</w:t>
      </w:r>
      <w:r w:rsidR="00810EFE">
        <w:rPr>
          <w:sz w:val="24"/>
          <w:szCs w:val="24"/>
        </w:rPr>
        <w:t>; however</w:t>
      </w:r>
      <w:r w:rsidR="0070574A" w:rsidRPr="000748B6">
        <w:rPr>
          <w:sz w:val="24"/>
          <w:szCs w:val="24"/>
        </w:rPr>
        <w:t xml:space="preserve">, </w:t>
      </w:r>
      <w:r w:rsidR="00F96F51">
        <w:rPr>
          <w:sz w:val="24"/>
          <w:szCs w:val="24"/>
        </w:rPr>
        <w:t xml:space="preserve">the methodology used by </w:t>
      </w:r>
      <w:r w:rsidR="00810EFE">
        <w:rPr>
          <w:sz w:val="24"/>
          <w:szCs w:val="24"/>
        </w:rPr>
        <w:t>Staff</w:t>
      </w:r>
      <w:r w:rsidR="00F96F51">
        <w:rPr>
          <w:sz w:val="24"/>
          <w:szCs w:val="24"/>
        </w:rPr>
        <w:t xml:space="preserve"> to reprice </w:t>
      </w:r>
      <w:r w:rsidR="00FE511D">
        <w:rPr>
          <w:sz w:val="24"/>
          <w:szCs w:val="24"/>
        </w:rPr>
        <w:t>the excessively priced local production</w:t>
      </w:r>
      <w:r w:rsidR="0070574A" w:rsidRPr="000748B6">
        <w:rPr>
          <w:sz w:val="24"/>
          <w:szCs w:val="24"/>
        </w:rPr>
        <w:t xml:space="preserve"> </w:t>
      </w:r>
      <w:r w:rsidR="00F96F51">
        <w:rPr>
          <w:sz w:val="24"/>
          <w:szCs w:val="24"/>
        </w:rPr>
        <w:t>is different.</w:t>
      </w:r>
      <w:r w:rsidR="00C44B07">
        <w:rPr>
          <w:sz w:val="24"/>
          <w:szCs w:val="24"/>
        </w:rPr>
        <w:t xml:space="preserve"> </w:t>
      </w:r>
    </w:p>
    <w:p w:rsidR="008747CA" w:rsidRDefault="008747CA" w:rsidP="00A054C9">
      <w:pPr>
        <w:spacing w:line="480" w:lineRule="auto"/>
        <w:ind w:left="720" w:hanging="720"/>
        <w:rPr>
          <w:sz w:val="24"/>
          <w:szCs w:val="24"/>
        </w:rPr>
      </w:pPr>
    </w:p>
    <w:p w:rsidR="005C245A" w:rsidRDefault="00FB3937" w:rsidP="005C245A">
      <w:pPr>
        <w:spacing w:line="480" w:lineRule="auto"/>
        <w:ind w:left="720"/>
        <w:rPr>
          <w:b/>
          <w:sz w:val="24"/>
          <w:szCs w:val="24"/>
        </w:rPr>
      </w:pPr>
      <w:r>
        <w:rPr>
          <w:sz w:val="24"/>
          <w:szCs w:val="24"/>
        </w:rPr>
        <w:t>Staff</w:t>
      </w:r>
      <w:r w:rsidR="00810EFE">
        <w:rPr>
          <w:sz w:val="24"/>
          <w:szCs w:val="24"/>
        </w:rPr>
        <w:t>’s</w:t>
      </w:r>
      <w:r>
        <w:rPr>
          <w:sz w:val="24"/>
          <w:szCs w:val="24"/>
        </w:rPr>
        <w:t xml:space="preserve"> recommendation regarding the re</w:t>
      </w:r>
      <w:r w:rsidR="00776B6E">
        <w:rPr>
          <w:sz w:val="24"/>
          <w:szCs w:val="24"/>
        </w:rPr>
        <w:t>-</w:t>
      </w:r>
      <w:r>
        <w:rPr>
          <w:sz w:val="24"/>
          <w:szCs w:val="24"/>
        </w:rPr>
        <w:t>pricing of gas delivered through OTP</w:t>
      </w:r>
      <w:r w:rsidR="002E670F">
        <w:rPr>
          <w:sz w:val="24"/>
          <w:szCs w:val="24"/>
        </w:rPr>
        <w:t xml:space="preserve"> </w:t>
      </w:r>
      <w:r w:rsidR="00810EFE">
        <w:rPr>
          <w:sz w:val="24"/>
          <w:szCs w:val="24"/>
        </w:rPr>
        <w:t xml:space="preserve">was to re-price the natural gas purchased </w:t>
      </w:r>
      <w:r w:rsidR="002E670F">
        <w:rPr>
          <w:sz w:val="24"/>
          <w:szCs w:val="24"/>
        </w:rPr>
        <w:t>in March 2014</w:t>
      </w:r>
      <w:r>
        <w:rPr>
          <w:sz w:val="24"/>
          <w:szCs w:val="24"/>
        </w:rPr>
        <w:t>,</w:t>
      </w:r>
      <w:r w:rsidR="008A2BCC">
        <w:rPr>
          <w:sz w:val="24"/>
          <w:szCs w:val="24"/>
        </w:rPr>
        <w:t xml:space="preserve"> </w:t>
      </w:r>
      <w:r w:rsidR="00705933">
        <w:rPr>
          <w:sz w:val="24"/>
          <w:szCs w:val="24"/>
        </w:rPr>
        <w:t xml:space="preserve">resulting in an </w:t>
      </w:r>
      <w:r w:rsidR="008A2BCC">
        <w:rPr>
          <w:sz w:val="24"/>
          <w:szCs w:val="24"/>
        </w:rPr>
        <w:t xml:space="preserve">adjustment </w:t>
      </w:r>
      <w:r w:rsidR="00705933">
        <w:rPr>
          <w:sz w:val="24"/>
          <w:szCs w:val="24"/>
        </w:rPr>
        <w:t xml:space="preserve">that </w:t>
      </w:r>
      <w:r>
        <w:rPr>
          <w:sz w:val="24"/>
          <w:szCs w:val="24"/>
        </w:rPr>
        <w:t xml:space="preserve">covers </w:t>
      </w:r>
      <w:r w:rsidR="002E670F">
        <w:rPr>
          <w:sz w:val="24"/>
          <w:szCs w:val="24"/>
        </w:rPr>
        <w:t xml:space="preserve">only </w:t>
      </w:r>
      <w:r>
        <w:rPr>
          <w:sz w:val="24"/>
          <w:szCs w:val="24"/>
        </w:rPr>
        <w:t xml:space="preserve">a </w:t>
      </w:r>
      <w:r w:rsidR="002E670F">
        <w:rPr>
          <w:sz w:val="24"/>
          <w:szCs w:val="24"/>
        </w:rPr>
        <w:t>few</w:t>
      </w:r>
      <w:r>
        <w:rPr>
          <w:sz w:val="24"/>
          <w:szCs w:val="24"/>
        </w:rPr>
        <w:t xml:space="preserve"> days</w:t>
      </w:r>
      <w:r w:rsidR="008A2BCC">
        <w:rPr>
          <w:sz w:val="24"/>
          <w:szCs w:val="24"/>
        </w:rPr>
        <w:t xml:space="preserve"> of excessive prices</w:t>
      </w:r>
      <w:r w:rsidR="00705933">
        <w:rPr>
          <w:sz w:val="24"/>
          <w:szCs w:val="24"/>
        </w:rPr>
        <w:t>.  M</w:t>
      </w:r>
      <w:r>
        <w:rPr>
          <w:sz w:val="24"/>
          <w:szCs w:val="24"/>
        </w:rPr>
        <w:t>y recommendation</w:t>
      </w:r>
      <w:r w:rsidR="00705933">
        <w:rPr>
          <w:sz w:val="24"/>
          <w:szCs w:val="24"/>
        </w:rPr>
        <w:t>, however, is</w:t>
      </w:r>
      <w:r>
        <w:rPr>
          <w:sz w:val="24"/>
          <w:szCs w:val="24"/>
        </w:rPr>
        <w:t xml:space="preserve"> </w:t>
      </w:r>
      <w:r w:rsidR="002E670F">
        <w:rPr>
          <w:sz w:val="24"/>
          <w:szCs w:val="24"/>
        </w:rPr>
        <w:t xml:space="preserve">to re-price the gas delivered through OTP </w:t>
      </w:r>
      <w:r w:rsidR="00705933">
        <w:rPr>
          <w:sz w:val="24"/>
          <w:szCs w:val="24"/>
        </w:rPr>
        <w:t>for</w:t>
      </w:r>
      <w:r w:rsidR="008A2BCC">
        <w:rPr>
          <w:sz w:val="24"/>
          <w:szCs w:val="24"/>
        </w:rPr>
        <w:t xml:space="preserve"> </w:t>
      </w:r>
      <w:r>
        <w:rPr>
          <w:sz w:val="24"/>
          <w:szCs w:val="24"/>
        </w:rPr>
        <w:t>the entire audit period.</w:t>
      </w:r>
      <w:r w:rsidR="005C245A">
        <w:rPr>
          <w:sz w:val="24"/>
          <w:szCs w:val="24"/>
        </w:rPr>
        <w:t xml:space="preserve"> </w:t>
      </w:r>
      <w:r w:rsidR="004309FC">
        <w:rPr>
          <w:sz w:val="24"/>
          <w:szCs w:val="24"/>
        </w:rPr>
        <w:t xml:space="preserve"> </w:t>
      </w:r>
      <w:r w:rsidR="00705933">
        <w:rPr>
          <w:sz w:val="24"/>
          <w:szCs w:val="24"/>
        </w:rPr>
        <w:t>It is more appropriate to re-price the natural gas purchased during the entire audit period, not just for one selected month out of the entire period.</w:t>
      </w:r>
      <w:r w:rsidR="0097342B">
        <w:rPr>
          <w:sz w:val="24"/>
          <w:szCs w:val="24"/>
        </w:rPr>
        <w:t xml:space="preserve"> </w:t>
      </w:r>
      <w:r w:rsidR="005C245A">
        <w:rPr>
          <w:sz w:val="24"/>
          <w:szCs w:val="24"/>
        </w:rPr>
        <w:t xml:space="preserve"> </w:t>
      </w:r>
      <w:r w:rsidR="0097342B">
        <w:rPr>
          <w:sz w:val="24"/>
          <w:szCs w:val="24"/>
        </w:rPr>
        <w:t>Otherwise, customers are not assured that the prices paid during the entire audit period are fair, just and reasonable.</w:t>
      </w:r>
      <w:r w:rsidR="005C245A">
        <w:br w:type="page"/>
      </w:r>
    </w:p>
    <w:p w:rsidR="0028336C" w:rsidRPr="00FC0A1A" w:rsidRDefault="0028336C" w:rsidP="00A054C9">
      <w:pPr>
        <w:pStyle w:val="Heading1"/>
      </w:pPr>
      <w:bookmarkStart w:id="28" w:name="_Toc425427768"/>
      <w:r w:rsidRPr="00FC0A1A">
        <w:t>IV</w:t>
      </w:r>
      <w:r w:rsidR="00FC0A1A" w:rsidRPr="00FC0A1A">
        <w:t>.</w:t>
      </w:r>
      <w:r w:rsidRPr="00FC0A1A">
        <w:tab/>
        <w:t xml:space="preserve">HISTORY OF </w:t>
      </w:r>
      <w:r w:rsidR="004A4E0A">
        <w:t>2012</w:t>
      </w:r>
      <w:r w:rsidR="004A4E0A" w:rsidRPr="00FC0A1A">
        <w:t xml:space="preserve"> </w:t>
      </w:r>
      <w:r w:rsidR="00C44B07">
        <w:t>GCR CASES</w:t>
      </w:r>
      <w:r w:rsidR="00D542B8">
        <w:t xml:space="preserve"> </w:t>
      </w:r>
      <w:r w:rsidRPr="00FC0A1A">
        <w:t>AUDIT REPORT</w:t>
      </w:r>
      <w:r w:rsidR="00E5498D">
        <w:t>,</w:t>
      </w:r>
      <w:r w:rsidRPr="00FC0A1A">
        <w:t xml:space="preserve"> HEARING AND </w:t>
      </w:r>
      <w:r w:rsidR="006D3E1C" w:rsidRPr="00FC0A1A">
        <w:t xml:space="preserve">RESULTING </w:t>
      </w:r>
      <w:r w:rsidR="00EC77F9">
        <w:t>PUCO</w:t>
      </w:r>
      <w:r w:rsidR="004A4E0A">
        <w:t xml:space="preserve"> </w:t>
      </w:r>
      <w:r w:rsidR="00BF6C1D">
        <w:t xml:space="preserve">OPINION AND </w:t>
      </w:r>
      <w:r w:rsidR="004A4E0A">
        <w:t>ORDER</w:t>
      </w:r>
      <w:bookmarkEnd w:id="28"/>
    </w:p>
    <w:p w:rsidR="00A53563" w:rsidRDefault="00A53563" w:rsidP="00A054C9">
      <w:pPr>
        <w:tabs>
          <w:tab w:val="left" w:pos="720"/>
        </w:tabs>
        <w:spacing w:line="480" w:lineRule="auto"/>
        <w:ind w:left="720" w:hanging="720"/>
        <w:rPr>
          <w:b/>
          <w:bCs/>
          <w:sz w:val="24"/>
          <w:szCs w:val="24"/>
        </w:rPr>
      </w:pPr>
    </w:p>
    <w:p w:rsidR="00A53563" w:rsidRDefault="00A53563" w:rsidP="00A054C9">
      <w:pPr>
        <w:tabs>
          <w:tab w:val="left" w:pos="720"/>
        </w:tabs>
        <w:spacing w:line="480" w:lineRule="auto"/>
        <w:ind w:left="720" w:hanging="720"/>
        <w:rPr>
          <w:b/>
          <w:bCs/>
          <w:i/>
          <w:sz w:val="24"/>
          <w:szCs w:val="24"/>
        </w:rPr>
      </w:pPr>
      <w:r>
        <w:rPr>
          <w:b/>
          <w:bCs/>
          <w:i/>
          <w:sz w:val="24"/>
          <w:szCs w:val="24"/>
        </w:rPr>
        <w:t>Q9.</w:t>
      </w:r>
      <w:r>
        <w:rPr>
          <w:b/>
          <w:bCs/>
          <w:i/>
          <w:sz w:val="24"/>
          <w:szCs w:val="24"/>
        </w:rPr>
        <w:tab/>
      </w:r>
      <w:r w:rsidRPr="00103835">
        <w:rPr>
          <w:b/>
          <w:bCs/>
          <w:i/>
          <w:sz w:val="24"/>
          <w:szCs w:val="24"/>
        </w:rPr>
        <w:t xml:space="preserve">CAN YOU SUMMARIZE YOUR FINDINGS </w:t>
      </w:r>
      <w:r w:rsidR="0001441B">
        <w:rPr>
          <w:b/>
          <w:bCs/>
          <w:i/>
          <w:sz w:val="24"/>
          <w:szCs w:val="24"/>
        </w:rPr>
        <w:t>FROM</w:t>
      </w:r>
      <w:r w:rsidRPr="00103835">
        <w:rPr>
          <w:b/>
          <w:bCs/>
          <w:i/>
          <w:sz w:val="24"/>
          <w:szCs w:val="24"/>
        </w:rPr>
        <w:t xml:space="preserve"> THE </w:t>
      </w:r>
      <w:r w:rsidR="000953DF">
        <w:rPr>
          <w:b/>
          <w:bCs/>
          <w:i/>
          <w:sz w:val="24"/>
          <w:szCs w:val="24"/>
        </w:rPr>
        <w:t>201</w:t>
      </w:r>
      <w:r w:rsidR="009552D7">
        <w:rPr>
          <w:b/>
          <w:bCs/>
          <w:i/>
          <w:sz w:val="24"/>
          <w:szCs w:val="24"/>
        </w:rPr>
        <w:t>2</w:t>
      </w:r>
      <w:r w:rsidR="00D22F12">
        <w:rPr>
          <w:b/>
          <w:bCs/>
          <w:i/>
          <w:sz w:val="24"/>
          <w:szCs w:val="24"/>
        </w:rPr>
        <w:t xml:space="preserve"> </w:t>
      </w:r>
      <w:r w:rsidR="00C44B07">
        <w:rPr>
          <w:b/>
          <w:bCs/>
          <w:i/>
          <w:sz w:val="24"/>
          <w:szCs w:val="24"/>
        </w:rPr>
        <w:t xml:space="preserve">GCR </w:t>
      </w:r>
      <w:r w:rsidRPr="00103835">
        <w:rPr>
          <w:b/>
          <w:bCs/>
          <w:i/>
          <w:sz w:val="24"/>
          <w:szCs w:val="24"/>
        </w:rPr>
        <w:t>AUDIT?</w:t>
      </w:r>
    </w:p>
    <w:p w:rsidR="005A2329" w:rsidRDefault="00A53563" w:rsidP="00A054C9">
      <w:pPr>
        <w:tabs>
          <w:tab w:val="left" w:pos="720"/>
        </w:tabs>
        <w:spacing w:line="480" w:lineRule="auto"/>
        <w:ind w:left="720" w:hanging="720"/>
        <w:rPr>
          <w:bCs/>
          <w:sz w:val="24"/>
          <w:szCs w:val="24"/>
        </w:rPr>
      </w:pPr>
      <w:r>
        <w:rPr>
          <w:b/>
          <w:bCs/>
          <w:i/>
          <w:sz w:val="24"/>
          <w:szCs w:val="24"/>
        </w:rPr>
        <w:t>A9.</w:t>
      </w:r>
      <w:r>
        <w:rPr>
          <w:b/>
          <w:bCs/>
          <w:i/>
          <w:sz w:val="24"/>
          <w:szCs w:val="24"/>
        </w:rPr>
        <w:tab/>
      </w:r>
      <w:r w:rsidR="00FE511D">
        <w:rPr>
          <w:bCs/>
          <w:sz w:val="24"/>
          <w:szCs w:val="24"/>
        </w:rPr>
        <w:t xml:space="preserve">As noted in my testimony </w:t>
      </w:r>
      <w:r w:rsidR="00466A08">
        <w:rPr>
          <w:bCs/>
          <w:sz w:val="24"/>
          <w:szCs w:val="24"/>
        </w:rPr>
        <w:t xml:space="preserve">that was filed </w:t>
      </w:r>
      <w:r w:rsidR="00FE511D">
        <w:rPr>
          <w:bCs/>
          <w:sz w:val="24"/>
          <w:szCs w:val="24"/>
        </w:rPr>
        <w:t xml:space="preserve">in </w:t>
      </w:r>
      <w:r w:rsidRPr="00CE3A32">
        <w:rPr>
          <w:bCs/>
          <w:sz w:val="24"/>
          <w:szCs w:val="24"/>
        </w:rPr>
        <w:t>Northeast</w:t>
      </w:r>
      <w:r w:rsidR="00FE511D">
        <w:rPr>
          <w:bCs/>
          <w:sz w:val="24"/>
          <w:szCs w:val="24"/>
        </w:rPr>
        <w:t>’s</w:t>
      </w:r>
      <w:r w:rsidRPr="00CE3A32">
        <w:rPr>
          <w:bCs/>
          <w:sz w:val="24"/>
          <w:szCs w:val="24"/>
        </w:rPr>
        <w:t xml:space="preserve"> and Orwell’s </w:t>
      </w:r>
      <w:r w:rsidR="004A4E0A">
        <w:rPr>
          <w:bCs/>
          <w:sz w:val="24"/>
          <w:szCs w:val="24"/>
        </w:rPr>
        <w:t xml:space="preserve">2012 </w:t>
      </w:r>
      <w:r w:rsidR="00C44B07">
        <w:rPr>
          <w:bCs/>
          <w:sz w:val="24"/>
          <w:szCs w:val="24"/>
        </w:rPr>
        <w:t xml:space="preserve">GCR </w:t>
      </w:r>
      <w:r w:rsidR="00FE511D">
        <w:rPr>
          <w:bCs/>
          <w:sz w:val="24"/>
          <w:szCs w:val="24"/>
        </w:rPr>
        <w:t>(Case Nos. 1</w:t>
      </w:r>
      <w:r w:rsidR="004A4E0A">
        <w:rPr>
          <w:bCs/>
          <w:sz w:val="24"/>
          <w:szCs w:val="24"/>
        </w:rPr>
        <w:t>2</w:t>
      </w:r>
      <w:r w:rsidR="00FE511D">
        <w:rPr>
          <w:bCs/>
          <w:sz w:val="24"/>
          <w:szCs w:val="24"/>
        </w:rPr>
        <w:t>-209-GA-GCR and 1</w:t>
      </w:r>
      <w:r w:rsidR="004A4E0A">
        <w:rPr>
          <w:bCs/>
          <w:sz w:val="24"/>
          <w:szCs w:val="24"/>
        </w:rPr>
        <w:t>2</w:t>
      </w:r>
      <w:r w:rsidR="00FE511D">
        <w:rPr>
          <w:bCs/>
          <w:sz w:val="24"/>
          <w:szCs w:val="24"/>
        </w:rPr>
        <w:t>-212-GA-</w:t>
      </w:r>
      <w:r w:rsidR="00FE511D" w:rsidRPr="008F2254">
        <w:rPr>
          <w:bCs/>
          <w:sz w:val="24"/>
          <w:szCs w:val="24"/>
        </w:rPr>
        <w:t>GCR)</w:t>
      </w:r>
      <w:r w:rsidR="0011651B" w:rsidRPr="008F2254">
        <w:rPr>
          <w:bCs/>
          <w:sz w:val="24"/>
          <w:szCs w:val="24"/>
        </w:rPr>
        <w:t>,</w:t>
      </w:r>
      <w:r w:rsidR="00FE511D" w:rsidRPr="008F2254">
        <w:rPr>
          <w:bCs/>
          <w:sz w:val="24"/>
          <w:szCs w:val="24"/>
        </w:rPr>
        <w:t xml:space="preserve"> </w:t>
      </w:r>
      <w:r w:rsidR="005A2329">
        <w:rPr>
          <w:bCs/>
          <w:sz w:val="24"/>
          <w:szCs w:val="24"/>
        </w:rPr>
        <w:t xml:space="preserve">certain </w:t>
      </w:r>
      <w:r w:rsidRPr="008F2254">
        <w:rPr>
          <w:bCs/>
          <w:sz w:val="24"/>
          <w:szCs w:val="24"/>
        </w:rPr>
        <w:t xml:space="preserve">gas purchase </w:t>
      </w:r>
      <w:r w:rsidR="00FE511D" w:rsidRPr="008F2254">
        <w:rPr>
          <w:bCs/>
          <w:sz w:val="24"/>
          <w:szCs w:val="24"/>
        </w:rPr>
        <w:t>contracts</w:t>
      </w:r>
      <w:r w:rsidRPr="008F2254">
        <w:rPr>
          <w:bCs/>
          <w:sz w:val="24"/>
          <w:szCs w:val="24"/>
        </w:rPr>
        <w:t xml:space="preserve"> </w:t>
      </w:r>
      <w:r w:rsidR="00E772BC">
        <w:rPr>
          <w:bCs/>
          <w:sz w:val="24"/>
          <w:szCs w:val="24"/>
        </w:rPr>
        <w:t xml:space="preserve">between the </w:t>
      </w:r>
      <w:r w:rsidR="005E2010">
        <w:rPr>
          <w:bCs/>
          <w:sz w:val="24"/>
          <w:szCs w:val="24"/>
        </w:rPr>
        <w:t>Northeast and Orwell</w:t>
      </w:r>
      <w:r w:rsidR="00E772BC">
        <w:rPr>
          <w:bCs/>
          <w:sz w:val="24"/>
          <w:szCs w:val="24"/>
        </w:rPr>
        <w:t xml:space="preserve"> and</w:t>
      </w:r>
      <w:r w:rsidRPr="008F2254">
        <w:rPr>
          <w:bCs/>
          <w:sz w:val="24"/>
          <w:szCs w:val="24"/>
        </w:rPr>
        <w:t xml:space="preserve"> </w:t>
      </w:r>
      <w:r w:rsidR="001637C3">
        <w:rPr>
          <w:bCs/>
          <w:sz w:val="24"/>
          <w:szCs w:val="24"/>
        </w:rPr>
        <w:t>the</w:t>
      </w:r>
      <w:r w:rsidR="00C44B07">
        <w:rPr>
          <w:bCs/>
          <w:sz w:val="24"/>
          <w:szCs w:val="24"/>
        </w:rPr>
        <w:t>ir</w:t>
      </w:r>
      <w:r w:rsidR="001637C3">
        <w:rPr>
          <w:bCs/>
          <w:sz w:val="24"/>
          <w:szCs w:val="24"/>
        </w:rPr>
        <w:t xml:space="preserve"> </w:t>
      </w:r>
      <w:r w:rsidRPr="008F2254">
        <w:rPr>
          <w:bCs/>
          <w:sz w:val="24"/>
          <w:szCs w:val="24"/>
        </w:rPr>
        <w:t>affiliated</w:t>
      </w:r>
      <w:r w:rsidR="00E772BC">
        <w:rPr>
          <w:bCs/>
          <w:sz w:val="24"/>
          <w:szCs w:val="24"/>
        </w:rPr>
        <w:t xml:space="preserve"> </w:t>
      </w:r>
      <w:r w:rsidR="001637C3">
        <w:rPr>
          <w:bCs/>
          <w:sz w:val="24"/>
          <w:szCs w:val="24"/>
        </w:rPr>
        <w:t>marketing company</w:t>
      </w:r>
      <w:r w:rsidR="00C44B07">
        <w:rPr>
          <w:bCs/>
          <w:sz w:val="24"/>
          <w:szCs w:val="24"/>
        </w:rPr>
        <w:t xml:space="preserve"> --</w:t>
      </w:r>
      <w:r w:rsidR="001637C3">
        <w:rPr>
          <w:bCs/>
          <w:sz w:val="24"/>
          <w:szCs w:val="24"/>
        </w:rPr>
        <w:t xml:space="preserve"> </w:t>
      </w:r>
      <w:r w:rsidR="00633459">
        <w:rPr>
          <w:bCs/>
          <w:sz w:val="24"/>
          <w:szCs w:val="24"/>
        </w:rPr>
        <w:t>JDOG Marketing</w:t>
      </w:r>
      <w:r w:rsidR="00C44B07">
        <w:rPr>
          <w:bCs/>
          <w:sz w:val="24"/>
          <w:szCs w:val="24"/>
        </w:rPr>
        <w:t xml:space="preserve"> --</w:t>
      </w:r>
      <w:r w:rsidRPr="008F2254">
        <w:rPr>
          <w:bCs/>
          <w:sz w:val="24"/>
          <w:szCs w:val="24"/>
        </w:rPr>
        <w:t xml:space="preserve"> </w:t>
      </w:r>
      <w:r w:rsidR="0032243F" w:rsidRPr="008F2254">
        <w:rPr>
          <w:bCs/>
          <w:sz w:val="24"/>
          <w:szCs w:val="24"/>
        </w:rPr>
        <w:t xml:space="preserve">in place during the 2012 </w:t>
      </w:r>
      <w:r w:rsidR="005A2329">
        <w:rPr>
          <w:bCs/>
          <w:sz w:val="24"/>
          <w:szCs w:val="24"/>
        </w:rPr>
        <w:t xml:space="preserve">GCR </w:t>
      </w:r>
      <w:r w:rsidR="0032243F" w:rsidRPr="008F2254">
        <w:rPr>
          <w:bCs/>
          <w:sz w:val="24"/>
          <w:szCs w:val="24"/>
        </w:rPr>
        <w:t>Audit</w:t>
      </w:r>
      <w:r w:rsidR="004309FC">
        <w:rPr>
          <w:bCs/>
          <w:sz w:val="24"/>
          <w:szCs w:val="24"/>
        </w:rPr>
        <w:t>,</w:t>
      </w:r>
      <w:r w:rsidR="005E2010">
        <w:rPr>
          <w:bCs/>
          <w:sz w:val="24"/>
          <w:szCs w:val="24"/>
        </w:rPr>
        <w:t xml:space="preserve"> </w:t>
      </w:r>
      <w:r w:rsidRPr="008F2254">
        <w:rPr>
          <w:bCs/>
          <w:sz w:val="24"/>
          <w:szCs w:val="24"/>
        </w:rPr>
        <w:t xml:space="preserve">showed a bias toward </w:t>
      </w:r>
      <w:r w:rsidR="001637C3">
        <w:rPr>
          <w:bCs/>
          <w:sz w:val="24"/>
          <w:szCs w:val="24"/>
        </w:rPr>
        <w:t>JDOG Marketing</w:t>
      </w:r>
      <w:r w:rsidR="008747CA">
        <w:rPr>
          <w:bCs/>
          <w:sz w:val="24"/>
          <w:szCs w:val="24"/>
        </w:rPr>
        <w:t xml:space="preserve">.  This bias was manifested in the excessive </w:t>
      </w:r>
      <w:r w:rsidR="000D6023">
        <w:rPr>
          <w:bCs/>
          <w:sz w:val="24"/>
          <w:szCs w:val="24"/>
        </w:rPr>
        <w:t xml:space="preserve">GCR rates paid by the customers of </w:t>
      </w:r>
      <w:r w:rsidRPr="008F2254">
        <w:rPr>
          <w:bCs/>
          <w:sz w:val="24"/>
          <w:szCs w:val="24"/>
        </w:rPr>
        <w:t>Northeast and Orwell</w:t>
      </w:r>
      <w:r w:rsidR="00C44B07">
        <w:rPr>
          <w:bCs/>
          <w:sz w:val="24"/>
          <w:szCs w:val="24"/>
        </w:rPr>
        <w:t>.</w:t>
      </w:r>
      <w:r w:rsidR="005C245A">
        <w:rPr>
          <w:bCs/>
          <w:sz w:val="24"/>
          <w:szCs w:val="24"/>
        </w:rPr>
        <w:t xml:space="preserve"> </w:t>
      </w:r>
      <w:r w:rsidR="00A01BBB" w:rsidRPr="008F2254">
        <w:rPr>
          <w:bCs/>
          <w:sz w:val="24"/>
          <w:szCs w:val="24"/>
        </w:rPr>
        <w:t xml:space="preserve"> I</w:t>
      </w:r>
      <w:r w:rsidR="00383DC7">
        <w:rPr>
          <w:bCs/>
          <w:sz w:val="24"/>
          <w:szCs w:val="24"/>
        </w:rPr>
        <w:t>n those cases, I</w:t>
      </w:r>
      <w:r w:rsidR="00A01BBB" w:rsidRPr="008F2254">
        <w:rPr>
          <w:bCs/>
          <w:sz w:val="24"/>
          <w:szCs w:val="24"/>
        </w:rPr>
        <w:t xml:space="preserve"> recommended </w:t>
      </w:r>
      <w:r w:rsidR="00705933">
        <w:rPr>
          <w:bCs/>
          <w:sz w:val="24"/>
          <w:szCs w:val="24"/>
        </w:rPr>
        <w:t xml:space="preserve">that </w:t>
      </w:r>
      <w:r w:rsidR="00A01BBB" w:rsidRPr="008F2254">
        <w:rPr>
          <w:bCs/>
          <w:sz w:val="24"/>
          <w:szCs w:val="24"/>
        </w:rPr>
        <w:t>the PUCO</w:t>
      </w:r>
      <w:r w:rsidR="00CD1DDA" w:rsidRPr="008F2254">
        <w:rPr>
          <w:bCs/>
          <w:sz w:val="24"/>
          <w:szCs w:val="24"/>
        </w:rPr>
        <w:t xml:space="preserve"> </w:t>
      </w:r>
      <w:r w:rsidR="007B50D3" w:rsidRPr="008F2254">
        <w:rPr>
          <w:bCs/>
          <w:sz w:val="24"/>
          <w:szCs w:val="24"/>
        </w:rPr>
        <w:t>order Northeast and Orwell to</w:t>
      </w:r>
      <w:r w:rsidR="00A01BBB" w:rsidRPr="008F2254">
        <w:rPr>
          <w:bCs/>
          <w:sz w:val="24"/>
          <w:szCs w:val="24"/>
        </w:rPr>
        <w:t xml:space="preserve"> terminate </w:t>
      </w:r>
      <w:r w:rsidR="007B50D3" w:rsidRPr="008F2254">
        <w:rPr>
          <w:bCs/>
          <w:sz w:val="24"/>
          <w:szCs w:val="24"/>
        </w:rPr>
        <w:t>their</w:t>
      </w:r>
      <w:r w:rsidR="00A01BBB" w:rsidRPr="008F2254">
        <w:rPr>
          <w:bCs/>
          <w:sz w:val="24"/>
          <w:szCs w:val="24"/>
        </w:rPr>
        <w:t xml:space="preserve"> gas purchase</w:t>
      </w:r>
      <w:r w:rsidR="007E440D" w:rsidRPr="008F2254">
        <w:rPr>
          <w:bCs/>
          <w:sz w:val="24"/>
          <w:szCs w:val="24"/>
        </w:rPr>
        <w:t>,</w:t>
      </w:r>
      <w:r w:rsidR="00A01BBB" w:rsidRPr="008F2254">
        <w:rPr>
          <w:bCs/>
          <w:sz w:val="24"/>
          <w:szCs w:val="24"/>
        </w:rPr>
        <w:t xml:space="preserve"> </w:t>
      </w:r>
      <w:r w:rsidR="007E440D" w:rsidRPr="008F2254">
        <w:rPr>
          <w:bCs/>
          <w:sz w:val="24"/>
          <w:szCs w:val="24"/>
        </w:rPr>
        <w:t>agent</w:t>
      </w:r>
      <w:r w:rsidR="00B761FD">
        <w:rPr>
          <w:bCs/>
          <w:sz w:val="24"/>
          <w:szCs w:val="24"/>
        </w:rPr>
        <w:t>,</w:t>
      </w:r>
      <w:r w:rsidR="007E440D" w:rsidRPr="008F2254">
        <w:rPr>
          <w:bCs/>
          <w:sz w:val="24"/>
          <w:szCs w:val="24"/>
        </w:rPr>
        <w:t xml:space="preserve"> and </w:t>
      </w:r>
      <w:r w:rsidR="00A01BBB" w:rsidRPr="008F2254">
        <w:rPr>
          <w:bCs/>
          <w:sz w:val="24"/>
          <w:szCs w:val="24"/>
        </w:rPr>
        <w:t>asset management contracts with affiliated companies</w:t>
      </w:r>
      <w:r w:rsidR="00E02DCB">
        <w:rPr>
          <w:bCs/>
          <w:sz w:val="24"/>
          <w:szCs w:val="24"/>
        </w:rPr>
        <w:t>.</w:t>
      </w:r>
      <w:r w:rsidR="005C245A">
        <w:rPr>
          <w:bCs/>
          <w:sz w:val="24"/>
          <w:szCs w:val="24"/>
        </w:rPr>
        <w:t xml:space="preserve"> </w:t>
      </w:r>
      <w:r w:rsidR="008747CA">
        <w:rPr>
          <w:bCs/>
          <w:sz w:val="24"/>
          <w:szCs w:val="24"/>
        </w:rPr>
        <w:t xml:space="preserve"> My recommendation was made after I determined that </w:t>
      </w:r>
      <w:r w:rsidR="0097342B">
        <w:rPr>
          <w:bCs/>
          <w:sz w:val="24"/>
          <w:szCs w:val="24"/>
        </w:rPr>
        <w:t>t</w:t>
      </w:r>
      <w:r w:rsidR="00A01BBB" w:rsidRPr="008F2254">
        <w:rPr>
          <w:bCs/>
          <w:sz w:val="24"/>
          <w:szCs w:val="24"/>
        </w:rPr>
        <w:t xml:space="preserve">he </w:t>
      </w:r>
      <w:r w:rsidR="007E440D" w:rsidRPr="008F2254">
        <w:rPr>
          <w:bCs/>
          <w:sz w:val="24"/>
          <w:szCs w:val="24"/>
        </w:rPr>
        <w:t xml:space="preserve">contracts </w:t>
      </w:r>
      <w:r w:rsidR="008747CA">
        <w:rPr>
          <w:bCs/>
          <w:sz w:val="24"/>
          <w:szCs w:val="24"/>
        </w:rPr>
        <w:t xml:space="preserve">caused </w:t>
      </w:r>
      <w:r w:rsidR="007E440D" w:rsidRPr="008F2254">
        <w:rPr>
          <w:bCs/>
          <w:sz w:val="24"/>
          <w:szCs w:val="24"/>
        </w:rPr>
        <w:t>Northeast’s and Orwell’s residential customers</w:t>
      </w:r>
      <w:r w:rsidR="008747CA">
        <w:rPr>
          <w:bCs/>
          <w:sz w:val="24"/>
          <w:szCs w:val="24"/>
        </w:rPr>
        <w:t xml:space="preserve"> to be charged excessive gas rates.</w:t>
      </w:r>
      <w:r w:rsidR="00705933">
        <w:rPr>
          <w:rStyle w:val="FootnoteReference"/>
          <w:bCs/>
          <w:sz w:val="24"/>
          <w:szCs w:val="24"/>
        </w:rPr>
        <w:footnoteReference w:id="4"/>
      </w:r>
    </w:p>
    <w:p w:rsidR="005A2329" w:rsidRDefault="005A2329" w:rsidP="00A054C9">
      <w:pPr>
        <w:tabs>
          <w:tab w:val="left" w:pos="720"/>
        </w:tabs>
        <w:spacing w:line="480" w:lineRule="auto"/>
        <w:ind w:left="720" w:hanging="720"/>
        <w:rPr>
          <w:bCs/>
          <w:sz w:val="24"/>
          <w:szCs w:val="24"/>
        </w:rPr>
      </w:pPr>
    </w:p>
    <w:p w:rsidR="005A2329" w:rsidRDefault="00383DC7" w:rsidP="005C245A">
      <w:pPr>
        <w:tabs>
          <w:tab w:val="left" w:pos="720"/>
        </w:tabs>
        <w:spacing w:line="480" w:lineRule="auto"/>
        <w:ind w:left="720"/>
        <w:rPr>
          <w:bCs/>
          <w:sz w:val="24"/>
          <w:szCs w:val="24"/>
        </w:rPr>
      </w:pPr>
      <w:r>
        <w:rPr>
          <w:bCs/>
          <w:sz w:val="24"/>
          <w:szCs w:val="24"/>
        </w:rPr>
        <w:t xml:space="preserve">I also </w:t>
      </w:r>
      <w:r w:rsidR="007E440D" w:rsidRPr="008F2254">
        <w:rPr>
          <w:bCs/>
          <w:sz w:val="24"/>
          <w:szCs w:val="24"/>
        </w:rPr>
        <w:t xml:space="preserve">recommended that the </w:t>
      </w:r>
      <w:r>
        <w:rPr>
          <w:bCs/>
          <w:sz w:val="24"/>
          <w:szCs w:val="24"/>
        </w:rPr>
        <w:t>PUCO</w:t>
      </w:r>
      <w:r w:rsidR="007E440D" w:rsidRPr="008F2254">
        <w:rPr>
          <w:bCs/>
          <w:sz w:val="24"/>
          <w:szCs w:val="24"/>
        </w:rPr>
        <w:t xml:space="preserve"> require Northeast and Orwell to discontinue </w:t>
      </w:r>
      <w:r>
        <w:rPr>
          <w:bCs/>
          <w:sz w:val="24"/>
          <w:szCs w:val="24"/>
        </w:rPr>
        <w:t>using</w:t>
      </w:r>
      <w:r w:rsidR="007E440D" w:rsidRPr="008F2254">
        <w:rPr>
          <w:bCs/>
          <w:sz w:val="24"/>
          <w:szCs w:val="24"/>
        </w:rPr>
        <w:t xml:space="preserve"> JDOG</w:t>
      </w:r>
      <w:r w:rsidR="00A7289A">
        <w:rPr>
          <w:bCs/>
          <w:sz w:val="24"/>
          <w:szCs w:val="24"/>
        </w:rPr>
        <w:t xml:space="preserve"> Marketing</w:t>
      </w:r>
      <w:r w:rsidR="007E440D" w:rsidRPr="008F2254">
        <w:rPr>
          <w:bCs/>
          <w:sz w:val="24"/>
          <w:szCs w:val="24"/>
        </w:rPr>
        <w:t xml:space="preserve">, or any </w:t>
      </w:r>
      <w:r w:rsidR="008A2BCC">
        <w:rPr>
          <w:bCs/>
          <w:sz w:val="24"/>
          <w:szCs w:val="24"/>
        </w:rPr>
        <w:t xml:space="preserve">other </w:t>
      </w:r>
      <w:r w:rsidR="007E440D" w:rsidRPr="008F2254">
        <w:rPr>
          <w:bCs/>
          <w:sz w:val="24"/>
          <w:szCs w:val="24"/>
        </w:rPr>
        <w:t>affiliated company, as the gas purchas</w:t>
      </w:r>
      <w:r w:rsidR="00705933">
        <w:rPr>
          <w:bCs/>
          <w:sz w:val="24"/>
          <w:szCs w:val="24"/>
        </w:rPr>
        <w:t>ing</w:t>
      </w:r>
      <w:r w:rsidR="007E440D" w:rsidRPr="008F2254">
        <w:rPr>
          <w:bCs/>
          <w:sz w:val="24"/>
          <w:szCs w:val="24"/>
        </w:rPr>
        <w:t xml:space="preserve"> agent and asset manager</w:t>
      </w:r>
      <w:r w:rsidR="00C44B07">
        <w:rPr>
          <w:bCs/>
          <w:sz w:val="24"/>
          <w:szCs w:val="24"/>
        </w:rPr>
        <w:t>.</w:t>
      </w:r>
      <w:r w:rsidR="005C245A">
        <w:rPr>
          <w:bCs/>
          <w:sz w:val="24"/>
          <w:szCs w:val="24"/>
        </w:rPr>
        <w:t xml:space="preserve"> </w:t>
      </w:r>
      <w:r w:rsidR="00B761FD">
        <w:rPr>
          <w:bCs/>
          <w:sz w:val="24"/>
          <w:szCs w:val="24"/>
        </w:rPr>
        <w:t xml:space="preserve"> </w:t>
      </w:r>
      <w:r w:rsidR="008A2BCC">
        <w:rPr>
          <w:bCs/>
          <w:sz w:val="24"/>
          <w:szCs w:val="24"/>
        </w:rPr>
        <w:t xml:space="preserve">In addition, I recommended that </w:t>
      </w:r>
      <w:r w:rsidR="007E440D" w:rsidRPr="008F2254">
        <w:rPr>
          <w:bCs/>
          <w:sz w:val="24"/>
          <w:szCs w:val="24"/>
        </w:rPr>
        <w:t xml:space="preserve">the work </w:t>
      </w:r>
      <w:r w:rsidR="00B761FD">
        <w:rPr>
          <w:bCs/>
          <w:sz w:val="24"/>
          <w:szCs w:val="24"/>
        </w:rPr>
        <w:t xml:space="preserve">that had been </w:t>
      </w:r>
      <w:r w:rsidR="007E440D" w:rsidRPr="008F2254">
        <w:rPr>
          <w:bCs/>
          <w:sz w:val="24"/>
          <w:szCs w:val="24"/>
        </w:rPr>
        <w:t>outsourced to JDO</w:t>
      </w:r>
      <w:r w:rsidR="008F2254" w:rsidRPr="008F2254">
        <w:rPr>
          <w:bCs/>
          <w:sz w:val="24"/>
          <w:szCs w:val="24"/>
        </w:rPr>
        <w:t>G</w:t>
      </w:r>
      <w:r w:rsidR="007E440D" w:rsidRPr="008F2254">
        <w:rPr>
          <w:bCs/>
          <w:sz w:val="24"/>
          <w:szCs w:val="24"/>
        </w:rPr>
        <w:t xml:space="preserve"> </w:t>
      </w:r>
      <w:r w:rsidR="00A7289A">
        <w:rPr>
          <w:bCs/>
          <w:sz w:val="24"/>
          <w:szCs w:val="24"/>
        </w:rPr>
        <w:t xml:space="preserve">Marketing </w:t>
      </w:r>
      <w:r w:rsidR="00B761FD">
        <w:rPr>
          <w:bCs/>
          <w:sz w:val="24"/>
          <w:szCs w:val="24"/>
        </w:rPr>
        <w:t xml:space="preserve">should </w:t>
      </w:r>
      <w:r w:rsidR="007E440D" w:rsidRPr="008F2254">
        <w:rPr>
          <w:bCs/>
          <w:sz w:val="24"/>
          <w:szCs w:val="24"/>
        </w:rPr>
        <w:t xml:space="preserve">be </w:t>
      </w:r>
      <w:r w:rsidR="008A2BCC">
        <w:rPr>
          <w:bCs/>
          <w:sz w:val="24"/>
          <w:szCs w:val="24"/>
        </w:rPr>
        <w:t>performed</w:t>
      </w:r>
      <w:r w:rsidR="007E440D" w:rsidRPr="008F2254">
        <w:rPr>
          <w:bCs/>
          <w:sz w:val="24"/>
          <w:szCs w:val="24"/>
        </w:rPr>
        <w:t xml:space="preserve"> </w:t>
      </w:r>
      <w:r w:rsidR="008A2BCC">
        <w:rPr>
          <w:bCs/>
          <w:sz w:val="24"/>
          <w:szCs w:val="24"/>
        </w:rPr>
        <w:t xml:space="preserve">by </w:t>
      </w:r>
      <w:r w:rsidR="007E440D" w:rsidRPr="008F2254">
        <w:rPr>
          <w:bCs/>
          <w:sz w:val="24"/>
          <w:szCs w:val="24"/>
        </w:rPr>
        <w:t>in-house employees of Northeast and Orwell.</w:t>
      </w:r>
      <w:r>
        <w:rPr>
          <w:rStyle w:val="FootnoteReference"/>
          <w:bCs/>
          <w:sz w:val="24"/>
          <w:szCs w:val="24"/>
        </w:rPr>
        <w:footnoteReference w:id="5"/>
      </w:r>
      <w:r w:rsidR="008F2254" w:rsidRPr="008F2254">
        <w:rPr>
          <w:bCs/>
          <w:sz w:val="24"/>
          <w:szCs w:val="24"/>
        </w:rPr>
        <w:t xml:space="preserve"> </w:t>
      </w:r>
      <w:r w:rsidR="005C245A">
        <w:rPr>
          <w:bCs/>
          <w:sz w:val="24"/>
          <w:szCs w:val="24"/>
        </w:rPr>
        <w:t xml:space="preserve"> </w:t>
      </w:r>
      <w:r w:rsidR="00B761FD">
        <w:rPr>
          <w:bCs/>
          <w:sz w:val="24"/>
          <w:szCs w:val="24"/>
        </w:rPr>
        <w:t>F</w:t>
      </w:r>
      <w:r w:rsidR="008F2254" w:rsidRPr="008F2254">
        <w:rPr>
          <w:bCs/>
          <w:sz w:val="24"/>
          <w:szCs w:val="24"/>
        </w:rPr>
        <w:t xml:space="preserve">inally, I recommended that the gas supply from local gas producers </w:t>
      </w:r>
      <w:r w:rsidR="00B761FD">
        <w:rPr>
          <w:bCs/>
          <w:sz w:val="24"/>
          <w:szCs w:val="24"/>
        </w:rPr>
        <w:t>that was procured</w:t>
      </w:r>
      <w:r w:rsidR="008F2254" w:rsidRPr="008F2254">
        <w:rPr>
          <w:bCs/>
          <w:sz w:val="24"/>
          <w:szCs w:val="24"/>
        </w:rPr>
        <w:t xml:space="preserve"> by JDOG</w:t>
      </w:r>
      <w:r w:rsidR="00A7289A">
        <w:rPr>
          <w:bCs/>
          <w:sz w:val="24"/>
          <w:szCs w:val="24"/>
        </w:rPr>
        <w:t xml:space="preserve"> Marketing</w:t>
      </w:r>
      <w:r w:rsidR="008F2254" w:rsidRPr="008F2254">
        <w:rPr>
          <w:bCs/>
          <w:sz w:val="24"/>
          <w:szCs w:val="24"/>
        </w:rPr>
        <w:t xml:space="preserve"> during the audit periods be re-priced</w:t>
      </w:r>
      <w:r w:rsidR="00757D19">
        <w:rPr>
          <w:bCs/>
          <w:sz w:val="24"/>
          <w:szCs w:val="24"/>
        </w:rPr>
        <w:t xml:space="preserve"> and a refund made to customers. </w:t>
      </w:r>
      <w:r w:rsidR="005C245A">
        <w:rPr>
          <w:bCs/>
          <w:sz w:val="24"/>
          <w:szCs w:val="24"/>
        </w:rPr>
        <w:t xml:space="preserve"> </w:t>
      </w:r>
      <w:r w:rsidR="00757D19">
        <w:rPr>
          <w:bCs/>
          <w:sz w:val="24"/>
          <w:szCs w:val="24"/>
        </w:rPr>
        <w:t>The repricing was</w:t>
      </w:r>
      <w:r w:rsidR="008F2254" w:rsidRPr="008F2254">
        <w:rPr>
          <w:bCs/>
          <w:sz w:val="24"/>
          <w:szCs w:val="24"/>
        </w:rPr>
        <w:t xml:space="preserve"> based on the historical difference between the cost of interstate gas and the cost of local production gas prior to </w:t>
      </w:r>
      <w:r w:rsidR="00566E46">
        <w:rPr>
          <w:bCs/>
          <w:sz w:val="24"/>
          <w:szCs w:val="24"/>
        </w:rPr>
        <w:t>using</w:t>
      </w:r>
      <w:r w:rsidR="008F2254" w:rsidRPr="008F2254">
        <w:rPr>
          <w:bCs/>
          <w:sz w:val="24"/>
          <w:szCs w:val="24"/>
        </w:rPr>
        <w:t xml:space="preserve"> JDOG</w:t>
      </w:r>
      <w:r w:rsidR="00A7289A">
        <w:rPr>
          <w:bCs/>
          <w:sz w:val="24"/>
          <w:szCs w:val="24"/>
        </w:rPr>
        <w:t xml:space="preserve"> Marketing</w:t>
      </w:r>
      <w:r w:rsidR="008F2254" w:rsidRPr="008F2254">
        <w:rPr>
          <w:bCs/>
          <w:sz w:val="24"/>
          <w:szCs w:val="24"/>
        </w:rPr>
        <w:t xml:space="preserve"> as the asset manager for both Northeast and Orwell in 2008.</w:t>
      </w:r>
      <w:r w:rsidR="008F2254" w:rsidRPr="008F2254">
        <w:rPr>
          <w:rStyle w:val="FootnoteReference"/>
          <w:bCs/>
          <w:sz w:val="24"/>
          <w:szCs w:val="24"/>
        </w:rPr>
        <w:footnoteReference w:id="6"/>
      </w:r>
    </w:p>
    <w:p w:rsidR="004309FC" w:rsidRDefault="004309FC" w:rsidP="00A054C9">
      <w:pPr>
        <w:tabs>
          <w:tab w:val="left" w:pos="720"/>
        </w:tabs>
        <w:spacing w:line="480" w:lineRule="auto"/>
        <w:ind w:left="720" w:hanging="720"/>
        <w:rPr>
          <w:bCs/>
          <w:sz w:val="24"/>
          <w:szCs w:val="24"/>
        </w:rPr>
      </w:pPr>
    </w:p>
    <w:p w:rsidR="00A53563" w:rsidRDefault="00A53563" w:rsidP="00A054C9">
      <w:pPr>
        <w:tabs>
          <w:tab w:val="left" w:pos="720"/>
        </w:tabs>
        <w:spacing w:line="480" w:lineRule="auto"/>
        <w:ind w:left="720" w:hanging="720"/>
        <w:rPr>
          <w:b/>
          <w:bCs/>
          <w:i/>
          <w:sz w:val="24"/>
          <w:szCs w:val="24"/>
        </w:rPr>
      </w:pPr>
      <w:r>
        <w:rPr>
          <w:b/>
          <w:bCs/>
          <w:i/>
          <w:sz w:val="24"/>
          <w:szCs w:val="24"/>
        </w:rPr>
        <w:t>Q10.</w:t>
      </w:r>
      <w:r>
        <w:rPr>
          <w:b/>
          <w:bCs/>
          <w:i/>
          <w:sz w:val="24"/>
          <w:szCs w:val="24"/>
        </w:rPr>
        <w:tab/>
        <w:t xml:space="preserve">ARE THE GAS PURCHASE CONTRACTS FROM THE </w:t>
      </w:r>
      <w:r w:rsidR="00F45A58">
        <w:rPr>
          <w:b/>
          <w:bCs/>
          <w:i/>
          <w:sz w:val="24"/>
          <w:szCs w:val="24"/>
        </w:rPr>
        <w:t xml:space="preserve">2012 </w:t>
      </w:r>
      <w:r w:rsidR="00C44B07">
        <w:rPr>
          <w:b/>
          <w:bCs/>
          <w:i/>
          <w:sz w:val="24"/>
          <w:szCs w:val="24"/>
        </w:rPr>
        <w:t xml:space="preserve">GCR </w:t>
      </w:r>
      <w:r>
        <w:rPr>
          <w:b/>
          <w:bCs/>
          <w:i/>
          <w:sz w:val="24"/>
          <w:szCs w:val="24"/>
        </w:rPr>
        <w:t>APPLICABLE TO THE CURRENT GCR AUDIT?</w:t>
      </w:r>
    </w:p>
    <w:p w:rsidR="00A53563" w:rsidRDefault="00A53563" w:rsidP="00A054C9">
      <w:pPr>
        <w:tabs>
          <w:tab w:val="left" w:pos="720"/>
        </w:tabs>
        <w:spacing w:line="480" w:lineRule="auto"/>
        <w:ind w:left="720" w:hanging="720"/>
        <w:rPr>
          <w:b/>
          <w:bCs/>
          <w:i/>
          <w:sz w:val="24"/>
          <w:szCs w:val="24"/>
        </w:rPr>
      </w:pPr>
      <w:r>
        <w:rPr>
          <w:b/>
          <w:bCs/>
          <w:i/>
          <w:sz w:val="24"/>
          <w:szCs w:val="24"/>
        </w:rPr>
        <w:t>A10.</w:t>
      </w:r>
      <w:r>
        <w:rPr>
          <w:b/>
          <w:bCs/>
          <w:i/>
          <w:sz w:val="24"/>
          <w:szCs w:val="24"/>
        </w:rPr>
        <w:tab/>
      </w:r>
      <w:r w:rsidRPr="003659E4">
        <w:rPr>
          <w:bCs/>
          <w:sz w:val="24"/>
          <w:szCs w:val="24"/>
        </w:rPr>
        <w:t>Yes</w:t>
      </w:r>
      <w:r w:rsidRPr="005C245A">
        <w:rPr>
          <w:bCs/>
          <w:sz w:val="24"/>
          <w:szCs w:val="24"/>
        </w:rPr>
        <w:t>.</w:t>
      </w:r>
      <w:r w:rsidRPr="005C245A">
        <w:rPr>
          <w:b/>
          <w:bCs/>
          <w:sz w:val="24"/>
          <w:szCs w:val="24"/>
        </w:rPr>
        <w:t xml:space="preserve"> </w:t>
      </w:r>
      <w:r w:rsidR="005C245A">
        <w:rPr>
          <w:b/>
          <w:bCs/>
          <w:sz w:val="24"/>
          <w:szCs w:val="24"/>
        </w:rPr>
        <w:t xml:space="preserve"> </w:t>
      </w:r>
      <w:r w:rsidRPr="005C245A">
        <w:rPr>
          <w:bCs/>
          <w:sz w:val="24"/>
          <w:szCs w:val="24"/>
        </w:rPr>
        <w:t>The</w:t>
      </w:r>
      <w:r w:rsidRPr="00535FF4">
        <w:rPr>
          <w:bCs/>
          <w:sz w:val="24"/>
          <w:szCs w:val="24"/>
        </w:rPr>
        <w:t xml:space="preserve"> gas purchase contracts with affiliate</w:t>
      </w:r>
      <w:r w:rsidR="00F76AFF">
        <w:rPr>
          <w:bCs/>
          <w:sz w:val="24"/>
          <w:szCs w:val="24"/>
        </w:rPr>
        <w:t>d</w:t>
      </w:r>
      <w:r w:rsidR="00C44B07">
        <w:rPr>
          <w:bCs/>
          <w:sz w:val="24"/>
          <w:szCs w:val="24"/>
        </w:rPr>
        <w:t xml:space="preserve"> and related</w:t>
      </w:r>
      <w:r w:rsidRPr="00535FF4">
        <w:rPr>
          <w:bCs/>
          <w:sz w:val="24"/>
          <w:szCs w:val="24"/>
        </w:rPr>
        <w:t xml:space="preserve"> companies</w:t>
      </w:r>
      <w:r>
        <w:rPr>
          <w:bCs/>
          <w:sz w:val="24"/>
          <w:szCs w:val="24"/>
        </w:rPr>
        <w:t xml:space="preserve"> </w:t>
      </w:r>
      <w:r w:rsidR="008A671C">
        <w:rPr>
          <w:bCs/>
          <w:sz w:val="24"/>
          <w:szCs w:val="24"/>
        </w:rPr>
        <w:t>that were an issue in</w:t>
      </w:r>
      <w:r>
        <w:rPr>
          <w:bCs/>
          <w:sz w:val="24"/>
          <w:szCs w:val="24"/>
        </w:rPr>
        <w:t xml:space="preserve"> the </w:t>
      </w:r>
      <w:r w:rsidR="005A2329">
        <w:rPr>
          <w:bCs/>
          <w:sz w:val="24"/>
          <w:szCs w:val="24"/>
        </w:rPr>
        <w:t xml:space="preserve">2012 GCR </w:t>
      </w:r>
      <w:r w:rsidRPr="00535FF4">
        <w:rPr>
          <w:bCs/>
          <w:sz w:val="24"/>
          <w:szCs w:val="24"/>
        </w:rPr>
        <w:t xml:space="preserve">were </w:t>
      </w:r>
      <w:r w:rsidR="00C44B07">
        <w:rPr>
          <w:bCs/>
          <w:sz w:val="24"/>
          <w:szCs w:val="24"/>
        </w:rPr>
        <w:t xml:space="preserve">also </w:t>
      </w:r>
      <w:r w:rsidRPr="00535FF4">
        <w:rPr>
          <w:bCs/>
          <w:sz w:val="24"/>
          <w:szCs w:val="24"/>
        </w:rPr>
        <w:t xml:space="preserve">in place for a majority of the current </w:t>
      </w:r>
      <w:r w:rsidR="00911F84">
        <w:rPr>
          <w:bCs/>
          <w:sz w:val="24"/>
          <w:szCs w:val="24"/>
        </w:rPr>
        <w:t>Audit</w:t>
      </w:r>
      <w:r w:rsidR="00904603">
        <w:rPr>
          <w:bCs/>
          <w:sz w:val="24"/>
          <w:szCs w:val="24"/>
        </w:rPr>
        <w:t xml:space="preserve"> </w:t>
      </w:r>
      <w:r w:rsidR="00C44B07">
        <w:rPr>
          <w:bCs/>
          <w:sz w:val="24"/>
          <w:szCs w:val="24"/>
        </w:rPr>
        <w:t>period</w:t>
      </w:r>
      <w:r w:rsidR="008A2BCC">
        <w:rPr>
          <w:bCs/>
          <w:sz w:val="24"/>
          <w:szCs w:val="24"/>
        </w:rPr>
        <w:t>,</w:t>
      </w:r>
      <w:r w:rsidR="005A2329">
        <w:rPr>
          <w:rStyle w:val="FootnoteReference"/>
          <w:bCs/>
          <w:sz w:val="24"/>
          <w:szCs w:val="24"/>
        </w:rPr>
        <w:footnoteReference w:id="7"/>
      </w:r>
      <w:r w:rsidR="00C44B07">
        <w:rPr>
          <w:bCs/>
          <w:sz w:val="24"/>
          <w:szCs w:val="24"/>
        </w:rPr>
        <w:t xml:space="preserve"> </w:t>
      </w:r>
      <w:r w:rsidR="008A2BCC">
        <w:rPr>
          <w:bCs/>
          <w:sz w:val="24"/>
          <w:szCs w:val="24"/>
        </w:rPr>
        <w:t>which</w:t>
      </w:r>
      <w:r w:rsidR="00904603">
        <w:rPr>
          <w:bCs/>
          <w:sz w:val="24"/>
          <w:szCs w:val="24"/>
        </w:rPr>
        <w:t xml:space="preserve"> covers the period </w:t>
      </w:r>
      <w:r w:rsidR="00C44B07">
        <w:rPr>
          <w:bCs/>
          <w:sz w:val="24"/>
          <w:szCs w:val="24"/>
        </w:rPr>
        <w:t>through June 30, 2014</w:t>
      </w:r>
      <w:r w:rsidR="00911F84">
        <w:rPr>
          <w:bCs/>
          <w:sz w:val="24"/>
          <w:szCs w:val="24"/>
        </w:rPr>
        <w:t>.</w:t>
      </w:r>
      <w:r w:rsidR="001A0C74">
        <w:rPr>
          <w:rStyle w:val="FootnoteReference"/>
          <w:bCs/>
          <w:sz w:val="24"/>
          <w:szCs w:val="24"/>
        </w:rPr>
        <w:footnoteReference w:id="8"/>
      </w:r>
      <w:r w:rsidR="00C44B07">
        <w:rPr>
          <w:bCs/>
          <w:sz w:val="24"/>
          <w:szCs w:val="24"/>
        </w:rPr>
        <w:t xml:space="preserve"> </w:t>
      </w:r>
      <w:r w:rsidR="005C245A">
        <w:rPr>
          <w:bCs/>
          <w:sz w:val="24"/>
          <w:szCs w:val="24"/>
        </w:rPr>
        <w:t xml:space="preserve"> </w:t>
      </w:r>
      <w:r w:rsidR="008A671C">
        <w:rPr>
          <w:bCs/>
          <w:sz w:val="24"/>
          <w:szCs w:val="24"/>
        </w:rPr>
        <w:t>Thus applying any disallowance from the 2012 GCR to this audit period is consistent with the PUCO’s Order in the 2012 GCR.</w:t>
      </w:r>
    </w:p>
    <w:p w:rsidR="00A53563" w:rsidRDefault="00A53563" w:rsidP="00A054C9">
      <w:pPr>
        <w:tabs>
          <w:tab w:val="left" w:pos="720"/>
        </w:tabs>
        <w:spacing w:line="480" w:lineRule="auto"/>
        <w:ind w:left="720" w:hanging="720"/>
        <w:rPr>
          <w:b/>
          <w:bCs/>
          <w:i/>
          <w:sz w:val="24"/>
          <w:szCs w:val="24"/>
        </w:rPr>
      </w:pPr>
    </w:p>
    <w:p w:rsidR="00A53563" w:rsidRDefault="00C44B07" w:rsidP="00A054C9">
      <w:pPr>
        <w:tabs>
          <w:tab w:val="left" w:pos="720"/>
        </w:tabs>
        <w:spacing w:line="480" w:lineRule="auto"/>
        <w:ind w:left="720" w:hanging="720"/>
        <w:rPr>
          <w:b/>
          <w:bCs/>
          <w:i/>
          <w:sz w:val="24"/>
          <w:szCs w:val="24"/>
        </w:rPr>
      </w:pPr>
      <w:r>
        <w:rPr>
          <w:b/>
          <w:bCs/>
          <w:i/>
          <w:sz w:val="24"/>
          <w:szCs w:val="24"/>
        </w:rPr>
        <w:t>Q11.</w:t>
      </w:r>
      <w:r w:rsidR="00A53563">
        <w:rPr>
          <w:b/>
          <w:bCs/>
          <w:i/>
          <w:sz w:val="24"/>
          <w:szCs w:val="24"/>
        </w:rPr>
        <w:tab/>
        <w:t xml:space="preserve">WHAT </w:t>
      </w:r>
      <w:r w:rsidR="003B1935">
        <w:rPr>
          <w:b/>
          <w:bCs/>
          <w:i/>
          <w:sz w:val="24"/>
          <w:szCs w:val="24"/>
        </w:rPr>
        <w:t>ARE</w:t>
      </w:r>
      <w:r w:rsidR="00A53563">
        <w:rPr>
          <w:b/>
          <w:bCs/>
          <w:i/>
          <w:sz w:val="24"/>
          <w:szCs w:val="24"/>
        </w:rPr>
        <w:t xml:space="preserve"> YOUR OBSERVATIONS BASED ON YOUR REVIEW OF THE GAS PURCHASE CONTRACTS BETWEEN </w:t>
      </w:r>
      <w:r w:rsidR="000F5BDA">
        <w:rPr>
          <w:b/>
          <w:bCs/>
          <w:i/>
          <w:sz w:val="24"/>
          <w:szCs w:val="24"/>
        </w:rPr>
        <w:t>NORTHEAST AND ORWELL</w:t>
      </w:r>
      <w:r w:rsidR="00A53563">
        <w:rPr>
          <w:b/>
          <w:bCs/>
          <w:i/>
          <w:sz w:val="24"/>
          <w:szCs w:val="24"/>
        </w:rPr>
        <w:t xml:space="preserve"> AND AFFILIATE</w:t>
      </w:r>
      <w:r w:rsidR="002D3D45">
        <w:rPr>
          <w:b/>
          <w:bCs/>
          <w:i/>
          <w:sz w:val="24"/>
          <w:szCs w:val="24"/>
        </w:rPr>
        <w:t>D</w:t>
      </w:r>
      <w:r w:rsidR="00E21686">
        <w:rPr>
          <w:b/>
          <w:bCs/>
          <w:i/>
          <w:sz w:val="24"/>
          <w:szCs w:val="24"/>
        </w:rPr>
        <w:t xml:space="preserve"> OR </w:t>
      </w:r>
      <w:r w:rsidR="00CD3E5E">
        <w:rPr>
          <w:b/>
          <w:bCs/>
          <w:i/>
          <w:sz w:val="24"/>
          <w:szCs w:val="24"/>
        </w:rPr>
        <w:t>RELATED</w:t>
      </w:r>
      <w:r w:rsidR="00A53563">
        <w:rPr>
          <w:b/>
          <w:bCs/>
          <w:i/>
          <w:sz w:val="24"/>
          <w:szCs w:val="24"/>
        </w:rPr>
        <w:t xml:space="preserve"> COMPANIES FROM THE </w:t>
      </w:r>
      <w:r w:rsidR="005A2329">
        <w:rPr>
          <w:b/>
          <w:bCs/>
          <w:i/>
          <w:sz w:val="24"/>
          <w:szCs w:val="24"/>
        </w:rPr>
        <w:t>2012 GCR CASES?</w:t>
      </w:r>
    </w:p>
    <w:p w:rsidR="00A53563" w:rsidRDefault="00A53563" w:rsidP="00A054C9">
      <w:pPr>
        <w:tabs>
          <w:tab w:val="left" w:pos="720"/>
        </w:tabs>
        <w:spacing w:line="480" w:lineRule="auto"/>
        <w:ind w:left="720" w:hanging="720"/>
        <w:rPr>
          <w:b/>
          <w:bCs/>
          <w:i/>
          <w:sz w:val="24"/>
          <w:szCs w:val="24"/>
        </w:rPr>
      </w:pPr>
      <w:r>
        <w:rPr>
          <w:b/>
          <w:bCs/>
          <w:i/>
          <w:sz w:val="24"/>
          <w:szCs w:val="24"/>
        </w:rPr>
        <w:t>A11.</w:t>
      </w:r>
      <w:r>
        <w:rPr>
          <w:b/>
          <w:bCs/>
          <w:i/>
          <w:sz w:val="24"/>
          <w:szCs w:val="24"/>
        </w:rPr>
        <w:tab/>
      </w:r>
      <w:r w:rsidRPr="00D775A0">
        <w:rPr>
          <w:sz w:val="24"/>
          <w:szCs w:val="24"/>
        </w:rPr>
        <w:t xml:space="preserve">Based on the </w:t>
      </w:r>
      <w:r w:rsidR="00DF1DB9">
        <w:rPr>
          <w:sz w:val="24"/>
          <w:szCs w:val="24"/>
        </w:rPr>
        <w:t xml:space="preserve">numerous </w:t>
      </w:r>
      <w:r w:rsidR="00CF40FA">
        <w:rPr>
          <w:sz w:val="24"/>
          <w:szCs w:val="24"/>
        </w:rPr>
        <w:t>natural gas purchase agreements</w:t>
      </w:r>
      <w:r w:rsidRPr="00D775A0">
        <w:rPr>
          <w:sz w:val="24"/>
          <w:szCs w:val="24"/>
        </w:rPr>
        <w:t xml:space="preserve"> I reviewed</w:t>
      </w:r>
      <w:r w:rsidR="007F59EB" w:rsidRPr="00D775A0">
        <w:rPr>
          <w:sz w:val="24"/>
          <w:szCs w:val="24"/>
        </w:rPr>
        <w:t xml:space="preserve"> in the</w:t>
      </w:r>
      <w:r w:rsidR="000953DF" w:rsidRPr="00D775A0">
        <w:rPr>
          <w:sz w:val="24"/>
          <w:szCs w:val="24"/>
        </w:rPr>
        <w:t xml:space="preserve"> </w:t>
      </w:r>
      <w:r w:rsidR="00CF146E" w:rsidRPr="00D775A0">
        <w:rPr>
          <w:sz w:val="24"/>
          <w:szCs w:val="24"/>
        </w:rPr>
        <w:t>201</w:t>
      </w:r>
      <w:r w:rsidR="009D2153" w:rsidRPr="00D775A0">
        <w:rPr>
          <w:sz w:val="24"/>
          <w:szCs w:val="24"/>
        </w:rPr>
        <w:t>2</w:t>
      </w:r>
      <w:r w:rsidR="007F59EB" w:rsidRPr="00D775A0">
        <w:rPr>
          <w:sz w:val="24"/>
          <w:szCs w:val="24"/>
        </w:rPr>
        <w:t xml:space="preserve"> </w:t>
      </w:r>
      <w:r w:rsidR="005A2329">
        <w:rPr>
          <w:sz w:val="24"/>
          <w:szCs w:val="24"/>
        </w:rPr>
        <w:t xml:space="preserve">GCR </w:t>
      </w:r>
      <w:r w:rsidR="00CF146E" w:rsidRPr="00D775A0">
        <w:rPr>
          <w:sz w:val="24"/>
          <w:szCs w:val="24"/>
        </w:rPr>
        <w:t>A</w:t>
      </w:r>
      <w:r w:rsidR="007F59EB" w:rsidRPr="00D775A0">
        <w:rPr>
          <w:sz w:val="24"/>
          <w:szCs w:val="24"/>
        </w:rPr>
        <w:t>udit</w:t>
      </w:r>
      <w:r w:rsidRPr="00D775A0">
        <w:rPr>
          <w:sz w:val="24"/>
          <w:szCs w:val="24"/>
        </w:rPr>
        <w:t xml:space="preserve">, I concluded that </w:t>
      </w:r>
      <w:r w:rsidR="009D2153" w:rsidRPr="00D775A0">
        <w:rPr>
          <w:sz w:val="24"/>
          <w:szCs w:val="24"/>
        </w:rPr>
        <w:t xml:space="preserve">there was a lack of attention to and enforcement of </w:t>
      </w:r>
      <w:r w:rsidR="00C44B07">
        <w:rPr>
          <w:sz w:val="24"/>
          <w:szCs w:val="24"/>
        </w:rPr>
        <w:t xml:space="preserve">the terms and conditions in the </w:t>
      </w:r>
      <w:r w:rsidR="009D2153" w:rsidRPr="00D775A0">
        <w:rPr>
          <w:sz w:val="24"/>
          <w:szCs w:val="24"/>
        </w:rPr>
        <w:t>natural gas purchase contracts between Northeast and Orwell and affiliate</w:t>
      </w:r>
      <w:r w:rsidR="00C44B07">
        <w:rPr>
          <w:sz w:val="24"/>
          <w:szCs w:val="24"/>
        </w:rPr>
        <w:t>d companie</w:t>
      </w:r>
      <w:r w:rsidR="009D2153" w:rsidRPr="00D775A0">
        <w:rPr>
          <w:sz w:val="24"/>
          <w:szCs w:val="24"/>
        </w:rPr>
        <w:t>s</w:t>
      </w:r>
      <w:r w:rsidR="00ED10BE">
        <w:rPr>
          <w:sz w:val="24"/>
          <w:szCs w:val="24"/>
        </w:rPr>
        <w:t>,</w:t>
      </w:r>
      <w:r w:rsidR="009D2153" w:rsidRPr="00D775A0">
        <w:rPr>
          <w:sz w:val="24"/>
          <w:szCs w:val="24"/>
        </w:rPr>
        <w:t xml:space="preserve"> such as JDOG</w:t>
      </w:r>
      <w:r w:rsidR="009B514F">
        <w:rPr>
          <w:sz w:val="24"/>
          <w:szCs w:val="24"/>
        </w:rPr>
        <w:t xml:space="preserve"> Marketing</w:t>
      </w:r>
      <w:r w:rsidR="009D2153" w:rsidRPr="00D775A0">
        <w:rPr>
          <w:sz w:val="24"/>
          <w:szCs w:val="24"/>
        </w:rPr>
        <w:t>.</w:t>
      </w:r>
      <w:r w:rsidR="005C245A">
        <w:rPr>
          <w:sz w:val="24"/>
          <w:szCs w:val="24"/>
        </w:rPr>
        <w:t xml:space="preserve"> </w:t>
      </w:r>
      <w:r w:rsidR="00C44B07">
        <w:rPr>
          <w:sz w:val="24"/>
          <w:szCs w:val="24"/>
        </w:rPr>
        <w:t xml:space="preserve"> </w:t>
      </w:r>
      <w:r w:rsidR="009D2153" w:rsidRPr="00D775A0">
        <w:rPr>
          <w:sz w:val="24"/>
          <w:szCs w:val="24"/>
        </w:rPr>
        <w:t>In addition</w:t>
      </w:r>
      <w:r w:rsidR="005A2329">
        <w:rPr>
          <w:sz w:val="24"/>
          <w:szCs w:val="24"/>
        </w:rPr>
        <w:t>,</w:t>
      </w:r>
      <w:r w:rsidR="009D2153" w:rsidRPr="00D775A0">
        <w:rPr>
          <w:sz w:val="24"/>
          <w:szCs w:val="24"/>
        </w:rPr>
        <w:t xml:space="preserve"> I found that Northeast and Orwell made no attempt to verify that the price they paid JDOG</w:t>
      </w:r>
      <w:r w:rsidR="009B514F">
        <w:rPr>
          <w:sz w:val="24"/>
          <w:szCs w:val="24"/>
        </w:rPr>
        <w:t xml:space="preserve"> Marketing</w:t>
      </w:r>
      <w:r w:rsidR="009D2153" w:rsidRPr="00D775A0">
        <w:rPr>
          <w:sz w:val="24"/>
          <w:szCs w:val="24"/>
        </w:rPr>
        <w:t xml:space="preserve"> f</w:t>
      </w:r>
      <w:r w:rsidR="00E02DCB">
        <w:rPr>
          <w:sz w:val="24"/>
          <w:szCs w:val="24"/>
        </w:rPr>
        <w:t xml:space="preserve">or local production gas </w:t>
      </w:r>
      <w:r w:rsidR="00F76AFF" w:rsidRPr="002D3D45">
        <w:rPr>
          <w:color w:val="000000"/>
          <w:sz w:val="24"/>
          <w:szCs w:val="24"/>
        </w:rPr>
        <w:t>promoted minimum prices consistent with an adequate supply of gas as required by the PUCO’s rules</w:t>
      </w:r>
      <w:r w:rsidR="00F76AFF" w:rsidRPr="002D3D45">
        <w:rPr>
          <w:sz w:val="24"/>
          <w:szCs w:val="24"/>
        </w:rPr>
        <w:t>.</w:t>
      </w:r>
      <w:r w:rsidR="00C44B07">
        <w:rPr>
          <w:sz w:val="24"/>
          <w:szCs w:val="24"/>
        </w:rPr>
        <w:t xml:space="preserve"> </w:t>
      </w:r>
      <w:r w:rsidR="00F76AFF">
        <w:rPr>
          <w:sz w:val="24"/>
          <w:szCs w:val="24"/>
        </w:rPr>
        <w:t xml:space="preserve"> </w:t>
      </w:r>
      <w:r w:rsidR="00ED10BE">
        <w:rPr>
          <w:sz w:val="24"/>
          <w:szCs w:val="24"/>
        </w:rPr>
        <w:t>R</w:t>
      </w:r>
      <w:r w:rsidR="009D2153" w:rsidRPr="00D775A0">
        <w:rPr>
          <w:sz w:val="24"/>
          <w:szCs w:val="24"/>
        </w:rPr>
        <w:t>esponse</w:t>
      </w:r>
      <w:r w:rsidR="00DF1DB9">
        <w:rPr>
          <w:sz w:val="24"/>
          <w:szCs w:val="24"/>
        </w:rPr>
        <w:t>s</w:t>
      </w:r>
      <w:r w:rsidR="009D2153" w:rsidRPr="00D775A0">
        <w:rPr>
          <w:sz w:val="24"/>
          <w:szCs w:val="24"/>
        </w:rPr>
        <w:t xml:space="preserve"> to OCC discovery indicated that Northeast and Orwell accepted the end result (gas purchased) a</w:t>
      </w:r>
      <w:r w:rsidR="00C44B07">
        <w:rPr>
          <w:sz w:val="24"/>
          <w:szCs w:val="24"/>
        </w:rPr>
        <w:t>s being the lowest cost option.</w:t>
      </w:r>
      <w:r w:rsidR="009D2153" w:rsidRPr="00D775A0">
        <w:rPr>
          <w:sz w:val="24"/>
          <w:szCs w:val="24"/>
        </w:rPr>
        <w:t xml:space="preserve"> </w:t>
      </w:r>
      <w:r w:rsidR="005C245A">
        <w:rPr>
          <w:sz w:val="24"/>
          <w:szCs w:val="24"/>
        </w:rPr>
        <w:t xml:space="preserve"> </w:t>
      </w:r>
      <w:r w:rsidR="009D2153" w:rsidRPr="00D775A0">
        <w:rPr>
          <w:sz w:val="24"/>
          <w:szCs w:val="24"/>
        </w:rPr>
        <w:t>There was no i</w:t>
      </w:r>
      <w:r w:rsidR="005F4AE5" w:rsidRPr="00D775A0">
        <w:rPr>
          <w:sz w:val="24"/>
          <w:szCs w:val="24"/>
        </w:rPr>
        <w:t>n</w:t>
      </w:r>
      <w:r w:rsidR="009D2153" w:rsidRPr="00D775A0">
        <w:rPr>
          <w:sz w:val="24"/>
          <w:szCs w:val="24"/>
        </w:rPr>
        <w:t xml:space="preserve">dication Northeast </w:t>
      </w:r>
      <w:r w:rsidR="005F4AE5" w:rsidRPr="00D775A0">
        <w:rPr>
          <w:sz w:val="24"/>
          <w:szCs w:val="24"/>
        </w:rPr>
        <w:t>o</w:t>
      </w:r>
      <w:r w:rsidR="009D2153" w:rsidRPr="00D775A0">
        <w:rPr>
          <w:sz w:val="24"/>
          <w:szCs w:val="24"/>
        </w:rPr>
        <w:t xml:space="preserve">r </w:t>
      </w:r>
      <w:r w:rsidR="005F4AE5" w:rsidRPr="00D775A0">
        <w:rPr>
          <w:sz w:val="24"/>
          <w:szCs w:val="24"/>
        </w:rPr>
        <w:t>O</w:t>
      </w:r>
      <w:r w:rsidR="009D2153" w:rsidRPr="00D775A0">
        <w:rPr>
          <w:sz w:val="24"/>
          <w:szCs w:val="24"/>
        </w:rPr>
        <w:t xml:space="preserve">rwell </w:t>
      </w:r>
      <w:r w:rsidR="00ED10BE">
        <w:rPr>
          <w:sz w:val="24"/>
          <w:szCs w:val="24"/>
        </w:rPr>
        <w:t>performed any</w:t>
      </w:r>
      <w:r w:rsidR="009D2153" w:rsidRPr="00D775A0">
        <w:rPr>
          <w:sz w:val="24"/>
          <w:szCs w:val="24"/>
        </w:rPr>
        <w:t xml:space="preserve"> independent analysis to determine </w:t>
      </w:r>
      <w:r w:rsidR="00ED10BE">
        <w:rPr>
          <w:sz w:val="24"/>
          <w:szCs w:val="24"/>
        </w:rPr>
        <w:t>(</w:t>
      </w:r>
      <w:r w:rsidR="00DF1DB9">
        <w:rPr>
          <w:sz w:val="24"/>
          <w:szCs w:val="24"/>
        </w:rPr>
        <w:t>or verify</w:t>
      </w:r>
      <w:r w:rsidR="00ED10BE">
        <w:rPr>
          <w:sz w:val="24"/>
          <w:szCs w:val="24"/>
        </w:rPr>
        <w:t>)</w:t>
      </w:r>
      <w:r w:rsidR="00DF1DB9">
        <w:rPr>
          <w:sz w:val="24"/>
          <w:szCs w:val="24"/>
        </w:rPr>
        <w:t xml:space="preserve"> </w:t>
      </w:r>
      <w:r w:rsidR="009D2153" w:rsidRPr="00D775A0">
        <w:rPr>
          <w:sz w:val="24"/>
          <w:szCs w:val="24"/>
        </w:rPr>
        <w:t xml:space="preserve">that the </w:t>
      </w:r>
      <w:r w:rsidR="00F76AFF">
        <w:rPr>
          <w:sz w:val="24"/>
          <w:szCs w:val="24"/>
        </w:rPr>
        <w:t xml:space="preserve">natural </w:t>
      </w:r>
      <w:r w:rsidR="009D2153" w:rsidRPr="00D775A0">
        <w:rPr>
          <w:sz w:val="24"/>
          <w:szCs w:val="24"/>
        </w:rPr>
        <w:t>gas p</w:t>
      </w:r>
      <w:r w:rsidR="005F4AE5" w:rsidRPr="00D775A0">
        <w:rPr>
          <w:sz w:val="24"/>
          <w:szCs w:val="24"/>
        </w:rPr>
        <w:t>u</w:t>
      </w:r>
      <w:r w:rsidR="009D2153" w:rsidRPr="00D775A0">
        <w:rPr>
          <w:sz w:val="24"/>
          <w:szCs w:val="24"/>
        </w:rPr>
        <w:t>rch</w:t>
      </w:r>
      <w:r w:rsidR="005F4AE5" w:rsidRPr="00D775A0">
        <w:rPr>
          <w:sz w:val="24"/>
          <w:szCs w:val="24"/>
        </w:rPr>
        <w:t>a</w:t>
      </w:r>
      <w:r w:rsidR="009D2153" w:rsidRPr="00D775A0">
        <w:rPr>
          <w:sz w:val="24"/>
          <w:szCs w:val="24"/>
        </w:rPr>
        <w:t xml:space="preserve">sed </w:t>
      </w:r>
      <w:r w:rsidR="00F76AFF">
        <w:rPr>
          <w:sz w:val="24"/>
          <w:szCs w:val="24"/>
        </w:rPr>
        <w:t xml:space="preserve">was </w:t>
      </w:r>
      <w:r w:rsidR="00356FB7">
        <w:rPr>
          <w:sz w:val="24"/>
          <w:szCs w:val="24"/>
        </w:rPr>
        <w:t>actually</w:t>
      </w:r>
      <w:r w:rsidR="00F76AFF">
        <w:rPr>
          <w:sz w:val="24"/>
          <w:szCs w:val="24"/>
        </w:rPr>
        <w:t xml:space="preserve"> at the minimum prices available</w:t>
      </w:r>
      <w:r w:rsidR="009D2153" w:rsidRPr="00D775A0">
        <w:rPr>
          <w:sz w:val="24"/>
          <w:szCs w:val="24"/>
        </w:rPr>
        <w:t>.</w:t>
      </w:r>
      <w:r w:rsidR="005C245A">
        <w:rPr>
          <w:sz w:val="24"/>
          <w:szCs w:val="24"/>
        </w:rPr>
        <w:t xml:space="preserve"> </w:t>
      </w:r>
      <w:r w:rsidR="005F4AE5" w:rsidRPr="00D775A0">
        <w:rPr>
          <w:sz w:val="24"/>
          <w:szCs w:val="24"/>
        </w:rPr>
        <w:t xml:space="preserve"> </w:t>
      </w:r>
      <w:r w:rsidRPr="00E52ABA">
        <w:rPr>
          <w:sz w:val="24"/>
          <w:szCs w:val="24"/>
        </w:rPr>
        <w:t>Moreover,</w:t>
      </w:r>
      <w:r w:rsidR="00B7769F" w:rsidRPr="00E52ABA">
        <w:rPr>
          <w:sz w:val="24"/>
          <w:szCs w:val="24"/>
        </w:rPr>
        <w:t xml:space="preserve"> the contracts </w:t>
      </w:r>
      <w:r w:rsidR="00ED10BE">
        <w:rPr>
          <w:sz w:val="24"/>
          <w:szCs w:val="24"/>
        </w:rPr>
        <w:t>suggested</w:t>
      </w:r>
      <w:r w:rsidR="00ED10BE" w:rsidRPr="00E52ABA">
        <w:rPr>
          <w:sz w:val="24"/>
          <w:szCs w:val="24"/>
        </w:rPr>
        <w:t xml:space="preserve"> </w:t>
      </w:r>
      <w:r w:rsidR="00B7769F" w:rsidRPr="00E52ABA">
        <w:rPr>
          <w:sz w:val="24"/>
          <w:szCs w:val="24"/>
        </w:rPr>
        <w:t>a bias towards the affiliated compan</w:t>
      </w:r>
      <w:r w:rsidR="00CF40FA">
        <w:rPr>
          <w:sz w:val="24"/>
          <w:szCs w:val="24"/>
        </w:rPr>
        <w:t>y -- JDOG Marketing</w:t>
      </w:r>
      <w:r w:rsidR="005A2329">
        <w:rPr>
          <w:sz w:val="24"/>
          <w:szCs w:val="24"/>
        </w:rPr>
        <w:t xml:space="preserve"> --</w:t>
      </w:r>
      <w:r w:rsidR="001A0C74">
        <w:rPr>
          <w:sz w:val="24"/>
          <w:szCs w:val="24"/>
        </w:rPr>
        <w:t xml:space="preserve"> by </w:t>
      </w:r>
      <w:r w:rsidR="00F76AFF">
        <w:rPr>
          <w:sz w:val="24"/>
          <w:szCs w:val="24"/>
        </w:rPr>
        <w:t xml:space="preserve">imprudently </w:t>
      </w:r>
      <w:r w:rsidR="00ED10BE">
        <w:rPr>
          <w:sz w:val="24"/>
          <w:szCs w:val="24"/>
        </w:rPr>
        <w:t xml:space="preserve">injecting </w:t>
      </w:r>
      <w:r w:rsidR="001A0C74">
        <w:rPr>
          <w:sz w:val="24"/>
          <w:szCs w:val="24"/>
        </w:rPr>
        <w:t>JDOG Marketing</w:t>
      </w:r>
      <w:r w:rsidR="002D3D45">
        <w:rPr>
          <w:sz w:val="24"/>
          <w:szCs w:val="24"/>
        </w:rPr>
        <w:t>,</w:t>
      </w:r>
      <w:r w:rsidR="001A0C74">
        <w:rPr>
          <w:sz w:val="24"/>
          <w:szCs w:val="24"/>
        </w:rPr>
        <w:t xml:space="preserve"> </w:t>
      </w:r>
      <w:r w:rsidR="002D3D45">
        <w:rPr>
          <w:sz w:val="24"/>
          <w:szCs w:val="24"/>
        </w:rPr>
        <w:t xml:space="preserve">and its additional fee, </w:t>
      </w:r>
      <w:r w:rsidR="001A0C74">
        <w:rPr>
          <w:sz w:val="24"/>
          <w:szCs w:val="24"/>
        </w:rPr>
        <w:t>into the purchas</w:t>
      </w:r>
      <w:r w:rsidR="002D3D45">
        <w:rPr>
          <w:sz w:val="24"/>
          <w:szCs w:val="24"/>
        </w:rPr>
        <w:t>ing</w:t>
      </w:r>
      <w:r w:rsidR="001A0C74">
        <w:rPr>
          <w:sz w:val="24"/>
          <w:szCs w:val="24"/>
        </w:rPr>
        <w:t xml:space="preserve"> process to perform </w:t>
      </w:r>
      <w:r w:rsidR="00F76AFF">
        <w:rPr>
          <w:sz w:val="24"/>
          <w:szCs w:val="24"/>
        </w:rPr>
        <w:t>duplicative</w:t>
      </w:r>
      <w:r w:rsidR="001A0C74">
        <w:rPr>
          <w:sz w:val="24"/>
          <w:szCs w:val="24"/>
        </w:rPr>
        <w:t xml:space="preserve"> services already performed by Northeast and Orwell employees</w:t>
      </w:r>
      <w:r w:rsidR="00B7769F" w:rsidRPr="00E52ABA">
        <w:rPr>
          <w:sz w:val="24"/>
          <w:szCs w:val="24"/>
        </w:rPr>
        <w:t>.</w:t>
      </w:r>
      <w:r w:rsidR="007F59EB" w:rsidRPr="00E52ABA">
        <w:rPr>
          <w:rStyle w:val="FootnoteReference"/>
          <w:sz w:val="24"/>
          <w:szCs w:val="24"/>
        </w:rPr>
        <w:footnoteReference w:id="9"/>
      </w:r>
    </w:p>
    <w:p w:rsidR="005A2FB5" w:rsidRPr="0028336C" w:rsidRDefault="005A2FB5" w:rsidP="00A054C9">
      <w:pPr>
        <w:tabs>
          <w:tab w:val="left" w:pos="720"/>
        </w:tabs>
        <w:spacing w:line="480" w:lineRule="auto"/>
        <w:ind w:left="720" w:hanging="720"/>
        <w:rPr>
          <w:b/>
          <w:bCs/>
          <w:i/>
          <w:sz w:val="24"/>
          <w:szCs w:val="24"/>
        </w:rPr>
      </w:pPr>
    </w:p>
    <w:p w:rsidR="0028336C" w:rsidRDefault="0028336C" w:rsidP="00A054C9">
      <w:pPr>
        <w:tabs>
          <w:tab w:val="left" w:pos="720"/>
        </w:tabs>
        <w:spacing w:line="480" w:lineRule="auto"/>
        <w:ind w:left="720" w:hanging="720"/>
        <w:rPr>
          <w:b/>
          <w:bCs/>
          <w:i/>
          <w:sz w:val="24"/>
          <w:szCs w:val="24"/>
        </w:rPr>
      </w:pPr>
      <w:r w:rsidRPr="0028336C">
        <w:rPr>
          <w:b/>
          <w:bCs/>
          <w:i/>
          <w:sz w:val="24"/>
          <w:szCs w:val="24"/>
        </w:rPr>
        <w:t>Q</w:t>
      </w:r>
      <w:r w:rsidR="00CC791C">
        <w:rPr>
          <w:b/>
          <w:bCs/>
          <w:i/>
          <w:sz w:val="24"/>
          <w:szCs w:val="24"/>
        </w:rPr>
        <w:t>12</w:t>
      </w:r>
      <w:r w:rsidRPr="0028336C">
        <w:rPr>
          <w:b/>
          <w:bCs/>
          <w:i/>
          <w:sz w:val="24"/>
          <w:szCs w:val="24"/>
        </w:rPr>
        <w:t>.</w:t>
      </w:r>
      <w:r w:rsidRPr="0028336C">
        <w:rPr>
          <w:b/>
          <w:bCs/>
          <w:i/>
          <w:sz w:val="24"/>
          <w:szCs w:val="24"/>
        </w:rPr>
        <w:tab/>
        <w:t xml:space="preserve">WHAT </w:t>
      </w:r>
      <w:r>
        <w:rPr>
          <w:b/>
          <w:bCs/>
          <w:i/>
          <w:sz w:val="24"/>
          <w:szCs w:val="24"/>
        </w:rPr>
        <w:t xml:space="preserve">ISSUES </w:t>
      </w:r>
      <w:r w:rsidR="00EC6942">
        <w:rPr>
          <w:b/>
          <w:bCs/>
          <w:i/>
          <w:sz w:val="24"/>
          <w:szCs w:val="24"/>
        </w:rPr>
        <w:t xml:space="preserve">WERE </w:t>
      </w:r>
      <w:r w:rsidR="00F84BA7">
        <w:rPr>
          <w:b/>
          <w:bCs/>
          <w:i/>
          <w:sz w:val="24"/>
          <w:szCs w:val="24"/>
        </w:rPr>
        <w:t xml:space="preserve">RESOLVED THROUGH THE </w:t>
      </w:r>
      <w:r w:rsidR="0058287E">
        <w:rPr>
          <w:b/>
          <w:bCs/>
          <w:i/>
          <w:sz w:val="24"/>
          <w:szCs w:val="24"/>
        </w:rPr>
        <w:t xml:space="preserve">OPINION AND ORDER IN THE </w:t>
      </w:r>
      <w:r w:rsidR="00C84131">
        <w:rPr>
          <w:b/>
          <w:bCs/>
          <w:i/>
          <w:sz w:val="24"/>
          <w:szCs w:val="24"/>
        </w:rPr>
        <w:t>2012</w:t>
      </w:r>
      <w:r w:rsidR="0058287E">
        <w:rPr>
          <w:b/>
          <w:bCs/>
          <w:i/>
          <w:sz w:val="24"/>
          <w:szCs w:val="24"/>
        </w:rPr>
        <w:t xml:space="preserve"> GCR</w:t>
      </w:r>
      <w:r>
        <w:rPr>
          <w:b/>
          <w:bCs/>
          <w:i/>
          <w:sz w:val="24"/>
          <w:szCs w:val="24"/>
        </w:rPr>
        <w:t>?</w:t>
      </w:r>
    </w:p>
    <w:p w:rsidR="0028336C" w:rsidRDefault="0028336C" w:rsidP="00A054C9">
      <w:pPr>
        <w:tabs>
          <w:tab w:val="left" w:pos="720"/>
        </w:tabs>
        <w:spacing w:line="480" w:lineRule="auto"/>
        <w:ind w:left="720" w:hanging="720"/>
        <w:rPr>
          <w:bCs/>
          <w:sz w:val="24"/>
          <w:szCs w:val="24"/>
        </w:rPr>
      </w:pPr>
      <w:r>
        <w:rPr>
          <w:b/>
          <w:bCs/>
          <w:i/>
          <w:sz w:val="24"/>
          <w:szCs w:val="24"/>
        </w:rPr>
        <w:t>A</w:t>
      </w:r>
      <w:r w:rsidR="00CC791C">
        <w:rPr>
          <w:b/>
          <w:bCs/>
          <w:i/>
          <w:sz w:val="24"/>
          <w:szCs w:val="24"/>
        </w:rPr>
        <w:t>12</w:t>
      </w:r>
      <w:r>
        <w:rPr>
          <w:b/>
          <w:bCs/>
          <w:i/>
          <w:sz w:val="24"/>
          <w:szCs w:val="24"/>
        </w:rPr>
        <w:t>.</w:t>
      </w:r>
      <w:r>
        <w:rPr>
          <w:b/>
          <w:bCs/>
          <w:i/>
          <w:sz w:val="24"/>
          <w:szCs w:val="24"/>
        </w:rPr>
        <w:tab/>
      </w:r>
      <w:r w:rsidR="00356FB7" w:rsidRPr="00356FB7">
        <w:rPr>
          <w:bCs/>
          <w:sz w:val="24"/>
          <w:szCs w:val="24"/>
        </w:rPr>
        <w:t>In t</w:t>
      </w:r>
      <w:r w:rsidR="00F84BA7" w:rsidRPr="00356FB7">
        <w:rPr>
          <w:bCs/>
          <w:sz w:val="24"/>
          <w:szCs w:val="24"/>
        </w:rPr>
        <w:t xml:space="preserve">he </w:t>
      </w:r>
      <w:r w:rsidR="0058287E" w:rsidRPr="00356FB7">
        <w:rPr>
          <w:bCs/>
          <w:sz w:val="24"/>
          <w:szCs w:val="24"/>
        </w:rPr>
        <w:t>Opinion</w:t>
      </w:r>
      <w:r w:rsidR="0058287E">
        <w:rPr>
          <w:bCs/>
          <w:sz w:val="24"/>
          <w:szCs w:val="24"/>
        </w:rPr>
        <w:t xml:space="preserve"> and Order </w:t>
      </w:r>
      <w:r w:rsidR="00356FB7">
        <w:rPr>
          <w:bCs/>
          <w:sz w:val="24"/>
          <w:szCs w:val="24"/>
        </w:rPr>
        <w:t xml:space="preserve">filed </w:t>
      </w:r>
      <w:r w:rsidR="0058287E">
        <w:rPr>
          <w:bCs/>
          <w:sz w:val="24"/>
          <w:szCs w:val="24"/>
        </w:rPr>
        <w:t xml:space="preserve">in </w:t>
      </w:r>
      <w:r w:rsidR="005A2329">
        <w:rPr>
          <w:bCs/>
          <w:sz w:val="24"/>
          <w:szCs w:val="24"/>
        </w:rPr>
        <w:t>the 2012 GCR</w:t>
      </w:r>
      <w:r w:rsidR="0058287E">
        <w:rPr>
          <w:bCs/>
          <w:sz w:val="24"/>
          <w:szCs w:val="24"/>
        </w:rPr>
        <w:t xml:space="preserve"> on November 13, 2013</w:t>
      </w:r>
      <w:r w:rsidR="00356FB7">
        <w:rPr>
          <w:bCs/>
          <w:sz w:val="24"/>
          <w:szCs w:val="24"/>
        </w:rPr>
        <w:t>, the</w:t>
      </w:r>
      <w:r w:rsidR="009F5D53">
        <w:rPr>
          <w:bCs/>
          <w:sz w:val="24"/>
          <w:szCs w:val="24"/>
        </w:rPr>
        <w:t xml:space="preserve"> </w:t>
      </w:r>
      <w:r w:rsidR="00481EB5">
        <w:rPr>
          <w:bCs/>
          <w:sz w:val="24"/>
          <w:szCs w:val="24"/>
        </w:rPr>
        <w:t>PUCO</w:t>
      </w:r>
      <w:r w:rsidR="0058287E">
        <w:rPr>
          <w:bCs/>
          <w:sz w:val="24"/>
          <w:szCs w:val="24"/>
        </w:rPr>
        <w:t xml:space="preserve"> </w:t>
      </w:r>
      <w:r w:rsidR="002501C2">
        <w:rPr>
          <w:bCs/>
          <w:sz w:val="24"/>
          <w:szCs w:val="24"/>
        </w:rPr>
        <w:t>concluded</w:t>
      </w:r>
      <w:r w:rsidR="00A176ED">
        <w:rPr>
          <w:bCs/>
          <w:sz w:val="24"/>
          <w:szCs w:val="24"/>
        </w:rPr>
        <w:t xml:space="preserve"> that </w:t>
      </w:r>
      <w:r w:rsidR="008D2296">
        <w:rPr>
          <w:bCs/>
          <w:sz w:val="24"/>
          <w:szCs w:val="24"/>
        </w:rPr>
        <w:t>during the GCR audit period “the evidence shows that the gas costs were not fair, just, and reasonable and their gas purchasing practices and policies did not promote minimum prices consistent with an adequate supply of gas.”</w:t>
      </w:r>
      <w:r w:rsidR="008D2296">
        <w:rPr>
          <w:rStyle w:val="FootnoteReference"/>
          <w:bCs/>
          <w:sz w:val="24"/>
          <w:szCs w:val="24"/>
        </w:rPr>
        <w:footnoteReference w:id="10"/>
      </w:r>
      <w:r w:rsidR="00C44B07">
        <w:rPr>
          <w:bCs/>
          <w:sz w:val="24"/>
          <w:szCs w:val="24"/>
        </w:rPr>
        <w:t xml:space="preserve"> </w:t>
      </w:r>
      <w:r w:rsidR="005C245A">
        <w:rPr>
          <w:bCs/>
          <w:sz w:val="24"/>
          <w:szCs w:val="24"/>
        </w:rPr>
        <w:t xml:space="preserve"> </w:t>
      </w:r>
      <w:r w:rsidR="00D73184">
        <w:rPr>
          <w:bCs/>
          <w:sz w:val="24"/>
          <w:szCs w:val="24"/>
        </w:rPr>
        <w:t xml:space="preserve">The PUCO also ruled on </w:t>
      </w:r>
      <w:r w:rsidR="00F84BA7">
        <w:rPr>
          <w:bCs/>
          <w:sz w:val="24"/>
          <w:szCs w:val="24"/>
        </w:rPr>
        <w:t>a number of issues, including the over-collection</w:t>
      </w:r>
      <w:r w:rsidR="005E3DEE">
        <w:rPr>
          <w:bCs/>
          <w:sz w:val="24"/>
          <w:szCs w:val="24"/>
        </w:rPr>
        <w:t xml:space="preserve"> for costs </w:t>
      </w:r>
      <w:r w:rsidR="00566E46">
        <w:rPr>
          <w:bCs/>
          <w:sz w:val="24"/>
          <w:szCs w:val="24"/>
        </w:rPr>
        <w:t xml:space="preserve">from customers </w:t>
      </w:r>
      <w:r w:rsidR="005E3DEE">
        <w:rPr>
          <w:bCs/>
          <w:sz w:val="24"/>
          <w:szCs w:val="24"/>
        </w:rPr>
        <w:t>for the purchase of local gas production</w:t>
      </w:r>
      <w:r w:rsidR="00F84BA7">
        <w:rPr>
          <w:bCs/>
          <w:sz w:val="24"/>
          <w:szCs w:val="24"/>
        </w:rPr>
        <w:t xml:space="preserve"> </w:t>
      </w:r>
      <w:r w:rsidR="00D73184">
        <w:rPr>
          <w:bCs/>
          <w:sz w:val="24"/>
          <w:szCs w:val="24"/>
        </w:rPr>
        <w:t xml:space="preserve">by Northeast and Orwell </w:t>
      </w:r>
      <w:r w:rsidR="00F84BA7">
        <w:rPr>
          <w:bCs/>
          <w:sz w:val="24"/>
          <w:szCs w:val="24"/>
        </w:rPr>
        <w:t>during the audit periods,</w:t>
      </w:r>
      <w:r w:rsidR="00D73184">
        <w:rPr>
          <w:rStyle w:val="FootnoteReference"/>
          <w:bCs/>
          <w:sz w:val="24"/>
          <w:szCs w:val="24"/>
        </w:rPr>
        <w:footnoteReference w:id="11"/>
      </w:r>
      <w:r w:rsidR="003767F5">
        <w:rPr>
          <w:bCs/>
          <w:sz w:val="24"/>
          <w:szCs w:val="24"/>
        </w:rPr>
        <w:t xml:space="preserve"> </w:t>
      </w:r>
      <w:r w:rsidR="005E3DEE">
        <w:rPr>
          <w:bCs/>
          <w:sz w:val="24"/>
          <w:szCs w:val="24"/>
        </w:rPr>
        <w:t xml:space="preserve">and </w:t>
      </w:r>
      <w:r w:rsidR="00F84BA7">
        <w:rPr>
          <w:bCs/>
          <w:sz w:val="24"/>
          <w:szCs w:val="24"/>
        </w:rPr>
        <w:t>the</w:t>
      </w:r>
      <w:r w:rsidR="00F44235">
        <w:rPr>
          <w:bCs/>
          <w:sz w:val="24"/>
          <w:szCs w:val="24"/>
        </w:rPr>
        <w:t xml:space="preserve"> disallowance of premiums paid to JDOG</w:t>
      </w:r>
      <w:r w:rsidR="008B3C2C">
        <w:rPr>
          <w:bCs/>
          <w:sz w:val="24"/>
          <w:szCs w:val="24"/>
        </w:rPr>
        <w:t xml:space="preserve"> Marketing</w:t>
      </w:r>
      <w:r w:rsidR="00F44235">
        <w:rPr>
          <w:bCs/>
          <w:sz w:val="24"/>
          <w:szCs w:val="24"/>
        </w:rPr>
        <w:t xml:space="preserve"> in the amount of $583,417 </w:t>
      </w:r>
      <w:r w:rsidR="00CC77F6">
        <w:rPr>
          <w:bCs/>
          <w:sz w:val="24"/>
          <w:szCs w:val="24"/>
        </w:rPr>
        <w:t>for</w:t>
      </w:r>
      <w:r w:rsidR="00F44235">
        <w:rPr>
          <w:bCs/>
          <w:sz w:val="24"/>
          <w:szCs w:val="24"/>
        </w:rPr>
        <w:t xml:space="preserve"> Northeast</w:t>
      </w:r>
      <w:r w:rsidR="00ED10BE">
        <w:rPr>
          <w:bCs/>
          <w:sz w:val="24"/>
          <w:szCs w:val="24"/>
        </w:rPr>
        <w:t>,</w:t>
      </w:r>
      <w:r w:rsidR="00F44235">
        <w:rPr>
          <w:bCs/>
          <w:sz w:val="24"/>
          <w:szCs w:val="24"/>
        </w:rPr>
        <w:t xml:space="preserve"> and $224,991 for Orwell</w:t>
      </w:r>
      <w:r w:rsidR="003767F5">
        <w:rPr>
          <w:bCs/>
          <w:sz w:val="24"/>
          <w:szCs w:val="24"/>
        </w:rPr>
        <w:t>.</w:t>
      </w:r>
      <w:r w:rsidR="00F44235">
        <w:rPr>
          <w:rStyle w:val="FootnoteReference"/>
          <w:bCs/>
          <w:sz w:val="24"/>
          <w:szCs w:val="24"/>
        </w:rPr>
        <w:footnoteReference w:id="12"/>
      </w:r>
      <w:r w:rsidR="00F84BA7">
        <w:rPr>
          <w:bCs/>
          <w:sz w:val="24"/>
          <w:szCs w:val="24"/>
        </w:rPr>
        <w:t xml:space="preserve"> </w:t>
      </w:r>
      <w:r w:rsidR="005C245A">
        <w:rPr>
          <w:bCs/>
          <w:sz w:val="24"/>
          <w:szCs w:val="24"/>
        </w:rPr>
        <w:t xml:space="preserve"> </w:t>
      </w:r>
      <w:r w:rsidR="003767F5">
        <w:rPr>
          <w:bCs/>
          <w:sz w:val="24"/>
          <w:szCs w:val="24"/>
        </w:rPr>
        <w:t>T</w:t>
      </w:r>
      <w:r w:rsidR="00ED10BE">
        <w:rPr>
          <w:bCs/>
          <w:sz w:val="24"/>
          <w:szCs w:val="24"/>
        </w:rPr>
        <w:t>he PUCO also approved a</w:t>
      </w:r>
      <w:r w:rsidR="00B960D4">
        <w:rPr>
          <w:bCs/>
          <w:sz w:val="24"/>
          <w:szCs w:val="24"/>
        </w:rPr>
        <w:t xml:space="preserve"> disallowance of the Cobra processing fees charged to Northeast’s GCR customers</w:t>
      </w:r>
      <w:r w:rsidR="005539B4">
        <w:rPr>
          <w:bCs/>
          <w:sz w:val="24"/>
          <w:szCs w:val="24"/>
        </w:rPr>
        <w:t xml:space="preserve"> in the amount of $145,363</w:t>
      </w:r>
      <w:r w:rsidR="00440EAA">
        <w:rPr>
          <w:bCs/>
          <w:sz w:val="24"/>
          <w:szCs w:val="24"/>
        </w:rPr>
        <w:t>.</w:t>
      </w:r>
      <w:r w:rsidR="00B960D4">
        <w:rPr>
          <w:rStyle w:val="FootnoteReference"/>
          <w:bCs/>
          <w:sz w:val="24"/>
          <w:szCs w:val="24"/>
        </w:rPr>
        <w:footnoteReference w:id="13"/>
      </w:r>
      <w:r w:rsidR="00B960D4">
        <w:rPr>
          <w:bCs/>
          <w:sz w:val="24"/>
          <w:szCs w:val="24"/>
        </w:rPr>
        <w:t xml:space="preserve"> </w:t>
      </w:r>
      <w:r w:rsidR="005C245A">
        <w:rPr>
          <w:bCs/>
          <w:sz w:val="24"/>
          <w:szCs w:val="24"/>
        </w:rPr>
        <w:t xml:space="preserve"> </w:t>
      </w:r>
      <w:r w:rsidR="00440EAA">
        <w:rPr>
          <w:bCs/>
          <w:sz w:val="24"/>
          <w:szCs w:val="24"/>
        </w:rPr>
        <w:t xml:space="preserve">Finally, the PUCO ordered </w:t>
      </w:r>
      <w:r w:rsidR="006A416B">
        <w:rPr>
          <w:bCs/>
          <w:sz w:val="24"/>
          <w:szCs w:val="24"/>
        </w:rPr>
        <w:t>a civil forfeiture in the amount of $2,000 for each month</w:t>
      </w:r>
      <w:r w:rsidR="00172823">
        <w:rPr>
          <w:bCs/>
          <w:sz w:val="24"/>
          <w:szCs w:val="24"/>
        </w:rPr>
        <w:t xml:space="preserve"> </w:t>
      </w:r>
      <w:r w:rsidR="00F86A11">
        <w:rPr>
          <w:bCs/>
          <w:sz w:val="24"/>
          <w:szCs w:val="24"/>
        </w:rPr>
        <w:t>Northeast and Orwell</w:t>
      </w:r>
      <w:r w:rsidR="006A416B">
        <w:rPr>
          <w:bCs/>
          <w:sz w:val="24"/>
          <w:szCs w:val="24"/>
        </w:rPr>
        <w:t xml:space="preserve"> failed to comply with the terms of the Stipulation in the 2010 GCR Audit</w:t>
      </w:r>
      <w:r w:rsidR="00ED10BE">
        <w:rPr>
          <w:bCs/>
          <w:sz w:val="24"/>
          <w:szCs w:val="24"/>
        </w:rPr>
        <w:t xml:space="preserve">, which </w:t>
      </w:r>
      <w:r w:rsidR="006A416B">
        <w:rPr>
          <w:bCs/>
          <w:sz w:val="24"/>
          <w:szCs w:val="24"/>
        </w:rPr>
        <w:t>requir</w:t>
      </w:r>
      <w:r w:rsidR="00ED10BE">
        <w:rPr>
          <w:bCs/>
          <w:sz w:val="24"/>
          <w:szCs w:val="24"/>
        </w:rPr>
        <w:t xml:space="preserve">ed </w:t>
      </w:r>
      <w:r w:rsidR="006A416B">
        <w:rPr>
          <w:bCs/>
          <w:sz w:val="24"/>
          <w:szCs w:val="24"/>
        </w:rPr>
        <w:t>the terminat</w:t>
      </w:r>
      <w:r w:rsidR="00ED10BE">
        <w:rPr>
          <w:bCs/>
          <w:sz w:val="24"/>
          <w:szCs w:val="24"/>
        </w:rPr>
        <w:t xml:space="preserve">ion of </w:t>
      </w:r>
      <w:r w:rsidR="00E069EF">
        <w:rPr>
          <w:bCs/>
          <w:sz w:val="24"/>
          <w:szCs w:val="24"/>
        </w:rPr>
        <w:t>the affiliate</w:t>
      </w:r>
      <w:r w:rsidR="006A416B">
        <w:rPr>
          <w:bCs/>
          <w:sz w:val="24"/>
          <w:szCs w:val="24"/>
        </w:rPr>
        <w:t xml:space="preserve"> contracts</w:t>
      </w:r>
      <w:r w:rsidR="00ED10BE">
        <w:rPr>
          <w:bCs/>
          <w:sz w:val="24"/>
          <w:szCs w:val="24"/>
        </w:rPr>
        <w:t>.</w:t>
      </w:r>
      <w:r w:rsidR="005C245A">
        <w:rPr>
          <w:bCs/>
          <w:sz w:val="24"/>
          <w:szCs w:val="24"/>
        </w:rPr>
        <w:t xml:space="preserve"> </w:t>
      </w:r>
      <w:r w:rsidR="00ED10BE">
        <w:rPr>
          <w:bCs/>
          <w:sz w:val="24"/>
          <w:szCs w:val="24"/>
        </w:rPr>
        <w:t xml:space="preserve"> The </w:t>
      </w:r>
      <w:r w:rsidR="00172823">
        <w:rPr>
          <w:bCs/>
          <w:sz w:val="24"/>
          <w:szCs w:val="24"/>
        </w:rPr>
        <w:t xml:space="preserve">total forfeiture </w:t>
      </w:r>
      <w:r w:rsidR="00ED10BE">
        <w:rPr>
          <w:bCs/>
          <w:sz w:val="24"/>
          <w:szCs w:val="24"/>
        </w:rPr>
        <w:t xml:space="preserve">equaled </w:t>
      </w:r>
      <w:r w:rsidR="00172823">
        <w:rPr>
          <w:bCs/>
          <w:sz w:val="24"/>
          <w:szCs w:val="24"/>
        </w:rPr>
        <w:t>$26,000</w:t>
      </w:r>
      <w:r w:rsidR="005539B4">
        <w:rPr>
          <w:bCs/>
          <w:sz w:val="24"/>
          <w:szCs w:val="24"/>
        </w:rPr>
        <w:t xml:space="preserve"> </w:t>
      </w:r>
      <w:r w:rsidR="00387048">
        <w:rPr>
          <w:bCs/>
          <w:sz w:val="24"/>
          <w:szCs w:val="24"/>
        </w:rPr>
        <w:t>f</w:t>
      </w:r>
      <w:r w:rsidR="005539B4">
        <w:rPr>
          <w:bCs/>
          <w:sz w:val="24"/>
          <w:szCs w:val="24"/>
        </w:rPr>
        <w:t>o</w:t>
      </w:r>
      <w:r w:rsidR="00387048">
        <w:rPr>
          <w:bCs/>
          <w:sz w:val="24"/>
          <w:szCs w:val="24"/>
        </w:rPr>
        <w:t>r</w:t>
      </w:r>
      <w:r w:rsidR="005539B4">
        <w:rPr>
          <w:bCs/>
          <w:sz w:val="24"/>
          <w:szCs w:val="24"/>
        </w:rPr>
        <w:t xml:space="preserve"> Northeast and $50,000 </w:t>
      </w:r>
      <w:r w:rsidR="00387048">
        <w:rPr>
          <w:bCs/>
          <w:sz w:val="24"/>
          <w:szCs w:val="24"/>
        </w:rPr>
        <w:t>f</w:t>
      </w:r>
      <w:r w:rsidR="005539B4">
        <w:rPr>
          <w:bCs/>
          <w:sz w:val="24"/>
          <w:szCs w:val="24"/>
        </w:rPr>
        <w:t>o</w:t>
      </w:r>
      <w:r w:rsidR="00387048">
        <w:rPr>
          <w:bCs/>
          <w:sz w:val="24"/>
          <w:szCs w:val="24"/>
        </w:rPr>
        <w:t>r</w:t>
      </w:r>
      <w:r w:rsidR="005539B4">
        <w:rPr>
          <w:bCs/>
          <w:sz w:val="24"/>
          <w:szCs w:val="24"/>
        </w:rPr>
        <w:t xml:space="preserve"> Orwell</w:t>
      </w:r>
      <w:r w:rsidR="006A416B">
        <w:rPr>
          <w:bCs/>
          <w:sz w:val="24"/>
          <w:szCs w:val="24"/>
        </w:rPr>
        <w:t>.</w:t>
      </w:r>
      <w:r w:rsidR="008F2D06">
        <w:rPr>
          <w:rStyle w:val="FootnoteReference"/>
          <w:bCs/>
          <w:sz w:val="24"/>
          <w:szCs w:val="24"/>
        </w:rPr>
        <w:footnoteReference w:id="14"/>
      </w:r>
    </w:p>
    <w:p w:rsidR="0028336C" w:rsidRDefault="0028336C" w:rsidP="00A054C9">
      <w:pPr>
        <w:spacing w:line="480" w:lineRule="auto"/>
        <w:rPr>
          <w:sz w:val="24"/>
          <w:szCs w:val="24"/>
        </w:rPr>
      </w:pPr>
    </w:p>
    <w:p w:rsidR="00F16381" w:rsidRDefault="00F16381" w:rsidP="00A054C9">
      <w:pPr>
        <w:pStyle w:val="Heading1"/>
      </w:pPr>
      <w:bookmarkStart w:id="29" w:name="_Toc425427769"/>
      <w:r>
        <w:t>V.</w:t>
      </w:r>
      <w:r>
        <w:tab/>
      </w:r>
      <w:r w:rsidR="000F5BDA">
        <w:t>CURRENT</w:t>
      </w:r>
      <w:r w:rsidR="009F5D53">
        <w:t xml:space="preserve"> </w:t>
      </w:r>
      <w:r w:rsidR="00715A50">
        <w:t xml:space="preserve">STAFF </w:t>
      </w:r>
      <w:r w:rsidR="009F5D53">
        <w:t xml:space="preserve">AUDIT REPORT OF </w:t>
      </w:r>
      <w:r w:rsidR="001D03B6">
        <w:t>NORTHEAST</w:t>
      </w:r>
      <w:r w:rsidR="003A23D9">
        <w:t>, ORWELL</w:t>
      </w:r>
      <w:r w:rsidR="009F5D53">
        <w:t xml:space="preserve"> </w:t>
      </w:r>
      <w:r w:rsidR="003A23D9">
        <w:t>AND</w:t>
      </w:r>
      <w:r w:rsidR="00BF6C1D">
        <w:t xml:space="preserve"> BRAINARD</w:t>
      </w:r>
      <w:bookmarkEnd w:id="29"/>
    </w:p>
    <w:p w:rsidR="00F16381" w:rsidRDefault="00F16381" w:rsidP="00A054C9">
      <w:pPr>
        <w:tabs>
          <w:tab w:val="left" w:pos="720"/>
        </w:tabs>
        <w:spacing w:line="480" w:lineRule="auto"/>
        <w:ind w:left="720" w:hanging="720"/>
        <w:rPr>
          <w:b/>
          <w:bCs/>
          <w:sz w:val="24"/>
          <w:szCs w:val="24"/>
        </w:rPr>
      </w:pPr>
    </w:p>
    <w:p w:rsidR="00F16381" w:rsidRDefault="00F16381" w:rsidP="00A054C9">
      <w:pPr>
        <w:tabs>
          <w:tab w:val="left" w:pos="720"/>
        </w:tabs>
        <w:spacing w:line="480" w:lineRule="auto"/>
        <w:ind w:left="720" w:hanging="720"/>
        <w:rPr>
          <w:b/>
          <w:bCs/>
          <w:i/>
          <w:sz w:val="24"/>
          <w:szCs w:val="24"/>
        </w:rPr>
      </w:pPr>
      <w:r>
        <w:rPr>
          <w:b/>
          <w:bCs/>
          <w:i/>
          <w:sz w:val="24"/>
          <w:szCs w:val="24"/>
        </w:rPr>
        <w:t>Q</w:t>
      </w:r>
      <w:r w:rsidR="00BE29B4">
        <w:rPr>
          <w:b/>
          <w:bCs/>
          <w:i/>
          <w:sz w:val="24"/>
          <w:szCs w:val="24"/>
        </w:rPr>
        <w:t>13</w:t>
      </w:r>
      <w:r>
        <w:rPr>
          <w:b/>
          <w:bCs/>
          <w:i/>
          <w:sz w:val="24"/>
          <w:szCs w:val="24"/>
        </w:rPr>
        <w:t>.</w:t>
      </w:r>
      <w:r>
        <w:rPr>
          <w:b/>
          <w:bCs/>
          <w:i/>
          <w:sz w:val="24"/>
          <w:szCs w:val="24"/>
        </w:rPr>
        <w:tab/>
        <w:t xml:space="preserve">ARE YOU FAMILIAR WITH THE </w:t>
      </w:r>
      <w:r w:rsidR="005F34C7">
        <w:rPr>
          <w:b/>
          <w:bCs/>
          <w:i/>
          <w:sz w:val="24"/>
          <w:szCs w:val="24"/>
        </w:rPr>
        <w:t xml:space="preserve">PUCO </w:t>
      </w:r>
      <w:r>
        <w:rPr>
          <w:b/>
          <w:bCs/>
          <w:i/>
          <w:sz w:val="24"/>
          <w:szCs w:val="24"/>
        </w:rPr>
        <w:t>STAFF</w:t>
      </w:r>
      <w:r w:rsidR="005F34C7">
        <w:rPr>
          <w:b/>
          <w:bCs/>
          <w:i/>
          <w:sz w:val="24"/>
          <w:szCs w:val="24"/>
        </w:rPr>
        <w:t>’S</w:t>
      </w:r>
      <w:r>
        <w:rPr>
          <w:b/>
          <w:bCs/>
          <w:i/>
          <w:sz w:val="24"/>
          <w:szCs w:val="24"/>
        </w:rPr>
        <w:t xml:space="preserve"> </w:t>
      </w:r>
      <w:r w:rsidR="005A2329">
        <w:rPr>
          <w:b/>
          <w:bCs/>
          <w:i/>
          <w:sz w:val="24"/>
          <w:szCs w:val="24"/>
        </w:rPr>
        <w:t>CURRENT</w:t>
      </w:r>
      <w:r w:rsidR="000953DF">
        <w:rPr>
          <w:b/>
          <w:bCs/>
          <w:i/>
          <w:sz w:val="24"/>
          <w:szCs w:val="24"/>
        </w:rPr>
        <w:t xml:space="preserve"> </w:t>
      </w:r>
      <w:r>
        <w:rPr>
          <w:b/>
          <w:bCs/>
          <w:i/>
          <w:sz w:val="24"/>
          <w:szCs w:val="24"/>
        </w:rPr>
        <w:t xml:space="preserve">FINANCIAL AUDIT </w:t>
      </w:r>
      <w:r w:rsidR="00CA7BBA">
        <w:rPr>
          <w:b/>
          <w:bCs/>
          <w:i/>
          <w:sz w:val="24"/>
          <w:szCs w:val="24"/>
        </w:rPr>
        <w:t>REPORT</w:t>
      </w:r>
      <w:r>
        <w:rPr>
          <w:b/>
          <w:bCs/>
          <w:i/>
          <w:sz w:val="24"/>
          <w:szCs w:val="24"/>
        </w:rPr>
        <w:t xml:space="preserve"> FOR </w:t>
      </w:r>
      <w:r w:rsidR="00F55168">
        <w:rPr>
          <w:b/>
          <w:bCs/>
          <w:i/>
          <w:sz w:val="24"/>
          <w:szCs w:val="24"/>
        </w:rPr>
        <w:t>NORTHEAST</w:t>
      </w:r>
      <w:r w:rsidR="003A23D9">
        <w:rPr>
          <w:b/>
          <w:bCs/>
          <w:i/>
          <w:sz w:val="24"/>
          <w:szCs w:val="24"/>
        </w:rPr>
        <w:t>, ORWELL AND BRAINARD</w:t>
      </w:r>
      <w:r w:rsidR="005A2329">
        <w:rPr>
          <w:b/>
          <w:bCs/>
          <w:i/>
          <w:sz w:val="24"/>
          <w:szCs w:val="24"/>
        </w:rPr>
        <w:t>?</w:t>
      </w:r>
    </w:p>
    <w:p w:rsidR="00F16381" w:rsidRDefault="00F16381" w:rsidP="00A054C9">
      <w:pPr>
        <w:tabs>
          <w:tab w:val="left" w:pos="720"/>
        </w:tabs>
        <w:spacing w:line="480" w:lineRule="auto"/>
        <w:ind w:left="720" w:hanging="720"/>
        <w:rPr>
          <w:bCs/>
          <w:sz w:val="24"/>
          <w:szCs w:val="24"/>
        </w:rPr>
      </w:pPr>
      <w:r>
        <w:rPr>
          <w:b/>
          <w:bCs/>
          <w:i/>
          <w:sz w:val="24"/>
          <w:szCs w:val="24"/>
        </w:rPr>
        <w:t>A</w:t>
      </w:r>
      <w:r w:rsidR="00BE29B4">
        <w:rPr>
          <w:b/>
          <w:bCs/>
          <w:i/>
          <w:sz w:val="24"/>
          <w:szCs w:val="24"/>
        </w:rPr>
        <w:t>13</w:t>
      </w:r>
      <w:r>
        <w:rPr>
          <w:b/>
          <w:bCs/>
          <w:sz w:val="24"/>
          <w:szCs w:val="24"/>
        </w:rPr>
        <w:t>.</w:t>
      </w:r>
      <w:r>
        <w:rPr>
          <w:b/>
          <w:bCs/>
          <w:sz w:val="24"/>
          <w:szCs w:val="24"/>
        </w:rPr>
        <w:tab/>
      </w:r>
      <w:r>
        <w:rPr>
          <w:bCs/>
          <w:sz w:val="24"/>
          <w:szCs w:val="24"/>
        </w:rPr>
        <w:t xml:space="preserve">Yes, I reviewed the </w:t>
      </w:r>
      <w:r w:rsidR="000953DF">
        <w:rPr>
          <w:bCs/>
          <w:sz w:val="24"/>
          <w:szCs w:val="24"/>
        </w:rPr>
        <w:t>201</w:t>
      </w:r>
      <w:r w:rsidR="003A23D9">
        <w:rPr>
          <w:bCs/>
          <w:sz w:val="24"/>
          <w:szCs w:val="24"/>
        </w:rPr>
        <w:t>5</w:t>
      </w:r>
      <w:r w:rsidR="000953DF">
        <w:rPr>
          <w:bCs/>
          <w:sz w:val="24"/>
          <w:szCs w:val="24"/>
        </w:rPr>
        <w:t xml:space="preserve"> </w:t>
      </w:r>
      <w:r w:rsidR="004F0AA5">
        <w:rPr>
          <w:bCs/>
          <w:sz w:val="24"/>
          <w:szCs w:val="24"/>
        </w:rPr>
        <w:t>A</w:t>
      </w:r>
      <w:r>
        <w:rPr>
          <w:bCs/>
          <w:sz w:val="24"/>
          <w:szCs w:val="24"/>
        </w:rPr>
        <w:t xml:space="preserve">udit </w:t>
      </w:r>
      <w:r w:rsidR="004F0AA5">
        <w:rPr>
          <w:bCs/>
          <w:sz w:val="24"/>
          <w:szCs w:val="24"/>
        </w:rPr>
        <w:t>R</w:t>
      </w:r>
      <w:r>
        <w:rPr>
          <w:bCs/>
          <w:sz w:val="24"/>
          <w:szCs w:val="24"/>
        </w:rPr>
        <w:t xml:space="preserve">eport </w:t>
      </w:r>
      <w:r w:rsidR="009B0FDB">
        <w:rPr>
          <w:bCs/>
          <w:sz w:val="24"/>
          <w:szCs w:val="24"/>
        </w:rPr>
        <w:t xml:space="preserve">conducted </w:t>
      </w:r>
      <w:r>
        <w:rPr>
          <w:bCs/>
          <w:sz w:val="24"/>
          <w:szCs w:val="24"/>
        </w:rPr>
        <w:t>by Staff</w:t>
      </w:r>
      <w:r w:rsidR="00A20F42">
        <w:rPr>
          <w:bCs/>
          <w:sz w:val="24"/>
          <w:szCs w:val="24"/>
        </w:rPr>
        <w:t>, which was docketed</w:t>
      </w:r>
      <w:r w:rsidR="009B0FDB">
        <w:rPr>
          <w:bCs/>
          <w:sz w:val="24"/>
          <w:szCs w:val="24"/>
        </w:rPr>
        <w:t xml:space="preserve"> on January 27, 2015</w:t>
      </w:r>
      <w:r w:rsidR="00C44B07">
        <w:rPr>
          <w:bCs/>
          <w:sz w:val="24"/>
          <w:szCs w:val="24"/>
        </w:rPr>
        <w:t xml:space="preserve">. </w:t>
      </w:r>
      <w:r w:rsidR="005C245A">
        <w:rPr>
          <w:bCs/>
          <w:sz w:val="24"/>
          <w:szCs w:val="24"/>
        </w:rPr>
        <w:t xml:space="preserve"> </w:t>
      </w:r>
      <w:r>
        <w:rPr>
          <w:bCs/>
          <w:sz w:val="24"/>
          <w:szCs w:val="24"/>
        </w:rPr>
        <w:t>In addition</w:t>
      </w:r>
      <w:r w:rsidRPr="00030198">
        <w:rPr>
          <w:bCs/>
          <w:sz w:val="24"/>
          <w:szCs w:val="24"/>
        </w:rPr>
        <w:t>, I have reviewed the gas purchase contracts</w:t>
      </w:r>
      <w:r w:rsidR="00956237" w:rsidRPr="00030198">
        <w:rPr>
          <w:bCs/>
          <w:sz w:val="24"/>
          <w:szCs w:val="24"/>
        </w:rPr>
        <w:t>, gas supply</w:t>
      </w:r>
      <w:r w:rsidR="00776B6E">
        <w:rPr>
          <w:bCs/>
          <w:sz w:val="24"/>
          <w:szCs w:val="24"/>
        </w:rPr>
        <w:t xml:space="preserve"> </w:t>
      </w:r>
      <w:r w:rsidR="0002391E">
        <w:rPr>
          <w:bCs/>
          <w:sz w:val="24"/>
          <w:szCs w:val="24"/>
        </w:rPr>
        <w:t>options</w:t>
      </w:r>
      <w:r w:rsidR="00A20F42">
        <w:rPr>
          <w:bCs/>
          <w:sz w:val="24"/>
          <w:szCs w:val="24"/>
        </w:rPr>
        <w:t>,</w:t>
      </w:r>
      <w:r w:rsidR="00956237" w:rsidRPr="00030198">
        <w:rPr>
          <w:bCs/>
          <w:sz w:val="24"/>
          <w:szCs w:val="24"/>
        </w:rPr>
        <w:t xml:space="preserve"> and pricing history, and other information</w:t>
      </w:r>
      <w:r w:rsidRPr="00030198">
        <w:rPr>
          <w:bCs/>
          <w:sz w:val="24"/>
          <w:szCs w:val="24"/>
        </w:rPr>
        <w:t xml:space="preserve"> provided by </w:t>
      </w:r>
      <w:r w:rsidR="00956237" w:rsidRPr="00030198">
        <w:rPr>
          <w:bCs/>
          <w:sz w:val="24"/>
          <w:szCs w:val="24"/>
        </w:rPr>
        <w:t>Northeast</w:t>
      </w:r>
      <w:r w:rsidR="003A23D9">
        <w:rPr>
          <w:bCs/>
          <w:sz w:val="24"/>
          <w:szCs w:val="24"/>
        </w:rPr>
        <w:t xml:space="preserve">, </w:t>
      </w:r>
      <w:r w:rsidRPr="00030198">
        <w:rPr>
          <w:bCs/>
          <w:sz w:val="24"/>
          <w:szCs w:val="24"/>
        </w:rPr>
        <w:t>Orwell</w:t>
      </w:r>
      <w:r w:rsidR="00A20F42">
        <w:rPr>
          <w:bCs/>
          <w:sz w:val="24"/>
          <w:szCs w:val="24"/>
        </w:rPr>
        <w:t>,</w:t>
      </w:r>
      <w:r w:rsidR="00B221CF">
        <w:rPr>
          <w:bCs/>
          <w:sz w:val="24"/>
          <w:szCs w:val="24"/>
        </w:rPr>
        <w:t xml:space="preserve"> and Brainard</w:t>
      </w:r>
      <w:r w:rsidRPr="00030198">
        <w:rPr>
          <w:bCs/>
          <w:sz w:val="24"/>
          <w:szCs w:val="24"/>
        </w:rPr>
        <w:t xml:space="preserve"> in response to OCC discovery</w:t>
      </w:r>
      <w:r w:rsidR="00956237" w:rsidRPr="00030198">
        <w:rPr>
          <w:bCs/>
          <w:sz w:val="24"/>
          <w:szCs w:val="24"/>
        </w:rPr>
        <w:t>.</w:t>
      </w:r>
      <w:r w:rsidR="005A2329">
        <w:rPr>
          <w:bCs/>
          <w:sz w:val="24"/>
          <w:szCs w:val="24"/>
        </w:rPr>
        <w:t xml:space="preserve"> </w:t>
      </w:r>
      <w:r w:rsidR="005C245A">
        <w:rPr>
          <w:bCs/>
          <w:sz w:val="24"/>
          <w:szCs w:val="24"/>
        </w:rPr>
        <w:t xml:space="preserve"> </w:t>
      </w:r>
      <w:r w:rsidR="005A2329">
        <w:rPr>
          <w:bCs/>
          <w:sz w:val="24"/>
          <w:szCs w:val="24"/>
        </w:rPr>
        <w:t xml:space="preserve">I </w:t>
      </w:r>
      <w:r w:rsidR="000652F6" w:rsidRPr="00030198">
        <w:rPr>
          <w:bCs/>
          <w:sz w:val="24"/>
          <w:szCs w:val="24"/>
        </w:rPr>
        <w:t xml:space="preserve">have also reviewed </w:t>
      </w:r>
      <w:r w:rsidR="000F5BDA">
        <w:rPr>
          <w:bCs/>
          <w:sz w:val="24"/>
          <w:szCs w:val="24"/>
        </w:rPr>
        <w:t xml:space="preserve">information from </w:t>
      </w:r>
      <w:r w:rsidR="000652F6" w:rsidRPr="00030198">
        <w:rPr>
          <w:bCs/>
          <w:sz w:val="24"/>
          <w:szCs w:val="24"/>
        </w:rPr>
        <w:t xml:space="preserve">the </w:t>
      </w:r>
      <w:r w:rsidR="000953DF">
        <w:rPr>
          <w:bCs/>
          <w:sz w:val="24"/>
          <w:szCs w:val="24"/>
        </w:rPr>
        <w:t>201</w:t>
      </w:r>
      <w:r w:rsidR="00930273">
        <w:rPr>
          <w:bCs/>
          <w:sz w:val="24"/>
          <w:szCs w:val="24"/>
        </w:rPr>
        <w:t>2</w:t>
      </w:r>
      <w:r w:rsidR="00473637">
        <w:rPr>
          <w:bCs/>
          <w:sz w:val="24"/>
          <w:szCs w:val="24"/>
        </w:rPr>
        <w:t xml:space="preserve"> </w:t>
      </w:r>
      <w:r w:rsidR="005A2329">
        <w:rPr>
          <w:bCs/>
          <w:sz w:val="24"/>
          <w:szCs w:val="24"/>
        </w:rPr>
        <w:t xml:space="preserve">GCR </w:t>
      </w:r>
      <w:r w:rsidR="003767F5">
        <w:rPr>
          <w:bCs/>
          <w:sz w:val="24"/>
          <w:szCs w:val="24"/>
        </w:rPr>
        <w:t>proceeding, including the 2012 GCR</w:t>
      </w:r>
      <w:r w:rsidR="005A2329">
        <w:rPr>
          <w:bCs/>
          <w:sz w:val="24"/>
          <w:szCs w:val="24"/>
        </w:rPr>
        <w:t xml:space="preserve"> </w:t>
      </w:r>
      <w:r w:rsidR="000953DF">
        <w:rPr>
          <w:bCs/>
          <w:sz w:val="24"/>
          <w:szCs w:val="24"/>
        </w:rPr>
        <w:t>A</w:t>
      </w:r>
      <w:r w:rsidR="00CF5184">
        <w:rPr>
          <w:bCs/>
          <w:sz w:val="24"/>
          <w:szCs w:val="24"/>
        </w:rPr>
        <w:t>udit</w:t>
      </w:r>
      <w:r w:rsidR="00FF0E21">
        <w:rPr>
          <w:bCs/>
          <w:sz w:val="24"/>
          <w:szCs w:val="24"/>
        </w:rPr>
        <w:t xml:space="preserve"> and</w:t>
      </w:r>
      <w:r w:rsidR="00473637">
        <w:rPr>
          <w:bCs/>
          <w:sz w:val="24"/>
          <w:szCs w:val="24"/>
        </w:rPr>
        <w:t xml:space="preserve"> </w:t>
      </w:r>
      <w:r w:rsidR="00930273">
        <w:rPr>
          <w:bCs/>
          <w:sz w:val="24"/>
          <w:szCs w:val="24"/>
        </w:rPr>
        <w:t>Opinion and Order</w:t>
      </w:r>
      <w:r w:rsidR="00CF5184">
        <w:rPr>
          <w:bCs/>
          <w:sz w:val="24"/>
          <w:szCs w:val="24"/>
        </w:rPr>
        <w:t xml:space="preserve">, which continue to impact the results and findings </w:t>
      </w:r>
      <w:r w:rsidR="00473637">
        <w:rPr>
          <w:bCs/>
          <w:sz w:val="24"/>
          <w:szCs w:val="24"/>
        </w:rPr>
        <w:t>in</w:t>
      </w:r>
      <w:r w:rsidR="00CF5184">
        <w:rPr>
          <w:bCs/>
          <w:sz w:val="24"/>
          <w:szCs w:val="24"/>
        </w:rPr>
        <w:t xml:space="preserve"> the current </w:t>
      </w:r>
      <w:r w:rsidR="005A2329">
        <w:rPr>
          <w:bCs/>
          <w:sz w:val="24"/>
          <w:szCs w:val="24"/>
        </w:rPr>
        <w:t xml:space="preserve">GCR </w:t>
      </w:r>
      <w:r w:rsidR="00CF5184">
        <w:rPr>
          <w:bCs/>
          <w:sz w:val="24"/>
          <w:szCs w:val="24"/>
        </w:rPr>
        <w:t>Audit for Orwell</w:t>
      </w:r>
      <w:r w:rsidR="007A477B">
        <w:rPr>
          <w:bCs/>
          <w:sz w:val="24"/>
          <w:szCs w:val="24"/>
        </w:rPr>
        <w:t xml:space="preserve">, </w:t>
      </w:r>
      <w:r w:rsidR="00CF5184">
        <w:rPr>
          <w:bCs/>
          <w:sz w:val="24"/>
          <w:szCs w:val="24"/>
        </w:rPr>
        <w:t>Northeast</w:t>
      </w:r>
      <w:r w:rsidR="00A20F42">
        <w:rPr>
          <w:bCs/>
          <w:sz w:val="24"/>
          <w:szCs w:val="24"/>
        </w:rPr>
        <w:t>,</w:t>
      </w:r>
      <w:r w:rsidR="007A477B">
        <w:rPr>
          <w:bCs/>
          <w:sz w:val="24"/>
          <w:szCs w:val="24"/>
        </w:rPr>
        <w:t xml:space="preserve"> and Brainard</w:t>
      </w:r>
      <w:r w:rsidR="00CF5184">
        <w:rPr>
          <w:bCs/>
          <w:sz w:val="24"/>
          <w:szCs w:val="24"/>
        </w:rPr>
        <w:t>.</w:t>
      </w:r>
    </w:p>
    <w:p w:rsidR="005C245A" w:rsidRDefault="005C245A" w:rsidP="00A054C9">
      <w:pPr>
        <w:tabs>
          <w:tab w:val="left" w:pos="720"/>
        </w:tabs>
        <w:spacing w:line="480" w:lineRule="auto"/>
        <w:ind w:left="720" w:hanging="720"/>
        <w:rPr>
          <w:bCs/>
          <w:sz w:val="24"/>
          <w:szCs w:val="24"/>
        </w:rPr>
      </w:pPr>
    </w:p>
    <w:p w:rsidR="00F16381" w:rsidRDefault="00F16381" w:rsidP="00A054C9">
      <w:pPr>
        <w:tabs>
          <w:tab w:val="left" w:pos="720"/>
        </w:tabs>
        <w:spacing w:line="480" w:lineRule="auto"/>
        <w:ind w:left="720" w:hanging="720"/>
        <w:rPr>
          <w:b/>
          <w:bCs/>
          <w:i/>
          <w:iCs/>
          <w:sz w:val="24"/>
          <w:szCs w:val="24"/>
        </w:rPr>
      </w:pPr>
      <w:r>
        <w:rPr>
          <w:b/>
          <w:bCs/>
          <w:i/>
          <w:iCs/>
          <w:sz w:val="24"/>
          <w:szCs w:val="24"/>
        </w:rPr>
        <w:t>Q</w:t>
      </w:r>
      <w:r w:rsidR="00956237">
        <w:rPr>
          <w:b/>
          <w:bCs/>
          <w:i/>
          <w:iCs/>
          <w:sz w:val="24"/>
          <w:szCs w:val="24"/>
        </w:rPr>
        <w:t>1</w:t>
      </w:r>
      <w:r w:rsidR="00BE29B4">
        <w:rPr>
          <w:b/>
          <w:bCs/>
          <w:i/>
          <w:iCs/>
          <w:sz w:val="24"/>
          <w:szCs w:val="24"/>
        </w:rPr>
        <w:t>4</w:t>
      </w:r>
      <w:r>
        <w:rPr>
          <w:b/>
          <w:bCs/>
          <w:sz w:val="24"/>
          <w:szCs w:val="24"/>
        </w:rPr>
        <w:tab/>
      </w:r>
      <w:r>
        <w:rPr>
          <w:b/>
          <w:bCs/>
          <w:i/>
          <w:iCs/>
          <w:sz w:val="24"/>
          <w:szCs w:val="24"/>
        </w:rPr>
        <w:t xml:space="preserve">WHAT IS YOUR </w:t>
      </w:r>
      <w:r w:rsidR="009B0FDB">
        <w:rPr>
          <w:b/>
          <w:bCs/>
          <w:i/>
          <w:iCs/>
          <w:sz w:val="24"/>
          <w:szCs w:val="24"/>
        </w:rPr>
        <w:t>UNDERSTANDING OF</w:t>
      </w:r>
      <w:r>
        <w:rPr>
          <w:b/>
          <w:bCs/>
          <w:i/>
          <w:iCs/>
          <w:sz w:val="24"/>
          <w:szCs w:val="24"/>
        </w:rPr>
        <w:t xml:space="preserve"> THE</w:t>
      </w:r>
      <w:r w:rsidR="00AE6133">
        <w:rPr>
          <w:b/>
          <w:bCs/>
          <w:i/>
          <w:iCs/>
          <w:sz w:val="24"/>
          <w:szCs w:val="24"/>
        </w:rPr>
        <w:t xml:space="preserve"> PUCO</w:t>
      </w:r>
      <w:r>
        <w:rPr>
          <w:b/>
          <w:bCs/>
          <w:i/>
          <w:iCs/>
          <w:sz w:val="24"/>
          <w:szCs w:val="24"/>
        </w:rPr>
        <w:t xml:space="preserve"> STAFF</w:t>
      </w:r>
      <w:r w:rsidR="00AE6133">
        <w:rPr>
          <w:b/>
          <w:bCs/>
          <w:i/>
          <w:iCs/>
          <w:sz w:val="24"/>
          <w:szCs w:val="24"/>
        </w:rPr>
        <w:t>’S</w:t>
      </w:r>
      <w:r>
        <w:rPr>
          <w:b/>
          <w:bCs/>
          <w:i/>
          <w:iCs/>
          <w:sz w:val="24"/>
          <w:szCs w:val="24"/>
        </w:rPr>
        <w:t xml:space="preserve"> AUDIT REPORT?</w:t>
      </w:r>
    </w:p>
    <w:p w:rsidR="005A2329" w:rsidRPr="005A2329" w:rsidRDefault="00F16381" w:rsidP="00A054C9">
      <w:pPr>
        <w:tabs>
          <w:tab w:val="left" w:pos="720"/>
        </w:tabs>
        <w:spacing w:line="480" w:lineRule="auto"/>
        <w:ind w:left="720" w:hanging="720"/>
        <w:rPr>
          <w:bCs/>
          <w:iCs/>
          <w:sz w:val="24"/>
          <w:szCs w:val="24"/>
        </w:rPr>
      </w:pPr>
      <w:r>
        <w:rPr>
          <w:b/>
          <w:bCs/>
          <w:i/>
          <w:iCs/>
          <w:sz w:val="24"/>
          <w:szCs w:val="24"/>
        </w:rPr>
        <w:t>A</w:t>
      </w:r>
      <w:r w:rsidR="00956237">
        <w:rPr>
          <w:b/>
          <w:bCs/>
          <w:i/>
          <w:iCs/>
          <w:sz w:val="24"/>
          <w:szCs w:val="24"/>
        </w:rPr>
        <w:t>1</w:t>
      </w:r>
      <w:r w:rsidR="00BE29B4">
        <w:rPr>
          <w:b/>
          <w:bCs/>
          <w:i/>
          <w:iCs/>
          <w:sz w:val="24"/>
          <w:szCs w:val="24"/>
        </w:rPr>
        <w:t>4</w:t>
      </w:r>
      <w:r>
        <w:rPr>
          <w:b/>
          <w:bCs/>
          <w:i/>
          <w:iCs/>
          <w:sz w:val="24"/>
          <w:szCs w:val="24"/>
        </w:rPr>
        <w:t>.</w:t>
      </w:r>
      <w:r w:rsidR="003532E7">
        <w:rPr>
          <w:b/>
          <w:bCs/>
          <w:i/>
          <w:iCs/>
          <w:sz w:val="24"/>
          <w:szCs w:val="24"/>
        </w:rPr>
        <w:tab/>
      </w:r>
      <w:r w:rsidR="005A2329" w:rsidRPr="005A2329">
        <w:rPr>
          <w:bCs/>
          <w:iCs/>
          <w:sz w:val="24"/>
          <w:szCs w:val="24"/>
        </w:rPr>
        <w:t>It is my understanding th</w:t>
      </w:r>
      <w:r w:rsidR="005A2329">
        <w:rPr>
          <w:bCs/>
          <w:iCs/>
          <w:sz w:val="24"/>
          <w:szCs w:val="24"/>
        </w:rPr>
        <w:t>at the PUCO</w:t>
      </w:r>
      <w:r w:rsidR="005A2329" w:rsidRPr="005A2329">
        <w:rPr>
          <w:bCs/>
          <w:iCs/>
          <w:sz w:val="24"/>
          <w:szCs w:val="24"/>
        </w:rPr>
        <w:t xml:space="preserve"> Staff Audit was a </w:t>
      </w:r>
      <w:r w:rsidR="005A2329">
        <w:rPr>
          <w:bCs/>
          <w:iCs/>
          <w:sz w:val="24"/>
          <w:szCs w:val="24"/>
        </w:rPr>
        <w:t>financial audit that focused on</w:t>
      </w:r>
      <w:r w:rsidR="005A2329" w:rsidRPr="005A2329">
        <w:rPr>
          <w:bCs/>
          <w:iCs/>
          <w:sz w:val="24"/>
          <w:szCs w:val="24"/>
        </w:rPr>
        <w:t xml:space="preserve"> review of accounting issues. </w:t>
      </w:r>
      <w:r w:rsidR="00A9747D">
        <w:rPr>
          <w:bCs/>
          <w:iCs/>
          <w:sz w:val="24"/>
          <w:szCs w:val="24"/>
        </w:rPr>
        <w:t xml:space="preserve"> </w:t>
      </w:r>
      <w:r w:rsidR="005A2329">
        <w:rPr>
          <w:bCs/>
          <w:iCs/>
          <w:sz w:val="24"/>
          <w:szCs w:val="24"/>
        </w:rPr>
        <w:t xml:space="preserve">The Audit was not a Management/Performance (“M/P”) Audit where the focus is on a review of the natural gas purchasing policies and practices of the utility. </w:t>
      </w:r>
      <w:r w:rsidR="00A9747D">
        <w:rPr>
          <w:bCs/>
          <w:iCs/>
          <w:sz w:val="24"/>
          <w:szCs w:val="24"/>
        </w:rPr>
        <w:t xml:space="preserve"> </w:t>
      </w:r>
      <w:r w:rsidR="005A2329">
        <w:rPr>
          <w:bCs/>
          <w:iCs/>
          <w:sz w:val="24"/>
          <w:szCs w:val="24"/>
        </w:rPr>
        <w:t>As a result, the Staff</w:t>
      </w:r>
      <w:r w:rsidR="00A20F42">
        <w:rPr>
          <w:bCs/>
          <w:iCs/>
          <w:sz w:val="24"/>
          <w:szCs w:val="24"/>
        </w:rPr>
        <w:t>’s</w:t>
      </w:r>
      <w:r w:rsidR="005A2329">
        <w:rPr>
          <w:bCs/>
          <w:iCs/>
          <w:sz w:val="24"/>
          <w:szCs w:val="24"/>
        </w:rPr>
        <w:t xml:space="preserve"> </w:t>
      </w:r>
      <w:r w:rsidR="004E6705">
        <w:rPr>
          <w:bCs/>
          <w:iCs/>
          <w:sz w:val="24"/>
          <w:szCs w:val="24"/>
        </w:rPr>
        <w:t>A</w:t>
      </w:r>
      <w:r w:rsidR="005A2329">
        <w:rPr>
          <w:bCs/>
          <w:iCs/>
          <w:sz w:val="24"/>
          <w:szCs w:val="24"/>
        </w:rPr>
        <w:t>udit</w:t>
      </w:r>
      <w:r w:rsidR="00A20F42">
        <w:rPr>
          <w:bCs/>
          <w:iCs/>
          <w:sz w:val="24"/>
          <w:szCs w:val="24"/>
        </w:rPr>
        <w:t xml:space="preserve"> is not exhaustive and</w:t>
      </w:r>
      <w:r w:rsidR="005A2329">
        <w:rPr>
          <w:bCs/>
          <w:iCs/>
          <w:sz w:val="24"/>
          <w:szCs w:val="24"/>
        </w:rPr>
        <w:t xml:space="preserve"> does not address</w:t>
      </w:r>
      <w:r w:rsidR="003767F5">
        <w:rPr>
          <w:bCs/>
          <w:iCs/>
          <w:sz w:val="24"/>
          <w:szCs w:val="24"/>
        </w:rPr>
        <w:t xml:space="preserve"> the prudency of</w:t>
      </w:r>
      <w:r w:rsidR="005A2329">
        <w:rPr>
          <w:bCs/>
          <w:iCs/>
          <w:sz w:val="24"/>
          <w:szCs w:val="24"/>
        </w:rPr>
        <w:t xml:space="preserve"> many of the </w:t>
      </w:r>
      <w:r w:rsidR="00A20F42">
        <w:rPr>
          <w:bCs/>
          <w:iCs/>
          <w:sz w:val="24"/>
          <w:szCs w:val="24"/>
        </w:rPr>
        <w:t xml:space="preserve">Utilities’ </w:t>
      </w:r>
      <w:r w:rsidR="005A2329">
        <w:rPr>
          <w:bCs/>
          <w:iCs/>
          <w:sz w:val="24"/>
          <w:szCs w:val="24"/>
        </w:rPr>
        <w:t>policies and practices</w:t>
      </w:r>
      <w:r w:rsidR="00A20F42">
        <w:rPr>
          <w:bCs/>
          <w:iCs/>
          <w:sz w:val="24"/>
          <w:szCs w:val="24"/>
        </w:rPr>
        <w:t>.</w:t>
      </w:r>
    </w:p>
    <w:p w:rsidR="005A2329" w:rsidRDefault="005A2329" w:rsidP="00A054C9">
      <w:pPr>
        <w:tabs>
          <w:tab w:val="left" w:pos="720"/>
        </w:tabs>
        <w:spacing w:line="480" w:lineRule="auto"/>
        <w:ind w:left="720" w:hanging="720"/>
        <w:rPr>
          <w:bCs/>
          <w:iCs/>
          <w:sz w:val="24"/>
          <w:szCs w:val="24"/>
        </w:rPr>
      </w:pPr>
    </w:p>
    <w:p w:rsidR="007549C4" w:rsidRDefault="00CB6148" w:rsidP="00A9747D">
      <w:pPr>
        <w:tabs>
          <w:tab w:val="left" w:pos="720"/>
        </w:tabs>
        <w:spacing w:line="480" w:lineRule="auto"/>
        <w:ind w:left="720"/>
        <w:rPr>
          <w:bCs/>
          <w:sz w:val="24"/>
          <w:szCs w:val="24"/>
        </w:rPr>
      </w:pPr>
      <w:r>
        <w:rPr>
          <w:bCs/>
          <w:sz w:val="24"/>
          <w:szCs w:val="24"/>
        </w:rPr>
        <w:t xml:space="preserve">As </w:t>
      </w:r>
      <w:r w:rsidR="005A2329">
        <w:rPr>
          <w:bCs/>
          <w:sz w:val="24"/>
          <w:szCs w:val="24"/>
        </w:rPr>
        <w:t>p</w:t>
      </w:r>
      <w:r>
        <w:rPr>
          <w:bCs/>
          <w:sz w:val="24"/>
          <w:szCs w:val="24"/>
        </w:rPr>
        <w:t>a</w:t>
      </w:r>
      <w:r w:rsidR="005A2329">
        <w:rPr>
          <w:bCs/>
          <w:sz w:val="24"/>
          <w:szCs w:val="24"/>
        </w:rPr>
        <w:t>rt of its financial audit and review</w:t>
      </w:r>
      <w:r>
        <w:rPr>
          <w:bCs/>
          <w:sz w:val="24"/>
          <w:szCs w:val="24"/>
        </w:rPr>
        <w:t xml:space="preserve"> of the prior </w:t>
      </w:r>
      <w:r w:rsidR="00655C26">
        <w:rPr>
          <w:bCs/>
          <w:sz w:val="24"/>
          <w:szCs w:val="24"/>
        </w:rPr>
        <w:t>PUCO</w:t>
      </w:r>
      <w:r>
        <w:rPr>
          <w:bCs/>
          <w:sz w:val="24"/>
          <w:szCs w:val="24"/>
        </w:rPr>
        <w:t xml:space="preserve"> orders, </w:t>
      </w:r>
      <w:r w:rsidR="00655C26">
        <w:rPr>
          <w:bCs/>
          <w:sz w:val="24"/>
          <w:szCs w:val="24"/>
        </w:rPr>
        <w:t>S</w:t>
      </w:r>
      <w:r>
        <w:rPr>
          <w:bCs/>
          <w:sz w:val="24"/>
          <w:szCs w:val="24"/>
        </w:rPr>
        <w:t>taff re</w:t>
      </w:r>
      <w:r w:rsidR="00776B6E">
        <w:rPr>
          <w:bCs/>
          <w:sz w:val="24"/>
          <w:szCs w:val="24"/>
        </w:rPr>
        <w:t>-</w:t>
      </w:r>
      <w:r>
        <w:rPr>
          <w:bCs/>
          <w:sz w:val="24"/>
          <w:szCs w:val="24"/>
        </w:rPr>
        <w:t xml:space="preserve">priced local production costs </w:t>
      </w:r>
      <w:r w:rsidR="008A214A">
        <w:rPr>
          <w:bCs/>
          <w:sz w:val="24"/>
          <w:szCs w:val="24"/>
        </w:rPr>
        <w:t>based upon</w:t>
      </w:r>
      <w:r>
        <w:rPr>
          <w:bCs/>
          <w:sz w:val="24"/>
          <w:szCs w:val="24"/>
        </w:rPr>
        <w:t xml:space="preserve"> the costs paid to the local producers and any associated transportation charges</w:t>
      </w:r>
      <w:r w:rsidR="00C44B07">
        <w:rPr>
          <w:bCs/>
          <w:sz w:val="24"/>
          <w:szCs w:val="24"/>
        </w:rPr>
        <w:t>.</w:t>
      </w:r>
      <w:r w:rsidR="00146FF5">
        <w:rPr>
          <w:bCs/>
          <w:sz w:val="24"/>
          <w:szCs w:val="24"/>
        </w:rPr>
        <w:t xml:space="preserve"> </w:t>
      </w:r>
      <w:r w:rsidR="00A9747D">
        <w:rPr>
          <w:bCs/>
          <w:sz w:val="24"/>
          <w:szCs w:val="24"/>
        </w:rPr>
        <w:t xml:space="preserve"> </w:t>
      </w:r>
      <w:r w:rsidR="00146FF5">
        <w:rPr>
          <w:bCs/>
          <w:sz w:val="24"/>
          <w:szCs w:val="24"/>
        </w:rPr>
        <w:t>By re</w:t>
      </w:r>
      <w:r w:rsidR="00776B6E">
        <w:rPr>
          <w:bCs/>
          <w:sz w:val="24"/>
          <w:szCs w:val="24"/>
        </w:rPr>
        <w:t>-</w:t>
      </w:r>
      <w:r w:rsidR="00146FF5">
        <w:rPr>
          <w:bCs/>
          <w:sz w:val="24"/>
          <w:szCs w:val="24"/>
        </w:rPr>
        <w:t xml:space="preserve">pricing the production costs, the Staff </w:t>
      </w:r>
      <w:r w:rsidR="00776B6E">
        <w:rPr>
          <w:bCs/>
          <w:sz w:val="24"/>
          <w:szCs w:val="24"/>
        </w:rPr>
        <w:t>determined</w:t>
      </w:r>
      <w:r w:rsidR="00146FF5">
        <w:rPr>
          <w:bCs/>
          <w:sz w:val="24"/>
          <w:szCs w:val="24"/>
        </w:rPr>
        <w:t xml:space="preserve"> that customers had been charged too much for </w:t>
      </w:r>
      <w:r w:rsidR="003767F5">
        <w:rPr>
          <w:bCs/>
          <w:sz w:val="24"/>
          <w:szCs w:val="24"/>
        </w:rPr>
        <w:t xml:space="preserve">natural </w:t>
      </w:r>
      <w:r w:rsidR="00146FF5">
        <w:rPr>
          <w:bCs/>
          <w:sz w:val="24"/>
          <w:szCs w:val="24"/>
        </w:rPr>
        <w:t>gas</w:t>
      </w:r>
      <w:r w:rsidR="0002391E">
        <w:rPr>
          <w:bCs/>
          <w:sz w:val="24"/>
          <w:szCs w:val="24"/>
        </w:rPr>
        <w:t>.</w:t>
      </w:r>
      <w:r w:rsidR="00A9747D">
        <w:rPr>
          <w:bCs/>
          <w:sz w:val="24"/>
          <w:szCs w:val="24"/>
        </w:rPr>
        <w:t xml:space="preserve"> </w:t>
      </w:r>
      <w:r w:rsidR="00C44B07">
        <w:rPr>
          <w:bCs/>
          <w:sz w:val="24"/>
          <w:szCs w:val="24"/>
        </w:rPr>
        <w:t xml:space="preserve"> </w:t>
      </w:r>
      <w:r w:rsidR="008A214A">
        <w:rPr>
          <w:bCs/>
          <w:sz w:val="24"/>
          <w:szCs w:val="24"/>
        </w:rPr>
        <w:t>In doing so, Staff</w:t>
      </w:r>
      <w:r>
        <w:rPr>
          <w:bCs/>
          <w:sz w:val="24"/>
          <w:szCs w:val="24"/>
        </w:rPr>
        <w:t xml:space="preserve"> eliminated premiums paid to the affiliated marketers </w:t>
      </w:r>
      <w:r w:rsidR="004309FC">
        <w:rPr>
          <w:bCs/>
          <w:sz w:val="24"/>
          <w:szCs w:val="24"/>
        </w:rPr>
        <w:t xml:space="preserve">-- </w:t>
      </w:r>
      <w:r>
        <w:rPr>
          <w:bCs/>
          <w:sz w:val="24"/>
          <w:szCs w:val="24"/>
        </w:rPr>
        <w:t>JDOG</w:t>
      </w:r>
      <w:r w:rsidR="00BF3C2B">
        <w:rPr>
          <w:bCs/>
          <w:sz w:val="24"/>
          <w:szCs w:val="24"/>
        </w:rPr>
        <w:t xml:space="preserve"> Marketing</w:t>
      </w:r>
      <w:r>
        <w:rPr>
          <w:bCs/>
          <w:sz w:val="24"/>
          <w:szCs w:val="24"/>
        </w:rPr>
        <w:t xml:space="preserve"> and </w:t>
      </w:r>
      <w:r w:rsidR="004309FC">
        <w:rPr>
          <w:bCs/>
          <w:sz w:val="24"/>
          <w:szCs w:val="24"/>
        </w:rPr>
        <w:t>GNR --</w:t>
      </w:r>
      <w:r w:rsidR="00623E5A">
        <w:rPr>
          <w:bCs/>
          <w:sz w:val="24"/>
          <w:szCs w:val="24"/>
        </w:rPr>
        <w:t xml:space="preserve"> and </w:t>
      </w:r>
      <w:r w:rsidR="00C44B07">
        <w:rPr>
          <w:bCs/>
          <w:sz w:val="24"/>
          <w:szCs w:val="24"/>
        </w:rPr>
        <w:t xml:space="preserve">eliminated </w:t>
      </w:r>
      <w:r w:rsidR="00623E5A">
        <w:rPr>
          <w:bCs/>
          <w:sz w:val="24"/>
          <w:szCs w:val="24"/>
        </w:rPr>
        <w:t>any Cobra Pipeline Co</w:t>
      </w:r>
      <w:r w:rsidR="00784CD0">
        <w:rPr>
          <w:bCs/>
          <w:sz w:val="24"/>
          <w:szCs w:val="24"/>
        </w:rPr>
        <w:t xml:space="preserve">. (“Cobra”) </w:t>
      </w:r>
      <w:r w:rsidR="00623E5A">
        <w:rPr>
          <w:bCs/>
          <w:sz w:val="24"/>
          <w:szCs w:val="24"/>
        </w:rPr>
        <w:t>processing fees for Northeast</w:t>
      </w:r>
      <w:r>
        <w:rPr>
          <w:bCs/>
          <w:sz w:val="24"/>
          <w:szCs w:val="24"/>
        </w:rPr>
        <w:t>.</w:t>
      </w:r>
      <w:r w:rsidR="00FD189B">
        <w:rPr>
          <w:rStyle w:val="FootnoteReference"/>
          <w:bCs/>
          <w:sz w:val="24"/>
          <w:szCs w:val="24"/>
        </w:rPr>
        <w:footnoteReference w:id="15"/>
      </w:r>
      <w:r w:rsidR="00C44B07">
        <w:rPr>
          <w:bCs/>
          <w:sz w:val="24"/>
          <w:szCs w:val="24"/>
        </w:rPr>
        <w:t xml:space="preserve"> </w:t>
      </w:r>
      <w:r w:rsidR="00A9747D">
        <w:rPr>
          <w:bCs/>
          <w:sz w:val="24"/>
          <w:szCs w:val="24"/>
        </w:rPr>
        <w:t xml:space="preserve"> </w:t>
      </w:r>
      <w:r w:rsidR="0000220E">
        <w:rPr>
          <w:bCs/>
          <w:sz w:val="24"/>
          <w:szCs w:val="24"/>
        </w:rPr>
        <w:t>In addition, the Staff recommended re</w:t>
      </w:r>
      <w:r w:rsidR="00111A19">
        <w:rPr>
          <w:bCs/>
          <w:sz w:val="24"/>
          <w:szCs w:val="24"/>
        </w:rPr>
        <w:t>-</w:t>
      </w:r>
      <w:r w:rsidR="0000220E">
        <w:rPr>
          <w:bCs/>
          <w:sz w:val="24"/>
          <w:szCs w:val="24"/>
        </w:rPr>
        <w:t xml:space="preserve">pricing 9,000 dekatherms (Dth) of natural gas </w:t>
      </w:r>
      <w:r w:rsidR="008A214A">
        <w:rPr>
          <w:bCs/>
          <w:sz w:val="24"/>
          <w:szCs w:val="24"/>
        </w:rPr>
        <w:t xml:space="preserve">that </w:t>
      </w:r>
      <w:r w:rsidR="0000220E">
        <w:rPr>
          <w:bCs/>
          <w:sz w:val="24"/>
          <w:szCs w:val="24"/>
        </w:rPr>
        <w:t>O</w:t>
      </w:r>
      <w:r w:rsidR="00C44B07">
        <w:rPr>
          <w:bCs/>
          <w:sz w:val="24"/>
          <w:szCs w:val="24"/>
        </w:rPr>
        <w:t>rwell purchased for March 2014.</w:t>
      </w:r>
      <w:r w:rsidR="0000220E">
        <w:rPr>
          <w:bCs/>
          <w:sz w:val="24"/>
          <w:szCs w:val="24"/>
        </w:rPr>
        <w:t xml:space="preserve"> Orwell pa</w:t>
      </w:r>
      <w:r w:rsidR="00655C26">
        <w:rPr>
          <w:bCs/>
          <w:sz w:val="24"/>
          <w:szCs w:val="24"/>
        </w:rPr>
        <w:t>id</w:t>
      </w:r>
      <w:r w:rsidR="0000220E">
        <w:rPr>
          <w:bCs/>
          <w:sz w:val="24"/>
          <w:szCs w:val="24"/>
        </w:rPr>
        <w:t xml:space="preserve"> $56.00 per Dth for the gas</w:t>
      </w:r>
      <w:r w:rsidR="004309FC">
        <w:rPr>
          <w:bCs/>
          <w:sz w:val="24"/>
          <w:szCs w:val="24"/>
        </w:rPr>
        <w:t>; however,</w:t>
      </w:r>
      <w:r w:rsidR="0000220E">
        <w:rPr>
          <w:bCs/>
          <w:sz w:val="24"/>
          <w:szCs w:val="24"/>
        </w:rPr>
        <w:t xml:space="preserve"> Staff recommended a price of $6.72 per Dth</w:t>
      </w:r>
      <w:r w:rsidR="007549C4">
        <w:rPr>
          <w:bCs/>
          <w:sz w:val="24"/>
          <w:szCs w:val="24"/>
        </w:rPr>
        <w:t>,</w:t>
      </w:r>
      <w:r w:rsidR="0000220E">
        <w:rPr>
          <w:bCs/>
          <w:sz w:val="24"/>
          <w:szCs w:val="24"/>
        </w:rPr>
        <w:t xml:space="preserve"> because it believe</w:t>
      </w:r>
      <w:r w:rsidR="00655C26">
        <w:rPr>
          <w:bCs/>
          <w:sz w:val="24"/>
          <w:szCs w:val="24"/>
        </w:rPr>
        <w:t>d</w:t>
      </w:r>
      <w:r w:rsidR="0000220E">
        <w:rPr>
          <w:bCs/>
          <w:sz w:val="24"/>
          <w:szCs w:val="24"/>
        </w:rPr>
        <w:t xml:space="preserve"> lower priced gas was available.</w:t>
      </w:r>
      <w:r w:rsidR="007549C4">
        <w:rPr>
          <w:rStyle w:val="FootnoteReference"/>
          <w:bCs/>
          <w:sz w:val="24"/>
          <w:szCs w:val="24"/>
        </w:rPr>
        <w:footnoteReference w:id="16"/>
      </w:r>
    </w:p>
    <w:p w:rsidR="00C44B07" w:rsidRDefault="00C44B07" w:rsidP="00A054C9">
      <w:pPr>
        <w:tabs>
          <w:tab w:val="left" w:pos="720"/>
        </w:tabs>
        <w:spacing w:line="480" w:lineRule="auto"/>
        <w:ind w:left="720" w:hanging="720"/>
        <w:rPr>
          <w:bCs/>
          <w:sz w:val="24"/>
          <w:szCs w:val="24"/>
        </w:rPr>
      </w:pPr>
    </w:p>
    <w:p w:rsidR="00F3002E" w:rsidRDefault="00B33546" w:rsidP="00A054C9">
      <w:pPr>
        <w:tabs>
          <w:tab w:val="left" w:pos="720"/>
        </w:tabs>
        <w:spacing w:line="480" w:lineRule="auto"/>
        <w:ind w:left="720"/>
        <w:rPr>
          <w:bCs/>
          <w:sz w:val="24"/>
          <w:szCs w:val="24"/>
        </w:rPr>
      </w:pPr>
      <w:r>
        <w:rPr>
          <w:bCs/>
          <w:sz w:val="24"/>
          <w:szCs w:val="24"/>
        </w:rPr>
        <w:t>Specifically, t</w:t>
      </w:r>
      <w:r w:rsidR="00773AED">
        <w:rPr>
          <w:bCs/>
          <w:sz w:val="24"/>
          <w:szCs w:val="24"/>
        </w:rPr>
        <w:t xml:space="preserve">he </w:t>
      </w:r>
      <w:r w:rsidR="00985188">
        <w:rPr>
          <w:bCs/>
          <w:sz w:val="24"/>
          <w:szCs w:val="24"/>
        </w:rPr>
        <w:t>Staff recommend</w:t>
      </w:r>
      <w:r w:rsidR="00321CCA">
        <w:rPr>
          <w:bCs/>
          <w:sz w:val="24"/>
          <w:szCs w:val="24"/>
        </w:rPr>
        <w:t>ed</w:t>
      </w:r>
      <w:r>
        <w:rPr>
          <w:bCs/>
          <w:sz w:val="24"/>
          <w:szCs w:val="24"/>
        </w:rPr>
        <w:t xml:space="preserve"> </w:t>
      </w:r>
      <w:r w:rsidR="00146FF5">
        <w:rPr>
          <w:bCs/>
          <w:sz w:val="24"/>
          <w:szCs w:val="24"/>
        </w:rPr>
        <w:t xml:space="preserve">refunding </w:t>
      </w:r>
      <w:r w:rsidR="00985188">
        <w:rPr>
          <w:bCs/>
          <w:sz w:val="24"/>
          <w:szCs w:val="24"/>
        </w:rPr>
        <w:t>$</w:t>
      </w:r>
      <w:r w:rsidR="00153F1A">
        <w:rPr>
          <w:bCs/>
          <w:sz w:val="24"/>
          <w:szCs w:val="24"/>
        </w:rPr>
        <w:t>1,077,901</w:t>
      </w:r>
      <w:r w:rsidR="00F3002E">
        <w:rPr>
          <w:bCs/>
          <w:sz w:val="24"/>
          <w:szCs w:val="24"/>
        </w:rPr>
        <w:t xml:space="preserve"> </w:t>
      </w:r>
      <w:r w:rsidR="00321CCA">
        <w:rPr>
          <w:bCs/>
          <w:sz w:val="24"/>
          <w:szCs w:val="24"/>
        </w:rPr>
        <w:t>for</w:t>
      </w:r>
      <w:r w:rsidR="00111A19">
        <w:rPr>
          <w:bCs/>
          <w:sz w:val="24"/>
          <w:szCs w:val="24"/>
        </w:rPr>
        <w:t xml:space="preserve"> </w:t>
      </w:r>
      <w:r w:rsidR="00116E1B">
        <w:rPr>
          <w:bCs/>
          <w:sz w:val="24"/>
          <w:szCs w:val="24"/>
        </w:rPr>
        <w:t>Northeast’s customers</w:t>
      </w:r>
      <w:r w:rsidR="00774B2E">
        <w:rPr>
          <w:bCs/>
          <w:sz w:val="24"/>
          <w:szCs w:val="24"/>
        </w:rPr>
        <w:t xml:space="preserve">. </w:t>
      </w:r>
      <w:r w:rsidR="00A9747D">
        <w:rPr>
          <w:bCs/>
          <w:sz w:val="24"/>
          <w:szCs w:val="24"/>
        </w:rPr>
        <w:t xml:space="preserve"> </w:t>
      </w:r>
      <w:r w:rsidR="00111A19">
        <w:rPr>
          <w:bCs/>
          <w:sz w:val="24"/>
          <w:szCs w:val="24"/>
        </w:rPr>
        <w:t>In addition,</w:t>
      </w:r>
      <w:r>
        <w:rPr>
          <w:bCs/>
          <w:sz w:val="24"/>
          <w:szCs w:val="24"/>
        </w:rPr>
        <w:t xml:space="preserve"> </w:t>
      </w:r>
      <w:r w:rsidR="00111A19">
        <w:rPr>
          <w:bCs/>
          <w:sz w:val="24"/>
          <w:szCs w:val="24"/>
        </w:rPr>
        <w:t>Staff recommended</w:t>
      </w:r>
      <w:r w:rsidR="00985188">
        <w:rPr>
          <w:bCs/>
          <w:sz w:val="24"/>
          <w:szCs w:val="24"/>
        </w:rPr>
        <w:t xml:space="preserve"> a</w:t>
      </w:r>
      <w:r>
        <w:rPr>
          <w:bCs/>
          <w:sz w:val="24"/>
          <w:szCs w:val="24"/>
        </w:rPr>
        <w:t xml:space="preserve">n upward </w:t>
      </w:r>
      <w:r w:rsidR="00985188">
        <w:rPr>
          <w:bCs/>
          <w:sz w:val="24"/>
          <w:szCs w:val="24"/>
        </w:rPr>
        <w:t xml:space="preserve">adjustment </w:t>
      </w:r>
      <w:r>
        <w:rPr>
          <w:bCs/>
          <w:sz w:val="24"/>
          <w:szCs w:val="24"/>
        </w:rPr>
        <w:t xml:space="preserve">of $43,470 </w:t>
      </w:r>
      <w:r w:rsidR="00985188">
        <w:rPr>
          <w:bCs/>
          <w:sz w:val="24"/>
          <w:szCs w:val="24"/>
        </w:rPr>
        <w:t>for Orwell</w:t>
      </w:r>
      <w:r w:rsidR="00321CCA">
        <w:rPr>
          <w:bCs/>
          <w:sz w:val="24"/>
          <w:szCs w:val="24"/>
        </w:rPr>
        <w:t>, increasing GCR rates for Orwell’s</w:t>
      </w:r>
      <w:r w:rsidR="00985188">
        <w:rPr>
          <w:bCs/>
          <w:sz w:val="24"/>
          <w:szCs w:val="24"/>
        </w:rPr>
        <w:t xml:space="preserve"> </w:t>
      </w:r>
      <w:r w:rsidR="00321CCA">
        <w:rPr>
          <w:bCs/>
          <w:sz w:val="24"/>
          <w:szCs w:val="24"/>
        </w:rPr>
        <w:t>customers.</w:t>
      </w:r>
      <w:r>
        <w:rPr>
          <w:bCs/>
          <w:sz w:val="24"/>
          <w:szCs w:val="24"/>
        </w:rPr>
        <w:t xml:space="preserve"> </w:t>
      </w:r>
      <w:r w:rsidR="00A9747D">
        <w:rPr>
          <w:bCs/>
          <w:sz w:val="24"/>
          <w:szCs w:val="24"/>
        </w:rPr>
        <w:t xml:space="preserve"> </w:t>
      </w:r>
      <w:r w:rsidR="00321CCA">
        <w:rPr>
          <w:bCs/>
          <w:sz w:val="24"/>
          <w:szCs w:val="24"/>
        </w:rPr>
        <w:t>F</w:t>
      </w:r>
      <w:r w:rsidR="004309FC">
        <w:rPr>
          <w:bCs/>
          <w:sz w:val="24"/>
          <w:szCs w:val="24"/>
        </w:rPr>
        <w:t>inally</w:t>
      </w:r>
      <w:r w:rsidR="00321CCA">
        <w:rPr>
          <w:bCs/>
          <w:sz w:val="24"/>
          <w:szCs w:val="24"/>
        </w:rPr>
        <w:t>, Staff recommended refunding</w:t>
      </w:r>
      <w:r w:rsidR="00A9747D">
        <w:rPr>
          <w:bCs/>
          <w:sz w:val="24"/>
          <w:szCs w:val="24"/>
        </w:rPr>
        <w:t xml:space="preserve"> </w:t>
      </w:r>
      <w:r>
        <w:rPr>
          <w:bCs/>
          <w:sz w:val="24"/>
          <w:szCs w:val="24"/>
        </w:rPr>
        <w:t xml:space="preserve">$4,960 </w:t>
      </w:r>
      <w:r w:rsidR="00321CCA">
        <w:rPr>
          <w:bCs/>
          <w:sz w:val="24"/>
          <w:szCs w:val="24"/>
        </w:rPr>
        <w:t>for</w:t>
      </w:r>
      <w:r>
        <w:rPr>
          <w:bCs/>
          <w:sz w:val="24"/>
          <w:szCs w:val="24"/>
        </w:rPr>
        <w:t xml:space="preserve"> Brainard’s</w:t>
      </w:r>
      <w:r w:rsidR="00321CCA">
        <w:rPr>
          <w:bCs/>
          <w:sz w:val="24"/>
          <w:szCs w:val="24"/>
        </w:rPr>
        <w:t xml:space="preserve"> </w:t>
      </w:r>
      <w:r w:rsidR="00153F1A">
        <w:rPr>
          <w:bCs/>
          <w:sz w:val="24"/>
          <w:szCs w:val="24"/>
        </w:rPr>
        <w:t>customers</w:t>
      </w:r>
      <w:r w:rsidR="001D73CC">
        <w:rPr>
          <w:bCs/>
          <w:sz w:val="24"/>
          <w:szCs w:val="24"/>
        </w:rPr>
        <w:t>.</w:t>
      </w:r>
      <w:r w:rsidR="006D424F">
        <w:rPr>
          <w:rStyle w:val="FootnoteReference"/>
          <w:bCs/>
          <w:sz w:val="24"/>
          <w:szCs w:val="24"/>
        </w:rPr>
        <w:footnoteReference w:id="17"/>
      </w:r>
    </w:p>
    <w:p w:rsidR="00F3002E" w:rsidRDefault="00F3002E" w:rsidP="00A054C9">
      <w:pPr>
        <w:tabs>
          <w:tab w:val="left" w:pos="720"/>
        </w:tabs>
        <w:spacing w:line="480" w:lineRule="auto"/>
        <w:ind w:left="720"/>
        <w:rPr>
          <w:bCs/>
          <w:sz w:val="24"/>
          <w:szCs w:val="24"/>
        </w:rPr>
      </w:pPr>
    </w:p>
    <w:p w:rsidR="00A86DE1" w:rsidRDefault="001D73CC" w:rsidP="00A86DE1">
      <w:pPr>
        <w:tabs>
          <w:tab w:val="left" w:pos="720"/>
        </w:tabs>
        <w:spacing w:line="480" w:lineRule="auto"/>
        <w:ind w:left="720"/>
        <w:rPr>
          <w:b/>
          <w:sz w:val="24"/>
          <w:szCs w:val="24"/>
        </w:rPr>
      </w:pPr>
      <w:r>
        <w:rPr>
          <w:bCs/>
          <w:sz w:val="24"/>
          <w:szCs w:val="24"/>
        </w:rPr>
        <w:t>I agree with</w:t>
      </w:r>
      <w:r w:rsidR="00840E67">
        <w:rPr>
          <w:bCs/>
          <w:sz w:val="24"/>
          <w:szCs w:val="24"/>
        </w:rPr>
        <w:t xml:space="preserve"> the </w:t>
      </w:r>
      <w:r w:rsidR="00C275E6">
        <w:rPr>
          <w:bCs/>
          <w:sz w:val="24"/>
          <w:szCs w:val="24"/>
        </w:rPr>
        <w:t xml:space="preserve">reasoning for </w:t>
      </w:r>
      <w:r w:rsidR="00840E67">
        <w:rPr>
          <w:bCs/>
          <w:sz w:val="24"/>
          <w:szCs w:val="24"/>
        </w:rPr>
        <w:t xml:space="preserve">the </w:t>
      </w:r>
      <w:r w:rsidR="00473637">
        <w:rPr>
          <w:bCs/>
          <w:sz w:val="24"/>
          <w:szCs w:val="24"/>
        </w:rPr>
        <w:t xml:space="preserve">Staff’s </w:t>
      </w:r>
      <w:r w:rsidR="00840E67">
        <w:rPr>
          <w:bCs/>
          <w:sz w:val="24"/>
          <w:szCs w:val="24"/>
        </w:rPr>
        <w:t>recommended adjustments</w:t>
      </w:r>
      <w:r w:rsidR="000820F2">
        <w:rPr>
          <w:bCs/>
          <w:sz w:val="24"/>
          <w:szCs w:val="24"/>
        </w:rPr>
        <w:t>.</w:t>
      </w:r>
      <w:r w:rsidR="00566E46">
        <w:rPr>
          <w:bCs/>
          <w:sz w:val="24"/>
          <w:szCs w:val="24"/>
        </w:rPr>
        <w:t xml:space="preserve">  But I used a different </w:t>
      </w:r>
      <w:r w:rsidR="00725068">
        <w:rPr>
          <w:bCs/>
          <w:sz w:val="24"/>
          <w:szCs w:val="24"/>
        </w:rPr>
        <w:t xml:space="preserve">methodology to reprice the over-priced local production. </w:t>
      </w:r>
      <w:r w:rsidR="00A86DE1">
        <w:rPr>
          <w:bCs/>
          <w:sz w:val="24"/>
          <w:szCs w:val="24"/>
        </w:rPr>
        <w:t xml:space="preserve"> </w:t>
      </w:r>
      <w:r w:rsidR="00AD043A">
        <w:rPr>
          <w:bCs/>
          <w:sz w:val="24"/>
          <w:szCs w:val="24"/>
        </w:rPr>
        <w:t>In addition, m</w:t>
      </w:r>
      <w:r w:rsidR="00725068">
        <w:rPr>
          <w:bCs/>
          <w:sz w:val="24"/>
          <w:szCs w:val="24"/>
        </w:rPr>
        <w:t xml:space="preserve">y re-pricing </w:t>
      </w:r>
      <w:r w:rsidR="00FE69E1">
        <w:rPr>
          <w:bCs/>
          <w:sz w:val="24"/>
          <w:szCs w:val="24"/>
        </w:rPr>
        <w:t xml:space="preserve">of </w:t>
      </w:r>
      <w:r w:rsidR="00153F1A">
        <w:rPr>
          <w:bCs/>
          <w:sz w:val="24"/>
          <w:szCs w:val="24"/>
        </w:rPr>
        <w:t>Orwell’s interstate gas purchases on OTP</w:t>
      </w:r>
      <w:r w:rsidR="00EF495A">
        <w:rPr>
          <w:bCs/>
          <w:sz w:val="24"/>
          <w:szCs w:val="24"/>
        </w:rPr>
        <w:t xml:space="preserve"> </w:t>
      </w:r>
      <w:r w:rsidR="00FE69E1">
        <w:rPr>
          <w:bCs/>
          <w:sz w:val="24"/>
          <w:szCs w:val="24"/>
        </w:rPr>
        <w:t>cover</w:t>
      </w:r>
      <w:r w:rsidR="00725068">
        <w:rPr>
          <w:bCs/>
          <w:sz w:val="24"/>
          <w:szCs w:val="24"/>
        </w:rPr>
        <w:t>s</w:t>
      </w:r>
      <w:r w:rsidR="00FE69E1">
        <w:rPr>
          <w:bCs/>
          <w:sz w:val="24"/>
          <w:szCs w:val="24"/>
        </w:rPr>
        <w:t xml:space="preserve"> the entire audit period</w:t>
      </w:r>
      <w:r w:rsidR="00566E46">
        <w:rPr>
          <w:bCs/>
          <w:sz w:val="24"/>
          <w:szCs w:val="24"/>
        </w:rPr>
        <w:t xml:space="preserve">. </w:t>
      </w:r>
      <w:r w:rsidR="00A86DE1">
        <w:rPr>
          <w:bCs/>
          <w:sz w:val="24"/>
          <w:szCs w:val="24"/>
        </w:rPr>
        <w:t xml:space="preserve"> </w:t>
      </w:r>
      <w:r w:rsidR="00566E46">
        <w:rPr>
          <w:bCs/>
          <w:sz w:val="24"/>
          <w:szCs w:val="24"/>
        </w:rPr>
        <w:t>Staff</w:t>
      </w:r>
      <w:r w:rsidR="00725068">
        <w:rPr>
          <w:bCs/>
          <w:sz w:val="24"/>
          <w:szCs w:val="24"/>
        </w:rPr>
        <w:t xml:space="preserve">’s re-pricing only accounts </w:t>
      </w:r>
      <w:r w:rsidR="00AA6CFC">
        <w:rPr>
          <w:bCs/>
          <w:sz w:val="24"/>
          <w:szCs w:val="24"/>
        </w:rPr>
        <w:t xml:space="preserve">for </w:t>
      </w:r>
      <w:r w:rsidR="000606D5">
        <w:rPr>
          <w:bCs/>
          <w:sz w:val="24"/>
          <w:szCs w:val="24"/>
        </w:rPr>
        <w:t xml:space="preserve">a few of the </w:t>
      </w:r>
      <w:r w:rsidR="00FE69E1">
        <w:rPr>
          <w:bCs/>
          <w:sz w:val="24"/>
          <w:szCs w:val="24"/>
        </w:rPr>
        <w:t>most egregious</w:t>
      </w:r>
      <w:r w:rsidR="00281580">
        <w:rPr>
          <w:bCs/>
          <w:sz w:val="24"/>
          <w:szCs w:val="24"/>
        </w:rPr>
        <w:t xml:space="preserve"> and costly </w:t>
      </w:r>
      <w:r w:rsidR="00FE69E1">
        <w:rPr>
          <w:bCs/>
          <w:sz w:val="24"/>
          <w:szCs w:val="24"/>
        </w:rPr>
        <w:t>day</w:t>
      </w:r>
      <w:r w:rsidR="00C44B07">
        <w:rPr>
          <w:bCs/>
          <w:sz w:val="24"/>
          <w:szCs w:val="24"/>
        </w:rPr>
        <w:t>s</w:t>
      </w:r>
      <w:r w:rsidR="00FE69E1">
        <w:rPr>
          <w:bCs/>
          <w:sz w:val="24"/>
          <w:szCs w:val="24"/>
        </w:rPr>
        <w:t xml:space="preserve"> in March 2014</w:t>
      </w:r>
      <w:r w:rsidR="00ED62F9">
        <w:rPr>
          <w:bCs/>
          <w:sz w:val="24"/>
          <w:szCs w:val="24"/>
        </w:rPr>
        <w:t>,</w:t>
      </w:r>
      <w:r w:rsidR="00E82AA5">
        <w:rPr>
          <w:rStyle w:val="FootnoteReference"/>
          <w:bCs/>
          <w:sz w:val="24"/>
          <w:szCs w:val="24"/>
        </w:rPr>
        <w:footnoteReference w:id="18"/>
      </w:r>
      <w:r w:rsidR="00FE69E1">
        <w:rPr>
          <w:bCs/>
          <w:sz w:val="24"/>
          <w:szCs w:val="24"/>
        </w:rPr>
        <w:t xml:space="preserve"> when Orwell paid $56 per Dth for 9,000 Dth of gas</w:t>
      </w:r>
      <w:r w:rsidR="00153F1A">
        <w:rPr>
          <w:bCs/>
          <w:sz w:val="24"/>
          <w:szCs w:val="24"/>
        </w:rPr>
        <w:t>.</w:t>
      </w:r>
      <w:r w:rsidR="00A86DE1">
        <w:br w:type="page"/>
      </w:r>
    </w:p>
    <w:p w:rsidR="00A2248A" w:rsidRDefault="00A2248A" w:rsidP="00A054C9">
      <w:pPr>
        <w:pStyle w:val="Heading1"/>
      </w:pPr>
      <w:bookmarkStart w:id="30" w:name="_Toc425427770"/>
      <w:r w:rsidRPr="00A2248A">
        <w:t>VI.</w:t>
      </w:r>
      <w:r w:rsidRPr="00A2248A">
        <w:tab/>
      </w:r>
      <w:r w:rsidR="00EC0708" w:rsidRPr="007348F0">
        <w:t xml:space="preserve">LOCAL PRODUCTION GAS COSTS </w:t>
      </w:r>
      <w:r w:rsidR="005C2B4F">
        <w:t xml:space="preserve">COMPARED TO </w:t>
      </w:r>
      <w:r w:rsidR="00EC0708" w:rsidRPr="007348F0">
        <w:t>INTERSTATE GAS COSTS FOR NORTHEAST</w:t>
      </w:r>
      <w:r w:rsidR="00EC0708">
        <w:t xml:space="preserve"> AND ORWELL</w:t>
      </w:r>
      <w:bookmarkEnd w:id="30"/>
    </w:p>
    <w:p w:rsidR="00EC0708" w:rsidRDefault="00EC0708" w:rsidP="00A054C9">
      <w:pPr>
        <w:spacing w:line="480" w:lineRule="auto"/>
      </w:pPr>
    </w:p>
    <w:p w:rsidR="001E3386" w:rsidRPr="007348F0" w:rsidRDefault="007348F0" w:rsidP="00A054C9">
      <w:pPr>
        <w:tabs>
          <w:tab w:val="left" w:pos="720"/>
        </w:tabs>
        <w:spacing w:line="480" w:lineRule="auto"/>
        <w:ind w:left="720" w:hanging="720"/>
        <w:rPr>
          <w:b/>
          <w:bCs/>
          <w:i/>
          <w:sz w:val="24"/>
          <w:szCs w:val="24"/>
        </w:rPr>
      </w:pPr>
      <w:r w:rsidRPr="007348F0">
        <w:rPr>
          <w:b/>
          <w:bCs/>
          <w:i/>
          <w:sz w:val="24"/>
          <w:szCs w:val="24"/>
        </w:rPr>
        <w:t>Q</w:t>
      </w:r>
      <w:r w:rsidR="00EC0708">
        <w:rPr>
          <w:b/>
          <w:bCs/>
          <w:i/>
          <w:sz w:val="24"/>
          <w:szCs w:val="24"/>
        </w:rPr>
        <w:t>15</w:t>
      </w:r>
      <w:r w:rsidRPr="007348F0">
        <w:rPr>
          <w:b/>
          <w:bCs/>
          <w:i/>
          <w:sz w:val="24"/>
          <w:szCs w:val="24"/>
        </w:rPr>
        <w:t>.</w:t>
      </w:r>
      <w:r w:rsidRPr="007348F0">
        <w:rPr>
          <w:b/>
          <w:bCs/>
          <w:i/>
          <w:sz w:val="24"/>
          <w:szCs w:val="24"/>
        </w:rPr>
        <w:tab/>
      </w:r>
      <w:r w:rsidR="00AD7366">
        <w:rPr>
          <w:b/>
          <w:bCs/>
          <w:i/>
          <w:sz w:val="24"/>
          <w:szCs w:val="24"/>
        </w:rPr>
        <w:t xml:space="preserve">IS LOCAL PRODUCTION GAS </w:t>
      </w:r>
      <w:r w:rsidR="008F6BB2">
        <w:rPr>
          <w:b/>
          <w:bCs/>
          <w:i/>
          <w:sz w:val="24"/>
          <w:szCs w:val="24"/>
        </w:rPr>
        <w:t xml:space="preserve">IN OHIO </w:t>
      </w:r>
      <w:r w:rsidR="00AD7366">
        <w:rPr>
          <w:b/>
          <w:bCs/>
          <w:i/>
          <w:sz w:val="24"/>
          <w:szCs w:val="24"/>
        </w:rPr>
        <w:t xml:space="preserve">NORMALLY LESS EXPENSIVE TO PURCHASE AND DELIVER </w:t>
      </w:r>
      <w:r w:rsidR="001B1298">
        <w:rPr>
          <w:b/>
          <w:bCs/>
          <w:i/>
          <w:sz w:val="24"/>
          <w:szCs w:val="24"/>
        </w:rPr>
        <w:t xml:space="preserve">FOR </w:t>
      </w:r>
      <w:r w:rsidR="004D6323">
        <w:rPr>
          <w:b/>
          <w:bCs/>
          <w:i/>
          <w:sz w:val="24"/>
          <w:szCs w:val="24"/>
        </w:rPr>
        <w:t xml:space="preserve">LOCAL DISTRIBUTION </w:t>
      </w:r>
      <w:r w:rsidR="001B1298">
        <w:rPr>
          <w:b/>
          <w:bCs/>
          <w:i/>
          <w:sz w:val="24"/>
          <w:szCs w:val="24"/>
        </w:rPr>
        <w:t xml:space="preserve">GAS </w:t>
      </w:r>
      <w:r w:rsidR="004D6323">
        <w:rPr>
          <w:b/>
          <w:bCs/>
          <w:i/>
          <w:sz w:val="24"/>
          <w:szCs w:val="24"/>
        </w:rPr>
        <w:t>COMPANIES</w:t>
      </w:r>
      <w:r w:rsidR="001B1298">
        <w:rPr>
          <w:b/>
          <w:bCs/>
          <w:i/>
          <w:sz w:val="24"/>
          <w:szCs w:val="24"/>
        </w:rPr>
        <w:t xml:space="preserve"> </w:t>
      </w:r>
      <w:r w:rsidR="008F6BB2">
        <w:rPr>
          <w:b/>
          <w:bCs/>
          <w:i/>
          <w:sz w:val="24"/>
          <w:szCs w:val="24"/>
        </w:rPr>
        <w:t>THAN GAS PURCHASED FROM AN INTERSTATE PIPELINE?</w:t>
      </w:r>
    </w:p>
    <w:p w:rsidR="00E31137" w:rsidRDefault="00AD7366" w:rsidP="00A054C9">
      <w:pPr>
        <w:tabs>
          <w:tab w:val="left" w:pos="720"/>
        </w:tabs>
        <w:spacing w:line="480" w:lineRule="auto"/>
        <w:ind w:left="720" w:hanging="720"/>
        <w:rPr>
          <w:bCs/>
          <w:sz w:val="24"/>
          <w:szCs w:val="24"/>
        </w:rPr>
      </w:pPr>
      <w:r>
        <w:rPr>
          <w:b/>
          <w:bCs/>
          <w:i/>
          <w:sz w:val="24"/>
          <w:szCs w:val="24"/>
        </w:rPr>
        <w:t>A</w:t>
      </w:r>
      <w:r w:rsidR="003532E7">
        <w:rPr>
          <w:b/>
          <w:bCs/>
          <w:i/>
          <w:sz w:val="24"/>
          <w:szCs w:val="24"/>
        </w:rPr>
        <w:t>15</w:t>
      </w:r>
      <w:r>
        <w:rPr>
          <w:b/>
          <w:bCs/>
          <w:i/>
          <w:sz w:val="24"/>
          <w:szCs w:val="24"/>
        </w:rPr>
        <w:t>.</w:t>
      </w:r>
      <w:r>
        <w:rPr>
          <w:b/>
          <w:bCs/>
          <w:i/>
          <w:sz w:val="24"/>
          <w:szCs w:val="24"/>
        </w:rPr>
        <w:tab/>
      </w:r>
      <w:r w:rsidR="00395285">
        <w:rPr>
          <w:bCs/>
          <w:sz w:val="24"/>
          <w:szCs w:val="24"/>
        </w:rPr>
        <w:t>Yes</w:t>
      </w:r>
      <w:r w:rsidR="005A2329">
        <w:rPr>
          <w:bCs/>
          <w:sz w:val="24"/>
          <w:szCs w:val="24"/>
        </w:rPr>
        <w:t>.</w:t>
      </w:r>
      <w:r w:rsidR="00395285">
        <w:rPr>
          <w:bCs/>
          <w:sz w:val="24"/>
          <w:szCs w:val="24"/>
        </w:rPr>
        <w:t xml:space="preserve"> </w:t>
      </w:r>
      <w:r w:rsidR="009D727F">
        <w:rPr>
          <w:bCs/>
          <w:sz w:val="24"/>
          <w:szCs w:val="24"/>
        </w:rPr>
        <w:t xml:space="preserve"> </w:t>
      </w:r>
      <w:r w:rsidR="005A2329">
        <w:rPr>
          <w:bCs/>
          <w:sz w:val="24"/>
          <w:szCs w:val="24"/>
        </w:rPr>
        <w:t>H</w:t>
      </w:r>
      <w:r w:rsidR="00395285">
        <w:rPr>
          <w:bCs/>
          <w:sz w:val="24"/>
          <w:szCs w:val="24"/>
        </w:rPr>
        <w:t>istorically</w:t>
      </w:r>
      <w:r w:rsidR="00321CCA">
        <w:rPr>
          <w:bCs/>
          <w:sz w:val="24"/>
          <w:szCs w:val="24"/>
        </w:rPr>
        <w:t>,</w:t>
      </w:r>
      <w:r w:rsidR="00395285">
        <w:rPr>
          <w:bCs/>
          <w:sz w:val="24"/>
          <w:szCs w:val="24"/>
        </w:rPr>
        <w:t xml:space="preserve"> interstate gas purchases have been more expensive than l</w:t>
      </w:r>
      <w:r w:rsidR="00C44B07">
        <w:rPr>
          <w:bCs/>
          <w:sz w:val="24"/>
          <w:szCs w:val="24"/>
        </w:rPr>
        <w:t xml:space="preserve">ocal gas production purchases. </w:t>
      </w:r>
      <w:r w:rsidR="009D727F">
        <w:rPr>
          <w:bCs/>
          <w:sz w:val="24"/>
          <w:szCs w:val="24"/>
        </w:rPr>
        <w:t xml:space="preserve"> </w:t>
      </w:r>
      <w:r w:rsidR="008C74DB">
        <w:rPr>
          <w:bCs/>
          <w:sz w:val="24"/>
          <w:szCs w:val="24"/>
        </w:rPr>
        <w:t xml:space="preserve">The higher cost for interstate gas is often attributed to the fixed demand cost </w:t>
      </w:r>
      <w:r w:rsidR="00BD5056">
        <w:rPr>
          <w:bCs/>
          <w:sz w:val="24"/>
          <w:szCs w:val="24"/>
        </w:rPr>
        <w:t xml:space="preserve">for interstate transportation </w:t>
      </w:r>
      <w:r w:rsidR="008C74DB">
        <w:rPr>
          <w:bCs/>
          <w:sz w:val="24"/>
          <w:szCs w:val="24"/>
        </w:rPr>
        <w:t>associat</w:t>
      </w:r>
      <w:r w:rsidR="00C44B07">
        <w:rPr>
          <w:bCs/>
          <w:sz w:val="24"/>
          <w:szCs w:val="24"/>
        </w:rPr>
        <w:t xml:space="preserve">ed with interstate gas supply. </w:t>
      </w:r>
      <w:r w:rsidR="009D727F">
        <w:rPr>
          <w:bCs/>
          <w:sz w:val="24"/>
          <w:szCs w:val="24"/>
        </w:rPr>
        <w:t xml:space="preserve"> </w:t>
      </w:r>
      <w:r w:rsidR="008C74DB">
        <w:rPr>
          <w:bCs/>
          <w:sz w:val="24"/>
          <w:szCs w:val="24"/>
        </w:rPr>
        <w:t>In addition</w:t>
      </w:r>
      <w:r w:rsidR="00844CB3">
        <w:rPr>
          <w:bCs/>
          <w:sz w:val="24"/>
          <w:szCs w:val="24"/>
        </w:rPr>
        <w:t>,</w:t>
      </w:r>
      <w:r w:rsidR="008C74DB">
        <w:rPr>
          <w:bCs/>
          <w:sz w:val="24"/>
          <w:szCs w:val="24"/>
        </w:rPr>
        <w:t xml:space="preserve"> </w:t>
      </w:r>
      <w:r w:rsidR="00D67641">
        <w:rPr>
          <w:bCs/>
          <w:sz w:val="24"/>
          <w:szCs w:val="24"/>
        </w:rPr>
        <w:t>m</w:t>
      </w:r>
      <w:r w:rsidR="00C26F99">
        <w:rPr>
          <w:bCs/>
          <w:sz w:val="24"/>
          <w:szCs w:val="24"/>
        </w:rPr>
        <w:t>any</w:t>
      </w:r>
      <w:r w:rsidR="008C74DB">
        <w:rPr>
          <w:bCs/>
          <w:sz w:val="24"/>
          <w:szCs w:val="24"/>
        </w:rPr>
        <w:t xml:space="preserve"> interstate gas co</w:t>
      </w:r>
      <w:r w:rsidR="00C26F99">
        <w:rPr>
          <w:bCs/>
          <w:sz w:val="24"/>
          <w:szCs w:val="24"/>
        </w:rPr>
        <w:t>ntracts</w:t>
      </w:r>
      <w:r w:rsidR="008C74DB">
        <w:rPr>
          <w:bCs/>
          <w:sz w:val="24"/>
          <w:szCs w:val="24"/>
        </w:rPr>
        <w:t xml:space="preserve"> also include </w:t>
      </w:r>
      <w:r w:rsidR="00D67641">
        <w:rPr>
          <w:bCs/>
          <w:sz w:val="24"/>
          <w:szCs w:val="24"/>
        </w:rPr>
        <w:t>significant</w:t>
      </w:r>
      <w:r w:rsidR="008C74DB">
        <w:rPr>
          <w:bCs/>
          <w:sz w:val="24"/>
          <w:szCs w:val="24"/>
        </w:rPr>
        <w:t xml:space="preserve"> fixed costs associated with </w:t>
      </w:r>
      <w:r w:rsidR="00D67641">
        <w:rPr>
          <w:bCs/>
          <w:sz w:val="24"/>
          <w:szCs w:val="24"/>
        </w:rPr>
        <w:t xml:space="preserve">firm </w:t>
      </w:r>
      <w:r w:rsidR="00C26F99">
        <w:rPr>
          <w:bCs/>
          <w:sz w:val="24"/>
          <w:szCs w:val="24"/>
        </w:rPr>
        <w:t xml:space="preserve">interstate </w:t>
      </w:r>
      <w:r w:rsidR="008C74DB">
        <w:rPr>
          <w:bCs/>
          <w:sz w:val="24"/>
          <w:szCs w:val="24"/>
        </w:rPr>
        <w:t xml:space="preserve">storage service that is vital to </w:t>
      </w:r>
      <w:r w:rsidR="00D67641">
        <w:rPr>
          <w:bCs/>
          <w:sz w:val="24"/>
          <w:szCs w:val="24"/>
        </w:rPr>
        <w:t xml:space="preserve">all </w:t>
      </w:r>
      <w:r w:rsidR="005A2329">
        <w:rPr>
          <w:bCs/>
          <w:sz w:val="24"/>
          <w:szCs w:val="24"/>
        </w:rPr>
        <w:t>Local Distribution Companies (“</w:t>
      </w:r>
      <w:r w:rsidR="001E4D4D">
        <w:rPr>
          <w:bCs/>
          <w:sz w:val="24"/>
          <w:szCs w:val="24"/>
        </w:rPr>
        <w:t>LDCs</w:t>
      </w:r>
      <w:r w:rsidR="005A2329">
        <w:rPr>
          <w:bCs/>
          <w:sz w:val="24"/>
          <w:szCs w:val="24"/>
        </w:rPr>
        <w:t>”)</w:t>
      </w:r>
      <w:r w:rsidR="00D67641">
        <w:rPr>
          <w:bCs/>
          <w:sz w:val="24"/>
          <w:szCs w:val="24"/>
        </w:rPr>
        <w:t xml:space="preserve"> </w:t>
      </w:r>
      <w:r w:rsidR="00C44B07">
        <w:rPr>
          <w:bCs/>
          <w:sz w:val="24"/>
          <w:szCs w:val="24"/>
        </w:rPr>
        <w:t xml:space="preserve">in Ohio. </w:t>
      </w:r>
      <w:r w:rsidR="009D727F">
        <w:rPr>
          <w:bCs/>
          <w:sz w:val="24"/>
          <w:szCs w:val="24"/>
        </w:rPr>
        <w:t xml:space="preserve"> </w:t>
      </w:r>
      <w:r w:rsidR="00395285">
        <w:rPr>
          <w:bCs/>
          <w:sz w:val="24"/>
          <w:szCs w:val="24"/>
        </w:rPr>
        <w:t>As a matter of fact</w:t>
      </w:r>
      <w:r w:rsidR="00844CB3">
        <w:rPr>
          <w:bCs/>
          <w:sz w:val="24"/>
          <w:szCs w:val="24"/>
        </w:rPr>
        <w:t>,</w:t>
      </w:r>
      <w:r w:rsidR="00395285">
        <w:rPr>
          <w:bCs/>
          <w:sz w:val="24"/>
          <w:szCs w:val="24"/>
        </w:rPr>
        <w:t xml:space="preserve"> local gas production supplies </w:t>
      </w:r>
      <w:r w:rsidR="00844CB3">
        <w:rPr>
          <w:bCs/>
          <w:sz w:val="24"/>
          <w:szCs w:val="24"/>
        </w:rPr>
        <w:t xml:space="preserve">for </w:t>
      </w:r>
      <w:r w:rsidR="00970648">
        <w:rPr>
          <w:bCs/>
          <w:sz w:val="24"/>
          <w:szCs w:val="24"/>
        </w:rPr>
        <w:t xml:space="preserve">Northeast and </w:t>
      </w:r>
      <w:r w:rsidR="00844CB3">
        <w:rPr>
          <w:bCs/>
          <w:sz w:val="24"/>
          <w:szCs w:val="24"/>
        </w:rPr>
        <w:t xml:space="preserve">Orwell </w:t>
      </w:r>
      <w:r w:rsidR="00395285">
        <w:rPr>
          <w:bCs/>
          <w:sz w:val="24"/>
          <w:szCs w:val="24"/>
        </w:rPr>
        <w:t>have</w:t>
      </w:r>
      <w:r w:rsidR="00987BAF">
        <w:rPr>
          <w:bCs/>
          <w:sz w:val="24"/>
          <w:szCs w:val="24"/>
        </w:rPr>
        <w:t xml:space="preserve"> </w:t>
      </w:r>
      <w:r w:rsidR="00970648">
        <w:rPr>
          <w:bCs/>
          <w:sz w:val="24"/>
          <w:szCs w:val="24"/>
        </w:rPr>
        <w:t>historically</w:t>
      </w:r>
      <w:r w:rsidR="00395285">
        <w:rPr>
          <w:bCs/>
          <w:sz w:val="24"/>
          <w:szCs w:val="24"/>
        </w:rPr>
        <w:t xml:space="preserve"> be</w:t>
      </w:r>
      <w:r w:rsidR="009C061F">
        <w:rPr>
          <w:bCs/>
          <w:sz w:val="24"/>
          <w:szCs w:val="24"/>
        </w:rPr>
        <w:t>en</w:t>
      </w:r>
      <w:r w:rsidR="00D67641">
        <w:rPr>
          <w:bCs/>
          <w:sz w:val="24"/>
          <w:szCs w:val="24"/>
        </w:rPr>
        <w:t xml:space="preserve"> priced</w:t>
      </w:r>
      <w:r w:rsidR="00395285">
        <w:rPr>
          <w:bCs/>
          <w:sz w:val="24"/>
          <w:szCs w:val="24"/>
        </w:rPr>
        <w:t xml:space="preserve"> lower than interstate supplies</w:t>
      </w:r>
      <w:r w:rsidR="001E4D4D">
        <w:rPr>
          <w:bCs/>
          <w:sz w:val="24"/>
          <w:szCs w:val="24"/>
        </w:rPr>
        <w:t xml:space="preserve"> -- </w:t>
      </w:r>
      <w:r w:rsidR="00B477E7">
        <w:rPr>
          <w:bCs/>
          <w:sz w:val="24"/>
          <w:szCs w:val="24"/>
        </w:rPr>
        <w:t xml:space="preserve">or </w:t>
      </w:r>
      <w:r w:rsidR="00395285">
        <w:rPr>
          <w:bCs/>
          <w:sz w:val="24"/>
          <w:szCs w:val="24"/>
        </w:rPr>
        <w:t xml:space="preserve">at least that was the case </w:t>
      </w:r>
      <w:r w:rsidR="00D67641">
        <w:rPr>
          <w:bCs/>
          <w:sz w:val="24"/>
          <w:szCs w:val="24"/>
        </w:rPr>
        <w:t xml:space="preserve">from 2000 </w:t>
      </w:r>
      <w:r w:rsidR="00395285">
        <w:rPr>
          <w:bCs/>
          <w:sz w:val="24"/>
          <w:szCs w:val="24"/>
        </w:rPr>
        <w:t>until 2008.</w:t>
      </w:r>
      <w:r w:rsidR="00C44B07">
        <w:rPr>
          <w:bCs/>
          <w:sz w:val="24"/>
          <w:szCs w:val="24"/>
        </w:rPr>
        <w:t xml:space="preserve"> </w:t>
      </w:r>
      <w:r w:rsidR="009D727F">
        <w:rPr>
          <w:bCs/>
          <w:sz w:val="24"/>
          <w:szCs w:val="24"/>
        </w:rPr>
        <w:t xml:space="preserve"> </w:t>
      </w:r>
      <w:r w:rsidR="00D67641">
        <w:rPr>
          <w:bCs/>
          <w:sz w:val="24"/>
          <w:szCs w:val="24"/>
        </w:rPr>
        <w:t>However, s</w:t>
      </w:r>
      <w:r w:rsidR="00E31137">
        <w:rPr>
          <w:bCs/>
          <w:sz w:val="24"/>
          <w:szCs w:val="24"/>
        </w:rPr>
        <w:t xml:space="preserve">tarting in 2008, local production gas supplies </w:t>
      </w:r>
      <w:r w:rsidR="00D67641">
        <w:rPr>
          <w:bCs/>
          <w:sz w:val="24"/>
          <w:szCs w:val="24"/>
        </w:rPr>
        <w:t xml:space="preserve">for Northeast and Orwell </w:t>
      </w:r>
      <w:r w:rsidR="00E31137">
        <w:rPr>
          <w:bCs/>
          <w:sz w:val="24"/>
          <w:szCs w:val="24"/>
        </w:rPr>
        <w:t>suddenly became more expensive than interstate gas supplies</w:t>
      </w:r>
      <w:r w:rsidR="00C44B07">
        <w:rPr>
          <w:bCs/>
          <w:sz w:val="24"/>
          <w:szCs w:val="24"/>
        </w:rPr>
        <w:t>.</w:t>
      </w:r>
    </w:p>
    <w:p w:rsidR="00C44B07" w:rsidRDefault="00C44B07" w:rsidP="00A054C9">
      <w:pPr>
        <w:tabs>
          <w:tab w:val="left" w:pos="720"/>
        </w:tabs>
        <w:spacing w:line="480" w:lineRule="auto"/>
        <w:ind w:left="720" w:hanging="720"/>
        <w:rPr>
          <w:bCs/>
          <w:sz w:val="24"/>
          <w:szCs w:val="24"/>
        </w:rPr>
      </w:pPr>
    </w:p>
    <w:p w:rsidR="0011154C" w:rsidRDefault="00E31137" w:rsidP="00A054C9">
      <w:pPr>
        <w:tabs>
          <w:tab w:val="left" w:pos="720"/>
        </w:tabs>
        <w:spacing w:line="480" w:lineRule="auto"/>
        <w:ind w:left="720" w:hanging="720"/>
        <w:rPr>
          <w:b/>
          <w:bCs/>
          <w:i/>
          <w:sz w:val="24"/>
          <w:szCs w:val="24"/>
        </w:rPr>
      </w:pPr>
      <w:r w:rsidRPr="00BA2258">
        <w:rPr>
          <w:b/>
          <w:bCs/>
          <w:i/>
          <w:sz w:val="24"/>
          <w:szCs w:val="24"/>
        </w:rPr>
        <w:t>Q</w:t>
      </w:r>
      <w:r w:rsidR="003532E7">
        <w:rPr>
          <w:b/>
          <w:bCs/>
          <w:i/>
          <w:sz w:val="24"/>
          <w:szCs w:val="24"/>
        </w:rPr>
        <w:t>16</w:t>
      </w:r>
      <w:r w:rsidRPr="00BA2258">
        <w:rPr>
          <w:b/>
          <w:bCs/>
          <w:i/>
          <w:sz w:val="24"/>
          <w:szCs w:val="24"/>
        </w:rPr>
        <w:t>.</w:t>
      </w:r>
      <w:r w:rsidRPr="00BA2258">
        <w:rPr>
          <w:b/>
          <w:bCs/>
          <w:i/>
          <w:sz w:val="24"/>
          <w:szCs w:val="24"/>
        </w:rPr>
        <w:tab/>
      </w:r>
      <w:r w:rsidR="007543C5">
        <w:rPr>
          <w:b/>
          <w:bCs/>
          <w:i/>
          <w:sz w:val="24"/>
          <w:szCs w:val="24"/>
        </w:rPr>
        <w:t xml:space="preserve">WHAT DO YOU ATTRIBUTE THE SHIFT IN </w:t>
      </w:r>
      <w:r w:rsidR="00844CB3">
        <w:rPr>
          <w:b/>
          <w:bCs/>
          <w:i/>
          <w:sz w:val="24"/>
          <w:szCs w:val="24"/>
        </w:rPr>
        <w:t xml:space="preserve">2008 </w:t>
      </w:r>
      <w:r w:rsidR="00111A19">
        <w:rPr>
          <w:b/>
          <w:bCs/>
          <w:i/>
          <w:sz w:val="24"/>
          <w:szCs w:val="24"/>
        </w:rPr>
        <w:t>T</w:t>
      </w:r>
      <w:r w:rsidR="00E328DA">
        <w:rPr>
          <w:b/>
          <w:bCs/>
          <w:i/>
          <w:sz w:val="24"/>
          <w:szCs w:val="24"/>
        </w:rPr>
        <w:t>HAT</w:t>
      </w:r>
      <w:r w:rsidR="00111A19">
        <w:rPr>
          <w:b/>
          <w:bCs/>
          <w:i/>
          <w:sz w:val="24"/>
          <w:szCs w:val="24"/>
        </w:rPr>
        <w:t xml:space="preserve"> INCREASE</w:t>
      </w:r>
      <w:r w:rsidR="00E328DA">
        <w:rPr>
          <w:b/>
          <w:bCs/>
          <w:i/>
          <w:sz w:val="24"/>
          <w:szCs w:val="24"/>
        </w:rPr>
        <w:t>D</w:t>
      </w:r>
      <w:r w:rsidR="00111A19">
        <w:rPr>
          <w:b/>
          <w:bCs/>
          <w:i/>
          <w:sz w:val="24"/>
          <w:szCs w:val="24"/>
        </w:rPr>
        <w:t xml:space="preserve"> THE</w:t>
      </w:r>
      <w:r w:rsidR="00844CB3">
        <w:rPr>
          <w:b/>
          <w:bCs/>
          <w:i/>
          <w:sz w:val="24"/>
          <w:szCs w:val="24"/>
        </w:rPr>
        <w:t xml:space="preserve"> </w:t>
      </w:r>
      <w:r w:rsidR="007543C5">
        <w:rPr>
          <w:b/>
          <w:bCs/>
          <w:i/>
          <w:sz w:val="24"/>
          <w:szCs w:val="24"/>
        </w:rPr>
        <w:t>GAS COST</w:t>
      </w:r>
      <w:r w:rsidR="00321CCA">
        <w:rPr>
          <w:b/>
          <w:bCs/>
          <w:i/>
          <w:sz w:val="24"/>
          <w:szCs w:val="24"/>
        </w:rPr>
        <w:t xml:space="preserve"> </w:t>
      </w:r>
      <w:r w:rsidR="00111A19">
        <w:rPr>
          <w:b/>
          <w:bCs/>
          <w:i/>
          <w:sz w:val="24"/>
          <w:szCs w:val="24"/>
        </w:rPr>
        <w:t xml:space="preserve">OF </w:t>
      </w:r>
      <w:r w:rsidR="007543C5">
        <w:rPr>
          <w:b/>
          <w:bCs/>
          <w:i/>
          <w:sz w:val="24"/>
          <w:szCs w:val="24"/>
        </w:rPr>
        <w:t xml:space="preserve">LOCAL PRODUCTION </w:t>
      </w:r>
      <w:r w:rsidR="00111A19">
        <w:rPr>
          <w:b/>
          <w:bCs/>
          <w:i/>
          <w:sz w:val="24"/>
          <w:szCs w:val="24"/>
        </w:rPr>
        <w:t>RELATIVE TO</w:t>
      </w:r>
      <w:r w:rsidR="007543C5">
        <w:rPr>
          <w:b/>
          <w:bCs/>
          <w:i/>
          <w:sz w:val="24"/>
          <w:szCs w:val="24"/>
        </w:rPr>
        <w:t xml:space="preserve"> INTERSTATE GAS?</w:t>
      </w:r>
    </w:p>
    <w:p w:rsidR="00696CB9" w:rsidRDefault="0011154C" w:rsidP="00A054C9">
      <w:pPr>
        <w:tabs>
          <w:tab w:val="left" w:pos="720"/>
        </w:tabs>
        <w:spacing w:line="480" w:lineRule="auto"/>
        <w:ind w:left="720" w:hanging="720"/>
        <w:rPr>
          <w:bCs/>
          <w:sz w:val="24"/>
          <w:szCs w:val="24"/>
        </w:rPr>
      </w:pPr>
      <w:r>
        <w:rPr>
          <w:b/>
          <w:bCs/>
          <w:i/>
          <w:sz w:val="24"/>
          <w:szCs w:val="24"/>
        </w:rPr>
        <w:t>A</w:t>
      </w:r>
      <w:r w:rsidR="003532E7">
        <w:rPr>
          <w:b/>
          <w:bCs/>
          <w:i/>
          <w:sz w:val="24"/>
          <w:szCs w:val="24"/>
        </w:rPr>
        <w:t>16</w:t>
      </w:r>
      <w:r>
        <w:rPr>
          <w:b/>
          <w:bCs/>
          <w:i/>
          <w:sz w:val="24"/>
          <w:szCs w:val="24"/>
        </w:rPr>
        <w:t>.</w:t>
      </w:r>
      <w:r>
        <w:rPr>
          <w:b/>
          <w:bCs/>
          <w:i/>
          <w:sz w:val="24"/>
          <w:szCs w:val="24"/>
        </w:rPr>
        <w:tab/>
      </w:r>
      <w:r w:rsidR="001B4536">
        <w:rPr>
          <w:bCs/>
          <w:sz w:val="24"/>
          <w:szCs w:val="24"/>
        </w:rPr>
        <w:t>In 2008</w:t>
      </w:r>
      <w:r w:rsidR="00321CCA">
        <w:rPr>
          <w:bCs/>
          <w:sz w:val="24"/>
          <w:szCs w:val="24"/>
        </w:rPr>
        <w:t>,</w:t>
      </w:r>
      <w:r w:rsidR="004D738F">
        <w:rPr>
          <w:bCs/>
          <w:sz w:val="24"/>
          <w:szCs w:val="24"/>
        </w:rPr>
        <w:t xml:space="preserve"> </w:t>
      </w:r>
      <w:r w:rsidR="001B4536">
        <w:rPr>
          <w:bCs/>
          <w:sz w:val="24"/>
          <w:szCs w:val="24"/>
        </w:rPr>
        <w:t>Northeast</w:t>
      </w:r>
      <w:r w:rsidR="004D738F">
        <w:rPr>
          <w:bCs/>
          <w:sz w:val="24"/>
          <w:szCs w:val="24"/>
        </w:rPr>
        <w:t xml:space="preserve"> </w:t>
      </w:r>
      <w:r w:rsidR="008A2E69">
        <w:rPr>
          <w:bCs/>
          <w:sz w:val="24"/>
          <w:szCs w:val="24"/>
        </w:rPr>
        <w:t>and Orwell</w:t>
      </w:r>
      <w:r w:rsidR="001B4536">
        <w:rPr>
          <w:bCs/>
          <w:sz w:val="24"/>
          <w:szCs w:val="24"/>
        </w:rPr>
        <w:t xml:space="preserve"> signed gas purchase agreements with </w:t>
      </w:r>
      <w:r w:rsidR="00C44B07">
        <w:rPr>
          <w:bCs/>
          <w:sz w:val="24"/>
          <w:szCs w:val="24"/>
        </w:rPr>
        <w:t>an</w:t>
      </w:r>
      <w:r w:rsidR="001B4536">
        <w:rPr>
          <w:bCs/>
          <w:sz w:val="24"/>
          <w:szCs w:val="24"/>
        </w:rPr>
        <w:t xml:space="preserve"> affiliate</w:t>
      </w:r>
      <w:r w:rsidR="00C44B07">
        <w:rPr>
          <w:bCs/>
          <w:sz w:val="24"/>
          <w:szCs w:val="24"/>
        </w:rPr>
        <w:t xml:space="preserve"> company --</w:t>
      </w:r>
      <w:r w:rsidR="001B4536">
        <w:rPr>
          <w:bCs/>
          <w:sz w:val="24"/>
          <w:szCs w:val="24"/>
        </w:rPr>
        <w:t xml:space="preserve"> JDOG</w:t>
      </w:r>
      <w:r w:rsidR="00255993">
        <w:rPr>
          <w:bCs/>
          <w:sz w:val="24"/>
          <w:szCs w:val="24"/>
        </w:rPr>
        <w:t xml:space="preserve"> Marketing</w:t>
      </w:r>
      <w:r w:rsidR="00C44B07">
        <w:rPr>
          <w:bCs/>
          <w:sz w:val="24"/>
          <w:szCs w:val="24"/>
        </w:rPr>
        <w:t>.</w:t>
      </w:r>
      <w:r w:rsidR="001B4536">
        <w:rPr>
          <w:bCs/>
          <w:sz w:val="24"/>
          <w:szCs w:val="24"/>
        </w:rPr>
        <w:t xml:space="preserve"> </w:t>
      </w:r>
      <w:r w:rsidR="009D727F">
        <w:rPr>
          <w:bCs/>
          <w:sz w:val="24"/>
          <w:szCs w:val="24"/>
        </w:rPr>
        <w:t xml:space="preserve"> </w:t>
      </w:r>
      <w:r w:rsidR="004D738F">
        <w:rPr>
          <w:bCs/>
          <w:sz w:val="24"/>
          <w:szCs w:val="24"/>
        </w:rPr>
        <w:t xml:space="preserve">From 2008 until </w:t>
      </w:r>
      <w:r w:rsidR="00F43C13">
        <w:rPr>
          <w:bCs/>
          <w:sz w:val="24"/>
          <w:szCs w:val="24"/>
        </w:rPr>
        <w:t>November 2013</w:t>
      </w:r>
      <w:r w:rsidR="004D738F">
        <w:rPr>
          <w:bCs/>
          <w:sz w:val="24"/>
          <w:szCs w:val="24"/>
        </w:rPr>
        <w:t>,</w:t>
      </w:r>
      <w:r w:rsidR="004D6323">
        <w:rPr>
          <w:bCs/>
          <w:sz w:val="24"/>
          <w:szCs w:val="24"/>
        </w:rPr>
        <w:t xml:space="preserve"> </w:t>
      </w:r>
      <w:r w:rsidR="001B4536">
        <w:rPr>
          <w:bCs/>
          <w:sz w:val="24"/>
          <w:szCs w:val="24"/>
        </w:rPr>
        <w:t>JDOG</w:t>
      </w:r>
      <w:r w:rsidR="00255993">
        <w:rPr>
          <w:bCs/>
          <w:sz w:val="24"/>
          <w:szCs w:val="24"/>
        </w:rPr>
        <w:t xml:space="preserve"> Marketing</w:t>
      </w:r>
      <w:r w:rsidR="00D8113A">
        <w:rPr>
          <w:bCs/>
          <w:sz w:val="24"/>
          <w:szCs w:val="24"/>
        </w:rPr>
        <w:t xml:space="preserve"> or its successor</w:t>
      </w:r>
      <w:r w:rsidR="00281580">
        <w:rPr>
          <w:bCs/>
          <w:sz w:val="24"/>
          <w:szCs w:val="24"/>
        </w:rPr>
        <w:t xml:space="preserve"> (</w:t>
      </w:r>
      <w:r w:rsidR="00D8113A">
        <w:rPr>
          <w:bCs/>
          <w:sz w:val="24"/>
          <w:szCs w:val="24"/>
        </w:rPr>
        <w:t>GNR</w:t>
      </w:r>
      <w:r w:rsidR="00281580">
        <w:rPr>
          <w:bCs/>
          <w:sz w:val="24"/>
          <w:szCs w:val="24"/>
        </w:rPr>
        <w:t>)</w:t>
      </w:r>
      <w:r w:rsidR="001B4536">
        <w:rPr>
          <w:bCs/>
          <w:sz w:val="24"/>
          <w:szCs w:val="24"/>
        </w:rPr>
        <w:t xml:space="preserve"> purchas</w:t>
      </w:r>
      <w:r w:rsidR="004D738F">
        <w:rPr>
          <w:bCs/>
          <w:sz w:val="24"/>
          <w:szCs w:val="24"/>
        </w:rPr>
        <w:t>ed</w:t>
      </w:r>
      <w:r w:rsidR="001B4536">
        <w:rPr>
          <w:bCs/>
          <w:sz w:val="24"/>
          <w:szCs w:val="24"/>
        </w:rPr>
        <w:t xml:space="preserve"> gas on </w:t>
      </w:r>
      <w:r w:rsidR="00281580">
        <w:rPr>
          <w:bCs/>
          <w:sz w:val="24"/>
          <w:szCs w:val="24"/>
        </w:rPr>
        <w:t xml:space="preserve">behalf of </w:t>
      </w:r>
      <w:r w:rsidR="00EB576E">
        <w:rPr>
          <w:bCs/>
          <w:sz w:val="24"/>
          <w:szCs w:val="24"/>
        </w:rPr>
        <w:t>the Utilities</w:t>
      </w:r>
      <w:r w:rsidR="00281580">
        <w:rPr>
          <w:bCs/>
          <w:sz w:val="24"/>
          <w:szCs w:val="24"/>
        </w:rPr>
        <w:t>.</w:t>
      </w:r>
      <w:r w:rsidR="008A2E69">
        <w:rPr>
          <w:bCs/>
          <w:sz w:val="24"/>
          <w:szCs w:val="24"/>
        </w:rPr>
        <w:t xml:space="preserve"> </w:t>
      </w:r>
      <w:r w:rsidR="009D727F">
        <w:rPr>
          <w:bCs/>
          <w:sz w:val="24"/>
          <w:szCs w:val="24"/>
        </w:rPr>
        <w:t xml:space="preserve"> </w:t>
      </w:r>
      <w:r w:rsidR="00281580">
        <w:rPr>
          <w:bCs/>
          <w:sz w:val="24"/>
          <w:szCs w:val="24"/>
        </w:rPr>
        <w:t>D</w:t>
      </w:r>
      <w:r w:rsidR="00EB576E">
        <w:rPr>
          <w:bCs/>
          <w:sz w:val="24"/>
          <w:szCs w:val="24"/>
        </w:rPr>
        <w:t xml:space="preserve">uring </w:t>
      </w:r>
      <w:r w:rsidR="00281580">
        <w:rPr>
          <w:bCs/>
          <w:sz w:val="24"/>
          <w:szCs w:val="24"/>
        </w:rPr>
        <w:t xml:space="preserve">this </w:t>
      </w:r>
      <w:r w:rsidR="00EB576E">
        <w:rPr>
          <w:bCs/>
          <w:sz w:val="24"/>
          <w:szCs w:val="24"/>
        </w:rPr>
        <w:t xml:space="preserve">time </w:t>
      </w:r>
      <w:r w:rsidR="00111A19">
        <w:rPr>
          <w:bCs/>
          <w:sz w:val="24"/>
          <w:szCs w:val="24"/>
        </w:rPr>
        <w:t>period</w:t>
      </w:r>
      <w:r w:rsidR="00321CCA">
        <w:rPr>
          <w:bCs/>
          <w:sz w:val="24"/>
          <w:szCs w:val="24"/>
        </w:rPr>
        <w:t>,</w:t>
      </w:r>
      <w:r w:rsidR="00111A19">
        <w:rPr>
          <w:bCs/>
          <w:sz w:val="24"/>
          <w:szCs w:val="24"/>
        </w:rPr>
        <w:t xml:space="preserve"> </w:t>
      </w:r>
      <w:r w:rsidR="007C05AB">
        <w:rPr>
          <w:bCs/>
          <w:sz w:val="24"/>
          <w:szCs w:val="24"/>
        </w:rPr>
        <w:t xml:space="preserve">local production gas </w:t>
      </w:r>
      <w:r w:rsidR="00EB576E">
        <w:rPr>
          <w:bCs/>
          <w:sz w:val="24"/>
          <w:szCs w:val="24"/>
        </w:rPr>
        <w:t>became</w:t>
      </w:r>
      <w:r w:rsidR="007C05AB">
        <w:rPr>
          <w:bCs/>
          <w:sz w:val="24"/>
          <w:szCs w:val="24"/>
        </w:rPr>
        <w:t xml:space="preserve"> more</w:t>
      </w:r>
      <w:r w:rsidR="00C44B07">
        <w:rPr>
          <w:bCs/>
          <w:sz w:val="24"/>
          <w:szCs w:val="24"/>
        </w:rPr>
        <w:t xml:space="preserve"> expensive than interstate gas.</w:t>
      </w:r>
    </w:p>
    <w:p w:rsidR="00696CB9" w:rsidRDefault="00696CB9" w:rsidP="00A054C9">
      <w:pPr>
        <w:tabs>
          <w:tab w:val="left" w:pos="720"/>
        </w:tabs>
        <w:spacing w:line="480" w:lineRule="auto"/>
        <w:ind w:left="720" w:hanging="720"/>
        <w:rPr>
          <w:bCs/>
          <w:sz w:val="24"/>
          <w:szCs w:val="24"/>
        </w:rPr>
      </w:pPr>
    </w:p>
    <w:p w:rsidR="00566E46" w:rsidRDefault="005F395F" w:rsidP="009D727F">
      <w:pPr>
        <w:tabs>
          <w:tab w:val="left" w:pos="720"/>
        </w:tabs>
        <w:spacing w:line="480" w:lineRule="auto"/>
        <w:ind w:left="720"/>
        <w:rPr>
          <w:bCs/>
          <w:sz w:val="24"/>
          <w:szCs w:val="24"/>
        </w:rPr>
      </w:pPr>
      <w:r>
        <w:rPr>
          <w:bCs/>
          <w:sz w:val="24"/>
          <w:szCs w:val="24"/>
        </w:rPr>
        <w:t xml:space="preserve">As </w:t>
      </w:r>
      <w:r w:rsidR="00281580">
        <w:rPr>
          <w:bCs/>
          <w:sz w:val="24"/>
          <w:szCs w:val="24"/>
        </w:rPr>
        <w:t xml:space="preserve">demonstrated </w:t>
      </w:r>
      <w:r w:rsidR="00A009BF">
        <w:rPr>
          <w:bCs/>
          <w:sz w:val="24"/>
          <w:szCs w:val="24"/>
        </w:rPr>
        <w:t>i</w:t>
      </w:r>
      <w:r>
        <w:rPr>
          <w:bCs/>
          <w:sz w:val="24"/>
          <w:szCs w:val="24"/>
        </w:rPr>
        <w:t xml:space="preserve">n </w:t>
      </w:r>
      <w:r w:rsidR="0059142D">
        <w:rPr>
          <w:bCs/>
          <w:sz w:val="24"/>
          <w:szCs w:val="24"/>
        </w:rPr>
        <w:t xml:space="preserve">OCC </w:t>
      </w:r>
      <w:r>
        <w:rPr>
          <w:bCs/>
          <w:sz w:val="24"/>
          <w:szCs w:val="24"/>
        </w:rPr>
        <w:t xml:space="preserve">Attachment </w:t>
      </w:r>
      <w:r w:rsidR="00F43C13">
        <w:rPr>
          <w:bCs/>
          <w:sz w:val="24"/>
          <w:szCs w:val="24"/>
        </w:rPr>
        <w:t>GS-3</w:t>
      </w:r>
      <w:r>
        <w:rPr>
          <w:bCs/>
          <w:sz w:val="24"/>
          <w:szCs w:val="24"/>
        </w:rPr>
        <w:t>, f</w:t>
      </w:r>
      <w:r w:rsidR="001B4536">
        <w:rPr>
          <w:bCs/>
          <w:sz w:val="24"/>
          <w:szCs w:val="24"/>
        </w:rPr>
        <w:t xml:space="preserve">or </w:t>
      </w:r>
      <w:r w:rsidR="003E656E">
        <w:rPr>
          <w:bCs/>
          <w:sz w:val="24"/>
          <w:szCs w:val="24"/>
        </w:rPr>
        <w:t xml:space="preserve">the </w:t>
      </w:r>
      <w:r w:rsidR="001B4536">
        <w:rPr>
          <w:bCs/>
          <w:sz w:val="24"/>
          <w:szCs w:val="24"/>
        </w:rPr>
        <w:t>eight</w:t>
      </w:r>
      <w:r w:rsidR="00691CD7">
        <w:rPr>
          <w:bCs/>
          <w:sz w:val="24"/>
          <w:szCs w:val="24"/>
        </w:rPr>
        <w:t>-</w:t>
      </w:r>
      <w:r w:rsidR="001B4536">
        <w:rPr>
          <w:bCs/>
          <w:sz w:val="24"/>
          <w:szCs w:val="24"/>
        </w:rPr>
        <w:t>year</w:t>
      </w:r>
      <w:r w:rsidR="008C74DB">
        <w:rPr>
          <w:bCs/>
          <w:sz w:val="24"/>
          <w:szCs w:val="24"/>
        </w:rPr>
        <w:t xml:space="preserve"> period from</w:t>
      </w:r>
      <w:r w:rsidR="001B4536">
        <w:rPr>
          <w:bCs/>
          <w:sz w:val="24"/>
          <w:szCs w:val="24"/>
        </w:rPr>
        <w:t xml:space="preserve"> 2000 through 2007, Northeast purchased local production gas at a</w:t>
      </w:r>
      <w:r w:rsidR="00F43C13">
        <w:rPr>
          <w:bCs/>
          <w:sz w:val="24"/>
          <w:szCs w:val="24"/>
        </w:rPr>
        <w:t xml:space="preserve"> weighted</w:t>
      </w:r>
      <w:r w:rsidR="001B4536">
        <w:rPr>
          <w:bCs/>
          <w:sz w:val="24"/>
          <w:szCs w:val="24"/>
        </w:rPr>
        <w:t xml:space="preserve"> average rate </w:t>
      </w:r>
      <w:r w:rsidR="00844CB3">
        <w:rPr>
          <w:bCs/>
          <w:sz w:val="24"/>
          <w:szCs w:val="24"/>
        </w:rPr>
        <w:t xml:space="preserve">that was </w:t>
      </w:r>
      <w:r w:rsidR="001B4536">
        <w:rPr>
          <w:bCs/>
          <w:sz w:val="24"/>
          <w:szCs w:val="24"/>
        </w:rPr>
        <w:t>$</w:t>
      </w:r>
      <w:r w:rsidR="00F43C13">
        <w:rPr>
          <w:bCs/>
          <w:sz w:val="24"/>
          <w:szCs w:val="24"/>
        </w:rPr>
        <w:t>0</w:t>
      </w:r>
      <w:r w:rsidR="001B4536">
        <w:rPr>
          <w:bCs/>
          <w:sz w:val="24"/>
          <w:szCs w:val="24"/>
        </w:rPr>
        <w:t>.</w:t>
      </w:r>
      <w:r w:rsidR="00F43C13">
        <w:rPr>
          <w:bCs/>
          <w:sz w:val="24"/>
          <w:szCs w:val="24"/>
        </w:rPr>
        <w:t>9</w:t>
      </w:r>
      <w:r w:rsidR="0004539B">
        <w:rPr>
          <w:bCs/>
          <w:sz w:val="24"/>
          <w:szCs w:val="24"/>
        </w:rPr>
        <w:t>7</w:t>
      </w:r>
      <w:r w:rsidR="001B4536">
        <w:rPr>
          <w:bCs/>
          <w:sz w:val="24"/>
          <w:szCs w:val="24"/>
        </w:rPr>
        <w:t xml:space="preserve"> per </w:t>
      </w:r>
      <w:r w:rsidR="00E935E3">
        <w:rPr>
          <w:bCs/>
          <w:sz w:val="24"/>
          <w:szCs w:val="24"/>
        </w:rPr>
        <w:t>thousand cubic feet (</w:t>
      </w:r>
      <w:r w:rsidR="001B4536">
        <w:rPr>
          <w:bCs/>
          <w:sz w:val="24"/>
          <w:szCs w:val="24"/>
        </w:rPr>
        <w:t>Mcf</w:t>
      </w:r>
      <w:r w:rsidR="00E935E3">
        <w:rPr>
          <w:bCs/>
          <w:sz w:val="24"/>
          <w:szCs w:val="24"/>
        </w:rPr>
        <w:t>)</w:t>
      </w:r>
      <w:r w:rsidR="001B4536">
        <w:rPr>
          <w:bCs/>
          <w:sz w:val="24"/>
          <w:szCs w:val="24"/>
        </w:rPr>
        <w:t xml:space="preserve"> </w:t>
      </w:r>
      <w:r w:rsidR="001B4536" w:rsidRPr="0004539B">
        <w:rPr>
          <w:b/>
          <w:bCs/>
          <w:sz w:val="24"/>
          <w:szCs w:val="24"/>
        </w:rPr>
        <w:t>less</w:t>
      </w:r>
      <w:r w:rsidR="001B4536">
        <w:rPr>
          <w:bCs/>
          <w:sz w:val="24"/>
          <w:szCs w:val="24"/>
        </w:rPr>
        <w:t xml:space="preserve"> than the average cost of interstate gas supplies.</w:t>
      </w:r>
    </w:p>
    <w:p w:rsidR="00566E46" w:rsidRDefault="00566E46" w:rsidP="00A054C9">
      <w:pPr>
        <w:tabs>
          <w:tab w:val="left" w:pos="720"/>
        </w:tabs>
        <w:spacing w:line="480" w:lineRule="auto"/>
        <w:ind w:left="720" w:hanging="720"/>
        <w:rPr>
          <w:bCs/>
          <w:sz w:val="24"/>
          <w:szCs w:val="24"/>
        </w:rPr>
      </w:pPr>
    </w:p>
    <w:p w:rsidR="009D727F" w:rsidRDefault="00ED177D" w:rsidP="009D727F">
      <w:pPr>
        <w:tabs>
          <w:tab w:val="left" w:pos="720"/>
        </w:tabs>
        <w:spacing w:line="480" w:lineRule="auto"/>
        <w:ind w:left="720"/>
        <w:rPr>
          <w:b/>
          <w:bCs/>
          <w:i/>
          <w:sz w:val="24"/>
          <w:szCs w:val="24"/>
        </w:rPr>
      </w:pPr>
      <w:r>
        <w:rPr>
          <w:bCs/>
          <w:sz w:val="24"/>
          <w:szCs w:val="24"/>
        </w:rPr>
        <w:t>However</w:t>
      </w:r>
      <w:r w:rsidR="00691CD7">
        <w:rPr>
          <w:bCs/>
          <w:sz w:val="24"/>
          <w:szCs w:val="24"/>
        </w:rPr>
        <w:t>,</w:t>
      </w:r>
      <w:r>
        <w:rPr>
          <w:bCs/>
          <w:sz w:val="24"/>
          <w:szCs w:val="24"/>
        </w:rPr>
        <w:t xml:space="preserve"> after JDOG</w:t>
      </w:r>
      <w:r w:rsidR="00255993">
        <w:rPr>
          <w:bCs/>
          <w:sz w:val="24"/>
          <w:szCs w:val="24"/>
        </w:rPr>
        <w:t xml:space="preserve"> Marketing</w:t>
      </w:r>
      <w:r>
        <w:rPr>
          <w:bCs/>
          <w:sz w:val="24"/>
          <w:szCs w:val="24"/>
        </w:rPr>
        <w:t xml:space="preserve"> began purchasing local gas production for </w:t>
      </w:r>
      <w:r w:rsidR="00EB576E">
        <w:rPr>
          <w:bCs/>
          <w:sz w:val="24"/>
          <w:szCs w:val="24"/>
        </w:rPr>
        <w:t>the Utilities</w:t>
      </w:r>
      <w:r>
        <w:rPr>
          <w:bCs/>
          <w:sz w:val="24"/>
          <w:szCs w:val="24"/>
        </w:rPr>
        <w:t xml:space="preserve">, </w:t>
      </w:r>
      <w:r w:rsidR="00691CD7">
        <w:rPr>
          <w:bCs/>
          <w:sz w:val="24"/>
          <w:szCs w:val="24"/>
        </w:rPr>
        <w:t xml:space="preserve">for the </w:t>
      </w:r>
      <w:r w:rsidR="00FD18A5">
        <w:rPr>
          <w:bCs/>
          <w:sz w:val="24"/>
          <w:szCs w:val="24"/>
        </w:rPr>
        <w:t>seven</w:t>
      </w:r>
      <w:r w:rsidR="00691CD7">
        <w:rPr>
          <w:bCs/>
          <w:sz w:val="24"/>
          <w:szCs w:val="24"/>
        </w:rPr>
        <w:t>-year period from 2008 through 201</w:t>
      </w:r>
      <w:r w:rsidR="00FD18A5">
        <w:rPr>
          <w:bCs/>
          <w:sz w:val="24"/>
          <w:szCs w:val="24"/>
        </w:rPr>
        <w:t>4</w:t>
      </w:r>
      <w:r w:rsidR="00691CD7">
        <w:rPr>
          <w:bCs/>
          <w:sz w:val="24"/>
          <w:szCs w:val="24"/>
        </w:rPr>
        <w:t>,</w:t>
      </w:r>
      <w:r w:rsidR="00AF2D11">
        <w:rPr>
          <w:bCs/>
          <w:sz w:val="24"/>
          <w:szCs w:val="24"/>
        </w:rPr>
        <w:t xml:space="preserve"> </w:t>
      </w:r>
      <w:r>
        <w:rPr>
          <w:bCs/>
          <w:sz w:val="24"/>
          <w:szCs w:val="24"/>
        </w:rPr>
        <w:t xml:space="preserve">the </w:t>
      </w:r>
      <w:r w:rsidR="00DC622D">
        <w:rPr>
          <w:bCs/>
          <w:sz w:val="24"/>
          <w:szCs w:val="24"/>
        </w:rPr>
        <w:t xml:space="preserve">weighted </w:t>
      </w:r>
      <w:r>
        <w:rPr>
          <w:bCs/>
          <w:sz w:val="24"/>
          <w:szCs w:val="24"/>
        </w:rPr>
        <w:t>average cost of local gas averaged $</w:t>
      </w:r>
      <w:r w:rsidR="0057345F">
        <w:rPr>
          <w:bCs/>
          <w:sz w:val="24"/>
          <w:szCs w:val="24"/>
        </w:rPr>
        <w:t>0</w:t>
      </w:r>
      <w:r w:rsidR="00DC622D">
        <w:rPr>
          <w:bCs/>
          <w:sz w:val="24"/>
          <w:szCs w:val="24"/>
        </w:rPr>
        <w:t>.62</w:t>
      </w:r>
      <w:r>
        <w:rPr>
          <w:bCs/>
          <w:sz w:val="24"/>
          <w:szCs w:val="24"/>
        </w:rPr>
        <w:t xml:space="preserve"> per Mcf </w:t>
      </w:r>
      <w:r w:rsidRPr="00EB576E">
        <w:rPr>
          <w:b/>
          <w:bCs/>
          <w:sz w:val="24"/>
          <w:szCs w:val="24"/>
        </w:rPr>
        <w:t>more</w:t>
      </w:r>
      <w:r>
        <w:rPr>
          <w:bCs/>
          <w:sz w:val="24"/>
          <w:szCs w:val="24"/>
        </w:rPr>
        <w:t xml:space="preserve"> than the </w:t>
      </w:r>
      <w:r w:rsidR="00DC622D">
        <w:rPr>
          <w:bCs/>
          <w:sz w:val="24"/>
          <w:szCs w:val="24"/>
        </w:rPr>
        <w:t xml:space="preserve">weighted </w:t>
      </w:r>
      <w:r>
        <w:rPr>
          <w:bCs/>
          <w:sz w:val="24"/>
          <w:szCs w:val="24"/>
        </w:rPr>
        <w:t>average cost of interstate gas.</w:t>
      </w:r>
      <w:r w:rsidR="00C44B07">
        <w:rPr>
          <w:bCs/>
          <w:sz w:val="24"/>
          <w:szCs w:val="24"/>
        </w:rPr>
        <w:t xml:space="preserve"> </w:t>
      </w:r>
      <w:r w:rsidR="009D727F">
        <w:rPr>
          <w:bCs/>
          <w:sz w:val="24"/>
          <w:szCs w:val="24"/>
        </w:rPr>
        <w:t xml:space="preserve"> </w:t>
      </w:r>
      <w:r w:rsidR="00981B50">
        <w:rPr>
          <w:bCs/>
          <w:sz w:val="24"/>
          <w:szCs w:val="24"/>
        </w:rPr>
        <w:t>This represents a total shift of $1.</w:t>
      </w:r>
      <w:r w:rsidR="00DC622D">
        <w:rPr>
          <w:bCs/>
          <w:sz w:val="24"/>
          <w:szCs w:val="24"/>
        </w:rPr>
        <w:t>59</w:t>
      </w:r>
      <w:r w:rsidR="00981B50">
        <w:rPr>
          <w:bCs/>
          <w:sz w:val="24"/>
          <w:szCs w:val="24"/>
        </w:rPr>
        <w:t xml:space="preserve"> per Mcf after </w:t>
      </w:r>
      <w:r w:rsidR="007B1C0A">
        <w:rPr>
          <w:bCs/>
          <w:sz w:val="24"/>
          <w:szCs w:val="24"/>
        </w:rPr>
        <w:t xml:space="preserve">the affiliate </w:t>
      </w:r>
      <w:r w:rsidR="00C44B07">
        <w:rPr>
          <w:bCs/>
          <w:sz w:val="24"/>
          <w:szCs w:val="24"/>
        </w:rPr>
        <w:t>--</w:t>
      </w:r>
      <w:r w:rsidR="007B1C0A">
        <w:rPr>
          <w:bCs/>
          <w:sz w:val="24"/>
          <w:szCs w:val="24"/>
        </w:rPr>
        <w:t xml:space="preserve"> </w:t>
      </w:r>
      <w:r w:rsidR="00981B50">
        <w:rPr>
          <w:bCs/>
          <w:sz w:val="24"/>
          <w:szCs w:val="24"/>
        </w:rPr>
        <w:t>JDOG</w:t>
      </w:r>
      <w:r w:rsidR="00255993">
        <w:rPr>
          <w:bCs/>
          <w:sz w:val="24"/>
          <w:szCs w:val="24"/>
        </w:rPr>
        <w:t xml:space="preserve"> Marketing</w:t>
      </w:r>
      <w:r w:rsidR="00981B50">
        <w:rPr>
          <w:bCs/>
          <w:sz w:val="24"/>
          <w:szCs w:val="24"/>
        </w:rPr>
        <w:t xml:space="preserve"> </w:t>
      </w:r>
      <w:r w:rsidR="007B1C0A">
        <w:rPr>
          <w:bCs/>
          <w:sz w:val="24"/>
          <w:szCs w:val="24"/>
        </w:rPr>
        <w:t xml:space="preserve">-- </w:t>
      </w:r>
      <w:r w:rsidR="00981B50">
        <w:rPr>
          <w:bCs/>
          <w:sz w:val="24"/>
          <w:szCs w:val="24"/>
        </w:rPr>
        <w:t>began purchasing local gas for Northeast and Orwell.</w:t>
      </w:r>
      <w:r w:rsidR="009D727F">
        <w:rPr>
          <w:bCs/>
          <w:sz w:val="24"/>
          <w:szCs w:val="24"/>
        </w:rPr>
        <w:t xml:space="preserve">  </w:t>
      </w:r>
      <w:r w:rsidR="00BE5FE0">
        <w:rPr>
          <w:bCs/>
          <w:sz w:val="24"/>
          <w:szCs w:val="24"/>
        </w:rPr>
        <w:t xml:space="preserve">This differential would have been </w:t>
      </w:r>
      <w:r w:rsidR="00C44B07">
        <w:rPr>
          <w:bCs/>
          <w:sz w:val="24"/>
          <w:szCs w:val="24"/>
        </w:rPr>
        <w:t>greater</w:t>
      </w:r>
      <w:r w:rsidR="00430B70">
        <w:rPr>
          <w:bCs/>
          <w:sz w:val="24"/>
          <w:szCs w:val="24"/>
        </w:rPr>
        <w:t xml:space="preserve"> if not for the PUCO’s </w:t>
      </w:r>
      <w:r w:rsidR="002138CC">
        <w:rPr>
          <w:bCs/>
          <w:sz w:val="24"/>
          <w:szCs w:val="24"/>
        </w:rPr>
        <w:t xml:space="preserve">decision in the 2012 GCR </w:t>
      </w:r>
      <w:r w:rsidR="00430B70">
        <w:rPr>
          <w:bCs/>
          <w:sz w:val="24"/>
          <w:szCs w:val="24"/>
        </w:rPr>
        <w:t>that prevented JDO</w:t>
      </w:r>
      <w:r w:rsidR="00321CCA">
        <w:rPr>
          <w:bCs/>
          <w:sz w:val="24"/>
          <w:szCs w:val="24"/>
        </w:rPr>
        <w:t>G</w:t>
      </w:r>
      <w:r w:rsidR="00430B70">
        <w:rPr>
          <w:bCs/>
          <w:sz w:val="24"/>
          <w:szCs w:val="24"/>
        </w:rPr>
        <w:t xml:space="preserve"> Marketing from</w:t>
      </w:r>
      <w:r w:rsidR="00EB576E">
        <w:rPr>
          <w:bCs/>
          <w:sz w:val="24"/>
          <w:szCs w:val="24"/>
        </w:rPr>
        <w:t xml:space="preserve"> purchasing local gas on the Utilities’ behalf</w:t>
      </w:r>
      <w:r w:rsidR="00321CCA">
        <w:rPr>
          <w:bCs/>
          <w:sz w:val="24"/>
          <w:szCs w:val="24"/>
        </w:rPr>
        <w:t>,</w:t>
      </w:r>
      <w:r w:rsidR="00EB576E">
        <w:rPr>
          <w:bCs/>
          <w:sz w:val="24"/>
          <w:szCs w:val="24"/>
        </w:rPr>
        <w:t xml:space="preserve"> </w:t>
      </w:r>
      <w:r w:rsidR="00430B70">
        <w:rPr>
          <w:bCs/>
          <w:sz w:val="24"/>
          <w:szCs w:val="24"/>
        </w:rPr>
        <w:t>effective</w:t>
      </w:r>
      <w:r w:rsidR="00EB576E">
        <w:rPr>
          <w:bCs/>
          <w:sz w:val="24"/>
          <w:szCs w:val="24"/>
        </w:rPr>
        <w:t xml:space="preserve"> December 2013. </w:t>
      </w:r>
      <w:r w:rsidR="009D727F">
        <w:rPr>
          <w:bCs/>
          <w:sz w:val="24"/>
          <w:szCs w:val="24"/>
        </w:rPr>
        <w:t xml:space="preserve"> </w:t>
      </w:r>
      <w:r w:rsidR="00430B70">
        <w:rPr>
          <w:bCs/>
          <w:sz w:val="24"/>
          <w:szCs w:val="24"/>
        </w:rPr>
        <w:t xml:space="preserve">As a result of </w:t>
      </w:r>
      <w:r w:rsidR="00321CCA">
        <w:rPr>
          <w:bCs/>
          <w:sz w:val="24"/>
          <w:szCs w:val="24"/>
        </w:rPr>
        <w:t xml:space="preserve">the PUCO’s </w:t>
      </w:r>
      <w:r w:rsidR="00430B70">
        <w:rPr>
          <w:bCs/>
          <w:sz w:val="24"/>
          <w:szCs w:val="24"/>
        </w:rPr>
        <w:t>action</w:t>
      </w:r>
      <w:r w:rsidR="00321CCA">
        <w:rPr>
          <w:bCs/>
          <w:sz w:val="24"/>
          <w:szCs w:val="24"/>
        </w:rPr>
        <w:t>,</w:t>
      </w:r>
      <w:r w:rsidR="00EB576E">
        <w:rPr>
          <w:bCs/>
          <w:sz w:val="24"/>
          <w:szCs w:val="24"/>
        </w:rPr>
        <w:t xml:space="preserve"> I ha</w:t>
      </w:r>
      <w:r w:rsidR="00430B70">
        <w:rPr>
          <w:bCs/>
          <w:sz w:val="24"/>
          <w:szCs w:val="24"/>
        </w:rPr>
        <w:t>ve</w:t>
      </w:r>
      <w:r w:rsidR="00EB576E">
        <w:rPr>
          <w:bCs/>
          <w:sz w:val="24"/>
          <w:szCs w:val="24"/>
        </w:rPr>
        <w:t xml:space="preserve"> no re</w:t>
      </w:r>
      <w:r w:rsidR="00111A19">
        <w:rPr>
          <w:bCs/>
          <w:sz w:val="24"/>
          <w:szCs w:val="24"/>
        </w:rPr>
        <w:t>-</w:t>
      </w:r>
      <w:r w:rsidR="00EB576E">
        <w:rPr>
          <w:bCs/>
          <w:sz w:val="24"/>
          <w:szCs w:val="24"/>
        </w:rPr>
        <w:t xml:space="preserve">pricing </w:t>
      </w:r>
      <w:r w:rsidR="00430B70">
        <w:rPr>
          <w:bCs/>
          <w:sz w:val="24"/>
          <w:szCs w:val="24"/>
        </w:rPr>
        <w:t xml:space="preserve">concerns or recommendations </w:t>
      </w:r>
      <w:r w:rsidR="00EB576E">
        <w:rPr>
          <w:bCs/>
          <w:sz w:val="24"/>
          <w:szCs w:val="24"/>
        </w:rPr>
        <w:t>for local gas purchases</w:t>
      </w:r>
      <w:r w:rsidR="00321CCA">
        <w:rPr>
          <w:bCs/>
          <w:sz w:val="24"/>
          <w:szCs w:val="24"/>
        </w:rPr>
        <w:t xml:space="preserve"> after December 2013 </w:t>
      </w:r>
      <w:r w:rsidR="00430B70">
        <w:rPr>
          <w:bCs/>
          <w:sz w:val="24"/>
          <w:szCs w:val="24"/>
        </w:rPr>
        <w:t xml:space="preserve">for </w:t>
      </w:r>
      <w:r w:rsidR="00EB576E">
        <w:rPr>
          <w:bCs/>
          <w:sz w:val="24"/>
          <w:szCs w:val="24"/>
        </w:rPr>
        <w:t>the remaining audit period</w:t>
      </w:r>
      <w:r w:rsidR="002634B6">
        <w:rPr>
          <w:bCs/>
          <w:sz w:val="24"/>
          <w:szCs w:val="24"/>
        </w:rPr>
        <w:t xml:space="preserve"> </w:t>
      </w:r>
      <w:r w:rsidR="00C44B07">
        <w:rPr>
          <w:bCs/>
          <w:sz w:val="24"/>
          <w:szCs w:val="24"/>
        </w:rPr>
        <w:t>(</w:t>
      </w:r>
      <w:r w:rsidR="00E30D94">
        <w:rPr>
          <w:bCs/>
          <w:sz w:val="24"/>
          <w:szCs w:val="24"/>
        </w:rPr>
        <w:t xml:space="preserve">January 2014 through June </w:t>
      </w:r>
      <w:r w:rsidR="00EB576E">
        <w:rPr>
          <w:bCs/>
          <w:sz w:val="24"/>
          <w:szCs w:val="24"/>
        </w:rPr>
        <w:t>2014</w:t>
      </w:r>
      <w:r w:rsidR="00C44B07">
        <w:rPr>
          <w:bCs/>
          <w:sz w:val="24"/>
          <w:szCs w:val="24"/>
        </w:rPr>
        <w:t>)</w:t>
      </w:r>
      <w:r w:rsidR="00EB576E">
        <w:rPr>
          <w:bCs/>
          <w:sz w:val="24"/>
          <w:szCs w:val="24"/>
        </w:rPr>
        <w:t>.</w:t>
      </w:r>
      <w:r w:rsidR="009D727F">
        <w:rPr>
          <w:b/>
          <w:bCs/>
          <w:i/>
          <w:sz w:val="24"/>
          <w:szCs w:val="24"/>
        </w:rPr>
        <w:br w:type="page"/>
      </w:r>
    </w:p>
    <w:p w:rsidR="00576583" w:rsidRDefault="00AA24CE" w:rsidP="00A054C9">
      <w:pPr>
        <w:tabs>
          <w:tab w:val="left" w:pos="720"/>
        </w:tabs>
        <w:spacing w:line="480" w:lineRule="auto"/>
        <w:ind w:left="720" w:hanging="720"/>
        <w:rPr>
          <w:b/>
          <w:bCs/>
          <w:i/>
          <w:sz w:val="24"/>
          <w:szCs w:val="24"/>
        </w:rPr>
      </w:pPr>
      <w:r w:rsidRPr="00AA24CE">
        <w:rPr>
          <w:b/>
          <w:bCs/>
          <w:i/>
          <w:sz w:val="24"/>
          <w:szCs w:val="24"/>
        </w:rPr>
        <w:t>Q</w:t>
      </w:r>
      <w:r w:rsidR="003532E7">
        <w:rPr>
          <w:b/>
          <w:bCs/>
          <w:i/>
          <w:sz w:val="24"/>
          <w:szCs w:val="24"/>
        </w:rPr>
        <w:t>1</w:t>
      </w:r>
      <w:r w:rsidR="00736047">
        <w:rPr>
          <w:b/>
          <w:bCs/>
          <w:i/>
          <w:sz w:val="24"/>
          <w:szCs w:val="24"/>
        </w:rPr>
        <w:t>7</w:t>
      </w:r>
      <w:r w:rsidRPr="00AA24CE">
        <w:rPr>
          <w:b/>
          <w:bCs/>
          <w:i/>
          <w:sz w:val="24"/>
          <w:szCs w:val="24"/>
        </w:rPr>
        <w:t>.</w:t>
      </w:r>
      <w:r w:rsidRPr="00AA24CE">
        <w:rPr>
          <w:b/>
          <w:bCs/>
          <w:i/>
          <w:sz w:val="24"/>
          <w:szCs w:val="24"/>
        </w:rPr>
        <w:tab/>
        <w:t>WHAT ARE OTHER REASONS THE COST OF LOCAL PRODUCTION GAS IS HIGHER FOR NORTHEAST AND ORWELL?</w:t>
      </w:r>
    </w:p>
    <w:p w:rsidR="00AF67EF" w:rsidRDefault="00B351F1" w:rsidP="00A054C9">
      <w:pPr>
        <w:tabs>
          <w:tab w:val="left" w:pos="720"/>
        </w:tabs>
        <w:spacing w:line="480" w:lineRule="auto"/>
        <w:ind w:left="720" w:hanging="720"/>
        <w:rPr>
          <w:bCs/>
          <w:sz w:val="24"/>
          <w:szCs w:val="24"/>
        </w:rPr>
      </w:pPr>
      <w:r>
        <w:rPr>
          <w:b/>
          <w:bCs/>
          <w:i/>
          <w:sz w:val="24"/>
          <w:szCs w:val="24"/>
        </w:rPr>
        <w:t>A</w:t>
      </w:r>
      <w:r w:rsidR="003532E7">
        <w:rPr>
          <w:b/>
          <w:bCs/>
          <w:i/>
          <w:sz w:val="24"/>
          <w:szCs w:val="24"/>
        </w:rPr>
        <w:t>1</w:t>
      </w:r>
      <w:r w:rsidR="00736047">
        <w:rPr>
          <w:b/>
          <w:bCs/>
          <w:i/>
          <w:sz w:val="24"/>
          <w:szCs w:val="24"/>
        </w:rPr>
        <w:t>7</w:t>
      </w:r>
      <w:r>
        <w:rPr>
          <w:b/>
          <w:bCs/>
          <w:i/>
          <w:sz w:val="24"/>
          <w:szCs w:val="24"/>
        </w:rPr>
        <w:t>.</w:t>
      </w:r>
      <w:r>
        <w:rPr>
          <w:b/>
          <w:bCs/>
          <w:i/>
          <w:sz w:val="24"/>
          <w:szCs w:val="24"/>
        </w:rPr>
        <w:tab/>
      </w:r>
      <w:r w:rsidR="003A4120" w:rsidRPr="003A4120">
        <w:rPr>
          <w:bCs/>
          <w:sz w:val="24"/>
          <w:szCs w:val="24"/>
        </w:rPr>
        <w:t xml:space="preserve">Another reason </w:t>
      </w:r>
      <w:r w:rsidR="00321CCA">
        <w:rPr>
          <w:bCs/>
          <w:sz w:val="24"/>
          <w:szCs w:val="24"/>
        </w:rPr>
        <w:t xml:space="preserve">that </w:t>
      </w:r>
      <w:r w:rsidR="003A4120" w:rsidRPr="003A4120">
        <w:rPr>
          <w:bCs/>
          <w:sz w:val="24"/>
          <w:szCs w:val="24"/>
        </w:rPr>
        <w:t>t</w:t>
      </w:r>
      <w:r w:rsidRPr="003A4120">
        <w:rPr>
          <w:bCs/>
          <w:sz w:val="24"/>
          <w:szCs w:val="24"/>
        </w:rPr>
        <w:t>he</w:t>
      </w:r>
      <w:r w:rsidRPr="00B351F1">
        <w:rPr>
          <w:bCs/>
          <w:sz w:val="24"/>
          <w:szCs w:val="24"/>
        </w:rPr>
        <w:t xml:space="preserve"> cost of local production </w:t>
      </w:r>
      <w:r w:rsidR="007B1C0A">
        <w:rPr>
          <w:bCs/>
          <w:sz w:val="24"/>
          <w:szCs w:val="24"/>
        </w:rPr>
        <w:t xml:space="preserve">has been higher for Northeast and Orwell </w:t>
      </w:r>
      <w:r w:rsidR="00C44B07">
        <w:rPr>
          <w:bCs/>
          <w:sz w:val="24"/>
          <w:szCs w:val="24"/>
        </w:rPr>
        <w:t xml:space="preserve">compared to </w:t>
      </w:r>
      <w:r w:rsidR="00BD4DA8">
        <w:rPr>
          <w:bCs/>
          <w:sz w:val="24"/>
          <w:szCs w:val="24"/>
        </w:rPr>
        <w:t>local production costs prior to 2008</w:t>
      </w:r>
      <w:r w:rsidR="00C44B07">
        <w:rPr>
          <w:bCs/>
          <w:sz w:val="24"/>
          <w:szCs w:val="24"/>
        </w:rPr>
        <w:t xml:space="preserve"> </w:t>
      </w:r>
      <w:r w:rsidRPr="00B351F1">
        <w:rPr>
          <w:bCs/>
          <w:sz w:val="24"/>
          <w:szCs w:val="24"/>
        </w:rPr>
        <w:t xml:space="preserve">is </w:t>
      </w:r>
      <w:r w:rsidR="001F342D">
        <w:rPr>
          <w:bCs/>
          <w:sz w:val="24"/>
          <w:szCs w:val="24"/>
        </w:rPr>
        <w:t>th</w:t>
      </w:r>
      <w:r w:rsidR="00E57D00">
        <w:rPr>
          <w:bCs/>
          <w:sz w:val="24"/>
          <w:szCs w:val="24"/>
        </w:rPr>
        <w:t>at</w:t>
      </w:r>
      <w:r w:rsidR="00321CCA">
        <w:rPr>
          <w:bCs/>
          <w:sz w:val="24"/>
          <w:szCs w:val="24"/>
        </w:rPr>
        <w:t>,</w:t>
      </w:r>
      <w:r w:rsidR="00E57D00">
        <w:rPr>
          <w:bCs/>
          <w:sz w:val="24"/>
          <w:szCs w:val="24"/>
        </w:rPr>
        <w:t xml:space="preserve"> </w:t>
      </w:r>
      <w:r w:rsidR="007B1C0A">
        <w:rPr>
          <w:bCs/>
          <w:sz w:val="24"/>
          <w:szCs w:val="24"/>
        </w:rPr>
        <w:t>in the past</w:t>
      </w:r>
      <w:r w:rsidR="00321CCA">
        <w:rPr>
          <w:bCs/>
          <w:sz w:val="24"/>
          <w:szCs w:val="24"/>
        </w:rPr>
        <w:t>,</w:t>
      </w:r>
      <w:r w:rsidR="007B1C0A">
        <w:rPr>
          <w:bCs/>
          <w:sz w:val="24"/>
          <w:szCs w:val="24"/>
        </w:rPr>
        <w:t xml:space="preserve"> </w:t>
      </w:r>
      <w:r w:rsidR="001F342D">
        <w:rPr>
          <w:bCs/>
          <w:sz w:val="24"/>
          <w:szCs w:val="24"/>
        </w:rPr>
        <w:t>Northeast</w:t>
      </w:r>
      <w:r w:rsidR="000129BB">
        <w:rPr>
          <w:bCs/>
          <w:sz w:val="24"/>
          <w:szCs w:val="24"/>
        </w:rPr>
        <w:t xml:space="preserve"> </w:t>
      </w:r>
      <w:r w:rsidRPr="00B351F1">
        <w:rPr>
          <w:bCs/>
          <w:sz w:val="24"/>
          <w:szCs w:val="24"/>
        </w:rPr>
        <w:t>pa</w:t>
      </w:r>
      <w:r w:rsidR="00E57D00">
        <w:rPr>
          <w:bCs/>
          <w:sz w:val="24"/>
          <w:szCs w:val="24"/>
        </w:rPr>
        <w:t>id</w:t>
      </w:r>
      <w:r w:rsidRPr="00B351F1">
        <w:rPr>
          <w:bCs/>
          <w:sz w:val="24"/>
          <w:szCs w:val="24"/>
        </w:rPr>
        <w:t xml:space="preserve"> for</w:t>
      </w:r>
      <w:r>
        <w:rPr>
          <w:bCs/>
          <w:sz w:val="24"/>
          <w:szCs w:val="24"/>
        </w:rPr>
        <w:t xml:space="preserve"> services that </w:t>
      </w:r>
      <w:r w:rsidR="00E57D00">
        <w:rPr>
          <w:bCs/>
          <w:sz w:val="24"/>
          <w:szCs w:val="24"/>
        </w:rPr>
        <w:t>were</w:t>
      </w:r>
      <w:r w:rsidR="005A2329">
        <w:rPr>
          <w:bCs/>
          <w:sz w:val="24"/>
          <w:szCs w:val="24"/>
        </w:rPr>
        <w:t xml:space="preserve"> never performed.</w:t>
      </w:r>
    </w:p>
    <w:p w:rsidR="00AF67EF" w:rsidRDefault="00AF67EF" w:rsidP="00A054C9">
      <w:pPr>
        <w:tabs>
          <w:tab w:val="left" w:pos="720"/>
        </w:tabs>
        <w:spacing w:line="480" w:lineRule="auto"/>
        <w:ind w:left="720" w:hanging="720"/>
        <w:rPr>
          <w:bCs/>
          <w:sz w:val="24"/>
          <w:szCs w:val="24"/>
        </w:rPr>
      </w:pPr>
    </w:p>
    <w:p w:rsidR="00015B4F" w:rsidRDefault="00CA073A" w:rsidP="009D727F">
      <w:pPr>
        <w:tabs>
          <w:tab w:val="left" w:pos="720"/>
        </w:tabs>
        <w:spacing w:line="480" w:lineRule="auto"/>
        <w:ind w:left="720"/>
        <w:rPr>
          <w:bCs/>
          <w:sz w:val="24"/>
          <w:szCs w:val="24"/>
        </w:rPr>
      </w:pPr>
      <w:r>
        <w:rPr>
          <w:bCs/>
          <w:sz w:val="24"/>
          <w:szCs w:val="24"/>
        </w:rPr>
        <w:t>For example,</w:t>
      </w:r>
      <w:r w:rsidR="00B351F1">
        <w:rPr>
          <w:bCs/>
          <w:sz w:val="24"/>
          <w:szCs w:val="24"/>
        </w:rPr>
        <w:t xml:space="preserve"> JDOG</w:t>
      </w:r>
      <w:r w:rsidR="00255993">
        <w:rPr>
          <w:bCs/>
          <w:sz w:val="24"/>
          <w:szCs w:val="24"/>
        </w:rPr>
        <w:t xml:space="preserve"> Marketing</w:t>
      </w:r>
      <w:r w:rsidR="00B351F1">
        <w:rPr>
          <w:bCs/>
          <w:sz w:val="24"/>
          <w:szCs w:val="24"/>
        </w:rPr>
        <w:t xml:space="preserve"> purchase</w:t>
      </w:r>
      <w:r w:rsidR="00E5014E">
        <w:rPr>
          <w:bCs/>
          <w:sz w:val="24"/>
          <w:szCs w:val="24"/>
        </w:rPr>
        <w:t>d</w:t>
      </w:r>
      <w:r w:rsidR="00B351F1">
        <w:rPr>
          <w:bCs/>
          <w:sz w:val="24"/>
          <w:szCs w:val="24"/>
        </w:rPr>
        <w:t xml:space="preserve"> local production gas on behalf of Nort</w:t>
      </w:r>
      <w:r w:rsidR="00AD7E18">
        <w:rPr>
          <w:bCs/>
          <w:sz w:val="24"/>
          <w:szCs w:val="24"/>
        </w:rPr>
        <w:t xml:space="preserve">heast from gas producers delivering </w:t>
      </w:r>
      <w:r w:rsidR="008A15E2">
        <w:rPr>
          <w:bCs/>
          <w:sz w:val="24"/>
          <w:szCs w:val="24"/>
        </w:rPr>
        <w:t xml:space="preserve">gas </w:t>
      </w:r>
      <w:r w:rsidR="00AD7E18">
        <w:rPr>
          <w:bCs/>
          <w:sz w:val="24"/>
          <w:szCs w:val="24"/>
        </w:rPr>
        <w:t>supplies into Cobra Pipeline</w:t>
      </w:r>
      <w:r w:rsidR="00473B84">
        <w:rPr>
          <w:bCs/>
          <w:sz w:val="24"/>
          <w:szCs w:val="24"/>
        </w:rPr>
        <w:t>’s</w:t>
      </w:r>
      <w:r w:rsidR="00AD7E18">
        <w:rPr>
          <w:bCs/>
          <w:sz w:val="24"/>
          <w:szCs w:val="24"/>
        </w:rPr>
        <w:t xml:space="preserve"> Churchtown system.</w:t>
      </w:r>
      <w:r w:rsidR="008A23C0">
        <w:rPr>
          <w:bCs/>
          <w:sz w:val="24"/>
          <w:szCs w:val="24"/>
        </w:rPr>
        <w:t xml:space="preserve"> </w:t>
      </w:r>
      <w:r w:rsidR="009D727F">
        <w:rPr>
          <w:bCs/>
          <w:sz w:val="24"/>
          <w:szCs w:val="24"/>
        </w:rPr>
        <w:t xml:space="preserve"> </w:t>
      </w:r>
      <w:r w:rsidR="008A23C0">
        <w:rPr>
          <w:bCs/>
          <w:sz w:val="24"/>
          <w:szCs w:val="24"/>
        </w:rPr>
        <w:t xml:space="preserve">Cobra Pipeline </w:t>
      </w:r>
      <w:r w:rsidR="00C44B07">
        <w:rPr>
          <w:bCs/>
          <w:sz w:val="24"/>
          <w:szCs w:val="24"/>
        </w:rPr>
        <w:t>--</w:t>
      </w:r>
      <w:r w:rsidR="00081D05">
        <w:rPr>
          <w:bCs/>
          <w:sz w:val="24"/>
          <w:szCs w:val="24"/>
        </w:rPr>
        <w:t xml:space="preserve"> a related company -- </w:t>
      </w:r>
      <w:r w:rsidR="008A23C0">
        <w:rPr>
          <w:bCs/>
          <w:sz w:val="24"/>
          <w:szCs w:val="24"/>
        </w:rPr>
        <w:t xml:space="preserve">is an intrastate pipeline operating only in Ohio, with </w:t>
      </w:r>
      <w:r w:rsidR="00C44B07">
        <w:rPr>
          <w:bCs/>
          <w:sz w:val="24"/>
          <w:szCs w:val="24"/>
        </w:rPr>
        <w:t xml:space="preserve">three separate pipeline systems: </w:t>
      </w:r>
      <w:r w:rsidR="008A23C0">
        <w:rPr>
          <w:bCs/>
          <w:sz w:val="24"/>
          <w:szCs w:val="24"/>
        </w:rPr>
        <w:t xml:space="preserve"> Churchtown,</w:t>
      </w:r>
      <w:r w:rsidR="00C44B07">
        <w:rPr>
          <w:bCs/>
          <w:sz w:val="24"/>
          <w:szCs w:val="24"/>
        </w:rPr>
        <w:t xml:space="preserve"> Homesville and North Trumbull.</w:t>
      </w:r>
      <w:r w:rsidR="008A23C0">
        <w:rPr>
          <w:bCs/>
          <w:sz w:val="24"/>
          <w:szCs w:val="24"/>
        </w:rPr>
        <w:t xml:space="preserve"> </w:t>
      </w:r>
      <w:r w:rsidR="009D727F">
        <w:rPr>
          <w:bCs/>
          <w:sz w:val="24"/>
          <w:szCs w:val="24"/>
        </w:rPr>
        <w:t xml:space="preserve"> </w:t>
      </w:r>
      <w:r w:rsidR="008A23C0">
        <w:rPr>
          <w:bCs/>
          <w:sz w:val="24"/>
          <w:szCs w:val="24"/>
        </w:rPr>
        <w:t xml:space="preserve">Because </w:t>
      </w:r>
      <w:r w:rsidR="00D1329A">
        <w:rPr>
          <w:bCs/>
          <w:sz w:val="24"/>
          <w:szCs w:val="24"/>
        </w:rPr>
        <w:t>there</w:t>
      </w:r>
      <w:r w:rsidR="008A23C0">
        <w:rPr>
          <w:bCs/>
          <w:sz w:val="24"/>
          <w:szCs w:val="24"/>
        </w:rPr>
        <w:t xml:space="preserve"> a</w:t>
      </w:r>
      <w:r w:rsidR="005A2329">
        <w:rPr>
          <w:bCs/>
          <w:sz w:val="24"/>
          <w:szCs w:val="24"/>
        </w:rPr>
        <w:t>re</w:t>
      </w:r>
      <w:r w:rsidR="008A23C0">
        <w:rPr>
          <w:bCs/>
          <w:sz w:val="24"/>
          <w:szCs w:val="24"/>
        </w:rPr>
        <w:t xml:space="preserve"> significant</w:t>
      </w:r>
      <w:r w:rsidR="005A2329">
        <w:rPr>
          <w:bCs/>
          <w:sz w:val="24"/>
          <w:szCs w:val="24"/>
        </w:rPr>
        <w:t xml:space="preserve"> volumes</w:t>
      </w:r>
      <w:r w:rsidR="008A23C0">
        <w:rPr>
          <w:bCs/>
          <w:sz w:val="24"/>
          <w:szCs w:val="24"/>
        </w:rPr>
        <w:t xml:space="preserve"> of high Btu gas in the area, the Churchtown system, located in southeastern Ohio, has a processing plant that extracts butane, propane and other hydrocarbons (except methane) from natural gas delivered by </w:t>
      </w:r>
      <w:r w:rsidR="00C44B07">
        <w:rPr>
          <w:bCs/>
          <w:sz w:val="24"/>
          <w:szCs w:val="24"/>
        </w:rPr>
        <w:t>producers into Cobra Pipeline.</w:t>
      </w:r>
    </w:p>
    <w:p w:rsidR="00015B4F" w:rsidRDefault="00015B4F" w:rsidP="00A054C9">
      <w:pPr>
        <w:tabs>
          <w:tab w:val="left" w:pos="720"/>
        </w:tabs>
        <w:spacing w:line="480" w:lineRule="auto"/>
        <w:ind w:left="720" w:hanging="720"/>
        <w:rPr>
          <w:bCs/>
          <w:sz w:val="24"/>
          <w:szCs w:val="24"/>
        </w:rPr>
      </w:pPr>
    </w:p>
    <w:p w:rsidR="00332788" w:rsidRDefault="00F65B84" w:rsidP="009D727F">
      <w:pPr>
        <w:tabs>
          <w:tab w:val="left" w:pos="720"/>
        </w:tabs>
        <w:spacing w:line="480" w:lineRule="auto"/>
        <w:ind w:left="720"/>
        <w:rPr>
          <w:bCs/>
          <w:sz w:val="24"/>
          <w:szCs w:val="24"/>
        </w:rPr>
      </w:pPr>
      <w:r>
        <w:rPr>
          <w:bCs/>
          <w:sz w:val="24"/>
          <w:szCs w:val="24"/>
        </w:rPr>
        <w:t xml:space="preserve">In the 2012 GCR, the PUCO ruled that Northeast was paying the processing fee to </w:t>
      </w:r>
      <w:r w:rsidR="008A23C0">
        <w:rPr>
          <w:bCs/>
          <w:sz w:val="24"/>
          <w:szCs w:val="24"/>
        </w:rPr>
        <w:t>Cobra</w:t>
      </w:r>
      <w:r w:rsidR="00BE21CB">
        <w:rPr>
          <w:bCs/>
          <w:sz w:val="24"/>
          <w:szCs w:val="24"/>
        </w:rPr>
        <w:t xml:space="preserve"> Pipeline</w:t>
      </w:r>
      <w:r>
        <w:rPr>
          <w:bCs/>
          <w:sz w:val="24"/>
          <w:szCs w:val="24"/>
        </w:rPr>
        <w:t xml:space="preserve"> for</w:t>
      </w:r>
      <w:r w:rsidR="00C44B07">
        <w:rPr>
          <w:bCs/>
          <w:sz w:val="24"/>
          <w:szCs w:val="24"/>
        </w:rPr>
        <w:t xml:space="preserve"> gas that was never actually processed. </w:t>
      </w:r>
      <w:r w:rsidR="00C926D1">
        <w:rPr>
          <w:bCs/>
          <w:sz w:val="24"/>
          <w:szCs w:val="24"/>
        </w:rPr>
        <w:t>Accordingly, the PUCO disallowed $145,363 for processing charges paid by Northeast to Cobra Pipeline</w:t>
      </w:r>
      <w:r w:rsidR="00F3099E">
        <w:rPr>
          <w:bCs/>
          <w:sz w:val="24"/>
          <w:szCs w:val="24"/>
        </w:rPr>
        <w:t xml:space="preserve"> </w:t>
      </w:r>
      <w:r w:rsidR="00AF67EF">
        <w:rPr>
          <w:bCs/>
          <w:sz w:val="24"/>
          <w:szCs w:val="24"/>
        </w:rPr>
        <w:t>reducing rates to</w:t>
      </w:r>
      <w:r w:rsidR="00C926D1">
        <w:rPr>
          <w:bCs/>
          <w:sz w:val="24"/>
          <w:szCs w:val="24"/>
        </w:rPr>
        <w:t xml:space="preserve"> Northeast’s GCR customers</w:t>
      </w:r>
      <w:r w:rsidR="00AF67EF">
        <w:rPr>
          <w:bCs/>
          <w:sz w:val="24"/>
          <w:szCs w:val="24"/>
        </w:rPr>
        <w:t>.</w:t>
      </w:r>
      <w:r w:rsidR="00C926D1">
        <w:rPr>
          <w:rStyle w:val="FootnoteReference"/>
          <w:bCs/>
          <w:sz w:val="24"/>
          <w:szCs w:val="24"/>
        </w:rPr>
        <w:footnoteReference w:id="19"/>
      </w:r>
    </w:p>
    <w:p w:rsidR="00D96E3B" w:rsidRPr="00A41C42" w:rsidRDefault="00D96E3B" w:rsidP="00A054C9">
      <w:pPr>
        <w:tabs>
          <w:tab w:val="left" w:pos="720"/>
        </w:tabs>
        <w:spacing w:line="480" w:lineRule="auto"/>
        <w:ind w:left="720" w:hanging="720"/>
        <w:rPr>
          <w:b/>
          <w:bCs/>
          <w:i/>
          <w:sz w:val="24"/>
          <w:szCs w:val="24"/>
        </w:rPr>
      </w:pPr>
      <w:r w:rsidRPr="00A41C42">
        <w:rPr>
          <w:b/>
          <w:bCs/>
          <w:i/>
          <w:sz w:val="24"/>
          <w:szCs w:val="24"/>
        </w:rPr>
        <w:t>Q</w:t>
      </w:r>
      <w:r w:rsidR="00604852">
        <w:rPr>
          <w:b/>
          <w:bCs/>
          <w:i/>
          <w:sz w:val="24"/>
          <w:szCs w:val="24"/>
        </w:rPr>
        <w:t>18</w:t>
      </w:r>
      <w:r w:rsidRPr="00A41C42">
        <w:rPr>
          <w:b/>
          <w:bCs/>
          <w:i/>
          <w:sz w:val="24"/>
          <w:szCs w:val="24"/>
        </w:rPr>
        <w:t>.</w:t>
      </w:r>
      <w:r w:rsidRPr="00A41C42">
        <w:rPr>
          <w:b/>
          <w:bCs/>
          <w:i/>
          <w:sz w:val="24"/>
          <w:szCs w:val="24"/>
        </w:rPr>
        <w:tab/>
        <w:t xml:space="preserve">HAVE YOU CALCULATED HOW MUCH </w:t>
      </w:r>
      <w:r w:rsidR="00A974DC">
        <w:rPr>
          <w:b/>
          <w:bCs/>
          <w:i/>
          <w:sz w:val="24"/>
          <w:szCs w:val="24"/>
        </w:rPr>
        <w:t xml:space="preserve">NORTHEAST AND </w:t>
      </w:r>
      <w:r w:rsidRPr="00A41C42">
        <w:rPr>
          <w:b/>
          <w:bCs/>
          <w:i/>
          <w:sz w:val="24"/>
          <w:szCs w:val="24"/>
        </w:rPr>
        <w:t>ORWELL</w:t>
      </w:r>
      <w:r w:rsidR="00A974DC">
        <w:rPr>
          <w:b/>
          <w:bCs/>
          <w:i/>
          <w:sz w:val="24"/>
          <w:szCs w:val="24"/>
        </w:rPr>
        <w:t xml:space="preserve"> </w:t>
      </w:r>
      <w:r w:rsidRPr="00A41C42">
        <w:rPr>
          <w:b/>
          <w:bCs/>
          <w:i/>
          <w:sz w:val="24"/>
          <w:szCs w:val="24"/>
        </w:rPr>
        <w:t>OVERPAID</w:t>
      </w:r>
      <w:r w:rsidR="00AF67EF">
        <w:rPr>
          <w:b/>
          <w:bCs/>
          <w:i/>
          <w:sz w:val="24"/>
          <w:szCs w:val="24"/>
        </w:rPr>
        <w:t>, TO THE DETRIMENT OF GCR CUSTOMERS,</w:t>
      </w:r>
      <w:r w:rsidRPr="00A41C42">
        <w:rPr>
          <w:b/>
          <w:bCs/>
          <w:i/>
          <w:sz w:val="24"/>
          <w:szCs w:val="24"/>
        </w:rPr>
        <w:t xml:space="preserve"> FOR LOCAL PRODUCTION GAS DURING THE </w:t>
      </w:r>
      <w:r w:rsidR="00531F0D">
        <w:rPr>
          <w:b/>
          <w:bCs/>
          <w:i/>
          <w:sz w:val="24"/>
          <w:szCs w:val="24"/>
        </w:rPr>
        <w:t xml:space="preserve">CURRENT </w:t>
      </w:r>
      <w:r w:rsidRPr="00A41C42">
        <w:rPr>
          <w:b/>
          <w:bCs/>
          <w:i/>
          <w:sz w:val="24"/>
          <w:szCs w:val="24"/>
        </w:rPr>
        <w:t>AUDIT PERIOD?</w:t>
      </w:r>
    </w:p>
    <w:p w:rsidR="006E3D0E" w:rsidRDefault="00D96E3B" w:rsidP="00A054C9">
      <w:pPr>
        <w:tabs>
          <w:tab w:val="left" w:pos="720"/>
        </w:tabs>
        <w:spacing w:line="480" w:lineRule="auto"/>
        <w:ind w:left="720" w:hanging="720"/>
        <w:rPr>
          <w:bCs/>
          <w:sz w:val="24"/>
          <w:szCs w:val="24"/>
        </w:rPr>
      </w:pPr>
      <w:r w:rsidRPr="00A41C42">
        <w:rPr>
          <w:b/>
          <w:bCs/>
          <w:i/>
          <w:sz w:val="24"/>
          <w:szCs w:val="24"/>
        </w:rPr>
        <w:t>A</w:t>
      </w:r>
      <w:r w:rsidR="00604852">
        <w:rPr>
          <w:b/>
          <w:bCs/>
          <w:i/>
          <w:sz w:val="24"/>
          <w:szCs w:val="24"/>
        </w:rPr>
        <w:t>18</w:t>
      </w:r>
      <w:r w:rsidRPr="00A41C42">
        <w:rPr>
          <w:b/>
          <w:bCs/>
          <w:i/>
          <w:sz w:val="24"/>
          <w:szCs w:val="24"/>
        </w:rPr>
        <w:t>.</w:t>
      </w:r>
      <w:r>
        <w:rPr>
          <w:bCs/>
          <w:sz w:val="24"/>
          <w:szCs w:val="24"/>
        </w:rPr>
        <w:tab/>
        <w:t>Yes.</w:t>
      </w:r>
      <w:r w:rsidR="009D727F">
        <w:rPr>
          <w:bCs/>
          <w:sz w:val="24"/>
          <w:szCs w:val="24"/>
        </w:rPr>
        <w:t xml:space="preserve"> </w:t>
      </w:r>
      <w:r w:rsidR="00C44B07">
        <w:rPr>
          <w:bCs/>
          <w:sz w:val="24"/>
          <w:szCs w:val="24"/>
        </w:rPr>
        <w:t xml:space="preserve"> </w:t>
      </w:r>
      <w:r w:rsidR="006E3D0E">
        <w:rPr>
          <w:bCs/>
          <w:sz w:val="24"/>
          <w:szCs w:val="24"/>
        </w:rPr>
        <w:t xml:space="preserve">I </w:t>
      </w:r>
      <w:r w:rsidR="00696CB9">
        <w:rPr>
          <w:bCs/>
          <w:sz w:val="24"/>
          <w:szCs w:val="24"/>
        </w:rPr>
        <w:t>calculat</w:t>
      </w:r>
      <w:r w:rsidR="006E3D0E">
        <w:rPr>
          <w:bCs/>
          <w:sz w:val="24"/>
          <w:szCs w:val="24"/>
        </w:rPr>
        <w:t>ed</w:t>
      </w:r>
      <w:r w:rsidR="00696CB9">
        <w:rPr>
          <w:bCs/>
          <w:sz w:val="24"/>
          <w:szCs w:val="24"/>
        </w:rPr>
        <w:t xml:space="preserve"> the total overpayment for local production gas purchases by Northeast</w:t>
      </w:r>
      <w:r w:rsidR="006E3D0E">
        <w:rPr>
          <w:bCs/>
          <w:sz w:val="24"/>
          <w:szCs w:val="24"/>
        </w:rPr>
        <w:t>, which should be refunded to its</w:t>
      </w:r>
      <w:r w:rsidR="00696CB9">
        <w:rPr>
          <w:bCs/>
          <w:sz w:val="24"/>
          <w:szCs w:val="24"/>
        </w:rPr>
        <w:t xml:space="preserve"> GCR customers</w:t>
      </w:r>
      <w:r w:rsidR="006E3D0E">
        <w:rPr>
          <w:bCs/>
          <w:sz w:val="24"/>
          <w:szCs w:val="24"/>
        </w:rPr>
        <w:t>,</w:t>
      </w:r>
      <w:r w:rsidR="00696CB9">
        <w:rPr>
          <w:bCs/>
          <w:sz w:val="24"/>
          <w:szCs w:val="24"/>
        </w:rPr>
        <w:t xml:space="preserve"> is $671,696 during the current </w:t>
      </w:r>
      <w:r w:rsidR="006E3D0E">
        <w:rPr>
          <w:bCs/>
          <w:sz w:val="24"/>
          <w:szCs w:val="24"/>
        </w:rPr>
        <w:t>a</w:t>
      </w:r>
      <w:r w:rsidR="00696CB9">
        <w:rPr>
          <w:bCs/>
          <w:sz w:val="24"/>
          <w:szCs w:val="24"/>
        </w:rPr>
        <w:t>udit period.</w:t>
      </w:r>
      <w:r w:rsidR="009D727F">
        <w:rPr>
          <w:bCs/>
          <w:sz w:val="24"/>
          <w:szCs w:val="24"/>
        </w:rPr>
        <w:t xml:space="preserve"> </w:t>
      </w:r>
      <w:r w:rsidR="006E3D0E">
        <w:rPr>
          <w:bCs/>
          <w:sz w:val="24"/>
          <w:szCs w:val="24"/>
        </w:rPr>
        <w:t xml:space="preserve"> I calculated the total overpayment for local production gas purchases by Orwell, which should be refunded to its GCR customers, is $25,181 during the </w:t>
      </w:r>
      <w:r w:rsidR="00157178">
        <w:rPr>
          <w:bCs/>
          <w:sz w:val="24"/>
          <w:szCs w:val="24"/>
        </w:rPr>
        <w:t>current</w:t>
      </w:r>
      <w:r w:rsidR="009D727F">
        <w:rPr>
          <w:bCs/>
          <w:sz w:val="24"/>
          <w:szCs w:val="24"/>
        </w:rPr>
        <w:t xml:space="preserve"> audit period.</w:t>
      </w:r>
    </w:p>
    <w:p w:rsidR="00696CB9" w:rsidRDefault="00696CB9" w:rsidP="00A054C9">
      <w:pPr>
        <w:tabs>
          <w:tab w:val="left" w:pos="720"/>
        </w:tabs>
        <w:spacing w:line="480" w:lineRule="auto"/>
        <w:ind w:left="720" w:hanging="720"/>
        <w:rPr>
          <w:bCs/>
          <w:sz w:val="24"/>
          <w:szCs w:val="24"/>
        </w:rPr>
      </w:pPr>
    </w:p>
    <w:p w:rsidR="00696CB9" w:rsidRDefault="00696CB9" w:rsidP="00A054C9">
      <w:pPr>
        <w:tabs>
          <w:tab w:val="left" w:pos="720"/>
        </w:tabs>
        <w:spacing w:line="480" w:lineRule="auto"/>
        <w:ind w:left="720" w:hanging="720"/>
        <w:rPr>
          <w:bCs/>
          <w:sz w:val="24"/>
          <w:szCs w:val="24"/>
        </w:rPr>
      </w:pPr>
      <w:r w:rsidRPr="00911F98">
        <w:rPr>
          <w:b/>
          <w:bCs/>
          <w:i/>
          <w:sz w:val="24"/>
          <w:szCs w:val="24"/>
        </w:rPr>
        <w:t>Q</w:t>
      </w:r>
      <w:r w:rsidR="00911F98" w:rsidRPr="00911F98">
        <w:rPr>
          <w:b/>
          <w:bCs/>
          <w:i/>
          <w:sz w:val="24"/>
          <w:szCs w:val="24"/>
        </w:rPr>
        <w:t>19</w:t>
      </w:r>
      <w:r w:rsidRPr="00911F98">
        <w:rPr>
          <w:b/>
          <w:bCs/>
          <w:i/>
          <w:sz w:val="24"/>
          <w:szCs w:val="24"/>
        </w:rPr>
        <w:t>.</w:t>
      </w:r>
      <w:r w:rsidR="00774B2E">
        <w:rPr>
          <w:bCs/>
          <w:sz w:val="24"/>
          <w:szCs w:val="24"/>
        </w:rPr>
        <w:tab/>
      </w:r>
      <w:r w:rsidR="00911F98" w:rsidRPr="00911F98">
        <w:rPr>
          <w:b/>
          <w:bCs/>
          <w:i/>
          <w:sz w:val="24"/>
          <w:szCs w:val="24"/>
        </w:rPr>
        <w:t xml:space="preserve">HOW </w:t>
      </w:r>
      <w:r w:rsidR="00AF67EF">
        <w:rPr>
          <w:b/>
          <w:bCs/>
          <w:i/>
          <w:sz w:val="24"/>
          <w:szCs w:val="24"/>
        </w:rPr>
        <w:t xml:space="preserve">DID YOU DETERMINE THE APPROPRIATE REFUND TO CUSTOMERS? </w:t>
      </w:r>
    </w:p>
    <w:p w:rsidR="009E7295" w:rsidRDefault="00696CB9" w:rsidP="00A054C9">
      <w:pPr>
        <w:tabs>
          <w:tab w:val="left" w:pos="720"/>
        </w:tabs>
        <w:spacing w:line="480" w:lineRule="auto"/>
        <w:ind w:left="720" w:hanging="720"/>
        <w:rPr>
          <w:bCs/>
          <w:sz w:val="24"/>
          <w:szCs w:val="24"/>
        </w:rPr>
      </w:pPr>
      <w:r w:rsidRPr="00911F98">
        <w:rPr>
          <w:b/>
          <w:bCs/>
          <w:i/>
          <w:sz w:val="24"/>
          <w:szCs w:val="24"/>
        </w:rPr>
        <w:t>A</w:t>
      </w:r>
      <w:r w:rsidR="00911F98" w:rsidRPr="00911F98">
        <w:rPr>
          <w:b/>
          <w:bCs/>
          <w:i/>
          <w:sz w:val="24"/>
          <w:szCs w:val="24"/>
        </w:rPr>
        <w:t>19</w:t>
      </w:r>
      <w:r w:rsidRPr="00911F98">
        <w:rPr>
          <w:b/>
          <w:bCs/>
          <w:i/>
          <w:sz w:val="24"/>
          <w:szCs w:val="24"/>
        </w:rPr>
        <w:t>.</w:t>
      </w:r>
      <w:r>
        <w:rPr>
          <w:bCs/>
          <w:sz w:val="24"/>
          <w:szCs w:val="24"/>
        </w:rPr>
        <w:tab/>
      </w:r>
      <w:r w:rsidR="00010CD3">
        <w:rPr>
          <w:bCs/>
          <w:sz w:val="24"/>
          <w:szCs w:val="24"/>
        </w:rPr>
        <w:t>As discussed previously</w:t>
      </w:r>
      <w:r w:rsidR="003C7894">
        <w:rPr>
          <w:bCs/>
          <w:sz w:val="24"/>
          <w:szCs w:val="24"/>
        </w:rPr>
        <w:t xml:space="preserve"> and</w:t>
      </w:r>
      <w:r w:rsidR="00010CD3">
        <w:rPr>
          <w:bCs/>
          <w:sz w:val="24"/>
          <w:szCs w:val="24"/>
        </w:rPr>
        <w:t xml:space="preserve"> </w:t>
      </w:r>
      <w:r w:rsidR="003C7894">
        <w:rPr>
          <w:bCs/>
          <w:sz w:val="24"/>
          <w:szCs w:val="24"/>
        </w:rPr>
        <w:t xml:space="preserve">as shown on </w:t>
      </w:r>
      <w:r w:rsidR="0059142D">
        <w:rPr>
          <w:bCs/>
          <w:sz w:val="24"/>
          <w:szCs w:val="24"/>
        </w:rPr>
        <w:t xml:space="preserve">OCC </w:t>
      </w:r>
      <w:r w:rsidR="00010CD3">
        <w:rPr>
          <w:bCs/>
          <w:sz w:val="24"/>
          <w:szCs w:val="24"/>
        </w:rPr>
        <w:t xml:space="preserve">Attachment </w:t>
      </w:r>
      <w:r w:rsidR="005E0B37">
        <w:rPr>
          <w:bCs/>
          <w:sz w:val="24"/>
          <w:szCs w:val="24"/>
        </w:rPr>
        <w:t>GS-3</w:t>
      </w:r>
      <w:r w:rsidR="00010CD3">
        <w:rPr>
          <w:bCs/>
          <w:sz w:val="24"/>
          <w:szCs w:val="24"/>
        </w:rPr>
        <w:t xml:space="preserve">, </w:t>
      </w:r>
      <w:r w:rsidR="003C7894">
        <w:rPr>
          <w:bCs/>
          <w:sz w:val="24"/>
          <w:szCs w:val="24"/>
        </w:rPr>
        <w:t>(</w:t>
      </w:r>
      <w:r w:rsidR="00C132E9">
        <w:rPr>
          <w:bCs/>
          <w:sz w:val="24"/>
          <w:szCs w:val="24"/>
        </w:rPr>
        <w:t>which was developed from Northeast’s</w:t>
      </w:r>
      <w:r w:rsidR="000A5E95">
        <w:rPr>
          <w:bCs/>
          <w:sz w:val="24"/>
          <w:szCs w:val="24"/>
        </w:rPr>
        <w:t xml:space="preserve"> and Orwell’s</w:t>
      </w:r>
      <w:r w:rsidR="00C132E9">
        <w:rPr>
          <w:bCs/>
          <w:sz w:val="24"/>
          <w:szCs w:val="24"/>
        </w:rPr>
        <w:t xml:space="preserve"> Annual Reports to the PUCO</w:t>
      </w:r>
      <w:r w:rsidR="003C7894">
        <w:rPr>
          <w:bCs/>
          <w:sz w:val="24"/>
          <w:szCs w:val="24"/>
        </w:rPr>
        <w:t>)</w:t>
      </w:r>
      <w:r w:rsidR="00C132E9">
        <w:rPr>
          <w:bCs/>
          <w:sz w:val="24"/>
          <w:szCs w:val="24"/>
        </w:rPr>
        <w:t xml:space="preserve">, </w:t>
      </w:r>
      <w:r w:rsidR="00010CD3">
        <w:rPr>
          <w:bCs/>
          <w:sz w:val="24"/>
          <w:szCs w:val="24"/>
        </w:rPr>
        <w:t>for the eight-year period from 2000 through 2007, Northeast purchased local production gas at a</w:t>
      </w:r>
      <w:r w:rsidR="005E0B37">
        <w:rPr>
          <w:bCs/>
          <w:sz w:val="24"/>
          <w:szCs w:val="24"/>
        </w:rPr>
        <w:t xml:space="preserve"> weighted </w:t>
      </w:r>
      <w:r w:rsidR="00010CD3">
        <w:rPr>
          <w:bCs/>
          <w:sz w:val="24"/>
          <w:szCs w:val="24"/>
        </w:rPr>
        <w:t>average rate of $</w:t>
      </w:r>
      <w:r w:rsidR="005E0B37">
        <w:rPr>
          <w:bCs/>
          <w:sz w:val="24"/>
          <w:szCs w:val="24"/>
        </w:rPr>
        <w:t>0</w:t>
      </w:r>
      <w:r w:rsidR="00010CD3">
        <w:rPr>
          <w:bCs/>
          <w:sz w:val="24"/>
          <w:szCs w:val="24"/>
        </w:rPr>
        <w:t>.</w:t>
      </w:r>
      <w:r w:rsidR="005E0B37">
        <w:rPr>
          <w:bCs/>
          <w:sz w:val="24"/>
          <w:szCs w:val="24"/>
        </w:rPr>
        <w:t>97</w:t>
      </w:r>
      <w:r w:rsidR="00010CD3">
        <w:rPr>
          <w:bCs/>
          <w:sz w:val="24"/>
          <w:szCs w:val="24"/>
        </w:rPr>
        <w:t xml:space="preserve"> per Mcf less than the average co</w:t>
      </w:r>
      <w:r w:rsidR="00C44B07">
        <w:rPr>
          <w:bCs/>
          <w:sz w:val="24"/>
          <w:szCs w:val="24"/>
        </w:rPr>
        <w:t xml:space="preserve">st of interstate gas supplies. </w:t>
      </w:r>
      <w:r w:rsidR="009D727F">
        <w:rPr>
          <w:bCs/>
          <w:sz w:val="24"/>
          <w:szCs w:val="24"/>
        </w:rPr>
        <w:t xml:space="preserve"> </w:t>
      </w:r>
      <w:r w:rsidR="00010CD3">
        <w:rPr>
          <w:bCs/>
          <w:sz w:val="24"/>
          <w:szCs w:val="24"/>
        </w:rPr>
        <w:t xml:space="preserve">However, after JDOG </w:t>
      </w:r>
      <w:r w:rsidR="005A2329">
        <w:rPr>
          <w:bCs/>
          <w:sz w:val="24"/>
          <w:szCs w:val="24"/>
        </w:rPr>
        <w:t xml:space="preserve">Marketing </w:t>
      </w:r>
      <w:r w:rsidR="00010CD3">
        <w:rPr>
          <w:bCs/>
          <w:sz w:val="24"/>
          <w:szCs w:val="24"/>
        </w:rPr>
        <w:t xml:space="preserve">began purchasing local gas production for Northeast, for the </w:t>
      </w:r>
      <w:r w:rsidR="004A041E">
        <w:rPr>
          <w:bCs/>
          <w:sz w:val="24"/>
          <w:szCs w:val="24"/>
        </w:rPr>
        <w:t>seven</w:t>
      </w:r>
      <w:r w:rsidR="00010CD3">
        <w:rPr>
          <w:bCs/>
          <w:sz w:val="24"/>
          <w:szCs w:val="24"/>
        </w:rPr>
        <w:t>-year period from 2008 through 201</w:t>
      </w:r>
      <w:r w:rsidR="004A041E">
        <w:rPr>
          <w:bCs/>
          <w:sz w:val="24"/>
          <w:szCs w:val="24"/>
        </w:rPr>
        <w:t>4</w:t>
      </w:r>
      <w:r w:rsidR="00010CD3">
        <w:rPr>
          <w:bCs/>
          <w:sz w:val="24"/>
          <w:szCs w:val="24"/>
        </w:rPr>
        <w:t>, the average cost of local gas was actually higher than the average cost of interstate gas.</w:t>
      </w:r>
      <w:r w:rsidR="00C44B07">
        <w:rPr>
          <w:bCs/>
          <w:sz w:val="24"/>
          <w:szCs w:val="24"/>
        </w:rPr>
        <w:t xml:space="preserve"> </w:t>
      </w:r>
      <w:r w:rsidR="009D727F">
        <w:rPr>
          <w:bCs/>
          <w:sz w:val="24"/>
          <w:szCs w:val="24"/>
        </w:rPr>
        <w:t xml:space="preserve"> </w:t>
      </w:r>
      <w:r w:rsidR="00C132E9">
        <w:rPr>
          <w:bCs/>
          <w:sz w:val="24"/>
          <w:szCs w:val="24"/>
        </w:rPr>
        <w:t xml:space="preserve">By using the same </w:t>
      </w:r>
      <w:r w:rsidR="00236796">
        <w:rPr>
          <w:bCs/>
          <w:sz w:val="24"/>
          <w:szCs w:val="24"/>
        </w:rPr>
        <w:t xml:space="preserve">price </w:t>
      </w:r>
      <w:r w:rsidR="00C132E9">
        <w:rPr>
          <w:bCs/>
          <w:sz w:val="24"/>
          <w:szCs w:val="24"/>
        </w:rPr>
        <w:t>relationship between local gas and interstate gas that was established in the eight years prior to JDOG</w:t>
      </w:r>
      <w:r w:rsidR="005A2329">
        <w:rPr>
          <w:bCs/>
          <w:sz w:val="24"/>
          <w:szCs w:val="24"/>
        </w:rPr>
        <w:t xml:space="preserve"> Marketing</w:t>
      </w:r>
      <w:r w:rsidR="00B44C04">
        <w:rPr>
          <w:bCs/>
          <w:sz w:val="24"/>
          <w:szCs w:val="24"/>
        </w:rPr>
        <w:t>’s involvement in the</w:t>
      </w:r>
      <w:r w:rsidR="00C132E9">
        <w:rPr>
          <w:bCs/>
          <w:sz w:val="24"/>
          <w:szCs w:val="24"/>
        </w:rPr>
        <w:t xml:space="preserve"> purchase </w:t>
      </w:r>
      <w:r w:rsidR="00B44C04">
        <w:rPr>
          <w:bCs/>
          <w:sz w:val="24"/>
          <w:szCs w:val="24"/>
        </w:rPr>
        <w:t>of g</w:t>
      </w:r>
      <w:r w:rsidR="00C132E9">
        <w:rPr>
          <w:bCs/>
          <w:sz w:val="24"/>
          <w:szCs w:val="24"/>
        </w:rPr>
        <w:t xml:space="preserve">as for Northeast, an appropriate annual price for local production can be determined </w:t>
      </w:r>
      <w:r>
        <w:rPr>
          <w:bCs/>
          <w:sz w:val="24"/>
          <w:szCs w:val="24"/>
        </w:rPr>
        <w:t xml:space="preserve">and applied </w:t>
      </w:r>
      <w:r w:rsidR="00C132E9">
        <w:rPr>
          <w:bCs/>
          <w:sz w:val="24"/>
          <w:szCs w:val="24"/>
        </w:rPr>
        <w:t xml:space="preserve">for the </w:t>
      </w:r>
      <w:r w:rsidR="008F19C2">
        <w:rPr>
          <w:bCs/>
          <w:sz w:val="24"/>
          <w:szCs w:val="24"/>
        </w:rPr>
        <w:t xml:space="preserve">audit </w:t>
      </w:r>
      <w:r w:rsidR="00C132E9">
        <w:rPr>
          <w:bCs/>
          <w:sz w:val="24"/>
          <w:szCs w:val="24"/>
        </w:rPr>
        <w:t>period.</w:t>
      </w:r>
      <w:r w:rsidR="00E02DCB">
        <w:rPr>
          <w:bCs/>
          <w:sz w:val="24"/>
          <w:szCs w:val="24"/>
        </w:rPr>
        <w:t xml:space="preserve"> </w:t>
      </w:r>
      <w:r w:rsidR="009D727F">
        <w:rPr>
          <w:bCs/>
          <w:sz w:val="24"/>
          <w:szCs w:val="24"/>
        </w:rPr>
        <w:t xml:space="preserve"> </w:t>
      </w:r>
      <w:r w:rsidR="002A6E3B">
        <w:rPr>
          <w:bCs/>
          <w:sz w:val="24"/>
          <w:szCs w:val="24"/>
        </w:rPr>
        <w:t>This re-pricing will help assure that customers pay fair, just, and reasonable rates for natural gas supply.</w:t>
      </w:r>
    </w:p>
    <w:p w:rsidR="00C0716B" w:rsidRDefault="0059142D" w:rsidP="00A054C9">
      <w:pPr>
        <w:tabs>
          <w:tab w:val="left" w:pos="720"/>
        </w:tabs>
        <w:spacing w:line="480" w:lineRule="auto"/>
        <w:ind w:left="720"/>
        <w:rPr>
          <w:bCs/>
          <w:sz w:val="24"/>
          <w:szCs w:val="24"/>
        </w:rPr>
      </w:pPr>
      <w:r>
        <w:rPr>
          <w:bCs/>
          <w:sz w:val="24"/>
          <w:szCs w:val="24"/>
        </w:rPr>
        <w:t xml:space="preserve">OCC </w:t>
      </w:r>
      <w:r w:rsidR="00DF06AD">
        <w:rPr>
          <w:bCs/>
          <w:sz w:val="24"/>
          <w:szCs w:val="24"/>
        </w:rPr>
        <w:t xml:space="preserve">Attachment </w:t>
      </w:r>
      <w:r w:rsidR="008F19C2">
        <w:rPr>
          <w:bCs/>
          <w:sz w:val="24"/>
          <w:szCs w:val="24"/>
        </w:rPr>
        <w:t>GS-3</w:t>
      </w:r>
      <w:r w:rsidR="00DF06AD">
        <w:rPr>
          <w:bCs/>
          <w:sz w:val="24"/>
          <w:szCs w:val="24"/>
        </w:rPr>
        <w:t>, column (b) shows the average price of local production gas for each year</w:t>
      </w:r>
      <w:r w:rsidR="00B14AA5">
        <w:rPr>
          <w:bCs/>
          <w:sz w:val="24"/>
          <w:szCs w:val="24"/>
        </w:rPr>
        <w:t xml:space="preserve"> from 2000 through 201</w:t>
      </w:r>
      <w:r w:rsidR="008F19C2">
        <w:rPr>
          <w:bCs/>
          <w:sz w:val="24"/>
          <w:szCs w:val="24"/>
        </w:rPr>
        <w:t>4</w:t>
      </w:r>
      <w:r w:rsidR="00C44B07">
        <w:rPr>
          <w:bCs/>
          <w:sz w:val="24"/>
          <w:szCs w:val="24"/>
        </w:rPr>
        <w:t>.</w:t>
      </w:r>
      <w:r w:rsidR="00DF06AD">
        <w:rPr>
          <w:bCs/>
          <w:sz w:val="24"/>
          <w:szCs w:val="24"/>
        </w:rPr>
        <w:t xml:space="preserve"> </w:t>
      </w:r>
      <w:r w:rsidR="009D727F">
        <w:rPr>
          <w:bCs/>
          <w:sz w:val="24"/>
          <w:szCs w:val="24"/>
        </w:rPr>
        <w:t xml:space="preserve"> </w:t>
      </w:r>
      <w:r w:rsidR="002A1A99">
        <w:rPr>
          <w:bCs/>
          <w:sz w:val="24"/>
          <w:szCs w:val="24"/>
        </w:rPr>
        <w:t xml:space="preserve">Reducing the average annual price of local production </w:t>
      </w:r>
      <w:r w:rsidR="00B14AA5">
        <w:rPr>
          <w:bCs/>
          <w:sz w:val="24"/>
          <w:szCs w:val="24"/>
        </w:rPr>
        <w:t xml:space="preserve">for </w:t>
      </w:r>
      <w:r w:rsidR="004A041E">
        <w:rPr>
          <w:bCs/>
          <w:sz w:val="24"/>
          <w:szCs w:val="24"/>
        </w:rPr>
        <w:t xml:space="preserve">the </w:t>
      </w:r>
      <w:r w:rsidR="00B14AA5">
        <w:rPr>
          <w:bCs/>
          <w:sz w:val="24"/>
          <w:szCs w:val="24"/>
        </w:rPr>
        <w:t>20</w:t>
      </w:r>
      <w:r w:rsidR="008F19C2">
        <w:rPr>
          <w:bCs/>
          <w:sz w:val="24"/>
          <w:szCs w:val="24"/>
        </w:rPr>
        <w:t>12</w:t>
      </w:r>
      <w:r w:rsidR="00B14AA5">
        <w:rPr>
          <w:bCs/>
          <w:sz w:val="24"/>
          <w:szCs w:val="24"/>
        </w:rPr>
        <w:t xml:space="preserve"> through 20</w:t>
      </w:r>
      <w:r w:rsidR="008F19C2">
        <w:rPr>
          <w:bCs/>
          <w:sz w:val="24"/>
          <w:szCs w:val="24"/>
        </w:rPr>
        <w:t xml:space="preserve">14 </w:t>
      </w:r>
      <w:r w:rsidR="006E3D0E">
        <w:rPr>
          <w:bCs/>
          <w:sz w:val="24"/>
          <w:szCs w:val="24"/>
        </w:rPr>
        <w:t>a</w:t>
      </w:r>
      <w:r w:rsidR="008F19C2">
        <w:rPr>
          <w:bCs/>
          <w:sz w:val="24"/>
          <w:szCs w:val="24"/>
        </w:rPr>
        <w:t>udit period</w:t>
      </w:r>
      <w:r w:rsidR="00B14AA5">
        <w:rPr>
          <w:bCs/>
          <w:sz w:val="24"/>
          <w:szCs w:val="24"/>
        </w:rPr>
        <w:t xml:space="preserve"> </w:t>
      </w:r>
      <w:r w:rsidR="008F19C2">
        <w:rPr>
          <w:bCs/>
          <w:sz w:val="24"/>
          <w:szCs w:val="24"/>
        </w:rPr>
        <w:t xml:space="preserve">shown in column (b) </w:t>
      </w:r>
      <w:r w:rsidR="002A1A99">
        <w:rPr>
          <w:bCs/>
          <w:sz w:val="24"/>
          <w:szCs w:val="24"/>
        </w:rPr>
        <w:t xml:space="preserve">by </w:t>
      </w:r>
      <w:r w:rsidR="00DF06AD">
        <w:rPr>
          <w:bCs/>
          <w:sz w:val="24"/>
          <w:szCs w:val="24"/>
        </w:rPr>
        <w:t>the</w:t>
      </w:r>
      <w:r w:rsidR="008F19C2">
        <w:rPr>
          <w:bCs/>
          <w:sz w:val="24"/>
          <w:szCs w:val="24"/>
        </w:rPr>
        <w:t xml:space="preserve"> </w:t>
      </w:r>
      <w:r w:rsidR="009E1B34">
        <w:rPr>
          <w:bCs/>
          <w:sz w:val="24"/>
          <w:szCs w:val="24"/>
        </w:rPr>
        <w:t xml:space="preserve">historical </w:t>
      </w:r>
      <w:r w:rsidR="008F19C2">
        <w:rPr>
          <w:bCs/>
          <w:sz w:val="24"/>
          <w:szCs w:val="24"/>
        </w:rPr>
        <w:t>weighted</w:t>
      </w:r>
      <w:r w:rsidR="00DF06AD">
        <w:rPr>
          <w:bCs/>
          <w:sz w:val="24"/>
          <w:szCs w:val="24"/>
        </w:rPr>
        <w:t xml:space="preserve"> average difference between local gas and interstate gas of $</w:t>
      </w:r>
      <w:r w:rsidR="008F19C2">
        <w:rPr>
          <w:bCs/>
          <w:sz w:val="24"/>
          <w:szCs w:val="24"/>
        </w:rPr>
        <w:t>0.97</w:t>
      </w:r>
      <w:r w:rsidR="00DF06AD">
        <w:rPr>
          <w:bCs/>
          <w:sz w:val="24"/>
          <w:szCs w:val="24"/>
        </w:rPr>
        <w:t xml:space="preserve"> per Mcf from the </w:t>
      </w:r>
      <w:r w:rsidR="00B14AA5">
        <w:rPr>
          <w:bCs/>
          <w:sz w:val="24"/>
          <w:szCs w:val="24"/>
        </w:rPr>
        <w:t xml:space="preserve">previous </w:t>
      </w:r>
      <w:r w:rsidR="00DF06AD">
        <w:rPr>
          <w:bCs/>
          <w:sz w:val="24"/>
          <w:szCs w:val="24"/>
        </w:rPr>
        <w:t xml:space="preserve">eight-year period </w:t>
      </w:r>
      <w:r w:rsidR="008F19C2">
        <w:rPr>
          <w:bCs/>
          <w:sz w:val="24"/>
          <w:szCs w:val="24"/>
        </w:rPr>
        <w:t xml:space="preserve">prior to JDOG purchasing gas for Orwell and Northeast </w:t>
      </w:r>
      <w:r w:rsidR="003C7894">
        <w:rPr>
          <w:bCs/>
          <w:sz w:val="24"/>
          <w:szCs w:val="24"/>
        </w:rPr>
        <w:t>(</w:t>
      </w:r>
      <w:r w:rsidR="002A1A99">
        <w:rPr>
          <w:bCs/>
          <w:sz w:val="24"/>
          <w:szCs w:val="24"/>
        </w:rPr>
        <w:t xml:space="preserve">2000 </w:t>
      </w:r>
      <w:r w:rsidR="003C7894">
        <w:rPr>
          <w:bCs/>
          <w:sz w:val="24"/>
          <w:szCs w:val="24"/>
        </w:rPr>
        <w:t>-</w:t>
      </w:r>
      <w:r w:rsidR="002A1A99">
        <w:rPr>
          <w:bCs/>
          <w:sz w:val="24"/>
          <w:szCs w:val="24"/>
        </w:rPr>
        <w:t xml:space="preserve"> 2007</w:t>
      </w:r>
      <w:r w:rsidR="003C7894">
        <w:rPr>
          <w:bCs/>
          <w:sz w:val="24"/>
          <w:szCs w:val="24"/>
        </w:rPr>
        <w:t>)</w:t>
      </w:r>
      <w:r w:rsidR="002A1A99">
        <w:rPr>
          <w:bCs/>
          <w:sz w:val="24"/>
          <w:szCs w:val="24"/>
        </w:rPr>
        <w:t xml:space="preserve"> provides a more appropriate price </w:t>
      </w:r>
      <w:r w:rsidR="00B14AA5">
        <w:rPr>
          <w:bCs/>
          <w:sz w:val="24"/>
          <w:szCs w:val="24"/>
        </w:rPr>
        <w:t>for local gas</w:t>
      </w:r>
      <w:r w:rsidR="009A02EC">
        <w:rPr>
          <w:bCs/>
          <w:sz w:val="24"/>
          <w:szCs w:val="24"/>
        </w:rPr>
        <w:t xml:space="preserve"> </w:t>
      </w:r>
      <w:r w:rsidR="00931F35">
        <w:rPr>
          <w:bCs/>
          <w:sz w:val="24"/>
          <w:szCs w:val="24"/>
        </w:rPr>
        <w:t>during</w:t>
      </w:r>
      <w:r w:rsidR="009A02EC">
        <w:rPr>
          <w:bCs/>
          <w:sz w:val="24"/>
          <w:szCs w:val="24"/>
        </w:rPr>
        <w:t xml:space="preserve"> the </w:t>
      </w:r>
      <w:r w:rsidR="005A2329">
        <w:rPr>
          <w:bCs/>
          <w:sz w:val="24"/>
          <w:szCs w:val="24"/>
        </w:rPr>
        <w:t xml:space="preserve">current </w:t>
      </w:r>
      <w:r w:rsidR="006E3D0E">
        <w:rPr>
          <w:bCs/>
          <w:sz w:val="24"/>
          <w:szCs w:val="24"/>
        </w:rPr>
        <w:t>a</w:t>
      </w:r>
      <w:r w:rsidR="009A02EC">
        <w:rPr>
          <w:bCs/>
          <w:sz w:val="24"/>
          <w:szCs w:val="24"/>
        </w:rPr>
        <w:t>udit period</w:t>
      </w:r>
      <w:r w:rsidR="00C44B07">
        <w:rPr>
          <w:bCs/>
          <w:sz w:val="24"/>
          <w:szCs w:val="24"/>
        </w:rPr>
        <w:t xml:space="preserve">. </w:t>
      </w:r>
      <w:r w:rsidR="009D727F">
        <w:rPr>
          <w:bCs/>
          <w:sz w:val="24"/>
          <w:szCs w:val="24"/>
        </w:rPr>
        <w:t xml:space="preserve"> </w:t>
      </w:r>
      <w:r w:rsidR="005D3626">
        <w:rPr>
          <w:bCs/>
          <w:sz w:val="24"/>
          <w:szCs w:val="24"/>
        </w:rPr>
        <w:t xml:space="preserve">This </w:t>
      </w:r>
      <w:r w:rsidR="009E1B34">
        <w:rPr>
          <w:bCs/>
          <w:sz w:val="24"/>
          <w:szCs w:val="24"/>
        </w:rPr>
        <w:t>adjusted</w:t>
      </w:r>
      <w:r w:rsidR="005D3626">
        <w:rPr>
          <w:bCs/>
          <w:sz w:val="24"/>
          <w:szCs w:val="24"/>
        </w:rPr>
        <w:t xml:space="preserve"> price for local production gas </w:t>
      </w:r>
      <w:r w:rsidR="00931F35">
        <w:rPr>
          <w:bCs/>
          <w:sz w:val="24"/>
          <w:szCs w:val="24"/>
        </w:rPr>
        <w:t>during</w:t>
      </w:r>
      <w:r w:rsidR="009A02EC">
        <w:rPr>
          <w:bCs/>
          <w:sz w:val="24"/>
          <w:szCs w:val="24"/>
        </w:rPr>
        <w:t xml:space="preserve"> the </w:t>
      </w:r>
      <w:r w:rsidR="005A2329">
        <w:rPr>
          <w:bCs/>
          <w:sz w:val="24"/>
          <w:szCs w:val="24"/>
        </w:rPr>
        <w:t>current</w:t>
      </w:r>
      <w:r w:rsidR="00885413">
        <w:rPr>
          <w:bCs/>
          <w:sz w:val="24"/>
          <w:szCs w:val="24"/>
        </w:rPr>
        <w:t xml:space="preserve"> </w:t>
      </w:r>
      <w:r w:rsidR="006E3D0E">
        <w:rPr>
          <w:bCs/>
          <w:sz w:val="24"/>
          <w:szCs w:val="24"/>
        </w:rPr>
        <w:t>a</w:t>
      </w:r>
      <w:r w:rsidR="009A02EC">
        <w:rPr>
          <w:bCs/>
          <w:sz w:val="24"/>
          <w:szCs w:val="24"/>
        </w:rPr>
        <w:t xml:space="preserve">udit period </w:t>
      </w:r>
      <w:r w:rsidR="005D3626">
        <w:rPr>
          <w:bCs/>
          <w:sz w:val="24"/>
          <w:szCs w:val="24"/>
        </w:rPr>
        <w:t xml:space="preserve">is shown in </w:t>
      </w:r>
      <w:r w:rsidR="00DF06AD">
        <w:rPr>
          <w:bCs/>
          <w:sz w:val="24"/>
          <w:szCs w:val="24"/>
        </w:rPr>
        <w:t>column (e)</w:t>
      </w:r>
      <w:r w:rsidR="005D3626">
        <w:rPr>
          <w:bCs/>
          <w:sz w:val="24"/>
          <w:szCs w:val="24"/>
        </w:rPr>
        <w:t>.</w:t>
      </w:r>
    </w:p>
    <w:p w:rsidR="00C0716B" w:rsidRDefault="00C0716B" w:rsidP="00A054C9">
      <w:pPr>
        <w:tabs>
          <w:tab w:val="left" w:pos="720"/>
        </w:tabs>
        <w:spacing w:line="480" w:lineRule="auto"/>
        <w:ind w:left="720" w:hanging="720"/>
        <w:rPr>
          <w:bCs/>
          <w:sz w:val="24"/>
          <w:szCs w:val="24"/>
        </w:rPr>
      </w:pPr>
    </w:p>
    <w:p w:rsidR="00010CD3" w:rsidRDefault="00C0716B" w:rsidP="00A054C9">
      <w:pPr>
        <w:tabs>
          <w:tab w:val="left" w:pos="720"/>
        </w:tabs>
        <w:spacing w:line="480" w:lineRule="auto"/>
        <w:ind w:left="720"/>
        <w:rPr>
          <w:bCs/>
          <w:sz w:val="24"/>
          <w:szCs w:val="24"/>
        </w:rPr>
      </w:pPr>
      <w:r>
        <w:rPr>
          <w:bCs/>
          <w:sz w:val="24"/>
          <w:szCs w:val="24"/>
        </w:rPr>
        <w:t xml:space="preserve">The difference between the price Northeast actually paid for local production </w:t>
      </w:r>
      <w:r w:rsidR="003C7894">
        <w:rPr>
          <w:bCs/>
          <w:sz w:val="24"/>
          <w:szCs w:val="24"/>
        </w:rPr>
        <w:t xml:space="preserve">gas </w:t>
      </w:r>
      <w:r>
        <w:rPr>
          <w:bCs/>
          <w:sz w:val="24"/>
          <w:szCs w:val="24"/>
        </w:rPr>
        <w:t xml:space="preserve">and the adjusted price is shown in column (f) of </w:t>
      </w:r>
      <w:r w:rsidR="0059142D">
        <w:rPr>
          <w:bCs/>
          <w:sz w:val="24"/>
          <w:szCs w:val="24"/>
        </w:rPr>
        <w:t xml:space="preserve">OCC </w:t>
      </w:r>
      <w:r>
        <w:rPr>
          <w:bCs/>
          <w:sz w:val="24"/>
          <w:szCs w:val="24"/>
        </w:rPr>
        <w:t xml:space="preserve">Attachment </w:t>
      </w:r>
      <w:r w:rsidR="008F19C2">
        <w:rPr>
          <w:bCs/>
          <w:sz w:val="24"/>
          <w:szCs w:val="24"/>
        </w:rPr>
        <w:t>GS-3</w:t>
      </w:r>
      <w:r w:rsidR="009E1B34">
        <w:rPr>
          <w:bCs/>
          <w:sz w:val="24"/>
          <w:szCs w:val="24"/>
        </w:rPr>
        <w:t xml:space="preserve"> </w:t>
      </w:r>
      <w:r w:rsidR="00DE129F">
        <w:rPr>
          <w:bCs/>
          <w:sz w:val="24"/>
          <w:szCs w:val="24"/>
        </w:rPr>
        <w:t>represent</w:t>
      </w:r>
      <w:r w:rsidR="006E3D0E">
        <w:rPr>
          <w:bCs/>
          <w:sz w:val="24"/>
          <w:szCs w:val="24"/>
        </w:rPr>
        <w:t>s</w:t>
      </w:r>
      <w:r w:rsidR="00DE129F">
        <w:rPr>
          <w:bCs/>
          <w:sz w:val="24"/>
          <w:szCs w:val="24"/>
        </w:rPr>
        <w:t xml:space="preserve"> the average price per Mcf that Northeast overpaid for local production gas.</w:t>
      </w:r>
      <w:r w:rsidR="00C44B07">
        <w:rPr>
          <w:bCs/>
          <w:sz w:val="24"/>
          <w:szCs w:val="24"/>
        </w:rPr>
        <w:t xml:space="preserve"> </w:t>
      </w:r>
      <w:r w:rsidR="009D727F">
        <w:rPr>
          <w:bCs/>
          <w:sz w:val="24"/>
          <w:szCs w:val="24"/>
        </w:rPr>
        <w:t xml:space="preserve"> </w:t>
      </w:r>
      <w:r w:rsidR="007D2AAD">
        <w:rPr>
          <w:bCs/>
          <w:sz w:val="24"/>
          <w:szCs w:val="24"/>
        </w:rPr>
        <w:t xml:space="preserve">By multiplying the average overpayment in column (f) by the adjusted local production gas purchased during the audit period, shown in column (g), the amount customers overpaid Northeast for local production gas </w:t>
      </w:r>
      <w:r w:rsidR="00455F9E">
        <w:rPr>
          <w:bCs/>
          <w:sz w:val="24"/>
          <w:szCs w:val="24"/>
        </w:rPr>
        <w:t xml:space="preserve">during the audit period </w:t>
      </w:r>
      <w:r w:rsidR="007D2AAD">
        <w:rPr>
          <w:bCs/>
          <w:sz w:val="24"/>
          <w:szCs w:val="24"/>
        </w:rPr>
        <w:t>is shown in column (</w:t>
      </w:r>
      <w:r w:rsidR="000E65BB">
        <w:rPr>
          <w:bCs/>
          <w:sz w:val="24"/>
          <w:szCs w:val="24"/>
        </w:rPr>
        <w:t>i</w:t>
      </w:r>
      <w:r w:rsidR="007D2AAD">
        <w:rPr>
          <w:bCs/>
          <w:sz w:val="24"/>
          <w:szCs w:val="24"/>
        </w:rPr>
        <w:t>).</w:t>
      </w:r>
    </w:p>
    <w:p w:rsidR="009D727F" w:rsidRDefault="009D727F" w:rsidP="00A054C9">
      <w:pPr>
        <w:tabs>
          <w:tab w:val="left" w:pos="720"/>
        </w:tabs>
        <w:spacing w:line="480" w:lineRule="auto"/>
        <w:ind w:left="720"/>
        <w:rPr>
          <w:bCs/>
          <w:sz w:val="24"/>
          <w:szCs w:val="24"/>
        </w:rPr>
      </w:pPr>
    </w:p>
    <w:p w:rsidR="006E3D0E" w:rsidRDefault="006E3D0E" w:rsidP="00A054C9">
      <w:pPr>
        <w:tabs>
          <w:tab w:val="left" w:pos="720"/>
        </w:tabs>
        <w:spacing w:line="480" w:lineRule="auto"/>
        <w:ind w:left="720" w:hanging="720"/>
        <w:rPr>
          <w:bCs/>
          <w:sz w:val="24"/>
          <w:szCs w:val="24"/>
        </w:rPr>
      </w:pPr>
      <w:r w:rsidRPr="006668AB">
        <w:rPr>
          <w:b/>
          <w:bCs/>
          <w:i/>
          <w:sz w:val="24"/>
          <w:szCs w:val="24"/>
        </w:rPr>
        <w:t>Q</w:t>
      </w:r>
      <w:r w:rsidR="00911F98" w:rsidRPr="006668AB">
        <w:rPr>
          <w:b/>
          <w:bCs/>
          <w:i/>
          <w:sz w:val="24"/>
          <w:szCs w:val="24"/>
        </w:rPr>
        <w:t>20</w:t>
      </w:r>
      <w:r w:rsidRPr="006668AB">
        <w:rPr>
          <w:b/>
          <w:bCs/>
          <w:i/>
          <w:sz w:val="24"/>
          <w:szCs w:val="24"/>
        </w:rPr>
        <w:t>.</w:t>
      </w:r>
      <w:r w:rsidRPr="006668AB">
        <w:rPr>
          <w:b/>
          <w:bCs/>
          <w:i/>
          <w:sz w:val="24"/>
          <w:szCs w:val="24"/>
        </w:rPr>
        <w:tab/>
      </w:r>
      <w:r w:rsidR="006668AB" w:rsidRPr="006668AB">
        <w:rPr>
          <w:b/>
          <w:bCs/>
          <w:i/>
          <w:sz w:val="24"/>
          <w:szCs w:val="24"/>
        </w:rPr>
        <w:t>HOW WAS THE AMOUNT THAT ORWELL’S CUSTOMERS HAVE OVERPAID FOR NATURAL GAS SUPPLY DERIVED?</w:t>
      </w:r>
    </w:p>
    <w:p w:rsidR="00877ABF" w:rsidRDefault="006E3D0E" w:rsidP="00A054C9">
      <w:pPr>
        <w:tabs>
          <w:tab w:val="left" w:pos="720"/>
        </w:tabs>
        <w:spacing w:line="480" w:lineRule="auto"/>
        <w:ind w:left="720" w:hanging="720"/>
        <w:rPr>
          <w:bCs/>
          <w:sz w:val="24"/>
          <w:szCs w:val="24"/>
        </w:rPr>
      </w:pPr>
      <w:r w:rsidRPr="006668AB">
        <w:rPr>
          <w:b/>
          <w:bCs/>
          <w:i/>
          <w:sz w:val="24"/>
          <w:szCs w:val="24"/>
        </w:rPr>
        <w:t>A</w:t>
      </w:r>
      <w:r w:rsidR="00911F98" w:rsidRPr="006668AB">
        <w:rPr>
          <w:b/>
          <w:bCs/>
          <w:i/>
          <w:sz w:val="24"/>
          <w:szCs w:val="24"/>
        </w:rPr>
        <w:t>20</w:t>
      </w:r>
      <w:r w:rsidRPr="006668AB">
        <w:rPr>
          <w:b/>
          <w:bCs/>
          <w:i/>
          <w:sz w:val="24"/>
          <w:szCs w:val="24"/>
        </w:rPr>
        <w:t>.</w:t>
      </w:r>
      <w:r>
        <w:rPr>
          <w:bCs/>
          <w:sz w:val="24"/>
          <w:szCs w:val="24"/>
        </w:rPr>
        <w:tab/>
      </w:r>
      <w:r w:rsidR="00877ABF">
        <w:rPr>
          <w:bCs/>
          <w:sz w:val="24"/>
          <w:szCs w:val="24"/>
        </w:rPr>
        <w:t xml:space="preserve">The total overpayment for local production gas </w:t>
      </w:r>
      <w:r w:rsidR="00A0523E">
        <w:rPr>
          <w:bCs/>
          <w:sz w:val="24"/>
          <w:szCs w:val="24"/>
        </w:rPr>
        <w:t xml:space="preserve">that </w:t>
      </w:r>
      <w:r w:rsidR="00877ABF">
        <w:rPr>
          <w:bCs/>
          <w:sz w:val="24"/>
          <w:szCs w:val="24"/>
        </w:rPr>
        <w:t xml:space="preserve">GCR customers paid to Orwell during the </w:t>
      </w:r>
      <w:r w:rsidR="00C44B07">
        <w:rPr>
          <w:bCs/>
          <w:sz w:val="24"/>
          <w:szCs w:val="24"/>
        </w:rPr>
        <w:t xml:space="preserve">current </w:t>
      </w:r>
      <w:r w:rsidR="00885413">
        <w:rPr>
          <w:bCs/>
          <w:sz w:val="24"/>
          <w:szCs w:val="24"/>
        </w:rPr>
        <w:t>A</w:t>
      </w:r>
      <w:r w:rsidR="00877ABF">
        <w:rPr>
          <w:bCs/>
          <w:sz w:val="24"/>
          <w:szCs w:val="24"/>
        </w:rPr>
        <w:t>udit period can be calculated using the same approach developed for Northeast.</w:t>
      </w:r>
      <w:r w:rsidR="00C44B07">
        <w:rPr>
          <w:bCs/>
          <w:sz w:val="24"/>
          <w:szCs w:val="24"/>
        </w:rPr>
        <w:t xml:space="preserve"> </w:t>
      </w:r>
      <w:r w:rsidR="009D727F">
        <w:rPr>
          <w:bCs/>
          <w:sz w:val="24"/>
          <w:szCs w:val="24"/>
        </w:rPr>
        <w:t xml:space="preserve"> </w:t>
      </w:r>
      <w:r w:rsidR="00A77D84">
        <w:rPr>
          <w:bCs/>
          <w:sz w:val="24"/>
          <w:szCs w:val="24"/>
        </w:rPr>
        <w:t xml:space="preserve">The only </w:t>
      </w:r>
      <w:r w:rsidR="00C275E6">
        <w:rPr>
          <w:bCs/>
          <w:sz w:val="24"/>
          <w:szCs w:val="24"/>
        </w:rPr>
        <w:t xml:space="preserve">variable that changed </w:t>
      </w:r>
      <w:r w:rsidR="00A77D84">
        <w:rPr>
          <w:bCs/>
          <w:sz w:val="24"/>
          <w:szCs w:val="24"/>
        </w:rPr>
        <w:t xml:space="preserve">in </w:t>
      </w:r>
      <w:r w:rsidR="00C275E6">
        <w:rPr>
          <w:bCs/>
          <w:sz w:val="24"/>
          <w:szCs w:val="24"/>
        </w:rPr>
        <w:t xml:space="preserve">my analysis takes into consideration </w:t>
      </w:r>
      <w:r w:rsidR="00A77D84">
        <w:rPr>
          <w:bCs/>
          <w:sz w:val="24"/>
          <w:szCs w:val="24"/>
        </w:rPr>
        <w:t xml:space="preserve">that Orwell did not report </w:t>
      </w:r>
      <w:r w:rsidR="00E9282A">
        <w:rPr>
          <w:bCs/>
          <w:sz w:val="24"/>
          <w:szCs w:val="24"/>
        </w:rPr>
        <w:t>a breakdown</w:t>
      </w:r>
      <w:r w:rsidR="00A77D84">
        <w:rPr>
          <w:bCs/>
          <w:sz w:val="24"/>
          <w:szCs w:val="24"/>
        </w:rPr>
        <w:t xml:space="preserve"> of local gas purchases and interstate gas purchases on </w:t>
      </w:r>
      <w:r w:rsidR="008C243E">
        <w:rPr>
          <w:bCs/>
          <w:sz w:val="24"/>
          <w:szCs w:val="24"/>
        </w:rPr>
        <w:t xml:space="preserve">its </w:t>
      </w:r>
      <w:r w:rsidR="00A77D84">
        <w:rPr>
          <w:bCs/>
          <w:sz w:val="24"/>
          <w:szCs w:val="24"/>
        </w:rPr>
        <w:t>Annual Report to the PUCO for a number of years between 200</w:t>
      </w:r>
      <w:r w:rsidR="00B34996">
        <w:rPr>
          <w:bCs/>
          <w:sz w:val="24"/>
          <w:szCs w:val="24"/>
        </w:rPr>
        <w:t>0</w:t>
      </w:r>
      <w:r w:rsidR="00C44B07">
        <w:rPr>
          <w:bCs/>
          <w:sz w:val="24"/>
          <w:szCs w:val="24"/>
        </w:rPr>
        <w:t xml:space="preserve"> and 2007. </w:t>
      </w:r>
      <w:r w:rsidR="009D727F">
        <w:rPr>
          <w:bCs/>
          <w:sz w:val="24"/>
          <w:szCs w:val="24"/>
        </w:rPr>
        <w:t xml:space="preserve"> </w:t>
      </w:r>
      <w:r w:rsidR="00C275E6">
        <w:rPr>
          <w:bCs/>
          <w:sz w:val="24"/>
          <w:szCs w:val="24"/>
        </w:rPr>
        <w:t>Consequently, b</w:t>
      </w:r>
      <w:r w:rsidR="00067F7E">
        <w:rPr>
          <w:bCs/>
          <w:sz w:val="24"/>
          <w:szCs w:val="24"/>
        </w:rPr>
        <w:t xml:space="preserve">ecause of the limited </w:t>
      </w:r>
      <w:r w:rsidR="006C1D2C">
        <w:rPr>
          <w:bCs/>
          <w:sz w:val="24"/>
          <w:szCs w:val="24"/>
        </w:rPr>
        <w:t xml:space="preserve">data points available to calculate the average </w:t>
      </w:r>
      <w:r w:rsidR="00067F7E">
        <w:rPr>
          <w:bCs/>
          <w:sz w:val="24"/>
          <w:szCs w:val="24"/>
        </w:rPr>
        <w:t xml:space="preserve">price </w:t>
      </w:r>
      <w:r w:rsidR="006C1D2C">
        <w:rPr>
          <w:bCs/>
          <w:sz w:val="24"/>
          <w:szCs w:val="24"/>
        </w:rPr>
        <w:t xml:space="preserve">differential between local production gas and interstate gas </w:t>
      </w:r>
      <w:r w:rsidR="00067F7E">
        <w:rPr>
          <w:bCs/>
          <w:sz w:val="24"/>
          <w:szCs w:val="24"/>
        </w:rPr>
        <w:t xml:space="preserve">for Orwell </w:t>
      </w:r>
      <w:r w:rsidR="006C1D2C">
        <w:rPr>
          <w:bCs/>
          <w:sz w:val="24"/>
          <w:szCs w:val="24"/>
        </w:rPr>
        <w:t>prior to 2008</w:t>
      </w:r>
      <w:r w:rsidR="00E9282A">
        <w:rPr>
          <w:bCs/>
          <w:sz w:val="24"/>
          <w:szCs w:val="24"/>
        </w:rPr>
        <w:t>,</w:t>
      </w:r>
      <w:r w:rsidR="00067F7E">
        <w:rPr>
          <w:bCs/>
          <w:sz w:val="24"/>
          <w:szCs w:val="24"/>
        </w:rPr>
        <w:t xml:space="preserve"> I used the same $</w:t>
      </w:r>
      <w:r w:rsidR="000E65BB">
        <w:rPr>
          <w:bCs/>
          <w:sz w:val="24"/>
          <w:szCs w:val="24"/>
        </w:rPr>
        <w:t>0.97</w:t>
      </w:r>
      <w:r w:rsidR="00067F7E">
        <w:rPr>
          <w:bCs/>
          <w:sz w:val="24"/>
          <w:szCs w:val="24"/>
        </w:rPr>
        <w:t xml:space="preserve"> per Mcf differential that I calculated for Northeast.</w:t>
      </w:r>
      <w:r w:rsidR="00E9282A">
        <w:rPr>
          <w:bCs/>
          <w:sz w:val="24"/>
          <w:szCs w:val="24"/>
        </w:rPr>
        <w:t xml:space="preserve"> </w:t>
      </w:r>
      <w:r w:rsidR="009D727F">
        <w:rPr>
          <w:bCs/>
          <w:sz w:val="24"/>
          <w:szCs w:val="24"/>
        </w:rPr>
        <w:t xml:space="preserve"> </w:t>
      </w:r>
      <w:r w:rsidR="00067F7E">
        <w:rPr>
          <w:bCs/>
          <w:sz w:val="24"/>
          <w:szCs w:val="24"/>
        </w:rPr>
        <w:t xml:space="preserve">Had I </w:t>
      </w:r>
      <w:r w:rsidR="0046199F">
        <w:rPr>
          <w:bCs/>
          <w:sz w:val="24"/>
          <w:szCs w:val="24"/>
        </w:rPr>
        <w:t xml:space="preserve">only </w:t>
      </w:r>
      <w:r w:rsidR="00067F7E">
        <w:rPr>
          <w:bCs/>
          <w:sz w:val="24"/>
          <w:szCs w:val="24"/>
        </w:rPr>
        <w:t xml:space="preserve">used the two data points available from Orwell’s </w:t>
      </w:r>
      <w:r w:rsidR="0046199F">
        <w:rPr>
          <w:bCs/>
          <w:sz w:val="24"/>
          <w:szCs w:val="24"/>
        </w:rPr>
        <w:t xml:space="preserve">2000 through 2007 </w:t>
      </w:r>
      <w:r w:rsidR="00067F7E">
        <w:rPr>
          <w:bCs/>
          <w:sz w:val="24"/>
          <w:szCs w:val="24"/>
        </w:rPr>
        <w:t>Annual Reports, the average price differential between local production gas and interstate gas would have been $2.40 per Mcf.</w:t>
      </w:r>
      <w:r w:rsidR="00C44B07">
        <w:rPr>
          <w:bCs/>
          <w:sz w:val="24"/>
          <w:szCs w:val="24"/>
        </w:rPr>
        <w:t xml:space="preserve"> </w:t>
      </w:r>
      <w:r w:rsidR="009D727F">
        <w:rPr>
          <w:bCs/>
          <w:sz w:val="24"/>
          <w:szCs w:val="24"/>
        </w:rPr>
        <w:t xml:space="preserve"> </w:t>
      </w:r>
      <w:r w:rsidR="0046199F">
        <w:rPr>
          <w:bCs/>
          <w:sz w:val="24"/>
          <w:szCs w:val="24"/>
        </w:rPr>
        <w:t>Based on using Northeast’s lower price differential of $</w:t>
      </w:r>
      <w:r w:rsidR="000E65BB">
        <w:rPr>
          <w:bCs/>
          <w:sz w:val="24"/>
          <w:szCs w:val="24"/>
        </w:rPr>
        <w:t>0.97</w:t>
      </w:r>
      <w:r w:rsidR="0046199F">
        <w:rPr>
          <w:bCs/>
          <w:sz w:val="24"/>
          <w:szCs w:val="24"/>
        </w:rPr>
        <w:t xml:space="preserve"> per Mcf, I calculated the total overpayment for local production gas purchases by Orwell’s GCR customers to be $</w:t>
      </w:r>
      <w:r w:rsidR="000E65BB">
        <w:rPr>
          <w:bCs/>
          <w:sz w:val="24"/>
          <w:szCs w:val="24"/>
        </w:rPr>
        <w:t>25,181</w:t>
      </w:r>
      <w:r w:rsidR="0046199F">
        <w:rPr>
          <w:bCs/>
          <w:sz w:val="24"/>
          <w:szCs w:val="24"/>
        </w:rPr>
        <w:t xml:space="preserve"> during the</w:t>
      </w:r>
      <w:r w:rsidR="008D35A2">
        <w:rPr>
          <w:bCs/>
          <w:sz w:val="24"/>
          <w:szCs w:val="24"/>
        </w:rPr>
        <w:t xml:space="preserve"> </w:t>
      </w:r>
      <w:r w:rsidR="00C44B07">
        <w:rPr>
          <w:bCs/>
          <w:sz w:val="24"/>
          <w:szCs w:val="24"/>
        </w:rPr>
        <w:t xml:space="preserve">current </w:t>
      </w:r>
      <w:r>
        <w:rPr>
          <w:bCs/>
          <w:sz w:val="24"/>
          <w:szCs w:val="24"/>
        </w:rPr>
        <w:t>a</w:t>
      </w:r>
      <w:r w:rsidR="0046199F">
        <w:rPr>
          <w:bCs/>
          <w:sz w:val="24"/>
          <w:szCs w:val="24"/>
        </w:rPr>
        <w:t>udit period.</w:t>
      </w:r>
    </w:p>
    <w:p w:rsidR="00774B2E" w:rsidRDefault="00774B2E" w:rsidP="00A054C9">
      <w:pPr>
        <w:tabs>
          <w:tab w:val="left" w:pos="720"/>
        </w:tabs>
        <w:spacing w:line="480" w:lineRule="auto"/>
        <w:ind w:left="720"/>
        <w:rPr>
          <w:bCs/>
          <w:sz w:val="24"/>
          <w:szCs w:val="24"/>
        </w:rPr>
      </w:pPr>
    </w:p>
    <w:p w:rsidR="003532E7" w:rsidRDefault="003532E7" w:rsidP="00A054C9">
      <w:pPr>
        <w:pStyle w:val="ListParagraph"/>
        <w:autoSpaceDE w:val="0"/>
        <w:spacing w:line="480" w:lineRule="auto"/>
        <w:ind w:hanging="720"/>
        <w:rPr>
          <w:b/>
          <w:bCs/>
          <w:sz w:val="24"/>
          <w:szCs w:val="24"/>
        </w:rPr>
      </w:pPr>
      <w:r>
        <w:rPr>
          <w:b/>
          <w:bCs/>
          <w:sz w:val="24"/>
          <w:szCs w:val="24"/>
        </w:rPr>
        <w:t>VII.</w:t>
      </w:r>
      <w:r>
        <w:rPr>
          <w:b/>
          <w:bCs/>
          <w:sz w:val="24"/>
          <w:szCs w:val="24"/>
        </w:rPr>
        <w:tab/>
        <w:t>ORWELL GAS TRANSPORTATION CONTRACTS WITH ORWELL</w:t>
      </w:r>
      <w:r w:rsidR="007F7C4B">
        <w:rPr>
          <w:b/>
          <w:bCs/>
          <w:sz w:val="24"/>
          <w:szCs w:val="24"/>
        </w:rPr>
        <w:t>-</w:t>
      </w:r>
      <w:r>
        <w:rPr>
          <w:b/>
          <w:bCs/>
          <w:sz w:val="24"/>
          <w:szCs w:val="24"/>
        </w:rPr>
        <w:t>TRUMBULL PIPELINE</w:t>
      </w:r>
    </w:p>
    <w:p w:rsidR="003532E7" w:rsidRDefault="003532E7" w:rsidP="00A054C9">
      <w:pPr>
        <w:pStyle w:val="ListParagraph"/>
        <w:autoSpaceDE w:val="0"/>
        <w:spacing w:line="480" w:lineRule="auto"/>
        <w:ind w:hanging="720"/>
        <w:rPr>
          <w:b/>
          <w:bCs/>
          <w:sz w:val="24"/>
          <w:szCs w:val="24"/>
        </w:rPr>
      </w:pPr>
    </w:p>
    <w:p w:rsidR="003532E7" w:rsidRPr="002C3AFF" w:rsidRDefault="003532E7" w:rsidP="00A054C9">
      <w:pPr>
        <w:pStyle w:val="ListParagraph"/>
        <w:autoSpaceDE w:val="0"/>
        <w:spacing w:line="480" w:lineRule="auto"/>
        <w:ind w:hanging="720"/>
        <w:rPr>
          <w:b/>
          <w:bCs/>
          <w:i/>
          <w:sz w:val="24"/>
          <w:szCs w:val="24"/>
        </w:rPr>
      </w:pPr>
      <w:r w:rsidRPr="002C3AFF">
        <w:rPr>
          <w:b/>
          <w:bCs/>
          <w:i/>
          <w:sz w:val="24"/>
          <w:szCs w:val="24"/>
        </w:rPr>
        <w:t>Q</w:t>
      </w:r>
      <w:r w:rsidR="006668AB">
        <w:rPr>
          <w:b/>
          <w:bCs/>
          <w:i/>
          <w:sz w:val="24"/>
          <w:szCs w:val="24"/>
        </w:rPr>
        <w:t>2</w:t>
      </w:r>
      <w:r w:rsidR="00604852">
        <w:rPr>
          <w:b/>
          <w:bCs/>
          <w:i/>
          <w:sz w:val="24"/>
          <w:szCs w:val="24"/>
        </w:rPr>
        <w:t>1</w:t>
      </w:r>
      <w:r w:rsidRPr="002C3AFF">
        <w:rPr>
          <w:b/>
          <w:bCs/>
          <w:i/>
          <w:sz w:val="24"/>
          <w:szCs w:val="24"/>
        </w:rPr>
        <w:t>.</w:t>
      </w:r>
      <w:r w:rsidRPr="002C3AFF">
        <w:rPr>
          <w:b/>
          <w:bCs/>
          <w:i/>
          <w:sz w:val="24"/>
          <w:szCs w:val="24"/>
        </w:rPr>
        <w:tab/>
      </w:r>
      <w:r w:rsidR="0080632B" w:rsidRPr="002C3AFF">
        <w:rPr>
          <w:b/>
          <w:bCs/>
          <w:i/>
          <w:sz w:val="24"/>
          <w:szCs w:val="24"/>
        </w:rPr>
        <w:t>WHAT GAS TRANSPORTATION CONTRACTS DOES ORWELL HAVE WITH OTP?</w:t>
      </w:r>
    </w:p>
    <w:p w:rsidR="009D727F" w:rsidRDefault="002C3AFF" w:rsidP="009D727F">
      <w:pPr>
        <w:spacing w:line="480" w:lineRule="auto"/>
        <w:ind w:left="720" w:hanging="720"/>
        <w:rPr>
          <w:b/>
          <w:bCs/>
          <w:i/>
          <w:sz w:val="24"/>
          <w:szCs w:val="24"/>
        </w:rPr>
      </w:pPr>
      <w:r w:rsidRPr="002C3AFF">
        <w:rPr>
          <w:b/>
          <w:bCs/>
          <w:i/>
          <w:sz w:val="24"/>
          <w:szCs w:val="24"/>
        </w:rPr>
        <w:t>A</w:t>
      </w:r>
      <w:r w:rsidR="006668AB">
        <w:rPr>
          <w:b/>
          <w:bCs/>
          <w:i/>
          <w:sz w:val="24"/>
          <w:szCs w:val="24"/>
        </w:rPr>
        <w:t>2</w:t>
      </w:r>
      <w:r w:rsidR="00604852">
        <w:rPr>
          <w:b/>
          <w:bCs/>
          <w:i/>
          <w:sz w:val="24"/>
          <w:szCs w:val="24"/>
        </w:rPr>
        <w:t>1</w:t>
      </w:r>
      <w:r w:rsidRPr="002C3AFF">
        <w:rPr>
          <w:b/>
          <w:bCs/>
          <w:i/>
          <w:sz w:val="24"/>
          <w:szCs w:val="24"/>
        </w:rPr>
        <w:t>.</w:t>
      </w:r>
      <w:r>
        <w:rPr>
          <w:b/>
          <w:bCs/>
          <w:sz w:val="24"/>
          <w:szCs w:val="24"/>
        </w:rPr>
        <w:tab/>
      </w:r>
      <w:r w:rsidRPr="002C3AFF">
        <w:rPr>
          <w:rFonts w:eastAsiaTheme="minorHAnsi"/>
          <w:sz w:val="24"/>
          <w:szCs w:val="24"/>
          <w:lang w:eastAsia="en-US"/>
        </w:rPr>
        <w:t xml:space="preserve">Orwell </w:t>
      </w:r>
      <w:r w:rsidR="00C275E6">
        <w:rPr>
          <w:rFonts w:eastAsiaTheme="minorHAnsi"/>
          <w:sz w:val="24"/>
          <w:szCs w:val="24"/>
          <w:lang w:eastAsia="en-US"/>
        </w:rPr>
        <w:t xml:space="preserve">entered into </w:t>
      </w:r>
      <w:r w:rsidRPr="002C3AFF">
        <w:rPr>
          <w:rFonts w:eastAsiaTheme="minorHAnsi"/>
          <w:sz w:val="24"/>
          <w:szCs w:val="24"/>
          <w:lang w:eastAsia="en-US"/>
        </w:rPr>
        <w:t xml:space="preserve">a transportation service agreement with OTP on January 1, 2006, </w:t>
      </w:r>
      <w:r w:rsidR="00695274">
        <w:rPr>
          <w:rFonts w:eastAsiaTheme="minorHAnsi"/>
          <w:sz w:val="24"/>
          <w:szCs w:val="24"/>
          <w:lang w:eastAsia="en-US"/>
        </w:rPr>
        <w:t xml:space="preserve">attached as </w:t>
      </w:r>
      <w:r w:rsidRPr="002C3AFF">
        <w:rPr>
          <w:rFonts w:eastAsiaTheme="minorHAnsi"/>
          <w:sz w:val="24"/>
          <w:szCs w:val="24"/>
          <w:lang w:eastAsia="en-US"/>
        </w:rPr>
        <w:t>OCC Attachment GS-4</w:t>
      </w:r>
      <w:r w:rsidR="0054709C">
        <w:rPr>
          <w:rFonts w:eastAsiaTheme="minorHAnsi"/>
          <w:sz w:val="24"/>
          <w:szCs w:val="24"/>
          <w:lang w:eastAsia="en-US"/>
        </w:rPr>
        <w:t>,</w:t>
      </w:r>
      <w:r w:rsidRPr="002C3AFF">
        <w:rPr>
          <w:rFonts w:eastAsiaTheme="minorHAnsi"/>
          <w:sz w:val="24"/>
          <w:szCs w:val="24"/>
          <w:lang w:eastAsia="en-US"/>
        </w:rPr>
        <w:t xml:space="preserve"> and began receiving natural gas deliveries from OTP that year. </w:t>
      </w:r>
      <w:r w:rsidR="009D727F">
        <w:rPr>
          <w:rFonts w:eastAsiaTheme="minorHAnsi"/>
          <w:sz w:val="24"/>
          <w:szCs w:val="24"/>
          <w:lang w:eastAsia="en-US"/>
        </w:rPr>
        <w:t xml:space="preserve"> </w:t>
      </w:r>
      <w:r w:rsidRPr="002C3AFF">
        <w:rPr>
          <w:rFonts w:eastAsiaTheme="minorHAnsi"/>
          <w:sz w:val="24"/>
          <w:szCs w:val="24"/>
          <w:lang w:eastAsia="en-US"/>
        </w:rPr>
        <w:t>Orwell signed a second agreement with OTP on July 1, 2008, which</w:t>
      </w:r>
      <w:r w:rsidR="00984599">
        <w:rPr>
          <w:rFonts w:eastAsiaTheme="minorHAnsi"/>
          <w:sz w:val="24"/>
          <w:szCs w:val="24"/>
          <w:lang w:eastAsia="en-US"/>
        </w:rPr>
        <w:t xml:space="preserve"> replaced the 2006 agreement and </w:t>
      </w:r>
      <w:r w:rsidRPr="002C3AFF">
        <w:rPr>
          <w:rFonts w:eastAsiaTheme="minorHAnsi"/>
          <w:sz w:val="24"/>
          <w:szCs w:val="24"/>
          <w:lang w:eastAsia="en-US"/>
        </w:rPr>
        <w:t>obligated Orwell to transport gas through OTP for a 15</w:t>
      </w:r>
      <w:r w:rsidR="00C275E6">
        <w:rPr>
          <w:rFonts w:eastAsiaTheme="minorHAnsi"/>
          <w:sz w:val="24"/>
          <w:szCs w:val="24"/>
          <w:lang w:eastAsia="en-US"/>
        </w:rPr>
        <w:t>-</w:t>
      </w:r>
      <w:r w:rsidRPr="002C3AFF">
        <w:rPr>
          <w:rFonts w:eastAsiaTheme="minorHAnsi"/>
          <w:sz w:val="24"/>
          <w:szCs w:val="24"/>
          <w:lang w:eastAsia="en-US"/>
        </w:rPr>
        <w:t>year period</w:t>
      </w:r>
      <w:r w:rsidR="00695274">
        <w:rPr>
          <w:rFonts w:eastAsiaTheme="minorHAnsi"/>
          <w:sz w:val="24"/>
          <w:szCs w:val="24"/>
          <w:lang w:eastAsia="en-US"/>
        </w:rPr>
        <w:t xml:space="preserve">, as </w:t>
      </w:r>
      <w:r w:rsidR="005A2329">
        <w:rPr>
          <w:rFonts w:eastAsiaTheme="minorHAnsi"/>
          <w:sz w:val="24"/>
          <w:szCs w:val="24"/>
          <w:lang w:eastAsia="en-US"/>
        </w:rPr>
        <w:t xml:space="preserve">noted in </w:t>
      </w:r>
      <w:r w:rsidR="00695274">
        <w:rPr>
          <w:rFonts w:eastAsiaTheme="minorHAnsi"/>
          <w:sz w:val="24"/>
          <w:szCs w:val="24"/>
          <w:lang w:eastAsia="en-US"/>
        </w:rPr>
        <w:t>OC</w:t>
      </w:r>
      <w:r w:rsidRPr="002C3AFF">
        <w:rPr>
          <w:rFonts w:eastAsiaTheme="minorHAnsi"/>
          <w:sz w:val="24"/>
          <w:szCs w:val="24"/>
          <w:lang w:eastAsia="en-US"/>
        </w:rPr>
        <w:t>C Attachment GS-5.</w:t>
      </w:r>
      <w:r w:rsidR="009D727F">
        <w:rPr>
          <w:b/>
          <w:bCs/>
          <w:i/>
          <w:sz w:val="24"/>
          <w:szCs w:val="24"/>
        </w:rPr>
        <w:br w:type="page"/>
      </w:r>
    </w:p>
    <w:p w:rsidR="00192BCA" w:rsidRPr="00192BCA" w:rsidRDefault="00192BCA" w:rsidP="00A054C9">
      <w:pPr>
        <w:spacing w:line="480" w:lineRule="auto"/>
        <w:ind w:left="720" w:hanging="720"/>
        <w:rPr>
          <w:rFonts w:eastAsiaTheme="minorHAnsi"/>
          <w:b/>
          <w:i/>
          <w:sz w:val="24"/>
          <w:szCs w:val="24"/>
          <w:lang w:eastAsia="en-US"/>
        </w:rPr>
      </w:pPr>
      <w:r w:rsidRPr="00192BCA">
        <w:rPr>
          <w:b/>
          <w:bCs/>
          <w:i/>
          <w:sz w:val="24"/>
          <w:szCs w:val="24"/>
        </w:rPr>
        <w:t>Q</w:t>
      </w:r>
      <w:r w:rsidR="00604852">
        <w:rPr>
          <w:b/>
          <w:bCs/>
          <w:i/>
          <w:sz w:val="24"/>
          <w:szCs w:val="24"/>
        </w:rPr>
        <w:t>2</w:t>
      </w:r>
      <w:r w:rsidR="006668AB">
        <w:rPr>
          <w:b/>
          <w:bCs/>
          <w:i/>
          <w:sz w:val="24"/>
          <w:szCs w:val="24"/>
        </w:rPr>
        <w:t>2</w:t>
      </w:r>
      <w:r w:rsidRPr="00192BCA">
        <w:rPr>
          <w:b/>
          <w:bCs/>
          <w:i/>
          <w:sz w:val="24"/>
          <w:szCs w:val="24"/>
        </w:rPr>
        <w:t>.</w:t>
      </w:r>
      <w:r w:rsidRPr="00192BCA">
        <w:rPr>
          <w:rFonts w:eastAsiaTheme="minorHAnsi"/>
          <w:b/>
          <w:i/>
          <w:sz w:val="24"/>
          <w:szCs w:val="24"/>
          <w:lang w:eastAsia="en-US"/>
        </w:rPr>
        <w:tab/>
        <w:t>ARE ORWELL AND OTP AFFILIATED OR RELATED IN ANY WAY?</w:t>
      </w:r>
    </w:p>
    <w:p w:rsidR="00192BCA" w:rsidRDefault="00192BCA" w:rsidP="00A054C9">
      <w:pPr>
        <w:spacing w:line="480" w:lineRule="auto"/>
        <w:ind w:left="720" w:hanging="720"/>
        <w:rPr>
          <w:rFonts w:eastAsiaTheme="minorHAnsi"/>
          <w:sz w:val="24"/>
          <w:szCs w:val="24"/>
          <w:lang w:eastAsia="en-US"/>
        </w:rPr>
      </w:pPr>
      <w:r w:rsidRPr="00192BCA">
        <w:rPr>
          <w:rFonts w:eastAsiaTheme="minorHAnsi"/>
          <w:b/>
          <w:i/>
          <w:sz w:val="24"/>
          <w:szCs w:val="24"/>
          <w:lang w:eastAsia="en-US"/>
        </w:rPr>
        <w:t>A</w:t>
      </w:r>
      <w:r w:rsidR="00604852">
        <w:rPr>
          <w:rFonts w:eastAsiaTheme="minorHAnsi"/>
          <w:b/>
          <w:i/>
          <w:sz w:val="24"/>
          <w:szCs w:val="24"/>
          <w:lang w:eastAsia="en-US"/>
        </w:rPr>
        <w:t>2</w:t>
      </w:r>
      <w:r w:rsidR="006668AB">
        <w:rPr>
          <w:rFonts w:eastAsiaTheme="minorHAnsi"/>
          <w:b/>
          <w:i/>
          <w:sz w:val="24"/>
          <w:szCs w:val="24"/>
          <w:lang w:eastAsia="en-US"/>
        </w:rPr>
        <w:t>2</w:t>
      </w:r>
      <w:r w:rsidRPr="00192BCA">
        <w:rPr>
          <w:rFonts w:eastAsiaTheme="minorHAnsi"/>
          <w:b/>
          <w:i/>
          <w:sz w:val="24"/>
          <w:szCs w:val="24"/>
          <w:lang w:eastAsia="en-US"/>
        </w:rPr>
        <w:t>.</w:t>
      </w:r>
      <w:r>
        <w:rPr>
          <w:rFonts w:eastAsiaTheme="minorHAnsi"/>
          <w:sz w:val="24"/>
          <w:szCs w:val="24"/>
          <w:lang w:eastAsia="en-US"/>
        </w:rPr>
        <w:tab/>
        <w:t xml:space="preserve">Yes, at the time the contracts were signed, both </w:t>
      </w:r>
      <w:r w:rsidR="008D4777">
        <w:rPr>
          <w:rFonts w:eastAsiaTheme="minorHAnsi"/>
          <w:sz w:val="24"/>
          <w:szCs w:val="24"/>
          <w:lang w:eastAsia="en-US"/>
        </w:rPr>
        <w:t>Orwell and OTP</w:t>
      </w:r>
      <w:r>
        <w:rPr>
          <w:rFonts w:eastAsiaTheme="minorHAnsi"/>
          <w:sz w:val="24"/>
          <w:szCs w:val="24"/>
          <w:lang w:eastAsia="en-US"/>
        </w:rPr>
        <w:t xml:space="preserve"> were under t</w:t>
      </w:r>
      <w:r w:rsidR="00C44B07">
        <w:rPr>
          <w:rFonts w:eastAsiaTheme="minorHAnsi"/>
          <w:sz w:val="24"/>
          <w:szCs w:val="24"/>
          <w:lang w:eastAsia="en-US"/>
        </w:rPr>
        <w:t>he control of Richard Osborne.</w:t>
      </w:r>
      <w:r w:rsidR="00E66727">
        <w:rPr>
          <w:rStyle w:val="FootnoteReference"/>
          <w:rFonts w:eastAsiaTheme="minorHAnsi"/>
          <w:sz w:val="24"/>
          <w:szCs w:val="24"/>
          <w:lang w:eastAsia="en-US"/>
        </w:rPr>
        <w:footnoteReference w:id="20"/>
      </w:r>
      <w:r w:rsidR="00C44B07">
        <w:rPr>
          <w:rFonts w:eastAsiaTheme="minorHAnsi"/>
          <w:sz w:val="24"/>
          <w:szCs w:val="24"/>
          <w:lang w:eastAsia="en-US"/>
        </w:rPr>
        <w:t xml:space="preserve"> </w:t>
      </w:r>
      <w:r w:rsidR="009D727F">
        <w:rPr>
          <w:rFonts w:eastAsiaTheme="minorHAnsi"/>
          <w:sz w:val="24"/>
          <w:szCs w:val="24"/>
          <w:lang w:eastAsia="en-US"/>
        </w:rPr>
        <w:t xml:space="preserve"> </w:t>
      </w:r>
      <w:r>
        <w:rPr>
          <w:rFonts w:eastAsiaTheme="minorHAnsi"/>
          <w:sz w:val="24"/>
          <w:szCs w:val="24"/>
          <w:lang w:eastAsia="en-US"/>
        </w:rPr>
        <w:t>Mr</w:t>
      </w:r>
      <w:r w:rsidR="001940F4">
        <w:rPr>
          <w:rFonts w:eastAsiaTheme="minorHAnsi"/>
          <w:sz w:val="24"/>
          <w:szCs w:val="24"/>
          <w:lang w:eastAsia="en-US"/>
        </w:rPr>
        <w:t>.</w:t>
      </w:r>
      <w:r>
        <w:rPr>
          <w:rFonts w:eastAsiaTheme="minorHAnsi"/>
          <w:sz w:val="24"/>
          <w:szCs w:val="24"/>
          <w:lang w:eastAsia="en-US"/>
        </w:rPr>
        <w:t xml:space="preserve"> Osborne was the owner of OTP</w:t>
      </w:r>
      <w:r w:rsidR="0061648F">
        <w:rPr>
          <w:rStyle w:val="FootnoteReference"/>
          <w:rFonts w:eastAsiaTheme="minorHAnsi"/>
          <w:sz w:val="24"/>
          <w:szCs w:val="24"/>
          <w:lang w:eastAsia="en-US"/>
        </w:rPr>
        <w:footnoteReference w:id="21"/>
      </w:r>
      <w:r>
        <w:rPr>
          <w:rFonts w:eastAsiaTheme="minorHAnsi"/>
          <w:sz w:val="24"/>
          <w:szCs w:val="24"/>
          <w:lang w:eastAsia="en-US"/>
        </w:rPr>
        <w:t xml:space="preserve"> and the </w:t>
      </w:r>
      <w:r w:rsidR="001940F4">
        <w:rPr>
          <w:rFonts w:eastAsiaTheme="minorHAnsi"/>
          <w:sz w:val="24"/>
          <w:szCs w:val="24"/>
          <w:lang w:eastAsia="en-US"/>
        </w:rPr>
        <w:t xml:space="preserve">Chairman of the Board and CEO of Gas Natural, Inc. </w:t>
      </w:r>
      <w:r w:rsidR="00147072">
        <w:rPr>
          <w:rFonts w:eastAsiaTheme="minorHAnsi"/>
          <w:sz w:val="24"/>
          <w:szCs w:val="24"/>
          <w:lang w:eastAsia="en-US"/>
        </w:rPr>
        <w:t>(“GNI”)</w:t>
      </w:r>
      <w:r w:rsidR="005A2329">
        <w:rPr>
          <w:rFonts w:eastAsiaTheme="minorHAnsi"/>
          <w:sz w:val="24"/>
          <w:szCs w:val="24"/>
          <w:lang w:eastAsia="en-US"/>
        </w:rPr>
        <w:t>,</w:t>
      </w:r>
      <w:r w:rsidR="0061648F">
        <w:rPr>
          <w:rStyle w:val="FootnoteReference"/>
          <w:rFonts w:eastAsiaTheme="minorHAnsi"/>
          <w:sz w:val="24"/>
          <w:szCs w:val="24"/>
          <w:lang w:eastAsia="en-US"/>
        </w:rPr>
        <w:footnoteReference w:id="22"/>
      </w:r>
      <w:r w:rsidR="00147072">
        <w:rPr>
          <w:rFonts w:eastAsiaTheme="minorHAnsi"/>
          <w:sz w:val="24"/>
          <w:szCs w:val="24"/>
          <w:lang w:eastAsia="en-US"/>
        </w:rPr>
        <w:t xml:space="preserve"> </w:t>
      </w:r>
      <w:r w:rsidR="001940F4">
        <w:rPr>
          <w:rFonts w:eastAsiaTheme="minorHAnsi"/>
          <w:sz w:val="24"/>
          <w:szCs w:val="24"/>
          <w:lang w:eastAsia="en-US"/>
        </w:rPr>
        <w:t>the parent company of Orwell</w:t>
      </w:r>
      <w:r w:rsidR="00267CB4">
        <w:rPr>
          <w:rFonts w:eastAsiaTheme="minorHAnsi"/>
          <w:sz w:val="24"/>
          <w:szCs w:val="24"/>
          <w:lang w:eastAsia="en-US"/>
        </w:rPr>
        <w:t>.</w:t>
      </w:r>
      <w:r w:rsidR="00E6276A" w:rsidRPr="00E6276A">
        <w:rPr>
          <w:rStyle w:val="FootnoteReference"/>
          <w:rFonts w:eastAsiaTheme="minorHAnsi"/>
          <w:sz w:val="24"/>
          <w:szCs w:val="24"/>
          <w:lang w:eastAsia="en-US"/>
        </w:rPr>
        <w:t xml:space="preserve"> </w:t>
      </w:r>
      <w:r w:rsidR="00E6276A">
        <w:rPr>
          <w:rStyle w:val="FootnoteReference"/>
          <w:rFonts w:eastAsiaTheme="minorHAnsi"/>
          <w:sz w:val="24"/>
          <w:szCs w:val="24"/>
          <w:lang w:eastAsia="en-US"/>
        </w:rPr>
        <w:footnoteReference w:id="23"/>
      </w:r>
      <w:r w:rsidR="00E6276A">
        <w:rPr>
          <w:rFonts w:eastAsiaTheme="minorHAnsi"/>
          <w:sz w:val="24"/>
          <w:szCs w:val="24"/>
          <w:lang w:eastAsia="en-US"/>
        </w:rPr>
        <w:t xml:space="preserve"> </w:t>
      </w:r>
      <w:r w:rsidR="009D727F">
        <w:rPr>
          <w:rFonts w:eastAsiaTheme="minorHAnsi"/>
          <w:sz w:val="24"/>
          <w:szCs w:val="24"/>
          <w:lang w:eastAsia="en-US"/>
        </w:rPr>
        <w:t xml:space="preserve"> </w:t>
      </w:r>
      <w:r w:rsidR="00267CB4">
        <w:rPr>
          <w:rFonts w:eastAsiaTheme="minorHAnsi"/>
          <w:sz w:val="24"/>
          <w:szCs w:val="24"/>
          <w:lang w:eastAsia="en-US"/>
        </w:rPr>
        <w:t xml:space="preserve">It is my understanding that an affiliate is a company that </w:t>
      </w:r>
      <w:r w:rsidR="00147072">
        <w:rPr>
          <w:rFonts w:eastAsiaTheme="minorHAnsi"/>
          <w:sz w:val="24"/>
          <w:szCs w:val="24"/>
          <w:lang w:eastAsia="en-US"/>
        </w:rPr>
        <w:t>shares common ownership with another company.</w:t>
      </w:r>
      <w:r w:rsidR="009D727F">
        <w:rPr>
          <w:rFonts w:eastAsiaTheme="minorHAnsi"/>
          <w:sz w:val="24"/>
          <w:szCs w:val="24"/>
          <w:lang w:eastAsia="en-US"/>
        </w:rPr>
        <w:t xml:space="preserve"> </w:t>
      </w:r>
      <w:r w:rsidR="005A2329">
        <w:rPr>
          <w:rFonts w:eastAsiaTheme="minorHAnsi"/>
          <w:sz w:val="24"/>
          <w:szCs w:val="24"/>
          <w:lang w:eastAsia="en-US"/>
        </w:rPr>
        <w:t xml:space="preserve"> </w:t>
      </w:r>
      <w:r w:rsidR="00147072">
        <w:rPr>
          <w:rFonts w:eastAsiaTheme="minorHAnsi"/>
          <w:sz w:val="24"/>
          <w:szCs w:val="24"/>
          <w:lang w:eastAsia="en-US"/>
        </w:rPr>
        <w:t xml:space="preserve">In this </w:t>
      </w:r>
      <w:r w:rsidR="00C275E6">
        <w:rPr>
          <w:rFonts w:eastAsiaTheme="minorHAnsi"/>
          <w:sz w:val="24"/>
          <w:szCs w:val="24"/>
          <w:lang w:eastAsia="en-US"/>
        </w:rPr>
        <w:t>instance</w:t>
      </w:r>
      <w:r w:rsidR="00147072">
        <w:rPr>
          <w:rFonts w:eastAsiaTheme="minorHAnsi"/>
          <w:sz w:val="24"/>
          <w:szCs w:val="24"/>
          <w:lang w:eastAsia="en-US"/>
        </w:rPr>
        <w:t>, Richard Osborne owned OTP</w:t>
      </w:r>
      <w:r w:rsidR="0061648F">
        <w:rPr>
          <w:rFonts w:eastAsiaTheme="minorHAnsi"/>
          <w:sz w:val="24"/>
          <w:szCs w:val="24"/>
          <w:lang w:eastAsia="en-US"/>
        </w:rPr>
        <w:t xml:space="preserve"> at the same time</w:t>
      </w:r>
      <w:r w:rsidR="00147072">
        <w:rPr>
          <w:rFonts w:eastAsiaTheme="minorHAnsi"/>
          <w:sz w:val="24"/>
          <w:szCs w:val="24"/>
          <w:lang w:eastAsia="en-US"/>
        </w:rPr>
        <w:t xml:space="preserve"> he was CEO of GNI and a majority stockholder in </w:t>
      </w:r>
      <w:r w:rsidR="005A2329">
        <w:rPr>
          <w:rFonts w:eastAsiaTheme="minorHAnsi"/>
          <w:sz w:val="24"/>
          <w:szCs w:val="24"/>
          <w:lang w:eastAsia="en-US"/>
        </w:rPr>
        <w:t>GNI.</w:t>
      </w:r>
      <w:r w:rsidR="00147072">
        <w:rPr>
          <w:rFonts w:eastAsiaTheme="minorHAnsi"/>
          <w:sz w:val="24"/>
          <w:szCs w:val="24"/>
          <w:lang w:eastAsia="en-US"/>
        </w:rPr>
        <w:t xml:space="preserve"> </w:t>
      </w:r>
      <w:r w:rsidR="009D727F">
        <w:rPr>
          <w:rFonts w:eastAsiaTheme="minorHAnsi"/>
          <w:sz w:val="24"/>
          <w:szCs w:val="24"/>
          <w:lang w:eastAsia="en-US"/>
        </w:rPr>
        <w:t xml:space="preserve"> </w:t>
      </w:r>
      <w:r w:rsidR="00147072">
        <w:rPr>
          <w:rFonts w:eastAsiaTheme="minorHAnsi"/>
          <w:sz w:val="24"/>
          <w:szCs w:val="24"/>
          <w:lang w:eastAsia="en-US"/>
        </w:rPr>
        <w:t xml:space="preserve">Therefore, it is my </w:t>
      </w:r>
      <w:r w:rsidR="005A2329">
        <w:rPr>
          <w:rFonts w:eastAsiaTheme="minorHAnsi"/>
          <w:sz w:val="24"/>
          <w:szCs w:val="24"/>
          <w:lang w:eastAsia="en-US"/>
        </w:rPr>
        <w:t>understanding</w:t>
      </w:r>
      <w:r w:rsidR="00147072">
        <w:rPr>
          <w:rFonts w:eastAsiaTheme="minorHAnsi"/>
          <w:sz w:val="24"/>
          <w:szCs w:val="24"/>
          <w:lang w:eastAsia="en-US"/>
        </w:rPr>
        <w:t xml:space="preserve"> that OTP and Orwell are related companies, rather than affiliates.</w:t>
      </w:r>
    </w:p>
    <w:p w:rsidR="00E1147A" w:rsidRDefault="00E1147A" w:rsidP="00A054C9">
      <w:pPr>
        <w:spacing w:line="480" w:lineRule="auto"/>
        <w:ind w:left="720" w:hanging="720"/>
        <w:rPr>
          <w:rFonts w:eastAsiaTheme="minorHAnsi"/>
          <w:sz w:val="24"/>
          <w:szCs w:val="24"/>
          <w:lang w:eastAsia="en-US"/>
        </w:rPr>
      </w:pPr>
    </w:p>
    <w:p w:rsidR="00E1147A" w:rsidRDefault="00E1147A" w:rsidP="00A054C9">
      <w:pPr>
        <w:spacing w:line="480" w:lineRule="auto"/>
        <w:ind w:left="720" w:hanging="720"/>
        <w:rPr>
          <w:rFonts w:eastAsiaTheme="minorHAnsi"/>
          <w:b/>
          <w:i/>
          <w:sz w:val="24"/>
          <w:szCs w:val="24"/>
          <w:lang w:eastAsia="en-US"/>
        </w:rPr>
      </w:pPr>
      <w:r w:rsidRPr="00E1147A">
        <w:rPr>
          <w:rFonts w:eastAsiaTheme="minorHAnsi"/>
          <w:b/>
          <w:i/>
          <w:sz w:val="24"/>
          <w:szCs w:val="24"/>
          <w:lang w:eastAsia="en-US"/>
        </w:rPr>
        <w:t>Q2</w:t>
      </w:r>
      <w:r w:rsidR="006668AB">
        <w:rPr>
          <w:rFonts w:eastAsiaTheme="minorHAnsi"/>
          <w:b/>
          <w:i/>
          <w:sz w:val="24"/>
          <w:szCs w:val="24"/>
          <w:lang w:eastAsia="en-US"/>
        </w:rPr>
        <w:t>3</w:t>
      </w:r>
      <w:r w:rsidRPr="00E1147A">
        <w:rPr>
          <w:rFonts w:eastAsiaTheme="minorHAnsi"/>
          <w:b/>
          <w:i/>
          <w:sz w:val="24"/>
          <w:szCs w:val="24"/>
          <w:lang w:eastAsia="en-US"/>
        </w:rPr>
        <w:t>.</w:t>
      </w:r>
      <w:r w:rsidRPr="00E1147A">
        <w:rPr>
          <w:rFonts w:eastAsiaTheme="minorHAnsi"/>
          <w:b/>
          <w:i/>
          <w:sz w:val="24"/>
          <w:szCs w:val="24"/>
          <w:lang w:eastAsia="en-US"/>
        </w:rPr>
        <w:tab/>
      </w:r>
      <w:r>
        <w:rPr>
          <w:rFonts w:eastAsiaTheme="minorHAnsi"/>
          <w:b/>
          <w:i/>
          <w:sz w:val="24"/>
          <w:szCs w:val="24"/>
          <w:lang w:eastAsia="en-US"/>
        </w:rPr>
        <w:t>DID RICHARD OSBORNE SIGN THE TRANSPORTATION CONTRACT ON BEHALF OF ORWELL AND OTP?</w:t>
      </w:r>
    </w:p>
    <w:p w:rsidR="00E1147A" w:rsidRPr="00E1147A" w:rsidRDefault="00E1147A" w:rsidP="000B79D3">
      <w:pPr>
        <w:autoSpaceDE w:val="0"/>
        <w:spacing w:line="480" w:lineRule="auto"/>
        <w:ind w:left="720" w:hanging="720"/>
        <w:rPr>
          <w:rFonts w:eastAsiaTheme="minorHAnsi"/>
          <w:sz w:val="24"/>
          <w:szCs w:val="24"/>
          <w:lang w:eastAsia="en-US"/>
        </w:rPr>
      </w:pPr>
      <w:r>
        <w:rPr>
          <w:rFonts w:eastAsiaTheme="minorHAnsi"/>
          <w:b/>
          <w:i/>
          <w:sz w:val="24"/>
          <w:szCs w:val="24"/>
          <w:lang w:eastAsia="en-US"/>
        </w:rPr>
        <w:t>A2</w:t>
      </w:r>
      <w:r w:rsidR="006668AB">
        <w:rPr>
          <w:rFonts w:eastAsiaTheme="minorHAnsi"/>
          <w:b/>
          <w:i/>
          <w:sz w:val="24"/>
          <w:szCs w:val="24"/>
          <w:lang w:eastAsia="en-US"/>
        </w:rPr>
        <w:t>3</w:t>
      </w:r>
      <w:r w:rsidR="00C1455B">
        <w:rPr>
          <w:rFonts w:eastAsiaTheme="minorHAnsi"/>
          <w:b/>
          <w:i/>
          <w:sz w:val="24"/>
          <w:szCs w:val="24"/>
          <w:lang w:eastAsia="en-US"/>
        </w:rPr>
        <w:t>.</w:t>
      </w:r>
      <w:r>
        <w:rPr>
          <w:rFonts w:eastAsiaTheme="minorHAnsi"/>
          <w:b/>
          <w:i/>
          <w:sz w:val="24"/>
          <w:szCs w:val="24"/>
          <w:lang w:eastAsia="en-US"/>
        </w:rPr>
        <w:tab/>
      </w:r>
      <w:r w:rsidRPr="00E1147A">
        <w:rPr>
          <w:rFonts w:eastAsiaTheme="minorHAnsi"/>
          <w:sz w:val="24"/>
          <w:szCs w:val="24"/>
          <w:lang w:eastAsia="en-US"/>
        </w:rPr>
        <w:t xml:space="preserve">No, </w:t>
      </w:r>
      <w:r>
        <w:rPr>
          <w:sz w:val="24"/>
          <w:szCs w:val="24"/>
        </w:rPr>
        <w:t>however, both Stephen G. Rigo, who signed for OTP and Thomas J. Smith, who signed for Orwell and Brainard, worked directly for Richard Osborne at the time the contracts were executed.</w:t>
      </w:r>
      <w:r>
        <w:rPr>
          <w:rStyle w:val="FootnoteReference"/>
          <w:sz w:val="24"/>
          <w:szCs w:val="24"/>
        </w:rPr>
        <w:footnoteReference w:id="24"/>
      </w:r>
      <w:r>
        <w:rPr>
          <w:sz w:val="24"/>
          <w:szCs w:val="24"/>
        </w:rPr>
        <w:t xml:space="preserve"> </w:t>
      </w:r>
      <w:r w:rsidR="000B79D3">
        <w:rPr>
          <w:sz w:val="24"/>
          <w:szCs w:val="24"/>
        </w:rPr>
        <w:t xml:space="preserve"> </w:t>
      </w:r>
      <w:r>
        <w:rPr>
          <w:sz w:val="24"/>
          <w:szCs w:val="24"/>
        </w:rPr>
        <w:t>In</w:t>
      </w:r>
      <w:r w:rsidR="0010555F">
        <w:rPr>
          <w:sz w:val="24"/>
          <w:szCs w:val="24"/>
        </w:rPr>
        <w:t xml:space="preserve"> prior</w:t>
      </w:r>
      <w:r>
        <w:rPr>
          <w:sz w:val="24"/>
          <w:szCs w:val="24"/>
        </w:rPr>
        <w:t xml:space="preserve"> testimony</w:t>
      </w:r>
      <w:r w:rsidR="00E6276A">
        <w:rPr>
          <w:sz w:val="24"/>
          <w:szCs w:val="24"/>
        </w:rPr>
        <w:t xml:space="preserve"> before the PUCO,</w:t>
      </w:r>
      <w:r>
        <w:rPr>
          <w:sz w:val="24"/>
          <w:szCs w:val="24"/>
        </w:rPr>
        <w:t xml:space="preserve"> both Mr. Rigo and Mr. Smith indicated that they reported directly to Mr. Osborne.</w:t>
      </w:r>
      <w:r>
        <w:rPr>
          <w:rStyle w:val="FootnoteReference"/>
          <w:sz w:val="24"/>
          <w:szCs w:val="24"/>
        </w:rPr>
        <w:footnoteReference w:id="25"/>
      </w:r>
    </w:p>
    <w:p w:rsidR="002C3AFF" w:rsidRDefault="00192BCA" w:rsidP="00A054C9">
      <w:pPr>
        <w:pStyle w:val="ListParagraph"/>
        <w:autoSpaceDE w:val="0"/>
        <w:spacing w:line="480" w:lineRule="auto"/>
        <w:ind w:hanging="720"/>
        <w:rPr>
          <w:b/>
          <w:bCs/>
          <w:i/>
          <w:sz w:val="24"/>
          <w:szCs w:val="24"/>
        </w:rPr>
      </w:pPr>
      <w:r w:rsidRPr="007378CA">
        <w:rPr>
          <w:b/>
          <w:bCs/>
          <w:i/>
          <w:sz w:val="24"/>
          <w:szCs w:val="24"/>
        </w:rPr>
        <w:t>Q2</w:t>
      </w:r>
      <w:r w:rsidR="006668AB">
        <w:rPr>
          <w:b/>
          <w:bCs/>
          <w:i/>
          <w:sz w:val="24"/>
          <w:szCs w:val="24"/>
        </w:rPr>
        <w:t>4</w:t>
      </w:r>
      <w:r w:rsidRPr="007378CA">
        <w:rPr>
          <w:b/>
          <w:bCs/>
          <w:i/>
          <w:sz w:val="24"/>
          <w:szCs w:val="24"/>
        </w:rPr>
        <w:t>.</w:t>
      </w:r>
      <w:r w:rsidRPr="007378CA">
        <w:rPr>
          <w:b/>
          <w:bCs/>
          <w:i/>
          <w:sz w:val="24"/>
          <w:szCs w:val="24"/>
        </w:rPr>
        <w:tab/>
        <w:t xml:space="preserve">DO THE CONTRACTS </w:t>
      </w:r>
      <w:r w:rsidR="00C44B07">
        <w:rPr>
          <w:b/>
          <w:bCs/>
          <w:i/>
          <w:sz w:val="24"/>
          <w:szCs w:val="24"/>
        </w:rPr>
        <w:t>BETWEEN ORWELL AND O</w:t>
      </w:r>
      <w:r w:rsidR="00E11833">
        <w:rPr>
          <w:b/>
          <w:bCs/>
          <w:i/>
          <w:sz w:val="24"/>
          <w:szCs w:val="24"/>
        </w:rPr>
        <w:t>RWELL-TRUMBULL PIPELINE</w:t>
      </w:r>
      <w:r w:rsidR="00C44B07">
        <w:rPr>
          <w:b/>
          <w:bCs/>
          <w:i/>
          <w:sz w:val="24"/>
          <w:szCs w:val="24"/>
        </w:rPr>
        <w:t xml:space="preserve"> </w:t>
      </w:r>
      <w:r w:rsidRPr="007378CA">
        <w:rPr>
          <w:b/>
          <w:bCs/>
          <w:i/>
          <w:sz w:val="24"/>
          <w:szCs w:val="24"/>
        </w:rPr>
        <w:t xml:space="preserve">SHOW A BIAS TOWARDS </w:t>
      </w:r>
      <w:r w:rsidR="00C275E6">
        <w:rPr>
          <w:b/>
          <w:bCs/>
          <w:i/>
          <w:sz w:val="24"/>
          <w:szCs w:val="24"/>
        </w:rPr>
        <w:t>THE</w:t>
      </w:r>
      <w:r w:rsidR="00C275E6" w:rsidRPr="007378CA">
        <w:rPr>
          <w:b/>
          <w:bCs/>
          <w:i/>
          <w:sz w:val="24"/>
          <w:szCs w:val="24"/>
        </w:rPr>
        <w:t xml:space="preserve"> </w:t>
      </w:r>
      <w:r w:rsidRPr="007378CA">
        <w:rPr>
          <w:b/>
          <w:bCs/>
          <w:i/>
          <w:sz w:val="24"/>
          <w:szCs w:val="24"/>
        </w:rPr>
        <w:t>RELATED COMPANY</w:t>
      </w:r>
      <w:r w:rsidR="007378CA" w:rsidRPr="007378CA">
        <w:rPr>
          <w:b/>
          <w:bCs/>
          <w:i/>
          <w:sz w:val="24"/>
          <w:szCs w:val="24"/>
        </w:rPr>
        <w:t>?</w:t>
      </w:r>
    </w:p>
    <w:p w:rsidR="00AF67EF" w:rsidRDefault="007378CA" w:rsidP="00A054C9">
      <w:pPr>
        <w:pStyle w:val="ListParagraph"/>
        <w:autoSpaceDE w:val="0"/>
        <w:spacing w:line="480" w:lineRule="auto"/>
        <w:ind w:hanging="720"/>
        <w:rPr>
          <w:bCs/>
          <w:sz w:val="24"/>
          <w:szCs w:val="24"/>
        </w:rPr>
      </w:pPr>
      <w:r>
        <w:rPr>
          <w:b/>
          <w:bCs/>
          <w:i/>
          <w:sz w:val="24"/>
          <w:szCs w:val="24"/>
        </w:rPr>
        <w:t>A2</w:t>
      </w:r>
      <w:r w:rsidR="006668AB">
        <w:rPr>
          <w:b/>
          <w:bCs/>
          <w:i/>
          <w:sz w:val="24"/>
          <w:szCs w:val="24"/>
        </w:rPr>
        <w:t>4</w:t>
      </w:r>
      <w:r>
        <w:rPr>
          <w:b/>
          <w:bCs/>
          <w:i/>
          <w:sz w:val="24"/>
          <w:szCs w:val="24"/>
        </w:rPr>
        <w:t>.</w:t>
      </w:r>
      <w:r>
        <w:rPr>
          <w:b/>
          <w:bCs/>
          <w:i/>
          <w:sz w:val="24"/>
          <w:szCs w:val="24"/>
        </w:rPr>
        <w:tab/>
      </w:r>
      <w:r w:rsidRPr="007378CA">
        <w:rPr>
          <w:bCs/>
          <w:sz w:val="24"/>
          <w:szCs w:val="24"/>
        </w:rPr>
        <w:t>Yes</w:t>
      </w:r>
      <w:r w:rsidR="00C44B07">
        <w:rPr>
          <w:bCs/>
          <w:sz w:val="24"/>
          <w:szCs w:val="24"/>
        </w:rPr>
        <w:t>.</w:t>
      </w:r>
      <w:r w:rsidR="001C70E1">
        <w:rPr>
          <w:bCs/>
          <w:sz w:val="24"/>
          <w:szCs w:val="24"/>
        </w:rPr>
        <w:t xml:space="preserve"> </w:t>
      </w:r>
      <w:r w:rsidR="000B79D3">
        <w:rPr>
          <w:bCs/>
          <w:sz w:val="24"/>
          <w:szCs w:val="24"/>
        </w:rPr>
        <w:t xml:space="preserve"> </w:t>
      </w:r>
      <w:r w:rsidR="0010105F">
        <w:rPr>
          <w:bCs/>
          <w:sz w:val="24"/>
          <w:szCs w:val="24"/>
        </w:rPr>
        <w:t xml:space="preserve">The 2006 contract between Orwell and OTP </w:t>
      </w:r>
      <w:r w:rsidR="005A2329">
        <w:rPr>
          <w:bCs/>
          <w:sz w:val="24"/>
          <w:szCs w:val="24"/>
        </w:rPr>
        <w:t>had</w:t>
      </w:r>
      <w:r w:rsidR="0010105F">
        <w:rPr>
          <w:bCs/>
          <w:sz w:val="24"/>
          <w:szCs w:val="24"/>
        </w:rPr>
        <w:t xml:space="preserve"> a three year term at $0.95 per Mcf for interruptible serv</w:t>
      </w:r>
      <w:r w:rsidR="00071B62">
        <w:rPr>
          <w:bCs/>
          <w:sz w:val="24"/>
          <w:szCs w:val="24"/>
        </w:rPr>
        <w:t>i</w:t>
      </w:r>
      <w:r w:rsidR="0010105F">
        <w:rPr>
          <w:bCs/>
          <w:sz w:val="24"/>
          <w:szCs w:val="24"/>
        </w:rPr>
        <w:t>ce</w:t>
      </w:r>
      <w:r w:rsidR="00C44B07">
        <w:rPr>
          <w:bCs/>
          <w:sz w:val="24"/>
          <w:szCs w:val="24"/>
        </w:rPr>
        <w:t xml:space="preserve">. </w:t>
      </w:r>
      <w:r w:rsidR="000B79D3">
        <w:rPr>
          <w:bCs/>
          <w:sz w:val="24"/>
          <w:szCs w:val="24"/>
        </w:rPr>
        <w:t xml:space="preserve"> </w:t>
      </w:r>
      <w:r w:rsidR="005A2329">
        <w:rPr>
          <w:bCs/>
          <w:sz w:val="24"/>
          <w:szCs w:val="24"/>
        </w:rPr>
        <w:t>In addition, t</w:t>
      </w:r>
      <w:r w:rsidR="00C44B07">
        <w:rPr>
          <w:bCs/>
          <w:sz w:val="24"/>
          <w:szCs w:val="24"/>
        </w:rPr>
        <w:t>he contract had the effect of reducing the volumes of natural gas</w:t>
      </w:r>
      <w:r w:rsidR="0010105F">
        <w:rPr>
          <w:bCs/>
          <w:sz w:val="24"/>
          <w:szCs w:val="24"/>
        </w:rPr>
        <w:t xml:space="preserve"> Orwell was transporting through Dominion. </w:t>
      </w:r>
      <w:r w:rsidR="000B79D3">
        <w:rPr>
          <w:bCs/>
          <w:sz w:val="24"/>
          <w:szCs w:val="24"/>
        </w:rPr>
        <w:t xml:space="preserve"> </w:t>
      </w:r>
      <w:r w:rsidR="0010105F">
        <w:rPr>
          <w:bCs/>
          <w:sz w:val="24"/>
          <w:szCs w:val="24"/>
        </w:rPr>
        <w:t xml:space="preserve">This </w:t>
      </w:r>
      <w:r w:rsidR="00C44B07">
        <w:rPr>
          <w:bCs/>
          <w:sz w:val="24"/>
          <w:szCs w:val="24"/>
        </w:rPr>
        <w:t>contract</w:t>
      </w:r>
      <w:r w:rsidR="0010105F">
        <w:rPr>
          <w:bCs/>
          <w:sz w:val="24"/>
          <w:szCs w:val="24"/>
        </w:rPr>
        <w:t xml:space="preserve"> showed bias toward OTP because Orwell agreed to pay OTP </w:t>
      </w:r>
      <w:r w:rsidR="00C44B07">
        <w:rPr>
          <w:bCs/>
          <w:sz w:val="24"/>
          <w:szCs w:val="24"/>
        </w:rPr>
        <w:t xml:space="preserve">$0.95 per Mcf for interruptible </w:t>
      </w:r>
      <w:r w:rsidR="005A2329">
        <w:rPr>
          <w:bCs/>
          <w:sz w:val="24"/>
          <w:szCs w:val="24"/>
        </w:rPr>
        <w:t xml:space="preserve">transportation </w:t>
      </w:r>
      <w:r w:rsidR="00C44B07">
        <w:rPr>
          <w:bCs/>
          <w:sz w:val="24"/>
          <w:szCs w:val="24"/>
        </w:rPr>
        <w:t>service</w:t>
      </w:r>
      <w:r w:rsidR="00973BA5">
        <w:rPr>
          <w:bCs/>
          <w:sz w:val="24"/>
          <w:szCs w:val="24"/>
        </w:rPr>
        <w:t>, while</w:t>
      </w:r>
      <w:r w:rsidR="00C44B07">
        <w:rPr>
          <w:bCs/>
          <w:sz w:val="24"/>
          <w:szCs w:val="24"/>
        </w:rPr>
        <w:t xml:space="preserve"> </w:t>
      </w:r>
      <w:r w:rsidR="0010105F">
        <w:rPr>
          <w:bCs/>
          <w:sz w:val="24"/>
          <w:szCs w:val="24"/>
        </w:rPr>
        <w:t xml:space="preserve">it </w:t>
      </w:r>
      <w:r w:rsidR="00973BA5">
        <w:rPr>
          <w:bCs/>
          <w:sz w:val="24"/>
          <w:szCs w:val="24"/>
        </w:rPr>
        <w:t xml:space="preserve">had been </w:t>
      </w:r>
      <w:r w:rsidR="0010105F">
        <w:rPr>
          <w:bCs/>
          <w:sz w:val="24"/>
          <w:szCs w:val="24"/>
        </w:rPr>
        <w:t>p</w:t>
      </w:r>
      <w:r w:rsidR="00071B62">
        <w:rPr>
          <w:bCs/>
          <w:sz w:val="24"/>
          <w:szCs w:val="24"/>
        </w:rPr>
        <w:t>aying Dominion</w:t>
      </w:r>
      <w:r w:rsidR="00973BA5">
        <w:rPr>
          <w:bCs/>
          <w:sz w:val="24"/>
          <w:szCs w:val="24"/>
        </w:rPr>
        <w:t xml:space="preserve"> approximately $0.92 per Mcf</w:t>
      </w:r>
      <w:r w:rsidR="00071B62">
        <w:rPr>
          <w:bCs/>
          <w:sz w:val="24"/>
          <w:szCs w:val="24"/>
        </w:rPr>
        <w:t xml:space="preserve"> for firm </w:t>
      </w:r>
      <w:r w:rsidR="005A2329">
        <w:rPr>
          <w:bCs/>
          <w:sz w:val="24"/>
          <w:szCs w:val="24"/>
        </w:rPr>
        <w:t xml:space="preserve">transportation </w:t>
      </w:r>
      <w:r w:rsidR="00071B62">
        <w:rPr>
          <w:bCs/>
          <w:sz w:val="24"/>
          <w:szCs w:val="24"/>
        </w:rPr>
        <w:t>service, which is</w:t>
      </w:r>
      <w:r w:rsidR="00E66727">
        <w:rPr>
          <w:bCs/>
          <w:sz w:val="24"/>
          <w:szCs w:val="24"/>
        </w:rPr>
        <w:t xml:space="preserve"> a</w:t>
      </w:r>
      <w:r w:rsidR="00071B62">
        <w:rPr>
          <w:bCs/>
          <w:sz w:val="24"/>
          <w:szCs w:val="24"/>
        </w:rPr>
        <w:t xml:space="preserve"> considerably more valuable</w:t>
      </w:r>
      <w:r w:rsidR="00E66727">
        <w:rPr>
          <w:bCs/>
          <w:sz w:val="24"/>
          <w:szCs w:val="24"/>
        </w:rPr>
        <w:t xml:space="preserve"> service for consumers</w:t>
      </w:r>
      <w:r w:rsidR="000B79D3">
        <w:rPr>
          <w:bCs/>
          <w:sz w:val="24"/>
          <w:szCs w:val="24"/>
        </w:rPr>
        <w:t>.</w:t>
      </w:r>
    </w:p>
    <w:p w:rsidR="00AF67EF" w:rsidRDefault="00AF67EF" w:rsidP="00A054C9">
      <w:pPr>
        <w:pStyle w:val="ListParagraph"/>
        <w:autoSpaceDE w:val="0"/>
        <w:spacing w:line="480" w:lineRule="auto"/>
        <w:ind w:hanging="720"/>
        <w:rPr>
          <w:bCs/>
          <w:sz w:val="24"/>
          <w:szCs w:val="24"/>
        </w:rPr>
      </w:pPr>
    </w:p>
    <w:p w:rsidR="005A2329" w:rsidRDefault="005A2329" w:rsidP="00A054C9">
      <w:pPr>
        <w:pStyle w:val="ListParagraph"/>
        <w:autoSpaceDE w:val="0"/>
        <w:spacing w:line="480" w:lineRule="auto"/>
        <w:rPr>
          <w:bCs/>
          <w:sz w:val="24"/>
          <w:szCs w:val="24"/>
        </w:rPr>
      </w:pPr>
      <w:r>
        <w:rPr>
          <w:bCs/>
          <w:sz w:val="24"/>
          <w:szCs w:val="24"/>
        </w:rPr>
        <w:t xml:space="preserve">Firm transportation service </w:t>
      </w:r>
      <w:r w:rsidR="00E66727">
        <w:rPr>
          <w:bCs/>
          <w:sz w:val="24"/>
          <w:szCs w:val="24"/>
        </w:rPr>
        <w:t>is</w:t>
      </w:r>
      <w:r>
        <w:rPr>
          <w:bCs/>
          <w:sz w:val="24"/>
          <w:szCs w:val="24"/>
        </w:rPr>
        <w:t xml:space="preserve"> more valu</w:t>
      </w:r>
      <w:r w:rsidR="00E6276A">
        <w:rPr>
          <w:bCs/>
          <w:sz w:val="24"/>
          <w:szCs w:val="24"/>
        </w:rPr>
        <w:t>able</w:t>
      </w:r>
      <w:r>
        <w:rPr>
          <w:bCs/>
          <w:sz w:val="24"/>
          <w:szCs w:val="24"/>
        </w:rPr>
        <w:t xml:space="preserve"> than interruptible transportation service because</w:t>
      </w:r>
      <w:r w:rsidR="00621C6A">
        <w:rPr>
          <w:bCs/>
          <w:sz w:val="24"/>
          <w:szCs w:val="24"/>
        </w:rPr>
        <w:t>,</w:t>
      </w:r>
      <w:r>
        <w:rPr>
          <w:bCs/>
          <w:sz w:val="24"/>
          <w:szCs w:val="24"/>
        </w:rPr>
        <w:t xml:space="preserve"> as the name implies</w:t>
      </w:r>
      <w:r w:rsidR="00621C6A">
        <w:rPr>
          <w:bCs/>
          <w:sz w:val="24"/>
          <w:szCs w:val="24"/>
        </w:rPr>
        <w:t>,</w:t>
      </w:r>
      <w:r>
        <w:rPr>
          <w:bCs/>
          <w:sz w:val="24"/>
          <w:szCs w:val="24"/>
        </w:rPr>
        <w:t xml:space="preserve"> the service is firm </w:t>
      </w:r>
      <w:r w:rsidR="00621C6A">
        <w:rPr>
          <w:bCs/>
          <w:sz w:val="24"/>
          <w:szCs w:val="24"/>
        </w:rPr>
        <w:t>(</w:t>
      </w:r>
      <w:r>
        <w:rPr>
          <w:bCs/>
          <w:sz w:val="24"/>
          <w:szCs w:val="24"/>
        </w:rPr>
        <w:t>or available</w:t>
      </w:r>
      <w:r w:rsidR="00621C6A">
        <w:rPr>
          <w:bCs/>
          <w:sz w:val="24"/>
          <w:szCs w:val="24"/>
        </w:rPr>
        <w:t>)</w:t>
      </w:r>
      <w:r>
        <w:rPr>
          <w:bCs/>
          <w:sz w:val="24"/>
          <w:szCs w:val="24"/>
        </w:rPr>
        <w:t xml:space="preserve"> </w:t>
      </w:r>
      <w:r w:rsidR="00621C6A">
        <w:rPr>
          <w:bCs/>
          <w:sz w:val="24"/>
          <w:szCs w:val="24"/>
        </w:rPr>
        <w:t xml:space="preserve">24 hours a day, </w:t>
      </w:r>
      <w:r>
        <w:rPr>
          <w:bCs/>
          <w:sz w:val="24"/>
          <w:szCs w:val="24"/>
        </w:rPr>
        <w:t xml:space="preserve">365 days a year. </w:t>
      </w:r>
      <w:r w:rsidR="000B79D3">
        <w:rPr>
          <w:bCs/>
          <w:sz w:val="24"/>
          <w:szCs w:val="24"/>
        </w:rPr>
        <w:t xml:space="preserve"> </w:t>
      </w:r>
      <w:r>
        <w:rPr>
          <w:bCs/>
          <w:sz w:val="24"/>
          <w:szCs w:val="24"/>
        </w:rPr>
        <w:t>This is important to GCR customers because they need to be assured of having service during the peak cold winter heating season.</w:t>
      </w:r>
      <w:r w:rsidR="000B79D3">
        <w:rPr>
          <w:bCs/>
          <w:sz w:val="24"/>
          <w:szCs w:val="24"/>
        </w:rPr>
        <w:t xml:space="preserve"> </w:t>
      </w:r>
      <w:r>
        <w:rPr>
          <w:bCs/>
          <w:sz w:val="24"/>
          <w:szCs w:val="24"/>
        </w:rPr>
        <w:t xml:space="preserve"> On the other hand, interruptible transportation service can be interrupted and thus is often not available during the coldest parts of the winter heating season.</w:t>
      </w:r>
    </w:p>
    <w:p w:rsidR="000B79D3" w:rsidRDefault="000B79D3" w:rsidP="00A054C9">
      <w:pPr>
        <w:pStyle w:val="ListParagraph"/>
        <w:autoSpaceDE w:val="0"/>
        <w:spacing w:line="480" w:lineRule="auto"/>
        <w:rPr>
          <w:bCs/>
          <w:sz w:val="24"/>
          <w:szCs w:val="24"/>
        </w:rPr>
      </w:pPr>
    </w:p>
    <w:p w:rsidR="00071B62" w:rsidRDefault="00621C6A" w:rsidP="000B79D3">
      <w:pPr>
        <w:pStyle w:val="ListParagraph"/>
        <w:tabs>
          <w:tab w:val="left" w:pos="3255"/>
        </w:tabs>
        <w:autoSpaceDE w:val="0"/>
        <w:spacing w:line="480" w:lineRule="auto"/>
        <w:rPr>
          <w:bCs/>
          <w:sz w:val="24"/>
          <w:szCs w:val="24"/>
        </w:rPr>
      </w:pPr>
      <w:r>
        <w:rPr>
          <w:bCs/>
          <w:sz w:val="24"/>
          <w:szCs w:val="24"/>
        </w:rPr>
        <w:t>For</w:t>
      </w:r>
      <w:r w:rsidR="00071B62">
        <w:rPr>
          <w:bCs/>
          <w:sz w:val="24"/>
          <w:szCs w:val="24"/>
        </w:rPr>
        <w:t xml:space="preserve"> example, both Spelman and Cobra have tariffs </w:t>
      </w:r>
      <w:r w:rsidR="00C44B07">
        <w:rPr>
          <w:bCs/>
          <w:sz w:val="24"/>
          <w:szCs w:val="24"/>
        </w:rPr>
        <w:t>with a</w:t>
      </w:r>
      <w:r w:rsidR="00071B62">
        <w:rPr>
          <w:bCs/>
          <w:sz w:val="24"/>
          <w:szCs w:val="24"/>
        </w:rPr>
        <w:t xml:space="preserve"> transport</w:t>
      </w:r>
      <w:r w:rsidR="00C44B07">
        <w:rPr>
          <w:bCs/>
          <w:sz w:val="24"/>
          <w:szCs w:val="24"/>
        </w:rPr>
        <w:t>ation rate for</w:t>
      </w:r>
      <w:r w:rsidR="00071B62">
        <w:rPr>
          <w:bCs/>
          <w:sz w:val="24"/>
          <w:szCs w:val="24"/>
        </w:rPr>
        <w:t xml:space="preserve"> interruptible </w:t>
      </w:r>
      <w:r w:rsidR="00C44B07">
        <w:rPr>
          <w:bCs/>
          <w:sz w:val="24"/>
          <w:szCs w:val="24"/>
        </w:rPr>
        <w:t>service</w:t>
      </w:r>
      <w:r w:rsidR="00071B62">
        <w:rPr>
          <w:bCs/>
          <w:sz w:val="24"/>
          <w:szCs w:val="24"/>
        </w:rPr>
        <w:t xml:space="preserve"> for $0.50 per </w:t>
      </w:r>
      <w:r w:rsidR="00973BA5">
        <w:rPr>
          <w:bCs/>
          <w:sz w:val="24"/>
          <w:szCs w:val="24"/>
        </w:rPr>
        <w:t>Dth</w:t>
      </w:r>
      <w:r w:rsidR="00071B62">
        <w:rPr>
          <w:bCs/>
          <w:sz w:val="24"/>
          <w:szCs w:val="24"/>
        </w:rPr>
        <w:t>.</w:t>
      </w:r>
      <w:r w:rsidR="00973BA5">
        <w:rPr>
          <w:rStyle w:val="FootnoteReference"/>
          <w:bCs/>
          <w:sz w:val="24"/>
          <w:szCs w:val="24"/>
        </w:rPr>
        <w:footnoteReference w:id="26"/>
      </w:r>
      <w:r w:rsidR="00071B62">
        <w:rPr>
          <w:bCs/>
          <w:sz w:val="24"/>
          <w:szCs w:val="24"/>
        </w:rPr>
        <w:t xml:space="preserve"> </w:t>
      </w:r>
      <w:r w:rsidR="000B79D3">
        <w:rPr>
          <w:bCs/>
          <w:sz w:val="24"/>
          <w:szCs w:val="24"/>
        </w:rPr>
        <w:t xml:space="preserve"> </w:t>
      </w:r>
      <w:r w:rsidR="00C44B07">
        <w:rPr>
          <w:bCs/>
          <w:sz w:val="24"/>
          <w:szCs w:val="24"/>
        </w:rPr>
        <w:t xml:space="preserve">The fact that the rate that Orwell paid OTP </w:t>
      </w:r>
      <w:r>
        <w:rPr>
          <w:bCs/>
          <w:sz w:val="24"/>
          <w:szCs w:val="24"/>
        </w:rPr>
        <w:t xml:space="preserve">for charges </w:t>
      </w:r>
      <w:r w:rsidR="00E6276A">
        <w:rPr>
          <w:bCs/>
          <w:sz w:val="24"/>
          <w:szCs w:val="24"/>
        </w:rPr>
        <w:t xml:space="preserve">are </w:t>
      </w:r>
      <w:r>
        <w:rPr>
          <w:bCs/>
          <w:sz w:val="24"/>
          <w:szCs w:val="24"/>
        </w:rPr>
        <w:t xml:space="preserve">far in excess compared to </w:t>
      </w:r>
      <w:r w:rsidR="00C44B07">
        <w:rPr>
          <w:bCs/>
          <w:sz w:val="24"/>
          <w:szCs w:val="24"/>
        </w:rPr>
        <w:t xml:space="preserve">what other </w:t>
      </w:r>
      <w:r w:rsidR="00234B20">
        <w:rPr>
          <w:bCs/>
          <w:sz w:val="24"/>
          <w:szCs w:val="24"/>
        </w:rPr>
        <w:t xml:space="preserve">affiliated and </w:t>
      </w:r>
      <w:r w:rsidR="00C44B07">
        <w:rPr>
          <w:bCs/>
          <w:sz w:val="24"/>
          <w:szCs w:val="24"/>
        </w:rPr>
        <w:t xml:space="preserve">related pipelines were charging </w:t>
      </w:r>
      <w:r w:rsidR="000B79D3">
        <w:rPr>
          <w:bCs/>
          <w:sz w:val="24"/>
          <w:szCs w:val="24"/>
        </w:rPr>
        <w:t>suggests</w:t>
      </w:r>
      <w:r w:rsidR="00C44B07">
        <w:rPr>
          <w:bCs/>
          <w:sz w:val="24"/>
          <w:szCs w:val="24"/>
        </w:rPr>
        <w:t xml:space="preserve"> the lack of </w:t>
      </w:r>
      <w:r w:rsidR="00973BA5">
        <w:rPr>
          <w:bCs/>
          <w:sz w:val="24"/>
          <w:szCs w:val="24"/>
        </w:rPr>
        <w:t xml:space="preserve">an </w:t>
      </w:r>
      <w:r w:rsidR="00C44B07">
        <w:rPr>
          <w:bCs/>
          <w:sz w:val="24"/>
          <w:szCs w:val="24"/>
        </w:rPr>
        <w:t xml:space="preserve">arms-length relationship. </w:t>
      </w:r>
      <w:r w:rsidR="000B79D3">
        <w:rPr>
          <w:bCs/>
          <w:sz w:val="24"/>
          <w:szCs w:val="24"/>
        </w:rPr>
        <w:t xml:space="preserve"> </w:t>
      </w:r>
      <w:r w:rsidR="00C44B07">
        <w:rPr>
          <w:bCs/>
          <w:sz w:val="24"/>
          <w:szCs w:val="24"/>
        </w:rPr>
        <w:t xml:space="preserve">A reasonable arms-length </w:t>
      </w:r>
      <w:r w:rsidR="00CE645A">
        <w:rPr>
          <w:bCs/>
          <w:sz w:val="24"/>
          <w:szCs w:val="24"/>
        </w:rPr>
        <w:t xml:space="preserve">transaction </w:t>
      </w:r>
      <w:r w:rsidR="00C44B07">
        <w:rPr>
          <w:bCs/>
          <w:sz w:val="24"/>
          <w:szCs w:val="24"/>
        </w:rPr>
        <w:t xml:space="preserve">would have produced a </w:t>
      </w:r>
      <w:r w:rsidR="00A44215">
        <w:rPr>
          <w:bCs/>
          <w:sz w:val="24"/>
          <w:szCs w:val="24"/>
        </w:rPr>
        <w:t>transportation rate on the OTP system of approximately</w:t>
      </w:r>
      <w:r w:rsidR="005A2329">
        <w:rPr>
          <w:bCs/>
          <w:sz w:val="24"/>
          <w:szCs w:val="24"/>
        </w:rPr>
        <w:t xml:space="preserve"> </w:t>
      </w:r>
      <w:r w:rsidR="00C44B07">
        <w:rPr>
          <w:bCs/>
          <w:sz w:val="24"/>
          <w:szCs w:val="24"/>
        </w:rPr>
        <w:t>$0.50 per Mcf.</w:t>
      </w:r>
    </w:p>
    <w:p w:rsidR="00621C6A" w:rsidRDefault="00621C6A" w:rsidP="00A054C9">
      <w:pPr>
        <w:pStyle w:val="ListParagraph"/>
        <w:autoSpaceDE w:val="0"/>
        <w:spacing w:line="480" w:lineRule="auto"/>
        <w:rPr>
          <w:bCs/>
          <w:sz w:val="24"/>
          <w:szCs w:val="24"/>
        </w:rPr>
      </w:pPr>
    </w:p>
    <w:p w:rsidR="003710C6" w:rsidRDefault="00E6276A" w:rsidP="00A054C9">
      <w:pPr>
        <w:pStyle w:val="ListParagraph"/>
        <w:autoSpaceDE w:val="0"/>
        <w:spacing w:line="480" w:lineRule="auto"/>
        <w:rPr>
          <w:bCs/>
          <w:sz w:val="24"/>
          <w:szCs w:val="24"/>
        </w:rPr>
      </w:pPr>
      <w:r>
        <w:rPr>
          <w:bCs/>
          <w:sz w:val="24"/>
          <w:szCs w:val="24"/>
        </w:rPr>
        <w:t>Similarly, t</w:t>
      </w:r>
      <w:r w:rsidR="00071B62">
        <w:rPr>
          <w:bCs/>
          <w:sz w:val="24"/>
          <w:szCs w:val="24"/>
        </w:rPr>
        <w:t>he 2008 contract</w:t>
      </w:r>
      <w:r w:rsidR="002C3677">
        <w:rPr>
          <w:bCs/>
          <w:sz w:val="24"/>
          <w:szCs w:val="24"/>
        </w:rPr>
        <w:t xml:space="preserve"> was also not negotiated at arm’s length and shows an even </w:t>
      </w:r>
      <w:r w:rsidR="00071B62">
        <w:rPr>
          <w:bCs/>
          <w:sz w:val="24"/>
          <w:szCs w:val="24"/>
        </w:rPr>
        <w:t xml:space="preserve">greater bias </w:t>
      </w:r>
      <w:r w:rsidR="002C3677">
        <w:rPr>
          <w:bCs/>
          <w:sz w:val="24"/>
          <w:szCs w:val="24"/>
        </w:rPr>
        <w:t xml:space="preserve">towards OTP </w:t>
      </w:r>
      <w:r w:rsidR="00071B62">
        <w:rPr>
          <w:bCs/>
          <w:sz w:val="24"/>
          <w:szCs w:val="24"/>
        </w:rPr>
        <w:t>than the 2006 contract</w:t>
      </w:r>
      <w:r w:rsidR="002C3677">
        <w:rPr>
          <w:bCs/>
          <w:sz w:val="24"/>
          <w:szCs w:val="24"/>
        </w:rPr>
        <w:t xml:space="preserve"> Orwell signed with OTP for the following reasons:</w:t>
      </w:r>
    </w:p>
    <w:p w:rsidR="003710C6" w:rsidRDefault="003710C6" w:rsidP="000B79D3">
      <w:pPr>
        <w:pStyle w:val="ListParagraph"/>
        <w:numPr>
          <w:ilvl w:val="0"/>
          <w:numId w:val="8"/>
        </w:numPr>
        <w:autoSpaceDE w:val="0"/>
        <w:spacing w:line="480" w:lineRule="auto"/>
        <w:ind w:left="2160" w:right="720" w:hanging="720"/>
        <w:rPr>
          <w:bCs/>
          <w:sz w:val="24"/>
          <w:szCs w:val="24"/>
        </w:rPr>
      </w:pPr>
      <w:r>
        <w:rPr>
          <w:bCs/>
          <w:sz w:val="24"/>
          <w:szCs w:val="24"/>
        </w:rPr>
        <w:t xml:space="preserve">The transportation rate </w:t>
      </w:r>
      <w:r w:rsidR="001E321C">
        <w:rPr>
          <w:bCs/>
          <w:sz w:val="24"/>
          <w:szCs w:val="24"/>
        </w:rPr>
        <w:t>that OTP charge</w:t>
      </w:r>
      <w:r w:rsidR="00234B20">
        <w:rPr>
          <w:bCs/>
          <w:sz w:val="24"/>
          <w:szCs w:val="24"/>
        </w:rPr>
        <w:t>s</w:t>
      </w:r>
      <w:r w:rsidR="001E321C">
        <w:rPr>
          <w:bCs/>
          <w:sz w:val="24"/>
          <w:szCs w:val="24"/>
        </w:rPr>
        <w:t xml:space="preserve"> Orwell </w:t>
      </w:r>
      <w:r>
        <w:rPr>
          <w:bCs/>
          <w:sz w:val="24"/>
          <w:szCs w:val="24"/>
        </w:rPr>
        <w:t xml:space="preserve">is not commensurate with </w:t>
      </w:r>
      <w:r w:rsidR="001E321C">
        <w:rPr>
          <w:bCs/>
          <w:sz w:val="24"/>
          <w:szCs w:val="24"/>
        </w:rPr>
        <w:t xml:space="preserve">the rate Orwell paid </w:t>
      </w:r>
      <w:r>
        <w:rPr>
          <w:bCs/>
          <w:sz w:val="24"/>
          <w:szCs w:val="24"/>
        </w:rPr>
        <w:t xml:space="preserve">other </w:t>
      </w:r>
      <w:r w:rsidR="00E6276A">
        <w:rPr>
          <w:bCs/>
          <w:sz w:val="24"/>
          <w:szCs w:val="24"/>
        </w:rPr>
        <w:t>similarly situated</w:t>
      </w:r>
      <w:r>
        <w:rPr>
          <w:bCs/>
          <w:sz w:val="24"/>
          <w:szCs w:val="24"/>
        </w:rPr>
        <w:t xml:space="preserve"> pipelines</w:t>
      </w:r>
      <w:r w:rsidR="00F2672E">
        <w:rPr>
          <w:bCs/>
          <w:sz w:val="24"/>
          <w:szCs w:val="24"/>
        </w:rPr>
        <w:t>;</w:t>
      </w:r>
    </w:p>
    <w:p w:rsidR="003710C6" w:rsidRDefault="003710C6" w:rsidP="000B79D3">
      <w:pPr>
        <w:pStyle w:val="ListParagraph"/>
        <w:numPr>
          <w:ilvl w:val="0"/>
          <w:numId w:val="8"/>
        </w:numPr>
        <w:autoSpaceDE w:val="0"/>
        <w:spacing w:line="480" w:lineRule="auto"/>
        <w:ind w:left="2160" w:right="720" w:hanging="720"/>
        <w:rPr>
          <w:bCs/>
          <w:sz w:val="24"/>
          <w:szCs w:val="24"/>
        </w:rPr>
      </w:pPr>
      <w:r>
        <w:rPr>
          <w:bCs/>
          <w:sz w:val="24"/>
          <w:szCs w:val="24"/>
        </w:rPr>
        <w:t>OTP has agreements with other transpor</w:t>
      </w:r>
      <w:r w:rsidR="001E321C">
        <w:rPr>
          <w:bCs/>
          <w:sz w:val="24"/>
          <w:szCs w:val="24"/>
        </w:rPr>
        <w:t xml:space="preserve">tation customers </w:t>
      </w:r>
      <w:r>
        <w:rPr>
          <w:bCs/>
          <w:sz w:val="24"/>
          <w:szCs w:val="24"/>
        </w:rPr>
        <w:t>(end-users on Orwell’s distribution system) at significantly lower transportation rates</w:t>
      </w:r>
      <w:r w:rsidR="001E321C">
        <w:rPr>
          <w:bCs/>
          <w:sz w:val="24"/>
          <w:szCs w:val="24"/>
        </w:rPr>
        <w:t xml:space="preserve"> than </w:t>
      </w:r>
      <w:r w:rsidR="00621C6A">
        <w:rPr>
          <w:bCs/>
          <w:sz w:val="24"/>
          <w:szCs w:val="24"/>
        </w:rPr>
        <w:t xml:space="preserve">that which </w:t>
      </w:r>
      <w:r w:rsidR="001E321C">
        <w:rPr>
          <w:bCs/>
          <w:sz w:val="24"/>
          <w:szCs w:val="24"/>
        </w:rPr>
        <w:t>OTP charges Orwell</w:t>
      </w:r>
      <w:r w:rsidR="00F2672E">
        <w:rPr>
          <w:bCs/>
          <w:sz w:val="24"/>
          <w:szCs w:val="24"/>
        </w:rPr>
        <w:t>;</w:t>
      </w:r>
    </w:p>
    <w:p w:rsidR="003710C6" w:rsidRDefault="003710C6" w:rsidP="000B79D3">
      <w:pPr>
        <w:pStyle w:val="ListParagraph"/>
        <w:numPr>
          <w:ilvl w:val="0"/>
          <w:numId w:val="8"/>
        </w:numPr>
        <w:autoSpaceDE w:val="0"/>
        <w:spacing w:line="480" w:lineRule="auto"/>
        <w:ind w:left="2160" w:right="720" w:hanging="720"/>
        <w:rPr>
          <w:bCs/>
          <w:sz w:val="24"/>
          <w:szCs w:val="24"/>
        </w:rPr>
      </w:pPr>
      <w:r>
        <w:rPr>
          <w:bCs/>
          <w:sz w:val="24"/>
          <w:szCs w:val="24"/>
        </w:rPr>
        <w:t>The 2008 agreement provides OTP with the exclusive right to transport all of Orwell’s natural gas supply for a 15</w:t>
      </w:r>
      <w:r w:rsidR="00621C6A">
        <w:rPr>
          <w:bCs/>
          <w:sz w:val="24"/>
          <w:szCs w:val="24"/>
        </w:rPr>
        <w:t>-</w:t>
      </w:r>
      <w:r>
        <w:rPr>
          <w:bCs/>
          <w:sz w:val="24"/>
          <w:szCs w:val="24"/>
        </w:rPr>
        <w:t>year</w:t>
      </w:r>
      <w:r w:rsidR="00621C6A">
        <w:rPr>
          <w:bCs/>
          <w:sz w:val="24"/>
          <w:szCs w:val="24"/>
        </w:rPr>
        <w:t xml:space="preserve"> term</w:t>
      </w:r>
      <w:r>
        <w:rPr>
          <w:bCs/>
          <w:sz w:val="24"/>
          <w:szCs w:val="24"/>
        </w:rPr>
        <w:t>,</w:t>
      </w:r>
      <w:r w:rsidR="005A2329">
        <w:rPr>
          <w:rStyle w:val="FootnoteReference"/>
          <w:bCs/>
          <w:sz w:val="24"/>
          <w:szCs w:val="24"/>
        </w:rPr>
        <w:footnoteReference w:id="27"/>
      </w:r>
      <w:r>
        <w:rPr>
          <w:bCs/>
          <w:sz w:val="24"/>
          <w:szCs w:val="24"/>
        </w:rPr>
        <w:t xml:space="preserve"> which is significantly longer than normal for this type of agreement</w:t>
      </w:r>
      <w:r w:rsidR="00F2672E">
        <w:rPr>
          <w:bCs/>
          <w:sz w:val="24"/>
          <w:szCs w:val="24"/>
        </w:rPr>
        <w:t>; and</w:t>
      </w:r>
    </w:p>
    <w:p w:rsidR="00CE645A" w:rsidRDefault="003710C6" w:rsidP="000B79D3">
      <w:pPr>
        <w:pStyle w:val="ListParagraph"/>
        <w:numPr>
          <w:ilvl w:val="0"/>
          <w:numId w:val="8"/>
        </w:numPr>
        <w:autoSpaceDE w:val="0"/>
        <w:spacing w:line="480" w:lineRule="auto"/>
        <w:ind w:left="2160" w:right="720" w:hanging="720"/>
        <w:rPr>
          <w:bCs/>
          <w:sz w:val="24"/>
          <w:szCs w:val="24"/>
        </w:rPr>
      </w:pPr>
      <w:r>
        <w:rPr>
          <w:bCs/>
          <w:sz w:val="24"/>
          <w:szCs w:val="24"/>
        </w:rPr>
        <w:t xml:space="preserve">The </w:t>
      </w:r>
      <w:r w:rsidR="002C3677">
        <w:rPr>
          <w:bCs/>
          <w:sz w:val="24"/>
          <w:szCs w:val="24"/>
        </w:rPr>
        <w:t xml:space="preserve">2008 </w:t>
      </w:r>
      <w:r>
        <w:rPr>
          <w:bCs/>
          <w:sz w:val="24"/>
          <w:szCs w:val="24"/>
        </w:rPr>
        <w:t>contract</w:t>
      </w:r>
      <w:r w:rsidR="002C3677">
        <w:rPr>
          <w:bCs/>
          <w:sz w:val="24"/>
          <w:szCs w:val="24"/>
        </w:rPr>
        <w:t xml:space="preserve"> between Orwell and OTP was</w:t>
      </w:r>
      <w:r>
        <w:rPr>
          <w:bCs/>
          <w:sz w:val="24"/>
          <w:szCs w:val="24"/>
        </w:rPr>
        <w:t xml:space="preserve"> for interruptible transportation service</w:t>
      </w:r>
      <w:r w:rsidR="00E6276A">
        <w:rPr>
          <w:bCs/>
          <w:sz w:val="24"/>
          <w:szCs w:val="24"/>
        </w:rPr>
        <w:t>, replacing</w:t>
      </w:r>
      <w:r w:rsidR="005A7B10">
        <w:rPr>
          <w:bCs/>
          <w:sz w:val="24"/>
          <w:szCs w:val="24"/>
        </w:rPr>
        <w:t xml:space="preserve"> a</w:t>
      </w:r>
      <w:r>
        <w:rPr>
          <w:bCs/>
          <w:sz w:val="24"/>
          <w:szCs w:val="24"/>
        </w:rPr>
        <w:t xml:space="preserve"> similarly priced transportation contract </w:t>
      </w:r>
      <w:r w:rsidR="005A7B10">
        <w:rPr>
          <w:bCs/>
          <w:sz w:val="24"/>
          <w:szCs w:val="24"/>
        </w:rPr>
        <w:t xml:space="preserve">Orwell had negotiated </w:t>
      </w:r>
      <w:r>
        <w:rPr>
          <w:bCs/>
          <w:sz w:val="24"/>
          <w:szCs w:val="24"/>
        </w:rPr>
        <w:t>with Dominion East Ohio Gas for firm service</w:t>
      </w:r>
      <w:r w:rsidR="005A7B10">
        <w:rPr>
          <w:bCs/>
          <w:sz w:val="24"/>
          <w:szCs w:val="24"/>
        </w:rPr>
        <w:t>.</w:t>
      </w:r>
      <w:r w:rsidR="00C44B07">
        <w:rPr>
          <w:bCs/>
          <w:sz w:val="24"/>
          <w:szCs w:val="24"/>
        </w:rPr>
        <w:t xml:space="preserve"> </w:t>
      </w:r>
      <w:r w:rsidR="000B79D3">
        <w:rPr>
          <w:bCs/>
          <w:sz w:val="24"/>
          <w:szCs w:val="24"/>
        </w:rPr>
        <w:t xml:space="preserve"> </w:t>
      </w:r>
      <w:r w:rsidR="005A2329">
        <w:rPr>
          <w:bCs/>
          <w:sz w:val="24"/>
          <w:szCs w:val="24"/>
        </w:rPr>
        <w:t xml:space="preserve">In addition, the Dominion contract did not grant Dominion the exclusive right to transport gas for Orwell. </w:t>
      </w:r>
      <w:r w:rsidR="000B79D3">
        <w:rPr>
          <w:bCs/>
          <w:sz w:val="24"/>
          <w:szCs w:val="24"/>
        </w:rPr>
        <w:t xml:space="preserve"> </w:t>
      </w:r>
      <w:r w:rsidR="005A2329">
        <w:rPr>
          <w:bCs/>
          <w:sz w:val="24"/>
          <w:szCs w:val="24"/>
        </w:rPr>
        <w:t>Thus</w:t>
      </w:r>
      <w:r w:rsidR="00AF67EF">
        <w:rPr>
          <w:bCs/>
          <w:sz w:val="24"/>
          <w:szCs w:val="24"/>
        </w:rPr>
        <w:t>,</w:t>
      </w:r>
      <w:r w:rsidR="005A2329">
        <w:rPr>
          <w:bCs/>
          <w:sz w:val="24"/>
          <w:szCs w:val="24"/>
        </w:rPr>
        <w:t xml:space="preserve"> Orwell had significant flexibility under the Dominion contract that it does n</w:t>
      </w:r>
      <w:r w:rsidR="000B79D3">
        <w:rPr>
          <w:bCs/>
          <w:sz w:val="24"/>
          <w:szCs w:val="24"/>
        </w:rPr>
        <w:t>ot have under the OTP contract.</w:t>
      </w:r>
    </w:p>
    <w:p w:rsidR="00B23E9F" w:rsidRDefault="00E02DCB" w:rsidP="000B79D3">
      <w:pPr>
        <w:pStyle w:val="ListParagraph"/>
        <w:autoSpaceDE w:val="0"/>
        <w:spacing w:line="480" w:lineRule="auto"/>
        <w:ind w:left="2160" w:right="720" w:hanging="720"/>
        <w:rPr>
          <w:bCs/>
          <w:sz w:val="24"/>
          <w:szCs w:val="24"/>
        </w:rPr>
      </w:pPr>
      <w:r>
        <w:rPr>
          <w:bCs/>
          <w:sz w:val="24"/>
          <w:szCs w:val="24"/>
        </w:rPr>
        <w:t>5)</w:t>
      </w:r>
      <w:r w:rsidR="00FB5FED">
        <w:rPr>
          <w:bCs/>
          <w:sz w:val="24"/>
          <w:szCs w:val="24"/>
        </w:rPr>
        <w:tab/>
      </w:r>
      <w:r w:rsidR="002C3677">
        <w:rPr>
          <w:bCs/>
          <w:sz w:val="24"/>
          <w:szCs w:val="24"/>
        </w:rPr>
        <w:t xml:space="preserve">Orwell was paying OTP the same rate for an inferior interruptible </w:t>
      </w:r>
      <w:r w:rsidR="005A2329">
        <w:rPr>
          <w:bCs/>
          <w:sz w:val="24"/>
          <w:szCs w:val="24"/>
        </w:rPr>
        <w:t xml:space="preserve">transportation </w:t>
      </w:r>
      <w:r w:rsidR="002C3677">
        <w:rPr>
          <w:bCs/>
          <w:sz w:val="24"/>
          <w:szCs w:val="24"/>
        </w:rPr>
        <w:t>service that it previously p</w:t>
      </w:r>
      <w:r w:rsidR="00C44B07">
        <w:rPr>
          <w:bCs/>
          <w:sz w:val="24"/>
          <w:szCs w:val="24"/>
        </w:rPr>
        <w:t>aid Dominion for firm</w:t>
      </w:r>
      <w:r w:rsidR="00E03CA4">
        <w:rPr>
          <w:bCs/>
          <w:sz w:val="24"/>
          <w:szCs w:val="24"/>
        </w:rPr>
        <w:t xml:space="preserve"> </w:t>
      </w:r>
      <w:r w:rsidR="00C44B07">
        <w:rPr>
          <w:bCs/>
          <w:sz w:val="24"/>
          <w:szCs w:val="24"/>
        </w:rPr>
        <w:t xml:space="preserve">service. </w:t>
      </w:r>
      <w:r w:rsidR="00AD114E">
        <w:rPr>
          <w:bCs/>
          <w:sz w:val="24"/>
          <w:szCs w:val="24"/>
        </w:rPr>
        <w:t xml:space="preserve"> </w:t>
      </w:r>
      <w:r w:rsidR="002C3677">
        <w:rPr>
          <w:bCs/>
          <w:sz w:val="24"/>
          <w:szCs w:val="24"/>
        </w:rPr>
        <w:t xml:space="preserve">To the extent that the OTP contract was needed to provide Orwell’s customers with gas during peak winter periods, the reliance on interruptible transportation service </w:t>
      </w:r>
      <w:r w:rsidR="005A2329">
        <w:rPr>
          <w:bCs/>
          <w:sz w:val="24"/>
          <w:szCs w:val="24"/>
        </w:rPr>
        <w:t>wa</w:t>
      </w:r>
      <w:r w:rsidR="002C3677">
        <w:rPr>
          <w:bCs/>
          <w:sz w:val="24"/>
          <w:szCs w:val="24"/>
        </w:rPr>
        <w:t xml:space="preserve">s </w:t>
      </w:r>
      <w:r w:rsidR="005A2329">
        <w:rPr>
          <w:bCs/>
          <w:sz w:val="24"/>
          <w:szCs w:val="24"/>
        </w:rPr>
        <w:t xml:space="preserve">unreasonable and </w:t>
      </w:r>
      <w:r w:rsidR="002C3677">
        <w:rPr>
          <w:bCs/>
          <w:sz w:val="24"/>
          <w:szCs w:val="24"/>
        </w:rPr>
        <w:t xml:space="preserve">imprudent, because the service is not reliable during </w:t>
      </w:r>
      <w:r w:rsidR="00621C6A">
        <w:rPr>
          <w:bCs/>
          <w:sz w:val="24"/>
          <w:szCs w:val="24"/>
        </w:rPr>
        <w:t xml:space="preserve">high demand </w:t>
      </w:r>
      <w:r w:rsidR="002C3677">
        <w:rPr>
          <w:bCs/>
          <w:sz w:val="24"/>
          <w:szCs w:val="24"/>
        </w:rPr>
        <w:t>winter periods when customers have the greatest need for natural gas service.</w:t>
      </w:r>
    </w:p>
    <w:p w:rsidR="00B23E9F" w:rsidRDefault="00B23E9F" w:rsidP="00A054C9">
      <w:pPr>
        <w:pStyle w:val="ListParagraph"/>
        <w:autoSpaceDE w:val="0"/>
        <w:spacing w:line="480" w:lineRule="auto"/>
        <w:ind w:left="1440"/>
        <w:rPr>
          <w:bCs/>
          <w:sz w:val="24"/>
          <w:szCs w:val="24"/>
        </w:rPr>
      </w:pPr>
    </w:p>
    <w:p w:rsidR="00B23E9F" w:rsidRDefault="00E02DCB" w:rsidP="00A054C9">
      <w:pPr>
        <w:pStyle w:val="ListParagraph"/>
        <w:autoSpaceDE w:val="0"/>
        <w:spacing w:line="480" w:lineRule="auto"/>
        <w:ind w:hanging="720"/>
        <w:rPr>
          <w:bCs/>
          <w:sz w:val="24"/>
          <w:szCs w:val="24"/>
        </w:rPr>
      </w:pPr>
      <w:r>
        <w:rPr>
          <w:b/>
          <w:bCs/>
          <w:i/>
          <w:sz w:val="24"/>
          <w:szCs w:val="24"/>
        </w:rPr>
        <w:t>Q25.</w:t>
      </w:r>
      <w:r>
        <w:rPr>
          <w:b/>
          <w:bCs/>
          <w:i/>
          <w:sz w:val="24"/>
          <w:szCs w:val="24"/>
        </w:rPr>
        <w:tab/>
      </w:r>
      <w:r w:rsidR="00FB5FED" w:rsidRPr="00FB5FED">
        <w:rPr>
          <w:b/>
          <w:bCs/>
          <w:i/>
          <w:sz w:val="24"/>
          <w:szCs w:val="24"/>
        </w:rPr>
        <w:t xml:space="preserve">DID THIS BIAS CREATED WITH THE CONTRACT BETWEEN ORWELL AND OTP RESULT IN CUSTOMERS PAYING TOO </w:t>
      </w:r>
      <w:r w:rsidR="00AC2731" w:rsidRPr="00FB5FED">
        <w:rPr>
          <w:b/>
          <w:bCs/>
          <w:i/>
          <w:sz w:val="24"/>
          <w:szCs w:val="24"/>
        </w:rPr>
        <w:t>MUCH FOR</w:t>
      </w:r>
      <w:r w:rsidR="00FB5FED" w:rsidRPr="00FB5FED">
        <w:rPr>
          <w:b/>
          <w:bCs/>
          <w:i/>
          <w:sz w:val="24"/>
          <w:szCs w:val="24"/>
        </w:rPr>
        <w:t xml:space="preserve"> NATURAL GAS?</w:t>
      </w:r>
    </w:p>
    <w:p w:rsidR="00AD114E" w:rsidRDefault="00FB5FED" w:rsidP="00AD114E">
      <w:pPr>
        <w:pStyle w:val="ListParagraph"/>
        <w:autoSpaceDE w:val="0"/>
        <w:spacing w:line="480" w:lineRule="auto"/>
        <w:ind w:hanging="720"/>
        <w:rPr>
          <w:b/>
          <w:i/>
          <w:sz w:val="24"/>
          <w:szCs w:val="24"/>
        </w:rPr>
      </w:pPr>
      <w:r w:rsidRPr="00FB5FED">
        <w:rPr>
          <w:b/>
          <w:bCs/>
          <w:i/>
          <w:sz w:val="24"/>
          <w:szCs w:val="24"/>
        </w:rPr>
        <w:t>A25.</w:t>
      </w:r>
      <w:r w:rsidR="00E02DCB">
        <w:rPr>
          <w:bCs/>
          <w:sz w:val="24"/>
          <w:szCs w:val="24"/>
        </w:rPr>
        <w:tab/>
        <w:t>Y</w:t>
      </w:r>
      <w:r>
        <w:rPr>
          <w:bCs/>
          <w:sz w:val="24"/>
          <w:szCs w:val="24"/>
        </w:rPr>
        <w:t>es, the bias resulted in customers over paying by</w:t>
      </w:r>
      <w:r w:rsidR="007D5558">
        <w:rPr>
          <w:bCs/>
          <w:sz w:val="24"/>
          <w:szCs w:val="24"/>
        </w:rPr>
        <w:t xml:space="preserve"> </w:t>
      </w:r>
      <w:r w:rsidR="00397DBC">
        <w:rPr>
          <w:bCs/>
          <w:sz w:val="24"/>
          <w:szCs w:val="24"/>
        </w:rPr>
        <w:t>$</w:t>
      </w:r>
      <w:r w:rsidR="007D5558">
        <w:rPr>
          <w:bCs/>
          <w:sz w:val="24"/>
          <w:szCs w:val="24"/>
        </w:rPr>
        <w:t>1,653,652</w:t>
      </w:r>
      <w:r w:rsidR="00E02DCB">
        <w:rPr>
          <w:bCs/>
          <w:sz w:val="24"/>
          <w:szCs w:val="24"/>
        </w:rPr>
        <w:t>.</w:t>
      </w:r>
      <w:r w:rsidR="00AD114E">
        <w:rPr>
          <w:bCs/>
          <w:sz w:val="24"/>
          <w:szCs w:val="24"/>
        </w:rPr>
        <w:t xml:space="preserve"> </w:t>
      </w:r>
      <w:r w:rsidR="00E02DCB">
        <w:rPr>
          <w:bCs/>
          <w:sz w:val="24"/>
          <w:szCs w:val="24"/>
        </w:rPr>
        <w:t xml:space="preserve"> </w:t>
      </w:r>
      <w:r w:rsidR="00CE645A">
        <w:rPr>
          <w:bCs/>
          <w:sz w:val="24"/>
          <w:szCs w:val="24"/>
        </w:rPr>
        <w:t xml:space="preserve">The OTP/Orwell contract amounted to an unreasonable </w:t>
      </w:r>
      <w:r w:rsidR="00DD7C20">
        <w:rPr>
          <w:bCs/>
          <w:sz w:val="24"/>
          <w:szCs w:val="24"/>
        </w:rPr>
        <w:t>and</w:t>
      </w:r>
      <w:r w:rsidR="00E02DCB">
        <w:rPr>
          <w:bCs/>
          <w:sz w:val="24"/>
          <w:szCs w:val="24"/>
        </w:rPr>
        <w:t xml:space="preserve"> imprudent purchasing contract.</w:t>
      </w:r>
      <w:r w:rsidR="00CE645A">
        <w:rPr>
          <w:bCs/>
          <w:sz w:val="24"/>
          <w:szCs w:val="24"/>
        </w:rPr>
        <w:t xml:space="preserve"> </w:t>
      </w:r>
      <w:r w:rsidR="00AD114E">
        <w:rPr>
          <w:bCs/>
          <w:sz w:val="24"/>
          <w:szCs w:val="24"/>
        </w:rPr>
        <w:t xml:space="preserve"> </w:t>
      </w:r>
      <w:r w:rsidR="00CE645A">
        <w:rPr>
          <w:bCs/>
          <w:sz w:val="24"/>
          <w:szCs w:val="24"/>
        </w:rPr>
        <w:t xml:space="preserve">The GCR customers should be protected from paying excessive </w:t>
      </w:r>
      <w:r w:rsidR="00E66727">
        <w:rPr>
          <w:bCs/>
          <w:sz w:val="24"/>
          <w:szCs w:val="24"/>
        </w:rPr>
        <w:t>charges</w:t>
      </w:r>
      <w:r w:rsidR="00CE645A">
        <w:rPr>
          <w:bCs/>
          <w:sz w:val="24"/>
          <w:szCs w:val="24"/>
        </w:rPr>
        <w:t xml:space="preserve"> caused by the</w:t>
      </w:r>
      <w:r>
        <w:rPr>
          <w:bCs/>
          <w:sz w:val="24"/>
          <w:szCs w:val="24"/>
        </w:rPr>
        <w:t>se actions</w:t>
      </w:r>
      <w:r w:rsidR="00774B2E">
        <w:rPr>
          <w:bCs/>
          <w:sz w:val="24"/>
          <w:szCs w:val="24"/>
        </w:rPr>
        <w:t>.</w:t>
      </w:r>
      <w:r w:rsidR="00AD114E">
        <w:rPr>
          <w:b/>
          <w:i/>
          <w:sz w:val="24"/>
          <w:szCs w:val="24"/>
        </w:rPr>
        <w:br w:type="page"/>
      </w:r>
    </w:p>
    <w:p w:rsidR="00B62246" w:rsidRDefault="00B62246" w:rsidP="00A054C9">
      <w:pPr>
        <w:autoSpaceDE w:val="0"/>
        <w:spacing w:line="480" w:lineRule="auto"/>
        <w:ind w:left="720" w:hanging="720"/>
        <w:rPr>
          <w:b/>
          <w:i/>
          <w:sz w:val="24"/>
          <w:szCs w:val="24"/>
        </w:rPr>
      </w:pPr>
      <w:r w:rsidRPr="00B62246">
        <w:rPr>
          <w:b/>
          <w:i/>
          <w:sz w:val="24"/>
          <w:szCs w:val="24"/>
        </w:rPr>
        <w:t>Q2</w:t>
      </w:r>
      <w:r w:rsidR="00FB5FED">
        <w:rPr>
          <w:b/>
          <w:i/>
          <w:sz w:val="24"/>
          <w:szCs w:val="24"/>
        </w:rPr>
        <w:t>6</w:t>
      </w:r>
      <w:r w:rsidRPr="00B62246">
        <w:rPr>
          <w:b/>
          <w:i/>
          <w:sz w:val="24"/>
          <w:szCs w:val="24"/>
        </w:rPr>
        <w:t>.</w:t>
      </w:r>
      <w:r w:rsidRPr="00B62246">
        <w:rPr>
          <w:b/>
          <w:i/>
          <w:sz w:val="24"/>
          <w:szCs w:val="24"/>
        </w:rPr>
        <w:tab/>
      </w:r>
      <w:r w:rsidR="00A922C7">
        <w:rPr>
          <w:b/>
          <w:i/>
          <w:sz w:val="24"/>
          <w:szCs w:val="24"/>
        </w:rPr>
        <w:t>IS</w:t>
      </w:r>
      <w:r w:rsidRPr="00B62246">
        <w:rPr>
          <w:b/>
          <w:i/>
          <w:sz w:val="24"/>
          <w:szCs w:val="24"/>
        </w:rPr>
        <w:t xml:space="preserve"> THE TRANSPORTATION RATE ORWELL PAY</w:t>
      </w:r>
      <w:r w:rsidR="00A922C7">
        <w:rPr>
          <w:b/>
          <w:i/>
          <w:sz w:val="24"/>
          <w:szCs w:val="24"/>
        </w:rPr>
        <w:t>S</w:t>
      </w:r>
      <w:r w:rsidRPr="00B62246">
        <w:rPr>
          <w:b/>
          <w:i/>
          <w:sz w:val="24"/>
          <w:szCs w:val="24"/>
        </w:rPr>
        <w:t xml:space="preserve"> OTP COMMENSURATE WITH OTHER SIMILARLY SITUATED PIPELINES IN OHIO?</w:t>
      </w:r>
    </w:p>
    <w:p w:rsidR="00EE3504" w:rsidRDefault="00EE3504" w:rsidP="00A054C9">
      <w:pPr>
        <w:autoSpaceDE w:val="0"/>
        <w:spacing w:line="480" w:lineRule="auto"/>
        <w:ind w:left="720" w:hanging="720"/>
        <w:rPr>
          <w:sz w:val="24"/>
          <w:szCs w:val="24"/>
        </w:rPr>
      </w:pPr>
      <w:r>
        <w:rPr>
          <w:b/>
          <w:i/>
          <w:sz w:val="24"/>
          <w:szCs w:val="24"/>
        </w:rPr>
        <w:t>A2</w:t>
      </w:r>
      <w:r w:rsidR="00FB5FED">
        <w:rPr>
          <w:b/>
          <w:i/>
          <w:sz w:val="24"/>
          <w:szCs w:val="24"/>
        </w:rPr>
        <w:t>6</w:t>
      </w:r>
      <w:r>
        <w:rPr>
          <w:b/>
          <w:i/>
          <w:sz w:val="24"/>
          <w:szCs w:val="24"/>
        </w:rPr>
        <w:t>.</w:t>
      </w:r>
      <w:r>
        <w:rPr>
          <w:b/>
          <w:i/>
          <w:sz w:val="24"/>
          <w:szCs w:val="24"/>
        </w:rPr>
        <w:tab/>
      </w:r>
      <w:r w:rsidR="00A922C7" w:rsidRPr="00A922C7">
        <w:rPr>
          <w:sz w:val="24"/>
          <w:szCs w:val="24"/>
        </w:rPr>
        <w:t>No.</w:t>
      </w:r>
      <w:r w:rsidR="00AD114E">
        <w:rPr>
          <w:sz w:val="24"/>
          <w:szCs w:val="24"/>
        </w:rPr>
        <w:t xml:space="preserve"> </w:t>
      </w:r>
      <w:r w:rsidR="00A922C7">
        <w:rPr>
          <w:b/>
          <w:i/>
          <w:sz w:val="24"/>
          <w:szCs w:val="24"/>
        </w:rPr>
        <w:t xml:space="preserve"> </w:t>
      </w:r>
      <w:r w:rsidRPr="00EE3504">
        <w:rPr>
          <w:sz w:val="24"/>
          <w:szCs w:val="24"/>
        </w:rPr>
        <w:t>Orwell</w:t>
      </w:r>
      <w:r>
        <w:rPr>
          <w:sz w:val="24"/>
          <w:szCs w:val="24"/>
        </w:rPr>
        <w:t xml:space="preserve"> takes transportation service from four intrastate </w:t>
      </w:r>
      <w:r w:rsidR="006906E1">
        <w:rPr>
          <w:sz w:val="24"/>
          <w:szCs w:val="24"/>
        </w:rPr>
        <w:t>p</w:t>
      </w:r>
      <w:r>
        <w:rPr>
          <w:sz w:val="24"/>
          <w:szCs w:val="24"/>
        </w:rPr>
        <w:t>ipeline companies</w:t>
      </w:r>
      <w:r w:rsidR="00621C6A">
        <w:rPr>
          <w:sz w:val="24"/>
          <w:szCs w:val="24"/>
        </w:rPr>
        <w:t>:</w:t>
      </w:r>
      <w:r>
        <w:rPr>
          <w:sz w:val="24"/>
          <w:szCs w:val="24"/>
        </w:rPr>
        <w:t xml:space="preserve"> OTP, Cobra Pipeline Co</w:t>
      </w:r>
      <w:r w:rsidR="00F0738F">
        <w:rPr>
          <w:sz w:val="24"/>
          <w:szCs w:val="24"/>
        </w:rPr>
        <w:t>., LTD (“Cobra”)</w:t>
      </w:r>
      <w:r>
        <w:rPr>
          <w:sz w:val="24"/>
          <w:szCs w:val="24"/>
        </w:rPr>
        <w:t>, Spelman Pipeline</w:t>
      </w:r>
      <w:r w:rsidR="00DE6D23">
        <w:rPr>
          <w:sz w:val="24"/>
          <w:szCs w:val="24"/>
        </w:rPr>
        <w:t xml:space="preserve"> Holdings, LLC</w:t>
      </w:r>
      <w:r w:rsidR="00F0738F">
        <w:rPr>
          <w:sz w:val="24"/>
          <w:szCs w:val="24"/>
        </w:rPr>
        <w:t xml:space="preserve"> (“Spelman”)</w:t>
      </w:r>
      <w:r w:rsidR="00DE6D23">
        <w:rPr>
          <w:sz w:val="24"/>
          <w:szCs w:val="24"/>
        </w:rPr>
        <w:t>,</w:t>
      </w:r>
      <w:r>
        <w:rPr>
          <w:sz w:val="24"/>
          <w:szCs w:val="24"/>
        </w:rPr>
        <w:t xml:space="preserve"> and North Coast Gas Transmission</w:t>
      </w:r>
      <w:r w:rsidR="00A145CF">
        <w:rPr>
          <w:sz w:val="24"/>
          <w:szCs w:val="24"/>
        </w:rPr>
        <w:t>, LLC (“North Coast”)</w:t>
      </w:r>
      <w:r w:rsidR="00C44B07">
        <w:rPr>
          <w:sz w:val="24"/>
          <w:szCs w:val="24"/>
        </w:rPr>
        <w:t xml:space="preserve">. </w:t>
      </w:r>
      <w:r w:rsidR="00AD114E">
        <w:rPr>
          <w:sz w:val="24"/>
          <w:szCs w:val="24"/>
        </w:rPr>
        <w:t xml:space="preserve"> </w:t>
      </w:r>
      <w:r>
        <w:rPr>
          <w:sz w:val="24"/>
          <w:szCs w:val="24"/>
        </w:rPr>
        <w:t>Cobra’s rate is $</w:t>
      </w:r>
      <w:r w:rsidR="006906E1">
        <w:rPr>
          <w:sz w:val="24"/>
          <w:szCs w:val="24"/>
        </w:rPr>
        <w:t>0</w:t>
      </w:r>
      <w:r>
        <w:rPr>
          <w:sz w:val="24"/>
          <w:szCs w:val="24"/>
        </w:rPr>
        <w:t>.50 per Dth</w:t>
      </w:r>
      <w:r w:rsidR="00C44B07">
        <w:rPr>
          <w:sz w:val="24"/>
          <w:szCs w:val="24"/>
        </w:rPr>
        <w:t>.</w:t>
      </w:r>
      <w:r w:rsidR="006906E1">
        <w:rPr>
          <w:rStyle w:val="FootnoteReference"/>
          <w:sz w:val="24"/>
          <w:szCs w:val="24"/>
        </w:rPr>
        <w:footnoteReference w:id="28"/>
      </w:r>
      <w:r>
        <w:rPr>
          <w:sz w:val="24"/>
          <w:szCs w:val="24"/>
        </w:rPr>
        <w:t xml:space="preserve"> </w:t>
      </w:r>
      <w:r w:rsidR="00AD114E">
        <w:rPr>
          <w:sz w:val="24"/>
          <w:szCs w:val="24"/>
        </w:rPr>
        <w:t xml:space="preserve"> </w:t>
      </w:r>
      <w:r>
        <w:rPr>
          <w:sz w:val="24"/>
          <w:szCs w:val="24"/>
        </w:rPr>
        <w:t>Spelman’s rate is $0.50 per Dth.</w:t>
      </w:r>
      <w:r w:rsidR="006906E1">
        <w:rPr>
          <w:rStyle w:val="FootnoteReference"/>
          <w:sz w:val="24"/>
          <w:szCs w:val="24"/>
        </w:rPr>
        <w:footnoteReference w:id="29"/>
      </w:r>
      <w:r>
        <w:rPr>
          <w:sz w:val="24"/>
          <w:szCs w:val="24"/>
        </w:rPr>
        <w:t xml:space="preserve"> </w:t>
      </w:r>
      <w:r w:rsidR="00AD114E">
        <w:rPr>
          <w:sz w:val="24"/>
          <w:szCs w:val="24"/>
        </w:rPr>
        <w:t xml:space="preserve"> </w:t>
      </w:r>
      <w:r>
        <w:rPr>
          <w:sz w:val="24"/>
          <w:szCs w:val="24"/>
        </w:rPr>
        <w:t>North Coast’s rate is $0.</w:t>
      </w:r>
      <w:r w:rsidR="008F6B7D">
        <w:rPr>
          <w:sz w:val="24"/>
          <w:szCs w:val="24"/>
        </w:rPr>
        <w:t>25</w:t>
      </w:r>
      <w:r>
        <w:rPr>
          <w:sz w:val="24"/>
          <w:szCs w:val="24"/>
        </w:rPr>
        <w:t xml:space="preserve"> per Dth.</w:t>
      </w:r>
      <w:r w:rsidR="006906E1">
        <w:rPr>
          <w:rStyle w:val="FootnoteReference"/>
          <w:sz w:val="24"/>
          <w:szCs w:val="24"/>
        </w:rPr>
        <w:footnoteReference w:id="30"/>
      </w:r>
      <w:r>
        <w:rPr>
          <w:sz w:val="24"/>
          <w:szCs w:val="24"/>
        </w:rPr>
        <w:t xml:space="preserve"> </w:t>
      </w:r>
      <w:r w:rsidR="00AD114E">
        <w:rPr>
          <w:sz w:val="24"/>
          <w:szCs w:val="24"/>
        </w:rPr>
        <w:t xml:space="preserve"> </w:t>
      </w:r>
      <w:r>
        <w:rPr>
          <w:sz w:val="24"/>
          <w:szCs w:val="24"/>
        </w:rPr>
        <w:t xml:space="preserve">OTP’s rate was $0.95 per Mcf for the </w:t>
      </w:r>
      <w:r w:rsidR="00C06F25">
        <w:rPr>
          <w:sz w:val="24"/>
          <w:szCs w:val="24"/>
        </w:rPr>
        <w:t xml:space="preserve">2012 - </w:t>
      </w:r>
      <w:r>
        <w:rPr>
          <w:sz w:val="24"/>
          <w:szCs w:val="24"/>
        </w:rPr>
        <w:t xml:space="preserve">2014 </w:t>
      </w:r>
      <w:r w:rsidR="00E6276A">
        <w:rPr>
          <w:sz w:val="24"/>
          <w:szCs w:val="24"/>
        </w:rPr>
        <w:t>a</w:t>
      </w:r>
      <w:r>
        <w:rPr>
          <w:sz w:val="24"/>
          <w:szCs w:val="24"/>
        </w:rPr>
        <w:t>udit period</w:t>
      </w:r>
      <w:r w:rsidR="00F751F8">
        <w:rPr>
          <w:sz w:val="24"/>
          <w:szCs w:val="24"/>
        </w:rPr>
        <w:t xml:space="preserve"> </w:t>
      </w:r>
      <w:r>
        <w:rPr>
          <w:sz w:val="24"/>
          <w:szCs w:val="24"/>
        </w:rPr>
        <w:t>and</w:t>
      </w:r>
      <w:r w:rsidR="00506D87">
        <w:rPr>
          <w:sz w:val="24"/>
          <w:szCs w:val="24"/>
        </w:rPr>
        <w:t xml:space="preserve"> due to an escalation clause</w:t>
      </w:r>
      <w:r w:rsidR="00D56115">
        <w:rPr>
          <w:sz w:val="24"/>
          <w:szCs w:val="24"/>
        </w:rPr>
        <w:t xml:space="preserve"> </w:t>
      </w:r>
      <w:r w:rsidR="00F751F8">
        <w:rPr>
          <w:sz w:val="24"/>
          <w:szCs w:val="24"/>
        </w:rPr>
        <w:t xml:space="preserve">in the contract, </w:t>
      </w:r>
      <w:r w:rsidR="00D56115">
        <w:rPr>
          <w:sz w:val="24"/>
          <w:szCs w:val="24"/>
        </w:rPr>
        <w:t>it</w:t>
      </w:r>
      <w:r>
        <w:rPr>
          <w:sz w:val="24"/>
          <w:szCs w:val="24"/>
        </w:rPr>
        <w:t xml:space="preserve"> is currently $1.01 </w:t>
      </w:r>
      <w:r w:rsidR="006906E1">
        <w:rPr>
          <w:sz w:val="24"/>
          <w:szCs w:val="24"/>
        </w:rPr>
        <w:t>p</w:t>
      </w:r>
      <w:r>
        <w:rPr>
          <w:sz w:val="24"/>
          <w:szCs w:val="24"/>
        </w:rPr>
        <w:t>er Mcf</w:t>
      </w:r>
      <w:r w:rsidR="00C44B07">
        <w:rPr>
          <w:rStyle w:val="FootnoteReference"/>
          <w:sz w:val="24"/>
          <w:szCs w:val="24"/>
        </w:rPr>
        <w:footnoteReference w:id="31"/>
      </w:r>
      <w:r w:rsidR="00C44B07">
        <w:rPr>
          <w:sz w:val="24"/>
          <w:szCs w:val="24"/>
        </w:rPr>
        <w:t xml:space="preserve"> --</w:t>
      </w:r>
      <w:r>
        <w:rPr>
          <w:sz w:val="24"/>
          <w:szCs w:val="24"/>
        </w:rPr>
        <w:t xml:space="preserve"> </w:t>
      </w:r>
      <w:r w:rsidR="00C600E4">
        <w:rPr>
          <w:sz w:val="24"/>
          <w:szCs w:val="24"/>
        </w:rPr>
        <w:t>more than</w:t>
      </w:r>
      <w:r>
        <w:rPr>
          <w:sz w:val="24"/>
          <w:szCs w:val="24"/>
        </w:rPr>
        <w:t xml:space="preserve"> double the rates charged by the other three pipelines.</w:t>
      </w:r>
      <w:r w:rsidR="006906E1">
        <w:rPr>
          <w:rStyle w:val="FootnoteReference"/>
          <w:sz w:val="24"/>
          <w:szCs w:val="24"/>
        </w:rPr>
        <w:footnoteReference w:id="32"/>
      </w:r>
    </w:p>
    <w:p w:rsidR="00774B2E" w:rsidRDefault="00774B2E" w:rsidP="00A054C9">
      <w:pPr>
        <w:autoSpaceDE w:val="0"/>
        <w:spacing w:line="480" w:lineRule="auto"/>
        <w:ind w:left="720" w:hanging="720"/>
        <w:rPr>
          <w:sz w:val="24"/>
          <w:szCs w:val="24"/>
        </w:rPr>
      </w:pPr>
    </w:p>
    <w:p w:rsidR="00F641ED" w:rsidRPr="00F641ED" w:rsidRDefault="00F641ED" w:rsidP="00A054C9">
      <w:pPr>
        <w:autoSpaceDE w:val="0"/>
        <w:spacing w:line="480" w:lineRule="auto"/>
        <w:ind w:left="720" w:hanging="720"/>
        <w:rPr>
          <w:b/>
          <w:i/>
          <w:sz w:val="24"/>
          <w:szCs w:val="24"/>
        </w:rPr>
      </w:pPr>
      <w:r w:rsidRPr="00F641ED">
        <w:rPr>
          <w:b/>
          <w:i/>
          <w:sz w:val="24"/>
          <w:szCs w:val="24"/>
        </w:rPr>
        <w:t>Q</w:t>
      </w:r>
      <w:r w:rsidR="00736047">
        <w:rPr>
          <w:b/>
          <w:i/>
          <w:sz w:val="24"/>
          <w:szCs w:val="24"/>
        </w:rPr>
        <w:t>2</w:t>
      </w:r>
      <w:r w:rsidR="00FB5FED">
        <w:rPr>
          <w:b/>
          <w:i/>
          <w:sz w:val="24"/>
          <w:szCs w:val="24"/>
        </w:rPr>
        <w:t>7</w:t>
      </w:r>
      <w:r w:rsidRPr="00F641ED">
        <w:rPr>
          <w:b/>
          <w:i/>
          <w:sz w:val="24"/>
          <w:szCs w:val="24"/>
        </w:rPr>
        <w:t>.</w:t>
      </w:r>
      <w:r w:rsidRPr="00F641ED">
        <w:rPr>
          <w:b/>
          <w:i/>
          <w:sz w:val="24"/>
          <w:szCs w:val="24"/>
        </w:rPr>
        <w:tab/>
        <w:t>DO YOU HAVE OTHER CONCERNS REGARDING THE OTP CONTRACT IN ADDITION TO THE RATE?</w:t>
      </w:r>
    </w:p>
    <w:p w:rsidR="00AF67EF" w:rsidRDefault="00F641ED" w:rsidP="00A054C9">
      <w:pPr>
        <w:autoSpaceDE w:val="0"/>
        <w:spacing w:line="480" w:lineRule="auto"/>
        <w:ind w:left="720" w:hanging="720"/>
        <w:rPr>
          <w:sz w:val="24"/>
          <w:szCs w:val="24"/>
        </w:rPr>
      </w:pPr>
      <w:r w:rsidRPr="00F641ED">
        <w:rPr>
          <w:b/>
          <w:i/>
          <w:sz w:val="24"/>
          <w:szCs w:val="24"/>
        </w:rPr>
        <w:t>A</w:t>
      </w:r>
      <w:r w:rsidR="00736047">
        <w:rPr>
          <w:b/>
          <w:i/>
          <w:sz w:val="24"/>
          <w:szCs w:val="24"/>
        </w:rPr>
        <w:t>2</w:t>
      </w:r>
      <w:r w:rsidR="00FB5FED">
        <w:rPr>
          <w:b/>
          <w:i/>
          <w:sz w:val="24"/>
          <w:szCs w:val="24"/>
        </w:rPr>
        <w:t>7</w:t>
      </w:r>
      <w:r w:rsidRPr="00F641ED">
        <w:rPr>
          <w:b/>
          <w:i/>
          <w:sz w:val="24"/>
          <w:szCs w:val="24"/>
        </w:rPr>
        <w:t>.</w:t>
      </w:r>
      <w:r>
        <w:rPr>
          <w:sz w:val="24"/>
          <w:szCs w:val="24"/>
        </w:rPr>
        <w:tab/>
        <w:t>Yes.</w:t>
      </w:r>
      <w:r w:rsidR="00C44B07">
        <w:rPr>
          <w:sz w:val="24"/>
          <w:szCs w:val="24"/>
        </w:rPr>
        <w:t xml:space="preserve"> </w:t>
      </w:r>
      <w:r w:rsidR="00AD114E">
        <w:rPr>
          <w:sz w:val="24"/>
          <w:szCs w:val="24"/>
        </w:rPr>
        <w:t xml:space="preserve"> </w:t>
      </w:r>
      <w:r w:rsidR="00F10617">
        <w:rPr>
          <w:sz w:val="24"/>
          <w:szCs w:val="24"/>
        </w:rPr>
        <w:t xml:space="preserve">The contract Orwell signed with OTP </w:t>
      </w:r>
      <w:r w:rsidR="00EF3D24">
        <w:rPr>
          <w:sz w:val="24"/>
          <w:szCs w:val="24"/>
        </w:rPr>
        <w:t>is for</w:t>
      </w:r>
      <w:r w:rsidR="00F10617">
        <w:rPr>
          <w:sz w:val="24"/>
          <w:szCs w:val="24"/>
        </w:rPr>
        <w:t xml:space="preserve"> a </w:t>
      </w:r>
      <w:r w:rsidR="00621C6A">
        <w:rPr>
          <w:sz w:val="24"/>
          <w:szCs w:val="24"/>
        </w:rPr>
        <w:t>15-</w:t>
      </w:r>
      <w:r w:rsidR="00F10617">
        <w:rPr>
          <w:sz w:val="24"/>
          <w:szCs w:val="24"/>
        </w:rPr>
        <w:t xml:space="preserve">year term </w:t>
      </w:r>
      <w:r w:rsidR="00EF3D24">
        <w:rPr>
          <w:sz w:val="24"/>
          <w:szCs w:val="24"/>
        </w:rPr>
        <w:t>whereby</w:t>
      </w:r>
      <w:r w:rsidR="00F10617">
        <w:rPr>
          <w:sz w:val="24"/>
          <w:szCs w:val="24"/>
        </w:rPr>
        <w:t xml:space="preserve"> OTP </w:t>
      </w:r>
      <w:r w:rsidR="00DA32D1">
        <w:rPr>
          <w:sz w:val="24"/>
          <w:szCs w:val="24"/>
        </w:rPr>
        <w:t>has</w:t>
      </w:r>
      <w:r w:rsidR="00F10617">
        <w:rPr>
          <w:sz w:val="24"/>
          <w:szCs w:val="24"/>
        </w:rPr>
        <w:t xml:space="preserve"> exclusive rights to transport all natural gas delivered to Orwell.</w:t>
      </w:r>
      <w:r w:rsidR="00A208A5">
        <w:rPr>
          <w:rStyle w:val="FootnoteReference"/>
          <w:sz w:val="24"/>
          <w:szCs w:val="24"/>
        </w:rPr>
        <w:footnoteReference w:id="33"/>
      </w:r>
      <w:r w:rsidR="00C44B07">
        <w:rPr>
          <w:sz w:val="24"/>
          <w:szCs w:val="24"/>
        </w:rPr>
        <w:t xml:space="preserve"> </w:t>
      </w:r>
      <w:r w:rsidR="00AD114E">
        <w:rPr>
          <w:sz w:val="24"/>
          <w:szCs w:val="24"/>
        </w:rPr>
        <w:t xml:space="preserve"> </w:t>
      </w:r>
      <w:r w:rsidR="00F10617">
        <w:rPr>
          <w:sz w:val="24"/>
          <w:szCs w:val="24"/>
        </w:rPr>
        <w:t>The term of the contract is unusually long, but more importantly there is an exclusivity clause</w:t>
      </w:r>
      <w:r w:rsidR="00476D08">
        <w:rPr>
          <w:rStyle w:val="FootnoteReference"/>
          <w:sz w:val="24"/>
          <w:szCs w:val="24"/>
        </w:rPr>
        <w:footnoteReference w:id="34"/>
      </w:r>
      <w:r w:rsidR="00F10617">
        <w:rPr>
          <w:sz w:val="24"/>
          <w:szCs w:val="24"/>
        </w:rPr>
        <w:t xml:space="preserve"> in the agreement that is unduly burdensome</w:t>
      </w:r>
      <w:r w:rsidR="00CE645A">
        <w:rPr>
          <w:sz w:val="24"/>
          <w:szCs w:val="24"/>
        </w:rPr>
        <w:t xml:space="preserve"> and likely to cause customers to pay </w:t>
      </w:r>
      <w:r w:rsidR="00AF67EF">
        <w:rPr>
          <w:sz w:val="24"/>
          <w:szCs w:val="24"/>
        </w:rPr>
        <w:t>rates that may not be fair, just, and reasonable</w:t>
      </w:r>
      <w:r w:rsidR="00F10617">
        <w:rPr>
          <w:sz w:val="24"/>
          <w:szCs w:val="24"/>
        </w:rPr>
        <w:t>.</w:t>
      </w:r>
    </w:p>
    <w:p w:rsidR="00AF67EF" w:rsidRDefault="00AF67EF" w:rsidP="00A054C9">
      <w:pPr>
        <w:autoSpaceDE w:val="0"/>
        <w:spacing w:line="480" w:lineRule="auto"/>
        <w:ind w:left="720" w:hanging="720"/>
        <w:rPr>
          <w:sz w:val="24"/>
          <w:szCs w:val="24"/>
        </w:rPr>
      </w:pPr>
    </w:p>
    <w:p w:rsidR="00CE3C1A" w:rsidRDefault="00406C81" w:rsidP="00A054C9">
      <w:pPr>
        <w:autoSpaceDE w:val="0"/>
        <w:spacing w:line="480" w:lineRule="auto"/>
        <w:ind w:left="720"/>
        <w:rPr>
          <w:sz w:val="24"/>
          <w:szCs w:val="24"/>
        </w:rPr>
      </w:pPr>
      <w:r>
        <w:rPr>
          <w:sz w:val="24"/>
          <w:szCs w:val="24"/>
        </w:rPr>
        <w:t>The agreement states that “</w:t>
      </w:r>
      <w:r w:rsidR="00DA32D1">
        <w:rPr>
          <w:sz w:val="24"/>
          <w:szCs w:val="24"/>
        </w:rPr>
        <w:t>[Orwell]</w:t>
      </w:r>
      <w:r w:rsidR="00124F02">
        <w:rPr>
          <w:sz w:val="24"/>
          <w:szCs w:val="24"/>
        </w:rPr>
        <w:t xml:space="preserve"> agrees that during the term of this Transportation Service Agreement it will</w:t>
      </w:r>
      <w:r w:rsidR="006A04D4">
        <w:rPr>
          <w:sz w:val="24"/>
          <w:szCs w:val="24"/>
        </w:rPr>
        <w:t xml:space="preserve"> use only OTP’s pipelines to transport gas for any of its customers; provided, however, that this exclusive use of the OTP pipelines shall remain in effect as long as OTP has available capacity within its pipelines.”</w:t>
      </w:r>
      <w:r w:rsidR="00814C3C">
        <w:rPr>
          <w:rStyle w:val="FootnoteReference"/>
          <w:sz w:val="24"/>
          <w:szCs w:val="24"/>
        </w:rPr>
        <w:footnoteReference w:id="35"/>
      </w:r>
      <w:r w:rsidR="00C44B07">
        <w:rPr>
          <w:sz w:val="24"/>
          <w:szCs w:val="24"/>
        </w:rPr>
        <w:t xml:space="preserve"> </w:t>
      </w:r>
      <w:r w:rsidR="00AD114E">
        <w:rPr>
          <w:sz w:val="24"/>
          <w:szCs w:val="24"/>
        </w:rPr>
        <w:t xml:space="preserve"> </w:t>
      </w:r>
      <w:r w:rsidR="00C519A9">
        <w:rPr>
          <w:sz w:val="24"/>
          <w:szCs w:val="24"/>
        </w:rPr>
        <w:t xml:space="preserve">By signing this agreement Orwell is committed to taking gas from the OTP system, regardless of how many </w:t>
      </w:r>
      <w:r w:rsidR="009544A0">
        <w:rPr>
          <w:sz w:val="24"/>
          <w:szCs w:val="24"/>
        </w:rPr>
        <w:t xml:space="preserve">other </w:t>
      </w:r>
      <w:r w:rsidR="00C519A9">
        <w:rPr>
          <w:sz w:val="24"/>
          <w:szCs w:val="24"/>
        </w:rPr>
        <w:t>better opportunities might arise over the next 15 years.</w:t>
      </w:r>
      <w:r w:rsidR="00BC10E3">
        <w:rPr>
          <w:sz w:val="24"/>
          <w:szCs w:val="24"/>
        </w:rPr>
        <w:t xml:space="preserve"> </w:t>
      </w:r>
      <w:r w:rsidR="00AD114E">
        <w:rPr>
          <w:sz w:val="24"/>
          <w:szCs w:val="24"/>
        </w:rPr>
        <w:t xml:space="preserve"> </w:t>
      </w:r>
      <w:r w:rsidR="00BC10E3">
        <w:rPr>
          <w:sz w:val="24"/>
          <w:szCs w:val="24"/>
        </w:rPr>
        <w:t xml:space="preserve">Interestingly, while Orwell was prevented from taking service from any other pipeline for </w:t>
      </w:r>
      <w:r w:rsidR="00432723">
        <w:rPr>
          <w:sz w:val="24"/>
          <w:szCs w:val="24"/>
        </w:rPr>
        <w:t>fifteen</w:t>
      </w:r>
      <w:r w:rsidR="00BC10E3">
        <w:rPr>
          <w:sz w:val="24"/>
          <w:szCs w:val="24"/>
        </w:rPr>
        <w:t xml:space="preserve"> years, OTP was not similarly handicapped. </w:t>
      </w:r>
      <w:r w:rsidR="00AD114E">
        <w:rPr>
          <w:sz w:val="24"/>
          <w:szCs w:val="24"/>
        </w:rPr>
        <w:t xml:space="preserve"> </w:t>
      </w:r>
      <w:r w:rsidR="0015435E">
        <w:rPr>
          <w:sz w:val="24"/>
          <w:szCs w:val="24"/>
        </w:rPr>
        <w:t xml:space="preserve">OTP retained the option of serving additional </w:t>
      </w:r>
      <w:r w:rsidR="005A2329">
        <w:rPr>
          <w:sz w:val="24"/>
          <w:szCs w:val="24"/>
        </w:rPr>
        <w:t xml:space="preserve">or other </w:t>
      </w:r>
      <w:r w:rsidR="0015435E">
        <w:rPr>
          <w:sz w:val="24"/>
          <w:szCs w:val="24"/>
        </w:rPr>
        <w:t>customers i</w:t>
      </w:r>
      <w:r w:rsidR="00BC10E3">
        <w:rPr>
          <w:sz w:val="24"/>
          <w:szCs w:val="24"/>
        </w:rPr>
        <w:t xml:space="preserve">f an opportunity </w:t>
      </w:r>
      <w:r w:rsidR="0015435E">
        <w:rPr>
          <w:sz w:val="24"/>
          <w:szCs w:val="24"/>
        </w:rPr>
        <w:t>arose</w:t>
      </w:r>
      <w:r w:rsidR="00BC10E3">
        <w:rPr>
          <w:sz w:val="24"/>
          <w:szCs w:val="24"/>
        </w:rPr>
        <w:t xml:space="preserve"> for OTP to transport </w:t>
      </w:r>
      <w:r w:rsidR="0015435E">
        <w:rPr>
          <w:sz w:val="24"/>
          <w:szCs w:val="24"/>
        </w:rPr>
        <w:t>at</w:t>
      </w:r>
      <w:r w:rsidR="00BC10E3">
        <w:rPr>
          <w:sz w:val="24"/>
          <w:szCs w:val="24"/>
        </w:rPr>
        <w:t xml:space="preserve"> a higher</w:t>
      </w:r>
      <w:r w:rsidR="006C07A0">
        <w:rPr>
          <w:sz w:val="24"/>
          <w:szCs w:val="24"/>
        </w:rPr>
        <w:t>, or lower,</w:t>
      </w:r>
      <w:r w:rsidR="00BC10E3">
        <w:rPr>
          <w:sz w:val="24"/>
          <w:szCs w:val="24"/>
        </w:rPr>
        <w:t xml:space="preserve"> rate than Orwell was paying</w:t>
      </w:r>
      <w:r w:rsidR="0015435E">
        <w:rPr>
          <w:sz w:val="24"/>
          <w:szCs w:val="24"/>
        </w:rPr>
        <w:t xml:space="preserve">. </w:t>
      </w:r>
      <w:r w:rsidR="00AD114E">
        <w:rPr>
          <w:sz w:val="24"/>
          <w:szCs w:val="24"/>
        </w:rPr>
        <w:t xml:space="preserve"> </w:t>
      </w:r>
      <w:r w:rsidR="0015435E">
        <w:rPr>
          <w:sz w:val="24"/>
          <w:szCs w:val="24"/>
        </w:rPr>
        <w:t>O</w:t>
      </w:r>
      <w:r w:rsidR="00BC10E3">
        <w:rPr>
          <w:sz w:val="24"/>
          <w:szCs w:val="24"/>
        </w:rPr>
        <w:t xml:space="preserve">TP had that option, even if it meant daily gas capacity </w:t>
      </w:r>
      <w:r w:rsidR="0015435E">
        <w:rPr>
          <w:sz w:val="24"/>
          <w:szCs w:val="24"/>
        </w:rPr>
        <w:t xml:space="preserve">being used by </w:t>
      </w:r>
      <w:r w:rsidR="00BC10E3">
        <w:rPr>
          <w:sz w:val="24"/>
          <w:szCs w:val="24"/>
        </w:rPr>
        <w:t xml:space="preserve">Orwell would have to be </w:t>
      </w:r>
      <w:r w:rsidR="005A2329">
        <w:rPr>
          <w:sz w:val="24"/>
          <w:szCs w:val="24"/>
        </w:rPr>
        <w:t>interrupted</w:t>
      </w:r>
      <w:r w:rsidR="00BC10E3">
        <w:rPr>
          <w:sz w:val="24"/>
          <w:szCs w:val="24"/>
        </w:rPr>
        <w:t>.</w:t>
      </w:r>
    </w:p>
    <w:p w:rsidR="00976A73" w:rsidRDefault="00976A73" w:rsidP="00A054C9">
      <w:pPr>
        <w:autoSpaceDE w:val="0"/>
        <w:spacing w:line="480" w:lineRule="auto"/>
        <w:ind w:left="720" w:hanging="720"/>
        <w:rPr>
          <w:sz w:val="24"/>
          <w:szCs w:val="24"/>
        </w:rPr>
      </w:pPr>
    </w:p>
    <w:p w:rsidR="00976A73" w:rsidRDefault="005275EB" w:rsidP="00AD114E">
      <w:pPr>
        <w:autoSpaceDE w:val="0"/>
        <w:spacing w:line="480" w:lineRule="auto"/>
        <w:ind w:left="720"/>
        <w:rPr>
          <w:sz w:val="24"/>
          <w:szCs w:val="24"/>
        </w:rPr>
      </w:pPr>
      <w:r>
        <w:rPr>
          <w:sz w:val="24"/>
          <w:szCs w:val="24"/>
        </w:rPr>
        <w:t xml:space="preserve">Orwell also </w:t>
      </w:r>
      <w:r w:rsidR="00976A73">
        <w:rPr>
          <w:sz w:val="24"/>
          <w:szCs w:val="24"/>
        </w:rPr>
        <w:t xml:space="preserve">appears to have </w:t>
      </w:r>
      <w:r w:rsidR="009544A0">
        <w:rPr>
          <w:sz w:val="24"/>
          <w:szCs w:val="24"/>
        </w:rPr>
        <w:t xml:space="preserve">similar concerns </w:t>
      </w:r>
      <w:r w:rsidR="00F13352">
        <w:rPr>
          <w:sz w:val="24"/>
          <w:szCs w:val="24"/>
        </w:rPr>
        <w:t>as mine, regarding</w:t>
      </w:r>
      <w:r w:rsidR="00976A73">
        <w:rPr>
          <w:sz w:val="24"/>
          <w:szCs w:val="24"/>
        </w:rPr>
        <w:t xml:space="preserve"> the validity of the contract with OTP as they have </w:t>
      </w:r>
      <w:r>
        <w:rPr>
          <w:sz w:val="24"/>
          <w:szCs w:val="24"/>
        </w:rPr>
        <w:t xml:space="preserve">filed a </w:t>
      </w:r>
      <w:r w:rsidR="0095599B">
        <w:rPr>
          <w:sz w:val="24"/>
          <w:szCs w:val="24"/>
        </w:rPr>
        <w:t>C</w:t>
      </w:r>
      <w:r>
        <w:rPr>
          <w:sz w:val="24"/>
          <w:szCs w:val="24"/>
        </w:rPr>
        <w:t>omplaint with the PUCO alleging that the 2008 contract between Orwell and OTP is “currently detrimental to rate payers within</w:t>
      </w:r>
      <w:r w:rsidR="000820F2">
        <w:rPr>
          <w:sz w:val="24"/>
          <w:szCs w:val="24"/>
        </w:rPr>
        <w:t xml:space="preserve"> ONG’</w:t>
      </w:r>
      <w:r w:rsidR="00B12BDB">
        <w:rPr>
          <w:sz w:val="24"/>
          <w:szCs w:val="24"/>
        </w:rPr>
        <w:t>s</w:t>
      </w:r>
      <w:r>
        <w:rPr>
          <w:sz w:val="24"/>
          <w:szCs w:val="24"/>
        </w:rPr>
        <w:t xml:space="preserve"> </w:t>
      </w:r>
      <w:r w:rsidR="00234B20">
        <w:rPr>
          <w:sz w:val="24"/>
          <w:szCs w:val="24"/>
        </w:rPr>
        <w:t>[Orwell’s]</w:t>
      </w:r>
      <w:r>
        <w:rPr>
          <w:sz w:val="24"/>
          <w:szCs w:val="24"/>
        </w:rPr>
        <w:t xml:space="preserve"> system and OTP should be under a standard tariff rate for transportation services</w:t>
      </w:r>
      <w:r w:rsidR="005A2329">
        <w:rPr>
          <w:sz w:val="24"/>
          <w:szCs w:val="24"/>
        </w:rPr>
        <w:t>.”</w:t>
      </w:r>
      <w:r>
        <w:rPr>
          <w:rStyle w:val="FootnoteReference"/>
          <w:sz w:val="24"/>
          <w:szCs w:val="24"/>
        </w:rPr>
        <w:footnoteReference w:id="36"/>
      </w:r>
      <w:r w:rsidR="00C82438">
        <w:rPr>
          <w:sz w:val="24"/>
          <w:szCs w:val="24"/>
        </w:rPr>
        <w:t xml:space="preserve"> </w:t>
      </w:r>
      <w:r w:rsidR="00AD114E">
        <w:rPr>
          <w:sz w:val="24"/>
          <w:szCs w:val="24"/>
        </w:rPr>
        <w:t xml:space="preserve"> </w:t>
      </w:r>
      <w:r w:rsidR="000106E9">
        <w:rPr>
          <w:sz w:val="24"/>
          <w:szCs w:val="24"/>
        </w:rPr>
        <w:t xml:space="preserve">The </w:t>
      </w:r>
      <w:r w:rsidR="0095599B">
        <w:rPr>
          <w:sz w:val="24"/>
          <w:szCs w:val="24"/>
        </w:rPr>
        <w:t>C</w:t>
      </w:r>
      <w:r w:rsidR="000106E9">
        <w:rPr>
          <w:sz w:val="24"/>
          <w:szCs w:val="24"/>
        </w:rPr>
        <w:t>omplaint also alleges that</w:t>
      </w:r>
      <w:r w:rsidR="00976A73">
        <w:rPr>
          <w:sz w:val="24"/>
          <w:szCs w:val="24"/>
        </w:rPr>
        <w:t xml:space="preserve"> </w:t>
      </w:r>
      <w:r w:rsidR="000106E9">
        <w:rPr>
          <w:sz w:val="24"/>
          <w:szCs w:val="24"/>
        </w:rPr>
        <w:t xml:space="preserve">“The Agreement, pursuant to its terms, results in </w:t>
      </w:r>
      <w:r w:rsidR="002F599C">
        <w:rPr>
          <w:sz w:val="24"/>
          <w:szCs w:val="24"/>
        </w:rPr>
        <w:t>[customers]</w:t>
      </w:r>
      <w:r w:rsidR="000106E9">
        <w:rPr>
          <w:sz w:val="24"/>
          <w:szCs w:val="24"/>
        </w:rPr>
        <w:t xml:space="preserve"> for </w:t>
      </w:r>
      <w:r w:rsidR="00B12BDB">
        <w:rPr>
          <w:sz w:val="24"/>
          <w:szCs w:val="24"/>
        </w:rPr>
        <w:t xml:space="preserve">ONG </w:t>
      </w:r>
      <w:r w:rsidR="000106E9">
        <w:rPr>
          <w:sz w:val="24"/>
          <w:szCs w:val="24"/>
        </w:rPr>
        <w:t>[Orwell] paying a premium for gas than is oth</w:t>
      </w:r>
      <w:r w:rsidR="005A2329">
        <w:rPr>
          <w:sz w:val="24"/>
          <w:szCs w:val="24"/>
        </w:rPr>
        <w:t>erwise available in the market.”</w:t>
      </w:r>
      <w:r w:rsidR="000106E9">
        <w:rPr>
          <w:rStyle w:val="FootnoteReference"/>
          <w:sz w:val="24"/>
          <w:szCs w:val="24"/>
        </w:rPr>
        <w:footnoteReference w:id="37"/>
      </w:r>
    </w:p>
    <w:p w:rsidR="00AD114E" w:rsidRDefault="00AD114E" w:rsidP="00AD114E">
      <w:pPr>
        <w:autoSpaceDE w:val="0"/>
        <w:spacing w:line="480" w:lineRule="auto"/>
        <w:ind w:left="720"/>
        <w:rPr>
          <w:sz w:val="24"/>
          <w:szCs w:val="24"/>
        </w:rPr>
      </w:pPr>
    </w:p>
    <w:p w:rsidR="0095599B" w:rsidRPr="0095599B" w:rsidRDefault="0095599B" w:rsidP="00A054C9">
      <w:pPr>
        <w:autoSpaceDE w:val="0"/>
        <w:spacing w:line="480" w:lineRule="auto"/>
        <w:ind w:left="720" w:hanging="720"/>
        <w:rPr>
          <w:b/>
          <w:i/>
          <w:sz w:val="24"/>
          <w:szCs w:val="24"/>
        </w:rPr>
      </w:pPr>
      <w:r w:rsidRPr="0095599B">
        <w:rPr>
          <w:b/>
          <w:i/>
          <w:sz w:val="24"/>
          <w:szCs w:val="24"/>
        </w:rPr>
        <w:t>Q2</w:t>
      </w:r>
      <w:r w:rsidR="00B862CA">
        <w:rPr>
          <w:b/>
          <w:i/>
          <w:sz w:val="24"/>
          <w:szCs w:val="24"/>
        </w:rPr>
        <w:t>8</w:t>
      </w:r>
      <w:r w:rsidRPr="0095599B">
        <w:rPr>
          <w:b/>
          <w:i/>
          <w:sz w:val="24"/>
          <w:szCs w:val="24"/>
        </w:rPr>
        <w:t>.</w:t>
      </w:r>
      <w:r w:rsidRPr="0095599B">
        <w:rPr>
          <w:b/>
          <w:i/>
          <w:sz w:val="24"/>
          <w:szCs w:val="24"/>
        </w:rPr>
        <w:tab/>
        <w:t>DO YOU HAVE ANY OTHER CONCERNS RELATED TO THE 2008 CONTRACT</w:t>
      </w:r>
      <w:r w:rsidR="00B47032">
        <w:rPr>
          <w:b/>
          <w:i/>
          <w:sz w:val="24"/>
          <w:szCs w:val="24"/>
        </w:rPr>
        <w:t>?</w:t>
      </w:r>
    </w:p>
    <w:p w:rsidR="00CE645A" w:rsidRDefault="0095599B" w:rsidP="00A054C9">
      <w:pPr>
        <w:spacing w:line="480" w:lineRule="auto"/>
        <w:ind w:left="720" w:hanging="720"/>
        <w:rPr>
          <w:rFonts w:eastAsiaTheme="minorHAnsi"/>
          <w:sz w:val="24"/>
          <w:szCs w:val="24"/>
          <w:lang w:eastAsia="en-US"/>
        </w:rPr>
      </w:pPr>
      <w:r w:rsidRPr="0095599B">
        <w:rPr>
          <w:b/>
          <w:sz w:val="24"/>
          <w:szCs w:val="24"/>
        </w:rPr>
        <w:t>A2</w:t>
      </w:r>
      <w:r w:rsidR="00B862CA">
        <w:rPr>
          <w:b/>
          <w:sz w:val="24"/>
          <w:szCs w:val="24"/>
        </w:rPr>
        <w:t>8</w:t>
      </w:r>
      <w:r w:rsidRPr="0095599B">
        <w:rPr>
          <w:b/>
          <w:sz w:val="24"/>
          <w:szCs w:val="24"/>
        </w:rPr>
        <w:t>.</w:t>
      </w:r>
      <w:r>
        <w:rPr>
          <w:sz w:val="24"/>
          <w:szCs w:val="24"/>
        </w:rPr>
        <w:tab/>
      </w:r>
      <w:r w:rsidR="005A2329">
        <w:rPr>
          <w:sz w:val="24"/>
          <w:szCs w:val="24"/>
        </w:rPr>
        <w:t>Yes.</w:t>
      </w:r>
      <w:r w:rsidR="00AD114E">
        <w:rPr>
          <w:sz w:val="24"/>
          <w:szCs w:val="24"/>
        </w:rPr>
        <w:t xml:space="preserve"> </w:t>
      </w:r>
      <w:r>
        <w:rPr>
          <w:sz w:val="24"/>
          <w:szCs w:val="24"/>
        </w:rPr>
        <w:t xml:space="preserve"> </w:t>
      </w:r>
      <w:r w:rsidRPr="0095599B">
        <w:rPr>
          <w:rFonts w:eastAsiaTheme="minorHAnsi"/>
          <w:sz w:val="24"/>
          <w:szCs w:val="24"/>
          <w:lang w:eastAsia="en-US"/>
        </w:rPr>
        <w:t>It is my understanding that the PUCO has long preferred that LDCs minimize their reliance on affiliated pipelines for transportation service.</w:t>
      </w:r>
      <w:r w:rsidR="00A208A5">
        <w:rPr>
          <w:rStyle w:val="FootnoteReference"/>
          <w:rFonts w:eastAsiaTheme="minorHAnsi"/>
          <w:sz w:val="24"/>
          <w:szCs w:val="24"/>
          <w:lang w:eastAsia="en-US"/>
        </w:rPr>
        <w:footnoteReference w:id="38"/>
      </w:r>
      <w:r w:rsidRPr="0095599B">
        <w:rPr>
          <w:rFonts w:eastAsiaTheme="minorHAnsi"/>
          <w:sz w:val="24"/>
          <w:szCs w:val="24"/>
          <w:lang w:eastAsia="en-US"/>
        </w:rPr>
        <w:t xml:space="preserve"> </w:t>
      </w:r>
      <w:r w:rsidR="00AD114E">
        <w:rPr>
          <w:rFonts w:eastAsiaTheme="minorHAnsi"/>
          <w:sz w:val="24"/>
          <w:szCs w:val="24"/>
          <w:lang w:eastAsia="en-US"/>
        </w:rPr>
        <w:t xml:space="preserve"> </w:t>
      </w:r>
      <w:r w:rsidRPr="0095599B">
        <w:rPr>
          <w:rFonts w:eastAsiaTheme="minorHAnsi"/>
          <w:sz w:val="24"/>
          <w:szCs w:val="24"/>
          <w:lang w:eastAsia="en-US"/>
        </w:rPr>
        <w:t>It is also my understanding that the PUCO prefers that LDCs diversify both their commodity and gas transportation services whenever financially feasible.</w:t>
      </w:r>
      <w:r w:rsidR="00A208A5">
        <w:rPr>
          <w:rStyle w:val="FootnoteReference"/>
          <w:rFonts w:eastAsiaTheme="minorHAnsi"/>
          <w:sz w:val="24"/>
          <w:szCs w:val="24"/>
          <w:lang w:eastAsia="en-US"/>
        </w:rPr>
        <w:footnoteReference w:id="39"/>
      </w:r>
    </w:p>
    <w:p w:rsidR="00CE645A" w:rsidRDefault="00CE645A" w:rsidP="00A054C9">
      <w:pPr>
        <w:spacing w:line="480" w:lineRule="auto"/>
        <w:ind w:left="720" w:hanging="720"/>
        <w:rPr>
          <w:rFonts w:eastAsiaTheme="minorHAnsi"/>
          <w:sz w:val="24"/>
          <w:szCs w:val="24"/>
          <w:lang w:eastAsia="en-US"/>
        </w:rPr>
      </w:pPr>
    </w:p>
    <w:p w:rsidR="00B23E9F" w:rsidRDefault="0095599B" w:rsidP="00A054C9">
      <w:pPr>
        <w:spacing w:line="480" w:lineRule="auto"/>
        <w:ind w:left="720"/>
        <w:rPr>
          <w:rFonts w:eastAsiaTheme="minorHAnsi"/>
          <w:sz w:val="24"/>
          <w:szCs w:val="24"/>
          <w:lang w:eastAsia="en-US"/>
        </w:rPr>
      </w:pPr>
      <w:r w:rsidRPr="0095599B">
        <w:rPr>
          <w:rFonts w:eastAsiaTheme="minorHAnsi"/>
          <w:sz w:val="24"/>
          <w:szCs w:val="24"/>
          <w:lang w:eastAsia="en-US"/>
        </w:rPr>
        <w:t xml:space="preserve">In this case, Orwell acted contrary to PUCO </w:t>
      </w:r>
      <w:r w:rsidR="00B47032" w:rsidRPr="0095599B">
        <w:rPr>
          <w:rFonts w:eastAsiaTheme="minorHAnsi"/>
          <w:sz w:val="24"/>
          <w:szCs w:val="24"/>
          <w:lang w:eastAsia="en-US"/>
        </w:rPr>
        <w:t>precedent</w:t>
      </w:r>
      <w:r w:rsidR="00B47032">
        <w:rPr>
          <w:rFonts w:eastAsiaTheme="minorHAnsi"/>
          <w:sz w:val="24"/>
          <w:szCs w:val="24"/>
          <w:lang w:eastAsia="en-US"/>
        </w:rPr>
        <w:t>.</w:t>
      </w:r>
      <w:r w:rsidR="00AD114E">
        <w:rPr>
          <w:rFonts w:eastAsiaTheme="minorHAnsi"/>
          <w:sz w:val="24"/>
          <w:szCs w:val="24"/>
          <w:lang w:eastAsia="en-US"/>
        </w:rPr>
        <w:t xml:space="preserve"> </w:t>
      </w:r>
      <w:r w:rsidR="00CE645A">
        <w:rPr>
          <w:rFonts w:eastAsiaTheme="minorHAnsi"/>
          <w:sz w:val="24"/>
          <w:szCs w:val="24"/>
          <w:lang w:eastAsia="en-US"/>
        </w:rPr>
        <w:t xml:space="preserve"> First, </w:t>
      </w:r>
      <w:r w:rsidRPr="0095599B">
        <w:rPr>
          <w:rFonts w:eastAsiaTheme="minorHAnsi"/>
          <w:sz w:val="24"/>
          <w:szCs w:val="24"/>
          <w:lang w:eastAsia="en-US"/>
        </w:rPr>
        <w:t>Orwell increased its reliance on a related pipeline -- OTP -- when it signed the 15</w:t>
      </w:r>
      <w:r w:rsidR="009544A0">
        <w:rPr>
          <w:rFonts w:eastAsiaTheme="minorHAnsi"/>
          <w:sz w:val="24"/>
          <w:szCs w:val="24"/>
          <w:lang w:eastAsia="en-US"/>
        </w:rPr>
        <w:t>-</w:t>
      </w:r>
      <w:r w:rsidRPr="0095599B">
        <w:rPr>
          <w:rFonts w:eastAsiaTheme="minorHAnsi"/>
          <w:sz w:val="24"/>
          <w:szCs w:val="24"/>
          <w:lang w:eastAsia="en-US"/>
        </w:rPr>
        <w:t xml:space="preserve">year transportation agreement. </w:t>
      </w:r>
      <w:r w:rsidR="00AD114E">
        <w:rPr>
          <w:rFonts w:eastAsiaTheme="minorHAnsi"/>
          <w:sz w:val="24"/>
          <w:szCs w:val="24"/>
          <w:lang w:eastAsia="en-US"/>
        </w:rPr>
        <w:t xml:space="preserve"> </w:t>
      </w:r>
      <w:r w:rsidRPr="0095599B">
        <w:rPr>
          <w:rFonts w:eastAsiaTheme="minorHAnsi"/>
          <w:sz w:val="24"/>
          <w:szCs w:val="24"/>
          <w:lang w:eastAsia="en-US"/>
        </w:rPr>
        <w:t>Thus Orwell became more reliant on a related company.</w:t>
      </w:r>
      <w:r w:rsidR="00AD114E">
        <w:rPr>
          <w:rFonts w:eastAsiaTheme="minorHAnsi"/>
          <w:sz w:val="24"/>
          <w:szCs w:val="24"/>
          <w:lang w:eastAsia="en-US"/>
        </w:rPr>
        <w:t xml:space="preserve"> </w:t>
      </w:r>
      <w:r w:rsidRPr="0095599B">
        <w:rPr>
          <w:rFonts w:eastAsiaTheme="minorHAnsi"/>
          <w:sz w:val="24"/>
          <w:szCs w:val="24"/>
          <w:lang w:eastAsia="en-US"/>
        </w:rPr>
        <w:t xml:space="preserve"> Second, by abandoning or dismantling the Dominion taps, Orwell lessened the potential diversity of supply options. </w:t>
      </w:r>
      <w:r w:rsidR="00AD114E">
        <w:rPr>
          <w:rFonts w:eastAsiaTheme="minorHAnsi"/>
          <w:sz w:val="24"/>
          <w:szCs w:val="24"/>
          <w:lang w:eastAsia="en-US"/>
        </w:rPr>
        <w:t xml:space="preserve"> </w:t>
      </w:r>
      <w:r w:rsidRPr="0095599B">
        <w:rPr>
          <w:rFonts w:eastAsiaTheme="minorHAnsi"/>
          <w:sz w:val="24"/>
          <w:szCs w:val="24"/>
          <w:lang w:eastAsia="en-US"/>
        </w:rPr>
        <w:t>The reasonable and prudent action</w:t>
      </w:r>
      <w:r w:rsidR="00DD7C20">
        <w:rPr>
          <w:rFonts w:eastAsiaTheme="minorHAnsi"/>
          <w:sz w:val="24"/>
          <w:szCs w:val="24"/>
          <w:lang w:eastAsia="en-US"/>
        </w:rPr>
        <w:t xml:space="preserve"> (as has been previously recognized by the PUCO)</w:t>
      </w:r>
      <w:r w:rsidRPr="0095599B">
        <w:rPr>
          <w:rFonts w:eastAsiaTheme="minorHAnsi"/>
          <w:sz w:val="24"/>
          <w:szCs w:val="24"/>
          <w:lang w:eastAsia="en-US"/>
        </w:rPr>
        <w:t xml:space="preserve"> would have been to increase diversity of supply actions by adding OTP as a potential transportation provider, </w:t>
      </w:r>
      <w:r w:rsidR="005A2329">
        <w:rPr>
          <w:rFonts w:eastAsiaTheme="minorHAnsi"/>
          <w:sz w:val="24"/>
          <w:szCs w:val="24"/>
          <w:lang w:eastAsia="en-US"/>
        </w:rPr>
        <w:t>while retaining</w:t>
      </w:r>
      <w:r w:rsidRPr="0095599B">
        <w:rPr>
          <w:rFonts w:eastAsiaTheme="minorHAnsi"/>
          <w:sz w:val="24"/>
          <w:szCs w:val="24"/>
          <w:lang w:eastAsia="en-US"/>
        </w:rPr>
        <w:t xml:space="preserve"> the services </w:t>
      </w:r>
      <w:r w:rsidR="005A2329">
        <w:rPr>
          <w:rFonts w:eastAsiaTheme="minorHAnsi"/>
          <w:sz w:val="24"/>
          <w:szCs w:val="24"/>
          <w:lang w:eastAsia="en-US"/>
        </w:rPr>
        <w:t xml:space="preserve">option </w:t>
      </w:r>
      <w:r w:rsidRPr="0095599B">
        <w:rPr>
          <w:rFonts w:eastAsiaTheme="minorHAnsi"/>
          <w:sz w:val="24"/>
          <w:szCs w:val="24"/>
          <w:lang w:eastAsia="en-US"/>
        </w:rPr>
        <w:t>provided by Dominion.</w:t>
      </w:r>
    </w:p>
    <w:p w:rsidR="0095599B" w:rsidRDefault="0095599B" w:rsidP="00A054C9">
      <w:pPr>
        <w:suppressAutoHyphens w:val="0"/>
        <w:spacing w:line="480" w:lineRule="auto"/>
        <w:ind w:left="720" w:hanging="720"/>
        <w:rPr>
          <w:rFonts w:eastAsiaTheme="minorHAnsi"/>
          <w:sz w:val="24"/>
          <w:szCs w:val="24"/>
          <w:lang w:eastAsia="en-US"/>
        </w:rPr>
      </w:pPr>
    </w:p>
    <w:p w:rsidR="0095599B" w:rsidRPr="0095599B" w:rsidRDefault="005A2329" w:rsidP="00A054C9">
      <w:pPr>
        <w:suppressAutoHyphens w:val="0"/>
        <w:spacing w:line="480" w:lineRule="auto"/>
        <w:ind w:left="720"/>
        <w:rPr>
          <w:rFonts w:eastAsiaTheme="minorHAnsi"/>
          <w:sz w:val="24"/>
          <w:szCs w:val="24"/>
          <w:lang w:eastAsia="en-US"/>
        </w:rPr>
      </w:pPr>
      <w:r>
        <w:rPr>
          <w:rFonts w:eastAsiaTheme="minorHAnsi"/>
          <w:sz w:val="24"/>
          <w:szCs w:val="24"/>
          <w:lang w:eastAsia="en-US"/>
        </w:rPr>
        <w:t>Based</w:t>
      </w:r>
      <w:r w:rsidR="0095599B" w:rsidRPr="0095599B">
        <w:rPr>
          <w:rFonts w:eastAsiaTheme="minorHAnsi"/>
          <w:sz w:val="24"/>
          <w:szCs w:val="24"/>
          <w:lang w:eastAsia="en-US"/>
        </w:rPr>
        <w:t xml:space="preserve"> on my reading of the PUCO’s Opinion and Order in a Columbia Gas of Ohio GCR case, Case No</w:t>
      </w:r>
      <w:r>
        <w:rPr>
          <w:rFonts w:eastAsiaTheme="minorHAnsi"/>
          <w:sz w:val="24"/>
          <w:szCs w:val="24"/>
          <w:lang w:eastAsia="en-US"/>
        </w:rPr>
        <w:t>s</w:t>
      </w:r>
      <w:r w:rsidR="0095599B" w:rsidRPr="0095599B">
        <w:rPr>
          <w:rFonts w:eastAsiaTheme="minorHAnsi"/>
          <w:sz w:val="24"/>
          <w:szCs w:val="24"/>
          <w:lang w:eastAsia="en-US"/>
        </w:rPr>
        <w:t>. 83-135-0GA-COI and 84-6-GA-GCR, and on advice of counsel, the PUCO was critical of Columbia for its over-reliance on its affiliate pipeline transportation service provider, Columbia Gas Transmission Company.</w:t>
      </w:r>
      <w:r w:rsidR="0095599B">
        <w:rPr>
          <w:rStyle w:val="FootnoteReference"/>
          <w:rFonts w:eastAsiaTheme="minorHAnsi"/>
          <w:sz w:val="24"/>
          <w:szCs w:val="24"/>
          <w:lang w:eastAsia="en-US"/>
        </w:rPr>
        <w:footnoteReference w:id="40"/>
      </w:r>
      <w:r w:rsidR="0095599B" w:rsidRPr="0095599B">
        <w:rPr>
          <w:rFonts w:eastAsiaTheme="minorHAnsi"/>
          <w:sz w:val="24"/>
          <w:szCs w:val="24"/>
          <w:lang w:eastAsia="en-US"/>
        </w:rPr>
        <w:t xml:space="preserve"> </w:t>
      </w:r>
      <w:r w:rsidR="00AD114E">
        <w:rPr>
          <w:rFonts w:eastAsiaTheme="minorHAnsi"/>
          <w:sz w:val="24"/>
          <w:szCs w:val="24"/>
          <w:lang w:eastAsia="en-US"/>
        </w:rPr>
        <w:t xml:space="preserve"> </w:t>
      </w:r>
      <w:r w:rsidR="0095599B" w:rsidRPr="0095599B">
        <w:rPr>
          <w:rFonts w:eastAsiaTheme="minorHAnsi"/>
          <w:sz w:val="24"/>
          <w:szCs w:val="24"/>
          <w:lang w:eastAsia="en-US"/>
        </w:rPr>
        <w:t>In addition, the PUCO ordered Columbia to take steps to diversify its gas commodity and transportation options.</w:t>
      </w:r>
      <w:r w:rsidR="0095599B">
        <w:rPr>
          <w:rStyle w:val="FootnoteReference"/>
          <w:rFonts w:eastAsiaTheme="minorHAnsi"/>
          <w:sz w:val="24"/>
          <w:szCs w:val="24"/>
          <w:lang w:eastAsia="en-US"/>
        </w:rPr>
        <w:footnoteReference w:id="41"/>
      </w:r>
    </w:p>
    <w:p w:rsidR="0095599B" w:rsidRDefault="0095599B" w:rsidP="00A054C9">
      <w:pPr>
        <w:autoSpaceDE w:val="0"/>
        <w:spacing w:line="480" w:lineRule="auto"/>
        <w:ind w:left="720" w:hanging="720"/>
        <w:rPr>
          <w:sz w:val="24"/>
          <w:szCs w:val="24"/>
        </w:rPr>
      </w:pPr>
    </w:p>
    <w:p w:rsidR="00F641ED" w:rsidRDefault="004A006E" w:rsidP="00A054C9">
      <w:pPr>
        <w:autoSpaceDE w:val="0"/>
        <w:spacing w:line="480" w:lineRule="auto"/>
        <w:ind w:left="720"/>
        <w:rPr>
          <w:sz w:val="24"/>
          <w:szCs w:val="24"/>
        </w:rPr>
      </w:pPr>
      <w:r>
        <w:rPr>
          <w:sz w:val="24"/>
          <w:szCs w:val="24"/>
        </w:rPr>
        <w:t>Perhaps t</w:t>
      </w:r>
      <w:r w:rsidR="00CE3C1A">
        <w:rPr>
          <w:sz w:val="24"/>
          <w:szCs w:val="24"/>
        </w:rPr>
        <w:t xml:space="preserve">he most significant </w:t>
      </w:r>
      <w:r w:rsidR="006A04D4">
        <w:rPr>
          <w:sz w:val="24"/>
          <w:szCs w:val="24"/>
        </w:rPr>
        <w:t>issue</w:t>
      </w:r>
      <w:r w:rsidR="00CE3C1A">
        <w:rPr>
          <w:sz w:val="24"/>
          <w:szCs w:val="24"/>
        </w:rPr>
        <w:t xml:space="preserve"> with Orwell signing </w:t>
      </w:r>
      <w:r w:rsidR="009544A0">
        <w:rPr>
          <w:sz w:val="24"/>
          <w:szCs w:val="24"/>
        </w:rPr>
        <w:t xml:space="preserve">the one-sided </w:t>
      </w:r>
      <w:r w:rsidR="00CE3C1A">
        <w:rPr>
          <w:sz w:val="24"/>
          <w:szCs w:val="24"/>
        </w:rPr>
        <w:t xml:space="preserve">agreement with </w:t>
      </w:r>
      <w:r w:rsidR="009544A0">
        <w:rPr>
          <w:sz w:val="24"/>
          <w:szCs w:val="24"/>
        </w:rPr>
        <w:t>its</w:t>
      </w:r>
      <w:r w:rsidR="00CE3C1A">
        <w:rPr>
          <w:sz w:val="24"/>
          <w:szCs w:val="24"/>
        </w:rPr>
        <w:t xml:space="preserve"> related pipeline is that the</w:t>
      </w:r>
      <w:r w:rsidR="003D4F7F">
        <w:rPr>
          <w:sz w:val="24"/>
          <w:szCs w:val="24"/>
        </w:rPr>
        <w:t xml:space="preserve"> exclusive right that Orwell </w:t>
      </w:r>
      <w:r w:rsidR="009544A0">
        <w:rPr>
          <w:sz w:val="24"/>
          <w:szCs w:val="24"/>
        </w:rPr>
        <w:t xml:space="preserve">entered into with </w:t>
      </w:r>
      <w:r w:rsidR="003D4F7F">
        <w:rPr>
          <w:sz w:val="24"/>
          <w:szCs w:val="24"/>
        </w:rPr>
        <w:t xml:space="preserve">OTP </w:t>
      </w:r>
      <w:r w:rsidR="004860A7">
        <w:rPr>
          <w:sz w:val="24"/>
          <w:szCs w:val="24"/>
        </w:rPr>
        <w:t xml:space="preserve">led to the loss of a special contract Orwell had with </w:t>
      </w:r>
      <w:r w:rsidR="00AE0A26">
        <w:rPr>
          <w:sz w:val="24"/>
          <w:szCs w:val="24"/>
        </w:rPr>
        <w:t>Dominion.</w:t>
      </w:r>
    </w:p>
    <w:p w:rsidR="00AE0A26" w:rsidRDefault="00AE0A26" w:rsidP="00A054C9">
      <w:pPr>
        <w:autoSpaceDE w:val="0"/>
        <w:spacing w:line="480" w:lineRule="auto"/>
        <w:ind w:left="720"/>
        <w:rPr>
          <w:sz w:val="24"/>
          <w:szCs w:val="24"/>
        </w:rPr>
      </w:pPr>
    </w:p>
    <w:p w:rsidR="003D4F7F" w:rsidRPr="003D4F7F" w:rsidRDefault="003D4F7F" w:rsidP="00A054C9">
      <w:pPr>
        <w:autoSpaceDE w:val="0"/>
        <w:spacing w:line="480" w:lineRule="auto"/>
        <w:ind w:left="720" w:hanging="720"/>
        <w:rPr>
          <w:b/>
          <w:i/>
          <w:sz w:val="24"/>
          <w:szCs w:val="24"/>
        </w:rPr>
      </w:pPr>
      <w:r>
        <w:rPr>
          <w:b/>
          <w:i/>
          <w:sz w:val="24"/>
          <w:szCs w:val="24"/>
        </w:rPr>
        <w:t>Q</w:t>
      </w:r>
      <w:r w:rsidR="00736047">
        <w:rPr>
          <w:b/>
          <w:i/>
          <w:sz w:val="24"/>
          <w:szCs w:val="24"/>
        </w:rPr>
        <w:t>2</w:t>
      </w:r>
      <w:r w:rsidR="00C51171">
        <w:rPr>
          <w:b/>
          <w:i/>
          <w:sz w:val="24"/>
          <w:szCs w:val="24"/>
        </w:rPr>
        <w:t>9</w:t>
      </w:r>
      <w:r>
        <w:rPr>
          <w:b/>
          <w:i/>
          <w:sz w:val="24"/>
          <w:szCs w:val="24"/>
        </w:rPr>
        <w:t>.</w:t>
      </w:r>
      <w:r>
        <w:rPr>
          <w:sz w:val="24"/>
          <w:szCs w:val="24"/>
        </w:rPr>
        <w:tab/>
      </w:r>
      <w:r w:rsidR="00C519A9">
        <w:rPr>
          <w:b/>
          <w:i/>
          <w:sz w:val="24"/>
          <w:szCs w:val="24"/>
        </w:rPr>
        <w:t>WHY IS</w:t>
      </w:r>
      <w:r w:rsidR="00CE3C1A">
        <w:rPr>
          <w:b/>
          <w:i/>
          <w:sz w:val="24"/>
          <w:szCs w:val="24"/>
        </w:rPr>
        <w:t xml:space="preserve"> THE LOSS </w:t>
      </w:r>
      <w:r w:rsidRPr="003D4F7F">
        <w:rPr>
          <w:b/>
          <w:i/>
          <w:sz w:val="24"/>
          <w:szCs w:val="24"/>
        </w:rPr>
        <w:t>O</w:t>
      </w:r>
      <w:r w:rsidR="00CE3C1A">
        <w:rPr>
          <w:b/>
          <w:i/>
          <w:sz w:val="24"/>
          <w:szCs w:val="24"/>
        </w:rPr>
        <w:t>F THE D</w:t>
      </w:r>
      <w:r w:rsidR="00135200">
        <w:rPr>
          <w:b/>
          <w:i/>
          <w:sz w:val="24"/>
          <w:szCs w:val="24"/>
        </w:rPr>
        <w:t>OMINION</w:t>
      </w:r>
      <w:r w:rsidR="00CE3C1A">
        <w:rPr>
          <w:b/>
          <w:i/>
          <w:sz w:val="24"/>
          <w:szCs w:val="24"/>
        </w:rPr>
        <w:t xml:space="preserve"> SPECIAL CONTRACT SIGNIFICANT?</w:t>
      </w:r>
    </w:p>
    <w:p w:rsidR="007E4236" w:rsidRDefault="003D4F7F" w:rsidP="00A054C9">
      <w:pPr>
        <w:autoSpaceDE w:val="0"/>
        <w:spacing w:line="480" w:lineRule="auto"/>
        <w:ind w:left="720" w:hanging="720"/>
        <w:rPr>
          <w:sz w:val="24"/>
          <w:szCs w:val="24"/>
        </w:rPr>
      </w:pPr>
      <w:r>
        <w:rPr>
          <w:b/>
          <w:i/>
          <w:sz w:val="24"/>
          <w:szCs w:val="24"/>
        </w:rPr>
        <w:t>A</w:t>
      </w:r>
      <w:r w:rsidR="00736047">
        <w:rPr>
          <w:b/>
          <w:i/>
          <w:sz w:val="24"/>
          <w:szCs w:val="24"/>
        </w:rPr>
        <w:t>2</w:t>
      </w:r>
      <w:r w:rsidR="00C51171">
        <w:rPr>
          <w:b/>
          <w:i/>
          <w:sz w:val="24"/>
          <w:szCs w:val="24"/>
        </w:rPr>
        <w:t>9</w:t>
      </w:r>
      <w:r>
        <w:rPr>
          <w:b/>
          <w:i/>
          <w:sz w:val="24"/>
          <w:szCs w:val="24"/>
        </w:rPr>
        <w:t>.</w:t>
      </w:r>
      <w:r>
        <w:rPr>
          <w:sz w:val="24"/>
          <w:szCs w:val="24"/>
        </w:rPr>
        <w:tab/>
      </w:r>
      <w:r w:rsidR="00C519A9">
        <w:rPr>
          <w:sz w:val="24"/>
          <w:szCs w:val="24"/>
        </w:rPr>
        <w:t>There are</w:t>
      </w:r>
      <w:r w:rsidR="00AE0A26">
        <w:rPr>
          <w:sz w:val="24"/>
          <w:szCs w:val="24"/>
        </w:rPr>
        <w:t xml:space="preserve"> a number of reasons.</w:t>
      </w:r>
      <w:r w:rsidR="00C44B07">
        <w:rPr>
          <w:sz w:val="24"/>
          <w:szCs w:val="24"/>
        </w:rPr>
        <w:t xml:space="preserve"> </w:t>
      </w:r>
      <w:r w:rsidR="00AD114E">
        <w:rPr>
          <w:sz w:val="24"/>
          <w:szCs w:val="24"/>
        </w:rPr>
        <w:t xml:space="preserve"> </w:t>
      </w:r>
      <w:r w:rsidR="00C00CDF">
        <w:rPr>
          <w:sz w:val="24"/>
          <w:szCs w:val="24"/>
        </w:rPr>
        <w:t>Orwell signed an agreement with D</w:t>
      </w:r>
      <w:r w:rsidR="00135200">
        <w:rPr>
          <w:sz w:val="24"/>
          <w:szCs w:val="24"/>
        </w:rPr>
        <w:t>ominion</w:t>
      </w:r>
      <w:r w:rsidR="00C00CDF">
        <w:rPr>
          <w:sz w:val="24"/>
          <w:szCs w:val="24"/>
        </w:rPr>
        <w:t xml:space="preserve"> on April 14, 2005 (“D</w:t>
      </w:r>
      <w:r w:rsidR="00135200">
        <w:rPr>
          <w:sz w:val="24"/>
          <w:szCs w:val="24"/>
        </w:rPr>
        <w:t>ominion</w:t>
      </w:r>
      <w:r w:rsidR="00C00CDF">
        <w:rPr>
          <w:sz w:val="24"/>
          <w:szCs w:val="24"/>
        </w:rPr>
        <w:t xml:space="preserve"> </w:t>
      </w:r>
      <w:r w:rsidR="007E4236">
        <w:rPr>
          <w:sz w:val="24"/>
          <w:szCs w:val="24"/>
        </w:rPr>
        <w:t xml:space="preserve">Special </w:t>
      </w:r>
      <w:r w:rsidR="00C00CDF">
        <w:rPr>
          <w:sz w:val="24"/>
          <w:szCs w:val="24"/>
        </w:rPr>
        <w:t>Contract”)</w:t>
      </w:r>
      <w:r w:rsidR="00C10E74">
        <w:rPr>
          <w:sz w:val="24"/>
          <w:szCs w:val="24"/>
        </w:rPr>
        <w:t>.</w:t>
      </w:r>
      <w:r w:rsidR="00C10E74">
        <w:rPr>
          <w:rStyle w:val="FootnoteReference"/>
          <w:sz w:val="24"/>
          <w:szCs w:val="24"/>
        </w:rPr>
        <w:footnoteReference w:id="42"/>
      </w:r>
      <w:r w:rsidR="00C00CDF">
        <w:rPr>
          <w:sz w:val="24"/>
          <w:szCs w:val="24"/>
        </w:rPr>
        <w:t xml:space="preserve"> </w:t>
      </w:r>
      <w:r w:rsidR="00AD114E">
        <w:rPr>
          <w:sz w:val="24"/>
          <w:szCs w:val="24"/>
        </w:rPr>
        <w:t xml:space="preserve"> </w:t>
      </w:r>
      <w:r w:rsidR="00C00CDF">
        <w:rPr>
          <w:sz w:val="24"/>
          <w:szCs w:val="24"/>
        </w:rPr>
        <w:t>Prior to signing the OTP contract, Orwell received most of its gas supply from D</w:t>
      </w:r>
      <w:r w:rsidR="00135200">
        <w:rPr>
          <w:sz w:val="24"/>
          <w:szCs w:val="24"/>
        </w:rPr>
        <w:t>ominion</w:t>
      </w:r>
      <w:r w:rsidR="00C00CDF">
        <w:rPr>
          <w:sz w:val="24"/>
          <w:szCs w:val="24"/>
        </w:rPr>
        <w:t xml:space="preserve"> and </w:t>
      </w:r>
      <w:r w:rsidR="00F356C1">
        <w:rPr>
          <w:sz w:val="24"/>
          <w:szCs w:val="24"/>
        </w:rPr>
        <w:t xml:space="preserve">some from </w:t>
      </w:r>
      <w:r w:rsidR="00C44B07">
        <w:rPr>
          <w:sz w:val="24"/>
          <w:szCs w:val="24"/>
        </w:rPr>
        <w:t>local gas production.</w:t>
      </w:r>
      <w:r w:rsidR="00C44B07">
        <w:rPr>
          <w:rStyle w:val="FootnoteReference"/>
          <w:sz w:val="24"/>
          <w:szCs w:val="24"/>
        </w:rPr>
        <w:footnoteReference w:id="43"/>
      </w:r>
      <w:r w:rsidR="00C00CDF">
        <w:rPr>
          <w:sz w:val="24"/>
          <w:szCs w:val="24"/>
        </w:rPr>
        <w:t xml:space="preserve"> </w:t>
      </w:r>
      <w:r w:rsidR="00AD114E">
        <w:rPr>
          <w:sz w:val="24"/>
          <w:szCs w:val="24"/>
        </w:rPr>
        <w:t xml:space="preserve"> </w:t>
      </w:r>
      <w:r w:rsidR="00C00CDF">
        <w:rPr>
          <w:sz w:val="24"/>
          <w:szCs w:val="24"/>
        </w:rPr>
        <w:t>Once O</w:t>
      </w:r>
      <w:r w:rsidR="009C7304">
        <w:rPr>
          <w:sz w:val="24"/>
          <w:szCs w:val="24"/>
        </w:rPr>
        <w:t>rwell</w:t>
      </w:r>
      <w:r w:rsidR="00C00CDF">
        <w:rPr>
          <w:sz w:val="24"/>
          <w:szCs w:val="24"/>
        </w:rPr>
        <w:t xml:space="preserve"> </w:t>
      </w:r>
      <w:r w:rsidR="009C7304">
        <w:rPr>
          <w:sz w:val="24"/>
          <w:szCs w:val="24"/>
        </w:rPr>
        <w:t>began taking gas deliveries from OTP</w:t>
      </w:r>
      <w:r w:rsidR="00C00CDF">
        <w:rPr>
          <w:sz w:val="24"/>
          <w:szCs w:val="24"/>
        </w:rPr>
        <w:t>, the gas supply from Dominion was drastically reduced.</w:t>
      </w:r>
    </w:p>
    <w:p w:rsidR="007E4236" w:rsidRDefault="007E4236" w:rsidP="00A054C9">
      <w:pPr>
        <w:autoSpaceDE w:val="0"/>
        <w:spacing w:line="480" w:lineRule="auto"/>
        <w:ind w:left="720" w:hanging="720"/>
        <w:rPr>
          <w:sz w:val="24"/>
          <w:szCs w:val="24"/>
        </w:rPr>
      </w:pPr>
    </w:p>
    <w:p w:rsidR="000B2D0D" w:rsidRDefault="000B2D0D" w:rsidP="00A054C9">
      <w:pPr>
        <w:autoSpaceDE w:val="0"/>
        <w:spacing w:line="480" w:lineRule="auto"/>
        <w:ind w:left="720"/>
        <w:rPr>
          <w:sz w:val="24"/>
          <w:szCs w:val="24"/>
        </w:rPr>
      </w:pPr>
      <w:r>
        <w:rPr>
          <w:sz w:val="24"/>
          <w:szCs w:val="24"/>
        </w:rPr>
        <w:t>On the surface, r</w:t>
      </w:r>
      <w:r w:rsidR="007E4236">
        <w:rPr>
          <w:sz w:val="24"/>
          <w:szCs w:val="24"/>
        </w:rPr>
        <w:t>educing reliance on the D</w:t>
      </w:r>
      <w:r w:rsidR="00135200">
        <w:rPr>
          <w:sz w:val="24"/>
          <w:szCs w:val="24"/>
        </w:rPr>
        <w:t>ominion</w:t>
      </w:r>
      <w:r w:rsidR="007E4236">
        <w:rPr>
          <w:sz w:val="24"/>
          <w:szCs w:val="24"/>
        </w:rPr>
        <w:t xml:space="preserve"> system</w:t>
      </w:r>
      <w:r>
        <w:rPr>
          <w:sz w:val="24"/>
          <w:szCs w:val="24"/>
        </w:rPr>
        <w:t xml:space="preserve"> </w:t>
      </w:r>
      <w:r w:rsidR="00054887">
        <w:rPr>
          <w:sz w:val="24"/>
          <w:szCs w:val="24"/>
        </w:rPr>
        <w:t xml:space="preserve">would appear to be </w:t>
      </w:r>
      <w:r>
        <w:rPr>
          <w:sz w:val="24"/>
          <w:szCs w:val="24"/>
        </w:rPr>
        <w:t>the right move</w:t>
      </w:r>
      <w:r w:rsidR="007E4236">
        <w:rPr>
          <w:sz w:val="24"/>
          <w:szCs w:val="24"/>
        </w:rPr>
        <w:t xml:space="preserve">, as supply diversity </w:t>
      </w:r>
      <w:r w:rsidR="00927948">
        <w:rPr>
          <w:sz w:val="24"/>
          <w:szCs w:val="24"/>
        </w:rPr>
        <w:t>can be</w:t>
      </w:r>
      <w:r w:rsidR="007E4236">
        <w:rPr>
          <w:sz w:val="24"/>
          <w:szCs w:val="24"/>
        </w:rPr>
        <w:t xml:space="preserve"> an advantage for any natural</w:t>
      </w:r>
      <w:r w:rsidR="00C44B07">
        <w:rPr>
          <w:sz w:val="24"/>
          <w:szCs w:val="24"/>
        </w:rPr>
        <w:t xml:space="preserve"> gas local distribution system.</w:t>
      </w:r>
      <w:r w:rsidR="007E4236">
        <w:rPr>
          <w:sz w:val="24"/>
          <w:szCs w:val="24"/>
        </w:rPr>
        <w:t xml:space="preserve"> </w:t>
      </w:r>
      <w:r w:rsidR="00AD114E">
        <w:rPr>
          <w:sz w:val="24"/>
          <w:szCs w:val="24"/>
        </w:rPr>
        <w:t xml:space="preserve"> </w:t>
      </w:r>
      <w:r>
        <w:rPr>
          <w:sz w:val="24"/>
          <w:szCs w:val="24"/>
        </w:rPr>
        <w:t xml:space="preserve">Unfortunately, rather than improving its supply diversity by adding another supply alternative, Orwell </w:t>
      </w:r>
      <w:r w:rsidR="009544A0">
        <w:rPr>
          <w:sz w:val="24"/>
          <w:szCs w:val="24"/>
        </w:rPr>
        <w:t xml:space="preserve">entered into </w:t>
      </w:r>
      <w:r>
        <w:rPr>
          <w:sz w:val="24"/>
          <w:szCs w:val="24"/>
        </w:rPr>
        <w:t>an exclusive</w:t>
      </w:r>
      <w:r w:rsidR="009544A0">
        <w:rPr>
          <w:sz w:val="24"/>
          <w:szCs w:val="24"/>
        </w:rPr>
        <w:t xml:space="preserve"> 15-year</w:t>
      </w:r>
      <w:r>
        <w:rPr>
          <w:sz w:val="24"/>
          <w:szCs w:val="24"/>
        </w:rPr>
        <w:t xml:space="preserve"> agreement </w:t>
      </w:r>
      <w:r w:rsidR="009544A0">
        <w:rPr>
          <w:sz w:val="24"/>
          <w:szCs w:val="24"/>
        </w:rPr>
        <w:t xml:space="preserve">with OTP for the </w:t>
      </w:r>
      <w:r>
        <w:rPr>
          <w:sz w:val="24"/>
          <w:szCs w:val="24"/>
        </w:rPr>
        <w:t xml:space="preserve">transport </w:t>
      </w:r>
      <w:r w:rsidR="009544A0">
        <w:rPr>
          <w:sz w:val="24"/>
          <w:szCs w:val="24"/>
        </w:rPr>
        <w:t xml:space="preserve">of </w:t>
      </w:r>
      <w:r>
        <w:rPr>
          <w:sz w:val="24"/>
          <w:szCs w:val="24"/>
        </w:rPr>
        <w:t xml:space="preserve">all of its gas deliveries </w:t>
      </w:r>
      <w:r w:rsidR="001F6671">
        <w:rPr>
          <w:sz w:val="24"/>
          <w:szCs w:val="24"/>
        </w:rPr>
        <w:t xml:space="preserve">beginning </w:t>
      </w:r>
      <w:r w:rsidR="009544A0">
        <w:rPr>
          <w:sz w:val="24"/>
          <w:szCs w:val="24"/>
        </w:rPr>
        <w:t xml:space="preserve">on </w:t>
      </w:r>
      <w:r w:rsidR="001F6671">
        <w:rPr>
          <w:sz w:val="24"/>
          <w:szCs w:val="24"/>
        </w:rPr>
        <w:t>July 1, 2008</w:t>
      </w:r>
      <w:r>
        <w:rPr>
          <w:sz w:val="24"/>
          <w:szCs w:val="24"/>
        </w:rPr>
        <w:t>.</w:t>
      </w:r>
      <w:r w:rsidR="001F6671">
        <w:rPr>
          <w:rStyle w:val="FootnoteReference"/>
          <w:sz w:val="24"/>
          <w:szCs w:val="24"/>
        </w:rPr>
        <w:footnoteReference w:id="44"/>
      </w:r>
      <w:r w:rsidR="00A313A6">
        <w:rPr>
          <w:sz w:val="24"/>
          <w:szCs w:val="24"/>
        </w:rPr>
        <w:t xml:space="preserve"> </w:t>
      </w:r>
      <w:r w:rsidR="00AD114E">
        <w:rPr>
          <w:sz w:val="24"/>
          <w:szCs w:val="24"/>
        </w:rPr>
        <w:t xml:space="preserve"> </w:t>
      </w:r>
      <w:r w:rsidR="00A313A6">
        <w:rPr>
          <w:sz w:val="24"/>
          <w:szCs w:val="24"/>
        </w:rPr>
        <w:t>Thus</w:t>
      </w:r>
      <w:r w:rsidR="00DD7C20">
        <w:rPr>
          <w:sz w:val="24"/>
          <w:szCs w:val="24"/>
        </w:rPr>
        <w:t>,</w:t>
      </w:r>
      <w:r w:rsidR="00A313A6">
        <w:rPr>
          <w:sz w:val="24"/>
          <w:szCs w:val="24"/>
        </w:rPr>
        <w:t xml:space="preserve"> not only </w:t>
      </w:r>
      <w:r w:rsidR="00DD7C20">
        <w:rPr>
          <w:sz w:val="24"/>
          <w:szCs w:val="24"/>
        </w:rPr>
        <w:t xml:space="preserve">did Orwell improperly </w:t>
      </w:r>
      <w:r w:rsidR="00A313A6">
        <w:rPr>
          <w:sz w:val="24"/>
          <w:szCs w:val="24"/>
        </w:rPr>
        <w:t>reduc</w:t>
      </w:r>
      <w:r w:rsidR="00DD7C20">
        <w:rPr>
          <w:sz w:val="24"/>
          <w:szCs w:val="24"/>
        </w:rPr>
        <w:t>e</w:t>
      </w:r>
      <w:r w:rsidR="00A313A6">
        <w:rPr>
          <w:sz w:val="24"/>
          <w:szCs w:val="24"/>
        </w:rPr>
        <w:t xml:space="preserve"> its gas transportation and gas supply options, but at the same time</w:t>
      </w:r>
      <w:r w:rsidR="00DD7C20">
        <w:rPr>
          <w:sz w:val="24"/>
          <w:szCs w:val="24"/>
        </w:rPr>
        <w:t>, it improperly</w:t>
      </w:r>
      <w:r w:rsidR="00A313A6">
        <w:rPr>
          <w:sz w:val="24"/>
          <w:szCs w:val="24"/>
        </w:rPr>
        <w:t xml:space="preserve"> increas</w:t>
      </w:r>
      <w:r w:rsidR="00DD7C20">
        <w:rPr>
          <w:sz w:val="24"/>
          <w:szCs w:val="24"/>
        </w:rPr>
        <w:t>ed</w:t>
      </w:r>
      <w:r w:rsidR="00A313A6">
        <w:rPr>
          <w:sz w:val="24"/>
          <w:szCs w:val="24"/>
        </w:rPr>
        <w:t xml:space="preserve"> </w:t>
      </w:r>
      <w:r w:rsidR="00DD7C20">
        <w:rPr>
          <w:sz w:val="24"/>
          <w:szCs w:val="24"/>
        </w:rPr>
        <w:t>its</w:t>
      </w:r>
      <w:r w:rsidR="00C44B07">
        <w:rPr>
          <w:sz w:val="24"/>
          <w:szCs w:val="24"/>
        </w:rPr>
        <w:t xml:space="preserve"> reliance on a related company --</w:t>
      </w:r>
      <w:r w:rsidR="00A313A6">
        <w:rPr>
          <w:sz w:val="24"/>
          <w:szCs w:val="24"/>
        </w:rPr>
        <w:t xml:space="preserve"> OTP.</w:t>
      </w:r>
    </w:p>
    <w:p w:rsidR="000B2D0D" w:rsidRDefault="000B2D0D" w:rsidP="00A054C9">
      <w:pPr>
        <w:autoSpaceDE w:val="0"/>
        <w:spacing w:line="480" w:lineRule="auto"/>
        <w:ind w:left="720"/>
        <w:rPr>
          <w:sz w:val="24"/>
          <w:szCs w:val="24"/>
        </w:rPr>
      </w:pPr>
    </w:p>
    <w:p w:rsidR="00C44B07" w:rsidRDefault="00C44B07" w:rsidP="00A054C9">
      <w:pPr>
        <w:autoSpaceDE w:val="0"/>
        <w:spacing w:line="480" w:lineRule="auto"/>
        <w:ind w:left="720"/>
        <w:rPr>
          <w:sz w:val="24"/>
          <w:szCs w:val="24"/>
        </w:rPr>
      </w:pPr>
      <w:r>
        <w:rPr>
          <w:sz w:val="24"/>
          <w:szCs w:val="24"/>
        </w:rPr>
        <w:t xml:space="preserve">Orwell essentially traded reliance on a </w:t>
      </w:r>
      <w:r w:rsidR="005A2329">
        <w:rPr>
          <w:sz w:val="24"/>
          <w:szCs w:val="24"/>
        </w:rPr>
        <w:t xml:space="preserve">firm contract with a </w:t>
      </w:r>
      <w:r>
        <w:rPr>
          <w:sz w:val="24"/>
          <w:szCs w:val="24"/>
        </w:rPr>
        <w:t>non-affiliated and non-related entity -- Dominion -- for reliance on a</w:t>
      </w:r>
      <w:r w:rsidR="005A2329">
        <w:rPr>
          <w:sz w:val="24"/>
          <w:szCs w:val="24"/>
        </w:rPr>
        <w:t>n interruptible contract with a</w:t>
      </w:r>
      <w:r>
        <w:rPr>
          <w:sz w:val="24"/>
          <w:szCs w:val="24"/>
        </w:rPr>
        <w:t xml:space="preserve"> related entity -- OTP.</w:t>
      </w:r>
    </w:p>
    <w:p w:rsidR="00C44B07" w:rsidRDefault="00C44B07" w:rsidP="00A054C9">
      <w:pPr>
        <w:autoSpaceDE w:val="0"/>
        <w:spacing w:line="480" w:lineRule="auto"/>
        <w:ind w:left="720"/>
        <w:rPr>
          <w:sz w:val="24"/>
          <w:szCs w:val="24"/>
        </w:rPr>
      </w:pPr>
    </w:p>
    <w:p w:rsidR="003D4F7F" w:rsidRDefault="000B2D0D" w:rsidP="00A054C9">
      <w:pPr>
        <w:autoSpaceDE w:val="0"/>
        <w:spacing w:line="480" w:lineRule="auto"/>
        <w:ind w:left="720"/>
        <w:rPr>
          <w:sz w:val="24"/>
          <w:szCs w:val="24"/>
        </w:rPr>
      </w:pPr>
      <w:r>
        <w:rPr>
          <w:sz w:val="24"/>
          <w:szCs w:val="24"/>
        </w:rPr>
        <w:t>Trading the D</w:t>
      </w:r>
      <w:r w:rsidR="00135200">
        <w:rPr>
          <w:sz w:val="24"/>
          <w:szCs w:val="24"/>
        </w:rPr>
        <w:t>ominion</w:t>
      </w:r>
      <w:r>
        <w:rPr>
          <w:sz w:val="24"/>
          <w:szCs w:val="24"/>
        </w:rPr>
        <w:t xml:space="preserve"> Special Contract for the OTP contract is </w:t>
      </w:r>
      <w:r w:rsidR="002F599C">
        <w:rPr>
          <w:sz w:val="24"/>
          <w:szCs w:val="24"/>
        </w:rPr>
        <w:t>imprudent</w:t>
      </w:r>
      <w:r w:rsidR="009544A0">
        <w:rPr>
          <w:sz w:val="24"/>
          <w:szCs w:val="24"/>
        </w:rPr>
        <w:t xml:space="preserve"> </w:t>
      </w:r>
      <w:r w:rsidR="00DF24E9">
        <w:rPr>
          <w:sz w:val="24"/>
          <w:szCs w:val="24"/>
        </w:rPr>
        <w:t>for a</w:t>
      </w:r>
      <w:r w:rsidR="009544A0">
        <w:rPr>
          <w:sz w:val="24"/>
          <w:szCs w:val="24"/>
        </w:rPr>
        <w:t xml:space="preserve">t least two </w:t>
      </w:r>
      <w:r w:rsidR="00DF24E9">
        <w:rPr>
          <w:sz w:val="24"/>
          <w:szCs w:val="24"/>
        </w:rPr>
        <w:t>reasons</w:t>
      </w:r>
      <w:r w:rsidR="009544A0">
        <w:rPr>
          <w:sz w:val="24"/>
          <w:szCs w:val="24"/>
        </w:rPr>
        <w:t>:</w:t>
      </w:r>
      <w:r w:rsidR="00C44B07">
        <w:rPr>
          <w:sz w:val="24"/>
          <w:szCs w:val="24"/>
        </w:rPr>
        <w:t xml:space="preserve"> </w:t>
      </w:r>
      <w:r w:rsidR="009544A0">
        <w:rPr>
          <w:sz w:val="24"/>
          <w:szCs w:val="24"/>
        </w:rPr>
        <w:t>f</w:t>
      </w:r>
      <w:r>
        <w:rPr>
          <w:sz w:val="24"/>
          <w:szCs w:val="24"/>
        </w:rPr>
        <w:t>irst, the transportation rates were approximately equal</w:t>
      </w:r>
      <w:r w:rsidR="001F6671">
        <w:rPr>
          <w:sz w:val="24"/>
          <w:szCs w:val="24"/>
        </w:rPr>
        <w:t>,</w:t>
      </w:r>
      <w:r w:rsidR="00D76258">
        <w:rPr>
          <w:sz w:val="24"/>
          <w:szCs w:val="24"/>
        </w:rPr>
        <w:t xml:space="preserve"> but</w:t>
      </w:r>
      <w:r w:rsidR="001F6671">
        <w:rPr>
          <w:sz w:val="24"/>
          <w:szCs w:val="24"/>
        </w:rPr>
        <w:t xml:space="preserve"> </w:t>
      </w:r>
      <w:r w:rsidR="00D76258">
        <w:rPr>
          <w:sz w:val="24"/>
          <w:szCs w:val="24"/>
        </w:rPr>
        <w:t>the D</w:t>
      </w:r>
      <w:r w:rsidR="00135200">
        <w:rPr>
          <w:sz w:val="24"/>
          <w:szCs w:val="24"/>
        </w:rPr>
        <w:t>ominion</w:t>
      </w:r>
      <w:r w:rsidR="00D76258">
        <w:rPr>
          <w:sz w:val="24"/>
          <w:szCs w:val="24"/>
        </w:rPr>
        <w:t xml:space="preserve"> transportation rate averaged $0.92 per Mcf for firm service, </w:t>
      </w:r>
      <w:r w:rsidR="001F6671">
        <w:rPr>
          <w:sz w:val="24"/>
          <w:szCs w:val="24"/>
        </w:rPr>
        <w:t>as long as Orwell arranged to deliver gas to D</w:t>
      </w:r>
      <w:r w:rsidR="00135200">
        <w:rPr>
          <w:sz w:val="24"/>
          <w:szCs w:val="24"/>
        </w:rPr>
        <w:t>ominion</w:t>
      </w:r>
      <w:r w:rsidR="00C44B07">
        <w:rPr>
          <w:sz w:val="24"/>
          <w:szCs w:val="24"/>
        </w:rPr>
        <w:t>,</w:t>
      </w:r>
      <w:r w:rsidR="001F6671">
        <w:rPr>
          <w:rStyle w:val="FootnoteReference"/>
          <w:sz w:val="24"/>
          <w:szCs w:val="24"/>
        </w:rPr>
        <w:footnoteReference w:id="45"/>
      </w:r>
      <w:r w:rsidR="00D76258">
        <w:rPr>
          <w:sz w:val="24"/>
          <w:szCs w:val="24"/>
        </w:rPr>
        <w:t xml:space="preserve"> while</w:t>
      </w:r>
      <w:r w:rsidR="001F6671">
        <w:rPr>
          <w:sz w:val="24"/>
          <w:szCs w:val="24"/>
        </w:rPr>
        <w:t xml:space="preserve"> the OTP contract provided </w:t>
      </w:r>
      <w:r>
        <w:rPr>
          <w:sz w:val="24"/>
          <w:szCs w:val="24"/>
        </w:rPr>
        <w:t>for</w:t>
      </w:r>
      <w:r w:rsidR="001F6671">
        <w:rPr>
          <w:sz w:val="24"/>
          <w:szCs w:val="24"/>
        </w:rPr>
        <w:t xml:space="preserve"> </w:t>
      </w:r>
      <w:r w:rsidR="009544A0">
        <w:rPr>
          <w:sz w:val="24"/>
          <w:szCs w:val="24"/>
        </w:rPr>
        <w:t>an inferior quality (</w:t>
      </w:r>
      <w:r w:rsidR="001F6671">
        <w:rPr>
          <w:sz w:val="24"/>
          <w:szCs w:val="24"/>
        </w:rPr>
        <w:t>interruptible</w:t>
      </w:r>
      <w:r w:rsidR="009544A0">
        <w:rPr>
          <w:sz w:val="24"/>
          <w:szCs w:val="24"/>
        </w:rPr>
        <w:t>)</w:t>
      </w:r>
      <w:r w:rsidR="001F6671">
        <w:rPr>
          <w:sz w:val="24"/>
          <w:szCs w:val="24"/>
        </w:rPr>
        <w:t xml:space="preserve"> service</w:t>
      </w:r>
      <w:r w:rsidR="00C44B07">
        <w:rPr>
          <w:sz w:val="24"/>
          <w:szCs w:val="24"/>
        </w:rPr>
        <w:t xml:space="preserve"> at a rate of $0.95 per Mcf</w:t>
      </w:r>
      <w:r w:rsidR="009544A0">
        <w:rPr>
          <w:sz w:val="24"/>
          <w:szCs w:val="24"/>
        </w:rPr>
        <w:t>;</w:t>
      </w:r>
      <w:r w:rsidR="001F6671">
        <w:rPr>
          <w:rStyle w:val="FootnoteReference"/>
          <w:sz w:val="24"/>
          <w:szCs w:val="24"/>
        </w:rPr>
        <w:footnoteReference w:id="46"/>
      </w:r>
      <w:r w:rsidR="007E4236">
        <w:rPr>
          <w:sz w:val="24"/>
          <w:szCs w:val="24"/>
        </w:rPr>
        <w:t xml:space="preserve"> </w:t>
      </w:r>
      <w:r w:rsidR="00AD114E">
        <w:rPr>
          <w:sz w:val="24"/>
          <w:szCs w:val="24"/>
        </w:rPr>
        <w:t xml:space="preserve"> </w:t>
      </w:r>
      <w:r w:rsidR="009544A0">
        <w:rPr>
          <w:sz w:val="24"/>
          <w:szCs w:val="24"/>
        </w:rPr>
        <w:t xml:space="preserve">Second, </w:t>
      </w:r>
      <w:r w:rsidR="0033630C">
        <w:rPr>
          <w:sz w:val="24"/>
          <w:szCs w:val="24"/>
        </w:rPr>
        <w:t>the exclusivity clause in the OTP contract limits future opportunities to take lower priced natural gas from other pipelines</w:t>
      </w:r>
      <w:r w:rsidR="00A313A6">
        <w:rPr>
          <w:sz w:val="24"/>
          <w:szCs w:val="24"/>
        </w:rPr>
        <w:t xml:space="preserve"> and potentially other gas supply sources that are not tied to OTP</w:t>
      </w:r>
      <w:r w:rsidR="0033630C">
        <w:rPr>
          <w:sz w:val="24"/>
          <w:szCs w:val="24"/>
        </w:rPr>
        <w:t>.</w:t>
      </w:r>
      <w:r w:rsidR="00C44B07">
        <w:rPr>
          <w:sz w:val="24"/>
          <w:szCs w:val="24"/>
        </w:rPr>
        <w:t xml:space="preserve"> </w:t>
      </w:r>
      <w:r w:rsidR="00AD114E">
        <w:rPr>
          <w:sz w:val="24"/>
          <w:szCs w:val="24"/>
        </w:rPr>
        <w:t xml:space="preserve"> </w:t>
      </w:r>
      <w:r w:rsidR="00EE3F0D">
        <w:rPr>
          <w:sz w:val="24"/>
          <w:szCs w:val="24"/>
        </w:rPr>
        <w:t xml:space="preserve">A gas distribution company </w:t>
      </w:r>
      <w:r w:rsidR="00DD7C20">
        <w:rPr>
          <w:sz w:val="24"/>
          <w:szCs w:val="24"/>
        </w:rPr>
        <w:t>with natural gas purchasing practices and policies that</w:t>
      </w:r>
      <w:r w:rsidR="00EE3F0D" w:rsidRPr="0057524A">
        <w:rPr>
          <w:sz w:val="24"/>
          <w:szCs w:val="24"/>
        </w:rPr>
        <w:t xml:space="preserve"> </w:t>
      </w:r>
      <w:r w:rsidR="00DD7C20" w:rsidRPr="0057524A">
        <w:rPr>
          <w:color w:val="000000"/>
          <w:sz w:val="24"/>
          <w:szCs w:val="24"/>
        </w:rPr>
        <w:t>promote minimum prices for their customers consistent with an adequate supply of gas</w:t>
      </w:r>
      <w:r w:rsidR="00EE3F0D">
        <w:rPr>
          <w:sz w:val="24"/>
          <w:szCs w:val="24"/>
        </w:rPr>
        <w:t xml:space="preserve"> would n</w:t>
      </w:r>
      <w:r w:rsidR="00C44B07">
        <w:rPr>
          <w:sz w:val="24"/>
          <w:szCs w:val="24"/>
        </w:rPr>
        <w:t>ot</w:t>
      </w:r>
      <w:r w:rsidR="00EE3F0D">
        <w:rPr>
          <w:sz w:val="24"/>
          <w:szCs w:val="24"/>
        </w:rPr>
        <w:t xml:space="preserve"> voluntarily enter into this type of agreement </w:t>
      </w:r>
      <w:r w:rsidR="00A313A6">
        <w:rPr>
          <w:sz w:val="24"/>
          <w:szCs w:val="24"/>
        </w:rPr>
        <w:t xml:space="preserve">with </w:t>
      </w:r>
      <w:r w:rsidR="00EE3F0D">
        <w:rPr>
          <w:sz w:val="24"/>
          <w:szCs w:val="24"/>
        </w:rPr>
        <w:t>OTP and give up the firm contract it had with Dominion</w:t>
      </w:r>
      <w:r w:rsidR="0038665E">
        <w:rPr>
          <w:sz w:val="24"/>
          <w:szCs w:val="24"/>
        </w:rPr>
        <w:t xml:space="preserve"> for an interruptible rate with an exclusivity clause</w:t>
      </w:r>
      <w:r w:rsidR="00EE3F0D">
        <w:rPr>
          <w:sz w:val="24"/>
          <w:szCs w:val="24"/>
        </w:rPr>
        <w:t>.</w:t>
      </w:r>
    </w:p>
    <w:p w:rsidR="00894F47" w:rsidRDefault="00894F47" w:rsidP="00A054C9">
      <w:pPr>
        <w:autoSpaceDE w:val="0"/>
        <w:spacing w:line="480" w:lineRule="auto"/>
        <w:ind w:left="720"/>
        <w:rPr>
          <w:sz w:val="24"/>
          <w:szCs w:val="24"/>
        </w:rPr>
      </w:pPr>
    </w:p>
    <w:p w:rsidR="00894F47" w:rsidRDefault="00894F47" w:rsidP="00A054C9">
      <w:pPr>
        <w:autoSpaceDE w:val="0"/>
        <w:spacing w:line="480" w:lineRule="auto"/>
        <w:ind w:left="720" w:hanging="720"/>
        <w:rPr>
          <w:b/>
          <w:i/>
          <w:sz w:val="24"/>
          <w:szCs w:val="24"/>
        </w:rPr>
      </w:pPr>
      <w:r w:rsidRPr="00894F47">
        <w:rPr>
          <w:b/>
          <w:i/>
          <w:sz w:val="24"/>
          <w:szCs w:val="24"/>
        </w:rPr>
        <w:t>Q</w:t>
      </w:r>
      <w:r w:rsidR="00C51171">
        <w:rPr>
          <w:b/>
          <w:i/>
          <w:sz w:val="24"/>
          <w:szCs w:val="24"/>
        </w:rPr>
        <w:t>30</w:t>
      </w:r>
      <w:r w:rsidRPr="00894F47">
        <w:rPr>
          <w:b/>
          <w:i/>
          <w:sz w:val="24"/>
          <w:szCs w:val="24"/>
        </w:rPr>
        <w:t>.</w:t>
      </w:r>
      <w:r w:rsidRPr="00894F47">
        <w:rPr>
          <w:b/>
          <w:i/>
          <w:sz w:val="24"/>
          <w:szCs w:val="24"/>
        </w:rPr>
        <w:tab/>
        <w:t>WHY DO YOU S</w:t>
      </w:r>
      <w:r w:rsidR="00DD7C20">
        <w:rPr>
          <w:b/>
          <w:i/>
          <w:sz w:val="24"/>
          <w:szCs w:val="24"/>
        </w:rPr>
        <w:t>TATE</w:t>
      </w:r>
      <w:r w:rsidRPr="00894F47">
        <w:rPr>
          <w:b/>
          <w:i/>
          <w:sz w:val="24"/>
          <w:szCs w:val="24"/>
        </w:rPr>
        <w:t xml:space="preserve"> THAT OTP HAS AGREEMENTS WITH OTHER TRANSPORTERS (END-USERS ON ORWELL’S DISTRIBUTION SYSTEM) AT SIGNIFICANTLY LOWER TRANSPORTATION RATES</w:t>
      </w:r>
      <w:r w:rsidR="001044BB">
        <w:rPr>
          <w:b/>
          <w:i/>
          <w:sz w:val="24"/>
          <w:szCs w:val="24"/>
        </w:rPr>
        <w:t xml:space="preserve"> THAN ORWELL PAYS</w:t>
      </w:r>
      <w:r w:rsidRPr="00894F47">
        <w:rPr>
          <w:b/>
          <w:i/>
          <w:sz w:val="24"/>
          <w:szCs w:val="24"/>
        </w:rPr>
        <w:t>?</w:t>
      </w:r>
    </w:p>
    <w:p w:rsidR="00DC55C5" w:rsidRDefault="007D5B19" w:rsidP="00A054C9">
      <w:pPr>
        <w:autoSpaceDE w:val="0"/>
        <w:spacing w:line="480" w:lineRule="auto"/>
        <w:ind w:left="720" w:hanging="720"/>
        <w:rPr>
          <w:sz w:val="24"/>
          <w:szCs w:val="24"/>
        </w:rPr>
      </w:pPr>
      <w:r>
        <w:rPr>
          <w:b/>
          <w:i/>
          <w:sz w:val="24"/>
          <w:szCs w:val="24"/>
        </w:rPr>
        <w:t>A</w:t>
      </w:r>
      <w:r w:rsidR="00C51171">
        <w:rPr>
          <w:b/>
          <w:i/>
          <w:sz w:val="24"/>
          <w:szCs w:val="24"/>
        </w:rPr>
        <w:t>30</w:t>
      </w:r>
      <w:r>
        <w:rPr>
          <w:b/>
          <w:i/>
          <w:sz w:val="24"/>
          <w:szCs w:val="24"/>
        </w:rPr>
        <w:t>.</w:t>
      </w:r>
      <w:r>
        <w:rPr>
          <w:b/>
          <w:i/>
          <w:sz w:val="24"/>
          <w:szCs w:val="24"/>
        </w:rPr>
        <w:tab/>
      </w:r>
      <w:r w:rsidR="00E5030F">
        <w:rPr>
          <w:sz w:val="24"/>
          <w:szCs w:val="24"/>
        </w:rPr>
        <w:t>A number of Orwell’s distribution customers are currently receiving tr</w:t>
      </w:r>
      <w:r w:rsidR="00D22344">
        <w:rPr>
          <w:sz w:val="24"/>
          <w:szCs w:val="24"/>
        </w:rPr>
        <w:t xml:space="preserve">ansportation service </w:t>
      </w:r>
      <w:r w:rsidR="00DD7C20">
        <w:rPr>
          <w:sz w:val="24"/>
          <w:szCs w:val="24"/>
        </w:rPr>
        <w:t xml:space="preserve">directly </w:t>
      </w:r>
      <w:r w:rsidR="00D22344">
        <w:rPr>
          <w:sz w:val="24"/>
          <w:szCs w:val="24"/>
        </w:rPr>
        <w:t>from OTP.</w:t>
      </w:r>
      <w:r w:rsidR="00210FF1">
        <w:rPr>
          <w:sz w:val="24"/>
          <w:szCs w:val="24"/>
        </w:rPr>
        <w:t xml:space="preserve"> </w:t>
      </w:r>
      <w:r w:rsidR="00AD114E">
        <w:rPr>
          <w:sz w:val="24"/>
          <w:szCs w:val="24"/>
        </w:rPr>
        <w:t xml:space="preserve"> </w:t>
      </w:r>
      <w:r w:rsidR="00210FF1">
        <w:rPr>
          <w:sz w:val="24"/>
          <w:szCs w:val="24"/>
        </w:rPr>
        <w:t xml:space="preserve">Unfortunately, </w:t>
      </w:r>
      <w:r w:rsidR="00DA5194">
        <w:rPr>
          <w:sz w:val="24"/>
          <w:szCs w:val="24"/>
        </w:rPr>
        <w:t xml:space="preserve">several of the agreements are filed with confidential </w:t>
      </w:r>
      <w:r w:rsidR="00210FF1">
        <w:rPr>
          <w:sz w:val="24"/>
          <w:szCs w:val="24"/>
        </w:rPr>
        <w:t xml:space="preserve">transportation rates and </w:t>
      </w:r>
      <w:r w:rsidR="00DA5194">
        <w:rPr>
          <w:sz w:val="24"/>
          <w:szCs w:val="24"/>
        </w:rPr>
        <w:t>are</w:t>
      </w:r>
      <w:r w:rsidR="00210FF1">
        <w:rPr>
          <w:sz w:val="24"/>
          <w:szCs w:val="24"/>
        </w:rPr>
        <w:t xml:space="preserve"> n</w:t>
      </w:r>
      <w:r w:rsidR="00C44B07">
        <w:rPr>
          <w:sz w:val="24"/>
          <w:szCs w:val="24"/>
        </w:rPr>
        <w:t xml:space="preserve">ot currently available to OCC. </w:t>
      </w:r>
      <w:r w:rsidR="00AD114E">
        <w:rPr>
          <w:sz w:val="24"/>
          <w:szCs w:val="24"/>
        </w:rPr>
        <w:t xml:space="preserve"> </w:t>
      </w:r>
      <w:r w:rsidR="00DD7C20">
        <w:rPr>
          <w:sz w:val="24"/>
          <w:szCs w:val="24"/>
        </w:rPr>
        <w:t>A</w:t>
      </w:r>
      <w:r w:rsidR="00C44B07">
        <w:rPr>
          <w:sz w:val="24"/>
          <w:szCs w:val="24"/>
        </w:rPr>
        <w:t xml:space="preserve"> public</w:t>
      </w:r>
      <w:r w:rsidR="00DA5194">
        <w:rPr>
          <w:sz w:val="24"/>
          <w:szCs w:val="24"/>
        </w:rPr>
        <w:t xml:space="preserve"> </w:t>
      </w:r>
      <w:r w:rsidR="00385DFA">
        <w:rPr>
          <w:sz w:val="24"/>
          <w:szCs w:val="24"/>
        </w:rPr>
        <w:t xml:space="preserve">2009 </w:t>
      </w:r>
      <w:r w:rsidR="00DA5194">
        <w:rPr>
          <w:sz w:val="24"/>
          <w:szCs w:val="24"/>
        </w:rPr>
        <w:t>contract between OTP and Newbury Local Schools</w:t>
      </w:r>
      <w:r w:rsidR="00385DFA">
        <w:rPr>
          <w:sz w:val="24"/>
          <w:szCs w:val="24"/>
        </w:rPr>
        <w:t xml:space="preserve"> </w:t>
      </w:r>
      <w:r w:rsidR="00DA5194">
        <w:rPr>
          <w:sz w:val="24"/>
          <w:szCs w:val="24"/>
        </w:rPr>
        <w:t xml:space="preserve">includes the transportation rate. </w:t>
      </w:r>
      <w:r w:rsidR="00AD114E">
        <w:rPr>
          <w:sz w:val="24"/>
          <w:szCs w:val="24"/>
        </w:rPr>
        <w:t xml:space="preserve"> </w:t>
      </w:r>
      <w:r w:rsidR="00DA5194">
        <w:rPr>
          <w:sz w:val="24"/>
          <w:szCs w:val="24"/>
        </w:rPr>
        <w:t>The rate is $0.90 per Mcf, which is less than the rate Orwell pays for transportation</w:t>
      </w:r>
      <w:r w:rsidR="00236A1C">
        <w:rPr>
          <w:sz w:val="24"/>
          <w:szCs w:val="24"/>
        </w:rPr>
        <w:t>.</w:t>
      </w:r>
      <w:r w:rsidR="002F599C">
        <w:rPr>
          <w:rStyle w:val="FootnoteReference"/>
          <w:sz w:val="24"/>
          <w:szCs w:val="24"/>
        </w:rPr>
        <w:footnoteReference w:id="47"/>
      </w:r>
      <w:r w:rsidR="00E02DCB">
        <w:rPr>
          <w:sz w:val="24"/>
          <w:szCs w:val="24"/>
        </w:rPr>
        <w:t xml:space="preserve"> </w:t>
      </w:r>
      <w:r w:rsidR="00AD114E">
        <w:rPr>
          <w:sz w:val="24"/>
          <w:szCs w:val="24"/>
        </w:rPr>
        <w:t xml:space="preserve"> </w:t>
      </w:r>
      <w:r w:rsidR="00DD7C20">
        <w:rPr>
          <w:sz w:val="24"/>
          <w:szCs w:val="24"/>
        </w:rPr>
        <w:t>Moreover</w:t>
      </w:r>
      <w:r w:rsidR="00236A1C">
        <w:rPr>
          <w:sz w:val="24"/>
          <w:szCs w:val="24"/>
        </w:rPr>
        <w:t xml:space="preserve">, </w:t>
      </w:r>
      <w:r w:rsidR="00DA5194">
        <w:rPr>
          <w:sz w:val="24"/>
          <w:szCs w:val="24"/>
        </w:rPr>
        <w:t>Newbury Local Schools’ agreement is for firm service, while Orwell pays $0.95 per Mcf for</w:t>
      </w:r>
      <w:r w:rsidR="007E3839">
        <w:rPr>
          <w:sz w:val="24"/>
          <w:szCs w:val="24"/>
        </w:rPr>
        <w:t xml:space="preserve"> </w:t>
      </w:r>
      <w:r w:rsidR="00DA5194">
        <w:rPr>
          <w:sz w:val="24"/>
          <w:szCs w:val="24"/>
        </w:rPr>
        <w:t>interruptible service.</w:t>
      </w:r>
      <w:r w:rsidR="00385DFA">
        <w:rPr>
          <w:rStyle w:val="FootnoteReference"/>
          <w:sz w:val="24"/>
          <w:szCs w:val="24"/>
        </w:rPr>
        <w:footnoteReference w:id="48"/>
      </w:r>
    </w:p>
    <w:p w:rsidR="00DC55C5" w:rsidRDefault="00DC55C5" w:rsidP="00A054C9">
      <w:pPr>
        <w:autoSpaceDE w:val="0"/>
        <w:spacing w:line="480" w:lineRule="auto"/>
        <w:ind w:left="720" w:hanging="720"/>
        <w:rPr>
          <w:sz w:val="24"/>
          <w:szCs w:val="24"/>
        </w:rPr>
      </w:pPr>
    </w:p>
    <w:p w:rsidR="00267806" w:rsidRDefault="00385DFA" w:rsidP="00267806">
      <w:pPr>
        <w:autoSpaceDE w:val="0"/>
        <w:spacing w:line="480" w:lineRule="auto"/>
        <w:ind w:left="720"/>
        <w:rPr>
          <w:b/>
          <w:i/>
          <w:sz w:val="24"/>
          <w:szCs w:val="24"/>
        </w:rPr>
      </w:pPr>
      <w:r>
        <w:rPr>
          <w:sz w:val="24"/>
          <w:szCs w:val="24"/>
        </w:rPr>
        <w:t xml:space="preserve">In addition, </w:t>
      </w:r>
      <w:r w:rsidR="00254231">
        <w:rPr>
          <w:sz w:val="24"/>
          <w:szCs w:val="24"/>
        </w:rPr>
        <w:t>I am aware of</w:t>
      </w:r>
      <w:r w:rsidR="00210FF1">
        <w:rPr>
          <w:sz w:val="24"/>
          <w:szCs w:val="24"/>
        </w:rPr>
        <w:t xml:space="preserve"> </w:t>
      </w:r>
      <w:r w:rsidR="00DC55C5">
        <w:rPr>
          <w:sz w:val="24"/>
          <w:szCs w:val="24"/>
        </w:rPr>
        <w:t>another</w:t>
      </w:r>
      <w:r>
        <w:rPr>
          <w:sz w:val="24"/>
          <w:szCs w:val="24"/>
        </w:rPr>
        <w:t xml:space="preserve"> customer </w:t>
      </w:r>
      <w:r w:rsidR="00C44B07">
        <w:rPr>
          <w:sz w:val="24"/>
          <w:szCs w:val="24"/>
        </w:rPr>
        <w:t>--</w:t>
      </w:r>
      <w:r w:rsidR="007423F1">
        <w:rPr>
          <w:sz w:val="24"/>
          <w:szCs w:val="24"/>
        </w:rPr>
        <w:t xml:space="preserve"> identified only as YMCA --</w:t>
      </w:r>
      <w:r>
        <w:rPr>
          <w:sz w:val="24"/>
          <w:szCs w:val="24"/>
        </w:rPr>
        <w:t>receiving a t</w:t>
      </w:r>
      <w:r w:rsidR="000063F3">
        <w:rPr>
          <w:sz w:val="24"/>
          <w:szCs w:val="24"/>
        </w:rPr>
        <w:t>ransportation rate</w:t>
      </w:r>
      <w:r>
        <w:rPr>
          <w:sz w:val="24"/>
          <w:szCs w:val="24"/>
        </w:rPr>
        <w:t xml:space="preserve"> of $0.50 per Mcf from OTP</w:t>
      </w:r>
      <w:r w:rsidR="001549D1">
        <w:rPr>
          <w:sz w:val="24"/>
          <w:szCs w:val="24"/>
        </w:rPr>
        <w:t>.</w:t>
      </w:r>
      <w:r w:rsidR="00267806">
        <w:rPr>
          <w:sz w:val="24"/>
          <w:szCs w:val="24"/>
        </w:rPr>
        <w:t xml:space="preserve"> </w:t>
      </w:r>
      <w:r w:rsidR="001549D1">
        <w:rPr>
          <w:sz w:val="24"/>
          <w:szCs w:val="24"/>
        </w:rPr>
        <w:t xml:space="preserve"> </w:t>
      </w:r>
      <w:r>
        <w:rPr>
          <w:sz w:val="24"/>
          <w:szCs w:val="24"/>
        </w:rPr>
        <w:t xml:space="preserve">I have not been able to </w:t>
      </w:r>
      <w:r w:rsidR="00236A1C">
        <w:rPr>
          <w:sz w:val="24"/>
          <w:szCs w:val="24"/>
        </w:rPr>
        <w:t xml:space="preserve">locate </w:t>
      </w:r>
      <w:r>
        <w:rPr>
          <w:sz w:val="24"/>
          <w:szCs w:val="24"/>
        </w:rPr>
        <w:t>the</w:t>
      </w:r>
      <w:r w:rsidR="00236A1C">
        <w:rPr>
          <w:sz w:val="24"/>
          <w:szCs w:val="24"/>
        </w:rPr>
        <w:t xml:space="preserve"> specific</w:t>
      </w:r>
      <w:r>
        <w:rPr>
          <w:sz w:val="24"/>
          <w:szCs w:val="24"/>
        </w:rPr>
        <w:t xml:space="preserve"> transportation agreement</w:t>
      </w:r>
      <w:r w:rsidR="00236A1C">
        <w:rPr>
          <w:sz w:val="24"/>
          <w:szCs w:val="24"/>
        </w:rPr>
        <w:t>,</w:t>
      </w:r>
      <w:r w:rsidR="00DC55C5">
        <w:rPr>
          <w:sz w:val="24"/>
          <w:szCs w:val="24"/>
        </w:rPr>
        <w:t xml:space="preserve"> but the rate </w:t>
      </w:r>
      <w:r w:rsidR="00236A1C">
        <w:rPr>
          <w:sz w:val="24"/>
          <w:szCs w:val="24"/>
        </w:rPr>
        <w:t>is identified and listed</w:t>
      </w:r>
      <w:r w:rsidR="007E3839">
        <w:rPr>
          <w:sz w:val="24"/>
          <w:szCs w:val="24"/>
        </w:rPr>
        <w:t xml:space="preserve"> </w:t>
      </w:r>
      <w:r w:rsidR="00236A1C">
        <w:rPr>
          <w:sz w:val="24"/>
          <w:szCs w:val="24"/>
        </w:rPr>
        <w:t>on</w:t>
      </w:r>
      <w:r w:rsidR="007423F1">
        <w:rPr>
          <w:sz w:val="24"/>
          <w:szCs w:val="24"/>
        </w:rPr>
        <w:t xml:space="preserve"> a separate bill </w:t>
      </w:r>
      <w:r w:rsidR="00DC55C5">
        <w:rPr>
          <w:sz w:val="24"/>
          <w:szCs w:val="24"/>
        </w:rPr>
        <w:t>on monthly invoices from OTP to Orwell</w:t>
      </w:r>
      <w:r w:rsidR="007423F1">
        <w:rPr>
          <w:sz w:val="24"/>
          <w:szCs w:val="24"/>
        </w:rPr>
        <w:t>.</w:t>
      </w:r>
      <w:r w:rsidR="007423F1">
        <w:rPr>
          <w:rStyle w:val="FootnoteReference"/>
          <w:sz w:val="24"/>
          <w:szCs w:val="24"/>
        </w:rPr>
        <w:footnoteReference w:id="49"/>
      </w:r>
      <w:r w:rsidR="008A4198">
        <w:rPr>
          <w:sz w:val="24"/>
          <w:szCs w:val="24"/>
        </w:rPr>
        <w:t xml:space="preserve"> </w:t>
      </w:r>
      <w:r w:rsidR="00267806">
        <w:rPr>
          <w:sz w:val="24"/>
          <w:szCs w:val="24"/>
        </w:rPr>
        <w:t xml:space="preserve"> </w:t>
      </w:r>
      <w:r w:rsidR="008A4198">
        <w:rPr>
          <w:sz w:val="24"/>
          <w:szCs w:val="24"/>
        </w:rPr>
        <w:t xml:space="preserve">It appears that </w:t>
      </w:r>
      <w:r w:rsidR="00AC4E12">
        <w:rPr>
          <w:sz w:val="24"/>
          <w:szCs w:val="24"/>
        </w:rPr>
        <w:t>Orwell bills the transportation rate to the YMCA on behalf of OTP</w:t>
      </w:r>
      <w:r w:rsidR="008A4198">
        <w:rPr>
          <w:sz w:val="24"/>
          <w:szCs w:val="24"/>
        </w:rPr>
        <w:t>.</w:t>
      </w:r>
      <w:r w:rsidR="005C1CF6">
        <w:rPr>
          <w:sz w:val="24"/>
          <w:szCs w:val="24"/>
        </w:rPr>
        <w:t xml:space="preserve"> </w:t>
      </w:r>
      <w:r w:rsidR="00267806">
        <w:rPr>
          <w:sz w:val="24"/>
          <w:szCs w:val="24"/>
        </w:rPr>
        <w:t xml:space="preserve"> </w:t>
      </w:r>
      <w:r w:rsidR="00236A1C">
        <w:rPr>
          <w:sz w:val="24"/>
          <w:szCs w:val="24"/>
        </w:rPr>
        <w:t xml:space="preserve">Because </w:t>
      </w:r>
      <w:r w:rsidR="005C1CF6">
        <w:rPr>
          <w:sz w:val="24"/>
          <w:szCs w:val="24"/>
        </w:rPr>
        <w:t xml:space="preserve">the contract </w:t>
      </w:r>
      <w:r w:rsidR="005A2329">
        <w:rPr>
          <w:sz w:val="24"/>
          <w:szCs w:val="24"/>
        </w:rPr>
        <w:t>between OTP and the YMCA</w:t>
      </w:r>
      <w:r w:rsidR="00236A1C">
        <w:rPr>
          <w:sz w:val="24"/>
          <w:szCs w:val="24"/>
        </w:rPr>
        <w:t xml:space="preserve"> is unavailable</w:t>
      </w:r>
      <w:r w:rsidR="005A2329">
        <w:rPr>
          <w:sz w:val="24"/>
          <w:szCs w:val="24"/>
        </w:rPr>
        <w:t>,</w:t>
      </w:r>
      <w:r w:rsidR="00236A1C">
        <w:rPr>
          <w:sz w:val="24"/>
          <w:szCs w:val="24"/>
        </w:rPr>
        <w:t xml:space="preserve"> it</w:t>
      </w:r>
      <w:r w:rsidR="005A2329">
        <w:rPr>
          <w:sz w:val="24"/>
          <w:szCs w:val="24"/>
        </w:rPr>
        <w:t xml:space="preserve"> canno</w:t>
      </w:r>
      <w:r w:rsidR="005C1CF6">
        <w:rPr>
          <w:sz w:val="24"/>
          <w:szCs w:val="24"/>
        </w:rPr>
        <w:t>t</w:t>
      </w:r>
      <w:r w:rsidR="00236A1C">
        <w:rPr>
          <w:sz w:val="24"/>
          <w:szCs w:val="24"/>
        </w:rPr>
        <w:t xml:space="preserve"> be</w:t>
      </w:r>
      <w:r w:rsidR="005C1CF6">
        <w:rPr>
          <w:sz w:val="24"/>
          <w:szCs w:val="24"/>
        </w:rPr>
        <w:t xml:space="preserve"> determine</w:t>
      </w:r>
      <w:r w:rsidR="00F403A5">
        <w:rPr>
          <w:sz w:val="24"/>
          <w:szCs w:val="24"/>
        </w:rPr>
        <w:t>d</w:t>
      </w:r>
      <w:r w:rsidR="005C1CF6">
        <w:rPr>
          <w:sz w:val="24"/>
          <w:szCs w:val="24"/>
        </w:rPr>
        <w:t xml:space="preserve"> if the agreement is for firm or interruptible service. </w:t>
      </w:r>
      <w:r w:rsidR="00267806">
        <w:rPr>
          <w:sz w:val="24"/>
          <w:szCs w:val="24"/>
        </w:rPr>
        <w:t xml:space="preserve"> </w:t>
      </w:r>
      <w:r w:rsidR="005C1CF6">
        <w:rPr>
          <w:sz w:val="24"/>
          <w:szCs w:val="24"/>
        </w:rPr>
        <w:t xml:space="preserve">While the $0.50 per Mcf rate is significantly lower than </w:t>
      </w:r>
      <w:r w:rsidR="00236A1C">
        <w:rPr>
          <w:sz w:val="24"/>
          <w:szCs w:val="24"/>
        </w:rPr>
        <w:t xml:space="preserve">that which </w:t>
      </w:r>
      <w:r w:rsidR="005C1CF6">
        <w:rPr>
          <w:sz w:val="24"/>
          <w:szCs w:val="24"/>
        </w:rPr>
        <w:t>Orwell pays</w:t>
      </w:r>
      <w:r w:rsidR="00236A1C">
        <w:rPr>
          <w:sz w:val="24"/>
          <w:szCs w:val="24"/>
        </w:rPr>
        <w:t xml:space="preserve"> to</w:t>
      </w:r>
      <w:r w:rsidR="005C1CF6">
        <w:rPr>
          <w:sz w:val="24"/>
          <w:szCs w:val="24"/>
        </w:rPr>
        <w:t xml:space="preserve"> OTP, it is </w:t>
      </w:r>
      <w:r w:rsidR="00234B20">
        <w:rPr>
          <w:sz w:val="24"/>
          <w:szCs w:val="24"/>
        </w:rPr>
        <w:t>practically</w:t>
      </w:r>
      <w:r w:rsidR="005C1CF6">
        <w:rPr>
          <w:sz w:val="24"/>
          <w:szCs w:val="24"/>
        </w:rPr>
        <w:t xml:space="preserve"> the same rate as other pipelines </w:t>
      </w:r>
      <w:r w:rsidR="00C44B07">
        <w:rPr>
          <w:sz w:val="24"/>
          <w:szCs w:val="24"/>
        </w:rPr>
        <w:t>--</w:t>
      </w:r>
      <w:r w:rsidR="005C1CF6">
        <w:rPr>
          <w:sz w:val="24"/>
          <w:szCs w:val="24"/>
        </w:rPr>
        <w:t xml:space="preserve"> Spelman and Cobra </w:t>
      </w:r>
      <w:r w:rsidR="00C10E74">
        <w:rPr>
          <w:sz w:val="24"/>
          <w:szCs w:val="24"/>
        </w:rPr>
        <w:t>--</w:t>
      </w:r>
      <w:r w:rsidR="005C1CF6">
        <w:rPr>
          <w:sz w:val="24"/>
          <w:szCs w:val="24"/>
        </w:rPr>
        <w:t xml:space="preserve"> charge Orwell for transportation service</w:t>
      </w:r>
      <w:r w:rsidR="00B341F8">
        <w:rPr>
          <w:sz w:val="24"/>
          <w:szCs w:val="24"/>
        </w:rPr>
        <w:t xml:space="preserve">. </w:t>
      </w:r>
      <w:r w:rsidR="00267806">
        <w:rPr>
          <w:sz w:val="24"/>
          <w:szCs w:val="24"/>
        </w:rPr>
        <w:t xml:space="preserve"> </w:t>
      </w:r>
      <w:r w:rsidR="007E3839">
        <w:rPr>
          <w:sz w:val="24"/>
          <w:szCs w:val="24"/>
        </w:rPr>
        <w:t xml:space="preserve">The $0.50 per Mcf rate </w:t>
      </w:r>
      <w:r w:rsidR="009F33A9">
        <w:rPr>
          <w:sz w:val="24"/>
          <w:szCs w:val="24"/>
        </w:rPr>
        <w:t>appear</w:t>
      </w:r>
      <w:r w:rsidR="00236A1C">
        <w:rPr>
          <w:sz w:val="24"/>
          <w:szCs w:val="24"/>
        </w:rPr>
        <w:t>s</w:t>
      </w:r>
      <w:r w:rsidR="009F33A9">
        <w:rPr>
          <w:sz w:val="24"/>
          <w:szCs w:val="24"/>
        </w:rPr>
        <w:t xml:space="preserve"> to be a more appropriate rate for Orwell to pay OTP</w:t>
      </w:r>
      <w:r w:rsidR="00236A1C">
        <w:rPr>
          <w:sz w:val="24"/>
          <w:szCs w:val="24"/>
        </w:rPr>
        <w:t>.  That is,</w:t>
      </w:r>
      <w:r w:rsidR="009F33A9">
        <w:rPr>
          <w:sz w:val="24"/>
          <w:szCs w:val="24"/>
        </w:rPr>
        <w:t xml:space="preserve"> had the </w:t>
      </w:r>
      <w:r w:rsidR="00577088">
        <w:rPr>
          <w:sz w:val="24"/>
          <w:szCs w:val="24"/>
        </w:rPr>
        <w:t>rate been</w:t>
      </w:r>
      <w:r w:rsidR="00236A1C">
        <w:rPr>
          <w:sz w:val="24"/>
          <w:szCs w:val="24"/>
        </w:rPr>
        <w:t xml:space="preserve"> </w:t>
      </w:r>
      <w:r w:rsidR="00577088">
        <w:rPr>
          <w:sz w:val="24"/>
          <w:szCs w:val="24"/>
        </w:rPr>
        <w:t xml:space="preserve">determined through </w:t>
      </w:r>
      <w:r w:rsidR="009F33A9">
        <w:rPr>
          <w:sz w:val="24"/>
          <w:szCs w:val="24"/>
        </w:rPr>
        <w:t xml:space="preserve">an arm’s length </w:t>
      </w:r>
      <w:r w:rsidR="00577088">
        <w:rPr>
          <w:sz w:val="24"/>
          <w:szCs w:val="24"/>
        </w:rPr>
        <w:t>negotiation.</w:t>
      </w:r>
      <w:r w:rsidR="00267806">
        <w:rPr>
          <w:b/>
          <w:i/>
          <w:sz w:val="24"/>
          <w:szCs w:val="24"/>
        </w:rPr>
        <w:br w:type="page"/>
      </w:r>
    </w:p>
    <w:p w:rsidR="00D22344" w:rsidRPr="00CD7001" w:rsidRDefault="00D22344" w:rsidP="00A054C9">
      <w:pPr>
        <w:autoSpaceDE w:val="0"/>
        <w:spacing w:line="480" w:lineRule="auto"/>
        <w:ind w:left="720" w:hanging="720"/>
        <w:rPr>
          <w:b/>
          <w:i/>
          <w:sz w:val="24"/>
          <w:szCs w:val="24"/>
        </w:rPr>
      </w:pPr>
      <w:r w:rsidRPr="00CD7001">
        <w:rPr>
          <w:b/>
          <w:i/>
          <w:sz w:val="24"/>
          <w:szCs w:val="24"/>
        </w:rPr>
        <w:t>Q</w:t>
      </w:r>
      <w:r w:rsidR="005D28F7">
        <w:rPr>
          <w:b/>
          <w:i/>
          <w:sz w:val="24"/>
          <w:szCs w:val="24"/>
        </w:rPr>
        <w:t>3</w:t>
      </w:r>
      <w:r w:rsidR="008B13C1">
        <w:rPr>
          <w:b/>
          <w:i/>
          <w:sz w:val="24"/>
          <w:szCs w:val="24"/>
        </w:rPr>
        <w:t>1</w:t>
      </w:r>
      <w:r w:rsidRPr="00CD7001">
        <w:rPr>
          <w:b/>
          <w:i/>
          <w:sz w:val="24"/>
          <w:szCs w:val="24"/>
        </w:rPr>
        <w:t>.</w:t>
      </w:r>
      <w:r w:rsidRPr="00CD7001">
        <w:rPr>
          <w:b/>
          <w:i/>
          <w:sz w:val="24"/>
          <w:szCs w:val="24"/>
        </w:rPr>
        <w:tab/>
      </w:r>
      <w:r w:rsidR="00CD7001" w:rsidRPr="00CD7001">
        <w:rPr>
          <w:b/>
          <w:i/>
          <w:sz w:val="24"/>
          <w:szCs w:val="24"/>
        </w:rPr>
        <w:t>HAVE YOU CALCULATED HOW MUCH ORWELL HAS OV</w:t>
      </w:r>
      <w:r w:rsidR="002B6F77">
        <w:rPr>
          <w:b/>
          <w:i/>
          <w:sz w:val="24"/>
          <w:szCs w:val="24"/>
        </w:rPr>
        <w:t>E</w:t>
      </w:r>
      <w:r w:rsidR="00CD7001" w:rsidRPr="00CD7001">
        <w:rPr>
          <w:b/>
          <w:i/>
          <w:sz w:val="24"/>
          <w:szCs w:val="24"/>
        </w:rPr>
        <w:t>R</w:t>
      </w:r>
      <w:r w:rsidR="00BA6A7B">
        <w:rPr>
          <w:b/>
          <w:i/>
          <w:sz w:val="24"/>
          <w:szCs w:val="24"/>
        </w:rPr>
        <w:t xml:space="preserve">CHARGED CUSTOMERS </w:t>
      </w:r>
      <w:r w:rsidR="00CD7001" w:rsidRPr="00CD7001">
        <w:rPr>
          <w:b/>
          <w:i/>
          <w:sz w:val="24"/>
          <w:szCs w:val="24"/>
        </w:rPr>
        <w:t>FOR GAS DELIVERED THROUGH ORWELL-TRUMBULL PIPELINE DUE TO THE LOSS OF THE D</w:t>
      </w:r>
      <w:r w:rsidR="00135200">
        <w:rPr>
          <w:b/>
          <w:i/>
          <w:sz w:val="24"/>
          <w:szCs w:val="24"/>
        </w:rPr>
        <w:t>OMINION</w:t>
      </w:r>
      <w:r w:rsidR="00CD7001" w:rsidRPr="00CD7001">
        <w:rPr>
          <w:b/>
          <w:i/>
          <w:sz w:val="24"/>
          <w:szCs w:val="24"/>
        </w:rPr>
        <w:t xml:space="preserve"> SPECIAL CONTRACT?</w:t>
      </w:r>
    </w:p>
    <w:p w:rsidR="00CD7001" w:rsidRDefault="00CD7001" w:rsidP="00A054C9">
      <w:pPr>
        <w:autoSpaceDE w:val="0"/>
        <w:spacing w:line="480" w:lineRule="auto"/>
        <w:ind w:left="720" w:hanging="720"/>
        <w:rPr>
          <w:sz w:val="24"/>
          <w:szCs w:val="24"/>
        </w:rPr>
      </w:pPr>
      <w:r w:rsidRPr="00CD7001">
        <w:rPr>
          <w:b/>
          <w:i/>
          <w:sz w:val="24"/>
          <w:szCs w:val="24"/>
        </w:rPr>
        <w:t>A</w:t>
      </w:r>
      <w:r w:rsidR="005D28F7">
        <w:rPr>
          <w:b/>
          <w:i/>
          <w:sz w:val="24"/>
          <w:szCs w:val="24"/>
        </w:rPr>
        <w:t>3</w:t>
      </w:r>
      <w:r w:rsidR="008B13C1">
        <w:rPr>
          <w:b/>
          <w:i/>
          <w:sz w:val="24"/>
          <w:szCs w:val="24"/>
        </w:rPr>
        <w:t>1</w:t>
      </w:r>
      <w:r w:rsidRPr="00CD7001">
        <w:rPr>
          <w:b/>
          <w:i/>
          <w:sz w:val="24"/>
          <w:szCs w:val="24"/>
        </w:rPr>
        <w:t>.</w:t>
      </w:r>
      <w:r>
        <w:rPr>
          <w:sz w:val="24"/>
          <w:szCs w:val="24"/>
        </w:rPr>
        <w:tab/>
        <w:t>Yes.</w:t>
      </w:r>
      <w:r w:rsidR="00A109B9">
        <w:rPr>
          <w:sz w:val="24"/>
          <w:szCs w:val="24"/>
        </w:rPr>
        <w:t xml:space="preserve"> In response to OCC discovery, Orwell provided the gas supply </w:t>
      </w:r>
      <w:r w:rsidR="00C44B07">
        <w:rPr>
          <w:sz w:val="24"/>
          <w:szCs w:val="24"/>
        </w:rPr>
        <w:t xml:space="preserve">volumes </w:t>
      </w:r>
      <w:r w:rsidR="00A109B9">
        <w:rPr>
          <w:sz w:val="24"/>
          <w:szCs w:val="24"/>
        </w:rPr>
        <w:t xml:space="preserve">delivered through the OTP system for the audit period, attached as </w:t>
      </w:r>
      <w:r w:rsidR="00CD466A">
        <w:rPr>
          <w:sz w:val="24"/>
          <w:szCs w:val="24"/>
        </w:rPr>
        <w:t xml:space="preserve">OCC </w:t>
      </w:r>
      <w:r w:rsidR="00A109B9">
        <w:rPr>
          <w:sz w:val="24"/>
          <w:szCs w:val="24"/>
        </w:rPr>
        <w:t>Attachment GS-1</w:t>
      </w:r>
      <w:r w:rsidR="002763D2">
        <w:rPr>
          <w:sz w:val="24"/>
          <w:szCs w:val="24"/>
        </w:rPr>
        <w:t>2</w:t>
      </w:r>
      <w:r w:rsidR="00C44B07">
        <w:rPr>
          <w:sz w:val="24"/>
          <w:szCs w:val="24"/>
        </w:rPr>
        <w:t>.</w:t>
      </w:r>
      <w:r w:rsidR="00A109B9">
        <w:rPr>
          <w:sz w:val="24"/>
          <w:szCs w:val="24"/>
        </w:rPr>
        <w:t xml:space="preserve"> </w:t>
      </w:r>
      <w:r w:rsidR="004D0B55">
        <w:rPr>
          <w:sz w:val="24"/>
          <w:szCs w:val="24"/>
        </w:rPr>
        <w:t xml:space="preserve"> </w:t>
      </w:r>
      <w:r w:rsidR="003A51C3">
        <w:rPr>
          <w:sz w:val="24"/>
          <w:szCs w:val="24"/>
        </w:rPr>
        <w:t>The data provided as “Orwell OTP Supply” show the gas volumes purchased and delivered to Orwell</w:t>
      </w:r>
      <w:r w:rsidR="000F2D4E">
        <w:rPr>
          <w:sz w:val="24"/>
          <w:szCs w:val="24"/>
        </w:rPr>
        <w:t xml:space="preserve"> each month</w:t>
      </w:r>
      <w:r w:rsidR="003A51C3">
        <w:rPr>
          <w:sz w:val="24"/>
          <w:szCs w:val="24"/>
        </w:rPr>
        <w:t xml:space="preserve"> and the cost per Mcf Orwell paid for the gas.</w:t>
      </w:r>
    </w:p>
    <w:p w:rsidR="003A51C3" w:rsidRDefault="003A51C3" w:rsidP="00A054C9">
      <w:pPr>
        <w:autoSpaceDE w:val="0"/>
        <w:spacing w:line="480" w:lineRule="auto"/>
        <w:ind w:left="720" w:hanging="720"/>
        <w:rPr>
          <w:sz w:val="24"/>
          <w:szCs w:val="24"/>
        </w:rPr>
      </w:pPr>
    </w:p>
    <w:p w:rsidR="003A51C3" w:rsidRDefault="003A51C3" w:rsidP="000B20B1">
      <w:pPr>
        <w:autoSpaceDE w:val="0"/>
        <w:spacing w:line="480" w:lineRule="auto"/>
        <w:ind w:left="720"/>
        <w:rPr>
          <w:sz w:val="24"/>
          <w:szCs w:val="24"/>
        </w:rPr>
      </w:pPr>
      <w:r>
        <w:rPr>
          <w:sz w:val="24"/>
          <w:szCs w:val="24"/>
        </w:rPr>
        <w:t xml:space="preserve">As </w:t>
      </w:r>
      <w:r w:rsidR="00CD466A">
        <w:rPr>
          <w:sz w:val="24"/>
          <w:szCs w:val="24"/>
        </w:rPr>
        <w:t xml:space="preserve">OCC </w:t>
      </w:r>
      <w:r>
        <w:rPr>
          <w:sz w:val="24"/>
          <w:szCs w:val="24"/>
        </w:rPr>
        <w:t>Attachment GS-1</w:t>
      </w:r>
      <w:r w:rsidR="002763D2">
        <w:rPr>
          <w:sz w:val="24"/>
          <w:szCs w:val="24"/>
        </w:rPr>
        <w:t>2</w:t>
      </w:r>
      <w:r>
        <w:rPr>
          <w:sz w:val="24"/>
          <w:szCs w:val="24"/>
        </w:rPr>
        <w:t xml:space="preserve"> shows, during the audit period, Orwell paid a total of $7,642,032 (column “h”) for 1,082,245 Mcf of gas delivered (column “d”) for an average cost of $7.061 per Mcf (column “</w:t>
      </w:r>
      <w:r w:rsidR="00C057A3">
        <w:rPr>
          <w:sz w:val="24"/>
          <w:szCs w:val="24"/>
        </w:rPr>
        <w:t>i</w:t>
      </w:r>
      <w:r>
        <w:rPr>
          <w:sz w:val="24"/>
          <w:szCs w:val="24"/>
        </w:rPr>
        <w:t>”).</w:t>
      </w:r>
    </w:p>
    <w:p w:rsidR="0039277D" w:rsidRDefault="0039277D" w:rsidP="00A054C9">
      <w:pPr>
        <w:autoSpaceDE w:val="0"/>
        <w:spacing w:line="480" w:lineRule="auto"/>
        <w:ind w:left="720" w:hanging="720"/>
        <w:rPr>
          <w:sz w:val="24"/>
          <w:szCs w:val="24"/>
        </w:rPr>
      </w:pPr>
    </w:p>
    <w:p w:rsidR="00D45E94" w:rsidRDefault="0039277D" w:rsidP="000B20B1">
      <w:pPr>
        <w:autoSpaceDE w:val="0"/>
        <w:spacing w:line="480" w:lineRule="auto"/>
        <w:ind w:left="720"/>
        <w:rPr>
          <w:sz w:val="24"/>
          <w:szCs w:val="24"/>
        </w:rPr>
      </w:pPr>
      <w:r>
        <w:rPr>
          <w:sz w:val="24"/>
          <w:szCs w:val="24"/>
        </w:rPr>
        <w:t xml:space="preserve">Also in response to OCC discovery, Orwell provided the gas supply </w:t>
      </w:r>
      <w:r w:rsidR="00C44B07">
        <w:rPr>
          <w:sz w:val="24"/>
          <w:szCs w:val="24"/>
        </w:rPr>
        <w:t xml:space="preserve">volumes </w:t>
      </w:r>
      <w:r w:rsidR="00C057A3">
        <w:rPr>
          <w:sz w:val="24"/>
          <w:szCs w:val="24"/>
        </w:rPr>
        <w:t xml:space="preserve">still </w:t>
      </w:r>
      <w:r>
        <w:rPr>
          <w:sz w:val="24"/>
          <w:szCs w:val="24"/>
        </w:rPr>
        <w:t>delivered</w:t>
      </w:r>
      <w:r w:rsidR="00C057A3">
        <w:rPr>
          <w:sz w:val="24"/>
          <w:szCs w:val="24"/>
        </w:rPr>
        <w:t xml:space="preserve"> through the D</w:t>
      </w:r>
      <w:r w:rsidR="00135200">
        <w:rPr>
          <w:sz w:val="24"/>
          <w:szCs w:val="24"/>
        </w:rPr>
        <w:t>ominion</w:t>
      </w:r>
      <w:r w:rsidR="00C057A3">
        <w:rPr>
          <w:sz w:val="24"/>
          <w:szCs w:val="24"/>
        </w:rPr>
        <w:t xml:space="preserve"> system for those </w:t>
      </w:r>
      <w:r w:rsidR="00D44D7E">
        <w:rPr>
          <w:sz w:val="24"/>
          <w:szCs w:val="24"/>
        </w:rPr>
        <w:t>limited</w:t>
      </w:r>
      <w:r w:rsidR="00C057A3">
        <w:rPr>
          <w:sz w:val="24"/>
          <w:szCs w:val="24"/>
        </w:rPr>
        <w:t xml:space="preserve"> Orwell pipeline systems that OTP c</w:t>
      </w:r>
      <w:r w:rsidR="007706D4">
        <w:rPr>
          <w:sz w:val="24"/>
          <w:szCs w:val="24"/>
        </w:rPr>
        <w:t>ould n</w:t>
      </w:r>
      <w:r w:rsidR="00C057A3">
        <w:rPr>
          <w:sz w:val="24"/>
          <w:szCs w:val="24"/>
        </w:rPr>
        <w:t>ot serve.</w:t>
      </w:r>
      <w:r w:rsidR="00C44B07">
        <w:rPr>
          <w:sz w:val="24"/>
          <w:szCs w:val="24"/>
        </w:rPr>
        <w:t xml:space="preserve"> </w:t>
      </w:r>
      <w:r w:rsidR="000B20B1">
        <w:rPr>
          <w:sz w:val="24"/>
          <w:szCs w:val="24"/>
        </w:rPr>
        <w:t xml:space="preserve"> </w:t>
      </w:r>
      <w:r w:rsidR="00D44D7E">
        <w:rPr>
          <w:sz w:val="24"/>
          <w:szCs w:val="24"/>
        </w:rPr>
        <w:t xml:space="preserve">This data is also shown on </w:t>
      </w:r>
      <w:r w:rsidR="00CD466A">
        <w:rPr>
          <w:sz w:val="24"/>
          <w:szCs w:val="24"/>
        </w:rPr>
        <w:t xml:space="preserve">OCC </w:t>
      </w:r>
      <w:r w:rsidR="00D44D7E">
        <w:rPr>
          <w:sz w:val="24"/>
          <w:szCs w:val="24"/>
        </w:rPr>
        <w:t>Attachment GS-</w:t>
      </w:r>
      <w:r w:rsidR="00967236">
        <w:rPr>
          <w:sz w:val="24"/>
          <w:szCs w:val="24"/>
        </w:rPr>
        <w:t xml:space="preserve">12 </w:t>
      </w:r>
      <w:r w:rsidR="00C44B07">
        <w:rPr>
          <w:sz w:val="24"/>
          <w:szCs w:val="24"/>
        </w:rPr>
        <w:t xml:space="preserve">as the “Orwell DEO Supply.” </w:t>
      </w:r>
      <w:r w:rsidR="000B20B1">
        <w:rPr>
          <w:sz w:val="24"/>
          <w:szCs w:val="24"/>
        </w:rPr>
        <w:t xml:space="preserve"> </w:t>
      </w:r>
      <w:r w:rsidR="00D44D7E">
        <w:rPr>
          <w:sz w:val="24"/>
          <w:szCs w:val="24"/>
        </w:rPr>
        <w:t>This table shows the average commodity price of gas that Orwell paid for gas received through the D</w:t>
      </w:r>
      <w:r w:rsidR="00135200">
        <w:rPr>
          <w:sz w:val="24"/>
          <w:szCs w:val="24"/>
        </w:rPr>
        <w:t>ominion</w:t>
      </w:r>
      <w:r w:rsidR="00D44D7E">
        <w:rPr>
          <w:sz w:val="24"/>
          <w:szCs w:val="24"/>
        </w:rPr>
        <w:t xml:space="preserve"> pipeline system for e</w:t>
      </w:r>
      <w:r w:rsidR="00C44B07">
        <w:rPr>
          <w:sz w:val="24"/>
          <w:szCs w:val="24"/>
        </w:rPr>
        <w:t xml:space="preserve">ach month of the audit period. </w:t>
      </w:r>
      <w:r w:rsidR="000B20B1">
        <w:rPr>
          <w:sz w:val="24"/>
          <w:szCs w:val="24"/>
        </w:rPr>
        <w:t xml:space="preserve"> </w:t>
      </w:r>
      <w:r w:rsidR="00D44D7E">
        <w:rPr>
          <w:sz w:val="24"/>
          <w:szCs w:val="24"/>
        </w:rPr>
        <w:t xml:space="preserve">However, instead of using the transportation rate Orwell actually paid each month, I </w:t>
      </w:r>
      <w:r w:rsidR="007706D4">
        <w:rPr>
          <w:sz w:val="24"/>
          <w:szCs w:val="24"/>
        </w:rPr>
        <w:t xml:space="preserve">replaced </w:t>
      </w:r>
      <w:r w:rsidR="00D44D7E">
        <w:rPr>
          <w:sz w:val="24"/>
          <w:szCs w:val="24"/>
        </w:rPr>
        <w:t xml:space="preserve">the transportation rate paid with the </w:t>
      </w:r>
      <w:r w:rsidR="00236A1C">
        <w:rPr>
          <w:sz w:val="24"/>
          <w:szCs w:val="24"/>
        </w:rPr>
        <w:t>price</w:t>
      </w:r>
      <w:r w:rsidR="00D44D7E">
        <w:rPr>
          <w:sz w:val="24"/>
          <w:szCs w:val="24"/>
        </w:rPr>
        <w:t xml:space="preserve"> Orwell would have paid D</w:t>
      </w:r>
      <w:r w:rsidR="00135200">
        <w:rPr>
          <w:sz w:val="24"/>
          <w:szCs w:val="24"/>
        </w:rPr>
        <w:t>ominion</w:t>
      </w:r>
      <w:r w:rsidR="00D44D7E">
        <w:rPr>
          <w:sz w:val="24"/>
          <w:szCs w:val="24"/>
        </w:rPr>
        <w:t xml:space="preserve"> had Orwell remained on </w:t>
      </w:r>
      <w:r w:rsidR="00236A1C">
        <w:rPr>
          <w:sz w:val="24"/>
          <w:szCs w:val="24"/>
        </w:rPr>
        <w:t>its</w:t>
      </w:r>
      <w:r w:rsidR="00D44D7E">
        <w:rPr>
          <w:sz w:val="24"/>
          <w:szCs w:val="24"/>
        </w:rPr>
        <w:t xml:space="preserve"> Special Contract Rate</w:t>
      </w:r>
      <w:r w:rsidR="00C44B07">
        <w:rPr>
          <w:sz w:val="24"/>
          <w:szCs w:val="24"/>
        </w:rPr>
        <w:t xml:space="preserve"> with Dominion</w:t>
      </w:r>
      <w:r w:rsidR="00D44D7E">
        <w:rPr>
          <w:sz w:val="24"/>
          <w:szCs w:val="24"/>
        </w:rPr>
        <w:t>.</w:t>
      </w:r>
    </w:p>
    <w:p w:rsidR="00B23E9F" w:rsidRDefault="008A5329" w:rsidP="00A054C9">
      <w:pPr>
        <w:autoSpaceDE w:val="0"/>
        <w:spacing w:line="480" w:lineRule="auto"/>
        <w:ind w:left="720"/>
        <w:rPr>
          <w:sz w:val="24"/>
          <w:szCs w:val="24"/>
        </w:rPr>
      </w:pPr>
      <w:r>
        <w:rPr>
          <w:sz w:val="24"/>
          <w:szCs w:val="24"/>
        </w:rPr>
        <w:t xml:space="preserve">With this adjustment, I was able to </w:t>
      </w:r>
      <w:r w:rsidR="00236A1C">
        <w:rPr>
          <w:sz w:val="24"/>
          <w:szCs w:val="24"/>
        </w:rPr>
        <w:t xml:space="preserve">determine the price </w:t>
      </w:r>
      <w:r>
        <w:rPr>
          <w:sz w:val="24"/>
          <w:szCs w:val="24"/>
        </w:rPr>
        <w:t xml:space="preserve">Orwell would have paid for gas purchases </w:t>
      </w:r>
      <w:r w:rsidR="00236A1C">
        <w:rPr>
          <w:sz w:val="24"/>
          <w:szCs w:val="24"/>
        </w:rPr>
        <w:t xml:space="preserve">from </w:t>
      </w:r>
      <w:r>
        <w:rPr>
          <w:sz w:val="24"/>
          <w:szCs w:val="24"/>
        </w:rPr>
        <w:t>the D</w:t>
      </w:r>
      <w:r w:rsidR="00135200">
        <w:rPr>
          <w:sz w:val="24"/>
          <w:szCs w:val="24"/>
        </w:rPr>
        <w:t>ominion</w:t>
      </w:r>
      <w:r>
        <w:rPr>
          <w:sz w:val="24"/>
          <w:szCs w:val="24"/>
        </w:rPr>
        <w:t xml:space="preserve"> system for each month</w:t>
      </w:r>
      <w:r w:rsidR="008960AD">
        <w:rPr>
          <w:sz w:val="24"/>
          <w:szCs w:val="24"/>
        </w:rPr>
        <w:t xml:space="preserve"> during the </w:t>
      </w:r>
      <w:r w:rsidR="00F403A5">
        <w:rPr>
          <w:sz w:val="24"/>
          <w:szCs w:val="24"/>
        </w:rPr>
        <w:t>a</w:t>
      </w:r>
      <w:r w:rsidR="008960AD">
        <w:rPr>
          <w:sz w:val="24"/>
          <w:szCs w:val="24"/>
        </w:rPr>
        <w:t>udit period</w:t>
      </w:r>
      <w:r w:rsidR="00C44B07">
        <w:rPr>
          <w:sz w:val="24"/>
          <w:szCs w:val="24"/>
        </w:rPr>
        <w:t xml:space="preserve">. </w:t>
      </w:r>
      <w:r w:rsidR="000B20B1">
        <w:rPr>
          <w:sz w:val="24"/>
          <w:szCs w:val="24"/>
        </w:rPr>
        <w:t xml:space="preserve"> </w:t>
      </w:r>
      <w:r w:rsidR="00C429A9">
        <w:rPr>
          <w:sz w:val="24"/>
          <w:szCs w:val="24"/>
        </w:rPr>
        <w:t>The average price Orwell would have paid for gas through the D</w:t>
      </w:r>
      <w:r w:rsidR="00826188">
        <w:rPr>
          <w:sz w:val="24"/>
          <w:szCs w:val="24"/>
        </w:rPr>
        <w:t>ominion</w:t>
      </w:r>
      <w:r w:rsidR="00C429A9">
        <w:rPr>
          <w:sz w:val="24"/>
          <w:szCs w:val="24"/>
        </w:rPr>
        <w:t xml:space="preserve"> system during the audit period was $5.</w:t>
      </w:r>
      <w:r w:rsidR="00C805E4">
        <w:rPr>
          <w:sz w:val="24"/>
          <w:szCs w:val="24"/>
        </w:rPr>
        <w:t>722</w:t>
      </w:r>
      <w:r w:rsidR="00C429A9">
        <w:rPr>
          <w:sz w:val="24"/>
          <w:szCs w:val="24"/>
        </w:rPr>
        <w:t xml:space="preserve"> per Mcf (column “r”).</w:t>
      </w:r>
    </w:p>
    <w:p w:rsidR="005A2329" w:rsidRDefault="005A2329" w:rsidP="00A054C9">
      <w:pPr>
        <w:autoSpaceDE w:val="0"/>
        <w:spacing w:line="480" w:lineRule="auto"/>
        <w:ind w:left="720" w:hanging="720"/>
        <w:rPr>
          <w:sz w:val="24"/>
          <w:szCs w:val="24"/>
        </w:rPr>
      </w:pPr>
    </w:p>
    <w:p w:rsidR="00DF3434" w:rsidRDefault="00DF3434" w:rsidP="00A054C9">
      <w:pPr>
        <w:autoSpaceDE w:val="0"/>
        <w:spacing w:line="480" w:lineRule="auto"/>
        <w:ind w:left="720"/>
        <w:rPr>
          <w:sz w:val="24"/>
          <w:szCs w:val="24"/>
        </w:rPr>
      </w:pPr>
      <w:r>
        <w:rPr>
          <w:sz w:val="24"/>
          <w:szCs w:val="24"/>
        </w:rPr>
        <w:t>Based on these calculations</w:t>
      </w:r>
      <w:r w:rsidR="00C805E4">
        <w:rPr>
          <w:sz w:val="24"/>
          <w:szCs w:val="24"/>
        </w:rPr>
        <w:t xml:space="preserve"> shown on </w:t>
      </w:r>
      <w:r w:rsidR="00CD466A">
        <w:rPr>
          <w:sz w:val="24"/>
          <w:szCs w:val="24"/>
        </w:rPr>
        <w:t xml:space="preserve">OCC </w:t>
      </w:r>
      <w:r w:rsidR="00C805E4">
        <w:rPr>
          <w:sz w:val="24"/>
          <w:szCs w:val="24"/>
        </w:rPr>
        <w:t>Attachment GS-1</w:t>
      </w:r>
      <w:r w:rsidR="00967236">
        <w:rPr>
          <w:sz w:val="24"/>
          <w:szCs w:val="24"/>
        </w:rPr>
        <w:t>2</w:t>
      </w:r>
      <w:r>
        <w:rPr>
          <w:sz w:val="24"/>
          <w:szCs w:val="24"/>
        </w:rPr>
        <w:t>, by signing the 15-year exclusive contract with OTP</w:t>
      </w:r>
      <w:r w:rsidR="00C805E4">
        <w:rPr>
          <w:sz w:val="24"/>
          <w:szCs w:val="24"/>
        </w:rPr>
        <w:t xml:space="preserve"> and</w:t>
      </w:r>
      <w:r>
        <w:rPr>
          <w:sz w:val="24"/>
          <w:szCs w:val="24"/>
        </w:rPr>
        <w:t xml:space="preserve"> losing the D</w:t>
      </w:r>
      <w:r w:rsidR="00826188">
        <w:rPr>
          <w:sz w:val="24"/>
          <w:szCs w:val="24"/>
        </w:rPr>
        <w:t>ominion</w:t>
      </w:r>
      <w:r w:rsidR="00C44B07">
        <w:rPr>
          <w:sz w:val="24"/>
          <w:szCs w:val="24"/>
        </w:rPr>
        <w:t xml:space="preserve"> Special Contract</w:t>
      </w:r>
      <w:r>
        <w:rPr>
          <w:sz w:val="24"/>
          <w:szCs w:val="24"/>
        </w:rPr>
        <w:t xml:space="preserve">, </w:t>
      </w:r>
      <w:r w:rsidR="00CF0DE9">
        <w:rPr>
          <w:sz w:val="24"/>
          <w:szCs w:val="24"/>
        </w:rPr>
        <w:t>GCR customers paid</w:t>
      </w:r>
      <w:r>
        <w:rPr>
          <w:sz w:val="24"/>
          <w:szCs w:val="24"/>
        </w:rPr>
        <w:t xml:space="preserve"> </w:t>
      </w:r>
      <w:r w:rsidRPr="006B1D31">
        <w:rPr>
          <w:sz w:val="24"/>
          <w:szCs w:val="24"/>
        </w:rPr>
        <w:t>$1,</w:t>
      </w:r>
      <w:r w:rsidR="00C805E4" w:rsidRPr="006B1D31">
        <w:rPr>
          <w:sz w:val="24"/>
          <w:szCs w:val="24"/>
        </w:rPr>
        <w:t>653,652</w:t>
      </w:r>
      <w:r>
        <w:rPr>
          <w:sz w:val="24"/>
          <w:szCs w:val="24"/>
        </w:rPr>
        <w:t xml:space="preserve"> more </w:t>
      </w:r>
      <w:r w:rsidR="00C805E4">
        <w:rPr>
          <w:sz w:val="24"/>
          <w:szCs w:val="24"/>
        </w:rPr>
        <w:t xml:space="preserve">during the audit period </w:t>
      </w:r>
      <w:r>
        <w:rPr>
          <w:sz w:val="24"/>
          <w:szCs w:val="24"/>
        </w:rPr>
        <w:t xml:space="preserve">than </w:t>
      </w:r>
      <w:r w:rsidR="00CF0DE9">
        <w:rPr>
          <w:sz w:val="24"/>
          <w:szCs w:val="24"/>
        </w:rPr>
        <w:t>they</w:t>
      </w:r>
      <w:r>
        <w:rPr>
          <w:sz w:val="24"/>
          <w:szCs w:val="24"/>
        </w:rPr>
        <w:t xml:space="preserve"> </w:t>
      </w:r>
      <w:r w:rsidR="00CF0DE9">
        <w:rPr>
          <w:sz w:val="24"/>
          <w:szCs w:val="24"/>
        </w:rPr>
        <w:t xml:space="preserve">would have paid if Orwell would have </w:t>
      </w:r>
      <w:r w:rsidR="00136E32">
        <w:rPr>
          <w:sz w:val="24"/>
          <w:szCs w:val="24"/>
        </w:rPr>
        <w:t>maintained the D</w:t>
      </w:r>
      <w:r w:rsidR="00BD48F1">
        <w:rPr>
          <w:sz w:val="24"/>
          <w:szCs w:val="24"/>
        </w:rPr>
        <w:t>ominion</w:t>
      </w:r>
      <w:r w:rsidR="00136E32">
        <w:rPr>
          <w:sz w:val="24"/>
          <w:szCs w:val="24"/>
        </w:rPr>
        <w:t xml:space="preserve"> Special Contract.</w:t>
      </w:r>
      <w:r>
        <w:rPr>
          <w:sz w:val="24"/>
          <w:szCs w:val="24"/>
        </w:rPr>
        <w:t xml:space="preserve"> </w:t>
      </w:r>
      <w:r w:rsidR="000B20B1">
        <w:rPr>
          <w:sz w:val="24"/>
          <w:szCs w:val="24"/>
        </w:rPr>
        <w:t xml:space="preserve"> </w:t>
      </w:r>
      <w:r w:rsidR="00D45E94">
        <w:rPr>
          <w:sz w:val="24"/>
          <w:szCs w:val="24"/>
        </w:rPr>
        <w:t>Customers are required to pay gas rates that are fair, just, and reasonable</w:t>
      </w:r>
      <w:r w:rsidR="00F403A5">
        <w:rPr>
          <w:sz w:val="24"/>
          <w:szCs w:val="24"/>
        </w:rPr>
        <w:t xml:space="preserve"> and natural gas companies are required to have gas purchasing practices and policies that are reasonable, prudent, and</w:t>
      </w:r>
      <w:r w:rsidR="00F403A5" w:rsidRPr="00F403A5">
        <w:rPr>
          <w:rFonts w:ascii="Verdana" w:hAnsi="Verdana"/>
          <w:color w:val="000000"/>
          <w:sz w:val="19"/>
          <w:szCs w:val="19"/>
        </w:rPr>
        <w:t xml:space="preserve"> </w:t>
      </w:r>
      <w:r w:rsidR="00F403A5" w:rsidRPr="005D28F7">
        <w:rPr>
          <w:color w:val="000000"/>
          <w:sz w:val="24"/>
          <w:szCs w:val="24"/>
        </w:rPr>
        <w:t>promote minimum prices consistent with an adequate supply of gas</w:t>
      </w:r>
      <w:r w:rsidR="00D45E94" w:rsidRPr="005D28F7">
        <w:rPr>
          <w:sz w:val="24"/>
          <w:szCs w:val="24"/>
        </w:rPr>
        <w:t>.</w:t>
      </w:r>
      <w:r w:rsidR="00D45E94">
        <w:rPr>
          <w:sz w:val="24"/>
          <w:szCs w:val="24"/>
        </w:rPr>
        <w:t xml:space="preserve"> </w:t>
      </w:r>
      <w:r w:rsidR="000B20B1">
        <w:rPr>
          <w:sz w:val="24"/>
          <w:szCs w:val="24"/>
        </w:rPr>
        <w:t xml:space="preserve"> </w:t>
      </w:r>
      <w:r w:rsidR="00F403A5">
        <w:rPr>
          <w:sz w:val="24"/>
          <w:szCs w:val="24"/>
        </w:rPr>
        <w:t xml:space="preserve">Due to Orwell’s unreasonable and imprudent purchasing practices, </w:t>
      </w:r>
      <w:r w:rsidR="00D45E94">
        <w:rPr>
          <w:sz w:val="24"/>
          <w:szCs w:val="24"/>
        </w:rPr>
        <w:t>customers overpaid</w:t>
      </w:r>
      <w:r w:rsidR="00F403A5">
        <w:rPr>
          <w:sz w:val="24"/>
          <w:szCs w:val="24"/>
        </w:rPr>
        <w:t xml:space="preserve"> for gas supply</w:t>
      </w:r>
      <w:r w:rsidR="00B341F8">
        <w:rPr>
          <w:sz w:val="24"/>
          <w:szCs w:val="24"/>
        </w:rPr>
        <w:t>.</w:t>
      </w:r>
      <w:r w:rsidR="00D45E94">
        <w:rPr>
          <w:sz w:val="24"/>
          <w:szCs w:val="24"/>
        </w:rPr>
        <w:t xml:space="preserve"> </w:t>
      </w:r>
      <w:r w:rsidR="000B20B1">
        <w:rPr>
          <w:sz w:val="24"/>
          <w:szCs w:val="24"/>
        </w:rPr>
        <w:t xml:space="preserve"> </w:t>
      </w:r>
      <w:r w:rsidR="00D45E94">
        <w:rPr>
          <w:sz w:val="24"/>
          <w:szCs w:val="24"/>
        </w:rPr>
        <w:t>The overpayment should be refunded to customers.</w:t>
      </w:r>
    </w:p>
    <w:p w:rsidR="00191541" w:rsidRDefault="00191541" w:rsidP="00A054C9">
      <w:pPr>
        <w:autoSpaceDE w:val="0"/>
        <w:spacing w:line="480" w:lineRule="auto"/>
        <w:ind w:left="720" w:hanging="720"/>
        <w:rPr>
          <w:sz w:val="24"/>
          <w:szCs w:val="24"/>
        </w:rPr>
      </w:pPr>
    </w:p>
    <w:p w:rsidR="00191541" w:rsidRDefault="00191541" w:rsidP="00A054C9">
      <w:pPr>
        <w:autoSpaceDE w:val="0"/>
        <w:spacing w:line="480" w:lineRule="auto"/>
        <w:ind w:left="720" w:hanging="720"/>
        <w:rPr>
          <w:b/>
          <w:i/>
          <w:sz w:val="24"/>
          <w:szCs w:val="24"/>
        </w:rPr>
      </w:pPr>
      <w:r w:rsidRPr="00191541">
        <w:rPr>
          <w:b/>
          <w:i/>
          <w:sz w:val="24"/>
          <w:szCs w:val="24"/>
        </w:rPr>
        <w:t>Q</w:t>
      </w:r>
      <w:r w:rsidR="005D28F7">
        <w:rPr>
          <w:b/>
          <w:i/>
          <w:sz w:val="24"/>
          <w:szCs w:val="24"/>
        </w:rPr>
        <w:t>3</w:t>
      </w:r>
      <w:r w:rsidR="008B13C1">
        <w:rPr>
          <w:b/>
          <w:i/>
          <w:sz w:val="24"/>
          <w:szCs w:val="24"/>
        </w:rPr>
        <w:t>2</w:t>
      </w:r>
      <w:r w:rsidRPr="00191541">
        <w:rPr>
          <w:b/>
          <w:i/>
          <w:sz w:val="24"/>
          <w:szCs w:val="24"/>
        </w:rPr>
        <w:t>.</w:t>
      </w:r>
      <w:r w:rsidRPr="00191541">
        <w:rPr>
          <w:b/>
          <w:i/>
          <w:sz w:val="24"/>
          <w:szCs w:val="24"/>
        </w:rPr>
        <w:tab/>
        <w:t xml:space="preserve">WERE </w:t>
      </w:r>
      <w:r w:rsidR="00810028">
        <w:rPr>
          <w:b/>
          <w:i/>
          <w:sz w:val="24"/>
          <w:szCs w:val="24"/>
        </w:rPr>
        <w:t xml:space="preserve">MONTHLY </w:t>
      </w:r>
      <w:r w:rsidR="00210FF1">
        <w:rPr>
          <w:b/>
          <w:i/>
          <w:sz w:val="24"/>
          <w:szCs w:val="24"/>
        </w:rPr>
        <w:t xml:space="preserve">DELIVERED </w:t>
      </w:r>
      <w:r w:rsidRPr="00191541">
        <w:rPr>
          <w:b/>
          <w:i/>
          <w:sz w:val="24"/>
          <w:szCs w:val="24"/>
        </w:rPr>
        <w:t>GAS PRICES DURING THE AUDIT PERIOD ALWAYS HIGHER ON THE OTP SYSTEM THAN THE D</w:t>
      </w:r>
      <w:r w:rsidR="00BD48F1">
        <w:rPr>
          <w:b/>
          <w:i/>
          <w:sz w:val="24"/>
          <w:szCs w:val="24"/>
        </w:rPr>
        <w:t>OMINION</w:t>
      </w:r>
      <w:r w:rsidRPr="00191541">
        <w:rPr>
          <w:b/>
          <w:i/>
          <w:sz w:val="24"/>
          <w:szCs w:val="24"/>
        </w:rPr>
        <w:t xml:space="preserve"> SYSTEM?</w:t>
      </w:r>
    </w:p>
    <w:p w:rsidR="00E56941" w:rsidRDefault="00191541" w:rsidP="00A054C9">
      <w:pPr>
        <w:autoSpaceDE w:val="0"/>
        <w:spacing w:line="480" w:lineRule="auto"/>
        <w:ind w:left="720" w:hanging="720"/>
        <w:rPr>
          <w:sz w:val="24"/>
          <w:szCs w:val="24"/>
        </w:rPr>
      </w:pPr>
      <w:r>
        <w:rPr>
          <w:b/>
          <w:i/>
          <w:sz w:val="24"/>
          <w:szCs w:val="24"/>
        </w:rPr>
        <w:t>A</w:t>
      </w:r>
      <w:r w:rsidR="005D28F7">
        <w:rPr>
          <w:b/>
          <w:i/>
          <w:sz w:val="24"/>
          <w:szCs w:val="24"/>
        </w:rPr>
        <w:t>3</w:t>
      </w:r>
      <w:r w:rsidR="008B13C1">
        <w:rPr>
          <w:b/>
          <w:i/>
          <w:sz w:val="24"/>
          <w:szCs w:val="24"/>
        </w:rPr>
        <w:t>2</w:t>
      </w:r>
      <w:r>
        <w:rPr>
          <w:b/>
          <w:i/>
          <w:sz w:val="24"/>
          <w:szCs w:val="24"/>
        </w:rPr>
        <w:t>.</w:t>
      </w:r>
      <w:r>
        <w:rPr>
          <w:b/>
          <w:i/>
          <w:sz w:val="24"/>
          <w:szCs w:val="24"/>
        </w:rPr>
        <w:tab/>
      </w:r>
      <w:r>
        <w:rPr>
          <w:sz w:val="24"/>
          <w:szCs w:val="24"/>
        </w:rPr>
        <w:t xml:space="preserve">No. </w:t>
      </w:r>
      <w:r w:rsidR="00753055">
        <w:rPr>
          <w:sz w:val="24"/>
          <w:szCs w:val="24"/>
        </w:rPr>
        <w:t xml:space="preserve"> </w:t>
      </w:r>
      <w:r>
        <w:rPr>
          <w:sz w:val="24"/>
          <w:szCs w:val="24"/>
        </w:rPr>
        <w:t>Although the delivered price of gas was generally cheaper from D</w:t>
      </w:r>
      <w:r w:rsidR="00BD48F1">
        <w:rPr>
          <w:sz w:val="24"/>
          <w:szCs w:val="24"/>
        </w:rPr>
        <w:t>ominion</w:t>
      </w:r>
      <w:r>
        <w:rPr>
          <w:sz w:val="24"/>
          <w:szCs w:val="24"/>
        </w:rPr>
        <w:t xml:space="preserve"> than from OTP, the difference was not </w:t>
      </w:r>
      <w:r w:rsidR="00210FF1">
        <w:rPr>
          <w:sz w:val="24"/>
          <w:szCs w:val="24"/>
        </w:rPr>
        <w:t xml:space="preserve">significant </w:t>
      </w:r>
      <w:r w:rsidR="00E56941">
        <w:rPr>
          <w:sz w:val="24"/>
          <w:szCs w:val="24"/>
        </w:rPr>
        <w:t>most months</w:t>
      </w:r>
      <w:r>
        <w:rPr>
          <w:sz w:val="24"/>
          <w:szCs w:val="24"/>
        </w:rPr>
        <w:t xml:space="preserve">. </w:t>
      </w:r>
      <w:r w:rsidR="00753055">
        <w:rPr>
          <w:sz w:val="24"/>
          <w:szCs w:val="24"/>
        </w:rPr>
        <w:t xml:space="preserve"> </w:t>
      </w:r>
      <w:r>
        <w:rPr>
          <w:sz w:val="24"/>
          <w:szCs w:val="24"/>
        </w:rPr>
        <w:t xml:space="preserve">However, </w:t>
      </w:r>
      <w:r w:rsidR="00E56941">
        <w:rPr>
          <w:sz w:val="24"/>
          <w:szCs w:val="24"/>
        </w:rPr>
        <w:t xml:space="preserve">during the five month period from November 2013 through March 2014, the </w:t>
      </w:r>
      <w:r w:rsidR="00210FF1">
        <w:rPr>
          <w:sz w:val="24"/>
          <w:szCs w:val="24"/>
        </w:rPr>
        <w:t xml:space="preserve">delivered </w:t>
      </w:r>
      <w:r w:rsidR="00E56941">
        <w:rPr>
          <w:sz w:val="24"/>
          <w:szCs w:val="24"/>
        </w:rPr>
        <w:t>cost of gas from the OTP system was much higher, accounting for almost 95% of the total difference during the audit period.</w:t>
      </w:r>
    </w:p>
    <w:p w:rsidR="00803E2F" w:rsidRDefault="00803E2F" w:rsidP="00A054C9">
      <w:pPr>
        <w:autoSpaceDE w:val="0"/>
        <w:spacing w:line="480" w:lineRule="auto"/>
        <w:ind w:left="720" w:hanging="720"/>
        <w:rPr>
          <w:sz w:val="24"/>
          <w:szCs w:val="24"/>
        </w:rPr>
      </w:pPr>
    </w:p>
    <w:p w:rsidR="00E56941" w:rsidRDefault="00E56941" w:rsidP="00A054C9">
      <w:pPr>
        <w:autoSpaceDE w:val="0"/>
        <w:spacing w:line="480" w:lineRule="auto"/>
        <w:ind w:left="720" w:hanging="720"/>
        <w:rPr>
          <w:b/>
          <w:i/>
          <w:sz w:val="24"/>
          <w:szCs w:val="24"/>
        </w:rPr>
      </w:pPr>
      <w:r>
        <w:rPr>
          <w:b/>
          <w:i/>
          <w:sz w:val="24"/>
          <w:szCs w:val="24"/>
        </w:rPr>
        <w:t>Q</w:t>
      </w:r>
      <w:r w:rsidR="00E85CCF">
        <w:rPr>
          <w:b/>
          <w:i/>
          <w:sz w:val="24"/>
          <w:szCs w:val="24"/>
        </w:rPr>
        <w:t>3</w:t>
      </w:r>
      <w:r w:rsidR="008B13C1">
        <w:rPr>
          <w:b/>
          <w:i/>
          <w:sz w:val="24"/>
          <w:szCs w:val="24"/>
        </w:rPr>
        <w:t>3</w:t>
      </w:r>
      <w:r>
        <w:rPr>
          <w:b/>
          <w:i/>
          <w:sz w:val="24"/>
          <w:szCs w:val="24"/>
        </w:rPr>
        <w:t>.</w:t>
      </w:r>
      <w:r>
        <w:rPr>
          <w:b/>
          <w:i/>
          <w:sz w:val="24"/>
          <w:szCs w:val="24"/>
        </w:rPr>
        <w:tab/>
      </w:r>
      <w:r w:rsidR="00022383">
        <w:rPr>
          <w:b/>
          <w:i/>
          <w:sz w:val="24"/>
          <w:szCs w:val="24"/>
        </w:rPr>
        <w:t xml:space="preserve">COULD </w:t>
      </w:r>
      <w:r>
        <w:rPr>
          <w:b/>
          <w:i/>
          <w:sz w:val="24"/>
          <w:szCs w:val="24"/>
        </w:rPr>
        <w:t xml:space="preserve">ORWELL </w:t>
      </w:r>
      <w:r w:rsidR="00210FF1">
        <w:rPr>
          <w:b/>
          <w:i/>
          <w:sz w:val="24"/>
          <w:szCs w:val="24"/>
        </w:rPr>
        <w:t>HAVE</w:t>
      </w:r>
      <w:r>
        <w:rPr>
          <w:b/>
          <w:i/>
          <w:sz w:val="24"/>
          <w:szCs w:val="24"/>
        </w:rPr>
        <w:t xml:space="preserve"> PURCHASE</w:t>
      </w:r>
      <w:r w:rsidR="00210FF1">
        <w:rPr>
          <w:b/>
          <w:i/>
          <w:sz w:val="24"/>
          <w:szCs w:val="24"/>
        </w:rPr>
        <w:t>D</w:t>
      </w:r>
      <w:r>
        <w:rPr>
          <w:b/>
          <w:i/>
          <w:sz w:val="24"/>
          <w:szCs w:val="24"/>
        </w:rPr>
        <w:t xml:space="preserve"> GAS THROUGH THE D</w:t>
      </w:r>
      <w:r w:rsidR="000A400D">
        <w:rPr>
          <w:b/>
          <w:i/>
          <w:sz w:val="24"/>
          <w:szCs w:val="24"/>
        </w:rPr>
        <w:t>OMINION</w:t>
      </w:r>
      <w:r>
        <w:rPr>
          <w:b/>
          <w:i/>
          <w:sz w:val="24"/>
          <w:szCs w:val="24"/>
        </w:rPr>
        <w:t xml:space="preserve"> SYSTEM DURING TH</w:t>
      </w:r>
      <w:r w:rsidR="00210FF1">
        <w:rPr>
          <w:b/>
          <w:i/>
          <w:sz w:val="24"/>
          <w:szCs w:val="24"/>
        </w:rPr>
        <w:t>E</w:t>
      </w:r>
      <w:r>
        <w:rPr>
          <w:b/>
          <w:i/>
          <w:sz w:val="24"/>
          <w:szCs w:val="24"/>
        </w:rPr>
        <w:t xml:space="preserve"> FIVE MONTH PERIOD FROM NOVEMBER 2013 THROUGH MARCH 2014, EVEN IF IT NO LONGER HAD THE SPECIAL TRANSPORTATION AGREEMENT WITH D</w:t>
      </w:r>
      <w:r w:rsidR="000A400D">
        <w:rPr>
          <w:b/>
          <w:i/>
          <w:sz w:val="24"/>
          <w:szCs w:val="24"/>
        </w:rPr>
        <w:t>OMINION</w:t>
      </w:r>
      <w:r>
        <w:rPr>
          <w:b/>
          <w:i/>
          <w:sz w:val="24"/>
          <w:szCs w:val="24"/>
        </w:rPr>
        <w:t>?</w:t>
      </w:r>
    </w:p>
    <w:p w:rsidR="00191541" w:rsidRDefault="00E56941" w:rsidP="00A054C9">
      <w:pPr>
        <w:autoSpaceDE w:val="0"/>
        <w:spacing w:line="480" w:lineRule="auto"/>
        <w:ind w:left="720" w:hanging="720"/>
        <w:rPr>
          <w:sz w:val="24"/>
          <w:szCs w:val="24"/>
        </w:rPr>
      </w:pPr>
      <w:r>
        <w:rPr>
          <w:b/>
          <w:i/>
          <w:sz w:val="24"/>
          <w:szCs w:val="24"/>
        </w:rPr>
        <w:t>A</w:t>
      </w:r>
      <w:r w:rsidR="00E85CCF">
        <w:rPr>
          <w:b/>
          <w:i/>
          <w:sz w:val="24"/>
          <w:szCs w:val="24"/>
        </w:rPr>
        <w:t>3</w:t>
      </w:r>
      <w:r w:rsidR="008B13C1">
        <w:rPr>
          <w:b/>
          <w:i/>
          <w:sz w:val="24"/>
          <w:szCs w:val="24"/>
        </w:rPr>
        <w:t>3</w:t>
      </w:r>
      <w:r>
        <w:rPr>
          <w:b/>
          <w:i/>
          <w:sz w:val="24"/>
          <w:szCs w:val="24"/>
        </w:rPr>
        <w:t>.</w:t>
      </w:r>
      <w:r>
        <w:rPr>
          <w:b/>
          <w:i/>
          <w:sz w:val="24"/>
          <w:szCs w:val="24"/>
        </w:rPr>
        <w:tab/>
      </w:r>
      <w:r w:rsidR="00F2570C">
        <w:rPr>
          <w:sz w:val="24"/>
          <w:szCs w:val="24"/>
        </w:rPr>
        <w:t xml:space="preserve">No. </w:t>
      </w:r>
      <w:r w:rsidR="00210FF1">
        <w:rPr>
          <w:sz w:val="24"/>
          <w:szCs w:val="24"/>
        </w:rPr>
        <w:t xml:space="preserve"> O</w:t>
      </w:r>
      <w:r w:rsidRPr="00E56941">
        <w:rPr>
          <w:sz w:val="24"/>
          <w:szCs w:val="24"/>
        </w:rPr>
        <w:t>rwell</w:t>
      </w:r>
      <w:r w:rsidR="00210FF1">
        <w:rPr>
          <w:sz w:val="24"/>
          <w:szCs w:val="24"/>
        </w:rPr>
        <w:t xml:space="preserve"> chose to abandon </w:t>
      </w:r>
      <w:r w:rsidR="00C44B07">
        <w:rPr>
          <w:sz w:val="24"/>
          <w:szCs w:val="24"/>
        </w:rPr>
        <w:t xml:space="preserve">or physically dismantle </w:t>
      </w:r>
      <w:r w:rsidR="00210FF1">
        <w:rPr>
          <w:sz w:val="24"/>
          <w:szCs w:val="24"/>
        </w:rPr>
        <w:t>the</w:t>
      </w:r>
      <w:r w:rsidR="000867F0">
        <w:rPr>
          <w:sz w:val="24"/>
          <w:szCs w:val="24"/>
        </w:rPr>
        <w:t xml:space="preserve"> interconnect</w:t>
      </w:r>
      <w:r w:rsidR="003C2DAF">
        <w:rPr>
          <w:sz w:val="24"/>
          <w:szCs w:val="24"/>
        </w:rPr>
        <w:t>ion</w:t>
      </w:r>
      <w:r w:rsidR="000867F0">
        <w:rPr>
          <w:sz w:val="24"/>
          <w:szCs w:val="24"/>
        </w:rPr>
        <w:t xml:space="preserve">s </w:t>
      </w:r>
      <w:r w:rsidR="00F2570C">
        <w:rPr>
          <w:sz w:val="24"/>
          <w:szCs w:val="24"/>
        </w:rPr>
        <w:t>(</w:t>
      </w:r>
      <w:r w:rsidR="00C44B07">
        <w:rPr>
          <w:sz w:val="24"/>
          <w:szCs w:val="24"/>
        </w:rPr>
        <w:t>or taps</w:t>
      </w:r>
      <w:r w:rsidR="00F2570C">
        <w:rPr>
          <w:sz w:val="24"/>
          <w:szCs w:val="24"/>
        </w:rPr>
        <w:t>)</w:t>
      </w:r>
      <w:r w:rsidR="00C44B07">
        <w:rPr>
          <w:sz w:val="24"/>
          <w:szCs w:val="24"/>
        </w:rPr>
        <w:t xml:space="preserve"> </w:t>
      </w:r>
      <w:r w:rsidR="000867F0">
        <w:rPr>
          <w:sz w:val="24"/>
          <w:szCs w:val="24"/>
        </w:rPr>
        <w:t xml:space="preserve">with Dominion </w:t>
      </w:r>
      <w:r w:rsidR="00BD0F00">
        <w:rPr>
          <w:sz w:val="24"/>
          <w:szCs w:val="24"/>
        </w:rPr>
        <w:t xml:space="preserve">once Orwell began receiving natural gas supplied </w:t>
      </w:r>
      <w:r w:rsidR="00262048">
        <w:rPr>
          <w:sz w:val="24"/>
          <w:szCs w:val="24"/>
        </w:rPr>
        <w:t>from</w:t>
      </w:r>
      <w:r w:rsidR="00D84234">
        <w:rPr>
          <w:sz w:val="24"/>
          <w:szCs w:val="24"/>
        </w:rPr>
        <w:t xml:space="preserve"> OTP.</w:t>
      </w:r>
      <w:r w:rsidR="003C2DAF">
        <w:rPr>
          <w:rStyle w:val="FootnoteReference"/>
          <w:sz w:val="24"/>
          <w:szCs w:val="24"/>
        </w:rPr>
        <w:footnoteReference w:id="50"/>
      </w:r>
      <w:r w:rsidR="00D84234">
        <w:rPr>
          <w:sz w:val="24"/>
          <w:szCs w:val="24"/>
        </w:rPr>
        <w:t xml:space="preserve"> </w:t>
      </w:r>
      <w:r w:rsidR="00753055">
        <w:rPr>
          <w:sz w:val="24"/>
          <w:szCs w:val="24"/>
        </w:rPr>
        <w:t xml:space="preserve"> </w:t>
      </w:r>
      <w:r w:rsidR="00262048">
        <w:rPr>
          <w:sz w:val="24"/>
          <w:szCs w:val="24"/>
        </w:rPr>
        <w:t xml:space="preserve">Dominion currently only serves the isolated parts of Orwell’s system that OTP </w:t>
      </w:r>
      <w:r w:rsidR="00C44B07">
        <w:rPr>
          <w:sz w:val="24"/>
          <w:szCs w:val="24"/>
        </w:rPr>
        <w:t>cannot serve.</w:t>
      </w:r>
    </w:p>
    <w:p w:rsidR="003C2DAF" w:rsidRDefault="003C2DAF" w:rsidP="00A054C9">
      <w:pPr>
        <w:autoSpaceDE w:val="0"/>
        <w:spacing w:line="480" w:lineRule="auto"/>
        <w:ind w:left="720" w:hanging="720"/>
        <w:rPr>
          <w:b/>
          <w:i/>
          <w:sz w:val="24"/>
          <w:szCs w:val="24"/>
        </w:rPr>
      </w:pPr>
    </w:p>
    <w:p w:rsidR="003C2DAF" w:rsidRDefault="003C2DAF" w:rsidP="00A054C9">
      <w:pPr>
        <w:autoSpaceDE w:val="0"/>
        <w:spacing w:line="480" w:lineRule="auto"/>
        <w:ind w:left="720" w:hanging="720"/>
        <w:rPr>
          <w:b/>
          <w:i/>
          <w:sz w:val="24"/>
          <w:szCs w:val="24"/>
        </w:rPr>
      </w:pPr>
      <w:r>
        <w:rPr>
          <w:b/>
          <w:i/>
          <w:sz w:val="24"/>
          <w:szCs w:val="24"/>
        </w:rPr>
        <w:t>Q</w:t>
      </w:r>
      <w:r w:rsidR="008B13C1">
        <w:rPr>
          <w:b/>
          <w:i/>
          <w:sz w:val="24"/>
          <w:szCs w:val="24"/>
        </w:rPr>
        <w:t>34</w:t>
      </w:r>
      <w:r>
        <w:rPr>
          <w:b/>
          <w:i/>
          <w:sz w:val="24"/>
          <w:szCs w:val="24"/>
        </w:rPr>
        <w:t>.</w:t>
      </w:r>
      <w:r>
        <w:rPr>
          <w:b/>
          <w:i/>
          <w:sz w:val="24"/>
          <w:szCs w:val="24"/>
        </w:rPr>
        <w:tab/>
        <w:t>WHY DID ORWELL ABANDON THE TEN INTERCONNECTIONS WITH</w:t>
      </w:r>
      <w:r w:rsidR="009E1F08">
        <w:rPr>
          <w:b/>
          <w:i/>
          <w:sz w:val="24"/>
          <w:szCs w:val="24"/>
        </w:rPr>
        <w:t xml:space="preserve"> DOMINION?</w:t>
      </w:r>
    </w:p>
    <w:p w:rsidR="00753055" w:rsidRDefault="009E1F08" w:rsidP="00753055">
      <w:pPr>
        <w:autoSpaceDE w:val="0"/>
        <w:spacing w:line="480" w:lineRule="auto"/>
        <w:ind w:left="720" w:hanging="720"/>
        <w:rPr>
          <w:b/>
          <w:i/>
          <w:sz w:val="24"/>
          <w:szCs w:val="24"/>
        </w:rPr>
      </w:pPr>
      <w:r>
        <w:rPr>
          <w:b/>
          <w:i/>
          <w:sz w:val="24"/>
          <w:szCs w:val="24"/>
        </w:rPr>
        <w:t>A</w:t>
      </w:r>
      <w:r w:rsidR="00723BAF">
        <w:rPr>
          <w:b/>
          <w:i/>
          <w:sz w:val="24"/>
          <w:szCs w:val="24"/>
        </w:rPr>
        <w:t>3</w:t>
      </w:r>
      <w:r w:rsidR="008B13C1">
        <w:rPr>
          <w:b/>
          <w:i/>
          <w:sz w:val="24"/>
          <w:szCs w:val="24"/>
        </w:rPr>
        <w:t>4</w:t>
      </w:r>
      <w:r>
        <w:rPr>
          <w:b/>
          <w:i/>
          <w:sz w:val="24"/>
          <w:szCs w:val="24"/>
        </w:rPr>
        <w:t>.</w:t>
      </w:r>
      <w:r>
        <w:rPr>
          <w:b/>
          <w:i/>
          <w:sz w:val="24"/>
          <w:szCs w:val="24"/>
        </w:rPr>
        <w:tab/>
      </w:r>
      <w:r w:rsidR="003142F3">
        <w:rPr>
          <w:sz w:val="24"/>
          <w:szCs w:val="24"/>
        </w:rPr>
        <w:t xml:space="preserve">According to </w:t>
      </w:r>
      <w:r w:rsidR="002677BA">
        <w:rPr>
          <w:sz w:val="24"/>
          <w:szCs w:val="24"/>
        </w:rPr>
        <w:t xml:space="preserve">Orwell’s President -- </w:t>
      </w:r>
      <w:r w:rsidR="003142F3">
        <w:rPr>
          <w:sz w:val="24"/>
          <w:szCs w:val="24"/>
        </w:rPr>
        <w:t>Marty Whelan</w:t>
      </w:r>
      <w:r w:rsidR="002677BA">
        <w:rPr>
          <w:sz w:val="24"/>
          <w:szCs w:val="24"/>
        </w:rPr>
        <w:t xml:space="preserve"> --</w:t>
      </w:r>
      <w:r w:rsidR="003142F3">
        <w:rPr>
          <w:sz w:val="24"/>
          <w:szCs w:val="24"/>
        </w:rPr>
        <w:t xml:space="preserve"> the taps were abandoned in order to avoid paying a meter charge of $120 per month for each of the interconnections.</w:t>
      </w:r>
      <w:r w:rsidR="003142F3">
        <w:rPr>
          <w:rStyle w:val="FootnoteReference"/>
          <w:sz w:val="24"/>
          <w:szCs w:val="24"/>
        </w:rPr>
        <w:footnoteReference w:id="51"/>
      </w:r>
      <w:r w:rsidR="003142F3">
        <w:rPr>
          <w:sz w:val="24"/>
          <w:szCs w:val="24"/>
        </w:rPr>
        <w:t xml:space="preserve"> </w:t>
      </w:r>
      <w:r w:rsidR="00753055">
        <w:rPr>
          <w:sz w:val="24"/>
          <w:szCs w:val="24"/>
        </w:rPr>
        <w:t xml:space="preserve"> </w:t>
      </w:r>
      <w:r w:rsidR="003142F3">
        <w:rPr>
          <w:sz w:val="24"/>
          <w:szCs w:val="24"/>
        </w:rPr>
        <w:t>This saved Orwell approximately $1</w:t>
      </w:r>
      <w:r w:rsidR="005A2329">
        <w:rPr>
          <w:sz w:val="24"/>
          <w:szCs w:val="24"/>
        </w:rPr>
        <w:t>,</w:t>
      </w:r>
      <w:r w:rsidR="003142F3">
        <w:rPr>
          <w:sz w:val="24"/>
          <w:szCs w:val="24"/>
        </w:rPr>
        <w:t>200 per month for all ten interconnects, or $14,400 per year.</w:t>
      </w:r>
      <w:r w:rsidR="00753055">
        <w:rPr>
          <w:b/>
          <w:i/>
          <w:sz w:val="24"/>
          <w:szCs w:val="24"/>
        </w:rPr>
        <w:br w:type="page"/>
      </w:r>
    </w:p>
    <w:p w:rsidR="003142F3" w:rsidRDefault="003142F3" w:rsidP="00A054C9">
      <w:pPr>
        <w:autoSpaceDE w:val="0"/>
        <w:spacing w:line="480" w:lineRule="auto"/>
        <w:ind w:left="720" w:hanging="720"/>
        <w:rPr>
          <w:b/>
          <w:i/>
          <w:sz w:val="24"/>
          <w:szCs w:val="24"/>
        </w:rPr>
      </w:pPr>
      <w:r>
        <w:rPr>
          <w:b/>
          <w:i/>
          <w:sz w:val="24"/>
          <w:szCs w:val="24"/>
        </w:rPr>
        <w:t>Q3</w:t>
      </w:r>
      <w:r w:rsidR="008B13C1">
        <w:rPr>
          <w:b/>
          <w:i/>
          <w:sz w:val="24"/>
          <w:szCs w:val="24"/>
        </w:rPr>
        <w:t>5</w:t>
      </w:r>
      <w:r>
        <w:rPr>
          <w:b/>
          <w:i/>
          <w:sz w:val="24"/>
          <w:szCs w:val="24"/>
        </w:rPr>
        <w:t>.</w:t>
      </w:r>
      <w:r>
        <w:rPr>
          <w:b/>
          <w:i/>
          <w:sz w:val="24"/>
          <w:szCs w:val="24"/>
        </w:rPr>
        <w:tab/>
        <w:t xml:space="preserve">DO YOU CONSIDER </w:t>
      </w:r>
      <w:r w:rsidR="005B72E0">
        <w:rPr>
          <w:b/>
          <w:i/>
          <w:sz w:val="24"/>
          <w:szCs w:val="24"/>
        </w:rPr>
        <w:t>ORWELL’S</w:t>
      </w:r>
      <w:r>
        <w:rPr>
          <w:b/>
          <w:i/>
          <w:sz w:val="24"/>
          <w:szCs w:val="24"/>
        </w:rPr>
        <w:t xml:space="preserve"> ACTIONS TO ABANDON THE TAPS TO SAVE APPROXIMATELY $14,400 PER YEAR ON GAS COSTS A PRUDENT DECISION?</w:t>
      </w:r>
    </w:p>
    <w:p w:rsidR="00D45E94" w:rsidRDefault="003142F3" w:rsidP="00A054C9">
      <w:pPr>
        <w:autoSpaceDE w:val="0"/>
        <w:spacing w:line="480" w:lineRule="auto"/>
        <w:ind w:left="720" w:hanging="720"/>
        <w:rPr>
          <w:sz w:val="24"/>
          <w:szCs w:val="24"/>
        </w:rPr>
      </w:pPr>
      <w:r>
        <w:rPr>
          <w:b/>
          <w:i/>
          <w:sz w:val="24"/>
          <w:szCs w:val="24"/>
        </w:rPr>
        <w:t>A3</w:t>
      </w:r>
      <w:r w:rsidR="008B13C1">
        <w:rPr>
          <w:b/>
          <w:i/>
          <w:sz w:val="24"/>
          <w:szCs w:val="24"/>
        </w:rPr>
        <w:t>5</w:t>
      </w:r>
      <w:r>
        <w:rPr>
          <w:b/>
          <w:i/>
          <w:sz w:val="24"/>
          <w:szCs w:val="24"/>
        </w:rPr>
        <w:t>.</w:t>
      </w:r>
      <w:r>
        <w:rPr>
          <w:b/>
          <w:i/>
          <w:sz w:val="24"/>
          <w:szCs w:val="24"/>
        </w:rPr>
        <w:tab/>
      </w:r>
      <w:r w:rsidRPr="00C560E3">
        <w:rPr>
          <w:sz w:val="24"/>
          <w:szCs w:val="24"/>
        </w:rPr>
        <w:t>Ab</w:t>
      </w:r>
      <w:r>
        <w:rPr>
          <w:sz w:val="24"/>
          <w:szCs w:val="24"/>
        </w:rPr>
        <w:t>solutely not</w:t>
      </w:r>
      <w:r w:rsidR="00C560E3">
        <w:rPr>
          <w:sz w:val="24"/>
          <w:szCs w:val="24"/>
        </w:rPr>
        <w:t xml:space="preserve">, and </w:t>
      </w:r>
      <w:r w:rsidR="004B57FF">
        <w:rPr>
          <w:sz w:val="24"/>
          <w:szCs w:val="24"/>
        </w:rPr>
        <w:t xml:space="preserve">based on his testimony, </w:t>
      </w:r>
      <w:r w:rsidR="00C560E3">
        <w:rPr>
          <w:sz w:val="24"/>
          <w:szCs w:val="24"/>
        </w:rPr>
        <w:t xml:space="preserve">neither does </w:t>
      </w:r>
      <w:r w:rsidR="005A2329">
        <w:rPr>
          <w:sz w:val="24"/>
          <w:szCs w:val="24"/>
        </w:rPr>
        <w:t>Orwell</w:t>
      </w:r>
      <w:r w:rsidR="00C560E3">
        <w:rPr>
          <w:sz w:val="24"/>
          <w:szCs w:val="24"/>
        </w:rPr>
        <w:t>’s President</w:t>
      </w:r>
      <w:r w:rsidR="00BD0F00">
        <w:rPr>
          <w:sz w:val="24"/>
          <w:szCs w:val="24"/>
        </w:rPr>
        <w:t xml:space="preserve"> </w:t>
      </w:r>
      <w:r w:rsidR="007A755C">
        <w:rPr>
          <w:sz w:val="24"/>
          <w:szCs w:val="24"/>
        </w:rPr>
        <w:t>--</w:t>
      </w:r>
      <w:r w:rsidR="00BD0F00">
        <w:rPr>
          <w:sz w:val="24"/>
          <w:szCs w:val="24"/>
        </w:rPr>
        <w:t xml:space="preserve"> Marty Whelan</w:t>
      </w:r>
      <w:r>
        <w:rPr>
          <w:sz w:val="24"/>
          <w:szCs w:val="24"/>
        </w:rPr>
        <w:t>.</w:t>
      </w:r>
      <w:r w:rsidR="000B2E22">
        <w:rPr>
          <w:sz w:val="24"/>
          <w:szCs w:val="24"/>
        </w:rPr>
        <w:t xml:space="preserve"> </w:t>
      </w:r>
      <w:r w:rsidR="005D7841">
        <w:rPr>
          <w:sz w:val="24"/>
          <w:szCs w:val="24"/>
        </w:rPr>
        <w:t xml:space="preserve"> </w:t>
      </w:r>
      <w:r w:rsidR="000B2E22">
        <w:rPr>
          <w:sz w:val="24"/>
          <w:szCs w:val="24"/>
        </w:rPr>
        <w:t>During his deposition regarding the reason that Orwell abandoned the taps with Dominion, Mr. Whel</w:t>
      </w:r>
      <w:r w:rsidR="00B341F8">
        <w:rPr>
          <w:sz w:val="24"/>
          <w:szCs w:val="24"/>
        </w:rPr>
        <w:t>an stated,</w:t>
      </w:r>
      <w:r w:rsidR="000B2E22">
        <w:rPr>
          <w:sz w:val="24"/>
          <w:szCs w:val="24"/>
        </w:rPr>
        <w:t xml:space="preserve"> “I can tell you that I didn’t agree with i</w:t>
      </w:r>
      <w:r w:rsidR="00B341F8">
        <w:rPr>
          <w:sz w:val="24"/>
          <w:szCs w:val="24"/>
        </w:rPr>
        <w:t>t, and I blew a gasket over it.</w:t>
      </w:r>
      <w:r w:rsidR="000B2E22">
        <w:rPr>
          <w:sz w:val="24"/>
          <w:szCs w:val="24"/>
        </w:rPr>
        <w:t xml:space="preserve"> And if nothing else, if something happened to Orwell-Trumbull system, </w:t>
      </w:r>
      <w:r w:rsidR="00CE0DB3">
        <w:rPr>
          <w:sz w:val="24"/>
          <w:szCs w:val="24"/>
        </w:rPr>
        <w:t xml:space="preserve">[we would] </w:t>
      </w:r>
      <w:r w:rsidR="000B2E22">
        <w:rPr>
          <w:sz w:val="24"/>
          <w:szCs w:val="24"/>
        </w:rPr>
        <w:t>have a backup</w:t>
      </w:r>
      <w:r w:rsidR="00F2570C">
        <w:rPr>
          <w:sz w:val="24"/>
          <w:szCs w:val="24"/>
        </w:rPr>
        <w:t>.</w:t>
      </w:r>
      <w:r w:rsidR="000B2E22">
        <w:rPr>
          <w:sz w:val="24"/>
          <w:szCs w:val="24"/>
        </w:rPr>
        <w:t>”</w:t>
      </w:r>
      <w:r w:rsidR="000B2E22">
        <w:rPr>
          <w:rStyle w:val="FootnoteReference"/>
          <w:sz w:val="24"/>
          <w:szCs w:val="24"/>
        </w:rPr>
        <w:footnoteReference w:id="52"/>
      </w:r>
    </w:p>
    <w:p w:rsidR="00D45E94" w:rsidRDefault="00D45E94" w:rsidP="00A054C9">
      <w:pPr>
        <w:autoSpaceDE w:val="0"/>
        <w:spacing w:line="480" w:lineRule="auto"/>
        <w:ind w:left="720" w:hanging="720"/>
        <w:rPr>
          <w:sz w:val="24"/>
          <w:szCs w:val="24"/>
        </w:rPr>
      </w:pPr>
    </w:p>
    <w:p w:rsidR="005D7841" w:rsidRDefault="00A373CB" w:rsidP="005D7841">
      <w:pPr>
        <w:autoSpaceDE w:val="0"/>
        <w:spacing w:line="480" w:lineRule="auto"/>
        <w:ind w:left="720"/>
        <w:rPr>
          <w:b/>
          <w:i/>
          <w:sz w:val="24"/>
          <w:szCs w:val="24"/>
        </w:rPr>
      </w:pPr>
      <w:r>
        <w:rPr>
          <w:sz w:val="24"/>
          <w:szCs w:val="24"/>
        </w:rPr>
        <w:t xml:space="preserve">OTP receives its gas supply through one interconnect with North Coast </w:t>
      </w:r>
      <w:r w:rsidR="004C28E3">
        <w:rPr>
          <w:sz w:val="24"/>
          <w:szCs w:val="24"/>
        </w:rPr>
        <w:t>Gas Transmission (“North Coast”)</w:t>
      </w:r>
      <w:r w:rsidR="00F57D2B">
        <w:rPr>
          <w:sz w:val="24"/>
          <w:szCs w:val="24"/>
        </w:rPr>
        <w:t xml:space="preserve"> located near Mantua, Ohio</w:t>
      </w:r>
      <w:r>
        <w:rPr>
          <w:sz w:val="24"/>
          <w:szCs w:val="24"/>
        </w:rPr>
        <w:t xml:space="preserve">. </w:t>
      </w:r>
      <w:r w:rsidR="006726B6">
        <w:rPr>
          <w:sz w:val="24"/>
          <w:szCs w:val="24"/>
        </w:rPr>
        <w:t>OTP then moves th</w:t>
      </w:r>
      <w:r w:rsidR="00F57D2B">
        <w:rPr>
          <w:sz w:val="24"/>
          <w:szCs w:val="24"/>
        </w:rPr>
        <w:t>e gas received from North Coast</w:t>
      </w:r>
      <w:r w:rsidR="006726B6">
        <w:rPr>
          <w:sz w:val="24"/>
          <w:szCs w:val="24"/>
        </w:rPr>
        <w:t xml:space="preserve"> </w:t>
      </w:r>
      <w:r w:rsidR="00F57D2B">
        <w:rPr>
          <w:sz w:val="24"/>
          <w:szCs w:val="24"/>
        </w:rPr>
        <w:t xml:space="preserve">north </w:t>
      </w:r>
      <w:r w:rsidR="006726B6">
        <w:rPr>
          <w:sz w:val="24"/>
          <w:szCs w:val="24"/>
        </w:rPr>
        <w:t>to Orwell</w:t>
      </w:r>
      <w:r w:rsidR="00F57D2B">
        <w:rPr>
          <w:sz w:val="24"/>
          <w:szCs w:val="24"/>
        </w:rPr>
        <w:t>’s distribution system</w:t>
      </w:r>
      <w:r w:rsidR="006726B6">
        <w:rPr>
          <w:sz w:val="24"/>
          <w:szCs w:val="24"/>
        </w:rPr>
        <w:t xml:space="preserve">, as can be seen on </w:t>
      </w:r>
      <w:r w:rsidR="009E44CD">
        <w:rPr>
          <w:sz w:val="24"/>
          <w:szCs w:val="24"/>
        </w:rPr>
        <w:t xml:space="preserve">the map of Orwell and OTP’s systems, attached as </w:t>
      </w:r>
      <w:r w:rsidR="00CD466A">
        <w:rPr>
          <w:sz w:val="24"/>
          <w:szCs w:val="24"/>
        </w:rPr>
        <w:t xml:space="preserve">OCC </w:t>
      </w:r>
      <w:r w:rsidR="009E44CD">
        <w:rPr>
          <w:sz w:val="24"/>
          <w:szCs w:val="24"/>
        </w:rPr>
        <w:t>Attachment GS-1</w:t>
      </w:r>
      <w:r w:rsidR="001D1D95">
        <w:rPr>
          <w:sz w:val="24"/>
          <w:szCs w:val="24"/>
        </w:rPr>
        <w:t>3</w:t>
      </w:r>
      <w:r w:rsidR="00F57D2B">
        <w:rPr>
          <w:sz w:val="24"/>
          <w:szCs w:val="24"/>
        </w:rPr>
        <w:t>.</w:t>
      </w:r>
      <w:r w:rsidR="003142F3">
        <w:rPr>
          <w:sz w:val="24"/>
          <w:szCs w:val="24"/>
        </w:rPr>
        <w:t xml:space="preserve"> </w:t>
      </w:r>
      <w:r w:rsidR="005D7841">
        <w:rPr>
          <w:sz w:val="24"/>
          <w:szCs w:val="24"/>
        </w:rPr>
        <w:t xml:space="preserve"> </w:t>
      </w:r>
      <w:r w:rsidR="00143BB0">
        <w:rPr>
          <w:sz w:val="24"/>
          <w:szCs w:val="24"/>
        </w:rPr>
        <w:t xml:space="preserve">Any disruption of service from North Coast or OTP </w:t>
      </w:r>
      <w:r w:rsidR="0047102C">
        <w:rPr>
          <w:sz w:val="24"/>
          <w:szCs w:val="24"/>
        </w:rPr>
        <w:t xml:space="preserve">could </w:t>
      </w:r>
      <w:r w:rsidR="00143BB0">
        <w:rPr>
          <w:sz w:val="24"/>
          <w:szCs w:val="24"/>
        </w:rPr>
        <w:t>put the entire Orwell system served by OTP at risk</w:t>
      </w:r>
      <w:r w:rsidR="0047102C">
        <w:rPr>
          <w:sz w:val="24"/>
          <w:szCs w:val="24"/>
        </w:rPr>
        <w:t xml:space="preserve"> of</w:t>
      </w:r>
      <w:r w:rsidR="00C64D12">
        <w:rPr>
          <w:sz w:val="24"/>
          <w:szCs w:val="24"/>
        </w:rPr>
        <w:t xml:space="preserve"> losing </w:t>
      </w:r>
      <w:r w:rsidR="00221725">
        <w:rPr>
          <w:sz w:val="24"/>
          <w:szCs w:val="24"/>
        </w:rPr>
        <w:t xml:space="preserve">gas </w:t>
      </w:r>
      <w:r w:rsidR="00C64D12">
        <w:rPr>
          <w:sz w:val="24"/>
          <w:szCs w:val="24"/>
        </w:rPr>
        <w:t>service to customers</w:t>
      </w:r>
      <w:r w:rsidR="00143BB0">
        <w:rPr>
          <w:sz w:val="24"/>
          <w:szCs w:val="24"/>
        </w:rPr>
        <w:t>.</w:t>
      </w:r>
      <w:r w:rsidR="003142F3">
        <w:rPr>
          <w:sz w:val="24"/>
          <w:szCs w:val="24"/>
        </w:rPr>
        <w:t xml:space="preserve"> </w:t>
      </w:r>
      <w:r w:rsidR="005D7841">
        <w:rPr>
          <w:sz w:val="24"/>
          <w:szCs w:val="24"/>
        </w:rPr>
        <w:t xml:space="preserve"> </w:t>
      </w:r>
      <w:r w:rsidR="00D06A16">
        <w:rPr>
          <w:sz w:val="24"/>
          <w:szCs w:val="24"/>
        </w:rPr>
        <w:t xml:space="preserve">So not </w:t>
      </w:r>
      <w:r w:rsidR="00FF0EE8">
        <w:rPr>
          <w:sz w:val="24"/>
          <w:szCs w:val="24"/>
        </w:rPr>
        <w:t xml:space="preserve">only would the Dominion taps </w:t>
      </w:r>
      <w:r w:rsidR="00D06A16">
        <w:rPr>
          <w:sz w:val="24"/>
          <w:szCs w:val="24"/>
        </w:rPr>
        <w:t xml:space="preserve">have </w:t>
      </w:r>
      <w:r w:rsidR="00E935E3">
        <w:rPr>
          <w:sz w:val="24"/>
          <w:szCs w:val="24"/>
        </w:rPr>
        <w:t>provide</w:t>
      </w:r>
      <w:r w:rsidR="00D06A16">
        <w:rPr>
          <w:sz w:val="24"/>
          <w:szCs w:val="24"/>
        </w:rPr>
        <w:t xml:space="preserve">d Orwell with another gas supply option for potentially cheaper gas supplies, the interconnects would have also provided </w:t>
      </w:r>
      <w:r w:rsidR="00FF0EE8">
        <w:rPr>
          <w:sz w:val="24"/>
          <w:szCs w:val="24"/>
        </w:rPr>
        <w:t xml:space="preserve">a </w:t>
      </w:r>
      <w:r w:rsidR="00D06A16">
        <w:rPr>
          <w:sz w:val="24"/>
          <w:szCs w:val="24"/>
        </w:rPr>
        <w:t xml:space="preserve">physical </w:t>
      </w:r>
      <w:r w:rsidR="00FF0EE8">
        <w:rPr>
          <w:sz w:val="24"/>
          <w:szCs w:val="24"/>
        </w:rPr>
        <w:t>backup gas supply in the event of a disruption on North Coast or OTP</w:t>
      </w:r>
      <w:r w:rsidR="00D06A16">
        <w:rPr>
          <w:sz w:val="24"/>
          <w:szCs w:val="24"/>
        </w:rPr>
        <w:t>.</w:t>
      </w:r>
      <w:r w:rsidR="005D7841">
        <w:rPr>
          <w:b/>
          <w:i/>
          <w:sz w:val="24"/>
          <w:szCs w:val="24"/>
        </w:rPr>
        <w:br w:type="page"/>
      </w:r>
    </w:p>
    <w:p w:rsidR="00B11BDE" w:rsidRDefault="00B11BDE" w:rsidP="00A054C9">
      <w:pPr>
        <w:autoSpaceDE w:val="0"/>
        <w:spacing w:line="480" w:lineRule="auto"/>
        <w:ind w:left="720" w:hanging="720"/>
        <w:rPr>
          <w:sz w:val="24"/>
          <w:szCs w:val="24"/>
        </w:rPr>
      </w:pPr>
      <w:r w:rsidRPr="00B11BDE">
        <w:rPr>
          <w:b/>
          <w:i/>
          <w:sz w:val="24"/>
          <w:szCs w:val="24"/>
        </w:rPr>
        <w:t>Q3</w:t>
      </w:r>
      <w:r w:rsidR="008B13C1">
        <w:rPr>
          <w:b/>
          <w:i/>
          <w:sz w:val="24"/>
          <w:szCs w:val="24"/>
        </w:rPr>
        <w:t>6</w:t>
      </w:r>
      <w:r w:rsidRPr="00B11BDE">
        <w:rPr>
          <w:b/>
          <w:i/>
          <w:sz w:val="24"/>
          <w:szCs w:val="24"/>
        </w:rPr>
        <w:t>.</w:t>
      </w:r>
      <w:r w:rsidRPr="00B11BDE">
        <w:rPr>
          <w:b/>
          <w:i/>
          <w:sz w:val="24"/>
          <w:szCs w:val="24"/>
        </w:rPr>
        <w:tab/>
        <w:t xml:space="preserve">WOULD </w:t>
      </w:r>
      <w:r w:rsidR="00A3487B">
        <w:rPr>
          <w:b/>
          <w:i/>
          <w:sz w:val="24"/>
          <w:szCs w:val="24"/>
        </w:rPr>
        <w:t xml:space="preserve">ORWELL </w:t>
      </w:r>
      <w:r w:rsidRPr="00B11BDE">
        <w:rPr>
          <w:b/>
          <w:i/>
          <w:sz w:val="24"/>
          <w:szCs w:val="24"/>
        </w:rPr>
        <w:t>HAVE BEEN ABLE TO PURCHASE GAS SUPPLIES FROM DOMINION</w:t>
      </w:r>
      <w:r w:rsidR="00A3487B">
        <w:rPr>
          <w:b/>
          <w:i/>
          <w:sz w:val="24"/>
          <w:szCs w:val="24"/>
        </w:rPr>
        <w:t xml:space="preserve"> </w:t>
      </w:r>
      <w:r w:rsidR="004719B6">
        <w:rPr>
          <w:b/>
          <w:i/>
          <w:sz w:val="24"/>
          <w:szCs w:val="24"/>
        </w:rPr>
        <w:t>DURING THE FIVE</w:t>
      </w:r>
      <w:r w:rsidR="00F2570C">
        <w:rPr>
          <w:b/>
          <w:i/>
          <w:sz w:val="24"/>
          <w:szCs w:val="24"/>
        </w:rPr>
        <w:t>-</w:t>
      </w:r>
      <w:r w:rsidR="004719B6">
        <w:rPr>
          <w:b/>
          <w:i/>
          <w:sz w:val="24"/>
          <w:szCs w:val="24"/>
        </w:rPr>
        <w:t xml:space="preserve">MONTH PERIOD FROM NOVEMBER 2013 THROUGH MARCH 2014 </w:t>
      </w:r>
      <w:r w:rsidR="00A3487B">
        <w:rPr>
          <w:b/>
          <w:i/>
          <w:sz w:val="24"/>
          <w:szCs w:val="24"/>
        </w:rPr>
        <w:t>IF THE DOMINION TAPS WERE STILL IN PLACE</w:t>
      </w:r>
      <w:r w:rsidR="004719B6">
        <w:rPr>
          <w:b/>
          <w:i/>
          <w:sz w:val="24"/>
          <w:szCs w:val="24"/>
        </w:rPr>
        <w:t>?</w:t>
      </w:r>
    </w:p>
    <w:p w:rsidR="00B11BDE" w:rsidRPr="00C560E3" w:rsidRDefault="00B11BDE" w:rsidP="00A054C9">
      <w:pPr>
        <w:autoSpaceDE w:val="0"/>
        <w:spacing w:line="480" w:lineRule="auto"/>
        <w:ind w:left="720" w:hanging="720"/>
        <w:rPr>
          <w:sz w:val="24"/>
          <w:szCs w:val="24"/>
        </w:rPr>
      </w:pPr>
      <w:r w:rsidRPr="00B11BDE">
        <w:rPr>
          <w:b/>
          <w:i/>
          <w:sz w:val="24"/>
          <w:szCs w:val="24"/>
        </w:rPr>
        <w:t>A3</w:t>
      </w:r>
      <w:r w:rsidR="008B13C1">
        <w:rPr>
          <w:b/>
          <w:i/>
          <w:sz w:val="24"/>
          <w:szCs w:val="24"/>
        </w:rPr>
        <w:t>6</w:t>
      </w:r>
      <w:r w:rsidRPr="00B11BDE">
        <w:rPr>
          <w:b/>
          <w:i/>
          <w:sz w:val="24"/>
          <w:szCs w:val="24"/>
        </w:rPr>
        <w:t>.</w:t>
      </w:r>
      <w:r>
        <w:rPr>
          <w:sz w:val="24"/>
          <w:szCs w:val="24"/>
        </w:rPr>
        <w:tab/>
      </w:r>
      <w:r w:rsidR="00047EB2">
        <w:rPr>
          <w:sz w:val="24"/>
          <w:szCs w:val="24"/>
        </w:rPr>
        <w:t xml:space="preserve">Yes, </w:t>
      </w:r>
      <w:r w:rsidR="0095599B">
        <w:rPr>
          <w:sz w:val="24"/>
          <w:szCs w:val="24"/>
        </w:rPr>
        <w:t>if Orwell had not entered into the 2008 contract with OTP</w:t>
      </w:r>
      <w:r w:rsidR="00047EB2">
        <w:rPr>
          <w:sz w:val="24"/>
          <w:szCs w:val="24"/>
        </w:rPr>
        <w:t xml:space="preserve"> </w:t>
      </w:r>
      <w:r w:rsidR="0095599B">
        <w:rPr>
          <w:sz w:val="24"/>
          <w:szCs w:val="24"/>
        </w:rPr>
        <w:t>and the interconnects with Dominion had remained in place</w:t>
      </w:r>
      <w:r w:rsidR="00D45E94">
        <w:rPr>
          <w:sz w:val="24"/>
          <w:szCs w:val="24"/>
        </w:rPr>
        <w:t>,</w:t>
      </w:r>
      <w:r w:rsidR="0095599B">
        <w:rPr>
          <w:sz w:val="24"/>
          <w:szCs w:val="24"/>
        </w:rPr>
        <w:t xml:space="preserve"> </w:t>
      </w:r>
      <w:r w:rsidR="004C5265">
        <w:rPr>
          <w:sz w:val="24"/>
          <w:szCs w:val="24"/>
        </w:rPr>
        <w:t xml:space="preserve">Orwell </w:t>
      </w:r>
      <w:r w:rsidR="00047EB2">
        <w:rPr>
          <w:sz w:val="24"/>
          <w:szCs w:val="24"/>
        </w:rPr>
        <w:t xml:space="preserve">would have been able to purchase gas and transport on Dominion’s system </w:t>
      </w:r>
      <w:r w:rsidR="005A2329">
        <w:rPr>
          <w:sz w:val="24"/>
          <w:szCs w:val="24"/>
        </w:rPr>
        <w:t xml:space="preserve">at any time during the current </w:t>
      </w:r>
      <w:r w:rsidR="00F403A5">
        <w:rPr>
          <w:sz w:val="24"/>
          <w:szCs w:val="24"/>
        </w:rPr>
        <w:t>a</w:t>
      </w:r>
      <w:r w:rsidR="005A2329">
        <w:rPr>
          <w:sz w:val="24"/>
          <w:szCs w:val="24"/>
        </w:rPr>
        <w:t xml:space="preserve">udit period and especially </w:t>
      </w:r>
      <w:r w:rsidR="00047EB2">
        <w:rPr>
          <w:sz w:val="24"/>
          <w:szCs w:val="24"/>
        </w:rPr>
        <w:t>during the five</w:t>
      </w:r>
      <w:r w:rsidR="00F2570C">
        <w:rPr>
          <w:sz w:val="24"/>
          <w:szCs w:val="24"/>
        </w:rPr>
        <w:t>-</w:t>
      </w:r>
      <w:r w:rsidR="00047EB2">
        <w:rPr>
          <w:sz w:val="24"/>
          <w:szCs w:val="24"/>
        </w:rPr>
        <w:t>month period from November 2013 through March 2014.</w:t>
      </w:r>
    </w:p>
    <w:p w:rsidR="00B11BDE" w:rsidRDefault="00B11BDE" w:rsidP="00A054C9">
      <w:pPr>
        <w:autoSpaceDE w:val="0"/>
        <w:spacing w:line="480" w:lineRule="auto"/>
        <w:ind w:left="720" w:hanging="720"/>
        <w:rPr>
          <w:sz w:val="24"/>
          <w:szCs w:val="24"/>
        </w:rPr>
      </w:pPr>
    </w:p>
    <w:p w:rsidR="009A1867" w:rsidRDefault="009A1867" w:rsidP="00A054C9">
      <w:pPr>
        <w:autoSpaceDE w:val="0"/>
        <w:spacing w:line="480" w:lineRule="auto"/>
        <w:ind w:left="720" w:hanging="720"/>
        <w:rPr>
          <w:b/>
          <w:sz w:val="24"/>
          <w:szCs w:val="24"/>
        </w:rPr>
      </w:pPr>
      <w:r w:rsidRPr="009A1867">
        <w:rPr>
          <w:b/>
          <w:sz w:val="24"/>
          <w:szCs w:val="24"/>
        </w:rPr>
        <w:t>VIII</w:t>
      </w:r>
      <w:r>
        <w:rPr>
          <w:b/>
          <w:sz w:val="24"/>
          <w:szCs w:val="24"/>
        </w:rPr>
        <w:t>.</w:t>
      </w:r>
      <w:r>
        <w:rPr>
          <w:b/>
          <w:sz w:val="24"/>
          <w:szCs w:val="24"/>
        </w:rPr>
        <w:tab/>
        <w:t>LOSS OF DOMINION SPECIAL CONTRACT</w:t>
      </w:r>
    </w:p>
    <w:p w:rsidR="009A1867" w:rsidRPr="009A1867" w:rsidRDefault="009A1867" w:rsidP="00A054C9">
      <w:pPr>
        <w:autoSpaceDE w:val="0"/>
        <w:spacing w:line="480" w:lineRule="auto"/>
        <w:ind w:left="720" w:hanging="720"/>
        <w:rPr>
          <w:b/>
          <w:sz w:val="24"/>
          <w:szCs w:val="24"/>
        </w:rPr>
      </w:pPr>
    </w:p>
    <w:p w:rsidR="0004693E" w:rsidRDefault="00B11BDE" w:rsidP="00A054C9">
      <w:pPr>
        <w:autoSpaceDE w:val="0"/>
        <w:spacing w:line="480" w:lineRule="auto"/>
        <w:ind w:left="720" w:hanging="720"/>
        <w:rPr>
          <w:sz w:val="24"/>
          <w:szCs w:val="24"/>
        </w:rPr>
      </w:pPr>
      <w:r w:rsidRPr="0004693E">
        <w:rPr>
          <w:b/>
          <w:i/>
          <w:sz w:val="24"/>
          <w:szCs w:val="24"/>
        </w:rPr>
        <w:t>Q3</w:t>
      </w:r>
      <w:r w:rsidR="008B13C1">
        <w:rPr>
          <w:b/>
          <w:i/>
          <w:sz w:val="24"/>
          <w:szCs w:val="24"/>
        </w:rPr>
        <w:t>7</w:t>
      </w:r>
      <w:r w:rsidRPr="0004693E">
        <w:rPr>
          <w:b/>
          <w:i/>
          <w:sz w:val="24"/>
          <w:szCs w:val="24"/>
        </w:rPr>
        <w:t>.</w:t>
      </w:r>
      <w:r w:rsidRPr="0004693E">
        <w:rPr>
          <w:b/>
          <w:i/>
          <w:sz w:val="24"/>
          <w:szCs w:val="24"/>
        </w:rPr>
        <w:tab/>
      </w:r>
      <w:r w:rsidR="0004693E">
        <w:rPr>
          <w:b/>
          <w:i/>
          <w:sz w:val="24"/>
          <w:szCs w:val="24"/>
        </w:rPr>
        <w:t>IN ADDITION TO OVER PAYING FOR GAS DELIVERED THROUGH OTP, DID THE LOSS OF THE DOMINION SPECIAL TRANSPORTATION CONTRACT CREATE</w:t>
      </w:r>
      <w:r w:rsidR="0004693E" w:rsidRPr="0004693E">
        <w:rPr>
          <w:b/>
          <w:i/>
          <w:sz w:val="24"/>
          <w:szCs w:val="24"/>
        </w:rPr>
        <w:t xml:space="preserve"> ANY ADDITIONAL COSTS TO ORWELL</w:t>
      </w:r>
      <w:r w:rsidR="0004693E">
        <w:rPr>
          <w:b/>
          <w:i/>
          <w:sz w:val="24"/>
          <w:szCs w:val="24"/>
        </w:rPr>
        <w:t xml:space="preserve">’S </w:t>
      </w:r>
      <w:r w:rsidR="0004693E" w:rsidRPr="0004693E">
        <w:rPr>
          <w:b/>
          <w:i/>
          <w:sz w:val="24"/>
          <w:szCs w:val="24"/>
        </w:rPr>
        <w:t>GCR CUSTOMERS</w:t>
      </w:r>
      <w:r w:rsidR="0004693E">
        <w:rPr>
          <w:b/>
          <w:i/>
          <w:sz w:val="24"/>
          <w:szCs w:val="24"/>
        </w:rPr>
        <w:t>?</w:t>
      </w:r>
    </w:p>
    <w:p w:rsidR="005D7841" w:rsidRDefault="0004693E" w:rsidP="005D7841">
      <w:pPr>
        <w:autoSpaceDE w:val="0"/>
        <w:spacing w:line="480" w:lineRule="auto"/>
        <w:ind w:left="720" w:hanging="720"/>
        <w:rPr>
          <w:b/>
          <w:i/>
          <w:sz w:val="24"/>
          <w:szCs w:val="24"/>
        </w:rPr>
      </w:pPr>
      <w:r w:rsidRPr="0004693E">
        <w:rPr>
          <w:b/>
          <w:i/>
          <w:sz w:val="24"/>
          <w:szCs w:val="24"/>
        </w:rPr>
        <w:t>A3</w:t>
      </w:r>
      <w:r w:rsidR="008B13C1">
        <w:rPr>
          <w:b/>
          <w:i/>
          <w:sz w:val="24"/>
          <w:szCs w:val="24"/>
        </w:rPr>
        <w:t>7</w:t>
      </w:r>
      <w:r w:rsidRPr="0004693E">
        <w:rPr>
          <w:b/>
          <w:i/>
          <w:sz w:val="24"/>
          <w:szCs w:val="24"/>
        </w:rPr>
        <w:t>.</w:t>
      </w:r>
      <w:r>
        <w:rPr>
          <w:sz w:val="24"/>
          <w:szCs w:val="24"/>
        </w:rPr>
        <w:tab/>
        <w:t>Yes.</w:t>
      </w:r>
      <w:r w:rsidR="0039277D">
        <w:rPr>
          <w:sz w:val="24"/>
          <w:szCs w:val="24"/>
        </w:rPr>
        <w:t xml:space="preserve"> </w:t>
      </w:r>
      <w:r w:rsidR="005D7841">
        <w:rPr>
          <w:sz w:val="24"/>
          <w:szCs w:val="24"/>
        </w:rPr>
        <w:t xml:space="preserve"> </w:t>
      </w:r>
      <w:r w:rsidR="00F2570C">
        <w:rPr>
          <w:sz w:val="24"/>
          <w:szCs w:val="24"/>
        </w:rPr>
        <w:t>T</w:t>
      </w:r>
      <w:r w:rsidR="001C246B">
        <w:rPr>
          <w:sz w:val="24"/>
          <w:szCs w:val="24"/>
        </w:rPr>
        <w:t xml:space="preserve">he loss of the Dominion Special Transportation Contract also impacted the cost of gas Orwell still purchased from Dominion to serve isolated Orwell distribution systems </w:t>
      </w:r>
      <w:r w:rsidR="00F17F37">
        <w:rPr>
          <w:sz w:val="24"/>
          <w:szCs w:val="24"/>
        </w:rPr>
        <w:t xml:space="preserve">that could only be supplied by Dominion because they were </w:t>
      </w:r>
      <w:r w:rsidR="001C246B">
        <w:rPr>
          <w:sz w:val="24"/>
          <w:szCs w:val="24"/>
        </w:rPr>
        <w:t>not interconnected with gas supplies from OTP.</w:t>
      </w:r>
      <w:r w:rsidR="005D7841">
        <w:rPr>
          <w:b/>
          <w:i/>
          <w:sz w:val="24"/>
          <w:szCs w:val="24"/>
        </w:rPr>
        <w:br w:type="page"/>
      </w:r>
    </w:p>
    <w:p w:rsidR="00746917" w:rsidRDefault="00746917" w:rsidP="00A054C9">
      <w:pPr>
        <w:autoSpaceDE w:val="0"/>
        <w:spacing w:line="480" w:lineRule="auto"/>
        <w:ind w:left="720" w:hanging="720"/>
        <w:rPr>
          <w:b/>
          <w:i/>
          <w:sz w:val="24"/>
          <w:szCs w:val="24"/>
        </w:rPr>
      </w:pPr>
      <w:r w:rsidRPr="00746917">
        <w:rPr>
          <w:b/>
          <w:i/>
          <w:sz w:val="24"/>
          <w:szCs w:val="24"/>
        </w:rPr>
        <w:t>Q3</w:t>
      </w:r>
      <w:r w:rsidR="008B13C1">
        <w:rPr>
          <w:b/>
          <w:i/>
          <w:sz w:val="24"/>
          <w:szCs w:val="24"/>
        </w:rPr>
        <w:t>8</w:t>
      </w:r>
      <w:r w:rsidRPr="00746917">
        <w:rPr>
          <w:b/>
          <w:i/>
          <w:sz w:val="24"/>
          <w:szCs w:val="24"/>
        </w:rPr>
        <w:t>.</w:t>
      </w:r>
      <w:r>
        <w:rPr>
          <w:sz w:val="24"/>
          <w:szCs w:val="24"/>
        </w:rPr>
        <w:tab/>
      </w:r>
      <w:r w:rsidRPr="00CD7001">
        <w:rPr>
          <w:b/>
          <w:i/>
          <w:sz w:val="24"/>
          <w:szCs w:val="24"/>
        </w:rPr>
        <w:t>HAVE YOU CALCULATED HOW MUCH ORWELL HAS OV</w:t>
      </w:r>
      <w:r>
        <w:rPr>
          <w:b/>
          <w:i/>
          <w:sz w:val="24"/>
          <w:szCs w:val="24"/>
        </w:rPr>
        <w:t xml:space="preserve">ERPAID FOR GAS DELIVERED FROM DOMINION </w:t>
      </w:r>
      <w:r w:rsidRPr="00CD7001">
        <w:rPr>
          <w:b/>
          <w:i/>
          <w:sz w:val="24"/>
          <w:szCs w:val="24"/>
        </w:rPr>
        <w:t>DUE TO THE LOSS OF THE D</w:t>
      </w:r>
      <w:r>
        <w:rPr>
          <w:b/>
          <w:i/>
          <w:sz w:val="24"/>
          <w:szCs w:val="24"/>
        </w:rPr>
        <w:t>OMINION</w:t>
      </w:r>
      <w:r w:rsidRPr="00CD7001">
        <w:rPr>
          <w:b/>
          <w:i/>
          <w:sz w:val="24"/>
          <w:szCs w:val="24"/>
        </w:rPr>
        <w:t xml:space="preserve"> SPECIAL CONTRACT</w:t>
      </w:r>
      <w:r>
        <w:rPr>
          <w:b/>
          <w:i/>
          <w:sz w:val="24"/>
          <w:szCs w:val="24"/>
        </w:rPr>
        <w:t>?</w:t>
      </w:r>
    </w:p>
    <w:p w:rsidR="00D45E94" w:rsidRDefault="00746917" w:rsidP="00A054C9">
      <w:pPr>
        <w:autoSpaceDE w:val="0"/>
        <w:spacing w:line="480" w:lineRule="auto"/>
        <w:ind w:left="720" w:hanging="720"/>
        <w:rPr>
          <w:sz w:val="24"/>
          <w:szCs w:val="24"/>
        </w:rPr>
      </w:pPr>
      <w:r w:rsidRPr="00746917">
        <w:rPr>
          <w:b/>
          <w:i/>
          <w:sz w:val="24"/>
          <w:szCs w:val="24"/>
        </w:rPr>
        <w:t>A3</w:t>
      </w:r>
      <w:r w:rsidR="008B13C1">
        <w:rPr>
          <w:b/>
          <w:i/>
          <w:sz w:val="24"/>
          <w:szCs w:val="24"/>
        </w:rPr>
        <w:t>8</w:t>
      </w:r>
      <w:r w:rsidRPr="00746917">
        <w:rPr>
          <w:b/>
          <w:i/>
          <w:sz w:val="24"/>
          <w:szCs w:val="24"/>
        </w:rPr>
        <w:t>.</w:t>
      </w:r>
      <w:r>
        <w:rPr>
          <w:sz w:val="24"/>
          <w:szCs w:val="24"/>
        </w:rPr>
        <w:tab/>
      </w:r>
      <w:r w:rsidR="00C44B07">
        <w:rPr>
          <w:sz w:val="24"/>
          <w:szCs w:val="24"/>
        </w:rPr>
        <w:t>Yes.</w:t>
      </w:r>
      <w:r w:rsidR="00DA0AC7">
        <w:rPr>
          <w:sz w:val="24"/>
          <w:szCs w:val="24"/>
        </w:rPr>
        <w:t xml:space="preserve"> </w:t>
      </w:r>
      <w:r w:rsidR="00F17F37">
        <w:rPr>
          <w:sz w:val="24"/>
          <w:szCs w:val="24"/>
        </w:rPr>
        <w:t xml:space="preserve"> </w:t>
      </w:r>
      <w:r w:rsidR="00D45E94">
        <w:rPr>
          <w:sz w:val="24"/>
          <w:szCs w:val="24"/>
        </w:rPr>
        <w:t>GCR customers paid a total of $205,016 more for gas transported through Dominion than they would have been charged had the Dominion Special Contract with Orwell not been terminated.</w:t>
      </w:r>
    </w:p>
    <w:p w:rsidR="00B341F8" w:rsidRDefault="00B341F8" w:rsidP="00A054C9">
      <w:pPr>
        <w:autoSpaceDE w:val="0"/>
        <w:spacing w:line="480" w:lineRule="auto"/>
        <w:ind w:left="720" w:hanging="720"/>
        <w:rPr>
          <w:sz w:val="24"/>
          <w:szCs w:val="24"/>
        </w:rPr>
      </w:pPr>
    </w:p>
    <w:p w:rsidR="00D45E94" w:rsidRDefault="00D45E94" w:rsidP="00A054C9">
      <w:pPr>
        <w:autoSpaceDE w:val="0"/>
        <w:spacing w:line="480" w:lineRule="auto"/>
        <w:ind w:left="720" w:hanging="720"/>
        <w:rPr>
          <w:sz w:val="24"/>
          <w:szCs w:val="24"/>
        </w:rPr>
      </w:pPr>
      <w:r w:rsidRPr="00781DE8">
        <w:rPr>
          <w:b/>
          <w:i/>
          <w:sz w:val="24"/>
          <w:szCs w:val="24"/>
        </w:rPr>
        <w:t>Q</w:t>
      </w:r>
      <w:r w:rsidR="00781DE8" w:rsidRPr="00781DE8">
        <w:rPr>
          <w:b/>
          <w:i/>
          <w:sz w:val="24"/>
          <w:szCs w:val="24"/>
        </w:rPr>
        <w:t>3</w:t>
      </w:r>
      <w:r w:rsidR="008B13C1">
        <w:rPr>
          <w:b/>
          <w:i/>
          <w:sz w:val="24"/>
          <w:szCs w:val="24"/>
        </w:rPr>
        <w:t>9</w:t>
      </w:r>
      <w:r w:rsidR="00774B2E">
        <w:rPr>
          <w:b/>
          <w:i/>
          <w:sz w:val="24"/>
          <w:szCs w:val="24"/>
        </w:rPr>
        <w:t>.</w:t>
      </w:r>
      <w:r w:rsidR="00D91A7F" w:rsidRPr="00781DE8">
        <w:rPr>
          <w:b/>
          <w:i/>
          <w:sz w:val="24"/>
          <w:szCs w:val="24"/>
        </w:rPr>
        <w:tab/>
      </w:r>
      <w:r w:rsidR="00781DE8" w:rsidRPr="00781DE8">
        <w:rPr>
          <w:b/>
          <w:i/>
          <w:sz w:val="24"/>
          <w:szCs w:val="24"/>
        </w:rPr>
        <w:t>HOW WAS THIS EXCESS AMOUNT CALCULATED?</w:t>
      </w:r>
    </w:p>
    <w:p w:rsidR="00B23E9F" w:rsidRDefault="00D91A7F" w:rsidP="00A054C9">
      <w:pPr>
        <w:autoSpaceDE w:val="0"/>
        <w:spacing w:line="480" w:lineRule="auto"/>
        <w:ind w:left="720" w:hanging="720"/>
        <w:rPr>
          <w:sz w:val="24"/>
          <w:szCs w:val="24"/>
        </w:rPr>
      </w:pPr>
      <w:r w:rsidRPr="00781DE8">
        <w:rPr>
          <w:b/>
          <w:i/>
          <w:sz w:val="24"/>
          <w:szCs w:val="24"/>
        </w:rPr>
        <w:t>A</w:t>
      </w:r>
      <w:r w:rsidR="00781DE8" w:rsidRPr="00781DE8">
        <w:rPr>
          <w:b/>
          <w:i/>
          <w:sz w:val="24"/>
          <w:szCs w:val="24"/>
        </w:rPr>
        <w:t>3</w:t>
      </w:r>
      <w:r w:rsidR="008B13C1">
        <w:rPr>
          <w:b/>
          <w:i/>
          <w:sz w:val="24"/>
          <w:szCs w:val="24"/>
        </w:rPr>
        <w:t>9</w:t>
      </w:r>
      <w:r w:rsidRPr="00781DE8">
        <w:rPr>
          <w:b/>
          <w:i/>
          <w:sz w:val="24"/>
          <w:szCs w:val="24"/>
        </w:rPr>
        <w:t>.</w:t>
      </w:r>
      <w:r>
        <w:rPr>
          <w:sz w:val="24"/>
          <w:szCs w:val="24"/>
        </w:rPr>
        <w:tab/>
      </w:r>
      <w:r w:rsidR="00703842">
        <w:rPr>
          <w:sz w:val="24"/>
          <w:szCs w:val="24"/>
        </w:rPr>
        <w:t xml:space="preserve">In response to OCC discovery, Orwell provided the </w:t>
      </w:r>
      <w:r>
        <w:rPr>
          <w:sz w:val="24"/>
          <w:szCs w:val="24"/>
        </w:rPr>
        <w:t xml:space="preserve">natural </w:t>
      </w:r>
      <w:r w:rsidR="00703842">
        <w:rPr>
          <w:sz w:val="24"/>
          <w:szCs w:val="24"/>
        </w:rPr>
        <w:t xml:space="preserve">gas delivered through the Dominion system for the </w:t>
      </w:r>
      <w:r w:rsidR="005A2329">
        <w:rPr>
          <w:sz w:val="24"/>
          <w:szCs w:val="24"/>
        </w:rPr>
        <w:t xml:space="preserve">current </w:t>
      </w:r>
      <w:r>
        <w:rPr>
          <w:sz w:val="24"/>
          <w:szCs w:val="24"/>
        </w:rPr>
        <w:t>a</w:t>
      </w:r>
      <w:r w:rsidR="00703842">
        <w:rPr>
          <w:sz w:val="24"/>
          <w:szCs w:val="24"/>
        </w:rPr>
        <w:t xml:space="preserve">udit period, attached as </w:t>
      </w:r>
      <w:r w:rsidR="00CD466A">
        <w:rPr>
          <w:sz w:val="24"/>
          <w:szCs w:val="24"/>
        </w:rPr>
        <w:t xml:space="preserve">OCC </w:t>
      </w:r>
      <w:r w:rsidR="00703842">
        <w:rPr>
          <w:sz w:val="24"/>
          <w:szCs w:val="24"/>
        </w:rPr>
        <w:t xml:space="preserve">Attachment GS-14. </w:t>
      </w:r>
      <w:r w:rsidR="00DA0AC7">
        <w:rPr>
          <w:sz w:val="24"/>
          <w:szCs w:val="24"/>
        </w:rPr>
        <w:t xml:space="preserve"> </w:t>
      </w:r>
      <w:r w:rsidR="00703842">
        <w:rPr>
          <w:sz w:val="24"/>
          <w:szCs w:val="24"/>
        </w:rPr>
        <w:t xml:space="preserve">The data provided </w:t>
      </w:r>
      <w:r w:rsidR="009A1867">
        <w:rPr>
          <w:sz w:val="24"/>
          <w:szCs w:val="24"/>
        </w:rPr>
        <w:t xml:space="preserve">by Orwell, shown on </w:t>
      </w:r>
      <w:r w:rsidR="00CD466A">
        <w:rPr>
          <w:sz w:val="24"/>
          <w:szCs w:val="24"/>
        </w:rPr>
        <w:t xml:space="preserve">OCC </w:t>
      </w:r>
      <w:r w:rsidR="009A1867">
        <w:rPr>
          <w:sz w:val="24"/>
          <w:szCs w:val="24"/>
        </w:rPr>
        <w:t xml:space="preserve">Attachment GS-14 </w:t>
      </w:r>
      <w:r w:rsidR="00703842">
        <w:rPr>
          <w:sz w:val="24"/>
          <w:szCs w:val="24"/>
        </w:rPr>
        <w:t>as “Orwell Dominion Supply” shows the gas volumes purchased and delivered to Orwell each month and the cost per Mcf Orwell paid for the gas.</w:t>
      </w:r>
    </w:p>
    <w:p w:rsidR="009A1867" w:rsidRDefault="009A1867" w:rsidP="00A054C9">
      <w:pPr>
        <w:autoSpaceDE w:val="0"/>
        <w:spacing w:line="480" w:lineRule="auto"/>
        <w:ind w:left="720" w:hanging="720"/>
        <w:rPr>
          <w:sz w:val="24"/>
          <w:szCs w:val="24"/>
        </w:rPr>
      </w:pPr>
    </w:p>
    <w:p w:rsidR="009A1867" w:rsidRDefault="009A1867" w:rsidP="00DA0AC7">
      <w:pPr>
        <w:autoSpaceDE w:val="0"/>
        <w:spacing w:line="480" w:lineRule="auto"/>
        <w:ind w:left="720"/>
        <w:rPr>
          <w:sz w:val="24"/>
          <w:szCs w:val="24"/>
        </w:rPr>
      </w:pPr>
      <w:r>
        <w:rPr>
          <w:sz w:val="24"/>
          <w:szCs w:val="24"/>
        </w:rPr>
        <w:t>The calculation of how much Orwell o</w:t>
      </w:r>
      <w:r w:rsidR="004C5265">
        <w:rPr>
          <w:sz w:val="24"/>
          <w:szCs w:val="24"/>
        </w:rPr>
        <w:t>ver</w:t>
      </w:r>
      <w:r>
        <w:rPr>
          <w:sz w:val="24"/>
          <w:szCs w:val="24"/>
        </w:rPr>
        <w:t xml:space="preserve">paid for gas delivered from Dominion, due to the loss of the Dominion Special Contract is shown on </w:t>
      </w:r>
      <w:r w:rsidR="00CD466A">
        <w:rPr>
          <w:sz w:val="24"/>
          <w:szCs w:val="24"/>
        </w:rPr>
        <w:t xml:space="preserve">OCC </w:t>
      </w:r>
      <w:r>
        <w:rPr>
          <w:sz w:val="24"/>
          <w:szCs w:val="24"/>
        </w:rPr>
        <w:t>Attachment GS-14 as the “Added Cost of Terminated Dominion Special Contract</w:t>
      </w:r>
      <w:r w:rsidR="005A2329">
        <w:rPr>
          <w:sz w:val="24"/>
          <w:szCs w:val="24"/>
        </w:rPr>
        <w:t xml:space="preserve">.” </w:t>
      </w:r>
      <w:r w:rsidR="00DA0AC7">
        <w:rPr>
          <w:sz w:val="24"/>
          <w:szCs w:val="24"/>
        </w:rPr>
        <w:t xml:space="preserve"> </w:t>
      </w:r>
      <w:r>
        <w:rPr>
          <w:sz w:val="24"/>
          <w:szCs w:val="24"/>
        </w:rPr>
        <w:t xml:space="preserve">The actual Dominion transportation rate for each month of the </w:t>
      </w:r>
      <w:r w:rsidR="00D91A7F">
        <w:rPr>
          <w:sz w:val="24"/>
          <w:szCs w:val="24"/>
        </w:rPr>
        <w:t>a</w:t>
      </w:r>
      <w:r>
        <w:rPr>
          <w:sz w:val="24"/>
          <w:szCs w:val="24"/>
        </w:rPr>
        <w:t>udit period is calculated by dividing the total monthly</w:t>
      </w:r>
      <w:r w:rsidR="008B77C8">
        <w:rPr>
          <w:sz w:val="24"/>
          <w:szCs w:val="24"/>
        </w:rPr>
        <w:t xml:space="preserve"> Dominion transportation charge, listed on </w:t>
      </w:r>
      <w:r w:rsidR="00CD466A">
        <w:rPr>
          <w:sz w:val="24"/>
          <w:szCs w:val="24"/>
        </w:rPr>
        <w:t xml:space="preserve">OCC </w:t>
      </w:r>
      <w:r w:rsidR="008B77C8">
        <w:rPr>
          <w:sz w:val="24"/>
          <w:szCs w:val="24"/>
        </w:rPr>
        <w:t xml:space="preserve">Attachment GS-14 as </w:t>
      </w:r>
      <w:r w:rsidR="005A2329">
        <w:rPr>
          <w:sz w:val="24"/>
          <w:szCs w:val="24"/>
        </w:rPr>
        <w:t>“DEO Transport,”</w:t>
      </w:r>
      <w:r w:rsidR="008B77C8">
        <w:rPr>
          <w:sz w:val="24"/>
          <w:szCs w:val="24"/>
        </w:rPr>
        <w:t xml:space="preserve"> by the month</w:t>
      </w:r>
      <w:r w:rsidR="005A2329">
        <w:rPr>
          <w:sz w:val="24"/>
          <w:szCs w:val="24"/>
        </w:rPr>
        <w:t>ly volumes delivered to Orwell --</w:t>
      </w:r>
      <w:r w:rsidR="008B77C8">
        <w:rPr>
          <w:sz w:val="24"/>
          <w:szCs w:val="24"/>
        </w:rPr>
        <w:t xml:space="preserve"> shown on the attachment as MCF After Shrink</w:t>
      </w:r>
      <w:r w:rsidR="005A2329">
        <w:rPr>
          <w:sz w:val="24"/>
          <w:szCs w:val="24"/>
        </w:rPr>
        <w:t>.</w:t>
      </w:r>
      <w:r w:rsidR="008B77C8">
        <w:rPr>
          <w:sz w:val="24"/>
          <w:szCs w:val="24"/>
        </w:rPr>
        <w:t xml:space="preserve"> </w:t>
      </w:r>
      <w:r w:rsidR="00DA0AC7">
        <w:rPr>
          <w:sz w:val="24"/>
          <w:szCs w:val="24"/>
        </w:rPr>
        <w:t xml:space="preserve"> </w:t>
      </w:r>
      <w:r w:rsidR="008B77C8">
        <w:rPr>
          <w:sz w:val="24"/>
          <w:szCs w:val="24"/>
        </w:rPr>
        <w:t>The actual monthly Dominion transportation rate is then reduced by the average transportation rate of $</w:t>
      </w:r>
      <w:r w:rsidR="0042211E">
        <w:rPr>
          <w:sz w:val="24"/>
          <w:szCs w:val="24"/>
        </w:rPr>
        <w:t>0.</w:t>
      </w:r>
      <w:r w:rsidR="008B77C8">
        <w:rPr>
          <w:sz w:val="24"/>
          <w:szCs w:val="24"/>
        </w:rPr>
        <w:t>92 per Mcf</w:t>
      </w:r>
      <w:r w:rsidR="00F2570C">
        <w:rPr>
          <w:sz w:val="24"/>
          <w:szCs w:val="24"/>
        </w:rPr>
        <w:t>,</w:t>
      </w:r>
      <w:r w:rsidR="005A2329">
        <w:rPr>
          <w:rStyle w:val="FootnoteReference"/>
          <w:sz w:val="24"/>
          <w:szCs w:val="24"/>
        </w:rPr>
        <w:footnoteReference w:id="53"/>
      </w:r>
      <w:r w:rsidR="008B77C8">
        <w:rPr>
          <w:sz w:val="24"/>
          <w:szCs w:val="24"/>
        </w:rPr>
        <w:t xml:space="preserve"> </w:t>
      </w:r>
      <w:r w:rsidR="00F2570C">
        <w:rPr>
          <w:sz w:val="24"/>
          <w:szCs w:val="24"/>
        </w:rPr>
        <w:t>which</w:t>
      </w:r>
      <w:r w:rsidR="008B77C8">
        <w:rPr>
          <w:sz w:val="24"/>
          <w:szCs w:val="24"/>
        </w:rPr>
        <w:t xml:space="preserve"> Orwell would have paid each month if the Special Contract with Dominion had not been </w:t>
      </w:r>
      <w:r w:rsidR="005A2329">
        <w:rPr>
          <w:sz w:val="24"/>
          <w:szCs w:val="24"/>
        </w:rPr>
        <w:t xml:space="preserve">unreasonably </w:t>
      </w:r>
      <w:r w:rsidR="008B77C8">
        <w:rPr>
          <w:sz w:val="24"/>
          <w:szCs w:val="24"/>
        </w:rPr>
        <w:t>terminated.</w:t>
      </w:r>
    </w:p>
    <w:p w:rsidR="008B77C8" w:rsidRDefault="008B77C8" w:rsidP="00A054C9">
      <w:pPr>
        <w:autoSpaceDE w:val="0"/>
        <w:spacing w:line="480" w:lineRule="auto"/>
        <w:ind w:left="720" w:hanging="720"/>
        <w:rPr>
          <w:sz w:val="24"/>
          <w:szCs w:val="24"/>
        </w:rPr>
      </w:pPr>
    </w:p>
    <w:p w:rsidR="008B77C8" w:rsidRDefault="008B77C8" w:rsidP="00DA0AC7">
      <w:pPr>
        <w:autoSpaceDE w:val="0"/>
        <w:spacing w:line="480" w:lineRule="auto"/>
        <w:ind w:left="720"/>
        <w:rPr>
          <w:sz w:val="24"/>
          <w:szCs w:val="24"/>
        </w:rPr>
      </w:pPr>
      <w:r>
        <w:rPr>
          <w:sz w:val="24"/>
          <w:szCs w:val="24"/>
        </w:rPr>
        <w:t>The total monthly cost premium Orwell paid Dominion for transportation service after the loss of the Dominion Special Contract is shown on the l</w:t>
      </w:r>
      <w:r w:rsidR="005A2329">
        <w:rPr>
          <w:sz w:val="24"/>
          <w:szCs w:val="24"/>
        </w:rPr>
        <w:t xml:space="preserve">ast column of </w:t>
      </w:r>
      <w:r w:rsidR="00CD466A">
        <w:rPr>
          <w:sz w:val="24"/>
          <w:szCs w:val="24"/>
        </w:rPr>
        <w:t xml:space="preserve">OCC </w:t>
      </w:r>
      <w:r w:rsidR="005A2329">
        <w:rPr>
          <w:sz w:val="24"/>
          <w:szCs w:val="24"/>
        </w:rPr>
        <w:t>Attachment GS-14.</w:t>
      </w:r>
      <w:r>
        <w:rPr>
          <w:sz w:val="24"/>
          <w:szCs w:val="24"/>
        </w:rPr>
        <w:t xml:space="preserve"> </w:t>
      </w:r>
      <w:r w:rsidR="00DA0AC7">
        <w:rPr>
          <w:sz w:val="24"/>
          <w:szCs w:val="24"/>
        </w:rPr>
        <w:t xml:space="preserve"> </w:t>
      </w:r>
      <w:r>
        <w:rPr>
          <w:sz w:val="24"/>
          <w:szCs w:val="24"/>
        </w:rPr>
        <w:t xml:space="preserve">As </w:t>
      </w:r>
      <w:r w:rsidR="00CD466A">
        <w:rPr>
          <w:sz w:val="24"/>
          <w:szCs w:val="24"/>
        </w:rPr>
        <w:t xml:space="preserve">OCC </w:t>
      </w:r>
      <w:r>
        <w:rPr>
          <w:sz w:val="24"/>
          <w:szCs w:val="24"/>
        </w:rPr>
        <w:t>Attachment GS-14 shows, GCR customers paid a total of $205,016 more for gas transported through Dominion than they would have been charged had the Dominion Special Contract with Orwell not been terminated.</w:t>
      </w:r>
    </w:p>
    <w:p w:rsidR="00774B2E" w:rsidRDefault="00774B2E" w:rsidP="00A054C9">
      <w:pPr>
        <w:autoSpaceDE w:val="0"/>
        <w:spacing w:line="480" w:lineRule="auto"/>
        <w:ind w:left="720" w:hanging="720"/>
        <w:rPr>
          <w:sz w:val="24"/>
          <w:szCs w:val="24"/>
        </w:rPr>
      </w:pPr>
    </w:p>
    <w:p w:rsidR="000013B5" w:rsidRDefault="00AB60F3" w:rsidP="00A054C9">
      <w:pPr>
        <w:pStyle w:val="BodyTextIndent3"/>
        <w:ind w:left="0"/>
        <w:rPr>
          <w:b/>
          <w:szCs w:val="24"/>
        </w:rPr>
      </w:pPr>
      <w:r>
        <w:rPr>
          <w:b/>
          <w:szCs w:val="24"/>
        </w:rPr>
        <w:t>IX</w:t>
      </w:r>
      <w:r w:rsidR="00B341F8">
        <w:rPr>
          <w:b/>
          <w:szCs w:val="24"/>
        </w:rPr>
        <w:t>.</w:t>
      </w:r>
      <w:r w:rsidR="00B341F8">
        <w:rPr>
          <w:b/>
          <w:szCs w:val="24"/>
        </w:rPr>
        <w:tab/>
      </w:r>
      <w:r w:rsidR="000013B5">
        <w:rPr>
          <w:b/>
          <w:szCs w:val="24"/>
        </w:rPr>
        <w:t>CONCLUSION</w:t>
      </w:r>
    </w:p>
    <w:p w:rsidR="00D06E48" w:rsidRDefault="00D06E48" w:rsidP="00A054C9">
      <w:pPr>
        <w:pStyle w:val="BodyTextIndent3"/>
        <w:ind w:left="0"/>
        <w:rPr>
          <w:b/>
          <w:szCs w:val="24"/>
        </w:rPr>
      </w:pPr>
    </w:p>
    <w:p w:rsidR="00F16381" w:rsidRDefault="00F16381" w:rsidP="00A054C9">
      <w:pPr>
        <w:spacing w:line="480" w:lineRule="auto"/>
        <w:ind w:left="720" w:hanging="720"/>
        <w:rPr>
          <w:b/>
          <w:i/>
          <w:sz w:val="24"/>
          <w:szCs w:val="24"/>
        </w:rPr>
      </w:pPr>
      <w:r>
        <w:rPr>
          <w:b/>
          <w:i/>
          <w:sz w:val="24"/>
          <w:szCs w:val="24"/>
        </w:rPr>
        <w:t>Q</w:t>
      </w:r>
      <w:r w:rsidR="008B13C1">
        <w:rPr>
          <w:b/>
          <w:i/>
          <w:sz w:val="24"/>
          <w:szCs w:val="24"/>
        </w:rPr>
        <w:t>40</w:t>
      </w:r>
      <w:r>
        <w:rPr>
          <w:b/>
          <w:i/>
          <w:sz w:val="24"/>
          <w:szCs w:val="24"/>
        </w:rPr>
        <w:t>.</w:t>
      </w:r>
      <w:r>
        <w:rPr>
          <w:b/>
          <w:i/>
          <w:sz w:val="24"/>
          <w:szCs w:val="24"/>
        </w:rPr>
        <w:tab/>
        <w:t>WHAT IS YOUR RECOMMENDATION?</w:t>
      </w:r>
    </w:p>
    <w:p w:rsidR="00D45E94" w:rsidRDefault="00F16381" w:rsidP="00A054C9">
      <w:pPr>
        <w:spacing w:line="480" w:lineRule="auto"/>
        <w:ind w:left="720" w:hanging="720"/>
        <w:rPr>
          <w:sz w:val="24"/>
          <w:szCs w:val="24"/>
        </w:rPr>
      </w:pPr>
      <w:r>
        <w:rPr>
          <w:b/>
          <w:i/>
          <w:sz w:val="24"/>
          <w:szCs w:val="24"/>
        </w:rPr>
        <w:t>A</w:t>
      </w:r>
      <w:r w:rsidR="008B13C1">
        <w:rPr>
          <w:b/>
          <w:i/>
          <w:sz w:val="24"/>
          <w:szCs w:val="24"/>
        </w:rPr>
        <w:t>40</w:t>
      </w:r>
      <w:r>
        <w:rPr>
          <w:b/>
          <w:i/>
          <w:sz w:val="24"/>
          <w:szCs w:val="24"/>
        </w:rPr>
        <w:t>.</w:t>
      </w:r>
      <w:r>
        <w:rPr>
          <w:b/>
          <w:sz w:val="24"/>
          <w:szCs w:val="24"/>
        </w:rPr>
        <w:tab/>
      </w:r>
      <w:r w:rsidR="00EA04BA">
        <w:rPr>
          <w:sz w:val="24"/>
          <w:szCs w:val="24"/>
        </w:rPr>
        <w:t>B</w:t>
      </w:r>
      <w:r w:rsidR="00D96E3B" w:rsidRPr="00D96E3B">
        <w:rPr>
          <w:sz w:val="24"/>
          <w:szCs w:val="24"/>
        </w:rPr>
        <w:t>ased on the g</w:t>
      </w:r>
      <w:r w:rsidR="00C44B07">
        <w:rPr>
          <w:sz w:val="24"/>
          <w:szCs w:val="24"/>
        </w:rPr>
        <w:t>as purchasing practices between</w:t>
      </w:r>
      <w:r w:rsidR="00D96E3B" w:rsidRPr="00017364">
        <w:rPr>
          <w:sz w:val="24"/>
          <w:szCs w:val="24"/>
        </w:rPr>
        <w:t xml:space="preserve"> Northeast</w:t>
      </w:r>
      <w:r w:rsidR="004D0ED6">
        <w:rPr>
          <w:sz w:val="24"/>
          <w:szCs w:val="24"/>
        </w:rPr>
        <w:t xml:space="preserve"> and Orwell</w:t>
      </w:r>
      <w:r w:rsidR="00D96E3B" w:rsidRPr="00017364">
        <w:rPr>
          <w:sz w:val="24"/>
          <w:szCs w:val="24"/>
        </w:rPr>
        <w:t xml:space="preserve"> and their affiliates during the </w:t>
      </w:r>
      <w:r w:rsidR="004D0ED6">
        <w:rPr>
          <w:sz w:val="24"/>
          <w:szCs w:val="24"/>
        </w:rPr>
        <w:t>201</w:t>
      </w:r>
      <w:r w:rsidR="00D06E48">
        <w:rPr>
          <w:sz w:val="24"/>
          <w:szCs w:val="24"/>
        </w:rPr>
        <w:t>5</w:t>
      </w:r>
      <w:r w:rsidR="004D0ED6">
        <w:rPr>
          <w:sz w:val="24"/>
          <w:szCs w:val="24"/>
        </w:rPr>
        <w:t xml:space="preserve"> A</w:t>
      </w:r>
      <w:r w:rsidR="00D96E3B" w:rsidRPr="00017364">
        <w:rPr>
          <w:sz w:val="24"/>
          <w:szCs w:val="24"/>
        </w:rPr>
        <w:t xml:space="preserve">udit period, as discussed in my testimony, I recommend the </w:t>
      </w:r>
      <w:r w:rsidR="00EC77F9">
        <w:rPr>
          <w:sz w:val="24"/>
          <w:szCs w:val="24"/>
        </w:rPr>
        <w:t>PUCO</w:t>
      </w:r>
      <w:r w:rsidR="00D96E3B" w:rsidRPr="00017364">
        <w:rPr>
          <w:sz w:val="24"/>
          <w:szCs w:val="24"/>
        </w:rPr>
        <w:t xml:space="preserve"> find that the </w:t>
      </w:r>
      <w:r w:rsidR="0006099E">
        <w:rPr>
          <w:sz w:val="24"/>
          <w:szCs w:val="24"/>
        </w:rPr>
        <w:t xml:space="preserve">local production </w:t>
      </w:r>
      <w:r w:rsidR="00D96E3B" w:rsidRPr="00017364">
        <w:rPr>
          <w:sz w:val="24"/>
          <w:szCs w:val="24"/>
        </w:rPr>
        <w:t>gas costs for Northeast</w:t>
      </w:r>
      <w:r w:rsidR="000A5E95">
        <w:rPr>
          <w:sz w:val="24"/>
          <w:szCs w:val="24"/>
        </w:rPr>
        <w:t xml:space="preserve"> and Orwell</w:t>
      </w:r>
      <w:r w:rsidR="00D96E3B" w:rsidRPr="00017364">
        <w:rPr>
          <w:sz w:val="24"/>
          <w:szCs w:val="24"/>
        </w:rPr>
        <w:t xml:space="preserve"> during the </w:t>
      </w:r>
      <w:r w:rsidR="00D06E48">
        <w:rPr>
          <w:sz w:val="24"/>
          <w:szCs w:val="24"/>
        </w:rPr>
        <w:t>2015</w:t>
      </w:r>
      <w:r w:rsidR="00D91A7F">
        <w:rPr>
          <w:sz w:val="24"/>
          <w:szCs w:val="24"/>
        </w:rPr>
        <w:t>a</w:t>
      </w:r>
      <w:r w:rsidR="00D96E3B" w:rsidRPr="00017364">
        <w:rPr>
          <w:sz w:val="24"/>
          <w:szCs w:val="24"/>
        </w:rPr>
        <w:t xml:space="preserve">udit period were </w:t>
      </w:r>
      <w:r w:rsidR="00D91A7F">
        <w:rPr>
          <w:sz w:val="24"/>
          <w:szCs w:val="24"/>
        </w:rPr>
        <w:t xml:space="preserve">unreasonable </w:t>
      </w:r>
      <w:r w:rsidR="00D96E3B" w:rsidRPr="00017364">
        <w:rPr>
          <w:sz w:val="24"/>
          <w:szCs w:val="24"/>
        </w:rPr>
        <w:t xml:space="preserve">and </w:t>
      </w:r>
      <w:r w:rsidR="00D91A7F">
        <w:rPr>
          <w:sz w:val="24"/>
          <w:szCs w:val="24"/>
        </w:rPr>
        <w:t>imprudent</w:t>
      </w:r>
      <w:r w:rsidR="00C44B07">
        <w:rPr>
          <w:sz w:val="24"/>
          <w:szCs w:val="24"/>
        </w:rPr>
        <w:t>.</w:t>
      </w:r>
    </w:p>
    <w:p w:rsidR="00D45E94" w:rsidRDefault="00D45E94" w:rsidP="00A054C9">
      <w:pPr>
        <w:spacing w:line="480" w:lineRule="auto"/>
        <w:ind w:left="720" w:hanging="720"/>
        <w:rPr>
          <w:sz w:val="24"/>
          <w:szCs w:val="24"/>
        </w:rPr>
      </w:pPr>
    </w:p>
    <w:p w:rsidR="00B23E9F" w:rsidRDefault="00983D12" w:rsidP="00A054C9">
      <w:pPr>
        <w:spacing w:line="480" w:lineRule="auto"/>
        <w:ind w:left="720"/>
        <w:rPr>
          <w:sz w:val="24"/>
          <w:szCs w:val="24"/>
        </w:rPr>
      </w:pPr>
      <w:r>
        <w:rPr>
          <w:sz w:val="24"/>
          <w:szCs w:val="24"/>
        </w:rPr>
        <w:t xml:space="preserve">Therefore, </w:t>
      </w:r>
      <w:r w:rsidRPr="00FB0945">
        <w:rPr>
          <w:sz w:val="24"/>
          <w:szCs w:val="24"/>
        </w:rPr>
        <w:t xml:space="preserve">I recommend that the intrastate gas supply from local gas producers provided by JDOG </w:t>
      </w:r>
      <w:r>
        <w:rPr>
          <w:sz w:val="24"/>
          <w:szCs w:val="24"/>
        </w:rPr>
        <w:t xml:space="preserve">Marketing </w:t>
      </w:r>
      <w:r w:rsidRPr="00FB0945">
        <w:rPr>
          <w:sz w:val="24"/>
          <w:szCs w:val="24"/>
        </w:rPr>
        <w:t>and GNR during the audit periods be re-priced</w:t>
      </w:r>
      <w:r>
        <w:rPr>
          <w:sz w:val="24"/>
          <w:szCs w:val="24"/>
        </w:rPr>
        <w:t xml:space="preserve">. </w:t>
      </w:r>
      <w:r w:rsidR="00DA0AC7">
        <w:rPr>
          <w:sz w:val="24"/>
          <w:szCs w:val="24"/>
        </w:rPr>
        <w:t xml:space="preserve"> </w:t>
      </w:r>
      <w:r w:rsidRPr="00FB0945">
        <w:rPr>
          <w:sz w:val="24"/>
          <w:szCs w:val="24"/>
        </w:rPr>
        <w:t xml:space="preserve">It should be re-priced based on the historic difference between the cost of interstate gas and the cost of local production gas prior to the insertion of JDOG </w:t>
      </w:r>
      <w:r>
        <w:rPr>
          <w:sz w:val="24"/>
          <w:szCs w:val="24"/>
        </w:rPr>
        <w:t xml:space="preserve">Marketing </w:t>
      </w:r>
      <w:r w:rsidRPr="00FB0945">
        <w:rPr>
          <w:sz w:val="24"/>
          <w:szCs w:val="24"/>
        </w:rPr>
        <w:t>in 2008 as the asset manager for both Northeast and Orwell</w:t>
      </w:r>
      <w:r>
        <w:rPr>
          <w:sz w:val="24"/>
          <w:szCs w:val="24"/>
        </w:rPr>
        <w:t xml:space="preserve">.  </w:t>
      </w:r>
      <w:r w:rsidR="005471AF">
        <w:rPr>
          <w:sz w:val="24"/>
          <w:szCs w:val="24"/>
        </w:rPr>
        <w:t>I recommend</w:t>
      </w:r>
      <w:r w:rsidR="00D96E3B" w:rsidRPr="00017364">
        <w:rPr>
          <w:sz w:val="24"/>
          <w:szCs w:val="24"/>
        </w:rPr>
        <w:t xml:space="preserve"> that the PUCO order </w:t>
      </w:r>
      <w:r w:rsidR="00D91A7F">
        <w:rPr>
          <w:sz w:val="24"/>
          <w:szCs w:val="24"/>
        </w:rPr>
        <w:t>corresponding</w:t>
      </w:r>
      <w:r w:rsidR="00D96E3B" w:rsidRPr="00017364">
        <w:rPr>
          <w:sz w:val="24"/>
          <w:szCs w:val="24"/>
        </w:rPr>
        <w:t xml:space="preserve"> refunds</w:t>
      </w:r>
      <w:r w:rsidR="005471AF">
        <w:rPr>
          <w:sz w:val="24"/>
          <w:szCs w:val="24"/>
        </w:rPr>
        <w:t xml:space="preserve"> </w:t>
      </w:r>
      <w:r w:rsidR="009143F5">
        <w:rPr>
          <w:sz w:val="24"/>
          <w:szCs w:val="24"/>
        </w:rPr>
        <w:t xml:space="preserve">or reconciliations </w:t>
      </w:r>
      <w:r w:rsidR="005471AF">
        <w:rPr>
          <w:sz w:val="24"/>
          <w:szCs w:val="24"/>
        </w:rPr>
        <w:t>to customers</w:t>
      </w:r>
      <w:r w:rsidR="00D96E3B" w:rsidRPr="00017364">
        <w:rPr>
          <w:sz w:val="24"/>
          <w:szCs w:val="24"/>
        </w:rPr>
        <w:t xml:space="preserve"> of </w:t>
      </w:r>
      <w:r w:rsidR="00D065D5" w:rsidRPr="002E329D">
        <w:rPr>
          <w:sz w:val="24"/>
          <w:szCs w:val="24"/>
        </w:rPr>
        <w:t>$</w:t>
      </w:r>
      <w:r w:rsidR="00D06E48" w:rsidRPr="002E329D">
        <w:rPr>
          <w:sz w:val="24"/>
          <w:szCs w:val="24"/>
        </w:rPr>
        <w:t>671,696</w:t>
      </w:r>
      <w:r w:rsidR="00D96E3B" w:rsidRPr="002E329D">
        <w:rPr>
          <w:sz w:val="24"/>
          <w:szCs w:val="24"/>
        </w:rPr>
        <w:t xml:space="preserve"> f</w:t>
      </w:r>
      <w:r w:rsidR="004D0ED6" w:rsidRPr="002E329D">
        <w:rPr>
          <w:sz w:val="24"/>
          <w:szCs w:val="24"/>
        </w:rPr>
        <w:t>o</w:t>
      </w:r>
      <w:r w:rsidR="00D96E3B" w:rsidRPr="002E329D">
        <w:rPr>
          <w:sz w:val="24"/>
          <w:szCs w:val="24"/>
        </w:rPr>
        <w:t>r</w:t>
      </w:r>
      <w:r w:rsidR="00D96E3B" w:rsidRPr="00017364">
        <w:rPr>
          <w:sz w:val="24"/>
          <w:szCs w:val="24"/>
        </w:rPr>
        <w:t xml:space="preserve"> Northeast</w:t>
      </w:r>
      <w:r w:rsidR="00D065D5">
        <w:rPr>
          <w:sz w:val="24"/>
          <w:szCs w:val="24"/>
        </w:rPr>
        <w:t xml:space="preserve"> </w:t>
      </w:r>
      <w:r w:rsidR="00D065D5" w:rsidRPr="002E329D">
        <w:rPr>
          <w:sz w:val="24"/>
          <w:szCs w:val="24"/>
        </w:rPr>
        <w:t>and $</w:t>
      </w:r>
      <w:r w:rsidR="00D06E48" w:rsidRPr="002E329D">
        <w:rPr>
          <w:sz w:val="24"/>
          <w:szCs w:val="24"/>
        </w:rPr>
        <w:t>25,181</w:t>
      </w:r>
      <w:r w:rsidR="00D065D5">
        <w:rPr>
          <w:sz w:val="24"/>
          <w:szCs w:val="24"/>
        </w:rPr>
        <w:t xml:space="preserve"> f</w:t>
      </w:r>
      <w:r w:rsidR="004D0ED6">
        <w:rPr>
          <w:sz w:val="24"/>
          <w:szCs w:val="24"/>
        </w:rPr>
        <w:t>o</w:t>
      </w:r>
      <w:r w:rsidR="00D065D5">
        <w:rPr>
          <w:sz w:val="24"/>
          <w:szCs w:val="24"/>
        </w:rPr>
        <w:t>r Orwell</w:t>
      </w:r>
      <w:r w:rsidR="00C44B07">
        <w:rPr>
          <w:sz w:val="24"/>
          <w:szCs w:val="24"/>
        </w:rPr>
        <w:t>.</w:t>
      </w:r>
    </w:p>
    <w:p w:rsidR="002D649C" w:rsidRDefault="002D649C" w:rsidP="00A054C9">
      <w:pPr>
        <w:spacing w:line="480" w:lineRule="auto"/>
        <w:ind w:left="720"/>
        <w:rPr>
          <w:b/>
          <w:i/>
          <w:sz w:val="24"/>
          <w:szCs w:val="24"/>
        </w:rPr>
      </w:pPr>
    </w:p>
    <w:p w:rsidR="00983D12" w:rsidRDefault="000A5E95" w:rsidP="00A054C9">
      <w:pPr>
        <w:pStyle w:val="ListParagraph"/>
        <w:spacing w:line="480" w:lineRule="auto"/>
        <w:rPr>
          <w:sz w:val="24"/>
          <w:szCs w:val="24"/>
        </w:rPr>
      </w:pPr>
      <w:r w:rsidRPr="00983D12">
        <w:rPr>
          <w:sz w:val="24"/>
          <w:szCs w:val="24"/>
        </w:rPr>
        <w:t xml:space="preserve">In </w:t>
      </w:r>
      <w:r w:rsidR="00D06E48" w:rsidRPr="00983D12">
        <w:rPr>
          <w:sz w:val="24"/>
          <w:szCs w:val="24"/>
        </w:rPr>
        <w:t>a</w:t>
      </w:r>
      <w:r w:rsidRPr="00983D12">
        <w:rPr>
          <w:sz w:val="24"/>
          <w:szCs w:val="24"/>
        </w:rPr>
        <w:t xml:space="preserve">ddition, </w:t>
      </w:r>
      <w:r w:rsidR="00D96E3B" w:rsidRPr="00983D12">
        <w:rPr>
          <w:sz w:val="24"/>
          <w:szCs w:val="24"/>
        </w:rPr>
        <w:t xml:space="preserve">I recommend that the PUCO terminate </w:t>
      </w:r>
      <w:r w:rsidR="00F2570C">
        <w:rPr>
          <w:sz w:val="24"/>
          <w:szCs w:val="24"/>
        </w:rPr>
        <w:t xml:space="preserve">as unreasonable </w:t>
      </w:r>
      <w:r w:rsidR="00254079" w:rsidRPr="00983D12">
        <w:rPr>
          <w:sz w:val="24"/>
          <w:szCs w:val="24"/>
        </w:rPr>
        <w:t xml:space="preserve">the </w:t>
      </w:r>
      <w:r w:rsidR="00983D12">
        <w:rPr>
          <w:sz w:val="24"/>
          <w:szCs w:val="24"/>
        </w:rPr>
        <w:t xml:space="preserve">2008 gas transportation agreement between </w:t>
      </w:r>
      <w:r w:rsidR="005A2329" w:rsidRPr="00983D12">
        <w:rPr>
          <w:sz w:val="24"/>
          <w:szCs w:val="24"/>
        </w:rPr>
        <w:t xml:space="preserve">Orwell and Brainard </w:t>
      </w:r>
      <w:r w:rsidR="00983D12">
        <w:rPr>
          <w:sz w:val="24"/>
          <w:szCs w:val="24"/>
        </w:rPr>
        <w:t xml:space="preserve">with Orwell Trumbull Pipeline.  </w:t>
      </w:r>
      <w:r w:rsidR="00852AE9">
        <w:rPr>
          <w:sz w:val="24"/>
          <w:szCs w:val="24"/>
        </w:rPr>
        <w:t xml:space="preserve">I also recommend </w:t>
      </w:r>
      <w:r w:rsidR="00F2570C">
        <w:rPr>
          <w:sz w:val="24"/>
          <w:szCs w:val="24"/>
        </w:rPr>
        <w:t>t</w:t>
      </w:r>
      <w:r w:rsidR="00983D12">
        <w:rPr>
          <w:sz w:val="24"/>
          <w:szCs w:val="24"/>
        </w:rPr>
        <w:t xml:space="preserve">he PUCO should </w:t>
      </w:r>
      <w:r w:rsidR="00983D12" w:rsidRPr="00983D12">
        <w:rPr>
          <w:sz w:val="24"/>
          <w:szCs w:val="24"/>
        </w:rPr>
        <w:t>direct Orwell and Brainard to renegotiate a more reasonable agreement</w:t>
      </w:r>
      <w:r w:rsidR="00983D12">
        <w:rPr>
          <w:sz w:val="24"/>
          <w:szCs w:val="24"/>
        </w:rPr>
        <w:t xml:space="preserve"> </w:t>
      </w:r>
      <w:r w:rsidR="00D96E3B" w:rsidRPr="00983D12">
        <w:rPr>
          <w:sz w:val="24"/>
          <w:szCs w:val="24"/>
        </w:rPr>
        <w:t>because the</w:t>
      </w:r>
      <w:r w:rsidR="002D649C" w:rsidRPr="00983D12">
        <w:rPr>
          <w:sz w:val="24"/>
          <w:szCs w:val="24"/>
        </w:rPr>
        <w:t xml:space="preserve"> </w:t>
      </w:r>
      <w:r w:rsidR="00F05827" w:rsidRPr="00983D12">
        <w:rPr>
          <w:sz w:val="24"/>
          <w:szCs w:val="24"/>
        </w:rPr>
        <w:t>agreement w</w:t>
      </w:r>
      <w:r w:rsidR="00983D12">
        <w:rPr>
          <w:sz w:val="24"/>
          <w:szCs w:val="24"/>
        </w:rPr>
        <w:t>as</w:t>
      </w:r>
      <w:r w:rsidR="00F05827" w:rsidRPr="00983D12">
        <w:rPr>
          <w:sz w:val="24"/>
          <w:szCs w:val="24"/>
        </w:rPr>
        <w:t xml:space="preserve"> not </w:t>
      </w:r>
      <w:r w:rsidR="00F2570C">
        <w:rPr>
          <w:sz w:val="24"/>
          <w:szCs w:val="24"/>
        </w:rPr>
        <w:t xml:space="preserve">entered into </w:t>
      </w:r>
      <w:r w:rsidR="00BA6A7B">
        <w:rPr>
          <w:sz w:val="24"/>
          <w:szCs w:val="24"/>
        </w:rPr>
        <w:t>through</w:t>
      </w:r>
      <w:r w:rsidR="00F2570C">
        <w:rPr>
          <w:sz w:val="24"/>
          <w:szCs w:val="24"/>
        </w:rPr>
        <w:t xml:space="preserve"> an</w:t>
      </w:r>
      <w:r w:rsidR="00F05827" w:rsidRPr="00983D12">
        <w:rPr>
          <w:sz w:val="24"/>
          <w:szCs w:val="24"/>
        </w:rPr>
        <w:t xml:space="preserve"> arm’s length negotiation and</w:t>
      </w:r>
      <w:r w:rsidR="00F2570C">
        <w:rPr>
          <w:sz w:val="24"/>
          <w:szCs w:val="24"/>
        </w:rPr>
        <w:t xml:space="preserve">, </w:t>
      </w:r>
      <w:r w:rsidR="00D91A7F">
        <w:rPr>
          <w:sz w:val="24"/>
          <w:szCs w:val="24"/>
        </w:rPr>
        <w:t>consequently</w:t>
      </w:r>
      <w:r w:rsidR="00F2570C">
        <w:rPr>
          <w:sz w:val="24"/>
          <w:szCs w:val="24"/>
        </w:rPr>
        <w:t xml:space="preserve">, </w:t>
      </w:r>
      <w:r w:rsidR="00D96E3B" w:rsidRPr="00983D12">
        <w:rPr>
          <w:sz w:val="24"/>
          <w:szCs w:val="24"/>
        </w:rPr>
        <w:t xml:space="preserve">had a detrimental impact on Orwell’s </w:t>
      </w:r>
      <w:r w:rsidR="00D06E48" w:rsidRPr="00983D12">
        <w:rPr>
          <w:sz w:val="24"/>
          <w:szCs w:val="24"/>
        </w:rPr>
        <w:t xml:space="preserve">and Brainard’s </w:t>
      </w:r>
      <w:r w:rsidR="00D96E3B" w:rsidRPr="00983D12">
        <w:rPr>
          <w:sz w:val="24"/>
          <w:szCs w:val="24"/>
        </w:rPr>
        <w:t>residential customers</w:t>
      </w:r>
      <w:r w:rsidR="003834F6" w:rsidRPr="00983D12">
        <w:rPr>
          <w:sz w:val="24"/>
          <w:szCs w:val="24"/>
        </w:rPr>
        <w:t>’ GCR</w:t>
      </w:r>
      <w:r w:rsidR="00F2570C">
        <w:rPr>
          <w:sz w:val="24"/>
          <w:szCs w:val="24"/>
        </w:rPr>
        <w:t xml:space="preserve"> rates</w:t>
      </w:r>
      <w:r w:rsidR="00B341F8">
        <w:rPr>
          <w:sz w:val="24"/>
          <w:szCs w:val="24"/>
        </w:rPr>
        <w:t>.</w:t>
      </w:r>
    </w:p>
    <w:p w:rsidR="00983D12" w:rsidRPr="00983D12" w:rsidRDefault="00983D12" w:rsidP="00A054C9">
      <w:pPr>
        <w:pStyle w:val="ListParagraph"/>
        <w:spacing w:line="480" w:lineRule="auto"/>
        <w:ind w:left="1080" w:hanging="720"/>
        <w:rPr>
          <w:sz w:val="24"/>
          <w:szCs w:val="24"/>
        </w:rPr>
      </w:pPr>
    </w:p>
    <w:p w:rsidR="00983D12" w:rsidRDefault="00983D12" w:rsidP="00A054C9">
      <w:pPr>
        <w:pStyle w:val="ListParagraph"/>
        <w:spacing w:line="480" w:lineRule="auto"/>
        <w:rPr>
          <w:sz w:val="24"/>
          <w:szCs w:val="24"/>
        </w:rPr>
      </w:pPr>
      <w:r w:rsidRPr="00FB0945">
        <w:rPr>
          <w:sz w:val="24"/>
          <w:szCs w:val="24"/>
        </w:rPr>
        <w:t xml:space="preserve">I also recommend that the </w:t>
      </w:r>
      <w:r>
        <w:rPr>
          <w:sz w:val="24"/>
          <w:szCs w:val="24"/>
        </w:rPr>
        <w:t>PUCO</w:t>
      </w:r>
      <w:r w:rsidRPr="00FB0945">
        <w:rPr>
          <w:sz w:val="24"/>
          <w:szCs w:val="24"/>
        </w:rPr>
        <w:t xml:space="preserve"> require Orwell to </w:t>
      </w:r>
      <w:r w:rsidR="00852AE9">
        <w:rPr>
          <w:sz w:val="24"/>
          <w:szCs w:val="24"/>
        </w:rPr>
        <w:t>pursue</w:t>
      </w:r>
      <w:r w:rsidRPr="00FB0945">
        <w:rPr>
          <w:sz w:val="24"/>
          <w:szCs w:val="24"/>
        </w:rPr>
        <w:t xml:space="preserve"> reinstall</w:t>
      </w:r>
      <w:r w:rsidR="00852AE9">
        <w:rPr>
          <w:sz w:val="24"/>
          <w:szCs w:val="24"/>
        </w:rPr>
        <w:t>ing</w:t>
      </w:r>
      <w:r w:rsidRPr="00FB0945">
        <w:rPr>
          <w:sz w:val="24"/>
          <w:szCs w:val="24"/>
        </w:rPr>
        <w:t xml:space="preserve"> the</w:t>
      </w:r>
      <w:r w:rsidR="00B341F8">
        <w:rPr>
          <w:sz w:val="24"/>
          <w:szCs w:val="24"/>
        </w:rPr>
        <w:t xml:space="preserve"> </w:t>
      </w:r>
      <w:r w:rsidRPr="00FB0945">
        <w:rPr>
          <w:sz w:val="24"/>
          <w:szCs w:val="24"/>
        </w:rPr>
        <w:t>interconnect</w:t>
      </w:r>
      <w:r w:rsidR="00F65907">
        <w:rPr>
          <w:sz w:val="24"/>
          <w:szCs w:val="24"/>
        </w:rPr>
        <w:t>ion</w:t>
      </w:r>
      <w:r w:rsidRPr="00FB0945">
        <w:rPr>
          <w:sz w:val="24"/>
          <w:szCs w:val="24"/>
        </w:rPr>
        <w:t>s with D</w:t>
      </w:r>
      <w:r>
        <w:rPr>
          <w:sz w:val="24"/>
          <w:szCs w:val="24"/>
        </w:rPr>
        <w:t xml:space="preserve">ominion that Orwell abandoned/dismantled after the gas transportation contract with OTP was executed. </w:t>
      </w:r>
      <w:r w:rsidR="00DA0AC7">
        <w:rPr>
          <w:sz w:val="24"/>
          <w:szCs w:val="24"/>
        </w:rPr>
        <w:t xml:space="preserve"> </w:t>
      </w:r>
      <w:r>
        <w:rPr>
          <w:sz w:val="24"/>
          <w:szCs w:val="24"/>
        </w:rPr>
        <w:t>The PUCO should also order that shareholders bear the cost of the new interconnections inasmuch as their abandonment or dismantling was imprudent.</w:t>
      </w:r>
    </w:p>
    <w:p w:rsidR="00F7583F" w:rsidRDefault="00F7583F" w:rsidP="00A054C9">
      <w:pPr>
        <w:pStyle w:val="ListParagraph"/>
        <w:spacing w:line="480" w:lineRule="auto"/>
        <w:rPr>
          <w:sz w:val="24"/>
          <w:szCs w:val="24"/>
        </w:rPr>
      </w:pPr>
    </w:p>
    <w:p w:rsidR="00983D12" w:rsidRDefault="00983D12" w:rsidP="00DA0AC7">
      <w:pPr>
        <w:pStyle w:val="ListParagraph"/>
        <w:spacing w:line="480" w:lineRule="auto"/>
        <w:rPr>
          <w:sz w:val="24"/>
          <w:szCs w:val="24"/>
        </w:rPr>
      </w:pPr>
      <w:r w:rsidRPr="00FB0945">
        <w:rPr>
          <w:sz w:val="24"/>
          <w:szCs w:val="24"/>
        </w:rPr>
        <w:t>With regard to the issue of re</w:t>
      </w:r>
      <w:r w:rsidR="00D91A7F">
        <w:rPr>
          <w:sz w:val="24"/>
          <w:szCs w:val="24"/>
        </w:rPr>
        <w:t>-</w:t>
      </w:r>
      <w:r w:rsidRPr="00FB0945">
        <w:rPr>
          <w:sz w:val="24"/>
          <w:szCs w:val="24"/>
        </w:rPr>
        <w:t xml:space="preserve">pricing the gas transported </w:t>
      </w:r>
      <w:r>
        <w:rPr>
          <w:sz w:val="24"/>
          <w:szCs w:val="24"/>
        </w:rPr>
        <w:t>on OTP, I recommend the PUCO order Orwell to refund $1,653,652 to GCR customers for excessive charges for natural gas delivered through the OTP system during the audit period.</w:t>
      </w:r>
    </w:p>
    <w:p w:rsidR="00D4412B" w:rsidRDefault="00D4412B" w:rsidP="00DA0AC7">
      <w:pPr>
        <w:pStyle w:val="ListParagraph"/>
        <w:spacing w:line="480" w:lineRule="auto"/>
        <w:rPr>
          <w:sz w:val="24"/>
          <w:szCs w:val="24"/>
        </w:rPr>
      </w:pPr>
    </w:p>
    <w:p w:rsidR="00983D12" w:rsidRDefault="00983D12" w:rsidP="00A054C9">
      <w:pPr>
        <w:spacing w:line="480" w:lineRule="auto"/>
        <w:ind w:left="720"/>
        <w:rPr>
          <w:sz w:val="24"/>
          <w:szCs w:val="24"/>
        </w:rPr>
      </w:pPr>
      <w:r w:rsidRPr="00983D12">
        <w:rPr>
          <w:sz w:val="24"/>
          <w:szCs w:val="24"/>
        </w:rPr>
        <w:t>In addition, I recommend the PUCO order Orwell to refund $205,016 to GCR customers for excessive charges for natural gas transportation services on Dominion’s system</w:t>
      </w:r>
      <w:r w:rsidR="00D91A7F">
        <w:rPr>
          <w:sz w:val="24"/>
          <w:szCs w:val="24"/>
        </w:rPr>
        <w:t>.  The refund is necessary</w:t>
      </w:r>
      <w:r w:rsidRPr="00983D12">
        <w:rPr>
          <w:sz w:val="24"/>
          <w:szCs w:val="24"/>
        </w:rPr>
        <w:t xml:space="preserve"> due to the loss of a special gas transportation contract Orwell had with Dominion that was terminated </w:t>
      </w:r>
      <w:r w:rsidR="00F65907">
        <w:rPr>
          <w:sz w:val="24"/>
          <w:szCs w:val="24"/>
        </w:rPr>
        <w:t xml:space="preserve">by Dominion </w:t>
      </w:r>
      <w:r w:rsidRPr="00983D12">
        <w:rPr>
          <w:sz w:val="24"/>
          <w:szCs w:val="24"/>
        </w:rPr>
        <w:t>once Orwell signed the tra</w:t>
      </w:r>
      <w:r w:rsidR="00B341F8">
        <w:rPr>
          <w:sz w:val="24"/>
          <w:szCs w:val="24"/>
        </w:rPr>
        <w:t>nsportation contract with OTP.</w:t>
      </w:r>
    </w:p>
    <w:p w:rsidR="00B341F8" w:rsidRPr="00983D12" w:rsidRDefault="00B341F8" w:rsidP="00A054C9">
      <w:pPr>
        <w:spacing w:line="480" w:lineRule="auto"/>
        <w:ind w:left="720"/>
        <w:rPr>
          <w:sz w:val="24"/>
          <w:szCs w:val="24"/>
        </w:rPr>
      </w:pPr>
    </w:p>
    <w:p w:rsidR="00AB60F3" w:rsidRDefault="00B341F8" w:rsidP="00A054C9">
      <w:pPr>
        <w:spacing w:line="480" w:lineRule="auto"/>
        <w:ind w:left="720"/>
        <w:rPr>
          <w:sz w:val="24"/>
          <w:szCs w:val="24"/>
        </w:rPr>
      </w:pPr>
      <w:r>
        <w:rPr>
          <w:sz w:val="24"/>
          <w:szCs w:val="24"/>
        </w:rPr>
        <w:t xml:space="preserve">Finally I recommend that the PUCO order a complete management Performance Audit (“M/P Audit”) as part of their next GCR review. </w:t>
      </w:r>
      <w:r w:rsidR="00D4412B">
        <w:rPr>
          <w:sz w:val="24"/>
          <w:szCs w:val="24"/>
        </w:rPr>
        <w:t xml:space="preserve"> </w:t>
      </w:r>
      <w:r>
        <w:rPr>
          <w:sz w:val="24"/>
          <w:szCs w:val="24"/>
        </w:rPr>
        <w:t>I recommend that the PUCO retain an independent auditor to conduct the M/P Audit to ensure that the gas purchasing practices and policies of the Utilities result in fair, just, and reasonable gas rates</w:t>
      </w:r>
      <w:r w:rsidR="00BA6A7B">
        <w:rPr>
          <w:sz w:val="24"/>
          <w:szCs w:val="24"/>
        </w:rPr>
        <w:t xml:space="preserve"> to customers</w:t>
      </w:r>
      <w:r>
        <w:rPr>
          <w:sz w:val="24"/>
          <w:szCs w:val="24"/>
        </w:rPr>
        <w:t xml:space="preserve"> and promote minimum prices consistent with an adequate supply of gas.</w:t>
      </w:r>
      <w:r w:rsidR="00D4412B">
        <w:rPr>
          <w:sz w:val="24"/>
          <w:szCs w:val="24"/>
        </w:rPr>
        <w:t xml:space="preserve"> </w:t>
      </w:r>
      <w:r>
        <w:rPr>
          <w:sz w:val="24"/>
          <w:szCs w:val="24"/>
        </w:rPr>
        <w:t xml:space="preserve"> I recommend that the Utilities</w:t>
      </w:r>
      <w:r w:rsidR="00BA6A7B">
        <w:rPr>
          <w:sz w:val="24"/>
          <w:szCs w:val="24"/>
        </w:rPr>
        <w:t>’ shareholders</w:t>
      </w:r>
      <w:r>
        <w:rPr>
          <w:sz w:val="24"/>
          <w:szCs w:val="24"/>
        </w:rPr>
        <w:t xml:space="preserve"> pay for the M/P Audit.</w:t>
      </w:r>
    </w:p>
    <w:p w:rsidR="00B341F8" w:rsidRDefault="00B341F8" w:rsidP="00A054C9">
      <w:pPr>
        <w:spacing w:line="480" w:lineRule="auto"/>
        <w:ind w:left="720"/>
        <w:rPr>
          <w:sz w:val="24"/>
          <w:szCs w:val="24"/>
        </w:rPr>
      </w:pPr>
    </w:p>
    <w:p w:rsidR="00F16381" w:rsidRDefault="00F16381" w:rsidP="00A054C9">
      <w:pPr>
        <w:pStyle w:val="BodyTextIndent3"/>
        <w:ind w:left="720" w:hanging="720"/>
        <w:rPr>
          <w:b/>
          <w:i/>
          <w:szCs w:val="24"/>
        </w:rPr>
      </w:pPr>
      <w:r>
        <w:rPr>
          <w:b/>
          <w:i/>
          <w:szCs w:val="24"/>
        </w:rPr>
        <w:t>Q</w:t>
      </w:r>
      <w:r w:rsidR="00781DE8">
        <w:rPr>
          <w:b/>
          <w:i/>
          <w:szCs w:val="24"/>
        </w:rPr>
        <w:t>4</w:t>
      </w:r>
      <w:r w:rsidR="00A054C9">
        <w:rPr>
          <w:b/>
          <w:i/>
          <w:szCs w:val="24"/>
        </w:rPr>
        <w:t>1</w:t>
      </w:r>
      <w:r>
        <w:rPr>
          <w:b/>
          <w:i/>
          <w:szCs w:val="24"/>
        </w:rPr>
        <w:t>.</w:t>
      </w:r>
      <w:r>
        <w:rPr>
          <w:b/>
          <w:i/>
          <w:szCs w:val="24"/>
        </w:rPr>
        <w:tab/>
        <w:t>DOES THIS CONCLUDE YOUR TESTIMONY AT THIS TIME?</w:t>
      </w:r>
    </w:p>
    <w:p w:rsidR="005E5EAB" w:rsidRDefault="00F16381" w:rsidP="00A054C9">
      <w:pPr>
        <w:pStyle w:val="BodyTextIndent3"/>
        <w:ind w:left="720" w:hanging="720"/>
        <w:rPr>
          <w:szCs w:val="24"/>
        </w:rPr>
        <w:sectPr w:rsidR="005E5EAB" w:rsidSect="00E02DCB">
          <w:headerReference w:type="even" r:id="rId16"/>
          <w:headerReference w:type="default" r:id="rId17"/>
          <w:headerReference w:type="first" r:id="rId18"/>
          <w:pgSz w:w="12240" w:h="15840" w:code="1"/>
          <w:pgMar w:top="1440" w:right="1800" w:bottom="1440" w:left="1800" w:header="720" w:footer="720" w:gutter="0"/>
          <w:lnNumType w:countBy="1"/>
          <w:pgNumType w:start="1"/>
          <w:cols w:space="720"/>
          <w:titlePg/>
          <w:docGrid w:linePitch="326"/>
        </w:sectPr>
      </w:pPr>
      <w:r>
        <w:rPr>
          <w:b/>
          <w:i/>
          <w:szCs w:val="24"/>
        </w:rPr>
        <w:t>A</w:t>
      </w:r>
      <w:r w:rsidR="00781DE8">
        <w:rPr>
          <w:b/>
          <w:i/>
          <w:szCs w:val="24"/>
        </w:rPr>
        <w:t>4</w:t>
      </w:r>
      <w:r w:rsidR="00A054C9">
        <w:rPr>
          <w:b/>
          <w:i/>
          <w:szCs w:val="24"/>
        </w:rPr>
        <w:t>1</w:t>
      </w:r>
      <w:r>
        <w:rPr>
          <w:b/>
          <w:i/>
          <w:szCs w:val="24"/>
        </w:rPr>
        <w:t>.</w:t>
      </w:r>
      <w:r>
        <w:rPr>
          <w:szCs w:val="24"/>
        </w:rPr>
        <w:tab/>
        <w:t xml:space="preserve">Yes, however, I reserve the right to incorporate new information that may </w:t>
      </w:r>
      <w:r w:rsidR="00C44B07">
        <w:rPr>
          <w:szCs w:val="24"/>
        </w:rPr>
        <w:t xml:space="preserve">subsequently become available. </w:t>
      </w:r>
      <w:r w:rsidR="00D4412B">
        <w:rPr>
          <w:szCs w:val="24"/>
        </w:rPr>
        <w:t xml:space="preserve"> </w:t>
      </w:r>
      <w:r>
        <w:rPr>
          <w:szCs w:val="24"/>
        </w:rPr>
        <w:t>I also reserve the right to supplement my testimony in response to positions taken by the PUC</w:t>
      </w:r>
      <w:r w:rsidR="00C44B07">
        <w:rPr>
          <w:szCs w:val="24"/>
        </w:rPr>
        <w:t>O Staff or</w:t>
      </w:r>
      <w:r>
        <w:rPr>
          <w:szCs w:val="24"/>
        </w:rPr>
        <w:t xml:space="preserve"> </w:t>
      </w:r>
      <w:r w:rsidR="0055214B">
        <w:rPr>
          <w:szCs w:val="24"/>
        </w:rPr>
        <w:t>the Utilities</w:t>
      </w:r>
      <w:r>
        <w:rPr>
          <w:szCs w:val="24"/>
        </w:rPr>
        <w:t>.</w:t>
      </w:r>
    </w:p>
    <w:p w:rsidR="00DF4687" w:rsidRPr="00B93611" w:rsidRDefault="00DF4687" w:rsidP="00DF4687">
      <w:pPr>
        <w:jc w:val="center"/>
        <w:rPr>
          <w:b/>
          <w:bCs/>
          <w:sz w:val="24"/>
          <w:u w:val="single"/>
        </w:rPr>
      </w:pPr>
      <w:r w:rsidRPr="00B93611">
        <w:rPr>
          <w:b/>
          <w:bCs/>
          <w:sz w:val="24"/>
          <w:u w:val="single"/>
        </w:rPr>
        <w:t>CERTIFICATE OF SERVICE</w:t>
      </w:r>
    </w:p>
    <w:p w:rsidR="00DF4687" w:rsidRPr="004618A5" w:rsidRDefault="00DF4687" w:rsidP="00DF4687">
      <w:pPr>
        <w:spacing w:before="240" w:line="480" w:lineRule="auto"/>
        <w:ind w:firstLine="720"/>
        <w:rPr>
          <w:sz w:val="24"/>
          <w:szCs w:val="24"/>
        </w:rPr>
      </w:pPr>
      <w:r w:rsidRPr="00B93611">
        <w:rPr>
          <w:sz w:val="24"/>
        </w:rPr>
        <w:tab/>
      </w:r>
      <w:r w:rsidRPr="004618A5">
        <w:rPr>
          <w:sz w:val="24"/>
          <w:szCs w:val="24"/>
        </w:rPr>
        <w:t xml:space="preserve">I hereby certify that a copy of the </w:t>
      </w:r>
      <w:r w:rsidRPr="004618A5">
        <w:rPr>
          <w:i/>
          <w:sz w:val="24"/>
          <w:szCs w:val="24"/>
        </w:rPr>
        <w:t xml:space="preserve">Direct Testimony of </w:t>
      </w:r>
      <w:r>
        <w:rPr>
          <w:i/>
          <w:sz w:val="24"/>
          <w:szCs w:val="24"/>
        </w:rPr>
        <w:t>Gregory Slone</w:t>
      </w:r>
      <w:r w:rsidRPr="004618A5">
        <w:rPr>
          <w:i/>
          <w:sz w:val="24"/>
          <w:szCs w:val="24"/>
        </w:rPr>
        <w:t>, on behalf of the Office of the Ohio Consumers’ Counsel</w:t>
      </w:r>
      <w:r w:rsidRPr="004618A5">
        <w:rPr>
          <w:sz w:val="24"/>
          <w:szCs w:val="24"/>
        </w:rPr>
        <w:t xml:space="preserve">, was served on the persons stated below via electronic service this </w:t>
      </w:r>
      <w:r>
        <w:rPr>
          <w:sz w:val="24"/>
          <w:szCs w:val="24"/>
        </w:rPr>
        <w:t>23rd</w:t>
      </w:r>
      <w:r w:rsidRPr="004618A5">
        <w:rPr>
          <w:sz w:val="24"/>
          <w:szCs w:val="24"/>
        </w:rPr>
        <w:t xml:space="preserve"> day of July, 2015.</w:t>
      </w:r>
    </w:p>
    <w:p w:rsidR="00DF4687" w:rsidRPr="00B93611" w:rsidRDefault="00DF4687" w:rsidP="00DF4687">
      <w:pPr>
        <w:spacing w:line="480" w:lineRule="atLeast"/>
        <w:ind w:right="-24"/>
        <w:rPr>
          <w:sz w:val="24"/>
        </w:rPr>
      </w:pPr>
    </w:p>
    <w:p w:rsidR="00DF4687" w:rsidRPr="00B93611" w:rsidRDefault="00DF4687" w:rsidP="00DF4687">
      <w:pPr>
        <w:tabs>
          <w:tab w:val="left" w:pos="4320"/>
        </w:tabs>
        <w:ind w:right="-24"/>
        <w:rPr>
          <w:i/>
          <w:sz w:val="24"/>
          <w:szCs w:val="24"/>
          <w:u w:val="single"/>
        </w:rPr>
      </w:pPr>
      <w:r w:rsidRPr="00B93611">
        <w:rPr>
          <w:sz w:val="24"/>
          <w:szCs w:val="24"/>
        </w:rPr>
        <w:tab/>
      </w:r>
      <w:r w:rsidRPr="00B93611">
        <w:rPr>
          <w:sz w:val="24"/>
          <w:szCs w:val="24"/>
        </w:rPr>
        <w:tab/>
      </w:r>
      <w:r w:rsidRPr="00B93611">
        <w:rPr>
          <w:i/>
          <w:sz w:val="24"/>
          <w:szCs w:val="24"/>
          <w:u w:val="single"/>
        </w:rPr>
        <w:t>/s/ Joseph P. Serio</w:t>
      </w:r>
      <w:r w:rsidRPr="00B93611">
        <w:rPr>
          <w:i/>
          <w:sz w:val="24"/>
          <w:szCs w:val="24"/>
          <w:u w:val="single"/>
        </w:rPr>
        <w:tab/>
      </w:r>
      <w:r w:rsidRPr="00B93611">
        <w:rPr>
          <w:i/>
          <w:sz w:val="24"/>
          <w:szCs w:val="24"/>
          <w:u w:val="single"/>
        </w:rPr>
        <w:tab/>
      </w:r>
      <w:r w:rsidRPr="00B93611">
        <w:rPr>
          <w:i/>
          <w:sz w:val="24"/>
          <w:szCs w:val="24"/>
          <w:u w:val="single"/>
        </w:rPr>
        <w:tab/>
      </w:r>
    </w:p>
    <w:p w:rsidR="00DF4687" w:rsidRPr="00B93611" w:rsidRDefault="00DF4687" w:rsidP="00DF4687">
      <w:pPr>
        <w:tabs>
          <w:tab w:val="left" w:pos="4320"/>
        </w:tabs>
        <w:ind w:right="720"/>
        <w:rPr>
          <w:sz w:val="24"/>
          <w:szCs w:val="24"/>
        </w:rPr>
      </w:pPr>
      <w:r w:rsidRPr="00B93611">
        <w:rPr>
          <w:sz w:val="24"/>
          <w:szCs w:val="24"/>
        </w:rPr>
        <w:tab/>
      </w:r>
      <w:r w:rsidRPr="00B93611">
        <w:rPr>
          <w:sz w:val="24"/>
          <w:szCs w:val="24"/>
        </w:rPr>
        <w:tab/>
        <w:t>Joseph P. Serio</w:t>
      </w:r>
    </w:p>
    <w:p w:rsidR="00DF4687" w:rsidRPr="00B93611" w:rsidRDefault="00DF4687" w:rsidP="00DF4687">
      <w:pPr>
        <w:tabs>
          <w:tab w:val="left" w:pos="4320"/>
        </w:tabs>
        <w:rPr>
          <w:sz w:val="24"/>
        </w:rPr>
      </w:pPr>
      <w:r w:rsidRPr="00B93611">
        <w:rPr>
          <w:sz w:val="24"/>
          <w:szCs w:val="24"/>
        </w:rPr>
        <w:tab/>
      </w:r>
      <w:r w:rsidRPr="00B93611">
        <w:rPr>
          <w:sz w:val="24"/>
        </w:rPr>
        <w:tab/>
        <w:t>Assistant Consumers’ Counsel</w:t>
      </w:r>
    </w:p>
    <w:p w:rsidR="00DF4687" w:rsidRPr="00B93611" w:rsidRDefault="00DF4687" w:rsidP="00DF4687">
      <w:pPr>
        <w:tabs>
          <w:tab w:val="left" w:pos="4320"/>
        </w:tabs>
        <w:rPr>
          <w:sz w:val="24"/>
        </w:rPr>
      </w:pPr>
    </w:p>
    <w:p w:rsidR="00DF4687" w:rsidRPr="00B93611" w:rsidRDefault="00DF4687" w:rsidP="00DF4687">
      <w:pPr>
        <w:tabs>
          <w:tab w:val="left" w:pos="4320"/>
        </w:tabs>
        <w:rPr>
          <w:b/>
          <w:sz w:val="24"/>
          <w:u w:val="single"/>
        </w:rPr>
      </w:pPr>
    </w:p>
    <w:p w:rsidR="00DF4687" w:rsidRPr="00B93611" w:rsidRDefault="00DF4687" w:rsidP="00DF4687">
      <w:pPr>
        <w:jc w:val="center"/>
        <w:rPr>
          <w:b/>
          <w:sz w:val="24"/>
          <w:u w:val="single"/>
        </w:rPr>
      </w:pPr>
      <w:r w:rsidRPr="00B93611">
        <w:rPr>
          <w:b/>
          <w:sz w:val="24"/>
          <w:u w:val="single"/>
        </w:rPr>
        <w:t>SERVICE LIST</w:t>
      </w:r>
    </w:p>
    <w:p w:rsidR="00DF4687" w:rsidRPr="00B93611" w:rsidRDefault="00DF4687" w:rsidP="00DF4687">
      <w:pPr>
        <w:tabs>
          <w:tab w:val="left" w:pos="4320"/>
        </w:tabs>
        <w:rPr>
          <w:sz w:val="24"/>
        </w:rPr>
      </w:pPr>
    </w:p>
    <w:p w:rsidR="00DF4687" w:rsidRPr="00B93611" w:rsidRDefault="00DF4687" w:rsidP="00DF4687">
      <w:pPr>
        <w:tabs>
          <w:tab w:val="left" w:pos="4320"/>
        </w:tabs>
        <w:rPr>
          <w:sz w:val="24"/>
        </w:rPr>
      </w:pPr>
    </w:p>
    <w:tbl>
      <w:tblPr>
        <w:tblW w:w="9324" w:type="dxa"/>
        <w:tblLayout w:type="fixed"/>
        <w:tblLook w:val="0000" w:firstRow="0" w:lastRow="0" w:firstColumn="0" w:lastColumn="0" w:noHBand="0" w:noVBand="0"/>
      </w:tblPr>
      <w:tblGrid>
        <w:gridCol w:w="4608"/>
        <w:gridCol w:w="4716"/>
      </w:tblGrid>
      <w:tr w:rsidR="00DF4687" w:rsidRPr="00B93611" w:rsidTr="00163A79">
        <w:trPr>
          <w:cantSplit/>
        </w:trPr>
        <w:tc>
          <w:tcPr>
            <w:tcW w:w="4608" w:type="dxa"/>
          </w:tcPr>
          <w:p w:rsidR="00DF4687" w:rsidRDefault="00DF4687" w:rsidP="00163A79">
            <w:pPr>
              <w:pStyle w:val="NoSpacing"/>
              <w:rPr>
                <w:rFonts w:ascii="Times New Roman" w:hAnsi="Times New Roman" w:cs="Times New Roman"/>
                <w:sz w:val="24"/>
                <w:szCs w:val="24"/>
              </w:rPr>
            </w:pPr>
            <w:r w:rsidRPr="007D5202">
              <w:rPr>
                <w:rFonts w:ascii="Times New Roman" w:hAnsi="Times New Roman" w:cs="Times New Roman"/>
                <w:sz w:val="24"/>
                <w:szCs w:val="24"/>
              </w:rPr>
              <w:t>Werner.margard@puc.state.oh.us</w:t>
            </w:r>
          </w:p>
          <w:p w:rsidR="00DF4687" w:rsidRPr="004618A5" w:rsidRDefault="00DF4687" w:rsidP="00163A79">
            <w:pPr>
              <w:pStyle w:val="NoSpacing"/>
              <w:rPr>
                <w:rFonts w:ascii="Times New Roman" w:hAnsi="Times New Roman" w:cs="Times New Roman"/>
                <w:sz w:val="24"/>
                <w:szCs w:val="24"/>
              </w:rPr>
            </w:pPr>
          </w:p>
          <w:p w:rsidR="00DF4687" w:rsidRPr="004618A5" w:rsidRDefault="00DF4687" w:rsidP="00163A79">
            <w:pPr>
              <w:pStyle w:val="NoSpacing"/>
              <w:rPr>
                <w:rFonts w:ascii="Times New Roman" w:eastAsia="Times New Roman" w:hAnsi="Times New Roman" w:cs="Times New Roman"/>
                <w:sz w:val="24"/>
                <w:szCs w:val="24"/>
              </w:rPr>
            </w:pPr>
          </w:p>
          <w:p w:rsidR="00DF4687" w:rsidRDefault="00DF4687" w:rsidP="00163A79">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Examiner</w:t>
            </w:r>
          </w:p>
          <w:p w:rsidR="00DF4687" w:rsidRPr="004618A5" w:rsidRDefault="00DF4687" w:rsidP="00163A79">
            <w:pPr>
              <w:rPr>
                <w:sz w:val="24"/>
                <w:szCs w:val="24"/>
              </w:rPr>
            </w:pPr>
            <w:r w:rsidRPr="007D5202">
              <w:rPr>
                <w:sz w:val="24"/>
                <w:szCs w:val="24"/>
              </w:rPr>
              <w:t>Scott.farkas@puc.state.oh.us</w:t>
            </w:r>
          </w:p>
        </w:tc>
        <w:tc>
          <w:tcPr>
            <w:tcW w:w="4716" w:type="dxa"/>
          </w:tcPr>
          <w:p w:rsidR="00DF4687" w:rsidRPr="00F854FF" w:rsidRDefault="00DF4687" w:rsidP="00163A79">
            <w:pPr>
              <w:pStyle w:val="NoSpacing"/>
              <w:rPr>
                <w:rFonts w:ascii="Times New Roman" w:hAnsi="Times New Roman" w:cs="Times New Roman"/>
                <w:color w:val="0000FF"/>
                <w:sz w:val="24"/>
                <w:szCs w:val="24"/>
              </w:rPr>
            </w:pPr>
            <w:r w:rsidRPr="007D5202">
              <w:rPr>
                <w:rFonts w:ascii="Times New Roman" w:hAnsi="Times New Roman" w:cs="Times New Roman"/>
                <w:sz w:val="24"/>
                <w:szCs w:val="24"/>
              </w:rPr>
              <w:t>myurick@taftlaw.com</w:t>
            </w:r>
          </w:p>
          <w:p w:rsidR="00DF4687" w:rsidRPr="00F854FF" w:rsidRDefault="00DF4687" w:rsidP="00163A79">
            <w:pPr>
              <w:pStyle w:val="NoSpacing"/>
              <w:rPr>
                <w:rFonts w:ascii="Times New Roman" w:hAnsi="Times New Roman" w:cs="Times New Roman"/>
                <w:sz w:val="24"/>
                <w:szCs w:val="24"/>
              </w:rPr>
            </w:pPr>
            <w:r w:rsidRPr="007D5202">
              <w:rPr>
                <w:rFonts w:ascii="Times New Roman" w:hAnsi="Times New Roman" w:cs="Times New Roman"/>
                <w:sz w:val="24"/>
                <w:szCs w:val="24"/>
              </w:rPr>
              <w:t>dparram@taftlaw.com</w:t>
            </w:r>
          </w:p>
          <w:p w:rsidR="00DF4687" w:rsidRPr="004618A5" w:rsidRDefault="00DF4687" w:rsidP="00163A79">
            <w:pPr>
              <w:pStyle w:val="NoSpacing"/>
              <w:rPr>
                <w:rFonts w:ascii="Times New Roman" w:hAnsi="Times New Roman" w:cs="Times New Roman"/>
                <w:sz w:val="24"/>
                <w:szCs w:val="24"/>
              </w:rPr>
            </w:pPr>
          </w:p>
          <w:p w:rsidR="00DF4687" w:rsidRPr="004618A5" w:rsidRDefault="00DF4687" w:rsidP="00163A79">
            <w:pPr>
              <w:pStyle w:val="NoSpacing"/>
              <w:rPr>
                <w:rFonts w:ascii="Times New Roman" w:eastAsia="Times New Roman" w:hAnsi="Times New Roman" w:cs="Times New Roman"/>
                <w:bCs/>
                <w:sz w:val="24"/>
                <w:szCs w:val="24"/>
              </w:rPr>
            </w:pPr>
            <w:r w:rsidRPr="004618A5">
              <w:rPr>
                <w:rFonts w:ascii="Times New Roman" w:eastAsia="Times New Roman" w:hAnsi="Times New Roman" w:cs="Times New Roman"/>
                <w:sz w:val="24"/>
                <w:szCs w:val="24"/>
              </w:rPr>
              <w:t>.</w:t>
            </w:r>
          </w:p>
        </w:tc>
      </w:tr>
    </w:tbl>
    <w:p w:rsidR="00DF4687" w:rsidRPr="00B93611" w:rsidRDefault="00DF4687" w:rsidP="00DF4687">
      <w:pPr>
        <w:rPr>
          <w:sz w:val="24"/>
        </w:rPr>
      </w:pPr>
    </w:p>
    <w:sectPr w:rsidR="00DF4687" w:rsidRPr="00B93611" w:rsidSect="004618A5">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E7" w:rsidRDefault="00CE72E7">
      <w:r>
        <w:separator/>
      </w:r>
    </w:p>
  </w:endnote>
  <w:endnote w:type="continuationSeparator" w:id="0">
    <w:p w:rsidR="00CE72E7" w:rsidRDefault="00CE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DD" w:rsidRDefault="00763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E7" w:rsidRDefault="00CE72E7">
    <w:pPr>
      <w:pStyle w:val="Footer"/>
      <w:jc w:val="center"/>
    </w:pPr>
    <w:r>
      <w:rPr>
        <w:noProof/>
        <w:lang w:eastAsia="en-US"/>
      </w:rPr>
      <mc:AlternateContent>
        <mc:Choice Requires="wps">
          <w:drawing>
            <wp:anchor distT="0" distB="0" distL="0" distR="0" simplePos="0" relativeHeight="251657216" behindDoc="0" locked="0" layoutInCell="1" allowOverlap="1" wp14:anchorId="34E5B7D7" wp14:editId="6BCA8E97">
              <wp:simplePos x="0" y="0"/>
              <wp:positionH relativeFrom="page">
                <wp:posOffset>4001135</wp:posOffset>
              </wp:positionH>
              <wp:positionV relativeFrom="paragraph">
                <wp:posOffset>146685</wp:posOffset>
              </wp:positionV>
              <wp:extent cx="13970" cy="14478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2E7" w:rsidRDefault="00CE72E7">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05pt;margin-top:11.55pt;width:1.1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" stroked="f">
              <v:fill opacity="0"/>
              <v:textbox inset="0,0,0,0">
                <w:txbxContent>
                  <w:p w:rsidR="00CE72E7" w:rsidRDefault="00CE72E7">
                    <w:pPr>
                      <w:pStyle w:val="Footer"/>
                    </w:pPr>
                  </w:p>
                </w:txbxContent>
              </v:textbox>
              <w10:wrap type="square" side="largest" anchorx="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7637DD">
      <w:rPr>
        <w:rStyle w:val="PageNumber"/>
        <w:noProof/>
      </w:rPr>
      <w:t>42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E7" w:rsidRDefault="00CE72E7">
    <w:pPr>
      <w:pStyle w:val="Footer"/>
      <w:jc w:val="center"/>
    </w:pPr>
  </w:p>
  <w:p w:rsidR="00CE72E7" w:rsidRDefault="00CE72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422768"/>
      <w:docPartObj>
        <w:docPartGallery w:val="Page Numbers (Bottom of Page)"/>
        <w:docPartUnique/>
      </w:docPartObj>
    </w:sdtPr>
    <w:sdtEndPr>
      <w:rPr>
        <w:noProof/>
      </w:rPr>
    </w:sdtEndPr>
    <w:sdtContent>
      <w:p w:rsidR="0059142D" w:rsidRDefault="0059142D">
        <w:pPr>
          <w:pStyle w:val="Footer"/>
          <w:jc w:val="center"/>
        </w:pPr>
        <w:r>
          <w:fldChar w:fldCharType="begin"/>
        </w:r>
        <w:r>
          <w:instrText xml:space="preserve"> PAGE   \* MERGEFORMAT </w:instrText>
        </w:r>
        <w:r>
          <w:fldChar w:fldCharType="separate"/>
        </w:r>
        <w:r w:rsidR="00A4594C">
          <w:rPr>
            <w:noProof/>
          </w:rPr>
          <w:t>i</w:t>
        </w:r>
        <w:r>
          <w:rPr>
            <w:noProof/>
          </w:rPr>
          <w:fldChar w:fldCharType="end"/>
        </w:r>
      </w:p>
    </w:sdtContent>
  </w:sdt>
  <w:p w:rsidR="0059142D" w:rsidRDefault="005914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BD" w:rsidRPr="00FA0DBD" w:rsidRDefault="00FA0DBD" w:rsidP="00FA0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E7" w:rsidRDefault="00CE72E7">
      <w:r>
        <w:separator/>
      </w:r>
    </w:p>
  </w:footnote>
  <w:footnote w:type="continuationSeparator" w:id="0">
    <w:p w:rsidR="00CE72E7" w:rsidRDefault="00CE72E7">
      <w:r>
        <w:continuationSeparator/>
      </w:r>
    </w:p>
  </w:footnote>
  <w:footnote w:id="1">
    <w:p w:rsidR="00CE72E7" w:rsidRDefault="00CE72E7" w:rsidP="003E21AE">
      <w:pPr>
        <w:pStyle w:val="FootnoteText"/>
        <w:spacing w:after="120"/>
      </w:pPr>
      <w:r>
        <w:rPr>
          <w:rStyle w:val="FootnoteReference"/>
        </w:rPr>
        <w:footnoteRef/>
      </w:r>
      <w:r>
        <w:t xml:space="preserve"> </w:t>
      </w:r>
      <w:r w:rsidRPr="00460E8D">
        <w:t xml:space="preserve">Some of the contracts OCC received from </w:t>
      </w:r>
      <w:r>
        <w:t xml:space="preserve">the </w:t>
      </w:r>
      <w:r w:rsidRPr="00460E8D">
        <w:t>Staff</w:t>
      </w:r>
      <w:r>
        <w:t xml:space="preserve"> in Case Nos. 10-209-GA-GCR and 10-212-GA-GCR</w:t>
      </w:r>
      <w:r w:rsidRPr="00460E8D">
        <w:t xml:space="preserve"> contain</w:t>
      </w:r>
      <w:r>
        <w:t>ed</w:t>
      </w:r>
      <w:r w:rsidRPr="00460E8D">
        <w:t xml:space="preserve"> markings or hand written notations that were made by </w:t>
      </w:r>
      <w:r>
        <w:t xml:space="preserve">the </w:t>
      </w:r>
      <w:r w:rsidRPr="00460E8D">
        <w:t xml:space="preserve">Staff or the </w:t>
      </w:r>
      <w:r>
        <w:t>Utilities</w:t>
      </w:r>
      <w:r w:rsidRPr="00460E8D">
        <w:t xml:space="preserve">  My review of those contracts did not take any of those markings into consideration</w:t>
      </w:r>
      <w:r>
        <w:t>.</w:t>
      </w:r>
    </w:p>
  </w:footnote>
  <w:footnote w:id="2">
    <w:p w:rsidR="00CE72E7" w:rsidRDefault="00CE72E7" w:rsidP="003E21AE">
      <w:pPr>
        <w:pStyle w:val="FootnoteText"/>
        <w:spacing w:after="120"/>
      </w:pPr>
      <w:r w:rsidRPr="00F10116">
        <w:rPr>
          <w:rStyle w:val="FootnoteReference"/>
        </w:rPr>
        <w:footnoteRef/>
      </w:r>
      <w:r w:rsidRPr="00F10116">
        <w:t xml:space="preserve"> 2012 GCR, Staff Audit Report at 7-8 (February 28, 2013).</w:t>
      </w:r>
    </w:p>
  </w:footnote>
  <w:footnote w:id="3">
    <w:p w:rsidR="00CE72E7" w:rsidRDefault="00CE72E7" w:rsidP="003E21AE">
      <w:pPr>
        <w:pStyle w:val="FootnoteText"/>
        <w:spacing w:after="120"/>
      </w:pPr>
      <w:r>
        <w:rPr>
          <w:rStyle w:val="FootnoteReference"/>
        </w:rPr>
        <w:footnoteRef/>
      </w:r>
      <w:r>
        <w:t xml:space="preserve"> See April 14, 2005 Agreement between Orwell and Dominion, attached as OCC Attachment GS-9.</w:t>
      </w:r>
    </w:p>
  </w:footnote>
  <w:footnote w:id="4">
    <w:p w:rsidR="00CE72E7" w:rsidRDefault="00CE72E7" w:rsidP="003E21AE">
      <w:pPr>
        <w:pStyle w:val="FootnoteText"/>
        <w:spacing w:after="120"/>
      </w:pPr>
      <w:r>
        <w:rPr>
          <w:rStyle w:val="FootnoteReference"/>
        </w:rPr>
        <w:footnoteRef/>
      </w:r>
      <w:r w:rsidRPr="008F2254">
        <w:rPr>
          <w:i/>
        </w:rPr>
        <w:t>In the Matter of the Regulation of the Purchased Gas Adjustment Clauses Contained Within the Rate Schedules of Northeast Ohio Natural Gas Corporation and Orwell Natural Gas Company</w:t>
      </w:r>
      <w:r>
        <w:t>, Case Nos. 12-209-GA-GCR and 12-212-GA-GCR, Direct Testimony of Gregory Slone at 11-30 (July 1, 2013) (“2012 GCR”).</w:t>
      </w:r>
    </w:p>
  </w:footnote>
  <w:footnote w:id="5">
    <w:p w:rsidR="00CE72E7" w:rsidRDefault="00CE72E7" w:rsidP="003E21AE">
      <w:pPr>
        <w:pStyle w:val="FootnoteText"/>
        <w:spacing w:after="120"/>
      </w:pPr>
      <w:r>
        <w:rPr>
          <w:rStyle w:val="FootnoteReference"/>
        </w:rPr>
        <w:footnoteRef/>
      </w:r>
      <w:r>
        <w:t xml:space="preserve"> 2012 GCR, Direct Testimony of Gregory Slone at 11-30 (July 1, 2013).</w:t>
      </w:r>
    </w:p>
  </w:footnote>
  <w:footnote w:id="6">
    <w:p w:rsidR="00CE72E7" w:rsidRDefault="00CE72E7" w:rsidP="003E21AE">
      <w:pPr>
        <w:pStyle w:val="FootnoteText"/>
        <w:spacing w:after="120"/>
      </w:pPr>
      <w:r>
        <w:rPr>
          <w:rStyle w:val="FootnoteReference"/>
        </w:rPr>
        <w:footnoteRef/>
      </w:r>
      <w:r>
        <w:t xml:space="preserve"> 2012 GCR, Direct Testimony of Gregory Slone at 11-30 (July 1, 2013).</w:t>
      </w:r>
    </w:p>
  </w:footnote>
  <w:footnote w:id="7">
    <w:p w:rsidR="00CE72E7" w:rsidRDefault="00CE72E7" w:rsidP="003E21AE">
      <w:pPr>
        <w:pStyle w:val="FootnoteText"/>
        <w:spacing w:after="120"/>
      </w:pPr>
      <w:r>
        <w:rPr>
          <w:rStyle w:val="FootnoteReference"/>
        </w:rPr>
        <w:footnoteRef/>
      </w:r>
      <w:r>
        <w:t xml:space="preserve"> See </w:t>
      </w:r>
      <w:r w:rsidR="00CD466A">
        <w:t xml:space="preserve">OCC </w:t>
      </w:r>
      <w:r>
        <w:t>Attachment GS-2 (Exhibit “A” from Orwell/Northeast/Brainard Discovery Responses).</w:t>
      </w:r>
    </w:p>
  </w:footnote>
  <w:footnote w:id="8">
    <w:p w:rsidR="00CE72E7" w:rsidRDefault="00CE72E7" w:rsidP="003E21AE">
      <w:pPr>
        <w:pStyle w:val="FootnoteText"/>
        <w:spacing w:after="120"/>
      </w:pPr>
      <w:r>
        <w:rPr>
          <w:rStyle w:val="FootnoteReference"/>
        </w:rPr>
        <w:footnoteRef/>
      </w:r>
      <w:r>
        <w:t xml:space="preserve"> The Audit period for Brainard is January 1, 2013 through June 30, 2014.  The Audit period for Orwell is July 1, 2012 through June 30, 2014.  The Audit period for Northeast is March 1, 2012 through June 3</w:t>
      </w:r>
      <w:r w:rsidR="003E21AE">
        <w:t>0, 2014.</w:t>
      </w:r>
    </w:p>
  </w:footnote>
  <w:footnote w:id="9">
    <w:p w:rsidR="00CE72E7" w:rsidRDefault="00CE72E7" w:rsidP="003E21AE">
      <w:pPr>
        <w:pStyle w:val="FootnoteText"/>
        <w:spacing w:after="120"/>
      </w:pPr>
      <w:r>
        <w:rPr>
          <w:rStyle w:val="FootnoteReference"/>
        </w:rPr>
        <w:footnoteRef/>
      </w:r>
      <w:r>
        <w:rPr>
          <w:i/>
        </w:rPr>
        <w:t xml:space="preserve"> </w:t>
      </w:r>
      <w:r>
        <w:t>2012 GCR, Direct Testimony of Gregory Slone at 20-25 (July 1, 2013).</w:t>
      </w:r>
    </w:p>
  </w:footnote>
  <w:footnote w:id="10">
    <w:p w:rsidR="00CE72E7" w:rsidRDefault="00CE72E7" w:rsidP="003E21AE">
      <w:pPr>
        <w:pStyle w:val="FootnoteText"/>
        <w:spacing w:after="120"/>
      </w:pPr>
      <w:r>
        <w:rPr>
          <w:rStyle w:val="FootnoteReference"/>
        </w:rPr>
        <w:footnoteRef/>
      </w:r>
      <w:r>
        <w:t xml:space="preserve"> 2012 GCR, Opinion and Order at 35 (November 13, 2013).</w:t>
      </w:r>
    </w:p>
  </w:footnote>
  <w:footnote w:id="11">
    <w:p w:rsidR="00CE72E7" w:rsidRDefault="00CE72E7" w:rsidP="003E21AE">
      <w:pPr>
        <w:pStyle w:val="FootnoteText"/>
        <w:spacing w:after="120"/>
      </w:pPr>
      <w:r>
        <w:rPr>
          <w:rStyle w:val="FootnoteReference"/>
        </w:rPr>
        <w:footnoteRef/>
      </w:r>
      <w:r>
        <w:t xml:space="preserve"> 2012 GCR, Opinion and Order at 27 and 39 (November 13, 2013).</w:t>
      </w:r>
    </w:p>
  </w:footnote>
  <w:footnote w:id="12">
    <w:p w:rsidR="00CE72E7" w:rsidRDefault="00CE72E7" w:rsidP="003E21AE">
      <w:pPr>
        <w:pStyle w:val="FootnoteText"/>
        <w:spacing w:after="120"/>
      </w:pPr>
      <w:r>
        <w:rPr>
          <w:rStyle w:val="FootnoteReference"/>
        </w:rPr>
        <w:footnoteRef/>
      </w:r>
      <w:r>
        <w:t xml:space="preserve"> Id at 42.</w:t>
      </w:r>
    </w:p>
  </w:footnote>
  <w:footnote w:id="13">
    <w:p w:rsidR="00CE72E7" w:rsidRDefault="00CE72E7" w:rsidP="003E21AE">
      <w:pPr>
        <w:pStyle w:val="FootnoteText"/>
        <w:spacing w:after="120"/>
      </w:pPr>
      <w:r>
        <w:rPr>
          <w:rStyle w:val="FootnoteReference"/>
        </w:rPr>
        <w:footnoteRef/>
      </w:r>
      <w:r>
        <w:t xml:space="preserve"> Id. at 44-45.</w:t>
      </w:r>
    </w:p>
  </w:footnote>
  <w:footnote w:id="14">
    <w:p w:rsidR="00CE72E7" w:rsidRDefault="00CE72E7" w:rsidP="003E21AE">
      <w:pPr>
        <w:pStyle w:val="FootnoteText"/>
        <w:spacing w:after="120"/>
      </w:pPr>
      <w:r>
        <w:rPr>
          <w:rStyle w:val="FootnoteReference"/>
        </w:rPr>
        <w:footnoteRef/>
      </w:r>
      <w:r>
        <w:t xml:space="preserve"> Id at 62.</w:t>
      </w:r>
    </w:p>
  </w:footnote>
  <w:footnote w:id="15">
    <w:p w:rsidR="00CE72E7" w:rsidRDefault="00CE72E7" w:rsidP="003E21AE">
      <w:pPr>
        <w:pStyle w:val="FootnoteText"/>
        <w:spacing w:after="120"/>
      </w:pPr>
      <w:r>
        <w:rPr>
          <w:rStyle w:val="FootnoteReference"/>
        </w:rPr>
        <w:footnoteRef/>
      </w:r>
      <w:r>
        <w:t xml:space="preserve"> Staff Audit Report at 14 (January 27, 2015).</w:t>
      </w:r>
    </w:p>
  </w:footnote>
  <w:footnote w:id="16">
    <w:p w:rsidR="00CE72E7" w:rsidRDefault="00CE72E7" w:rsidP="003E21AE">
      <w:pPr>
        <w:pStyle w:val="FootnoteText"/>
        <w:spacing w:after="120"/>
      </w:pPr>
      <w:r>
        <w:rPr>
          <w:rStyle w:val="FootnoteReference"/>
        </w:rPr>
        <w:footnoteRef/>
      </w:r>
      <w:r>
        <w:t xml:space="preserve"> Staff Audit Report at 15 (January 27, 2015).</w:t>
      </w:r>
    </w:p>
  </w:footnote>
  <w:footnote w:id="17">
    <w:p w:rsidR="00CE72E7" w:rsidRDefault="00CE72E7" w:rsidP="003E21AE">
      <w:pPr>
        <w:pStyle w:val="FootnoteText"/>
        <w:spacing w:after="120"/>
      </w:pPr>
      <w:r>
        <w:rPr>
          <w:rStyle w:val="FootnoteReference"/>
        </w:rPr>
        <w:footnoteRef/>
      </w:r>
      <w:r>
        <w:t xml:space="preserve"> Staff Audit Report at 16, 29 and 31 (January 27, 2015).</w:t>
      </w:r>
    </w:p>
  </w:footnote>
  <w:footnote w:id="18">
    <w:p w:rsidR="00CE72E7" w:rsidRDefault="00CE72E7" w:rsidP="003E21AE">
      <w:pPr>
        <w:pStyle w:val="FootnoteText"/>
        <w:spacing w:after="120"/>
      </w:pPr>
      <w:r>
        <w:rPr>
          <w:rStyle w:val="FootnoteReference"/>
        </w:rPr>
        <w:footnoteRef/>
      </w:r>
      <w:r>
        <w:t xml:space="preserve"> Staff Audit Report at 15 (January 27, 2015).</w:t>
      </w:r>
    </w:p>
  </w:footnote>
  <w:footnote w:id="19">
    <w:p w:rsidR="00CE72E7" w:rsidRDefault="00CE72E7" w:rsidP="003E21AE">
      <w:pPr>
        <w:pStyle w:val="FootnoteText"/>
        <w:spacing w:after="120"/>
      </w:pPr>
      <w:r>
        <w:rPr>
          <w:rStyle w:val="FootnoteReference"/>
        </w:rPr>
        <w:footnoteRef/>
      </w:r>
      <w:r>
        <w:t xml:space="preserve"> 2012 GCR, Opinion and Order at 45.</w:t>
      </w:r>
    </w:p>
  </w:footnote>
  <w:footnote w:id="20">
    <w:p w:rsidR="00CE72E7" w:rsidRPr="003A4519" w:rsidRDefault="00CE72E7" w:rsidP="003E21AE">
      <w:pPr>
        <w:pStyle w:val="FootnoteText"/>
        <w:spacing w:after="120"/>
      </w:pPr>
      <w:r w:rsidRPr="000E71C2">
        <w:rPr>
          <w:rStyle w:val="FootnoteReference"/>
        </w:rPr>
        <w:footnoteRef/>
      </w:r>
      <w:r>
        <w:t xml:space="preserve"> </w:t>
      </w:r>
      <w:r w:rsidRPr="007C4544">
        <w:rPr>
          <w:i/>
        </w:rPr>
        <w:t>In the Matter of the Purchased Gas Adjustment Clause Contained Within the Rate Schedule of Northeast Natural Gas Corporation</w:t>
      </w:r>
      <w:r>
        <w:t xml:space="preserve">, Case No. 10-209-GA-GCR, and </w:t>
      </w:r>
      <w:r w:rsidRPr="007C4544">
        <w:rPr>
          <w:i/>
        </w:rPr>
        <w:t>In the Matter of the Purchased Gas Adjustment Clause Contained Within the Rate Schedule of Orwell Natural Gas Company</w:t>
      </w:r>
      <w:r>
        <w:t xml:space="preserve">, Case No. 10-212-GA-GCR, </w:t>
      </w:r>
      <w:r w:rsidRPr="003A4519">
        <w:t>Testimony of Stephen G. Rigo at 1 (April 8, 2011); Tr. Vol. III at 400 (Rigo)(May 11, 2011). Tr. Vol. IV at 787-788 (Smith)(May 12, 2011).</w:t>
      </w:r>
    </w:p>
  </w:footnote>
  <w:footnote w:id="21">
    <w:p w:rsidR="00CE72E7" w:rsidRPr="003A4519" w:rsidRDefault="00CE72E7" w:rsidP="003E21AE">
      <w:pPr>
        <w:pStyle w:val="FootnoteText"/>
        <w:spacing w:after="120"/>
      </w:pPr>
      <w:r w:rsidRPr="003A4519">
        <w:rPr>
          <w:rStyle w:val="FootnoteReference"/>
        </w:rPr>
        <w:footnoteRef/>
      </w:r>
      <w:r w:rsidRPr="003A4519">
        <w:t xml:space="preserve"> 2014 Staff Audit Report at 8 (January 27, 2015).</w:t>
      </w:r>
    </w:p>
  </w:footnote>
  <w:footnote w:id="22">
    <w:p w:rsidR="00CE72E7" w:rsidRDefault="00CE72E7" w:rsidP="003E21AE">
      <w:pPr>
        <w:pStyle w:val="FootnoteText"/>
        <w:spacing w:after="120"/>
      </w:pPr>
      <w:r w:rsidRPr="003A4519">
        <w:rPr>
          <w:rStyle w:val="FootnoteReference"/>
        </w:rPr>
        <w:footnoteRef/>
      </w:r>
      <w:r w:rsidRPr="003A4519">
        <w:t xml:space="preserve"> 2012 Staff Audit Report at 8 (February 28, 2013).</w:t>
      </w:r>
    </w:p>
  </w:footnote>
  <w:footnote w:id="23">
    <w:p w:rsidR="00CE72E7" w:rsidRDefault="00CE72E7" w:rsidP="003E21AE">
      <w:pPr>
        <w:pStyle w:val="FootnoteText"/>
        <w:spacing w:after="120"/>
      </w:pPr>
      <w:r w:rsidRPr="0004081C">
        <w:rPr>
          <w:rStyle w:val="FootnoteReference"/>
        </w:rPr>
        <w:footnoteRef/>
      </w:r>
      <w:r w:rsidRPr="0004081C">
        <w:t xml:space="preserve"> </w:t>
      </w:r>
      <w:r w:rsidRPr="003A4519">
        <w:t xml:space="preserve">2014 Staff Audit Report at </w:t>
      </w:r>
      <w:r>
        <w:t>6</w:t>
      </w:r>
      <w:r w:rsidRPr="003A4519">
        <w:t xml:space="preserve"> (January 27, 2015).</w:t>
      </w:r>
      <w:r>
        <w:t xml:space="preserve"> </w:t>
      </w:r>
    </w:p>
  </w:footnote>
  <w:footnote w:id="24">
    <w:p w:rsidR="00CE72E7" w:rsidRDefault="00CE72E7" w:rsidP="003E21AE">
      <w:pPr>
        <w:pStyle w:val="FootnoteText"/>
        <w:spacing w:after="120"/>
      </w:pPr>
      <w:r>
        <w:rPr>
          <w:rStyle w:val="FootnoteReference"/>
        </w:rPr>
        <w:footnoteRef/>
      </w:r>
      <w:r>
        <w:t xml:space="preserve"> See, July 1, 2008 Natural Gas Transportation Service Agreement attach</w:t>
      </w:r>
      <w:r w:rsidR="003E21AE">
        <w:t>ed as OCC Attachment GS-5 at 9.</w:t>
      </w:r>
    </w:p>
  </w:footnote>
  <w:footnote w:id="25">
    <w:p w:rsidR="00CE72E7" w:rsidRDefault="00CE72E7" w:rsidP="003E21AE">
      <w:pPr>
        <w:pStyle w:val="FootnoteText"/>
        <w:spacing w:after="120"/>
      </w:pPr>
      <w:r>
        <w:rPr>
          <w:rStyle w:val="FootnoteReference"/>
        </w:rPr>
        <w:footnoteRef/>
      </w:r>
      <w:r>
        <w:t xml:space="preserve"> 2012 GCR, Direct Testimony of Stephen G. Rigo at 1 (April 8, 2011); Tr. </w:t>
      </w:r>
      <w:r w:rsidRPr="00734020">
        <w:t xml:space="preserve">Vol. </w:t>
      </w:r>
      <w:r>
        <w:t xml:space="preserve">III at 400 (Rigo)(May 11, 2011). Tr. </w:t>
      </w:r>
      <w:r w:rsidRPr="00734020">
        <w:t>Vol. IV at 787</w:t>
      </w:r>
      <w:r>
        <w:t>-788 (Smith)(May 12, 2011).</w:t>
      </w:r>
    </w:p>
  </w:footnote>
  <w:footnote w:id="26">
    <w:p w:rsidR="00CE72E7" w:rsidRDefault="00CE72E7" w:rsidP="003E21AE">
      <w:pPr>
        <w:pStyle w:val="FootnoteText"/>
        <w:spacing w:after="120"/>
      </w:pPr>
      <w:r>
        <w:rPr>
          <w:rStyle w:val="FootnoteReference"/>
        </w:rPr>
        <w:footnoteRef/>
      </w:r>
      <w:r>
        <w:t xml:space="preserve"> Both Mcf and Dth are simply units of measure used to determine the amount of natural gas transported or consumed.  Mcf if measured in cubic feet and Dth is measured in therms or btus. </w:t>
      </w:r>
      <w:r w:rsidR="003E21AE">
        <w:t xml:space="preserve"> </w:t>
      </w:r>
      <w:r>
        <w:t>Typically, one Dth equally approximately 970 cubic feet of natural gas.</w:t>
      </w:r>
      <w:r w:rsidR="003E21AE">
        <w:t xml:space="preserve"> </w:t>
      </w:r>
      <w:r>
        <w:t xml:space="preserve"> One Mcf equals 1,000 cubic feet of natural gas.</w:t>
      </w:r>
    </w:p>
  </w:footnote>
  <w:footnote w:id="27">
    <w:p w:rsidR="00CE72E7" w:rsidRDefault="00CE72E7" w:rsidP="003E21AE">
      <w:pPr>
        <w:pStyle w:val="FootnoteText"/>
        <w:spacing w:after="120"/>
      </w:pPr>
      <w:r>
        <w:rPr>
          <w:rStyle w:val="FootnoteReference"/>
        </w:rPr>
        <w:footnoteRef/>
      </w:r>
      <w:r>
        <w:t xml:space="preserve"> See, July 1, 2008 Natural Gas Transportation Service Agreement between Orwell and OTP at 5, attached as OCC Attachment GS-5</w:t>
      </w:r>
      <w:r w:rsidRPr="001402BC">
        <w:t>.</w:t>
      </w:r>
    </w:p>
  </w:footnote>
  <w:footnote w:id="28">
    <w:p w:rsidR="00CE72E7" w:rsidRDefault="00CE72E7" w:rsidP="003E21AE">
      <w:pPr>
        <w:pStyle w:val="FootnoteText"/>
        <w:spacing w:after="120"/>
      </w:pPr>
      <w:r>
        <w:rPr>
          <w:rStyle w:val="FootnoteReference"/>
        </w:rPr>
        <w:footnoteRef/>
      </w:r>
      <w:r>
        <w:t xml:space="preserve"> See, January 24, 2008 Transportation Service Agreement between Orwell and Cobra at 1, attached as OCC Attachment GS-6.</w:t>
      </w:r>
    </w:p>
  </w:footnote>
  <w:footnote w:id="29">
    <w:p w:rsidR="00CE72E7" w:rsidRDefault="00CE72E7" w:rsidP="003E21AE">
      <w:pPr>
        <w:pStyle w:val="FootnoteText"/>
        <w:spacing w:after="120"/>
      </w:pPr>
      <w:r>
        <w:rPr>
          <w:rStyle w:val="FootnoteReference"/>
        </w:rPr>
        <w:footnoteRef/>
      </w:r>
      <w:r>
        <w:t xml:space="preserve"> See February 28, 2014 Transportation Service Agreement between Orwell and Spelman at 2, attached as OCC Attachment GS-7.</w:t>
      </w:r>
    </w:p>
  </w:footnote>
  <w:footnote w:id="30">
    <w:p w:rsidR="00CE72E7" w:rsidRDefault="00CE72E7" w:rsidP="003E21AE">
      <w:pPr>
        <w:pStyle w:val="FootnoteText"/>
        <w:spacing w:after="120"/>
      </w:pPr>
      <w:r>
        <w:rPr>
          <w:rStyle w:val="FootnoteReference"/>
        </w:rPr>
        <w:footnoteRef/>
      </w:r>
      <w:r>
        <w:t xml:space="preserve"> See August 23, 2004 Transportation Service Agreement between Orwell and North Coast at 16, attached as OCC Attachment GS-8.</w:t>
      </w:r>
    </w:p>
  </w:footnote>
  <w:footnote w:id="31">
    <w:p w:rsidR="00CE72E7" w:rsidRDefault="00CE72E7" w:rsidP="003E21AE">
      <w:pPr>
        <w:pStyle w:val="FootnoteText"/>
        <w:spacing w:after="120"/>
      </w:pPr>
      <w:r>
        <w:rPr>
          <w:rStyle w:val="FootnoteReference"/>
        </w:rPr>
        <w:footnoteRef/>
      </w:r>
      <w:r>
        <w:t xml:space="preserve"> Both Mcf and Dth are simply units of measure used to determine the amount of natural gas transported or consumed.  Mcf if measured in cubic feet and Dth is measured in therms or btus. </w:t>
      </w:r>
      <w:r w:rsidR="003E21AE">
        <w:t xml:space="preserve"> </w:t>
      </w:r>
      <w:r>
        <w:t xml:space="preserve">Typically, one Dth equally approximately 970 cubic feet of natural gas. </w:t>
      </w:r>
      <w:r w:rsidR="003E21AE">
        <w:t xml:space="preserve"> </w:t>
      </w:r>
      <w:r>
        <w:t>One Mcf equals 1</w:t>
      </w:r>
      <w:r w:rsidR="003E21AE">
        <w:t>,000 cubic feet of natural gas.</w:t>
      </w:r>
    </w:p>
  </w:footnote>
  <w:footnote w:id="32">
    <w:p w:rsidR="00CE72E7" w:rsidRDefault="00CE72E7" w:rsidP="003E21AE">
      <w:pPr>
        <w:pStyle w:val="FootnoteText"/>
        <w:spacing w:after="120"/>
      </w:pPr>
      <w:r>
        <w:rPr>
          <w:rStyle w:val="FootnoteReference"/>
        </w:rPr>
        <w:footnoteRef/>
      </w:r>
      <w:r>
        <w:t xml:space="preserve"> See, July 1, 2008 Natural Gas Transportation Service Agreement between Orwell and OTP at 11, attached as OCC Attachment GS-5.</w:t>
      </w:r>
    </w:p>
  </w:footnote>
  <w:footnote w:id="33">
    <w:p w:rsidR="00CE72E7" w:rsidRPr="004309FC" w:rsidRDefault="00CE72E7" w:rsidP="003E21AE">
      <w:pPr>
        <w:pStyle w:val="FootnoteText"/>
        <w:spacing w:after="120"/>
      </w:pPr>
      <w:r w:rsidRPr="004309FC">
        <w:rPr>
          <w:rStyle w:val="FootnoteReference"/>
        </w:rPr>
        <w:footnoteRef/>
      </w:r>
      <w:r w:rsidRPr="004309FC">
        <w:t xml:space="preserve"> Id. at 5.</w:t>
      </w:r>
    </w:p>
  </w:footnote>
  <w:footnote w:id="34">
    <w:p w:rsidR="00CE72E7" w:rsidRDefault="00CE72E7" w:rsidP="003E21AE">
      <w:pPr>
        <w:pStyle w:val="FootnoteText"/>
        <w:spacing w:after="120"/>
      </w:pPr>
      <w:r w:rsidRPr="004309FC">
        <w:rPr>
          <w:rStyle w:val="FootnoteReference"/>
        </w:rPr>
        <w:footnoteRef/>
      </w:r>
      <w:r w:rsidRPr="004309FC">
        <w:t xml:space="preserve"> Id. at 4.</w:t>
      </w:r>
    </w:p>
  </w:footnote>
  <w:footnote w:id="35">
    <w:p w:rsidR="00CE72E7" w:rsidRDefault="00CE72E7" w:rsidP="003E21AE">
      <w:pPr>
        <w:pStyle w:val="FootnoteText"/>
        <w:spacing w:after="120"/>
      </w:pPr>
      <w:r>
        <w:rPr>
          <w:rStyle w:val="FootnoteReference"/>
        </w:rPr>
        <w:footnoteRef/>
      </w:r>
      <w:r>
        <w:t xml:space="preserve"> See July 1, 2008 Natural Gas Transportation Service Agreement between Orwell and OTP at 4, attached as OCC Attachment GS-5.</w:t>
      </w:r>
    </w:p>
  </w:footnote>
  <w:footnote w:id="36">
    <w:p w:rsidR="00CE72E7" w:rsidRDefault="00CE72E7" w:rsidP="003E21AE">
      <w:pPr>
        <w:pStyle w:val="FootnoteText"/>
        <w:spacing w:after="120"/>
      </w:pPr>
      <w:r>
        <w:rPr>
          <w:rStyle w:val="FootnoteReference"/>
        </w:rPr>
        <w:footnoteRef/>
      </w:r>
      <w:r>
        <w:t xml:space="preserve"> </w:t>
      </w:r>
      <w:r w:rsidRPr="005275EB">
        <w:rPr>
          <w:i/>
        </w:rPr>
        <w:t xml:space="preserve">Orwell </w:t>
      </w:r>
      <w:r>
        <w:rPr>
          <w:i/>
        </w:rPr>
        <w:t>N</w:t>
      </w:r>
      <w:r w:rsidRPr="005275EB">
        <w:rPr>
          <w:i/>
        </w:rPr>
        <w:t>atural Gas Company, Complainant, vs. Orwell-Trumbull Pi</w:t>
      </w:r>
      <w:r>
        <w:rPr>
          <w:i/>
        </w:rPr>
        <w:t xml:space="preserve">peline Company, LLC, Respondent, </w:t>
      </w:r>
      <w:r>
        <w:t>Case No. 15-637-GA-CSS, Complaint at 3 (March 31</w:t>
      </w:r>
      <w:r w:rsidRPr="002141D7">
        <w:t>, 2</w:t>
      </w:r>
      <w:r w:rsidR="003E21AE">
        <w:t>015).</w:t>
      </w:r>
    </w:p>
  </w:footnote>
  <w:footnote w:id="37">
    <w:p w:rsidR="00CE72E7" w:rsidRDefault="00CE72E7" w:rsidP="003E21AE">
      <w:pPr>
        <w:pStyle w:val="FootnoteText"/>
        <w:spacing w:after="120"/>
      </w:pPr>
      <w:r>
        <w:rPr>
          <w:rStyle w:val="FootnoteReference"/>
        </w:rPr>
        <w:footnoteRef/>
      </w:r>
      <w:r>
        <w:t xml:space="preserve"> Id.</w:t>
      </w:r>
    </w:p>
  </w:footnote>
  <w:footnote w:id="38">
    <w:p w:rsidR="00CE72E7" w:rsidRPr="004309FC" w:rsidRDefault="00CE72E7" w:rsidP="003E21AE">
      <w:pPr>
        <w:pStyle w:val="FootnoteText"/>
        <w:spacing w:after="120"/>
        <w:rPr>
          <w:rFonts w:eastAsiaTheme="minorHAnsi"/>
          <w:lang w:eastAsia="en-US"/>
        </w:rPr>
      </w:pPr>
      <w:r>
        <w:rPr>
          <w:rStyle w:val="FootnoteReference"/>
        </w:rPr>
        <w:footnoteRef/>
      </w:r>
      <w:r>
        <w:t xml:space="preserve"> </w:t>
      </w:r>
      <w:r w:rsidRPr="0095599B">
        <w:rPr>
          <w:rFonts w:eastAsiaTheme="minorHAnsi"/>
          <w:i/>
          <w:lang w:eastAsia="en-US"/>
        </w:rPr>
        <w:t>In the Matter of the Investigation Into the Gas Purchasing Practices and Policies of Columbia Gas of Ohio, Inc.,</w:t>
      </w:r>
      <w:r w:rsidRPr="0095599B">
        <w:rPr>
          <w:rFonts w:eastAsiaTheme="minorHAnsi"/>
          <w:lang w:eastAsia="en-US"/>
        </w:rPr>
        <w:t xml:space="preserve"> Case No. 83-135-GA-COI, and </w:t>
      </w:r>
      <w:r w:rsidRPr="0095599B">
        <w:rPr>
          <w:rFonts w:eastAsiaTheme="minorHAnsi"/>
          <w:i/>
          <w:lang w:eastAsia="en-US"/>
        </w:rPr>
        <w:t>In the Matter of the Regulation of the Purchased Gas Adjustment Clause Contained Within the Ra</w:t>
      </w:r>
      <w:r>
        <w:rPr>
          <w:rFonts w:eastAsiaTheme="minorHAnsi"/>
          <w:i/>
          <w:lang w:eastAsia="en-US"/>
        </w:rPr>
        <w:t>t</w:t>
      </w:r>
      <w:r w:rsidRPr="0095599B">
        <w:rPr>
          <w:rFonts w:eastAsiaTheme="minorHAnsi"/>
          <w:i/>
          <w:lang w:eastAsia="en-US"/>
        </w:rPr>
        <w:t>e Schedules of Columbia Gas of Ohio, Inc. and Related Matters</w:t>
      </w:r>
      <w:r>
        <w:rPr>
          <w:rFonts w:eastAsiaTheme="minorHAnsi"/>
          <w:lang w:eastAsia="en-US"/>
        </w:rPr>
        <w:t>, Case No. 84-6-GA-GCR, O</w:t>
      </w:r>
      <w:r w:rsidRPr="0095599B">
        <w:rPr>
          <w:rFonts w:eastAsiaTheme="minorHAnsi"/>
          <w:lang w:eastAsia="en-US"/>
        </w:rPr>
        <w:t xml:space="preserve">pinion and Order at </w:t>
      </w:r>
      <w:r>
        <w:rPr>
          <w:rFonts w:eastAsiaTheme="minorHAnsi"/>
          <w:lang w:eastAsia="en-US"/>
        </w:rPr>
        <w:t>20</w:t>
      </w:r>
      <w:r w:rsidR="003E21AE">
        <w:rPr>
          <w:rFonts w:eastAsiaTheme="minorHAnsi"/>
          <w:lang w:eastAsia="en-US"/>
        </w:rPr>
        <w:t xml:space="preserve"> (October 8, 1985</w:t>
      </w:r>
      <w:r w:rsidRPr="0095599B">
        <w:rPr>
          <w:rFonts w:eastAsiaTheme="minorHAnsi"/>
          <w:lang w:eastAsia="en-US"/>
        </w:rPr>
        <w:t>)</w:t>
      </w:r>
      <w:r w:rsidR="003E21AE">
        <w:rPr>
          <w:rFonts w:eastAsiaTheme="minorHAnsi"/>
          <w:lang w:eastAsia="en-US"/>
        </w:rPr>
        <w:t>.</w:t>
      </w:r>
    </w:p>
  </w:footnote>
  <w:footnote w:id="39">
    <w:p w:rsidR="00CE72E7" w:rsidRDefault="00CE72E7" w:rsidP="003E21AE">
      <w:pPr>
        <w:pStyle w:val="FootnoteText"/>
        <w:spacing w:after="120"/>
      </w:pPr>
      <w:r>
        <w:rPr>
          <w:rStyle w:val="FootnoteReference"/>
        </w:rPr>
        <w:footnoteRef/>
      </w:r>
      <w:r>
        <w:t xml:space="preserve"> Id at 20, 22, 25.</w:t>
      </w:r>
    </w:p>
  </w:footnote>
  <w:footnote w:id="40">
    <w:p w:rsidR="00CE72E7" w:rsidRPr="005A2329" w:rsidRDefault="00CE72E7" w:rsidP="003E21AE">
      <w:pPr>
        <w:pStyle w:val="FootnoteText"/>
        <w:spacing w:after="120"/>
        <w:rPr>
          <w:rFonts w:eastAsiaTheme="minorHAnsi"/>
          <w:lang w:eastAsia="en-US"/>
        </w:rPr>
      </w:pPr>
      <w:r>
        <w:rPr>
          <w:rStyle w:val="FootnoteReference"/>
        </w:rPr>
        <w:footnoteRef/>
      </w:r>
      <w:r>
        <w:t xml:space="preserve"> </w:t>
      </w:r>
      <w:r w:rsidRPr="0095599B">
        <w:rPr>
          <w:rFonts w:eastAsiaTheme="minorHAnsi"/>
          <w:i/>
          <w:lang w:eastAsia="en-US"/>
        </w:rPr>
        <w:t>In the Matter of the Investigation Into the Gas Purchasing Practices and Policies of Columbia Gas of Ohio, Inc.,</w:t>
      </w:r>
      <w:r w:rsidRPr="0095599B">
        <w:rPr>
          <w:rFonts w:eastAsiaTheme="minorHAnsi"/>
          <w:lang w:eastAsia="en-US"/>
        </w:rPr>
        <w:t xml:space="preserve"> Case No. 83-135-GA-COI, and </w:t>
      </w:r>
      <w:r w:rsidRPr="0095599B">
        <w:rPr>
          <w:rFonts w:eastAsiaTheme="minorHAnsi"/>
          <w:i/>
          <w:lang w:eastAsia="en-US"/>
        </w:rPr>
        <w:t>In the Matter of the Regulation of the Purchased Gas Adjustment Clause Contained Within the Ra</w:t>
      </w:r>
      <w:r>
        <w:rPr>
          <w:rFonts w:eastAsiaTheme="minorHAnsi"/>
          <w:i/>
          <w:lang w:eastAsia="en-US"/>
        </w:rPr>
        <w:t>t</w:t>
      </w:r>
      <w:r w:rsidRPr="0095599B">
        <w:rPr>
          <w:rFonts w:eastAsiaTheme="minorHAnsi"/>
          <w:i/>
          <w:lang w:eastAsia="en-US"/>
        </w:rPr>
        <w:t>e Schedules of Columbia Gas of Ohio, Inc. and Related Matters</w:t>
      </w:r>
      <w:r>
        <w:rPr>
          <w:rFonts w:eastAsiaTheme="minorHAnsi"/>
          <w:lang w:eastAsia="en-US"/>
        </w:rPr>
        <w:t>, Case No. 84-6-GA-GCR, O</w:t>
      </w:r>
      <w:r w:rsidRPr="0095599B">
        <w:rPr>
          <w:rFonts w:eastAsiaTheme="minorHAnsi"/>
          <w:lang w:eastAsia="en-US"/>
        </w:rPr>
        <w:t xml:space="preserve">pinion and Order at </w:t>
      </w:r>
      <w:r>
        <w:rPr>
          <w:rFonts w:eastAsiaTheme="minorHAnsi"/>
          <w:lang w:eastAsia="en-US"/>
        </w:rPr>
        <w:t>20</w:t>
      </w:r>
      <w:r w:rsidR="003E21AE">
        <w:rPr>
          <w:rFonts w:eastAsiaTheme="minorHAnsi"/>
          <w:lang w:eastAsia="en-US"/>
        </w:rPr>
        <w:t xml:space="preserve"> (October 8, 1985</w:t>
      </w:r>
      <w:r w:rsidRPr="0095599B">
        <w:rPr>
          <w:rFonts w:eastAsiaTheme="minorHAnsi"/>
          <w:lang w:eastAsia="en-US"/>
        </w:rPr>
        <w:t>)</w:t>
      </w:r>
      <w:r w:rsidR="003E21AE">
        <w:rPr>
          <w:rFonts w:eastAsiaTheme="minorHAnsi"/>
          <w:lang w:eastAsia="en-US"/>
        </w:rPr>
        <w:t>.</w:t>
      </w:r>
    </w:p>
  </w:footnote>
  <w:footnote w:id="41">
    <w:p w:rsidR="00CE72E7" w:rsidRDefault="00CE72E7" w:rsidP="003E21AE">
      <w:pPr>
        <w:pStyle w:val="FootnoteText"/>
        <w:spacing w:after="120"/>
      </w:pPr>
      <w:r>
        <w:rPr>
          <w:rStyle w:val="FootnoteReference"/>
        </w:rPr>
        <w:footnoteRef/>
      </w:r>
      <w:r>
        <w:t xml:space="preserve"> Id. at 20.</w:t>
      </w:r>
    </w:p>
  </w:footnote>
  <w:footnote w:id="42">
    <w:p w:rsidR="00CE72E7" w:rsidRDefault="00CE72E7" w:rsidP="003E21AE">
      <w:pPr>
        <w:pStyle w:val="FootnoteText"/>
        <w:spacing w:after="120"/>
      </w:pPr>
      <w:r>
        <w:rPr>
          <w:rStyle w:val="FootnoteReference"/>
        </w:rPr>
        <w:footnoteRef/>
      </w:r>
      <w:r>
        <w:t xml:space="preserve"> See April 14, 2005 Agreement between Orwell and Dominion, attached as OCC Attachment GS-9.</w:t>
      </w:r>
    </w:p>
  </w:footnote>
  <w:footnote w:id="43">
    <w:p w:rsidR="00CE72E7" w:rsidRDefault="00CE72E7" w:rsidP="003E21AE">
      <w:pPr>
        <w:pStyle w:val="FootnoteText"/>
        <w:spacing w:after="120"/>
      </w:pPr>
      <w:r>
        <w:rPr>
          <w:rStyle w:val="FootnoteReference"/>
        </w:rPr>
        <w:footnoteRef/>
      </w:r>
      <w:r>
        <w:t xml:space="preserve"> </w:t>
      </w:r>
      <w:r w:rsidRPr="00925864">
        <w:t xml:space="preserve">Orwell and </w:t>
      </w:r>
      <w:r w:rsidR="003E21AE">
        <w:t>OTP Annual Reports to the PUCO.</w:t>
      </w:r>
    </w:p>
  </w:footnote>
  <w:footnote w:id="44">
    <w:p w:rsidR="00CE72E7" w:rsidRDefault="00CE72E7" w:rsidP="003E21AE">
      <w:pPr>
        <w:pStyle w:val="FootnoteText"/>
        <w:spacing w:after="120"/>
      </w:pPr>
      <w:r>
        <w:rPr>
          <w:rStyle w:val="FootnoteReference"/>
        </w:rPr>
        <w:footnoteRef/>
      </w:r>
      <w:r>
        <w:t xml:space="preserve"> See July 1, 2008 Natural Gas Transportation Service Agreement between Orwell and OTP at 4-5, attached as OCC Attachment GS-5.</w:t>
      </w:r>
    </w:p>
  </w:footnote>
  <w:footnote w:id="45">
    <w:p w:rsidR="00CE72E7" w:rsidRDefault="00CE72E7" w:rsidP="003E21AE">
      <w:pPr>
        <w:pStyle w:val="FootnoteText"/>
        <w:spacing w:after="120"/>
      </w:pPr>
      <w:r>
        <w:rPr>
          <w:rStyle w:val="FootnoteReference"/>
        </w:rPr>
        <w:footnoteRef/>
      </w:r>
      <w:r>
        <w:t xml:space="preserve"> See, April 14, 2005 Agreement between Orwell and Dominion at 1, 7-9, attached as OCC Attachment GS-9.</w:t>
      </w:r>
    </w:p>
  </w:footnote>
  <w:footnote w:id="46">
    <w:p w:rsidR="00CE72E7" w:rsidRDefault="00CE72E7" w:rsidP="003E21AE">
      <w:pPr>
        <w:pStyle w:val="FootnoteText"/>
        <w:spacing w:after="120"/>
      </w:pPr>
      <w:r>
        <w:rPr>
          <w:rStyle w:val="FootnoteReference"/>
        </w:rPr>
        <w:footnoteRef/>
      </w:r>
      <w:r>
        <w:t xml:space="preserve">See, July 1, 2008 Natural Gas Transportation Service Agreement between Orwell and OTP at 4, attached as </w:t>
      </w:r>
      <w:r w:rsidR="003E21AE">
        <w:t xml:space="preserve">OCC </w:t>
      </w:r>
      <w:r>
        <w:t>Attachment GS-5.</w:t>
      </w:r>
    </w:p>
  </w:footnote>
  <w:footnote w:id="47">
    <w:p w:rsidR="00CE72E7" w:rsidRDefault="00CE72E7" w:rsidP="003E21AE">
      <w:pPr>
        <w:pStyle w:val="FootnoteText"/>
        <w:spacing w:after="120"/>
      </w:pPr>
      <w:r>
        <w:rPr>
          <w:rStyle w:val="FootnoteReference"/>
        </w:rPr>
        <w:footnoteRef/>
      </w:r>
      <w:r w:rsidRPr="00970221">
        <w:t xml:space="preserve"> </w:t>
      </w:r>
      <w:r>
        <w:t>July 28, 2009 Transportation Service Agreement between Orwell-Trumbull Pipeline and Newbury Local Schools at 4, attached as OCC Attachment GS-10.</w:t>
      </w:r>
    </w:p>
  </w:footnote>
  <w:footnote w:id="48">
    <w:p w:rsidR="00CE72E7" w:rsidRDefault="00CE72E7" w:rsidP="003E21AE">
      <w:pPr>
        <w:pStyle w:val="FootnoteText"/>
        <w:spacing w:after="120"/>
      </w:pPr>
      <w:r>
        <w:rPr>
          <w:rStyle w:val="FootnoteReference"/>
        </w:rPr>
        <w:footnoteRef/>
      </w:r>
      <w:r>
        <w:t xml:space="preserve"> July 28, 2009 Transportation Service Agreement between Orwell-Trumbull Pipeline and Newbury Local Schools at 4, attached as OCC Attachment GS-10.</w:t>
      </w:r>
    </w:p>
  </w:footnote>
  <w:footnote w:id="49">
    <w:p w:rsidR="00CE72E7" w:rsidRDefault="00CE72E7" w:rsidP="003E21AE">
      <w:pPr>
        <w:pStyle w:val="FootnoteText"/>
        <w:spacing w:after="120"/>
      </w:pPr>
      <w:r>
        <w:rPr>
          <w:rStyle w:val="FootnoteReference"/>
        </w:rPr>
        <w:footnoteRef/>
      </w:r>
      <w:r>
        <w:t xml:space="preserve"> </w:t>
      </w:r>
      <w:r w:rsidRPr="00774B2E">
        <w:rPr>
          <w:i/>
        </w:rPr>
        <w:t>In the Matter of the Complaint of Orwell Natural Gas Company, Complainant, v. Orwell-Trumbull pipeline Company, LLC, Respondent</w:t>
      </w:r>
      <w:r>
        <w:t>, Case No. 14-1654-GA-CSS, See OCC Attachment GS-11, August 12, 2012 OTP Invoice to Orwell Natural Gas.</w:t>
      </w:r>
    </w:p>
  </w:footnote>
  <w:footnote w:id="50">
    <w:p w:rsidR="00CE72E7" w:rsidRDefault="00CE72E7" w:rsidP="003E21AE">
      <w:pPr>
        <w:pStyle w:val="FootnoteText"/>
        <w:spacing w:after="120"/>
      </w:pPr>
      <w:r>
        <w:rPr>
          <w:rStyle w:val="FootnoteReference"/>
        </w:rPr>
        <w:footnoteRef/>
      </w:r>
      <w:r>
        <w:t xml:space="preserve"> 2014 GCR, Deposition of Martin Whelan at 52-53 (May 8, 2015), attached as OCC Attachment GS-15.</w:t>
      </w:r>
    </w:p>
  </w:footnote>
  <w:footnote w:id="51">
    <w:p w:rsidR="00CE72E7" w:rsidRDefault="00CE72E7" w:rsidP="003E21AE">
      <w:pPr>
        <w:pStyle w:val="FootnoteText"/>
        <w:spacing w:after="120"/>
      </w:pPr>
      <w:r>
        <w:rPr>
          <w:rStyle w:val="FootnoteReference"/>
        </w:rPr>
        <w:footnoteRef/>
      </w:r>
      <w:r>
        <w:t xml:space="preserve"> 2014 GCR, Deposition of Martin Whelan at 53 (May 8, 2015), attached as OCC Attachment GS-15.</w:t>
      </w:r>
    </w:p>
  </w:footnote>
  <w:footnote w:id="52">
    <w:p w:rsidR="00CE72E7" w:rsidRDefault="00CE72E7" w:rsidP="003E21AE">
      <w:pPr>
        <w:pStyle w:val="FootnoteText"/>
        <w:spacing w:after="120"/>
      </w:pPr>
      <w:r>
        <w:rPr>
          <w:rStyle w:val="FootnoteReference"/>
        </w:rPr>
        <w:footnoteRef/>
      </w:r>
      <w:r>
        <w:t xml:space="preserve"> 2014 GCR, Deposition of Martin Whelan at 52-53 (May 8, 2015)</w:t>
      </w:r>
      <w:r w:rsidR="0059142D">
        <w:t>,</w:t>
      </w:r>
      <w:r w:rsidR="0059142D" w:rsidRPr="0059142D">
        <w:t xml:space="preserve"> </w:t>
      </w:r>
      <w:r w:rsidR="0059142D">
        <w:t>attached as OCC Attachment GS-15.</w:t>
      </w:r>
    </w:p>
  </w:footnote>
  <w:footnote w:id="53">
    <w:p w:rsidR="00CE72E7" w:rsidRDefault="00CE72E7" w:rsidP="003E21AE">
      <w:pPr>
        <w:pStyle w:val="FootnoteText"/>
        <w:spacing w:after="120"/>
      </w:pPr>
      <w:r>
        <w:rPr>
          <w:rStyle w:val="FootnoteReference"/>
        </w:rPr>
        <w:footnoteRef/>
      </w:r>
      <w:r>
        <w:t xml:space="preserve"> See, April 14, 2005 Agreement between Orwell and Dominion at 9, a</w:t>
      </w:r>
      <w:r w:rsidR="003E21AE">
        <w:t>ttached as OCC Attachment GS-9.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DD" w:rsidRDefault="00763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DD" w:rsidRDefault="00763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E7" w:rsidRDefault="00CE72E7" w:rsidP="00326790">
    <w:pPr>
      <w:pStyle w:val="Header"/>
      <w:jc w:val="right"/>
      <w:rPr>
        <w:b/>
        <w:sz w:val="24"/>
        <w:szCs w:val="24"/>
      </w:rPr>
    </w:pPr>
    <w:r>
      <w:rPr>
        <w:b/>
        <w:sz w:val="24"/>
        <w:szCs w:val="24"/>
      </w:rPr>
      <w:t>OCC EXHIBIT NO.______</w:t>
    </w:r>
  </w:p>
  <w:p w:rsidR="00CE72E7" w:rsidRDefault="00CE72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E7" w:rsidRDefault="00CE72E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E7" w:rsidRDefault="00CE72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BD" w:rsidRPr="00772C8E" w:rsidRDefault="00FA0DBD" w:rsidP="00FA0DBD">
    <w:pPr>
      <w:pStyle w:val="Header"/>
      <w:jc w:val="center"/>
      <w:rPr>
        <w:i/>
      </w:rPr>
    </w:pPr>
    <w:r w:rsidRPr="00772C8E">
      <w:rPr>
        <w:i/>
      </w:rPr>
      <w:t xml:space="preserve">Direct Testimony of </w:t>
    </w:r>
    <w:r>
      <w:rPr>
        <w:i/>
      </w:rPr>
      <w:t xml:space="preserve">Gregory Slone </w:t>
    </w:r>
    <w:r w:rsidRPr="00772C8E">
      <w:rPr>
        <w:i/>
      </w:rPr>
      <w:t>On Behalf of</w:t>
    </w:r>
  </w:p>
  <w:p w:rsidR="00FA0DBD" w:rsidRPr="00772C8E" w:rsidRDefault="00FA0DBD" w:rsidP="00FA0DBD">
    <w:pPr>
      <w:pStyle w:val="Header"/>
      <w:jc w:val="center"/>
      <w:rPr>
        <w:i/>
      </w:rPr>
    </w:pPr>
    <w:r w:rsidRPr="00772C8E">
      <w:rPr>
        <w:i/>
      </w:rPr>
      <w:t>The Office of the Ohio Consumers’ Counsel</w:t>
    </w:r>
  </w:p>
  <w:p w:rsidR="00FA0DBD" w:rsidRPr="00772C8E" w:rsidRDefault="00FA0DBD" w:rsidP="00FA0DBD">
    <w:pPr>
      <w:pStyle w:val="Header"/>
      <w:jc w:val="center"/>
      <w:rPr>
        <w:i/>
      </w:rPr>
    </w:pPr>
    <w:r w:rsidRPr="00772C8E">
      <w:rPr>
        <w:i/>
      </w:rPr>
      <w:t xml:space="preserve">PUCO Case No. </w:t>
    </w:r>
    <w:r>
      <w:rPr>
        <w:i/>
      </w:rPr>
      <w:t>14-206-GA-GCR, et al.</w:t>
    </w:r>
  </w:p>
  <w:p w:rsidR="00FA0DBD" w:rsidRDefault="00FA0D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E7" w:rsidRPr="00772C8E" w:rsidRDefault="00CE72E7" w:rsidP="00326790">
    <w:pPr>
      <w:pStyle w:val="Header"/>
      <w:jc w:val="center"/>
      <w:rPr>
        <w:i/>
      </w:rPr>
    </w:pPr>
    <w:r w:rsidRPr="00772C8E">
      <w:rPr>
        <w:i/>
      </w:rPr>
      <w:t xml:space="preserve">Direct Testimony of </w:t>
    </w:r>
    <w:r>
      <w:rPr>
        <w:i/>
      </w:rPr>
      <w:t xml:space="preserve">Gregory Slone </w:t>
    </w:r>
    <w:r w:rsidRPr="00772C8E">
      <w:rPr>
        <w:i/>
      </w:rPr>
      <w:t>On Behalf of</w:t>
    </w:r>
  </w:p>
  <w:p w:rsidR="00CE72E7" w:rsidRPr="00772C8E" w:rsidRDefault="00CE72E7" w:rsidP="00326790">
    <w:pPr>
      <w:pStyle w:val="Header"/>
      <w:jc w:val="center"/>
      <w:rPr>
        <w:i/>
      </w:rPr>
    </w:pPr>
    <w:r w:rsidRPr="00772C8E">
      <w:rPr>
        <w:i/>
      </w:rPr>
      <w:t>The Office of the Ohio Consumers’ Counsel</w:t>
    </w:r>
  </w:p>
  <w:p w:rsidR="00CE72E7" w:rsidRPr="00772C8E" w:rsidRDefault="00CE72E7" w:rsidP="00326790">
    <w:pPr>
      <w:pStyle w:val="Header"/>
      <w:jc w:val="center"/>
      <w:rPr>
        <w:i/>
      </w:rPr>
    </w:pPr>
    <w:r w:rsidRPr="00772C8E">
      <w:rPr>
        <w:i/>
      </w:rPr>
      <w:t xml:space="preserve">PUCO Case No. </w:t>
    </w:r>
    <w:r>
      <w:rPr>
        <w:i/>
      </w:rPr>
      <w:t>14-206-GA-GCR</w:t>
    </w:r>
    <w:r w:rsidR="00FA0DBD">
      <w:rPr>
        <w:i/>
      </w:rPr>
      <w:t>, et al.</w:t>
    </w:r>
  </w:p>
  <w:p w:rsidR="00CE72E7" w:rsidRDefault="00CE72E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C9" w:rsidRDefault="00A05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F5E8E54"/>
    <w:name w:val="WW8Num2"/>
    <w:lvl w:ilvl="0">
      <w:start w:val="1"/>
      <w:numFmt w:val="upperRoman"/>
      <w:lvlText w:val="%1."/>
      <w:lvlJc w:val="left"/>
      <w:pPr>
        <w:tabs>
          <w:tab w:val="num" w:pos="1080"/>
        </w:tabs>
        <w:ind w:left="1080" w:hanging="720"/>
      </w:pPr>
    </w:lvl>
  </w:abstractNum>
  <w:abstractNum w:abstractNumId="2">
    <w:nsid w:val="00000003"/>
    <w:multiLevelType w:val="multilevel"/>
    <w:tmpl w:val="00000003"/>
    <w:name w:val="WW8Num3"/>
    <w:lvl w:ilvl="0">
      <w:start w:val="3"/>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4"/>
    <w:multiLevelType w:val="multilevel"/>
    <w:tmpl w:val="00000004"/>
    <w:name w:val="WW8Num4"/>
    <w:lvl w:ilvl="0">
      <w:start w:val="6"/>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05"/>
    <w:multiLevelType w:val="singleLevel"/>
    <w:tmpl w:val="00000005"/>
    <w:name w:val="WW8Num6"/>
    <w:lvl w:ilvl="0">
      <w:start w:val="7"/>
      <w:numFmt w:val="upperRoman"/>
      <w:lvlText w:val="%1."/>
      <w:lvlJc w:val="left"/>
      <w:pPr>
        <w:tabs>
          <w:tab w:val="num" w:pos="1080"/>
        </w:tabs>
        <w:ind w:left="1080" w:hanging="720"/>
      </w:pPr>
    </w:lvl>
  </w:abstractNum>
  <w:abstractNum w:abstractNumId="5">
    <w:nsid w:val="00C23667"/>
    <w:multiLevelType w:val="hybridMultilevel"/>
    <w:tmpl w:val="BE5EC3BE"/>
    <w:lvl w:ilvl="0" w:tplc="714E2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27207C"/>
    <w:multiLevelType w:val="hybridMultilevel"/>
    <w:tmpl w:val="4934B64A"/>
    <w:lvl w:ilvl="0" w:tplc="E1CC1224">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444451"/>
    <w:multiLevelType w:val="hybridMultilevel"/>
    <w:tmpl w:val="1F149138"/>
    <w:lvl w:ilvl="0" w:tplc="E1CC1224">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2A4B6B"/>
    <w:multiLevelType w:val="hybridMultilevel"/>
    <w:tmpl w:val="3A24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1F"/>
    <w:rsid w:val="000013B5"/>
    <w:rsid w:val="0000220E"/>
    <w:rsid w:val="00003C73"/>
    <w:rsid w:val="000063F3"/>
    <w:rsid w:val="00006938"/>
    <w:rsid w:val="00010203"/>
    <w:rsid w:val="000106E9"/>
    <w:rsid w:val="00010CD3"/>
    <w:rsid w:val="000112F9"/>
    <w:rsid w:val="000129BB"/>
    <w:rsid w:val="0001441B"/>
    <w:rsid w:val="0001497F"/>
    <w:rsid w:val="00014D40"/>
    <w:rsid w:val="00015847"/>
    <w:rsid w:val="00015B4F"/>
    <w:rsid w:val="00016737"/>
    <w:rsid w:val="0001710D"/>
    <w:rsid w:val="000179FF"/>
    <w:rsid w:val="00022383"/>
    <w:rsid w:val="0002391E"/>
    <w:rsid w:val="00025596"/>
    <w:rsid w:val="00025AD5"/>
    <w:rsid w:val="000272BA"/>
    <w:rsid w:val="00030198"/>
    <w:rsid w:val="00032593"/>
    <w:rsid w:val="0003405E"/>
    <w:rsid w:val="00034EA5"/>
    <w:rsid w:val="000358BA"/>
    <w:rsid w:val="0003596E"/>
    <w:rsid w:val="00040172"/>
    <w:rsid w:val="0004081C"/>
    <w:rsid w:val="00041FD2"/>
    <w:rsid w:val="00044449"/>
    <w:rsid w:val="0004539B"/>
    <w:rsid w:val="0004693E"/>
    <w:rsid w:val="00047EB2"/>
    <w:rsid w:val="000539D4"/>
    <w:rsid w:val="00054232"/>
    <w:rsid w:val="00054887"/>
    <w:rsid w:val="00054BC3"/>
    <w:rsid w:val="00054FD2"/>
    <w:rsid w:val="00055138"/>
    <w:rsid w:val="00055F3A"/>
    <w:rsid w:val="00060560"/>
    <w:rsid w:val="000606D5"/>
    <w:rsid w:val="0006099E"/>
    <w:rsid w:val="000611F1"/>
    <w:rsid w:val="00061EA4"/>
    <w:rsid w:val="00062898"/>
    <w:rsid w:val="00064BA8"/>
    <w:rsid w:val="000652F6"/>
    <w:rsid w:val="00067233"/>
    <w:rsid w:val="00067F7E"/>
    <w:rsid w:val="00071A87"/>
    <w:rsid w:val="00071B62"/>
    <w:rsid w:val="000724E3"/>
    <w:rsid w:val="000729FE"/>
    <w:rsid w:val="000735B6"/>
    <w:rsid w:val="000748B6"/>
    <w:rsid w:val="0007715F"/>
    <w:rsid w:val="00081D05"/>
    <w:rsid w:val="000820F2"/>
    <w:rsid w:val="000867F0"/>
    <w:rsid w:val="00086BE2"/>
    <w:rsid w:val="0008798F"/>
    <w:rsid w:val="00091F39"/>
    <w:rsid w:val="00093F11"/>
    <w:rsid w:val="000953DF"/>
    <w:rsid w:val="00096E44"/>
    <w:rsid w:val="000A400D"/>
    <w:rsid w:val="000A5E95"/>
    <w:rsid w:val="000A68A8"/>
    <w:rsid w:val="000A6D5A"/>
    <w:rsid w:val="000A7581"/>
    <w:rsid w:val="000A780F"/>
    <w:rsid w:val="000B088D"/>
    <w:rsid w:val="000B20B1"/>
    <w:rsid w:val="000B2D0D"/>
    <w:rsid w:val="000B2E22"/>
    <w:rsid w:val="000B3195"/>
    <w:rsid w:val="000B3BEA"/>
    <w:rsid w:val="000B4A78"/>
    <w:rsid w:val="000B53DA"/>
    <w:rsid w:val="000B79D3"/>
    <w:rsid w:val="000C0D89"/>
    <w:rsid w:val="000C3792"/>
    <w:rsid w:val="000C450C"/>
    <w:rsid w:val="000C5498"/>
    <w:rsid w:val="000C7ECB"/>
    <w:rsid w:val="000D00B4"/>
    <w:rsid w:val="000D10FA"/>
    <w:rsid w:val="000D16B6"/>
    <w:rsid w:val="000D216F"/>
    <w:rsid w:val="000D2774"/>
    <w:rsid w:val="000D4081"/>
    <w:rsid w:val="000D6023"/>
    <w:rsid w:val="000D6C30"/>
    <w:rsid w:val="000E096E"/>
    <w:rsid w:val="000E339D"/>
    <w:rsid w:val="000E46D8"/>
    <w:rsid w:val="000E65BB"/>
    <w:rsid w:val="000E71C2"/>
    <w:rsid w:val="000E746F"/>
    <w:rsid w:val="000E7FEB"/>
    <w:rsid w:val="000F036B"/>
    <w:rsid w:val="000F09CB"/>
    <w:rsid w:val="000F2D4E"/>
    <w:rsid w:val="000F2F87"/>
    <w:rsid w:val="000F3F40"/>
    <w:rsid w:val="000F5BDA"/>
    <w:rsid w:val="0010105F"/>
    <w:rsid w:val="00103835"/>
    <w:rsid w:val="001044BB"/>
    <w:rsid w:val="0010555F"/>
    <w:rsid w:val="00107B1D"/>
    <w:rsid w:val="00110279"/>
    <w:rsid w:val="0011154C"/>
    <w:rsid w:val="00111A19"/>
    <w:rsid w:val="00111EFE"/>
    <w:rsid w:val="00112493"/>
    <w:rsid w:val="00113890"/>
    <w:rsid w:val="00115B2E"/>
    <w:rsid w:val="0011610D"/>
    <w:rsid w:val="0011651B"/>
    <w:rsid w:val="00116E1B"/>
    <w:rsid w:val="00122371"/>
    <w:rsid w:val="00124F02"/>
    <w:rsid w:val="00132294"/>
    <w:rsid w:val="00132A03"/>
    <w:rsid w:val="001330E9"/>
    <w:rsid w:val="00133800"/>
    <w:rsid w:val="001348DC"/>
    <w:rsid w:val="00135200"/>
    <w:rsid w:val="00136CAC"/>
    <w:rsid w:val="00136E32"/>
    <w:rsid w:val="00137290"/>
    <w:rsid w:val="001402BC"/>
    <w:rsid w:val="00143BB0"/>
    <w:rsid w:val="00144AFD"/>
    <w:rsid w:val="00146FF5"/>
    <w:rsid w:val="00147072"/>
    <w:rsid w:val="001470F2"/>
    <w:rsid w:val="00151A3A"/>
    <w:rsid w:val="00153F1A"/>
    <w:rsid w:val="0015435E"/>
    <w:rsid w:val="001549C1"/>
    <w:rsid w:val="001549D1"/>
    <w:rsid w:val="00154B48"/>
    <w:rsid w:val="001556F6"/>
    <w:rsid w:val="001566DA"/>
    <w:rsid w:val="00157178"/>
    <w:rsid w:val="00162A96"/>
    <w:rsid w:val="001637C3"/>
    <w:rsid w:val="001709B3"/>
    <w:rsid w:val="0017218B"/>
    <w:rsid w:val="001721CF"/>
    <w:rsid w:val="001724CF"/>
    <w:rsid w:val="00172823"/>
    <w:rsid w:val="0017356F"/>
    <w:rsid w:val="00175628"/>
    <w:rsid w:val="001774AD"/>
    <w:rsid w:val="00177B17"/>
    <w:rsid w:val="00183596"/>
    <w:rsid w:val="00187167"/>
    <w:rsid w:val="00190D7F"/>
    <w:rsid w:val="00191541"/>
    <w:rsid w:val="0019221D"/>
    <w:rsid w:val="00192BCA"/>
    <w:rsid w:val="001940F4"/>
    <w:rsid w:val="001943E3"/>
    <w:rsid w:val="00195AE2"/>
    <w:rsid w:val="001969AC"/>
    <w:rsid w:val="00197BE4"/>
    <w:rsid w:val="001A08D7"/>
    <w:rsid w:val="001A0C74"/>
    <w:rsid w:val="001A5B8C"/>
    <w:rsid w:val="001A70FE"/>
    <w:rsid w:val="001B11E2"/>
    <w:rsid w:val="001B1298"/>
    <w:rsid w:val="001B4536"/>
    <w:rsid w:val="001B46BC"/>
    <w:rsid w:val="001B58BC"/>
    <w:rsid w:val="001B6AC7"/>
    <w:rsid w:val="001C246B"/>
    <w:rsid w:val="001C31DE"/>
    <w:rsid w:val="001C3619"/>
    <w:rsid w:val="001C3E6C"/>
    <w:rsid w:val="001C4C97"/>
    <w:rsid w:val="001C573F"/>
    <w:rsid w:val="001C70E1"/>
    <w:rsid w:val="001C717D"/>
    <w:rsid w:val="001D03B6"/>
    <w:rsid w:val="001D109E"/>
    <w:rsid w:val="001D1988"/>
    <w:rsid w:val="001D1D95"/>
    <w:rsid w:val="001D38A0"/>
    <w:rsid w:val="001D5854"/>
    <w:rsid w:val="001D5CCF"/>
    <w:rsid w:val="001D6C93"/>
    <w:rsid w:val="001D7200"/>
    <w:rsid w:val="001D73CC"/>
    <w:rsid w:val="001E2937"/>
    <w:rsid w:val="001E2E2A"/>
    <w:rsid w:val="001E321C"/>
    <w:rsid w:val="001E3386"/>
    <w:rsid w:val="001E42FB"/>
    <w:rsid w:val="001E4D4D"/>
    <w:rsid w:val="001E54DE"/>
    <w:rsid w:val="001E7C16"/>
    <w:rsid w:val="001F07BC"/>
    <w:rsid w:val="001F342D"/>
    <w:rsid w:val="001F3578"/>
    <w:rsid w:val="001F417E"/>
    <w:rsid w:val="001F6671"/>
    <w:rsid w:val="001F70BD"/>
    <w:rsid w:val="001F765A"/>
    <w:rsid w:val="00204147"/>
    <w:rsid w:val="00204F4F"/>
    <w:rsid w:val="00205AB0"/>
    <w:rsid w:val="00206763"/>
    <w:rsid w:val="00206CF1"/>
    <w:rsid w:val="00210FF1"/>
    <w:rsid w:val="002138CC"/>
    <w:rsid w:val="002141D7"/>
    <w:rsid w:val="002152A1"/>
    <w:rsid w:val="00221725"/>
    <w:rsid w:val="0022314B"/>
    <w:rsid w:val="0022596D"/>
    <w:rsid w:val="00227398"/>
    <w:rsid w:val="0023066E"/>
    <w:rsid w:val="002339CD"/>
    <w:rsid w:val="00233F60"/>
    <w:rsid w:val="002342FC"/>
    <w:rsid w:val="00234B20"/>
    <w:rsid w:val="0023654A"/>
    <w:rsid w:val="00236796"/>
    <w:rsid w:val="00236A1C"/>
    <w:rsid w:val="002374EC"/>
    <w:rsid w:val="00243CCF"/>
    <w:rsid w:val="00243CD4"/>
    <w:rsid w:val="00244C7B"/>
    <w:rsid w:val="002451B6"/>
    <w:rsid w:val="002501C2"/>
    <w:rsid w:val="0025276A"/>
    <w:rsid w:val="00254079"/>
    <w:rsid w:val="00254231"/>
    <w:rsid w:val="0025431B"/>
    <w:rsid w:val="00254BAD"/>
    <w:rsid w:val="00254DF7"/>
    <w:rsid w:val="00255993"/>
    <w:rsid w:val="00256F74"/>
    <w:rsid w:val="00262048"/>
    <w:rsid w:val="0026332B"/>
    <w:rsid w:val="002634B6"/>
    <w:rsid w:val="002638CA"/>
    <w:rsid w:val="00264428"/>
    <w:rsid w:val="002660B7"/>
    <w:rsid w:val="002675B0"/>
    <w:rsid w:val="002677BA"/>
    <w:rsid w:val="00267806"/>
    <w:rsid w:val="00267CB4"/>
    <w:rsid w:val="0027067B"/>
    <w:rsid w:val="0027193D"/>
    <w:rsid w:val="002719B4"/>
    <w:rsid w:val="00274F5D"/>
    <w:rsid w:val="002763D2"/>
    <w:rsid w:val="00276565"/>
    <w:rsid w:val="002768A1"/>
    <w:rsid w:val="00276B92"/>
    <w:rsid w:val="00280E96"/>
    <w:rsid w:val="00281082"/>
    <w:rsid w:val="00281580"/>
    <w:rsid w:val="00281A3E"/>
    <w:rsid w:val="0028336C"/>
    <w:rsid w:val="00283F8C"/>
    <w:rsid w:val="00290758"/>
    <w:rsid w:val="00290B06"/>
    <w:rsid w:val="00292BB7"/>
    <w:rsid w:val="00293B26"/>
    <w:rsid w:val="00293E11"/>
    <w:rsid w:val="002940AB"/>
    <w:rsid w:val="00295F0A"/>
    <w:rsid w:val="00297621"/>
    <w:rsid w:val="002977BB"/>
    <w:rsid w:val="002A1A99"/>
    <w:rsid w:val="002A1D65"/>
    <w:rsid w:val="002A4BA2"/>
    <w:rsid w:val="002A5538"/>
    <w:rsid w:val="002A6E3B"/>
    <w:rsid w:val="002A76B2"/>
    <w:rsid w:val="002B0B19"/>
    <w:rsid w:val="002B1B68"/>
    <w:rsid w:val="002B3BCF"/>
    <w:rsid w:val="002B4E37"/>
    <w:rsid w:val="002B6F77"/>
    <w:rsid w:val="002C089C"/>
    <w:rsid w:val="002C3677"/>
    <w:rsid w:val="002C3AFF"/>
    <w:rsid w:val="002C4FB9"/>
    <w:rsid w:val="002D2B12"/>
    <w:rsid w:val="002D2B1F"/>
    <w:rsid w:val="002D3D45"/>
    <w:rsid w:val="002D649C"/>
    <w:rsid w:val="002D7AEE"/>
    <w:rsid w:val="002E329D"/>
    <w:rsid w:val="002E670F"/>
    <w:rsid w:val="002E6BCD"/>
    <w:rsid w:val="002F599C"/>
    <w:rsid w:val="00300E9A"/>
    <w:rsid w:val="0030137C"/>
    <w:rsid w:val="00301BF6"/>
    <w:rsid w:val="00302DBA"/>
    <w:rsid w:val="0030552C"/>
    <w:rsid w:val="0030598B"/>
    <w:rsid w:val="00306F90"/>
    <w:rsid w:val="00307D2B"/>
    <w:rsid w:val="003108B4"/>
    <w:rsid w:val="003142F3"/>
    <w:rsid w:val="00314CB4"/>
    <w:rsid w:val="003210C2"/>
    <w:rsid w:val="00321CCA"/>
    <w:rsid w:val="0032243F"/>
    <w:rsid w:val="00325B75"/>
    <w:rsid w:val="00326790"/>
    <w:rsid w:val="00326B07"/>
    <w:rsid w:val="00332788"/>
    <w:rsid w:val="00332B26"/>
    <w:rsid w:val="00333CC7"/>
    <w:rsid w:val="0033409F"/>
    <w:rsid w:val="0033630C"/>
    <w:rsid w:val="00340397"/>
    <w:rsid w:val="00340EFE"/>
    <w:rsid w:val="003420D8"/>
    <w:rsid w:val="003434B2"/>
    <w:rsid w:val="00346589"/>
    <w:rsid w:val="00346CC7"/>
    <w:rsid w:val="00351601"/>
    <w:rsid w:val="003532E7"/>
    <w:rsid w:val="00356FB7"/>
    <w:rsid w:val="00361347"/>
    <w:rsid w:val="00361612"/>
    <w:rsid w:val="003659E4"/>
    <w:rsid w:val="003676B1"/>
    <w:rsid w:val="00367FD4"/>
    <w:rsid w:val="0037053C"/>
    <w:rsid w:val="003710C6"/>
    <w:rsid w:val="003719F5"/>
    <w:rsid w:val="00374366"/>
    <w:rsid w:val="00374F50"/>
    <w:rsid w:val="003758A0"/>
    <w:rsid w:val="003767F5"/>
    <w:rsid w:val="00376DB4"/>
    <w:rsid w:val="00382BBC"/>
    <w:rsid w:val="003834F6"/>
    <w:rsid w:val="00383DC7"/>
    <w:rsid w:val="003847AE"/>
    <w:rsid w:val="00385AF1"/>
    <w:rsid w:val="00385DFA"/>
    <w:rsid w:val="0038665E"/>
    <w:rsid w:val="003869F7"/>
    <w:rsid w:val="00387048"/>
    <w:rsid w:val="00390367"/>
    <w:rsid w:val="00390D87"/>
    <w:rsid w:val="00391619"/>
    <w:rsid w:val="00392447"/>
    <w:rsid w:val="0039277D"/>
    <w:rsid w:val="00393056"/>
    <w:rsid w:val="003932BC"/>
    <w:rsid w:val="00393385"/>
    <w:rsid w:val="00395285"/>
    <w:rsid w:val="00397DBC"/>
    <w:rsid w:val="003A027A"/>
    <w:rsid w:val="003A0CFC"/>
    <w:rsid w:val="003A10DA"/>
    <w:rsid w:val="003A143E"/>
    <w:rsid w:val="003A23D9"/>
    <w:rsid w:val="003A4120"/>
    <w:rsid w:val="003A4519"/>
    <w:rsid w:val="003A51C3"/>
    <w:rsid w:val="003B0434"/>
    <w:rsid w:val="003B074F"/>
    <w:rsid w:val="003B1935"/>
    <w:rsid w:val="003B1BC3"/>
    <w:rsid w:val="003B1C27"/>
    <w:rsid w:val="003B1D7B"/>
    <w:rsid w:val="003B3EAB"/>
    <w:rsid w:val="003B5ACC"/>
    <w:rsid w:val="003B7136"/>
    <w:rsid w:val="003B7846"/>
    <w:rsid w:val="003B7D7D"/>
    <w:rsid w:val="003C2976"/>
    <w:rsid w:val="003C2DAF"/>
    <w:rsid w:val="003C56A1"/>
    <w:rsid w:val="003C7894"/>
    <w:rsid w:val="003D4170"/>
    <w:rsid w:val="003D4455"/>
    <w:rsid w:val="003D4F7F"/>
    <w:rsid w:val="003D551B"/>
    <w:rsid w:val="003E21AE"/>
    <w:rsid w:val="003E2FBB"/>
    <w:rsid w:val="003E4896"/>
    <w:rsid w:val="003E656E"/>
    <w:rsid w:val="003F2729"/>
    <w:rsid w:val="003F32FC"/>
    <w:rsid w:val="003F663B"/>
    <w:rsid w:val="003F6E10"/>
    <w:rsid w:val="004049CD"/>
    <w:rsid w:val="004069F3"/>
    <w:rsid w:val="00406C81"/>
    <w:rsid w:val="00410DC4"/>
    <w:rsid w:val="00412BB4"/>
    <w:rsid w:val="00412E15"/>
    <w:rsid w:val="0041364D"/>
    <w:rsid w:val="004176C3"/>
    <w:rsid w:val="00417BBB"/>
    <w:rsid w:val="004202B3"/>
    <w:rsid w:val="00420C16"/>
    <w:rsid w:val="00421302"/>
    <w:rsid w:val="0042211E"/>
    <w:rsid w:val="00423CED"/>
    <w:rsid w:val="00424D0B"/>
    <w:rsid w:val="004250CF"/>
    <w:rsid w:val="0042587B"/>
    <w:rsid w:val="00427A28"/>
    <w:rsid w:val="004309FC"/>
    <w:rsid w:val="00430B70"/>
    <w:rsid w:val="00432723"/>
    <w:rsid w:val="00433DA0"/>
    <w:rsid w:val="004368DB"/>
    <w:rsid w:val="00437312"/>
    <w:rsid w:val="00440556"/>
    <w:rsid w:val="00440EAA"/>
    <w:rsid w:val="00441D90"/>
    <w:rsid w:val="00441E0D"/>
    <w:rsid w:val="0045009B"/>
    <w:rsid w:val="00451202"/>
    <w:rsid w:val="0045311E"/>
    <w:rsid w:val="00453F5E"/>
    <w:rsid w:val="00454420"/>
    <w:rsid w:val="0045473B"/>
    <w:rsid w:val="00455F9E"/>
    <w:rsid w:val="004600B7"/>
    <w:rsid w:val="0046063B"/>
    <w:rsid w:val="00460E8D"/>
    <w:rsid w:val="0046151F"/>
    <w:rsid w:val="0046199F"/>
    <w:rsid w:val="00466A08"/>
    <w:rsid w:val="00470504"/>
    <w:rsid w:val="0047102C"/>
    <w:rsid w:val="004719B6"/>
    <w:rsid w:val="004726F0"/>
    <w:rsid w:val="00472AAD"/>
    <w:rsid w:val="00473637"/>
    <w:rsid w:val="00473B84"/>
    <w:rsid w:val="00475EB7"/>
    <w:rsid w:val="00476D08"/>
    <w:rsid w:val="00477123"/>
    <w:rsid w:val="004775A5"/>
    <w:rsid w:val="0048186B"/>
    <w:rsid w:val="00481EB5"/>
    <w:rsid w:val="004860A7"/>
    <w:rsid w:val="00486365"/>
    <w:rsid w:val="00487A8F"/>
    <w:rsid w:val="004903FE"/>
    <w:rsid w:val="00490A07"/>
    <w:rsid w:val="004911F7"/>
    <w:rsid w:val="00491A3E"/>
    <w:rsid w:val="0049275C"/>
    <w:rsid w:val="0049382C"/>
    <w:rsid w:val="00494506"/>
    <w:rsid w:val="00494523"/>
    <w:rsid w:val="00494BC4"/>
    <w:rsid w:val="00495918"/>
    <w:rsid w:val="00496185"/>
    <w:rsid w:val="004A006E"/>
    <w:rsid w:val="004A041E"/>
    <w:rsid w:val="004A08C3"/>
    <w:rsid w:val="004A1A13"/>
    <w:rsid w:val="004A49CC"/>
    <w:rsid w:val="004A4E0A"/>
    <w:rsid w:val="004A6E88"/>
    <w:rsid w:val="004A78D3"/>
    <w:rsid w:val="004A7C87"/>
    <w:rsid w:val="004B1A5C"/>
    <w:rsid w:val="004B52A5"/>
    <w:rsid w:val="004B57FF"/>
    <w:rsid w:val="004B754A"/>
    <w:rsid w:val="004C0D7D"/>
    <w:rsid w:val="004C28E3"/>
    <w:rsid w:val="004C3FED"/>
    <w:rsid w:val="004C5265"/>
    <w:rsid w:val="004C5615"/>
    <w:rsid w:val="004D053C"/>
    <w:rsid w:val="004D0B55"/>
    <w:rsid w:val="004D0ED6"/>
    <w:rsid w:val="004D166F"/>
    <w:rsid w:val="004D32B3"/>
    <w:rsid w:val="004D5AD3"/>
    <w:rsid w:val="004D6323"/>
    <w:rsid w:val="004D66F3"/>
    <w:rsid w:val="004D6BB5"/>
    <w:rsid w:val="004D6E27"/>
    <w:rsid w:val="004D738F"/>
    <w:rsid w:val="004D7ED9"/>
    <w:rsid w:val="004E0B3E"/>
    <w:rsid w:val="004E3718"/>
    <w:rsid w:val="004E385F"/>
    <w:rsid w:val="004E44EA"/>
    <w:rsid w:val="004E6705"/>
    <w:rsid w:val="004E6C07"/>
    <w:rsid w:val="004E6E25"/>
    <w:rsid w:val="004F0AA5"/>
    <w:rsid w:val="004F1FE2"/>
    <w:rsid w:val="004F5E26"/>
    <w:rsid w:val="004F7897"/>
    <w:rsid w:val="005008A8"/>
    <w:rsid w:val="00501EBD"/>
    <w:rsid w:val="00504AA9"/>
    <w:rsid w:val="00506AFD"/>
    <w:rsid w:val="00506D87"/>
    <w:rsid w:val="0050760A"/>
    <w:rsid w:val="00507CC0"/>
    <w:rsid w:val="005113E2"/>
    <w:rsid w:val="0051732F"/>
    <w:rsid w:val="00517703"/>
    <w:rsid w:val="00520601"/>
    <w:rsid w:val="00521AC8"/>
    <w:rsid w:val="0052407D"/>
    <w:rsid w:val="00525380"/>
    <w:rsid w:val="005275EB"/>
    <w:rsid w:val="00531F0D"/>
    <w:rsid w:val="00532331"/>
    <w:rsid w:val="00533D68"/>
    <w:rsid w:val="00533F9B"/>
    <w:rsid w:val="0053523A"/>
    <w:rsid w:val="00535FF4"/>
    <w:rsid w:val="005361CD"/>
    <w:rsid w:val="00536921"/>
    <w:rsid w:val="005405E7"/>
    <w:rsid w:val="005413AB"/>
    <w:rsid w:val="00546A3A"/>
    <w:rsid w:val="0054709C"/>
    <w:rsid w:val="005471AF"/>
    <w:rsid w:val="00547542"/>
    <w:rsid w:val="005505E2"/>
    <w:rsid w:val="005508C6"/>
    <w:rsid w:val="0055214B"/>
    <w:rsid w:val="005526DB"/>
    <w:rsid w:val="00552986"/>
    <w:rsid w:val="00552DBE"/>
    <w:rsid w:val="005539B4"/>
    <w:rsid w:val="00554F1F"/>
    <w:rsid w:val="00562F53"/>
    <w:rsid w:val="00566E46"/>
    <w:rsid w:val="005725BC"/>
    <w:rsid w:val="0057345F"/>
    <w:rsid w:val="0057524A"/>
    <w:rsid w:val="00576583"/>
    <w:rsid w:val="00577088"/>
    <w:rsid w:val="0058008E"/>
    <w:rsid w:val="00580760"/>
    <w:rsid w:val="0058287E"/>
    <w:rsid w:val="00582A07"/>
    <w:rsid w:val="00582A3D"/>
    <w:rsid w:val="0058643B"/>
    <w:rsid w:val="005864D4"/>
    <w:rsid w:val="00586974"/>
    <w:rsid w:val="00586E04"/>
    <w:rsid w:val="005908A3"/>
    <w:rsid w:val="0059142D"/>
    <w:rsid w:val="00591C9A"/>
    <w:rsid w:val="005920F6"/>
    <w:rsid w:val="0059288D"/>
    <w:rsid w:val="00593D23"/>
    <w:rsid w:val="00595371"/>
    <w:rsid w:val="00595DDB"/>
    <w:rsid w:val="0059665A"/>
    <w:rsid w:val="005A01EC"/>
    <w:rsid w:val="005A2329"/>
    <w:rsid w:val="005A232C"/>
    <w:rsid w:val="005A2FB5"/>
    <w:rsid w:val="005A3E07"/>
    <w:rsid w:val="005A5B5C"/>
    <w:rsid w:val="005A79D0"/>
    <w:rsid w:val="005A7B10"/>
    <w:rsid w:val="005B0182"/>
    <w:rsid w:val="005B291B"/>
    <w:rsid w:val="005B72E0"/>
    <w:rsid w:val="005C03D8"/>
    <w:rsid w:val="005C06AC"/>
    <w:rsid w:val="005C1CF6"/>
    <w:rsid w:val="005C245A"/>
    <w:rsid w:val="005C2540"/>
    <w:rsid w:val="005C2B4F"/>
    <w:rsid w:val="005C48AC"/>
    <w:rsid w:val="005C4C02"/>
    <w:rsid w:val="005C5A88"/>
    <w:rsid w:val="005C5C7D"/>
    <w:rsid w:val="005C64A8"/>
    <w:rsid w:val="005D13E4"/>
    <w:rsid w:val="005D165D"/>
    <w:rsid w:val="005D1A33"/>
    <w:rsid w:val="005D1B56"/>
    <w:rsid w:val="005D226A"/>
    <w:rsid w:val="005D28F7"/>
    <w:rsid w:val="005D30E9"/>
    <w:rsid w:val="005D3626"/>
    <w:rsid w:val="005D7841"/>
    <w:rsid w:val="005E0B37"/>
    <w:rsid w:val="005E2010"/>
    <w:rsid w:val="005E3519"/>
    <w:rsid w:val="005E3DEE"/>
    <w:rsid w:val="005E4C2A"/>
    <w:rsid w:val="005E5EAB"/>
    <w:rsid w:val="005F1C7E"/>
    <w:rsid w:val="005F34C7"/>
    <w:rsid w:val="005F395F"/>
    <w:rsid w:val="005F3E43"/>
    <w:rsid w:val="005F4AE5"/>
    <w:rsid w:val="005F5E45"/>
    <w:rsid w:val="0060023D"/>
    <w:rsid w:val="00600CC8"/>
    <w:rsid w:val="00604852"/>
    <w:rsid w:val="00605C48"/>
    <w:rsid w:val="00611AA9"/>
    <w:rsid w:val="00612CAF"/>
    <w:rsid w:val="0061573E"/>
    <w:rsid w:val="00615D51"/>
    <w:rsid w:val="0061648F"/>
    <w:rsid w:val="00616838"/>
    <w:rsid w:val="006168A1"/>
    <w:rsid w:val="00621C6A"/>
    <w:rsid w:val="00623E5A"/>
    <w:rsid w:val="00624ED5"/>
    <w:rsid w:val="0062557C"/>
    <w:rsid w:val="00626536"/>
    <w:rsid w:val="006265E1"/>
    <w:rsid w:val="00626637"/>
    <w:rsid w:val="00626AC5"/>
    <w:rsid w:val="00630C53"/>
    <w:rsid w:val="00632E84"/>
    <w:rsid w:val="00633459"/>
    <w:rsid w:val="00634B7B"/>
    <w:rsid w:val="00635D31"/>
    <w:rsid w:val="0063673C"/>
    <w:rsid w:val="00640493"/>
    <w:rsid w:val="00640F16"/>
    <w:rsid w:val="006411F8"/>
    <w:rsid w:val="00641AFD"/>
    <w:rsid w:val="00643336"/>
    <w:rsid w:val="00644130"/>
    <w:rsid w:val="0064678A"/>
    <w:rsid w:val="00646EBB"/>
    <w:rsid w:val="00655C26"/>
    <w:rsid w:val="0065734E"/>
    <w:rsid w:val="006608AE"/>
    <w:rsid w:val="00661B71"/>
    <w:rsid w:val="0066214F"/>
    <w:rsid w:val="006625A2"/>
    <w:rsid w:val="006668AB"/>
    <w:rsid w:val="0067163F"/>
    <w:rsid w:val="006726B6"/>
    <w:rsid w:val="0067414C"/>
    <w:rsid w:val="00674C1F"/>
    <w:rsid w:val="00675182"/>
    <w:rsid w:val="00677EA8"/>
    <w:rsid w:val="00680664"/>
    <w:rsid w:val="00685FE6"/>
    <w:rsid w:val="0068712D"/>
    <w:rsid w:val="006906E1"/>
    <w:rsid w:val="006907C5"/>
    <w:rsid w:val="00691CD7"/>
    <w:rsid w:val="00693860"/>
    <w:rsid w:val="00695274"/>
    <w:rsid w:val="006953C5"/>
    <w:rsid w:val="0069640C"/>
    <w:rsid w:val="00696CB9"/>
    <w:rsid w:val="006A04D4"/>
    <w:rsid w:val="006A1AF4"/>
    <w:rsid w:val="006A23DE"/>
    <w:rsid w:val="006A2605"/>
    <w:rsid w:val="006A2C9D"/>
    <w:rsid w:val="006A416B"/>
    <w:rsid w:val="006A46AC"/>
    <w:rsid w:val="006A46BE"/>
    <w:rsid w:val="006A5173"/>
    <w:rsid w:val="006A695E"/>
    <w:rsid w:val="006A6D78"/>
    <w:rsid w:val="006A7696"/>
    <w:rsid w:val="006B0B80"/>
    <w:rsid w:val="006B1D31"/>
    <w:rsid w:val="006B1D50"/>
    <w:rsid w:val="006B254E"/>
    <w:rsid w:val="006C07A0"/>
    <w:rsid w:val="006C0839"/>
    <w:rsid w:val="006C09DB"/>
    <w:rsid w:val="006C1D2C"/>
    <w:rsid w:val="006C2889"/>
    <w:rsid w:val="006C2E3A"/>
    <w:rsid w:val="006C333B"/>
    <w:rsid w:val="006C6C5E"/>
    <w:rsid w:val="006D3E1C"/>
    <w:rsid w:val="006D3FAA"/>
    <w:rsid w:val="006D424F"/>
    <w:rsid w:val="006E06AC"/>
    <w:rsid w:val="006E118D"/>
    <w:rsid w:val="006E3CA9"/>
    <w:rsid w:val="006E3D0E"/>
    <w:rsid w:val="006E6B2D"/>
    <w:rsid w:val="006F0682"/>
    <w:rsid w:val="006F21C3"/>
    <w:rsid w:val="0070085C"/>
    <w:rsid w:val="00700938"/>
    <w:rsid w:val="00700C65"/>
    <w:rsid w:val="00703437"/>
    <w:rsid w:val="00703842"/>
    <w:rsid w:val="00704616"/>
    <w:rsid w:val="0070574A"/>
    <w:rsid w:val="00705933"/>
    <w:rsid w:val="00706824"/>
    <w:rsid w:val="00710E79"/>
    <w:rsid w:val="00711512"/>
    <w:rsid w:val="00711D6A"/>
    <w:rsid w:val="007129E3"/>
    <w:rsid w:val="00715404"/>
    <w:rsid w:val="00715A50"/>
    <w:rsid w:val="0072245D"/>
    <w:rsid w:val="00723BAF"/>
    <w:rsid w:val="007240C6"/>
    <w:rsid w:val="00725068"/>
    <w:rsid w:val="00725891"/>
    <w:rsid w:val="007263E1"/>
    <w:rsid w:val="00734020"/>
    <w:rsid w:val="007348F0"/>
    <w:rsid w:val="007356A3"/>
    <w:rsid w:val="00736047"/>
    <w:rsid w:val="007363BF"/>
    <w:rsid w:val="007378CA"/>
    <w:rsid w:val="007379F6"/>
    <w:rsid w:val="00740068"/>
    <w:rsid w:val="007423F1"/>
    <w:rsid w:val="007430B0"/>
    <w:rsid w:val="00745F97"/>
    <w:rsid w:val="00746917"/>
    <w:rsid w:val="00750224"/>
    <w:rsid w:val="00753055"/>
    <w:rsid w:val="00753152"/>
    <w:rsid w:val="007543C5"/>
    <w:rsid w:val="007549C4"/>
    <w:rsid w:val="007552F2"/>
    <w:rsid w:val="007560AE"/>
    <w:rsid w:val="007568E0"/>
    <w:rsid w:val="00756DFE"/>
    <w:rsid w:val="00756FAB"/>
    <w:rsid w:val="00757412"/>
    <w:rsid w:val="00757D19"/>
    <w:rsid w:val="00757DCC"/>
    <w:rsid w:val="007614F4"/>
    <w:rsid w:val="007636D9"/>
    <w:rsid w:val="007637DD"/>
    <w:rsid w:val="00763D50"/>
    <w:rsid w:val="00763FB9"/>
    <w:rsid w:val="00764E5E"/>
    <w:rsid w:val="0076606D"/>
    <w:rsid w:val="00767EE4"/>
    <w:rsid w:val="007706D4"/>
    <w:rsid w:val="00771A89"/>
    <w:rsid w:val="00772CDB"/>
    <w:rsid w:val="00773AED"/>
    <w:rsid w:val="00774B2E"/>
    <w:rsid w:val="00776B6E"/>
    <w:rsid w:val="00780EE6"/>
    <w:rsid w:val="007811A5"/>
    <w:rsid w:val="00781DE8"/>
    <w:rsid w:val="00782892"/>
    <w:rsid w:val="00782C45"/>
    <w:rsid w:val="00783C9A"/>
    <w:rsid w:val="00784CD0"/>
    <w:rsid w:val="00784E2C"/>
    <w:rsid w:val="00786A05"/>
    <w:rsid w:val="007921F3"/>
    <w:rsid w:val="00793BCF"/>
    <w:rsid w:val="00797C64"/>
    <w:rsid w:val="007A050D"/>
    <w:rsid w:val="007A4415"/>
    <w:rsid w:val="007A477B"/>
    <w:rsid w:val="007A56B4"/>
    <w:rsid w:val="007A58E9"/>
    <w:rsid w:val="007A755C"/>
    <w:rsid w:val="007A7D34"/>
    <w:rsid w:val="007B0BC3"/>
    <w:rsid w:val="007B1BF9"/>
    <w:rsid w:val="007B1C0A"/>
    <w:rsid w:val="007B4568"/>
    <w:rsid w:val="007B4F76"/>
    <w:rsid w:val="007B50D3"/>
    <w:rsid w:val="007B648C"/>
    <w:rsid w:val="007B7843"/>
    <w:rsid w:val="007C0175"/>
    <w:rsid w:val="007C05AB"/>
    <w:rsid w:val="007C4544"/>
    <w:rsid w:val="007C7265"/>
    <w:rsid w:val="007D0B50"/>
    <w:rsid w:val="007D1867"/>
    <w:rsid w:val="007D2AAD"/>
    <w:rsid w:val="007D32BE"/>
    <w:rsid w:val="007D369B"/>
    <w:rsid w:val="007D5202"/>
    <w:rsid w:val="007D5558"/>
    <w:rsid w:val="007D55B2"/>
    <w:rsid w:val="007D5ACA"/>
    <w:rsid w:val="007D5B19"/>
    <w:rsid w:val="007D6270"/>
    <w:rsid w:val="007D7210"/>
    <w:rsid w:val="007E0248"/>
    <w:rsid w:val="007E0CFF"/>
    <w:rsid w:val="007E3839"/>
    <w:rsid w:val="007E4236"/>
    <w:rsid w:val="007E440D"/>
    <w:rsid w:val="007E5F7C"/>
    <w:rsid w:val="007F0B65"/>
    <w:rsid w:val="007F0C55"/>
    <w:rsid w:val="007F353D"/>
    <w:rsid w:val="007F531F"/>
    <w:rsid w:val="007F59EB"/>
    <w:rsid w:val="007F5B0C"/>
    <w:rsid w:val="007F6246"/>
    <w:rsid w:val="007F7C4B"/>
    <w:rsid w:val="007F7C4E"/>
    <w:rsid w:val="00800A18"/>
    <w:rsid w:val="0080215A"/>
    <w:rsid w:val="00803247"/>
    <w:rsid w:val="00803E2F"/>
    <w:rsid w:val="00805C88"/>
    <w:rsid w:val="0080632B"/>
    <w:rsid w:val="00810028"/>
    <w:rsid w:val="00810EFE"/>
    <w:rsid w:val="00814C3C"/>
    <w:rsid w:val="00814F56"/>
    <w:rsid w:val="00817DA0"/>
    <w:rsid w:val="0082072E"/>
    <w:rsid w:val="00821F2E"/>
    <w:rsid w:val="00824EBE"/>
    <w:rsid w:val="0082602D"/>
    <w:rsid w:val="00826188"/>
    <w:rsid w:val="00827322"/>
    <w:rsid w:val="00827EAE"/>
    <w:rsid w:val="00830C7A"/>
    <w:rsid w:val="00832396"/>
    <w:rsid w:val="0083382F"/>
    <w:rsid w:val="00833DB0"/>
    <w:rsid w:val="00834632"/>
    <w:rsid w:val="008354CC"/>
    <w:rsid w:val="0083670B"/>
    <w:rsid w:val="00836B37"/>
    <w:rsid w:val="0084033F"/>
    <w:rsid w:val="00840813"/>
    <w:rsid w:val="00840E67"/>
    <w:rsid w:val="00841513"/>
    <w:rsid w:val="00843D3A"/>
    <w:rsid w:val="00844CB3"/>
    <w:rsid w:val="00847A2C"/>
    <w:rsid w:val="00850C1C"/>
    <w:rsid w:val="00852AE9"/>
    <w:rsid w:val="00855344"/>
    <w:rsid w:val="00855675"/>
    <w:rsid w:val="00856070"/>
    <w:rsid w:val="00861700"/>
    <w:rsid w:val="00866728"/>
    <w:rsid w:val="008718CD"/>
    <w:rsid w:val="00872AAC"/>
    <w:rsid w:val="008747CA"/>
    <w:rsid w:val="0087580A"/>
    <w:rsid w:val="00877ABF"/>
    <w:rsid w:val="0088026F"/>
    <w:rsid w:val="00881E6A"/>
    <w:rsid w:val="00885413"/>
    <w:rsid w:val="0088601C"/>
    <w:rsid w:val="00887829"/>
    <w:rsid w:val="008903FD"/>
    <w:rsid w:val="00890D72"/>
    <w:rsid w:val="00894F47"/>
    <w:rsid w:val="0089534B"/>
    <w:rsid w:val="00895EBE"/>
    <w:rsid w:val="008960AD"/>
    <w:rsid w:val="008969BA"/>
    <w:rsid w:val="00897F90"/>
    <w:rsid w:val="008A03F1"/>
    <w:rsid w:val="008A15E2"/>
    <w:rsid w:val="008A1C50"/>
    <w:rsid w:val="008A214A"/>
    <w:rsid w:val="008A23C0"/>
    <w:rsid w:val="008A2BCC"/>
    <w:rsid w:val="008A2C1E"/>
    <w:rsid w:val="008A2C3D"/>
    <w:rsid w:val="008A2E69"/>
    <w:rsid w:val="008A31F3"/>
    <w:rsid w:val="008A3EE0"/>
    <w:rsid w:val="008A4198"/>
    <w:rsid w:val="008A5329"/>
    <w:rsid w:val="008A5DE3"/>
    <w:rsid w:val="008A648C"/>
    <w:rsid w:val="008A671C"/>
    <w:rsid w:val="008A6A6A"/>
    <w:rsid w:val="008B13C1"/>
    <w:rsid w:val="008B3C2C"/>
    <w:rsid w:val="008B5192"/>
    <w:rsid w:val="008B77C8"/>
    <w:rsid w:val="008C0FE0"/>
    <w:rsid w:val="008C243E"/>
    <w:rsid w:val="008C5CDC"/>
    <w:rsid w:val="008C5EC0"/>
    <w:rsid w:val="008C631F"/>
    <w:rsid w:val="008C74DB"/>
    <w:rsid w:val="008D0F8B"/>
    <w:rsid w:val="008D2296"/>
    <w:rsid w:val="008D2A08"/>
    <w:rsid w:val="008D35A2"/>
    <w:rsid w:val="008D4391"/>
    <w:rsid w:val="008D4777"/>
    <w:rsid w:val="008D4B99"/>
    <w:rsid w:val="008D5C7A"/>
    <w:rsid w:val="008E1EC1"/>
    <w:rsid w:val="008E216B"/>
    <w:rsid w:val="008E3DA0"/>
    <w:rsid w:val="008E73F8"/>
    <w:rsid w:val="008E7D41"/>
    <w:rsid w:val="008F116A"/>
    <w:rsid w:val="008F19C2"/>
    <w:rsid w:val="008F1C60"/>
    <w:rsid w:val="008F2254"/>
    <w:rsid w:val="008F2454"/>
    <w:rsid w:val="008F2D06"/>
    <w:rsid w:val="008F45CF"/>
    <w:rsid w:val="008F6B7D"/>
    <w:rsid w:val="008F6BB2"/>
    <w:rsid w:val="008F70BC"/>
    <w:rsid w:val="00901071"/>
    <w:rsid w:val="00902E7C"/>
    <w:rsid w:val="00903AD5"/>
    <w:rsid w:val="00904603"/>
    <w:rsid w:val="00904E17"/>
    <w:rsid w:val="00904EDA"/>
    <w:rsid w:val="00905350"/>
    <w:rsid w:val="00906775"/>
    <w:rsid w:val="00911134"/>
    <w:rsid w:val="00911F84"/>
    <w:rsid w:val="00911F98"/>
    <w:rsid w:val="00912948"/>
    <w:rsid w:val="009143F5"/>
    <w:rsid w:val="00915E7A"/>
    <w:rsid w:val="00921399"/>
    <w:rsid w:val="009239EA"/>
    <w:rsid w:val="00923AE2"/>
    <w:rsid w:val="00925864"/>
    <w:rsid w:val="00925D37"/>
    <w:rsid w:val="009261A4"/>
    <w:rsid w:val="00927948"/>
    <w:rsid w:val="00930273"/>
    <w:rsid w:val="00931F35"/>
    <w:rsid w:val="009339A6"/>
    <w:rsid w:val="009346EA"/>
    <w:rsid w:val="00934B54"/>
    <w:rsid w:val="00935F6A"/>
    <w:rsid w:val="009362A7"/>
    <w:rsid w:val="0093678A"/>
    <w:rsid w:val="00936FAC"/>
    <w:rsid w:val="009374BE"/>
    <w:rsid w:val="009415DB"/>
    <w:rsid w:val="009460A7"/>
    <w:rsid w:val="00946B74"/>
    <w:rsid w:val="00946F1F"/>
    <w:rsid w:val="009477B9"/>
    <w:rsid w:val="0095046D"/>
    <w:rsid w:val="00951C81"/>
    <w:rsid w:val="009520A5"/>
    <w:rsid w:val="009529A5"/>
    <w:rsid w:val="009533AD"/>
    <w:rsid w:val="009544A0"/>
    <w:rsid w:val="00954841"/>
    <w:rsid w:val="009552D7"/>
    <w:rsid w:val="0095599B"/>
    <w:rsid w:val="00956237"/>
    <w:rsid w:val="00956EC8"/>
    <w:rsid w:val="00961C8E"/>
    <w:rsid w:val="0096205C"/>
    <w:rsid w:val="0096207F"/>
    <w:rsid w:val="00962126"/>
    <w:rsid w:val="0096325C"/>
    <w:rsid w:val="009658AE"/>
    <w:rsid w:val="00967236"/>
    <w:rsid w:val="00970034"/>
    <w:rsid w:val="00970221"/>
    <w:rsid w:val="00970648"/>
    <w:rsid w:val="00970F7E"/>
    <w:rsid w:val="0097342B"/>
    <w:rsid w:val="009739C7"/>
    <w:rsid w:val="00973BA5"/>
    <w:rsid w:val="00974C7F"/>
    <w:rsid w:val="0097570F"/>
    <w:rsid w:val="00976A73"/>
    <w:rsid w:val="00981834"/>
    <w:rsid w:val="00981B50"/>
    <w:rsid w:val="00981F0F"/>
    <w:rsid w:val="00983D12"/>
    <w:rsid w:val="00984599"/>
    <w:rsid w:val="00984C53"/>
    <w:rsid w:val="00985188"/>
    <w:rsid w:val="00987BAF"/>
    <w:rsid w:val="00987F3D"/>
    <w:rsid w:val="009905EE"/>
    <w:rsid w:val="009959CF"/>
    <w:rsid w:val="00996E56"/>
    <w:rsid w:val="009A02EC"/>
    <w:rsid w:val="009A1867"/>
    <w:rsid w:val="009A1D02"/>
    <w:rsid w:val="009A215E"/>
    <w:rsid w:val="009A2244"/>
    <w:rsid w:val="009A332A"/>
    <w:rsid w:val="009A60C8"/>
    <w:rsid w:val="009A630E"/>
    <w:rsid w:val="009A6984"/>
    <w:rsid w:val="009B0068"/>
    <w:rsid w:val="009B0FDB"/>
    <w:rsid w:val="009B0FF5"/>
    <w:rsid w:val="009B4C21"/>
    <w:rsid w:val="009B514F"/>
    <w:rsid w:val="009B5692"/>
    <w:rsid w:val="009B573F"/>
    <w:rsid w:val="009B5F8B"/>
    <w:rsid w:val="009C061F"/>
    <w:rsid w:val="009C42F9"/>
    <w:rsid w:val="009C7304"/>
    <w:rsid w:val="009C7A9F"/>
    <w:rsid w:val="009D06AD"/>
    <w:rsid w:val="009D2153"/>
    <w:rsid w:val="009D2A5D"/>
    <w:rsid w:val="009D47E9"/>
    <w:rsid w:val="009D5FE5"/>
    <w:rsid w:val="009D727F"/>
    <w:rsid w:val="009D79F5"/>
    <w:rsid w:val="009E0210"/>
    <w:rsid w:val="009E14B1"/>
    <w:rsid w:val="009E1B34"/>
    <w:rsid w:val="009E1F08"/>
    <w:rsid w:val="009E44CD"/>
    <w:rsid w:val="009E5A59"/>
    <w:rsid w:val="009E7295"/>
    <w:rsid w:val="009F033A"/>
    <w:rsid w:val="009F05D6"/>
    <w:rsid w:val="009F18D8"/>
    <w:rsid w:val="009F33A9"/>
    <w:rsid w:val="009F4272"/>
    <w:rsid w:val="009F48B0"/>
    <w:rsid w:val="009F5D53"/>
    <w:rsid w:val="009F5F81"/>
    <w:rsid w:val="009F63F9"/>
    <w:rsid w:val="00A009BF"/>
    <w:rsid w:val="00A00C49"/>
    <w:rsid w:val="00A00CA4"/>
    <w:rsid w:val="00A00DB9"/>
    <w:rsid w:val="00A01BBB"/>
    <w:rsid w:val="00A02331"/>
    <w:rsid w:val="00A0523E"/>
    <w:rsid w:val="00A054C9"/>
    <w:rsid w:val="00A05AD3"/>
    <w:rsid w:val="00A05EFE"/>
    <w:rsid w:val="00A077B4"/>
    <w:rsid w:val="00A109B9"/>
    <w:rsid w:val="00A10E8F"/>
    <w:rsid w:val="00A12629"/>
    <w:rsid w:val="00A13288"/>
    <w:rsid w:val="00A13D96"/>
    <w:rsid w:val="00A145CF"/>
    <w:rsid w:val="00A15BE4"/>
    <w:rsid w:val="00A176ED"/>
    <w:rsid w:val="00A2002B"/>
    <w:rsid w:val="00A208A5"/>
    <w:rsid w:val="00A20F42"/>
    <w:rsid w:val="00A21251"/>
    <w:rsid w:val="00A215C7"/>
    <w:rsid w:val="00A218F4"/>
    <w:rsid w:val="00A2248A"/>
    <w:rsid w:val="00A22D2C"/>
    <w:rsid w:val="00A2376D"/>
    <w:rsid w:val="00A253A5"/>
    <w:rsid w:val="00A313A6"/>
    <w:rsid w:val="00A32C51"/>
    <w:rsid w:val="00A3487B"/>
    <w:rsid w:val="00A36838"/>
    <w:rsid w:val="00A3688C"/>
    <w:rsid w:val="00A373CB"/>
    <w:rsid w:val="00A41436"/>
    <w:rsid w:val="00A4189D"/>
    <w:rsid w:val="00A41C42"/>
    <w:rsid w:val="00A424FF"/>
    <w:rsid w:val="00A42901"/>
    <w:rsid w:val="00A44215"/>
    <w:rsid w:val="00A45581"/>
    <w:rsid w:val="00A4594C"/>
    <w:rsid w:val="00A45B80"/>
    <w:rsid w:val="00A45E62"/>
    <w:rsid w:val="00A4770C"/>
    <w:rsid w:val="00A51CD1"/>
    <w:rsid w:val="00A53563"/>
    <w:rsid w:val="00A543CE"/>
    <w:rsid w:val="00A57DDE"/>
    <w:rsid w:val="00A630D1"/>
    <w:rsid w:val="00A64220"/>
    <w:rsid w:val="00A66FF7"/>
    <w:rsid w:val="00A7289A"/>
    <w:rsid w:val="00A73C1B"/>
    <w:rsid w:val="00A767C2"/>
    <w:rsid w:val="00A77861"/>
    <w:rsid w:val="00A77D84"/>
    <w:rsid w:val="00A80802"/>
    <w:rsid w:val="00A8132B"/>
    <w:rsid w:val="00A81B0F"/>
    <w:rsid w:val="00A8555B"/>
    <w:rsid w:val="00A86DE1"/>
    <w:rsid w:val="00A9082D"/>
    <w:rsid w:val="00A92040"/>
    <w:rsid w:val="00A922C7"/>
    <w:rsid w:val="00A94632"/>
    <w:rsid w:val="00A95738"/>
    <w:rsid w:val="00A9747D"/>
    <w:rsid w:val="00A974DC"/>
    <w:rsid w:val="00AA24CE"/>
    <w:rsid w:val="00AA6CFC"/>
    <w:rsid w:val="00AB162E"/>
    <w:rsid w:val="00AB2058"/>
    <w:rsid w:val="00AB300E"/>
    <w:rsid w:val="00AB4E02"/>
    <w:rsid w:val="00AB5466"/>
    <w:rsid w:val="00AB5FCB"/>
    <w:rsid w:val="00AB60F3"/>
    <w:rsid w:val="00AB69FE"/>
    <w:rsid w:val="00AC1602"/>
    <w:rsid w:val="00AC2731"/>
    <w:rsid w:val="00AC344A"/>
    <w:rsid w:val="00AC4E12"/>
    <w:rsid w:val="00AC50EC"/>
    <w:rsid w:val="00AD043A"/>
    <w:rsid w:val="00AD114E"/>
    <w:rsid w:val="00AD13FA"/>
    <w:rsid w:val="00AD17EA"/>
    <w:rsid w:val="00AD1F74"/>
    <w:rsid w:val="00AD26AB"/>
    <w:rsid w:val="00AD307B"/>
    <w:rsid w:val="00AD31E2"/>
    <w:rsid w:val="00AD3D95"/>
    <w:rsid w:val="00AD7356"/>
    <w:rsid w:val="00AD7366"/>
    <w:rsid w:val="00AD74B2"/>
    <w:rsid w:val="00AD7E18"/>
    <w:rsid w:val="00AE0A26"/>
    <w:rsid w:val="00AE1697"/>
    <w:rsid w:val="00AE29DA"/>
    <w:rsid w:val="00AE6133"/>
    <w:rsid w:val="00AF066E"/>
    <w:rsid w:val="00AF2D11"/>
    <w:rsid w:val="00AF5CDC"/>
    <w:rsid w:val="00AF67EF"/>
    <w:rsid w:val="00AF7C9F"/>
    <w:rsid w:val="00AF7F09"/>
    <w:rsid w:val="00B001A7"/>
    <w:rsid w:val="00B00540"/>
    <w:rsid w:val="00B01023"/>
    <w:rsid w:val="00B03D09"/>
    <w:rsid w:val="00B06251"/>
    <w:rsid w:val="00B11BDE"/>
    <w:rsid w:val="00B12BDB"/>
    <w:rsid w:val="00B14AA5"/>
    <w:rsid w:val="00B14CCD"/>
    <w:rsid w:val="00B17CF0"/>
    <w:rsid w:val="00B20D3B"/>
    <w:rsid w:val="00B21630"/>
    <w:rsid w:val="00B221CF"/>
    <w:rsid w:val="00B2357B"/>
    <w:rsid w:val="00B23E9F"/>
    <w:rsid w:val="00B27296"/>
    <w:rsid w:val="00B30813"/>
    <w:rsid w:val="00B32B52"/>
    <w:rsid w:val="00B33546"/>
    <w:rsid w:val="00B341F8"/>
    <w:rsid w:val="00B34996"/>
    <w:rsid w:val="00B35050"/>
    <w:rsid w:val="00B351F1"/>
    <w:rsid w:val="00B36525"/>
    <w:rsid w:val="00B4358B"/>
    <w:rsid w:val="00B44C04"/>
    <w:rsid w:val="00B451C9"/>
    <w:rsid w:val="00B45421"/>
    <w:rsid w:val="00B47032"/>
    <w:rsid w:val="00B477E7"/>
    <w:rsid w:val="00B51F2D"/>
    <w:rsid w:val="00B53013"/>
    <w:rsid w:val="00B530FA"/>
    <w:rsid w:val="00B5327F"/>
    <w:rsid w:val="00B54BE6"/>
    <w:rsid w:val="00B553A6"/>
    <w:rsid w:val="00B611DD"/>
    <w:rsid w:val="00B61394"/>
    <w:rsid w:val="00B62246"/>
    <w:rsid w:val="00B65107"/>
    <w:rsid w:val="00B73D30"/>
    <w:rsid w:val="00B73F85"/>
    <w:rsid w:val="00B7577B"/>
    <w:rsid w:val="00B761FD"/>
    <w:rsid w:val="00B76860"/>
    <w:rsid w:val="00B7769F"/>
    <w:rsid w:val="00B821B2"/>
    <w:rsid w:val="00B8423E"/>
    <w:rsid w:val="00B84D32"/>
    <w:rsid w:val="00B862CA"/>
    <w:rsid w:val="00B87E61"/>
    <w:rsid w:val="00B90853"/>
    <w:rsid w:val="00B956DD"/>
    <w:rsid w:val="00B9602D"/>
    <w:rsid w:val="00B960D4"/>
    <w:rsid w:val="00B96578"/>
    <w:rsid w:val="00B96B1F"/>
    <w:rsid w:val="00B97594"/>
    <w:rsid w:val="00BA1956"/>
    <w:rsid w:val="00BA2258"/>
    <w:rsid w:val="00BA3672"/>
    <w:rsid w:val="00BA6A7B"/>
    <w:rsid w:val="00BA7402"/>
    <w:rsid w:val="00BA7D5F"/>
    <w:rsid w:val="00BB0ACB"/>
    <w:rsid w:val="00BB0FD2"/>
    <w:rsid w:val="00BB22B1"/>
    <w:rsid w:val="00BB2802"/>
    <w:rsid w:val="00BB4E65"/>
    <w:rsid w:val="00BB53B6"/>
    <w:rsid w:val="00BB75EC"/>
    <w:rsid w:val="00BC10E3"/>
    <w:rsid w:val="00BC2C7E"/>
    <w:rsid w:val="00BC458F"/>
    <w:rsid w:val="00BD0C4D"/>
    <w:rsid w:val="00BD0F00"/>
    <w:rsid w:val="00BD2C2A"/>
    <w:rsid w:val="00BD48F1"/>
    <w:rsid w:val="00BD4DA8"/>
    <w:rsid w:val="00BD5056"/>
    <w:rsid w:val="00BE21CB"/>
    <w:rsid w:val="00BE2876"/>
    <w:rsid w:val="00BE29B4"/>
    <w:rsid w:val="00BE5FE0"/>
    <w:rsid w:val="00BE644E"/>
    <w:rsid w:val="00BE7971"/>
    <w:rsid w:val="00BE7AD1"/>
    <w:rsid w:val="00BF0835"/>
    <w:rsid w:val="00BF1F3F"/>
    <w:rsid w:val="00BF2187"/>
    <w:rsid w:val="00BF340F"/>
    <w:rsid w:val="00BF3C2B"/>
    <w:rsid w:val="00BF3C31"/>
    <w:rsid w:val="00BF52C3"/>
    <w:rsid w:val="00BF6689"/>
    <w:rsid w:val="00BF6C1D"/>
    <w:rsid w:val="00C00CDF"/>
    <w:rsid w:val="00C00DBB"/>
    <w:rsid w:val="00C00E45"/>
    <w:rsid w:val="00C02ABF"/>
    <w:rsid w:val="00C0431A"/>
    <w:rsid w:val="00C057A3"/>
    <w:rsid w:val="00C05E07"/>
    <w:rsid w:val="00C065A5"/>
    <w:rsid w:val="00C06F25"/>
    <w:rsid w:val="00C0716B"/>
    <w:rsid w:val="00C07F71"/>
    <w:rsid w:val="00C10222"/>
    <w:rsid w:val="00C10A7E"/>
    <w:rsid w:val="00C10CE2"/>
    <w:rsid w:val="00C10E74"/>
    <w:rsid w:val="00C111C3"/>
    <w:rsid w:val="00C1179A"/>
    <w:rsid w:val="00C11DE0"/>
    <w:rsid w:val="00C1273C"/>
    <w:rsid w:val="00C132E9"/>
    <w:rsid w:val="00C136BE"/>
    <w:rsid w:val="00C1416F"/>
    <w:rsid w:val="00C1455B"/>
    <w:rsid w:val="00C20584"/>
    <w:rsid w:val="00C209AD"/>
    <w:rsid w:val="00C2163F"/>
    <w:rsid w:val="00C21805"/>
    <w:rsid w:val="00C21905"/>
    <w:rsid w:val="00C23757"/>
    <w:rsid w:val="00C24E32"/>
    <w:rsid w:val="00C26F99"/>
    <w:rsid w:val="00C275E6"/>
    <w:rsid w:val="00C3061F"/>
    <w:rsid w:val="00C32C5C"/>
    <w:rsid w:val="00C338F3"/>
    <w:rsid w:val="00C406CA"/>
    <w:rsid w:val="00C41B3B"/>
    <w:rsid w:val="00C429A9"/>
    <w:rsid w:val="00C4305B"/>
    <w:rsid w:val="00C44A89"/>
    <w:rsid w:val="00C44B07"/>
    <w:rsid w:val="00C45B50"/>
    <w:rsid w:val="00C47C5D"/>
    <w:rsid w:val="00C51171"/>
    <w:rsid w:val="00C519A9"/>
    <w:rsid w:val="00C51BF5"/>
    <w:rsid w:val="00C524A3"/>
    <w:rsid w:val="00C54E17"/>
    <w:rsid w:val="00C560E3"/>
    <w:rsid w:val="00C57B19"/>
    <w:rsid w:val="00C57C92"/>
    <w:rsid w:val="00C600E4"/>
    <w:rsid w:val="00C6187D"/>
    <w:rsid w:val="00C631D5"/>
    <w:rsid w:val="00C64D12"/>
    <w:rsid w:val="00C66491"/>
    <w:rsid w:val="00C66D00"/>
    <w:rsid w:val="00C67381"/>
    <w:rsid w:val="00C7584B"/>
    <w:rsid w:val="00C76457"/>
    <w:rsid w:val="00C805E4"/>
    <w:rsid w:val="00C8106C"/>
    <w:rsid w:val="00C82438"/>
    <w:rsid w:val="00C83CD5"/>
    <w:rsid w:val="00C84131"/>
    <w:rsid w:val="00C87B41"/>
    <w:rsid w:val="00C90115"/>
    <w:rsid w:val="00C926D1"/>
    <w:rsid w:val="00C92FC7"/>
    <w:rsid w:val="00C97421"/>
    <w:rsid w:val="00CA0104"/>
    <w:rsid w:val="00CA073A"/>
    <w:rsid w:val="00CA0EC0"/>
    <w:rsid w:val="00CA32BA"/>
    <w:rsid w:val="00CA7BBA"/>
    <w:rsid w:val="00CB085F"/>
    <w:rsid w:val="00CB0880"/>
    <w:rsid w:val="00CB11B0"/>
    <w:rsid w:val="00CB1708"/>
    <w:rsid w:val="00CB1901"/>
    <w:rsid w:val="00CB3F86"/>
    <w:rsid w:val="00CB6148"/>
    <w:rsid w:val="00CB67B6"/>
    <w:rsid w:val="00CC0DF5"/>
    <w:rsid w:val="00CC4449"/>
    <w:rsid w:val="00CC4FA1"/>
    <w:rsid w:val="00CC5923"/>
    <w:rsid w:val="00CC613F"/>
    <w:rsid w:val="00CC77F6"/>
    <w:rsid w:val="00CC791C"/>
    <w:rsid w:val="00CD0394"/>
    <w:rsid w:val="00CD16BC"/>
    <w:rsid w:val="00CD1DDA"/>
    <w:rsid w:val="00CD3E5E"/>
    <w:rsid w:val="00CD466A"/>
    <w:rsid w:val="00CD603E"/>
    <w:rsid w:val="00CD66FB"/>
    <w:rsid w:val="00CD7001"/>
    <w:rsid w:val="00CE0DB3"/>
    <w:rsid w:val="00CE1582"/>
    <w:rsid w:val="00CE3A32"/>
    <w:rsid w:val="00CE3C1A"/>
    <w:rsid w:val="00CE5F34"/>
    <w:rsid w:val="00CE645A"/>
    <w:rsid w:val="00CE72E7"/>
    <w:rsid w:val="00CE79BE"/>
    <w:rsid w:val="00CF055F"/>
    <w:rsid w:val="00CF0DE9"/>
    <w:rsid w:val="00CF0E2B"/>
    <w:rsid w:val="00CF1216"/>
    <w:rsid w:val="00CF146E"/>
    <w:rsid w:val="00CF2B2F"/>
    <w:rsid w:val="00CF40FA"/>
    <w:rsid w:val="00CF5184"/>
    <w:rsid w:val="00CF58F5"/>
    <w:rsid w:val="00CF67B3"/>
    <w:rsid w:val="00CF7A2A"/>
    <w:rsid w:val="00CF7E1D"/>
    <w:rsid w:val="00D059B1"/>
    <w:rsid w:val="00D05CB8"/>
    <w:rsid w:val="00D065D5"/>
    <w:rsid w:val="00D06A16"/>
    <w:rsid w:val="00D06E48"/>
    <w:rsid w:val="00D1329A"/>
    <w:rsid w:val="00D1408B"/>
    <w:rsid w:val="00D147AA"/>
    <w:rsid w:val="00D14938"/>
    <w:rsid w:val="00D14C31"/>
    <w:rsid w:val="00D15725"/>
    <w:rsid w:val="00D20545"/>
    <w:rsid w:val="00D21BE1"/>
    <w:rsid w:val="00D22344"/>
    <w:rsid w:val="00D22F12"/>
    <w:rsid w:val="00D23F72"/>
    <w:rsid w:val="00D27169"/>
    <w:rsid w:val="00D27D51"/>
    <w:rsid w:val="00D30D90"/>
    <w:rsid w:val="00D34D77"/>
    <w:rsid w:val="00D35E6B"/>
    <w:rsid w:val="00D36410"/>
    <w:rsid w:val="00D36C86"/>
    <w:rsid w:val="00D36D00"/>
    <w:rsid w:val="00D3760A"/>
    <w:rsid w:val="00D37E9B"/>
    <w:rsid w:val="00D42198"/>
    <w:rsid w:val="00D42845"/>
    <w:rsid w:val="00D4313B"/>
    <w:rsid w:val="00D4412B"/>
    <w:rsid w:val="00D44D7E"/>
    <w:rsid w:val="00D44F6C"/>
    <w:rsid w:val="00D45E94"/>
    <w:rsid w:val="00D50425"/>
    <w:rsid w:val="00D52FB1"/>
    <w:rsid w:val="00D530AC"/>
    <w:rsid w:val="00D53395"/>
    <w:rsid w:val="00D542B8"/>
    <w:rsid w:val="00D56115"/>
    <w:rsid w:val="00D60713"/>
    <w:rsid w:val="00D644CC"/>
    <w:rsid w:val="00D656B9"/>
    <w:rsid w:val="00D66224"/>
    <w:rsid w:val="00D67641"/>
    <w:rsid w:val="00D71796"/>
    <w:rsid w:val="00D7185E"/>
    <w:rsid w:val="00D71DE2"/>
    <w:rsid w:val="00D72A41"/>
    <w:rsid w:val="00D73184"/>
    <w:rsid w:val="00D742F4"/>
    <w:rsid w:val="00D75E44"/>
    <w:rsid w:val="00D76258"/>
    <w:rsid w:val="00D76783"/>
    <w:rsid w:val="00D775A0"/>
    <w:rsid w:val="00D8113A"/>
    <w:rsid w:val="00D82B48"/>
    <w:rsid w:val="00D83C64"/>
    <w:rsid w:val="00D84234"/>
    <w:rsid w:val="00D85410"/>
    <w:rsid w:val="00D8659D"/>
    <w:rsid w:val="00D87BEA"/>
    <w:rsid w:val="00D90FE7"/>
    <w:rsid w:val="00D91A7F"/>
    <w:rsid w:val="00D92406"/>
    <w:rsid w:val="00D92638"/>
    <w:rsid w:val="00D94719"/>
    <w:rsid w:val="00D9603A"/>
    <w:rsid w:val="00D9696B"/>
    <w:rsid w:val="00D96E3B"/>
    <w:rsid w:val="00DA022E"/>
    <w:rsid w:val="00DA0381"/>
    <w:rsid w:val="00DA0AC7"/>
    <w:rsid w:val="00DA27C0"/>
    <w:rsid w:val="00DA32D1"/>
    <w:rsid w:val="00DA3520"/>
    <w:rsid w:val="00DA49CD"/>
    <w:rsid w:val="00DA5194"/>
    <w:rsid w:val="00DA5445"/>
    <w:rsid w:val="00DA54A0"/>
    <w:rsid w:val="00DB00D5"/>
    <w:rsid w:val="00DB41FA"/>
    <w:rsid w:val="00DC074B"/>
    <w:rsid w:val="00DC2BD5"/>
    <w:rsid w:val="00DC3714"/>
    <w:rsid w:val="00DC3B69"/>
    <w:rsid w:val="00DC4A02"/>
    <w:rsid w:val="00DC55C5"/>
    <w:rsid w:val="00DC622D"/>
    <w:rsid w:val="00DC6620"/>
    <w:rsid w:val="00DD00EE"/>
    <w:rsid w:val="00DD05E1"/>
    <w:rsid w:val="00DD1C2F"/>
    <w:rsid w:val="00DD3DCC"/>
    <w:rsid w:val="00DD7C20"/>
    <w:rsid w:val="00DE0020"/>
    <w:rsid w:val="00DE01AB"/>
    <w:rsid w:val="00DE0E6F"/>
    <w:rsid w:val="00DE0E8C"/>
    <w:rsid w:val="00DE129F"/>
    <w:rsid w:val="00DE3B6D"/>
    <w:rsid w:val="00DE6768"/>
    <w:rsid w:val="00DE6D23"/>
    <w:rsid w:val="00DE7D26"/>
    <w:rsid w:val="00DF0218"/>
    <w:rsid w:val="00DF06AD"/>
    <w:rsid w:val="00DF0E94"/>
    <w:rsid w:val="00DF1DB9"/>
    <w:rsid w:val="00DF1E15"/>
    <w:rsid w:val="00DF24E9"/>
    <w:rsid w:val="00DF3434"/>
    <w:rsid w:val="00DF4687"/>
    <w:rsid w:val="00DF620C"/>
    <w:rsid w:val="00DF6C05"/>
    <w:rsid w:val="00DF7FC8"/>
    <w:rsid w:val="00E0047D"/>
    <w:rsid w:val="00E0156C"/>
    <w:rsid w:val="00E02AEE"/>
    <w:rsid w:val="00E02CB7"/>
    <w:rsid w:val="00E02DCB"/>
    <w:rsid w:val="00E03CA4"/>
    <w:rsid w:val="00E03DA4"/>
    <w:rsid w:val="00E0632F"/>
    <w:rsid w:val="00E069EF"/>
    <w:rsid w:val="00E1147A"/>
    <w:rsid w:val="00E11833"/>
    <w:rsid w:val="00E12A98"/>
    <w:rsid w:val="00E130D5"/>
    <w:rsid w:val="00E1452A"/>
    <w:rsid w:val="00E14B9F"/>
    <w:rsid w:val="00E15947"/>
    <w:rsid w:val="00E15D9C"/>
    <w:rsid w:val="00E21686"/>
    <w:rsid w:val="00E24237"/>
    <w:rsid w:val="00E275B1"/>
    <w:rsid w:val="00E30D94"/>
    <w:rsid w:val="00E31137"/>
    <w:rsid w:val="00E328DA"/>
    <w:rsid w:val="00E32BE1"/>
    <w:rsid w:val="00E3460C"/>
    <w:rsid w:val="00E35423"/>
    <w:rsid w:val="00E37EB7"/>
    <w:rsid w:val="00E42167"/>
    <w:rsid w:val="00E43068"/>
    <w:rsid w:val="00E4496A"/>
    <w:rsid w:val="00E459F1"/>
    <w:rsid w:val="00E47745"/>
    <w:rsid w:val="00E5014E"/>
    <w:rsid w:val="00E50262"/>
    <w:rsid w:val="00E5030F"/>
    <w:rsid w:val="00E5144D"/>
    <w:rsid w:val="00E51AA6"/>
    <w:rsid w:val="00E52ABA"/>
    <w:rsid w:val="00E5498D"/>
    <w:rsid w:val="00E55F6C"/>
    <w:rsid w:val="00E56941"/>
    <w:rsid w:val="00E57D00"/>
    <w:rsid w:val="00E60087"/>
    <w:rsid w:val="00E6026B"/>
    <w:rsid w:val="00E6276A"/>
    <w:rsid w:val="00E63446"/>
    <w:rsid w:val="00E6485B"/>
    <w:rsid w:val="00E665C3"/>
    <w:rsid w:val="00E66727"/>
    <w:rsid w:val="00E706FD"/>
    <w:rsid w:val="00E72840"/>
    <w:rsid w:val="00E73EB7"/>
    <w:rsid w:val="00E7429E"/>
    <w:rsid w:val="00E75D0B"/>
    <w:rsid w:val="00E772BC"/>
    <w:rsid w:val="00E772EF"/>
    <w:rsid w:val="00E80A5F"/>
    <w:rsid w:val="00E81058"/>
    <w:rsid w:val="00E8159C"/>
    <w:rsid w:val="00E82AA5"/>
    <w:rsid w:val="00E82C27"/>
    <w:rsid w:val="00E85621"/>
    <w:rsid w:val="00E85CCF"/>
    <w:rsid w:val="00E92060"/>
    <w:rsid w:val="00E9282A"/>
    <w:rsid w:val="00E935E3"/>
    <w:rsid w:val="00E93B9C"/>
    <w:rsid w:val="00E93CEA"/>
    <w:rsid w:val="00E940D0"/>
    <w:rsid w:val="00E97790"/>
    <w:rsid w:val="00EA04BA"/>
    <w:rsid w:val="00EA1790"/>
    <w:rsid w:val="00EA72E1"/>
    <w:rsid w:val="00EB0090"/>
    <w:rsid w:val="00EB2BBF"/>
    <w:rsid w:val="00EB576E"/>
    <w:rsid w:val="00EB6FD3"/>
    <w:rsid w:val="00EC0078"/>
    <w:rsid w:val="00EC0097"/>
    <w:rsid w:val="00EC0708"/>
    <w:rsid w:val="00EC1A9C"/>
    <w:rsid w:val="00EC2A88"/>
    <w:rsid w:val="00EC2FEE"/>
    <w:rsid w:val="00EC4F66"/>
    <w:rsid w:val="00EC6942"/>
    <w:rsid w:val="00EC77F9"/>
    <w:rsid w:val="00ED10BE"/>
    <w:rsid w:val="00ED177D"/>
    <w:rsid w:val="00ED3D52"/>
    <w:rsid w:val="00ED4D51"/>
    <w:rsid w:val="00ED62F9"/>
    <w:rsid w:val="00ED6E66"/>
    <w:rsid w:val="00ED71D5"/>
    <w:rsid w:val="00EE0E9F"/>
    <w:rsid w:val="00EE3504"/>
    <w:rsid w:val="00EE3529"/>
    <w:rsid w:val="00EE3F0D"/>
    <w:rsid w:val="00EE5349"/>
    <w:rsid w:val="00EE5706"/>
    <w:rsid w:val="00EE5942"/>
    <w:rsid w:val="00EF061D"/>
    <w:rsid w:val="00EF3D24"/>
    <w:rsid w:val="00EF495A"/>
    <w:rsid w:val="00EF7E75"/>
    <w:rsid w:val="00F00364"/>
    <w:rsid w:val="00F04A2F"/>
    <w:rsid w:val="00F05827"/>
    <w:rsid w:val="00F0738F"/>
    <w:rsid w:val="00F10116"/>
    <w:rsid w:val="00F10617"/>
    <w:rsid w:val="00F106EC"/>
    <w:rsid w:val="00F10BED"/>
    <w:rsid w:val="00F113DC"/>
    <w:rsid w:val="00F12EC2"/>
    <w:rsid w:val="00F13352"/>
    <w:rsid w:val="00F14014"/>
    <w:rsid w:val="00F146FE"/>
    <w:rsid w:val="00F159B3"/>
    <w:rsid w:val="00F16381"/>
    <w:rsid w:val="00F16A8E"/>
    <w:rsid w:val="00F17F37"/>
    <w:rsid w:val="00F23B00"/>
    <w:rsid w:val="00F241D2"/>
    <w:rsid w:val="00F245C5"/>
    <w:rsid w:val="00F246E1"/>
    <w:rsid w:val="00F2570C"/>
    <w:rsid w:val="00F2672E"/>
    <w:rsid w:val="00F26AD1"/>
    <w:rsid w:val="00F3002E"/>
    <w:rsid w:val="00F3099E"/>
    <w:rsid w:val="00F30EF3"/>
    <w:rsid w:val="00F337EE"/>
    <w:rsid w:val="00F356C1"/>
    <w:rsid w:val="00F36ABB"/>
    <w:rsid w:val="00F403A5"/>
    <w:rsid w:val="00F40FCF"/>
    <w:rsid w:val="00F43C13"/>
    <w:rsid w:val="00F44235"/>
    <w:rsid w:val="00F4558E"/>
    <w:rsid w:val="00F45A58"/>
    <w:rsid w:val="00F4645F"/>
    <w:rsid w:val="00F46A37"/>
    <w:rsid w:val="00F47186"/>
    <w:rsid w:val="00F53176"/>
    <w:rsid w:val="00F55168"/>
    <w:rsid w:val="00F5793D"/>
    <w:rsid w:val="00F57D2B"/>
    <w:rsid w:val="00F60E33"/>
    <w:rsid w:val="00F62687"/>
    <w:rsid w:val="00F641ED"/>
    <w:rsid w:val="00F64D32"/>
    <w:rsid w:val="00F65907"/>
    <w:rsid w:val="00F65B84"/>
    <w:rsid w:val="00F7192B"/>
    <w:rsid w:val="00F751F8"/>
    <w:rsid w:val="00F75647"/>
    <w:rsid w:val="00F7583F"/>
    <w:rsid w:val="00F758E9"/>
    <w:rsid w:val="00F75C66"/>
    <w:rsid w:val="00F7648F"/>
    <w:rsid w:val="00F76AB8"/>
    <w:rsid w:val="00F76AFF"/>
    <w:rsid w:val="00F77B53"/>
    <w:rsid w:val="00F81AEE"/>
    <w:rsid w:val="00F82852"/>
    <w:rsid w:val="00F84BA7"/>
    <w:rsid w:val="00F85651"/>
    <w:rsid w:val="00F859C2"/>
    <w:rsid w:val="00F86A11"/>
    <w:rsid w:val="00F86F38"/>
    <w:rsid w:val="00F9039A"/>
    <w:rsid w:val="00F9135E"/>
    <w:rsid w:val="00F91426"/>
    <w:rsid w:val="00F94DA2"/>
    <w:rsid w:val="00F95606"/>
    <w:rsid w:val="00F96F51"/>
    <w:rsid w:val="00F97830"/>
    <w:rsid w:val="00FA03DF"/>
    <w:rsid w:val="00FA0DBD"/>
    <w:rsid w:val="00FA1095"/>
    <w:rsid w:val="00FA2F17"/>
    <w:rsid w:val="00FA389A"/>
    <w:rsid w:val="00FA6F90"/>
    <w:rsid w:val="00FA7956"/>
    <w:rsid w:val="00FB0945"/>
    <w:rsid w:val="00FB3937"/>
    <w:rsid w:val="00FB586F"/>
    <w:rsid w:val="00FB5FED"/>
    <w:rsid w:val="00FC0A1A"/>
    <w:rsid w:val="00FC4E5F"/>
    <w:rsid w:val="00FC5257"/>
    <w:rsid w:val="00FC695F"/>
    <w:rsid w:val="00FC72BA"/>
    <w:rsid w:val="00FC735B"/>
    <w:rsid w:val="00FD0043"/>
    <w:rsid w:val="00FD16BE"/>
    <w:rsid w:val="00FD189B"/>
    <w:rsid w:val="00FD18A5"/>
    <w:rsid w:val="00FD338C"/>
    <w:rsid w:val="00FD5B1A"/>
    <w:rsid w:val="00FD5DCB"/>
    <w:rsid w:val="00FD68D7"/>
    <w:rsid w:val="00FD691F"/>
    <w:rsid w:val="00FE511D"/>
    <w:rsid w:val="00FE69E1"/>
    <w:rsid w:val="00FE768A"/>
    <w:rsid w:val="00FF0E21"/>
    <w:rsid w:val="00FF0EE8"/>
    <w:rsid w:val="00FF1DFA"/>
    <w:rsid w:val="00FF5516"/>
    <w:rsid w:val="00FF5966"/>
    <w:rsid w:val="00FF62E0"/>
    <w:rsid w:val="00FF7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1A"/>
    <w:pPr>
      <w:suppressAutoHyphens/>
    </w:pPr>
    <w:rPr>
      <w:lang w:eastAsia="ar-SA"/>
    </w:rPr>
  </w:style>
  <w:style w:type="paragraph" w:styleId="Heading1">
    <w:name w:val="heading 1"/>
    <w:basedOn w:val="BodyTextIndent2"/>
    <w:next w:val="Normal"/>
    <w:qFormat/>
    <w:rsid w:val="00FC0A1A"/>
    <w:pPr>
      <w:outlineLvl w:val="0"/>
    </w:pPr>
    <w:rPr>
      <w:bCs w:val="0"/>
      <w:i w:val="0"/>
      <w:iCs w:val="0"/>
      <w:szCs w:val="24"/>
    </w:rPr>
  </w:style>
  <w:style w:type="paragraph" w:styleId="Heading2">
    <w:name w:val="heading 2"/>
    <w:basedOn w:val="Normal"/>
    <w:next w:val="Normal"/>
    <w:qFormat/>
    <w:rsid w:val="00C0431A"/>
    <w:pPr>
      <w:keepNext/>
      <w:numPr>
        <w:ilvl w:val="1"/>
        <w:numId w:val="1"/>
      </w:numPr>
      <w:overflowPunct w:val="0"/>
      <w:autoSpaceDE w:val="0"/>
      <w:spacing w:after="240"/>
      <w:ind w:left="1440" w:hanging="720"/>
      <w:textAlignment w:val="baseline"/>
      <w:outlineLvl w:val="1"/>
    </w:pPr>
    <w:rPr>
      <w:b/>
    </w:rPr>
  </w:style>
  <w:style w:type="paragraph" w:styleId="Heading3">
    <w:name w:val="heading 3"/>
    <w:basedOn w:val="Normal"/>
    <w:next w:val="Normal"/>
    <w:qFormat/>
    <w:rsid w:val="00C0431A"/>
    <w:pPr>
      <w:keepNext/>
      <w:numPr>
        <w:ilvl w:val="2"/>
        <w:numId w:val="1"/>
      </w:numPr>
      <w:jc w:val="center"/>
      <w:outlineLvl w:val="2"/>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C0431A"/>
    <w:rPr>
      <w:b w:val="0"/>
      <w:i w:val="0"/>
    </w:rPr>
  </w:style>
  <w:style w:type="character" w:customStyle="1" w:styleId="WW-DefaultParagraphFont">
    <w:name w:val="WW-Default Paragraph Font"/>
    <w:rsid w:val="00C0431A"/>
  </w:style>
  <w:style w:type="character" w:customStyle="1" w:styleId="WW-DefaultParagraphFont1">
    <w:name w:val="WW-Default Paragraph Font1"/>
    <w:rsid w:val="00C0431A"/>
  </w:style>
  <w:style w:type="character" w:styleId="PageNumber">
    <w:name w:val="page number"/>
    <w:basedOn w:val="WW-DefaultParagraphFont1"/>
    <w:rsid w:val="00C0431A"/>
  </w:style>
  <w:style w:type="character" w:customStyle="1" w:styleId="FootnoteCharacters">
    <w:name w:val="Footnote Characters"/>
    <w:rsid w:val="00C0431A"/>
    <w:rPr>
      <w:vertAlign w:val="superscript"/>
    </w:rPr>
  </w:style>
  <w:style w:type="character" w:styleId="LineNumber">
    <w:name w:val="line number"/>
    <w:basedOn w:val="WW-DefaultParagraphFont1"/>
    <w:rsid w:val="00C0431A"/>
  </w:style>
  <w:style w:type="character" w:customStyle="1" w:styleId="FootnoteTextChar1">
    <w:name w:val="Footnote Text Char1"/>
    <w:rsid w:val="00C0431A"/>
    <w:rPr>
      <w:lang w:val="en-US" w:eastAsia="ar-SA" w:bidi="ar-SA"/>
    </w:rPr>
  </w:style>
  <w:style w:type="character" w:customStyle="1" w:styleId="NumberingSymbols">
    <w:name w:val="Numbering Symbols"/>
    <w:rsid w:val="00C0431A"/>
  </w:style>
  <w:style w:type="character" w:styleId="Hyperlink">
    <w:name w:val="Hyperlink"/>
    <w:uiPriority w:val="99"/>
    <w:rsid w:val="00C0431A"/>
    <w:rPr>
      <w:color w:val="0000FF"/>
      <w:u w:val="single"/>
    </w:rPr>
  </w:style>
  <w:style w:type="character" w:styleId="CommentReference">
    <w:name w:val="annotation reference"/>
    <w:rsid w:val="00C0431A"/>
    <w:rPr>
      <w:sz w:val="16"/>
      <w:szCs w:val="16"/>
    </w:rPr>
  </w:style>
  <w:style w:type="character" w:styleId="FootnoteReference">
    <w:name w:val="footnote reference"/>
    <w:uiPriority w:val="99"/>
    <w:rsid w:val="00C0431A"/>
    <w:rPr>
      <w:vertAlign w:val="superscript"/>
    </w:rPr>
  </w:style>
  <w:style w:type="character" w:customStyle="1" w:styleId="WW-FootnoteReference">
    <w:name w:val="WW-Footnote Reference"/>
    <w:rsid w:val="00C0431A"/>
    <w:rPr>
      <w:vertAlign w:val="superscript"/>
    </w:rPr>
  </w:style>
  <w:style w:type="character" w:customStyle="1" w:styleId="EndnoteCharacters">
    <w:name w:val="Endnote Characters"/>
    <w:rsid w:val="00C0431A"/>
    <w:rPr>
      <w:vertAlign w:val="superscript"/>
    </w:rPr>
  </w:style>
  <w:style w:type="character" w:customStyle="1" w:styleId="WW-EndnoteCharacters">
    <w:name w:val="WW-Endnote Characters"/>
    <w:rsid w:val="00C0431A"/>
  </w:style>
  <w:style w:type="character" w:styleId="EndnoteReference">
    <w:name w:val="endnote reference"/>
    <w:rsid w:val="00C0431A"/>
    <w:rPr>
      <w:vertAlign w:val="superscript"/>
    </w:rPr>
  </w:style>
  <w:style w:type="paragraph" w:customStyle="1" w:styleId="Heading">
    <w:name w:val="Heading"/>
    <w:basedOn w:val="Normal"/>
    <w:next w:val="BodyText"/>
    <w:rsid w:val="00C0431A"/>
    <w:pPr>
      <w:keepNext/>
      <w:spacing w:before="240" w:after="120"/>
    </w:pPr>
    <w:rPr>
      <w:rFonts w:ascii="Arial" w:eastAsia="SimSun" w:hAnsi="Arial" w:cs="Mangal"/>
      <w:sz w:val="28"/>
      <w:szCs w:val="28"/>
    </w:rPr>
  </w:style>
  <w:style w:type="paragraph" w:styleId="BodyText">
    <w:name w:val="Body Text"/>
    <w:basedOn w:val="Normal"/>
    <w:rsid w:val="00C0431A"/>
    <w:pPr>
      <w:spacing w:after="120"/>
    </w:pPr>
  </w:style>
  <w:style w:type="paragraph" w:styleId="List">
    <w:name w:val="List"/>
    <w:basedOn w:val="BodyText"/>
    <w:rsid w:val="00C0431A"/>
    <w:rPr>
      <w:rFonts w:cs="Mangal"/>
    </w:rPr>
  </w:style>
  <w:style w:type="paragraph" w:styleId="Caption">
    <w:name w:val="caption"/>
    <w:basedOn w:val="Normal"/>
    <w:qFormat/>
    <w:rsid w:val="00C0431A"/>
    <w:pPr>
      <w:suppressLineNumbers/>
      <w:spacing w:before="120" w:after="120"/>
    </w:pPr>
    <w:rPr>
      <w:rFonts w:cs="Mangal"/>
      <w:i/>
      <w:iCs/>
      <w:sz w:val="24"/>
      <w:szCs w:val="24"/>
    </w:rPr>
  </w:style>
  <w:style w:type="paragraph" w:customStyle="1" w:styleId="Index">
    <w:name w:val="Index"/>
    <w:basedOn w:val="Normal"/>
    <w:rsid w:val="00C0431A"/>
    <w:pPr>
      <w:suppressLineNumbers/>
    </w:pPr>
    <w:rPr>
      <w:rFonts w:cs="Mangal"/>
    </w:rPr>
  </w:style>
  <w:style w:type="paragraph" w:styleId="TOC1">
    <w:name w:val="toc 1"/>
    <w:basedOn w:val="Normal"/>
    <w:next w:val="Normal"/>
    <w:uiPriority w:val="39"/>
    <w:rsid w:val="00C0431A"/>
    <w:pPr>
      <w:overflowPunct w:val="0"/>
      <w:autoSpaceDE w:val="0"/>
      <w:spacing w:after="120"/>
      <w:ind w:left="720" w:hanging="720"/>
      <w:textAlignment w:val="baseline"/>
    </w:pPr>
    <w:rPr>
      <w:sz w:val="24"/>
      <w:szCs w:val="24"/>
    </w:rPr>
  </w:style>
  <w:style w:type="paragraph" w:styleId="TOC2">
    <w:name w:val="toc 2"/>
    <w:basedOn w:val="Normal"/>
    <w:next w:val="Normal"/>
    <w:uiPriority w:val="39"/>
    <w:rsid w:val="00C0431A"/>
    <w:pPr>
      <w:tabs>
        <w:tab w:val="right" w:leader="dot" w:pos="8630"/>
      </w:tabs>
      <w:overflowPunct w:val="0"/>
      <w:autoSpaceDE w:val="0"/>
      <w:spacing w:after="120"/>
      <w:ind w:left="1440" w:hanging="720"/>
      <w:textAlignment w:val="baseline"/>
    </w:pPr>
    <w:rPr>
      <w:b/>
    </w:rPr>
  </w:style>
  <w:style w:type="paragraph" w:customStyle="1" w:styleId="StyleHeading2LeftLeft05Hanging05After12pt">
    <w:name w:val="Style Heading 2 + Left Left:  0.5&quot; Hanging:  0.5&quot; After:  12 pt"/>
    <w:basedOn w:val="Heading2"/>
    <w:rsid w:val="00C0431A"/>
    <w:pPr>
      <w:numPr>
        <w:ilvl w:val="0"/>
        <w:numId w:val="0"/>
      </w:numPr>
      <w:tabs>
        <w:tab w:val="left" w:pos="0"/>
        <w:tab w:val="left" w:pos="720"/>
      </w:tabs>
      <w:ind w:left="1440" w:hanging="720"/>
    </w:pPr>
    <w:rPr>
      <w:bCs/>
      <w:szCs w:val="24"/>
    </w:rPr>
  </w:style>
  <w:style w:type="paragraph" w:customStyle="1" w:styleId="Style1">
    <w:name w:val="Style1"/>
    <w:basedOn w:val="StyleHeading2LeftLeft05Hanging05After12pt"/>
    <w:rsid w:val="00C0431A"/>
  </w:style>
  <w:style w:type="paragraph" w:styleId="TOC3">
    <w:name w:val="toc 3"/>
    <w:basedOn w:val="Normal"/>
    <w:next w:val="Normal"/>
    <w:rsid w:val="00C0431A"/>
    <w:pPr>
      <w:overflowPunct w:val="0"/>
      <w:autoSpaceDE w:val="0"/>
      <w:spacing w:after="120"/>
      <w:ind w:left="1440" w:hanging="720"/>
      <w:textAlignment w:val="baseline"/>
    </w:pPr>
    <w:rPr>
      <w:b/>
    </w:rPr>
  </w:style>
  <w:style w:type="paragraph" w:styleId="BodyTextIndent2">
    <w:name w:val="Body Text Indent 2"/>
    <w:basedOn w:val="Normal"/>
    <w:rsid w:val="00C0431A"/>
    <w:pPr>
      <w:spacing w:line="480" w:lineRule="auto"/>
      <w:ind w:left="720" w:hanging="720"/>
    </w:pPr>
    <w:rPr>
      <w:b/>
      <w:bCs/>
      <w:i/>
      <w:iCs/>
      <w:sz w:val="24"/>
    </w:rPr>
  </w:style>
  <w:style w:type="paragraph" w:styleId="BodyTextIndent3">
    <w:name w:val="Body Text Indent 3"/>
    <w:basedOn w:val="Normal"/>
    <w:link w:val="BodyTextIndent3Char"/>
    <w:rsid w:val="00C0431A"/>
    <w:pPr>
      <w:spacing w:line="480" w:lineRule="auto"/>
      <w:ind w:left="360"/>
    </w:pPr>
    <w:rPr>
      <w:sz w:val="24"/>
    </w:rPr>
  </w:style>
  <w:style w:type="paragraph" w:styleId="PlainText">
    <w:name w:val="Plain Text"/>
    <w:basedOn w:val="Normal"/>
    <w:rsid w:val="00C0431A"/>
    <w:rPr>
      <w:rFonts w:ascii="Courier New" w:hAnsi="Courier New"/>
    </w:rPr>
  </w:style>
  <w:style w:type="paragraph" w:styleId="List2">
    <w:name w:val="List 2"/>
    <w:basedOn w:val="Normal"/>
    <w:rsid w:val="00C0431A"/>
    <w:pPr>
      <w:ind w:left="720" w:hanging="360"/>
    </w:pPr>
    <w:rPr>
      <w:sz w:val="24"/>
    </w:rPr>
  </w:style>
  <w:style w:type="paragraph" w:styleId="Footer">
    <w:name w:val="footer"/>
    <w:basedOn w:val="Normal"/>
    <w:link w:val="FooterChar"/>
    <w:uiPriority w:val="99"/>
    <w:rsid w:val="00C0431A"/>
    <w:pPr>
      <w:tabs>
        <w:tab w:val="center" w:pos="4320"/>
        <w:tab w:val="right" w:pos="8640"/>
      </w:tabs>
    </w:pPr>
  </w:style>
  <w:style w:type="paragraph" w:styleId="Header">
    <w:name w:val="header"/>
    <w:basedOn w:val="Normal"/>
    <w:link w:val="HeaderChar"/>
    <w:uiPriority w:val="99"/>
    <w:rsid w:val="00C0431A"/>
    <w:pPr>
      <w:tabs>
        <w:tab w:val="center" w:pos="4320"/>
        <w:tab w:val="right" w:pos="8640"/>
      </w:tabs>
    </w:pPr>
  </w:style>
  <w:style w:type="paragraph" w:customStyle="1" w:styleId="ANSWER">
    <w:name w:val="ANSWER"/>
    <w:basedOn w:val="Normal"/>
    <w:rsid w:val="00C0431A"/>
    <w:pPr>
      <w:spacing w:line="480" w:lineRule="auto"/>
      <w:ind w:left="1008" w:hanging="720"/>
    </w:pPr>
    <w:rPr>
      <w:sz w:val="24"/>
    </w:rPr>
  </w:style>
  <w:style w:type="paragraph" w:styleId="FootnoteText">
    <w:name w:val="footnote text"/>
    <w:basedOn w:val="Normal"/>
    <w:rsid w:val="00C0431A"/>
  </w:style>
  <w:style w:type="paragraph" w:styleId="EndnoteText">
    <w:name w:val="endnote text"/>
    <w:basedOn w:val="Normal"/>
    <w:rsid w:val="00C0431A"/>
    <w:pPr>
      <w:widowControl w:val="0"/>
    </w:pPr>
    <w:rPr>
      <w:rFonts w:ascii="Courier New" w:hAnsi="Courier New"/>
      <w:sz w:val="24"/>
    </w:rPr>
  </w:style>
  <w:style w:type="paragraph" w:styleId="BalloonText">
    <w:name w:val="Balloon Text"/>
    <w:basedOn w:val="Normal"/>
    <w:rsid w:val="00C0431A"/>
    <w:rPr>
      <w:rFonts w:ascii="Tahoma" w:hAnsi="Tahoma" w:cs="Tahoma"/>
      <w:sz w:val="16"/>
      <w:szCs w:val="16"/>
    </w:rPr>
  </w:style>
  <w:style w:type="paragraph" w:customStyle="1" w:styleId="TableContents">
    <w:name w:val="Table Contents"/>
    <w:basedOn w:val="Normal"/>
    <w:rsid w:val="00C0431A"/>
    <w:pPr>
      <w:suppressLineNumbers/>
    </w:pPr>
  </w:style>
  <w:style w:type="paragraph" w:customStyle="1" w:styleId="TableHeading">
    <w:name w:val="Table Heading"/>
    <w:basedOn w:val="TableContents"/>
    <w:rsid w:val="00C0431A"/>
    <w:pPr>
      <w:jc w:val="center"/>
    </w:pPr>
    <w:rPr>
      <w:b/>
      <w:bCs/>
    </w:rPr>
  </w:style>
  <w:style w:type="paragraph" w:customStyle="1" w:styleId="Framecontents">
    <w:name w:val="Frame contents"/>
    <w:basedOn w:val="BodyText"/>
    <w:rsid w:val="00C0431A"/>
  </w:style>
  <w:style w:type="paragraph" w:styleId="CommentText">
    <w:name w:val="annotation text"/>
    <w:basedOn w:val="Normal"/>
    <w:rsid w:val="00C0431A"/>
  </w:style>
  <w:style w:type="paragraph" w:styleId="CommentSubject">
    <w:name w:val="annotation subject"/>
    <w:basedOn w:val="CommentText"/>
    <w:next w:val="CommentText"/>
    <w:rsid w:val="00C0431A"/>
    <w:rPr>
      <w:b/>
      <w:bCs/>
    </w:rPr>
  </w:style>
  <w:style w:type="paragraph" w:styleId="ListParagraph">
    <w:name w:val="List Paragraph"/>
    <w:basedOn w:val="Normal"/>
    <w:qFormat/>
    <w:rsid w:val="00C0431A"/>
    <w:pPr>
      <w:ind w:left="720"/>
    </w:pPr>
  </w:style>
  <w:style w:type="character" w:customStyle="1" w:styleId="HeaderChar">
    <w:name w:val="Header Char"/>
    <w:link w:val="Header"/>
    <w:uiPriority w:val="99"/>
    <w:locked/>
    <w:rsid w:val="00C0431A"/>
    <w:rPr>
      <w:lang w:val="en-US" w:eastAsia="ar-SA" w:bidi="ar-SA"/>
    </w:rPr>
  </w:style>
  <w:style w:type="paragraph" w:customStyle="1" w:styleId="Normal12pt">
    <w:name w:val="Normal + 12 pt"/>
    <w:aliases w:val="Bold,Left:  0&quot;,Hanging:  0.5&quot;,Line spacing:  Double"/>
    <w:basedOn w:val="BodyTextIndent3"/>
    <w:link w:val="Normal12ptChar"/>
    <w:rsid w:val="00C0431A"/>
    <w:pPr>
      <w:ind w:left="0"/>
    </w:pPr>
    <w:rPr>
      <w:b/>
      <w:szCs w:val="24"/>
    </w:rPr>
  </w:style>
  <w:style w:type="character" w:customStyle="1" w:styleId="BodyTextIndent3Char">
    <w:name w:val="Body Text Indent 3 Char"/>
    <w:link w:val="BodyTextIndent3"/>
    <w:rsid w:val="00C0431A"/>
    <w:rPr>
      <w:sz w:val="24"/>
      <w:lang w:val="en-US" w:eastAsia="ar-SA" w:bidi="ar-SA"/>
    </w:rPr>
  </w:style>
  <w:style w:type="character" w:customStyle="1" w:styleId="Normal12ptChar">
    <w:name w:val="Normal + 12 pt Char"/>
    <w:aliases w:val="Bold Char,Left:  0&quot; Char,Hanging:  0.5&quot; Char,Line spacing:  Double Char"/>
    <w:link w:val="Normal12pt"/>
    <w:rsid w:val="00C0431A"/>
    <w:rPr>
      <w:b/>
      <w:sz w:val="24"/>
      <w:szCs w:val="24"/>
      <w:lang w:val="en-US" w:eastAsia="ar-SA" w:bidi="ar-SA"/>
    </w:rPr>
  </w:style>
  <w:style w:type="paragraph" w:styleId="Revision">
    <w:name w:val="Revision"/>
    <w:hidden/>
    <w:uiPriority w:val="99"/>
    <w:semiHidden/>
    <w:rsid w:val="00885413"/>
    <w:rPr>
      <w:lang w:eastAsia="ar-SA"/>
    </w:rPr>
  </w:style>
  <w:style w:type="character" w:customStyle="1" w:styleId="FooterChar">
    <w:name w:val="Footer Char"/>
    <w:basedOn w:val="DefaultParagraphFont"/>
    <w:link w:val="Footer"/>
    <w:uiPriority w:val="99"/>
    <w:rsid w:val="00326790"/>
    <w:rPr>
      <w:lang w:eastAsia="ar-SA"/>
    </w:rPr>
  </w:style>
  <w:style w:type="paragraph" w:styleId="NoSpacing">
    <w:name w:val="No Spacing"/>
    <w:uiPriority w:val="1"/>
    <w:qFormat/>
    <w:rsid w:val="00DF468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1A"/>
    <w:pPr>
      <w:suppressAutoHyphens/>
    </w:pPr>
    <w:rPr>
      <w:lang w:eastAsia="ar-SA"/>
    </w:rPr>
  </w:style>
  <w:style w:type="paragraph" w:styleId="Heading1">
    <w:name w:val="heading 1"/>
    <w:basedOn w:val="BodyTextIndent2"/>
    <w:next w:val="Normal"/>
    <w:qFormat/>
    <w:rsid w:val="00FC0A1A"/>
    <w:pPr>
      <w:outlineLvl w:val="0"/>
    </w:pPr>
    <w:rPr>
      <w:bCs w:val="0"/>
      <w:i w:val="0"/>
      <w:iCs w:val="0"/>
      <w:szCs w:val="24"/>
    </w:rPr>
  </w:style>
  <w:style w:type="paragraph" w:styleId="Heading2">
    <w:name w:val="heading 2"/>
    <w:basedOn w:val="Normal"/>
    <w:next w:val="Normal"/>
    <w:qFormat/>
    <w:rsid w:val="00C0431A"/>
    <w:pPr>
      <w:keepNext/>
      <w:numPr>
        <w:ilvl w:val="1"/>
        <w:numId w:val="1"/>
      </w:numPr>
      <w:overflowPunct w:val="0"/>
      <w:autoSpaceDE w:val="0"/>
      <w:spacing w:after="240"/>
      <w:ind w:left="1440" w:hanging="720"/>
      <w:textAlignment w:val="baseline"/>
      <w:outlineLvl w:val="1"/>
    </w:pPr>
    <w:rPr>
      <w:b/>
    </w:rPr>
  </w:style>
  <w:style w:type="paragraph" w:styleId="Heading3">
    <w:name w:val="heading 3"/>
    <w:basedOn w:val="Normal"/>
    <w:next w:val="Normal"/>
    <w:qFormat/>
    <w:rsid w:val="00C0431A"/>
    <w:pPr>
      <w:keepNext/>
      <w:numPr>
        <w:ilvl w:val="2"/>
        <w:numId w:val="1"/>
      </w:numPr>
      <w:jc w:val="center"/>
      <w:outlineLvl w:val="2"/>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C0431A"/>
    <w:rPr>
      <w:b w:val="0"/>
      <w:i w:val="0"/>
    </w:rPr>
  </w:style>
  <w:style w:type="character" w:customStyle="1" w:styleId="WW-DefaultParagraphFont">
    <w:name w:val="WW-Default Paragraph Font"/>
    <w:rsid w:val="00C0431A"/>
  </w:style>
  <w:style w:type="character" w:customStyle="1" w:styleId="WW-DefaultParagraphFont1">
    <w:name w:val="WW-Default Paragraph Font1"/>
    <w:rsid w:val="00C0431A"/>
  </w:style>
  <w:style w:type="character" w:styleId="PageNumber">
    <w:name w:val="page number"/>
    <w:basedOn w:val="WW-DefaultParagraphFont1"/>
    <w:rsid w:val="00C0431A"/>
  </w:style>
  <w:style w:type="character" w:customStyle="1" w:styleId="FootnoteCharacters">
    <w:name w:val="Footnote Characters"/>
    <w:rsid w:val="00C0431A"/>
    <w:rPr>
      <w:vertAlign w:val="superscript"/>
    </w:rPr>
  </w:style>
  <w:style w:type="character" w:styleId="LineNumber">
    <w:name w:val="line number"/>
    <w:basedOn w:val="WW-DefaultParagraphFont1"/>
    <w:rsid w:val="00C0431A"/>
  </w:style>
  <w:style w:type="character" w:customStyle="1" w:styleId="FootnoteTextChar1">
    <w:name w:val="Footnote Text Char1"/>
    <w:rsid w:val="00C0431A"/>
    <w:rPr>
      <w:lang w:val="en-US" w:eastAsia="ar-SA" w:bidi="ar-SA"/>
    </w:rPr>
  </w:style>
  <w:style w:type="character" w:customStyle="1" w:styleId="NumberingSymbols">
    <w:name w:val="Numbering Symbols"/>
    <w:rsid w:val="00C0431A"/>
  </w:style>
  <w:style w:type="character" w:styleId="Hyperlink">
    <w:name w:val="Hyperlink"/>
    <w:uiPriority w:val="99"/>
    <w:rsid w:val="00C0431A"/>
    <w:rPr>
      <w:color w:val="0000FF"/>
      <w:u w:val="single"/>
    </w:rPr>
  </w:style>
  <w:style w:type="character" w:styleId="CommentReference">
    <w:name w:val="annotation reference"/>
    <w:rsid w:val="00C0431A"/>
    <w:rPr>
      <w:sz w:val="16"/>
      <w:szCs w:val="16"/>
    </w:rPr>
  </w:style>
  <w:style w:type="character" w:styleId="FootnoteReference">
    <w:name w:val="footnote reference"/>
    <w:uiPriority w:val="99"/>
    <w:rsid w:val="00C0431A"/>
    <w:rPr>
      <w:vertAlign w:val="superscript"/>
    </w:rPr>
  </w:style>
  <w:style w:type="character" w:customStyle="1" w:styleId="WW-FootnoteReference">
    <w:name w:val="WW-Footnote Reference"/>
    <w:rsid w:val="00C0431A"/>
    <w:rPr>
      <w:vertAlign w:val="superscript"/>
    </w:rPr>
  </w:style>
  <w:style w:type="character" w:customStyle="1" w:styleId="EndnoteCharacters">
    <w:name w:val="Endnote Characters"/>
    <w:rsid w:val="00C0431A"/>
    <w:rPr>
      <w:vertAlign w:val="superscript"/>
    </w:rPr>
  </w:style>
  <w:style w:type="character" w:customStyle="1" w:styleId="WW-EndnoteCharacters">
    <w:name w:val="WW-Endnote Characters"/>
    <w:rsid w:val="00C0431A"/>
  </w:style>
  <w:style w:type="character" w:styleId="EndnoteReference">
    <w:name w:val="endnote reference"/>
    <w:rsid w:val="00C0431A"/>
    <w:rPr>
      <w:vertAlign w:val="superscript"/>
    </w:rPr>
  </w:style>
  <w:style w:type="paragraph" w:customStyle="1" w:styleId="Heading">
    <w:name w:val="Heading"/>
    <w:basedOn w:val="Normal"/>
    <w:next w:val="BodyText"/>
    <w:rsid w:val="00C0431A"/>
    <w:pPr>
      <w:keepNext/>
      <w:spacing w:before="240" w:after="120"/>
    </w:pPr>
    <w:rPr>
      <w:rFonts w:ascii="Arial" w:eastAsia="SimSun" w:hAnsi="Arial" w:cs="Mangal"/>
      <w:sz w:val="28"/>
      <w:szCs w:val="28"/>
    </w:rPr>
  </w:style>
  <w:style w:type="paragraph" w:styleId="BodyText">
    <w:name w:val="Body Text"/>
    <w:basedOn w:val="Normal"/>
    <w:rsid w:val="00C0431A"/>
    <w:pPr>
      <w:spacing w:after="120"/>
    </w:pPr>
  </w:style>
  <w:style w:type="paragraph" w:styleId="List">
    <w:name w:val="List"/>
    <w:basedOn w:val="BodyText"/>
    <w:rsid w:val="00C0431A"/>
    <w:rPr>
      <w:rFonts w:cs="Mangal"/>
    </w:rPr>
  </w:style>
  <w:style w:type="paragraph" w:styleId="Caption">
    <w:name w:val="caption"/>
    <w:basedOn w:val="Normal"/>
    <w:qFormat/>
    <w:rsid w:val="00C0431A"/>
    <w:pPr>
      <w:suppressLineNumbers/>
      <w:spacing w:before="120" w:after="120"/>
    </w:pPr>
    <w:rPr>
      <w:rFonts w:cs="Mangal"/>
      <w:i/>
      <w:iCs/>
      <w:sz w:val="24"/>
      <w:szCs w:val="24"/>
    </w:rPr>
  </w:style>
  <w:style w:type="paragraph" w:customStyle="1" w:styleId="Index">
    <w:name w:val="Index"/>
    <w:basedOn w:val="Normal"/>
    <w:rsid w:val="00C0431A"/>
    <w:pPr>
      <w:suppressLineNumbers/>
    </w:pPr>
    <w:rPr>
      <w:rFonts w:cs="Mangal"/>
    </w:rPr>
  </w:style>
  <w:style w:type="paragraph" w:styleId="TOC1">
    <w:name w:val="toc 1"/>
    <w:basedOn w:val="Normal"/>
    <w:next w:val="Normal"/>
    <w:uiPriority w:val="39"/>
    <w:rsid w:val="00C0431A"/>
    <w:pPr>
      <w:overflowPunct w:val="0"/>
      <w:autoSpaceDE w:val="0"/>
      <w:spacing w:after="120"/>
      <w:ind w:left="720" w:hanging="720"/>
      <w:textAlignment w:val="baseline"/>
    </w:pPr>
    <w:rPr>
      <w:sz w:val="24"/>
      <w:szCs w:val="24"/>
    </w:rPr>
  </w:style>
  <w:style w:type="paragraph" w:styleId="TOC2">
    <w:name w:val="toc 2"/>
    <w:basedOn w:val="Normal"/>
    <w:next w:val="Normal"/>
    <w:uiPriority w:val="39"/>
    <w:rsid w:val="00C0431A"/>
    <w:pPr>
      <w:tabs>
        <w:tab w:val="right" w:leader="dot" w:pos="8630"/>
      </w:tabs>
      <w:overflowPunct w:val="0"/>
      <w:autoSpaceDE w:val="0"/>
      <w:spacing w:after="120"/>
      <w:ind w:left="1440" w:hanging="720"/>
      <w:textAlignment w:val="baseline"/>
    </w:pPr>
    <w:rPr>
      <w:b/>
    </w:rPr>
  </w:style>
  <w:style w:type="paragraph" w:customStyle="1" w:styleId="StyleHeading2LeftLeft05Hanging05After12pt">
    <w:name w:val="Style Heading 2 + Left Left:  0.5&quot; Hanging:  0.5&quot; After:  12 pt"/>
    <w:basedOn w:val="Heading2"/>
    <w:rsid w:val="00C0431A"/>
    <w:pPr>
      <w:numPr>
        <w:ilvl w:val="0"/>
        <w:numId w:val="0"/>
      </w:numPr>
      <w:tabs>
        <w:tab w:val="left" w:pos="0"/>
        <w:tab w:val="left" w:pos="720"/>
      </w:tabs>
      <w:ind w:left="1440" w:hanging="720"/>
    </w:pPr>
    <w:rPr>
      <w:bCs/>
      <w:szCs w:val="24"/>
    </w:rPr>
  </w:style>
  <w:style w:type="paragraph" w:customStyle="1" w:styleId="Style1">
    <w:name w:val="Style1"/>
    <w:basedOn w:val="StyleHeading2LeftLeft05Hanging05After12pt"/>
    <w:rsid w:val="00C0431A"/>
  </w:style>
  <w:style w:type="paragraph" w:styleId="TOC3">
    <w:name w:val="toc 3"/>
    <w:basedOn w:val="Normal"/>
    <w:next w:val="Normal"/>
    <w:rsid w:val="00C0431A"/>
    <w:pPr>
      <w:overflowPunct w:val="0"/>
      <w:autoSpaceDE w:val="0"/>
      <w:spacing w:after="120"/>
      <w:ind w:left="1440" w:hanging="720"/>
      <w:textAlignment w:val="baseline"/>
    </w:pPr>
    <w:rPr>
      <w:b/>
    </w:rPr>
  </w:style>
  <w:style w:type="paragraph" w:styleId="BodyTextIndent2">
    <w:name w:val="Body Text Indent 2"/>
    <w:basedOn w:val="Normal"/>
    <w:rsid w:val="00C0431A"/>
    <w:pPr>
      <w:spacing w:line="480" w:lineRule="auto"/>
      <w:ind w:left="720" w:hanging="720"/>
    </w:pPr>
    <w:rPr>
      <w:b/>
      <w:bCs/>
      <w:i/>
      <w:iCs/>
      <w:sz w:val="24"/>
    </w:rPr>
  </w:style>
  <w:style w:type="paragraph" w:styleId="BodyTextIndent3">
    <w:name w:val="Body Text Indent 3"/>
    <w:basedOn w:val="Normal"/>
    <w:link w:val="BodyTextIndent3Char"/>
    <w:rsid w:val="00C0431A"/>
    <w:pPr>
      <w:spacing w:line="480" w:lineRule="auto"/>
      <w:ind w:left="360"/>
    </w:pPr>
    <w:rPr>
      <w:sz w:val="24"/>
    </w:rPr>
  </w:style>
  <w:style w:type="paragraph" w:styleId="PlainText">
    <w:name w:val="Plain Text"/>
    <w:basedOn w:val="Normal"/>
    <w:rsid w:val="00C0431A"/>
    <w:rPr>
      <w:rFonts w:ascii="Courier New" w:hAnsi="Courier New"/>
    </w:rPr>
  </w:style>
  <w:style w:type="paragraph" w:styleId="List2">
    <w:name w:val="List 2"/>
    <w:basedOn w:val="Normal"/>
    <w:rsid w:val="00C0431A"/>
    <w:pPr>
      <w:ind w:left="720" w:hanging="360"/>
    </w:pPr>
    <w:rPr>
      <w:sz w:val="24"/>
    </w:rPr>
  </w:style>
  <w:style w:type="paragraph" w:styleId="Footer">
    <w:name w:val="footer"/>
    <w:basedOn w:val="Normal"/>
    <w:link w:val="FooterChar"/>
    <w:uiPriority w:val="99"/>
    <w:rsid w:val="00C0431A"/>
    <w:pPr>
      <w:tabs>
        <w:tab w:val="center" w:pos="4320"/>
        <w:tab w:val="right" w:pos="8640"/>
      </w:tabs>
    </w:pPr>
  </w:style>
  <w:style w:type="paragraph" w:styleId="Header">
    <w:name w:val="header"/>
    <w:basedOn w:val="Normal"/>
    <w:link w:val="HeaderChar"/>
    <w:uiPriority w:val="99"/>
    <w:rsid w:val="00C0431A"/>
    <w:pPr>
      <w:tabs>
        <w:tab w:val="center" w:pos="4320"/>
        <w:tab w:val="right" w:pos="8640"/>
      </w:tabs>
    </w:pPr>
  </w:style>
  <w:style w:type="paragraph" w:customStyle="1" w:styleId="ANSWER">
    <w:name w:val="ANSWER"/>
    <w:basedOn w:val="Normal"/>
    <w:rsid w:val="00C0431A"/>
    <w:pPr>
      <w:spacing w:line="480" w:lineRule="auto"/>
      <w:ind w:left="1008" w:hanging="720"/>
    </w:pPr>
    <w:rPr>
      <w:sz w:val="24"/>
    </w:rPr>
  </w:style>
  <w:style w:type="paragraph" w:styleId="FootnoteText">
    <w:name w:val="footnote text"/>
    <w:basedOn w:val="Normal"/>
    <w:rsid w:val="00C0431A"/>
  </w:style>
  <w:style w:type="paragraph" w:styleId="EndnoteText">
    <w:name w:val="endnote text"/>
    <w:basedOn w:val="Normal"/>
    <w:rsid w:val="00C0431A"/>
    <w:pPr>
      <w:widowControl w:val="0"/>
    </w:pPr>
    <w:rPr>
      <w:rFonts w:ascii="Courier New" w:hAnsi="Courier New"/>
      <w:sz w:val="24"/>
    </w:rPr>
  </w:style>
  <w:style w:type="paragraph" w:styleId="BalloonText">
    <w:name w:val="Balloon Text"/>
    <w:basedOn w:val="Normal"/>
    <w:rsid w:val="00C0431A"/>
    <w:rPr>
      <w:rFonts w:ascii="Tahoma" w:hAnsi="Tahoma" w:cs="Tahoma"/>
      <w:sz w:val="16"/>
      <w:szCs w:val="16"/>
    </w:rPr>
  </w:style>
  <w:style w:type="paragraph" w:customStyle="1" w:styleId="TableContents">
    <w:name w:val="Table Contents"/>
    <w:basedOn w:val="Normal"/>
    <w:rsid w:val="00C0431A"/>
    <w:pPr>
      <w:suppressLineNumbers/>
    </w:pPr>
  </w:style>
  <w:style w:type="paragraph" w:customStyle="1" w:styleId="TableHeading">
    <w:name w:val="Table Heading"/>
    <w:basedOn w:val="TableContents"/>
    <w:rsid w:val="00C0431A"/>
    <w:pPr>
      <w:jc w:val="center"/>
    </w:pPr>
    <w:rPr>
      <w:b/>
      <w:bCs/>
    </w:rPr>
  </w:style>
  <w:style w:type="paragraph" w:customStyle="1" w:styleId="Framecontents">
    <w:name w:val="Frame contents"/>
    <w:basedOn w:val="BodyText"/>
    <w:rsid w:val="00C0431A"/>
  </w:style>
  <w:style w:type="paragraph" w:styleId="CommentText">
    <w:name w:val="annotation text"/>
    <w:basedOn w:val="Normal"/>
    <w:rsid w:val="00C0431A"/>
  </w:style>
  <w:style w:type="paragraph" w:styleId="CommentSubject">
    <w:name w:val="annotation subject"/>
    <w:basedOn w:val="CommentText"/>
    <w:next w:val="CommentText"/>
    <w:rsid w:val="00C0431A"/>
    <w:rPr>
      <w:b/>
      <w:bCs/>
    </w:rPr>
  </w:style>
  <w:style w:type="paragraph" w:styleId="ListParagraph">
    <w:name w:val="List Paragraph"/>
    <w:basedOn w:val="Normal"/>
    <w:qFormat/>
    <w:rsid w:val="00C0431A"/>
    <w:pPr>
      <w:ind w:left="720"/>
    </w:pPr>
  </w:style>
  <w:style w:type="character" w:customStyle="1" w:styleId="HeaderChar">
    <w:name w:val="Header Char"/>
    <w:link w:val="Header"/>
    <w:uiPriority w:val="99"/>
    <w:locked/>
    <w:rsid w:val="00C0431A"/>
    <w:rPr>
      <w:lang w:val="en-US" w:eastAsia="ar-SA" w:bidi="ar-SA"/>
    </w:rPr>
  </w:style>
  <w:style w:type="paragraph" w:customStyle="1" w:styleId="Normal12pt">
    <w:name w:val="Normal + 12 pt"/>
    <w:aliases w:val="Bold,Left:  0&quot;,Hanging:  0.5&quot;,Line spacing:  Double"/>
    <w:basedOn w:val="BodyTextIndent3"/>
    <w:link w:val="Normal12ptChar"/>
    <w:rsid w:val="00C0431A"/>
    <w:pPr>
      <w:ind w:left="0"/>
    </w:pPr>
    <w:rPr>
      <w:b/>
      <w:szCs w:val="24"/>
    </w:rPr>
  </w:style>
  <w:style w:type="character" w:customStyle="1" w:styleId="BodyTextIndent3Char">
    <w:name w:val="Body Text Indent 3 Char"/>
    <w:link w:val="BodyTextIndent3"/>
    <w:rsid w:val="00C0431A"/>
    <w:rPr>
      <w:sz w:val="24"/>
      <w:lang w:val="en-US" w:eastAsia="ar-SA" w:bidi="ar-SA"/>
    </w:rPr>
  </w:style>
  <w:style w:type="character" w:customStyle="1" w:styleId="Normal12ptChar">
    <w:name w:val="Normal + 12 pt Char"/>
    <w:aliases w:val="Bold Char,Left:  0&quot; Char,Hanging:  0.5&quot; Char,Line spacing:  Double Char"/>
    <w:link w:val="Normal12pt"/>
    <w:rsid w:val="00C0431A"/>
    <w:rPr>
      <w:b/>
      <w:sz w:val="24"/>
      <w:szCs w:val="24"/>
      <w:lang w:val="en-US" w:eastAsia="ar-SA" w:bidi="ar-SA"/>
    </w:rPr>
  </w:style>
  <w:style w:type="paragraph" w:styleId="Revision">
    <w:name w:val="Revision"/>
    <w:hidden/>
    <w:uiPriority w:val="99"/>
    <w:semiHidden/>
    <w:rsid w:val="00885413"/>
    <w:rPr>
      <w:lang w:eastAsia="ar-SA"/>
    </w:rPr>
  </w:style>
  <w:style w:type="character" w:customStyle="1" w:styleId="FooterChar">
    <w:name w:val="Footer Char"/>
    <w:basedOn w:val="DefaultParagraphFont"/>
    <w:link w:val="Footer"/>
    <w:uiPriority w:val="99"/>
    <w:rsid w:val="00326790"/>
    <w:rPr>
      <w:lang w:eastAsia="ar-SA"/>
    </w:rPr>
  </w:style>
  <w:style w:type="paragraph" w:styleId="NoSpacing">
    <w:name w:val="No Spacing"/>
    <w:uiPriority w:val="1"/>
    <w:qFormat/>
    <w:rsid w:val="00DF468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8440</Words>
  <Characters>45228</Characters>
  <Application>Microsoft Office Word</Application>
  <DocSecurity>0</DocSecurity>
  <PresentationFormat/>
  <Lines>1040</Lines>
  <Paragraphs>227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53634</CharactersWithSpaces>
  <SharedDoc>false</SharedDoc>
  <HyperlinkBase> </HyperlinkBase>
  <HLinks>
    <vt:vector size="78" baseType="variant">
      <vt:variant>
        <vt:i4>6553688</vt:i4>
      </vt:variant>
      <vt:variant>
        <vt:i4>54</vt:i4>
      </vt:variant>
      <vt:variant>
        <vt:i4>0</vt:i4>
      </vt:variant>
      <vt:variant>
        <vt:i4>5</vt:i4>
      </vt:variant>
      <vt:variant>
        <vt:lpwstr>mailto:asonderman@keglerbrown.com</vt:lpwstr>
      </vt:variant>
      <vt:variant>
        <vt:lpwstr/>
      </vt:variant>
      <vt:variant>
        <vt:i4>7340044</vt:i4>
      </vt:variant>
      <vt:variant>
        <vt:i4>51</vt:i4>
      </vt:variant>
      <vt:variant>
        <vt:i4>0</vt:i4>
      </vt:variant>
      <vt:variant>
        <vt:i4>5</vt:i4>
      </vt:variant>
      <vt:variant>
        <vt:lpwstr>mailto:werner.margard@puc.state.oh.us</vt:lpwstr>
      </vt:variant>
      <vt:variant>
        <vt:lpwstr/>
      </vt:variant>
      <vt:variant>
        <vt:i4>1245245</vt:i4>
      </vt:variant>
      <vt:variant>
        <vt:i4>44</vt:i4>
      </vt:variant>
      <vt:variant>
        <vt:i4>0</vt:i4>
      </vt:variant>
      <vt:variant>
        <vt:i4>5</vt:i4>
      </vt:variant>
      <vt:variant>
        <vt:lpwstr/>
      </vt:variant>
      <vt:variant>
        <vt:lpwstr>_Toc290891645</vt:lpwstr>
      </vt:variant>
      <vt:variant>
        <vt:i4>1245245</vt:i4>
      </vt:variant>
      <vt:variant>
        <vt:i4>38</vt:i4>
      </vt:variant>
      <vt:variant>
        <vt:i4>0</vt:i4>
      </vt:variant>
      <vt:variant>
        <vt:i4>5</vt:i4>
      </vt:variant>
      <vt:variant>
        <vt:lpwstr/>
      </vt:variant>
      <vt:variant>
        <vt:lpwstr>_Toc290891644</vt:lpwstr>
      </vt:variant>
      <vt:variant>
        <vt:i4>1245245</vt:i4>
      </vt:variant>
      <vt:variant>
        <vt:i4>32</vt:i4>
      </vt:variant>
      <vt:variant>
        <vt:i4>0</vt:i4>
      </vt:variant>
      <vt:variant>
        <vt:i4>5</vt:i4>
      </vt:variant>
      <vt:variant>
        <vt:lpwstr/>
      </vt:variant>
      <vt:variant>
        <vt:lpwstr>_Toc290891643</vt:lpwstr>
      </vt:variant>
      <vt:variant>
        <vt:i4>1245245</vt:i4>
      </vt:variant>
      <vt:variant>
        <vt:i4>26</vt:i4>
      </vt:variant>
      <vt:variant>
        <vt:i4>0</vt:i4>
      </vt:variant>
      <vt:variant>
        <vt:i4>5</vt:i4>
      </vt:variant>
      <vt:variant>
        <vt:lpwstr/>
      </vt:variant>
      <vt:variant>
        <vt:lpwstr>_Toc290891642</vt:lpwstr>
      </vt:variant>
      <vt:variant>
        <vt:i4>1245245</vt:i4>
      </vt:variant>
      <vt:variant>
        <vt:i4>20</vt:i4>
      </vt:variant>
      <vt:variant>
        <vt:i4>0</vt:i4>
      </vt:variant>
      <vt:variant>
        <vt:i4>5</vt:i4>
      </vt:variant>
      <vt:variant>
        <vt:lpwstr/>
      </vt:variant>
      <vt:variant>
        <vt:lpwstr>_Toc290891641</vt:lpwstr>
      </vt:variant>
      <vt:variant>
        <vt:i4>1245245</vt:i4>
      </vt:variant>
      <vt:variant>
        <vt:i4>14</vt:i4>
      </vt:variant>
      <vt:variant>
        <vt:i4>0</vt:i4>
      </vt:variant>
      <vt:variant>
        <vt:i4>5</vt:i4>
      </vt:variant>
      <vt:variant>
        <vt:lpwstr/>
      </vt:variant>
      <vt:variant>
        <vt:lpwstr>_Toc290891640</vt:lpwstr>
      </vt:variant>
      <vt:variant>
        <vt:i4>1310781</vt:i4>
      </vt:variant>
      <vt:variant>
        <vt:i4>8</vt:i4>
      </vt:variant>
      <vt:variant>
        <vt:i4>0</vt:i4>
      </vt:variant>
      <vt:variant>
        <vt:i4>5</vt:i4>
      </vt:variant>
      <vt:variant>
        <vt:lpwstr/>
      </vt:variant>
      <vt:variant>
        <vt:lpwstr>_Toc290891639</vt:lpwstr>
      </vt:variant>
      <vt:variant>
        <vt:i4>1310781</vt:i4>
      </vt:variant>
      <vt:variant>
        <vt:i4>2</vt:i4>
      </vt:variant>
      <vt:variant>
        <vt:i4>0</vt:i4>
      </vt:variant>
      <vt:variant>
        <vt:i4>5</vt:i4>
      </vt:variant>
      <vt:variant>
        <vt:lpwstr/>
      </vt:variant>
      <vt:variant>
        <vt:lpwstr>_Toc290891638</vt:lpwstr>
      </vt:variant>
      <vt:variant>
        <vt:i4>5636100</vt:i4>
      </vt:variant>
      <vt:variant>
        <vt:i4>6</vt:i4>
      </vt:variant>
      <vt:variant>
        <vt:i4>0</vt:i4>
      </vt:variant>
      <vt:variant>
        <vt:i4>5</vt:i4>
      </vt:variant>
      <vt:variant>
        <vt:lpwstr>http://www.usatoday.com/weather/hurricane/whnovmajor.htm</vt:lpwstr>
      </vt:variant>
      <vt:variant>
        <vt:lpwstr/>
      </vt:variant>
      <vt:variant>
        <vt:i4>589872</vt:i4>
      </vt:variant>
      <vt:variant>
        <vt:i4>3</vt:i4>
      </vt:variant>
      <vt:variant>
        <vt:i4>0</vt:i4>
      </vt:variant>
      <vt:variant>
        <vt:i4>5</vt:i4>
      </vt:variant>
      <vt:variant>
        <vt:lpwstr>http://www.eie.doe.gov/pub/oil_gas/natural_gas/feature_articles/2009/ngyir2008/ngyir2008.html</vt:lpwstr>
      </vt:variant>
      <vt:variant>
        <vt:lpwstr/>
      </vt:variant>
      <vt:variant>
        <vt:i4>589872</vt:i4>
      </vt:variant>
      <vt:variant>
        <vt:i4>0</vt:i4>
      </vt:variant>
      <vt:variant>
        <vt:i4>0</vt:i4>
      </vt:variant>
      <vt:variant>
        <vt:i4>5</vt:i4>
      </vt:variant>
      <vt:variant>
        <vt:lpwstr>http://www.eie.doe.gov/pub/oil_gas/natural_gas/feature_articles/2009/ngyir2008/ngyir2008.html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2015-07-23T17:11:00Z</cp:lastPrinted>
  <dcterms:created xsi:type="dcterms:W3CDTF">2015-07-23T19:58:00Z</dcterms:created>
  <dcterms:modified xsi:type="dcterms:W3CDTF">2015-07-23T19:58:00Z</dcterms:modified>
  <cp:category> </cp:category>
  <cp:contentStatus> </cp:contentStatus>
</cp:coreProperties>
</file>